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spacing w:before="9"/>
        <w:rPr>
          <w:sz w:val="12"/>
        </w:rPr>
      </w:pPr>
    </w:p>
    <w:p>
      <w:pPr>
        <w:pStyle w:val="BodyText"/>
        <w:ind w:left="2488"/>
        <w:rPr>
          <w:sz w:val="20"/>
        </w:rPr>
      </w:pPr>
      <w:r>
        <w:rPr>
          <w:sz w:val="20"/>
        </w:rPr>
        <w:drawing>
          <wp:inline distT="0" distB="0" distL="0" distR="0">
            <wp:extent cx="3152360" cy="942975"/>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3152360" cy="94297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spacing w:line="336" w:lineRule="auto" w:before="76"/>
        <w:ind w:left="1395" w:right="2542" w:firstLine="0"/>
        <w:jc w:val="center"/>
        <w:rPr>
          <w:sz w:val="56"/>
        </w:rPr>
      </w:pPr>
      <w:r>
        <w:rPr/>
        <w:pict>
          <v:shape style="position:absolute;margin-left:110.760002pt;margin-top:97.930634pt;width:398.25pt;height:.1pt;mso-position-horizontal-relative:page;mso-position-vertical-relative:paragraph;z-index:-251658240;mso-wrap-distance-left:0;mso-wrap-distance-right:0" coordorigin="2215,1959" coordsize="7965,0" path="m2215,1959l10180,1959e" filled="false" stroked="true" strokeweight=".48pt" strokecolor="#5b9bd4">
            <v:path arrowok="t"/>
            <v:stroke dashstyle="solid"/>
            <w10:wrap type="topAndBottom"/>
          </v:shape>
        </w:pict>
      </w:r>
      <w:r>
        <w:rPr>
          <w:sz w:val="56"/>
        </w:rPr>
        <w:t>Marco Fiscal de Mediano Plazo 2023-2027</w:t>
      </w:r>
    </w:p>
    <w:p>
      <w:pPr>
        <w:spacing w:before="331"/>
        <w:ind w:left="1395" w:right="2535" w:firstLine="0"/>
        <w:jc w:val="center"/>
        <w:rPr>
          <w:sz w:val="32"/>
        </w:rPr>
      </w:pPr>
      <w:r>
        <w:rPr>
          <w:sz w:val="32"/>
        </w:rPr>
        <w:t>Ministerio de Finanzas Públicas</w:t>
      </w: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9"/>
        <w:rPr>
          <w:sz w:val="39"/>
        </w:rPr>
      </w:pPr>
    </w:p>
    <w:p>
      <w:pPr>
        <w:spacing w:line="396" w:lineRule="auto" w:before="0"/>
        <w:ind w:left="2818" w:right="3962" w:firstLine="0"/>
        <w:jc w:val="center"/>
        <w:rPr>
          <w:sz w:val="28"/>
        </w:rPr>
      </w:pPr>
      <w:r>
        <w:rPr>
          <w:sz w:val="28"/>
        </w:rPr>
        <w:t>Dirección de Análisis y Política Fiscal 2022</w:t>
      </w:r>
    </w:p>
    <w:p>
      <w:pPr>
        <w:spacing w:after="0" w:line="396" w:lineRule="auto"/>
        <w:jc w:val="center"/>
        <w:rPr>
          <w:sz w:val="28"/>
        </w:rPr>
        <w:sectPr>
          <w:type w:val="continuous"/>
          <w:pgSz w:w="12240" w:h="15840"/>
          <w:pgMar w:top="1500" w:bottom="280" w:left="1140" w:right="0"/>
        </w:sectPr>
      </w:pPr>
    </w:p>
    <w:p>
      <w:pPr>
        <w:spacing w:before="165"/>
        <w:ind w:left="1395" w:right="2537" w:firstLine="0"/>
        <w:jc w:val="center"/>
        <w:rPr>
          <w:b/>
          <w:sz w:val="32"/>
        </w:rPr>
      </w:pPr>
      <w:r>
        <w:rPr>
          <w:b/>
          <w:sz w:val="32"/>
        </w:rPr>
        <w:t>Contenido</w:t>
      </w:r>
    </w:p>
    <w:p>
      <w:pPr>
        <w:spacing w:after="0"/>
        <w:jc w:val="center"/>
        <w:rPr>
          <w:sz w:val="32"/>
        </w:rPr>
        <w:sectPr>
          <w:headerReference w:type="default" r:id="rId6"/>
          <w:footerReference w:type="default" r:id="rId7"/>
          <w:pgSz w:w="12240" w:h="15840"/>
          <w:pgMar w:header="715" w:footer="957" w:top="1240" w:bottom="1479" w:left="1140" w:right="0"/>
          <w:pgNumType w:start="2"/>
        </w:sectPr>
      </w:pPr>
    </w:p>
    <w:sdt>
      <w:sdtPr>
        <w:docPartObj>
          <w:docPartGallery w:val="Table of Contents"/>
          <w:docPartUnique/>
        </w:docPartObj>
      </w:sdtPr>
      <w:sdtEndPr/>
      <w:sdtContent>
        <w:p>
          <w:pPr>
            <w:pStyle w:val="TOC2"/>
            <w:tabs>
              <w:tab w:pos="9390" w:val="right" w:leader="dot"/>
            </w:tabs>
          </w:pPr>
          <w:hyperlink w:history="true" w:anchor="_bookmark0">
            <w:r>
              <w:rPr/>
              <w:t>Introducción</w:t>
              <w:tab/>
              <w:t>8</w:t>
            </w:r>
          </w:hyperlink>
        </w:p>
        <w:p>
          <w:pPr>
            <w:pStyle w:val="TOC1"/>
            <w:numPr>
              <w:ilvl w:val="0"/>
              <w:numId w:val="1"/>
            </w:numPr>
            <w:tabs>
              <w:tab w:pos="805" w:val="left" w:leader="none"/>
              <w:tab w:pos="9390" w:val="right" w:leader="dot"/>
            </w:tabs>
            <w:spacing w:line="240" w:lineRule="auto" w:before="42" w:after="0"/>
            <w:ind w:left="804" w:right="0" w:hanging="243"/>
            <w:jc w:val="left"/>
          </w:pPr>
          <w:hyperlink w:history="true" w:anchor="_bookmark1">
            <w:r>
              <w:rPr/>
              <w:t>Entorno</w:t>
            </w:r>
            <w:r>
              <w:rPr>
                <w:spacing w:val="-4"/>
              </w:rPr>
              <w:t> </w:t>
            </w:r>
            <w:r>
              <w:rPr/>
              <w:t>macroeconómico</w:t>
              <w:tab/>
              <w:t>9</w:t>
            </w:r>
          </w:hyperlink>
        </w:p>
        <w:p>
          <w:pPr>
            <w:pStyle w:val="TOC3"/>
            <w:numPr>
              <w:ilvl w:val="1"/>
              <w:numId w:val="1"/>
            </w:numPr>
            <w:tabs>
              <w:tab w:pos="1050" w:val="left" w:leader="none"/>
              <w:tab w:pos="9390" w:val="right" w:leader="dot"/>
            </w:tabs>
            <w:spacing w:line="240" w:lineRule="auto" w:before="35" w:after="0"/>
            <w:ind w:left="1049" w:right="0" w:hanging="268"/>
            <w:jc w:val="left"/>
          </w:pPr>
          <w:hyperlink w:history="true" w:anchor="_bookmark2">
            <w:r>
              <w:rPr/>
              <w:t>Contexto macroeconómico</w:t>
            </w:r>
            <w:r>
              <w:rPr>
                <w:spacing w:val="-1"/>
              </w:rPr>
              <w:t> </w:t>
            </w:r>
            <w:r>
              <w:rPr/>
              <w:t>internacional</w:t>
            </w:r>
            <w:r>
              <w:rPr>
                <w:spacing w:val="-2"/>
              </w:rPr>
              <w:t> </w:t>
            </w:r>
            <w:r>
              <w:rPr/>
              <w:t>2021</w:t>
              <w:tab/>
              <w:t>9</w:t>
            </w:r>
          </w:hyperlink>
        </w:p>
        <w:p>
          <w:pPr>
            <w:pStyle w:val="TOC4"/>
            <w:numPr>
              <w:ilvl w:val="2"/>
              <w:numId w:val="1"/>
            </w:numPr>
            <w:tabs>
              <w:tab w:pos="1465" w:val="left" w:leader="none"/>
              <w:tab w:pos="9390" w:val="right" w:leader="dot"/>
            </w:tabs>
            <w:spacing w:line="240" w:lineRule="auto" w:before="37" w:after="0"/>
            <w:ind w:left="1464" w:right="0" w:hanging="407"/>
            <w:jc w:val="left"/>
          </w:pPr>
          <w:hyperlink w:history="true" w:anchor="_bookmark3">
            <w:r>
              <w:rPr/>
              <w:t>La</w:t>
            </w:r>
            <w:r>
              <w:rPr>
                <w:spacing w:val="-1"/>
              </w:rPr>
              <w:t> </w:t>
            </w:r>
            <w:r>
              <w:rPr/>
              <w:t>economía mundial</w:t>
              <w:tab/>
              <w:t>9</w:t>
            </w:r>
          </w:hyperlink>
        </w:p>
        <w:p>
          <w:pPr>
            <w:pStyle w:val="TOC4"/>
            <w:numPr>
              <w:ilvl w:val="2"/>
              <w:numId w:val="1"/>
            </w:numPr>
            <w:tabs>
              <w:tab w:pos="1465" w:val="left" w:leader="none"/>
              <w:tab w:pos="9390" w:val="right" w:leader="dot"/>
            </w:tabs>
            <w:spacing w:line="240" w:lineRule="auto" w:before="38" w:after="0"/>
            <w:ind w:left="1464" w:right="0" w:hanging="407"/>
            <w:jc w:val="left"/>
          </w:pPr>
          <w:hyperlink w:history="true" w:anchor="_bookmark6">
            <w:r>
              <w:rPr/>
              <w:t>Evolución de los principales socios comerciales</w:t>
            </w:r>
            <w:r>
              <w:rPr>
                <w:spacing w:val="-6"/>
              </w:rPr>
              <w:t> </w:t>
            </w:r>
            <w:r>
              <w:rPr/>
              <w:t>de</w:t>
            </w:r>
            <w:r>
              <w:rPr>
                <w:spacing w:val="-3"/>
              </w:rPr>
              <w:t> </w:t>
            </w:r>
            <w:r>
              <w:rPr/>
              <w:t>Guatemala</w:t>
              <w:tab/>
              <w:t>11</w:t>
            </w:r>
          </w:hyperlink>
        </w:p>
        <w:p>
          <w:pPr>
            <w:pStyle w:val="TOC6"/>
            <w:numPr>
              <w:ilvl w:val="3"/>
              <w:numId w:val="1"/>
            </w:numPr>
            <w:tabs>
              <w:tab w:pos="1940" w:val="left" w:leader="none"/>
              <w:tab w:pos="9390" w:val="right" w:leader="dot"/>
            </w:tabs>
            <w:spacing w:line="240" w:lineRule="auto" w:before="37" w:after="0"/>
            <w:ind w:left="1939" w:right="0" w:hanging="606"/>
            <w:jc w:val="left"/>
          </w:pPr>
          <w:hyperlink w:history="true" w:anchor="_bookmark7">
            <w:r>
              <w:rPr/>
              <w:t>La economía de Estados Unidos</w:t>
            </w:r>
            <w:r>
              <w:rPr>
                <w:spacing w:val="-4"/>
              </w:rPr>
              <w:t> </w:t>
            </w:r>
            <w:r>
              <w:rPr/>
              <w:t>de América</w:t>
              <w:tab/>
              <w:t>12</w:t>
            </w:r>
          </w:hyperlink>
        </w:p>
        <w:p>
          <w:pPr>
            <w:pStyle w:val="TOC6"/>
            <w:numPr>
              <w:ilvl w:val="3"/>
              <w:numId w:val="1"/>
            </w:numPr>
            <w:tabs>
              <w:tab w:pos="1940" w:val="left" w:leader="none"/>
              <w:tab w:pos="9390" w:val="right" w:leader="dot"/>
            </w:tabs>
            <w:spacing w:line="240" w:lineRule="auto" w:before="38" w:after="0"/>
            <w:ind w:left="1939" w:right="0" w:hanging="606"/>
            <w:jc w:val="left"/>
          </w:pPr>
          <w:hyperlink w:history="true" w:anchor="_bookmark10">
            <w:r>
              <w:rPr/>
              <w:t>Centroamérica y</w:t>
            </w:r>
            <w:r>
              <w:rPr>
                <w:spacing w:val="-4"/>
              </w:rPr>
              <w:t> </w:t>
            </w:r>
            <w:r>
              <w:rPr/>
              <w:t>República Dominicana</w:t>
              <w:tab/>
              <w:t>13</w:t>
            </w:r>
          </w:hyperlink>
        </w:p>
        <w:p>
          <w:pPr>
            <w:pStyle w:val="TOC6"/>
            <w:numPr>
              <w:ilvl w:val="3"/>
              <w:numId w:val="1"/>
            </w:numPr>
            <w:tabs>
              <w:tab w:pos="1940" w:val="left" w:leader="none"/>
              <w:tab w:pos="9390" w:val="right" w:leader="dot"/>
            </w:tabs>
            <w:spacing w:line="240" w:lineRule="auto" w:before="39" w:after="0"/>
            <w:ind w:left="1939" w:right="0" w:hanging="606"/>
            <w:jc w:val="left"/>
          </w:pPr>
          <w:hyperlink w:history="true" w:anchor="_bookmark13">
            <w:r>
              <w:rPr/>
              <w:t>La economía</w:t>
            </w:r>
            <w:r>
              <w:rPr>
                <w:spacing w:val="-4"/>
              </w:rPr>
              <w:t> </w:t>
            </w:r>
            <w:r>
              <w:rPr/>
              <w:t>de México</w:t>
              <w:tab/>
              <w:t>13</w:t>
            </w:r>
          </w:hyperlink>
        </w:p>
        <w:p>
          <w:pPr>
            <w:pStyle w:val="TOC6"/>
            <w:numPr>
              <w:ilvl w:val="3"/>
              <w:numId w:val="1"/>
            </w:numPr>
            <w:tabs>
              <w:tab w:pos="1940" w:val="left" w:leader="none"/>
              <w:tab w:pos="9390" w:val="right" w:leader="dot"/>
            </w:tabs>
            <w:spacing w:line="240" w:lineRule="auto" w:before="38" w:after="0"/>
            <w:ind w:left="1939" w:right="0" w:hanging="606"/>
            <w:jc w:val="left"/>
          </w:pPr>
          <w:hyperlink w:history="true" w:anchor="_bookmark16">
            <w:r>
              <w:rPr/>
              <w:t>La economía en la Zona</w:t>
            </w:r>
            <w:r>
              <w:rPr>
                <w:spacing w:val="-4"/>
              </w:rPr>
              <w:t> </w:t>
            </w:r>
            <w:r>
              <w:rPr/>
              <w:t>del</w:t>
            </w:r>
            <w:r>
              <w:rPr>
                <w:spacing w:val="1"/>
              </w:rPr>
              <w:t> </w:t>
            </w:r>
            <w:r>
              <w:rPr/>
              <w:t>Euro</w:t>
              <w:tab/>
              <w:t>14</w:t>
            </w:r>
          </w:hyperlink>
        </w:p>
        <w:p>
          <w:pPr>
            <w:pStyle w:val="TOC4"/>
            <w:numPr>
              <w:ilvl w:val="2"/>
              <w:numId w:val="1"/>
            </w:numPr>
            <w:tabs>
              <w:tab w:pos="1489" w:val="left" w:leader="none"/>
              <w:tab w:pos="9390" w:val="right" w:leader="dot"/>
            </w:tabs>
            <w:spacing w:line="240" w:lineRule="auto" w:before="37" w:after="0"/>
            <w:ind w:left="1488" w:right="0" w:hanging="431"/>
            <w:jc w:val="left"/>
          </w:pPr>
          <w:hyperlink w:history="true" w:anchor="_bookmark19">
            <w:r>
              <w:rPr/>
              <w:t>Comportamiento del precio</w:t>
            </w:r>
            <w:r>
              <w:rPr>
                <w:spacing w:val="-3"/>
              </w:rPr>
              <w:t> </w:t>
            </w:r>
            <w:r>
              <w:rPr/>
              <w:t>del</w:t>
            </w:r>
            <w:r>
              <w:rPr>
                <w:spacing w:val="1"/>
              </w:rPr>
              <w:t> </w:t>
            </w:r>
            <w:r>
              <w:rPr/>
              <w:t>petróleo</w:t>
              <w:tab/>
              <w:t>15</w:t>
            </w:r>
          </w:hyperlink>
        </w:p>
        <w:p>
          <w:pPr>
            <w:pStyle w:val="TOC3"/>
            <w:numPr>
              <w:ilvl w:val="1"/>
              <w:numId w:val="1"/>
            </w:numPr>
            <w:tabs>
              <w:tab w:pos="1040" w:val="left" w:leader="none"/>
              <w:tab w:pos="9390" w:val="right" w:leader="dot"/>
            </w:tabs>
            <w:spacing w:line="240" w:lineRule="auto" w:before="38" w:after="0"/>
            <w:ind w:left="1039" w:right="0" w:hanging="258"/>
            <w:jc w:val="left"/>
          </w:pPr>
          <w:hyperlink w:history="true" w:anchor="_bookmark21">
            <w:r>
              <w:rPr/>
              <w:t>Perspectivas de la economía</w:t>
            </w:r>
            <w:r>
              <w:rPr>
                <w:spacing w:val="1"/>
              </w:rPr>
              <w:t> </w:t>
            </w:r>
            <w:r>
              <w:rPr/>
              <w:t>mundial</w:t>
            </w:r>
            <w:r>
              <w:rPr>
                <w:spacing w:val="1"/>
              </w:rPr>
              <w:t> </w:t>
            </w:r>
            <w:r>
              <w:rPr/>
              <w:t>2022</w:t>
              <w:tab/>
              <w:t>16</w:t>
            </w:r>
          </w:hyperlink>
        </w:p>
        <w:p>
          <w:pPr>
            <w:pStyle w:val="TOC4"/>
            <w:numPr>
              <w:ilvl w:val="2"/>
              <w:numId w:val="1"/>
            </w:numPr>
            <w:tabs>
              <w:tab w:pos="1489" w:val="left" w:leader="none"/>
              <w:tab w:pos="9390" w:val="right" w:leader="dot"/>
            </w:tabs>
            <w:spacing w:line="240" w:lineRule="auto" w:before="43" w:after="0"/>
            <w:ind w:left="1488" w:right="0" w:hanging="431"/>
            <w:jc w:val="left"/>
          </w:pPr>
          <w:hyperlink w:history="true" w:anchor="_bookmark24">
            <w:r>
              <w:rPr/>
              <w:t>Principales</w:t>
            </w:r>
            <w:r>
              <w:rPr>
                <w:spacing w:val="-3"/>
              </w:rPr>
              <w:t> </w:t>
            </w:r>
            <w:r>
              <w:rPr/>
              <w:t>socios comerciales</w:t>
              <w:tab/>
              <w:t>18</w:t>
            </w:r>
          </w:hyperlink>
        </w:p>
        <w:p>
          <w:pPr>
            <w:pStyle w:val="TOC6"/>
            <w:numPr>
              <w:ilvl w:val="3"/>
              <w:numId w:val="1"/>
            </w:numPr>
            <w:tabs>
              <w:tab w:pos="1930" w:val="left" w:leader="none"/>
              <w:tab w:pos="9390" w:val="right" w:leader="dot"/>
            </w:tabs>
            <w:spacing w:line="240" w:lineRule="auto" w:before="36" w:after="0"/>
            <w:ind w:left="1930" w:right="0" w:hanging="596"/>
            <w:jc w:val="left"/>
          </w:pPr>
          <w:hyperlink w:history="true" w:anchor="_bookmark26">
            <w:r>
              <w:rPr/>
              <w:t>Estados Unidos</w:t>
            </w:r>
            <w:r>
              <w:rPr>
                <w:spacing w:val="-1"/>
              </w:rPr>
              <w:t> </w:t>
            </w:r>
            <w:r>
              <w:rPr/>
              <w:t>de América</w:t>
              <w:tab/>
              <w:t>18</w:t>
            </w:r>
          </w:hyperlink>
        </w:p>
        <w:p>
          <w:pPr>
            <w:pStyle w:val="TOC6"/>
            <w:numPr>
              <w:ilvl w:val="3"/>
              <w:numId w:val="1"/>
            </w:numPr>
            <w:tabs>
              <w:tab w:pos="1930" w:val="left" w:leader="none"/>
              <w:tab w:pos="9390" w:val="right" w:leader="dot"/>
            </w:tabs>
            <w:spacing w:line="240" w:lineRule="auto" w:before="37" w:after="0"/>
            <w:ind w:left="1930" w:right="0" w:hanging="596"/>
            <w:jc w:val="left"/>
          </w:pPr>
          <w:hyperlink w:history="true" w:anchor="_bookmark27">
            <w:r>
              <w:rPr/>
              <w:t>Centroamérica y</w:t>
            </w:r>
            <w:r>
              <w:rPr>
                <w:spacing w:val="-4"/>
              </w:rPr>
              <w:t> </w:t>
            </w:r>
            <w:r>
              <w:rPr/>
              <w:t>República Dominicana</w:t>
              <w:tab/>
              <w:t>18</w:t>
            </w:r>
          </w:hyperlink>
        </w:p>
        <w:p>
          <w:pPr>
            <w:pStyle w:val="TOC6"/>
            <w:numPr>
              <w:ilvl w:val="3"/>
              <w:numId w:val="1"/>
            </w:numPr>
            <w:tabs>
              <w:tab w:pos="1928" w:val="left" w:leader="none"/>
              <w:tab w:pos="9390" w:val="right" w:leader="dot"/>
            </w:tabs>
            <w:spacing w:line="240" w:lineRule="auto" w:before="40" w:after="0"/>
            <w:ind w:left="1927" w:right="0" w:hanging="594"/>
            <w:jc w:val="left"/>
          </w:pPr>
          <w:hyperlink w:history="true" w:anchor="_bookmark28">
            <w:r>
              <w:rPr/>
              <w:t>México</w:t>
              <w:tab/>
              <w:t>19</w:t>
            </w:r>
          </w:hyperlink>
        </w:p>
        <w:p>
          <w:pPr>
            <w:pStyle w:val="TOC6"/>
            <w:numPr>
              <w:ilvl w:val="3"/>
              <w:numId w:val="1"/>
            </w:numPr>
            <w:tabs>
              <w:tab w:pos="1930" w:val="left" w:leader="none"/>
              <w:tab w:pos="9390" w:val="right" w:leader="dot"/>
            </w:tabs>
            <w:spacing w:line="240" w:lineRule="auto" w:before="41" w:after="0"/>
            <w:ind w:left="1930" w:right="0" w:hanging="596"/>
            <w:jc w:val="left"/>
          </w:pPr>
          <w:hyperlink w:history="true" w:anchor="_bookmark29">
            <w:r>
              <w:rPr/>
              <w:t>Zona</w:t>
            </w:r>
            <w:r>
              <w:rPr>
                <w:spacing w:val="-1"/>
              </w:rPr>
              <w:t> </w:t>
            </w:r>
            <w:r>
              <w:rPr/>
              <w:t>del</w:t>
            </w:r>
            <w:r>
              <w:rPr>
                <w:spacing w:val="1"/>
              </w:rPr>
              <w:t> </w:t>
            </w:r>
            <w:r>
              <w:rPr/>
              <w:t>Euro</w:t>
              <w:tab/>
              <w:t>19</w:t>
            </w:r>
          </w:hyperlink>
        </w:p>
        <w:p>
          <w:pPr>
            <w:pStyle w:val="TOC4"/>
            <w:numPr>
              <w:ilvl w:val="2"/>
              <w:numId w:val="1"/>
            </w:numPr>
            <w:tabs>
              <w:tab w:pos="1489" w:val="left" w:leader="none"/>
              <w:tab w:pos="9390" w:val="right" w:leader="dot"/>
            </w:tabs>
            <w:spacing w:line="240" w:lineRule="auto" w:before="41" w:after="0"/>
            <w:ind w:left="1488" w:right="0" w:hanging="431"/>
            <w:jc w:val="left"/>
          </w:pPr>
          <w:hyperlink w:history="true" w:anchor="_bookmark30">
            <w:r>
              <w:rPr/>
              <w:t>Precio</w:t>
            </w:r>
            <w:r>
              <w:rPr>
                <w:spacing w:val="-4"/>
              </w:rPr>
              <w:t> </w:t>
            </w:r>
            <w:r>
              <w:rPr/>
              <w:t>del</w:t>
            </w:r>
            <w:r>
              <w:rPr>
                <w:spacing w:val="-1"/>
              </w:rPr>
              <w:t> </w:t>
            </w:r>
            <w:r>
              <w:rPr/>
              <w:t>petróleo</w:t>
              <w:tab/>
              <w:t>20</w:t>
            </w:r>
          </w:hyperlink>
        </w:p>
        <w:p>
          <w:pPr>
            <w:pStyle w:val="TOC4"/>
            <w:numPr>
              <w:ilvl w:val="2"/>
              <w:numId w:val="1"/>
            </w:numPr>
            <w:tabs>
              <w:tab w:pos="1489" w:val="left" w:leader="none"/>
              <w:tab w:pos="9390" w:val="right" w:leader="dot"/>
            </w:tabs>
            <w:spacing w:line="240" w:lineRule="auto" w:before="38" w:after="0"/>
            <w:ind w:left="1488" w:right="0" w:hanging="431"/>
            <w:jc w:val="left"/>
          </w:pPr>
          <w:hyperlink w:history="true" w:anchor="_bookmark33">
            <w:r>
              <w:rPr/>
              <w:t>Principales</w:t>
            </w:r>
            <w:r>
              <w:rPr>
                <w:spacing w:val="-1"/>
              </w:rPr>
              <w:t> </w:t>
            </w:r>
            <w:r>
              <w:rPr/>
              <w:t>materias primas</w:t>
              <w:tab/>
              <w:t>20</w:t>
            </w:r>
          </w:hyperlink>
        </w:p>
        <w:p>
          <w:pPr>
            <w:pStyle w:val="TOC7"/>
            <w:numPr>
              <w:ilvl w:val="3"/>
              <w:numId w:val="1"/>
            </w:numPr>
            <w:tabs>
              <w:tab w:pos="1986" w:val="left" w:leader="none"/>
              <w:tab w:pos="9390" w:val="right" w:leader="dot"/>
            </w:tabs>
            <w:spacing w:line="240" w:lineRule="auto" w:before="41" w:after="0"/>
            <w:ind w:left="1985" w:right="0" w:hanging="596"/>
            <w:jc w:val="left"/>
          </w:pPr>
          <w:hyperlink w:history="true" w:anchor="_bookmark36">
            <w:r>
              <w:rPr/>
              <w:t>Impacto de la guerra en Rusia y Ucrania en los mercados de</w:t>
            </w:r>
            <w:r>
              <w:rPr>
                <w:spacing w:val="-19"/>
              </w:rPr>
              <w:t> </w:t>
            </w:r>
            <w:r>
              <w:rPr/>
              <w:t>materias primas</w:t>
              <w:tab/>
              <w:t>22</w:t>
            </w:r>
          </w:hyperlink>
        </w:p>
        <w:p>
          <w:pPr>
            <w:pStyle w:val="TOC3"/>
            <w:numPr>
              <w:ilvl w:val="1"/>
              <w:numId w:val="1"/>
            </w:numPr>
            <w:tabs>
              <w:tab w:pos="1050" w:val="left" w:leader="none"/>
              <w:tab w:pos="9390" w:val="right" w:leader="dot"/>
            </w:tabs>
            <w:spacing w:line="240" w:lineRule="auto" w:before="38" w:after="0"/>
            <w:ind w:left="1049" w:right="0" w:hanging="268"/>
            <w:jc w:val="left"/>
          </w:pPr>
          <w:hyperlink w:history="true" w:anchor="_bookmark38">
            <w:r>
              <w:rPr/>
              <w:t>Contexto</w:t>
            </w:r>
            <w:r>
              <w:rPr>
                <w:spacing w:val="-1"/>
              </w:rPr>
              <w:t> </w:t>
            </w:r>
            <w:r>
              <w:rPr/>
              <w:t>económico</w:t>
            </w:r>
            <w:r>
              <w:rPr>
                <w:spacing w:val="-2"/>
              </w:rPr>
              <w:t> </w:t>
            </w:r>
            <w:r>
              <w:rPr/>
              <w:t>nacional</w:t>
              <w:tab/>
              <w:t>23</w:t>
            </w:r>
          </w:hyperlink>
        </w:p>
        <w:p>
          <w:pPr>
            <w:pStyle w:val="TOC4"/>
            <w:numPr>
              <w:ilvl w:val="2"/>
              <w:numId w:val="1"/>
            </w:numPr>
            <w:tabs>
              <w:tab w:pos="1489" w:val="left" w:leader="none"/>
              <w:tab w:pos="9390" w:val="right" w:leader="dot"/>
            </w:tabs>
            <w:spacing w:line="240" w:lineRule="auto" w:before="41" w:after="0"/>
            <w:ind w:left="1488" w:right="0" w:hanging="431"/>
            <w:jc w:val="left"/>
          </w:pPr>
          <w:hyperlink w:history="true" w:anchor="_bookmark39">
            <w:r>
              <w:rPr/>
              <w:t>Sector</w:t>
            </w:r>
            <w:r>
              <w:rPr>
                <w:spacing w:val="-3"/>
              </w:rPr>
              <w:t> </w:t>
            </w:r>
            <w:r>
              <w:rPr/>
              <w:t>real</w:t>
              <w:tab/>
              <w:t>23</w:t>
            </w:r>
          </w:hyperlink>
        </w:p>
        <w:p>
          <w:pPr>
            <w:pStyle w:val="TOC7"/>
            <w:numPr>
              <w:ilvl w:val="3"/>
              <w:numId w:val="1"/>
            </w:numPr>
            <w:tabs>
              <w:tab w:pos="1986" w:val="left" w:leader="none"/>
              <w:tab w:pos="9390" w:val="right" w:leader="dot"/>
            </w:tabs>
            <w:spacing w:line="240" w:lineRule="auto" w:before="41" w:after="0"/>
            <w:ind w:left="1985" w:right="0" w:hanging="596"/>
            <w:jc w:val="left"/>
          </w:pPr>
          <w:hyperlink w:history="true" w:anchor="_bookmark40">
            <w:r>
              <w:rPr/>
              <w:t>Producto</w:t>
            </w:r>
            <w:r>
              <w:rPr>
                <w:spacing w:val="-1"/>
              </w:rPr>
              <w:t> </w:t>
            </w:r>
            <w:r>
              <w:rPr/>
              <w:t>Interno Bruto</w:t>
              <w:tab/>
              <w:t>23</w:t>
            </w:r>
          </w:hyperlink>
        </w:p>
        <w:p>
          <w:pPr>
            <w:pStyle w:val="TOC7"/>
            <w:numPr>
              <w:ilvl w:val="3"/>
              <w:numId w:val="1"/>
            </w:numPr>
            <w:tabs>
              <w:tab w:pos="1986" w:val="left" w:leader="none"/>
              <w:tab w:pos="9390" w:val="right" w:leader="dot"/>
            </w:tabs>
            <w:spacing w:line="240" w:lineRule="auto" w:before="38" w:after="0"/>
            <w:ind w:left="1985" w:right="0" w:hanging="596"/>
            <w:jc w:val="left"/>
          </w:pPr>
          <w:hyperlink w:history="true" w:anchor="_bookmark44">
            <w:r>
              <w:rPr/>
              <w:t>Ritmo</w:t>
            </w:r>
            <w:r>
              <w:rPr>
                <w:spacing w:val="-1"/>
              </w:rPr>
              <w:t> </w:t>
            </w:r>
            <w:r>
              <w:rPr/>
              <w:t>inflacionario</w:t>
              <w:tab/>
              <w:t>25</w:t>
            </w:r>
          </w:hyperlink>
        </w:p>
        <w:p>
          <w:pPr>
            <w:pStyle w:val="TOC7"/>
            <w:numPr>
              <w:ilvl w:val="3"/>
              <w:numId w:val="1"/>
            </w:numPr>
            <w:tabs>
              <w:tab w:pos="1986" w:val="left" w:leader="none"/>
              <w:tab w:pos="9390" w:val="right" w:leader="dot"/>
            </w:tabs>
            <w:spacing w:line="240" w:lineRule="auto" w:before="42" w:after="0"/>
            <w:ind w:left="1985" w:right="0" w:hanging="596"/>
            <w:jc w:val="left"/>
          </w:pPr>
          <w:hyperlink w:history="true" w:anchor="_bookmark46">
            <w:r>
              <w:rPr/>
              <w:t>Empleo</w:t>
              <w:tab/>
              <w:t>26</w:t>
            </w:r>
          </w:hyperlink>
        </w:p>
        <w:p>
          <w:pPr>
            <w:pStyle w:val="TOC4"/>
            <w:numPr>
              <w:ilvl w:val="2"/>
              <w:numId w:val="1"/>
            </w:numPr>
            <w:tabs>
              <w:tab w:pos="1489" w:val="left" w:leader="none"/>
              <w:tab w:pos="9390" w:val="right" w:leader="dot"/>
            </w:tabs>
            <w:spacing w:line="240" w:lineRule="auto" w:before="41" w:after="0"/>
            <w:ind w:left="1488" w:right="0" w:hanging="431"/>
            <w:jc w:val="left"/>
          </w:pPr>
          <w:hyperlink w:history="true" w:anchor="_bookmark48">
            <w:r>
              <w:rPr/>
              <w:t>Sector</w:t>
            </w:r>
            <w:r>
              <w:rPr>
                <w:spacing w:val="-1"/>
              </w:rPr>
              <w:t> </w:t>
            </w:r>
            <w:r>
              <w:rPr/>
              <w:t>monetario</w:t>
            </w:r>
            <w:r>
              <w:rPr>
                <w:spacing w:val="-3"/>
              </w:rPr>
              <w:t> </w:t>
            </w:r>
            <w:r>
              <w:rPr/>
              <w:t>2021</w:t>
              <w:tab/>
              <w:t>27</w:t>
            </w:r>
          </w:hyperlink>
        </w:p>
        <w:p>
          <w:pPr>
            <w:pStyle w:val="TOC7"/>
            <w:numPr>
              <w:ilvl w:val="3"/>
              <w:numId w:val="1"/>
            </w:numPr>
            <w:tabs>
              <w:tab w:pos="1986" w:val="left" w:leader="none"/>
              <w:tab w:pos="9390" w:val="right" w:leader="dot"/>
            </w:tabs>
            <w:spacing w:line="240" w:lineRule="auto" w:before="39" w:after="0"/>
            <w:ind w:left="1985" w:right="0" w:hanging="596"/>
            <w:jc w:val="left"/>
          </w:pPr>
          <w:hyperlink w:history="true" w:anchor="_bookmark49">
            <w:r>
              <w:rPr/>
              <w:t>Emisión monetaria y los medios</w:t>
            </w:r>
            <w:r>
              <w:rPr>
                <w:spacing w:val="-5"/>
              </w:rPr>
              <w:t> </w:t>
            </w:r>
            <w:r>
              <w:rPr/>
              <w:t>de pago</w:t>
              <w:tab/>
              <w:t>27</w:t>
            </w:r>
          </w:hyperlink>
        </w:p>
        <w:p>
          <w:pPr>
            <w:pStyle w:val="TOC7"/>
            <w:numPr>
              <w:ilvl w:val="3"/>
              <w:numId w:val="1"/>
            </w:numPr>
            <w:tabs>
              <w:tab w:pos="1986" w:val="left" w:leader="none"/>
              <w:tab w:pos="9390" w:val="right" w:leader="dot"/>
            </w:tabs>
            <w:spacing w:line="240" w:lineRule="auto" w:before="41" w:after="0"/>
            <w:ind w:left="1985" w:right="0" w:hanging="596"/>
            <w:jc w:val="left"/>
          </w:pPr>
          <w:hyperlink w:history="true" w:anchor="_bookmark51">
            <w:r>
              <w:rPr/>
              <w:t>Crédito del sistema bancario al</w:t>
            </w:r>
            <w:r>
              <w:rPr>
                <w:spacing w:val="-4"/>
              </w:rPr>
              <w:t> </w:t>
            </w:r>
            <w:r>
              <w:rPr/>
              <w:t>sector</w:t>
            </w:r>
            <w:r>
              <w:rPr>
                <w:spacing w:val="-3"/>
              </w:rPr>
              <w:t> </w:t>
            </w:r>
            <w:r>
              <w:rPr/>
              <w:t>privado</w:t>
              <w:tab/>
              <w:t>29</w:t>
            </w:r>
          </w:hyperlink>
        </w:p>
        <w:p>
          <w:pPr>
            <w:pStyle w:val="TOC7"/>
            <w:numPr>
              <w:ilvl w:val="3"/>
              <w:numId w:val="1"/>
            </w:numPr>
            <w:tabs>
              <w:tab w:pos="1983" w:val="left" w:leader="none"/>
              <w:tab w:pos="9390" w:val="right" w:leader="dot"/>
            </w:tabs>
            <w:spacing w:line="240" w:lineRule="auto" w:before="41" w:after="0"/>
            <w:ind w:left="1982" w:right="0" w:hanging="593"/>
            <w:jc w:val="left"/>
          </w:pPr>
          <w:hyperlink w:history="true" w:anchor="_bookmark53">
            <w:r>
              <w:rPr/>
              <w:t>Tasa de interés líder de</w:t>
            </w:r>
            <w:r>
              <w:rPr>
                <w:spacing w:val="-3"/>
              </w:rPr>
              <w:t> </w:t>
            </w:r>
            <w:r>
              <w:rPr/>
              <w:t>política monetaria</w:t>
              <w:tab/>
              <w:t>30</w:t>
            </w:r>
          </w:hyperlink>
        </w:p>
        <w:p>
          <w:pPr>
            <w:pStyle w:val="TOC4"/>
            <w:numPr>
              <w:ilvl w:val="2"/>
              <w:numId w:val="1"/>
            </w:numPr>
            <w:tabs>
              <w:tab w:pos="1489" w:val="left" w:leader="none"/>
              <w:tab w:pos="9390" w:val="right" w:leader="dot"/>
            </w:tabs>
            <w:spacing w:line="240" w:lineRule="auto" w:before="38" w:after="0"/>
            <w:ind w:left="1488" w:right="0" w:hanging="431"/>
            <w:jc w:val="left"/>
          </w:pPr>
          <w:hyperlink w:history="true" w:anchor="_bookmark54">
            <w:r>
              <w:rPr/>
              <w:t>Sector</w:t>
            </w:r>
            <w:r>
              <w:rPr>
                <w:spacing w:val="-3"/>
              </w:rPr>
              <w:t> </w:t>
            </w:r>
            <w:r>
              <w:rPr/>
              <w:t>externo 2021</w:t>
              <w:tab/>
              <w:t>31</w:t>
            </w:r>
          </w:hyperlink>
        </w:p>
        <w:p>
          <w:pPr>
            <w:pStyle w:val="TOC7"/>
            <w:numPr>
              <w:ilvl w:val="3"/>
              <w:numId w:val="1"/>
            </w:numPr>
            <w:tabs>
              <w:tab w:pos="1986" w:val="left" w:leader="none"/>
              <w:tab w:pos="9390" w:val="right" w:leader="dot"/>
            </w:tabs>
            <w:spacing w:line="240" w:lineRule="auto" w:before="41" w:after="0"/>
            <w:ind w:left="1985" w:right="0" w:hanging="596"/>
            <w:jc w:val="left"/>
          </w:pPr>
          <w:hyperlink w:history="true" w:anchor="_bookmark55">
            <w:r>
              <w:rPr/>
              <w:t>Balanza</w:t>
            </w:r>
            <w:r>
              <w:rPr>
                <w:spacing w:val="-1"/>
              </w:rPr>
              <w:t> </w:t>
            </w:r>
            <w:r>
              <w:rPr/>
              <w:t>de</w:t>
            </w:r>
            <w:r>
              <w:rPr>
                <w:spacing w:val="-2"/>
              </w:rPr>
              <w:t> </w:t>
            </w:r>
            <w:r>
              <w:rPr/>
              <w:t>pagos</w:t>
              <w:tab/>
              <w:t>31</w:t>
            </w:r>
          </w:hyperlink>
        </w:p>
        <w:p>
          <w:pPr>
            <w:numPr>
              <w:ilvl w:val="4"/>
              <w:numId w:val="1"/>
            </w:numPr>
            <w:tabs>
              <w:tab w:pos="2646" w:val="left" w:leader="none"/>
              <w:tab w:pos="9390" w:val="right" w:leader="dot"/>
            </w:tabs>
            <w:spacing w:before="41"/>
            <w:ind w:left="2645" w:right="0" w:hanging="707"/>
            <w:jc w:val="left"/>
            <w:rPr>
              <w:sz w:val="22"/>
            </w:rPr>
          </w:pPr>
          <w:hyperlink w:history="true" w:anchor="_bookmark57">
            <w:r>
              <w:rPr>
                <w:sz w:val="22"/>
              </w:rPr>
              <w:t>Balanza</w:t>
            </w:r>
            <w:r>
              <w:rPr>
                <w:spacing w:val="-1"/>
                <w:sz w:val="22"/>
              </w:rPr>
              <w:t> </w:t>
            </w:r>
            <w:r>
              <w:rPr>
                <w:sz w:val="22"/>
              </w:rPr>
              <w:t>comercial</w:t>
              <w:tab/>
              <w:t>32</w:t>
            </w:r>
          </w:hyperlink>
        </w:p>
        <w:p>
          <w:pPr>
            <w:numPr>
              <w:ilvl w:val="4"/>
              <w:numId w:val="1"/>
            </w:numPr>
            <w:tabs>
              <w:tab w:pos="2646" w:val="left" w:leader="none"/>
              <w:tab w:pos="9390" w:val="right" w:leader="dot"/>
            </w:tabs>
            <w:spacing w:before="39"/>
            <w:ind w:left="2645" w:right="0" w:hanging="707"/>
            <w:jc w:val="left"/>
            <w:rPr>
              <w:sz w:val="22"/>
            </w:rPr>
          </w:pPr>
          <w:hyperlink w:history="true" w:anchor="_bookmark60">
            <w:r>
              <w:rPr>
                <w:sz w:val="22"/>
              </w:rPr>
              <w:t>Ingreso primario</w:t>
            </w:r>
            <w:r>
              <w:rPr>
                <w:spacing w:val="-1"/>
                <w:sz w:val="22"/>
              </w:rPr>
              <w:t> </w:t>
            </w:r>
            <w:r>
              <w:rPr>
                <w:sz w:val="22"/>
              </w:rPr>
              <w:t>y</w:t>
            </w:r>
            <w:r>
              <w:rPr>
                <w:spacing w:val="-3"/>
                <w:sz w:val="22"/>
              </w:rPr>
              <w:t> </w:t>
            </w:r>
            <w:r>
              <w:rPr>
                <w:sz w:val="22"/>
              </w:rPr>
              <w:t>secundario</w:t>
              <w:tab/>
              <w:t>34</w:t>
            </w:r>
          </w:hyperlink>
        </w:p>
        <w:p>
          <w:pPr>
            <w:numPr>
              <w:ilvl w:val="4"/>
              <w:numId w:val="1"/>
            </w:numPr>
            <w:tabs>
              <w:tab w:pos="2646" w:val="left" w:leader="none"/>
              <w:tab w:pos="9390" w:val="right" w:leader="dot"/>
            </w:tabs>
            <w:spacing w:before="38"/>
            <w:ind w:left="2645" w:right="0" w:hanging="707"/>
            <w:jc w:val="left"/>
            <w:rPr>
              <w:sz w:val="22"/>
            </w:rPr>
          </w:pPr>
          <w:hyperlink w:history="true" w:anchor="_bookmark62">
            <w:r>
              <w:rPr>
                <w:sz w:val="22"/>
              </w:rPr>
              <w:t>Cuenta</w:t>
            </w:r>
            <w:r>
              <w:rPr>
                <w:spacing w:val="-3"/>
                <w:sz w:val="22"/>
              </w:rPr>
              <w:t> </w:t>
            </w:r>
            <w:r>
              <w:rPr>
                <w:sz w:val="22"/>
              </w:rPr>
              <w:t>financiera</w:t>
              <w:tab/>
              <w:t>35</w:t>
            </w:r>
          </w:hyperlink>
        </w:p>
        <w:p>
          <w:pPr>
            <w:pStyle w:val="TOC7"/>
            <w:numPr>
              <w:ilvl w:val="3"/>
              <w:numId w:val="1"/>
            </w:numPr>
            <w:tabs>
              <w:tab w:pos="1986" w:val="left" w:leader="none"/>
              <w:tab w:pos="9390" w:val="right" w:leader="dot"/>
            </w:tabs>
            <w:spacing w:line="240" w:lineRule="auto" w:before="41" w:after="0"/>
            <w:ind w:left="1985" w:right="0" w:hanging="596"/>
            <w:jc w:val="left"/>
          </w:pPr>
          <w:hyperlink w:history="true" w:anchor="_bookmark64">
            <w:r>
              <w:rPr/>
              <w:t>Posición de inversión internacional y la deuda externa público</w:t>
            </w:r>
            <w:r>
              <w:rPr>
                <w:spacing w:val="-19"/>
              </w:rPr>
              <w:t> </w:t>
            </w:r>
            <w:r>
              <w:rPr/>
              <w:t>y</w:t>
            </w:r>
            <w:r>
              <w:rPr>
                <w:spacing w:val="-3"/>
              </w:rPr>
              <w:t> </w:t>
            </w:r>
            <w:r>
              <w:rPr/>
              <w:t>privada</w:t>
              <w:tab/>
              <w:t>36</w:t>
            </w:r>
          </w:hyperlink>
        </w:p>
        <w:p>
          <w:pPr>
            <w:pStyle w:val="TOC7"/>
            <w:numPr>
              <w:ilvl w:val="3"/>
              <w:numId w:val="1"/>
            </w:numPr>
            <w:tabs>
              <w:tab w:pos="1983" w:val="left" w:leader="none"/>
              <w:tab w:pos="9390" w:val="right" w:leader="dot"/>
            </w:tabs>
            <w:spacing w:line="240" w:lineRule="auto" w:before="41" w:after="0"/>
            <w:ind w:left="1982" w:right="0" w:hanging="593"/>
            <w:jc w:val="left"/>
          </w:pPr>
          <w:hyperlink w:history="true" w:anchor="_bookmark66">
            <w:r>
              <w:rPr/>
              <w:t>Tipo</w:t>
            </w:r>
            <w:r>
              <w:rPr>
                <w:spacing w:val="-1"/>
              </w:rPr>
              <w:t> </w:t>
            </w:r>
            <w:r>
              <w:rPr/>
              <w:t>de cambio</w:t>
              <w:tab/>
              <w:t>37</w:t>
            </w:r>
          </w:hyperlink>
        </w:p>
        <w:p>
          <w:pPr>
            <w:pStyle w:val="TOC3"/>
            <w:numPr>
              <w:ilvl w:val="1"/>
              <w:numId w:val="1"/>
            </w:numPr>
            <w:tabs>
              <w:tab w:pos="1040" w:val="left" w:leader="none"/>
              <w:tab w:pos="9390" w:val="right" w:leader="dot"/>
            </w:tabs>
            <w:spacing w:line="240" w:lineRule="auto" w:before="38" w:after="0"/>
            <w:ind w:left="1039" w:right="0" w:hanging="258"/>
            <w:jc w:val="left"/>
          </w:pPr>
          <w:hyperlink w:history="true" w:anchor="_bookmark69">
            <w:r>
              <w:rPr/>
              <w:t>Escenario</w:t>
            </w:r>
            <w:r>
              <w:rPr>
                <w:spacing w:val="-1"/>
              </w:rPr>
              <w:t> </w:t>
            </w:r>
            <w:r>
              <w:rPr/>
              <w:t>macroeconómico 2022</w:t>
              <w:tab/>
              <w:t>39</w:t>
            </w:r>
          </w:hyperlink>
        </w:p>
        <w:p>
          <w:pPr>
            <w:pStyle w:val="TOC5"/>
            <w:numPr>
              <w:ilvl w:val="2"/>
              <w:numId w:val="1"/>
            </w:numPr>
            <w:tabs>
              <w:tab w:pos="1544" w:val="left" w:leader="none"/>
              <w:tab w:pos="9390" w:val="right" w:leader="dot"/>
            </w:tabs>
            <w:spacing w:line="240" w:lineRule="auto" w:before="41" w:after="0"/>
            <w:ind w:left="1543" w:right="0" w:hanging="430"/>
            <w:jc w:val="left"/>
          </w:pPr>
          <w:hyperlink w:history="true" w:anchor="_bookmark70">
            <w:r>
              <w:rPr/>
              <w:t>Sector</w:t>
            </w:r>
            <w:r>
              <w:rPr>
                <w:spacing w:val="-3"/>
              </w:rPr>
              <w:t> </w:t>
            </w:r>
            <w:r>
              <w:rPr/>
              <w:t>real</w:t>
              <w:tab/>
              <w:t>40</w:t>
            </w:r>
          </w:hyperlink>
        </w:p>
        <w:p>
          <w:pPr>
            <w:pStyle w:val="TOC7"/>
            <w:numPr>
              <w:ilvl w:val="3"/>
              <w:numId w:val="1"/>
            </w:numPr>
            <w:tabs>
              <w:tab w:pos="1986" w:val="left" w:leader="none"/>
              <w:tab w:pos="9390" w:val="right" w:leader="dot"/>
            </w:tabs>
            <w:spacing w:line="240" w:lineRule="auto" w:before="41" w:after="0"/>
            <w:ind w:left="1985" w:right="0" w:hanging="596"/>
            <w:jc w:val="left"/>
          </w:pPr>
          <w:hyperlink w:history="true" w:anchor="_bookmark75">
            <w:r>
              <w:rPr/>
              <w:t>Producto</w:t>
            </w:r>
            <w:r>
              <w:rPr>
                <w:spacing w:val="-1"/>
              </w:rPr>
              <w:t> </w:t>
            </w:r>
            <w:r>
              <w:rPr/>
              <w:t>Interno Bruto</w:t>
              <w:tab/>
              <w:t>41</w:t>
            </w:r>
          </w:hyperlink>
        </w:p>
        <w:p>
          <w:pPr>
            <w:pStyle w:val="TOC7"/>
            <w:numPr>
              <w:ilvl w:val="3"/>
              <w:numId w:val="1"/>
            </w:numPr>
            <w:tabs>
              <w:tab w:pos="1986" w:val="left" w:leader="none"/>
              <w:tab w:pos="9390" w:val="right" w:leader="dot"/>
            </w:tabs>
            <w:spacing w:line="240" w:lineRule="auto" w:before="38" w:after="0"/>
            <w:ind w:left="1985" w:right="0" w:hanging="596"/>
            <w:jc w:val="left"/>
          </w:pPr>
          <w:hyperlink w:history="true" w:anchor="_bookmark78">
            <w:r>
              <w:rPr/>
              <w:t>Inflación</w:t>
              <w:tab/>
              <w:t>43</w:t>
            </w:r>
          </w:hyperlink>
        </w:p>
        <w:p>
          <w:pPr>
            <w:pStyle w:val="TOC5"/>
            <w:numPr>
              <w:ilvl w:val="2"/>
              <w:numId w:val="1"/>
            </w:numPr>
            <w:tabs>
              <w:tab w:pos="1544" w:val="left" w:leader="none"/>
              <w:tab w:pos="9390" w:val="right" w:leader="dot"/>
            </w:tabs>
            <w:spacing w:line="240" w:lineRule="auto" w:before="41" w:after="0"/>
            <w:ind w:left="1543" w:right="0" w:hanging="430"/>
            <w:jc w:val="left"/>
          </w:pPr>
          <w:hyperlink w:history="true" w:anchor="_bookmark81">
            <w:r>
              <w:rPr/>
              <w:t>Sector</w:t>
            </w:r>
            <w:r>
              <w:rPr>
                <w:spacing w:val="-3"/>
              </w:rPr>
              <w:t> </w:t>
            </w:r>
            <w:r>
              <w:rPr/>
              <w:t>monetario 2022</w:t>
              <w:tab/>
              <w:t>44</w:t>
            </w:r>
          </w:hyperlink>
        </w:p>
        <w:p>
          <w:pPr>
            <w:pStyle w:val="TOC5"/>
            <w:numPr>
              <w:ilvl w:val="2"/>
              <w:numId w:val="1"/>
            </w:numPr>
            <w:tabs>
              <w:tab w:pos="1544" w:val="left" w:leader="none"/>
              <w:tab w:pos="9390" w:val="right" w:leader="dot"/>
            </w:tabs>
            <w:spacing w:line="240" w:lineRule="auto" w:before="41" w:after="201"/>
            <w:ind w:left="1543" w:right="0" w:hanging="430"/>
            <w:jc w:val="left"/>
          </w:pPr>
          <w:hyperlink w:history="true" w:anchor="_bookmark87">
            <w:r>
              <w:rPr/>
              <w:t>Sector</w:t>
            </w:r>
            <w:r>
              <w:rPr>
                <w:spacing w:val="-2"/>
              </w:rPr>
              <w:t> </w:t>
            </w:r>
            <w:r>
              <w:rPr/>
              <w:t>Externo</w:t>
            </w:r>
            <w:r>
              <w:rPr>
                <w:spacing w:val="-3"/>
              </w:rPr>
              <w:t> </w:t>
            </w:r>
            <w:r>
              <w:rPr/>
              <w:t>2022</w:t>
              <w:tab/>
              <w:t>47</w:t>
            </w:r>
          </w:hyperlink>
        </w:p>
        <w:p>
          <w:pPr>
            <w:pStyle w:val="TOC3"/>
            <w:numPr>
              <w:ilvl w:val="1"/>
              <w:numId w:val="1"/>
            </w:numPr>
            <w:tabs>
              <w:tab w:pos="1040" w:val="left" w:leader="none"/>
              <w:tab w:pos="9169" w:val="left" w:leader="dot"/>
            </w:tabs>
            <w:spacing w:line="240" w:lineRule="auto" w:before="162" w:after="0"/>
            <w:ind w:left="1039" w:right="0" w:hanging="258"/>
            <w:jc w:val="left"/>
          </w:pPr>
          <w:hyperlink w:history="true" w:anchor="_bookmark98">
            <w:r>
              <w:rPr/>
              <w:t>Escenario macroeconómico de mediano</w:t>
            </w:r>
            <w:r>
              <w:rPr>
                <w:spacing w:val="-5"/>
              </w:rPr>
              <w:t> </w:t>
            </w:r>
            <w:r>
              <w:rPr/>
              <w:t>plazo</w:t>
            </w:r>
            <w:r>
              <w:rPr>
                <w:spacing w:val="-2"/>
              </w:rPr>
              <w:t> </w:t>
            </w:r>
            <w:r>
              <w:rPr/>
              <w:t>(2023-2027)</w:t>
              <w:tab/>
              <w:t>51</w:t>
            </w:r>
          </w:hyperlink>
        </w:p>
        <w:p>
          <w:pPr>
            <w:pStyle w:val="TOC5"/>
            <w:numPr>
              <w:ilvl w:val="2"/>
              <w:numId w:val="1"/>
            </w:numPr>
            <w:tabs>
              <w:tab w:pos="1544" w:val="left" w:leader="none"/>
              <w:tab w:pos="9169" w:val="left" w:leader="dot"/>
            </w:tabs>
            <w:spacing w:line="240" w:lineRule="auto" w:before="41" w:after="0"/>
            <w:ind w:left="1543" w:right="0" w:hanging="430"/>
            <w:jc w:val="left"/>
          </w:pPr>
          <w:hyperlink w:history="true" w:anchor="_bookmark99">
            <w:r>
              <w:rPr/>
              <w:t>Supuestos</w:t>
            </w:r>
            <w:r>
              <w:rPr>
                <w:spacing w:val="-4"/>
              </w:rPr>
              <w:t> </w:t>
            </w:r>
            <w:r>
              <w:rPr/>
              <w:t>macroeconómicos</w:t>
              <w:tab/>
              <w:t>52</w:t>
            </w:r>
          </w:hyperlink>
        </w:p>
        <w:p>
          <w:pPr>
            <w:pStyle w:val="TOC7"/>
            <w:numPr>
              <w:ilvl w:val="3"/>
              <w:numId w:val="1"/>
            </w:numPr>
            <w:tabs>
              <w:tab w:pos="1986" w:val="left" w:leader="none"/>
              <w:tab w:pos="9169" w:val="left" w:leader="dot"/>
            </w:tabs>
            <w:spacing w:line="240" w:lineRule="auto" w:before="41" w:after="0"/>
            <w:ind w:left="1985" w:right="0" w:hanging="596"/>
            <w:jc w:val="left"/>
          </w:pPr>
          <w:hyperlink w:history="true" w:anchor="_bookmark100">
            <w:r>
              <w:rPr/>
              <w:t>Contexto</w:t>
            </w:r>
            <w:r>
              <w:rPr>
                <w:spacing w:val="-6"/>
              </w:rPr>
              <w:t> </w:t>
            </w:r>
            <w:r>
              <w:rPr/>
              <w:t>internacional</w:t>
              <w:tab/>
              <w:t>52</w:t>
            </w:r>
          </w:hyperlink>
        </w:p>
        <w:p>
          <w:pPr>
            <w:pStyle w:val="TOC9"/>
            <w:numPr>
              <w:ilvl w:val="3"/>
              <w:numId w:val="2"/>
            </w:numPr>
            <w:tabs>
              <w:tab w:pos="2370" w:val="left" w:leader="none"/>
              <w:tab w:pos="9169" w:val="left" w:leader="dot"/>
            </w:tabs>
            <w:spacing w:line="240" w:lineRule="auto" w:before="39" w:after="0"/>
            <w:ind w:left="2369" w:right="0" w:hanging="762"/>
            <w:jc w:val="left"/>
          </w:pPr>
          <w:hyperlink w:history="true" w:anchor="_bookmark102">
            <w:r>
              <w:rPr/>
              <w:t>Inflación</w:t>
            </w:r>
            <w:r>
              <w:rPr>
                <w:spacing w:val="-3"/>
              </w:rPr>
              <w:t> </w:t>
            </w:r>
            <w:r>
              <w:rPr/>
              <w:t>externa</w:t>
              <w:tab/>
              <w:t>53</w:t>
            </w:r>
          </w:hyperlink>
        </w:p>
        <w:p>
          <w:pPr>
            <w:pStyle w:val="TOC9"/>
            <w:numPr>
              <w:ilvl w:val="3"/>
              <w:numId w:val="2"/>
            </w:numPr>
            <w:tabs>
              <w:tab w:pos="2370" w:val="left" w:leader="none"/>
              <w:tab w:pos="9169" w:val="left" w:leader="dot"/>
            </w:tabs>
            <w:spacing w:line="240" w:lineRule="auto" w:before="41" w:after="0"/>
            <w:ind w:left="2369" w:right="0" w:hanging="762"/>
            <w:jc w:val="left"/>
          </w:pPr>
          <w:hyperlink w:history="true" w:anchor="_bookmark104">
            <w:r>
              <w:rPr/>
              <w:t>Precio</w:t>
            </w:r>
            <w:r>
              <w:rPr>
                <w:spacing w:val="-5"/>
              </w:rPr>
              <w:t> </w:t>
            </w:r>
            <w:r>
              <w:rPr/>
              <w:t>del</w:t>
            </w:r>
            <w:r>
              <w:rPr>
                <w:spacing w:val="-1"/>
              </w:rPr>
              <w:t> </w:t>
            </w:r>
            <w:r>
              <w:rPr/>
              <w:t>Petróleo</w:t>
              <w:tab/>
              <w:t>53</w:t>
            </w:r>
          </w:hyperlink>
        </w:p>
        <w:p>
          <w:pPr>
            <w:pStyle w:val="TOC7"/>
            <w:numPr>
              <w:ilvl w:val="3"/>
              <w:numId w:val="1"/>
            </w:numPr>
            <w:tabs>
              <w:tab w:pos="1986" w:val="left" w:leader="none"/>
              <w:tab w:pos="9169" w:val="left" w:leader="dot"/>
            </w:tabs>
            <w:spacing w:line="240" w:lineRule="auto" w:before="41" w:after="0"/>
            <w:ind w:left="1985" w:right="0" w:hanging="596"/>
            <w:jc w:val="left"/>
          </w:pPr>
          <w:hyperlink w:history="true" w:anchor="_bookmark106">
            <w:r>
              <w:rPr/>
              <w:t>Contexto</w:t>
            </w:r>
            <w:r>
              <w:rPr>
                <w:spacing w:val="-2"/>
              </w:rPr>
              <w:t> </w:t>
            </w:r>
            <w:r>
              <w:rPr/>
              <w:t>nacional</w:t>
              <w:tab/>
              <w:t>55</w:t>
            </w:r>
          </w:hyperlink>
        </w:p>
        <w:p>
          <w:pPr>
            <w:pStyle w:val="TOC9"/>
            <w:numPr>
              <w:ilvl w:val="3"/>
              <w:numId w:val="3"/>
            </w:numPr>
            <w:tabs>
              <w:tab w:pos="2370" w:val="left" w:leader="none"/>
              <w:tab w:pos="9169" w:val="left" w:leader="dot"/>
            </w:tabs>
            <w:spacing w:line="240" w:lineRule="auto" w:before="38" w:after="0"/>
            <w:ind w:left="2369" w:right="0" w:hanging="762"/>
            <w:jc w:val="left"/>
          </w:pPr>
          <w:hyperlink w:history="true" w:anchor="_bookmark107">
            <w:r>
              <w:rPr/>
              <w:t>Sector</w:t>
            </w:r>
            <w:r>
              <w:rPr>
                <w:spacing w:val="-4"/>
              </w:rPr>
              <w:t> </w:t>
            </w:r>
            <w:r>
              <w:rPr/>
              <w:t>real</w:t>
              <w:tab/>
              <w:t>55</w:t>
            </w:r>
          </w:hyperlink>
        </w:p>
        <w:p>
          <w:pPr>
            <w:pStyle w:val="TOC9"/>
            <w:numPr>
              <w:ilvl w:val="3"/>
              <w:numId w:val="3"/>
            </w:numPr>
            <w:tabs>
              <w:tab w:pos="2370" w:val="left" w:leader="none"/>
              <w:tab w:pos="9169" w:val="left" w:leader="dot"/>
            </w:tabs>
            <w:spacing w:line="240" w:lineRule="auto" w:before="41" w:after="0"/>
            <w:ind w:left="2369" w:right="0" w:hanging="762"/>
            <w:jc w:val="left"/>
          </w:pPr>
          <w:hyperlink w:history="true" w:anchor="_bookmark109">
            <w:r>
              <w:rPr/>
              <w:t>Sector</w:t>
            </w:r>
            <w:r>
              <w:rPr>
                <w:spacing w:val="-4"/>
              </w:rPr>
              <w:t> </w:t>
            </w:r>
            <w:r>
              <w:rPr/>
              <w:t>externo</w:t>
              <w:tab/>
              <w:t>55</w:t>
            </w:r>
          </w:hyperlink>
        </w:p>
        <w:p>
          <w:pPr>
            <w:pStyle w:val="TOC4"/>
            <w:numPr>
              <w:ilvl w:val="2"/>
              <w:numId w:val="1"/>
            </w:numPr>
            <w:tabs>
              <w:tab w:pos="1489" w:val="left" w:leader="none"/>
              <w:tab w:pos="9169" w:val="left" w:leader="dot"/>
            </w:tabs>
            <w:spacing w:line="240" w:lineRule="auto" w:before="41" w:after="0"/>
            <w:ind w:left="1488" w:right="0" w:hanging="431"/>
            <w:jc w:val="left"/>
          </w:pPr>
          <w:hyperlink w:history="true" w:anchor="_bookmark110">
            <w:r>
              <w:rPr/>
              <w:t>Proyecciones de</w:t>
            </w:r>
            <w:r>
              <w:rPr>
                <w:spacing w:val="-4"/>
              </w:rPr>
              <w:t> </w:t>
            </w:r>
            <w:r>
              <w:rPr/>
              <w:t>mediano</w:t>
            </w:r>
            <w:r>
              <w:rPr>
                <w:spacing w:val="-1"/>
              </w:rPr>
              <w:t> </w:t>
            </w:r>
            <w:r>
              <w:rPr/>
              <w:t>plazo</w:t>
              <w:tab/>
              <w:t>56</w:t>
            </w:r>
          </w:hyperlink>
        </w:p>
        <w:p>
          <w:pPr>
            <w:pStyle w:val="TOC1"/>
            <w:numPr>
              <w:ilvl w:val="0"/>
              <w:numId w:val="1"/>
            </w:numPr>
            <w:tabs>
              <w:tab w:pos="846" w:val="left" w:leader="none"/>
              <w:tab w:pos="9169" w:val="left" w:leader="dot"/>
            </w:tabs>
            <w:spacing w:line="240" w:lineRule="auto" w:before="43" w:after="0"/>
            <w:ind w:left="845" w:right="0" w:hanging="284"/>
            <w:jc w:val="left"/>
          </w:pPr>
          <w:hyperlink w:history="true" w:anchor="_bookmark113">
            <w:r>
              <w:rPr/>
              <w:t>Marco Fiscal de</w:t>
            </w:r>
            <w:r>
              <w:rPr>
                <w:spacing w:val="-5"/>
              </w:rPr>
              <w:t> </w:t>
            </w:r>
            <w:r>
              <w:rPr/>
              <w:t>Mediano</w:t>
            </w:r>
            <w:r>
              <w:rPr>
                <w:spacing w:val="-4"/>
              </w:rPr>
              <w:t> </w:t>
            </w:r>
            <w:r>
              <w:rPr/>
              <w:t>Plazo</w:t>
              <w:tab/>
              <w:t>60</w:t>
            </w:r>
          </w:hyperlink>
        </w:p>
        <w:p>
          <w:pPr>
            <w:pStyle w:val="TOC3"/>
            <w:numPr>
              <w:ilvl w:val="1"/>
              <w:numId w:val="1"/>
            </w:numPr>
            <w:tabs>
              <w:tab w:pos="1050" w:val="left" w:leader="none"/>
              <w:tab w:pos="9169" w:val="left" w:leader="dot"/>
            </w:tabs>
            <w:spacing w:line="240" w:lineRule="auto" w:before="33" w:after="0"/>
            <w:ind w:left="1049" w:right="0" w:hanging="268"/>
            <w:jc w:val="left"/>
          </w:pPr>
          <w:hyperlink w:history="true" w:anchor="_bookmark114">
            <w:r>
              <w:rPr/>
              <w:t>Desempeño de la política fiscal</w:t>
            </w:r>
            <w:r>
              <w:rPr>
                <w:spacing w:val="-11"/>
              </w:rPr>
              <w:t> </w:t>
            </w:r>
            <w:r>
              <w:rPr/>
              <w:t>en</w:t>
            </w:r>
            <w:r>
              <w:rPr>
                <w:spacing w:val="-1"/>
              </w:rPr>
              <w:t> </w:t>
            </w:r>
            <w:r>
              <w:rPr/>
              <w:t>2021</w:t>
              <w:tab/>
              <w:t>60</w:t>
            </w:r>
          </w:hyperlink>
        </w:p>
        <w:p>
          <w:pPr>
            <w:pStyle w:val="TOC4"/>
            <w:numPr>
              <w:ilvl w:val="2"/>
              <w:numId w:val="1"/>
            </w:numPr>
            <w:tabs>
              <w:tab w:pos="1465" w:val="left" w:leader="none"/>
              <w:tab w:pos="9169" w:val="left" w:leader="dot"/>
            </w:tabs>
            <w:spacing w:line="240" w:lineRule="auto" w:before="37" w:after="0"/>
            <w:ind w:left="1464" w:right="0" w:hanging="407"/>
            <w:jc w:val="left"/>
          </w:pPr>
          <w:hyperlink w:history="true" w:anchor="_bookmark117">
            <w:r>
              <w:rPr/>
              <w:t>Ingresos</w:t>
            </w:r>
            <w:r>
              <w:rPr>
                <w:spacing w:val="-2"/>
              </w:rPr>
              <w:t> </w:t>
            </w:r>
            <w:r>
              <w:rPr/>
              <w:t>Fiscales</w:t>
              <w:tab/>
              <w:t>62</w:t>
            </w:r>
          </w:hyperlink>
        </w:p>
        <w:p>
          <w:pPr>
            <w:pStyle w:val="TOC6"/>
            <w:numPr>
              <w:ilvl w:val="3"/>
              <w:numId w:val="1"/>
            </w:numPr>
            <w:tabs>
              <w:tab w:pos="1930" w:val="left" w:leader="none"/>
              <w:tab w:pos="9169" w:val="left" w:leader="dot"/>
            </w:tabs>
            <w:spacing w:line="240" w:lineRule="auto" w:before="38" w:after="0"/>
            <w:ind w:left="1930" w:right="0" w:hanging="596"/>
            <w:jc w:val="left"/>
          </w:pPr>
          <w:hyperlink w:history="true" w:anchor="_bookmark122">
            <w:r>
              <w:rPr/>
              <w:t>En el último trimestre la recaudación tributaria generó</w:t>
            </w:r>
            <w:r>
              <w:rPr>
                <w:spacing w:val="-24"/>
              </w:rPr>
              <w:t> </w:t>
            </w:r>
            <w:r>
              <w:rPr/>
              <w:t>brecha</w:t>
            </w:r>
            <w:r>
              <w:rPr>
                <w:spacing w:val="-2"/>
              </w:rPr>
              <w:t> </w:t>
            </w:r>
            <w:r>
              <w:rPr/>
              <w:t>positiva</w:t>
              <w:tab/>
              <w:t>66</w:t>
            </w:r>
          </w:hyperlink>
        </w:p>
        <w:p>
          <w:pPr>
            <w:pStyle w:val="TOC8"/>
            <w:numPr>
              <w:ilvl w:val="3"/>
              <w:numId w:val="4"/>
            </w:numPr>
            <w:tabs>
              <w:tab w:pos="2314" w:val="left" w:leader="none"/>
              <w:tab w:pos="9169" w:val="left" w:leader="dot"/>
            </w:tabs>
            <w:spacing w:line="240" w:lineRule="auto" w:before="38" w:after="0"/>
            <w:ind w:left="2314" w:right="0" w:hanging="761"/>
            <w:jc w:val="left"/>
          </w:pPr>
          <w:hyperlink w:history="true" w:anchor="_bookmark125">
            <w:r>
              <w:rPr/>
              <w:t>Impuesto sobre la</w:t>
            </w:r>
            <w:r>
              <w:rPr>
                <w:spacing w:val="-9"/>
              </w:rPr>
              <w:t> </w:t>
            </w:r>
            <w:r>
              <w:rPr/>
              <w:t>renta –ISR</w:t>
              <w:tab/>
              <w:t>68</w:t>
            </w:r>
          </w:hyperlink>
        </w:p>
        <w:p>
          <w:pPr>
            <w:pStyle w:val="TOC8"/>
            <w:numPr>
              <w:ilvl w:val="3"/>
              <w:numId w:val="4"/>
            </w:numPr>
            <w:tabs>
              <w:tab w:pos="2314" w:val="left" w:leader="none"/>
              <w:tab w:pos="9169" w:val="left" w:leader="dot"/>
            </w:tabs>
            <w:spacing w:line="240" w:lineRule="auto" w:before="39" w:after="0"/>
            <w:ind w:left="2314" w:right="0" w:hanging="761"/>
            <w:jc w:val="left"/>
          </w:pPr>
          <w:hyperlink w:history="true" w:anchor="_bookmark127">
            <w:r>
              <w:rPr/>
              <w:t>Impuesto al</w:t>
            </w:r>
            <w:r>
              <w:rPr>
                <w:spacing w:val="-2"/>
              </w:rPr>
              <w:t> </w:t>
            </w:r>
            <w:r>
              <w:rPr/>
              <w:t>valor</w:t>
            </w:r>
            <w:r>
              <w:rPr>
                <w:spacing w:val="-3"/>
              </w:rPr>
              <w:t> </w:t>
            </w:r>
            <w:r>
              <w:rPr/>
              <w:t>agregado</w:t>
              <w:tab/>
              <w:t>68</w:t>
            </w:r>
          </w:hyperlink>
        </w:p>
        <w:p>
          <w:pPr>
            <w:pStyle w:val="TOC6"/>
            <w:numPr>
              <w:ilvl w:val="3"/>
              <w:numId w:val="1"/>
            </w:numPr>
            <w:tabs>
              <w:tab w:pos="1930" w:val="left" w:leader="none"/>
              <w:tab w:pos="9169" w:val="left" w:leader="dot"/>
            </w:tabs>
            <w:spacing w:line="240" w:lineRule="auto" w:before="38" w:after="0"/>
            <w:ind w:left="1930" w:right="0" w:hanging="596"/>
            <w:jc w:val="left"/>
          </w:pPr>
          <w:hyperlink w:history="true" w:anchor="_bookmark131">
            <w:r>
              <w:rPr/>
              <w:t>Esfuerzos administrativos y</w:t>
            </w:r>
            <w:r>
              <w:rPr>
                <w:spacing w:val="-10"/>
              </w:rPr>
              <w:t> </w:t>
            </w:r>
            <w:r>
              <w:rPr/>
              <w:t>crecimiento</w:t>
            </w:r>
            <w:r>
              <w:rPr>
                <w:spacing w:val="-2"/>
              </w:rPr>
              <w:t> </w:t>
            </w:r>
            <w:r>
              <w:rPr/>
              <w:t>económico</w:t>
              <w:tab/>
              <w:t>70</w:t>
            </w:r>
          </w:hyperlink>
        </w:p>
        <w:p>
          <w:pPr>
            <w:pStyle w:val="TOC4"/>
            <w:numPr>
              <w:ilvl w:val="2"/>
              <w:numId w:val="1"/>
            </w:numPr>
            <w:tabs>
              <w:tab w:pos="1465" w:val="left" w:leader="none"/>
              <w:tab w:pos="9169" w:val="left" w:leader="dot"/>
            </w:tabs>
            <w:spacing w:line="240" w:lineRule="auto" w:before="37" w:after="0"/>
            <w:ind w:left="1464" w:right="0" w:hanging="407"/>
            <w:jc w:val="left"/>
          </w:pPr>
          <w:hyperlink w:history="true" w:anchor="_bookmark133">
            <w:r>
              <w:rPr/>
              <w:t>Ejecución del</w:t>
            </w:r>
            <w:r>
              <w:rPr>
                <w:spacing w:val="-2"/>
              </w:rPr>
              <w:t> </w:t>
            </w:r>
            <w:r>
              <w:rPr/>
              <w:t>gasto</w:t>
            </w:r>
            <w:r>
              <w:rPr>
                <w:spacing w:val="-4"/>
              </w:rPr>
              <w:t> </w:t>
            </w:r>
            <w:r>
              <w:rPr/>
              <w:t>público</w:t>
              <w:tab/>
              <w:t>72</w:t>
            </w:r>
          </w:hyperlink>
        </w:p>
        <w:p>
          <w:pPr>
            <w:pStyle w:val="TOC6"/>
            <w:numPr>
              <w:ilvl w:val="3"/>
              <w:numId w:val="1"/>
            </w:numPr>
            <w:tabs>
              <w:tab w:pos="1930" w:val="left" w:leader="none"/>
              <w:tab w:pos="9169" w:val="left" w:leader="dot"/>
            </w:tabs>
            <w:spacing w:line="240" w:lineRule="auto" w:before="38" w:after="0"/>
            <w:ind w:left="1930" w:right="0" w:hanging="596"/>
            <w:jc w:val="left"/>
          </w:pPr>
          <w:hyperlink w:history="true" w:anchor="_bookmark137">
            <w:r>
              <w:rPr/>
              <w:t>Ejecución del gasto público relacionado a Desastres Naturales</w:t>
            </w:r>
            <w:r>
              <w:rPr>
                <w:spacing w:val="-17"/>
              </w:rPr>
              <w:t> </w:t>
            </w:r>
            <w:r>
              <w:rPr/>
              <w:t>y</w:t>
            </w:r>
            <w:r>
              <w:rPr>
                <w:spacing w:val="-5"/>
              </w:rPr>
              <w:t> </w:t>
            </w:r>
            <w:r>
              <w:rPr/>
              <w:t>Calamidades</w:t>
              <w:tab/>
              <w:t>78</w:t>
            </w:r>
          </w:hyperlink>
        </w:p>
        <w:p>
          <w:pPr>
            <w:pStyle w:val="TOC8"/>
            <w:numPr>
              <w:ilvl w:val="3"/>
              <w:numId w:val="5"/>
            </w:numPr>
            <w:tabs>
              <w:tab w:pos="2314" w:val="left" w:leader="none"/>
              <w:tab w:pos="9169" w:val="left" w:leader="dot"/>
            </w:tabs>
            <w:spacing w:line="240" w:lineRule="auto" w:before="37" w:after="0"/>
            <w:ind w:left="2314" w:right="0" w:hanging="761"/>
            <w:jc w:val="left"/>
          </w:pPr>
          <w:hyperlink w:history="true" w:anchor="_bookmark138">
            <w:r>
              <w:rPr/>
              <w:t>Emergencia Sanitaria</w:t>
            </w:r>
            <w:r>
              <w:rPr>
                <w:spacing w:val="-5"/>
              </w:rPr>
              <w:t> </w:t>
            </w:r>
            <w:r>
              <w:rPr/>
              <w:t>por</w:t>
            </w:r>
            <w:r>
              <w:rPr>
                <w:spacing w:val="-3"/>
              </w:rPr>
              <w:t> </w:t>
            </w:r>
            <w:r>
              <w:rPr/>
              <w:t>COVID-19</w:t>
              <w:tab/>
              <w:t>78</w:t>
            </w:r>
          </w:hyperlink>
        </w:p>
        <w:p>
          <w:pPr>
            <w:pStyle w:val="TOC8"/>
            <w:numPr>
              <w:ilvl w:val="3"/>
              <w:numId w:val="5"/>
            </w:numPr>
            <w:tabs>
              <w:tab w:pos="2314" w:val="left" w:leader="none"/>
              <w:tab w:pos="9169" w:val="left" w:leader="dot"/>
            </w:tabs>
            <w:spacing w:line="240" w:lineRule="auto" w:before="40" w:after="0"/>
            <w:ind w:left="2314" w:right="0" w:hanging="761"/>
            <w:jc w:val="left"/>
          </w:pPr>
          <w:hyperlink w:history="true" w:anchor="_bookmark143">
            <w:r>
              <w:rPr/>
              <w:t>Emergencia por ETA</w:t>
            </w:r>
            <w:r>
              <w:rPr>
                <w:spacing w:val="-6"/>
              </w:rPr>
              <w:t> </w:t>
            </w:r>
            <w:r>
              <w:rPr/>
              <w:t>e</w:t>
            </w:r>
            <w:r>
              <w:rPr>
                <w:spacing w:val="-3"/>
              </w:rPr>
              <w:t> </w:t>
            </w:r>
            <w:r>
              <w:rPr/>
              <w:t>IOTA</w:t>
              <w:tab/>
              <w:t>82</w:t>
            </w:r>
          </w:hyperlink>
        </w:p>
        <w:p>
          <w:pPr>
            <w:pStyle w:val="TOC5"/>
            <w:numPr>
              <w:ilvl w:val="2"/>
              <w:numId w:val="1"/>
            </w:numPr>
            <w:tabs>
              <w:tab w:pos="1544" w:val="left" w:leader="none"/>
              <w:tab w:pos="9169" w:val="left" w:leader="dot"/>
            </w:tabs>
            <w:spacing w:line="240" w:lineRule="auto" w:before="37" w:after="0"/>
            <w:ind w:left="1543" w:right="0" w:hanging="430"/>
            <w:jc w:val="left"/>
          </w:pPr>
          <w:hyperlink w:history="true" w:anchor="_bookmark145">
            <w:r>
              <w:rPr/>
              <w:t>Déficit Fiscal y</w:t>
            </w:r>
            <w:r>
              <w:rPr>
                <w:spacing w:val="-10"/>
              </w:rPr>
              <w:t> </w:t>
            </w:r>
            <w:r>
              <w:rPr/>
              <w:t>su</w:t>
            </w:r>
            <w:r>
              <w:rPr>
                <w:spacing w:val="-2"/>
              </w:rPr>
              <w:t> </w:t>
            </w:r>
            <w:r>
              <w:rPr/>
              <w:t>financiamiento</w:t>
              <w:tab/>
              <w:t>84</w:t>
            </w:r>
          </w:hyperlink>
        </w:p>
        <w:p>
          <w:pPr>
            <w:pStyle w:val="TOC5"/>
            <w:numPr>
              <w:ilvl w:val="2"/>
              <w:numId w:val="1"/>
            </w:numPr>
            <w:tabs>
              <w:tab w:pos="1544" w:val="left" w:leader="none"/>
              <w:tab w:pos="9169" w:val="left" w:leader="dot"/>
            </w:tabs>
            <w:spacing w:line="240" w:lineRule="auto" w:before="38" w:after="0"/>
            <w:ind w:left="1543" w:right="0" w:hanging="430"/>
            <w:jc w:val="left"/>
          </w:pPr>
          <w:hyperlink w:history="true" w:anchor="_bookmark147">
            <w:r>
              <w:rPr/>
              <w:t>Resultado del sector público no</w:t>
            </w:r>
            <w:r>
              <w:rPr>
                <w:spacing w:val="-11"/>
              </w:rPr>
              <w:t> </w:t>
            </w:r>
            <w:r>
              <w:rPr/>
              <w:t>financiero</w:t>
            </w:r>
            <w:r>
              <w:rPr>
                <w:spacing w:val="-4"/>
              </w:rPr>
              <w:t> </w:t>
            </w:r>
            <w:r>
              <w:rPr/>
              <w:t>consolidado</w:t>
              <w:tab/>
              <w:t>85</w:t>
            </w:r>
          </w:hyperlink>
        </w:p>
        <w:p>
          <w:pPr>
            <w:pStyle w:val="TOC3"/>
            <w:numPr>
              <w:ilvl w:val="1"/>
              <w:numId w:val="1"/>
            </w:numPr>
            <w:tabs>
              <w:tab w:pos="1050" w:val="left" w:leader="none"/>
              <w:tab w:pos="9169" w:val="left" w:leader="dot"/>
            </w:tabs>
            <w:spacing w:line="240" w:lineRule="auto" w:before="37" w:after="0"/>
            <w:ind w:left="1049" w:right="0" w:hanging="268"/>
            <w:jc w:val="left"/>
          </w:pPr>
          <w:hyperlink w:history="true" w:anchor="_bookmark149">
            <w:r>
              <w:rPr/>
              <w:t>Desempeño de la política fiscal a junio de 2022 y perspectivas</w:t>
            </w:r>
            <w:r>
              <w:rPr>
                <w:spacing w:val="-23"/>
              </w:rPr>
              <w:t> </w:t>
            </w:r>
            <w:r>
              <w:rPr/>
              <w:t>de</w:t>
            </w:r>
            <w:r>
              <w:rPr>
                <w:spacing w:val="-1"/>
              </w:rPr>
              <w:t> </w:t>
            </w:r>
            <w:r>
              <w:rPr/>
              <w:t>cierre</w:t>
              <w:tab/>
              <w:t>87</w:t>
            </w:r>
          </w:hyperlink>
        </w:p>
        <w:p>
          <w:pPr>
            <w:pStyle w:val="TOC5"/>
            <w:numPr>
              <w:ilvl w:val="2"/>
              <w:numId w:val="1"/>
            </w:numPr>
            <w:tabs>
              <w:tab w:pos="1544" w:val="left" w:leader="none"/>
              <w:tab w:pos="9169" w:val="left" w:leader="dot"/>
            </w:tabs>
            <w:spacing w:line="240" w:lineRule="auto" w:before="40" w:after="0"/>
            <w:ind w:left="1543" w:right="0" w:hanging="430"/>
            <w:jc w:val="left"/>
          </w:pPr>
          <w:hyperlink w:history="true" w:anchor="_bookmark150">
            <w:r>
              <w:rPr/>
              <w:t>Ingresos</w:t>
            </w:r>
            <w:r>
              <w:rPr>
                <w:spacing w:val="-2"/>
              </w:rPr>
              <w:t> </w:t>
            </w:r>
            <w:r>
              <w:rPr/>
              <w:t>fiscales</w:t>
              <w:tab/>
              <w:t>87</w:t>
            </w:r>
          </w:hyperlink>
        </w:p>
        <w:p>
          <w:pPr>
            <w:pStyle w:val="TOC6"/>
            <w:numPr>
              <w:ilvl w:val="3"/>
              <w:numId w:val="1"/>
            </w:numPr>
            <w:tabs>
              <w:tab w:pos="1930" w:val="left" w:leader="none"/>
              <w:tab w:pos="9169" w:val="left" w:leader="dot"/>
            </w:tabs>
            <w:spacing w:line="240" w:lineRule="auto" w:before="38" w:after="0"/>
            <w:ind w:left="1930" w:right="0" w:hanging="596"/>
            <w:jc w:val="left"/>
          </w:pPr>
          <w:hyperlink w:history="true" w:anchor="_bookmark153">
            <w:r>
              <w:rPr/>
              <w:t>El impuesto sobre la renta –ISR- y</w:t>
            </w:r>
            <w:r>
              <w:rPr>
                <w:spacing w:val="-18"/>
              </w:rPr>
              <w:t> </w:t>
            </w:r>
            <w:r>
              <w:rPr/>
              <w:t>el</w:t>
            </w:r>
            <w:r>
              <w:rPr>
                <w:spacing w:val="2"/>
              </w:rPr>
              <w:t> </w:t>
            </w:r>
            <w:r>
              <w:rPr/>
              <w:t>ISO</w:t>
              <w:tab/>
              <w:t>89</w:t>
            </w:r>
          </w:hyperlink>
        </w:p>
        <w:p>
          <w:pPr>
            <w:pStyle w:val="TOC6"/>
            <w:numPr>
              <w:ilvl w:val="3"/>
              <w:numId w:val="1"/>
            </w:numPr>
            <w:tabs>
              <w:tab w:pos="1930" w:val="left" w:leader="none"/>
              <w:tab w:pos="9169" w:val="left" w:leader="dot"/>
            </w:tabs>
            <w:spacing w:line="240" w:lineRule="auto" w:before="37" w:after="0"/>
            <w:ind w:left="1930" w:right="0" w:hanging="596"/>
            <w:jc w:val="left"/>
          </w:pPr>
          <w:hyperlink w:history="true" w:anchor="_bookmark154">
            <w:r>
              <w:rPr/>
              <w:t>El Impuesto al</w:t>
            </w:r>
            <w:r>
              <w:rPr>
                <w:spacing w:val="-8"/>
              </w:rPr>
              <w:t> </w:t>
            </w:r>
            <w:r>
              <w:rPr/>
              <w:t>Valor</w:t>
            </w:r>
            <w:r>
              <w:rPr>
                <w:spacing w:val="-1"/>
              </w:rPr>
              <w:t> </w:t>
            </w:r>
            <w:r>
              <w:rPr/>
              <w:t>Agregado</w:t>
              <w:tab/>
              <w:t>90</w:t>
            </w:r>
          </w:hyperlink>
        </w:p>
        <w:p>
          <w:pPr>
            <w:pStyle w:val="TOC6"/>
            <w:numPr>
              <w:ilvl w:val="3"/>
              <w:numId w:val="1"/>
            </w:numPr>
            <w:tabs>
              <w:tab w:pos="1930" w:val="left" w:leader="none"/>
              <w:tab w:pos="9169" w:val="left" w:leader="dot"/>
            </w:tabs>
            <w:spacing w:line="240" w:lineRule="auto" w:before="38" w:after="0"/>
            <w:ind w:left="1930" w:right="0" w:hanging="596"/>
            <w:jc w:val="left"/>
          </w:pPr>
          <w:hyperlink w:history="true" w:anchor="_bookmark157">
            <w:r>
              <w:rPr/>
              <w:t>Estructura de la recaudación</w:t>
            </w:r>
            <w:r>
              <w:rPr>
                <w:spacing w:val="-10"/>
              </w:rPr>
              <w:t> </w:t>
            </w:r>
            <w:r>
              <w:rPr/>
              <w:t>tributaria</w:t>
            </w:r>
            <w:r>
              <w:rPr>
                <w:spacing w:val="-2"/>
              </w:rPr>
              <w:t> </w:t>
            </w:r>
            <w:r>
              <w:rPr/>
              <w:t>acumulada</w:t>
              <w:tab/>
              <w:t>91</w:t>
            </w:r>
          </w:hyperlink>
        </w:p>
        <w:p>
          <w:pPr>
            <w:pStyle w:val="TOC5"/>
            <w:numPr>
              <w:ilvl w:val="2"/>
              <w:numId w:val="1"/>
            </w:numPr>
            <w:tabs>
              <w:tab w:pos="1544" w:val="left" w:leader="none"/>
              <w:tab w:pos="9169" w:val="left" w:leader="dot"/>
            </w:tabs>
            <w:spacing w:line="240" w:lineRule="auto" w:before="37" w:after="0"/>
            <w:ind w:left="1543" w:right="0" w:hanging="430"/>
            <w:jc w:val="left"/>
          </w:pPr>
          <w:hyperlink w:history="true" w:anchor="_bookmark160">
            <w:r>
              <w:rPr/>
              <w:t>Ejecución de</w:t>
            </w:r>
            <w:r>
              <w:rPr>
                <w:spacing w:val="-6"/>
              </w:rPr>
              <w:t> </w:t>
            </w:r>
            <w:r>
              <w:rPr/>
              <w:t>Gasto</w:t>
            </w:r>
            <w:r>
              <w:rPr>
                <w:spacing w:val="-2"/>
              </w:rPr>
              <w:t> </w:t>
            </w:r>
            <w:r>
              <w:rPr/>
              <w:t>Público</w:t>
              <w:tab/>
              <w:t>92</w:t>
            </w:r>
          </w:hyperlink>
        </w:p>
        <w:p>
          <w:pPr>
            <w:pStyle w:val="TOC6"/>
            <w:numPr>
              <w:ilvl w:val="3"/>
              <w:numId w:val="1"/>
            </w:numPr>
            <w:tabs>
              <w:tab w:pos="1930" w:val="left" w:leader="none"/>
              <w:tab w:pos="9169" w:val="left" w:leader="dot"/>
            </w:tabs>
            <w:spacing w:line="276" w:lineRule="auto" w:before="40" w:after="0"/>
            <w:ind w:left="562" w:right="1707" w:firstLine="772"/>
            <w:jc w:val="left"/>
          </w:pPr>
          <w:hyperlink w:history="true" w:anchor="_bookmark162">
            <w:r>
              <w:rPr/>
              <w:t>Ejecución de gastos relacionados a emergencias y calamidades por emergencia</w:t>
            </w:r>
          </w:hyperlink>
          <w:hyperlink w:history="true" w:anchor="_bookmark162">
            <w:r>
              <w:rPr/>
              <w:t> sanitaria</w:t>
            </w:r>
            <w:r>
              <w:rPr>
                <w:spacing w:val="-4"/>
              </w:rPr>
              <w:t> </w:t>
            </w:r>
            <w:r>
              <w:rPr/>
              <w:t>COVID-19</w:t>
              <w:tab/>
            </w:r>
            <w:r>
              <w:rPr>
                <w:spacing w:val="-9"/>
              </w:rPr>
              <w:t>99</w:t>
            </w:r>
          </w:hyperlink>
        </w:p>
        <w:p>
          <w:pPr>
            <w:pStyle w:val="TOC6"/>
            <w:numPr>
              <w:ilvl w:val="3"/>
              <w:numId w:val="1"/>
            </w:numPr>
            <w:tabs>
              <w:tab w:pos="1930" w:val="left" w:leader="none"/>
              <w:tab w:pos="9059" w:val="left" w:leader="dot"/>
            </w:tabs>
            <w:spacing w:line="252" w:lineRule="exact" w:before="0" w:after="0"/>
            <w:ind w:left="1930" w:right="0" w:hanging="596"/>
            <w:jc w:val="left"/>
          </w:pPr>
          <w:hyperlink w:history="true" w:anchor="_bookmark166">
            <w:r>
              <w:rPr/>
              <w:t>ETA</w:t>
            </w:r>
            <w:r>
              <w:rPr>
                <w:spacing w:val="-5"/>
              </w:rPr>
              <w:t> </w:t>
            </w:r>
            <w:r>
              <w:rPr/>
              <w:t>e</w:t>
            </w:r>
            <w:r>
              <w:rPr>
                <w:spacing w:val="-1"/>
              </w:rPr>
              <w:t> </w:t>
            </w:r>
            <w:r>
              <w:rPr/>
              <w:t>IOTA</w:t>
              <w:tab/>
              <w:t>102</w:t>
            </w:r>
          </w:hyperlink>
        </w:p>
        <w:p>
          <w:pPr>
            <w:pStyle w:val="TOC4"/>
            <w:numPr>
              <w:ilvl w:val="2"/>
              <w:numId w:val="1"/>
            </w:numPr>
            <w:tabs>
              <w:tab w:pos="1465" w:val="left" w:leader="none"/>
              <w:tab w:pos="9059" w:val="left" w:leader="dot"/>
            </w:tabs>
            <w:spacing w:line="240" w:lineRule="auto" w:before="37" w:after="0"/>
            <w:ind w:left="1464" w:right="0" w:hanging="407"/>
            <w:jc w:val="left"/>
          </w:pPr>
          <w:hyperlink w:history="true" w:anchor="_bookmark167">
            <w:r>
              <w:rPr/>
              <w:t>Déficit fiscal</w:t>
            </w:r>
            <w:r>
              <w:rPr>
                <w:spacing w:val="-2"/>
              </w:rPr>
              <w:t> </w:t>
            </w:r>
            <w:r>
              <w:rPr/>
              <w:t>y</w:t>
            </w:r>
            <w:r>
              <w:rPr>
                <w:spacing w:val="-5"/>
              </w:rPr>
              <w:t> </w:t>
            </w:r>
            <w:r>
              <w:rPr/>
              <w:t>financiamiento</w:t>
              <w:tab/>
              <w:t>102</w:t>
            </w:r>
          </w:hyperlink>
        </w:p>
        <w:p>
          <w:pPr>
            <w:pStyle w:val="TOC3"/>
            <w:numPr>
              <w:ilvl w:val="1"/>
              <w:numId w:val="1"/>
            </w:numPr>
            <w:tabs>
              <w:tab w:pos="1050" w:val="left" w:leader="none"/>
              <w:tab w:pos="9059" w:val="left" w:leader="dot"/>
            </w:tabs>
            <w:spacing w:line="240" w:lineRule="auto" w:before="40" w:after="0"/>
            <w:ind w:left="1049" w:right="0" w:hanging="268"/>
            <w:jc w:val="left"/>
          </w:pPr>
          <w:hyperlink w:history="true" w:anchor="_bookmark172">
            <w:r>
              <w:rPr/>
              <w:t>Perspectivas de</w:t>
            </w:r>
            <w:r>
              <w:rPr>
                <w:spacing w:val="-6"/>
              </w:rPr>
              <w:t> </w:t>
            </w:r>
            <w:r>
              <w:rPr/>
              <w:t>cierre</w:t>
            </w:r>
            <w:r>
              <w:rPr>
                <w:spacing w:val="-3"/>
              </w:rPr>
              <w:t> </w:t>
            </w:r>
            <w:r>
              <w:rPr/>
              <w:t>2022</w:t>
              <w:tab/>
              <w:t>105</w:t>
            </w:r>
          </w:hyperlink>
        </w:p>
        <w:p>
          <w:pPr>
            <w:pStyle w:val="TOC4"/>
            <w:numPr>
              <w:ilvl w:val="2"/>
              <w:numId w:val="1"/>
            </w:numPr>
            <w:tabs>
              <w:tab w:pos="1489" w:val="left" w:leader="none"/>
              <w:tab w:pos="9059" w:val="left" w:leader="dot"/>
            </w:tabs>
            <w:spacing w:line="240" w:lineRule="auto" w:before="38" w:after="0"/>
            <w:ind w:left="1488" w:right="0" w:hanging="431"/>
            <w:jc w:val="left"/>
          </w:pPr>
          <w:hyperlink w:history="true" w:anchor="_bookmark173">
            <w:r>
              <w:rPr/>
              <w:t>Estimación de</w:t>
            </w:r>
            <w:r>
              <w:rPr>
                <w:spacing w:val="-8"/>
              </w:rPr>
              <w:t> </w:t>
            </w:r>
            <w:r>
              <w:rPr/>
              <w:t>ingresos</w:t>
            </w:r>
            <w:r>
              <w:rPr>
                <w:spacing w:val="-3"/>
              </w:rPr>
              <w:t> </w:t>
            </w:r>
            <w:r>
              <w:rPr/>
              <w:t>fiscales</w:t>
              <w:tab/>
              <w:t>106</w:t>
            </w:r>
          </w:hyperlink>
        </w:p>
        <w:p>
          <w:pPr>
            <w:pStyle w:val="TOC4"/>
            <w:numPr>
              <w:ilvl w:val="2"/>
              <w:numId w:val="1"/>
            </w:numPr>
            <w:tabs>
              <w:tab w:pos="1465" w:val="left" w:leader="none"/>
              <w:tab w:pos="9059" w:val="left" w:leader="dot"/>
            </w:tabs>
            <w:spacing w:line="240" w:lineRule="auto" w:before="37" w:after="0"/>
            <w:ind w:left="1464" w:right="0" w:hanging="407"/>
            <w:jc w:val="left"/>
          </w:pPr>
          <w:hyperlink w:history="true" w:anchor="_bookmark175">
            <w:r>
              <w:rPr/>
              <w:t>Estimación</w:t>
            </w:r>
            <w:r>
              <w:rPr>
                <w:spacing w:val="-1"/>
              </w:rPr>
              <w:t> </w:t>
            </w:r>
            <w:r>
              <w:rPr/>
              <w:t>de</w:t>
            </w:r>
            <w:r>
              <w:rPr>
                <w:spacing w:val="-1"/>
              </w:rPr>
              <w:t> </w:t>
            </w:r>
            <w:r>
              <w:rPr/>
              <w:t>gasto</w:t>
              <w:tab/>
              <w:t>107</w:t>
            </w:r>
          </w:hyperlink>
        </w:p>
        <w:p>
          <w:pPr>
            <w:pStyle w:val="TOC4"/>
            <w:numPr>
              <w:ilvl w:val="2"/>
              <w:numId w:val="1"/>
            </w:numPr>
            <w:tabs>
              <w:tab w:pos="1465" w:val="left" w:leader="none"/>
              <w:tab w:pos="9059" w:val="left" w:leader="dot"/>
            </w:tabs>
            <w:spacing w:line="240" w:lineRule="auto" w:before="37" w:after="0"/>
            <w:ind w:left="1464" w:right="0" w:hanging="407"/>
            <w:jc w:val="left"/>
          </w:pPr>
          <w:hyperlink w:history="true" w:anchor="_bookmark177">
            <w:r>
              <w:rPr/>
              <w:t>Estimación de déficit fiscal</w:t>
            </w:r>
            <w:r>
              <w:rPr>
                <w:spacing w:val="-12"/>
              </w:rPr>
              <w:t> </w:t>
            </w:r>
            <w:r>
              <w:rPr/>
              <w:t>y</w:t>
            </w:r>
            <w:r>
              <w:rPr>
                <w:spacing w:val="-4"/>
              </w:rPr>
              <w:t> </w:t>
            </w:r>
            <w:r>
              <w:rPr/>
              <w:t>financiamiento</w:t>
              <w:tab/>
              <w:t>110</w:t>
            </w:r>
          </w:hyperlink>
        </w:p>
        <w:p>
          <w:pPr>
            <w:pStyle w:val="TOC3"/>
            <w:numPr>
              <w:ilvl w:val="1"/>
              <w:numId w:val="1"/>
            </w:numPr>
            <w:tabs>
              <w:tab w:pos="1050" w:val="left" w:leader="none"/>
              <w:tab w:pos="9059" w:val="left" w:leader="dot"/>
            </w:tabs>
            <w:spacing w:line="240" w:lineRule="auto" w:before="38" w:after="0"/>
            <w:ind w:left="1049" w:right="0" w:hanging="268"/>
            <w:jc w:val="left"/>
          </w:pPr>
          <w:hyperlink w:history="true" w:anchor="_bookmark179">
            <w:r>
              <w:rPr/>
              <w:t>Comportamiento del</w:t>
            </w:r>
            <w:r>
              <w:rPr>
                <w:spacing w:val="-4"/>
              </w:rPr>
              <w:t> </w:t>
            </w:r>
            <w:r>
              <w:rPr/>
              <w:t>endeudamiento</w:t>
            </w:r>
            <w:r>
              <w:rPr>
                <w:spacing w:val="-2"/>
              </w:rPr>
              <w:t> </w:t>
            </w:r>
            <w:r>
              <w:rPr/>
              <w:t>público</w:t>
              <w:tab/>
              <w:t>111</w:t>
            </w:r>
          </w:hyperlink>
        </w:p>
        <w:p>
          <w:pPr>
            <w:pStyle w:val="TOC3"/>
            <w:numPr>
              <w:ilvl w:val="1"/>
              <w:numId w:val="1"/>
            </w:numPr>
            <w:tabs>
              <w:tab w:pos="1050" w:val="left" w:leader="none"/>
              <w:tab w:pos="9059" w:val="left" w:leader="dot"/>
            </w:tabs>
            <w:spacing w:line="240" w:lineRule="auto" w:before="40" w:after="0"/>
            <w:ind w:left="1049" w:right="0" w:hanging="268"/>
            <w:jc w:val="left"/>
          </w:pPr>
          <w:hyperlink w:history="true" w:anchor="_bookmark183">
            <w:r>
              <w:rPr/>
              <w:t>Escenario fiscal de mediano plazo 2023</w:t>
            </w:r>
            <w:r>
              <w:rPr>
                <w:spacing w:val="-7"/>
              </w:rPr>
              <w:t> </w:t>
            </w:r>
            <w:r>
              <w:rPr/>
              <w:t>-</w:t>
            </w:r>
            <w:r>
              <w:rPr>
                <w:spacing w:val="-5"/>
              </w:rPr>
              <w:t> </w:t>
            </w:r>
            <w:r>
              <w:rPr/>
              <w:t>2027</w:t>
              <w:tab/>
              <w:t>114</w:t>
            </w:r>
          </w:hyperlink>
        </w:p>
        <w:p>
          <w:pPr>
            <w:pStyle w:val="TOC4"/>
            <w:numPr>
              <w:ilvl w:val="2"/>
              <w:numId w:val="1"/>
            </w:numPr>
            <w:tabs>
              <w:tab w:pos="1465" w:val="left" w:leader="none"/>
              <w:tab w:pos="9059" w:val="left" w:leader="dot"/>
            </w:tabs>
            <w:spacing w:line="240" w:lineRule="auto" w:before="38" w:after="0"/>
            <w:ind w:left="1464" w:right="0" w:hanging="407"/>
            <w:jc w:val="left"/>
          </w:pPr>
          <w:hyperlink w:history="true" w:anchor="_bookmark184">
            <w:r>
              <w:rPr/>
              <w:t>Objetivos y lineamientos estratégicos de la</w:t>
            </w:r>
            <w:r>
              <w:rPr>
                <w:spacing w:val="-16"/>
              </w:rPr>
              <w:t> </w:t>
            </w:r>
            <w:r>
              <w:rPr/>
              <w:t>política</w:t>
            </w:r>
            <w:r>
              <w:rPr>
                <w:spacing w:val="-2"/>
              </w:rPr>
              <w:t> </w:t>
            </w:r>
            <w:r>
              <w:rPr/>
              <w:t>fiscal</w:t>
              <w:tab/>
              <w:t>114</w:t>
            </w:r>
          </w:hyperlink>
        </w:p>
        <w:p>
          <w:pPr>
            <w:pStyle w:val="TOC4"/>
            <w:numPr>
              <w:ilvl w:val="2"/>
              <w:numId w:val="1"/>
            </w:numPr>
            <w:tabs>
              <w:tab w:pos="1465" w:val="left" w:leader="none"/>
              <w:tab w:pos="9059" w:val="left" w:leader="dot"/>
            </w:tabs>
            <w:spacing w:line="240" w:lineRule="auto" w:before="37" w:after="0"/>
            <w:ind w:left="1464" w:right="0" w:hanging="407"/>
            <w:jc w:val="left"/>
          </w:pPr>
          <w:hyperlink w:history="true" w:anchor="_bookmark185">
            <w:r>
              <w:rPr/>
              <w:t>Estrategia fiscal de</w:t>
            </w:r>
            <w:r>
              <w:rPr>
                <w:spacing w:val="-6"/>
              </w:rPr>
              <w:t> </w:t>
            </w:r>
            <w:r>
              <w:rPr/>
              <w:t>mediano</w:t>
            </w:r>
            <w:r>
              <w:rPr>
                <w:spacing w:val="-1"/>
              </w:rPr>
              <w:t> </w:t>
            </w:r>
            <w:r>
              <w:rPr/>
              <w:t>plazo</w:t>
              <w:tab/>
              <w:t>117</w:t>
            </w:r>
          </w:hyperlink>
        </w:p>
        <w:p>
          <w:pPr>
            <w:pStyle w:val="TOC6"/>
            <w:numPr>
              <w:ilvl w:val="3"/>
              <w:numId w:val="1"/>
            </w:numPr>
            <w:tabs>
              <w:tab w:pos="1930" w:val="left" w:leader="none"/>
              <w:tab w:pos="9059" w:val="left" w:leader="dot"/>
            </w:tabs>
            <w:spacing w:line="240" w:lineRule="auto" w:before="38" w:after="0"/>
            <w:ind w:left="1930" w:right="0" w:hanging="596"/>
            <w:jc w:val="left"/>
          </w:pPr>
          <w:hyperlink w:history="true" w:anchor="_bookmark186">
            <w:r>
              <w:rPr/>
              <w:t>Política tributaria y planificación de las acciones</w:t>
            </w:r>
            <w:r>
              <w:rPr>
                <w:spacing w:val="-26"/>
              </w:rPr>
              <w:t> </w:t>
            </w:r>
            <w:r>
              <w:rPr/>
              <w:t>tributarias</w:t>
            </w:r>
            <w:r>
              <w:rPr>
                <w:spacing w:val="-3"/>
              </w:rPr>
              <w:t> </w:t>
            </w:r>
            <w:r>
              <w:rPr/>
              <w:t>administrativas</w:t>
              <w:tab/>
              <w:t>117</w:t>
            </w:r>
          </w:hyperlink>
        </w:p>
        <w:p>
          <w:pPr>
            <w:pStyle w:val="TOC6"/>
            <w:numPr>
              <w:ilvl w:val="3"/>
              <w:numId w:val="1"/>
            </w:numPr>
            <w:tabs>
              <w:tab w:pos="1930" w:val="left" w:leader="none"/>
              <w:tab w:pos="9059" w:val="left" w:leader="dot"/>
            </w:tabs>
            <w:spacing w:line="240" w:lineRule="auto" w:before="39" w:after="0"/>
            <w:ind w:left="1930" w:right="0" w:hanging="596"/>
            <w:jc w:val="left"/>
          </w:pPr>
          <w:hyperlink w:history="true" w:anchor="_bookmark191">
            <w:r>
              <w:rPr/>
              <w:t>Política pública como base para la</w:t>
            </w:r>
            <w:r>
              <w:rPr>
                <w:spacing w:val="-18"/>
              </w:rPr>
              <w:t> </w:t>
            </w:r>
            <w:r>
              <w:rPr/>
              <w:t>programación</w:t>
            </w:r>
            <w:r>
              <w:rPr>
                <w:spacing w:val="-2"/>
              </w:rPr>
              <w:t> </w:t>
            </w:r>
            <w:r>
              <w:rPr/>
              <w:t>presupuestaria</w:t>
              <w:tab/>
              <w:t>122</w:t>
            </w:r>
          </w:hyperlink>
        </w:p>
        <w:p>
          <w:pPr>
            <w:pStyle w:val="TOC4"/>
            <w:numPr>
              <w:ilvl w:val="2"/>
              <w:numId w:val="1"/>
            </w:numPr>
            <w:tabs>
              <w:tab w:pos="1465" w:val="left" w:leader="none"/>
              <w:tab w:pos="9059" w:val="left" w:leader="dot"/>
            </w:tabs>
            <w:spacing w:line="240" w:lineRule="auto" w:before="38" w:after="0"/>
            <w:ind w:left="1464" w:right="0" w:hanging="407"/>
            <w:jc w:val="left"/>
          </w:pPr>
          <w:hyperlink w:history="true" w:anchor="_bookmark193">
            <w:r>
              <w:rPr/>
              <w:t>Evaluación de la Política General de Gobierno en</w:t>
            </w:r>
            <w:r>
              <w:rPr>
                <w:spacing w:val="-12"/>
              </w:rPr>
              <w:t> </w:t>
            </w:r>
            <w:r>
              <w:rPr/>
              <w:t>el</w:t>
            </w:r>
            <w:r>
              <w:rPr>
                <w:spacing w:val="-2"/>
              </w:rPr>
              <w:t> </w:t>
            </w:r>
            <w:r>
              <w:rPr/>
              <w:t>2021</w:t>
              <w:tab/>
              <w:t>125</w:t>
            </w:r>
          </w:hyperlink>
        </w:p>
        <w:p>
          <w:pPr>
            <w:pStyle w:val="TOC4"/>
            <w:numPr>
              <w:ilvl w:val="2"/>
              <w:numId w:val="1"/>
            </w:numPr>
            <w:tabs>
              <w:tab w:pos="1465" w:val="left" w:leader="none"/>
              <w:tab w:pos="9059" w:val="left" w:leader="dot"/>
            </w:tabs>
            <w:spacing w:line="240" w:lineRule="auto" w:before="37" w:after="40"/>
            <w:ind w:left="1464" w:right="0" w:hanging="407"/>
            <w:jc w:val="left"/>
          </w:pPr>
          <w:hyperlink w:history="true" w:anchor="_bookmark199">
            <w:r>
              <w:rPr/>
              <w:t>Estrategia Fiscal</w:t>
            </w:r>
            <w:r>
              <w:rPr>
                <w:spacing w:val="-4"/>
              </w:rPr>
              <w:t> </w:t>
            </w:r>
            <w:r>
              <w:rPr/>
              <w:t>Ambiental</w:t>
            </w:r>
            <w:r>
              <w:rPr>
                <w:spacing w:val="-1"/>
              </w:rPr>
              <w:t> </w:t>
            </w:r>
            <w:r>
              <w:rPr/>
              <w:t>(EFA)</w:t>
              <w:tab/>
              <w:t>133</w:t>
            </w:r>
          </w:hyperlink>
        </w:p>
        <w:p>
          <w:pPr>
            <w:pStyle w:val="TOC4"/>
            <w:numPr>
              <w:ilvl w:val="2"/>
              <w:numId w:val="1"/>
            </w:numPr>
            <w:tabs>
              <w:tab w:pos="1465" w:val="left" w:leader="none"/>
              <w:tab w:pos="9390" w:val="right" w:leader="dot"/>
            </w:tabs>
            <w:spacing w:line="240" w:lineRule="auto" w:before="162" w:after="0"/>
            <w:ind w:left="1464" w:right="0" w:hanging="407"/>
            <w:jc w:val="left"/>
          </w:pPr>
          <w:hyperlink w:history="true" w:anchor="_bookmark200">
            <w:r>
              <w:rPr/>
              <w:t>Ejercicio de Presupuesto Abierto Ejercicio</w:t>
            </w:r>
            <w:r>
              <w:rPr>
                <w:spacing w:val="-6"/>
              </w:rPr>
              <w:t> </w:t>
            </w:r>
            <w:r>
              <w:rPr/>
              <w:t>Fiscal 2023</w:t>
              <w:tab/>
              <w:t>134</w:t>
            </w:r>
          </w:hyperlink>
        </w:p>
        <w:p>
          <w:pPr>
            <w:pStyle w:val="TOC4"/>
            <w:numPr>
              <w:ilvl w:val="2"/>
              <w:numId w:val="1"/>
            </w:numPr>
            <w:tabs>
              <w:tab w:pos="1465" w:val="left" w:leader="none"/>
              <w:tab w:pos="9390" w:val="right" w:leader="dot"/>
            </w:tabs>
            <w:spacing w:line="240" w:lineRule="auto" w:before="38" w:after="0"/>
            <w:ind w:left="1464" w:right="0" w:hanging="407"/>
            <w:jc w:val="left"/>
          </w:pPr>
          <w:hyperlink w:history="true" w:anchor="_bookmark203">
            <w:r>
              <w:rPr/>
              <w:t>Metas de política fiscal para el período 2023</w:t>
            </w:r>
            <w:r>
              <w:rPr>
                <w:spacing w:val="-1"/>
              </w:rPr>
              <w:t> </w:t>
            </w:r>
            <w:r>
              <w:rPr/>
              <w:t>-</w:t>
            </w:r>
            <w:r>
              <w:rPr>
                <w:spacing w:val="-4"/>
              </w:rPr>
              <w:t> </w:t>
            </w:r>
            <w:r>
              <w:rPr/>
              <w:t>2027</w:t>
              <w:tab/>
              <w:t>138</w:t>
            </w:r>
          </w:hyperlink>
        </w:p>
        <w:p>
          <w:pPr>
            <w:pStyle w:val="TOC3"/>
            <w:numPr>
              <w:ilvl w:val="1"/>
              <w:numId w:val="1"/>
            </w:numPr>
            <w:tabs>
              <w:tab w:pos="1050" w:val="left" w:leader="none"/>
              <w:tab w:pos="9390" w:val="right" w:leader="dot"/>
            </w:tabs>
            <w:spacing w:line="240" w:lineRule="auto" w:before="37" w:after="0"/>
            <w:ind w:left="1049" w:right="0" w:hanging="268"/>
            <w:jc w:val="left"/>
          </w:pPr>
          <w:hyperlink w:history="true" w:anchor="_bookmark204">
            <w:r>
              <w:rPr/>
              <w:t>Proyecciones fiscales de</w:t>
            </w:r>
            <w:r>
              <w:rPr>
                <w:spacing w:val="-5"/>
              </w:rPr>
              <w:t> </w:t>
            </w:r>
            <w:r>
              <w:rPr/>
              <w:t>mediano plazo</w:t>
              <w:tab/>
              <w:t>138</w:t>
            </w:r>
          </w:hyperlink>
        </w:p>
        <w:p>
          <w:pPr>
            <w:pStyle w:val="TOC4"/>
            <w:numPr>
              <w:ilvl w:val="2"/>
              <w:numId w:val="1"/>
            </w:numPr>
            <w:tabs>
              <w:tab w:pos="1465" w:val="left" w:leader="none"/>
              <w:tab w:pos="9390" w:val="right" w:leader="dot"/>
            </w:tabs>
            <w:spacing w:line="240" w:lineRule="auto" w:before="38" w:after="0"/>
            <w:ind w:left="1464" w:right="0" w:hanging="407"/>
            <w:jc w:val="left"/>
          </w:pPr>
          <w:hyperlink w:history="true" w:anchor="_bookmark205">
            <w:r>
              <w:rPr/>
              <w:t>Proyección de</w:t>
            </w:r>
            <w:r>
              <w:rPr>
                <w:spacing w:val="-3"/>
              </w:rPr>
              <w:t> </w:t>
            </w:r>
            <w:r>
              <w:rPr/>
              <w:t>ingresos</w:t>
            </w:r>
            <w:r>
              <w:rPr>
                <w:spacing w:val="-2"/>
              </w:rPr>
              <w:t> </w:t>
            </w:r>
            <w:r>
              <w:rPr/>
              <w:t>fiscales</w:t>
              <w:tab/>
              <w:t>139</w:t>
            </w:r>
          </w:hyperlink>
        </w:p>
        <w:p>
          <w:pPr>
            <w:pStyle w:val="TOC6"/>
            <w:numPr>
              <w:ilvl w:val="3"/>
              <w:numId w:val="1"/>
            </w:numPr>
            <w:tabs>
              <w:tab w:pos="1930" w:val="left" w:leader="none"/>
              <w:tab w:pos="9390" w:val="right" w:leader="dot"/>
            </w:tabs>
            <w:spacing w:line="240" w:lineRule="auto" w:before="39" w:after="0"/>
            <w:ind w:left="1930" w:right="0" w:hanging="596"/>
            <w:jc w:val="left"/>
          </w:pPr>
          <w:hyperlink w:history="true" w:anchor="_bookmark207">
            <w:r>
              <w:rPr/>
              <w:t>Proyecciones de</w:t>
            </w:r>
            <w:r>
              <w:rPr>
                <w:spacing w:val="-1"/>
              </w:rPr>
              <w:t> </w:t>
            </w:r>
            <w:r>
              <w:rPr/>
              <w:t>recaudación</w:t>
            </w:r>
            <w:r>
              <w:rPr>
                <w:spacing w:val="-3"/>
              </w:rPr>
              <w:t> </w:t>
            </w:r>
            <w:r>
              <w:rPr/>
              <w:t>tributaria</w:t>
              <w:tab/>
              <w:t>140</w:t>
            </w:r>
          </w:hyperlink>
        </w:p>
        <w:p>
          <w:pPr>
            <w:pStyle w:val="TOC6"/>
            <w:numPr>
              <w:ilvl w:val="3"/>
              <w:numId w:val="1"/>
            </w:numPr>
            <w:tabs>
              <w:tab w:pos="1930" w:val="left" w:leader="none"/>
              <w:tab w:pos="9390" w:val="right" w:leader="dot"/>
            </w:tabs>
            <w:spacing w:line="240" w:lineRule="auto" w:before="38" w:after="0"/>
            <w:ind w:left="1930" w:right="0" w:hanging="596"/>
            <w:jc w:val="left"/>
          </w:pPr>
          <w:hyperlink w:history="true" w:anchor="_bookmark212">
            <w:r>
              <w:rPr/>
              <w:t>Escenarios alternativos en las proyecciones de</w:t>
            </w:r>
            <w:r>
              <w:rPr>
                <w:spacing w:val="-10"/>
              </w:rPr>
              <w:t> </w:t>
            </w:r>
            <w:r>
              <w:rPr/>
              <w:t>recaudación</w:t>
            </w:r>
            <w:r>
              <w:rPr>
                <w:spacing w:val="-1"/>
              </w:rPr>
              <w:t> </w:t>
            </w:r>
            <w:r>
              <w:rPr/>
              <w:t>tributaria</w:t>
              <w:tab/>
              <w:t>145</w:t>
            </w:r>
          </w:hyperlink>
        </w:p>
        <w:p>
          <w:pPr>
            <w:pStyle w:val="TOC8"/>
            <w:numPr>
              <w:ilvl w:val="3"/>
              <w:numId w:val="6"/>
            </w:numPr>
            <w:tabs>
              <w:tab w:pos="2314" w:val="left" w:leader="none"/>
              <w:tab w:pos="9390" w:val="right" w:leader="dot"/>
            </w:tabs>
            <w:spacing w:line="240" w:lineRule="auto" w:before="37" w:after="0"/>
            <w:ind w:left="2314" w:right="0" w:hanging="761"/>
            <w:jc w:val="left"/>
          </w:pPr>
          <w:hyperlink w:history="true" w:anchor="_bookmark213">
            <w:r>
              <w:rPr/>
              <w:t>Escenario</w:t>
            </w:r>
            <w:r>
              <w:rPr>
                <w:spacing w:val="-1"/>
              </w:rPr>
              <w:t> </w:t>
            </w:r>
            <w:r>
              <w:rPr/>
              <w:t>medio</w:t>
              <w:tab/>
              <w:t>145</w:t>
            </w:r>
          </w:hyperlink>
        </w:p>
        <w:p>
          <w:pPr>
            <w:pStyle w:val="TOC8"/>
            <w:numPr>
              <w:ilvl w:val="3"/>
              <w:numId w:val="6"/>
            </w:numPr>
            <w:tabs>
              <w:tab w:pos="2314" w:val="left" w:leader="none"/>
              <w:tab w:pos="9390" w:val="right" w:leader="dot"/>
            </w:tabs>
            <w:spacing w:line="240" w:lineRule="auto" w:before="38" w:after="0"/>
            <w:ind w:left="2314" w:right="0" w:hanging="761"/>
            <w:jc w:val="left"/>
          </w:pPr>
          <w:hyperlink w:history="true" w:anchor="_bookmark215">
            <w:r>
              <w:rPr/>
              <w:t>Escenario</w:t>
            </w:r>
            <w:r>
              <w:rPr>
                <w:spacing w:val="-1"/>
              </w:rPr>
              <w:t> </w:t>
            </w:r>
            <w:r>
              <w:rPr/>
              <w:t>alto</w:t>
              <w:tab/>
              <w:t>147</w:t>
            </w:r>
          </w:hyperlink>
        </w:p>
        <w:p>
          <w:pPr>
            <w:pStyle w:val="TOC8"/>
            <w:numPr>
              <w:ilvl w:val="3"/>
              <w:numId w:val="6"/>
            </w:numPr>
            <w:tabs>
              <w:tab w:pos="2314" w:val="left" w:leader="none"/>
              <w:tab w:pos="9390" w:val="right" w:leader="dot"/>
            </w:tabs>
            <w:spacing w:line="240" w:lineRule="auto" w:before="39" w:after="0"/>
            <w:ind w:left="2314" w:right="0" w:hanging="761"/>
            <w:jc w:val="left"/>
          </w:pPr>
          <w:hyperlink w:history="true" w:anchor="_bookmark217">
            <w:r>
              <w:rPr/>
              <w:t>Otros</w:t>
            </w:r>
            <w:r>
              <w:rPr>
                <w:spacing w:val="-3"/>
              </w:rPr>
              <w:t> </w:t>
            </w:r>
            <w:r>
              <w:rPr/>
              <w:t>escenarios</w:t>
              <w:tab/>
              <w:t>149</w:t>
            </w:r>
          </w:hyperlink>
        </w:p>
        <w:p>
          <w:pPr>
            <w:pStyle w:val="TOC4"/>
            <w:numPr>
              <w:ilvl w:val="2"/>
              <w:numId w:val="1"/>
            </w:numPr>
            <w:tabs>
              <w:tab w:pos="1465" w:val="left" w:leader="none"/>
              <w:tab w:pos="9390" w:val="right" w:leader="dot"/>
            </w:tabs>
            <w:spacing w:line="240" w:lineRule="auto" w:before="38" w:after="0"/>
            <w:ind w:left="1464" w:right="0" w:hanging="407"/>
            <w:jc w:val="left"/>
          </w:pPr>
          <w:hyperlink w:history="true" w:anchor="_bookmark219">
            <w:r>
              <w:rPr/>
              <w:t>Proyecciones de</w:t>
            </w:r>
            <w:r>
              <w:rPr>
                <w:spacing w:val="-1"/>
              </w:rPr>
              <w:t> </w:t>
            </w:r>
            <w:r>
              <w:rPr/>
              <w:t>gasto público</w:t>
              <w:tab/>
              <w:t>150</w:t>
            </w:r>
          </w:hyperlink>
        </w:p>
        <w:p>
          <w:pPr>
            <w:pStyle w:val="TOC4"/>
            <w:numPr>
              <w:ilvl w:val="2"/>
              <w:numId w:val="1"/>
            </w:numPr>
            <w:tabs>
              <w:tab w:pos="1465" w:val="left" w:leader="none"/>
              <w:tab w:pos="9390" w:val="right" w:leader="dot"/>
            </w:tabs>
            <w:spacing w:line="240" w:lineRule="auto" w:before="37" w:after="0"/>
            <w:ind w:left="1464" w:right="0" w:hanging="407"/>
            <w:jc w:val="left"/>
          </w:pPr>
          <w:hyperlink w:history="true" w:anchor="_bookmark222">
            <w:r>
              <w:rPr/>
              <w:t>Proyección del financiamiento del</w:t>
            </w:r>
            <w:r>
              <w:rPr>
                <w:spacing w:val="-1"/>
              </w:rPr>
              <w:t> </w:t>
            </w:r>
            <w:r>
              <w:rPr/>
              <w:t>déficit</w:t>
            </w:r>
            <w:r>
              <w:rPr>
                <w:spacing w:val="-2"/>
              </w:rPr>
              <w:t> </w:t>
            </w:r>
            <w:r>
              <w:rPr/>
              <w:t>fiscal</w:t>
              <w:tab/>
              <w:t>153</w:t>
            </w:r>
          </w:hyperlink>
        </w:p>
        <w:p>
          <w:pPr>
            <w:pStyle w:val="TOC4"/>
            <w:numPr>
              <w:ilvl w:val="2"/>
              <w:numId w:val="1"/>
            </w:numPr>
            <w:tabs>
              <w:tab w:pos="1465" w:val="left" w:leader="none"/>
              <w:tab w:pos="9390" w:val="right" w:leader="dot"/>
            </w:tabs>
            <w:spacing w:line="240" w:lineRule="auto" w:before="38" w:after="0"/>
            <w:ind w:left="1464" w:right="0" w:hanging="407"/>
            <w:jc w:val="left"/>
          </w:pPr>
          <w:hyperlink w:history="true" w:anchor="_bookmark227">
            <w:r>
              <w:rPr/>
              <w:t>Perspectivas del</w:t>
            </w:r>
            <w:r>
              <w:rPr>
                <w:spacing w:val="-3"/>
              </w:rPr>
              <w:t> </w:t>
            </w:r>
            <w:r>
              <w:rPr/>
              <w:t>endeudamiento público</w:t>
              <w:tab/>
              <w:t>157</w:t>
            </w:r>
          </w:hyperlink>
        </w:p>
        <w:p>
          <w:pPr>
            <w:pStyle w:val="TOC3"/>
            <w:numPr>
              <w:ilvl w:val="1"/>
              <w:numId w:val="1"/>
            </w:numPr>
            <w:tabs>
              <w:tab w:pos="1050" w:val="left" w:leader="none"/>
              <w:tab w:pos="9390" w:val="right" w:leader="dot"/>
            </w:tabs>
            <w:spacing w:line="240" w:lineRule="auto" w:before="37" w:after="0"/>
            <w:ind w:left="1049" w:right="0" w:hanging="268"/>
            <w:jc w:val="left"/>
          </w:pPr>
          <w:hyperlink w:history="true" w:anchor="_bookmark229">
            <w:r>
              <w:rPr/>
              <w:t>La orientación de la</w:t>
            </w:r>
            <w:r>
              <w:rPr>
                <w:spacing w:val="-4"/>
              </w:rPr>
              <w:t> </w:t>
            </w:r>
            <w:r>
              <w:rPr/>
              <w:t>política fiscal</w:t>
              <w:tab/>
              <w:t>159</w:t>
            </w:r>
          </w:hyperlink>
        </w:p>
        <w:p>
          <w:pPr>
            <w:pStyle w:val="TOC3"/>
            <w:numPr>
              <w:ilvl w:val="1"/>
              <w:numId w:val="1"/>
            </w:numPr>
            <w:tabs>
              <w:tab w:pos="1050" w:val="left" w:leader="none"/>
            </w:tabs>
            <w:spacing w:line="240" w:lineRule="auto" w:before="41" w:after="0"/>
            <w:ind w:left="1049" w:right="0" w:hanging="268"/>
            <w:jc w:val="left"/>
          </w:pPr>
          <w:hyperlink w:history="true" w:anchor="_bookmark232">
            <w:r>
              <w:rPr/>
              <w:t>Brechas para alcanzar las metas propuestas en la Política General de Gobierno hacia 2023.</w:t>
            </w:r>
            <w:r>
              <w:rPr>
                <w:spacing w:val="-29"/>
              </w:rPr>
              <w:t> </w:t>
            </w:r>
            <w:r>
              <w:rPr/>
              <w:t>161</w:t>
            </w:r>
          </w:hyperlink>
        </w:p>
        <w:p>
          <w:pPr>
            <w:pStyle w:val="TOC5"/>
            <w:numPr>
              <w:ilvl w:val="2"/>
              <w:numId w:val="1"/>
            </w:numPr>
            <w:tabs>
              <w:tab w:pos="1544" w:val="left" w:leader="none"/>
              <w:tab w:pos="9390" w:val="right" w:leader="dot"/>
            </w:tabs>
            <w:spacing w:line="240" w:lineRule="auto" w:before="37" w:after="0"/>
            <w:ind w:left="1543" w:right="0" w:hanging="430"/>
            <w:jc w:val="left"/>
          </w:pPr>
          <w:hyperlink w:history="true" w:anchor="_bookmark234">
            <w:r>
              <w:rPr/>
              <w:t>Acciones propuestas por Segeplan para mejorar el desempeño de</w:t>
            </w:r>
            <w:r>
              <w:rPr>
                <w:spacing w:val="-10"/>
              </w:rPr>
              <w:t> </w:t>
            </w:r>
            <w:r>
              <w:rPr/>
              <w:t>las</w:t>
            </w:r>
            <w:r>
              <w:rPr>
                <w:spacing w:val="-1"/>
              </w:rPr>
              <w:t> </w:t>
            </w:r>
            <w:r>
              <w:rPr/>
              <w:t>metas</w:t>
              <w:tab/>
              <w:t>162</w:t>
            </w:r>
          </w:hyperlink>
        </w:p>
        <w:p>
          <w:pPr>
            <w:pStyle w:val="TOC1"/>
            <w:ind w:firstLine="0"/>
          </w:pPr>
          <w:hyperlink w:history="true" w:anchor="_TOC_250000">
            <w:r>
              <w:rPr/>
              <w:t>Anexos</w:t>
            </w:r>
          </w:hyperlink>
        </w:p>
        <w:p>
          <w:pPr>
            <w:pStyle w:val="TOC3"/>
            <w:numPr>
              <w:ilvl w:val="1"/>
              <w:numId w:val="7"/>
            </w:numPr>
            <w:tabs>
              <w:tab w:pos="1413" w:val="left" w:leader="none"/>
              <w:tab w:pos="1414" w:val="left" w:leader="none"/>
              <w:tab w:pos="9390" w:val="right" w:leader="dot"/>
            </w:tabs>
            <w:spacing w:line="240" w:lineRule="auto" w:before="33" w:after="0"/>
            <w:ind w:left="1414" w:right="0" w:hanging="632"/>
            <w:jc w:val="left"/>
          </w:pPr>
          <w:hyperlink w:history="true" w:anchor="_bookmark235">
            <w:r>
              <w:rPr/>
              <w:t>Los Ingresos del Gobierno</w:t>
            </w:r>
            <w:r>
              <w:rPr>
                <w:spacing w:val="-3"/>
              </w:rPr>
              <w:t> </w:t>
            </w:r>
            <w:r>
              <w:rPr/>
              <w:t>Central</w:t>
            </w:r>
            <w:r>
              <w:rPr>
                <w:spacing w:val="1"/>
              </w:rPr>
              <w:t> </w:t>
            </w:r>
            <w:r>
              <w:rPr/>
              <w:t>Presupuestario</w:t>
              <w:tab/>
              <w:t>166</w:t>
            </w:r>
          </w:hyperlink>
        </w:p>
        <w:p>
          <w:pPr>
            <w:pStyle w:val="TOC3"/>
            <w:numPr>
              <w:ilvl w:val="1"/>
              <w:numId w:val="7"/>
            </w:numPr>
            <w:tabs>
              <w:tab w:pos="1413" w:val="left" w:leader="none"/>
              <w:tab w:pos="1414" w:val="left" w:leader="none"/>
              <w:tab w:pos="9390" w:val="right" w:leader="dot"/>
            </w:tabs>
            <w:spacing w:line="240" w:lineRule="auto" w:before="40" w:after="0"/>
            <w:ind w:left="1414" w:right="0" w:hanging="632"/>
            <w:jc w:val="left"/>
          </w:pPr>
          <w:hyperlink w:history="true" w:anchor="_bookmark236">
            <w:r>
              <w:rPr/>
              <w:t>El gasto del Gobierno Central Presupuestario</w:t>
              <w:tab/>
              <w:t>168</w:t>
            </w:r>
          </w:hyperlink>
        </w:p>
        <w:p>
          <w:pPr>
            <w:pStyle w:val="TOC3"/>
            <w:numPr>
              <w:ilvl w:val="1"/>
              <w:numId w:val="7"/>
            </w:numPr>
            <w:tabs>
              <w:tab w:pos="1413" w:val="left" w:leader="none"/>
              <w:tab w:pos="1414" w:val="left" w:leader="none"/>
              <w:tab w:pos="9390" w:val="right" w:leader="dot"/>
            </w:tabs>
            <w:spacing w:line="240" w:lineRule="auto" w:before="37" w:after="0"/>
            <w:ind w:left="1414" w:right="0" w:hanging="632"/>
            <w:jc w:val="left"/>
          </w:pPr>
          <w:hyperlink w:history="true" w:anchor="_bookmark237">
            <w:r>
              <w:rPr/>
              <w:t>Transacciones en Activos no Financieros del Gobierno</w:t>
            </w:r>
            <w:r>
              <w:rPr>
                <w:spacing w:val="-11"/>
              </w:rPr>
              <w:t> </w:t>
            </w:r>
            <w:r>
              <w:rPr/>
              <w:t>Central</w:t>
            </w:r>
            <w:r>
              <w:rPr>
                <w:spacing w:val="1"/>
              </w:rPr>
              <w:t> </w:t>
            </w:r>
            <w:r>
              <w:rPr/>
              <w:t>Presupuestario</w:t>
              <w:tab/>
              <w:t>170</w:t>
            </w:r>
          </w:hyperlink>
        </w:p>
        <w:p>
          <w:pPr>
            <w:pStyle w:val="TOC3"/>
            <w:numPr>
              <w:ilvl w:val="1"/>
              <w:numId w:val="7"/>
            </w:numPr>
            <w:tabs>
              <w:tab w:pos="1413" w:val="left" w:leader="none"/>
              <w:tab w:pos="1414" w:val="left" w:leader="none"/>
              <w:tab w:pos="9390" w:val="right" w:leader="dot"/>
            </w:tabs>
            <w:spacing w:line="240" w:lineRule="auto" w:before="38" w:after="0"/>
            <w:ind w:left="1414" w:right="0" w:hanging="632"/>
            <w:jc w:val="left"/>
          </w:pPr>
          <w:hyperlink w:history="true" w:anchor="_bookmark238">
            <w:r>
              <w:rPr/>
              <w:t>Erogación del Gobierno</w:t>
            </w:r>
            <w:r>
              <w:rPr>
                <w:spacing w:val="-3"/>
              </w:rPr>
              <w:t> </w:t>
            </w:r>
            <w:r>
              <w:rPr/>
              <w:t>Central</w:t>
            </w:r>
            <w:r>
              <w:rPr>
                <w:spacing w:val="1"/>
              </w:rPr>
              <w:t> </w:t>
            </w:r>
            <w:r>
              <w:rPr/>
              <w:t>Presupuestario</w:t>
              <w:tab/>
              <w:t>172</w:t>
            </w:r>
          </w:hyperlink>
        </w:p>
        <w:p>
          <w:pPr>
            <w:pStyle w:val="TOC3"/>
            <w:numPr>
              <w:ilvl w:val="1"/>
              <w:numId w:val="7"/>
            </w:numPr>
            <w:tabs>
              <w:tab w:pos="1413" w:val="left" w:leader="none"/>
              <w:tab w:pos="1414" w:val="left" w:leader="none"/>
              <w:tab w:pos="9390" w:val="right" w:leader="dot"/>
            </w:tabs>
            <w:spacing w:line="240" w:lineRule="auto" w:before="37" w:after="0"/>
            <w:ind w:left="1414" w:right="0" w:hanging="632"/>
            <w:jc w:val="left"/>
          </w:pPr>
          <w:hyperlink w:history="true" w:anchor="_bookmark239">
            <w:r>
              <w:rPr/>
              <w:t>Transacciones en Activos y</w:t>
            </w:r>
            <w:r>
              <w:rPr>
                <w:spacing w:val="-3"/>
              </w:rPr>
              <w:t> </w:t>
            </w:r>
            <w:r>
              <w:rPr/>
              <w:t>Pasivos Financieros</w:t>
              <w:tab/>
              <w:t>172</w:t>
            </w:r>
          </w:hyperlink>
        </w:p>
        <w:p>
          <w:pPr>
            <w:pStyle w:val="TOC3"/>
            <w:numPr>
              <w:ilvl w:val="1"/>
              <w:numId w:val="7"/>
            </w:numPr>
            <w:tabs>
              <w:tab w:pos="1413" w:val="left" w:leader="none"/>
              <w:tab w:pos="1414" w:val="left" w:leader="none"/>
              <w:tab w:pos="9390" w:val="right" w:leader="dot"/>
            </w:tabs>
            <w:spacing w:line="240" w:lineRule="auto" w:before="37" w:after="0"/>
            <w:ind w:left="1414" w:right="0" w:hanging="632"/>
            <w:jc w:val="left"/>
          </w:pPr>
          <w:hyperlink w:history="true" w:anchor="_bookmark240">
            <w:r>
              <w:rPr/>
              <w:t>El Gobierno General en</w:t>
            </w:r>
            <w:r>
              <w:rPr>
                <w:spacing w:val="-5"/>
              </w:rPr>
              <w:t> </w:t>
            </w:r>
            <w:r>
              <w:rPr/>
              <w:t>las</w:t>
            </w:r>
            <w:r>
              <w:rPr>
                <w:spacing w:val="-2"/>
              </w:rPr>
              <w:t> </w:t>
            </w:r>
            <w:r>
              <w:rPr/>
              <w:t>EFP</w:t>
              <w:tab/>
              <w:t>174</w:t>
            </w:r>
          </w:hyperlink>
        </w:p>
        <w:p>
          <w:pPr>
            <w:pStyle w:val="TOC3"/>
            <w:numPr>
              <w:ilvl w:val="1"/>
              <w:numId w:val="7"/>
            </w:numPr>
            <w:tabs>
              <w:tab w:pos="1413" w:val="left" w:leader="none"/>
              <w:tab w:pos="1414" w:val="left" w:leader="none"/>
              <w:tab w:pos="9390" w:val="right" w:leader="dot"/>
            </w:tabs>
            <w:spacing w:line="240" w:lineRule="auto" w:before="40" w:after="0"/>
            <w:ind w:left="1414" w:right="0" w:hanging="632"/>
            <w:jc w:val="left"/>
          </w:pPr>
          <w:hyperlink w:history="true" w:anchor="_bookmark241">
            <w:r>
              <w:rPr/>
              <w:t>Los Ingresos del Gobierno</w:t>
            </w:r>
            <w:r>
              <w:rPr>
                <w:spacing w:val="-3"/>
              </w:rPr>
              <w:t> </w:t>
            </w:r>
            <w:r>
              <w:rPr/>
              <w:t>General</w:t>
              <w:tab/>
              <w:t>175</w:t>
            </w:r>
          </w:hyperlink>
        </w:p>
        <w:p>
          <w:pPr>
            <w:pStyle w:val="TOC3"/>
            <w:numPr>
              <w:ilvl w:val="1"/>
              <w:numId w:val="7"/>
            </w:numPr>
            <w:tabs>
              <w:tab w:pos="1413" w:val="left" w:leader="none"/>
              <w:tab w:pos="1414" w:val="left" w:leader="none"/>
              <w:tab w:pos="9390" w:val="right" w:leader="dot"/>
            </w:tabs>
            <w:spacing w:line="240" w:lineRule="auto" w:before="38" w:after="0"/>
            <w:ind w:left="1414" w:right="0" w:hanging="632"/>
            <w:jc w:val="left"/>
          </w:pPr>
          <w:hyperlink w:history="true" w:anchor="_bookmark242">
            <w:r>
              <w:rPr/>
              <w:t>El gasto del Gobierno Central Presupuestario</w:t>
              <w:tab/>
              <w:t>177</w:t>
            </w:r>
          </w:hyperlink>
        </w:p>
        <w:p>
          <w:pPr>
            <w:pStyle w:val="TOC3"/>
            <w:numPr>
              <w:ilvl w:val="1"/>
              <w:numId w:val="7"/>
            </w:numPr>
            <w:tabs>
              <w:tab w:pos="1413" w:val="left" w:leader="none"/>
              <w:tab w:pos="1414" w:val="left" w:leader="none"/>
              <w:tab w:pos="9390" w:val="right" w:leader="dot"/>
            </w:tabs>
            <w:spacing w:line="240" w:lineRule="auto" w:before="37" w:after="0"/>
            <w:ind w:left="1414" w:right="0" w:hanging="632"/>
            <w:jc w:val="left"/>
          </w:pPr>
          <w:hyperlink w:history="true" w:anchor="_bookmark243">
            <w:r>
              <w:rPr/>
              <w:t>Transacciones en Activos no Financieros del</w:t>
            </w:r>
            <w:r>
              <w:rPr>
                <w:spacing w:val="-1"/>
              </w:rPr>
              <w:t> </w:t>
            </w:r>
            <w:r>
              <w:rPr/>
              <w:t>Gobierno</w:t>
            </w:r>
            <w:r>
              <w:rPr>
                <w:spacing w:val="-6"/>
              </w:rPr>
              <w:t> </w:t>
            </w:r>
            <w:r>
              <w:rPr/>
              <w:t>General</w:t>
              <w:tab/>
              <w:t>178</w:t>
            </w:r>
          </w:hyperlink>
        </w:p>
        <w:p>
          <w:pPr>
            <w:pStyle w:val="TOC3"/>
            <w:numPr>
              <w:ilvl w:val="1"/>
              <w:numId w:val="7"/>
            </w:numPr>
            <w:tabs>
              <w:tab w:pos="1413" w:val="left" w:leader="none"/>
              <w:tab w:pos="1414" w:val="left" w:leader="none"/>
              <w:tab w:pos="9390" w:val="right" w:leader="dot"/>
            </w:tabs>
            <w:spacing w:line="240" w:lineRule="auto" w:before="38" w:after="0"/>
            <w:ind w:left="1414" w:right="0" w:hanging="632"/>
            <w:jc w:val="left"/>
          </w:pPr>
          <w:hyperlink w:history="true" w:anchor="_bookmark244">
            <w:r>
              <w:rPr/>
              <w:t>Erogación del</w:t>
            </w:r>
            <w:r>
              <w:rPr>
                <w:spacing w:val="-3"/>
              </w:rPr>
              <w:t> </w:t>
            </w:r>
            <w:r>
              <w:rPr/>
              <w:t>Gobierno General</w:t>
              <w:tab/>
              <w:t>178</w:t>
            </w:r>
          </w:hyperlink>
        </w:p>
        <w:p>
          <w:pPr>
            <w:pStyle w:val="TOC3"/>
            <w:numPr>
              <w:ilvl w:val="1"/>
              <w:numId w:val="7"/>
            </w:numPr>
            <w:tabs>
              <w:tab w:pos="1413" w:val="left" w:leader="none"/>
              <w:tab w:pos="1414" w:val="left" w:leader="none"/>
              <w:tab w:pos="9390" w:val="right" w:leader="dot"/>
            </w:tabs>
            <w:spacing w:line="240" w:lineRule="auto" w:before="40" w:after="0"/>
            <w:ind w:left="1414" w:right="0" w:hanging="632"/>
            <w:jc w:val="left"/>
          </w:pPr>
          <w:hyperlink w:history="true" w:anchor="_bookmark245">
            <w:r>
              <w:rPr/>
              <w:t>Estado de operaciones del Gobierno Central Presupuestario y el</w:t>
            </w:r>
            <w:r>
              <w:rPr>
                <w:spacing w:val="-16"/>
              </w:rPr>
              <w:t> </w:t>
            </w:r>
            <w:r>
              <w:rPr/>
              <w:t>gobierno General</w:t>
              <w:tab/>
              <w:t>179</w:t>
            </w:r>
          </w:hyperlink>
        </w:p>
        <w:p>
          <w:pPr>
            <w:pStyle w:val="TOC3"/>
            <w:numPr>
              <w:ilvl w:val="0"/>
              <w:numId w:val="8"/>
            </w:numPr>
            <w:tabs>
              <w:tab w:pos="1397" w:val="left" w:leader="none"/>
              <w:tab w:pos="1398" w:val="left" w:leader="none"/>
              <w:tab w:pos="9390" w:val="right" w:leader="dot"/>
            </w:tabs>
            <w:spacing w:line="240" w:lineRule="auto" w:before="37" w:after="0"/>
            <w:ind w:left="1397" w:right="0" w:hanging="616"/>
            <w:jc w:val="left"/>
            <w:rPr>
              <w:b/>
            </w:rPr>
          </w:pPr>
          <w:hyperlink w:history="true" w:anchor="_bookmark246">
            <w:r>
              <w:rPr/>
              <w:t>Estrategia Fiscal</w:t>
            </w:r>
            <w:r>
              <w:rPr>
                <w:spacing w:val="-3"/>
              </w:rPr>
              <w:t> </w:t>
            </w:r>
            <w:r>
              <w:rPr/>
              <w:t>Ambiental</w:t>
            </w:r>
            <w:r>
              <w:rPr>
                <w:spacing w:val="-2"/>
              </w:rPr>
              <w:t> </w:t>
            </w:r>
            <w:r>
              <w:rPr/>
              <w:t>(EFA)</w:t>
              <w:tab/>
            </w:r>
            <w:r>
              <w:rPr>
                <w:b/>
              </w:rPr>
              <w:t>180</w:t>
            </w:r>
          </w:hyperlink>
        </w:p>
        <w:p>
          <w:pPr>
            <w:pStyle w:val="TOC3"/>
            <w:numPr>
              <w:ilvl w:val="1"/>
              <w:numId w:val="8"/>
            </w:numPr>
            <w:tabs>
              <w:tab w:pos="1442" w:val="left" w:leader="none"/>
              <w:tab w:pos="1443" w:val="left" w:leader="none"/>
              <w:tab w:pos="9390" w:val="right" w:leader="dot"/>
            </w:tabs>
            <w:spacing w:line="240" w:lineRule="auto" w:before="38" w:after="0"/>
            <w:ind w:left="1442" w:right="0" w:hanging="661"/>
            <w:jc w:val="left"/>
          </w:pPr>
          <w:hyperlink w:history="true" w:anchor="_bookmark247">
            <w:r>
              <w:rPr/>
              <w:t>Lineamientos ambientales en el ámbito del Ministerio de</w:t>
            </w:r>
            <w:r>
              <w:rPr>
                <w:spacing w:val="-8"/>
              </w:rPr>
              <w:t> </w:t>
            </w:r>
            <w:r>
              <w:rPr/>
              <w:t>Finanzas</w:t>
            </w:r>
            <w:r>
              <w:rPr>
                <w:spacing w:val="-1"/>
              </w:rPr>
              <w:t> </w:t>
            </w:r>
            <w:r>
              <w:rPr/>
              <w:t>Públicas</w:t>
              <w:tab/>
              <w:t>180</w:t>
            </w:r>
          </w:hyperlink>
        </w:p>
        <w:p>
          <w:pPr>
            <w:pStyle w:val="TOC3"/>
            <w:numPr>
              <w:ilvl w:val="1"/>
              <w:numId w:val="8"/>
            </w:numPr>
            <w:tabs>
              <w:tab w:pos="1442" w:val="left" w:leader="none"/>
              <w:tab w:pos="1443" w:val="left" w:leader="none"/>
              <w:tab w:pos="9390" w:val="right" w:leader="dot"/>
            </w:tabs>
            <w:spacing w:line="240" w:lineRule="auto" w:before="37" w:after="0"/>
            <w:ind w:left="1442" w:right="0" w:hanging="661"/>
            <w:jc w:val="left"/>
          </w:pPr>
          <w:hyperlink w:history="true" w:anchor="_bookmark248">
            <w:r>
              <w:rPr/>
              <w:t>La Alianza para la Acción sobre Economía</w:t>
            </w:r>
            <w:r>
              <w:rPr>
                <w:spacing w:val="-3"/>
              </w:rPr>
              <w:t> </w:t>
            </w:r>
            <w:r>
              <w:rPr/>
              <w:t>Verde</w:t>
            </w:r>
            <w:r>
              <w:rPr>
                <w:spacing w:val="2"/>
              </w:rPr>
              <w:t> </w:t>
            </w:r>
            <w:r>
              <w:rPr/>
              <w:t>(PAGE)</w:t>
              <w:tab/>
              <w:t>182</w:t>
            </w:r>
          </w:hyperlink>
        </w:p>
      </w:sdtContent>
    </w:sdt>
    <w:p>
      <w:pPr>
        <w:spacing w:after="0" w:line="240" w:lineRule="auto"/>
        <w:jc w:val="left"/>
        <w:sectPr>
          <w:type w:val="continuous"/>
          <w:pgSz w:w="12240" w:h="15840"/>
          <w:pgMar w:top="1250" w:bottom="1479" w:left="1140" w:right="0"/>
        </w:sectPr>
      </w:pPr>
    </w:p>
    <w:p>
      <w:pPr>
        <w:pStyle w:val="BodyText"/>
        <w:spacing w:before="10"/>
        <w:rPr>
          <w:sz w:val="35"/>
        </w:rPr>
      </w:pPr>
    </w:p>
    <w:p>
      <w:pPr>
        <w:pStyle w:val="Heading1"/>
        <w:ind w:right="2536"/>
        <w:jc w:val="center"/>
      </w:pPr>
      <w:r>
        <w:rPr/>
        <w:t>Contenido en tablas</w:t>
      </w:r>
    </w:p>
    <w:p>
      <w:pPr>
        <w:pStyle w:val="BodyText"/>
        <w:tabs>
          <w:tab w:pos="9167" w:val="left" w:leader="dot"/>
        </w:tabs>
        <w:spacing w:before="205"/>
        <w:ind w:left="562"/>
        <w:rPr>
          <w:rFonts w:ascii="Calibri" w:hAnsi="Calibri"/>
        </w:rPr>
      </w:pPr>
      <w:hyperlink w:history="true" w:anchor="_bookmark23">
        <w:r>
          <w:rPr/>
          <w:t>Tabla 1.  Proyecciones de</w:t>
        </w:r>
        <w:r>
          <w:rPr>
            <w:spacing w:val="-10"/>
          </w:rPr>
          <w:t> </w:t>
        </w:r>
        <w:r>
          <w:rPr/>
          <w:t>crecimiento</w:t>
        </w:r>
        <w:r>
          <w:rPr>
            <w:spacing w:val="-1"/>
          </w:rPr>
          <w:t> </w:t>
        </w:r>
        <w:r>
          <w:rPr/>
          <w:t>económico</w:t>
          <w:tab/>
        </w:r>
        <w:r>
          <w:rPr>
            <w:rFonts w:ascii="Calibri" w:hAnsi="Calibri"/>
          </w:rPr>
          <w:t>17</w:t>
        </w:r>
      </w:hyperlink>
    </w:p>
    <w:p>
      <w:pPr>
        <w:pStyle w:val="BodyText"/>
        <w:tabs>
          <w:tab w:pos="9167" w:val="left" w:leader="dot"/>
        </w:tabs>
        <w:spacing w:line="278" w:lineRule="auto" w:before="38"/>
        <w:ind w:left="562" w:right="1704"/>
        <w:rPr>
          <w:rFonts w:ascii="Calibri" w:hAnsi="Calibri"/>
        </w:rPr>
      </w:pPr>
      <w:hyperlink w:history="true" w:anchor="_bookmark25">
        <w:r>
          <w:rPr/>
          <w:t>Tabla 2. Proyecciones de crecimiento económico de Estados Unidos, México, Centro América y</w:t>
        </w:r>
      </w:hyperlink>
      <w:r>
        <w:rPr/>
        <w:t> </w:t>
      </w:r>
      <w:hyperlink w:history="true" w:anchor="_bookmark25">
        <w:r>
          <w:rPr/>
          <w:t>República</w:t>
        </w:r>
        <w:r>
          <w:rPr>
            <w:spacing w:val="-2"/>
          </w:rPr>
          <w:t> </w:t>
        </w:r>
        <w:r>
          <w:rPr/>
          <w:t>Dominicana</w:t>
          <w:tab/>
        </w:r>
        <w:r>
          <w:rPr>
            <w:rFonts w:ascii="Calibri" w:hAnsi="Calibri"/>
            <w:spacing w:val="-8"/>
          </w:rPr>
          <w:t>18</w:t>
        </w:r>
      </w:hyperlink>
    </w:p>
    <w:p>
      <w:pPr>
        <w:pStyle w:val="BodyText"/>
        <w:tabs>
          <w:tab w:pos="9167" w:val="left" w:leader="dot"/>
        </w:tabs>
        <w:spacing w:line="267" w:lineRule="exact"/>
        <w:ind w:left="562"/>
        <w:rPr>
          <w:rFonts w:ascii="Calibri"/>
        </w:rPr>
      </w:pPr>
      <w:hyperlink w:history="true" w:anchor="_bookmark34">
        <w:r>
          <w:rPr/>
          <w:t>Tabla 3.  Precios internacionales de</w:t>
        </w:r>
        <w:r>
          <w:rPr>
            <w:spacing w:val="-11"/>
          </w:rPr>
          <w:t> </w:t>
        </w:r>
        <w:r>
          <w:rPr/>
          <w:t>materias</w:t>
        </w:r>
        <w:r>
          <w:rPr>
            <w:spacing w:val="-2"/>
          </w:rPr>
          <w:t> </w:t>
        </w:r>
        <w:r>
          <w:rPr/>
          <w:t>prima</w:t>
          <w:tab/>
        </w:r>
        <w:r>
          <w:rPr>
            <w:rFonts w:ascii="Calibri"/>
          </w:rPr>
          <w:t>21</w:t>
        </w:r>
      </w:hyperlink>
    </w:p>
    <w:p>
      <w:pPr>
        <w:pStyle w:val="BodyText"/>
        <w:tabs>
          <w:tab w:pos="9167" w:val="left" w:leader="dot"/>
        </w:tabs>
        <w:spacing w:before="39"/>
        <w:ind w:left="562"/>
        <w:rPr>
          <w:rFonts w:ascii="Calibri" w:hAnsi="Calibri"/>
        </w:rPr>
      </w:pPr>
      <w:hyperlink w:history="true" w:anchor="_bookmark43">
        <w:r>
          <w:rPr/>
          <w:t>Tabla 4.  Producto Interno Bruto real por el enfoque de</w:t>
        </w:r>
        <w:r>
          <w:rPr>
            <w:spacing w:val="-16"/>
          </w:rPr>
          <w:t> </w:t>
        </w:r>
        <w:r>
          <w:rPr/>
          <w:t>la</w:t>
        </w:r>
        <w:r>
          <w:rPr>
            <w:spacing w:val="-1"/>
          </w:rPr>
          <w:t> </w:t>
        </w:r>
        <w:r>
          <w:rPr/>
          <w:t>producción</w:t>
          <w:tab/>
        </w:r>
        <w:r>
          <w:rPr>
            <w:rFonts w:ascii="Calibri" w:hAnsi="Calibri"/>
          </w:rPr>
          <w:t>25</w:t>
        </w:r>
      </w:hyperlink>
    </w:p>
    <w:p>
      <w:pPr>
        <w:pStyle w:val="BodyText"/>
        <w:tabs>
          <w:tab w:pos="9167" w:val="left" w:leader="dot"/>
        </w:tabs>
        <w:spacing w:before="41"/>
        <w:ind w:left="562"/>
        <w:rPr>
          <w:rFonts w:ascii="Calibri"/>
        </w:rPr>
      </w:pPr>
      <w:hyperlink w:history="true" w:anchor="_bookmark77">
        <w:r>
          <w:rPr/>
          <w:t>Tabla 5.  Producto</w:t>
        </w:r>
        <w:r>
          <w:rPr>
            <w:spacing w:val="-4"/>
          </w:rPr>
          <w:t> </w:t>
        </w:r>
        <w:r>
          <w:rPr/>
          <w:t>Interno</w:t>
        </w:r>
        <w:r>
          <w:rPr>
            <w:spacing w:val="-3"/>
          </w:rPr>
          <w:t> </w:t>
        </w:r>
        <w:r>
          <w:rPr/>
          <w:t>Bruto</w:t>
          <w:tab/>
        </w:r>
        <w:r>
          <w:rPr>
            <w:rFonts w:ascii="Calibri"/>
          </w:rPr>
          <w:t>43</w:t>
        </w:r>
      </w:hyperlink>
    </w:p>
    <w:p>
      <w:pPr>
        <w:pStyle w:val="BodyText"/>
        <w:tabs>
          <w:tab w:pos="9167" w:val="left" w:leader="dot"/>
        </w:tabs>
        <w:spacing w:before="41"/>
        <w:ind w:left="562"/>
        <w:rPr>
          <w:rFonts w:ascii="Calibri" w:hAnsi="Calibri"/>
        </w:rPr>
      </w:pPr>
      <w:hyperlink w:history="true" w:anchor="_bookmark105">
        <w:r>
          <w:rPr/>
          <w:t>Tabla 6.  Supuestos de mediano plazo de la</w:t>
        </w:r>
        <w:r>
          <w:rPr>
            <w:spacing w:val="-14"/>
          </w:rPr>
          <w:t> </w:t>
        </w:r>
        <w:r>
          <w:rPr/>
          <w:t>economía</w:t>
        </w:r>
        <w:r>
          <w:rPr>
            <w:spacing w:val="-3"/>
          </w:rPr>
          <w:t> </w:t>
        </w:r>
        <w:r>
          <w:rPr/>
          <w:t>internacional</w:t>
          <w:tab/>
        </w:r>
        <w:r>
          <w:rPr>
            <w:rFonts w:ascii="Calibri" w:hAnsi="Calibri"/>
          </w:rPr>
          <w:t>54</w:t>
        </w:r>
      </w:hyperlink>
    </w:p>
    <w:p>
      <w:pPr>
        <w:pStyle w:val="BodyText"/>
        <w:tabs>
          <w:tab w:pos="9167" w:val="left" w:leader="dot"/>
        </w:tabs>
        <w:spacing w:before="38"/>
        <w:ind w:left="562"/>
        <w:rPr>
          <w:rFonts w:ascii="Calibri" w:hAnsi="Calibri"/>
        </w:rPr>
      </w:pPr>
      <w:hyperlink w:history="true" w:anchor="_bookmark111">
        <w:r>
          <w:rPr/>
          <w:t>Tabla 7.  Indicadores</w:t>
        </w:r>
        <w:r>
          <w:rPr>
            <w:spacing w:val="-9"/>
          </w:rPr>
          <w:t> </w:t>
        </w:r>
        <w:r>
          <w:rPr/>
          <w:t>económicos</w:t>
        </w:r>
        <w:r>
          <w:rPr>
            <w:spacing w:val="-1"/>
          </w:rPr>
          <w:t> </w:t>
        </w:r>
        <w:r>
          <w:rPr/>
          <w:t>seleccionados</w:t>
          <w:tab/>
        </w:r>
        <w:r>
          <w:rPr>
            <w:rFonts w:ascii="Calibri" w:hAnsi="Calibri"/>
          </w:rPr>
          <w:t>57</w:t>
        </w:r>
      </w:hyperlink>
    </w:p>
    <w:p>
      <w:pPr>
        <w:pStyle w:val="BodyText"/>
        <w:tabs>
          <w:tab w:pos="9167" w:val="left" w:leader="dot"/>
        </w:tabs>
        <w:spacing w:before="41"/>
        <w:ind w:left="562"/>
        <w:rPr>
          <w:rFonts w:ascii="Calibri" w:hAnsi="Calibri"/>
        </w:rPr>
      </w:pPr>
      <w:hyperlink w:history="true" w:anchor="_bookmark135">
        <w:r>
          <w:rPr/>
          <w:t>Tabla 8.  Ejecución de programas de</w:t>
        </w:r>
        <w:r>
          <w:rPr>
            <w:spacing w:val="-13"/>
          </w:rPr>
          <w:t> </w:t>
        </w:r>
        <w:r>
          <w:rPr/>
          <w:t>entidades</w:t>
        </w:r>
        <w:r>
          <w:rPr>
            <w:spacing w:val="-1"/>
          </w:rPr>
          <w:t> </w:t>
        </w:r>
        <w:r>
          <w:rPr/>
          <w:t>seleccionadas</w:t>
          <w:tab/>
        </w:r>
        <w:r>
          <w:rPr>
            <w:rFonts w:ascii="Calibri" w:hAnsi="Calibri"/>
          </w:rPr>
          <w:t>77</w:t>
        </w:r>
      </w:hyperlink>
    </w:p>
    <w:p>
      <w:pPr>
        <w:pStyle w:val="BodyText"/>
        <w:tabs>
          <w:tab w:pos="9167" w:val="left" w:leader="dot"/>
        </w:tabs>
        <w:spacing w:before="41"/>
        <w:ind w:left="562"/>
        <w:rPr>
          <w:rFonts w:ascii="Calibri" w:hAnsi="Calibri"/>
        </w:rPr>
      </w:pPr>
      <w:hyperlink w:history="true" w:anchor="_bookmark144">
        <w:r>
          <w:rPr/>
          <w:t>Tabla 9.  Seguimiento de Programas en atención a la Depresión</w:t>
        </w:r>
        <w:r>
          <w:rPr>
            <w:spacing w:val="-23"/>
          </w:rPr>
          <w:t> </w:t>
        </w:r>
        <w:r>
          <w:rPr/>
          <w:t>Tropical ETA</w:t>
          <w:tab/>
        </w:r>
        <w:r>
          <w:rPr>
            <w:rFonts w:ascii="Calibri" w:hAnsi="Calibri"/>
          </w:rPr>
          <w:t>83</w:t>
        </w:r>
      </w:hyperlink>
    </w:p>
    <w:p>
      <w:pPr>
        <w:pStyle w:val="BodyText"/>
        <w:tabs>
          <w:tab w:pos="9167" w:val="left" w:leader="dot"/>
        </w:tabs>
        <w:spacing w:before="41"/>
        <w:ind w:left="562"/>
        <w:rPr>
          <w:rFonts w:ascii="Calibri" w:hAnsi="Calibri"/>
        </w:rPr>
      </w:pPr>
      <w:hyperlink w:history="true" w:anchor="_bookmark148">
        <w:r>
          <w:rPr/>
          <w:t>Tabla 10.  Sector Público No Financiero, Cuenta Económica Consolidada (%</w:t>
        </w:r>
        <w:r>
          <w:rPr>
            <w:spacing w:val="-25"/>
          </w:rPr>
          <w:t> </w:t>
        </w:r>
        <w:r>
          <w:rPr/>
          <w:t>del</w:t>
        </w:r>
        <w:r>
          <w:rPr>
            <w:spacing w:val="-1"/>
          </w:rPr>
          <w:t> </w:t>
        </w:r>
        <w:r>
          <w:rPr/>
          <w:t>PIB)</w:t>
          <w:tab/>
        </w:r>
        <w:r>
          <w:rPr>
            <w:rFonts w:ascii="Calibri" w:hAnsi="Calibri"/>
          </w:rPr>
          <w:t>87</w:t>
        </w:r>
      </w:hyperlink>
    </w:p>
    <w:p>
      <w:pPr>
        <w:spacing w:after="0"/>
        <w:rPr>
          <w:rFonts w:ascii="Calibri" w:hAnsi="Calibri"/>
        </w:rPr>
        <w:sectPr>
          <w:type w:val="continuous"/>
          <w:pgSz w:w="12240" w:h="15840"/>
          <w:pgMar w:top="1240" w:bottom="1140" w:left="1140" w:right="0"/>
        </w:sectPr>
      </w:pPr>
    </w:p>
    <w:p>
      <w:pPr>
        <w:pStyle w:val="BodyText"/>
        <w:tabs>
          <w:tab w:pos="9392" w:val="right" w:leader="dot"/>
        </w:tabs>
        <w:spacing w:before="165"/>
        <w:ind w:left="562"/>
        <w:rPr>
          <w:rFonts w:ascii="Calibri" w:hAnsi="Calibri"/>
        </w:rPr>
      </w:pPr>
      <w:hyperlink w:history="true" w:anchor="_bookmark176">
        <w:r>
          <w:rPr/>
          <w:t>Tabla 11.  Estimación de la</w:t>
        </w:r>
        <w:r>
          <w:rPr>
            <w:spacing w:val="-6"/>
          </w:rPr>
          <w:t> </w:t>
        </w:r>
        <w:r>
          <w:rPr/>
          <w:t>ejecución institucional</w:t>
          <w:tab/>
        </w:r>
        <w:r>
          <w:rPr>
            <w:rFonts w:ascii="Calibri" w:hAnsi="Calibri"/>
          </w:rPr>
          <w:t>109</w:t>
        </w:r>
      </w:hyperlink>
    </w:p>
    <w:p>
      <w:pPr>
        <w:pStyle w:val="BodyText"/>
        <w:tabs>
          <w:tab w:pos="9392" w:val="right" w:leader="dot"/>
        </w:tabs>
        <w:spacing w:before="41"/>
        <w:ind w:left="562"/>
        <w:rPr>
          <w:rFonts w:ascii="Calibri" w:hAnsi="Calibri"/>
        </w:rPr>
      </w:pPr>
      <w:hyperlink w:history="true" w:anchor="_bookmark194">
        <w:r>
          <w:rPr/>
          <w:t>Tabla 12.  Avances de</w:t>
        </w:r>
        <w:r>
          <w:rPr>
            <w:spacing w:val="-5"/>
          </w:rPr>
          <w:t> </w:t>
        </w:r>
        <w:r>
          <w:rPr/>
          <w:t>metas estratégicas</w:t>
          <w:tab/>
        </w:r>
        <w:r>
          <w:rPr>
            <w:rFonts w:ascii="Calibri" w:hAnsi="Calibri"/>
          </w:rPr>
          <w:t>127</w:t>
        </w:r>
      </w:hyperlink>
    </w:p>
    <w:p>
      <w:pPr>
        <w:pStyle w:val="BodyText"/>
        <w:tabs>
          <w:tab w:pos="9392" w:val="right" w:leader="dot"/>
        </w:tabs>
        <w:spacing w:before="39"/>
        <w:ind w:left="562"/>
        <w:rPr>
          <w:rFonts w:ascii="Calibri" w:hAnsi="Calibri"/>
        </w:rPr>
      </w:pPr>
      <w:hyperlink w:history="true" w:anchor="_bookmark195">
        <w:r>
          <w:rPr/>
          <w:t>Tabla 13.  Avances de</w:t>
        </w:r>
        <w:r>
          <w:rPr>
            <w:spacing w:val="-5"/>
          </w:rPr>
          <w:t> </w:t>
        </w:r>
        <w:r>
          <w:rPr/>
          <w:t>metas estratégicas</w:t>
          <w:tab/>
        </w:r>
        <w:r>
          <w:rPr>
            <w:rFonts w:ascii="Calibri" w:hAnsi="Calibri"/>
          </w:rPr>
          <w:t>129</w:t>
        </w:r>
      </w:hyperlink>
    </w:p>
    <w:p>
      <w:pPr>
        <w:pStyle w:val="BodyText"/>
        <w:tabs>
          <w:tab w:pos="9392" w:val="right" w:leader="dot"/>
        </w:tabs>
        <w:spacing w:before="41"/>
        <w:ind w:left="562"/>
        <w:rPr>
          <w:rFonts w:ascii="Calibri" w:hAnsi="Calibri"/>
        </w:rPr>
      </w:pPr>
      <w:hyperlink w:history="true" w:anchor="_bookmark196">
        <w:r>
          <w:rPr/>
          <w:t>Tabla 14.  Avances de</w:t>
        </w:r>
        <w:r>
          <w:rPr>
            <w:spacing w:val="-8"/>
          </w:rPr>
          <w:t> </w:t>
        </w:r>
        <w:r>
          <w:rPr/>
          <w:t>metas estratégicas</w:t>
          <w:tab/>
        </w:r>
        <w:r>
          <w:rPr>
            <w:rFonts w:ascii="Calibri" w:hAnsi="Calibri"/>
          </w:rPr>
          <w:t>130</w:t>
        </w:r>
      </w:hyperlink>
    </w:p>
    <w:p>
      <w:pPr>
        <w:pStyle w:val="BodyText"/>
        <w:tabs>
          <w:tab w:pos="9392" w:val="right" w:leader="dot"/>
        </w:tabs>
        <w:spacing w:before="41"/>
        <w:ind w:left="562"/>
        <w:rPr>
          <w:rFonts w:ascii="Calibri" w:hAnsi="Calibri"/>
        </w:rPr>
      </w:pPr>
      <w:hyperlink w:history="true" w:anchor="_bookmark197">
        <w:r>
          <w:rPr/>
          <w:t>Tabla 15.  Avances de</w:t>
        </w:r>
        <w:r>
          <w:rPr>
            <w:spacing w:val="-5"/>
          </w:rPr>
          <w:t> </w:t>
        </w:r>
        <w:r>
          <w:rPr/>
          <w:t>metas estratégicas</w:t>
          <w:tab/>
        </w:r>
        <w:r>
          <w:rPr>
            <w:rFonts w:ascii="Calibri" w:hAnsi="Calibri"/>
          </w:rPr>
          <w:t>131</w:t>
        </w:r>
      </w:hyperlink>
    </w:p>
    <w:p>
      <w:pPr>
        <w:pStyle w:val="BodyText"/>
        <w:tabs>
          <w:tab w:pos="9392" w:val="right" w:leader="dot"/>
        </w:tabs>
        <w:spacing w:before="39"/>
        <w:ind w:left="562"/>
        <w:rPr>
          <w:rFonts w:ascii="Calibri" w:hAnsi="Calibri"/>
        </w:rPr>
      </w:pPr>
      <w:hyperlink w:history="true" w:anchor="_bookmark198">
        <w:r>
          <w:rPr/>
          <w:t>Tabla 16.  Avances de</w:t>
        </w:r>
        <w:r>
          <w:rPr>
            <w:spacing w:val="-5"/>
          </w:rPr>
          <w:t> </w:t>
        </w:r>
        <w:r>
          <w:rPr/>
          <w:t>metas estratégicas</w:t>
          <w:tab/>
        </w:r>
        <w:r>
          <w:rPr>
            <w:rFonts w:ascii="Calibri" w:hAnsi="Calibri"/>
          </w:rPr>
          <w:t>133</w:t>
        </w:r>
      </w:hyperlink>
    </w:p>
    <w:p>
      <w:pPr>
        <w:pStyle w:val="BodyText"/>
        <w:tabs>
          <w:tab w:pos="9390" w:val="right" w:leader="dot"/>
        </w:tabs>
        <w:spacing w:before="41"/>
        <w:ind w:left="562"/>
        <w:rPr>
          <w:rFonts w:ascii="Calibri" w:hAnsi="Calibri"/>
        </w:rPr>
      </w:pPr>
      <w:hyperlink w:history="true" w:anchor="_bookmark208">
        <w:r>
          <w:rPr/>
          <w:t>Tabla 17.  Base de estimación</w:t>
        </w:r>
        <w:r>
          <w:rPr>
            <w:spacing w:val="-5"/>
          </w:rPr>
          <w:t> </w:t>
        </w:r>
        <w:r>
          <w:rPr/>
          <w:t>por</w:t>
        </w:r>
        <w:r>
          <w:rPr>
            <w:spacing w:val="-2"/>
          </w:rPr>
          <w:t> </w:t>
        </w:r>
        <w:r>
          <w:rPr/>
          <w:t>impuesto</w:t>
          <w:tab/>
        </w:r>
        <w:r>
          <w:rPr>
            <w:rFonts w:ascii="Calibri" w:hAnsi="Calibri"/>
          </w:rPr>
          <w:t>142</w:t>
        </w:r>
      </w:hyperlink>
    </w:p>
    <w:p>
      <w:pPr>
        <w:pStyle w:val="BodyText"/>
        <w:tabs>
          <w:tab w:pos="9392" w:val="right" w:leader="dot"/>
        </w:tabs>
        <w:spacing w:before="41"/>
        <w:ind w:left="562"/>
        <w:rPr>
          <w:rFonts w:ascii="Calibri" w:hAnsi="Calibri"/>
        </w:rPr>
      </w:pPr>
      <w:hyperlink w:history="true" w:anchor="_bookmark209">
        <w:r>
          <w:rPr/>
          <w:t>Tabla 18.  Escenario</w:t>
        </w:r>
        <w:r>
          <w:rPr>
            <w:spacing w:val="-3"/>
          </w:rPr>
          <w:t> </w:t>
        </w:r>
        <w:r>
          <w:rPr/>
          <w:t>macroeconómico 2022-2027</w:t>
          <w:tab/>
        </w:r>
        <w:r>
          <w:rPr>
            <w:rFonts w:ascii="Calibri" w:hAnsi="Calibri"/>
          </w:rPr>
          <w:t>143</w:t>
        </w:r>
      </w:hyperlink>
    </w:p>
    <w:p>
      <w:pPr>
        <w:pStyle w:val="BodyText"/>
        <w:tabs>
          <w:tab w:pos="9392" w:val="right" w:leader="dot"/>
        </w:tabs>
        <w:spacing w:before="39"/>
        <w:ind w:left="562"/>
        <w:rPr>
          <w:rFonts w:ascii="Calibri" w:hAnsi="Calibri"/>
        </w:rPr>
      </w:pPr>
      <w:hyperlink w:history="true" w:anchor="_bookmark210">
        <w:r>
          <w:rPr/>
          <w:t>Tabla 19.  Recaudación</w:t>
        </w:r>
        <w:r>
          <w:rPr>
            <w:spacing w:val="-3"/>
          </w:rPr>
          <w:t> </w:t>
        </w:r>
        <w:r>
          <w:rPr/>
          <w:t>tributaria</w:t>
        </w:r>
        <w:r>
          <w:rPr>
            <w:spacing w:val="-2"/>
          </w:rPr>
          <w:t> </w:t>
        </w:r>
        <w:r>
          <w:rPr/>
          <w:t>neta</w:t>
          <w:tab/>
        </w:r>
        <w:r>
          <w:rPr>
            <w:rFonts w:ascii="Calibri" w:hAnsi="Calibri"/>
          </w:rPr>
          <w:t>144</w:t>
        </w:r>
      </w:hyperlink>
    </w:p>
    <w:p>
      <w:pPr>
        <w:pStyle w:val="BodyText"/>
        <w:tabs>
          <w:tab w:pos="9392" w:val="right" w:leader="dot"/>
        </w:tabs>
        <w:spacing w:before="41"/>
        <w:ind w:left="562"/>
        <w:rPr>
          <w:rFonts w:ascii="Calibri" w:hAnsi="Calibri"/>
        </w:rPr>
      </w:pPr>
      <w:hyperlink w:history="true" w:anchor="_bookmark223">
        <w:r>
          <w:rPr/>
          <w:t>Tabla 20.  Situación financiera estimada para Techos Presupuestarios (%</w:t>
        </w:r>
        <w:r>
          <w:rPr>
            <w:spacing w:val="-11"/>
          </w:rPr>
          <w:t> </w:t>
        </w:r>
        <w:r>
          <w:rPr/>
          <w:t>del PIB)</w:t>
          <w:tab/>
        </w:r>
        <w:r>
          <w:rPr>
            <w:rFonts w:ascii="Calibri" w:hAnsi="Calibri"/>
          </w:rPr>
          <w:t>154</w:t>
        </w:r>
      </w:hyperlink>
    </w:p>
    <w:p>
      <w:pPr>
        <w:pStyle w:val="BodyText"/>
        <w:tabs>
          <w:tab w:pos="9392" w:val="right" w:leader="dot"/>
        </w:tabs>
        <w:spacing w:before="41"/>
        <w:ind w:left="562"/>
        <w:rPr>
          <w:rFonts w:ascii="Calibri" w:hAnsi="Calibri"/>
        </w:rPr>
      </w:pPr>
      <w:hyperlink w:history="true" w:anchor="_bookmark224">
        <w:r>
          <w:rPr/>
          <w:t>Tabla 21.  Situación financiera estimada para</w:t>
        </w:r>
        <w:r>
          <w:rPr>
            <w:spacing w:val="-5"/>
          </w:rPr>
          <w:t> </w:t>
        </w:r>
        <w:r>
          <w:rPr/>
          <w:t>Techos Presupuestarios</w:t>
          <w:tab/>
        </w:r>
        <w:r>
          <w:rPr>
            <w:rFonts w:ascii="Calibri" w:hAnsi="Calibri"/>
          </w:rPr>
          <w:t>154</w:t>
        </w:r>
      </w:hyperlink>
    </w:p>
    <w:p>
      <w:pPr>
        <w:pStyle w:val="BodyText"/>
        <w:rPr>
          <w:rFonts w:ascii="Calibri"/>
          <w:sz w:val="24"/>
        </w:rPr>
      </w:pPr>
    </w:p>
    <w:p>
      <w:pPr>
        <w:pStyle w:val="Heading1"/>
        <w:spacing w:before="171"/>
        <w:ind w:right="2536"/>
        <w:jc w:val="center"/>
      </w:pPr>
      <w:r>
        <w:rPr/>
        <w:t>Contenido en gráficos</w:t>
      </w:r>
    </w:p>
    <w:p>
      <w:pPr>
        <w:pStyle w:val="BodyText"/>
        <w:tabs>
          <w:tab w:pos="9169" w:val="left" w:leader="dot"/>
        </w:tabs>
        <w:spacing w:before="202"/>
        <w:ind w:left="562"/>
      </w:pPr>
      <w:hyperlink w:history="true" w:anchor="_bookmark4">
        <w:r>
          <w:rPr/>
          <w:t>Gráfico 1.  Crecimiento de la</w:t>
        </w:r>
        <w:r>
          <w:rPr>
            <w:spacing w:val="-10"/>
          </w:rPr>
          <w:t> </w:t>
        </w:r>
        <w:r>
          <w:rPr/>
          <w:t>economía</w:t>
        </w:r>
        <w:r>
          <w:rPr>
            <w:spacing w:val="-1"/>
          </w:rPr>
          <w:t> </w:t>
        </w:r>
        <w:r>
          <w:rPr/>
          <w:t>mundial</w:t>
          <w:tab/>
          <w:t>10</w:t>
        </w:r>
      </w:hyperlink>
    </w:p>
    <w:p>
      <w:pPr>
        <w:pStyle w:val="BodyText"/>
        <w:tabs>
          <w:tab w:pos="9169" w:val="left" w:leader="dot"/>
        </w:tabs>
        <w:spacing w:before="20"/>
        <w:ind w:left="562"/>
      </w:pPr>
      <w:hyperlink w:history="true" w:anchor="_bookmark5">
        <w:r>
          <w:rPr/>
          <w:t>Gráfico 2  Inflación de la</w:t>
        </w:r>
        <w:r>
          <w:rPr>
            <w:spacing w:val="-8"/>
          </w:rPr>
          <w:t> </w:t>
        </w:r>
        <w:r>
          <w:rPr/>
          <w:t>economía</w:t>
        </w:r>
        <w:r>
          <w:rPr>
            <w:spacing w:val="-1"/>
          </w:rPr>
          <w:t> </w:t>
        </w:r>
        <w:r>
          <w:rPr/>
          <w:t>mundial</w:t>
          <w:tab/>
          <w:t>11</w:t>
        </w:r>
      </w:hyperlink>
    </w:p>
    <w:p>
      <w:pPr>
        <w:pStyle w:val="BodyText"/>
        <w:tabs>
          <w:tab w:pos="9390" w:val="right" w:leader="dot"/>
        </w:tabs>
        <w:spacing w:before="21"/>
        <w:ind w:left="562"/>
      </w:pPr>
      <w:hyperlink w:history="true" w:anchor="_bookmark8">
        <w:r>
          <w:rPr/>
          <w:t>Gráfico 3.  Tasa de desempleo e inflación de EE.UU.</w:t>
        </w:r>
        <w:r>
          <w:rPr>
            <w:spacing w:val="-9"/>
          </w:rPr>
          <w:t> </w:t>
        </w:r>
        <w:r>
          <w:rPr/>
          <w:t>en 2021</w:t>
          <w:tab/>
          <w:t>12</w:t>
        </w:r>
      </w:hyperlink>
    </w:p>
    <w:p>
      <w:pPr>
        <w:pStyle w:val="BodyText"/>
        <w:tabs>
          <w:tab w:pos="9390" w:val="right" w:leader="dot"/>
        </w:tabs>
        <w:spacing w:before="18"/>
        <w:ind w:left="562"/>
      </w:pPr>
      <w:hyperlink w:history="true" w:anchor="_bookmark9">
        <w:r>
          <w:rPr/>
          <w:t>Gráfico 4.  Casos nuevos y población vacunada con esquema completo</w:t>
        </w:r>
        <w:r>
          <w:rPr>
            <w:spacing w:val="-12"/>
          </w:rPr>
          <w:t> </w:t>
        </w:r>
        <w:r>
          <w:rPr/>
          <w:t>en EE.UU</w:t>
          <w:tab/>
          <w:t>12</w:t>
        </w:r>
      </w:hyperlink>
    </w:p>
    <w:p>
      <w:pPr>
        <w:pStyle w:val="BodyText"/>
        <w:tabs>
          <w:tab w:pos="9390" w:val="right" w:leader="dot"/>
        </w:tabs>
        <w:spacing w:before="21"/>
        <w:ind w:left="562"/>
      </w:pPr>
      <w:hyperlink w:history="true" w:anchor="_bookmark11">
        <w:r>
          <w:rPr/>
          <w:t>Gráfico 5.  Tasa de desempleo e inflación de Centro América</w:t>
        </w:r>
        <w:r>
          <w:rPr>
            <w:spacing w:val="-10"/>
          </w:rPr>
          <w:t> </w:t>
        </w:r>
        <w:r>
          <w:rPr/>
          <w:t>en 2021</w:t>
          <w:tab/>
          <w:t>13</w:t>
        </w:r>
      </w:hyperlink>
    </w:p>
    <w:p>
      <w:pPr>
        <w:pStyle w:val="BodyText"/>
        <w:tabs>
          <w:tab w:pos="9390" w:val="right" w:leader="dot"/>
        </w:tabs>
        <w:spacing w:before="20"/>
        <w:ind w:left="562"/>
      </w:pPr>
      <w:hyperlink w:history="true" w:anchor="_bookmark12">
        <w:r>
          <w:rPr/>
          <w:t>Gráfico 6.  Casos nuevos y población vacunada con esquema completo en</w:t>
        </w:r>
        <w:r>
          <w:rPr>
            <w:spacing w:val="-13"/>
          </w:rPr>
          <w:t> </w:t>
        </w:r>
        <w:r>
          <w:rPr/>
          <w:t>Centro</w:t>
        </w:r>
        <w:r>
          <w:rPr>
            <w:spacing w:val="-3"/>
          </w:rPr>
          <w:t> </w:t>
        </w:r>
        <w:r>
          <w:rPr/>
          <w:t>América</w:t>
          <w:tab/>
          <w:t>13</w:t>
        </w:r>
      </w:hyperlink>
    </w:p>
    <w:p>
      <w:pPr>
        <w:pStyle w:val="BodyText"/>
        <w:tabs>
          <w:tab w:pos="9390" w:val="right" w:leader="dot"/>
        </w:tabs>
        <w:spacing w:before="21"/>
        <w:ind w:left="562"/>
      </w:pPr>
      <w:hyperlink w:history="true" w:anchor="_bookmark14">
        <w:r>
          <w:rPr/>
          <w:t>Gráfico 7.  Tasa de desempleo e inflación</w:t>
        </w:r>
        <w:r>
          <w:rPr>
            <w:spacing w:val="-9"/>
          </w:rPr>
          <w:t> </w:t>
        </w:r>
        <w:r>
          <w:rPr/>
          <w:t>de</w:t>
        </w:r>
        <w:r>
          <w:rPr>
            <w:spacing w:val="-2"/>
          </w:rPr>
          <w:t> </w:t>
        </w:r>
        <w:r>
          <w:rPr/>
          <w:t>México</w:t>
          <w:tab/>
          <w:t>14</w:t>
        </w:r>
      </w:hyperlink>
    </w:p>
    <w:p>
      <w:pPr>
        <w:pStyle w:val="BodyText"/>
        <w:tabs>
          <w:tab w:pos="9390" w:val="right" w:leader="dot"/>
        </w:tabs>
        <w:spacing w:before="18"/>
        <w:ind w:left="562"/>
      </w:pPr>
      <w:hyperlink w:history="true" w:anchor="_bookmark15">
        <w:r>
          <w:rPr/>
          <w:t>Gráfico 8.  Casos nuevos y población vacunada con esquema completo</w:t>
        </w:r>
        <w:r>
          <w:rPr>
            <w:spacing w:val="-12"/>
          </w:rPr>
          <w:t> </w:t>
        </w:r>
        <w:r>
          <w:rPr/>
          <w:t>en</w:t>
        </w:r>
        <w:r>
          <w:rPr>
            <w:spacing w:val="-3"/>
          </w:rPr>
          <w:t> </w:t>
        </w:r>
        <w:r>
          <w:rPr/>
          <w:t>México</w:t>
          <w:tab/>
          <w:t>14</w:t>
        </w:r>
      </w:hyperlink>
    </w:p>
    <w:p>
      <w:pPr>
        <w:pStyle w:val="BodyText"/>
        <w:tabs>
          <w:tab w:pos="9390" w:val="right" w:leader="dot"/>
        </w:tabs>
        <w:spacing w:before="21"/>
        <w:ind w:left="562"/>
      </w:pPr>
      <w:hyperlink w:history="true" w:anchor="_bookmark17">
        <w:r>
          <w:rPr/>
          <w:t>Gráfico 9. Tasa de desempleo e inflación de la zona</w:t>
        </w:r>
        <w:r>
          <w:rPr>
            <w:spacing w:val="-6"/>
          </w:rPr>
          <w:t> </w:t>
        </w:r>
        <w:r>
          <w:rPr/>
          <w:t>del</w:t>
        </w:r>
        <w:r>
          <w:rPr>
            <w:spacing w:val="1"/>
          </w:rPr>
          <w:t> </w:t>
        </w:r>
        <w:r>
          <w:rPr/>
          <w:t>euro</w:t>
          <w:tab/>
          <w:t>15</w:t>
        </w:r>
      </w:hyperlink>
    </w:p>
    <w:p>
      <w:pPr>
        <w:pStyle w:val="BodyText"/>
        <w:tabs>
          <w:tab w:pos="9390" w:val="right" w:leader="dot"/>
        </w:tabs>
        <w:spacing w:before="20"/>
        <w:ind w:left="562"/>
      </w:pPr>
      <w:hyperlink w:history="true" w:anchor="_bookmark18">
        <w:r>
          <w:rPr/>
          <w:t>Gráfico 10.  Casos nuevos y población vacunada con esquema completo en la zona</w:t>
        </w:r>
        <w:r>
          <w:rPr>
            <w:spacing w:val="-16"/>
          </w:rPr>
          <w:t> </w:t>
        </w:r>
        <w:r>
          <w:rPr/>
          <w:t>del</w:t>
        </w:r>
        <w:r>
          <w:rPr>
            <w:spacing w:val="-3"/>
          </w:rPr>
          <w:t> </w:t>
        </w:r>
        <w:r>
          <w:rPr/>
          <w:t>euro</w:t>
          <w:tab/>
          <w:t>15</w:t>
        </w:r>
      </w:hyperlink>
    </w:p>
    <w:p>
      <w:pPr>
        <w:pStyle w:val="BodyText"/>
        <w:tabs>
          <w:tab w:pos="9390" w:val="right" w:leader="dot"/>
        </w:tabs>
        <w:spacing w:before="21"/>
        <w:ind w:left="562"/>
      </w:pPr>
      <w:hyperlink w:history="true" w:anchor="_bookmark20">
        <w:r>
          <w:rPr/>
          <w:t>Gráfico 11.  Precios spot de WTI en</w:t>
        </w:r>
        <w:r>
          <w:rPr>
            <w:spacing w:val="-6"/>
          </w:rPr>
          <w:t> </w:t>
        </w:r>
        <w:r>
          <w:rPr/>
          <w:t>2020 y-2021</w:t>
          <w:tab/>
          <w:t>16</w:t>
        </w:r>
      </w:hyperlink>
    </w:p>
    <w:p>
      <w:pPr>
        <w:pStyle w:val="BodyText"/>
        <w:tabs>
          <w:tab w:pos="9390" w:val="right" w:leader="dot"/>
        </w:tabs>
        <w:spacing w:before="19"/>
        <w:ind w:left="562"/>
      </w:pPr>
      <w:hyperlink w:history="true" w:anchor="_bookmark22">
        <w:r>
          <w:rPr/>
          <w:t>Gráfico 12.  Pronóstico de crecimiento de la producción mundial</w:t>
        </w:r>
        <w:r>
          <w:rPr>
            <w:spacing w:val="-6"/>
          </w:rPr>
          <w:t> </w:t>
        </w:r>
        <w:r>
          <w:rPr/>
          <w:t>en</w:t>
        </w:r>
        <w:r>
          <w:rPr>
            <w:spacing w:val="-2"/>
          </w:rPr>
          <w:t> </w:t>
        </w:r>
        <w:r>
          <w:rPr/>
          <w:t>2022</w:t>
          <w:tab/>
          <w:t>17</w:t>
        </w:r>
      </w:hyperlink>
    </w:p>
    <w:p>
      <w:pPr>
        <w:pStyle w:val="BodyText"/>
        <w:tabs>
          <w:tab w:pos="9390" w:val="right" w:leader="dot"/>
        </w:tabs>
        <w:spacing w:before="20"/>
        <w:ind w:left="562"/>
      </w:pPr>
      <w:hyperlink w:history="true" w:anchor="_bookmark31">
        <w:r>
          <w:rPr/>
          <w:t>Gráfico 13. Producción y consumo</w:t>
        </w:r>
        <w:r>
          <w:rPr>
            <w:spacing w:val="-4"/>
          </w:rPr>
          <w:t> </w:t>
        </w:r>
        <w:r>
          <w:rPr/>
          <w:t>de Petróleo</w:t>
          <w:tab/>
          <w:t>20</w:t>
        </w:r>
      </w:hyperlink>
    </w:p>
    <w:p>
      <w:pPr>
        <w:pStyle w:val="BodyText"/>
        <w:tabs>
          <w:tab w:pos="9390" w:val="right" w:leader="dot"/>
        </w:tabs>
        <w:spacing w:before="21"/>
        <w:ind w:left="562"/>
      </w:pPr>
      <w:hyperlink w:history="true" w:anchor="_bookmark32">
        <w:r>
          <w:rPr/>
          <w:t>Gráfico 14.  Precio del Crudo de WTI</w:t>
          <w:tab/>
          <w:t>20</w:t>
        </w:r>
      </w:hyperlink>
    </w:p>
    <w:p>
      <w:pPr>
        <w:pStyle w:val="BodyText"/>
        <w:tabs>
          <w:tab w:pos="9390" w:val="right" w:leader="dot"/>
        </w:tabs>
        <w:spacing w:before="21"/>
        <w:ind w:left="562"/>
      </w:pPr>
      <w:hyperlink w:history="true" w:anchor="_bookmark35">
        <w:r>
          <w:rPr/>
          <w:t>Gráfico 15. Proyecciones de</w:t>
        </w:r>
        <w:r>
          <w:rPr>
            <w:spacing w:val="-1"/>
          </w:rPr>
          <w:t> </w:t>
        </w:r>
        <w:r>
          <w:rPr/>
          <w:t>crecimiento</w:t>
        </w:r>
        <w:r>
          <w:rPr>
            <w:spacing w:val="-1"/>
          </w:rPr>
          <w:t> </w:t>
        </w:r>
        <w:r>
          <w:rPr/>
          <w:t>económico</w:t>
          <w:tab/>
          <w:t>21</w:t>
        </w:r>
      </w:hyperlink>
    </w:p>
    <w:p>
      <w:pPr>
        <w:pStyle w:val="BodyText"/>
        <w:tabs>
          <w:tab w:pos="9390" w:val="right" w:leader="dot"/>
        </w:tabs>
        <w:spacing w:before="18"/>
        <w:ind w:left="562"/>
      </w:pPr>
      <w:hyperlink w:history="true" w:anchor="_bookmark37">
        <w:r>
          <w:rPr/>
          <w:t>Gráfico 16. Participación mundial de la exportación de</w:t>
        </w:r>
        <w:r>
          <w:rPr>
            <w:spacing w:val="-8"/>
          </w:rPr>
          <w:t> </w:t>
        </w:r>
        <w:r>
          <w:rPr/>
          <w:t>materias</w:t>
        </w:r>
        <w:r>
          <w:rPr>
            <w:spacing w:val="1"/>
          </w:rPr>
          <w:t> </w:t>
        </w:r>
        <w:r>
          <w:rPr/>
          <w:t>prima</w:t>
          <w:tab/>
          <w:t>22</w:t>
        </w:r>
      </w:hyperlink>
    </w:p>
    <w:p>
      <w:pPr>
        <w:pStyle w:val="BodyText"/>
        <w:tabs>
          <w:tab w:pos="9390" w:val="right" w:leader="dot"/>
        </w:tabs>
        <w:spacing w:before="20"/>
        <w:ind w:left="562"/>
      </w:pPr>
      <w:hyperlink w:history="true" w:anchor="_bookmark41">
        <w:r>
          <w:rPr/>
          <w:t>Gráfico 17  Contribución al crecimiento económico por el enfoque</w:t>
        </w:r>
        <w:r>
          <w:rPr>
            <w:spacing w:val="-12"/>
          </w:rPr>
          <w:t> </w:t>
        </w:r>
        <w:r>
          <w:rPr/>
          <w:t>del</w:t>
        </w:r>
        <w:r>
          <w:rPr>
            <w:spacing w:val="1"/>
          </w:rPr>
          <w:t> </w:t>
        </w:r>
        <w:r>
          <w:rPr/>
          <w:t>gasto</w:t>
          <w:tab/>
          <w:t>24</w:t>
        </w:r>
      </w:hyperlink>
    </w:p>
    <w:p>
      <w:pPr>
        <w:pStyle w:val="BodyText"/>
        <w:tabs>
          <w:tab w:pos="9390" w:val="right" w:leader="dot"/>
        </w:tabs>
        <w:spacing w:before="21"/>
        <w:ind w:left="562"/>
      </w:pPr>
      <w:hyperlink w:history="true" w:anchor="_bookmark42">
        <w:r>
          <w:rPr/>
          <w:t>Gráfico 18.  Índices de rigor y de movilidad durante la pandemia en 2020</w:t>
        </w:r>
        <w:r>
          <w:rPr>
            <w:spacing w:val="-10"/>
          </w:rPr>
          <w:t> </w:t>
        </w:r>
        <w:r>
          <w:rPr/>
          <w:t>y</w:t>
        </w:r>
        <w:r>
          <w:rPr>
            <w:spacing w:val="-3"/>
          </w:rPr>
          <w:t> </w:t>
        </w:r>
        <w:r>
          <w:rPr/>
          <w:t>2021</w:t>
          <w:tab/>
          <w:t>24</w:t>
        </w:r>
      </w:hyperlink>
    </w:p>
    <w:p>
      <w:pPr>
        <w:pStyle w:val="BodyText"/>
        <w:tabs>
          <w:tab w:pos="9390" w:val="right" w:leader="dot"/>
        </w:tabs>
        <w:spacing w:before="21"/>
        <w:ind w:left="562"/>
      </w:pPr>
      <w:hyperlink w:history="true" w:anchor="_bookmark45">
        <w:r>
          <w:rPr/>
          <w:t>Gráfico 19.  Inflación y tasa interanual de los deflactores</w:t>
        </w:r>
        <w:r>
          <w:rPr>
            <w:spacing w:val="-8"/>
          </w:rPr>
          <w:t> </w:t>
        </w:r>
        <w:r>
          <w:rPr/>
          <w:t>del</w:t>
        </w:r>
        <w:r>
          <w:rPr>
            <w:spacing w:val="1"/>
          </w:rPr>
          <w:t> </w:t>
        </w:r>
        <w:r>
          <w:rPr/>
          <w:t>PIB</w:t>
          <w:tab/>
          <w:t>26</w:t>
        </w:r>
      </w:hyperlink>
    </w:p>
    <w:p>
      <w:pPr>
        <w:pStyle w:val="BodyText"/>
        <w:tabs>
          <w:tab w:pos="9390" w:val="right" w:leader="dot"/>
        </w:tabs>
        <w:spacing w:before="18"/>
        <w:ind w:left="562"/>
      </w:pPr>
      <w:hyperlink w:history="true" w:anchor="_bookmark47">
        <w:r>
          <w:rPr/>
          <w:t>Gráfico 20.  Desempleo y variación de afiliados</w:t>
        </w:r>
        <w:r>
          <w:rPr>
            <w:spacing w:val="-6"/>
          </w:rPr>
          <w:t> </w:t>
        </w:r>
        <w:r>
          <w:rPr/>
          <w:t>al</w:t>
        </w:r>
        <w:r>
          <w:rPr>
            <w:spacing w:val="1"/>
          </w:rPr>
          <w:t> </w:t>
        </w:r>
        <w:r>
          <w:rPr/>
          <w:t>IGSS</w:t>
          <w:tab/>
          <w:t>27</w:t>
        </w:r>
      </w:hyperlink>
    </w:p>
    <w:p>
      <w:pPr>
        <w:pStyle w:val="BodyText"/>
        <w:tabs>
          <w:tab w:pos="9390" w:val="right" w:leader="dot"/>
        </w:tabs>
        <w:spacing w:before="20"/>
        <w:ind w:left="562"/>
      </w:pPr>
      <w:hyperlink w:history="true" w:anchor="_bookmark50">
        <w:r>
          <w:rPr/>
          <w:t>Gráfico 21  La liquidez y los medios</w:t>
        </w:r>
        <w:r>
          <w:rPr>
            <w:spacing w:val="-11"/>
          </w:rPr>
          <w:t> </w:t>
        </w:r>
        <w:r>
          <w:rPr/>
          <w:t>de pago</w:t>
          <w:tab/>
          <w:t>28</w:t>
        </w:r>
      </w:hyperlink>
    </w:p>
    <w:p>
      <w:pPr>
        <w:pStyle w:val="BodyText"/>
        <w:tabs>
          <w:tab w:pos="9390" w:val="right" w:leader="dot"/>
        </w:tabs>
        <w:spacing w:before="21"/>
        <w:ind w:left="562"/>
      </w:pPr>
      <w:hyperlink w:history="true" w:anchor="_bookmark52">
        <w:r>
          <w:rPr/>
          <w:t>Gráfico 22  Crecimiento interanual del crédito del</w:t>
        </w:r>
        <w:r>
          <w:rPr>
            <w:spacing w:val="-10"/>
          </w:rPr>
          <w:t> </w:t>
        </w:r>
        <w:r>
          <w:rPr/>
          <w:t>sistema</w:t>
        </w:r>
        <w:r>
          <w:rPr>
            <w:spacing w:val="-1"/>
          </w:rPr>
          <w:t> </w:t>
        </w:r>
        <w:r>
          <w:rPr/>
          <w:t>bancario</w:t>
          <w:tab/>
          <w:t>30</w:t>
        </w:r>
      </w:hyperlink>
    </w:p>
    <w:p>
      <w:pPr>
        <w:pStyle w:val="BodyText"/>
        <w:tabs>
          <w:tab w:pos="9390" w:val="right" w:leader="dot"/>
        </w:tabs>
        <w:spacing w:before="21"/>
        <w:ind w:left="562"/>
      </w:pPr>
      <w:hyperlink w:history="true" w:anchor="_bookmark56">
        <w:r>
          <w:rPr/>
          <w:t>Gráfico 23.  Cuenta corriente de la balanza de pagos con respecto</w:t>
        </w:r>
        <w:r>
          <w:rPr>
            <w:spacing w:val="-8"/>
          </w:rPr>
          <w:t> </w:t>
        </w:r>
        <w:r>
          <w:rPr/>
          <w:t>el</w:t>
        </w:r>
        <w:r>
          <w:rPr>
            <w:spacing w:val="1"/>
          </w:rPr>
          <w:t> </w:t>
        </w:r>
        <w:r>
          <w:rPr/>
          <w:t>PIB</w:t>
          <w:tab/>
          <w:t>31</w:t>
        </w:r>
      </w:hyperlink>
    </w:p>
    <w:p>
      <w:pPr>
        <w:pStyle w:val="BodyText"/>
        <w:tabs>
          <w:tab w:pos="9390" w:val="right" w:leader="dot"/>
        </w:tabs>
        <w:spacing w:before="19"/>
        <w:ind w:left="562"/>
      </w:pPr>
      <w:hyperlink w:history="true" w:anchor="_bookmark58">
        <w:r>
          <w:rPr/>
          <w:t>Gráfico 24.  Exportaciones FOB de</w:t>
        </w:r>
        <w:r>
          <w:rPr>
            <w:spacing w:val="-4"/>
          </w:rPr>
          <w:t> </w:t>
        </w:r>
        <w:r>
          <w:rPr/>
          <w:t>comercio</w:t>
        </w:r>
        <w:r>
          <w:rPr>
            <w:spacing w:val="-3"/>
          </w:rPr>
          <w:t> </w:t>
        </w:r>
        <w:r>
          <w:rPr/>
          <w:t>exterior</w:t>
          <w:tab/>
          <w:t>33</w:t>
        </w:r>
      </w:hyperlink>
    </w:p>
    <w:p>
      <w:pPr>
        <w:pStyle w:val="BodyText"/>
        <w:tabs>
          <w:tab w:pos="9390" w:val="right" w:leader="dot"/>
        </w:tabs>
        <w:spacing w:before="20"/>
        <w:ind w:left="562"/>
      </w:pPr>
      <w:hyperlink w:history="true" w:anchor="_bookmark59">
        <w:r>
          <w:rPr/>
          <w:t>Gráfico 25.  Exportaciones FOB de</w:t>
        </w:r>
        <w:r>
          <w:rPr>
            <w:spacing w:val="-4"/>
          </w:rPr>
          <w:t> </w:t>
        </w:r>
        <w:r>
          <w:rPr/>
          <w:t>comercio</w:t>
        </w:r>
        <w:r>
          <w:rPr>
            <w:spacing w:val="-3"/>
          </w:rPr>
          <w:t> </w:t>
        </w:r>
        <w:r>
          <w:rPr/>
          <w:t>exterior</w:t>
          <w:tab/>
          <w:t>34</w:t>
        </w:r>
      </w:hyperlink>
    </w:p>
    <w:p>
      <w:pPr>
        <w:pStyle w:val="BodyText"/>
        <w:tabs>
          <w:tab w:pos="9390" w:val="right" w:leader="dot"/>
        </w:tabs>
        <w:spacing w:before="21"/>
        <w:ind w:left="562"/>
      </w:pPr>
      <w:hyperlink w:history="true" w:anchor="_bookmark61">
        <w:r>
          <w:rPr/>
          <w:t>Gráfico 26</w:t>
        </w:r>
        <w:r>
          <w:rPr>
            <w:spacing w:val="52"/>
          </w:rPr>
          <w:t> </w:t>
        </w:r>
        <w:r>
          <w:rPr/>
          <w:t>Remesas familiares</w:t>
          <w:tab/>
          <w:t>35</w:t>
        </w:r>
      </w:hyperlink>
    </w:p>
    <w:p>
      <w:pPr>
        <w:pStyle w:val="BodyText"/>
        <w:tabs>
          <w:tab w:pos="9390" w:val="right" w:leader="dot"/>
        </w:tabs>
        <w:spacing w:before="20"/>
        <w:ind w:left="562"/>
      </w:pPr>
      <w:hyperlink w:history="true" w:anchor="_bookmark63">
        <w:r>
          <w:rPr/>
          <w:t>Gráfico 27 Estructura porcentual de la inversión extranjera directa y Activos</w:t>
        </w:r>
        <w:r>
          <w:rPr>
            <w:spacing w:val="-16"/>
          </w:rPr>
          <w:t> </w:t>
        </w:r>
        <w:r>
          <w:rPr/>
          <w:t>en</w:t>
        </w:r>
        <w:r>
          <w:rPr>
            <w:spacing w:val="-1"/>
          </w:rPr>
          <w:t> </w:t>
        </w:r>
        <w:r>
          <w:rPr/>
          <w:t>Reserva</w:t>
          <w:tab/>
          <w:t>36</w:t>
        </w:r>
      </w:hyperlink>
    </w:p>
    <w:p>
      <w:pPr>
        <w:pStyle w:val="BodyText"/>
        <w:tabs>
          <w:tab w:pos="9390" w:val="right" w:leader="dot"/>
        </w:tabs>
        <w:spacing w:before="19"/>
        <w:ind w:left="562"/>
      </w:pPr>
      <w:hyperlink w:history="true" w:anchor="_bookmark65">
        <w:r>
          <w:rPr/>
          <w:t>Gráfico 28.  Posición de inversión internacional y</w:t>
        </w:r>
        <w:r>
          <w:rPr>
            <w:spacing w:val="-7"/>
          </w:rPr>
          <w:t> </w:t>
        </w:r>
        <w:r>
          <w:rPr/>
          <w:t>deuda externa</w:t>
          <w:tab/>
          <w:t>37</w:t>
        </w:r>
      </w:hyperlink>
    </w:p>
    <w:p>
      <w:pPr>
        <w:pStyle w:val="BodyText"/>
        <w:tabs>
          <w:tab w:pos="9390" w:val="right" w:leader="dot"/>
        </w:tabs>
        <w:spacing w:before="20"/>
        <w:ind w:left="562"/>
      </w:pPr>
      <w:hyperlink w:history="true" w:anchor="_bookmark67">
        <w:r>
          <w:rPr/>
          <w:t>Gráfico 29  Tipo de cambio</w:t>
        </w:r>
        <w:r>
          <w:rPr>
            <w:spacing w:val="-8"/>
          </w:rPr>
          <w:t> </w:t>
        </w:r>
        <w:r>
          <w:rPr/>
          <w:t>de referencia</w:t>
          <w:tab/>
          <w:t>37</w:t>
        </w:r>
      </w:hyperlink>
    </w:p>
    <w:p>
      <w:pPr>
        <w:pStyle w:val="BodyText"/>
        <w:tabs>
          <w:tab w:pos="9390" w:val="right" w:leader="dot"/>
        </w:tabs>
        <w:spacing w:before="21"/>
        <w:ind w:left="562"/>
      </w:pPr>
      <w:hyperlink w:history="true" w:anchor="_bookmark68">
        <w:r>
          <w:rPr/>
          <w:t>Gráfico 30 Índice de tipo de</w:t>
        </w:r>
        <w:r>
          <w:rPr>
            <w:spacing w:val="-5"/>
          </w:rPr>
          <w:t> </w:t>
        </w:r>
        <w:r>
          <w:rPr/>
          <w:t>cambio real</w:t>
          <w:tab/>
          <w:t>38</w:t>
        </w:r>
      </w:hyperlink>
    </w:p>
    <w:p>
      <w:pPr>
        <w:pStyle w:val="BodyText"/>
        <w:tabs>
          <w:tab w:pos="9390" w:val="right" w:leader="dot"/>
        </w:tabs>
        <w:spacing w:before="20"/>
        <w:ind w:left="562"/>
      </w:pPr>
      <w:hyperlink w:history="true" w:anchor="_bookmark71">
        <w:r>
          <w:rPr/>
          <w:t>Gráfico 31.  Índice Mensual de la Actividad Económica a junio</w:t>
        </w:r>
        <w:r>
          <w:rPr>
            <w:spacing w:val="-9"/>
          </w:rPr>
          <w:t> </w:t>
        </w:r>
        <w:r>
          <w:rPr/>
          <w:t>de 2022</w:t>
          <w:tab/>
          <w:t>40</w:t>
        </w:r>
      </w:hyperlink>
    </w:p>
    <w:p>
      <w:pPr>
        <w:spacing w:after="0"/>
        <w:sectPr>
          <w:pgSz w:w="12240" w:h="15840"/>
          <w:pgMar w:header="715" w:footer="957" w:top="1240" w:bottom="1140" w:left="1140" w:right="0"/>
        </w:sectPr>
      </w:pPr>
    </w:p>
    <w:p>
      <w:pPr>
        <w:pStyle w:val="BodyText"/>
        <w:tabs>
          <w:tab w:pos="9169" w:val="left" w:leader="dot"/>
        </w:tabs>
        <w:spacing w:before="162"/>
        <w:ind w:left="562"/>
      </w:pPr>
      <w:hyperlink w:history="true" w:anchor="_bookmark72">
        <w:r>
          <w:rPr/>
          <w:t>Gráfico 32.  Índice Mensual de la Actividad Económica por</w:t>
        </w:r>
        <w:r>
          <w:rPr>
            <w:spacing w:val="-18"/>
          </w:rPr>
          <w:t> </w:t>
        </w:r>
        <w:r>
          <w:rPr/>
          <w:t>Actividad</w:t>
        </w:r>
        <w:r>
          <w:rPr>
            <w:spacing w:val="-1"/>
          </w:rPr>
          <w:t> </w:t>
        </w:r>
        <w:r>
          <w:rPr/>
          <w:t>Económica</w:t>
          <w:tab/>
          <w:t>40</w:t>
        </w:r>
      </w:hyperlink>
    </w:p>
    <w:p>
      <w:pPr>
        <w:pStyle w:val="BodyText"/>
        <w:tabs>
          <w:tab w:pos="9169" w:val="left" w:leader="dot"/>
        </w:tabs>
        <w:spacing w:before="21"/>
        <w:ind w:left="562"/>
      </w:pPr>
      <w:hyperlink w:history="true" w:anchor="_bookmark73">
        <w:r>
          <w:rPr/>
          <w:t>Gráfico 33.  Índice Encuesta de Expectativas Económicas a</w:t>
        </w:r>
        <w:r>
          <w:rPr>
            <w:spacing w:val="-16"/>
          </w:rPr>
          <w:t> </w:t>
        </w:r>
        <w:r>
          <w:rPr/>
          <w:t>junio</w:t>
        </w:r>
        <w:r>
          <w:rPr>
            <w:spacing w:val="-1"/>
          </w:rPr>
          <w:t> </w:t>
        </w:r>
        <w:r>
          <w:rPr/>
          <w:t>2022</w:t>
          <w:tab/>
          <w:t>41</w:t>
        </w:r>
      </w:hyperlink>
    </w:p>
    <w:p>
      <w:pPr>
        <w:pStyle w:val="BodyText"/>
        <w:tabs>
          <w:tab w:pos="9169" w:val="left" w:leader="dot"/>
        </w:tabs>
        <w:spacing w:before="18"/>
        <w:ind w:left="562"/>
      </w:pPr>
      <w:hyperlink w:history="true" w:anchor="_bookmark74">
        <w:r>
          <w:rPr/>
          <w:t>Gráfico 34.  Índice de rigor OXFORD a junio</w:t>
        </w:r>
        <w:r>
          <w:rPr>
            <w:spacing w:val="-12"/>
          </w:rPr>
          <w:t> </w:t>
        </w:r>
        <w:r>
          <w:rPr/>
          <w:t>de 2022</w:t>
          <w:tab/>
          <w:t>41</w:t>
        </w:r>
      </w:hyperlink>
    </w:p>
    <w:p>
      <w:pPr>
        <w:pStyle w:val="BodyText"/>
        <w:tabs>
          <w:tab w:pos="9169" w:val="left" w:leader="dot"/>
        </w:tabs>
        <w:spacing w:before="21"/>
        <w:ind w:left="562"/>
      </w:pPr>
      <w:hyperlink w:history="true" w:anchor="_bookmark76">
        <w:r>
          <w:rPr/>
          <w:t>Gráfico 35.  Producto</w:t>
        </w:r>
        <w:r>
          <w:rPr>
            <w:spacing w:val="-7"/>
          </w:rPr>
          <w:t> </w:t>
        </w:r>
        <w:r>
          <w:rPr/>
          <w:t>Interno</w:t>
        </w:r>
        <w:r>
          <w:rPr>
            <w:spacing w:val="-1"/>
          </w:rPr>
          <w:t> </w:t>
        </w:r>
        <w:r>
          <w:rPr/>
          <w:t>Bruto</w:t>
          <w:tab/>
          <w:t>42</w:t>
        </w:r>
      </w:hyperlink>
    </w:p>
    <w:p>
      <w:pPr>
        <w:pStyle w:val="BodyText"/>
        <w:tabs>
          <w:tab w:pos="9169" w:val="left" w:leader="dot"/>
        </w:tabs>
        <w:spacing w:before="20"/>
        <w:ind w:left="562"/>
      </w:pPr>
      <w:hyperlink w:history="true" w:anchor="_bookmark79">
        <w:r>
          <w:rPr/>
          <w:t>Gráfico 36.</w:t>
        </w:r>
        <w:r>
          <w:rPr>
            <w:spacing w:val="51"/>
          </w:rPr>
          <w:t> </w:t>
        </w:r>
        <w:r>
          <w:rPr/>
          <w:t>Inflación</w:t>
        </w:r>
        <w:r>
          <w:rPr>
            <w:spacing w:val="-2"/>
          </w:rPr>
          <w:t> </w:t>
        </w:r>
        <w:r>
          <w:rPr/>
          <w:t>Interanual</w:t>
          <w:tab/>
          <w:t>44</w:t>
        </w:r>
      </w:hyperlink>
    </w:p>
    <w:p>
      <w:pPr>
        <w:pStyle w:val="BodyText"/>
        <w:tabs>
          <w:tab w:pos="9169" w:val="left" w:leader="dot"/>
        </w:tabs>
        <w:spacing w:before="21"/>
        <w:ind w:left="562"/>
      </w:pPr>
      <w:hyperlink w:history="true" w:anchor="_bookmark80">
        <w:r>
          <w:rPr/>
          <w:t>Gráfico 37.  Inflación interanual por división</w:t>
        </w:r>
        <w:r>
          <w:rPr>
            <w:spacing w:val="-15"/>
          </w:rPr>
          <w:t> </w:t>
        </w:r>
        <w:r>
          <w:rPr/>
          <w:t>del</w:t>
        </w:r>
        <w:r>
          <w:rPr>
            <w:spacing w:val="-1"/>
          </w:rPr>
          <w:t> </w:t>
        </w:r>
        <w:r>
          <w:rPr/>
          <w:t>gasto</w:t>
          <w:tab/>
          <w:t>44</w:t>
        </w:r>
      </w:hyperlink>
    </w:p>
    <w:p>
      <w:pPr>
        <w:pStyle w:val="BodyText"/>
        <w:tabs>
          <w:tab w:pos="9169" w:val="left" w:leader="dot"/>
        </w:tabs>
        <w:spacing w:before="18"/>
        <w:ind w:left="562"/>
      </w:pPr>
      <w:hyperlink w:history="true" w:anchor="_bookmark82">
        <w:r>
          <w:rPr/>
          <w:t>Gráfico 38.</w:t>
        </w:r>
        <w:r>
          <w:rPr>
            <w:spacing w:val="50"/>
          </w:rPr>
          <w:t> </w:t>
        </w:r>
        <w:r>
          <w:rPr/>
          <w:t>Emisión</w:t>
        </w:r>
        <w:r>
          <w:rPr>
            <w:spacing w:val="-4"/>
          </w:rPr>
          <w:t> </w:t>
        </w:r>
        <w:r>
          <w:rPr/>
          <w:t>Monetaria</w:t>
          <w:tab/>
          <w:t>45</w:t>
        </w:r>
      </w:hyperlink>
    </w:p>
    <w:p>
      <w:pPr>
        <w:pStyle w:val="BodyText"/>
        <w:tabs>
          <w:tab w:pos="9169" w:val="left" w:leader="dot"/>
        </w:tabs>
        <w:spacing w:before="21"/>
        <w:ind w:left="562"/>
      </w:pPr>
      <w:hyperlink w:history="true" w:anchor="_bookmark83">
        <w:r>
          <w:rPr/>
          <w:t>Gráfico 39.  Crédito al</w:t>
        </w:r>
        <w:r>
          <w:rPr>
            <w:spacing w:val="-7"/>
          </w:rPr>
          <w:t> </w:t>
        </w:r>
        <w:r>
          <w:rPr/>
          <w:t>sector</w:t>
        </w:r>
        <w:r>
          <w:rPr>
            <w:spacing w:val="-1"/>
          </w:rPr>
          <w:t> </w:t>
        </w:r>
        <w:r>
          <w:rPr/>
          <w:t>privado</w:t>
          <w:tab/>
          <w:t>45</w:t>
        </w:r>
      </w:hyperlink>
    </w:p>
    <w:p>
      <w:pPr>
        <w:pStyle w:val="BodyText"/>
        <w:tabs>
          <w:tab w:pos="9169" w:val="left" w:leader="dot"/>
        </w:tabs>
        <w:spacing w:before="20"/>
        <w:ind w:left="562"/>
      </w:pPr>
      <w:hyperlink w:history="true" w:anchor="_bookmark84">
        <w:r>
          <w:rPr/>
          <w:t>Gráfico 40.  Medios</w:t>
        </w:r>
        <w:r>
          <w:rPr>
            <w:spacing w:val="-5"/>
          </w:rPr>
          <w:t> </w:t>
        </w:r>
        <w:r>
          <w:rPr/>
          <w:t>de</w:t>
        </w:r>
        <w:r>
          <w:rPr>
            <w:spacing w:val="-1"/>
          </w:rPr>
          <w:t> </w:t>
        </w:r>
        <w:r>
          <w:rPr/>
          <w:t>pago</w:t>
          <w:tab/>
          <w:t>46</w:t>
        </w:r>
      </w:hyperlink>
    </w:p>
    <w:p>
      <w:pPr>
        <w:pStyle w:val="BodyText"/>
        <w:tabs>
          <w:tab w:pos="9169" w:val="left" w:leader="dot"/>
        </w:tabs>
        <w:spacing w:before="21"/>
        <w:ind w:left="562"/>
      </w:pPr>
      <w:hyperlink w:history="true" w:anchor="_bookmark85">
        <w:r>
          <w:rPr/>
          <w:t>Gráfico 41.  Tasas activa y pasiva en</w:t>
        </w:r>
        <w:r>
          <w:rPr>
            <w:spacing w:val="-13"/>
          </w:rPr>
          <w:t> </w:t>
        </w:r>
        <w:r>
          <w:rPr/>
          <w:t>moneda</w:t>
        </w:r>
        <w:r>
          <w:rPr>
            <w:spacing w:val="-1"/>
          </w:rPr>
          <w:t> </w:t>
        </w:r>
        <w:r>
          <w:rPr/>
          <w:t>nacional</w:t>
          <w:tab/>
          <w:t>46</w:t>
        </w:r>
      </w:hyperlink>
    </w:p>
    <w:p>
      <w:pPr>
        <w:pStyle w:val="BodyText"/>
        <w:tabs>
          <w:tab w:pos="9169" w:val="left" w:leader="dot"/>
        </w:tabs>
        <w:spacing w:before="18"/>
        <w:ind w:left="562"/>
      </w:pPr>
      <w:hyperlink w:history="true" w:anchor="_bookmark86">
        <w:r>
          <w:rPr/>
          <w:t>Gráfico 42.  Pronóstico del 2022, crecimiento de las principales</w:t>
        </w:r>
        <w:r>
          <w:rPr>
            <w:spacing w:val="-20"/>
          </w:rPr>
          <w:t> </w:t>
        </w:r>
        <w:r>
          <w:rPr/>
          <w:t>variables</w:t>
        </w:r>
        <w:r>
          <w:rPr>
            <w:spacing w:val="-1"/>
          </w:rPr>
          <w:t> </w:t>
        </w:r>
        <w:r>
          <w:rPr/>
          <w:t>monetarias</w:t>
          <w:tab/>
          <w:t>47</w:t>
        </w:r>
      </w:hyperlink>
    </w:p>
    <w:p>
      <w:pPr>
        <w:pStyle w:val="BodyText"/>
        <w:tabs>
          <w:tab w:pos="9169" w:val="left" w:leader="dot"/>
        </w:tabs>
        <w:spacing w:before="21"/>
        <w:ind w:left="562"/>
      </w:pPr>
      <w:hyperlink w:history="true" w:anchor="_bookmark88">
        <w:r>
          <w:rPr/>
          <w:t>Gráfico 43.  Diagrama de Pareto para Exportaciones</w:t>
        </w:r>
        <w:r>
          <w:rPr>
            <w:spacing w:val="-14"/>
          </w:rPr>
          <w:t> </w:t>
        </w:r>
        <w:r>
          <w:rPr/>
          <w:t>por</w:t>
        </w:r>
        <w:r>
          <w:rPr>
            <w:spacing w:val="-1"/>
          </w:rPr>
          <w:t> </w:t>
        </w:r>
        <w:r>
          <w:rPr/>
          <w:t>Producto</w:t>
          <w:tab/>
          <w:t>48</w:t>
        </w:r>
      </w:hyperlink>
    </w:p>
    <w:p>
      <w:pPr>
        <w:pStyle w:val="BodyText"/>
        <w:tabs>
          <w:tab w:pos="9169" w:val="left" w:leader="dot"/>
        </w:tabs>
        <w:spacing w:before="21"/>
        <w:ind w:left="562"/>
      </w:pPr>
      <w:hyperlink w:history="true" w:anchor="_bookmark89">
        <w:r>
          <w:rPr/>
          <w:t>Gráfico 44.  Tasas de Variación de las Exportaciones</w:t>
        </w:r>
        <w:r>
          <w:rPr>
            <w:spacing w:val="-16"/>
          </w:rPr>
          <w:t> </w:t>
        </w:r>
        <w:r>
          <w:rPr/>
          <w:t>por</w:t>
        </w:r>
        <w:r>
          <w:rPr>
            <w:spacing w:val="-2"/>
          </w:rPr>
          <w:t> </w:t>
        </w:r>
        <w:r>
          <w:rPr/>
          <w:t>Producto</w:t>
          <w:tab/>
          <w:t>48</w:t>
        </w:r>
      </w:hyperlink>
    </w:p>
    <w:p>
      <w:pPr>
        <w:pStyle w:val="BodyText"/>
        <w:tabs>
          <w:tab w:pos="9169" w:val="left" w:leader="dot"/>
        </w:tabs>
        <w:spacing w:before="20"/>
        <w:ind w:left="562"/>
      </w:pPr>
      <w:hyperlink w:history="true" w:anchor="_bookmark90">
        <w:r>
          <w:rPr/>
          <w:t>Gráfico 45.  Diagrama de Pareto para Exportaciones</w:t>
        </w:r>
        <w:r>
          <w:rPr>
            <w:spacing w:val="-13"/>
          </w:rPr>
          <w:t> </w:t>
        </w:r>
        <w:r>
          <w:rPr/>
          <w:t>por</w:t>
        </w:r>
        <w:r>
          <w:rPr>
            <w:spacing w:val="-1"/>
          </w:rPr>
          <w:t> </w:t>
        </w:r>
        <w:r>
          <w:rPr/>
          <w:t>País</w:t>
          <w:tab/>
          <w:t>48</w:t>
        </w:r>
      </w:hyperlink>
    </w:p>
    <w:p>
      <w:pPr>
        <w:pStyle w:val="BodyText"/>
        <w:tabs>
          <w:tab w:pos="9169" w:val="left" w:leader="dot"/>
        </w:tabs>
        <w:spacing w:before="19"/>
        <w:ind w:left="562"/>
      </w:pPr>
      <w:hyperlink w:history="true" w:anchor="_bookmark91">
        <w:r>
          <w:rPr/>
          <w:t>Gráfico 46.  Tasas de Variación de las Exportaciones</w:t>
        </w:r>
        <w:r>
          <w:rPr>
            <w:spacing w:val="-15"/>
          </w:rPr>
          <w:t> </w:t>
        </w:r>
        <w:r>
          <w:rPr/>
          <w:t>por</w:t>
        </w:r>
        <w:r>
          <w:rPr>
            <w:spacing w:val="-1"/>
          </w:rPr>
          <w:t> </w:t>
        </w:r>
        <w:r>
          <w:rPr/>
          <w:t>País</w:t>
          <w:tab/>
          <w:t>48</w:t>
        </w:r>
      </w:hyperlink>
    </w:p>
    <w:p>
      <w:pPr>
        <w:pStyle w:val="BodyText"/>
        <w:tabs>
          <w:tab w:pos="9169" w:val="left" w:leader="dot"/>
        </w:tabs>
        <w:spacing w:before="21"/>
        <w:ind w:left="562"/>
      </w:pPr>
      <w:hyperlink w:history="true" w:anchor="_bookmark92">
        <w:r>
          <w:rPr/>
          <w:t>Gráfico 47.  Diagrama de Pareto para Importaciones</w:t>
        </w:r>
        <w:r>
          <w:rPr>
            <w:spacing w:val="-14"/>
          </w:rPr>
          <w:t> </w:t>
        </w:r>
        <w:r>
          <w:rPr/>
          <w:t>por</w:t>
        </w:r>
        <w:r>
          <w:rPr>
            <w:spacing w:val="-1"/>
          </w:rPr>
          <w:t> </w:t>
        </w:r>
        <w:r>
          <w:rPr/>
          <w:t>Producto</w:t>
          <w:tab/>
          <w:t>49</w:t>
        </w:r>
      </w:hyperlink>
    </w:p>
    <w:p>
      <w:pPr>
        <w:pStyle w:val="BodyText"/>
        <w:tabs>
          <w:tab w:pos="9169" w:val="left" w:leader="dot"/>
        </w:tabs>
        <w:spacing w:before="20"/>
        <w:ind w:left="562"/>
      </w:pPr>
      <w:hyperlink w:history="true" w:anchor="_bookmark93">
        <w:r>
          <w:rPr/>
          <w:t>Gráfico 48.  Tasas de Variación de las Importaciones</w:t>
        </w:r>
        <w:r>
          <w:rPr>
            <w:spacing w:val="-17"/>
          </w:rPr>
          <w:t> </w:t>
        </w:r>
        <w:r>
          <w:rPr/>
          <w:t>por</w:t>
        </w:r>
        <w:r>
          <w:rPr>
            <w:spacing w:val="-1"/>
          </w:rPr>
          <w:t> </w:t>
        </w:r>
        <w:r>
          <w:rPr/>
          <w:t>Producto</w:t>
          <w:tab/>
          <w:t>49</w:t>
        </w:r>
      </w:hyperlink>
    </w:p>
    <w:p>
      <w:pPr>
        <w:pStyle w:val="BodyText"/>
        <w:tabs>
          <w:tab w:pos="9169" w:val="left" w:leader="dot"/>
        </w:tabs>
        <w:spacing w:before="21"/>
        <w:ind w:left="562"/>
      </w:pPr>
      <w:hyperlink w:history="true" w:anchor="_bookmark94">
        <w:r>
          <w:rPr/>
          <w:t>Gráfico 49.  Diagrama de Pareto para Importaciones</w:t>
        </w:r>
        <w:r>
          <w:rPr>
            <w:spacing w:val="-13"/>
          </w:rPr>
          <w:t> </w:t>
        </w:r>
        <w:r>
          <w:rPr/>
          <w:t>por</w:t>
        </w:r>
        <w:r>
          <w:rPr>
            <w:spacing w:val="-2"/>
          </w:rPr>
          <w:t> </w:t>
        </w:r>
        <w:r>
          <w:rPr/>
          <w:t>País</w:t>
          <w:tab/>
          <w:t>49</w:t>
        </w:r>
      </w:hyperlink>
    </w:p>
    <w:p>
      <w:pPr>
        <w:pStyle w:val="BodyText"/>
        <w:tabs>
          <w:tab w:pos="9169" w:val="left" w:leader="dot"/>
        </w:tabs>
        <w:spacing w:before="18"/>
        <w:ind w:left="562"/>
      </w:pPr>
      <w:hyperlink w:history="true" w:anchor="_bookmark95">
        <w:r>
          <w:rPr/>
          <w:t>Gráfico 50.  Tasas de Variación de las Importaciones</w:t>
        </w:r>
        <w:r>
          <w:rPr>
            <w:spacing w:val="-16"/>
          </w:rPr>
          <w:t> </w:t>
        </w:r>
        <w:r>
          <w:rPr/>
          <w:t>por</w:t>
        </w:r>
        <w:r>
          <w:rPr>
            <w:spacing w:val="-1"/>
          </w:rPr>
          <w:t> </w:t>
        </w:r>
        <w:r>
          <w:rPr/>
          <w:t>País</w:t>
          <w:tab/>
          <w:t>49</w:t>
        </w:r>
      </w:hyperlink>
    </w:p>
    <w:p>
      <w:pPr>
        <w:pStyle w:val="BodyText"/>
        <w:tabs>
          <w:tab w:pos="9169" w:val="left" w:leader="dot"/>
        </w:tabs>
        <w:spacing w:line="259" w:lineRule="auto" w:before="21"/>
        <w:ind w:left="562" w:right="1707"/>
      </w:pPr>
      <w:hyperlink w:history="true" w:anchor="_bookmark96">
        <w:r>
          <w:rPr/>
          <w:t>Gráfico 51. Pronóstico de la tasa de crecimiento de exportaciones, importaciones, remesas</w:t>
        </w:r>
      </w:hyperlink>
      <w:r>
        <w:rPr/>
        <w:t> </w:t>
      </w:r>
      <w:hyperlink w:history="true" w:anchor="_bookmark96">
        <w:r>
          <w:rPr/>
          <w:t>familiares para</w:t>
        </w:r>
        <w:r>
          <w:rPr>
            <w:spacing w:val="-4"/>
          </w:rPr>
          <w:t> </w:t>
        </w:r>
        <w:r>
          <w:rPr/>
          <w:t>el</w:t>
        </w:r>
        <w:r>
          <w:rPr>
            <w:spacing w:val="1"/>
          </w:rPr>
          <w:t> </w:t>
        </w:r>
        <w:r>
          <w:rPr/>
          <w:t>2022</w:t>
          <w:tab/>
        </w:r>
        <w:r>
          <w:rPr>
            <w:spacing w:val="-9"/>
          </w:rPr>
          <w:t>50</w:t>
        </w:r>
      </w:hyperlink>
    </w:p>
    <w:p>
      <w:pPr>
        <w:pStyle w:val="BodyText"/>
        <w:tabs>
          <w:tab w:pos="9169" w:val="left" w:leader="dot"/>
        </w:tabs>
        <w:ind w:left="562"/>
      </w:pPr>
      <w:hyperlink w:history="true" w:anchor="_bookmark97">
        <w:r>
          <w:rPr/>
          <w:t>Gráfico 52.  Tipo de cambio promedio de compra</w:t>
        </w:r>
        <w:r>
          <w:rPr>
            <w:spacing w:val="-8"/>
          </w:rPr>
          <w:t> </w:t>
        </w:r>
        <w:r>
          <w:rPr/>
          <w:t>y</w:t>
        </w:r>
        <w:r>
          <w:rPr>
            <w:spacing w:val="-2"/>
          </w:rPr>
          <w:t> </w:t>
        </w:r>
        <w:r>
          <w:rPr/>
          <w:t>venta</w:t>
          <w:tab/>
          <w:t>51</w:t>
        </w:r>
      </w:hyperlink>
    </w:p>
    <w:p>
      <w:pPr>
        <w:pStyle w:val="BodyText"/>
        <w:tabs>
          <w:tab w:pos="9169" w:val="left" w:leader="dot"/>
        </w:tabs>
        <w:spacing w:before="19"/>
        <w:ind w:left="562"/>
      </w:pPr>
      <w:hyperlink w:history="true" w:anchor="_bookmark101">
        <w:r>
          <w:rPr/>
          <w:t>Gráfico 53.  Crecimiento económico internacional de</w:t>
        </w:r>
        <w:r>
          <w:rPr>
            <w:spacing w:val="-9"/>
          </w:rPr>
          <w:t> </w:t>
        </w:r>
        <w:r>
          <w:rPr/>
          <w:t>mediano</w:t>
        </w:r>
        <w:r>
          <w:rPr>
            <w:spacing w:val="-1"/>
          </w:rPr>
          <w:t> </w:t>
        </w:r>
        <w:r>
          <w:rPr/>
          <w:t>plazo</w:t>
          <w:tab/>
          <w:t>52</w:t>
        </w:r>
      </w:hyperlink>
    </w:p>
    <w:p>
      <w:pPr>
        <w:pStyle w:val="BodyText"/>
        <w:tabs>
          <w:tab w:pos="9169" w:val="left" w:leader="dot"/>
        </w:tabs>
        <w:spacing w:before="20"/>
        <w:ind w:left="562"/>
      </w:pPr>
      <w:hyperlink w:history="true" w:anchor="_bookmark103">
        <w:r>
          <w:rPr/>
          <w:t>Gráfico 54.  Inflación externa de</w:t>
        </w:r>
        <w:r>
          <w:rPr>
            <w:spacing w:val="-8"/>
          </w:rPr>
          <w:t> </w:t>
        </w:r>
        <w:r>
          <w:rPr/>
          <w:t>mediano</w:t>
        </w:r>
        <w:r>
          <w:rPr>
            <w:spacing w:val="-3"/>
          </w:rPr>
          <w:t> </w:t>
        </w:r>
        <w:r>
          <w:rPr/>
          <w:t>plazo</w:t>
          <w:tab/>
          <w:t>53</w:t>
        </w:r>
      </w:hyperlink>
    </w:p>
    <w:p>
      <w:pPr>
        <w:pStyle w:val="BodyText"/>
        <w:tabs>
          <w:tab w:pos="9169" w:val="left" w:leader="dot"/>
        </w:tabs>
        <w:spacing w:before="21"/>
        <w:ind w:left="562"/>
      </w:pPr>
      <w:hyperlink w:history="true" w:anchor="_bookmark108">
        <w:r>
          <w:rPr/>
          <w:t>Gráfico 55.  Proyecciones de crecimiento para Guatemala del FMI y</w:t>
        </w:r>
        <w:r>
          <w:rPr>
            <w:spacing w:val="-25"/>
          </w:rPr>
          <w:t> </w:t>
        </w:r>
        <w:r>
          <w:rPr/>
          <w:t>Banco</w:t>
        </w:r>
        <w:r>
          <w:rPr>
            <w:spacing w:val="-2"/>
          </w:rPr>
          <w:t> </w:t>
        </w:r>
        <w:r>
          <w:rPr/>
          <w:t>Mundial</w:t>
          <w:tab/>
          <w:t>55</w:t>
        </w:r>
      </w:hyperlink>
    </w:p>
    <w:p>
      <w:pPr>
        <w:pStyle w:val="BodyText"/>
        <w:tabs>
          <w:tab w:pos="9169" w:val="left" w:leader="dot"/>
        </w:tabs>
        <w:spacing w:before="21"/>
        <w:ind w:left="562"/>
      </w:pPr>
      <w:hyperlink w:history="true" w:anchor="_bookmark112">
        <w:r>
          <w:rPr/>
          <w:t>Gráfico 56. Fan chart de la proyección del</w:t>
        </w:r>
        <w:r>
          <w:rPr>
            <w:spacing w:val="-14"/>
          </w:rPr>
          <w:t> </w:t>
        </w:r>
        <w:r>
          <w:rPr/>
          <w:t>crecimiento</w:t>
        </w:r>
        <w:r>
          <w:rPr>
            <w:spacing w:val="-4"/>
          </w:rPr>
          <w:t> </w:t>
        </w:r>
        <w:r>
          <w:rPr/>
          <w:t>económico</w:t>
          <w:tab/>
          <w:t>59</w:t>
        </w:r>
      </w:hyperlink>
    </w:p>
    <w:p>
      <w:pPr>
        <w:pStyle w:val="BodyText"/>
        <w:tabs>
          <w:tab w:pos="9169" w:val="left" w:leader="dot"/>
        </w:tabs>
        <w:spacing w:before="18"/>
        <w:ind w:left="562"/>
      </w:pPr>
      <w:hyperlink w:history="true" w:anchor="_bookmark115">
        <w:r>
          <w:rPr/>
          <w:t>Gráfico 57.  Determinación del Presupuesto</w:t>
        </w:r>
        <w:r>
          <w:rPr>
            <w:spacing w:val="-13"/>
          </w:rPr>
          <w:t> </w:t>
        </w:r>
        <w:r>
          <w:rPr/>
          <w:t>Vigente</w:t>
        </w:r>
        <w:r>
          <w:rPr>
            <w:spacing w:val="-1"/>
          </w:rPr>
          <w:t> </w:t>
        </w:r>
        <w:r>
          <w:rPr/>
          <w:t>2021</w:t>
          <w:tab/>
          <w:t>61</w:t>
        </w:r>
      </w:hyperlink>
    </w:p>
    <w:p>
      <w:pPr>
        <w:pStyle w:val="BodyText"/>
        <w:tabs>
          <w:tab w:pos="9169" w:val="left" w:leader="dot"/>
        </w:tabs>
        <w:spacing w:before="21"/>
        <w:ind w:left="562"/>
      </w:pPr>
      <w:hyperlink w:history="true" w:anchor="_bookmark116">
        <w:r>
          <w:rPr/>
          <w:t>Gráfico 58.  Origen de los recursos para el financiamiento</w:t>
        </w:r>
        <w:r>
          <w:rPr>
            <w:spacing w:val="-20"/>
          </w:rPr>
          <w:t> </w:t>
        </w:r>
        <w:r>
          <w:rPr/>
          <w:t>del</w:t>
        </w:r>
        <w:r>
          <w:rPr>
            <w:spacing w:val="-1"/>
          </w:rPr>
          <w:t> </w:t>
        </w:r>
        <w:r>
          <w:rPr/>
          <w:t>presupuesto</w:t>
          <w:tab/>
          <w:t>62</w:t>
        </w:r>
      </w:hyperlink>
    </w:p>
    <w:p>
      <w:pPr>
        <w:pStyle w:val="BodyText"/>
        <w:tabs>
          <w:tab w:pos="9169" w:val="left" w:leader="dot"/>
        </w:tabs>
        <w:spacing w:before="20"/>
        <w:ind w:left="562"/>
      </w:pPr>
      <w:hyperlink w:history="true" w:anchor="_bookmark118">
        <w:r>
          <w:rPr/>
          <w:t>Gráfico 59.Recaudación Tributaria Acumulada al 30</w:t>
        </w:r>
        <w:r>
          <w:rPr>
            <w:spacing w:val="-13"/>
          </w:rPr>
          <w:t> </w:t>
        </w:r>
        <w:r>
          <w:rPr/>
          <w:t>de</w:t>
        </w:r>
        <w:r>
          <w:rPr>
            <w:spacing w:val="-3"/>
          </w:rPr>
          <w:t> </w:t>
        </w:r>
        <w:r>
          <w:rPr/>
          <w:t>junio</w:t>
          <w:tab/>
          <w:t>63</w:t>
        </w:r>
      </w:hyperlink>
    </w:p>
    <w:p>
      <w:pPr>
        <w:pStyle w:val="BodyText"/>
        <w:tabs>
          <w:tab w:pos="9169" w:val="left" w:leader="dot"/>
        </w:tabs>
        <w:spacing w:before="21"/>
        <w:ind w:left="562"/>
      </w:pPr>
      <w:hyperlink w:history="true" w:anchor="_bookmark119">
        <w:r>
          <w:rPr/>
          <w:t>Gráfico 60.  Importaciones Gravadas y Movimiento</w:t>
        </w:r>
        <w:r>
          <w:rPr>
            <w:spacing w:val="-12"/>
          </w:rPr>
          <w:t> </w:t>
        </w:r>
        <w:r>
          <w:rPr/>
          <w:t>de</w:t>
        </w:r>
        <w:r>
          <w:rPr>
            <w:spacing w:val="-6"/>
          </w:rPr>
          <w:t> </w:t>
        </w:r>
        <w:r>
          <w:rPr/>
          <w:t>Contenedores</w:t>
          <w:tab/>
          <w:t>64</w:t>
        </w:r>
      </w:hyperlink>
    </w:p>
    <w:p>
      <w:pPr>
        <w:pStyle w:val="BodyText"/>
        <w:tabs>
          <w:tab w:pos="9169" w:val="left" w:leader="dot"/>
        </w:tabs>
        <w:spacing w:before="18"/>
        <w:ind w:left="562"/>
      </w:pPr>
      <w:hyperlink w:history="true" w:anchor="_bookmark120">
        <w:r>
          <w:rPr/>
          <w:t>Gráfico 61.  Brechas de Recaudación</w:t>
        </w:r>
        <w:r>
          <w:rPr>
            <w:spacing w:val="-12"/>
          </w:rPr>
          <w:t> </w:t>
        </w:r>
        <w:r>
          <w:rPr/>
          <w:t>Tributaria acumulada</w:t>
          <w:tab/>
          <w:t>64</w:t>
        </w:r>
      </w:hyperlink>
    </w:p>
    <w:p>
      <w:pPr>
        <w:pStyle w:val="BodyText"/>
        <w:tabs>
          <w:tab w:pos="9169" w:val="left" w:leader="dot"/>
        </w:tabs>
        <w:spacing w:before="21"/>
        <w:ind w:left="562"/>
      </w:pPr>
      <w:hyperlink w:history="true" w:anchor="_bookmark121">
        <w:r>
          <w:rPr/>
          <w:t>Gráfico 62.  Principales indicadores</w:t>
        </w:r>
        <w:r>
          <w:rPr>
            <w:spacing w:val="-11"/>
          </w:rPr>
          <w:t> </w:t>
        </w:r>
        <w:r>
          <w:rPr/>
          <w:t>de</w:t>
        </w:r>
        <w:r>
          <w:rPr>
            <w:spacing w:val="-2"/>
          </w:rPr>
          <w:t> </w:t>
        </w:r>
        <w:r>
          <w:rPr/>
          <w:t>Guatemala</w:t>
          <w:tab/>
          <w:t>65</w:t>
        </w:r>
      </w:hyperlink>
    </w:p>
    <w:p>
      <w:pPr>
        <w:pStyle w:val="BodyText"/>
        <w:tabs>
          <w:tab w:pos="9169" w:val="left" w:leader="dot"/>
        </w:tabs>
        <w:spacing w:before="21"/>
        <w:ind w:left="562"/>
      </w:pPr>
      <w:hyperlink w:history="true" w:anchor="_bookmark123">
        <w:r>
          <w:rPr/>
          <w:t>Gráfico 63.  Variación interanual acumulada del número de visitantes</w:t>
        </w:r>
        <w:r>
          <w:rPr>
            <w:spacing w:val="-17"/>
          </w:rPr>
          <w:t> </w:t>
        </w:r>
        <w:r>
          <w:rPr/>
          <w:t>no</w:t>
        </w:r>
        <w:r>
          <w:rPr>
            <w:spacing w:val="-1"/>
          </w:rPr>
          <w:t> </w:t>
        </w:r>
        <w:r>
          <w:rPr/>
          <w:t>residentes</w:t>
          <w:tab/>
          <w:t>66</w:t>
        </w:r>
      </w:hyperlink>
    </w:p>
    <w:p>
      <w:pPr>
        <w:pStyle w:val="BodyText"/>
        <w:tabs>
          <w:tab w:pos="9169" w:val="left" w:leader="dot"/>
        </w:tabs>
        <w:spacing w:before="20"/>
        <w:ind w:left="562"/>
      </w:pPr>
      <w:hyperlink w:history="true" w:anchor="_bookmark124">
        <w:r>
          <w:rPr/>
          <w:t>Gráfico 64.  Acciones realizadas</w:t>
        </w:r>
        <w:r>
          <w:rPr>
            <w:spacing w:val="-8"/>
          </w:rPr>
          <w:t> </w:t>
        </w:r>
        <w:r>
          <w:rPr/>
          <w:t>por SAT</w:t>
          <w:tab/>
          <w:t>67</w:t>
        </w:r>
      </w:hyperlink>
    </w:p>
    <w:p>
      <w:pPr>
        <w:pStyle w:val="BodyText"/>
        <w:tabs>
          <w:tab w:pos="9169" w:val="left" w:leader="dot"/>
        </w:tabs>
        <w:spacing w:before="18"/>
        <w:ind w:left="562"/>
      </w:pPr>
      <w:hyperlink w:history="true" w:anchor="_bookmark126">
        <w:r>
          <w:rPr/>
          <w:t>Gráfico 65..Variación</w:t>
        </w:r>
        <w:r>
          <w:rPr>
            <w:spacing w:val="-3"/>
          </w:rPr>
          <w:t> </w:t>
        </w:r>
        <w:r>
          <w:rPr/>
          <w:t>del </w:t>
        </w:r>
        <w:r>
          <w:rPr>
            <w:spacing w:val="-2"/>
          </w:rPr>
          <w:t>ISR</w:t>
          <w:tab/>
        </w:r>
        <w:r>
          <w:rPr/>
          <w:t>68</w:t>
        </w:r>
      </w:hyperlink>
    </w:p>
    <w:p>
      <w:pPr>
        <w:pStyle w:val="BodyText"/>
        <w:tabs>
          <w:tab w:pos="9169" w:val="left" w:leader="dot"/>
        </w:tabs>
        <w:spacing w:before="21"/>
        <w:ind w:left="562"/>
      </w:pPr>
      <w:hyperlink w:history="true" w:anchor="_bookmark128">
        <w:r>
          <w:rPr/>
          <w:t>Gráfico 66.  Brecha del Impuesto al Valor Agregado doméstico respecto</w:t>
        </w:r>
        <w:r>
          <w:rPr>
            <w:spacing w:val="-19"/>
          </w:rPr>
          <w:t> </w:t>
        </w:r>
        <w:r>
          <w:rPr/>
          <w:t>a</w:t>
        </w:r>
        <w:r>
          <w:rPr>
            <w:spacing w:val="-1"/>
          </w:rPr>
          <w:t> </w:t>
        </w:r>
        <w:r>
          <w:rPr/>
          <w:t>presupuesto</w:t>
          <w:tab/>
          <w:t>69</w:t>
        </w:r>
      </w:hyperlink>
    </w:p>
    <w:p>
      <w:pPr>
        <w:pStyle w:val="BodyText"/>
        <w:tabs>
          <w:tab w:pos="9169" w:val="left" w:leader="dot"/>
        </w:tabs>
        <w:spacing w:before="21"/>
        <w:ind w:left="562"/>
      </w:pPr>
      <w:hyperlink w:history="true" w:anchor="_bookmark129">
        <w:r>
          <w:rPr/>
          <w:t>Gráfico 67.  Sistemas y herramientas de facilitación</w:t>
        </w:r>
        <w:r>
          <w:rPr>
            <w:spacing w:val="-14"/>
          </w:rPr>
          <w:t> </w:t>
        </w:r>
        <w:r>
          <w:rPr/>
          <w:t>y</w:t>
        </w:r>
        <w:r>
          <w:rPr>
            <w:spacing w:val="-4"/>
          </w:rPr>
          <w:t> </w:t>
        </w:r>
        <w:r>
          <w:rPr/>
          <w:t>control</w:t>
          <w:tab/>
          <w:t>69</w:t>
        </w:r>
      </w:hyperlink>
    </w:p>
    <w:p>
      <w:pPr>
        <w:pStyle w:val="BodyText"/>
        <w:tabs>
          <w:tab w:pos="9169" w:val="left" w:leader="dot"/>
        </w:tabs>
        <w:spacing w:before="20"/>
        <w:ind w:left="562"/>
      </w:pPr>
      <w:hyperlink w:history="true" w:anchor="_bookmark130">
        <w:r>
          <w:rPr/>
          <w:t>Gráfico 68.  Productividad</w:t>
        </w:r>
        <w:r>
          <w:rPr>
            <w:spacing w:val="-7"/>
          </w:rPr>
          <w:t> </w:t>
        </w:r>
        <w:r>
          <w:rPr/>
          <w:t>del IVA</w:t>
          <w:tab/>
          <w:t>70</w:t>
        </w:r>
      </w:hyperlink>
    </w:p>
    <w:p>
      <w:pPr>
        <w:pStyle w:val="BodyText"/>
        <w:tabs>
          <w:tab w:pos="9169" w:val="left" w:leader="dot"/>
        </w:tabs>
        <w:spacing w:before="18"/>
        <w:ind w:left="562"/>
      </w:pPr>
      <w:hyperlink w:history="true" w:anchor="_bookmark132">
        <w:r>
          <w:rPr/>
          <w:t>Gráfico 69.</w:t>
        </w:r>
        <w:r>
          <w:rPr>
            <w:spacing w:val="50"/>
          </w:rPr>
          <w:t> </w:t>
        </w:r>
        <w:r>
          <w:rPr/>
          <w:t>Carga</w:t>
        </w:r>
        <w:r>
          <w:rPr>
            <w:spacing w:val="-3"/>
          </w:rPr>
          <w:t> </w:t>
        </w:r>
        <w:r>
          <w:rPr/>
          <w:t>Tributaria</w:t>
          <w:tab/>
          <w:t>71</w:t>
        </w:r>
      </w:hyperlink>
    </w:p>
    <w:p>
      <w:pPr>
        <w:pStyle w:val="BodyText"/>
        <w:tabs>
          <w:tab w:pos="9169" w:val="left" w:leader="dot"/>
        </w:tabs>
        <w:spacing w:before="22"/>
        <w:ind w:left="562"/>
      </w:pPr>
      <w:hyperlink w:history="true" w:anchor="_bookmark134">
        <w:r>
          <w:rPr/>
          <w:t>Gráfico 70  Ritmo de ejecución del</w:t>
        </w:r>
        <w:r>
          <w:rPr>
            <w:spacing w:val="-10"/>
          </w:rPr>
          <w:t> </w:t>
        </w:r>
        <w:r>
          <w:rPr/>
          <w:t>gasto</w:t>
        </w:r>
        <w:r>
          <w:rPr>
            <w:spacing w:val="-1"/>
          </w:rPr>
          <w:t> </w:t>
        </w:r>
        <w:r>
          <w:rPr/>
          <w:t>público</w:t>
          <w:tab/>
          <w:t>73</w:t>
        </w:r>
      </w:hyperlink>
    </w:p>
    <w:p>
      <w:pPr>
        <w:pStyle w:val="BodyText"/>
        <w:tabs>
          <w:tab w:pos="9169" w:val="left" w:leader="dot"/>
        </w:tabs>
        <w:spacing w:before="20"/>
        <w:ind w:left="562"/>
      </w:pPr>
      <w:hyperlink w:history="true" w:anchor="_bookmark136">
        <w:r>
          <w:rPr/>
          <w:t>Gráfico 71  Grado de Ejecución</w:t>
        </w:r>
        <w:r>
          <w:rPr>
            <w:spacing w:val="-13"/>
          </w:rPr>
          <w:t> </w:t>
        </w:r>
        <w:r>
          <w:rPr/>
          <w:t>Presupuestaria</w:t>
        </w:r>
        <w:r>
          <w:rPr>
            <w:spacing w:val="-2"/>
          </w:rPr>
          <w:t> </w:t>
        </w:r>
        <w:r>
          <w:rPr/>
          <w:t>Institucional</w:t>
          <w:tab/>
          <w:t>78</w:t>
        </w:r>
      </w:hyperlink>
    </w:p>
    <w:p>
      <w:pPr>
        <w:pStyle w:val="BodyText"/>
        <w:tabs>
          <w:tab w:pos="9169" w:val="left" w:leader="dot"/>
        </w:tabs>
        <w:spacing w:before="21"/>
        <w:ind w:left="562"/>
      </w:pPr>
      <w:hyperlink w:history="true" w:anchor="_bookmark139">
        <w:r>
          <w:rPr/>
          <w:t>Gráfico 72.  Cantidad de dosis aplicadas y tipo</w:t>
        </w:r>
        <w:r>
          <w:rPr>
            <w:spacing w:val="-15"/>
          </w:rPr>
          <w:t> </w:t>
        </w:r>
        <w:r>
          <w:rPr/>
          <w:t>de</w:t>
        </w:r>
        <w:r>
          <w:rPr>
            <w:spacing w:val="-3"/>
          </w:rPr>
          <w:t> </w:t>
        </w:r>
        <w:r>
          <w:rPr/>
          <w:t>vacuna</w:t>
          <w:tab/>
          <w:t>80</w:t>
        </w:r>
      </w:hyperlink>
    </w:p>
    <w:p>
      <w:pPr>
        <w:pStyle w:val="BodyText"/>
        <w:tabs>
          <w:tab w:pos="9169" w:val="left" w:leader="dot"/>
        </w:tabs>
        <w:spacing w:before="18"/>
        <w:ind w:left="562"/>
      </w:pPr>
      <w:hyperlink w:history="true" w:anchor="_bookmark140">
        <w:r>
          <w:rPr/>
          <w:t>Gráfico 73.  Porcentaje de vacunados por</w:t>
        </w:r>
        <w:r>
          <w:rPr>
            <w:spacing w:val="-11"/>
          </w:rPr>
          <w:t> </w:t>
        </w:r>
        <w:r>
          <w:rPr/>
          <w:t>grupo</w:t>
        </w:r>
        <w:r>
          <w:rPr>
            <w:spacing w:val="-4"/>
          </w:rPr>
          <w:t> </w:t>
        </w:r>
        <w:r>
          <w:rPr/>
          <w:t>etario</w:t>
          <w:tab/>
          <w:t>80</w:t>
        </w:r>
      </w:hyperlink>
    </w:p>
    <w:p>
      <w:pPr>
        <w:pStyle w:val="BodyText"/>
        <w:tabs>
          <w:tab w:pos="9169" w:val="left" w:leader="dot"/>
        </w:tabs>
        <w:spacing w:before="21"/>
        <w:ind w:left="562"/>
      </w:pPr>
      <w:hyperlink w:history="true" w:anchor="_bookmark141">
        <w:r>
          <w:rPr/>
          <w:t>Gráfico 74.  Ejecución 2020 de los programas en atención</w:t>
        </w:r>
        <w:r>
          <w:rPr>
            <w:spacing w:val="-15"/>
          </w:rPr>
          <w:t> </w:t>
        </w:r>
        <w:r>
          <w:rPr/>
          <w:t>al COVID-19</w:t>
          <w:tab/>
          <w:t>80</w:t>
        </w:r>
      </w:hyperlink>
    </w:p>
    <w:p>
      <w:pPr>
        <w:pStyle w:val="BodyText"/>
        <w:tabs>
          <w:tab w:pos="9169" w:val="left" w:leader="dot"/>
        </w:tabs>
        <w:spacing w:before="20"/>
        <w:ind w:left="562"/>
      </w:pPr>
      <w:hyperlink w:history="true" w:anchor="_bookmark142">
        <w:r>
          <w:rPr/>
          <w:t>Gráfico 75.  Ejecución 2021 de los programas en atención</w:t>
        </w:r>
        <w:r>
          <w:rPr>
            <w:spacing w:val="-15"/>
          </w:rPr>
          <w:t> </w:t>
        </w:r>
        <w:r>
          <w:rPr/>
          <w:t>al COVID-19</w:t>
          <w:tab/>
          <w:t>80</w:t>
        </w:r>
      </w:hyperlink>
    </w:p>
    <w:p>
      <w:pPr>
        <w:pStyle w:val="BodyText"/>
        <w:tabs>
          <w:tab w:pos="9169" w:val="left" w:leader="dot"/>
        </w:tabs>
        <w:spacing w:before="21"/>
        <w:ind w:left="562"/>
      </w:pPr>
      <w:hyperlink w:history="true" w:anchor="_bookmark146">
        <w:r>
          <w:rPr/>
          <w:t>Gráfico 76.</w:t>
        </w:r>
        <w:r>
          <w:rPr>
            <w:spacing w:val="50"/>
          </w:rPr>
          <w:t> </w:t>
        </w:r>
        <w:r>
          <w:rPr/>
          <w:t>Resultado</w:t>
        </w:r>
        <w:r>
          <w:rPr>
            <w:spacing w:val="-3"/>
          </w:rPr>
          <w:t> </w:t>
        </w:r>
        <w:r>
          <w:rPr/>
          <w:t>fiscal</w:t>
          <w:tab/>
          <w:t>85</w:t>
        </w:r>
      </w:hyperlink>
    </w:p>
    <w:p>
      <w:pPr>
        <w:pStyle w:val="BodyText"/>
        <w:tabs>
          <w:tab w:pos="9169" w:val="left" w:leader="dot"/>
        </w:tabs>
        <w:spacing w:before="18"/>
        <w:ind w:left="562"/>
      </w:pPr>
      <w:hyperlink w:history="true" w:anchor="_bookmark151">
        <w:r>
          <w:rPr/>
          <w:t>Gráfico 77.  Cumplimiento de recaudación acumulada respecto</w:t>
        </w:r>
        <w:r>
          <w:rPr>
            <w:spacing w:val="-16"/>
          </w:rPr>
          <w:t> </w:t>
        </w:r>
        <w:r>
          <w:rPr/>
          <w:t>a</w:t>
        </w:r>
        <w:r>
          <w:rPr>
            <w:spacing w:val="-1"/>
          </w:rPr>
          <w:t> </w:t>
        </w:r>
        <w:r>
          <w:rPr/>
          <w:t>presupuesto</w:t>
          <w:tab/>
          <w:t>88</w:t>
        </w:r>
      </w:hyperlink>
    </w:p>
    <w:p>
      <w:pPr>
        <w:spacing w:after="0"/>
        <w:sectPr>
          <w:pgSz w:w="12240" w:h="15840"/>
          <w:pgMar w:header="715" w:footer="957" w:top="1240" w:bottom="1140" w:left="1140" w:right="0"/>
        </w:sectPr>
      </w:pPr>
    </w:p>
    <w:p>
      <w:pPr>
        <w:pStyle w:val="BodyText"/>
        <w:tabs>
          <w:tab w:pos="9169" w:val="left" w:leader="dot"/>
        </w:tabs>
        <w:spacing w:before="162"/>
        <w:ind w:left="562"/>
      </w:pPr>
      <w:hyperlink w:history="true" w:anchor="_bookmark152">
        <w:r>
          <w:rPr/>
          <w:t>Gráfico 78.  Variación de la recaudación tributaria neta acumulada</w:t>
        </w:r>
        <w:r>
          <w:rPr>
            <w:spacing w:val="-19"/>
          </w:rPr>
          <w:t> </w:t>
        </w:r>
        <w:r>
          <w:rPr/>
          <w:t>de</w:t>
        </w:r>
        <w:r>
          <w:rPr>
            <w:spacing w:val="-3"/>
          </w:rPr>
          <w:t> </w:t>
        </w:r>
        <w:r>
          <w:rPr/>
          <w:t>junio</w:t>
          <w:tab/>
          <w:t>88</w:t>
        </w:r>
      </w:hyperlink>
    </w:p>
    <w:p>
      <w:pPr>
        <w:pStyle w:val="BodyText"/>
        <w:tabs>
          <w:tab w:pos="9169" w:val="left" w:leader="dot"/>
        </w:tabs>
        <w:spacing w:before="21"/>
        <w:ind w:left="562"/>
      </w:pPr>
      <w:hyperlink w:history="true" w:anchor="_bookmark155">
        <w:r>
          <w:rPr/>
          <w:t>Gráfico 79.  IVA doméstico</w:t>
        </w:r>
        <w:r>
          <w:rPr>
            <w:spacing w:val="-7"/>
          </w:rPr>
          <w:t> </w:t>
        </w:r>
        <w:r>
          <w:rPr/>
          <w:t>e</w:t>
        </w:r>
        <w:r>
          <w:rPr>
            <w:spacing w:val="-1"/>
          </w:rPr>
          <w:t> </w:t>
        </w:r>
        <w:r>
          <w:rPr/>
          <w:t>importaciones</w:t>
          <w:tab/>
          <w:t>90</w:t>
        </w:r>
      </w:hyperlink>
    </w:p>
    <w:p>
      <w:pPr>
        <w:pStyle w:val="BodyText"/>
        <w:tabs>
          <w:tab w:pos="9169" w:val="left" w:leader="dot"/>
        </w:tabs>
        <w:spacing w:before="18"/>
        <w:ind w:left="562"/>
      </w:pPr>
      <w:hyperlink w:history="true" w:anchor="_bookmark156">
        <w:r>
          <w:rPr/>
          <w:t>Gráfico 80.  Variación Interanual de impuestos asociados al</w:t>
        </w:r>
        <w:r>
          <w:rPr>
            <w:spacing w:val="-16"/>
          </w:rPr>
          <w:t> </w:t>
        </w:r>
        <w:r>
          <w:rPr/>
          <w:t>comercio</w:t>
        </w:r>
        <w:r>
          <w:rPr>
            <w:spacing w:val="-3"/>
          </w:rPr>
          <w:t> </w:t>
        </w:r>
        <w:r>
          <w:rPr/>
          <w:t>exterior</w:t>
          <w:tab/>
          <w:t>91</w:t>
        </w:r>
      </w:hyperlink>
    </w:p>
    <w:p>
      <w:pPr>
        <w:pStyle w:val="BodyText"/>
        <w:tabs>
          <w:tab w:pos="9169" w:val="left" w:leader="dot"/>
        </w:tabs>
        <w:spacing w:before="21"/>
        <w:ind w:left="562"/>
      </w:pPr>
      <w:hyperlink w:history="true" w:anchor="_bookmark158">
        <w:r>
          <w:rPr/>
          <w:t>Gráfico 81.  Aporte por impuesto a</w:t>
        </w:r>
        <w:r>
          <w:rPr>
            <w:spacing w:val="-8"/>
          </w:rPr>
          <w:t> </w:t>
        </w:r>
        <w:r>
          <w:rPr/>
          <w:t>la</w:t>
        </w:r>
        <w:r>
          <w:rPr>
            <w:spacing w:val="-3"/>
          </w:rPr>
          <w:t> </w:t>
        </w:r>
        <w:r>
          <w:rPr/>
          <w:t>recaudación</w:t>
          <w:tab/>
          <w:t>91</w:t>
        </w:r>
      </w:hyperlink>
    </w:p>
    <w:p>
      <w:pPr>
        <w:pStyle w:val="BodyText"/>
        <w:tabs>
          <w:tab w:pos="9169" w:val="left" w:leader="dot"/>
        </w:tabs>
        <w:spacing w:before="20"/>
        <w:ind w:left="562"/>
      </w:pPr>
      <w:hyperlink w:history="true" w:anchor="_bookmark159">
        <w:r>
          <w:rPr/>
          <w:t>Gráfico 82.  Variación Interanual de recaudación tributaria por</w:t>
        </w:r>
        <w:r>
          <w:rPr>
            <w:spacing w:val="-24"/>
          </w:rPr>
          <w:t> </w:t>
        </w:r>
        <w:r>
          <w:rPr/>
          <w:t>actividad</w:t>
        </w:r>
        <w:r>
          <w:rPr>
            <w:spacing w:val="-1"/>
          </w:rPr>
          <w:t> </w:t>
        </w:r>
        <w:r>
          <w:rPr/>
          <w:t>económica</w:t>
          <w:tab/>
          <w:t>92</w:t>
        </w:r>
      </w:hyperlink>
    </w:p>
    <w:p>
      <w:pPr>
        <w:pStyle w:val="BodyText"/>
        <w:tabs>
          <w:tab w:pos="9169" w:val="left" w:leader="dot"/>
        </w:tabs>
        <w:spacing w:before="21"/>
        <w:ind w:left="562"/>
      </w:pPr>
      <w:hyperlink w:history="true" w:anchor="_bookmark161">
        <w:r>
          <w:rPr/>
          <w:t>Gráfico 83.  Ritmo de ejecución</w:t>
        </w:r>
        <w:r>
          <w:rPr>
            <w:spacing w:val="-8"/>
          </w:rPr>
          <w:t> </w:t>
        </w:r>
        <w:r>
          <w:rPr/>
          <w:t>del gasto</w:t>
          <w:tab/>
          <w:t>93</w:t>
        </w:r>
      </w:hyperlink>
    </w:p>
    <w:p>
      <w:pPr>
        <w:pStyle w:val="BodyText"/>
        <w:tabs>
          <w:tab w:pos="9059" w:val="left" w:leader="dot"/>
        </w:tabs>
        <w:spacing w:line="259" w:lineRule="auto" w:before="18"/>
        <w:ind w:left="562" w:right="1707"/>
      </w:pPr>
      <w:hyperlink w:history="true" w:anchor="_bookmark163">
        <w:r>
          <w:rPr/>
          <w:t>Gráfico 84. Ejecución de actividades relacionadas a la atención de la emergencia COVID-19 por</w:t>
        </w:r>
      </w:hyperlink>
      <w:r>
        <w:rPr/>
        <w:t> </w:t>
      </w:r>
      <w:hyperlink w:history="true" w:anchor="_bookmark163">
        <w:r>
          <w:rPr/>
          <w:t>mes y</w:t>
        </w:r>
        <w:r>
          <w:rPr>
            <w:spacing w:val="-3"/>
          </w:rPr>
          <w:t> </w:t>
        </w:r>
        <w:r>
          <w:rPr/>
          <w:t>entidad</w:t>
          <w:tab/>
        </w:r>
        <w:r>
          <w:rPr>
            <w:spacing w:val="-6"/>
          </w:rPr>
          <w:t>100</w:t>
        </w:r>
      </w:hyperlink>
    </w:p>
    <w:p>
      <w:pPr>
        <w:pStyle w:val="BodyText"/>
        <w:tabs>
          <w:tab w:pos="9059" w:val="left" w:leader="dot"/>
        </w:tabs>
        <w:spacing w:before="1"/>
        <w:ind w:left="562"/>
      </w:pPr>
      <w:hyperlink w:history="true" w:anchor="_bookmark164">
        <w:r>
          <w:rPr/>
          <w:t>Gráfico 85.  Cantidad de dosis aplicadas y tipo</w:t>
        </w:r>
        <w:r>
          <w:rPr>
            <w:spacing w:val="-15"/>
          </w:rPr>
          <w:t> </w:t>
        </w:r>
        <w:r>
          <w:rPr/>
          <w:t>de</w:t>
        </w:r>
        <w:r>
          <w:rPr>
            <w:spacing w:val="-3"/>
          </w:rPr>
          <w:t> </w:t>
        </w:r>
        <w:r>
          <w:rPr/>
          <w:t>vacuna</w:t>
          <w:tab/>
          <w:t>101</w:t>
        </w:r>
      </w:hyperlink>
    </w:p>
    <w:p>
      <w:pPr>
        <w:pStyle w:val="BodyText"/>
        <w:tabs>
          <w:tab w:pos="9059" w:val="left" w:leader="dot"/>
        </w:tabs>
        <w:spacing w:before="21"/>
        <w:ind w:left="562"/>
      </w:pPr>
      <w:hyperlink w:history="true" w:anchor="_bookmark165">
        <w:r>
          <w:rPr/>
          <w:t>Gráfico 86.  Porcentaje de vacunados por</w:t>
        </w:r>
        <w:r>
          <w:rPr>
            <w:spacing w:val="-11"/>
          </w:rPr>
          <w:t> </w:t>
        </w:r>
        <w:r>
          <w:rPr/>
          <w:t>grupo</w:t>
        </w:r>
        <w:r>
          <w:rPr>
            <w:spacing w:val="-4"/>
          </w:rPr>
          <w:t> </w:t>
        </w:r>
        <w:r>
          <w:rPr/>
          <w:t>etario</w:t>
          <w:tab/>
          <w:t>101</w:t>
        </w:r>
      </w:hyperlink>
    </w:p>
    <w:p>
      <w:pPr>
        <w:pStyle w:val="BodyText"/>
        <w:tabs>
          <w:tab w:pos="9059" w:val="left" w:leader="dot"/>
        </w:tabs>
        <w:spacing w:before="18"/>
        <w:ind w:left="562"/>
      </w:pPr>
      <w:hyperlink w:history="true" w:anchor="_bookmark168">
        <w:r>
          <w:rPr/>
          <w:t>Gráfico 87.  Resultado presupuestario y colocación de Bonos del Tesoro a</w:t>
        </w:r>
        <w:r>
          <w:rPr>
            <w:spacing w:val="-20"/>
          </w:rPr>
          <w:t> </w:t>
        </w:r>
        <w:r>
          <w:rPr/>
          <w:t>junio</w:t>
        </w:r>
        <w:r>
          <w:rPr>
            <w:spacing w:val="-3"/>
          </w:rPr>
          <w:t> </w:t>
        </w:r>
        <w:r>
          <w:rPr/>
          <w:t>2022</w:t>
          <w:tab/>
          <w:t>104</w:t>
        </w:r>
      </w:hyperlink>
    </w:p>
    <w:p>
      <w:pPr>
        <w:pStyle w:val="BodyText"/>
        <w:spacing w:before="20"/>
        <w:ind w:left="562"/>
      </w:pPr>
      <w:hyperlink w:history="true" w:anchor="_bookmark169">
        <w:r>
          <w:rPr/>
          <w:t>Gráfico 88. Plazo y rendimiento histórico de la colocación de bonos del tesoro en moneda nacional</w:t>
        </w:r>
      </w:hyperlink>
    </w:p>
    <w:p>
      <w:pPr>
        <w:pStyle w:val="BodyText"/>
        <w:spacing w:before="21"/>
        <w:ind w:left="571"/>
      </w:pPr>
      <w:hyperlink w:history="true" w:anchor="_bookmark169">
        <w:r>
          <w:rPr/>
          <w:t>.........................................................................................................................................................</w:t>
        </w:r>
        <w:r>
          <w:rPr>
            <w:spacing w:val="16"/>
          </w:rPr>
          <w:t> </w:t>
        </w:r>
        <w:r>
          <w:rPr/>
          <w:t>104</w:t>
        </w:r>
      </w:hyperlink>
    </w:p>
    <w:p>
      <w:pPr>
        <w:pStyle w:val="BodyText"/>
        <w:tabs>
          <w:tab w:pos="9059" w:val="left" w:leader="dot"/>
        </w:tabs>
        <w:spacing w:line="256" w:lineRule="auto" w:before="21"/>
        <w:ind w:left="562" w:right="1707"/>
      </w:pPr>
      <w:hyperlink w:history="true" w:anchor="_bookmark170">
        <w:r>
          <w:rPr/>
          <w:t>Gráfico 89. Plazo y rendimiento histórico de la colocación de bonos del tesoro en moneda</w:t>
        </w:r>
      </w:hyperlink>
      <w:r>
        <w:rPr/>
        <w:t> </w:t>
      </w:r>
      <w:hyperlink w:history="true" w:anchor="_bookmark170">
        <w:r>
          <w:rPr/>
          <w:t>extranjera</w:t>
          <w:tab/>
        </w:r>
        <w:r>
          <w:rPr>
            <w:spacing w:val="-6"/>
          </w:rPr>
          <w:t>105</w:t>
        </w:r>
      </w:hyperlink>
    </w:p>
    <w:p>
      <w:pPr>
        <w:pStyle w:val="BodyText"/>
        <w:tabs>
          <w:tab w:pos="9059" w:val="left" w:leader="dot"/>
        </w:tabs>
        <w:spacing w:before="4"/>
        <w:ind w:left="562"/>
      </w:pPr>
      <w:hyperlink w:history="true" w:anchor="_bookmark171">
        <w:r>
          <w:rPr/>
          <w:t>Gráfico 90.  Bonos del Tesoro colocados en el segmento de</w:t>
        </w:r>
        <w:r>
          <w:rPr>
            <w:spacing w:val="-16"/>
          </w:rPr>
          <w:t> </w:t>
        </w:r>
        <w:r>
          <w:rPr/>
          <w:t>Pequeños</w:t>
        </w:r>
        <w:r>
          <w:rPr>
            <w:spacing w:val="-1"/>
          </w:rPr>
          <w:t> </w:t>
        </w:r>
        <w:r>
          <w:rPr/>
          <w:t>Inversionistas</w:t>
          <w:tab/>
          <w:t>105</w:t>
        </w:r>
      </w:hyperlink>
    </w:p>
    <w:p>
      <w:pPr>
        <w:pStyle w:val="BodyText"/>
        <w:tabs>
          <w:tab w:pos="9059" w:val="left" w:leader="dot"/>
        </w:tabs>
        <w:spacing w:before="20"/>
        <w:ind w:left="562"/>
      </w:pPr>
      <w:hyperlink w:history="true" w:anchor="_bookmark174">
        <w:r>
          <w:rPr/>
          <w:t>Gráfico 91.</w:t>
        </w:r>
        <w:r>
          <w:rPr>
            <w:spacing w:val="51"/>
          </w:rPr>
          <w:t> </w:t>
        </w:r>
        <w:r>
          <w:rPr/>
          <w:t>Recaudación</w:t>
        </w:r>
        <w:r>
          <w:rPr>
            <w:spacing w:val="-4"/>
          </w:rPr>
          <w:t> </w:t>
        </w:r>
        <w:r>
          <w:rPr/>
          <w:t>tributaria</w:t>
          <w:tab/>
          <w:t>106</w:t>
        </w:r>
      </w:hyperlink>
    </w:p>
    <w:p>
      <w:pPr>
        <w:pStyle w:val="BodyText"/>
        <w:tabs>
          <w:tab w:pos="9059" w:val="left" w:leader="dot"/>
        </w:tabs>
        <w:spacing w:before="21"/>
        <w:ind w:left="562"/>
      </w:pPr>
      <w:hyperlink w:history="true" w:anchor="_bookmark178">
        <w:r>
          <w:rPr/>
          <w:t>Gráfico 92.</w:t>
        </w:r>
        <w:r>
          <w:rPr>
            <w:spacing w:val="50"/>
          </w:rPr>
          <w:t> </w:t>
        </w:r>
        <w:r>
          <w:rPr/>
          <w:t>Déficit</w:t>
        </w:r>
        <w:r>
          <w:rPr>
            <w:spacing w:val="-4"/>
          </w:rPr>
          <w:t> </w:t>
        </w:r>
        <w:r>
          <w:rPr/>
          <w:t>fiscal</w:t>
          <w:tab/>
          <w:t>110</w:t>
        </w:r>
      </w:hyperlink>
    </w:p>
    <w:p>
      <w:pPr>
        <w:pStyle w:val="BodyText"/>
        <w:tabs>
          <w:tab w:pos="9059" w:val="left" w:leader="dot"/>
        </w:tabs>
        <w:spacing w:before="18"/>
        <w:ind w:left="562"/>
      </w:pPr>
      <w:hyperlink w:history="true" w:anchor="_bookmark180">
        <w:r>
          <w:rPr/>
          <w:t>Gráfico 93.  Indicadores de la deuda pública</w:t>
        </w:r>
        <w:r>
          <w:rPr>
            <w:spacing w:val="-13"/>
          </w:rPr>
          <w:t> </w:t>
        </w:r>
        <w:r>
          <w:rPr/>
          <w:t>de</w:t>
        </w:r>
        <w:r>
          <w:rPr>
            <w:spacing w:val="-1"/>
          </w:rPr>
          <w:t> </w:t>
        </w:r>
        <w:r>
          <w:rPr/>
          <w:t>Guatemala</w:t>
          <w:tab/>
          <w:t>111</w:t>
        </w:r>
      </w:hyperlink>
    </w:p>
    <w:p>
      <w:pPr>
        <w:pStyle w:val="BodyText"/>
        <w:tabs>
          <w:tab w:pos="9059" w:val="left" w:leader="dot"/>
        </w:tabs>
        <w:spacing w:before="21"/>
        <w:ind w:left="562"/>
      </w:pPr>
      <w:hyperlink w:history="true" w:anchor="_bookmark181">
        <w:r>
          <w:rPr/>
          <w:t>Gráfico 94.  Proyección del indicador deuda/PIB</w:t>
        </w:r>
        <w:r>
          <w:rPr>
            <w:spacing w:val="-12"/>
          </w:rPr>
          <w:t> </w:t>
        </w:r>
        <w:r>
          <w:rPr/>
          <w:t>para</w:t>
        </w:r>
        <w:r>
          <w:rPr>
            <w:spacing w:val="-1"/>
          </w:rPr>
          <w:t> </w:t>
        </w:r>
        <w:r>
          <w:rPr/>
          <w:t>2020-2022</w:t>
          <w:tab/>
          <w:t>113</w:t>
        </w:r>
      </w:hyperlink>
    </w:p>
    <w:p>
      <w:pPr>
        <w:pStyle w:val="BodyText"/>
        <w:tabs>
          <w:tab w:pos="9059" w:val="left" w:leader="dot"/>
        </w:tabs>
        <w:spacing w:before="20"/>
        <w:ind w:left="562"/>
      </w:pPr>
      <w:hyperlink w:history="true" w:anchor="_bookmark182">
        <w:r>
          <w:rPr/>
          <w:t>Gráfico 95.  Indicadores de deuda para Latinoamérica</w:t>
        </w:r>
        <w:r>
          <w:rPr>
            <w:spacing w:val="-13"/>
          </w:rPr>
          <w:t> </w:t>
        </w:r>
        <w:r>
          <w:rPr/>
          <w:t>en 2022</w:t>
          <w:tab/>
          <w:t>113</w:t>
        </w:r>
      </w:hyperlink>
    </w:p>
    <w:p>
      <w:pPr>
        <w:pStyle w:val="BodyText"/>
        <w:tabs>
          <w:tab w:pos="9059" w:val="left" w:leader="dot"/>
        </w:tabs>
        <w:spacing w:before="21"/>
        <w:ind w:left="562"/>
      </w:pPr>
      <w:hyperlink w:history="true" w:anchor="_bookmark187">
        <w:r>
          <w:rPr/>
          <w:t>Gráfico 96.  Plan</w:t>
        </w:r>
        <w:r>
          <w:rPr>
            <w:spacing w:val="-7"/>
          </w:rPr>
          <w:t> </w:t>
        </w:r>
        <w:r>
          <w:rPr/>
          <w:t>Estratégico</w:t>
        </w:r>
        <w:r>
          <w:rPr>
            <w:spacing w:val="-1"/>
          </w:rPr>
          <w:t> </w:t>
        </w:r>
        <w:r>
          <w:rPr/>
          <w:t>Institucional</w:t>
          <w:tab/>
          <w:t>119</w:t>
        </w:r>
      </w:hyperlink>
    </w:p>
    <w:p>
      <w:pPr>
        <w:pStyle w:val="BodyText"/>
        <w:tabs>
          <w:tab w:pos="9059" w:val="left" w:leader="dot"/>
        </w:tabs>
        <w:spacing w:before="18"/>
        <w:ind w:left="562"/>
      </w:pPr>
      <w:hyperlink w:history="true" w:anchor="_bookmark188">
        <w:r>
          <w:rPr/>
          <w:t>Gráfico 97.  Pilares del Plan</w:t>
        </w:r>
        <w:r>
          <w:rPr>
            <w:spacing w:val="-11"/>
          </w:rPr>
          <w:t> </w:t>
        </w:r>
        <w:r>
          <w:rPr/>
          <w:t>Estratégico Institucional</w:t>
          <w:tab/>
          <w:t>119</w:t>
        </w:r>
      </w:hyperlink>
    </w:p>
    <w:p>
      <w:pPr>
        <w:pStyle w:val="BodyText"/>
        <w:spacing w:before="21"/>
        <w:ind w:left="562"/>
      </w:pPr>
      <w:hyperlink w:history="true" w:anchor="_bookmark189">
        <w:r>
          <w:rPr/>
          <w:t>Gráfico 98. Identificación de factores externos que inciden en la insuficiente recaudación tributaria</w:t>
        </w:r>
      </w:hyperlink>
    </w:p>
    <w:p>
      <w:pPr>
        <w:pStyle w:val="BodyText"/>
        <w:spacing w:before="21"/>
        <w:ind w:left="571"/>
      </w:pPr>
      <w:hyperlink w:history="true" w:anchor="_bookmark189">
        <w:r>
          <w:rPr/>
          <w:t>......................................................................................................................................................... 120</w:t>
        </w:r>
      </w:hyperlink>
    </w:p>
    <w:p>
      <w:pPr>
        <w:pStyle w:val="BodyText"/>
        <w:spacing w:before="20"/>
        <w:ind w:left="562"/>
      </w:pPr>
      <w:hyperlink w:history="true" w:anchor="_bookmark190">
        <w:r>
          <w:rPr/>
          <w:t>Gráfico 99. Identificación de factores internos que inciden en la insuficiente recaudación tributaria</w:t>
        </w:r>
      </w:hyperlink>
    </w:p>
    <w:p>
      <w:pPr>
        <w:pStyle w:val="BodyText"/>
        <w:spacing w:before="19"/>
        <w:ind w:left="571"/>
      </w:pPr>
      <w:hyperlink w:history="true" w:anchor="_bookmark190">
        <w:r>
          <w:rPr/>
          <w:t>.........................................................................................................................................................</w:t>
        </w:r>
        <w:r>
          <w:rPr>
            <w:spacing w:val="16"/>
          </w:rPr>
          <w:t> </w:t>
        </w:r>
        <w:r>
          <w:rPr/>
          <w:t>120</w:t>
        </w:r>
      </w:hyperlink>
    </w:p>
    <w:p>
      <w:pPr>
        <w:pStyle w:val="BodyText"/>
        <w:tabs>
          <w:tab w:pos="9390" w:val="right" w:leader="dot"/>
        </w:tabs>
        <w:spacing w:before="20"/>
        <w:ind w:left="562"/>
      </w:pPr>
      <w:hyperlink w:history="true" w:anchor="_bookmark192">
        <w:r>
          <w:rPr/>
          <w:t>Gráfico 100.  Pilares estratégicos de la</w:t>
        </w:r>
        <w:r>
          <w:rPr>
            <w:spacing w:val="-5"/>
          </w:rPr>
          <w:t> </w:t>
        </w:r>
        <w:r>
          <w:rPr/>
          <w:t>PGG</w:t>
        </w:r>
        <w:r>
          <w:rPr>
            <w:spacing w:val="-1"/>
          </w:rPr>
          <w:t> </w:t>
        </w:r>
        <w:r>
          <w:rPr/>
          <w:t>2020-2024</w:t>
          <w:tab/>
          <w:t>123</w:t>
        </w:r>
      </w:hyperlink>
    </w:p>
    <w:p>
      <w:pPr>
        <w:pStyle w:val="BodyText"/>
        <w:tabs>
          <w:tab w:pos="9390" w:val="right" w:leader="dot"/>
        </w:tabs>
        <w:spacing w:before="21"/>
        <w:ind w:left="562"/>
      </w:pPr>
      <w:hyperlink w:history="true" w:anchor="_bookmark201">
        <w:r>
          <w:rPr/>
          <w:t>Gráfico 101.  Foros en el ejercicio de Presupuesto</w:t>
        </w:r>
        <w:r>
          <w:rPr>
            <w:spacing w:val="-3"/>
          </w:rPr>
          <w:t> </w:t>
        </w:r>
        <w:r>
          <w:rPr/>
          <w:t>Abierto</w:t>
        </w:r>
        <w:r>
          <w:rPr>
            <w:spacing w:val="-3"/>
          </w:rPr>
          <w:t> </w:t>
        </w:r>
        <w:r>
          <w:rPr/>
          <w:t>2023</w:t>
          <w:tab/>
          <w:t>136</w:t>
        </w:r>
      </w:hyperlink>
    </w:p>
    <w:p>
      <w:pPr>
        <w:pStyle w:val="BodyText"/>
        <w:tabs>
          <w:tab w:pos="9390" w:val="right" w:leader="dot"/>
        </w:tabs>
        <w:spacing w:before="21"/>
        <w:ind w:left="562"/>
      </w:pPr>
      <w:hyperlink w:history="true" w:anchor="_bookmark202">
        <w:r>
          <w:rPr/>
          <w:t>Gráfico 102.  Debates en el ejercicio de Presupuesto</w:t>
        </w:r>
        <w:r>
          <w:rPr>
            <w:spacing w:val="-7"/>
          </w:rPr>
          <w:t> </w:t>
        </w:r>
        <w:r>
          <w:rPr/>
          <w:t>Abierto 2023</w:t>
          <w:tab/>
          <w:t>137</w:t>
        </w:r>
      </w:hyperlink>
    </w:p>
    <w:p>
      <w:pPr>
        <w:pStyle w:val="BodyText"/>
        <w:tabs>
          <w:tab w:pos="9390" w:val="right" w:leader="dot"/>
        </w:tabs>
        <w:spacing w:before="18"/>
        <w:ind w:left="562"/>
      </w:pPr>
      <w:hyperlink w:history="true" w:anchor="_bookmark206">
        <w:r>
          <w:rPr/>
          <w:t>Gráfico 103.  Ingresos fiscales 2021-2027 en Millones</w:t>
        </w:r>
        <w:r>
          <w:rPr>
            <w:spacing w:val="-4"/>
          </w:rPr>
          <w:t> </w:t>
        </w:r>
        <w:r>
          <w:rPr/>
          <w:t>de</w:t>
        </w:r>
        <w:r>
          <w:rPr>
            <w:spacing w:val="-1"/>
          </w:rPr>
          <w:t> </w:t>
        </w:r>
        <w:r>
          <w:rPr/>
          <w:t>quetzales</w:t>
          <w:tab/>
          <w:t>139</w:t>
        </w:r>
      </w:hyperlink>
    </w:p>
    <w:p>
      <w:pPr>
        <w:pStyle w:val="BodyText"/>
        <w:tabs>
          <w:tab w:pos="9390" w:val="right" w:leader="dot"/>
        </w:tabs>
        <w:spacing w:before="20"/>
        <w:ind w:left="562"/>
      </w:pPr>
      <w:hyperlink w:history="true" w:anchor="_bookmark211">
        <w:r>
          <w:rPr/>
          <w:t>Gráfico 104.  Carga</w:t>
        </w:r>
        <w:r>
          <w:rPr>
            <w:spacing w:val="-1"/>
          </w:rPr>
          <w:t> </w:t>
        </w:r>
        <w:r>
          <w:rPr/>
          <w:t>tributaria 2019-2027</w:t>
          <w:tab/>
          <w:t>145</w:t>
        </w:r>
      </w:hyperlink>
    </w:p>
    <w:p>
      <w:pPr>
        <w:pStyle w:val="BodyText"/>
        <w:tabs>
          <w:tab w:pos="9390" w:val="right" w:leader="dot"/>
        </w:tabs>
        <w:spacing w:before="21"/>
        <w:ind w:left="562"/>
      </w:pPr>
      <w:hyperlink w:history="true" w:anchor="_bookmark214">
        <w:r>
          <w:rPr/>
          <w:t>Gráfico 105.  Carga tributaria</w:t>
        </w:r>
        <w:r>
          <w:rPr>
            <w:spacing w:val="-1"/>
          </w:rPr>
          <w:t> </w:t>
        </w:r>
        <w:r>
          <w:rPr/>
          <w:t>escenario</w:t>
        </w:r>
        <w:r>
          <w:rPr>
            <w:spacing w:val="1"/>
          </w:rPr>
          <w:t> </w:t>
        </w:r>
        <w:r>
          <w:rPr/>
          <w:t>medio</w:t>
          <w:tab/>
          <w:t>147</w:t>
        </w:r>
      </w:hyperlink>
    </w:p>
    <w:p>
      <w:pPr>
        <w:pStyle w:val="BodyText"/>
        <w:tabs>
          <w:tab w:pos="9390" w:val="right" w:leader="dot"/>
        </w:tabs>
        <w:spacing w:before="21"/>
        <w:ind w:left="562"/>
      </w:pPr>
      <w:hyperlink w:history="true" w:anchor="_bookmark216">
        <w:r>
          <w:rPr/>
          <w:t>Gráfico 106.  Carga tributaria escenario alto</w:t>
          <w:tab/>
          <w:t>149</w:t>
        </w:r>
      </w:hyperlink>
    </w:p>
    <w:p>
      <w:pPr>
        <w:pStyle w:val="BodyText"/>
        <w:tabs>
          <w:tab w:pos="9390" w:val="right" w:leader="dot"/>
        </w:tabs>
        <w:spacing w:before="18"/>
        <w:ind w:left="562"/>
      </w:pPr>
      <w:hyperlink w:history="true" w:anchor="_bookmark218">
        <w:r>
          <w:rPr/>
          <w:t>Gráfico 107.  Fanchart de la proyección de</w:t>
        </w:r>
        <w:r>
          <w:rPr>
            <w:spacing w:val="-2"/>
          </w:rPr>
          <w:t> </w:t>
        </w:r>
        <w:r>
          <w:rPr/>
          <w:t>carga tributaria</w:t>
          <w:tab/>
          <w:t>150</w:t>
        </w:r>
      </w:hyperlink>
    </w:p>
    <w:p>
      <w:pPr>
        <w:pStyle w:val="BodyText"/>
        <w:tabs>
          <w:tab w:pos="9390" w:val="right" w:leader="dot"/>
        </w:tabs>
        <w:spacing w:before="21"/>
        <w:ind w:left="562"/>
      </w:pPr>
      <w:hyperlink w:history="true" w:anchor="_bookmark220">
        <w:r>
          <w:rPr/>
          <w:t>Gráfico 108.</w:t>
        </w:r>
        <w:r>
          <w:rPr>
            <w:spacing w:val="54"/>
          </w:rPr>
          <w:t> </w:t>
        </w:r>
        <w:r>
          <w:rPr/>
          <w:t>Rigideces</w:t>
        </w:r>
        <w:r>
          <w:rPr>
            <w:spacing w:val="-2"/>
          </w:rPr>
          <w:t> </w:t>
        </w:r>
        <w:r>
          <w:rPr/>
          <w:t>presupuestarias</w:t>
          <w:tab/>
          <w:t>151</w:t>
        </w:r>
      </w:hyperlink>
    </w:p>
    <w:p>
      <w:pPr>
        <w:pStyle w:val="BodyText"/>
        <w:tabs>
          <w:tab w:pos="9390" w:val="right" w:leader="dot"/>
        </w:tabs>
        <w:spacing w:before="20"/>
        <w:ind w:left="562"/>
      </w:pPr>
      <w:hyperlink w:history="true" w:anchor="_bookmark221">
        <w:r>
          <w:rPr/>
          <w:t>Gráfico 109.  Asignación total</w:t>
        </w:r>
        <w:r>
          <w:rPr>
            <w:spacing w:val="-6"/>
          </w:rPr>
          <w:t> </w:t>
        </w:r>
        <w:r>
          <w:rPr/>
          <w:t>de egresos</w:t>
          <w:tab/>
          <w:t>152</w:t>
        </w:r>
      </w:hyperlink>
    </w:p>
    <w:p>
      <w:pPr>
        <w:pStyle w:val="BodyText"/>
        <w:tabs>
          <w:tab w:pos="9390" w:val="right" w:leader="dot"/>
        </w:tabs>
        <w:spacing w:before="21"/>
        <w:ind w:left="562"/>
      </w:pPr>
      <w:hyperlink w:history="true" w:anchor="_bookmark225">
        <w:r>
          <w:rPr/>
          <w:t>Gráfico 110.  Déficit fiscal y</w:t>
        </w:r>
        <w:r>
          <w:rPr>
            <w:spacing w:val="-8"/>
          </w:rPr>
          <w:t> </w:t>
        </w:r>
        <w:r>
          <w:rPr/>
          <w:t>su financiamiento</w:t>
          <w:tab/>
          <w:t>155</w:t>
        </w:r>
      </w:hyperlink>
    </w:p>
    <w:p>
      <w:pPr>
        <w:pStyle w:val="BodyText"/>
        <w:tabs>
          <w:tab w:pos="9390" w:val="right" w:leader="dot"/>
        </w:tabs>
        <w:spacing w:before="18"/>
        <w:ind w:left="562"/>
      </w:pPr>
      <w:hyperlink w:history="true" w:anchor="_bookmark226">
        <w:r>
          <w:rPr/>
          <w:t>Gráfico 111.  Proyección de Desembolsos de</w:t>
        </w:r>
        <w:r>
          <w:rPr>
            <w:spacing w:val="-8"/>
          </w:rPr>
          <w:t> </w:t>
        </w:r>
        <w:r>
          <w:rPr/>
          <w:t>Préstamos Externos</w:t>
          <w:tab/>
          <w:t>156</w:t>
        </w:r>
      </w:hyperlink>
    </w:p>
    <w:p>
      <w:pPr>
        <w:pStyle w:val="BodyText"/>
        <w:tabs>
          <w:tab w:pos="9390" w:val="right" w:leader="dot"/>
        </w:tabs>
        <w:spacing w:before="21"/>
        <w:ind w:left="562"/>
      </w:pPr>
      <w:hyperlink w:history="true" w:anchor="_bookmark228">
        <w:r>
          <w:rPr/>
          <w:t>Gráfico 112.   Indicadores de Solvencia de la</w:t>
        </w:r>
        <w:r>
          <w:rPr>
            <w:spacing w:val="-2"/>
          </w:rPr>
          <w:t> </w:t>
        </w:r>
        <w:r>
          <w:rPr/>
          <w:t>Deuda</w:t>
        </w:r>
        <w:r>
          <w:rPr>
            <w:spacing w:val="-1"/>
          </w:rPr>
          <w:t> </w:t>
        </w:r>
        <w:r>
          <w:rPr/>
          <w:t>Pública</w:t>
          <w:tab/>
          <w:t>157</w:t>
        </w:r>
      </w:hyperlink>
    </w:p>
    <w:p>
      <w:pPr>
        <w:pStyle w:val="BodyText"/>
        <w:tabs>
          <w:tab w:pos="9390" w:val="right" w:leader="dot"/>
        </w:tabs>
        <w:spacing w:before="21"/>
        <w:ind w:left="562"/>
      </w:pPr>
      <w:hyperlink w:history="true" w:anchor="_bookmark230">
        <w:r>
          <w:rPr/>
          <w:t>Gráfico 113.</w:t>
        </w:r>
        <w:r>
          <w:rPr>
            <w:spacing w:val="54"/>
          </w:rPr>
          <w:t> </w:t>
        </w:r>
        <w:r>
          <w:rPr/>
          <w:t>Impulso fiscal</w:t>
          <w:tab/>
          <w:t>160</w:t>
        </w:r>
      </w:hyperlink>
    </w:p>
    <w:p>
      <w:pPr>
        <w:pStyle w:val="BodyText"/>
        <w:tabs>
          <w:tab w:pos="9390" w:val="right" w:leader="dot"/>
        </w:tabs>
        <w:spacing w:before="20"/>
        <w:ind w:left="562"/>
      </w:pPr>
      <w:hyperlink w:history="true" w:anchor="_bookmark231">
        <w:r>
          <w:rPr/>
          <w:t>Gráfico 114.  Orientación de la</w:t>
        </w:r>
        <w:r>
          <w:rPr>
            <w:spacing w:val="-1"/>
          </w:rPr>
          <w:t> </w:t>
        </w:r>
        <w:r>
          <w:rPr/>
          <w:t>política</w:t>
        </w:r>
        <w:r>
          <w:rPr>
            <w:spacing w:val="-2"/>
          </w:rPr>
          <w:t> </w:t>
        </w:r>
        <w:r>
          <w:rPr/>
          <w:t>fiscal</w:t>
          <w:tab/>
          <w:t>161</w:t>
        </w:r>
      </w:hyperlink>
    </w:p>
    <w:p>
      <w:pPr>
        <w:pStyle w:val="BodyText"/>
        <w:tabs>
          <w:tab w:pos="9390" w:val="right" w:leader="dot"/>
        </w:tabs>
        <w:spacing w:before="19"/>
        <w:ind w:left="562"/>
      </w:pPr>
      <w:hyperlink w:history="true" w:anchor="_bookmark233">
        <w:r>
          <w:rPr/>
          <w:t>Gráfico 115.  Resultados de brechas de las metas de la</w:t>
        </w:r>
        <w:r>
          <w:rPr>
            <w:spacing w:val="-7"/>
          </w:rPr>
          <w:t> </w:t>
        </w:r>
        <w:r>
          <w:rPr/>
          <w:t>PGG</w:t>
        </w:r>
        <w:r>
          <w:rPr>
            <w:spacing w:val="-1"/>
          </w:rPr>
          <w:t> </w:t>
        </w:r>
        <w:r>
          <w:rPr/>
          <w:t>2021-2023</w:t>
          <w:tab/>
          <w:t>162</w:t>
        </w:r>
      </w:hyperlink>
    </w:p>
    <w:p>
      <w:pPr>
        <w:spacing w:after="0"/>
        <w:sectPr>
          <w:pgSz w:w="12240" w:h="15840"/>
          <w:pgMar w:header="715" w:footer="957" w:top="1240" w:bottom="1140" w:left="1140" w:right="0"/>
        </w:sectPr>
      </w:pPr>
    </w:p>
    <w:p>
      <w:pPr>
        <w:pStyle w:val="Heading1"/>
        <w:spacing w:before="168"/>
        <w:ind w:left="562"/>
      </w:pPr>
      <w:bookmarkStart w:name="_bookmark0" w:id="1"/>
      <w:bookmarkEnd w:id="1"/>
      <w:r>
        <w:rPr>
          <w:b w:val="0"/>
        </w:rPr>
      </w:r>
      <w:r>
        <w:rPr/>
        <w:t>Introducción</w:t>
      </w:r>
    </w:p>
    <w:p>
      <w:pPr>
        <w:pStyle w:val="BodyText"/>
        <w:spacing w:line="276" w:lineRule="auto" w:before="223"/>
        <w:ind w:left="562" w:right="1697"/>
        <w:jc w:val="both"/>
      </w:pPr>
      <w:r>
        <w:rPr/>
        <w:t>La Dirección de Análisis y Política Fiscal -DAPF-, de conformidad con lo establecido en el Artículo 54 del Acuerdo Gubernativo número 112-2018, Reglamento Orgánico del Ministerio de Finanzas Públicas, es la dependencia encargada de la formulación de propuesta y seguimiento de la política fiscal; así como de concentrar y proveer información de índole fiscal, mediante análisis económicos y</w:t>
      </w:r>
      <w:r>
        <w:rPr>
          <w:spacing w:val="-13"/>
        </w:rPr>
        <w:t> </w:t>
      </w:r>
      <w:r>
        <w:rPr/>
        <w:t>fiscales.</w:t>
      </w:r>
      <w:r>
        <w:rPr>
          <w:spacing w:val="-10"/>
        </w:rPr>
        <w:t> </w:t>
      </w:r>
      <w:r>
        <w:rPr/>
        <w:t>Asimismo,</w:t>
      </w:r>
      <w:r>
        <w:rPr>
          <w:spacing w:val="-10"/>
        </w:rPr>
        <w:t> </w:t>
      </w:r>
      <w:r>
        <w:rPr/>
        <w:t>en</w:t>
      </w:r>
      <w:r>
        <w:rPr>
          <w:spacing w:val="-9"/>
        </w:rPr>
        <w:t> </w:t>
      </w:r>
      <w:r>
        <w:rPr/>
        <w:t>las</w:t>
      </w:r>
      <w:r>
        <w:rPr>
          <w:spacing w:val="-11"/>
        </w:rPr>
        <w:t> </w:t>
      </w:r>
      <w:r>
        <w:rPr/>
        <w:t>Normas</w:t>
      </w:r>
      <w:r>
        <w:rPr>
          <w:spacing w:val="-9"/>
        </w:rPr>
        <w:t> </w:t>
      </w:r>
      <w:r>
        <w:rPr/>
        <w:t>para</w:t>
      </w:r>
      <w:r>
        <w:rPr>
          <w:spacing w:val="-10"/>
        </w:rPr>
        <w:t> </w:t>
      </w:r>
      <w:r>
        <w:rPr/>
        <w:t>la</w:t>
      </w:r>
      <w:r>
        <w:rPr>
          <w:spacing w:val="-9"/>
        </w:rPr>
        <w:t> </w:t>
      </w:r>
      <w:r>
        <w:rPr/>
        <w:t>Formulación</w:t>
      </w:r>
      <w:r>
        <w:rPr>
          <w:spacing w:val="-10"/>
        </w:rPr>
        <w:t> </w:t>
      </w:r>
      <w:r>
        <w:rPr/>
        <w:t>Presupuestaria</w:t>
      </w:r>
      <w:r>
        <w:rPr>
          <w:spacing w:val="-9"/>
        </w:rPr>
        <w:t> </w:t>
      </w:r>
      <w:r>
        <w:rPr/>
        <w:t>2023-2027,</w:t>
      </w:r>
      <w:r>
        <w:rPr>
          <w:spacing w:val="-9"/>
        </w:rPr>
        <w:t> </w:t>
      </w:r>
      <w:r>
        <w:rPr/>
        <w:t>específicamente en la norma 2 “Marco Fiscal de Mediano Plazo” -MFMP-, se establece que la DAPF elaborará el escenario</w:t>
      </w:r>
      <w:r>
        <w:rPr>
          <w:spacing w:val="-10"/>
        </w:rPr>
        <w:t> </w:t>
      </w:r>
      <w:r>
        <w:rPr/>
        <w:t>macroeconómico</w:t>
      </w:r>
      <w:r>
        <w:rPr>
          <w:spacing w:val="-11"/>
        </w:rPr>
        <w:t> </w:t>
      </w:r>
      <w:r>
        <w:rPr/>
        <w:t>interno</w:t>
      </w:r>
      <w:r>
        <w:rPr>
          <w:spacing w:val="-12"/>
        </w:rPr>
        <w:t> </w:t>
      </w:r>
      <w:r>
        <w:rPr/>
        <w:t>y</w:t>
      </w:r>
      <w:r>
        <w:rPr>
          <w:spacing w:val="-12"/>
        </w:rPr>
        <w:t> </w:t>
      </w:r>
      <w:r>
        <w:rPr/>
        <w:t>externo</w:t>
      </w:r>
      <w:r>
        <w:rPr>
          <w:spacing w:val="-12"/>
        </w:rPr>
        <w:t> </w:t>
      </w:r>
      <w:r>
        <w:rPr/>
        <w:t>sobre</w:t>
      </w:r>
      <w:r>
        <w:rPr>
          <w:spacing w:val="-11"/>
        </w:rPr>
        <w:t> </w:t>
      </w:r>
      <w:r>
        <w:rPr/>
        <w:t>la</w:t>
      </w:r>
      <w:r>
        <w:rPr>
          <w:spacing w:val="-12"/>
        </w:rPr>
        <w:t> </w:t>
      </w:r>
      <w:r>
        <w:rPr/>
        <w:t>base</w:t>
      </w:r>
      <w:r>
        <w:rPr>
          <w:spacing w:val="-12"/>
        </w:rPr>
        <w:t> </w:t>
      </w:r>
      <w:r>
        <w:rPr/>
        <w:t>de</w:t>
      </w:r>
      <w:r>
        <w:rPr>
          <w:spacing w:val="-12"/>
        </w:rPr>
        <w:t> </w:t>
      </w:r>
      <w:r>
        <w:rPr/>
        <w:t>las</w:t>
      </w:r>
      <w:r>
        <w:rPr>
          <w:spacing w:val="-9"/>
        </w:rPr>
        <w:t> </w:t>
      </w:r>
      <w:r>
        <w:rPr/>
        <w:t>proyecciones</w:t>
      </w:r>
      <w:r>
        <w:rPr>
          <w:spacing w:val="-9"/>
        </w:rPr>
        <w:t> </w:t>
      </w:r>
      <w:r>
        <w:rPr/>
        <w:t>provistas</w:t>
      </w:r>
      <w:r>
        <w:rPr>
          <w:spacing w:val="-10"/>
        </w:rPr>
        <w:t> </w:t>
      </w:r>
      <w:r>
        <w:rPr/>
        <w:t>por</w:t>
      </w:r>
      <w:r>
        <w:rPr>
          <w:spacing w:val="-9"/>
        </w:rPr>
        <w:t> </w:t>
      </w:r>
      <w:r>
        <w:rPr/>
        <w:t>el</w:t>
      </w:r>
      <w:r>
        <w:rPr>
          <w:spacing w:val="-11"/>
        </w:rPr>
        <w:t> </w:t>
      </w:r>
      <w:r>
        <w:rPr/>
        <w:t>Banco de</w:t>
      </w:r>
      <w:r>
        <w:rPr>
          <w:spacing w:val="-12"/>
        </w:rPr>
        <w:t> </w:t>
      </w:r>
      <w:r>
        <w:rPr/>
        <w:t>Guatemala,</w:t>
      </w:r>
      <w:r>
        <w:rPr>
          <w:spacing w:val="-14"/>
        </w:rPr>
        <w:t> </w:t>
      </w:r>
      <w:r>
        <w:rPr/>
        <w:t>así</w:t>
      </w:r>
      <w:r>
        <w:rPr>
          <w:spacing w:val="-13"/>
        </w:rPr>
        <w:t> </w:t>
      </w:r>
      <w:r>
        <w:rPr/>
        <w:t>como</w:t>
      </w:r>
      <w:r>
        <w:rPr>
          <w:spacing w:val="-12"/>
        </w:rPr>
        <w:t> </w:t>
      </w:r>
      <w:r>
        <w:rPr/>
        <w:t>el</w:t>
      </w:r>
      <w:r>
        <w:rPr>
          <w:spacing w:val="-13"/>
        </w:rPr>
        <w:t> </w:t>
      </w:r>
      <w:r>
        <w:rPr/>
        <w:t>escenario</w:t>
      </w:r>
      <w:r>
        <w:rPr>
          <w:spacing w:val="-13"/>
        </w:rPr>
        <w:t> </w:t>
      </w:r>
      <w:r>
        <w:rPr/>
        <w:t>fiscal</w:t>
      </w:r>
      <w:r>
        <w:rPr>
          <w:spacing w:val="-11"/>
        </w:rPr>
        <w:t> </w:t>
      </w:r>
      <w:r>
        <w:rPr/>
        <w:t>de</w:t>
      </w:r>
      <w:r>
        <w:rPr>
          <w:spacing w:val="-11"/>
        </w:rPr>
        <w:t> </w:t>
      </w:r>
      <w:r>
        <w:rPr/>
        <w:t>mediano</w:t>
      </w:r>
      <w:r>
        <w:rPr>
          <w:spacing w:val="-14"/>
        </w:rPr>
        <w:t> </w:t>
      </w:r>
      <w:r>
        <w:rPr/>
        <w:t>plazo</w:t>
      </w:r>
      <w:r>
        <w:rPr>
          <w:spacing w:val="-12"/>
        </w:rPr>
        <w:t> </w:t>
      </w:r>
      <w:r>
        <w:rPr/>
        <w:t>que</w:t>
      </w:r>
      <w:r>
        <w:rPr>
          <w:spacing w:val="-13"/>
        </w:rPr>
        <w:t> </w:t>
      </w:r>
      <w:r>
        <w:rPr/>
        <w:t>incluye</w:t>
      </w:r>
      <w:r>
        <w:rPr>
          <w:spacing w:val="-14"/>
        </w:rPr>
        <w:t> </w:t>
      </w:r>
      <w:r>
        <w:rPr/>
        <w:t>la</w:t>
      </w:r>
      <w:r>
        <w:rPr>
          <w:spacing w:val="-14"/>
        </w:rPr>
        <w:t> </w:t>
      </w:r>
      <w:r>
        <w:rPr/>
        <w:t>estimación</w:t>
      </w:r>
      <w:r>
        <w:rPr>
          <w:spacing w:val="-14"/>
        </w:rPr>
        <w:t> </w:t>
      </w:r>
      <w:r>
        <w:rPr/>
        <w:t>de</w:t>
      </w:r>
      <w:r>
        <w:rPr>
          <w:spacing w:val="-14"/>
        </w:rPr>
        <w:t> </w:t>
      </w:r>
      <w:r>
        <w:rPr/>
        <w:t>los</w:t>
      </w:r>
      <w:r>
        <w:rPr>
          <w:spacing w:val="-13"/>
        </w:rPr>
        <w:t> </w:t>
      </w:r>
      <w:r>
        <w:rPr/>
        <w:t>ingresos tributarios (indicando los supuestos y metodología). En virtud de ello, se ha elaborado el Marco Fiscal de Mediano Plazo (MFMP) para el período</w:t>
      </w:r>
      <w:r>
        <w:rPr>
          <w:spacing w:val="-3"/>
        </w:rPr>
        <w:t> </w:t>
      </w:r>
      <w:r>
        <w:rPr/>
        <w:t>2023-2027.</w:t>
      </w:r>
    </w:p>
    <w:p>
      <w:pPr>
        <w:pStyle w:val="BodyText"/>
        <w:spacing w:line="276" w:lineRule="auto" w:before="188"/>
        <w:ind w:left="562" w:right="1695"/>
        <w:jc w:val="both"/>
      </w:pPr>
      <w:r>
        <w:rPr/>
        <w:t>Este</w:t>
      </w:r>
      <w:r>
        <w:rPr>
          <w:spacing w:val="-4"/>
        </w:rPr>
        <w:t> </w:t>
      </w:r>
      <w:r>
        <w:rPr/>
        <w:t>documento</w:t>
      </w:r>
      <w:r>
        <w:rPr>
          <w:spacing w:val="-4"/>
        </w:rPr>
        <w:t> </w:t>
      </w:r>
      <w:r>
        <w:rPr/>
        <w:t>es</w:t>
      </w:r>
      <w:r>
        <w:rPr>
          <w:spacing w:val="-4"/>
        </w:rPr>
        <w:t> </w:t>
      </w:r>
      <w:r>
        <w:rPr/>
        <w:t>elaborado</w:t>
      </w:r>
      <w:r>
        <w:rPr>
          <w:spacing w:val="-3"/>
        </w:rPr>
        <w:t> </w:t>
      </w:r>
      <w:r>
        <w:rPr/>
        <w:t>como</w:t>
      </w:r>
      <w:r>
        <w:rPr>
          <w:spacing w:val="-5"/>
        </w:rPr>
        <w:t> </w:t>
      </w:r>
      <w:r>
        <w:rPr/>
        <w:t>herramienta</w:t>
      </w:r>
      <w:r>
        <w:rPr>
          <w:spacing w:val="-3"/>
        </w:rPr>
        <w:t> </w:t>
      </w:r>
      <w:r>
        <w:rPr/>
        <w:t>de</w:t>
      </w:r>
      <w:r>
        <w:rPr>
          <w:spacing w:val="-7"/>
        </w:rPr>
        <w:t> </w:t>
      </w:r>
      <w:r>
        <w:rPr/>
        <w:t>apoyo</w:t>
      </w:r>
      <w:r>
        <w:rPr>
          <w:spacing w:val="-4"/>
        </w:rPr>
        <w:t> </w:t>
      </w:r>
      <w:r>
        <w:rPr/>
        <w:t>para</w:t>
      </w:r>
      <w:r>
        <w:rPr>
          <w:spacing w:val="-4"/>
        </w:rPr>
        <w:t> </w:t>
      </w:r>
      <w:r>
        <w:rPr/>
        <w:t>el</w:t>
      </w:r>
      <w:r>
        <w:rPr>
          <w:spacing w:val="-5"/>
        </w:rPr>
        <w:t> </w:t>
      </w:r>
      <w:r>
        <w:rPr/>
        <w:t>análisis</w:t>
      </w:r>
      <w:r>
        <w:rPr>
          <w:spacing w:val="-4"/>
        </w:rPr>
        <w:t> </w:t>
      </w:r>
      <w:r>
        <w:rPr/>
        <w:t>de</w:t>
      </w:r>
      <w:r>
        <w:rPr>
          <w:spacing w:val="-6"/>
        </w:rPr>
        <w:t> </w:t>
      </w:r>
      <w:r>
        <w:rPr/>
        <w:t>las</w:t>
      </w:r>
      <w:r>
        <w:rPr>
          <w:spacing w:val="-4"/>
        </w:rPr>
        <w:t> </w:t>
      </w:r>
      <w:r>
        <w:rPr/>
        <w:t>principales</w:t>
      </w:r>
      <w:r>
        <w:rPr>
          <w:spacing w:val="-3"/>
        </w:rPr>
        <w:t> </w:t>
      </w:r>
      <w:r>
        <w:rPr/>
        <w:t>variables asociadas a la política fiscal para un período multianual de cinco años (2023-2027), con el propósito de fortalecer la transparencia, rendición de cuentas y la credibilidad de las finanzas públicas. En ese sentido, es un instrumento de utilidad ya que provee proyecciones macrofiscales de mediano plazo que</w:t>
      </w:r>
      <w:r>
        <w:rPr>
          <w:spacing w:val="-4"/>
        </w:rPr>
        <w:t> </w:t>
      </w:r>
      <w:r>
        <w:rPr/>
        <w:t>coadyuva</w:t>
      </w:r>
      <w:r>
        <w:rPr>
          <w:spacing w:val="-4"/>
        </w:rPr>
        <w:t> </w:t>
      </w:r>
      <w:r>
        <w:rPr/>
        <w:t>a</w:t>
      </w:r>
      <w:r>
        <w:rPr>
          <w:spacing w:val="-3"/>
        </w:rPr>
        <w:t> </w:t>
      </w:r>
      <w:r>
        <w:rPr/>
        <w:t>la</w:t>
      </w:r>
      <w:r>
        <w:rPr>
          <w:spacing w:val="-4"/>
        </w:rPr>
        <w:t> </w:t>
      </w:r>
      <w:r>
        <w:rPr/>
        <w:t>determinación</w:t>
      </w:r>
      <w:r>
        <w:rPr>
          <w:spacing w:val="-6"/>
        </w:rPr>
        <w:t> </w:t>
      </w:r>
      <w:r>
        <w:rPr/>
        <w:t>de</w:t>
      </w:r>
      <w:r>
        <w:rPr>
          <w:spacing w:val="-3"/>
        </w:rPr>
        <w:t> </w:t>
      </w:r>
      <w:r>
        <w:rPr/>
        <w:t>los</w:t>
      </w:r>
      <w:r>
        <w:rPr>
          <w:spacing w:val="-4"/>
        </w:rPr>
        <w:t> </w:t>
      </w:r>
      <w:r>
        <w:rPr/>
        <w:t>techos</w:t>
      </w:r>
      <w:r>
        <w:rPr>
          <w:spacing w:val="-4"/>
        </w:rPr>
        <w:t> </w:t>
      </w:r>
      <w:r>
        <w:rPr/>
        <w:t>presupuestarios</w:t>
      </w:r>
      <w:r>
        <w:rPr>
          <w:spacing w:val="-3"/>
        </w:rPr>
        <w:t> </w:t>
      </w:r>
      <w:r>
        <w:rPr/>
        <w:t>institucionales</w:t>
      </w:r>
      <w:r>
        <w:rPr>
          <w:spacing w:val="-4"/>
        </w:rPr>
        <w:t> </w:t>
      </w:r>
      <w:r>
        <w:rPr/>
        <w:t>que</w:t>
      </w:r>
      <w:r>
        <w:rPr>
          <w:spacing w:val="-7"/>
        </w:rPr>
        <w:t> </w:t>
      </w:r>
      <w:r>
        <w:rPr/>
        <w:t>elabora</w:t>
      </w:r>
      <w:r>
        <w:rPr>
          <w:spacing w:val="-3"/>
        </w:rPr>
        <w:t> </w:t>
      </w:r>
      <w:r>
        <w:rPr/>
        <w:t>y</w:t>
      </w:r>
      <w:r>
        <w:rPr>
          <w:spacing w:val="-7"/>
        </w:rPr>
        <w:t> </w:t>
      </w:r>
      <w:r>
        <w:rPr/>
        <w:t>presenta la Dirección Técnica del Presupuesto en la definición del Proyecto de Presupuesto General de Ingresos y Egresos del Estado para el Ejercicio Fiscal 2023. Además, este documento permite entender la fuente y el tamaño de los desafíos fiscales, generando alertas tempranas sobre la sostenibilidad de la deuda pública, que se abordará con mayor detalle en la separata de riesgos fiscales.</w:t>
      </w:r>
    </w:p>
    <w:p>
      <w:pPr>
        <w:pStyle w:val="BodyText"/>
        <w:spacing w:line="276" w:lineRule="auto" w:before="184"/>
        <w:ind w:left="562" w:right="1694"/>
        <w:jc w:val="both"/>
      </w:pPr>
      <w:r>
        <w:rPr/>
        <w:t>Después del giro importante que tuvo la economía nacional e internacional en 2020 derivado del impacto de la pandemia COVID-19, es importante señalar que la economía mundial se recuperó en 2021 derivado de las diferentes medidas sanitarias y económicas que aplicaron los países. Sin embargo, prevalecen los riesgos ante la presencia de nuevas variantes que pueden frenar el impulso que se había alcanzado. Además, el conflicto geopolítico entre Rusia y Ucrania genera otra tensión importante en los mercados internacionales que afecta el abastecimiento del mercado y crea volatilidad en los precios de los </w:t>
      </w:r>
      <w:r>
        <w:rPr>
          <w:i/>
        </w:rPr>
        <w:t>commodities</w:t>
      </w:r>
      <w:r>
        <w:rPr/>
        <w:t>, incidiendo también en los mercados financieros. La prevalencia de estas circunstancias seguirá afectando las actividades económicas, comerciales y financieras,</w:t>
      </w:r>
      <w:r>
        <w:rPr>
          <w:spacing w:val="-7"/>
        </w:rPr>
        <w:t> </w:t>
      </w:r>
      <w:r>
        <w:rPr/>
        <w:t>generando</w:t>
      </w:r>
      <w:r>
        <w:rPr>
          <w:spacing w:val="-7"/>
        </w:rPr>
        <w:t> </w:t>
      </w:r>
      <w:r>
        <w:rPr/>
        <w:t>un</w:t>
      </w:r>
      <w:r>
        <w:rPr>
          <w:spacing w:val="-9"/>
        </w:rPr>
        <w:t> </w:t>
      </w:r>
      <w:r>
        <w:rPr/>
        <w:t>escenario</w:t>
      </w:r>
      <w:r>
        <w:rPr>
          <w:spacing w:val="-7"/>
        </w:rPr>
        <w:t> </w:t>
      </w:r>
      <w:r>
        <w:rPr/>
        <w:t>de</w:t>
      </w:r>
      <w:r>
        <w:rPr>
          <w:spacing w:val="-7"/>
        </w:rPr>
        <w:t> </w:t>
      </w:r>
      <w:r>
        <w:rPr/>
        <w:t>incertidumbre</w:t>
      </w:r>
      <w:r>
        <w:rPr>
          <w:spacing w:val="-8"/>
        </w:rPr>
        <w:t> </w:t>
      </w:r>
      <w:r>
        <w:rPr/>
        <w:t>mundial,</w:t>
      </w:r>
      <w:r>
        <w:rPr>
          <w:spacing w:val="-7"/>
        </w:rPr>
        <w:t> </w:t>
      </w:r>
      <w:r>
        <w:rPr/>
        <w:t>situación</w:t>
      </w:r>
      <w:r>
        <w:rPr>
          <w:spacing w:val="-10"/>
        </w:rPr>
        <w:t> </w:t>
      </w:r>
      <w:r>
        <w:rPr/>
        <w:t>que</w:t>
      </w:r>
      <w:r>
        <w:rPr>
          <w:spacing w:val="-8"/>
        </w:rPr>
        <w:t> </w:t>
      </w:r>
      <w:r>
        <w:rPr/>
        <w:t>afecta</w:t>
      </w:r>
      <w:r>
        <w:rPr>
          <w:spacing w:val="-9"/>
        </w:rPr>
        <w:t> </w:t>
      </w:r>
      <w:r>
        <w:rPr/>
        <w:t>el</w:t>
      </w:r>
      <w:r>
        <w:rPr>
          <w:spacing w:val="-8"/>
        </w:rPr>
        <w:t> </w:t>
      </w:r>
      <w:r>
        <w:rPr/>
        <w:t>crecimiento</w:t>
      </w:r>
      <w:r>
        <w:rPr>
          <w:spacing w:val="-9"/>
        </w:rPr>
        <w:t> </w:t>
      </w:r>
      <w:r>
        <w:rPr/>
        <w:t>de corto y mediano plazo. Asimismo, en la economía nacional después de una fuerte recuperación en 2021, se prevé que la misma se modere en 2022 y en el mediano plazo, retorne a su tendencia histórica, muy cercana a su nivel</w:t>
      </w:r>
      <w:r>
        <w:rPr>
          <w:spacing w:val="-7"/>
        </w:rPr>
        <w:t> </w:t>
      </w:r>
      <w:r>
        <w:rPr/>
        <w:t>potencial.</w:t>
      </w:r>
    </w:p>
    <w:p>
      <w:pPr>
        <w:pStyle w:val="BodyText"/>
        <w:spacing w:line="276" w:lineRule="auto" w:before="186"/>
        <w:ind w:left="562" w:right="1697"/>
        <w:jc w:val="both"/>
      </w:pPr>
      <w:r>
        <w:rPr/>
        <w:t>De esa cuenta, el planteamiento de un escenario de mediano plazo se constituye en una herramienta de apoyo para la toma de decisiones en materia de política fiscal. La búsqueda de los equilibrios que apunten a un fortalecimiento del gasto público y la necesidad de contar con las fuentes de financiamiento son los factores prioritarios, dentro de un esquema de sostenibilidad de las finanzas públicas.</w:t>
      </w:r>
    </w:p>
    <w:p>
      <w:pPr>
        <w:pStyle w:val="BodyText"/>
        <w:spacing w:line="276" w:lineRule="auto" w:before="185"/>
        <w:ind w:left="562" w:right="1695"/>
        <w:jc w:val="both"/>
      </w:pPr>
      <w:r>
        <w:rPr/>
        <w:t>El MFMP está estructurado con los siguientes apartados: Análisis del Entorno Macroeconómico y Perspectivas de Mediano Plazo, donde se analiza el contexto económico internacional de 2021-2022 y la evolución el desempeño sobre el cual la economía nacional viene evolucionando y sus</w:t>
      </w:r>
    </w:p>
    <w:p>
      <w:pPr>
        <w:spacing w:after="0" w:line="276" w:lineRule="auto"/>
        <w:jc w:val="both"/>
        <w:sectPr>
          <w:pgSz w:w="12240" w:h="15840"/>
          <w:pgMar w:header="715" w:footer="957" w:top="1240" w:bottom="1140" w:left="1140" w:right="0"/>
        </w:sectPr>
      </w:pPr>
    </w:p>
    <w:p>
      <w:pPr>
        <w:pStyle w:val="BodyText"/>
        <w:spacing w:line="276" w:lineRule="auto" w:before="162"/>
        <w:ind w:left="562" w:right="1693"/>
        <w:jc w:val="both"/>
      </w:pPr>
      <w:r>
        <w:rPr/>
        <w:t>perspectivas de mediano plazo. En su segundo apartado se elabora el análisis del desempeño de la política fiscal de 2021, así como el comportamiento reciente y perspectivas del cierre 2022, para establecer el marco fiscal de mediano plazo que contiene las perspectivas 2023-2027, destacando dentro</w:t>
      </w:r>
      <w:r>
        <w:rPr>
          <w:spacing w:val="-7"/>
        </w:rPr>
        <w:t> </w:t>
      </w:r>
      <w:r>
        <w:rPr/>
        <w:t>de</w:t>
      </w:r>
      <w:r>
        <w:rPr>
          <w:spacing w:val="-6"/>
        </w:rPr>
        <w:t> </w:t>
      </w:r>
      <w:r>
        <w:rPr/>
        <w:t>ello,</w:t>
      </w:r>
      <w:r>
        <w:rPr>
          <w:spacing w:val="-10"/>
        </w:rPr>
        <w:t> </w:t>
      </w:r>
      <w:r>
        <w:rPr/>
        <w:t>los</w:t>
      </w:r>
      <w:r>
        <w:rPr>
          <w:spacing w:val="-8"/>
        </w:rPr>
        <w:t> </w:t>
      </w:r>
      <w:r>
        <w:rPr/>
        <w:t>objetivos</w:t>
      </w:r>
      <w:r>
        <w:rPr>
          <w:spacing w:val="-6"/>
        </w:rPr>
        <w:t> </w:t>
      </w:r>
      <w:r>
        <w:rPr/>
        <w:t>y</w:t>
      </w:r>
      <w:r>
        <w:rPr>
          <w:spacing w:val="-9"/>
        </w:rPr>
        <w:t> </w:t>
      </w:r>
      <w:r>
        <w:rPr/>
        <w:t>lineamentos</w:t>
      </w:r>
      <w:r>
        <w:rPr>
          <w:spacing w:val="-9"/>
        </w:rPr>
        <w:t> </w:t>
      </w:r>
      <w:r>
        <w:rPr/>
        <w:t>estratégicos</w:t>
      </w:r>
      <w:r>
        <w:rPr>
          <w:spacing w:val="-8"/>
        </w:rPr>
        <w:t> </w:t>
      </w:r>
      <w:r>
        <w:rPr/>
        <w:t>de</w:t>
      </w:r>
      <w:r>
        <w:rPr>
          <w:spacing w:val="-6"/>
        </w:rPr>
        <w:t> </w:t>
      </w:r>
      <w:r>
        <w:rPr/>
        <w:t>la</w:t>
      </w:r>
      <w:r>
        <w:rPr>
          <w:spacing w:val="-7"/>
        </w:rPr>
        <w:t> </w:t>
      </w:r>
      <w:r>
        <w:rPr/>
        <w:t>política</w:t>
      </w:r>
      <w:r>
        <w:rPr>
          <w:spacing w:val="-8"/>
        </w:rPr>
        <w:t> </w:t>
      </w:r>
      <w:r>
        <w:rPr/>
        <w:t>fiscal.</w:t>
      </w:r>
      <w:r>
        <w:rPr>
          <w:spacing w:val="40"/>
        </w:rPr>
        <w:t> </w:t>
      </w:r>
      <w:r>
        <w:rPr/>
        <w:t>Lo</w:t>
      </w:r>
      <w:r>
        <w:rPr>
          <w:spacing w:val="-10"/>
        </w:rPr>
        <w:t> </w:t>
      </w:r>
      <w:r>
        <w:rPr/>
        <w:t>anterior,</w:t>
      </w:r>
      <w:r>
        <w:rPr>
          <w:spacing w:val="-9"/>
        </w:rPr>
        <w:t> </w:t>
      </w:r>
      <w:r>
        <w:rPr/>
        <w:t>sobre</w:t>
      </w:r>
      <w:r>
        <w:rPr>
          <w:spacing w:val="-9"/>
        </w:rPr>
        <w:t> </w:t>
      </w:r>
      <w:r>
        <w:rPr/>
        <w:t>la</w:t>
      </w:r>
      <w:r>
        <w:rPr>
          <w:spacing w:val="-8"/>
        </w:rPr>
        <w:t> </w:t>
      </w:r>
      <w:r>
        <w:rPr/>
        <w:t>base de</w:t>
      </w:r>
      <w:r>
        <w:rPr>
          <w:spacing w:val="-12"/>
        </w:rPr>
        <w:t> </w:t>
      </w:r>
      <w:r>
        <w:rPr/>
        <w:t>una</w:t>
      </w:r>
      <w:r>
        <w:rPr>
          <w:spacing w:val="-14"/>
        </w:rPr>
        <w:t> </w:t>
      </w:r>
      <w:r>
        <w:rPr/>
        <w:t>proyección</w:t>
      </w:r>
      <w:r>
        <w:rPr>
          <w:spacing w:val="-12"/>
        </w:rPr>
        <w:t> </w:t>
      </w:r>
      <w:r>
        <w:rPr/>
        <w:t>de</w:t>
      </w:r>
      <w:r>
        <w:rPr>
          <w:spacing w:val="-13"/>
        </w:rPr>
        <w:t> </w:t>
      </w:r>
      <w:r>
        <w:rPr/>
        <w:t>ingresos</w:t>
      </w:r>
      <w:r>
        <w:rPr>
          <w:spacing w:val="-11"/>
        </w:rPr>
        <w:t> </w:t>
      </w:r>
      <w:r>
        <w:rPr/>
        <w:t>tributarios</w:t>
      </w:r>
      <w:r>
        <w:rPr>
          <w:spacing w:val="-14"/>
        </w:rPr>
        <w:t> </w:t>
      </w:r>
      <w:r>
        <w:rPr/>
        <w:t>en</w:t>
      </w:r>
      <w:r>
        <w:rPr>
          <w:spacing w:val="-10"/>
        </w:rPr>
        <w:t> </w:t>
      </w:r>
      <w:r>
        <w:rPr/>
        <w:t>donde</w:t>
      </w:r>
      <w:r>
        <w:rPr>
          <w:spacing w:val="-14"/>
        </w:rPr>
        <w:t> </w:t>
      </w:r>
      <w:r>
        <w:rPr/>
        <w:t>se</w:t>
      </w:r>
      <w:r>
        <w:rPr>
          <w:spacing w:val="-14"/>
        </w:rPr>
        <w:t> </w:t>
      </w:r>
      <w:r>
        <w:rPr/>
        <w:t>prevé</w:t>
      </w:r>
      <w:r>
        <w:rPr>
          <w:spacing w:val="-10"/>
        </w:rPr>
        <w:t> </w:t>
      </w:r>
      <w:r>
        <w:rPr/>
        <w:t>que</w:t>
      </w:r>
      <w:r>
        <w:rPr>
          <w:spacing w:val="-14"/>
        </w:rPr>
        <w:t> </w:t>
      </w:r>
      <w:r>
        <w:rPr/>
        <w:t>las</w:t>
      </w:r>
      <w:r>
        <w:rPr>
          <w:spacing w:val="-13"/>
        </w:rPr>
        <w:t> </w:t>
      </w:r>
      <w:r>
        <w:rPr/>
        <w:t>medidas</w:t>
      </w:r>
      <w:r>
        <w:rPr>
          <w:spacing w:val="-13"/>
        </w:rPr>
        <w:t> </w:t>
      </w:r>
      <w:r>
        <w:rPr/>
        <w:t>administrativas</w:t>
      </w:r>
      <w:r>
        <w:rPr>
          <w:spacing w:val="-8"/>
        </w:rPr>
        <w:t> </w:t>
      </w:r>
      <w:r>
        <w:rPr/>
        <w:t>(ingresos adicionales)</w:t>
      </w:r>
      <w:r>
        <w:rPr>
          <w:spacing w:val="-6"/>
        </w:rPr>
        <w:t> </w:t>
      </w:r>
      <w:r>
        <w:rPr/>
        <w:t>que</w:t>
      </w:r>
      <w:r>
        <w:rPr>
          <w:spacing w:val="-7"/>
        </w:rPr>
        <w:t> </w:t>
      </w:r>
      <w:r>
        <w:rPr/>
        <w:t>implementará</w:t>
      </w:r>
      <w:r>
        <w:rPr>
          <w:spacing w:val="-7"/>
        </w:rPr>
        <w:t> </w:t>
      </w:r>
      <w:r>
        <w:rPr/>
        <w:t>la</w:t>
      </w:r>
      <w:r>
        <w:rPr>
          <w:spacing w:val="-7"/>
        </w:rPr>
        <w:t> </w:t>
      </w:r>
      <w:r>
        <w:rPr/>
        <w:t>Superintendencia</w:t>
      </w:r>
      <w:r>
        <w:rPr>
          <w:spacing w:val="-7"/>
        </w:rPr>
        <w:t> </w:t>
      </w:r>
      <w:r>
        <w:rPr/>
        <w:t>de</w:t>
      </w:r>
      <w:r>
        <w:rPr>
          <w:spacing w:val="-8"/>
        </w:rPr>
        <w:t> </w:t>
      </w:r>
      <w:r>
        <w:rPr/>
        <w:t>Administración</w:t>
      </w:r>
      <w:r>
        <w:rPr>
          <w:spacing w:val="-7"/>
        </w:rPr>
        <w:t> </w:t>
      </w:r>
      <w:r>
        <w:rPr/>
        <w:t>Tributaria -SAT-</w:t>
      </w:r>
      <w:r>
        <w:rPr>
          <w:spacing w:val="-9"/>
        </w:rPr>
        <w:t> </w:t>
      </w:r>
      <w:r>
        <w:rPr/>
        <w:t>alcancen</w:t>
      </w:r>
      <w:r>
        <w:rPr>
          <w:spacing w:val="-7"/>
        </w:rPr>
        <w:t> </w:t>
      </w:r>
      <w:r>
        <w:rPr/>
        <w:t>los Q1,250 millones en 2023 y la carga tributaria se mantenga en 11.5% en el período</w:t>
      </w:r>
      <w:r>
        <w:rPr>
          <w:spacing w:val="-15"/>
        </w:rPr>
        <w:t> </w:t>
      </w:r>
      <w:r>
        <w:rPr/>
        <w:t>2023-2027.</w:t>
      </w:r>
    </w:p>
    <w:p>
      <w:pPr>
        <w:pStyle w:val="Heading1"/>
        <w:numPr>
          <w:ilvl w:val="0"/>
          <w:numId w:val="9"/>
        </w:numPr>
        <w:tabs>
          <w:tab w:pos="704" w:val="left" w:leader="none"/>
        </w:tabs>
        <w:spacing w:line="240" w:lineRule="auto" w:before="166" w:after="0"/>
        <w:ind w:left="703" w:right="0" w:hanging="308"/>
        <w:jc w:val="left"/>
      </w:pPr>
      <w:bookmarkStart w:name="_bookmark1" w:id="2"/>
      <w:bookmarkEnd w:id="2"/>
      <w:r>
        <w:rPr>
          <w:b w:val="0"/>
        </w:rPr>
      </w:r>
      <w:bookmarkStart w:name="_bookmark1" w:id="3"/>
      <w:bookmarkEnd w:id="3"/>
      <w:r>
        <w:rPr/>
        <w:t>Entorno</w:t>
      </w:r>
      <w:r>
        <w:rPr/>
        <w:t> macroeconómico</w:t>
      </w:r>
    </w:p>
    <w:p>
      <w:pPr>
        <w:pStyle w:val="BodyText"/>
        <w:spacing w:before="9"/>
        <w:rPr>
          <w:b/>
          <w:sz w:val="28"/>
        </w:rPr>
      </w:pPr>
    </w:p>
    <w:p>
      <w:pPr>
        <w:pStyle w:val="BodyText"/>
        <w:spacing w:line="276" w:lineRule="auto"/>
        <w:ind w:left="562" w:right="1693"/>
        <w:jc w:val="both"/>
      </w:pPr>
      <w:r>
        <w:rPr/>
        <w:t>La</w:t>
      </w:r>
      <w:r>
        <w:rPr>
          <w:spacing w:val="-7"/>
        </w:rPr>
        <w:t> </w:t>
      </w:r>
      <w:r>
        <w:rPr/>
        <w:t>evolución</w:t>
      </w:r>
      <w:r>
        <w:rPr>
          <w:spacing w:val="-7"/>
        </w:rPr>
        <w:t> </w:t>
      </w:r>
      <w:r>
        <w:rPr/>
        <w:t>de</w:t>
      </w:r>
      <w:r>
        <w:rPr>
          <w:spacing w:val="-7"/>
        </w:rPr>
        <w:t> </w:t>
      </w:r>
      <w:r>
        <w:rPr/>
        <w:t>la</w:t>
      </w:r>
      <w:r>
        <w:rPr>
          <w:spacing w:val="-7"/>
        </w:rPr>
        <w:t> </w:t>
      </w:r>
      <w:r>
        <w:rPr/>
        <w:t>economía</w:t>
      </w:r>
      <w:r>
        <w:rPr>
          <w:spacing w:val="-5"/>
        </w:rPr>
        <w:t> </w:t>
      </w:r>
      <w:r>
        <w:rPr/>
        <w:t>internacional</w:t>
      </w:r>
      <w:r>
        <w:rPr>
          <w:spacing w:val="-6"/>
        </w:rPr>
        <w:t> </w:t>
      </w:r>
      <w:r>
        <w:rPr/>
        <w:t>continúa</w:t>
      </w:r>
      <w:r>
        <w:rPr>
          <w:spacing w:val="-9"/>
        </w:rPr>
        <w:t> </w:t>
      </w:r>
      <w:r>
        <w:rPr/>
        <w:t>incierta</w:t>
      </w:r>
      <w:r>
        <w:rPr>
          <w:spacing w:val="-8"/>
        </w:rPr>
        <w:t> </w:t>
      </w:r>
      <w:r>
        <w:rPr/>
        <w:t>a</w:t>
      </w:r>
      <w:r>
        <w:rPr>
          <w:spacing w:val="-6"/>
        </w:rPr>
        <w:t> </w:t>
      </w:r>
      <w:r>
        <w:rPr/>
        <w:t>pesar</w:t>
      </w:r>
      <w:r>
        <w:rPr>
          <w:spacing w:val="-9"/>
        </w:rPr>
        <w:t> </w:t>
      </w:r>
      <w:r>
        <w:rPr/>
        <w:t>del</w:t>
      </w:r>
      <w:r>
        <w:rPr>
          <w:spacing w:val="-6"/>
        </w:rPr>
        <w:t> </w:t>
      </w:r>
      <w:r>
        <w:rPr/>
        <w:t>control</w:t>
      </w:r>
      <w:r>
        <w:rPr>
          <w:spacing w:val="-6"/>
        </w:rPr>
        <w:t> </w:t>
      </w:r>
      <w:r>
        <w:rPr/>
        <w:t>que</w:t>
      </w:r>
      <w:r>
        <w:rPr>
          <w:spacing w:val="-8"/>
        </w:rPr>
        <w:t> </w:t>
      </w:r>
      <w:r>
        <w:rPr/>
        <w:t>en</w:t>
      </w:r>
      <w:r>
        <w:rPr>
          <w:spacing w:val="-7"/>
        </w:rPr>
        <w:t> </w:t>
      </w:r>
      <w:r>
        <w:rPr/>
        <w:t>muchos</w:t>
      </w:r>
      <w:r>
        <w:rPr>
          <w:spacing w:val="-6"/>
        </w:rPr>
        <w:t> </w:t>
      </w:r>
      <w:r>
        <w:rPr/>
        <w:t>países se logró para mitigar la propagación de la pandemia del COVID-19 en 2021. Sin embargo, se mantiene la incertidumbre en cuanto a la evolución de las nuevas variantes del virus que podrían nublar el desempeño de los principales indicadores económicos. Además, las perspectivas económicas mundiales, principalmente de las economías desarrolladas, se han visto golpeadas por</w:t>
      </w:r>
      <w:r>
        <w:rPr>
          <w:spacing w:val="-40"/>
        </w:rPr>
        <w:t> </w:t>
      </w:r>
      <w:r>
        <w:rPr/>
        <w:t>la guerra entre Rusia y Ucrania que ha generado una severa distorsión en los mercados, principalmente asociados a combustibles y en algunos otros </w:t>
      </w:r>
      <w:r>
        <w:rPr>
          <w:i/>
        </w:rPr>
        <w:t>commodities</w:t>
      </w:r>
      <w:r>
        <w:rPr/>
        <w:t>, destacando, ciertos problemas de abastecimiento y alza de precios de alimentos como el maíz, el trigo, entre otros. Lo anterior, afecta las perspectivas económicas de 2022, considerando que el Fondo Monetario Internacional -FMI-, en la revisión que hiciera en abril de este año, pronosticará que el crecimiento en la zona europea se reducirá en 2.5% y las economías avanzadas esperan un crecimiento económico de 3.3%, mientras que las economías en desarrollo proyectan 3.8%; y la región de América Latina y el Caribe, el crecimiento regional disminuirá hasta ubicarse en 2.5% en</w:t>
      </w:r>
      <w:r>
        <w:rPr>
          <w:spacing w:val="-6"/>
        </w:rPr>
        <w:t> </w:t>
      </w:r>
      <w:r>
        <w:rPr/>
        <w:t>2022.</w:t>
      </w:r>
    </w:p>
    <w:p>
      <w:pPr>
        <w:pStyle w:val="BodyText"/>
        <w:spacing w:before="9"/>
        <w:rPr>
          <w:sz w:val="26"/>
        </w:rPr>
      </w:pPr>
    </w:p>
    <w:p>
      <w:pPr>
        <w:pStyle w:val="BodyText"/>
        <w:spacing w:line="276" w:lineRule="auto"/>
        <w:ind w:left="562" w:right="1694"/>
        <w:jc w:val="both"/>
      </w:pPr>
      <w:r>
        <w:rPr/>
        <w:t>En el plano de la economía nacional, las expectativas económicas se moderan en 2022, después de lograr un alto crecimiento económico en 2021 que se ubicó en 8.0%, el nivel más alto en más de 30 años, y que compensa la contracción que mostró la economía en 2020 (-1.8%), derivado del efecto económico de la pandemia del COVID-19. En efecto, el Banco de Guatemala prevé un crecimiento económico que podría situarse para 2022 entre 3.0% y 5.0%, esperando quedar todavía levemente por arriba de su nivel potencial (3.5%), siempre y cuando las tensiones económicas internacionales no se exacerben, lo que podría inducir a una posible revisión en el segundo semestre del año. Asimismo,</w:t>
      </w:r>
      <w:r>
        <w:rPr>
          <w:spacing w:val="-5"/>
        </w:rPr>
        <w:t> </w:t>
      </w:r>
      <w:r>
        <w:rPr/>
        <w:t>el</w:t>
      </w:r>
      <w:r>
        <w:rPr>
          <w:spacing w:val="-3"/>
        </w:rPr>
        <w:t> </w:t>
      </w:r>
      <w:r>
        <w:rPr/>
        <w:t>efecto</w:t>
      </w:r>
      <w:r>
        <w:rPr>
          <w:spacing w:val="-5"/>
        </w:rPr>
        <w:t> </w:t>
      </w:r>
      <w:r>
        <w:rPr/>
        <w:t>de</w:t>
      </w:r>
      <w:r>
        <w:rPr>
          <w:spacing w:val="-3"/>
        </w:rPr>
        <w:t> </w:t>
      </w:r>
      <w:r>
        <w:rPr/>
        <w:t>las</w:t>
      </w:r>
      <w:r>
        <w:rPr>
          <w:spacing w:val="-6"/>
        </w:rPr>
        <w:t> </w:t>
      </w:r>
      <w:r>
        <w:rPr/>
        <w:t>condiciones</w:t>
      </w:r>
      <w:r>
        <w:rPr>
          <w:spacing w:val="-3"/>
        </w:rPr>
        <w:t> </w:t>
      </w:r>
      <w:r>
        <w:rPr/>
        <w:t>económicas</w:t>
      </w:r>
      <w:r>
        <w:rPr>
          <w:spacing w:val="-7"/>
        </w:rPr>
        <w:t> </w:t>
      </w:r>
      <w:r>
        <w:rPr/>
        <w:t>externas,</w:t>
      </w:r>
      <w:r>
        <w:rPr>
          <w:spacing w:val="-4"/>
        </w:rPr>
        <w:t> </w:t>
      </w:r>
      <w:r>
        <w:rPr/>
        <w:t>han</w:t>
      </w:r>
      <w:r>
        <w:rPr>
          <w:spacing w:val="-4"/>
        </w:rPr>
        <w:t> </w:t>
      </w:r>
      <w:r>
        <w:rPr/>
        <w:t>generado</w:t>
      </w:r>
      <w:r>
        <w:rPr>
          <w:spacing w:val="-3"/>
        </w:rPr>
        <w:t> </w:t>
      </w:r>
      <w:r>
        <w:rPr/>
        <w:t>una</w:t>
      </w:r>
      <w:r>
        <w:rPr>
          <w:spacing w:val="-4"/>
        </w:rPr>
        <w:t> </w:t>
      </w:r>
      <w:r>
        <w:rPr/>
        <w:t>severa</w:t>
      </w:r>
      <w:r>
        <w:rPr>
          <w:spacing w:val="-3"/>
        </w:rPr>
        <w:t> </w:t>
      </w:r>
      <w:r>
        <w:rPr/>
        <w:t>presión</w:t>
      </w:r>
      <w:r>
        <w:rPr>
          <w:spacing w:val="-7"/>
        </w:rPr>
        <w:t> </w:t>
      </w:r>
      <w:r>
        <w:rPr/>
        <w:t>en</w:t>
      </w:r>
      <w:r>
        <w:rPr>
          <w:spacing w:val="-6"/>
        </w:rPr>
        <w:t> </w:t>
      </w:r>
      <w:r>
        <w:rPr/>
        <w:t>los precios locales de los combustibles y en algunos alimentos lo que ha propiciado un aumento en el nivel de</w:t>
      </w:r>
      <w:r>
        <w:rPr>
          <w:spacing w:val="-2"/>
        </w:rPr>
        <w:t> </w:t>
      </w:r>
      <w:r>
        <w:rPr/>
        <w:t>inflación.</w:t>
      </w:r>
    </w:p>
    <w:p>
      <w:pPr>
        <w:pStyle w:val="BodyText"/>
        <w:spacing w:before="6"/>
        <w:rPr>
          <w:sz w:val="30"/>
        </w:rPr>
      </w:pPr>
    </w:p>
    <w:p>
      <w:pPr>
        <w:pStyle w:val="Heading2"/>
        <w:numPr>
          <w:ilvl w:val="1"/>
          <w:numId w:val="9"/>
        </w:numPr>
        <w:tabs>
          <w:tab w:pos="846" w:val="left" w:leader="none"/>
        </w:tabs>
        <w:spacing w:line="240" w:lineRule="auto" w:before="0" w:after="0"/>
        <w:ind w:left="845" w:right="0" w:hanging="284"/>
        <w:jc w:val="left"/>
      </w:pPr>
      <w:bookmarkStart w:name="_bookmark2" w:id="4"/>
      <w:bookmarkEnd w:id="4"/>
      <w:r>
        <w:rPr>
          <w:b w:val="0"/>
        </w:rPr>
      </w:r>
      <w:bookmarkStart w:name="_bookmark2" w:id="5"/>
      <w:bookmarkEnd w:id="5"/>
      <w:r>
        <w:rPr/>
        <w:t>Cont</w:t>
      </w:r>
      <w:r>
        <w:rPr/>
        <w:t>exto macroeconómico internacional</w:t>
      </w:r>
      <w:r>
        <w:rPr>
          <w:spacing w:val="2"/>
        </w:rPr>
        <w:t> </w:t>
      </w:r>
      <w:r>
        <w:rPr/>
        <w:t>2021</w:t>
      </w:r>
    </w:p>
    <w:p>
      <w:pPr>
        <w:pStyle w:val="Heading2"/>
        <w:numPr>
          <w:ilvl w:val="2"/>
          <w:numId w:val="9"/>
        </w:numPr>
        <w:tabs>
          <w:tab w:pos="1189" w:val="left" w:leader="none"/>
        </w:tabs>
        <w:spacing w:line="240" w:lineRule="auto" w:before="41" w:after="0"/>
        <w:ind w:left="1188" w:right="0" w:hanging="421"/>
        <w:jc w:val="left"/>
      </w:pPr>
      <w:bookmarkStart w:name="_bookmark3" w:id="6"/>
      <w:bookmarkEnd w:id="6"/>
      <w:r>
        <w:rPr/>
        <w:t>La</w:t>
      </w:r>
      <w:r>
        <w:rPr/>
        <w:t> economía</w:t>
      </w:r>
      <w:r>
        <w:rPr>
          <w:spacing w:val="2"/>
        </w:rPr>
        <w:t> </w:t>
      </w:r>
      <w:r>
        <w:rPr/>
        <w:t>mundial</w:t>
      </w:r>
    </w:p>
    <w:p>
      <w:pPr>
        <w:pStyle w:val="BodyText"/>
        <w:spacing w:before="4"/>
        <w:rPr>
          <w:b/>
          <w:sz w:val="28"/>
        </w:rPr>
      </w:pPr>
    </w:p>
    <w:p>
      <w:pPr>
        <w:pStyle w:val="BodyText"/>
        <w:spacing w:line="276" w:lineRule="auto"/>
        <w:ind w:left="562" w:right="1692"/>
        <w:jc w:val="both"/>
      </w:pPr>
      <w:r>
        <w:rPr/>
        <w:t>El crecimiento económico mundial observado en 2021 fue de 6.1%, mostrando una recuperación después de la contracción de 3.1% en 2020 según el Fondo Monetario Internacional. Esto se debe a la eficacia en la vacunación para mitigar los efectos adversos en la salud provocados por el COVID- 19 y a la reapertura luego de largos períodos de confinamiento para mitigar la expansión del virus. No</w:t>
      </w:r>
      <w:r>
        <w:rPr>
          <w:spacing w:val="-7"/>
        </w:rPr>
        <w:t> </w:t>
      </w:r>
      <w:r>
        <w:rPr/>
        <w:t>obstante,</w:t>
      </w:r>
      <w:r>
        <w:rPr>
          <w:spacing w:val="-8"/>
        </w:rPr>
        <w:t> </w:t>
      </w:r>
      <w:r>
        <w:rPr/>
        <w:t>el</w:t>
      </w:r>
      <w:r>
        <w:rPr>
          <w:spacing w:val="-7"/>
        </w:rPr>
        <w:t> </w:t>
      </w:r>
      <w:r>
        <w:rPr/>
        <w:t>acceso</w:t>
      </w:r>
      <w:r>
        <w:rPr>
          <w:spacing w:val="-10"/>
        </w:rPr>
        <w:t> </w:t>
      </w:r>
      <w:r>
        <w:rPr/>
        <w:t>desigual</w:t>
      </w:r>
      <w:r>
        <w:rPr>
          <w:spacing w:val="-5"/>
        </w:rPr>
        <w:t> </w:t>
      </w:r>
      <w:r>
        <w:rPr/>
        <w:t>a</w:t>
      </w:r>
      <w:r>
        <w:rPr>
          <w:spacing w:val="-8"/>
        </w:rPr>
        <w:t> </w:t>
      </w:r>
      <w:r>
        <w:rPr/>
        <w:t>las</w:t>
      </w:r>
      <w:r>
        <w:rPr>
          <w:spacing w:val="-8"/>
        </w:rPr>
        <w:t> </w:t>
      </w:r>
      <w:r>
        <w:rPr/>
        <w:t>vacunas</w:t>
      </w:r>
      <w:r>
        <w:rPr>
          <w:spacing w:val="-7"/>
        </w:rPr>
        <w:t> </w:t>
      </w:r>
      <w:r>
        <w:rPr/>
        <w:t>a</w:t>
      </w:r>
      <w:r>
        <w:rPr>
          <w:spacing w:val="-8"/>
        </w:rPr>
        <w:t> </w:t>
      </w:r>
      <w:r>
        <w:rPr/>
        <w:t>lo</w:t>
      </w:r>
      <w:r>
        <w:rPr>
          <w:spacing w:val="-9"/>
        </w:rPr>
        <w:t> </w:t>
      </w:r>
      <w:r>
        <w:rPr/>
        <w:t>largo</w:t>
      </w:r>
      <w:r>
        <w:rPr>
          <w:spacing w:val="-6"/>
        </w:rPr>
        <w:t> </w:t>
      </w:r>
      <w:r>
        <w:rPr/>
        <w:t>del</w:t>
      </w:r>
      <w:r>
        <w:rPr>
          <w:spacing w:val="-8"/>
        </w:rPr>
        <w:t> </w:t>
      </w:r>
      <w:r>
        <w:rPr/>
        <w:t>año</w:t>
      </w:r>
      <w:r>
        <w:rPr>
          <w:spacing w:val="-8"/>
        </w:rPr>
        <w:t> </w:t>
      </w:r>
      <w:r>
        <w:rPr/>
        <w:t>y</w:t>
      </w:r>
      <w:r>
        <w:rPr>
          <w:spacing w:val="-9"/>
        </w:rPr>
        <w:t> </w:t>
      </w:r>
      <w:r>
        <w:rPr/>
        <w:t>el</w:t>
      </w:r>
      <w:r>
        <w:rPr>
          <w:spacing w:val="-8"/>
        </w:rPr>
        <w:t> </w:t>
      </w:r>
      <w:r>
        <w:rPr/>
        <w:t>surgimiento</w:t>
      </w:r>
      <w:r>
        <w:rPr>
          <w:spacing w:val="-6"/>
        </w:rPr>
        <w:t> </w:t>
      </w:r>
      <w:r>
        <w:rPr/>
        <w:t>de</w:t>
      </w:r>
      <w:r>
        <w:rPr>
          <w:spacing w:val="-8"/>
        </w:rPr>
        <w:t> </w:t>
      </w:r>
      <w:r>
        <w:rPr/>
        <w:t>distintas</w:t>
      </w:r>
      <w:r>
        <w:rPr>
          <w:spacing w:val="-6"/>
        </w:rPr>
        <w:t> </w:t>
      </w:r>
      <w:r>
        <w:rPr/>
        <w:t>variantes del virus como Delta y Ómicron, ocasionaron incertidumbre en la evolución de la pandemia</w:t>
      </w:r>
      <w:r>
        <w:rPr>
          <w:spacing w:val="-23"/>
        </w:rPr>
        <w:t> </w:t>
      </w:r>
      <w:r>
        <w:rPr/>
        <w:t>en </w:t>
      </w:r>
      <w:r>
        <w:rPr>
          <w:spacing w:val="-3"/>
        </w:rPr>
        <w:t>el</w:t>
      </w:r>
    </w:p>
    <w:p>
      <w:pPr>
        <w:spacing w:after="0" w:line="276" w:lineRule="auto"/>
        <w:jc w:val="both"/>
        <w:sectPr>
          <w:pgSz w:w="12240" w:h="15840"/>
          <w:pgMar w:header="715" w:footer="957" w:top="1240" w:bottom="1140" w:left="1140" w:right="0"/>
        </w:sectPr>
      </w:pPr>
    </w:p>
    <w:p>
      <w:pPr>
        <w:pStyle w:val="BodyText"/>
        <w:spacing w:line="276" w:lineRule="auto" w:before="162"/>
        <w:ind w:left="562" w:right="1698"/>
        <w:jc w:val="both"/>
      </w:pPr>
      <w:r>
        <w:rPr/>
        <w:t>segundo semestre de 2021, que aumentó las restricciones de movilidad y la volatilidad en los mercados financieros.</w:t>
      </w:r>
    </w:p>
    <w:p>
      <w:pPr>
        <w:pStyle w:val="BodyText"/>
        <w:spacing w:before="2"/>
        <w:rPr>
          <w:sz w:val="25"/>
        </w:rPr>
      </w:pPr>
    </w:p>
    <w:p>
      <w:pPr>
        <w:pStyle w:val="BodyText"/>
        <w:spacing w:line="276" w:lineRule="auto"/>
        <w:ind w:left="562" w:right="1695"/>
        <w:jc w:val="both"/>
      </w:pPr>
      <w:r>
        <w:rPr/>
        <w:t>Las economías avanzadas presentaron un crecimiento de 5.2% en 2021, menor a la proyectada en 2020, principalmente por la deceleración en el crecimiento de Estados Unidos por la caída en los inventarios,</w:t>
      </w:r>
      <w:r>
        <w:rPr>
          <w:spacing w:val="-11"/>
        </w:rPr>
        <w:t> </w:t>
      </w:r>
      <w:r>
        <w:rPr/>
        <w:t>las</w:t>
      </w:r>
      <w:r>
        <w:rPr>
          <w:spacing w:val="-10"/>
        </w:rPr>
        <w:t> </w:t>
      </w:r>
      <w:r>
        <w:rPr/>
        <w:t>disrupciones</w:t>
      </w:r>
      <w:r>
        <w:rPr>
          <w:spacing w:val="-10"/>
        </w:rPr>
        <w:t> </w:t>
      </w:r>
      <w:r>
        <w:rPr/>
        <w:t>en</w:t>
      </w:r>
      <w:r>
        <w:rPr>
          <w:spacing w:val="-10"/>
        </w:rPr>
        <w:t> </w:t>
      </w:r>
      <w:r>
        <w:rPr/>
        <w:t>la</w:t>
      </w:r>
      <w:r>
        <w:rPr>
          <w:spacing w:val="-10"/>
        </w:rPr>
        <w:t> </w:t>
      </w:r>
      <w:r>
        <w:rPr/>
        <w:t>oferta</w:t>
      </w:r>
      <w:r>
        <w:rPr>
          <w:spacing w:val="-10"/>
        </w:rPr>
        <w:t> </w:t>
      </w:r>
      <w:r>
        <w:rPr/>
        <w:t>y</w:t>
      </w:r>
      <w:r>
        <w:rPr>
          <w:spacing w:val="-13"/>
        </w:rPr>
        <w:t> </w:t>
      </w:r>
      <w:r>
        <w:rPr/>
        <w:t>el</w:t>
      </w:r>
      <w:r>
        <w:rPr>
          <w:spacing w:val="-10"/>
        </w:rPr>
        <w:t> </w:t>
      </w:r>
      <w:r>
        <w:rPr/>
        <w:t>suavizamiento</w:t>
      </w:r>
      <w:r>
        <w:rPr>
          <w:spacing w:val="-11"/>
        </w:rPr>
        <w:t> </w:t>
      </w:r>
      <w:r>
        <w:rPr/>
        <w:t>del</w:t>
      </w:r>
      <w:r>
        <w:rPr>
          <w:spacing w:val="-10"/>
        </w:rPr>
        <w:t> </w:t>
      </w:r>
      <w:r>
        <w:rPr/>
        <w:t>consumo</w:t>
      </w:r>
      <w:r>
        <w:rPr>
          <w:spacing w:val="-11"/>
        </w:rPr>
        <w:t> </w:t>
      </w:r>
      <w:r>
        <w:rPr/>
        <w:t>en</w:t>
      </w:r>
      <w:r>
        <w:rPr>
          <w:spacing w:val="-10"/>
        </w:rPr>
        <w:t> </w:t>
      </w:r>
      <w:r>
        <w:rPr/>
        <w:t>2021.</w:t>
      </w:r>
      <w:r>
        <w:rPr>
          <w:spacing w:val="-11"/>
        </w:rPr>
        <w:t> </w:t>
      </w:r>
      <w:r>
        <w:rPr/>
        <w:t>En</w:t>
      </w:r>
      <w:r>
        <w:rPr>
          <w:spacing w:val="-11"/>
        </w:rPr>
        <w:t> </w:t>
      </w:r>
      <w:r>
        <w:rPr/>
        <w:t>la</w:t>
      </w:r>
      <w:r>
        <w:rPr>
          <w:spacing w:val="-8"/>
        </w:rPr>
        <w:t> </w:t>
      </w:r>
      <w:r>
        <w:rPr/>
        <w:t>zona</w:t>
      </w:r>
      <w:r>
        <w:rPr>
          <w:spacing w:val="-11"/>
        </w:rPr>
        <w:t> </w:t>
      </w:r>
      <w:r>
        <w:rPr/>
        <w:t>del</w:t>
      </w:r>
      <w:r>
        <w:rPr>
          <w:spacing w:val="-10"/>
        </w:rPr>
        <w:t> </w:t>
      </w:r>
      <w:r>
        <w:rPr/>
        <w:t>euro el</w:t>
      </w:r>
      <w:r>
        <w:rPr>
          <w:spacing w:val="-7"/>
        </w:rPr>
        <w:t> </w:t>
      </w:r>
      <w:r>
        <w:rPr/>
        <w:t>crecimiento</w:t>
      </w:r>
      <w:r>
        <w:rPr>
          <w:spacing w:val="-9"/>
        </w:rPr>
        <w:t> </w:t>
      </w:r>
      <w:r>
        <w:rPr/>
        <w:t>económico</w:t>
      </w:r>
      <w:r>
        <w:rPr>
          <w:spacing w:val="-8"/>
        </w:rPr>
        <w:t> </w:t>
      </w:r>
      <w:r>
        <w:rPr/>
        <w:t>se</w:t>
      </w:r>
      <w:r>
        <w:rPr>
          <w:spacing w:val="-6"/>
        </w:rPr>
        <w:t> </w:t>
      </w:r>
      <w:r>
        <w:rPr/>
        <w:t>ubicó</w:t>
      </w:r>
      <w:r>
        <w:rPr>
          <w:spacing w:val="-8"/>
        </w:rPr>
        <w:t> </w:t>
      </w:r>
      <w:r>
        <w:rPr/>
        <w:t>en</w:t>
      </w:r>
      <w:r>
        <w:rPr>
          <w:spacing w:val="-8"/>
        </w:rPr>
        <w:t> </w:t>
      </w:r>
      <w:r>
        <w:rPr/>
        <w:t>5.3%</w:t>
      </w:r>
      <w:r>
        <w:rPr>
          <w:spacing w:val="-7"/>
        </w:rPr>
        <w:t> </w:t>
      </w:r>
      <w:r>
        <w:rPr/>
        <w:t>y</w:t>
      </w:r>
      <w:r>
        <w:rPr>
          <w:spacing w:val="-11"/>
        </w:rPr>
        <w:t> </w:t>
      </w:r>
      <w:r>
        <w:rPr/>
        <w:t>se</w:t>
      </w:r>
      <w:r>
        <w:rPr>
          <w:spacing w:val="-8"/>
        </w:rPr>
        <w:t> </w:t>
      </w:r>
      <w:r>
        <w:rPr/>
        <w:t>debe</w:t>
      </w:r>
      <w:r>
        <w:rPr>
          <w:spacing w:val="-8"/>
        </w:rPr>
        <w:t> </w:t>
      </w:r>
      <w:r>
        <w:rPr/>
        <w:t>en</w:t>
      </w:r>
      <w:r>
        <w:rPr>
          <w:spacing w:val="-9"/>
        </w:rPr>
        <w:t> </w:t>
      </w:r>
      <w:r>
        <w:rPr/>
        <w:t>parte</w:t>
      </w:r>
      <w:r>
        <w:rPr>
          <w:spacing w:val="-8"/>
        </w:rPr>
        <w:t> </w:t>
      </w:r>
      <w:r>
        <w:rPr/>
        <w:t>a</w:t>
      </w:r>
      <w:r>
        <w:rPr>
          <w:spacing w:val="-7"/>
        </w:rPr>
        <w:t> </w:t>
      </w:r>
      <w:r>
        <w:rPr/>
        <w:t>la</w:t>
      </w:r>
      <w:r>
        <w:rPr>
          <w:spacing w:val="-8"/>
        </w:rPr>
        <w:t> </w:t>
      </w:r>
      <w:r>
        <w:rPr/>
        <w:t>desaceleración</w:t>
      </w:r>
      <w:r>
        <w:rPr>
          <w:spacing w:val="-9"/>
        </w:rPr>
        <w:t> </w:t>
      </w:r>
      <w:r>
        <w:rPr/>
        <w:t>del</w:t>
      </w:r>
      <w:r>
        <w:rPr>
          <w:spacing w:val="-7"/>
        </w:rPr>
        <w:t> </w:t>
      </w:r>
      <w:r>
        <w:rPr/>
        <w:t>cuarto</w:t>
      </w:r>
      <w:r>
        <w:rPr>
          <w:spacing w:val="-11"/>
        </w:rPr>
        <w:t> </w:t>
      </w:r>
      <w:r>
        <w:rPr/>
        <w:t>trimestre por</w:t>
      </w:r>
      <w:r>
        <w:rPr>
          <w:spacing w:val="-6"/>
        </w:rPr>
        <w:t> </w:t>
      </w:r>
      <w:r>
        <w:rPr/>
        <w:t>el</w:t>
      </w:r>
      <w:r>
        <w:rPr>
          <w:spacing w:val="-5"/>
        </w:rPr>
        <w:t> </w:t>
      </w:r>
      <w:r>
        <w:rPr/>
        <w:t>resurgimiento</w:t>
      </w:r>
      <w:r>
        <w:rPr>
          <w:spacing w:val="-4"/>
        </w:rPr>
        <w:t> </w:t>
      </w:r>
      <w:r>
        <w:rPr/>
        <w:t>del</w:t>
      </w:r>
      <w:r>
        <w:rPr>
          <w:spacing w:val="-5"/>
        </w:rPr>
        <w:t> </w:t>
      </w:r>
      <w:r>
        <w:rPr/>
        <w:t>COVID-19</w:t>
      </w:r>
      <w:r>
        <w:rPr>
          <w:spacing w:val="-5"/>
        </w:rPr>
        <w:t> </w:t>
      </w:r>
      <w:r>
        <w:rPr/>
        <w:t>y</w:t>
      </w:r>
      <w:r>
        <w:rPr>
          <w:spacing w:val="-6"/>
        </w:rPr>
        <w:t> </w:t>
      </w:r>
      <w:r>
        <w:rPr/>
        <w:t>un</w:t>
      </w:r>
      <w:r>
        <w:rPr>
          <w:spacing w:val="-4"/>
        </w:rPr>
        <w:t> </w:t>
      </w:r>
      <w:r>
        <w:rPr/>
        <w:t>persistente</w:t>
      </w:r>
      <w:r>
        <w:rPr>
          <w:spacing w:val="-6"/>
        </w:rPr>
        <w:t> </w:t>
      </w:r>
      <w:r>
        <w:rPr/>
        <w:t>lastre</w:t>
      </w:r>
      <w:r>
        <w:rPr>
          <w:spacing w:val="-6"/>
        </w:rPr>
        <w:t> </w:t>
      </w:r>
      <w:r>
        <w:rPr/>
        <w:t>en</w:t>
      </w:r>
      <w:r>
        <w:rPr>
          <w:spacing w:val="-6"/>
        </w:rPr>
        <w:t> </w:t>
      </w:r>
      <w:r>
        <w:rPr/>
        <w:t>la</w:t>
      </w:r>
      <w:r>
        <w:rPr>
          <w:spacing w:val="-7"/>
        </w:rPr>
        <w:t> </w:t>
      </w:r>
      <w:r>
        <w:rPr/>
        <w:t>producción</w:t>
      </w:r>
      <w:r>
        <w:rPr>
          <w:spacing w:val="-6"/>
        </w:rPr>
        <w:t> </w:t>
      </w:r>
      <w:r>
        <w:rPr/>
        <w:t>por</w:t>
      </w:r>
      <w:r>
        <w:rPr>
          <w:spacing w:val="-5"/>
        </w:rPr>
        <w:t> </w:t>
      </w:r>
      <w:r>
        <w:rPr/>
        <w:t>los</w:t>
      </w:r>
      <w:r>
        <w:rPr>
          <w:spacing w:val="-8"/>
        </w:rPr>
        <w:t> </w:t>
      </w:r>
      <w:r>
        <w:rPr/>
        <w:t>cuellos</w:t>
      </w:r>
      <w:r>
        <w:rPr>
          <w:spacing w:val="-6"/>
        </w:rPr>
        <w:t> </w:t>
      </w:r>
      <w:r>
        <w:rPr/>
        <w:t>de</w:t>
      </w:r>
      <w:r>
        <w:rPr>
          <w:spacing w:val="-6"/>
        </w:rPr>
        <w:t> </w:t>
      </w:r>
      <w:r>
        <w:rPr/>
        <w:t>botella en las cadenas de suministro y el aumento en los precios de</w:t>
      </w:r>
      <w:r>
        <w:rPr>
          <w:spacing w:val="-10"/>
        </w:rPr>
        <w:t> </w:t>
      </w:r>
      <w:r>
        <w:rPr/>
        <w:t>energía.</w:t>
      </w:r>
    </w:p>
    <w:p>
      <w:pPr>
        <w:pStyle w:val="BodyText"/>
        <w:spacing w:before="5"/>
        <w:rPr>
          <w:sz w:val="25"/>
        </w:rPr>
      </w:pPr>
    </w:p>
    <w:p>
      <w:pPr>
        <w:pStyle w:val="BodyText"/>
        <w:spacing w:line="276" w:lineRule="auto"/>
        <w:ind w:left="562" w:right="1696"/>
        <w:jc w:val="both"/>
      </w:pPr>
      <w:r>
        <w:rPr/>
        <w:t>En</w:t>
      </w:r>
      <w:r>
        <w:rPr>
          <w:spacing w:val="-11"/>
        </w:rPr>
        <w:t> </w:t>
      </w:r>
      <w:r>
        <w:rPr/>
        <w:t>el</w:t>
      </w:r>
      <w:r>
        <w:rPr>
          <w:spacing w:val="-10"/>
        </w:rPr>
        <w:t> </w:t>
      </w:r>
      <w:r>
        <w:rPr/>
        <w:t>caso</w:t>
      </w:r>
      <w:r>
        <w:rPr>
          <w:spacing w:val="-9"/>
        </w:rPr>
        <w:t> </w:t>
      </w:r>
      <w:r>
        <w:rPr/>
        <w:t>de</w:t>
      </w:r>
      <w:r>
        <w:rPr>
          <w:spacing w:val="-13"/>
        </w:rPr>
        <w:t> </w:t>
      </w:r>
      <w:r>
        <w:rPr/>
        <w:t>las</w:t>
      </w:r>
      <w:r>
        <w:rPr>
          <w:spacing w:val="-9"/>
        </w:rPr>
        <w:t> </w:t>
      </w:r>
      <w:r>
        <w:rPr/>
        <w:t>economías</w:t>
      </w:r>
      <w:r>
        <w:rPr>
          <w:spacing w:val="-12"/>
        </w:rPr>
        <w:t> </w:t>
      </w:r>
      <w:r>
        <w:rPr/>
        <w:t>emergentes</w:t>
      </w:r>
      <w:r>
        <w:rPr>
          <w:spacing w:val="-9"/>
        </w:rPr>
        <w:t> </w:t>
      </w:r>
      <w:r>
        <w:rPr/>
        <w:t>y</w:t>
      </w:r>
      <w:r>
        <w:rPr>
          <w:spacing w:val="-13"/>
        </w:rPr>
        <w:t> </w:t>
      </w:r>
      <w:r>
        <w:rPr/>
        <w:t>en</w:t>
      </w:r>
      <w:r>
        <w:rPr>
          <w:spacing w:val="-9"/>
        </w:rPr>
        <w:t> </w:t>
      </w:r>
      <w:r>
        <w:rPr/>
        <w:t>desarrollo,</w:t>
      </w:r>
      <w:r>
        <w:rPr>
          <w:spacing w:val="-13"/>
        </w:rPr>
        <w:t> </w:t>
      </w:r>
      <w:r>
        <w:rPr/>
        <w:t>el</w:t>
      </w:r>
      <w:r>
        <w:rPr>
          <w:spacing w:val="-10"/>
        </w:rPr>
        <w:t> </w:t>
      </w:r>
      <w:r>
        <w:rPr/>
        <w:t>crecimiento</w:t>
      </w:r>
      <w:r>
        <w:rPr>
          <w:spacing w:val="-10"/>
        </w:rPr>
        <w:t> </w:t>
      </w:r>
      <w:r>
        <w:rPr/>
        <w:t>fue</w:t>
      </w:r>
      <w:r>
        <w:rPr>
          <w:spacing w:val="-10"/>
        </w:rPr>
        <w:t> </w:t>
      </w:r>
      <w:r>
        <w:rPr/>
        <w:t>de</w:t>
      </w:r>
      <w:r>
        <w:rPr>
          <w:spacing w:val="-8"/>
        </w:rPr>
        <w:t> </w:t>
      </w:r>
      <w:r>
        <w:rPr/>
        <w:t>6.8%,</w:t>
      </w:r>
      <w:r>
        <w:rPr>
          <w:spacing w:val="-13"/>
        </w:rPr>
        <w:t> </w:t>
      </w:r>
      <w:r>
        <w:rPr/>
        <w:t>donde</w:t>
      </w:r>
      <w:r>
        <w:rPr>
          <w:spacing w:val="-10"/>
        </w:rPr>
        <w:t> </w:t>
      </w:r>
      <w:r>
        <w:rPr/>
        <w:t>la</w:t>
      </w:r>
      <w:r>
        <w:rPr>
          <w:spacing w:val="-10"/>
        </w:rPr>
        <w:t> </w:t>
      </w:r>
      <w:r>
        <w:rPr/>
        <w:t>mayoría de las economías se beneficiaron de la recuperación de la demanda que fue conducida por la recuperación</w:t>
      </w:r>
      <w:r>
        <w:rPr>
          <w:spacing w:val="-4"/>
        </w:rPr>
        <w:t> </w:t>
      </w:r>
      <w:r>
        <w:rPr/>
        <w:t>de</w:t>
      </w:r>
      <w:r>
        <w:rPr>
          <w:spacing w:val="-3"/>
        </w:rPr>
        <w:t> </w:t>
      </w:r>
      <w:r>
        <w:rPr/>
        <w:t>los</w:t>
      </w:r>
      <w:r>
        <w:rPr>
          <w:spacing w:val="-3"/>
        </w:rPr>
        <w:t> </w:t>
      </w:r>
      <w:r>
        <w:rPr/>
        <w:t>mercados</w:t>
      </w:r>
      <w:r>
        <w:rPr>
          <w:spacing w:val="-3"/>
        </w:rPr>
        <w:t> </w:t>
      </w:r>
      <w:r>
        <w:rPr/>
        <w:t>laborales</w:t>
      </w:r>
      <w:r>
        <w:rPr>
          <w:spacing w:val="-3"/>
        </w:rPr>
        <w:t> </w:t>
      </w:r>
      <w:r>
        <w:rPr/>
        <w:t>y</w:t>
      </w:r>
      <w:r>
        <w:rPr>
          <w:spacing w:val="-6"/>
        </w:rPr>
        <w:t> </w:t>
      </w:r>
      <w:r>
        <w:rPr/>
        <w:t>de</w:t>
      </w:r>
      <w:r>
        <w:rPr>
          <w:spacing w:val="-3"/>
        </w:rPr>
        <w:t> </w:t>
      </w:r>
      <w:r>
        <w:rPr/>
        <w:t>una</w:t>
      </w:r>
      <w:r>
        <w:rPr>
          <w:spacing w:val="-3"/>
        </w:rPr>
        <w:t> </w:t>
      </w:r>
      <w:r>
        <w:rPr/>
        <w:t>robusta</w:t>
      </w:r>
      <w:r>
        <w:rPr>
          <w:spacing w:val="-3"/>
        </w:rPr>
        <w:t> </w:t>
      </w:r>
      <w:r>
        <w:rPr/>
        <w:t>demanda</w:t>
      </w:r>
      <w:r>
        <w:rPr>
          <w:spacing w:val="-3"/>
        </w:rPr>
        <w:t> </w:t>
      </w:r>
      <w:r>
        <w:rPr/>
        <w:t>externa</w:t>
      </w:r>
      <w:r>
        <w:rPr>
          <w:spacing w:val="-2"/>
        </w:rPr>
        <w:t> </w:t>
      </w:r>
      <w:r>
        <w:rPr/>
        <w:t>y</w:t>
      </w:r>
      <w:r>
        <w:rPr>
          <w:spacing w:val="-6"/>
        </w:rPr>
        <w:t> </w:t>
      </w:r>
      <w:r>
        <w:rPr/>
        <w:t>la</w:t>
      </w:r>
      <w:r>
        <w:rPr>
          <w:spacing w:val="-6"/>
        </w:rPr>
        <w:t> </w:t>
      </w:r>
      <w:r>
        <w:rPr/>
        <w:t>resiliencia</w:t>
      </w:r>
      <w:r>
        <w:rPr>
          <w:spacing w:val="-3"/>
        </w:rPr>
        <w:t> </w:t>
      </w:r>
      <w:r>
        <w:rPr/>
        <w:t>en</w:t>
      </w:r>
      <w:r>
        <w:rPr>
          <w:spacing w:val="-4"/>
        </w:rPr>
        <w:t> </w:t>
      </w:r>
      <w:r>
        <w:rPr/>
        <w:t>el</w:t>
      </w:r>
      <w:r>
        <w:rPr>
          <w:spacing w:val="-3"/>
        </w:rPr>
        <w:t> </w:t>
      </w:r>
      <w:r>
        <w:rPr/>
        <w:t>envío de remesas. Por otro lado, el aumento en los precios de los </w:t>
      </w:r>
      <w:r>
        <w:rPr>
          <w:i/>
        </w:rPr>
        <w:t>commodities </w:t>
      </w:r>
      <w:r>
        <w:rPr/>
        <w:t>ayudó a estabilizar la actividad</w:t>
      </w:r>
      <w:r>
        <w:rPr>
          <w:spacing w:val="-12"/>
        </w:rPr>
        <w:t> </w:t>
      </w:r>
      <w:r>
        <w:rPr/>
        <w:t>industrial</w:t>
      </w:r>
      <w:r>
        <w:rPr>
          <w:spacing w:val="-10"/>
        </w:rPr>
        <w:t> </w:t>
      </w:r>
      <w:r>
        <w:rPr/>
        <w:t>en</w:t>
      </w:r>
      <w:r>
        <w:rPr>
          <w:spacing w:val="-11"/>
        </w:rPr>
        <w:t> </w:t>
      </w:r>
      <w:r>
        <w:rPr/>
        <w:t>los</w:t>
      </w:r>
      <w:r>
        <w:rPr>
          <w:spacing w:val="-10"/>
        </w:rPr>
        <w:t> </w:t>
      </w:r>
      <w:r>
        <w:rPr/>
        <w:t>países</w:t>
      </w:r>
      <w:r>
        <w:rPr>
          <w:spacing w:val="-11"/>
        </w:rPr>
        <w:t> </w:t>
      </w:r>
      <w:r>
        <w:rPr/>
        <w:t>exportadores</w:t>
      </w:r>
      <w:r>
        <w:rPr>
          <w:spacing w:val="-10"/>
        </w:rPr>
        <w:t> </w:t>
      </w:r>
      <w:r>
        <w:rPr/>
        <w:t>de</w:t>
      </w:r>
      <w:r>
        <w:rPr>
          <w:spacing w:val="-11"/>
        </w:rPr>
        <w:t> </w:t>
      </w:r>
      <w:r>
        <w:rPr/>
        <w:t>los</w:t>
      </w:r>
      <w:r>
        <w:rPr>
          <w:spacing w:val="-10"/>
        </w:rPr>
        <w:t> </w:t>
      </w:r>
      <w:r>
        <w:rPr/>
        <w:t>mismos.</w:t>
      </w:r>
      <w:r>
        <w:rPr>
          <w:spacing w:val="-11"/>
        </w:rPr>
        <w:t> </w:t>
      </w:r>
      <w:r>
        <w:rPr/>
        <w:t>No</w:t>
      </w:r>
      <w:r>
        <w:rPr>
          <w:spacing w:val="-11"/>
        </w:rPr>
        <w:t> </w:t>
      </w:r>
      <w:r>
        <w:rPr/>
        <w:t>obstante,</w:t>
      </w:r>
      <w:r>
        <w:rPr>
          <w:spacing w:val="-11"/>
        </w:rPr>
        <w:t> </w:t>
      </w:r>
      <w:r>
        <w:rPr/>
        <w:t>este</w:t>
      </w:r>
      <w:r>
        <w:rPr>
          <w:spacing w:val="-13"/>
        </w:rPr>
        <w:t> </w:t>
      </w:r>
      <w:r>
        <w:rPr/>
        <w:t>rebote</w:t>
      </w:r>
      <w:r>
        <w:rPr>
          <w:spacing w:val="-11"/>
        </w:rPr>
        <w:t> </w:t>
      </w:r>
      <w:r>
        <w:rPr/>
        <w:t>en</w:t>
      </w:r>
      <w:r>
        <w:rPr>
          <w:spacing w:val="-13"/>
        </w:rPr>
        <w:t> </w:t>
      </w:r>
      <w:r>
        <w:rPr/>
        <w:t>la</w:t>
      </w:r>
      <w:r>
        <w:rPr>
          <w:spacing w:val="-11"/>
        </w:rPr>
        <w:t> </w:t>
      </w:r>
      <w:r>
        <w:rPr/>
        <w:t>economía no fue suficiente para retornar a los niveles de producción previos a la pandemia. En lo particular el crecimiento de Latinoamérica y el Caribe se encontró alrededor del 6.8% en 2021 después de una contracción de 7.0% en</w:t>
      </w:r>
      <w:r>
        <w:rPr>
          <w:spacing w:val="-3"/>
        </w:rPr>
        <w:t> </w:t>
      </w:r>
      <w:r>
        <w:rPr/>
        <w:t>2020.</w:t>
      </w:r>
    </w:p>
    <w:p>
      <w:pPr>
        <w:pStyle w:val="BodyText"/>
        <w:spacing w:before="10"/>
        <w:rPr>
          <w:sz w:val="25"/>
        </w:rPr>
      </w:pPr>
    </w:p>
    <w:p>
      <w:pPr>
        <w:spacing w:before="1"/>
        <w:ind w:left="2400" w:right="0" w:firstLine="0"/>
        <w:jc w:val="left"/>
        <w:rPr>
          <w:b/>
          <w:sz w:val="20"/>
        </w:rPr>
      </w:pPr>
      <w:bookmarkStart w:name="_bookmark4" w:id="7"/>
      <w:bookmarkEnd w:id="7"/>
      <w:r>
        <w:rPr/>
      </w:r>
      <w:r>
        <w:rPr>
          <w:b/>
          <w:i/>
          <w:sz w:val="20"/>
        </w:rPr>
        <w:t>Gráfico 1. </w:t>
      </w:r>
      <w:r>
        <w:rPr>
          <w:b/>
          <w:sz w:val="20"/>
        </w:rPr>
        <w:t>Crecimiento de la economía mundial (porcentaje)</w:t>
      </w:r>
    </w:p>
    <w:p>
      <w:pPr>
        <w:pStyle w:val="BodyText"/>
        <w:spacing w:before="9"/>
        <w:rPr>
          <w:b/>
          <w:sz w:val="26"/>
        </w:rPr>
      </w:pPr>
    </w:p>
    <w:p>
      <w:pPr>
        <w:spacing w:after="0"/>
        <w:rPr>
          <w:sz w:val="26"/>
        </w:rPr>
        <w:sectPr>
          <w:pgSz w:w="12240" w:h="15840"/>
          <w:pgMar w:header="715" w:footer="957" w:top="1240" w:bottom="1140" w:left="1140" w:right="0"/>
        </w:sectPr>
      </w:pPr>
    </w:p>
    <w:p>
      <w:pPr>
        <w:pStyle w:val="BodyText"/>
        <w:rPr>
          <w:b/>
          <w:sz w:val="20"/>
        </w:rPr>
      </w:pPr>
    </w:p>
    <w:p>
      <w:pPr>
        <w:pStyle w:val="BodyText"/>
        <w:rPr>
          <w:b/>
          <w:sz w:val="20"/>
        </w:rPr>
      </w:pPr>
    </w:p>
    <w:p>
      <w:pPr>
        <w:pStyle w:val="BodyText"/>
        <w:rPr>
          <w:b/>
          <w:sz w:val="20"/>
        </w:rPr>
      </w:pPr>
    </w:p>
    <w:p>
      <w:pPr>
        <w:spacing w:before="155"/>
        <w:ind w:left="0" w:right="0" w:firstLine="0"/>
        <w:jc w:val="right"/>
        <w:rPr>
          <w:b/>
          <w:sz w:val="18"/>
        </w:rPr>
      </w:pPr>
      <w:r>
        <w:rPr>
          <w:b/>
          <w:color w:val="7E7E7E"/>
          <w:sz w:val="18"/>
        </w:rPr>
        <w:t>2.9</w:t>
      </w:r>
    </w:p>
    <w:p>
      <w:pPr>
        <w:tabs>
          <w:tab w:pos="2264" w:val="left" w:leader="none"/>
          <w:tab w:pos="2885" w:val="left" w:leader="none"/>
        </w:tabs>
        <w:spacing w:before="93"/>
        <w:ind w:left="1644" w:right="0" w:firstLine="0"/>
        <w:jc w:val="left"/>
        <w:rPr>
          <w:sz w:val="18"/>
        </w:rPr>
      </w:pPr>
      <w:r>
        <w:rPr/>
        <w:br w:type="column"/>
      </w:r>
      <w:r>
        <w:rPr>
          <w:color w:val="585858"/>
          <w:sz w:val="18"/>
        </w:rPr>
        <w:t>2019</w:t>
        <w:tab/>
        <w:t>2020</w:t>
        <w:tab/>
        <w:t>2021</w:t>
      </w:r>
    </w:p>
    <w:p>
      <w:pPr>
        <w:tabs>
          <w:tab w:pos="1389" w:val="left" w:leader="none"/>
          <w:tab w:pos="2537" w:val="left" w:leader="none"/>
          <w:tab w:pos="3684" w:val="left" w:leader="none"/>
          <w:tab w:pos="4832" w:val="left" w:leader="none"/>
        </w:tabs>
        <w:spacing w:line="220" w:lineRule="auto" w:before="70"/>
        <w:ind w:left="242" w:right="0" w:firstLine="0"/>
        <w:jc w:val="left"/>
        <w:rPr>
          <w:b/>
          <w:sz w:val="18"/>
        </w:rPr>
      </w:pPr>
      <w:r>
        <w:rPr/>
        <w:pict>
          <v:group style="position:absolute;margin-left:165pt;margin-top:18.61919pt;width:286.8pt;height:81.75pt;mso-position-horizontal-relative:page;mso-position-vertical-relative:paragraph;z-index:-281660416" coordorigin="3300,372" coordsize="5736,1635">
            <v:rect style="position:absolute;left:3518;top:840;width:202;height:341" filled="true" fillcolor="#7e7e7e" stroked="false">
              <v:fill type="solid"/>
            </v:rect>
            <v:rect style="position:absolute;left:3772;top:1181;width:202;height:365" filled="true" fillcolor="#011a27" stroked="false">
              <v:fill type="solid"/>
            </v:rect>
            <v:rect style="position:absolute;left:4027;top:456;width:202;height:725" filled="true" fillcolor="#c00000" stroked="false">
              <v:fill type="solid"/>
            </v:rect>
            <v:rect style="position:absolute;left:4665;top:974;width:202;height:207" filled="true" fillcolor="#7e7e7e" stroked="false">
              <v:fill type="solid"/>
            </v:rect>
            <v:rect style="position:absolute;left:4920;top:1181;width:202;height:533" filled="true" fillcolor="#011a27" stroked="false">
              <v:fill type="solid"/>
            </v:rect>
            <v:rect style="position:absolute;left:5174;top:566;width:202;height:615" filled="true" fillcolor="#c00000" stroked="false">
              <v:fill type="solid"/>
            </v:rect>
            <v:rect style="position:absolute;left:5812;top:993;width:202;height:188" filled="true" fillcolor="#7e7e7e" stroked="false">
              <v:fill type="solid"/>
            </v:rect>
            <v:rect style="position:absolute;left:6067;top:1181;width:202;height:756" filled="true" fillcolor="#011a27" stroked="false">
              <v:fill type="solid"/>
            </v:rect>
            <v:rect style="position:absolute;left:6321;top:547;width:202;height:634" filled="true" fillcolor="#c00000" stroked="false">
              <v:fill type="solid"/>
            </v:rect>
            <v:rect style="position:absolute;left:6960;top:741;width:202;height:440" filled="true" fillcolor="#7e7e7e" stroked="false">
              <v:fill type="solid"/>
            </v:rect>
            <v:rect style="position:absolute;left:7214;top:1181;width:202;height:240" filled="true" fillcolor="#011a27" stroked="false">
              <v:fill type="solid"/>
            </v:rect>
            <v:rect style="position:absolute;left:7468;top:377;width:202;height:804" filled="true" fillcolor="#c00000" stroked="false">
              <v:fill type="solid"/>
            </v:rect>
            <v:line style="position:absolute" from="8107,1176" to="8309,1176" stroked="true" strokeweight=".48pt" strokecolor="#7e7e7e">
              <v:stroke dashstyle="solid"/>
            </v:line>
            <v:rect style="position:absolute;left:8361;top:1181;width:202;height:826" filled="true" fillcolor="#011a27" stroked="false">
              <v:fill type="solid"/>
            </v:rect>
            <v:rect style="position:absolute;left:8616;top:372;width:202;height:809" filled="true" fillcolor="#c00000" stroked="false">
              <v:fill type="solid"/>
            </v:rect>
            <v:line style="position:absolute" from="3300,1181" to="9036,1181" stroked="true" strokeweight=".72pt" strokecolor="#d9d9d9">
              <v:stroke dashstyle="solid"/>
            </v:line>
            <w10:wrap type="none"/>
          </v:group>
        </w:pict>
      </w:r>
      <w:r>
        <w:rPr/>
        <w:pict>
          <v:rect style="position:absolute;margin-left:264.359985pt;margin-top:-7.060811pt;width:4.560pt;height:4.440pt;mso-position-horizontal-relative:page;mso-position-vertical-relative:paragraph;z-index:251660288" filled="true" fillcolor="#7e7e7e" stroked="false">
            <v:fill type="solid"/>
            <w10:wrap type="none"/>
          </v:rect>
        </w:pict>
      </w:r>
      <w:r>
        <w:rPr/>
        <w:pict>
          <v:rect style="position:absolute;margin-left:295.440002pt;margin-top:-7.060811pt;width:4.440pt;height:4.440pt;mso-position-horizontal-relative:page;mso-position-vertical-relative:paragraph;z-index:-281658368" filled="true" fillcolor="#011a27" stroked="false">
            <v:fill type="solid"/>
            <w10:wrap type="none"/>
          </v:rect>
        </w:pict>
      </w:r>
      <w:r>
        <w:rPr/>
        <w:pict>
          <v:rect style="position:absolute;margin-left:326.399994pt;margin-top:-7.060811pt;width:4.560pt;height:4.440pt;mso-position-horizontal-relative:page;mso-position-vertical-relative:paragraph;z-index:-281657344" filled="true" fillcolor="#c00000" stroked="false">
            <v:fill type="solid"/>
            <w10:wrap type="none"/>
          </v:rect>
        </w:pict>
      </w:r>
      <w:r>
        <w:rPr>
          <w:b/>
          <w:color w:val="C00000"/>
          <w:position w:val="-7"/>
          <w:sz w:val="18"/>
        </w:rPr>
        <w:t>6.1</w:t>
        <w:tab/>
      </w:r>
      <w:r>
        <w:rPr>
          <w:b/>
          <w:color w:val="C00000"/>
          <w:position w:val="-18"/>
          <w:sz w:val="18"/>
        </w:rPr>
        <w:t>5.2</w:t>
        <w:tab/>
      </w:r>
      <w:r>
        <w:rPr>
          <w:b/>
          <w:color w:val="C00000"/>
          <w:position w:val="-16"/>
          <w:sz w:val="18"/>
        </w:rPr>
        <w:t>5.3</w:t>
        <w:tab/>
      </w:r>
      <w:r>
        <w:rPr>
          <w:b/>
          <w:color w:val="C00000"/>
          <w:sz w:val="18"/>
        </w:rPr>
        <w:t>6.8</w:t>
        <w:tab/>
      </w:r>
      <w:r>
        <w:rPr>
          <w:b/>
          <w:color w:val="C00000"/>
          <w:position w:val="1"/>
          <w:sz w:val="18"/>
        </w:rPr>
        <w:t>6.8</w:t>
      </w:r>
    </w:p>
    <w:p>
      <w:pPr>
        <w:spacing w:line="191" w:lineRule="exact" w:before="0"/>
        <w:ind w:left="0" w:right="1887" w:firstLine="0"/>
        <w:jc w:val="center"/>
        <w:rPr>
          <w:b/>
          <w:sz w:val="18"/>
        </w:rPr>
      </w:pPr>
      <w:r>
        <w:rPr>
          <w:b/>
          <w:color w:val="7E7E7E"/>
          <w:sz w:val="18"/>
        </w:rPr>
        <w:t>3.7</w:t>
      </w:r>
    </w:p>
    <w:p>
      <w:pPr>
        <w:tabs>
          <w:tab w:pos="1147" w:val="left" w:leader="none"/>
        </w:tabs>
        <w:spacing w:line="206" w:lineRule="exact" w:before="25"/>
        <w:ind w:left="0" w:right="5330" w:firstLine="0"/>
        <w:jc w:val="center"/>
        <w:rPr>
          <w:b/>
          <w:sz w:val="18"/>
        </w:rPr>
      </w:pPr>
      <w:r>
        <w:rPr>
          <w:b/>
          <w:color w:val="7E7E7E"/>
          <w:sz w:val="18"/>
        </w:rPr>
        <w:t>1.7</w:t>
        <w:tab/>
      </w:r>
      <w:r>
        <w:rPr>
          <w:b/>
          <w:color w:val="7E7E7E"/>
          <w:position w:val="-1"/>
          <w:sz w:val="18"/>
        </w:rPr>
        <w:t>1.6</w:t>
      </w:r>
    </w:p>
    <w:p>
      <w:pPr>
        <w:spacing w:after="0" w:line="206" w:lineRule="exact"/>
        <w:jc w:val="center"/>
        <w:rPr>
          <w:sz w:val="18"/>
        </w:rPr>
        <w:sectPr>
          <w:type w:val="continuous"/>
          <w:pgSz w:w="12240" w:h="15840"/>
          <w:pgMar w:top="1500" w:bottom="280" w:left="1140" w:right="0"/>
          <w:cols w:num="2" w:equalWidth="0">
            <w:col w:w="2592" w:space="40"/>
            <w:col w:w="8468"/>
          </w:cols>
        </w:sectPr>
      </w:pPr>
    </w:p>
    <w:p>
      <w:pPr>
        <w:spacing w:line="199" w:lineRule="exact" w:before="0"/>
        <w:ind w:left="4364" w:right="1328" w:firstLine="0"/>
        <w:jc w:val="center"/>
        <w:rPr>
          <w:b/>
          <w:sz w:val="18"/>
        </w:rPr>
      </w:pPr>
      <w:r>
        <w:rPr>
          <w:b/>
          <w:color w:val="7E7E7E"/>
          <w:sz w:val="18"/>
        </w:rPr>
        <w:t>0.1</w:t>
      </w:r>
    </w:p>
    <w:p>
      <w:pPr>
        <w:pStyle w:val="BodyText"/>
        <w:spacing w:before="2"/>
        <w:rPr>
          <w:b/>
          <w:sz w:val="29"/>
        </w:rPr>
      </w:pPr>
    </w:p>
    <w:p>
      <w:pPr>
        <w:spacing w:after="0"/>
        <w:rPr>
          <w:sz w:val="29"/>
        </w:rPr>
        <w:sectPr>
          <w:type w:val="continuous"/>
          <w:pgSz w:w="12240" w:h="15840"/>
          <w:pgMar w:top="1500" w:bottom="280" w:left="1140" w:right="0"/>
        </w:sectPr>
      </w:pPr>
    </w:p>
    <w:p>
      <w:pPr>
        <w:pStyle w:val="BodyText"/>
        <w:spacing w:before="10"/>
        <w:rPr>
          <w:b/>
          <w:sz w:val="18"/>
        </w:rPr>
      </w:pPr>
    </w:p>
    <w:p>
      <w:pPr>
        <w:spacing w:before="0"/>
        <w:ind w:left="0" w:right="0" w:firstLine="0"/>
        <w:jc w:val="right"/>
        <w:rPr>
          <w:b/>
          <w:sz w:val="18"/>
        </w:rPr>
      </w:pPr>
      <w:r>
        <w:rPr>
          <w:b/>
          <w:color w:val="011A27"/>
          <w:sz w:val="18"/>
        </w:rPr>
        <w:t>-3.1</w:t>
      </w:r>
    </w:p>
    <w:p>
      <w:pPr>
        <w:pStyle w:val="BodyText"/>
        <w:rPr>
          <w:b/>
          <w:sz w:val="20"/>
        </w:rPr>
      </w:pPr>
      <w:r>
        <w:rPr/>
        <w:br w:type="column"/>
      </w:r>
      <w:r>
        <w:rPr>
          <w:b/>
          <w:sz w:val="20"/>
        </w:rPr>
      </w:r>
    </w:p>
    <w:p>
      <w:pPr>
        <w:spacing w:before="156"/>
        <w:ind w:left="0" w:right="0" w:firstLine="0"/>
        <w:jc w:val="right"/>
        <w:rPr>
          <w:b/>
          <w:sz w:val="18"/>
        </w:rPr>
      </w:pPr>
      <w:r>
        <w:rPr>
          <w:b/>
          <w:color w:val="011A27"/>
          <w:sz w:val="18"/>
        </w:rPr>
        <w:t>-4.5</w:t>
      </w:r>
    </w:p>
    <w:p>
      <w:pPr>
        <w:pStyle w:val="BodyText"/>
        <w:rPr>
          <w:b/>
          <w:sz w:val="20"/>
        </w:rPr>
      </w:pPr>
      <w:r>
        <w:rPr/>
        <w:br w:type="column"/>
      </w:r>
      <w:r>
        <w:rPr>
          <w:b/>
          <w:sz w:val="20"/>
        </w:rPr>
      </w:r>
    </w:p>
    <w:p>
      <w:pPr>
        <w:pStyle w:val="BodyText"/>
        <w:rPr>
          <w:b/>
          <w:sz w:val="20"/>
        </w:rPr>
      </w:pPr>
    </w:p>
    <w:p>
      <w:pPr>
        <w:spacing w:before="149"/>
        <w:ind w:left="0" w:right="0" w:firstLine="0"/>
        <w:jc w:val="right"/>
        <w:rPr>
          <w:b/>
          <w:sz w:val="18"/>
        </w:rPr>
      </w:pPr>
      <w:r>
        <w:rPr>
          <w:b/>
          <w:color w:val="011A27"/>
          <w:sz w:val="18"/>
        </w:rPr>
        <w:t>-6.4</w:t>
      </w:r>
    </w:p>
    <w:p>
      <w:pPr>
        <w:spacing w:before="93"/>
        <w:ind w:left="0" w:right="0" w:firstLine="0"/>
        <w:jc w:val="right"/>
        <w:rPr>
          <w:b/>
          <w:sz w:val="18"/>
        </w:rPr>
      </w:pPr>
      <w:r>
        <w:rPr/>
        <w:br w:type="column"/>
      </w:r>
      <w:r>
        <w:rPr>
          <w:b/>
          <w:color w:val="011A27"/>
          <w:sz w:val="18"/>
        </w:rPr>
        <w:t>-2.0</w:t>
      </w:r>
    </w:p>
    <w:p>
      <w:pPr>
        <w:pStyle w:val="BodyText"/>
        <w:rPr>
          <w:b/>
          <w:sz w:val="20"/>
        </w:rPr>
      </w:pPr>
      <w:r>
        <w:rPr/>
        <w:br w:type="column"/>
      </w:r>
      <w:r>
        <w:rPr>
          <w:b/>
          <w:sz w:val="20"/>
        </w:rPr>
      </w:r>
    </w:p>
    <w:p>
      <w:pPr>
        <w:pStyle w:val="BodyText"/>
        <w:rPr>
          <w:b/>
          <w:sz w:val="20"/>
        </w:rPr>
      </w:pPr>
    </w:p>
    <w:p>
      <w:pPr>
        <w:pStyle w:val="BodyText"/>
        <w:rPr>
          <w:b/>
          <w:sz w:val="19"/>
        </w:rPr>
      </w:pPr>
    </w:p>
    <w:p>
      <w:pPr>
        <w:spacing w:line="142" w:lineRule="exact" w:before="0"/>
        <w:ind w:left="820" w:right="0" w:firstLine="0"/>
        <w:jc w:val="left"/>
        <w:rPr>
          <w:b/>
          <w:sz w:val="18"/>
        </w:rPr>
      </w:pPr>
      <w:r>
        <w:rPr>
          <w:b/>
          <w:color w:val="011A27"/>
          <w:sz w:val="18"/>
        </w:rPr>
        <w:t>-7.0</w:t>
      </w:r>
    </w:p>
    <w:p>
      <w:pPr>
        <w:spacing w:after="0" w:line="142" w:lineRule="exact"/>
        <w:jc w:val="left"/>
        <w:rPr>
          <w:sz w:val="18"/>
        </w:rPr>
        <w:sectPr>
          <w:type w:val="continuous"/>
          <w:pgSz w:w="12240" w:h="15840"/>
          <w:pgMar w:top="1500" w:bottom="280" w:left="1140" w:right="0"/>
          <w:cols w:num="5" w:equalWidth="0">
            <w:col w:w="2878" w:space="40"/>
            <w:col w:w="1108" w:space="39"/>
            <w:col w:w="1108" w:space="39"/>
            <w:col w:w="1108" w:space="39"/>
            <w:col w:w="4741"/>
          </w:cols>
        </w:sectPr>
      </w:pPr>
    </w:p>
    <w:p>
      <w:pPr>
        <w:tabs>
          <w:tab w:pos="3481" w:val="left" w:leader="none"/>
        </w:tabs>
        <w:spacing w:line="240" w:lineRule="auto" w:before="0"/>
        <w:ind w:left="3511" w:right="0" w:hanging="1038"/>
        <w:jc w:val="right"/>
        <w:rPr>
          <w:sz w:val="18"/>
        </w:rPr>
      </w:pPr>
      <w:r>
        <w:rPr>
          <w:color w:val="585858"/>
          <w:sz w:val="18"/>
        </w:rPr>
        <w:t>Mundo</w:t>
        <w:tab/>
      </w:r>
      <w:r>
        <w:rPr>
          <w:color w:val="585858"/>
          <w:spacing w:val="-1"/>
          <w:sz w:val="18"/>
        </w:rPr>
        <w:t>Economias avanzadas</w:t>
      </w:r>
    </w:p>
    <w:p>
      <w:pPr>
        <w:tabs>
          <w:tab w:pos="1455" w:val="left" w:leader="none"/>
        </w:tabs>
        <w:spacing w:line="200" w:lineRule="exact" w:before="0"/>
        <w:ind w:left="192" w:right="0" w:firstLine="0"/>
        <w:jc w:val="left"/>
        <w:rPr>
          <w:sz w:val="18"/>
        </w:rPr>
      </w:pPr>
      <w:r>
        <w:rPr/>
        <w:br w:type="column"/>
      </w:r>
      <w:r>
        <w:rPr>
          <w:color w:val="585858"/>
          <w:sz w:val="18"/>
        </w:rPr>
        <w:t>Zona</w:t>
      </w:r>
      <w:r>
        <w:rPr>
          <w:color w:val="585858"/>
          <w:spacing w:val="-1"/>
          <w:sz w:val="18"/>
        </w:rPr>
        <w:t> </w:t>
      </w:r>
      <w:r>
        <w:rPr>
          <w:color w:val="585858"/>
          <w:sz w:val="18"/>
        </w:rPr>
        <w:t>del</w:t>
      </w:r>
      <w:r>
        <w:rPr>
          <w:color w:val="585858"/>
          <w:spacing w:val="-2"/>
          <w:sz w:val="18"/>
        </w:rPr>
        <w:t> </w:t>
      </w:r>
      <w:r>
        <w:rPr>
          <w:color w:val="585858"/>
          <w:sz w:val="18"/>
        </w:rPr>
        <w:t>Euro</w:t>
        <w:tab/>
        <w:t>Economias</w:t>
      </w:r>
    </w:p>
    <w:p>
      <w:pPr>
        <w:spacing w:before="0"/>
        <w:ind w:left="1388" w:right="-20" w:hanging="11"/>
        <w:jc w:val="left"/>
        <w:rPr>
          <w:sz w:val="18"/>
        </w:rPr>
      </w:pPr>
      <w:r>
        <w:rPr>
          <w:color w:val="585858"/>
          <w:sz w:val="18"/>
        </w:rPr>
        <w:t>emergentes y en desarrollo</w:t>
      </w:r>
    </w:p>
    <w:p>
      <w:pPr>
        <w:spacing w:line="240" w:lineRule="auto" w:before="0"/>
        <w:ind w:left="236" w:right="3236" w:hanging="125"/>
        <w:jc w:val="left"/>
        <w:rPr>
          <w:sz w:val="18"/>
        </w:rPr>
      </w:pPr>
      <w:r>
        <w:rPr/>
        <w:br w:type="column"/>
      </w:r>
      <w:r>
        <w:rPr>
          <w:color w:val="585858"/>
          <w:sz w:val="18"/>
        </w:rPr>
        <w:t>Latinoamerica y el Caribe</w:t>
      </w:r>
    </w:p>
    <w:p>
      <w:pPr>
        <w:spacing w:after="0" w:line="240" w:lineRule="auto"/>
        <w:jc w:val="left"/>
        <w:rPr>
          <w:sz w:val="18"/>
        </w:rPr>
        <w:sectPr>
          <w:type w:val="continuous"/>
          <w:pgSz w:w="12240" w:h="15840"/>
          <w:pgMar w:top="1500" w:bottom="280" w:left="1140" w:right="0"/>
          <w:cols w:num="3" w:equalWidth="0">
            <w:col w:w="4282" w:space="40"/>
            <w:col w:w="2332" w:space="39"/>
            <w:col w:w="4407"/>
          </w:cols>
        </w:sectPr>
      </w:pPr>
    </w:p>
    <w:p>
      <w:pPr>
        <w:spacing w:before="69"/>
        <w:ind w:left="1901" w:right="0" w:firstLine="0"/>
        <w:jc w:val="left"/>
        <w:rPr>
          <w:sz w:val="16"/>
        </w:rPr>
      </w:pPr>
      <w:r>
        <w:rPr>
          <w:sz w:val="16"/>
        </w:rPr>
        <w:t>Fuente: Fuente: Fondo Monetario Internacional.</w:t>
      </w:r>
    </w:p>
    <w:p>
      <w:pPr>
        <w:pStyle w:val="BodyText"/>
        <w:rPr>
          <w:sz w:val="20"/>
        </w:rPr>
      </w:pPr>
    </w:p>
    <w:p>
      <w:pPr>
        <w:pStyle w:val="BodyText"/>
        <w:spacing w:before="8"/>
        <w:rPr>
          <w:sz w:val="20"/>
        </w:rPr>
      </w:pPr>
    </w:p>
    <w:p>
      <w:pPr>
        <w:pStyle w:val="BodyText"/>
        <w:spacing w:line="276" w:lineRule="auto"/>
        <w:ind w:left="562" w:right="1695"/>
        <w:jc w:val="both"/>
      </w:pPr>
      <w:r>
        <w:rPr/>
        <w:t>De</w:t>
      </w:r>
      <w:r>
        <w:rPr>
          <w:spacing w:val="-10"/>
        </w:rPr>
        <w:t> </w:t>
      </w:r>
      <w:r>
        <w:rPr/>
        <w:t>las</w:t>
      </w:r>
      <w:r>
        <w:rPr>
          <w:spacing w:val="-10"/>
        </w:rPr>
        <w:t> </w:t>
      </w:r>
      <w:r>
        <w:rPr/>
        <w:t>economías</w:t>
      </w:r>
      <w:r>
        <w:rPr>
          <w:spacing w:val="-10"/>
        </w:rPr>
        <w:t> </w:t>
      </w:r>
      <w:r>
        <w:rPr/>
        <w:t>emergentes</w:t>
      </w:r>
      <w:r>
        <w:rPr>
          <w:spacing w:val="-9"/>
        </w:rPr>
        <w:t> </w:t>
      </w:r>
      <w:r>
        <w:rPr/>
        <w:t>cabe</w:t>
      </w:r>
      <w:r>
        <w:rPr>
          <w:spacing w:val="-10"/>
        </w:rPr>
        <w:t> </w:t>
      </w:r>
      <w:r>
        <w:rPr/>
        <w:t>destacar</w:t>
      </w:r>
      <w:r>
        <w:rPr>
          <w:spacing w:val="-10"/>
        </w:rPr>
        <w:t> </w:t>
      </w:r>
      <w:r>
        <w:rPr/>
        <w:t>el</w:t>
      </w:r>
      <w:r>
        <w:rPr>
          <w:spacing w:val="-9"/>
        </w:rPr>
        <w:t> </w:t>
      </w:r>
      <w:r>
        <w:rPr/>
        <w:t>crecimiento</w:t>
      </w:r>
      <w:r>
        <w:rPr>
          <w:spacing w:val="-11"/>
        </w:rPr>
        <w:t> </w:t>
      </w:r>
      <w:r>
        <w:rPr/>
        <w:t>en</w:t>
      </w:r>
      <w:r>
        <w:rPr>
          <w:spacing w:val="-10"/>
        </w:rPr>
        <w:t> </w:t>
      </w:r>
      <w:r>
        <w:rPr/>
        <w:t>el</w:t>
      </w:r>
      <w:r>
        <w:rPr>
          <w:spacing w:val="-9"/>
        </w:rPr>
        <w:t> </w:t>
      </w:r>
      <w:r>
        <w:rPr/>
        <w:t>2021</w:t>
      </w:r>
      <w:r>
        <w:rPr>
          <w:spacing w:val="-11"/>
        </w:rPr>
        <w:t> </w:t>
      </w:r>
      <w:r>
        <w:rPr/>
        <w:t>de</w:t>
      </w:r>
      <w:r>
        <w:rPr>
          <w:spacing w:val="-11"/>
        </w:rPr>
        <w:t> </w:t>
      </w:r>
      <w:r>
        <w:rPr/>
        <w:t>India</w:t>
      </w:r>
      <w:r>
        <w:rPr>
          <w:spacing w:val="-8"/>
        </w:rPr>
        <w:t> </w:t>
      </w:r>
      <w:r>
        <w:rPr/>
        <w:t>con</w:t>
      </w:r>
      <w:r>
        <w:rPr>
          <w:spacing w:val="-12"/>
        </w:rPr>
        <w:t> </w:t>
      </w:r>
      <w:r>
        <w:rPr/>
        <w:t>el</w:t>
      </w:r>
      <w:r>
        <w:rPr>
          <w:spacing w:val="-9"/>
        </w:rPr>
        <w:t> </w:t>
      </w:r>
      <w:r>
        <w:rPr/>
        <w:t>8.9%</w:t>
      </w:r>
      <w:r>
        <w:rPr>
          <w:spacing w:val="-10"/>
        </w:rPr>
        <w:t> </w:t>
      </w:r>
      <w:r>
        <w:rPr/>
        <w:t>y</w:t>
      </w:r>
      <w:r>
        <w:rPr>
          <w:spacing w:val="-12"/>
        </w:rPr>
        <w:t> </w:t>
      </w:r>
      <w:r>
        <w:rPr/>
        <w:t>de</w:t>
      </w:r>
      <w:r>
        <w:rPr>
          <w:spacing w:val="-11"/>
        </w:rPr>
        <w:t> </w:t>
      </w:r>
      <w:r>
        <w:rPr/>
        <w:t>China 8.1%. Además de las economías de Latinoamérica entre las economías que mostraron un mejor desempeño se encuentran Panamá con 15.3%, Chile con 13.3%, Perú con 11.7% y República Dominicana con 12.3%. Ecuador y Venezuela son algunos de los países que mostraron tasas de crecimiento más bajas para dicho año. Es importante indicar que muchas de las tasas altas de crecimiento corresponden a un efecto de recuperación de las economías después del 2020 y que</w:t>
      </w:r>
      <w:r>
        <w:rPr>
          <w:spacing w:val="-39"/>
        </w:rPr>
        <w:t> </w:t>
      </w:r>
      <w:r>
        <w:rPr/>
        <w:t>para los próximos años se espera una convergencia al crecimiento</w:t>
      </w:r>
      <w:r>
        <w:rPr>
          <w:spacing w:val="-6"/>
        </w:rPr>
        <w:t> </w:t>
      </w:r>
      <w:r>
        <w:rPr/>
        <w:t>potencial.</w:t>
      </w:r>
    </w:p>
    <w:p>
      <w:pPr>
        <w:pStyle w:val="BodyText"/>
        <w:spacing w:before="2"/>
        <w:rPr>
          <w:sz w:val="25"/>
        </w:rPr>
      </w:pPr>
    </w:p>
    <w:p>
      <w:pPr>
        <w:pStyle w:val="BodyText"/>
        <w:spacing w:line="278" w:lineRule="auto"/>
        <w:ind w:left="562" w:right="1698"/>
        <w:jc w:val="both"/>
      </w:pPr>
      <w:r>
        <w:rPr/>
        <w:t>La inflación mundial sorprendió en los últimos meses del 2021, ubicándose en 6.4% al final del período. Esto se debió al aumento acelerado de la demanda, las disrupciones en la oferta por las</w:t>
      </w:r>
    </w:p>
    <w:p>
      <w:pPr>
        <w:spacing w:after="0" w:line="278" w:lineRule="auto"/>
        <w:jc w:val="both"/>
        <w:sectPr>
          <w:type w:val="continuous"/>
          <w:pgSz w:w="12240" w:h="15840"/>
          <w:pgMar w:top="1500" w:bottom="280" w:left="1140" w:right="0"/>
        </w:sectPr>
      </w:pPr>
    </w:p>
    <w:p>
      <w:pPr>
        <w:pStyle w:val="BodyText"/>
        <w:spacing w:line="276" w:lineRule="auto" w:before="162"/>
        <w:ind w:left="562" w:right="1699"/>
        <w:jc w:val="both"/>
      </w:pPr>
      <w:r>
        <w:rPr/>
        <w:t>cadenas de suministros y al incremento continuo de los precios de </w:t>
      </w:r>
      <w:r>
        <w:rPr>
          <w:i/>
        </w:rPr>
        <w:t>commodities </w:t>
      </w:r>
      <w:r>
        <w:rPr/>
        <w:t>de alimentos y de energía.</w:t>
      </w:r>
      <w:r>
        <w:rPr>
          <w:spacing w:val="-14"/>
        </w:rPr>
        <w:t> </w:t>
      </w:r>
      <w:r>
        <w:rPr/>
        <w:t>Esta</w:t>
      </w:r>
      <w:r>
        <w:rPr>
          <w:spacing w:val="-15"/>
        </w:rPr>
        <w:t> </w:t>
      </w:r>
      <w:r>
        <w:rPr/>
        <w:t>inflación</w:t>
      </w:r>
      <w:r>
        <w:rPr>
          <w:spacing w:val="-16"/>
        </w:rPr>
        <w:t> </w:t>
      </w:r>
      <w:r>
        <w:rPr/>
        <w:t>llevó</w:t>
      </w:r>
      <w:r>
        <w:rPr>
          <w:spacing w:val="-13"/>
        </w:rPr>
        <w:t> </w:t>
      </w:r>
      <w:r>
        <w:rPr/>
        <w:t>a</w:t>
      </w:r>
      <w:r>
        <w:rPr>
          <w:spacing w:val="-13"/>
        </w:rPr>
        <w:t> </w:t>
      </w:r>
      <w:r>
        <w:rPr/>
        <w:t>algunos</w:t>
      </w:r>
      <w:r>
        <w:rPr>
          <w:spacing w:val="-13"/>
        </w:rPr>
        <w:t> </w:t>
      </w:r>
      <w:r>
        <w:rPr/>
        <w:t>bancos</w:t>
      </w:r>
      <w:r>
        <w:rPr>
          <w:spacing w:val="-14"/>
        </w:rPr>
        <w:t> </w:t>
      </w:r>
      <w:r>
        <w:rPr/>
        <w:t>centrales</w:t>
      </w:r>
      <w:r>
        <w:rPr>
          <w:spacing w:val="-15"/>
        </w:rPr>
        <w:t> </w:t>
      </w:r>
      <w:r>
        <w:rPr/>
        <w:t>a</w:t>
      </w:r>
      <w:r>
        <w:rPr>
          <w:spacing w:val="-13"/>
        </w:rPr>
        <w:t> </w:t>
      </w:r>
      <w:r>
        <w:rPr/>
        <w:t>anunciar</w:t>
      </w:r>
      <w:r>
        <w:rPr>
          <w:spacing w:val="-13"/>
        </w:rPr>
        <w:t> </w:t>
      </w:r>
      <w:r>
        <w:rPr/>
        <w:t>cambios</w:t>
      </w:r>
      <w:r>
        <w:rPr>
          <w:spacing w:val="-13"/>
        </w:rPr>
        <w:t> </w:t>
      </w:r>
      <w:r>
        <w:rPr/>
        <w:t>en</w:t>
      </w:r>
      <w:r>
        <w:rPr>
          <w:spacing w:val="-15"/>
        </w:rPr>
        <w:t> </w:t>
      </w:r>
      <w:r>
        <w:rPr/>
        <w:t>las</w:t>
      </w:r>
      <w:r>
        <w:rPr>
          <w:spacing w:val="-13"/>
        </w:rPr>
        <w:t> </w:t>
      </w:r>
      <w:r>
        <w:rPr/>
        <w:t>políticas</w:t>
      </w:r>
      <w:r>
        <w:rPr>
          <w:spacing w:val="-14"/>
        </w:rPr>
        <w:t> </w:t>
      </w:r>
      <w:r>
        <w:rPr/>
        <w:t>monetarias acomodaticias.</w:t>
      </w:r>
    </w:p>
    <w:p>
      <w:pPr>
        <w:pStyle w:val="BodyText"/>
        <w:spacing w:before="4"/>
        <w:rPr>
          <w:sz w:val="25"/>
        </w:rPr>
      </w:pPr>
    </w:p>
    <w:p>
      <w:pPr>
        <w:pStyle w:val="BodyText"/>
        <w:spacing w:line="276" w:lineRule="auto"/>
        <w:ind w:left="562" w:right="1693"/>
        <w:jc w:val="both"/>
      </w:pPr>
      <w:r>
        <w:rPr/>
        <w:t>En el caso las economías avanzadas la inflación aumentó considerablemente y se ubicó en 5.3% </w:t>
      </w:r>
      <w:r>
        <w:rPr>
          <w:spacing w:val="-3"/>
        </w:rPr>
        <w:t>en </w:t>
      </w:r>
      <w:r>
        <w:rPr/>
        <w:t>2021, no obstante, esta fue diversa entre estos países. También las expectativas de la inflación aumentaron</w:t>
      </w:r>
      <w:r>
        <w:rPr>
          <w:spacing w:val="-7"/>
        </w:rPr>
        <w:t> </w:t>
      </w:r>
      <w:r>
        <w:rPr/>
        <w:t>a</w:t>
      </w:r>
      <w:r>
        <w:rPr>
          <w:spacing w:val="-6"/>
        </w:rPr>
        <w:t> </w:t>
      </w:r>
      <w:r>
        <w:rPr/>
        <w:t>final</w:t>
      </w:r>
      <w:r>
        <w:rPr>
          <w:spacing w:val="-5"/>
        </w:rPr>
        <w:t> </w:t>
      </w:r>
      <w:r>
        <w:rPr/>
        <w:t>de</w:t>
      </w:r>
      <w:r>
        <w:rPr>
          <w:spacing w:val="-6"/>
        </w:rPr>
        <w:t> </w:t>
      </w:r>
      <w:r>
        <w:rPr/>
        <w:t>año</w:t>
      </w:r>
      <w:r>
        <w:rPr>
          <w:spacing w:val="-6"/>
        </w:rPr>
        <w:t> </w:t>
      </w:r>
      <w:r>
        <w:rPr/>
        <w:t>al</w:t>
      </w:r>
      <w:r>
        <w:rPr>
          <w:spacing w:val="-4"/>
        </w:rPr>
        <w:t> </w:t>
      </w:r>
      <w:r>
        <w:rPr/>
        <w:t>igual</w:t>
      </w:r>
      <w:r>
        <w:rPr>
          <w:spacing w:val="-3"/>
        </w:rPr>
        <w:t> </w:t>
      </w:r>
      <w:r>
        <w:rPr/>
        <w:t>que</w:t>
      </w:r>
      <w:r>
        <w:rPr>
          <w:spacing w:val="-3"/>
        </w:rPr>
        <w:t> </w:t>
      </w:r>
      <w:r>
        <w:rPr/>
        <w:t>los</w:t>
      </w:r>
      <w:r>
        <w:rPr>
          <w:spacing w:val="-3"/>
        </w:rPr>
        <w:t> </w:t>
      </w:r>
      <w:r>
        <w:rPr/>
        <w:t>salarios</w:t>
      </w:r>
      <w:r>
        <w:rPr>
          <w:spacing w:val="-5"/>
        </w:rPr>
        <w:t> </w:t>
      </w:r>
      <w:r>
        <w:rPr/>
        <w:t>en</w:t>
      </w:r>
      <w:r>
        <w:rPr>
          <w:spacing w:val="-7"/>
        </w:rPr>
        <w:t> </w:t>
      </w:r>
      <w:r>
        <w:rPr/>
        <w:t>algunos</w:t>
      </w:r>
      <w:r>
        <w:rPr>
          <w:spacing w:val="-3"/>
        </w:rPr>
        <w:t> </w:t>
      </w:r>
      <w:r>
        <w:rPr/>
        <w:t>sectores</w:t>
      </w:r>
      <w:r>
        <w:rPr>
          <w:spacing w:val="-5"/>
        </w:rPr>
        <w:t> </w:t>
      </w:r>
      <w:r>
        <w:rPr/>
        <w:t>productivos,</w:t>
      </w:r>
      <w:r>
        <w:rPr>
          <w:spacing w:val="-6"/>
        </w:rPr>
        <w:t> </w:t>
      </w:r>
      <w:r>
        <w:rPr/>
        <w:t>especialmente</w:t>
      </w:r>
      <w:r>
        <w:rPr>
          <w:spacing w:val="-6"/>
        </w:rPr>
        <w:t> </w:t>
      </w:r>
      <w:r>
        <w:rPr/>
        <w:t>en aquellos donde existe escasez por la mano de obra, tal es el caso del sector de transporte de carga terrestre. En el caso de las economías emergentes y en desarrollo, el aumento de la inflación fue generalizada y se encontró al final del periodo en 7.3%, experimentando aumentos en los precios de alimentos, de energía y otros componentes básicos, asimismo, alrededor de un tercio de estos países tuvo</w:t>
      </w:r>
      <w:r>
        <w:rPr>
          <w:spacing w:val="-5"/>
        </w:rPr>
        <w:t> </w:t>
      </w:r>
      <w:r>
        <w:rPr/>
        <w:t>una</w:t>
      </w:r>
      <w:r>
        <w:rPr>
          <w:spacing w:val="-7"/>
        </w:rPr>
        <w:t> </w:t>
      </w:r>
      <w:r>
        <w:rPr/>
        <w:t>inflación</w:t>
      </w:r>
      <w:r>
        <w:rPr>
          <w:spacing w:val="-4"/>
        </w:rPr>
        <w:t> </w:t>
      </w:r>
      <w:r>
        <w:rPr/>
        <w:t>de</w:t>
      </w:r>
      <w:r>
        <w:rPr>
          <w:spacing w:val="-4"/>
        </w:rPr>
        <w:t> </w:t>
      </w:r>
      <w:r>
        <w:rPr/>
        <w:t>dos</w:t>
      </w:r>
      <w:r>
        <w:rPr>
          <w:spacing w:val="-4"/>
        </w:rPr>
        <w:t> </w:t>
      </w:r>
      <w:r>
        <w:rPr/>
        <w:t>dígitos</w:t>
      </w:r>
      <w:r>
        <w:rPr>
          <w:spacing w:val="-3"/>
        </w:rPr>
        <w:t> </w:t>
      </w:r>
      <w:r>
        <w:rPr/>
        <w:t>en</w:t>
      </w:r>
      <w:r>
        <w:rPr>
          <w:spacing w:val="-5"/>
        </w:rPr>
        <w:t> </w:t>
      </w:r>
      <w:r>
        <w:rPr/>
        <w:t>alimentos.</w:t>
      </w:r>
      <w:r>
        <w:rPr>
          <w:spacing w:val="-4"/>
        </w:rPr>
        <w:t> </w:t>
      </w:r>
      <w:r>
        <w:rPr/>
        <w:t>Las</w:t>
      </w:r>
      <w:r>
        <w:rPr>
          <w:spacing w:val="-4"/>
        </w:rPr>
        <w:t> </w:t>
      </w:r>
      <w:r>
        <w:rPr/>
        <w:t>presiones</w:t>
      </w:r>
      <w:r>
        <w:rPr>
          <w:spacing w:val="-6"/>
        </w:rPr>
        <w:t> </w:t>
      </w:r>
      <w:r>
        <w:rPr/>
        <w:t>de</w:t>
      </w:r>
      <w:r>
        <w:rPr>
          <w:spacing w:val="-7"/>
        </w:rPr>
        <w:t> </w:t>
      </w:r>
      <w:r>
        <w:rPr/>
        <w:t>los</w:t>
      </w:r>
      <w:r>
        <w:rPr>
          <w:spacing w:val="-6"/>
        </w:rPr>
        <w:t> </w:t>
      </w:r>
      <w:r>
        <w:rPr/>
        <w:t>salarios</w:t>
      </w:r>
      <w:r>
        <w:rPr>
          <w:spacing w:val="-7"/>
        </w:rPr>
        <w:t> </w:t>
      </w:r>
      <w:r>
        <w:rPr/>
        <w:t>en</w:t>
      </w:r>
      <w:r>
        <w:rPr>
          <w:spacing w:val="-7"/>
        </w:rPr>
        <w:t> </w:t>
      </w:r>
      <w:r>
        <w:rPr/>
        <w:t>los</w:t>
      </w:r>
      <w:r>
        <w:rPr>
          <w:spacing w:val="-7"/>
        </w:rPr>
        <w:t> </w:t>
      </w:r>
      <w:r>
        <w:rPr/>
        <w:t>países</w:t>
      </w:r>
      <w:r>
        <w:rPr>
          <w:spacing w:val="-6"/>
        </w:rPr>
        <w:t> </w:t>
      </w:r>
      <w:r>
        <w:rPr/>
        <w:t>emergentes y en desarrollo permanecieron contenidas mostrando una holgura en el factor trabajo, con excepción de algunas economías. En el caso de Latinoamérica y el Caribe la inflación se registró </w:t>
      </w:r>
      <w:r>
        <w:rPr>
          <w:spacing w:val="4"/>
        </w:rPr>
        <w:t>en </w:t>
      </w:r>
      <w:r>
        <w:rPr/>
        <w:t>11.6% a final de año.</w:t>
      </w:r>
    </w:p>
    <w:p>
      <w:pPr>
        <w:pStyle w:val="BodyText"/>
        <w:spacing w:before="9"/>
        <w:rPr>
          <w:sz w:val="25"/>
        </w:rPr>
      </w:pPr>
    </w:p>
    <w:p>
      <w:pPr>
        <w:spacing w:before="0"/>
        <w:ind w:left="2568" w:right="0" w:firstLine="0"/>
        <w:jc w:val="left"/>
        <w:rPr>
          <w:b/>
          <w:sz w:val="20"/>
        </w:rPr>
      </w:pPr>
      <w:bookmarkStart w:name="_bookmark5" w:id="8"/>
      <w:bookmarkEnd w:id="8"/>
      <w:r>
        <w:rPr/>
      </w:r>
      <w:r>
        <w:rPr>
          <w:b/>
          <w:i/>
          <w:sz w:val="20"/>
        </w:rPr>
        <w:t>Gráfico 2 </w:t>
      </w:r>
      <w:r>
        <w:rPr>
          <w:b/>
          <w:sz w:val="20"/>
        </w:rPr>
        <w:t>Inflación de la economía mundial (porcentaje)</w:t>
      </w:r>
    </w:p>
    <w:p>
      <w:pPr>
        <w:pStyle w:val="BodyText"/>
        <w:spacing w:before="10"/>
        <w:rPr>
          <w:b/>
          <w:sz w:val="20"/>
        </w:rPr>
      </w:pPr>
    </w:p>
    <w:p>
      <w:pPr>
        <w:spacing w:after="0"/>
        <w:rPr>
          <w:sz w:val="20"/>
        </w:rPr>
        <w:sectPr>
          <w:pgSz w:w="12240" w:h="15840"/>
          <w:pgMar w:header="715" w:footer="957" w:top="1240" w:bottom="1140" w:left="1140" w:right="0"/>
        </w:sectPr>
      </w:pPr>
    </w:p>
    <w:p>
      <w:pPr>
        <w:spacing w:before="116"/>
        <w:ind w:left="0" w:right="0" w:firstLine="0"/>
        <w:jc w:val="right"/>
        <w:rPr>
          <w:sz w:val="18"/>
        </w:rPr>
      </w:pPr>
      <w:r>
        <w:rPr>
          <w:color w:val="585858"/>
          <w:spacing w:val="-1"/>
          <w:sz w:val="18"/>
        </w:rPr>
        <w:t>14.0</w:t>
      </w:r>
    </w:p>
    <w:p>
      <w:pPr>
        <w:spacing w:before="138"/>
        <w:ind w:left="0" w:right="0" w:firstLine="0"/>
        <w:jc w:val="right"/>
        <w:rPr>
          <w:sz w:val="18"/>
        </w:rPr>
      </w:pPr>
      <w:r>
        <w:rPr>
          <w:color w:val="585858"/>
          <w:spacing w:val="-1"/>
          <w:sz w:val="18"/>
        </w:rPr>
        <w:t>12.0</w:t>
      </w:r>
    </w:p>
    <w:p>
      <w:pPr>
        <w:spacing w:line="247" w:lineRule="auto" w:before="94"/>
        <w:ind w:left="1060" w:right="5950" w:firstLine="0"/>
        <w:jc w:val="left"/>
        <w:rPr>
          <w:sz w:val="16"/>
        </w:rPr>
      </w:pPr>
      <w:r>
        <w:rPr/>
        <w:br w:type="column"/>
      </w:r>
      <w:r>
        <w:rPr>
          <w:color w:val="585858"/>
          <w:sz w:val="16"/>
        </w:rPr>
        <w:t>Latinoamerica y el Caribe Mundo</w:t>
      </w:r>
    </w:p>
    <w:p>
      <w:pPr>
        <w:spacing w:line="247" w:lineRule="auto" w:before="0"/>
        <w:ind w:left="1060" w:right="6207" w:firstLine="0"/>
        <w:jc w:val="left"/>
        <w:rPr>
          <w:sz w:val="16"/>
        </w:rPr>
      </w:pPr>
      <w:r>
        <w:rPr/>
        <w:pict>
          <v:group style="position:absolute;margin-left:185.039993pt;margin-top:3.888757pt;width:274.1pt;height:110.05pt;mso-position-horizontal-relative:page;mso-position-vertical-relative:paragraph;z-index:-281656320" coordorigin="3701,78" coordsize="5482,2201">
            <v:shape style="position:absolute;left:4248;top:176;width:4388;height:1997" coordorigin="4248,176" coordsize="4388,1997" path="m4980,839l4248,839,4248,2173,4980,2173,4980,839m6806,1079l6077,1079,6077,2173,6806,2173,6806,1079m8635,176l7903,176,7903,2173,8635,2173,8635,176e" filled="true" fillcolor="#a6a6a6" stroked="false">
              <v:path arrowok="t"/>
              <v:fill type="solid"/>
            </v:shape>
            <v:line style="position:absolute" from="3701,2173" to="9182,2173" stroked="true" strokeweight=".72pt" strokecolor="#d9d9d9">
              <v:stroke dashstyle="solid"/>
            </v:line>
            <v:shape style="position:absolute;left:4614;top:1067;width:3656;height:622" coordorigin="4614,1068" coordsize="3656,622" path="m4614,1509l6440,1689,8269,1068e" filled="false" stroked="true" strokeweight="2.280pt" strokecolor="#053852">
              <v:path arrowok="t"/>
              <v:stroke dashstyle="solid"/>
            </v:shape>
            <v:shape style="position:absolute;left:4614;top:1266;width:3656;height:816" coordorigin="4614,1267" coordsize="3656,816" path="m4614,1910l6440,2083,8269,1267e" filled="false" stroked="true" strokeweight="2.280pt" strokecolor="#c00000">
              <v:path arrowok="t"/>
              <v:stroke dashstyle="dot"/>
            </v:shape>
            <v:shape style="position:absolute;left:4614;top:1314;width:3656;height:905" coordorigin="4614,1315" coordsize="3656,905" path="m4614,1944l6440,2220,8269,1315e" filled="false" stroked="true" strokeweight="2.04pt" strokecolor="#ef810f">
              <v:path arrowok="t"/>
              <v:stroke dashstyle="dash"/>
            </v:shape>
            <v:shape style="position:absolute;left:4555;top:1255;width:3773;height:1023" coordorigin="4555,1256" coordsize="3773,1023" path="m4675,1945l4615,1885,4555,1945,4615,2005,4675,1945m6502,2218l6442,2158,6382,2218,6442,2278,6502,2218m8328,1316l8268,1256,8208,1316,8268,1376,8328,1316e" filled="true" fillcolor="#ef810f" stroked="false">
              <v:path arrowok="t"/>
              <v:fill type="solid"/>
            </v:shape>
            <v:shape style="position:absolute;left:4614;top:921;width:3656;height:471" coordorigin="4614,921" coordsize="3656,471" path="m4614,1200l6440,1392,8269,921e" filled="false" stroked="true" strokeweight="1.56pt" strokecolor="#b80d47">
              <v:path arrowok="t"/>
              <v:stroke dashstyle="solid"/>
            </v:shape>
            <v:line style="position:absolute" from="4043,101" to="4547,101" stroked="true" strokeweight="2.280pt" strokecolor="#c00000">
              <v:stroke dashstyle="dot"/>
            </v:line>
            <v:line style="position:absolute" from="4043,288" to="4547,288" stroked="true" strokeweight="2.04pt" strokecolor="#ef810f">
              <v:stroke dashstyle="dash"/>
            </v:line>
            <v:shape style="position:absolute;left:4255;top:248;width:77;height:77" coordorigin="4255,248" coordsize="77,77" path="m4294,248l4255,287,4294,325,4332,287,4294,248xe" filled="true" fillcolor="#ef810f" stroked="false">
              <v:path arrowok="t"/>
              <v:fill type="solid"/>
            </v:shape>
            <w10:wrap type="none"/>
          </v:group>
        </w:pict>
      </w:r>
      <w:r>
        <w:rPr/>
        <w:pict>
          <v:line style="position:absolute;mso-position-horizontal-relative:page;mso-position-vertical-relative:paragraph;z-index:251664384" from="202.199997pt,-13.931243pt" to="227.399997pt,-13.931243pt" stroked="true" strokeweight="3.96pt" strokecolor="#a6a6a6">
            <v:stroke dashstyle="solid"/>
            <w10:wrap type="none"/>
          </v:line>
        </w:pict>
      </w:r>
      <w:r>
        <w:rPr/>
        <w:pict>
          <v:line style="position:absolute;mso-position-horizontal-relative:page;mso-position-vertical-relative:paragraph;z-index:251665408" from="202.139999pt,-4.451242pt" to="227.339999pt,-4.451242pt" stroked="true" strokeweight="2.280pt" strokecolor="#053852">
            <v:stroke dashstyle="solid"/>
            <w10:wrap type="none"/>
          </v:line>
        </w:pict>
      </w:r>
      <w:r>
        <w:rPr>
          <w:color w:val="585858"/>
          <w:sz w:val="16"/>
        </w:rPr>
        <w:t>Economias avanzadas Zona del Euro</w:t>
      </w:r>
    </w:p>
    <w:p>
      <w:pPr>
        <w:spacing w:after="0" w:line="247" w:lineRule="auto"/>
        <w:jc w:val="left"/>
        <w:rPr>
          <w:sz w:val="16"/>
        </w:rPr>
        <w:sectPr>
          <w:type w:val="continuous"/>
          <w:pgSz w:w="12240" w:h="15840"/>
          <w:pgMar w:top="1500" w:bottom="280" w:left="1140" w:right="0"/>
          <w:cols w:num="2" w:equalWidth="0">
            <w:col w:w="2364" w:space="40"/>
            <w:col w:w="8696"/>
          </w:cols>
        </w:sectPr>
      </w:pPr>
    </w:p>
    <w:p>
      <w:pPr>
        <w:spacing w:line="162" w:lineRule="exact" w:before="0"/>
        <w:ind w:left="0" w:right="0" w:firstLine="0"/>
        <w:jc w:val="right"/>
        <w:rPr>
          <w:sz w:val="18"/>
        </w:rPr>
      </w:pPr>
      <w:r>
        <w:rPr>
          <w:color w:val="585858"/>
          <w:spacing w:val="-1"/>
          <w:sz w:val="18"/>
        </w:rPr>
        <w:t>10.0</w:t>
      </w:r>
    </w:p>
    <w:p>
      <w:pPr>
        <w:spacing w:before="138"/>
        <w:ind w:left="0" w:right="0" w:firstLine="0"/>
        <w:jc w:val="right"/>
        <w:rPr>
          <w:sz w:val="18"/>
        </w:rPr>
      </w:pPr>
      <w:r>
        <w:rPr>
          <w:color w:val="585858"/>
          <w:spacing w:val="-1"/>
          <w:sz w:val="18"/>
        </w:rPr>
        <w:t>8.0</w:t>
      </w:r>
    </w:p>
    <w:p>
      <w:pPr>
        <w:spacing w:before="139"/>
        <w:ind w:left="0" w:right="0" w:firstLine="0"/>
        <w:jc w:val="right"/>
        <w:rPr>
          <w:sz w:val="18"/>
        </w:rPr>
      </w:pPr>
      <w:r>
        <w:rPr>
          <w:color w:val="585858"/>
          <w:spacing w:val="-1"/>
          <w:sz w:val="18"/>
        </w:rPr>
        <w:t>6.0</w:t>
      </w:r>
    </w:p>
    <w:p>
      <w:pPr>
        <w:spacing w:before="138"/>
        <w:ind w:left="0" w:right="0" w:firstLine="0"/>
        <w:jc w:val="right"/>
        <w:rPr>
          <w:sz w:val="18"/>
        </w:rPr>
      </w:pPr>
      <w:r>
        <w:rPr>
          <w:color w:val="585858"/>
          <w:spacing w:val="-1"/>
          <w:sz w:val="18"/>
        </w:rPr>
        <w:t>4.0</w:t>
      </w:r>
    </w:p>
    <w:p>
      <w:pPr>
        <w:spacing w:before="138"/>
        <w:ind w:left="0" w:right="0" w:firstLine="0"/>
        <w:jc w:val="right"/>
        <w:rPr>
          <w:sz w:val="18"/>
        </w:rPr>
      </w:pPr>
      <w:r>
        <w:rPr>
          <w:color w:val="585858"/>
          <w:spacing w:val="-1"/>
          <w:sz w:val="18"/>
        </w:rPr>
        <w:t>2.0</w:t>
      </w:r>
    </w:p>
    <w:p>
      <w:pPr>
        <w:spacing w:before="139"/>
        <w:ind w:left="0" w:right="87" w:firstLine="0"/>
        <w:jc w:val="right"/>
        <w:rPr>
          <w:sz w:val="18"/>
        </w:rPr>
      </w:pPr>
      <w:r>
        <w:rPr>
          <w:color w:val="585858"/>
          <w:sz w:val="18"/>
        </w:rPr>
        <w:t>-</w:t>
      </w:r>
    </w:p>
    <w:p>
      <w:pPr>
        <w:spacing w:before="138"/>
        <w:ind w:left="0" w:right="0" w:firstLine="0"/>
        <w:jc w:val="right"/>
        <w:rPr>
          <w:sz w:val="18"/>
        </w:rPr>
      </w:pPr>
      <w:r>
        <w:rPr>
          <w:color w:val="585858"/>
          <w:spacing w:val="-1"/>
          <w:sz w:val="18"/>
        </w:rPr>
        <w:t>-2.0</w:t>
      </w:r>
    </w:p>
    <w:p>
      <w:pPr>
        <w:tabs>
          <w:tab w:pos="1043" w:val="left" w:leader="none"/>
        </w:tabs>
        <w:spacing w:line="181" w:lineRule="exact" w:before="0"/>
        <w:ind w:left="499" w:right="0" w:firstLine="0"/>
        <w:jc w:val="center"/>
        <w:rPr>
          <w:sz w:val="16"/>
        </w:rPr>
      </w:pPr>
      <w:r>
        <w:rPr/>
        <w:br w:type="column"/>
      </w:r>
      <w:r>
        <w:rPr>
          <w:color w:val="585858"/>
          <w:position w:val="2"/>
          <w:sz w:val="18"/>
          <w:u w:val="thick" w:color="B80D47"/>
        </w:rPr>
        <w:t> </w:t>
        <w:tab/>
      </w:r>
      <w:r>
        <w:rPr>
          <w:color w:val="585858"/>
          <w:sz w:val="16"/>
        </w:rPr>
        <w:t>Economias emergentes y en</w:t>
      </w:r>
      <w:r>
        <w:rPr>
          <w:color w:val="585858"/>
          <w:spacing w:val="-17"/>
          <w:sz w:val="16"/>
        </w:rPr>
        <w:t> </w:t>
      </w:r>
      <w:r>
        <w:rPr>
          <w:color w:val="585858"/>
          <w:sz w:val="16"/>
        </w:rPr>
        <w:t>desarrollo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4"/>
        </w:rPr>
      </w:pPr>
    </w:p>
    <w:p>
      <w:pPr>
        <w:tabs>
          <w:tab w:pos="2268" w:val="left" w:leader="none"/>
        </w:tabs>
        <w:spacing w:before="0"/>
        <w:ind w:left="441" w:right="0" w:firstLine="0"/>
        <w:jc w:val="center"/>
        <w:rPr>
          <w:sz w:val="18"/>
        </w:rPr>
      </w:pPr>
      <w:r>
        <w:rPr>
          <w:color w:val="585858"/>
          <w:sz w:val="18"/>
        </w:rPr>
        <w:t>2019</w:t>
        <w:tab/>
        <w:t>2020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69"/>
        <w:ind w:left="976" w:right="0" w:firstLine="0"/>
        <w:jc w:val="left"/>
        <w:rPr>
          <w:sz w:val="18"/>
        </w:rPr>
      </w:pPr>
      <w:r>
        <w:rPr>
          <w:color w:val="585858"/>
          <w:sz w:val="18"/>
        </w:rPr>
        <w:t>2021</w:t>
      </w:r>
    </w:p>
    <w:p>
      <w:pPr>
        <w:spacing w:after="0"/>
        <w:jc w:val="left"/>
        <w:rPr>
          <w:sz w:val="18"/>
        </w:rPr>
        <w:sectPr>
          <w:type w:val="continuous"/>
          <w:pgSz w:w="12240" w:h="15840"/>
          <w:pgMar w:top="1500" w:bottom="280" w:left="1140" w:right="0"/>
          <w:cols w:num="3" w:equalWidth="0">
            <w:col w:w="2364" w:space="40"/>
            <w:col w:w="3530" w:space="39"/>
            <w:col w:w="5127"/>
          </w:cols>
        </w:sectPr>
      </w:pPr>
    </w:p>
    <w:p>
      <w:pPr>
        <w:spacing w:before="151"/>
        <w:ind w:left="1750" w:right="0" w:firstLine="0"/>
        <w:jc w:val="left"/>
        <w:rPr>
          <w:sz w:val="16"/>
        </w:rPr>
      </w:pPr>
      <w:r>
        <w:rPr>
          <w:sz w:val="16"/>
        </w:rPr>
        <w:t>Fuente: Fondo Monetario Internacional.</w:t>
      </w:r>
    </w:p>
    <w:p>
      <w:pPr>
        <w:pStyle w:val="BodyText"/>
        <w:rPr>
          <w:sz w:val="19"/>
        </w:rPr>
      </w:pPr>
    </w:p>
    <w:p>
      <w:pPr>
        <w:pStyle w:val="BodyText"/>
        <w:spacing w:line="276" w:lineRule="auto" w:before="91"/>
        <w:ind w:left="562" w:right="1694"/>
        <w:jc w:val="both"/>
      </w:pPr>
      <w:r>
        <w:rPr/>
        <w:t>Entre algunas economías avanzadas que mostraron una mayor tasa de inflación en 2021 fueron Estonia con 12.0%, Estados Unidos con 7.1%, España con 6.6%, Países Bajo con 6.3% y Alemania con</w:t>
      </w:r>
      <w:r>
        <w:rPr>
          <w:spacing w:val="-9"/>
        </w:rPr>
        <w:t> </w:t>
      </w:r>
      <w:r>
        <w:rPr/>
        <w:t>5.7%.</w:t>
      </w:r>
      <w:r>
        <w:rPr>
          <w:spacing w:val="38"/>
        </w:rPr>
        <w:t> </w:t>
      </w:r>
      <w:r>
        <w:rPr/>
        <w:t>Es</w:t>
      </w:r>
      <w:r>
        <w:rPr>
          <w:spacing w:val="-11"/>
        </w:rPr>
        <w:t> </w:t>
      </w:r>
      <w:r>
        <w:rPr/>
        <w:t>importante</w:t>
      </w:r>
      <w:r>
        <w:rPr>
          <w:spacing w:val="-8"/>
        </w:rPr>
        <w:t> </w:t>
      </w:r>
      <w:r>
        <w:rPr/>
        <w:t>tomar</w:t>
      </w:r>
      <w:r>
        <w:rPr>
          <w:spacing w:val="-8"/>
        </w:rPr>
        <w:t> </w:t>
      </w:r>
      <w:r>
        <w:rPr/>
        <w:t>en</w:t>
      </w:r>
      <w:r>
        <w:rPr>
          <w:spacing w:val="-8"/>
        </w:rPr>
        <w:t> </w:t>
      </w:r>
      <w:r>
        <w:rPr/>
        <w:t>consideración</w:t>
      </w:r>
      <w:r>
        <w:rPr>
          <w:spacing w:val="-9"/>
        </w:rPr>
        <w:t> </w:t>
      </w:r>
      <w:r>
        <w:rPr/>
        <w:t>que</w:t>
      </w:r>
      <w:r>
        <w:rPr>
          <w:spacing w:val="-8"/>
        </w:rPr>
        <w:t> </w:t>
      </w:r>
      <w:r>
        <w:rPr/>
        <w:t>este</w:t>
      </w:r>
      <w:r>
        <w:rPr>
          <w:spacing w:val="-10"/>
        </w:rPr>
        <w:t> </w:t>
      </w:r>
      <w:r>
        <w:rPr/>
        <w:t>tipo</w:t>
      </w:r>
      <w:r>
        <w:rPr>
          <w:spacing w:val="-9"/>
        </w:rPr>
        <w:t> </w:t>
      </w:r>
      <w:r>
        <w:rPr/>
        <w:t>de</w:t>
      </w:r>
      <w:r>
        <w:rPr>
          <w:spacing w:val="-12"/>
        </w:rPr>
        <w:t> </w:t>
      </w:r>
      <w:r>
        <w:rPr/>
        <w:t>economías</w:t>
      </w:r>
      <w:r>
        <w:rPr>
          <w:spacing w:val="-8"/>
        </w:rPr>
        <w:t> </w:t>
      </w:r>
      <w:r>
        <w:rPr/>
        <w:t>se</w:t>
      </w:r>
      <w:r>
        <w:rPr>
          <w:spacing w:val="-10"/>
        </w:rPr>
        <w:t> </w:t>
      </w:r>
      <w:r>
        <w:rPr/>
        <w:t>caracterizan</w:t>
      </w:r>
      <w:r>
        <w:rPr>
          <w:spacing w:val="-10"/>
        </w:rPr>
        <w:t> </w:t>
      </w:r>
      <w:r>
        <w:rPr/>
        <w:t>por</w:t>
      </w:r>
      <w:r>
        <w:rPr>
          <w:spacing w:val="-10"/>
        </w:rPr>
        <w:t> </w:t>
      </w:r>
      <w:r>
        <w:rPr/>
        <w:t>tener valores de inflación bajas. Entre los países de Latinoamérica que tuvieron una mayor inflación fue Argentina con 50.9%, Brasil con 10.1% y República Dominicana con 8.5%, no obstante, hubo algunos países que destacaron con una baja inflación como el caso de Bolivia con 0.9% y Ecuador con 1.9%.</w:t>
      </w:r>
    </w:p>
    <w:p>
      <w:pPr>
        <w:pStyle w:val="BodyText"/>
        <w:spacing w:before="10"/>
        <w:rPr>
          <w:sz w:val="25"/>
        </w:rPr>
      </w:pPr>
    </w:p>
    <w:p>
      <w:pPr>
        <w:pStyle w:val="Heading2"/>
        <w:numPr>
          <w:ilvl w:val="1"/>
          <w:numId w:val="10"/>
        </w:numPr>
        <w:tabs>
          <w:tab w:pos="1189" w:val="left" w:leader="none"/>
        </w:tabs>
        <w:spacing w:line="240" w:lineRule="auto" w:before="0" w:after="0"/>
        <w:ind w:left="1188" w:right="0" w:hanging="421"/>
        <w:jc w:val="left"/>
      </w:pPr>
      <w:bookmarkStart w:name="_bookmark6" w:id="9"/>
      <w:bookmarkEnd w:id="9"/>
      <w:r>
        <w:rPr/>
        <w:t>Evol</w:t>
      </w:r>
      <w:r>
        <w:rPr/>
        <w:t>ución de los principales socios comerciales de</w:t>
      </w:r>
      <w:r>
        <w:rPr>
          <w:spacing w:val="-6"/>
        </w:rPr>
        <w:t> </w:t>
      </w:r>
      <w:r>
        <w:rPr/>
        <w:t>Guatemala</w:t>
      </w:r>
    </w:p>
    <w:p>
      <w:pPr>
        <w:pStyle w:val="BodyText"/>
        <w:spacing w:before="6"/>
        <w:rPr>
          <w:b/>
          <w:sz w:val="28"/>
        </w:rPr>
      </w:pPr>
    </w:p>
    <w:p>
      <w:pPr>
        <w:pStyle w:val="BodyText"/>
        <w:spacing w:line="276" w:lineRule="auto"/>
        <w:ind w:left="562" w:right="1695"/>
        <w:jc w:val="both"/>
      </w:pPr>
      <w:r>
        <w:rPr/>
        <w:t>Los principales socios comerciales que forman una parte significativa del comercio internacional y de los flujos de inversión de la economía nacional mostraron una fuerte recuperación en 2021, principalmente, por los avances en la vacunación que promovió el relajamiento de restricciones de</w:t>
      </w:r>
    </w:p>
    <w:p>
      <w:pPr>
        <w:spacing w:after="0" w:line="276" w:lineRule="auto"/>
        <w:jc w:val="both"/>
        <w:sectPr>
          <w:type w:val="continuous"/>
          <w:pgSz w:w="12240" w:h="15840"/>
          <w:pgMar w:top="1500" w:bottom="280" w:left="1140" w:right="0"/>
        </w:sectPr>
      </w:pPr>
    </w:p>
    <w:p>
      <w:pPr>
        <w:pStyle w:val="BodyText"/>
        <w:spacing w:line="276" w:lineRule="auto" w:before="162"/>
        <w:ind w:left="562" w:right="1700"/>
        <w:jc w:val="both"/>
      </w:pPr>
      <w:r>
        <w:rPr/>
        <w:t>movilidad y esto causó un fuerte dinamismo en la demanda agregada de cada economía. Lo anterior impulsó la actividad económica y se observaron grandes mejoras en la producción y en el mercado laboral. No obstante, el rápido aumento de la demanda causó disrupciones en las cadenas de suministro global, lo que generó aún más presiones inflacionarias que afectaron a la mayoría de los socios comerciales.</w:t>
      </w:r>
    </w:p>
    <w:p>
      <w:pPr>
        <w:pStyle w:val="BodyText"/>
        <w:spacing w:before="8"/>
        <w:rPr>
          <w:sz w:val="25"/>
        </w:rPr>
      </w:pPr>
    </w:p>
    <w:p>
      <w:pPr>
        <w:pStyle w:val="Heading2"/>
        <w:numPr>
          <w:ilvl w:val="2"/>
          <w:numId w:val="10"/>
        </w:numPr>
        <w:tabs>
          <w:tab w:pos="1695" w:val="left" w:leader="none"/>
        </w:tabs>
        <w:spacing w:line="240" w:lineRule="auto" w:before="0" w:after="0"/>
        <w:ind w:left="1694" w:right="0" w:hanging="605"/>
        <w:jc w:val="left"/>
      </w:pPr>
      <w:bookmarkStart w:name="_bookmark7" w:id="10"/>
      <w:bookmarkEnd w:id="10"/>
      <w:r>
        <w:rPr>
          <w:b w:val="0"/>
        </w:rPr>
      </w:r>
      <w:bookmarkStart w:name="_bookmark7" w:id="11"/>
      <w:bookmarkEnd w:id="11"/>
      <w:r>
        <w:rPr/>
        <w:t>La</w:t>
      </w:r>
      <w:r>
        <w:rPr/>
        <w:t> economía de Estados Unidos de</w:t>
      </w:r>
      <w:r>
        <w:rPr>
          <w:spacing w:val="-5"/>
        </w:rPr>
        <w:t> </w:t>
      </w:r>
      <w:r>
        <w:rPr/>
        <w:t>América</w:t>
      </w:r>
    </w:p>
    <w:p>
      <w:pPr>
        <w:pStyle w:val="BodyText"/>
        <w:rPr>
          <w:b/>
          <w:sz w:val="30"/>
        </w:rPr>
      </w:pPr>
    </w:p>
    <w:p>
      <w:pPr>
        <w:pStyle w:val="BodyText"/>
        <w:spacing w:line="276" w:lineRule="auto"/>
        <w:ind w:left="562" w:right="1695"/>
        <w:jc w:val="both"/>
      </w:pPr>
      <w:r>
        <w:rPr/>
        <w:t>El</w:t>
      </w:r>
      <w:r>
        <w:rPr>
          <w:spacing w:val="-3"/>
        </w:rPr>
        <w:t> </w:t>
      </w:r>
      <w:r>
        <w:rPr/>
        <w:t>crecimiento</w:t>
      </w:r>
      <w:r>
        <w:rPr>
          <w:spacing w:val="-4"/>
        </w:rPr>
        <w:t> </w:t>
      </w:r>
      <w:r>
        <w:rPr/>
        <w:t>económico</w:t>
      </w:r>
      <w:r>
        <w:rPr>
          <w:spacing w:val="-2"/>
        </w:rPr>
        <w:t> </w:t>
      </w:r>
      <w:r>
        <w:rPr/>
        <w:t>de</w:t>
      </w:r>
      <w:r>
        <w:rPr>
          <w:spacing w:val="-3"/>
        </w:rPr>
        <w:t> </w:t>
      </w:r>
      <w:r>
        <w:rPr/>
        <w:t>Estados</w:t>
      </w:r>
      <w:r>
        <w:rPr>
          <w:spacing w:val="-3"/>
        </w:rPr>
        <w:t> </w:t>
      </w:r>
      <w:r>
        <w:rPr/>
        <w:t>Unidos</w:t>
      </w:r>
      <w:r>
        <w:rPr>
          <w:spacing w:val="-2"/>
        </w:rPr>
        <w:t> </w:t>
      </w:r>
      <w:r>
        <w:rPr/>
        <w:t>se</w:t>
      </w:r>
      <w:r>
        <w:rPr>
          <w:spacing w:val="-3"/>
        </w:rPr>
        <w:t> </w:t>
      </w:r>
      <w:r>
        <w:rPr/>
        <w:t>ubicó</w:t>
      </w:r>
      <w:r>
        <w:rPr>
          <w:spacing w:val="-6"/>
        </w:rPr>
        <w:t> </w:t>
      </w:r>
      <w:r>
        <w:rPr/>
        <w:t>en 5.7%</w:t>
      </w:r>
      <w:r>
        <w:rPr>
          <w:spacing w:val="-3"/>
        </w:rPr>
        <w:t> </w:t>
      </w:r>
      <w:r>
        <w:rPr/>
        <w:t>en</w:t>
      </w:r>
      <w:r>
        <w:rPr>
          <w:spacing w:val="-5"/>
        </w:rPr>
        <w:t> </w:t>
      </w:r>
      <w:r>
        <w:rPr/>
        <w:t>el</w:t>
      </w:r>
      <w:r>
        <w:rPr>
          <w:spacing w:val="-2"/>
        </w:rPr>
        <w:t> </w:t>
      </w:r>
      <w:r>
        <w:rPr/>
        <w:t>2021,</w:t>
      </w:r>
      <w:r>
        <w:rPr>
          <w:spacing w:val="-4"/>
        </w:rPr>
        <w:t> </w:t>
      </w:r>
      <w:r>
        <w:rPr/>
        <w:t>teniendo</w:t>
      </w:r>
      <w:r>
        <w:rPr>
          <w:spacing w:val="-3"/>
        </w:rPr>
        <w:t> </w:t>
      </w:r>
      <w:r>
        <w:rPr/>
        <w:t>una</w:t>
      </w:r>
      <w:r>
        <w:rPr>
          <w:spacing w:val="-3"/>
        </w:rPr>
        <w:t> </w:t>
      </w:r>
      <w:r>
        <w:rPr/>
        <w:t>moderación en la actividad económica en el tercer trimestre causada por las disrupciones en la oferta y el surgimiento de casos de COVID-19. Su proporción de población vacunada con esquema completo fue de 62.8% al final del 2021 y esta es una las más bajas de las economías avanzadas. El mercado laboral se recuperó en este año y el índice de desempleo fue de 3.9%. La inflación aumentó significativamente, principalmente en componentes relacionados a vehículos y energía, además, surgieron</w:t>
      </w:r>
      <w:r>
        <w:rPr>
          <w:spacing w:val="-7"/>
        </w:rPr>
        <w:t> </w:t>
      </w:r>
      <w:r>
        <w:rPr/>
        <w:t>presiones</w:t>
      </w:r>
      <w:r>
        <w:rPr>
          <w:spacing w:val="-9"/>
        </w:rPr>
        <w:t> </w:t>
      </w:r>
      <w:r>
        <w:rPr/>
        <w:t>por</w:t>
      </w:r>
      <w:r>
        <w:rPr>
          <w:spacing w:val="-9"/>
        </w:rPr>
        <w:t> </w:t>
      </w:r>
      <w:r>
        <w:rPr/>
        <w:t>el</w:t>
      </w:r>
      <w:r>
        <w:rPr>
          <w:spacing w:val="-9"/>
        </w:rPr>
        <w:t> </w:t>
      </w:r>
      <w:r>
        <w:rPr/>
        <w:t>aumento</w:t>
      </w:r>
      <w:r>
        <w:rPr>
          <w:spacing w:val="-6"/>
        </w:rPr>
        <w:t> </w:t>
      </w:r>
      <w:r>
        <w:rPr/>
        <w:t>de</w:t>
      </w:r>
      <w:r>
        <w:rPr>
          <w:spacing w:val="-9"/>
        </w:rPr>
        <w:t> </w:t>
      </w:r>
      <w:r>
        <w:rPr/>
        <w:t>los</w:t>
      </w:r>
      <w:r>
        <w:rPr>
          <w:spacing w:val="-7"/>
        </w:rPr>
        <w:t> </w:t>
      </w:r>
      <w:r>
        <w:rPr/>
        <w:t>alquileres</w:t>
      </w:r>
      <w:r>
        <w:rPr>
          <w:spacing w:val="-7"/>
        </w:rPr>
        <w:t> </w:t>
      </w:r>
      <w:r>
        <w:rPr/>
        <w:t>de</w:t>
      </w:r>
      <w:r>
        <w:rPr>
          <w:spacing w:val="-9"/>
        </w:rPr>
        <w:t> </w:t>
      </w:r>
      <w:r>
        <w:rPr/>
        <w:t>casas</w:t>
      </w:r>
      <w:r>
        <w:rPr>
          <w:spacing w:val="-7"/>
        </w:rPr>
        <w:t> </w:t>
      </w:r>
      <w:r>
        <w:rPr/>
        <w:t>y</w:t>
      </w:r>
      <w:r>
        <w:rPr>
          <w:spacing w:val="-9"/>
        </w:rPr>
        <w:t> </w:t>
      </w:r>
      <w:r>
        <w:rPr/>
        <w:t>por</w:t>
      </w:r>
      <w:r>
        <w:rPr>
          <w:spacing w:val="-6"/>
        </w:rPr>
        <w:t> </w:t>
      </w:r>
      <w:r>
        <w:rPr/>
        <w:t>el</w:t>
      </w:r>
      <w:r>
        <w:rPr>
          <w:spacing w:val="-9"/>
        </w:rPr>
        <w:t> </w:t>
      </w:r>
      <w:r>
        <w:rPr/>
        <w:t>aumento</w:t>
      </w:r>
      <w:r>
        <w:rPr>
          <w:spacing w:val="-10"/>
        </w:rPr>
        <w:t> </w:t>
      </w:r>
      <w:r>
        <w:rPr/>
        <w:t>de</w:t>
      </w:r>
      <w:r>
        <w:rPr>
          <w:spacing w:val="-8"/>
        </w:rPr>
        <w:t> </w:t>
      </w:r>
      <w:r>
        <w:rPr/>
        <w:t>salarios</w:t>
      </w:r>
      <w:r>
        <w:rPr>
          <w:spacing w:val="-7"/>
        </w:rPr>
        <w:t> </w:t>
      </w:r>
      <w:r>
        <w:rPr/>
        <w:t>en</w:t>
      </w:r>
      <w:r>
        <w:rPr>
          <w:spacing w:val="-7"/>
        </w:rPr>
        <w:t> </w:t>
      </w:r>
      <w:r>
        <w:rPr/>
        <w:t>el</w:t>
      </w:r>
      <w:r>
        <w:rPr>
          <w:spacing w:val="-8"/>
        </w:rPr>
        <w:t> </w:t>
      </w:r>
      <w:r>
        <w:rPr/>
        <w:t>sector de alojamiento, así como en el transporte y almacenamiento, mostrando la escasez de mano de obra en estos sectores, de tal manera que la inflación a final de año fue de</w:t>
      </w:r>
      <w:r>
        <w:rPr>
          <w:spacing w:val="-15"/>
        </w:rPr>
        <w:t> </w:t>
      </w:r>
      <w:r>
        <w:rPr/>
        <w:t>7.1%.</w:t>
      </w:r>
    </w:p>
    <w:p>
      <w:pPr>
        <w:pStyle w:val="BodyText"/>
        <w:spacing w:before="4"/>
        <w:rPr>
          <w:sz w:val="25"/>
        </w:rPr>
      </w:pPr>
    </w:p>
    <w:p>
      <w:pPr>
        <w:pStyle w:val="BodyText"/>
        <w:spacing w:line="276" w:lineRule="auto"/>
        <w:ind w:left="562" w:right="1693"/>
        <w:jc w:val="both"/>
      </w:pPr>
      <w:r>
        <w:rPr/>
        <w:t>La política fiscal impulsó fuertemente la actividad económica de Estados Unidos en el 2021, el plan aprobado por el Congreso en marzo, tuvo un amplio alcance y los beneficios para desempleados y transferencias condicionadas, entre otros programas de apoyo por los efectos negativos del COVID- 19 en su economía, se extendieron hasta el tercer trimestre. No obstante, las medidas fiscales relacionadas con la pandemia expiraron en gran medida a finales de año, sin embargo, estos apoyos estimularon la tasa de ahorro de las familias y esta fue mayor a los niveles previos de la pandemia. La política monetaria continuó siendo acomodaticia en el 2021, no obstante, la Reserva Federal anunció a finales de año que realizaría aumentos de la tasa de interés.</w:t>
      </w:r>
    </w:p>
    <w:p>
      <w:pPr>
        <w:pStyle w:val="BodyText"/>
        <w:rPr>
          <w:sz w:val="18"/>
        </w:rPr>
      </w:pPr>
    </w:p>
    <w:p>
      <w:pPr>
        <w:spacing w:after="0"/>
        <w:rPr>
          <w:sz w:val="18"/>
        </w:rPr>
        <w:sectPr>
          <w:pgSz w:w="12240" w:h="15840"/>
          <w:pgMar w:header="715" w:footer="957" w:top="1240" w:bottom="1140" w:left="1140" w:right="0"/>
        </w:sectPr>
      </w:pPr>
    </w:p>
    <w:p>
      <w:pPr>
        <w:spacing w:line="276" w:lineRule="auto" w:before="91"/>
        <w:ind w:left="2090" w:right="0" w:hanging="1172"/>
        <w:jc w:val="left"/>
        <w:rPr>
          <w:b/>
          <w:sz w:val="20"/>
        </w:rPr>
      </w:pPr>
      <w:r>
        <w:rPr/>
        <w:pict>
          <v:line style="position:absolute;mso-position-horizontal-relative:page;mso-position-vertical-relative:paragraph;z-index:251670528" from="380.76001pt,52.275948pt" to="399.96001pt,52.275948pt" stroked="true" strokeweight="3.48pt" strokecolor="#a6a6a6">
            <v:stroke dashstyle="solid"/>
            <w10:wrap type="none"/>
          </v:line>
        </w:pict>
      </w:r>
      <w:r>
        <w:rPr/>
        <w:pict>
          <v:line style="position:absolute;mso-position-horizontal-relative:page;mso-position-vertical-relative:paragraph;z-index:251671552" from="380.700012pt,61.995949pt" to="399.900012pt,61.995949pt" stroked="true" strokeweight="1.8pt" strokecolor="#c00000">
            <v:stroke dashstyle="solid"/>
            <w10:wrap type="none"/>
          </v:line>
        </w:pict>
      </w:r>
      <w:bookmarkStart w:name="_bookmark8" w:id="12"/>
      <w:bookmarkEnd w:id="12"/>
      <w:r>
        <w:rPr/>
      </w:r>
      <w:r>
        <w:rPr>
          <w:b/>
          <w:i/>
          <w:sz w:val="20"/>
        </w:rPr>
        <w:t>Gráfico 3. </w:t>
      </w:r>
      <w:r>
        <w:rPr>
          <w:b/>
          <w:sz w:val="20"/>
        </w:rPr>
        <w:t>Tasa de desempleo e inflación de EE.UU. en 2021</w:t>
      </w:r>
    </w:p>
    <w:p>
      <w:pPr>
        <w:spacing w:line="276" w:lineRule="auto" w:before="91"/>
        <w:ind w:left="1093" w:right="1692" w:hanging="550"/>
        <w:jc w:val="left"/>
        <w:rPr>
          <w:b/>
          <w:sz w:val="20"/>
        </w:rPr>
      </w:pPr>
      <w:r>
        <w:rPr/>
        <w:br w:type="column"/>
      </w:r>
      <w:bookmarkStart w:name="_bookmark9" w:id="13"/>
      <w:bookmarkEnd w:id="13"/>
      <w:r>
        <w:rPr/>
      </w:r>
      <w:r>
        <w:rPr>
          <w:b/>
          <w:i/>
          <w:sz w:val="20"/>
        </w:rPr>
        <w:t>Gráfico 4. </w:t>
      </w:r>
      <w:r>
        <w:rPr>
          <w:b/>
          <w:sz w:val="20"/>
        </w:rPr>
        <w:t>Casos nuevos y población vacunada con esquema completo en EE.UU.</w:t>
      </w:r>
    </w:p>
    <w:p>
      <w:pPr>
        <w:spacing w:after="0" w:line="276" w:lineRule="auto"/>
        <w:jc w:val="left"/>
        <w:rPr>
          <w:sz w:val="20"/>
        </w:rPr>
        <w:sectPr>
          <w:type w:val="continuous"/>
          <w:pgSz w:w="12240" w:h="15840"/>
          <w:pgMar w:top="1500" w:bottom="280" w:left="1140" w:right="0"/>
          <w:cols w:num="2" w:equalWidth="0">
            <w:col w:w="4616" w:space="40"/>
            <w:col w:w="6444"/>
          </w:cols>
        </w:sectPr>
      </w:pPr>
    </w:p>
    <w:p>
      <w:pPr>
        <w:pStyle w:val="BodyText"/>
        <w:spacing w:before="5"/>
        <w:rPr>
          <w:b/>
          <w:sz w:val="21"/>
        </w:rPr>
      </w:pPr>
    </w:p>
    <w:p>
      <w:pPr>
        <w:spacing w:after="0"/>
        <w:rPr>
          <w:sz w:val="21"/>
        </w:rPr>
        <w:sectPr>
          <w:type w:val="continuous"/>
          <w:pgSz w:w="12240" w:h="15840"/>
          <w:pgMar w:top="1500" w:bottom="280" w:left="1140" w:right="0"/>
        </w:sectPr>
      </w:pPr>
    </w:p>
    <w:p>
      <w:pPr>
        <w:spacing w:before="77"/>
        <w:ind w:left="0" w:right="0" w:firstLine="0"/>
        <w:jc w:val="right"/>
        <w:rPr>
          <w:rFonts w:ascii="Calibri"/>
          <w:sz w:val="16"/>
        </w:rPr>
      </w:pPr>
      <w:r>
        <w:rPr/>
        <w:pict>
          <v:line style="position:absolute;mso-position-horizontal-relative:page;mso-position-vertical-relative:paragraph;z-index:251667456" from="139.5pt,12.317174pt" to="158.7pt,12.317174pt" stroked="true" strokeweight="2.280pt" strokecolor="#538235">
            <v:stroke dashstyle="solid"/>
            <w10:wrap type="none"/>
          </v:line>
        </w:pict>
      </w:r>
      <w:r>
        <w:rPr/>
        <w:pict>
          <v:line style="position:absolute;mso-position-horizontal-relative:page;mso-position-vertical-relative:paragraph;z-index:251668480" from="233.820007pt,12.317174pt" to="253.020007pt,12.317174pt" stroked="true" strokeweight="2.280pt" strokecolor="#001f5f">
            <v:stroke dashstyle="solid"/>
            <w10:wrap type="none"/>
          </v:line>
        </w:pict>
      </w:r>
      <w:r>
        <w:rPr/>
        <w:pict>
          <v:shape style="position:absolute;margin-left:100.9841pt;margin-top:5.182623pt;width:206.6pt;height:132.5pt;mso-position-horizontal-relative:page;mso-position-vertical-relative:paragraph;z-index:25167667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3"/>
                    <w:gridCol w:w="1984"/>
                    <w:gridCol w:w="1007"/>
                    <w:gridCol w:w="376"/>
                  </w:tblGrid>
                  <w:tr>
                    <w:trPr>
                      <w:trHeight w:val="232" w:hRule="atLeast"/>
                    </w:trPr>
                    <w:tc>
                      <w:tcPr>
                        <w:tcW w:w="763" w:type="dxa"/>
                      </w:tcPr>
                      <w:p>
                        <w:pPr>
                          <w:pStyle w:val="TableParagraph"/>
                          <w:rPr>
                            <w:sz w:val="16"/>
                          </w:rPr>
                        </w:pPr>
                      </w:p>
                    </w:tc>
                    <w:tc>
                      <w:tcPr>
                        <w:tcW w:w="1984" w:type="dxa"/>
                      </w:tcPr>
                      <w:p>
                        <w:pPr>
                          <w:pStyle w:val="TableParagraph"/>
                          <w:spacing w:line="169" w:lineRule="exact" w:before="44"/>
                          <w:ind w:left="432"/>
                          <w:rPr>
                            <w:sz w:val="16"/>
                          </w:rPr>
                        </w:pPr>
                        <w:r>
                          <w:rPr>
                            <w:color w:val="585858"/>
                            <w:sz w:val="16"/>
                          </w:rPr>
                          <w:t>Tasa de desempleo</w:t>
                        </w:r>
                      </w:p>
                    </w:tc>
                    <w:tc>
                      <w:tcPr>
                        <w:tcW w:w="1007" w:type="dxa"/>
                      </w:tcPr>
                      <w:p>
                        <w:pPr>
                          <w:pStyle w:val="TableParagraph"/>
                          <w:spacing w:line="169" w:lineRule="exact" w:before="44"/>
                          <w:ind w:left="334"/>
                          <w:rPr>
                            <w:sz w:val="16"/>
                          </w:rPr>
                        </w:pPr>
                        <w:r>
                          <w:rPr>
                            <w:color w:val="585858"/>
                            <w:sz w:val="16"/>
                          </w:rPr>
                          <w:t>Inflación</w:t>
                        </w:r>
                      </w:p>
                    </w:tc>
                    <w:tc>
                      <w:tcPr>
                        <w:tcW w:w="376" w:type="dxa"/>
                        <w:vMerge w:val="restart"/>
                      </w:tcPr>
                      <w:p>
                        <w:pPr>
                          <w:pStyle w:val="TableParagraph"/>
                          <w:rPr>
                            <w:sz w:val="20"/>
                          </w:rPr>
                        </w:pPr>
                      </w:p>
                    </w:tc>
                  </w:tr>
                  <w:tr>
                    <w:trPr>
                      <w:trHeight w:val="230" w:hRule="atLeast"/>
                    </w:trPr>
                    <w:tc>
                      <w:tcPr>
                        <w:tcW w:w="763" w:type="dxa"/>
                      </w:tcPr>
                      <w:p>
                        <w:pPr>
                          <w:pStyle w:val="TableParagraph"/>
                          <w:spacing w:line="183" w:lineRule="exact"/>
                          <w:ind w:left="30" w:right="411"/>
                          <w:jc w:val="center"/>
                          <w:rPr>
                            <w:sz w:val="16"/>
                          </w:rPr>
                        </w:pPr>
                        <w:r>
                          <w:rPr>
                            <w:color w:val="585858"/>
                            <w:sz w:val="16"/>
                          </w:rPr>
                          <w:t>16.0</w:t>
                        </w:r>
                      </w:p>
                    </w:tc>
                    <w:tc>
                      <w:tcPr>
                        <w:tcW w:w="1984" w:type="dxa"/>
                      </w:tcPr>
                      <w:p>
                        <w:pPr>
                          <w:pStyle w:val="TableParagraph"/>
                          <w:rPr>
                            <w:sz w:val="16"/>
                          </w:rPr>
                        </w:pPr>
                      </w:p>
                    </w:tc>
                    <w:tc>
                      <w:tcPr>
                        <w:tcW w:w="1007" w:type="dxa"/>
                      </w:tcPr>
                      <w:p>
                        <w:pPr>
                          <w:pStyle w:val="TableParagraph"/>
                          <w:rPr>
                            <w:sz w:val="16"/>
                          </w:rPr>
                        </w:pPr>
                      </w:p>
                    </w:tc>
                    <w:tc>
                      <w:tcPr>
                        <w:tcW w:w="376" w:type="dxa"/>
                        <w:vMerge/>
                        <w:tcBorders>
                          <w:top w:val="nil"/>
                        </w:tcBorders>
                      </w:tcPr>
                      <w:p>
                        <w:pPr>
                          <w:rPr>
                            <w:sz w:val="2"/>
                            <w:szCs w:val="2"/>
                          </w:rPr>
                        </w:pPr>
                      </w:p>
                    </w:tc>
                  </w:tr>
                  <w:tr>
                    <w:trPr>
                      <w:trHeight w:val="272" w:hRule="atLeast"/>
                    </w:trPr>
                    <w:tc>
                      <w:tcPr>
                        <w:tcW w:w="763" w:type="dxa"/>
                      </w:tcPr>
                      <w:p>
                        <w:pPr>
                          <w:pStyle w:val="TableParagraph"/>
                          <w:spacing w:before="41"/>
                          <w:ind w:left="30" w:right="411"/>
                          <w:jc w:val="center"/>
                          <w:rPr>
                            <w:sz w:val="16"/>
                          </w:rPr>
                        </w:pPr>
                        <w:r>
                          <w:rPr>
                            <w:color w:val="585858"/>
                            <w:sz w:val="16"/>
                          </w:rPr>
                          <w:t>14.0</w:t>
                        </w:r>
                      </w:p>
                    </w:tc>
                    <w:tc>
                      <w:tcPr>
                        <w:tcW w:w="1984" w:type="dxa"/>
                      </w:tcPr>
                      <w:p>
                        <w:pPr>
                          <w:pStyle w:val="TableParagraph"/>
                          <w:rPr>
                            <w:sz w:val="20"/>
                          </w:rPr>
                        </w:pPr>
                      </w:p>
                    </w:tc>
                    <w:tc>
                      <w:tcPr>
                        <w:tcW w:w="1007" w:type="dxa"/>
                      </w:tcPr>
                      <w:p>
                        <w:pPr>
                          <w:pStyle w:val="TableParagraph"/>
                          <w:rPr>
                            <w:sz w:val="20"/>
                          </w:rPr>
                        </w:pPr>
                      </w:p>
                    </w:tc>
                    <w:tc>
                      <w:tcPr>
                        <w:tcW w:w="376" w:type="dxa"/>
                        <w:vMerge/>
                        <w:tcBorders>
                          <w:top w:val="nil"/>
                        </w:tcBorders>
                      </w:tcPr>
                      <w:p>
                        <w:pPr>
                          <w:rPr>
                            <w:sz w:val="2"/>
                            <w:szCs w:val="2"/>
                          </w:rPr>
                        </w:pPr>
                      </w:p>
                    </w:tc>
                  </w:tr>
                  <w:tr>
                    <w:trPr>
                      <w:trHeight w:val="272" w:hRule="atLeast"/>
                    </w:trPr>
                    <w:tc>
                      <w:tcPr>
                        <w:tcW w:w="763" w:type="dxa"/>
                      </w:tcPr>
                      <w:p>
                        <w:pPr>
                          <w:pStyle w:val="TableParagraph"/>
                          <w:spacing w:before="41"/>
                          <w:ind w:left="30" w:right="411"/>
                          <w:jc w:val="center"/>
                          <w:rPr>
                            <w:sz w:val="16"/>
                          </w:rPr>
                        </w:pPr>
                        <w:r>
                          <w:rPr>
                            <w:color w:val="585858"/>
                            <w:sz w:val="16"/>
                          </w:rPr>
                          <w:t>12.0</w:t>
                        </w:r>
                      </w:p>
                    </w:tc>
                    <w:tc>
                      <w:tcPr>
                        <w:tcW w:w="1984" w:type="dxa"/>
                      </w:tcPr>
                      <w:p>
                        <w:pPr>
                          <w:pStyle w:val="TableParagraph"/>
                          <w:rPr>
                            <w:sz w:val="20"/>
                          </w:rPr>
                        </w:pPr>
                      </w:p>
                    </w:tc>
                    <w:tc>
                      <w:tcPr>
                        <w:tcW w:w="1007" w:type="dxa"/>
                      </w:tcPr>
                      <w:p>
                        <w:pPr>
                          <w:pStyle w:val="TableParagraph"/>
                          <w:rPr>
                            <w:sz w:val="20"/>
                          </w:rPr>
                        </w:pPr>
                      </w:p>
                    </w:tc>
                    <w:tc>
                      <w:tcPr>
                        <w:tcW w:w="376" w:type="dxa"/>
                        <w:vMerge/>
                        <w:tcBorders>
                          <w:top w:val="nil"/>
                        </w:tcBorders>
                      </w:tcPr>
                      <w:p>
                        <w:pPr>
                          <w:rPr>
                            <w:sz w:val="2"/>
                            <w:szCs w:val="2"/>
                          </w:rPr>
                        </w:pPr>
                      </w:p>
                    </w:tc>
                  </w:tr>
                  <w:tr>
                    <w:trPr>
                      <w:trHeight w:val="260" w:hRule="atLeast"/>
                    </w:trPr>
                    <w:tc>
                      <w:tcPr>
                        <w:tcW w:w="763" w:type="dxa"/>
                      </w:tcPr>
                      <w:p>
                        <w:pPr>
                          <w:pStyle w:val="TableParagraph"/>
                          <w:spacing w:before="41"/>
                          <w:ind w:left="30" w:right="411"/>
                          <w:jc w:val="center"/>
                          <w:rPr>
                            <w:sz w:val="16"/>
                          </w:rPr>
                        </w:pPr>
                        <w:r>
                          <w:rPr>
                            <w:color w:val="585858"/>
                            <w:sz w:val="16"/>
                          </w:rPr>
                          <w:t>10.0</w:t>
                        </w:r>
                      </w:p>
                    </w:tc>
                    <w:tc>
                      <w:tcPr>
                        <w:tcW w:w="1984" w:type="dxa"/>
                      </w:tcPr>
                      <w:p>
                        <w:pPr>
                          <w:pStyle w:val="TableParagraph"/>
                          <w:rPr>
                            <w:sz w:val="18"/>
                          </w:rPr>
                        </w:pPr>
                      </w:p>
                    </w:tc>
                    <w:tc>
                      <w:tcPr>
                        <w:tcW w:w="1007" w:type="dxa"/>
                      </w:tcPr>
                      <w:p>
                        <w:pPr>
                          <w:pStyle w:val="TableParagraph"/>
                          <w:rPr>
                            <w:sz w:val="18"/>
                          </w:rPr>
                        </w:pPr>
                      </w:p>
                    </w:tc>
                    <w:tc>
                      <w:tcPr>
                        <w:tcW w:w="376" w:type="dxa"/>
                        <w:vMerge/>
                        <w:tcBorders>
                          <w:top w:val="nil"/>
                        </w:tcBorders>
                      </w:tcPr>
                      <w:p>
                        <w:pPr>
                          <w:rPr>
                            <w:sz w:val="2"/>
                            <w:szCs w:val="2"/>
                          </w:rPr>
                        </w:pPr>
                      </w:p>
                    </w:tc>
                  </w:tr>
                  <w:tr>
                    <w:trPr>
                      <w:trHeight w:val="285" w:hRule="atLeast"/>
                    </w:trPr>
                    <w:tc>
                      <w:tcPr>
                        <w:tcW w:w="763" w:type="dxa"/>
                      </w:tcPr>
                      <w:p>
                        <w:pPr>
                          <w:pStyle w:val="TableParagraph"/>
                          <w:spacing w:before="53"/>
                          <w:ind w:left="31" w:right="331"/>
                          <w:jc w:val="center"/>
                          <w:rPr>
                            <w:sz w:val="16"/>
                          </w:rPr>
                        </w:pPr>
                        <w:r>
                          <w:rPr>
                            <w:color w:val="585858"/>
                            <w:sz w:val="16"/>
                          </w:rPr>
                          <w:t>8.0</w:t>
                        </w:r>
                      </w:p>
                    </w:tc>
                    <w:tc>
                      <w:tcPr>
                        <w:tcW w:w="1984" w:type="dxa"/>
                      </w:tcPr>
                      <w:p>
                        <w:pPr>
                          <w:pStyle w:val="TableParagraph"/>
                          <w:rPr>
                            <w:sz w:val="20"/>
                          </w:rPr>
                        </w:pPr>
                      </w:p>
                    </w:tc>
                    <w:tc>
                      <w:tcPr>
                        <w:tcW w:w="1007" w:type="dxa"/>
                      </w:tcPr>
                      <w:p>
                        <w:pPr>
                          <w:pStyle w:val="TableParagraph"/>
                          <w:rPr>
                            <w:sz w:val="20"/>
                          </w:rPr>
                        </w:pPr>
                      </w:p>
                    </w:tc>
                    <w:tc>
                      <w:tcPr>
                        <w:tcW w:w="376" w:type="dxa"/>
                      </w:tcPr>
                      <w:p>
                        <w:pPr>
                          <w:pStyle w:val="TableParagraph"/>
                          <w:spacing w:line="218" w:lineRule="exact"/>
                          <w:ind w:left="96"/>
                          <w:rPr>
                            <w:rFonts w:ascii="Calibri"/>
                            <w:b/>
                            <w:sz w:val="18"/>
                          </w:rPr>
                        </w:pPr>
                        <w:r>
                          <w:rPr>
                            <w:rFonts w:ascii="Calibri"/>
                            <w:b/>
                            <w:color w:val="001F5F"/>
                            <w:sz w:val="18"/>
                          </w:rPr>
                          <w:t>7.1</w:t>
                        </w:r>
                      </w:p>
                    </w:tc>
                  </w:tr>
                  <w:tr>
                    <w:trPr>
                      <w:trHeight w:val="272" w:hRule="atLeast"/>
                    </w:trPr>
                    <w:tc>
                      <w:tcPr>
                        <w:tcW w:w="763" w:type="dxa"/>
                      </w:tcPr>
                      <w:p>
                        <w:pPr>
                          <w:pStyle w:val="TableParagraph"/>
                          <w:spacing w:before="41"/>
                          <w:ind w:left="31" w:right="331"/>
                          <w:jc w:val="center"/>
                          <w:rPr>
                            <w:sz w:val="16"/>
                          </w:rPr>
                        </w:pPr>
                        <w:r>
                          <w:rPr>
                            <w:color w:val="585858"/>
                            <w:sz w:val="16"/>
                          </w:rPr>
                          <w:t>6.0</w:t>
                        </w:r>
                      </w:p>
                    </w:tc>
                    <w:tc>
                      <w:tcPr>
                        <w:tcW w:w="1984" w:type="dxa"/>
                      </w:tcPr>
                      <w:p>
                        <w:pPr>
                          <w:pStyle w:val="TableParagraph"/>
                          <w:rPr>
                            <w:sz w:val="20"/>
                          </w:rPr>
                        </w:pPr>
                      </w:p>
                    </w:tc>
                    <w:tc>
                      <w:tcPr>
                        <w:tcW w:w="1007" w:type="dxa"/>
                      </w:tcPr>
                      <w:p>
                        <w:pPr>
                          <w:pStyle w:val="TableParagraph"/>
                          <w:rPr>
                            <w:sz w:val="20"/>
                          </w:rPr>
                        </w:pPr>
                      </w:p>
                    </w:tc>
                    <w:tc>
                      <w:tcPr>
                        <w:tcW w:w="376" w:type="dxa"/>
                      </w:tcPr>
                      <w:p>
                        <w:pPr>
                          <w:pStyle w:val="TableParagraph"/>
                          <w:rPr>
                            <w:sz w:val="20"/>
                          </w:rPr>
                        </w:pPr>
                      </w:p>
                    </w:tc>
                  </w:tr>
                  <w:tr>
                    <w:trPr>
                      <w:trHeight w:val="275" w:hRule="atLeast"/>
                    </w:trPr>
                    <w:tc>
                      <w:tcPr>
                        <w:tcW w:w="763" w:type="dxa"/>
                      </w:tcPr>
                      <w:p>
                        <w:pPr>
                          <w:pStyle w:val="TableParagraph"/>
                          <w:spacing w:before="41"/>
                          <w:ind w:left="31" w:right="331"/>
                          <w:jc w:val="center"/>
                          <w:rPr>
                            <w:sz w:val="16"/>
                          </w:rPr>
                        </w:pPr>
                        <w:r>
                          <w:rPr>
                            <w:color w:val="585858"/>
                            <w:sz w:val="16"/>
                          </w:rPr>
                          <w:t>4.0</w:t>
                        </w:r>
                      </w:p>
                    </w:tc>
                    <w:tc>
                      <w:tcPr>
                        <w:tcW w:w="1984" w:type="dxa"/>
                      </w:tcPr>
                      <w:p>
                        <w:pPr>
                          <w:pStyle w:val="TableParagraph"/>
                          <w:rPr>
                            <w:sz w:val="20"/>
                          </w:rPr>
                        </w:pPr>
                      </w:p>
                    </w:tc>
                    <w:tc>
                      <w:tcPr>
                        <w:tcW w:w="1007" w:type="dxa"/>
                      </w:tcPr>
                      <w:p>
                        <w:pPr>
                          <w:pStyle w:val="TableParagraph"/>
                          <w:rPr>
                            <w:sz w:val="20"/>
                          </w:rPr>
                        </w:pPr>
                      </w:p>
                    </w:tc>
                    <w:tc>
                      <w:tcPr>
                        <w:tcW w:w="376" w:type="dxa"/>
                      </w:tcPr>
                      <w:p>
                        <w:pPr>
                          <w:pStyle w:val="TableParagraph"/>
                          <w:rPr>
                            <w:sz w:val="20"/>
                          </w:rPr>
                        </w:pPr>
                      </w:p>
                    </w:tc>
                  </w:tr>
                  <w:tr>
                    <w:trPr>
                      <w:trHeight w:val="270" w:hRule="atLeast"/>
                    </w:trPr>
                    <w:tc>
                      <w:tcPr>
                        <w:tcW w:w="763" w:type="dxa"/>
                      </w:tcPr>
                      <w:p>
                        <w:pPr>
                          <w:pStyle w:val="TableParagraph"/>
                          <w:spacing w:before="39"/>
                          <w:ind w:left="31" w:right="331"/>
                          <w:jc w:val="center"/>
                          <w:rPr>
                            <w:sz w:val="16"/>
                          </w:rPr>
                        </w:pPr>
                        <w:r>
                          <w:rPr>
                            <w:color w:val="585858"/>
                            <w:sz w:val="16"/>
                          </w:rPr>
                          <w:t>2.0</w:t>
                        </w:r>
                      </w:p>
                    </w:tc>
                    <w:tc>
                      <w:tcPr>
                        <w:tcW w:w="3367" w:type="dxa"/>
                        <w:gridSpan w:val="3"/>
                      </w:tcPr>
                      <w:p>
                        <w:pPr>
                          <w:pStyle w:val="TableParagraph"/>
                          <w:spacing w:line="136" w:lineRule="exact"/>
                          <w:ind w:right="46"/>
                          <w:jc w:val="right"/>
                          <w:rPr>
                            <w:rFonts w:ascii="Calibri"/>
                            <w:b/>
                            <w:sz w:val="18"/>
                          </w:rPr>
                        </w:pPr>
                        <w:r>
                          <w:rPr>
                            <w:rFonts w:ascii="Calibri"/>
                            <w:b/>
                            <w:color w:val="538235"/>
                            <w:sz w:val="18"/>
                          </w:rPr>
                          <w:t>3.9</w:t>
                        </w:r>
                      </w:p>
                    </w:tc>
                  </w:tr>
                  <w:tr>
                    <w:trPr>
                      <w:trHeight w:val="275" w:hRule="atLeast"/>
                    </w:trPr>
                    <w:tc>
                      <w:tcPr>
                        <w:tcW w:w="763" w:type="dxa"/>
                      </w:tcPr>
                      <w:p>
                        <w:pPr>
                          <w:pStyle w:val="TableParagraph"/>
                          <w:spacing w:before="41"/>
                          <w:ind w:right="314"/>
                          <w:jc w:val="center"/>
                          <w:rPr>
                            <w:sz w:val="16"/>
                          </w:rPr>
                        </w:pPr>
                        <w:r>
                          <w:rPr>
                            <w:color w:val="585858"/>
                            <w:w w:val="100"/>
                            <w:sz w:val="16"/>
                          </w:rPr>
                          <w:t>-</w:t>
                        </w:r>
                      </w:p>
                    </w:tc>
                    <w:tc>
                      <w:tcPr>
                        <w:tcW w:w="3367" w:type="dxa"/>
                        <w:gridSpan w:val="3"/>
                      </w:tcPr>
                      <w:p>
                        <w:pPr>
                          <w:pStyle w:val="TableParagraph"/>
                          <w:rPr>
                            <w:sz w:val="20"/>
                          </w:rPr>
                        </w:pPr>
                      </w:p>
                    </w:tc>
                  </w:tr>
                </w:tbl>
                <w:p>
                  <w:pPr>
                    <w:pStyle w:val="BodyText"/>
                  </w:pPr>
                </w:p>
              </w:txbxContent>
            </v:textbox>
            <w10:wrap type="none"/>
          </v:shape>
        </w:pict>
      </w:r>
      <w:r>
        <w:rPr>
          <w:rFonts w:ascii="Calibri"/>
          <w:color w:val="585858"/>
          <w:sz w:val="16"/>
        </w:rPr>
        <w:t>8.0</w:t>
      </w:r>
    </w:p>
    <w:p>
      <w:pPr>
        <w:spacing w:before="112"/>
        <w:ind w:left="0" w:right="0" w:firstLine="0"/>
        <w:jc w:val="right"/>
        <w:rPr>
          <w:rFonts w:ascii="Calibri"/>
          <w:sz w:val="16"/>
        </w:rPr>
      </w:pPr>
      <w:r>
        <w:rPr/>
        <w:pict>
          <v:group style="position:absolute;margin-left:116.540001pt;margin-top:14.285857pt;width:186pt;height:125.75pt;mso-position-horizontal-relative:page;mso-position-vertical-relative:paragraph;z-index:251666432" coordorigin="2331,286" coordsize="3720,2515">
            <v:line style="position:absolute" from="2525,2344" to="6050,2344" stroked="true" strokeweight=".72pt" strokecolor="#d9d9d9">
              <v:stroke dashstyle="solid"/>
            </v:line>
            <v:shape style="position:absolute;left:2330;top:285;width:3665;height:2515" type="#_x0000_t75" stroked="false">
              <v:imagedata r:id="rId8" o:title=""/>
            </v:shape>
            <w10:wrap type="none"/>
          </v:group>
        </w:pict>
      </w:r>
      <w:r>
        <w:rPr>
          <w:rFonts w:ascii="Calibri"/>
          <w:color w:val="585858"/>
          <w:sz w:val="16"/>
        </w:rPr>
        <w:t>7.0</w:t>
      </w:r>
    </w:p>
    <w:p>
      <w:pPr>
        <w:spacing w:before="113"/>
        <w:ind w:left="0" w:right="0" w:firstLine="0"/>
        <w:jc w:val="right"/>
        <w:rPr>
          <w:rFonts w:ascii="Calibri"/>
          <w:sz w:val="16"/>
        </w:rPr>
      </w:pPr>
      <w:r>
        <w:rPr/>
        <w:pict>
          <v:shape style="position:absolute;margin-left:310.435455pt;margin-top:6.806109pt;width:10.95pt;height:70.05pt;mso-position-horizontal-relative:page;mso-position-vertical-relative:paragraph;z-index:251673600" type="#_x0000_t202" filled="false" stroked="false">
            <v:textbox inset="0,0,0,0" style="layout-flow:vertical;mso-layout-flow-alt:bottom-to-top">
              <w:txbxContent>
                <w:p>
                  <w:pPr>
                    <w:spacing w:before="14"/>
                    <w:ind w:left="20" w:right="0" w:firstLine="0"/>
                    <w:jc w:val="left"/>
                    <w:rPr>
                      <w:sz w:val="16"/>
                    </w:rPr>
                  </w:pPr>
                  <w:r>
                    <w:rPr>
                      <w:color w:val="585858"/>
                      <w:sz w:val="16"/>
                    </w:rPr>
                    <w:t>Millones de personas</w:t>
                  </w:r>
                </w:p>
              </w:txbxContent>
            </v:textbox>
            <w10:wrap type="none"/>
          </v:shape>
        </w:pict>
      </w:r>
      <w:r>
        <w:rPr>
          <w:rFonts w:ascii="Calibri"/>
          <w:color w:val="585858"/>
          <w:sz w:val="16"/>
        </w:rPr>
        <w:t>6.0</w:t>
      </w:r>
    </w:p>
    <w:p>
      <w:pPr>
        <w:spacing w:before="112"/>
        <w:ind w:left="0" w:right="0" w:firstLine="0"/>
        <w:jc w:val="right"/>
        <w:rPr>
          <w:rFonts w:ascii="Calibri"/>
          <w:sz w:val="16"/>
        </w:rPr>
      </w:pPr>
      <w:r>
        <w:rPr/>
        <w:pict>
          <v:shape style="position:absolute;margin-left:89.34745pt;margin-top:13.847172pt;width:10.95pt;height:36.15pt;mso-position-horizontal-relative:page;mso-position-vertical-relative:paragraph;z-index:251672576" type="#_x0000_t202" filled="false" stroked="false">
            <v:textbox inset="0,0,0,0" style="layout-flow:vertical;mso-layout-flow-alt:bottom-to-top">
              <w:txbxContent>
                <w:p>
                  <w:pPr>
                    <w:spacing w:before="14"/>
                    <w:ind w:left="20" w:right="0" w:firstLine="0"/>
                    <w:jc w:val="left"/>
                    <w:rPr>
                      <w:sz w:val="16"/>
                    </w:rPr>
                  </w:pPr>
                  <w:r>
                    <w:rPr>
                      <w:color w:val="585858"/>
                      <w:sz w:val="16"/>
                    </w:rPr>
                    <w:t>Porcentaje</w:t>
                  </w:r>
                </w:p>
              </w:txbxContent>
            </v:textbox>
            <w10:wrap type="none"/>
          </v:shape>
        </w:pict>
      </w:r>
      <w:r>
        <w:rPr>
          <w:rFonts w:ascii="Calibri"/>
          <w:color w:val="585858"/>
          <w:sz w:val="16"/>
        </w:rPr>
        <w:t>5.0</w:t>
      </w:r>
    </w:p>
    <w:p>
      <w:pPr>
        <w:spacing w:before="113"/>
        <w:ind w:left="0" w:right="0" w:firstLine="0"/>
        <w:jc w:val="right"/>
        <w:rPr>
          <w:rFonts w:ascii="Calibri"/>
          <w:sz w:val="16"/>
        </w:rPr>
      </w:pPr>
      <w:r>
        <w:rPr>
          <w:rFonts w:ascii="Calibri"/>
          <w:color w:val="585858"/>
          <w:sz w:val="16"/>
        </w:rPr>
        <w:t>4.0</w:t>
      </w:r>
    </w:p>
    <w:p>
      <w:pPr>
        <w:spacing w:before="112"/>
        <w:ind w:left="0" w:right="0" w:firstLine="0"/>
        <w:jc w:val="right"/>
        <w:rPr>
          <w:rFonts w:ascii="Calibri"/>
          <w:sz w:val="16"/>
        </w:rPr>
      </w:pPr>
      <w:r>
        <w:rPr>
          <w:rFonts w:ascii="Calibri"/>
          <w:color w:val="585858"/>
          <w:sz w:val="16"/>
        </w:rPr>
        <w:t>3.0</w:t>
      </w:r>
    </w:p>
    <w:p>
      <w:pPr>
        <w:spacing w:before="113"/>
        <w:ind w:left="0" w:right="0" w:firstLine="0"/>
        <w:jc w:val="right"/>
        <w:rPr>
          <w:rFonts w:ascii="Calibri"/>
          <w:sz w:val="16"/>
        </w:rPr>
      </w:pPr>
      <w:r>
        <w:rPr>
          <w:rFonts w:ascii="Calibri"/>
          <w:color w:val="585858"/>
          <w:sz w:val="16"/>
        </w:rPr>
        <w:t>2.0</w:t>
      </w:r>
    </w:p>
    <w:p>
      <w:pPr>
        <w:spacing w:before="112"/>
        <w:ind w:left="0" w:right="0" w:firstLine="0"/>
        <w:jc w:val="right"/>
        <w:rPr>
          <w:rFonts w:ascii="Calibri"/>
          <w:sz w:val="16"/>
        </w:rPr>
      </w:pPr>
      <w:r>
        <w:rPr>
          <w:rFonts w:ascii="Calibri"/>
          <w:color w:val="585858"/>
          <w:sz w:val="16"/>
        </w:rPr>
        <w:t>1.0</w:t>
      </w:r>
    </w:p>
    <w:p>
      <w:pPr>
        <w:spacing w:before="113"/>
        <w:ind w:left="0" w:right="71" w:firstLine="0"/>
        <w:jc w:val="right"/>
        <w:rPr>
          <w:rFonts w:ascii="Calibri"/>
          <w:sz w:val="16"/>
        </w:rPr>
      </w:pPr>
      <w:r>
        <w:rPr>
          <w:rFonts w:ascii="Calibri"/>
          <w:color w:val="585858"/>
          <w:w w:val="100"/>
          <w:sz w:val="16"/>
        </w:rPr>
        <w:t>-</w:t>
      </w:r>
    </w:p>
    <w:p>
      <w:pPr>
        <w:spacing w:line="288" w:lineRule="auto" w:before="93"/>
        <w:ind w:left="1292" w:right="-20" w:firstLine="0"/>
        <w:jc w:val="left"/>
        <w:rPr>
          <w:sz w:val="14"/>
        </w:rPr>
      </w:pPr>
      <w:r>
        <w:rPr/>
        <w:br w:type="column"/>
      </w:r>
      <w:r>
        <w:rPr>
          <w:color w:val="585858"/>
          <w:sz w:val="14"/>
        </w:rPr>
        <w:t>Población vacunada (%) Casos nuevos</w:t>
      </w:r>
    </w:p>
    <w:p>
      <w:pPr>
        <w:spacing w:before="77"/>
        <w:ind w:left="625" w:right="0" w:firstLine="0"/>
        <w:jc w:val="left"/>
        <w:rPr>
          <w:rFonts w:ascii="Calibri"/>
          <w:sz w:val="16"/>
        </w:rPr>
      </w:pPr>
      <w:r>
        <w:rPr/>
        <w:br w:type="column"/>
      </w:r>
      <w:r>
        <w:rPr>
          <w:rFonts w:ascii="Calibri"/>
          <w:color w:val="585858"/>
          <w:sz w:val="16"/>
        </w:rPr>
        <w:t>100</w:t>
      </w:r>
    </w:p>
    <w:p>
      <w:pPr>
        <w:spacing w:before="51"/>
        <w:ind w:left="625" w:right="0" w:firstLine="0"/>
        <w:jc w:val="left"/>
        <w:rPr>
          <w:rFonts w:ascii="Calibri"/>
          <w:sz w:val="16"/>
        </w:rPr>
      </w:pPr>
      <w:r>
        <w:rPr/>
        <w:pict>
          <v:shape style="position:absolute;margin-left:515.615479pt;margin-top:-2.374527pt;width:10.95pt;height:130pt;mso-position-horizontal-relative:page;mso-position-vertical-relative:paragraph;z-index:251675648" type="#_x0000_t202" filled="false" stroked="false">
            <v:textbox inset="0,0,0,0" style="layout-flow:vertical;mso-layout-flow-alt:bottom-to-top">
              <w:txbxContent>
                <w:p>
                  <w:pPr>
                    <w:spacing w:before="14"/>
                    <w:ind w:left="20" w:right="0" w:firstLine="0"/>
                    <w:jc w:val="left"/>
                    <w:rPr>
                      <w:sz w:val="16"/>
                    </w:rPr>
                  </w:pPr>
                  <w:r>
                    <w:rPr>
                      <w:color w:val="585858"/>
                      <w:sz w:val="16"/>
                    </w:rPr>
                    <w:t>Población vacunada esquema completo</w:t>
                  </w:r>
                </w:p>
              </w:txbxContent>
            </v:textbox>
            <w10:wrap type="none"/>
          </v:shape>
        </w:pict>
      </w:r>
      <w:r>
        <w:rPr>
          <w:rFonts w:ascii="Calibri"/>
          <w:color w:val="585858"/>
          <w:sz w:val="16"/>
        </w:rPr>
        <w:t>90</w:t>
      </w:r>
    </w:p>
    <w:p>
      <w:pPr>
        <w:spacing w:before="51"/>
        <w:ind w:left="625" w:right="0" w:firstLine="0"/>
        <w:jc w:val="left"/>
        <w:rPr>
          <w:rFonts w:ascii="Calibri"/>
          <w:sz w:val="16"/>
        </w:rPr>
      </w:pPr>
      <w:r>
        <w:rPr/>
        <w:pict>
          <v:group style="position:absolute;margin-left:343.5pt;margin-top:4.075163pt;width:150.8pt;height:104.35pt;mso-position-horizontal-relative:page;mso-position-vertical-relative:paragraph;z-index:251669504" coordorigin="6870,82" coordsize="3016,2087">
            <v:shape style="position:absolute;left:8224;top:2071;width:197;height:56" coordorigin="8225,2072" coordsize="197,56" path="m8290,2124l8225,2124,8225,2127,8290,2127,8290,2124m8422,2072l8354,2072,8354,2127,8422,2127,8422,2072e" filled="true" fillcolor="#a6a6a6" stroked="false">
              <v:path arrowok="t"/>
              <v:fill type="solid"/>
            </v:shape>
            <v:shape style="position:absolute;left:8518;top:1651;width:130;height:476" coordorigin="8519,1652" coordsize="130,476" path="m8519,1906l8519,2127m8648,1652l8648,2127e" filled="false" stroked="true" strokeweight="3.24pt" strokecolor="#a6a6a6">
              <v:path arrowok="t"/>
              <v:stroke dashstyle="solid"/>
            </v:shape>
            <v:line style="position:absolute" from="8778,1280" to="8778,2127" stroked="true" strokeweight="3.24pt" strokecolor="#a6a6a6">
              <v:stroke dashstyle="solid"/>
            </v:line>
            <v:shape style="position:absolute;left:8910;top:866;width:260;height:1260" coordorigin="8910,867" coordsize="260,1260" path="m8910,1044l8910,2127m9040,922l9040,2127m9169,867l9169,2127e" filled="false" stroked="true" strokeweight="3.24pt" strokecolor="#a6a6a6">
              <v:path arrowok="t"/>
              <v:stroke dashstyle="solid"/>
            </v:shape>
            <v:line style="position:absolute" from="9300,795" to="9300,2127" stroked="true" strokeweight="3.36pt" strokecolor="#a6a6a6">
              <v:stroke dashstyle="solid"/>
            </v:line>
            <v:shape style="position:absolute;left:9430;top:581;width:392;height:1546" coordorigin="9431,581" coordsize="392,1546" path="m9431,723l9431,2127m9560,675l9560,2127m9690,639l9690,2127m9822,581l9822,2127e" filled="false" stroked="true" strokeweight="3.24pt" strokecolor="#a6a6a6">
              <v:path arrowok="t"/>
              <v:stroke dashstyle="solid"/>
            </v:shape>
            <v:shape style="position:absolute;left:0;top:5227;width:2996;height:41" coordorigin="0,5228" coordsize="2996,41" path="m6890,2127l9886,2127m6890,2127l6890,2168m7150,2127l7150,2168m7411,2127l7411,2168m7670,2127l7670,2168m7932,2127l7932,2168m8194,2127l8194,2168m8453,2127l8453,2168m8714,2127l8714,2168m8974,2127l8974,2168m9235,2127l9235,2168m9494,2127l9494,2168m9756,2127l9756,2168e" filled="false" stroked="true" strokeweight=".72pt" strokecolor="#d9d9d9">
              <v:path arrowok="t"/>
              <v:stroke dashstyle="solid"/>
            </v:shape>
            <v:shape style="position:absolute;left:6888;top:99;width:2934;height:2033" coordorigin="6888,100" coordsize="2934,2033" path="m6888,2131l6890,2131,6922,2132,6955,2128,7020,2111,7085,2069,7150,1955,7183,1894,7215,1855,7248,1852,7281,1871,7313,1896,7346,1909,7411,1908,7476,1864,7528,1734,7554,1653,7580,1583,7606,1543,7639,1543,7672,1579,7704,1627,7737,1666,7769,1699,7802,1734,7834,1759,7896,1735,7968,1622,7997,1537,8023,1414,8036,1339,8049,1257,8063,1171,8076,1083,8089,995,8102,909,8115,827,8128,752,8144,659,8160,562,8177,466,8193,372,8209,286,8225,211,8242,150,8283,100,8323,124,8363,173,8388,236,8406,345,8414,416,8423,494,8432,579,8440,669,8449,761,8458,854,8467,946,8475,1036,8484,1122,8493,1201,8501,1273,8510,1335,8545,1459,8584,1514,8649,1569,8682,1570,8714,1550,8747,1534,8779,1546,8812,1601,8845,1683,8877,1771,8910,1843,8942,1903,8975,1960,9007,1999,9040,2005,9070,1975,9105,1914,9141,1827,9170,1720,9192,1594,9203,1514,9214,1428,9225,1337,9236,1244,9246,1153,9257,1065,9268,985,9279,913,9290,854,9327,782,9366,791,9431,852,9468,977,9487,1063,9505,1151,9524,1236,9543,1306,9561,1355,9586,1374,9627,1383,9667,1376,9701,1297,9720,1174,9729,1100,9738,1019,9748,934,9757,844,9766,751,9775,657,9785,562,9794,468,9803,376,9813,287,9822,203e" filled="false" stroked="true" strokeweight="1.8pt" strokecolor="#c00000">
              <v:path arrowok="t"/>
              <v:stroke dashstyle="solid"/>
            </v:shape>
            <w10:wrap type="none"/>
          </v:group>
        </w:pict>
      </w:r>
      <w:r>
        <w:rPr>
          <w:rFonts w:ascii="Calibri"/>
          <w:color w:val="585858"/>
          <w:sz w:val="16"/>
        </w:rPr>
        <w:t>80</w:t>
      </w:r>
    </w:p>
    <w:p>
      <w:pPr>
        <w:spacing w:before="51"/>
        <w:ind w:left="625" w:right="0" w:firstLine="0"/>
        <w:jc w:val="left"/>
        <w:rPr>
          <w:rFonts w:ascii="Calibri"/>
          <w:sz w:val="16"/>
        </w:rPr>
      </w:pPr>
      <w:r>
        <w:rPr>
          <w:rFonts w:ascii="Calibri"/>
          <w:color w:val="585858"/>
          <w:sz w:val="16"/>
        </w:rPr>
        <w:t>70</w:t>
      </w:r>
    </w:p>
    <w:p>
      <w:pPr>
        <w:spacing w:before="51"/>
        <w:ind w:left="625" w:right="0" w:firstLine="0"/>
        <w:jc w:val="left"/>
        <w:rPr>
          <w:rFonts w:ascii="Calibri"/>
          <w:sz w:val="16"/>
        </w:rPr>
      </w:pPr>
      <w:r>
        <w:rPr>
          <w:rFonts w:ascii="Calibri"/>
          <w:color w:val="585858"/>
          <w:sz w:val="16"/>
        </w:rPr>
        <w:t>60</w:t>
      </w:r>
    </w:p>
    <w:p>
      <w:pPr>
        <w:spacing w:before="51"/>
        <w:ind w:left="625" w:right="0" w:firstLine="0"/>
        <w:jc w:val="left"/>
        <w:rPr>
          <w:rFonts w:ascii="Calibri"/>
          <w:sz w:val="16"/>
        </w:rPr>
      </w:pPr>
      <w:r>
        <w:rPr>
          <w:rFonts w:ascii="Calibri"/>
          <w:color w:val="585858"/>
          <w:sz w:val="16"/>
        </w:rPr>
        <w:t>50</w:t>
      </w:r>
    </w:p>
    <w:p>
      <w:pPr>
        <w:spacing w:before="51"/>
        <w:ind w:left="625" w:right="0" w:firstLine="0"/>
        <w:jc w:val="left"/>
        <w:rPr>
          <w:rFonts w:ascii="Calibri"/>
          <w:sz w:val="16"/>
        </w:rPr>
      </w:pPr>
      <w:r>
        <w:rPr>
          <w:rFonts w:ascii="Calibri"/>
          <w:color w:val="585858"/>
          <w:sz w:val="16"/>
        </w:rPr>
        <w:t>40</w:t>
      </w:r>
    </w:p>
    <w:p>
      <w:pPr>
        <w:spacing w:before="50"/>
        <w:ind w:left="625" w:right="0" w:firstLine="0"/>
        <w:jc w:val="left"/>
        <w:rPr>
          <w:rFonts w:ascii="Calibri"/>
          <w:sz w:val="16"/>
        </w:rPr>
      </w:pPr>
      <w:r>
        <w:rPr>
          <w:rFonts w:ascii="Calibri"/>
          <w:color w:val="585858"/>
          <w:sz w:val="16"/>
        </w:rPr>
        <w:t>30</w:t>
      </w:r>
    </w:p>
    <w:p>
      <w:pPr>
        <w:spacing w:before="51"/>
        <w:ind w:left="625" w:right="0" w:firstLine="0"/>
        <w:jc w:val="left"/>
        <w:rPr>
          <w:rFonts w:ascii="Calibri"/>
          <w:sz w:val="16"/>
        </w:rPr>
      </w:pPr>
      <w:r>
        <w:rPr>
          <w:rFonts w:ascii="Calibri"/>
          <w:color w:val="585858"/>
          <w:sz w:val="16"/>
        </w:rPr>
        <w:t>20</w:t>
      </w:r>
    </w:p>
    <w:p>
      <w:pPr>
        <w:spacing w:before="51"/>
        <w:ind w:left="625" w:right="0" w:firstLine="0"/>
        <w:jc w:val="left"/>
        <w:rPr>
          <w:rFonts w:ascii="Calibri"/>
          <w:sz w:val="16"/>
        </w:rPr>
      </w:pPr>
      <w:r>
        <w:rPr>
          <w:rFonts w:ascii="Calibri"/>
          <w:color w:val="585858"/>
          <w:sz w:val="16"/>
        </w:rPr>
        <w:t>10</w:t>
      </w:r>
    </w:p>
    <w:p>
      <w:pPr>
        <w:spacing w:before="51"/>
        <w:ind w:left="625" w:right="0" w:firstLine="0"/>
        <w:jc w:val="left"/>
        <w:rPr>
          <w:rFonts w:ascii="Calibri"/>
          <w:sz w:val="16"/>
        </w:rPr>
      </w:pPr>
      <w:r>
        <w:rPr/>
        <w:pict>
          <v:shape style="position:absolute;margin-left:342.957855pt;margin-top:11.096067pt;width:153.1pt;height:21.45pt;mso-position-horizontal-relative:page;mso-position-vertical-relative:paragraph;z-index:251674624" type="#_x0000_t202" filled="false" stroked="false">
            <v:textbox inset="0,0,0,0" style="layout-flow:vertical;mso-layout-flow-alt:bottom-to-top">
              <w:txbxContent>
                <w:p>
                  <w:pPr>
                    <w:spacing w:line="388" w:lineRule="auto" w:before="13"/>
                    <w:ind w:left="20" w:right="18" w:firstLine="23"/>
                    <w:jc w:val="both"/>
                    <w:rPr>
                      <w:sz w:val="14"/>
                    </w:rPr>
                  </w:pPr>
                  <w:r>
                    <w:rPr>
                      <w:color w:val="585858"/>
                      <w:sz w:val="14"/>
                    </w:rPr>
                    <w:t>feb-20 abr-20 jun-20 ago-20 oct-20 dic-20 feb-21 abr-21 jun-21 ago-21 oct-21</w:t>
                  </w:r>
                </w:p>
                <w:p>
                  <w:pPr>
                    <w:spacing w:line="159" w:lineRule="exact" w:before="0"/>
                    <w:ind w:left="51" w:right="0" w:firstLine="0"/>
                    <w:jc w:val="left"/>
                    <w:rPr>
                      <w:sz w:val="14"/>
                    </w:rPr>
                  </w:pPr>
                  <w:r>
                    <w:rPr>
                      <w:color w:val="585858"/>
                      <w:sz w:val="14"/>
                    </w:rPr>
                    <w:t>dic-21</w:t>
                  </w:r>
                </w:p>
              </w:txbxContent>
            </v:textbox>
            <w10:wrap type="none"/>
          </v:shape>
        </w:pict>
      </w:r>
      <w:r>
        <w:rPr>
          <w:rFonts w:ascii="Calibri"/>
          <w:color w:val="585858"/>
          <w:w w:val="100"/>
          <w:sz w:val="16"/>
        </w:rPr>
        <w:t>-</w:t>
      </w:r>
    </w:p>
    <w:p>
      <w:pPr>
        <w:spacing w:after="0"/>
        <w:jc w:val="left"/>
        <w:rPr>
          <w:rFonts w:ascii="Calibri"/>
          <w:sz w:val="16"/>
        </w:rPr>
        <w:sectPr>
          <w:type w:val="continuous"/>
          <w:pgSz w:w="12240" w:h="15840"/>
          <w:pgMar w:top="1500" w:bottom="280" w:left="1140" w:right="0"/>
          <w:cols w:num="3" w:equalWidth="0">
            <w:col w:w="5568" w:space="40"/>
            <w:col w:w="2661" w:space="39"/>
            <w:col w:w="2792"/>
          </w:cols>
        </w:sectPr>
      </w:pPr>
    </w:p>
    <w:p>
      <w:pPr>
        <w:pStyle w:val="BodyText"/>
        <w:rPr>
          <w:rFonts w:ascii="Calibri"/>
          <w:sz w:val="20"/>
        </w:rPr>
      </w:pPr>
    </w:p>
    <w:p>
      <w:pPr>
        <w:spacing w:after="0"/>
        <w:rPr>
          <w:rFonts w:ascii="Calibri"/>
          <w:sz w:val="20"/>
        </w:rPr>
        <w:sectPr>
          <w:type w:val="continuous"/>
          <w:pgSz w:w="12240" w:h="15840"/>
          <w:pgMar w:top="1500" w:bottom="280" w:left="1140" w:right="0"/>
        </w:sectPr>
      </w:pPr>
    </w:p>
    <w:p>
      <w:pPr>
        <w:pStyle w:val="BodyText"/>
        <w:spacing w:before="10"/>
        <w:rPr>
          <w:rFonts w:ascii="Calibri"/>
          <w:sz w:val="20"/>
        </w:rPr>
      </w:pPr>
    </w:p>
    <w:p>
      <w:pPr>
        <w:spacing w:before="1"/>
        <w:ind w:left="1099" w:right="0" w:firstLine="0"/>
        <w:jc w:val="left"/>
        <w:rPr>
          <w:sz w:val="16"/>
        </w:rPr>
      </w:pPr>
      <w:r>
        <w:rPr>
          <w:sz w:val="16"/>
        </w:rPr>
        <w:t>Fuente: Reserva Federal de EE.UU.</w:t>
      </w:r>
    </w:p>
    <w:p>
      <w:pPr>
        <w:pStyle w:val="BodyText"/>
        <w:spacing w:before="5"/>
        <w:rPr>
          <w:sz w:val="25"/>
        </w:rPr>
      </w:pPr>
      <w:r>
        <w:rPr/>
        <w:br w:type="column"/>
      </w:r>
      <w:r>
        <w:rPr>
          <w:sz w:val="25"/>
        </w:rPr>
      </w:r>
    </w:p>
    <w:p>
      <w:pPr>
        <w:spacing w:before="0"/>
        <w:ind w:left="1099" w:right="0" w:firstLine="0"/>
        <w:jc w:val="left"/>
        <w:rPr>
          <w:sz w:val="16"/>
        </w:rPr>
      </w:pPr>
      <w:r>
        <w:rPr>
          <w:sz w:val="16"/>
        </w:rPr>
        <w:t>Fuente: Our World in Data</w:t>
      </w:r>
    </w:p>
    <w:p>
      <w:pPr>
        <w:spacing w:after="0"/>
        <w:jc w:val="left"/>
        <w:rPr>
          <w:sz w:val="16"/>
        </w:rPr>
        <w:sectPr>
          <w:type w:val="continuous"/>
          <w:pgSz w:w="12240" w:h="15840"/>
          <w:pgMar w:top="1500" w:bottom="280" w:left="1140" w:right="0"/>
          <w:cols w:num="2" w:equalWidth="0">
            <w:col w:w="3432" w:space="758"/>
            <w:col w:w="6910"/>
          </w:cols>
        </w:sectPr>
      </w:pPr>
    </w:p>
    <w:p>
      <w:pPr>
        <w:spacing w:after="0"/>
        <w:jc w:val="left"/>
        <w:rPr>
          <w:sz w:val="16"/>
        </w:rPr>
        <w:sectPr>
          <w:type w:val="continuous"/>
          <w:pgSz w:w="12240" w:h="15840"/>
          <w:pgMar w:top="1500" w:bottom="280" w:left="1140" w:right="0"/>
        </w:sectPr>
      </w:pPr>
    </w:p>
    <w:p>
      <w:pPr>
        <w:pStyle w:val="Heading2"/>
        <w:numPr>
          <w:ilvl w:val="2"/>
          <w:numId w:val="10"/>
        </w:numPr>
        <w:tabs>
          <w:tab w:pos="1695" w:val="left" w:leader="none"/>
        </w:tabs>
        <w:spacing w:line="240" w:lineRule="auto" w:before="167" w:after="0"/>
        <w:ind w:left="1694" w:right="0" w:hanging="605"/>
        <w:jc w:val="left"/>
      </w:pPr>
      <w:bookmarkStart w:name="_bookmark10" w:id="14"/>
      <w:bookmarkEnd w:id="14"/>
      <w:r>
        <w:rPr>
          <w:b w:val="0"/>
        </w:rPr>
      </w:r>
      <w:bookmarkStart w:name="_bookmark10" w:id="15"/>
      <w:bookmarkEnd w:id="15"/>
      <w:r>
        <w:rPr/>
        <w:t>C</w:t>
      </w:r>
      <w:r>
        <w:rPr/>
        <w:t>entroamérica y República</w:t>
      </w:r>
      <w:r>
        <w:rPr>
          <w:spacing w:val="-1"/>
        </w:rPr>
        <w:t> </w:t>
      </w:r>
      <w:r>
        <w:rPr/>
        <w:t>Dominicana</w:t>
      </w:r>
    </w:p>
    <w:p>
      <w:pPr>
        <w:pStyle w:val="BodyText"/>
        <w:spacing w:before="1"/>
        <w:rPr>
          <w:b/>
          <w:sz w:val="30"/>
        </w:rPr>
      </w:pPr>
    </w:p>
    <w:p>
      <w:pPr>
        <w:pStyle w:val="BodyText"/>
        <w:spacing w:line="276" w:lineRule="auto"/>
        <w:ind w:left="562" w:right="1695"/>
        <w:jc w:val="both"/>
      </w:pPr>
      <w:r>
        <w:rPr/>
        <w:t>El crecimiento promedio de los países de Centroamérica y República Dominicana para el 2021 fue de 10.1%, esto se debe al efecto estadístico por la menor base de comparación con el año 2020. La demanda de Estados Unidos apoyó al crecimiento de la región, además del impulso de la demanda interna</w:t>
      </w:r>
      <w:r>
        <w:rPr>
          <w:spacing w:val="-7"/>
        </w:rPr>
        <w:t> </w:t>
      </w:r>
      <w:r>
        <w:rPr/>
        <w:t>por</w:t>
      </w:r>
      <w:r>
        <w:rPr>
          <w:spacing w:val="-6"/>
        </w:rPr>
        <w:t> </w:t>
      </w:r>
      <w:r>
        <w:rPr/>
        <w:t>las</w:t>
      </w:r>
      <w:r>
        <w:rPr>
          <w:spacing w:val="-6"/>
        </w:rPr>
        <w:t> </w:t>
      </w:r>
      <w:r>
        <w:rPr/>
        <w:t>remesas</w:t>
      </w:r>
      <w:r>
        <w:rPr>
          <w:spacing w:val="-4"/>
        </w:rPr>
        <w:t> </w:t>
      </w:r>
      <w:r>
        <w:rPr/>
        <w:t>familiares</w:t>
      </w:r>
      <w:r>
        <w:rPr>
          <w:spacing w:val="-4"/>
        </w:rPr>
        <w:t> </w:t>
      </w:r>
      <w:r>
        <w:rPr/>
        <w:t>que</w:t>
      </w:r>
      <w:r>
        <w:rPr>
          <w:spacing w:val="-4"/>
        </w:rPr>
        <w:t> </w:t>
      </w:r>
      <w:r>
        <w:rPr/>
        <w:t>tuvieron</w:t>
      </w:r>
      <w:r>
        <w:rPr>
          <w:spacing w:val="-4"/>
        </w:rPr>
        <w:t> </w:t>
      </w:r>
      <w:r>
        <w:rPr/>
        <w:t>un</w:t>
      </w:r>
      <w:r>
        <w:rPr>
          <w:spacing w:val="-7"/>
        </w:rPr>
        <w:t> </w:t>
      </w:r>
      <w:r>
        <w:rPr/>
        <w:t>comportamiento</w:t>
      </w:r>
      <w:r>
        <w:rPr>
          <w:spacing w:val="-5"/>
        </w:rPr>
        <w:t> </w:t>
      </w:r>
      <w:r>
        <w:rPr/>
        <w:t>dinámico</w:t>
      </w:r>
      <w:r>
        <w:rPr>
          <w:spacing w:val="-3"/>
        </w:rPr>
        <w:t> </w:t>
      </w:r>
      <w:r>
        <w:rPr/>
        <w:t>en</w:t>
      </w:r>
      <w:r>
        <w:rPr>
          <w:spacing w:val="-4"/>
        </w:rPr>
        <w:t> </w:t>
      </w:r>
      <w:r>
        <w:rPr/>
        <w:t>este</w:t>
      </w:r>
      <w:r>
        <w:rPr>
          <w:spacing w:val="-4"/>
        </w:rPr>
        <w:t> </w:t>
      </w:r>
      <w:r>
        <w:rPr/>
        <w:t>año.</w:t>
      </w:r>
      <w:r>
        <w:rPr>
          <w:spacing w:val="-4"/>
        </w:rPr>
        <w:t> </w:t>
      </w:r>
      <w:r>
        <w:rPr/>
        <w:t>Asimismo, la región a finales del 2021 contaba con un 47.8% de población vacunada con esquema completo y esto ayudó al relajamiento de medidas de confinamiento en los</w:t>
      </w:r>
      <w:r>
        <w:rPr>
          <w:spacing w:val="-14"/>
        </w:rPr>
        <w:t> </w:t>
      </w:r>
      <w:r>
        <w:rPr/>
        <w:t>países.</w:t>
      </w:r>
    </w:p>
    <w:p>
      <w:pPr>
        <w:pStyle w:val="BodyText"/>
        <w:spacing w:before="2"/>
        <w:rPr>
          <w:sz w:val="25"/>
        </w:rPr>
      </w:pPr>
    </w:p>
    <w:p>
      <w:pPr>
        <w:pStyle w:val="BodyText"/>
        <w:spacing w:line="276" w:lineRule="auto"/>
        <w:ind w:left="562" w:right="1695"/>
        <w:jc w:val="both"/>
      </w:pPr>
      <w:r>
        <w:rPr/>
        <w:t>El</w:t>
      </w:r>
      <w:r>
        <w:rPr>
          <w:spacing w:val="-3"/>
        </w:rPr>
        <w:t> </w:t>
      </w:r>
      <w:r>
        <w:rPr/>
        <w:t>déficit</w:t>
      </w:r>
      <w:r>
        <w:rPr>
          <w:spacing w:val="-5"/>
        </w:rPr>
        <w:t> </w:t>
      </w:r>
      <w:r>
        <w:rPr/>
        <w:t>fiscal</w:t>
      </w:r>
      <w:r>
        <w:rPr>
          <w:spacing w:val="-3"/>
        </w:rPr>
        <w:t> </w:t>
      </w:r>
      <w:r>
        <w:rPr/>
        <w:t>se</w:t>
      </w:r>
      <w:r>
        <w:rPr>
          <w:spacing w:val="-6"/>
        </w:rPr>
        <w:t> </w:t>
      </w:r>
      <w:r>
        <w:rPr/>
        <w:t>redujo</w:t>
      </w:r>
      <w:r>
        <w:rPr>
          <w:spacing w:val="-5"/>
        </w:rPr>
        <w:t> </w:t>
      </w:r>
      <w:r>
        <w:rPr/>
        <w:t>en</w:t>
      </w:r>
      <w:r>
        <w:rPr>
          <w:spacing w:val="-6"/>
        </w:rPr>
        <w:t> </w:t>
      </w:r>
      <w:r>
        <w:rPr/>
        <w:t>la</w:t>
      </w:r>
      <w:r>
        <w:rPr>
          <w:spacing w:val="-3"/>
        </w:rPr>
        <w:t> </w:t>
      </w:r>
      <w:r>
        <w:rPr/>
        <w:t>mayoría</w:t>
      </w:r>
      <w:r>
        <w:rPr>
          <w:spacing w:val="-3"/>
        </w:rPr>
        <w:t> </w:t>
      </w:r>
      <w:r>
        <w:rPr/>
        <w:t>de</w:t>
      </w:r>
      <w:r>
        <w:rPr>
          <w:spacing w:val="-2"/>
        </w:rPr>
        <w:t> </w:t>
      </w:r>
      <w:r>
        <w:rPr/>
        <w:t>los</w:t>
      </w:r>
      <w:r>
        <w:rPr>
          <w:spacing w:val="-3"/>
        </w:rPr>
        <w:t> </w:t>
      </w:r>
      <w:r>
        <w:rPr/>
        <w:t>países</w:t>
      </w:r>
      <w:r>
        <w:rPr>
          <w:spacing w:val="-3"/>
        </w:rPr>
        <w:t> </w:t>
      </w:r>
      <w:r>
        <w:rPr/>
        <w:t>de</w:t>
      </w:r>
      <w:r>
        <w:rPr>
          <w:spacing w:val="-6"/>
        </w:rPr>
        <w:t> </w:t>
      </w:r>
      <w:r>
        <w:rPr/>
        <w:t>la</w:t>
      </w:r>
      <w:r>
        <w:rPr>
          <w:spacing w:val="-2"/>
        </w:rPr>
        <w:t> </w:t>
      </w:r>
      <w:r>
        <w:rPr/>
        <w:t>región</w:t>
      </w:r>
      <w:r>
        <w:rPr>
          <w:spacing w:val="-4"/>
        </w:rPr>
        <w:t> </w:t>
      </w:r>
      <w:r>
        <w:rPr/>
        <w:t>dada</w:t>
      </w:r>
      <w:r>
        <w:rPr>
          <w:spacing w:val="-3"/>
        </w:rPr>
        <w:t> </w:t>
      </w:r>
      <w:r>
        <w:rPr/>
        <w:t>la</w:t>
      </w:r>
      <w:r>
        <w:rPr>
          <w:spacing w:val="-6"/>
        </w:rPr>
        <w:t> </w:t>
      </w:r>
      <w:r>
        <w:rPr/>
        <w:t>contracción</w:t>
      </w:r>
      <w:r>
        <w:rPr>
          <w:spacing w:val="-3"/>
        </w:rPr>
        <w:t> </w:t>
      </w:r>
      <w:r>
        <w:rPr/>
        <w:t>del</w:t>
      </w:r>
      <w:r>
        <w:rPr>
          <w:spacing w:val="-3"/>
        </w:rPr>
        <w:t> </w:t>
      </w:r>
      <w:r>
        <w:rPr/>
        <w:t>gasto</w:t>
      </w:r>
      <w:r>
        <w:rPr>
          <w:spacing w:val="-4"/>
        </w:rPr>
        <w:t> </w:t>
      </w:r>
      <w:r>
        <w:rPr/>
        <w:t>por</w:t>
      </w:r>
      <w:r>
        <w:rPr>
          <w:spacing w:val="-3"/>
        </w:rPr>
        <w:t> </w:t>
      </w:r>
      <w:r>
        <w:rPr/>
        <w:t>la disminución de estímulos fiscales y para estabilizar la deuda pública, además, del aumento de los ingresos por la normalización de la actividad económica en los países. En el caso de la política monetaria</w:t>
      </w:r>
      <w:r>
        <w:rPr>
          <w:spacing w:val="-16"/>
        </w:rPr>
        <w:t> </w:t>
      </w:r>
      <w:r>
        <w:rPr/>
        <w:t>se</w:t>
      </w:r>
      <w:r>
        <w:rPr>
          <w:spacing w:val="-14"/>
        </w:rPr>
        <w:t> </w:t>
      </w:r>
      <w:r>
        <w:rPr/>
        <w:t>mantuvo</w:t>
      </w:r>
      <w:r>
        <w:rPr>
          <w:spacing w:val="-13"/>
        </w:rPr>
        <w:t> </w:t>
      </w:r>
      <w:r>
        <w:rPr/>
        <w:t>acomodaticia,</w:t>
      </w:r>
      <w:r>
        <w:rPr>
          <w:spacing w:val="-16"/>
        </w:rPr>
        <w:t> </w:t>
      </w:r>
      <w:r>
        <w:rPr/>
        <w:t>no</w:t>
      </w:r>
      <w:r>
        <w:rPr>
          <w:spacing w:val="-14"/>
        </w:rPr>
        <w:t> </w:t>
      </w:r>
      <w:r>
        <w:rPr/>
        <w:t>obstante,</w:t>
      </w:r>
      <w:r>
        <w:rPr>
          <w:spacing w:val="-15"/>
        </w:rPr>
        <w:t> </w:t>
      </w:r>
      <w:r>
        <w:rPr/>
        <w:t>las</w:t>
      </w:r>
      <w:r>
        <w:rPr>
          <w:spacing w:val="-16"/>
        </w:rPr>
        <w:t> </w:t>
      </w:r>
      <w:r>
        <w:rPr/>
        <w:t>presiones</w:t>
      </w:r>
      <w:r>
        <w:rPr>
          <w:spacing w:val="-15"/>
        </w:rPr>
        <w:t> </w:t>
      </w:r>
      <w:r>
        <w:rPr/>
        <w:t>inflacionarias</w:t>
      </w:r>
      <w:r>
        <w:rPr>
          <w:spacing w:val="-16"/>
        </w:rPr>
        <w:t> </w:t>
      </w:r>
      <w:r>
        <w:rPr/>
        <w:t>debido</w:t>
      </w:r>
      <w:r>
        <w:rPr>
          <w:spacing w:val="-13"/>
        </w:rPr>
        <w:t> </w:t>
      </w:r>
      <w:r>
        <w:rPr/>
        <w:t>a</w:t>
      </w:r>
      <w:r>
        <w:rPr>
          <w:spacing w:val="-15"/>
        </w:rPr>
        <w:t> </w:t>
      </w:r>
      <w:r>
        <w:rPr/>
        <w:t>la</w:t>
      </w:r>
      <w:r>
        <w:rPr>
          <w:spacing w:val="-16"/>
        </w:rPr>
        <w:t> </w:t>
      </w:r>
      <w:r>
        <w:rPr/>
        <w:t>recuperación económica, el aumento de precios internacionales, las disrupciones en las cadenas de suministro y el aumento en los costos de los fletes llevó a los países a considerar cambios de política a finales del 2021.</w:t>
      </w:r>
    </w:p>
    <w:p>
      <w:pPr>
        <w:pStyle w:val="BodyText"/>
        <w:spacing w:before="4"/>
        <w:rPr>
          <w:sz w:val="25"/>
        </w:rPr>
      </w:pPr>
    </w:p>
    <w:p>
      <w:pPr>
        <w:pStyle w:val="BodyText"/>
        <w:spacing w:line="276" w:lineRule="auto" w:before="1"/>
        <w:ind w:left="562" w:right="1695"/>
        <w:jc w:val="both"/>
      </w:pPr>
      <w:r>
        <w:rPr/>
        <w:t>Un aspecto importante que se ha observado en los países socios centroamericanos, incluyendo a Guatemala, ha sido la orientación de medidas de política económica para impulsar el comercio exterior y atracción de inversiones, en especial la atracción de la inversión extranjera directa; todo ello en la búsqueda de nuevos nichos de mercado y aprovechar en la medida de lo posible nuevas cadenas de valor, pero ello a costo de sacrificios fiscales, erosionando de una u otra manera la recaudación tributaria.</w:t>
      </w:r>
    </w:p>
    <w:p>
      <w:pPr>
        <w:pStyle w:val="BodyText"/>
        <w:rPr>
          <w:sz w:val="18"/>
        </w:rPr>
      </w:pPr>
    </w:p>
    <w:p>
      <w:pPr>
        <w:spacing w:after="0"/>
        <w:rPr>
          <w:sz w:val="18"/>
        </w:rPr>
        <w:sectPr>
          <w:pgSz w:w="12240" w:h="15840"/>
          <w:pgMar w:header="715" w:footer="957" w:top="1240" w:bottom="1140" w:left="1140" w:right="0"/>
        </w:sectPr>
      </w:pPr>
    </w:p>
    <w:p>
      <w:pPr>
        <w:spacing w:line="276" w:lineRule="auto" w:before="91"/>
        <w:ind w:left="1183" w:right="0" w:hanging="267"/>
        <w:jc w:val="left"/>
        <w:rPr>
          <w:b/>
          <w:sz w:val="20"/>
        </w:rPr>
      </w:pPr>
      <w:r>
        <w:rPr/>
        <w:pict>
          <v:line style="position:absolute;mso-position-horizontal-relative:page;mso-position-vertical-relative:paragraph;z-index:251693056" from="375.959991pt,54.335934pt" to="395.159991pt,54.335934pt" stroked="true" strokeweight="3.96pt" strokecolor="#a6a6a6">
            <v:stroke dashstyle="solid"/>
            <w10:wrap type="none"/>
          </v:line>
        </w:pict>
      </w:r>
      <w:bookmarkStart w:name="_bookmark11" w:id="16"/>
      <w:bookmarkEnd w:id="16"/>
      <w:r>
        <w:rPr/>
      </w:r>
      <w:r>
        <w:rPr>
          <w:b/>
          <w:i/>
          <w:sz w:val="20"/>
        </w:rPr>
        <w:t>Gráfico 5. </w:t>
      </w:r>
      <w:r>
        <w:rPr>
          <w:b/>
          <w:sz w:val="20"/>
        </w:rPr>
        <w:t>Tasa de desempleo e inflación de Centro América en 2021 (porcentaje)</w:t>
      </w:r>
    </w:p>
    <w:p>
      <w:pPr>
        <w:spacing w:line="276" w:lineRule="auto" w:before="91"/>
        <w:ind w:left="723" w:right="1693" w:hanging="188"/>
        <w:jc w:val="left"/>
        <w:rPr>
          <w:b/>
          <w:sz w:val="20"/>
        </w:rPr>
      </w:pPr>
      <w:r>
        <w:rPr/>
        <w:br w:type="column"/>
      </w:r>
      <w:bookmarkStart w:name="_bookmark12" w:id="17"/>
      <w:bookmarkEnd w:id="17"/>
      <w:r>
        <w:rPr/>
      </w:r>
      <w:r>
        <w:rPr>
          <w:b/>
          <w:i/>
          <w:sz w:val="20"/>
        </w:rPr>
        <w:t>Gráfico 6. </w:t>
      </w:r>
      <w:r>
        <w:rPr>
          <w:b/>
          <w:sz w:val="20"/>
        </w:rPr>
        <w:t>Casos nuevos y población vacunada con esquema completo en Centro América</w:t>
      </w:r>
    </w:p>
    <w:p>
      <w:pPr>
        <w:spacing w:after="0" w:line="276" w:lineRule="auto"/>
        <w:jc w:val="left"/>
        <w:rPr>
          <w:sz w:val="20"/>
        </w:rPr>
        <w:sectPr>
          <w:type w:val="continuous"/>
          <w:pgSz w:w="12240" w:h="15840"/>
          <w:pgMar w:top="1500" w:bottom="280" w:left="1140" w:right="0"/>
          <w:cols w:num="2" w:equalWidth="0">
            <w:col w:w="4623" w:space="40"/>
            <w:col w:w="6437"/>
          </w:cols>
        </w:sectPr>
      </w:pPr>
    </w:p>
    <w:p>
      <w:pPr>
        <w:pStyle w:val="BodyText"/>
        <w:spacing w:before="2"/>
        <w:rPr>
          <w:b/>
          <w:sz w:val="18"/>
        </w:rPr>
      </w:pPr>
    </w:p>
    <w:p>
      <w:pPr>
        <w:spacing w:after="0"/>
        <w:rPr>
          <w:sz w:val="18"/>
        </w:rPr>
        <w:sectPr>
          <w:type w:val="continuous"/>
          <w:pgSz w:w="12240" w:h="15840"/>
          <w:pgMar w:top="1500" w:bottom="280" w:left="1140" w:right="0"/>
        </w:sectPr>
      </w:pPr>
    </w:p>
    <w:p>
      <w:pPr>
        <w:tabs>
          <w:tab w:pos="2036" w:val="left" w:leader="none"/>
        </w:tabs>
        <w:spacing w:before="151"/>
        <w:ind w:left="913" w:right="0" w:firstLine="0"/>
        <w:jc w:val="center"/>
        <w:rPr>
          <w:sz w:val="18"/>
        </w:rPr>
      </w:pPr>
      <w:r>
        <w:rPr/>
        <w:pict>
          <v:rect style="position:absolute;margin-left:150.839996pt;margin-top:10.812351pt;width:4.560pt;height:4.440pt;mso-position-horizontal-relative:page;mso-position-vertical-relative:paragraph;z-index:251689984" filled="true" fillcolor="#538235" stroked="false">
            <v:fill type="solid"/>
            <w10:wrap type="none"/>
          </v:rect>
        </w:pict>
      </w:r>
      <w:r>
        <w:rPr/>
        <w:pict>
          <v:rect style="position:absolute;margin-left:207pt;margin-top:10.812351pt;width:4.440pt;height:4.440pt;mso-position-horizontal-relative:page;mso-position-vertical-relative:paragraph;z-index:-281628672" filled="true" fillcolor="#001f5f" stroked="false">
            <v:fill type="solid"/>
            <w10:wrap type="none"/>
          </v:rect>
        </w:pict>
      </w:r>
      <w:r>
        <w:rPr>
          <w:color w:val="585858"/>
          <w:sz w:val="18"/>
        </w:rPr>
        <w:t>Desempleo</w:t>
        <w:tab/>
        <w:t>Inflación</w:t>
      </w:r>
    </w:p>
    <w:p>
      <w:pPr>
        <w:spacing w:before="23"/>
        <w:ind w:left="913" w:right="1230" w:firstLine="0"/>
        <w:jc w:val="center"/>
        <w:rPr>
          <w:b/>
          <w:sz w:val="18"/>
        </w:rPr>
      </w:pPr>
      <w:r>
        <w:rPr>
          <w:b/>
          <w:color w:val="538235"/>
          <w:sz w:val="18"/>
        </w:rPr>
        <w:t>13.7</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8"/>
        </w:rPr>
      </w:pPr>
    </w:p>
    <w:p>
      <w:pPr>
        <w:tabs>
          <w:tab w:pos="1619" w:val="left" w:leader="none"/>
          <w:tab w:pos="2213" w:val="left" w:leader="none"/>
          <w:tab w:pos="2742" w:val="left" w:leader="none"/>
          <w:tab w:pos="3357" w:val="left" w:leader="none"/>
          <w:tab w:pos="3905" w:val="left" w:leader="none"/>
        </w:tabs>
        <w:spacing w:before="0"/>
        <w:ind w:left="1015" w:right="0" w:firstLine="0"/>
        <w:jc w:val="left"/>
        <w:rPr>
          <w:sz w:val="18"/>
        </w:rPr>
      </w:pPr>
      <w:r>
        <w:rPr>
          <w:color w:val="585858"/>
          <w:sz w:val="18"/>
        </w:rPr>
        <w:t>GTM</w:t>
        <w:tab/>
        <w:t>SLV</w:t>
        <w:tab/>
        <w:t>CRI</w:t>
        <w:tab/>
        <w:t>HND</w:t>
        <w:tab/>
        <w:t>NIC</w:t>
        <w:tab/>
        <w:t>PAN</w:t>
      </w:r>
      <w:r>
        <w:rPr>
          <w:color w:val="585858"/>
          <w:spacing w:val="4"/>
          <w:sz w:val="18"/>
        </w:rPr>
        <w:t> </w:t>
      </w:r>
      <w:r>
        <w:rPr>
          <w:color w:val="585858"/>
          <w:spacing w:val="-7"/>
          <w:sz w:val="18"/>
        </w:rPr>
        <w:t>DOM</w:t>
      </w:r>
    </w:p>
    <w:p>
      <w:pPr>
        <w:spacing w:before="94"/>
        <w:ind w:left="427" w:right="0" w:firstLine="0"/>
        <w:jc w:val="left"/>
        <w:rPr>
          <w:sz w:val="16"/>
        </w:rPr>
      </w:pPr>
      <w:r>
        <w:rPr/>
        <w:br w:type="column"/>
      </w:r>
      <w:r>
        <w:rPr>
          <w:color w:val="585858"/>
          <w:sz w:val="16"/>
        </w:rPr>
        <w:t>0.30</w:t>
      </w:r>
    </w:p>
    <w:p>
      <w:pPr>
        <w:pStyle w:val="BodyText"/>
        <w:spacing w:before="8"/>
        <w:rPr>
          <w:sz w:val="15"/>
        </w:rPr>
      </w:pPr>
    </w:p>
    <w:p>
      <w:pPr>
        <w:spacing w:before="0"/>
        <w:ind w:left="427" w:right="0" w:firstLine="0"/>
        <w:jc w:val="left"/>
        <w:rPr>
          <w:sz w:val="16"/>
        </w:rPr>
      </w:pPr>
      <w:r>
        <w:rPr/>
        <w:pict>
          <v:group style="position:absolute;margin-left:103.440002pt;margin-top:10.928755pt;width:200.9pt;height:87.85pt;mso-position-horizontal-relative:page;mso-position-vertical-relative:paragraph;z-index:251688960" coordorigin="2069,219" coordsize="4018,1757">
            <v:rect style="position:absolute;left:2155;top:1687;width:178;height:281" filled="true" fillcolor="#538235" stroked="false">
              <v:fill type="solid"/>
            </v:rect>
            <v:rect style="position:absolute;left:2378;top:1574;width:176;height:394" filled="true" fillcolor="#001f5f" stroked="false">
              <v:fill type="solid"/>
            </v:rect>
            <v:rect style="position:absolute;left:2731;top:650;width:176;height:1318" filled="true" fillcolor="#538235" stroked="false">
              <v:fill type="solid"/>
            </v:rect>
            <v:rect style="position:absolute;left:2952;top:1185;width:178;height:783" filled="true" fillcolor="#001f5f" stroked="false">
              <v:fill type="solid"/>
            </v:rect>
            <v:rect style="position:absolute;left:3304;top:218;width:176;height:1750" filled="true" fillcolor="#538235" stroked="false">
              <v:fill type="solid"/>
            </v:rect>
            <v:rect style="position:absolute;left:3528;top:1545;width:176;height:423" filled="true" fillcolor="#001f5f" stroked="false">
              <v:fill type="solid"/>
            </v:rect>
            <v:rect style="position:absolute;left:3878;top:1392;width:176;height:576" filled="true" fillcolor="#538235" stroked="false">
              <v:fill type="solid"/>
            </v:rect>
            <v:rect style="position:absolute;left:4101;top:1286;width:176;height:682" filled="true" fillcolor="#001f5f" stroked="false">
              <v:fill type="solid"/>
            </v:rect>
            <v:rect style="position:absolute;left:4452;top:547;width:176;height:1421" filled="true" fillcolor="#538235" stroked="false">
              <v:fill type="solid"/>
            </v:rect>
            <v:rect style="position:absolute;left:4675;top:1046;width:176;height:922" filled="true" fillcolor="#001f5f" stroked="false">
              <v:fill type="solid"/>
            </v:rect>
            <v:rect style="position:absolute;left:5025;top:523;width:176;height:1445" filled="true" fillcolor="#538235" stroked="false">
              <v:fill type="solid"/>
            </v:rect>
            <v:rect style="position:absolute;left:5248;top:1632;width:176;height:336" filled="true" fillcolor="#001f5f" stroked="false">
              <v:fill type="solid"/>
            </v:rect>
            <v:rect style="position:absolute;left:5599;top:1027;width:176;height:941" filled="true" fillcolor="#538235" stroked="false">
              <v:fill type="solid"/>
            </v:rect>
            <v:rect style="position:absolute;left:5822;top:880;width:176;height:1088" filled="true" fillcolor="#001f5f" stroked="false">
              <v:fill type="solid"/>
            </v:rect>
            <v:line style="position:absolute" from="2069,1968" to="6086,1968" stroked="true" strokeweight=".72pt" strokecolor="#d9d9d9">
              <v:stroke dashstyle="solid"/>
            </v:line>
            <v:shape style="position:absolute;left:2681;top:361;width:338;height:200" type="#_x0000_t202" filled="false" stroked="false">
              <v:textbox inset="0,0,0,0">
                <w:txbxContent>
                  <w:p>
                    <w:pPr>
                      <w:spacing w:line="199" w:lineRule="exact" w:before="0"/>
                      <w:ind w:left="0" w:right="0" w:firstLine="0"/>
                      <w:jc w:val="left"/>
                      <w:rPr>
                        <w:b/>
                        <w:sz w:val="18"/>
                      </w:rPr>
                    </w:pPr>
                    <w:r>
                      <w:rPr>
                        <w:b/>
                        <w:color w:val="538235"/>
                        <w:sz w:val="18"/>
                      </w:rPr>
                      <w:t>10.3</w:t>
                    </w:r>
                  </w:p>
                </w:txbxContent>
              </v:textbox>
              <w10:wrap type="none"/>
            </v:shape>
            <v:shape style="position:absolute;left:4404;top:235;width:912;height:225" type="#_x0000_t202" filled="false" stroked="false">
              <v:textbox inset="0,0,0,0">
                <w:txbxContent>
                  <w:p>
                    <w:pPr>
                      <w:tabs>
                        <w:tab w:pos="573" w:val="left" w:leader="none"/>
                      </w:tabs>
                      <w:spacing w:line="219" w:lineRule="exact" w:before="0"/>
                      <w:ind w:left="0" w:right="0" w:firstLine="0"/>
                      <w:jc w:val="left"/>
                      <w:rPr>
                        <w:b/>
                        <w:sz w:val="18"/>
                      </w:rPr>
                    </w:pPr>
                    <w:r>
                      <w:rPr>
                        <w:b/>
                        <w:color w:val="538235"/>
                        <w:position w:val="-1"/>
                        <w:sz w:val="18"/>
                      </w:rPr>
                      <w:t>11.1</w:t>
                      <w:tab/>
                    </w:r>
                    <w:r>
                      <w:rPr>
                        <w:b/>
                        <w:color w:val="538235"/>
                        <w:sz w:val="18"/>
                      </w:rPr>
                      <w:t>11.3</w:t>
                    </w:r>
                  </w:p>
                </w:txbxContent>
              </v:textbox>
              <w10:wrap type="none"/>
            </v:shape>
            <v:shape style="position:absolute;left:2950;top:897;width:247;height:200" type="#_x0000_t202" filled="false" stroked="false">
              <v:textbox inset="0,0,0,0">
                <w:txbxContent>
                  <w:p>
                    <w:pPr>
                      <w:spacing w:line="199" w:lineRule="exact" w:before="0"/>
                      <w:ind w:left="0" w:right="0" w:firstLine="0"/>
                      <w:jc w:val="left"/>
                      <w:rPr>
                        <w:b/>
                        <w:sz w:val="18"/>
                      </w:rPr>
                    </w:pPr>
                    <w:r>
                      <w:rPr>
                        <w:b/>
                        <w:color w:val="001F5F"/>
                        <w:sz w:val="18"/>
                      </w:rPr>
                      <w:t>6.1</w:t>
                    </w:r>
                  </w:p>
                </w:txbxContent>
              </v:textbox>
              <w10:wrap type="none"/>
            </v:shape>
            <v:shape style="position:absolute;left:4672;top:758;width:247;height:200" type="#_x0000_t202" filled="false" stroked="false">
              <v:textbox inset="0,0,0,0">
                <w:txbxContent>
                  <w:p>
                    <w:pPr>
                      <w:spacing w:line="199" w:lineRule="exact" w:before="0"/>
                      <w:ind w:left="0" w:right="0" w:firstLine="0"/>
                      <w:jc w:val="left"/>
                      <w:rPr>
                        <w:b/>
                        <w:sz w:val="18"/>
                      </w:rPr>
                    </w:pPr>
                    <w:r>
                      <w:rPr>
                        <w:b/>
                        <w:color w:val="001F5F"/>
                        <w:sz w:val="18"/>
                      </w:rPr>
                      <w:t>7.2</w:t>
                    </w:r>
                  </w:p>
                </w:txbxContent>
              </v:textbox>
              <w10:wrap type="none"/>
            </v:shape>
            <v:shape style="position:absolute;left:5597;top:592;width:470;height:347" type="#_x0000_t202" filled="false" stroked="false">
              <v:textbox inset="0,0,0,0">
                <w:txbxContent>
                  <w:p>
                    <w:pPr>
                      <w:spacing w:line="169" w:lineRule="exact" w:before="0"/>
                      <w:ind w:left="223" w:right="0" w:firstLine="0"/>
                      <w:jc w:val="left"/>
                      <w:rPr>
                        <w:b/>
                        <w:sz w:val="18"/>
                      </w:rPr>
                    </w:pPr>
                    <w:r>
                      <w:rPr>
                        <w:b/>
                        <w:color w:val="001F5F"/>
                        <w:sz w:val="18"/>
                      </w:rPr>
                      <w:t>8.5</w:t>
                    </w:r>
                  </w:p>
                  <w:p>
                    <w:pPr>
                      <w:spacing w:line="177" w:lineRule="exact" w:before="0"/>
                      <w:ind w:left="0" w:right="0" w:firstLine="0"/>
                      <w:jc w:val="left"/>
                      <w:rPr>
                        <w:b/>
                        <w:sz w:val="18"/>
                      </w:rPr>
                    </w:pPr>
                    <w:r>
                      <w:rPr>
                        <w:b/>
                        <w:color w:val="538235"/>
                        <w:sz w:val="18"/>
                      </w:rPr>
                      <w:t>7.4</w:t>
                    </w:r>
                  </w:p>
                </w:txbxContent>
              </v:textbox>
              <w10:wrap type="none"/>
            </v:shape>
            <v:shape style="position:absolute;left:4098;top:999;width:247;height:200" type="#_x0000_t202" filled="false" stroked="false">
              <v:textbox inset="0,0,0,0">
                <w:txbxContent>
                  <w:p>
                    <w:pPr>
                      <w:spacing w:line="199" w:lineRule="exact" w:before="0"/>
                      <w:ind w:left="0" w:right="0" w:firstLine="0"/>
                      <w:jc w:val="left"/>
                      <w:rPr>
                        <w:b/>
                        <w:sz w:val="18"/>
                      </w:rPr>
                    </w:pPr>
                    <w:r>
                      <w:rPr>
                        <w:b/>
                        <w:color w:val="001F5F"/>
                        <w:sz w:val="18"/>
                      </w:rPr>
                      <w:t>5.3</w:t>
                    </w:r>
                  </w:p>
                </w:txbxContent>
              </v:textbox>
              <w10:wrap type="none"/>
            </v:shape>
            <v:shape style="position:absolute;left:2153;top:1287;width:470;height:311" type="#_x0000_t202" filled="false" stroked="false">
              <v:textbox inset="0,0,0,0">
                <w:txbxContent>
                  <w:p>
                    <w:pPr>
                      <w:spacing w:line="228" w:lineRule="auto" w:before="0"/>
                      <w:ind w:left="0" w:right="0" w:firstLine="0"/>
                      <w:jc w:val="left"/>
                      <w:rPr>
                        <w:b/>
                        <w:sz w:val="18"/>
                      </w:rPr>
                    </w:pPr>
                    <w:r>
                      <w:rPr>
                        <w:b/>
                        <w:color w:val="538235"/>
                        <w:position w:val="-10"/>
                        <w:sz w:val="18"/>
                      </w:rPr>
                      <w:t>2. </w:t>
                    </w:r>
                    <w:r>
                      <w:rPr>
                        <w:b/>
                        <w:color w:val="001F5F"/>
                        <w:sz w:val="18"/>
                      </w:rPr>
                      <w:t>3.1</w:t>
                    </w:r>
                  </w:p>
                </w:txbxContent>
              </v:textbox>
              <w10:wrap type="none"/>
            </v:shape>
            <v:shape style="position:absolute;left:2289;top:1398;width:110;height:200" type="#_x0000_t202" filled="false" stroked="false">
              <v:textbox inset="0,0,0,0">
                <w:txbxContent>
                  <w:p>
                    <w:pPr>
                      <w:spacing w:line="199" w:lineRule="exact" w:before="0"/>
                      <w:ind w:left="0" w:right="0" w:firstLine="0"/>
                      <w:jc w:val="left"/>
                      <w:rPr>
                        <w:b/>
                        <w:sz w:val="18"/>
                      </w:rPr>
                    </w:pPr>
                    <w:r>
                      <w:rPr>
                        <w:b/>
                        <w:color w:val="538235"/>
                        <w:sz w:val="18"/>
                      </w:rPr>
                      <w:t>2</w:t>
                    </w:r>
                  </w:p>
                </w:txbxContent>
              </v:textbox>
              <w10:wrap type="none"/>
            </v:shape>
            <v:shape style="position:absolute;left:3524;top:1257;width:247;height:200" type="#_x0000_t202" filled="false" stroked="false">
              <v:textbox inset="0,0,0,0">
                <w:txbxContent>
                  <w:p>
                    <w:pPr>
                      <w:spacing w:line="199" w:lineRule="exact" w:before="0"/>
                      <w:ind w:left="0" w:right="0" w:firstLine="0"/>
                      <w:jc w:val="left"/>
                      <w:rPr>
                        <w:b/>
                        <w:sz w:val="18"/>
                      </w:rPr>
                    </w:pPr>
                    <w:r>
                      <w:rPr>
                        <w:b/>
                        <w:color w:val="001F5F"/>
                        <w:sz w:val="18"/>
                      </w:rPr>
                      <w:t>3.3</w:t>
                    </w:r>
                  </w:p>
                </w:txbxContent>
              </v:textbox>
              <w10:wrap type="none"/>
            </v:shape>
            <v:shape style="position:absolute;left:3875;top:1103;width:247;height:200" type="#_x0000_t202" filled="false" stroked="false">
              <v:textbox inset="0,0,0,0">
                <w:txbxContent>
                  <w:p>
                    <w:pPr>
                      <w:spacing w:line="199" w:lineRule="exact" w:before="0"/>
                      <w:ind w:left="0" w:right="0" w:firstLine="0"/>
                      <w:jc w:val="left"/>
                      <w:rPr>
                        <w:b/>
                        <w:sz w:val="18"/>
                      </w:rPr>
                    </w:pPr>
                    <w:r>
                      <w:rPr>
                        <w:b/>
                        <w:color w:val="538235"/>
                        <w:sz w:val="18"/>
                      </w:rPr>
                      <w:t>4.5</w:t>
                    </w:r>
                  </w:p>
                </w:txbxContent>
              </v:textbox>
              <w10:wrap type="none"/>
            </v:shape>
            <v:shape style="position:absolute;left:5246;top:1344;width:247;height:200" type="#_x0000_t202" filled="false" stroked="false">
              <v:textbox inset="0,0,0,0">
                <w:txbxContent>
                  <w:p>
                    <w:pPr>
                      <w:spacing w:line="199" w:lineRule="exact" w:before="0"/>
                      <w:ind w:left="0" w:right="0" w:firstLine="0"/>
                      <w:jc w:val="left"/>
                      <w:rPr>
                        <w:b/>
                        <w:sz w:val="18"/>
                      </w:rPr>
                    </w:pPr>
                    <w:r>
                      <w:rPr>
                        <w:b/>
                        <w:color w:val="001F5F"/>
                        <w:sz w:val="18"/>
                      </w:rPr>
                      <w:t>2.6</w:t>
                    </w:r>
                  </w:p>
                </w:txbxContent>
              </v:textbox>
              <w10:wrap type="none"/>
            </v:shape>
            <w10:wrap type="none"/>
          </v:group>
        </w:pict>
      </w:r>
      <w:r>
        <w:rPr/>
        <w:pict>
          <v:shape style="position:absolute;margin-left:310.895447pt;margin-top:6.437679pt;width:10.95pt;height:70.05pt;mso-position-horizontal-relative:page;mso-position-vertical-relative:paragraph;z-index:251694080" type="#_x0000_t202" filled="false" stroked="false">
            <v:textbox inset="0,0,0,0" style="layout-flow:vertical;mso-layout-flow-alt:bottom-to-top">
              <w:txbxContent>
                <w:p>
                  <w:pPr>
                    <w:spacing w:before="14"/>
                    <w:ind w:left="20" w:right="0" w:firstLine="0"/>
                    <w:jc w:val="left"/>
                    <w:rPr>
                      <w:sz w:val="16"/>
                    </w:rPr>
                  </w:pPr>
                  <w:r>
                    <w:rPr>
                      <w:color w:val="585858"/>
                      <w:sz w:val="16"/>
                    </w:rPr>
                    <w:t>Millones de personas</w:t>
                  </w:r>
                </w:p>
              </w:txbxContent>
            </v:textbox>
            <w10:wrap type="none"/>
          </v:shape>
        </w:pict>
      </w:r>
      <w:r>
        <w:rPr>
          <w:color w:val="585858"/>
          <w:sz w:val="16"/>
        </w:rPr>
        <w:t>0.25</w:t>
      </w:r>
    </w:p>
    <w:p>
      <w:pPr>
        <w:pStyle w:val="BodyText"/>
        <w:spacing w:before="7"/>
        <w:rPr>
          <w:sz w:val="15"/>
        </w:rPr>
      </w:pPr>
    </w:p>
    <w:p>
      <w:pPr>
        <w:spacing w:before="0"/>
        <w:ind w:left="427" w:right="0" w:firstLine="0"/>
        <w:jc w:val="left"/>
        <w:rPr>
          <w:sz w:val="16"/>
        </w:rPr>
      </w:pPr>
      <w:r>
        <w:rPr>
          <w:color w:val="585858"/>
          <w:sz w:val="16"/>
        </w:rPr>
        <w:t>0.20</w:t>
      </w:r>
    </w:p>
    <w:p>
      <w:pPr>
        <w:pStyle w:val="BodyText"/>
        <w:spacing w:before="8"/>
        <w:rPr>
          <w:sz w:val="15"/>
        </w:rPr>
      </w:pPr>
    </w:p>
    <w:p>
      <w:pPr>
        <w:spacing w:before="0"/>
        <w:ind w:left="427" w:right="0" w:firstLine="0"/>
        <w:jc w:val="left"/>
        <w:rPr>
          <w:sz w:val="16"/>
        </w:rPr>
      </w:pPr>
      <w:r>
        <w:rPr>
          <w:color w:val="585858"/>
          <w:sz w:val="16"/>
        </w:rPr>
        <w:t>0.15</w:t>
      </w:r>
    </w:p>
    <w:p>
      <w:pPr>
        <w:pStyle w:val="BodyText"/>
        <w:spacing w:before="8"/>
        <w:rPr>
          <w:sz w:val="15"/>
        </w:rPr>
      </w:pPr>
    </w:p>
    <w:p>
      <w:pPr>
        <w:spacing w:before="0"/>
        <w:ind w:left="427" w:right="0" w:firstLine="0"/>
        <w:jc w:val="left"/>
        <w:rPr>
          <w:sz w:val="16"/>
        </w:rPr>
      </w:pPr>
      <w:r>
        <w:rPr>
          <w:color w:val="585858"/>
          <w:sz w:val="16"/>
        </w:rPr>
        <w:t>0.10</w:t>
      </w:r>
    </w:p>
    <w:p>
      <w:pPr>
        <w:pStyle w:val="BodyText"/>
        <w:spacing w:before="7"/>
        <w:rPr>
          <w:sz w:val="15"/>
        </w:rPr>
      </w:pPr>
    </w:p>
    <w:p>
      <w:pPr>
        <w:spacing w:before="0"/>
        <w:ind w:left="427" w:right="0" w:firstLine="0"/>
        <w:jc w:val="left"/>
        <w:rPr>
          <w:sz w:val="16"/>
        </w:rPr>
      </w:pPr>
      <w:r>
        <w:rPr>
          <w:color w:val="585858"/>
          <w:sz w:val="16"/>
        </w:rPr>
        <w:t>0.05</w:t>
      </w:r>
    </w:p>
    <w:p>
      <w:pPr>
        <w:pStyle w:val="BodyText"/>
        <w:spacing w:before="8"/>
        <w:rPr>
          <w:sz w:val="15"/>
        </w:rPr>
      </w:pPr>
    </w:p>
    <w:p>
      <w:pPr>
        <w:spacing w:before="0"/>
        <w:ind w:left="427" w:right="0" w:firstLine="0"/>
        <w:jc w:val="left"/>
        <w:rPr>
          <w:sz w:val="16"/>
        </w:rPr>
      </w:pPr>
      <w:r>
        <w:rPr>
          <w:color w:val="585858"/>
          <w:sz w:val="16"/>
        </w:rPr>
        <w:t>0.00</w:t>
      </w:r>
    </w:p>
    <w:p>
      <w:pPr>
        <w:spacing w:before="158"/>
        <w:ind w:left="1015" w:right="0" w:firstLine="0"/>
        <w:jc w:val="left"/>
        <w:rPr>
          <w:sz w:val="16"/>
        </w:rPr>
      </w:pPr>
      <w:r>
        <w:rPr/>
        <w:br w:type="column"/>
      </w:r>
      <w:r>
        <w:rPr>
          <w:color w:val="585858"/>
          <w:sz w:val="16"/>
        </w:rPr>
        <w:t>Población vacunada</w:t>
      </w:r>
      <w:r>
        <w:rPr>
          <w:color w:val="585858"/>
          <w:spacing w:val="-11"/>
          <w:sz w:val="16"/>
        </w:rPr>
        <w:t> </w:t>
      </w:r>
      <w:r>
        <w:rPr>
          <w:color w:val="585858"/>
          <w:sz w:val="16"/>
        </w:rPr>
        <w:t>(%)</w:t>
      </w:r>
    </w:p>
    <w:p>
      <w:pPr>
        <w:spacing w:before="94"/>
        <w:ind w:left="520" w:right="0" w:firstLine="0"/>
        <w:jc w:val="left"/>
        <w:rPr>
          <w:sz w:val="16"/>
        </w:rPr>
      </w:pPr>
      <w:r>
        <w:rPr/>
        <w:br w:type="column"/>
      </w:r>
      <w:r>
        <w:rPr>
          <w:color w:val="585858"/>
          <w:sz w:val="16"/>
        </w:rPr>
        <w:t>100</w:t>
      </w:r>
    </w:p>
    <w:p>
      <w:pPr>
        <w:spacing w:before="35"/>
        <w:ind w:left="520" w:right="0" w:firstLine="0"/>
        <w:jc w:val="left"/>
        <w:rPr>
          <w:sz w:val="16"/>
        </w:rPr>
      </w:pPr>
      <w:r>
        <w:rPr/>
        <w:pict>
          <v:shape style="position:absolute;margin-left:515.735474pt;margin-top:2.4725pt;width:10.95pt;height:96.25pt;mso-position-horizontal-relative:page;mso-position-vertical-relative:paragraph;z-index:251696128" type="#_x0000_t202" filled="false" stroked="false">
            <v:textbox inset="0,0,0,0" style="layout-flow:vertical;mso-layout-flow-alt:bottom-to-top">
              <w:txbxContent>
                <w:p>
                  <w:pPr>
                    <w:spacing w:before="14"/>
                    <w:ind w:left="20" w:right="0" w:firstLine="0"/>
                    <w:jc w:val="left"/>
                    <w:rPr>
                      <w:sz w:val="16"/>
                    </w:rPr>
                  </w:pPr>
                  <w:r>
                    <w:rPr>
                      <w:color w:val="585858"/>
                      <w:sz w:val="16"/>
                    </w:rPr>
                    <w:t>Población vacunada esquema</w:t>
                  </w:r>
                </w:p>
              </w:txbxContent>
            </v:textbox>
            <w10:wrap type="none"/>
          </v:shape>
        </w:pict>
      </w:r>
      <w:r>
        <w:rPr>
          <w:color w:val="585858"/>
          <w:sz w:val="16"/>
        </w:rPr>
        <w:t>90</w:t>
      </w:r>
    </w:p>
    <w:p>
      <w:pPr>
        <w:spacing w:before="34"/>
        <w:ind w:left="520" w:right="0" w:firstLine="0"/>
        <w:jc w:val="left"/>
        <w:rPr>
          <w:sz w:val="16"/>
        </w:rPr>
      </w:pPr>
      <w:r>
        <w:rPr/>
        <w:pict>
          <v:group style="position:absolute;margin-left:344.160004pt;margin-top:5.74875pt;width:150.25pt;height:90.4pt;mso-position-horizontal-relative:page;mso-position-vertical-relative:paragraph;z-index:251692032" coordorigin="6883,115" coordsize="3005,1808">
            <v:shape style="position:absolute;left:9042;top:1144;width:392;height:737" coordorigin="9042,1145" coordsize="392,737" path="m9042,1601l9042,1882m9172,1430l9172,1882m9301,1258l9301,1882m9433,1145l9433,1882e" filled="false" stroked="true" strokeweight="3.24pt" strokecolor="#a6a6a6">
              <v:path arrowok="t"/>
              <v:stroke dashstyle="solid"/>
            </v:shape>
            <v:line style="position:absolute" from="9563,982" to="9563,1882" stroked="true" strokeweight="3.24pt" strokecolor="#a6a6a6">
              <v:stroke dashstyle="solid"/>
            </v:line>
            <v:line style="position:absolute" from="9692,893" to="9692,1882" stroked="true" strokeweight="3.24pt" strokecolor="#a6a6a6">
              <v:stroke dashstyle="solid"/>
            </v:line>
            <v:line style="position:absolute" from="9823,835" to="9823,1882" stroked="true" strokeweight="3.36pt" strokecolor="#a6a6a6">
              <v:stroke dashstyle="solid"/>
            </v:line>
            <v:shape style="position:absolute;left:0;top:6158;width:2998;height:41" coordorigin="0,6158" coordsize="2998,41" path="m6890,1882l9888,1882m6890,1882l6890,1922m7152,1882l7152,1922m7414,1882l7414,1922m7673,1882l7673,1922m7934,1882l7934,1922m8194,1882l8194,1922m8455,1882l8455,1922m8717,1882l8717,1922m8976,1882l8976,1922m9238,1882l9238,1922m9497,1882l9497,1922m9758,1882l9758,1922e" filled="false" stroked="true" strokeweight=".72pt" strokecolor="#d9d9d9">
              <v:path arrowok="t"/>
              <v:stroke dashstyle="solid"/>
            </v:shape>
            <v:shape style="position:absolute;left:6956;top:132;width:2866;height:1748" coordorigin="6956,133" coordsize="2866,1748" path="m6956,1880l6980,1878,7013,1875,7051,1869,7119,1846,7184,1808,7217,1785,7250,1763,7315,1710,7380,1610,7412,1544,7445,1463,7477,1365,7496,1292,7515,1202,7533,1104,7552,1006,7570,917,7589,845,7608,799,7640,784,7673,824,7705,886,7738,938,7771,978,7803,1022,7836,1060,7868,1085,7901,1092,7933,1086,7966,1076,7998,1071,8028,1080,8064,1098,8099,1104,8150,1028,8172,949,8194,857,8216,763,8237,677,8259,610,8291,532,8324,460,8358,422,8389,445,8418,555,8433,638,8447,731,8462,830,8476,927,8490,1017,8505,1094,8547,1211,8622,1279,8650,1280,8682,1242,8715,1175,8747,1093,8780,1012,8806,945,8832,871,8858,796,8884,729,8910,678,8942,644,8975,629,9009,618,9040,595,9106,499,9138,441,9171,383,9203,313,9236,234,9268,167,9301,133,9330,141,9366,175,9403,230,9431,300,9460,430,9475,513,9489,603,9504,696,9518,788,9532,877,9547,957,9561,1026,9588,1130,9614,1219,9640,1296,9666,1360,9692,1415,9757,1490,9790,1510,9822,1533e" filled="false" stroked="true" strokeweight="1.8pt" strokecolor="#c00000">
              <v:path arrowok="t"/>
              <v:stroke dashstyle="solid"/>
            </v:shape>
            <w10:wrap type="none"/>
          </v:group>
        </w:pict>
      </w:r>
      <w:r>
        <w:rPr>
          <w:color w:val="585858"/>
          <w:sz w:val="16"/>
        </w:rPr>
        <w:t>80</w:t>
      </w:r>
    </w:p>
    <w:p>
      <w:pPr>
        <w:spacing w:before="35"/>
        <w:ind w:left="520" w:right="0" w:firstLine="0"/>
        <w:jc w:val="left"/>
        <w:rPr>
          <w:sz w:val="16"/>
        </w:rPr>
      </w:pPr>
      <w:r>
        <w:rPr>
          <w:color w:val="585858"/>
          <w:sz w:val="16"/>
        </w:rPr>
        <w:t>70</w:t>
      </w:r>
    </w:p>
    <w:p>
      <w:pPr>
        <w:spacing w:before="34"/>
        <w:ind w:left="520" w:right="0" w:firstLine="0"/>
        <w:jc w:val="left"/>
        <w:rPr>
          <w:sz w:val="16"/>
        </w:rPr>
      </w:pPr>
      <w:r>
        <w:rPr>
          <w:color w:val="585858"/>
          <w:sz w:val="16"/>
        </w:rPr>
        <w:t>60</w:t>
      </w:r>
    </w:p>
    <w:p>
      <w:pPr>
        <w:spacing w:before="35"/>
        <w:ind w:left="520" w:right="0" w:firstLine="0"/>
        <w:jc w:val="left"/>
        <w:rPr>
          <w:sz w:val="16"/>
        </w:rPr>
      </w:pPr>
      <w:r>
        <w:rPr>
          <w:color w:val="585858"/>
          <w:sz w:val="16"/>
        </w:rPr>
        <w:t>50</w:t>
      </w:r>
    </w:p>
    <w:p>
      <w:pPr>
        <w:spacing w:before="34"/>
        <w:ind w:left="520" w:right="0" w:firstLine="0"/>
        <w:jc w:val="left"/>
        <w:rPr>
          <w:sz w:val="16"/>
        </w:rPr>
      </w:pPr>
      <w:r>
        <w:rPr>
          <w:color w:val="585858"/>
          <w:sz w:val="16"/>
        </w:rPr>
        <w:t>40</w:t>
      </w:r>
    </w:p>
    <w:p>
      <w:pPr>
        <w:spacing w:before="34"/>
        <w:ind w:left="520" w:right="0" w:firstLine="0"/>
        <w:jc w:val="left"/>
        <w:rPr>
          <w:sz w:val="16"/>
        </w:rPr>
      </w:pPr>
      <w:r>
        <w:rPr>
          <w:color w:val="585858"/>
          <w:sz w:val="16"/>
        </w:rPr>
        <w:t>30</w:t>
      </w:r>
    </w:p>
    <w:p>
      <w:pPr>
        <w:spacing w:before="35"/>
        <w:ind w:left="520" w:right="0" w:firstLine="0"/>
        <w:jc w:val="left"/>
        <w:rPr>
          <w:sz w:val="16"/>
        </w:rPr>
      </w:pPr>
      <w:r>
        <w:rPr>
          <w:color w:val="585858"/>
          <w:sz w:val="16"/>
        </w:rPr>
        <w:t>20</w:t>
      </w:r>
    </w:p>
    <w:p>
      <w:pPr>
        <w:spacing w:before="35"/>
        <w:ind w:left="520" w:right="0" w:firstLine="0"/>
        <w:jc w:val="left"/>
        <w:rPr>
          <w:sz w:val="16"/>
        </w:rPr>
      </w:pPr>
      <w:r>
        <w:rPr>
          <w:color w:val="585858"/>
          <w:sz w:val="16"/>
        </w:rPr>
        <w:t>10</w:t>
      </w:r>
    </w:p>
    <w:p>
      <w:pPr>
        <w:spacing w:before="34"/>
        <w:ind w:left="520" w:right="0" w:firstLine="0"/>
        <w:jc w:val="left"/>
        <w:rPr>
          <w:sz w:val="16"/>
        </w:rPr>
      </w:pPr>
      <w:r>
        <w:rPr/>
        <w:pict>
          <v:shape style="position:absolute;margin-left:343.057861pt;margin-top:9.897619pt;width:153.1pt;height:21.45pt;mso-position-horizontal-relative:page;mso-position-vertical-relative:paragraph;z-index:251695104" type="#_x0000_t202" filled="false" stroked="false">
            <v:textbox inset="0,0,0,0" style="layout-flow:vertical;mso-layout-flow-alt:bottom-to-top">
              <w:txbxContent>
                <w:p>
                  <w:pPr>
                    <w:spacing w:line="388" w:lineRule="auto" w:before="13"/>
                    <w:ind w:left="20" w:right="18" w:firstLine="23"/>
                    <w:jc w:val="both"/>
                    <w:rPr>
                      <w:sz w:val="14"/>
                    </w:rPr>
                  </w:pPr>
                  <w:r>
                    <w:rPr>
                      <w:color w:val="585858"/>
                      <w:sz w:val="14"/>
                    </w:rPr>
                    <w:t>feb-20 abr-20 jun-20 ago-20 oct-20 dic-20 feb-21 abr-21 jun-21 ago-21 oct-21</w:t>
                  </w:r>
                </w:p>
                <w:p>
                  <w:pPr>
                    <w:spacing w:line="159" w:lineRule="exact" w:before="0"/>
                    <w:ind w:left="51" w:right="0" w:firstLine="0"/>
                    <w:jc w:val="left"/>
                    <w:rPr>
                      <w:sz w:val="14"/>
                    </w:rPr>
                  </w:pPr>
                  <w:r>
                    <w:rPr>
                      <w:color w:val="585858"/>
                      <w:sz w:val="14"/>
                    </w:rPr>
                    <w:t>dic-21</w:t>
                  </w:r>
                </w:p>
              </w:txbxContent>
            </v:textbox>
            <w10:wrap type="none"/>
          </v:shape>
        </w:pict>
      </w:r>
      <w:r>
        <w:rPr>
          <w:color w:val="585858"/>
          <w:w w:val="100"/>
          <w:sz w:val="16"/>
        </w:rPr>
        <w:t>-</w:t>
      </w:r>
    </w:p>
    <w:p>
      <w:pPr>
        <w:spacing w:after="0"/>
        <w:jc w:val="left"/>
        <w:rPr>
          <w:sz w:val="16"/>
        </w:rPr>
        <w:sectPr>
          <w:type w:val="continuous"/>
          <w:pgSz w:w="12240" w:h="15840"/>
          <w:pgMar w:top="1500" w:bottom="280" w:left="1140" w:right="0"/>
          <w:cols w:num="4" w:equalWidth="0">
            <w:col w:w="4869" w:space="40"/>
            <w:col w:w="748" w:space="132"/>
            <w:col w:w="2578" w:space="39"/>
            <w:col w:w="2694"/>
          </w:cols>
        </w:sectPr>
      </w:pPr>
    </w:p>
    <w:p>
      <w:pPr>
        <w:pStyle w:val="BodyText"/>
        <w:spacing w:before="11"/>
        <w:rPr>
          <w:sz w:val="9"/>
        </w:rPr>
      </w:pPr>
    </w:p>
    <w:p>
      <w:pPr>
        <w:tabs>
          <w:tab w:pos="5290" w:val="left" w:leader="none"/>
        </w:tabs>
        <w:spacing w:before="94"/>
        <w:ind w:left="951" w:right="0" w:firstLine="0"/>
        <w:jc w:val="left"/>
        <w:rPr>
          <w:sz w:val="16"/>
        </w:rPr>
      </w:pPr>
      <w:r>
        <w:rPr>
          <w:sz w:val="16"/>
        </w:rPr>
        <w:t>Fuente: Our World</w:t>
      </w:r>
      <w:r>
        <w:rPr>
          <w:spacing w:val="-3"/>
          <w:sz w:val="16"/>
        </w:rPr>
        <w:t> </w:t>
      </w:r>
      <w:r>
        <w:rPr>
          <w:sz w:val="16"/>
        </w:rPr>
        <w:t>in</w:t>
      </w:r>
      <w:r>
        <w:rPr>
          <w:spacing w:val="-3"/>
          <w:sz w:val="16"/>
        </w:rPr>
        <w:t> </w:t>
      </w:r>
      <w:r>
        <w:rPr>
          <w:sz w:val="16"/>
        </w:rPr>
        <w:t>Data</w:t>
        <w:tab/>
        <w:t>Fuente: Our World in</w:t>
      </w:r>
      <w:r>
        <w:rPr>
          <w:spacing w:val="3"/>
          <w:sz w:val="16"/>
        </w:rPr>
        <w:t> </w:t>
      </w:r>
      <w:r>
        <w:rPr>
          <w:sz w:val="16"/>
        </w:rPr>
        <w:t>Data</w:t>
      </w:r>
    </w:p>
    <w:p>
      <w:pPr>
        <w:pStyle w:val="BodyText"/>
        <w:rPr>
          <w:sz w:val="20"/>
        </w:rPr>
      </w:pPr>
    </w:p>
    <w:p>
      <w:pPr>
        <w:pStyle w:val="Heading2"/>
        <w:numPr>
          <w:ilvl w:val="2"/>
          <w:numId w:val="10"/>
        </w:numPr>
        <w:tabs>
          <w:tab w:pos="1695" w:val="left" w:leader="none"/>
        </w:tabs>
        <w:spacing w:line="240" w:lineRule="auto" w:before="233" w:after="0"/>
        <w:ind w:left="1694" w:right="0" w:hanging="605"/>
        <w:jc w:val="left"/>
      </w:pPr>
      <w:bookmarkStart w:name="_bookmark13" w:id="18"/>
      <w:bookmarkEnd w:id="18"/>
      <w:r>
        <w:rPr>
          <w:b w:val="0"/>
        </w:rPr>
      </w:r>
      <w:bookmarkStart w:name="_bookmark13" w:id="19"/>
      <w:bookmarkEnd w:id="19"/>
      <w:r>
        <w:rPr/>
        <w:t>La</w:t>
      </w:r>
      <w:r>
        <w:rPr/>
        <w:t> economía de México</w:t>
      </w:r>
    </w:p>
    <w:p>
      <w:pPr>
        <w:pStyle w:val="BodyText"/>
        <w:rPr>
          <w:b/>
          <w:sz w:val="30"/>
        </w:rPr>
      </w:pPr>
    </w:p>
    <w:p>
      <w:pPr>
        <w:pStyle w:val="BodyText"/>
        <w:spacing w:line="276" w:lineRule="auto"/>
        <w:ind w:left="562" w:right="1695"/>
        <w:jc w:val="both"/>
      </w:pPr>
      <w:r>
        <w:rPr/>
        <w:t>La economía mexicana mostró una recuperación generalizada en los sectores económicos, principalmente en la industria, la agricultura y los servicios, de tal manera que, su crecimiento económico fue de 4.8% para 2021. Sin embargo, en los servicios, la recuperación fue heterogénea y</w:t>
      </w:r>
    </w:p>
    <w:p>
      <w:pPr>
        <w:spacing w:after="0" w:line="276" w:lineRule="auto"/>
        <w:jc w:val="both"/>
        <w:sectPr>
          <w:type w:val="continuous"/>
          <w:pgSz w:w="12240" w:h="15840"/>
          <w:pgMar w:top="1500" w:bottom="280" w:left="1140" w:right="0"/>
        </w:sectPr>
      </w:pPr>
    </w:p>
    <w:p>
      <w:pPr>
        <w:pStyle w:val="BodyText"/>
        <w:spacing w:line="276" w:lineRule="auto" w:before="162"/>
        <w:ind w:left="562" w:right="1699"/>
        <w:jc w:val="both"/>
      </w:pPr>
      <w:r>
        <w:rPr/>
        <w:t>esta se encuentra rezagada en sectores con contacto humano. Los nuevos contagios mostraron una disminución hasta mayo y tuvieron un fuerte incremento que duró hasta agosto, asimismo, la proporción de la población vacunada con esquema completo fue 55.9%.</w:t>
      </w:r>
    </w:p>
    <w:p>
      <w:pPr>
        <w:pStyle w:val="BodyText"/>
        <w:spacing w:before="4"/>
        <w:rPr>
          <w:sz w:val="25"/>
        </w:rPr>
      </w:pPr>
    </w:p>
    <w:p>
      <w:pPr>
        <w:pStyle w:val="BodyText"/>
        <w:spacing w:line="276" w:lineRule="auto"/>
        <w:ind w:left="562" w:right="1697"/>
        <w:jc w:val="both"/>
      </w:pPr>
      <w:r>
        <w:rPr/>
        <w:t>El consumo en 2021 se encontró levemente superior al nivel anterior de la pandemia y la inversión se recuperó de una forma más lenta, encontrándose en su nivel anterior a la pandemia. La inflación aumentó</w:t>
      </w:r>
      <w:r>
        <w:rPr>
          <w:spacing w:val="-13"/>
        </w:rPr>
        <w:t> </w:t>
      </w:r>
      <w:r>
        <w:rPr/>
        <w:t>considerablemente</w:t>
      </w:r>
      <w:r>
        <w:rPr>
          <w:spacing w:val="-14"/>
        </w:rPr>
        <w:t> </w:t>
      </w:r>
      <w:r>
        <w:rPr/>
        <w:t>y</w:t>
      </w:r>
      <w:r>
        <w:rPr>
          <w:spacing w:val="-12"/>
        </w:rPr>
        <w:t> </w:t>
      </w:r>
      <w:r>
        <w:rPr/>
        <w:t>fue</w:t>
      </w:r>
      <w:r>
        <w:rPr>
          <w:spacing w:val="-11"/>
        </w:rPr>
        <w:t> </w:t>
      </w:r>
      <w:r>
        <w:rPr/>
        <w:t>de</w:t>
      </w:r>
      <w:r>
        <w:rPr>
          <w:spacing w:val="-12"/>
        </w:rPr>
        <w:t> </w:t>
      </w:r>
      <w:r>
        <w:rPr/>
        <w:t>7.4%</w:t>
      </w:r>
      <w:r>
        <w:rPr>
          <w:spacing w:val="-12"/>
        </w:rPr>
        <w:t> </w:t>
      </w:r>
      <w:r>
        <w:rPr/>
        <w:t>a</w:t>
      </w:r>
      <w:r>
        <w:rPr>
          <w:spacing w:val="-13"/>
        </w:rPr>
        <w:t> </w:t>
      </w:r>
      <w:r>
        <w:rPr/>
        <w:t>final</w:t>
      </w:r>
      <w:r>
        <w:rPr>
          <w:spacing w:val="-11"/>
        </w:rPr>
        <w:t> </w:t>
      </w:r>
      <w:r>
        <w:rPr/>
        <w:t>de</w:t>
      </w:r>
      <w:r>
        <w:rPr>
          <w:spacing w:val="-12"/>
        </w:rPr>
        <w:t> </w:t>
      </w:r>
      <w:r>
        <w:rPr/>
        <w:t>año,</w:t>
      </w:r>
      <w:r>
        <w:rPr>
          <w:spacing w:val="-12"/>
        </w:rPr>
        <w:t> </w:t>
      </w:r>
      <w:r>
        <w:rPr/>
        <w:t>esto</w:t>
      </w:r>
      <w:r>
        <w:rPr>
          <w:spacing w:val="-12"/>
        </w:rPr>
        <w:t> </w:t>
      </w:r>
      <w:r>
        <w:rPr/>
        <w:t>debido</w:t>
      </w:r>
      <w:r>
        <w:rPr>
          <w:spacing w:val="-11"/>
        </w:rPr>
        <w:t> </w:t>
      </w:r>
      <w:r>
        <w:rPr/>
        <w:t>a</w:t>
      </w:r>
      <w:r>
        <w:rPr>
          <w:spacing w:val="-12"/>
        </w:rPr>
        <w:t> </w:t>
      </w:r>
      <w:r>
        <w:rPr/>
        <w:t>la</w:t>
      </w:r>
      <w:r>
        <w:rPr>
          <w:spacing w:val="-15"/>
        </w:rPr>
        <w:t> </w:t>
      </w:r>
      <w:r>
        <w:rPr/>
        <w:t>recuperación</w:t>
      </w:r>
      <w:r>
        <w:rPr>
          <w:spacing w:val="-12"/>
        </w:rPr>
        <w:t> </w:t>
      </w:r>
      <w:r>
        <w:rPr/>
        <w:t>de</w:t>
      </w:r>
      <w:r>
        <w:rPr>
          <w:spacing w:val="-12"/>
        </w:rPr>
        <w:t> </w:t>
      </w:r>
      <w:r>
        <w:rPr/>
        <w:t>su</w:t>
      </w:r>
      <w:r>
        <w:rPr>
          <w:spacing w:val="-12"/>
        </w:rPr>
        <w:t> </w:t>
      </w:r>
      <w:r>
        <w:rPr/>
        <w:t>demanda interna y de su integración en las cadenas de valor internacionales que sufrieron distorsiones a lo largo del año. La tasa de desempleo fue mayor a la del 2019, mostrando que aún queda espacio para la recuperación en el mercado laboral. La política fiscal fue prudente y la política monetaria </w:t>
      </w:r>
      <w:r>
        <w:rPr>
          <w:spacing w:val="-3"/>
        </w:rPr>
        <w:t>se </w:t>
      </w:r>
      <w:r>
        <w:rPr/>
        <w:t>endureció aumentando las tasas de interés del Banco Central a finales de</w:t>
      </w:r>
      <w:r>
        <w:rPr>
          <w:spacing w:val="-8"/>
        </w:rPr>
        <w:t> </w:t>
      </w:r>
      <w:r>
        <w:rPr/>
        <w:t>año.</w:t>
      </w:r>
    </w:p>
    <w:p>
      <w:pPr>
        <w:pStyle w:val="BodyText"/>
        <w:spacing w:before="9"/>
        <w:rPr>
          <w:sz w:val="17"/>
        </w:rPr>
      </w:pPr>
    </w:p>
    <w:p>
      <w:pPr>
        <w:spacing w:after="0"/>
        <w:rPr>
          <w:sz w:val="17"/>
        </w:rPr>
        <w:sectPr>
          <w:pgSz w:w="12240" w:h="15840"/>
          <w:pgMar w:header="715" w:footer="957" w:top="1240" w:bottom="1140" w:left="1140" w:right="0"/>
        </w:sectPr>
      </w:pPr>
    </w:p>
    <w:p>
      <w:pPr>
        <w:spacing w:line="278" w:lineRule="auto" w:before="91"/>
        <w:ind w:left="2458" w:right="0" w:hanging="1548"/>
        <w:jc w:val="left"/>
        <w:rPr>
          <w:b/>
          <w:sz w:val="20"/>
        </w:rPr>
      </w:pPr>
      <w:r>
        <w:rPr/>
        <w:pict>
          <v:line style="position:absolute;mso-position-horizontal-relative:page;mso-position-vertical-relative:paragraph;z-index:251703296" from="375.779999pt,61.085907pt" to="394.979999pt,61.085907pt" stroked="true" strokeweight="1.8pt" strokecolor="#c00000">
            <v:stroke dashstyle="solid"/>
            <w10:wrap type="none"/>
          </v:line>
        </w:pict>
      </w:r>
      <w:bookmarkStart w:name="_bookmark14" w:id="20"/>
      <w:bookmarkEnd w:id="20"/>
      <w:r>
        <w:rPr/>
      </w:r>
      <w:r>
        <w:rPr>
          <w:b/>
          <w:i/>
          <w:sz w:val="20"/>
        </w:rPr>
        <w:t>Gráfico 7. </w:t>
      </w:r>
      <w:r>
        <w:rPr>
          <w:b/>
          <w:sz w:val="20"/>
        </w:rPr>
        <w:t>Tasa de desempleo e inflación de México</w:t>
      </w:r>
    </w:p>
    <w:p>
      <w:pPr>
        <w:spacing w:line="278" w:lineRule="auto" w:before="91"/>
        <w:ind w:left="1101" w:right="1691" w:hanging="567"/>
        <w:jc w:val="left"/>
        <w:rPr>
          <w:b/>
          <w:sz w:val="20"/>
        </w:rPr>
      </w:pPr>
      <w:r>
        <w:rPr/>
        <w:br w:type="column"/>
      </w:r>
      <w:bookmarkStart w:name="_bookmark15" w:id="21"/>
      <w:bookmarkEnd w:id="21"/>
      <w:r>
        <w:rPr/>
      </w:r>
      <w:r>
        <w:rPr>
          <w:b/>
          <w:i/>
          <w:sz w:val="20"/>
        </w:rPr>
        <w:t>Gráfico 8. </w:t>
      </w:r>
      <w:r>
        <w:rPr>
          <w:b/>
          <w:sz w:val="20"/>
        </w:rPr>
        <w:t>Casos nuevos y población vacunada con esquema completo en México</w:t>
      </w:r>
    </w:p>
    <w:p>
      <w:pPr>
        <w:spacing w:after="0" w:line="278" w:lineRule="auto"/>
        <w:jc w:val="left"/>
        <w:rPr>
          <w:sz w:val="20"/>
        </w:rPr>
        <w:sectPr>
          <w:type w:val="continuous"/>
          <w:pgSz w:w="12240" w:h="15840"/>
          <w:pgMar w:top="1500" w:bottom="280" w:left="1140" w:right="0"/>
          <w:cols w:num="2" w:equalWidth="0">
            <w:col w:w="4626" w:space="40"/>
            <w:col w:w="6434"/>
          </w:cols>
        </w:sectPr>
      </w:pPr>
    </w:p>
    <w:p>
      <w:pPr>
        <w:pStyle w:val="BodyText"/>
        <w:rPr>
          <w:b/>
          <w:sz w:val="19"/>
        </w:rPr>
      </w:pPr>
    </w:p>
    <w:p>
      <w:pPr>
        <w:spacing w:after="0"/>
        <w:rPr>
          <w:sz w:val="19"/>
        </w:rPr>
        <w:sectPr>
          <w:type w:val="continuous"/>
          <w:pgSz w:w="12240" w:h="15840"/>
          <w:pgMar w:top="1500" w:bottom="280" w:left="1140" w:right="0"/>
        </w:sectPr>
      </w:pPr>
    </w:p>
    <w:p>
      <w:pPr>
        <w:pStyle w:val="BodyText"/>
        <w:rPr>
          <w:b/>
          <w:sz w:val="18"/>
        </w:rPr>
      </w:pPr>
    </w:p>
    <w:p>
      <w:pPr>
        <w:spacing w:before="130"/>
        <w:ind w:left="0" w:right="0" w:firstLine="0"/>
        <w:jc w:val="right"/>
        <w:rPr>
          <w:sz w:val="16"/>
        </w:rPr>
      </w:pPr>
      <w:r>
        <w:rPr/>
        <w:pict>
          <v:line style="position:absolute;mso-position-horizontal-relative:page;mso-position-vertical-relative:paragraph;z-index:251702272" from="375.839996pt,-.661245pt" to="395.039996pt,-.661245pt" stroked="true" strokeweight="3.96pt" strokecolor="#a6a6a6">
            <v:stroke dashstyle="solid"/>
            <w10:wrap type="none"/>
          </v:line>
        </w:pict>
      </w:r>
      <w:r>
        <w:rPr>
          <w:color w:val="585858"/>
          <w:spacing w:val="-1"/>
          <w:sz w:val="16"/>
        </w:rPr>
        <w:t>8.0</w:t>
      </w:r>
    </w:p>
    <w:p>
      <w:pPr>
        <w:spacing w:before="100"/>
        <w:ind w:left="0" w:right="0" w:firstLine="0"/>
        <w:jc w:val="right"/>
        <w:rPr>
          <w:sz w:val="16"/>
        </w:rPr>
      </w:pPr>
      <w:r>
        <w:rPr>
          <w:color w:val="585858"/>
          <w:spacing w:val="-1"/>
          <w:sz w:val="16"/>
        </w:rPr>
        <w:t>7.0</w:t>
      </w:r>
    </w:p>
    <w:p>
      <w:pPr>
        <w:spacing w:before="98"/>
        <w:ind w:left="0" w:right="0" w:firstLine="0"/>
        <w:jc w:val="right"/>
        <w:rPr>
          <w:sz w:val="16"/>
        </w:rPr>
      </w:pPr>
      <w:r>
        <w:rPr>
          <w:color w:val="585858"/>
          <w:spacing w:val="-1"/>
          <w:sz w:val="16"/>
        </w:rPr>
        <w:t>6.0</w:t>
      </w:r>
    </w:p>
    <w:p>
      <w:pPr>
        <w:spacing w:before="99"/>
        <w:ind w:left="0" w:right="0" w:firstLine="0"/>
        <w:jc w:val="right"/>
        <w:rPr>
          <w:sz w:val="16"/>
        </w:rPr>
      </w:pPr>
      <w:r>
        <w:rPr/>
        <w:pict>
          <v:shape style="position:absolute;margin-left:90.523453pt;margin-top:6.133337pt;width:10.95pt;height:35.9pt;mso-position-horizontal-relative:page;mso-position-vertical-relative:paragraph;z-index:251704320" type="#_x0000_t202" filled="false" stroked="false">
            <v:textbox inset="0,0,0,0" style="layout-flow:vertical;mso-layout-flow-alt:bottom-to-top">
              <w:txbxContent>
                <w:p>
                  <w:pPr>
                    <w:spacing w:before="14"/>
                    <w:ind w:left="20" w:right="0" w:firstLine="0"/>
                    <w:jc w:val="left"/>
                    <w:rPr>
                      <w:sz w:val="16"/>
                    </w:rPr>
                  </w:pPr>
                  <w:r>
                    <w:rPr>
                      <w:sz w:val="16"/>
                    </w:rPr>
                    <w:t>Porcentaje</w:t>
                  </w:r>
                </w:p>
              </w:txbxContent>
            </v:textbox>
            <w10:wrap type="none"/>
          </v:shape>
        </w:pict>
      </w:r>
      <w:r>
        <w:rPr>
          <w:color w:val="585858"/>
          <w:spacing w:val="-1"/>
          <w:sz w:val="16"/>
        </w:rPr>
        <w:t>5.0</w:t>
      </w:r>
    </w:p>
    <w:p>
      <w:pPr>
        <w:spacing w:before="99"/>
        <w:ind w:left="0" w:right="0" w:firstLine="0"/>
        <w:jc w:val="right"/>
        <w:rPr>
          <w:sz w:val="16"/>
        </w:rPr>
      </w:pPr>
      <w:r>
        <w:rPr>
          <w:color w:val="585858"/>
          <w:spacing w:val="-1"/>
          <w:sz w:val="16"/>
        </w:rPr>
        <w:t>4.0</w:t>
      </w:r>
    </w:p>
    <w:p>
      <w:pPr>
        <w:spacing w:before="99"/>
        <w:ind w:left="0" w:right="0" w:firstLine="0"/>
        <w:jc w:val="right"/>
        <w:rPr>
          <w:sz w:val="16"/>
        </w:rPr>
      </w:pPr>
      <w:r>
        <w:rPr>
          <w:color w:val="585858"/>
          <w:spacing w:val="-1"/>
          <w:sz w:val="16"/>
        </w:rPr>
        <w:t>3.0</w:t>
      </w:r>
    </w:p>
    <w:p>
      <w:pPr>
        <w:spacing w:before="98"/>
        <w:ind w:left="0" w:right="0" w:firstLine="0"/>
        <w:jc w:val="right"/>
        <w:rPr>
          <w:sz w:val="16"/>
        </w:rPr>
      </w:pPr>
      <w:r>
        <w:rPr>
          <w:color w:val="585858"/>
          <w:spacing w:val="-1"/>
          <w:sz w:val="16"/>
        </w:rPr>
        <w:t>2.0</w:t>
      </w:r>
    </w:p>
    <w:p>
      <w:pPr>
        <w:spacing w:before="99"/>
        <w:ind w:left="0" w:right="0" w:firstLine="0"/>
        <w:jc w:val="right"/>
        <w:rPr>
          <w:sz w:val="16"/>
        </w:rPr>
      </w:pPr>
      <w:r>
        <w:rPr>
          <w:color w:val="585858"/>
          <w:spacing w:val="-1"/>
          <w:sz w:val="16"/>
        </w:rPr>
        <w:t>1.0</w:t>
      </w:r>
    </w:p>
    <w:p>
      <w:pPr>
        <w:spacing w:before="99"/>
        <w:ind w:left="0" w:right="77" w:firstLine="0"/>
        <w:jc w:val="right"/>
        <w:rPr>
          <w:sz w:val="16"/>
        </w:rPr>
      </w:pPr>
      <w:r>
        <w:rPr>
          <w:color w:val="585858"/>
          <w:w w:val="100"/>
          <w:sz w:val="16"/>
        </w:rPr>
        <w:t>-</w:t>
      </w:r>
    </w:p>
    <w:p>
      <w:pPr>
        <w:tabs>
          <w:tab w:pos="2759" w:val="left" w:leader="none"/>
        </w:tabs>
        <w:spacing w:before="162"/>
        <w:ind w:left="869" w:right="0" w:firstLine="0"/>
        <w:jc w:val="left"/>
        <w:rPr>
          <w:sz w:val="16"/>
        </w:rPr>
      </w:pPr>
      <w:r>
        <w:rPr/>
        <w:br w:type="column"/>
      </w:r>
      <w:r>
        <w:rPr>
          <w:color w:val="585858"/>
          <w:sz w:val="16"/>
        </w:rPr>
        <w:t>Tasa</w:t>
      </w:r>
      <w:r>
        <w:rPr>
          <w:color w:val="585858"/>
          <w:spacing w:val="-1"/>
          <w:sz w:val="16"/>
        </w:rPr>
        <w:t> </w:t>
      </w:r>
      <w:r>
        <w:rPr>
          <w:color w:val="585858"/>
          <w:sz w:val="16"/>
        </w:rPr>
        <w:t>de</w:t>
      </w:r>
      <w:r>
        <w:rPr>
          <w:color w:val="585858"/>
          <w:spacing w:val="-4"/>
          <w:sz w:val="16"/>
        </w:rPr>
        <w:t> </w:t>
      </w:r>
      <w:r>
        <w:rPr>
          <w:color w:val="585858"/>
          <w:sz w:val="16"/>
        </w:rPr>
        <w:t>desempleo</w:t>
        <w:tab/>
        <w:t>Inflación</w:t>
      </w:r>
    </w:p>
    <w:p>
      <w:pPr>
        <w:spacing w:before="31"/>
        <w:ind w:left="3296" w:right="0" w:firstLine="0"/>
        <w:jc w:val="left"/>
        <w:rPr>
          <w:b/>
          <w:sz w:val="18"/>
        </w:rPr>
      </w:pPr>
      <w:r>
        <w:rPr/>
        <w:pict>
          <v:group style="position:absolute;margin-left:140.880005pt;margin-top:12.492356pt;width:145pt;height:69.6pt;mso-position-horizontal-relative:page;mso-position-vertical-relative:paragraph;z-index:251698176" coordorigin="2818,250" coordsize="2900,1392">
            <v:shape style="position:absolute;left:2840;top:1100;width:2854;height:314" coordorigin="2840,1101" coordsize="2854,314" path="m2840,1385l2920,1389,2999,1393,3078,1398,3157,1402,3237,1407,3316,1410,3395,1413,3475,1414,3554,1414,3633,1413,3712,1413,3792,1412,3871,1410,3950,1406,4029,1401,4109,1392,4188,1381,4267,1366,4339,1347,4410,1322,4481,1293,4553,1262,4624,1229,4695,1197,4767,1167,4838,1141,4909,1121,4981,1107,5060,1101,5139,1101,5218,1108,5298,1118,5377,1131,5456,1145,5535,1159,5615,1172,5694,1182e" filled="false" stroked="true" strokeweight="2.280pt" strokecolor="#538235">
              <v:path arrowok="t"/>
              <v:stroke dashstyle="solid"/>
            </v:shape>
            <v:shape style="position:absolute;left:2840;top:272;width:2854;height:1346" coordorigin="2840,273" coordsize="2854,1346" path="m2840,437l2905,487,2970,537,3035,587,3100,637,3165,686,3230,736,3294,786,3359,836,3424,886,3489,937,3554,987,3613,1036,3673,1088,3732,1143,3792,1199,3851,1255,3911,1311,3970,1364,4029,1413,4089,1458,4148,1497,4208,1530,4267,1554,4339,1577,4410,1596,4481,1610,4553,1618,4624,1618,4695,1610,4767,1592,4838,1562,4909,1520,4981,1463,5060,1379,5100,1328,5139,1272,5179,1212,5218,1148,5258,1080,5298,1009,5337,937,5377,862,5417,786,5456,710,5496,634,5535,558,5575,484,5615,411,5654,340,5694,273e" filled="false" stroked="true" strokeweight="2.280pt" strokecolor="#001f5f">
              <v:path arrowok="t"/>
              <v:stroke dashstyle="solid"/>
            </v:shape>
            <w10:wrap type="none"/>
          </v:group>
        </w:pict>
      </w:r>
      <w:r>
        <w:rPr/>
        <w:pict>
          <v:line style="position:absolute;mso-position-horizontal-relative:page;mso-position-vertical-relative:paragraph;z-index:251699200" from="139.740005pt,-4.247644pt" to="158.940005pt,-4.247644pt" stroked="true" strokeweight="2.280pt" strokecolor="#538235">
            <v:stroke dashstyle="solid"/>
            <w10:wrap type="none"/>
          </v:line>
        </w:pict>
      </w:r>
      <w:r>
        <w:rPr/>
        <w:pict>
          <v:line style="position:absolute;mso-position-horizontal-relative:page;mso-position-vertical-relative:paragraph;z-index:-281619456" from="234.179993pt,-4.247644pt" to="253.379993pt,-4.247644pt" stroked="true" strokeweight="2.280pt" strokecolor="#001f5f">
            <v:stroke dashstyle="solid"/>
            <w10:wrap type="none"/>
          </v:line>
        </w:pict>
      </w:r>
      <w:r>
        <w:rPr>
          <w:b/>
          <w:color w:val="001F5F"/>
          <w:sz w:val="18"/>
        </w:rPr>
        <w:t>7.4</w:t>
      </w:r>
    </w:p>
    <w:p>
      <w:pPr>
        <w:pStyle w:val="BodyText"/>
        <w:rPr>
          <w:b/>
          <w:sz w:val="20"/>
        </w:rPr>
      </w:pPr>
    </w:p>
    <w:p>
      <w:pPr>
        <w:pStyle w:val="BodyText"/>
        <w:rPr>
          <w:b/>
          <w:sz w:val="20"/>
        </w:rPr>
      </w:pPr>
    </w:p>
    <w:p>
      <w:pPr>
        <w:pStyle w:val="BodyText"/>
        <w:rPr>
          <w:b/>
          <w:sz w:val="20"/>
        </w:rPr>
      </w:pPr>
    </w:p>
    <w:p>
      <w:pPr>
        <w:pStyle w:val="BodyText"/>
        <w:spacing w:before="7"/>
        <w:rPr>
          <w:b/>
          <w:sz w:val="16"/>
        </w:rPr>
      </w:pPr>
    </w:p>
    <w:p>
      <w:pPr>
        <w:spacing w:before="1"/>
        <w:ind w:left="0" w:right="0" w:firstLine="0"/>
        <w:jc w:val="right"/>
        <w:rPr>
          <w:b/>
          <w:sz w:val="18"/>
        </w:rPr>
      </w:pPr>
      <w:r>
        <w:rPr>
          <w:b/>
          <w:color w:val="538235"/>
          <w:sz w:val="18"/>
        </w:rPr>
        <w:t>4.1</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6"/>
        </w:rPr>
      </w:pPr>
    </w:p>
    <w:p>
      <w:pPr>
        <w:tabs>
          <w:tab w:pos="1045" w:val="left" w:leader="none"/>
          <w:tab w:pos="1757" w:val="left" w:leader="none"/>
          <w:tab w:pos="2471" w:val="left" w:leader="none"/>
          <w:tab w:pos="3184" w:val="left" w:leader="none"/>
        </w:tabs>
        <w:spacing w:before="0"/>
        <w:ind w:left="331" w:right="0" w:firstLine="0"/>
        <w:jc w:val="left"/>
        <w:rPr>
          <w:sz w:val="16"/>
        </w:rPr>
      </w:pPr>
      <w:r>
        <w:rPr/>
        <w:pict>
          <v:shape style="position:absolute;margin-left:0pt;margin-top:369.578735pt;width:178.35pt;height:2.4pt;mso-position-horizontal-relative:page;mso-position-vertical-relative:paragraph;z-index:251697152" coordorigin="0,7392" coordsize="3567,48" path="m2484,-89l6050,-89m2484,-89l2484,-41m3197,-89l3197,-41m3910,-89l3910,-41m4625,-89l4625,-41m5338,-89l5338,-41m6050,-89l6050,-41e" filled="false" stroked="true" strokeweight=".72pt" strokecolor="#d9d9d9">
            <v:path arrowok="t"/>
            <v:stroke dashstyle="solid"/>
            <w10:wrap type="none"/>
          </v:shape>
        </w:pict>
      </w:r>
      <w:r>
        <w:rPr>
          <w:color w:val="585858"/>
          <w:sz w:val="16"/>
        </w:rPr>
        <w:t>2017</w:t>
        <w:tab/>
        <w:t>2018</w:t>
        <w:tab/>
        <w:t>2019</w:t>
        <w:tab/>
        <w:t>2020</w:t>
        <w:tab/>
        <w:t>2021</w:t>
      </w:r>
    </w:p>
    <w:p>
      <w:pPr>
        <w:spacing w:before="97"/>
        <w:ind w:left="421" w:right="0" w:firstLine="0"/>
        <w:jc w:val="left"/>
        <w:rPr>
          <w:sz w:val="16"/>
        </w:rPr>
      </w:pPr>
      <w:r>
        <w:rPr/>
        <w:br w:type="column"/>
      </w:r>
      <w:r>
        <w:rPr>
          <w:color w:val="585858"/>
          <w:sz w:val="16"/>
        </w:rPr>
        <w:t>0.60</w:t>
      </w:r>
    </w:p>
    <w:p>
      <w:pPr>
        <w:pStyle w:val="BodyText"/>
        <w:spacing w:before="1"/>
        <w:rPr>
          <w:sz w:val="18"/>
        </w:rPr>
      </w:pPr>
    </w:p>
    <w:p>
      <w:pPr>
        <w:spacing w:before="0"/>
        <w:ind w:left="421" w:right="0" w:firstLine="0"/>
        <w:jc w:val="left"/>
        <w:rPr>
          <w:sz w:val="16"/>
        </w:rPr>
      </w:pPr>
      <w:r>
        <w:rPr/>
        <w:pict>
          <v:shape style="position:absolute;margin-left:310.795441pt;margin-top:9.247662pt;width:10.95pt;height:70.05pt;mso-position-horizontal-relative:page;mso-position-vertical-relative:paragraph;z-index:251705344" type="#_x0000_t202" filled="false" stroked="false">
            <v:textbox inset="0,0,0,0" style="layout-flow:vertical;mso-layout-flow-alt:bottom-to-top">
              <w:txbxContent>
                <w:p>
                  <w:pPr>
                    <w:spacing w:before="14"/>
                    <w:ind w:left="20" w:right="0" w:firstLine="0"/>
                    <w:jc w:val="left"/>
                    <w:rPr>
                      <w:sz w:val="16"/>
                    </w:rPr>
                  </w:pPr>
                  <w:r>
                    <w:rPr>
                      <w:sz w:val="16"/>
                    </w:rPr>
                    <w:t>Millones de personas</w:t>
                  </w:r>
                </w:p>
              </w:txbxContent>
            </v:textbox>
            <w10:wrap type="none"/>
          </v:shape>
        </w:pict>
      </w:r>
      <w:r>
        <w:rPr>
          <w:color w:val="585858"/>
          <w:sz w:val="16"/>
        </w:rPr>
        <w:t>0.50</w:t>
      </w:r>
    </w:p>
    <w:p>
      <w:pPr>
        <w:pStyle w:val="BodyText"/>
        <w:rPr>
          <w:sz w:val="18"/>
        </w:rPr>
      </w:pPr>
    </w:p>
    <w:p>
      <w:pPr>
        <w:spacing w:before="0"/>
        <w:ind w:left="421" w:right="0" w:firstLine="0"/>
        <w:jc w:val="left"/>
        <w:rPr>
          <w:sz w:val="16"/>
        </w:rPr>
      </w:pPr>
      <w:r>
        <w:rPr>
          <w:color w:val="585858"/>
          <w:sz w:val="16"/>
        </w:rPr>
        <w:t>0.40</w:t>
      </w:r>
    </w:p>
    <w:p>
      <w:pPr>
        <w:pStyle w:val="BodyText"/>
        <w:spacing w:before="1"/>
        <w:rPr>
          <w:sz w:val="18"/>
        </w:rPr>
      </w:pPr>
    </w:p>
    <w:p>
      <w:pPr>
        <w:spacing w:before="0"/>
        <w:ind w:left="421" w:right="0" w:firstLine="0"/>
        <w:jc w:val="left"/>
        <w:rPr>
          <w:sz w:val="16"/>
        </w:rPr>
      </w:pPr>
      <w:r>
        <w:rPr>
          <w:color w:val="585858"/>
          <w:sz w:val="16"/>
        </w:rPr>
        <w:t>0.30</w:t>
      </w:r>
    </w:p>
    <w:p>
      <w:pPr>
        <w:pStyle w:val="BodyText"/>
        <w:rPr>
          <w:sz w:val="18"/>
        </w:rPr>
      </w:pPr>
    </w:p>
    <w:p>
      <w:pPr>
        <w:spacing w:before="0"/>
        <w:ind w:left="421" w:right="0" w:firstLine="0"/>
        <w:jc w:val="left"/>
        <w:rPr>
          <w:sz w:val="16"/>
        </w:rPr>
      </w:pPr>
      <w:r>
        <w:rPr>
          <w:color w:val="585858"/>
          <w:sz w:val="16"/>
        </w:rPr>
        <w:t>0.20</w:t>
      </w:r>
    </w:p>
    <w:p>
      <w:pPr>
        <w:pStyle w:val="BodyText"/>
        <w:spacing w:before="1"/>
        <w:rPr>
          <w:sz w:val="18"/>
        </w:rPr>
      </w:pPr>
    </w:p>
    <w:p>
      <w:pPr>
        <w:spacing w:before="0"/>
        <w:ind w:left="421" w:right="0" w:firstLine="0"/>
        <w:jc w:val="left"/>
        <w:rPr>
          <w:sz w:val="16"/>
        </w:rPr>
      </w:pPr>
      <w:r>
        <w:rPr>
          <w:color w:val="585858"/>
          <w:sz w:val="16"/>
        </w:rPr>
        <w:t>0.10</w:t>
      </w:r>
    </w:p>
    <w:p>
      <w:pPr>
        <w:pStyle w:val="BodyText"/>
        <w:rPr>
          <w:sz w:val="18"/>
        </w:rPr>
      </w:pPr>
    </w:p>
    <w:p>
      <w:pPr>
        <w:spacing w:before="0"/>
        <w:ind w:left="421" w:right="0" w:firstLine="0"/>
        <w:jc w:val="left"/>
        <w:rPr>
          <w:sz w:val="16"/>
        </w:rPr>
      </w:pPr>
      <w:r>
        <w:rPr>
          <w:color w:val="585858"/>
          <w:sz w:val="16"/>
        </w:rPr>
        <w:t>0.00</w:t>
      </w:r>
    </w:p>
    <w:p>
      <w:pPr>
        <w:spacing w:before="94"/>
        <w:ind w:left="969" w:right="-10" w:firstLine="0"/>
        <w:jc w:val="left"/>
        <w:rPr>
          <w:sz w:val="16"/>
        </w:rPr>
      </w:pPr>
      <w:r>
        <w:rPr/>
        <w:br w:type="column"/>
      </w:r>
      <w:r>
        <w:rPr>
          <w:color w:val="585858"/>
          <w:sz w:val="16"/>
        </w:rPr>
        <w:t>Población vacunada</w:t>
      </w:r>
      <w:r>
        <w:rPr>
          <w:color w:val="585858"/>
          <w:spacing w:val="-11"/>
          <w:sz w:val="16"/>
        </w:rPr>
        <w:t> </w:t>
      </w:r>
      <w:r>
        <w:rPr>
          <w:color w:val="585858"/>
          <w:sz w:val="16"/>
        </w:rPr>
        <w:t>(%) Casos</w:t>
      </w:r>
      <w:r>
        <w:rPr>
          <w:color w:val="585858"/>
          <w:spacing w:val="-1"/>
          <w:sz w:val="16"/>
        </w:rPr>
        <w:t> </w:t>
      </w:r>
      <w:r>
        <w:rPr>
          <w:color w:val="585858"/>
          <w:sz w:val="16"/>
        </w:rPr>
        <w:t>nuevos</w:t>
      </w:r>
    </w:p>
    <w:p>
      <w:pPr>
        <w:spacing w:before="97"/>
        <w:ind w:left="560" w:right="0" w:firstLine="0"/>
        <w:jc w:val="left"/>
        <w:rPr>
          <w:sz w:val="16"/>
        </w:rPr>
      </w:pPr>
      <w:r>
        <w:rPr/>
        <w:br w:type="column"/>
      </w:r>
      <w:r>
        <w:rPr>
          <w:color w:val="585858"/>
          <w:sz w:val="16"/>
        </w:rPr>
        <w:t>100</w:t>
      </w:r>
    </w:p>
    <w:p>
      <w:pPr>
        <w:spacing w:before="52"/>
        <w:ind w:left="560" w:right="0" w:firstLine="0"/>
        <w:jc w:val="left"/>
        <w:rPr>
          <w:sz w:val="16"/>
        </w:rPr>
      </w:pPr>
      <w:r>
        <w:rPr/>
        <w:pict>
          <v:shape style="position:absolute;margin-left:516.495422pt;margin-top:-1.062959pt;width:10.95pt;height:130pt;mso-position-horizontal-relative:page;mso-position-vertical-relative:paragraph;z-index:251707392" type="#_x0000_t202" filled="false" stroked="false">
            <v:textbox inset="0,0,0,0" style="layout-flow:vertical;mso-layout-flow-alt:bottom-to-top">
              <w:txbxContent>
                <w:p>
                  <w:pPr>
                    <w:spacing w:before="14"/>
                    <w:ind w:left="20" w:right="0" w:firstLine="0"/>
                    <w:jc w:val="left"/>
                    <w:rPr>
                      <w:sz w:val="16"/>
                    </w:rPr>
                  </w:pPr>
                  <w:r>
                    <w:rPr>
                      <w:color w:val="585858"/>
                      <w:sz w:val="16"/>
                    </w:rPr>
                    <w:t>Población vacunada esquema completo</w:t>
                  </w:r>
                </w:p>
              </w:txbxContent>
            </v:textbox>
            <w10:wrap type="none"/>
          </v:shape>
        </w:pict>
      </w:r>
      <w:r>
        <w:rPr>
          <w:color w:val="585858"/>
          <w:sz w:val="16"/>
        </w:rPr>
        <w:t>90</w:t>
      </w:r>
    </w:p>
    <w:p>
      <w:pPr>
        <w:spacing w:before="50"/>
        <w:ind w:left="560" w:right="0" w:firstLine="0"/>
        <w:jc w:val="left"/>
        <w:rPr>
          <w:sz w:val="16"/>
        </w:rPr>
      </w:pPr>
      <w:r>
        <w:rPr/>
        <w:pict>
          <v:group style="position:absolute;margin-left:343.5pt;margin-top:1.868765pt;width:154.9pt;height:101.95pt;mso-position-horizontal-relative:page;mso-position-vertical-relative:paragraph;z-index:251701248" coordorigin="6870,37" coordsize="3098,2039">
            <v:shape style="position:absolute;left:8395;top:1893;width:468;height:135" coordorigin="8395,1893" coordsize="468,135" path="m8462,2025l8395,2025,8395,2028,8462,2028,8462,2025m8594,2018l8527,2018,8527,2028,8594,2028,8594,2018m8729,2011l8662,2011,8662,2028,8729,2028,8729,2011m8863,1893l8796,1893,8796,2028,8863,2028,8863,1893e" filled="true" fillcolor="#a6a6a6" stroked="false">
              <v:path arrowok="t"/>
              <v:fill type="solid"/>
            </v:shape>
            <v:shape style="position:absolute;left:8964;top:1564;width:267;height:464" coordorigin="8964,1565" coordsize="267,464" path="m8964,1805l8964,2028m9096,1675l9096,2028m9230,1565l9230,2028e" filled="false" stroked="true" strokeweight="3.36pt" strokecolor="#a6a6a6">
              <v:path arrowok="t"/>
              <v:stroke dashstyle="solid"/>
            </v:shape>
            <v:line style="position:absolute" from="9365,1416" to="9365,2028" stroked="true" strokeweight="3.36pt" strokecolor="#a6a6a6">
              <v:stroke dashstyle="solid"/>
            </v:line>
            <v:line style="position:absolute" from="9498,1207" to="9498,2028" stroked="true" strokeweight="3.24pt" strokecolor="#a6a6a6">
              <v:stroke dashstyle="solid"/>
            </v:line>
            <v:line style="position:absolute" from="9631,936" to="9631,2028" stroked="true" strokeweight="3.36pt" strokecolor="#a6a6a6">
              <v:stroke dashstyle="solid"/>
            </v:line>
            <v:line style="position:absolute" from="9766,857" to="9766,2028" stroked="true" strokeweight="3.36pt" strokecolor="#a6a6a6">
              <v:stroke dashstyle="solid"/>
            </v:line>
            <v:line style="position:absolute" from="9900,717" to="9900,2028" stroked="true" strokeweight="3.36pt" strokecolor="#a6a6a6">
              <v:stroke dashstyle="solid"/>
            </v:line>
            <v:shape style="position:absolute;left:0;top:9662;width:3077;height:48" coordorigin="0,9662" coordsize="3077,48" path="m6890,2028l9967,2028m6890,2028l6890,2076m7157,2028l7157,2076m7426,2028l7426,2076m7692,2028l7692,2076m7961,2028l7961,2076m8227,2028l8227,2076m8494,2028l8494,2076m8762,2028l8762,2076m9029,2028l9029,2076m9298,2028l9298,2076m9564,2028l9564,2076m9833,2028l9833,2076e" filled="false" stroked="true" strokeweight=".72pt" strokecolor="#d9d9d9">
              <v:path arrowok="t"/>
              <v:stroke dashstyle="solid"/>
            </v:shape>
            <v:shape style="position:absolute;left:6888;top:55;width:3011;height:1976" coordorigin="6888,55" coordsize="3011,1976" path="m6888,2029l6889,2029,6922,2030,6956,2029,6989,2030,7023,2031,7056,2030,7090,2024,7157,2004,7223,1959,7290,1866,7324,1808,7357,1750,7390,1690,7424,1627,7457,1562,7491,1499,7524,1429,7558,1354,7591,1290,7625,1252,7658,1250,7692,1275,7725,1311,7758,1344,7792,1379,7825,1421,7859,1455,7892,1467,7926,1446,7959,1402,7993,1353,8026,1318,8056,1313,8093,1319,8130,1318,8182,1237,8204,1163,8227,1077,8249,985,8271,892,8294,806,8310,735,8327,652,8344,563,8360,477,8377,401,8394,343,8410,311,8427,314,8452,394,8464,463,8476,546,8488,639,8500,737,8512,836,8525,932,8537,1020,8549,1097,8561,1157,8592,1255,8628,1329,8664,1386,8695,1434,8728,1487,8762,1533,8795,1574,8829,1615,8862,1660,8896,1707,8929,1744,8962,1759,8990,1750,9068,1678,9096,1616,9121,1499,9133,1425,9145,1344,9157,1257,9169,1167,9181,1076,9194,986,9206,899,9218,816,9230,741,9245,649,9260,548,9275,445,9289,345,9304,251,9319,170,9334,107,9364,55,9377,73,9404,178,9417,257,9431,348,9444,445,9457,544,9471,641,9484,730,9497,808,9514,898,9531,990,9548,1081,9564,1170,9581,1255,9598,1335,9614,1407,9631,1469,9664,1564,9698,1639,9733,1694,9798,1732,9832,1712,9865,1682,9899,1657e" filled="false" stroked="true" strokeweight="1.8pt" strokecolor="#c00000">
              <v:path arrowok="t"/>
              <v:stroke dashstyle="solid"/>
            </v:shape>
            <w10:wrap type="none"/>
          </v:group>
        </w:pict>
      </w:r>
      <w:r>
        <w:rPr>
          <w:color w:val="585858"/>
          <w:sz w:val="16"/>
        </w:rPr>
        <w:t>80</w:t>
      </w:r>
    </w:p>
    <w:p>
      <w:pPr>
        <w:spacing w:before="51"/>
        <w:ind w:left="560" w:right="0" w:firstLine="0"/>
        <w:jc w:val="left"/>
        <w:rPr>
          <w:sz w:val="16"/>
        </w:rPr>
      </w:pPr>
      <w:r>
        <w:rPr>
          <w:color w:val="585858"/>
          <w:sz w:val="16"/>
        </w:rPr>
        <w:t>70</w:t>
      </w:r>
    </w:p>
    <w:p>
      <w:pPr>
        <w:spacing w:before="51"/>
        <w:ind w:left="560" w:right="0" w:firstLine="0"/>
        <w:jc w:val="left"/>
        <w:rPr>
          <w:sz w:val="16"/>
        </w:rPr>
      </w:pPr>
      <w:r>
        <w:rPr>
          <w:color w:val="585858"/>
          <w:sz w:val="16"/>
        </w:rPr>
        <w:t>60</w:t>
      </w:r>
    </w:p>
    <w:p>
      <w:pPr>
        <w:spacing w:before="51"/>
        <w:ind w:left="560" w:right="0" w:firstLine="0"/>
        <w:jc w:val="left"/>
        <w:rPr>
          <w:sz w:val="16"/>
        </w:rPr>
      </w:pPr>
      <w:r>
        <w:rPr>
          <w:color w:val="585858"/>
          <w:sz w:val="16"/>
        </w:rPr>
        <w:t>50</w:t>
      </w:r>
    </w:p>
    <w:p>
      <w:pPr>
        <w:spacing w:before="51"/>
        <w:ind w:left="560" w:right="0" w:firstLine="0"/>
        <w:jc w:val="left"/>
        <w:rPr>
          <w:sz w:val="16"/>
        </w:rPr>
      </w:pPr>
      <w:r>
        <w:rPr>
          <w:color w:val="585858"/>
          <w:sz w:val="16"/>
        </w:rPr>
        <w:t>40</w:t>
      </w:r>
    </w:p>
    <w:p>
      <w:pPr>
        <w:spacing w:before="51"/>
        <w:ind w:left="560" w:right="0" w:firstLine="0"/>
        <w:jc w:val="left"/>
        <w:rPr>
          <w:sz w:val="16"/>
        </w:rPr>
      </w:pPr>
      <w:r>
        <w:rPr>
          <w:color w:val="585858"/>
          <w:sz w:val="16"/>
        </w:rPr>
        <w:t>30</w:t>
      </w:r>
    </w:p>
    <w:p>
      <w:pPr>
        <w:spacing w:before="51"/>
        <w:ind w:left="560" w:right="0" w:firstLine="0"/>
        <w:jc w:val="left"/>
        <w:rPr>
          <w:sz w:val="16"/>
        </w:rPr>
      </w:pPr>
      <w:r>
        <w:rPr>
          <w:color w:val="585858"/>
          <w:sz w:val="16"/>
        </w:rPr>
        <w:t>20</w:t>
      </w:r>
    </w:p>
    <w:p>
      <w:pPr>
        <w:spacing w:before="50"/>
        <w:ind w:left="560" w:right="0" w:firstLine="0"/>
        <w:jc w:val="left"/>
        <w:rPr>
          <w:sz w:val="16"/>
        </w:rPr>
      </w:pPr>
      <w:r>
        <w:rPr>
          <w:color w:val="585858"/>
          <w:sz w:val="16"/>
        </w:rPr>
        <w:t>10</w:t>
      </w:r>
    </w:p>
    <w:p>
      <w:pPr>
        <w:spacing w:before="51"/>
        <w:ind w:left="560" w:right="0" w:firstLine="0"/>
        <w:jc w:val="left"/>
        <w:rPr>
          <w:sz w:val="16"/>
        </w:rPr>
      </w:pPr>
      <w:r>
        <w:rPr/>
        <w:pict>
          <v:shape style="position:absolute;margin-left:342.355438pt;margin-top:11.300617pt;width:158.1pt;height:24.25pt;mso-position-horizontal-relative:page;mso-position-vertical-relative:paragraph;z-index:251706368" type="#_x0000_t202" filled="false" stroked="false">
            <v:textbox inset="0,0,0,0" style="layout-flow:vertical;mso-layout-flow-alt:bottom-to-top">
              <w:txbxContent>
                <w:p>
                  <w:pPr>
                    <w:spacing w:line="348" w:lineRule="auto" w:before="14"/>
                    <w:ind w:left="20" w:right="18" w:firstLine="26"/>
                    <w:jc w:val="both"/>
                    <w:rPr>
                      <w:sz w:val="16"/>
                    </w:rPr>
                  </w:pPr>
                  <w:r>
                    <w:rPr>
                      <w:color w:val="585858"/>
                      <w:spacing w:val="-1"/>
                      <w:sz w:val="16"/>
                    </w:rPr>
                    <w:t>feb-20 </w:t>
                  </w:r>
                  <w:r>
                    <w:rPr>
                      <w:color w:val="585858"/>
                      <w:sz w:val="16"/>
                    </w:rPr>
                    <w:t>abr-20 jun-20 </w:t>
                  </w:r>
                  <w:r>
                    <w:rPr>
                      <w:color w:val="585858"/>
                      <w:spacing w:val="-1"/>
                      <w:sz w:val="16"/>
                    </w:rPr>
                    <w:t>ago-20 </w:t>
                  </w:r>
                  <w:r>
                    <w:rPr>
                      <w:color w:val="585858"/>
                      <w:sz w:val="16"/>
                    </w:rPr>
                    <w:t>oct-20 dic-20 feb-21 abr-21 jun-21 </w:t>
                  </w:r>
                  <w:r>
                    <w:rPr>
                      <w:color w:val="585858"/>
                      <w:spacing w:val="-1"/>
                      <w:sz w:val="16"/>
                    </w:rPr>
                    <w:t>ago-21 </w:t>
                  </w:r>
                  <w:r>
                    <w:rPr>
                      <w:color w:val="585858"/>
                      <w:sz w:val="16"/>
                    </w:rPr>
                    <w:t>oct-21</w:t>
                  </w:r>
                </w:p>
                <w:p>
                  <w:pPr>
                    <w:spacing w:before="9"/>
                    <w:ind w:left="55" w:right="0" w:firstLine="0"/>
                    <w:jc w:val="left"/>
                    <w:rPr>
                      <w:sz w:val="16"/>
                    </w:rPr>
                  </w:pPr>
                  <w:r>
                    <w:rPr>
                      <w:color w:val="585858"/>
                      <w:sz w:val="16"/>
                    </w:rPr>
                    <w:t>dic-21</w:t>
                  </w:r>
                </w:p>
              </w:txbxContent>
            </v:textbox>
            <w10:wrap type="none"/>
          </v:shape>
        </w:pict>
      </w:r>
      <w:r>
        <w:rPr>
          <w:color w:val="585858"/>
          <w:w w:val="100"/>
          <w:sz w:val="16"/>
        </w:rPr>
        <w:t>0</w:t>
      </w:r>
    </w:p>
    <w:p>
      <w:pPr>
        <w:spacing w:after="0"/>
        <w:jc w:val="left"/>
        <w:rPr>
          <w:sz w:val="16"/>
        </w:rPr>
        <w:sectPr>
          <w:type w:val="continuous"/>
          <w:pgSz w:w="12240" w:h="15840"/>
          <w:pgMar w:top="1500" w:bottom="280" w:left="1140" w:right="0"/>
          <w:cols w:num="5" w:equalWidth="0">
            <w:col w:w="1170" w:space="40"/>
            <w:col w:w="3663" w:space="39"/>
            <w:col w:w="741" w:space="179"/>
            <w:col w:w="2532" w:space="40"/>
            <w:col w:w="2696"/>
          </w:cols>
        </w:sectPr>
      </w:pPr>
    </w:p>
    <w:p>
      <w:pPr>
        <w:spacing w:before="138"/>
        <w:ind w:left="1099" w:right="0" w:firstLine="0"/>
        <w:jc w:val="left"/>
        <w:rPr>
          <w:sz w:val="16"/>
        </w:rPr>
      </w:pPr>
      <w:r>
        <w:rPr>
          <w:sz w:val="16"/>
        </w:rPr>
        <w:t>Fuente: FMI, WEO abril 2022</w:t>
      </w:r>
    </w:p>
    <w:p>
      <w:pPr>
        <w:pStyle w:val="BodyText"/>
        <w:spacing w:before="1"/>
        <w:rPr>
          <w:sz w:val="15"/>
        </w:rPr>
      </w:pPr>
      <w:r>
        <w:rPr/>
        <w:br w:type="column"/>
      </w:r>
      <w:r>
        <w:rPr>
          <w:sz w:val="15"/>
        </w:rPr>
      </w:r>
    </w:p>
    <w:p>
      <w:pPr>
        <w:spacing w:before="1"/>
        <w:ind w:left="1099" w:right="0" w:firstLine="0"/>
        <w:jc w:val="left"/>
        <w:rPr>
          <w:sz w:val="16"/>
        </w:rPr>
      </w:pPr>
      <w:r>
        <w:rPr>
          <w:sz w:val="16"/>
        </w:rPr>
        <w:t>Fuente: Our World in Data</w:t>
      </w:r>
    </w:p>
    <w:p>
      <w:pPr>
        <w:spacing w:after="0"/>
        <w:jc w:val="left"/>
        <w:rPr>
          <w:sz w:val="16"/>
        </w:rPr>
        <w:sectPr>
          <w:type w:val="continuous"/>
          <w:pgSz w:w="12240" w:h="15840"/>
          <w:pgMar w:top="1500" w:bottom="280" w:left="1140" w:right="0"/>
          <w:cols w:num="2" w:equalWidth="0">
            <w:col w:w="3086" w:space="1104"/>
            <w:col w:w="6910"/>
          </w:cols>
        </w:sectPr>
      </w:pPr>
    </w:p>
    <w:p>
      <w:pPr>
        <w:pStyle w:val="BodyText"/>
        <w:spacing w:before="10"/>
        <w:rPr>
          <w:sz w:val="26"/>
        </w:rPr>
      </w:pPr>
    </w:p>
    <w:p>
      <w:pPr>
        <w:pStyle w:val="Heading2"/>
        <w:numPr>
          <w:ilvl w:val="2"/>
          <w:numId w:val="10"/>
        </w:numPr>
        <w:tabs>
          <w:tab w:pos="1695" w:val="left" w:leader="none"/>
        </w:tabs>
        <w:spacing w:line="240" w:lineRule="auto" w:before="90" w:after="0"/>
        <w:ind w:left="1694" w:right="0" w:hanging="605"/>
        <w:jc w:val="left"/>
      </w:pPr>
      <w:bookmarkStart w:name="_bookmark16" w:id="22"/>
      <w:bookmarkEnd w:id="22"/>
      <w:r>
        <w:rPr>
          <w:b w:val="0"/>
        </w:rPr>
      </w:r>
      <w:bookmarkStart w:name="_bookmark16" w:id="23"/>
      <w:bookmarkEnd w:id="23"/>
      <w:r>
        <w:rPr/>
        <w:t>La</w:t>
      </w:r>
      <w:r>
        <w:rPr/>
        <w:t> economía en la Zona del</w:t>
      </w:r>
      <w:r>
        <w:rPr>
          <w:spacing w:val="1"/>
        </w:rPr>
        <w:t> </w:t>
      </w:r>
      <w:r>
        <w:rPr/>
        <w:t>Euro</w:t>
      </w:r>
    </w:p>
    <w:p>
      <w:pPr>
        <w:pStyle w:val="BodyText"/>
        <w:rPr>
          <w:b/>
          <w:sz w:val="30"/>
        </w:rPr>
      </w:pPr>
    </w:p>
    <w:p>
      <w:pPr>
        <w:pStyle w:val="BodyText"/>
        <w:spacing w:line="276" w:lineRule="auto"/>
        <w:ind w:left="562" w:right="1697"/>
        <w:jc w:val="both"/>
      </w:pPr>
      <w:r>
        <w:rPr/>
        <w:t>El crecimiento económico de la zona del euro fue 5.3% para el año 2021. Esta región ha tenido los mayores avances en la vacunación. Para finales del 2021 contaban con 69.1% de la población vacunada con esquema completo. Sin embargo, algunos países permanecieron con bajos porcentajes de vacunación como el caso de Bulgaria. Lo anterior ayudó para que el consumo privado tuviera un comportamiento dinámico, además, de la recuperación en el mercado laboral. Sin embargo, esta rápida</w:t>
      </w:r>
      <w:r>
        <w:rPr>
          <w:spacing w:val="-14"/>
        </w:rPr>
        <w:t> </w:t>
      </w:r>
      <w:r>
        <w:rPr/>
        <w:t>reanudación</w:t>
      </w:r>
      <w:r>
        <w:rPr>
          <w:spacing w:val="-12"/>
        </w:rPr>
        <w:t> </w:t>
      </w:r>
      <w:r>
        <w:rPr/>
        <w:t>de</w:t>
      </w:r>
      <w:r>
        <w:rPr>
          <w:spacing w:val="-11"/>
        </w:rPr>
        <w:t> </w:t>
      </w:r>
      <w:r>
        <w:rPr/>
        <w:t>la</w:t>
      </w:r>
      <w:r>
        <w:rPr>
          <w:spacing w:val="-11"/>
        </w:rPr>
        <w:t> </w:t>
      </w:r>
      <w:r>
        <w:rPr/>
        <w:t>actividad</w:t>
      </w:r>
      <w:r>
        <w:rPr>
          <w:spacing w:val="-12"/>
        </w:rPr>
        <w:t> </w:t>
      </w:r>
      <w:r>
        <w:rPr/>
        <w:t>económica</w:t>
      </w:r>
      <w:r>
        <w:rPr>
          <w:spacing w:val="-11"/>
        </w:rPr>
        <w:t> </w:t>
      </w:r>
      <w:r>
        <w:rPr/>
        <w:t>produjo</w:t>
      </w:r>
      <w:r>
        <w:rPr>
          <w:spacing w:val="-12"/>
        </w:rPr>
        <w:t> </w:t>
      </w:r>
      <w:r>
        <w:rPr/>
        <w:t>cuellos</w:t>
      </w:r>
      <w:r>
        <w:rPr>
          <w:spacing w:val="-11"/>
        </w:rPr>
        <w:t> </w:t>
      </w:r>
      <w:r>
        <w:rPr/>
        <w:t>de</w:t>
      </w:r>
      <w:r>
        <w:rPr>
          <w:spacing w:val="-11"/>
        </w:rPr>
        <w:t> </w:t>
      </w:r>
      <w:r>
        <w:rPr/>
        <w:t>botella</w:t>
      </w:r>
      <w:r>
        <w:rPr>
          <w:spacing w:val="-14"/>
        </w:rPr>
        <w:t> </w:t>
      </w:r>
      <w:r>
        <w:rPr/>
        <w:t>en</w:t>
      </w:r>
      <w:r>
        <w:rPr>
          <w:spacing w:val="-14"/>
        </w:rPr>
        <w:t> </w:t>
      </w:r>
      <w:r>
        <w:rPr/>
        <w:t>las</w:t>
      </w:r>
      <w:r>
        <w:rPr>
          <w:spacing w:val="-14"/>
        </w:rPr>
        <w:t> </w:t>
      </w:r>
      <w:r>
        <w:rPr/>
        <w:t>cadenas</w:t>
      </w:r>
      <w:r>
        <w:rPr>
          <w:spacing w:val="-11"/>
        </w:rPr>
        <w:t> </w:t>
      </w:r>
      <w:r>
        <w:rPr/>
        <w:t>de</w:t>
      </w:r>
      <w:r>
        <w:rPr>
          <w:spacing w:val="-14"/>
        </w:rPr>
        <w:t> </w:t>
      </w:r>
      <w:r>
        <w:rPr/>
        <w:t>suministro, especialmente en los sectores de transporte y</w:t>
      </w:r>
      <w:r>
        <w:rPr>
          <w:spacing w:val="-10"/>
        </w:rPr>
        <w:t> </w:t>
      </w:r>
      <w:r>
        <w:rPr/>
        <w:t>construcción.</w:t>
      </w:r>
    </w:p>
    <w:p>
      <w:pPr>
        <w:pStyle w:val="BodyText"/>
        <w:spacing w:before="4"/>
        <w:rPr>
          <w:sz w:val="25"/>
        </w:rPr>
      </w:pPr>
    </w:p>
    <w:p>
      <w:pPr>
        <w:pStyle w:val="BodyText"/>
        <w:spacing w:line="276" w:lineRule="auto"/>
        <w:ind w:left="562" w:right="1693"/>
        <w:jc w:val="both"/>
      </w:pPr>
      <w:r>
        <w:rPr/>
        <w:t>Las políticas fiscales en esta región proporcionaron un sustancial apoyo para la actividad económica en 2020 y 2021. Según la Organización para la Cooperación y el Desarrollo Económico (OCDE), estos gobiernos proveyeron estímulos discrecionales por encima de un 2.0% del PIB en 2021. La política</w:t>
      </w:r>
      <w:r>
        <w:rPr>
          <w:spacing w:val="-8"/>
        </w:rPr>
        <w:t> </w:t>
      </w:r>
      <w:r>
        <w:rPr/>
        <w:t>monetaria</w:t>
      </w:r>
      <w:r>
        <w:rPr>
          <w:spacing w:val="-9"/>
        </w:rPr>
        <w:t> </w:t>
      </w:r>
      <w:r>
        <w:rPr/>
        <w:t>acomodaticia</w:t>
      </w:r>
      <w:r>
        <w:rPr>
          <w:spacing w:val="-10"/>
        </w:rPr>
        <w:t> </w:t>
      </w:r>
      <w:r>
        <w:rPr/>
        <w:t>relajó</w:t>
      </w:r>
      <w:r>
        <w:rPr>
          <w:spacing w:val="-10"/>
        </w:rPr>
        <w:t> </w:t>
      </w:r>
      <w:r>
        <w:rPr/>
        <w:t>las</w:t>
      </w:r>
      <w:r>
        <w:rPr>
          <w:spacing w:val="-10"/>
        </w:rPr>
        <w:t> </w:t>
      </w:r>
      <w:r>
        <w:rPr/>
        <w:t>condiciones</w:t>
      </w:r>
      <w:r>
        <w:rPr>
          <w:spacing w:val="-9"/>
        </w:rPr>
        <w:t> </w:t>
      </w:r>
      <w:r>
        <w:rPr/>
        <w:t>financieras</w:t>
      </w:r>
      <w:r>
        <w:rPr>
          <w:spacing w:val="-10"/>
        </w:rPr>
        <w:t> </w:t>
      </w:r>
      <w:r>
        <w:rPr/>
        <w:t>a</w:t>
      </w:r>
      <w:r>
        <w:rPr>
          <w:spacing w:val="-7"/>
        </w:rPr>
        <w:t> </w:t>
      </w:r>
      <w:r>
        <w:rPr/>
        <w:t>lo</w:t>
      </w:r>
      <w:r>
        <w:rPr>
          <w:spacing w:val="-11"/>
        </w:rPr>
        <w:t> </w:t>
      </w:r>
      <w:r>
        <w:rPr/>
        <w:t>largo</w:t>
      </w:r>
      <w:r>
        <w:rPr>
          <w:spacing w:val="-8"/>
        </w:rPr>
        <w:t> </w:t>
      </w:r>
      <w:r>
        <w:rPr/>
        <w:t>del</w:t>
      </w:r>
      <w:r>
        <w:rPr>
          <w:spacing w:val="-10"/>
        </w:rPr>
        <w:t> </w:t>
      </w:r>
      <w:r>
        <w:rPr/>
        <w:t>año,</w:t>
      </w:r>
      <w:r>
        <w:rPr>
          <w:spacing w:val="-8"/>
        </w:rPr>
        <w:t> </w:t>
      </w:r>
      <w:r>
        <w:rPr/>
        <w:t>sin</w:t>
      </w:r>
      <w:r>
        <w:rPr>
          <w:spacing w:val="-9"/>
        </w:rPr>
        <w:t> </w:t>
      </w:r>
      <w:r>
        <w:rPr/>
        <w:t>embargo,</w:t>
      </w:r>
      <w:r>
        <w:rPr>
          <w:spacing w:val="-8"/>
        </w:rPr>
        <w:t> </w:t>
      </w:r>
      <w:r>
        <w:rPr/>
        <w:t>las presiones</w:t>
      </w:r>
      <w:r>
        <w:rPr>
          <w:spacing w:val="-7"/>
        </w:rPr>
        <w:t> </w:t>
      </w:r>
      <w:r>
        <w:rPr/>
        <w:t>inflacionarias</w:t>
      </w:r>
      <w:r>
        <w:rPr>
          <w:spacing w:val="-8"/>
        </w:rPr>
        <w:t> </w:t>
      </w:r>
      <w:r>
        <w:rPr/>
        <w:t>influyeron</w:t>
      </w:r>
      <w:r>
        <w:rPr>
          <w:spacing w:val="-7"/>
        </w:rPr>
        <w:t> </w:t>
      </w:r>
      <w:r>
        <w:rPr/>
        <w:t>a</w:t>
      </w:r>
      <w:r>
        <w:rPr>
          <w:spacing w:val="-6"/>
        </w:rPr>
        <w:t> </w:t>
      </w:r>
      <w:r>
        <w:rPr/>
        <w:t>muchos</w:t>
      </w:r>
      <w:r>
        <w:rPr>
          <w:spacing w:val="-6"/>
        </w:rPr>
        <w:t> </w:t>
      </w:r>
      <w:r>
        <w:rPr/>
        <w:t>países</w:t>
      </w:r>
      <w:r>
        <w:rPr>
          <w:spacing w:val="-6"/>
        </w:rPr>
        <w:t> </w:t>
      </w:r>
      <w:r>
        <w:rPr/>
        <w:t>de</w:t>
      </w:r>
      <w:r>
        <w:rPr>
          <w:spacing w:val="-9"/>
        </w:rPr>
        <w:t> </w:t>
      </w:r>
      <w:r>
        <w:rPr/>
        <w:t>esta</w:t>
      </w:r>
      <w:r>
        <w:rPr>
          <w:spacing w:val="-8"/>
        </w:rPr>
        <w:t> </w:t>
      </w:r>
      <w:r>
        <w:rPr/>
        <w:t>región</w:t>
      </w:r>
      <w:r>
        <w:rPr>
          <w:spacing w:val="-10"/>
        </w:rPr>
        <w:t> </w:t>
      </w:r>
      <w:r>
        <w:rPr/>
        <w:t>a</w:t>
      </w:r>
      <w:r>
        <w:rPr>
          <w:spacing w:val="-6"/>
        </w:rPr>
        <w:t> </w:t>
      </w:r>
      <w:r>
        <w:rPr/>
        <w:t>considerar</w:t>
      </w:r>
      <w:r>
        <w:rPr>
          <w:spacing w:val="-6"/>
        </w:rPr>
        <w:t> </w:t>
      </w:r>
      <w:r>
        <w:rPr/>
        <w:t>un</w:t>
      </w:r>
      <w:r>
        <w:rPr>
          <w:spacing w:val="-9"/>
        </w:rPr>
        <w:t> </w:t>
      </w:r>
      <w:r>
        <w:rPr/>
        <w:t>endurecimiento</w:t>
      </w:r>
      <w:r>
        <w:rPr>
          <w:spacing w:val="-7"/>
        </w:rPr>
        <w:t> </w:t>
      </w:r>
      <w:r>
        <w:rPr/>
        <w:t>de su</w:t>
      </w:r>
      <w:r>
        <w:rPr>
          <w:spacing w:val="-2"/>
        </w:rPr>
        <w:t> </w:t>
      </w:r>
      <w:r>
        <w:rPr/>
        <w:t>política</w:t>
      </w:r>
      <w:r>
        <w:rPr>
          <w:spacing w:val="-3"/>
        </w:rPr>
        <w:t> </w:t>
      </w:r>
      <w:r>
        <w:rPr/>
        <w:t>monetaria,</w:t>
      </w:r>
      <w:r>
        <w:rPr>
          <w:spacing w:val="-3"/>
        </w:rPr>
        <w:t> </w:t>
      </w:r>
      <w:r>
        <w:rPr/>
        <w:t>dado</w:t>
      </w:r>
      <w:r>
        <w:rPr>
          <w:spacing w:val="-6"/>
        </w:rPr>
        <w:t> </w:t>
      </w:r>
      <w:r>
        <w:rPr/>
        <w:t>que</w:t>
      </w:r>
      <w:r>
        <w:rPr>
          <w:spacing w:val="-3"/>
        </w:rPr>
        <w:t> </w:t>
      </w:r>
      <w:r>
        <w:rPr/>
        <w:t>la</w:t>
      </w:r>
      <w:r>
        <w:rPr>
          <w:spacing w:val="-3"/>
        </w:rPr>
        <w:t> </w:t>
      </w:r>
      <w:r>
        <w:rPr/>
        <w:t>inflación</w:t>
      </w:r>
      <w:r>
        <w:rPr>
          <w:spacing w:val="-4"/>
        </w:rPr>
        <w:t> </w:t>
      </w:r>
      <w:r>
        <w:rPr/>
        <w:t>registrada</w:t>
      </w:r>
      <w:r>
        <w:rPr>
          <w:spacing w:val="-1"/>
        </w:rPr>
        <w:t> </w:t>
      </w:r>
      <w:r>
        <w:rPr/>
        <w:t>de</w:t>
      </w:r>
      <w:r>
        <w:rPr>
          <w:spacing w:val="-1"/>
        </w:rPr>
        <w:t> </w:t>
      </w:r>
      <w:r>
        <w:rPr/>
        <w:t>la</w:t>
      </w:r>
      <w:r>
        <w:rPr>
          <w:spacing w:val="1"/>
        </w:rPr>
        <w:t> </w:t>
      </w:r>
      <w:r>
        <w:rPr/>
        <w:t>zona</w:t>
      </w:r>
      <w:r>
        <w:rPr>
          <w:spacing w:val="-3"/>
        </w:rPr>
        <w:t> </w:t>
      </w:r>
      <w:r>
        <w:rPr/>
        <w:t>del euro</w:t>
      </w:r>
      <w:r>
        <w:rPr>
          <w:spacing w:val="-3"/>
        </w:rPr>
        <w:t> </w:t>
      </w:r>
      <w:r>
        <w:rPr/>
        <w:t>fue</w:t>
      </w:r>
      <w:r>
        <w:rPr>
          <w:spacing w:val="-1"/>
        </w:rPr>
        <w:t> </w:t>
      </w:r>
      <w:r>
        <w:rPr/>
        <w:t>de</w:t>
      </w:r>
      <w:r>
        <w:rPr>
          <w:spacing w:val="-1"/>
        </w:rPr>
        <w:t> </w:t>
      </w:r>
      <w:r>
        <w:rPr/>
        <w:t>5.0%</w:t>
      </w:r>
      <w:r>
        <w:rPr>
          <w:spacing w:val="-2"/>
        </w:rPr>
        <w:t> </w:t>
      </w:r>
      <w:r>
        <w:rPr/>
        <w:t>a</w:t>
      </w:r>
      <w:r>
        <w:rPr>
          <w:spacing w:val="-3"/>
        </w:rPr>
        <w:t> </w:t>
      </w:r>
      <w:r>
        <w:rPr/>
        <w:t>final</w:t>
      </w:r>
      <w:r>
        <w:rPr>
          <w:spacing w:val="-2"/>
        </w:rPr>
        <w:t> </w:t>
      </w:r>
      <w:r>
        <w:rPr/>
        <w:t>de</w:t>
      </w:r>
      <w:r>
        <w:rPr>
          <w:spacing w:val="-3"/>
        </w:rPr>
        <w:t> </w:t>
      </w:r>
      <w:r>
        <w:rPr/>
        <w:t>año.</w:t>
      </w:r>
    </w:p>
    <w:p>
      <w:pPr>
        <w:spacing w:after="0" w:line="276" w:lineRule="auto"/>
        <w:jc w:val="both"/>
        <w:sectPr>
          <w:type w:val="continuous"/>
          <w:pgSz w:w="12240" w:h="15840"/>
          <w:pgMar w:top="1500" w:bottom="280" w:left="1140" w:right="0"/>
        </w:sectPr>
      </w:pPr>
    </w:p>
    <w:p>
      <w:pPr>
        <w:spacing w:line="276" w:lineRule="auto" w:before="169"/>
        <w:ind w:left="2196" w:right="-6" w:hanging="1364"/>
        <w:jc w:val="left"/>
        <w:rPr>
          <w:b/>
          <w:sz w:val="20"/>
        </w:rPr>
      </w:pPr>
      <w:bookmarkStart w:name="_bookmark17" w:id="24"/>
      <w:bookmarkEnd w:id="24"/>
      <w:r>
        <w:rPr/>
      </w:r>
      <w:r>
        <w:rPr>
          <w:b/>
          <w:i/>
          <w:sz w:val="20"/>
        </w:rPr>
        <w:t>Gráfico 9. </w:t>
      </w:r>
      <w:r>
        <w:rPr>
          <w:b/>
          <w:sz w:val="20"/>
        </w:rPr>
        <w:t>Tasa de desempleo e inflación de</w:t>
      </w:r>
      <w:r>
        <w:rPr>
          <w:b/>
          <w:spacing w:val="-15"/>
          <w:sz w:val="20"/>
        </w:rPr>
        <w:t> </w:t>
      </w:r>
      <w:r>
        <w:rPr>
          <w:b/>
          <w:sz w:val="20"/>
        </w:rPr>
        <w:t>la zona del</w:t>
      </w:r>
      <w:r>
        <w:rPr>
          <w:b/>
          <w:spacing w:val="-2"/>
          <w:sz w:val="20"/>
        </w:rPr>
        <w:t> </w:t>
      </w:r>
      <w:r>
        <w:rPr>
          <w:b/>
          <w:sz w:val="20"/>
        </w:rPr>
        <w:t>euro</w:t>
      </w:r>
    </w:p>
    <w:p>
      <w:pPr>
        <w:spacing w:line="276" w:lineRule="auto" w:before="169"/>
        <w:ind w:left="657" w:right="1642" w:hanging="252"/>
        <w:jc w:val="left"/>
        <w:rPr>
          <w:b/>
          <w:sz w:val="20"/>
        </w:rPr>
      </w:pPr>
      <w:r>
        <w:rPr/>
        <w:br w:type="column"/>
      </w:r>
      <w:bookmarkStart w:name="_bookmark18" w:id="25"/>
      <w:bookmarkEnd w:id="25"/>
      <w:r>
        <w:rPr/>
      </w:r>
      <w:r>
        <w:rPr>
          <w:b/>
          <w:i/>
          <w:sz w:val="20"/>
        </w:rPr>
        <w:t>Gráfico 10. </w:t>
      </w:r>
      <w:r>
        <w:rPr>
          <w:b/>
          <w:sz w:val="20"/>
        </w:rPr>
        <w:t>Casos nuevos y población vacunada con esquema completo en la zona del euro</w:t>
      </w:r>
    </w:p>
    <w:p>
      <w:pPr>
        <w:spacing w:after="0" w:line="276" w:lineRule="auto"/>
        <w:jc w:val="left"/>
        <w:rPr>
          <w:sz w:val="20"/>
        </w:rPr>
        <w:sectPr>
          <w:pgSz w:w="12240" w:h="15840"/>
          <w:pgMar w:header="715" w:footer="957" w:top="1240" w:bottom="1140" w:left="1140" w:right="0"/>
          <w:cols w:num="2" w:equalWidth="0">
            <w:col w:w="4704" w:space="40"/>
            <w:col w:w="6356"/>
          </w:cols>
        </w:sectPr>
      </w:pPr>
    </w:p>
    <w:p>
      <w:pPr>
        <w:pStyle w:val="BodyText"/>
        <w:spacing w:before="9"/>
        <w:rPr>
          <w:b/>
          <w:sz w:val="23"/>
        </w:rPr>
      </w:pPr>
    </w:p>
    <w:p>
      <w:pPr>
        <w:spacing w:before="0"/>
        <w:ind w:left="0" w:right="38" w:firstLine="0"/>
        <w:jc w:val="right"/>
        <w:rPr>
          <w:sz w:val="16"/>
        </w:rPr>
      </w:pPr>
      <w:r>
        <w:rPr/>
        <w:pict>
          <v:line style="position:absolute;mso-position-horizontal-relative:page;mso-position-vertical-relative:paragraph;z-index:251711488" from="139.740005pt,-2.211267pt" to="158.940005pt,-2.211267pt" stroked="true" strokeweight="2.280pt" strokecolor="#538235">
            <v:stroke dashstyle="solid"/>
            <w10:wrap type="none"/>
          </v:line>
        </w:pict>
      </w:r>
      <w:r>
        <w:rPr/>
        <w:pict>
          <v:line style="position:absolute;mso-position-horizontal-relative:page;mso-position-vertical-relative:paragraph;z-index:-281607168" from="234.179993pt,-2.211267pt" to="253.379993pt,-2.211267pt" stroked="true" strokeweight="2.280pt" strokecolor="#001f5f">
            <v:stroke dashstyle="solid"/>
            <w10:wrap type="none"/>
          </v:line>
        </w:pict>
      </w:r>
      <w:r>
        <w:rPr>
          <w:color w:val="585858"/>
          <w:spacing w:val="-1"/>
          <w:sz w:val="16"/>
        </w:rPr>
        <w:t>10.0</w:t>
      </w:r>
    </w:p>
    <w:p>
      <w:pPr>
        <w:spacing w:before="125"/>
        <w:ind w:left="0" w:right="38" w:firstLine="0"/>
        <w:jc w:val="right"/>
        <w:rPr>
          <w:sz w:val="16"/>
        </w:rPr>
      </w:pPr>
      <w:r>
        <w:rPr>
          <w:color w:val="585858"/>
          <w:spacing w:val="-1"/>
          <w:sz w:val="16"/>
        </w:rPr>
        <w:t>8.0</w:t>
      </w:r>
    </w:p>
    <w:p>
      <w:pPr>
        <w:spacing w:before="124"/>
        <w:ind w:left="0" w:right="38" w:firstLine="0"/>
        <w:jc w:val="right"/>
        <w:rPr>
          <w:sz w:val="16"/>
        </w:rPr>
      </w:pPr>
      <w:r>
        <w:rPr/>
        <w:pict>
          <v:group style="position:absolute;margin-left:119.879997pt;margin-top:13.123238pt;width:183pt;height:48.35pt;mso-position-horizontal-relative:page;mso-position-vertical-relative:paragraph;z-index:251710464" coordorigin="2398,262" coordsize="3660,967">
            <v:shape style="position:absolute;left:0;top:13125;width:3646;height:46" coordorigin="0,13125" coordsize="3646,46" path="m2405,1149l6050,1149m2405,1149l2405,1195m3134,1149l3134,1195m3862,1149l3862,1195m4591,1149l4591,1195m5321,1149l5321,1195m6050,1149l6050,1195e" filled="false" stroked="true" strokeweight=".72pt" strokecolor="#d9d9d9">
              <v:path arrowok="t"/>
              <v:stroke dashstyle="solid"/>
            </v:shape>
            <v:shape style="position:absolute;left:2768;top:384;width:2916;height:821" coordorigin="2768,385" coordsize="2916,821" path="m2768,942l2849,938,2930,934,3011,930,3092,926,3173,923,3254,919,3335,917,3416,915,3497,914,3578,914,3659,913,3740,912,3821,912,3902,913,3983,916,4064,922,4145,931,4226,945,4293,963,4359,990,4425,1024,4491,1062,4558,1100,4624,1137,4690,1169,4757,1192,4823,1206,4889,1206,4955,1189,5060,1129,5112,1086,5164,1036,5216,979,5268,918,5320,853,5372,785,5424,715,5476,645,5528,576,5580,509,5632,445,5684,385e" filled="false" stroked="true" strokeweight="2.280pt" strokecolor="#001f5f">
              <v:path arrowok="t"/>
              <v:stroke dashstyle="solid"/>
            </v:shape>
            <v:shape style="position:absolute;left:5784;top:262;width:271;height:221" type="#_x0000_t202" filled="false" stroked="false">
              <v:textbox inset="0,0,0,0">
                <w:txbxContent>
                  <w:p>
                    <w:pPr>
                      <w:spacing w:line="221" w:lineRule="exact" w:before="0"/>
                      <w:ind w:left="0" w:right="0" w:firstLine="0"/>
                      <w:jc w:val="left"/>
                      <w:rPr>
                        <w:b/>
                        <w:sz w:val="20"/>
                      </w:rPr>
                    </w:pPr>
                    <w:r>
                      <w:rPr>
                        <w:b/>
                        <w:color w:val="001F5F"/>
                        <w:sz w:val="20"/>
                      </w:rPr>
                      <w:t>5.0</w:t>
                    </w:r>
                  </w:p>
                </w:txbxContent>
              </v:textbox>
              <w10:wrap type="none"/>
            </v:shape>
            <w10:wrap type="none"/>
          </v:group>
        </w:pict>
      </w:r>
      <w:r>
        <w:rPr>
          <w:color w:val="585858"/>
          <w:spacing w:val="-1"/>
          <w:sz w:val="16"/>
        </w:rPr>
        <w:t>6.0</w:t>
      </w:r>
    </w:p>
    <w:p>
      <w:pPr>
        <w:spacing w:before="124"/>
        <w:ind w:left="0" w:right="38" w:firstLine="0"/>
        <w:jc w:val="right"/>
        <w:rPr>
          <w:sz w:val="16"/>
        </w:rPr>
      </w:pPr>
      <w:r>
        <w:rPr>
          <w:color w:val="585858"/>
          <w:spacing w:val="-1"/>
          <w:sz w:val="16"/>
        </w:rPr>
        <w:t>4.0</w:t>
      </w:r>
    </w:p>
    <w:p>
      <w:pPr>
        <w:spacing w:before="124"/>
        <w:ind w:left="0" w:right="38" w:firstLine="0"/>
        <w:jc w:val="right"/>
        <w:rPr>
          <w:sz w:val="16"/>
        </w:rPr>
      </w:pPr>
      <w:r>
        <w:rPr>
          <w:color w:val="585858"/>
          <w:spacing w:val="-1"/>
          <w:sz w:val="16"/>
        </w:rPr>
        <w:t>2.0</w:t>
      </w:r>
    </w:p>
    <w:p>
      <w:pPr>
        <w:spacing w:before="124"/>
        <w:ind w:left="0" w:right="117" w:firstLine="0"/>
        <w:jc w:val="right"/>
        <w:rPr>
          <w:sz w:val="16"/>
        </w:rPr>
      </w:pPr>
      <w:r>
        <w:rPr>
          <w:color w:val="585858"/>
          <w:w w:val="100"/>
          <w:sz w:val="16"/>
        </w:rPr>
        <w:t>-</w:t>
      </w:r>
    </w:p>
    <w:p>
      <w:pPr>
        <w:spacing w:before="124"/>
        <w:ind w:left="0" w:right="39" w:firstLine="0"/>
        <w:jc w:val="right"/>
        <w:rPr>
          <w:sz w:val="16"/>
        </w:rPr>
      </w:pPr>
      <w:r>
        <w:rPr>
          <w:color w:val="585858"/>
          <w:spacing w:val="-1"/>
          <w:sz w:val="16"/>
        </w:rPr>
        <w:t>-2.0</w:t>
      </w:r>
    </w:p>
    <w:p>
      <w:pPr>
        <w:tabs>
          <w:tab w:pos="2699" w:val="left" w:leader="none"/>
        </w:tabs>
        <w:spacing w:before="131"/>
        <w:ind w:left="809" w:right="0" w:firstLine="0"/>
        <w:jc w:val="left"/>
        <w:rPr>
          <w:sz w:val="16"/>
        </w:rPr>
      </w:pPr>
      <w:r>
        <w:rPr/>
        <w:br w:type="column"/>
      </w:r>
      <w:r>
        <w:rPr>
          <w:color w:val="585858"/>
          <w:sz w:val="16"/>
        </w:rPr>
        <w:t>Tasa</w:t>
      </w:r>
      <w:r>
        <w:rPr>
          <w:color w:val="585858"/>
          <w:spacing w:val="-1"/>
          <w:sz w:val="16"/>
        </w:rPr>
        <w:t> </w:t>
      </w:r>
      <w:r>
        <w:rPr>
          <w:color w:val="585858"/>
          <w:sz w:val="16"/>
        </w:rPr>
        <w:t>de</w:t>
      </w:r>
      <w:r>
        <w:rPr>
          <w:color w:val="585858"/>
          <w:spacing w:val="-4"/>
          <w:sz w:val="16"/>
        </w:rPr>
        <w:t> </w:t>
      </w:r>
      <w:r>
        <w:rPr>
          <w:color w:val="585858"/>
          <w:sz w:val="16"/>
        </w:rPr>
        <w:t>desempleo</w:t>
        <w:tab/>
      </w:r>
      <w:r>
        <w:rPr>
          <w:color w:val="585858"/>
          <w:spacing w:val="-3"/>
          <w:sz w:val="16"/>
        </w:rPr>
        <w:t>Inflación</w:t>
      </w:r>
    </w:p>
    <w:p>
      <w:pPr>
        <w:pStyle w:val="BodyText"/>
        <w:spacing w:before="7"/>
        <w:rPr>
          <w:sz w:val="14"/>
        </w:rPr>
      </w:pPr>
    </w:p>
    <w:p>
      <w:pPr>
        <w:pStyle w:val="BodyText"/>
        <w:ind w:left="335" w:right="-87"/>
        <w:rPr>
          <w:sz w:val="20"/>
        </w:rPr>
      </w:pPr>
      <w:r>
        <w:rPr>
          <w:sz w:val="20"/>
        </w:rPr>
        <w:pict>
          <v:group style="width:148.1pt;height:14.05pt;mso-position-horizontal-relative:char;mso-position-vertical-relative:line" coordorigin="0,0" coordsize="2962,281">
            <v:shape style="position:absolute;left:22;top:22;width:2916;height:236" coordorigin="23,23" coordsize="2916,236" path="m23,23l104,38,185,54,266,70,347,85,428,101,509,116,590,131,671,145,752,159,833,172,914,186,995,200,1076,214,1157,226,1238,238,1319,247,1400,254,1481,258,1562,258,1643,254,1724,248,1805,239,1886,230,1967,221,2048,213,2129,207,2210,204,2291,204,2372,206,2453,210,2534,215,2615,220,2696,226,2777,232,2858,238,2939,242e" filled="false" stroked="true" strokeweight="2.280pt" strokecolor="#538235">
              <v:path arrowok="t"/>
              <v:stroke dashstyle="solid"/>
            </v:shape>
          </v:group>
        </w:pict>
      </w:r>
      <w:r>
        <w:rPr>
          <w:sz w:val="20"/>
        </w:rPr>
      </w:r>
    </w:p>
    <w:p>
      <w:pPr>
        <w:pStyle w:val="BodyText"/>
      </w:pPr>
      <w:r>
        <w:rPr/>
        <w:br w:type="column"/>
      </w:r>
      <w:r>
        <w:rPr/>
      </w:r>
    </w:p>
    <w:p>
      <w:pPr>
        <w:pStyle w:val="BodyText"/>
        <w:spacing w:before="9"/>
        <w:rPr>
          <w:sz w:val="19"/>
        </w:rPr>
      </w:pPr>
    </w:p>
    <w:p>
      <w:pPr>
        <w:spacing w:before="1"/>
        <w:ind w:left="77" w:right="0" w:firstLine="0"/>
        <w:jc w:val="left"/>
        <w:rPr>
          <w:b/>
          <w:sz w:val="20"/>
        </w:rPr>
      </w:pPr>
      <w:r>
        <w:rPr/>
        <w:pict>
          <v:line style="position:absolute;mso-position-horizontal-relative:page;mso-position-vertical-relative:paragraph;z-index:251714560" from="375.839996pt,-11.434051pt" to="395.039996pt,-11.434051pt" stroked="true" strokeweight="3.96pt" strokecolor="#a6a6a6">
            <v:stroke dashstyle="solid"/>
            <w10:wrap type="none"/>
          </v:line>
        </w:pict>
      </w:r>
      <w:r>
        <w:rPr>
          <w:b/>
          <w:color w:val="538235"/>
          <w:sz w:val="20"/>
        </w:rPr>
        <w:t>7.7</w:t>
      </w:r>
    </w:p>
    <w:p>
      <w:pPr>
        <w:spacing w:before="78"/>
        <w:ind w:left="0" w:right="38" w:firstLine="0"/>
        <w:jc w:val="right"/>
        <w:rPr>
          <w:sz w:val="16"/>
        </w:rPr>
      </w:pPr>
      <w:r>
        <w:rPr/>
        <w:br w:type="column"/>
      </w:r>
      <w:r>
        <w:rPr>
          <w:color w:val="585858"/>
          <w:spacing w:val="-2"/>
          <w:sz w:val="16"/>
        </w:rPr>
        <w:t>12.00</w:t>
      </w:r>
    </w:p>
    <w:p>
      <w:pPr>
        <w:spacing w:before="136"/>
        <w:ind w:left="0" w:right="38" w:firstLine="0"/>
        <w:jc w:val="right"/>
        <w:rPr>
          <w:sz w:val="16"/>
        </w:rPr>
      </w:pPr>
      <w:r>
        <w:rPr/>
        <w:pict>
          <v:shape style="position:absolute;margin-left:310.245453pt;margin-top:8.907645pt;width:10.95pt;height:70.05pt;mso-position-horizontal-relative:page;mso-position-vertical-relative:paragraph;z-index:251715584" type="#_x0000_t202" filled="false" stroked="false">
            <v:textbox inset="0,0,0,0" style="layout-flow:vertical;mso-layout-flow-alt:bottom-to-top">
              <w:txbxContent>
                <w:p>
                  <w:pPr>
                    <w:spacing w:before="14"/>
                    <w:ind w:left="20" w:right="0" w:firstLine="0"/>
                    <w:jc w:val="left"/>
                    <w:rPr>
                      <w:sz w:val="16"/>
                    </w:rPr>
                  </w:pPr>
                  <w:r>
                    <w:rPr>
                      <w:color w:val="585858"/>
                      <w:sz w:val="16"/>
                    </w:rPr>
                    <w:t>Millones de personas</w:t>
                  </w:r>
                </w:p>
              </w:txbxContent>
            </v:textbox>
            <w10:wrap type="none"/>
          </v:shape>
        </w:pict>
      </w:r>
      <w:r>
        <w:rPr>
          <w:color w:val="585858"/>
          <w:spacing w:val="-2"/>
          <w:sz w:val="16"/>
        </w:rPr>
        <w:t>10.00</w:t>
      </w:r>
    </w:p>
    <w:p>
      <w:pPr>
        <w:spacing w:before="136"/>
        <w:ind w:left="0" w:right="38" w:firstLine="0"/>
        <w:jc w:val="right"/>
        <w:rPr>
          <w:sz w:val="16"/>
        </w:rPr>
      </w:pPr>
      <w:r>
        <w:rPr>
          <w:color w:val="585858"/>
          <w:spacing w:val="-1"/>
          <w:sz w:val="16"/>
        </w:rPr>
        <w:t>8.00</w:t>
      </w:r>
    </w:p>
    <w:p>
      <w:pPr>
        <w:spacing w:before="136"/>
        <w:ind w:left="0" w:right="38" w:firstLine="0"/>
        <w:jc w:val="right"/>
        <w:rPr>
          <w:sz w:val="16"/>
        </w:rPr>
      </w:pPr>
      <w:r>
        <w:rPr>
          <w:color w:val="585858"/>
          <w:spacing w:val="-1"/>
          <w:sz w:val="16"/>
        </w:rPr>
        <w:t>6.00</w:t>
      </w:r>
    </w:p>
    <w:p>
      <w:pPr>
        <w:spacing w:before="135"/>
        <w:ind w:left="0" w:right="38" w:firstLine="0"/>
        <w:jc w:val="right"/>
        <w:rPr>
          <w:sz w:val="16"/>
        </w:rPr>
      </w:pPr>
      <w:r>
        <w:rPr>
          <w:color w:val="585858"/>
          <w:spacing w:val="-1"/>
          <w:sz w:val="16"/>
        </w:rPr>
        <w:t>4.00</w:t>
      </w:r>
    </w:p>
    <w:p>
      <w:pPr>
        <w:spacing w:before="136"/>
        <w:ind w:left="0" w:right="38" w:firstLine="0"/>
        <w:jc w:val="right"/>
        <w:rPr>
          <w:sz w:val="16"/>
        </w:rPr>
      </w:pPr>
      <w:r>
        <w:rPr>
          <w:color w:val="585858"/>
          <w:spacing w:val="-1"/>
          <w:sz w:val="16"/>
        </w:rPr>
        <w:t>2.00</w:t>
      </w:r>
    </w:p>
    <w:p>
      <w:pPr>
        <w:spacing w:before="136"/>
        <w:ind w:left="0" w:right="117" w:firstLine="0"/>
        <w:jc w:val="right"/>
        <w:rPr>
          <w:sz w:val="16"/>
        </w:rPr>
      </w:pPr>
      <w:r>
        <w:rPr>
          <w:color w:val="585858"/>
          <w:w w:val="100"/>
          <w:sz w:val="16"/>
        </w:rPr>
        <w:t>-</w:t>
      </w:r>
    </w:p>
    <w:p>
      <w:pPr>
        <w:spacing w:before="151"/>
        <w:ind w:left="809" w:right="0" w:firstLine="0"/>
        <w:jc w:val="left"/>
        <w:rPr>
          <w:sz w:val="16"/>
        </w:rPr>
      </w:pPr>
      <w:r>
        <w:rPr/>
        <w:br w:type="column"/>
      </w:r>
      <w:r>
        <w:rPr>
          <w:color w:val="585858"/>
          <w:sz w:val="16"/>
        </w:rPr>
        <w:t>Población vacunada</w:t>
      </w:r>
      <w:r>
        <w:rPr>
          <w:color w:val="585858"/>
          <w:spacing w:val="-11"/>
          <w:sz w:val="16"/>
        </w:rPr>
        <w:t> </w:t>
      </w:r>
      <w:r>
        <w:rPr>
          <w:color w:val="585858"/>
          <w:sz w:val="16"/>
        </w:rPr>
        <w:t>(%)</w:t>
      </w:r>
    </w:p>
    <w:p>
      <w:pPr>
        <w:spacing w:before="78"/>
        <w:ind w:left="521" w:right="0" w:firstLine="0"/>
        <w:jc w:val="left"/>
        <w:rPr>
          <w:sz w:val="16"/>
        </w:rPr>
      </w:pPr>
      <w:r>
        <w:rPr/>
        <w:br w:type="column"/>
      </w:r>
      <w:r>
        <w:rPr>
          <w:color w:val="585858"/>
          <w:sz w:val="16"/>
        </w:rPr>
        <w:t>100</w:t>
      </w:r>
    </w:p>
    <w:p>
      <w:pPr>
        <w:pStyle w:val="BodyText"/>
        <w:spacing w:before="4"/>
        <w:rPr>
          <w:sz w:val="17"/>
        </w:rPr>
      </w:pPr>
    </w:p>
    <w:p>
      <w:pPr>
        <w:spacing w:before="0"/>
        <w:ind w:left="521" w:right="0" w:firstLine="0"/>
        <w:jc w:val="left"/>
        <w:rPr>
          <w:sz w:val="16"/>
        </w:rPr>
      </w:pPr>
      <w:r>
        <w:rPr/>
        <w:pict>
          <v:group style="position:absolute;margin-left:348.540009pt;margin-top:3.698779pt;width:145.75pt;height:80.4pt;mso-position-horizontal-relative:page;mso-position-vertical-relative:paragraph;z-index:251713536" coordorigin="6971,74" coordsize="2915,1608">
            <v:shape style="position:absolute;left:8280;top:1537;width:442;height:99" coordorigin="8280,1538" coordsize="442,99" path="m8342,1634l8280,1634,8280,1636,8342,1636,8342,1634m8470,1624l8407,1624,8407,1636,8470,1636,8470,1624m8594,1586l8532,1586,8532,1636,8594,1636,8594,1586m8722,1538l8659,1538,8659,1636,8722,1636,8722,1538e" filled="true" fillcolor="#a6a6a6" stroked="false">
              <v:path arrowok="t"/>
              <v:fill type="solid"/>
            </v:shape>
            <v:shape style="position:absolute;left:8815;top:517;width:504;height:1119" coordorigin="8815,518" coordsize="504,1119" path="m8815,1464l8815,1636m8942,1279l8942,1636m9067,988l9067,1636m9194,693l9194,1636m9319,518l9319,1636e" filled="false" stroked="true" strokeweight="3.12pt" strokecolor="#a6a6a6">
              <v:path arrowok="t"/>
              <v:stroke dashstyle="solid"/>
            </v:shape>
            <v:line style="position:absolute" from="9445,427" to="9445,1636" stroked="true" strokeweight="3.24pt" strokecolor="#a6a6a6">
              <v:stroke dashstyle="solid"/>
            </v:line>
            <v:line style="position:absolute" from="9571,384" to="9571,1636" stroked="true" strokeweight="3.12pt" strokecolor="#a6a6a6">
              <v:stroke dashstyle="solid"/>
            </v:line>
            <v:line style="position:absolute" from="9697,348" to="9697,1636" stroked="true" strokeweight="3.24pt" strokecolor="#a6a6a6">
              <v:stroke dashstyle="solid"/>
            </v:line>
            <v:line style="position:absolute" from="9823,309" to="9823,1636" stroked="true" strokeweight="3.12pt" strokecolor="#a6a6a6">
              <v:stroke dashstyle="solid"/>
            </v:line>
            <v:shape style="position:absolute;left:0;top:13429;width:2897;height:46" coordorigin="0,13430" coordsize="2897,46" path="m6989,1636l9886,1636m6989,1636l6989,1682m7241,1636l7241,1682m7493,1636l7493,1682m7745,1636l7745,1682m7997,1636l7997,1682m8249,1636l8249,1682m8501,1636l8501,1682m8753,1636l8753,1682m9005,1636l9005,1682m9257,1636l9257,1682m9509,1636l9509,1682m9761,1636l9761,1682e" filled="false" stroked="true" strokeweight=".72pt" strokecolor="#d9d9d9">
              <v:path arrowok="t"/>
              <v:stroke dashstyle="solid"/>
            </v:shape>
            <v:shape style="position:absolute;left:6988;top:91;width:2836;height:1547" coordorigin="6989,92" coordsize="2836,1547" path="m6989,1638l6991,1638,7022,1639,7054,1634,7085,1623,7117,1606,7148,1588,7179,1573,7211,1559,7242,1545,7274,1535,7305,1534,7337,1546,7368,1567,7400,1591,7431,1607,7463,1614,7494,1616,7526,1616,7557,1615,7589,1615,7652,1612,7715,1599,7778,1574,7809,1559,7839,1548,7906,1514,7960,1415,7986,1335,8011,1247,8036,1159,8061,1082,8093,991,8124,900,8156,828,8187,793,8219,815,8250,880,8282,953,8313,999,8345,1001,8376,981,8408,961,8439,963,8471,1007,8502,1076,8534,1139,8565,1165,8596,1129,8628,1055,8659,976,8691,928,8754,929,8817,994,8842,1048,8867,1122,8892,1203,8918,1282,8943,1348,8974,1418,9006,1481,9069,1549,9100,1528,9132,1476,9163,1416,9195,1371,9226,1346,9258,1329,9289,1320,9321,1318,9352,1332,9384,1359,9415,1384,9475,1378,9544,1312,9573,1255,9591,1197,9608,1124,9626,1041,9644,952,9662,860,9680,769,9698,683,9714,610,9730,536,9746,462,9761,388,9777,314,9793,240,9809,166,9824,92e" filled="false" stroked="true" strokeweight="1.8pt" strokecolor="#c00000">
              <v:path arrowok="t"/>
              <v:stroke dashstyle="solid"/>
            </v:shape>
            <w10:wrap type="none"/>
          </v:group>
        </w:pict>
      </w:r>
      <w:r>
        <w:rPr/>
        <w:pict>
          <v:shape style="position:absolute;margin-left:514.895447pt;margin-top:-12.067484pt;width:10.95pt;height:96.25pt;mso-position-horizontal-relative:page;mso-position-vertical-relative:paragraph;z-index:251717632" type="#_x0000_t202" filled="false" stroked="false">
            <v:textbox inset="0,0,0,0" style="layout-flow:vertical;mso-layout-flow-alt:bottom-to-top">
              <w:txbxContent>
                <w:p>
                  <w:pPr>
                    <w:spacing w:before="14"/>
                    <w:ind w:left="20" w:right="0" w:firstLine="0"/>
                    <w:jc w:val="left"/>
                    <w:rPr>
                      <w:sz w:val="16"/>
                    </w:rPr>
                  </w:pPr>
                  <w:r>
                    <w:rPr>
                      <w:color w:val="585858"/>
                      <w:sz w:val="16"/>
                    </w:rPr>
                    <w:t>Población vacunada esquema</w:t>
                  </w:r>
                </w:p>
              </w:txbxContent>
            </v:textbox>
            <w10:wrap type="none"/>
          </v:shape>
        </w:pict>
      </w:r>
      <w:r>
        <w:rPr>
          <w:color w:val="585858"/>
          <w:sz w:val="16"/>
        </w:rPr>
        <w:t>80</w:t>
      </w:r>
    </w:p>
    <w:p>
      <w:pPr>
        <w:pStyle w:val="BodyText"/>
        <w:spacing w:before="5"/>
        <w:rPr>
          <w:sz w:val="17"/>
        </w:rPr>
      </w:pPr>
    </w:p>
    <w:p>
      <w:pPr>
        <w:spacing w:before="0"/>
        <w:ind w:left="521" w:right="0" w:firstLine="0"/>
        <w:jc w:val="left"/>
        <w:rPr>
          <w:sz w:val="16"/>
        </w:rPr>
      </w:pPr>
      <w:r>
        <w:rPr>
          <w:color w:val="585858"/>
          <w:sz w:val="16"/>
        </w:rPr>
        <w:t>60</w:t>
      </w:r>
    </w:p>
    <w:p>
      <w:pPr>
        <w:pStyle w:val="BodyText"/>
        <w:spacing w:before="4"/>
        <w:rPr>
          <w:sz w:val="17"/>
        </w:rPr>
      </w:pPr>
    </w:p>
    <w:p>
      <w:pPr>
        <w:spacing w:before="0"/>
        <w:ind w:left="521" w:right="0" w:firstLine="0"/>
        <w:jc w:val="left"/>
        <w:rPr>
          <w:sz w:val="16"/>
        </w:rPr>
      </w:pPr>
      <w:r>
        <w:rPr>
          <w:color w:val="585858"/>
          <w:sz w:val="16"/>
        </w:rPr>
        <w:t>40</w:t>
      </w:r>
    </w:p>
    <w:p>
      <w:pPr>
        <w:pStyle w:val="BodyText"/>
        <w:spacing w:before="4"/>
        <w:rPr>
          <w:sz w:val="17"/>
        </w:rPr>
      </w:pPr>
    </w:p>
    <w:p>
      <w:pPr>
        <w:spacing w:before="0"/>
        <w:ind w:left="521" w:right="0" w:firstLine="0"/>
        <w:jc w:val="left"/>
        <w:rPr>
          <w:sz w:val="16"/>
        </w:rPr>
      </w:pPr>
      <w:r>
        <w:rPr>
          <w:color w:val="585858"/>
          <w:sz w:val="16"/>
        </w:rPr>
        <w:t>20</w:t>
      </w:r>
    </w:p>
    <w:p>
      <w:pPr>
        <w:pStyle w:val="BodyText"/>
        <w:spacing w:before="5"/>
        <w:rPr>
          <w:sz w:val="17"/>
        </w:rPr>
      </w:pPr>
    </w:p>
    <w:p>
      <w:pPr>
        <w:spacing w:before="0"/>
        <w:ind w:left="521" w:right="0" w:firstLine="0"/>
        <w:jc w:val="left"/>
        <w:rPr>
          <w:sz w:val="16"/>
        </w:rPr>
      </w:pPr>
      <w:r>
        <w:rPr/>
        <w:pict>
          <v:shape style="position:absolute;margin-left:347.175446pt;margin-top:8.738655pt;width:149.5pt;height:24.3pt;mso-position-horizontal-relative:page;mso-position-vertical-relative:paragraph;z-index:-281603072" type="#_x0000_t202" filled="false" stroked="false">
            <v:textbox inset="0,0,0,0" style="layout-flow:vertical;mso-layout-flow-alt:bottom-to-top">
              <w:txbxContent>
                <w:p>
                  <w:pPr>
                    <w:spacing w:line="328" w:lineRule="auto" w:before="14"/>
                    <w:ind w:left="20" w:right="18" w:firstLine="26"/>
                    <w:jc w:val="both"/>
                    <w:rPr>
                      <w:sz w:val="16"/>
                    </w:rPr>
                  </w:pPr>
                  <w:r>
                    <w:rPr>
                      <w:color w:val="585858"/>
                      <w:sz w:val="16"/>
                    </w:rPr>
                    <w:t>feb-20 abr-20 jun-20 </w:t>
                  </w:r>
                  <w:r>
                    <w:rPr>
                      <w:color w:val="585858"/>
                      <w:spacing w:val="-1"/>
                      <w:sz w:val="16"/>
                    </w:rPr>
                    <w:t>ago-20 </w:t>
                  </w:r>
                  <w:r>
                    <w:rPr>
                      <w:color w:val="585858"/>
                      <w:sz w:val="16"/>
                    </w:rPr>
                    <w:t>oct-20 dic-20 feb-21 abr-21 jun-21 </w:t>
                  </w:r>
                  <w:r>
                    <w:rPr>
                      <w:color w:val="585858"/>
                      <w:spacing w:val="-1"/>
                      <w:sz w:val="16"/>
                    </w:rPr>
                    <w:t>ago-21 </w:t>
                  </w:r>
                  <w:r>
                    <w:rPr>
                      <w:color w:val="585858"/>
                      <w:sz w:val="16"/>
                    </w:rPr>
                    <w:t>oct-21</w:t>
                  </w:r>
                </w:p>
                <w:p>
                  <w:pPr>
                    <w:spacing w:line="183" w:lineRule="exact" w:before="0"/>
                    <w:ind w:left="55" w:right="0" w:firstLine="0"/>
                    <w:jc w:val="left"/>
                    <w:rPr>
                      <w:sz w:val="16"/>
                    </w:rPr>
                  </w:pPr>
                  <w:r>
                    <w:rPr>
                      <w:color w:val="585858"/>
                      <w:sz w:val="16"/>
                    </w:rPr>
                    <w:t>dic-21</w:t>
                  </w:r>
                </w:p>
              </w:txbxContent>
            </v:textbox>
            <w10:wrap type="none"/>
          </v:shape>
        </w:pict>
      </w:r>
      <w:r>
        <w:rPr>
          <w:color w:val="585858"/>
          <w:w w:val="100"/>
          <w:sz w:val="16"/>
        </w:rPr>
        <w:t>-</w:t>
      </w:r>
    </w:p>
    <w:p>
      <w:pPr>
        <w:spacing w:after="0"/>
        <w:jc w:val="left"/>
        <w:rPr>
          <w:sz w:val="16"/>
        </w:rPr>
        <w:sectPr>
          <w:type w:val="continuous"/>
          <w:pgSz w:w="12240" w:h="15840"/>
          <w:pgMar w:top="1500" w:bottom="280" w:left="1140" w:right="0"/>
          <w:cols w:num="6" w:equalWidth="0">
            <w:col w:w="1130" w:space="140"/>
            <w:col w:w="3277" w:space="39"/>
            <w:col w:w="328" w:space="40"/>
            <w:col w:w="761" w:space="277"/>
            <w:col w:w="2372" w:space="40"/>
            <w:col w:w="2696"/>
          </w:cols>
        </w:sectPr>
      </w:pPr>
    </w:p>
    <w:p>
      <w:pPr>
        <w:tabs>
          <w:tab w:pos="2198" w:val="left" w:leader="none"/>
          <w:tab w:pos="2927" w:val="left" w:leader="none"/>
          <w:tab w:pos="3657" w:val="left" w:leader="none"/>
          <w:tab w:pos="4386" w:val="left" w:leader="none"/>
        </w:tabs>
        <w:spacing w:before="4"/>
        <w:ind w:left="1469" w:right="0" w:firstLine="0"/>
        <w:jc w:val="left"/>
        <w:rPr>
          <w:sz w:val="16"/>
        </w:rPr>
      </w:pPr>
      <w:r>
        <w:rPr>
          <w:color w:val="585858"/>
          <w:sz w:val="16"/>
        </w:rPr>
        <w:t>2017</w:t>
        <w:tab/>
        <w:t>2018</w:t>
        <w:tab/>
        <w:t>2019</w:t>
        <w:tab/>
        <w:t>2020</w:t>
        <w:tab/>
      </w:r>
      <w:r>
        <w:rPr>
          <w:color w:val="585858"/>
          <w:spacing w:val="-6"/>
          <w:sz w:val="16"/>
        </w:rPr>
        <w:t>2021</w:t>
      </w:r>
    </w:p>
    <w:p>
      <w:pPr>
        <w:spacing w:before="76"/>
        <w:ind w:left="1099" w:right="0" w:firstLine="0"/>
        <w:jc w:val="left"/>
        <w:rPr>
          <w:sz w:val="16"/>
        </w:rPr>
      </w:pPr>
      <w:r>
        <w:rPr>
          <w:sz w:val="16"/>
        </w:rPr>
        <w:t>Fuente: FMI, WEO abril 2022</w:t>
      </w:r>
    </w:p>
    <w:p>
      <w:pPr>
        <w:pStyle w:val="BodyText"/>
        <w:spacing w:before="6"/>
        <w:rPr>
          <w:sz w:val="25"/>
        </w:rPr>
      </w:pPr>
      <w:r>
        <w:rPr/>
        <w:br w:type="column"/>
      </w:r>
      <w:r>
        <w:rPr>
          <w:sz w:val="25"/>
        </w:rPr>
      </w:r>
    </w:p>
    <w:p>
      <w:pPr>
        <w:spacing w:before="0"/>
        <w:ind w:left="542" w:right="0" w:firstLine="0"/>
        <w:jc w:val="left"/>
        <w:rPr>
          <w:sz w:val="16"/>
        </w:rPr>
      </w:pPr>
      <w:r>
        <w:rPr>
          <w:sz w:val="16"/>
        </w:rPr>
        <w:t>Fuente: Our World in Data</w:t>
      </w:r>
    </w:p>
    <w:p>
      <w:pPr>
        <w:spacing w:after="0"/>
        <w:jc w:val="left"/>
        <w:rPr>
          <w:sz w:val="16"/>
        </w:rPr>
        <w:sectPr>
          <w:type w:val="continuous"/>
          <w:pgSz w:w="12240" w:h="15840"/>
          <w:pgMar w:top="1500" w:bottom="280" w:left="1140" w:right="0"/>
          <w:cols w:num="2" w:equalWidth="0">
            <w:col w:w="4707" w:space="40"/>
            <w:col w:w="6353"/>
          </w:cols>
        </w:sectPr>
      </w:pPr>
    </w:p>
    <w:p>
      <w:pPr>
        <w:pStyle w:val="BodyText"/>
        <w:rPr>
          <w:sz w:val="20"/>
        </w:rPr>
      </w:pPr>
    </w:p>
    <w:p>
      <w:pPr>
        <w:pStyle w:val="BodyText"/>
        <w:spacing w:before="9"/>
        <w:rPr>
          <w:sz w:val="17"/>
        </w:rPr>
      </w:pPr>
    </w:p>
    <w:p>
      <w:pPr>
        <w:pStyle w:val="Heading2"/>
        <w:numPr>
          <w:ilvl w:val="1"/>
          <w:numId w:val="10"/>
        </w:numPr>
        <w:tabs>
          <w:tab w:pos="1249" w:val="left" w:leader="none"/>
        </w:tabs>
        <w:spacing w:line="240" w:lineRule="auto" w:before="90" w:after="0"/>
        <w:ind w:left="1248" w:right="0" w:hanging="481"/>
        <w:jc w:val="left"/>
      </w:pPr>
      <w:bookmarkStart w:name="_bookmark19" w:id="26"/>
      <w:bookmarkEnd w:id="26"/>
      <w:r>
        <w:rPr/>
        <w:t>C</w:t>
      </w:r>
      <w:r>
        <w:rPr/>
        <w:t>omportamiento del precio del</w:t>
      </w:r>
      <w:r>
        <w:rPr>
          <w:spacing w:val="-1"/>
        </w:rPr>
        <w:t> </w:t>
      </w:r>
      <w:r>
        <w:rPr/>
        <w:t>petróleo</w:t>
      </w:r>
    </w:p>
    <w:p>
      <w:pPr>
        <w:pStyle w:val="BodyText"/>
        <w:rPr>
          <w:b/>
          <w:sz w:val="26"/>
        </w:rPr>
      </w:pPr>
    </w:p>
    <w:p>
      <w:pPr>
        <w:pStyle w:val="BodyText"/>
        <w:spacing w:line="276" w:lineRule="auto"/>
        <w:ind w:left="562" w:right="1696"/>
        <w:jc w:val="both"/>
      </w:pPr>
      <w:r>
        <w:rPr/>
        <w:t>La mayoría de los precios de las materias primas de energía experimentaron fuertes caídas sin precedentes</w:t>
      </w:r>
      <w:r>
        <w:rPr>
          <w:spacing w:val="-15"/>
        </w:rPr>
        <w:t> </w:t>
      </w:r>
      <w:r>
        <w:rPr/>
        <w:t>en</w:t>
      </w:r>
      <w:r>
        <w:rPr>
          <w:spacing w:val="-15"/>
        </w:rPr>
        <w:t> </w:t>
      </w:r>
      <w:r>
        <w:rPr/>
        <w:t>2020</w:t>
      </w:r>
      <w:r>
        <w:rPr>
          <w:spacing w:val="-13"/>
        </w:rPr>
        <w:t> </w:t>
      </w:r>
      <w:r>
        <w:rPr/>
        <w:t>a</w:t>
      </w:r>
      <w:r>
        <w:rPr>
          <w:spacing w:val="-15"/>
        </w:rPr>
        <w:t> </w:t>
      </w:r>
      <w:r>
        <w:rPr/>
        <w:t>consecuencia</w:t>
      </w:r>
      <w:r>
        <w:rPr>
          <w:spacing w:val="-15"/>
        </w:rPr>
        <w:t> </w:t>
      </w:r>
      <w:r>
        <w:rPr/>
        <w:t>de</w:t>
      </w:r>
      <w:r>
        <w:rPr>
          <w:spacing w:val="-15"/>
        </w:rPr>
        <w:t> </w:t>
      </w:r>
      <w:r>
        <w:rPr/>
        <w:t>la</w:t>
      </w:r>
      <w:r>
        <w:rPr>
          <w:spacing w:val="-15"/>
        </w:rPr>
        <w:t> </w:t>
      </w:r>
      <w:r>
        <w:rPr/>
        <w:t>pandemia;</w:t>
      </w:r>
      <w:r>
        <w:rPr>
          <w:spacing w:val="-14"/>
        </w:rPr>
        <w:t> </w:t>
      </w:r>
      <w:r>
        <w:rPr/>
        <w:t>en</w:t>
      </w:r>
      <w:r>
        <w:rPr>
          <w:spacing w:val="-18"/>
        </w:rPr>
        <w:t> </w:t>
      </w:r>
      <w:r>
        <w:rPr/>
        <w:t>el</w:t>
      </w:r>
      <w:r>
        <w:rPr>
          <w:spacing w:val="-15"/>
        </w:rPr>
        <w:t> </w:t>
      </w:r>
      <w:r>
        <w:rPr/>
        <w:t>caso</w:t>
      </w:r>
      <w:r>
        <w:rPr>
          <w:spacing w:val="-14"/>
        </w:rPr>
        <w:t> </w:t>
      </w:r>
      <w:r>
        <w:rPr/>
        <w:t>del</w:t>
      </w:r>
      <w:r>
        <w:rPr>
          <w:spacing w:val="-14"/>
        </w:rPr>
        <w:t> </w:t>
      </w:r>
      <w:r>
        <w:rPr/>
        <w:t>petróleo,</w:t>
      </w:r>
      <w:r>
        <w:rPr>
          <w:spacing w:val="-15"/>
        </w:rPr>
        <w:t> </w:t>
      </w:r>
      <w:r>
        <w:rPr/>
        <w:t>las</w:t>
      </w:r>
      <w:r>
        <w:rPr>
          <w:spacing w:val="-13"/>
        </w:rPr>
        <w:t> </w:t>
      </w:r>
      <w:r>
        <w:rPr/>
        <w:t>medidas</w:t>
      </w:r>
      <w:r>
        <w:rPr>
          <w:spacing w:val="-15"/>
        </w:rPr>
        <w:t> </w:t>
      </w:r>
      <w:r>
        <w:rPr/>
        <w:t>de</w:t>
      </w:r>
      <w:r>
        <w:rPr>
          <w:spacing w:val="-15"/>
        </w:rPr>
        <w:t> </w:t>
      </w:r>
      <w:r>
        <w:rPr/>
        <w:t>mitigación redujeron</w:t>
      </w:r>
      <w:r>
        <w:rPr>
          <w:spacing w:val="-13"/>
        </w:rPr>
        <w:t> </w:t>
      </w:r>
      <w:r>
        <w:rPr/>
        <w:t>significativamente</w:t>
      </w:r>
      <w:r>
        <w:rPr>
          <w:spacing w:val="-11"/>
        </w:rPr>
        <w:t> </w:t>
      </w:r>
      <w:r>
        <w:rPr/>
        <w:t>el</w:t>
      </w:r>
      <w:r>
        <w:rPr>
          <w:spacing w:val="-12"/>
        </w:rPr>
        <w:t> </w:t>
      </w:r>
      <w:r>
        <w:rPr/>
        <w:t>transporte,</w:t>
      </w:r>
      <w:r>
        <w:rPr>
          <w:spacing w:val="-11"/>
        </w:rPr>
        <w:t> </w:t>
      </w:r>
      <w:r>
        <w:rPr/>
        <w:t>provocando</w:t>
      </w:r>
      <w:r>
        <w:rPr>
          <w:spacing w:val="-14"/>
        </w:rPr>
        <w:t> </w:t>
      </w:r>
      <w:r>
        <w:rPr/>
        <w:t>una</w:t>
      </w:r>
      <w:r>
        <w:rPr>
          <w:spacing w:val="-12"/>
        </w:rPr>
        <w:t> </w:t>
      </w:r>
      <w:r>
        <w:rPr/>
        <w:t>disminución</w:t>
      </w:r>
      <w:r>
        <w:rPr>
          <w:spacing w:val="-13"/>
        </w:rPr>
        <w:t> </w:t>
      </w:r>
      <w:r>
        <w:rPr/>
        <w:t>en</w:t>
      </w:r>
      <w:r>
        <w:rPr>
          <w:spacing w:val="-12"/>
        </w:rPr>
        <w:t> </w:t>
      </w:r>
      <w:r>
        <w:rPr/>
        <w:t>su</w:t>
      </w:r>
      <w:r>
        <w:rPr>
          <w:spacing w:val="-11"/>
        </w:rPr>
        <w:t> </w:t>
      </w:r>
      <w:r>
        <w:rPr/>
        <w:t>demanda,</w:t>
      </w:r>
      <w:r>
        <w:rPr>
          <w:spacing w:val="-9"/>
        </w:rPr>
        <w:t> </w:t>
      </w:r>
      <w:r>
        <w:rPr/>
        <w:t>mientras</w:t>
      </w:r>
      <w:r>
        <w:rPr>
          <w:spacing w:val="-11"/>
        </w:rPr>
        <w:t> </w:t>
      </w:r>
      <w:r>
        <w:rPr/>
        <w:t>que un crecimiento económico débil redujo aún más la demanda general de estos productos. La recuperación de la demanda inició a partir del tercer trimestre del 2020 y se fortaleció más a finales del primer trimestre del 2021, principalmente, en las economías avanzadas. Otros factores que fortalecieron la demanda de crudo de petróleo fueron los estímulos económicos de distintos países y la reanudación de las actividades de movilidad y de las cadenas de suministro, particularmente en Estados Unidos y</w:t>
      </w:r>
      <w:r>
        <w:rPr>
          <w:spacing w:val="-4"/>
        </w:rPr>
        <w:t> </w:t>
      </w:r>
      <w:r>
        <w:rPr/>
        <w:t>Europa.</w:t>
      </w:r>
    </w:p>
    <w:p>
      <w:pPr>
        <w:pStyle w:val="BodyText"/>
        <w:spacing w:before="3"/>
        <w:rPr>
          <w:sz w:val="25"/>
        </w:rPr>
      </w:pPr>
    </w:p>
    <w:p>
      <w:pPr>
        <w:pStyle w:val="BodyText"/>
        <w:spacing w:line="276" w:lineRule="auto" w:before="1"/>
        <w:ind w:left="562" w:right="1695"/>
        <w:jc w:val="both"/>
      </w:pPr>
      <w:r>
        <w:rPr/>
        <w:t>La</w:t>
      </w:r>
      <w:r>
        <w:rPr>
          <w:spacing w:val="-4"/>
        </w:rPr>
        <w:t> </w:t>
      </w:r>
      <w:r>
        <w:rPr/>
        <w:t>oferta</w:t>
      </w:r>
      <w:r>
        <w:rPr>
          <w:spacing w:val="-6"/>
        </w:rPr>
        <w:t> </w:t>
      </w:r>
      <w:r>
        <w:rPr/>
        <w:t>por</w:t>
      </w:r>
      <w:r>
        <w:rPr>
          <w:spacing w:val="-5"/>
        </w:rPr>
        <w:t> </w:t>
      </w:r>
      <w:r>
        <w:rPr/>
        <w:t>su</w:t>
      </w:r>
      <w:r>
        <w:rPr>
          <w:spacing w:val="-5"/>
        </w:rPr>
        <w:t> </w:t>
      </w:r>
      <w:r>
        <w:rPr/>
        <w:t>lado,</w:t>
      </w:r>
      <w:r>
        <w:rPr>
          <w:spacing w:val="-6"/>
        </w:rPr>
        <w:t> </w:t>
      </w:r>
      <w:r>
        <w:rPr/>
        <w:t>incrementó</w:t>
      </w:r>
      <w:r>
        <w:rPr>
          <w:spacing w:val="-4"/>
        </w:rPr>
        <w:t> </w:t>
      </w:r>
      <w:r>
        <w:rPr/>
        <w:t>de</w:t>
      </w:r>
      <w:r>
        <w:rPr>
          <w:spacing w:val="-3"/>
        </w:rPr>
        <w:t> </w:t>
      </w:r>
      <w:r>
        <w:rPr/>
        <w:t>una</w:t>
      </w:r>
      <w:r>
        <w:rPr>
          <w:spacing w:val="-5"/>
        </w:rPr>
        <w:t> </w:t>
      </w:r>
      <w:r>
        <w:rPr/>
        <w:t>forma</w:t>
      </w:r>
      <w:r>
        <w:rPr>
          <w:spacing w:val="-3"/>
        </w:rPr>
        <w:t> </w:t>
      </w:r>
      <w:r>
        <w:rPr/>
        <w:t>más</w:t>
      </w:r>
      <w:r>
        <w:rPr>
          <w:spacing w:val="-3"/>
        </w:rPr>
        <w:t> </w:t>
      </w:r>
      <w:r>
        <w:rPr/>
        <w:t>lenta</w:t>
      </w:r>
      <w:r>
        <w:rPr>
          <w:spacing w:val="-6"/>
        </w:rPr>
        <w:t> </w:t>
      </w:r>
      <w:r>
        <w:rPr/>
        <w:t>que</w:t>
      </w:r>
      <w:r>
        <w:rPr>
          <w:spacing w:val="-5"/>
        </w:rPr>
        <w:t> </w:t>
      </w:r>
      <w:r>
        <w:rPr/>
        <w:t>la</w:t>
      </w:r>
      <w:r>
        <w:rPr>
          <w:spacing w:val="-6"/>
        </w:rPr>
        <w:t> </w:t>
      </w:r>
      <w:r>
        <w:rPr/>
        <w:t>demanda</w:t>
      </w:r>
      <w:r>
        <w:rPr>
          <w:spacing w:val="-6"/>
        </w:rPr>
        <w:t> </w:t>
      </w:r>
      <w:r>
        <w:rPr/>
        <w:t>en</w:t>
      </w:r>
      <w:r>
        <w:rPr>
          <w:spacing w:val="-4"/>
        </w:rPr>
        <w:t> </w:t>
      </w:r>
      <w:r>
        <w:rPr/>
        <w:t>2021,</w:t>
      </w:r>
      <w:r>
        <w:rPr>
          <w:spacing w:val="-3"/>
        </w:rPr>
        <w:t> </w:t>
      </w:r>
      <w:r>
        <w:rPr/>
        <w:t>lo</w:t>
      </w:r>
      <w:r>
        <w:rPr>
          <w:spacing w:val="-6"/>
        </w:rPr>
        <w:t> </w:t>
      </w:r>
      <w:r>
        <w:rPr/>
        <w:t>que</w:t>
      </w:r>
      <w:r>
        <w:rPr>
          <w:spacing w:val="-6"/>
        </w:rPr>
        <w:t> </w:t>
      </w:r>
      <w:r>
        <w:rPr/>
        <w:t>se</w:t>
      </w:r>
      <w:r>
        <w:rPr>
          <w:spacing w:val="-4"/>
        </w:rPr>
        <w:t> </w:t>
      </w:r>
      <w:r>
        <w:rPr/>
        <w:t>atribuye mayormente a los recortes de la producción de crudo de la OPEP+ (grupo que está integrado por los países de la OPEP más la alianza de10 países productores de petróleo liderados por Rusia) que iniciaron a finales del 2020. De esta manera la OPEP estima que la demanda mundial de crudo de petróleo fue de 96.65 mb/d y que la producción se encontró en 95.05 mb/d. El balance negativo del crudo generó presiones hacia el alza de su precio, además de las disrupciones en las cadenas de suministro, el aumento en los costos de los fletes y la incertidumbre alrededor la pandemia influyó para que el precio spot del barril de crudo de petróleo West Texas Intermediate (WTI) pasará de USD$47.5 a inicios de año a USD$75.3 a finales del mismo, mostrando los valores máximos en octubre donde alcanzó los USD$85.6, esto según información de la Administración de Información de Energía de Estados</w:t>
      </w:r>
      <w:r>
        <w:rPr>
          <w:spacing w:val="-1"/>
        </w:rPr>
        <w:t> </w:t>
      </w:r>
      <w:r>
        <w:rPr/>
        <w:t>Unidos.</w:t>
      </w:r>
    </w:p>
    <w:p>
      <w:pPr>
        <w:spacing w:after="0" w:line="276" w:lineRule="auto"/>
        <w:jc w:val="both"/>
        <w:sectPr>
          <w:type w:val="continuous"/>
          <w:pgSz w:w="12240" w:h="15840"/>
          <w:pgMar w:top="1500" w:bottom="280" w:left="1140" w:right="0"/>
        </w:sectPr>
      </w:pPr>
    </w:p>
    <w:p>
      <w:pPr>
        <w:pStyle w:val="BodyText"/>
        <w:rPr>
          <w:sz w:val="18"/>
        </w:rPr>
      </w:pPr>
    </w:p>
    <w:p>
      <w:pPr>
        <w:pStyle w:val="BodyText"/>
        <w:rPr>
          <w:sz w:val="18"/>
        </w:rPr>
      </w:pPr>
    </w:p>
    <w:p>
      <w:pPr>
        <w:pStyle w:val="BodyText"/>
        <w:spacing w:before="4"/>
        <w:rPr>
          <w:sz w:val="17"/>
        </w:rPr>
      </w:pPr>
    </w:p>
    <w:p>
      <w:pPr>
        <w:spacing w:before="0"/>
        <w:ind w:left="0" w:right="39" w:firstLine="0"/>
        <w:jc w:val="right"/>
        <w:rPr>
          <w:sz w:val="16"/>
        </w:rPr>
      </w:pPr>
      <w:bookmarkStart w:name="_bookmark20" w:id="27"/>
      <w:bookmarkEnd w:id="27"/>
      <w:r>
        <w:rPr/>
      </w:r>
      <w:r>
        <w:rPr>
          <w:color w:val="585858"/>
          <w:spacing w:val="-2"/>
          <w:sz w:val="16"/>
        </w:rPr>
        <w:t>100.0</w:t>
      </w:r>
    </w:p>
    <w:p>
      <w:pPr>
        <w:pStyle w:val="BodyText"/>
        <w:spacing w:before="10"/>
        <w:rPr>
          <w:sz w:val="15"/>
        </w:rPr>
      </w:pPr>
    </w:p>
    <w:p>
      <w:pPr>
        <w:spacing w:before="0"/>
        <w:ind w:left="0" w:right="38" w:firstLine="0"/>
        <w:jc w:val="right"/>
        <w:rPr>
          <w:sz w:val="16"/>
        </w:rPr>
      </w:pPr>
      <w:r>
        <w:rPr>
          <w:color w:val="585858"/>
          <w:spacing w:val="-2"/>
          <w:sz w:val="16"/>
        </w:rPr>
        <w:t>80.0</w:t>
      </w:r>
    </w:p>
    <w:p>
      <w:pPr>
        <w:pStyle w:val="BodyText"/>
        <w:spacing w:before="9"/>
        <w:rPr>
          <w:sz w:val="15"/>
        </w:rPr>
      </w:pPr>
    </w:p>
    <w:p>
      <w:pPr>
        <w:spacing w:before="1"/>
        <w:ind w:left="0" w:right="38" w:firstLine="0"/>
        <w:jc w:val="right"/>
        <w:rPr>
          <w:sz w:val="16"/>
        </w:rPr>
      </w:pPr>
      <w:r>
        <w:rPr>
          <w:color w:val="585858"/>
          <w:spacing w:val="-2"/>
          <w:sz w:val="16"/>
        </w:rPr>
        <w:t>60.0</w:t>
      </w:r>
    </w:p>
    <w:p>
      <w:pPr>
        <w:pStyle w:val="BodyText"/>
        <w:spacing w:before="9"/>
        <w:rPr>
          <w:sz w:val="15"/>
        </w:rPr>
      </w:pPr>
    </w:p>
    <w:p>
      <w:pPr>
        <w:spacing w:before="0"/>
        <w:ind w:left="0" w:right="38" w:firstLine="0"/>
        <w:jc w:val="right"/>
        <w:rPr>
          <w:sz w:val="16"/>
        </w:rPr>
      </w:pPr>
      <w:r>
        <w:rPr>
          <w:color w:val="585858"/>
          <w:spacing w:val="-2"/>
          <w:sz w:val="16"/>
        </w:rPr>
        <w:t>40.0</w:t>
      </w:r>
    </w:p>
    <w:p>
      <w:pPr>
        <w:spacing w:before="169"/>
        <w:ind w:left="1196" w:right="0" w:firstLine="0"/>
        <w:jc w:val="left"/>
        <w:rPr>
          <w:b/>
          <w:sz w:val="20"/>
        </w:rPr>
      </w:pPr>
      <w:r>
        <w:rPr/>
        <w:br w:type="column"/>
      </w:r>
      <w:r>
        <w:rPr>
          <w:b/>
          <w:i/>
          <w:sz w:val="20"/>
        </w:rPr>
        <w:t>Gráfico 11. </w:t>
      </w:r>
      <w:r>
        <w:rPr>
          <w:b/>
          <w:sz w:val="20"/>
        </w:rPr>
        <w:t>Precios spot de WTI en 2020 y-2021</w:t>
      </w:r>
    </w:p>
    <w:p>
      <w:pPr>
        <w:tabs>
          <w:tab w:pos="2945" w:val="left" w:leader="none"/>
          <w:tab w:pos="4782" w:val="left" w:leader="none"/>
        </w:tabs>
        <w:spacing w:before="177"/>
        <w:ind w:left="1683" w:right="0" w:firstLine="0"/>
        <w:jc w:val="left"/>
        <w:rPr>
          <w:sz w:val="16"/>
        </w:rPr>
      </w:pPr>
      <w:r>
        <w:rPr/>
        <w:pict>
          <v:group style="position:absolute;margin-left:142.919998pt;margin-top:28.298721pt;width:353.55pt;height:113.55pt;mso-position-horizontal-relative:page;mso-position-vertical-relative:paragraph;z-index:-281601024" coordorigin="2858,566" coordsize="7071,2271">
            <v:shape style="position:absolute;left:0;top:14149;width:7052;height:84" coordorigin="0,14150" coordsize="7052,84" path="m2870,2145l9922,2145m2870,2145l2870,2176m3163,2145l3163,2176m3475,2145l3475,2176m3778,2145l3778,2176m4090,2145l4090,2176m4392,2145l4392,2176m4704,2145l4704,2176m5016,2145l5016,2176m5318,2145l5318,2176m5630,2145l5630,2176m5933,2145l5933,2176m6245,2145l6245,2176m6557,2145l6557,2176m6840,2145l6840,2176m7152,2145l7152,2176m7454,2145l7454,2176m7766,2145l7766,2176m8069,2145l8069,2176m8381,2145l8381,2176m8693,2145l8693,2176m8995,2145l8995,2176m9307,2145l9307,2176m9610,2145l9610,2176m9922,2145l9922,2176m2870,2104l2870,2188m3163,2104l3163,2188m3475,2104l3475,2188m3778,2104l3778,2188m4090,2104l4090,2188m4392,2104l4392,2188m4704,2104l4704,2188m5016,2104l5016,2188m5318,2104l5318,2188m5630,2104l5630,2188m5933,2104l5933,2188m6245,2104l6245,2188m6557,2104l6557,2188m6840,2104l6840,2188m7152,2104l7152,2188m7454,2104l7454,2188m7766,2104l7766,2188m8069,2104l8069,2188m8381,2104l8381,2188m8693,2104l8693,2188m8995,2104l8995,2188m9307,2104l9307,2188m9610,2104l9610,2188m9922,2104l9922,2188e" filled="false" stroked="true" strokeweight=".72pt" strokecolor="#d9d9d9">
              <v:path arrowok="t"/>
              <v:stroke dashstyle="solid"/>
            </v:shape>
            <v:shape style="position:absolute;left:2870;top:577;width:7047;height:2247" coordorigin="2870,578" coordsize="7047,2247" path="m2870,1206l2897,1228,2906,1238,2916,1214,2926,1214,2938,1224,2966,1238,2976,1231,2988,1209,2998,1204,3007,1192,3048,1192,3058,1171,3067,1161,3077,1168,3108,1204,3118,1236,3127,1255,3137,1281,3149,1324,3178,1288,3187,1281,3199,1288,3209,1305,3218,1392,3250,1576,3259,1514,3269,1540,3278,1569,3288,1564,3319,1615,3329,1653,3338,1771,3350,1687,3360,1790,3389,1718,3401,1761,3410,1766,3420,1843,3430,1862,3461,1888,3470,1771,3480,1776,3490,1684,3502,1627,3530,1665,3540,1716,3552,1689,3562,1728,3602,1737,3612,1778,3622,1780,3631,1783,3641,1812,3672,2824,3682,1982,3691,1896,3703,1869,3713,1852,3742,1922,3751,1920,3763,1872,3773,1795,3782,1785,3814,1771,3823,1696,3833,1708,3842,1713,3852,1694,3883,1706,3893,1675,3902,1682,3914,1644,3924,1608,3953,1562,3965,1555,3974,1531,3984,1519,3994,1533,4034,1512,4044,1545,4054,1528,4066,1495,4094,1497,4104,1471,4116,1464,4126,1461,4135,1423,4166,1447,4176,1432,4186,1423,4195,1478,4205,1483,4236,1468,4246,1444,4255,1452,4267,1435,4277,1418,4306,1404,4318,1406,4327,1452,4337,1437,4346,1440,4378,1420,4387,1428,4397,1416,4406,1404,4447,1404,4457,1404,4466,1396,4478,1420,4488,1404,4517,1413,4529,1408,4538,1392,4548,1401,4558,1404,4589,1399,4598,1382,4608,1380,4618,1396,4630,1392,4658,1387,4668,1396,4680,1394,4690,1416,4699,1411,4730,1399,4740,1382,4750,1372,4759,1377,4769,1392,4800,1377,4810,1384,4819,1365,4831,1372,4841,1377,4870,1360,4882,1360,4891,1360,4901,1365,4910,1370,4942,1370,4951,1356,4961,1356,4970,1360,4982,1360,5011,1365,5021,1363,5033,1363,5042,1389,5052,1420,5093,1471,5102,1449,5112,1464,5122,1464,5153,1464,5162,1444,5172,1411,5182,1396,5194,1394,5222,1428,5232,1423,5244,1416,5254,1411,5263,1413,5294,1406,5304,1432,5314,1413,5323,1442,5333,1471,5364,1430,5374,1404,5383,1418,5395,1394,5405,1406,5434,1428,5446,1413,5455,1399,5465,1399,5474,1401,5506,1401,5515,1389,5525,1416,5534,1406,5546,1418,5575,1442,5585,1425,5597,1464,5606,1488,5616,1492,5647,1476,5657,1461,5666,1432,5676,1440,5686,1468,5717,1413,5726,1392,5736,1392,5746,1396,5758,1416,5786,1392,5796,1392,5808,1384,5818,1384,5827,1377,5858,1360,5868,1327,5878,1312,5928,1317,5938,1332,5947,1317,5959,1310,5969,1300,5998,1310,6010,1310,6019,1312,6029,1291,6038,1293,6070,1286,6079,1274,6089,1269,6098,1262,6110,1248,6139,1272,6149,1286,6161,1269,6170,1264,6211,1276,6221,1269,6230,1262,6240,1260,6281,1276,6290,1236,6300,1221,6312,1219,6322,1192,6350,1190,6362,1173,6372,1178,6382,1166,6391,1190,6432,1178,6442,1173,6451,1176,6461,1188,6492,1180,6502,1183,6511,1178,6523,1190,6533,1190,6562,1166,6574,1142,6583,1128,6593,1118,6602,1106,6634,1084,6643,1077,6653,1072,6662,1080,6674,1056,6713,1046,6725,1027,6734,1039,6744,1063,6775,1017,6785,1017,6794,988,6804,984,6814,1020,6845,1036,6854,1053,6864,1022,6876,976,6886,936,6914,955,6926,974,6936,967,6946,938,6955,945,6986,950,6996,960,7006,964,7015,1048,7027,1022,7056,1020,7066,1089,7078,1027,7087,1075,7097,1029,7126,1020,7138,1036,7147,1063,7157,1022,7198,1070,7207,1060,7217,1051,7226,1056,7238,1060,7267,1053,7277,1044,7289,991,7298,984,7308,988,7339,986,7349,1000,7358,1022,7368,1020,7378,1008,7409,1010,7418,991,7428,976,7440,955,7450,984,7478,967,7490,943,7500,945,7510,960,7519,957,7550,957,7560,950,7570,938,7579,976,7591,950,7620,933,7630,948,7642,988,7651,1012,7661,981,7692,936,7702,933,7711,931,7721,921,7730,931,7771,904,7781,885,7790,885,7802,873,7831,878,7841,861,7853,866,7862,859,7872,847,7903,847,7913,828,7922,828,7932,844,7942,835,7973,796,7982,806,7992,808,8004,804,8014,787,8042,811,8054,806,8064,799,8074,768,8083,765,8124,799,8134,823,8143,811,8155,780,8184,787,8194,768,8206,808,8215,835,8225,832,8256,928,8266,914,8275,859,8285,825,8294,823,8326,825,8335,832,8345,820,8357,799,8366,792,8395,840,8407,852,8417,897,8426,880,8436,897,8467,926,8477,895,8486,878,8496,880,8506,895,8537,912,8546,928,8556,950,8568,979,8578,1005,8606,943,8618,909,8628,890,8638,912,8647,885,8678,878,8688,892,8698,890,8707,864,8719,876,8758,892,8770,876,8779,897,8789,868,8820,854,8830,854,8839,816,8849,816,8858,825,8890,856,8899,854,8909,820,8921,801,8930,787,8959,763,8971,765,8981,772,8990,768,9000,753,9031,724,9041,696,9050,724,9060,710,9072,688,9101,669,9110,667,9120,669,9132,655,9142,638,9170,633,9182,624,9192,600,9202,633,9211,597,9242,597,9252,578,9262,633,9271,631,9283,616,9312,607,9322,609,9334,667,9343,700,9353,657,9384,645,9394,607,9403,660,9413,655,9422,664,9454,664,9463,667,9473,712,9485,700,9494,753,9523,741,9535,712,9545,712,9595,866,9605,936,9614,948,9624,926,9636,931,9665,871,9674,828,9686,820,9696,849,9706,832,9737,842,9746,854,9756,847,9766,820,9775,847,9806,888,9816,844,9826,813,9835,794,9876,763,9886,753,9898,744,9907,739,9917,768e" filled="false" stroked="true" strokeweight="1.2pt" strokecolor="#001f5f">
              <v:path arrowok="t"/>
              <v:stroke dashstyle="solid"/>
            </v:shape>
            <v:line style="position:absolute" from="2852,1429" to="6259,1429" stroked="true" strokeweight="1.8pt" strokecolor="#538235">
              <v:stroke dashstyle="solid"/>
            </v:line>
            <v:line style="position:absolute" from="6262,898" to="9936,898" stroked="true" strokeweight="1.8pt" strokecolor="#c00000">
              <v:stroke dashstyle="solid"/>
            </v:line>
            <w10:wrap type="none"/>
          </v:group>
        </w:pict>
      </w:r>
      <w:r>
        <w:rPr/>
        <w:pict>
          <v:line style="position:absolute;mso-position-horizontal-relative:page;mso-position-vertical-relative:paragraph;z-index:251719680" from="206.880005pt,13.898721pt" to="226.080005pt,13.898721pt" stroked="true" strokeweight="1.2pt" strokecolor="#001f5f">
            <v:stroke dashstyle="solid"/>
            <w10:wrap type="none"/>
          </v:line>
        </w:pict>
      </w:r>
      <w:r>
        <w:rPr/>
        <w:pict>
          <v:line style="position:absolute;mso-position-horizontal-relative:page;mso-position-vertical-relative:paragraph;z-index:-281598976" from="270.059998pt,13.83872pt" to="289.259998pt,13.83872pt" stroked="true" strokeweight="1.8pt" strokecolor="#538235">
            <v:stroke dashstyle="solid"/>
            <w10:wrap type="none"/>
          </v:line>
        </w:pict>
      </w:r>
      <w:r>
        <w:rPr/>
        <w:pict>
          <v:line style="position:absolute;mso-position-horizontal-relative:page;mso-position-vertical-relative:paragraph;z-index:-281597952" from="361.859985pt,13.83872pt" to="381.059985pt,13.83872pt" stroked="true" strokeweight="1.8pt" strokecolor="#c00000">
            <v:stroke dashstyle="solid"/>
            <w10:wrap type="none"/>
          </v:line>
        </w:pict>
      </w:r>
      <w:r>
        <w:rPr>
          <w:color w:val="585858"/>
          <w:sz w:val="16"/>
        </w:rPr>
        <w:t>Precio</w:t>
        <w:tab/>
        <w:t>Promedio</w:t>
      </w:r>
      <w:r>
        <w:rPr>
          <w:color w:val="585858"/>
          <w:spacing w:val="-3"/>
          <w:sz w:val="16"/>
        </w:rPr>
        <w:t> </w:t>
      </w:r>
      <w:r>
        <w:rPr>
          <w:color w:val="585858"/>
          <w:sz w:val="16"/>
        </w:rPr>
        <w:t>2020</w:t>
        <w:tab/>
        <w:t>Promedio</w:t>
      </w:r>
      <w:r>
        <w:rPr>
          <w:color w:val="585858"/>
          <w:spacing w:val="-3"/>
          <w:sz w:val="16"/>
        </w:rPr>
        <w:t> </w:t>
      </w:r>
      <w:r>
        <w:rPr>
          <w:color w:val="585858"/>
          <w:spacing w:val="-4"/>
          <w:sz w:val="16"/>
        </w:rPr>
        <w:t>2021</w:t>
      </w:r>
    </w:p>
    <w:p>
      <w:pPr>
        <w:pStyle w:val="BodyText"/>
        <w:rPr>
          <w:sz w:val="18"/>
        </w:rPr>
      </w:pPr>
    </w:p>
    <w:p>
      <w:pPr>
        <w:pStyle w:val="BodyText"/>
        <w:rPr>
          <w:sz w:val="18"/>
        </w:rPr>
      </w:pPr>
    </w:p>
    <w:p>
      <w:pPr>
        <w:pStyle w:val="BodyText"/>
        <w:spacing w:before="10"/>
      </w:pPr>
    </w:p>
    <w:p>
      <w:pPr>
        <w:tabs>
          <w:tab w:pos="5192" w:val="left" w:leader="none"/>
        </w:tabs>
        <w:spacing w:before="0"/>
        <w:ind w:left="1485" w:right="0" w:firstLine="0"/>
        <w:jc w:val="left"/>
        <w:rPr>
          <w:b/>
          <w:sz w:val="16"/>
        </w:rPr>
      </w:pPr>
      <w:r>
        <w:rPr>
          <w:b/>
          <w:color w:val="538235"/>
          <w:position w:val="-6"/>
          <w:sz w:val="16"/>
        </w:rPr>
        <w:t>39.2</w:t>
        <w:tab/>
      </w:r>
      <w:r>
        <w:rPr>
          <w:b/>
          <w:color w:val="C00000"/>
          <w:sz w:val="16"/>
        </w:rPr>
        <w:t>68.1</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spacing w:before="105"/>
        <w:ind w:left="1180" w:right="1952" w:firstLine="0"/>
        <w:jc w:val="center"/>
        <w:rPr>
          <w:b/>
          <w:sz w:val="16"/>
        </w:rPr>
      </w:pPr>
      <w:r>
        <w:rPr>
          <w:b/>
          <w:color w:val="1F3863"/>
          <w:sz w:val="16"/>
        </w:rPr>
        <w:t>75.33</w:t>
      </w:r>
    </w:p>
    <w:p>
      <w:pPr>
        <w:spacing w:after="0"/>
        <w:jc w:val="center"/>
        <w:rPr>
          <w:sz w:val="16"/>
        </w:rPr>
        <w:sectPr>
          <w:pgSz w:w="12240" w:h="15840"/>
          <w:pgMar w:header="715" w:footer="957" w:top="1240" w:bottom="1140" w:left="1140" w:right="0"/>
          <w:cols w:num="3" w:equalWidth="0">
            <w:col w:w="1596" w:space="144"/>
            <w:col w:w="5766" w:space="62"/>
            <w:col w:w="3532"/>
          </w:cols>
        </w:sectPr>
      </w:pPr>
    </w:p>
    <w:p>
      <w:pPr>
        <w:pStyle w:val="BodyText"/>
        <w:spacing w:before="10"/>
        <w:rPr>
          <w:b/>
          <w:sz w:val="15"/>
        </w:rPr>
      </w:pPr>
    </w:p>
    <w:p>
      <w:pPr>
        <w:spacing w:before="0"/>
        <w:ind w:left="1276" w:right="0" w:firstLine="0"/>
        <w:jc w:val="left"/>
        <w:rPr>
          <w:sz w:val="16"/>
        </w:rPr>
      </w:pPr>
      <w:r>
        <w:rPr>
          <w:color w:val="585858"/>
          <w:sz w:val="16"/>
        </w:rPr>
        <w:t>20.0</w:t>
      </w:r>
    </w:p>
    <w:p>
      <w:pPr>
        <w:pStyle w:val="BodyText"/>
        <w:spacing w:before="10"/>
        <w:rPr>
          <w:sz w:val="15"/>
        </w:rPr>
      </w:pPr>
    </w:p>
    <w:p>
      <w:pPr>
        <w:spacing w:before="0"/>
        <w:ind w:left="1422" w:right="0" w:firstLine="0"/>
        <w:jc w:val="left"/>
        <w:rPr>
          <w:sz w:val="16"/>
        </w:rPr>
      </w:pPr>
      <w:r>
        <w:rPr>
          <w:color w:val="585858"/>
          <w:w w:val="100"/>
          <w:sz w:val="16"/>
        </w:rPr>
        <w:t>-</w:t>
      </w:r>
    </w:p>
    <w:p>
      <w:pPr>
        <w:pStyle w:val="BodyText"/>
        <w:spacing w:before="9"/>
        <w:rPr>
          <w:sz w:val="15"/>
        </w:rPr>
      </w:pPr>
    </w:p>
    <w:p>
      <w:pPr>
        <w:spacing w:before="1"/>
        <w:ind w:left="1221" w:right="0" w:firstLine="0"/>
        <w:jc w:val="left"/>
        <w:rPr>
          <w:sz w:val="16"/>
        </w:rPr>
      </w:pPr>
      <w:r>
        <w:rPr>
          <w:color w:val="585858"/>
          <w:sz w:val="16"/>
        </w:rPr>
        <w:t>-20.0</w:t>
      </w:r>
    </w:p>
    <w:p>
      <w:pPr>
        <w:pStyle w:val="BodyText"/>
        <w:spacing w:before="10"/>
        <w:rPr>
          <w:sz w:val="15"/>
        </w:rPr>
      </w:pPr>
    </w:p>
    <w:p>
      <w:pPr>
        <w:spacing w:before="0"/>
        <w:ind w:left="1221" w:right="0" w:firstLine="0"/>
        <w:jc w:val="left"/>
        <w:rPr>
          <w:sz w:val="16"/>
        </w:rPr>
      </w:pPr>
      <w:r>
        <w:rPr>
          <w:color w:val="585858"/>
          <w:sz w:val="16"/>
        </w:rPr>
        <w:t>-40.0</w:t>
      </w:r>
    </w:p>
    <w:p>
      <w:pPr>
        <w:pStyle w:val="BodyText"/>
        <w:spacing w:before="10"/>
        <w:rPr>
          <w:sz w:val="15"/>
        </w:rPr>
      </w:pPr>
    </w:p>
    <w:p>
      <w:pPr>
        <w:spacing w:before="0"/>
        <w:ind w:left="1221" w:right="0" w:firstLine="0"/>
        <w:jc w:val="left"/>
        <w:rPr>
          <w:sz w:val="16"/>
        </w:rPr>
      </w:pPr>
      <w:r>
        <w:rPr/>
        <w:pict>
          <v:shape style="position:absolute;margin-left:138.977844pt;margin-top:8.250504pt;width:9.75pt;height:27.2pt;mso-position-horizontal-relative:page;mso-position-vertical-relative:paragraph;z-index:251722752" type="#_x0000_t202" filled="false" stroked="false">
            <v:textbox inset="0,0,0,0" style="layout-flow:vertical;mso-layout-flow-alt:bottom-to-top">
              <w:txbxContent>
                <w:p>
                  <w:pPr>
                    <w:spacing w:before="13"/>
                    <w:ind w:left="20" w:right="0" w:firstLine="0"/>
                    <w:jc w:val="left"/>
                    <w:rPr>
                      <w:sz w:val="14"/>
                    </w:rPr>
                  </w:pPr>
                  <w:r>
                    <w:rPr>
                      <w:color w:val="585858"/>
                      <w:sz w:val="14"/>
                    </w:rPr>
                    <w:t>feb-2020</w:t>
                  </w:r>
                </w:p>
              </w:txbxContent>
            </v:textbox>
            <w10:wrap type="none"/>
          </v:shape>
        </w:pict>
      </w:r>
      <w:r>
        <w:rPr/>
        <w:pict>
          <v:shape style="position:absolute;margin-left:153.597855pt;margin-top:8.159945pt;width:9.75pt;height:29.25pt;mso-position-horizontal-relative:page;mso-position-vertical-relative:paragraph;z-index:251723776" type="#_x0000_t202" filled="false" stroked="false">
            <v:textbox inset="0,0,0,0" style="layout-flow:vertical;mso-layout-flow-alt:bottom-to-top">
              <w:txbxContent>
                <w:p>
                  <w:pPr>
                    <w:spacing w:before="13"/>
                    <w:ind w:left="20" w:right="0" w:firstLine="0"/>
                    <w:jc w:val="left"/>
                    <w:rPr>
                      <w:sz w:val="14"/>
                    </w:rPr>
                  </w:pPr>
                  <w:r>
                    <w:rPr>
                      <w:color w:val="585858"/>
                      <w:sz w:val="14"/>
                    </w:rPr>
                    <w:t>mar-2020</w:t>
                  </w:r>
                </w:p>
              </w:txbxContent>
            </v:textbox>
            <w10:wrap type="none"/>
          </v:shape>
        </w:pict>
      </w:r>
      <w:r>
        <w:rPr/>
        <w:pict>
          <v:shape style="position:absolute;margin-left:169.21785pt;margin-top:8.250504pt;width:9.75pt;height:27.2pt;mso-position-horizontal-relative:page;mso-position-vertical-relative:paragraph;z-index:251724800" type="#_x0000_t202" filled="false" stroked="false">
            <v:textbox inset="0,0,0,0" style="layout-flow:vertical;mso-layout-flow-alt:bottom-to-top">
              <w:txbxContent>
                <w:p>
                  <w:pPr>
                    <w:spacing w:before="13"/>
                    <w:ind w:left="20" w:right="0" w:firstLine="0"/>
                    <w:jc w:val="left"/>
                    <w:rPr>
                      <w:sz w:val="14"/>
                    </w:rPr>
                  </w:pPr>
                  <w:r>
                    <w:rPr>
                      <w:color w:val="585858"/>
                      <w:sz w:val="14"/>
                    </w:rPr>
                    <w:t>abr-2020</w:t>
                  </w:r>
                </w:p>
              </w:txbxContent>
            </v:textbox>
            <w10:wrap type="none"/>
          </v:shape>
        </w:pict>
      </w:r>
      <w:r>
        <w:rPr/>
        <w:pict>
          <v:shape style="position:absolute;margin-left:184.317856pt;margin-top:8.242954pt;width:9.75pt;height:30.35pt;mso-position-horizontal-relative:page;mso-position-vertical-relative:paragraph;z-index:251725824" type="#_x0000_t202" filled="false" stroked="false">
            <v:textbox inset="0,0,0,0" style="layout-flow:vertical;mso-layout-flow-alt:bottom-to-top">
              <w:txbxContent>
                <w:p>
                  <w:pPr>
                    <w:spacing w:before="13"/>
                    <w:ind w:left="20" w:right="0" w:firstLine="0"/>
                    <w:jc w:val="left"/>
                    <w:rPr>
                      <w:sz w:val="14"/>
                    </w:rPr>
                  </w:pPr>
                  <w:r>
                    <w:rPr>
                      <w:color w:val="585858"/>
                      <w:sz w:val="14"/>
                    </w:rPr>
                    <w:t>may-2020</w:t>
                  </w:r>
                </w:p>
              </w:txbxContent>
            </v:textbox>
            <w10:wrap type="none"/>
          </v:shape>
        </w:pict>
      </w:r>
      <w:r>
        <w:rPr/>
        <w:pict>
          <v:shape style="position:absolute;margin-left:199.937851pt;margin-top:8.271259pt;width:9.75pt;height:27.2pt;mso-position-horizontal-relative:page;mso-position-vertical-relative:paragraph;z-index:251726848" type="#_x0000_t202" filled="false" stroked="false">
            <v:textbox inset="0,0,0,0" style="layout-flow:vertical;mso-layout-flow-alt:bottom-to-top">
              <w:txbxContent>
                <w:p>
                  <w:pPr>
                    <w:spacing w:before="13"/>
                    <w:ind w:left="20" w:right="0" w:firstLine="0"/>
                    <w:jc w:val="left"/>
                    <w:rPr>
                      <w:sz w:val="14"/>
                    </w:rPr>
                  </w:pPr>
                  <w:r>
                    <w:rPr>
                      <w:color w:val="585858"/>
                      <w:sz w:val="14"/>
                    </w:rPr>
                    <w:t>jun-2020</w:t>
                  </w:r>
                </w:p>
              </w:txbxContent>
            </v:textbox>
            <w10:wrap type="none"/>
          </v:shape>
        </w:pict>
      </w:r>
      <w:r>
        <w:rPr/>
        <w:pict>
          <v:shape style="position:absolute;margin-left:215.057846pt;margin-top:8.160047pt;width:9.75pt;height:25.75pt;mso-position-horizontal-relative:page;mso-position-vertical-relative:paragraph;z-index:251727872" type="#_x0000_t202" filled="false" stroked="false">
            <v:textbox inset="0,0,0,0" style="layout-flow:vertical;mso-layout-flow-alt:bottom-to-top">
              <w:txbxContent>
                <w:p>
                  <w:pPr>
                    <w:spacing w:before="13"/>
                    <w:ind w:left="20" w:right="0" w:firstLine="0"/>
                    <w:jc w:val="left"/>
                    <w:rPr>
                      <w:sz w:val="14"/>
                    </w:rPr>
                  </w:pPr>
                  <w:r>
                    <w:rPr>
                      <w:color w:val="585858"/>
                      <w:sz w:val="14"/>
                    </w:rPr>
                    <w:t>jul-2020</w:t>
                  </w:r>
                </w:p>
              </w:txbxContent>
            </v:textbox>
            <w10:wrap type="none"/>
          </v:shape>
        </w:pict>
      </w:r>
      <w:r>
        <w:rPr/>
        <w:pict>
          <v:shape style="position:absolute;margin-left:230.657852pt;margin-top:8.233383pt;width:9.75pt;height:28.4pt;mso-position-horizontal-relative:page;mso-position-vertical-relative:paragraph;z-index:251728896" type="#_x0000_t202" filled="false" stroked="false">
            <v:textbox inset="0,0,0,0" style="layout-flow:vertical;mso-layout-flow-alt:bottom-to-top">
              <w:txbxContent>
                <w:p>
                  <w:pPr>
                    <w:spacing w:before="13"/>
                    <w:ind w:left="20" w:right="0" w:firstLine="0"/>
                    <w:jc w:val="left"/>
                    <w:rPr>
                      <w:sz w:val="14"/>
                    </w:rPr>
                  </w:pPr>
                  <w:r>
                    <w:rPr>
                      <w:color w:val="585858"/>
                      <w:sz w:val="14"/>
                    </w:rPr>
                    <w:t>ago-2020</w:t>
                  </w:r>
                </w:p>
              </w:txbxContent>
            </v:textbox>
            <w10:wrap type="none"/>
          </v:shape>
        </w:pict>
      </w:r>
      <w:r>
        <w:rPr/>
        <w:pict>
          <v:shape style="position:absolute;margin-left:246.287857pt;margin-top:8.18714pt;width:9.75pt;height:27.7pt;mso-position-horizontal-relative:page;mso-position-vertical-relative:paragraph;z-index:251729920" type="#_x0000_t202" filled="false" stroked="false">
            <v:textbox inset="0,0,0,0" style="layout-flow:vertical;mso-layout-flow-alt:bottom-to-top">
              <w:txbxContent>
                <w:p>
                  <w:pPr>
                    <w:spacing w:before="13"/>
                    <w:ind w:left="20" w:right="0" w:firstLine="0"/>
                    <w:jc w:val="left"/>
                    <w:rPr>
                      <w:sz w:val="14"/>
                    </w:rPr>
                  </w:pPr>
                  <w:r>
                    <w:rPr>
                      <w:color w:val="585858"/>
                      <w:sz w:val="14"/>
                    </w:rPr>
                    <w:t>sep-2020</w:t>
                  </w:r>
                </w:p>
              </w:txbxContent>
            </v:textbox>
            <w10:wrap type="none"/>
          </v:shape>
        </w:pict>
      </w:r>
      <w:r>
        <w:rPr/>
        <w:pict>
          <v:shape style="position:absolute;margin-left:261.407837pt;margin-top:8.232294pt;width:9.75pt;height:26.85pt;mso-position-horizontal-relative:page;mso-position-vertical-relative:paragraph;z-index:251730944" type="#_x0000_t202" filled="false" stroked="false">
            <v:textbox inset="0,0,0,0" style="layout-flow:vertical;mso-layout-flow-alt:bottom-to-top">
              <w:txbxContent>
                <w:p>
                  <w:pPr>
                    <w:spacing w:before="13"/>
                    <w:ind w:left="20" w:right="0" w:firstLine="0"/>
                    <w:jc w:val="left"/>
                    <w:rPr>
                      <w:sz w:val="14"/>
                    </w:rPr>
                  </w:pPr>
                  <w:r>
                    <w:rPr>
                      <w:color w:val="585858"/>
                      <w:sz w:val="14"/>
                    </w:rPr>
                    <w:t>oct-2020</w:t>
                  </w:r>
                </w:p>
              </w:txbxContent>
            </v:textbox>
            <w10:wrap type="none"/>
          </v:shape>
        </w:pict>
      </w:r>
      <w:r>
        <w:rPr/>
        <w:pict>
          <v:shape style="position:absolute;margin-left:277.007843pt;margin-top:8.274474pt;width:9.75pt;height:28.8pt;mso-position-horizontal-relative:page;mso-position-vertical-relative:paragraph;z-index:251731968" type="#_x0000_t202" filled="false" stroked="false">
            <v:textbox inset="0,0,0,0" style="layout-flow:vertical;mso-layout-flow-alt:bottom-to-top">
              <w:txbxContent>
                <w:p>
                  <w:pPr>
                    <w:spacing w:before="13"/>
                    <w:ind w:left="20" w:right="0" w:firstLine="0"/>
                    <w:jc w:val="left"/>
                    <w:rPr>
                      <w:sz w:val="14"/>
                    </w:rPr>
                  </w:pPr>
                  <w:r>
                    <w:rPr>
                      <w:color w:val="585858"/>
                      <w:sz w:val="14"/>
                    </w:rPr>
                    <w:t>nov-2020</w:t>
                  </w:r>
                </w:p>
              </w:txbxContent>
            </v:textbox>
            <w10:wrap type="none"/>
          </v:shape>
        </w:pict>
      </w:r>
      <w:r>
        <w:rPr/>
        <w:pict>
          <v:shape style="position:absolute;margin-left:292.127838pt;margin-top:8.227631pt;width:9.75pt;height:26.85pt;mso-position-horizontal-relative:page;mso-position-vertical-relative:paragraph;z-index:251732992" type="#_x0000_t202" filled="false" stroked="false">
            <v:textbox inset="0,0,0,0" style="layout-flow:vertical;mso-layout-flow-alt:bottom-to-top">
              <w:txbxContent>
                <w:p>
                  <w:pPr>
                    <w:spacing w:before="13"/>
                    <w:ind w:left="20" w:right="0" w:firstLine="0"/>
                    <w:jc w:val="left"/>
                    <w:rPr>
                      <w:sz w:val="14"/>
                    </w:rPr>
                  </w:pPr>
                  <w:r>
                    <w:rPr>
                      <w:color w:val="585858"/>
                      <w:sz w:val="14"/>
                    </w:rPr>
                    <w:t>dic-2020</w:t>
                  </w:r>
                </w:p>
              </w:txbxContent>
            </v:textbox>
            <w10:wrap type="none"/>
          </v:shape>
        </w:pict>
      </w:r>
      <w:r>
        <w:rPr/>
        <w:pict>
          <v:shape style="position:absolute;margin-left:307.747864pt;margin-top:8.213357pt;width:9.75pt;height:28.05pt;mso-position-horizontal-relative:page;mso-position-vertical-relative:paragraph;z-index:251734016" type="#_x0000_t202" filled="false" stroked="false">
            <v:textbox inset="0,0,0,0" style="layout-flow:vertical;mso-layout-flow-alt:bottom-to-top">
              <w:txbxContent>
                <w:p>
                  <w:pPr>
                    <w:spacing w:before="13"/>
                    <w:ind w:left="20" w:right="0" w:firstLine="0"/>
                    <w:jc w:val="left"/>
                    <w:rPr>
                      <w:sz w:val="14"/>
                    </w:rPr>
                  </w:pPr>
                  <w:r>
                    <w:rPr>
                      <w:color w:val="585858"/>
                      <w:sz w:val="14"/>
                    </w:rPr>
                    <w:t>ene-2021</w:t>
                  </w:r>
                </w:p>
              </w:txbxContent>
            </v:textbox>
            <w10:wrap type="none"/>
          </v:shape>
        </w:pict>
      </w:r>
      <w:r>
        <w:rPr/>
        <w:pict>
          <v:shape style="position:absolute;margin-left:323.347839pt;margin-top:8.159945pt;width:23.85pt;height:29.25pt;mso-position-horizontal-relative:page;mso-position-vertical-relative:paragraph;z-index:251735040" type="#_x0000_t202" filled="false" stroked="false">
            <v:textbox inset="0,0,0,0" style="layout-flow:vertical;mso-layout-flow-alt:bottom-to-top">
              <w:txbxContent>
                <w:p>
                  <w:pPr>
                    <w:spacing w:before="13"/>
                    <w:ind w:left="59" w:right="0" w:firstLine="0"/>
                    <w:jc w:val="left"/>
                    <w:rPr>
                      <w:sz w:val="14"/>
                    </w:rPr>
                  </w:pPr>
                  <w:r>
                    <w:rPr>
                      <w:color w:val="585858"/>
                      <w:sz w:val="14"/>
                    </w:rPr>
                    <w:t>feb-2021</w:t>
                  </w:r>
                </w:p>
                <w:p>
                  <w:pPr>
                    <w:spacing w:before="121"/>
                    <w:ind w:left="20" w:right="0" w:firstLine="0"/>
                    <w:jc w:val="left"/>
                    <w:rPr>
                      <w:sz w:val="14"/>
                    </w:rPr>
                  </w:pPr>
                  <w:r>
                    <w:rPr>
                      <w:color w:val="585858"/>
                      <w:sz w:val="14"/>
                    </w:rPr>
                    <w:t>mar-2021</w:t>
                  </w:r>
                </w:p>
              </w:txbxContent>
            </v:textbox>
            <w10:wrap type="none"/>
          </v:shape>
        </w:pict>
      </w:r>
      <w:r>
        <w:rPr/>
        <w:pict>
          <v:shape style="position:absolute;margin-left:353.08786pt;margin-top:8.250504pt;width:9.75pt;height:27.2pt;mso-position-horizontal-relative:page;mso-position-vertical-relative:paragraph;z-index:251736064" type="#_x0000_t202" filled="false" stroked="false">
            <v:textbox inset="0,0,0,0" style="layout-flow:vertical;mso-layout-flow-alt:bottom-to-top">
              <w:txbxContent>
                <w:p>
                  <w:pPr>
                    <w:spacing w:before="13"/>
                    <w:ind w:left="20" w:right="0" w:firstLine="0"/>
                    <w:jc w:val="left"/>
                    <w:rPr>
                      <w:sz w:val="14"/>
                    </w:rPr>
                  </w:pPr>
                  <w:r>
                    <w:rPr>
                      <w:color w:val="585858"/>
                      <w:sz w:val="14"/>
                    </w:rPr>
                    <w:t>abr-2021</w:t>
                  </w:r>
                </w:p>
              </w:txbxContent>
            </v:textbox>
            <w10:wrap type="none"/>
          </v:shape>
        </w:pict>
      </w:r>
      <w:r>
        <w:rPr/>
        <w:pict>
          <v:shape style="position:absolute;margin-left:368.177856pt;margin-top:8.242954pt;width:9.75pt;height:30.35pt;mso-position-horizontal-relative:page;mso-position-vertical-relative:paragraph;z-index:251737088" type="#_x0000_t202" filled="false" stroked="false">
            <v:textbox inset="0,0,0,0" style="layout-flow:vertical;mso-layout-flow-alt:bottom-to-top">
              <w:txbxContent>
                <w:p>
                  <w:pPr>
                    <w:spacing w:before="13"/>
                    <w:ind w:left="20" w:right="0" w:firstLine="0"/>
                    <w:jc w:val="left"/>
                    <w:rPr>
                      <w:sz w:val="14"/>
                    </w:rPr>
                  </w:pPr>
                  <w:r>
                    <w:rPr>
                      <w:color w:val="585858"/>
                      <w:sz w:val="14"/>
                    </w:rPr>
                    <w:t>may-2021</w:t>
                  </w:r>
                </w:p>
              </w:txbxContent>
            </v:textbox>
            <w10:wrap type="none"/>
          </v:shape>
        </w:pict>
      </w:r>
      <w:r>
        <w:rPr/>
        <w:pict>
          <v:shape style="position:absolute;margin-left:383.807861pt;margin-top:8.271259pt;width:9.75pt;height:27.2pt;mso-position-horizontal-relative:page;mso-position-vertical-relative:paragraph;z-index:251738112" type="#_x0000_t202" filled="false" stroked="false">
            <v:textbox inset="0,0,0,0" style="layout-flow:vertical;mso-layout-flow-alt:bottom-to-top">
              <w:txbxContent>
                <w:p>
                  <w:pPr>
                    <w:spacing w:before="13"/>
                    <w:ind w:left="20" w:right="0" w:firstLine="0"/>
                    <w:jc w:val="left"/>
                    <w:rPr>
                      <w:sz w:val="14"/>
                    </w:rPr>
                  </w:pPr>
                  <w:r>
                    <w:rPr>
                      <w:color w:val="585858"/>
                      <w:sz w:val="14"/>
                    </w:rPr>
                    <w:t>jun-2021</w:t>
                  </w:r>
                </w:p>
              </w:txbxContent>
            </v:textbox>
            <w10:wrap type="none"/>
          </v:shape>
        </w:pict>
      </w:r>
      <w:r>
        <w:rPr/>
        <w:pict>
          <v:shape style="position:absolute;margin-left:398.927856pt;margin-top:8.160047pt;width:9.75pt;height:25.75pt;mso-position-horizontal-relative:page;mso-position-vertical-relative:paragraph;z-index:251739136" type="#_x0000_t202" filled="false" stroked="false">
            <v:textbox inset="0,0,0,0" style="layout-flow:vertical;mso-layout-flow-alt:bottom-to-top">
              <w:txbxContent>
                <w:p>
                  <w:pPr>
                    <w:spacing w:before="13"/>
                    <w:ind w:left="20" w:right="0" w:firstLine="0"/>
                    <w:jc w:val="left"/>
                    <w:rPr>
                      <w:sz w:val="14"/>
                    </w:rPr>
                  </w:pPr>
                  <w:r>
                    <w:rPr>
                      <w:color w:val="585858"/>
                      <w:sz w:val="14"/>
                    </w:rPr>
                    <w:t>jul-2021</w:t>
                  </w:r>
                </w:p>
              </w:txbxContent>
            </v:textbox>
            <w10:wrap type="none"/>
          </v:shape>
        </w:pict>
      </w:r>
      <w:r>
        <w:rPr/>
        <w:pict>
          <v:shape style="position:absolute;margin-left:414.527863pt;margin-top:8.233383pt;width:9.75pt;height:28.4pt;mso-position-horizontal-relative:page;mso-position-vertical-relative:paragraph;z-index:251740160" type="#_x0000_t202" filled="false" stroked="false">
            <v:textbox inset="0,0,0,0" style="layout-flow:vertical;mso-layout-flow-alt:bottom-to-top">
              <w:txbxContent>
                <w:p>
                  <w:pPr>
                    <w:spacing w:before="13"/>
                    <w:ind w:left="20" w:right="0" w:firstLine="0"/>
                    <w:jc w:val="left"/>
                    <w:rPr>
                      <w:sz w:val="14"/>
                    </w:rPr>
                  </w:pPr>
                  <w:r>
                    <w:rPr>
                      <w:color w:val="585858"/>
                      <w:sz w:val="14"/>
                    </w:rPr>
                    <w:t>ago-2021</w:t>
                  </w:r>
                </w:p>
              </w:txbxContent>
            </v:textbox>
            <w10:wrap type="none"/>
          </v:shape>
        </w:pict>
      </w:r>
      <w:r>
        <w:rPr/>
        <w:pict>
          <v:shape style="position:absolute;margin-left:430.147858pt;margin-top:8.18714pt;width:9.75pt;height:27.7pt;mso-position-horizontal-relative:page;mso-position-vertical-relative:paragraph;z-index:251741184" type="#_x0000_t202" filled="false" stroked="false">
            <v:textbox inset="0,0,0,0" style="layout-flow:vertical;mso-layout-flow-alt:bottom-to-top">
              <w:txbxContent>
                <w:p>
                  <w:pPr>
                    <w:spacing w:before="13"/>
                    <w:ind w:left="20" w:right="0" w:firstLine="0"/>
                    <w:jc w:val="left"/>
                    <w:rPr>
                      <w:sz w:val="14"/>
                    </w:rPr>
                  </w:pPr>
                  <w:r>
                    <w:rPr>
                      <w:color w:val="585858"/>
                      <w:sz w:val="14"/>
                    </w:rPr>
                    <w:t>sep-2021</w:t>
                  </w:r>
                </w:p>
              </w:txbxContent>
            </v:textbox>
            <w10:wrap type="none"/>
          </v:shape>
        </w:pict>
      </w:r>
      <w:r>
        <w:rPr/>
        <w:pict>
          <v:shape style="position:absolute;margin-left:445.267853pt;margin-top:8.232294pt;width:9.75pt;height:26.85pt;mso-position-horizontal-relative:page;mso-position-vertical-relative:paragraph;z-index:251742208" type="#_x0000_t202" filled="false" stroked="false">
            <v:textbox inset="0,0,0,0" style="layout-flow:vertical;mso-layout-flow-alt:bottom-to-top">
              <w:txbxContent>
                <w:p>
                  <w:pPr>
                    <w:spacing w:before="13"/>
                    <w:ind w:left="20" w:right="0" w:firstLine="0"/>
                    <w:jc w:val="left"/>
                    <w:rPr>
                      <w:sz w:val="14"/>
                    </w:rPr>
                  </w:pPr>
                  <w:r>
                    <w:rPr>
                      <w:color w:val="585858"/>
                      <w:sz w:val="14"/>
                    </w:rPr>
                    <w:t>oct-2021</w:t>
                  </w:r>
                </w:p>
              </w:txbxContent>
            </v:textbox>
            <w10:wrap type="none"/>
          </v:shape>
        </w:pict>
      </w:r>
      <w:r>
        <w:rPr/>
        <w:pict>
          <v:shape style="position:absolute;margin-left:460.867859pt;margin-top:8.274474pt;width:9.75pt;height:28.8pt;mso-position-horizontal-relative:page;mso-position-vertical-relative:paragraph;z-index:251743232" type="#_x0000_t202" filled="false" stroked="false">
            <v:textbox inset="0,0,0,0" style="layout-flow:vertical;mso-layout-flow-alt:bottom-to-top">
              <w:txbxContent>
                <w:p>
                  <w:pPr>
                    <w:spacing w:before="13"/>
                    <w:ind w:left="20" w:right="0" w:firstLine="0"/>
                    <w:jc w:val="left"/>
                    <w:rPr>
                      <w:sz w:val="14"/>
                    </w:rPr>
                  </w:pPr>
                  <w:r>
                    <w:rPr>
                      <w:color w:val="585858"/>
                      <w:sz w:val="14"/>
                    </w:rPr>
                    <w:t>nov-2021</w:t>
                  </w:r>
                </w:p>
              </w:txbxContent>
            </v:textbox>
            <w10:wrap type="none"/>
          </v:shape>
        </w:pict>
      </w:r>
      <w:r>
        <w:rPr/>
        <w:pict>
          <v:shape style="position:absolute;margin-left:475.987854pt;margin-top:8.227631pt;width:9.75pt;height:26.85pt;mso-position-horizontal-relative:page;mso-position-vertical-relative:paragraph;z-index:251744256" type="#_x0000_t202" filled="false" stroked="false">
            <v:textbox inset="0,0,0,0" style="layout-flow:vertical;mso-layout-flow-alt:bottom-to-top">
              <w:txbxContent>
                <w:p>
                  <w:pPr>
                    <w:spacing w:before="13"/>
                    <w:ind w:left="20" w:right="0" w:firstLine="0"/>
                    <w:jc w:val="left"/>
                    <w:rPr>
                      <w:sz w:val="14"/>
                    </w:rPr>
                  </w:pPr>
                  <w:r>
                    <w:rPr>
                      <w:color w:val="585858"/>
                      <w:sz w:val="14"/>
                    </w:rPr>
                    <w:t>dic-2021</w:t>
                  </w:r>
                </w:p>
              </w:txbxContent>
            </v:textbox>
            <w10:wrap type="none"/>
          </v:shape>
        </w:pict>
      </w:r>
      <w:r>
        <w:rPr>
          <w:color w:val="585858"/>
          <w:sz w:val="16"/>
        </w:rPr>
        <w:t>-60.0</w:t>
      </w:r>
    </w:p>
    <w:p>
      <w:pPr>
        <w:pStyle w:val="BodyText"/>
        <w:rPr>
          <w:sz w:val="20"/>
        </w:rPr>
      </w:pPr>
    </w:p>
    <w:p>
      <w:pPr>
        <w:pStyle w:val="BodyText"/>
        <w:rPr>
          <w:sz w:val="20"/>
        </w:rPr>
      </w:pPr>
    </w:p>
    <w:p>
      <w:pPr>
        <w:pStyle w:val="BodyText"/>
        <w:spacing w:before="8"/>
        <w:rPr>
          <w:sz w:val="25"/>
        </w:rPr>
      </w:pPr>
    </w:p>
    <w:p>
      <w:pPr>
        <w:spacing w:before="94"/>
        <w:ind w:left="1176" w:right="0" w:firstLine="0"/>
        <w:jc w:val="left"/>
        <w:rPr>
          <w:sz w:val="16"/>
        </w:rPr>
      </w:pPr>
      <w:r>
        <w:rPr>
          <w:sz w:val="16"/>
        </w:rPr>
        <w:t>Fuente: Adminsitración de Información de Energia de EE.UU</w:t>
      </w:r>
    </w:p>
    <w:p>
      <w:pPr>
        <w:pStyle w:val="BodyText"/>
        <w:spacing w:before="4"/>
        <w:rPr>
          <w:sz w:val="25"/>
        </w:rPr>
      </w:pPr>
    </w:p>
    <w:p>
      <w:pPr>
        <w:pStyle w:val="Heading2"/>
        <w:numPr>
          <w:ilvl w:val="0"/>
          <w:numId w:val="11"/>
        </w:numPr>
        <w:tabs>
          <w:tab w:pos="846" w:val="left" w:leader="none"/>
        </w:tabs>
        <w:spacing w:line="240" w:lineRule="auto" w:before="90" w:after="0"/>
        <w:ind w:left="845" w:right="0" w:hanging="284"/>
        <w:jc w:val="left"/>
      </w:pPr>
      <w:bookmarkStart w:name="_bookmark21" w:id="28"/>
      <w:bookmarkEnd w:id="28"/>
      <w:r>
        <w:rPr>
          <w:b w:val="0"/>
        </w:rPr>
      </w:r>
      <w:bookmarkStart w:name="_bookmark21" w:id="29"/>
      <w:bookmarkEnd w:id="29"/>
      <w:r>
        <w:rPr/>
        <w:t>P</w:t>
      </w:r>
      <w:r>
        <w:rPr/>
        <w:t>erspectivas de la economía mundial 2022</w:t>
      </w:r>
    </w:p>
    <w:p>
      <w:pPr>
        <w:pStyle w:val="BodyText"/>
        <w:spacing w:before="6"/>
        <w:rPr>
          <w:b/>
          <w:sz w:val="28"/>
        </w:rPr>
      </w:pPr>
    </w:p>
    <w:p>
      <w:pPr>
        <w:pStyle w:val="BodyText"/>
        <w:spacing w:line="276" w:lineRule="auto" w:before="1"/>
        <w:ind w:left="562" w:right="1692"/>
        <w:jc w:val="both"/>
      </w:pPr>
      <w:r>
        <w:rPr/>
        <w:t>La recuperación económica mundial se ha desacelerado después del repunte del año 2021, del 6.1%, con una normalización del 3.6%, como consecuencia de los continuos brotes de COVID-19, la disminución</w:t>
      </w:r>
      <w:r>
        <w:rPr>
          <w:spacing w:val="-13"/>
        </w:rPr>
        <w:t> </w:t>
      </w:r>
      <w:r>
        <w:rPr/>
        <w:t>del</w:t>
      </w:r>
      <w:r>
        <w:rPr>
          <w:spacing w:val="-13"/>
        </w:rPr>
        <w:t> </w:t>
      </w:r>
      <w:r>
        <w:rPr/>
        <w:t>apoyo</w:t>
      </w:r>
      <w:r>
        <w:rPr>
          <w:spacing w:val="-13"/>
        </w:rPr>
        <w:t> </w:t>
      </w:r>
      <w:r>
        <w:rPr/>
        <w:t>fiscal</w:t>
      </w:r>
      <w:r>
        <w:rPr>
          <w:spacing w:val="-11"/>
        </w:rPr>
        <w:t> </w:t>
      </w:r>
      <w:r>
        <w:rPr/>
        <w:t>y</w:t>
      </w:r>
      <w:r>
        <w:rPr>
          <w:spacing w:val="-16"/>
        </w:rPr>
        <w:t> </w:t>
      </w:r>
      <w:r>
        <w:rPr/>
        <w:t>la</w:t>
      </w:r>
      <w:r>
        <w:rPr>
          <w:spacing w:val="-13"/>
        </w:rPr>
        <w:t> </w:t>
      </w:r>
      <w:r>
        <w:rPr/>
        <w:t>incertidumbre</w:t>
      </w:r>
      <w:r>
        <w:rPr>
          <w:spacing w:val="-13"/>
        </w:rPr>
        <w:t> </w:t>
      </w:r>
      <w:r>
        <w:rPr/>
        <w:t>generada</w:t>
      </w:r>
      <w:r>
        <w:rPr>
          <w:spacing w:val="-13"/>
        </w:rPr>
        <w:t> </w:t>
      </w:r>
      <w:r>
        <w:rPr/>
        <w:t>por</w:t>
      </w:r>
      <w:r>
        <w:rPr>
          <w:spacing w:val="-13"/>
        </w:rPr>
        <w:t> </w:t>
      </w:r>
      <w:r>
        <w:rPr/>
        <w:t>la</w:t>
      </w:r>
      <w:r>
        <w:rPr>
          <w:spacing w:val="-13"/>
        </w:rPr>
        <w:t> </w:t>
      </w:r>
      <w:r>
        <w:rPr/>
        <w:t>guerra</w:t>
      </w:r>
      <w:r>
        <w:rPr>
          <w:spacing w:val="-13"/>
        </w:rPr>
        <w:t> </w:t>
      </w:r>
      <w:r>
        <w:rPr/>
        <w:t>Rusia-Ucrania.</w:t>
      </w:r>
      <w:r>
        <w:rPr>
          <w:spacing w:val="-13"/>
        </w:rPr>
        <w:t> </w:t>
      </w:r>
      <w:r>
        <w:rPr/>
        <w:t>Las</w:t>
      </w:r>
      <w:r>
        <w:rPr>
          <w:spacing w:val="-13"/>
        </w:rPr>
        <w:t> </w:t>
      </w:r>
      <w:r>
        <w:rPr/>
        <w:t>economías avanzadas esperan un crecimiento económico, para 2022, de 3.3%, mientras que las economías </w:t>
      </w:r>
      <w:r>
        <w:rPr>
          <w:spacing w:val="-3"/>
        </w:rPr>
        <w:t>en </w:t>
      </w:r>
      <w:r>
        <w:rPr/>
        <w:t>desarrollo proyectan</w:t>
      </w:r>
      <w:r>
        <w:rPr>
          <w:spacing w:val="-4"/>
        </w:rPr>
        <w:t> </w:t>
      </w:r>
      <w:r>
        <w:rPr/>
        <w:t>3.8%.</w:t>
      </w:r>
    </w:p>
    <w:p>
      <w:pPr>
        <w:pStyle w:val="BodyText"/>
        <w:spacing w:before="3"/>
        <w:rPr>
          <w:sz w:val="25"/>
        </w:rPr>
      </w:pPr>
    </w:p>
    <w:p>
      <w:pPr>
        <w:pStyle w:val="BodyText"/>
        <w:spacing w:line="276" w:lineRule="auto"/>
        <w:ind w:left="562" w:right="1695"/>
        <w:jc w:val="both"/>
      </w:pPr>
      <w:r>
        <w:rPr/>
        <w:t>Las perspectivas del Fondo Monetario Internacional -FMI-, en la revisión que hicieran en abril de 2022,</w:t>
      </w:r>
      <w:r>
        <w:rPr>
          <w:spacing w:val="-6"/>
        </w:rPr>
        <w:t> </w:t>
      </w:r>
      <w:r>
        <w:rPr/>
        <w:t>pronostican</w:t>
      </w:r>
      <w:r>
        <w:rPr>
          <w:spacing w:val="-5"/>
        </w:rPr>
        <w:t> </w:t>
      </w:r>
      <w:r>
        <w:rPr/>
        <w:t>que</w:t>
      </w:r>
      <w:r>
        <w:rPr>
          <w:spacing w:val="-6"/>
        </w:rPr>
        <w:t> </w:t>
      </w:r>
      <w:r>
        <w:rPr/>
        <w:t>el</w:t>
      </w:r>
      <w:r>
        <w:rPr>
          <w:spacing w:val="-4"/>
        </w:rPr>
        <w:t> </w:t>
      </w:r>
      <w:r>
        <w:rPr/>
        <w:t>crecimiento</w:t>
      </w:r>
      <w:r>
        <w:rPr>
          <w:spacing w:val="-6"/>
        </w:rPr>
        <w:t> </w:t>
      </w:r>
      <w:r>
        <w:rPr/>
        <w:t>en</w:t>
      </w:r>
      <w:r>
        <w:rPr>
          <w:spacing w:val="-6"/>
        </w:rPr>
        <w:t> </w:t>
      </w:r>
      <w:r>
        <w:rPr/>
        <w:t>la</w:t>
      </w:r>
      <w:r>
        <w:rPr>
          <w:spacing w:val="-5"/>
        </w:rPr>
        <w:t> </w:t>
      </w:r>
      <w:r>
        <w:rPr/>
        <w:t>zona</w:t>
      </w:r>
      <w:r>
        <w:rPr>
          <w:spacing w:val="-6"/>
        </w:rPr>
        <w:t> </w:t>
      </w:r>
      <w:r>
        <w:rPr/>
        <w:t>europea</w:t>
      </w:r>
      <w:r>
        <w:rPr>
          <w:spacing w:val="-6"/>
        </w:rPr>
        <w:t> </w:t>
      </w:r>
      <w:r>
        <w:rPr/>
        <w:t>se</w:t>
      </w:r>
      <w:r>
        <w:rPr>
          <w:spacing w:val="-5"/>
        </w:rPr>
        <w:t> </w:t>
      </w:r>
      <w:r>
        <w:rPr/>
        <w:t>reducirá</w:t>
      </w:r>
      <w:r>
        <w:rPr>
          <w:spacing w:val="-6"/>
        </w:rPr>
        <w:t> </w:t>
      </w:r>
      <w:r>
        <w:rPr/>
        <w:t>en</w:t>
      </w:r>
      <w:r>
        <w:rPr>
          <w:spacing w:val="-6"/>
        </w:rPr>
        <w:t> </w:t>
      </w:r>
      <w:r>
        <w:rPr/>
        <w:t>2.5%,</w:t>
      </w:r>
      <w:r>
        <w:rPr>
          <w:spacing w:val="-5"/>
        </w:rPr>
        <w:t> </w:t>
      </w:r>
      <w:r>
        <w:rPr/>
        <w:t>como</w:t>
      </w:r>
      <w:r>
        <w:rPr>
          <w:spacing w:val="-6"/>
        </w:rPr>
        <w:t> </w:t>
      </w:r>
      <w:r>
        <w:rPr/>
        <w:t>consecuencia</w:t>
      </w:r>
      <w:r>
        <w:rPr>
          <w:spacing w:val="-4"/>
        </w:rPr>
        <w:t> </w:t>
      </w:r>
      <w:r>
        <w:rPr/>
        <w:t>del desvanecimiento del impulso de la demanda interna y la reducción en los precios de los productos básicos. Se espera que la Federación Rusa, la economía más grande de la región, reduzca drásticamente al -8.5%, mientras que Inglaterra moderará a un 3.7%, respaldado por la demanda interna. Los riesgos del sector son negativos y hacen referencia a la posibilidad de nuevos brotes en la pandemia y a la alta volatilidad en los precios mundiales de energía como consecuencia de la incertidumbre política y riesgos geopolíticos provocados por el conflicto</w:t>
      </w:r>
      <w:r>
        <w:rPr>
          <w:spacing w:val="-13"/>
        </w:rPr>
        <w:t> </w:t>
      </w:r>
      <w:r>
        <w:rPr/>
        <w:t>Rusia-Ucrania.</w:t>
      </w:r>
    </w:p>
    <w:p>
      <w:pPr>
        <w:pStyle w:val="BodyText"/>
        <w:spacing w:before="3"/>
        <w:rPr>
          <w:sz w:val="25"/>
        </w:rPr>
      </w:pPr>
    </w:p>
    <w:p>
      <w:pPr>
        <w:pStyle w:val="BodyText"/>
        <w:spacing w:line="276" w:lineRule="auto"/>
        <w:ind w:left="562" w:right="1696"/>
        <w:jc w:val="both"/>
      </w:pPr>
      <w:r>
        <w:rPr/>
        <w:t>Además, el FMI prevé que, para la región de América Latina y el Caribe, el crecimiento regional disminuirá</w:t>
      </w:r>
      <w:r>
        <w:rPr>
          <w:spacing w:val="-2"/>
        </w:rPr>
        <w:t> </w:t>
      </w:r>
      <w:r>
        <w:rPr/>
        <w:t>hasta</w:t>
      </w:r>
      <w:r>
        <w:rPr>
          <w:spacing w:val="-4"/>
        </w:rPr>
        <w:t> </w:t>
      </w:r>
      <w:r>
        <w:rPr/>
        <w:t>ubicarse</w:t>
      </w:r>
      <w:r>
        <w:rPr>
          <w:spacing w:val="-4"/>
        </w:rPr>
        <w:t> </w:t>
      </w:r>
      <w:r>
        <w:rPr/>
        <w:t>en</w:t>
      </w:r>
      <w:r>
        <w:rPr>
          <w:spacing w:val="-2"/>
        </w:rPr>
        <w:t> </w:t>
      </w:r>
      <w:r>
        <w:rPr/>
        <w:t>2.5%</w:t>
      </w:r>
      <w:r>
        <w:rPr>
          <w:spacing w:val="-2"/>
        </w:rPr>
        <w:t> </w:t>
      </w:r>
      <w:r>
        <w:rPr/>
        <w:t>en</w:t>
      </w:r>
      <w:r>
        <w:rPr>
          <w:spacing w:val="-1"/>
        </w:rPr>
        <w:t> </w:t>
      </w:r>
      <w:r>
        <w:rPr/>
        <w:t>2022,</w:t>
      </w:r>
      <w:r>
        <w:rPr>
          <w:spacing w:val="-2"/>
        </w:rPr>
        <w:t> </w:t>
      </w:r>
      <w:r>
        <w:rPr/>
        <w:t>a</w:t>
      </w:r>
      <w:r>
        <w:rPr>
          <w:spacing w:val="-4"/>
        </w:rPr>
        <w:t> </w:t>
      </w:r>
      <w:r>
        <w:rPr/>
        <w:t>medida</w:t>
      </w:r>
      <w:r>
        <w:rPr>
          <w:spacing w:val="-4"/>
        </w:rPr>
        <w:t> </w:t>
      </w:r>
      <w:r>
        <w:rPr/>
        <w:t>que</w:t>
      </w:r>
      <w:r>
        <w:rPr>
          <w:spacing w:val="-2"/>
        </w:rPr>
        <w:t> </w:t>
      </w:r>
      <w:r>
        <w:rPr/>
        <w:t>se</w:t>
      </w:r>
      <w:r>
        <w:rPr>
          <w:spacing w:val="-1"/>
        </w:rPr>
        <w:t> </w:t>
      </w:r>
      <w:r>
        <w:rPr/>
        <w:t>endurezca</w:t>
      </w:r>
      <w:r>
        <w:rPr>
          <w:spacing w:val="-2"/>
        </w:rPr>
        <w:t> </w:t>
      </w:r>
      <w:r>
        <w:rPr/>
        <w:t>la</w:t>
      </w:r>
      <w:r>
        <w:rPr>
          <w:spacing w:val="-2"/>
        </w:rPr>
        <w:t> </w:t>
      </w:r>
      <w:r>
        <w:rPr/>
        <w:t>política</w:t>
      </w:r>
      <w:r>
        <w:rPr>
          <w:spacing w:val="-4"/>
        </w:rPr>
        <w:t> </w:t>
      </w:r>
      <w:r>
        <w:rPr/>
        <w:t>fiscal</w:t>
      </w:r>
      <w:r>
        <w:rPr>
          <w:spacing w:val="-1"/>
        </w:rPr>
        <w:t> </w:t>
      </w:r>
      <w:r>
        <w:rPr/>
        <w:t>y</w:t>
      </w:r>
      <w:r>
        <w:rPr>
          <w:spacing w:val="-4"/>
        </w:rPr>
        <w:t> </w:t>
      </w:r>
      <w:r>
        <w:rPr/>
        <w:t>monetaria, la</w:t>
      </w:r>
      <w:r>
        <w:rPr>
          <w:spacing w:val="-8"/>
        </w:rPr>
        <w:t> </w:t>
      </w:r>
      <w:r>
        <w:rPr/>
        <w:t>demora</w:t>
      </w:r>
      <w:r>
        <w:rPr>
          <w:spacing w:val="-8"/>
        </w:rPr>
        <w:t> </w:t>
      </w:r>
      <w:r>
        <w:rPr/>
        <w:t>en</w:t>
      </w:r>
      <w:r>
        <w:rPr>
          <w:spacing w:val="-8"/>
        </w:rPr>
        <w:t> </w:t>
      </w:r>
      <w:r>
        <w:rPr/>
        <w:t>las</w:t>
      </w:r>
      <w:r>
        <w:rPr>
          <w:spacing w:val="-8"/>
        </w:rPr>
        <w:t> </w:t>
      </w:r>
      <w:r>
        <w:rPr/>
        <w:t>mejoras</w:t>
      </w:r>
      <w:r>
        <w:rPr>
          <w:spacing w:val="-8"/>
        </w:rPr>
        <w:t> </w:t>
      </w:r>
      <w:r>
        <w:rPr/>
        <w:t>en</w:t>
      </w:r>
      <w:r>
        <w:rPr>
          <w:spacing w:val="-11"/>
        </w:rPr>
        <w:t> </w:t>
      </w:r>
      <w:r>
        <w:rPr/>
        <w:t>las</w:t>
      </w:r>
      <w:r>
        <w:rPr>
          <w:spacing w:val="-8"/>
        </w:rPr>
        <w:t> </w:t>
      </w:r>
      <w:r>
        <w:rPr/>
        <w:t>condiciones</w:t>
      </w:r>
      <w:r>
        <w:rPr>
          <w:spacing w:val="-7"/>
        </w:rPr>
        <w:t> </w:t>
      </w:r>
      <w:r>
        <w:rPr/>
        <w:t>del</w:t>
      </w:r>
      <w:r>
        <w:rPr>
          <w:spacing w:val="-8"/>
        </w:rPr>
        <w:t> </w:t>
      </w:r>
      <w:r>
        <w:rPr/>
        <w:t>mercado</w:t>
      </w:r>
      <w:r>
        <w:rPr>
          <w:spacing w:val="-9"/>
        </w:rPr>
        <w:t> </w:t>
      </w:r>
      <w:r>
        <w:rPr/>
        <w:t>laboral</w:t>
      </w:r>
      <w:r>
        <w:rPr>
          <w:spacing w:val="-10"/>
        </w:rPr>
        <w:t> </w:t>
      </w:r>
      <w:r>
        <w:rPr/>
        <w:t>continúen</w:t>
      </w:r>
      <w:r>
        <w:rPr>
          <w:spacing w:val="-8"/>
        </w:rPr>
        <w:t> </w:t>
      </w:r>
      <w:r>
        <w:rPr/>
        <w:t>y</w:t>
      </w:r>
      <w:r>
        <w:rPr>
          <w:spacing w:val="-11"/>
        </w:rPr>
        <w:t> </w:t>
      </w:r>
      <w:r>
        <w:rPr/>
        <w:t>las</w:t>
      </w:r>
      <w:r>
        <w:rPr>
          <w:spacing w:val="-8"/>
        </w:rPr>
        <w:t> </w:t>
      </w:r>
      <w:r>
        <w:rPr/>
        <w:t>condiciones</w:t>
      </w:r>
      <w:r>
        <w:rPr>
          <w:spacing w:val="-7"/>
        </w:rPr>
        <w:t> </w:t>
      </w:r>
      <w:r>
        <w:rPr/>
        <w:t>externas se vuelvan menos favorables. Se proyecta que la economía de Brasil </w:t>
      </w:r>
      <w:r>
        <w:rPr>
          <w:spacing w:val="3"/>
        </w:rPr>
        <w:t>se </w:t>
      </w:r>
      <w:r>
        <w:rPr/>
        <w:t>desacelerará hasta llegar al 0.8% en 2022 debido a la limitada confianza de los inversionistas, la erosión del poder adquisitivo derivada de la alta inflación, el endurecimiento de la política macroeconómica, la desaceleración de la demanda de China y la caída de los precios del mineral de</w:t>
      </w:r>
      <w:r>
        <w:rPr>
          <w:spacing w:val="-5"/>
        </w:rPr>
        <w:t> </w:t>
      </w:r>
      <w:r>
        <w:rPr/>
        <w:t>hierro.</w:t>
      </w:r>
    </w:p>
    <w:p>
      <w:pPr>
        <w:spacing w:after="0" w:line="276" w:lineRule="auto"/>
        <w:jc w:val="both"/>
        <w:sectPr>
          <w:type w:val="continuous"/>
          <w:pgSz w:w="12240" w:h="15840"/>
          <w:pgMar w:top="1500" w:bottom="280" w:left="1140" w:right="0"/>
        </w:sectPr>
      </w:pPr>
    </w:p>
    <w:p>
      <w:pPr>
        <w:spacing w:before="169"/>
        <w:ind w:left="1891" w:right="0" w:firstLine="0"/>
        <w:jc w:val="left"/>
        <w:rPr>
          <w:b/>
          <w:sz w:val="20"/>
        </w:rPr>
      </w:pPr>
      <w:bookmarkStart w:name="_bookmark22" w:id="30"/>
      <w:bookmarkEnd w:id="30"/>
      <w:r>
        <w:rPr/>
      </w:r>
      <w:r>
        <w:rPr>
          <w:b/>
          <w:i/>
          <w:sz w:val="20"/>
        </w:rPr>
        <w:t>Gráfico 12. </w:t>
      </w:r>
      <w:r>
        <w:rPr>
          <w:b/>
          <w:sz w:val="20"/>
        </w:rPr>
        <w:t>Pronóstico de crecimiento de la producción mundial en 2022</w:t>
      </w:r>
    </w:p>
    <w:p>
      <w:pPr>
        <w:spacing w:before="23"/>
        <w:ind w:left="817" w:right="0" w:firstLine="0"/>
        <w:jc w:val="left"/>
        <w:rPr>
          <w:rFonts w:ascii="Calibri"/>
          <w:sz w:val="18"/>
        </w:rPr>
      </w:pPr>
      <w:r>
        <w:rPr/>
        <w:pict>
          <v:group style="position:absolute;margin-left:110.400002pt;margin-top:7.439363pt;width:411.4pt;height:108.15pt;mso-position-horizontal-relative:page;mso-position-vertical-relative:paragraph;z-index:251753472" coordorigin="2208,149" coordsize="8228,2163">
            <v:shape style="position:absolute;left:2385;top:501;width:7829;height:1752" coordorigin="2386,502" coordsize="7829,1752" path="m3067,1068l2386,1068,2386,1651,3067,1651,3067,1068m4087,1049l3408,1049,3408,1651,4087,1651,4087,1049m5110,955l4428,955,4428,1651,5110,1651,5110,955m6130,972l5450,972,5450,1651,6130,1651,6130,972m7152,1123l6470,1123,6470,1651,7152,1651,7152,1123m8172,1651l7493,1651,7493,2254,8172,2254,8172,1651m9194,502l8513,502,8513,1651,9194,1651,9194,502m10214,972l9535,972,9535,1651,10214,1651,10214,972e" filled="true" fillcolor="#5b9bd4" stroked="false">
              <v:path arrowok="t"/>
              <v:fill type="solid"/>
            </v:shape>
            <v:line style="position:absolute" from="2215,1651" to="10385,1651" stroked="true" strokeweight=".72pt" strokecolor="#d9d9d9">
              <v:stroke dashstyle="solid"/>
            </v:line>
            <v:shape style="position:absolute;left:-512;top:14191;width:8170;height:53" coordorigin="-511,14191" coordsize="8170,53" path="m2726,1651l2726,1692m3746,1651l3746,1692m4769,1651l4769,1692m5789,1651l5789,1692m6811,1651l6811,1692m7831,1651l7831,1692m8854,1651l8854,1692m9874,1651l9874,1692m10385,1651l10385,1692m2215,1651l2215,1704m3238,1651l3238,1704m4258,1651l4258,1704m5280,1651l5280,1704m6300,1651l6300,1704m7322,1651l7322,1704m8342,1651l8342,1704m9365,1651l9365,1704m10385,1651l10385,1704e" filled="false" stroked="true" strokeweight=".72pt" strokecolor="#d9d9d9">
              <v:path arrowok="t"/>
              <v:stroke dashstyle="solid"/>
            </v:shape>
            <v:shape style="position:absolute;left:2725;top:502;width:7150;height:1752" coordorigin="2725,503" coordsize="7150,1752" path="m2725,1067l3748,1048,4768,954,5790,973,6810,1124,7832,2255,8852,503,9875,973e" filled="false" stroked="true" strokeweight="2.280pt" strokecolor="#ec7c30">
              <v:path arrowok="t"/>
              <v:stroke dashstyle="solid"/>
            </v:shape>
            <v:shape style="position:absolute;left:2668;top:1010;width:116;height:116" type="#_x0000_t75" stroked="false">
              <v:imagedata r:id="rId9" o:title=""/>
            </v:shape>
            <v:shape style="position:absolute;left:3688;top:991;width:116;height:116" type="#_x0000_t75" stroked="false">
              <v:imagedata r:id="rId9" o:title=""/>
            </v:shape>
            <v:shape style="position:absolute;left:4710;top:897;width:116;height:116" type="#_x0000_t75" stroked="false">
              <v:imagedata r:id="rId9" o:title=""/>
            </v:shape>
            <v:shape style="position:absolute;left:5730;top:914;width:116;height:116" type="#_x0000_t75" stroked="false">
              <v:imagedata r:id="rId9" o:title=""/>
            </v:shape>
            <v:shape style="position:absolute;left:6753;top:1065;width:116;height:116" type="#_x0000_t75" stroked="false">
              <v:imagedata r:id="rId10" o:title=""/>
            </v:shape>
            <v:shape style="position:absolute;left:7773;top:2195;width:116;height:116" type="#_x0000_t75" stroked="false">
              <v:imagedata r:id="rId10" o:title=""/>
            </v:shape>
            <v:shape style="position:absolute;left:8795;top:443;width:116;height:116" type="#_x0000_t75" stroked="false">
              <v:imagedata r:id="rId9" o:title=""/>
            </v:shape>
            <v:shape style="position:absolute;left:9815;top:914;width:116;height:116" type="#_x0000_t75" stroked="false">
              <v:imagedata r:id="rId9" o:title=""/>
            </v:shape>
            <v:shape style="position:absolute;left:9331;top:151;width:1102;height:2134" coordorigin="9331,151" coordsize="1102,2134" path="m10249,151l9515,151,9443,166,9385,205,9346,263,9331,335,9331,2101,9346,2173,9385,2231,9443,2270,9515,2285,10249,2285,10321,2270,10379,2231,10418,2173,10433,2101,10433,335,10418,263,10379,205,10321,166,10249,151xe" filled="true" fillcolor="#ec7c30" stroked="false">
              <v:path arrowok="t"/>
              <v:fill opacity="9252f" type="solid"/>
            </v:shape>
            <v:shape style="position:absolute;left:9331;top:151;width:1102;height:2134" coordorigin="9331,151" coordsize="1102,2134" path="m9331,335l9346,263,9385,205,9443,166,9515,151,10249,151,10321,166,10379,205,10418,263,10433,335,10433,2101,10418,2173,10379,2231,10321,2270,10249,2285,9515,2285,9443,2270,9385,2231,9346,2173,9331,2101,9331,335xe" filled="false" stroked="true" strokeweight=".24pt" strokecolor="#ec7c30">
              <v:path arrowok="t"/>
              <v:stroke dashstyle="solid"/>
            </v:shape>
            <v:shape style="position:absolute;left:8727;top:191;width:271;height:221" type="#_x0000_t202" filled="false" stroked="false">
              <v:textbox inset="0,0,0,0">
                <w:txbxContent>
                  <w:p>
                    <w:pPr>
                      <w:spacing w:line="221" w:lineRule="exact" w:before="0"/>
                      <w:ind w:left="0" w:right="0" w:firstLine="0"/>
                      <w:jc w:val="left"/>
                      <w:rPr>
                        <w:b/>
                        <w:sz w:val="20"/>
                      </w:rPr>
                    </w:pPr>
                    <w:r>
                      <w:rPr>
                        <w:b/>
                        <w:color w:val="5B9BD4"/>
                        <w:sz w:val="20"/>
                      </w:rPr>
                      <w:t>6.1</w:t>
                    </w:r>
                  </w:p>
                </w:txbxContent>
              </v:textbox>
              <w10:wrap type="none"/>
            </v:shape>
            <v:shape style="position:absolute;left:2599;top:757;width:271;height:221" type="#_x0000_t202" filled="false" stroked="false">
              <v:textbox inset="0,0,0,0">
                <w:txbxContent>
                  <w:p>
                    <w:pPr>
                      <w:spacing w:line="221" w:lineRule="exact" w:before="0"/>
                      <w:ind w:left="0" w:right="0" w:firstLine="0"/>
                      <w:jc w:val="left"/>
                      <w:rPr>
                        <w:b/>
                        <w:sz w:val="20"/>
                      </w:rPr>
                    </w:pPr>
                    <w:r>
                      <w:rPr>
                        <w:b/>
                        <w:color w:val="5B9BD4"/>
                        <w:sz w:val="20"/>
                      </w:rPr>
                      <w:t>3.1</w:t>
                    </w:r>
                  </w:p>
                </w:txbxContent>
              </v:textbox>
              <w10:wrap type="none"/>
            </v:shape>
            <v:shape style="position:absolute;left:3620;top:738;width:271;height:221" type="#_x0000_t202" filled="false" stroked="false">
              <v:textbox inset="0,0,0,0">
                <w:txbxContent>
                  <w:p>
                    <w:pPr>
                      <w:spacing w:line="221" w:lineRule="exact" w:before="0"/>
                      <w:ind w:left="0" w:right="0" w:firstLine="0"/>
                      <w:jc w:val="left"/>
                      <w:rPr>
                        <w:b/>
                        <w:sz w:val="20"/>
                      </w:rPr>
                    </w:pPr>
                    <w:r>
                      <w:rPr>
                        <w:b/>
                        <w:color w:val="5B9BD4"/>
                        <w:sz w:val="20"/>
                      </w:rPr>
                      <w:t>3.2</w:t>
                    </w:r>
                  </w:p>
                </w:txbxContent>
              </v:textbox>
              <w10:wrap type="none"/>
            </v:shape>
            <v:shape style="position:absolute;left:4642;top:644;width:271;height:221" type="#_x0000_t202" filled="false" stroked="false">
              <v:textbox inset="0,0,0,0">
                <w:txbxContent>
                  <w:p>
                    <w:pPr>
                      <w:spacing w:line="221" w:lineRule="exact" w:before="0"/>
                      <w:ind w:left="0" w:right="0" w:firstLine="0"/>
                      <w:jc w:val="left"/>
                      <w:rPr>
                        <w:b/>
                        <w:sz w:val="20"/>
                      </w:rPr>
                    </w:pPr>
                    <w:r>
                      <w:rPr>
                        <w:b/>
                        <w:color w:val="5B9BD4"/>
                        <w:sz w:val="20"/>
                      </w:rPr>
                      <w:t>3.7</w:t>
                    </w:r>
                  </w:p>
                </w:txbxContent>
              </v:textbox>
              <w10:wrap type="none"/>
            </v:shape>
            <v:shape style="position:absolute;left:5663;top:662;width:271;height:221" type="#_x0000_t202" filled="false" stroked="false">
              <v:textbox inset="0,0,0,0">
                <w:txbxContent>
                  <w:p>
                    <w:pPr>
                      <w:spacing w:line="221" w:lineRule="exact" w:before="0"/>
                      <w:ind w:left="0" w:right="0" w:firstLine="0"/>
                      <w:jc w:val="left"/>
                      <w:rPr>
                        <w:b/>
                        <w:sz w:val="20"/>
                      </w:rPr>
                    </w:pPr>
                    <w:r>
                      <w:rPr>
                        <w:b/>
                        <w:color w:val="5B9BD4"/>
                        <w:sz w:val="20"/>
                      </w:rPr>
                      <w:t>3.6</w:t>
                    </w:r>
                  </w:p>
                </w:txbxContent>
              </v:textbox>
              <w10:wrap type="none"/>
            </v:shape>
            <v:shape style="position:absolute;left:6685;top:813;width:271;height:221" type="#_x0000_t202" filled="false" stroked="false">
              <v:textbox inset="0,0,0,0">
                <w:txbxContent>
                  <w:p>
                    <w:pPr>
                      <w:spacing w:line="221" w:lineRule="exact" w:before="0"/>
                      <w:ind w:left="0" w:right="0" w:firstLine="0"/>
                      <w:jc w:val="left"/>
                      <w:rPr>
                        <w:b/>
                        <w:sz w:val="20"/>
                      </w:rPr>
                    </w:pPr>
                    <w:r>
                      <w:rPr>
                        <w:b/>
                        <w:color w:val="5B9BD4"/>
                        <w:sz w:val="20"/>
                      </w:rPr>
                      <w:t>2.8</w:t>
                    </w:r>
                  </w:p>
                </w:txbxContent>
              </v:textbox>
              <w10:wrap type="none"/>
            </v:shape>
            <v:shape style="position:absolute;left:9748;top:662;width:271;height:221" type="#_x0000_t202" filled="false" stroked="false">
              <v:textbox inset="0,0,0,0">
                <w:txbxContent>
                  <w:p>
                    <w:pPr>
                      <w:spacing w:line="221" w:lineRule="exact" w:before="0"/>
                      <w:ind w:left="0" w:right="0" w:firstLine="0"/>
                      <w:jc w:val="left"/>
                      <w:rPr>
                        <w:b/>
                        <w:sz w:val="20"/>
                      </w:rPr>
                    </w:pPr>
                    <w:r>
                      <w:rPr>
                        <w:b/>
                        <w:color w:val="5B9BD4"/>
                        <w:sz w:val="20"/>
                      </w:rPr>
                      <w:t>3.6</w:t>
                    </w:r>
                  </w:p>
                </w:txbxContent>
              </v:textbox>
              <w10:wrap type="none"/>
            </v:shape>
            <v:shape style="position:absolute;left:9486;top:1906;width:741;height:366" type="#_x0000_t202" filled="false" stroked="false">
              <v:textbox inset="0,0,0,0">
                <w:txbxContent>
                  <w:p>
                    <w:pPr>
                      <w:spacing w:line="244" w:lineRule="auto" w:before="0"/>
                      <w:ind w:left="100" w:right="2" w:hanging="101"/>
                      <w:jc w:val="left"/>
                      <w:rPr>
                        <w:sz w:val="16"/>
                      </w:rPr>
                    </w:pPr>
                    <w:r>
                      <w:rPr>
                        <w:color w:val="585858"/>
                        <w:sz w:val="16"/>
                      </w:rPr>
                      <w:t>Proyección del FMI</w:t>
                    </w:r>
                  </w:p>
                </w:txbxContent>
              </v:textbox>
              <w10:wrap type="none"/>
            </v:shape>
            <w10:wrap type="none"/>
          </v:group>
        </w:pict>
      </w:r>
      <w:r>
        <w:rPr>
          <w:rFonts w:ascii="Calibri"/>
          <w:color w:val="585858"/>
          <w:sz w:val="18"/>
        </w:rPr>
        <w:t>8</w:t>
      </w:r>
    </w:p>
    <w:p>
      <w:pPr>
        <w:spacing w:before="157"/>
        <w:ind w:left="817" w:right="0" w:firstLine="0"/>
        <w:jc w:val="left"/>
        <w:rPr>
          <w:rFonts w:ascii="Calibri"/>
          <w:sz w:val="18"/>
        </w:rPr>
      </w:pPr>
      <w:r>
        <w:rPr>
          <w:rFonts w:ascii="Calibri"/>
          <w:color w:val="585858"/>
          <w:sz w:val="18"/>
        </w:rPr>
        <w:t>6</w:t>
      </w:r>
    </w:p>
    <w:p>
      <w:pPr>
        <w:spacing w:before="157"/>
        <w:ind w:left="817" w:right="0" w:firstLine="0"/>
        <w:jc w:val="left"/>
        <w:rPr>
          <w:rFonts w:ascii="Calibri"/>
          <w:sz w:val="18"/>
        </w:rPr>
      </w:pPr>
      <w:r>
        <w:rPr>
          <w:rFonts w:ascii="Calibri"/>
          <w:color w:val="585858"/>
          <w:sz w:val="18"/>
        </w:rPr>
        <w:t>4</w:t>
      </w:r>
    </w:p>
    <w:p>
      <w:pPr>
        <w:spacing w:before="158"/>
        <w:ind w:left="817" w:right="0" w:firstLine="0"/>
        <w:jc w:val="left"/>
        <w:rPr>
          <w:rFonts w:ascii="Calibri"/>
          <w:sz w:val="18"/>
        </w:rPr>
      </w:pPr>
      <w:r>
        <w:rPr>
          <w:rFonts w:ascii="Calibri"/>
          <w:color w:val="585858"/>
          <w:sz w:val="18"/>
        </w:rPr>
        <w:t>2</w:t>
      </w:r>
    </w:p>
    <w:p>
      <w:pPr>
        <w:spacing w:after="0"/>
        <w:jc w:val="left"/>
        <w:rPr>
          <w:rFonts w:ascii="Calibri"/>
          <w:sz w:val="18"/>
        </w:rPr>
        <w:sectPr>
          <w:pgSz w:w="12240" w:h="15840"/>
          <w:pgMar w:header="715" w:footer="957" w:top="1240" w:bottom="1140" w:left="1140" w:right="0"/>
        </w:sectPr>
      </w:pPr>
    </w:p>
    <w:p>
      <w:pPr>
        <w:spacing w:before="157"/>
        <w:ind w:left="817" w:right="0" w:firstLine="0"/>
        <w:jc w:val="left"/>
        <w:rPr>
          <w:rFonts w:ascii="Calibri"/>
          <w:sz w:val="18"/>
        </w:rPr>
      </w:pPr>
      <w:r>
        <w:rPr>
          <w:rFonts w:ascii="Calibri"/>
          <w:color w:val="585858"/>
          <w:sz w:val="18"/>
        </w:rPr>
        <w:t>0</w:t>
      </w:r>
    </w:p>
    <w:p>
      <w:pPr>
        <w:spacing w:before="157"/>
        <w:ind w:left="762" w:right="0" w:firstLine="0"/>
        <w:jc w:val="left"/>
        <w:rPr>
          <w:rFonts w:ascii="Calibri"/>
          <w:sz w:val="18"/>
        </w:rPr>
      </w:pPr>
      <w:r>
        <w:rPr>
          <w:rFonts w:ascii="Calibri"/>
          <w:color w:val="585858"/>
          <w:sz w:val="18"/>
        </w:rPr>
        <w:t>-2</w:t>
      </w:r>
    </w:p>
    <w:p>
      <w:pPr>
        <w:spacing w:before="157"/>
        <w:ind w:left="762" w:right="0" w:firstLine="0"/>
        <w:jc w:val="left"/>
        <w:rPr>
          <w:rFonts w:ascii="Calibri"/>
          <w:sz w:val="18"/>
        </w:rPr>
      </w:pPr>
      <w:r>
        <w:rPr>
          <w:rFonts w:ascii="Calibri"/>
          <w:color w:val="585858"/>
          <w:sz w:val="18"/>
        </w:rPr>
        <w:t>-4</w:t>
      </w:r>
    </w:p>
    <w:p>
      <w:pPr>
        <w:tabs>
          <w:tab w:pos="2428" w:val="left" w:leader="none"/>
          <w:tab w:pos="3449" w:val="left" w:leader="none"/>
          <w:tab w:pos="4470" w:val="left" w:leader="none"/>
          <w:tab w:pos="5492" w:val="left" w:leader="none"/>
        </w:tabs>
        <w:spacing w:before="1"/>
        <w:ind w:left="1406" w:right="0" w:firstLine="0"/>
        <w:jc w:val="left"/>
        <w:rPr>
          <w:sz w:val="18"/>
        </w:rPr>
      </w:pPr>
      <w:r>
        <w:rPr>
          <w:color w:val="585858"/>
          <w:sz w:val="18"/>
        </w:rPr>
        <w:t>2015</w:t>
        <w:tab/>
        <w:t>2016</w:t>
        <w:tab/>
        <w:t>2017</w:t>
        <w:tab/>
        <w:t>2018</w:t>
        <w:tab/>
      </w:r>
      <w:r>
        <w:rPr>
          <w:color w:val="585858"/>
          <w:spacing w:val="-5"/>
          <w:sz w:val="18"/>
        </w:rPr>
        <w:t>2019</w:t>
      </w:r>
    </w:p>
    <w:p>
      <w:pPr>
        <w:pStyle w:val="BodyText"/>
      </w:pPr>
      <w:r>
        <w:rPr/>
        <w:br w:type="column"/>
      </w:r>
      <w:r>
        <w:rPr/>
      </w:r>
    </w:p>
    <w:p>
      <w:pPr>
        <w:pStyle w:val="BodyText"/>
      </w:pPr>
    </w:p>
    <w:p>
      <w:pPr>
        <w:pStyle w:val="BodyText"/>
      </w:pPr>
    </w:p>
    <w:p>
      <w:pPr>
        <w:pStyle w:val="BodyText"/>
        <w:spacing w:before="5"/>
        <w:rPr>
          <w:sz w:val="18"/>
        </w:rPr>
      </w:pPr>
    </w:p>
    <w:p>
      <w:pPr>
        <w:spacing w:line="195" w:lineRule="exact" w:before="0"/>
        <w:ind w:left="639" w:right="0" w:firstLine="0"/>
        <w:jc w:val="left"/>
        <w:rPr>
          <w:b/>
          <w:sz w:val="20"/>
        </w:rPr>
      </w:pPr>
      <w:r>
        <w:rPr>
          <w:b/>
          <w:color w:val="5B9BD4"/>
          <w:sz w:val="20"/>
        </w:rPr>
        <w:t>-3.2</w:t>
      </w:r>
    </w:p>
    <w:p>
      <w:pPr>
        <w:spacing w:line="172" w:lineRule="exact" w:before="0"/>
        <w:ind w:left="620" w:right="0" w:firstLine="0"/>
        <w:jc w:val="left"/>
        <w:rPr>
          <w:sz w:val="18"/>
        </w:rPr>
      </w:pPr>
      <w:r>
        <w:rPr>
          <w:color w:val="585858"/>
          <w:sz w:val="18"/>
        </w:rPr>
        <w:t>2020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spacing w:before="4"/>
        <w:rPr>
          <w:sz w:val="18"/>
        </w:rPr>
      </w:pPr>
    </w:p>
    <w:p>
      <w:pPr>
        <w:tabs>
          <w:tab w:pos="1641" w:val="left" w:leader="none"/>
        </w:tabs>
        <w:spacing w:before="1"/>
        <w:ind w:left="620" w:right="0" w:firstLine="0"/>
        <w:jc w:val="left"/>
        <w:rPr>
          <w:sz w:val="18"/>
        </w:rPr>
      </w:pPr>
      <w:r>
        <w:rPr>
          <w:color w:val="585858"/>
          <w:sz w:val="18"/>
        </w:rPr>
        <w:t>2021</w:t>
        <w:tab/>
        <w:t>2022</w:t>
      </w:r>
    </w:p>
    <w:p>
      <w:pPr>
        <w:spacing w:after="0"/>
        <w:jc w:val="left"/>
        <w:rPr>
          <w:sz w:val="18"/>
        </w:rPr>
        <w:sectPr>
          <w:type w:val="continuous"/>
          <w:pgSz w:w="12240" w:h="15840"/>
          <w:pgMar w:top="1500" w:bottom="280" w:left="1140" w:right="0"/>
          <w:cols w:num="3" w:equalWidth="0">
            <w:col w:w="5854" w:space="40"/>
            <w:col w:w="982" w:space="39"/>
            <w:col w:w="4185"/>
          </w:cols>
        </w:sectPr>
      </w:pPr>
    </w:p>
    <w:p>
      <w:pPr>
        <w:pStyle w:val="BodyText"/>
        <w:spacing w:before="7"/>
        <w:rPr>
          <w:sz w:val="17"/>
        </w:rPr>
      </w:pPr>
    </w:p>
    <w:p>
      <w:pPr>
        <w:spacing w:before="94"/>
        <w:ind w:left="883" w:right="0" w:firstLine="0"/>
        <w:jc w:val="left"/>
        <w:rPr>
          <w:sz w:val="16"/>
        </w:rPr>
      </w:pPr>
      <w:r>
        <w:rPr/>
        <w:pict>
          <v:rect style="position:absolute;margin-left:93.720001pt;margin-top:1.108745pt;width:286.44pt;height:16.8pt;mso-position-horizontal-relative:page;mso-position-vertical-relative:paragraph;z-index:-281565184" filled="true" fillcolor="#ffffff" stroked="false">
            <v:fill type="solid"/>
            <w10:wrap type="none"/>
          </v:rect>
        </w:pict>
      </w:r>
      <w:r>
        <w:rPr>
          <w:sz w:val="16"/>
        </w:rPr>
        <w:t>Fuente: Dirección de Análisis y Política Fiscal con información del FMI</w:t>
      </w:r>
    </w:p>
    <w:p>
      <w:pPr>
        <w:pStyle w:val="BodyText"/>
        <w:spacing w:line="276" w:lineRule="auto" w:before="38"/>
        <w:ind w:left="562" w:right="1696"/>
        <w:jc w:val="both"/>
      </w:pPr>
      <w:r>
        <w:rPr/>
        <w:t>En la región del Medio Oriente y África del Norte se espera que, como consecuencia de los pronósticos altos en los precios del petróleo y el gas natural, el crecimiento económico para el año 2022 acelere a 4.6%. Para Arabia Saudita el escenario es optimista, con una expansión en la producción del sector petrolero del 7.6%. Los principales riesgos de la región son, el aumento en brotes de Covid-19, disturbios sociales, y altas deudas en algunas economías.</w:t>
      </w:r>
    </w:p>
    <w:p>
      <w:pPr>
        <w:pStyle w:val="BodyText"/>
        <w:spacing w:line="276" w:lineRule="auto" w:before="159"/>
        <w:ind w:left="562" w:right="1695"/>
        <w:jc w:val="both"/>
      </w:pPr>
      <w:r>
        <w:rPr/>
        <w:t>Para África subsahariana -SSA-, se prevé que el crecimiento será del 3.8% en 2022 y 4.0% en 2023; lo que refleja los efectos continuos de la pandemia, reducido apoyo político y la incertidumbre de la política</w:t>
      </w:r>
      <w:r>
        <w:rPr>
          <w:spacing w:val="-4"/>
        </w:rPr>
        <w:t> </w:t>
      </w:r>
      <w:r>
        <w:rPr/>
        <w:t>y</w:t>
      </w:r>
      <w:r>
        <w:rPr>
          <w:spacing w:val="-6"/>
        </w:rPr>
        <w:t> </w:t>
      </w:r>
      <w:r>
        <w:rPr/>
        <w:t>el</w:t>
      </w:r>
      <w:r>
        <w:rPr>
          <w:spacing w:val="-6"/>
        </w:rPr>
        <w:t> </w:t>
      </w:r>
      <w:r>
        <w:rPr/>
        <w:t>empeoramiento</w:t>
      </w:r>
      <w:r>
        <w:rPr>
          <w:spacing w:val="-6"/>
        </w:rPr>
        <w:t> </w:t>
      </w:r>
      <w:r>
        <w:rPr/>
        <w:t>de</w:t>
      </w:r>
      <w:r>
        <w:rPr>
          <w:spacing w:val="-3"/>
        </w:rPr>
        <w:t> </w:t>
      </w:r>
      <w:r>
        <w:rPr/>
        <w:t>la</w:t>
      </w:r>
      <w:r>
        <w:rPr>
          <w:spacing w:val="-7"/>
        </w:rPr>
        <w:t> </w:t>
      </w:r>
      <w:r>
        <w:rPr/>
        <w:t>situación</w:t>
      </w:r>
      <w:r>
        <w:rPr>
          <w:spacing w:val="-4"/>
        </w:rPr>
        <w:t> </w:t>
      </w:r>
      <w:r>
        <w:rPr/>
        <w:t>de</w:t>
      </w:r>
      <w:r>
        <w:rPr>
          <w:spacing w:val="-6"/>
        </w:rPr>
        <w:t> </w:t>
      </w:r>
      <w:r>
        <w:rPr/>
        <w:t>seguridad</w:t>
      </w:r>
      <w:r>
        <w:rPr>
          <w:spacing w:val="-5"/>
        </w:rPr>
        <w:t> </w:t>
      </w:r>
      <w:r>
        <w:rPr/>
        <w:t>en</w:t>
      </w:r>
      <w:r>
        <w:rPr>
          <w:spacing w:val="-3"/>
        </w:rPr>
        <w:t> </w:t>
      </w:r>
      <w:r>
        <w:rPr/>
        <w:t>algunos</w:t>
      </w:r>
      <w:r>
        <w:rPr>
          <w:spacing w:val="-3"/>
        </w:rPr>
        <w:t> </w:t>
      </w:r>
      <w:r>
        <w:rPr/>
        <w:t>países.</w:t>
      </w:r>
      <w:r>
        <w:rPr>
          <w:spacing w:val="-4"/>
        </w:rPr>
        <w:t> </w:t>
      </w:r>
      <w:r>
        <w:rPr/>
        <w:t>Se</w:t>
      </w:r>
      <w:r>
        <w:rPr>
          <w:spacing w:val="-6"/>
        </w:rPr>
        <w:t> </w:t>
      </w:r>
      <w:r>
        <w:rPr/>
        <w:t>espera</w:t>
      </w:r>
      <w:r>
        <w:rPr>
          <w:spacing w:val="-4"/>
        </w:rPr>
        <w:t> </w:t>
      </w:r>
      <w:r>
        <w:rPr/>
        <w:t>que</w:t>
      </w:r>
      <w:r>
        <w:rPr>
          <w:spacing w:val="-3"/>
        </w:rPr>
        <w:t> </w:t>
      </w:r>
      <w:r>
        <w:rPr/>
        <w:t>los</w:t>
      </w:r>
      <w:r>
        <w:rPr>
          <w:spacing w:val="-3"/>
        </w:rPr>
        <w:t> </w:t>
      </w:r>
      <w:r>
        <w:rPr/>
        <w:t>precios elevados de los productos básicos respalden la recuperación a corto plazo en toda la región, con mayores precios del petróleo. Los riesgos de la pobreza, brotes de nuevos casos de Covid-19, la desigualdad,</w:t>
      </w:r>
      <w:r>
        <w:rPr>
          <w:spacing w:val="-16"/>
        </w:rPr>
        <w:t> </w:t>
      </w:r>
      <w:r>
        <w:rPr/>
        <w:t>la</w:t>
      </w:r>
      <w:r>
        <w:rPr>
          <w:spacing w:val="-14"/>
        </w:rPr>
        <w:t> </w:t>
      </w:r>
      <w:r>
        <w:rPr/>
        <w:t>inseguridad</w:t>
      </w:r>
      <w:r>
        <w:rPr>
          <w:spacing w:val="-16"/>
        </w:rPr>
        <w:t> </w:t>
      </w:r>
      <w:r>
        <w:rPr/>
        <w:t>alimentaria</w:t>
      </w:r>
      <w:r>
        <w:rPr>
          <w:spacing w:val="-13"/>
        </w:rPr>
        <w:t> </w:t>
      </w:r>
      <w:r>
        <w:rPr/>
        <w:t>y</w:t>
      </w:r>
      <w:r>
        <w:rPr>
          <w:spacing w:val="-17"/>
        </w:rPr>
        <w:t> </w:t>
      </w:r>
      <w:r>
        <w:rPr/>
        <w:t>las</w:t>
      </w:r>
      <w:r>
        <w:rPr>
          <w:spacing w:val="-14"/>
        </w:rPr>
        <w:t> </w:t>
      </w:r>
      <w:r>
        <w:rPr/>
        <w:t>tensiones</w:t>
      </w:r>
      <w:r>
        <w:rPr>
          <w:spacing w:val="-13"/>
        </w:rPr>
        <w:t> </w:t>
      </w:r>
      <w:r>
        <w:rPr/>
        <w:t>geopolíticas,</w:t>
      </w:r>
      <w:r>
        <w:rPr>
          <w:spacing w:val="-14"/>
        </w:rPr>
        <w:t> </w:t>
      </w:r>
      <w:r>
        <w:rPr/>
        <w:t>presentan</w:t>
      </w:r>
      <w:r>
        <w:rPr>
          <w:spacing w:val="-16"/>
        </w:rPr>
        <w:t> </w:t>
      </w:r>
      <w:r>
        <w:rPr/>
        <w:t>los</w:t>
      </w:r>
      <w:r>
        <w:rPr>
          <w:spacing w:val="-14"/>
        </w:rPr>
        <w:t> </w:t>
      </w:r>
      <w:r>
        <w:rPr/>
        <w:t>principales</w:t>
      </w:r>
      <w:r>
        <w:rPr>
          <w:spacing w:val="-13"/>
        </w:rPr>
        <w:t> </w:t>
      </w:r>
      <w:r>
        <w:rPr/>
        <w:t>desafíos para la</w:t>
      </w:r>
      <w:r>
        <w:rPr>
          <w:spacing w:val="-4"/>
        </w:rPr>
        <w:t> </w:t>
      </w:r>
      <w:r>
        <w:rPr/>
        <w:t>región.</w:t>
      </w:r>
    </w:p>
    <w:p>
      <w:pPr>
        <w:pStyle w:val="Heading3"/>
        <w:spacing w:before="85"/>
        <w:ind w:left="1395" w:right="2530"/>
        <w:jc w:val="center"/>
      </w:pPr>
      <w:bookmarkStart w:name="_bookmark23" w:id="31"/>
      <w:bookmarkEnd w:id="31"/>
      <w:r>
        <w:rPr>
          <w:b w:val="0"/>
        </w:rPr>
      </w:r>
      <w:r>
        <w:rPr>
          <w:i/>
        </w:rPr>
        <w:t>Tabla 1. </w:t>
      </w:r>
      <w:r>
        <w:rPr/>
        <w:t>Proyecciones de crecimiento económico</w:t>
      </w:r>
    </w:p>
    <w:p>
      <w:pPr>
        <w:pStyle w:val="BodyText"/>
        <w:spacing w:before="33" w:after="44"/>
        <w:ind w:left="1395" w:right="2531"/>
        <w:jc w:val="center"/>
      </w:pPr>
      <w:r>
        <w:rPr/>
        <w:t>Variaciones Porcentuales Interanuales-Proyecciones-período 2021-2023</w:t>
      </w:r>
    </w:p>
    <w:tbl>
      <w:tblPr>
        <w:tblW w:w="0" w:type="auto"/>
        <w:jc w:val="left"/>
        <w:tblInd w:w="19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87"/>
        <w:gridCol w:w="1225"/>
        <w:gridCol w:w="582"/>
        <w:gridCol w:w="578"/>
      </w:tblGrid>
      <w:tr>
        <w:trPr>
          <w:trHeight w:val="218" w:hRule="atLeast"/>
        </w:trPr>
        <w:tc>
          <w:tcPr>
            <w:tcW w:w="3687" w:type="dxa"/>
            <w:tcBorders>
              <w:top w:val="single" w:sz="4" w:space="0" w:color="000000"/>
              <w:left w:val="single" w:sz="4" w:space="0" w:color="000000"/>
              <w:bottom w:val="single" w:sz="4" w:space="0" w:color="000000"/>
            </w:tcBorders>
          </w:tcPr>
          <w:p>
            <w:pPr>
              <w:pStyle w:val="TableParagraph"/>
              <w:spacing w:line="136" w:lineRule="exact"/>
              <w:ind w:left="1841"/>
              <w:rPr>
                <w:b/>
                <w:i/>
                <w:sz w:val="12"/>
              </w:rPr>
            </w:pPr>
            <w:r>
              <w:rPr>
                <w:b/>
                <w:i/>
                <w:sz w:val="12"/>
              </w:rPr>
              <w:t>País o región</w:t>
            </w:r>
          </w:p>
        </w:tc>
        <w:tc>
          <w:tcPr>
            <w:tcW w:w="1225" w:type="dxa"/>
            <w:tcBorders>
              <w:top w:val="single" w:sz="4" w:space="0" w:color="000000"/>
              <w:bottom w:val="single" w:sz="4" w:space="0" w:color="000000"/>
            </w:tcBorders>
          </w:tcPr>
          <w:p>
            <w:pPr>
              <w:pStyle w:val="TableParagraph"/>
              <w:spacing w:line="136" w:lineRule="exact"/>
              <w:ind w:right="161"/>
              <w:jc w:val="right"/>
              <w:rPr>
                <w:b/>
                <w:sz w:val="12"/>
              </w:rPr>
            </w:pPr>
            <w:r>
              <w:rPr>
                <w:b/>
                <w:sz w:val="12"/>
              </w:rPr>
              <w:t>2021</w:t>
            </w:r>
          </w:p>
        </w:tc>
        <w:tc>
          <w:tcPr>
            <w:tcW w:w="582" w:type="dxa"/>
            <w:tcBorders>
              <w:top w:val="single" w:sz="4" w:space="0" w:color="000000"/>
              <w:bottom w:val="single" w:sz="4" w:space="0" w:color="000000"/>
            </w:tcBorders>
          </w:tcPr>
          <w:p>
            <w:pPr>
              <w:pStyle w:val="TableParagraph"/>
              <w:spacing w:line="136" w:lineRule="exact"/>
              <w:ind w:left="154" w:right="147"/>
              <w:jc w:val="center"/>
              <w:rPr>
                <w:b/>
                <w:sz w:val="12"/>
              </w:rPr>
            </w:pPr>
            <w:r>
              <w:rPr>
                <w:b/>
                <w:sz w:val="12"/>
              </w:rPr>
              <w:t>2022</w:t>
            </w:r>
          </w:p>
        </w:tc>
        <w:tc>
          <w:tcPr>
            <w:tcW w:w="578" w:type="dxa"/>
            <w:tcBorders>
              <w:top w:val="single" w:sz="4" w:space="0" w:color="000000"/>
              <w:bottom w:val="single" w:sz="4" w:space="0" w:color="000000"/>
              <w:right w:val="single" w:sz="4" w:space="0" w:color="000000"/>
            </w:tcBorders>
          </w:tcPr>
          <w:p>
            <w:pPr>
              <w:pStyle w:val="TableParagraph"/>
              <w:spacing w:line="136" w:lineRule="exact"/>
              <w:ind w:left="153" w:right="140"/>
              <w:jc w:val="center"/>
              <w:rPr>
                <w:b/>
                <w:sz w:val="12"/>
              </w:rPr>
            </w:pPr>
            <w:r>
              <w:rPr>
                <w:b/>
                <w:sz w:val="12"/>
              </w:rPr>
              <w:t>2023</w:t>
            </w:r>
          </w:p>
        </w:tc>
      </w:tr>
      <w:tr>
        <w:trPr>
          <w:trHeight w:val="172" w:hRule="atLeast"/>
        </w:trPr>
        <w:tc>
          <w:tcPr>
            <w:tcW w:w="3687" w:type="dxa"/>
            <w:tcBorders>
              <w:top w:val="single" w:sz="4" w:space="0" w:color="000000"/>
            </w:tcBorders>
            <w:shd w:val="clear" w:color="auto" w:fill="DEEAF6"/>
          </w:tcPr>
          <w:p>
            <w:pPr>
              <w:pStyle w:val="TableParagraph"/>
              <w:spacing w:before="1"/>
              <w:ind w:left="112"/>
              <w:rPr>
                <w:b/>
                <w:i/>
                <w:sz w:val="13"/>
              </w:rPr>
            </w:pPr>
            <w:r>
              <w:rPr>
                <w:b/>
                <w:i/>
                <w:sz w:val="13"/>
              </w:rPr>
              <w:t>Mundo</w:t>
            </w:r>
          </w:p>
        </w:tc>
        <w:tc>
          <w:tcPr>
            <w:tcW w:w="1225" w:type="dxa"/>
            <w:tcBorders>
              <w:top w:val="single" w:sz="4" w:space="0" w:color="000000"/>
            </w:tcBorders>
            <w:shd w:val="clear" w:color="auto" w:fill="DEEAF6"/>
          </w:tcPr>
          <w:p>
            <w:pPr>
              <w:pStyle w:val="TableParagraph"/>
              <w:spacing w:line="148" w:lineRule="exact"/>
              <w:ind w:right="200"/>
              <w:jc w:val="right"/>
              <w:rPr>
                <w:sz w:val="13"/>
              </w:rPr>
            </w:pPr>
            <w:r>
              <w:rPr>
                <w:sz w:val="13"/>
              </w:rPr>
              <w:t>6.1</w:t>
            </w:r>
          </w:p>
        </w:tc>
        <w:tc>
          <w:tcPr>
            <w:tcW w:w="582" w:type="dxa"/>
            <w:tcBorders>
              <w:top w:val="single" w:sz="4" w:space="0" w:color="000000"/>
              <w:right w:val="single" w:sz="4" w:space="0" w:color="000000"/>
            </w:tcBorders>
            <w:shd w:val="clear" w:color="auto" w:fill="DEEAF6"/>
          </w:tcPr>
          <w:p>
            <w:pPr>
              <w:pStyle w:val="TableParagraph"/>
              <w:spacing w:line="148" w:lineRule="exact"/>
              <w:ind w:left="159" w:right="147"/>
              <w:jc w:val="center"/>
              <w:rPr>
                <w:sz w:val="13"/>
              </w:rPr>
            </w:pPr>
            <w:r>
              <w:rPr>
                <w:sz w:val="13"/>
              </w:rPr>
              <w:t>3.6</w:t>
            </w:r>
          </w:p>
        </w:tc>
        <w:tc>
          <w:tcPr>
            <w:tcW w:w="578" w:type="dxa"/>
            <w:tcBorders>
              <w:top w:val="single" w:sz="4" w:space="0" w:color="000000"/>
              <w:left w:val="single" w:sz="4" w:space="0" w:color="000000"/>
              <w:right w:val="single" w:sz="4" w:space="0" w:color="41709C"/>
            </w:tcBorders>
            <w:shd w:val="clear" w:color="auto" w:fill="DEEAF6"/>
          </w:tcPr>
          <w:p>
            <w:pPr>
              <w:pStyle w:val="TableParagraph"/>
              <w:spacing w:line="148" w:lineRule="exact"/>
              <w:ind w:left="152" w:right="144"/>
              <w:jc w:val="center"/>
              <w:rPr>
                <w:sz w:val="13"/>
              </w:rPr>
            </w:pPr>
            <w:r>
              <w:rPr>
                <w:sz w:val="13"/>
              </w:rPr>
              <w:t>3.6</w:t>
            </w:r>
          </w:p>
        </w:tc>
      </w:tr>
      <w:tr>
        <w:trPr>
          <w:trHeight w:val="161" w:hRule="atLeast"/>
        </w:trPr>
        <w:tc>
          <w:tcPr>
            <w:tcW w:w="3687" w:type="dxa"/>
            <w:tcBorders>
              <w:left w:val="single" w:sz="4" w:space="0" w:color="000000"/>
            </w:tcBorders>
          </w:tcPr>
          <w:p>
            <w:pPr>
              <w:pStyle w:val="TableParagraph"/>
              <w:spacing w:line="141" w:lineRule="exact"/>
              <w:ind w:left="107"/>
              <w:rPr>
                <w:b/>
                <w:i/>
                <w:sz w:val="13"/>
              </w:rPr>
            </w:pPr>
            <w:r>
              <w:rPr>
                <w:b/>
                <w:i/>
                <w:sz w:val="13"/>
              </w:rPr>
              <w:t>Economías Avanzadas</w:t>
            </w:r>
          </w:p>
        </w:tc>
        <w:tc>
          <w:tcPr>
            <w:tcW w:w="1225" w:type="dxa"/>
          </w:tcPr>
          <w:p>
            <w:pPr>
              <w:pStyle w:val="TableParagraph"/>
              <w:spacing w:line="141" w:lineRule="exact"/>
              <w:ind w:right="200"/>
              <w:jc w:val="right"/>
              <w:rPr>
                <w:sz w:val="13"/>
              </w:rPr>
            </w:pPr>
            <w:r>
              <w:rPr>
                <w:sz w:val="13"/>
              </w:rPr>
              <w:t>5.2</w:t>
            </w:r>
          </w:p>
        </w:tc>
        <w:tc>
          <w:tcPr>
            <w:tcW w:w="582" w:type="dxa"/>
            <w:tcBorders>
              <w:right w:val="single" w:sz="4" w:space="0" w:color="000000"/>
            </w:tcBorders>
          </w:tcPr>
          <w:p>
            <w:pPr>
              <w:pStyle w:val="TableParagraph"/>
              <w:spacing w:line="141" w:lineRule="exact"/>
              <w:ind w:left="159" w:right="147"/>
              <w:jc w:val="center"/>
              <w:rPr>
                <w:sz w:val="13"/>
              </w:rPr>
            </w:pPr>
            <w:r>
              <w:rPr>
                <w:sz w:val="13"/>
              </w:rPr>
              <w:t>3.3</w:t>
            </w:r>
          </w:p>
        </w:tc>
        <w:tc>
          <w:tcPr>
            <w:tcW w:w="578" w:type="dxa"/>
            <w:tcBorders>
              <w:left w:val="single" w:sz="4" w:space="0" w:color="000000"/>
              <w:right w:val="single" w:sz="4" w:space="0" w:color="41709C"/>
            </w:tcBorders>
          </w:tcPr>
          <w:p>
            <w:pPr>
              <w:pStyle w:val="TableParagraph"/>
              <w:spacing w:line="141" w:lineRule="exact"/>
              <w:ind w:left="152" w:right="144"/>
              <w:jc w:val="center"/>
              <w:rPr>
                <w:sz w:val="13"/>
              </w:rPr>
            </w:pPr>
            <w:r>
              <w:rPr>
                <w:sz w:val="13"/>
              </w:rPr>
              <w:t>2.4</w:t>
            </w:r>
          </w:p>
        </w:tc>
      </w:tr>
      <w:tr>
        <w:trPr>
          <w:trHeight w:val="170" w:hRule="atLeast"/>
        </w:trPr>
        <w:tc>
          <w:tcPr>
            <w:tcW w:w="3687" w:type="dxa"/>
            <w:tcBorders>
              <w:left w:val="single" w:sz="4" w:space="0" w:color="000000"/>
            </w:tcBorders>
          </w:tcPr>
          <w:p>
            <w:pPr>
              <w:pStyle w:val="TableParagraph"/>
              <w:spacing w:line="143" w:lineRule="exact" w:before="7"/>
              <w:ind w:left="175"/>
              <w:rPr>
                <w:i/>
                <w:sz w:val="13"/>
              </w:rPr>
            </w:pPr>
            <w:r>
              <w:rPr>
                <w:i/>
                <w:sz w:val="13"/>
              </w:rPr>
              <w:t>Estados Unidos</w:t>
            </w:r>
          </w:p>
        </w:tc>
        <w:tc>
          <w:tcPr>
            <w:tcW w:w="1225" w:type="dxa"/>
          </w:tcPr>
          <w:p>
            <w:pPr>
              <w:pStyle w:val="TableParagraph"/>
              <w:spacing w:line="143" w:lineRule="exact" w:before="7"/>
              <w:ind w:right="200"/>
              <w:jc w:val="right"/>
              <w:rPr>
                <w:sz w:val="13"/>
              </w:rPr>
            </w:pPr>
            <w:r>
              <w:rPr>
                <w:sz w:val="13"/>
              </w:rPr>
              <w:t>5.7</w:t>
            </w:r>
          </w:p>
        </w:tc>
        <w:tc>
          <w:tcPr>
            <w:tcW w:w="582" w:type="dxa"/>
            <w:tcBorders>
              <w:right w:val="single" w:sz="4" w:space="0" w:color="000000"/>
            </w:tcBorders>
          </w:tcPr>
          <w:p>
            <w:pPr>
              <w:pStyle w:val="TableParagraph"/>
              <w:spacing w:line="143" w:lineRule="exact" w:before="7"/>
              <w:ind w:left="159" w:right="147"/>
              <w:jc w:val="center"/>
              <w:rPr>
                <w:sz w:val="13"/>
              </w:rPr>
            </w:pPr>
            <w:r>
              <w:rPr>
                <w:sz w:val="13"/>
              </w:rPr>
              <w:t>3.7</w:t>
            </w:r>
          </w:p>
        </w:tc>
        <w:tc>
          <w:tcPr>
            <w:tcW w:w="578" w:type="dxa"/>
            <w:tcBorders>
              <w:left w:val="single" w:sz="4" w:space="0" w:color="000000"/>
              <w:right w:val="single" w:sz="4" w:space="0" w:color="41709C"/>
            </w:tcBorders>
          </w:tcPr>
          <w:p>
            <w:pPr>
              <w:pStyle w:val="TableParagraph"/>
              <w:spacing w:line="143" w:lineRule="exact" w:before="7"/>
              <w:ind w:left="152" w:right="144"/>
              <w:jc w:val="center"/>
              <w:rPr>
                <w:sz w:val="13"/>
              </w:rPr>
            </w:pPr>
            <w:r>
              <w:rPr>
                <w:sz w:val="13"/>
              </w:rPr>
              <w:t>2.3</w:t>
            </w:r>
          </w:p>
        </w:tc>
      </w:tr>
      <w:tr>
        <w:trPr>
          <w:trHeight w:val="171" w:hRule="atLeast"/>
        </w:trPr>
        <w:tc>
          <w:tcPr>
            <w:tcW w:w="3687" w:type="dxa"/>
            <w:tcBorders>
              <w:left w:val="single" w:sz="4" w:space="0" w:color="000000"/>
            </w:tcBorders>
          </w:tcPr>
          <w:p>
            <w:pPr>
              <w:pStyle w:val="TableParagraph"/>
              <w:spacing w:line="144" w:lineRule="exact" w:before="7"/>
              <w:ind w:left="175"/>
              <w:rPr>
                <w:i/>
                <w:sz w:val="13"/>
              </w:rPr>
            </w:pPr>
            <w:r>
              <w:rPr>
                <w:i/>
                <w:sz w:val="13"/>
              </w:rPr>
              <w:t>Zona Europea</w:t>
            </w:r>
          </w:p>
        </w:tc>
        <w:tc>
          <w:tcPr>
            <w:tcW w:w="1225" w:type="dxa"/>
          </w:tcPr>
          <w:p>
            <w:pPr>
              <w:pStyle w:val="TableParagraph"/>
              <w:spacing w:line="144" w:lineRule="exact" w:before="7"/>
              <w:ind w:right="200"/>
              <w:jc w:val="right"/>
              <w:rPr>
                <w:sz w:val="13"/>
              </w:rPr>
            </w:pPr>
            <w:r>
              <w:rPr>
                <w:sz w:val="13"/>
              </w:rPr>
              <w:t>5.3</w:t>
            </w:r>
          </w:p>
        </w:tc>
        <w:tc>
          <w:tcPr>
            <w:tcW w:w="582" w:type="dxa"/>
            <w:tcBorders>
              <w:right w:val="single" w:sz="4" w:space="0" w:color="000000"/>
            </w:tcBorders>
          </w:tcPr>
          <w:p>
            <w:pPr>
              <w:pStyle w:val="TableParagraph"/>
              <w:spacing w:line="144" w:lineRule="exact" w:before="7"/>
              <w:ind w:left="159" w:right="147"/>
              <w:jc w:val="center"/>
              <w:rPr>
                <w:sz w:val="13"/>
              </w:rPr>
            </w:pPr>
            <w:r>
              <w:rPr>
                <w:sz w:val="13"/>
              </w:rPr>
              <w:t>2.8</w:t>
            </w:r>
          </w:p>
        </w:tc>
        <w:tc>
          <w:tcPr>
            <w:tcW w:w="578" w:type="dxa"/>
            <w:tcBorders>
              <w:left w:val="single" w:sz="4" w:space="0" w:color="000000"/>
              <w:right w:val="single" w:sz="4" w:space="0" w:color="41709C"/>
            </w:tcBorders>
          </w:tcPr>
          <w:p>
            <w:pPr>
              <w:pStyle w:val="TableParagraph"/>
              <w:spacing w:line="144" w:lineRule="exact" w:before="7"/>
              <w:ind w:left="152" w:right="144"/>
              <w:jc w:val="center"/>
              <w:rPr>
                <w:sz w:val="13"/>
              </w:rPr>
            </w:pPr>
            <w:r>
              <w:rPr>
                <w:sz w:val="13"/>
              </w:rPr>
              <w:t>2.3</w:t>
            </w:r>
          </w:p>
        </w:tc>
      </w:tr>
      <w:tr>
        <w:trPr>
          <w:trHeight w:val="172" w:hRule="atLeast"/>
        </w:trPr>
        <w:tc>
          <w:tcPr>
            <w:tcW w:w="3687" w:type="dxa"/>
            <w:tcBorders>
              <w:left w:val="single" w:sz="4" w:space="0" w:color="000000"/>
            </w:tcBorders>
          </w:tcPr>
          <w:p>
            <w:pPr>
              <w:pStyle w:val="TableParagraph"/>
              <w:spacing w:line="144" w:lineRule="exact" w:before="8"/>
              <w:ind w:left="304"/>
              <w:rPr>
                <w:i/>
                <w:sz w:val="13"/>
              </w:rPr>
            </w:pPr>
            <w:r>
              <w:rPr>
                <w:i/>
                <w:sz w:val="13"/>
              </w:rPr>
              <w:t>Alemania</w:t>
            </w:r>
          </w:p>
        </w:tc>
        <w:tc>
          <w:tcPr>
            <w:tcW w:w="1225" w:type="dxa"/>
          </w:tcPr>
          <w:p>
            <w:pPr>
              <w:pStyle w:val="TableParagraph"/>
              <w:spacing w:line="144" w:lineRule="exact" w:before="8"/>
              <w:ind w:right="200"/>
              <w:jc w:val="right"/>
              <w:rPr>
                <w:sz w:val="13"/>
              </w:rPr>
            </w:pPr>
            <w:r>
              <w:rPr>
                <w:sz w:val="13"/>
              </w:rPr>
              <w:t>2.8</w:t>
            </w:r>
          </w:p>
        </w:tc>
        <w:tc>
          <w:tcPr>
            <w:tcW w:w="582" w:type="dxa"/>
            <w:tcBorders>
              <w:right w:val="single" w:sz="4" w:space="0" w:color="000000"/>
            </w:tcBorders>
          </w:tcPr>
          <w:p>
            <w:pPr>
              <w:pStyle w:val="TableParagraph"/>
              <w:spacing w:line="144" w:lineRule="exact" w:before="8"/>
              <w:ind w:left="159" w:right="147"/>
              <w:jc w:val="center"/>
              <w:rPr>
                <w:sz w:val="13"/>
              </w:rPr>
            </w:pPr>
            <w:r>
              <w:rPr>
                <w:sz w:val="13"/>
              </w:rPr>
              <w:t>2.1</w:t>
            </w:r>
          </w:p>
        </w:tc>
        <w:tc>
          <w:tcPr>
            <w:tcW w:w="578" w:type="dxa"/>
            <w:tcBorders>
              <w:left w:val="single" w:sz="4" w:space="0" w:color="000000"/>
              <w:right w:val="single" w:sz="4" w:space="0" w:color="41709C"/>
            </w:tcBorders>
          </w:tcPr>
          <w:p>
            <w:pPr>
              <w:pStyle w:val="TableParagraph"/>
              <w:spacing w:line="144" w:lineRule="exact" w:before="8"/>
              <w:ind w:left="152" w:right="144"/>
              <w:jc w:val="center"/>
              <w:rPr>
                <w:sz w:val="13"/>
              </w:rPr>
            </w:pPr>
            <w:r>
              <w:rPr>
                <w:sz w:val="13"/>
              </w:rPr>
              <w:t>2.7</w:t>
            </w:r>
          </w:p>
        </w:tc>
      </w:tr>
      <w:tr>
        <w:trPr>
          <w:trHeight w:val="171" w:hRule="atLeast"/>
        </w:trPr>
        <w:tc>
          <w:tcPr>
            <w:tcW w:w="3687" w:type="dxa"/>
            <w:tcBorders>
              <w:left w:val="single" w:sz="4" w:space="0" w:color="000000"/>
            </w:tcBorders>
          </w:tcPr>
          <w:p>
            <w:pPr>
              <w:pStyle w:val="TableParagraph"/>
              <w:spacing w:line="143" w:lineRule="exact" w:before="8"/>
              <w:ind w:left="304"/>
              <w:rPr>
                <w:i/>
                <w:sz w:val="13"/>
              </w:rPr>
            </w:pPr>
            <w:r>
              <w:rPr>
                <w:i/>
                <w:sz w:val="13"/>
              </w:rPr>
              <w:t>Francia</w:t>
            </w:r>
          </w:p>
        </w:tc>
        <w:tc>
          <w:tcPr>
            <w:tcW w:w="1225" w:type="dxa"/>
          </w:tcPr>
          <w:p>
            <w:pPr>
              <w:pStyle w:val="TableParagraph"/>
              <w:spacing w:line="143" w:lineRule="exact" w:before="8"/>
              <w:ind w:right="248"/>
              <w:jc w:val="right"/>
              <w:rPr>
                <w:sz w:val="13"/>
              </w:rPr>
            </w:pPr>
            <w:r>
              <w:rPr>
                <w:w w:val="99"/>
                <w:sz w:val="13"/>
              </w:rPr>
              <w:t>7</w:t>
            </w:r>
          </w:p>
        </w:tc>
        <w:tc>
          <w:tcPr>
            <w:tcW w:w="582" w:type="dxa"/>
            <w:tcBorders>
              <w:right w:val="single" w:sz="4" w:space="0" w:color="000000"/>
            </w:tcBorders>
          </w:tcPr>
          <w:p>
            <w:pPr>
              <w:pStyle w:val="TableParagraph"/>
              <w:spacing w:line="143" w:lineRule="exact" w:before="8"/>
              <w:ind w:left="159" w:right="147"/>
              <w:jc w:val="center"/>
              <w:rPr>
                <w:sz w:val="13"/>
              </w:rPr>
            </w:pPr>
            <w:r>
              <w:rPr>
                <w:sz w:val="13"/>
              </w:rPr>
              <w:t>2.9</w:t>
            </w:r>
          </w:p>
        </w:tc>
        <w:tc>
          <w:tcPr>
            <w:tcW w:w="578" w:type="dxa"/>
            <w:tcBorders>
              <w:left w:val="single" w:sz="4" w:space="0" w:color="000000"/>
              <w:right w:val="single" w:sz="4" w:space="0" w:color="41709C"/>
            </w:tcBorders>
          </w:tcPr>
          <w:p>
            <w:pPr>
              <w:pStyle w:val="TableParagraph"/>
              <w:spacing w:line="143" w:lineRule="exact" w:before="8"/>
              <w:ind w:left="152" w:right="144"/>
              <w:jc w:val="center"/>
              <w:rPr>
                <w:sz w:val="13"/>
              </w:rPr>
            </w:pPr>
            <w:r>
              <w:rPr>
                <w:sz w:val="13"/>
              </w:rPr>
              <w:t>1.4</w:t>
            </w:r>
          </w:p>
        </w:tc>
      </w:tr>
      <w:tr>
        <w:trPr>
          <w:trHeight w:val="171" w:hRule="atLeast"/>
        </w:trPr>
        <w:tc>
          <w:tcPr>
            <w:tcW w:w="3687" w:type="dxa"/>
            <w:tcBorders>
              <w:left w:val="single" w:sz="4" w:space="0" w:color="000000"/>
            </w:tcBorders>
          </w:tcPr>
          <w:p>
            <w:pPr>
              <w:pStyle w:val="TableParagraph"/>
              <w:spacing w:line="144" w:lineRule="exact" w:before="7"/>
              <w:ind w:left="304"/>
              <w:rPr>
                <w:i/>
                <w:sz w:val="13"/>
              </w:rPr>
            </w:pPr>
            <w:r>
              <w:rPr>
                <w:i/>
                <w:sz w:val="13"/>
              </w:rPr>
              <w:t>Italia</w:t>
            </w:r>
          </w:p>
        </w:tc>
        <w:tc>
          <w:tcPr>
            <w:tcW w:w="1225" w:type="dxa"/>
          </w:tcPr>
          <w:p>
            <w:pPr>
              <w:pStyle w:val="TableParagraph"/>
              <w:spacing w:line="144" w:lineRule="exact" w:before="7"/>
              <w:ind w:right="200"/>
              <w:jc w:val="right"/>
              <w:rPr>
                <w:sz w:val="13"/>
              </w:rPr>
            </w:pPr>
            <w:r>
              <w:rPr>
                <w:sz w:val="13"/>
              </w:rPr>
              <w:t>6.6</w:t>
            </w:r>
          </w:p>
        </w:tc>
        <w:tc>
          <w:tcPr>
            <w:tcW w:w="582" w:type="dxa"/>
            <w:tcBorders>
              <w:right w:val="single" w:sz="4" w:space="0" w:color="000000"/>
            </w:tcBorders>
          </w:tcPr>
          <w:p>
            <w:pPr>
              <w:pStyle w:val="TableParagraph"/>
              <w:spacing w:line="144" w:lineRule="exact" w:before="7"/>
              <w:ind w:left="159" w:right="147"/>
              <w:jc w:val="center"/>
              <w:rPr>
                <w:sz w:val="13"/>
              </w:rPr>
            </w:pPr>
            <w:r>
              <w:rPr>
                <w:sz w:val="13"/>
              </w:rPr>
              <w:t>2.3</w:t>
            </w:r>
          </w:p>
        </w:tc>
        <w:tc>
          <w:tcPr>
            <w:tcW w:w="578" w:type="dxa"/>
            <w:tcBorders>
              <w:left w:val="single" w:sz="4" w:space="0" w:color="000000"/>
              <w:right w:val="single" w:sz="4" w:space="0" w:color="41709C"/>
            </w:tcBorders>
          </w:tcPr>
          <w:p>
            <w:pPr>
              <w:pStyle w:val="TableParagraph"/>
              <w:spacing w:line="144" w:lineRule="exact" w:before="7"/>
              <w:ind w:left="152" w:right="144"/>
              <w:jc w:val="center"/>
              <w:rPr>
                <w:sz w:val="13"/>
              </w:rPr>
            </w:pPr>
            <w:r>
              <w:rPr>
                <w:sz w:val="13"/>
              </w:rPr>
              <w:t>1.7</w:t>
            </w:r>
          </w:p>
        </w:tc>
      </w:tr>
      <w:tr>
        <w:trPr>
          <w:trHeight w:val="172" w:hRule="atLeast"/>
        </w:trPr>
        <w:tc>
          <w:tcPr>
            <w:tcW w:w="3687" w:type="dxa"/>
            <w:tcBorders>
              <w:left w:val="single" w:sz="4" w:space="0" w:color="000000"/>
            </w:tcBorders>
          </w:tcPr>
          <w:p>
            <w:pPr>
              <w:pStyle w:val="TableParagraph"/>
              <w:spacing w:line="144" w:lineRule="exact" w:before="8"/>
              <w:ind w:left="304"/>
              <w:rPr>
                <w:i/>
                <w:sz w:val="13"/>
              </w:rPr>
            </w:pPr>
            <w:r>
              <w:rPr>
                <w:i/>
                <w:sz w:val="13"/>
              </w:rPr>
              <w:t>España</w:t>
            </w:r>
          </w:p>
        </w:tc>
        <w:tc>
          <w:tcPr>
            <w:tcW w:w="1225" w:type="dxa"/>
          </w:tcPr>
          <w:p>
            <w:pPr>
              <w:pStyle w:val="TableParagraph"/>
              <w:spacing w:line="144" w:lineRule="exact" w:before="8"/>
              <w:ind w:right="200"/>
              <w:jc w:val="right"/>
              <w:rPr>
                <w:sz w:val="13"/>
              </w:rPr>
            </w:pPr>
            <w:r>
              <w:rPr>
                <w:sz w:val="13"/>
              </w:rPr>
              <w:t>5.1</w:t>
            </w:r>
          </w:p>
        </w:tc>
        <w:tc>
          <w:tcPr>
            <w:tcW w:w="582" w:type="dxa"/>
            <w:tcBorders>
              <w:right w:val="single" w:sz="4" w:space="0" w:color="000000"/>
            </w:tcBorders>
          </w:tcPr>
          <w:p>
            <w:pPr>
              <w:pStyle w:val="TableParagraph"/>
              <w:spacing w:line="144" w:lineRule="exact" w:before="8"/>
              <w:ind w:left="159" w:right="147"/>
              <w:jc w:val="center"/>
              <w:rPr>
                <w:sz w:val="13"/>
              </w:rPr>
            </w:pPr>
            <w:r>
              <w:rPr>
                <w:sz w:val="13"/>
              </w:rPr>
              <w:t>4.8</w:t>
            </w:r>
          </w:p>
        </w:tc>
        <w:tc>
          <w:tcPr>
            <w:tcW w:w="578" w:type="dxa"/>
            <w:tcBorders>
              <w:left w:val="single" w:sz="4" w:space="0" w:color="000000"/>
              <w:right w:val="single" w:sz="4" w:space="0" w:color="41709C"/>
            </w:tcBorders>
          </w:tcPr>
          <w:p>
            <w:pPr>
              <w:pStyle w:val="TableParagraph"/>
              <w:spacing w:line="144" w:lineRule="exact" w:before="8"/>
              <w:ind w:left="152" w:right="144"/>
              <w:jc w:val="center"/>
              <w:rPr>
                <w:sz w:val="13"/>
              </w:rPr>
            </w:pPr>
            <w:r>
              <w:rPr>
                <w:sz w:val="13"/>
              </w:rPr>
              <w:t>3.3</w:t>
            </w:r>
          </w:p>
        </w:tc>
      </w:tr>
      <w:tr>
        <w:trPr>
          <w:trHeight w:val="171" w:hRule="atLeast"/>
        </w:trPr>
        <w:tc>
          <w:tcPr>
            <w:tcW w:w="3687" w:type="dxa"/>
            <w:tcBorders>
              <w:left w:val="single" w:sz="4" w:space="0" w:color="000000"/>
            </w:tcBorders>
          </w:tcPr>
          <w:p>
            <w:pPr>
              <w:pStyle w:val="TableParagraph"/>
              <w:spacing w:line="143" w:lineRule="exact" w:before="8"/>
              <w:ind w:left="208"/>
              <w:rPr>
                <w:i/>
                <w:sz w:val="13"/>
              </w:rPr>
            </w:pPr>
            <w:r>
              <w:rPr>
                <w:i/>
                <w:sz w:val="13"/>
              </w:rPr>
              <w:t>Japón</w:t>
            </w:r>
          </w:p>
        </w:tc>
        <w:tc>
          <w:tcPr>
            <w:tcW w:w="1225" w:type="dxa"/>
          </w:tcPr>
          <w:p>
            <w:pPr>
              <w:pStyle w:val="TableParagraph"/>
              <w:spacing w:line="143" w:lineRule="exact" w:before="8"/>
              <w:ind w:right="200"/>
              <w:jc w:val="right"/>
              <w:rPr>
                <w:sz w:val="13"/>
              </w:rPr>
            </w:pPr>
            <w:r>
              <w:rPr>
                <w:sz w:val="13"/>
              </w:rPr>
              <w:t>1.6</w:t>
            </w:r>
          </w:p>
        </w:tc>
        <w:tc>
          <w:tcPr>
            <w:tcW w:w="582" w:type="dxa"/>
            <w:tcBorders>
              <w:right w:val="single" w:sz="4" w:space="0" w:color="000000"/>
            </w:tcBorders>
          </w:tcPr>
          <w:p>
            <w:pPr>
              <w:pStyle w:val="TableParagraph"/>
              <w:spacing w:line="143" w:lineRule="exact" w:before="8"/>
              <w:ind w:left="159" w:right="147"/>
              <w:jc w:val="center"/>
              <w:rPr>
                <w:sz w:val="13"/>
              </w:rPr>
            </w:pPr>
            <w:r>
              <w:rPr>
                <w:sz w:val="13"/>
              </w:rPr>
              <w:t>2.4</w:t>
            </w:r>
          </w:p>
        </w:tc>
        <w:tc>
          <w:tcPr>
            <w:tcW w:w="578" w:type="dxa"/>
            <w:tcBorders>
              <w:left w:val="single" w:sz="4" w:space="0" w:color="000000"/>
              <w:right w:val="single" w:sz="4" w:space="0" w:color="41709C"/>
            </w:tcBorders>
          </w:tcPr>
          <w:p>
            <w:pPr>
              <w:pStyle w:val="TableParagraph"/>
              <w:spacing w:line="143" w:lineRule="exact" w:before="8"/>
              <w:ind w:left="152" w:right="144"/>
              <w:jc w:val="center"/>
              <w:rPr>
                <w:sz w:val="13"/>
              </w:rPr>
            </w:pPr>
            <w:r>
              <w:rPr>
                <w:sz w:val="13"/>
              </w:rPr>
              <w:t>2.3</w:t>
            </w:r>
          </w:p>
        </w:tc>
      </w:tr>
      <w:tr>
        <w:trPr>
          <w:trHeight w:val="171" w:hRule="atLeast"/>
        </w:trPr>
        <w:tc>
          <w:tcPr>
            <w:tcW w:w="3687" w:type="dxa"/>
            <w:tcBorders>
              <w:left w:val="single" w:sz="4" w:space="0" w:color="000000"/>
            </w:tcBorders>
          </w:tcPr>
          <w:p>
            <w:pPr>
              <w:pStyle w:val="TableParagraph"/>
              <w:spacing w:line="144" w:lineRule="exact" w:before="7"/>
              <w:ind w:left="208"/>
              <w:rPr>
                <w:i/>
                <w:sz w:val="13"/>
              </w:rPr>
            </w:pPr>
            <w:r>
              <w:rPr>
                <w:i/>
                <w:sz w:val="13"/>
              </w:rPr>
              <w:t>Inglaterra</w:t>
            </w:r>
          </w:p>
        </w:tc>
        <w:tc>
          <w:tcPr>
            <w:tcW w:w="1225" w:type="dxa"/>
          </w:tcPr>
          <w:p>
            <w:pPr>
              <w:pStyle w:val="TableParagraph"/>
              <w:spacing w:line="144" w:lineRule="exact" w:before="7"/>
              <w:ind w:right="200"/>
              <w:jc w:val="right"/>
              <w:rPr>
                <w:sz w:val="13"/>
              </w:rPr>
            </w:pPr>
            <w:r>
              <w:rPr>
                <w:sz w:val="13"/>
              </w:rPr>
              <w:t>7.4</w:t>
            </w:r>
          </w:p>
        </w:tc>
        <w:tc>
          <w:tcPr>
            <w:tcW w:w="582" w:type="dxa"/>
            <w:tcBorders>
              <w:right w:val="single" w:sz="4" w:space="0" w:color="000000"/>
            </w:tcBorders>
          </w:tcPr>
          <w:p>
            <w:pPr>
              <w:pStyle w:val="TableParagraph"/>
              <w:spacing w:line="144" w:lineRule="exact" w:before="7"/>
              <w:ind w:left="159" w:right="147"/>
              <w:jc w:val="center"/>
              <w:rPr>
                <w:sz w:val="13"/>
              </w:rPr>
            </w:pPr>
            <w:r>
              <w:rPr>
                <w:sz w:val="13"/>
              </w:rPr>
              <w:t>3.7</w:t>
            </w:r>
          </w:p>
        </w:tc>
        <w:tc>
          <w:tcPr>
            <w:tcW w:w="578" w:type="dxa"/>
            <w:tcBorders>
              <w:left w:val="single" w:sz="4" w:space="0" w:color="000000"/>
              <w:right w:val="single" w:sz="4" w:space="0" w:color="41709C"/>
            </w:tcBorders>
          </w:tcPr>
          <w:p>
            <w:pPr>
              <w:pStyle w:val="TableParagraph"/>
              <w:spacing w:line="144" w:lineRule="exact" w:before="7"/>
              <w:ind w:left="152" w:right="144"/>
              <w:jc w:val="center"/>
              <w:rPr>
                <w:sz w:val="13"/>
              </w:rPr>
            </w:pPr>
            <w:r>
              <w:rPr>
                <w:sz w:val="13"/>
              </w:rPr>
              <w:t>1.2</w:t>
            </w:r>
          </w:p>
        </w:tc>
      </w:tr>
      <w:tr>
        <w:trPr>
          <w:trHeight w:val="171" w:hRule="atLeast"/>
        </w:trPr>
        <w:tc>
          <w:tcPr>
            <w:tcW w:w="3687" w:type="dxa"/>
            <w:tcBorders>
              <w:left w:val="single" w:sz="4" w:space="0" w:color="000000"/>
            </w:tcBorders>
          </w:tcPr>
          <w:p>
            <w:pPr>
              <w:pStyle w:val="TableParagraph"/>
              <w:spacing w:line="143" w:lineRule="exact" w:before="8"/>
              <w:ind w:left="175"/>
              <w:rPr>
                <w:i/>
                <w:sz w:val="13"/>
              </w:rPr>
            </w:pPr>
            <w:r>
              <w:rPr>
                <w:i/>
                <w:sz w:val="13"/>
              </w:rPr>
              <w:t>Canadá</w:t>
            </w:r>
          </w:p>
        </w:tc>
        <w:tc>
          <w:tcPr>
            <w:tcW w:w="1225" w:type="dxa"/>
          </w:tcPr>
          <w:p>
            <w:pPr>
              <w:pStyle w:val="TableParagraph"/>
              <w:spacing w:line="143" w:lineRule="exact" w:before="8"/>
              <w:ind w:right="200"/>
              <w:jc w:val="right"/>
              <w:rPr>
                <w:sz w:val="13"/>
              </w:rPr>
            </w:pPr>
            <w:r>
              <w:rPr>
                <w:sz w:val="13"/>
              </w:rPr>
              <w:t>4.6</w:t>
            </w:r>
          </w:p>
        </w:tc>
        <w:tc>
          <w:tcPr>
            <w:tcW w:w="582" w:type="dxa"/>
            <w:tcBorders>
              <w:right w:val="single" w:sz="4" w:space="0" w:color="000000"/>
            </w:tcBorders>
          </w:tcPr>
          <w:p>
            <w:pPr>
              <w:pStyle w:val="TableParagraph"/>
              <w:spacing w:line="143" w:lineRule="exact" w:before="8"/>
              <w:ind w:left="159" w:right="147"/>
              <w:jc w:val="center"/>
              <w:rPr>
                <w:sz w:val="13"/>
              </w:rPr>
            </w:pPr>
            <w:r>
              <w:rPr>
                <w:sz w:val="13"/>
              </w:rPr>
              <w:t>3.9</w:t>
            </w:r>
          </w:p>
        </w:tc>
        <w:tc>
          <w:tcPr>
            <w:tcW w:w="578" w:type="dxa"/>
            <w:tcBorders>
              <w:left w:val="single" w:sz="4" w:space="0" w:color="000000"/>
              <w:right w:val="single" w:sz="4" w:space="0" w:color="41709C"/>
            </w:tcBorders>
          </w:tcPr>
          <w:p>
            <w:pPr>
              <w:pStyle w:val="TableParagraph"/>
              <w:spacing w:line="143" w:lineRule="exact" w:before="8"/>
              <w:ind w:left="152" w:right="144"/>
              <w:jc w:val="center"/>
              <w:rPr>
                <w:sz w:val="13"/>
              </w:rPr>
            </w:pPr>
            <w:r>
              <w:rPr>
                <w:sz w:val="13"/>
              </w:rPr>
              <w:t>2.8</w:t>
            </w:r>
          </w:p>
        </w:tc>
      </w:tr>
      <w:tr>
        <w:trPr>
          <w:trHeight w:val="184" w:hRule="atLeast"/>
        </w:trPr>
        <w:tc>
          <w:tcPr>
            <w:tcW w:w="3687" w:type="dxa"/>
            <w:tcBorders>
              <w:left w:val="single" w:sz="4" w:space="0" w:color="000000"/>
            </w:tcBorders>
          </w:tcPr>
          <w:p>
            <w:pPr>
              <w:pStyle w:val="TableParagraph"/>
              <w:spacing w:before="7"/>
              <w:ind w:left="175"/>
              <w:rPr>
                <w:i/>
                <w:sz w:val="13"/>
              </w:rPr>
            </w:pPr>
            <w:r>
              <w:rPr>
                <w:i/>
                <w:sz w:val="13"/>
              </w:rPr>
              <w:t>Otras Economías Avanzadas</w:t>
            </w:r>
          </w:p>
        </w:tc>
        <w:tc>
          <w:tcPr>
            <w:tcW w:w="1225" w:type="dxa"/>
          </w:tcPr>
          <w:p>
            <w:pPr>
              <w:pStyle w:val="TableParagraph"/>
              <w:spacing w:before="7"/>
              <w:ind w:right="248"/>
              <w:jc w:val="right"/>
              <w:rPr>
                <w:sz w:val="13"/>
              </w:rPr>
            </w:pPr>
            <w:r>
              <w:rPr>
                <w:w w:val="99"/>
                <w:sz w:val="13"/>
              </w:rPr>
              <w:t>5</w:t>
            </w:r>
          </w:p>
        </w:tc>
        <w:tc>
          <w:tcPr>
            <w:tcW w:w="582" w:type="dxa"/>
            <w:tcBorders>
              <w:right w:val="single" w:sz="4" w:space="0" w:color="000000"/>
            </w:tcBorders>
          </w:tcPr>
          <w:p>
            <w:pPr>
              <w:pStyle w:val="TableParagraph"/>
              <w:spacing w:before="7"/>
              <w:ind w:left="159" w:right="147"/>
              <w:jc w:val="center"/>
              <w:rPr>
                <w:sz w:val="13"/>
              </w:rPr>
            </w:pPr>
            <w:r>
              <w:rPr>
                <w:sz w:val="13"/>
              </w:rPr>
              <w:t>3.1</w:t>
            </w:r>
          </w:p>
        </w:tc>
        <w:tc>
          <w:tcPr>
            <w:tcW w:w="578" w:type="dxa"/>
            <w:tcBorders>
              <w:left w:val="single" w:sz="4" w:space="0" w:color="000000"/>
              <w:right w:val="single" w:sz="4" w:space="0" w:color="41709C"/>
            </w:tcBorders>
          </w:tcPr>
          <w:p>
            <w:pPr>
              <w:pStyle w:val="TableParagraph"/>
              <w:spacing w:before="7"/>
              <w:ind w:left="11"/>
              <w:jc w:val="center"/>
              <w:rPr>
                <w:sz w:val="13"/>
              </w:rPr>
            </w:pPr>
            <w:r>
              <w:rPr>
                <w:w w:val="99"/>
                <w:sz w:val="13"/>
              </w:rPr>
              <w:t>3</w:t>
            </w:r>
          </w:p>
        </w:tc>
      </w:tr>
      <w:tr>
        <w:trPr>
          <w:trHeight w:val="172" w:hRule="atLeast"/>
        </w:trPr>
        <w:tc>
          <w:tcPr>
            <w:tcW w:w="3687" w:type="dxa"/>
            <w:tcBorders>
              <w:left w:val="single" w:sz="4" w:space="0" w:color="000000"/>
            </w:tcBorders>
            <w:shd w:val="clear" w:color="auto" w:fill="DEEAF6"/>
          </w:tcPr>
          <w:p>
            <w:pPr>
              <w:pStyle w:val="TableParagraph"/>
              <w:spacing w:line="148" w:lineRule="exact"/>
              <w:ind w:left="107"/>
              <w:rPr>
                <w:b/>
                <w:i/>
                <w:sz w:val="13"/>
              </w:rPr>
            </w:pPr>
            <w:r>
              <w:rPr>
                <w:b/>
                <w:i/>
                <w:sz w:val="13"/>
              </w:rPr>
              <w:t>Economías de mercados emergentes y en desarrollo</w:t>
            </w:r>
          </w:p>
        </w:tc>
        <w:tc>
          <w:tcPr>
            <w:tcW w:w="1225" w:type="dxa"/>
            <w:shd w:val="clear" w:color="auto" w:fill="DEEAF6"/>
          </w:tcPr>
          <w:p>
            <w:pPr>
              <w:pStyle w:val="TableParagraph"/>
              <w:spacing w:line="146" w:lineRule="exact"/>
              <w:ind w:right="200"/>
              <w:jc w:val="right"/>
              <w:rPr>
                <w:sz w:val="13"/>
              </w:rPr>
            </w:pPr>
            <w:r>
              <w:rPr>
                <w:sz w:val="13"/>
              </w:rPr>
              <w:t>6.8</w:t>
            </w:r>
          </w:p>
        </w:tc>
        <w:tc>
          <w:tcPr>
            <w:tcW w:w="582" w:type="dxa"/>
            <w:tcBorders>
              <w:right w:val="single" w:sz="4" w:space="0" w:color="000000"/>
            </w:tcBorders>
            <w:shd w:val="clear" w:color="auto" w:fill="DEEAF6"/>
          </w:tcPr>
          <w:p>
            <w:pPr>
              <w:pStyle w:val="TableParagraph"/>
              <w:spacing w:line="146" w:lineRule="exact"/>
              <w:ind w:left="159" w:right="147"/>
              <w:jc w:val="center"/>
              <w:rPr>
                <w:sz w:val="13"/>
              </w:rPr>
            </w:pPr>
            <w:r>
              <w:rPr>
                <w:sz w:val="13"/>
              </w:rPr>
              <w:t>3.8</w:t>
            </w:r>
          </w:p>
        </w:tc>
        <w:tc>
          <w:tcPr>
            <w:tcW w:w="578" w:type="dxa"/>
            <w:tcBorders>
              <w:left w:val="single" w:sz="4" w:space="0" w:color="000000"/>
              <w:right w:val="single" w:sz="4" w:space="0" w:color="000000"/>
            </w:tcBorders>
            <w:shd w:val="clear" w:color="auto" w:fill="DEEAF6"/>
          </w:tcPr>
          <w:p>
            <w:pPr>
              <w:pStyle w:val="TableParagraph"/>
              <w:spacing w:line="146" w:lineRule="exact"/>
              <w:ind w:left="152" w:right="144"/>
              <w:jc w:val="center"/>
              <w:rPr>
                <w:sz w:val="13"/>
              </w:rPr>
            </w:pPr>
            <w:r>
              <w:rPr>
                <w:sz w:val="13"/>
              </w:rPr>
              <w:t>4.4</w:t>
            </w:r>
          </w:p>
        </w:tc>
      </w:tr>
      <w:tr>
        <w:trPr>
          <w:trHeight w:val="159" w:hRule="atLeast"/>
        </w:trPr>
        <w:tc>
          <w:tcPr>
            <w:tcW w:w="3687" w:type="dxa"/>
            <w:tcBorders>
              <w:left w:val="single" w:sz="4" w:space="0" w:color="000000"/>
            </w:tcBorders>
          </w:tcPr>
          <w:p>
            <w:pPr>
              <w:pStyle w:val="TableParagraph"/>
              <w:spacing w:line="139" w:lineRule="exact"/>
              <w:ind w:left="208"/>
              <w:rPr>
                <w:i/>
                <w:sz w:val="13"/>
              </w:rPr>
            </w:pPr>
            <w:r>
              <w:rPr>
                <w:i/>
                <w:sz w:val="13"/>
              </w:rPr>
              <w:t>Economías emergentes y en desarrollo de Asia</w:t>
            </w:r>
          </w:p>
        </w:tc>
        <w:tc>
          <w:tcPr>
            <w:tcW w:w="1225" w:type="dxa"/>
          </w:tcPr>
          <w:p>
            <w:pPr>
              <w:pStyle w:val="TableParagraph"/>
              <w:spacing w:line="139" w:lineRule="exact"/>
              <w:ind w:right="200"/>
              <w:jc w:val="right"/>
              <w:rPr>
                <w:sz w:val="13"/>
              </w:rPr>
            </w:pPr>
            <w:r>
              <w:rPr>
                <w:sz w:val="13"/>
              </w:rPr>
              <w:t>7.3</w:t>
            </w:r>
          </w:p>
        </w:tc>
        <w:tc>
          <w:tcPr>
            <w:tcW w:w="582" w:type="dxa"/>
            <w:tcBorders>
              <w:right w:val="single" w:sz="4" w:space="0" w:color="000000"/>
            </w:tcBorders>
          </w:tcPr>
          <w:p>
            <w:pPr>
              <w:pStyle w:val="TableParagraph"/>
              <w:spacing w:line="139" w:lineRule="exact"/>
              <w:ind w:left="159" w:right="147"/>
              <w:jc w:val="center"/>
              <w:rPr>
                <w:sz w:val="13"/>
              </w:rPr>
            </w:pPr>
            <w:r>
              <w:rPr>
                <w:sz w:val="13"/>
              </w:rPr>
              <w:t>5.4</w:t>
            </w:r>
          </w:p>
        </w:tc>
        <w:tc>
          <w:tcPr>
            <w:tcW w:w="578" w:type="dxa"/>
            <w:tcBorders>
              <w:left w:val="single" w:sz="4" w:space="0" w:color="000000"/>
              <w:right w:val="single" w:sz="4" w:space="0" w:color="000000"/>
            </w:tcBorders>
          </w:tcPr>
          <w:p>
            <w:pPr>
              <w:pStyle w:val="TableParagraph"/>
              <w:spacing w:line="139" w:lineRule="exact"/>
              <w:ind w:left="152" w:right="144"/>
              <w:jc w:val="center"/>
              <w:rPr>
                <w:sz w:val="13"/>
              </w:rPr>
            </w:pPr>
            <w:r>
              <w:rPr>
                <w:sz w:val="13"/>
              </w:rPr>
              <w:t>5.6</w:t>
            </w:r>
          </w:p>
        </w:tc>
      </w:tr>
      <w:tr>
        <w:trPr>
          <w:trHeight w:val="171" w:hRule="atLeast"/>
        </w:trPr>
        <w:tc>
          <w:tcPr>
            <w:tcW w:w="3687" w:type="dxa"/>
            <w:tcBorders>
              <w:left w:val="single" w:sz="4" w:space="0" w:color="000000"/>
            </w:tcBorders>
          </w:tcPr>
          <w:p>
            <w:pPr>
              <w:pStyle w:val="TableParagraph"/>
              <w:spacing w:line="144" w:lineRule="exact" w:before="7"/>
              <w:ind w:left="338"/>
              <w:rPr>
                <w:i/>
                <w:sz w:val="13"/>
              </w:rPr>
            </w:pPr>
            <w:r>
              <w:rPr>
                <w:i/>
                <w:sz w:val="13"/>
              </w:rPr>
              <w:t>China</w:t>
            </w:r>
          </w:p>
        </w:tc>
        <w:tc>
          <w:tcPr>
            <w:tcW w:w="1225" w:type="dxa"/>
          </w:tcPr>
          <w:p>
            <w:pPr>
              <w:pStyle w:val="TableParagraph"/>
              <w:spacing w:line="144" w:lineRule="exact" w:before="7"/>
              <w:ind w:right="200"/>
              <w:jc w:val="right"/>
              <w:rPr>
                <w:sz w:val="13"/>
              </w:rPr>
            </w:pPr>
            <w:r>
              <w:rPr>
                <w:sz w:val="13"/>
              </w:rPr>
              <w:t>8.1</w:t>
            </w:r>
          </w:p>
        </w:tc>
        <w:tc>
          <w:tcPr>
            <w:tcW w:w="582" w:type="dxa"/>
            <w:tcBorders>
              <w:right w:val="single" w:sz="4" w:space="0" w:color="000000"/>
            </w:tcBorders>
          </w:tcPr>
          <w:p>
            <w:pPr>
              <w:pStyle w:val="TableParagraph"/>
              <w:spacing w:line="144" w:lineRule="exact" w:before="7"/>
              <w:ind w:left="159" w:right="147"/>
              <w:jc w:val="center"/>
              <w:rPr>
                <w:sz w:val="13"/>
              </w:rPr>
            </w:pPr>
            <w:r>
              <w:rPr>
                <w:sz w:val="13"/>
              </w:rPr>
              <w:t>4.4</w:t>
            </w:r>
          </w:p>
        </w:tc>
        <w:tc>
          <w:tcPr>
            <w:tcW w:w="578" w:type="dxa"/>
            <w:tcBorders>
              <w:left w:val="single" w:sz="4" w:space="0" w:color="000000"/>
              <w:right w:val="single" w:sz="4" w:space="0" w:color="000000"/>
            </w:tcBorders>
          </w:tcPr>
          <w:p>
            <w:pPr>
              <w:pStyle w:val="TableParagraph"/>
              <w:spacing w:line="144" w:lineRule="exact" w:before="7"/>
              <w:ind w:left="152" w:right="144"/>
              <w:jc w:val="center"/>
              <w:rPr>
                <w:sz w:val="13"/>
              </w:rPr>
            </w:pPr>
            <w:r>
              <w:rPr>
                <w:sz w:val="13"/>
              </w:rPr>
              <w:t>5.1</w:t>
            </w:r>
          </w:p>
        </w:tc>
      </w:tr>
      <w:tr>
        <w:trPr>
          <w:trHeight w:val="173" w:hRule="atLeast"/>
        </w:trPr>
        <w:tc>
          <w:tcPr>
            <w:tcW w:w="3687" w:type="dxa"/>
            <w:tcBorders>
              <w:left w:val="single" w:sz="4" w:space="0" w:color="000000"/>
            </w:tcBorders>
          </w:tcPr>
          <w:p>
            <w:pPr>
              <w:pStyle w:val="TableParagraph"/>
              <w:spacing w:line="144" w:lineRule="exact" w:before="9"/>
              <w:ind w:left="338"/>
              <w:rPr>
                <w:i/>
                <w:sz w:val="13"/>
              </w:rPr>
            </w:pPr>
            <w:r>
              <w:rPr>
                <w:i/>
                <w:sz w:val="13"/>
              </w:rPr>
              <w:t>India3</w:t>
            </w:r>
          </w:p>
        </w:tc>
        <w:tc>
          <w:tcPr>
            <w:tcW w:w="1225" w:type="dxa"/>
          </w:tcPr>
          <w:p>
            <w:pPr>
              <w:pStyle w:val="TableParagraph"/>
              <w:spacing w:line="144" w:lineRule="exact" w:before="9"/>
              <w:ind w:right="200"/>
              <w:jc w:val="right"/>
              <w:rPr>
                <w:sz w:val="13"/>
              </w:rPr>
            </w:pPr>
            <w:r>
              <w:rPr>
                <w:sz w:val="13"/>
              </w:rPr>
              <w:t>8.9</w:t>
            </w:r>
          </w:p>
        </w:tc>
        <w:tc>
          <w:tcPr>
            <w:tcW w:w="582" w:type="dxa"/>
            <w:tcBorders>
              <w:right w:val="single" w:sz="4" w:space="0" w:color="000000"/>
            </w:tcBorders>
          </w:tcPr>
          <w:p>
            <w:pPr>
              <w:pStyle w:val="TableParagraph"/>
              <w:spacing w:line="144" w:lineRule="exact" w:before="9"/>
              <w:ind w:left="159" w:right="147"/>
              <w:jc w:val="center"/>
              <w:rPr>
                <w:sz w:val="13"/>
              </w:rPr>
            </w:pPr>
            <w:r>
              <w:rPr>
                <w:sz w:val="13"/>
              </w:rPr>
              <w:t>8.2</w:t>
            </w:r>
          </w:p>
        </w:tc>
        <w:tc>
          <w:tcPr>
            <w:tcW w:w="578" w:type="dxa"/>
            <w:tcBorders>
              <w:left w:val="single" w:sz="4" w:space="0" w:color="000000"/>
              <w:right w:val="single" w:sz="4" w:space="0" w:color="000000"/>
            </w:tcBorders>
          </w:tcPr>
          <w:p>
            <w:pPr>
              <w:pStyle w:val="TableParagraph"/>
              <w:spacing w:line="144" w:lineRule="exact" w:before="9"/>
              <w:ind w:left="152" w:right="144"/>
              <w:jc w:val="center"/>
              <w:rPr>
                <w:sz w:val="13"/>
              </w:rPr>
            </w:pPr>
            <w:r>
              <w:rPr>
                <w:sz w:val="13"/>
              </w:rPr>
              <w:t>6.9</w:t>
            </w:r>
          </w:p>
        </w:tc>
      </w:tr>
      <w:tr>
        <w:trPr>
          <w:trHeight w:val="230" w:hRule="atLeast"/>
        </w:trPr>
        <w:tc>
          <w:tcPr>
            <w:tcW w:w="3687" w:type="dxa"/>
            <w:tcBorders>
              <w:left w:val="single" w:sz="4" w:space="0" w:color="000000"/>
            </w:tcBorders>
          </w:tcPr>
          <w:p>
            <w:pPr>
              <w:pStyle w:val="TableParagraph"/>
              <w:spacing w:before="8"/>
              <w:ind w:left="304"/>
              <w:rPr>
                <w:i/>
                <w:sz w:val="13"/>
              </w:rPr>
            </w:pPr>
            <w:r>
              <w:rPr>
                <w:i/>
                <w:sz w:val="13"/>
              </w:rPr>
              <w:t>ASEAN-54</w:t>
            </w:r>
          </w:p>
        </w:tc>
        <w:tc>
          <w:tcPr>
            <w:tcW w:w="1225" w:type="dxa"/>
          </w:tcPr>
          <w:p>
            <w:pPr>
              <w:pStyle w:val="TableParagraph"/>
              <w:spacing w:before="8"/>
              <w:ind w:right="200"/>
              <w:jc w:val="right"/>
              <w:rPr>
                <w:sz w:val="13"/>
              </w:rPr>
            </w:pPr>
            <w:r>
              <w:rPr>
                <w:sz w:val="13"/>
              </w:rPr>
              <w:t>3.4</w:t>
            </w:r>
          </w:p>
        </w:tc>
        <w:tc>
          <w:tcPr>
            <w:tcW w:w="582" w:type="dxa"/>
            <w:tcBorders>
              <w:right w:val="single" w:sz="4" w:space="0" w:color="000000"/>
            </w:tcBorders>
          </w:tcPr>
          <w:p>
            <w:pPr>
              <w:pStyle w:val="TableParagraph"/>
              <w:spacing w:before="8"/>
              <w:ind w:left="159" w:right="147"/>
              <w:jc w:val="center"/>
              <w:rPr>
                <w:sz w:val="13"/>
              </w:rPr>
            </w:pPr>
            <w:r>
              <w:rPr>
                <w:sz w:val="13"/>
              </w:rPr>
              <w:t>5.3</w:t>
            </w:r>
          </w:p>
        </w:tc>
        <w:tc>
          <w:tcPr>
            <w:tcW w:w="578" w:type="dxa"/>
            <w:tcBorders>
              <w:left w:val="single" w:sz="4" w:space="0" w:color="000000"/>
              <w:right w:val="single" w:sz="4" w:space="0" w:color="000000"/>
            </w:tcBorders>
          </w:tcPr>
          <w:p>
            <w:pPr>
              <w:pStyle w:val="TableParagraph"/>
              <w:spacing w:before="8"/>
              <w:ind w:left="152" w:right="144"/>
              <w:jc w:val="center"/>
              <w:rPr>
                <w:sz w:val="13"/>
              </w:rPr>
            </w:pPr>
            <w:r>
              <w:rPr>
                <w:sz w:val="13"/>
              </w:rPr>
              <w:t>5.9</w:t>
            </w:r>
          </w:p>
        </w:tc>
      </w:tr>
      <w:tr>
        <w:trPr>
          <w:trHeight w:val="170" w:hRule="atLeast"/>
        </w:trPr>
        <w:tc>
          <w:tcPr>
            <w:tcW w:w="3687" w:type="dxa"/>
            <w:tcBorders>
              <w:left w:val="single" w:sz="4" w:space="0" w:color="000000"/>
            </w:tcBorders>
            <w:shd w:val="clear" w:color="auto" w:fill="DEEAF6"/>
          </w:tcPr>
          <w:p>
            <w:pPr>
              <w:pStyle w:val="TableParagraph"/>
              <w:spacing w:line="148" w:lineRule="exact"/>
              <w:ind w:left="107"/>
              <w:rPr>
                <w:b/>
                <w:i/>
                <w:sz w:val="13"/>
              </w:rPr>
            </w:pPr>
            <w:r>
              <w:rPr>
                <w:b/>
                <w:i/>
                <w:sz w:val="13"/>
              </w:rPr>
              <w:t>Economías emergentes y en desarrollo de Europa</w:t>
            </w:r>
          </w:p>
        </w:tc>
        <w:tc>
          <w:tcPr>
            <w:tcW w:w="1225" w:type="dxa"/>
            <w:shd w:val="clear" w:color="auto" w:fill="DEEAF6"/>
          </w:tcPr>
          <w:p>
            <w:pPr>
              <w:pStyle w:val="TableParagraph"/>
              <w:spacing w:line="146" w:lineRule="exact"/>
              <w:ind w:right="200"/>
              <w:jc w:val="right"/>
              <w:rPr>
                <w:sz w:val="13"/>
              </w:rPr>
            </w:pPr>
            <w:r>
              <w:rPr>
                <w:sz w:val="13"/>
              </w:rPr>
              <w:t>6.7</w:t>
            </w:r>
          </w:p>
        </w:tc>
        <w:tc>
          <w:tcPr>
            <w:tcW w:w="582" w:type="dxa"/>
            <w:tcBorders>
              <w:right w:val="single" w:sz="4" w:space="0" w:color="000000"/>
            </w:tcBorders>
            <w:shd w:val="clear" w:color="auto" w:fill="DEEAF6"/>
          </w:tcPr>
          <w:p>
            <w:pPr>
              <w:pStyle w:val="TableParagraph"/>
              <w:spacing w:line="146" w:lineRule="exact"/>
              <w:ind w:left="161" w:right="147"/>
              <w:jc w:val="center"/>
              <w:rPr>
                <w:sz w:val="13"/>
              </w:rPr>
            </w:pPr>
            <w:r>
              <w:rPr>
                <w:sz w:val="13"/>
              </w:rPr>
              <w:t>–2.9</w:t>
            </w:r>
          </w:p>
        </w:tc>
        <w:tc>
          <w:tcPr>
            <w:tcW w:w="578" w:type="dxa"/>
            <w:tcBorders>
              <w:left w:val="single" w:sz="4" w:space="0" w:color="000000"/>
              <w:right w:val="single" w:sz="4" w:space="0" w:color="000000"/>
            </w:tcBorders>
            <w:shd w:val="clear" w:color="auto" w:fill="DEEAF6"/>
          </w:tcPr>
          <w:p>
            <w:pPr>
              <w:pStyle w:val="TableParagraph"/>
              <w:spacing w:line="146" w:lineRule="exact"/>
              <w:ind w:left="152" w:right="144"/>
              <w:jc w:val="center"/>
              <w:rPr>
                <w:sz w:val="13"/>
              </w:rPr>
            </w:pPr>
            <w:r>
              <w:rPr>
                <w:sz w:val="13"/>
              </w:rPr>
              <w:t>1.3</w:t>
            </w:r>
          </w:p>
        </w:tc>
      </w:tr>
      <w:tr>
        <w:trPr>
          <w:trHeight w:val="172" w:hRule="atLeast"/>
        </w:trPr>
        <w:tc>
          <w:tcPr>
            <w:tcW w:w="3687" w:type="dxa"/>
            <w:tcBorders>
              <w:left w:val="single" w:sz="4" w:space="0" w:color="000000"/>
            </w:tcBorders>
          </w:tcPr>
          <w:p>
            <w:pPr>
              <w:pStyle w:val="TableParagraph"/>
              <w:spacing w:line="146" w:lineRule="exact"/>
              <w:ind w:left="304"/>
              <w:rPr>
                <w:i/>
                <w:sz w:val="13"/>
              </w:rPr>
            </w:pPr>
            <w:r>
              <w:rPr>
                <w:i/>
                <w:sz w:val="13"/>
              </w:rPr>
              <w:t>Rusia</w:t>
            </w:r>
          </w:p>
        </w:tc>
        <w:tc>
          <w:tcPr>
            <w:tcW w:w="1225" w:type="dxa"/>
          </w:tcPr>
          <w:p>
            <w:pPr>
              <w:pStyle w:val="TableParagraph"/>
              <w:spacing w:line="146" w:lineRule="exact"/>
              <w:ind w:right="200"/>
              <w:jc w:val="right"/>
              <w:rPr>
                <w:sz w:val="13"/>
              </w:rPr>
            </w:pPr>
            <w:r>
              <w:rPr>
                <w:sz w:val="13"/>
              </w:rPr>
              <w:t>4.7</w:t>
            </w:r>
          </w:p>
        </w:tc>
        <w:tc>
          <w:tcPr>
            <w:tcW w:w="582" w:type="dxa"/>
            <w:tcBorders>
              <w:right w:val="single" w:sz="4" w:space="0" w:color="000000"/>
            </w:tcBorders>
          </w:tcPr>
          <w:p>
            <w:pPr>
              <w:pStyle w:val="TableParagraph"/>
              <w:spacing w:line="146" w:lineRule="exact"/>
              <w:ind w:left="161" w:right="147"/>
              <w:jc w:val="center"/>
              <w:rPr>
                <w:sz w:val="13"/>
              </w:rPr>
            </w:pPr>
            <w:r>
              <w:rPr>
                <w:sz w:val="13"/>
              </w:rPr>
              <w:t>–8.5</w:t>
            </w:r>
          </w:p>
        </w:tc>
        <w:tc>
          <w:tcPr>
            <w:tcW w:w="578" w:type="dxa"/>
            <w:tcBorders>
              <w:left w:val="single" w:sz="4" w:space="0" w:color="000000"/>
              <w:right w:val="single" w:sz="4" w:space="0" w:color="000000"/>
            </w:tcBorders>
          </w:tcPr>
          <w:p>
            <w:pPr>
              <w:pStyle w:val="TableParagraph"/>
              <w:spacing w:line="146" w:lineRule="exact"/>
              <w:ind w:left="155" w:right="144"/>
              <w:jc w:val="center"/>
              <w:rPr>
                <w:sz w:val="13"/>
              </w:rPr>
            </w:pPr>
            <w:r>
              <w:rPr>
                <w:sz w:val="13"/>
              </w:rPr>
              <w:t>–2.3</w:t>
            </w:r>
          </w:p>
        </w:tc>
      </w:tr>
      <w:tr>
        <w:trPr>
          <w:trHeight w:val="172" w:hRule="atLeast"/>
        </w:trPr>
        <w:tc>
          <w:tcPr>
            <w:tcW w:w="3687" w:type="dxa"/>
            <w:tcBorders>
              <w:left w:val="single" w:sz="4" w:space="0" w:color="000000"/>
            </w:tcBorders>
            <w:shd w:val="clear" w:color="auto" w:fill="DEEAF6"/>
          </w:tcPr>
          <w:p>
            <w:pPr>
              <w:pStyle w:val="TableParagraph"/>
              <w:spacing w:line="148" w:lineRule="exact"/>
              <w:ind w:left="107"/>
              <w:rPr>
                <w:b/>
                <w:i/>
                <w:sz w:val="13"/>
              </w:rPr>
            </w:pPr>
            <w:r>
              <w:rPr>
                <w:b/>
                <w:i/>
                <w:sz w:val="13"/>
              </w:rPr>
              <w:t>América Latina y el Caribe</w:t>
            </w:r>
          </w:p>
        </w:tc>
        <w:tc>
          <w:tcPr>
            <w:tcW w:w="1225" w:type="dxa"/>
            <w:shd w:val="clear" w:color="auto" w:fill="DEEAF6"/>
          </w:tcPr>
          <w:p>
            <w:pPr>
              <w:pStyle w:val="TableParagraph"/>
              <w:spacing w:line="146" w:lineRule="exact"/>
              <w:ind w:right="200"/>
              <w:jc w:val="right"/>
              <w:rPr>
                <w:sz w:val="13"/>
              </w:rPr>
            </w:pPr>
            <w:r>
              <w:rPr>
                <w:sz w:val="13"/>
              </w:rPr>
              <w:t>6.8</w:t>
            </w:r>
          </w:p>
        </w:tc>
        <w:tc>
          <w:tcPr>
            <w:tcW w:w="582" w:type="dxa"/>
            <w:tcBorders>
              <w:right w:val="single" w:sz="4" w:space="0" w:color="000000"/>
            </w:tcBorders>
            <w:shd w:val="clear" w:color="auto" w:fill="DEEAF6"/>
          </w:tcPr>
          <w:p>
            <w:pPr>
              <w:pStyle w:val="TableParagraph"/>
              <w:spacing w:line="146" w:lineRule="exact"/>
              <w:ind w:left="159" w:right="147"/>
              <w:jc w:val="center"/>
              <w:rPr>
                <w:sz w:val="13"/>
              </w:rPr>
            </w:pPr>
            <w:r>
              <w:rPr>
                <w:sz w:val="13"/>
              </w:rPr>
              <w:t>2.5</w:t>
            </w:r>
          </w:p>
        </w:tc>
        <w:tc>
          <w:tcPr>
            <w:tcW w:w="578" w:type="dxa"/>
            <w:tcBorders>
              <w:left w:val="single" w:sz="4" w:space="0" w:color="000000"/>
              <w:right w:val="single" w:sz="4" w:space="0" w:color="000000"/>
            </w:tcBorders>
            <w:shd w:val="clear" w:color="auto" w:fill="DEEAF6"/>
          </w:tcPr>
          <w:p>
            <w:pPr>
              <w:pStyle w:val="TableParagraph"/>
              <w:spacing w:line="146" w:lineRule="exact"/>
              <w:ind w:left="152" w:right="144"/>
              <w:jc w:val="center"/>
              <w:rPr>
                <w:sz w:val="13"/>
              </w:rPr>
            </w:pPr>
            <w:r>
              <w:rPr>
                <w:sz w:val="13"/>
              </w:rPr>
              <w:t>2.5</w:t>
            </w:r>
          </w:p>
        </w:tc>
      </w:tr>
      <w:tr>
        <w:trPr>
          <w:trHeight w:val="159" w:hRule="atLeast"/>
        </w:trPr>
        <w:tc>
          <w:tcPr>
            <w:tcW w:w="3687" w:type="dxa"/>
            <w:tcBorders>
              <w:left w:val="single" w:sz="4" w:space="0" w:color="000000"/>
            </w:tcBorders>
          </w:tcPr>
          <w:p>
            <w:pPr>
              <w:pStyle w:val="TableParagraph"/>
              <w:spacing w:line="139" w:lineRule="exact"/>
              <w:ind w:left="304"/>
              <w:rPr>
                <w:i/>
                <w:sz w:val="13"/>
              </w:rPr>
            </w:pPr>
            <w:r>
              <w:rPr>
                <w:i/>
                <w:sz w:val="13"/>
              </w:rPr>
              <w:t>Brasil</w:t>
            </w:r>
          </w:p>
        </w:tc>
        <w:tc>
          <w:tcPr>
            <w:tcW w:w="1225" w:type="dxa"/>
          </w:tcPr>
          <w:p>
            <w:pPr>
              <w:pStyle w:val="TableParagraph"/>
              <w:spacing w:line="139" w:lineRule="exact"/>
              <w:ind w:right="200"/>
              <w:jc w:val="right"/>
              <w:rPr>
                <w:sz w:val="13"/>
              </w:rPr>
            </w:pPr>
            <w:r>
              <w:rPr>
                <w:sz w:val="13"/>
              </w:rPr>
              <w:t>4.6</w:t>
            </w:r>
          </w:p>
        </w:tc>
        <w:tc>
          <w:tcPr>
            <w:tcW w:w="582" w:type="dxa"/>
            <w:tcBorders>
              <w:right w:val="single" w:sz="4" w:space="0" w:color="000000"/>
            </w:tcBorders>
          </w:tcPr>
          <w:p>
            <w:pPr>
              <w:pStyle w:val="TableParagraph"/>
              <w:spacing w:line="139" w:lineRule="exact"/>
              <w:ind w:left="159" w:right="147"/>
              <w:jc w:val="center"/>
              <w:rPr>
                <w:sz w:val="13"/>
              </w:rPr>
            </w:pPr>
            <w:r>
              <w:rPr>
                <w:sz w:val="13"/>
              </w:rPr>
              <w:t>0.8</w:t>
            </w:r>
          </w:p>
        </w:tc>
        <w:tc>
          <w:tcPr>
            <w:tcW w:w="578" w:type="dxa"/>
            <w:tcBorders>
              <w:left w:val="single" w:sz="4" w:space="0" w:color="000000"/>
              <w:right w:val="single" w:sz="4" w:space="0" w:color="000000"/>
            </w:tcBorders>
          </w:tcPr>
          <w:p>
            <w:pPr>
              <w:pStyle w:val="TableParagraph"/>
              <w:spacing w:line="139" w:lineRule="exact"/>
              <w:ind w:left="152" w:right="144"/>
              <w:jc w:val="center"/>
              <w:rPr>
                <w:sz w:val="13"/>
              </w:rPr>
            </w:pPr>
            <w:r>
              <w:rPr>
                <w:sz w:val="13"/>
              </w:rPr>
              <w:t>1.4</w:t>
            </w:r>
          </w:p>
        </w:tc>
      </w:tr>
      <w:tr>
        <w:trPr>
          <w:trHeight w:val="184" w:hRule="atLeast"/>
        </w:trPr>
        <w:tc>
          <w:tcPr>
            <w:tcW w:w="3687" w:type="dxa"/>
            <w:tcBorders>
              <w:left w:val="single" w:sz="4" w:space="0" w:color="000000"/>
            </w:tcBorders>
          </w:tcPr>
          <w:p>
            <w:pPr>
              <w:pStyle w:val="TableParagraph"/>
              <w:spacing w:before="7"/>
              <w:ind w:left="304"/>
              <w:rPr>
                <w:i/>
                <w:sz w:val="13"/>
              </w:rPr>
            </w:pPr>
            <w:r>
              <w:rPr>
                <w:i/>
                <w:sz w:val="13"/>
              </w:rPr>
              <w:t>México</w:t>
            </w:r>
          </w:p>
        </w:tc>
        <w:tc>
          <w:tcPr>
            <w:tcW w:w="1225" w:type="dxa"/>
          </w:tcPr>
          <w:p>
            <w:pPr>
              <w:pStyle w:val="TableParagraph"/>
              <w:spacing w:before="7"/>
              <w:ind w:right="200"/>
              <w:jc w:val="right"/>
              <w:rPr>
                <w:sz w:val="13"/>
              </w:rPr>
            </w:pPr>
            <w:r>
              <w:rPr>
                <w:sz w:val="13"/>
              </w:rPr>
              <w:t>4.8</w:t>
            </w:r>
          </w:p>
        </w:tc>
        <w:tc>
          <w:tcPr>
            <w:tcW w:w="582" w:type="dxa"/>
            <w:tcBorders>
              <w:right w:val="single" w:sz="4" w:space="0" w:color="000000"/>
            </w:tcBorders>
          </w:tcPr>
          <w:p>
            <w:pPr>
              <w:pStyle w:val="TableParagraph"/>
              <w:spacing w:before="7"/>
              <w:ind w:left="14"/>
              <w:jc w:val="center"/>
              <w:rPr>
                <w:sz w:val="13"/>
              </w:rPr>
            </w:pPr>
            <w:r>
              <w:rPr>
                <w:w w:val="99"/>
                <w:sz w:val="13"/>
              </w:rPr>
              <w:t>2</w:t>
            </w:r>
          </w:p>
        </w:tc>
        <w:tc>
          <w:tcPr>
            <w:tcW w:w="578" w:type="dxa"/>
            <w:tcBorders>
              <w:left w:val="single" w:sz="4" w:space="0" w:color="000000"/>
              <w:right w:val="single" w:sz="4" w:space="0" w:color="000000"/>
            </w:tcBorders>
          </w:tcPr>
          <w:p>
            <w:pPr>
              <w:pStyle w:val="TableParagraph"/>
              <w:spacing w:before="7"/>
              <w:ind w:left="152" w:right="144"/>
              <w:jc w:val="center"/>
              <w:rPr>
                <w:sz w:val="13"/>
              </w:rPr>
            </w:pPr>
            <w:r>
              <w:rPr>
                <w:sz w:val="13"/>
              </w:rPr>
              <w:t>2.5</w:t>
            </w:r>
          </w:p>
        </w:tc>
      </w:tr>
      <w:tr>
        <w:trPr>
          <w:trHeight w:val="196" w:hRule="atLeast"/>
        </w:trPr>
        <w:tc>
          <w:tcPr>
            <w:tcW w:w="3687" w:type="dxa"/>
            <w:tcBorders>
              <w:left w:val="single" w:sz="4" w:space="0" w:color="000000"/>
            </w:tcBorders>
            <w:shd w:val="clear" w:color="auto" w:fill="DEEAF6"/>
          </w:tcPr>
          <w:p>
            <w:pPr>
              <w:pStyle w:val="TableParagraph"/>
              <w:spacing w:line="148" w:lineRule="exact"/>
              <w:ind w:left="208"/>
              <w:rPr>
                <w:b/>
                <w:i/>
                <w:sz w:val="13"/>
              </w:rPr>
            </w:pPr>
            <w:r>
              <w:rPr>
                <w:b/>
                <w:i/>
                <w:sz w:val="13"/>
              </w:rPr>
              <w:t>Oriente medio y Asia Central</w:t>
            </w:r>
          </w:p>
        </w:tc>
        <w:tc>
          <w:tcPr>
            <w:tcW w:w="1225" w:type="dxa"/>
            <w:shd w:val="clear" w:color="auto" w:fill="DEEAF6"/>
          </w:tcPr>
          <w:p>
            <w:pPr>
              <w:pStyle w:val="TableParagraph"/>
              <w:spacing w:line="146" w:lineRule="exact"/>
              <w:ind w:right="200"/>
              <w:jc w:val="right"/>
              <w:rPr>
                <w:sz w:val="13"/>
              </w:rPr>
            </w:pPr>
            <w:r>
              <w:rPr>
                <w:sz w:val="13"/>
              </w:rPr>
              <w:t>5.7</w:t>
            </w:r>
          </w:p>
        </w:tc>
        <w:tc>
          <w:tcPr>
            <w:tcW w:w="582" w:type="dxa"/>
            <w:tcBorders>
              <w:right w:val="single" w:sz="4" w:space="0" w:color="000000"/>
            </w:tcBorders>
            <w:shd w:val="clear" w:color="auto" w:fill="DEEAF6"/>
          </w:tcPr>
          <w:p>
            <w:pPr>
              <w:pStyle w:val="TableParagraph"/>
              <w:spacing w:line="146" w:lineRule="exact"/>
              <w:ind w:left="159" w:right="147"/>
              <w:jc w:val="center"/>
              <w:rPr>
                <w:sz w:val="13"/>
              </w:rPr>
            </w:pPr>
            <w:r>
              <w:rPr>
                <w:sz w:val="13"/>
              </w:rPr>
              <w:t>4.6</w:t>
            </w:r>
          </w:p>
        </w:tc>
        <w:tc>
          <w:tcPr>
            <w:tcW w:w="578" w:type="dxa"/>
            <w:tcBorders>
              <w:left w:val="single" w:sz="4" w:space="0" w:color="000000"/>
              <w:right w:val="single" w:sz="4" w:space="0" w:color="000000"/>
            </w:tcBorders>
            <w:shd w:val="clear" w:color="auto" w:fill="DEEAF6"/>
          </w:tcPr>
          <w:p>
            <w:pPr>
              <w:pStyle w:val="TableParagraph"/>
              <w:spacing w:line="146" w:lineRule="exact"/>
              <w:ind w:left="152" w:right="144"/>
              <w:jc w:val="center"/>
              <w:rPr>
                <w:sz w:val="13"/>
              </w:rPr>
            </w:pPr>
            <w:r>
              <w:rPr>
                <w:sz w:val="13"/>
              </w:rPr>
              <w:t>3.7</w:t>
            </w:r>
          </w:p>
        </w:tc>
      </w:tr>
      <w:tr>
        <w:trPr>
          <w:trHeight w:val="160" w:hRule="atLeast"/>
        </w:trPr>
        <w:tc>
          <w:tcPr>
            <w:tcW w:w="3687" w:type="dxa"/>
            <w:tcBorders>
              <w:left w:val="single" w:sz="4" w:space="0" w:color="000000"/>
            </w:tcBorders>
          </w:tcPr>
          <w:p>
            <w:pPr>
              <w:pStyle w:val="TableParagraph"/>
              <w:spacing w:line="140" w:lineRule="exact"/>
              <w:ind w:left="304"/>
              <w:rPr>
                <w:i/>
                <w:sz w:val="13"/>
              </w:rPr>
            </w:pPr>
            <w:r>
              <w:rPr>
                <w:i/>
                <w:sz w:val="13"/>
              </w:rPr>
              <w:t>Arabia Saudita</w:t>
            </w:r>
          </w:p>
        </w:tc>
        <w:tc>
          <w:tcPr>
            <w:tcW w:w="1225" w:type="dxa"/>
          </w:tcPr>
          <w:p>
            <w:pPr>
              <w:pStyle w:val="TableParagraph"/>
              <w:spacing w:line="140" w:lineRule="exact"/>
              <w:ind w:right="200"/>
              <w:jc w:val="right"/>
              <w:rPr>
                <w:sz w:val="13"/>
              </w:rPr>
            </w:pPr>
            <w:r>
              <w:rPr>
                <w:sz w:val="13"/>
              </w:rPr>
              <w:t>3.2</w:t>
            </w:r>
          </w:p>
        </w:tc>
        <w:tc>
          <w:tcPr>
            <w:tcW w:w="582" w:type="dxa"/>
            <w:tcBorders>
              <w:right w:val="single" w:sz="4" w:space="0" w:color="000000"/>
            </w:tcBorders>
          </w:tcPr>
          <w:p>
            <w:pPr>
              <w:pStyle w:val="TableParagraph"/>
              <w:spacing w:line="140" w:lineRule="exact"/>
              <w:ind w:left="159" w:right="147"/>
              <w:jc w:val="center"/>
              <w:rPr>
                <w:sz w:val="13"/>
              </w:rPr>
            </w:pPr>
            <w:r>
              <w:rPr>
                <w:sz w:val="13"/>
              </w:rPr>
              <w:t>7.6</w:t>
            </w:r>
          </w:p>
        </w:tc>
        <w:tc>
          <w:tcPr>
            <w:tcW w:w="578" w:type="dxa"/>
            <w:tcBorders>
              <w:left w:val="single" w:sz="4" w:space="0" w:color="000000"/>
              <w:right w:val="single" w:sz="4" w:space="0" w:color="000000"/>
            </w:tcBorders>
          </w:tcPr>
          <w:p>
            <w:pPr>
              <w:pStyle w:val="TableParagraph"/>
              <w:spacing w:line="140" w:lineRule="exact"/>
              <w:ind w:left="152" w:right="144"/>
              <w:jc w:val="center"/>
              <w:rPr>
                <w:sz w:val="13"/>
              </w:rPr>
            </w:pPr>
            <w:r>
              <w:rPr>
                <w:sz w:val="13"/>
              </w:rPr>
              <w:t>3.6</w:t>
            </w:r>
          </w:p>
        </w:tc>
      </w:tr>
      <w:tr>
        <w:trPr>
          <w:trHeight w:val="172" w:hRule="atLeast"/>
        </w:trPr>
        <w:tc>
          <w:tcPr>
            <w:tcW w:w="3687" w:type="dxa"/>
            <w:tcBorders>
              <w:left w:val="single" w:sz="4" w:space="0" w:color="000000"/>
            </w:tcBorders>
          </w:tcPr>
          <w:p>
            <w:pPr>
              <w:pStyle w:val="TableParagraph"/>
              <w:spacing w:line="144" w:lineRule="exact" w:before="8"/>
              <w:ind w:left="208"/>
              <w:rPr>
                <w:i/>
                <w:sz w:val="13"/>
              </w:rPr>
            </w:pPr>
            <w:r>
              <w:rPr>
                <w:i/>
                <w:sz w:val="13"/>
              </w:rPr>
              <w:t>África subsahariana</w:t>
            </w:r>
          </w:p>
        </w:tc>
        <w:tc>
          <w:tcPr>
            <w:tcW w:w="1225" w:type="dxa"/>
          </w:tcPr>
          <w:p>
            <w:pPr>
              <w:pStyle w:val="TableParagraph"/>
              <w:spacing w:line="144" w:lineRule="exact" w:before="8"/>
              <w:ind w:right="200"/>
              <w:jc w:val="right"/>
              <w:rPr>
                <w:sz w:val="13"/>
              </w:rPr>
            </w:pPr>
            <w:r>
              <w:rPr>
                <w:sz w:val="13"/>
              </w:rPr>
              <w:t>4.5</w:t>
            </w:r>
          </w:p>
        </w:tc>
        <w:tc>
          <w:tcPr>
            <w:tcW w:w="582" w:type="dxa"/>
            <w:tcBorders>
              <w:right w:val="single" w:sz="4" w:space="0" w:color="000000"/>
            </w:tcBorders>
          </w:tcPr>
          <w:p>
            <w:pPr>
              <w:pStyle w:val="TableParagraph"/>
              <w:spacing w:line="144" w:lineRule="exact" w:before="8"/>
              <w:ind w:left="159" w:right="147"/>
              <w:jc w:val="center"/>
              <w:rPr>
                <w:sz w:val="13"/>
              </w:rPr>
            </w:pPr>
            <w:r>
              <w:rPr>
                <w:sz w:val="13"/>
              </w:rPr>
              <w:t>3.8</w:t>
            </w:r>
          </w:p>
        </w:tc>
        <w:tc>
          <w:tcPr>
            <w:tcW w:w="578" w:type="dxa"/>
            <w:tcBorders>
              <w:left w:val="single" w:sz="4" w:space="0" w:color="000000"/>
              <w:right w:val="single" w:sz="4" w:space="0" w:color="000000"/>
            </w:tcBorders>
          </w:tcPr>
          <w:p>
            <w:pPr>
              <w:pStyle w:val="TableParagraph"/>
              <w:spacing w:line="144" w:lineRule="exact" w:before="8"/>
              <w:ind w:left="11"/>
              <w:jc w:val="center"/>
              <w:rPr>
                <w:sz w:val="13"/>
              </w:rPr>
            </w:pPr>
            <w:r>
              <w:rPr>
                <w:w w:val="99"/>
                <w:sz w:val="13"/>
              </w:rPr>
              <w:t>4</w:t>
            </w:r>
          </w:p>
        </w:tc>
      </w:tr>
      <w:tr>
        <w:trPr>
          <w:trHeight w:val="171" w:hRule="atLeast"/>
        </w:trPr>
        <w:tc>
          <w:tcPr>
            <w:tcW w:w="3687" w:type="dxa"/>
            <w:tcBorders>
              <w:left w:val="single" w:sz="4" w:space="0" w:color="000000"/>
            </w:tcBorders>
          </w:tcPr>
          <w:p>
            <w:pPr>
              <w:pStyle w:val="TableParagraph"/>
              <w:spacing w:line="143" w:lineRule="exact" w:before="8"/>
              <w:ind w:left="304"/>
              <w:rPr>
                <w:i/>
                <w:sz w:val="13"/>
              </w:rPr>
            </w:pPr>
            <w:r>
              <w:rPr>
                <w:i/>
                <w:sz w:val="13"/>
              </w:rPr>
              <w:t>Nigeria</w:t>
            </w:r>
          </w:p>
        </w:tc>
        <w:tc>
          <w:tcPr>
            <w:tcW w:w="1225" w:type="dxa"/>
          </w:tcPr>
          <w:p>
            <w:pPr>
              <w:pStyle w:val="TableParagraph"/>
              <w:spacing w:line="143" w:lineRule="exact" w:before="8"/>
              <w:ind w:right="200"/>
              <w:jc w:val="right"/>
              <w:rPr>
                <w:sz w:val="13"/>
              </w:rPr>
            </w:pPr>
            <w:r>
              <w:rPr>
                <w:sz w:val="13"/>
              </w:rPr>
              <w:t>3.6</w:t>
            </w:r>
          </w:p>
        </w:tc>
        <w:tc>
          <w:tcPr>
            <w:tcW w:w="582" w:type="dxa"/>
            <w:tcBorders>
              <w:right w:val="single" w:sz="4" w:space="0" w:color="000000"/>
            </w:tcBorders>
          </w:tcPr>
          <w:p>
            <w:pPr>
              <w:pStyle w:val="TableParagraph"/>
              <w:spacing w:line="143" w:lineRule="exact" w:before="8"/>
              <w:ind w:left="159" w:right="147"/>
              <w:jc w:val="center"/>
              <w:rPr>
                <w:sz w:val="13"/>
              </w:rPr>
            </w:pPr>
            <w:r>
              <w:rPr>
                <w:sz w:val="13"/>
              </w:rPr>
              <w:t>3.4</w:t>
            </w:r>
          </w:p>
        </w:tc>
        <w:tc>
          <w:tcPr>
            <w:tcW w:w="578" w:type="dxa"/>
            <w:tcBorders>
              <w:left w:val="single" w:sz="4" w:space="0" w:color="000000"/>
              <w:right w:val="single" w:sz="4" w:space="0" w:color="000000"/>
            </w:tcBorders>
          </w:tcPr>
          <w:p>
            <w:pPr>
              <w:pStyle w:val="TableParagraph"/>
              <w:spacing w:line="143" w:lineRule="exact" w:before="8"/>
              <w:ind w:left="152" w:right="144"/>
              <w:jc w:val="center"/>
              <w:rPr>
                <w:sz w:val="13"/>
              </w:rPr>
            </w:pPr>
            <w:r>
              <w:rPr>
                <w:sz w:val="13"/>
              </w:rPr>
              <w:t>3.1</w:t>
            </w:r>
          </w:p>
        </w:tc>
      </w:tr>
      <w:tr>
        <w:trPr>
          <w:trHeight w:val="183" w:hRule="atLeast"/>
        </w:trPr>
        <w:tc>
          <w:tcPr>
            <w:tcW w:w="3687" w:type="dxa"/>
            <w:tcBorders>
              <w:left w:val="single" w:sz="4" w:space="0" w:color="000000"/>
              <w:bottom w:val="single" w:sz="4" w:space="0" w:color="000000"/>
            </w:tcBorders>
          </w:tcPr>
          <w:p>
            <w:pPr>
              <w:pStyle w:val="TableParagraph"/>
              <w:spacing w:before="7"/>
              <w:ind w:left="304"/>
              <w:rPr>
                <w:i/>
                <w:sz w:val="13"/>
              </w:rPr>
            </w:pPr>
            <w:r>
              <w:rPr>
                <w:i/>
                <w:sz w:val="13"/>
              </w:rPr>
              <w:t>Sudáfrica</w:t>
            </w:r>
          </w:p>
        </w:tc>
        <w:tc>
          <w:tcPr>
            <w:tcW w:w="1225" w:type="dxa"/>
            <w:tcBorders>
              <w:bottom w:val="single" w:sz="4" w:space="0" w:color="000000"/>
            </w:tcBorders>
          </w:tcPr>
          <w:p>
            <w:pPr>
              <w:pStyle w:val="TableParagraph"/>
              <w:spacing w:before="7"/>
              <w:ind w:right="200"/>
              <w:jc w:val="right"/>
              <w:rPr>
                <w:sz w:val="13"/>
              </w:rPr>
            </w:pPr>
            <w:r>
              <w:rPr>
                <w:sz w:val="13"/>
              </w:rPr>
              <w:t>4.9</w:t>
            </w:r>
          </w:p>
        </w:tc>
        <w:tc>
          <w:tcPr>
            <w:tcW w:w="582" w:type="dxa"/>
            <w:tcBorders>
              <w:bottom w:val="single" w:sz="4" w:space="0" w:color="000000"/>
              <w:right w:val="single" w:sz="4" w:space="0" w:color="000000"/>
            </w:tcBorders>
          </w:tcPr>
          <w:p>
            <w:pPr>
              <w:pStyle w:val="TableParagraph"/>
              <w:spacing w:before="7"/>
              <w:ind w:left="159" w:right="147"/>
              <w:jc w:val="center"/>
              <w:rPr>
                <w:sz w:val="13"/>
              </w:rPr>
            </w:pPr>
            <w:r>
              <w:rPr>
                <w:sz w:val="13"/>
              </w:rPr>
              <w:t>1.9</w:t>
            </w:r>
          </w:p>
        </w:tc>
        <w:tc>
          <w:tcPr>
            <w:tcW w:w="578" w:type="dxa"/>
            <w:tcBorders>
              <w:left w:val="single" w:sz="4" w:space="0" w:color="000000"/>
              <w:bottom w:val="single" w:sz="4" w:space="0" w:color="000000"/>
              <w:right w:val="single" w:sz="4" w:space="0" w:color="000000"/>
            </w:tcBorders>
          </w:tcPr>
          <w:p>
            <w:pPr>
              <w:pStyle w:val="TableParagraph"/>
              <w:spacing w:before="7"/>
              <w:ind w:left="152" w:right="144"/>
              <w:jc w:val="center"/>
              <w:rPr>
                <w:sz w:val="13"/>
              </w:rPr>
            </w:pPr>
            <w:r>
              <w:rPr>
                <w:sz w:val="13"/>
              </w:rPr>
              <w:t>1.4</w:t>
            </w:r>
          </w:p>
        </w:tc>
      </w:tr>
    </w:tbl>
    <w:p>
      <w:pPr>
        <w:spacing w:before="0"/>
        <w:ind w:left="2045" w:right="0" w:firstLine="0"/>
        <w:jc w:val="left"/>
        <w:rPr>
          <w:sz w:val="16"/>
        </w:rPr>
      </w:pPr>
      <w:r>
        <w:rPr>
          <w:sz w:val="16"/>
        </w:rPr>
        <w:t>Fuente: FMI, WEO abril 2022</w:t>
      </w:r>
    </w:p>
    <w:p>
      <w:pPr>
        <w:spacing w:after="0"/>
        <w:jc w:val="left"/>
        <w:rPr>
          <w:sz w:val="16"/>
        </w:rPr>
        <w:sectPr>
          <w:type w:val="continuous"/>
          <w:pgSz w:w="12240" w:h="15840"/>
          <w:pgMar w:top="1500" w:bottom="280" w:left="1140" w:right="0"/>
        </w:sectPr>
      </w:pPr>
    </w:p>
    <w:p>
      <w:pPr>
        <w:pStyle w:val="Heading2"/>
        <w:numPr>
          <w:ilvl w:val="1"/>
          <w:numId w:val="11"/>
        </w:numPr>
        <w:tabs>
          <w:tab w:pos="990" w:val="left" w:leader="none"/>
        </w:tabs>
        <w:spacing w:line="240" w:lineRule="auto" w:before="167" w:after="0"/>
        <w:ind w:left="989" w:right="0" w:hanging="361"/>
        <w:jc w:val="left"/>
      </w:pPr>
      <w:bookmarkStart w:name="_bookmark24" w:id="32"/>
      <w:bookmarkEnd w:id="32"/>
      <w:r>
        <w:rPr>
          <w:b w:val="0"/>
        </w:rPr>
      </w:r>
      <w:bookmarkStart w:name="_bookmark24" w:id="33"/>
      <w:bookmarkEnd w:id="33"/>
      <w:r>
        <w:rPr/>
        <w:t>P</w:t>
      </w:r>
      <w:r>
        <w:rPr/>
        <w:t>rincipales socios comerciales de</w:t>
      </w:r>
      <w:r>
        <w:rPr>
          <w:spacing w:val="-1"/>
        </w:rPr>
        <w:t> </w:t>
      </w:r>
      <w:r>
        <w:rPr/>
        <w:t>Guatemala</w:t>
      </w:r>
    </w:p>
    <w:p>
      <w:pPr>
        <w:pStyle w:val="BodyText"/>
        <w:spacing w:before="4"/>
        <w:rPr>
          <w:b/>
          <w:sz w:val="28"/>
        </w:rPr>
      </w:pPr>
    </w:p>
    <w:p>
      <w:pPr>
        <w:pStyle w:val="BodyText"/>
        <w:spacing w:line="276" w:lineRule="auto" w:before="1"/>
        <w:ind w:left="562" w:right="1700"/>
        <w:jc w:val="both"/>
      </w:pPr>
      <w:r>
        <w:rPr/>
        <w:t>Después de una fuerte recuperación del comercio exterior en 2021, se espera que la tendencia favorable continúe en 2022, aunque a un ritmo más moderado. Lo anterior resultaría de una normalización de la demanda externa y una moderada demanda interna.</w:t>
      </w:r>
    </w:p>
    <w:p>
      <w:pPr>
        <w:pStyle w:val="BodyText"/>
        <w:spacing w:line="276" w:lineRule="auto" w:before="161"/>
        <w:ind w:left="562" w:right="1696"/>
        <w:jc w:val="both"/>
      </w:pPr>
      <w:r>
        <w:rPr/>
        <w:t>Existe un fuerte riesgo a la baja en el desempeño del comercio internacional vinculado con los problemas de abastecimiento de insumos industriales, principalmente relacionado con la escasez de semiconductores y los altos precios de los fletes marítimos y terrestres. Además, no se descarta una posible</w:t>
      </w:r>
      <w:r>
        <w:rPr>
          <w:spacing w:val="-11"/>
        </w:rPr>
        <w:t> </w:t>
      </w:r>
      <w:r>
        <w:rPr/>
        <w:t>interrupción</w:t>
      </w:r>
      <w:r>
        <w:rPr>
          <w:spacing w:val="-11"/>
        </w:rPr>
        <w:t> </w:t>
      </w:r>
      <w:r>
        <w:rPr/>
        <w:t>parcial</w:t>
      </w:r>
      <w:r>
        <w:rPr>
          <w:spacing w:val="-12"/>
        </w:rPr>
        <w:t> </w:t>
      </w:r>
      <w:r>
        <w:rPr/>
        <w:t>en</w:t>
      </w:r>
      <w:r>
        <w:rPr>
          <w:spacing w:val="-11"/>
        </w:rPr>
        <w:t> </w:t>
      </w:r>
      <w:r>
        <w:rPr/>
        <w:t>algunas</w:t>
      </w:r>
      <w:r>
        <w:rPr>
          <w:spacing w:val="-10"/>
        </w:rPr>
        <w:t> </w:t>
      </w:r>
      <w:r>
        <w:rPr/>
        <w:t>cadenas</w:t>
      </w:r>
      <w:r>
        <w:rPr>
          <w:spacing w:val="-10"/>
        </w:rPr>
        <w:t> </w:t>
      </w:r>
      <w:r>
        <w:rPr/>
        <w:t>globales</w:t>
      </w:r>
      <w:r>
        <w:rPr>
          <w:spacing w:val="-13"/>
        </w:rPr>
        <w:t> </w:t>
      </w:r>
      <w:r>
        <w:rPr/>
        <w:t>de</w:t>
      </w:r>
      <w:r>
        <w:rPr>
          <w:spacing w:val="-11"/>
        </w:rPr>
        <w:t> </w:t>
      </w:r>
      <w:r>
        <w:rPr/>
        <w:t>suministro</w:t>
      </w:r>
      <w:r>
        <w:rPr>
          <w:spacing w:val="-11"/>
        </w:rPr>
        <w:t> </w:t>
      </w:r>
      <w:r>
        <w:rPr/>
        <w:t>como</w:t>
      </w:r>
      <w:r>
        <w:rPr>
          <w:spacing w:val="-12"/>
        </w:rPr>
        <w:t> </w:t>
      </w:r>
      <w:r>
        <w:rPr/>
        <w:t>resultado</w:t>
      </w:r>
      <w:r>
        <w:rPr>
          <w:spacing w:val="-11"/>
        </w:rPr>
        <w:t> </w:t>
      </w:r>
      <w:r>
        <w:rPr/>
        <w:t>de</w:t>
      </w:r>
      <w:r>
        <w:rPr>
          <w:spacing w:val="-11"/>
        </w:rPr>
        <w:t> </w:t>
      </w:r>
      <w:r>
        <w:rPr/>
        <w:t>la</w:t>
      </w:r>
      <w:r>
        <w:rPr>
          <w:spacing w:val="-10"/>
        </w:rPr>
        <w:t> </w:t>
      </w:r>
      <w:r>
        <w:rPr/>
        <w:t>aparición de</w:t>
      </w:r>
      <w:r>
        <w:rPr>
          <w:spacing w:val="-5"/>
        </w:rPr>
        <w:t> </w:t>
      </w:r>
      <w:r>
        <w:rPr/>
        <w:t>nuevas</w:t>
      </w:r>
      <w:r>
        <w:rPr>
          <w:spacing w:val="-4"/>
        </w:rPr>
        <w:t> </w:t>
      </w:r>
      <w:r>
        <w:rPr/>
        <w:t>variantes</w:t>
      </w:r>
      <w:r>
        <w:rPr>
          <w:spacing w:val="-4"/>
        </w:rPr>
        <w:t> </w:t>
      </w:r>
      <w:r>
        <w:rPr/>
        <w:t>de</w:t>
      </w:r>
      <w:r>
        <w:rPr>
          <w:spacing w:val="-5"/>
        </w:rPr>
        <w:t> </w:t>
      </w:r>
      <w:r>
        <w:rPr/>
        <w:t>COVID-19</w:t>
      </w:r>
      <w:r>
        <w:rPr>
          <w:spacing w:val="-2"/>
        </w:rPr>
        <w:t> </w:t>
      </w:r>
      <w:r>
        <w:rPr/>
        <w:t>y</w:t>
      </w:r>
      <w:r>
        <w:rPr>
          <w:spacing w:val="-7"/>
        </w:rPr>
        <w:t> </w:t>
      </w:r>
      <w:r>
        <w:rPr/>
        <w:t>el</w:t>
      </w:r>
      <w:r>
        <w:rPr>
          <w:spacing w:val="-6"/>
        </w:rPr>
        <w:t> </w:t>
      </w:r>
      <w:r>
        <w:rPr/>
        <w:t>fortalecimiento</w:t>
      </w:r>
      <w:r>
        <w:rPr>
          <w:spacing w:val="-7"/>
        </w:rPr>
        <w:t> </w:t>
      </w:r>
      <w:r>
        <w:rPr/>
        <w:t>de</w:t>
      </w:r>
      <w:r>
        <w:rPr>
          <w:spacing w:val="-8"/>
        </w:rPr>
        <w:t> </w:t>
      </w:r>
      <w:r>
        <w:rPr/>
        <w:t>los</w:t>
      </w:r>
      <w:r>
        <w:rPr>
          <w:spacing w:val="-7"/>
        </w:rPr>
        <w:t> </w:t>
      </w:r>
      <w:r>
        <w:rPr/>
        <w:t>conflictos</w:t>
      </w:r>
      <w:r>
        <w:rPr>
          <w:spacing w:val="-7"/>
        </w:rPr>
        <w:t> </w:t>
      </w:r>
      <w:r>
        <w:rPr/>
        <w:t>geopolíticos</w:t>
      </w:r>
      <w:r>
        <w:rPr>
          <w:spacing w:val="-4"/>
        </w:rPr>
        <w:t> </w:t>
      </w:r>
      <w:r>
        <w:rPr/>
        <w:t>internacionales.</w:t>
      </w:r>
    </w:p>
    <w:p>
      <w:pPr>
        <w:pStyle w:val="BodyText"/>
        <w:spacing w:before="9"/>
        <w:rPr>
          <w:sz w:val="25"/>
        </w:rPr>
      </w:pPr>
    </w:p>
    <w:p>
      <w:pPr>
        <w:spacing w:line="276" w:lineRule="auto" w:before="1"/>
        <w:ind w:left="639" w:right="1784" w:firstLine="0"/>
        <w:jc w:val="center"/>
        <w:rPr>
          <w:b/>
          <w:sz w:val="20"/>
        </w:rPr>
      </w:pPr>
      <w:bookmarkStart w:name="_bookmark25" w:id="34"/>
      <w:bookmarkEnd w:id="34"/>
      <w:r>
        <w:rPr/>
      </w:r>
      <w:r>
        <w:rPr>
          <w:b/>
          <w:i/>
          <w:sz w:val="20"/>
        </w:rPr>
        <w:t>Tabla 2. </w:t>
      </w:r>
      <w:r>
        <w:rPr>
          <w:b/>
          <w:sz w:val="20"/>
        </w:rPr>
        <w:t>Proyecciones de crecimiento económico de Estados Unidos, México, Centro América y República Dominicana</w:t>
      </w:r>
    </w:p>
    <w:p>
      <w:pPr>
        <w:spacing w:line="276" w:lineRule="auto" w:before="0"/>
        <w:ind w:left="2818" w:right="3959" w:firstLine="0"/>
        <w:jc w:val="center"/>
        <w:rPr>
          <w:sz w:val="20"/>
        </w:rPr>
      </w:pPr>
      <w:r>
        <w:rPr>
          <w:sz w:val="20"/>
        </w:rPr>
        <w:t>Variaciones Porcentuales Interanuales-Proyecciones Período: 2021-2023</w:t>
      </w:r>
    </w:p>
    <w:p>
      <w:pPr>
        <w:pStyle w:val="BodyText"/>
        <w:spacing w:before="9"/>
        <w:rPr>
          <w:sz w:val="13"/>
        </w:r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6"/>
        <w:gridCol w:w="617"/>
        <w:gridCol w:w="618"/>
        <w:gridCol w:w="615"/>
        <w:gridCol w:w="658"/>
        <w:gridCol w:w="656"/>
        <w:gridCol w:w="659"/>
        <w:gridCol w:w="692"/>
        <w:gridCol w:w="694"/>
        <w:gridCol w:w="694"/>
        <w:gridCol w:w="618"/>
        <w:gridCol w:w="615"/>
        <w:gridCol w:w="617"/>
      </w:tblGrid>
      <w:tr>
        <w:trPr>
          <w:trHeight w:val="530" w:hRule="atLeast"/>
        </w:trPr>
        <w:tc>
          <w:tcPr>
            <w:tcW w:w="1606" w:type="dxa"/>
            <w:vMerge w:val="restart"/>
            <w:shd w:val="clear" w:color="auto" w:fill="DEEAF6"/>
          </w:tcPr>
          <w:p>
            <w:pPr>
              <w:pStyle w:val="TableParagraph"/>
              <w:spacing w:before="2"/>
              <w:ind w:left="603" w:right="597"/>
              <w:jc w:val="center"/>
              <w:rPr>
                <w:b/>
                <w:i/>
                <w:sz w:val="20"/>
              </w:rPr>
            </w:pPr>
            <w:r>
              <w:rPr>
                <w:b/>
                <w:i/>
                <w:sz w:val="20"/>
              </w:rPr>
              <w:t>País</w:t>
            </w:r>
          </w:p>
        </w:tc>
        <w:tc>
          <w:tcPr>
            <w:tcW w:w="7753" w:type="dxa"/>
            <w:gridSpan w:val="12"/>
            <w:shd w:val="clear" w:color="auto" w:fill="DEEAF6"/>
          </w:tcPr>
          <w:p>
            <w:pPr>
              <w:pStyle w:val="TableParagraph"/>
              <w:tabs>
                <w:tab w:pos="1954" w:val="left" w:leader="none"/>
                <w:tab w:pos="3720" w:val="left" w:leader="none"/>
                <w:tab w:pos="5898" w:val="left" w:leader="none"/>
              </w:tabs>
              <w:spacing w:before="2"/>
              <w:ind w:left="100"/>
              <w:jc w:val="center"/>
              <w:rPr>
                <w:b/>
                <w:sz w:val="20"/>
              </w:rPr>
            </w:pPr>
            <w:r>
              <w:rPr>
                <w:b/>
                <w:sz w:val="20"/>
              </w:rPr>
              <w:t>PIB real</w:t>
              <w:tab/>
              <w:t>Precios</w:t>
            </w:r>
            <w:r>
              <w:rPr>
                <w:b/>
                <w:spacing w:val="-2"/>
                <w:sz w:val="20"/>
              </w:rPr>
              <w:t> </w:t>
            </w:r>
            <w:r>
              <w:rPr>
                <w:b/>
                <w:sz w:val="20"/>
              </w:rPr>
              <w:t>al</w:t>
              <w:tab/>
              <w:t>Saldo</w:t>
            </w:r>
            <w:r>
              <w:rPr>
                <w:b/>
                <w:spacing w:val="-1"/>
                <w:sz w:val="20"/>
              </w:rPr>
              <w:t> </w:t>
            </w:r>
            <w:r>
              <w:rPr>
                <w:b/>
                <w:sz w:val="20"/>
              </w:rPr>
              <w:t>de</w:t>
            </w:r>
            <w:r>
              <w:rPr>
                <w:b/>
                <w:spacing w:val="-2"/>
                <w:sz w:val="20"/>
              </w:rPr>
              <w:t> </w:t>
            </w:r>
            <w:r>
              <w:rPr>
                <w:b/>
                <w:sz w:val="20"/>
              </w:rPr>
              <w:t>cuenta</w:t>
              <w:tab/>
              <w:t>Desempleo</w:t>
            </w:r>
          </w:p>
          <w:p>
            <w:pPr>
              <w:pStyle w:val="TableParagraph"/>
              <w:tabs>
                <w:tab w:pos="2141" w:val="left" w:leader="none"/>
              </w:tabs>
              <w:spacing w:before="34"/>
              <w:ind w:right="174"/>
              <w:jc w:val="center"/>
              <w:rPr>
                <w:b/>
                <w:sz w:val="20"/>
              </w:rPr>
            </w:pPr>
            <w:r>
              <w:rPr>
                <w:b/>
                <w:sz w:val="20"/>
              </w:rPr>
              <w:t>Consumidor</w:t>
              <w:tab/>
              <w:t>Corriente</w:t>
            </w:r>
          </w:p>
        </w:tc>
      </w:tr>
      <w:tr>
        <w:trPr>
          <w:trHeight w:val="263" w:hRule="atLeast"/>
        </w:trPr>
        <w:tc>
          <w:tcPr>
            <w:tcW w:w="1606" w:type="dxa"/>
            <w:vMerge/>
            <w:tcBorders>
              <w:top w:val="nil"/>
            </w:tcBorders>
            <w:shd w:val="clear" w:color="auto" w:fill="DEEAF6"/>
          </w:tcPr>
          <w:p>
            <w:pPr>
              <w:rPr>
                <w:sz w:val="2"/>
                <w:szCs w:val="2"/>
              </w:rPr>
            </w:pPr>
          </w:p>
        </w:tc>
        <w:tc>
          <w:tcPr>
            <w:tcW w:w="617" w:type="dxa"/>
            <w:shd w:val="clear" w:color="auto" w:fill="DEEAF6"/>
          </w:tcPr>
          <w:p>
            <w:pPr>
              <w:pStyle w:val="TableParagraph"/>
              <w:ind w:left="107"/>
              <w:rPr>
                <w:b/>
                <w:sz w:val="20"/>
              </w:rPr>
            </w:pPr>
            <w:r>
              <w:rPr>
                <w:b/>
                <w:sz w:val="20"/>
              </w:rPr>
              <w:t>2021</w:t>
            </w:r>
          </w:p>
        </w:tc>
        <w:tc>
          <w:tcPr>
            <w:tcW w:w="618" w:type="dxa"/>
            <w:shd w:val="clear" w:color="auto" w:fill="DEEAF6"/>
          </w:tcPr>
          <w:p>
            <w:pPr>
              <w:pStyle w:val="TableParagraph"/>
              <w:ind w:left="107"/>
              <w:rPr>
                <w:b/>
                <w:sz w:val="20"/>
              </w:rPr>
            </w:pPr>
            <w:r>
              <w:rPr>
                <w:b/>
                <w:sz w:val="20"/>
              </w:rPr>
              <w:t>2022</w:t>
            </w:r>
          </w:p>
        </w:tc>
        <w:tc>
          <w:tcPr>
            <w:tcW w:w="615" w:type="dxa"/>
            <w:shd w:val="clear" w:color="auto" w:fill="DEEAF6"/>
          </w:tcPr>
          <w:p>
            <w:pPr>
              <w:pStyle w:val="TableParagraph"/>
              <w:ind w:left="104"/>
              <w:rPr>
                <w:b/>
                <w:sz w:val="20"/>
              </w:rPr>
            </w:pPr>
            <w:r>
              <w:rPr>
                <w:b/>
                <w:sz w:val="20"/>
              </w:rPr>
              <w:t>2023</w:t>
            </w:r>
          </w:p>
        </w:tc>
        <w:tc>
          <w:tcPr>
            <w:tcW w:w="658" w:type="dxa"/>
            <w:shd w:val="clear" w:color="auto" w:fill="DEEAF6"/>
          </w:tcPr>
          <w:p>
            <w:pPr>
              <w:pStyle w:val="TableParagraph"/>
              <w:ind w:left="125"/>
              <w:rPr>
                <w:b/>
                <w:sz w:val="20"/>
              </w:rPr>
            </w:pPr>
            <w:r>
              <w:rPr>
                <w:b/>
                <w:sz w:val="20"/>
              </w:rPr>
              <w:t>2021</w:t>
            </w:r>
          </w:p>
        </w:tc>
        <w:tc>
          <w:tcPr>
            <w:tcW w:w="656" w:type="dxa"/>
            <w:shd w:val="clear" w:color="auto" w:fill="DEEAF6"/>
          </w:tcPr>
          <w:p>
            <w:pPr>
              <w:pStyle w:val="TableParagraph"/>
              <w:ind w:left="124"/>
              <w:rPr>
                <w:b/>
                <w:sz w:val="20"/>
              </w:rPr>
            </w:pPr>
            <w:r>
              <w:rPr>
                <w:b/>
                <w:sz w:val="20"/>
              </w:rPr>
              <w:t>2022</w:t>
            </w:r>
          </w:p>
        </w:tc>
        <w:tc>
          <w:tcPr>
            <w:tcW w:w="659" w:type="dxa"/>
            <w:shd w:val="clear" w:color="auto" w:fill="DEEAF6"/>
          </w:tcPr>
          <w:p>
            <w:pPr>
              <w:pStyle w:val="TableParagraph"/>
              <w:ind w:left="123"/>
              <w:rPr>
                <w:b/>
                <w:sz w:val="20"/>
              </w:rPr>
            </w:pPr>
            <w:r>
              <w:rPr>
                <w:b/>
                <w:sz w:val="20"/>
              </w:rPr>
              <w:t>2023</w:t>
            </w:r>
          </w:p>
        </w:tc>
        <w:tc>
          <w:tcPr>
            <w:tcW w:w="692" w:type="dxa"/>
            <w:shd w:val="clear" w:color="auto" w:fill="DEEAF6"/>
          </w:tcPr>
          <w:p>
            <w:pPr>
              <w:pStyle w:val="TableParagraph"/>
              <w:ind w:left="139"/>
              <w:rPr>
                <w:b/>
                <w:sz w:val="20"/>
              </w:rPr>
            </w:pPr>
            <w:r>
              <w:rPr>
                <w:b/>
                <w:sz w:val="20"/>
              </w:rPr>
              <w:t>2021</w:t>
            </w:r>
          </w:p>
        </w:tc>
        <w:tc>
          <w:tcPr>
            <w:tcW w:w="694" w:type="dxa"/>
            <w:shd w:val="clear" w:color="auto" w:fill="DEEAF6"/>
          </w:tcPr>
          <w:p>
            <w:pPr>
              <w:pStyle w:val="TableParagraph"/>
              <w:ind w:left="141"/>
              <w:rPr>
                <w:b/>
                <w:sz w:val="20"/>
              </w:rPr>
            </w:pPr>
            <w:r>
              <w:rPr>
                <w:b/>
                <w:sz w:val="20"/>
              </w:rPr>
              <w:t>2022</w:t>
            </w:r>
          </w:p>
        </w:tc>
        <w:tc>
          <w:tcPr>
            <w:tcW w:w="694" w:type="dxa"/>
            <w:shd w:val="clear" w:color="auto" w:fill="DEEAF6"/>
          </w:tcPr>
          <w:p>
            <w:pPr>
              <w:pStyle w:val="TableParagraph"/>
              <w:ind w:left="140"/>
              <w:rPr>
                <w:b/>
                <w:sz w:val="20"/>
              </w:rPr>
            </w:pPr>
            <w:r>
              <w:rPr>
                <w:b/>
                <w:sz w:val="20"/>
              </w:rPr>
              <w:t>2023</w:t>
            </w:r>
          </w:p>
        </w:tc>
        <w:tc>
          <w:tcPr>
            <w:tcW w:w="618" w:type="dxa"/>
            <w:shd w:val="clear" w:color="auto" w:fill="DEEAF6"/>
          </w:tcPr>
          <w:p>
            <w:pPr>
              <w:pStyle w:val="TableParagraph"/>
              <w:ind w:left="102"/>
              <w:rPr>
                <w:b/>
                <w:sz w:val="20"/>
              </w:rPr>
            </w:pPr>
            <w:r>
              <w:rPr>
                <w:b/>
                <w:sz w:val="20"/>
              </w:rPr>
              <w:t>2021</w:t>
            </w:r>
          </w:p>
        </w:tc>
        <w:tc>
          <w:tcPr>
            <w:tcW w:w="615" w:type="dxa"/>
            <w:shd w:val="clear" w:color="auto" w:fill="DEEAF6"/>
          </w:tcPr>
          <w:p>
            <w:pPr>
              <w:pStyle w:val="TableParagraph"/>
              <w:ind w:left="99"/>
              <w:rPr>
                <w:b/>
                <w:sz w:val="20"/>
              </w:rPr>
            </w:pPr>
            <w:r>
              <w:rPr>
                <w:b/>
                <w:sz w:val="20"/>
              </w:rPr>
              <w:t>2022</w:t>
            </w:r>
          </w:p>
        </w:tc>
        <w:tc>
          <w:tcPr>
            <w:tcW w:w="617" w:type="dxa"/>
            <w:shd w:val="clear" w:color="auto" w:fill="DEEAF6"/>
          </w:tcPr>
          <w:p>
            <w:pPr>
              <w:pStyle w:val="TableParagraph"/>
              <w:ind w:left="100"/>
              <w:rPr>
                <w:b/>
                <w:sz w:val="20"/>
              </w:rPr>
            </w:pPr>
            <w:r>
              <w:rPr>
                <w:b/>
                <w:sz w:val="20"/>
              </w:rPr>
              <w:t>2023</w:t>
            </w:r>
          </w:p>
        </w:tc>
      </w:tr>
      <w:tr>
        <w:trPr>
          <w:trHeight w:val="1057" w:hRule="atLeast"/>
        </w:trPr>
        <w:tc>
          <w:tcPr>
            <w:tcW w:w="1606" w:type="dxa"/>
          </w:tcPr>
          <w:p>
            <w:pPr>
              <w:pStyle w:val="TableParagraph"/>
              <w:ind w:left="107"/>
              <w:rPr>
                <w:b/>
                <w:i/>
                <w:sz w:val="20"/>
              </w:rPr>
            </w:pPr>
            <w:r>
              <w:rPr>
                <w:b/>
                <w:i/>
                <w:sz w:val="20"/>
              </w:rPr>
              <w:t>Estados Unidos</w:t>
            </w:r>
          </w:p>
          <w:p>
            <w:pPr>
              <w:pStyle w:val="TableParagraph"/>
              <w:spacing w:line="264" w:lineRule="exact" w:before="7"/>
              <w:ind w:left="158" w:right="99" w:firstLine="50"/>
              <w:rPr>
                <w:i/>
                <w:sz w:val="20"/>
              </w:rPr>
            </w:pPr>
            <w:r>
              <w:rPr>
                <w:i/>
                <w:sz w:val="20"/>
              </w:rPr>
              <w:t>México </w:t>
            </w:r>
            <w:r>
              <w:rPr>
                <w:i/>
                <w:sz w:val="20"/>
              </w:rPr>
              <w:t>América</w:t>
            </w:r>
            <w:r>
              <w:rPr>
                <w:i/>
                <w:spacing w:val="-14"/>
                <w:sz w:val="20"/>
              </w:rPr>
              <w:t> </w:t>
            </w:r>
            <w:r>
              <w:rPr>
                <w:i/>
                <w:sz w:val="20"/>
              </w:rPr>
              <w:t>Central Caribe</w:t>
            </w:r>
          </w:p>
        </w:tc>
        <w:tc>
          <w:tcPr>
            <w:tcW w:w="617" w:type="dxa"/>
          </w:tcPr>
          <w:p>
            <w:pPr>
              <w:pStyle w:val="TableParagraph"/>
              <w:spacing w:line="225" w:lineRule="exact"/>
              <w:ind w:left="181"/>
              <w:rPr>
                <w:sz w:val="20"/>
              </w:rPr>
            </w:pPr>
            <w:r>
              <w:rPr>
                <w:sz w:val="20"/>
              </w:rPr>
              <w:t>5.7</w:t>
            </w:r>
          </w:p>
          <w:p>
            <w:pPr>
              <w:pStyle w:val="TableParagraph"/>
              <w:spacing w:before="36"/>
              <w:ind w:left="181"/>
              <w:rPr>
                <w:sz w:val="20"/>
              </w:rPr>
            </w:pPr>
            <w:r>
              <w:rPr>
                <w:sz w:val="20"/>
              </w:rPr>
              <w:t>4.8</w:t>
            </w:r>
          </w:p>
          <w:p>
            <w:pPr>
              <w:pStyle w:val="TableParagraph"/>
              <w:spacing w:before="34"/>
              <w:ind w:left="208"/>
              <w:rPr>
                <w:sz w:val="20"/>
              </w:rPr>
            </w:pPr>
            <w:r>
              <w:rPr>
                <w:sz w:val="20"/>
              </w:rPr>
              <w:t>11</w:t>
            </w:r>
          </w:p>
          <w:p>
            <w:pPr>
              <w:pStyle w:val="TableParagraph"/>
              <w:spacing w:before="34"/>
              <w:ind w:left="181"/>
              <w:rPr>
                <w:sz w:val="20"/>
              </w:rPr>
            </w:pPr>
            <w:r>
              <w:rPr>
                <w:sz w:val="20"/>
              </w:rPr>
              <w:t>3.5</w:t>
            </w:r>
          </w:p>
        </w:tc>
        <w:tc>
          <w:tcPr>
            <w:tcW w:w="618" w:type="dxa"/>
          </w:tcPr>
          <w:p>
            <w:pPr>
              <w:pStyle w:val="TableParagraph"/>
              <w:spacing w:line="225" w:lineRule="exact"/>
              <w:ind w:left="112" w:right="106"/>
              <w:jc w:val="center"/>
              <w:rPr>
                <w:sz w:val="20"/>
              </w:rPr>
            </w:pPr>
            <w:r>
              <w:rPr>
                <w:sz w:val="20"/>
              </w:rPr>
              <w:t>3.7</w:t>
            </w:r>
          </w:p>
          <w:p>
            <w:pPr>
              <w:pStyle w:val="TableParagraph"/>
              <w:spacing w:before="36"/>
              <w:ind w:left="4"/>
              <w:jc w:val="center"/>
              <w:rPr>
                <w:sz w:val="20"/>
              </w:rPr>
            </w:pPr>
            <w:r>
              <w:rPr>
                <w:w w:val="99"/>
                <w:sz w:val="20"/>
              </w:rPr>
              <w:t>2</w:t>
            </w:r>
          </w:p>
          <w:p>
            <w:pPr>
              <w:pStyle w:val="TableParagraph"/>
              <w:spacing w:before="34"/>
              <w:ind w:left="112" w:right="106"/>
              <w:jc w:val="center"/>
              <w:rPr>
                <w:sz w:val="20"/>
              </w:rPr>
            </w:pPr>
            <w:r>
              <w:rPr>
                <w:sz w:val="20"/>
              </w:rPr>
              <w:t>4.8</w:t>
            </w:r>
          </w:p>
          <w:p>
            <w:pPr>
              <w:pStyle w:val="TableParagraph"/>
              <w:spacing w:before="34"/>
              <w:ind w:left="112" w:right="106"/>
              <w:jc w:val="center"/>
              <w:rPr>
                <w:sz w:val="20"/>
              </w:rPr>
            </w:pPr>
            <w:r>
              <w:rPr>
                <w:sz w:val="20"/>
              </w:rPr>
              <w:t>10.5</w:t>
            </w:r>
          </w:p>
        </w:tc>
        <w:tc>
          <w:tcPr>
            <w:tcW w:w="615" w:type="dxa"/>
          </w:tcPr>
          <w:p>
            <w:pPr>
              <w:pStyle w:val="TableParagraph"/>
              <w:spacing w:line="225" w:lineRule="exact"/>
              <w:ind w:left="158" w:right="156"/>
              <w:jc w:val="center"/>
              <w:rPr>
                <w:sz w:val="20"/>
              </w:rPr>
            </w:pPr>
            <w:r>
              <w:rPr>
                <w:sz w:val="20"/>
              </w:rPr>
              <w:t>2.3</w:t>
            </w:r>
          </w:p>
          <w:p>
            <w:pPr>
              <w:pStyle w:val="TableParagraph"/>
              <w:spacing w:before="36"/>
              <w:ind w:left="158" w:right="156"/>
              <w:jc w:val="center"/>
              <w:rPr>
                <w:sz w:val="20"/>
              </w:rPr>
            </w:pPr>
            <w:r>
              <w:rPr>
                <w:sz w:val="20"/>
              </w:rPr>
              <w:t>2.5</w:t>
            </w:r>
          </w:p>
          <w:p>
            <w:pPr>
              <w:pStyle w:val="TableParagraph"/>
              <w:spacing w:before="34"/>
              <w:jc w:val="center"/>
              <w:rPr>
                <w:sz w:val="20"/>
              </w:rPr>
            </w:pPr>
            <w:r>
              <w:rPr>
                <w:w w:val="99"/>
                <w:sz w:val="20"/>
              </w:rPr>
              <w:t>4</w:t>
            </w:r>
          </w:p>
          <w:p>
            <w:pPr>
              <w:pStyle w:val="TableParagraph"/>
              <w:spacing w:before="34"/>
              <w:ind w:left="158" w:right="156"/>
              <w:jc w:val="center"/>
              <w:rPr>
                <w:sz w:val="20"/>
              </w:rPr>
            </w:pPr>
            <w:r>
              <w:rPr>
                <w:sz w:val="20"/>
              </w:rPr>
              <w:t>9.1</w:t>
            </w:r>
          </w:p>
        </w:tc>
        <w:tc>
          <w:tcPr>
            <w:tcW w:w="658" w:type="dxa"/>
          </w:tcPr>
          <w:p>
            <w:pPr>
              <w:pStyle w:val="TableParagraph"/>
              <w:spacing w:line="225" w:lineRule="exact"/>
              <w:ind w:left="201"/>
              <w:rPr>
                <w:sz w:val="20"/>
              </w:rPr>
            </w:pPr>
            <w:r>
              <w:rPr>
                <w:sz w:val="20"/>
              </w:rPr>
              <w:t>4.7</w:t>
            </w:r>
          </w:p>
          <w:p>
            <w:pPr>
              <w:pStyle w:val="TableParagraph"/>
              <w:spacing w:before="36"/>
              <w:ind w:left="201"/>
              <w:rPr>
                <w:sz w:val="20"/>
              </w:rPr>
            </w:pPr>
            <w:r>
              <w:rPr>
                <w:sz w:val="20"/>
              </w:rPr>
              <w:t>5.7</w:t>
            </w:r>
          </w:p>
          <w:p>
            <w:pPr>
              <w:pStyle w:val="TableParagraph"/>
              <w:spacing w:before="34"/>
              <w:ind w:left="201"/>
              <w:rPr>
                <w:sz w:val="20"/>
              </w:rPr>
            </w:pPr>
            <w:r>
              <w:rPr>
                <w:sz w:val="20"/>
              </w:rPr>
              <w:t>4.5</w:t>
            </w:r>
          </w:p>
          <w:p>
            <w:pPr>
              <w:pStyle w:val="TableParagraph"/>
              <w:spacing w:before="34"/>
              <w:ind w:left="201"/>
              <w:rPr>
                <w:sz w:val="20"/>
              </w:rPr>
            </w:pPr>
            <w:r>
              <w:rPr>
                <w:sz w:val="20"/>
              </w:rPr>
              <w:t>8.6</w:t>
            </w:r>
          </w:p>
        </w:tc>
        <w:tc>
          <w:tcPr>
            <w:tcW w:w="656" w:type="dxa"/>
          </w:tcPr>
          <w:p>
            <w:pPr>
              <w:pStyle w:val="TableParagraph"/>
              <w:spacing w:line="225" w:lineRule="exact"/>
              <w:ind w:left="199"/>
              <w:rPr>
                <w:sz w:val="20"/>
              </w:rPr>
            </w:pPr>
            <w:r>
              <w:rPr>
                <w:sz w:val="20"/>
              </w:rPr>
              <w:t>7.7</w:t>
            </w:r>
          </w:p>
          <w:p>
            <w:pPr>
              <w:pStyle w:val="TableParagraph"/>
              <w:spacing w:before="36"/>
              <w:ind w:left="199"/>
              <w:rPr>
                <w:sz w:val="20"/>
              </w:rPr>
            </w:pPr>
            <w:r>
              <w:rPr>
                <w:sz w:val="20"/>
              </w:rPr>
              <w:t>6.8</w:t>
            </w:r>
          </w:p>
          <w:p>
            <w:pPr>
              <w:pStyle w:val="TableParagraph"/>
              <w:spacing w:before="34"/>
              <w:ind w:left="199"/>
              <w:rPr>
                <w:sz w:val="20"/>
              </w:rPr>
            </w:pPr>
            <w:r>
              <w:rPr>
                <w:sz w:val="20"/>
              </w:rPr>
              <w:t>5.8</w:t>
            </w:r>
          </w:p>
          <w:p>
            <w:pPr>
              <w:pStyle w:val="TableParagraph"/>
              <w:spacing w:before="34"/>
              <w:ind w:left="148"/>
              <w:rPr>
                <w:sz w:val="20"/>
              </w:rPr>
            </w:pPr>
            <w:r>
              <w:rPr>
                <w:sz w:val="20"/>
              </w:rPr>
              <w:t>11.3</w:t>
            </w:r>
          </w:p>
        </w:tc>
        <w:tc>
          <w:tcPr>
            <w:tcW w:w="659" w:type="dxa"/>
          </w:tcPr>
          <w:p>
            <w:pPr>
              <w:pStyle w:val="TableParagraph"/>
              <w:spacing w:line="225" w:lineRule="exact"/>
              <w:ind w:left="198"/>
              <w:rPr>
                <w:sz w:val="20"/>
              </w:rPr>
            </w:pPr>
            <w:r>
              <w:rPr>
                <w:sz w:val="20"/>
              </w:rPr>
              <w:t>2.9</w:t>
            </w:r>
          </w:p>
          <w:p>
            <w:pPr>
              <w:pStyle w:val="TableParagraph"/>
              <w:spacing w:before="36"/>
              <w:ind w:left="198"/>
              <w:rPr>
                <w:sz w:val="20"/>
              </w:rPr>
            </w:pPr>
            <w:r>
              <w:rPr>
                <w:sz w:val="20"/>
              </w:rPr>
              <w:t>3.9</w:t>
            </w:r>
          </w:p>
          <w:p>
            <w:pPr>
              <w:pStyle w:val="TableParagraph"/>
              <w:spacing w:before="34"/>
              <w:ind w:left="198"/>
              <w:rPr>
                <w:sz w:val="20"/>
              </w:rPr>
            </w:pPr>
            <w:r>
              <w:rPr>
                <w:sz w:val="20"/>
              </w:rPr>
              <w:t>4.3</w:t>
            </w:r>
          </w:p>
          <w:p>
            <w:pPr>
              <w:pStyle w:val="TableParagraph"/>
              <w:spacing w:before="34"/>
              <w:ind w:left="198"/>
              <w:rPr>
                <w:sz w:val="20"/>
              </w:rPr>
            </w:pPr>
            <w:r>
              <w:rPr>
                <w:sz w:val="20"/>
              </w:rPr>
              <w:t>7.4</w:t>
            </w:r>
          </w:p>
        </w:tc>
        <w:tc>
          <w:tcPr>
            <w:tcW w:w="692" w:type="dxa"/>
          </w:tcPr>
          <w:p>
            <w:pPr>
              <w:pStyle w:val="TableParagraph"/>
              <w:spacing w:line="225" w:lineRule="exact"/>
              <w:ind w:left="163"/>
              <w:rPr>
                <w:sz w:val="20"/>
              </w:rPr>
            </w:pPr>
            <w:r>
              <w:rPr>
                <w:sz w:val="20"/>
              </w:rPr>
              <w:t>–3.5</w:t>
            </w:r>
          </w:p>
          <w:p>
            <w:pPr>
              <w:pStyle w:val="TableParagraph"/>
              <w:spacing w:before="36"/>
              <w:ind w:left="163"/>
              <w:rPr>
                <w:sz w:val="20"/>
              </w:rPr>
            </w:pPr>
            <w:r>
              <w:rPr>
                <w:sz w:val="20"/>
              </w:rPr>
              <w:t>–0.4</w:t>
            </w:r>
          </w:p>
          <w:p>
            <w:pPr>
              <w:pStyle w:val="TableParagraph"/>
              <w:spacing w:before="34"/>
              <w:ind w:left="163"/>
              <w:rPr>
                <w:sz w:val="20"/>
              </w:rPr>
            </w:pPr>
            <w:r>
              <w:rPr>
                <w:sz w:val="20"/>
              </w:rPr>
              <w:t>–1.8</w:t>
            </w:r>
          </w:p>
          <w:p>
            <w:pPr>
              <w:pStyle w:val="TableParagraph"/>
              <w:spacing w:before="34"/>
              <w:ind w:left="163"/>
              <w:rPr>
                <w:sz w:val="20"/>
              </w:rPr>
            </w:pPr>
            <w:r>
              <w:rPr>
                <w:sz w:val="20"/>
              </w:rPr>
              <w:t>–5.0</w:t>
            </w:r>
          </w:p>
        </w:tc>
        <w:tc>
          <w:tcPr>
            <w:tcW w:w="694" w:type="dxa"/>
          </w:tcPr>
          <w:p>
            <w:pPr>
              <w:pStyle w:val="TableParagraph"/>
              <w:spacing w:line="225" w:lineRule="exact"/>
              <w:ind w:left="165"/>
              <w:rPr>
                <w:sz w:val="20"/>
              </w:rPr>
            </w:pPr>
            <w:r>
              <w:rPr>
                <w:sz w:val="20"/>
              </w:rPr>
              <w:t>–3.5</w:t>
            </w:r>
          </w:p>
          <w:p>
            <w:pPr>
              <w:pStyle w:val="TableParagraph"/>
              <w:spacing w:before="36"/>
              <w:ind w:left="165"/>
              <w:rPr>
                <w:sz w:val="20"/>
              </w:rPr>
            </w:pPr>
            <w:r>
              <w:rPr>
                <w:sz w:val="20"/>
              </w:rPr>
              <w:t>–0.6</w:t>
            </w:r>
          </w:p>
          <w:p>
            <w:pPr>
              <w:pStyle w:val="TableParagraph"/>
              <w:spacing w:before="34"/>
              <w:ind w:left="165"/>
              <w:rPr>
                <w:sz w:val="20"/>
              </w:rPr>
            </w:pPr>
            <w:r>
              <w:rPr>
                <w:sz w:val="20"/>
              </w:rPr>
              <w:t>–3.1</w:t>
            </w:r>
          </w:p>
          <w:p>
            <w:pPr>
              <w:pStyle w:val="TableParagraph"/>
              <w:spacing w:before="34"/>
              <w:ind w:left="215"/>
              <w:rPr>
                <w:sz w:val="20"/>
              </w:rPr>
            </w:pPr>
            <w:r>
              <w:rPr>
                <w:sz w:val="20"/>
              </w:rPr>
              <w:t>3.1</w:t>
            </w:r>
          </w:p>
        </w:tc>
        <w:tc>
          <w:tcPr>
            <w:tcW w:w="694" w:type="dxa"/>
          </w:tcPr>
          <w:p>
            <w:pPr>
              <w:pStyle w:val="TableParagraph"/>
              <w:spacing w:line="225" w:lineRule="exact"/>
              <w:ind w:left="164"/>
              <w:rPr>
                <w:sz w:val="20"/>
              </w:rPr>
            </w:pPr>
            <w:r>
              <w:rPr>
                <w:sz w:val="20"/>
              </w:rPr>
              <w:t>–3.2</w:t>
            </w:r>
          </w:p>
          <w:p>
            <w:pPr>
              <w:pStyle w:val="TableParagraph"/>
              <w:spacing w:before="36"/>
              <w:ind w:left="164"/>
              <w:rPr>
                <w:sz w:val="20"/>
              </w:rPr>
            </w:pPr>
            <w:r>
              <w:rPr>
                <w:sz w:val="20"/>
              </w:rPr>
              <w:t>–0.7</w:t>
            </w:r>
          </w:p>
          <w:p>
            <w:pPr>
              <w:pStyle w:val="TableParagraph"/>
              <w:spacing w:before="34"/>
              <w:ind w:left="164"/>
              <w:rPr>
                <w:sz w:val="20"/>
              </w:rPr>
            </w:pPr>
            <w:r>
              <w:rPr>
                <w:sz w:val="20"/>
              </w:rPr>
              <w:t>–2.5</w:t>
            </w:r>
          </w:p>
          <w:p>
            <w:pPr>
              <w:pStyle w:val="TableParagraph"/>
              <w:spacing w:before="34"/>
              <w:ind w:left="215"/>
              <w:rPr>
                <w:sz w:val="20"/>
              </w:rPr>
            </w:pPr>
            <w:r>
              <w:rPr>
                <w:sz w:val="20"/>
              </w:rPr>
              <w:t>3.2</w:t>
            </w:r>
          </w:p>
        </w:tc>
        <w:tc>
          <w:tcPr>
            <w:tcW w:w="618" w:type="dxa"/>
          </w:tcPr>
          <w:p>
            <w:pPr>
              <w:pStyle w:val="TableParagraph"/>
              <w:spacing w:line="225" w:lineRule="exact"/>
              <w:ind w:left="177"/>
              <w:rPr>
                <w:sz w:val="20"/>
              </w:rPr>
            </w:pPr>
            <w:r>
              <w:rPr>
                <w:sz w:val="20"/>
              </w:rPr>
              <w:t>5.4</w:t>
            </w:r>
          </w:p>
          <w:p>
            <w:pPr>
              <w:pStyle w:val="TableParagraph"/>
              <w:spacing w:before="36"/>
              <w:ind w:left="177"/>
              <w:rPr>
                <w:sz w:val="20"/>
              </w:rPr>
            </w:pPr>
            <w:r>
              <w:rPr>
                <w:sz w:val="20"/>
              </w:rPr>
              <w:t>4.1</w:t>
            </w:r>
          </w:p>
        </w:tc>
        <w:tc>
          <w:tcPr>
            <w:tcW w:w="615" w:type="dxa"/>
          </w:tcPr>
          <w:p>
            <w:pPr>
              <w:pStyle w:val="TableParagraph"/>
              <w:spacing w:line="225" w:lineRule="exact"/>
              <w:ind w:left="173"/>
              <w:rPr>
                <w:sz w:val="20"/>
              </w:rPr>
            </w:pPr>
            <w:r>
              <w:rPr>
                <w:sz w:val="20"/>
              </w:rPr>
              <w:t>3.5</w:t>
            </w:r>
          </w:p>
          <w:p>
            <w:pPr>
              <w:pStyle w:val="TableParagraph"/>
              <w:spacing w:before="36"/>
              <w:ind w:left="173"/>
              <w:rPr>
                <w:sz w:val="20"/>
              </w:rPr>
            </w:pPr>
            <w:r>
              <w:rPr>
                <w:sz w:val="20"/>
              </w:rPr>
              <w:t>4.1</w:t>
            </w:r>
          </w:p>
        </w:tc>
        <w:tc>
          <w:tcPr>
            <w:tcW w:w="617" w:type="dxa"/>
          </w:tcPr>
          <w:p>
            <w:pPr>
              <w:pStyle w:val="TableParagraph"/>
              <w:spacing w:line="225" w:lineRule="exact"/>
              <w:ind w:left="175"/>
              <w:rPr>
                <w:sz w:val="20"/>
              </w:rPr>
            </w:pPr>
            <w:r>
              <w:rPr>
                <w:sz w:val="20"/>
              </w:rPr>
              <w:t>3.5</w:t>
            </w:r>
          </w:p>
          <w:p>
            <w:pPr>
              <w:pStyle w:val="TableParagraph"/>
              <w:spacing w:before="36"/>
              <w:ind w:left="175"/>
              <w:rPr>
                <w:sz w:val="20"/>
              </w:rPr>
            </w:pPr>
            <w:r>
              <w:rPr>
                <w:sz w:val="20"/>
              </w:rPr>
              <w:t>3.9</w:t>
            </w:r>
          </w:p>
        </w:tc>
      </w:tr>
    </w:tbl>
    <w:p>
      <w:pPr>
        <w:spacing w:before="0"/>
        <w:ind w:left="562" w:right="0" w:firstLine="0"/>
        <w:jc w:val="both"/>
        <w:rPr>
          <w:sz w:val="16"/>
        </w:rPr>
      </w:pPr>
      <w:r>
        <w:rPr>
          <w:sz w:val="16"/>
        </w:rPr>
        <w:t>Fuente: Dirección de Análisis y Política Fiscal con información del FMI, Banco Mundial y CEPAL.</w:t>
      </w:r>
    </w:p>
    <w:p>
      <w:pPr>
        <w:pStyle w:val="BodyText"/>
        <w:spacing w:before="8"/>
        <w:rPr>
          <w:sz w:val="25"/>
        </w:rPr>
      </w:pPr>
    </w:p>
    <w:p>
      <w:pPr>
        <w:pStyle w:val="Heading2"/>
        <w:numPr>
          <w:ilvl w:val="2"/>
          <w:numId w:val="11"/>
        </w:numPr>
        <w:tabs>
          <w:tab w:pos="1694" w:val="left" w:leader="none"/>
          <w:tab w:pos="1695" w:val="left" w:leader="none"/>
        </w:tabs>
        <w:spacing w:line="240" w:lineRule="auto" w:before="0" w:after="0"/>
        <w:ind w:left="1694" w:right="0" w:hanging="721"/>
        <w:jc w:val="left"/>
      </w:pPr>
      <w:bookmarkStart w:name="_bookmark26" w:id="35"/>
      <w:bookmarkEnd w:id="35"/>
      <w:r>
        <w:rPr>
          <w:b w:val="0"/>
        </w:rPr>
      </w:r>
      <w:bookmarkStart w:name="_bookmark26" w:id="36"/>
      <w:bookmarkEnd w:id="36"/>
      <w:r>
        <w:rPr/>
        <w:t>E</w:t>
      </w:r>
      <w:r>
        <w:rPr/>
        <w:t>stados Unidos de</w:t>
      </w:r>
      <w:r>
        <w:rPr>
          <w:spacing w:val="-5"/>
        </w:rPr>
        <w:t> </w:t>
      </w:r>
      <w:r>
        <w:rPr/>
        <w:t>América</w:t>
      </w:r>
    </w:p>
    <w:p>
      <w:pPr>
        <w:pStyle w:val="BodyText"/>
        <w:spacing w:before="4"/>
        <w:rPr>
          <w:b/>
          <w:sz w:val="28"/>
        </w:rPr>
      </w:pPr>
    </w:p>
    <w:p>
      <w:pPr>
        <w:pStyle w:val="BodyText"/>
        <w:spacing w:line="276" w:lineRule="auto"/>
        <w:ind w:left="562" w:right="1695"/>
        <w:jc w:val="both"/>
      </w:pPr>
      <w:r>
        <w:rPr/>
        <w:t>De</w:t>
      </w:r>
      <w:r>
        <w:rPr>
          <w:spacing w:val="-11"/>
        </w:rPr>
        <w:t> </w:t>
      </w:r>
      <w:r>
        <w:rPr/>
        <w:t>acuerdo</w:t>
      </w:r>
      <w:r>
        <w:rPr>
          <w:spacing w:val="-12"/>
        </w:rPr>
        <w:t> </w:t>
      </w:r>
      <w:r>
        <w:rPr/>
        <w:t>a</w:t>
      </w:r>
      <w:r>
        <w:rPr>
          <w:spacing w:val="-16"/>
        </w:rPr>
        <w:t> </w:t>
      </w:r>
      <w:r>
        <w:rPr/>
        <w:t>las</w:t>
      </w:r>
      <w:r>
        <w:rPr>
          <w:spacing w:val="-13"/>
        </w:rPr>
        <w:t> </w:t>
      </w:r>
      <w:r>
        <w:rPr/>
        <w:t>perspectivas</w:t>
      </w:r>
      <w:r>
        <w:rPr>
          <w:spacing w:val="-11"/>
        </w:rPr>
        <w:t> </w:t>
      </w:r>
      <w:r>
        <w:rPr/>
        <w:t>del</w:t>
      </w:r>
      <w:r>
        <w:rPr>
          <w:spacing w:val="-13"/>
        </w:rPr>
        <w:t> </w:t>
      </w:r>
      <w:r>
        <w:rPr/>
        <w:t>Fondo</w:t>
      </w:r>
      <w:r>
        <w:rPr>
          <w:spacing w:val="-16"/>
        </w:rPr>
        <w:t> </w:t>
      </w:r>
      <w:r>
        <w:rPr/>
        <w:t>Monetario</w:t>
      </w:r>
      <w:r>
        <w:rPr>
          <w:spacing w:val="-14"/>
        </w:rPr>
        <w:t> </w:t>
      </w:r>
      <w:r>
        <w:rPr/>
        <w:t>Internacional,</w:t>
      </w:r>
      <w:r>
        <w:rPr>
          <w:spacing w:val="-14"/>
        </w:rPr>
        <w:t> </w:t>
      </w:r>
      <w:r>
        <w:rPr/>
        <w:t>se</w:t>
      </w:r>
      <w:r>
        <w:rPr>
          <w:spacing w:val="-13"/>
        </w:rPr>
        <w:t> </w:t>
      </w:r>
      <w:r>
        <w:rPr/>
        <w:t>espera</w:t>
      </w:r>
      <w:r>
        <w:rPr>
          <w:spacing w:val="-11"/>
        </w:rPr>
        <w:t> </w:t>
      </w:r>
      <w:r>
        <w:rPr/>
        <w:t>que</w:t>
      </w:r>
      <w:r>
        <w:rPr>
          <w:spacing w:val="-14"/>
        </w:rPr>
        <w:t> </w:t>
      </w:r>
      <w:r>
        <w:rPr/>
        <w:t>el</w:t>
      </w:r>
      <w:r>
        <w:rPr>
          <w:spacing w:val="-13"/>
        </w:rPr>
        <w:t> </w:t>
      </w:r>
      <w:r>
        <w:rPr/>
        <w:t>PIB</w:t>
      </w:r>
      <w:r>
        <w:rPr>
          <w:spacing w:val="-12"/>
        </w:rPr>
        <w:t> </w:t>
      </w:r>
      <w:r>
        <w:rPr/>
        <w:t>real</w:t>
      </w:r>
      <w:r>
        <w:rPr>
          <w:spacing w:val="-10"/>
        </w:rPr>
        <w:t> </w:t>
      </w:r>
      <w:r>
        <w:rPr/>
        <w:t>de</w:t>
      </w:r>
      <w:r>
        <w:rPr>
          <w:spacing w:val="-11"/>
        </w:rPr>
        <w:t> </w:t>
      </w:r>
      <w:r>
        <w:rPr/>
        <w:t>Estados Unidos decaiga a 3.7%, reflejando en gran medida la no aprobación de </w:t>
      </w:r>
      <w:r>
        <w:rPr>
          <w:i/>
        </w:rPr>
        <w:t>Build Back Better </w:t>
      </w:r>
      <w:r>
        <w:rPr/>
        <w:t>(plan legislativo</w:t>
      </w:r>
      <w:r>
        <w:rPr>
          <w:spacing w:val="-10"/>
        </w:rPr>
        <w:t> </w:t>
      </w:r>
      <w:r>
        <w:rPr/>
        <w:t>para</w:t>
      </w:r>
      <w:r>
        <w:rPr>
          <w:spacing w:val="-11"/>
        </w:rPr>
        <w:t> </w:t>
      </w:r>
      <w:r>
        <w:rPr/>
        <w:t>contrarrestar</w:t>
      </w:r>
      <w:r>
        <w:rPr>
          <w:spacing w:val="3"/>
        </w:rPr>
        <w:t> </w:t>
      </w:r>
      <w:r>
        <w:rPr/>
        <w:t>los</w:t>
      </w:r>
      <w:r>
        <w:rPr>
          <w:spacing w:val="-9"/>
        </w:rPr>
        <w:t> </w:t>
      </w:r>
      <w:r>
        <w:rPr/>
        <w:t>efectos</w:t>
      </w:r>
      <w:r>
        <w:rPr>
          <w:spacing w:val="-10"/>
        </w:rPr>
        <w:t> </w:t>
      </w:r>
      <w:r>
        <w:rPr/>
        <w:t>de</w:t>
      </w:r>
      <w:r>
        <w:rPr>
          <w:spacing w:val="-9"/>
        </w:rPr>
        <w:t> </w:t>
      </w:r>
      <w:r>
        <w:rPr/>
        <w:t>la</w:t>
      </w:r>
      <w:r>
        <w:rPr>
          <w:spacing w:val="-9"/>
        </w:rPr>
        <w:t> </w:t>
      </w:r>
      <w:r>
        <w:rPr/>
        <w:t>pandemia,</w:t>
      </w:r>
      <w:r>
        <w:rPr>
          <w:spacing w:val="-9"/>
        </w:rPr>
        <w:t> </w:t>
      </w:r>
      <w:r>
        <w:rPr/>
        <w:t>impulsar</w:t>
      </w:r>
      <w:r>
        <w:rPr>
          <w:spacing w:val="-10"/>
        </w:rPr>
        <w:t> </w:t>
      </w:r>
      <w:r>
        <w:rPr/>
        <w:t>la</w:t>
      </w:r>
      <w:r>
        <w:rPr>
          <w:spacing w:val="-11"/>
        </w:rPr>
        <w:t> </w:t>
      </w:r>
      <w:r>
        <w:rPr/>
        <w:t>recuperación</w:t>
      </w:r>
      <w:r>
        <w:rPr>
          <w:spacing w:val="-10"/>
        </w:rPr>
        <w:t> </w:t>
      </w:r>
      <w:r>
        <w:rPr/>
        <w:t>económica</w:t>
      </w:r>
      <w:r>
        <w:rPr>
          <w:spacing w:val="-9"/>
        </w:rPr>
        <w:t> </w:t>
      </w:r>
      <w:r>
        <w:rPr/>
        <w:t>del</w:t>
      </w:r>
      <w:r>
        <w:rPr>
          <w:spacing w:val="-8"/>
        </w:rPr>
        <w:t> </w:t>
      </w:r>
      <w:r>
        <w:rPr/>
        <w:t>país e</w:t>
      </w:r>
      <w:r>
        <w:rPr>
          <w:spacing w:val="-10"/>
        </w:rPr>
        <w:t> </w:t>
      </w:r>
      <w:r>
        <w:rPr/>
        <w:t>invertir</w:t>
      </w:r>
      <w:r>
        <w:rPr>
          <w:spacing w:val="-9"/>
        </w:rPr>
        <w:t> </w:t>
      </w:r>
      <w:r>
        <w:rPr/>
        <w:t>en</w:t>
      </w:r>
      <w:r>
        <w:rPr>
          <w:spacing w:val="-13"/>
        </w:rPr>
        <w:t> </w:t>
      </w:r>
      <w:r>
        <w:rPr/>
        <w:t>nueva</w:t>
      </w:r>
      <w:r>
        <w:rPr>
          <w:spacing w:val="-9"/>
        </w:rPr>
        <w:t> </w:t>
      </w:r>
      <w:r>
        <w:rPr/>
        <w:t>infraestructura),</w:t>
      </w:r>
      <w:r>
        <w:rPr>
          <w:spacing w:val="-11"/>
        </w:rPr>
        <w:t> </w:t>
      </w:r>
      <w:r>
        <w:rPr/>
        <w:t>el</w:t>
      </w:r>
      <w:r>
        <w:rPr>
          <w:spacing w:val="-9"/>
        </w:rPr>
        <w:t> </w:t>
      </w:r>
      <w:r>
        <w:rPr/>
        <w:t>endurecimiento</w:t>
      </w:r>
      <w:r>
        <w:rPr>
          <w:spacing w:val="-12"/>
        </w:rPr>
        <w:t> </w:t>
      </w:r>
      <w:r>
        <w:rPr/>
        <w:t>de</w:t>
      </w:r>
      <w:r>
        <w:rPr>
          <w:spacing w:val="-10"/>
        </w:rPr>
        <w:t> </w:t>
      </w:r>
      <w:r>
        <w:rPr/>
        <w:t>políticas</w:t>
      </w:r>
      <w:r>
        <w:rPr>
          <w:spacing w:val="-9"/>
        </w:rPr>
        <w:t> </w:t>
      </w:r>
      <w:r>
        <w:rPr/>
        <w:t>para</w:t>
      </w:r>
      <w:r>
        <w:rPr>
          <w:spacing w:val="-10"/>
        </w:rPr>
        <w:t> </w:t>
      </w:r>
      <w:r>
        <w:rPr/>
        <w:t>controlar</w:t>
      </w:r>
      <w:r>
        <w:rPr>
          <w:spacing w:val="-11"/>
        </w:rPr>
        <w:t> </w:t>
      </w:r>
      <w:r>
        <w:rPr/>
        <w:t>la</w:t>
      </w:r>
      <w:r>
        <w:rPr>
          <w:spacing w:val="-10"/>
        </w:rPr>
        <w:t> </w:t>
      </w:r>
      <w:r>
        <w:rPr/>
        <w:t>inflación,</w:t>
      </w:r>
      <w:r>
        <w:rPr>
          <w:spacing w:val="-10"/>
        </w:rPr>
        <w:t> </w:t>
      </w:r>
      <w:r>
        <w:rPr/>
        <w:t>el</w:t>
      </w:r>
      <w:r>
        <w:rPr>
          <w:spacing w:val="-9"/>
        </w:rPr>
        <w:t> </w:t>
      </w:r>
      <w:r>
        <w:rPr/>
        <w:t>retiro del apoyo monetario y las continuas interrupciones en la cadena de</w:t>
      </w:r>
      <w:r>
        <w:rPr>
          <w:spacing w:val="-9"/>
        </w:rPr>
        <w:t> </w:t>
      </w:r>
      <w:r>
        <w:rPr/>
        <w:t>suministro.</w:t>
      </w:r>
    </w:p>
    <w:p>
      <w:pPr>
        <w:pStyle w:val="BodyText"/>
        <w:spacing w:before="5"/>
        <w:rPr>
          <w:sz w:val="25"/>
        </w:rPr>
      </w:pPr>
    </w:p>
    <w:p>
      <w:pPr>
        <w:pStyle w:val="BodyText"/>
        <w:spacing w:line="276" w:lineRule="auto"/>
        <w:ind w:left="562" w:right="1694"/>
        <w:jc w:val="both"/>
      </w:pPr>
      <w:r>
        <w:rPr/>
        <w:t>Por</w:t>
      </w:r>
      <w:r>
        <w:rPr>
          <w:spacing w:val="-8"/>
        </w:rPr>
        <w:t> </w:t>
      </w:r>
      <w:r>
        <w:rPr/>
        <w:t>su</w:t>
      </w:r>
      <w:r>
        <w:rPr>
          <w:spacing w:val="-8"/>
        </w:rPr>
        <w:t> </w:t>
      </w:r>
      <w:r>
        <w:rPr/>
        <w:t>parte,</w:t>
      </w:r>
      <w:r>
        <w:rPr>
          <w:spacing w:val="-7"/>
        </w:rPr>
        <w:t> </w:t>
      </w:r>
      <w:r>
        <w:rPr/>
        <w:t>se</w:t>
      </w:r>
      <w:r>
        <w:rPr>
          <w:spacing w:val="-8"/>
        </w:rPr>
        <w:t> </w:t>
      </w:r>
      <w:r>
        <w:rPr/>
        <w:t>espera</w:t>
      </w:r>
      <w:r>
        <w:rPr>
          <w:spacing w:val="-7"/>
        </w:rPr>
        <w:t> </w:t>
      </w:r>
      <w:r>
        <w:rPr/>
        <w:t>que</w:t>
      </w:r>
      <w:r>
        <w:rPr>
          <w:spacing w:val="-10"/>
        </w:rPr>
        <w:t> </w:t>
      </w:r>
      <w:r>
        <w:rPr/>
        <w:t>los</w:t>
      </w:r>
      <w:r>
        <w:rPr>
          <w:spacing w:val="-8"/>
        </w:rPr>
        <w:t> </w:t>
      </w:r>
      <w:r>
        <w:rPr/>
        <w:t>precios</w:t>
      </w:r>
      <w:r>
        <w:rPr>
          <w:spacing w:val="-8"/>
        </w:rPr>
        <w:t> </w:t>
      </w:r>
      <w:r>
        <w:rPr/>
        <w:t>al</w:t>
      </w:r>
      <w:r>
        <w:rPr>
          <w:spacing w:val="-4"/>
        </w:rPr>
        <w:t> </w:t>
      </w:r>
      <w:r>
        <w:rPr/>
        <w:t>consumidor</w:t>
      </w:r>
      <w:r>
        <w:rPr>
          <w:spacing w:val="-8"/>
        </w:rPr>
        <w:t> </w:t>
      </w:r>
      <w:r>
        <w:rPr/>
        <w:t>en</w:t>
      </w:r>
      <w:r>
        <w:rPr>
          <w:spacing w:val="-10"/>
        </w:rPr>
        <w:t> </w:t>
      </w:r>
      <w:r>
        <w:rPr/>
        <w:t>tasa</w:t>
      </w:r>
      <w:r>
        <w:rPr>
          <w:spacing w:val="-8"/>
        </w:rPr>
        <w:t> </w:t>
      </w:r>
      <w:r>
        <w:rPr/>
        <w:t>de</w:t>
      </w:r>
      <w:r>
        <w:rPr>
          <w:spacing w:val="-7"/>
        </w:rPr>
        <w:t> </w:t>
      </w:r>
      <w:r>
        <w:rPr/>
        <w:t>variación</w:t>
      </w:r>
      <w:r>
        <w:rPr>
          <w:spacing w:val="-11"/>
        </w:rPr>
        <w:t> </w:t>
      </w:r>
      <w:r>
        <w:rPr/>
        <w:t>interanual</w:t>
      </w:r>
      <w:r>
        <w:rPr>
          <w:spacing w:val="-9"/>
        </w:rPr>
        <w:t> </w:t>
      </w:r>
      <w:r>
        <w:rPr/>
        <w:t>aumenten</w:t>
      </w:r>
      <w:r>
        <w:rPr>
          <w:spacing w:val="-7"/>
        </w:rPr>
        <w:t> </w:t>
      </w:r>
      <w:r>
        <w:rPr/>
        <w:t>a</w:t>
      </w:r>
      <w:r>
        <w:rPr>
          <w:spacing w:val="-8"/>
        </w:rPr>
        <w:t> </w:t>
      </w:r>
      <w:r>
        <w:rPr/>
        <w:t>7.7% para</w:t>
      </w:r>
      <w:r>
        <w:rPr>
          <w:spacing w:val="-13"/>
        </w:rPr>
        <w:t> </w:t>
      </w:r>
      <w:r>
        <w:rPr/>
        <w:t>2022,</w:t>
      </w:r>
      <w:r>
        <w:rPr>
          <w:spacing w:val="-13"/>
        </w:rPr>
        <w:t> </w:t>
      </w:r>
      <w:r>
        <w:rPr/>
        <w:t>para</w:t>
      </w:r>
      <w:r>
        <w:rPr>
          <w:spacing w:val="-13"/>
        </w:rPr>
        <w:t> </w:t>
      </w:r>
      <w:r>
        <w:rPr/>
        <w:t>decaer</w:t>
      </w:r>
      <w:r>
        <w:rPr>
          <w:spacing w:val="-12"/>
        </w:rPr>
        <w:t> </w:t>
      </w:r>
      <w:r>
        <w:rPr/>
        <w:t>a</w:t>
      </w:r>
      <w:r>
        <w:rPr>
          <w:spacing w:val="-13"/>
        </w:rPr>
        <w:t> </w:t>
      </w:r>
      <w:r>
        <w:rPr/>
        <w:t>2.9%</w:t>
      </w:r>
      <w:r>
        <w:rPr>
          <w:spacing w:val="-13"/>
        </w:rPr>
        <w:t> </w:t>
      </w:r>
      <w:r>
        <w:rPr/>
        <w:t>en</w:t>
      </w:r>
      <w:r>
        <w:rPr>
          <w:spacing w:val="-13"/>
        </w:rPr>
        <w:t> </w:t>
      </w:r>
      <w:r>
        <w:rPr/>
        <w:t>el</w:t>
      </w:r>
      <w:r>
        <w:rPr>
          <w:spacing w:val="-11"/>
        </w:rPr>
        <w:t> </w:t>
      </w:r>
      <w:r>
        <w:rPr/>
        <w:t>2023.</w:t>
      </w:r>
      <w:r>
        <w:rPr>
          <w:spacing w:val="-16"/>
        </w:rPr>
        <w:t> </w:t>
      </w:r>
      <w:r>
        <w:rPr/>
        <w:t>También</w:t>
      </w:r>
      <w:r>
        <w:rPr>
          <w:spacing w:val="-13"/>
        </w:rPr>
        <w:t> </w:t>
      </w:r>
      <w:r>
        <w:rPr/>
        <w:t>se</w:t>
      </w:r>
      <w:r>
        <w:rPr>
          <w:spacing w:val="-13"/>
        </w:rPr>
        <w:t> </w:t>
      </w:r>
      <w:r>
        <w:rPr/>
        <w:t>espera</w:t>
      </w:r>
      <w:r>
        <w:rPr>
          <w:spacing w:val="-12"/>
        </w:rPr>
        <w:t> </w:t>
      </w:r>
      <w:r>
        <w:rPr/>
        <w:t>que</w:t>
      </w:r>
      <w:r>
        <w:rPr>
          <w:spacing w:val="-13"/>
        </w:rPr>
        <w:t> </w:t>
      </w:r>
      <w:r>
        <w:rPr/>
        <w:t>el</w:t>
      </w:r>
      <w:r>
        <w:rPr>
          <w:spacing w:val="-12"/>
        </w:rPr>
        <w:t> </w:t>
      </w:r>
      <w:r>
        <w:rPr/>
        <w:t>saldo</w:t>
      </w:r>
      <w:r>
        <w:rPr>
          <w:spacing w:val="-12"/>
        </w:rPr>
        <w:t> </w:t>
      </w:r>
      <w:r>
        <w:rPr/>
        <w:t>de</w:t>
      </w:r>
      <w:r>
        <w:rPr>
          <w:spacing w:val="-15"/>
        </w:rPr>
        <w:t> </w:t>
      </w:r>
      <w:r>
        <w:rPr/>
        <w:t>cuenta</w:t>
      </w:r>
      <w:r>
        <w:rPr>
          <w:spacing w:val="-15"/>
        </w:rPr>
        <w:t> </w:t>
      </w:r>
      <w:r>
        <w:rPr/>
        <w:t>corriente</w:t>
      </w:r>
      <w:r>
        <w:rPr>
          <w:spacing w:val="-13"/>
        </w:rPr>
        <w:t> </w:t>
      </w:r>
      <w:r>
        <w:rPr/>
        <w:t>conserve la misma variación interanual del año pasado. Respecto al mercado laboral, se estima que el desempleo en EEUU cierre en una tasa del 3.5% en 2022, comparado con el 5.4% de</w:t>
      </w:r>
      <w:r>
        <w:rPr>
          <w:spacing w:val="-9"/>
        </w:rPr>
        <w:t> </w:t>
      </w:r>
      <w:r>
        <w:rPr/>
        <w:t>2021.</w:t>
      </w:r>
    </w:p>
    <w:p>
      <w:pPr>
        <w:pStyle w:val="BodyText"/>
        <w:spacing w:before="9"/>
        <w:rPr>
          <w:sz w:val="25"/>
        </w:rPr>
      </w:pPr>
    </w:p>
    <w:p>
      <w:pPr>
        <w:pStyle w:val="Heading2"/>
        <w:numPr>
          <w:ilvl w:val="2"/>
          <w:numId w:val="11"/>
        </w:numPr>
        <w:tabs>
          <w:tab w:pos="1694" w:val="left" w:leader="none"/>
          <w:tab w:pos="1695" w:val="left" w:leader="none"/>
        </w:tabs>
        <w:spacing w:line="240" w:lineRule="auto" w:before="1" w:after="0"/>
        <w:ind w:left="1694" w:right="0" w:hanging="721"/>
        <w:jc w:val="left"/>
      </w:pPr>
      <w:bookmarkStart w:name="_bookmark27" w:id="37"/>
      <w:bookmarkEnd w:id="37"/>
      <w:r>
        <w:rPr>
          <w:b w:val="0"/>
        </w:rPr>
      </w:r>
      <w:bookmarkStart w:name="_bookmark27" w:id="38"/>
      <w:bookmarkEnd w:id="38"/>
      <w:r>
        <w:rPr/>
        <w:t>C</w:t>
      </w:r>
      <w:r>
        <w:rPr/>
        <w:t>entroamérica y República</w:t>
      </w:r>
      <w:r>
        <w:rPr>
          <w:spacing w:val="-1"/>
        </w:rPr>
        <w:t> </w:t>
      </w:r>
      <w:r>
        <w:rPr/>
        <w:t>Dominicana</w:t>
      </w:r>
    </w:p>
    <w:p>
      <w:pPr>
        <w:pStyle w:val="BodyText"/>
        <w:spacing w:before="3"/>
        <w:rPr>
          <w:b/>
          <w:sz w:val="28"/>
        </w:rPr>
      </w:pPr>
    </w:p>
    <w:p>
      <w:pPr>
        <w:pStyle w:val="BodyText"/>
        <w:spacing w:line="276" w:lineRule="auto"/>
        <w:ind w:left="562" w:right="1696"/>
        <w:jc w:val="both"/>
      </w:pPr>
      <w:r>
        <w:rPr/>
        <w:t>En Centroamérica, según el FMI, el crecimiento se mantendrá sólido en 2022, en un 4,8%, debido a la mejora en las perspectivas respecto de la vacunación contra la COVID-19 y la entrada firme y continua</w:t>
      </w:r>
      <w:r>
        <w:rPr>
          <w:spacing w:val="-7"/>
        </w:rPr>
        <w:t> </w:t>
      </w:r>
      <w:r>
        <w:rPr/>
        <w:t>de</w:t>
      </w:r>
      <w:r>
        <w:rPr>
          <w:spacing w:val="-6"/>
        </w:rPr>
        <w:t> </w:t>
      </w:r>
      <w:r>
        <w:rPr/>
        <w:t>remesas.</w:t>
      </w:r>
      <w:r>
        <w:rPr>
          <w:spacing w:val="-5"/>
        </w:rPr>
        <w:t> </w:t>
      </w:r>
      <w:r>
        <w:rPr/>
        <w:t>Asimismo,</w:t>
      </w:r>
      <w:r>
        <w:rPr>
          <w:spacing w:val="-4"/>
        </w:rPr>
        <w:t> </w:t>
      </w:r>
      <w:r>
        <w:rPr/>
        <w:t>se</w:t>
      </w:r>
      <w:r>
        <w:rPr>
          <w:spacing w:val="-3"/>
        </w:rPr>
        <w:t> </w:t>
      </w:r>
      <w:r>
        <w:rPr/>
        <w:t>espera</w:t>
      </w:r>
      <w:r>
        <w:rPr>
          <w:spacing w:val="-7"/>
        </w:rPr>
        <w:t> </w:t>
      </w:r>
      <w:r>
        <w:rPr/>
        <w:t>que,</w:t>
      </w:r>
      <w:r>
        <w:rPr>
          <w:spacing w:val="-6"/>
        </w:rPr>
        <w:t> </w:t>
      </w:r>
      <w:r>
        <w:rPr/>
        <w:t>en</w:t>
      </w:r>
      <w:r>
        <w:rPr>
          <w:spacing w:val="-6"/>
        </w:rPr>
        <w:t> </w:t>
      </w:r>
      <w:r>
        <w:rPr/>
        <w:t>la</w:t>
      </w:r>
      <w:r>
        <w:rPr>
          <w:spacing w:val="-4"/>
        </w:rPr>
        <w:t> </w:t>
      </w:r>
      <w:r>
        <w:rPr/>
        <w:t>mayoría</w:t>
      </w:r>
      <w:r>
        <w:rPr>
          <w:spacing w:val="-3"/>
        </w:rPr>
        <w:t> </w:t>
      </w:r>
      <w:r>
        <w:rPr/>
        <w:t>de</w:t>
      </w:r>
      <w:r>
        <w:rPr>
          <w:spacing w:val="-4"/>
        </w:rPr>
        <w:t> </w:t>
      </w:r>
      <w:r>
        <w:rPr/>
        <w:t>los</w:t>
      </w:r>
      <w:r>
        <w:rPr>
          <w:spacing w:val="-3"/>
        </w:rPr>
        <w:t> </w:t>
      </w:r>
      <w:r>
        <w:rPr/>
        <w:t>países</w:t>
      </w:r>
      <w:r>
        <w:rPr>
          <w:spacing w:val="-5"/>
        </w:rPr>
        <w:t> </w:t>
      </w:r>
      <w:r>
        <w:rPr/>
        <w:t>del</w:t>
      </w:r>
      <w:r>
        <w:rPr>
          <w:spacing w:val="-6"/>
        </w:rPr>
        <w:t> </w:t>
      </w:r>
      <w:r>
        <w:rPr/>
        <w:t>Caribe,</w:t>
      </w:r>
      <w:r>
        <w:rPr>
          <w:spacing w:val="-6"/>
        </w:rPr>
        <w:t> </w:t>
      </w:r>
      <w:r>
        <w:rPr/>
        <w:t>el</w:t>
      </w:r>
      <w:r>
        <w:rPr>
          <w:spacing w:val="-5"/>
        </w:rPr>
        <w:t> </w:t>
      </w:r>
      <w:r>
        <w:rPr/>
        <w:t>crecimiento se acelerará en 2022 como resultado del repunte previsto en el turismo</w:t>
      </w:r>
      <w:r>
        <w:rPr>
          <w:spacing w:val="-15"/>
        </w:rPr>
        <w:t> </w:t>
      </w:r>
      <w:r>
        <w:rPr/>
        <w:t>internacional.</w:t>
      </w:r>
    </w:p>
    <w:p>
      <w:pPr>
        <w:spacing w:after="0" w:line="276" w:lineRule="auto"/>
        <w:jc w:val="both"/>
        <w:sectPr>
          <w:pgSz w:w="12240" w:h="15840"/>
          <w:pgMar w:header="715" w:footer="957" w:top="1240" w:bottom="1140" w:left="1140" w:right="0"/>
        </w:sectPr>
      </w:pPr>
    </w:p>
    <w:p>
      <w:pPr>
        <w:pStyle w:val="BodyText"/>
        <w:spacing w:line="276" w:lineRule="auto" w:before="162"/>
        <w:ind w:left="562" w:right="1695"/>
        <w:jc w:val="both"/>
      </w:pPr>
      <w:r>
        <w:rPr/>
        <w:t>De</w:t>
      </w:r>
      <w:r>
        <w:rPr>
          <w:spacing w:val="-5"/>
        </w:rPr>
        <w:t> </w:t>
      </w:r>
      <w:r>
        <w:rPr/>
        <w:t>acuerdo</w:t>
      </w:r>
      <w:r>
        <w:rPr>
          <w:spacing w:val="-5"/>
        </w:rPr>
        <w:t> </w:t>
      </w:r>
      <w:r>
        <w:rPr/>
        <w:t>a</w:t>
      </w:r>
      <w:r>
        <w:rPr>
          <w:spacing w:val="-7"/>
        </w:rPr>
        <w:t> </w:t>
      </w:r>
      <w:r>
        <w:rPr/>
        <w:t>la</w:t>
      </w:r>
      <w:r>
        <w:rPr>
          <w:spacing w:val="-7"/>
        </w:rPr>
        <w:t> </w:t>
      </w:r>
      <w:r>
        <w:rPr/>
        <w:t>perspectiva</w:t>
      </w:r>
      <w:r>
        <w:rPr>
          <w:spacing w:val="-4"/>
        </w:rPr>
        <w:t> </w:t>
      </w:r>
      <w:r>
        <w:rPr/>
        <w:t>del</w:t>
      </w:r>
      <w:r>
        <w:rPr>
          <w:spacing w:val="-5"/>
        </w:rPr>
        <w:t> </w:t>
      </w:r>
      <w:r>
        <w:rPr/>
        <w:t>Banco</w:t>
      </w:r>
      <w:r>
        <w:rPr>
          <w:spacing w:val="-7"/>
        </w:rPr>
        <w:t> </w:t>
      </w:r>
      <w:r>
        <w:rPr/>
        <w:t>Mundial,</w:t>
      </w:r>
      <w:r>
        <w:rPr>
          <w:spacing w:val="-5"/>
        </w:rPr>
        <w:t> </w:t>
      </w:r>
      <w:r>
        <w:rPr/>
        <w:t>Panamá</w:t>
      </w:r>
      <w:r>
        <w:rPr>
          <w:spacing w:val="-4"/>
        </w:rPr>
        <w:t> </w:t>
      </w:r>
      <w:r>
        <w:rPr/>
        <w:t>continuará</w:t>
      </w:r>
      <w:r>
        <w:rPr>
          <w:spacing w:val="-4"/>
        </w:rPr>
        <w:t> </w:t>
      </w:r>
      <w:r>
        <w:rPr/>
        <w:t>como</w:t>
      </w:r>
      <w:r>
        <w:rPr>
          <w:spacing w:val="-6"/>
        </w:rPr>
        <w:t> </w:t>
      </w:r>
      <w:r>
        <w:rPr/>
        <w:t>la</w:t>
      </w:r>
      <w:r>
        <w:rPr>
          <w:spacing w:val="-4"/>
        </w:rPr>
        <w:t> </w:t>
      </w:r>
      <w:r>
        <w:rPr/>
        <w:t>nación</w:t>
      </w:r>
      <w:r>
        <w:rPr>
          <w:spacing w:val="-5"/>
        </w:rPr>
        <w:t> </w:t>
      </w:r>
      <w:r>
        <w:rPr/>
        <w:t>centroamericana con</w:t>
      </w:r>
      <w:r>
        <w:rPr>
          <w:spacing w:val="-4"/>
        </w:rPr>
        <w:t> </w:t>
      </w:r>
      <w:r>
        <w:rPr/>
        <w:t>el</w:t>
      </w:r>
      <w:r>
        <w:rPr>
          <w:spacing w:val="-3"/>
        </w:rPr>
        <w:t> </w:t>
      </w:r>
      <w:r>
        <w:rPr/>
        <w:t>mejor</w:t>
      </w:r>
      <w:r>
        <w:rPr>
          <w:spacing w:val="-5"/>
        </w:rPr>
        <w:t> </w:t>
      </w:r>
      <w:r>
        <w:rPr/>
        <w:t>crecimiento</w:t>
      </w:r>
      <w:r>
        <w:rPr>
          <w:spacing w:val="-3"/>
        </w:rPr>
        <w:t> </w:t>
      </w:r>
      <w:r>
        <w:rPr/>
        <w:t>para</w:t>
      </w:r>
      <w:r>
        <w:rPr>
          <w:spacing w:val="-3"/>
        </w:rPr>
        <w:t> </w:t>
      </w:r>
      <w:r>
        <w:rPr/>
        <w:t>2022,</w:t>
      </w:r>
      <w:r>
        <w:rPr>
          <w:spacing w:val="-4"/>
        </w:rPr>
        <w:t> </w:t>
      </w:r>
      <w:r>
        <w:rPr/>
        <w:t>ya</w:t>
      </w:r>
      <w:r>
        <w:rPr>
          <w:spacing w:val="-3"/>
        </w:rPr>
        <w:t> </w:t>
      </w:r>
      <w:r>
        <w:rPr/>
        <w:t>que</w:t>
      </w:r>
      <w:r>
        <w:rPr>
          <w:spacing w:val="-2"/>
        </w:rPr>
        <w:t> </w:t>
      </w:r>
      <w:r>
        <w:rPr/>
        <w:t>se</w:t>
      </w:r>
      <w:r>
        <w:rPr>
          <w:spacing w:val="-3"/>
        </w:rPr>
        <w:t> </w:t>
      </w:r>
      <w:r>
        <w:rPr/>
        <w:t>prevé</w:t>
      </w:r>
      <w:r>
        <w:rPr>
          <w:spacing w:val="-3"/>
        </w:rPr>
        <w:t> </w:t>
      </w:r>
      <w:r>
        <w:rPr/>
        <w:t>que</w:t>
      </w:r>
      <w:r>
        <w:rPr>
          <w:spacing w:val="-3"/>
        </w:rPr>
        <w:t> </w:t>
      </w:r>
      <w:r>
        <w:rPr/>
        <w:t>tenga</w:t>
      </w:r>
      <w:r>
        <w:rPr>
          <w:spacing w:val="-2"/>
        </w:rPr>
        <w:t> </w:t>
      </w:r>
      <w:r>
        <w:rPr/>
        <w:t>un</w:t>
      </w:r>
      <w:r>
        <w:rPr>
          <w:spacing w:val="-4"/>
        </w:rPr>
        <w:t> </w:t>
      </w:r>
      <w:r>
        <w:rPr/>
        <w:t>Producto</w:t>
      </w:r>
      <w:r>
        <w:rPr>
          <w:spacing w:val="-4"/>
        </w:rPr>
        <w:t> </w:t>
      </w:r>
      <w:r>
        <w:rPr/>
        <w:t>Interno</w:t>
      </w:r>
      <w:r>
        <w:rPr>
          <w:spacing w:val="-6"/>
        </w:rPr>
        <w:t> </w:t>
      </w:r>
      <w:r>
        <w:rPr/>
        <w:t>Bruto</w:t>
      </w:r>
      <w:r>
        <w:rPr>
          <w:spacing w:val="-1"/>
        </w:rPr>
        <w:t> </w:t>
      </w:r>
      <w:r>
        <w:rPr/>
        <w:t>Real</w:t>
      </w:r>
      <w:r>
        <w:rPr>
          <w:spacing w:val="-3"/>
        </w:rPr>
        <w:t> </w:t>
      </w:r>
      <w:r>
        <w:rPr/>
        <w:t>(PIB) de</w:t>
      </w:r>
      <w:r>
        <w:rPr>
          <w:spacing w:val="-14"/>
        </w:rPr>
        <w:t> </w:t>
      </w:r>
      <w:r>
        <w:rPr/>
        <w:t>7.5%,</w:t>
      </w:r>
      <w:r>
        <w:rPr>
          <w:spacing w:val="-13"/>
        </w:rPr>
        <w:t> </w:t>
      </w:r>
      <w:r>
        <w:rPr/>
        <w:t>mientras</w:t>
      </w:r>
      <w:r>
        <w:rPr>
          <w:spacing w:val="-14"/>
        </w:rPr>
        <w:t> </w:t>
      </w:r>
      <w:r>
        <w:rPr/>
        <w:t>que</w:t>
      </w:r>
      <w:r>
        <w:rPr>
          <w:spacing w:val="-13"/>
        </w:rPr>
        <w:t> </w:t>
      </w:r>
      <w:r>
        <w:rPr/>
        <w:t>le</w:t>
      </w:r>
      <w:r>
        <w:rPr>
          <w:spacing w:val="-14"/>
        </w:rPr>
        <w:t> </w:t>
      </w:r>
      <w:r>
        <w:rPr/>
        <w:t>seguirá</w:t>
      </w:r>
      <w:r>
        <w:rPr>
          <w:spacing w:val="-13"/>
        </w:rPr>
        <w:t> </w:t>
      </w:r>
      <w:r>
        <w:rPr/>
        <w:t>El</w:t>
      </w:r>
      <w:r>
        <w:rPr>
          <w:spacing w:val="-14"/>
        </w:rPr>
        <w:t> </w:t>
      </w:r>
      <w:r>
        <w:rPr/>
        <w:t>Salvador</w:t>
      </w:r>
      <w:r>
        <w:rPr>
          <w:spacing w:val="-14"/>
        </w:rPr>
        <w:t> </w:t>
      </w:r>
      <w:r>
        <w:rPr/>
        <w:t>con</w:t>
      </w:r>
      <w:r>
        <w:rPr>
          <w:spacing w:val="-14"/>
        </w:rPr>
        <w:t> </w:t>
      </w:r>
      <w:r>
        <w:rPr/>
        <w:t>un</w:t>
      </w:r>
      <w:r>
        <w:rPr>
          <w:spacing w:val="-13"/>
        </w:rPr>
        <w:t> </w:t>
      </w:r>
      <w:r>
        <w:rPr/>
        <w:t>crecimiento</w:t>
      </w:r>
      <w:r>
        <w:rPr>
          <w:spacing w:val="-14"/>
        </w:rPr>
        <w:t> </w:t>
      </w:r>
      <w:r>
        <w:rPr/>
        <w:t>de</w:t>
      </w:r>
      <w:r>
        <w:rPr>
          <w:spacing w:val="-10"/>
        </w:rPr>
        <w:t> </w:t>
      </w:r>
      <w:r>
        <w:rPr/>
        <w:t>3.0%.</w:t>
      </w:r>
      <w:r>
        <w:rPr>
          <w:spacing w:val="-14"/>
        </w:rPr>
        <w:t> </w:t>
      </w:r>
      <w:r>
        <w:rPr/>
        <w:t>A</w:t>
      </w:r>
      <w:r>
        <w:rPr>
          <w:spacing w:val="-14"/>
        </w:rPr>
        <w:t> </w:t>
      </w:r>
      <w:r>
        <w:rPr/>
        <w:t>pesar</w:t>
      </w:r>
      <w:r>
        <w:rPr>
          <w:spacing w:val="-14"/>
        </w:rPr>
        <w:t> </w:t>
      </w:r>
      <w:r>
        <w:rPr/>
        <w:t>de</w:t>
      </w:r>
      <w:r>
        <w:rPr>
          <w:spacing w:val="-13"/>
        </w:rPr>
        <w:t> </w:t>
      </w:r>
      <w:r>
        <w:rPr/>
        <w:t>que</w:t>
      </w:r>
      <w:r>
        <w:rPr>
          <w:spacing w:val="-14"/>
        </w:rPr>
        <w:t> </w:t>
      </w:r>
      <w:r>
        <w:rPr/>
        <w:t>su</w:t>
      </w:r>
      <w:r>
        <w:rPr>
          <w:spacing w:val="-13"/>
        </w:rPr>
        <w:t> </w:t>
      </w:r>
      <w:r>
        <w:rPr/>
        <w:t>economía es de las más robustas en Centroamérica, Costa Rica tendrá una contracción de 3.3% para 2022, comparada</w:t>
      </w:r>
      <w:r>
        <w:rPr>
          <w:spacing w:val="-10"/>
        </w:rPr>
        <w:t> </w:t>
      </w:r>
      <w:r>
        <w:rPr/>
        <w:t>al</w:t>
      </w:r>
      <w:r>
        <w:rPr>
          <w:spacing w:val="-10"/>
        </w:rPr>
        <w:t> </w:t>
      </w:r>
      <w:r>
        <w:rPr/>
        <w:t>7.6%</w:t>
      </w:r>
      <w:r>
        <w:rPr>
          <w:spacing w:val="-10"/>
        </w:rPr>
        <w:t> </w:t>
      </w:r>
      <w:r>
        <w:rPr/>
        <w:t>del</w:t>
      </w:r>
      <w:r>
        <w:rPr>
          <w:spacing w:val="-10"/>
        </w:rPr>
        <w:t> </w:t>
      </w:r>
      <w:r>
        <w:rPr/>
        <w:t>año</w:t>
      </w:r>
      <w:r>
        <w:rPr>
          <w:spacing w:val="-13"/>
        </w:rPr>
        <w:t> </w:t>
      </w:r>
      <w:r>
        <w:rPr/>
        <w:t>pasado.</w:t>
      </w:r>
      <w:r>
        <w:rPr>
          <w:spacing w:val="-11"/>
        </w:rPr>
        <w:t> </w:t>
      </w:r>
      <w:r>
        <w:rPr/>
        <w:t>Honduras</w:t>
      </w:r>
      <w:r>
        <w:rPr>
          <w:spacing w:val="-9"/>
        </w:rPr>
        <w:t> </w:t>
      </w:r>
      <w:r>
        <w:rPr/>
        <w:t>y</w:t>
      </w:r>
      <w:r>
        <w:rPr>
          <w:spacing w:val="-13"/>
        </w:rPr>
        <w:t> </w:t>
      </w:r>
      <w:r>
        <w:rPr/>
        <w:t>Nicaragua</w:t>
      </w:r>
      <w:r>
        <w:rPr>
          <w:spacing w:val="-10"/>
        </w:rPr>
        <w:t> </w:t>
      </w:r>
      <w:r>
        <w:rPr/>
        <w:t>tendrán</w:t>
      </w:r>
      <w:r>
        <w:rPr>
          <w:spacing w:val="-10"/>
        </w:rPr>
        <w:t> </w:t>
      </w:r>
      <w:r>
        <w:rPr/>
        <w:t>crecimiento</w:t>
      </w:r>
      <w:r>
        <w:rPr>
          <w:spacing w:val="-11"/>
        </w:rPr>
        <w:t> </w:t>
      </w:r>
      <w:r>
        <w:rPr/>
        <w:t>de</w:t>
      </w:r>
      <w:r>
        <w:rPr>
          <w:spacing w:val="-12"/>
        </w:rPr>
        <w:t> </w:t>
      </w:r>
      <w:r>
        <w:rPr/>
        <w:t>3.8%,</w:t>
      </w:r>
      <w:r>
        <w:rPr>
          <w:spacing w:val="-11"/>
        </w:rPr>
        <w:t> </w:t>
      </w:r>
      <w:r>
        <w:rPr/>
        <w:t>mientras</w:t>
      </w:r>
      <w:r>
        <w:rPr>
          <w:spacing w:val="-13"/>
        </w:rPr>
        <w:t> </w:t>
      </w:r>
      <w:r>
        <w:rPr/>
        <w:t>que República Dominicana tendrá un crecimiento de</w:t>
      </w:r>
      <w:r>
        <w:rPr>
          <w:spacing w:val="-3"/>
        </w:rPr>
        <w:t> </w:t>
      </w:r>
      <w:r>
        <w:rPr/>
        <w:t>5.5%.</w:t>
      </w:r>
    </w:p>
    <w:p>
      <w:pPr>
        <w:pStyle w:val="BodyText"/>
        <w:spacing w:line="276" w:lineRule="auto" w:before="160"/>
        <w:ind w:left="562" w:right="1695"/>
        <w:jc w:val="both"/>
      </w:pPr>
      <w:r>
        <w:rPr/>
        <w:t>El saldo de cuenta corriente y los precios al consumidor se proyectan en -3.1% y 5.8%, respectivamente. Nicaragua para fin del período, presenta los precios al consumidor más altos de Centroamérica con 8.5%, comparada al 7.2% del año pasado, República Dominicana presenta proyecciones de precios al consumidor de 6.9%.</w:t>
      </w:r>
    </w:p>
    <w:p>
      <w:pPr>
        <w:pStyle w:val="BodyText"/>
        <w:spacing w:before="9"/>
        <w:rPr>
          <w:sz w:val="25"/>
        </w:rPr>
      </w:pPr>
    </w:p>
    <w:p>
      <w:pPr>
        <w:pStyle w:val="Heading2"/>
        <w:numPr>
          <w:ilvl w:val="2"/>
          <w:numId w:val="11"/>
        </w:numPr>
        <w:tabs>
          <w:tab w:pos="1694" w:val="left" w:leader="none"/>
          <w:tab w:pos="1695" w:val="left" w:leader="none"/>
        </w:tabs>
        <w:spacing w:line="240" w:lineRule="auto" w:before="0" w:after="0"/>
        <w:ind w:left="1694" w:right="0" w:hanging="721"/>
        <w:jc w:val="left"/>
      </w:pPr>
      <w:bookmarkStart w:name="_bookmark28" w:id="39"/>
      <w:bookmarkEnd w:id="39"/>
      <w:r>
        <w:rPr>
          <w:b w:val="0"/>
        </w:rPr>
      </w:r>
      <w:bookmarkStart w:name="_bookmark28" w:id="40"/>
      <w:bookmarkEnd w:id="40"/>
      <w:r>
        <w:rPr/>
        <w:t>M</w:t>
      </w:r>
      <w:r>
        <w:rPr/>
        <w:t>éxico</w:t>
      </w:r>
    </w:p>
    <w:p>
      <w:pPr>
        <w:pStyle w:val="BodyText"/>
        <w:spacing w:before="4"/>
        <w:rPr>
          <w:b/>
          <w:sz w:val="28"/>
        </w:rPr>
      </w:pPr>
    </w:p>
    <w:p>
      <w:pPr>
        <w:pStyle w:val="BodyText"/>
        <w:spacing w:line="276" w:lineRule="auto"/>
        <w:ind w:left="562" w:right="1691"/>
        <w:jc w:val="both"/>
      </w:pPr>
      <w:r>
        <w:rPr/>
        <w:t>Se proyecta que esta economía crezca 2,3% en 2022 después de crecer un 4.8% en 2021. Las exportaciones seguirán beneficiándose de la fuerte recuperación de Estados Unidos. Se apoyará el consumo por la mejora gradual en el mercado laboral y la creciente proporción de la población que se está vacunando. La inversión se beneficiará de los proyectos de infraestructura previstos. Los precios al consumidor aumentaran a 6.8%, mientras que el saldo de cuenta corriente se proyecta en - 0.6%.</w:t>
      </w:r>
    </w:p>
    <w:p>
      <w:pPr>
        <w:pStyle w:val="BodyText"/>
        <w:spacing w:before="5"/>
        <w:rPr>
          <w:sz w:val="25"/>
        </w:rPr>
      </w:pPr>
    </w:p>
    <w:p>
      <w:pPr>
        <w:pStyle w:val="BodyText"/>
        <w:spacing w:line="276" w:lineRule="auto"/>
        <w:ind w:left="562" w:right="1695"/>
        <w:jc w:val="both"/>
      </w:pPr>
      <w:r>
        <w:rPr/>
        <w:t>Las</w:t>
      </w:r>
      <w:r>
        <w:rPr>
          <w:spacing w:val="-4"/>
        </w:rPr>
        <w:t> </w:t>
      </w:r>
      <w:r>
        <w:rPr/>
        <w:t>perspectivas</w:t>
      </w:r>
      <w:r>
        <w:rPr>
          <w:spacing w:val="-3"/>
        </w:rPr>
        <w:t> </w:t>
      </w:r>
      <w:r>
        <w:rPr/>
        <w:t>de</w:t>
      </w:r>
      <w:r>
        <w:rPr>
          <w:spacing w:val="-5"/>
        </w:rPr>
        <w:t> </w:t>
      </w:r>
      <w:r>
        <w:rPr/>
        <w:t>inflación</w:t>
      </w:r>
      <w:r>
        <w:rPr>
          <w:spacing w:val="-2"/>
        </w:rPr>
        <w:t> </w:t>
      </w:r>
      <w:r>
        <w:rPr/>
        <w:t>proyectadas</w:t>
      </w:r>
      <w:r>
        <w:rPr>
          <w:spacing w:val="-3"/>
        </w:rPr>
        <w:t> </w:t>
      </w:r>
      <w:r>
        <w:rPr/>
        <w:t>de</w:t>
      </w:r>
      <w:r>
        <w:rPr>
          <w:spacing w:val="-3"/>
        </w:rPr>
        <w:t> </w:t>
      </w:r>
      <w:r>
        <w:rPr/>
        <w:t>4.1%</w:t>
      </w:r>
      <w:r>
        <w:rPr>
          <w:spacing w:val="-3"/>
        </w:rPr>
        <w:t> </w:t>
      </w:r>
      <w:r>
        <w:rPr/>
        <w:t>siguen</w:t>
      </w:r>
      <w:r>
        <w:rPr>
          <w:spacing w:val="-3"/>
        </w:rPr>
        <w:t> </w:t>
      </w:r>
      <w:r>
        <w:rPr/>
        <w:t>siendo</w:t>
      </w:r>
      <w:r>
        <w:rPr>
          <w:spacing w:val="-4"/>
        </w:rPr>
        <w:t> </w:t>
      </w:r>
      <w:r>
        <w:rPr/>
        <w:t>muy</w:t>
      </w:r>
      <w:r>
        <w:rPr>
          <w:spacing w:val="-6"/>
        </w:rPr>
        <w:t> </w:t>
      </w:r>
      <w:r>
        <w:rPr/>
        <w:t>inciertas</w:t>
      </w:r>
      <w:r>
        <w:rPr>
          <w:spacing w:val="-2"/>
        </w:rPr>
        <w:t> </w:t>
      </w:r>
      <w:r>
        <w:rPr/>
        <w:t>y</w:t>
      </w:r>
      <w:r>
        <w:rPr>
          <w:spacing w:val="-5"/>
        </w:rPr>
        <w:t> </w:t>
      </w:r>
      <w:r>
        <w:rPr/>
        <w:t>sujetas</w:t>
      </w:r>
      <w:r>
        <w:rPr>
          <w:spacing w:val="-4"/>
        </w:rPr>
        <w:t> </w:t>
      </w:r>
      <w:r>
        <w:rPr/>
        <w:t>a</w:t>
      </w:r>
      <w:r>
        <w:rPr>
          <w:spacing w:val="-3"/>
        </w:rPr>
        <w:t> </w:t>
      </w:r>
      <w:r>
        <w:rPr/>
        <w:t>riesgos</w:t>
      </w:r>
      <w:r>
        <w:rPr>
          <w:spacing w:val="-3"/>
        </w:rPr>
        <w:t> </w:t>
      </w:r>
      <w:r>
        <w:rPr/>
        <w:t>de endurecimiento de la política monetaria y al aumento significativamente los contagios, que podría provocar el restablecimiento de las medidas de confinamiento, obstaculizando la actividad económica.</w:t>
      </w:r>
    </w:p>
    <w:p>
      <w:pPr>
        <w:pStyle w:val="BodyText"/>
        <w:spacing w:before="9"/>
        <w:rPr>
          <w:sz w:val="25"/>
        </w:rPr>
      </w:pPr>
    </w:p>
    <w:p>
      <w:pPr>
        <w:pStyle w:val="Heading2"/>
        <w:numPr>
          <w:ilvl w:val="2"/>
          <w:numId w:val="11"/>
        </w:numPr>
        <w:tabs>
          <w:tab w:pos="1694" w:val="left" w:leader="none"/>
          <w:tab w:pos="1695" w:val="left" w:leader="none"/>
        </w:tabs>
        <w:spacing w:line="240" w:lineRule="auto" w:before="0" w:after="0"/>
        <w:ind w:left="1694" w:right="0" w:hanging="721"/>
        <w:jc w:val="left"/>
      </w:pPr>
      <w:bookmarkStart w:name="_bookmark29" w:id="41"/>
      <w:bookmarkEnd w:id="41"/>
      <w:r>
        <w:rPr>
          <w:b w:val="0"/>
        </w:rPr>
      </w:r>
      <w:bookmarkStart w:name="_bookmark29" w:id="42"/>
      <w:bookmarkEnd w:id="42"/>
      <w:r>
        <w:rPr/>
        <w:t>Z</w:t>
      </w:r>
      <w:r>
        <w:rPr/>
        <w:t>ona del</w:t>
      </w:r>
      <w:r>
        <w:rPr>
          <w:spacing w:val="-1"/>
        </w:rPr>
        <w:t> </w:t>
      </w:r>
      <w:r>
        <w:rPr/>
        <w:t>Euro</w:t>
      </w:r>
    </w:p>
    <w:p>
      <w:pPr>
        <w:pStyle w:val="BodyText"/>
        <w:spacing w:before="4"/>
        <w:rPr>
          <w:b/>
          <w:sz w:val="28"/>
        </w:rPr>
      </w:pPr>
    </w:p>
    <w:p>
      <w:pPr>
        <w:pStyle w:val="BodyText"/>
        <w:spacing w:line="276" w:lineRule="auto"/>
        <w:ind w:left="562" w:right="1693"/>
        <w:jc w:val="both"/>
      </w:pPr>
      <w:r>
        <w:rPr/>
        <w:t>Al</w:t>
      </w:r>
      <w:r>
        <w:rPr>
          <w:spacing w:val="-10"/>
        </w:rPr>
        <w:t> </w:t>
      </w:r>
      <w:r>
        <w:rPr/>
        <w:t>ser</w:t>
      </w:r>
      <w:r>
        <w:rPr>
          <w:spacing w:val="-13"/>
        </w:rPr>
        <w:t> </w:t>
      </w:r>
      <w:r>
        <w:rPr/>
        <w:t>importador</w:t>
      </w:r>
      <w:r>
        <w:rPr>
          <w:spacing w:val="-10"/>
        </w:rPr>
        <w:t> </w:t>
      </w:r>
      <w:r>
        <w:rPr/>
        <w:t>neto</w:t>
      </w:r>
      <w:r>
        <w:rPr>
          <w:spacing w:val="-10"/>
        </w:rPr>
        <w:t> </w:t>
      </w:r>
      <w:r>
        <w:rPr/>
        <w:t>de</w:t>
      </w:r>
      <w:r>
        <w:rPr>
          <w:spacing w:val="-11"/>
        </w:rPr>
        <w:t> </w:t>
      </w:r>
      <w:r>
        <w:rPr/>
        <w:t>energía,</w:t>
      </w:r>
      <w:r>
        <w:rPr>
          <w:spacing w:val="-10"/>
        </w:rPr>
        <w:t> </w:t>
      </w:r>
      <w:r>
        <w:rPr/>
        <w:t>la</w:t>
      </w:r>
      <w:r>
        <w:rPr>
          <w:spacing w:val="-10"/>
        </w:rPr>
        <w:t> </w:t>
      </w:r>
      <w:r>
        <w:rPr/>
        <w:t>zona</w:t>
      </w:r>
      <w:r>
        <w:rPr>
          <w:spacing w:val="-10"/>
        </w:rPr>
        <w:t> </w:t>
      </w:r>
      <w:r>
        <w:rPr/>
        <w:t>del</w:t>
      </w:r>
      <w:r>
        <w:rPr>
          <w:spacing w:val="-12"/>
        </w:rPr>
        <w:t> </w:t>
      </w:r>
      <w:r>
        <w:rPr/>
        <w:t>euro</w:t>
      </w:r>
      <w:r>
        <w:rPr>
          <w:spacing w:val="-11"/>
        </w:rPr>
        <w:t> </w:t>
      </w:r>
      <w:r>
        <w:rPr/>
        <w:t>se</w:t>
      </w:r>
      <w:r>
        <w:rPr>
          <w:spacing w:val="-9"/>
        </w:rPr>
        <w:t> </w:t>
      </w:r>
      <w:r>
        <w:rPr/>
        <w:t>ve</w:t>
      </w:r>
      <w:r>
        <w:rPr>
          <w:spacing w:val="-10"/>
        </w:rPr>
        <w:t> </w:t>
      </w:r>
      <w:r>
        <w:rPr/>
        <w:t>directamente</w:t>
      </w:r>
      <w:r>
        <w:rPr>
          <w:spacing w:val="-10"/>
        </w:rPr>
        <w:t> </w:t>
      </w:r>
      <w:r>
        <w:rPr/>
        <w:t>afectado</w:t>
      </w:r>
      <w:r>
        <w:rPr>
          <w:spacing w:val="-10"/>
        </w:rPr>
        <w:t> </w:t>
      </w:r>
      <w:r>
        <w:rPr/>
        <w:t>por</w:t>
      </w:r>
      <w:r>
        <w:rPr>
          <w:spacing w:val="-12"/>
        </w:rPr>
        <w:t> </w:t>
      </w:r>
      <w:r>
        <w:rPr/>
        <w:t>el</w:t>
      </w:r>
      <w:r>
        <w:rPr>
          <w:spacing w:val="-10"/>
        </w:rPr>
        <w:t> </w:t>
      </w:r>
      <w:r>
        <w:rPr/>
        <w:t>conflicto</w:t>
      </w:r>
      <w:r>
        <w:rPr>
          <w:spacing w:val="-11"/>
        </w:rPr>
        <w:t> </w:t>
      </w:r>
      <w:r>
        <w:rPr/>
        <w:t>Rusia- Ucrania</w:t>
      </w:r>
      <w:r>
        <w:rPr>
          <w:spacing w:val="-8"/>
        </w:rPr>
        <w:t> </w:t>
      </w:r>
      <w:r>
        <w:rPr/>
        <w:t>y</w:t>
      </w:r>
      <w:r>
        <w:rPr>
          <w:spacing w:val="-11"/>
        </w:rPr>
        <w:t> </w:t>
      </w:r>
      <w:r>
        <w:rPr/>
        <w:t>queda</w:t>
      </w:r>
      <w:r>
        <w:rPr>
          <w:spacing w:val="-10"/>
        </w:rPr>
        <w:t> </w:t>
      </w:r>
      <w:r>
        <w:rPr/>
        <w:t>sujeta</w:t>
      </w:r>
      <w:r>
        <w:rPr>
          <w:spacing w:val="-11"/>
        </w:rPr>
        <w:t> </w:t>
      </w:r>
      <w:r>
        <w:rPr/>
        <w:t>al</w:t>
      </w:r>
      <w:r>
        <w:rPr>
          <w:spacing w:val="-10"/>
        </w:rPr>
        <w:t> </w:t>
      </w:r>
      <w:r>
        <w:rPr/>
        <w:t>aumento</w:t>
      </w:r>
      <w:r>
        <w:rPr>
          <w:spacing w:val="-8"/>
        </w:rPr>
        <w:t> </w:t>
      </w:r>
      <w:r>
        <w:rPr/>
        <w:t>de</w:t>
      </w:r>
      <w:r>
        <w:rPr>
          <w:spacing w:val="-8"/>
        </w:rPr>
        <w:t> </w:t>
      </w:r>
      <w:r>
        <w:rPr/>
        <w:t>los</w:t>
      </w:r>
      <w:r>
        <w:rPr>
          <w:spacing w:val="-10"/>
        </w:rPr>
        <w:t> </w:t>
      </w:r>
      <w:r>
        <w:rPr/>
        <w:t>precios</w:t>
      </w:r>
      <w:r>
        <w:rPr>
          <w:spacing w:val="-8"/>
        </w:rPr>
        <w:t> </w:t>
      </w:r>
      <w:r>
        <w:rPr/>
        <w:t>mundiales,</w:t>
      </w:r>
      <w:r>
        <w:rPr>
          <w:spacing w:val="-9"/>
        </w:rPr>
        <w:t> </w:t>
      </w:r>
      <w:r>
        <w:rPr/>
        <w:t>afectado</w:t>
      </w:r>
      <w:r>
        <w:rPr>
          <w:spacing w:val="-8"/>
        </w:rPr>
        <w:t> </w:t>
      </w:r>
      <w:r>
        <w:rPr/>
        <w:t>negativamente</w:t>
      </w:r>
      <w:r>
        <w:rPr>
          <w:spacing w:val="-4"/>
        </w:rPr>
        <w:t> </w:t>
      </w:r>
      <w:r>
        <w:rPr/>
        <w:t>por</w:t>
      </w:r>
      <w:r>
        <w:rPr>
          <w:spacing w:val="-8"/>
        </w:rPr>
        <w:t> </w:t>
      </w:r>
      <w:r>
        <w:rPr/>
        <w:t>los</w:t>
      </w:r>
      <w:r>
        <w:rPr>
          <w:spacing w:val="-10"/>
        </w:rPr>
        <w:t> </w:t>
      </w:r>
      <w:r>
        <w:rPr/>
        <w:t>términos de intercambio. Las interrupciones en la cadena de suministros también han afectado las industrias de automóviles y de alimentos. En consecuencia, se espera que el crecimiento de la zona del euro en 2022</w:t>
      </w:r>
      <w:r>
        <w:rPr>
          <w:spacing w:val="-7"/>
        </w:rPr>
        <w:t> </w:t>
      </w:r>
      <w:r>
        <w:rPr/>
        <w:t>sea</w:t>
      </w:r>
      <w:r>
        <w:rPr>
          <w:spacing w:val="-6"/>
        </w:rPr>
        <w:t> </w:t>
      </w:r>
      <w:r>
        <w:rPr/>
        <w:t>a</w:t>
      </w:r>
      <w:r>
        <w:rPr>
          <w:spacing w:val="-9"/>
        </w:rPr>
        <w:t> </w:t>
      </w:r>
      <w:r>
        <w:rPr/>
        <w:t>la</w:t>
      </w:r>
      <w:r>
        <w:rPr>
          <w:spacing w:val="-8"/>
        </w:rPr>
        <w:t> </w:t>
      </w:r>
      <w:r>
        <w:rPr/>
        <w:t>baja,</w:t>
      </w:r>
      <w:r>
        <w:rPr>
          <w:spacing w:val="-7"/>
        </w:rPr>
        <w:t> </w:t>
      </w:r>
      <w:r>
        <w:rPr/>
        <w:t>ubicándose</w:t>
      </w:r>
      <w:r>
        <w:rPr>
          <w:spacing w:val="-6"/>
        </w:rPr>
        <w:t> </w:t>
      </w:r>
      <w:r>
        <w:rPr/>
        <w:t>en</w:t>
      </w:r>
      <w:r>
        <w:rPr>
          <w:spacing w:val="-8"/>
        </w:rPr>
        <w:t> </w:t>
      </w:r>
      <w:r>
        <w:rPr/>
        <w:t>2.8%,</w:t>
      </w:r>
      <w:r>
        <w:rPr>
          <w:spacing w:val="-6"/>
        </w:rPr>
        <w:t> </w:t>
      </w:r>
      <w:r>
        <w:rPr/>
        <w:t>siendo</w:t>
      </w:r>
      <w:r>
        <w:rPr>
          <w:spacing w:val="-9"/>
        </w:rPr>
        <w:t> </w:t>
      </w:r>
      <w:r>
        <w:rPr/>
        <w:t>Alemania</w:t>
      </w:r>
      <w:r>
        <w:rPr>
          <w:spacing w:val="-6"/>
        </w:rPr>
        <w:t> </w:t>
      </w:r>
      <w:r>
        <w:rPr/>
        <w:t>e</w:t>
      </w:r>
      <w:r>
        <w:rPr>
          <w:spacing w:val="-7"/>
        </w:rPr>
        <w:t> </w:t>
      </w:r>
      <w:r>
        <w:rPr/>
        <w:t>Italia,</w:t>
      </w:r>
      <w:r>
        <w:rPr>
          <w:spacing w:val="-6"/>
        </w:rPr>
        <w:t> </w:t>
      </w:r>
      <w:r>
        <w:rPr/>
        <w:t>como</w:t>
      </w:r>
      <w:r>
        <w:rPr>
          <w:spacing w:val="-7"/>
        </w:rPr>
        <w:t> </w:t>
      </w:r>
      <w:r>
        <w:rPr/>
        <w:t>máximos</w:t>
      </w:r>
      <w:r>
        <w:rPr>
          <w:spacing w:val="-5"/>
        </w:rPr>
        <w:t> </w:t>
      </w:r>
      <w:r>
        <w:rPr/>
        <w:t>dependientes</w:t>
      </w:r>
      <w:r>
        <w:rPr>
          <w:spacing w:val="-6"/>
        </w:rPr>
        <w:t> </w:t>
      </w:r>
      <w:r>
        <w:rPr/>
        <w:t>de</w:t>
      </w:r>
      <w:r>
        <w:rPr>
          <w:spacing w:val="-6"/>
        </w:rPr>
        <w:t> </w:t>
      </w:r>
      <w:r>
        <w:rPr/>
        <w:t>las importaciones energéticas rusas, los más afectados. En el Reino Unido, el crecimiento del PIB de 2022 se revisa a 3.7% dado que se prevé que el consumo sea más débil de lo esperado, mientras que las condiciones financieras más estrictas podrían reducir la</w:t>
      </w:r>
      <w:r>
        <w:rPr>
          <w:spacing w:val="-10"/>
        </w:rPr>
        <w:t> </w:t>
      </w:r>
      <w:r>
        <w:rPr/>
        <w:t>inversión.</w:t>
      </w:r>
    </w:p>
    <w:p>
      <w:pPr>
        <w:pStyle w:val="BodyText"/>
        <w:spacing w:before="4"/>
        <w:rPr>
          <w:sz w:val="25"/>
        </w:rPr>
      </w:pPr>
    </w:p>
    <w:p>
      <w:pPr>
        <w:pStyle w:val="BodyText"/>
        <w:spacing w:line="276" w:lineRule="auto"/>
        <w:ind w:left="562" w:right="1695"/>
        <w:jc w:val="both"/>
      </w:pPr>
      <w:r>
        <w:rPr/>
        <w:t>Por su parte, Europa emergente y en desarrollo, incluida Rusia y Ucrania, verán una contracción del PIB</w:t>
      </w:r>
      <w:r>
        <w:rPr>
          <w:spacing w:val="-6"/>
        </w:rPr>
        <w:t> </w:t>
      </w:r>
      <w:r>
        <w:rPr/>
        <w:t>de</w:t>
      </w:r>
      <w:r>
        <w:rPr>
          <w:spacing w:val="-5"/>
        </w:rPr>
        <w:t> </w:t>
      </w:r>
      <w:r>
        <w:rPr/>
        <w:t>aproximadamente</w:t>
      </w:r>
      <w:r>
        <w:rPr>
          <w:spacing w:val="-5"/>
        </w:rPr>
        <w:t> </w:t>
      </w:r>
      <w:r>
        <w:rPr/>
        <w:t>2.9%</w:t>
      </w:r>
      <w:r>
        <w:rPr>
          <w:spacing w:val="-6"/>
        </w:rPr>
        <w:t> </w:t>
      </w:r>
      <w:r>
        <w:rPr/>
        <w:t>en</w:t>
      </w:r>
      <w:r>
        <w:rPr>
          <w:spacing w:val="-4"/>
        </w:rPr>
        <w:t> </w:t>
      </w:r>
      <w:r>
        <w:rPr/>
        <w:t>2022.</w:t>
      </w:r>
      <w:r>
        <w:rPr>
          <w:spacing w:val="-5"/>
        </w:rPr>
        <w:t> </w:t>
      </w:r>
      <w:r>
        <w:rPr/>
        <w:t>Los</w:t>
      </w:r>
      <w:r>
        <w:rPr>
          <w:spacing w:val="-4"/>
        </w:rPr>
        <w:t> </w:t>
      </w:r>
      <w:r>
        <w:rPr/>
        <w:t>principales</w:t>
      </w:r>
      <w:r>
        <w:rPr>
          <w:spacing w:val="-4"/>
        </w:rPr>
        <w:t> </w:t>
      </w:r>
      <w:r>
        <w:rPr/>
        <w:t>impulsores</w:t>
      </w:r>
      <w:r>
        <w:rPr>
          <w:spacing w:val="-6"/>
        </w:rPr>
        <w:t> </w:t>
      </w:r>
      <w:r>
        <w:rPr/>
        <w:t>de</w:t>
      </w:r>
      <w:r>
        <w:rPr>
          <w:spacing w:val="-7"/>
        </w:rPr>
        <w:t> </w:t>
      </w:r>
      <w:r>
        <w:rPr/>
        <w:t>la</w:t>
      </w:r>
      <w:r>
        <w:rPr>
          <w:spacing w:val="-4"/>
        </w:rPr>
        <w:t> </w:t>
      </w:r>
      <w:r>
        <w:rPr/>
        <w:t>contracción</w:t>
      </w:r>
      <w:r>
        <w:rPr>
          <w:spacing w:val="-5"/>
        </w:rPr>
        <w:t> </w:t>
      </w:r>
      <w:r>
        <w:rPr/>
        <w:t>son</w:t>
      </w:r>
      <w:r>
        <w:rPr>
          <w:spacing w:val="-7"/>
        </w:rPr>
        <w:t> </w:t>
      </w:r>
      <w:r>
        <w:rPr/>
        <w:t>el</w:t>
      </w:r>
      <w:r>
        <w:rPr>
          <w:spacing w:val="-6"/>
        </w:rPr>
        <w:t> </w:t>
      </w:r>
      <w:r>
        <w:rPr/>
        <w:t>impacto del aumento de los precios de la energía en la demanda interna y la interrupción del comercio, especialmente para los estados bálticos, cuya demanda externa disminuirá juntamente con la contracción en la economía de</w:t>
      </w:r>
      <w:r>
        <w:rPr>
          <w:spacing w:val="-7"/>
        </w:rPr>
        <w:t> </w:t>
      </w:r>
      <w:r>
        <w:rPr/>
        <w:t>Rusia.</w:t>
      </w:r>
    </w:p>
    <w:p>
      <w:pPr>
        <w:spacing w:after="0" w:line="276" w:lineRule="auto"/>
        <w:jc w:val="both"/>
        <w:sectPr>
          <w:pgSz w:w="12240" w:h="15840"/>
          <w:pgMar w:header="715" w:footer="957" w:top="1240" w:bottom="1140" w:left="1140" w:right="0"/>
        </w:sectPr>
      </w:pPr>
    </w:p>
    <w:p>
      <w:pPr>
        <w:pStyle w:val="Heading2"/>
        <w:numPr>
          <w:ilvl w:val="1"/>
          <w:numId w:val="11"/>
        </w:numPr>
        <w:tabs>
          <w:tab w:pos="1050" w:val="left" w:leader="none"/>
        </w:tabs>
        <w:spacing w:line="240" w:lineRule="auto" w:before="167" w:after="0"/>
        <w:ind w:left="1049" w:right="0" w:hanging="421"/>
        <w:jc w:val="left"/>
      </w:pPr>
      <w:bookmarkStart w:name="_bookmark30" w:id="43"/>
      <w:bookmarkEnd w:id="43"/>
      <w:r>
        <w:rPr/>
        <w:t>P</w:t>
      </w:r>
      <w:r>
        <w:rPr/>
        <w:t>recio del</w:t>
      </w:r>
      <w:r>
        <w:rPr>
          <w:spacing w:val="-1"/>
        </w:rPr>
        <w:t> </w:t>
      </w:r>
      <w:r>
        <w:rPr/>
        <w:t>petróleo</w:t>
      </w:r>
    </w:p>
    <w:p>
      <w:pPr>
        <w:pStyle w:val="BodyText"/>
        <w:spacing w:before="4"/>
        <w:rPr>
          <w:b/>
          <w:sz w:val="28"/>
        </w:rPr>
      </w:pPr>
    </w:p>
    <w:p>
      <w:pPr>
        <w:pStyle w:val="BodyText"/>
        <w:spacing w:line="276" w:lineRule="auto" w:before="1"/>
        <w:ind w:left="562" w:right="1694"/>
        <w:jc w:val="both"/>
      </w:pPr>
      <w:r>
        <w:rPr/>
        <w:t>Los principales factores que impulsan la incertidumbre en el suministro de energía incluyen las sanciones a la producción de petróleo de Rusia, las decisiones de producción de la Organización de Países Exportadores de Petróleo –OPEP- y la tasa a la que los productores de petróleo y gas natural de EE.UU. aumenten la perforación.</w:t>
      </w:r>
    </w:p>
    <w:p>
      <w:pPr>
        <w:pStyle w:val="BodyText"/>
        <w:spacing w:before="3"/>
        <w:rPr>
          <w:sz w:val="25"/>
        </w:rPr>
      </w:pPr>
    </w:p>
    <w:p>
      <w:pPr>
        <w:pStyle w:val="BodyText"/>
        <w:spacing w:line="276" w:lineRule="auto"/>
        <w:ind w:left="562" w:right="1695"/>
        <w:jc w:val="both"/>
      </w:pPr>
      <w:r>
        <w:rPr/>
        <w:t>Se</w:t>
      </w:r>
      <w:r>
        <w:rPr>
          <w:spacing w:val="-6"/>
        </w:rPr>
        <w:t> </w:t>
      </w:r>
      <w:r>
        <w:rPr/>
        <w:t>espera</w:t>
      </w:r>
      <w:r>
        <w:rPr>
          <w:spacing w:val="-6"/>
        </w:rPr>
        <w:t> </w:t>
      </w:r>
      <w:r>
        <w:rPr/>
        <w:t>que</w:t>
      </w:r>
      <w:r>
        <w:rPr>
          <w:spacing w:val="-6"/>
        </w:rPr>
        <w:t> </w:t>
      </w:r>
      <w:r>
        <w:rPr/>
        <w:t>el</w:t>
      </w:r>
      <w:r>
        <w:rPr>
          <w:spacing w:val="-5"/>
        </w:rPr>
        <w:t> </w:t>
      </w:r>
      <w:r>
        <w:rPr/>
        <w:t>precio</w:t>
      </w:r>
      <w:r>
        <w:rPr>
          <w:spacing w:val="-9"/>
        </w:rPr>
        <w:t> </w:t>
      </w:r>
      <w:r>
        <w:rPr/>
        <w:t>del</w:t>
      </w:r>
      <w:r>
        <w:rPr>
          <w:spacing w:val="-8"/>
        </w:rPr>
        <w:t> </w:t>
      </w:r>
      <w:r>
        <w:rPr/>
        <w:t>Crudo</w:t>
      </w:r>
      <w:r>
        <w:rPr>
          <w:spacing w:val="-6"/>
        </w:rPr>
        <w:t> </w:t>
      </w:r>
      <w:r>
        <w:rPr/>
        <w:t>de</w:t>
      </w:r>
      <w:r>
        <w:rPr>
          <w:spacing w:val="-8"/>
        </w:rPr>
        <w:t> </w:t>
      </w:r>
      <w:r>
        <w:rPr/>
        <w:t>WTI,</w:t>
      </w:r>
      <w:r>
        <w:rPr>
          <w:spacing w:val="-6"/>
        </w:rPr>
        <w:t> </w:t>
      </w:r>
      <w:r>
        <w:rPr/>
        <w:t>promedie</w:t>
      </w:r>
      <w:r>
        <w:rPr>
          <w:spacing w:val="-6"/>
        </w:rPr>
        <w:t> </w:t>
      </w:r>
      <w:r>
        <w:rPr/>
        <w:t>$102/b</w:t>
      </w:r>
      <w:r>
        <w:rPr>
          <w:spacing w:val="-9"/>
        </w:rPr>
        <w:t> </w:t>
      </w:r>
      <w:r>
        <w:rPr/>
        <w:t>en</w:t>
      </w:r>
      <w:r>
        <w:rPr>
          <w:spacing w:val="-8"/>
        </w:rPr>
        <w:t> </w:t>
      </w:r>
      <w:r>
        <w:rPr/>
        <w:t>el</w:t>
      </w:r>
      <w:r>
        <w:rPr>
          <w:spacing w:val="-6"/>
        </w:rPr>
        <w:t> </w:t>
      </w:r>
      <w:r>
        <w:rPr/>
        <w:t>segundo</w:t>
      </w:r>
      <w:r>
        <w:rPr>
          <w:spacing w:val="-9"/>
        </w:rPr>
        <w:t> </w:t>
      </w:r>
      <w:r>
        <w:rPr/>
        <w:t>trimestre</w:t>
      </w:r>
      <w:r>
        <w:rPr>
          <w:spacing w:val="-6"/>
        </w:rPr>
        <w:t> </w:t>
      </w:r>
      <w:r>
        <w:rPr/>
        <w:t>del</w:t>
      </w:r>
      <w:r>
        <w:rPr>
          <w:spacing w:val="-7"/>
        </w:rPr>
        <w:t> </w:t>
      </w:r>
      <w:r>
        <w:rPr/>
        <w:t>2022</w:t>
      </w:r>
      <w:r>
        <w:rPr>
          <w:spacing w:val="-7"/>
        </w:rPr>
        <w:t> </w:t>
      </w:r>
      <w:r>
        <w:rPr/>
        <w:t>y</w:t>
      </w:r>
      <w:r>
        <w:rPr>
          <w:spacing w:val="-9"/>
        </w:rPr>
        <w:t> </w:t>
      </w:r>
      <w:r>
        <w:rPr/>
        <w:t>$98/b en la segunda mitad de 2022, para que luego caiga a $93/b en 2023. Sin embargo, el pronóstico de precio es muy incierto. Los resultados reales de los precios dependerán en gran medida del grado en que las sanciones existentes impuestas a Rusia, cualquier posible sanción futura y las acciones corporativas independientes, afecten la producción de petróleo de Rusia o la venta de petróleo de Rusia en el mercado</w:t>
      </w:r>
      <w:r>
        <w:rPr>
          <w:spacing w:val="-2"/>
        </w:rPr>
        <w:t> </w:t>
      </w:r>
      <w:r>
        <w:rPr/>
        <w:t>global.</w:t>
      </w:r>
    </w:p>
    <w:p>
      <w:pPr>
        <w:pStyle w:val="BodyText"/>
        <w:spacing w:before="1"/>
        <w:rPr>
          <w:sz w:val="18"/>
        </w:rPr>
      </w:pPr>
    </w:p>
    <w:p>
      <w:pPr>
        <w:spacing w:after="0"/>
        <w:rPr>
          <w:sz w:val="18"/>
        </w:rPr>
        <w:sectPr>
          <w:pgSz w:w="12240" w:h="15840"/>
          <w:pgMar w:header="715" w:footer="957" w:top="1240" w:bottom="1140" w:left="1140" w:right="0"/>
        </w:sectPr>
      </w:pPr>
    </w:p>
    <w:p>
      <w:pPr>
        <w:spacing w:line="276" w:lineRule="auto" w:before="91"/>
        <w:ind w:left="1450" w:right="-9" w:hanging="723"/>
        <w:jc w:val="left"/>
        <w:rPr>
          <w:b/>
          <w:sz w:val="20"/>
        </w:rPr>
      </w:pPr>
      <w:bookmarkStart w:name="_bookmark31" w:id="44"/>
      <w:bookmarkEnd w:id="44"/>
      <w:r>
        <w:rPr/>
      </w:r>
      <w:r>
        <w:rPr>
          <w:b/>
          <w:i/>
          <w:sz w:val="20"/>
        </w:rPr>
        <w:t>Gráfico 13. </w:t>
      </w:r>
      <w:r>
        <w:rPr>
          <w:b/>
          <w:sz w:val="20"/>
        </w:rPr>
        <w:t>Producción y consumo de</w:t>
      </w:r>
      <w:r>
        <w:rPr>
          <w:b/>
          <w:spacing w:val="-16"/>
          <w:sz w:val="20"/>
        </w:rPr>
        <w:t> </w:t>
      </w:r>
      <w:r>
        <w:rPr>
          <w:b/>
          <w:sz w:val="20"/>
        </w:rPr>
        <w:t>Petróleo (millones de barriles por</w:t>
      </w:r>
      <w:r>
        <w:rPr>
          <w:b/>
          <w:spacing w:val="-6"/>
          <w:sz w:val="20"/>
        </w:rPr>
        <w:t> </w:t>
      </w:r>
      <w:r>
        <w:rPr>
          <w:b/>
          <w:sz w:val="20"/>
        </w:rPr>
        <w:t>día)</w:t>
      </w:r>
    </w:p>
    <w:p>
      <w:pPr>
        <w:spacing w:line="276" w:lineRule="auto" w:before="91"/>
        <w:ind w:left="2137" w:right="1411" w:hanging="1801"/>
        <w:jc w:val="left"/>
        <w:rPr>
          <w:b/>
          <w:sz w:val="20"/>
        </w:rPr>
      </w:pPr>
      <w:r>
        <w:rPr/>
        <w:br w:type="column"/>
      </w:r>
      <w:bookmarkStart w:name="_bookmark32" w:id="45"/>
      <w:bookmarkEnd w:id="45"/>
      <w:r>
        <w:rPr/>
      </w:r>
      <w:r>
        <w:rPr>
          <w:b/>
          <w:i/>
          <w:sz w:val="20"/>
        </w:rPr>
        <w:t>Gráfico 14. </w:t>
      </w:r>
      <w:r>
        <w:rPr>
          <w:b/>
          <w:sz w:val="20"/>
        </w:rPr>
        <w:t>Precio del Crudo de WTI (USD$ por barril)</w:t>
      </w:r>
    </w:p>
    <w:p>
      <w:pPr>
        <w:spacing w:after="0" w:line="276" w:lineRule="auto"/>
        <w:jc w:val="left"/>
        <w:rPr>
          <w:sz w:val="20"/>
        </w:rPr>
        <w:sectPr>
          <w:type w:val="continuous"/>
          <w:pgSz w:w="12240" w:h="15840"/>
          <w:pgMar w:top="1500" w:bottom="280" w:left="1140" w:right="0"/>
          <w:cols w:num="2" w:equalWidth="0">
            <w:col w:w="4650" w:space="40"/>
            <w:col w:w="6410"/>
          </w:cols>
        </w:sectPr>
      </w:pPr>
    </w:p>
    <w:p>
      <w:pPr>
        <w:pStyle w:val="BodyText"/>
        <w:spacing w:before="4"/>
        <w:rPr>
          <w:b/>
          <w:sz w:val="11"/>
        </w:rPr>
      </w:pPr>
    </w:p>
    <w:p>
      <w:pPr>
        <w:spacing w:before="0"/>
        <w:ind w:left="662" w:right="0" w:firstLine="0"/>
        <w:jc w:val="left"/>
        <w:rPr>
          <w:sz w:val="12"/>
        </w:rPr>
      </w:pPr>
      <w:r>
        <w:rPr/>
        <w:pict>
          <v:shape style="position:absolute;margin-left:333.179993pt;margin-top:12.501574pt;width:19.2pt;height:.1pt;mso-position-horizontal-relative:page;mso-position-vertical-relative:paragraph;z-index:-251560960;mso-wrap-distance-left:0;mso-wrap-distance-right:0" coordorigin="6664,250" coordsize="384,0" path="m6664,250l7048,250e" filled="false" stroked="true" strokeweight="1.56pt" strokecolor="#5b9bd4">
            <v:path arrowok="t"/>
            <v:stroke dashstyle="solid"/>
            <w10:wrap type="topAndBottom"/>
          </v:shape>
        </w:pict>
      </w:r>
      <w:r>
        <w:rPr/>
        <w:pict>
          <v:shape style="position:absolute;margin-left:420.660004pt;margin-top:12.501574pt;width:19.2pt;height:.1pt;mso-position-horizontal-relative:page;mso-position-vertical-relative:paragraph;z-index:-251559936;mso-wrap-distance-left:0;mso-wrap-distance-right:0" coordorigin="8413,250" coordsize="384,0" path="m8413,250l8797,250e" filled="false" stroked="true" strokeweight="1.56pt" strokecolor="#ec7c30">
            <v:path arrowok="t"/>
            <v:stroke dashstyle="solid"/>
            <w10:wrap type="topAndBottom"/>
          </v:shape>
        </w:pict>
      </w:r>
      <w:r>
        <w:rPr/>
        <w:pict>
          <v:shape style="position:absolute;margin-left:103.919998pt;margin-top:3.321573pt;width:185.55pt;height:150.85pt;mso-position-horizontal-relative:page;mso-position-vertical-relative:paragraph;z-index:251762688" type="#_x0000_t202" filled="false" stroked="false">
            <v:textbox inset="0,0,0,0">
              <w:txbxContent>
                <w:tbl>
                  <w:tblPr>
                    <w:tblW w:w="0" w:type="auto"/>
                    <w:jc w:val="left"/>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130"/>
                    <w:gridCol w:w="132"/>
                    <w:gridCol w:w="132"/>
                    <w:gridCol w:w="132"/>
                    <w:gridCol w:w="132"/>
                    <w:gridCol w:w="132"/>
                    <w:gridCol w:w="132"/>
                    <w:gridCol w:w="132"/>
                    <w:gridCol w:w="132"/>
                    <w:gridCol w:w="132"/>
                    <w:gridCol w:w="132"/>
                    <w:gridCol w:w="132"/>
                    <w:gridCol w:w="130"/>
                    <w:gridCol w:w="132"/>
                    <w:gridCol w:w="132"/>
                    <w:gridCol w:w="132"/>
                    <w:gridCol w:w="132"/>
                    <w:gridCol w:w="132"/>
                    <w:gridCol w:w="132"/>
                    <w:gridCol w:w="132"/>
                    <w:gridCol w:w="132"/>
                    <w:gridCol w:w="132"/>
                    <w:gridCol w:w="132"/>
                    <w:gridCol w:w="132"/>
                    <w:gridCol w:w="132"/>
                    <w:gridCol w:w="130"/>
                    <w:gridCol w:w="132"/>
                    <w:gridCol w:w="132"/>
                  </w:tblGrid>
                  <w:tr>
                    <w:trPr>
                      <w:trHeight w:val="501" w:hRule="atLeast"/>
                    </w:trPr>
                    <w:tc>
                      <w:tcPr>
                        <w:tcW w:w="2768" w:type="dxa"/>
                        <w:gridSpan w:val="21"/>
                        <w:tcBorders>
                          <w:bottom w:val="single" w:sz="4" w:space="0" w:color="BEBEBE"/>
                          <w:right w:val="single" w:sz="6" w:space="0" w:color="A6A6A6"/>
                        </w:tcBorders>
                      </w:tcPr>
                      <w:p>
                        <w:pPr>
                          <w:pStyle w:val="TableParagraph"/>
                          <w:spacing w:before="104"/>
                          <w:ind w:left="220"/>
                          <w:rPr>
                            <w:b/>
                            <w:sz w:val="16"/>
                          </w:rPr>
                        </w:pPr>
                        <w:r>
                          <w:rPr>
                            <w:b/>
                            <w:color w:val="2D75B6"/>
                            <w:sz w:val="16"/>
                          </w:rPr>
                          <w:t>Producción mundial</w:t>
                        </w:r>
                      </w:p>
                    </w:tc>
                    <w:tc>
                      <w:tcPr>
                        <w:tcW w:w="922" w:type="dxa"/>
                        <w:gridSpan w:val="7"/>
                        <w:tcBorders>
                          <w:left w:val="single" w:sz="6" w:space="0" w:color="A6A6A6"/>
                          <w:bottom w:val="single" w:sz="4" w:space="0" w:color="BEBEBE"/>
                        </w:tcBorders>
                      </w:tcPr>
                      <w:p>
                        <w:pPr>
                          <w:pStyle w:val="TableParagraph"/>
                          <w:rPr>
                            <w:sz w:val="20"/>
                          </w:rPr>
                        </w:pPr>
                      </w:p>
                    </w:tc>
                  </w:tr>
                  <w:tr>
                    <w:trPr>
                      <w:trHeight w:val="501" w:hRule="atLeast"/>
                    </w:trPr>
                    <w:tc>
                      <w:tcPr>
                        <w:tcW w:w="2768" w:type="dxa"/>
                        <w:gridSpan w:val="21"/>
                        <w:tcBorders>
                          <w:top w:val="single" w:sz="4" w:space="0" w:color="BEBEBE"/>
                          <w:bottom w:val="single" w:sz="4" w:space="0" w:color="BEBEBE"/>
                          <w:right w:val="single" w:sz="6" w:space="0" w:color="A6A6A6"/>
                        </w:tcBorders>
                      </w:tcPr>
                      <w:p>
                        <w:pPr>
                          <w:pStyle w:val="TableParagraph"/>
                          <w:rPr>
                            <w:sz w:val="20"/>
                          </w:rPr>
                        </w:pPr>
                      </w:p>
                    </w:tc>
                    <w:tc>
                      <w:tcPr>
                        <w:tcW w:w="922" w:type="dxa"/>
                        <w:gridSpan w:val="7"/>
                        <w:tcBorders>
                          <w:top w:val="single" w:sz="4" w:space="0" w:color="BEBEBE"/>
                          <w:left w:val="single" w:sz="6" w:space="0" w:color="A6A6A6"/>
                          <w:bottom w:val="single" w:sz="4" w:space="0" w:color="BEBEBE"/>
                        </w:tcBorders>
                      </w:tcPr>
                      <w:p>
                        <w:pPr>
                          <w:pStyle w:val="TableParagraph"/>
                          <w:spacing w:before="1"/>
                          <w:rPr>
                            <w:sz w:val="15"/>
                          </w:rPr>
                        </w:pPr>
                      </w:p>
                      <w:p>
                        <w:pPr>
                          <w:pStyle w:val="TableParagraph"/>
                          <w:spacing w:before="1"/>
                          <w:ind w:left="19"/>
                          <w:rPr>
                            <w:b/>
                            <w:sz w:val="16"/>
                          </w:rPr>
                        </w:pPr>
                        <w:r>
                          <w:rPr>
                            <w:b/>
                            <w:sz w:val="16"/>
                          </w:rPr>
                          <w:t>Pronóstico</w:t>
                        </w:r>
                      </w:p>
                    </w:tc>
                  </w:tr>
                  <w:tr>
                    <w:trPr>
                      <w:trHeight w:val="503" w:hRule="atLeast"/>
                    </w:trPr>
                    <w:tc>
                      <w:tcPr>
                        <w:tcW w:w="2768" w:type="dxa"/>
                        <w:gridSpan w:val="21"/>
                        <w:tcBorders>
                          <w:top w:val="single" w:sz="4" w:space="0" w:color="BEBEBE"/>
                          <w:bottom w:val="single" w:sz="4" w:space="0" w:color="BEBEBE"/>
                          <w:right w:val="single" w:sz="6" w:space="0" w:color="A6A6A6"/>
                        </w:tcBorders>
                      </w:tcPr>
                      <w:p>
                        <w:pPr>
                          <w:pStyle w:val="TableParagraph"/>
                          <w:spacing w:before="4"/>
                          <w:ind w:left="220"/>
                          <w:rPr>
                            <w:b/>
                            <w:sz w:val="16"/>
                          </w:rPr>
                        </w:pPr>
                        <w:r>
                          <w:rPr>
                            <w:b/>
                            <w:color w:val="6FAC46"/>
                            <w:sz w:val="16"/>
                          </w:rPr>
                          <w:t>Consumo mundial</w:t>
                        </w:r>
                      </w:p>
                    </w:tc>
                    <w:tc>
                      <w:tcPr>
                        <w:tcW w:w="922" w:type="dxa"/>
                        <w:gridSpan w:val="7"/>
                        <w:tcBorders>
                          <w:top w:val="single" w:sz="4" w:space="0" w:color="BEBEBE"/>
                          <w:left w:val="single" w:sz="6" w:space="0" w:color="A6A6A6"/>
                          <w:bottom w:val="single" w:sz="4" w:space="0" w:color="BEBEBE"/>
                        </w:tcBorders>
                      </w:tcPr>
                      <w:p>
                        <w:pPr>
                          <w:pStyle w:val="TableParagraph"/>
                          <w:rPr>
                            <w:sz w:val="20"/>
                          </w:rPr>
                        </w:pPr>
                      </w:p>
                    </w:tc>
                  </w:tr>
                  <w:tr>
                    <w:trPr>
                      <w:trHeight w:val="503" w:hRule="atLeast"/>
                    </w:trPr>
                    <w:tc>
                      <w:tcPr>
                        <w:tcW w:w="2768" w:type="dxa"/>
                        <w:gridSpan w:val="21"/>
                        <w:tcBorders>
                          <w:top w:val="single" w:sz="4" w:space="0" w:color="BEBEBE"/>
                          <w:bottom w:val="single" w:sz="4" w:space="0" w:color="BEBEBE"/>
                          <w:right w:val="single" w:sz="6" w:space="0" w:color="A6A6A6"/>
                        </w:tcBorders>
                      </w:tcPr>
                      <w:p>
                        <w:pPr>
                          <w:pStyle w:val="TableParagraph"/>
                          <w:rPr>
                            <w:sz w:val="20"/>
                          </w:rPr>
                        </w:pPr>
                      </w:p>
                    </w:tc>
                    <w:tc>
                      <w:tcPr>
                        <w:tcW w:w="922" w:type="dxa"/>
                        <w:gridSpan w:val="7"/>
                        <w:tcBorders>
                          <w:top w:val="single" w:sz="4" w:space="0" w:color="BEBEBE"/>
                          <w:left w:val="single" w:sz="6" w:space="0" w:color="A6A6A6"/>
                          <w:bottom w:val="single" w:sz="4" w:space="0" w:color="BEBEBE"/>
                        </w:tcBorders>
                      </w:tcPr>
                      <w:p>
                        <w:pPr>
                          <w:pStyle w:val="TableParagraph"/>
                          <w:rPr>
                            <w:sz w:val="20"/>
                          </w:rPr>
                        </w:pPr>
                      </w:p>
                    </w:tc>
                  </w:tr>
                  <w:tr>
                    <w:trPr>
                      <w:trHeight w:val="501" w:hRule="atLeast"/>
                    </w:trPr>
                    <w:tc>
                      <w:tcPr>
                        <w:tcW w:w="2768" w:type="dxa"/>
                        <w:gridSpan w:val="21"/>
                        <w:tcBorders>
                          <w:top w:val="single" w:sz="4" w:space="0" w:color="BEBEBE"/>
                          <w:right w:val="single" w:sz="6" w:space="0" w:color="A6A6A6"/>
                        </w:tcBorders>
                      </w:tcPr>
                      <w:p>
                        <w:pPr>
                          <w:pStyle w:val="TableParagraph"/>
                          <w:rPr>
                            <w:sz w:val="20"/>
                          </w:rPr>
                        </w:pPr>
                      </w:p>
                    </w:tc>
                    <w:tc>
                      <w:tcPr>
                        <w:tcW w:w="922" w:type="dxa"/>
                        <w:gridSpan w:val="7"/>
                        <w:tcBorders>
                          <w:top w:val="single" w:sz="4" w:space="0" w:color="BEBEBE"/>
                          <w:left w:val="single" w:sz="6" w:space="0" w:color="A6A6A6"/>
                        </w:tcBorders>
                      </w:tcPr>
                      <w:p>
                        <w:pPr>
                          <w:pStyle w:val="TableParagraph"/>
                          <w:rPr>
                            <w:sz w:val="20"/>
                          </w:rPr>
                        </w:pPr>
                      </w:p>
                    </w:tc>
                  </w:tr>
                  <w:tr>
                    <w:trPr>
                      <w:trHeight w:val="210" w:hRule="atLeast"/>
                    </w:trPr>
                    <w:tc>
                      <w:tcPr>
                        <w:tcW w:w="130" w:type="dxa"/>
                        <w:tcBorders>
                          <w:left w:val="single" w:sz="4" w:space="0" w:color="888888"/>
                          <w:bottom w:val="nil"/>
                          <w:right w:val="single" w:sz="4" w:space="0" w:color="888888"/>
                        </w:tcBorders>
                      </w:tcPr>
                      <w:p>
                        <w:pPr>
                          <w:pStyle w:val="TableParagraph"/>
                          <w:spacing w:line="130" w:lineRule="exact" w:before="61"/>
                          <w:ind w:left="-10" w:right="-15"/>
                          <w:rPr>
                            <w:b/>
                            <w:sz w:val="12"/>
                          </w:rPr>
                        </w:pPr>
                        <w:r>
                          <w:rPr>
                            <w:b/>
                            <w:spacing w:val="-11"/>
                            <w:sz w:val="12"/>
                          </w:rPr>
                          <w:t>Q1</w:t>
                        </w:r>
                      </w:p>
                    </w:tc>
                    <w:tc>
                      <w:tcPr>
                        <w:tcW w:w="132" w:type="dxa"/>
                        <w:tcBorders>
                          <w:left w:val="single" w:sz="4" w:space="0" w:color="888888"/>
                          <w:bottom w:val="nil"/>
                          <w:right w:val="single" w:sz="4" w:space="0" w:color="888888"/>
                        </w:tcBorders>
                      </w:tcPr>
                      <w:p>
                        <w:pPr>
                          <w:pStyle w:val="TableParagraph"/>
                          <w:spacing w:line="130" w:lineRule="exact" w:before="61"/>
                          <w:ind w:left="-8" w:right="-15"/>
                          <w:rPr>
                            <w:b/>
                            <w:sz w:val="12"/>
                          </w:rPr>
                        </w:pPr>
                        <w:r>
                          <w:rPr>
                            <w:b/>
                            <w:spacing w:val="-11"/>
                            <w:sz w:val="12"/>
                          </w:rPr>
                          <w:t>Q2</w:t>
                        </w:r>
                      </w:p>
                    </w:tc>
                    <w:tc>
                      <w:tcPr>
                        <w:tcW w:w="132" w:type="dxa"/>
                        <w:tcBorders>
                          <w:left w:val="single" w:sz="4" w:space="0" w:color="888888"/>
                          <w:bottom w:val="nil"/>
                          <w:right w:val="single" w:sz="4" w:space="0" w:color="888888"/>
                        </w:tcBorders>
                      </w:tcPr>
                      <w:p>
                        <w:pPr>
                          <w:pStyle w:val="TableParagraph"/>
                          <w:spacing w:line="130" w:lineRule="exact" w:before="61"/>
                          <w:ind w:left="-8" w:right="-15"/>
                          <w:rPr>
                            <w:b/>
                            <w:sz w:val="12"/>
                          </w:rPr>
                        </w:pPr>
                        <w:r>
                          <w:rPr>
                            <w:b/>
                            <w:spacing w:val="-11"/>
                            <w:sz w:val="12"/>
                          </w:rPr>
                          <w:t>Q3</w:t>
                        </w:r>
                      </w:p>
                    </w:tc>
                    <w:tc>
                      <w:tcPr>
                        <w:tcW w:w="132" w:type="dxa"/>
                        <w:tcBorders>
                          <w:left w:val="single" w:sz="4" w:space="0" w:color="888888"/>
                          <w:bottom w:val="nil"/>
                          <w:right w:val="single" w:sz="4" w:space="0" w:color="888888"/>
                        </w:tcBorders>
                      </w:tcPr>
                      <w:p>
                        <w:pPr>
                          <w:pStyle w:val="TableParagraph"/>
                          <w:spacing w:line="130" w:lineRule="exact" w:before="61"/>
                          <w:ind w:left="-8" w:right="-15"/>
                          <w:rPr>
                            <w:b/>
                            <w:sz w:val="12"/>
                          </w:rPr>
                        </w:pPr>
                        <w:r>
                          <w:rPr>
                            <w:b/>
                            <w:spacing w:val="-11"/>
                            <w:sz w:val="12"/>
                          </w:rPr>
                          <w:t>Q4</w:t>
                        </w:r>
                      </w:p>
                    </w:tc>
                    <w:tc>
                      <w:tcPr>
                        <w:tcW w:w="132" w:type="dxa"/>
                        <w:tcBorders>
                          <w:left w:val="single" w:sz="4" w:space="0" w:color="888888"/>
                          <w:bottom w:val="nil"/>
                          <w:right w:val="single" w:sz="4" w:space="0" w:color="888888"/>
                        </w:tcBorders>
                      </w:tcPr>
                      <w:p>
                        <w:pPr>
                          <w:pStyle w:val="TableParagraph"/>
                          <w:spacing w:line="130" w:lineRule="exact" w:before="61"/>
                          <w:ind w:left="-8" w:right="-15"/>
                          <w:rPr>
                            <w:b/>
                            <w:sz w:val="12"/>
                          </w:rPr>
                        </w:pPr>
                        <w:r>
                          <w:rPr>
                            <w:b/>
                            <w:spacing w:val="-11"/>
                            <w:sz w:val="12"/>
                          </w:rPr>
                          <w:t>Q1</w:t>
                        </w:r>
                      </w:p>
                    </w:tc>
                    <w:tc>
                      <w:tcPr>
                        <w:tcW w:w="132" w:type="dxa"/>
                        <w:tcBorders>
                          <w:left w:val="single" w:sz="4" w:space="0" w:color="888888"/>
                          <w:bottom w:val="nil"/>
                          <w:right w:val="single" w:sz="4" w:space="0" w:color="888888"/>
                        </w:tcBorders>
                      </w:tcPr>
                      <w:p>
                        <w:pPr>
                          <w:pStyle w:val="TableParagraph"/>
                          <w:spacing w:line="130" w:lineRule="exact" w:before="61"/>
                          <w:ind w:left="-9" w:right="-15"/>
                          <w:rPr>
                            <w:b/>
                            <w:sz w:val="12"/>
                          </w:rPr>
                        </w:pPr>
                        <w:r>
                          <w:rPr>
                            <w:b/>
                            <w:spacing w:val="-11"/>
                            <w:sz w:val="12"/>
                          </w:rPr>
                          <w:t>Q2</w:t>
                        </w:r>
                      </w:p>
                    </w:tc>
                    <w:tc>
                      <w:tcPr>
                        <w:tcW w:w="132" w:type="dxa"/>
                        <w:tcBorders>
                          <w:left w:val="single" w:sz="4" w:space="0" w:color="888888"/>
                          <w:bottom w:val="nil"/>
                          <w:right w:val="single" w:sz="4" w:space="0" w:color="888888"/>
                        </w:tcBorders>
                      </w:tcPr>
                      <w:p>
                        <w:pPr>
                          <w:pStyle w:val="TableParagraph"/>
                          <w:spacing w:line="130" w:lineRule="exact" w:before="61"/>
                          <w:ind w:left="-9" w:right="-15"/>
                          <w:rPr>
                            <w:b/>
                            <w:sz w:val="12"/>
                          </w:rPr>
                        </w:pPr>
                        <w:r>
                          <w:rPr>
                            <w:b/>
                            <w:spacing w:val="-11"/>
                            <w:sz w:val="12"/>
                          </w:rPr>
                          <w:t>Q3</w:t>
                        </w:r>
                      </w:p>
                    </w:tc>
                    <w:tc>
                      <w:tcPr>
                        <w:tcW w:w="132" w:type="dxa"/>
                        <w:tcBorders>
                          <w:left w:val="single" w:sz="4" w:space="0" w:color="888888"/>
                          <w:bottom w:val="nil"/>
                          <w:right w:val="single" w:sz="4" w:space="0" w:color="888888"/>
                        </w:tcBorders>
                      </w:tcPr>
                      <w:p>
                        <w:pPr>
                          <w:pStyle w:val="TableParagraph"/>
                          <w:spacing w:line="130" w:lineRule="exact" w:before="61"/>
                          <w:ind w:left="-9" w:right="-15"/>
                          <w:rPr>
                            <w:b/>
                            <w:sz w:val="12"/>
                          </w:rPr>
                        </w:pPr>
                        <w:r>
                          <w:rPr>
                            <w:b/>
                            <w:spacing w:val="-12"/>
                            <w:sz w:val="12"/>
                          </w:rPr>
                          <w:t>Q4</w:t>
                        </w:r>
                      </w:p>
                    </w:tc>
                    <w:tc>
                      <w:tcPr>
                        <w:tcW w:w="132" w:type="dxa"/>
                        <w:tcBorders>
                          <w:left w:val="single" w:sz="4" w:space="0" w:color="888888"/>
                          <w:bottom w:val="nil"/>
                          <w:right w:val="single" w:sz="4" w:space="0" w:color="888888"/>
                        </w:tcBorders>
                      </w:tcPr>
                      <w:p>
                        <w:pPr>
                          <w:pStyle w:val="TableParagraph"/>
                          <w:spacing w:line="130" w:lineRule="exact" w:before="61"/>
                          <w:ind w:left="-9" w:right="-15"/>
                          <w:rPr>
                            <w:b/>
                            <w:sz w:val="12"/>
                          </w:rPr>
                        </w:pPr>
                        <w:r>
                          <w:rPr>
                            <w:b/>
                            <w:spacing w:val="-11"/>
                            <w:sz w:val="12"/>
                          </w:rPr>
                          <w:t>Q1</w:t>
                        </w:r>
                      </w:p>
                    </w:tc>
                    <w:tc>
                      <w:tcPr>
                        <w:tcW w:w="132" w:type="dxa"/>
                        <w:tcBorders>
                          <w:left w:val="single" w:sz="4" w:space="0" w:color="888888"/>
                          <w:bottom w:val="nil"/>
                          <w:right w:val="single" w:sz="4" w:space="0" w:color="888888"/>
                        </w:tcBorders>
                      </w:tcPr>
                      <w:p>
                        <w:pPr>
                          <w:pStyle w:val="TableParagraph"/>
                          <w:spacing w:line="130" w:lineRule="exact" w:before="61"/>
                          <w:ind w:left="-9" w:right="-15"/>
                          <w:rPr>
                            <w:b/>
                            <w:sz w:val="12"/>
                          </w:rPr>
                        </w:pPr>
                        <w:r>
                          <w:rPr>
                            <w:b/>
                            <w:spacing w:val="-11"/>
                            <w:sz w:val="12"/>
                          </w:rPr>
                          <w:t>Q2</w:t>
                        </w:r>
                      </w:p>
                    </w:tc>
                    <w:tc>
                      <w:tcPr>
                        <w:tcW w:w="132" w:type="dxa"/>
                        <w:tcBorders>
                          <w:left w:val="single" w:sz="4" w:space="0" w:color="888888"/>
                          <w:bottom w:val="nil"/>
                          <w:right w:val="single" w:sz="4" w:space="0" w:color="888888"/>
                        </w:tcBorders>
                      </w:tcPr>
                      <w:p>
                        <w:pPr>
                          <w:pStyle w:val="TableParagraph"/>
                          <w:spacing w:line="130" w:lineRule="exact" w:before="61"/>
                          <w:ind w:left="-10" w:right="-15"/>
                          <w:rPr>
                            <w:b/>
                            <w:sz w:val="12"/>
                          </w:rPr>
                        </w:pPr>
                        <w:r>
                          <w:rPr>
                            <w:b/>
                            <w:spacing w:val="-11"/>
                            <w:sz w:val="12"/>
                          </w:rPr>
                          <w:t>Q3</w:t>
                        </w:r>
                      </w:p>
                    </w:tc>
                    <w:tc>
                      <w:tcPr>
                        <w:tcW w:w="132" w:type="dxa"/>
                        <w:tcBorders>
                          <w:left w:val="single" w:sz="4" w:space="0" w:color="888888"/>
                          <w:bottom w:val="nil"/>
                          <w:right w:val="single" w:sz="4" w:space="0" w:color="888888"/>
                        </w:tcBorders>
                      </w:tcPr>
                      <w:p>
                        <w:pPr>
                          <w:pStyle w:val="TableParagraph"/>
                          <w:spacing w:line="130" w:lineRule="exact" w:before="61"/>
                          <w:ind w:left="-10" w:right="-15"/>
                          <w:rPr>
                            <w:b/>
                            <w:sz w:val="12"/>
                          </w:rPr>
                        </w:pPr>
                        <w:r>
                          <w:rPr>
                            <w:b/>
                            <w:spacing w:val="-11"/>
                            <w:sz w:val="12"/>
                          </w:rPr>
                          <w:t>Q4</w:t>
                        </w:r>
                      </w:p>
                    </w:tc>
                    <w:tc>
                      <w:tcPr>
                        <w:tcW w:w="130" w:type="dxa"/>
                        <w:tcBorders>
                          <w:left w:val="single" w:sz="4" w:space="0" w:color="888888"/>
                          <w:bottom w:val="nil"/>
                          <w:right w:val="single" w:sz="4" w:space="0" w:color="888888"/>
                        </w:tcBorders>
                      </w:tcPr>
                      <w:p>
                        <w:pPr>
                          <w:pStyle w:val="TableParagraph"/>
                          <w:spacing w:line="130" w:lineRule="exact" w:before="61"/>
                          <w:ind w:left="-10" w:right="-15"/>
                          <w:rPr>
                            <w:b/>
                            <w:sz w:val="12"/>
                          </w:rPr>
                        </w:pPr>
                        <w:r>
                          <w:rPr>
                            <w:b/>
                            <w:spacing w:val="-12"/>
                            <w:sz w:val="12"/>
                          </w:rPr>
                          <w:t>Q1</w:t>
                        </w:r>
                      </w:p>
                    </w:tc>
                    <w:tc>
                      <w:tcPr>
                        <w:tcW w:w="132" w:type="dxa"/>
                        <w:tcBorders>
                          <w:left w:val="single" w:sz="4" w:space="0" w:color="888888"/>
                          <w:bottom w:val="nil"/>
                          <w:right w:val="single" w:sz="4" w:space="0" w:color="888888"/>
                        </w:tcBorders>
                      </w:tcPr>
                      <w:p>
                        <w:pPr>
                          <w:pStyle w:val="TableParagraph"/>
                          <w:spacing w:line="130" w:lineRule="exact" w:before="61"/>
                          <w:ind w:left="-8" w:right="-15"/>
                          <w:rPr>
                            <w:b/>
                            <w:sz w:val="12"/>
                          </w:rPr>
                        </w:pPr>
                        <w:r>
                          <w:rPr>
                            <w:b/>
                            <w:spacing w:val="-11"/>
                            <w:sz w:val="12"/>
                          </w:rPr>
                          <w:t>Q2</w:t>
                        </w:r>
                      </w:p>
                    </w:tc>
                    <w:tc>
                      <w:tcPr>
                        <w:tcW w:w="132" w:type="dxa"/>
                        <w:tcBorders>
                          <w:left w:val="single" w:sz="4" w:space="0" w:color="888888"/>
                          <w:bottom w:val="nil"/>
                          <w:right w:val="single" w:sz="4" w:space="0" w:color="888888"/>
                        </w:tcBorders>
                      </w:tcPr>
                      <w:p>
                        <w:pPr>
                          <w:pStyle w:val="TableParagraph"/>
                          <w:spacing w:line="130" w:lineRule="exact" w:before="61"/>
                          <w:ind w:left="-8" w:right="-15"/>
                          <w:rPr>
                            <w:b/>
                            <w:sz w:val="12"/>
                          </w:rPr>
                        </w:pPr>
                        <w:r>
                          <w:rPr>
                            <w:b/>
                            <w:spacing w:val="-11"/>
                            <w:sz w:val="12"/>
                          </w:rPr>
                          <w:t>Q3</w:t>
                        </w:r>
                      </w:p>
                    </w:tc>
                    <w:tc>
                      <w:tcPr>
                        <w:tcW w:w="132" w:type="dxa"/>
                        <w:tcBorders>
                          <w:left w:val="single" w:sz="4" w:space="0" w:color="888888"/>
                          <w:bottom w:val="nil"/>
                          <w:right w:val="single" w:sz="4" w:space="0" w:color="888888"/>
                        </w:tcBorders>
                      </w:tcPr>
                      <w:p>
                        <w:pPr>
                          <w:pStyle w:val="TableParagraph"/>
                          <w:spacing w:line="130" w:lineRule="exact" w:before="61"/>
                          <w:ind w:left="-8" w:right="-15"/>
                          <w:rPr>
                            <w:b/>
                            <w:sz w:val="12"/>
                          </w:rPr>
                        </w:pPr>
                        <w:r>
                          <w:rPr>
                            <w:b/>
                            <w:spacing w:val="-11"/>
                            <w:sz w:val="12"/>
                          </w:rPr>
                          <w:t>Q4</w:t>
                        </w:r>
                      </w:p>
                    </w:tc>
                    <w:tc>
                      <w:tcPr>
                        <w:tcW w:w="132" w:type="dxa"/>
                        <w:tcBorders>
                          <w:left w:val="single" w:sz="4" w:space="0" w:color="888888"/>
                          <w:bottom w:val="nil"/>
                          <w:right w:val="single" w:sz="4" w:space="0" w:color="888888"/>
                        </w:tcBorders>
                      </w:tcPr>
                      <w:p>
                        <w:pPr>
                          <w:pStyle w:val="TableParagraph"/>
                          <w:spacing w:line="130" w:lineRule="exact" w:before="61"/>
                          <w:ind w:left="-9" w:right="-15"/>
                          <w:rPr>
                            <w:b/>
                            <w:sz w:val="12"/>
                          </w:rPr>
                        </w:pPr>
                        <w:r>
                          <w:rPr>
                            <w:b/>
                            <w:spacing w:val="-11"/>
                            <w:sz w:val="12"/>
                          </w:rPr>
                          <w:t>Q1</w:t>
                        </w:r>
                      </w:p>
                    </w:tc>
                    <w:tc>
                      <w:tcPr>
                        <w:tcW w:w="132" w:type="dxa"/>
                        <w:tcBorders>
                          <w:left w:val="single" w:sz="4" w:space="0" w:color="888888"/>
                          <w:bottom w:val="nil"/>
                          <w:right w:val="single" w:sz="4" w:space="0" w:color="888888"/>
                        </w:tcBorders>
                      </w:tcPr>
                      <w:p>
                        <w:pPr>
                          <w:pStyle w:val="TableParagraph"/>
                          <w:spacing w:line="130" w:lineRule="exact" w:before="61"/>
                          <w:ind w:left="-9" w:right="-15"/>
                          <w:rPr>
                            <w:b/>
                            <w:sz w:val="12"/>
                          </w:rPr>
                        </w:pPr>
                        <w:r>
                          <w:rPr>
                            <w:b/>
                            <w:spacing w:val="-11"/>
                            <w:sz w:val="12"/>
                          </w:rPr>
                          <w:t>Q2</w:t>
                        </w:r>
                      </w:p>
                    </w:tc>
                    <w:tc>
                      <w:tcPr>
                        <w:tcW w:w="132" w:type="dxa"/>
                        <w:tcBorders>
                          <w:left w:val="single" w:sz="4" w:space="0" w:color="888888"/>
                          <w:bottom w:val="nil"/>
                          <w:right w:val="single" w:sz="4" w:space="0" w:color="888888"/>
                        </w:tcBorders>
                      </w:tcPr>
                      <w:p>
                        <w:pPr>
                          <w:pStyle w:val="TableParagraph"/>
                          <w:spacing w:line="130" w:lineRule="exact" w:before="61"/>
                          <w:ind w:left="-9" w:right="-15"/>
                          <w:rPr>
                            <w:b/>
                            <w:sz w:val="12"/>
                          </w:rPr>
                        </w:pPr>
                        <w:r>
                          <w:rPr>
                            <w:b/>
                            <w:spacing w:val="-11"/>
                            <w:sz w:val="12"/>
                          </w:rPr>
                          <w:t>Q3</w:t>
                        </w:r>
                      </w:p>
                    </w:tc>
                    <w:tc>
                      <w:tcPr>
                        <w:tcW w:w="132" w:type="dxa"/>
                        <w:tcBorders>
                          <w:left w:val="single" w:sz="4" w:space="0" w:color="888888"/>
                          <w:bottom w:val="nil"/>
                          <w:right w:val="single" w:sz="4" w:space="0" w:color="888888"/>
                        </w:tcBorders>
                      </w:tcPr>
                      <w:p>
                        <w:pPr>
                          <w:pStyle w:val="TableParagraph"/>
                          <w:spacing w:line="130" w:lineRule="exact" w:before="61"/>
                          <w:ind w:left="-9" w:right="-15"/>
                          <w:rPr>
                            <w:b/>
                            <w:sz w:val="12"/>
                          </w:rPr>
                        </w:pPr>
                        <w:r>
                          <w:rPr>
                            <w:b/>
                            <w:spacing w:val="-11"/>
                            <w:sz w:val="12"/>
                          </w:rPr>
                          <w:t>Q4</w:t>
                        </w:r>
                      </w:p>
                    </w:tc>
                    <w:tc>
                      <w:tcPr>
                        <w:tcW w:w="132" w:type="dxa"/>
                        <w:tcBorders>
                          <w:left w:val="single" w:sz="4" w:space="0" w:color="888888"/>
                          <w:bottom w:val="nil"/>
                          <w:right w:val="single" w:sz="4" w:space="0" w:color="888888"/>
                        </w:tcBorders>
                      </w:tcPr>
                      <w:p>
                        <w:pPr>
                          <w:pStyle w:val="TableParagraph"/>
                          <w:spacing w:line="130" w:lineRule="exact" w:before="61"/>
                          <w:ind w:left="-9" w:right="-15"/>
                          <w:rPr>
                            <w:b/>
                            <w:sz w:val="12"/>
                          </w:rPr>
                        </w:pPr>
                        <w:r>
                          <w:rPr>
                            <w:b/>
                            <w:spacing w:val="-11"/>
                            <w:sz w:val="12"/>
                          </w:rPr>
                          <w:t>Q1</w:t>
                        </w:r>
                      </w:p>
                    </w:tc>
                    <w:tc>
                      <w:tcPr>
                        <w:tcW w:w="132" w:type="dxa"/>
                        <w:tcBorders>
                          <w:left w:val="single" w:sz="4" w:space="0" w:color="888888"/>
                          <w:bottom w:val="nil"/>
                          <w:right w:val="single" w:sz="4" w:space="0" w:color="888888"/>
                        </w:tcBorders>
                      </w:tcPr>
                      <w:p>
                        <w:pPr>
                          <w:pStyle w:val="TableParagraph"/>
                          <w:spacing w:line="130" w:lineRule="exact" w:before="61"/>
                          <w:ind w:left="-9" w:right="-15"/>
                          <w:rPr>
                            <w:b/>
                            <w:sz w:val="12"/>
                          </w:rPr>
                        </w:pPr>
                        <w:r>
                          <w:rPr>
                            <w:b/>
                            <w:spacing w:val="-12"/>
                            <w:sz w:val="12"/>
                          </w:rPr>
                          <w:t>Q2</w:t>
                        </w:r>
                      </w:p>
                    </w:tc>
                    <w:tc>
                      <w:tcPr>
                        <w:tcW w:w="132" w:type="dxa"/>
                        <w:tcBorders>
                          <w:left w:val="single" w:sz="4" w:space="0" w:color="888888"/>
                          <w:bottom w:val="nil"/>
                          <w:right w:val="single" w:sz="4" w:space="0" w:color="888888"/>
                        </w:tcBorders>
                      </w:tcPr>
                      <w:p>
                        <w:pPr>
                          <w:pStyle w:val="TableParagraph"/>
                          <w:spacing w:line="130" w:lineRule="exact" w:before="61"/>
                          <w:ind w:left="-10" w:right="-15"/>
                          <w:rPr>
                            <w:b/>
                            <w:sz w:val="12"/>
                          </w:rPr>
                        </w:pPr>
                        <w:r>
                          <w:rPr>
                            <w:b/>
                            <w:spacing w:val="-11"/>
                            <w:sz w:val="12"/>
                          </w:rPr>
                          <w:t>Q3</w:t>
                        </w:r>
                      </w:p>
                    </w:tc>
                    <w:tc>
                      <w:tcPr>
                        <w:tcW w:w="132" w:type="dxa"/>
                        <w:tcBorders>
                          <w:left w:val="single" w:sz="4" w:space="0" w:color="888888"/>
                          <w:bottom w:val="nil"/>
                          <w:right w:val="single" w:sz="4" w:space="0" w:color="888888"/>
                        </w:tcBorders>
                      </w:tcPr>
                      <w:p>
                        <w:pPr>
                          <w:pStyle w:val="TableParagraph"/>
                          <w:spacing w:line="130" w:lineRule="exact" w:before="61"/>
                          <w:ind w:left="-10" w:right="-15"/>
                          <w:rPr>
                            <w:b/>
                            <w:sz w:val="12"/>
                          </w:rPr>
                        </w:pPr>
                        <w:r>
                          <w:rPr>
                            <w:b/>
                            <w:spacing w:val="-11"/>
                            <w:sz w:val="12"/>
                          </w:rPr>
                          <w:t>Q4</w:t>
                        </w:r>
                      </w:p>
                    </w:tc>
                    <w:tc>
                      <w:tcPr>
                        <w:tcW w:w="132" w:type="dxa"/>
                        <w:tcBorders>
                          <w:left w:val="single" w:sz="4" w:space="0" w:color="888888"/>
                          <w:bottom w:val="nil"/>
                          <w:right w:val="single" w:sz="4" w:space="0" w:color="888888"/>
                        </w:tcBorders>
                      </w:tcPr>
                      <w:p>
                        <w:pPr>
                          <w:pStyle w:val="TableParagraph"/>
                          <w:spacing w:line="130" w:lineRule="exact" w:before="61"/>
                          <w:ind w:left="-10" w:right="-15"/>
                          <w:rPr>
                            <w:b/>
                            <w:sz w:val="12"/>
                          </w:rPr>
                        </w:pPr>
                        <w:r>
                          <w:rPr>
                            <w:b/>
                            <w:spacing w:val="-11"/>
                            <w:sz w:val="12"/>
                          </w:rPr>
                          <w:t>Q1</w:t>
                        </w:r>
                      </w:p>
                    </w:tc>
                    <w:tc>
                      <w:tcPr>
                        <w:tcW w:w="130" w:type="dxa"/>
                        <w:tcBorders>
                          <w:left w:val="single" w:sz="4" w:space="0" w:color="888888"/>
                          <w:bottom w:val="nil"/>
                          <w:right w:val="single" w:sz="4" w:space="0" w:color="888888"/>
                        </w:tcBorders>
                      </w:tcPr>
                      <w:p>
                        <w:pPr>
                          <w:pStyle w:val="TableParagraph"/>
                          <w:spacing w:line="130" w:lineRule="exact" w:before="61"/>
                          <w:ind w:left="-10" w:right="-15"/>
                          <w:rPr>
                            <w:b/>
                            <w:sz w:val="12"/>
                          </w:rPr>
                        </w:pPr>
                        <w:r>
                          <w:rPr>
                            <w:b/>
                            <w:spacing w:val="-11"/>
                            <w:sz w:val="12"/>
                          </w:rPr>
                          <w:t>Q2</w:t>
                        </w:r>
                      </w:p>
                    </w:tc>
                    <w:tc>
                      <w:tcPr>
                        <w:tcW w:w="132" w:type="dxa"/>
                        <w:tcBorders>
                          <w:left w:val="single" w:sz="4" w:space="0" w:color="888888"/>
                          <w:bottom w:val="nil"/>
                          <w:right w:val="single" w:sz="4" w:space="0" w:color="888888"/>
                        </w:tcBorders>
                      </w:tcPr>
                      <w:p>
                        <w:pPr>
                          <w:pStyle w:val="TableParagraph"/>
                          <w:spacing w:line="130" w:lineRule="exact" w:before="61"/>
                          <w:ind w:left="-8" w:right="-15"/>
                          <w:rPr>
                            <w:b/>
                            <w:sz w:val="12"/>
                          </w:rPr>
                        </w:pPr>
                        <w:r>
                          <w:rPr>
                            <w:b/>
                            <w:spacing w:val="-12"/>
                            <w:sz w:val="12"/>
                          </w:rPr>
                          <w:t>Q3</w:t>
                        </w:r>
                      </w:p>
                    </w:tc>
                    <w:tc>
                      <w:tcPr>
                        <w:tcW w:w="132" w:type="dxa"/>
                        <w:tcBorders>
                          <w:left w:val="single" w:sz="4" w:space="0" w:color="888888"/>
                          <w:bottom w:val="nil"/>
                          <w:right w:val="single" w:sz="4" w:space="0" w:color="888888"/>
                        </w:tcBorders>
                      </w:tcPr>
                      <w:p>
                        <w:pPr>
                          <w:pStyle w:val="TableParagraph"/>
                          <w:spacing w:line="130" w:lineRule="exact" w:before="61"/>
                          <w:ind w:left="-9" w:right="-29"/>
                          <w:rPr>
                            <w:b/>
                            <w:sz w:val="12"/>
                          </w:rPr>
                        </w:pPr>
                        <w:r>
                          <w:rPr>
                            <w:b/>
                            <w:sz w:val="12"/>
                          </w:rPr>
                          <w:t>Q4</w:t>
                        </w:r>
                      </w:p>
                    </w:tc>
                  </w:tr>
                  <w:tr>
                    <w:trPr>
                      <w:trHeight w:val="220" w:hRule="atLeast"/>
                    </w:trPr>
                    <w:tc>
                      <w:tcPr>
                        <w:tcW w:w="526" w:type="dxa"/>
                        <w:gridSpan w:val="4"/>
                        <w:tcBorders>
                          <w:top w:val="nil"/>
                          <w:left w:val="single" w:sz="4" w:space="0" w:color="888888"/>
                          <w:bottom w:val="nil"/>
                          <w:right w:val="single" w:sz="4" w:space="0" w:color="888888"/>
                        </w:tcBorders>
                      </w:tcPr>
                      <w:p>
                        <w:pPr>
                          <w:pStyle w:val="TableParagraph"/>
                          <w:spacing w:line="131" w:lineRule="exact" w:before="69"/>
                          <w:ind w:left="145"/>
                          <w:rPr>
                            <w:b/>
                            <w:sz w:val="12"/>
                          </w:rPr>
                        </w:pPr>
                        <w:r>
                          <w:rPr>
                            <w:b/>
                            <w:sz w:val="12"/>
                          </w:rPr>
                          <w:t>2017</w:t>
                        </w:r>
                      </w:p>
                    </w:tc>
                    <w:tc>
                      <w:tcPr>
                        <w:tcW w:w="528" w:type="dxa"/>
                        <w:gridSpan w:val="4"/>
                        <w:tcBorders>
                          <w:top w:val="nil"/>
                          <w:left w:val="single" w:sz="4" w:space="0" w:color="888888"/>
                          <w:bottom w:val="nil"/>
                          <w:right w:val="single" w:sz="4" w:space="0" w:color="888888"/>
                        </w:tcBorders>
                      </w:tcPr>
                      <w:p>
                        <w:pPr>
                          <w:pStyle w:val="TableParagraph"/>
                          <w:spacing w:line="131" w:lineRule="exact" w:before="69"/>
                          <w:ind w:left="146"/>
                          <w:rPr>
                            <w:b/>
                            <w:sz w:val="12"/>
                          </w:rPr>
                        </w:pPr>
                        <w:r>
                          <w:rPr>
                            <w:b/>
                            <w:sz w:val="12"/>
                          </w:rPr>
                          <w:t>2018</w:t>
                        </w:r>
                      </w:p>
                    </w:tc>
                    <w:tc>
                      <w:tcPr>
                        <w:tcW w:w="528" w:type="dxa"/>
                        <w:gridSpan w:val="4"/>
                        <w:tcBorders>
                          <w:top w:val="nil"/>
                          <w:left w:val="single" w:sz="4" w:space="0" w:color="888888"/>
                          <w:bottom w:val="nil"/>
                          <w:right w:val="single" w:sz="4" w:space="0" w:color="888888"/>
                        </w:tcBorders>
                      </w:tcPr>
                      <w:p>
                        <w:pPr>
                          <w:pStyle w:val="TableParagraph"/>
                          <w:spacing w:line="131" w:lineRule="exact" w:before="69"/>
                          <w:ind w:left="145"/>
                          <w:rPr>
                            <w:b/>
                            <w:sz w:val="12"/>
                          </w:rPr>
                        </w:pPr>
                        <w:r>
                          <w:rPr>
                            <w:b/>
                            <w:sz w:val="12"/>
                          </w:rPr>
                          <w:t>2019</w:t>
                        </w:r>
                      </w:p>
                    </w:tc>
                    <w:tc>
                      <w:tcPr>
                        <w:tcW w:w="526" w:type="dxa"/>
                        <w:gridSpan w:val="4"/>
                        <w:tcBorders>
                          <w:top w:val="nil"/>
                          <w:left w:val="single" w:sz="4" w:space="0" w:color="888888"/>
                          <w:bottom w:val="nil"/>
                          <w:right w:val="single" w:sz="4" w:space="0" w:color="888888"/>
                        </w:tcBorders>
                      </w:tcPr>
                      <w:p>
                        <w:pPr>
                          <w:pStyle w:val="TableParagraph"/>
                          <w:spacing w:line="131" w:lineRule="exact" w:before="69"/>
                          <w:ind w:left="144"/>
                          <w:rPr>
                            <w:b/>
                            <w:sz w:val="12"/>
                          </w:rPr>
                        </w:pPr>
                        <w:r>
                          <w:rPr>
                            <w:b/>
                            <w:sz w:val="12"/>
                          </w:rPr>
                          <w:t>2020</w:t>
                        </w:r>
                      </w:p>
                    </w:tc>
                    <w:tc>
                      <w:tcPr>
                        <w:tcW w:w="528" w:type="dxa"/>
                        <w:gridSpan w:val="4"/>
                        <w:tcBorders>
                          <w:top w:val="nil"/>
                          <w:left w:val="single" w:sz="4" w:space="0" w:color="888888"/>
                          <w:bottom w:val="nil"/>
                          <w:right w:val="single" w:sz="4" w:space="0" w:color="888888"/>
                        </w:tcBorders>
                      </w:tcPr>
                      <w:p>
                        <w:pPr>
                          <w:pStyle w:val="TableParagraph"/>
                          <w:spacing w:line="131" w:lineRule="exact" w:before="69"/>
                          <w:ind w:left="146"/>
                          <w:rPr>
                            <w:b/>
                            <w:sz w:val="12"/>
                          </w:rPr>
                        </w:pPr>
                        <w:r>
                          <w:rPr>
                            <w:b/>
                            <w:sz w:val="12"/>
                          </w:rPr>
                          <w:t>2021</w:t>
                        </w:r>
                      </w:p>
                    </w:tc>
                    <w:tc>
                      <w:tcPr>
                        <w:tcW w:w="528" w:type="dxa"/>
                        <w:gridSpan w:val="4"/>
                        <w:tcBorders>
                          <w:top w:val="nil"/>
                          <w:left w:val="single" w:sz="4" w:space="0" w:color="888888"/>
                          <w:bottom w:val="nil"/>
                          <w:right w:val="single" w:sz="4" w:space="0" w:color="888888"/>
                        </w:tcBorders>
                      </w:tcPr>
                      <w:p>
                        <w:pPr>
                          <w:pStyle w:val="TableParagraph"/>
                          <w:spacing w:line="131" w:lineRule="exact" w:before="69"/>
                          <w:ind w:left="145"/>
                          <w:rPr>
                            <w:b/>
                            <w:sz w:val="12"/>
                          </w:rPr>
                        </w:pPr>
                        <w:r>
                          <w:rPr>
                            <w:b/>
                            <w:sz w:val="12"/>
                          </w:rPr>
                          <w:t>2022</w:t>
                        </w:r>
                      </w:p>
                    </w:tc>
                    <w:tc>
                      <w:tcPr>
                        <w:tcW w:w="526" w:type="dxa"/>
                        <w:gridSpan w:val="4"/>
                        <w:tcBorders>
                          <w:top w:val="nil"/>
                          <w:left w:val="single" w:sz="4" w:space="0" w:color="888888"/>
                          <w:bottom w:val="nil"/>
                          <w:right w:val="single" w:sz="4" w:space="0" w:color="888888"/>
                        </w:tcBorders>
                      </w:tcPr>
                      <w:p>
                        <w:pPr>
                          <w:pStyle w:val="TableParagraph"/>
                          <w:spacing w:line="131" w:lineRule="exact" w:before="69"/>
                          <w:ind w:left="145"/>
                          <w:rPr>
                            <w:b/>
                            <w:sz w:val="12"/>
                          </w:rPr>
                        </w:pPr>
                        <w:r>
                          <w:rPr>
                            <w:b/>
                            <w:sz w:val="12"/>
                          </w:rPr>
                          <w:t>2023</w:t>
                        </w:r>
                      </w:p>
                    </w:tc>
                  </w:tr>
                </w:tbl>
                <w:p>
                  <w:pPr>
                    <w:pStyle w:val="BodyText"/>
                  </w:pPr>
                </w:p>
              </w:txbxContent>
            </v:textbox>
            <w10:wrap type="none"/>
          </v:shape>
        </w:pict>
      </w:r>
      <w:r>
        <w:rPr>
          <w:sz w:val="12"/>
        </w:rPr>
        <w:t>105</w:t>
      </w:r>
    </w:p>
    <w:p>
      <w:pPr>
        <w:pStyle w:val="BodyText"/>
        <w:spacing w:before="11"/>
        <w:rPr>
          <w:sz w:val="6"/>
        </w:rPr>
      </w:pPr>
    </w:p>
    <w:p>
      <w:pPr>
        <w:spacing w:after="0"/>
        <w:rPr>
          <w:sz w:val="6"/>
        </w:rPr>
        <w:sectPr>
          <w:type w:val="continuous"/>
          <w:pgSz w:w="12240" w:h="15840"/>
          <w:pgMar w:top="1500" w:bottom="280" w:left="1140" w:right="0"/>
        </w:sectPr>
      </w:pPr>
    </w:p>
    <w:p>
      <w:pPr>
        <w:pStyle w:val="BodyText"/>
        <w:rPr>
          <w:sz w:val="12"/>
        </w:rPr>
      </w:pPr>
    </w:p>
    <w:p>
      <w:pPr>
        <w:spacing w:before="0"/>
        <w:ind w:left="0" w:right="0" w:firstLine="0"/>
        <w:jc w:val="right"/>
        <w:rPr>
          <w:sz w:val="12"/>
        </w:rPr>
      </w:pPr>
      <w:r>
        <w:rPr>
          <w:sz w:val="12"/>
        </w:rPr>
        <w:t>100</w:t>
      </w:r>
    </w:p>
    <w:p>
      <w:pPr>
        <w:pStyle w:val="BodyText"/>
        <w:rPr>
          <w:sz w:val="12"/>
        </w:rPr>
      </w:pPr>
    </w:p>
    <w:p>
      <w:pPr>
        <w:pStyle w:val="BodyText"/>
        <w:rPr>
          <w:sz w:val="12"/>
        </w:rPr>
      </w:pPr>
    </w:p>
    <w:p>
      <w:pPr>
        <w:spacing w:before="100"/>
        <w:ind w:left="0" w:right="0" w:firstLine="0"/>
        <w:jc w:val="right"/>
        <w:rPr>
          <w:sz w:val="12"/>
        </w:rPr>
      </w:pPr>
      <w:r>
        <w:rPr>
          <w:sz w:val="12"/>
        </w:rPr>
        <w:t>95</w:t>
      </w:r>
    </w:p>
    <w:p>
      <w:pPr>
        <w:pStyle w:val="BodyText"/>
        <w:rPr>
          <w:sz w:val="12"/>
        </w:rPr>
      </w:pPr>
    </w:p>
    <w:p>
      <w:pPr>
        <w:pStyle w:val="BodyText"/>
        <w:rPr>
          <w:sz w:val="12"/>
        </w:rPr>
      </w:pPr>
    </w:p>
    <w:p>
      <w:pPr>
        <w:spacing w:before="99"/>
        <w:ind w:left="0" w:right="0" w:firstLine="0"/>
        <w:jc w:val="right"/>
        <w:rPr>
          <w:sz w:val="12"/>
        </w:rPr>
      </w:pPr>
      <w:r>
        <w:rPr>
          <w:sz w:val="12"/>
        </w:rPr>
        <w:t>90</w:t>
      </w:r>
    </w:p>
    <w:p>
      <w:pPr>
        <w:pStyle w:val="BodyText"/>
        <w:rPr>
          <w:sz w:val="12"/>
        </w:rPr>
      </w:pPr>
    </w:p>
    <w:p>
      <w:pPr>
        <w:pStyle w:val="BodyText"/>
        <w:rPr>
          <w:sz w:val="12"/>
        </w:rPr>
      </w:pPr>
    </w:p>
    <w:p>
      <w:pPr>
        <w:spacing w:before="99"/>
        <w:ind w:left="0" w:right="0" w:firstLine="0"/>
        <w:jc w:val="right"/>
        <w:rPr>
          <w:sz w:val="12"/>
        </w:rPr>
      </w:pPr>
      <w:r>
        <w:rPr>
          <w:sz w:val="12"/>
        </w:rPr>
        <w:t>85</w:t>
      </w:r>
    </w:p>
    <w:p>
      <w:pPr>
        <w:pStyle w:val="BodyText"/>
        <w:rPr>
          <w:sz w:val="12"/>
        </w:rPr>
      </w:pPr>
    </w:p>
    <w:p>
      <w:pPr>
        <w:pStyle w:val="BodyText"/>
        <w:rPr>
          <w:sz w:val="12"/>
        </w:rPr>
      </w:pPr>
    </w:p>
    <w:p>
      <w:pPr>
        <w:spacing w:before="100"/>
        <w:ind w:left="0" w:right="0" w:firstLine="0"/>
        <w:jc w:val="right"/>
        <w:rPr>
          <w:sz w:val="12"/>
        </w:rPr>
      </w:pPr>
      <w:r>
        <w:rPr>
          <w:sz w:val="12"/>
        </w:rPr>
        <w:t>80</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15"/>
        </w:rPr>
      </w:pPr>
    </w:p>
    <w:p>
      <w:pPr>
        <w:spacing w:before="0"/>
        <w:ind w:left="65" w:right="0" w:firstLine="0"/>
        <w:jc w:val="left"/>
        <w:rPr>
          <w:sz w:val="16"/>
        </w:rPr>
      </w:pPr>
      <w:r>
        <w:rPr>
          <w:sz w:val="16"/>
        </w:rPr>
        <w:t>Fuente: EIA</w:t>
      </w:r>
    </w:p>
    <w:p>
      <w:pPr>
        <w:spacing w:before="95"/>
        <w:ind w:left="0" w:right="5979" w:firstLine="0"/>
        <w:jc w:val="right"/>
        <w:rPr>
          <w:sz w:val="12"/>
        </w:rPr>
      </w:pPr>
      <w:r>
        <w:rPr/>
        <w:br w:type="column"/>
      </w:r>
      <w:r>
        <w:rPr>
          <w:sz w:val="12"/>
        </w:rPr>
        <w:t>220</w:t>
      </w:r>
    </w:p>
    <w:p>
      <w:pPr>
        <w:spacing w:before="67"/>
        <w:ind w:left="0" w:right="5979" w:firstLine="0"/>
        <w:jc w:val="right"/>
        <w:rPr>
          <w:sz w:val="12"/>
        </w:rPr>
      </w:pPr>
      <w:r>
        <w:rPr/>
        <w:pict>
          <v:group style="position:absolute;margin-left:312.049988pt;margin-top:-22.572996pt;width:201pt;height:143.35pt;mso-position-horizontal-relative:page;mso-position-vertical-relative:paragraph;z-index:-281559040" coordorigin="6241,-451" coordsize="4020,2867">
            <v:shape style="position:absolute;left:0;top:7006;width:3845;height:2048" coordorigin="0,7006" coordsize="3845,2048" path="m6360,1983l10205,1983m6360,1779l10205,1779m6360,1572l10205,1572m6360,1368l10205,1368m6360,1164l10205,1164m6360,958l10205,958m6360,754l10205,754m6360,550l10205,550m6360,344l10205,344m6360,140l10205,140m6360,-64l10205,-64e" filled="false" stroked="true" strokeweight=".48pt" strokecolor="#bebebe">
              <v:path arrowok="t"/>
              <v:stroke dashstyle="solid"/>
            </v:shape>
            <v:shape style="position:absolute;left:0;top:9053;width:3334;height:2252" coordorigin="0,9053" coordsize="3334,2252" path="m6360,-64l6360,2187m6914,-64l6914,2187m7471,-64l7471,2187m8028,-64l8028,2187m8582,-64l8582,2187m9139,-64l9139,2187m9694,-64l9694,2187e" filled="false" stroked="true" strokeweight=".48pt" strokecolor="#bebebe">
              <v:path arrowok="t"/>
              <v:stroke dashstyle="solid"/>
            </v:shape>
            <v:rect style="position:absolute;left:6360;top:-65;width:3845;height:2252" filled="false" stroked="true" strokeweight=".72pt" strokecolor="#d9d9d9">
              <v:stroke dashstyle="solid"/>
            </v:rect>
            <v:shape style="position:absolute;left:0;top:9053;width:3845;height:36" coordorigin="0,9053" coordsize="3845,36" path="m6360,2187l10205,2187m6360,2187l6360,2223m6914,2187l6914,2223m7471,2187l7471,2223m8028,2187l8028,2223m8582,2187l8582,2223m9139,2187l9139,2223e" filled="false" stroked="true" strokeweight=".48pt" strokecolor="#000000">
              <v:path arrowok="t"/>
              <v:stroke dashstyle="solid"/>
            </v:shape>
            <v:shape style="position:absolute;left:6343;top:-134;width:3917;height:2549" type="#_x0000_t75" stroked="false">
              <v:imagedata r:id="rId11" o:title=""/>
            </v:shape>
            <v:line style="position:absolute" from="6664,-174" to="7048,-174" stroked="true" strokeweight="1.56pt" strokecolor="#ffd966">
              <v:stroke dashstyle="solid"/>
            </v:line>
            <v:shape style="position:absolute;left:6813;top:-216;width:80;height:80" coordorigin="6814,-216" coordsize="80,80" path="m6853,-216l6838,-212,6825,-204,6817,-191,6814,-176,6817,-161,6825,-148,6838,-139,6853,-136,6869,-139,6881,-148,6890,-161,6893,-176,6890,-191,6881,-204,6869,-212,6853,-216xe" filled="true" fillcolor="#ffd966" stroked="false">
              <v:path arrowok="t"/>
              <v:fill type="solid"/>
            </v:shape>
            <v:shape style="position:absolute;left:6813;top:-216;width:80;height:80" coordorigin="6814,-216" coordsize="80,80" path="m6893,-176l6890,-161,6881,-148,6869,-139,6853,-136,6838,-139,6825,-148,6817,-161,6814,-176,6817,-191,6825,-204,6838,-212,6853,-216,6869,-212,6881,-204,6890,-191,6893,-176xe" filled="false" stroked="true" strokeweight=".48pt" strokecolor="#ffc000">
              <v:path arrowok="t"/>
              <v:stroke dashstyle="solid"/>
            </v:shape>
            <v:line style="position:absolute" from="8413,-174" to="8797,-174" stroked="true" strokeweight="1.56pt" strokecolor="#ffd966">
              <v:stroke dashstyle="solid"/>
            </v:line>
            <v:shape style="position:absolute;left:8563;top:-216;width:80;height:80" coordorigin="8563,-216" coordsize="80,80" path="m8603,-216l8587,-212,8575,-204,8566,-191,8563,-176,8566,-161,8575,-148,8587,-139,8603,-136,8618,-139,8631,-148,8639,-161,8642,-176,8639,-191,8631,-204,8618,-212,8603,-216xe" filled="true" fillcolor="#ffd966" stroked="false">
              <v:path arrowok="t"/>
              <v:fill type="solid"/>
            </v:shape>
            <v:shape style="position:absolute;left:8563;top:-216;width:80;height:80" coordorigin="8563,-216" coordsize="80,80" path="m8642,-176l8639,-161,8631,-148,8618,-139,8603,-136,8587,-139,8575,-148,8566,-161,8563,-176,8566,-191,8575,-204,8587,-212,8603,-216,8618,-212,8631,-204,8639,-191,8642,-176xe" filled="false" stroked="true" strokeweight=".48pt" strokecolor="#ffd966">
              <v:path arrowok="t"/>
              <v:stroke dashstyle="solid"/>
            </v:shape>
            <v:shape style="position:absolute;left:7088;top:-452;width:914;height:364" type="#_x0000_t202" filled="false" stroked="false">
              <v:textbox inset="0,0,0,0">
                <w:txbxContent>
                  <w:p>
                    <w:pPr>
                      <w:spacing w:line="242" w:lineRule="auto" w:before="0"/>
                      <w:ind w:left="0" w:right="0" w:firstLine="40"/>
                      <w:jc w:val="left"/>
                      <w:rPr>
                        <w:sz w:val="16"/>
                      </w:rPr>
                    </w:pPr>
                    <w:r>
                      <w:rPr>
                        <w:sz w:val="16"/>
                      </w:rPr>
                      <w:t>histórico limite inferior</w:t>
                    </w:r>
                  </w:p>
                </w:txbxContent>
              </v:textbox>
              <w10:wrap type="none"/>
            </v:shape>
            <v:shape style="position:absolute;left:8840;top:-452;width:959;height:364" type="#_x0000_t202" filled="false" stroked="false">
              <v:textbox inset="0,0,0,0">
                <w:txbxContent>
                  <w:p>
                    <w:pPr>
                      <w:spacing w:line="242" w:lineRule="auto" w:before="0"/>
                      <w:ind w:left="0" w:right="1" w:firstLine="0"/>
                      <w:jc w:val="left"/>
                      <w:rPr>
                        <w:sz w:val="16"/>
                      </w:rPr>
                    </w:pPr>
                    <w:r>
                      <w:rPr>
                        <w:sz w:val="16"/>
                      </w:rPr>
                      <w:t>pronóstico limite superior</w:t>
                    </w:r>
                  </w:p>
                </w:txbxContent>
              </v:textbox>
              <w10:wrap type="none"/>
            </v:shape>
            <v:shape style="position:absolute;left:6241;top:2261;width:3596;height:133" type="#_x0000_t202" filled="false" stroked="false">
              <v:textbox inset="0,0,0,0">
                <w:txbxContent>
                  <w:p>
                    <w:pPr>
                      <w:tabs>
                        <w:tab w:pos="555" w:val="left" w:leader="none"/>
                        <w:tab w:pos="1111" w:val="left" w:leader="none"/>
                        <w:tab w:pos="1667" w:val="left" w:leader="none"/>
                        <w:tab w:pos="2223" w:val="left" w:leader="none"/>
                        <w:tab w:pos="2779" w:val="left" w:leader="none"/>
                        <w:tab w:pos="3335" w:val="left" w:leader="none"/>
                      </w:tabs>
                      <w:spacing w:line="133" w:lineRule="exact" w:before="0"/>
                      <w:ind w:left="0" w:right="0" w:firstLine="0"/>
                      <w:jc w:val="left"/>
                      <w:rPr>
                        <w:sz w:val="12"/>
                      </w:rPr>
                    </w:pPr>
                    <w:r>
                      <w:rPr>
                        <w:sz w:val="12"/>
                      </w:rPr>
                      <w:t>2017</w:t>
                      <w:tab/>
                      <w:t>2018</w:t>
                      <w:tab/>
                      <w:t>2019</w:t>
                      <w:tab/>
                      <w:t>2020</w:t>
                      <w:tab/>
                      <w:t>2021</w:t>
                      <w:tab/>
                      <w:t>2022</w:t>
                      <w:tab/>
                      <w:t>2023</w:t>
                    </w:r>
                  </w:p>
                </w:txbxContent>
              </v:textbox>
              <w10:wrap type="none"/>
            </v:shape>
            <w10:wrap type="none"/>
          </v:group>
        </w:pict>
      </w:r>
      <w:r>
        <w:rPr/>
        <w:pict>
          <v:group style="position:absolute;margin-left:106.68pt;margin-top:-11.858446pt;width:179.55pt;height:82.35pt;mso-position-horizontal-relative:page;mso-position-vertical-relative:paragraph;z-index:251761664" coordorigin="2134,-237" coordsize="3591,1647">
            <v:shape style="position:absolute;left:2149;top:-222;width:3560;height:1150" coordorigin="2149,-222" coordsize="3560,1150" path="m2149,302l2281,258,2413,158,2545,117,2677,83,2809,11,2941,-145,3073,-222,3205,2,3337,-22,3469,-13,3601,-159,3733,-51,3863,810,3995,928,4127,753,4259,736,4391,522,4523,323,4655,155,4787,98,4919,52,5051,-68,5183,-123,5315,-126,5444,-181,5576,-214,5708,-222e" filled="false" stroked="true" strokeweight="1.56pt" strokecolor="#5b9bd4">
              <v:path arrowok="t"/>
              <v:stroke dashstyle="solid"/>
            </v:shape>
            <v:shape style="position:absolute;left:2149;top:-210;width:3560;height:1604" coordorigin="2149,-210" coordsize="3560,1604" path="m2149,251l2281,54,2413,9,2545,-25,2677,47,2809,-6,2941,-123,3073,-56,3205,-8,3337,-80,3469,-210,3601,-145,3733,477,3863,1394,3995,772,4127,606,4259,566,4391,354,4523,141,4655,-73,4787,107,4919,122,5051,-42,5183,-114,5315,-174,5444,-157,5576,-200,5708,-195e" filled="false" stroked="true" strokeweight="1.56pt" strokecolor="#6fac46">
              <v:path arrowok="t"/>
              <v:stroke dashstyle="solid"/>
            </v:shape>
            <w10:wrap type="none"/>
          </v:group>
        </w:pict>
      </w:r>
      <w:r>
        <w:rPr>
          <w:sz w:val="12"/>
        </w:rPr>
        <w:t>200</w:t>
      </w:r>
    </w:p>
    <w:p>
      <w:pPr>
        <w:spacing w:before="66"/>
        <w:ind w:left="0" w:right="5979" w:firstLine="0"/>
        <w:jc w:val="right"/>
        <w:rPr>
          <w:sz w:val="12"/>
        </w:rPr>
      </w:pPr>
      <w:r>
        <w:rPr>
          <w:sz w:val="12"/>
        </w:rPr>
        <w:t>180</w:t>
      </w:r>
    </w:p>
    <w:p>
      <w:pPr>
        <w:spacing w:before="68"/>
        <w:ind w:left="0" w:right="5979" w:firstLine="0"/>
        <w:jc w:val="right"/>
        <w:rPr>
          <w:sz w:val="12"/>
        </w:rPr>
      </w:pPr>
      <w:r>
        <w:rPr>
          <w:sz w:val="12"/>
        </w:rPr>
        <w:t>160</w:t>
      </w:r>
    </w:p>
    <w:p>
      <w:pPr>
        <w:spacing w:before="67"/>
        <w:ind w:left="0" w:right="5979" w:firstLine="0"/>
        <w:jc w:val="right"/>
        <w:rPr>
          <w:sz w:val="12"/>
        </w:rPr>
      </w:pPr>
      <w:r>
        <w:rPr>
          <w:sz w:val="12"/>
        </w:rPr>
        <w:t>140</w:t>
      </w:r>
    </w:p>
    <w:p>
      <w:pPr>
        <w:spacing w:before="67"/>
        <w:ind w:left="0" w:right="5979" w:firstLine="0"/>
        <w:jc w:val="right"/>
        <w:rPr>
          <w:sz w:val="12"/>
        </w:rPr>
      </w:pPr>
      <w:r>
        <w:rPr>
          <w:sz w:val="12"/>
        </w:rPr>
        <w:t>120</w:t>
      </w:r>
    </w:p>
    <w:p>
      <w:pPr>
        <w:spacing w:before="66"/>
        <w:ind w:left="0" w:right="5979" w:firstLine="0"/>
        <w:jc w:val="right"/>
        <w:rPr>
          <w:sz w:val="12"/>
        </w:rPr>
      </w:pPr>
      <w:r>
        <w:rPr>
          <w:sz w:val="12"/>
        </w:rPr>
        <w:t>100</w:t>
      </w:r>
    </w:p>
    <w:p>
      <w:pPr>
        <w:spacing w:before="67"/>
        <w:ind w:left="0" w:right="5979" w:firstLine="0"/>
        <w:jc w:val="right"/>
        <w:rPr>
          <w:sz w:val="12"/>
        </w:rPr>
      </w:pPr>
      <w:r>
        <w:rPr>
          <w:sz w:val="12"/>
        </w:rPr>
        <w:t>80</w:t>
      </w:r>
    </w:p>
    <w:p>
      <w:pPr>
        <w:spacing w:before="67"/>
        <w:ind w:left="0" w:right="5979" w:firstLine="0"/>
        <w:jc w:val="right"/>
        <w:rPr>
          <w:sz w:val="12"/>
        </w:rPr>
      </w:pPr>
      <w:r>
        <w:rPr>
          <w:sz w:val="12"/>
        </w:rPr>
        <w:t>60</w:t>
      </w:r>
    </w:p>
    <w:p>
      <w:pPr>
        <w:spacing w:before="66"/>
        <w:ind w:left="0" w:right="5979" w:firstLine="0"/>
        <w:jc w:val="right"/>
        <w:rPr>
          <w:sz w:val="12"/>
        </w:rPr>
      </w:pPr>
      <w:r>
        <w:rPr>
          <w:sz w:val="12"/>
        </w:rPr>
        <w:t>40</w:t>
      </w:r>
    </w:p>
    <w:p>
      <w:pPr>
        <w:spacing w:before="67"/>
        <w:ind w:left="0" w:right="5979" w:firstLine="0"/>
        <w:jc w:val="right"/>
        <w:rPr>
          <w:sz w:val="12"/>
        </w:rPr>
      </w:pPr>
      <w:r>
        <w:rPr>
          <w:sz w:val="12"/>
        </w:rPr>
        <w:t>20</w:t>
      </w:r>
    </w:p>
    <w:p>
      <w:pPr>
        <w:spacing w:before="67"/>
        <w:ind w:left="0" w:right="5979" w:firstLine="0"/>
        <w:jc w:val="right"/>
        <w:rPr>
          <w:sz w:val="12"/>
        </w:rPr>
      </w:pPr>
      <w:r>
        <w:rPr>
          <w:sz w:val="12"/>
        </w:rPr>
        <w:t>0</w:t>
      </w:r>
    </w:p>
    <w:p>
      <w:pPr>
        <w:spacing w:after="0"/>
        <w:jc w:val="right"/>
        <w:rPr>
          <w:sz w:val="12"/>
        </w:rPr>
        <w:sectPr>
          <w:type w:val="continuous"/>
          <w:pgSz w:w="12240" w:h="15840"/>
          <w:pgMar w:top="1500" w:bottom="280" w:left="1140" w:right="0"/>
          <w:cols w:num="3" w:equalWidth="0">
            <w:col w:w="843" w:space="40"/>
            <w:col w:w="892" w:space="2501"/>
            <w:col w:w="6824"/>
          </w:cols>
        </w:sectPr>
      </w:pPr>
    </w:p>
    <w:p>
      <w:pPr>
        <w:pStyle w:val="BodyText"/>
        <w:spacing w:before="4"/>
        <w:rPr>
          <w:sz w:val="29"/>
        </w:rPr>
      </w:pPr>
    </w:p>
    <w:p>
      <w:pPr>
        <w:pStyle w:val="Heading2"/>
        <w:numPr>
          <w:ilvl w:val="1"/>
          <w:numId w:val="11"/>
        </w:numPr>
        <w:tabs>
          <w:tab w:pos="990" w:val="left" w:leader="none"/>
        </w:tabs>
        <w:spacing w:line="240" w:lineRule="auto" w:before="90" w:after="0"/>
        <w:ind w:left="989" w:right="0" w:hanging="361"/>
        <w:jc w:val="left"/>
      </w:pPr>
      <w:bookmarkStart w:name="_bookmark33" w:id="46"/>
      <w:bookmarkEnd w:id="46"/>
      <w:r>
        <w:rPr>
          <w:b w:val="0"/>
        </w:rPr>
      </w:r>
      <w:bookmarkStart w:name="_bookmark33" w:id="47"/>
      <w:bookmarkEnd w:id="47"/>
      <w:r>
        <w:rPr/>
        <w:t>P</w:t>
      </w:r>
      <w:r>
        <w:rPr/>
        <w:t>rincipales materias primas</w:t>
      </w:r>
    </w:p>
    <w:p>
      <w:pPr>
        <w:pStyle w:val="BodyText"/>
        <w:spacing w:before="6"/>
        <w:rPr>
          <w:b/>
          <w:sz w:val="28"/>
        </w:rPr>
      </w:pPr>
    </w:p>
    <w:p>
      <w:pPr>
        <w:pStyle w:val="BodyText"/>
        <w:spacing w:line="276" w:lineRule="auto"/>
        <w:ind w:left="562" w:right="1695"/>
        <w:jc w:val="both"/>
      </w:pPr>
      <w:r>
        <w:rPr/>
        <w:t>En</w:t>
      </w:r>
      <w:r>
        <w:rPr>
          <w:spacing w:val="-4"/>
        </w:rPr>
        <w:t> </w:t>
      </w:r>
      <w:r>
        <w:rPr/>
        <w:t>cuanto</w:t>
      </w:r>
      <w:r>
        <w:rPr>
          <w:spacing w:val="-4"/>
        </w:rPr>
        <w:t> </w:t>
      </w:r>
      <w:r>
        <w:rPr/>
        <w:t>a</w:t>
      </w:r>
      <w:r>
        <w:rPr>
          <w:spacing w:val="-3"/>
        </w:rPr>
        <w:t> </w:t>
      </w:r>
      <w:r>
        <w:rPr/>
        <w:t>los</w:t>
      </w:r>
      <w:r>
        <w:rPr>
          <w:spacing w:val="-2"/>
        </w:rPr>
        <w:t> </w:t>
      </w:r>
      <w:r>
        <w:rPr/>
        <w:t>precios</w:t>
      </w:r>
      <w:r>
        <w:rPr>
          <w:spacing w:val="-3"/>
        </w:rPr>
        <w:t> </w:t>
      </w:r>
      <w:r>
        <w:rPr/>
        <w:t>de</w:t>
      </w:r>
      <w:r>
        <w:rPr>
          <w:spacing w:val="-6"/>
        </w:rPr>
        <w:t> </w:t>
      </w:r>
      <w:r>
        <w:rPr/>
        <w:t>las</w:t>
      </w:r>
      <w:r>
        <w:rPr>
          <w:spacing w:val="-3"/>
        </w:rPr>
        <w:t> </w:t>
      </w:r>
      <w:r>
        <w:rPr/>
        <w:t>materias</w:t>
      </w:r>
      <w:r>
        <w:rPr>
          <w:spacing w:val="-2"/>
        </w:rPr>
        <w:t> </w:t>
      </w:r>
      <w:r>
        <w:rPr/>
        <w:t>primas</w:t>
      </w:r>
      <w:r>
        <w:rPr>
          <w:spacing w:val="-3"/>
        </w:rPr>
        <w:t> </w:t>
      </w:r>
      <w:r>
        <w:rPr/>
        <w:t>se</w:t>
      </w:r>
      <w:r>
        <w:rPr>
          <w:spacing w:val="-3"/>
        </w:rPr>
        <w:t> </w:t>
      </w:r>
      <w:r>
        <w:rPr/>
        <w:t>espera</w:t>
      </w:r>
      <w:r>
        <w:rPr>
          <w:spacing w:val="-3"/>
        </w:rPr>
        <w:t> </w:t>
      </w:r>
      <w:r>
        <w:rPr/>
        <w:t>que</w:t>
      </w:r>
      <w:r>
        <w:rPr>
          <w:spacing w:val="-2"/>
        </w:rPr>
        <w:t> </w:t>
      </w:r>
      <w:r>
        <w:rPr/>
        <w:t>suban</w:t>
      </w:r>
      <w:r>
        <w:rPr>
          <w:spacing w:val="-4"/>
        </w:rPr>
        <w:t> </w:t>
      </w:r>
      <w:r>
        <w:rPr/>
        <w:t>considerablemente</w:t>
      </w:r>
      <w:r>
        <w:rPr>
          <w:spacing w:val="-3"/>
        </w:rPr>
        <w:t> </w:t>
      </w:r>
      <w:r>
        <w:rPr/>
        <w:t>para</w:t>
      </w:r>
      <w:r>
        <w:rPr>
          <w:spacing w:val="-3"/>
        </w:rPr>
        <w:t> </w:t>
      </w:r>
      <w:r>
        <w:rPr/>
        <w:t>el</w:t>
      </w:r>
      <w:r>
        <w:rPr>
          <w:spacing w:val="2"/>
        </w:rPr>
        <w:t> </w:t>
      </w:r>
      <w:r>
        <w:rPr/>
        <w:t>2022</w:t>
      </w:r>
      <w:r>
        <w:rPr>
          <w:spacing w:val="-4"/>
        </w:rPr>
        <w:t> </w:t>
      </w:r>
      <w:r>
        <w:rPr/>
        <w:t>y se</w:t>
      </w:r>
      <w:r>
        <w:rPr>
          <w:spacing w:val="-9"/>
        </w:rPr>
        <w:t> </w:t>
      </w:r>
      <w:r>
        <w:rPr/>
        <w:t>prevé</w:t>
      </w:r>
      <w:r>
        <w:rPr>
          <w:spacing w:val="-8"/>
        </w:rPr>
        <w:t> </w:t>
      </w:r>
      <w:r>
        <w:rPr/>
        <w:t>se</w:t>
      </w:r>
      <w:r>
        <w:rPr>
          <w:spacing w:val="-8"/>
        </w:rPr>
        <w:t> </w:t>
      </w:r>
      <w:r>
        <w:rPr/>
        <w:t>mantengan</w:t>
      </w:r>
      <w:r>
        <w:rPr>
          <w:spacing w:val="-10"/>
        </w:rPr>
        <w:t> </w:t>
      </w:r>
      <w:r>
        <w:rPr/>
        <w:t>en</w:t>
      </w:r>
      <w:r>
        <w:rPr>
          <w:spacing w:val="-11"/>
        </w:rPr>
        <w:t> </w:t>
      </w:r>
      <w:r>
        <w:rPr/>
        <w:t>los</w:t>
      </w:r>
      <w:r>
        <w:rPr>
          <w:spacing w:val="-8"/>
        </w:rPr>
        <w:t> </w:t>
      </w:r>
      <w:r>
        <w:rPr/>
        <w:t>próximos</w:t>
      </w:r>
      <w:r>
        <w:rPr>
          <w:spacing w:val="-8"/>
        </w:rPr>
        <w:t> </w:t>
      </w:r>
      <w:r>
        <w:rPr/>
        <w:t>años,</w:t>
      </w:r>
      <w:r>
        <w:rPr>
          <w:spacing w:val="-11"/>
        </w:rPr>
        <w:t> </w:t>
      </w:r>
      <w:r>
        <w:rPr/>
        <w:t>en</w:t>
      </w:r>
      <w:r>
        <w:rPr>
          <w:spacing w:val="-9"/>
        </w:rPr>
        <w:t> </w:t>
      </w:r>
      <w:r>
        <w:rPr/>
        <w:t>parte,</w:t>
      </w:r>
      <w:r>
        <w:rPr>
          <w:spacing w:val="-11"/>
        </w:rPr>
        <w:t> </w:t>
      </w:r>
      <w:r>
        <w:rPr/>
        <w:t>debido</w:t>
      </w:r>
      <w:r>
        <w:rPr>
          <w:spacing w:val="-11"/>
        </w:rPr>
        <w:t> </w:t>
      </w:r>
      <w:r>
        <w:rPr/>
        <w:t>a</w:t>
      </w:r>
      <w:r>
        <w:rPr>
          <w:spacing w:val="-11"/>
        </w:rPr>
        <w:t> </w:t>
      </w:r>
      <w:r>
        <w:rPr/>
        <w:t>que</w:t>
      </w:r>
      <w:r>
        <w:rPr>
          <w:spacing w:val="-11"/>
        </w:rPr>
        <w:t> </w:t>
      </w:r>
      <w:r>
        <w:rPr/>
        <w:t>Rusia</w:t>
      </w:r>
      <w:r>
        <w:rPr>
          <w:spacing w:val="-9"/>
        </w:rPr>
        <w:t> </w:t>
      </w:r>
      <w:r>
        <w:rPr/>
        <w:t>es</w:t>
      </w:r>
      <w:r>
        <w:rPr>
          <w:spacing w:val="-8"/>
        </w:rPr>
        <w:t> </w:t>
      </w:r>
      <w:r>
        <w:rPr/>
        <w:t>un</w:t>
      </w:r>
      <w:r>
        <w:rPr>
          <w:spacing w:val="-11"/>
        </w:rPr>
        <w:t> </w:t>
      </w:r>
      <w:r>
        <w:rPr/>
        <w:t>importante</w:t>
      </w:r>
      <w:r>
        <w:rPr>
          <w:spacing w:val="-11"/>
        </w:rPr>
        <w:t> </w:t>
      </w:r>
      <w:r>
        <w:rPr/>
        <w:t>proveedor de petróleo, gas y metales y, junto con Ucrania, de trigo y maíz, lo que implica una disminución en los suministros de estos productos básicos y el aumento de precios, siendo Europa, Asia Central, Medio Oriente, Norte de África, y el África Subsahariana los más afectados, pero también perjudicarán hogares de bajos ingresos en todo el mundo, incluso en América y Asia. Los precios de varias materias primas han experimentado durante los primeros meses de 2022 incrementos sustantivo a raíz del conflicto Rusia-Ucrania. En el caso de los insumos alimenticios (maíz y arroz), los incrementos han sido sostenidos; mientras que, en los metálicos, que registraron un fuerte crecimiento en febrero y marzo, tendieron a regularizarse a partir de</w:t>
      </w:r>
      <w:r>
        <w:rPr>
          <w:spacing w:val="-14"/>
        </w:rPr>
        <w:t> </w:t>
      </w:r>
      <w:r>
        <w:rPr/>
        <w:t>abril.</w:t>
      </w:r>
    </w:p>
    <w:p>
      <w:pPr>
        <w:spacing w:after="0" w:line="276" w:lineRule="auto"/>
        <w:jc w:val="both"/>
        <w:sectPr>
          <w:type w:val="continuous"/>
          <w:pgSz w:w="12240" w:h="15840"/>
          <w:pgMar w:top="1500" w:bottom="280" w:left="1140" w:right="0"/>
        </w:sectPr>
      </w:pPr>
    </w:p>
    <w:p>
      <w:pPr>
        <w:spacing w:before="169"/>
        <w:ind w:left="3097" w:right="0" w:firstLine="0"/>
        <w:jc w:val="left"/>
        <w:rPr>
          <w:b/>
          <w:sz w:val="20"/>
        </w:rPr>
      </w:pPr>
      <w:r>
        <w:rPr/>
        <w:pict>
          <v:group style="position:absolute;margin-left:94.800003pt;margin-top:21.625942pt;width:448.2pt;height:211.45pt;mso-position-horizontal-relative:page;mso-position-vertical-relative:paragraph;z-index:251836416" coordorigin="1896,433" coordsize="8964,4229">
            <v:shape style="position:absolute;left:1908;top:432;width:8945;height:2426" coordorigin="1908,433" coordsize="8945,2426" path="m10853,2640l1908,2640,1908,2858,10853,2858,10853,2640m10853,433l1908,433,1908,888,10853,888,10853,433e" filled="true" fillcolor="#d9e0f1" stroked="false">
              <v:path arrowok="t"/>
              <v:fill type="solid"/>
            </v:shape>
            <v:line style="position:absolute" from="1902,893" to="1902,2635" stroked="true" strokeweight=".616013pt" strokecolor="#d3d3d3">
              <v:stroke dashstyle="solid"/>
            </v:line>
            <v:line style="position:absolute" from="1902,888" to="1902,2640" stroked="true" strokeweight=".616013pt" strokecolor="#d3d3d3">
              <v:stroke dashstyle="solid"/>
            </v:line>
            <v:line style="position:absolute" from="3691,893" to="3691,2635" stroked="true" strokeweight=".616013pt" strokecolor="#d3d3d3">
              <v:stroke dashstyle="solid"/>
            </v:line>
            <v:line style="position:absolute" from="3691,888" to="3691,2640" stroked="true" strokeweight=".616013pt" strokecolor="#d3d3d3">
              <v:stroke dashstyle="solid"/>
            </v:line>
            <v:line style="position:absolute" from="5480,893" to="5480,2635" stroked="true" strokeweight=".616013pt" strokecolor="#d3d3d3">
              <v:stroke dashstyle="solid"/>
            </v:line>
            <v:line style="position:absolute" from="5480,888" to="5480,2640" stroked="true" strokeweight=".616013pt" strokecolor="#d3d3d3">
              <v:stroke dashstyle="solid"/>
            </v:line>
            <v:line style="position:absolute" from="10847,893" to="10847,2635" stroked="true" strokeweight=".616013pt" strokecolor="#d3d3d3">
              <v:stroke dashstyle="solid"/>
            </v:line>
            <v:line style="position:absolute" from="10847,888" to="10847,2640" stroked="true" strokeweight=".636547pt" strokecolor="#d3d3d3">
              <v:stroke dashstyle="solid"/>
            </v:line>
            <v:line style="position:absolute" from="1908,4656" to="10853,4656" stroked="true" strokeweight=".517114pt" strokecolor="#d9e0f1">
              <v:stroke dashstyle="solid"/>
            </v:line>
            <v:line style="position:absolute" from="1902,2863" to="1902,4646" stroked="true" strokeweight=".616013pt" strokecolor="#d3d3d3">
              <v:stroke dashstyle="solid"/>
            </v:line>
            <v:line style="position:absolute" from="1902,2858" to="1902,4651" stroked="true" strokeweight=".616013pt" strokecolor="#d3d3d3">
              <v:stroke dashstyle="solid"/>
            </v:line>
            <v:line style="position:absolute" from="7269,4599" to="7269,4646" stroked="true" strokeweight=".616013pt" strokecolor="#d3d3d3">
              <v:stroke dashstyle="solid"/>
            </v:line>
            <v:line style="position:absolute" from="7269,4599" to="7269,4651" stroked="true" strokeweight=".616013pt" strokecolor="#d3d3d3">
              <v:stroke dashstyle="solid"/>
            </v:line>
            <v:line style="position:absolute" from="10847,2863" to="10847,4646" stroked="true" strokeweight=".616013pt" strokecolor="#d3d3d3">
              <v:stroke dashstyle="solid"/>
            </v:line>
            <v:line style="position:absolute" from="10847,2858" to="10847,4651" stroked="true" strokeweight=".636547pt" strokecolor="#d3d3d3">
              <v:stroke dashstyle="solid"/>
            </v:line>
            <v:line style="position:absolute" from="3691,2863" to="3691,4646" stroked="true" strokeweight=".616013pt" strokecolor="#d3d3d3">
              <v:stroke dashstyle="solid"/>
            </v:line>
            <v:line style="position:absolute" from="3691,2858" to="3691,4651" stroked="true" strokeweight=".616013pt" strokecolor="#d3d3d3">
              <v:stroke dashstyle="solid"/>
            </v:line>
            <v:line style="position:absolute" from="5480,2863" to="5480,4646" stroked="true" strokeweight=".616013pt" strokecolor="#d3d3d3">
              <v:stroke dashstyle="solid"/>
            </v:line>
            <v:line style="position:absolute" from="5480,2858" to="5480,4651" stroked="true" strokeweight=".616013pt" strokecolor="#d3d3d3">
              <v:stroke dashstyle="solid"/>
            </v:line>
            <v:line style="position:absolute" from="9058,4599" to="9058,4646" stroked="true" strokeweight=".616013pt" strokecolor="#d3d3d3">
              <v:stroke dashstyle="solid"/>
            </v:line>
            <v:line style="position:absolute" from="9058,4599" to="9058,4651" stroked="true" strokeweight=".616013pt" strokecolor="#d3d3d3">
              <v:stroke dashstyle="solid"/>
            </v:line>
            <v:line style="position:absolute" from="10859,468" to="10859,468" stroked="true" strokeweight=".517087pt" strokecolor="#d3d3d3">
              <v:stroke dashstyle="solid"/>
            </v:line>
            <v:line style="position:absolute" from="10859,676" to="10859,676" stroked="true" strokeweight=".517087pt" strokecolor="#d3d3d3">
              <v:stroke dashstyle="solid"/>
            </v:line>
            <v:line style="position:absolute" from="10859,883" to="10859,883" stroked="true" strokeweight=".517087pt" strokecolor="#d3d3d3">
              <v:stroke dashstyle="solid"/>
            </v:line>
            <v:line style="position:absolute" from="10859,2645" to="10859,2645" stroked="true" strokeweight=".517087pt" strokecolor="#d3d3d3">
              <v:stroke dashstyle="solid"/>
            </v:line>
            <v:line style="position:absolute" from="10859,2853" to="10859,2853" stroked="true" strokeweight=".517087pt" strokecolor="#d3d3d3">
              <v:stroke dashstyle="solid"/>
            </v:line>
            <v:line style="position:absolute" from="10859,4656" to="10859,4656" stroked="true" strokeweight=".517087pt" strokecolor="#d3d3d3">
              <v:stroke dashstyle="solid"/>
            </v:line>
            <v:shape style="position:absolute;left:5801;top:1321;width:1269;height:621" coordorigin="5802,1321" coordsize="1269,621" path="m5802,1880l5814,1880,5826,1880,5838,1869,5838,1859,5851,1890,5863,1942,5875,1942,5888,1942,5900,1921,5900,1869,5912,1849,5925,1828,5937,1817,5949,1797,5962,1797,5962,1776,5974,1797,5986,1797,5999,1776,6011,1766,6023,1714,6023,1724,6036,1745,6048,1714,6060,1745,6073,1776,6073,1828,6085,1755,6097,1776,6110,1817,6122,1807,6134,1807,6146,1766,6159,1776,6171,1766,6183,1766,6196,1724,6196,1642,6208,1642,6220,1621,6233,1600,6245,1642,6257,1683,6257,1704,6270,1693,6282,1704,6294,1693,6307,1590,6319,1642,6319,1673,6331,1683,6344,1631,6356,1621,6368,1621,6381,1621,6381,1580,6393,1631,6405,1673,6418,1642,6430,1621,6442,1621,6442,1631,6454,1621,6467,1642,6479,1652,6491,1662,6491,1683,6504,1673,6516,1662,6528,1590,6541,1528,6553,1611,6565,1590,6578,1590,6590,1569,6602,1497,6615,1518,6615,1497,6627,1383,6639,1497,6652,1456,6664,1445,6676,1445,6676,1456,6689,1538,6701,1528,6713,1507,6726,1466,6738,1435,6738,1321,6750,1435,6763,1487,6775,1456,6787,1435,6799,1414,6799,1435,6812,1445,6824,1414,6836,1383,6849,1383,6861,1373,6861,1435,6873,1466,6886,1497,6898,1424,6910,1466,6910,1476,6923,1518,6935,1580,6947,1559,6960,1528,6972,1549,6972,1569,6984,1590,6997,1600,7009,1569,7021,1600,7034,1611,7046,1590,7058,1549,7071,1549e" filled="false" stroked="true" strokeweight=".893626pt" strokecolor="#4471c4">
              <v:path arrowok="t"/>
              <v:stroke dashstyle="solid"/>
            </v:shape>
            <v:shape style="position:absolute;left:2265;top:1259;width:1233;height:735" coordorigin="2266,1259" coordsize="1233,735" path="m2266,1973l2278,1983,2290,1921,2303,1942,2315,1942,2315,1931,2327,1952,2340,1952,2352,1952,2364,1993,2364,1962,2376,1952,2389,1921,2401,1921,2413,1900,2413,1880,2426,1890,2438,1869,2450,1869,2463,1838,2463,1869,2475,1838,2487,1880,2500,1900,2512,1890,2524,1838,2524,1849,2537,1807,2549,1817,2561,1786,2574,1776,2574,1828,2586,1797,2598,1797,2611,1776,2623,1714,2623,1683,2635,1652,2648,1766,2660,1642,2672,1507,2684,1466,2697,1456,2709,1476,2721,1456,2721,1518,2734,1445,2746,1424,2758,1549,2771,1445,2771,1538,2783,1456,2795,1497,2808,1456,2820,1466,2820,1445,2832,1476,2845,1466,2857,1476,2869,1549,2869,1507,2882,1476,2894,1518,2906,1476,2919,1445,2919,1456,2931,1445,2943,1414,2956,1424,2968,1393,2968,1373,2980,1342,2993,1269,3005,1300,3017,1269,3017,1321,3029,1342,3042,1311,3054,1300,3066,1269,3079,1259,3091,1269,3103,1311,3116,1321,3116,1300,3128,1342,3140,1362,3153,1362,3165,1311,3165,1269,3177,1331,3190,1290,3202,1311,3214,1373,3227,1383,3239,1362,3251,1404,3264,1404,3264,1424,3276,1383,3288,1466,3301,1538,3313,1538,3313,1549,3325,1497,3337,1456,3350,1424,3362,1404,3374,1404,3374,1414,3387,1414,3399,1393,3411,1352,3424,1362,3424,1435,3436,1414,3448,1487,3461,1476,3473,1497,3473,1445,3485,1414,3498,1497e" filled="false" stroked="true" strokeweight=".905025pt" strokecolor="#001f5f">
              <v:path arrowok="t"/>
              <v:stroke dashstyle="solid"/>
            </v:shape>
            <v:shape style="position:absolute;left:4101;top:1165;width:1183;height:921" coordorigin="4101,1166" coordsize="1183,921" path="m4101,2045l4114,2066,4114,2045,4126,2055,4138,2076,4151,2066,4151,2055,4163,2045,4175,2066,4188,2076,4200,2086,4200,2045,4212,2014,4225,2024,4237,2035,4237,2004,4249,1983,4261,2014,4274,2035,4286,2024,4286,2055,4298,2045,4311,2066,4323,2076,4323,2055,4335,2045,4348,2035,4360,2024,4372,2045,4372,2014,4385,2004,4397,2035,4409,2035,4409,2014,4422,2014,4434,1952,4446,1900,4459,1838,4459,1952,4471,1838,4483,1735,4496,1662,4496,1342,4508,1269,4520,1166,4533,1362,4533,1466,4545,1642,4557,1611,4569,1611,4582,1528,4582,1642,4594,1600,4606,1652,4619,1580,4631,1590,4643,1621,4656,1600,4668,1662,4668,1714,4680,1704,4693,1724,4705,1755,4705,1724,4717,1673,4730,1683,4742,1714,4754,1662,4754,1631,4767,1600,4779,1580,4791,1611,4791,1569,4804,1600,4816,1621,4828,1642,4841,1652,4853,1621,4865,1631,4878,1631,4878,1673,4890,1673,4902,1693,4914,1652,4914,1611,4927,1600,4939,1621,4951,1621,4964,1590,4964,1497,4976,1507,4988,1404,5001,1362,5001,1424,5013,1466,5025,1507,5038,1476,5050,1528,5050,1538,5062,1538,5075,1528,5087,1621,5087,1683,5099,1662,5112,1683,5124,1611,5136,1642,5136,1631,5149,1642,5161,1642,5173,1642,5173,1673,5186,1673,5198,1631,5210,1693,5222,1766,5235,1817,5247,1838,5259,1869,5259,1838,5272,1849,5284,1911e" filled="false" stroked="true" strokeweight=".924pt" strokecolor="#006fc0">
              <v:path arrowok="t"/>
              <v:stroke dashstyle="solid"/>
            </v:shape>
            <v:shape style="position:absolute;left:7563;top:1300;width:1294;height:642" coordorigin="7563,1300" coordsize="1294,642" path="m7563,1683l7576,1714,7588,1611,7600,1611,7613,1611,7625,1538,7625,1580,7637,1549,7650,1507,7662,1549,7674,1518,7687,1518,7699,1466,7699,1476,7711,1538,7723,1600,7736,1538,7748,1528,7760,1611,7760,1569,7773,1580,7785,1559,7797,1528,7810,1466,7822,1497,7834,1414,7847,1300,7859,1331,7871,1383,7884,1424,7896,1373,7908,1383,7921,1435,7933,1414,7945,1414,7958,1528,7958,1518,7970,1590,7982,1549,7995,1631,8007,1704,8019,1704,8019,1693,8031,1590,8044,1631,8056,1693,8068,1724,8081,1755,8093,1849,8093,1776,8105,1786,8118,1755,8130,1683,8142,1693,8155,1693,8155,1735,8167,1735,8179,1817,8192,1807,8204,1735,8216,1683,8229,1652,8229,1631,8241,1621,8253,1662,8266,1683,8278,1621,8290,1559,8290,1590,8303,1693,8315,1714,8327,1714,8339,1735,8352,1766,8352,1662,8364,1673,8376,1745,8389,1735,8401,1807,8413,1776,8426,1724,8426,1797,8438,1776,8450,1745,8463,1776,8475,1859,8487,1921,8487,1942,8500,1755,8512,1817,8524,1838,8537,1683,8549,1652,8549,1776,8561,1766,8574,1807,8586,1807,8598,1828,8611,1786,8623,1673,8623,1642,8635,1621,8648,1528,8660,1538,8672,1611,8684,1549,8684,1611,8697,1611,8709,1580,8721,1652,8734,1714,8746,1673,8746,1652,8758,1611,8771,1662,8783,1600,8795,1528,8808,1611,8820,1673,8820,1683,8832,1735,8845,1600,8857,1590e" filled="false" stroked="true" strokeweight=".894328pt" strokecolor="#5b9bd4">
              <v:path arrowok="t"/>
              <v:stroke dashstyle="solid"/>
            </v:shape>
            <v:shape style="position:absolute;left:9374;top:1331;width:1269;height:538" coordorigin="9374,1331" coordsize="1269,538" path="m9374,1642l9387,1683,9399,1662,9411,1766,9411,1786,9424,1828,9436,1869,9448,1807,9461,1766,9473,1807,9473,1766,9485,1683,9498,1600,9510,1642,9522,1642,9535,1662,9547,1724,9559,1745,9572,1786,9584,1786,9596,1724,9596,1849,9608,1828,9621,1786,9633,1828,9645,1807,9645,1724,9658,1766,9670,1766,9682,1807,9695,1807,9707,1807,9707,1766,9719,1786,9732,1724,9744,1724,9756,1766,9769,1828,9781,1766,9793,1704,9806,1642,9818,1538,9830,1559,9830,1538,9843,1642,9855,1600,9867,1580,9880,1600,9892,1683,9892,1704,9904,1683,9916,1642,9929,1559,9941,1600,9953,1580,9953,1559,9966,1497,9978,1497,9990,1600,10003,1518,10015,1518,10015,1538,10027,1497,10040,1497,10052,1497,10064,1456,10064,1331,10077,1352,10089,1373,10101,1393,10114,1393,10126,1352,10126,1476,10138,1497,10151,1435,10163,1580,10175,1621,10188,1621,10200,1538,10212,1538,10224,1642,10237,1704,10249,1704,10249,1662,10261,1580,10274,1683,10286,1724,10298,1724,10311,1704,10311,1580,10323,1476,10335,1414,10348,1456,10360,1456,10372,1414,10372,1456,10385,1456,10397,1476,10409,1518,10422,1497,10434,1538,10446,1538,10459,1559,10471,1497,10483,1621,10496,1559,10508,1642,10520,1683,10533,1683,10545,1724,10545,1704,10557,1704,10569,1683,10582,1724,10594,1745,10606,1745,10606,1766,10619,1724,10631,1724,10643,1662e" filled="false" stroked="true" strokeweight=".886913pt" strokecolor="#7e7e7e">
              <v:path arrowok="t"/>
              <v:stroke dashstyle="solid"/>
            </v:shape>
            <v:shape style="position:absolute;left:2191;top:3327;width:1306;height:786" coordorigin="2192,3327" coordsize="1306,786" path="m2192,3586l2204,3658,2204,3586,2216,3658,2229,3720,2241,3658,2253,3720,2266,3658,2278,3524,2278,3586,2290,3658,2303,3658,2315,3586,2327,3524,2340,3586,2340,3658,2352,3658,2364,3586,2376,3658,2389,3720,2401,3720,2413,3658,2413,3586,2426,3586,2438,3586,2450,3586,2463,3586,2475,3524,2487,3451,2487,3586,2500,3586,2549,3586,2586,3586,2598,3658,2611,3524,2623,3451,2623,3389,2635,3327,2648,3451,2660,3451,2672,3524,2684,3524,2697,3586,2709,3586,2721,3524,2734,3451,2746,3451,2758,3451,2771,3389,2783,3451,2832,3451,2845,3451,2857,3389,2869,3389,2882,3451,2894,3451,2906,3524,2919,3451,2931,3451,2943,3451,2956,3389,2968,3451,2968,3524,2980,3451,2993,3524,3005,3658,3017,3658,3029,3586,3042,3658,3054,3720,3066,3720,3079,3720,3091,3720,3103,3720,3103,3782,3116,3782,3128,3782,3140,3855,3153,3782,3165,3782,3177,3782,3190,3720,3202,3720,3251,3720,3276,3720,3288,3524,3301,3586,3313,3658,3325,3586,3337,3658,3350,3720,3362,3782,3374,3782,3387,3782,3387,3855,3399,3917,3411,3917,3424,3917,3436,3917,3448,4051,3461,4051,3473,4051,3485,4051,3498,4113e" filled="false" stroked="true" strokeweight=".905652pt" strokecolor="#385622">
              <v:path arrowok="t"/>
              <v:stroke dashstyle="solid"/>
            </v:shape>
            <v:shape style="position:absolute;left:4052;top:3234;width:1233;height:704" coordorigin="4052,3234" coordsize="1233,704" path="m4052,3938l4064,3927,4077,3875,4089,3844,4101,3834,4114,3865,4114,3834,4126,3793,4138,3813,4151,3834,4163,3813,4175,3793,4188,3782,4200,3793,4212,3772,4212,3782,4225,3772,4237,3762,4249,3751,4261,3627,4261,3607,4274,3503,4286,3514,4298,3431,4311,3451,4311,3472,4323,3410,4335,3420,4348,3493,4360,3524,4372,3565,4372,3545,4385,3586,4397,3555,4409,3555,4422,3565,4422,3576,4434,3576,4446,3545,4459,3503,4471,3420,4471,3400,4483,3286,4496,3255,4508,3307,4520,3317,4520,3348,4533,3431,4545,3524,4557,3451,4569,3441,4582,3431,4594,3441,4606,3441,4619,3441,4631,3441,4631,3431,4643,3431,4656,3431,4668,3420,4680,3265,4680,3234,4693,3245,4705,3265,4717,3317,4730,3369,4730,3338,4742,3338,4754,3358,4767,3338,4779,3338,4779,3358,4791,3358,4804,3369,4816,3369,4828,3389,4841,3400,4841,3410,4853,3420,4865,3420,4878,3534,4890,3534,4890,3555,4902,3524,4914,3658,4927,3720,4939,3741,4939,3700,4951,3741,4964,3731,4976,3720,4988,3731,4988,3762,5001,3741,5013,3710,5025,3710,5038,3720,5050,3720,5062,3720,5075,3720,5087,3658,5099,3565,5099,3534,5112,3524,5124,3503,5136,3514,5149,3545,5149,3576,5161,3596,5173,3607,5186,3658,5198,3638,5198,3679,5210,3720,5222,3813,5235,3751,5247,3782,5259,3762,5272,3762,5284,3772e" filled="false" stroked="true" strokeweight=".90233pt" strokecolor="#538235">
              <v:path arrowok="t"/>
              <v:stroke dashstyle="solid"/>
            </v:shape>
            <v:shape style="position:absolute;left:5826;top:3161;width:1245;height:849" coordorigin="5826,3162" coordsize="1245,849" path="m5826,3307l5838,3317,5838,3327,5851,3338,5863,3338,5875,3348,5888,3358,5888,3317,5900,3307,5912,3307,5925,3327,5937,3307,5949,3327,5962,3327,5974,3317,5986,3648,5999,3669,5999,3679,6011,3689,6023,3669,6036,3648,6048,3658,6048,3648,6060,3669,6073,3689,6085,3720,6097,3710,6097,3731,6110,3731,6122,3741,6134,3751,6146,3751,6159,3751,6171,3927,6183,3917,6196,3896,6208,3834,6220,3834,6233,3793,6245,3669,6257,3803,6257,3824,6270,3793,6282,3772,6294,3741,6307,3741,6319,3772,6331,3751,6344,3731,6356,3731,6356,3720,6368,3731,6381,3751,6393,3741,6405,3751,6418,3741,6418,3172,6430,3162,6442,3172,6454,3183,6467,3183,6467,3203,6479,3203,6491,3234,6504,3255,6516,3265,6528,3255,6541,3255,6553,3276,6565,3265,6565,3276,6578,3276,6590,3265,6602,3265,6615,3400,6627,3379,6627,3358,6639,3358,6652,3400,6664,3379,6676,3369,6676,3389,6689,3410,6701,3410,6713,3379,6726,3389,6738,3400,6750,3389,6763,3389,6775,3389,6775,3379,6787,3379,6799,3379,6812,3638,6824,3638,6836,3648,6836,3669,6849,3648,6861,3689,6873,3689,6886,3700,6898,3710,6910,3710,6923,3710,6935,3689,6935,3720,6947,3731,6960,3731,6972,3741,6984,3741,6997,3741,7009,3751,7021,3741,7034,3741,7046,3741,7058,3989,7071,4010e" filled="false" stroked="true" strokeweight=".914103pt" strokecolor="#6fac46">
              <v:path arrowok="t"/>
              <v:stroke dashstyle="solid"/>
            </v:shape>
            <v:shape style="position:absolute;left:7674;top:3089;width:1183;height:1004" coordorigin="7674,3090" coordsize="1183,1004" path="m7674,4082l7687,4072,7687,4082,7699,4093,7711,4082,7723,4082,7723,4072,7736,4062,7748,4062,7760,4051,7773,4041,7785,4010,7797,3979,7797,3969,7810,4010,7822,4020,7834,4010,7847,4020,7847,4010,7859,4010,7871,4010,7884,4010,7884,4000,7896,3989,7908,4010,7921,3989,7933,3989,7945,3989,7958,3989,7970,3979,7982,3979,7995,3969,8007,3958,8007,3948,8019,3948,8031,3948,8044,3938,8044,3917,8056,3896,8068,3855,8081,3782,8081,3090,8093,3296,8105,3348,8118,3483,8118,3534,8130,3524,8142,3503,8155,3565,8155,3617,8167,3689,8179,3803,8192,3855,8204,3824,8204,3741,8216,3627,8229,3669,8241,3720,8241,3689,8253,3700,8266,3689,8278,3669,8278,3658,8290,3658,8303,3679,8315,3679,8315,3700,8327,3689,8339,3679,8352,3669,8364,3658,8364,3669,8376,3658,8389,3658,8401,3658,8401,3679,8413,3669,8426,3648,8438,3617,8438,3648,8450,3679,8463,3679,8475,3720,8475,3741,8487,3741,8500,3772,8512,3793,8524,3824,8537,3813,8549,3834,8561,3844,8574,3844,8586,3813,8598,3824,8611,3855,8623,3844,8635,3844,8648,3844,8660,3751,8672,3751,8684,3751,8697,3751,8709,3741,8721,3731,8721,3762,8734,3762,8746,3803,8758,3813,8758,3824,8771,3824,8783,3824,8795,3824,8795,3813,8808,3865,8820,3886,8832,3886,8832,3865,8845,3855,8857,3855e" filled="false" stroked="true" strokeweight=".930795pt" strokecolor="#92d050">
              <v:path arrowok="t"/>
              <v:stroke dashstyle="solid"/>
            </v:shape>
            <v:shape style="position:absolute;left:9460;top:3348;width:1183;height:487" coordorigin="9461,3348" coordsize="1183,487" path="m9461,3751l9473,3803,9473,3772,9485,3751,9498,3824,9510,3803,9522,3762,9535,3751,9547,3762,9559,3772,9559,3782,9572,3720,9584,3720,9596,3741,9596,3720,9608,3700,9621,3741,9633,3813,9645,3834,9645,3813,9658,3803,9670,3782,9682,3793,9695,3762,9707,3751,9719,3731,9732,3731,9732,3720,9744,3669,9756,3700,9769,3669,9769,3607,9781,3617,9793,3596,9806,3596,9818,3565,9818,3638,9830,3617,9843,3534,9855,3576,9855,3545,9867,3493,9880,3431,9892,3348,9892,3451,9904,3431,9916,3451,9929,3503,9941,3555,9941,3596,9953,3534,9966,3555,9978,3555,9978,3576,9990,3545,10003,3493,10015,3514,10027,3534,10027,3586,10040,3545,10052,3524,10064,3576,10064,3555,10077,3565,10089,3576,10101,3545,10114,3534,10114,3524,10126,3472,10138,3462,10151,3483,10151,3451,10163,3503,10175,3514,10188,3524,10200,3555,10200,3627,10212,3607,10224,3638,10237,3638,10237,3596,10249,3689,10261,3669,10274,3679,10274,3658,10286,3648,10298,3689,10311,3731,10323,3700,10323,3751,10335,3782,10348,3772,10360,3762,10360,3772,10372,3720,10385,3720,10397,3710,10409,3679,10409,3710,10422,3710,10434,3700,10446,3720,10459,3679,10471,3720,10483,3731,10496,3710,10496,3700,10508,3710,10520,3669,10533,3751,10533,3782,10545,3772,10557,3710,10569,3731,10582,3731,10582,3741,10594,3751,10606,3751,10619,3762,10619,3772,10631,3772,10643,3793e" filled="false" stroked="true" strokeweight=".885634pt" strokecolor="#a6a6a6">
              <v:path arrowok="t"/>
              <v:stroke dashstyle="solid"/>
            </v:shape>
            <v:shape style="position:absolute;left:5581;top:1025;width:163;height:73" type="#_x0000_t202" filled="false" stroked="false">
              <v:textbox inset="0,0,0,0">
                <w:txbxContent>
                  <w:p>
                    <w:pPr>
                      <w:spacing w:line="72" w:lineRule="exact" w:before="0"/>
                      <w:ind w:left="0" w:right="0" w:firstLine="0"/>
                      <w:jc w:val="left"/>
                      <w:rPr>
                        <w:rFonts w:ascii="Calibri"/>
                        <w:sz w:val="7"/>
                      </w:rPr>
                    </w:pPr>
                    <w:r>
                      <w:rPr>
                        <w:rFonts w:ascii="Calibri"/>
                        <w:w w:val="125"/>
                        <w:sz w:val="7"/>
                      </w:rPr>
                      <w:t>19.4</w:t>
                    </w:r>
                  </w:p>
                </w:txbxContent>
              </v:textbox>
              <w10:wrap type="none"/>
            </v:shape>
            <v:shape style="position:absolute;left:2002;top:1070;width:213;height:73" type="#_x0000_t202" filled="false" stroked="false">
              <v:textbox inset="0,0,0,0">
                <w:txbxContent>
                  <w:p>
                    <w:pPr>
                      <w:spacing w:line="73" w:lineRule="exact" w:before="0"/>
                      <w:ind w:left="0" w:right="0" w:firstLine="0"/>
                      <w:jc w:val="left"/>
                      <w:rPr>
                        <w:rFonts w:ascii="Calibri"/>
                        <w:sz w:val="7"/>
                      </w:rPr>
                    </w:pPr>
                    <w:r>
                      <w:rPr>
                        <w:rFonts w:ascii="Calibri"/>
                        <w:w w:val="125"/>
                        <w:sz w:val="7"/>
                      </w:rPr>
                      <w:t>865.6</w:t>
                    </w:r>
                  </w:p>
                </w:txbxContent>
              </v:textbox>
              <w10:wrap type="none"/>
            </v:shape>
            <v:shape style="position:absolute;left:3358;top:1062;width:242;height:92" type="#_x0000_t202" filled="false" stroked="false">
              <v:textbox inset="0,0,0,0">
                <w:txbxContent>
                  <w:p>
                    <w:pPr>
                      <w:spacing w:line="91" w:lineRule="exact" w:before="0"/>
                      <w:ind w:left="0" w:right="0" w:firstLine="0"/>
                      <w:jc w:val="left"/>
                      <w:rPr>
                        <w:b/>
                        <w:sz w:val="8"/>
                      </w:rPr>
                    </w:pPr>
                    <w:r>
                      <w:rPr>
                        <w:b/>
                        <w:color w:val="001F5F"/>
                        <w:w w:val="125"/>
                        <w:sz w:val="8"/>
                      </w:rPr>
                      <w:t>743.8</w:t>
                    </w:r>
                  </w:p>
                </w:txbxContent>
              </v:textbox>
              <w10:wrap type="none"/>
            </v:shape>
            <v:shape style="position:absolute;left:2002;top:1708;width:213;height:73" type="#_x0000_t202" filled="false" stroked="false">
              <v:textbox inset="0,0,0,0">
                <w:txbxContent>
                  <w:p>
                    <w:pPr>
                      <w:spacing w:line="72" w:lineRule="exact" w:before="0"/>
                      <w:ind w:left="0" w:right="0" w:firstLine="0"/>
                      <w:jc w:val="left"/>
                      <w:rPr>
                        <w:rFonts w:ascii="Calibri"/>
                        <w:sz w:val="7"/>
                      </w:rPr>
                    </w:pPr>
                    <w:r>
                      <w:rPr>
                        <w:rFonts w:ascii="Calibri"/>
                        <w:w w:val="125"/>
                        <w:sz w:val="7"/>
                      </w:rPr>
                      <w:t>665.6</w:t>
                    </w:r>
                  </w:p>
                </w:txbxContent>
              </v:textbox>
              <w10:wrap type="none"/>
            </v:shape>
            <v:shape style="position:absolute;left:3791;top:1101;width:254;height:886" type="#_x0000_t202" filled="false" stroked="false">
              <v:textbox inset="0,0,0,0">
                <w:txbxContent>
                  <w:p>
                    <w:pPr>
                      <w:spacing w:line="73" w:lineRule="exact" w:before="0"/>
                      <w:ind w:left="0" w:right="0" w:firstLine="0"/>
                      <w:jc w:val="left"/>
                      <w:rPr>
                        <w:rFonts w:ascii="Calibri"/>
                        <w:sz w:val="7"/>
                      </w:rPr>
                    </w:pPr>
                    <w:r>
                      <w:rPr>
                        <w:rFonts w:ascii="Calibri"/>
                        <w:spacing w:val="-3"/>
                        <w:w w:val="125"/>
                        <w:sz w:val="7"/>
                      </w:rPr>
                      <w:t>1442.9</w:t>
                    </w:r>
                  </w:p>
                  <w:p>
                    <w:pPr>
                      <w:spacing w:before="50"/>
                      <w:ind w:left="0" w:right="0" w:firstLine="0"/>
                      <w:jc w:val="left"/>
                      <w:rPr>
                        <w:rFonts w:ascii="Calibri"/>
                        <w:sz w:val="7"/>
                      </w:rPr>
                    </w:pPr>
                    <w:r>
                      <w:rPr>
                        <w:rFonts w:ascii="Calibri"/>
                        <w:spacing w:val="-3"/>
                        <w:w w:val="125"/>
                        <w:sz w:val="7"/>
                      </w:rPr>
                      <w:t>1342.9</w:t>
                    </w:r>
                  </w:p>
                  <w:p>
                    <w:pPr>
                      <w:spacing w:before="50"/>
                      <w:ind w:left="0" w:right="0" w:firstLine="0"/>
                      <w:jc w:val="left"/>
                      <w:rPr>
                        <w:rFonts w:ascii="Calibri"/>
                        <w:sz w:val="7"/>
                      </w:rPr>
                    </w:pPr>
                    <w:r>
                      <w:rPr>
                        <w:rFonts w:ascii="Calibri"/>
                        <w:spacing w:val="-3"/>
                        <w:w w:val="125"/>
                        <w:sz w:val="7"/>
                      </w:rPr>
                      <w:t>1242.9</w:t>
                    </w:r>
                  </w:p>
                  <w:p>
                    <w:pPr>
                      <w:spacing w:before="50"/>
                      <w:ind w:left="0" w:right="0" w:firstLine="0"/>
                      <w:jc w:val="left"/>
                      <w:rPr>
                        <w:rFonts w:ascii="Calibri"/>
                        <w:sz w:val="7"/>
                      </w:rPr>
                    </w:pPr>
                    <w:r>
                      <w:rPr>
                        <w:rFonts w:ascii="Calibri"/>
                        <w:spacing w:val="-3"/>
                        <w:w w:val="125"/>
                        <w:sz w:val="7"/>
                      </w:rPr>
                      <w:t>1142.9</w:t>
                    </w:r>
                  </w:p>
                  <w:p>
                    <w:pPr>
                      <w:spacing w:before="50"/>
                      <w:ind w:left="0" w:right="0" w:firstLine="0"/>
                      <w:jc w:val="left"/>
                      <w:rPr>
                        <w:rFonts w:ascii="Calibri"/>
                        <w:sz w:val="7"/>
                      </w:rPr>
                    </w:pPr>
                    <w:r>
                      <w:rPr>
                        <w:rFonts w:ascii="Calibri"/>
                        <w:spacing w:val="-3"/>
                        <w:w w:val="125"/>
                        <w:sz w:val="7"/>
                      </w:rPr>
                      <w:t>1042.9</w:t>
                    </w:r>
                  </w:p>
                  <w:p>
                    <w:pPr>
                      <w:spacing w:before="50"/>
                      <w:ind w:left="41" w:right="0" w:firstLine="0"/>
                      <w:jc w:val="left"/>
                      <w:rPr>
                        <w:rFonts w:ascii="Calibri"/>
                        <w:sz w:val="7"/>
                      </w:rPr>
                    </w:pPr>
                    <w:r>
                      <w:rPr>
                        <w:rFonts w:ascii="Calibri"/>
                        <w:w w:val="125"/>
                        <w:sz w:val="7"/>
                      </w:rPr>
                      <w:t>942.9</w:t>
                    </w:r>
                  </w:p>
                  <w:p>
                    <w:pPr>
                      <w:spacing w:line="85" w:lineRule="exact" w:before="50"/>
                      <w:ind w:left="41" w:right="0" w:firstLine="0"/>
                      <w:jc w:val="left"/>
                      <w:rPr>
                        <w:rFonts w:ascii="Calibri"/>
                        <w:sz w:val="7"/>
                      </w:rPr>
                    </w:pPr>
                    <w:r>
                      <w:rPr>
                        <w:rFonts w:ascii="Calibri"/>
                        <w:w w:val="125"/>
                        <w:sz w:val="7"/>
                      </w:rPr>
                      <w:t>842.9</w:t>
                    </w:r>
                  </w:p>
                </w:txbxContent>
              </v:textbox>
              <w10:wrap type="none"/>
            </v:shape>
            <v:shape style="position:absolute;left:5146;top:1062;width:242;height:92" type="#_x0000_t202" filled="false" stroked="false">
              <v:textbox inset="0,0,0,0">
                <w:txbxContent>
                  <w:p>
                    <w:pPr>
                      <w:spacing w:line="91" w:lineRule="exact" w:before="0"/>
                      <w:ind w:left="0" w:right="0" w:firstLine="0"/>
                      <w:jc w:val="left"/>
                      <w:rPr>
                        <w:b/>
                        <w:sz w:val="8"/>
                      </w:rPr>
                    </w:pPr>
                    <w:r>
                      <w:rPr>
                        <w:b/>
                        <w:color w:val="006FC0"/>
                        <w:w w:val="125"/>
                        <w:sz w:val="8"/>
                      </w:rPr>
                      <w:t>868.8</w:t>
                    </w:r>
                  </w:p>
                </w:txbxContent>
              </v:textbox>
              <w10:wrap type="none"/>
            </v:shape>
            <v:shape style="position:absolute;left:6960;top:1062;width:193;height:92" type="#_x0000_t202" filled="false" stroked="false">
              <v:textbox inset="0,0,0,0">
                <w:txbxContent>
                  <w:p>
                    <w:pPr>
                      <w:spacing w:line="91" w:lineRule="exact" w:before="0"/>
                      <w:ind w:left="0" w:right="0" w:firstLine="0"/>
                      <w:jc w:val="left"/>
                      <w:rPr>
                        <w:b/>
                        <w:sz w:val="8"/>
                      </w:rPr>
                    </w:pPr>
                    <w:r>
                      <w:rPr>
                        <w:b/>
                        <w:color w:val="4471C4"/>
                        <w:w w:val="125"/>
                        <w:sz w:val="8"/>
                      </w:rPr>
                      <w:t>16.4</w:t>
                    </w:r>
                  </w:p>
                </w:txbxContent>
              </v:textbox>
              <w10:wrap type="none"/>
            </v:shape>
            <v:shape style="position:absolute;left:5581;top:1688;width:163;height:73" type="#_x0000_t202" filled="false" stroked="false">
              <v:textbox inset="0,0,0,0">
                <w:txbxContent>
                  <w:p>
                    <w:pPr>
                      <w:spacing w:line="72" w:lineRule="exact" w:before="0"/>
                      <w:ind w:left="0" w:right="0" w:firstLine="0"/>
                      <w:jc w:val="left"/>
                      <w:rPr>
                        <w:rFonts w:ascii="Calibri"/>
                        <w:sz w:val="7"/>
                      </w:rPr>
                    </w:pPr>
                    <w:r>
                      <w:rPr>
                        <w:rFonts w:ascii="Calibri"/>
                        <w:w w:val="125"/>
                        <w:sz w:val="7"/>
                      </w:rPr>
                      <w:t>15.4</w:t>
                    </w:r>
                  </w:p>
                </w:txbxContent>
              </v:textbox>
              <w10:wrap type="none"/>
            </v:shape>
            <v:shape style="position:absolute;left:7369;top:991;width:151;height:1028" type="#_x0000_t202" filled="false" stroked="false">
              <v:textbox inset="0,0,0,0">
                <w:txbxContent>
                  <w:p>
                    <w:pPr>
                      <w:spacing w:line="73" w:lineRule="exact" w:before="0"/>
                      <w:ind w:left="0" w:right="0" w:firstLine="0"/>
                      <w:jc w:val="left"/>
                      <w:rPr>
                        <w:rFonts w:ascii="Calibri"/>
                        <w:sz w:val="7"/>
                      </w:rPr>
                    </w:pPr>
                    <w:r>
                      <w:rPr>
                        <w:rFonts w:ascii="Calibri"/>
                        <w:w w:val="125"/>
                        <w:sz w:val="7"/>
                      </w:rPr>
                      <w:t>281</w:t>
                    </w:r>
                  </w:p>
                  <w:p>
                    <w:pPr>
                      <w:spacing w:before="34"/>
                      <w:ind w:left="0" w:right="0" w:firstLine="0"/>
                      <w:jc w:val="left"/>
                      <w:rPr>
                        <w:rFonts w:ascii="Calibri"/>
                        <w:sz w:val="7"/>
                      </w:rPr>
                    </w:pPr>
                    <w:r>
                      <w:rPr>
                        <w:rFonts w:ascii="Calibri"/>
                        <w:w w:val="125"/>
                        <w:sz w:val="7"/>
                      </w:rPr>
                      <w:t>271</w:t>
                    </w:r>
                  </w:p>
                  <w:p>
                    <w:pPr>
                      <w:spacing w:before="34"/>
                      <w:ind w:left="0" w:right="0" w:firstLine="0"/>
                      <w:jc w:val="left"/>
                      <w:rPr>
                        <w:rFonts w:ascii="Calibri"/>
                        <w:sz w:val="7"/>
                      </w:rPr>
                    </w:pPr>
                    <w:r>
                      <w:rPr>
                        <w:rFonts w:ascii="Calibri"/>
                        <w:w w:val="125"/>
                        <w:sz w:val="7"/>
                      </w:rPr>
                      <w:t>261</w:t>
                    </w:r>
                  </w:p>
                  <w:p>
                    <w:pPr>
                      <w:spacing w:before="34"/>
                      <w:ind w:left="0" w:right="0" w:firstLine="0"/>
                      <w:jc w:val="left"/>
                      <w:rPr>
                        <w:rFonts w:ascii="Calibri"/>
                        <w:sz w:val="7"/>
                      </w:rPr>
                    </w:pPr>
                    <w:r>
                      <w:rPr>
                        <w:rFonts w:ascii="Calibri"/>
                        <w:w w:val="125"/>
                        <w:sz w:val="7"/>
                      </w:rPr>
                      <w:t>251</w:t>
                    </w:r>
                  </w:p>
                  <w:p>
                    <w:pPr>
                      <w:spacing w:before="34"/>
                      <w:ind w:left="0" w:right="0" w:firstLine="0"/>
                      <w:jc w:val="left"/>
                      <w:rPr>
                        <w:rFonts w:ascii="Calibri"/>
                        <w:sz w:val="7"/>
                      </w:rPr>
                    </w:pPr>
                    <w:r>
                      <w:rPr>
                        <w:rFonts w:ascii="Calibri"/>
                        <w:w w:val="125"/>
                        <w:sz w:val="7"/>
                      </w:rPr>
                      <w:t>241</w:t>
                    </w:r>
                  </w:p>
                  <w:p>
                    <w:pPr>
                      <w:spacing w:before="34"/>
                      <w:ind w:left="0" w:right="0" w:firstLine="0"/>
                      <w:jc w:val="left"/>
                      <w:rPr>
                        <w:rFonts w:ascii="Calibri"/>
                        <w:sz w:val="7"/>
                      </w:rPr>
                    </w:pPr>
                    <w:r>
                      <w:rPr>
                        <w:rFonts w:ascii="Calibri"/>
                        <w:w w:val="125"/>
                        <w:sz w:val="7"/>
                      </w:rPr>
                      <w:t>231</w:t>
                    </w:r>
                  </w:p>
                  <w:p>
                    <w:pPr>
                      <w:spacing w:before="33"/>
                      <w:ind w:left="0" w:right="0" w:firstLine="0"/>
                      <w:jc w:val="left"/>
                      <w:rPr>
                        <w:rFonts w:ascii="Calibri"/>
                        <w:sz w:val="7"/>
                      </w:rPr>
                    </w:pPr>
                    <w:r>
                      <w:rPr>
                        <w:rFonts w:ascii="Calibri"/>
                        <w:w w:val="125"/>
                        <w:sz w:val="7"/>
                      </w:rPr>
                      <w:t>221</w:t>
                    </w:r>
                  </w:p>
                  <w:p>
                    <w:pPr>
                      <w:spacing w:before="35"/>
                      <w:ind w:left="0" w:right="0" w:firstLine="0"/>
                      <w:jc w:val="left"/>
                      <w:rPr>
                        <w:rFonts w:ascii="Calibri"/>
                        <w:sz w:val="7"/>
                      </w:rPr>
                    </w:pPr>
                    <w:r>
                      <w:rPr>
                        <w:rFonts w:ascii="Calibri"/>
                        <w:w w:val="125"/>
                        <w:sz w:val="7"/>
                      </w:rPr>
                      <w:t>211</w:t>
                    </w:r>
                  </w:p>
                  <w:p>
                    <w:pPr>
                      <w:spacing w:line="85" w:lineRule="exact" w:before="33"/>
                      <w:ind w:left="0" w:right="0" w:firstLine="0"/>
                      <w:jc w:val="left"/>
                      <w:rPr>
                        <w:rFonts w:ascii="Calibri"/>
                        <w:sz w:val="7"/>
                      </w:rPr>
                    </w:pPr>
                    <w:r>
                      <w:rPr>
                        <w:rFonts w:ascii="Calibri"/>
                        <w:w w:val="125"/>
                        <w:sz w:val="7"/>
                      </w:rPr>
                      <w:t>201</w:t>
                    </w:r>
                  </w:p>
                </w:txbxContent>
              </v:textbox>
              <w10:wrap type="none"/>
            </v:shape>
            <v:shape style="position:absolute;left:8724;top:1062;width:242;height:92" type="#_x0000_t202" filled="false" stroked="false">
              <v:textbox inset="0,0,0,0">
                <w:txbxContent>
                  <w:p>
                    <w:pPr>
                      <w:spacing w:line="91" w:lineRule="exact" w:before="0"/>
                      <w:ind w:left="0" w:right="0" w:firstLine="0"/>
                      <w:jc w:val="left"/>
                      <w:rPr>
                        <w:b/>
                        <w:sz w:val="8"/>
                      </w:rPr>
                    </w:pPr>
                    <w:r>
                      <w:rPr>
                        <w:b/>
                        <w:color w:val="5B9BD4"/>
                        <w:w w:val="125"/>
                        <w:sz w:val="8"/>
                      </w:rPr>
                      <w:t>233.6</w:t>
                    </w:r>
                  </w:p>
                </w:txbxContent>
              </v:textbox>
              <w10:wrap type="none"/>
            </v:shape>
            <v:shape style="position:absolute;left:10538;top:1062;width:195;height:92" type="#_x0000_t202" filled="false" stroked="false">
              <v:textbox inset="0,0,0,0">
                <w:txbxContent>
                  <w:p>
                    <w:pPr>
                      <w:spacing w:line="91" w:lineRule="exact" w:before="0"/>
                      <w:ind w:left="0" w:right="0" w:firstLine="0"/>
                      <w:jc w:val="left"/>
                      <w:rPr>
                        <w:b/>
                        <w:sz w:val="8"/>
                      </w:rPr>
                    </w:pPr>
                    <w:r>
                      <w:rPr>
                        <w:b/>
                        <w:color w:val="7E7E7E"/>
                        <w:w w:val="125"/>
                        <w:sz w:val="8"/>
                      </w:rPr>
                      <w:t>18.8</w:t>
                    </w:r>
                  </w:p>
                </w:txbxContent>
              </v:textbox>
              <w10:wrap type="none"/>
            </v:shape>
            <v:shape style="position:absolute;left:9158;top:1156;width:163;height:73" type="#_x0000_t202" filled="false" stroked="false">
              <v:textbox inset="0,0,0,0">
                <w:txbxContent>
                  <w:p>
                    <w:pPr>
                      <w:spacing w:line="73" w:lineRule="exact" w:before="0"/>
                      <w:ind w:left="0" w:right="0" w:firstLine="0"/>
                      <w:jc w:val="left"/>
                      <w:rPr>
                        <w:rFonts w:ascii="Calibri"/>
                        <w:sz w:val="7"/>
                      </w:rPr>
                    </w:pPr>
                    <w:r>
                      <w:rPr>
                        <w:rFonts w:ascii="Calibri"/>
                        <w:w w:val="125"/>
                        <w:sz w:val="7"/>
                      </w:rPr>
                      <w:t>21.1</w:t>
                    </w:r>
                  </w:p>
                </w:txbxContent>
              </v:textbox>
              <w10:wrap type="none"/>
            </v:shape>
            <v:shape style="position:absolute;left:5581;top:1190;width:163;height:73" type="#_x0000_t202" filled="false" stroked="false">
              <v:textbox inset="0,0,0,0">
                <w:txbxContent>
                  <w:p>
                    <w:pPr>
                      <w:spacing w:line="72" w:lineRule="exact" w:before="0"/>
                      <w:ind w:left="0" w:right="0" w:firstLine="0"/>
                      <w:jc w:val="left"/>
                      <w:rPr>
                        <w:rFonts w:ascii="Calibri"/>
                        <w:sz w:val="7"/>
                      </w:rPr>
                    </w:pPr>
                    <w:r>
                      <w:rPr>
                        <w:rFonts w:ascii="Calibri"/>
                        <w:w w:val="125"/>
                        <w:sz w:val="7"/>
                      </w:rPr>
                      <w:t>18.4</w:t>
                    </w:r>
                  </w:p>
                </w:txbxContent>
              </v:textbox>
              <w10:wrap type="none"/>
            </v:shape>
            <v:shape style="position:absolute;left:2002;top:1230;width:213;height:73" type="#_x0000_t202" filled="false" stroked="false">
              <v:textbox inset="0,0,0,0">
                <w:txbxContent>
                  <w:p>
                    <w:pPr>
                      <w:spacing w:line="72" w:lineRule="exact" w:before="0"/>
                      <w:ind w:left="0" w:right="0" w:firstLine="0"/>
                      <w:jc w:val="left"/>
                      <w:rPr>
                        <w:rFonts w:ascii="Calibri"/>
                        <w:sz w:val="7"/>
                      </w:rPr>
                    </w:pPr>
                    <w:r>
                      <w:rPr>
                        <w:rFonts w:ascii="Calibri"/>
                        <w:w w:val="125"/>
                        <w:sz w:val="7"/>
                      </w:rPr>
                      <w:t>815.6</w:t>
                    </w:r>
                  </w:p>
                </w:txbxContent>
              </v:textbox>
              <w10:wrap type="none"/>
            </v:shape>
            <v:shape style="position:absolute;left:5581;top:1356;width:163;height:73" type="#_x0000_t202" filled="false" stroked="false">
              <v:textbox inset="0,0,0,0">
                <w:txbxContent>
                  <w:p>
                    <w:pPr>
                      <w:spacing w:line="72" w:lineRule="exact" w:before="0"/>
                      <w:ind w:left="0" w:right="0" w:firstLine="0"/>
                      <w:jc w:val="left"/>
                      <w:rPr>
                        <w:rFonts w:ascii="Calibri"/>
                        <w:sz w:val="7"/>
                      </w:rPr>
                    </w:pPr>
                    <w:r>
                      <w:rPr>
                        <w:rFonts w:ascii="Calibri"/>
                        <w:w w:val="125"/>
                        <w:sz w:val="7"/>
                      </w:rPr>
                      <w:t>17.4</w:t>
                    </w:r>
                  </w:p>
                </w:txbxContent>
              </v:textbox>
              <w10:wrap type="none"/>
            </v:shape>
            <v:shape style="position:absolute;left:2002;top:1389;width:213;height:73" type="#_x0000_t202" filled="false" stroked="false">
              <v:textbox inset="0,0,0,0">
                <w:txbxContent>
                  <w:p>
                    <w:pPr>
                      <w:spacing w:line="72" w:lineRule="exact" w:before="0"/>
                      <w:ind w:left="0" w:right="0" w:firstLine="0"/>
                      <w:jc w:val="left"/>
                      <w:rPr>
                        <w:rFonts w:ascii="Calibri"/>
                        <w:sz w:val="7"/>
                      </w:rPr>
                    </w:pPr>
                    <w:r>
                      <w:rPr>
                        <w:rFonts w:ascii="Calibri"/>
                        <w:w w:val="125"/>
                        <w:sz w:val="7"/>
                      </w:rPr>
                      <w:t>765.6</w:t>
                    </w:r>
                  </w:p>
                </w:txbxContent>
              </v:textbox>
              <w10:wrap type="none"/>
            </v:shape>
            <v:shape style="position:absolute;left:9158;top:1362;width:163;height:73" type="#_x0000_t202" filled="false" stroked="false">
              <v:textbox inset="0,0,0,0">
                <w:txbxContent>
                  <w:p>
                    <w:pPr>
                      <w:spacing w:line="73" w:lineRule="exact" w:before="0"/>
                      <w:ind w:left="0" w:right="0" w:firstLine="0"/>
                      <w:jc w:val="left"/>
                      <w:rPr>
                        <w:rFonts w:ascii="Calibri"/>
                        <w:sz w:val="7"/>
                      </w:rPr>
                    </w:pPr>
                    <w:r>
                      <w:rPr>
                        <w:rFonts w:ascii="Calibri"/>
                        <w:w w:val="125"/>
                        <w:sz w:val="7"/>
                      </w:rPr>
                      <w:t>20.1</w:t>
                    </w:r>
                  </w:p>
                </w:txbxContent>
              </v:textbox>
              <w10:wrap type="none"/>
            </v:shape>
            <v:shape style="position:absolute;left:2002;top:1548;width:213;height:73" type="#_x0000_t202" filled="false" stroked="false">
              <v:textbox inset="0,0,0,0">
                <w:txbxContent>
                  <w:p>
                    <w:pPr>
                      <w:spacing w:line="72" w:lineRule="exact" w:before="0"/>
                      <w:ind w:left="0" w:right="0" w:firstLine="0"/>
                      <w:jc w:val="left"/>
                      <w:rPr>
                        <w:rFonts w:ascii="Calibri"/>
                        <w:sz w:val="7"/>
                      </w:rPr>
                    </w:pPr>
                    <w:r>
                      <w:rPr>
                        <w:rFonts w:ascii="Calibri"/>
                        <w:w w:val="125"/>
                        <w:sz w:val="7"/>
                      </w:rPr>
                      <w:t>715.6</w:t>
                    </w:r>
                  </w:p>
                </w:txbxContent>
              </v:textbox>
              <w10:wrap type="none"/>
            </v:shape>
            <v:shape style="position:absolute;left:5581;top:1522;width:163;height:73" type="#_x0000_t202" filled="false" stroked="false">
              <v:textbox inset="0,0,0,0">
                <w:txbxContent>
                  <w:p>
                    <w:pPr>
                      <w:spacing w:line="72" w:lineRule="exact" w:before="0"/>
                      <w:ind w:left="0" w:right="0" w:firstLine="0"/>
                      <w:jc w:val="left"/>
                      <w:rPr>
                        <w:rFonts w:ascii="Calibri"/>
                        <w:sz w:val="7"/>
                      </w:rPr>
                    </w:pPr>
                    <w:r>
                      <w:rPr>
                        <w:rFonts w:ascii="Calibri"/>
                        <w:w w:val="125"/>
                        <w:sz w:val="7"/>
                      </w:rPr>
                      <w:t>16.4</w:t>
                    </w:r>
                  </w:p>
                </w:txbxContent>
              </v:textbox>
              <w10:wrap type="none"/>
            </v:shape>
            <v:shape style="position:absolute;left:9158;top:1567;width:163;height:279" type="#_x0000_t202" filled="false" stroked="false">
              <v:textbox inset="0,0,0,0">
                <w:txbxContent>
                  <w:p>
                    <w:pPr>
                      <w:spacing w:line="73" w:lineRule="exact" w:before="0"/>
                      <w:ind w:left="0" w:right="0" w:firstLine="0"/>
                      <w:jc w:val="left"/>
                      <w:rPr>
                        <w:rFonts w:ascii="Calibri"/>
                        <w:sz w:val="7"/>
                      </w:rPr>
                    </w:pPr>
                    <w:r>
                      <w:rPr>
                        <w:rFonts w:ascii="Calibri"/>
                        <w:spacing w:val="-3"/>
                        <w:w w:val="125"/>
                        <w:sz w:val="7"/>
                      </w:rPr>
                      <w:t>19.1</w:t>
                    </w:r>
                  </w:p>
                  <w:p>
                    <w:pPr>
                      <w:spacing w:line="240" w:lineRule="auto" w:before="0"/>
                      <w:rPr>
                        <w:rFonts w:ascii="Calibri"/>
                        <w:sz w:val="6"/>
                      </w:rPr>
                    </w:pPr>
                  </w:p>
                  <w:p>
                    <w:pPr>
                      <w:spacing w:line="85" w:lineRule="exact" w:before="47"/>
                      <w:ind w:left="0" w:right="0" w:firstLine="0"/>
                      <w:jc w:val="left"/>
                      <w:rPr>
                        <w:rFonts w:ascii="Calibri"/>
                        <w:sz w:val="7"/>
                      </w:rPr>
                    </w:pPr>
                    <w:r>
                      <w:rPr>
                        <w:rFonts w:ascii="Calibri"/>
                        <w:spacing w:val="-3"/>
                        <w:w w:val="125"/>
                        <w:sz w:val="7"/>
                      </w:rPr>
                      <w:t>18.1</w:t>
                    </w:r>
                  </w:p>
                </w:txbxContent>
              </v:textbox>
              <w10:wrap type="none"/>
            </v:shape>
            <v:shape style="position:absolute;left:2002;top:1867;width:213;height:73" type="#_x0000_t202" filled="false" stroked="false">
              <v:textbox inset="0,0,0,0">
                <w:txbxContent>
                  <w:p>
                    <w:pPr>
                      <w:spacing w:line="72" w:lineRule="exact" w:before="0"/>
                      <w:ind w:left="0" w:right="0" w:firstLine="0"/>
                      <w:jc w:val="left"/>
                      <w:rPr>
                        <w:rFonts w:ascii="Calibri"/>
                        <w:sz w:val="7"/>
                      </w:rPr>
                    </w:pPr>
                    <w:r>
                      <w:rPr>
                        <w:rFonts w:ascii="Calibri"/>
                        <w:w w:val="125"/>
                        <w:sz w:val="7"/>
                      </w:rPr>
                      <w:t>615.6</w:t>
                    </w:r>
                  </w:p>
                </w:txbxContent>
              </v:textbox>
              <w10:wrap type="none"/>
            </v:shape>
            <v:shape style="position:absolute;left:5581;top:1854;width:163;height:73" type="#_x0000_t202" filled="false" stroked="false">
              <v:textbox inset="0,0,0,0">
                <w:txbxContent>
                  <w:p>
                    <w:pPr>
                      <w:spacing w:line="72" w:lineRule="exact" w:before="0"/>
                      <w:ind w:left="0" w:right="0" w:firstLine="0"/>
                      <w:jc w:val="left"/>
                      <w:rPr>
                        <w:rFonts w:ascii="Calibri"/>
                        <w:sz w:val="7"/>
                      </w:rPr>
                    </w:pPr>
                    <w:r>
                      <w:rPr>
                        <w:rFonts w:ascii="Calibri"/>
                        <w:w w:val="125"/>
                        <w:sz w:val="7"/>
                      </w:rPr>
                      <w:t>14.4</w:t>
                    </w:r>
                  </w:p>
                </w:txbxContent>
              </v:textbox>
              <w10:wrap type="none"/>
            </v:shape>
            <v:shape style="position:absolute;left:9158;top:1979;width:163;height:73" type="#_x0000_t202" filled="false" stroked="false">
              <v:textbox inset="0,0,0,0">
                <w:txbxContent>
                  <w:p>
                    <w:pPr>
                      <w:spacing w:line="73" w:lineRule="exact" w:before="0"/>
                      <w:ind w:left="0" w:right="0" w:firstLine="0"/>
                      <w:jc w:val="left"/>
                      <w:rPr>
                        <w:rFonts w:ascii="Calibri"/>
                        <w:sz w:val="7"/>
                      </w:rPr>
                    </w:pPr>
                    <w:r>
                      <w:rPr>
                        <w:rFonts w:ascii="Calibri"/>
                        <w:w w:val="125"/>
                        <w:sz w:val="7"/>
                      </w:rPr>
                      <w:t>17.1</w:t>
                    </w:r>
                  </w:p>
                </w:txbxContent>
              </v:textbox>
              <w10:wrap type="none"/>
            </v:shape>
            <v:shape style="position:absolute;left:2002;top:2026;width:213;height:73" type="#_x0000_t202" filled="false" stroked="false">
              <v:textbox inset="0,0,0,0">
                <w:txbxContent>
                  <w:p>
                    <w:pPr>
                      <w:spacing w:line="72" w:lineRule="exact" w:before="0"/>
                      <w:ind w:left="0" w:right="0" w:firstLine="0"/>
                      <w:jc w:val="left"/>
                      <w:rPr>
                        <w:rFonts w:ascii="Calibri"/>
                        <w:sz w:val="7"/>
                      </w:rPr>
                    </w:pPr>
                    <w:r>
                      <w:rPr>
                        <w:rFonts w:ascii="Calibri"/>
                        <w:w w:val="125"/>
                        <w:sz w:val="7"/>
                      </w:rPr>
                      <w:t>565.6</w:t>
                    </w:r>
                  </w:p>
                </w:txbxContent>
              </v:textbox>
              <w10:wrap type="none"/>
            </v:shape>
            <v:shape style="position:absolute;left:3833;top:2050;width:212;height:73" type="#_x0000_t202" filled="false" stroked="false">
              <v:textbox inset="0,0,0,0">
                <w:txbxContent>
                  <w:p>
                    <w:pPr>
                      <w:spacing w:line="72" w:lineRule="exact" w:before="0"/>
                      <w:ind w:left="0" w:right="0" w:firstLine="0"/>
                      <w:jc w:val="left"/>
                      <w:rPr>
                        <w:rFonts w:ascii="Calibri"/>
                        <w:sz w:val="7"/>
                      </w:rPr>
                    </w:pPr>
                    <w:r>
                      <w:rPr>
                        <w:rFonts w:ascii="Calibri"/>
                        <w:w w:val="125"/>
                        <w:sz w:val="7"/>
                      </w:rPr>
                      <w:t>742.9</w:t>
                    </w:r>
                  </w:p>
                </w:txbxContent>
              </v:textbox>
              <w10:wrap type="none"/>
            </v:shape>
            <v:shape style="position:absolute;left:5581;top:2020;width:163;height:73" type="#_x0000_t202" filled="false" stroked="false">
              <v:textbox inset="0,0,0,0">
                <w:txbxContent>
                  <w:p>
                    <w:pPr>
                      <w:spacing w:line="72" w:lineRule="exact" w:before="0"/>
                      <w:ind w:left="0" w:right="0" w:firstLine="0"/>
                      <w:jc w:val="left"/>
                      <w:rPr>
                        <w:rFonts w:ascii="Calibri"/>
                        <w:sz w:val="7"/>
                      </w:rPr>
                    </w:pPr>
                    <w:r>
                      <w:rPr>
                        <w:rFonts w:ascii="Calibri"/>
                        <w:w w:val="125"/>
                        <w:sz w:val="7"/>
                      </w:rPr>
                      <w:t>13.4</w:t>
                    </w:r>
                  </w:p>
                </w:txbxContent>
              </v:textbox>
              <w10:wrap type="none"/>
            </v:shape>
            <v:shape style="position:absolute;left:2309;top:2098;width:244;height:92" type="#_x0000_t202" filled="false" stroked="false">
              <v:textbox inset="0,0,0,0">
                <w:txbxContent>
                  <w:p>
                    <w:pPr>
                      <w:spacing w:line="91" w:lineRule="exact" w:before="0"/>
                      <w:ind w:left="0" w:right="0" w:firstLine="0"/>
                      <w:jc w:val="left"/>
                      <w:rPr>
                        <w:b/>
                        <w:sz w:val="8"/>
                      </w:rPr>
                    </w:pPr>
                    <w:r>
                      <w:rPr>
                        <w:b/>
                        <w:color w:val="001F5F"/>
                        <w:w w:val="125"/>
                        <w:sz w:val="8"/>
                      </w:rPr>
                      <w:t>593.2</w:t>
                    </w:r>
                  </w:p>
                </w:txbxContent>
              </v:textbox>
              <w10:wrap type="none"/>
            </v:shape>
            <v:shape style="position:absolute;left:4098;top:2098;width:242;height:92" type="#_x0000_t202" filled="false" stroked="false">
              <v:textbox inset="0,0,0,0">
                <w:txbxContent>
                  <w:p>
                    <w:pPr>
                      <w:spacing w:line="91" w:lineRule="exact" w:before="0"/>
                      <w:ind w:left="0" w:right="0" w:firstLine="0"/>
                      <w:jc w:val="left"/>
                      <w:rPr>
                        <w:b/>
                        <w:sz w:val="8"/>
                      </w:rPr>
                    </w:pPr>
                    <w:r>
                      <w:rPr>
                        <w:b/>
                        <w:color w:val="006FC0"/>
                        <w:w w:val="125"/>
                        <w:sz w:val="8"/>
                      </w:rPr>
                      <w:t>770.8</w:t>
                    </w:r>
                  </w:p>
                </w:txbxContent>
              </v:textbox>
              <w10:wrap type="none"/>
            </v:shape>
            <v:shape style="position:absolute;left:5581;top:2098;width:1532;height:160" type="#_x0000_t202" filled="false" stroked="false">
              <v:textbox inset="0,0,0,0">
                <w:txbxContent>
                  <w:p>
                    <w:pPr>
                      <w:spacing w:line="83" w:lineRule="exact" w:before="0"/>
                      <w:ind w:left="331" w:right="0" w:firstLine="0"/>
                      <w:jc w:val="left"/>
                      <w:rPr>
                        <w:b/>
                        <w:sz w:val="8"/>
                      </w:rPr>
                    </w:pPr>
                    <w:r>
                      <w:rPr>
                        <w:b/>
                        <w:color w:val="4471C4"/>
                        <w:w w:val="125"/>
                        <w:sz w:val="8"/>
                      </w:rPr>
                      <w:t>14.4</w:t>
                    </w:r>
                  </w:p>
                  <w:p>
                    <w:pPr>
                      <w:tabs>
                        <w:tab w:pos="1511" w:val="left" w:leader="none"/>
                      </w:tabs>
                      <w:spacing w:line="77" w:lineRule="exact" w:before="0"/>
                      <w:ind w:left="0" w:right="0" w:firstLine="0"/>
                      <w:jc w:val="left"/>
                      <w:rPr>
                        <w:rFonts w:ascii="Calibri"/>
                        <w:sz w:val="7"/>
                      </w:rPr>
                    </w:pPr>
                    <w:r>
                      <w:rPr>
                        <w:rFonts w:ascii="Calibri"/>
                        <w:spacing w:val="-3"/>
                        <w:w w:val="125"/>
                        <w:sz w:val="7"/>
                      </w:rPr>
                      <w:t>12.4</w:t>
                    </w:r>
                    <w:r>
                      <w:rPr>
                        <w:rFonts w:ascii="Calibri"/>
                        <w:spacing w:val="-3"/>
                        <w:sz w:val="7"/>
                      </w:rPr>
                      <w:t>    </w:t>
                    </w:r>
                    <w:r>
                      <w:rPr>
                        <w:rFonts w:ascii="Calibri"/>
                        <w:spacing w:val="-7"/>
                        <w:sz w:val="7"/>
                      </w:rPr>
                      <w:t> </w:t>
                    </w:r>
                    <w:r>
                      <w:rPr>
                        <w:rFonts w:ascii="Calibri"/>
                        <w:w w:val="123"/>
                        <w:sz w:val="7"/>
                        <w:u w:val="single" w:color="858585"/>
                      </w:rPr>
                      <w:t> </w:t>
                    </w:r>
                    <w:r>
                      <w:rPr>
                        <w:rFonts w:ascii="Calibri"/>
                        <w:sz w:val="7"/>
                        <w:u w:val="single" w:color="858585"/>
                      </w:rPr>
                      <w:tab/>
                    </w:r>
                  </w:p>
                </w:txbxContent>
              </v:textbox>
              <w10:wrap type="none"/>
            </v:shape>
            <v:shape style="position:absolute;left:7369;top:2066;width:151;height:73" type="#_x0000_t202" filled="false" stroked="false">
              <v:textbox inset="0,0,0,0">
                <w:txbxContent>
                  <w:p>
                    <w:pPr>
                      <w:spacing w:line="73" w:lineRule="exact" w:before="0"/>
                      <w:ind w:left="0" w:right="0" w:firstLine="0"/>
                      <w:jc w:val="left"/>
                      <w:rPr>
                        <w:rFonts w:ascii="Calibri"/>
                        <w:sz w:val="7"/>
                      </w:rPr>
                    </w:pPr>
                    <w:r>
                      <w:rPr>
                        <w:rFonts w:ascii="Calibri"/>
                        <w:w w:val="125"/>
                        <w:sz w:val="7"/>
                      </w:rPr>
                      <w:t>191</w:t>
                    </w:r>
                  </w:p>
                </w:txbxContent>
              </v:textbox>
              <w10:wrap type="none"/>
            </v:shape>
            <v:shape style="position:absolute;left:7676;top:2098;width:242;height:92" type="#_x0000_t202" filled="false" stroked="false">
              <v:textbox inset="0,0,0,0">
                <w:txbxContent>
                  <w:p>
                    <w:pPr>
                      <w:spacing w:line="91" w:lineRule="exact" w:before="0"/>
                      <w:ind w:left="0" w:right="0" w:firstLine="0"/>
                      <w:jc w:val="left"/>
                      <w:rPr>
                        <w:b/>
                        <w:sz w:val="8"/>
                      </w:rPr>
                    </w:pPr>
                    <w:r>
                      <w:rPr>
                        <w:b/>
                        <w:color w:val="5B9BD4"/>
                        <w:w w:val="125"/>
                        <w:sz w:val="8"/>
                      </w:rPr>
                      <w:t>226.1</w:t>
                    </w:r>
                  </w:p>
                </w:txbxContent>
              </v:textbox>
              <w10:wrap type="none"/>
            </v:shape>
            <v:shape style="position:absolute;left:2002;top:2185;width:1537;height:73" type="#_x0000_t202" filled="false" stroked="false">
              <v:textbox inset="0,0,0,0">
                <w:txbxContent>
                  <w:p>
                    <w:pPr>
                      <w:tabs>
                        <w:tab w:pos="1516" w:val="left" w:leader="none"/>
                      </w:tabs>
                      <w:spacing w:line="72" w:lineRule="exact" w:before="0"/>
                      <w:ind w:left="0" w:right="0" w:firstLine="0"/>
                      <w:jc w:val="left"/>
                      <w:rPr>
                        <w:rFonts w:ascii="Calibri"/>
                        <w:sz w:val="7"/>
                      </w:rPr>
                    </w:pPr>
                    <w:r>
                      <w:rPr>
                        <w:rFonts w:ascii="Calibri"/>
                        <w:w w:val="125"/>
                        <w:sz w:val="7"/>
                      </w:rPr>
                      <w:t>515.6</w:t>
                    </w:r>
                    <w:r>
                      <w:rPr>
                        <w:rFonts w:ascii="Calibri"/>
                        <w:sz w:val="7"/>
                      </w:rPr>
                      <w:t>    </w:t>
                    </w:r>
                    <w:r>
                      <w:rPr>
                        <w:rFonts w:ascii="Calibri"/>
                        <w:spacing w:val="-3"/>
                        <w:sz w:val="7"/>
                      </w:rPr>
                      <w:t> </w:t>
                    </w:r>
                    <w:r>
                      <w:rPr>
                        <w:rFonts w:ascii="Calibri"/>
                        <w:w w:val="123"/>
                        <w:sz w:val="7"/>
                        <w:u w:val="single" w:color="858585"/>
                      </w:rPr>
                      <w:t> </w:t>
                    </w:r>
                    <w:r>
                      <w:rPr>
                        <w:rFonts w:ascii="Calibri"/>
                        <w:sz w:val="7"/>
                        <w:u w:val="single" w:color="858585"/>
                      </w:rPr>
                      <w:tab/>
                    </w:r>
                  </w:p>
                </w:txbxContent>
              </v:textbox>
              <w10:wrap type="none"/>
            </v:shape>
            <v:shape style="position:absolute;left:3833;top:2185;width:1493;height:73" type="#_x0000_t202" filled="false" stroked="false">
              <v:textbox inset="0,0,0,0">
                <w:txbxContent>
                  <w:p>
                    <w:pPr>
                      <w:tabs>
                        <w:tab w:pos="1472" w:val="left" w:leader="none"/>
                      </w:tabs>
                      <w:spacing w:line="72" w:lineRule="exact" w:before="0"/>
                      <w:ind w:left="0" w:right="0" w:firstLine="0"/>
                      <w:jc w:val="left"/>
                      <w:rPr>
                        <w:rFonts w:ascii="Calibri"/>
                        <w:sz w:val="7"/>
                      </w:rPr>
                    </w:pPr>
                    <w:r>
                      <w:rPr>
                        <w:rFonts w:ascii="Calibri"/>
                        <w:w w:val="125"/>
                        <w:sz w:val="7"/>
                      </w:rPr>
                      <w:t>642.9</w:t>
                    </w:r>
                    <w:r>
                      <w:rPr>
                        <w:rFonts w:ascii="Calibri"/>
                        <w:sz w:val="7"/>
                      </w:rPr>
                      <w:t>   </w:t>
                    </w:r>
                    <w:r>
                      <w:rPr>
                        <w:rFonts w:ascii="Calibri"/>
                        <w:spacing w:val="6"/>
                        <w:sz w:val="7"/>
                      </w:rPr>
                      <w:t> </w:t>
                    </w:r>
                    <w:r>
                      <w:rPr>
                        <w:rFonts w:ascii="Calibri"/>
                        <w:w w:val="123"/>
                        <w:sz w:val="7"/>
                        <w:u w:val="single" w:color="858585"/>
                      </w:rPr>
                      <w:t> </w:t>
                    </w:r>
                    <w:r>
                      <w:rPr>
                        <w:rFonts w:ascii="Calibri"/>
                        <w:sz w:val="7"/>
                        <w:u w:val="single" w:color="858585"/>
                      </w:rPr>
                      <w:tab/>
                    </w:r>
                  </w:p>
                </w:txbxContent>
              </v:textbox>
              <w10:wrap type="none"/>
            </v:shape>
            <v:shape style="position:absolute;left:7369;top:2185;width:1529;height:73" type="#_x0000_t202" filled="false" stroked="false">
              <v:textbox inset="0,0,0,0">
                <w:txbxContent>
                  <w:p>
                    <w:pPr>
                      <w:tabs>
                        <w:tab w:pos="1508" w:val="left" w:leader="none"/>
                      </w:tabs>
                      <w:spacing w:line="72" w:lineRule="exact" w:before="0"/>
                      <w:ind w:left="0" w:right="0" w:firstLine="0"/>
                      <w:jc w:val="left"/>
                      <w:rPr>
                        <w:rFonts w:ascii="Calibri"/>
                        <w:sz w:val="7"/>
                      </w:rPr>
                    </w:pPr>
                    <w:r>
                      <w:rPr>
                        <w:rFonts w:ascii="Calibri"/>
                        <w:w w:val="125"/>
                        <w:sz w:val="7"/>
                      </w:rPr>
                      <w:t>181</w:t>
                    </w:r>
                    <w:r>
                      <w:rPr>
                        <w:rFonts w:ascii="Calibri"/>
                        <w:sz w:val="7"/>
                      </w:rPr>
                      <w:t>   </w:t>
                    </w:r>
                    <w:r>
                      <w:rPr>
                        <w:rFonts w:ascii="Calibri"/>
                        <w:spacing w:val="-6"/>
                        <w:sz w:val="7"/>
                      </w:rPr>
                      <w:t> </w:t>
                    </w:r>
                    <w:r>
                      <w:rPr>
                        <w:rFonts w:ascii="Calibri"/>
                        <w:w w:val="123"/>
                        <w:sz w:val="7"/>
                        <w:u w:val="single" w:color="858585"/>
                      </w:rPr>
                      <w:t> </w:t>
                    </w:r>
                    <w:r>
                      <w:rPr>
                        <w:rFonts w:ascii="Calibri"/>
                        <w:sz w:val="7"/>
                        <w:u w:val="single" w:color="858585"/>
                      </w:rPr>
                      <w:tab/>
                    </w:r>
                  </w:p>
                </w:txbxContent>
              </v:textbox>
              <w10:wrap type="none"/>
            </v:shape>
            <v:shape style="position:absolute;left:9158;top:2098;width:1527;height:160" type="#_x0000_t202" filled="false" stroked="false">
              <v:textbox inset="0,0,0,0">
                <w:txbxContent>
                  <w:p>
                    <w:pPr>
                      <w:spacing w:line="83" w:lineRule="exact" w:before="0"/>
                      <w:ind w:left="330" w:right="0" w:firstLine="0"/>
                      <w:jc w:val="left"/>
                      <w:rPr>
                        <w:b/>
                        <w:sz w:val="8"/>
                      </w:rPr>
                    </w:pPr>
                    <w:r>
                      <w:rPr>
                        <w:b/>
                        <w:color w:val="7E7E7E"/>
                        <w:w w:val="125"/>
                        <w:sz w:val="8"/>
                      </w:rPr>
                      <w:t>18.9</w:t>
                    </w:r>
                  </w:p>
                  <w:p>
                    <w:pPr>
                      <w:tabs>
                        <w:tab w:pos="1506" w:val="left" w:leader="none"/>
                      </w:tabs>
                      <w:spacing w:line="77" w:lineRule="exact" w:before="0"/>
                      <w:ind w:left="0" w:right="0" w:firstLine="0"/>
                      <w:jc w:val="left"/>
                      <w:rPr>
                        <w:rFonts w:ascii="Calibri"/>
                        <w:sz w:val="7"/>
                      </w:rPr>
                    </w:pPr>
                    <w:r>
                      <w:rPr>
                        <w:rFonts w:ascii="Calibri"/>
                        <w:spacing w:val="-3"/>
                        <w:w w:val="125"/>
                        <w:sz w:val="7"/>
                      </w:rPr>
                      <w:t>16.1</w:t>
                    </w:r>
                    <w:r>
                      <w:rPr>
                        <w:rFonts w:ascii="Calibri"/>
                        <w:spacing w:val="-3"/>
                        <w:sz w:val="7"/>
                      </w:rPr>
                      <w:t>   </w:t>
                    </w:r>
                    <w:r>
                      <w:rPr>
                        <w:rFonts w:ascii="Calibri"/>
                        <w:spacing w:val="3"/>
                        <w:sz w:val="7"/>
                      </w:rPr>
                      <w:t> </w:t>
                    </w:r>
                    <w:r>
                      <w:rPr>
                        <w:rFonts w:ascii="Calibri"/>
                        <w:w w:val="123"/>
                        <w:sz w:val="7"/>
                        <w:u w:val="single" w:color="858585"/>
                      </w:rPr>
                      <w:t> </w:t>
                    </w:r>
                    <w:r>
                      <w:rPr>
                        <w:rFonts w:ascii="Calibri"/>
                        <w:sz w:val="7"/>
                        <w:u w:val="single" w:color="858585"/>
                      </w:rPr>
                      <w:tab/>
                    </w:r>
                  </w:p>
                </w:txbxContent>
              </v:textbox>
              <w10:wrap type="none"/>
            </v:shape>
            <v:shape style="position:absolute;left:7369;top:4068;width:3316;height:160" type="#_x0000_t202" filled="false" stroked="false">
              <v:textbox inset="0,0,0,0">
                <w:txbxContent>
                  <w:p>
                    <w:pPr>
                      <w:tabs>
                        <w:tab w:pos="2070" w:val="left" w:leader="none"/>
                      </w:tabs>
                      <w:spacing w:line="83" w:lineRule="exact" w:before="0"/>
                      <w:ind w:left="281" w:right="0" w:firstLine="0"/>
                      <w:jc w:val="left"/>
                      <w:rPr>
                        <w:b/>
                        <w:sz w:val="8"/>
                      </w:rPr>
                    </w:pPr>
                    <w:r>
                      <w:rPr>
                        <w:b/>
                        <w:color w:val="92D050"/>
                        <w:w w:val="125"/>
                        <w:sz w:val="8"/>
                      </w:rPr>
                      <w:t>1570.6</w:t>
                      <w:tab/>
                    </w:r>
                    <w:r>
                      <w:rPr>
                        <w:b/>
                        <w:color w:val="A6A6A6"/>
                        <w:w w:val="125"/>
                        <w:sz w:val="8"/>
                      </w:rPr>
                      <w:t>1827.5</w:t>
                    </w:r>
                  </w:p>
                  <w:p>
                    <w:pPr>
                      <w:tabs>
                        <w:tab w:pos="1509" w:val="left" w:leader="none"/>
                        <w:tab w:pos="1788" w:val="left" w:leader="none"/>
                        <w:tab w:pos="3295" w:val="left" w:leader="none"/>
                      </w:tabs>
                      <w:spacing w:line="76" w:lineRule="exact" w:before="0"/>
                      <w:ind w:left="0" w:right="0" w:firstLine="0"/>
                      <w:jc w:val="left"/>
                      <w:rPr>
                        <w:rFonts w:ascii="Calibri"/>
                        <w:sz w:val="7"/>
                      </w:rPr>
                    </w:pPr>
                    <w:r>
                      <w:rPr>
                        <w:rFonts w:ascii="Calibri"/>
                        <w:spacing w:val="-3"/>
                        <w:w w:val="125"/>
                        <w:sz w:val="7"/>
                      </w:rPr>
                      <w:t>1338.9</w:t>
                    </w:r>
                    <w:r>
                      <w:rPr>
                        <w:rFonts w:ascii="Calibri"/>
                        <w:spacing w:val="-3"/>
                        <w:w w:val="125"/>
                        <w:sz w:val="7"/>
                        <w:u w:val="single" w:color="858585"/>
                      </w:rPr>
                      <w:t> </w:t>
                      <w:tab/>
                    </w:r>
                    <w:r>
                      <w:rPr>
                        <w:rFonts w:ascii="Calibri"/>
                        <w:spacing w:val="-3"/>
                        <w:w w:val="125"/>
                        <w:sz w:val="7"/>
                      </w:rPr>
                      <w:tab/>
                      <w:t>1597.6</w:t>
                    </w:r>
                    <w:r>
                      <w:rPr>
                        <w:rFonts w:ascii="Calibri"/>
                        <w:spacing w:val="-3"/>
                        <w:sz w:val="7"/>
                      </w:rPr>
                      <w:t>   </w:t>
                    </w:r>
                    <w:r>
                      <w:rPr>
                        <w:rFonts w:ascii="Calibri"/>
                        <w:spacing w:val="3"/>
                        <w:sz w:val="7"/>
                      </w:rPr>
                      <w:t> </w:t>
                    </w:r>
                    <w:r>
                      <w:rPr>
                        <w:rFonts w:ascii="Calibri"/>
                        <w:w w:val="123"/>
                        <w:sz w:val="7"/>
                        <w:u w:val="single" w:color="858585"/>
                      </w:rPr>
                      <w:t> </w:t>
                    </w:r>
                    <w:r>
                      <w:rPr>
                        <w:rFonts w:ascii="Calibri"/>
                        <w:sz w:val="7"/>
                        <w:u w:val="single" w:color="858585"/>
                      </w:rPr>
                      <w:tab/>
                    </w:r>
                  </w:p>
                </w:txbxContent>
              </v:textbox>
              <w10:wrap type="none"/>
            </v:shape>
            <v:shape style="position:absolute;left:5622;top:4155;width:1491;height:73" type="#_x0000_t202" filled="false" stroked="false">
              <v:textbox inset="0,0,0,0">
                <w:txbxContent>
                  <w:p>
                    <w:pPr>
                      <w:tabs>
                        <w:tab w:pos="1470" w:val="left" w:leader="none"/>
                      </w:tabs>
                      <w:spacing w:line="73" w:lineRule="exact" w:before="0"/>
                      <w:ind w:left="0" w:right="0" w:firstLine="0"/>
                      <w:jc w:val="left"/>
                      <w:rPr>
                        <w:rFonts w:ascii="Calibri"/>
                        <w:sz w:val="7"/>
                      </w:rPr>
                    </w:pPr>
                    <w:r>
                      <w:rPr>
                        <w:rFonts w:ascii="Calibri"/>
                        <w:w w:val="125"/>
                        <w:sz w:val="7"/>
                      </w:rPr>
                      <w:t>804</w:t>
                    </w:r>
                    <w:r>
                      <w:rPr>
                        <w:rFonts w:ascii="Calibri"/>
                        <w:sz w:val="7"/>
                      </w:rPr>
                      <w:t>   </w:t>
                    </w:r>
                    <w:r>
                      <w:rPr>
                        <w:rFonts w:ascii="Calibri"/>
                        <w:spacing w:val="4"/>
                        <w:sz w:val="7"/>
                      </w:rPr>
                      <w:t> </w:t>
                    </w:r>
                    <w:r>
                      <w:rPr>
                        <w:rFonts w:ascii="Calibri"/>
                        <w:w w:val="123"/>
                        <w:sz w:val="7"/>
                        <w:u w:val="single" w:color="858585"/>
                      </w:rPr>
                      <w:t> </w:t>
                    </w:r>
                    <w:r>
                      <w:rPr>
                        <w:rFonts w:ascii="Calibri"/>
                        <w:sz w:val="7"/>
                        <w:u w:val="single" w:color="858585"/>
                      </w:rPr>
                      <w:tab/>
                    </w:r>
                  </w:p>
                </w:txbxContent>
              </v:textbox>
              <w10:wrap type="none"/>
            </v:shape>
            <v:shape style="position:absolute;left:5862;top:4068;width:292;height:92" type="#_x0000_t202" filled="false" stroked="false">
              <v:textbox inset="0,0,0,0">
                <w:txbxContent>
                  <w:p>
                    <w:pPr>
                      <w:spacing w:line="91" w:lineRule="exact" w:before="0"/>
                      <w:ind w:left="0" w:right="0" w:firstLine="0"/>
                      <w:jc w:val="left"/>
                      <w:rPr>
                        <w:b/>
                        <w:sz w:val="8"/>
                      </w:rPr>
                    </w:pPr>
                    <w:r>
                      <w:rPr>
                        <w:b/>
                        <w:color w:val="6FAC46"/>
                        <w:w w:val="125"/>
                        <w:sz w:val="8"/>
                      </w:rPr>
                      <w:t>1438.0</w:t>
                    </w:r>
                  </w:p>
                </w:txbxContent>
              </v:textbox>
              <w10:wrap type="none"/>
            </v:shape>
            <v:shape style="position:absolute;left:9158;top:3965;width:249;height:73" type="#_x0000_t202" filled="false" stroked="false">
              <v:textbox inset="0,0,0,0">
                <w:txbxContent>
                  <w:p>
                    <w:pPr>
                      <w:spacing w:line="73" w:lineRule="exact" w:before="0"/>
                      <w:ind w:left="0" w:right="0" w:firstLine="0"/>
                      <w:jc w:val="left"/>
                      <w:rPr>
                        <w:rFonts w:ascii="Calibri"/>
                        <w:sz w:val="7"/>
                      </w:rPr>
                    </w:pPr>
                    <w:r>
                      <w:rPr>
                        <w:rFonts w:ascii="Calibri"/>
                        <w:w w:val="125"/>
                        <w:sz w:val="7"/>
                      </w:rPr>
                      <w:t>1697.6</w:t>
                    </w:r>
                  </w:p>
                </w:txbxContent>
              </v:textbox>
              <w10:wrap type="none"/>
            </v:shape>
            <v:shape style="position:absolute;left:7369;top:3931;width:249;height:73" type="#_x0000_t202" filled="false" stroked="false">
              <v:textbox inset="0,0,0,0">
                <w:txbxContent>
                  <w:p>
                    <w:pPr>
                      <w:spacing w:line="73" w:lineRule="exact" w:before="0"/>
                      <w:ind w:left="0" w:right="0" w:firstLine="0"/>
                      <w:jc w:val="left"/>
                      <w:rPr>
                        <w:rFonts w:ascii="Calibri"/>
                        <w:sz w:val="7"/>
                      </w:rPr>
                    </w:pPr>
                    <w:r>
                      <w:rPr>
                        <w:rFonts w:ascii="Calibri"/>
                        <w:w w:val="125"/>
                        <w:sz w:val="7"/>
                      </w:rPr>
                      <w:t>1838.9</w:t>
                    </w:r>
                  </w:p>
                </w:txbxContent>
              </v:textbox>
              <w10:wrap type="none"/>
            </v:shape>
            <v:shape style="position:absolute;left:9158;top:3775;width:249;height:73" type="#_x0000_t202" filled="false" stroked="false">
              <v:textbox inset="0,0,0,0">
                <w:txbxContent>
                  <w:p>
                    <w:pPr>
                      <w:spacing w:line="73" w:lineRule="exact" w:before="0"/>
                      <w:ind w:left="0" w:right="0" w:firstLine="0"/>
                      <w:jc w:val="left"/>
                      <w:rPr>
                        <w:rFonts w:ascii="Calibri"/>
                        <w:sz w:val="7"/>
                      </w:rPr>
                    </w:pPr>
                    <w:r>
                      <w:rPr>
                        <w:rFonts w:ascii="Calibri"/>
                        <w:w w:val="125"/>
                        <w:sz w:val="7"/>
                      </w:rPr>
                      <w:t>1797.6</w:t>
                    </w:r>
                  </w:p>
                </w:txbxContent>
              </v:textbox>
              <w10:wrap type="none"/>
            </v:shape>
            <v:shape style="position:absolute;left:7369;top:3708;width:249;height:73" type="#_x0000_t202" filled="false" stroked="false">
              <v:textbox inset="0,0,0,0">
                <w:txbxContent>
                  <w:p>
                    <w:pPr>
                      <w:spacing w:line="72" w:lineRule="exact" w:before="0"/>
                      <w:ind w:left="0" w:right="0" w:firstLine="0"/>
                      <w:jc w:val="left"/>
                      <w:rPr>
                        <w:rFonts w:ascii="Calibri"/>
                        <w:sz w:val="7"/>
                      </w:rPr>
                    </w:pPr>
                    <w:r>
                      <w:rPr>
                        <w:rFonts w:ascii="Calibri"/>
                        <w:w w:val="125"/>
                        <w:sz w:val="7"/>
                      </w:rPr>
                      <w:t>2338.9</w:t>
                    </w:r>
                  </w:p>
                </w:txbxContent>
              </v:textbox>
              <w10:wrap type="none"/>
            </v:shape>
            <v:shape style="position:absolute;left:9158;top:3586;width:249;height:73" type="#_x0000_t202" filled="false" stroked="false">
              <v:textbox inset="0,0,0,0">
                <w:txbxContent>
                  <w:p>
                    <w:pPr>
                      <w:spacing w:line="72" w:lineRule="exact" w:before="0"/>
                      <w:ind w:left="0" w:right="0" w:firstLine="0"/>
                      <w:jc w:val="left"/>
                      <w:rPr>
                        <w:rFonts w:ascii="Calibri"/>
                        <w:sz w:val="7"/>
                      </w:rPr>
                    </w:pPr>
                    <w:r>
                      <w:rPr>
                        <w:rFonts w:ascii="Calibri"/>
                        <w:w w:val="125"/>
                        <w:sz w:val="7"/>
                      </w:rPr>
                      <w:t>1897.6</w:t>
                    </w:r>
                  </w:p>
                </w:txbxContent>
              </v:textbox>
              <w10:wrap type="none"/>
            </v:shape>
            <v:shape style="position:absolute;left:5581;top:3601;width:192;height:488" type="#_x0000_t202" filled="false" stroked="false">
              <v:textbox inset="0,0,0,0">
                <w:txbxContent>
                  <w:p>
                    <w:pPr>
                      <w:spacing w:line="73" w:lineRule="exact" w:before="0"/>
                      <w:ind w:left="0" w:right="0" w:firstLine="0"/>
                      <w:jc w:val="left"/>
                      <w:rPr>
                        <w:rFonts w:ascii="Calibri"/>
                        <w:sz w:val="7"/>
                      </w:rPr>
                    </w:pPr>
                    <w:r>
                      <w:rPr>
                        <w:rFonts w:ascii="Calibri"/>
                        <w:spacing w:val="-3"/>
                        <w:w w:val="125"/>
                        <w:sz w:val="7"/>
                      </w:rPr>
                      <w:t>1204</w:t>
                    </w:r>
                  </w:p>
                  <w:p>
                    <w:pPr>
                      <w:spacing w:before="52"/>
                      <w:ind w:left="0" w:right="0" w:firstLine="0"/>
                      <w:jc w:val="left"/>
                      <w:rPr>
                        <w:rFonts w:ascii="Calibri"/>
                        <w:sz w:val="7"/>
                      </w:rPr>
                    </w:pPr>
                    <w:r>
                      <w:rPr>
                        <w:rFonts w:ascii="Calibri"/>
                        <w:spacing w:val="-3"/>
                        <w:w w:val="125"/>
                        <w:sz w:val="7"/>
                      </w:rPr>
                      <w:t>1104</w:t>
                    </w:r>
                  </w:p>
                  <w:p>
                    <w:pPr>
                      <w:spacing w:before="54"/>
                      <w:ind w:left="0" w:right="0" w:firstLine="0"/>
                      <w:jc w:val="left"/>
                      <w:rPr>
                        <w:rFonts w:ascii="Calibri"/>
                        <w:sz w:val="7"/>
                      </w:rPr>
                    </w:pPr>
                    <w:r>
                      <w:rPr>
                        <w:rFonts w:ascii="Calibri"/>
                        <w:spacing w:val="-3"/>
                        <w:w w:val="125"/>
                        <w:sz w:val="7"/>
                      </w:rPr>
                      <w:t>1004</w:t>
                    </w:r>
                  </w:p>
                  <w:p>
                    <w:pPr>
                      <w:spacing w:line="85" w:lineRule="exact" w:before="52"/>
                      <w:ind w:left="41" w:right="0" w:firstLine="0"/>
                      <w:jc w:val="left"/>
                      <w:rPr>
                        <w:rFonts w:ascii="Calibri"/>
                        <w:sz w:val="7"/>
                      </w:rPr>
                    </w:pPr>
                    <w:r>
                      <w:rPr>
                        <w:rFonts w:ascii="Calibri"/>
                        <w:w w:val="125"/>
                        <w:sz w:val="7"/>
                      </w:rPr>
                      <w:t>904</w:t>
                    </w:r>
                  </w:p>
                </w:txbxContent>
              </v:textbox>
              <w10:wrap type="none"/>
            </v:shape>
            <v:shape style="position:absolute;left:7369;top:3485;width:249;height:73" type="#_x0000_t202" filled="false" stroked="false">
              <v:textbox inset="0,0,0,0">
                <w:txbxContent>
                  <w:p>
                    <w:pPr>
                      <w:spacing w:line="72" w:lineRule="exact" w:before="0"/>
                      <w:ind w:left="0" w:right="0" w:firstLine="0"/>
                      <w:jc w:val="left"/>
                      <w:rPr>
                        <w:rFonts w:ascii="Calibri"/>
                        <w:sz w:val="7"/>
                      </w:rPr>
                    </w:pPr>
                    <w:r>
                      <w:rPr>
                        <w:rFonts w:ascii="Calibri"/>
                        <w:w w:val="125"/>
                        <w:sz w:val="7"/>
                      </w:rPr>
                      <w:t>2838.9</w:t>
                    </w:r>
                  </w:p>
                </w:txbxContent>
              </v:textbox>
              <w10:wrap type="none"/>
            </v:shape>
            <v:shape style="position:absolute;left:5581;top:3463;width:187;height:73" type="#_x0000_t202" filled="false" stroked="false">
              <v:textbox inset="0,0,0,0">
                <w:txbxContent>
                  <w:p>
                    <w:pPr>
                      <w:spacing w:line="72" w:lineRule="exact" w:before="0"/>
                      <w:ind w:left="0" w:right="0" w:firstLine="0"/>
                      <w:jc w:val="left"/>
                      <w:rPr>
                        <w:rFonts w:ascii="Calibri"/>
                        <w:sz w:val="7"/>
                      </w:rPr>
                    </w:pPr>
                    <w:r>
                      <w:rPr>
                        <w:rFonts w:ascii="Calibri"/>
                        <w:w w:val="125"/>
                        <w:sz w:val="7"/>
                      </w:rPr>
                      <w:t>1304</w:t>
                    </w:r>
                  </w:p>
                </w:txbxContent>
              </v:textbox>
              <w10:wrap type="none"/>
            </v:shape>
            <v:shape style="position:absolute;left:9158;top:3397;width:249;height:73" type="#_x0000_t202" filled="false" stroked="false">
              <v:textbox inset="0,0,0,0">
                <w:txbxContent>
                  <w:p>
                    <w:pPr>
                      <w:spacing w:line="72" w:lineRule="exact" w:before="0"/>
                      <w:ind w:left="0" w:right="0" w:firstLine="0"/>
                      <w:jc w:val="left"/>
                      <w:rPr>
                        <w:rFonts w:ascii="Calibri"/>
                        <w:sz w:val="7"/>
                      </w:rPr>
                    </w:pPr>
                    <w:r>
                      <w:rPr>
                        <w:rFonts w:ascii="Calibri"/>
                        <w:w w:val="125"/>
                        <w:sz w:val="7"/>
                      </w:rPr>
                      <w:t>1997.6</w:t>
                    </w:r>
                  </w:p>
                </w:txbxContent>
              </v:textbox>
              <w10:wrap type="none"/>
            </v:shape>
            <v:shape style="position:absolute;left:5581;top:3324;width:188;height:73" type="#_x0000_t202" filled="false" stroked="false">
              <v:textbox inset="0,0,0,0">
                <w:txbxContent>
                  <w:p>
                    <w:pPr>
                      <w:spacing w:line="73" w:lineRule="exact" w:before="0"/>
                      <w:ind w:left="0" w:right="0" w:firstLine="0"/>
                      <w:jc w:val="left"/>
                      <w:rPr>
                        <w:rFonts w:ascii="Calibri"/>
                        <w:sz w:val="7"/>
                      </w:rPr>
                    </w:pPr>
                    <w:r>
                      <w:rPr>
                        <w:rFonts w:ascii="Calibri"/>
                        <w:w w:val="125"/>
                        <w:sz w:val="7"/>
                      </w:rPr>
                      <w:t>1404</w:t>
                    </w:r>
                  </w:p>
                </w:txbxContent>
              </v:textbox>
              <w10:wrap type="none"/>
            </v:shape>
            <v:shape style="position:absolute;left:7369;top:3261;width:249;height:73" type="#_x0000_t202" filled="false" stroked="false">
              <v:textbox inset="0,0,0,0">
                <w:txbxContent>
                  <w:p>
                    <w:pPr>
                      <w:spacing w:line="73" w:lineRule="exact" w:before="0"/>
                      <w:ind w:left="0" w:right="0" w:firstLine="0"/>
                      <w:jc w:val="left"/>
                      <w:rPr>
                        <w:rFonts w:ascii="Calibri"/>
                        <w:sz w:val="7"/>
                      </w:rPr>
                    </w:pPr>
                    <w:r>
                      <w:rPr>
                        <w:rFonts w:ascii="Calibri"/>
                        <w:w w:val="125"/>
                        <w:sz w:val="7"/>
                      </w:rPr>
                      <w:t>3338.9</w:t>
                    </w:r>
                  </w:p>
                </w:txbxContent>
              </v:textbox>
              <w10:wrap type="none"/>
            </v:shape>
            <v:shape style="position:absolute;left:9158;top:3207;width:249;height:73" type="#_x0000_t202" filled="false" stroked="false">
              <v:textbox inset="0,0,0,0">
                <w:txbxContent>
                  <w:p>
                    <w:pPr>
                      <w:spacing w:line="72" w:lineRule="exact" w:before="0"/>
                      <w:ind w:left="0" w:right="0" w:firstLine="0"/>
                      <w:jc w:val="left"/>
                      <w:rPr>
                        <w:rFonts w:ascii="Calibri"/>
                        <w:sz w:val="7"/>
                      </w:rPr>
                    </w:pPr>
                    <w:r>
                      <w:rPr>
                        <w:rFonts w:ascii="Calibri"/>
                        <w:w w:val="125"/>
                        <w:sz w:val="7"/>
                      </w:rPr>
                      <w:t>2097.6</w:t>
                    </w:r>
                  </w:p>
                </w:txbxContent>
              </v:textbox>
              <w10:wrap type="none"/>
            </v:shape>
            <v:shape style="position:absolute;left:10488;top:3032;width:292;height:92" type="#_x0000_t202" filled="false" stroked="false">
              <v:textbox inset="0,0,0,0">
                <w:txbxContent>
                  <w:p>
                    <w:pPr>
                      <w:spacing w:line="91" w:lineRule="exact" w:before="0"/>
                      <w:ind w:left="0" w:right="0" w:firstLine="0"/>
                      <w:jc w:val="left"/>
                      <w:rPr>
                        <w:b/>
                        <w:sz w:val="8"/>
                      </w:rPr>
                    </w:pPr>
                    <w:r>
                      <w:rPr>
                        <w:b/>
                        <w:color w:val="A6A6A6"/>
                        <w:w w:val="125"/>
                        <w:sz w:val="8"/>
                      </w:rPr>
                      <w:t>1804.1</w:t>
                    </w:r>
                  </w:p>
                </w:txbxContent>
              </v:textbox>
              <w10:wrap type="none"/>
            </v:shape>
            <v:shape style="position:absolute;left:9158;top:3017;width:249;height:73" type="#_x0000_t202" filled="false" stroked="false">
              <v:textbox inset="0,0,0,0">
                <w:txbxContent>
                  <w:p>
                    <w:pPr>
                      <w:spacing w:line="72" w:lineRule="exact" w:before="0"/>
                      <w:ind w:left="0" w:right="0" w:firstLine="0"/>
                      <w:jc w:val="left"/>
                      <w:rPr>
                        <w:rFonts w:ascii="Calibri"/>
                        <w:sz w:val="7"/>
                      </w:rPr>
                    </w:pPr>
                    <w:r>
                      <w:rPr>
                        <w:rFonts w:ascii="Calibri"/>
                        <w:w w:val="125"/>
                        <w:sz w:val="7"/>
                      </w:rPr>
                      <w:t>2197.6</w:t>
                    </w:r>
                  </w:p>
                </w:txbxContent>
              </v:textbox>
              <w10:wrap type="none"/>
            </v:shape>
            <v:shape style="position:absolute;left:8700;top:3032;width:292;height:92" type="#_x0000_t202" filled="false" stroked="false">
              <v:textbox inset="0,0,0,0">
                <w:txbxContent>
                  <w:p>
                    <w:pPr>
                      <w:spacing w:line="91" w:lineRule="exact" w:before="0"/>
                      <w:ind w:left="0" w:right="0" w:firstLine="0"/>
                      <w:jc w:val="left"/>
                      <w:rPr>
                        <w:b/>
                        <w:sz w:val="8"/>
                      </w:rPr>
                    </w:pPr>
                    <w:r>
                      <w:rPr>
                        <w:b/>
                        <w:color w:val="92D050"/>
                        <w:w w:val="125"/>
                        <w:sz w:val="8"/>
                      </w:rPr>
                      <w:t>2080.0</w:t>
                    </w:r>
                  </w:p>
                </w:txbxContent>
              </v:textbox>
              <w10:wrap type="none"/>
            </v:shape>
            <v:shape style="position:absolute;left:7369;top:3038;width:249;height:73" type="#_x0000_t202" filled="false" stroked="false">
              <v:textbox inset="0,0,0,0">
                <w:txbxContent>
                  <w:p>
                    <w:pPr>
                      <w:spacing w:line="73" w:lineRule="exact" w:before="0"/>
                      <w:ind w:left="0" w:right="0" w:firstLine="0"/>
                      <w:jc w:val="left"/>
                      <w:rPr>
                        <w:rFonts w:ascii="Calibri"/>
                        <w:sz w:val="7"/>
                      </w:rPr>
                    </w:pPr>
                    <w:r>
                      <w:rPr>
                        <w:rFonts w:ascii="Calibri"/>
                        <w:w w:val="125"/>
                        <w:sz w:val="7"/>
                      </w:rPr>
                      <w:t>3838.9</w:t>
                    </w:r>
                  </w:p>
                </w:txbxContent>
              </v:textbox>
              <w10:wrap type="none"/>
            </v:shape>
            <v:shape style="position:absolute;left:6935;top:3032;width:242;height:92" type="#_x0000_t202" filled="false" stroked="false">
              <v:textbox inset="0,0,0,0">
                <w:txbxContent>
                  <w:p>
                    <w:pPr>
                      <w:spacing w:line="91" w:lineRule="exact" w:before="0"/>
                      <w:ind w:left="0" w:right="0" w:firstLine="0"/>
                      <w:jc w:val="left"/>
                      <w:rPr>
                        <w:b/>
                        <w:sz w:val="8"/>
                      </w:rPr>
                    </w:pPr>
                    <w:r>
                      <w:rPr>
                        <w:b/>
                        <w:color w:val="6FAC46"/>
                        <w:w w:val="125"/>
                        <w:sz w:val="8"/>
                      </w:rPr>
                      <w:t>930.0</w:t>
                    </w:r>
                  </w:p>
                </w:txbxContent>
              </v:textbox>
              <w10:wrap type="none"/>
            </v:shape>
            <v:shape style="position:absolute;left:5581;top:3048;width:188;height:211" type="#_x0000_t202" filled="false" stroked="false">
              <v:textbox inset="0,0,0,0">
                <w:txbxContent>
                  <w:p>
                    <w:pPr>
                      <w:spacing w:line="73" w:lineRule="exact" w:before="0"/>
                      <w:ind w:left="0" w:right="0" w:firstLine="0"/>
                      <w:jc w:val="left"/>
                      <w:rPr>
                        <w:rFonts w:ascii="Calibri"/>
                        <w:sz w:val="7"/>
                      </w:rPr>
                    </w:pPr>
                    <w:r>
                      <w:rPr>
                        <w:rFonts w:ascii="Calibri"/>
                        <w:spacing w:val="-3"/>
                        <w:w w:val="125"/>
                        <w:sz w:val="7"/>
                      </w:rPr>
                      <w:t>1604</w:t>
                    </w:r>
                  </w:p>
                  <w:p>
                    <w:pPr>
                      <w:spacing w:line="85" w:lineRule="exact" w:before="52"/>
                      <w:ind w:left="0" w:right="0" w:firstLine="0"/>
                      <w:jc w:val="left"/>
                      <w:rPr>
                        <w:rFonts w:ascii="Calibri"/>
                        <w:sz w:val="7"/>
                      </w:rPr>
                    </w:pPr>
                    <w:r>
                      <w:rPr>
                        <w:rFonts w:ascii="Calibri"/>
                        <w:spacing w:val="-3"/>
                        <w:w w:val="125"/>
                        <w:sz w:val="7"/>
                      </w:rPr>
                      <w:t>1504</w:t>
                    </w:r>
                  </w:p>
                </w:txbxContent>
              </v:textbox>
              <w10:wrap type="none"/>
            </v:shape>
            <v:shape style="position:absolute;left:3697;top:2852;width:1777;height:1799" type="#_x0000_t202" filled="false" stroked="false">
              <v:textbox inset="0,0,0,0">
                <w:txbxContent>
                  <w:p>
                    <w:pPr>
                      <w:spacing w:line="240" w:lineRule="auto" w:before="11"/>
                      <w:rPr>
                        <w:sz w:val="8"/>
                      </w:rPr>
                    </w:pPr>
                  </w:p>
                  <w:p>
                    <w:pPr>
                      <w:spacing w:line="80" w:lineRule="exact" w:before="0"/>
                      <w:ind w:left="94" w:right="0" w:firstLine="0"/>
                      <w:jc w:val="left"/>
                      <w:rPr>
                        <w:rFonts w:ascii="Calibri"/>
                        <w:sz w:val="7"/>
                      </w:rPr>
                    </w:pPr>
                    <w:r>
                      <w:rPr>
                        <w:rFonts w:ascii="Calibri"/>
                        <w:w w:val="125"/>
                        <w:sz w:val="7"/>
                      </w:rPr>
                      <w:t>175.8</w:t>
                    </w:r>
                  </w:p>
                  <w:p>
                    <w:pPr>
                      <w:spacing w:line="87" w:lineRule="exact" w:before="0"/>
                      <w:ind w:left="0" w:right="103" w:firstLine="0"/>
                      <w:jc w:val="right"/>
                      <w:rPr>
                        <w:b/>
                        <w:sz w:val="8"/>
                      </w:rPr>
                    </w:pPr>
                    <w:r>
                      <w:rPr>
                        <w:b/>
                        <w:color w:val="538235"/>
                        <w:w w:val="120"/>
                        <w:sz w:val="8"/>
                      </w:rPr>
                      <w:t>130.0</w:t>
                    </w:r>
                  </w:p>
                  <w:p>
                    <w:pPr>
                      <w:spacing w:before="2"/>
                      <w:ind w:left="94" w:right="0" w:firstLine="0"/>
                      <w:jc w:val="left"/>
                      <w:rPr>
                        <w:rFonts w:ascii="Calibri"/>
                        <w:sz w:val="7"/>
                      </w:rPr>
                    </w:pPr>
                    <w:r>
                      <w:rPr>
                        <w:rFonts w:ascii="Calibri"/>
                        <w:w w:val="125"/>
                        <w:sz w:val="7"/>
                      </w:rPr>
                      <w:t>165.8</w:t>
                    </w:r>
                  </w:p>
                  <w:p>
                    <w:pPr>
                      <w:spacing w:line="240" w:lineRule="auto" w:before="11"/>
                      <w:rPr>
                        <w:rFonts w:ascii="Calibri"/>
                        <w:sz w:val="6"/>
                      </w:rPr>
                    </w:pPr>
                  </w:p>
                  <w:p>
                    <w:pPr>
                      <w:spacing w:before="0"/>
                      <w:ind w:left="94" w:right="0" w:firstLine="0"/>
                      <w:jc w:val="left"/>
                      <w:rPr>
                        <w:rFonts w:ascii="Calibri"/>
                        <w:sz w:val="7"/>
                      </w:rPr>
                    </w:pPr>
                    <w:r>
                      <w:rPr>
                        <w:rFonts w:ascii="Calibri"/>
                        <w:w w:val="125"/>
                        <w:sz w:val="7"/>
                      </w:rPr>
                      <w:t>155.8</w:t>
                    </w:r>
                  </w:p>
                  <w:p>
                    <w:pPr>
                      <w:spacing w:line="240" w:lineRule="auto" w:before="11"/>
                      <w:rPr>
                        <w:rFonts w:ascii="Calibri"/>
                        <w:sz w:val="6"/>
                      </w:rPr>
                    </w:pPr>
                  </w:p>
                  <w:p>
                    <w:pPr>
                      <w:spacing w:before="0"/>
                      <w:ind w:left="94" w:right="0" w:firstLine="0"/>
                      <w:jc w:val="left"/>
                      <w:rPr>
                        <w:rFonts w:ascii="Calibri"/>
                        <w:sz w:val="7"/>
                      </w:rPr>
                    </w:pPr>
                    <w:r>
                      <w:rPr>
                        <w:rFonts w:ascii="Calibri"/>
                        <w:w w:val="125"/>
                        <w:sz w:val="7"/>
                      </w:rPr>
                      <w:t>145.8</w:t>
                    </w:r>
                  </w:p>
                  <w:p>
                    <w:pPr>
                      <w:spacing w:line="240" w:lineRule="auto" w:before="11"/>
                      <w:rPr>
                        <w:rFonts w:ascii="Calibri"/>
                        <w:sz w:val="6"/>
                      </w:rPr>
                    </w:pPr>
                  </w:p>
                  <w:p>
                    <w:pPr>
                      <w:spacing w:before="0"/>
                      <w:ind w:left="94" w:right="0" w:firstLine="0"/>
                      <w:jc w:val="left"/>
                      <w:rPr>
                        <w:rFonts w:ascii="Calibri"/>
                        <w:sz w:val="7"/>
                      </w:rPr>
                    </w:pPr>
                    <w:r>
                      <w:rPr>
                        <w:rFonts w:ascii="Calibri"/>
                        <w:w w:val="125"/>
                        <w:sz w:val="7"/>
                      </w:rPr>
                      <w:t>135.8</w:t>
                    </w:r>
                  </w:p>
                  <w:p>
                    <w:pPr>
                      <w:spacing w:line="240" w:lineRule="auto" w:before="11"/>
                      <w:rPr>
                        <w:rFonts w:ascii="Calibri"/>
                        <w:sz w:val="6"/>
                      </w:rPr>
                    </w:pPr>
                  </w:p>
                  <w:p>
                    <w:pPr>
                      <w:spacing w:before="0"/>
                      <w:ind w:left="94" w:right="0" w:firstLine="0"/>
                      <w:jc w:val="left"/>
                      <w:rPr>
                        <w:rFonts w:ascii="Calibri"/>
                        <w:sz w:val="7"/>
                      </w:rPr>
                    </w:pPr>
                    <w:r>
                      <w:rPr>
                        <w:rFonts w:ascii="Calibri"/>
                        <w:w w:val="125"/>
                        <w:sz w:val="7"/>
                      </w:rPr>
                      <w:t>125.8</w:t>
                    </w:r>
                  </w:p>
                  <w:p>
                    <w:pPr>
                      <w:spacing w:line="240" w:lineRule="auto" w:before="11"/>
                      <w:rPr>
                        <w:rFonts w:ascii="Calibri"/>
                        <w:sz w:val="6"/>
                      </w:rPr>
                    </w:pPr>
                  </w:p>
                  <w:p>
                    <w:pPr>
                      <w:spacing w:before="0"/>
                      <w:ind w:left="94" w:right="0" w:firstLine="0"/>
                      <w:jc w:val="left"/>
                      <w:rPr>
                        <w:rFonts w:ascii="Calibri"/>
                        <w:sz w:val="7"/>
                      </w:rPr>
                    </w:pPr>
                    <w:r>
                      <w:rPr>
                        <w:rFonts w:ascii="Calibri"/>
                        <w:w w:val="125"/>
                        <w:sz w:val="7"/>
                      </w:rPr>
                      <w:t>115.8</w:t>
                    </w:r>
                  </w:p>
                  <w:p>
                    <w:pPr>
                      <w:spacing w:line="84" w:lineRule="exact" w:before="9"/>
                      <w:ind w:left="401" w:right="0" w:firstLine="0"/>
                      <w:jc w:val="left"/>
                      <w:rPr>
                        <w:b/>
                        <w:sz w:val="8"/>
                      </w:rPr>
                    </w:pPr>
                    <w:r>
                      <w:rPr>
                        <w:b/>
                        <w:color w:val="538235"/>
                        <w:w w:val="125"/>
                        <w:sz w:val="8"/>
                      </w:rPr>
                      <w:t>120.4</w:t>
                    </w:r>
                  </w:p>
                  <w:p>
                    <w:pPr>
                      <w:tabs>
                        <w:tab w:pos="1608" w:val="left" w:leader="none"/>
                      </w:tabs>
                      <w:spacing w:line="77" w:lineRule="exact" w:before="0"/>
                      <w:ind w:left="94" w:right="0" w:firstLine="0"/>
                      <w:jc w:val="left"/>
                      <w:rPr>
                        <w:rFonts w:ascii="Calibri"/>
                        <w:sz w:val="7"/>
                      </w:rPr>
                    </w:pPr>
                    <w:r>
                      <w:rPr>
                        <w:rFonts w:ascii="Calibri"/>
                        <w:w w:val="125"/>
                        <w:sz w:val="7"/>
                      </w:rPr>
                      <w:t>105.8</w:t>
                    </w:r>
                    <w:r>
                      <w:rPr>
                        <w:rFonts w:ascii="Calibri"/>
                        <w:sz w:val="7"/>
                      </w:rPr>
                      <w:t>    </w:t>
                    </w:r>
                    <w:r>
                      <w:rPr>
                        <w:rFonts w:ascii="Calibri"/>
                        <w:spacing w:val="-6"/>
                        <w:sz w:val="7"/>
                      </w:rPr>
                      <w:t> </w:t>
                    </w:r>
                    <w:r>
                      <w:rPr>
                        <w:rFonts w:ascii="Calibri"/>
                        <w:w w:val="123"/>
                        <w:sz w:val="7"/>
                        <w:u w:val="single" w:color="858585"/>
                      </w:rPr>
                      <w:t> </w:t>
                    </w:r>
                    <w:r>
                      <w:rPr>
                        <w:rFonts w:ascii="Calibri"/>
                        <w:sz w:val="7"/>
                        <w:u w:val="single" w:color="858585"/>
                      </w:rPr>
                      <w:tab/>
                    </w:r>
                  </w:p>
                </w:txbxContent>
              </v:textbox>
              <w10:wrap type="none"/>
            </v:shape>
            <v:shape style="position:absolute;left:2002;top:4022;width:1537;height:206" type="#_x0000_t202" filled="false" stroked="false">
              <v:textbox inset="0,0,0,0">
                <w:txbxContent>
                  <w:p>
                    <w:pPr>
                      <w:spacing w:line="59" w:lineRule="exact" w:before="0"/>
                      <w:ind w:left="0" w:right="0" w:firstLine="0"/>
                      <w:jc w:val="left"/>
                      <w:rPr>
                        <w:rFonts w:ascii="Calibri"/>
                        <w:sz w:val="7"/>
                      </w:rPr>
                    </w:pPr>
                    <w:r>
                      <w:rPr>
                        <w:rFonts w:ascii="Calibri"/>
                        <w:w w:val="125"/>
                        <w:sz w:val="7"/>
                      </w:rPr>
                      <w:t>3.8</w:t>
                    </w:r>
                  </w:p>
                  <w:p>
                    <w:pPr>
                      <w:spacing w:line="70" w:lineRule="exact" w:before="0"/>
                      <w:ind w:left="356" w:right="0" w:firstLine="0"/>
                      <w:jc w:val="left"/>
                      <w:rPr>
                        <w:b/>
                        <w:sz w:val="8"/>
                      </w:rPr>
                    </w:pPr>
                    <w:r>
                      <w:rPr>
                        <w:b/>
                        <w:color w:val="385622"/>
                        <w:w w:val="125"/>
                        <w:sz w:val="8"/>
                      </w:rPr>
                      <w:t>4.5</w:t>
                    </w:r>
                  </w:p>
                  <w:p>
                    <w:pPr>
                      <w:tabs>
                        <w:tab w:pos="1516" w:val="left" w:leader="none"/>
                      </w:tabs>
                      <w:spacing w:line="76" w:lineRule="exact" w:before="0"/>
                      <w:ind w:left="0" w:right="0" w:firstLine="0"/>
                      <w:jc w:val="left"/>
                      <w:rPr>
                        <w:rFonts w:ascii="Calibri"/>
                        <w:sz w:val="7"/>
                      </w:rPr>
                    </w:pPr>
                    <w:r>
                      <w:rPr>
                        <w:rFonts w:ascii="Calibri"/>
                        <w:w w:val="125"/>
                        <w:sz w:val="7"/>
                      </w:rPr>
                      <w:t>3.6</w:t>
                    </w:r>
                    <w:r>
                      <w:rPr>
                        <w:rFonts w:ascii="Calibri"/>
                        <w:sz w:val="7"/>
                      </w:rPr>
                      <w:t>    </w:t>
                    </w:r>
                    <w:r>
                      <w:rPr>
                        <w:rFonts w:ascii="Calibri"/>
                        <w:spacing w:val="-3"/>
                        <w:sz w:val="7"/>
                      </w:rPr>
                      <w:t> </w:t>
                    </w:r>
                    <w:r>
                      <w:rPr>
                        <w:rFonts w:ascii="Calibri"/>
                        <w:w w:val="123"/>
                        <w:sz w:val="7"/>
                        <w:u w:val="single" w:color="858585"/>
                      </w:rPr>
                      <w:t> </w:t>
                    </w:r>
                    <w:r>
                      <w:rPr>
                        <w:rFonts w:ascii="Calibri"/>
                        <w:sz w:val="7"/>
                        <w:u w:val="single" w:color="858585"/>
                      </w:rPr>
                      <w:tab/>
                    </w:r>
                  </w:p>
                </w:txbxContent>
              </v:textbox>
              <w10:wrap type="none"/>
            </v:shape>
            <v:shape style="position:absolute;left:3407;top:3032;width:144;height:92" type="#_x0000_t202" filled="false" stroked="false">
              <v:textbox inset="0,0,0,0">
                <w:txbxContent>
                  <w:p>
                    <w:pPr>
                      <w:spacing w:line="91" w:lineRule="exact" w:before="0"/>
                      <w:ind w:left="0" w:right="0" w:firstLine="0"/>
                      <w:jc w:val="left"/>
                      <w:rPr>
                        <w:b/>
                        <w:sz w:val="8"/>
                      </w:rPr>
                    </w:pPr>
                    <w:r>
                      <w:rPr>
                        <w:b/>
                        <w:color w:val="385622"/>
                        <w:w w:val="125"/>
                        <w:sz w:val="8"/>
                      </w:rPr>
                      <w:t>3.7</w:t>
                    </w:r>
                  </w:p>
                </w:txbxContent>
              </v:textbox>
              <w10:wrap type="none"/>
            </v:shape>
            <v:shape style="position:absolute;left:2002;top:2961;width:127;height:1002" type="#_x0000_t202" filled="false" stroked="false">
              <v:textbox inset="0,0,0,0">
                <w:txbxContent>
                  <w:p>
                    <w:pPr>
                      <w:spacing w:line="73" w:lineRule="exact" w:before="0"/>
                      <w:ind w:left="0" w:right="0" w:firstLine="0"/>
                      <w:jc w:val="left"/>
                      <w:rPr>
                        <w:rFonts w:ascii="Calibri"/>
                        <w:sz w:val="7"/>
                      </w:rPr>
                    </w:pPr>
                    <w:r>
                      <w:rPr>
                        <w:rFonts w:ascii="Calibri"/>
                        <w:w w:val="125"/>
                        <w:sz w:val="7"/>
                      </w:rPr>
                      <w:t>5.4</w:t>
                    </w:r>
                  </w:p>
                  <w:p>
                    <w:pPr>
                      <w:spacing w:before="47"/>
                      <w:ind w:left="0" w:right="0" w:firstLine="0"/>
                      <w:jc w:val="left"/>
                      <w:rPr>
                        <w:rFonts w:ascii="Calibri"/>
                        <w:sz w:val="7"/>
                      </w:rPr>
                    </w:pPr>
                    <w:r>
                      <w:rPr>
                        <w:rFonts w:ascii="Calibri"/>
                        <w:w w:val="125"/>
                        <w:sz w:val="7"/>
                      </w:rPr>
                      <w:t>5.2</w:t>
                    </w:r>
                  </w:p>
                  <w:p>
                    <w:pPr>
                      <w:spacing w:before="47"/>
                      <w:ind w:left="62" w:right="0" w:firstLine="0"/>
                      <w:jc w:val="left"/>
                      <w:rPr>
                        <w:rFonts w:ascii="Calibri"/>
                        <w:sz w:val="7"/>
                      </w:rPr>
                    </w:pPr>
                    <w:r>
                      <w:rPr>
                        <w:rFonts w:ascii="Calibri"/>
                        <w:w w:val="123"/>
                        <w:sz w:val="7"/>
                      </w:rPr>
                      <w:t>5</w:t>
                    </w:r>
                  </w:p>
                  <w:p>
                    <w:pPr>
                      <w:spacing w:before="47"/>
                      <w:ind w:left="0" w:right="0" w:firstLine="0"/>
                      <w:jc w:val="left"/>
                      <w:rPr>
                        <w:rFonts w:ascii="Calibri"/>
                        <w:sz w:val="7"/>
                      </w:rPr>
                    </w:pPr>
                    <w:r>
                      <w:rPr>
                        <w:rFonts w:ascii="Calibri"/>
                        <w:w w:val="125"/>
                        <w:sz w:val="7"/>
                      </w:rPr>
                      <w:t>4.8</w:t>
                    </w:r>
                  </w:p>
                  <w:p>
                    <w:pPr>
                      <w:spacing w:before="47"/>
                      <w:ind w:left="0" w:right="0" w:firstLine="0"/>
                      <w:jc w:val="left"/>
                      <w:rPr>
                        <w:rFonts w:ascii="Calibri"/>
                        <w:sz w:val="7"/>
                      </w:rPr>
                    </w:pPr>
                    <w:r>
                      <w:rPr>
                        <w:rFonts w:ascii="Calibri"/>
                        <w:w w:val="125"/>
                        <w:sz w:val="7"/>
                      </w:rPr>
                      <w:t>4.6</w:t>
                    </w:r>
                  </w:p>
                  <w:p>
                    <w:pPr>
                      <w:spacing w:before="48"/>
                      <w:ind w:left="0" w:right="0" w:firstLine="0"/>
                      <w:jc w:val="left"/>
                      <w:rPr>
                        <w:rFonts w:ascii="Calibri"/>
                        <w:sz w:val="7"/>
                      </w:rPr>
                    </w:pPr>
                    <w:r>
                      <w:rPr>
                        <w:rFonts w:ascii="Calibri"/>
                        <w:w w:val="125"/>
                        <w:sz w:val="7"/>
                      </w:rPr>
                      <w:t>4.4</w:t>
                    </w:r>
                  </w:p>
                  <w:p>
                    <w:pPr>
                      <w:spacing w:before="47"/>
                      <w:ind w:left="0" w:right="0" w:firstLine="0"/>
                      <w:jc w:val="left"/>
                      <w:rPr>
                        <w:rFonts w:ascii="Calibri"/>
                        <w:sz w:val="7"/>
                      </w:rPr>
                    </w:pPr>
                    <w:r>
                      <w:rPr>
                        <w:rFonts w:ascii="Calibri"/>
                        <w:w w:val="125"/>
                        <w:sz w:val="7"/>
                      </w:rPr>
                      <w:t>4.2</w:t>
                    </w:r>
                  </w:p>
                  <w:p>
                    <w:pPr>
                      <w:spacing w:line="85" w:lineRule="exact" w:before="47"/>
                      <w:ind w:left="62" w:right="0" w:firstLine="0"/>
                      <w:jc w:val="left"/>
                      <w:rPr>
                        <w:rFonts w:ascii="Calibri"/>
                        <w:sz w:val="7"/>
                      </w:rPr>
                    </w:pPr>
                    <w:r>
                      <w:rPr>
                        <w:rFonts w:ascii="Calibri"/>
                        <w:w w:val="123"/>
                        <w:sz w:val="7"/>
                      </w:rPr>
                      <w:t>4</w:t>
                    </w:r>
                  </w:p>
                </w:txbxContent>
              </v:textbox>
              <w10:wrap type="none"/>
            </v:shape>
            <v:shape style="position:absolute;left:9422;top:2684;width:1080;height:138" type="#_x0000_t202" filled="false" stroked="false">
              <v:textbox inset="0,0,0,0">
                <w:txbxContent>
                  <w:p>
                    <w:pPr>
                      <w:spacing w:line="137" w:lineRule="exact" w:before="0"/>
                      <w:ind w:left="0" w:right="0" w:firstLine="0"/>
                      <w:jc w:val="left"/>
                      <w:rPr>
                        <w:b/>
                        <w:sz w:val="12"/>
                      </w:rPr>
                    </w:pPr>
                    <w:r>
                      <w:rPr>
                        <w:b/>
                        <w:w w:val="125"/>
                        <w:sz w:val="12"/>
                      </w:rPr>
                      <w:t>Oro- $/onza troy</w:t>
                    </w:r>
                  </w:p>
                </w:txbxContent>
              </v:textbox>
              <w10:wrap type="none"/>
            </v:shape>
            <v:shape style="position:absolute;left:7731;top:2684;width:899;height:138" type="#_x0000_t202" filled="false" stroked="false">
              <v:textbox inset="0,0,0,0">
                <w:txbxContent>
                  <w:p>
                    <w:pPr>
                      <w:spacing w:line="137" w:lineRule="exact" w:before="0"/>
                      <w:ind w:left="0" w:right="0" w:firstLine="0"/>
                      <w:jc w:val="left"/>
                      <w:rPr>
                        <w:b/>
                        <w:sz w:val="12"/>
                      </w:rPr>
                    </w:pPr>
                    <w:r>
                      <w:rPr>
                        <w:b/>
                        <w:w w:val="125"/>
                        <w:sz w:val="12"/>
                      </w:rPr>
                      <w:t>Niquel- $/TM</w:t>
                    </w:r>
                  </w:p>
                </w:txbxContent>
              </v:textbox>
              <w10:wrap type="none"/>
            </v:shape>
            <v:shape style="position:absolute;left:5893;top:2684;width:982;height:138" type="#_x0000_t202" filled="false" stroked="false">
              <v:textbox inset="0,0,0,0">
                <w:txbxContent>
                  <w:p>
                    <w:pPr>
                      <w:spacing w:line="137" w:lineRule="exact" w:before="0"/>
                      <w:ind w:left="0" w:right="0" w:firstLine="0"/>
                      <w:jc w:val="left"/>
                      <w:rPr>
                        <w:b/>
                        <w:sz w:val="12"/>
                      </w:rPr>
                    </w:pPr>
                    <w:r>
                      <w:rPr>
                        <w:b/>
                        <w:spacing w:val="-3"/>
                        <w:w w:val="125"/>
                        <w:sz w:val="12"/>
                      </w:rPr>
                      <w:t>Acero </w:t>
                    </w:r>
                    <w:r>
                      <w:rPr>
                        <w:b/>
                        <w:w w:val="125"/>
                        <w:sz w:val="12"/>
                      </w:rPr>
                      <w:t>$-bobina</w:t>
                    </w:r>
                  </w:p>
                </w:txbxContent>
              </v:textbox>
              <w10:wrap type="none"/>
            </v:shape>
            <v:shape style="position:absolute;left:4141;top:2684;width:924;height:138" type="#_x0000_t202" filled="false" stroked="false">
              <v:textbox inset="0,0,0,0">
                <w:txbxContent>
                  <w:p>
                    <w:pPr>
                      <w:spacing w:line="137" w:lineRule="exact" w:before="0"/>
                      <w:ind w:left="0" w:right="0" w:firstLine="0"/>
                      <w:jc w:val="left"/>
                      <w:rPr>
                        <w:b/>
                        <w:sz w:val="12"/>
                      </w:rPr>
                    </w:pPr>
                    <w:r>
                      <w:rPr>
                        <w:b/>
                        <w:w w:val="125"/>
                        <w:sz w:val="12"/>
                      </w:rPr>
                      <w:t>Hierro - $/TM</w:t>
                    </w:r>
                  </w:p>
                </w:txbxContent>
              </v:textbox>
              <w10:wrap type="none"/>
            </v:shape>
            <v:shape style="position:absolute;left:2438;top:2684;width:743;height:138" type="#_x0000_t202" filled="false" stroked="false">
              <v:textbox inset="0,0,0,0">
                <w:txbxContent>
                  <w:p>
                    <w:pPr>
                      <w:spacing w:line="137" w:lineRule="exact" w:before="0"/>
                      <w:ind w:left="0" w:right="0" w:firstLine="0"/>
                      <w:jc w:val="left"/>
                      <w:rPr>
                        <w:b/>
                        <w:sz w:val="12"/>
                      </w:rPr>
                    </w:pPr>
                    <w:r>
                      <w:rPr>
                        <w:b/>
                        <w:w w:val="125"/>
                        <w:sz w:val="12"/>
                      </w:rPr>
                      <w:t>Cobre- $/lb</w:t>
                    </w:r>
                  </w:p>
                </w:txbxContent>
              </v:textbox>
              <w10:wrap type="none"/>
            </v:shape>
            <v:shape style="position:absolute;left:9409;top:715;width:1096;height:138" type="#_x0000_t202" filled="false" stroked="false">
              <v:textbox inset="0,0,0,0">
                <w:txbxContent>
                  <w:p>
                    <w:pPr>
                      <w:spacing w:line="137" w:lineRule="exact" w:before="0"/>
                      <w:ind w:left="0" w:right="0" w:firstLine="0"/>
                      <w:jc w:val="left"/>
                      <w:rPr>
                        <w:b/>
                        <w:sz w:val="12"/>
                      </w:rPr>
                    </w:pPr>
                    <w:r>
                      <w:rPr>
                        <w:b/>
                        <w:w w:val="120"/>
                        <w:sz w:val="12"/>
                      </w:rPr>
                      <w:t>Azúcar-$/quintal</w:t>
                    </w:r>
                  </w:p>
                </w:txbxContent>
              </v:textbox>
              <w10:wrap type="none"/>
            </v:shape>
            <v:shape style="position:absolute;left:7694;top:715;width:948;height:138" type="#_x0000_t202" filled="false" stroked="false">
              <v:textbox inset="0,0,0,0">
                <w:txbxContent>
                  <w:p>
                    <w:pPr>
                      <w:spacing w:line="137" w:lineRule="exact" w:before="0"/>
                      <w:ind w:left="0" w:right="0" w:firstLine="0"/>
                      <w:jc w:val="left"/>
                      <w:rPr>
                        <w:b/>
                        <w:sz w:val="12"/>
                      </w:rPr>
                    </w:pPr>
                    <w:r>
                      <w:rPr>
                        <w:b/>
                        <w:w w:val="125"/>
                        <w:sz w:val="12"/>
                      </w:rPr>
                      <w:t>Café-$/quintal</w:t>
                    </w:r>
                  </w:p>
                </w:txbxContent>
              </v:textbox>
              <w10:wrap type="none"/>
            </v:shape>
            <v:shape style="position:absolute;left:5881;top:715;width:1010;height:138" type="#_x0000_t202" filled="false" stroked="false">
              <v:textbox inset="0,0,0,0">
                <w:txbxContent>
                  <w:p>
                    <w:pPr>
                      <w:spacing w:line="137" w:lineRule="exact" w:before="0"/>
                      <w:ind w:left="0" w:right="0" w:firstLine="0"/>
                      <w:jc w:val="left"/>
                      <w:rPr>
                        <w:b/>
                        <w:sz w:val="12"/>
                      </w:rPr>
                    </w:pPr>
                    <w:r>
                      <w:rPr>
                        <w:b/>
                        <w:w w:val="120"/>
                        <w:sz w:val="12"/>
                      </w:rPr>
                      <w:t>Arroz-$/quintal</w:t>
                    </w:r>
                  </w:p>
                </w:txbxContent>
              </v:textbox>
              <w10:wrap type="none"/>
            </v:shape>
            <v:shape style="position:absolute;left:4042;top:715;width:1096;height:138" type="#_x0000_t202" filled="false" stroked="false">
              <v:textbox inset="0,0,0,0">
                <w:txbxContent>
                  <w:p>
                    <w:pPr>
                      <w:spacing w:line="137" w:lineRule="exact" w:before="0"/>
                      <w:ind w:left="0" w:right="0" w:firstLine="0"/>
                      <w:jc w:val="left"/>
                      <w:rPr>
                        <w:b/>
                        <w:sz w:val="12"/>
                      </w:rPr>
                    </w:pPr>
                    <w:r>
                      <w:rPr>
                        <w:b/>
                        <w:w w:val="125"/>
                        <w:sz w:val="12"/>
                      </w:rPr>
                      <w:t>Trigo -cts/bushel</w:t>
                    </w:r>
                  </w:p>
                </w:txbxContent>
              </v:textbox>
              <w10:wrap type="none"/>
            </v:shape>
            <v:shape style="position:absolute;left:2266;top:715;width:1071;height:138" type="#_x0000_t202" filled="false" stroked="false">
              <v:textbox inset="0,0,0,0">
                <w:txbxContent>
                  <w:p>
                    <w:pPr>
                      <w:spacing w:line="137" w:lineRule="exact" w:before="0"/>
                      <w:ind w:left="0" w:right="0" w:firstLine="0"/>
                      <w:jc w:val="left"/>
                      <w:rPr>
                        <w:b/>
                        <w:sz w:val="12"/>
                      </w:rPr>
                    </w:pPr>
                    <w:r>
                      <w:rPr>
                        <w:b/>
                        <w:w w:val="125"/>
                        <w:sz w:val="12"/>
                      </w:rPr>
                      <w:t>Maíz- cts/bushel</w:t>
                    </w:r>
                  </w:p>
                </w:txbxContent>
              </v:textbox>
              <w10:wrap type="none"/>
            </v:shape>
            <v:shape style="position:absolute;left:4930;top:497;width:2910;height:138" type="#_x0000_t202" filled="false" stroked="false">
              <v:textbox inset="0,0,0,0">
                <w:txbxContent>
                  <w:p>
                    <w:pPr>
                      <w:spacing w:line="137" w:lineRule="exact" w:before="0"/>
                      <w:ind w:left="0" w:right="0" w:firstLine="0"/>
                      <w:jc w:val="left"/>
                      <w:rPr>
                        <w:b/>
                        <w:sz w:val="12"/>
                      </w:rPr>
                    </w:pPr>
                    <w:r>
                      <w:rPr>
                        <w:b/>
                        <w:w w:val="125"/>
                        <w:sz w:val="12"/>
                      </w:rPr>
                      <w:t>Precio de futuros en dólares estadounidenses</w:t>
                    </w:r>
                  </w:p>
                </w:txbxContent>
              </v:textbox>
              <w10:wrap type="none"/>
            </v:shape>
            <w10:wrap type="none"/>
          </v:group>
        </w:pict>
      </w:r>
      <w:r>
        <w:rPr/>
        <w:pict>
          <v:shape style="position:absolute;margin-left:110.822502pt;margin-top:112.336182pt;width:69.9pt;height:16.2pt;mso-position-horizontal-relative:page;mso-position-vertical-relative:paragraph;z-index:251848704" type="#_x0000_t202" filled="false" stroked="false">
            <v:textbox inset="0,0,0,0" style="layout-flow:vertical;mso-layout-flow-alt:bottom-to-top">
              <w:txbxContent>
                <w:p>
                  <w:pPr>
                    <w:spacing w:line="252" w:lineRule="auto" w:before="0"/>
                    <w:ind w:left="20" w:right="23" w:firstLine="45"/>
                    <w:jc w:val="both"/>
                    <w:rPr>
                      <w:rFonts w:ascii="Calibri"/>
                      <w:sz w:val="10"/>
                    </w:rPr>
                  </w:pPr>
                  <w:r>
                    <w:rPr>
                      <w:rFonts w:ascii="Calibri"/>
                      <w:w w:val="80"/>
                      <w:sz w:val="10"/>
                    </w:rPr>
                    <w:t>31-dic. </w:t>
                  </w:r>
                  <w:r>
                    <w:rPr>
                      <w:rFonts w:ascii="Calibri"/>
                      <w:w w:val="85"/>
                      <w:sz w:val="10"/>
                    </w:rPr>
                    <w:t>20-ene. </w:t>
                  </w:r>
                  <w:r>
                    <w:rPr>
                      <w:rFonts w:ascii="Calibri"/>
                      <w:w w:val="90"/>
                      <w:sz w:val="10"/>
                    </w:rPr>
                    <w:t>08-feb. 28-feb. </w:t>
                  </w:r>
                  <w:r>
                    <w:rPr>
                      <w:rFonts w:ascii="Calibri"/>
                      <w:w w:val="85"/>
                      <w:sz w:val="10"/>
                    </w:rPr>
                    <w:t>17-mar. </w:t>
                  </w:r>
                  <w:r>
                    <w:rPr>
                      <w:rFonts w:ascii="Calibri"/>
                      <w:w w:val="90"/>
                      <w:sz w:val="10"/>
                    </w:rPr>
                    <w:t>05-abr. 25-abr. </w:t>
                  </w:r>
                  <w:r>
                    <w:rPr>
                      <w:rFonts w:ascii="Calibri"/>
                      <w:w w:val="80"/>
                      <w:sz w:val="10"/>
                    </w:rPr>
                    <w:t>12-may. </w:t>
                  </w:r>
                  <w:r>
                    <w:rPr>
                      <w:rFonts w:ascii="Calibri"/>
                      <w:w w:val="90"/>
                      <w:sz w:val="10"/>
                    </w:rPr>
                    <w:t>01-jun.</w:t>
                  </w:r>
                </w:p>
                <w:p>
                  <w:pPr>
                    <w:spacing w:line="114" w:lineRule="exact" w:before="3"/>
                    <w:ind w:left="56" w:right="0" w:firstLine="0"/>
                    <w:jc w:val="both"/>
                    <w:rPr>
                      <w:rFonts w:ascii="Calibri"/>
                      <w:sz w:val="10"/>
                    </w:rPr>
                  </w:pPr>
                  <w:r>
                    <w:rPr>
                      <w:rFonts w:ascii="Calibri"/>
                      <w:w w:val="85"/>
                      <w:sz w:val="10"/>
                    </w:rPr>
                    <w:t>21-jun.</w:t>
                  </w:r>
                </w:p>
                <w:p>
                  <w:pPr>
                    <w:spacing w:line="107" w:lineRule="exact" w:before="0"/>
                    <w:ind w:left="65" w:right="0" w:firstLine="0"/>
                    <w:jc w:val="left"/>
                    <w:rPr>
                      <w:sz w:val="10"/>
                    </w:rPr>
                  </w:pPr>
                  <w:r>
                    <w:rPr>
                      <w:w w:val="85"/>
                      <w:sz w:val="10"/>
                    </w:rPr>
                    <w:t>30-jun.</w:t>
                  </w:r>
                </w:p>
              </w:txbxContent>
            </v:textbox>
            <w10:wrap type="none"/>
          </v:shape>
        </w:pict>
      </w:r>
      <w:r>
        <w:rPr/>
        <w:pict>
          <v:shape style="position:absolute;margin-left:202.341522pt;margin-top:112.336182pt;width:67.850pt;height:16.2pt;mso-position-horizontal-relative:page;mso-position-vertical-relative:paragraph;z-index:251852800" type="#_x0000_t202" filled="false" stroked="false">
            <v:textbox inset="0,0,0,0" style="layout-flow:vertical;mso-layout-flow-alt:bottom-to-top">
              <w:txbxContent>
                <w:p>
                  <w:pPr>
                    <w:spacing w:line="264" w:lineRule="auto" w:before="0"/>
                    <w:ind w:left="20" w:right="23" w:firstLine="45"/>
                    <w:jc w:val="both"/>
                    <w:rPr>
                      <w:rFonts w:ascii="Calibri"/>
                      <w:sz w:val="10"/>
                    </w:rPr>
                  </w:pPr>
                  <w:r>
                    <w:rPr>
                      <w:rFonts w:ascii="Calibri"/>
                      <w:w w:val="80"/>
                      <w:sz w:val="10"/>
                    </w:rPr>
                    <w:t>31-dic. </w:t>
                  </w:r>
                  <w:r>
                    <w:rPr>
                      <w:rFonts w:ascii="Calibri"/>
                      <w:w w:val="85"/>
                      <w:sz w:val="10"/>
                    </w:rPr>
                    <w:t>21-ene. </w:t>
                  </w:r>
                  <w:r>
                    <w:rPr>
                      <w:rFonts w:ascii="Calibri"/>
                      <w:w w:val="90"/>
                      <w:sz w:val="10"/>
                    </w:rPr>
                    <w:t>10-feb. </w:t>
                  </w:r>
                  <w:r>
                    <w:rPr>
                      <w:rFonts w:ascii="Calibri"/>
                      <w:w w:val="85"/>
                      <w:sz w:val="10"/>
                    </w:rPr>
                    <w:t>03-mar. 23-mar. </w:t>
                  </w:r>
                  <w:r>
                    <w:rPr>
                      <w:rFonts w:ascii="Calibri"/>
                      <w:w w:val="90"/>
                      <w:sz w:val="10"/>
                    </w:rPr>
                    <w:t>12-abr. </w:t>
                  </w:r>
                  <w:r>
                    <w:rPr>
                      <w:rFonts w:ascii="Calibri"/>
                      <w:w w:val="80"/>
                      <w:sz w:val="10"/>
                    </w:rPr>
                    <w:t>03-may. 23-may. </w:t>
                  </w:r>
                  <w:r>
                    <w:rPr>
                      <w:rFonts w:ascii="Calibri"/>
                      <w:w w:val="90"/>
                      <w:sz w:val="10"/>
                    </w:rPr>
                    <w:t>13-jun.</w:t>
                  </w:r>
                </w:p>
                <w:p>
                  <w:pPr>
                    <w:spacing w:before="13"/>
                    <w:ind w:left="65" w:right="0" w:firstLine="0"/>
                    <w:jc w:val="left"/>
                    <w:rPr>
                      <w:sz w:val="10"/>
                    </w:rPr>
                  </w:pPr>
                  <w:r>
                    <w:rPr>
                      <w:w w:val="85"/>
                      <w:sz w:val="10"/>
                    </w:rPr>
                    <w:t>30-jun.</w:t>
                  </w:r>
                </w:p>
              </w:txbxContent>
            </v:textbox>
            <w10:wrap type="none"/>
          </v:shape>
        </w:pict>
      </w:r>
      <w:r>
        <w:rPr/>
        <w:pict>
          <v:shape style="position:absolute;margin-left:287.638824pt;margin-top:112.336182pt;width:72pt;height:16.2pt;mso-position-horizontal-relative:page;mso-position-vertical-relative:paragraph;z-index:251853824" type="#_x0000_t202" filled="false" stroked="false">
            <v:textbox inset="0,0,0,0" style="layout-flow:vertical;mso-layout-flow-alt:bottom-to-top">
              <w:txbxContent>
                <w:p>
                  <w:pPr>
                    <w:spacing w:line="261" w:lineRule="auto" w:before="0"/>
                    <w:ind w:left="20" w:right="23" w:firstLine="17"/>
                    <w:jc w:val="both"/>
                    <w:rPr>
                      <w:rFonts w:ascii="Calibri"/>
                      <w:sz w:val="10"/>
                    </w:rPr>
                  </w:pPr>
                  <w:r>
                    <w:rPr>
                      <w:rFonts w:ascii="Calibri"/>
                      <w:w w:val="80"/>
                      <w:sz w:val="10"/>
                    </w:rPr>
                    <w:t>03-ene. </w:t>
                  </w:r>
                  <w:r>
                    <w:rPr>
                      <w:rFonts w:ascii="Calibri"/>
                      <w:w w:val="85"/>
                      <w:sz w:val="10"/>
                    </w:rPr>
                    <w:t>21-ene. </w:t>
                  </w:r>
                  <w:r>
                    <w:rPr>
                      <w:rFonts w:ascii="Calibri"/>
                      <w:w w:val="90"/>
                      <w:sz w:val="10"/>
                    </w:rPr>
                    <w:t>09-feb. </w:t>
                  </w:r>
                  <w:r>
                    <w:rPr>
                      <w:rFonts w:ascii="Calibri"/>
                      <w:w w:val="85"/>
                      <w:sz w:val="10"/>
                    </w:rPr>
                    <w:t>01-mar. 18-mar. </w:t>
                  </w:r>
                  <w:r>
                    <w:rPr>
                      <w:rFonts w:ascii="Calibri"/>
                      <w:w w:val="90"/>
                      <w:sz w:val="10"/>
                    </w:rPr>
                    <w:t>06-abr. 26-abr. </w:t>
                  </w:r>
                  <w:r>
                    <w:rPr>
                      <w:rFonts w:ascii="Calibri"/>
                      <w:w w:val="80"/>
                      <w:sz w:val="10"/>
                    </w:rPr>
                    <w:t>13-may. </w:t>
                  </w:r>
                  <w:r>
                    <w:rPr>
                      <w:rFonts w:ascii="Calibri"/>
                      <w:w w:val="90"/>
                      <w:sz w:val="10"/>
                    </w:rPr>
                    <w:t>01-jun.</w:t>
                  </w:r>
                </w:p>
                <w:p>
                  <w:pPr>
                    <w:spacing w:line="115" w:lineRule="exact" w:before="0"/>
                    <w:ind w:left="56" w:right="0" w:firstLine="0"/>
                    <w:jc w:val="both"/>
                    <w:rPr>
                      <w:rFonts w:ascii="Calibri"/>
                      <w:sz w:val="10"/>
                    </w:rPr>
                  </w:pPr>
                  <w:r>
                    <w:rPr>
                      <w:rFonts w:ascii="Calibri"/>
                      <w:w w:val="85"/>
                      <w:sz w:val="10"/>
                    </w:rPr>
                    <w:t>21-jun.</w:t>
                  </w:r>
                </w:p>
                <w:p>
                  <w:pPr>
                    <w:spacing w:line="109" w:lineRule="exact" w:before="0"/>
                    <w:ind w:left="65" w:right="0" w:firstLine="0"/>
                    <w:jc w:val="left"/>
                    <w:rPr>
                      <w:sz w:val="10"/>
                    </w:rPr>
                  </w:pPr>
                  <w:r>
                    <w:rPr>
                      <w:w w:val="85"/>
                      <w:sz w:val="10"/>
                    </w:rPr>
                    <w:t>30-jun.</w:t>
                  </w:r>
                </w:p>
              </w:txbxContent>
            </v:textbox>
            <w10:wrap type="none"/>
          </v:shape>
        </w:pict>
      </w:r>
      <w:r>
        <w:rPr/>
        <w:pict>
          <v:shape style="position:absolute;margin-left:376.025421pt;margin-top:112.336182pt;width:73.05pt;height:16.2pt;mso-position-horizontal-relative:page;mso-position-vertical-relative:paragraph;z-index:251855872" type="#_x0000_t202" filled="false" stroked="false">
            <v:textbox inset="0,0,0,0" style="layout-flow:vertical;mso-layout-flow-alt:bottom-to-top">
              <w:txbxContent>
                <w:p>
                  <w:pPr>
                    <w:spacing w:line="266" w:lineRule="auto" w:before="0"/>
                    <w:ind w:left="20" w:right="23" w:firstLine="45"/>
                    <w:jc w:val="both"/>
                    <w:rPr>
                      <w:rFonts w:ascii="Calibri"/>
                      <w:sz w:val="10"/>
                    </w:rPr>
                  </w:pPr>
                  <w:r>
                    <w:rPr>
                      <w:rFonts w:ascii="Calibri"/>
                      <w:w w:val="80"/>
                      <w:sz w:val="10"/>
                    </w:rPr>
                    <w:t>31-dic. </w:t>
                  </w:r>
                  <w:r>
                    <w:rPr>
                      <w:rFonts w:ascii="Calibri"/>
                      <w:w w:val="85"/>
                      <w:sz w:val="10"/>
                    </w:rPr>
                    <w:t>20-ene. </w:t>
                  </w:r>
                  <w:r>
                    <w:rPr>
                      <w:rFonts w:ascii="Calibri"/>
                      <w:w w:val="90"/>
                      <w:sz w:val="10"/>
                    </w:rPr>
                    <w:t>08-feb. 28-feb. </w:t>
                  </w:r>
                  <w:r>
                    <w:rPr>
                      <w:rFonts w:ascii="Calibri"/>
                      <w:w w:val="85"/>
                      <w:sz w:val="10"/>
                    </w:rPr>
                    <w:t>17-mar. </w:t>
                  </w:r>
                  <w:r>
                    <w:rPr>
                      <w:rFonts w:ascii="Calibri"/>
                      <w:w w:val="90"/>
                      <w:sz w:val="10"/>
                    </w:rPr>
                    <w:t>05-abr. 25-abr. </w:t>
                  </w:r>
                  <w:r>
                    <w:rPr>
                      <w:rFonts w:ascii="Calibri"/>
                      <w:w w:val="80"/>
                      <w:sz w:val="10"/>
                    </w:rPr>
                    <w:t>12-may. </w:t>
                  </w:r>
                  <w:r>
                    <w:rPr>
                      <w:rFonts w:ascii="Calibri"/>
                      <w:w w:val="90"/>
                      <w:sz w:val="10"/>
                    </w:rPr>
                    <w:t>01-jun.</w:t>
                  </w:r>
                </w:p>
                <w:p>
                  <w:pPr>
                    <w:spacing w:line="113" w:lineRule="exact" w:before="0"/>
                    <w:ind w:left="56" w:right="0" w:firstLine="0"/>
                    <w:jc w:val="both"/>
                    <w:rPr>
                      <w:rFonts w:ascii="Calibri"/>
                      <w:sz w:val="10"/>
                    </w:rPr>
                  </w:pPr>
                  <w:r>
                    <w:rPr>
                      <w:rFonts w:ascii="Calibri"/>
                      <w:w w:val="85"/>
                      <w:sz w:val="10"/>
                    </w:rPr>
                    <w:t>21-jun.</w:t>
                  </w:r>
                </w:p>
                <w:p>
                  <w:pPr>
                    <w:spacing w:line="109" w:lineRule="exact" w:before="0"/>
                    <w:ind w:left="65" w:right="0" w:firstLine="0"/>
                    <w:jc w:val="left"/>
                    <w:rPr>
                      <w:sz w:val="10"/>
                    </w:rPr>
                  </w:pPr>
                  <w:r>
                    <w:rPr>
                      <w:w w:val="85"/>
                      <w:sz w:val="10"/>
                    </w:rPr>
                    <w:t>30-jun.</w:t>
                  </w:r>
                </w:p>
              </w:txbxContent>
            </v:textbox>
            <w10:wrap type="none"/>
          </v:shape>
        </w:pict>
      </w:r>
      <w:r>
        <w:rPr/>
        <w:pict>
          <v:shape style="position:absolute;margin-left:466.529053pt;margin-top:112.336182pt;width:72pt;height:16.2pt;mso-position-horizontal-relative:page;mso-position-vertical-relative:paragraph;z-index:251857920" type="#_x0000_t202" filled="false" stroked="false">
            <v:textbox inset="0,0,0,0" style="layout-flow:vertical;mso-layout-flow-alt:bottom-to-top">
              <w:txbxContent>
                <w:p>
                  <w:pPr>
                    <w:spacing w:line="261" w:lineRule="auto" w:before="0"/>
                    <w:ind w:left="20" w:right="23" w:firstLine="45"/>
                    <w:jc w:val="both"/>
                    <w:rPr>
                      <w:rFonts w:ascii="Calibri"/>
                      <w:sz w:val="10"/>
                    </w:rPr>
                  </w:pPr>
                  <w:r>
                    <w:rPr>
                      <w:rFonts w:ascii="Calibri"/>
                      <w:w w:val="80"/>
                      <w:sz w:val="10"/>
                    </w:rPr>
                    <w:t>31-dic. </w:t>
                  </w:r>
                  <w:r>
                    <w:rPr>
                      <w:rFonts w:ascii="Calibri"/>
                      <w:w w:val="85"/>
                      <w:sz w:val="10"/>
                    </w:rPr>
                    <w:t>20-ene. </w:t>
                  </w:r>
                  <w:r>
                    <w:rPr>
                      <w:rFonts w:ascii="Calibri"/>
                      <w:w w:val="90"/>
                      <w:sz w:val="10"/>
                    </w:rPr>
                    <w:t>08-feb. 28-feb. </w:t>
                  </w:r>
                  <w:r>
                    <w:rPr>
                      <w:rFonts w:ascii="Calibri"/>
                      <w:w w:val="85"/>
                      <w:sz w:val="10"/>
                    </w:rPr>
                    <w:t>17-mar. </w:t>
                  </w:r>
                  <w:r>
                    <w:rPr>
                      <w:rFonts w:ascii="Calibri"/>
                      <w:w w:val="90"/>
                      <w:sz w:val="10"/>
                    </w:rPr>
                    <w:t>05-abr. 25-abr. </w:t>
                  </w:r>
                  <w:r>
                    <w:rPr>
                      <w:rFonts w:ascii="Calibri"/>
                      <w:w w:val="80"/>
                      <w:sz w:val="10"/>
                    </w:rPr>
                    <w:t>12-may. </w:t>
                  </w:r>
                  <w:r>
                    <w:rPr>
                      <w:rFonts w:ascii="Calibri"/>
                      <w:w w:val="90"/>
                      <w:sz w:val="10"/>
                    </w:rPr>
                    <w:t>01-jun.</w:t>
                  </w:r>
                </w:p>
                <w:p>
                  <w:pPr>
                    <w:spacing w:line="115" w:lineRule="exact" w:before="0"/>
                    <w:ind w:left="56" w:right="0" w:firstLine="0"/>
                    <w:jc w:val="both"/>
                    <w:rPr>
                      <w:rFonts w:ascii="Calibri"/>
                      <w:sz w:val="10"/>
                    </w:rPr>
                  </w:pPr>
                  <w:r>
                    <w:rPr>
                      <w:rFonts w:ascii="Calibri"/>
                      <w:w w:val="85"/>
                      <w:sz w:val="10"/>
                    </w:rPr>
                    <w:t>21-jun.</w:t>
                  </w:r>
                </w:p>
                <w:p>
                  <w:pPr>
                    <w:spacing w:line="108" w:lineRule="exact" w:before="0"/>
                    <w:ind w:left="65" w:right="0" w:firstLine="0"/>
                    <w:jc w:val="left"/>
                    <w:rPr>
                      <w:sz w:val="10"/>
                    </w:rPr>
                  </w:pPr>
                  <w:r>
                    <w:rPr>
                      <w:w w:val="85"/>
                      <w:sz w:val="10"/>
                    </w:rPr>
                    <w:t>30-jun.</w:t>
                  </w:r>
                </w:p>
              </w:txbxContent>
            </v:textbox>
            <w10:wrap type="none"/>
          </v:shape>
        </w:pict>
      </w:r>
      <w:bookmarkStart w:name="_bookmark34" w:id="48"/>
      <w:bookmarkEnd w:id="48"/>
      <w:r>
        <w:rPr/>
      </w:r>
      <w:r>
        <w:rPr>
          <w:b/>
          <w:sz w:val="20"/>
        </w:rPr>
        <w:t>Tabla 3.Precios internacionales de materias prima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5"/>
        </w:rPr>
      </w:pPr>
    </w:p>
    <w:p>
      <w:pPr>
        <w:spacing w:before="95"/>
        <w:ind w:left="670" w:right="0" w:firstLine="0"/>
        <w:jc w:val="left"/>
        <w:rPr>
          <w:sz w:val="16"/>
        </w:rPr>
      </w:pPr>
      <w:r>
        <w:rPr/>
        <w:pict>
          <v:shape style="position:absolute;margin-left:106.654144pt;margin-top:-19.135782pt;width:13.75pt;height:15.05pt;mso-position-horizontal-relative:page;mso-position-vertical-relative:paragraph;z-index:251847680" type="#_x0000_t202" filled="false" stroked="false">
            <v:textbox inset="0,0,0,0" style="layout-flow:vertical;mso-layout-flow-alt:bottom-to-top">
              <w:txbxContent>
                <w:p>
                  <w:pPr>
                    <w:spacing w:line="268" w:lineRule="auto" w:before="0"/>
                    <w:ind w:left="20" w:right="18" w:firstLine="28"/>
                    <w:jc w:val="left"/>
                    <w:rPr>
                      <w:rFonts w:ascii="Calibri"/>
                      <w:sz w:val="10"/>
                    </w:rPr>
                  </w:pPr>
                  <w:r>
                    <w:rPr>
                      <w:rFonts w:ascii="Calibri"/>
                      <w:w w:val="80"/>
                      <w:sz w:val="10"/>
                    </w:rPr>
                    <w:t>31-dic. 20-ene.</w:t>
                  </w:r>
                </w:p>
              </w:txbxContent>
            </v:textbox>
            <w10:wrap type="none"/>
          </v:shape>
        </w:pict>
      </w:r>
      <w:r>
        <w:rPr/>
        <w:pict>
          <v:shape style="position:absolute;margin-left:120.288567pt;margin-top:-19.475924pt;width:60.45pt;height:16.25pt;mso-position-horizontal-relative:page;mso-position-vertical-relative:paragraph;z-index:251849728" type="#_x0000_t202" filled="false" stroked="false">
            <v:textbox inset="0,0,0,0" style="layout-flow:vertical;mso-layout-flow-alt:bottom-to-top">
              <w:txbxContent>
                <w:p>
                  <w:pPr>
                    <w:spacing w:line="268" w:lineRule="auto" w:before="0"/>
                    <w:ind w:left="20" w:right="24" w:firstLine="33"/>
                    <w:jc w:val="both"/>
                    <w:rPr>
                      <w:rFonts w:ascii="Calibri"/>
                      <w:sz w:val="10"/>
                    </w:rPr>
                  </w:pPr>
                  <w:r>
                    <w:rPr>
                      <w:rFonts w:ascii="Calibri"/>
                      <w:w w:val="80"/>
                      <w:sz w:val="10"/>
                    </w:rPr>
                    <w:t>08-feb. </w:t>
                  </w:r>
                  <w:r>
                    <w:rPr>
                      <w:rFonts w:ascii="Calibri"/>
                      <w:w w:val="90"/>
                      <w:sz w:val="10"/>
                    </w:rPr>
                    <w:t>28-feb. </w:t>
                  </w:r>
                  <w:r>
                    <w:rPr>
                      <w:rFonts w:ascii="Calibri"/>
                      <w:w w:val="85"/>
                      <w:sz w:val="10"/>
                    </w:rPr>
                    <w:t>17-mar. </w:t>
                  </w:r>
                  <w:r>
                    <w:rPr>
                      <w:rFonts w:ascii="Calibri"/>
                      <w:w w:val="90"/>
                      <w:sz w:val="10"/>
                    </w:rPr>
                    <w:t>05-abr. 25-abr. </w:t>
                  </w:r>
                  <w:r>
                    <w:rPr>
                      <w:rFonts w:ascii="Calibri"/>
                      <w:w w:val="80"/>
                      <w:sz w:val="10"/>
                    </w:rPr>
                    <w:t>12-may. </w:t>
                  </w:r>
                  <w:r>
                    <w:rPr>
                      <w:rFonts w:ascii="Calibri"/>
                      <w:w w:val="90"/>
                      <w:sz w:val="10"/>
                    </w:rPr>
                    <w:t>01-jun. 20-jun.</w:t>
                  </w:r>
                </w:p>
                <w:p>
                  <w:pPr>
                    <w:spacing w:line="96" w:lineRule="exact" w:before="0"/>
                    <w:ind w:left="65" w:right="0" w:firstLine="0"/>
                    <w:jc w:val="left"/>
                    <w:rPr>
                      <w:sz w:val="10"/>
                    </w:rPr>
                  </w:pPr>
                  <w:r>
                    <w:rPr>
                      <w:w w:val="85"/>
                      <w:sz w:val="10"/>
                    </w:rPr>
                    <w:t>30-jun.</w:t>
                  </w:r>
                </w:p>
              </w:txbxContent>
            </v:textbox>
            <w10:wrap type="none"/>
          </v:shape>
        </w:pict>
      </w:r>
      <w:r>
        <w:rPr/>
        <w:pict>
          <v:shape style="position:absolute;margin-left:200.271729pt;margin-top:-19.475924pt;width:69.9pt;height:16.25pt;mso-position-horizontal-relative:page;mso-position-vertical-relative:paragraph;z-index:251851776" type="#_x0000_t202" filled="false" stroked="false">
            <v:textbox inset="0,0,0,0" style="layout-flow:vertical;mso-layout-flow-alt:bottom-to-top">
              <w:txbxContent>
                <w:p>
                  <w:pPr>
                    <w:spacing w:line="254" w:lineRule="auto" w:before="0"/>
                    <w:ind w:left="20" w:right="24" w:firstLine="17"/>
                    <w:jc w:val="both"/>
                    <w:rPr>
                      <w:rFonts w:ascii="Calibri"/>
                      <w:sz w:val="10"/>
                    </w:rPr>
                  </w:pPr>
                  <w:r>
                    <w:rPr>
                      <w:rFonts w:ascii="Calibri"/>
                      <w:w w:val="80"/>
                      <w:sz w:val="10"/>
                    </w:rPr>
                    <w:t>03-ene. </w:t>
                  </w:r>
                  <w:r>
                    <w:rPr>
                      <w:rFonts w:ascii="Calibri"/>
                      <w:w w:val="85"/>
                      <w:sz w:val="10"/>
                    </w:rPr>
                    <w:t>21-ene. </w:t>
                  </w:r>
                  <w:r>
                    <w:rPr>
                      <w:rFonts w:ascii="Calibri"/>
                      <w:w w:val="90"/>
                      <w:sz w:val="10"/>
                    </w:rPr>
                    <w:t>09-feb. </w:t>
                  </w:r>
                  <w:r>
                    <w:rPr>
                      <w:rFonts w:ascii="Calibri"/>
                      <w:w w:val="85"/>
                      <w:sz w:val="10"/>
                    </w:rPr>
                    <w:t>01-mar. 18-mar. </w:t>
                  </w:r>
                  <w:r>
                    <w:rPr>
                      <w:rFonts w:ascii="Calibri"/>
                      <w:w w:val="90"/>
                      <w:sz w:val="10"/>
                    </w:rPr>
                    <w:t>06-abr. 26-abr. </w:t>
                  </w:r>
                  <w:r>
                    <w:rPr>
                      <w:rFonts w:ascii="Calibri"/>
                      <w:w w:val="80"/>
                      <w:sz w:val="10"/>
                    </w:rPr>
                    <w:t>13-may. </w:t>
                  </w:r>
                  <w:r>
                    <w:rPr>
                      <w:rFonts w:ascii="Calibri"/>
                      <w:w w:val="90"/>
                      <w:sz w:val="10"/>
                    </w:rPr>
                    <w:t>02-jun.</w:t>
                  </w:r>
                </w:p>
                <w:p>
                  <w:pPr>
                    <w:spacing w:line="110" w:lineRule="exact" w:before="1"/>
                    <w:ind w:left="56" w:right="0" w:firstLine="0"/>
                    <w:jc w:val="both"/>
                    <w:rPr>
                      <w:rFonts w:ascii="Calibri"/>
                      <w:sz w:val="10"/>
                    </w:rPr>
                  </w:pPr>
                  <w:r>
                    <w:rPr>
                      <w:rFonts w:ascii="Calibri"/>
                      <w:w w:val="85"/>
                      <w:sz w:val="10"/>
                    </w:rPr>
                    <w:t>22-jun.</w:t>
                  </w:r>
                </w:p>
                <w:p>
                  <w:pPr>
                    <w:spacing w:line="103" w:lineRule="exact" w:before="0"/>
                    <w:ind w:left="65" w:right="0" w:firstLine="0"/>
                    <w:jc w:val="left"/>
                    <w:rPr>
                      <w:sz w:val="10"/>
                    </w:rPr>
                  </w:pPr>
                  <w:r>
                    <w:rPr>
                      <w:w w:val="85"/>
                      <w:sz w:val="10"/>
                    </w:rPr>
                    <w:t>30-jun.</w:t>
                  </w:r>
                </w:p>
              </w:txbxContent>
            </v:textbox>
            <w10:wrap type="none"/>
          </v:shape>
        </w:pict>
      </w:r>
      <w:r>
        <w:rPr/>
        <w:pict>
          <v:shape style="position:absolute;margin-left:288.650116pt;margin-top:-19.475924pt;width:70.95pt;height:16.25pt;mso-position-horizontal-relative:page;mso-position-vertical-relative:paragraph;z-index:251854848" type="#_x0000_t202" filled="false" stroked="false">
            <v:textbox inset="0,0,0,0" style="layout-flow:vertical;mso-layout-flow-alt:bottom-to-top">
              <w:txbxContent>
                <w:p>
                  <w:pPr>
                    <w:spacing w:line="252" w:lineRule="auto" w:before="0"/>
                    <w:ind w:left="20" w:right="18" w:firstLine="17"/>
                    <w:jc w:val="both"/>
                    <w:rPr>
                      <w:sz w:val="10"/>
                    </w:rPr>
                  </w:pPr>
                  <w:r>
                    <w:rPr>
                      <w:rFonts w:ascii="Calibri"/>
                      <w:w w:val="85"/>
                      <w:sz w:val="10"/>
                    </w:rPr>
                    <w:t>03-ene. 21-ene. </w:t>
                  </w:r>
                  <w:r>
                    <w:rPr>
                      <w:rFonts w:ascii="Calibri"/>
                      <w:w w:val="90"/>
                      <w:sz w:val="10"/>
                    </w:rPr>
                    <w:t>09-feb. </w:t>
                  </w:r>
                  <w:r>
                    <w:rPr>
                      <w:rFonts w:ascii="Calibri"/>
                      <w:w w:val="85"/>
                      <w:sz w:val="10"/>
                    </w:rPr>
                    <w:t>01-mar. 18-mar. </w:t>
                  </w:r>
                  <w:r>
                    <w:rPr>
                      <w:rFonts w:ascii="Calibri"/>
                      <w:w w:val="90"/>
                      <w:sz w:val="10"/>
                    </w:rPr>
                    <w:t>06-abr. 26-abr. </w:t>
                  </w:r>
                  <w:r>
                    <w:rPr>
                      <w:rFonts w:ascii="Calibri"/>
                      <w:w w:val="80"/>
                      <w:sz w:val="10"/>
                    </w:rPr>
                    <w:t>13-may. </w:t>
                  </w:r>
                  <w:r>
                    <w:rPr>
                      <w:rFonts w:ascii="Calibri"/>
                      <w:w w:val="90"/>
                      <w:sz w:val="10"/>
                    </w:rPr>
                    <w:t>01-jun. 20-jun. </w:t>
                  </w:r>
                  <w:r>
                    <w:rPr>
                      <w:w w:val="90"/>
                      <w:sz w:val="10"/>
                    </w:rPr>
                    <w:t>30-jun.</w:t>
                  </w:r>
                </w:p>
              </w:txbxContent>
            </v:textbox>
            <w10:wrap type="none"/>
          </v:shape>
        </w:pict>
      </w:r>
      <w:r>
        <w:rPr/>
        <w:pict>
          <v:shape style="position:absolute;margin-left:381.231781pt;margin-top:-19.475924pt;width:67.850pt;height:16.25pt;mso-position-horizontal-relative:page;mso-position-vertical-relative:paragraph;z-index:251856896" type="#_x0000_t202" filled="false" stroked="false">
            <v:textbox inset="0,0,0,0" style="layout-flow:vertical;mso-layout-flow-alt:bottom-to-top">
              <w:txbxContent>
                <w:p>
                  <w:pPr>
                    <w:spacing w:line="278" w:lineRule="auto" w:before="0"/>
                    <w:ind w:left="20" w:right="24" w:firstLine="17"/>
                    <w:jc w:val="both"/>
                    <w:rPr>
                      <w:rFonts w:ascii="Calibri"/>
                      <w:sz w:val="10"/>
                    </w:rPr>
                  </w:pPr>
                  <w:r>
                    <w:rPr>
                      <w:rFonts w:ascii="Calibri"/>
                      <w:w w:val="80"/>
                      <w:sz w:val="10"/>
                    </w:rPr>
                    <w:t>03-ene. </w:t>
                  </w:r>
                  <w:r>
                    <w:rPr>
                      <w:rFonts w:ascii="Calibri"/>
                      <w:w w:val="85"/>
                      <w:sz w:val="10"/>
                    </w:rPr>
                    <w:t>24-ene. </w:t>
                  </w:r>
                  <w:r>
                    <w:rPr>
                      <w:rFonts w:ascii="Calibri"/>
                      <w:w w:val="90"/>
                      <w:sz w:val="10"/>
                    </w:rPr>
                    <w:t>15-feb. </w:t>
                  </w:r>
                  <w:r>
                    <w:rPr>
                      <w:rFonts w:ascii="Calibri"/>
                      <w:w w:val="85"/>
                      <w:sz w:val="10"/>
                    </w:rPr>
                    <w:t>08-mar. 29-mar. </w:t>
                  </w:r>
                  <w:r>
                    <w:rPr>
                      <w:rFonts w:ascii="Calibri"/>
                      <w:w w:val="90"/>
                      <w:sz w:val="10"/>
                    </w:rPr>
                    <w:t>20-abr. </w:t>
                  </w:r>
                  <w:r>
                    <w:rPr>
                      <w:rFonts w:ascii="Calibri"/>
                      <w:w w:val="80"/>
                      <w:sz w:val="10"/>
                    </w:rPr>
                    <w:t>11-may. </w:t>
                  </w:r>
                  <w:r>
                    <w:rPr>
                      <w:rFonts w:ascii="Calibri"/>
                      <w:w w:val="90"/>
                      <w:sz w:val="10"/>
                    </w:rPr>
                    <w:t>01-jun.</w:t>
                  </w:r>
                </w:p>
                <w:p>
                  <w:pPr>
                    <w:spacing w:line="104" w:lineRule="exact" w:before="0"/>
                    <w:ind w:left="56" w:right="0" w:firstLine="0"/>
                    <w:jc w:val="both"/>
                    <w:rPr>
                      <w:rFonts w:ascii="Calibri"/>
                      <w:sz w:val="10"/>
                    </w:rPr>
                  </w:pPr>
                  <w:r>
                    <w:rPr>
                      <w:rFonts w:ascii="Calibri"/>
                      <w:w w:val="85"/>
                      <w:sz w:val="10"/>
                    </w:rPr>
                    <w:t>22-jun.</w:t>
                  </w:r>
                </w:p>
                <w:p>
                  <w:pPr>
                    <w:spacing w:line="101" w:lineRule="exact" w:before="0"/>
                    <w:ind w:left="65" w:right="0" w:firstLine="0"/>
                    <w:jc w:val="left"/>
                    <w:rPr>
                      <w:sz w:val="10"/>
                    </w:rPr>
                  </w:pPr>
                  <w:r>
                    <w:rPr>
                      <w:w w:val="85"/>
                      <w:sz w:val="10"/>
                    </w:rPr>
                    <w:t>30-jun.</w:t>
                  </w:r>
                </w:p>
              </w:txbxContent>
            </v:textbox>
            <w10:wrap type="none"/>
          </v:shape>
        </w:pict>
      </w:r>
      <w:r>
        <w:rPr/>
        <w:pict>
          <v:shape style="position:absolute;margin-left:470.67688pt;margin-top:-19.475924pt;width:67.850pt;height:16.25pt;mso-position-horizontal-relative:page;mso-position-vertical-relative:paragraph;z-index:251858944" type="#_x0000_t202" filled="false" stroked="false">
            <v:textbox inset="0,0,0,0" style="layout-flow:vertical;mso-layout-flow-alt:bottom-to-top">
              <w:txbxContent>
                <w:p>
                  <w:pPr>
                    <w:spacing w:line="264" w:lineRule="auto" w:before="0"/>
                    <w:ind w:left="20" w:right="24" w:firstLine="45"/>
                    <w:jc w:val="both"/>
                    <w:rPr>
                      <w:rFonts w:ascii="Calibri"/>
                      <w:sz w:val="10"/>
                    </w:rPr>
                  </w:pPr>
                  <w:r>
                    <w:rPr>
                      <w:rFonts w:ascii="Calibri"/>
                      <w:w w:val="80"/>
                      <w:sz w:val="10"/>
                    </w:rPr>
                    <w:t>31-dic. </w:t>
                  </w:r>
                  <w:r>
                    <w:rPr>
                      <w:rFonts w:ascii="Calibri"/>
                      <w:w w:val="85"/>
                      <w:sz w:val="10"/>
                    </w:rPr>
                    <w:t>21-ene. </w:t>
                  </w:r>
                  <w:r>
                    <w:rPr>
                      <w:rFonts w:ascii="Calibri"/>
                      <w:w w:val="90"/>
                      <w:sz w:val="10"/>
                    </w:rPr>
                    <w:t>10-feb. </w:t>
                  </w:r>
                  <w:r>
                    <w:rPr>
                      <w:rFonts w:ascii="Calibri"/>
                      <w:w w:val="85"/>
                      <w:sz w:val="10"/>
                    </w:rPr>
                    <w:t>03-mar. 23-mar. </w:t>
                  </w:r>
                  <w:r>
                    <w:rPr>
                      <w:rFonts w:ascii="Calibri"/>
                      <w:w w:val="90"/>
                      <w:sz w:val="10"/>
                    </w:rPr>
                    <w:t>12-abr. </w:t>
                  </w:r>
                  <w:r>
                    <w:rPr>
                      <w:rFonts w:ascii="Calibri"/>
                      <w:w w:val="80"/>
                      <w:sz w:val="10"/>
                    </w:rPr>
                    <w:t>03-may. 23-may. </w:t>
                  </w:r>
                  <w:r>
                    <w:rPr>
                      <w:rFonts w:ascii="Calibri"/>
                      <w:w w:val="90"/>
                      <w:sz w:val="10"/>
                    </w:rPr>
                    <w:t>13-jun.</w:t>
                  </w:r>
                </w:p>
                <w:p>
                  <w:pPr>
                    <w:spacing w:before="13"/>
                    <w:ind w:left="65" w:right="0" w:firstLine="0"/>
                    <w:jc w:val="left"/>
                    <w:rPr>
                      <w:sz w:val="10"/>
                    </w:rPr>
                  </w:pPr>
                  <w:r>
                    <w:rPr>
                      <w:w w:val="85"/>
                      <w:sz w:val="10"/>
                    </w:rPr>
                    <w:t>30-jun.</w:t>
                  </w:r>
                </w:p>
              </w:txbxContent>
            </v:textbox>
            <w10:wrap type="none"/>
          </v:shape>
        </w:pict>
      </w:r>
      <w:r>
        <w:rPr>
          <w:color w:val="333333"/>
          <w:sz w:val="16"/>
        </w:rPr>
        <w:t>Fuente: Bloomberg e Investing.</w:t>
      </w:r>
    </w:p>
    <w:p>
      <w:pPr>
        <w:pStyle w:val="BodyText"/>
        <w:rPr>
          <w:sz w:val="18"/>
        </w:rPr>
      </w:pPr>
    </w:p>
    <w:p>
      <w:pPr>
        <w:pStyle w:val="BodyText"/>
        <w:spacing w:line="276" w:lineRule="auto" w:before="126"/>
        <w:ind w:left="562" w:right="1696"/>
        <w:jc w:val="both"/>
      </w:pPr>
      <w:r>
        <w:rPr/>
        <w:t>Se ha proyectado para 2022 un aumento en el índice de precios agrícolas, especialmente el maíz y el trigo.</w:t>
      </w:r>
      <w:r>
        <w:rPr>
          <w:spacing w:val="-5"/>
        </w:rPr>
        <w:t> </w:t>
      </w:r>
      <w:r>
        <w:rPr/>
        <w:t>Los</w:t>
      </w:r>
      <w:r>
        <w:rPr>
          <w:spacing w:val="-6"/>
        </w:rPr>
        <w:t> </w:t>
      </w:r>
      <w:r>
        <w:rPr/>
        <w:t>aumentos</w:t>
      </w:r>
      <w:r>
        <w:rPr>
          <w:spacing w:val="-6"/>
        </w:rPr>
        <w:t> </w:t>
      </w:r>
      <w:r>
        <w:rPr/>
        <w:t>en</w:t>
      </w:r>
      <w:r>
        <w:rPr>
          <w:spacing w:val="-6"/>
        </w:rPr>
        <w:t> </w:t>
      </w:r>
      <w:r>
        <w:rPr/>
        <w:t>los</w:t>
      </w:r>
      <w:r>
        <w:rPr>
          <w:spacing w:val="-6"/>
        </w:rPr>
        <w:t> </w:t>
      </w:r>
      <w:r>
        <w:rPr/>
        <w:t>precios</w:t>
      </w:r>
      <w:r>
        <w:rPr>
          <w:spacing w:val="-6"/>
        </w:rPr>
        <w:t> </w:t>
      </w:r>
      <w:r>
        <w:rPr/>
        <w:t>de</w:t>
      </w:r>
      <w:r>
        <w:rPr>
          <w:spacing w:val="-6"/>
        </w:rPr>
        <w:t> </w:t>
      </w:r>
      <w:r>
        <w:rPr/>
        <w:t>los</w:t>
      </w:r>
      <w:r>
        <w:rPr>
          <w:spacing w:val="-5"/>
        </w:rPr>
        <w:t> </w:t>
      </w:r>
      <w:r>
        <w:rPr/>
        <w:t>fertilizantes</w:t>
      </w:r>
      <w:r>
        <w:rPr>
          <w:spacing w:val="-3"/>
        </w:rPr>
        <w:t> </w:t>
      </w:r>
      <w:r>
        <w:rPr/>
        <w:t>pueden</w:t>
      </w:r>
      <w:r>
        <w:rPr>
          <w:spacing w:val="-6"/>
        </w:rPr>
        <w:t> </w:t>
      </w:r>
      <w:r>
        <w:rPr/>
        <w:t>conducir</w:t>
      </w:r>
      <w:r>
        <w:rPr>
          <w:spacing w:val="-5"/>
        </w:rPr>
        <w:t> </w:t>
      </w:r>
      <w:r>
        <w:rPr/>
        <w:t>a</w:t>
      </w:r>
      <w:r>
        <w:rPr>
          <w:spacing w:val="-6"/>
        </w:rPr>
        <w:t> </w:t>
      </w:r>
      <w:r>
        <w:rPr/>
        <w:t>la</w:t>
      </w:r>
      <w:r>
        <w:rPr>
          <w:spacing w:val="-6"/>
        </w:rPr>
        <w:t> </w:t>
      </w:r>
      <w:r>
        <w:rPr/>
        <w:t>reducción</w:t>
      </w:r>
      <w:r>
        <w:rPr>
          <w:spacing w:val="-4"/>
        </w:rPr>
        <w:t> </w:t>
      </w:r>
      <w:r>
        <w:rPr/>
        <w:t>en</w:t>
      </w:r>
      <w:r>
        <w:rPr>
          <w:spacing w:val="-6"/>
        </w:rPr>
        <w:t> </w:t>
      </w:r>
      <w:r>
        <w:rPr/>
        <w:t>el</w:t>
      </w:r>
      <w:r>
        <w:rPr>
          <w:spacing w:val="-3"/>
        </w:rPr>
        <w:t> </w:t>
      </w:r>
      <w:r>
        <w:rPr/>
        <w:t>uso</w:t>
      </w:r>
      <w:r>
        <w:rPr>
          <w:spacing w:val="-6"/>
        </w:rPr>
        <w:t> </w:t>
      </w:r>
      <w:r>
        <w:rPr/>
        <w:t>de</w:t>
      </w:r>
      <w:r>
        <w:rPr>
          <w:spacing w:val="-6"/>
        </w:rPr>
        <w:t> </w:t>
      </w:r>
      <w:r>
        <w:rPr/>
        <w:t>los mismos, especialmente en los países en vías de desarrollo, reduciendo el rendimiento</w:t>
      </w:r>
      <w:r>
        <w:rPr>
          <w:spacing w:val="-21"/>
        </w:rPr>
        <w:t> </w:t>
      </w:r>
      <w:r>
        <w:rPr/>
        <w:t>agrícola.</w:t>
      </w:r>
    </w:p>
    <w:p>
      <w:pPr>
        <w:pStyle w:val="BodyText"/>
        <w:spacing w:before="4"/>
        <w:rPr>
          <w:sz w:val="25"/>
        </w:rPr>
      </w:pPr>
    </w:p>
    <w:p>
      <w:pPr>
        <w:pStyle w:val="BodyText"/>
        <w:spacing w:line="276" w:lineRule="auto"/>
        <w:ind w:left="562" w:right="1697"/>
        <w:jc w:val="both"/>
      </w:pPr>
      <w:r>
        <w:rPr/>
        <w:t>Los precios del níquel y el aluminio se esperan que aumente en un 52% y un 38% respectivamente, lo</w:t>
      </w:r>
      <w:r>
        <w:rPr>
          <w:spacing w:val="-10"/>
        </w:rPr>
        <w:t> </w:t>
      </w:r>
      <w:r>
        <w:rPr/>
        <w:t>que</w:t>
      </w:r>
      <w:r>
        <w:rPr>
          <w:spacing w:val="-11"/>
        </w:rPr>
        <w:t> </w:t>
      </w:r>
      <w:r>
        <w:rPr/>
        <w:t>refleja</w:t>
      </w:r>
      <w:r>
        <w:rPr>
          <w:spacing w:val="-10"/>
        </w:rPr>
        <w:t> </w:t>
      </w:r>
      <w:r>
        <w:rPr/>
        <w:t>el</w:t>
      </w:r>
      <w:r>
        <w:rPr>
          <w:spacing w:val="-7"/>
        </w:rPr>
        <w:t> </w:t>
      </w:r>
      <w:r>
        <w:rPr/>
        <w:t>papel</w:t>
      </w:r>
      <w:r>
        <w:rPr>
          <w:spacing w:val="-7"/>
        </w:rPr>
        <w:t> </w:t>
      </w:r>
      <w:r>
        <w:rPr/>
        <w:t>importante</w:t>
      </w:r>
      <w:r>
        <w:rPr>
          <w:spacing w:val="-7"/>
        </w:rPr>
        <w:t> </w:t>
      </w:r>
      <w:r>
        <w:rPr/>
        <w:t>de</w:t>
      </w:r>
      <w:r>
        <w:rPr>
          <w:spacing w:val="-8"/>
        </w:rPr>
        <w:t> </w:t>
      </w:r>
      <w:r>
        <w:rPr/>
        <w:t>Rusia</w:t>
      </w:r>
      <w:r>
        <w:rPr>
          <w:spacing w:val="-10"/>
        </w:rPr>
        <w:t> </w:t>
      </w:r>
      <w:r>
        <w:rPr/>
        <w:t>como</w:t>
      </w:r>
      <w:r>
        <w:rPr>
          <w:spacing w:val="-10"/>
        </w:rPr>
        <w:t> </w:t>
      </w:r>
      <w:r>
        <w:rPr/>
        <w:t>proveedor</w:t>
      </w:r>
      <w:r>
        <w:rPr>
          <w:spacing w:val="-8"/>
        </w:rPr>
        <w:t> </w:t>
      </w:r>
      <w:r>
        <w:rPr/>
        <w:t>en</w:t>
      </w:r>
      <w:r>
        <w:rPr>
          <w:spacing w:val="-10"/>
        </w:rPr>
        <w:t> </w:t>
      </w:r>
      <w:r>
        <w:rPr/>
        <w:t>estos</w:t>
      </w:r>
      <w:r>
        <w:rPr>
          <w:spacing w:val="-8"/>
        </w:rPr>
        <w:t> </w:t>
      </w:r>
      <w:r>
        <w:rPr/>
        <w:t>mercados,</w:t>
      </w:r>
      <w:r>
        <w:rPr>
          <w:spacing w:val="-9"/>
        </w:rPr>
        <w:t> </w:t>
      </w:r>
      <w:r>
        <w:rPr/>
        <w:t>así</w:t>
      </w:r>
      <w:r>
        <w:rPr>
          <w:spacing w:val="-8"/>
        </w:rPr>
        <w:t> </w:t>
      </w:r>
      <w:r>
        <w:rPr/>
        <w:t>como</w:t>
      </w:r>
      <w:r>
        <w:rPr>
          <w:spacing w:val="-9"/>
        </w:rPr>
        <w:t> </w:t>
      </w:r>
      <w:r>
        <w:rPr/>
        <w:t>la</w:t>
      </w:r>
      <w:r>
        <w:rPr>
          <w:spacing w:val="-8"/>
        </w:rPr>
        <w:t> </w:t>
      </w:r>
      <w:r>
        <w:rPr/>
        <w:t>naturaleza intensiva en energía de la producción de aluminio. Los riesgos para la previsión de precios se relacionan con la posibilidad de empeoramiento de las tensiones geopolíticas, así como un período prolongado de bloqueos en China podría reducir la demanda de metales y por lo tanto los</w:t>
      </w:r>
      <w:r>
        <w:rPr>
          <w:spacing w:val="-28"/>
        </w:rPr>
        <w:t> </w:t>
      </w:r>
      <w:r>
        <w:rPr/>
        <w:t>precios.</w:t>
      </w:r>
    </w:p>
    <w:p>
      <w:pPr>
        <w:pStyle w:val="BodyText"/>
        <w:spacing w:before="7"/>
        <w:rPr>
          <w:sz w:val="19"/>
        </w:rPr>
      </w:pPr>
    </w:p>
    <w:p>
      <w:pPr>
        <w:spacing w:line="271" w:lineRule="auto" w:before="91"/>
        <w:ind w:left="2671" w:right="3816" w:hanging="6"/>
        <w:jc w:val="center"/>
        <w:rPr>
          <w:sz w:val="22"/>
        </w:rPr>
      </w:pPr>
      <w:bookmarkStart w:name="_bookmark35" w:id="49"/>
      <w:bookmarkEnd w:id="49"/>
      <w:r>
        <w:rPr/>
      </w:r>
      <w:r>
        <w:rPr>
          <w:b/>
          <w:i/>
          <w:sz w:val="20"/>
        </w:rPr>
        <w:t>Gráfico 15. </w:t>
      </w:r>
      <w:r>
        <w:rPr>
          <w:b/>
          <w:sz w:val="20"/>
        </w:rPr>
        <w:t>Proyecciones de crecimiento económico </w:t>
      </w:r>
      <w:r>
        <w:rPr>
          <w:sz w:val="22"/>
        </w:rPr>
        <w:t>Variaciones Porcentuales Interanuales-Proyecciones Período: 2022-2023</w:t>
      </w:r>
    </w:p>
    <w:p>
      <w:pPr>
        <w:spacing w:line="171" w:lineRule="exact" w:before="2"/>
        <w:ind w:left="1632" w:right="0" w:firstLine="0"/>
        <w:jc w:val="left"/>
        <w:rPr>
          <w:sz w:val="16"/>
        </w:rPr>
      </w:pPr>
      <w:r>
        <w:rPr>
          <w:color w:val="585858"/>
          <w:sz w:val="16"/>
        </w:rPr>
        <w:t>60</w:t>
      </w:r>
    </w:p>
    <w:p>
      <w:pPr>
        <w:spacing w:line="171" w:lineRule="exact" w:before="0"/>
        <w:ind w:left="2330" w:right="0" w:firstLine="0"/>
        <w:jc w:val="left"/>
        <w:rPr>
          <w:b/>
          <w:sz w:val="16"/>
        </w:rPr>
      </w:pPr>
      <w:r>
        <w:rPr>
          <w:b/>
          <w:color w:val="001F5F"/>
          <w:sz w:val="16"/>
        </w:rPr>
        <w:t>50.5</w:t>
      </w:r>
    </w:p>
    <w:p>
      <w:pPr>
        <w:pStyle w:val="BodyText"/>
        <w:spacing w:before="10"/>
        <w:rPr>
          <w:b/>
        </w:rPr>
      </w:pPr>
    </w:p>
    <w:p>
      <w:pPr>
        <w:spacing w:before="95"/>
        <w:ind w:left="1632" w:right="0" w:firstLine="0"/>
        <w:jc w:val="left"/>
        <w:rPr>
          <w:sz w:val="16"/>
        </w:rPr>
      </w:pPr>
      <w:r>
        <w:rPr/>
        <w:pict>
          <v:group style="position:absolute;margin-left:153.360001pt;margin-top:-8.661249pt;width:327.75pt;height:123.8pt;mso-position-horizontal-relative:page;mso-position-vertical-relative:paragraph;z-index:251842560" coordorigin="3067,-173" coordsize="6555,2476">
            <v:shape style="position:absolute;left:3340;top:-174;width:6008;height:2201" coordorigin="3341,-173" coordsize="6008,2201" path="m3888,-173l3341,-173,3341,1593,3888,1593,3888,-173m4980,1593l4433,1593,4433,2028,4980,2028,4980,1593m6072,974l5525,974,5525,1593,6072,1593,6072,974m7164,1593l6619,1593,6619,1862,7164,1862,7164,1593m8256,1041l7711,1041,7711,1593,8256,1593,8256,1041m9348,1593l8803,1593,8803,1960,9348,1960,9348,1593e" filled="true" fillcolor="#002245" stroked="false">
              <v:path arrowok="t"/>
              <v:fill type="solid"/>
            </v:shape>
            <v:line style="position:absolute" from="3067,1593" to="9622,1593" stroked="true" strokeweight=".72pt" strokecolor="#000000">
              <v:stroke dashstyle="solid"/>
            </v:line>
            <v:shape style="position:absolute;left:5655;top:707;width:304;height:179" type="#_x0000_t202" filled="false" stroked="false">
              <v:textbox inset="0,0,0,0">
                <w:txbxContent>
                  <w:p>
                    <w:pPr>
                      <w:spacing w:line="178" w:lineRule="exact" w:before="0"/>
                      <w:ind w:left="0" w:right="0" w:firstLine="0"/>
                      <w:jc w:val="left"/>
                      <w:rPr>
                        <w:b/>
                        <w:sz w:val="16"/>
                      </w:rPr>
                    </w:pPr>
                    <w:r>
                      <w:rPr>
                        <w:b/>
                        <w:color w:val="001F5F"/>
                        <w:sz w:val="16"/>
                      </w:rPr>
                      <w:t>17.7</w:t>
                    </w:r>
                  </w:p>
                </w:txbxContent>
              </v:textbox>
              <w10:wrap type="none"/>
            </v:shape>
            <v:shape style="position:absolute;left:7840;top:774;width:304;height:179" type="#_x0000_t202" filled="false" stroked="false">
              <v:textbox inset="0,0,0,0">
                <w:txbxContent>
                  <w:p>
                    <w:pPr>
                      <w:spacing w:line="178" w:lineRule="exact" w:before="0"/>
                      <w:ind w:left="0" w:right="0" w:firstLine="0"/>
                      <w:jc w:val="left"/>
                      <w:rPr>
                        <w:b/>
                        <w:sz w:val="16"/>
                      </w:rPr>
                    </w:pPr>
                    <w:r>
                      <w:rPr>
                        <w:b/>
                        <w:color w:val="001F5F"/>
                        <w:sz w:val="16"/>
                      </w:rPr>
                      <w:t>15.8</w:t>
                    </w:r>
                  </w:p>
                </w:txbxContent>
              </v:textbox>
              <w10:wrap type="none"/>
            </v:shape>
            <v:shape style="position:absolute;left:6762;top:1960;width:276;height:179" type="#_x0000_t202" filled="false" stroked="false">
              <v:textbox inset="0,0,0,0">
                <w:txbxContent>
                  <w:p>
                    <w:pPr>
                      <w:spacing w:line="178" w:lineRule="exact" w:before="0"/>
                      <w:ind w:left="0" w:right="0" w:firstLine="0"/>
                      <w:jc w:val="left"/>
                      <w:rPr>
                        <w:b/>
                        <w:sz w:val="16"/>
                      </w:rPr>
                    </w:pPr>
                    <w:r>
                      <w:rPr>
                        <w:b/>
                        <w:color w:val="001F5F"/>
                        <w:sz w:val="16"/>
                      </w:rPr>
                      <w:t>-7.7</w:t>
                    </w:r>
                  </w:p>
                </w:txbxContent>
              </v:textbox>
              <w10:wrap type="none"/>
            </v:shape>
            <v:shape style="position:absolute;left:4537;top:2124;width:357;height:179" type="#_x0000_t202" filled="false" stroked="false">
              <v:textbox inset="0,0,0,0">
                <w:txbxContent>
                  <w:p>
                    <w:pPr>
                      <w:spacing w:line="178" w:lineRule="exact" w:before="0"/>
                      <w:ind w:left="0" w:right="0" w:firstLine="0"/>
                      <w:jc w:val="left"/>
                      <w:rPr>
                        <w:b/>
                        <w:sz w:val="16"/>
                      </w:rPr>
                    </w:pPr>
                    <w:r>
                      <w:rPr>
                        <w:b/>
                        <w:color w:val="001F5F"/>
                        <w:sz w:val="16"/>
                      </w:rPr>
                      <w:t>-12.4</w:t>
                    </w:r>
                  </w:p>
                </w:txbxContent>
              </v:textbox>
              <w10:wrap type="none"/>
            </v:shape>
            <v:shape style="position:absolute;left:8906;top:2058;width:357;height:179" type="#_x0000_t202" filled="false" stroked="false">
              <v:textbox inset="0,0,0,0">
                <w:txbxContent>
                  <w:p>
                    <w:pPr>
                      <w:spacing w:line="178" w:lineRule="exact" w:before="0"/>
                      <w:ind w:left="0" w:right="0" w:firstLine="0"/>
                      <w:jc w:val="left"/>
                      <w:rPr>
                        <w:b/>
                        <w:sz w:val="16"/>
                      </w:rPr>
                    </w:pPr>
                    <w:r>
                      <w:rPr>
                        <w:b/>
                        <w:color w:val="001F5F"/>
                        <w:sz w:val="16"/>
                      </w:rPr>
                      <w:t>-10.5</w:t>
                    </w:r>
                  </w:p>
                </w:txbxContent>
              </v:textbox>
              <w10:wrap type="none"/>
            </v:shape>
            <w10:wrap type="none"/>
          </v:group>
        </w:pict>
      </w:r>
      <w:r>
        <w:rPr>
          <w:color w:val="585858"/>
          <w:sz w:val="16"/>
        </w:rPr>
        <w:t>40</w:t>
      </w:r>
    </w:p>
    <w:p>
      <w:pPr>
        <w:pStyle w:val="BodyText"/>
        <w:rPr>
          <w:sz w:val="20"/>
        </w:rPr>
      </w:pPr>
    </w:p>
    <w:p>
      <w:pPr>
        <w:pStyle w:val="BodyText"/>
        <w:spacing w:before="7"/>
        <w:rPr>
          <w:sz w:val="16"/>
        </w:rPr>
      </w:pPr>
    </w:p>
    <w:p>
      <w:pPr>
        <w:spacing w:before="94"/>
        <w:ind w:left="1632" w:right="0" w:firstLine="0"/>
        <w:jc w:val="left"/>
        <w:rPr>
          <w:sz w:val="16"/>
        </w:rPr>
      </w:pPr>
      <w:r>
        <w:rPr/>
        <w:pict>
          <v:shape style="position:absolute;margin-left:123.045448pt;margin-top:-8.256680pt;width:10.95pt;height:35.9pt;mso-position-horizontal-relative:page;mso-position-vertical-relative:paragraph;z-index:251850752" type="#_x0000_t202" filled="false" stroked="false">
            <v:textbox inset="0,0,0,0" style="layout-flow:vertical;mso-layout-flow-alt:bottom-to-top">
              <w:txbxContent>
                <w:p>
                  <w:pPr>
                    <w:spacing w:before="14"/>
                    <w:ind w:left="20" w:right="0" w:firstLine="0"/>
                    <w:jc w:val="left"/>
                    <w:rPr>
                      <w:sz w:val="16"/>
                    </w:rPr>
                  </w:pPr>
                  <w:r>
                    <w:rPr>
                      <w:color w:val="585858"/>
                      <w:sz w:val="16"/>
                    </w:rPr>
                    <w:t>Porcentaje</w:t>
                  </w:r>
                </w:p>
              </w:txbxContent>
            </v:textbox>
            <w10:wrap type="none"/>
          </v:shape>
        </w:pict>
      </w:r>
      <w:r>
        <w:rPr>
          <w:color w:val="585858"/>
          <w:sz w:val="16"/>
        </w:rPr>
        <w:t>20</w:t>
      </w:r>
    </w:p>
    <w:p>
      <w:pPr>
        <w:pStyle w:val="BodyText"/>
        <w:rPr>
          <w:sz w:val="20"/>
        </w:rPr>
      </w:pPr>
    </w:p>
    <w:p>
      <w:pPr>
        <w:pStyle w:val="BodyText"/>
        <w:spacing w:before="8"/>
        <w:rPr>
          <w:sz w:val="16"/>
        </w:rPr>
      </w:pPr>
    </w:p>
    <w:p>
      <w:pPr>
        <w:spacing w:before="94"/>
        <w:ind w:left="1712" w:right="0" w:firstLine="0"/>
        <w:jc w:val="left"/>
        <w:rPr>
          <w:sz w:val="16"/>
        </w:rPr>
      </w:pPr>
      <w:r>
        <w:rPr>
          <w:color w:val="585858"/>
          <w:w w:val="100"/>
          <w:sz w:val="16"/>
        </w:rPr>
        <w:t>0</w:t>
      </w:r>
    </w:p>
    <w:p>
      <w:pPr>
        <w:pStyle w:val="BodyText"/>
        <w:rPr>
          <w:sz w:val="20"/>
        </w:rPr>
      </w:pPr>
    </w:p>
    <w:p>
      <w:pPr>
        <w:pStyle w:val="BodyText"/>
        <w:spacing w:before="8"/>
        <w:rPr>
          <w:sz w:val="16"/>
        </w:rPr>
      </w:pPr>
    </w:p>
    <w:p>
      <w:pPr>
        <w:spacing w:after="0"/>
        <w:rPr>
          <w:sz w:val="16"/>
        </w:rPr>
        <w:sectPr>
          <w:pgSz w:w="12240" w:h="15840"/>
          <w:pgMar w:header="715" w:footer="957" w:top="1240" w:bottom="1140" w:left="1140" w:right="0"/>
        </w:sectPr>
      </w:pPr>
    </w:p>
    <w:p>
      <w:pPr>
        <w:spacing w:before="94"/>
        <w:ind w:left="0" w:right="0" w:firstLine="0"/>
        <w:jc w:val="right"/>
        <w:rPr>
          <w:sz w:val="16"/>
        </w:rPr>
      </w:pPr>
      <w:r>
        <w:rPr>
          <w:color w:val="585858"/>
          <w:sz w:val="16"/>
        </w:rPr>
        <w:t>-20</w:t>
      </w:r>
    </w:p>
    <w:p>
      <w:pPr>
        <w:pStyle w:val="BodyText"/>
        <w:spacing w:before="6"/>
        <w:rPr>
          <w:sz w:val="24"/>
        </w:rPr>
      </w:pPr>
      <w:r>
        <w:rPr/>
        <w:br w:type="column"/>
      </w:r>
      <w:r>
        <w:rPr>
          <w:sz w:val="24"/>
        </w:rPr>
      </w:r>
    </w:p>
    <w:p>
      <w:pPr>
        <w:tabs>
          <w:tab w:pos="1092" w:val="left" w:leader="none"/>
          <w:tab w:pos="2184" w:val="left" w:leader="none"/>
          <w:tab w:pos="3277" w:val="left" w:leader="none"/>
          <w:tab w:pos="4369" w:val="left" w:leader="none"/>
          <w:tab w:pos="5462" w:val="left" w:leader="none"/>
        </w:tabs>
        <w:spacing w:before="0"/>
        <w:ind w:left="0" w:right="3000" w:firstLine="0"/>
        <w:jc w:val="right"/>
        <w:rPr>
          <w:sz w:val="16"/>
        </w:rPr>
      </w:pPr>
      <w:r>
        <w:rPr/>
        <w:pict>
          <v:group style="position:absolute;margin-left:153pt;margin-top:-4.411249pt;width:.75pt;height:28.7pt;mso-position-horizontal-relative:page;mso-position-vertical-relative:paragraph;z-index:251843584" coordorigin="3060,-88" coordsize="15,574">
            <v:line style="position:absolute" from="3067,-88" to="3067,197" stroked="true" strokeweight=".72pt" strokecolor="#000000">
              <v:stroke dashstyle="solid"/>
            </v:line>
            <v:line style="position:absolute" from="3067,197" to="3067,485" stroked="true" strokeweight=".72pt" strokecolor="#000000">
              <v:stroke dashstyle="solid"/>
            </v:line>
            <w10:wrap type="none"/>
          </v:group>
        </w:pict>
      </w:r>
      <w:r>
        <w:rPr/>
        <w:pict>
          <v:group style="position:absolute;margin-left:262.320007pt;margin-top:-4.411249pt;width:.75pt;height:28.7pt;mso-position-horizontal-relative:page;mso-position-vertical-relative:paragraph;z-index:-281475072" coordorigin="5246,-88" coordsize="15,574">
            <v:line style="position:absolute" from="5254,-88" to="5254,197" stroked="true" strokeweight=".72pt" strokecolor="#000000">
              <v:stroke dashstyle="solid"/>
            </v:line>
            <v:line style="position:absolute" from="5254,197" to="5254,485" stroked="true" strokeweight=".72pt" strokecolor="#000000">
              <v:stroke dashstyle="solid"/>
            </v:line>
            <w10:wrap type="none"/>
          </v:group>
        </w:pict>
      </w:r>
      <w:r>
        <w:rPr/>
        <w:pict>
          <v:group style="position:absolute;margin-left:371.519989pt;margin-top:-4.411249pt;width:.75pt;height:28.7pt;mso-position-horizontal-relative:page;mso-position-vertical-relative:paragraph;z-index:-281474048" coordorigin="7430,-88" coordsize="15,574">
            <v:line style="position:absolute" from="7438,-88" to="7438,197" stroked="true" strokeweight=".72pt" strokecolor="#000000">
              <v:stroke dashstyle="solid"/>
            </v:line>
            <v:line style="position:absolute" from="7438,197" to="7438,485" stroked="true" strokeweight=".72pt" strokecolor="#000000">
              <v:stroke dashstyle="solid"/>
            </v:line>
            <w10:wrap type="none"/>
          </v:group>
        </w:pict>
      </w:r>
      <w:r>
        <w:rPr/>
        <w:pict>
          <v:group style="position:absolute;margin-left:480.720001pt;margin-top:-4.411249pt;width:.75pt;height:28.7pt;mso-position-horizontal-relative:page;mso-position-vertical-relative:paragraph;z-index:251846656" coordorigin="9614,-88" coordsize="15,574">
            <v:line style="position:absolute" from="9622,-88" to="9622,197" stroked="true" strokeweight=".72pt" strokecolor="#000000">
              <v:stroke dashstyle="solid"/>
            </v:line>
            <v:line style="position:absolute" from="9622,197" to="9622,485" stroked="true" strokeweight=".72pt" strokecolor="#000000">
              <v:stroke dashstyle="solid"/>
            </v:line>
            <w10:wrap type="none"/>
          </v:group>
        </w:pict>
      </w:r>
      <w:r>
        <w:rPr>
          <w:color w:val="585858"/>
          <w:sz w:val="16"/>
        </w:rPr>
        <w:t>2022</w:t>
        <w:tab/>
        <w:t>2023</w:t>
        <w:tab/>
        <w:t>2022</w:t>
        <w:tab/>
        <w:t>2023</w:t>
        <w:tab/>
        <w:t>2022</w:t>
        <w:tab/>
      </w:r>
      <w:r>
        <w:rPr>
          <w:color w:val="585858"/>
          <w:spacing w:val="-1"/>
          <w:sz w:val="16"/>
        </w:rPr>
        <w:t>2023</w:t>
      </w:r>
    </w:p>
    <w:p>
      <w:pPr>
        <w:tabs>
          <w:tab w:pos="2064" w:val="left" w:leader="none"/>
          <w:tab w:pos="3974" w:val="left" w:leader="none"/>
        </w:tabs>
        <w:spacing w:before="103"/>
        <w:ind w:left="0" w:right="3063" w:firstLine="0"/>
        <w:jc w:val="right"/>
        <w:rPr>
          <w:sz w:val="16"/>
        </w:rPr>
      </w:pPr>
      <w:r>
        <w:rPr>
          <w:color w:val="585858"/>
          <w:sz w:val="16"/>
        </w:rPr>
        <w:t>Energia</w:t>
        <w:tab/>
        <w:t>Agricultura</w:t>
        <w:tab/>
        <w:t>Metales y</w:t>
      </w:r>
      <w:r>
        <w:rPr>
          <w:color w:val="585858"/>
          <w:spacing w:val="-8"/>
          <w:sz w:val="16"/>
        </w:rPr>
        <w:t> </w:t>
      </w:r>
      <w:r>
        <w:rPr>
          <w:color w:val="585858"/>
          <w:sz w:val="16"/>
        </w:rPr>
        <w:t>minerales</w:t>
      </w:r>
    </w:p>
    <w:p>
      <w:pPr>
        <w:spacing w:after="0"/>
        <w:jc w:val="right"/>
        <w:rPr>
          <w:sz w:val="16"/>
        </w:rPr>
        <w:sectPr>
          <w:type w:val="continuous"/>
          <w:pgSz w:w="12240" w:h="15840"/>
          <w:pgMar w:top="1500" w:bottom="280" w:left="1140" w:right="0"/>
          <w:cols w:num="2" w:equalWidth="0">
            <w:col w:w="1794" w:space="40"/>
            <w:col w:w="9266"/>
          </w:cols>
        </w:sectPr>
      </w:pPr>
    </w:p>
    <w:p>
      <w:pPr>
        <w:pStyle w:val="BodyText"/>
        <w:spacing w:before="4"/>
        <w:rPr>
          <w:sz w:val="16"/>
        </w:rPr>
      </w:pPr>
    </w:p>
    <w:p>
      <w:pPr>
        <w:spacing w:before="0"/>
        <w:ind w:left="1752" w:right="0" w:firstLine="0"/>
        <w:jc w:val="left"/>
        <w:rPr>
          <w:sz w:val="16"/>
        </w:rPr>
      </w:pPr>
      <w:r>
        <w:rPr>
          <w:sz w:val="16"/>
        </w:rPr>
        <w:t>Fuente: Dirección de Análisis y Política Fiscal con información de Banco Mundial</w:t>
      </w:r>
    </w:p>
    <w:p>
      <w:pPr>
        <w:spacing w:after="0"/>
        <w:jc w:val="left"/>
        <w:rPr>
          <w:sz w:val="16"/>
        </w:rPr>
        <w:sectPr>
          <w:type w:val="continuous"/>
          <w:pgSz w:w="12240" w:h="15840"/>
          <w:pgMar w:top="1500" w:bottom="280" w:left="1140" w:right="0"/>
        </w:sectPr>
      </w:pPr>
    </w:p>
    <w:p>
      <w:pPr>
        <w:pStyle w:val="Heading2"/>
        <w:numPr>
          <w:ilvl w:val="2"/>
          <w:numId w:val="11"/>
        </w:numPr>
        <w:tabs>
          <w:tab w:pos="1694" w:val="left" w:leader="none"/>
          <w:tab w:pos="1695" w:val="left" w:leader="none"/>
        </w:tabs>
        <w:spacing w:line="276" w:lineRule="auto" w:before="167" w:after="0"/>
        <w:ind w:left="1694" w:right="2302" w:hanging="720"/>
        <w:jc w:val="left"/>
      </w:pPr>
      <w:bookmarkStart w:name="_bookmark36" w:id="50"/>
      <w:bookmarkEnd w:id="50"/>
      <w:r>
        <w:rPr>
          <w:b w:val="0"/>
        </w:rPr>
      </w:r>
      <w:bookmarkStart w:name="_bookmark36" w:id="51"/>
      <w:bookmarkEnd w:id="51"/>
      <w:r>
        <w:rPr/>
        <w:t>I</w:t>
      </w:r>
      <w:r>
        <w:rPr/>
        <w:t>mpacto de la guerra en Rusia y Ucrania en los mercados de</w:t>
      </w:r>
      <w:r>
        <w:rPr>
          <w:spacing w:val="-22"/>
        </w:rPr>
        <w:t> </w:t>
      </w:r>
      <w:r>
        <w:rPr/>
        <w:t>materias primas</w:t>
      </w:r>
    </w:p>
    <w:p>
      <w:pPr>
        <w:pStyle w:val="BodyText"/>
        <w:spacing w:before="11"/>
        <w:rPr>
          <w:b/>
          <w:sz w:val="24"/>
        </w:rPr>
      </w:pPr>
    </w:p>
    <w:p>
      <w:pPr>
        <w:pStyle w:val="BodyText"/>
        <w:spacing w:line="276" w:lineRule="auto"/>
        <w:ind w:left="562" w:right="1696"/>
        <w:jc w:val="both"/>
      </w:pPr>
      <w:r>
        <w:rPr/>
        <w:t>Los</w:t>
      </w:r>
      <w:r>
        <w:rPr>
          <w:spacing w:val="-7"/>
        </w:rPr>
        <w:t> </w:t>
      </w:r>
      <w:r>
        <w:rPr/>
        <w:t>mercados</w:t>
      </w:r>
      <w:r>
        <w:rPr>
          <w:spacing w:val="-5"/>
        </w:rPr>
        <w:t> </w:t>
      </w:r>
      <w:r>
        <w:rPr/>
        <w:t>de</w:t>
      </w:r>
      <w:r>
        <w:rPr>
          <w:spacing w:val="-6"/>
        </w:rPr>
        <w:t> </w:t>
      </w:r>
      <w:r>
        <w:rPr/>
        <w:t>materias</w:t>
      </w:r>
      <w:r>
        <w:rPr>
          <w:spacing w:val="-5"/>
        </w:rPr>
        <w:t> </w:t>
      </w:r>
      <w:r>
        <w:rPr/>
        <w:t>primas</w:t>
      </w:r>
      <w:r>
        <w:rPr>
          <w:spacing w:val="-5"/>
        </w:rPr>
        <w:t> </w:t>
      </w:r>
      <w:r>
        <w:rPr/>
        <w:t>afrontan</w:t>
      </w:r>
      <w:r>
        <w:rPr>
          <w:spacing w:val="-6"/>
        </w:rPr>
        <w:t> </w:t>
      </w:r>
      <w:r>
        <w:rPr/>
        <w:t>un</w:t>
      </w:r>
      <w:r>
        <w:rPr>
          <w:spacing w:val="-6"/>
        </w:rPr>
        <w:t> </w:t>
      </w:r>
      <w:r>
        <w:rPr/>
        <w:t>alza</w:t>
      </w:r>
      <w:r>
        <w:rPr>
          <w:spacing w:val="-6"/>
        </w:rPr>
        <w:t> </w:t>
      </w:r>
      <w:r>
        <w:rPr/>
        <w:t>histórica,</w:t>
      </w:r>
      <w:r>
        <w:rPr>
          <w:spacing w:val="-6"/>
        </w:rPr>
        <w:t> </w:t>
      </w:r>
      <w:r>
        <w:rPr/>
        <w:t>en</w:t>
      </w:r>
      <w:r>
        <w:rPr>
          <w:spacing w:val="-2"/>
        </w:rPr>
        <w:t> </w:t>
      </w:r>
      <w:r>
        <w:rPr/>
        <w:t>particular</w:t>
      </w:r>
      <w:r>
        <w:rPr>
          <w:spacing w:val="-5"/>
        </w:rPr>
        <w:t> </w:t>
      </w:r>
      <w:r>
        <w:rPr/>
        <w:t>para</w:t>
      </w:r>
      <w:r>
        <w:rPr>
          <w:spacing w:val="-6"/>
        </w:rPr>
        <w:t> </w:t>
      </w:r>
      <w:r>
        <w:rPr/>
        <w:t>las</w:t>
      </w:r>
      <w:r>
        <w:rPr>
          <w:spacing w:val="-8"/>
        </w:rPr>
        <w:t> </w:t>
      </w:r>
      <w:r>
        <w:rPr/>
        <w:t>materias</w:t>
      </w:r>
      <w:r>
        <w:rPr>
          <w:spacing w:val="-5"/>
        </w:rPr>
        <w:t> </w:t>
      </w:r>
      <w:r>
        <w:rPr/>
        <w:t>primas</w:t>
      </w:r>
      <w:r>
        <w:rPr>
          <w:spacing w:val="-5"/>
        </w:rPr>
        <w:t> </w:t>
      </w:r>
      <w:r>
        <w:rPr/>
        <w:t>de las que Rusia o Ucrania son exportadores clave. De acuerdo al Banco Mundial, existen tres razones principales: 1. Poco margen en sustitución de la demanda por otros productos; 2. Los aumentos en los</w:t>
      </w:r>
      <w:r>
        <w:rPr>
          <w:spacing w:val="-8"/>
        </w:rPr>
        <w:t> </w:t>
      </w:r>
      <w:r>
        <w:rPr/>
        <w:t>precios</w:t>
      </w:r>
      <w:r>
        <w:rPr>
          <w:spacing w:val="-8"/>
        </w:rPr>
        <w:t> </w:t>
      </w:r>
      <w:r>
        <w:rPr/>
        <w:t>de</w:t>
      </w:r>
      <w:r>
        <w:rPr>
          <w:spacing w:val="-8"/>
        </w:rPr>
        <w:t> </w:t>
      </w:r>
      <w:r>
        <w:rPr/>
        <w:t>algunos</w:t>
      </w:r>
      <w:r>
        <w:rPr>
          <w:spacing w:val="-6"/>
        </w:rPr>
        <w:t> </w:t>
      </w:r>
      <w:r>
        <w:rPr/>
        <w:t>productos</w:t>
      </w:r>
      <w:r>
        <w:rPr>
          <w:spacing w:val="-8"/>
        </w:rPr>
        <w:t> </w:t>
      </w:r>
      <w:r>
        <w:rPr/>
        <w:t>básicos</w:t>
      </w:r>
      <w:r>
        <w:rPr>
          <w:spacing w:val="-8"/>
        </w:rPr>
        <w:t> </w:t>
      </w:r>
      <w:r>
        <w:rPr/>
        <w:t>han</w:t>
      </w:r>
      <w:r>
        <w:rPr>
          <w:spacing w:val="-7"/>
        </w:rPr>
        <w:t> </w:t>
      </w:r>
      <w:r>
        <w:rPr/>
        <w:t>hecho</w:t>
      </w:r>
      <w:r>
        <w:rPr>
          <w:spacing w:val="-8"/>
        </w:rPr>
        <w:t> </w:t>
      </w:r>
      <w:r>
        <w:rPr/>
        <w:t>subir</w:t>
      </w:r>
      <w:r>
        <w:rPr>
          <w:spacing w:val="-8"/>
        </w:rPr>
        <w:t> </w:t>
      </w:r>
      <w:r>
        <w:rPr/>
        <w:t>los</w:t>
      </w:r>
      <w:r>
        <w:rPr>
          <w:spacing w:val="-7"/>
        </w:rPr>
        <w:t> </w:t>
      </w:r>
      <w:r>
        <w:rPr/>
        <w:t>costos</w:t>
      </w:r>
      <w:r>
        <w:rPr>
          <w:spacing w:val="-8"/>
        </w:rPr>
        <w:t> </w:t>
      </w:r>
      <w:r>
        <w:rPr/>
        <w:t>de</w:t>
      </w:r>
      <w:r>
        <w:rPr>
          <w:spacing w:val="-8"/>
        </w:rPr>
        <w:t> </w:t>
      </w:r>
      <w:r>
        <w:rPr/>
        <w:t>producción</w:t>
      </w:r>
      <w:r>
        <w:rPr>
          <w:spacing w:val="-8"/>
        </w:rPr>
        <w:t> </w:t>
      </w:r>
      <w:r>
        <w:rPr/>
        <w:t>de</w:t>
      </w:r>
      <w:r>
        <w:rPr>
          <w:spacing w:val="-8"/>
        </w:rPr>
        <w:t> </w:t>
      </w:r>
      <w:r>
        <w:rPr/>
        <w:t>otros</w:t>
      </w:r>
      <w:r>
        <w:rPr>
          <w:spacing w:val="-8"/>
        </w:rPr>
        <w:t> </w:t>
      </w:r>
      <w:r>
        <w:rPr/>
        <w:t>productos básicos.</w:t>
      </w:r>
      <w:r>
        <w:rPr>
          <w:spacing w:val="-6"/>
        </w:rPr>
        <w:t> </w:t>
      </w:r>
      <w:r>
        <w:rPr/>
        <w:t>Por</w:t>
      </w:r>
      <w:r>
        <w:rPr>
          <w:spacing w:val="-6"/>
        </w:rPr>
        <w:t> </w:t>
      </w:r>
      <w:r>
        <w:rPr/>
        <w:t>ejemplo,</w:t>
      </w:r>
      <w:r>
        <w:rPr>
          <w:spacing w:val="-4"/>
        </w:rPr>
        <w:t> </w:t>
      </w:r>
      <w:r>
        <w:rPr/>
        <w:t>el</w:t>
      </w:r>
      <w:r>
        <w:rPr>
          <w:spacing w:val="-3"/>
        </w:rPr>
        <w:t> </w:t>
      </w:r>
      <w:r>
        <w:rPr/>
        <w:t>aumento</w:t>
      </w:r>
      <w:r>
        <w:rPr>
          <w:spacing w:val="-4"/>
        </w:rPr>
        <w:t> </w:t>
      </w:r>
      <w:r>
        <w:rPr/>
        <w:t>de</w:t>
      </w:r>
      <w:r>
        <w:rPr>
          <w:spacing w:val="-6"/>
        </w:rPr>
        <w:t> </w:t>
      </w:r>
      <w:r>
        <w:rPr/>
        <w:t>los</w:t>
      </w:r>
      <w:r>
        <w:rPr>
          <w:spacing w:val="-6"/>
        </w:rPr>
        <w:t> </w:t>
      </w:r>
      <w:r>
        <w:rPr/>
        <w:t>precios</w:t>
      </w:r>
      <w:r>
        <w:rPr>
          <w:spacing w:val="-3"/>
        </w:rPr>
        <w:t> </w:t>
      </w:r>
      <w:r>
        <w:rPr/>
        <w:t>de</w:t>
      </w:r>
      <w:r>
        <w:rPr>
          <w:spacing w:val="-6"/>
        </w:rPr>
        <w:t> </w:t>
      </w:r>
      <w:r>
        <w:rPr/>
        <w:t>la</w:t>
      </w:r>
      <w:r>
        <w:rPr>
          <w:spacing w:val="-6"/>
        </w:rPr>
        <w:t> </w:t>
      </w:r>
      <w:r>
        <w:rPr/>
        <w:t>energía</w:t>
      </w:r>
      <w:r>
        <w:rPr>
          <w:spacing w:val="-6"/>
        </w:rPr>
        <w:t> </w:t>
      </w:r>
      <w:r>
        <w:rPr/>
        <w:t>aumenta</w:t>
      </w:r>
      <w:r>
        <w:rPr>
          <w:spacing w:val="-6"/>
        </w:rPr>
        <w:t> </w:t>
      </w:r>
      <w:r>
        <w:rPr/>
        <w:t>el</w:t>
      </w:r>
      <w:r>
        <w:rPr>
          <w:spacing w:val="-4"/>
        </w:rPr>
        <w:t> </w:t>
      </w:r>
      <w:r>
        <w:rPr/>
        <w:t>costo</w:t>
      </w:r>
      <w:r>
        <w:rPr>
          <w:spacing w:val="-6"/>
        </w:rPr>
        <w:t> </w:t>
      </w:r>
      <w:r>
        <w:rPr/>
        <w:t>de</w:t>
      </w:r>
      <w:r>
        <w:rPr>
          <w:spacing w:val="-6"/>
        </w:rPr>
        <w:t> </w:t>
      </w:r>
      <w:r>
        <w:rPr/>
        <w:t>los</w:t>
      </w:r>
      <w:r>
        <w:rPr>
          <w:spacing w:val="-3"/>
        </w:rPr>
        <w:t> </w:t>
      </w:r>
      <w:r>
        <w:rPr/>
        <w:t>insumos</w:t>
      </w:r>
      <w:r>
        <w:rPr>
          <w:spacing w:val="-3"/>
        </w:rPr>
        <w:t> </w:t>
      </w:r>
      <w:r>
        <w:rPr/>
        <w:t>para</w:t>
      </w:r>
      <w:r>
        <w:rPr>
          <w:spacing w:val="-6"/>
        </w:rPr>
        <w:t> </w:t>
      </w:r>
      <w:r>
        <w:rPr/>
        <w:t>la producción agrícola, como el combustible y los fertilizantes; 3. Las políticas gubernamentales han respondido ante el alza en los precios con recortes de impuestos y</w:t>
      </w:r>
      <w:r>
        <w:rPr>
          <w:spacing w:val="-12"/>
        </w:rPr>
        <w:t> </w:t>
      </w:r>
      <w:r>
        <w:rPr/>
        <w:t>subsidios.</w:t>
      </w:r>
    </w:p>
    <w:p>
      <w:pPr>
        <w:pStyle w:val="BodyText"/>
        <w:spacing w:line="276" w:lineRule="auto" w:before="160"/>
        <w:ind w:left="562" w:right="1695"/>
        <w:jc w:val="both"/>
      </w:pPr>
      <w:r>
        <w:rPr/>
        <w:t>Se espera que la mayoría de los precios de las materias primas sean considerablemente más altos en 2022. Se prevé que los precios energéticos y no energéticos aumenten un 50% y 20%, respectivamente. Si bien las perspectivas de los mercados de productos básicos dependen en gran medida de la duración de la guerra en Ucrania y del alcance de las sanciones, los canales a través de los cuales los productos básicos se han visto afectados es probable que persistan. También se espera que los cambios en los patrones de comercio de productos básicos continúen incluso después de que termine la guerra. La posibilidad de nuevos brotes de COVID-19 en China, junto con una desaceleración más amplia del crecimiento mundial, presenta riesgos a la baja para los precios.</w:t>
      </w:r>
    </w:p>
    <w:p>
      <w:pPr>
        <w:pStyle w:val="BodyText"/>
        <w:spacing w:before="4"/>
        <w:rPr>
          <w:sz w:val="27"/>
        </w:rPr>
      </w:pPr>
    </w:p>
    <w:p>
      <w:pPr>
        <w:spacing w:before="0"/>
        <w:ind w:left="1970" w:right="0" w:firstLine="0"/>
        <w:jc w:val="left"/>
        <w:rPr>
          <w:b/>
          <w:sz w:val="20"/>
        </w:rPr>
      </w:pPr>
      <w:bookmarkStart w:name="_bookmark37" w:id="52"/>
      <w:bookmarkEnd w:id="52"/>
      <w:r>
        <w:rPr/>
      </w:r>
      <w:r>
        <w:rPr>
          <w:b/>
          <w:i/>
          <w:sz w:val="20"/>
        </w:rPr>
        <w:t>Gráfico 16. </w:t>
      </w:r>
      <w:r>
        <w:rPr>
          <w:b/>
          <w:sz w:val="20"/>
        </w:rPr>
        <w:t>Participación mundial de la exportación de materias prima</w:t>
      </w:r>
    </w:p>
    <w:p>
      <w:pPr>
        <w:pStyle w:val="BodyText"/>
        <w:spacing w:before="4"/>
        <w:rPr>
          <w:b/>
          <w:sz w:val="13"/>
        </w:rPr>
      </w:pPr>
    </w:p>
    <w:p>
      <w:pPr>
        <w:tabs>
          <w:tab w:pos="1632" w:val="left" w:leader="none"/>
        </w:tabs>
        <w:spacing w:before="93"/>
        <w:ind w:left="0" w:right="666" w:firstLine="0"/>
        <w:jc w:val="center"/>
        <w:rPr>
          <w:sz w:val="18"/>
        </w:rPr>
      </w:pPr>
      <w:r>
        <w:rPr/>
        <w:pict>
          <v:group style="position:absolute;margin-left:147.720001pt;margin-top:69.932358pt;width:25.1pt;height:32.0500pt;mso-position-horizontal-relative:page;mso-position-vertical-relative:paragraph;z-index:251872256" coordorigin="2954,1399" coordsize="502,641">
            <v:rect style="position:absolute;left:3016;top:1398;width:377;height:334" filled="true" fillcolor="#2d75b6" stroked="false">
              <v:fill type="solid"/>
            </v:rect>
            <v:shape style="position:absolute;left:2961;top:1722;width:488;height:310" type="#_x0000_t202" filled="false" stroked="true" strokeweight=".72pt" strokecolor="#41709c">
              <v:textbox inset="0,0,0,0">
                <w:txbxContent>
                  <w:p>
                    <w:pPr>
                      <w:spacing w:before="34"/>
                      <w:ind w:left="52" w:right="0" w:firstLine="0"/>
                      <w:jc w:val="left"/>
                      <w:rPr>
                        <w:b/>
                        <w:sz w:val="21"/>
                      </w:rPr>
                    </w:pPr>
                    <w:r>
                      <w:rPr>
                        <w:b/>
                        <w:color w:val="006FC0"/>
                        <w:sz w:val="21"/>
                      </w:rPr>
                      <w:t>17.8</w:t>
                    </w:r>
                  </w:p>
                </w:txbxContent>
              </v:textbox>
              <v:stroke dashstyle="solid"/>
              <w10:wrap type="none"/>
            </v:shape>
            <w10:wrap type="none"/>
          </v:group>
        </w:pict>
      </w:r>
      <w:r>
        <w:rPr/>
        <w:pict>
          <v:rect style="position:absolute;margin-left:184.800003pt;margin-top:87.332359pt;width:18.84pt;height:8.040000pt;mso-position-horizontal-relative:page;mso-position-vertical-relative:paragraph;z-index:251873280" filled="true" fillcolor="#2d75b6" stroked="false">
            <v:fill type="solid"/>
            <w10:wrap type="none"/>
          </v:rect>
        </w:pict>
      </w:r>
      <w:r>
        <w:rPr/>
        <w:pict>
          <v:group style="position:absolute;margin-left:217.679993pt;margin-top:11.012357pt;width:20.05pt;height:59.55pt;mso-position-horizontal-relative:page;mso-position-vertical-relative:paragraph;z-index:251875328" coordorigin="4354,220" coordsize="401,1191">
            <v:rect style="position:absolute;left:4375;top:755;width:380;height:656" filled="true" fillcolor="#2d75b6" stroked="false">
              <v:fill type="solid"/>
            </v:rect>
            <v:rect style="position:absolute;left:4375;top:597;width:380;height:159" filled="true" fillcolor="#ff0000" stroked="false">
              <v:fill type="solid"/>
            </v:rect>
            <v:rect style="position:absolute;left:4360;top:227;width:382;height:300" filled="false" stroked="true" strokeweight=".72pt" strokecolor="#ff0000">
              <v:stroke dashstyle="solid"/>
            </v:rect>
            <v:shape style="position:absolute;left:4353;top:220;width:401;height:1191" type="#_x0000_t202" filled="false" stroked="false">
              <v:textbox inset="0,0,0,0">
                <w:txbxContent>
                  <w:p>
                    <w:pPr>
                      <w:spacing w:before="38"/>
                      <w:ind w:left="66" w:right="0" w:firstLine="0"/>
                      <w:jc w:val="left"/>
                      <w:rPr>
                        <w:sz w:val="21"/>
                      </w:rPr>
                    </w:pPr>
                    <w:r>
                      <w:rPr>
                        <w:color w:val="FF0000"/>
                        <w:sz w:val="21"/>
                      </w:rPr>
                      <w:t>2.9</w:t>
                    </w:r>
                  </w:p>
                </w:txbxContent>
              </v:textbox>
              <w10:wrap type="none"/>
            </v:shape>
            <w10:wrap type="none"/>
          </v:group>
        </w:pict>
      </w:r>
      <w:r>
        <w:rPr/>
        <w:pict>
          <v:group style="position:absolute;margin-left:249.600006pt;margin-top:44.012356pt;width:25.2pt;height:47.55pt;mso-position-horizontal-relative:page;mso-position-vertical-relative:paragraph;z-index:251877376" coordorigin="4992,880" coordsize="504,951">
            <v:rect style="position:absolute;left:5054;top:880;width:380;height:593" filled="true" fillcolor="#2d75b6" stroked="false">
              <v:fill type="solid"/>
            </v:rect>
            <v:shape style="position:absolute;left:4999;top:1441;width:490;height:382" type="#_x0000_t202" filled="false" stroked="true" strokeweight=".72pt" strokecolor="#41709c">
              <v:textbox inset="0,0,0,0">
                <w:txbxContent>
                  <w:p>
                    <w:pPr>
                      <w:spacing w:before="56"/>
                      <w:ind w:left="54" w:right="0" w:firstLine="0"/>
                      <w:jc w:val="left"/>
                      <w:rPr>
                        <w:b/>
                        <w:sz w:val="21"/>
                      </w:rPr>
                    </w:pPr>
                    <w:r>
                      <w:rPr>
                        <w:b/>
                        <w:color w:val="006FC0"/>
                        <w:sz w:val="21"/>
                      </w:rPr>
                      <w:t>27.3</w:t>
                    </w:r>
                  </w:p>
                </w:txbxContent>
              </v:textbox>
              <v:stroke dashstyle="solid"/>
              <w10:wrap type="none"/>
            </v:shape>
            <w10:wrap type="none"/>
          </v:group>
        </w:pict>
      </w:r>
      <w:r>
        <w:rPr/>
        <w:pict>
          <v:group style="position:absolute;margin-left:283.679993pt;margin-top:64.412354pt;width:25.1pt;height:42.7pt;mso-position-horizontal-relative:page;mso-position-vertical-relative:paragraph;z-index:251880448" coordorigin="5674,1288" coordsize="502,854">
            <v:rect style="position:absolute;left:5733;top:1595;width:380;height:228" filled="true" fillcolor="#2d75b6" stroked="false">
              <v:fill type="solid"/>
            </v:rect>
            <v:rect style="position:absolute;left:5731;top:1295;width:384;height:300" filled="false" stroked="true" strokeweight=".72pt" strokecolor="#ff0000">
              <v:stroke dashstyle="solid"/>
            </v:rect>
            <v:shape style="position:absolute;left:5724;top:1288;width:399;height:536" type="#_x0000_t202" filled="false" stroked="false">
              <v:textbox inset="0,0,0,0">
                <w:txbxContent>
                  <w:p>
                    <w:pPr>
                      <w:spacing w:before="38"/>
                      <w:ind w:left="69" w:right="0" w:firstLine="0"/>
                      <w:jc w:val="left"/>
                      <w:rPr>
                        <w:sz w:val="21"/>
                      </w:rPr>
                    </w:pPr>
                    <w:r>
                      <w:rPr>
                        <w:color w:val="FF0000"/>
                        <w:sz w:val="21"/>
                      </w:rPr>
                      <w:t>0.8</w:t>
                    </w:r>
                  </w:p>
                </w:txbxContent>
              </v:textbox>
              <w10:wrap type="none"/>
            </v:shape>
            <v:shape style="position:absolute;left:5680;top:1823;width:488;height:312" type="#_x0000_t202" filled="false" stroked="true" strokeweight=".72pt" strokecolor="#41709c">
              <v:textbox inset="0,0,0,0">
                <w:txbxContent>
                  <w:p>
                    <w:pPr>
                      <w:spacing w:before="26"/>
                      <w:ind w:left="52" w:right="0" w:firstLine="0"/>
                      <w:jc w:val="left"/>
                      <w:rPr>
                        <w:b/>
                        <w:sz w:val="21"/>
                      </w:rPr>
                    </w:pPr>
                    <w:r>
                      <w:rPr>
                        <w:b/>
                        <w:color w:val="006FC0"/>
                        <w:sz w:val="21"/>
                      </w:rPr>
                      <w:t>14.4</w:t>
                    </w:r>
                  </w:p>
                </w:txbxContent>
              </v:textbox>
              <v:stroke dashstyle="solid"/>
              <w10:wrap type="none"/>
            </v:shape>
            <w10:wrap type="none"/>
          </v:group>
        </w:pict>
      </w:r>
      <w:r>
        <w:rPr/>
        <w:pict>
          <v:group style="position:absolute;margin-left:317.640015pt;margin-top:80.852356pt;width:25.1pt;height:28.05pt;mso-position-horizontal-relative:page;mso-position-vertical-relative:paragraph;z-index:251882496" coordorigin="6353,1617" coordsize="502,561">
            <v:rect style="position:absolute;left:6415;top:1617;width:377;height:224" filled="true" fillcolor="#2d75b6" stroked="false">
              <v:fill type="solid"/>
            </v:rect>
            <v:shape style="position:absolute;left:6360;top:1823;width:488;height:348" type="#_x0000_t202" filled="false" stroked="true" strokeweight=".72pt" strokecolor="#41709c">
              <v:textbox inset="0,0,0,0">
                <w:txbxContent>
                  <w:p>
                    <w:pPr>
                      <w:spacing w:before="43"/>
                      <w:ind w:left="52" w:right="0" w:firstLine="0"/>
                      <w:jc w:val="left"/>
                      <w:rPr>
                        <w:b/>
                        <w:sz w:val="21"/>
                      </w:rPr>
                    </w:pPr>
                    <w:r>
                      <w:rPr>
                        <w:b/>
                        <w:color w:val="006FC0"/>
                        <w:sz w:val="21"/>
                      </w:rPr>
                      <w:t>13.8</w:t>
                    </w:r>
                  </w:p>
                </w:txbxContent>
              </v:textbox>
              <v:stroke dashstyle="solid"/>
              <w10:wrap type="none"/>
            </v:shape>
            <w10:wrap type="none"/>
          </v:group>
        </w:pict>
      </w:r>
      <w:r>
        <w:rPr/>
        <w:pict>
          <v:group style="position:absolute;margin-left:387.600006pt;margin-top:43.172356pt;width:23.05pt;height:56.8pt;mso-position-horizontal-relative:page;mso-position-vertical-relative:paragraph;z-index:251884544" coordorigin="7752,863" coordsize="461,1136">
            <v:rect style="position:absolute;left:7773;top:1317;width:377;height:375" filled="true" fillcolor="#2d75b6" stroked="false">
              <v:fill type="solid"/>
            </v:rect>
            <v:rect style="position:absolute;left:7773;top:863;width:377;height:454" filled="true" fillcolor="#ff0000" stroked="false">
              <v:fill type="solid"/>
            </v:rect>
            <v:shape style="position:absolute;left:7759;top:1678;width:447;height:314" type="#_x0000_t202" filled="false" stroked="true" strokeweight=".72pt" strokecolor="#41709c">
              <v:textbox inset="0,0,0,0">
                <w:txbxContent>
                  <w:p>
                    <w:pPr>
                      <w:spacing w:before="38"/>
                      <w:ind w:left="12" w:right="0" w:firstLine="0"/>
                      <w:jc w:val="left"/>
                      <w:rPr>
                        <w:b/>
                        <w:sz w:val="21"/>
                      </w:rPr>
                    </w:pPr>
                    <w:r>
                      <w:rPr>
                        <w:b/>
                        <w:color w:val="006FC0"/>
                        <w:sz w:val="21"/>
                      </w:rPr>
                      <w:t>19.3</w:t>
                    </w:r>
                  </w:p>
                </w:txbxContent>
              </v:textbox>
              <v:stroke dashstyle="solid"/>
              <w10:wrap type="none"/>
            </v:shape>
            <w10:wrap type="none"/>
          </v:group>
        </w:pict>
      </w:r>
      <w:r>
        <w:rPr/>
        <w:pict>
          <v:group style="position:absolute;margin-left:419.519989pt;margin-top:51.092358pt;width:25.1pt;height:57.4pt;mso-position-horizontal-relative:page;mso-position-vertical-relative:paragraph;z-index:251886592" coordorigin="8390,1022" coordsize="502,1148">
            <v:rect style="position:absolute;left:8452;top:1665;width:377;height:200" filled="true" fillcolor="#2d75b6" stroked="false">
              <v:fill type="solid"/>
            </v:rect>
            <v:rect style="position:absolute;left:8452;top:1021;width:377;height:644" filled="true" fillcolor="#ff0000" stroked="false">
              <v:fill type="solid"/>
            </v:rect>
            <v:shape style="position:absolute;left:8397;top:1864;width:488;height:298" type="#_x0000_t202" filled="false" stroked="true" strokeweight=".72pt" strokecolor="#41709c">
              <v:textbox inset="0,0,0,0">
                <w:txbxContent>
                  <w:p>
                    <w:pPr>
                      <w:spacing w:before="26"/>
                      <w:ind w:left="53" w:right="0" w:firstLine="0"/>
                      <w:jc w:val="left"/>
                      <w:rPr>
                        <w:b/>
                        <w:sz w:val="21"/>
                      </w:rPr>
                    </w:pPr>
                    <w:r>
                      <w:rPr>
                        <w:b/>
                        <w:color w:val="006FC0"/>
                        <w:sz w:val="21"/>
                      </w:rPr>
                      <w:t>12.9</w:t>
                    </w:r>
                  </w:p>
                </w:txbxContent>
              </v:textbox>
              <v:stroke dashstyle="solid"/>
              <w10:wrap type="none"/>
            </v:shape>
            <w10:wrap type="none"/>
          </v:group>
        </w:pict>
      </w:r>
      <w:r>
        <w:rPr/>
        <w:pict>
          <v:rect style="position:absolute;margin-left:456.600006pt;margin-top:76.772354pt;width:18.84pt;height:31.08pt;mso-position-horizontal-relative:page;mso-position-vertical-relative:paragraph;z-index:251887616" filled="true" fillcolor="#ff0000" stroked="false">
            <v:fill type="solid"/>
            <w10:wrap type="none"/>
          </v:rect>
        </w:pict>
      </w:r>
      <w:r>
        <w:rPr/>
        <w:pict>
          <v:group style="position:absolute;margin-left:490.079987pt;margin-top:63.932358pt;width:19.95pt;height:15.85pt;mso-position-horizontal-relative:page;mso-position-vertical-relative:paragraph;z-index:251892736" coordorigin="9802,1279" coordsize="399,317">
            <v:rect style="position:absolute;left:9808;top:1285;width:384;height:303" filled="false" stroked="true" strokeweight=".72pt" strokecolor="#ff0000">
              <v:stroke dashstyle="solid"/>
            </v:rect>
            <v:shape style="position:absolute;left:9801;top:1278;width:399;height:317" type="#_x0000_t202" filled="false" stroked="false">
              <v:textbox inset="0,0,0,0">
                <w:txbxContent>
                  <w:p>
                    <w:pPr>
                      <w:spacing w:before="39"/>
                      <w:ind w:left="69" w:right="0" w:firstLine="0"/>
                      <w:jc w:val="left"/>
                      <w:rPr>
                        <w:sz w:val="21"/>
                      </w:rPr>
                    </w:pPr>
                    <w:r>
                      <w:rPr>
                        <w:color w:val="FF0000"/>
                        <w:sz w:val="21"/>
                      </w:rPr>
                      <w:t>6.6</w:t>
                    </w:r>
                  </w:p>
                </w:txbxContent>
              </v:textbox>
              <w10:wrap type="none"/>
            </v:shape>
            <w10:wrap type="none"/>
          </v:group>
        </w:pict>
      </w:r>
      <w:r>
        <w:rPr/>
        <w:pict>
          <v:rect style="position:absolute;margin-left:256.320007pt;margin-top:7.892357pt;width:4.560pt;height:4.560pt;mso-position-horizontal-relative:page;mso-position-vertical-relative:paragraph;z-index:251893760" filled="true" fillcolor="#2d75b6" stroked="false">
            <v:fill type="solid"/>
            <w10:wrap type="none"/>
          </v:rect>
        </w:pict>
      </w:r>
      <w:r>
        <w:rPr/>
        <w:pict>
          <v:rect style="position:absolute;margin-left:338.040009pt;margin-top:7.892357pt;width:4.440pt;height:4.560pt;mso-position-horizontal-relative:page;mso-position-vertical-relative:paragraph;z-index:-281424896" filled="true" fillcolor="#ff0000" stroked="false">
            <v:fill type="solid"/>
            <w10:wrap type="none"/>
          </v:rect>
        </w:pict>
      </w:r>
      <w:r>
        <w:rPr/>
        <w:pict>
          <v:shape style="position:absolute;margin-left:453.839996pt;margin-top:56.492355pt;width:24.4pt;height:15.15pt;mso-position-horizontal-relative:page;mso-position-vertical-relative:paragraph;z-index:251895808" type="#_x0000_t202" filled="false" stroked="true" strokeweight=".72pt" strokecolor="#ff0000">
            <v:textbox inset="0,0,0,0">
              <w:txbxContent>
                <w:p>
                  <w:pPr>
                    <w:spacing w:before="26"/>
                    <w:ind w:left="54" w:right="0" w:firstLine="0"/>
                    <w:jc w:val="left"/>
                    <w:rPr>
                      <w:sz w:val="21"/>
                    </w:rPr>
                  </w:pPr>
                  <w:r>
                    <w:rPr>
                      <w:color w:val="FF0000"/>
                      <w:sz w:val="21"/>
                    </w:rPr>
                    <w:t>13.1</w:t>
                  </w:r>
                </w:p>
              </w:txbxContent>
            </v:textbox>
            <v:stroke dashstyle="solid"/>
            <w10:wrap type="none"/>
          </v:shape>
        </w:pict>
      </w:r>
      <w:r>
        <w:rPr>
          <w:color w:val="585858"/>
          <w:sz w:val="18"/>
        </w:rPr>
        <w:t>Federación</w:t>
      </w:r>
      <w:r>
        <w:rPr>
          <w:color w:val="585858"/>
          <w:spacing w:val="-2"/>
          <w:sz w:val="18"/>
        </w:rPr>
        <w:t> </w:t>
      </w:r>
      <w:r>
        <w:rPr>
          <w:color w:val="585858"/>
          <w:sz w:val="18"/>
        </w:rPr>
        <w:t>Rusa</w:t>
        <w:tab/>
        <w:t>Ucrania</w:t>
      </w:r>
    </w:p>
    <w:p>
      <w:pPr>
        <w:pStyle w:val="BodyText"/>
        <w:spacing w:before="9"/>
        <w:rPr>
          <w:sz w:val="9"/>
        </w:rPr>
      </w:pPr>
      <w:r>
        <w:rPr/>
        <w:pict>
          <v:shape style="position:absolute;margin-left:387.959991pt;margin-top:8.013706pt;width:22.35pt;height:17.4pt;mso-position-horizontal-relative:page;mso-position-vertical-relative:paragraph;z-index:-251456512;mso-wrap-distance-left:0;mso-wrap-distance-right:0" type="#_x0000_t202" filled="false" stroked="true" strokeweight=".72pt" strokecolor="#ff0000">
            <v:textbox inset="0,0,0,0">
              <w:txbxContent>
                <w:p>
                  <w:pPr>
                    <w:spacing w:before="48"/>
                    <w:ind w:left="84" w:right="0" w:firstLine="0"/>
                    <w:jc w:val="left"/>
                    <w:rPr>
                      <w:sz w:val="21"/>
                    </w:rPr>
                  </w:pPr>
                  <w:r>
                    <w:rPr>
                      <w:color w:val="FF0000"/>
                      <w:sz w:val="21"/>
                    </w:rPr>
                    <w:t>8.3</w:t>
                  </w:r>
                </w:p>
              </w:txbxContent>
            </v:textbox>
            <v:stroke dashstyle="solid"/>
            <w10:wrap type="topAndBottom"/>
          </v:shape>
        </w:pict>
      </w:r>
      <w:r>
        <w:rPr/>
        <w:pict>
          <v:group style="position:absolute;margin-left:113.760002pt;margin-top:34.533707pt;width:25.1pt;height:41.15pt;mso-position-horizontal-relative:page;mso-position-vertical-relative:paragraph;z-index:-251454464;mso-wrap-distance-left:0;mso-wrap-distance-right:0" coordorigin="2275,691" coordsize="502,823">
            <v:rect style="position:absolute;left:2337;top:690;width:377;height:538" filled="true" fillcolor="#2d75b6" stroked="false">
              <v:fill type="solid"/>
            </v:rect>
            <v:shape style="position:absolute;left:2282;top:1228;width:488;height:278" type="#_x0000_t202" filled="false" stroked="true" strokeweight=".72pt" strokecolor="#41709c">
              <v:textbox inset="0,0,0,0">
                <w:txbxContent>
                  <w:p>
                    <w:pPr>
                      <w:spacing w:line="239" w:lineRule="exact" w:before="24"/>
                      <w:ind w:left="52" w:right="0" w:firstLine="0"/>
                      <w:jc w:val="left"/>
                      <w:rPr>
                        <w:b/>
                        <w:sz w:val="21"/>
                      </w:rPr>
                    </w:pPr>
                    <w:r>
                      <w:rPr>
                        <w:b/>
                        <w:color w:val="006FC0"/>
                        <w:sz w:val="21"/>
                      </w:rPr>
                      <w:t>25.3</w:t>
                    </w:r>
                  </w:p>
                </w:txbxContent>
              </v:textbox>
              <v:stroke dashstyle="solid"/>
              <w10:wrap type="none"/>
            </v:shape>
            <w10:wrap type="topAndBottom"/>
          </v:group>
        </w:pict>
      </w:r>
      <w:r>
        <w:rPr/>
        <w:pict>
          <v:shape style="position:absolute;margin-left:419.880005pt;margin-top:20.613707pt;width:24.4pt;height:15.15pt;mso-position-horizontal-relative:page;mso-position-vertical-relative:paragraph;z-index:-251453440;mso-wrap-distance-left:0;mso-wrap-distance-right:0" type="#_x0000_t202" filled="false" stroked="true" strokeweight=".72pt" strokecolor="#ff0000">
            <v:textbox inset="0,0,0,0">
              <w:txbxContent>
                <w:p>
                  <w:pPr>
                    <w:spacing w:before="25"/>
                    <w:ind w:left="53" w:right="0" w:firstLine="0"/>
                    <w:jc w:val="left"/>
                    <w:rPr>
                      <w:sz w:val="21"/>
                    </w:rPr>
                  </w:pPr>
                  <w:r>
                    <w:rPr>
                      <w:color w:val="FF0000"/>
                      <w:sz w:val="21"/>
                    </w:rPr>
                    <w:t>11.8</w:t>
                  </w:r>
                </w:p>
              </w:txbxContent>
            </v:textbox>
            <v:stroke dashstyl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spacing w:before="1"/>
        <w:ind w:left="670" w:right="0" w:firstLine="0"/>
        <w:jc w:val="left"/>
        <w:rPr>
          <w:sz w:val="16"/>
        </w:rPr>
      </w:pPr>
      <w:r>
        <w:rPr/>
        <w:pict>
          <v:group style="position:absolute;margin-left:108.959999pt;margin-top:-147.831253pt;width:356.9pt;height:124.1pt;mso-position-horizontal-relative:page;mso-position-vertical-relative:paragraph;z-index:-281449472" coordorigin="2179,-2957" coordsize="7138,2482">
            <v:shape style="position:absolute;left:2337;top:-2679;width:4455;height:656" coordorigin="2338,-2678" coordsize="4455,656" path="m2714,-2563l2338,-2563,2338,-2023,2714,-2023,2714,-2563m3394,-2359l3017,-2359,3017,-2023,3394,-2023,3394,-2359m4073,-2184l3696,-2184,3696,-2023,4073,-2023,4073,-2184m4754,-2678l4375,-2678,4375,-2023,4754,-2023,4754,-2678m5434,-2616l5054,-2616,5054,-2023,5434,-2023,5434,-2616m6113,-2265l5734,-2265,5734,-2023,6113,-2023,6113,-2265m6792,-2249l6415,-2249,6415,-2023,6792,-2023,6792,-2249e" filled="true" fillcolor="#2d75b6" stroked="false">
              <v:path arrowok="t"/>
              <v:fill type="solid"/>
            </v:shape>
            <v:line style="position:absolute" from="2186,-2023" to="7092,-2023" stroked="true" strokeweight=".72pt" strokecolor="#d9d9d9">
              <v:stroke dashstyle="solid"/>
            </v:line>
            <v:shape style="position:absolute;left:0;top:3888;width:3399;height:1260" coordorigin="0,3888" coordsize="3399,1260" path="m2186,-2023l2186,-763m5585,-2023l5585,-763e" filled="false" stroked="true" strokeweight=".72pt" strokecolor="#d9d9d9">
              <v:path arrowok="t"/>
              <v:stroke dashstyle="solid"/>
            </v:shape>
            <v:shape style="position:absolute;left:0;top:3888;width:3399;height:288" coordorigin="0,3888" coordsize="3399,288" path="m2186,-763l2186,-475m5585,-763l5585,-475e" filled="false" stroked="true" strokeweight=".72pt" strokecolor="#d9d9d9">
              <v:path arrowok="t"/>
              <v:stroke dashstyle="solid"/>
            </v:shape>
            <v:shape style="position:absolute;left:7773;top:-2400;width:1056;height:377" coordorigin="7774,-2400" coordsize="1056,377" path="m8150,-2400l7774,-2400,7774,-2023,8150,-2023,8150,-2400m8830,-2225l8453,-2225,8453,-2023,8830,-2023,8830,-2225e" filled="true" fillcolor="#2d75b6" stroked="false">
              <v:path arrowok="t"/>
              <v:fill type="solid"/>
            </v:shape>
            <v:line style="position:absolute" from="7474,-2023" to="9130,-2023" stroked="true" strokeweight=".72pt" strokecolor="#d9d9d9">
              <v:stroke dashstyle="solid"/>
            </v:line>
            <v:line style="position:absolute" from="7622,-2023" to="7622,-763" stroked="true" strokeweight=".72pt" strokecolor="#d9d9d9">
              <v:stroke dashstyle="solid"/>
            </v:line>
            <v:line style="position:absolute" from="7622,-763" to="7622,-475" stroked="true" strokeweight=".72pt" strokecolor="#d9d9d9">
              <v:stroke dashstyle="solid"/>
            </v:line>
            <v:rect style="position:absolute;left:7092;top:-2211;width:382;height:303" filled="false" stroked="true" strokeweight=".72pt" strokecolor="#41709c">
              <v:stroke dashstyle="solid"/>
            </v:rect>
            <v:rect style="position:absolute;left:7044;top:-2607;width:384;height:303" filled="false" stroked="true" strokeweight=".72pt" strokecolor="#ff0000">
              <v:stroke dashstyle="solid"/>
            </v:rect>
            <v:shape style="position:absolute;left:7106;top:-2567;width:330;height:631" type="#_x0000_t202" filled="false" stroked="false">
              <v:textbox inset="0,0,0,0">
                <w:txbxContent>
                  <w:p>
                    <w:pPr>
                      <w:spacing w:line="234" w:lineRule="exact" w:before="0"/>
                      <w:ind w:left="0" w:right="0" w:firstLine="0"/>
                      <w:jc w:val="left"/>
                      <w:rPr>
                        <w:sz w:val="21"/>
                      </w:rPr>
                    </w:pPr>
                    <w:r>
                      <w:rPr>
                        <w:color w:val="FF0000"/>
                        <w:sz w:val="21"/>
                      </w:rPr>
                      <w:t>0.1</w:t>
                    </w:r>
                  </w:p>
                  <w:p>
                    <w:pPr>
                      <w:spacing w:before="155"/>
                      <w:ind w:left="46" w:right="0" w:firstLine="0"/>
                      <w:jc w:val="left"/>
                      <w:rPr>
                        <w:b/>
                        <w:sz w:val="21"/>
                      </w:rPr>
                    </w:pPr>
                    <w:r>
                      <w:rPr>
                        <w:b/>
                        <w:color w:val="006FC0"/>
                        <w:sz w:val="21"/>
                      </w:rPr>
                      <w:t>1.3</w:t>
                    </w:r>
                  </w:p>
                </w:txbxContent>
              </v:textbox>
              <w10:wrap type="none"/>
            </v:shape>
            <v:shape style="position:absolute;left:3637;top:-669;width:519;height:179" type="#_x0000_t202" filled="false" stroked="false">
              <v:textbox inset="0,0,0,0">
                <w:txbxContent>
                  <w:p>
                    <w:pPr>
                      <w:spacing w:line="178" w:lineRule="exact" w:before="0"/>
                      <w:ind w:left="0" w:right="0" w:firstLine="0"/>
                      <w:jc w:val="left"/>
                      <w:rPr>
                        <w:sz w:val="16"/>
                      </w:rPr>
                    </w:pPr>
                    <w:r>
                      <w:rPr>
                        <w:color w:val="585858"/>
                        <w:sz w:val="16"/>
                      </w:rPr>
                      <w:t>Energia</w:t>
                    </w:r>
                  </w:p>
                </w:txbxContent>
              </v:textbox>
              <w10:wrap type="none"/>
            </v:shape>
            <v:shape style="position:absolute;left:5959;top:-669;width:1309;height:179" type="#_x0000_t202" filled="false" stroked="false">
              <v:textbox inset="0,0,0,0">
                <w:txbxContent>
                  <w:p>
                    <w:pPr>
                      <w:spacing w:line="178" w:lineRule="exact" w:before="0"/>
                      <w:ind w:left="0" w:right="0" w:firstLine="0"/>
                      <w:jc w:val="left"/>
                      <w:rPr>
                        <w:sz w:val="16"/>
                      </w:rPr>
                    </w:pPr>
                    <w:r>
                      <w:rPr>
                        <w:color w:val="585858"/>
                        <w:sz w:val="16"/>
                      </w:rPr>
                      <w:t>Minerales y metales</w:t>
                    </w:r>
                  </w:p>
                </w:txbxContent>
              </v:textbox>
              <w10:wrap type="none"/>
            </v:shape>
            <v:shape style="position:absolute;left:8629;top:-669;width:688;height:179" type="#_x0000_t202" filled="false" stroked="false">
              <v:textbox inset="0,0,0,0">
                <w:txbxContent>
                  <w:p>
                    <w:pPr>
                      <w:spacing w:line="178" w:lineRule="exact" w:before="0"/>
                      <w:ind w:left="0" w:right="0" w:firstLine="0"/>
                      <w:jc w:val="left"/>
                      <w:rPr>
                        <w:sz w:val="16"/>
                      </w:rPr>
                    </w:pPr>
                    <w:r>
                      <w:rPr>
                        <w:color w:val="585858"/>
                        <w:sz w:val="16"/>
                      </w:rPr>
                      <w:t>Alimentos</w:t>
                    </w:r>
                  </w:p>
                </w:txbxContent>
              </v:textbox>
              <w10:wrap type="none"/>
            </v:shape>
            <v:shape style="position:absolute;left:3640;top:-2484;width:488;height:264" type="#_x0000_t202" filled="false" stroked="true" strokeweight=".72pt" strokecolor="#41709c">
              <v:textbox inset="0,0,0,0">
                <w:txbxContent>
                  <w:p>
                    <w:pPr>
                      <w:spacing w:line="225" w:lineRule="exact" w:before="23"/>
                      <w:ind w:left="53" w:right="0" w:firstLine="0"/>
                      <w:jc w:val="left"/>
                      <w:rPr>
                        <w:b/>
                        <w:sz w:val="21"/>
                      </w:rPr>
                    </w:pPr>
                    <w:r>
                      <w:rPr>
                        <w:b/>
                        <w:color w:val="006FC0"/>
                        <w:sz w:val="21"/>
                      </w:rPr>
                      <w:t>11.4</w:t>
                    </w:r>
                  </w:p>
                </w:txbxContent>
              </v:textbox>
              <v:stroke dashstyle="solid"/>
              <w10:wrap type="none"/>
            </v:shape>
            <v:shape style="position:absolute;left:4320;top:-2950;width:488;height:281" type="#_x0000_t202" filled="false" stroked="true" strokeweight=".72pt" strokecolor="#41709c">
              <v:textbox inset="0,0,0,0">
                <w:txbxContent>
                  <w:p>
                    <w:pPr>
                      <w:spacing w:line="235" w:lineRule="exact" w:before="0"/>
                      <w:ind w:left="53" w:right="0" w:firstLine="0"/>
                      <w:jc w:val="left"/>
                      <w:rPr>
                        <w:b/>
                        <w:sz w:val="21"/>
                      </w:rPr>
                    </w:pPr>
                    <w:r>
                      <w:rPr>
                        <w:b/>
                        <w:color w:val="006FC0"/>
                        <w:sz w:val="21"/>
                      </w:rPr>
                      <w:t>29.6</w:t>
                    </w:r>
                  </w:p>
                </w:txbxContent>
              </v:textbox>
              <v:stroke dashstyle="solid"/>
              <w10:wrap type="none"/>
            </v:shape>
            <w10:wrap type="none"/>
          </v:group>
        </w:pict>
      </w:r>
      <w:r>
        <w:rPr/>
        <w:pict>
          <v:group style="position:absolute;margin-left:456.119995pt;margin-top:-133.911255pt;width:61.2pt;height:110.2pt;mso-position-horizontal-relative:page;mso-position-vertical-relative:paragraph;z-index:251890688" coordorigin="9122,-2678" coordsize="1224,2204">
            <v:rect style="position:absolute;left:9811;top:-2679;width:377;height:360" filled="true" fillcolor="#ff0000" stroked="false">
              <v:fill type="solid"/>
            </v:rect>
            <v:line style="position:absolute" from="9511,-2023" to="10339,-2023" stroked="true" strokeweight=".72pt" strokecolor="#d9d9d9">
              <v:stroke dashstyle="solid"/>
            </v:line>
            <v:line style="position:absolute" from="10339,-2023" to="10339,-763" stroked="true" strokeweight=".72pt" strokecolor="#d9d9d9">
              <v:stroke dashstyle="solid"/>
            </v:line>
            <v:line style="position:absolute" from="10339,-763" to="10339,-475" stroked="true" strokeweight=".72pt" strokecolor="#d9d9d9">
              <v:stroke dashstyle="solid"/>
            </v:line>
            <v:rect style="position:absolute;left:9808;top:-2321;width:384;height:300" filled="false" stroked="true" strokeweight=".72pt" strokecolor="#41709c">
              <v:stroke dashstyle="solid"/>
            </v:rect>
            <v:shape style="position:absolute;left:9870;top:-2282;width:284;height:234" type="#_x0000_t202" filled="false" stroked="false">
              <v:textbox inset="0,0,0,0">
                <w:txbxContent>
                  <w:p>
                    <w:pPr>
                      <w:spacing w:line="234" w:lineRule="exact" w:before="0"/>
                      <w:ind w:left="0" w:right="0" w:firstLine="0"/>
                      <w:jc w:val="left"/>
                      <w:rPr>
                        <w:b/>
                        <w:sz w:val="21"/>
                      </w:rPr>
                    </w:pPr>
                    <w:r>
                      <w:rPr>
                        <w:b/>
                        <w:color w:val="006FC0"/>
                        <w:sz w:val="21"/>
                      </w:rPr>
                      <w:t>5.4</w:t>
                    </w:r>
                  </w:p>
                </w:txbxContent>
              </v:textbox>
              <w10:wrap type="none"/>
            </v:shape>
            <v:shape style="position:absolute;left:9129;top:-2230;width:382;height:296" type="#_x0000_t202" filled="false" stroked="true" strokeweight=".72pt" strokecolor="#41709c">
              <v:textbox inset="0,0,0,0">
                <w:txbxContent>
                  <w:p>
                    <w:pPr>
                      <w:spacing w:before="20"/>
                      <w:ind w:left="54" w:right="0" w:firstLine="0"/>
                      <w:jc w:val="left"/>
                      <w:rPr>
                        <w:b/>
                        <w:sz w:val="21"/>
                      </w:rPr>
                    </w:pPr>
                    <w:r>
                      <w:rPr>
                        <w:b/>
                        <w:color w:val="006FC0"/>
                        <w:sz w:val="21"/>
                      </w:rPr>
                      <w:t>2.2</w:t>
                    </w:r>
                  </w:p>
                </w:txbxContent>
              </v:textbox>
              <v:stroke dashstyle="solid"/>
              <w10:wrap type="none"/>
            </v:shape>
            <w10:wrap type="none"/>
          </v:group>
        </w:pict>
      </w:r>
      <w:r>
        <w:rPr/>
        <w:pict>
          <v:shape style="position:absolute;margin-left:120.815453pt;margin-top:-97.610649pt;width:10.95pt;height:40.7pt;mso-position-horizontal-relative:page;mso-position-vertical-relative:paragraph;z-index:251896832" type="#_x0000_t202" filled="false" stroked="false">
            <v:textbox inset="0,0,0,0" style="layout-flow:vertical;mso-layout-flow-alt:bottom-to-top">
              <w:txbxContent>
                <w:p>
                  <w:pPr>
                    <w:spacing w:before="14"/>
                    <w:ind w:left="20" w:right="0" w:firstLine="0"/>
                    <w:jc w:val="left"/>
                    <w:rPr>
                      <w:sz w:val="16"/>
                    </w:rPr>
                  </w:pPr>
                  <w:r>
                    <w:rPr>
                      <w:color w:val="585858"/>
                      <w:sz w:val="16"/>
                    </w:rPr>
                    <w:t>Gas Natural</w:t>
                  </w:r>
                </w:p>
              </w:txbxContent>
            </v:textbox>
            <w10:wrap type="none"/>
          </v:shape>
        </w:pict>
      </w:r>
      <w:r>
        <w:rPr/>
        <w:pict>
          <v:shape style="position:absolute;margin-left:154.795456pt;margin-top:-97.396515pt;width:10.95pt;height:25.6pt;mso-position-horizontal-relative:page;mso-position-vertical-relative:paragraph;z-index:251897856" type="#_x0000_t202" filled="false" stroked="false">
            <v:textbox inset="0,0,0,0" style="layout-flow:vertical;mso-layout-flow-alt:bottom-to-top">
              <w:txbxContent>
                <w:p>
                  <w:pPr>
                    <w:spacing w:before="14"/>
                    <w:ind w:left="20" w:right="0" w:firstLine="0"/>
                    <w:jc w:val="left"/>
                    <w:rPr>
                      <w:sz w:val="16"/>
                    </w:rPr>
                  </w:pPr>
                  <w:r>
                    <w:rPr>
                      <w:color w:val="585858"/>
                      <w:sz w:val="16"/>
                    </w:rPr>
                    <w:t>Carbón</w:t>
                  </w:r>
                </w:p>
              </w:txbxContent>
            </v:textbox>
            <w10:wrap type="none"/>
          </v:shape>
        </w:pict>
      </w:r>
      <w:r>
        <w:rPr/>
        <w:pict>
          <v:shape style="position:absolute;margin-left:188.775452pt;margin-top:-97.31427pt;width:10.95pt;height:48.85pt;mso-position-horizontal-relative:page;mso-position-vertical-relative:paragraph;z-index:251898880" type="#_x0000_t202" filled="false" stroked="false">
            <v:textbox inset="0,0,0,0" style="layout-flow:vertical;mso-layout-flow-alt:bottom-to-top">
              <w:txbxContent>
                <w:p>
                  <w:pPr>
                    <w:spacing w:before="14"/>
                    <w:ind w:left="20" w:right="0" w:firstLine="0"/>
                    <w:jc w:val="left"/>
                    <w:rPr>
                      <w:sz w:val="16"/>
                    </w:rPr>
                  </w:pPr>
                  <w:r>
                    <w:rPr>
                      <w:color w:val="585858"/>
                      <w:sz w:val="16"/>
                    </w:rPr>
                    <w:t>Petróleo crudo</w:t>
                  </w:r>
                </w:p>
              </w:txbxContent>
            </v:textbox>
            <w10:wrap type="none"/>
          </v:shape>
        </w:pict>
      </w:r>
      <w:r>
        <w:rPr/>
        <w:pict>
          <v:shape style="position:absolute;margin-left:222.765442pt;margin-top:-97.331177pt;width:10.95pt;height:55.05pt;mso-position-horizontal-relative:page;mso-position-vertical-relative:paragraph;z-index:251899904" type="#_x0000_t202" filled="false" stroked="false">
            <v:textbox inset="0,0,0,0" style="layout-flow:vertical;mso-layout-flow-alt:bottom-to-top">
              <w:txbxContent>
                <w:p>
                  <w:pPr>
                    <w:spacing w:before="14"/>
                    <w:ind w:left="20" w:right="0" w:firstLine="0"/>
                    <w:jc w:val="left"/>
                    <w:rPr>
                      <w:sz w:val="16"/>
                    </w:rPr>
                  </w:pPr>
                  <w:r>
                    <w:rPr>
                      <w:color w:val="585858"/>
                      <w:sz w:val="16"/>
                    </w:rPr>
                    <w:t>Arrabio (Hierro)</w:t>
                  </w:r>
                </w:p>
              </w:txbxContent>
            </v:textbox>
            <w10:wrap type="none"/>
          </v:shape>
        </w:pict>
      </w:r>
      <w:r>
        <w:rPr/>
        <w:pict>
          <v:shape style="position:absolute;margin-left:256.725464pt;margin-top:-97.418861pt;width:10.95pt;height:26.05pt;mso-position-horizontal-relative:page;mso-position-vertical-relative:paragraph;z-index:251900928" type="#_x0000_t202" filled="false" stroked="false">
            <v:textbox inset="0,0,0,0" style="layout-flow:vertical;mso-layout-flow-alt:bottom-to-top">
              <w:txbxContent>
                <w:p>
                  <w:pPr>
                    <w:spacing w:before="14"/>
                    <w:ind w:left="20" w:right="0" w:firstLine="0"/>
                    <w:jc w:val="left"/>
                    <w:rPr>
                      <w:sz w:val="16"/>
                    </w:rPr>
                  </w:pPr>
                  <w:r>
                    <w:rPr>
                      <w:color w:val="585858"/>
                      <w:sz w:val="16"/>
                    </w:rPr>
                    <w:t>Paladio</w:t>
                  </w:r>
                </w:p>
              </w:txbxContent>
            </v:textbox>
            <w10:wrap type="none"/>
          </v:shape>
        </w:pict>
      </w:r>
      <w:r>
        <w:rPr/>
        <w:pict>
          <v:shape style="position:absolute;margin-left:290.705444pt;margin-top:-95.385406pt;width:10.95pt;height:41.6pt;mso-position-horizontal-relative:page;mso-position-vertical-relative:paragraph;z-index:251901952" type="#_x0000_t202" filled="false" stroked="false">
            <v:textbox inset="0,0,0,0" style="layout-flow:vertical;mso-layout-flow-alt:bottom-to-top">
              <w:txbxContent>
                <w:p>
                  <w:pPr>
                    <w:spacing w:before="14"/>
                    <w:ind w:left="20" w:right="0" w:firstLine="0"/>
                    <w:jc w:val="left"/>
                    <w:rPr>
                      <w:sz w:val="16"/>
                    </w:rPr>
                  </w:pPr>
                  <w:r>
                    <w:rPr>
                      <w:color w:val="585858"/>
                      <w:sz w:val="16"/>
                    </w:rPr>
                    <w:t>Fertilizantes</w:t>
                  </w:r>
                </w:p>
              </w:txbxContent>
            </v:textbox>
            <w10:wrap type="none"/>
          </v:shape>
        </w:pict>
      </w:r>
      <w:r>
        <w:rPr/>
        <w:pict>
          <v:shape style="position:absolute;margin-left:324.695435pt;margin-top:-97.412308pt;width:10.95pt;height:24.75pt;mso-position-horizontal-relative:page;mso-position-vertical-relative:paragraph;z-index:251902976" type="#_x0000_t202" filled="false" stroked="false">
            <v:textbox inset="0,0,0,0" style="layout-flow:vertical;mso-layout-flow-alt:bottom-to-top">
              <w:txbxContent>
                <w:p>
                  <w:pPr>
                    <w:spacing w:before="14"/>
                    <w:ind w:left="20" w:right="0" w:firstLine="0"/>
                    <w:jc w:val="left"/>
                    <w:rPr>
                      <w:sz w:val="16"/>
                    </w:rPr>
                  </w:pPr>
                  <w:r>
                    <w:rPr>
                      <w:color w:val="585858"/>
                      <w:sz w:val="16"/>
                    </w:rPr>
                    <w:t>Platino</w:t>
                  </w:r>
                </w:p>
              </w:txbxContent>
            </v:textbox>
            <w10:wrap type="none"/>
          </v:shape>
        </w:pict>
      </w:r>
      <w:r>
        <w:rPr/>
        <w:pict>
          <v:shape style="position:absolute;margin-left:358.675446pt;margin-top:-97.349716pt;width:10.95pt;height:32.65pt;mso-position-horizontal-relative:page;mso-position-vertical-relative:paragraph;z-index:251904000" type="#_x0000_t202" filled="false" stroked="false">
            <v:textbox inset="0,0,0,0" style="layout-flow:vertical;mso-layout-flow-alt:bottom-to-top">
              <w:txbxContent>
                <w:p>
                  <w:pPr>
                    <w:spacing w:before="14"/>
                    <w:ind w:left="20" w:right="0" w:firstLine="0"/>
                    <w:jc w:val="left"/>
                    <w:rPr>
                      <w:sz w:val="16"/>
                    </w:rPr>
                  </w:pPr>
                  <w:r>
                    <w:rPr>
                      <w:color w:val="585858"/>
                      <w:sz w:val="16"/>
                    </w:rPr>
                    <w:t>Aluminio</w:t>
                  </w:r>
                </w:p>
              </w:txbxContent>
            </v:textbox>
            <w10:wrap type="none"/>
          </v:shape>
        </w:pict>
      </w:r>
      <w:r>
        <w:rPr/>
        <w:pict>
          <v:shape style="position:absolute;margin-left:392.655457pt;margin-top:-97.401176pt;width:10.95pt;height:19.850pt;mso-position-horizontal-relative:page;mso-position-vertical-relative:paragraph;z-index:251905024" type="#_x0000_t202" filled="false" stroked="false">
            <v:textbox inset="0,0,0,0" style="layout-flow:vertical;mso-layout-flow-alt:bottom-to-top">
              <w:txbxContent>
                <w:p>
                  <w:pPr>
                    <w:spacing w:before="14"/>
                    <w:ind w:left="20" w:right="0" w:firstLine="0"/>
                    <w:jc w:val="left"/>
                    <w:rPr>
                      <w:sz w:val="16"/>
                    </w:rPr>
                  </w:pPr>
                  <w:r>
                    <w:rPr>
                      <w:color w:val="585858"/>
                      <w:sz w:val="16"/>
                    </w:rPr>
                    <w:t>Trigo</w:t>
                  </w:r>
                </w:p>
              </w:txbxContent>
            </v:textbox>
            <w10:wrap type="none"/>
          </v:shape>
        </w:pict>
      </w:r>
      <w:r>
        <w:rPr/>
        <w:pict>
          <v:shape style="position:absolute;margin-left:426.645447pt;margin-top:-97.337296pt;width:10.95pt;height:26pt;mso-position-horizontal-relative:page;mso-position-vertical-relative:paragraph;z-index:251906048" type="#_x0000_t202" filled="false" stroked="false">
            <v:textbox inset="0,0,0,0" style="layout-flow:vertical;mso-layout-flow-alt:bottom-to-top">
              <w:txbxContent>
                <w:p>
                  <w:pPr>
                    <w:spacing w:before="14"/>
                    <w:ind w:left="20" w:right="0" w:firstLine="0"/>
                    <w:jc w:val="left"/>
                    <w:rPr>
                      <w:sz w:val="16"/>
                    </w:rPr>
                  </w:pPr>
                  <w:r>
                    <w:rPr>
                      <w:color w:val="585858"/>
                      <w:sz w:val="16"/>
                    </w:rPr>
                    <w:t>Cebada</w:t>
                  </w:r>
                </w:p>
              </w:txbxContent>
            </v:textbox>
            <w10:wrap type="none"/>
          </v:shape>
        </w:pict>
      </w:r>
      <w:r>
        <w:rPr/>
        <w:pict>
          <v:shape style="position:absolute;margin-left:460.625458pt;margin-top:-95.349625pt;width:10.95pt;height:18.45pt;mso-position-horizontal-relative:page;mso-position-vertical-relative:paragraph;z-index:251907072" type="#_x0000_t202" filled="false" stroked="false">
            <v:textbox inset="0,0,0,0" style="layout-flow:vertical;mso-layout-flow-alt:bottom-to-top">
              <w:txbxContent>
                <w:p>
                  <w:pPr>
                    <w:spacing w:before="14"/>
                    <w:ind w:left="20" w:right="0" w:firstLine="0"/>
                    <w:jc w:val="left"/>
                    <w:rPr>
                      <w:sz w:val="16"/>
                    </w:rPr>
                  </w:pPr>
                  <w:r>
                    <w:rPr>
                      <w:color w:val="585858"/>
                      <w:sz w:val="16"/>
                    </w:rPr>
                    <w:t>Maíz</w:t>
                  </w:r>
                </w:p>
              </w:txbxContent>
            </v:textbox>
            <w10:wrap type="none"/>
          </v:shape>
        </w:pict>
      </w:r>
      <w:r>
        <w:rPr/>
        <w:pict>
          <v:shape style="position:absolute;margin-left:494.585449pt;margin-top:-97.34362pt;width:10.95pt;height:59.55pt;mso-position-horizontal-relative:page;mso-position-vertical-relative:paragraph;z-index:251908096" type="#_x0000_t202" filled="false" stroked="false">
            <v:textbox inset="0,0,0,0" style="layout-flow:vertical;mso-layout-flow-alt:bottom-to-top">
              <w:txbxContent>
                <w:p>
                  <w:pPr>
                    <w:spacing w:before="14"/>
                    <w:ind w:left="20" w:right="0" w:firstLine="0"/>
                    <w:jc w:val="left"/>
                    <w:rPr>
                      <w:sz w:val="16"/>
                    </w:rPr>
                  </w:pPr>
                  <w:r>
                    <w:rPr>
                      <w:color w:val="585858"/>
                      <w:sz w:val="16"/>
                    </w:rPr>
                    <w:t>Aceite comestible</w:t>
                  </w:r>
                </w:p>
              </w:txbxContent>
            </v:textbox>
            <w10:wrap type="none"/>
          </v:shape>
        </w:pict>
      </w:r>
      <w:r>
        <w:rPr>
          <w:sz w:val="16"/>
        </w:rPr>
        <w:t>Fuente: Banco Mundial, CMO abril 2022.</w:t>
      </w:r>
    </w:p>
    <w:p>
      <w:pPr>
        <w:pStyle w:val="BodyText"/>
        <w:rPr>
          <w:sz w:val="18"/>
        </w:rPr>
      </w:pPr>
    </w:p>
    <w:p>
      <w:pPr>
        <w:pStyle w:val="BodyText"/>
        <w:spacing w:line="276" w:lineRule="auto" w:before="127"/>
        <w:ind w:left="562" w:right="1697"/>
        <w:jc w:val="both"/>
      </w:pPr>
      <w:r>
        <w:rPr/>
        <w:t>Para</w:t>
      </w:r>
      <w:r>
        <w:rPr>
          <w:spacing w:val="-7"/>
        </w:rPr>
        <w:t> </w:t>
      </w:r>
      <w:r>
        <w:rPr/>
        <w:t>2022</w:t>
      </w:r>
      <w:r>
        <w:rPr>
          <w:spacing w:val="-6"/>
        </w:rPr>
        <w:t> </w:t>
      </w:r>
      <w:r>
        <w:rPr/>
        <w:t>se</w:t>
      </w:r>
      <w:r>
        <w:rPr>
          <w:spacing w:val="-7"/>
        </w:rPr>
        <w:t> </w:t>
      </w:r>
      <w:r>
        <w:rPr/>
        <w:t>proyecta</w:t>
      </w:r>
      <w:r>
        <w:rPr>
          <w:spacing w:val="-6"/>
        </w:rPr>
        <w:t> </w:t>
      </w:r>
      <w:r>
        <w:rPr/>
        <w:t>que</w:t>
      </w:r>
      <w:r>
        <w:rPr>
          <w:spacing w:val="-7"/>
        </w:rPr>
        <w:t> </w:t>
      </w:r>
      <w:r>
        <w:rPr/>
        <w:t>los</w:t>
      </w:r>
      <w:r>
        <w:rPr>
          <w:spacing w:val="-5"/>
        </w:rPr>
        <w:t> </w:t>
      </w:r>
      <w:r>
        <w:rPr/>
        <w:t>precios</w:t>
      </w:r>
      <w:r>
        <w:rPr>
          <w:spacing w:val="-6"/>
        </w:rPr>
        <w:t> </w:t>
      </w:r>
      <w:r>
        <w:rPr/>
        <w:t>del</w:t>
      </w:r>
      <w:r>
        <w:rPr>
          <w:spacing w:val="-5"/>
        </w:rPr>
        <w:t> </w:t>
      </w:r>
      <w:r>
        <w:rPr/>
        <w:t>crudo</w:t>
      </w:r>
      <w:r>
        <w:rPr>
          <w:spacing w:val="-7"/>
        </w:rPr>
        <w:t> </w:t>
      </w:r>
      <w:r>
        <w:rPr/>
        <w:t>Brent</w:t>
      </w:r>
      <w:r>
        <w:rPr>
          <w:spacing w:val="-5"/>
        </w:rPr>
        <w:t> </w:t>
      </w:r>
      <w:r>
        <w:rPr/>
        <w:t>alcancen</w:t>
      </w:r>
      <w:r>
        <w:rPr>
          <w:spacing w:val="-7"/>
        </w:rPr>
        <w:t> </w:t>
      </w:r>
      <w:r>
        <w:rPr/>
        <w:t>un</w:t>
      </w:r>
      <w:r>
        <w:rPr>
          <w:spacing w:val="-6"/>
        </w:rPr>
        <w:t> </w:t>
      </w:r>
      <w:r>
        <w:rPr/>
        <w:t>promedio</w:t>
      </w:r>
      <w:r>
        <w:rPr>
          <w:spacing w:val="-7"/>
        </w:rPr>
        <w:t> </w:t>
      </w:r>
      <w:r>
        <w:rPr/>
        <w:t>de</w:t>
      </w:r>
      <w:r>
        <w:rPr>
          <w:spacing w:val="-6"/>
        </w:rPr>
        <w:t> </w:t>
      </w:r>
      <w:r>
        <w:rPr/>
        <w:t>$100/bbl</w:t>
      </w:r>
      <w:r>
        <w:rPr>
          <w:spacing w:val="-6"/>
        </w:rPr>
        <w:t> </w:t>
      </w:r>
      <w:r>
        <w:rPr/>
        <w:t>en</w:t>
      </w:r>
      <w:r>
        <w:rPr>
          <w:spacing w:val="-8"/>
        </w:rPr>
        <w:t> </w:t>
      </w:r>
      <w:r>
        <w:rPr/>
        <w:t>2022,</w:t>
      </w:r>
      <w:r>
        <w:rPr>
          <w:spacing w:val="-7"/>
        </w:rPr>
        <w:t> </w:t>
      </w:r>
      <w:r>
        <w:rPr/>
        <w:t>un aumento</w:t>
      </w:r>
      <w:r>
        <w:rPr>
          <w:spacing w:val="-9"/>
        </w:rPr>
        <w:t> </w:t>
      </w:r>
      <w:r>
        <w:rPr/>
        <w:t>del</w:t>
      </w:r>
      <w:r>
        <w:rPr>
          <w:spacing w:val="-7"/>
        </w:rPr>
        <w:t> </w:t>
      </w:r>
      <w:r>
        <w:rPr/>
        <w:t>42%</w:t>
      </w:r>
      <w:r>
        <w:rPr>
          <w:spacing w:val="-7"/>
        </w:rPr>
        <w:t> </w:t>
      </w:r>
      <w:r>
        <w:rPr/>
        <w:t>en</w:t>
      </w:r>
      <w:r>
        <w:rPr>
          <w:spacing w:val="-8"/>
        </w:rPr>
        <w:t> </w:t>
      </w:r>
      <w:r>
        <w:rPr/>
        <w:t>comparación</w:t>
      </w:r>
      <w:r>
        <w:rPr>
          <w:spacing w:val="-8"/>
        </w:rPr>
        <w:t> </w:t>
      </w:r>
      <w:r>
        <w:rPr/>
        <w:t>con</w:t>
      </w:r>
      <w:r>
        <w:rPr>
          <w:spacing w:val="-8"/>
        </w:rPr>
        <w:t> </w:t>
      </w:r>
      <w:r>
        <w:rPr/>
        <w:t>2021.</w:t>
      </w:r>
      <w:r>
        <w:rPr>
          <w:spacing w:val="-8"/>
        </w:rPr>
        <w:t> </w:t>
      </w:r>
      <w:r>
        <w:rPr/>
        <w:t>Mientras</w:t>
      </w:r>
      <w:r>
        <w:rPr>
          <w:spacing w:val="-8"/>
        </w:rPr>
        <w:t> </w:t>
      </w:r>
      <w:r>
        <w:rPr/>
        <w:t>que</w:t>
      </w:r>
      <w:r>
        <w:rPr>
          <w:spacing w:val="-8"/>
        </w:rPr>
        <w:t> </w:t>
      </w:r>
      <w:r>
        <w:rPr/>
        <w:t>los</w:t>
      </w:r>
      <w:r>
        <w:rPr>
          <w:spacing w:val="-7"/>
        </w:rPr>
        <w:t> </w:t>
      </w:r>
      <w:r>
        <w:rPr/>
        <w:t>precios</w:t>
      </w:r>
      <w:r>
        <w:rPr>
          <w:spacing w:val="-8"/>
        </w:rPr>
        <w:t> </w:t>
      </w:r>
      <w:r>
        <w:rPr/>
        <w:t>del</w:t>
      </w:r>
      <w:r>
        <w:rPr>
          <w:spacing w:val="-7"/>
        </w:rPr>
        <w:t> </w:t>
      </w:r>
      <w:r>
        <w:rPr/>
        <w:t>gas</w:t>
      </w:r>
      <w:r>
        <w:rPr>
          <w:spacing w:val="-8"/>
        </w:rPr>
        <w:t> </w:t>
      </w:r>
      <w:r>
        <w:rPr/>
        <w:t>natural</w:t>
      </w:r>
      <w:r>
        <w:rPr>
          <w:spacing w:val="-7"/>
        </w:rPr>
        <w:t> </w:t>
      </w:r>
      <w:r>
        <w:rPr/>
        <w:t>y</w:t>
      </w:r>
      <w:r>
        <w:rPr>
          <w:spacing w:val="-11"/>
        </w:rPr>
        <w:t> </w:t>
      </w:r>
      <w:r>
        <w:rPr/>
        <w:t>el</w:t>
      </w:r>
      <w:r>
        <w:rPr>
          <w:spacing w:val="-6"/>
        </w:rPr>
        <w:t> </w:t>
      </w:r>
      <w:r>
        <w:rPr/>
        <w:t>carbón</w:t>
      </w:r>
      <w:r>
        <w:rPr>
          <w:spacing w:val="-9"/>
        </w:rPr>
        <w:t> </w:t>
      </w:r>
      <w:r>
        <w:rPr/>
        <w:t>sean significativamente más altos en 2022, y se prevé que los precios del gas natural en Europa sean </w:t>
      </w:r>
      <w:r>
        <w:rPr>
          <w:spacing w:val="-2"/>
        </w:rPr>
        <w:t>más </w:t>
      </w:r>
      <w:r>
        <w:rPr/>
        <w:t>del doble de los niveles de 2021. En el caso de los precios agrícolas, se espera que incrementen 18% para el presente año, lo que refleja las interrupciones del suministro relacionadas con la guerra en Ucrania</w:t>
      </w:r>
      <w:r>
        <w:rPr>
          <w:spacing w:val="43"/>
        </w:rPr>
        <w:t> </w:t>
      </w:r>
      <w:r>
        <w:rPr/>
        <w:t>y</w:t>
      </w:r>
      <w:r>
        <w:rPr>
          <w:spacing w:val="42"/>
        </w:rPr>
        <w:t> </w:t>
      </w:r>
      <w:r>
        <w:rPr/>
        <w:t>Rusia</w:t>
      </w:r>
      <w:r>
        <w:rPr>
          <w:spacing w:val="41"/>
        </w:rPr>
        <w:t> </w:t>
      </w:r>
      <w:r>
        <w:rPr/>
        <w:t>y</w:t>
      </w:r>
      <w:r>
        <w:rPr>
          <w:spacing w:val="42"/>
        </w:rPr>
        <w:t> </w:t>
      </w:r>
      <w:r>
        <w:rPr/>
        <w:t>los</w:t>
      </w:r>
      <w:r>
        <w:rPr>
          <w:spacing w:val="42"/>
        </w:rPr>
        <w:t> </w:t>
      </w:r>
      <w:r>
        <w:rPr/>
        <w:t>mayores</w:t>
      </w:r>
      <w:r>
        <w:rPr>
          <w:spacing w:val="44"/>
        </w:rPr>
        <w:t> </w:t>
      </w:r>
      <w:r>
        <w:rPr/>
        <w:t>costos</w:t>
      </w:r>
      <w:r>
        <w:rPr>
          <w:spacing w:val="45"/>
        </w:rPr>
        <w:t> </w:t>
      </w:r>
      <w:r>
        <w:rPr/>
        <w:t>de</w:t>
      </w:r>
      <w:r>
        <w:rPr>
          <w:spacing w:val="41"/>
        </w:rPr>
        <w:t> </w:t>
      </w:r>
      <w:r>
        <w:rPr/>
        <w:t>los</w:t>
      </w:r>
      <w:r>
        <w:rPr>
          <w:spacing w:val="42"/>
        </w:rPr>
        <w:t> </w:t>
      </w:r>
      <w:r>
        <w:rPr/>
        <w:t>insumos,</w:t>
      </w:r>
      <w:r>
        <w:rPr>
          <w:spacing w:val="42"/>
        </w:rPr>
        <w:t> </w:t>
      </w:r>
      <w:r>
        <w:rPr/>
        <w:t>incluidos</w:t>
      </w:r>
      <w:r>
        <w:rPr>
          <w:spacing w:val="41"/>
        </w:rPr>
        <w:t> </w:t>
      </w:r>
      <w:r>
        <w:rPr/>
        <w:t>el</w:t>
      </w:r>
      <w:r>
        <w:rPr>
          <w:spacing w:val="43"/>
        </w:rPr>
        <w:t> </w:t>
      </w:r>
      <w:r>
        <w:rPr/>
        <w:t>combustible,</w:t>
      </w:r>
      <w:r>
        <w:rPr>
          <w:spacing w:val="42"/>
        </w:rPr>
        <w:t> </w:t>
      </w:r>
      <w:r>
        <w:rPr/>
        <w:t>los</w:t>
      </w:r>
      <w:r>
        <w:rPr>
          <w:spacing w:val="41"/>
        </w:rPr>
        <w:t> </w:t>
      </w:r>
      <w:r>
        <w:rPr/>
        <w:t>productos</w:t>
      </w:r>
    </w:p>
    <w:p>
      <w:pPr>
        <w:spacing w:after="0" w:line="276" w:lineRule="auto"/>
        <w:jc w:val="both"/>
        <w:sectPr>
          <w:pgSz w:w="12240" w:h="15840"/>
          <w:pgMar w:header="715" w:footer="957" w:top="1240" w:bottom="1140" w:left="1140" w:right="0"/>
        </w:sectPr>
      </w:pPr>
    </w:p>
    <w:p>
      <w:pPr>
        <w:pStyle w:val="BodyText"/>
        <w:spacing w:line="276" w:lineRule="auto" w:before="162"/>
        <w:ind w:left="562" w:right="1696"/>
        <w:jc w:val="both"/>
      </w:pPr>
      <w:r>
        <w:rPr/>
        <w:t>químicos</w:t>
      </w:r>
      <w:r>
        <w:rPr>
          <w:spacing w:val="-11"/>
        </w:rPr>
        <w:t> </w:t>
      </w:r>
      <w:r>
        <w:rPr/>
        <w:t>y</w:t>
      </w:r>
      <w:r>
        <w:rPr>
          <w:spacing w:val="-13"/>
        </w:rPr>
        <w:t> </w:t>
      </w:r>
      <w:r>
        <w:rPr/>
        <w:t>los</w:t>
      </w:r>
      <w:r>
        <w:rPr>
          <w:spacing w:val="-11"/>
        </w:rPr>
        <w:t> </w:t>
      </w:r>
      <w:r>
        <w:rPr/>
        <w:t>fertilizantes.</w:t>
      </w:r>
      <w:r>
        <w:rPr>
          <w:spacing w:val="-13"/>
        </w:rPr>
        <w:t> </w:t>
      </w:r>
      <w:r>
        <w:rPr/>
        <w:t>La</w:t>
      </w:r>
      <w:r>
        <w:rPr>
          <w:spacing w:val="-12"/>
        </w:rPr>
        <w:t> </w:t>
      </w:r>
      <w:r>
        <w:rPr/>
        <w:t>guerra</w:t>
      </w:r>
      <w:r>
        <w:rPr>
          <w:spacing w:val="-10"/>
        </w:rPr>
        <w:t> </w:t>
      </w:r>
      <w:r>
        <w:rPr/>
        <w:t>ya</w:t>
      </w:r>
      <w:r>
        <w:rPr>
          <w:spacing w:val="-10"/>
        </w:rPr>
        <w:t> </w:t>
      </w:r>
      <w:r>
        <w:rPr/>
        <w:t>ha</w:t>
      </w:r>
      <w:r>
        <w:rPr>
          <w:spacing w:val="-12"/>
        </w:rPr>
        <w:t> </w:t>
      </w:r>
      <w:r>
        <w:rPr/>
        <w:t>interrumpido</w:t>
      </w:r>
      <w:r>
        <w:rPr>
          <w:spacing w:val="-11"/>
        </w:rPr>
        <w:t> </w:t>
      </w:r>
      <w:r>
        <w:rPr/>
        <w:t>las</w:t>
      </w:r>
      <w:r>
        <w:rPr>
          <w:spacing w:val="-11"/>
        </w:rPr>
        <w:t> </w:t>
      </w:r>
      <w:r>
        <w:rPr/>
        <w:t>exportaciones</w:t>
      </w:r>
      <w:r>
        <w:rPr>
          <w:spacing w:val="-10"/>
        </w:rPr>
        <w:t> </w:t>
      </w:r>
      <w:r>
        <w:rPr/>
        <w:t>de</w:t>
      </w:r>
      <w:r>
        <w:rPr>
          <w:spacing w:val="-12"/>
        </w:rPr>
        <w:t> </w:t>
      </w:r>
      <w:r>
        <w:rPr/>
        <w:t>Ucrania</w:t>
      </w:r>
      <w:r>
        <w:rPr>
          <w:spacing w:val="-10"/>
        </w:rPr>
        <w:t> </w:t>
      </w:r>
      <w:r>
        <w:rPr/>
        <w:t>e</w:t>
      </w:r>
      <w:r>
        <w:rPr>
          <w:spacing w:val="-10"/>
        </w:rPr>
        <w:t> </w:t>
      </w:r>
      <w:r>
        <w:rPr/>
        <w:t>interrumpirá gravemente</w:t>
      </w:r>
      <w:r>
        <w:rPr>
          <w:spacing w:val="-14"/>
        </w:rPr>
        <w:t> </w:t>
      </w:r>
      <w:r>
        <w:rPr/>
        <w:t>la</w:t>
      </w:r>
      <w:r>
        <w:rPr>
          <w:spacing w:val="-15"/>
        </w:rPr>
        <w:t> </w:t>
      </w:r>
      <w:r>
        <w:rPr/>
        <w:t>producción</w:t>
      </w:r>
      <w:r>
        <w:rPr>
          <w:spacing w:val="-17"/>
        </w:rPr>
        <w:t> </w:t>
      </w:r>
      <w:r>
        <w:rPr/>
        <w:t>agrícola</w:t>
      </w:r>
      <w:r>
        <w:rPr>
          <w:spacing w:val="-15"/>
        </w:rPr>
        <w:t> </w:t>
      </w:r>
      <w:r>
        <w:rPr/>
        <w:t>en</w:t>
      </w:r>
      <w:r>
        <w:rPr>
          <w:spacing w:val="-16"/>
        </w:rPr>
        <w:t> </w:t>
      </w:r>
      <w:r>
        <w:rPr/>
        <w:t>2022,</w:t>
      </w:r>
      <w:r>
        <w:rPr>
          <w:spacing w:val="-16"/>
        </w:rPr>
        <w:t> </w:t>
      </w:r>
      <w:r>
        <w:rPr/>
        <w:t>incluida</w:t>
      </w:r>
      <w:r>
        <w:rPr>
          <w:spacing w:val="-16"/>
        </w:rPr>
        <w:t> </w:t>
      </w:r>
      <w:r>
        <w:rPr/>
        <w:t>la</w:t>
      </w:r>
      <w:r>
        <w:rPr>
          <w:spacing w:val="-18"/>
        </w:rPr>
        <w:t> </w:t>
      </w:r>
      <w:r>
        <w:rPr/>
        <w:t>producción</w:t>
      </w:r>
      <w:r>
        <w:rPr>
          <w:spacing w:val="-13"/>
        </w:rPr>
        <w:t> </w:t>
      </w:r>
      <w:r>
        <w:rPr/>
        <w:t>de</w:t>
      </w:r>
      <w:r>
        <w:rPr>
          <w:spacing w:val="-14"/>
        </w:rPr>
        <w:t> </w:t>
      </w:r>
      <w:r>
        <w:rPr/>
        <w:t>maíz,</w:t>
      </w:r>
      <w:r>
        <w:rPr>
          <w:spacing w:val="-13"/>
        </w:rPr>
        <w:t> </w:t>
      </w:r>
      <w:r>
        <w:rPr/>
        <w:t>cebada</w:t>
      </w:r>
      <w:r>
        <w:rPr>
          <w:spacing w:val="-16"/>
        </w:rPr>
        <w:t> </w:t>
      </w:r>
      <w:r>
        <w:rPr/>
        <w:t>y</w:t>
      </w:r>
      <w:r>
        <w:rPr>
          <w:spacing w:val="-16"/>
        </w:rPr>
        <w:t> </w:t>
      </w:r>
      <w:r>
        <w:rPr/>
        <w:t>aceite</w:t>
      </w:r>
      <w:r>
        <w:rPr>
          <w:spacing w:val="-14"/>
        </w:rPr>
        <w:t> </w:t>
      </w:r>
      <w:r>
        <w:rPr/>
        <w:t>de</w:t>
      </w:r>
      <w:r>
        <w:rPr>
          <w:spacing w:val="-13"/>
        </w:rPr>
        <w:t> </w:t>
      </w:r>
      <w:r>
        <w:rPr/>
        <w:t>semilla de</w:t>
      </w:r>
      <w:r>
        <w:rPr>
          <w:spacing w:val="-7"/>
        </w:rPr>
        <w:t> </w:t>
      </w:r>
      <w:r>
        <w:rPr/>
        <w:t>girasol,</w:t>
      </w:r>
      <w:r>
        <w:rPr>
          <w:spacing w:val="-9"/>
        </w:rPr>
        <w:t> </w:t>
      </w:r>
      <w:r>
        <w:rPr/>
        <w:t>que</w:t>
      </w:r>
      <w:r>
        <w:rPr>
          <w:spacing w:val="-6"/>
        </w:rPr>
        <w:t> </w:t>
      </w:r>
      <w:r>
        <w:rPr/>
        <w:t>normalmente</w:t>
      </w:r>
      <w:r>
        <w:rPr>
          <w:spacing w:val="-6"/>
        </w:rPr>
        <w:t> </w:t>
      </w:r>
      <w:r>
        <w:rPr/>
        <w:t>se</w:t>
      </w:r>
      <w:r>
        <w:rPr>
          <w:spacing w:val="-7"/>
        </w:rPr>
        <w:t> </w:t>
      </w:r>
      <w:r>
        <w:rPr/>
        <w:t>plantan</w:t>
      </w:r>
      <w:r>
        <w:rPr>
          <w:spacing w:val="-6"/>
        </w:rPr>
        <w:t> </w:t>
      </w:r>
      <w:r>
        <w:rPr/>
        <w:t>en</w:t>
      </w:r>
      <w:r>
        <w:rPr>
          <w:spacing w:val="-8"/>
        </w:rPr>
        <w:t> </w:t>
      </w:r>
      <w:r>
        <w:rPr/>
        <w:t>primavera.</w:t>
      </w:r>
      <w:r>
        <w:rPr>
          <w:spacing w:val="-6"/>
        </w:rPr>
        <w:t> </w:t>
      </w:r>
      <w:r>
        <w:rPr/>
        <w:t>Además,</w:t>
      </w:r>
      <w:r>
        <w:rPr>
          <w:spacing w:val="-7"/>
        </w:rPr>
        <w:t> </w:t>
      </w:r>
      <w:r>
        <w:rPr/>
        <w:t>en</w:t>
      </w:r>
      <w:r>
        <w:rPr>
          <w:spacing w:val="-6"/>
        </w:rPr>
        <w:t> </w:t>
      </w:r>
      <w:r>
        <w:rPr/>
        <w:t>Rusia,</w:t>
      </w:r>
      <w:r>
        <w:rPr>
          <w:spacing w:val="-8"/>
        </w:rPr>
        <w:t> </w:t>
      </w:r>
      <w:r>
        <w:rPr/>
        <w:t>la</w:t>
      </w:r>
      <w:r>
        <w:rPr>
          <w:spacing w:val="-8"/>
        </w:rPr>
        <w:t> </w:t>
      </w:r>
      <w:r>
        <w:rPr/>
        <w:t>falta</w:t>
      </w:r>
      <w:r>
        <w:rPr>
          <w:spacing w:val="-9"/>
        </w:rPr>
        <w:t> </w:t>
      </w:r>
      <w:r>
        <w:rPr/>
        <w:t>de</w:t>
      </w:r>
      <w:r>
        <w:rPr>
          <w:spacing w:val="-6"/>
        </w:rPr>
        <w:t> </w:t>
      </w:r>
      <w:r>
        <w:rPr/>
        <w:t>acceso</w:t>
      </w:r>
      <w:r>
        <w:rPr>
          <w:spacing w:val="-9"/>
        </w:rPr>
        <w:t> </w:t>
      </w:r>
      <w:r>
        <w:rPr/>
        <w:t>a</w:t>
      </w:r>
      <w:r>
        <w:rPr>
          <w:spacing w:val="-6"/>
        </w:rPr>
        <w:t> </w:t>
      </w:r>
      <w:r>
        <w:rPr/>
        <w:t>insumos agrícolas, como semillas y maquinaria agrícola, podría reducir la producción</w:t>
      </w:r>
      <w:r>
        <w:rPr>
          <w:spacing w:val="-19"/>
        </w:rPr>
        <w:t> </w:t>
      </w:r>
      <w:r>
        <w:rPr/>
        <w:t>agrícola.</w:t>
      </w:r>
    </w:p>
    <w:p>
      <w:pPr>
        <w:pStyle w:val="BodyText"/>
        <w:spacing w:before="3"/>
        <w:rPr>
          <w:sz w:val="25"/>
        </w:rPr>
      </w:pPr>
    </w:p>
    <w:p>
      <w:pPr>
        <w:pStyle w:val="BodyText"/>
        <w:spacing w:line="276" w:lineRule="auto" w:before="1"/>
        <w:ind w:left="562" w:right="1695"/>
        <w:jc w:val="both"/>
      </w:pPr>
      <w:r>
        <w:rPr/>
        <w:t>En</w:t>
      </w:r>
      <w:r>
        <w:rPr>
          <w:spacing w:val="-8"/>
        </w:rPr>
        <w:t> </w:t>
      </w:r>
      <w:r>
        <w:rPr/>
        <w:t>consecuencia,</w:t>
      </w:r>
      <w:r>
        <w:rPr>
          <w:spacing w:val="-6"/>
        </w:rPr>
        <w:t> </w:t>
      </w:r>
      <w:r>
        <w:rPr/>
        <w:t>el</w:t>
      </w:r>
      <w:r>
        <w:rPr>
          <w:spacing w:val="-7"/>
        </w:rPr>
        <w:t> </w:t>
      </w:r>
      <w:r>
        <w:rPr/>
        <w:t>aumento</w:t>
      </w:r>
      <w:r>
        <w:rPr>
          <w:spacing w:val="-6"/>
        </w:rPr>
        <w:t> </w:t>
      </w:r>
      <w:r>
        <w:rPr/>
        <w:t>proyectado</w:t>
      </w:r>
      <w:r>
        <w:rPr>
          <w:spacing w:val="-4"/>
        </w:rPr>
        <w:t> </w:t>
      </w:r>
      <w:r>
        <w:rPr/>
        <w:t>para</w:t>
      </w:r>
      <w:r>
        <w:rPr>
          <w:spacing w:val="-7"/>
        </w:rPr>
        <w:t> </w:t>
      </w:r>
      <w:r>
        <w:rPr/>
        <w:t>2022</w:t>
      </w:r>
      <w:r>
        <w:rPr>
          <w:spacing w:val="-6"/>
        </w:rPr>
        <w:t> </w:t>
      </w:r>
      <w:r>
        <w:rPr/>
        <w:t>en</w:t>
      </w:r>
      <w:r>
        <w:rPr>
          <w:spacing w:val="-8"/>
        </w:rPr>
        <w:t> </w:t>
      </w:r>
      <w:r>
        <w:rPr/>
        <w:t>el</w:t>
      </w:r>
      <w:r>
        <w:rPr>
          <w:spacing w:val="-5"/>
        </w:rPr>
        <w:t> </w:t>
      </w:r>
      <w:r>
        <w:rPr/>
        <w:t>índice</w:t>
      </w:r>
      <w:r>
        <w:rPr>
          <w:spacing w:val="-6"/>
        </w:rPr>
        <w:t> </w:t>
      </w:r>
      <w:r>
        <w:rPr/>
        <w:t>de</w:t>
      </w:r>
      <w:r>
        <w:rPr>
          <w:spacing w:val="-7"/>
        </w:rPr>
        <w:t> </w:t>
      </w:r>
      <w:r>
        <w:rPr/>
        <w:t>precios</w:t>
      </w:r>
      <w:r>
        <w:rPr>
          <w:spacing w:val="-8"/>
        </w:rPr>
        <w:t> </w:t>
      </w:r>
      <w:r>
        <w:rPr/>
        <w:t>agrícolas</w:t>
      </w:r>
      <w:r>
        <w:rPr>
          <w:spacing w:val="-6"/>
        </w:rPr>
        <w:t> </w:t>
      </w:r>
      <w:r>
        <w:rPr/>
        <w:t>refleja</w:t>
      </w:r>
      <w:r>
        <w:rPr>
          <w:spacing w:val="-6"/>
        </w:rPr>
        <w:t> </w:t>
      </w:r>
      <w:r>
        <w:rPr/>
        <w:t>aumentos repentinos en los precios del trigo y el maíz. Se espera que los precios agrícolas vuelvan a caer en 2023, reflejando el aumento de la oferta del resto del mundo, en particular el trigo de Argentina, Brasil y Estados</w:t>
      </w:r>
      <w:r>
        <w:rPr>
          <w:spacing w:val="-3"/>
        </w:rPr>
        <w:t> </w:t>
      </w:r>
      <w:r>
        <w:rPr/>
        <w:t>Unidos.</w:t>
      </w:r>
    </w:p>
    <w:p>
      <w:pPr>
        <w:pStyle w:val="BodyText"/>
        <w:spacing w:before="8"/>
        <w:rPr>
          <w:sz w:val="25"/>
        </w:rPr>
      </w:pPr>
    </w:p>
    <w:p>
      <w:pPr>
        <w:pStyle w:val="Heading2"/>
        <w:numPr>
          <w:ilvl w:val="0"/>
          <w:numId w:val="11"/>
        </w:numPr>
        <w:tabs>
          <w:tab w:pos="846" w:val="left" w:leader="none"/>
        </w:tabs>
        <w:spacing w:line="240" w:lineRule="auto" w:before="1" w:after="0"/>
        <w:ind w:left="845" w:right="0" w:hanging="284"/>
        <w:jc w:val="left"/>
        <w:rPr>
          <w:sz w:val="26"/>
        </w:rPr>
      </w:pPr>
      <w:bookmarkStart w:name="_bookmark38" w:id="53"/>
      <w:bookmarkEnd w:id="53"/>
      <w:r>
        <w:rPr>
          <w:b w:val="0"/>
        </w:rPr>
      </w:r>
      <w:bookmarkStart w:name="_bookmark38" w:id="54"/>
      <w:bookmarkEnd w:id="54"/>
      <w:r>
        <w:rPr/>
        <w:t>Cont</w:t>
      </w:r>
      <w:r>
        <w:rPr/>
        <w:t>exto económico</w:t>
      </w:r>
      <w:r>
        <w:rPr>
          <w:spacing w:val="-1"/>
        </w:rPr>
        <w:t> </w:t>
      </w:r>
      <w:r>
        <w:rPr/>
        <w:t>nacional</w:t>
      </w:r>
    </w:p>
    <w:p>
      <w:pPr>
        <w:pStyle w:val="Heading2"/>
        <w:numPr>
          <w:ilvl w:val="1"/>
          <w:numId w:val="11"/>
        </w:numPr>
        <w:tabs>
          <w:tab w:pos="1270" w:val="left" w:leader="none"/>
        </w:tabs>
        <w:spacing w:line="240" w:lineRule="auto" w:before="36" w:after="0"/>
        <w:ind w:left="1270" w:right="0" w:hanging="360"/>
        <w:jc w:val="left"/>
      </w:pPr>
      <w:bookmarkStart w:name="_bookmark39" w:id="55"/>
      <w:bookmarkEnd w:id="55"/>
      <w:r>
        <w:rPr/>
        <w:t>S</w:t>
      </w:r>
      <w:r>
        <w:rPr/>
        <w:t>ector</w:t>
      </w:r>
      <w:r>
        <w:rPr>
          <w:spacing w:val="-3"/>
        </w:rPr>
        <w:t> </w:t>
      </w:r>
      <w:r>
        <w:rPr/>
        <w:t>real</w:t>
      </w:r>
    </w:p>
    <w:p>
      <w:pPr>
        <w:pStyle w:val="BodyText"/>
        <w:spacing w:before="1"/>
        <w:rPr>
          <w:b/>
          <w:sz w:val="30"/>
        </w:rPr>
      </w:pPr>
    </w:p>
    <w:p>
      <w:pPr>
        <w:pStyle w:val="BodyText"/>
        <w:spacing w:line="276" w:lineRule="auto"/>
        <w:ind w:left="562" w:right="1695"/>
        <w:jc w:val="both"/>
      </w:pPr>
      <w:r>
        <w:rPr/>
        <w:t>La actividad económica mostró una fuerte recuperación en el 2021 debido a la disminución de medidas de confinamiento y restricciones de movilidad a nivel interno y de los principales socios comerciales, que impulsaron la demanda interna y externa. Asimismo, las principales actividades económicas mostraron gran dinamismo y se tuvo una recuperación en los sectores asociados a los servicios</w:t>
      </w:r>
      <w:r>
        <w:rPr>
          <w:spacing w:val="-2"/>
        </w:rPr>
        <w:t> </w:t>
      </w:r>
      <w:r>
        <w:rPr/>
        <w:t>y</w:t>
      </w:r>
      <w:r>
        <w:rPr>
          <w:spacing w:val="-4"/>
        </w:rPr>
        <w:t> </w:t>
      </w:r>
      <w:r>
        <w:rPr/>
        <w:t>transporte,</w:t>
      </w:r>
      <w:r>
        <w:rPr>
          <w:spacing w:val="-4"/>
        </w:rPr>
        <w:t> </w:t>
      </w:r>
      <w:r>
        <w:rPr/>
        <w:t>en</w:t>
      </w:r>
      <w:r>
        <w:rPr>
          <w:spacing w:val="-4"/>
        </w:rPr>
        <w:t> </w:t>
      </w:r>
      <w:r>
        <w:rPr/>
        <w:t>particular</w:t>
      </w:r>
      <w:r>
        <w:rPr>
          <w:spacing w:val="-2"/>
        </w:rPr>
        <w:t> </w:t>
      </w:r>
      <w:r>
        <w:rPr/>
        <w:t>las</w:t>
      </w:r>
      <w:r>
        <w:rPr>
          <w:spacing w:val="-3"/>
        </w:rPr>
        <w:t> </w:t>
      </w:r>
      <w:r>
        <w:rPr/>
        <w:t>actividades</w:t>
      </w:r>
      <w:r>
        <w:rPr>
          <w:spacing w:val="-4"/>
        </w:rPr>
        <w:t> </w:t>
      </w:r>
      <w:r>
        <w:rPr/>
        <w:t>de</w:t>
      </w:r>
      <w:r>
        <w:rPr>
          <w:spacing w:val="-1"/>
        </w:rPr>
        <w:t> </w:t>
      </w:r>
      <w:r>
        <w:rPr/>
        <w:t>alojamiento.</w:t>
      </w:r>
      <w:r>
        <w:rPr>
          <w:spacing w:val="-5"/>
        </w:rPr>
        <w:t> </w:t>
      </w:r>
      <w:r>
        <w:rPr/>
        <w:t>La</w:t>
      </w:r>
      <w:r>
        <w:rPr>
          <w:spacing w:val="-4"/>
        </w:rPr>
        <w:t> </w:t>
      </w:r>
      <w:r>
        <w:rPr/>
        <w:t>inflación</w:t>
      </w:r>
      <w:r>
        <w:rPr>
          <w:spacing w:val="-5"/>
        </w:rPr>
        <w:t> </w:t>
      </w:r>
      <w:r>
        <w:rPr/>
        <w:t>finalizó</w:t>
      </w:r>
      <w:r>
        <w:rPr>
          <w:spacing w:val="-2"/>
        </w:rPr>
        <w:t> </w:t>
      </w:r>
      <w:r>
        <w:rPr/>
        <w:t>con</w:t>
      </w:r>
      <w:r>
        <w:rPr>
          <w:spacing w:val="-2"/>
        </w:rPr>
        <w:t> </w:t>
      </w:r>
      <w:r>
        <w:rPr/>
        <w:t>un</w:t>
      </w:r>
      <w:r>
        <w:rPr>
          <w:spacing w:val="-2"/>
        </w:rPr>
        <w:t> </w:t>
      </w:r>
      <w:r>
        <w:rPr/>
        <w:t>nivel cercano al límite inferior de la meta del Banco de Guatemala y los indicadores de empleo muestran una mejora significativa en comparación al</w:t>
      </w:r>
      <w:r>
        <w:rPr>
          <w:spacing w:val="-5"/>
        </w:rPr>
        <w:t> </w:t>
      </w:r>
      <w:r>
        <w:rPr/>
        <w:t>2020.</w:t>
      </w:r>
    </w:p>
    <w:p>
      <w:pPr>
        <w:pStyle w:val="BodyText"/>
        <w:spacing w:before="9"/>
        <w:rPr>
          <w:sz w:val="25"/>
        </w:rPr>
      </w:pPr>
    </w:p>
    <w:p>
      <w:pPr>
        <w:pStyle w:val="Heading2"/>
        <w:numPr>
          <w:ilvl w:val="2"/>
          <w:numId w:val="11"/>
        </w:numPr>
        <w:tabs>
          <w:tab w:pos="2040" w:val="left" w:leader="none"/>
          <w:tab w:pos="2041" w:val="left" w:leader="none"/>
        </w:tabs>
        <w:spacing w:line="240" w:lineRule="auto" w:before="0" w:after="0"/>
        <w:ind w:left="2040" w:right="0" w:hanging="781"/>
        <w:jc w:val="left"/>
      </w:pPr>
      <w:bookmarkStart w:name="_bookmark40" w:id="56"/>
      <w:bookmarkEnd w:id="56"/>
      <w:r>
        <w:rPr/>
        <w:t>P</w:t>
      </w:r>
      <w:r>
        <w:rPr/>
        <w:t>roducto Interno</w:t>
      </w:r>
      <w:r>
        <w:rPr>
          <w:spacing w:val="-1"/>
        </w:rPr>
        <w:t> </w:t>
      </w:r>
      <w:r>
        <w:rPr/>
        <w:t>Bruto</w:t>
      </w:r>
    </w:p>
    <w:p>
      <w:pPr>
        <w:pStyle w:val="BodyText"/>
        <w:rPr>
          <w:b/>
          <w:sz w:val="30"/>
        </w:rPr>
      </w:pPr>
    </w:p>
    <w:p>
      <w:pPr>
        <w:pStyle w:val="BodyText"/>
        <w:spacing w:line="276" w:lineRule="auto"/>
        <w:ind w:left="562" w:right="1696"/>
        <w:jc w:val="both"/>
      </w:pPr>
      <w:r>
        <w:rPr/>
        <w:t>La</w:t>
      </w:r>
      <w:r>
        <w:rPr>
          <w:spacing w:val="-6"/>
        </w:rPr>
        <w:t> </w:t>
      </w:r>
      <w:r>
        <w:rPr/>
        <w:t>actividad</w:t>
      </w:r>
      <w:r>
        <w:rPr>
          <w:spacing w:val="-8"/>
        </w:rPr>
        <w:t> </w:t>
      </w:r>
      <w:r>
        <w:rPr/>
        <w:t>económica</w:t>
      </w:r>
      <w:r>
        <w:rPr>
          <w:spacing w:val="-7"/>
        </w:rPr>
        <w:t> </w:t>
      </w:r>
      <w:r>
        <w:rPr/>
        <w:t>en</w:t>
      </w:r>
      <w:r>
        <w:rPr>
          <w:spacing w:val="-8"/>
        </w:rPr>
        <w:t> </w:t>
      </w:r>
      <w:r>
        <w:rPr/>
        <w:t>el</w:t>
      </w:r>
      <w:r>
        <w:rPr>
          <w:spacing w:val="-2"/>
        </w:rPr>
        <w:t> </w:t>
      </w:r>
      <w:r>
        <w:rPr/>
        <w:t>2021</w:t>
      </w:r>
      <w:r>
        <w:rPr>
          <w:spacing w:val="-6"/>
        </w:rPr>
        <w:t> </w:t>
      </w:r>
      <w:r>
        <w:rPr/>
        <w:t>tuvo</w:t>
      </w:r>
      <w:r>
        <w:rPr>
          <w:spacing w:val="-5"/>
        </w:rPr>
        <w:t> </w:t>
      </w:r>
      <w:r>
        <w:rPr/>
        <w:t>una</w:t>
      </w:r>
      <w:r>
        <w:rPr>
          <w:spacing w:val="-8"/>
        </w:rPr>
        <w:t> </w:t>
      </w:r>
      <w:r>
        <w:rPr/>
        <w:t>tasa</w:t>
      </w:r>
      <w:r>
        <w:rPr>
          <w:spacing w:val="-5"/>
        </w:rPr>
        <w:t> </w:t>
      </w:r>
      <w:r>
        <w:rPr/>
        <w:t>de</w:t>
      </w:r>
      <w:r>
        <w:rPr>
          <w:spacing w:val="-8"/>
        </w:rPr>
        <w:t> </w:t>
      </w:r>
      <w:r>
        <w:rPr/>
        <w:t>crecimiento</w:t>
      </w:r>
      <w:r>
        <w:rPr>
          <w:spacing w:val="-5"/>
        </w:rPr>
        <w:t> </w:t>
      </w:r>
      <w:r>
        <w:rPr/>
        <w:t>del</w:t>
      </w:r>
      <w:r>
        <w:rPr>
          <w:spacing w:val="-3"/>
        </w:rPr>
        <w:t> </w:t>
      </w:r>
      <w:r>
        <w:rPr/>
        <w:t>8.0%</w:t>
      </w:r>
      <w:r>
        <w:rPr>
          <w:spacing w:val="-7"/>
        </w:rPr>
        <w:t> </w:t>
      </w:r>
      <w:r>
        <w:rPr/>
        <w:t>después</w:t>
      </w:r>
      <w:r>
        <w:rPr>
          <w:spacing w:val="-8"/>
        </w:rPr>
        <w:t> </w:t>
      </w:r>
      <w:r>
        <w:rPr/>
        <w:t>de</w:t>
      </w:r>
      <w:r>
        <w:rPr>
          <w:spacing w:val="-5"/>
        </w:rPr>
        <w:t> </w:t>
      </w:r>
      <w:r>
        <w:rPr/>
        <w:t>haber</w:t>
      </w:r>
      <w:r>
        <w:rPr>
          <w:spacing w:val="-5"/>
        </w:rPr>
        <w:t> </w:t>
      </w:r>
      <w:r>
        <w:rPr/>
        <w:t>mostrado una</w:t>
      </w:r>
      <w:r>
        <w:rPr>
          <w:spacing w:val="-6"/>
        </w:rPr>
        <w:t> </w:t>
      </w:r>
      <w:r>
        <w:rPr/>
        <w:t>contracción</w:t>
      </w:r>
      <w:r>
        <w:rPr>
          <w:spacing w:val="-6"/>
        </w:rPr>
        <w:t> </w:t>
      </w:r>
      <w:r>
        <w:rPr/>
        <w:t>del</w:t>
      </w:r>
      <w:r>
        <w:rPr>
          <w:spacing w:val="-4"/>
        </w:rPr>
        <w:t> </w:t>
      </w:r>
      <w:r>
        <w:rPr/>
        <w:t>1.8%</w:t>
      </w:r>
      <w:r>
        <w:rPr>
          <w:spacing w:val="-8"/>
        </w:rPr>
        <w:t> </w:t>
      </w:r>
      <w:r>
        <w:rPr/>
        <w:t>en</w:t>
      </w:r>
      <w:r>
        <w:rPr>
          <w:spacing w:val="-5"/>
        </w:rPr>
        <w:t> </w:t>
      </w:r>
      <w:r>
        <w:rPr/>
        <w:t>2020</w:t>
      </w:r>
      <w:r>
        <w:rPr>
          <w:spacing w:val="-6"/>
        </w:rPr>
        <w:t> </w:t>
      </w:r>
      <w:r>
        <w:rPr/>
        <w:t>derivado</w:t>
      </w:r>
      <w:r>
        <w:rPr>
          <w:spacing w:val="-5"/>
        </w:rPr>
        <w:t> </w:t>
      </w:r>
      <w:r>
        <w:rPr/>
        <w:t>de</w:t>
      </w:r>
      <w:r>
        <w:rPr>
          <w:spacing w:val="-6"/>
        </w:rPr>
        <w:t> </w:t>
      </w:r>
      <w:r>
        <w:rPr/>
        <w:t>la</w:t>
      </w:r>
      <w:r>
        <w:rPr>
          <w:spacing w:val="-5"/>
        </w:rPr>
        <w:t> </w:t>
      </w:r>
      <w:r>
        <w:rPr/>
        <w:t>crisis</w:t>
      </w:r>
      <w:r>
        <w:rPr>
          <w:spacing w:val="-8"/>
        </w:rPr>
        <w:t> </w:t>
      </w:r>
      <w:r>
        <w:rPr/>
        <w:t>por</w:t>
      </w:r>
      <w:r>
        <w:rPr>
          <w:spacing w:val="-4"/>
        </w:rPr>
        <w:t> </w:t>
      </w:r>
      <w:r>
        <w:rPr/>
        <w:t>la</w:t>
      </w:r>
      <w:r>
        <w:rPr>
          <w:spacing w:val="-6"/>
        </w:rPr>
        <w:t> </w:t>
      </w:r>
      <w:r>
        <w:rPr/>
        <w:t>pandemia</w:t>
      </w:r>
      <w:r>
        <w:rPr>
          <w:spacing w:val="-5"/>
        </w:rPr>
        <w:t> </w:t>
      </w:r>
      <w:r>
        <w:rPr/>
        <w:t>del</w:t>
      </w:r>
      <w:r>
        <w:rPr>
          <w:spacing w:val="-5"/>
        </w:rPr>
        <w:t> </w:t>
      </w:r>
      <w:r>
        <w:rPr/>
        <w:t>COVID-19</w:t>
      </w:r>
      <w:r>
        <w:rPr>
          <w:spacing w:val="-5"/>
        </w:rPr>
        <w:t> </w:t>
      </w:r>
      <w:r>
        <w:rPr/>
        <w:t>y</w:t>
      </w:r>
      <w:r>
        <w:rPr>
          <w:spacing w:val="-6"/>
        </w:rPr>
        <w:t> </w:t>
      </w:r>
      <w:r>
        <w:rPr/>
        <w:t>las</w:t>
      </w:r>
      <w:r>
        <w:rPr>
          <w:spacing w:val="-4"/>
        </w:rPr>
        <w:t> </w:t>
      </w:r>
      <w:r>
        <w:rPr/>
        <w:t>medidas sanitarias para contener su propagación. Esta recuperación se debe principalmente a la demanda interna que fue impulsada por el consumo y formación bruta de capital privado cuyas tasas de crecimiento se encontraron en 8.9% y 32.9%</w:t>
      </w:r>
      <w:r>
        <w:rPr>
          <w:spacing w:val="-9"/>
        </w:rPr>
        <w:t> </w:t>
      </w:r>
      <w:r>
        <w:rPr/>
        <w:t>respectivamente.</w:t>
      </w:r>
    </w:p>
    <w:p>
      <w:pPr>
        <w:pStyle w:val="BodyText"/>
        <w:spacing w:before="3"/>
        <w:rPr>
          <w:sz w:val="25"/>
        </w:rPr>
      </w:pPr>
    </w:p>
    <w:p>
      <w:pPr>
        <w:pStyle w:val="BodyText"/>
        <w:spacing w:line="276" w:lineRule="auto"/>
        <w:ind w:left="562" w:right="1697"/>
        <w:jc w:val="both"/>
      </w:pPr>
      <w:r>
        <w:rPr/>
        <w:t>A su vez, el sector público mostró una normalización en el gasto de consumo después de haber financiado</w:t>
      </w:r>
      <w:r>
        <w:rPr>
          <w:spacing w:val="-8"/>
        </w:rPr>
        <w:t> </w:t>
      </w:r>
      <w:r>
        <w:rPr/>
        <w:t>los</w:t>
      </w:r>
      <w:r>
        <w:rPr>
          <w:spacing w:val="-5"/>
        </w:rPr>
        <w:t> </w:t>
      </w:r>
      <w:r>
        <w:rPr/>
        <w:t>programas</w:t>
      </w:r>
      <w:r>
        <w:rPr>
          <w:spacing w:val="-5"/>
        </w:rPr>
        <w:t> </w:t>
      </w:r>
      <w:r>
        <w:rPr/>
        <w:t>de</w:t>
      </w:r>
      <w:r>
        <w:rPr>
          <w:spacing w:val="-6"/>
        </w:rPr>
        <w:t> </w:t>
      </w:r>
      <w:r>
        <w:rPr/>
        <w:t>mitigación</w:t>
      </w:r>
      <w:r>
        <w:rPr>
          <w:spacing w:val="-6"/>
        </w:rPr>
        <w:t> </w:t>
      </w:r>
      <w:r>
        <w:rPr/>
        <w:t>por</w:t>
      </w:r>
      <w:r>
        <w:rPr>
          <w:spacing w:val="-8"/>
        </w:rPr>
        <w:t> </w:t>
      </w:r>
      <w:r>
        <w:rPr/>
        <w:t>los</w:t>
      </w:r>
      <w:r>
        <w:rPr>
          <w:spacing w:val="-5"/>
        </w:rPr>
        <w:t> </w:t>
      </w:r>
      <w:r>
        <w:rPr/>
        <w:t>efectos</w:t>
      </w:r>
      <w:r>
        <w:rPr>
          <w:spacing w:val="-8"/>
        </w:rPr>
        <w:t> </w:t>
      </w:r>
      <w:r>
        <w:rPr/>
        <w:t>negativos</w:t>
      </w:r>
      <w:r>
        <w:rPr>
          <w:spacing w:val="-5"/>
        </w:rPr>
        <w:t> </w:t>
      </w:r>
      <w:r>
        <w:rPr/>
        <w:t>de</w:t>
      </w:r>
      <w:r>
        <w:rPr>
          <w:spacing w:val="-8"/>
        </w:rPr>
        <w:t> </w:t>
      </w:r>
      <w:r>
        <w:rPr/>
        <w:t>la</w:t>
      </w:r>
      <w:r>
        <w:rPr>
          <w:spacing w:val="-6"/>
        </w:rPr>
        <w:t> </w:t>
      </w:r>
      <w:r>
        <w:rPr/>
        <w:t>pandemia</w:t>
      </w:r>
      <w:r>
        <w:rPr>
          <w:spacing w:val="-6"/>
        </w:rPr>
        <w:t> </w:t>
      </w:r>
      <w:r>
        <w:rPr/>
        <w:t>en</w:t>
      </w:r>
      <w:r>
        <w:rPr>
          <w:spacing w:val="-6"/>
        </w:rPr>
        <w:t> </w:t>
      </w:r>
      <w:r>
        <w:rPr/>
        <w:t>la</w:t>
      </w:r>
      <w:r>
        <w:rPr>
          <w:spacing w:val="-5"/>
        </w:rPr>
        <w:t> </w:t>
      </w:r>
      <w:r>
        <w:rPr/>
        <w:t>economía.</w:t>
      </w:r>
      <w:r>
        <w:rPr>
          <w:spacing w:val="-6"/>
        </w:rPr>
        <w:t> </w:t>
      </w:r>
      <w:r>
        <w:rPr>
          <w:spacing w:val="-3"/>
        </w:rPr>
        <w:t>Así </w:t>
      </w:r>
      <w:r>
        <w:rPr/>
        <w:t>mismo, las exportaciones fueron influenciadas por la recuperación de la demanda de los principales socios</w:t>
      </w:r>
      <w:r>
        <w:rPr>
          <w:spacing w:val="-7"/>
        </w:rPr>
        <w:t> </w:t>
      </w:r>
      <w:r>
        <w:rPr/>
        <w:t>económicos</w:t>
      </w:r>
      <w:r>
        <w:rPr>
          <w:spacing w:val="-5"/>
        </w:rPr>
        <w:t> </w:t>
      </w:r>
      <w:r>
        <w:rPr/>
        <w:t>en</w:t>
      </w:r>
      <w:r>
        <w:rPr>
          <w:spacing w:val="-6"/>
        </w:rPr>
        <w:t> </w:t>
      </w:r>
      <w:r>
        <w:rPr/>
        <w:t>comparación</w:t>
      </w:r>
      <w:r>
        <w:rPr>
          <w:spacing w:val="-10"/>
        </w:rPr>
        <w:t> </w:t>
      </w:r>
      <w:r>
        <w:rPr/>
        <w:t>del</w:t>
      </w:r>
      <w:r>
        <w:rPr>
          <w:spacing w:val="-7"/>
        </w:rPr>
        <w:t> </w:t>
      </w:r>
      <w:r>
        <w:rPr/>
        <w:t>año</w:t>
      </w:r>
      <w:r>
        <w:rPr>
          <w:spacing w:val="-6"/>
        </w:rPr>
        <w:t> </w:t>
      </w:r>
      <w:r>
        <w:rPr/>
        <w:t>2020</w:t>
      </w:r>
      <w:r>
        <w:rPr>
          <w:spacing w:val="-4"/>
        </w:rPr>
        <w:t> </w:t>
      </w:r>
      <w:r>
        <w:rPr/>
        <w:t>y</w:t>
      </w:r>
      <w:r>
        <w:rPr>
          <w:spacing w:val="-10"/>
        </w:rPr>
        <w:t> </w:t>
      </w:r>
      <w:r>
        <w:rPr/>
        <w:t>además</w:t>
      </w:r>
      <w:r>
        <w:rPr>
          <w:spacing w:val="-5"/>
        </w:rPr>
        <w:t> </w:t>
      </w:r>
      <w:r>
        <w:rPr/>
        <w:t>las</w:t>
      </w:r>
      <w:r>
        <w:rPr>
          <w:spacing w:val="-6"/>
        </w:rPr>
        <w:t> </w:t>
      </w:r>
      <w:r>
        <w:rPr/>
        <w:t>importaciones</w:t>
      </w:r>
      <w:r>
        <w:rPr>
          <w:spacing w:val="-8"/>
        </w:rPr>
        <w:t> </w:t>
      </w:r>
      <w:r>
        <w:rPr/>
        <w:t>fueron</w:t>
      </w:r>
      <w:r>
        <w:rPr>
          <w:spacing w:val="-7"/>
        </w:rPr>
        <w:t> </w:t>
      </w:r>
      <w:r>
        <w:rPr/>
        <w:t>determinadas</w:t>
      </w:r>
      <w:r>
        <w:rPr>
          <w:spacing w:val="-6"/>
        </w:rPr>
        <w:t> </w:t>
      </w:r>
      <w:r>
        <w:rPr/>
        <w:t>en gran parte por el aumento súbito de los bienes</w:t>
      </w:r>
      <w:r>
        <w:rPr>
          <w:spacing w:val="-7"/>
        </w:rPr>
        <w:t> </w:t>
      </w:r>
      <w:r>
        <w:rPr/>
        <w:t>importados.</w:t>
      </w:r>
    </w:p>
    <w:p>
      <w:pPr>
        <w:spacing w:after="0" w:line="276" w:lineRule="auto"/>
        <w:jc w:val="both"/>
        <w:sectPr>
          <w:pgSz w:w="12240" w:h="15840"/>
          <w:pgMar w:header="715" w:footer="957" w:top="1240" w:bottom="1140" w:left="1140" w:right="0"/>
        </w:sectPr>
      </w:pPr>
    </w:p>
    <w:p>
      <w:pPr>
        <w:pStyle w:val="Heading3"/>
        <w:spacing w:before="167"/>
        <w:ind w:left="1505"/>
      </w:pPr>
      <w:bookmarkStart w:name="_bookmark41" w:id="57"/>
      <w:bookmarkEnd w:id="57"/>
      <w:r>
        <w:rPr>
          <w:b w:val="0"/>
        </w:rPr>
      </w:r>
      <w:r>
        <w:rPr>
          <w:i/>
          <w:sz w:val="20"/>
        </w:rPr>
        <w:t>Gráfico 17 </w:t>
      </w:r>
      <w:r>
        <w:rPr/>
        <w:t>Contribución al crecimiento económico por el enfoque del gasto</w:t>
      </w:r>
    </w:p>
    <w:p>
      <w:pPr>
        <w:tabs>
          <w:tab w:pos="6216" w:val="left" w:leader="none"/>
        </w:tabs>
        <w:spacing w:before="153"/>
        <w:ind w:left="2813" w:right="0" w:firstLine="0"/>
        <w:jc w:val="left"/>
        <w:rPr>
          <w:sz w:val="16"/>
        </w:rPr>
      </w:pPr>
      <w:r>
        <w:rPr/>
        <w:pict>
          <v:group style="position:absolute;margin-left:176.039993pt;margin-top:10.318735pt;width:19.95pt;height:4.7pt;mso-position-horizontal-relative:page;mso-position-vertical-relative:paragraph;z-index:251915264" coordorigin="3521,206" coordsize="399,94">
            <v:line style="position:absolute" from="3528,253" to="3912,253" stroked="true" strokeweight="3.96pt" strokecolor="#a6a6a6">
              <v:stroke dashstyle="solid"/>
            </v:line>
            <v:rect style="position:absolute;left:3528;top:213;width:384;height:80" filled="false" stroked="true" strokeweight=".72pt" strokecolor="#011a27">
              <v:stroke dashstyle="solid"/>
            </v:rect>
            <w10:wrap type="none"/>
          </v:group>
        </w:pict>
      </w:r>
      <w:r>
        <w:rPr/>
        <w:pict>
          <v:group style="position:absolute;margin-left:346.200012pt;margin-top:10.318735pt;width:19.95pt;height:4.7pt;mso-position-horizontal-relative:page;mso-position-vertical-relative:paragraph;z-index:-281403392" coordorigin="6924,206" coordsize="399,94">
            <v:line style="position:absolute" from="6931,253" to="7315,253" stroked="true" strokeweight="3.96pt" strokecolor="#ff0000">
              <v:stroke dashstyle="solid"/>
            </v:line>
            <v:rect style="position:absolute;left:6931;top:213;width:384;height:80" filled="false" stroked="true" strokeweight=".72pt" strokecolor="#011a27">
              <v:stroke dashstyle="solid"/>
            </v:rect>
            <w10:wrap type="none"/>
          </v:group>
        </w:pict>
      </w:r>
      <w:r>
        <w:rPr/>
        <w:pict>
          <v:group style="position:absolute;margin-left:176.039993pt;margin-top:21.598736pt;width:19.95pt;height:4.7pt;mso-position-horizontal-relative:page;mso-position-vertical-relative:paragraph;z-index:251917312" coordorigin="3521,432" coordsize="399,94">
            <v:line style="position:absolute" from="3528,479" to="3912,479" stroked="true" strokeweight="3.96pt" strokecolor="#5b9bd4">
              <v:stroke dashstyle="solid"/>
            </v:line>
            <v:rect style="position:absolute;left:3528;top:439;width:384;height:80" filled="false" stroked="true" strokeweight=".72pt" strokecolor="#011a27">
              <v:stroke dashstyle="solid"/>
            </v:rect>
            <w10:wrap type="none"/>
          </v:group>
        </w:pict>
      </w:r>
      <w:r>
        <w:rPr/>
        <w:pict>
          <v:group style="position:absolute;margin-left:346.200012pt;margin-top:21.598736pt;width:19.95pt;height:4.7pt;mso-position-horizontal-relative:page;mso-position-vertical-relative:paragraph;z-index:-281401344" coordorigin="6924,432" coordsize="399,94">
            <v:line style="position:absolute" from="6931,479" to="7315,479" stroked="true" strokeweight="3.96pt" strokecolor="#a9d18e">
              <v:stroke dashstyle="solid"/>
            </v:line>
            <v:rect style="position:absolute;left:6931;top:439;width:384;height:80" filled="false" stroked="true" strokeweight=".72pt" strokecolor="#011a27">
              <v:stroke dashstyle="solid"/>
            </v:rect>
            <w10:wrap type="none"/>
          </v:group>
        </w:pict>
      </w:r>
      <w:r>
        <w:rPr/>
        <w:pict>
          <v:line style="position:absolute;mso-position-horizontal-relative:page;mso-position-vertical-relative:paragraph;z-index:251919360" from="176.460007pt,35.218735pt" to="195.660007pt,35.218735pt" stroked="true" strokeweight="2.280pt" strokecolor="#011a27">
            <v:stroke dashstyle="solid"/>
            <w10:wrap type="none"/>
          </v:line>
        </w:pict>
      </w:r>
      <w:r>
        <w:rPr>
          <w:color w:val="585858"/>
          <w:sz w:val="16"/>
        </w:rPr>
        <w:t>Consumo</w:t>
      </w:r>
      <w:r>
        <w:rPr>
          <w:color w:val="585858"/>
          <w:spacing w:val="-3"/>
          <w:sz w:val="16"/>
        </w:rPr>
        <w:t> </w:t>
      </w:r>
      <w:r>
        <w:rPr>
          <w:color w:val="585858"/>
          <w:sz w:val="16"/>
        </w:rPr>
        <w:t>privado</w:t>
        <w:tab/>
        <w:t>Consumo</w:t>
      </w:r>
      <w:r>
        <w:rPr>
          <w:color w:val="585858"/>
          <w:spacing w:val="-1"/>
          <w:sz w:val="16"/>
        </w:rPr>
        <w:t> </w:t>
      </w:r>
      <w:r>
        <w:rPr>
          <w:color w:val="585858"/>
          <w:sz w:val="16"/>
        </w:rPr>
        <w:t>público</w:t>
      </w:r>
    </w:p>
    <w:p>
      <w:pPr>
        <w:spacing w:after="0"/>
        <w:jc w:val="left"/>
        <w:rPr>
          <w:sz w:val="16"/>
        </w:rPr>
        <w:sectPr>
          <w:pgSz w:w="12240" w:h="15840"/>
          <w:pgMar w:header="715" w:footer="957" w:top="1240" w:bottom="1140" w:left="1140" w:right="0"/>
        </w:sectPr>
      </w:pPr>
    </w:p>
    <w:p>
      <w:pPr>
        <w:spacing w:before="30"/>
        <w:ind w:left="0" w:right="0" w:firstLine="0"/>
        <w:jc w:val="right"/>
        <w:rPr>
          <w:sz w:val="16"/>
        </w:rPr>
      </w:pPr>
      <w:r>
        <w:rPr>
          <w:color w:val="585858"/>
          <w:spacing w:val="-2"/>
          <w:sz w:val="16"/>
        </w:rPr>
        <w:t>15.0</w:t>
      </w:r>
    </w:p>
    <w:p>
      <w:pPr>
        <w:pStyle w:val="BodyText"/>
        <w:spacing w:before="10"/>
        <w:rPr>
          <w:sz w:val="24"/>
        </w:rPr>
      </w:pPr>
    </w:p>
    <w:p>
      <w:pPr>
        <w:spacing w:before="0"/>
        <w:ind w:left="0" w:right="0" w:firstLine="0"/>
        <w:jc w:val="right"/>
        <w:rPr>
          <w:sz w:val="16"/>
        </w:rPr>
      </w:pPr>
      <w:r>
        <w:rPr>
          <w:color w:val="585858"/>
          <w:spacing w:val="-2"/>
          <w:sz w:val="16"/>
        </w:rPr>
        <w:t>10.0</w:t>
      </w:r>
    </w:p>
    <w:p>
      <w:pPr>
        <w:pStyle w:val="BodyText"/>
        <w:spacing w:before="10"/>
        <w:rPr>
          <w:sz w:val="24"/>
        </w:rPr>
      </w:pPr>
    </w:p>
    <w:p>
      <w:pPr>
        <w:spacing w:before="0"/>
        <w:ind w:left="0" w:right="0" w:firstLine="0"/>
        <w:jc w:val="right"/>
        <w:rPr>
          <w:sz w:val="16"/>
        </w:rPr>
      </w:pPr>
      <w:r>
        <w:rPr/>
        <w:pict>
          <v:shape style="position:absolute;margin-left:122.399979pt;margin-top:-3.309119pt;width:12pt;height:40.2pt;mso-position-horizontal-relative:page;mso-position-vertical-relative:paragraph;z-index:251923456" type="#_x0000_t202" filled="false" stroked="false">
            <v:textbox inset="0,0,0,0" style="layout-flow:vertical;mso-layout-flow-alt:bottom-to-top">
              <w:txbxContent>
                <w:p>
                  <w:pPr>
                    <w:spacing w:before="12"/>
                    <w:ind w:left="20" w:right="0" w:firstLine="0"/>
                    <w:jc w:val="left"/>
                    <w:rPr>
                      <w:sz w:val="18"/>
                    </w:rPr>
                  </w:pPr>
                  <w:r>
                    <w:rPr>
                      <w:color w:val="585858"/>
                      <w:sz w:val="18"/>
                    </w:rPr>
                    <w:t>Porcentaje</w:t>
                  </w:r>
                </w:p>
              </w:txbxContent>
            </v:textbox>
            <w10:wrap type="none"/>
          </v:shape>
        </w:pict>
      </w:r>
      <w:r>
        <w:rPr>
          <w:color w:val="585858"/>
          <w:spacing w:val="-1"/>
          <w:sz w:val="16"/>
        </w:rPr>
        <w:t>5.0</w:t>
      </w:r>
    </w:p>
    <w:p>
      <w:pPr>
        <w:pStyle w:val="BodyText"/>
        <w:spacing w:before="10"/>
        <w:rPr>
          <w:sz w:val="24"/>
        </w:rPr>
      </w:pPr>
    </w:p>
    <w:p>
      <w:pPr>
        <w:spacing w:before="0"/>
        <w:ind w:left="0" w:right="77" w:firstLine="0"/>
        <w:jc w:val="right"/>
        <w:rPr>
          <w:sz w:val="16"/>
        </w:rPr>
      </w:pPr>
      <w:r>
        <w:rPr>
          <w:color w:val="585858"/>
          <w:w w:val="100"/>
          <w:sz w:val="16"/>
        </w:rPr>
        <w:t>-</w:t>
      </w:r>
    </w:p>
    <w:p>
      <w:pPr>
        <w:tabs>
          <w:tab w:pos="4290" w:val="left" w:leader="none"/>
        </w:tabs>
        <w:spacing w:line="292" w:lineRule="auto" w:before="42"/>
        <w:ind w:left="888" w:right="3598" w:firstLine="0"/>
        <w:jc w:val="left"/>
        <w:rPr>
          <w:sz w:val="16"/>
        </w:rPr>
      </w:pPr>
      <w:r>
        <w:rPr/>
        <w:br w:type="column"/>
      </w:r>
      <w:r>
        <w:rPr>
          <w:color w:val="585858"/>
          <w:sz w:val="16"/>
        </w:rPr>
        <w:t>Formación bruta de</w:t>
      </w:r>
      <w:r>
        <w:rPr>
          <w:color w:val="585858"/>
          <w:spacing w:val="-11"/>
          <w:sz w:val="16"/>
        </w:rPr>
        <w:t> </w:t>
      </w:r>
      <w:r>
        <w:rPr>
          <w:color w:val="585858"/>
          <w:sz w:val="16"/>
        </w:rPr>
        <w:t>capital</w:t>
      </w:r>
      <w:r>
        <w:rPr>
          <w:color w:val="585858"/>
          <w:spacing w:val="-3"/>
          <w:sz w:val="16"/>
        </w:rPr>
        <w:t> </w:t>
      </w:r>
      <w:r>
        <w:rPr>
          <w:color w:val="585858"/>
          <w:sz w:val="16"/>
        </w:rPr>
        <w:t>fijo</w:t>
        <w:tab/>
        <w:t>Exportaciones netas Producto Interno</w:t>
      </w:r>
      <w:r>
        <w:rPr>
          <w:color w:val="585858"/>
          <w:spacing w:val="-3"/>
          <w:sz w:val="16"/>
        </w:rPr>
        <w:t> </w:t>
      </w:r>
      <w:r>
        <w:rPr>
          <w:color w:val="585858"/>
          <w:sz w:val="16"/>
        </w:rPr>
        <w:t>Bruto</w:t>
      </w:r>
    </w:p>
    <w:p>
      <w:pPr>
        <w:spacing w:after="0" w:line="292" w:lineRule="auto"/>
        <w:jc w:val="left"/>
        <w:rPr>
          <w:sz w:val="16"/>
        </w:rPr>
        <w:sectPr>
          <w:type w:val="continuous"/>
          <w:pgSz w:w="12240" w:h="15840"/>
          <w:pgMar w:top="1500" w:bottom="280" w:left="1140" w:right="0"/>
          <w:cols w:num="2" w:equalWidth="0">
            <w:col w:w="1886" w:space="40"/>
            <w:col w:w="9174"/>
          </w:cols>
        </w:sectPr>
      </w:pPr>
    </w:p>
    <w:p>
      <w:pPr>
        <w:pStyle w:val="BodyText"/>
        <w:spacing w:before="8"/>
        <w:rPr>
          <w:sz w:val="16"/>
        </w:rPr>
      </w:pPr>
    </w:p>
    <w:p>
      <w:pPr>
        <w:spacing w:before="94"/>
        <w:ind w:left="1631" w:right="0" w:firstLine="0"/>
        <w:jc w:val="left"/>
        <w:rPr>
          <w:sz w:val="16"/>
        </w:rPr>
      </w:pPr>
      <w:r>
        <w:rPr/>
        <w:pict>
          <v:group style="position:absolute;margin-left:159.960007pt;margin-top:-67.321266pt;width:318.850pt;height:77.3pt;mso-position-horizontal-relative:page;mso-position-vertical-relative:paragraph;z-index:251914240" coordorigin="3199,-1346" coordsize="6377,1546">
            <v:rect style="position:absolute;left:3679;top:-569;width:636;height:293" filled="true" fillcolor="#a6a6a6" stroked="false">
              <v:fill type="solid"/>
            </v:rect>
            <v:rect style="position:absolute;left:3679;top:-569;width:636;height:293" filled="false" stroked="true" strokeweight=".72pt" strokecolor="#011a27">
              <v:stroke dashstyle="solid"/>
            </v:rect>
            <v:shape style="position:absolute;left:3679;top:-641;width:636;height:72" coordorigin="3679,-641" coordsize="636,72" path="m3833,-641l3679,-641,3679,-569,3833,-569,3833,-641m4315,-641l4162,-641,4162,-569,4315,-569,4315,-641e" filled="true" fillcolor="#ff0000" stroked="false">
              <v:path arrowok="t"/>
              <v:fill type="solid"/>
            </v:shape>
            <v:rect style="position:absolute;left:3679;top:-641;width:636;height:72" filled="false" stroked="true" strokeweight=".72pt" strokecolor="#011a27">
              <v:stroke dashstyle="solid"/>
            </v:rect>
            <v:shape style="position:absolute;left:3679;top:-699;width:636;height:58" coordorigin="3679,-698" coordsize="636,58" path="m3833,-698l3679,-698,3679,-641,3833,-641,3833,-698m4315,-698l4162,-698,4162,-641,4315,-641,4315,-698e" filled="true" fillcolor="#5b9bd4" stroked="false">
              <v:path arrowok="t"/>
              <v:fill type="solid"/>
            </v:shape>
            <v:rect style="position:absolute;left:3679;top:-699;width:636;height:58" filled="false" stroked="true" strokeweight=".72pt" strokecolor="#011a27">
              <v:stroke dashstyle="solid"/>
            </v:rect>
            <v:rect style="position:absolute;left:3679;top:-277;width:636;height:132" filled="true" fillcolor="#a9d18e" stroked="false">
              <v:fill type="solid"/>
            </v:rect>
            <v:rect style="position:absolute;left:3679;top:-277;width:636;height:132" filled="false" stroked="true" strokeweight=".72pt" strokecolor="#011a27">
              <v:stroke dashstyle="solid"/>
            </v:rect>
            <v:rect style="position:absolute;left:5272;top:-661;width:636;height:384" filled="true" fillcolor="#a6a6a6" stroked="false">
              <v:fill type="solid"/>
            </v:rect>
            <v:rect style="position:absolute;left:5272;top:-661;width:636;height:384" filled="false" stroked="true" strokeweight=".72pt" strokecolor="#011a27">
              <v:stroke dashstyle="solid"/>
            </v:rect>
            <v:shape style="position:absolute;left:5272;top:-689;width:636;height:29" coordorigin="5273,-689" coordsize="636,29" path="m5426,-689l5273,-689,5273,-660,5426,-660,5426,-689m5909,-689l5755,-689,5755,-660,5909,-660,5909,-689e" filled="true" fillcolor="#ff0000" stroked="false">
              <v:path arrowok="t"/>
              <v:fill type="solid"/>
            </v:shape>
            <v:shape style="position:absolute;left:5265;top:-696;width:651;height:44" coordorigin="5266,-696" coordsize="651,44" path="m5426,-696l5266,-696,5266,-653,5426,-653,5426,-696m5916,-696l5755,-696,5755,-653,5916,-653,5916,-696e" filled="true" fillcolor="#011a27" stroked="false">
              <v:path arrowok="t"/>
              <v:fill type="solid"/>
            </v:shape>
            <v:line style="position:absolute" from="5273,-746" to="5909,-746" stroked="true" strokeweight="5.76pt" strokecolor="#5b9bd4">
              <v:stroke dashstyle="solid"/>
            </v:line>
            <v:rect style="position:absolute;left:5272;top:-805;width:636;height:116" filled="false" stroked="true" strokeweight=".72pt" strokecolor="#011a27">
              <v:stroke dashstyle="solid"/>
            </v:rect>
            <v:rect style="position:absolute;left:5272;top:-277;width:636;height:156" filled="true" fillcolor="#a9d18e" stroked="false">
              <v:fill type="solid"/>
            </v:rect>
            <v:rect style="position:absolute;left:5272;top:-277;width:636;height:156" filled="false" stroked="true" strokeweight=".72pt" strokecolor="#011a27">
              <v:stroke dashstyle="solid"/>
            </v:rect>
            <v:line style="position:absolute" from="6866,-218" to="7502,-218" stroked="true" strokeweight="5.76pt" strokecolor="#a6a6a6">
              <v:stroke dashstyle="solid"/>
            </v:line>
            <v:rect style="position:absolute;left:6866;top:-277;width:636;height:116" filled="false" stroked="true" strokeweight=".72pt" strokecolor="#011a27">
              <v:stroke dashstyle="solid"/>
            </v:rect>
            <v:line style="position:absolute" from="6866,-283" to="7502,-283" stroked="true" strokeweight=".72pt" strokecolor="#ff0000">
              <v:stroke dashstyle="solid"/>
            </v:line>
            <v:rect style="position:absolute;left:6859;top:-298;width:651;height:29" filled="true" fillcolor="#011a27" stroked="false">
              <v:fill type="solid"/>
            </v:rect>
            <v:shape style="position:absolute;left:6866;top:-118;width:636;height:2" coordorigin="6866,-118" coordsize="636,0" path="m7373,-118l7502,-118m6866,-118l6996,-118e" filled="false" stroked="true" strokeweight="4.32pt" strokecolor="#5b9bd4">
              <v:path arrowok="t"/>
              <v:stroke dashstyle="solid"/>
            </v:shape>
            <v:rect style="position:absolute;left:6866;top:-161;width:636;height:87" filled="false" stroked="true" strokeweight=".72pt" strokecolor="#011a27">
              <v:stroke dashstyle="solid"/>
            </v:rect>
            <v:rect style="position:absolute;left:6866;top:-327;width:636;height:36" filled="true" fillcolor="#a9d18e" stroked="false">
              <v:fill type="solid"/>
            </v:rect>
            <v:rect style="position:absolute;left:6866;top:-327;width:636;height:36" filled="false" stroked="true" strokeweight=".72pt" strokecolor="#011a27">
              <v:stroke dashstyle="solid"/>
            </v:rect>
            <v:rect style="position:absolute;left:8460;top:-1018;width:636;height:742" filled="true" fillcolor="#a6a6a6" stroked="false">
              <v:fill type="solid"/>
            </v:rect>
            <v:rect style="position:absolute;left:8460;top:-1018;width:636;height:742" filled="false" stroked="true" strokeweight=".72pt" strokecolor="#011a27">
              <v:stroke dashstyle="solid"/>
            </v:rect>
            <v:shape style="position:absolute;left:8460;top:-1043;width:636;height:2" coordorigin="8460,-1043" coordsize="636,0" path="m8942,-1043l9096,-1043m8460,-1043l8614,-1043e" filled="false" stroked="true" strokeweight="2.52pt" strokecolor="#ff0000">
              <v:path arrowok="t"/>
              <v:stroke dashstyle="solid"/>
            </v:shape>
            <v:rect style="position:absolute;left:8460;top:-1069;width:636;height:51" filled="false" stroked="true" strokeweight=".72pt" strokecolor="#011a27">
              <v:stroke dashstyle="solid"/>
            </v:rect>
            <v:rect style="position:absolute;left:8460;top:-1340;width:636;height:272" filled="true" fillcolor="#5b9bd4" stroked="false">
              <v:fill type="solid"/>
            </v:rect>
            <v:rect style="position:absolute;left:8460;top:-1340;width:636;height:272" filled="false" stroked="true" strokeweight=".72pt" strokecolor="#011a27">
              <v:stroke dashstyle="solid"/>
            </v:rect>
            <v:rect style="position:absolute;left:8460;top:-277;width:636;height:468" filled="true" fillcolor="#a9d18e" stroked="false">
              <v:fill type="solid"/>
            </v:rect>
            <v:rect style="position:absolute;left:8460;top:-277;width:636;height:468" filled="false" stroked="true" strokeweight=".72pt" strokecolor="#011a27">
              <v:stroke dashstyle="solid"/>
            </v:rect>
            <v:line style="position:absolute" from="3199,-276" to="9576,-276" stroked="true" strokeweight=".72pt" strokecolor="#d9d9d9">
              <v:stroke dashstyle="solid"/>
            </v:line>
            <v:shape style="position:absolute;left:3997;top:-1027;width:4781;height:917" coordorigin="3997,-1026" coordsize="4781,917" path="m3997,-596l5591,-652,7184,-109,8778,-1026e" filled="false" stroked="true" strokeweight="2.280pt" strokecolor="#011a27">
              <v:path arrowok="t"/>
              <v:stroke dashstyle="solid"/>
            </v:shape>
            <v:rect style="position:absolute;left:3832;top:-706;width:329;height:221" filled="true" fillcolor="#ffffff" stroked="false">
              <v:fill opacity="64250f" type="solid"/>
            </v:rect>
            <v:rect style="position:absolute;left:3832;top:-706;width:329;height:221" filled="false" stroked="true" strokeweight=".72pt" strokecolor="#011a27">
              <v:stroke dashstyle="solid"/>
            </v:rect>
            <v:rect style="position:absolute;left:5426;top:-764;width:329;height:221" filled="true" fillcolor="#ffffff" stroked="false">
              <v:fill opacity="64250f" type="solid"/>
            </v:rect>
            <v:rect style="position:absolute;left:5426;top:-764;width:329;height:221" filled="false" stroked="true" strokeweight=".72pt" strokecolor="#011a27">
              <v:stroke dashstyle="solid"/>
            </v:rect>
            <v:rect style="position:absolute;left:6996;top:-221;width:377;height:221" filled="true" fillcolor="#ffffff" stroked="false">
              <v:fill opacity="64250f" type="solid"/>
            </v:rect>
            <v:rect style="position:absolute;left:6996;top:-221;width:377;height:221" filled="false" stroked="true" strokeweight=".72pt" strokecolor="#011a27">
              <v:stroke dashstyle="solid"/>
            </v:rect>
            <v:rect style="position:absolute;left:8613;top:-1136;width:329;height:221" filled="true" fillcolor="#ffffff" stroked="false">
              <v:fill opacity="64250f" type="solid"/>
            </v:rect>
            <v:rect style="position:absolute;left:8613;top:-1136;width:329;height:221" filled="false" stroked="true" strokeweight=".72pt" strokecolor="#011a27">
              <v:stroke dashstyle="solid"/>
            </v:rect>
            <v:shape style="position:absolute;left:7092;top:-185;width:241;height:155" type="#_x0000_t202" filled="false" stroked="false">
              <v:textbox inset="0,0,0,0">
                <w:txbxContent>
                  <w:p>
                    <w:pPr>
                      <w:spacing w:line="154" w:lineRule="exact" w:before="0"/>
                      <w:ind w:left="0" w:right="0" w:firstLine="0"/>
                      <w:jc w:val="left"/>
                      <w:rPr>
                        <w:b/>
                        <w:sz w:val="14"/>
                      </w:rPr>
                    </w:pPr>
                    <w:r>
                      <w:rPr>
                        <w:b/>
                        <w:color w:val="404040"/>
                        <w:sz w:val="14"/>
                      </w:rPr>
                      <w:t>-1.8</w:t>
                    </w:r>
                  </w:p>
                </w:txbxContent>
              </v:textbox>
              <w10:wrap type="none"/>
            </v:shape>
            <v:shape style="position:absolute;left:5433;top:-633;width:315;height:105" type="#_x0000_t202" filled="true" fillcolor="#a6a6a6" stroked="false">
              <v:textbox inset="0,0,0,0">
                <w:txbxContent>
                  <w:p>
                    <w:pPr>
                      <w:spacing w:line="60" w:lineRule="exact" w:before="0"/>
                      <w:ind w:left="88" w:right="0" w:firstLine="0"/>
                      <w:jc w:val="left"/>
                      <w:rPr>
                        <w:b/>
                        <w:sz w:val="14"/>
                      </w:rPr>
                    </w:pPr>
                    <w:r>
                      <w:rPr>
                        <w:b/>
                        <w:color w:val="404040"/>
                        <w:sz w:val="14"/>
                      </w:rPr>
                      <w:t>4.0</w:t>
                    </w:r>
                  </w:p>
                </w:txbxContent>
              </v:textbox>
              <v:fill type="solid"/>
              <w10:wrap type="none"/>
            </v:shape>
            <v:shape style="position:absolute;left:3840;top:-669;width:315;height:124" type="#_x0000_t202" filled="false" stroked="false">
              <v:textbox inset="0,0,0,0">
                <w:txbxContent>
                  <w:p>
                    <w:pPr>
                      <w:spacing w:line="123" w:lineRule="exact" w:before="0"/>
                      <w:ind w:left="87" w:right="0" w:firstLine="0"/>
                      <w:jc w:val="left"/>
                      <w:rPr>
                        <w:b/>
                        <w:sz w:val="14"/>
                      </w:rPr>
                    </w:pPr>
                    <w:r>
                      <w:rPr>
                        <w:b/>
                        <w:color w:val="404040"/>
                        <w:sz w:val="14"/>
                      </w:rPr>
                      <w:t>3.4</w:t>
                    </w:r>
                  </w:p>
                </w:txbxContent>
              </v:textbox>
              <w10:wrap type="none"/>
            </v:shape>
            <v:shape style="position:absolute;left:8620;top:-1011;width:315;height:89" type="#_x0000_t202" filled="false" stroked="false">
              <v:textbox inset="0,0,0,0">
                <w:txbxContent>
                  <w:p>
                    <w:pPr>
                      <w:spacing w:line="64" w:lineRule="exact" w:before="0"/>
                      <w:ind w:left="88" w:right="0" w:firstLine="0"/>
                      <w:jc w:val="left"/>
                      <w:rPr>
                        <w:b/>
                        <w:sz w:val="14"/>
                      </w:rPr>
                    </w:pPr>
                    <w:r>
                      <w:rPr>
                        <w:b/>
                        <w:color w:val="404040"/>
                        <w:sz w:val="14"/>
                      </w:rPr>
                      <w:t>8.0</w:t>
                    </w:r>
                  </w:p>
                </w:txbxContent>
              </v:textbox>
              <w10:wrap type="none"/>
            </v:shape>
            <w10:wrap type="none"/>
          </v:group>
        </w:pict>
      </w:r>
      <w:r>
        <w:rPr>
          <w:color w:val="585858"/>
          <w:sz w:val="16"/>
        </w:rPr>
        <w:t>-5.0</w:t>
      </w:r>
    </w:p>
    <w:p>
      <w:pPr>
        <w:pStyle w:val="BodyText"/>
        <w:spacing w:before="8"/>
        <w:rPr>
          <w:sz w:val="16"/>
        </w:rPr>
      </w:pPr>
    </w:p>
    <w:p>
      <w:pPr>
        <w:spacing w:after="0"/>
        <w:rPr>
          <w:sz w:val="16"/>
        </w:rPr>
        <w:sectPr>
          <w:type w:val="continuous"/>
          <w:pgSz w:w="12240" w:h="15840"/>
          <w:pgMar w:top="1500" w:bottom="280" w:left="1140" w:right="0"/>
        </w:sectPr>
      </w:pPr>
    </w:p>
    <w:p>
      <w:pPr>
        <w:spacing w:before="94"/>
        <w:ind w:left="0" w:right="0" w:firstLine="0"/>
        <w:jc w:val="right"/>
        <w:rPr>
          <w:sz w:val="16"/>
        </w:rPr>
      </w:pPr>
      <w:r>
        <w:rPr>
          <w:color w:val="585858"/>
          <w:sz w:val="16"/>
        </w:rPr>
        <w:t>-10.0</w:t>
      </w:r>
    </w:p>
    <w:p>
      <w:pPr>
        <w:pStyle w:val="BodyText"/>
        <w:spacing w:before="7"/>
        <w:rPr>
          <w:sz w:val="25"/>
        </w:rPr>
      </w:pPr>
      <w:r>
        <w:rPr/>
        <w:br w:type="column"/>
      </w:r>
      <w:r>
        <w:rPr>
          <w:sz w:val="25"/>
        </w:rPr>
      </w:r>
    </w:p>
    <w:p>
      <w:pPr>
        <w:tabs>
          <w:tab w:pos="2347" w:val="left" w:leader="none"/>
          <w:tab w:pos="3941" w:val="left" w:leader="none"/>
          <w:tab w:pos="5535" w:val="left" w:leader="none"/>
        </w:tabs>
        <w:spacing w:before="0"/>
        <w:ind w:left="753" w:right="0" w:firstLine="0"/>
        <w:jc w:val="left"/>
        <w:rPr>
          <w:sz w:val="18"/>
        </w:rPr>
      </w:pPr>
      <w:r>
        <w:rPr>
          <w:color w:val="585858"/>
          <w:sz w:val="18"/>
        </w:rPr>
        <w:t>2018</w:t>
        <w:tab/>
        <w:t>2019</w:t>
        <w:tab/>
        <w:t>2020</w:t>
        <w:tab/>
        <w:t>2021</w:t>
      </w:r>
    </w:p>
    <w:p>
      <w:pPr>
        <w:spacing w:after="0"/>
        <w:jc w:val="left"/>
        <w:rPr>
          <w:sz w:val="18"/>
        </w:rPr>
        <w:sectPr>
          <w:type w:val="continuous"/>
          <w:pgSz w:w="12240" w:h="15840"/>
          <w:pgMar w:top="1500" w:bottom="280" w:left="1140" w:right="0"/>
          <w:cols w:num="2" w:equalWidth="0">
            <w:col w:w="1885" w:space="40"/>
            <w:col w:w="9175"/>
          </w:cols>
        </w:sectPr>
      </w:pPr>
    </w:p>
    <w:p>
      <w:pPr>
        <w:spacing w:before="126"/>
        <w:ind w:left="1674" w:right="0" w:firstLine="0"/>
        <w:jc w:val="left"/>
        <w:rPr>
          <w:sz w:val="16"/>
        </w:rPr>
      </w:pPr>
      <w:r>
        <w:rPr>
          <w:sz w:val="16"/>
        </w:rPr>
        <w:t>Fuente: Banco de Guatemala</w:t>
      </w:r>
    </w:p>
    <w:p>
      <w:pPr>
        <w:pStyle w:val="BodyText"/>
        <w:spacing w:before="8"/>
        <w:rPr>
          <w:sz w:val="13"/>
        </w:rPr>
      </w:pPr>
    </w:p>
    <w:p>
      <w:pPr>
        <w:pStyle w:val="BodyText"/>
        <w:spacing w:line="276" w:lineRule="auto" w:before="92"/>
        <w:ind w:left="562" w:right="1697"/>
        <w:jc w:val="both"/>
      </w:pPr>
      <w:r>
        <w:rPr/>
        <w:t>Por</w:t>
      </w:r>
      <w:r>
        <w:rPr>
          <w:spacing w:val="-9"/>
        </w:rPr>
        <w:t> </w:t>
      </w:r>
      <w:r>
        <w:rPr/>
        <w:t>su</w:t>
      </w:r>
      <w:r>
        <w:rPr>
          <w:spacing w:val="-11"/>
        </w:rPr>
        <w:t> </w:t>
      </w:r>
      <w:r>
        <w:rPr/>
        <w:t>lado,</w:t>
      </w:r>
      <w:r>
        <w:rPr>
          <w:spacing w:val="-11"/>
        </w:rPr>
        <w:t> </w:t>
      </w:r>
      <w:r>
        <w:rPr/>
        <w:t>el</w:t>
      </w:r>
      <w:r>
        <w:rPr>
          <w:spacing w:val="-10"/>
        </w:rPr>
        <w:t> </w:t>
      </w:r>
      <w:r>
        <w:rPr/>
        <w:t>índice</w:t>
      </w:r>
      <w:r>
        <w:rPr>
          <w:spacing w:val="-9"/>
        </w:rPr>
        <w:t> </w:t>
      </w:r>
      <w:r>
        <w:rPr/>
        <w:t>de</w:t>
      </w:r>
      <w:r>
        <w:rPr>
          <w:spacing w:val="-11"/>
        </w:rPr>
        <w:t> </w:t>
      </w:r>
      <w:r>
        <w:rPr/>
        <w:t>rigor</w:t>
      </w:r>
      <w:r>
        <w:rPr>
          <w:spacing w:val="-8"/>
        </w:rPr>
        <w:t> </w:t>
      </w:r>
      <w:r>
        <w:rPr/>
        <w:t>de</w:t>
      </w:r>
      <w:r>
        <w:rPr>
          <w:spacing w:val="-11"/>
        </w:rPr>
        <w:t> </w:t>
      </w:r>
      <w:r>
        <w:rPr/>
        <w:t>Oxford,</w:t>
      </w:r>
      <w:r>
        <w:rPr>
          <w:spacing w:val="-11"/>
        </w:rPr>
        <w:t> </w:t>
      </w:r>
      <w:r>
        <w:rPr/>
        <w:t>que</w:t>
      </w:r>
      <w:r>
        <w:rPr>
          <w:spacing w:val="-9"/>
        </w:rPr>
        <w:t> </w:t>
      </w:r>
      <w:r>
        <w:rPr/>
        <w:t>mide</w:t>
      </w:r>
      <w:r>
        <w:rPr>
          <w:spacing w:val="-11"/>
        </w:rPr>
        <w:t> </w:t>
      </w:r>
      <w:r>
        <w:rPr/>
        <w:t>el</w:t>
      </w:r>
      <w:r>
        <w:rPr>
          <w:spacing w:val="-10"/>
        </w:rPr>
        <w:t> </w:t>
      </w:r>
      <w:r>
        <w:rPr/>
        <w:t>nivel</w:t>
      </w:r>
      <w:r>
        <w:rPr>
          <w:spacing w:val="-7"/>
        </w:rPr>
        <w:t> </w:t>
      </w:r>
      <w:r>
        <w:rPr/>
        <w:t>de</w:t>
      </w:r>
      <w:r>
        <w:rPr>
          <w:spacing w:val="-11"/>
        </w:rPr>
        <w:t> </w:t>
      </w:r>
      <w:r>
        <w:rPr/>
        <w:t>rigurosidad</w:t>
      </w:r>
      <w:r>
        <w:rPr>
          <w:spacing w:val="-10"/>
        </w:rPr>
        <w:t> </w:t>
      </w:r>
      <w:r>
        <w:rPr/>
        <w:t>en</w:t>
      </w:r>
      <w:r>
        <w:rPr>
          <w:spacing w:val="-11"/>
        </w:rPr>
        <w:t> </w:t>
      </w:r>
      <w:r>
        <w:rPr/>
        <w:t>las</w:t>
      </w:r>
      <w:r>
        <w:rPr>
          <w:spacing w:val="-8"/>
        </w:rPr>
        <w:t> </w:t>
      </w:r>
      <w:r>
        <w:rPr/>
        <w:t>medidas</w:t>
      </w:r>
      <w:r>
        <w:rPr>
          <w:spacing w:val="-10"/>
        </w:rPr>
        <w:t> </w:t>
      </w:r>
      <w:r>
        <w:rPr/>
        <w:t>de</w:t>
      </w:r>
      <w:r>
        <w:rPr>
          <w:spacing w:val="-11"/>
        </w:rPr>
        <w:t> </w:t>
      </w:r>
      <w:r>
        <w:rPr/>
        <w:t>respuesta para contener la propagación de la pandemia por parte de los gobiernos, registró un nivel promedio de 53.3 en 2021, menor al registrado de marzo a diciembre del 2020 de 75.4, lo que es consistente con el relajamiento de medidas del gobierno por los avances en la vacunación,</w:t>
      </w:r>
      <w:r>
        <w:rPr>
          <w:spacing w:val="-14"/>
        </w:rPr>
        <w:t> </w:t>
      </w:r>
      <w:r>
        <w:rPr/>
        <w:t>principalmente.</w:t>
      </w:r>
    </w:p>
    <w:p>
      <w:pPr>
        <w:pStyle w:val="BodyText"/>
        <w:spacing w:before="3"/>
        <w:rPr>
          <w:sz w:val="25"/>
        </w:rPr>
      </w:pPr>
    </w:p>
    <w:p>
      <w:pPr>
        <w:pStyle w:val="BodyText"/>
        <w:spacing w:line="276" w:lineRule="auto"/>
        <w:ind w:left="562" w:right="1695"/>
        <w:jc w:val="both"/>
      </w:pPr>
      <w:r>
        <w:rPr/>
        <w:t>Asimismo, el índice de movilidad de Google, muestra el cambio de la cantidad de visitantes en comparación de días de referencias previo a la pandemia. Este índice mostró una baja en el 2021 en las zonas residenciales, además, de un aumento continuo en las categorías que tuvieron las mayores restricciones en 2020, principalmente en el cuarto trimestre del año. Lo anterior muestra la continua normalización en los patrones de movilidad de los agentes económicos que se experimentó en 2021.</w:t>
      </w:r>
    </w:p>
    <w:p>
      <w:pPr>
        <w:pStyle w:val="BodyText"/>
        <w:spacing w:before="10"/>
        <w:rPr>
          <w:sz w:val="25"/>
        </w:rPr>
      </w:pPr>
    </w:p>
    <w:p>
      <w:pPr>
        <w:spacing w:before="0"/>
        <w:ind w:left="1572" w:right="0" w:firstLine="0"/>
        <w:jc w:val="left"/>
        <w:rPr>
          <w:b/>
          <w:sz w:val="20"/>
        </w:rPr>
      </w:pPr>
      <w:bookmarkStart w:name="_bookmark42" w:id="58"/>
      <w:bookmarkEnd w:id="58"/>
      <w:r>
        <w:rPr/>
      </w:r>
      <w:r>
        <w:rPr>
          <w:b/>
          <w:i/>
          <w:sz w:val="20"/>
        </w:rPr>
        <w:t>Gráfico 18. </w:t>
      </w:r>
      <w:r>
        <w:rPr>
          <w:b/>
          <w:sz w:val="20"/>
        </w:rPr>
        <w:t>Índices de rigor y de movilidad durante la pandemia en 2020 y 2021</w:t>
      </w:r>
    </w:p>
    <w:p>
      <w:pPr>
        <w:pStyle w:val="BodyText"/>
        <w:rPr>
          <w:b/>
          <w:sz w:val="20"/>
        </w:rPr>
      </w:pPr>
    </w:p>
    <w:p>
      <w:pPr>
        <w:pStyle w:val="BodyText"/>
        <w:spacing w:before="6"/>
        <w:rPr>
          <w:b/>
          <w:sz w:val="25"/>
        </w:rPr>
      </w:pPr>
    </w:p>
    <w:p>
      <w:pPr>
        <w:tabs>
          <w:tab w:pos="2424" w:val="left" w:leader="none"/>
          <w:tab w:pos="4351" w:val="left" w:leader="none"/>
          <w:tab w:pos="4890" w:val="left" w:leader="none"/>
          <w:tab w:pos="7353" w:val="left" w:leader="none"/>
        </w:tabs>
        <w:spacing w:before="94"/>
        <w:ind w:left="1885" w:right="0" w:firstLine="0"/>
        <w:jc w:val="left"/>
        <w:rPr>
          <w:sz w:val="16"/>
        </w:rPr>
      </w:pPr>
      <w:r>
        <w:rPr/>
        <w:pict>
          <v:shape style="position:absolute;margin-left:-3.84pt;margin-top:322.46875pt;width:3.85pt;height:3.85pt;mso-position-horizontal-relative:page;mso-position-vertical-relative:paragraph;z-index:251921408" coordorigin="-77,6449" coordsize="77,77" path="m5779,231l5702,154m5702,231l5779,154e" filled="false" stroked="true" strokeweight=".72pt" strokecolor="#7e7e7e">
            <v:path arrowok="t"/>
            <v:stroke dashstyle="solid"/>
            <w10:wrap type="none"/>
          </v:shape>
        </w:pict>
      </w:r>
      <w:r>
        <w:rPr>
          <w:color w:val="585858"/>
          <w:w w:val="100"/>
          <w:sz w:val="16"/>
          <w:u w:val="thick" w:color="5B9BD4"/>
        </w:rPr>
        <w:t> </w:t>
      </w:r>
      <w:r>
        <w:rPr>
          <w:color w:val="585858"/>
          <w:sz w:val="16"/>
          <w:u w:val="thick" w:color="5B9BD4"/>
        </w:rPr>
        <w:tab/>
      </w:r>
      <w:r>
        <w:rPr>
          <w:color w:val="585858"/>
          <w:spacing w:val="-19"/>
          <w:sz w:val="16"/>
        </w:rPr>
        <w:t> </w:t>
      </w:r>
      <w:r>
        <w:rPr>
          <w:color w:val="585858"/>
          <w:sz w:val="16"/>
        </w:rPr>
        <w:t>Tiendas</w:t>
      </w:r>
      <w:r>
        <w:rPr>
          <w:color w:val="585858"/>
          <w:spacing w:val="-2"/>
          <w:sz w:val="16"/>
        </w:rPr>
        <w:t> </w:t>
      </w:r>
      <w:r>
        <w:rPr>
          <w:color w:val="585858"/>
          <w:sz w:val="16"/>
        </w:rPr>
        <w:t>y</w:t>
      </w:r>
      <w:r>
        <w:rPr>
          <w:color w:val="585858"/>
          <w:spacing w:val="-2"/>
          <w:sz w:val="16"/>
        </w:rPr>
        <w:t> </w:t>
      </w:r>
      <w:r>
        <w:rPr>
          <w:color w:val="585858"/>
          <w:sz w:val="16"/>
        </w:rPr>
        <w:t>ocio</w:t>
        <w:tab/>
      </w:r>
      <w:r>
        <w:rPr>
          <w:color w:val="585858"/>
          <w:sz w:val="16"/>
          <w:u w:val="thick" w:color="7E7E7E"/>
        </w:rPr>
        <w:t> </w:t>
        <w:tab/>
      </w:r>
      <w:r>
        <w:rPr>
          <w:color w:val="585858"/>
          <w:sz w:val="16"/>
        </w:rPr>
        <w:t>Supermercados</w:t>
      </w:r>
      <w:r>
        <w:rPr>
          <w:color w:val="585858"/>
          <w:spacing w:val="-3"/>
          <w:sz w:val="16"/>
        </w:rPr>
        <w:t> </w:t>
      </w:r>
      <w:r>
        <w:rPr>
          <w:color w:val="585858"/>
          <w:sz w:val="16"/>
        </w:rPr>
        <w:t>y</w:t>
      </w:r>
      <w:r>
        <w:rPr>
          <w:color w:val="585858"/>
          <w:spacing w:val="-3"/>
          <w:sz w:val="16"/>
        </w:rPr>
        <w:t> </w:t>
      </w:r>
      <w:r>
        <w:rPr>
          <w:color w:val="585858"/>
          <w:sz w:val="16"/>
        </w:rPr>
        <w:t>farmacias</w:t>
      </w:r>
      <w:r>
        <w:rPr>
          <w:color w:val="585858"/>
          <w:sz w:val="16"/>
          <w:u w:val="thick" w:color="000000"/>
        </w:rPr>
        <w:t> </w:t>
        <w:tab/>
      </w:r>
      <w:r>
        <w:rPr>
          <w:color w:val="585858"/>
          <w:sz w:val="16"/>
        </w:rPr>
        <w:t>Parques</w:t>
      </w:r>
    </w:p>
    <w:p>
      <w:pPr>
        <w:tabs>
          <w:tab w:pos="1885" w:val="left" w:leader="none"/>
          <w:tab w:pos="2429" w:val="left" w:leader="none"/>
          <w:tab w:pos="4349" w:val="left" w:leader="none"/>
          <w:tab w:pos="4889" w:val="left" w:leader="none"/>
          <w:tab w:pos="6814" w:val="left" w:leader="none"/>
          <w:tab w:pos="7353" w:val="left" w:leader="none"/>
        </w:tabs>
        <w:spacing w:line="384" w:lineRule="auto" w:before="5"/>
        <w:ind w:left="2446" w:right="2465" w:hanging="1361"/>
        <w:jc w:val="left"/>
        <w:rPr>
          <w:sz w:val="16"/>
        </w:rPr>
      </w:pPr>
      <w:r>
        <w:rPr/>
        <w:pict>
          <v:line style="position:absolute;mso-position-horizontal-relative:page;mso-position-vertical-relative:paragraph;z-index:-281397248" from="151.259995pt,26.532343pt" to="176.459995pt,26.532343pt" stroked="true" strokeweight="1.56pt" strokecolor="#245e91">
            <v:stroke dashstyle="solid"/>
            <w10:wrap type="none"/>
          </v:line>
        </w:pict>
      </w:r>
      <w:r>
        <w:rPr>
          <w:color w:val="585858"/>
          <w:position w:val="10"/>
          <w:sz w:val="18"/>
        </w:rPr>
        <w:t>150.0</w:t>
        <w:tab/>
      </w:r>
      <w:r>
        <w:rPr>
          <w:color w:val="585858"/>
          <w:position w:val="10"/>
          <w:sz w:val="18"/>
          <w:u w:val="thick" w:color="4471C4"/>
        </w:rPr>
        <w:t> </w:t>
        <w:tab/>
      </w:r>
      <w:r>
        <w:rPr>
          <w:color w:val="585858"/>
          <w:sz w:val="16"/>
        </w:rPr>
        <w:t>Estaciones</w:t>
      </w:r>
      <w:r>
        <w:rPr>
          <w:color w:val="585858"/>
          <w:spacing w:val="-2"/>
          <w:sz w:val="16"/>
        </w:rPr>
        <w:t> </w:t>
      </w:r>
      <w:r>
        <w:rPr>
          <w:color w:val="585858"/>
          <w:sz w:val="16"/>
        </w:rPr>
        <w:t>de</w:t>
      </w:r>
      <w:r>
        <w:rPr>
          <w:color w:val="585858"/>
          <w:spacing w:val="-4"/>
          <w:sz w:val="16"/>
        </w:rPr>
        <w:t> </w:t>
      </w:r>
      <w:r>
        <w:rPr>
          <w:color w:val="585858"/>
          <w:sz w:val="16"/>
        </w:rPr>
        <w:t>transporte</w:t>
        <w:tab/>
      </w:r>
      <w:r>
        <w:rPr>
          <w:color w:val="585858"/>
          <w:sz w:val="16"/>
          <w:u w:val="thick" w:color="538235"/>
        </w:rPr>
        <w:t> </w:t>
        <w:tab/>
      </w:r>
      <w:r>
        <w:rPr>
          <w:color w:val="585858"/>
          <w:sz w:val="16"/>
        </w:rPr>
        <w:t>Lugares</w:t>
      </w:r>
      <w:r>
        <w:rPr>
          <w:color w:val="585858"/>
          <w:spacing w:val="-3"/>
          <w:sz w:val="16"/>
        </w:rPr>
        <w:t> </w:t>
      </w:r>
      <w:r>
        <w:rPr>
          <w:color w:val="585858"/>
          <w:sz w:val="16"/>
        </w:rPr>
        <w:t>de</w:t>
      </w:r>
      <w:r>
        <w:rPr>
          <w:color w:val="585858"/>
          <w:spacing w:val="-4"/>
          <w:sz w:val="16"/>
        </w:rPr>
        <w:t> </w:t>
      </w:r>
      <w:r>
        <w:rPr>
          <w:color w:val="585858"/>
          <w:sz w:val="16"/>
        </w:rPr>
        <w:t>transporte</w:t>
        <w:tab/>
      </w:r>
      <w:r>
        <w:rPr>
          <w:color w:val="585858"/>
          <w:sz w:val="16"/>
          <w:u w:val="thick" w:color="C00000"/>
        </w:rPr>
        <w:t> </w:t>
        <w:tab/>
      </w:r>
      <w:r>
        <w:rPr>
          <w:color w:val="585858"/>
          <w:sz w:val="16"/>
        </w:rPr>
        <w:t>Zonas residenciales índice de</w:t>
      </w:r>
      <w:r>
        <w:rPr>
          <w:color w:val="585858"/>
          <w:spacing w:val="-2"/>
          <w:sz w:val="16"/>
        </w:rPr>
        <w:t> </w:t>
      </w:r>
      <w:r>
        <w:rPr>
          <w:color w:val="585858"/>
          <w:sz w:val="16"/>
        </w:rPr>
        <w:t>Rigor</w:t>
      </w:r>
    </w:p>
    <w:p>
      <w:pPr>
        <w:spacing w:line="144" w:lineRule="exact" w:before="0"/>
        <w:ind w:left="1085" w:right="0" w:firstLine="0"/>
        <w:jc w:val="left"/>
        <w:rPr>
          <w:sz w:val="18"/>
        </w:rPr>
      </w:pPr>
      <w:r>
        <w:rPr/>
        <w:pict>
          <v:group style="position:absolute;margin-left:141pt;margin-top:3.958335pt;width:361.1pt;height:111.15pt;mso-position-horizontal-relative:page;mso-position-vertical-relative:paragraph;z-index:251920384" coordorigin="2820,79" coordsize="7222,2223">
            <v:shape style="position:absolute;left:0;top:5522;width:7208;height:48" coordorigin="0,5522" coordsize="7208,48" path="m2827,1368l10034,1368m2827,1368l2827,1416m3142,1368l3142,1416m3454,1368l3454,1416m3768,1368l3768,1416m4082,1368l4082,1416m4394,1368l4394,1416m4709,1368l4709,1416m5021,1368l5021,1416m5335,1368l5335,1416m5647,1368l5647,1416m5962,1368l5962,1416m6274,1368l6274,1416m6588,1368l6588,1416m6902,1368l6902,1416m7214,1368l7214,1416m7529,1368l7529,1416m7841,1368l7841,1416m8155,1368l8155,1416m8467,1368l8467,1416m8782,1368l8782,1416m9094,1368l9094,1416m9408,1368l9408,1416m9722,1368l9722,1416m10034,1368l10034,1416e" filled="false" stroked="true" strokeweight=".72pt" strokecolor="#d9d9d9">
              <v:path arrowok="t"/>
              <v:stroke dashstyle="solid"/>
            </v:shape>
            <v:shape style="position:absolute;left:2984;top:1057;width:6893;height:1100" coordorigin="2984,1057" coordsize="6893,1100" path="m2984,1364l3299,1775,3611,2156,3925,2140,4237,2053,4552,2039,4864,1885,5178,1844,5492,1796,5804,1715,6119,1559,6431,1698,6745,1657,7057,1592,7372,1633,7684,1501,7998,1463,8312,1429,8624,1453,8939,1420,9251,1309,9565,1225,9877,1057e" filled="false" stroked="true" strokeweight="1.56pt" strokecolor="#5b9bd4">
              <v:path arrowok="t"/>
              <v:stroke dashstyle="dashdot"/>
            </v:shape>
            <v:shape style="position:absolute;left:2985;top:746;width:6893;height:1193" coordorigin="2986,746" coordsize="6893,1193" path="m2986,1378l3298,1574,3612,1894,3924,1939,4238,1841,4550,1843,4865,1723,5177,1668,5491,1579,5806,1524,6118,1289,6432,1524,6744,1445,7058,1346,7370,1373,7685,1234,7999,1214,8311,1154,8626,1171,8938,1135,9252,1046,9564,982,9878,746e" filled="false" stroked="true" strokeweight="1.2pt" strokecolor="#7e7e7e">
              <v:path arrowok="t"/>
              <v:stroke dashstyle="solid"/>
            </v:shape>
            <v:shape style="position:absolute;left:-77;top:5445;width:77;height:77" coordorigin="-77,5446" coordsize="77,77" path="m3024,1416l2947,1339m2947,1416l3024,1339e" filled="false" stroked="true" strokeweight=".72pt" strokecolor="#7e7e7e">
              <v:path arrowok="t"/>
              <v:stroke dashstyle="solid"/>
            </v:shape>
            <v:shape style="position:absolute;left:-77;top:5445;width:77;height:77" coordorigin="-77,5446" coordsize="77,77" path="m3336,1612l3259,1536m3259,1612l3336,1536e" filled="false" stroked="true" strokeweight=".72pt" strokecolor="#7e7e7e">
              <v:path arrowok="t"/>
              <v:stroke dashstyle="solid"/>
            </v:shape>
            <v:shape style="position:absolute;left:-77;top:5445;width:77;height:77" coordorigin="-77,5446" coordsize="77,77" path="m3650,1932l3574,1855m3574,1932l3650,1855e" filled="false" stroked="true" strokeweight=".72pt" strokecolor="#7e7e7e">
              <v:path arrowok="t"/>
              <v:stroke dashstyle="solid"/>
            </v:shape>
            <v:shape style="position:absolute;left:-77;top:5445;width:77;height:77" coordorigin="-77,5446" coordsize="77,77" path="m3962,1977l3886,1900m3886,1977l3962,1900e" filled="false" stroked="true" strokeweight=".72pt" strokecolor="#7e7e7e">
              <v:path arrowok="t"/>
              <v:stroke dashstyle="solid"/>
            </v:shape>
            <v:shape style="position:absolute;left:-77;top:5445;width:77;height:77" coordorigin="-77,5446" coordsize="77,77" path="m4277,1879l4200,1802m4200,1879l4277,1802e" filled="false" stroked="true" strokeweight=".72pt" strokecolor="#7e7e7e">
              <v:path arrowok="t"/>
              <v:stroke dashstyle="solid"/>
            </v:shape>
            <v:shape style="position:absolute;left:-77;top:5445;width:77;height:77" coordorigin="-77,5446" coordsize="77,77" path="m4589,1881l4512,1804m4512,1881l4589,1804e" filled="false" stroked="true" strokeweight=".72pt" strokecolor="#7e7e7e">
              <v:path arrowok="t"/>
              <v:stroke dashstyle="solid"/>
            </v:shape>
            <v:shape style="position:absolute;left:-77;top:5445;width:77;height:77" coordorigin="-77,5446" coordsize="77,77" path="m4903,1761l4826,1684m4826,1761l4903,1684e" filled="false" stroked="true" strokeweight=".72pt" strokecolor="#7e7e7e">
              <v:path arrowok="t"/>
              <v:stroke dashstyle="solid"/>
            </v:shape>
            <v:shape style="position:absolute;left:-77;top:5445;width:77;height:77" coordorigin="-77,5446" coordsize="77,77" path="m5215,1706l5138,1629m5138,1706l5215,1629e" filled="false" stroked="true" strokeweight=".72pt" strokecolor="#7e7e7e">
              <v:path arrowok="t"/>
              <v:stroke dashstyle="solid"/>
            </v:shape>
            <v:shape style="position:absolute;left:-77;top:5445;width:77;height:77" coordorigin="-77,5446" coordsize="77,77" path="m5530,1617l5453,1540m5453,1617l5530,1540e" filled="false" stroked="true" strokeweight=".72pt" strokecolor="#7e7e7e">
              <v:path arrowok="t"/>
              <v:stroke dashstyle="solid"/>
            </v:shape>
            <v:shape style="position:absolute;left:-77;top:5445;width:77;height:77" coordorigin="-77,5446" coordsize="77,77" path="m5844,1562l5767,1485m5767,1562l5844,1485e" filled="false" stroked="true" strokeweight=".72pt" strokecolor="#7e7e7e">
              <v:path arrowok="t"/>
              <v:stroke dashstyle="solid"/>
            </v:shape>
            <v:shape style="position:absolute;left:-77;top:5445;width:77;height:77" coordorigin="-77,5446" coordsize="77,77" path="m6156,1327l6079,1250m6079,1327l6156,1250e" filled="false" stroked="true" strokeweight=".72pt" strokecolor="#7e7e7e">
              <v:path arrowok="t"/>
              <v:stroke dashstyle="solid"/>
            </v:shape>
            <v:shape style="position:absolute;left:-77;top:5445;width:77;height:77" coordorigin="-77,5446" coordsize="77,77" path="m6470,1562l6394,1485m6394,1562l6470,1485e" filled="false" stroked="true" strokeweight=".72pt" strokecolor="#7e7e7e">
              <v:path arrowok="t"/>
              <v:stroke dashstyle="solid"/>
            </v:shape>
            <v:shape style="position:absolute;left:-77;top:5445;width:77;height:77" coordorigin="-77,5446" coordsize="77,77" path="m6782,1483l6706,1406m6706,1483l6782,1406e" filled="false" stroked="true" strokeweight=".72pt" strokecolor="#7e7e7e">
              <v:path arrowok="t"/>
              <v:stroke dashstyle="solid"/>
            </v:shape>
            <v:shape style="position:absolute;left:-77;top:5445;width:77;height:77" coordorigin="-77,5446" coordsize="77,77" path="m7097,1384l7020,1308m7020,1384l7097,1308e" filled="false" stroked="true" strokeweight=".72pt" strokecolor="#7e7e7e">
              <v:path arrowok="t"/>
              <v:stroke dashstyle="solid"/>
            </v:shape>
            <v:shape style="position:absolute;left:-77;top:5445;width:77;height:77" coordorigin="-77,5446" coordsize="77,77" path="m7409,1411l7332,1334m7332,1411l7409,1334e" filled="false" stroked="true" strokeweight=".72pt" strokecolor="#7e7e7e">
              <v:path arrowok="t"/>
              <v:stroke dashstyle="solid"/>
            </v:shape>
            <v:shape style="position:absolute;left:-77;top:5445;width:77;height:77" coordorigin="-77,5446" coordsize="77,77" path="m7723,1272l7646,1195m7646,1272l7723,1195e" filled="false" stroked="true" strokeweight=".72pt" strokecolor="#7e7e7e">
              <v:path arrowok="t"/>
              <v:stroke dashstyle="solid"/>
            </v:shape>
            <v:shape style="position:absolute;left:-77;top:5445;width:77;height:77" coordorigin="-77,5446" coordsize="77,77" path="m8038,1252l7961,1176m7961,1252l8038,1176e" filled="false" stroked="true" strokeweight=".72pt" strokecolor="#7e7e7e">
              <v:path arrowok="t"/>
              <v:stroke dashstyle="solid"/>
            </v:shape>
            <v:shape style="position:absolute;left:-77;top:5445;width:77;height:77" coordorigin="-77,5446" coordsize="77,77" path="m8350,1192l8273,1116m8273,1192l8350,1116e" filled="false" stroked="true" strokeweight=".72pt" strokecolor="#7e7e7e">
              <v:path arrowok="t"/>
              <v:stroke dashstyle="solid"/>
            </v:shape>
            <v:shape style="position:absolute;left:-77;top:5445;width:77;height:77" coordorigin="-77,5446" coordsize="77,77" path="m8664,1209l8587,1132m8587,1209l8664,1132e" filled="false" stroked="true" strokeweight=".72pt" strokecolor="#7e7e7e">
              <v:path arrowok="t"/>
              <v:stroke dashstyle="solid"/>
            </v:shape>
            <v:shape style="position:absolute;left:-77;top:5445;width:77;height:77" coordorigin="-77,5446" coordsize="77,77" path="m8976,1173l8899,1096m8899,1173l8976,1096e" filled="false" stroked="true" strokeweight=".72pt" strokecolor="#7e7e7e">
              <v:path arrowok="t"/>
              <v:stroke dashstyle="solid"/>
            </v:shape>
            <v:shape style="position:absolute;left:-77;top:5445;width:77;height:77" coordorigin="-77,5446" coordsize="77,77" path="m9290,1084l9214,1008m9214,1084l9290,1008e" filled="false" stroked="true" strokeweight=".72pt" strokecolor="#7e7e7e">
              <v:path arrowok="t"/>
              <v:stroke dashstyle="solid"/>
            </v:shape>
            <v:shape style="position:absolute;left:-77;top:5445;width:77;height:77" coordorigin="-77,5446" coordsize="77,77" path="m9602,1020l9526,943m9526,1020l9602,943e" filled="false" stroked="true" strokeweight=".72pt" strokecolor="#7e7e7e">
              <v:path arrowok="t"/>
              <v:stroke dashstyle="solid"/>
            </v:shape>
            <v:shape style="position:absolute;left:-77;top:5445;width:77;height:77" coordorigin="-77,5446" coordsize="77,77" path="m9917,784l9840,708m9840,784l9917,708e" filled="false" stroked="true" strokeweight=".72pt" strokecolor="#7e7e7e">
              <v:path arrowok="t"/>
              <v:stroke dashstyle="solid"/>
            </v:shape>
            <v:shape style="position:absolute;left:2984;top:1133;width:6893;height:896" coordorigin="2984,1134" coordsize="6893,896" path="m2984,1357l3299,1674,3611,2017,3925,2029,4237,1964,4552,1969,4864,1854,5178,1816,5492,1792,5804,1777,6119,1576,6431,1712,6745,1710,7057,1650,7372,1681,7684,1595,7998,1523,8312,1477,8624,1501,8939,1499,9251,1391,9565,1316,9877,1134e" filled="false" stroked="true" strokeweight="1.8pt" strokecolor="#000000">
              <v:path arrowok="t"/>
              <v:stroke dashstyle="dashdot"/>
            </v:shape>
            <v:shape style="position:absolute;left:2984;top:1273;width:6893;height:1013" coordorigin="2984,1273" coordsize="6893,1013" path="m2984,1376l3299,1844,3611,2286,3925,2276,4237,2231,4552,2231,4864,2120,5178,2027,5492,1916,5804,1849,6119,1684,6431,1801,6745,1792,7057,1736,7372,1784,7684,1669,7998,1645,8312,1583,8624,1607,8939,1602,9251,1496,9565,1417,9877,1273e" filled="false" stroked="true" strokeweight="1.56pt" strokecolor="#4471c4">
              <v:path arrowok="t"/>
              <v:stroke dashstyle="solid"/>
            </v:shape>
            <v:shape style="position:absolute;left:2984;top:1325;width:6893;height:665" coordorigin="2984,1326" coordsize="6893,665" path="m2984,1326l3299,1669,3611,1991,3925,1972,4237,1880,4552,1936,4864,1801,5178,1796,5492,1746,5804,1679,6119,1686,6431,1688,6745,1645,7057,1631,7372,1676,7684,1556,7998,1578,8312,1556,8624,1544,8939,1540,9251,1465,9565,1439,9877,1439e" filled="false" stroked="true" strokeweight="1.8pt" strokecolor="#538235">
              <v:path arrowok="t"/>
              <v:stroke dashstyle="longdashdotdot"/>
            </v:shape>
            <v:shape style="position:absolute;left:2984;top:1030;width:6893;height:346" coordorigin="2984,1031" coordsize="6893,346" path="m2984,1376l3299,1201,3611,1031,3925,1040,4237,1069,4552,1064,4864,1136,5178,1158,5492,1189,5804,1216,6119,1244,6431,1237,6745,1290,7057,1304,7372,1268,7684,1297,7998,1309,8312,1300,8624,1283,8939,1280,9251,1319,9565,1328,9877,1343e" filled="false" stroked="true" strokeweight="1.56pt" strokecolor="#c00000">
              <v:path arrowok="t"/>
              <v:stroke dashstyle="dot"/>
            </v:shape>
            <v:shape style="position:absolute;left:2984;top:94;width:6893;height:1126" coordorigin="2984,95" coordsize="6893,1126" path="m2984,1220l3299,613,3611,116,3925,95,4237,95,4552,116,4864,217,5178,330,5492,714,5804,714,6119,702,6431,647,6745,740,7057,668,7372,709,7684,683,7998,683,8312,676,8624,625,8939,493,9251,702,9565,745,9877,599e" filled="false" stroked="true" strokeweight="1.56pt" strokecolor="#245e91">
              <v:path arrowok="t"/>
              <v:stroke dashstyle="solid"/>
            </v:shape>
            <w10:wrap type="none"/>
          </v:group>
        </w:pict>
      </w:r>
      <w:r>
        <w:rPr>
          <w:color w:val="585858"/>
          <w:sz w:val="18"/>
        </w:rPr>
        <w:t>100.0</w:t>
      </w:r>
    </w:p>
    <w:p>
      <w:pPr>
        <w:pStyle w:val="BodyText"/>
        <w:rPr>
          <w:sz w:val="20"/>
        </w:rPr>
      </w:pPr>
    </w:p>
    <w:p>
      <w:pPr>
        <w:pStyle w:val="BodyText"/>
        <w:spacing w:before="5"/>
        <w:rPr>
          <w:sz w:val="19"/>
        </w:rPr>
      </w:pPr>
    </w:p>
    <w:p>
      <w:pPr>
        <w:spacing w:before="0"/>
        <w:ind w:left="1175" w:right="0" w:firstLine="0"/>
        <w:jc w:val="left"/>
        <w:rPr>
          <w:sz w:val="18"/>
        </w:rPr>
      </w:pPr>
      <w:r>
        <w:rPr>
          <w:color w:val="585858"/>
          <w:sz w:val="18"/>
        </w:rPr>
        <w:t>50.0</w:t>
      </w:r>
    </w:p>
    <w:p>
      <w:pPr>
        <w:pStyle w:val="BodyText"/>
        <w:rPr>
          <w:sz w:val="20"/>
        </w:rPr>
      </w:pPr>
    </w:p>
    <w:p>
      <w:pPr>
        <w:pStyle w:val="BodyText"/>
        <w:spacing w:before="5"/>
        <w:rPr>
          <w:sz w:val="19"/>
        </w:rPr>
      </w:pPr>
    </w:p>
    <w:p>
      <w:pPr>
        <w:spacing w:before="0"/>
        <w:ind w:left="1340" w:right="0" w:firstLine="0"/>
        <w:jc w:val="left"/>
        <w:rPr>
          <w:sz w:val="18"/>
        </w:rPr>
      </w:pPr>
      <w:r>
        <w:rPr>
          <w:color w:val="585858"/>
          <w:sz w:val="18"/>
        </w:rPr>
        <w:t>-</w:t>
      </w:r>
    </w:p>
    <w:p>
      <w:pPr>
        <w:pStyle w:val="BodyText"/>
        <w:rPr>
          <w:sz w:val="20"/>
        </w:rPr>
      </w:pPr>
    </w:p>
    <w:p>
      <w:pPr>
        <w:pStyle w:val="BodyText"/>
        <w:spacing w:before="6"/>
        <w:rPr>
          <w:sz w:val="19"/>
        </w:rPr>
      </w:pPr>
    </w:p>
    <w:p>
      <w:pPr>
        <w:spacing w:before="0"/>
        <w:ind w:left="1115" w:right="0" w:firstLine="0"/>
        <w:jc w:val="left"/>
        <w:rPr>
          <w:sz w:val="18"/>
        </w:rPr>
      </w:pPr>
      <w:r>
        <w:rPr>
          <w:color w:val="585858"/>
          <w:sz w:val="18"/>
        </w:rPr>
        <w:t>-50.0</w:t>
      </w:r>
    </w:p>
    <w:p>
      <w:pPr>
        <w:pStyle w:val="BodyText"/>
        <w:rPr>
          <w:sz w:val="20"/>
        </w:rPr>
      </w:pPr>
    </w:p>
    <w:p>
      <w:pPr>
        <w:pStyle w:val="BodyText"/>
        <w:spacing w:before="5"/>
        <w:rPr>
          <w:sz w:val="19"/>
        </w:rPr>
      </w:pPr>
    </w:p>
    <w:p>
      <w:pPr>
        <w:spacing w:before="0"/>
        <w:ind w:left="1025" w:right="0" w:firstLine="0"/>
        <w:jc w:val="left"/>
        <w:rPr>
          <w:sz w:val="18"/>
        </w:rPr>
      </w:pPr>
      <w:r>
        <w:rPr/>
        <w:drawing>
          <wp:anchor distT="0" distB="0" distL="0" distR="0" allowOverlap="1" layoutInCell="1" locked="0" behindDoc="0" simplePos="0" relativeHeight="245">
            <wp:simplePos x="0" y="0"/>
            <wp:positionH relativeFrom="page">
              <wp:posOffset>1698117</wp:posOffset>
            </wp:positionH>
            <wp:positionV relativeFrom="paragraph">
              <wp:posOffset>157382</wp:posOffset>
            </wp:positionV>
            <wp:extent cx="4547325" cy="252412"/>
            <wp:effectExtent l="0" t="0" r="0" b="0"/>
            <wp:wrapTopAndBottom/>
            <wp:docPr id="3" name="image6.png"/>
            <wp:cNvGraphicFramePr>
              <a:graphicFrameLocks noChangeAspect="1"/>
            </wp:cNvGraphicFramePr>
            <a:graphic>
              <a:graphicData uri="http://schemas.openxmlformats.org/drawingml/2006/picture">
                <pic:pic>
                  <pic:nvPicPr>
                    <pic:cNvPr id="4" name="image6.png"/>
                    <pic:cNvPicPr/>
                  </pic:nvPicPr>
                  <pic:blipFill>
                    <a:blip r:embed="rId12" cstate="print"/>
                    <a:stretch>
                      <a:fillRect/>
                    </a:stretch>
                  </pic:blipFill>
                  <pic:spPr>
                    <a:xfrm>
                      <a:off x="0" y="0"/>
                      <a:ext cx="4547325" cy="252412"/>
                    </a:xfrm>
                    <a:prstGeom prst="rect">
                      <a:avLst/>
                    </a:prstGeom>
                  </pic:spPr>
                </pic:pic>
              </a:graphicData>
            </a:graphic>
          </wp:anchor>
        </w:drawing>
      </w:r>
      <w:r>
        <w:rPr>
          <w:color w:val="585858"/>
          <w:sz w:val="18"/>
        </w:rPr>
        <w:t>-100.0</w:t>
      </w:r>
    </w:p>
    <w:p>
      <w:pPr>
        <w:pStyle w:val="BodyText"/>
        <w:rPr>
          <w:sz w:val="20"/>
        </w:rPr>
      </w:pPr>
    </w:p>
    <w:p>
      <w:pPr>
        <w:spacing w:before="131"/>
        <w:ind w:left="1060" w:right="0" w:firstLine="0"/>
        <w:jc w:val="left"/>
        <w:rPr>
          <w:sz w:val="16"/>
        </w:rPr>
      </w:pPr>
      <w:r>
        <w:rPr>
          <w:sz w:val="16"/>
        </w:rPr>
        <w:t>Fuente: Índice de rigor de Oxford e índice de movilidad de google.</w:t>
      </w:r>
    </w:p>
    <w:p>
      <w:pPr>
        <w:spacing w:after="0"/>
        <w:jc w:val="left"/>
        <w:rPr>
          <w:sz w:val="16"/>
        </w:rPr>
        <w:sectPr>
          <w:type w:val="continuous"/>
          <w:pgSz w:w="12240" w:h="15840"/>
          <w:pgMar w:top="1500" w:bottom="280" w:left="1140" w:right="0"/>
        </w:sectPr>
      </w:pPr>
    </w:p>
    <w:p>
      <w:pPr>
        <w:pStyle w:val="BodyText"/>
        <w:rPr>
          <w:sz w:val="20"/>
        </w:rPr>
      </w:pPr>
    </w:p>
    <w:p>
      <w:pPr>
        <w:pStyle w:val="BodyText"/>
        <w:spacing w:before="4"/>
        <w:rPr>
          <w:sz w:val="19"/>
        </w:rPr>
      </w:pPr>
    </w:p>
    <w:p>
      <w:pPr>
        <w:pStyle w:val="BodyText"/>
        <w:spacing w:line="276" w:lineRule="auto"/>
        <w:ind w:left="562" w:right="1695"/>
        <w:jc w:val="both"/>
      </w:pPr>
      <w:r>
        <w:rPr/>
        <w:t>El</w:t>
      </w:r>
      <w:r>
        <w:rPr>
          <w:spacing w:val="-3"/>
        </w:rPr>
        <w:t> </w:t>
      </w:r>
      <w:r>
        <w:rPr/>
        <w:t>68.4%</w:t>
      </w:r>
      <w:r>
        <w:rPr>
          <w:spacing w:val="-3"/>
        </w:rPr>
        <w:t> </w:t>
      </w:r>
      <w:r>
        <w:rPr/>
        <w:t>del</w:t>
      </w:r>
      <w:r>
        <w:rPr>
          <w:spacing w:val="-5"/>
        </w:rPr>
        <w:t> </w:t>
      </w:r>
      <w:r>
        <w:rPr/>
        <w:t>total</w:t>
      </w:r>
      <w:r>
        <w:rPr>
          <w:spacing w:val="-3"/>
        </w:rPr>
        <w:t> </w:t>
      </w:r>
      <w:r>
        <w:rPr/>
        <w:t>del</w:t>
      </w:r>
      <w:r>
        <w:rPr>
          <w:spacing w:val="-3"/>
        </w:rPr>
        <w:t> </w:t>
      </w:r>
      <w:r>
        <w:rPr/>
        <w:t>PIB</w:t>
      </w:r>
      <w:r>
        <w:rPr>
          <w:spacing w:val="-5"/>
        </w:rPr>
        <w:t> </w:t>
      </w:r>
      <w:r>
        <w:rPr/>
        <w:t>fue</w:t>
      </w:r>
      <w:r>
        <w:rPr>
          <w:spacing w:val="-3"/>
        </w:rPr>
        <w:t> </w:t>
      </w:r>
      <w:r>
        <w:rPr/>
        <w:t>representada</w:t>
      </w:r>
      <w:r>
        <w:rPr>
          <w:spacing w:val="-5"/>
        </w:rPr>
        <w:t> </w:t>
      </w:r>
      <w:r>
        <w:rPr/>
        <w:t>por</w:t>
      </w:r>
      <w:r>
        <w:rPr>
          <w:spacing w:val="-5"/>
        </w:rPr>
        <w:t> </w:t>
      </w:r>
      <w:r>
        <w:rPr/>
        <w:t>8</w:t>
      </w:r>
      <w:r>
        <w:rPr>
          <w:spacing w:val="-4"/>
        </w:rPr>
        <w:t> </w:t>
      </w:r>
      <w:r>
        <w:rPr/>
        <w:t>de</w:t>
      </w:r>
      <w:r>
        <w:rPr>
          <w:spacing w:val="-6"/>
        </w:rPr>
        <w:t> </w:t>
      </w:r>
      <w:r>
        <w:rPr/>
        <w:t>las</w:t>
      </w:r>
      <w:r>
        <w:rPr>
          <w:spacing w:val="-6"/>
        </w:rPr>
        <w:t> </w:t>
      </w:r>
      <w:r>
        <w:rPr/>
        <w:t>18</w:t>
      </w:r>
      <w:r>
        <w:rPr>
          <w:spacing w:val="-4"/>
        </w:rPr>
        <w:t> </w:t>
      </w:r>
      <w:r>
        <w:rPr/>
        <w:t>actividades</w:t>
      </w:r>
      <w:r>
        <w:rPr>
          <w:spacing w:val="-1"/>
        </w:rPr>
        <w:t> </w:t>
      </w:r>
      <w:r>
        <w:rPr/>
        <w:t>económicas</w:t>
      </w:r>
      <w:r>
        <w:rPr>
          <w:spacing w:val="-6"/>
        </w:rPr>
        <w:t> </w:t>
      </w:r>
      <w:r>
        <w:rPr/>
        <w:t>del</w:t>
      </w:r>
      <w:r>
        <w:rPr>
          <w:spacing w:val="-3"/>
        </w:rPr>
        <w:t> </w:t>
      </w:r>
      <w:r>
        <w:rPr/>
        <w:t>2017</w:t>
      </w:r>
      <w:r>
        <w:rPr>
          <w:spacing w:val="-4"/>
        </w:rPr>
        <w:t> </w:t>
      </w:r>
      <w:r>
        <w:rPr/>
        <w:t>al</w:t>
      </w:r>
      <w:r>
        <w:rPr>
          <w:spacing w:val="-3"/>
        </w:rPr>
        <w:t> </w:t>
      </w:r>
      <w:r>
        <w:rPr/>
        <w:t>2021, de las cuales el comercio al por mayor y menor presentó un crecimiento de 9.0%, las industrias manufactureras de 8.0%, la agricultura de 3.5%, actividades inmobiliarias de 4.7%, información y comunicaciones de 6.1%, construcción de 11.0%, la administración pública de 2.0% y actividades financieras 6.3%.</w:t>
      </w:r>
    </w:p>
    <w:p>
      <w:pPr>
        <w:pStyle w:val="BodyText"/>
        <w:spacing w:before="3"/>
        <w:rPr>
          <w:sz w:val="25"/>
        </w:rPr>
      </w:pPr>
    </w:p>
    <w:p>
      <w:pPr>
        <w:pStyle w:val="BodyText"/>
        <w:spacing w:line="276" w:lineRule="auto"/>
        <w:ind w:left="562" w:right="1695"/>
        <w:jc w:val="both"/>
      </w:pPr>
      <w:r>
        <w:rPr/>
        <w:t>Asimismo, otras actividades que mostraron una recuperación relevante a pesar de tener una menor participación en la producción fueron las actividades de alojamiento, con un crecimiento de 20.8%, reflejando la gradual mejora en el sector turismo, las actividades de atención de la salud 17.4%, debido a la alta demanda de estos servicios, el transporte y almacenamiento con un crecimiento de 11.6%, que mostró el efecto en el relajamiento de restricciones de confinamiento, las actividades de servicios administrativos con 10.4% y otras actividades de servicios con 7.2%.</w:t>
      </w:r>
    </w:p>
    <w:p>
      <w:pPr>
        <w:pStyle w:val="BodyText"/>
        <w:spacing w:before="5"/>
        <w:rPr>
          <w:sz w:val="25"/>
        </w:rPr>
      </w:pPr>
    </w:p>
    <w:p>
      <w:pPr>
        <w:pStyle w:val="BodyText"/>
        <w:spacing w:line="276" w:lineRule="auto"/>
        <w:ind w:left="562" w:right="1697"/>
        <w:jc w:val="both"/>
      </w:pPr>
      <w:r>
        <w:rPr/>
        <w:t>Es importante hacer énfasis que, dada la magnitud de los choques experimentados por la pandemia, que distorsionaron la demanda y dañaron la capacidad productiva mundial, tal y como se observó en la</w:t>
      </w:r>
      <w:r>
        <w:rPr>
          <w:spacing w:val="-11"/>
        </w:rPr>
        <w:t> </w:t>
      </w:r>
      <w:r>
        <w:rPr/>
        <w:t>alteración</w:t>
      </w:r>
      <w:r>
        <w:rPr>
          <w:spacing w:val="-11"/>
        </w:rPr>
        <w:t> </w:t>
      </w:r>
      <w:r>
        <w:rPr/>
        <w:t>en</w:t>
      </w:r>
      <w:r>
        <w:rPr>
          <w:spacing w:val="-14"/>
        </w:rPr>
        <w:t> </w:t>
      </w:r>
      <w:r>
        <w:rPr/>
        <w:t>la</w:t>
      </w:r>
      <w:r>
        <w:rPr>
          <w:spacing w:val="-10"/>
        </w:rPr>
        <w:t> </w:t>
      </w:r>
      <w:r>
        <w:rPr/>
        <w:t>cadena</w:t>
      </w:r>
      <w:r>
        <w:rPr>
          <w:spacing w:val="-14"/>
        </w:rPr>
        <w:t> </w:t>
      </w:r>
      <w:r>
        <w:rPr/>
        <w:t>de</w:t>
      </w:r>
      <w:r>
        <w:rPr>
          <w:spacing w:val="-13"/>
        </w:rPr>
        <w:t> </w:t>
      </w:r>
      <w:r>
        <w:rPr/>
        <w:t>suministros</w:t>
      </w:r>
      <w:r>
        <w:rPr>
          <w:spacing w:val="-11"/>
        </w:rPr>
        <w:t> </w:t>
      </w:r>
      <w:r>
        <w:rPr/>
        <w:t>global</w:t>
      </w:r>
      <w:r>
        <w:rPr>
          <w:spacing w:val="-10"/>
        </w:rPr>
        <w:t> </w:t>
      </w:r>
      <w:r>
        <w:rPr/>
        <w:t>en</w:t>
      </w:r>
      <w:r>
        <w:rPr>
          <w:spacing w:val="-12"/>
        </w:rPr>
        <w:t> </w:t>
      </w:r>
      <w:r>
        <w:rPr/>
        <w:t>el</w:t>
      </w:r>
      <w:r>
        <w:rPr>
          <w:spacing w:val="-10"/>
        </w:rPr>
        <w:t> </w:t>
      </w:r>
      <w:r>
        <w:rPr/>
        <w:t>2021,</w:t>
      </w:r>
      <w:r>
        <w:rPr>
          <w:spacing w:val="-12"/>
        </w:rPr>
        <w:t> </w:t>
      </w:r>
      <w:r>
        <w:rPr/>
        <w:t>pudieron</w:t>
      </w:r>
      <w:r>
        <w:rPr>
          <w:spacing w:val="-11"/>
        </w:rPr>
        <w:t> </w:t>
      </w:r>
      <w:r>
        <w:rPr/>
        <w:t>haber</w:t>
      </w:r>
      <w:r>
        <w:rPr>
          <w:spacing w:val="-11"/>
        </w:rPr>
        <w:t> </w:t>
      </w:r>
      <w:r>
        <w:rPr/>
        <w:t>generado</w:t>
      </w:r>
      <w:r>
        <w:rPr>
          <w:spacing w:val="-11"/>
        </w:rPr>
        <w:t> </w:t>
      </w:r>
      <w:r>
        <w:rPr/>
        <w:t>también</w:t>
      </w:r>
      <w:r>
        <w:rPr>
          <w:spacing w:val="-11"/>
        </w:rPr>
        <w:t> </w:t>
      </w:r>
      <w:r>
        <w:rPr/>
        <w:t>cambios estructurales en los factores de la producción nacional, como el trabajo y el capital, y esto afectar el retorno de la economía a su producción</w:t>
      </w:r>
      <w:r>
        <w:rPr>
          <w:spacing w:val="-6"/>
        </w:rPr>
        <w:t> </w:t>
      </w:r>
      <w:r>
        <w:rPr/>
        <w:t>potencial.</w:t>
      </w:r>
    </w:p>
    <w:p>
      <w:pPr>
        <w:pStyle w:val="BodyText"/>
        <w:spacing w:before="9"/>
        <w:rPr>
          <w:sz w:val="25"/>
        </w:rPr>
      </w:pPr>
    </w:p>
    <w:p>
      <w:pPr>
        <w:spacing w:before="0" w:after="33"/>
        <w:ind w:left="2035" w:right="0" w:firstLine="0"/>
        <w:jc w:val="left"/>
        <w:rPr>
          <w:b/>
          <w:sz w:val="20"/>
        </w:rPr>
      </w:pPr>
      <w:bookmarkStart w:name="_bookmark43" w:id="59"/>
      <w:bookmarkEnd w:id="59"/>
      <w:r>
        <w:rPr/>
      </w:r>
      <w:r>
        <w:rPr>
          <w:b/>
          <w:i/>
          <w:sz w:val="20"/>
        </w:rPr>
        <w:t>Tabla 4. </w:t>
      </w:r>
      <w:r>
        <w:rPr>
          <w:b/>
          <w:sz w:val="20"/>
        </w:rPr>
        <w:t>Producto Interno Bruto real por el enfoque de la producción</w:t>
      </w:r>
    </w:p>
    <w:tbl>
      <w:tblPr>
        <w:tblW w:w="0" w:type="auto"/>
        <w:jc w:val="left"/>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53"/>
        <w:gridCol w:w="1120"/>
        <w:gridCol w:w="1251"/>
        <w:gridCol w:w="1119"/>
        <w:gridCol w:w="1093"/>
      </w:tblGrid>
      <w:tr>
        <w:trPr>
          <w:trHeight w:val="686" w:hRule="atLeast"/>
        </w:trPr>
        <w:tc>
          <w:tcPr>
            <w:tcW w:w="4253" w:type="dxa"/>
            <w:tcBorders>
              <w:top w:val="single" w:sz="6" w:space="0" w:color="000000"/>
              <w:bottom w:val="double" w:sz="2" w:space="0" w:color="000000"/>
              <w:right w:val="single" w:sz="6" w:space="0" w:color="000000"/>
            </w:tcBorders>
          </w:tcPr>
          <w:p>
            <w:pPr>
              <w:pStyle w:val="TableParagraph"/>
              <w:spacing w:before="3"/>
              <w:rPr>
                <w:b/>
                <w:sz w:val="21"/>
              </w:rPr>
            </w:pPr>
          </w:p>
          <w:p>
            <w:pPr>
              <w:pStyle w:val="TableParagraph"/>
              <w:ind w:left="1385"/>
              <w:rPr>
                <w:b/>
                <w:sz w:val="18"/>
              </w:rPr>
            </w:pPr>
            <w:r>
              <w:rPr>
                <w:b/>
                <w:sz w:val="18"/>
              </w:rPr>
              <w:t>Actividad económica</w:t>
            </w:r>
          </w:p>
        </w:tc>
        <w:tc>
          <w:tcPr>
            <w:tcW w:w="2371" w:type="dxa"/>
            <w:gridSpan w:val="2"/>
            <w:tcBorders>
              <w:top w:val="single" w:sz="6" w:space="0" w:color="000000"/>
              <w:left w:val="single" w:sz="6" w:space="0" w:color="000000"/>
              <w:bottom w:val="double" w:sz="2" w:space="0" w:color="000000"/>
              <w:right w:val="single" w:sz="6" w:space="0" w:color="000000"/>
            </w:tcBorders>
          </w:tcPr>
          <w:p>
            <w:pPr>
              <w:pStyle w:val="TableParagraph"/>
              <w:spacing w:before="24"/>
              <w:ind w:left="281"/>
              <w:rPr>
                <w:b/>
                <w:sz w:val="18"/>
              </w:rPr>
            </w:pPr>
            <w:r>
              <w:rPr>
                <w:b/>
                <w:sz w:val="18"/>
              </w:rPr>
              <w:t>Estructura porcentual</w:t>
            </w:r>
          </w:p>
          <w:p>
            <w:pPr>
              <w:pStyle w:val="TableParagraph"/>
              <w:tabs>
                <w:tab w:pos="1852" w:val="right" w:leader="none"/>
              </w:tabs>
              <w:spacing w:line="158" w:lineRule="auto" w:before="43"/>
              <w:ind w:left="199"/>
              <w:rPr>
                <w:b/>
                <w:sz w:val="18"/>
              </w:rPr>
            </w:pPr>
            <w:r>
              <w:rPr>
                <w:b/>
                <w:spacing w:val="-4"/>
                <w:sz w:val="18"/>
              </w:rPr>
              <w:t>Promedio</w:t>
              <w:tab/>
            </w:r>
            <w:r>
              <w:rPr>
                <w:b/>
                <w:spacing w:val="6"/>
                <w:position w:val="-11"/>
                <w:sz w:val="18"/>
              </w:rPr>
              <w:t>2021</w:t>
            </w:r>
          </w:p>
          <w:p>
            <w:pPr>
              <w:pStyle w:val="TableParagraph"/>
              <w:spacing w:line="133" w:lineRule="exact"/>
              <w:ind w:left="144"/>
              <w:rPr>
                <w:b/>
                <w:sz w:val="18"/>
              </w:rPr>
            </w:pPr>
            <w:r>
              <w:rPr>
                <w:b/>
                <w:sz w:val="18"/>
              </w:rPr>
              <w:t>2017-2021</w:t>
            </w:r>
          </w:p>
        </w:tc>
        <w:tc>
          <w:tcPr>
            <w:tcW w:w="2212" w:type="dxa"/>
            <w:gridSpan w:val="2"/>
            <w:tcBorders>
              <w:top w:val="single" w:sz="6" w:space="0" w:color="000000"/>
              <w:left w:val="single" w:sz="6" w:space="0" w:color="000000"/>
              <w:bottom w:val="double" w:sz="2" w:space="0" w:color="000000"/>
            </w:tcBorders>
          </w:tcPr>
          <w:p>
            <w:pPr>
              <w:pStyle w:val="TableParagraph"/>
              <w:spacing w:before="24"/>
              <w:ind w:left="350"/>
              <w:rPr>
                <w:b/>
                <w:sz w:val="18"/>
              </w:rPr>
            </w:pPr>
            <w:r>
              <w:rPr>
                <w:b/>
                <w:sz w:val="18"/>
              </w:rPr>
              <w:t>Tasa </w:t>
            </w:r>
            <w:r>
              <w:rPr>
                <w:b/>
                <w:spacing w:val="-9"/>
                <w:sz w:val="18"/>
              </w:rPr>
              <w:t>de</w:t>
            </w:r>
            <w:r>
              <w:rPr>
                <w:b/>
                <w:spacing w:val="-25"/>
                <w:sz w:val="18"/>
              </w:rPr>
              <w:t> </w:t>
            </w:r>
            <w:r>
              <w:rPr>
                <w:b/>
                <w:sz w:val="18"/>
              </w:rPr>
              <w:t>crecimiento</w:t>
            </w:r>
          </w:p>
          <w:p>
            <w:pPr>
              <w:pStyle w:val="TableParagraph"/>
              <w:tabs>
                <w:tab w:pos="1453" w:val="left" w:leader="none"/>
              </w:tabs>
              <w:spacing w:before="151"/>
              <w:ind w:left="350"/>
              <w:rPr>
                <w:b/>
                <w:sz w:val="18"/>
              </w:rPr>
            </w:pPr>
            <w:r>
              <w:rPr>
                <w:b/>
                <w:spacing w:val="4"/>
                <w:sz w:val="18"/>
              </w:rPr>
              <w:t>2020</w:t>
              <w:tab/>
            </w:r>
            <w:r>
              <w:rPr>
                <w:b/>
                <w:spacing w:val="6"/>
                <w:sz w:val="18"/>
              </w:rPr>
              <w:t>2021</w:t>
            </w:r>
          </w:p>
        </w:tc>
      </w:tr>
      <w:tr>
        <w:trPr>
          <w:trHeight w:val="234" w:hRule="atLeast"/>
        </w:trPr>
        <w:tc>
          <w:tcPr>
            <w:tcW w:w="4253" w:type="dxa"/>
            <w:tcBorders>
              <w:top w:val="double" w:sz="2" w:space="0" w:color="000000"/>
              <w:right w:val="single" w:sz="6" w:space="0" w:color="000000"/>
            </w:tcBorders>
          </w:tcPr>
          <w:p>
            <w:pPr>
              <w:pStyle w:val="TableParagraph"/>
              <w:spacing w:line="205" w:lineRule="exact" w:before="9"/>
              <w:ind w:left="89"/>
              <w:rPr>
                <w:sz w:val="18"/>
              </w:rPr>
            </w:pPr>
            <w:r>
              <w:rPr>
                <w:sz w:val="18"/>
              </w:rPr>
              <w:t>Comercio</w:t>
            </w:r>
          </w:p>
        </w:tc>
        <w:tc>
          <w:tcPr>
            <w:tcW w:w="1120" w:type="dxa"/>
            <w:tcBorders>
              <w:top w:val="double" w:sz="2" w:space="0" w:color="000000"/>
              <w:left w:val="single" w:sz="6" w:space="0" w:color="000000"/>
            </w:tcBorders>
          </w:tcPr>
          <w:p>
            <w:pPr>
              <w:pStyle w:val="TableParagraph"/>
              <w:spacing w:line="205" w:lineRule="exact" w:before="9"/>
              <w:ind w:right="394"/>
              <w:jc w:val="right"/>
              <w:rPr>
                <w:sz w:val="18"/>
              </w:rPr>
            </w:pPr>
            <w:r>
              <w:rPr>
                <w:w w:val="95"/>
                <w:sz w:val="18"/>
              </w:rPr>
              <w:t>18.2</w:t>
            </w:r>
          </w:p>
        </w:tc>
        <w:tc>
          <w:tcPr>
            <w:tcW w:w="1251" w:type="dxa"/>
            <w:tcBorders>
              <w:top w:val="double" w:sz="2" w:space="0" w:color="000000"/>
              <w:right w:val="single" w:sz="6" w:space="0" w:color="000000"/>
            </w:tcBorders>
          </w:tcPr>
          <w:p>
            <w:pPr>
              <w:pStyle w:val="TableParagraph"/>
              <w:spacing w:line="205" w:lineRule="exact" w:before="9"/>
              <w:ind w:left="409"/>
              <w:rPr>
                <w:sz w:val="18"/>
              </w:rPr>
            </w:pPr>
            <w:r>
              <w:rPr>
                <w:sz w:val="18"/>
              </w:rPr>
              <w:t>18.6</w:t>
            </w:r>
          </w:p>
        </w:tc>
        <w:tc>
          <w:tcPr>
            <w:tcW w:w="1119" w:type="dxa"/>
            <w:tcBorders>
              <w:top w:val="double" w:sz="2" w:space="0" w:color="000000"/>
              <w:left w:val="single" w:sz="6" w:space="0" w:color="000000"/>
            </w:tcBorders>
          </w:tcPr>
          <w:p>
            <w:pPr>
              <w:pStyle w:val="TableParagraph"/>
              <w:spacing w:line="205" w:lineRule="exact" w:before="9"/>
              <w:ind w:left="347" w:right="347"/>
              <w:jc w:val="center"/>
              <w:rPr>
                <w:sz w:val="18"/>
              </w:rPr>
            </w:pPr>
            <w:r>
              <w:rPr>
                <w:sz w:val="18"/>
              </w:rPr>
              <w:t>0.6</w:t>
            </w:r>
          </w:p>
        </w:tc>
        <w:tc>
          <w:tcPr>
            <w:tcW w:w="1093" w:type="dxa"/>
            <w:tcBorders>
              <w:top w:val="double" w:sz="2" w:space="0" w:color="000000"/>
            </w:tcBorders>
          </w:tcPr>
          <w:p>
            <w:pPr>
              <w:pStyle w:val="TableParagraph"/>
              <w:spacing w:line="205" w:lineRule="exact" w:before="9"/>
              <w:ind w:left="438"/>
              <w:rPr>
                <w:sz w:val="18"/>
              </w:rPr>
            </w:pPr>
            <w:r>
              <w:rPr>
                <w:sz w:val="18"/>
              </w:rPr>
              <w:t>9.0</w:t>
            </w:r>
          </w:p>
        </w:tc>
      </w:tr>
      <w:tr>
        <w:trPr>
          <w:trHeight w:val="234" w:hRule="atLeast"/>
        </w:trPr>
        <w:tc>
          <w:tcPr>
            <w:tcW w:w="4253" w:type="dxa"/>
            <w:tcBorders>
              <w:right w:val="single" w:sz="6" w:space="0" w:color="000000"/>
            </w:tcBorders>
          </w:tcPr>
          <w:p>
            <w:pPr>
              <w:pStyle w:val="TableParagraph"/>
              <w:spacing w:line="205" w:lineRule="exact" w:before="9"/>
              <w:ind w:left="89"/>
              <w:rPr>
                <w:sz w:val="18"/>
              </w:rPr>
            </w:pPr>
            <w:r>
              <w:rPr>
                <w:sz w:val="18"/>
              </w:rPr>
              <w:t>Industrias manufactureras</w:t>
            </w:r>
          </w:p>
        </w:tc>
        <w:tc>
          <w:tcPr>
            <w:tcW w:w="1120" w:type="dxa"/>
            <w:tcBorders>
              <w:left w:val="single" w:sz="6" w:space="0" w:color="000000"/>
            </w:tcBorders>
          </w:tcPr>
          <w:p>
            <w:pPr>
              <w:pStyle w:val="TableParagraph"/>
              <w:spacing w:line="205" w:lineRule="exact" w:before="9"/>
              <w:ind w:right="394"/>
              <w:jc w:val="right"/>
              <w:rPr>
                <w:sz w:val="18"/>
              </w:rPr>
            </w:pPr>
            <w:r>
              <w:rPr>
                <w:w w:val="95"/>
                <w:sz w:val="18"/>
              </w:rPr>
              <w:t>14.2</w:t>
            </w:r>
          </w:p>
        </w:tc>
        <w:tc>
          <w:tcPr>
            <w:tcW w:w="1251" w:type="dxa"/>
            <w:tcBorders>
              <w:right w:val="single" w:sz="6" w:space="0" w:color="000000"/>
            </w:tcBorders>
          </w:tcPr>
          <w:p>
            <w:pPr>
              <w:pStyle w:val="TableParagraph"/>
              <w:spacing w:line="205" w:lineRule="exact" w:before="9"/>
              <w:ind w:left="409"/>
              <w:rPr>
                <w:sz w:val="18"/>
              </w:rPr>
            </w:pPr>
            <w:r>
              <w:rPr>
                <w:sz w:val="18"/>
              </w:rPr>
              <w:t>14.3</w:t>
            </w:r>
          </w:p>
        </w:tc>
        <w:tc>
          <w:tcPr>
            <w:tcW w:w="1119" w:type="dxa"/>
            <w:tcBorders>
              <w:left w:val="single" w:sz="6" w:space="0" w:color="000000"/>
            </w:tcBorders>
          </w:tcPr>
          <w:p>
            <w:pPr>
              <w:pStyle w:val="TableParagraph"/>
              <w:spacing w:line="205" w:lineRule="exact" w:before="9"/>
              <w:ind w:left="347" w:right="347"/>
              <w:jc w:val="center"/>
              <w:rPr>
                <w:sz w:val="18"/>
              </w:rPr>
            </w:pPr>
            <w:r>
              <w:rPr>
                <w:sz w:val="18"/>
              </w:rPr>
              <w:t>-0.7</w:t>
            </w:r>
          </w:p>
        </w:tc>
        <w:tc>
          <w:tcPr>
            <w:tcW w:w="1093" w:type="dxa"/>
          </w:tcPr>
          <w:p>
            <w:pPr>
              <w:pStyle w:val="TableParagraph"/>
              <w:spacing w:line="205" w:lineRule="exact" w:before="9"/>
              <w:ind w:left="438"/>
              <w:rPr>
                <w:sz w:val="18"/>
              </w:rPr>
            </w:pPr>
            <w:r>
              <w:rPr>
                <w:sz w:val="18"/>
              </w:rPr>
              <w:t>8.0</w:t>
            </w:r>
          </w:p>
        </w:tc>
      </w:tr>
      <w:tr>
        <w:trPr>
          <w:trHeight w:val="234" w:hRule="atLeast"/>
        </w:trPr>
        <w:tc>
          <w:tcPr>
            <w:tcW w:w="4253" w:type="dxa"/>
            <w:tcBorders>
              <w:right w:val="single" w:sz="6" w:space="0" w:color="000000"/>
            </w:tcBorders>
          </w:tcPr>
          <w:p>
            <w:pPr>
              <w:pStyle w:val="TableParagraph"/>
              <w:spacing w:line="205" w:lineRule="exact" w:before="9"/>
              <w:ind w:left="89"/>
              <w:rPr>
                <w:sz w:val="18"/>
              </w:rPr>
            </w:pPr>
            <w:r>
              <w:rPr>
                <w:sz w:val="18"/>
              </w:rPr>
              <w:t>Agricultura, ganadería, silvicultura y pesca</w:t>
            </w:r>
          </w:p>
        </w:tc>
        <w:tc>
          <w:tcPr>
            <w:tcW w:w="1120" w:type="dxa"/>
            <w:tcBorders>
              <w:left w:val="single" w:sz="6" w:space="0" w:color="000000"/>
            </w:tcBorders>
          </w:tcPr>
          <w:p>
            <w:pPr>
              <w:pStyle w:val="TableParagraph"/>
              <w:spacing w:line="205" w:lineRule="exact" w:before="9"/>
              <w:ind w:right="435"/>
              <w:jc w:val="right"/>
              <w:rPr>
                <w:sz w:val="18"/>
              </w:rPr>
            </w:pPr>
            <w:r>
              <w:rPr>
                <w:w w:val="95"/>
                <w:sz w:val="18"/>
              </w:rPr>
              <w:t>9.7</w:t>
            </w:r>
          </w:p>
        </w:tc>
        <w:tc>
          <w:tcPr>
            <w:tcW w:w="1251" w:type="dxa"/>
            <w:tcBorders>
              <w:right w:val="single" w:sz="6" w:space="0" w:color="000000"/>
            </w:tcBorders>
          </w:tcPr>
          <w:p>
            <w:pPr>
              <w:pStyle w:val="TableParagraph"/>
              <w:spacing w:line="205" w:lineRule="exact" w:before="9"/>
              <w:ind w:left="451"/>
              <w:rPr>
                <w:sz w:val="18"/>
              </w:rPr>
            </w:pPr>
            <w:r>
              <w:rPr>
                <w:sz w:val="18"/>
              </w:rPr>
              <w:t>9.4</w:t>
            </w:r>
          </w:p>
        </w:tc>
        <w:tc>
          <w:tcPr>
            <w:tcW w:w="1119" w:type="dxa"/>
            <w:tcBorders>
              <w:left w:val="single" w:sz="6" w:space="0" w:color="000000"/>
            </w:tcBorders>
          </w:tcPr>
          <w:p>
            <w:pPr>
              <w:pStyle w:val="TableParagraph"/>
              <w:spacing w:line="205" w:lineRule="exact" w:before="9"/>
              <w:ind w:left="347" w:right="347"/>
              <w:jc w:val="center"/>
              <w:rPr>
                <w:sz w:val="18"/>
              </w:rPr>
            </w:pPr>
            <w:r>
              <w:rPr>
                <w:sz w:val="18"/>
              </w:rPr>
              <w:t>-0.2</w:t>
            </w:r>
          </w:p>
        </w:tc>
        <w:tc>
          <w:tcPr>
            <w:tcW w:w="1093" w:type="dxa"/>
          </w:tcPr>
          <w:p>
            <w:pPr>
              <w:pStyle w:val="TableParagraph"/>
              <w:spacing w:line="205" w:lineRule="exact" w:before="9"/>
              <w:ind w:left="438"/>
              <w:rPr>
                <w:sz w:val="18"/>
              </w:rPr>
            </w:pPr>
            <w:r>
              <w:rPr>
                <w:sz w:val="18"/>
              </w:rPr>
              <w:t>3.5</w:t>
            </w:r>
          </w:p>
        </w:tc>
      </w:tr>
      <w:tr>
        <w:trPr>
          <w:trHeight w:val="234" w:hRule="atLeast"/>
        </w:trPr>
        <w:tc>
          <w:tcPr>
            <w:tcW w:w="4253" w:type="dxa"/>
            <w:tcBorders>
              <w:right w:val="single" w:sz="6" w:space="0" w:color="000000"/>
            </w:tcBorders>
          </w:tcPr>
          <w:p>
            <w:pPr>
              <w:pStyle w:val="TableParagraph"/>
              <w:spacing w:line="205" w:lineRule="exact" w:before="9"/>
              <w:ind w:left="89"/>
              <w:rPr>
                <w:sz w:val="18"/>
              </w:rPr>
            </w:pPr>
            <w:r>
              <w:rPr>
                <w:sz w:val="18"/>
              </w:rPr>
              <w:t>Actividades inmobiliarias</w:t>
            </w:r>
          </w:p>
        </w:tc>
        <w:tc>
          <w:tcPr>
            <w:tcW w:w="1120" w:type="dxa"/>
            <w:tcBorders>
              <w:left w:val="single" w:sz="6" w:space="0" w:color="000000"/>
            </w:tcBorders>
          </w:tcPr>
          <w:p>
            <w:pPr>
              <w:pStyle w:val="TableParagraph"/>
              <w:spacing w:line="205" w:lineRule="exact" w:before="9"/>
              <w:ind w:right="435"/>
              <w:jc w:val="right"/>
              <w:rPr>
                <w:sz w:val="18"/>
              </w:rPr>
            </w:pPr>
            <w:r>
              <w:rPr>
                <w:w w:val="95"/>
                <w:sz w:val="18"/>
              </w:rPr>
              <w:t>9.0</w:t>
            </w:r>
          </w:p>
        </w:tc>
        <w:tc>
          <w:tcPr>
            <w:tcW w:w="1251" w:type="dxa"/>
            <w:tcBorders>
              <w:right w:val="single" w:sz="6" w:space="0" w:color="000000"/>
            </w:tcBorders>
          </w:tcPr>
          <w:p>
            <w:pPr>
              <w:pStyle w:val="TableParagraph"/>
              <w:spacing w:line="205" w:lineRule="exact" w:before="9"/>
              <w:ind w:left="451"/>
              <w:rPr>
                <w:sz w:val="18"/>
              </w:rPr>
            </w:pPr>
            <w:r>
              <w:rPr>
                <w:sz w:val="18"/>
              </w:rPr>
              <w:t>9.0</w:t>
            </w:r>
          </w:p>
        </w:tc>
        <w:tc>
          <w:tcPr>
            <w:tcW w:w="1119" w:type="dxa"/>
            <w:tcBorders>
              <w:left w:val="single" w:sz="6" w:space="0" w:color="000000"/>
            </w:tcBorders>
          </w:tcPr>
          <w:p>
            <w:pPr>
              <w:pStyle w:val="TableParagraph"/>
              <w:spacing w:line="205" w:lineRule="exact" w:before="9"/>
              <w:ind w:left="347" w:right="347"/>
              <w:jc w:val="center"/>
              <w:rPr>
                <w:sz w:val="18"/>
              </w:rPr>
            </w:pPr>
            <w:r>
              <w:rPr>
                <w:sz w:val="18"/>
              </w:rPr>
              <w:t>2.6</w:t>
            </w:r>
          </w:p>
        </w:tc>
        <w:tc>
          <w:tcPr>
            <w:tcW w:w="1093" w:type="dxa"/>
          </w:tcPr>
          <w:p>
            <w:pPr>
              <w:pStyle w:val="TableParagraph"/>
              <w:spacing w:line="205" w:lineRule="exact" w:before="9"/>
              <w:ind w:left="438"/>
              <w:rPr>
                <w:sz w:val="18"/>
              </w:rPr>
            </w:pPr>
            <w:r>
              <w:rPr>
                <w:sz w:val="18"/>
              </w:rPr>
              <w:t>4.7</w:t>
            </w:r>
          </w:p>
        </w:tc>
      </w:tr>
      <w:tr>
        <w:trPr>
          <w:trHeight w:val="234" w:hRule="atLeast"/>
        </w:trPr>
        <w:tc>
          <w:tcPr>
            <w:tcW w:w="4253" w:type="dxa"/>
            <w:tcBorders>
              <w:right w:val="single" w:sz="6" w:space="0" w:color="000000"/>
            </w:tcBorders>
          </w:tcPr>
          <w:p>
            <w:pPr>
              <w:pStyle w:val="TableParagraph"/>
              <w:spacing w:line="205" w:lineRule="exact" w:before="9"/>
              <w:ind w:left="89"/>
              <w:rPr>
                <w:sz w:val="18"/>
              </w:rPr>
            </w:pPr>
            <w:r>
              <w:rPr>
                <w:sz w:val="18"/>
              </w:rPr>
              <w:t>Información y comunicaciones</w:t>
            </w:r>
          </w:p>
        </w:tc>
        <w:tc>
          <w:tcPr>
            <w:tcW w:w="1120" w:type="dxa"/>
            <w:tcBorders>
              <w:left w:val="single" w:sz="6" w:space="0" w:color="000000"/>
            </w:tcBorders>
          </w:tcPr>
          <w:p>
            <w:pPr>
              <w:pStyle w:val="TableParagraph"/>
              <w:spacing w:line="205" w:lineRule="exact" w:before="9"/>
              <w:ind w:right="435"/>
              <w:jc w:val="right"/>
              <w:rPr>
                <w:sz w:val="18"/>
              </w:rPr>
            </w:pPr>
            <w:r>
              <w:rPr>
                <w:w w:val="95"/>
                <w:sz w:val="18"/>
              </w:rPr>
              <w:t>4.8</w:t>
            </w:r>
          </w:p>
        </w:tc>
        <w:tc>
          <w:tcPr>
            <w:tcW w:w="1251" w:type="dxa"/>
            <w:tcBorders>
              <w:right w:val="single" w:sz="6" w:space="0" w:color="000000"/>
            </w:tcBorders>
          </w:tcPr>
          <w:p>
            <w:pPr>
              <w:pStyle w:val="TableParagraph"/>
              <w:spacing w:line="205" w:lineRule="exact" w:before="9"/>
              <w:ind w:left="451"/>
              <w:rPr>
                <w:sz w:val="18"/>
              </w:rPr>
            </w:pPr>
            <w:r>
              <w:rPr>
                <w:sz w:val="18"/>
              </w:rPr>
              <w:t>4.9</w:t>
            </w:r>
          </w:p>
        </w:tc>
        <w:tc>
          <w:tcPr>
            <w:tcW w:w="1119" w:type="dxa"/>
            <w:tcBorders>
              <w:left w:val="single" w:sz="6" w:space="0" w:color="000000"/>
            </w:tcBorders>
          </w:tcPr>
          <w:p>
            <w:pPr>
              <w:pStyle w:val="TableParagraph"/>
              <w:spacing w:line="205" w:lineRule="exact" w:before="9"/>
              <w:ind w:left="347" w:right="347"/>
              <w:jc w:val="center"/>
              <w:rPr>
                <w:sz w:val="18"/>
              </w:rPr>
            </w:pPr>
            <w:r>
              <w:rPr>
                <w:sz w:val="18"/>
              </w:rPr>
              <w:t>1.7</w:t>
            </w:r>
          </w:p>
        </w:tc>
        <w:tc>
          <w:tcPr>
            <w:tcW w:w="1093" w:type="dxa"/>
          </w:tcPr>
          <w:p>
            <w:pPr>
              <w:pStyle w:val="TableParagraph"/>
              <w:spacing w:line="205" w:lineRule="exact" w:before="9"/>
              <w:ind w:left="438"/>
              <w:rPr>
                <w:sz w:val="18"/>
              </w:rPr>
            </w:pPr>
            <w:r>
              <w:rPr>
                <w:sz w:val="18"/>
              </w:rPr>
              <w:t>6.1</w:t>
            </w:r>
          </w:p>
        </w:tc>
      </w:tr>
      <w:tr>
        <w:trPr>
          <w:trHeight w:val="234" w:hRule="atLeast"/>
        </w:trPr>
        <w:tc>
          <w:tcPr>
            <w:tcW w:w="4253" w:type="dxa"/>
            <w:tcBorders>
              <w:right w:val="single" w:sz="6" w:space="0" w:color="000000"/>
            </w:tcBorders>
          </w:tcPr>
          <w:p>
            <w:pPr>
              <w:pStyle w:val="TableParagraph"/>
              <w:spacing w:line="205" w:lineRule="exact" w:before="9"/>
              <w:ind w:left="89"/>
              <w:rPr>
                <w:sz w:val="18"/>
              </w:rPr>
            </w:pPr>
            <w:r>
              <w:rPr>
                <w:sz w:val="18"/>
              </w:rPr>
              <w:t>Construcción</w:t>
            </w:r>
          </w:p>
        </w:tc>
        <w:tc>
          <w:tcPr>
            <w:tcW w:w="1120" w:type="dxa"/>
            <w:tcBorders>
              <w:left w:val="single" w:sz="6" w:space="0" w:color="000000"/>
            </w:tcBorders>
          </w:tcPr>
          <w:p>
            <w:pPr>
              <w:pStyle w:val="TableParagraph"/>
              <w:spacing w:line="205" w:lineRule="exact" w:before="9"/>
              <w:ind w:right="435"/>
              <w:jc w:val="right"/>
              <w:rPr>
                <w:sz w:val="18"/>
              </w:rPr>
            </w:pPr>
            <w:r>
              <w:rPr>
                <w:w w:val="95"/>
                <w:sz w:val="18"/>
              </w:rPr>
              <w:t>4.4</w:t>
            </w:r>
          </w:p>
        </w:tc>
        <w:tc>
          <w:tcPr>
            <w:tcW w:w="1251" w:type="dxa"/>
            <w:tcBorders>
              <w:right w:val="single" w:sz="6" w:space="0" w:color="000000"/>
            </w:tcBorders>
          </w:tcPr>
          <w:p>
            <w:pPr>
              <w:pStyle w:val="TableParagraph"/>
              <w:spacing w:line="205" w:lineRule="exact" w:before="9"/>
              <w:ind w:left="451"/>
              <w:rPr>
                <w:sz w:val="18"/>
              </w:rPr>
            </w:pPr>
            <w:r>
              <w:rPr>
                <w:sz w:val="18"/>
              </w:rPr>
              <w:t>4.5</w:t>
            </w:r>
          </w:p>
        </w:tc>
        <w:tc>
          <w:tcPr>
            <w:tcW w:w="1119" w:type="dxa"/>
            <w:tcBorders>
              <w:left w:val="single" w:sz="6" w:space="0" w:color="000000"/>
            </w:tcBorders>
          </w:tcPr>
          <w:p>
            <w:pPr>
              <w:pStyle w:val="TableParagraph"/>
              <w:spacing w:line="205" w:lineRule="exact" w:before="9"/>
              <w:ind w:left="347" w:right="347"/>
              <w:jc w:val="center"/>
              <w:rPr>
                <w:sz w:val="18"/>
              </w:rPr>
            </w:pPr>
            <w:r>
              <w:rPr>
                <w:sz w:val="18"/>
              </w:rPr>
              <w:t>-4.3</w:t>
            </w:r>
          </w:p>
        </w:tc>
        <w:tc>
          <w:tcPr>
            <w:tcW w:w="1093" w:type="dxa"/>
          </w:tcPr>
          <w:p>
            <w:pPr>
              <w:pStyle w:val="TableParagraph"/>
              <w:spacing w:line="205" w:lineRule="exact" w:before="9"/>
              <w:ind w:left="397"/>
              <w:rPr>
                <w:sz w:val="18"/>
              </w:rPr>
            </w:pPr>
            <w:r>
              <w:rPr>
                <w:sz w:val="18"/>
              </w:rPr>
              <w:t>11.0</w:t>
            </w:r>
          </w:p>
        </w:tc>
      </w:tr>
      <w:tr>
        <w:trPr>
          <w:trHeight w:val="234" w:hRule="atLeast"/>
        </w:trPr>
        <w:tc>
          <w:tcPr>
            <w:tcW w:w="4253" w:type="dxa"/>
            <w:tcBorders>
              <w:right w:val="single" w:sz="6" w:space="0" w:color="000000"/>
            </w:tcBorders>
          </w:tcPr>
          <w:p>
            <w:pPr>
              <w:pStyle w:val="TableParagraph"/>
              <w:spacing w:line="205" w:lineRule="exact" w:before="9"/>
              <w:ind w:left="89"/>
              <w:rPr>
                <w:sz w:val="18"/>
              </w:rPr>
            </w:pPr>
            <w:r>
              <w:rPr>
                <w:sz w:val="18"/>
              </w:rPr>
              <w:t>Administración pública y defensa</w:t>
            </w:r>
          </w:p>
        </w:tc>
        <w:tc>
          <w:tcPr>
            <w:tcW w:w="1120" w:type="dxa"/>
            <w:tcBorders>
              <w:left w:val="single" w:sz="6" w:space="0" w:color="000000"/>
            </w:tcBorders>
          </w:tcPr>
          <w:p>
            <w:pPr>
              <w:pStyle w:val="TableParagraph"/>
              <w:spacing w:line="205" w:lineRule="exact" w:before="9"/>
              <w:ind w:right="435"/>
              <w:jc w:val="right"/>
              <w:rPr>
                <w:sz w:val="18"/>
              </w:rPr>
            </w:pPr>
            <w:r>
              <w:rPr>
                <w:w w:val="95"/>
                <w:sz w:val="18"/>
              </w:rPr>
              <w:t>4.0</w:t>
            </w:r>
          </w:p>
        </w:tc>
        <w:tc>
          <w:tcPr>
            <w:tcW w:w="1251" w:type="dxa"/>
            <w:tcBorders>
              <w:right w:val="single" w:sz="6" w:space="0" w:color="000000"/>
            </w:tcBorders>
          </w:tcPr>
          <w:p>
            <w:pPr>
              <w:pStyle w:val="TableParagraph"/>
              <w:spacing w:line="205" w:lineRule="exact" w:before="9"/>
              <w:ind w:left="451"/>
              <w:rPr>
                <w:sz w:val="18"/>
              </w:rPr>
            </w:pPr>
            <w:r>
              <w:rPr>
                <w:sz w:val="18"/>
              </w:rPr>
              <w:t>3.9</w:t>
            </w:r>
          </w:p>
        </w:tc>
        <w:tc>
          <w:tcPr>
            <w:tcW w:w="1119" w:type="dxa"/>
            <w:tcBorders>
              <w:left w:val="single" w:sz="6" w:space="0" w:color="000000"/>
            </w:tcBorders>
          </w:tcPr>
          <w:p>
            <w:pPr>
              <w:pStyle w:val="TableParagraph"/>
              <w:spacing w:line="205" w:lineRule="exact" w:before="9"/>
              <w:ind w:left="347" w:right="347"/>
              <w:jc w:val="center"/>
              <w:rPr>
                <w:sz w:val="18"/>
              </w:rPr>
            </w:pPr>
            <w:r>
              <w:rPr>
                <w:sz w:val="18"/>
              </w:rPr>
              <w:t>1.2</w:t>
            </w:r>
          </w:p>
        </w:tc>
        <w:tc>
          <w:tcPr>
            <w:tcW w:w="1093" w:type="dxa"/>
          </w:tcPr>
          <w:p>
            <w:pPr>
              <w:pStyle w:val="TableParagraph"/>
              <w:spacing w:line="205" w:lineRule="exact" w:before="9"/>
              <w:ind w:left="438"/>
              <w:rPr>
                <w:sz w:val="18"/>
              </w:rPr>
            </w:pPr>
            <w:r>
              <w:rPr>
                <w:sz w:val="18"/>
              </w:rPr>
              <w:t>2.0</w:t>
            </w:r>
          </w:p>
        </w:tc>
      </w:tr>
      <w:tr>
        <w:trPr>
          <w:trHeight w:val="234" w:hRule="atLeast"/>
        </w:trPr>
        <w:tc>
          <w:tcPr>
            <w:tcW w:w="4253" w:type="dxa"/>
            <w:tcBorders>
              <w:right w:val="single" w:sz="6" w:space="0" w:color="000000"/>
            </w:tcBorders>
          </w:tcPr>
          <w:p>
            <w:pPr>
              <w:pStyle w:val="TableParagraph"/>
              <w:spacing w:line="205" w:lineRule="exact" w:before="9"/>
              <w:ind w:left="89"/>
              <w:rPr>
                <w:sz w:val="18"/>
              </w:rPr>
            </w:pPr>
            <w:r>
              <w:rPr>
                <w:sz w:val="18"/>
              </w:rPr>
              <w:t>Actividades financieras y de seguros</w:t>
            </w:r>
          </w:p>
        </w:tc>
        <w:tc>
          <w:tcPr>
            <w:tcW w:w="1120" w:type="dxa"/>
            <w:tcBorders>
              <w:left w:val="single" w:sz="6" w:space="0" w:color="000000"/>
            </w:tcBorders>
          </w:tcPr>
          <w:p>
            <w:pPr>
              <w:pStyle w:val="TableParagraph"/>
              <w:spacing w:line="205" w:lineRule="exact" w:before="9"/>
              <w:ind w:right="435"/>
              <w:jc w:val="right"/>
              <w:rPr>
                <w:sz w:val="18"/>
              </w:rPr>
            </w:pPr>
            <w:r>
              <w:rPr>
                <w:w w:val="95"/>
                <w:sz w:val="18"/>
              </w:rPr>
              <w:t>4.0</w:t>
            </w:r>
          </w:p>
        </w:tc>
        <w:tc>
          <w:tcPr>
            <w:tcW w:w="1251" w:type="dxa"/>
            <w:tcBorders>
              <w:right w:val="single" w:sz="6" w:space="0" w:color="000000"/>
            </w:tcBorders>
          </w:tcPr>
          <w:p>
            <w:pPr>
              <w:pStyle w:val="TableParagraph"/>
              <w:spacing w:line="205" w:lineRule="exact" w:before="9"/>
              <w:ind w:left="451"/>
              <w:rPr>
                <w:sz w:val="18"/>
              </w:rPr>
            </w:pPr>
            <w:r>
              <w:rPr>
                <w:sz w:val="18"/>
              </w:rPr>
              <w:t>4.1</w:t>
            </w:r>
          </w:p>
        </w:tc>
        <w:tc>
          <w:tcPr>
            <w:tcW w:w="1119" w:type="dxa"/>
            <w:tcBorders>
              <w:left w:val="single" w:sz="6" w:space="0" w:color="000000"/>
            </w:tcBorders>
          </w:tcPr>
          <w:p>
            <w:pPr>
              <w:pStyle w:val="TableParagraph"/>
              <w:spacing w:line="205" w:lineRule="exact" w:before="9"/>
              <w:ind w:left="347" w:right="347"/>
              <w:jc w:val="center"/>
              <w:rPr>
                <w:sz w:val="18"/>
              </w:rPr>
            </w:pPr>
            <w:r>
              <w:rPr>
                <w:sz w:val="18"/>
              </w:rPr>
              <w:t>3.7</w:t>
            </w:r>
          </w:p>
        </w:tc>
        <w:tc>
          <w:tcPr>
            <w:tcW w:w="1093" w:type="dxa"/>
          </w:tcPr>
          <w:p>
            <w:pPr>
              <w:pStyle w:val="TableParagraph"/>
              <w:spacing w:line="205" w:lineRule="exact" w:before="9"/>
              <w:ind w:left="438"/>
              <w:rPr>
                <w:sz w:val="18"/>
              </w:rPr>
            </w:pPr>
            <w:r>
              <w:rPr>
                <w:sz w:val="18"/>
              </w:rPr>
              <w:t>6.3</w:t>
            </w:r>
          </w:p>
        </w:tc>
      </w:tr>
      <w:tr>
        <w:trPr>
          <w:trHeight w:val="234" w:hRule="atLeast"/>
        </w:trPr>
        <w:tc>
          <w:tcPr>
            <w:tcW w:w="4253" w:type="dxa"/>
            <w:tcBorders>
              <w:right w:val="single" w:sz="6" w:space="0" w:color="000000"/>
            </w:tcBorders>
          </w:tcPr>
          <w:p>
            <w:pPr>
              <w:pStyle w:val="TableParagraph"/>
              <w:spacing w:line="205" w:lineRule="exact" w:before="9"/>
              <w:ind w:left="89"/>
              <w:rPr>
                <w:sz w:val="18"/>
              </w:rPr>
            </w:pPr>
            <w:r>
              <w:rPr>
                <w:sz w:val="18"/>
              </w:rPr>
              <w:t>Otras actividades de servicios</w:t>
            </w:r>
          </w:p>
        </w:tc>
        <w:tc>
          <w:tcPr>
            <w:tcW w:w="1120" w:type="dxa"/>
            <w:tcBorders>
              <w:left w:val="single" w:sz="6" w:space="0" w:color="000000"/>
            </w:tcBorders>
          </w:tcPr>
          <w:p>
            <w:pPr>
              <w:pStyle w:val="TableParagraph"/>
              <w:spacing w:line="205" w:lineRule="exact" w:before="9"/>
              <w:ind w:right="435"/>
              <w:jc w:val="right"/>
              <w:rPr>
                <w:sz w:val="18"/>
              </w:rPr>
            </w:pPr>
            <w:r>
              <w:rPr>
                <w:w w:val="95"/>
                <w:sz w:val="18"/>
              </w:rPr>
              <w:t>3.8</w:t>
            </w:r>
          </w:p>
        </w:tc>
        <w:tc>
          <w:tcPr>
            <w:tcW w:w="1251" w:type="dxa"/>
            <w:tcBorders>
              <w:right w:val="single" w:sz="6" w:space="0" w:color="000000"/>
            </w:tcBorders>
          </w:tcPr>
          <w:p>
            <w:pPr>
              <w:pStyle w:val="TableParagraph"/>
              <w:spacing w:line="205" w:lineRule="exact" w:before="9"/>
              <w:ind w:left="451"/>
              <w:rPr>
                <w:sz w:val="18"/>
              </w:rPr>
            </w:pPr>
            <w:r>
              <w:rPr>
                <w:sz w:val="18"/>
              </w:rPr>
              <w:t>3.6</w:t>
            </w:r>
          </w:p>
        </w:tc>
        <w:tc>
          <w:tcPr>
            <w:tcW w:w="1119" w:type="dxa"/>
            <w:tcBorders>
              <w:left w:val="single" w:sz="6" w:space="0" w:color="000000"/>
            </w:tcBorders>
          </w:tcPr>
          <w:p>
            <w:pPr>
              <w:pStyle w:val="TableParagraph"/>
              <w:spacing w:line="205" w:lineRule="exact" w:before="9"/>
              <w:ind w:left="347" w:right="347"/>
              <w:jc w:val="center"/>
              <w:rPr>
                <w:sz w:val="18"/>
              </w:rPr>
            </w:pPr>
            <w:r>
              <w:rPr>
                <w:sz w:val="18"/>
              </w:rPr>
              <w:t>-8.9</w:t>
            </w:r>
          </w:p>
        </w:tc>
        <w:tc>
          <w:tcPr>
            <w:tcW w:w="1093" w:type="dxa"/>
          </w:tcPr>
          <w:p>
            <w:pPr>
              <w:pStyle w:val="TableParagraph"/>
              <w:spacing w:line="205" w:lineRule="exact" w:before="9"/>
              <w:ind w:left="438"/>
              <w:rPr>
                <w:sz w:val="18"/>
              </w:rPr>
            </w:pPr>
            <w:r>
              <w:rPr>
                <w:sz w:val="18"/>
              </w:rPr>
              <w:t>7.2</w:t>
            </w:r>
          </w:p>
        </w:tc>
      </w:tr>
      <w:tr>
        <w:trPr>
          <w:trHeight w:val="234" w:hRule="atLeast"/>
        </w:trPr>
        <w:tc>
          <w:tcPr>
            <w:tcW w:w="4253" w:type="dxa"/>
            <w:tcBorders>
              <w:right w:val="single" w:sz="6" w:space="0" w:color="000000"/>
            </w:tcBorders>
          </w:tcPr>
          <w:p>
            <w:pPr>
              <w:pStyle w:val="TableParagraph"/>
              <w:spacing w:line="205" w:lineRule="exact" w:before="9"/>
              <w:ind w:left="89"/>
              <w:rPr>
                <w:sz w:val="18"/>
              </w:rPr>
            </w:pPr>
            <w:r>
              <w:rPr>
                <w:sz w:val="18"/>
              </w:rPr>
              <w:t>Enseñanza</w:t>
            </w:r>
          </w:p>
        </w:tc>
        <w:tc>
          <w:tcPr>
            <w:tcW w:w="1120" w:type="dxa"/>
            <w:tcBorders>
              <w:left w:val="single" w:sz="6" w:space="0" w:color="000000"/>
            </w:tcBorders>
          </w:tcPr>
          <w:p>
            <w:pPr>
              <w:pStyle w:val="TableParagraph"/>
              <w:spacing w:line="205" w:lineRule="exact" w:before="9"/>
              <w:ind w:right="435"/>
              <w:jc w:val="right"/>
              <w:rPr>
                <w:sz w:val="18"/>
              </w:rPr>
            </w:pPr>
            <w:r>
              <w:rPr>
                <w:w w:val="95"/>
                <w:sz w:val="18"/>
              </w:rPr>
              <w:t>3.8</w:t>
            </w:r>
          </w:p>
        </w:tc>
        <w:tc>
          <w:tcPr>
            <w:tcW w:w="1251" w:type="dxa"/>
            <w:tcBorders>
              <w:right w:val="single" w:sz="6" w:space="0" w:color="000000"/>
            </w:tcBorders>
          </w:tcPr>
          <w:p>
            <w:pPr>
              <w:pStyle w:val="TableParagraph"/>
              <w:spacing w:line="205" w:lineRule="exact" w:before="9"/>
              <w:ind w:left="451"/>
              <w:rPr>
                <w:sz w:val="18"/>
              </w:rPr>
            </w:pPr>
            <w:r>
              <w:rPr>
                <w:sz w:val="18"/>
              </w:rPr>
              <w:t>3.6</w:t>
            </w:r>
          </w:p>
        </w:tc>
        <w:tc>
          <w:tcPr>
            <w:tcW w:w="1119" w:type="dxa"/>
            <w:tcBorders>
              <w:left w:val="single" w:sz="6" w:space="0" w:color="000000"/>
            </w:tcBorders>
          </w:tcPr>
          <w:p>
            <w:pPr>
              <w:pStyle w:val="TableParagraph"/>
              <w:spacing w:line="205" w:lineRule="exact" w:before="9"/>
              <w:ind w:left="347" w:right="347"/>
              <w:jc w:val="center"/>
              <w:rPr>
                <w:sz w:val="18"/>
              </w:rPr>
            </w:pPr>
            <w:r>
              <w:rPr>
                <w:sz w:val="18"/>
              </w:rPr>
              <w:t>-2.7</w:t>
            </w:r>
          </w:p>
        </w:tc>
        <w:tc>
          <w:tcPr>
            <w:tcW w:w="1093" w:type="dxa"/>
          </w:tcPr>
          <w:p>
            <w:pPr>
              <w:pStyle w:val="TableParagraph"/>
              <w:spacing w:line="205" w:lineRule="exact" w:before="9"/>
              <w:ind w:left="438"/>
              <w:rPr>
                <w:sz w:val="18"/>
              </w:rPr>
            </w:pPr>
            <w:r>
              <w:rPr>
                <w:sz w:val="18"/>
              </w:rPr>
              <w:t>3.8</w:t>
            </w:r>
          </w:p>
        </w:tc>
      </w:tr>
      <w:tr>
        <w:trPr>
          <w:trHeight w:val="234" w:hRule="atLeast"/>
        </w:trPr>
        <w:tc>
          <w:tcPr>
            <w:tcW w:w="4253" w:type="dxa"/>
            <w:tcBorders>
              <w:right w:val="single" w:sz="6" w:space="0" w:color="000000"/>
            </w:tcBorders>
          </w:tcPr>
          <w:p>
            <w:pPr>
              <w:pStyle w:val="TableParagraph"/>
              <w:spacing w:line="205" w:lineRule="exact" w:before="9"/>
              <w:ind w:left="89"/>
              <w:rPr>
                <w:sz w:val="18"/>
              </w:rPr>
            </w:pPr>
            <w:r>
              <w:rPr>
                <w:sz w:val="18"/>
              </w:rPr>
              <w:t>Actividades de servicios administrativos y de apoyo</w:t>
            </w:r>
          </w:p>
        </w:tc>
        <w:tc>
          <w:tcPr>
            <w:tcW w:w="1120" w:type="dxa"/>
            <w:tcBorders>
              <w:left w:val="single" w:sz="6" w:space="0" w:color="000000"/>
            </w:tcBorders>
          </w:tcPr>
          <w:p>
            <w:pPr>
              <w:pStyle w:val="TableParagraph"/>
              <w:spacing w:line="205" w:lineRule="exact" w:before="9"/>
              <w:ind w:right="435"/>
              <w:jc w:val="right"/>
              <w:rPr>
                <w:sz w:val="18"/>
              </w:rPr>
            </w:pPr>
            <w:r>
              <w:rPr>
                <w:w w:val="95"/>
                <w:sz w:val="18"/>
              </w:rPr>
              <w:t>3.5</w:t>
            </w:r>
          </w:p>
        </w:tc>
        <w:tc>
          <w:tcPr>
            <w:tcW w:w="1251" w:type="dxa"/>
            <w:tcBorders>
              <w:right w:val="single" w:sz="6" w:space="0" w:color="000000"/>
            </w:tcBorders>
          </w:tcPr>
          <w:p>
            <w:pPr>
              <w:pStyle w:val="TableParagraph"/>
              <w:spacing w:line="205" w:lineRule="exact" w:before="9"/>
              <w:ind w:left="451"/>
              <w:rPr>
                <w:sz w:val="18"/>
              </w:rPr>
            </w:pPr>
            <w:r>
              <w:rPr>
                <w:sz w:val="18"/>
              </w:rPr>
              <w:t>3.5</w:t>
            </w:r>
          </w:p>
        </w:tc>
        <w:tc>
          <w:tcPr>
            <w:tcW w:w="1119" w:type="dxa"/>
            <w:tcBorders>
              <w:left w:val="single" w:sz="6" w:space="0" w:color="000000"/>
            </w:tcBorders>
          </w:tcPr>
          <w:p>
            <w:pPr>
              <w:pStyle w:val="TableParagraph"/>
              <w:spacing w:line="205" w:lineRule="exact" w:before="9"/>
              <w:ind w:left="347" w:right="347"/>
              <w:jc w:val="center"/>
              <w:rPr>
                <w:sz w:val="18"/>
              </w:rPr>
            </w:pPr>
            <w:r>
              <w:rPr>
                <w:sz w:val="18"/>
              </w:rPr>
              <w:t>-2.7</w:t>
            </w:r>
          </w:p>
        </w:tc>
        <w:tc>
          <w:tcPr>
            <w:tcW w:w="1093" w:type="dxa"/>
          </w:tcPr>
          <w:p>
            <w:pPr>
              <w:pStyle w:val="TableParagraph"/>
              <w:spacing w:line="205" w:lineRule="exact" w:before="9"/>
              <w:ind w:left="397"/>
              <w:rPr>
                <w:sz w:val="18"/>
              </w:rPr>
            </w:pPr>
            <w:r>
              <w:rPr>
                <w:sz w:val="18"/>
              </w:rPr>
              <w:t>10.4</w:t>
            </w:r>
          </w:p>
        </w:tc>
      </w:tr>
      <w:tr>
        <w:trPr>
          <w:trHeight w:val="234" w:hRule="atLeast"/>
        </w:trPr>
        <w:tc>
          <w:tcPr>
            <w:tcW w:w="4253" w:type="dxa"/>
            <w:tcBorders>
              <w:right w:val="single" w:sz="6" w:space="0" w:color="000000"/>
            </w:tcBorders>
          </w:tcPr>
          <w:p>
            <w:pPr>
              <w:pStyle w:val="TableParagraph"/>
              <w:spacing w:line="205" w:lineRule="exact" w:before="9"/>
              <w:ind w:left="89"/>
              <w:rPr>
                <w:sz w:val="18"/>
              </w:rPr>
            </w:pPr>
            <w:r>
              <w:rPr>
                <w:sz w:val="18"/>
              </w:rPr>
              <w:t>Suministro de electricidad y agua</w:t>
            </w:r>
          </w:p>
        </w:tc>
        <w:tc>
          <w:tcPr>
            <w:tcW w:w="1120" w:type="dxa"/>
            <w:tcBorders>
              <w:left w:val="single" w:sz="6" w:space="0" w:color="000000"/>
            </w:tcBorders>
          </w:tcPr>
          <w:p>
            <w:pPr>
              <w:pStyle w:val="TableParagraph"/>
              <w:spacing w:line="205" w:lineRule="exact" w:before="9"/>
              <w:ind w:right="435"/>
              <w:jc w:val="right"/>
              <w:rPr>
                <w:sz w:val="18"/>
              </w:rPr>
            </w:pPr>
            <w:r>
              <w:rPr>
                <w:w w:val="95"/>
                <w:sz w:val="18"/>
              </w:rPr>
              <w:t>2.8</w:t>
            </w:r>
          </w:p>
        </w:tc>
        <w:tc>
          <w:tcPr>
            <w:tcW w:w="1251" w:type="dxa"/>
            <w:tcBorders>
              <w:right w:val="single" w:sz="6" w:space="0" w:color="000000"/>
            </w:tcBorders>
          </w:tcPr>
          <w:p>
            <w:pPr>
              <w:pStyle w:val="TableParagraph"/>
              <w:spacing w:line="205" w:lineRule="exact" w:before="9"/>
              <w:ind w:left="451"/>
              <w:rPr>
                <w:sz w:val="18"/>
              </w:rPr>
            </w:pPr>
            <w:r>
              <w:rPr>
                <w:sz w:val="18"/>
              </w:rPr>
              <w:t>2.8</w:t>
            </w:r>
          </w:p>
        </w:tc>
        <w:tc>
          <w:tcPr>
            <w:tcW w:w="1119" w:type="dxa"/>
            <w:tcBorders>
              <w:left w:val="single" w:sz="6" w:space="0" w:color="000000"/>
            </w:tcBorders>
          </w:tcPr>
          <w:p>
            <w:pPr>
              <w:pStyle w:val="TableParagraph"/>
              <w:spacing w:line="205" w:lineRule="exact" w:before="9"/>
              <w:ind w:left="347" w:right="347"/>
              <w:jc w:val="center"/>
              <w:rPr>
                <w:sz w:val="18"/>
              </w:rPr>
            </w:pPr>
            <w:r>
              <w:rPr>
                <w:sz w:val="18"/>
              </w:rPr>
              <w:t>1.7</w:t>
            </w:r>
          </w:p>
        </w:tc>
        <w:tc>
          <w:tcPr>
            <w:tcW w:w="1093" w:type="dxa"/>
          </w:tcPr>
          <w:p>
            <w:pPr>
              <w:pStyle w:val="TableParagraph"/>
              <w:spacing w:line="205" w:lineRule="exact" w:before="9"/>
              <w:ind w:left="438"/>
              <w:rPr>
                <w:sz w:val="18"/>
              </w:rPr>
            </w:pPr>
            <w:r>
              <w:rPr>
                <w:sz w:val="18"/>
              </w:rPr>
              <w:t>5.7</w:t>
            </w:r>
          </w:p>
        </w:tc>
      </w:tr>
      <w:tr>
        <w:trPr>
          <w:trHeight w:val="234" w:hRule="atLeast"/>
        </w:trPr>
        <w:tc>
          <w:tcPr>
            <w:tcW w:w="4253" w:type="dxa"/>
            <w:tcBorders>
              <w:right w:val="single" w:sz="6" w:space="0" w:color="000000"/>
            </w:tcBorders>
          </w:tcPr>
          <w:p>
            <w:pPr>
              <w:pStyle w:val="TableParagraph"/>
              <w:spacing w:line="205" w:lineRule="exact" w:before="9"/>
              <w:ind w:left="89"/>
              <w:rPr>
                <w:sz w:val="18"/>
              </w:rPr>
            </w:pPr>
            <w:r>
              <w:rPr>
                <w:sz w:val="18"/>
              </w:rPr>
              <w:t>Actividades de alojamiento y de servicio de comidas</w:t>
            </w:r>
          </w:p>
        </w:tc>
        <w:tc>
          <w:tcPr>
            <w:tcW w:w="1120" w:type="dxa"/>
            <w:tcBorders>
              <w:left w:val="single" w:sz="6" w:space="0" w:color="000000"/>
            </w:tcBorders>
          </w:tcPr>
          <w:p>
            <w:pPr>
              <w:pStyle w:val="TableParagraph"/>
              <w:spacing w:line="205" w:lineRule="exact" w:before="9"/>
              <w:ind w:right="435"/>
              <w:jc w:val="right"/>
              <w:rPr>
                <w:sz w:val="18"/>
              </w:rPr>
            </w:pPr>
            <w:r>
              <w:rPr>
                <w:w w:val="95"/>
                <w:sz w:val="18"/>
              </w:rPr>
              <w:t>2.7</w:t>
            </w:r>
          </w:p>
        </w:tc>
        <w:tc>
          <w:tcPr>
            <w:tcW w:w="1251" w:type="dxa"/>
            <w:tcBorders>
              <w:right w:val="single" w:sz="6" w:space="0" w:color="000000"/>
            </w:tcBorders>
          </w:tcPr>
          <w:p>
            <w:pPr>
              <w:pStyle w:val="TableParagraph"/>
              <w:spacing w:line="205" w:lineRule="exact" w:before="9"/>
              <w:ind w:left="451"/>
              <w:rPr>
                <w:sz w:val="18"/>
              </w:rPr>
            </w:pPr>
            <w:r>
              <w:rPr>
                <w:sz w:val="18"/>
              </w:rPr>
              <w:t>2.6</w:t>
            </w:r>
          </w:p>
        </w:tc>
        <w:tc>
          <w:tcPr>
            <w:tcW w:w="1119" w:type="dxa"/>
            <w:tcBorders>
              <w:left w:val="single" w:sz="6" w:space="0" w:color="000000"/>
            </w:tcBorders>
          </w:tcPr>
          <w:p>
            <w:pPr>
              <w:pStyle w:val="TableParagraph"/>
              <w:spacing w:line="205" w:lineRule="exact" w:before="9"/>
              <w:ind w:left="347" w:right="349"/>
              <w:jc w:val="center"/>
              <w:rPr>
                <w:sz w:val="18"/>
              </w:rPr>
            </w:pPr>
            <w:r>
              <w:rPr>
                <w:sz w:val="18"/>
              </w:rPr>
              <w:t>-23.7</w:t>
            </w:r>
          </w:p>
        </w:tc>
        <w:tc>
          <w:tcPr>
            <w:tcW w:w="1093" w:type="dxa"/>
          </w:tcPr>
          <w:p>
            <w:pPr>
              <w:pStyle w:val="TableParagraph"/>
              <w:spacing w:line="205" w:lineRule="exact" w:before="9"/>
              <w:ind w:left="397"/>
              <w:rPr>
                <w:sz w:val="18"/>
              </w:rPr>
            </w:pPr>
            <w:r>
              <w:rPr>
                <w:sz w:val="18"/>
              </w:rPr>
              <w:t>20.8</w:t>
            </w:r>
          </w:p>
        </w:tc>
      </w:tr>
      <w:tr>
        <w:trPr>
          <w:trHeight w:val="234" w:hRule="atLeast"/>
        </w:trPr>
        <w:tc>
          <w:tcPr>
            <w:tcW w:w="4253" w:type="dxa"/>
            <w:tcBorders>
              <w:right w:val="single" w:sz="6" w:space="0" w:color="000000"/>
            </w:tcBorders>
          </w:tcPr>
          <w:p>
            <w:pPr>
              <w:pStyle w:val="TableParagraph"/>
              <w:spacing w:line="205" w:lineRule="exact" w:before="9"/>
              <w:ind w:left="89"/>
              <w:rPr>
                <w:sz w:val="18"/>
              </w:rPr>
            </w:pPr>
            <w:r>
              <w:rPr>
                <w:sz w:val="18"/>
              </w:rPr>
              <w:t>Transporte y almacenamiento</w:t>
            </w:r>
          </w:p>
        </w:tc>
        <w:tc>
          <w:tcPr>
            <w:tcW w:w="1120" w:type="dxa"/>
            <w:tcBorders>
              <w:left w:val="single" w:sz="6" w:space="0" w:color="000000"/>
            </w:tcBorders>
          </w:tcPr>
          <w:p>
            <w:pPr>
              <w:pStyle w:val="TableParagraph"/>
              <w:spacing w:line="205" w:lineRule="exact" w:before="9"/>
              <w:ind w:right="435"/>
              <w:jc w:val="right"/>
              <w:rPr>
                <w:sz w:val="18"/>
              </w:rPr>
            </w:pPr>
            <w:r>
              <w:rPr>
                <w:w w:val="95"/>
                <w:sz w:val="18"/>
              </w:rPr>
              <w:t>2.5</w:t>
            </w:r>
          </w:p>
        </w:tc>
        <w:tc>
          <w:tcPr>
            <w:tcW w:w="1251" w:type="dxa"/>
            <w:tcBorders>
              <w:right w:val="single" w:sz="6" w:space="0" w:color="000000"/>
            </w:tcBorders>
          </w:tcPr>
          <w:p>
            <w:pPr>
              <w:pStyle w:val="TableParagraph"/>
              <w:spacing w:line="205" w:lineRule="exact" w:before="9"/>
              <w:ind w:left="451"/>
              <w:rPr>
                <w:sz w:val="18"/>
              </w:rPr>
            </w:pPr>
            <w:r>
              <w:rPr>
                <w:sz w:val="18"/>
              </w:rPr>
              <w:t>2.4</w:t>
            </w:r>
          </w:p>
        </w:tc>
        <w:tc>
          <w:tcPr>
            <w:tcW w:w="1119" w:type="dxa"/>
            <w:tcBorders>
              <w:left w:val="single" w:sz="6" w:space="0" w:color="000000"/>
            </w:tcBorders>
          </w:tcPr>
          <w:p>
            <w:pPr>
              <w:pStyle w:val="TableParagraph"/>
              <w:spacing w:line="205" w:lineRule="exact" w:before="9"/>
              <w:ind w:left="347" w:right="349"/>
              <w:jc w:val="center"/>
              <w:rPr>
                <w:sz w:val="18"/>
              </w:rPr>
            </w:pPr>
            <w:r>
              <w:rPr>
                <w:sz w:val="18"/>
              </w:rPr>
              <w:t>-12.8</w:t>
            </w:r>
          </w:p>
        </w:tc>
        <w:tc>
          <w:tcPr>
            <w:tcW w:w="1093" w:type="dxa"/>
          </w:tcPr>
          <w:p>
            <w:pPr>
              <w:pStyle w:val="TableParagraph"/>
              <w:spacing w:line="205" w:lineRule="exact" w:before="9"/>
              <w:ind w:left="397"/>
              <w:rPr>
                <w:sz w:val="18"/>
              </w:rPr>
            </w:pPr>
            <w:r>
              <w:rPr>
                <w:sz w:val="18"/>
              </w:rPr>
              <w:t>11.6</w:t>
            </w:r>
          </w:p>
        </w:tc>
      </w:tr>
      <w:tr>
        <w:trPr>
          <w:trHeight w:val="234" w:hRule="atLeast"/>
        </w:trPr>
        <w:tc>
          <w:tcPr>
            <w:tcW w:w="4253" w:type="dxa"/>
            <w:tcBorders>
              <w:right w:val="single" w:sz="6" w:space="0" w:color="000000"/>
            </w:tcBorders>
          </w:tcPr>
          <w:p>
            <w:pPr>
              <w:pStyle w:val="TableParagraph"/>
              <w:spacing w:line="205" w:lineRule="exact" w:before="9"/>
              <w:ind w:left="89"/>
              <w:rPr>
                <w:sz w:val="18"/>
              </w:rPr>
            </w:pPr>
            <w:r>
              <w:rPr>
                <w:sz w:val="18"/>
              </w:rPr>
              <w:t>Actividades de atención de la salud</w:t>
            </w:r>
          </w:p>
        </w:tc>
        <w:tc>
          <w:tcPr>
            <w:tcW w:w="1120" w:type="dxa"/>
            <w:tcBorders>
              <w:left w:val="single" w:sz="6" w:space="0" w:color="000000"/>
            </w:tcBorders>
          </w:tcPr>
          <w:p>
            <w:pPr>
              <w:pStyle w:val="TableParagraph"/>
              <w:spacing w:line="205" w:lineRule="exact" w:before="9"/>
              <w:ind w:right="435"/>
              <w:jc w:val="right"/>
              <w:rPr>
                <w:sz w:val="18"/>
              </w:rPr>
            </w:pPr>
            <w:r>
              <w:rPr>
                <w:w w:val="95"/>
                <w:sz w:val="18"/>
              </w:rPr>
              <w:t>2.5</w:t>
            </w:r>
          </w:p>
        </w:tc>
        <w:tc>
          <w:tcPr>
            <w:tcW w:w="1251" w:type="dxa"/>
            <w:tcBorders>
              <w:right w:val="single" w:sz="6" w:space="0" w:color="000000"/>
            </w:tcBorders>
          </w:tcPr>
          <w:p>
            <w:pPr>
              <w:pStyle w:val="TableParagraph"/>
              <w:spacing w:line="205" w:lineRule="exact" w:before="9"/>
              <w:ind w:left="451"/>
              <w:rPr>
                <w:sz w:val="18"/>
              </w:rPr>
            </w:pPr>
            <w:r>
              <w:rPr>
                <w:sz w:val="18"/>
              </w:rPr>
              <w:t>2.7</w:t>
            </w:r>
          </w:p>
        </w:tc>
        <w:tc>
          <w:tcPr>
            <w:tcW w:w="1119" w:type="dxa"/>
            <w:tcBorders>
              <w:left w:val="single" w:sz="6" w:space="0" w:color="000000"/>
            </w:tcBorders>
          </w:tcPr>
          <w:p>
            <w:pPr>
              <w:pStyle w:val="TableParagraph"/>
              <w:spacing w:line="205" w:lineRule="exact" w:before="9"/>
              <w:ind w:left="347" w:right="347"/>
              <w:jc w:val="center"/>
              <w:rPr>
                <w:sz w:val="18"/>
              </w:rPr>
            </w:pPr>
            <w:r>
              <w:rPr>
                <w:sz w:val="18"/>
              </w:rPr>
              <w:t>-0.3</w:t>
            </w:r>
          </w:p>
        </w:tc>
        <w:tc>
          <w:tcPr>
            <w:tcW w:w="1093" w:type="dxa"/>
          </w:tcPr>
          <w:p>
            <w:pPr>
              <w:pStyle w:val="TableParagraph"/>
              <w:spacing w:line="205" w:lineRule="exact" w:before="9"/>
              <w:ind w:left="397"/>
              <w:rPr>
                <w:sz w:val="18"/>
              </w:rPr>
            </w:pPr>
            <w:r>
              <w:rPr>
                <w:sz w:val="18"/>
              </w:rPr>
              <w:t>17.4</w:t>
            </w:r>
          </w:p>
        </w:tc>
      </w:tr>
      <w:tr>
        <w:trPr>
          <w:trHeight w:val="234" w:hRule="atLeast"/>
        </w:trPr>
        <w:tc>
          <w:tcPr>
            <w:tcW w:w="4253" w:type="dxa"/>
            <w:tcBorders>
              <w:right w:val="single" w:sz="6" w:space="0" w:color="000000"/>
            </w:tcBorders>
          </w:tcPr>
          <w:p>
            <w:pPr>
              <w:pStyle w:val="TableParagraph"/>
              <w:spacing w:line="205" w:lineRule="exact" w:before="9"/>
              <w:ind w:left="89"/>
              <w:rPr>
                <w:sz w:val="18"/>
              </w:rPr>
            </w:pPr>
            <w:r>
              <w:rPr>
                <w:sz w:val="18"/>
              </w:rPr>
              <w:t>Actividades profesionales, científicas y técnicas</w:t>
            </w:r>
          </w:p>
        </w:tc>
        <w:tc>
          <w:tcPr>
            <w:tcW w:w="1120" w:type="dxa"/>
            <w:tcBorders>
              <w:left w:val="single" w:sz="6" w:space="0" w:color="000000"/>
            </w:tcBorders>
          </w:tcPr>
          <w:p>
            <w:pPr>
              <w:pStyle w:val="TableParagraph"/>
              <w:spacing w:line="205" w:lineRule="exact" w:before="9"/>
              <w:ind w:right="435"/>
              <w:jc w:val="right"/>
              <w:rPr>
                <w:sz w:val="18"/>
              </w:rPr>
            </w:pPr>
            <w:r>
              <w:rPr>
                <w:w w:val="95"/>
                <w:sz w:val="18"/>
              </w:rPr>
              <w:t>2.5</w:t>
            </w:r>
          </w:p>
        </w:tc>
        <w:tc>
          <w:tcPr>
            <w:tcW w:w="1251" w:type="dxa"/>
            <w:tcBorders>
              <w:right w:val="single" w:sz="6" w:space="0" w:color="000000"/>
            </w:tcBorders>
          </w:tcPr>
          <w:p>
            <w:pPr>
              <w:pStyle w:val="TableParagraph"/>
              <w:spacing w:line="205" w:lineRule="exact" w:before="9"/>
              <w:ind w:left="451"/>
              <w:rPr>
                <w:sz w:val="18"/>
              </w:rPr>
            </w:pPr>
            <w:r>
              <w:rPr>
                <w:sz w:val="18"/>
              </w:rPr>
              <w:t>2.5</w:t>
            </w:r>
          </w:p>
        </w:tc>
        <w:tc>
          <w:tcPr>
            <w:tcW w:w="1119" w:type="dxa"/>
            <w:tcBorders>
              <w:left w:val="single" w:sz="6" w:space="0" w:color="000000"/>
            </w:tcBorders>
          </w:tcPr>
          <w:p>
            <w:pPr>
              <w:pStyle w:val="TableParagraph"/>
              <w:spacing w:line="205" w:lineRule="exact" w:before="9"/>
              <w:ind w:left="347" w:right="347"/>
              <w:jc w:val="center"/>
              <w:rPr>
                <w:sz w:val="18"/>
              </w:rPr>
            </w:pPr>
            <w:r>
              <w:rPr>
                <w:sz w:val="18"/>
              </w:rPr>
              <w:t>-3.4</w:t>
            </w:r>
          </w:p>
        </w:tc>
        <w:tc>
          <w:tcPr>
            <w:tcW w:w="1093" w:type="dxa"/>
          </w:tcPr>
          <w:p>
            <w:pPr>
              <w:pStyle w:val="TableParagraph"/>
              <w:spacing w:line="205" w:lineRule="exact" w:before="9"/>
              <w:ind w:left="438"/>
              <w:rPr>
                <w:sz w:val="18"/>
              </w:rPr>
            </w:pPr>
            <w:r>
              <w:rPr>
                <w:sz w:val="18"/>
              </w:rPr>
              <w:t>8.9</w:t>
            </w:r>
          </w:p>
        </w:tc>
      </w:tr>
      <w:tr>
        <w:trPr>
          <w:trHeight w:val="234" w:hRule="atLeast"/>
        </w:trPr>
        <w:tc>
          <w:tcPr>
            <w:tcW w:w="4253" w:type="dxa"/>
            <w:tcBorders>
              <w:right w:val="single" w:sz="6" w:space="0" w:color="000000"/>
            </w:tcBorders>
          </w:tcPr>
          <w:p>
            <w:pPr>
              <w:pStyle w:val="TableParagraph"/>
              <w:spacing w:line="205" w:lineRule="exact" w:before="9"/>
              <w:ind w:left="89"/>
              <w:rPr>
                <w:sz w:val="18"/>
              </w:rPr>
            </w:pPr>
            <w:r>
              <w:rPr>
                <w:sz w:val="18"/>
              </w:rPr>
              <w:t>Explotación de minas y canteras</w:t>
            </w:r>
          </w:p>
        </w:tc>
        <w:tc>
          <w:tcPr>
            <w:tcW w:w="1120" w:type="dxa"/>
            <w:tcBorders>
              <w:left w:val="single" w:sz="6" w:space="0" w:color="000000"/>
            </w:tcBorders>
          </w:tcPr>
          <w:p>
            <w:pPr>
              <w:pStyle w:val="TableParagraph"/>
              <w:spacing w:line="205" w:lineRule="exact" w:before="9"/>
              <w:ind w:right="435"/>
              <w:jc w:val="right"/>
              <w:rPr>
                <w:sz w:val="18"/>
              </w:rPr>
            </w:pPr>
            <w:r>
              <w:rPr>
                <w:w w:val="95"/>
                <w:sz w:val="18"/>
              </w:rPr>
              <w:t>0.8</w:t>
            </w:r>
          </w:p>
        </w:tc>
        <w:tc>
          <w:tcPr>
            <w:tcW w:w="1251" w:type="dxa"/>
            <w:tcBorders>
              <w:right w:val="single" w:sz="6" w:space="0" w:color="000000"/>
            </w:tcBorders>
          </w:tcPr>
          <w:p>
            <w:pPr>
              <w:pStyle w:val="TableParagraph"/>
              <w:spacing w:line="205" w:lineRule="exact" w:before="9"/>
              <w:ind w:left="451"/>
              <w:rPr>
                <w:sz w:val="18"/>
              </w:rPr>
            </w:pPr>
            <w:r>
              <w:rPr>
                <w:sz w:val="18"/>
              </w:rPr>
              <w:t>0.8</w:t>
            </w:r>
          </w:p>
        </w:tc>
        <w:tc>
          <w:tcPr>
            <w:tcW w:w="1119" w:type="dxa"/>
            <w:tcBorders>
              <w:left w:val="single" w:sz="6" w:space="0" w:color="000000"/>
            </w:tcBorders>
          </w:tcPr>
          <w:p>
            <w:pPr>
              <w:pStyle w:val="TableParagraph"/>
              <w:spacing w:line="205" w:lineRule="exact" w:before="9"/>
              <w:ind w:left="347" w:right="347"/>
              <w:jc w:val="center"/>
              <w:rPr>
                <w:sz w:val="18"/>
              </w:rPr>
            </w:pPr>
            <w:r>
              <w:rPr>
                <w:sz w:val="18"/>
              </w:rPr>
              <w:t>-3.1</w:t>
            </w:r>
          </w:p>
        </w:tc>
        <w:tc>
          <w:tcPr>
            <w:tcW w:w="1093" w:type="dxa"/>
          </w:tcPr>
          <w:p>
            <w:pPr>
              <w:pStyle w:val="TableParagraph"/>
              <w:spacing w:line="205" w:lineRule="exact" w:before="9"/>
              <w:ind w:left="397"/>
              <w:rPr>
                <w:sz w:val="18"/>
              </w:rPr>
            </w:pPr>
            <w:r>
              <w:rPr>
                <w:sz w:val="18"/>
              </w:rPr>
              <w:t>10.1</w:t>
            </w:r>
          </w:p>
        </w:tc>
      </w:tr>
      <w:tr>
        <w:trPr>
          <w:trHeight w:val="218" w:hRule="atLeast"/>
        </w:trPr>
        <w:tc>
          <w:tcPr>
            <w:tcW w:w="4253" w:type="dxa"/>
            <w:tcBorders>
              <w:bottom w:val="single" w:sz="6" w:space="0" w:color="000000"/>
              <w:right w:val="single" w:sz="6" w:space="0" w:color="000000"/>
            </w:tcBorders>
          </w:tcPr>
          <w:p>
            <w:pPr>
              <w:pStyle w:val="TableParagraph"/>
              <w:spacing w:line="189" w:lineRule="exact" w:before="9"/>
              <w:ind w:left="89"/>
              <w:rPr>
                <w:sz w:val="18"/>
              </w:rPr>
            </w:pPr>
            <w:r>
              <w:rPr>
                <w:sz w:val="18"/>
              </w:rPr>
              <w:t>Impuestos netos de subvenciones a los productos</w:t>
            </w:r>
          </w:p>
        </w:tc>
        <w:tc>
          <w:tcPr>
            <w:tcW w:w="1120" w:type="dxa"/>
            <w:tcBorders>
              <w:left w:val="single" w:sz="6" w:space="0" w:color="000000"/>
              <w:bottom w:val="single" w:sz="6" w:space="0" w:color="000000"/>
            </w:tcBorders>
          </w:tcPr>
          <w:p>
            <w:pPr>
              <w:pStyle w:val="TableParagraph"/>
              <w:spacing w:line="189" w:lineRule="exact" w:before="9"/>
              <w:ind w:right="435"/>
              <w:jc w:val="right"/>
              <w:rPr>
                <w:sz w:val="18"/>
              </w:rPr>
            </w:pPr>
            <w:r>
              <w:rPr>
                <w:w w:val="95"/>
                <w:sz w:val="18"/>
              </w:rPr>
              <w:t>6.3</w:t>
            </w:r>
          </w:p>
        </w:tc>
        <w:tc>
          <w:tcPr>
            <w:tcW w:w="1251" w:type="dxa"/>
            <w:tcBorders>
              <w:bottom w:val="single" w:sz="6" w:space="0" w:color="000000"/>
              <w:right w:val="single" w:sz="6" w:space="0" w:color="000000"/>
            </w:tcBorders>
          </w:tcPr>
          <w:p>
            <w:pPr>
              <w:pStyle w:val="TableParagraph"/>
              <w:spacing w:line="189" w:lineRule="exact" w:before="9"/>
              <w:ind w:left="451"/>
              <w:rPr>
                <w:sz w:val="18"/>
              </w:rPr>
            </w:pPr>
            <w:r>
              <w:rPr>
                <w:sz w:val="18"/>
              </w:rPr>
              <w:t>6.5</w:t>
            </w:r>
          </w:p>
        </w:tc>
        <w:tc>
          <w:tcPr>
            <w:tcW w:w="1119" w:type="dxa"/>
            <w:tcBorders>
              <w:left w:val="single" w:sz="6" w:space="0" w:color="000000"/>
              <w:bottom w:val="single" w:sz="6" w:space="0" w:color="000000"/>
            </w:tcBorders>
          </w:tcPr>
          <w:p>
            <w:pPr>
              <w:pStyle w:val="TableParagraph"/>
              <w:spacing w:line="189" w:lineRule="exact" w:before="9"/>
              <w:ind w:left="347" w:right="347"/>
              <w:jc w:val="center"/>
              <w:rPr>
                <w:sz w:val="18"/>
              </w:rPr>
            </w:pPr>
            <w:r>
              <w:rPr>
                <w:sz w:val="18"/>
              </w:rPr>
              <w:t>-4.2</w:t>
            </w:r>
          </w:p>
        </w:tc>
        <w:tc>
          <w:tcPr>
            <w:tcW w:w="1093" w:type="dxa"/>
            <w:tcBorders>
              <w:bottom w:val="single" w:sz="6" w:space="0" w:color="000000"/>
            </w:tcBorders>
          </w:tcPr>
          <w:p>
            <w:pPr>
              <w:pStyle w:val="TableParagraph"/>
              <w:spacing w:line="189" w:lineRule="exact" w:before="9"/>
              <w:ind w:left="397"/>
              <w:rPr>
                <w:sz w:val="18"/>
              </w:rPr>
            </w:pPr>
            <w:r>
              <w:rPr>
                <w:sz w:val="18"/>
              </w:rPr>
              <w:t>12.9</w:t>
            </w:r>
          </w:p>
        </w:tc>
      </w:tr>
    </w:tbl>
    <w:p>
      <w:pPr>
        <w:spacing w:before="40"/>
        <w:ind w:left="1085" w:right="0" w:firstLine="0"/>
        <w:jc w:val="left"/>
        <w:rPr>
          <w:sz w:val="16"/>
        </w:rPr>
      </w:pPr>
      <w:r>
        <w:rPr>
          <w:sz w:val="16"/>
        </w:rPr>
        <w:t>Fuente: Banco de Guatemala.</w:t>
      </w:r>
    </w:p>
    <w:p>
      <w:pPr>
        <w:pStyle w:val="BodyText"/>
        <w:rPr>
          <w:sz w:val="18"/>
        </w:rPr>
      </w:pPr>
    </w:p>
    <w:p>
      <w:pPr>
        <w:pStyle w:val="Heading2"/>
        <w:numPr>
          <w:ilvl w:val="2"/>
          <w:numId w:val="11"/>
        </w:numPr>
        <w:tabs>
          <w:tab w:pos="1694" w:val="left" w:leader="none"/>
          <w:tab w:pos="1695" w:val="left" w:leader="none"/>
        </w:tabs>
        <w:spacing w:line="240" w:lineRule="auto" w:before="115" w:after="0"/>
        <w:ind w:left="1694" w:right="0" w:hanging="721"/>
        <w:jc w:val="left"/>
      </w:pPr>
      <w:bookmarkStart w:name="_bookmark44" w:id="60"/>
      <w:bookmarkEnd w:id="60"/>
      <w:r>
        <w:rPr>
          <w:b w:val="0"/>
        </w:rPr>
      </w:r>
      <w:bookmarkStart w:name="_bookmark44" w:id="61"/>
      <w:bookmarkEnd w:id="61"/>
      <w:r>
        <w:rPr/>
        <w:t>Ri</w:t>
      </w:r>
      <w:r>
        <w:rPr/>
        <w:t>tmo</w:t>
      </w:r>
      <w:r>
        <w:rPr>
          <w:spacing w:val="-1"/>
        </w:rPr>
        <w:t> </w:t>
      </w:r>
      <w:r>
        <w:rPr/>
        <w:t>inflacionario</w:t>
      </w:r>
    </w:p>
    <w:p>
      <w:pPr>
        <w:pStyle w:val="BodyText"/>
        <w:spacing w:before="4"/>
        <w:rPr>
          <w:b/>
          <w:sz w:val="28"/>
        </w:rPr>
      </w:pPr>
    </w:p>
    <w:p>
      <w:pPr>
        <w:pStyle w:val="BodyText"/>
        <w:spacing w:line="276" w:lineRule="auto"/>
        <w:ind w:left="562" w:right="1696"/>
        <w:jc w:val="both"/>
      </w:pPr>
      <w:r>
        <w:rPr/>
        <w:t>La inflación interanual del 2021 se ubicó 3.1%, cerca del límite superior del rango de la meta fijada por</w:t>
      </w:r>
      <w:r>
        <w:rPr>
          <w:spacing w:val="-14"/>
        </w:rPr>
        <w:t> </w:t>
      </w:r>
      <w:r>
        <w:rPr/>
        <w:t>el</w:t>
      </w:r>
      <w:r>
        <w:rPr>
          <w:spacing w:val="-14"/>
        </w:rPr>
        <w:t> </w:t>
      </w:r>
      <w:r>
        <w:rPr/>
        <w:t>Banco</w:t>
      </w:r>
      <w:r>
        <w:rPr>
          <w:spacing w:val="-14"/>
        </w:rPr>
        <w:t> </w:t>
      </w:r>
      <w:r>
        <w:rPr/>
        <w:t>de</w:t>
      </w:r>
      <w:r>
        <w:rPr>
          <w:spacing w:val="-14"/>
        </w:rPr>
        <w:t> </w:t>
      </w:r>
      <w:r>
        <w:rPr/>
        <w:t>Guatemala</w:t>
      </w:r>
      <w:r>
        <w:rPr>
          <w:spacing w:val="-14"/>
        </w:rPr>
        <w:t> </w:t>
      </w:r>
      <w:r>
        <w:rPr/>
        <w:t>de</w:t>
      </w:r>
      <w:r>
        <w:rPr>
          <w:spacing w:val="-14"/>
        </w:rPr>
        <w:t> </w:t>
      </w:r>
      <w:r>
        <w:rPr/>
        <w:t>4%</w:t>
      </w:r>
      <w:r>
        <w:rPr>
          <w:spacing w:val="-14"/>
        </w:rPr>
        <w:t> </w:t>
      </w:r>
      <w:r>
        <w:rPr/>
        <w:t>+-1%,</w:t>
      </w:r>
      <w:r>
        <w:rPr>
          <w:spacing w:val="-15"/>
        </w:rPr>
        <w:t> </w:t>
      </w:r>
      <w:r>
        <w:rPr/>
        <w:t>y</w:t>
      </w:r>
      <w:r>
        <w:rPr>
          <w:spacing w:val="-15"/>
        </w:rPr>
        <w:t> </w:t>
      </w:r>
      <w:r>
        <w:rPr/>
        <w:t>menor</w:t>
      </w:r>
      <w:r>
        <w:rPr>
          <w:spacing w:val="-14"/>
        </w:rPr>
        <w:t> </w:t>
      </w:r>
      <w:r>
        <w:rPr/>
        <w:t>a</w:t>
      </w:r>
      <w:r>
        <w:rPr>
          <w:spacing w:val="-14"/>
        </w:rPr>
        <w:t> </w:t>
      </w:r>
      <w:r>
        <w:rPr/>
        <w:t>la</w:t>
      </w:r>
      <w:r>
        <w:rPr>
          <w:spacing w:val="-14"/>
        </w:rPr>
        <w:t> </w:t>
      </w:r>
      <w:r>
        <w:rPr/>
        <w:t>reportada</w:t>
      </w:r>
      <w:r>
        <w:rPr>
          <w:spacing w:val="-14"/>
        </w:rPr>
        <w:t> </w:t>
      </w:r>
      <w:r>
        <w:rPr/>
        <w:t>en</w:t>
      </w:r>
      <w:r>
        <w:rPr>
          <w:spacing w:val="-14"/>
        </w:rPr>
        <w:t> </w:t>
      </w:r>
      <w:r>
        <w:rPr/>
        <w:t>2020</w:t>
      </w:r>
      <w:r>
        <w:rPr>
          <w:spacing w:val="-15"/>
        </w:rPr>
        <w:t> </w:t>
      </w:r>
      <w:r>
        <w:rPr/>
        <w:t>que</w:t>
      </w:r>
      <w:r>
        <w:rPr>
          <w:spacing w:val="-14"/>
        </w:rPr>
        <w:t> </w:t>
      </w:r>
      <w:r>
        <w:rPr/>
        <w:t>fue</w:t>
      </w:r>
      <w:r>
        <w:rPr>
          <w:spacing w:val="-14"/>
        </w:rPr>
        <w:t> </w:t>
      </w:r>
      <w:r>
        <w:rPr/>
        <w:t>de</w:t>
      </w:r>
      <w:r>
        <w:rPr>
          <w:spacing w:val="-14"/>
        </w:rPr>
        <w:t> </w:t>
      </w:r>
      <w:r>
        <w:rPr/>
        <w:t>4.8%.</w:t>
      </w:r>
      <w:r>
        <w:rPr>
          <w:spacing w:val="-15"/>
        </w:rPr>
        <w:t> </w:t>
      </w:r>
      <w:r>
        <w:rPr/>
        <w:t>No</w:t>
      </w:r>
      <w:r>
        <w:rPr>
          <w:spacing w:val="-15"/>
        </w:rPr>
        <w:t> </w:t>
      </w:r>
      <w:r>
        <w:rPr/>
        <w:t>obstante,</w:t>
      </w:r>
    </w:p>
    <w:p>
      <w:pPr>
        <w:spacing w:after="0" w:line="276" w:lineRule="auto"/>
        <w:jc w:val="both"/>
        <w:sectPr>
          <w:pgSz w:w="12240" w:h="15840"/>
          <w:pgMar w:header="715" w:footer="957" w:top="1240" w:bottom="1140" w:left="1140" w:right="0"/>
        </w:sectPr>
      </w:pPr>
    </w:p>
    <w:p>
      <w:pPr>
        <w:pStyle w:val="BodyText"/>
        <w:spacing w:line="276" w:lineRule="auto" w:before="162"/>
        <w:ind w:left="562" w:right="1701"/>
        <w:jc w:val="both"/>
      </w:pPr>
      <w:r>
        <w:rPr/>
        <w:t>la inflación durante el periodo 2010-2020 rondó alrededor de la meta explicita de inflación lo cual indica que se ha logrado mantener la estabilidad de la inflación en los últimos años.</w:t>
      </w:r>
    </w:p>
    <w:p>
      <w:pPr>
        <w:pStyle w:val="BodyText"/>
        <w:spacing w:before="2"/>
        <w:rPr>
          <w:sz w:val="25"/>
        </w:rPr>
      </w:pPr>
    </w:p>
    <w:p>
      <w:pPr>
        <w:pStyle w:val="BodyText"/>
        <w:spacing w:line="276" w:lineRule="auto"/>
        <w:ind w:left="562" w:right="1696"/>
        <w:jc w:val="both"/>
      </w:pPr>
      <w:r>
        <w:rPr/>
        <w:t>Los alimentos y bebidas mostraron una inflación de 3.1% y fue unos de los componentes que contribuyeron más a la inflación general de 2021, dado que su ponderador es mayor al de los demás componentes. Por su lado, el transporte mostró una alta inflación, 7.4%, principalmente por el aumento de los precios de combustibles que fueron impulsados por el incremento internacional del crudo de petróleo. La vivienda, agua, electricidad, gas y otros combustibles mostró una inflación de 4.5%, los muebles, artículos para el hogar y para la conservación del hogar mostraron una inflación de 3.7% y los restaurantes y hoteles tuvieron una inflación de 3.0%.</w:t>
      </w:r>
    </w:p>
    <w:p>
      <w:pPr>
        <w:pStyle w:val="BodyText"/>
        <w:spacing w:before="4"/>
        <w:rPr>
          <w:sz w:val="25"/>
        </w:rPr>
      </w:pPr>
    </w:p>
    <w:p>
      <w:pPr>
        <w:pStyle w:val="BodyText"/>
        <w:spacing w:line="276" w:lineRule="auto"/>
        <w:ind w:left="562" w:right="1695"/>
        <w:jc w:val="both"/>
      </w:pPr>
      <w:r>
        <w:rPr/>
        <w:t>Otros</w:t>
      </w:r>
      <w:r>
        <w:rPr>
          <w:spacing w:val="-14"/>
        </w:rPr>
        <w:t> </w:t>
      </w:r>
      <w:r>
        <w:rPr/>
        <w:t>indicadores</w:t>
      </w:r>
      <w:r>
        <w:rPr>
          <w:spacing w:val="-11"/>
        </w:rPr>
        <w:t> </w:t>
      </w:r>
      <w:r>
        <w:rPr/>
        <w:t>de</w:t>
      </w:r>
      <w:r>
        <w:rPr>
          <w:spacing w:val="-14"/>
        </w:rPr>
        <w:t> </w:t>
      </w:r>
      <w:r>
        <w:rPr/>
        <w:t>precios</w:t>
      </w:r>
      <w:r>
        <w:rPr>
          <w:spacing w:val="-10"/>
        </w:rPr>
        <w:t> </w:t>
      </w:r>
      <w:r>
        <w:rPr/>
        <w:t>de</w:t>
      </w:r>
      <w:r>
        <w:rPr>
          <w:spacing w:val="-12"/>
        </w:rPr>
        <w:t> </w:t>
      </w:r>
      <w:r>
        <w:rPr/>
        <w:t>la</w:t>
      </w:r>
      <w:r>
        <w:rPr>
          <w:spacing w:val="-11"/>
        </w:rPr>
        <w:t> </w:t>
      </w:r>
      <w:r>
        <w:rPr/>
        <w:t>economía</w:t>
      </w:r>
      <w:r>
        <w:rPr>
          <w:spacing w:val="-11"/>
        </w:rPr>
        <w:t> </w:t>
      </w:r>
      <w:r>
        <w:rPr/>
        <w:t>son</w:t>
      </w:r>
      <w:r>
        <w:rPr>
          <w:spacing w:val="-13"/>
        </w:rPr>
        <w:t> </w:t>
      </w:r>
      <w:r>
        <w:rPr/>
        <w:t>los</w:t>
      </w:r>
      <w:r>
        <w:rPr>
          <w:spacing w:val="-11"/>
        </w:rPr>
        <w:t> </w:t>
      </w:r>
      <w:r>
        <w:rPr/>
        <w:t>deflactores</w:t>
      </w:r>
      <w:r>
        <w:rPr>
          <w:spacing w:val="-11"/>
        </w:rPr>
        <w:t> </w:t>
      </w:r>
      <w:r>
        <w:rPr/>
        <w:t>del</w:t>
      </w:r>
      <w:r>
        <w:rPr>
          <w:spacing w:val="-10"/>
        </w:rPr>
        <w:t> </w:t>
      </w:r>
      <w:r>
        <w:rPr/>
        <w:t>PIB</w:t>
      </w:r>
      <w:r>
        <w:rPr>
          <w:spacing w:val="-13"/>
        </w:rPr>
        <w:t> </w:t>
      </w:r>
      <w:r>
        <w:rPr/>
        <w:t>de</w:t>
      </w:r>
      <w:r>
        <w:rPr>
          <w:spacing w:val="-12"/>
        </w:rPr>
        <w:t> </w:t>
      </w:r>
      <w:r>
        <w:rPr/>
        <w:t>sus</w:t>
      </w:r>
      <w:r>
        <w:rPr>
          <w:spacing w:val="-11"/>
        </w:rPr>
        <w:t> </w:t>
      </w:r>
      <w:r>
        <w:rPr/>
        <w:t>distintos</w:t>
      </w:r>
      <w:r>
        <w:rPr>
          <w:spacing w:val="-13"/>
        </w:rPr>
        <w:t> </w:t>
      </w:r>
      <w:r>
        <w:rPr/>
        <w:t>componentes, en el caso del enfoque los componentes del comercio exterior mostraron una fuerte recuperación, en el caso del deflactor de las importaciones tuvo un incremento interanual de 17.4% en 2021 después de haber disminuido 4.8% en el año anterior. En el caso del deflactor de las exportaciones tuvo también</w:t>
      </w:r>
      <w:r>
        <w:rPr>
          <w:spacing w:val="-10"/>
        </w:rPr>
        <w:t> </w:t>
      </w:r>
      <w:r>
        <w:rPr/>
        <w:t>un</w:t>
      </w:r>
      <w:r>
        <w:rPr>
          <w:spacing w:val="-12"/>
        </w:rPr>
        <w:t> </w:t>
      </w:r>
      <w:r>
        <w:rPr/>
        <w:t>crecimiento</w:t>
      </w:r>
      <w:r>
        <w:rPr>
          <w:spacing w:val="-12"/>
        </w:rPr>
        <w:t> </w:t>
      </w:r>
      <w:r>
        <w:rPr/>
        <w:t>significativo</w:t>
      </w:r>
      <w:r>
        <w:rPr>
          <w:spacing w:val="-10"/>
        </w:rPr>
        <w:t> </w:t>
      </w:r>
      <w:r>
        <w:rPr/>
        <w:t>del</w:t>
      </w:r>
      <w:r>
        <w:rPr>
          <w:spacing w:val="-9"/>
        </w:rPr>
        <w:t> </w:t>
      </w:r>
      <w:r>
        <w:rPr/>
        <w:t>8.2%</w:t>
      </w:r>
      <w:r>
        <w:rPr>
          <w:spacing w:val="-9"/>
        </w:rPr>
        <w:t> </w:t>
      </w:r>
      <w:r>
        <w:rPr/>
        <w:t>derivado</w:t>
      </w:r>
      <w:r>
        <w:rPr>
          <w:spacing w:val="-9"/>
        </w:rPr>
        <w:t> </w:t>
      </w:r>
      <w:r>
        <w:rPr/>
        <w:t>del</w:t>
      </w:r>
      <w:r>
        <w:rPr>
          <w:spacing w:val="-10"/>
        </w:rPr>
        <w:t> </w:t>
      </w:r>
      <w:r>
        <w:rPr/>
        <w:t>aumento</w:t>
      </w:r>
      <w:r>
        <w:rPr>
          <w:spacing w:val="-10"/>
        </w:rPr>
        <w:t> </w:t>
      </w:r>
      <w:r>
        <w:rPr/>
        <w:t>de</w:t>
      </w:r>
      <w:r>
        <w:rPr>
          <w:spacing w:val="-12"/>
        </w:rPr>
        <w:t> </w:t>
      </w:r>
      <w:r>
        <w:rPr/>
        <w:t>precios</w:t>
      </w:r>
      <w:r>
        <w:rPr>
          <w:spacing w:val="-12"/>
        </w:rPr>
        <w:t> </w:t>
      </w:r>
      <w:r>
        <w:rPr/>
        <w:t>internacionales</w:t>
      </w:r>
      <w:r>
        <w:rPr>
          <w:spacing w:val="-11"/>
        </w:rPr>
        <w:t> </w:t>
      </w:r>
      <w:r>
        <w:rPr/>
        <w:t>de</w:t>
      </w:r>
      <w:r>
        <w:rPr>
          <w:spacing w:val="-13"/>
        </w:rPr>
        <w:t> </w:t>
      </w:r>
      <w:r>
        <w:rPr/>
        <w:t>los </w:t>
      </w:r>
      <w:r>
        <w:rPr>
          <w:i/>
        </w:rPr>
        <w:t>commodities</w:t>
      </w:r>
      <w:r>
        <w:rPr/>
        <w:t>.</w:t>
      </w:r>
      <w:r>
        <w:rPr>
          <w:spacing w:val="-7"/>
        </w:rPr>
        <w:t> </w:t>
      </w:r>
      <w:r>
        <w:rPr/>
        <w:t>El</w:t>
      </w:r>
      <w:r>
        <w:rPr>
          <w:spacing w:val="-5"/>
        </w:rPr>
        <w:t> </w:t>
      </w:r>
      <w:r>
        <w:rPr/>
        <w:t>deflactor</w:t>
      </w:r>
      <w:r>
        <w:rPr>
          <w:spacing w:val="-5"/>
        </w:rPr>
        <w:t> </w:t>
      </w:r>
      <w:r>
        <w:rPr/>
        <w:t>del</w:t>
      </w:r>
      <w:r>
        <w:rPr>
          <w:spacing w:val="-6"/>
        </w:rPr>
        <w:t> </w:t>
      </w:r>
      <w:r>
        <w:rPr/>
        <w:t>consumo</w:t>
      </w:r>
      <w:r>
        <w:rPr>
          <w:spacing w:val="-6"/>
        </w:rPr>
        <w:t> </w:t>
      </w:r>
      <w:r>
        <w:rPr/>
        <w:t>tuvo</w:t>
      </w:r>
      <w:r>
        <w:rPr>
          <w:spacing w:val="-6"/>
        </w:rPr>
        <w:t> </w:t>
      </w:r>
      <w:r>
        <w:rPr/>
        <w:t>incremento</w:t>
      </w:r>
      <w:r>
        <w:rPr>
          <w:spacing w:val="-6"/>
        </w:rPr>
        <w:t> </w:t>
      </w:r>
      <w:r>
        <w:rPr/>
        <w:t>de</w:t>
      </w:r>
      <w:r>
        <w:rPr>
          <w:spacing w:val="-4"/>
        </w:rPr>
        <w:t> </w:t>
      </w:r>
      <w:r>
        <w:rPr/>
        <w:t>4.6%</w:t>
      </w:r>
      <w:r>
        <w:rPr>
          <w:spacing w:val="-8"/>
        </w:rPr>
        <w:t> </w:t>
      </w:r>
      <w:r>
        <w:rPr/>
        <w:t>impulsado</w:t>
      </w:r>
      <w:r>
        <w:rPr>
          <w:spacing w:val="-6"/>
        </w:rPr>
        <w:t> </w:t>
      </w:r>
      <w:r>
        <w:rPr/>
        <w:t>por</w:t>
      </w:r>
      <w:r>
        <w:rPr>
          <w:spacing w:val="-5"/>
        </w:rPr>
        <w:t> </w:t>
      </w:r>
      <w:r>
        <w:rPr/>
        <w:t>la</w:t>
      </w:r>
      <w:r>
        <w:rPr>
          <w:spacing w:val="-9"/>
        </w:rPr>
        <w:t> </w:t>
      </w:r>
      <w:r>
        <w:rPr/>
        <w:t>recuperación</w:t>
      </w:r>
      <w:r>
        <w:rPr>
          <w:spacing w:val="-6"/>
        </w:rPr>
        <w:t> </w:t>
      </w:r>
      <w:r>
        <w:rPr/>
        <w:t>de</w:t>
      </w:r>
      <w:r>
        <w:rPr>
          <w:spacing w:val="-6"/>
        </w:rPr>
        <w:t> </w:t>
      </w:r>
      <w:r>
        <w:rPr/>
        <w:t>la demanda</w:t>
      </w:r>
      <w:r>
        <w:rPr>
          <w:spacing w:val="-4"/>
        </w:rPr>
        <w:t> </w:t>
      </w:r>
      <w:r>
        <w:rPr/>
        <w:t>interna</w:t>
      </w:r>
      <w:r>
        <w:rPr>
          <w:spacing w:val="-3"/>
        </w:rPr>
        <w:t> </w:t>
      </w:r>
      <w:r>
        <w:rPr/>
        <w:t>y</w:t>
      </w:r>
      <w:r>
        <w:rPr>
          <w:spacing w:val="-6"/>
        </w:rPr>
        <w:t> </w:t>
      </w:r>
      <w:r>
        <w:rPr/>
        <w:t>el</w:t>
      </w:r>
      <w:r>
        <w:rPr>
          <w:spacing w:val="-3"/>
        </w:rPr>
        <w:t> </w:t>
      </w:r>
      <w:r>
        <w:rPr/>
        <w:t>deflactor</w:t>
      </w:r>
      <w:r>
        <w:rPr>
          <w:spacing w:val="-3"/>
        </w:rPr>
        <w:t> </w:t>
      </w:r>
      <w:r>
        <w:rPr/>
        <w:t>de</w:t>
      </w:r>
      <w:r>
        <w:rPr>
          <w:spacing w:val="-3"/>
        </w:rPr>
        <w:t> </w:t>
      </w:r>
      <w:r>
        <w:rPr/>
        <w:t>la</w:t>
      </w:r>
      <w:r>
        <w:rPr>
          <w:spacing w:val="-6"/>
        </w:rPr>
        <w:t> </w:t>
      </w:r>
      <w:r>
        <w:rPr/>
        <w:t>formación</w:t>
      </w:r>
      <w:r>
        <w:rPr>
          <w:spacing w:val="-5"/>
        </w:rPr>
        <w:t> </w:t>
      </w:r>
      <w:r>
        <w:rPr/>
        <w:t>bruta</w:t>
      </w:r>
      <w:r>
        <w:rPr>
          <w:spacing w:val="-6"/>
        </w:rPr>
        <w:t> </w:t>
      </w:r>
      <w:r>
        <w:rPr/>
        <w:t>de</w:t>
      </w:r>
      <w:r>
        <w:rPr>
          <w:spacing w:val="-6"/>
        </w:rPr>
        <w:t> </w:t>
      </w:r>
      <w:r>
        <w:rPr/>
        <w:t>capital</w:t>
      </w:r>
      <w:r>
        <w:rPr>
          <w:spacing w:val="-3"/>
        </w:rPr>
        <w:t> </w:t>
      </w:r>
      <w:r>
        <w:rPr/>
        <w:t>tuvo</w:t>
      </w:r>
      <w:r>
        <w:rPr>
          <w:spacing w:val="-4"/>
        </w:rPr>
        <w:t> </w:t>
      </w:r>
      <w:r>
        <w:rPr/>
        <w:t>un</w:t>
      </w:r>
      <w:r>
        <w:rPr>
          <w:spacing w:val="-4"/>
        </w:rPr>
        <w:t> </w:t>
      </w:r>
      <w:r>
        <w:rPr/>
        <w:t>crecimiento</w:t>
      </w:r>
      <w:r>
        <w:rPr>
          <w:spacing w:val="-6"/>
        </w:rPr>
        <w:t> </w:t>
      </w:r>
      <w:r>
        <w:rPr/>
        <w:t>de</w:t>
      </w:r>
      <w:r>
        <w:rPr>
          <w:spacing w:val="1"/>
        </w:rPr>
        <w:t> </w:t>
      </w:r>
      <w:r>
        <w:rPr/>
        <w:t>8.2%.</w:t>
      </w:r>
      <w:r>
        <w:rPr>
          <w:spacing w:val="-4"/>
        </w:rPr>
        <w:t> </w:t>
      </w:r>
      <w:r>
        <w:rPr/>
        <w:t>De</w:t>
      </w:r>
      <w:r>
        <w:rPr>
          <w:spacing w:val="-3"/>
        </w:rPr>
        <w:t> </w:t>
      </w:r>
      <w:r>
        <w:rPr/>
        <w:t>esta manera el deflactor del PIB que muestra el incremento de precios de la totalidad de bienes transaccionados en la economía en el 2021 fue de</w:t>
      </w:r>
      <w:r>
        <w:rPr>
          <w:spacing w:val="-3"/>
        </w:rPr>
        <w:t> </w:t>
      </w:r>
      <w:r>
        <w:rPr/>
        <w:t>2.8%.</w:t>
      </w:r>
    </w:p>
    <w:p>
      <w:pPr>
        <w:pStyle w:val="BodyText"/>
        <w:spacing w:before="10"/>
        <w:rPr>
          <w:sz w:val="25"/>
        </w:rPr>
      </w:pPr>
    </w:p>
    <w:p>
      <w:pPr>
        <w:spacing w:before="0"/>
        <w:ind w:left="2520" w:right="0" w:firstLine="0"/>
        <w:jc w:val="left"/>
        <w:rPr>
          <w:b/>
          <w:sz w:val="20"/>
        </w:rPr>
      </w:pPr>
      <w:bookmarkStart w:name="_bookmark45" w:id="62"/>
      <w:bookmarkEnd w:id="62"/>
      <w:r>
        <w:rPr/>
      </w:r>
      <w:r>
        <w:rPr>
          <w:b/>
          <w:i/>
          <w:sz w:val="20"/>
        </w:rPr>
        <w:t>Gráfico 19. </w:t>
      </w:r>
      <w:r>
        <w:rPr>
          <w:b/>
          <w:sz w:val="20"/>
        </w:rPr>
        <w:t>Inflación y tasa interanual de los deflactores del PIB</w:t>
      </w:r>
    </w:p>
    <w:p>
      <w:pPr>
        <w:pStyle w:val="BodyText"/>
        <w:spacing w:before="5"/>
        <w:rPr>
          <w:b/>
          <w:sz w:val="26"/>
        </w:rPr>
      </w:pPr>
    </w:p>
    <w:p>
      <w:pPr>
        <w:pStyle w:val="Heading3"/>
        <w:tabs>
          <w:tab w:pos="7083" w:val="left" w:leader="none"/>
        </w:tabs>
        <w:ind w:left="2491"/>
      </w:pPr>
      <w:r>
        <w:rPr/>
        <w:t>Inflación</w:t>
        <w:tab/>
        <w:t>Deflactores</w:t>
      </w:r>
    </w:p>
    <w:p>
      <w:pPr>
        <w:spacing w:before="35"/>
        <w:ind w:left="489" w:right="2542" w:firstLine="0"/>
        <w:jc w:val="center"/>
        <w:rPr>
          <w:sz w:val="12"/>
        </w:rPr>
      </w:pPr>
      <w:r>
        <w:rPr/>
        <w:pict>
          <v:line style="position:absolute;mso-position-horizontal-relative:page;mso-position-vertical-relative:paragraph;z-index:251931648" from="240pt,5.421555pt" to="259.2pt,5.421555pt" stroked="true" strokeweight="3pt" strokecolor="#7baedd">
            <v:stroke dashstyle="solid"/>
            <w10:wrap type="none"/>
          </v:line>
        </w:pict>
      </w:r>
      <w:r>
        <w:rPr>
          <w:color w:val="585858"/>
          <w:sz w:val="12"/>
        </w:rPr>
        <w:t>Bienes y servicios</w:t>
      </w:r>
    </w:p>
    <w:p>
      <w:pPr>
        <w:spacing w:after="0"/>
        <w:jc w:val="center"/>
        <w:rPr>
          <w:sz w:val="12"/>
        </w:rPr>
        <w:sectPr>
          <w:pgSz w:w="12240" w:h="15840"/>
          <w:pgMar w:header="715" w:footer="957" w:top="1240" w:bottom="1140" w:left="1140" w:right="0"/>
        </w:sectPr>
      </w:pPr>
    </w:p>
    <w:p>
      <w:pPr>
        <w:pStyle w:val="BodyText"/>
        <w:spacing w:before="2"/>
        <w:rPr>
          <w:sz w:val="26"/>
        </w:rPr>
      </w:pPr>
    </w:p>
    <w:p>
      <w:pPr>
        <w:spacing w:before="0"/>
        <w:ind w:left="0" w:right="0" w:firstLine="0"/>
        <w:jc w:val="right"/>
        <w:rPr>
          <w:b/>
          <w:sz w:val="18"/>
        </w:rPr>
      </w:pPr>
      <w:r>
        <w:rPr>
          <w:b/>
          <w:sz w:val="18"/>
        </w:rPr>
        <w:t>4.8</w:t>
      </w:r>
    </w:p>
    <w:p>
      <w:pPr>
        <w:spacing w:line="232" w:lineRule="auto" w:before="3"/>
        <w:ind w:left="1390" w:right="284" w:firstLine="0"/>
        <w:jc w:val="left"/>
        <w:rPr>
          <w:sz w:val="12"/>
        </w:rPr>
      </w:pPr>
      <w:r>
        <w:rPr/>
        <w:br w:type="column"/>
      </w:r>
      <w:r>
        <w:rPr>
          <w:color w:val="585858"/>
          <w:sz w:val="12"/>
        </w:rPr>
        <w:t>diversos Restaurantes </w:t>
      </w:r>
      <w:r>
        <w:rPr>
          <w:color w:val="585858"/>
          <w:spacing w:val="-13"/>
          <w:sz w:val="12"/>
        </w:rPr>
        <w:t>y </w:t>
      </w:r>
      <w:r>
        <w:rPr>
          <w:color w:val="585858"/>
          <w:sz w:val="12"/>
        </w:rPr>
        <w:t>hoteles Educación</w:t>
      </w:r>
    </w:p>
    <w:p>
      <w:pPr>
        <w:pStyle w:val="BodyText"/>
        <w:spacing w:before="4"/>
        <w:rPr>
          <w:sz w:val="11"/>
        </w:rPr>
      </w:pPr>
    </w:p>
    <w:p>
      <w:pPr>
        <w:spacing w:line="468" w:lineRule="auto" w:before="0"/>
        <w:ind w:left="1390" w:right="0" w:firstLine="0"/>
        <w:jc w:val="left"/>
        <w:rPr>
          <w:sz w:val="12"/>
        </w:rPr>
      </w:pPr>
      <w:r>
        <w:rPr/>
        <w:pict>
          <v:group style="position:absolute;margin-left:99.360001pt;margin-top:-3.648451pt;width:135.6pt;height:104.8pt;mso-position-horizontal-relative:page;mso-position-vertical-relative:paragraph;z-index:251930624" coordorigin="1987,-73" coordsize="2712,2096">
            <v:rect style="position:absolute;left:2138;top:1211;width:377;height:771" filled="true" fillcolor="#bebebe" stroked="false">
              <v:fill type="solid"/>
            </v:rect>
            <v:line style="position:absolute" from="2138,1210" to="2515,1210" stroked="true" strokeweight=".12pt" strokecolor="#a4a4a4">
              <v:stroke dashstyle="solid"/>
            </v:line>
            <v:line style="position:absolute" from="2138,1204" to="2515,1204" stroked="true" strokeweight=".48pt" strokecolor="#ffc000">
              <v:stroke dashstyle="solid"/>
            </v:line>
            <v:rect style="position:absolute;left:2138;top:1101;width:377;height:99" filled="true" fillcolor="#4471c4" stroked="false">
              <v:fill type="solid"/>
            </v:rect>
            <v:line style="position:absolute" from="2138,1100" to="2515,1100" stroked="true" strokeweight=".12pt" strokecolor="#6fac46">
              <v:stroke dashstyle="solid"/>
            </v:line>
            <v:rect style="position:absolute;left:2138;top:1065;width:377;height:36" filled="true" fillcolor="#245e91" stroked="false">
              <v:fill type="solid"/>
            </v:rect>
            <v:rect style="position:absolute;left:2138;top:1982;width:377;height:41" filled="true" fillcolor="#e6df44" stroked="false">
              <v:fill type="solid"/>
            </v:rect>
            <v:rect style="position:absolute;left:2138;top:1046;width:377;height:20" filled="true" fillcolor="#626262" stroked="false">
              <v:fill type="solid"/>
            </v:rect>
            <v:rect style="position:absolute;left:2138;top:1019;width:377;height:27" filled="true" fillcolor="#997300" stroked="false">
              <v:fill type="solid"/>
            </v:rect>
            <v:line style="position:absolute" from="2138,1016" to="2515,1016" stroked="true" strokeweight=".36pt" strokecolor="#254478">
              <v:stroke dashstyle="solid"/>
            </v:line>
            <v:rect style="position:absolute;left:2138;top:986;width:377;height:27" filled="true" fillcolor="#43682b" stroked="false">
              <v:fill type="solid"/>
            </v:rect>
            <v:rect style="position:absolute;left:2817;top:971;width:375;height:1011" filled="true" fillcolor="#bebebe" stroked="false">
              <v:fill type="solid"/>
            </v:rect>
            <v:line style="position:absolute" from="2818,970" to="3192,970" stroked="true" strokeweight=".12pt" strokecolor="#a4a4a4">
              <v:stroke dashstyle="solid"/>
            </v:line>
            <v:line style="position:absolute" from="2818,1989" to="3192,1989" stroked="true" strokeweight=".72pt" strokecolor="#ffc000">
              <v:stroke dashstyle="solid"/>
            </v:line>
            <v:rect style="position:absolute;left:2817;top:918;width:375;height:53" filled="true" fillcolor="#4471c4" stroked="false">
              <v:fill type="solid"/>
            </v:rect>
            <v:line style="position:absolute" from="2818,1998" to="3192,1998" stroked="true" strokeweight=".12pt" strokecolor="#6fac46">
              <v:stroke dashstyle="solid"/>
            </v:line>
            <v:rect style="position:absolute;left:2817;top:882;width:375;height:36" filled="true" fillcolor="#245e91" stroked="false">
              <v:fill type="solid"/>
            </v:rect>
            <v:rect style="position:absolute;left:2817;top:700;width:375;height:183" filled="true" fillcolor="#e6df44" stroked="false">
              <v:fill type="solid"/>
            </v:rect>
            <v:rect style="position:absolute;left:2817;top:599;width:375;height:101" filled="true" fillcolor="#626262" stroked="false">
              <v:fill type="solid"/>
            </v:rect>
            <v:line style="position:absolute" from="2818,2005" to="3192,2005" stroked="true" strokeweight=".6pt" strokecolor="#997300">
              <v:stroke dashstyle="solid"/>
            </v:line>
            <v:line style="position:absolute" from="2818,598" to="3192,598" stroked="true" strokeweight=".12pt" strokecolor="#254478">
              <v:stroke dashstyle="solid"/>
            </v:line>
            <v:rect style="position:absolute;left:2817;top:563;width:375;height:34" filled="true" fillcolor="#43682b" stroked="false">
              <v:fill type="solid"/>
            </v:rect>
            <v:rect style="position:absolute;left:3494;top:472;width:377;height:1510" filled="true" fillcolor="#bebebe" stroked="false">
              <v:fill type="solid"/>
            </v:rect>
            <v:line style="position:absolute" from="3494,471" to="3871,471" stroked="true" strokeweight=".12pt" strokecolor="#a4a4a4">
              <v:stroke dashstyle="solid"/>
            </v:line>
            <v:line style="position:absolute" from="3494,1984" to="3871,1984" stroked="true" strokeweight=".24pt" strokecolor="#ffc000">
              <v:stroke dashstyle="solid"/>
            </v:line>
            <v:rect style="position:absolute;left:3494;top:441;width:377;height:32" filled="true" fillcolor="#4471c4" stroked="false">
              <v:fill type="solid"/>
            </v:rect>
            <v:rect style="position:absolute;left:3494;top:422;width:377;height:20" filled="true" fillcolor="#6fac46" stroked="false">
              <v:fill type="solid"/>
            </v:rect>
            <v:rect style="position:absolute;left:3494;top:388;width:377;height:34" filled="true" fillcolor="#245e91" stroked="false">
              <v:fill type="solid"/>
            </v:rect>
            <v:rect style="position:absolute;left:3494;top:47;width:377;height:341" filled="true" fillcolor="#e6df44" stroked="false">
              <v:fill type="solid"/>
            </v:rect>
            <v:rect style="position:absolute;left:3494;top:16;width:377;height:32" filled="true" fillcolor="#626262" stroked="false">
              <v:fill type="solid"/>
            </v:rect>
            <v:line style="position:absolute" from="3494,1994" to="3871,1994" stroked="true" strokeweight=".72pt" strokecolor="#997300">
              <v:stroke dashstyle="solid"/>
            </v:line>
            <v:line style="position:absolute" from="3494,15" to="3871,15" stroked="true" strokeweight=".12pt" strokecolor="#254478">
              <v:stroke dashstyle="solid"/>
            </v:line>
            <v:rect style="position:absolute;left:3494;top:-27;width:377;height:41" filled="true" fillcolor="#43682b" stroked="false">
              <v:fill type="solid"/>
            </v:rect>
            <v:line style="position:absolute" from="1987,1982" to="4699,1982" stroked="true" strokeweight=".72pt" strokecolor="#d9d9d9">
              <v:stroke dashstyle="solid"/>
            </v:line>
            <v:line style="position:absolute" from="4171,1424" to="4548,1424" stroked="true" strokeweight=".12pt" strokecolor="#a4a4a4">
              <v:stroke dashstyle="solid"/>
            </v:line>
            <v:line style="position:absolute" from="4171,1420" to="4548,1420" stroked="true" strokeweight=".48pt" strokecolor="#ffc000">
              <v:stroke dashstyle="solid"/>
            </v:line>
            <v:rect style="position:absolute;left:4171;top:1233;width:377;height:183" filled="true" fillcolor="#4471c4" stroked="false">
              <v:fill type="solid"/>
            </v:rect>
            <v:rect style="position:absolute;left:4171;top:1170;width:377;height:63" filled="true" fillcolor="#6fac46" stroked="false">
              <v:fill type="solid"/>
            </v:rect>
            <v:rect style="position:absolute;left:4171;top:1146;width:377;height:24" filled="true" fillcolor="#245e91" stroked="false">
              <v:fill type="solid"/>
            </v:rect>
            <v:rect style="position:absolute;left:4171;top:880;width:377;height:267" filled="true" fillcolor="#e6df44" stroked="false">
              <v:fill type="solid"/>
            </v:rect>
            <v:line style="position:absolute" from="4171,877" to="4548,877" stroked="true" strokeweight=".36pt" strokecolor="#626262">
              <v:stroke dashstyle="solid"/>
            </v:line>
            <v:rect style="position:absolute;left:4171;top:837;width:377;height:36" filled="true" fillcolor="#997300" stroked="false">
              <v:fill type="solid"/>
            </v:rect>
            <v:rect style="position:absolute;left:4171;top:743;width:377;height:94" filled="true" fillcolor="#43682b" stroked="false">
              <v:fill type="solid"/>
            </v:rect>
            <v:shape style="position:absolute;left:2326;top:-24;width:2033;height:1044" coordorigin="2327,-23" coordsize="2033,1044" path="m2327,1021l3004,572,3683,-23,4360,709e" filled="false" stroked="true" strokeweight="2.280pt" strokecolor="#b80d47">
              <v:path arrowok="t"/>
              <v:stroke dashstyle="solid"/>
            </v:shape>
            <v:shape style="position:absolute;left:2277;top:971;width:101;height:101" type="#_x0000_t75" stroked="false">
              <v:imagedata r:id="rId13" o:title=""/>
            </v:shape>
            <v:shape style="position:absolute;left:2954;top:519;width:101;height:101" type="#_x0000_t75" stroked="false">
              <v:imagedata r:id="rId13" o:title=""/>
            </v:shape>
            <v:shape style="position:absolute;left:3631;top:-73;width:101;height:101" type="#_x0000_t75" stroked="false">
              <v:imagedata r:id="rId14" o:title=""/>
            </v:shape>
            <v:shape style="position:absolute;left:4310;top:659;width:101;height:101" type="#_x0000_t75" stroked="false">
              <v:imagedata r:id="rId15" o:title=""/>
            </v:shape>
            <v:shape style="position:absolute;left:3009;top:127;width:247;height:200" type="#_x0000_t202" filled="false" stroked="false">
              <v:textbox inset="0,0,0,0">
                <w:txbxContent>
                  <w:p>
                    <w:pPr>
                      <w:spacing w:line="199" w:lineRule="exact" w:before="0"/>
                      <w:ind w:left="0" w:right="0" w:firstLine="0"/>
                      <w:jc w:val="left"/>
                      <w:rPr>
                        <w:b/>
                        <w:sz w:val="18"/>
                      </w:rPr>
                    </w:pPr>
                    <w:r>
                      <w:rPr>
                        <w:b/>
                        <w:sz w:val="18"/>
                      </w:rPr>
                      <w:t>3.4</w:t>
                    </w:r>
                  </w:p>
                </w:txbxContent>
              </v:textbox>
              <w10:wrap type="none"/>
            </v:shape>
            <v:shape style="position:absolute;left:4246;top:371;width:247;height:200" type="#_x0000_t202" filled="false" stroked="false">
              <v:textbox inset="0,0,0,0">
                <w:txbxContent>
                  <w:p>
                    <w:pPr>
                      <w:spacing w:line="199" w:lineRule="exact" w:before="0"/>
                      <w:ind w:left="0" w:right="0" w:firstLine="0"/>
                      <w:jc w:val="left"/>
                      <w:rPr>
                        <w:b/>
                        <w:sz w:val="18"/>
                      </w:rPr>
                    </w:pPr>
                    <w:r>
                      <w:rPr>
                        <w:b/>
                        <w:sz w:val="18"/>
                      </w:rPr>
                      <w:t>3.1</w:t>
                    </w:r>
                  </w:p>
                </w:txbxContent>
              </v:textbox>
              <w10:wrap type="none"/>
            </v:shape>
            <v:shape style="position:absolute;left:2213;top:683;width:247;height:200" type="#_x0000_t202" filled="false" stroked="false">
              <v:textbox inset="0,0,0,0">
                <w:txbxContent>
                  <w:p>
                    <w:pPr>
                      <w:spacing w:line="199" w:lineRule="exact" w:before="0"/>
                      <w:ind w:left="0" w:right="0" w:firstLine="0"/>
                      <w:jc w:val="left"/>
                      <w:rPr>
                        <w:b/>
                        <w:sz w:val="18"/>
                      </w:rPr>
                    </w:pPr>
                    <w:r>
                      <w:rPr>
                        <w:b/>
                        <w:sz w:val="18"/>
                      </w:rPr>
                      <w:t>2.3</w:t>
                    </w:r>
                  </w:p>
                </w:txbxContent>
              </v:textbox>
              <w10:wrap type="none"/>
            </v:shape>
            <v:shape style="position:absolute;left:4171;top:1425;width:377;height:550" type="#_x0000_t202" filled="true" fillcolor="#bebebe" stroked="false">
              <v:textbox inset="0,0,0,0">
                <w:txbxContent>
                  <w:p>
                    <w:pPr>
                      <w:spacing w:line="240" w:lineRule="auto" w:before="0"/>
                      <w:rPr>
                        <w:sz w:val="12"/>
                      </w:rPr>
                    </w:pPr>
                  </w:p>
                  <w:p>
                    <w:pPr>
                      <w:spacing w:line="240" w:lineRule="auto" w:before="0"/>
                      <w:rPr>
                        <w:sz w:val="12"/>
                      </w:rPr>
                    </w:pPr>
                  </w:p>
                  <w:p>
                    <w:pPr>
                      <w:spacing w:line="240" w:lineRule="auto" w:before="9"/>
                      <w:rPr>
                        <w:sz w:val="15"/>
                      </w:rPr>
                    </w:pPr>
                  </w:p>
                  <w:p>
                    <w:pPr>
                      <w:tabs>
                        <w:tab w:pos="401" w:val="left" w:leader="none"/>
                      </w:tabs>
                      <w:spacing w:line="91" w:lineRule="exact" w:before="0"/>
                      <w:ind w:left="0" w:right="-29" w:firstLine="0"/>
                      <w:jc w:val="left"/>
                      <w:rPr>
                        <w:sz w:val="12"/>
                      </w:rPr>
                    </w:pPr>
                    <w:r>
                      <w:rPr>
                        <w:color w:val="585858"/>
                        <w:sz w:val="12"/>
                        <w:u w:val="single" w:color="254478"/>
                      </w:rPr>
                      <w:t> </w:t>
                      <w:tab/>
                    </w:r>
                  </w:p>
                </w:txbxContent>
              </v:textbox>
              <v:fill type="solid"/>
              <w10:wrap type="none"/>
            </v:shape>
            <w10:wrap type="none"/>
          </v:group>
        </w:pict>
      </w:r>
      <w:r>
        <w:rPr/>
        <w:pict>
          <v:line style="position:absolute;mso-position-horizontal-relative:page;mso-position-vertical-relative:paragraph;z-index:251932672" from="240pt,-23.238451pt" to="259.2pt,-23.238451pt" stroked="true" strokeweight="3pt" strokecolor="#43682b">
            <v:stroke dashstyle="solid"/>
            <w10:wrap type="none"/>
          </v:line>
        </w:pict>
      </w:r>
      <w:r>
        <w:rPr/>
        <w:pict>
          <v:line style="position:absolute;mso-position-horizontal-relative:page;mso-position-vertical-relative:paragraph;z-index:251933696" from="240pt,-9.798450pt" to="259.2pt,-9.798450pt" stroked="true" strokeweight="3pt" strokecolor="#254478">
            <v:stroke dashstyle="solid"/>
            <w10:wrap type="none"/>
          </v:line>
        </w:pict>
      </w:r>
      <w:r>
        <w:rPr/>
        <w:pict>
          <v:line style="position:absolute;mso-position-horizontal-relative:page;mso-position-vertical-relative:paragraph;z-index:251934720" from="240pt,3.641549pt" to="259.2pt,3.641549pt" stroked="true" strokeweight="3pt" strokecolor="#997300">
            <v:stroke dashstyle="solid"/>
            <w10:wrap type="none"/>
          </v:line>
        </w:pict>
      </w:r>
      <w:r>
        <w:rPr/>
        <w:pict>
          <v:line style="position:absolute;mso-position-horizontal-relative:page;mso-position-vertical-relative:paragraph;z-index:251935744" from="240pt,17.081549pt" to="259.2pt,17.081549pt" stroked="true" strokeweight="3pt" strokecolor="#626262">
            <v:stroke dashstyle="solid"/>
            <w10:wrap type="none"/>
          </v:line>
        </w:pict>
      </w:r>
      <w:r>
        <w:rPr/>
        <w:pict>
          <v:line style="position:absolute;mso-position-horizontal-relative:page;mso-position-vertical-relative:paragraph;z-index:251936768" from="240pt,30.521549pt" to="259.2pt,30.521549pt" stroked="true" strokeweight="3pt" strokecolor="#e6df44">
            <v:stroke dashstyle="solid"/>
            <w10:wrap type="none"/>
          </v:line>
        </w:pict>
      </w:r>
      <w:r>
        <w:rPr>
          <w:color w:val="585858"/>
          <w:sz w:val="12"/>
        </w:rPr>
        <w:t>Recreación y </w:t>
      </w:r>
      <w:r>
        <w:rPr>
          <w:color w:val="585858"/>
          <w:spacing w:val="-3"/>
          <w:sz w:val="12"/>
        </w:rPr>
        <w:t>cultura </w:t>
      </w:r>
      <w:r>
        <w:rPr>
          <w:color w:val="585858"/>
          <w:sz w:val="12"/>
        </w:rPr>
        <w:t>Comunicaciones Transporte</w:t>
      </w:r>
    </w:p>
    <w:p>
      <w:pPr>
        <w:spacing w:before="0"/>
        <w:ind w:left="1390" w:right="0" w:firstLine="0"/>
        <w:jc w:val="left"/>
        <w:rPr>
          <w:sz w:val="12"/>
        </w:rPr>
      </w:pPr>
      <w:r>
        <w:rPr/>
        <w:pict>
          <v:line style="position:absolute;mso-position-horizontal-relative:page;mso-position-vertical-relative:paragraph;z-index:251937792" from="240pt,3.601564pt" to="259.2pt,3.601564pt" stroked="true" strokeweight="3pt" strokecolor="#245e91">
            <v:stroke dashstyle="solid"/>
            <w10:wrap type="none"/>
          </v:line>
        </w:pict>
      </w:r>
      <w:r>
        <w:rPr>
          <w:color w:val="585858"/>
          <w:sz w:val="12"/>
        </w:rPr>
        <w:t>Salud</w:t>
      </w:r>
    </w:p>
    <w:p>
      <w:pPr>
        <w:pStyle w:val="BodyText"/>
        <w:spacing w:before="7"/>
        <w:rPr>
          <w:sz w:val="11"/>
        </w:rPr>
      </w:pPr>
    </w:p>
    <w:p>
      <w:pPr>
        <w:spacing w:line="235" w:lineRule="auto" w:before="0"/>
        <w:ind w:left="1390" w:right="76" w:firstLine="0"/>
        <w:jc w:val="left"/>
        <w:rPr>
          <w:sz w:val="12"/>
        </w:rPr>
      </w:pPr>
      <w:r>
        <w:rPr/>
        <w:pict>
          <v:line style="position:absolute;mso-position-horizontal-relative:page;mso-position-vertical-relative:paragraph;z-index:251938816" from="240pt,3.459531pt" to="259.2pt,3.459531pt" stroked="true" strokeweight="3pt" strokecolor="#6fac46">
            <v:stroke dashstyle="solid"/>
            <w10:wrap type="none"/>
          </v:line>
        </w:pict>
      </w:r>
      <w:r>
        <w:rPr/>
        <w:pict>
          <v:line style="position:absolute;mso-position-horizontal-relative:page;mso-position-vertical-relative:paragraph;z-index:251939840" from="240pt,16.899530pt" to="259.2pt,16.899530pt" stroked="true" strokeweight="3pt" strokecolor="#4471c4">
            <v:stroke dashstyle="solid"/>
            <w10:wrap type="none"/>
          </v:line>
        </w:pict>
      </w:r>
      <w:r>
        <w:rPr/>
        <w:pict>
          <v:line style="position:absolute;mso-position-horizontal-relative:page;mso-position-vertical-relative:paragraph;z-index:251940864" from="240pt,30.339531pt" to="259.2pt,30.339531pt" stroked="true" strokeweight="3pt" strokecolor="#ffc000">
            <v:stroke dashstyle="solid"/>
            <w10:wrap type="none"/>
          </v:line>
        </w:pict>
      </w:r>
      <w:r>
        <w:rPr>
          <w:color w:val="585858"/>
          <w:sz w:val="12"/>
        </w:rPr>
        <w:t>Muebles, artículos para el hogar Vivienda, agua, electricidad, gas Prendas de vestir </w:t>
      </w:r>
      <w:r>
        <w:rPr>
          <w:color w:val="585858"/>
          <w:spacing w:val="-11"/>
          <w:sz w:val="12"/>
        </w:rPr>
        <w:t>y </w:t>
      </w:r>
      <w:r>
        <w:rPr>
          <w:color w:val="585858"/>
          <w:sz w:val="12"/>
        </w:rPr>
        <w:t>calzado</w:t>
      </w:r>
    </w:p>
    <w:p>
      <w:pPr>
        <w:spacing w:line="240" w:lineRule="auto" w:before="0"/>
        <w:ind w:left="1390" w:right="31" w:firstLine="0"/>
        <w:jc w:val="left"/>
        <w:rPr>
          <w:sz w:val="12"/>
        </w:rPr>
      </w:pPr>
      <w:r>
        <w:rPr/>
        <w:pict>
          <v:line style="position:absolute;mso-position-horizontal-relative:page;mso-position-vertical-relative:paragraph;z-index:251941888" from="240pt,3.611566pt" to="259.2pt,3.611566pt" stroked="true" strokeweight="2.88pt" strokecolor="#a4a4a4">
            <v:stroke dashstyle="solid"/>
            <w10:wrap type="none"/>
          </v:line>
        </w:pict>
      </w:r>
      <w:r>
        <w:rPr/>
        <w:pict>
          <v:shape style="position:absolute;margin-left:212.535446pt;margin-top:8.703566pt;width:10.95pt;height:18.1pt;mso-position-horizontal-relative:page;mso-position-vertical-relative:paragraph;z-index:251951104" type="#_x0000_t202" filled="false" stroked="false">
            <v:textbox inset="0,0,0,0" style="layout-flow:vertical;mso-layout-flow-alt:bottom-to-top">
              <w:txbxContent>
                <w:p>
                  <w:pPr>
                    <w:spacing w:before="14"/>
                    <w:ind w:left="20" w:right="0" w:firstLine="0"/>
                    <w:jc w:val="left"/>
                    <w:rPr>
                      <w:sz w:val="16"/>
                    </w:rPr>
                  </w:pPr>
                  <w:r>
                    <w:rPr>
                      <w:color w:val="585858"/>
                      <w:sz w:val="16"/>
                    </w:rPr>
                    <w:t>2021</w:t>
                  </w:r>
                </w:p>
              </w:txbxContent>
            </v:textbox>
            <w10:wrap type="none"/>
          </v:shape>
        </w:pict>
      </w:r>
      <w:r>
        <w:rPr>
          <w:color w:val="585858"/>
          <w:sz w:val="12"/>
        </w:rPr>
        <w:t>Bebidas </w:t>
      </w:r>
      <w:r>
        <w:rPr>
          <w:color w:val="585858"/>
          <w:spacing w:val="-3"/>
          <w:sz w:val="12"/>
        </w:rPr>
        <w:t>alcohólicas </w:t>
      </w:r>
      <w:r>
        <w:rPr>
          <w:color w:val="585858"/>
          <w:sz w:val="12"/>
        </w:rPr>
        <w:t>y tabaco</w:t>
      </w:r>
    </w:p>
    <w:p>
      <w:pPr>
        <w:spacing w:line="240" w:lineRule="auto" w:before="0"/>
        <w:ind w:left="1390" w:right="-12" w:firstLine="0"/>
        <w:jc w:val="left"/>
        <w:rPr>
          <w:sz w:val="12"/>
        </w:rPr>
      </w:pPr>
      <w:r>
        <w:rPr/>
        <w:pict>
          <v:line style="position:absolute;mso-position-horizontal-relative:page;mso-position-vertical-relative:paragraph;z-index:251942912" from="240pt,3.641565pt" to="259.2pt,3.641565pt" stroked="true" strokeweight="3pt" strokecolor="#bebebe">
            <v:stroke dashstyle="solid"/>
            <w10:wrap type="none"/>
          </v:line>
        </w:pict>
      </w:r>
      <w:r>
        <w:rPr>
          <w:color w:val="585858"/>
          <w:sz w:val="12"/>
        </w:rPr>
        <w:t>Alimentos y bebidas no alcohólicas</w:t>
      </w:r>
    </w:p>
    <w:p>
      <w:pPr>
        <w:spacing w:line="131" w:lineRule="exact" w:before="0"/>
        <w:ind w:left="1390" w:right="0" w:firstLine="0"/>
        <w:jc w:val="left"/>
        <w:rPr>
          <w:sz w:val="12"/>
        </w:rPr>
      </w:pPr>
      <w:r>
        <w:rPr/>
        <w:pict>
          <v:group style="position:absolute;margin-left:240.059998pt;margin-top:1.662737pt;width:19.2pt;height:3pt;mso-position-horizontal-relative:page;mso-position-vertical-relative:paragraph;z-index:251943936" coordorigin="4801,33" coordsize="384,60">
            <v:line style="position:absolute" from="4801,66" to="5185,66" stroked="true" strokeweight="2.04pt" strokecolor="#b80d47">
              <v:stroke dashstyle="solid"/>
            </v:line>
            <v:shape style="position:absolute;left:4960;top:33;width:60;height:60" coordorigin="4961,33" coordsize="60,60" path="m4991,33l4979,36,4970,42,4963,52,4961,63,4963,75,4970,84,4979,91,4991,93,5002,91,5012,84,5018,75,5021,63,5018,52,5012,42,5002,36,4991,33xe" filled="true" fillcolor="#b80d47" stroked="false">
              <v:path arrowok="t"/>
              <v:fill type="solid"/>
            </v:shape>
            <w10:wrap type="none"/>
          </v:group>
        </w:pict>
      </w:r>
      <w:r>
        <w:rPr>
          <w:color w:val="585858"/>
          <w:sz w:val="12"/>
        </w:rPr>
        <w:t>IPC</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1"/>
        <w:rPr>
          <w:sz w:val="25"/>
        </w:rPr>
      </w:pPr>
    </w:p>
    <w:p>
      <w:pPr>
        <w:spacing w:before="0"/>
        <w:ind w:left="400" w:right="0" w:firstLine="0"/>
        <w:jc w:val="left"/>
        <w:rPr>
          <w:sz w:val="18"/>
        </w:rPr>
      </w:pPr>
      <w:r>
        <w:rPr>
          <w:color w:val="585858"/>
          <w:spacing w:val="-1"/>
          <w:sz w:val="18"/>
        </w:rPr>
        <w:t>9.0</w:t>
      </w:r>
    </w:p>
    <w:p>
      <w:pPr>
        <w:pStyle w:val="BodyText"/>
        <w:rPr>
          <w:sz w:val="20"/>
        </w:rPr>
      </w:pPr>
    </w:p>
    <w:p>
      <w:pPr>
        <w:spacing w:before="176"/>
        <w:ind w:left="400" w:right="0" w:firstLine="0"/>
        <w:jc w:val="left"/>
        <w:rPr>
          <w:sz w:val="18"/>
        </w:rPr>
      </w:pPr>
      <w:r>
        <w:rPr>
          <w:color w:val="585858"/>
          <w:spacing w:val="-1"/>
          <w:sz w:val="18"/>
        </w:rPr>
        <w:t>4.0</w:t>
      </w:r>
    </w:p>
    <w:p>
      <w:pPr>
        <w:pStyle w:val="BodyText"/>
        <w:rPr>
          <w:sz w:val="20"/>
        </w:rPr>
      </w:pPr>
    </w:p>
    <w:p>
      <w:pPr>
        <w:spacing w:before="176"/>
        <w:ind w:left="340" w:right="0" w:firstLine="0"/>
        <w:jc w:val="left"/>
        <w:rPr>
          <w:sz w:val="18"/>
        </w:rPr>
      </w:pPr>
      <w:r>
        <w:rPr>
          <w:color w:val="585858"/>
          <w:spacing w:val="-1"/>
          <w:sz w:val="18"/>
        </w:rPr>
        <w:t>-1.0</w:t>
      </w:r>
    </w:p>
    <w:p>
      <w:pPr>
        <w:pStyle w:val="BodyText"/>
        <w:rPr>
          <w:sz w:val="20"/>
        </w:rPr>
      </w:pPr>
    </w:p>
    <w:p>
      <w:pPr>
        <w:spacing w:before="175"/>
        <w:ind w:left="340" w:right="0" w:firstLine="0"/>
        <w:jc w:val="left"/>
        <w:rPr>
          <w:sz w:val="18"/>
        </w:rPr>
      </w:pPr>
      <w:r>
        <w:rPr>
          <w:color w:val="585858"/>
          <w:spacing w:val="-1"/>
          <w:sz w:val="18"/>
        </w:rPr>
        <w:t>-6.0</w:t>
      </w:r>
    </w:p>
    <w:p>
      <w:pPr>
        <w:spacing w:line="285" w:lineRule="auto" w:before="69"/>
        <w:ind w:left="1238" w:right="2573" w:firstLine="0"/>
        <w:jc w:val="left"/>
        <w:rPr>
          <w:sz w:val="16"/>
        </w:rPr>
      </w:pPr>
      <w:r>
        <w:rPr/>
        <w:br w:type="column"/>
      </w:r>
      <w:r>
        <w:rPr>
          <w:color w:val="585858"/>
          <w:sz w:val="16"/>
        </w:rPr>
        <w:t>Producto Interno Bruto Consumo final</w:t>
      </w:r>
    </w:p>
    <w:p>
      <w:pPr>
        <w:pStyle w:val="BodyText"/>
        <w:ind w:left="148"/>
        <w:rPr>
          <w:sz w:val="20"/>
        </w:rPr>
      </w:pPr>
      <w:r>
        <w:rPr>
          <w:sz w:val="20"/>
        </w:rPr>
        <w:pict>
          <v:group style="width:196.1pt;height:118.3pt;mso-position-horizontal-relative:char;mso-position-vertical-relative:line" coordorigin="0,0" coordsize="3922,2366">
            <v:rect style="position:absolute;left:295;top:1532;width:392;height:147" filled="true" fillcolor="#a6a6a6" stroked="false">
              <v:fill type="solid"/>
            </v:rect>
            <v:rect style="position:absolute;left:1276;top:1228;width:392;height:452" filled="true" fillcolor="#a6a6a6" stroked="false">
              <v:fill type="solid"/>
            </v:rect>
            <v:rect style="position:absolute;left:2256;top:1352;width:392;height:327" filled="true" fillcolor="#a6a6a6" stroked="false">
              <v:fill type="solid"/>
            </v:rect>
            <v:rect style="position:absolute;left:3237;top:1283;width:392;height:396" filled="true" fillcolor="#a6a6a6" stroked="false">
              <v:fill type="solid"/>
            </v:rect>
            <v:line style="position:absolute" from="0,1679" to="3922,1679" stroked="true" strokeweight=".72pt" strokecolor="#d9d9d9">
              <v:stroke dashstyle="solid"/>
            </v:line>
            <v:shape style="position:absolute;left:490;top:1181;width:2943;height:387" coordorigin="491,1181" coordsize="2943,387" path="m491,1419l1472,1397,2452,1568,3433,1181e" filled="false" stroked="true" strokeweight="2.280pt" strokecolor="#b80d47">
              <v:path arrowok="t"/>
              <v:stroke dashstyle="longdashdot"/>
            </v:shape>
            <v:shape style="position:absolute;left:490;top:914;width:2943;height:672" coordorigin="491,915" coordsize="2943,672" path="m491,1587l1472,1258,2452,1498,3433,915e" filled="false" stroked="true" strokeweight="2.280pt" strokecolor="#011a27">
              <v:path arrowok="t"/>
              <v:stroke dashstyle="dot"/>
            </v:shape>
            <v:shape style="position:absolute;left:490;top:691;width:2943;height:831" coordorigin="491,692" coordsize="2943,831" path="m491,1287l1472,1145,2452,1522,3433,692e" filled="false" stroked="true" strokeweight="2.280pt" strokecolor="#ef810f">
              <v:path arrowok="t"/>
              <v:stroke dashstyle="dash"/>
            </v:shape>
            <v:shape style="position:absolute;left:490;top:343;width:2943;height:2000" coordorigin="491,344" coordsize="2943,2000" path="m491,1016l1472,1764,2452,2343,3433,344e" filled="false" stroked="true" strokeweight="2.280pt" strokecolor="#011a27">
              <v:path arrowok="t"/>
              <v:stroke dashstyle="solid"/>
            </v:shape>
            <v:line style="position:absolute" from="522,312" to="1026,312" stroked="true" strokeweight="2.280pt" strokecolor="#ef810f">
              <v:stroke dashstyle="dash"/>
            </v:line>
            <v:line style="position:absolute" from="522,531" to="1026,531" stroked="true" strokeweight="2.280pt" strokecolor="#011a27">
              <v:stroke dashstyle="solid"/>
            </v:line>
            <v:shape style="position:absolute;left:0;top:0;width:3922;height:2366" type="#_x0000_t202" filled="false" stroked="false">
              <v:textbox inset="0,0,0,0">
                <w:txbxContent>
                  <w:p>
                    <w:pPr>
                      <w:spacing w:line="285" w:lineRule="auto" w:before="0"/>
                      <w:ind w:left="1082" w:right="855" w:firstLine="0"/>
                      <w:jc w:val="left"/>
                      <w:rPr>
                        <w:sz w:val="16"/>
                      </w:rPr>
                    </w:pPr>
                    <w:r>
                      <w:rPr>
                        <w:color w:val="585858"/>
                        <w:sz w:val="16"/>
                      </w:rPr>
                      <w:t>Formación bruta de capital</w:t>
                    </w:r>
                    <w:r>
                      <w:rPr>
                        <w:color w:val="585858"/>
                        <w:spacing w:val="-17"/>
                        <w:sz w:val="16"/>
                      </w:rPr>
                      <w:t> </w:t>
                    </w:r>
                    <w:r>
                      <w:rPr>
                        <w:color w:val="585858"/>
                        <w:sz w:val="16"/>
                      </w:rPr>
                      <w:t>fijo Exportaciones</w:t>
                    </w:r>
                  </w:p>
                  <w:p>
                    <w:pPr>
                      <w:spacing w:before="0"/>
                      <w:ind w:left="1082" w:right="0" w:firstLine="0"/>
                      <w:jc w:val="left"/>
                      <w:rPr>
                        <w:sz w:val="16"/>
                      </w:rPr>
                    </w:pPr>
                    <w:r>
                      <w:rPr>
                        <w:color w:val="585858"/>
                        <w:sz w:val="16"/>
                      </w:rPr>
                      <w:t>Importaciones</w:t>
                    </w:r>
                  </w:p>
                </w:txbxContent>
              </v:textbox>
              <w10:wrap type="none"/>
            </v:shape>
          </v:group>
        </w:pict>
      </w:r>
      <w:r>
        <w:rPr>
          <w:sz w:val="20"/>
        </w:rPr>
      </w:r>
    </w:p>
    <w:p>
      <w:pPr>
        <w:tabs>
          <w:tab w:pos="1449" w:val="left" w:leader="none"/>
          <w:tab w:pos="2429" w:val="left" w:leader="none"/>
          <w:tab w:pos="3410" w:val="left" w:leader="none"/>
        </w:tabs>
        <w:spacing w:before="132"/>
        <w:ind w:left="468" w:right="0" w:firstLine="0"/>
        <w:jc w:val="left"/>
        <w:rPr>
          <w:sz w:val="18"/>
        </w:rPr>
      </w:pPr>
      <w:r>
        <w:rPr/>
        <w:pict>
          <v:line style="position:absolute;mso-position-horizontal-relative:page;mso-position-vertical-relative:paragraph;z-index:251944960" from="380.040009pt,-136.397644pt" to="405.240009pt,-136.397644pt" stroked="true" strokeweight="3.96pt" strokecolor="#a6a6a6">
            <v:stroke dashstyle="solid"/>
            <w10:wrap type="none"/>
          </v:line>
        </w:pict>
      </w:r>
      <w:r>
        <w:rPr/>
        <w:pict>
          <v:line style="position:absolute;mso-position-horizontal-relative:page;mso-position-vertical-relative:paragraph;z-index:251945984" from="380.100006pt,-125.477646pt" to="405.300006pt,-125.477646pt" stroked="true" strokeweight="2.280pt" strokecolor="#b80d47">
            <v:stroke dashstyle="longdashdot"/>
            <w10:wrap type="none"/>
          </v:line>
        </w:pict>
      </w:r>
      <w:r>
        <w:rPr/>
        <w:pict>
          <v:line style="position:absolute;mso-position-horizontal-relative:page;mso-position-vertical-relative:paragraph;z-index:-281372672" from="380.100006pt,-114.437653pt" to="405.300006pt,-114.437653pt" stroked="true" strokeweight="2.280pt" strokecolor="#011a27">
            <v:stroke dashstyle="dot"/>
            <w10:wrap type="none"/>
          </v:line>
        </w:pict>
      </w:r>
      <w:r>
        <w:rPr>
          <w:color w:val="585858"/>
          <w:sz w:val="18"/>
        </w:rPr>
        <w:t>2018</w:t>
        <w:tab/>
        <w:t>2019</w:t>
        <w:tab/>
        <w:t>2020</w:t>
        <w:tab/>
        <w:t>2021</w:t>
      </w:r>
    </w:p>
    <w:p>
      <w:pPr>
        <w:spacing w:after="0"/>
        <w:jc w:val="left"/>
        <w:rPr>
          <w:sz w:val="18"/>
        </w:rPr>
        <w:sectPr>
          <w:type w:val="continuous"/>
          <w:pgSz w:w="12240" w:h="15840"/>
          <w:pgMar w:top="1500" w:bottom="280" w:left="1140" w:right="0"/>
          <w:cols w:num="4" w:equalWidth="0">
            <w:col w:w="2656" w:space="40"/>
            <w:col w:w="2385" w:space="39"/>
            <w:col w:w="625" w:space="39"/>
            <w:col w:w="5316"/>
          </w:cols>
        </w:sectPr>
      </w:pPr>
    </w:p>
    <w:p>
      <w:pPr>
        <w:pStyle w:val="BodyText"/>
        <w:spacing w:before="10"/>
        <w:rPr>
          <w:sz w:val="14"/>
        </w:rPr>
      </w:pPr>
    </w:p>
    <w:p>
      <w:pPr>
        <w:tabs>
          <w:tab w:pos="5372" w:val="left" w:leader="none"/>
        </w:tabs>
        <w:spacing w:before="0"/>
        <w:ind w:left="670" w:right="0" w:firstLine="0"/>
        <w:jc w:val="left"/>
        <w:rPr>
          <w:sz w:val="16"/>
        </w:rPr>
      </w:pPr>
      <w:r>
        <w:rPr/>
        <w:pict>
          <v:shape style="position:absolute;margin-left:110.87545pt;margin-top:-34.30925pt;width:10.95pt;height:18.1pt;mso-position-horizontal-relative:page;mso-position-vertical-relative:paragraph;z-index:251948032" type="#_x0000_t202" filled="false" stroked="false">
            <v:textbox inset="0,0,0,0" style="layout-flow:vertical;mso-layout-flow-alt:bottom-to-top">
              <w:txbxContent>
                <w:p>
                  <w:pPr>
                    <w:spacing w:before="14"/>
                    <w:ind w:left="20" w:right="0" w:firstLine="0"/>
                    <w:jc w:val="left"/>
                    <w:rPr>
                      <w:sz w:val="16"/>
                    </w:rPr>
                  </w:pPr>
                  <w:r>
                    <w:rPr>
                      <w:color w:val="585858"/>
                      <w:sz w:val="16"/>
                    </w:rPr>
                    <w:t>2018</w:t>
                  </w:r>
                </w:p>
              </w:txbxContent>
            </v:textbox>
            <w10:wrap type="none"/>
          </v:shape>
        </w:pict>
      </w:r>
      <w:r>
        <w:rPr/>
        <w:pict>
          <v:shape style="position:absolute;margin-left:144.765442pt;margin-top:-34.30925pt;width:10.95pt;height:18.1pt;mso-position-horizontal-relative:page;mso-position-vertical-relative:paragraph;z-index:251949056" type="#_x0000_t202" filled="false" stroked="false">
            <v:textbox inset="0,0,0,0" style="layout-flow:vertical;mso-layout-flow-alt:bottom-to-top">
              <w:txbxContent>
                <w:p>
                  <w:pPr>
                    <w:spacing w:before="14"/>
                    <w:ind w:left="20" w:right="0" w:firstLine="0"/>
                    <w:jc w:val="left"/>
                    <w:rPr>
                      <w:sz w:val="16"/>
                    </w:rPr>
                  </w:pPr>
                  <w:r>
                    <w:rPr>
                      <w:color w:val="585858"/>
                      <w:sz w:val="16"/>
                    </w:rPr>
                    <w:t>2019</w:t>
                  </w:r>
                </w:p>
              </w:txbxContent>
            </v:textbox>
            <w10:wrap type="none"/>
          </v:shape>
        </w:pict>
      </w:r>
      <w:r>
        <w:rPr/>
        <w:pict>
          <v:shape style="position:absolute;margin-left:178.655457pt;margin-top:-34.30925pt;width:10.95pt;height:18.1pt;mso-position-horizontal-relative:page;mso-position-vertical-relative:paragraph;z-index:251950080" type="#_x0000_t202" filled="false" stroked="false">
            <v:textbox inset="0,0,0,0" style="layout-flow:vertical;mso-layout-flow-alt:bottom-to-top">
              <w:txbxContent>
                <w:p>
                  <w:pPr>
                    <w:spacing w:before="14"/>
                    <w:ind w:left="20" w:right="0" w:firstLine="0"/>
                    <w:jc w:val="left"/>
                    <w:rPr>
                      <w:sz w:val="16"/>
                    </w:rPr>
                  </w:pPr>
                  <w:r>
                    <w:rPr>
                      <w:color w:val="585858"/>
                      <w:sz w:val="16"/>
                    </w:rPr>
                    <w:t>2020</w:t>
                  </w:r>
                </w:p>
              </w:txbxContent>
            </v:textbox>
            <w10:wrap type="none"/>
          </v:shape>
        </w:pict>
      </w:r>
      <w:r>
        <w:rPr>
          <w:sz w:val="16"/>
        </w:rPr>
        <w:t>Fuente:</w:t>
      </w:r>
      <w:r>
        <w:rPr>
          <w:spacing w:val="-2"/>
          <w:sz w:val="16"/>
        </w:rPr>
        <w:t> </w:t>
      </w:r>
      <w:r>
        <w:rPr>
          <w:sz w:val="16"/>
        </w:rPr>
        <w:t>INE</w:t>
        <w:tab/>
        <w:t>Fuente:</w:t>
      </w:r>
      <w:r>
        <w:rPr>
          <w:spacing w:val="-1"/>
          <w:sz w:val="16"/>
        </w:rPr>
        <w:t> </w:t>
      </w:r>
      <w:r>
        <w:rPr>
          <w:sz w:val="16"/>
        </w:rPr>
        <w:t>BANGUAT</w:t>
      </w:r>
    </w:p>
    <w:p>
      <w:pPr>
        <w:pStyle w:val="BodyText"/>
        <w:rPr>
          <w:sz w:val="18"/>
        </w:rPr>
      </w:pPr>
    </w:p>
    <w:p>
      <w:pPr>
        <w:pStyle w:val="Heading2"/>
        <w:tabs>
          <w:tab w:pos="1694" w:val="left" w:leader="none"/>
        </w:tabs>
        <w:spacing w:before="113"/>
        <w:ind w:left="974"/>
      </w:pPr>
      <w:bookmarkStart w:name="_bookmark46" w:id="63"/>
      <w:bookmarkEnd w:id="63"/>
      <w:r>
        <w:rPr>
          <w:b w:val="0"/>
        </w:rPr>
      </w:r>
      <w:r>
        <w:rPr/>
        <w:t>3.1.3</w:t>
        <w:tab/>
        <w:t>Empleo</w:t>
      </w:r>
    </w:p>
    <w:p>
      <w:pPr>
        <w:pStyle w:val="BodyText"/>
        <w:rPr>
          <w:b/>
          <w:sz w:val="30"/>
        </w:rPr>
      </w:pPr>
    </w:p>
    <w:p>
      <w:pPr>
        <w:pStyle w:val="BodyText"/>
        <w:spacing w:line="276" w:lineRule="auto"/>
        <w:ind w:left="562" w:right="1698"/>
        <w:jc w:val="both"/>
      </w:pPr>
      <w:r>
        <w:rPr/>
        <w:t>Entre</w:t>
      </w:r>
      <w:r>
        <w:rPr>
          <w:spacing w:val="-12"/>
        </w:rPr>
        <w:t> </w:t>
      </w:r>
      <w:r>
        <w:rPr/>
        <w:t>algunos</w:t>
      </w:r>
      <w:r>
        <w:rPr>
          <w:spacing w:val="-9"/>
        </w:rPr>
        <w:t> </w:t>
      </w:r>
      <w:r>
        <w:rPr/>
        <w:t>indicadores</w:t>
      </w:r>
      <w:r>
        <w:rPr>
          <w:spacing w:val="-11"/>
        </w:rPr>
        <w:t> </w:t>
      </w:r>
      <w:r>
        <w:rPr/>
        <w:t>del</w:t>
      </w:r>
      <w:r>
        <w:rPr>
          <w:spacing w:val="-10"/>
        </w:rPr>
        <w:t> </w:t>
      </w:r>
      <w:r>
        <w:rPr/>
        <w:t>factor</w:t>
      </w:r>
      <w:r>
        <w:rPr>
          <w:spacing w:val="-11"/>
        </w:rPr>
        <w:t> </w:t>
      </w:r>
      <w:r>
        <w:rPr/>
        <w:t>trabajo</w:t>
      </w:r>
      <w:r>
        <w:rPr>
          <w:spacing w:val="-12"/>
        </w:rPr>
        <w:t> </w:t>
      </w:r>
      <w:r>
        <w:rPr/>
        <w:t>se</w:t>
      </w:r>
      <w:r>
        <w:rPr>
          <w:spacing w:val="-11"/>
        </w:rPr>
        <w:t> </w:t>
      </w:r>
      <w:r>
        <w:rPr/>
        <w:t>encuentran</w:t>
      </w:r>
      <w:r>
        <w:rPr>
          <w:spacing w:val="-8"/>
        </w:rPr>
        <w:t> </w:t>
      </w:r>
      <w:r>
        <w:rPr/>
        <w:t>el</w:t>
      </w:r>
      <w:r>
        <w:rPr>
          <w:spacing w:val="-9"/>
        </w:rPr>
        <w:t> </w:t>
      </w:r>
      <w:r>
        <w:rPr/>
        <w:t>desempleo</w:t>
      </w:r>
      <w:r>
        <w:rPr>
          <w:spacing w:val="-9"/>
        </w:rPr>
        <w:t> </w:t>
      </w:r>
      <w:r>
        <w:rPr/>
        <w:t>abierto</w:t>
      </w:r>
      <w:r>
        <w:rPr>
          <w:spacing w:val="-10"/>
        </w:rPr>
        <w:t> </w:t>
      </w:r>
      <w:r>
        <w:rPr/>
        <w:t>del</w:t>
      </w:r>
      <w:r>
        <w:rPr>
          <w:spacing w:val="-10"/>
        </w:rPr>
        <w:t> </w:t>
      </w:r>
      <w:r>
        <w:rPr/>
        <w:t>Instituto</w:t>
      </w:r>
      <w:r>
        <w:rPr>
          <w:spacing w:val="-12"/>
        </w:rPr>
        <w:t> </w:t>
      </w:r>
      <w:r>
        <w:rPr/>
        <w:t>Nacional de Estadística (INE), el cual mostraba un valor de 2.2% para el 2019, sin embargo, en el 2020 no </w:t>
      </w:r>
      <w:r>
        <w:rPr>
          <w:spacing w:val="-3"/>
        </w:rPr>
        <w:t>se </w:t>
      </w:r>
      <w:r>
        <w:rPr/>
        <w:t>realizó la encuesta de nacional de empleo e ingresos (ENEI) por lo que no se cuenta con estimación del</w:t>
      </w:r>
      <w:r>
        <w:rPr>
          <w:spacing w:val="9"/>
        </w:rPr>
        <w:t> </w:t>
      </w:r>
      <w:r>
        <w:rPr/>
        <w:t>desempleo</w:t>
      </w:r>
      <w:r>
        <w:rPr>
          <w:spacing w:val="6"/>
        </w:rPr>
        <w:t> </w:t>
      </w:r>
      <w:r>
        <w:rPr/>
        <w:t>por</w:t>
      </w:r>
      <w:r>
        <w:rPr>
          <w:spacing w:val="6"/>
        </w:rPr>
        <w:t> </w:t>
      </w:r>
      <w:r>
        <w:rPr/>
        <w:t>parte</w:t>
      </w:r>
      <w:r>
        <w:rPr>
          <w:spacing w:val="6"/>
        </w:rPr>
        <w:t> </w:t>
      </w:r>
      <w:r>
        <w:rPr/>
        <w:t>de</w:t>
      </w:r>
      <w:r>
        <w:rPr>
          <w:spacing w:val="7"/>
        </w:rPr>
        <w:t> </w:t>
      </w:r>
      <w:r>
        <w:rPr/>
        <w:t>la</w:t>
      </w:r>
      <w:r>
        <w:rPr>
          <w:spacing w:val="8"/>
        </w:rPr>
        <w:t> </w:t>
      </w:r>
      <w:r>
        <w:rPr>
          <w:spacing w:val="-2"/>
        </w:rPr>
        <w:t>INE</w:t>
      </w:r>
      <w:r>
        <w:rPr>
          <w:spacing w:val="8"/>
        </w:rPr>
        <w:t> </w:t>
      </w:r>
      <w:r>
        <w:rPr/>
        <w:t>en</w:t>
      </w:r>
      <w:r>
        <w:rPr>
          <w:spacing w:val="8"/>
        </w:rPr>
        <w:t> </w:t>
      </w:r>
      <w:r>
        <w:rPr/>
        <w:t>dicho</w:t>
      </w:r>
      <w:r>
        <w:rPr>
          <w:spacing w:val="8"/>
        </w:rPr>
        <w:t> </w:t>
      </w:r>
      <w:r>
        <w:rPr/>
        <w:t>año.</w:t>
      </w:r>
      <w:r>
        <w:rPr>
          <w:spacing w:val="9"/>
        </w:rPr>
        <w:t> </w:t>
      </w:r>
      <w:r>
        <w:rPr/>
        <w:t>La</w:t>
      </w:r>
      <w:r>
        <w:rPr>
          <w:spacing w:val="8"/>
        </w:rPr>
        <w:t> </w:t>
      </w:r>
      <w:r>
        <w:rPr/>
        <w:t>Organización</w:t>
      </w:r>
      <w:r>
        <w:rPr>
          <w:spacing w:val="6"/>
        </w:rPr>
        <w:t> </w:t>
      </w:r>
      <w:r>
        <w:rPr/>
        <w:t>Internacional</w:t>
      </w:r>
      <w:r>
        <w:rPr>
          <w:spacing w:val="9"/>
        </w:rPr>
        <w:t> </w:t>
      </w:r>
      <w:r>
        <w:rPr/>
        <w:t>del</w:t>
      </w:r>
      <w:r>
        <w:rPr>
          <w:spacing w:val="7"/>
        </w:rPr>
        <w:t> </w:t>
      </w:r>
      <w:r>
        <w:rPr/>
        <w:t>Trabajo</w:t>
      </w:r>
      <w:r>
        <w:rPr>
          <w:spacing w:val="7"/>
        </w:rPr>
        <w:t> </w:t>
      </w:r>
      <w:r>
        <w:rPr/>
        <w:t>realizó</w:t>
      </w:r>
    </w:p>
    <w:p>
      <w:pPr>
        <w:spacing w:after="0" w:line="276" w:lineRule="auto"/>
        <w:jc w:val="both"/>
        <w:sectPr>
          <w:type w:val="continuous"/>
          <w:pgSz w:w="12240" w:h="15840"/>
          <w:pgMar w:top="1500" w:bottom="280" w:left="1140" w:right="0"/>
        </w:sectPr>
      </w:pPr>
    </w:p>
    <w:p>
      <w:pPr>
        <w:pStyle w:val="BodyText"/>
        <w:spacing w:line="276" w:lineRule="auto" w:before="162"/>
        <w:ind w:left="562" w:right="1698"/>
        <w:jc w:val="both"/>
      </w:pPr>
      <w:r>
        <w:rPr/>
        <w:t>una estimación del desempleo en Guatemala para 2020 y se encuentra en 3.6%. Posteriormente se observa una recuperación del empleo en 2021 dado que el INE estimó que el desempleo abierto se encontró en 2.2% en 2021.</w:t>
      </w:r>
    </w:p>
    <w:p>
      <w:pPr>
        <w:pStyle w:val="BodyText"/>
        <w:spacing w:before="4"/>
        <w:rPr>
          <w:sz w:val="25"/>
        </w:rPr>
      </w:pPr>
    </w:p>
    <w:p>
      <w:pPr>
        <w:pStyle w:val="BodyText"/>
        <w:spacing w:line="276" w:lineRule="auto"/>
        <w:ind w:left="562" w:right="1695"/>
        <w:jc w:val="both"/>
      </w:pPr>
      <w:r>
        <w:rPr/>
        <w:t>Por otro lado, los afiliados al IGSS en 2020 disminuyeron en 60,939 y aumentaron en 98,366 para 2021. En los afiliados de la actividad económica de comercio se observó un incremento del 12.0% con respecto al 2020, año en el cual los afiliados disminuyeron 41.3%. Otros sectores que mostraron una</w:t>
      </w:r>
      <w:r>
        <w:rPr>
          <w:spacing w:val="-7"/>
        </w:rPr>
        <w:t> </w:t>
      </w:r>
      <w:r>
        <w:rPr/>
        <w:t>recuperación</w:t>
      </w:r>
      <w:r>
        <w:rPr>
          <w:spacing w:val="-6"/>
        </w:rPr>
        <w:t> </w:t>
      </w:r>
      <w:r>
        <w:rPr/>
        <w:t>en</w:t>
      </w:r>
      <w:r>
        <w:rPr>
          <w:spacing w:val="-8"/>
        </w:rPr>
        <w:t> </w:t>
      </w:r>
      <w:r>
        <w:rPr/>
        <w:t>el</w:t>
      </w:r>
      <w:r>
        <w:rPr>
          <w:spacing w:val="-7"/>
        </w:rPr>
        <w:t> </w:t>
      </w:r>
      <w:r>
        <w:rPr/>
        <w:t>número</w:t>
      </w:r>
      <w:r>
        <w:rPr>
          <w:spacing w:val="-6"/>
        </w:rPr>
        <w:t> </w:t>
      </w:r>
      <w:r>
        <w:rPr/>
        <w:t>de</w:t>
      </w:r>
      <w:r>
        <w:rPr>
          <w:spacing w:val="-7"/>
        </w:rPr>
        <w:t> </w:t>
      </w:r>
      <w:r>
        <w:rPr/>
        <w:t>los</w:t>
      </w:r>
      <w:r>
        <w:rPr>
          <w:spacing w:val="-6"/>
        </w:rPr>
        <w:t> </w:t>
      </w:r>
      <w:r>
        <w:rPr/>
        <w:t>afiliados</w:t>
      </w:r>
      <w:r>
        <w:rPr>
          <w:spacing w:val="-8"/>
        </w:rPr>
        <w:t> </w:t>
      </w:r>
      <w:r>
        <w:rPr/>
        <w:t>fueron:</w:t>
      </w:r>
      <w:r>
        <w:rPr>
          <w:spacing w:val="-7"/>
        </w:rPr>
        <w:t> </w:t>
      </w:r>
      <w:r>
        <w:rPr/>
        <w:t>el</w:t>
      </w:r>
      <w:r>
        <w:rPr>
          <w:spacing w:val="-5"/>
        </w:rPr>
        <w:t> </w:t>
      </w:r>
      <w:r>
        <w:rPr/>
        <w:t>sector</w:t>
      </w:r>
      <w:r>
        <w:rPr>
          <w:spacing w:val="-6"/>
        </w:rPr>
        <w:t> </w:t>
      </w:r>
      <w:r>
        <w:rPr/>
        <w:t>de</w:t>
      </w:r>
      <w:r>
        <w:rPr>
          <w:spacing w:val="-6"/>
        </w:rPr>
        <w:t> </w:t>
      </w:r>
      <w:r>
        <w:rPr/>
        <w:t>hoteles</w:t>
      </w:r>
      <w:r>
        <w:rPr>
          <w:spacing w:val="-8"/>
        </w:rPr>
        <w:t> </w:t>
      </w:r>
      <w:r>
        <w:rPr/>
        <w:t>y</w:t>
      </w:r>
      <w:r>
        <w:rPr>
          <w:spacing w:val="-9"/>
        </w:rPr>
        <w:t> </w:t>
      </w:r>
      <w:r>
        <w:rPr/>
        <w:t>restaurantes</w:t>
      </w:r>
      <w:r>
        <w:rPr>
          <w:spacing w:val="-8"/>
        </w:rPr>
        <w:t> </w:t>
      </w:r>
      <w:r>
        <w:rPr/>
        <w:t>(18.0%),</w:t>
      </w:r>
      <w:r>
        <w:rPr>
          <w:spacing w:val="-6"/>
        </w:rPr>
        <w:t> </w:t>
      </w:r>
      <w:r>
        <w:rPr/>
        <w:t>las industrias manufactureras (11.8%), las actividades inmobiliarias (11.2%) y los servicios en</w:t>
      </w:r>
      <w:r>
        <w:rPr>
          <w:spacing w:val="-26"/>
        </w:rPr>
        <w:t> </w:t>
      </w:r>
      <w:r>
        <w:rPr/>
        <w:t>general.</w:t>
      </w:r>
    </w:p>
    <w:p>
      <w:pPr>
        <w:pStyle w:val="BodyText"/>
        <w:spacing w:before="10"/>
        <w:rPr>
          <w:sz w:val="17"/>
        </w:rPr>
      </w:pPr>
    </w:p>
    <w:p>
      <w:pPr>
        <w:spacing w:after="0"/>
        <w:rPr>
          <w:sz w:val="17"/>
        </w:rPr>
        <w:sectPr>
          <w:pgSz w:w="12240" w:h="15840"/>
          <w:pgMar w:header="715" w:footer="957" w:top="1240" w:bottom="1140" w:left="1140" w:right="0"/>
        </w:sectPr>
      </w:pPr>
    </w:p>
    <w:p>
      <w:pPr>
        <w:pStyle w:val="BodyText"/>
        <w:rPr>
          <w:sz w:val="18"/>
        </w:rPr>
      </w:pPr>
    </w:p>
    <w:p>
      <w:pPr>
        <w:pStyle w:val="BodyText"/>
        <w:rPr>
          <w:sz w:val="18"/>
        </w:rPr>
      </w:pPr>
    </w:p>
    <w:p>
      <w:pPr>
        <w:pStyle w:val="BodyText"/>
        <w:rPr>
          <w:sz w:val="18"/>
        </w:rPr>
      </w:pPr>
    </w:p>
    <w:p>
      <w:pPr>
        <w:spacing w:before="145"/>
        <w:ind w:left="0" w:right="0" w:firstLine="0"/>
        <w:jc w:val="right"/>
        <w:rPr>
          <w:sz w:val="16"/>
        </w:rPr>
      </w:pPr>
      <w:bookmarkStart w:name="_bookmark47" w:id="64"/>
      <w:bookmarkEnd w:id="64"/>
      <w:r>
        <w:rPr/>
      </w:r>
      <w:r>
        <w:rPr>
          <w:color w:val="585858"/>
          <w:spacing w:val="-1"/>
          <w:sz w:val="16"/>
        </w:rPr>
        <w:t>4.0</w:t>
      </w:r>
    </w:p>
    <w:p>
      <w:pPr>
        <w:spacing w:before="140"/>
        <w:ind w:left="0" w:right="0" w:firstLine="0"/>
        <w:jc w:val="right"/>
        <w:rPr>
          <w:sz w:val="16"/>
        </w:rPr>
      </w:pPr>
      <w:r>
        <w:rPr>
          <w:color w:val="585858"/>
          <w:spacing w:val="-1"/>
          <w:sz w:val="16"/>
        </w:rPr>
        <w:t>3.5</w:t>
      </w:r>
    </w:p>
    <w:p>
      <w:pPr>
        <w:spacing w:before="140"/>
        <w:ind w:left="0" w:right="0" w:firstLine="0"/>
        <w:jc w:val="right"/>
        <w:rPr>
          <w:sz w:val="16"/>
        </w:rPr>
      </w:pPr>
      <w:r>
        <w:rPr/>
        <w:pict>
          <v:shape style="position:absolute;margin-left:89.943123pt;margin-top:15.855625pt;width:13.1pt;height:57.3pt;mso-position-horizontal-relative:page;mso-position-vertical-relative:paragraph;z-index:251959296" type="#_x0000_t202" filled="false" stroked="false">
            <v:textbox inset="0,0,0,0" style="layout-flow:vertical;mso-layout-flow-alt:bottom-to-top">
              <w:txbxContent>
                <w:p>
                  <w:pPr>
                    <w:spacing w:before="11"/>
                    <w:ind w:left="20" w:right="0" w:firstLine="0"/>
                    <w:jc w:val="left"/>
                    <w:rPr>
                      <w:sz w:val="20"/>
                    </w:rPr>
                  </w:pPr>
                  <w:r>
                    <w:rPr>
                      <w:color w:val="585858"/>
                      <w:sz w:val="20"/>
                    </w:rPr>
                    <w:t>En porcentaje</w:t>
                  </w:r>
                </w:p>
              </w:txbxContent>
            </v:textbox>
            <w10:wrap type="none"/>
          </v:shape>
        </w:pict>
      </w:r>
      <w:r>
        <w:rPr>
          <w:color w:val="585858"/>
          <w:spacing w:val="-1"/>
          <w:sz w:val="16"/>
        </w:rPr>
        <w:t>3.0</w:t>
      </w:r>
    </w:p>
    <w:p>
      <w:pPr>
        <w:spacing w:before="140"/>
        <w:ind w:left="0" w:right="0" w:firstLine="0"/>
        <w:jc w:val="right"/>
        <w:rPr>
          <w:sz w:val="16"/>
        </w:rPr>
      </w:pPr>
      <w:r>
        <w:rPr>
          <w:color w:val="585858"/>
          <w:spacing w:val="-1"/>
          <w:sz w:val="16"/>
        </w:rPr>
        <w:t>2.5</w:t>
      </w:r>
    </w:p>
    <w:p>
      <w:pPr>
        <w:spacing w:before="140"/>
        <w:ind w:left="0" w:right="0" w:firstLine="0"/>
        <w:jc w:val="right"/>
        <w:rPr>
          <w:sz w:val="16"/>
        </w:rPr>
      </w:pPr>
      <w:r>
        <w:rPr>
          <w:color w:val="585858"/>
          <w:spacing w:val="-1"/>
          <w:sz w:val="16"/>
        </w:rPr>
        <w:t>2.0</w:t>
      </w:r>
    </w:p>
    <w:p>
      <w:pPr>
        <w:spacing w:before="140"/>
        <w:ind w:left="0" w:right="0" w:firstLine="0"/>
        <w:jc w:val="right"/>
        <w:rPr>
          <w:sz w:val="16"/>
        </w:rPr>
      </w:pPr>
      <w:r>
        <w:rPr>
          <w:color w:val="585858"/>
          <w:spacing w:val="-1"/>
          <w:sz w:val="16"/>
        </w:rPr>
        <w:t>1.5</w:t>
      </w:r>
    </w:p>
    <w:p>
      <w:pPr>
        <w:spacing w:before="141"/>
        <w:ind w:left="0" w:right="0" w:firstLine="0"/>
        <w:jc w:val="right"/>
        <w:rPr>
          <w:sz w:val="16"/>
        </w:rPr>
      </w:pPr>
      <w:r>
        <w:rPr>
          <w:color w:val="585858"/>
          <w:spacing w:val="-1"/>
          <w:sz w:val="16"/>
        </w:rPr>
        <w:t>1.0</w:t>
      </w:r>
    </w:p>
    <w:p>
      <w:pPr>
        <w:spacing w:before="140"/>
        <w:ind w:left="0" w:right="0" w:firstLine="0"/>
        <w:jc w:val="right"/>
        <w:rPr>
          <w:sz w:val="16"/>
        </w:rPr>
      </w:pPr>
      <w:r>
        <w:rPr>
          <w:color w:val="585858"/>
          <w:spacing w:val="-1"/>
          <w:sz w:val="16"/>
        </w:rPr>
        <w:t>0.5</w:t>
      </w:r>
    </w:p>
    <w:p>
      <w:pPr>
        <w:spacing w:line="128" w:lineRule="exact" w:before="140"/>
        <w:ind w:left="0" w:right="77" w:firstLine="0"/>
        <w:jc w:val="right"/>
        <w:rPr>
          <w:sz w:val="16"/>
        </w:rPr>
      </w:pPr>
      <w:r>
        <w:rPr>
          <w:color w:val="585858"/>
          <w:w w:val="100"/>
          <w:sz w:val="16"/>
        </w:rPr>
        <w:t>-</w:t>
      </w:r>
    </w:p>
    <w:p>
      <w:pPr>
        <w:spacing w:before="91"/>
        <w:ind w:left="709" w:right="0" w:firstLine="0"/>
        <w:jc w:val="center"/>
        <w:rPr>
          <w:b/>
          <w:sz w:val="20"/>
        </w:rPr>
      </w:pPr>
      <w:r>
        <w:rPr/>
        <w:br w:type="column"/>
      </w:r>
      <w:r>
        <w:rPr>
          <w:b/>
          <w:i/>
          <w:sz w:val="20"/>
        </w:rPr>
        <w:t>Gráfico 20. </w:t>
      </w:r>
      <w:r>
        <w:rPr>
          <w:b/>
          <w:sz w:val="20"/>
        </w:rPr>
        <w:t>Desempleo y variación de afiliados al IGSS</w:t>
      </w:r>
    </w:p>
    <w:p>
      <w:pPr>
        <w:pStyle w:val="Heading3"/>
        <w:tabs>
          <w:tab w:pos="5139" w:val="left" w:leader="none"/>
        </w:tabs>
        <w:spacing w:before="33"/>
        <w:ind w:left="612"/>
        <w:jc w:val="center"/>
      </w:pPr>
      <w:r>
        <w:rPr/>
        <w:t>Tasas de</w:t>
      </w:r>
      <w:r>
        <w:rPr>
          <w:spacing w:val="-1"/>
        </w:rPr>
        <w:t> </w:t>
      </w:r>
      <w:r>
        <w:rPr/>
        <w:t>desempleo</w:t>
        <w:tab/>
        <w:t>Afiliados al</w:t>
      </w:r>
      <w:r>
        <w:rPr>
          <w:spacing w:val="-3"/>
        </w:rPr>
        <w:t> </w:t>
      </w:r>
      <w:r>
        <w:rPr>
          <w:spacing w:val="-4"/>
        </w:rPr>
        <w:t>IGSS</w:t>
      </w:r>
    </w:p>
    <w:p>
      <w:pPr>
        <w:pStyle w:val="BodyText"/>
        <w:spacing w:before="2"/>
        <w:rPr>
          <w:b/>
          <w:sz w:val="29"/>
        </w:rPr>
      </w:pPr>
    </w:p>
    <w:p>
      <w:pPr>
        <w:spacing w:before="1"/>
        <w:ind w:left="0" w:right="2231" w:firstLine="0"/>
        <w:jc w:val="right"/>
        <w:rPr>
          <w:sz w:val="16"/>
        </w:rPr>
      </w:pPr>
      <w:r>
        <w:rPr/>
        <w:pict>
          <v:group style="position:absolute;margin-left:125.760002pt;margin-top:10.708737pt;width:179.4pt;height:115.45pt;mso-position-horizontal-relative:page;mso-position-vertical-relative:paragraph;z-index:251952128" coordorigin="2515,214" coordsize="3588,2309">
            <v:shape style="position:absolute;left:2668;top:214;width:2768;height:2302" coordorigin="2669,214" coordsize="2768,2302" path="m2875,889l2669,889,2669,2516,2875,2516,2875,889m3386,845l3182,845,3182,2516,3386,2516,3386,845m3900,922l3694,922,3694,2516,3900,2516,3900,922m4411,1040l4207,1040,4207,2516,4411,2516,4411,1040m4925,1097l4718,1097,4718,2516,4925,2516,4925,1097m5436,214l5232,214,5232,2516,5436,2516,5436,214e" filled="true" fillcolor="#001f5f" stroked="false">
              <v:path arrowok="t"/>
              <v:fill type="solid"/>
            </v:shape>
            <v:line style="position:absolute" from="2515,2516" to="6103,2516" stroked="true" strokeweight=".72pt" strokecolor="#d9d9d9">
              <v:stroke dashstyle="solid"/>
            </v:line>
            <v:shape style="position:absolute;left:2673;top:668;width:3272;height:651" coordorigin="2673,669" coordsize="3272,651" path="m2870,767l2772,669,2673,767,2772,866,2870,767m3381,962l3283,863,3185,962,3283,1060,3381,962m3895,1156l3797,1058,3698,1156,3797,1254,3895,1156m4406,1221l4308,1122,4209,1221,4308,1319,4406,1221m4920,1221l4821,1122,4723,1221,4821,1319,4920,1221m5945,1091l5846,993,5748,1091,5846,1190,5945,1091e" filled="true" fillcolor="#ec7c30" stroked="false">
              <v:path arrowok="t"/>
              <v:fill type="solid"/>
            </v:shape>
            <w10:wrap type="none"/>
          </v:group>
        </w:pict>
      </w:r>
      <w:r>
        <w:rPr>
          <w:color w:val="585858"/>
          <w:spacing w:val="-2"/>
          <w:sz w:val="16"/>
        </w:rPr>
        <w:t>120.0</w:t>
      </w:r>
    </w:p>
    <w:p>
      <w:pPr>
        <w:spacing w:before="75"/>
        <w:ind w:left="0" w:right="2231" w:firstLine="0"/>
        <w:jc w:val="right"/>
        <w:rPr>
          <w:sz w:val="16"/>
        </w:rPr>
      </w:pPr>
      <w:r>
        <w:rPr/>
        <w:pict>
          <v:group style="position:absolute;margin-left:354.480011pt;margin-top:9.848777pt;width:171.5pt;height:103.35pt;mso-position-horizontal-relative:page;mso-position-vertical-relative:paragraph;z-index:251958272" coordorigin="7090,197" coordsize="3430,2067">
            <v:rect style="position:absolute;left:9708;top:1471;width:154;height:792" filled="true" fillcolor="#c00000" stroked="false">
              <v:fill type="solid"/>
            </v:rect>
            <v:rect style="position:absolute;left:10197;top:196;width:154;height:1275" filled="true" fillcolor="#6fac46" stroked="false">
              <v:fill type="solid"/>
            </v:rect>
            <v:shape style="position:absolute;left:7257;top:1048;width:2115;height:423" coordorigin="7258,1049" coordsize="2115,423" path="m7411,1080l7258,1080,7258,1471,7411,1471,7411,1080m7901,1049l7747,1049,7747,1471,7901,1471,7901,1049m8393,1303l8239,1303,8239,1471,8393,1471,8393,1303m8882,1311l8729,1311,8729,1471,8882,1471,8882,1311m9372,1145l9218,1145,9218,1471,9372,1471,9372,1145e" filled="true" fillcolor="#001f5f" stroked="false">
              <v:path arrowok="t"/>
              <v:fill type="solid"/>
            </v:shape>
            <v:line style="position:absolute" from="7090,1471" to="10519,1471" stroked="true" strokeweight=".72pt" strokecolor="#d9d9d9">
              <v:stroke dashstyle="solid"/>
            </v:line>
            <v:shape style="position:absolute;left:7213;top:782;width:795;height:210" type="#_x0000_t202" filled="false" stroked="false">
              <v:textbox inset="0,0,0,0">
                <w:txbxContent>
                  <w:p>
                    <w:pPr>
                      <w:tabs>
                        <w:tab w:pos="490" w:val="left" w:leader="none"/>
                      </w:tabs>
                      <w:spacing w:line="208" w:lineRule="exact" w:before="0"/>
                      <w:ind w:left="0" w:right="0" w:firstLine="0"/>
                      <w:jc w:val="left"/>
                      <w:rPr>
                        <w:b/>
                        <w:sz w:val="16"/>
                      </w:rPr>
                    </w:pPr>
                    <w:r>
                      <w:rPr>
                        <w:b/>
                        <w:color w:val="001F5F"/>
                        <w:position w:val="-2"/>
                        <w:sz w:val="16"/>
                      </w:rPr>
                      <w:t>30.2</w:t>
                      <w:tab/>
                    </w:r>
                    <w:r>
                      <w:rPr>
                        <w:b/>
                        <w:color w:val="001F5F"/>
                        <w:sz w:val="16"/>
                      </w:rPr>
                      <w:t>32.6</w:t>
                    </w:r>
                  </w:p>
                </w:txbxContent>
              </v:textbox>
              <w10:wrap type="none"/>
            </v:shape>
            <v:shape style="position:absolute;left:9173;top:876;width:304;height:179" type="#_x0000_t202" filled="false" stroked="false">
              <v:textbox inset="0,0,0,0">
                <w:txbxContent>
                  <w:p>
                    <w:pPr>
                      <w:spacing w:line="178" w:lineRule="exact" w:before="0"/>
                      <w:ind w:left="0" w:right="0" w:firstLine="0"/>
                      <w:jc w:val="left"/>
                      <w:rPr>
                        <w:b/>
                        <w:sz w:val="16"/>
                      </w:rPr>
                    </w:pPr>
                    <w:r>
                      <w:rPr>
                        <w:b/>
                        <w:color w:val="001F5F"/>
                        <w:sz w:val="16"/>
                      </w:rPr>
                      <w:t>25.3</w:t>
                    </w:r>
                  </w:p>
                </w:txbxContent>
              </v:textbox>
              <w10:wrap type="none"/>
            </v:shape>
            <v:shape style="position:absolute;left:8193;top:1036;width:794;height:185" type="#_x0000_t202" filled="false" stroked="false">
              <v:textbox inset="0,0,0,0">
                <w:txbxContent>
                  <w:p>
                    <w:pPr>
                      <w:tabs>
                        <w:tab w:pos="489" w:val="left" w:leader="none"/>
                      </w:tabs>
                      <w:spacing w:line="184" w:lineRule="exact" w:before="0"/>
                      <w:ind w:left="0" w:right="0" w:firstLine="0"/>
                      <w:jc w:val="left"/>
                      <w:rPr>
                        <w:b/>
                        <w:sz w:val="16"/>
                      </w:rPr>
                    </w:pPr>
                    <w:r>
                      <w:rPr>
                        <w:b/>
                        <w:color w:val="001F5F"/>
                        <w:position w:val="1"/>
                        <w:sz w:val="16"/>
                      </w:rPr>
                      <w:t>13.0</w:t>
                      <w:tab/>
                    </w:r>
                    <w:r>
                      <w:rPr>
                        <w:b/>
                        <w:color w:val="001F5F"/>
                        <w:sz w:val="16"/>
                      </w:rPr>
                      <w:t>12.5</w:t>
                    </w:r>
                  </w:p>
                </w:txbxContent>
              </v:textbox>
              <w10:wrap type="none"/>
            </v:shape>
            <w10:wrap type="none"/>
          </v:group>
        </w:pict>
      </w:r>
      <w:r>
        <w:rPr>
          <w:color w:val="585858"/>
          <w:spacing w:val="-2"/>
          <w:sz w:val="16"/>
        </w:rPr>
        <w:t>100.0</w:t>
      </w:r>
    </w:p>
    <w:p>
      <w:pPr>
        <w:spacing w:before="75"/>
        <w:ind w:left="0" w:right="2230" w:firstLine="0"/>
        <w:jc w:val="right"/>
        <w:rPr>
          <w:sz w:val="16"/>
        </w:rPr>
      </w:pPr>
      <w:r>
        <w:rPr>
          <w:color w:val="585858"/>
          <w:spacing w:val="-2"/>
          <w:sz w:val="16"/>
        </w:rPr>
        <w:t>80.0</w:t>
      </w:r>
    </w:p>
    <w:p>
      <w:pPr>
        <w:spacing w:before="76"/>
        <w:ind w:left="0" w:right="2230" w:firstLine="0"/>
        <w:jc w:val="right"/>
        <w:rPr>
          <w:sz w:val="16"/>
        </w:rPr>
      </w:pPr>
      <w:r>
        <w:rPr/>
        <w:pict>
          <v:shape style="position:absolute;margin-left:312.835449pt;margin-top:5.162894pt;width:10.95pt;height:59.45pt;mso-position-horizontal-relative:page;mso-position-vertical-relative:paragraph;z-index:251960320" type="#_x0000_t202" filled="false" stroked="false">
            <v:textbox inset="0,0,0,0" style="layout-flow:vertical;mso-layout-flow-alt:bottom-to-top">
              <w:txbxContent>
                <w:p>
                  <w:pPr>
                    <w:spacing w:before="14"/>
                    <w:ind w:left="20" w:right="0" w:firstLine="0"/>
                    <w:jc w:val="left"/>
                    <w:rPr>
                      <w:sz w:val="16"/>
                    </w:rPr>
                  </w:pPr>
                  <w:r>
                    <w:rPr>
                      <w:color w:val="585858"/>
                      <w:sz w:val="16"/>
                    </w:rPr>
                    <w:t>Miles de afiliados</w:t>
                  </w:r>
                </w:p>
              </w:txbxContent>
            </v:textbox>
            <w10:wrap type="none"/>
          </v:shape>
        </w:pict>
      </w:r>
      <w:r>
        <w:rPr>
          <w:color w:val="585858"/>
          <w:spacing w:val="-2"/>
          <w:sz w:val="16"/>
        </w:rPr>
        <w:t>60.0</w:t>
      </w:r>
    </w:p>
    <w:p>
      <w:pPr>
        <w:spacing w:before="76"/>
        <w:ind w:left="0" w:right="2230" w:firstLine="0"/>
        <w:jc w:val="right"/>
        <w:rPr>
          <w:sz w:val="16"/>
        </w:rPr>
      </w:pPr>
      <w:r>
        <w:rPr>
          <w:color w:val="585858"/>
          <w:spacing w:val="-2"/>
          <w:sz w:val="16"/>
        </w:rPr>
        <w:t>40.0</w:t>
      </w:r>
    </w:p>
    <w:p>
      <w:pPr>
        <w:spacing w:before="75"/>
        <w:ind w:left="0" w:right="2230" w:firstLine="0"/>
        <w:jc w:val="right"/>
        <w:rPr>
          <w:sz w:val="16"/>
        </w:rPr>
      </w:pPr>
      <w:r>
        <w:rPr>
          <w:color w:val="585858"/>
          <w:spacing w:val="-2"/>
          <w:sz w:val="16"/>
        </w:rPr>
        <w:t>20.0</w:t>
      </w:r>
    </w:p>
    <w:p>
      <w:pPr>
        <w:spacing w:before="76"/>
        <w:ind w:left="0" w:right="2309" w:firstLine="0"/>
        <w:jc w:val="right"/>
        <w:rPr>
          <w:sz w:val="16"/>
        </w:rPr>
      </w:pPr>
      <w:r>
        <w:rPr>
          <w:color w:val="585858"/>
          <w:w w:val="100"/>
          <w:sz w:val="16"/>
        </w:rPr>
        <w:t>-</w:t>
      </w:r>
    </w:p>
    <w:p>
      <w:pPr>
        <w:spacing w:before="75"/>
        <w:ind w:left="0" w:right="2229" w:firstLine="0"/>
        <w:jc w:val="right"/>
        <w:rPr>
          <w:sz w:val="16"/>
        </w:rPr>
      </w:pPr>
      <w:r>
        <w:rPr>
          <w:color w:val="585858"/>
          <w:spacing w:val="-1"/>
          <w:sz w:val="16"/>
        </w:rPr>
        <w:t>-20.0</w:t>
      </w:r>
    </w:p>
    <w:p>
      <w:pPr>
        <w:spacing w:before="76"/>
        <w:ind w:left="0" w:right="2229" w:firstLine="0"/>
        <w:jc w:val="right"/>
        <w:rPr>
          <w:sz w:val="16"/>
        </w:rPr>
      </w:pPr>
      <w:r>
        <w:rPr>
          <w:color w:val="585858"/>
          <w:spacing w:val="-1"/>
          <w:sz w:val="16"/>
        </w:rPr>
        <w:t>-40.0</w:t>
      </w:r>
    </w:p>
    <w:p>
      <w:pPr>
        <w:spacing w:before="75"/>
        <w:ind w:left="0" w:right="2229" w:firstLine="0"/>
        <w:jc w:val="right"/>
        <w:rPr>
          <w:sz w:val="16"/>
        </w:rPr>
      </w:pPr>
      <w:r>
        <w:rPr>
          <w:color w:val="585858"/>
          <w:spacing w:val="-1"/>
          <w:sz w:val="16"/>
        </w:rPr>
        <w:t>-60.0</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3"/>
        <w:rPr>
          <w:sz w:val="19"/>
        </w:rPr>
      </w:pPr>
    </w:p>
    <w:p>
      <w:pPr>
        <w:spacing w:before="0"/>
        <w:ind w:left="965" w:right="0" w:firstLine="0"/>
        <w:jc w:val="left"/>
        <w:rPr>
          <w:b/>
          <w:sz w:val="16"/>
        </w:rPr>
      </w:pPr>
      <w:r>
        <w:rPr>
          <w:b/>
          <w:color w:val="6FAC46"/>
          <w:sz w:val="16"/>
        </w:rPr>
        <w:t>98.4</w:t>
      </w:r>
    </w:p>
    <w:p>
      <w:pPr>
        <w:spacing w:after="0"/>
        <w:jc w:val="left"/>
        <w:rPr>
          <w:sz w:val="16"/>
        </w:rPr>
        <w:sectPr>
          <w:type w:val="continuous"/>
          <w:pgSz w:w="12240" w:h="15840"/>
          <w:pgMar w:top="1500" w:bottom="280" w:left="1140" w:right="0"/>
          <w:cols w:num="3" w:equalWidth="0">
            <w:col w:w="1202" w:space="40"/>
            <w:col w:w="6767" w:space="39"/>
            <w:col w:w="3052"/>
          </w:cols>
        </w:sectPr>
      </w:pPr>
    </w:p>
    <w:p>
      <w:pPr>
        <w:spacing w:before="59"/>
        <w:ind w:left="1472" w:right="0" w:firstLine="0"/>
        <w:jc w:val="left"/>
        <w:rPr>
          <w:sz w:val="16"/>
        </w:rPr>
      </w:pPr>
      <w:r>
        <w:rPr>
          <w:color w:val="585858"/>
          <w:sz w:val="16"/>
        </w:rPr>
        <w:t>2010 2011 2012 2013 2014 2015 2016</w:t>
      </w:r>
    </w:p>
    <w:p>
      <w:pPr>
        <w:tabs>
          <w:tab w:pos="3102" w:val="left" w:leader="none"/>
        </w:tabs>
        <w:spacing w:before="159"/>
        <w:ind w:left="2619" w:right="0" w:firstLine="0"/>
        <w:jc w:val="left"/>
        <w:rPr>
          <w:sz w:val="16"/>
        </w:rPr>
      </w:pPr>
      <w:r>
        <w:rPr/>
        <w:pict>
          <v:rect style="position:absolute;margin-left:182.399994pt;margin-top:10.958752pt;width:3.96pt;height:3.96pt;mso-position-horizontal-relative:page;mso-position-vertical-relative:paragraph;z-index:251953152" filled="true" fillcolor="#001f5f" stroked="false">
            <v:fill type="solid"/>
            <w10:wrap type="none"/>
          </v:rect>
        </w:pict>
      </w:r>
      <w:r>
        <w:rPr/>
        <w:pict>
          <v:shape style="position:absolute;margin-left:206.520004pt;margin-top:10.958752pt;width:3.85pt;height:3.85pt;mso-position-horizontal-relative:page;mso-position-vertical-relative:paragraph;z-index:-281365504" coordorigin="4130,219" coordsize="77,77" path="m4169,219l4130,258,4169,296,4207,258,4169,219xe" filled="true" fillcolor="#ec7c30" stroked="false">
            <v:path arrowok="t"/>
            <v:fill type="solid"/>
            <w10:wrap type="none"/>
          </v:shape>
        </w:pict>
      </w:r>
      <w:r>
        <w:rPr>
          <w:color w:val="585858"/>
          <w:sz w:val="16"/>
        </w:rPr>
        <w:t>OIT</w:t>
        <w:tab/>
        <w:t>INE</w:t>
      </w:r>
    </w:p>
    <w:p>
      <w:pPr>
        <w:spacing w:before="51"/>
        <w:ind w:left="534" w:right="0" w:firstLine="0"/>
        <w:jc w:val="left"/>
        <w:rPr>
          <w:sz w:val="16"/>
        </w:rPr>
      </w:pPr>
      <w:r>
        <w:rPr/>
        <w:br w:type="column"/>
      </w:r>
      <w:r>
        <w:rPr>
          <w:color w:val="585858"/>
          <w:sz w:val="16"/>
        </w:rPr>
        <w:t>-80.0</w:t>
      </w:r>
    </w:p>
    <w:p>
      <w:pPr>
        <w:spacing w:line="178" w:lineRule="exact" w:before="0"/>
        <w:ind w:left="591" w:right="215" w:firstLine="0"/>
        <w:jc w:val="center"/>
        <w:rPr>
          <w:b/>
          <w:sz w:val="16"/>
        </w:rPr>
      </w:pPr>
      <w:r>
        <w:rPr/>
        <w:br w:type="column"/>
      </w:r>
      <w:r>
        <w:rPr>
          <w:b/>
          <w:color w:val="C00000"/>
          <w:sz w:val="16"/>
        </w:rPr>
        <w:t>-60.9</w:t>
      </w:r>
    </w:p>
    <w:p>
      <w:pPr>
        <w:spacing w:before="61"/>
        <w:ind w:left="591" w:right="2172" w:firstLine="0"/>
        <w:jc w:val="center"/>
        <w:rPr>
          <w:sz w:val="16"/>
        </w:rPr>
      </w:pPr>
      <w:r>
        <w:rPr>
          <w:color w:val="585858"/>
          <w:sz w:val="16"/>
        </w:rPr>
        <w:t>2015 2016 2017 2018 2019 2020 2021</w:t>
      </w:r>
    </w:p>
    <w:p>
      <w:pPr>
        <w:spacing w:after="0"/>
        <w:jc w:val="center"/>
        <w:rPr>
          <w:sz w:val="16"/>
        </w:rPr>
        <w:sectPr>
          <w:type w:val="continuous"/>
          <w:pgSz w:w="12240" w:h="15840"/>
          <w:pgMar w:top="1500" w:bottom="280" w:left="1140" w:right="0"/>
          <w:cols w:num="3" w:equalWidth="0">
            <w:col w:w="4868" w:space="40"/>
            <w:col w:w="869" w:space="39"/>
            <w:col w:w="5284"/>
          </w:cols>
        </w:sectPr>
      </w:pPr>
    </w:p>
    <w:p>
      <w:pPr>
        <w:pStyle w:val="BodyText"/>
        <w:spacing w:before="2"/>
        <w:rPr>
          <w:sz w:val="11"/>
        </w:rPr>
      </w:pPr>
    </w:p>
    <w:p>
      <w:pPr>
        <w:tabs>
          <w:tab w:pos="5096" w:val="left" w:leader="none"/>
        </w:tabs>
        <w:spacing w:before="94"/>
        <w:ind w:left="670" w:right="0" w:firstLine="0"/>
        <w:jc w:val="left"/>
        <w:rPr>
          <w:sz w:val="16"/>
        </w:rPr>
      </w:pPr>
      <w:r>
        <w:rPr>
          <w:sz w:val="16"/>
        </w:rPr>
        <w:t>Fuente:</w:t>
      </w:r>
      <w:r>
        <w:rPr>
          <w:spacing w:val="-2"/>
          <w:sz w:val="16"/>
        </w:rPr>
        <w:t> </w:t>
      </w:r>
      <w:r>
        <w:rPr>
          <w:sz w:val="16"/>
        </w:rPr>
        <w:t>INE</w:t>
        <w:tab/>
        <w:t>Fuente:</w:t>
      </w:r>
      <w:r>
        <w:rPr>
          <w:spacing w:val="-1"/>
          <w:sz w:val="16"/>
        </w:rPr>
        <w:t> </w:t>
      </w:r>
      <w:r>
        <w:rPr>
          <w:sz w:val="16"/>
        </w:rPr>
        <w:t>BANGUAT</w:t>
      </w:r>
    </w:p>
    <w:p>
      <w:pPr>
        <w:pStyle w:val="BodyText"/>
        <w:rPr>
          <w:sz w:val="18"/>
        </w:rPr>
      </w:pPr>
    </w:p>
    <w:p>
      <w:pPr>
        <w:pStyle w:val="Heading2"/>
        <w:numPr>
          <w:ilvl w:val="1"/>
          <w:numId w:val="11"/>
        </w:numPr>
        <w:tabs>
          <w:tab w:pos="1390" w:val="left" w:leader="none"/>
        </w:tabs>
        <w:spacing w:line="240" w:lineRule="auto" w:before="140" w:after="0"/>
        <w:ind w:left="1390" w:right="0" w:hanging="480"/>
        <w:jc w:val="left"/>
      </w:pPr>
      <w:bookmarkStart w:name="_bookmark48" w:id="65"/>
      <w:bookmarkEnd w:id="65"/>
      <w:r>
        <w:rPr/>
        <w:t>S</w:t>
      </w:r>
      <w:r>
        <w:rPr/>
        <w:t>ector monetario</w:t>
      </w:r>
      <w:r>
        <w:rPr>
          <w:spacing w:val="1"/>
        </w:rPr>
        <w:t> </w:t>
      </w:r>
      <w:r>
        <w:rPr/>
        <w:t>2021</w:t>
      </w:r>
    </w:p>
    <w:p>
      <w:pPr>
        <w:pStyle w:val="BodyText"/>
        <w:spacing w:before="11"/>
        <w:rPr>
          <w:b/>
          <w:sz w:val="29"/>
        </w:rPr>
      </w:pPr>
    </w:p>
    <w:p>
      <w:pPr>
        <w:pStyle w:val="BodyText"/>
        <w:spacing w:line="276" w:lineRule="auto"/>
        <w:ind w:left="562" w:right="1692"/>
        <w:jc w:val="both"/>
      </w:pPr>
      <w:r>
        <w:rPr/>
        <w:t>En 2021 los agregados monetarios mostraron un menor crecimiento que en el 2020, contrario al comportamiento de los créditos que sí crecieron más en 2021 que el año anterior. Esto ha sido derivado a que se ha venido revirtiendo el aumento extraordinario en la demanda de billetes y monedas causado por la incertidumbre que generó la crisis por la pandemia del COVID-19 en 2020. Para</w:t>
      </w:r>
      <w:r>
        <w:rPr>
          <w:spacing w:val="-7"/>
        </w:rPr>
        <w:t> </w:t>
      </w:r>
      <w:r>
        <w:rPr/>
        <w:t>el</w:t>
      </w:r>
      <w:r>
        <w:rPr>
          <w:spacing w:val="-5"/>
        </w:rPr>
        <w:t> </w:t>
      </w:r>
      <w:r>
        <w:rPr/>
        <w:t>caso</w:t>
      </w:r>
      <w:r>
        <w:rPr>
          <w:spacing w:val="-6"/>
        </w:rPr>
        <w:t> </w:t>
      </w:r>
      <w:r>
        <w:rPr/>
        <w:t>del</w:t>
      </w:r>
      <w:r>
        <w:rPr>
          <w:spacing w:val="-7"/>
        </w:rPr>
        <w:t> </w:t>
      </w:r>
      <w:r>
        <w:rPr/>
        <w:t>crédito</w:t>
      </w:r>
      <w:r>
        <w:rPr>
          <w:spacing w:val="-7"/>
        </w:rPr>
        <w:t> </w:t>
      </w:r>
      <w:r>
        <w:rPr/>
        <w:t>bancario</w:t>
      </w:r>
      <w:r>
        <w:rPr>
          <w:spacing w:val="-6"/>
        </w:rPr>
        <w:t> </w:t>
      </w:r>
      <w:r>
        <w:rPr/>
        <w:t>al</w:t>
      </w:r>
      <w:r>
        <w:rPr>
          <w:spacing w:val="-5"/>
        </w:rPr>
        <w:t> </w:t>
      </w:r>
      <w:r>
        <w:rPr/>
        <w:t>sector</w:t>
      </w:r>
      <w:r>
        <w:rPr>
          <w:spacing w:val="-5"/>
        </w:rPr>
        <w:t> </w:t>
      </w:r>
      <w:r>
        <w:rPr/>
        <w:t>privado,</w:t>
      </w:r>
      <w:r>
        <w:rPr>
          <w:spacing w:val="-7"/>
        </w:rPr>
        <w:t> </w:t>
      </w:r>
      <w:r>
        <w:rPr/>
        <w:t>este</w:t>
      </w:r>
      <w:r>
        <w:rPr>
          <w:spacing w:val="-11"/>
        </w:rPr>
        <w:t> </w:t>
      </w:r>
      <w:r>
        <w:rPr/>
        <w:t>ha</w:t>
      </w:r>
      <w:r>
        <w:rPr>
          <w:spacing w:val="-6"/>
        </w:rPr>
        <w:t> </w:t>
      </w:r>
      <w:r>
        <w:rPr/>
        <w:t>mostrado</w:t>
      </w:r>
      <w:r>
        <w:rPr>
          <w:spacing w:val="-8"/>
        </w:rPr>
        <w:t> </w:t>
      </w:r>
      <w:r>
        <w:rPr/>
        <w:t>un</w:t>
      </w:r>
      <w:r>
        <w:rPr>
          <w:spacing w:val="-6"/>
        </w:rPr>
        <w:t> </w:t>
      </w:r>
      <w:r>
        <w:rPr/>
        <w:t>mejor</w:t>
      </w:r>
      <w:r>
        <w:rPr>
          <w:spacing w:val="-6"/>
        </w:rPr>
        <w:t> </w:t>
      </w:r>
      <w:r>
        <w:rPr/>
        <w:t>desempeño</w:t>
      </w:r>
      <w:r>
        <w:rPr>
          <w:spacing w:val="-6"/>
        </w:rPr>
        <w:t> </w:t>
      </w:r>
      <w:r>
        <w:rPr/>
        <w:t>al</w:t>
      </w:r>
      <w:r>
        <w:rPr>
          <w:spacing w:val="-5"/>
        </w:rPr>
        <w:t> </w:t>
      </w:r>
      <w:r>
        <w:rPr/>
        <w:t>crecer</w:t>
      </w:r>
      <w:r>
        <w:rPr>
          <w:spacing w:val="-6"/>
        </w:rPr>
        <w:t> </w:t>
      </w:r>
      <w:r>
        <w:rPr/>
        <w:t>de acuerdo con el comportamiento de la actividad económica, así como la continuidad en las medidas de las condiciones monetarias</w:t>
      </w:r>
      <w:r>
        <w:rPr>
          <w:spacing w:val="-1"/>
        </w:rPr>
        <w:t> </w:t>
      </w:r>
      <w:r>
        <w:rPr/>
        <w:t>acomodaticias.</w:t>
      </w:r>
    </w:p>
    <w:p>
      <w:pPr>
        <w:pStyle w:val="BodyText"/>
        <w:spacing w:before="10"/>
        <w:rPr>
          <w:sz w:val="25"/>
        </w:rPr>
      </w:pPr>
    </w:p>
    <w:p>
      <w:pPr>
        <w:pStyle w:val="Heading2"/>
        <w:numPr>
          <w:ilvl w:val="2"/>
          <w:numId w:val="11"/>
        </w:numPr>
        <w:tabs>
          <w:tab w:pos="1898" w:val="left" w:leader="none"/>
          <w:tab w:pos="1899" w:val="left" w:leader="none"/>
        </w:tabs>
        <w:spacing w:line="240" w:lineRule="auto" w:before="0" w:after="0"/>
        <w:ind w:left="1898" w:right="0" w:hanging="781"/>
        <w:jc w:val="left"/>
      </w:pPr>
      <w:bookmarkStart w:name="_bookmark49" w:id="66"/>
      <w:bookmarkEnd w:id="66"/>
      <w:r>
        <w:rPr/>
        <w:t>E</w:t>
      </w:r>
      <w:r>
        <w:rPr/>
        <w:t>misión monetaria y los medios de</w:t>
      </w:r>
      <w:r>
        <w:rPr>
          <w:spacing w:val="-3"/>
        </w:rPr>
        <w:t> </w:t>
      </w:r>
      <w:r>
        <w:rPr/>
        <w:t>pago</w:t>
      </w:r>
    </w:p>
    <w:p>
      <w:pPr>
        <w:pStyle w:val="BodyText"/>
        <w:rPr>
          <w:b/>
          <w:sz w:val="30"/>
        </w:rPr>
      </w:pPr>
    </w:p>
    <w:p>
      <w:pPr>
        <w:pStyle w:val="BodyText"/>
        <w:spacing w:line="276" w:lineRule="auto"/>
        <w:ind w:left="562" w:right="1693"/>
        <w:jc w:val="both"/>
      </w:pPr>
      <w:r>
        <w:rPr/>
        <w:t>La</w:t>
      </w:r>
      <w:r>
        <w:rPr>
          <w:spacing w:val="-4"/>
        </w:rPr>
        <w:t> </w:t>
      </w:r>
      <w:r>
        <w:rPr/>
        <w:t>emisión</w:t>
      </w:r>
      <w:r>
        <w:rPr>
          <w:spacing w:val="-3"/>
        </w:rPr>
        <w:t> </w:t>
      </w:r>
      <w:r>
        <w:rPr/>
        <w:t>monetaria</w:t>
      </w:r>
      <w:r>
        <w:rPr>
          <w:spacing w:val="-3"/>
        </w:rPr>
        <w:t> </w:t>
      </w:r>
      <w:r>
        <w:rPr/>
        <w:t>en</w:t>
      </w:r>
      <w:r>
        <w:rPr>
          <w:spacing w:val="-2"/>
        </w:rPr>
        <w:t> </w:t>
      </w:r>
      <w:r>
        <w:rPr/>
        <w:t>2021</w:t>
      </w:r>
      <w:r>
        <w:rPr>
          <w:spacing w:val="-3"/>
        </w:rPr>
        <w:t> </w:t>
      </w:r>
      <w:r>
        <w:rPr/>
        <w:t>registró</w:t>
      </w:r>
      <w:r>
        <w:rPr>
          <w:spacing w:val="-4"/>
        </w:rPr>
        <w:t> </w:t>
      </w:r>
      <w:r>
        <w:rPr/>
        <w:t>un</w:t>
      </w:r>
      <w:r>
        <w:rPr>
          <w:spacing w:val="-3"/>
        </w:rPr>
        <w:t> </w:t>
      </w:r>
      <w:r>
        <w:rPr/>
        <w:t>crecimiento</w:t>
      </w:r>
      <w:r>
        <w:rPr>
          <w:spacing w:val="-5"/>
        </w:rPr>
        <w:t> </w:t>
      </w:r>
      <w:r>
        <w:rPr/>
        <w:t>de</w:t>
      </w:r>
      <w:r>
        <w:rPr>
          <w:spacing w:val="-3"/>
        </w:rPr>
        <w:t> </w:t>
      </w:r>
      <w:r>
        <w:rPr/>
        <w:t>16.7%,</w:t>
      </w:r>
      <w:r>
        <w:rPr>
          <w:spacing w:val="-3"/>
        </w:rPr>
        <w:t> </w:t>
      </w:r>
      <w:r>
        <w:rPr/>
        <w:t>es</w:t>
      </w:r>
      <w:r>
        <w:rPr>
          <w:spacing w:val="-3"/>
        </w:rPr>
        <w:t> </w:t>
      </w:r>
      <w:r>
        <w:rPr/>
        <w:t>decir,</w:t>
      </w:r>
      <w:r>
        <w:rPr>
          <w:spacing w:val="-1"/>
        </w:rPr>
        <w:t> </w:t>
      </w:r>
      <w:r>
        <w:rPr/>
        <w:t>un</w:t>
      </w:r>
      <w:r>
        <w:rPr>
          <w:spacing w:val="-3"/>
        </w:rPr>
        <w:t> </w:t>
      </w:r>
      <w:r>
        <w:rPr/>
        <w:t>menor</w:t>
      </w:r>
      <w:r>
        <w:rPr>
          <w:spacing w:val="-3"/>
        </w:rPr>
        <w:t> </w:t>
      </w:r>
      <w:r>
        <w:rPr/>
        <w:t>crecimiento</w:t>
      </w:r>
      <w:r>
        <w:rPr>
          <w:spacing w:val="-3"/>
        </w:rPr>
        <w:t> </w:t>
      </w:r>
      <w:r>
        <w:rPr/>
        <w:t>que el observado en 2020, el cual fue de 23.6%; al analizar la preferencia del público por los billetes y monedas, que se miden por el coeficiente de preferencia de liquidez, el cual denota que el mismo ha venido con una tendencia alcista desde años anteriores a raíz de los ingresos de divisas por remesas familiares, y, los programas de apoyo a través de transferencias económicas para el estímulo económico</w:t>
      </w:r>
      <w:r>
        <w:rPr>
          <w:spacing w:val="17"/>
        </w:rPr>
        <w:t> </w:t>
      </w:r>
      <w:r>
        <w:rPr/>
        <w:t>que</w:t>
      </w:r>
      <w:r>
        <w:rPr>
          <w:spacing w:val="18"/>
        </w:rPr>
        <w:t> </w:t>
      </w:r>
      <w:r>
        <w:rPr/>
        <w:t>implementó</w:t>
      </w:r>
      <w:r>
        <w:rPr>
          <w:spacing w:val="17"/>
        </w:rPr>
        <w:t> </w:t>
      </w:r>
      <w:r>
        <w:rPr/>
        <w:t>el</w:t>
      </w:r>
      <w:r>
        <w:rPr>
          <w:spacing w:val="19"/>
        </w:rPr>
        <w:t> </w:t>
      </w:r>
      <w:r>
        <w:rPr/>
        <w:t>gobierno</w:t>
      </w:r>
      <w:r>
        <w:rPr>
          <w:spacing w:val="15"/>
        </w:rPr>
        <w:t> </w:t>
      </w:r>
      <w:r>
        <w:rPr/>
        <w:t>durante</w:t>
      </w:r>
      <w:r>
        <w:rPr>
          <w:spacing w:val="17"/>
        </w:rPr>
        <w:t> </w:t>
      </w:r>
      <w:r>
        <w:rPr/>
        <w:t>el</w:t>
      </w:r>
      <w:r>
        <w:rPr>
          <w:spacing w:val="19"/>
        </w:rPr>
        <w:t> </w:t>
      </w:r>
      <w:r>
        <w:rPr/>
        <w:t>periodo</w:t>
      </w:r>
      <w:r>
        <w:rPr>
          <w:spacing w:val="15"/>
        </w:rPr>
        <w:t> </w:t>
      </w:r>
      <w:r>
        <w:rPr/>
        <w:t>de</w:t>
      </w:r>
      <w:r>
        <w:rPr>
          <w:spacing w:val="15"/>
        </w:rPr>
        <w:t> </w:t>
      </w:r>
      <w:r>
        <w:rPr/>
        <w:t>la</w:t>
      </w:r>
      <w:r>
        <w:rPr>
          <w:spacing w:val="18"/>
        </w:rPr>
        <w:t> </w:t>
      </w:r>
      <w:r>
        <w:rPr/>
        <w:t>pandemia</w:t>
      </w:r>
      <w:r>
        <w:rPr>
          <w:spacing w:val="21"/>
        </w:rPr>
        <w:t> </w:t>
      </w:r>
      <w:r>
        <w:rPr/>
        <w:t>en</w:t>
      </w:r>
      <w:r>
        <w:rPr>
          <w:spacing w:val="15"/>
        </w:rPr>
        <w:t> </w:t>
      </w:r>
      <w:r>
        <w:rPr/>
        <w:t>2020,</w:t>
      </w:r>
      <w:r>
        <w:rPr>
          <w:spacing w:val="18"/>
        </w:rPr>
        <w:t> </w:t>
      </w:r>
      <w:r>
        <w:rPr/>
        <w:t>situación</w:t>
      </w:r>
      <w:r>
        <w:rPr>
          <w:spacing w:val="18"/>
        </w:rPr>
        <w:t> </w:t>
      </w:r>
      <w:r>
        <w:rPr/>
        <w:t>que</w:t>
      </w:r>
    </w:p>
    <w:p>
      <w:pPr>
        <w:spacing w:after="0" w:line="276" w:lineRule="auto"/>
        <w:jc w:val="both"/>
        <w:sectPr>
          <w:type w:val="continuous"/>
          <w:pgSz w:w="12240" w:h="15840"/>
          <w:pgMar w:top="1500" w:bottom="280" w:left="1140" w:right="0"/>
        </w:sectPr>
      </w:pPr>
    </w:p>
    <w:p>
      <w:pPr>
        <w:pStyle w:val="BodyText"/>
        <w:spacing w:line="276" w:lineRule="auto" w:before="162"/>
        <w:ind w:left="562" w:right="1696"/>
        <w:jc w:val="both"/>
      </w:pPr>
      <w:r>
        <w:rPr/>
        <w:t>provocó en 2021 que el crecimiento de dicho coeficiente se desacelerara al registrar un crecimiento de 19.6%, es decir, 0.7 puntos porcentuales más que el 2020.</w:t>
      </w:r>
    </w:p>
    <w:p>
      <w:pPr>
        <w:pStyle w:val="BodyText"/>
        <w:spacing w:before="2"/>
        <w:rPr>
          <w:sz w:val="25"/>
        </w:rPr>
      </w:pPr>
    </w:p>
    <w:p>
      <w:pPr>
        <w:pStyle w:val="BodyText"/>
        <w:spacing w:line="276" w:lineRule="auto"/>
        <w:ind w:left="562" w:right="1693"/>
        <w:jc w:val="both"/>
      </w:pPr>
      <w:r>
        <w:rPr/>
        <w:t>Entre finales del 2020 y principios del 2021 el ritmo del crecimiento de la emisión monetaria fue superior</w:t>
      </w:r>
      <w:r>
        <w:rPr>
          <w:spacing w:val="-14"/>
        </w:rPr>
        <w:t> </w:t>
      </w:r>
      <w:r>
        <w:rPr/>
        <w:t>a</w:t>
      </w:r>
      <w:r>
        <w:rPr>
          <w:spacing w:val="-13"/>
        </w:rPr>
        <w:t> </w:t>
      </w:r>
      <w:r>
        <w:rPr/>
        <w:t>los</w:t>
      </w:r>
      <w:r>
        <w:rPr>
          <w:spacing w:val="-13"/>
        </w:rPr>
        <w:t> </w:t>
      </w:r>
      <w:r>
        <w:rPr/>
        <w:t>últimos</w:t>
      </w:r>
      <w:r>
        <w:rPr>
          <w:spacing w:val="-14"/>
        </w:rPr>
        <w:t> </w:t>
      </w:r>
      <w:r>
        <w:rPr/>
        <w:t>años,</w:t>
      </w:r>
      <w:r>
        <w:rPr>
          <w:spacing w:val="-16"/>
        </w:rPr>
        <w:t> </w:t>
      </w:r>
      <w:r>
        <w:rPr/>
        <w:t>alcanzando</w:t>
      </w:r>
      <w:r>
        <w:rPr>
          <w:spacing w:val="-13"/>
        </w:rPr>
        <w:t> </w:t>
      </w:r>
      <w:r>
        <w:rPr/>
        <w:t>niveles</w:t>
      </w:r>
      <w:r>
        <w:rPr>
          <w:spacing w:val="-14"/>
        </w:rPr>
        <w:t> </w:t>
      </w:r>
      <w:r>
        <w:rPr/>
        <w:t>alrededor</w:t>
      </w:r>
      <w:r>
        <w:rPr>
          <w:spacing w:val="-13"/>
        </w:rPr>
        <w:t> </w:t>
      </w:r>
      <w:r>
        <w:rPr/>
        <w:t>del</w:t>
      </w:r>
      <w:r>
        <w:rPr>
          <w:spacing w:val="-12"/>
        </w:rPr>
        <w:t> </w:t>
      </w:r>
      <w:r>
        <w:rPr/>
        <w:t>30.0%,</w:t>
      </w:r>
      <w:r>
        <w:rPr>
          <w:spacing w:val="-14"/>
        </w:rPr>
        <w:t> </w:t>
      </w:r>
      <w:r>
        <w:rPr/>
        <w:t>lo</w:t>
      </w:r>
      <w:r>
        <w:rPr>
          <w:spacing w:val="-13"/>
        </w:rPr>
        <w:t> </w:t>
      </w:r>
      <w:r>
        <w:rPr/>
        <w:t>cual</w:t>
      </w:r>
      <w:r>
        <w:rPr>
          <w:spacing w:val="-15"/>
        </w:rPr>
        <w:t> </w:t>
      </w:r>
      <w:r>
        <w:rPr/>
        <w:t>se</w:t>
      </w:r>
      <w:r>
        <w:rPr>
          <w:spacing w:val="-13"/>
        </w:rPr>
        <w:t> </w:t>
      </w:r>
      <w:r>
        <w:rPr/>
        <w:t>refleja</w:t>
      </w:r>
      <w:r>
        <w:rPr>
          <w:spacing w:val="-13"/>
        </w:rPr>
        <w:t> </w:t>
      </w:r>
      <w:r>
        <w:rPr/>
        <w:t>en</w:t>
      </w:r>
      <w:r>
        <w:rPr>
          <w:spacing w:val="-13"/>
        </w:rPr>
        <w:t> </w:t>
      </w:r>
      <w:r>
        <w:rPr/>
        <w:t>el</w:t>
      </w:r>
      <w:r>
        <w:rPr>
          <w:spacing w:val="-13"/>
        </w:rPr>
        <w:t> </w:t>
      </w:r>
      <w:r>
        <w:rPr/>
        <w:t>coeficiente de preferencia de liquidez al haber aumentado significativamente en dicho periodo. Sin embargo, después</w:t>
      </w:r>
      <w:r>
        <w:rPr>
          <w:spacing w:val="-4"/>
        </w:rPr>
        <w:t> </w:t>
      </w:r>
      <w:r>
        <w:rPr/>
        <w:t>del</w:t>
      </w:r>
      <w:r>
        <w:rPr>
          <w:spacing w:val="-5"/>
        </w:rPr>
        <w:t> </w:t>
      </w:r>
      <w:r>
        <w:rPr/>
        <w:t>primer</w:t>
      </w:r>
      <w:r>
        <w:rPr>
          <w:spacing w:val="-5"/>
        </w:rPr>
        <w:t> </w:t>
      </w:r>
      <w:r>
        <w:rPr/>
        <w:t>trimestre</w:t>
      </w:r>
      <w:r>
        <w:rPr>
          <w:spacing w:val="-3"/>
        </w:rPr>
        <w:t> </w:t>
      </w:r>
      <w:r>
        <w:rPr/>
        <w:t>del</w:t>
      </w:r>
      <w:r>
        <w:rPr>
          <w:spacing w:val="-5"/>
        </w:rPr>
        <w:t> </w:t>
      </w:r>
      <w:r>
        <w:rPr/>
        <w:t>2021</w:t>
      </w:r>
      <w:r>
        <w:rPr>
          <w:spacing w:val="-6"/>
        </w:rPr>
        <w:t> </w:t>
      </w:r>
      <w:r>
        <w:rPr/>
        <w:t>este</w:t>
      </w:r>
      <w:r>
        <w:rPr>
          <w:spacing w:val="-6"/>
        </w:rPr>
        <w:t> </w:t>
      </w:r>
      <w:r>
        <w:rPr/>
        <w:t>se</w:t>
      </w:r>
      <w:r>
        <w:rPr>
          <w:spacing w:val="-5"/>
        </w:rPr>
        <w:t> </w:t>
      </w:r>
      <w:r>
        <w:rPr/>
        <w:t>desaceleró</w:t>
      </w:r>
      <w:r>
        <w:rPr>
          <w:spacing w:val="-4"/>
        </w:rPr>
        <w:t> </w:t>
      </w:r>
      <w:r>
        <w:rPr/>
        <w:t>llegando</w:t>
      </w:r>
      <w:r>
        <w:rPr>
          <w:spacing w:val="-6"/>
        </w:rPr>
        <w:t> </w:t>
      </w:r>
      <w:r>
        <w:rPr/>
        <w:t>a</w:t>
      </w:r>
      <w:r>
        <w:rPr>
          <w:spacing w:val="-6"/>
        </w:rPr>
        <w:t> </w:t>
      </w:r>
      <w:r>
        <w:rPr/>
        <w:t>una</w:t>
      </w:r>
      <w:r>
        <w:rPr>
          <w:spacing w:val="-6"/>
        </w:rPr>
        <w:t> </w:t>
      </w:r>
      <w:r>
        <w:rPr/>
        <w:t>tasa</w:t>
      </w:r>
      <w:r>
        <w:rPr>
          <w:spacing w:val="-6"/>
        </w:rPr>
        <w:t> </w:t>
      </w:r>
      <w:r>
        <w:rPr/>
        <w:t>de</w:t>
      </w:r>
      <w:r>
        <w:rPr>
          <w:spacing w:val="-6"/>
        </w:rPr>
        <w:t> </w:t>
      </w:r>
      <w:r>
        <w:rPr/>
        <w:t>12.2%,</w:t>
      </w:r>
      <w:r>
        <w:rPr>
          <w:spacing w:val="-7"/>
        </w:rPr>
        <w:t> </w:t>
      </w:r>
      <w:r>
        <w:rPr/>
        <w:t>en</w:t>
      </w:r>
      <w:r>
        <w:rPr>
          <w:spacing w:val="-6"/>
        </w:rPr>
        <w:t> </w:t>
      </w:r>
      <w:r>
        <w:rPr/>
        <w:t>septiembre de 2021 se mantuvo alrededor de este nivel hasta finalizar el año, esto derivado del retorno gradual del efectivo que se demandó de manera extraordinaria en el 2020; el comportamiento de la emisión monetaria en 2021 regresó a niveles prepandemia congruentes con la meta de inflación de (4.0% +/- 1 punto</w:t>
      </w:r>
      <w:r>
        <w:rPr>
          <w:spacing w:val="-4"/>
        </w:rPr>
        <w:t> </w:t>
      </w:r>
      <w:r>
        <w:rPr/>
        <w:t>porcentual).</w:t>
      </w:r>
    </w:p>
    <w:p>
      <w:pPr>
        <w:pStyle w:val="BodyText"/>
        <w:spacing w:before="8"/>
        <w:rPr>
          <w:sz w:val="25"/>
        </w:rPr>
      </w:pPr>
    </w:p>
    <w:p>
      <w:pPr>
        <w:pStyle w:val="Heading3"/>
        <w:spacing w:before="1"/>
        <w:ind w:left="2232"/>
      </w:pPr>
      <w:bookmarkStart w:name="_bookmark50" w:id="67"/>
      <w:bookmarkEnd w:id="67"/>
      <w:r>
        <w:rPr>
          <w:b w:val="0"/>
        </w:rPr>
      </w:r>
      <w:r>
        <w:rPr>
          <w:i/>
          <w:sz w:val="20"/>
        </w:rPr>
        <w:t>Gráfico 21 </w:t>
      </w:r>
      <w:r>
        <w:rPr/>
        <w:t>La liquidez y los medios de pago (en porcentaje)</w:t>
      </w:r>
    </w:p>
    <w:p>
      <w:pPr>
        <w:tabs>
          <w:tab w:pos="4109" w:val="left" w:leader="none"/>
        </w:tabs>
        <w:spacing w:before="174"/>
        <w:ind w:left="0" w:right="822" w:firstLine="0"/>
        <w:jc w:val="center"/>
        <w:rPr>
          <w:b/>
          <w:sz w:val="20"/>
        </w:rPr>
      </w:pPr>
      <w:r>
        <w:rPr>
          <w:b/>
          <w:sz w:val="20"/>
        </w:rPr>
        <w:t>Coeficiente de preferencia</w:t>
      </w:r>
      <w:r>
        <w:rPr>
          <w:b/>
          <w:spacing w:val="-9"/>
          <w:sz w:val="20"/>
        </w:rPr>
        <w:t> </w:t>
      </w:r>
      <w:r>
        <w:rPr>
          <w:b/>
          <w:sz w:val="20"/>
        </w:rPr>
        <w:t>de</w:t>
      </w:r>
      <w:r>
        <w:rPr>
          <w:b/>
          <w:spacing w:val="-3"/>
          <w:sz w:val="20"/>
        </w:rPr>
        <w:t> </w:t>
      </w:r>
      <w:r>
        <w:rPr>
          <w:b/>
          <w:sz w:val="20"/>
        </w:rPr>
        <w:t>liquidez</w:t>
        <w:tab/>
        <w:t>Contribución al crecimiento de los medios</w:t>
      </w:r>
      <w:r>
        <w:rPr>
          <w:b/>
          <w:spacing w:val="-4"/>
          <w:sz w:val="20"/>
        </w:rPr>
        <w:t> </w:t>
      </w:r>
      <w:r>
        <w:rPr>
          <w:b/>
          <w:sz w:val="20"/>
        </w:rPr>
        <w:t>de</w:t>
      </w:r>
    </w:p>
    <w:p>
      <w:pPr>
        <w:spacing w:before="34"/>
        <w:ind w:left="4364" w:right="1078" w:firstLine="0"/>
        <w:jc w:val="center"/>
        <w:rPr>
          <w:b/>
          <w:sz w:val="20"/>
        </w:rPr>
      </w:pPr>
      <w:r>
        <w:rPr>
          <w:b/>
          <w:sz w:val="20"/>
        </w:rPr>
        <w:t>pago</w:t>
      </w:r>
    </w:p>
    <w:p>
      <w:pPr>
        <w:pStyle w:val="BodyText"/>
        <w:rPr>
          <w:b/>
          <w:sz w:val="20"/>
        </w:rPr>
      </w:pPr>
    </w:p>
    <w:p>
      <w:pPr>
        <w:pStyle w:val="BodyText"/>
        <w:spacing w:before="4"/>
        <w:rPr>
          <w:b/>
          <w:sz w:val="17"/>
        </w:rPr>
      </w:pPr>
    </w:p>
    <w:p>
      <w:pPr>
        <w:spacing w:after="0"/>
        <w:rPr>
          <w:sz w:val="17"/>
        </w:rPr>
        <w:sectPr>
          <w:pgSz w:w="12240" w:h="15840"/>
          <w:pgMar w:header="715" w:footer="957" w:top="1240" w:bottom="1140" w:left="1140" w:right="0"/>
        </w:sectPr>
      </w:pPr>
    </w:p>
    <w:p>
      <w:pPr>
        <w:spacing w:before="93"/>
        <w:ind w:left="709" w:right="0" w:firstLine="0"/>
        <w:jc w:val="left"/>
        <w:rPr>
          <w:sz w:val="18"/>
        </w:rPr>
      </w:pPr>
      <w:r>
        <w:rPr>
          <w:color w:val="585858"/>
          <w:sz w:val="18"/>
        </w:rPr>
        <w:t>21</w:t>
      </w:r>
    </w:p>
    <w:p>
      <w:pPr>
        <w:tabs>
          <w:tab w:pos="5125" w:val="left" w:leader="none"/>
        </w:tabs>
        <w:spacing w:before="92"/>
        <w:ind w:left="709" w:right="0" w:firstLine="0"/>
        <w:jc w:val="left"/>
        <w:rPr>
          <w:sz w:val="16"/>
        </w:rPr>
      </w:pPr>
      <w:r>
        <w:rPr/>
        <w:pict>
          <v:group style="position:absolute;margin-left:111.608284pt;margin-top:9.578748pt;width:174.8pt;height:80.7pt;mso-position-horizontal-relative:page;mso-position-vertical-relative:paragraph;z-index:-281347072" coordorigin="2232,192" coordsize="3496,1614">
            <v:shape style="position:absolute;left:2232;top:191;width:3420;height:1614" coordorigin="2232,192" coordsize="3420,1614" path="m2261,1676l2251,1678,2242,1682,2235,1688,2232,1698,2233,1708,2237,1716,2244,1724,2263,1734,2281,1746,2299,1760,2318,1772,2338,1784,2359,1796,2371,1800,2382,1804,2394,1806,2446,1806,2468,1802,2490,1796,2503,1792,2514,1786,2526,1780,2538,1770,2549,1762,2554,1756,2397,1756,2389,1752,2382,1750,2365,1742,2347,1730,2328,1718,2309,1704,2289,1690,2270,1680,2261,1676xm2766,1260l2742,1260,2740,1262,2739,1262,2729,1264,2728,1264,2725,1266,2715,1272,2714,1272,2713,1274,2712,1274,2701,1282,2699,1284,2689,1296,2684,1304,2678,1314,2673,1324,2668,1334,2658,1358,2648,1382,2639,1410,2629,1438,2620,1468,2582,1588,2573,1614,2564,1640,2555,1662,2546,1680,2542,1688,2538,1694,2531,1706,2523,1714,2516,1724,2508,1730,2500,1736,2492,1740,2484,1746,2477,1748,2460,1754,2443,1756,2554,1756,2560,1750,2570,1738,2580,1724,2585,1714,2591,1704,2601,1684,2620,1632,2630,1604,2640,1574,2649,1544,2659,1514,2677,1454,2687,1426,2696,1400,2705,1376,2714,1354,2718,1346,2723,1338,2731,1326,2736,1320,2734,1320,2740,1316,2740,1316,2746,1312,2744,1312,2749,1310,2925,1310,2945,1302,2966,1292,2987,1280,2990,1278,2839,1278,2832,1276,2812,1270,2791,1264,2779,1262,2766,1260xm2925,1310l2765,1310,2772,1312,2780,1314,2798,1318,2817,1324,2840,1328,2857,1328,2866,1326,2905,1316,2925,1310xm2738,1318l2734,1320,2736,1320,2738,1318xm2743,1314l2740,1316,2740,1316,2743,1314xm2749,1310l2744,1312,2747,1311,2749,1310xm2747,1311l2744,1312,2746,1312,2747,1311xm2753,1310l2749,1310,2747,1311,2753,1310xm3181,938l3150,938,3149,940,3146,940,3141,944,3139,944,3138,946,3131,950,3124,958,3113,970,3103,986,3093,1004,3083,1024,3073,1044,3064,1066,3045,1108,3036,1130,3027,1150,3018,1168,3009,1184,3001,1196,2993,1206,2985,1216,2977,1224,2968,1230,2961,1236,2944,1246,2927,1254,2910,1262,2892,1268,2847,1278,2990,1278,2998,1272,3020,1252,3030,1242,3041,1228,3052,1210,3062,1192,3072,1172,3082,1150,3091,1128,3110,1086,3120,1064,3129,1044,3138,1026,3147,1012,3155,998,3163,990,3166,988,3165,988,3165,987,3165,987,3162,986,3163,986,3161,984,3226,984,3221,976,3209,960,3203,954,3199,950,3196,946,3191,944,3190,942,3188,942,3181,938xm3321,1186l3298,1186,3300,1188,3319,1188,3321,1186xm3328,1184l3290,1184,3296,1186,3323,1186,3328,1184xm3166,987l3169,990,3172,994,3180,1006,3188,1020,3197,1036,3206,1054,3225,1094,3234,1114,3244,1132,3254,1148,3265,1164,3271,1170,3278,1176,3279,1178,3280,1178,3286,1182,3287,1182,3288,1184,3329,1184,3331,1182,3333,1180,3338,1178,3340,1176,3345,1170,3352,1162,3358,1154,3365,1140,3303,1140,3308,1136,3308,1136,3308,1136,3308,1136,3305,1134,3297,1122,3288,1108,3279,1092,3251,1032,3241,1012,3231,994,3228,988,3167,988,3166,987xm3468,905l3468,906,3470,908,3474,912,3481,924,3490,938,3498,956,3507,976,3517,996,3536,1038,3545,1060,3555,1080,3565,1098,3575,1114,3581,1122,3594,1136,3600,1140,3601,1142,3604,1142,3609,1146,3619,1150,3642,1154,3666,1156,3680,1156,3694,1154,3708,1150,3722,1146,3735,1140,3749,1132,3762,1122,3763,1120,3764,1120,3772,1110,3774,1108,3775,1106,3669,1106,3650,1104,3642,1104,3637,1102,3632,1100,3631,1100,3627,1098,3628,1098,3625,1096,3621,1092,3618,1088,3609,1074,3600,1058,3591,1038,3582,1018,3563,976,3543,932,3533,914,3528,906,3468,906,3468,905xm3308,1136l3303,1140,3306,1139,3308,1136,3308,1136xm3306,1139l3303,1140,3304,1140,3306,1139,3306,1139xm3306,1139l3304,1140,3305,1139,3306,1139xm3305,1139l3304,1140,3305,1140,3305,1139xm3309,1138l3305,1139,3305,1140,3314,1140,3309,1138xm3309,1138l3309,1138,3314,1140,3309,1138xm3485,858l3447,858,3441,862,3438,864,3431,870,3425,878,3414,894,3409,904,3404,914,3394,936,3375,984,3356,1034,3347,1060,3337,1082,3328,1102,3320,1118,3313,1130,3310,1134,3308,1136,3309,1136,3313,1138,3310,1138,3309,1138,3314,1140,3365,1140,3369,1134,3374,1124,3383,1102,3393,1078,3403,1052,3412,1028,3422,1002,3431,978,3440,954,3450,936,3454,926,3458,920,3462,912,3466,908,3467,906,3467,906,3464,904,3465,904,3462,902,3526,902,3523,896,3511,880,3505,872,3501,868,3500,868,3499,866,3498,866,3493,862,3490,860,3485,858xm3308,1138l3306,1139,3305,1139,3309,1138,3308,1138xm3308,1138l3306,1139,3306,1139,3308,1138,3308,1138xm3308,1136l3306,1139,3308,1136,3308,1136xm3308,1136l3306,1139,3308,1138,3308,1138,3311,1138,3308,1136xm3309,1138l3308,1138,3308,1138,3309,1138,3309,1138,3309,1138xm3310,1138l3309,1138,3309,1138,3310,1138xm3308,1138l3308,1138,3308,1138,3308,1138xm3308,1136l3308,1136,3311,1138,3309,1136,3308,1136xm3309,1136l3311,1138,3313,1138,3309,1136xm3308,1136l3308,1136,3309,1136,3308,1136xm3308,1136l3308,1136,3308,1136,3308,1136xm3308,1136l3308,1136,3308,1136,3308,1136xm4699,1108l4627,1108,4628,1110,4647,1114,4675,1114,4685,1112,4688,1112,4699,1108xm4374,657l4372,658,4370,662,4373,666,4376,672,4380,680,4384,688,4389,698,4393,708,4402,732,4412,760,4421,788,4440,848,4449,878,4459,906,4468,932,4478,956,4483,968,4488,980,4493,988,4499,998,4509,1012,4519,1026,4529,1038,4539,1050,4549,1060,4560,1070,4570,1078,4581,1086,4592,1094,4603,1100,4624,1108,4700,1108,4702,1106,4712,1100,4723,1092,4734,1084,4745,1074,4755,1064,4657,1064,4639,1060,4643,1060,4626,1054,4619,1050,4610,1046,4602,1040,4594,1034,4586,1026,4577,1016,4568,1008,4559,996,4542,972,4538,966,4534,958,4529,948,4516,916,4506,890,4497,862,4469,772,4459,742,4450,714,4440,690,4435,676,4430,666,4426,658,4372,658,4374,657xm3787,1084l3729,1084,3722,1090,3714,1094,3706,1098,3697,1102,3687,1104,3678,1106,3775,1106,3782,1096,3783,1094,3783,1092,3784,1092,3787,1084xm3627,1098l3631,1100,3629,1098,3627,1098xm3629,1098l3631,1100,3632,1100,3629,1098xm3628,1098l3627,1098,3629,1098,3628,1098xm3734,1076l3726,1086,3729,1084,3787,1084,3788,1080,3732,1080,3734,1076xm3738,1070l3732,1080,3788,1080,3789,1078,3791,1072,3737,1072,3738,1070xm3739,1068l3738,1070,3737,1072,3739,1068xm3792,1068l3739,1068,3737,1072,3791,1072,3792,1068xm3933,192l3920,192,3916,194,3911,196,3908,198,3906,200,3904,202,3899,206,3898,208,3895,210,3889,222,3883,234,3879,250,3873,266,3869,286,3859,332,3849,386,3845,414,3835,476,3831,508,3826,542,3817,610,3807,682,3798,748,3793,782,3788,816,3784,848,3779,878,3774,908,3769,936,3765,962,3760,988,3756,1008,3751,1028,3747,1046,3743,1058,3738,1070,3739,1068,3792,1068,3795,1060,3800,1042,3805,1020,3810,998,3814,972,3824,916,3833,856,3838,822,3843,790,3848,756,3858,681,3876,550,3881,516,3885,484,3890,452,3895,422,3899,394,3904,366,3909,340,3918,296,3922,278,3929,257,3927,254,3924,246,3920,240,3920,240,3919,240,3920,240,3917,238,3976,238,3972,230,3966,218,3961,212,3960,210,3960,210,3959,208,3954,204,3952,202,3948,198,3943,196,3940,194,3937,194,3933,192xm4677,1062l4667,1064,4672,1064,4677,1062xm4680,1060l4672,1064,4755,1064,4757,1062,4678,1062,4680,1060xm4682,1060l4680,1060,4678,1062,4682,1060xm4759,1060l4682,1060,4678,1062,4757,1062,4759,1060xm4899,936l4856,936,4834,940,4823,942,4805,950,4799,954,4787,962,4777,970,4767,980,4747,1000,4729,1018,4711,1038,4702,1046,4695,1052,4687,1056,4680,1060,4682,1060,4759,1060,4765,1054,4784,1034,4802,1014,4811,1008,4819,1000,4827,996,4833,992,4840,990,4848,988,4864,986,4985,986,5015,980,5055,970,5094,958,5132,944,5147,938,4918,938,4899,936xm3976,238l3939,238,3937,240,3935,242,3931,250,3929,257,3932,262,3936,274,3940,286,3945,300,3949,316,3954,334,3958,352,3968,390,4005,558,4015,598,4024,634,4029,652,4034,668,4039,682,4044,696,4054,720,4082,796,4091,820,4101,846,4110,870,4120,892,4130,914,4140,934,4150,952,4160,966,4171,980,4178,986,4184,992,4188,994,4202,1000,4204,1002,4225,1002,4228,1000,4232,998,4234,998,4237,996,4238,994,4243,992,4245,990,4247,988,4252,982,4258,974,4264,964,4269,954,4208,954,4210,953,4213,950,4212,950,4212,950,4210,948,4202,938,4193,926,4185,910,4176,892,4166,872,4148,828,4139,802,4110,726,4101,702,4091,678,4087,666,4082,652,4078,638,4073,622,4069,604,4064,586,4055,546,4045,506,4036,462,4026,420,4017,378,4007,340,4002,320,3998,302,3993,286,3988,270,3983,256,3978,241,3976,238xm4985,986l4896,986,4912,987,4934,990,4954,990,4975,988,4985,986xm3165,987l3165,988,3165,987,3165,987xm3165,987l3165,988,3166,988,3165,987xm3166,987l3165,987,3165,987,3166,988,3166,987,3166,987xm3166,987l3166,987,3167,988,3166,987xm3226,984l3161,984,3167,986,3170,986,3167,987,3166,987,3167,988,3228,988,3226,984xm3166,987l3166,987,3165,987,3166,987,3166,987xm3164,986l3165,987,3166,987,3165,987,3164,986xm3166,987l3166,987,3166,987,3166,987xm3166,987l3166,987,3166,987,3166,987xm3161,984l3164,986,3166,987,3166,987,3164,986,3167,986,3161,984xm3168,986l3166,987,3166,987,3166,987,3168,986xm3164,986l3166,987,3166,987,3164,986xm3170,986l3168,986,3166,987,3170,986xm3168,986l3164,986,3166,987,3168,986xm3163,986l3162,986,3164,986,3163,986xm4210,953l4208,954,4210,953,4210,953xm4210,953l4208,954,4209,954,4210,953xm4211,953l4210,953,4209,954,4211,953xm4214,952l4211,953,4209,954,4210,954,4214,952xm4217,952l4214,952,4210,954,4217,952xm4394,614l4346,614,4343,616,4338,622,4337,622,4329,632,4324,642,4318,652,4313,662,4308,674,4303,688,4289,730,4279,762,4270,794,4260,824,4251,856,4242,884,4237,898,4233,910,4224,930,4220,938,4217,944,4214,950,4213,950,4216,952,4217,952,4210,954,4269,954,4280,928,4290,900,4309,840,4328,776,4337,746,4347,717,4351,704,4355,692,4360,681,4364,672,4368,666,4370,662,4370,662,4367,658,4367,657,4363,656,4365,656,4363,654,4425,654,4419,646,4413,636,4407,628,4400,620,4395,616,4394,614xm4213,952l4210,953,4210,953,4211,953,4213,952xm4213,950l4210,953,4213,952,4215,952,4213,950xm4214,952l4213,952,4211,953,4214,952xm4213,950l4213,950,4215,952,4213,950,4213,950xm4213,950l4215,952,4216,952,4213,950xm4212,950l4213,950,4213,950,4212,950xm4212,950l4212,950,4213,950,4213,950,4212,950xm3172,936l3157,936,3155,938,3177,938,3172,936xm5508,681l5484,706,5465,722,5447,740,5430,754,5413,766,5396,776,5379,784,5343,796,5304,808,5264,824,5245,832,5225,842,5188,862,5151,880,5133,890,5115,896,5079,910,5006,930,4971,938,5147,938,5152,936,5172,926,5212,905,5249,888,5267,878,5303,862,5321,856,5358,846,5377,838,5397,832,5418,822,5438,810,5459,794,5479,778,5519,742,5544,717,5522,702,5508,681xm3465,904l3467,906,3467,906,3468,905,3467,905,3465,904xm3468,905l3468,905,3468,906,3468,905xm3526,902l3472,902,3468,905,3468,905,3468,906,3528,906,3526,902xm3472,902l3471,902,3468,905,3468,905,3472,902xm3466,904l3467,905,3468,905,3468,905,3466,904xm3471,902l3471,902,3469,904,3468,905,3468,905,3471,902xm3462,902l3465,904,3467,905,3466,904,3467,904,3467,903,3462,902xm3471,902l3467,903,3468,904,3466,904,3468,905,3469,904,3471,902xm3465,904l3464,904,3465,904,3465,904xm3467,903l3467,904,3468,904,3467,903xm3471,902l3462,902,3467,903,3471,902,3471,902xm3472,902l3471,902,3471,902,3472,902xm3482,856l3451,856,3449,858,3484,858,3482,856xm3475,854l3460,854,3457,856,3480,856,3475,854xm5647,624l5577,624,5586,626,5594,632,5600,640,5602,650,5600,660,5594,668,5544,717,5547,720,5575,726,5604,720,5629,704,5646,680,5652,650,5647,624xm5577,624l5567,626,5559,632,5508,681,5522,702,5544,717,5594,668,5600,660,5602,650,5600,640,5594,632,5586,626,5577,624xm5577,574l5549,580,5524,596,5507,620,5501,648,5506,678,5508,681,5559,632,5567,626,5577,624,5647,624,5647,622,5631,598,5606,580,5577,574xm4375,656l4374,656,4370,658,4367,658,4370,662,4370,662,4372,658,4374,657,4375,656xm4367,657l4367,658,4368,658,4367,657xm4366,657l4367,657,4368,658,4367,657,4366,657xm4367,657l4368,658,4369,658,4367,657xm4366,656l4367,657,4369,658,4366,656xm4377,654l4363,654,4366,656,4369,658,4370,658,4377,654xm4377,654l4370,658,4374,656,4375,656,4377,654xm4374,656l4374,657,4372,658,4373,658,4374,656xm4425,656l4375,656,4373,658,4426,658,4425,656xm4363,656l4367,657,4366,657,4363,656xm4365,656l4366,657,4367,657,4366,656,4365,656xm4365,656l4363,656,4366,657,4365,656,4365,656xm4377,654l4374,657,4374,656,4377,654xm4425,654l4377,654,4374,656,4375,656,4425,656,4425,654xm4363,654l4365,656,4366,656,4363,654xm4365,656l4365,656,4365,656,4365,656xm4383,608l4357,608,4355,610,4352,610,4348,614,4392,614,4390,612,4383,608xm4374,606l4365,606,4360,608,4379,608,4374,606xm3920,240l3924,246,3927,254,3929,257,3931,250,3934,244,3928,244,3924,242,3922,242,3921,240,3920,240xm3938,238l3917,238,3923,241,3928,244,3924,242,3935,240,3938,238,3938,238xm3935,240l3924,242,3928,244,3934,244,3935,242,3932,242,3935,240xm3921,240l3922,242,3921,240,3921,240xm3921,240l3922,242,3923,242,3921,240xm3921,240l3923,242,3923,241,3921,240xm3923,241l3923,242,3924,242,3923,241xm3936,240l3935,240,3932,242,3936,240xm3937,240l3936,240,3932,242,3935,242,3937,240xm3938,238l3938,238,3935,242,3937,240,3938,238xm3937,240l3935,242,3935,242,3937,240xm3917,238l3921,240,3921,240,3923,241,3917,238xm3920,240l3920,240,3921,240,3921,240,3920,240xm3920,240l3920,240,3921,240,3920,240xm3920,240l3919,240,3920,240,3920,240xm3939,238l3938,238,3937,240,3939,238xm3938,238l3935,240,3936,240,3937,240,3938,238xm3938,238l3938,238,3938,238,3938,238xm3939,238l3938,238,3938,238,3939,238xe" filled="true" fillcolor="#001f5f" stroked="false">
              <v:path arrowok="t"/>
              <v:fill type="solid"/>
            </v:shape>
            <v:shape style="position:absolute;left:2232;top:797;width:3521;height:406" coordorigin="2232,797" coordsize="3521,406" path="m2232,1203l3943,1203m4042,797l5753,797e" filled="false" stroked="true" strokeweight="2.52pt" strokecolor="#ec7c30">
              <v:path arrowok="t"/>
              <v:stroke dashstyle="solid"/>
            </v:shape>
            <v:shape style="position:absolute;left:5097;top:437;width:371;height:221" type="#_x0000_t202" filled="false" stroked="false">
              <v:textbox inset="0,0,0,0">
                <w:txbxContent>
                  <w:p>
                    <w:pPr>
                      <w:spacing w:line="221" w:lineRule="exact" w:before="0"/>
                      <w:ind w:left="0" w:right="0" w:firstLine="0"/>
                      <w:jc w:val="left"/>
                      <w:rPr>
                        <w:b/>
                        <w:sz w:val="20"/>
                      </w:rPr>
                    </w:pPr>
                    <w:r>
                      <w:rPr>
                        <w:b/>
                        <w:color w:val="EC7C30"/>
                        <w:sz w:val="20"/>
                      </w:rPr>
                      <w:t>19.6</w:t>
                    </w:r>
                  </w:p>
                </w:txbxContent>
              </v:textbox>
              <w10:wrap type="none"/>
            </v:shape>
            <v:shape style="position:absolute;left:3136;top:1353;width:371;height:221" type="#_x0000_t202" filled="false" stroked="false">
              <v:textbox inset="0,0,0,0">
                <w:txbxContent>
                  <w:p>
                    <w:pPr>
                      <w:spacing w:line="221" w:lineRule="exact" w:before="0"/>
                      <w:ind w:left="0" w:right="0" w:firstLine="0"/>
                      <w:jc w:val="left"/>
                      <w:rPr>
                        <w:b/>
                        <w:sz w:val="20"/>
                      </w:rPr>
                    </w:pPr>
                    <w:r>
                      <w:rPr>
                        <w:b/>
                        <w:color w:val="EC7C30"/>
                        <w:sz w:val="20"/>
                      </w:rPr>
                      <w:t>18.9</w:t>
                    </w:r>
                  </w:p>
                </w:txbxContent>
              </v:textbox>
              <w10:wrap type="none"/>
            </v:shape>
            <w10:wrap type="none"/>
          </v:group>
        </w:pict>
      </w:r>
      <w:r>
        <w:rPr>
          <w:color w:val="585858"/>
          <w:position w:val="-2"/>
          <w:sz w:val="18"/>
        </w:rPr>
        <w:t>21</w:t>
        <w:tab/>
      </w:r>
      <w:r>
        <w:rPr>
          <w:color w:val="585858"/>
          <w:spacing w:val="-6"/>
          <w:sz w:val="16"/>
        </w:rPr>
        <w:t>20.0</w:t>
      </w:r>
    </w:p>
    <w:p>
      <w:pPr>
        <w:tabs>
          <w:tab w:pos="5125" w:val="left" w:leader="none"/>
        </w:tabs>
        <w:spacing w:before="106"/>
        <w:ind w:left="709" w:right="0" w:firstLine="0"/>
        <w:jc w:val="left"/>
        <w:rPr>
          <w:sz w:val="16"/>
        </w:rPr>
      </w:pPr>
      <w:r>
        <w:rPr>
          <w:color w:val="585858"/>
          <w:position w:val="9"/>
          <w:sz w:val="18"/>
        </w:rPr>
        <w:t>20</w:t>
        <w:tab/>
      </w:r>
      <w:r>
        <w:rPr>
          <w:color w:val="585858"/>
          <w:spacing w:val="-6"/>
          <w:sz w:val="16"/>
        </w:rPr>
        <w:t>15.0</w:t>
      </w:r>
    </w:p>
    <w:p>
      <w:pPr>
        <w:spacing w:before="16"/>
        <w:ind w:left="709" w:right="0" w:firstLine="0"/>
        <w:jc w:val="left"/>
        <w:rPr>
          <w:sz w:val="18"/>
        </w:rPr>
      </w:pPr>
      <w:r>
        <w:rPr>
          <w:color w:val="585858"/>
          <w:sz w:val="18"/>
        </w:rPr>
        <w:t>20</w:t>
      </w:r>
    </w:p>
    <w:p>
      <w:pPr>
        <w:tabs>
          <w:tab w:pos="5125" w:val="left" w:leader="none"/>
        </w:tabs>
        <w:spacing w:before="26"/>
        <w:ind w:left="709" w:right="0" w:firstLine="0"/>
        <w:jc w:val="left"/>
        <w:rPr>
          <w:sz w:val="16"/>
        </w:rPr>
      </w:pPr>
      <w:r>
        <w:rPr>
          <w:color w:val="585858"/>
          <w:position w:val="-9"/>
          <w:sz w:val="18"/>
        </w:rPr>
        <w:t>19</w:t>
        <w:tab/>
      </w:r>
      <w:r>
        <w:rPr>
          <w:color w:val="585858"/>
          <w:spacing w:val="-6"/>
          <w:sz w:val="16"/>
        </w:rPr>
        <w:t>10.0</w:t>
      </w:r>
    </w:p>
    <w:p>
      <w:pPr>
        <w:tabs>
          <w:tab w:pos="5205" w:val="left" w:leader="none"/>
        </w:tabs>
        <w:spacing w:before="97"/>
        <w:ind w:left="709" w:right="0" w:firstLine="0"/>
        <w:jc w:val="left"/>
        <w:rPr>
          <w:sz w:val="16"/>
        </w:rPr>
      </w:pPr>
      <w:r>
        <w:rPr>
          <w:color w:val="585858"/>
          <w:position w:val="3"/>
          <w:sz w:val="18"/>
        </w:rPr>
        <w:t>19</w:t>
        <w:tab/>
      </w:r>
      <w:r>
        <w:rPr>
          <w:color w:val="585858"/>
          <w:spacing w:val="-7"/>
          <w:sz w:val="16"/>
        </w:rPr>
        <w:t>5.0</w:t>
      </w:r>
    </w:p>
    <w:p>
      <w:pPr>
        <w:spacing w:line="188" w:lineRule="exact" w:before="81"/>
        <w:ind w:left="709" w:right="0" w:firstLine="0"/>
        <w:jc w:val="left"/>
        <w:rPr>
          <w:sz w:val="18"/>
        </w:rPr>
      </w:pPr>
      <w:r>
        <w:rPr>
          <w:color w:val="585858"/>
          <w:sz w:val="18"/>
        </w:rPr>
        <w:t>18</w:t>
      </w:r>
    </w:p>
    <w:p>
      <w:pPr>
        <w:spacing w:line="144" w:lineRule="exact" w:before="0"/>
        <w:ind w:left="5272" w:right="0" w:firstLine="0"/>
        <w:jc w:val="left"/>
        <w:rPr>
          <w:sz w:val="16"/>
        </w:rPr>
      </w:pPr>
      <w:r>
        <w:rPr>
          <w:color w:val="585858"/>
          <w:w w:val="100"/>
          <w:sz w:val="16"/>
        </w:rPr>
        <w:t>-</w:t>
      </w:r>
    </w:p>
    <w:p>
      <w:pPr>
        <w:spacing w:line="186" w:lineRule="exact" w:before="0"/>
        <w:ind w:left="709" w:right="0" w:firstLine="0"/>
        <w:jc w:val="left"/>
        <w:rPr>
          <w:sz w:val="18"/>
        </w:rPr>
      </w:pPr>
      <w:r>
        <w:rPr/>
        <w:pict>
          <v:shape style="position:absolute;margin-left:0pt;margin-top:364.680939pt;width:181.1pt;height:1.8pt;mso-position-horizontal-relative:page;mso-position-vertical-relative:paragraph;z-index:251969536" coordorigin="0,7294" coordsize="3622,36" path="m2182,89l5803,89m2182,89l2182,125m2333,89l2333,125m2484,89l2484,125m2635,89l2635,125m2786,89l2786,125m2935,89l2935,125m3086,89l3086,125m3238,89l3238,125m3389,89l3389,125m3540,89l3540,125m3691,89l3691,125m3842,89l3842,125m3994,89l3994,125m4142,89l4142,125m4294,89l4294,125m4445,89l4445,125m4596,89l4596,125m4747,89l4747,125m4898,89l4898,125m5050,89l5050,125m5198,89l5198,125m5350,89l5350,125m5501,89l5501,125m5652,89l5652,125m5803,89l5803,125e" filled="false" stroked="true" strokeweight=".72pt" strokecolor="#d9d9d9">
            <v:path arrowok="t"/>
            <v:stroke dashstyle="solid"/>
            <w10:wrap type="none"/>
          </v:shape>
        </w:pict>
      </w:r>
      <w:r>
        <w:rPr/>
        <w:pict>
          <v:shape style="position:absolute;margin-left:108.613319pt;margin-top:7.072891pt;width:182.2pt;height:21.05pt;mso-position-horizontal-relative:page;mso-position-vertical-relative:paragraph;z-index:251981824" type="#_x0000_t202" filled="false" stroked="false">
            <v:textbox inset="0,0,0,0" style="layout-flow:vertical;mso-layout-flow-alt:bottom-to-top">
              <w:txbxContent>
                <w:p>
                  <w:pPr>
                    <w:spacing w:line="261" w:lineRule="auto" w:before="15"/>
                    <w:ind w:left="20" w:right="18" w:firstLine="60"/>
                    <w:jc w:val="right"/>
                    <w:rPr>
                      <w:sz w:val="12"/>
                    </w:rPr>
                  </w:pPr>
                  <w:r>
                    <w:rPr>
                      <w:color w:val="585858"/>
                      <w:sz w:val="12"/>
                    </w:rPr>
                    <w:t>Jan-20 Feb-20 Mar-20 Apr-20 May-20 Jun-20 Jul-20 Aug-20 Sep-20 Oct-20 Nov-20 Dec-20 Jan-21 Feb-21 Mar-21 Apr-21 May-21 Jun-21 Jul-21 Aug-21 Sep-21 Oct-21 Nov-21 Dec-21</w:t>
                  </w:r>
                </w:p>
              </w:txbxContent>
            </v:textbox>
            <w10:wrap type="none"/>
          </v:shape>
        </w:pict>
      </w:r>
      <w:r>
        <w:rPr>
          <w:color w:val="585858"/>
          <w:sz w:val="18"/>
        </w:rPr>
        <w:t>18</w:t>
      </w:r>
    </w:p>
    <w:p>
      <w:pPr>
        <w:pStyle w:val="BodyText"/>
        <w:spacing w:before="9"/>
        <w:rPr>
          <w:sz w:val="21"/>
        </w:rPr>
      </w:pPr>
      <w:r>
        <w:rPr/>
        <w:br w:type="column"/>
      </w:r>
      <w:r>
        <w:rPr>
          <w:sz w:val="21"/>
        </w:rPr>
      </w:r>
    </w:p>
    <w:p>
      <w:pPr>
        <w:spacing w:before="0"/>
        <w:ind w:left="927" w:right="0" w:firstLine="0"/>
        <w:jc w:val="left"/>
        <w:rPr>
          <w:b/>
          <w:sz w:val="18"/>
        </w:rPr>
      </w:pPr>
      <w:r>
        <w:rPr>
          <w:b/>
          <w:color w:val="585858"/>
          <w:sz w:val="18"/>
        </w:rPr>
        <w:t>18.7</w:t>
      </w:r>
    </w:p>
    <w:p>
      <w:pPr>
        <w:pStyle w:val="BodyText"/>
        <w:spacing w:before="1"/>
        <w:rPr>
          <w:b/>
          <w:sz w:val="9"/>
        </w:rPr>
      </w:pPr>
    </w:p>
    <w:p>
      <w:pPr>
        <w:pStyle w:val="BodyText"/>
        <w:ind w:left="120"/>
        <w:rPr>
          <w:sz w:val="20"/>
        </w:rPr>
      </w:pPr>
      <w:r>
        <w:rPr>
          <w:sz w:val="20"/>
        </w:rPr>
        <w:pict>
          <v:group style="width:187.45pt;height:83.8pt;mso-position-horizontal-relative:char;mso-position-vertical-relative:line" coordorigin="0,0" coordsize="3749,1676">
            <v:shape style="position:absolute;left:360;top:1241;width:3101;height:435" type="#_x0000_t75" stroked="false">
              <v:imagedata r:id="rId16" o:title=""/>
            </v:shape>
            <v:shape style="position:absolute;left:360;top:787;width:3101;height:799" type="#_x0000_t75" stroked="false">
              <v:imagedata r:id="rId17" o:title=""/>
            </v:shape>
            <v:shape style="position:absolute;left:360;top:288;width:3101;height:1085" type="#_x0000_t75" stroked="false">
              <v:imagedata r:id="rId18" o:title=""/>
            </v:shape>
            <v:shape style="position:absolute;left:360;top:89;width:3101;height:970" type="#_x0000_t75" stroked="false">
              <v:imagedata r:id="rId19" o:title=""/>
            </v:shape>
            <v:shape style="position:absolute;left:360;top:0;width:3101;height:1005" type="#_x0000_t75" stroked="false">
              <v:imagedata r:id="rId20" o:title=""/>
            </v:shape>
            <v:rect style="position:absolute;left:400;top:1281;width:1073;height:380" filled="true" fillcolor="#5b9bd4" stroked="false">
              <v:fill type="solid"/>
            </v:rect>
            <v:rect style="position:absolute;left:2275;top:1473;width:1073;height:188" filled="true" fillcolor="#5b9bd4" stroked="false">
              <v:fill type="solid"/>
            </v:rect>
            <v:rect style="position:absolute;left:400;top:828;width:1073;height:454" filled="true" fillcolor="#ec7c30" stroked="false">
              <v:fill type="solid"/>
            </v:rect>
            <v:rect style="position:absolute;left:2275;top:1260;width:1073;height:214" filled="true" fillcolor="#ec7c30" stroked="false">
              <v:fill type="solid"/>
            </v:rect>
            <v:rect style="position:absolute;left:2275;top:945;width:1073;height:315" filled="true" fillcolor="#a4a4a4" stroked="false">
              <v:fill type="solid"/>
            </v:rect>
            <v:rect style="position:absolute;left:400;top:129;width:1073;height:200" filled="true" fillcolor="#ffc000" stroked="false">
              <v:fill type="solid"/>
            </v:rect>
            <v:rect style="position:absolute;left:2275;top:893;width:1073;height:53" filled="true" fillcolor="#ffc000" stroked="false">
              <v:fill type="solid"/>
            </v:rect>
            <v:rect style="position:absolute;left:400;top:41;width:1073;height:89" filled="true" fillcolor="#4471c4" stroked="false">
              <v:fill type="solid"/>
            </v:rect>
            <v:rect style="position:absolute;left:2275;top:655;width:1073;height:238" filled="true" fillcolor="#4471c4" stroked="false">
              <v:fill type="solid"/>
            </v:rect>
            <v:line style="position:absolute" from="0,1661" to="3749,1661" stroked="true" strokeweight=".72pt" strokecolor="#d9d9d9">
              <v:stroke dashstyle="solid"/>
            </v:line>
            <v:shape style="position:absolute;left:856;top:0;width:223;height:323" type="#_x0000_t202" filled="false" stroked="false">
              <v:textbox inset="0,0,0,0">
                <w:txbxContent>
                  <w:p>
                    <w:pPr>
                      <w:spacing w:line="158" w:lineRule="exact" w:before="0"/>
                      <w:ind w:left="0" w:right="0" w:firstLine="0"/>
                      <w:jc w:val="left"/>
                      <w:rPr>
                        <w:sz w:val="16"/>
                      </w:rPr>
                    </w:pPr>
                    <w:r>
                      <w:rPr>
                        <w:color w:val="404040"/>
                        <w:sz w:val="16"/>
                      </w:rPr>
                      <w:t>1.0</w:t>
                    </w:r>
                  </w:p>
                  <w:p>
                    <w:pPr>
                      <w:spacing w:line="164" w:lineRule="exact" w:before="0"/>
                      <w:ind w:left="0" w:right="0" w:firstLine="0"/>
                      <w:jc w:val="left"/>
                      <w:rPr>
                        <w:sz w:val="16"/>
                      </w:rPr>
                    </w:pPr>
                    <w:r>
                      <w:rPr>
                        <w:color w:val="404040"/>
                        <w:sz w:val="16"/>
                      </w:rPr>
                      <w:t>2.3</w:t>
                    </w:r>
                  </w:p>
                </w:txbxContent>
              </v:textbox>
              <w10:wrap type="none"/>
            </v:shape>
            <v:shape style="position:absolute;left:2682;top:297;width:338;height:898" type="#_x0000_t202" filled="false" stroked="false">
              <v:textbox inset="0,0,0,0">
                <w:txbxContent>
                  <w:p>
                    <w:pPr>
                      <w:spacing w:line="199" w:lineRule="exact" w:before="0"/>
                      <w:ind w:left="0" w:right="0" w:firstLine="0"/>
                      <w:jc w:val="left"/>
                      <w:rPr>
                        <w:b/>
                        <w:sz w:val="18"/>
                      </w:rPr>
                    </w:pPr>
                    <w:r>
                      <w:rPr>
                        <w:b/>
                        <w:color w:val="585858"/>
                        <w:sz w:val="18"/>
                      </w:rPr>
                      <w:t>11.6</w:t>
                    </w:r>
                  </w:p>
                  <w:p>
                    <w:pPr>
                      <w:spacing w:line="240" w:lineRule="auto" w:before="1"/>
                      <w:rPr>
                        <w:b/>
                        <w:sz w:val="16"/>
                      </w:rPr>
                    </w:pPr>
                  </w:p>
                  <w:p>
                    <w:pPr>
                      <w:spacing w:line="165" w:lineRule="exact" w:before="0"/>
                      <w:ind w:left="49" w:right="0" w:firstLine="0"/>
                      <w:jc w:val="left"/>
                      <w:rPr>
                        <w:sz w:val="16"/>
                      </w:rPr>
                    </w:pPr>
                    <w:r>
                      <w:rPr>
                        <w:color w:val="404040"/>
                        <w:sz w:val="16"/>
                      </w:rPr>
                      <w:t>2.7</w:t>
                    </w:r>
                  </w:p>
                  <w:p>
                    <w:pPr>
                      <w:spacing w:line="164" w:lineRule="exact" w:before="0"/>
                      <w:ind w:left="49" w:right="0" w:firstLine="0"/>
                      <w:jc w:val="left"/>
                      <w:rPr>
                        <w:sz w:val="16"/>
                      </w:rPr>
                    </w:pPr>
                    <w:r>
                      <w:rPr>
                        <w:color w:val="404040"/>
                        <w:sz w:val="16"/>
                      </w:rPr>
                      <w:t>0.6</w:t>
                    </w:r>
                  </w:p>
                  <w:p>
                    <w:pPr>
                      <w:spacing w:line="183" w:lineRule="exact" w:before="0"/>
                      <w:ind w:left="49" w:right="0" w:firstLine="0"/>
                      <w:jc w:val="left"/>
                      <w:rPr>
                        <w:sz w:val="16"/>
                      </w:rPr>
                    </w:pPr>
                    <w:r>
                      <w:rPr>
                        <w:color w:val="404040"/>
                        <w:sz w:val="16"/>
                      </w:rPr>
                      <w:t>3.6</w:t>
                    </w:r>
                  </w:p>
                </w:txbxContent>
              </v:textbox>
              <w10:wrap type="none"/>
            </v:shape>
            <v:shape style="position:absolute;left:2275;top:1473;width:1073;height:180" type="#_x0000_t202" filled="false" stroked="false">
              <v:textbox inset="0,0,0,0">
                <w:txbxContent>
                  <w:p>
                    <w:pPr>
                      <w:spacing w:line="177" w:lineRule="exact" w:before="3"/>
                      <w:ind w:left="437" w:right="395" w:firstLine="0"/>
                      <w:jc w:val="center"/>
                      <w:rPr>
                        <w:sz w:val="16"/>
                      </w:rPr>
                    </w:pPr>
                    <w:r>
                      <w:rPr>
                        <w:color w:val="404040"/>
                        <w:sz w:val="16"/>
                      </w:rPr>
                      <w:t>2.2</w:t>
                    </w:r>
                  </w:p>
                </w:txbxContent>
              </v:textbox>
              <w10:wrap type="none"/>
            </v:shape>
            <v:shape style="position:absolute;left:2275;top:1271;width:1073;height:203" type="#_x0000_t202" filled="false" stroked="false">
              <v:textbox inset="0,0,0,0">
                <w:txbxContent>
                  <w:p>
                    <w:pPr>
                      <w:spacing w:before="4"/>
                      <w:ind w:left="437" w:right="395" w:firstLine="0"/>
                      <w:jc w:val="center"/>
                      <w:rPr>
                        <w:sz w:val="16"/>
                      </w:rPr>
                    </w:pPr>
                    <w:r>
                      <w:rPr>
                        <w:color w:val="404040"/>
                        <w:sz w:val="16"/>
                      </w:rPr>
                      <w:t>2.5</w:t>
                    </w:r>
                  </w:p>
                </w:txbxContent>
              </v:textbox>
              <w10:wrap type="none"/>
            </v:shape>
            <v:shape style="position:absolute;left:400;top:1271;width:1073;height:383" type="#_x0000_t202" filled="false" stroked="false">
              <v:textbox inset="0,0,0,0">
                <w:txbxContent>
                  <w:p>
                    <w:pPr>
                      <w:spacing w:before="109"/>
                      <w:ind w:left="436" w:right="395" w:firstLine="0"/>
                      <w:jc w:val="center"/>
                      <w:rPr>
                        <w:sz w:val="16"/>
                      </w:rPr>
                    </w:pPr>
                    <w:r>
                      <w:rPr>
                        <w:color w:val="404040"/>
                        <w:sz w:val="16"/>
                      </w:rPr>
                      <w:t>4.4</w:t>
                    </w:r>
                  </w:p>
                </w:txbxContent>
              </v:textbox>
              <w10:wrap type="none"/>
            </v:shape>
            <v:shape style="position:absolute;left:400;top:828;width:1073;height:443" type="#_x0000_t202" filled="false" stroked="false">
              <v:textbox inset="0,0,0,0">
                <w:txbxContent>
                  <w:p>
                    <w:pPr>
                      <w:spacing w:before="135"/>
                      <w:ind w:left="436" w:right="395" w:firstLine="0"/>
                      <w:jc w:val="center"/>
                      <w:rPr>
                        <w:sz w:val="16"/>
                      </w:rPr>
                    </w:pPr>
                    <w:r>
                      <w:rPr>
                        <w:color w:val="404040"/>
                        <w:sz w:val="16"/>
                      </w:rPr>
                      <w:t>5.2</w:t>
                    </w:r>
                  </w:p>
                </w:txbxContent>
              </v:textbox>
              <w10:wrap type="none"/>
            </v:shape>
            <v:shape style="position:absolute;left:400;top:329;width:1073;height:500" type="#_x0000_t202" filled="true" fillcolor="#a4a4a4" stroked="false">
              <v:textbox inset="0,0,0,0">
                <w:txbxContent>
                  <w:p>
                    <w:pPr>
                      <w:spacing w:before="158"/>
                      <w:ind w:left="436" w:right="395" w:firstLine="0"/>
                      <w:jc w:val="center"/>
                      <w:rPr>
                        <w:sz w:val="16"/>
                      </w:rPr>
                    </w:pPr>
                    <w:r>
                      <w:rPr>
                        <w:color w:val="404040"/>
                        <w:sz w:val="16"/>
                      </w:rPr>
                      <w:t>5.8</w:t>
                    </w:r>
                  </w:p>
                </w:txbxContent>
              </v:textbox>
              <v:fill type="solid"/>
              <w10:wrap type="none"/>
            </v:shape>
          </v:group>
        </w:pict>
      </w:r>
      <w:r>
        <w:rPr>
          <w:sz w:val="20"/>
        </w:rPr>
      </w:r>
    </w:p>
    <w:p>
      <w:pPr>
        <w:tabs>
          <w:tab w:pos="2584" w:val="left" w:leader="none"/>
        </w:tabs>
        <w:spacing w:before="50"/>
        <w:ind w:left="709" w:right="0" w:firstLine="0"/>
        <w:jc w:val="left"/>
        <w:rPr>
          <w:b/>
          <w:sz w:val="16"/>
        </w:rPr>
      </w:pPr>
      <w:r>
        <w:rPr>
          <w:b/>
          <w:color w:val="585858"/>
          <w:sz w:val="16"/>
        </w:rPr>
        <w:t>AÑO</w:t>
      </w:r>
      <w:r>
        <w:rPr>
          <w:b/>
          <w:color w:val="585858"/>
          <w:spacing w:val="-1"/>
          <w:sz w:val="16"/>
        </w:rPr>
        <w:t> </w:t>
      </w:r>
      <w:r>
        <w:rPr>
          <w:b/>
          <w:color w:val="585858"/>
          <w:sz w:val="16"/>
        </w:rPr>
        <w:t>2020</w:t>
        <w:tab/>
        <w:t>AÑO 2021</w:t>
      </w:r>
    </w:p>
    <w:p>
      <w:pPr>
        <w:spacing w:after="0"/>
        <w:jc w:val="left"/>
        <w:rPr>
          <w:sz w:val="16"/>
        </w:rPr>
        <w:sectPr>
          <w:type w:val="continuous"/>
          <w:pgSz w:w="12240" w:h="15840"/>
          <w:pgMar w:top="1500" w:bottom="280" w:left="1140" w:right="0"/>
          <w:cols w:num="2" w:equalWidth="0">
            <w:col w:w="5407" w:space="45"/>
            <w:col w:w="5648"/>
          </w:cols>
        </w:sectPr>
      </w:pPr>
    </w:p>
    <w:p>
      <w:pPr>
        <w:tabs>
          <w:tab w:pos="7401" w:val="left" w:leader="none"/>
        </w:tabs>
        <w:spacing w:before="35"/>
        <w:ind w:left="5286" w:right="0" w:firstLine="0"/>
        <w:jc w:val="left"/>
        <w:rPr>
          <w:sz w:val="16"/>
        </w:rPr>
      </w:pPr>
      <w:r>
        <w:rPr/>
        <w:pict>
          <v:rect style="position:absolute;margin-left:315.600006pt;margin-top:4.708738pt;width:4.08pt;height:3.96pt;mso-position-horizontal-relative:page;mso-position-vertical-relative:paragraph;z-index:251976704" filled="true" fillcolor="#4471c4" stroked="false">
            <v:fill type="solid"/>
            <w10:wrap type="none"/>
          </v:rect>
        </w:pict>
      </w:r>
      <w:r>
        <w:rPr/>
        <w:pict>
          <v:rect style="position:absolute;margin-left:421.440002pt;margin-top:4.708738pt;width:3.96pt;height:3.96pt;mso-position-horizontal-relative:page;mso-position-vertical-relative:paragraph;z-index:-281341952" filled="true" fillcolor="#ffc000" stroked="false">
            <v:fill type="solid"/>
            <w10:wrap type="none"/>
          </v:rect>
        </w:pict>
      </w:r>
      <w:r>
        <w:rPr>
          <w:color w:val="585858"/>
          <w:sz w:val="16"/>
        </w:rPr>
        <w:t>Cuasidinero</w:t>
      </w:r>
      <w:r>
        <w:rPr>
          <w:color w:val="585858"/>
          <w:spacing w:val="-3"/>
          <w:sz w:val="16"/>
        </w:rPr>
        <w:t> </w:t>
      </w:r>
      <w:r>
        <w:rPr>
          <w:color w:val="585858"/>
          <w:sz w:val="16"/>
        </w:rPr>
        <w:t>en</w:t>
      </w:r>
      <w:r>
        <w:rPr>
          <w:color w:val="585858"/>
          <w:spacing w:val="-2"/>
          <w:sz w:val="16"/>
        </w:rPr>
        <w:t> </w:t>
      </w:r>
      <w:r>
        <w:rPr>
          <w:color w:val="585858"/>
          <w:sz w:val="16"/>
        </w:rPr>
        <w:t>ME</w:t>
        <w:tab/>
        <w:t>Depositos Monetarios en</w:t>
      </w:r>
      <w:r>
        <w:rPr>
          <w:color w:val="585858"/>
          <w:spacing w:val="-4"/>
          <w:sz w:val="16"/>
        </w:rPr>
        <w:t> </w:t>
      </w:r>
      <w:r>
        <w:rPr>
          <w:color w:val="585858"/>
          <w:sz w:val="16"/>
        </w:rPr>
        <w:t>ME</w:t>
      </w:r>
    </w:p>
    <w:p>
      <w:pPr>
        <w:tabs>
          <w:tab w:pos="7401" w:val="left" w:leader="none"/>
        </w:tabs>
        <w:spacing w:line="254" w:lineRule="auto" w:before="12"/>
        <w:ind w:left="5286" w:right="1797" w:firstLine="0"/>
        <w:jc w:val="left"/>
        <w:rPr>
          <w:sz w:val="16"/>
        </w:rPr>
      </w:pPr>
      <w:r>
        <w:rPr/>
        <w:pict>
          <v:rect style="position:absolute;margin-left:315.600006pt;margin-top:3.628749pt;width:4.08pt;height:3.96pt;mso-position-horizontal-relative:page;mso-position-vertical-relative:paragraph;z-index:251978752" filled="true" fillcolor="#a4a4a4" stroked="false">
            <v:fill type="solid"/>
            <w10:wrap type="none"/>
          </v:rect>
        </w:pict>
      </w:r>
      <w:r>
        <w:rPr/>
        <w:pict>
          <v:rect style="position:absolute;margin-left:421.440002pt;margin-top:3.628749pt;width:3.96pt;height:3.96pt;mso-position-horizontal-relative:page;mso-position-vertical-relative:paragraph;z-index:-281339904" filled="true" fillcolor="#ec7c30" stroked="false">
            <v:fill type="solid"/>
            <w10:wrap type="none"/>
          </v:rect>
        </w:pict>
      </w:r>
      <w:r>
        <w:rPr/>
        <w:pict>
          <v:rect style="position:absolute;margin-left:315.600006pt;margin-top:13.348749pt;width:4.08pt;height:3.96pt;mso-position-horizontal-relative:page;mso-position-vertical-relative:paragraph;z-index:251980800" filled="true" fillcolor="#5b9bd4" stroked="false">
            <v:fill type="solid"/>
            <w10:wrap type="none"/>
          </v:rect>
        </w:pict>
      </w:r>
      <w:r>
        <w:rPr>
          <w:color w:val="585858"/>
          <w:sz w:val="16"/>
        </w:rPr>
        <w:t>Cuasidinero</w:t>
      </w:r>
      <w:r>
        <w:rPr>
          <w:color w:val="585858"/>
          <w:spacing w:val="-3"/>
          <w:sz w:val="16"/>
        </w:rPr>
        <w:t> </w:t>
      </w:r>
      <w:r>
        <w:rPr>
          <w:color w:val="585858"/>
          <w:sz w:val="16"/>
        </w:rPr>
        <w:t>en</w:t>
      </w:r>
      <w:r>
        <w:rPr>
          <w:color w:val="585858"/>
          <w:spacing w:val="-2"/>
          <w:sz w:val="16"/>
        </w:rPr>
        <w:t> </w:t>
      </w:r>
      <w:r>
        <w:rPr>
          <w:color w:val="585858"/>
          <w:sz w:val="16"/>
        </w:rPr>
        <w:t>MN</w:t>
        <w:tab/>
        <w:t>Depositos Monetarios en MN Numerario en</w:t>
      </w:r>
      <w:r>
        <w:rPr>
          <w:color w:val="585858"/>
          <w:spacing w:val="-3"/>
          <w:sz w:val="16"/>
        </w:rPr>
        <w:t> </w:t>
      </w:r>
      <w:r>
        <w:rPr>
          <w:color w:val="585858"/>
          <w:sz w:val="16"/>
        </w:rPr>
        <w:t>circulación</w:t>
      </w:r>
    </w:p>
    <w:p>
      <w:pPr>
        <w:tabs>
          <w:tab w:pos="2195" w:val="left" w:leader="none"/>
          <w:tab w:pos="3695" w:val="left" w:leader="none"/>
        </w:tabs>
        <w:spacing w:line="181" w:lineRule="exact" w:before="0"/>
        <w:ind w:left="1385" w:right="0" w:firstLine="0"/>
        <w:jc w:val="left"/>
        <w:rPr>
          <w:sz w:val="16"/>
        </w:rPr>
      </w:pPr>
      <w:r>
        <w:rPr/>
        <w:pict>
          <v:shape style="position:absolute;margin-left:103.800003pt;margin-top:1.046405pt;width:24.25pt;height:7.6pt;mso-position-horizontal-relative:page;mso-position-vertical-relative:paragraph;z-index:251973632" coordorigin="2076,21" coordsize="485,152" path="m2485,21l2456,27,2432,43,2416,67,2410,97,2416,126,2432,150,2456,166,2485,172,2515,166,2539,150,2555,126,2556,122,2499,122,2510,111,2510,83,2499,71,2556,71,2555,67,2539,43,2515,27,2485,21xm2415,71l2087,71,2076,83,2076,111,2087,122,2415,122,2410,97,2415,71xm2556,71l2499,71,2510,83,2510,111,2499,122,2556,122,2561,97,2556,71xe" filled="true" fillcolor="#001f5f" stroked="false">
            <v:path arrowok="t"/>
            <v:fill type="solid"/>
            <w10:wrap type="none"/>
          </v:shape>
        </w:pict>
      </w:r>
      <w:r>
        <w:rPr/>
        <w:pict>
          <v:line style="position:absolute;mso-position-horizontal-relative:page;mso-position-vertical-relative:paragraph;z-index:-281345024" from="145.5pt,4.826405pt" to="164.7pt,4.826405pt" stroked="true" strokeweight="2.52pt" strokecolor="#ec7c30">
            <v:stroke dashstyle="solid"/>
            <w10:wrap type="none"/>
          </v:line>
        </w:pict>
      </w:r>
      <w:r>
        <w:rPr/>
        <w:pict>
          <v:line style="position:absolute;mso-position-horizontal-relative:page;mso-position-vertical-relative:paragraph;z-index:-281344000" from="220.5pt,4.826405pt" to="239.7pt,4.826405pt" stroked="true" strokeweight="2.52pt" strokecolor="#ec7c30">
            <v:stroke dashstyle="solid"/>
            <w10:wrap type="none"/>
          </v:line>
        </w:pict>
      </w:r>
      <w:r>
        <w:rPr>
          <w:color w:val="585858"/>
          <w:sz w:val="16"/>
        </w:rPr>
        <w:t>CPL</w:t>
        <w:tab/>
        <w:t>Promedio</w:t>
      </w:r>
      <w:r>
        <w:rPr>
          <w:color w:val="585858"/>
          <w:spacing w:val="-3"/>
          <w:sz w:val="16"/>
        </w:rPr>
        <w:t> </w:t>
      </w:r>
      <w:r>
        <w:rPr>
          <w:color w:val="585858"/>
          <w:sz w:val="16"/>
        </w:rPr>
        <w:t>2020</w:t>
        <w:tab/>
        <w:t>Promedio</w:t>
      </w:r>
      <w:r>
        <w:rPr>
          <w:color w:val="585858"/>
          <w:spacing w:val="-1"/>
          <w:sz w:val="16"/>
        </w:rPr>
        <w:t> </w:t>
      </w:r>
      <w:r>
        <w:rPr>
          <w:color w:val="585858"/>
          <w:sz w:val="16"/>
        </w:rPr>
        <w:t>2021</w:t>
      </w:r>
    </w:p>
    <w:p>
      <w:pPr>
        <w:spacing w:before="123"/>
        <w:ind w:left="670" w:right="0" w:firstLine="0"/>
        <w:jc w:val="left"/>
        <w:rPr>
          <w:sz w:val="16"/>
        </w:rPr>
      </w:pPr>
      <w:r>
        <w:rPr>
          <w:sz w:val="16"/>
        </w:rPr>
        <w:t>Fuente: Dirección de Análisis y Política Fiscal con información del BANGUAT.</w:t>
      </w:r>
    </w:p>
    <w:p>
      <w:pPr>
        <w:spacing w:before="27"/>
        <w:ind w:left="670" w:right="0" w:firstLine="0"/>
        <w:jc w:val="left"/>
        <w:rPr>
          <w:sz w:val="16"/>
        </w:rPr>
      </w:pPr>
      <w:r>
        <w:rPr>
          <w:sz w:val="16"/>
        </w:rPr>
        <w:t>Nota: El coeficiente de preferencia de liquidez se calculó como el numerario en circulación como proporción de los depósitos totales</w:t>
      </w:r>
    </w:p>
    <w:p>
      <w:pPr>
        <w:pStyle w:val="BodyText"/>
        <w:rPr>
          <w:sz w:val="18"/>
        </w:rPr>
      </w:pPr>
    </w:p>
    <w:p>
      <w:pPr>
        <w:pStyle w:val="BodyText"/>
        <w:spacing w:line="276" w:lineRule="auto" w:before="110"/>
        <w:ind w:left="562" w:right="1695"/>
        <w:jc w:val="both"/>
      </w:pPr>
      <w:r>
        <w:rPr/>
        <w:t>Los</w:t>
      </w:r>
      <w:r>
        <w:rPr>
          <w:spacing w:val="-12"/>
        </w:rPr>
        <w:t> </w:t>
      </w:r>
      <w:r>
        <w:rPr/>
        <w:t>medios</w:t>
      </w:r>
      <w:r>
        <w:rPr>
          <w:spacing w:val="-13"/>
        </w:rPr>
        <w:t> </w:t>
      </w:r>
      <w:r>
        <w:rPr/>
        <w:t>de</w:t>
      </w:r>
      <w:r>
        <w:rPr>
          <w:spacing w:val="-14"/>
        </w:rPr>
        <w:t> </w:t>
      </w:r>
      <w:r>
        <w:rPr/>
        <w:t>pago</w:t>
      </w:r>
      <w:r>
        <w:rPr>
          <w:spacing w:val="-13"/>
        </w:rPr>
        <w:t> </w:t>
      </w:r>
      <w:r>
        <w:rPr/>
        <w:t>en</w:t>
      </w:r>
      <w:r>
        <w:rPr>
          <w:spacing w:val="-11"/>
        </w:rPr>
        <w:t> </w:t>
      </w:r>
      <w:r>
        <w:rPr/>
        <w:t>2021</w:t>
      </w:r>
      <w:r>
        <w:rPr>
          <w:spacing w:val="-11"/>
        </w:rPr>
        <w:t> </w:t>
      </w:r>
      <w:r>
        <w:rPr/>
        <w:t>se</w:t>
      </w:r>
      <w:r>
        <w:rPr>
          <w:spacing w:val="-12"/>
        </w:rPr>
        <w:t> </w:t>
      </w:r>
      <w:r>
        <w:rPr/>
        <w:t>situaron</w:t>
      </w:r>
      <w:r>
        <w:rPr>
          <w:spacing w:val="-12"/>
        </w:rPr>
        <w:t> </w:t>
      </w:r>
      <w:r>
        <w:rPr/>
        <w:t>en</w:t>
      </w:r>
      <w:r>
        <w:rPr>
          <w:spacing w:val="-10"/>
        </w:rPr>
        <w:t> </w:t>
      </w:r>
      <w:r>
        <w:rPr/>
        <w:t>Q369,207</w:t>
      </w:r>
      <w:r>
        <w:rPr>
          <w:spacing w:val="-17"/>
        </w:rPr>
        <w:t> </w:t>
      </w:r>
      <w:r>
        <w:rPr/>
        <w:t>millones,</w:t>
      </w:r>
      <w:r>
        <w:rPr>
          <w:spacing w:val="-13"/>
        </w:rPr>
        <w:t> </w:t>
      </w:r>
      <w:r>
        <w:rPr/>
        <w:t>representando</w:t>
      </w:r>
      <w:r>
        <w:rPr>
          <w:spacing w:val="-11"/>
        </w:rPr>
        <w:t> </w:t>
      </w:r>
      <w:r>
        <w:rPr/>
        <w:t>una</w:t>
      </w:r>
      <w:r>
        <w:rPr>
          <w:spacing w:val="-14"/>
        </w:rPr>
        <w:t> </w:t>
      </w:r>
      <w:r>
        <w:rPr/>
        <w:t>tasa</w:t>
      </w:r>
      <w:r>
        <w:rPr>
          <w:spacing w:val="-12"/>
        </w:rPr>
        <w:t> </w:t>
      </w:r>
      <w:r>
        <w:rPr/>
        <w:t>de</w:t>
      </w:r>
      <w:r>
        <w:rPr>
          <w:spacing w:val="-13"/>
        </w:rPr>
        <w:t> </w:t>
      </w:r>
      <w:r>
        <w:rPr/>
        <w:t>crecimiento de 11.6%, menor en 7.1 puntos porcentuales que la tasa de crecimiento del 2020. En el 2021 el cuasidinero</w:t>
      </w:r>
      <w:r>
        <w:rPr>
          <w:spacing w:val="-9"/>
        </w:rPr>
        <w:t> </w:t>
      </w:r>
      <w:r>
        <w:rPr/>
        <w:t>en</w:t>
      </w:r>
      <w:r>
        <w:rPr>
          <w:spacing w:val="-8"/>
        </w:rPr>
        <w:t> </w:t>
      </w:r>
      <w:r>
        <w:rPr/>
        <w:t>MN</w:t>
      </w:r>
      <w:r>
        <w:rPr>
          <w:spacing w:val="-9"/>
        </w:rPr>
        <w:t> </w:t>
      </w:r>
      <w:r>
        <w:rPr/>
        <w:t>explicó</w:t>
      </w:r>
      <w:r>
        <w:rPr>
          <w:spacing w:val="-9"/>
        </w:rPr>
        <w:t> </w:t>
      </w:r>
      <w:r>
        <w:rPr/>
        <w:t>la</w:t>
      </w:r>
      <w:r>
        <w:rPr>
          <w:spacing w:val="-8"/>
        </w:rPr>
        <w:t> </w:t>
      </w:r>
      <w:r>
        <w:rPr/>
        <w:t>mayoría</w:t>
      </w:r>
      <w:r>
        <w:rPr>
          <w:spacing w:val="-7"/>
        </w:rPr>
        <w:t> </w:t>
      </w:r>
      <w:r>
        <w:rPr/>
        <w:t>del</w:t>
      </w:r>
      <w:r>
        <w:rPr>
          <w:spacing w:val="-7"/>
        </w:rPr>
        <w:t> </w:t>
      </w:r>
      <w:r>
        <w:rPr/>
        <w:t>crecimiento</w:t>
      </w:r>
      <w:r>
        <w:rPr>
          <w:spacing w:val="-10"/>
        </w:rPr>
        <w:t> </w:t>
      </w:r>
      <w:r>
        <w:rPr/>
        <w:t>con</w:t>
      </w:r>
      <w:r>
        <w:rPr>
          <w:spacing w:val="-8"/>
        </w:rPr>
        <w:t> </w:t>
      </w:r>
      <w:r>
        <w:rPr/>
        <w:t>un</w:t>
      </w:r>
      <w:r>
        <w:rPr>
          <w:spacing w:val="-8"/>
        </w:rPr>
        <w:t> </w:t>
      </w:r>
      <w:r>
        <w:rPr/>
        <w:t>43.2%</w:t>
      </w:r>
      <w:r>
        <w:rPr>
          <w:spacing w:val="-8"/>
        </w:rPr>
        <w:t> </w:t>
      </w:r>
      <w:r>
        <w:rPr/>
        <w:t>de</w:t>
      </w:r>
      <w:r>
        <w:rPr>
          <w:spacing w:val="-7"/>
        </w:rPr>
        <w:t> </w:t>
      </w:r>
      <w:r>
        <w:rPr/>
        <w:t>representación</w:t>
      </w:r>
      <w:r>
        <w:rPr>
          <w:spacing w:val="-9"/>
        </w:rPr>
        <w:t> </w:t>
      </w:r>
      <w:r>
        <w:rPr/>
        <w:t>de</w:t>
      </w:r>
      <w:r>
        <w:rPr>
          <w:spacing w:val="-10"/>
        </w:rPr>
        <w:t> </w:t>
      </w:r>
      <w:r>
        <w:rPr/>
        <w:t>los</w:t>
      </w:r>
      <w:r>
        <w:rPr>
          <w:spacing w:val="-8"/>
        </w:rPr>
        <w:t> </w:t>
      </w:r>
      <w:r>
        <w:rPr/>
        <w:t>medios de pago, seguido por los depósitos monetarios en MN con un 23.2% de representación de dichos medios de pago y el número en circulación que representó el 17.0% de los</w:t>
      </w:r>
      <w:r>
        <w:rPr>
          <w:spacing w:val="-13"/>
        </w:rPr>
        <w:t> </w:t>
      </w:r>
      <w:r>
        <w:rPr/>
        <w:t>mismos.</w:t>
      </w:r>
    </w:p>
    <w:p>
      <w:pPr>
        <w:pStyle w:val="BodyText"/>
        <w:spacing w:before="3"/>
        <w:rPr>
          <w:sz w:val="25"/>
        </w:rPr>
      </w:pPr>
    </w:p>
    <w:p>
      <w:pPr>
        <w:pStyle w:val="BodyText"/>
        <w:spacing w:line="276" w:lineRule="auto" w:before="1"/>
        <w:ind w:left="562" w:right="1697"/>
        <w:jc w:val="both"/>
      </w:pPr>
      <w:r>
        <w:rPr/>
        <w:t>Respecto a la contribución en el crecimiento total de los medios de pago en el 2021, el cuasidinero en MN representó el 3.6% de participación, seguido del cuasidinero en ME con 2.7% y de los depósitos monetarios en MN con un 2.5% de participación, el numerario en circulación contribuyó en 2.2%, menor a los 4.4% que representó en 2020.; los depósitos monetarios en ME fueron los que menos contribución tuvieron respecto el crecimiento total de los medios de pago al registrar únicamente un 0.6% en 2021, después que el año anterior este fue de 2.3%.</w:t>
      </w:r>
    </w:p>
    <w:p>
      <w:pPr>
        <w:spacing w:after="0" w:line="276" w:lineRule="auto"/>
        <w:jc w:val="both"/>
        <w:sectPr>
          <w:type w:val="continuous"/>
          <w:pgSz w:w="12240" w:h="15840"/>
          <w:pgMar w:top="1500" w:bottom="280" w:left="1140" w:right="0"/>
        </w:sectPr>
      </w:pPr>
    </w:p>
    <w:p>
      <w:pPr>
        <w:pStyle w:val="Heading2"/>
        <w:tabs>
          <w:tab w:pos="1898" w:val="left" w:leader="none"/>
        </w:tabs>
        <w:spacing w:before="167"/>
        <w:ind w:left="1118"/>
      </w:pPr>
      <w:r>
        <w:rPr/>
        <w:t>3.2.2</w:t>
        <w:tab/>
      </w:r>
      <w:bookmarkStart w:name="_bookmark51" w:id="68"/>
      <w:bookmarkEnd w:id="68"/>
      <w:r>
        <w:rPr/>
        <w:t>C</w:t>
      </w:r>
      <w:r>
        <w:rPr/>
        <w:t>rédito del sistema bancario al sector</w:t>
      </w:r>
      <w:r>
        <w:rPr>
          <w:spacing w:val="-4"/>
        </w:rPr>
        <w:t> </w:t>
      </w:r>
      <w:r>
        <w:rPr/>
        <w:t>privado</w:t>
      </w:r>
    </w:p>
    <w:p>
      <w:pPr>
        <w:pStyle w:val="BodyText"/>
        <w:spacing w:before="1"/>
        <w:rPr>
          <w:b/>
          <w:sz w:val="30"/>
        </w:rPr>
      </w:pPr>
    </w:p>
    <w:p>
      <w:pPr>
        <w:pStyle w:val="BodyText"/>
        <w:spacing w:line="276" w:lineRule="auto"/>
        <w:ind w:left="562" w:right="1695"/>
        <w:jc w:val="both"/>
      </w:pPr>
      <w:r>
        <w:rPr/>
        <w:t>El</w:t>
      </w:r>
      <w:r>
        <w:rPr>
          <w:spacing w:val="-14"/>
        </w:rPr>
        <w:t> </w:t>
      </w:r>
      <w:r>
        <w:rPr/>
        <w:t>crédito</w:t>
      </w:r>
      <w:r>
        <w:rPr>
          <w:spacing w:val="-14"/>
        </w:rPr>
        <w:t> </w:t>
      </w:r>
      <w:r>
        <w:rPr/>
        <w:t>bancario</w:t>
      </w:r>
      <w:r>
        <w:rPr>
          <w:spacing w:val="-14"/>
        </w:rPr>
        <w:t> </w:t>
      </w:r>
      <w:r>
        <w:rPr/>
        <w:t>al</w:t>
      </w:r>
      <w:r>
        <w:rPr>
          <w:spacing w:val="-16"/>
        </w:rPr>
        <w:t> </w:t>
      </w:r>
      <w:r>
        <w:rPr/>
        <w:t>sector</w:t>
      </w:r>
      <w:r>
        <w:rPr>
          <w:spacing w:val="-16"/>
        </w:rPr>
        <w:t> </w:t>
      </w:r>
      <w:r>
        <w:rPr/>
        <w:t>privado</w:t>
      </w:r>
      <w:r>
        <w:rPr>
          <w:spacing w:val="-13"/>
        </w:rPr>
        <w:t> </w:t>
      </w:r>
      <w:r>
        <w:rPr/>
        <w:t>muestra</w:t>
      </w:r>
      <w:r>
        <w:rPr>
          <w:spacing w:val="-14"/>
        </w:rPr>
        <w:t> </w:t>
      </w:r>
      <w:r>
        <w:rPr/>
        <w:t>una</w:t>
      </w:r>
      <w:r>
        <w:rPr>
          <w:spacing w:val="-14"/>
        </w:rPr>
        <w:t> </w:t>
      </w:r>
      <w:r>
        <w:rPr/>
        <w:t>ralentización</w:t>
      </w:r>
      <w:r>
        <w:rPr>
          <w:spacing w:val="-14"/>
        </w:rPr>
        <w:t> </w:t>
      </w:r>
      <w:r>
        <w:rPr/>
        <w:t>a</w:t>
      </w:r>
      <w:r>
        <w:rPr>
          <w:spacing w:val="-14"/>
        </w:rPr>
        <w:t> </w:t>
      </w:r>
      <w:r>
        <w:rPr/>
        <w:t>partir</w:t>
      </w:r>
      <w:r>
        <w:rPr>
          <w:spacing w:val="-14"/>
        </w:rPr>
        <w:t> </w:t>
      </w:r>
      <w:r>
        <w:rPr/>
        <w:t>del</w:t>
      </w:r>
      <w:r>
        <w:rPr>
          <w:spacing w:val="-12"/>
        </w:rPr>
        <w:t> </w:t>
      </w:r>
      <w:r>
        <w:rPr/>
        <w:t>segundo</w:t>
      </w:r>
      <w:r>
        <w:rPr>
          <w:spacing w:val="-17"/>
        </w:rPr>
        <w:t> </w:t>
      </w:r>
      <w:r>
        <w:rPr/>
        <w:t>trimestre</w:t>
      </w:r>
      <w:r>
        <w:rPr>
          <w:spacing w:val="-14"/>
        </w:rPr>
        <w:t> </w:t>
      </w:r>
      <w:r>
        <w:rPr/>
        <w:t>del</w:t>
      </w:r>
      <w:r>
        <w:rPr>
          <w:spacing w:val="-13"/>
        </w:rPr>
        <w:t> </w:t>
      </w:r>
      <w:r>
        <w:rPr/>
        <w:t>2020, la misma fue mayor en el crédito en moneda nacional que en moneda extranjera. Sin embargo, en 2021 este representó uno de los pilares fundamentales para la recuperación de la economía, por ser este</w:t>
      </w:r>
      <w:r>
        <w:rPr>
          <w:spacing w:val="-8"/>
        </w:rPr>
        <w:t> </w:t>
      </w:r>
      <w:r>
        <w:rPr/>
        <w:t>una</w:t>
      </w:r>
      <w:r>
        <w:rPr>
          <w:spacing w:val="-8"/>
        </w:rPr>
        <w:t> </w:t>
      </w:r>
      <w:r>
        <w:rPr/>
        <w:t>de</w:t>
      </w:r>
      <w:r>
        <w:rPr>
          <w:spacing w:val="-8"/>
        </w:rPr>
        <w:t> </w:t>
      </w:r>
      <w:r>
        <w:rPr/>
        <w:t>las</w:t>
      </w:r>
      <w:r>
        <w:rPr>
          <w:spacing w:val="-7"/>
        </w:rPr>
        <w:t> </w:t>
      </w:r>
      <w:r>
        <w:rPr/>
        <w:t>principales</w:t>
      </w:r>
      <w:r>
        <w:rPr>
          <w:spacing w:val="-8"/>
        </w:rPr>
        <w:t> </w:t>
      </w:r>
      <w:r>
        <w:rPr/>
        <w:t>fuentes</w:t>
      </w:r>
      <w:r>
        <w:rPr>
          <w:spacing w:val="-8"/>
        </w:rPr>
        <w:t> </w:t>
      </w:r>
      <w:r>
        <w:rPr/>
        <w:t>de</w:t>
      </w:r>
      <w:r>
        <w:rPr>
          <w:spacing w:val="-7"/>
        </w:rPr>
        <w:t> </w:t>
      </w:r>
      <w:r>
        <w:rPr/>
        <w:t>financiamiento</w:t>
      </w:r>
      <w:r>
        <w:rPr>
          <w:spacing w:val="-9"/>
        </w:rPr>
        <w:t> </w:t>
      </w:r>
      <w:r>
        <w:rPr/>
        <w:t>de</w:t>
      </w:r>
      <w:r>
        <w:rPr>
          <w:spacing w:val="-11"/>
        </w:rPr>
        <w:t> </w:t>
      </w:r>
      <w:r>
        <w:rPr/>
        <w:t>la</w:t>
      </w:r>
      <w:r>
        <w:rPr>
          <w:spacing w:val="-7"/>
        </w:rPr>
        <w:t> </w:t>
      </w:r>
      <w:r>
        <w:rPr/>
        <w:t>actividad</w:t>
      </w:r>
      <w:r>
        <w:rPr>
          <w:spacing w:val="-8"/>
        </w:rPr>
        <w:t> </w:t>
      </w:r>
      <w:r>
        <w:rPr/>
        <w:t>económica.</w:t>
      </w:r>
      <w:r>
        <w:rPr>
          <w:spacing w:val="38"/>
        </w:rPr>
        <w:t> </w:t>
      </w:r>
      <w:r>
        <w:rPr/>
        <w:t>A</w:t>
      </w:r>
      <w:r>
        <w:rPr>
          <w:spacing w:val="-8"/>
        </w:rPr>
        <w:t> </w:t>
      </w:r>
      <w:r>
        <w:rPr/>
        <w:t>partir</w:t>
      </w:r>
      <w:r>
        <w:rPr>
          <w:spacing w:val="-8"/>
        </w:rPr>
        <w:t> </w:t>
      </w:r>
      <w:r>
        <w:rPr/>
        <w:t>del</w:t>
      </w:r>
      <w:r>
        <w:rPr>
          <w:spacing w:val="-7"/>
        </w:rPr>
        <w:t> </w:t>
      </w:r>
      <w:r>
        <w:rPr/>
        <w:t>segundo trimestre del 2021, inició la recuperación económica del mercado, derivado principalmente por la liberación de las restricciones de la mayoría de las actividades</w:t>
      </w:r>
      <w:r>
        <w:rPr>
          <w:spacing w:val="-14"/>
        </w:rPr>
        <w:t> </w:t>
      </w:r>
      <w:r>
        <w:rPr/>
        <w:t>económicas.</w:t>
      </w:r>
    </w:p>
    <w:p>
      <w:pPr>
        <w:pStyle w:val="BodyText"/>
        <w:spacing w:before="2"/>
        <w:rPr>
          <w:sz w:val="25"/>
        </w:rPr>
      </w:pPr>
    </w:p>
    <w:p>
      <w:pPr>
        <w:pStyle w:val="BodyText"/>
        <w:spacing w:line="276" w:lineRule="auto"/>
        <w:ind w:left="562" w:right="1695"/>
        <w:jc w:val="both"/>
      </w:pPr>
      <w:r>
        <w:rPr/>
        <w:t>El crédito al sistema bancario al cierre de 2021 tuvo una tasa de crecimiento interanual de 12.7%, mayor en 6.7 puntos porcentual al nivel registrado en 2020. El crédito en moneda extranjera fue el que</w:t>
      </w:r>
      <w:r>
        <w:rPr>
          <w:spacing w:val="-11"/>
        </w:rPr>
        <w:t> </w:t>
      </w:r>
      <w:r>
        <w:rPr/>
        <w:t>mostró</w:t>
      </w:r>
      <w:r>
        <w:rPr>
          <w:spacing w:val="-11"/>
        </w:rPr>
        <w:t> </w:t>
      </w:r>
      <w:r>
        <w:rPr/>
        <w:t>una</w:t>
      </w:r>
      <w:r>
        <w:rPr>
          <w:spacing w:val="-13"/>
        </w:rPr>
        <w:t> </w:t>
      </w:r>
      <w:r>
        <w:rPr/>
        <w:t>reducción,</w:t>
      </w:r>
      <w:r>
        <w:rPr>
          <w:spacing w:val="-11"/>
        </w:rPr>
        <w:t> </w:t>
      </w:r>
      <w:r>
        <w:rPr/>
        <w:t>en</w:t>
      </w:r>
      <w:r>
        <w:rPr>
          <w:spacing w:val="-11"/>
        </w:rPr>
        <w:t> </w:t>
      </w:r>
      <w:r>
        <w:rPr/>
        <w:t>el</w:t>
      </w:r>
      <w:r>
        <w:rPr>
          <w:spacing w:val="-10"/>
        </w:rPr>
        <w:t> </w:t>
      </w:r>
      <w:r>
        <w:rPr/>
        <w:t>primer</w:t>
      </w:r>
      <w:r>
        <w:rPr>
          <w:spacing w:val="-9"/>
        </w:rPr>
        <w:t> </w:t>
      </w:r>
      <w:r>
        <w:rPr/>
        <w:t>trimestre</w:t>
      </w:r>
      <w:r>
        <w:rPr>
          <w:spacing w:val="-10"/>
        </w:rPr>
        <w:t> </w:t>
      </w:r>
      <w:r>
        <w:rPr/>
        <w:t>del</w:t>
      </w:r>
      <w:r>
        <w:rPr>
          <w:spacing w:val="-10"/>
        </w:rPr>
        <w:t> </w:t>
      </w:r>
      <w:r>
        <w:rPr/>
        <w:t>2021</w:t>
      </w:r>
      <w:r>
        <w:rPr>
          <w:spacing w:val="-11"/>
        </w:rPr>
        <w:t> </w:t>
      </w:r>
      <w:r>
        <w:rPr/>
        <w:t>registró</w:t>
      </w:r>
      <w:r>
        <w:rPr>
          <w:spacing w:val="-11"/>
        </w:rPr>
        <w:t> </w:t>
      </w:r>
      <w:r>
        <w:rPr/>
        <w:t>un</w:t>
      </w:r>
      <w:r>
        <w:rPr>
          <w:spacing w:val="-11"/>
        </w:rPr>
        <w:t> </w:t>
      </w:r>
      <w:r>
        <w:rPr/>
        <w:t>nivel</w:t>
      </w:r>
      <w:r>
        <w:rPr>
          <w:spacing w:val="-10"/>
        </w:rPr>
        <w:t> </w:t>
      </w:r>
      <w:r>
        <w:rPr/>
        <w:t>de</w:t>
      </w:r>
      <w:r>
        <w:rPr>
          <w:spacing w:val="-8"/>
        </w:rPr>
        <w:t> </w:t>
      </w:r>
      <w:r>
        <w:rPr/>
        <w:t>-1.6%</w:t>
      </w:r>
      <w:r>
        <w:rPr>
          <w:spacing w:val="-10"/>
        </w:rPr>
        <w:t> </w:t>
      </w:r>
      <w:r>
        <w:rPr/>
        <w:t>en</w:t>
      </w:r>
      <w:r>
        <w:rPr>
          <w:spacing w:val="-10"/>
        </w:rPr>
        <w:t> </w:t>
      </w:r>
      <w:r>
        <w:rPr/>
        <w:t>marzo</w:t>
      </w:r>
      <w:r>
        <w:rPr>
          <w:spacing w:val="-11"/>
        </w:rPr>
        <w:t> </w:t>
      </w:r>
      <w:r>
        <w:rPr/>
        <w:t>y</w:t>
      </w:r>
      <w:r>
        <w:rPr>
          <w:spacing w:val="-11"/>
        </w:rPr>
        <w:t> </w:t>
      </w:r>
      <w:r>
        <w:rPr/>
        <w:t>abril, sin embargo, a partir de mayo inició su recuperación alcanzando una tasa de crecimiento de 10.9% en diciembre del 2021, es decir, mayor en 7.1 puntos porcentuales respecto al 2020. El crédito en moneda nacional representó el 67.6% del total, estructura que ha sido estable en los últimos años, su crecimiento interanual presentó una tendencia creciente a partir de mayo hasta finalizar el 2021 y tuvo un mejor comportamiento, al registrar un crecimiento interanual de 13.6% en diciembre del 2021, el cual fue mayor en 6.4 puntos porcentuales al</w:t>
      </w:r>
      <w:r>
        <w:rPr>
          <w:spacing w:val="-6"/>
        </w:rPr>
        <w:t> </w:t>
      </w:r>
      <w:r>
        <w:rPr/>
        <w:t>2020.</w:t>
      </w:r>
    </w:p>
    <w:p>
      <w:pPr>
        <w:pStyle w:val="BodyText"/>
        <w:spacing w:before="3"/>
        <w:rPr>
          <w:sz w:val="25"/>
        </w:rPr>
      </w:pPr>
    </w:p>
    <w:p>
      <w:pPr>
        <w:pStyle w:val="BodyText"/>
        <w:spacing w:line="276" w:lineRule="auto" w:before="1"/>
        <w:ind w:left="562" w:right="1695"/>
        <w:jc w:val="both"/>
      </w:pPr>
      <w:r>
        <w:rPr/>
        <w:t>La actividad de crédito al consumo en 2021 representó una participación del 36.0% del total y un crecimiento</w:t>
      </w:r>
      <w:r>
        <w:rPr>
          <w:spacing w:val="-7"/>
        </w:rPr>
        <w:t> </w:t>
      </w:r>
      <w:r>
        <w:rPr/>
        <w:t>interanual</w:t>
      </w:r>
      <w:r>
        <w:rPr>
          <w:spacing w:val="-3"/>
        </w:rPr>
        <w:t> </w:t>
      </w:r>
      <w:r>
        <w:rPr/>
        <w:t>de</w:t>
      </w:r>
      <w:r>
        <w:rPr>
          <w:spacing w:val="-4"/>
        </w:rPr>
        <w:t> </w:t>
      </w:r>
      <w:r>
        <w:rPr/>
        <w:t>12.1%,</w:t>
      </w:r>
      <w:r>
        <w:rPr>
          <w:spacing w:val="-4"/>
        </w:rPr>
        <w:t> </w:t>
      </w:r>
      <w:r>
        <w:rPr/>
        <w:t>aumentando</w:t>
      </w:r>
      <w:r>
        <w:rPr>
          <w:spacing w:val="-3"/>
        </w:rPr>
        <w:t> </w:t>
      </w:r>
      <w:r>
        <w:rPr/>
        <w:t>en</w:t>
      </w:r>
      <w:r>
        <w:rPr>
          <w:spacing w:val="-4"/>
        </w:rPr>
        <w:t> </w:t>
      </w:r>
      <w:r>
        <w:rPr/>
        <w:t>5.4</w:t>
      </w:r>
      <w:r>
        <w:rPr>
          <w:spacing w:val="-4"/>
        </w:rPr>
        <w:t> </w:t>
      </w:r>
      <w:r>
        <w:rPr/>
        <w:t>puntos</w:t>
      </w:r>
      <w:r>
        <w:rPr>
          <w:spacing w:val="-3"/>
        </w:rPr>
        <w:t> </w:t>
      </w:r>
      <w:r>
        <w:rPr/>
        <w:t>porcentuales,</w:t>
      </w:r>
      <w:r>
        <w:rPr>
          <w:spacing w:val="-5"/>
        </w:rPr>
        <w:t> </w:t>
      </w:r>
      <w:r>
        <w:rPr/>
        <w:t>respecto</w:t>
      </w:r>
      <w:r>
        <w:rPr>
          <w:spacing w:val="-4"/>
        </w:rPr>
        <w:t> </w:t>
      </w:r>
      <w:r>
        <w:rPr/>
        <w:t>a</w:t>
      </w:r>
      <w:r>
        <w:rPr>
          <w:spacing w:val="-3"/>
        </w:rPr>
        <w:t> </w:t>
      </w:r>
      <w:r>
        <w:rPr/>
        <w:t>lo</w:t>
      </w:r>
      <w:r>
        <w:rPr>
          <w:spacing w:val="-5"/>
        </w:rPr>
        <w:t> </w:t>
      </w:r>
      <w:r>
        <w:rPr/>
        <w:t>registrado</w:t>
      </w:r>
      <w:r>
        <w:rPr>
          <w:spacing w:val="-6"/>
        </w:rPr>
        <w:t> </w:t>
      </w:r>
      <w:r>
        <w:rPr/>
        <w:t>en el 2020, lo cual significó un crecimiento significativo derivado de la fuerte caída en el 2020. </w:t>
      </w:r>
      <w:r>
        <w:rPr>
          <w:spacing w:val="-3"/>
        </w:rPr>
        <w:t>Al  </w:t>
      </w:r>
      <w:r>
        <w:rPr/>
        <w:t>desagregar el crédito de consumo y el crédito en tarjetas de crédito, estos crecieron 14.6% en 2021 mayor al 7.4% registrado en 2020, es decir, un aumento de 7.2 puntos porcentuales. En cuanto al crédito del comercio que representó el 14.4%, este tuvo un crecimiento interanual en 2021 de 3.2%, ralentizando su comportamiento ya que disminuyó en 5.0 puntos porcentuales respecto al 2020. El crédito</w:t>
      </w:r>
      <w:r>
        <w:rPr>
          <w:spacing w:val="-12"/>
        </w:rPr>
        <w:t> </w:t>
      </w:r>
      <w:r>
        <w:rPr/>
        <w:t>a</w:t>
      </w:r>
      <w:r>
        <w:rPr>
          <w:spacing w:val="-11"/>
        </w:rPr>
        <w:t> </w:t>
      </w:r>
      <w:r>
        <w:rPr/>
        <w:t>las</w:t>
      </w:r>
      <w:r>
        <w:rPr>
          <w:spacing w:val="-11"/>
        </w:rPr>
        <w:t> </w:t>
      </w:r>
      <w:r>
        <w:rPr/>
        <w:t>industrias</w:t>
      </w:r>
      <w:r>
        <w:rPr>
          <w:spacing w:val="-8"/>
        </w:rPr>
        <w:t> </w:t>
      </w:r>
      <w:r>
        <w:rPr/>
        <w:t>manufactureras,</w:t>
      </w:r>
      <w:r>
        <w:rPr>
          <w:spacing w:val="-9"/>
        </w:rPr>
        <w:t> </w:t>
      </w:r>
      <w:r>
        <w:rPr/>
        <w:t>que</w:t>
      </w:r>
      <w:r>
        <w:rPr>
          <w:spacing w:val="-11"/>
        </w:rPr>
        <w:t> </w:t>
      </w:r>
      <w:r>
        <w:rPr/>
        <w:t>representaron</w:t>
      </w:r>
      <w:r>
        <w:rPr>
          <w:spacing w:val="-10"/>
        </w:rPr>
        <w:t> </w:t>
      </w:r>
      <w:r>
        <w:rPr/>
        <w:t>el</w:t>
      </w:r>
      <w:r>
        <w:rPr>
          <w:spacing w:val="-9"/>
        </w:rPr>
        <w:t> </w:t>
      </w:r>
      <w:r>
        <w:rPr/>
        <w:t>11.5%,</w:t>
      </w:r>
      <w:r>
        <w:rPr>
          <w:spacing w:val="-10"/>
        </w:rPr>
        <w:t> </w:t>
      </w:r>
      <w:r>
        <w:rPr/>
        <w:t>tuvo</w:t>
      </w:r>
      <w:r>
        <w:rPr>
          <w:spacing w:val="-9"/>
        </w:rPr>
        <w:t> </w:t>
      </w:r>
      <w:r>
        <w:rPr/>
        <w:t>un</w:t>
      </w:r>
      <w:r>
        <w:rPr>
          <w:spacing w:val="-11"/>
        </w:rPr>
        <w:t> </w:t>
      </w:r>
      <w:r>
        <w:rPr/>
        <w:t>crecimiento</w:t>
      </w:r>
      <w:r>
        <w:rPr>
          <w:spacing w:val="-12"/>
        </w:rPr>
        <w:t> </w:t>
      </w:r>
      <w:r>
        <w:rPr/>
        <w:t>leve</w:t>
      </w:r>
      <w:r>
        <w:rPr>
          <w:spacing w:val="-8"/>
        </w:rPr>
        <w:t> </w:t>
      </w:r>
      <w:r>
        <w:rPr/>
        <w:t>en</w:t>
      </w:r>
      <w:r>
        <w:rPr>
          <w:spacing w:val="-12"/>
        </w:rPr>
        <w:t> </w:t>
      </w:r>
      <w:r>
        <w:rPr/>
        <w:t>2021 de 2.4%, menor al 9.6% registrado en</w:t>
      </w:r>
      <w:r>
        <w:rPr>
          <w:spacing w:val="-3"/>
        </w:rPr>
        <w:t> </w:t>
      </w:r>
      <w:r>
        <w:rPr/>
        <w:t>2020.</w:t>
      </w:r>
    </w:p>
    <w:p>
      <w:pPr>
        <w:pStyle w:val="BodyText"/>
        <w:spacing w:before="5"/>
        <w:rPr>
          <w:sz w:val="25"/>
        </w:rPr>
      </w:pPr>
    </w:p>
    <w:p>
      <w:pPr>
        <w:pStyle w:val="BodyText"/>
        <w:spacing w:line="276" w:lineRule="auto"/>
        <w:ind w:left="562" w:right="1698"/>
        <w:jc w:val="both"/>
      </w:pPr>
      <w:r>
        <w:rPr/>
        <w:t>Al analizar el comportamiento del crédito del sistema bancario al sector privado por actividad económica sobresalen los créditos en agricultura e industria de la construcción, que en conjunto representaron alrededor de 11.4%, tuvieron un crecimiento moderado, el primero de estos creció únicamente</w:t>
      </w:r>
      <w:r>
        <w:rPr>
          <w:spacing w:val="-6"/>
        </w:rPr>
        <w:t> </w:t>
      </w:r>
      <w:r>
        <w:rPr/>
        <w:t>1.9%,</w:t>
      </w:r>
      <w:r>
        <w:rPr>
          <w:spacing w:val="-3"/>
        </w:rPr>
        <w:t> </w:t>
      </w:r>
      <w:r>
        <w:rPr/>
        <w:t>mayor</w:t>
      </w:r>
      <w:r>
        <w:rPr>
          <w:spacing w:val="-3"/>
        </w:rPr>
        <w:t> </w:t>
      </w:r>
      <w:r>
        <w:rPr/>
        <w:t>a</w:t>
      </w:r>
      <w:r>
        <w:rPr>
          <w:spacing w:val="-2"/>
        </w:rPr>
        <w:t> </w:t>
      </w:r>
      <w:r>
        <w:rPr/>
        <w:t>la</w:t>
      </w:r>
      <w:r>
        <w:rPr>
          <w:spacing w:val="-3"/>
        </w:rPr>
        <w:t> </w:t>
      </w:r>
      <w:r>
        <w:rPr/>
        <w:t>caída</w:t>
      </w:r>
      <w:r>
        <w:rPr>
          <w:spacing w:val="-2"/>
        </w:rPr>
        <w:t> </w:t>
      </w:r>
      <w:r>
        <w:rPr/>
        <w:t>de</w:t>
      </w:r>
      <w:r>
        <w:rPr>
          <w:spacing w:val="-2"/>
        </w:rPr>
        <w:t> </w:t>
      </w:r>
      <w:r>
        <w:rPr/>
        <w:t>-2.1%</w:t>
      </w:r>
      <w:r>
        <w:rPr>
          <w:spacing w:val="-2"/>
        </w:rPr>
        <w:t> </w:t>
      </w:r>
      <w:r>
        <w:rPr/>
        <w:t>del</w:t>
      </w:r>
      <w:r>
        <w:rPr>
          <w:spacing w:val="-2"/>
        </w:rPr>
        <w:t> </w:t>
      </w:r>
      <w:r>
        <w:rPr/>
        <w:t>año</w:t>
      </w:r>
      <w:r>
        <w:rPr>
          <w:spacing w:val="-6"/>
        </w:rPr>
        <w:t> </w:t>
      </w:r>
      <w:r>
        <w:rPr/>
        <w:t>anterior;</w:t>
      </w:r>
      <w:r>
        <w:rPr>
          <w:spacing w:val="-4"/>
        </w:rPr>
        <w:t> </w:t>
      </w:r>
      <w:r>
        <w:rPr/>
        <w:t>en</w:t>
      </w:r>
      <w:r>
        <w:rPr>
          <w:spacing w:val="-3"/>
        </w:rPr>
        <w:t> </w:t>
      </w:r>
      <w:r>
        <w:rPr/>
        <w:t>cuanto</w:t>
      </w:r>
      <w:r>
        <w:rPr>
          <w:spacing w:val="-5"/>
        </w:rPr>
        <w:t> </w:t>
      </w:r>
      <w:r>
        <w:rPr/>
        <w:t>al</w:t>
      </w:r>
      <w:r>
        <w:rPr>
          <w:spacing w:val="-5"/>
        </w:rPr>
        <w:t> </w:t>
      </w:r>
      <w:r>
        <w:rPr/>
        <w:t>crédito</w:t>
      </w:r>
      <w:r>
        <w:rPr>
          <w:spacing w:val="-5"/>
        </w:rPr>
        <w:t> </w:t>
      </w:r>
      <w:r>
        <w:rPr/>
        <w:t>a</w:t>
      </w:r>
      <w:r>
        <w:rPr>
          <w:spacing w:val="-2"/>
        </w:rPr>
        <w:t> </w:t>
      </w:r>
      <w:r>
        <w:rPr/>
        <w:t>la</w:t>
      </w:r>
      <w:r>
        <w:rPr>
          <w:spacing w:val="-6"/>
        </w:rPr>
        <w:t> </w:t>
      </w:r>
      <w:r>
        <w:rPr/>
        <w:t>industria</w:t>
      </w:r>
      <w:r>
        <w:rPr>
          <w:spacing w:val="-5"/>
        </w:rPr>
        <w:t> </w:t>
      </w:r>
      <w:r>
        <w:rPr/>
        <w:t>de</w:t>
      </w:r>
      <w:r>
        <w:rPr>
          <w:spacing w:val="-6"/>
        </w:rPr>
        <w:t> </w:t>
      </w:r>
      <w:r>
        <w:rPr/>
        <w:t>la construcción se observó un crecimiento de 5.8%, disminuyendo un 9.8 puntos porcentuales respecto a los 15.6% registrados en el 2020. Es importante hacer ver que, una de las actividades que mostró una</w:t>
      </w:r>
      <w:r>
        <w:rPr>
          <w:spacing w:val="-9"/>
        </w:rPr>
        <w:t> </w:t>
      </w:r>
      <w:r>
        <w:rPr/>
        <w:t>mayor</w:t>
      </w:r>
      <w:r>
        <w:rPr>
          <w:spacing w:val="-8"/>
        </w:rPr>
        <w:t> </w:t>
      </w:r>
      <w:r>
        <w:rPr/>
        <w:t>desaceleración</w:t>
      </w:r>
      <w:r>
        <w:rPr>
          <w:spacing w:val="-9"/>
        </w:rPr>
        <w:t> </w:t>
      </w:r>
      <w:r>
        <w:rPr/>
        <w:t>en</w:t>
      </w:r>
      <w:r>
        <w:rPr>
          <w:spacing w:val="-9"/>
        </w:rPr>
        <w:t> </w:t>
      </w:r>
      <w:r>
        <w:rPr/>
        <w:t>el</w:t>
      </w:r>
      <w:r>
        <w:rPr>
          <w:spacing w:val="-7"/>
        </w:rPr>
        <w:t> </w:t>
      </w:r>
      <w:r>
        <w:rPr/>
        <w:t>2020</w:t>
      </w:r>
      <w:r>
        <w:rPr>
          <w:spacing w:val="-12"/>
        </w:rPr>
        <w:t> </w:t>
      </w:r>
      <w:r>
        <w:rPr/>
        <w:t>fue</w:t>
      </w:r>
      <w:r>
        <w:rPr>
          <w:spacing w:val="-8"/>
        </w:rPr>
        <w:t> </w:t>
      </w:r>
      <w:r>
        <w:rPr/>
        <w:t>la</w:t>
      </w:r>
      <w:r>
        <w:rPr>
          <w:spacing w:val="-8"/>
        </w:rPr>
        <w:t> </w:t>
      </w:r>
      <w:r>
        <w:rPr/>
        <w:t>actividad</w:t>
      </w:r>
      <w:r>
        <w:rPr>
          <w:spacing w:val="-9"/>
        </w:rPr>
        <w:t> </w:t>
      </w:r>
      <w:r>
        <w:rPr/>
        <w:t>de</w:t>
      </w:r>
      <w:r>
        <w:rPr>
          <w:spacing w:val="-11"/>
        </w:rPr>
        <w:t> </w:t>
      </w:r>
      <w:r>
        <w:rPr/>
        <w:t>alojamiento,</w:t>
      </w:r>
      <w:r>
        <w:rPr>
          <w:spacing w:val="-9"/>
        </w:rPr>
        <w:t> </w:t>
      </w:r>
      <w:r>
        <w:rPr/>
        <w:t>al</w:t>
      </w:r>
      <w:r>
        <w:rPr>
          <w:spacing w:val="-9"/>
        </w:rPr>
        <w:t> </w:t>
      </w:r>
      <w:r>
        <w:rPr/>
        <w:t>registrar</w:t>
      </w:r>
      <w:r>
        <w:rPr>
          <w:spacing w:val="-7"/>
        </w:rPr>
        <w:t> </w:t>
      </w:r>
      <w:r>
        <w:rPr/>
        <w:t>únicamente</w:t>
      </w:r>
      <w:r>
        <w:rPr>
          <w:spacing w:val="-8"/>
        </w:rPr>
        <w:t> </w:t>
      </w:r>
      <w:r>
        <w:rPr/>
        <w:t>un</w:t>
      </w:r>
      <w:r>
        <w:rPr>
          <w:spacing w:val="-9"/>
        </w:rPr>
        <w:t> </w:t>
      </w:r>
      <w:r>
        <w:rPr/>
        <w:t>0.4% de crecimiento en 2020. Sin embargo, en 2021 este creció 4.0% aunque esta actividad representó únicamente el 0.9% de los créditos</w:t>
      </w:r>
      <w:r>
        <w:rPr>
          <w:spacing w:val="-9"/>
        </w:rPr>
        <w:t> </w:t>
      </w:r>
      <w:r>
        <w:rPr/>
        <w:t>totales.</w:t>
      </w:r>
    </w:p>
    <w:p>
      <w:pPr>
        <w:pStyle w:val="BodyText"/>
        <w:spacing w:before="4"/>
        <w:rPr>
          <w:sz w:val="25"/>
        </w:rPr>
      </w:pPr>
    </w:p>
    <w:p>
      <w:pPr>
        <w:pStyle w:val="BodyText"/>
        <w:spacing w:line="276" w:lineRule="auto"/>
        <w:ind w:left="562" w:right="1695"/>
        <w:jc w:val="both"/>
      </w:pPr>
      <w:r>
        <w:rPr/>
        <w:t>Es relevante considerar que el crecimiento del crédito del sistema bancario al sector privado fue de 12.7% en 2021, representa Q28,723.7 millones más que el año anterior, reflejando un</w:t>
      </w:r>
      <w:r>
        <w:rPr>
          <w:spacing w:val="18"/>
        </w:rPr>
        <w:t> </w:t>
      </w:r>
      <w:r>
        <w:rPr/>
        <w:t>mayor dinamismo</w:t>
      </w:r>
      <w:r>
        <w:rPr>
          <w:spacing w:val="-5"/>
        </w:rPr>
        <w:t> </w:t>
      </w:r>
      <w:r>
        <w:rPr/>
        <w:t>en</w:t>
      </w:r>
      <w:r>
        <w:rPr>
          <w:spacing w:val="-7"/>
        </w:rPr>
        <w:t> </w:t>
      </w:r>
      <w:r>
        <w:rPr/>
        <w:t>la</w:t>
      </w:r>
      <w:r>
        <w:rPr>
          <w:spacing w:val="-6"/>
        </w:rPr>
        <w:t> </w:t>
      </w:r>
      <w:r>
        <w:rPr/>
        <w:t>economía</w:t>
      </w:r>
      <w:r>
        <w:rPr>
          <w:spacing w:val="-7"/>
        </w:rPr>
        <w:t> </w:t>
      </w:r>
      <w:r>
        <w:rPr/>
        <w:t>a</w:t>
      </w:r>
      <w:r>
        <w:rPr>
          <w:spacing w:val="-3"/>
        </w:rPr>
        <w:t> </w:t>
      </w:r>
      <w:r>
        <w:rPr/>
        <w:t>pesar</w:t>
      </w:r>
      <w:r>
        <w:rPr>
          <w:spacing w:val="-6"/>
        </w:rPr>
        <w:t> </w:t>
      </w:r>
      <w:r>
        <w:rPr/>
        <w:t>de</w:t>
      </w:r>
      <w:r>
        <w:rPr>
          <w:spacing w:val="-9"/>
        </w:rPr>
        <w:t> </w:t>
      </w:r>
      <w:r>
        <w:rPr/>
        <w:t>los</w:t>
      </w:r>
      <w:r>
        <w:rPr>
          <w:spacing w:val="-6"/>
        </w:rPr>
        <w:t> </w:t>
      </w:r>
      <w:r>
        <w:rPr/>
        <w:t>diferentes</w:t>
      </w:r>
      <w:r>
        <w:rPr>
          <w:spacing w:val="-6"/>
        </w:rPr>
        <w:t> </w:t>
      </w:r>
      <w:r>
        <w:rPr/>
        <w:t>inconvenientes</w:t>
      </w:r>
      <w:r>
        <w:rPr>
          <w:spacing w:val="-5"/>
        </w:rPr>
        <w:t> </w:t>
      </w:r>
      <w:r>
        <w:rPr/>
        <w:t>que</w:t>
      </w:r>
      <w:r>
        <w:rPr>
          <w:spacing w:val="-7"/>
        </w:rPr>
        <w:t> </w:t>
      </w:r>
      <w:r>
        <w:rPr/>
        <w:t>se</w:t>
      </w:r>
      <w:r>
        <w:rPr>
          <w:spacing w:val="-4"/>
        </w:rPr>
        <w:t> </w:t>
      </w:r>
      <w:r>
        <w:rPr/>
        <w:t>dieron</w:t>
      </w:r>
      <w:r>
        <w:rPr>
          <w:spacing w:val="-6"/>
        </w:rPr>
        <w:t> </w:t>
      </w:r>
      <w:r>
        <w:rPr/>
        <w:t>con</w:t>
      </w:r>
      <w:r>
        <w:rPr>
          <w:spacing w:val="-5"/>
        </w:rPr>
        <w:t> </w:t>
      </w:r>
      <w:r>
        <w:rPr/>
        <w:t>la</w:t>
      </w:r>
      <w:r>
        <w:rPr>
          <w:spacing w:val="-3"/>
        </w:rPr>
        <w:t> </w:t>
      </w:r>
      <w:r>
        <w:rPr/>
        <w:t>pandemia</w:t>
      </w:r>
      <w:r>
        <w:rPr>
          <w:spacing w:val="-4"/>
        </w:rPr>
        <w:t> </w:t>
      </w:r>
      <w:r>
        <w:rPr/>
        <w:t>ya que la economía aun no funcionaba en su</w:t>
      </w:r>
      <w:r>
        <w:rPr>
          <w:spacing w:val="-6"/>
        </w:rPr>
        <w:t> </w:t>
      </w:r>
      <w:r>
        <w:rPr/>
        <w:t>totalidad.</w:t>
      </w:r>
    </w:p>
    <w:p>
      <w:pPr>
        <w:spacing w:after="0" w:line="276" w:lineRule="auto"/>
        <w:jc w:val="both"/>
        <w:sectPr>
          <w:pgSz w:w="12240" w:h="15840"/>
          <w:pgMar w:header="715" w:footer="957" w:top="1240" w:bottom="1140" w:left="1140" w:right="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16"/>
        </w:rPr>
      </w:pPr>
    </w:p>
    <w:p>
      <w:pPr>
        <w:spacing w:before="0"/>
        <w:ind w:left="0" w:right="38" w:firstLine="0"/>
        <w:jc w:val="right"/>
        <w:rPr>
          <w:rFonts w:ascii="Calibri"/>
          <w:sz w:val="18"/>
        </w:rPr>
      </w:pPr>
      <w:bookmarkStart w:name="_bookmark52" w:id="69"/>
      <w:bookmarkEnd w:id="69"/>
      <w:r>
        <w:rPr/>
      </w:r>
      <w:r>
        <w:rPr>
          <w:rFonts w:ascii="Calibri"/>
          <w:color w:val="333333"/>
          <w:sz w:val="18"/>
        </w:rPr>
        <w:t>14.0</w:t>
      </w:r>
    </w:p>
    <w:p>
      <w:pPr>
        <w:spacing w:before="76"/>
        <w:ind w:left="0" w:right="38" w:firstLine="0"/>
        <w:jc w:val="right"/>
        <w:rPr>
          <w:rFonts w:ascii="Calibri"/>
          <w:sz w:val="18"/>
        </w:rPr>
      </w:pPr>
      <w:r>
        <w:rPr>
          <w:rFonts w:ascii="Calibri"/>
          <w:color w:val="333333"/>
          <w:sz w:val="18"/>
        </w:rPr>
        <w:t>12.0</w:t>
      </w:r>
    </w:p>
    <w:p>
      <w:pPr>
        <w:spacing w:before="75"/>
        <w:ind w:left="0" w:right="38" w:firstLine="0"/>
        <w:jc w:val="right"/>
        <w:rPr>
          <w:rFonts w:ascii="Calibri"/>
          <w:sz w:val="18"/>
        </w:rPr>
      </w:pPr>
      <w:r>
        <w:rPr>
          <w:rFonts w:ascii="Calibri"/>
          <w:color w:val="333333"/>
          <w:sz w:val="18"/>
        </w:rPr>
        <w:t>10.0</w:t>
      </w:r>
    </w:p>
    <w:p>
      <w:pPr>
        <w:spacing w:before="76"/>
        <w:ind w:left="0" w:right="38" w:firstLine="0"/>
        <w:jc w:val="right"/>
        <w:rPr>
          <w:rFonts w:ascii="Calibri"/>
          <w:sz w:val="18"/>
        </w:rPr>
      </w:pPr>
      <w:r>
        <w:rPr>
          <w:rFonts w:ascii="Calibri"/>
          <w:color w:val="333333"/>
          <w:sz w:val="18"/>
        </w:rPr>
        <w:t>8.0</w:t>
      </w:r>
    </w:p>
    <w:p>
      <w:pPr>
        <w:spacing w:before="75"/>
        <w:ind w:left="0" w:right="38" w:firstLine="0"/>
        <w:jc w:val="right"/>
        <w:rPr>
          <w:rFonts w:ascii="Calibri"/>
          <w:sz w:val="18"/>
        </w:rPr>
      </w:pPr>
      <w:r>
        <w:rPr>
          <w:rFonts w:ascii="Calibri"/>
          <w:color w:val="333333"/>
          <w:sz w:val="18"/>
        </w:rPr>
        <w:t>6.0</w:t>
      </w:r>
    </w:p>
    <w:p>
      <w:pPr>
        <w:spacing w:before="76"/>
        <w:ind w:left="0" w:right="38" w:firstLine="0"/>
        <w:jc w:val="right"/>
        <w:rPr>
          <w:rFonts w:ascii="Calibri"/>
          <w:sz w:val="18"/>
        </w:rPr>
      </w:pPr>
      <w:r>
        <w:rPr>
          <w:rFonts w:ascii="Calibri"/>
          <w:color w:val="333333"/>
          <w:sz w:val="18"/>
        </w:rPr>
        <w:t>4.0</w:t>
      </w:r>
    </w:p>
    <w:p>
      <w:pPr>
        <w:spacing w:before="75"/>
        <w:ind w:left="0" w:right="38" w:firstLine="0"/>
        <w:jc w:val="right"/>
        <w:rPr>
          <w:rFonts w:ascii="Calibri"/>
          <w:sz w:val="18"/>
        </w:rPr>
      </w:pPr>
      <w:r>
        <w:rPr>
          <w:rFonts w:ascii="Calibri"/>
          <w:color w:val="333333"/>
          <w:sz w:val="18"/>
        </w:rPr>
        <w:t>2.0</w:t>
      </w:r>
    </w:p>
    <w:p>
      <w:pPr>
        <w:spacing w:before="76"/>
        <w:ind w:left="0" w:right="120" w:firstLine="0"/>
        <w:jc w:val="right"/>
        <w:rPr>
          <w:rFonts w:ascii="Calibri"/>
          <w:sz w:val="18"/>
        </w:rPr>
      </w:pPr>
      <w:r>
        <w:rPr>
          <w:rFonts w:ascii="Calibri"/>
          <w:color w:val="333333"/>
          <w:sz w:val="18"/>
        </w:rPr>
        <w:t>-</w:t>
      </w:r>
    </w:p>
    <w:p>
      <w:pPr>
        <w:spacing w:before="75"/>
        <w:ind w:left="0" w:right="38" w:firstLine="0"/>
        <w:jc w:val="right"/>
        <w:rPr>
          <w:rFonts w:ascii="Calibri"/>
          <w:sz w:val="18"/>
        </w:rPr>
      </w:pPr>
      <w:r>
        <w:rPr>
          <w:rFonts w:ascii="Calibri"/>
          <w:color w:val="333333"/>
          <w:sz w:val="18"/>
        </w:rPr>
        <w:t>-2.0</w:t>
      </w:r>
    </w:p>
    <w:p>
      <w:pPr>
        <w:spacing w:before="76"/>
        <w:ind w:left="0" w:right="38" w:firstLine="0"/>
        <w:jc w:val="right"/>
        <w:rPr>
          <w:rFonts w:ascii="Calibri"/>
          <w:sz w:val="18"/>
        </w:rPr>
      </w:pPr>
      <w:r>
        <w:rPr>
          <w:rFonts w:ascii="Calibri"/>
          <w:color w:val="333333"/>
          <w:sz w:val="18"/>
        </w:rPr>
        <w:t>-4.0</w:t>
      </w:r>
    </w:p>
    <w:p>
      <w:pPr>
        <w:spacing w:before="169"/>
        <w:ind w:left="873" w:right="0" w:firstLine="0"/>
        <w:jc w:val="left"/>
        <w:rPr>
          <w:b/>
          <w:sz w:val="20"/>
        </w:rPr>
      </w:pPr>
      <w:r>
        <w:rPr/>
        <w:br w:type="column"/>
      </w:r>
      <w:r>
        <w:rPr>
          <w:b/>
          <w:i/>
          <w:sz w:val="20"/>
        </w:rPr>
        <w:t>Gráfico 22 </w:t>
      </w:r>
      <w:r>
        <w:rPr>
          <w:b/>
          <w:sz w:val="20"/>
        </w:rPr>
        <w:t>Crecimiento interanual del crédito del sistema bancario</w:t>
      </w:r>
    </w:p>
    <w:p>
      <w:pPr>
        <w:tabs>
          <w:tab w:pos="4949" w:val="left" w:leader="none"/>
        </w:tabs>
        <w:spacing w:before="166"/>
        <w:ind w:left="746" w:right="0" w:firstLine="0"/>
        <w:jc w:val="left"/>
        <w:rPr>
          <w:b/>
          <w:sz w:val="20"/>
        </w:rPr>
      </w:pPr>
      <w:r>
        <w:rPr/>
        <w:drawing>
          <wp:anchor distT="0" distB="0" distL="0" distR="0" allowOverlap="1" layoutInCell="1" locked="0" behindDoc="0" simplePos="0" relativeHeight="251986944">
            <wp:simplePos x="0" y="0"/>
            <wp:positionH relativeFrom="page">
              <wp:posOffset>4000500</wp:posOffset>
            </wp:positionH>
            <wp:positionV relativeFrom="paragraph">
              <wp:posOffset>272490</wp:posOffset>
            </wp:positionV>
            <wp:extent cx="2647188" cy="2566416"/>
            <wp:effectExtent l="0" t="0" r="0" b="0"/>
            <wp:wrapNone/>
            <wp:docPr id="5" name="image15.jpeg"/>
            <wp:cNvGraphicFramePr>
              <a:graphicFrameLocks noChangeAspect="1"/>
            </wp:cNvGraphicFramePr>
            <a:graphic>
              <a:graphicData uri="http://schemas.openxmlformats.org/drawingml/2006/picture">
                <pic:pic>
                  <pic:nvPicPr>
                    <pic:cNvPr id="6" name="image15.jpeg"/>
                    <pic:cNvPicPr/>
                  </pic:nvPicPr>
                  <pic:blipFill>
                    <a:blip r:embed="rId21" cstate="print"/>
                    <a:stretch>
                      <a:fillRect/>
                    </a:stretch>
                  </pic:blipFill>
                  <pic:spPr>
                    <a:xfrm>
                      <a:off x="0" y="0"/>
                      <a:ext cx="2647188" cy="2566416"/>
                    </a:xfrm>
                    <a:prstGeom prst="rect">
                      <a:avLst/>
                    </a:prstGeom>
                  </pic:spPr>
                </pic:pic>
              </a:graphicData>
            </a:graphic>
          </wp:anchor>
        </w:drawing>
      </w:r>
      <w:r>
        <w:rPr>
          <w:b/>
          <w:sz w:val="20"/>
        </w:rPr>
        <w:t>Por tipo</w:t>
      </w:r>
      <w:r>
        <w:rPr>
          <w:b/>
          <w:spacing w:val="-6"/>
          <w:sz w:val="20"/>
        </w:rPr>
        <w:t> </w:t>
      </w:r>
      <w:r>
        <w:rPr>
          <w:b/>
          <w:sz w:val="20"/>
        </w:rPr>
        <w:t>de</w:t>
      </w:r>
      <w:r>
        <w:rPr>
          <w:b/>
          <w:spacing w:val="-1"/>
          <w:sz w:val="20"/>
        </w:rPr>
        <w:t> </w:t>
      </w:r>
      <w:r>
        <w:rPr>
          <w:b/>
          <w:sz w:val="20"/>
        </w:rPr>
        <w:t>moneda</w:t>
        <w:tab/>
        <w:t>Por actividad</w:t>
      </w:r>
      <w:r>
        <w:rPr>
          <w:b/>
          <w:spacing w:val="-1"/>
          <w:sz w:val="20"/>
        </w:rPr>
        <w:t> </w:t>
      </w:r>
      <w:r>
        <w:rPr>
          <w:b/>
          <w:sz w:val="20"/>
        </w:rPr>
        <w:t>económica</w:t>
      </w:r>
    </w:p>
    <w:p>
      <w:pPr>
        <w:pStyle w:val="BodyText"/>
        <w:spacing w:before="1"/>
        <w:rPr>
          <w:b/>
          <w:sz w:val="29"/>
        </w:rPr>
      </w:pPr>
      <w:r>
        <w:rPr/>
        <w:pict>
          <v:group style="position:absolute;margin-left:120.599998pt;margin-top:20.031954pt;width:167.05pt;height:112.2pt;mso-position-horizontal-relative:page;mso-position-vertical-relative:paragraph;z-index:-251333632;mso-wrap-distance-left:0;mso-wrap-distance-right:0" coordorigin="2412,401" coordsize="3341,2244">
            <v:line style="position:absolute" from="2447,1027" to="2447,2407" stroked="true" strokeweight="2.76pt" strokecolor="#5b9bd4">
              <v:stroke dashstyle="solid"/>
            </v:line>
            <v:line style="position:absolute" from="2586,1003" to="2586,2407" stroked="true" strokeweight="2.76pt" strokecolor="#5b9bd4">
              <v:stroke dashstyle="solid"/>
            </v:line>
            <v:rect style="position:absolute;left:2488;top:2407;width:56;height:111" filled="true" fillcolor="#ec7c30" stroked="false">
              <v:fill type="solid"/>
            </v:rect>
            <v:line style="position:absolute" from="2724,888" to="2724,2407" stroked="true" strokeweight="2.64pt" strokecolor="#5b9bd4">
              <v:stroke dashstyle="solid"/>
            </v:line>
            <v:rect style="position:absolute;left:2628;top:2407;width:53;height:75" filled="true" fillcolor="#ec7c30" stroked="false">
              <v:fill type="solid"/>
            </v:rect>
            <v:line style="position:absolute" from="2863,945" to="2863,2407" stroked="true" strokeweight="2.64pt" strokecolor="#5b9bd4">
              <v:stroke dashstyle="solid"/>
            </v:line>
            <v:line style="position:absolute" from="2794,1819" to="2794,2407" stroked="true" strokeweight="2.64pt" strokecolor="#ec7c30">
              <v:stroke dashstyle="solid"/>
            </v:line>
            <v:line style="position:absolute" from="3001,950" to="3001,2407" stroked="true" strokeweight="2.76pt" strokecolor="#5b9bd4">
              <v:stroke dashstyle="solid"/>
            </v:line>
            <v:line style="position:absolute" from="2932,1680" to="2932,2407" stroked="true" strokeweight="2.76pt" strokecolor="#ec7c30">
              <v:stroke dashstyle="solid"/>
            </v:line>
            <v:line style="position:absolute" from="3140,955" to="3140,2407" stroked="true" strokeweight="2.76pt" strokecolor="#5b9bd4">
              <v:stroke dashstyle="solid"/>
            </v:line>
            <v:line style="position:absolute" from="3071,1850" to="3071,2407" stroked="true" strokeweight="2.76pt" strokecolor="#ec7c30">
              <v:stroke dashstyle="solid"/>
            </v:line>
            <v:line style="position:absolute" from="3278,1041" to="3278,2407" stroked="true" strokeweight="2.64pt" strokecolor="#5b9bd4">
              <v:stroke dashstyle="solid"/>
            </v:line>
            <v:line style="position:absolute" from="3209,1805" to="3209,2407" stroked="true" strokeweight="2.64pt" strokecolor="#ec7c30">
              <v:stroke dashstyle="solid"/>
            </v:line>
            <v:line style="position:absolute" from="3418,1118" to="3418,2407" stroked="true" strokeweight="2.64pt" strokecolor="#5b9bd4">
              <v:stroke dashstyle="solid"/>
            </v:line>
            <v:line style="position:absolute" from="3348,1896" to="3348,2407" stroked="true" strokeweight="2.64pt" strokecolor="#ec7c30">
              <v:stroke dashstyle="solid"/>
            </v:line>
            <v:line style="position:absolute" from="3556,1253" to="3556,2407" stroked="true" strokeweight="2.76pt" strokecolor="#5b9bd4">
              <v:stroke dashstyle="solid"/>
            </v:line>
            <v:line style="position:absolute" from="3486,1944" to="3486,2407" stroked="true" strokeweight="2.76pt" strokecolor="#ec7c30">
              <v:stroke dashstyle="solid"/>
            </v:line>
            <v:line style="position:absolute" from="3695,1226" to="3695,2407" stroked="true" strokeweight="2.76pt" strokecolor="#5b9bd4">
              <v:stroke dashstyle="solid"/>
            </v:line>
            <v:line style="position:absolute" from="3625,2143" to="3625,2407" stroked="true" strokeweight="2.76pt" strokecolor="#ec7c30">
              <v:stroke dashstyle="solid"/>
            </v:line>
            <v:line style="position:absolute" from="3833,1279" to="3833,2407" stroked="true" strokeweight="2.64pt" strokecolor="#5b9bd4">
              <v:stroke dashstyle="solid"/>
            </v:line>
            <v:line style="position:absolute" from="3763,1836" to="3763,2407" stroked="true" strokeweight="2.64pt" strokecolor="#ec7c30">
              <v:stroke dashstyle="solid"/>
            </v:line>
            <v:line style="position:absolute" from="3972,1351" to="3972,2407" stroked="true" strokeweight="2.64pt" strokecolor="#5b9bd4">
              <v:stroke dashstyle="solid"/>
            </v:line>
            <v:line style="position:absolute" from="3902,1867" to="3902,2407" stroked="true" strokeweight="2.64pt" strokecolor="#ec7c30">
              <v:stroke dashstyle="solid"/>
            </v:line>
            <v:line style="position:absolute" from="4110,1377" to="4110,2407" stroked="true" strokeweight="2.76pt" strokecolor="#5b9bd4">
              <v:stroke dashstyle="solid"/>
            </v:line>
            <v:line style="position:absolute" from="4040,1841" to="4040,2407" stroked="true" strokeweight="2.76pt" strokecolor="#ec7c30">
              <v:stroke dashstyle="solid"/>
            </v:line>
            <v:line style="position:absolute" from="4249,1205" to="4249,2407" stroked="true" strokeweight="2.76pt" strokecolor="#5b9bd4">
              <v:stroke dashstyle="solid"/>
            </v:line>
            <v:line style="position:absolute" from="4180,1807" to="4180,2407" stroked="true" strokeweight="2.76pt" strokecolor="#ec7c30">
              <v:stroke dashstyle="solid"/>
            </v:line>
            <v:line style="position:absolute" from="4387,1296" to="4387,2407" stroked="true" strokeweight="2.64pt" strokecolor="#5b9bd4">
              <v:stroke dashstyle="solid"/>
            </v:line>
            <v:line style="position:absolute" from="4318,2018" to="4318,2407" stroked="true" strokeweight="2.64pt" strokecolor="#ec7c30">
              <v:stroke dashstyle="solid"/>
            </v:line>
            <v:line style="position:absolute" from="4526,1289" to="4526,2407" stroked="true" strokeweight="2.64pt" strokecolor="#5b9bd4">
              <v:stroke dashstyle="solid"/>
            </v:line>
            <v:line style="position:absolute" from="4457,2407" to="4457,2645" stroked="true" strokeweight="2.64pt" strokecolor="#ec7c30">
              <v:stroke dashstyle="solid"/>
            </v:line>
            <v:line style="position:absolute" from="4664,1233" to="4664,2407" stroked="true" strokeweight="2.76pt" strokecolor="#5b9bd4">
              <v:stroke dashstyle="solid"/>
            </v:line>
            <v:line style="position:absolute" from="4595,2407" to="4595,2640" stroked="true" strokeweight="2.76pt" strokecolor="#ec7c30">
              <v:stroke dashstyle="solid"/>
            </v:line>
            <v:line style="position:absolute" from="4804,1226" to="4804,2407" stroked="true" strokeweight="2.76pt" strokecolor="#5b9bd4">
              <v:stroke dashstyle="solid"/>
            </v:line>
            <v:rect style="position:absolute;left:4706;top:2373;width:56;height:34" filled="true" fillcolor="#ec7c30" stroked="false">
              <v:fill type="solid"/>
            </v:rect>
            <v:line style="position:absolute" from="4942,914" to="4942,2407" stroked="true" strokeweight="2.64pt" strokecolor="#5b9bd4">
              <v:stroke dashstyle="solid"/>
            </v:line>
            <v:line style="position:absolute" from="4872,2196" to="4872,2407" stroked="true" strokeweight="2.64pt" strokecolor="#ec7c30">
              <v:stroke dashstyle="solid"/>
            </v:line>
            <v:line style="position:absolute" from="5081,770" to="5081,2407" stroked="true" strokeweight="2.64pt" strokecolor="#5b9bd4">
              <v:stroke dashstyle="solid"/>
            </v:line>
            <v:line style="position:absolute" from="5011,1699" to="5011,2407" stroked="true" strokeweight="2.64pt" strokecolor="#ec7c30">
              <v:stroke dashstyle="solid"/>
            </v:line>
            <v:line style="position:absolute" from="5219,689" to="5219,2407" stroked="true" strokeweight="2.76pt" strokecolor="#5b9bd4">
              <v:stroke dashstyle="solid"/>
            </v:line>
            <v:line style="position:absolute" from="5149,1577" to="5149,2407" stroked="true" strokeweight="2.76pt" strokecolor="#ec7c30">
              <v:stroke dashstyle="solid"/>
            </v:line>
            <v:line style="position:absolute" from="5288,1483" to="5288,2407" stroked="true" strokeweight="2.76pt" strokecolor="#ec7c30">
              <v:stroke dashstyle="solid"/>
            </v:line>
            <v:line style="position:absolute" from="5496,609" to="5496,2407" stroked="true" strokeweight="2.64pt" strokecolor="#5b9bd4">
              <v:stroke dashstyle="solid"/>
            </v:line>
            <v:line style="position:absolute" from="5635,401" to="5635,2407" stroked="true" strokeweight="2.64pt" strokecolor="#5b9bd4">
              <v:stroke dashstyle="solid"/>
            </v:line>
            <v:line style="position:absolute" from="5566,828" to="5566,2407" stroked="true" strokeweight="2.64pt" strokecolor="#ec7c30">
              <v:stroke dashstyle="solid"/>
            </v:line>
            <v:line style="position:absolute" from="5704,792" to="5704,2407" stroked="true" strokeweight="2.76pt" strokecolor="#ec7c30">
              <v:stroke dashstyle="solid"/>
            </v:line>
            <v:line style="position:absolute" from="2412,2407" to="5738,2407" stroked="true" strokeweight=".72pt" strokecolor="#d9d9d9">
              <v:stroke dashstyle="solid"/>
            </v:line>
            <v:shape style="position:absolute;left:2419;top:419;width:3334;height:1474" type="#_x0000_t75" stroked="false">
              <v:imagedata r:id="rId22" o:title=""/>
            </v:shape>
            <v:shape style="position:absolute;left:2458;top:460;width:3281;height:1321" coordorigin="2458,461" coordsize="3281,1321" path="m4313,1487l4262,1487,4290,1499,4271,1505,4402,1768,4406,1776,4414,1781,4562,1773,4568,1773,4573,1771,4597,1748,4442,1748,4421,1735,4436,1734,4313,1487xm4436,1734l4421,1735,4442,1748,4436,1734xm4552,1728l4436,1734,4442,1748,4597,1748,4612,1734,4546,1734,4552,1728xm4560,1728l4552,1728,4546,1734,4560,1728xm4618,1728l4560,1728,4546,1734,4612,1734,4618,1728xm4819,1537l4691,1598,4688,1599,4686,1600,4685,1602,4552,1728,4560,1728,4618,1728,4712,1639,4710,1639,4716,1635,4719,1635,4852,1572,4857,1567,4865,1546,4816,1546,4819,1537xm4716,1635l4710,1639,4713,1638,4716,1635xm4713,1638l4710,1639,4712,1639,4713,1638xm4719,1635l4716,1635,4713,1638,4719,1635xm3438,1421l3574,1576,3579,1581,3584,1583,3590,1584,3597,1584,3603,1582,3607,1578,3641,1546,3609,1546,3576,1544,3593,1528,3501,1423,3443,1423,3438,1421xm2604,1510l2466,1536,2458,1548,2463,1573,2475,1581,2631,1551,2637,1546,2649,1521,2599,1521,2604,1510xm3593,1528l3576,1544,3609,1546,3593,1528xm3727,1410l3719,1412,3593,1528,3609,1546,3641,1546,3734,1460,3722,1456,3744,1450,3859,1450,3727,1410xm4827,1533l4819,1537,4816,1546,4827,1533xm4869,1533l4827,1533,4816,1546,4865,1546,4869,1533xm3859,1450l3744,1450,3734,1460,3861,1499,4003,1535,4006,1536,4145,1543,4148,1543,4150,1543,4271,1505,4268,1498,4139,1498,4143,1497,4023,1491,4013,1491,4008,1490,4010,1490,3874,1455,3859,1450xm5251,933l5245,934,5104,1021,5102,1022,5101,1023,4960,1161,4958,1163,4956,1166,4955,1169,4819,1537,4827,1533,4869,1533,4995,1193,4992,1193,4998,1185,5001,1185,5128,1060,5128,1060,5132,1056,5133,1056,5257,980,5249,979,5264,976,5418,976,5421,968,5371,968,5378,953,5251,933xm2615,1507l2604,1510,2599,1521,2615,1507xm2654,1507l2615,1507,2599,1521,2649,1521,2654,1507xm2900,1180l2748,1196,2741,1201,2738,1209,2604,1510,2615,1507,2654,1507,2774,1240,2761,1240,2780,1227,2891,1227,2894,1227,2889,1224,3000,1224,2907,1183,2904,1181,2900,1180xm4262,1487l4271,1505,4290,1499,4262,1487xm4143,1497l4139,1498,4147,1497,4143,1497xm4287,1452l4143,1497,4147,1497,4139,1498,4268,1498,4262,1487,4313,1487,4303,1467,4298,1457,4287,1452xm4008,1490l4013,1491,4010,1490,4008,1490xm4010,1490l4013,1491,4023,1491,4010,1490xm4010,1490l4008,1490,4010,1490,4010,1490xm3744,1450l3722,1456,3734,1460,3744,1450xm3435,1418l3438,1421,3443,1423,3435,1418xm3496,1418l3435,1418,3443,1423,3501,1423,3496,1418xm3251,1273l3162,1273,3176,1277,3169,1277,3301,1357,3438,1421,3435,1418,3496,1418,3470,1388,3467,1385,3465,1383,3462,1382,3325,1318,3251,1273xm3000,1224l2889,1224,2900,1226,2894,1227,3031,1288,3035,1289,3039,1289,3169,1277,3162,1273,3251,1273,3204,1245,3047,1245,3035,1243,3041,1243,3000,1224xm3162,1273l3169,1277,3176,1277,3162,1273xm3041,1243l3035,1243,3047,1245,3041,1243xm3177,1231l3041,1243,3047,1245,3204,1245,3186,1234,3182,1232,3177,1231xm2780,1227l2761,1240,2774,1239,2780,1227xm2774,1239l2761,1240,2774,1240,2774,1239xm2891,1227l2780,1227,2774,1239,2891,1227xm2889,1224l2894,1227,2900,1226,2889,1224xm4998,1185l4992,1193,4996,1190,4998,1185xm4996,1190l4992,1193,4995,1193,4996,1190xm5001,1185l4998,1185,4996,1190,5001,1185xm5132,1056l5128,1060,5130,1058,5132,1056xm5130,1058l5128,1060,5128,1060,5130,1058xm5133,1056l5132,1056,5130,1058,5133,1056xm5418,976l5264,976,5257,980,5388,1000,5398,1002,5408,997,5412,987,5418,976xm5264,976l5249,979,5257,980,5264,976xm5378,953l5371,968,5395,955,5378,953xm5610,561l5514,665,5512,666,5511,668,5510,671,5378,953,5395,955,5371,968,5421,968,5549,696,5548,696,5551,690,5553,690,5643,591,5624,579,5610,561xm5551,690l5548,696,5550,693,5551,690xm5550,693l5548,696,5549,696,5550,693xm5553,690l5551,690,5550,693,5553,690xm5733,504l5676,504,5685,512,5695,521,5695,535,5687,544,5643,591,5647,594,5673,597,5698,591,5720,575,5734,552,5738,526,5733,504xm5676,504l5662,504,5610,561,5624,579,5643,591,5687,544,5695,535,5695,521,5685,512,5676,504xm5667,461l5642,467,5620,483,5606,506,5602,532,5608,557,5610,561,5662,504,5676,504,5733,504,5732,501,5716,479,5693,465,5667,461xe" filled="true" fillcolor="#001f5f" stroked="false">
              <v:path arrowok="t"/>
              <v:fill type="solid"/>
            </v:shape>
            <w10:wrap type="topAndBottom"/>
          </v:group>
        </w:pict>
      </w:r>
    </w:p>
    <w:p>
      <w:pPr>
        <w:pStyle w:val="BodyText"/>
        <w:rPr>
          <w:b/>
        </w:rPr>
      </w:pPr>
    </w:p>
    <w:p>
      <w:pPr>
        <w:pStyle w:val="BodyText"/>
        <w:rPr>
          <w:b/>
        </w:rPr>
      </w:pPr>
    </w:p>
    <w:p>
      <w:pPr>
        <w:pStyle w:val="BodyText"/>
        <w:rPr>
          <w:b/>
        </w:rPr>
      </w:pPr>
    </w:p>
    <w:p>
      <w:pPr>
        <w:pStyle w:val="BodyText"/>
        <w:spacing w:before="10"/>
        <w:rPr>
          <w:b/>
          <w:sz w:val="20"/>
        </w:rPr>
      </w:pPr>
    </w:p>
    <w:p>
      <w:pPr>
        <w:tabs>
          <w:tab w:pos="1578" w:val="left" w:leader="none"/>
          <w:tab w:pos="2339" w:val="left" w:leader="none"/>
        </w:tabs>
        <w:spacing w:before="1"/>
        <w:ind w:left="792" w:right="0" w:firstLine="0"/>
        <w:jc w:val="left"/>
        <w:rPr>
          <w:rFonts w:ascii="Calibri"/>
          <w:sz w:val="16"/>
        </w:rPr>
      </w:pPr>
      <w:r>
        <w:rPr/>
        <w:pict>
          <v:line style="position:absolute;mso-position-horizontal-relative:page;mso-position-vertical-relative:paragraph;z-index:251983872" from="137.520004pt,5.337173pt" to="156.720004pt,5.337173pt" stroked="true" strokeweight="4.560pt" strokecolor="#5b9bd4">
            <v:stroke dashstyle="solid"/>
            <w10:wrap type="none"/>
          </v:line>
        </w:pict>
      </w:r>
      <w:r>
        <w:rPr/>
        <w:pict>
          <v:line style="position:absolute;mso-position-horizontal-relative:page;mso-position-vertical-relative:paragraph;z-index:-281334784" from="176.880005pt,5.337173pt" to="196.080005pt,5.337173pt" stroked="true" strokeweight="4.560pt" strokecolor="#ec7c30">
            <v:stroke dashstyle="solid"/>
            <w10:wrap type="none"/>
          </v:line>
        </w:pict>
      </w:r>
      <w:r>
        <w:rPr/>
        <w:pict>
          <v:shape style="position:absolute;margin-left:213.720001pt;margin-top:1.857173pt;width:23.8pt;height:6.85pt;mso-position-horizontal-relative:page;mso-position-vertical-relative:paragraph;z-index:-281333760" coordorigin="4274,37" coordsize="476,137" path="m4681,37l4655,43,4633,57,4618,79,4613,106,4618,132,4633,154,4655,169,4681,174,4708,169,4730,154,4744,132,4745,128,4694,128,4704,118,4704,93,4694,83,4745,83,4744,79,4730,57,4708,43,4681,37xm4617,83l4285,83,4274,93,4274,118,4285,128,4617,128,4613,106,4617,83xm4745,83l4694,83,4704,93,4704,118,4694,128,4745,128,4750,106,4745,83xe" filled="true" fillcolor="#001f5f" stroked="false">
            <v:path arrowok="t"/>
            <v:fill type="solid"/>
            <w10:wrap type="none"/>
          </v:shape>
        </w:pict>
      </w:r>
      <w:r>
        <w:rPr/>
        <w:pict>
          <v:shape style="position:absolute;margin-left:119.760002pt;margin-top:-31.065613pt;width:169.45pt;height:26.5pt;mso-position-horizontal-relative:page;mso-position-vertical-relative:paragraph;z-index:251987968" type="#_x0000_t202" filled="false" stroked="false">
            <v:textbox inset="0,0,0,0" style="layout-flow:vertical;mso-layout-flow-alt:bottom-to-top">
              <w:txbxContent>
                <w:p>
                  <w:pPr>
                    <w:spacing w:line="170" w:lineRule="auto" w:before="32"/>
                    <w:ind w:left="20" w:right="18" w:firstLine="33"/>
                    <w:jc w:val="right"/>
                    <w:rPr>
                      <w:rFonts w:ascii="Calibri"/>
                      <w:sz w:val="16"/>
                    </w:rPr>
                  </w:pPr>
                  <w:r>
                    <w:rPr>
                      <w:rFonts w:ascii="Calibri"/>
                      <w:color w:val="333333"/>
                      <w:sz w:val="16"/>
                    </w:rPr>
                    <w:t>ene-20 feb-20 mar-20 abr-20 may-20 jun-20 jul-20 ago-20 sep-20 oct-20 nov-20 dic-20 ene-21 feb-21 mar-21 abr-21 may-21 jun-21 jul-21 ago-21 sep-21 oct-21 nov-21 dic-21</w:t>
                  </w:r>
                </w:p>
              </w:txbxContent>
            </v:textbox>
            <w10:wrap type="none"/>
          </v:shape>
        </w:pict>
      </w:r>
      <w:r>
        <w:rPr>
          <w:rFonts w:ascii="Calibri"/>
          <w:color w:val="333333"/>
          <w:w w:val="105"/>
          <w:sz w:val="16"/>
        </w:rPr>
        <w:t>MN</w:t>
        <w:tab/>
        <w:t>ME</w:t>
        <w:tab/>
        <w:t>Total</w:t>
      </w:r>
    </w:p>
    <w:p>
      <w:pPr>
        <w:spacing w:after="0"/>
        <w:jc w:val="left"/>
        <w:rPr>
          <w:rFonts w:ascii="Calibri"/>
          <w:sz w:val="16"/>
        </w:rPr>
        <w:sectPr>
          <w:pgSz w:w="12240" w:h="15840"/>
          <w:pgMar w:header="715" w:footer="957" w:top="1240" w:bottom="1140" w:left="1140" w:right="0"/>
          <w:cols w:num="2" w:equalWidth="0">
            <w:col w:w="1107" w:space="137"/>
            <w:col w:w="9856"/>
          </w:cols>
        </w:sectPr>
      </w:pPr>
    </w:p>
    <w:p>
      <w:pPr>
        <w:pStyle w:val="BodyText"/>
        <w:spacing w:before="11"/>
        <w:rPr>
          <w:rFonts w:ascii="Calibri"/>
          <w:sz w:val="10"/>
        </w:rPr>
      </w:pPr>
    </w:p>
    <w:p>
      <w:pPr>
        <w:spacing w:before="94"/>
        <w:ind w:left="670" w:right="0" w:firstLine="0"/>
        <w:jc w:val="left"/>
        <w:rPr>
          <w:sz w:val="16"/>
        </w:rPr>
      </w:pPr>
      <w:r>
        <w:rPr>
          <w:sz w:val="16"/>
        </w:rPr>
        <w:t>Fuente: Dirección de Análisis y Política Fiscal con información del BANGUAT.</w:t>
      </w:r>
    </w:p>
    <w:p>
      <w:pPr>
        <w:spacing w:before="27"/>
        <w:ind w:left="670" w:right="0" w:firstLine="0"/>
        <w:jc w:val="left"/>
        <w:rPr>
          <w:sz w:val="16"/>
        </w:rPr>
      </w:pPr>
      <w:r>
        <w:rPr>
          <w:sz w:val="16"/>
        </w:rPr>
        <w:t>Nota: Los puntos rojos indican los puntos máximos y mínimos de cada serie. La línea roja punteada indica el eje en cero.</w:t>
      </w:r>
    </w:p>
    <w:p>
      <w:pPr>
        <w:pStyle w:val="BodyText"/>
        <w:rPr>
          <w:sz w:val="18"/>
        </w:rPr>
      </w:pPr>
    </w:p>
    <w:p>
      <w:pPr>
        <w:pStyle w:val="Heading2"/>
        <w:tabs>
          <w:tab w:pos="1838" w:val="left" w:leader="none"/>
        </w:tabs>
        <w:spacing w:before="113"/>
        <w:ind w:left="1118"/>
      </w:pPr>
      <w:bookmarkStart w:name="_bookmark53" w:id="70"/>
      <w:bookmarkEnd w:id="70"/>
      <w:r>
        <w:rPr>
          <w:b w:val="0"/>
        </w:rPr>
      </w:r>
      <w:r>
        <w:rPr/>
        <w:t>3.2.3</w:t>
        <w:tab/>
        <w:t>Tasa de interés líder de política</w:t>
      </w:r>
      <w:r>
        <w:rPr>
          <w:spacing w:val="-5"/>
        </w:rPr>
        <w:t> </w:t>
      </w:r>
      <w:r>
        <w:rPr/>
        <w:t>monetaria</w:t>
      </w:r>
    </w:p>
    <w:p>
      <w:pPr>
        <w:pStyle w:val="BodyText"/>
        <w:rPr>
          <w:b/>
          <w:sz w:val="30"/>
        </w:rPr>
      </w:pPr>
    </w:p>
    <w:p>
      <w:pPr>
        <w:pStyle w:val="BodyText"/>
        <w:spacing w:line="276" w:lineRule="auto"/>
        <w:ind w:left="562" w:right="1696"/>
        <w:jc w:val="both"/>
      </w:pPr>
      <w:r>
        <w:rPr/>
        <w:t>La tasa de interés de política monetaria mantuvo una postura acomodaticia en todo el trayecto del 2021, que se refleja en una tasa de 1.75% desde mediados del 2020, en consonancia a la tasa </w:t>
      </w:r>
      <w:r>
        <w:rPr>
          <w:spacing w:val="-3"/>
        </w:rPr>
        <w:t>de </w:t>
      </w:r>
      <w:r>
        <w:rPr/>
        <w:t>inflación</w:t>
      </w:r>
      <w:r>
        <w:rPr>
          <w:spacing w:val="-6"/>
        </w:rPr>
        <w:t> </w:t>
      </w:r>
      <w:r>
        <w:rPr/>
        <w:t>que</w:t>
      </w:r>
      <w:r>
        <w:rPr>
          <w:spacing w:val="-5"/>
        </w:rPr>
        <w:t> </w:t>
      </w:r>
      <w:r>
        <w:rPr/>
        <w:t>se</w:t>
      </w:r>
      <w:r>
        <w:rPr>
          <w:spacing w:val="-2"/>
        </w:rPr>
        <w:t> </w:t>
      </w:r>
      <w:r>
        <w:rPr/>
        <w:t>mantuvo</w:t>
      </w:r>
      <w:r>
        <w:rPr>
          <w:spacing w:val="-4"/>
        </w:rPr>
        <w:t> </w:t>
      </w:r>
      <w:r>
        <w:rPr/>
        <w:t>en</w:t>
      </w:r>
      <w:r>
        <w:rPr>
          <w:spacing w:val="-3"/>
        </w:rPr>
        <w:t> </w:t>
      </w:r>
      <w:r>
        <w:rPr/>
        <w:t>su</w:t>
      </w:r>
      <w:r>
        <w:rPr>
          <w:spacing w:val="-5"/>
        </w:rPr>
        <w:t> </w:t>
      </w:r>
      <w:r>
        <w:rPr/>
        <w:t>rango</w:t>
      </w:r>
      <w:r>
        <w:rPr>
          <w:spacing w:val="-4"/>
        </w:rPr>
        <w:t> </w:t>
      </w:r>
      <w:r>
        <w:rPr/>
        <w:t>de</w:t>
      </w:r>
      <w:r>
        <w:rPr>
          <w:spacing w:val="-5"/>
        </w:rPr>
        <w:t> </w:t>
      </w:r>
      <w:r>
        <w:rPr/>
        <w:t>4.0%</w:t>
      </w:r>
      <w:r>
        <w:rPr>
          <w:spacing w:val="-4"/>
        </w:rPr>
        <w:t> </w:t>
      </w:r>
      <w:r>
        <w:rPr/>
        <w:t>+/-</w:t>
      </w:r>
      <w:r>
        <w:rPr>
          <w:spacing w:val="-8"/>
        </w:rPr>
        <w:t> </w:t>
      </w:r>
      <w:r>
        <w:rPr/>
        <w:t>1%</w:t>
      </w:r>
      <w:r>
        <w:rPr>
          <w:spacing w:val="-4"/>
        </w:rPr>
        <w:t> </w:t>
      </w:r>
      <w:r>
        <w:rPr/>
        <w:t>la</w:t>
      </w:r>
      <w:r>
        <w:rPr>
          <w:spacing w:val="-2"/>
        </w:rPr>
        <w:t> </w:t>
      </w:r>
      <w:r>
        <w:rPr/>
        <w:t>mayor</w:t>
      </w:r>
      <w:r>
        <w:rPr>
          <w:spacing w:val="-3"/>
        </w:rPr>
        <w:t> </w:t>
      </w:r>
      <w:r>
        <w:rPr/>
        <w:t>parte</w:t>
      </w:r>
      <w:r>
        <w:rPr>
          <w:spacing w:val="-5"/>
        </w:rPr>
        <w:t> </w:t>
      </w:r>
      <w:r>
        <w:rPr/>
        <w:t>del</w:t>
      </w:r>
      <w:r>
        <w:rPr>
          <w:spacing w:val="-2"/>
        </w:rPr>
        <w:t> </w:t>
      </w:r>
      <w:r>
        <w:rPr/>
        <w:t>año,</w:t>
      </w:r>
      <w:r>
        <w:rPr>
          <w:spacing w:val="-4"/>
        </w:rPr>
        <w:t> </w:t>
      </w:r>
      <w:r>
        <w:rPr/>
        <w:t>registrando</w:t>
      </w:r>
      <w:r>
        <w:rPr>
          <w:spacing w:val="-3"/>
        </w:rPr>
        <w:t> </w:t>
      </w:r>
      <w:r>
        <w:rPr/>
        <w:t>un</w:t>
      </w:r>
      <w:r>
        <w:rPr>
          <w:spacing w:val="-5"/>
        </w:rPr>
        <w:t> </w:t>
      </w:r>
      <w:r>
        <w:rPr/>
        <w:t>valor</w:t>
      </w:r>
      <w:r>
        <w:rPr>
          <w:spacing w:val="-5"/>
        </w:rPr>
        <w:t> </w:t>
      </w:r>
      <w:r>
        <w:rPr/>
        <w:t>de 3.07%</w:t>
      </w:r>
      <w:r>
        <w:rPr>
          <w:spacing w:val="-3"/>
        </w:rPr>
        <w:t> </w:t>
      </w:r>
      <w:r>
        <w:rPr/>
        <w:t>al</w:t>
      </w:r>
      <w:r>
        <w:rPr>
          <w:spacing w:val="-3"/>
        </w:rPr>
        <w:t> </w:t>
      </w:r>
      <w:r>
        <w:rPr/>
        <w:t>finalizar</w:t>
      </w:r>
      <w:r>
        <w:rPr>
          <w:spacing w:val="-3"/>
        </w:rPr>
        <w:t> </w:t>
      </w:r>
      <w:r>
        <w:rPr/>
        <w:t>2021,</w:t>
      </w:r>
      <w:r>
        <w:rPr>
          <w:spacing w:val="-4"/>
        </w:rPr>
        <w:t> </w:t>
      </w:r>
      <w:r>
        <w:rPr/>
        <w:t>a</w:t>
      </w:r>
      <w:r>
        <w:rPr>
          <w:spacing w:val="-3"/>
        </w:rPr>
        <w:t> </w:t>
      </w:r>
      <w:r>
        <w:rPr/>
        <w:t>excepción</w:t>
      </w:r>
      <w:r>
        <w:rPr>
          <w:spacing w:val="-3"/>
        </w:rPr>
        <w:t> </w:t>
      </w:r>
      <w:r>
        <w:rPr/>
        <w:t>de</w:t>
      </w:r>
      <w:r>
        <w:rPr>
          <w:spacing w:val="-6"/>
        </w:rPr>
        <w:t> </w:t>
      </w:r>
      <w:r>
        <w:rPr/>
        <w:t>la</w:t>
      </w:r>
      <w:r>
        <w:rPr>
          <w:spacing w:val="-3"/>
        </w:rPr>
        <w:t> </w:t>
      </w:r>
      <w:r>
        <w:rPr/>
        <w:t>aceleración</w:t>
      </w:r>
      <w:r>
        <w:rPr>
          <w:spacing w:val="-4"/>
        </w:rPr>
        <w:t> </w:t>
      </w:r>
      <w:r>
        <w:rPr/>
        <w:t>que</w:t>
      </w:r>
      <w:r>
        <w:rPr>
          <w:spacing w:val="-3"/>
        </w:rPr>
        <w:t> </w:t>
      </w:r>
      <w:r>
        <w:rPr/>
        <w:t>tuvo</w:t>
      </w:r>
      <w:r>
        <w:rPr>
          <w:spacing w:val="-4"/>
        </w:rPr>
        <w:t> </w:t>
      </w:r>
      <w:r>
        <w:rPr/>
        <w:t>de</w:t>
      </w:r>
      <w:r>
        <w:rPr>
          <w:spacing w:val="-2"/>
        </w:rPr>
        <w:t> </w:t>
      </w:r>
      <w:r>
        <w:rPr/>
        <w:t>febrero</w:t>
      </w:r>
      <w:r>
        <w:rPr>
          <w:spacing w:val="-4"/>
        </w:rPr>
        <w:t> </w:t>
      </w:r>
      <w:r>
        <w:rPr/>
        <w:t>a</w:t>
      </w:r>
      <w:r>
        <w:rPr>
          <w:spacing w:val="-3"/>
        </w:rPr>
        <w:t> </w:t>
      </w:r>
      <w:r>
        <w:rPr/>
        <w:t>mayo</w:t>
      </w:r>
      <w:r>
        <w:rPr>
          <w:spacing w:val="-2"/>
        </w:rPr>
        <w:t> </w:t>
      </w:r>
      <w:r>
        <w:rPr/>
        <w:t>que</w:t>
      </w:r>
      <w:r>
        <w:rPr>
          <w:spacing w:val="-3"/>
        </w:rPr>
        <w:t> </w:t>
      </w:r>
      <w:r>
        <w:rPr/>
        <w:t>se</w:t>
      </w:r>
      <w:r>
        <w:rPr>
          <w:spacing w:val="-2"/>
        </w:rPr>
        <w:t> </w:t>
      </w:r>
      <w:r>
        <w:rPr/>
        <w:t>debió</w:t>
      </w:r>
      <w:r>
        <w:rPr>
          <w:spacing w:val="-4"/>
        </w:rPr>
        <w:t> </w:t>
      </w:r>
      <w:r>
        <w:rPr/>
        <w:t>entre otros aspectos a un efecto aritmético, ya que en dichos meses de 2020 se tuvo niveles bajos por el efecto</w:t>
      </w:r>
      <w:r>
        <w:rPr>
          <w:spacing w:val="-1"/>
        </w:rPr>
        <w:t> </w:t>
      </w:r>
      <w:r>
        <w:rPr/>
        <w:t>COVID-19.</w:t>
      </w:r>
    </w:p>
    <w:p>
      <w:pPr>
        <w:pStyle w:val="BodyText"/>
        <w:spacing w:before="5"/>
        <w:rPr>
          <w:sz w:val="25"/>
        </w:rPr>
      </w:pPr>
    </w:p>
    <w:p>
      <w:pPr>
        <w:pStyle w:val="BodyText"/>
        <w:spacing w:line="276" w:lineRule="auto"/>
        <w:ind w:left="562" w:right="1695"/>
        <w:jc w:val="both"/>
      </w:pPr>
      <w:r>
        <w:rPr/>
        <w:t>Varios elementos fueron relevantes a nivel económico en el 2021 que dieron paso a un manejo conservador de la política monetaria, por un lado, el dinamismo del crecimiento de la actividad económica a nivel nacional e internacional, fruto de la liberación de las restricciones para las diferentes actividades económicas. Asimismo, en dicho año se originó la crisis de transporte de contenedores derivado de la escasez de espacios para exportar productos desde Asia por medio de embarcaciones, esto conllevó a la vez un alza de los precios por traslado de productos. El cierre de puertos marítimos en el mundo por disposiciones sanitarias ocasionó que los contenedores hayan quedado varados en Europa y América, el efecto que esto creó en varios países fue el incremento de precios a nivel general en los productos importados; por otro lado, el precio del petróleo se recuperó después</w:t>
      </w:r>
      <w:r>
        <w:rPr>
          <w:spacing w:val="-4"/>
        </w:rPr>
        <w:t> </w:t>
      </w:r>
      <w:r>
        <w:rPr/>
        <w:t>de</w:t>
      </w:r>
      <w:r>
        <w:rPr>
          <w:spacing w:val="-3"/>
        </w:rPr>
        <w:t> </w:t>
      </w:r>
      <w:r>
        <w:rPr/>
        <w:t>que</w:t>
      </w:r>
      <w:r>
        <w:rPr>
          <w:spacing w:val="-3"/>
        </w:rPr>
        <w:t> </w:t>
      </w:r>
      <w:r>
        <w:rPr/>
        <w:t>en</w:t>
      </w:r>
      <w:r>
        <w:rPr>
          <w:spacing w:val="-4"/>
        </w:rPr>
        <w:t> </w:t>
      </w:r>
      <w:r>
        <w:rPr/>
        <w:t>el</w:t>
      </w:r>
      <w:r>
        <w:rPr>
          <w:spacing w:val="-3"/>
        </w:rPr>
        <w:t> </w:t>
      </w:r>
      <w:r>
        <w:rPr/>
        <w:t>año</w:t>
      </w:r>
      <w:r>
        <w:rPr>
          <w:spacing w:val="-5"/>
        </w:rPr>
        <w:t> </w:t>
      </w:r>
      <w:r>
        <w:rPr/>
        <w:t>anterior</w:t>
      </w:r>
      <w:r>
        <w:rPr>
          <w:spacing w:val="-5"/>
        </w:rPr>
        <w:t> </w:t>
      </w:r>
      <w:r>
        <w:rPr/>
        <w:t>había</w:t>
      </w:r>
      <w:r>
        <w:rPr>
          <w:spacing w:val="-6"/>
        </w:rPr>
        <w:t> </w:t>
      </w:r>
      <w:r>
        <w:rPr/>
        <w:t>caído</w:t>
      </w:r>
      <w:r>
        <w:rPr>
          <w:spacing w:val="-6"/>
        </w:rPr>
        <w:t> </w:t>
      </w:r>
      <w:r>
        <w:rPr/>
        <w:t>a</w:t>
      </w:r>
      <w:r>
        <w:rPr>
          <w:spacing w:val="-4"/>
        </w:rPr>
        <w:t> </w:t>
      </w:r>
      <w:r>
        <w:rPr/>
        <w:t>un</w:t>
      </w:r>
      <w:r>
        <w:rPr>
          <w:spacing w:val="-4"/>
        </w:rPr>
        <w:t> </w:t>
      </w:r>
      <w:r>
        <w:rPr/>
        <w:t>nivel</w:t>
      </w:r>
      <w:r>
        <w:rPr>
          <w:spacing w:val="-5"/>
        </w:rPr>
        <w:t> </w:t>
      </w:r>
      <w:r>
        <w:rPr/>
        <w:t>muy</w:t>
      </w:r>
      <w:r>
        <w:rPr>
          <w:spacing w:val="-6"/>
        </w:rPr>
        <w:t> </w:t>
      </w:r>
      <w:r>
        <w:rPr/>
        <w:t>bajo.</w:t>
      </w:r>
      <w:r>
        <w:rPr>
          <w:spacing w:val="-4"/>
        </w:rPr>
        <w:t> </w:t>
      </w:r>
      <w:r>
        <w:rPr/>
        <w:t>Sin</w:t>
      </w:r>
      <w:r>
        <w:rPr>
          <w:spacing w:val="-6"/>
        </w:rPr>
        <w:t> </w:t>
      </w:r>
      <w:r>
        <w:rPr/>
        <w:t>embargo,</w:t>
      </w:r>
      <w:r>
        <w:rPr>
          <w:spacing w:val="-4"/>
        </w:rPr>
        <w:t> </w:t>
      </w:r>
      <w:r>
        <w:rPr/>
        <w:t>Guatemala</w:t>
      </w:r>
      <w:r>
        <w:rPr>
          <w:spacing w:val="-6"/>
        </w:rPr>
        <w:t> </w:t>
      </w:r>
      <w:r>
        <w:rPr/>
        <w:t>tuvo</w:t>
      </w:r>
      <w:r>
        <w:rPr>
          <w:spacing w:val="-4"/>
        </w:rPr>
        <w:t> </w:t>
      </w:r>
      <w:r>
        <w:rPr/>
        <w:t>una resiliencia ante dichos eventos ya que el índice de precios al consumidor reflejó únicamente alzas leves</w:t>
      </w:r>
      <w:r>
        <w:rPr>
          <w:spacing w:val="-4"/>
        </w:rPr>
        <w:t> </w:t>
      </w:r>
      <w:r>
        <w:rPr/>
        <w:t>durante</w:t>
      </w:r>
      <w:r>
        <w:rPr>
          <w:spacing w:val="-3"/>
        </w:rPr>
        <w:t> </w:t>
      </w:r>
      <w:r>
        <w:rPr/>
        <w:t>dicho</w:t>
      </w:r>
      <w:r>
        <w:rPr>
          <w:spacing w:val="-3"/>
        </w:rPr>
        <w:t> </w:t>
      </w:r>
      <w:r>
        <w:rPr/>
        <w:t>periodo,</w:t>
      </w:r>
      <w:r>
        <w:rPr>
          <w:spacing w:val="-5"/>
        </w:rPr>
        <w:t> </w:t>
      </w:r>
      <w:r>
        <w:rPr/>
        <w:t>por</w:t>
      </w:r>
      <w:r>
        <w:rPr>
          <w:spacing w:val="-3"/>
        </w:rPr>
        <w:t> </w:t>
      </w:r>
      <w:r>
        <w:rPr/>
        <w:t>lo</w:t>
      </w:r>
      <w:r>
        <w:rPr>
          <w:spacing w:val="-4"/>
        </w:rPr>
        <w:t> </w:t>
      </w:r>
      <w:r>
        <w:rPr/>
        <w:t>que</w:t>
      </w:r>
      <w:r>
        <w:rPr>
          <w:spacing w:val="-4"/>
        </w:rPr>
        <w:t> </w:t>
      </w:r>
      <w:r>
        <w:rPr/>
        <w:t>el</w:t>
      </w:r>
      <w:r>
        <w:rPr>
          <w:spacing w:val="-3"/>
        </w:rPr>
        <w:t> </w:t>
      </w:r>
      <w:r>
        <w:rPr/>
        <w:t>efecto</w:t>
      </w:r>
      <w:r>
        <w:rPr>
          <w:spacing w:val="-4"/>
        </w:rPr>
        <w:t> </w:t>
      </w:r>
      <w:r>
        <w:rPr/>
        <w:t>neto</w:t>
      </w:r>
      <w:r>
        <w:rPr>
          <w:spacing w:val="-5"/>
        </w:rPr>
        <w:t> </w:t>
      </w:r>
      <w:r>
        <w:rPr/>
        <w:t>del</w:t>
      </w:r>
      <w:r>
        <w:rPr>
          <w:spacing w:val="-3"/>
        </w:rPr>
        <w:t> </w:t>
      </w:r>
      <w:r>
        <w:rPr/>
        <w:t>comportamiento</w:t>
      </w:r>
      <w:r>
        <w:rPr>
          <w:spacing w:val="-4"/>
        </w:rPr>
        <w:t> </w:t>
      </w:r>
      <w:r>
        <w:rPr/>
        <w:t>de</w:t>
      </w:r>
      <w:r>
        <w:rPr>
          <w:spacing w:val="-6"/>
        </w:rPr>
        <w:t> </w:t>
      </w:r>
      <w:r>
        <w:rPr/>
        <w:t>la</w:t>
      </w:r>
      <w:r>
        <w:rPr>
          <w:spacing w:val="-4"/>
        </w:rPr>
        <w:t> </w:t>
      </w:r>
      <w:r>
        <w:rPr/>
        <w:t>división</w:t>
      </w:r>
      <w:r>
        <w:rPr>
          <w:spacing w:val="-4"/>
        </w:rPr>
        <w:t> </w:t>
      </w:r>
      <w:r>
        <w:rPr/>
        <w:t>de</w:t>
      </w:r>
      <w:r>
        <w:rPr>
          <w:spacing w:val="-3"/>
        </w:rPr>
        <w:t> </w:t>
      </w:r>
      <w:r>
        <w:rPr/>
        <w:t>gastos</w:t>
      </w:r>
      <w:r>
        <w:rPr>
          <w:spacing w:val="-4"/>
        </w:rPr>
        <w:t> </w:t>
      </w:r>
      <w:r>
        <w:rPr/>
        <w:t>ha sido moderado en comparación al rubro de alimentos el cual mostró un mayor</w:t>
      </w:r>
      <w:r>
        <w:rPr>
          <w:spacing w:val="-13"/>
        </w:rPr>
        <w:t> </w:t>
      </w:r>
      <w:r>
        <w:rPr/>
        <w:t>aumento.</w:t>
      </w:r>
    </w:p>
    <w:p>
      <w:pPr>
        <w:spacing w:after="0" w:line="276" w:lineRule="auto"/>
        <w:jc w:val="both"/>
        <w:sectPr>
          <w:type w:val="continuous"/>
          <w:pgSz w:w="12240" w:h="15840"/>
          <w:pgMar w:top="1500" w:bottom="280" w:left="1140" w:right="0"/>
        </w:sectPr>
      </w:pPr>
    </w:p>
    <w:p>
      <w:pPr>
        <w:pStyle w:val="Heading2"/>
        <w:numPr>
          <w:ilvl w:val="1"/>
          <w:numId w:val="11"/>
        </w:numPr>
        <w:tabs>
          <w:tab w:pos="1330" w:val="left" w:leader="none"/>
        </w:tabs>
        <w:spacing w:line="240" w:lineRule="auto" w:before="167" w:after="0"/>
        <w:ind w:left="1330" w:right="0" w:hanging="420"/>
        <w:jc w:val="left"/>
      </w:pPr>
      <w:bookmarkStart w:name="_bookmark54" w:id="71"/>
      <w:bookmarkEnd w:id="71"/>
      <w:r>
        <w:rPr/>
        <w:t>S</w:t>
      </w:r>
      <w:r>
        <w:rPr/>
        <w:t>ector externo</w:t>
      </w:r>
      <w:r>
        <w:rPr>
          <w:spacing w:val="-2"/>
        </w:rPr>
        <w:t> </w:t>
      </w:r>
      <w:r>
        <w:rPr/>
        <w:t>2021</w:t>
      </w:r>
    </w:p>
    <w:p>
      <w:pPr>
        <w:pStyle w:val="BodyText"/>
        <w:spacing w:before="1"/>
        <w:rPr>
          <w:b/>
          <w:sz w:val="30"/>
        </w:rPr>
      </w:pPr>
    </w:p>
    <w:p>
      <w:pPr>
        <w:pStyle w:val="BodyText"/>
        <w:spacing w:line="276" w:lineRule="auto"/>
        <w:ind w:left="562" w:right="1697"/>
        <w:jc w:val="both"/>
      </w:pPr>
      <w:r>
        <w:rPr/>
        <w:t>El</w:t>
      </w:r>
      <w:r>
        <w:rPr>
          <w:spacing w:val="-4"/>
        </w:rPr>
        <w:t> </w:t>
      </w:r>
      <w:r>
        <w:rPr/>
        <w:t>sector</w:t>
      </w:r>
      <w:r>
        <w:rPr>
          <w:spacing w:val="-6"/>
        </w:rPr>
        <w:t> </w:t>
      </w:r>
      <w:r>
        <w:rPr/>
        <w:t>externo</w:t>
      </w:r>
      <w:r>
        <w:rPr>
          <w:spacing w:val="-7"/>
        </w:rPr>
        <w:t> </w:t>
      </w:r>
      <w:r>
        <w:rPr/>
        <w:t>de</w:t>
      </w:r>
      <w:r>
        <w:rPr>
          <w:spacing w:val="-6"/>
        </w:rPr>
        <w:t> </w:t>
      </w:r>
      <w:r>
        <w:rPr/>
        <w:t>la</w:t>
      </w:r>
      <w:r>
        <w:rPr>
          <w:spacing w:val="-7"/>
        </w:rPr>
        <w:t> </w:t>
      </w:r>
      <w:r>
        <w:rPr/>
        <w:t>economía</w:t>
      </w:r>
      <w:r>
        <w:rPr>
          <w:spacing w:val="-4"/>
        </w:rPr>
        <w:t> </w:t>
      </w:r>
      <w:r>
        <w:rPr/>
        <w:t>nacional</w:t>
      </w:r>
      <w:r>
        <w:rPr>
          <w:spacing w:val="-4"/>
        </w:rPr>
        <w:t> </w:t>
      </w:r>
      <w:r>
        <w:rPr/>
        <w:t>presentó</w:t>
      </w:r>
      <w:r>
        <w:rPr>
          <w:spacing w:val="-4"/>
        </w:rPr>
        <w:t> </w:t>
      </w:r>
      <w:r>
        <w:rPr/>
        <w:t>una</w:t>
      </w:r>
      <w:r>
        <w:rPr>
          <w:spacing w:val="-7"/>
        </w:rPr>
        <w:t> </w:t>
      </w:r>
      <w:r>
        <w:rPr/>
        <w:t>fuerte</w:t>
      </w:r>
      <w:r>
        <w:rPr>
          <w:spacing w:val="-7"/>
        </w:rPr>
        <w:t> </w:t>
      </w:r>
      <w:r>
        <w:rPr/>
        <w:t>recuperación</w:t>
      </w:r>
      <w:r>
        <w:rPr>
          <w:spacing w:val="-6"/>
        </w:rPr>
        <w:t> </w:t>
      </w:r>
      <w:r>
        <w:rPr/>
        <w:t>en</w:t>
      </w:r>
      <w:r>
        <w:rPr>
          <w:spacing w:val="-7"/>
        </w:rPr>
        <w:t> </w:t>
      </w:r>
      <w:r>
        <w:rPr/>
        <w:t>el</w:t>
      </w:r>
      <w:r>
        <w:rPr>
          <w:spacing w:val="-6"/>
        </w:rPr>
        <w:t> </w:t>
      </w:r>
      <w:r>
        <w:rPr/>
        <w:t>2021</w:t>
      </w:r>
      <w:r>
        <w:rPr>
          <w:spacing w:val="-5"/>
        </w:rPr>
        <w:t> </w:t>
      </w:r>
      <w:r>
        <w:rPr/>
        <w:t>después</w:t>
      </w:r>
      <w:r>
        <w:rPr>
          <w:spacing w:val="-3"/>
        </w:rPr>
        <w:t> </w:t>
      </w:r>
      <w:r>
        <w:rPr/>
        <w:t>de</w:t>
      </w:r>
      <w:r>
        <w:rPr>
          <w:spacing w:val="-7"/>
        </w:rPr>
        <w:t> </w:t>
      </w:r>
      <w:r>
        <w:rPr/>
        <w:t>las distorsiones</w:t>
      </w:r>
      <w:r>
        <w:rPr>
          <w:spacing w:val="-9"/>
        </w:rPr>
        <w:t> </w:t>
      </w:r>
      <w:r>
        <w:rPr/>
        <w:t>ocasionadas</w:t>
      </w:r>
      <w:r>
        <w:rPr>
          <w:spacing w:val="-9"/>
        </w:rPr>
        <w:t> </w:t>
      </w:r>
      <w:r>
        <w:rPr/>
        <w:t>por</w:t>
      </w:r>
      <w:r>
        <w:rPr>
          <w:spacing w:val="-8"/>
        </w:rPr>
        <w:t> </w:t>
      </w:r>
      <w:r>
        <w:rPr/>
        <w:t>la</w:t>
      </w:r>
      <w:r>
        <w:rPr>
          <w:spacing w:val="-9"/>
        </w:rPr>
        <w:t> </w:t>
      </w:r>
      <w:r>
        <w:rPr/>
        <w:t>pandemia</w:t>
      </w:r>
      <w:r>
        <w:rPr>
          <w:spacing w:val="-9"/>
        </w:rPr>
        <w:t> </w:t>
      </w:r>
      <w:r>
        <w:rPr/>
        <w:t>Covid-19.</w:t>
      </w:r>
      <w:r>
        <w:rPr>
          <w:spacing w:val="-9"/>
        </w:rPr>
        <w:t> </w:t>
      </w:r>
      <w:r>
        <w:rPr/>
        <w:t>Las</w:t>
      </w:r>
      <w:r>
        <w:rPr>
          <w:spacing w:val="-9"/>
        </w:rPr>
        <w:t> </w:t>
      </w:r>
      <w:r>
        <w:rPr/>
        <w:t>importaciones</w:t>
      </w:r>
      <w:r>
        <w:rPr>
          <w:spacing w:val="-8"/>
        </w:rPr>
        <w:t> </w:t>
      </w:r>
      <w:r>
        <w:rPr/>
        <w:t>mostraron</w:t>
      </w:r>
      <w:r>
        <w:rPr>
          <w:spacing w:val="-10"/>
        </w:rPr>
        <w:t> </w:t>
      </w:r>
      <w:r>
        <w:rPr/>
        <w:t>un</w:t>
      </w:r>
      <w:r>
        <w:rPr>
          <w:spacing w:val="-10"/>
        </w:rPr>
        <w:t> </w:t>
      </w:r>
      <w:r>
        <w:rPr/>
        <w:t>alto</w:t>
      </w:r>
      <w:r>
        <w:rPr>
          <w:spacing w:val="-9"/>
        </w:rPr>
        <w:t> </w:t>
      </w:r>
      <w:r>
        <w:rPr/>
        <w:t>incremento debido</w:t>
      </w:r>
      <w:r>
        <w:rPr>
          <w:spacing w:val="-17"/>
        </w:rPr>
        <w:t> </w:t>
      </w:r>
      <w:r>
        <w:rPr/>
        <w:t>a</w:t>
      </w:r>
      <w:r>
        <w:rPr>
          <w:spacing w:val="-13"/>
        </w:rPr>
        <w:t> </w:t>
      </w:r>
      <w:r>
        <w:rPr/>
        <w:t>la</w:t>
      </w:r>
      <w:r>
        <w:rPr>
          <w:spacing w:val="-14"/>
        </w:rPr>
        <w:t> </w:t>
      </w:r>
      <w:r>
        <w:rPr/>
        <w:t>normalización</w:t>
      </w:r>
      <w:r>
        <w:rPr>
          <w:spacing w:val="-16"/>
        </w:rPr>
        <w:t> </w:t>
      </w:r>
      <w:r>
        <w:rPr/>
        <w:t>de</w:t>
      </w:r>
      <w:r>
        <w:rPr>
          <w:spacing w:val="-13"/>
        </w:rPr>
        <w:t> </w:t>
      </w:r>
      <w:r>
        <w:rPr/>
        <w:t>la</w:t>
      </w:r>
      <w:r>
        <w:rPr>
          <w:spacing w:val="-14"/>
        </w:rPr>
        <w:t> </w:t>
      </w:r>
      <w:r>
        <w:rPr/>
        <w:t>demanda</w:t>
      </w:r>
      <w:r>
        <w:rPr>
          <w:spacing w:val="-13"/>
        </w:rPr>
        <w:t> </w:t>
      </w:r>
      <w:r>
        <w:rPr/>
        <w:t>interna</w:t>
      </w:r>
      <w:r>
        <w:rPr>
          <w:spacing w:val="-13"/>
        </w:rPr>
        <w:t> </w:t>
      </w:r>
      <w:r>
        <w:rPr/>
        <w:t>y</w:t>
      </w:r>
      <w:r>
        <w:rPr>
          <w:spacing w:val="-17"/>
        </w:rPr>
        <w:t> </w:t>
      </w:r>
      <w:r>
        <w:rPr/>
        <w:t>por</w:t>
      </w:r>
      <w:r>
        <w:rPr>
          <w:spacing w:val="-13"/>
        </w:rPr>
        <w:t> </w:t>
      </w:r>
      <w:r>
        <w:rPr/>
        <w:t>el</w:t>
      </w:r>
      <w:r>
        <w:rPr>
          <w:spacing w:val="-12"/>
        </w:rPr>
        <w:t> </w:t>
      </w:r>
      <w:r>
        <w:rPr/>
        <w:t>incremento</w:t>
      </w:r>
      <w:r>
        <w:rPr>
          <w:spacing w:val="-14"/>
        </w:rPr>
        <w:t> </w:t>
      </w:r>
      <w:r>
        <w:rPr/>
        <w:t>de</w:t>
      </w:r>
      <w:r>
        <w:rPr>
          <w:spacing w:val="-13"/>
        </w:rPr>
        <w:t> </w:t>
      </w:r>
      <w:r>
        <w:rPr/>
        <w:t>los</w:t>
      </w:r>
      <w:r>
        <w:rPr>
          <w:spacing w:val="-14"/>
        </w:rPr>
        <w:t> </w:t>
      </w:r>
      <w:r>
        <w:rPr/>
        <w:t>precios</w:t>
      </w:r>
      <w:r>
        <w:rPr>
          <w:spacing w:val="-15"/>
        </w:rPr>
        <w:t> </w:t>
      </w:r>
      <w:r>
        <w:rPr/>
        <w:t>de</w:t>
      </w:r>
      <w:r>
        <w:rPr>
          <w:spacing w:val="-13"/>
        </w:rPr>
        <w:t> </w:t>
      </w:r>
      <w:r>
        <w:rPr/>
        <w:t>estos</w:t>
      </w:r>
      <w:r>
        <w:rPr>
          <w:spacing w:val="-14"/>
        </w:rPr>
        <w:t> </w:t>
      </w:r>
      <w:r>
        <w:rPr/>
        <w:t>productos, principalmente los combustibles. Las exportaciones también mostraron un crecimiento alto debido a la relajación de restricciones de los principales socios comerciales y el aumento de precios de la mayoría de </w:t>
      </w:r>
      <w:r>
        <w:rPr>
          <w:i/>
        </w:rPr>
        <w:t>commodities</w:t>
      </w:r>
      <w:r>
        <w:rPr/>
        <w:t>. Las remesas familiares mostraron un extraordinario dinamismo que compensó nuevamente los déficits de la cuenta corriente. Asimismo, el constante aumento en los activos, en los que destacan las reservas monetarias internacionales, y la disminución leve de los pasivos han mejorado y fortalecido la posición de inversión internacional</w:t>
      </w:r>
      <w:r>
        <w:rPr>
          <w:spacing w:val="-13"/>
        </w:rPr>
        <w:t> </w:t>
      </w:r>
      <w:r>
        <w:rPr/>
        <w:t>neta.</w:t>
      </w:r>
    </w:p>
    <w:p>
      <w:pPr>
        <w:pStyle w:val="BodyText"/>
        <w:spacing w:before="8"/>
        <w:rPr>
          <w:sz w:val="25"/>
        </w:rPr>
      </w:pPr>
    </w:p>
    <w:p>
      <w:pPr>
        <w:pStyle w:val="Heading2"/>
        <w:numPr>
          <w:ilvl w:val="2"/>
          <w:numId w:val="11"/>
        </w:numPr>
        <w:tabs>
          <w:tab w:pos="2121" w:val="left" w:leader="none"/>
          <w:tab w:pos="2122" w:val="left" w:leader="none"/>
        </w:tabs>
        <w:spacing w:line="240" w:lineRule="auto" w:before="0" w:after="0"/>
        <w:ind w:left="2122" w:right="0" w:hanging="720"/>
        <w:jc w:val="left"/>
      </w:pPr>
      <w:bookmarkStart w:name="_bookmark55" w:id="72"/>
      <w:bookmarkEnd w:id="72"/>
      <w:r>
        <w:rPr>
          <w:b w:val="0"/>
        </w:rPr>
      </w:r>
      <w:bookmarkStart w:name="_bookmark55" w:id="73"/>
      <w:bookmarkEnd w:id="73"/>
      <w:r>
        <w:rPr/>
        <w:t>Bala</w:t>
      </w:r>
      <w:r>
        <w:rPr/>
        <w:t>nza de</w:t>
      </w:r>
      <w:r>
        <w:rPr>
          <w:spacing w:val="-1"/>
        </w:rPr>
        <w:t> </w:t>
      </w:r>
      <w:r>
        <w:rPr/>
        <w:t>pagos</w:t>
      </w:r>
    </w:p>
    <w:p>
      <w:pPr>
        <w:pStyle w:val="BodyText"/>
        <w:spacing w:before="1"/>
        <w:rPr>
          <w:b/>
          <w:sz w:val="30"/>
        </w:rPr>
      </w:pPr>
    </w:p>
    <w:p>
      <w:pPr>
        <w:pStyle w:val="BodyText"/>
        <w:spacing w:line="276" w:lineRule="auto"/>
        <w:ind w:left="562" w:right="1695"/>
        <w:jc w:val="both"/>
      </w:pPr>
      <w:r>
        <w:rPr/>
        <w:t>En</w:t>
      </w:r>
      <w:r>
        <w:rPr>
          <w:spacing w:val="-7"/>
        </w:rPr>
        <w:t> </w:t>
      </w:r>
      <w:r>
        <w:rPr/>
        <w:t>el</w:t>
      </w:r>
      <w:r>
        <w:rPr>
          <w:spacing w:val="-7"/>
        </w:rPr>
        <w:t> </w:t>
      </w:r>
      <w:r>
        <w:rPr/>
        <w:t>2021</w:t>
      </w:r>
      <w:r>
        <w:rPr>
          <w:spacing w:val="-8"/>
        </w:rPr>
        <w:t> </w:t>
      </w:r>
      <w:r>
        <w:rPr/>
        <w:t>saldo</w:t>
      </w:r>
      <w:r>
        <w:rPr>
          <w:spacing w:val="-9"/>
        </w:rPr>
        <w:t> </w:t>
      </w:r>
      <w:r>
        <w:rPr/>
        <w:t>de</w:t>
      </w:r>
      <w:r>
        <w:rPr>
          <w:spacing w:val="-8"/>
        </w:rPr>
        <w:t> </w:t>
      </w:r>
      <w:r>
        <w:rPr/>
        <w:t>la</w:t>
      </w:r>
      <w:r>
        <w:rPr>
          <w:spacing w:val="-8"/>
        </w:rPr>
        <w:t> </w:t>
      </w:r>
      <w:r>
        <w:rPr/>
        <w:t>cuenta</w:t>
      </w:r>
      <w:r>
        <w:rPr>
          <w:spacing w:val="-6"/>
        </w:rPr>
        <w:t> </w:t>
      </w:r>
      <w:r>
        <w:rPr/>
        <w:t>corriente</w:t>
      </w:r>
      <w:r>
        <w:rPr>
          <w:spacing w:val="-8"/>
        </w:rPr>
        <w:t> </w:t>
      </w:r>
      <w:r>
        <w:rPr/>
        <w:t>fue</w:t>
      </w:r>
      <w:r>
        <w:rPr>
          <w:spacing w:val="-7"/>
        </w:rPr>
        <w:t> </w:t>
      </w:r>
      <w:r>
        <w:rPr/>
        <w:t>superavitario</w:t>
      </w:r>
      <w:r>
        <w:rPr>
          <w:spacing w:val="-6"/>
        </w:rPr>
        <w:t> </w:t>
      </w:r>
      <w:r>
        <w:rPr/>
        <w:t>por</w:t>
      </w:r>
      <w:r>
        <w:rPr>
          <w:spacing w:val="-8"/>
        </w:rPr>
        <w:t> </w:t>
      </w:r>
      <w:r>
        <w:rPr/>
        <w:t>US$2,177.3</w:t>
      </w:r>
      <w:r>
        <w:rPr>
          <w:spacing w:val="-6"/>
        </w:rPr>
        <w:t> </w:t>
      </w:r>
      <w:r>
        <w:rPr/>
        <w:t>millones</w:t>
      </w:r>
      <w:r>
        <w:rPr>
          <w:spacing w:val="-10"/>
        </w:rPr>
        <w:t> </w:t>
      </w:r>
      <w:r>
        <w:rPr/>
        <w:t>y</w:t>
      </w:r>
      <w:r>
        <w:rPr>
          <w:spacing w:val="-9"/>
        </w:rPr>
        <w:t> </w:t>
      </w:r>
      <w:r>
        <w:rPr/>
        <w:t>representó</w:t>
      </w:r>
      <w:r>
        <w:rPr>
          <w:spacing w:val="43"/>
        </w:rPr>
        <w:t> </w:t>
      </w:r>
      <w:r>
        <w:rPr/>
        <w:t>2.5% del PIB en dicho año. No obstante, el saldo de la balanza comercial fue deficitario por US$12,228.6 millones en ese año, mostrando un déficit mayor que el de los años previos, lo cual se explica por la recuperación en el volumen de las importaciones dada la normalización de la demanda interna y del aumento de los precios de estos productos en los que destaca el precio de los</w:t>
      </w:r>
      <w:r>
        <w:rPr>
          <w:spacing w:val="-16"/>
        </w:rPr>
        <w:t> </w:t>
      </w:r>
      <w:r>
        <w:rPr/>
        <w:t>combustibles.</w:t>
      </w:r>
    </w:p>
    <w:p>
      <w:pPr>
        <w:pStyle w:val="BodyText"/>
        <w:spacing w:before="2"/>
        <w:rPr>
          <w:sz w:val="25"/>
        </w:rPr>
      </w:pPr>
    </w:p>
    <w:p>
      <w:pPr>
        <w:pStyle w:val="BodyText"/>
        <w:spacing w:line="276" w:lineRule="auto" w:before="1"/>
        <w:ind w:left="562" w:right="1695"/>
        <w:jc w:val="both"/>
      </w:pPr>
      <w:r>
        <w:rPr/>
        <w:t>En</w:t>
      </w:r>
      <w:r>
        <w:rPr>
          <w:spacing w:val="-5"/>
        </w:rPr>
        <w:t> </w:t>
      </w:r>
      <w:r>
        <w:rPr/>
        <w:t>el</w:t>
      </w:r>
      <w:r>
        <w:rPr>
          <w:spacing w:val="-5"/>
        </w:rPr>
        <w:t> </w:t>
      </w:r>
      <w:r>
        <w:rPr/>
        <w:t>caso</w:t>
      </w:r>
      <w:r>
        <w:rPr>
          <w:spacing w:val="-4"/>
        </w:rPr>
        <w:t> </w:t>
      </w:r>
      <w:r>
        <w:rPr/>
        <w:t>del</w:t>
      </w:r>
      <w:r>
        <w:rPr>
          <w:spacing w:val="-5"/>
        </w:rPr>
        <w:t> </w:t>
      </w:r>
      <w:r>
        <w:rPr/>
        <w:t>ingreso</w:t>
      </w:r>
      <w:r>
        <w:rPr>
          <w:spacing w:val="-4"/>
        </w:rPr>
        <w:t> </w:t>
      </w:r>
      <w:r>
        <w:rPr/>
        <w:t>primario</w:t>
      </w:r>
      <w:r>
        <w:rPr>
          <w:spacing w:val="-6"/>
        </w:rPr>
        <w:t> </w:t>
      </w:r>
      <w:r>
        <w:rPr/>
        <w:t>que</w:t>
      </w:r>
      <w:r>
        <w:rPr>
          <w:spacing w:val="-3"/>
        </w:rPr>
        <w:t> </w:t>
      </w:r>
      <w:r>
        <w:rPr/>
        <w:t>registra</w:t>
      </w:r>
      <w:r>
        <w:rPr>
          <w:spacing w:val="-7"/>
        </w:rPr>
        <w:t> </w:t>
      </w:r>
      <w:r>
        <w:rPr/>
        <w:t>las</w:t>
      </w:r>
      <w:r>
        <w:rPr>
          <w:spacing w:val="-3"/>
        </w:rPr>
        <w:t> </w:t>
      </w:r>
      <w:r>
        <w:rPr/>
        <w:t>rentas</w:t>
      </w:r>
      <w:r>
        <w:rPr>
          <w:spacing w:val="-6"/>
        </w:rPr>
        <w:t> </w:t>
      </w:r>
      <w:r>
        <w:rPr/>
        <w:t>de</w:t>
      </w:r>
      <w:r>
        <w:rPr>
          <w:spacing w:val="-3"/>
        </w:rPr>
        <w:t> </w:t>
      </w:r>
      <w:r>
        <w:rPr/>
        <w:t>los</w:t>
      </w:r>
      <w:r>
        <w:rPr>
          <w:spacing w:val="-5"/>
        </w:rPr>
        <w:t> </w:t>
      </w:r>
      <w:r>
        <w:rPr/>
        <w:t>factores</w:t>
      </w:r>
      <w:r>
        <w:rPr>
          <w:spacing w:val="-6"/>
        </w:rPr>
        <w:t> </w:t>
      </w:r>
      <w:r>
        <w:rPr/>
        <w:t>de</w:t>
      </w:r>
      <w:r>
        <w:rPr>
          <w:spacing w:val="-6"/>
        </w:rPr>
        <w:t> </w:t>
      </w:r>
      <w:r>
        <w:rPr/>
        <w:t>la</w:t>
      </w:r>
      <w:r>
        <w:rPr>
          <w:spacing w:val="-6"/>
        </w:rPr>
        <w:t> </w:t>
      </w:r>
      <w:r>
        <w:rPr/>
        <w:t>producción</w:t>
      </w:r>
      <w:r>
        <w:rPr>
          <w:spacing w:val="-7"/>
        </w:rPr>
        <w:t> </w:t>
      </w:r>
      <w:r>
        <w:rPr/>
        <w:t>tuvo</w:t>
      </w:r>
      <w:r>
        <w:rPr>
          <w:spacing w:val="-4"/>
        </w:rPr>
        <w:t> </w:t>
      </w:r>
      <w:r>
        <w:rPr/>
        <w:t>un</w:t>
      </w:r>
      <w:r>
        <w:rPr>
          <w:spacing w:val="-7"/>
        </w:rPr>
        <w:t> </w:t>
      </w:r>
      <w:r>
        <w:rPr/>
        <w:t>déficit de US$1,658.9 millones, y la cuenta de ingreso secundario tuvo un saldo superavitario de US$16,064.9 millones, que fue la principal razón del superávit de cuenta corriente dado que tuvo la magnitud suficiente para cubrir los déficits de la balanza comercial y del ingreso primario y aun así generar superávit. El rubro de la cuenta secundaria de la cual se derivó dicho superávit fueron los créditos</w:t>
      </w:r>
      <w:r>
        <w:rPr>
          <w:spacing w:val="-5"/>
        </w:rPr>
        <w:t> </w:t>
      </w:r>
      <w:r>
        <w:rPr/>
        <w:t>por</w:t>
      </w:r>
      <w:r>
        <w:rPr>
          <w:spacing w:val="-5"/>
        </w:rPr>
        <w:t> </w:t>
      </w:r>
      <w:r>
        <w:rPr/>
        <w:t>transferencias</w:t>
      </w:r>
      <w:r>
        <w:rPr>
          <w:spacing w:val="-8"/>
        </w:rPr>
        <w:t> </w:t>
      </w:r>
      <w:r>
        <w:rPr/>
        <w:t>personales</w:t>
      </w:r>
      <w:r>
        <w:rPr>
          <w:spacing w:val="-5"/>
        </w:rPr>
        <w:t> </w:t>
      </w:r>
      <w:r>
        <w:rPr/>
        <w:t>que</w:t>
      </w:r>
      <w:r>
        <w:rPr>
          <w:spacing w:val="-5"/>
        </w:rPr>
        <w:t> </w:t>
      </w:r>
      <w:r>
        <w:rPr/>
        <w:t>corresponden</w:t>
      </w:r>
      <w:r>
        <w:rPr>
          <w:spacing w:val="-6"/>
        </w:rPr>
        <w:t> </w:t>
      </w:r>
      <w:r>
        <w:rPr/>
        <w:t>al</w:t>
      </w:r>
      <w:r>
        <w:rPr>
          <w:spacing w:val="-7"/>
        </w:rPr>
        <w:t> </w:t>
      </w:r>
      <w:r>
        <w:rPr/>
        <w:t>ingreso</w:t>
      </w:r>
      <w:r>
        <w:rPr>
          <w:spacing w:val="-6"/>
        </w:rPr>
        <w:t> </w:t>
      </w:r>
      <w:r>
        <w:rPr/>
        <w:t>de</w:t>
      </w:r>
      <w:r>
        <w:rPr>
          <w:spacing w:val="-5"/>
        </w:rPr>
        <w:t> </w:t>
      </w:r>
      <w:r>
        <w:rPr/>
        <w:t>divisas</w:t>
      </w:r>
      <w:r>
        <w:rPr>
          <w:spacing w:val="-5"/>
        </w:rPr>
        <w:t> </w:t>
      </w:r>
      <w:r>
        <w:rPr/>
        <w:t>por</w:t>
      </w:r>
      <w:r>
        <w:rPr>
          <w:spacing w:val="-5"/>
        </w:rPr>
        <w:t> </w:t>
      </w:r>
      <w:r>
        <w:rPr/>
        <w:t>remesas</w:t>
      </w:r>
      <w:r>
        <w:rPr>
          <w:spacing w:val="-5"/>
        </w:rPr>
        <w:t> </w:t>
      </w:r>
      <w:r>
        <w:rPr/>
        <w:t>familiares. La cuenta de capital no presentó saldo y el de la cuenta financiera fue de US$2,035.4 millones incluyendo el aumentó en los activos de reservas y los errores y omisiones que representaron - 0.2% con respecto al</w:t>
      </w:r>
      <w:r>
        <w:rPr>
          <w:spacing w:val="-3"/>
        </w:rPr>
        <w:t> </w:t>
      </w:r>
      <w:r>
        <w:rPr/>
        <w:t>PIB.</w:t>
      </w:r>
    </w:p>
    <w:p>
      <w:pPr>
        <w:pStyle w:val="BodyText"/>
        <w:spacing w:before="9"/>
        <w:rPr>
          <w:sz w:val="25"/>
        </w:rPr>
      </w:pPr>
    </w:p>
    <w:p>
      <w:pPr>
        <w:spacing w:before="1"/>
        <w:ind w:left="1913" w:right="0" w:firstLine="0"/>
        <w:jc w:val="left"/>
        <w:rPr>
          <w:b/>
          <w:sz w:val="20"/>
        </w:rPr>
      </w:pPr>
      <w:bookmarkStart w:name="_bookmark56" w:id="74"/>
      <w:bookmarkEnd w:id="74"/>
      <w:r>
        <w:rPr/>
      </w:r>
      <w:r>
        <w:rPr>
          <w:b/>
          <w:i/>
          <w:sz w:val="20"/>
        </w:rPr>
        <w:t>Gráfico 23. </w:t>
      </w:r>
      <w:r>
        <w:rPr>
          <w:b/>
          <w:sz w:val="20"/>
        </w:rPr>
        <w:t>Cuenta corriente de la balanza de pagos con respecto el PIB</w:t>
      </w:r>
    </w:p>
    <w:p>
      <w:pPr>
        <w:pStyle w:val="BodyText"/>
        <w:spacing w:before="10"/>
        <w:rPr>
          <w:b/>
          <w:sz w:val="16"/>
        </w:rPr>
      </w:pPr>
    </w:p>
    <w:p>
      <w:pPr>
        <w:spacing w:after="0"/>
        <w:rPr>
          <w:sz w:val="16"/>
        </w:rPr>
        <w:sectPr>
          <w:pgSz w:w="12240" w:h="15840"/>
          <w:pgMar w:header="715" w:footer="957" w:top="1240" w:bottom="1140" w:left="1140" w:right="0"/>
        </w:sectPr>
      </w:pPr>
    </w:p>
    <w:p>
      <w:pPr>
        <w:spacing w:before="165"/>
        <w:ind w:left="0" w:right="0" w:firstLine="0"/>
        <w:jc w:val="right"/>
        <w:rPr>
          <w:sz w:val="18"/>
        </w:rPr>
      </w:pPr>
      <w:r>
        <w:rPr>
          <w:color w:val="585858"/>
          <w:spacing w:val="-1"/>
          <w:sz w:val="18"/>
        </w:rPr>
        <w:t>25.0</w:t>
      </w:r>
    </w:p>
    <w:p>
      <w:pPr>
        <w:spacing w:before="94"/>
        <w:ind w:left="0" w:right="0" w:firstLine="0"/>
        <w:jc w:val="right"/>
        <w:rPr>
          <w:sz w:val="18"/>
        </w:rPr>
      </w:pPr>
      <w:r>
        <w:rPr>
          <w:color w:val="585858"/>
          <w:spacing w:val="-1"/>
          <w:sz w:val="18"/>
        </w:rPr>
        <w:t>20.0</w:t>
      </w:r>
    </w:p>
    <w:p>
      <w:pPr>
        <w:spacing w:before="94"/>
        <w:ind w:left="0" w:right="0" w:firstLine="0"/>
        <w:jc w:val="right"/>
        <w:rPr>
          <w:sz w:val="18"/>
        </w:rPr>
      </w:pPr>
      <w:r>
        <w:rPr>
          <w:color w:val="585858"/>
          <w:spacing w:val="-1"/>
          <w:sz w:val="18"/>
        </w:rPr>
        <w:t>15.0</w:t>
      </w:r>
    </w:p>
    <w:p>
      <w:pPr>
        <w:spacing w:before="94"/>
        <w:ind w:left="0" w:right="0" w:firstLine="0"/>
        <w:jc w:val="right"/>
        <w:rPr>
          <w:sz w:val="18"/>
        </w:rPr>
      </w:pPr>
      <w:r>
        <w:rPr>
          <w:color w:val="585858"/>
          <w:spacing w:val="-1"/>
          <w:sz w:val="18"/>
        </w:rPr>
        <w:t>10.0</w:t>
      </w:r>
    </w:p>
    <w:p>
      <w:pPr>
        <w:spacing w:before="94"/>
        <w:ind w:left="0" w:right="1" w:firstLine="0"/>
        <w:jc w:val="right"/>
        <w:rPr>
          <w:sz w:val="18"/>
        </w:rPr>
      </w:pPr>
      <w:r>
        <w:rPr>
          <w:color w:val="585858"/>
          <w:spacing w:val="-1"/>
          <w:sz w:val="18"/>
        </w:rPr>
        <w:t>5.0</w:t>
      </w:r>
    </w:p>
    <w:p>
      <w:pPr>
        <w:spacing w:before="93"/>
        <w:ind w:left="0" w:right="87" w:firstLine="0"/>
        <w:jc w:val="right"/>
        <w:rPr>
          <w:sz w:val="18"/>
        </w:rPr>
      </w:pPr>
      <w:r>
        <w:rPr>
          <w:color w:val="585858"/>
          <w:sz w:val="18"/>
        </w:rPr>
        <w:t>-</w:t>
      </w:r>
    </w:p>
    <w:p>
      <w:pPr>
        <w:spacing w:before="94"/>
        <w:ind w:left="0" w:right="1" w:firstLine="0"/>
        <w:jc w:val="right"/>
        <w:rPr>
          <w:sz w:val="18"/>
        </w:rPr>
      </w:pPr>
      <w:r>
        <w:rPr>
          <w:color w:val="585858"/>
          <w:spacing w:val="-1"/>
          <w:sz w:val="18"/>
        </w:rPr>
        <w:t>-5.0</w:t>
      </w:r>
    </w:p>
    <w:p>
      <w:pPr>
        <w:spacing w:before="94"/>
        <w:ind w:left="0" w:right="0" w:firstLine="0"/>
        <w:jc w:val="right"/>
        <w:rPr>
          <w:sz w:val="18"/>
        </w:rPr>
      </w:pPr>
      <w:r>
        <w:rPr>
          <w:color w:val="585858"/>
          <w:spacing w:val="-1"/>
          <w:sz w:val="18"/>
        </w:rPr>
        <w:t>-10.0</w:t>
      </w:r>
    </w:p>
    <w:p>
      <w:pPr>
        <w:spacing w:before="93"/>
        <w:ind w:left="0" w:right="0" w:firstLine="0"/>
        <w:jc w:val="right"/>
        <w:rPr>
          <w:sz w:val="18"/>
        </w:rPr>
      </w:pPr>
      <w:r>
        <w:rPr>
          <w:color w:val="585858"/>
          <w:spacing w:val="-1"/>
          <w:sz w:val="18"/>
        </w:rPr>
        <w:t>-15.0</w:t>
      </w:r>
    </w:p>
    <w:p>
      <w:pPr>
        <w:spacing w:before="94"/>
        <w:ind w:left="0" w:right="0" w:firstLine="0"/>
        <w:jc w:val="right"/>
        <w:rPr>
          <w:sz w:val="18"/>
        </w:rPr>
      </w:pPr>
      <w:r>
        <w:rPr>
          <w:color w:val="585858"/>
          <w:spacing w:val="-1"/>
          <w:sz w:val="18"/>
        </w:rPr>
        <w:t>-20.0</w:t>
      </w:r>
    </w:p>
    <w:p>
      <w:pPr>
        <w:tabs>
          <w:tab w:pos="2320" w:val="left" w:leader="none"/>
        </w:tabs>
        <w:spacing w:before="94"/>
        <w:ind w:left="0" w:right="2229" w:firstLine="0"/>
        <w:jc w:val="center"/>
        <w:rPr>
          <w:sz w:val="16"/>
        </w:rPr>
      </w:pPr>
      <w:r>
        <w:rPr/>
        <w:br w:type="column"/>
      </w:r>
      <w:r>
        <w:rPr>
          <w:color w:val="585858"/>
          <w:sz w:val="16"/>
        </w:rPr>
        <w:t>Bienes</w:t>
      </w:r>
      <w:r>
        <w:rPr>
          <w:color w:val="585858"/>
          <w:spacing w:val="-4"/>
          <w:sz w:val="16"/>
        </w:rPr>
        <w:t> </w:t>
      </w:r>
      <w:r>
        <w:rPr>
          <w:color w:val="585858"/>
          <w:sz w:val="16"/>
        </w:rPr>
        <w:t>y</w:t>
      </w:r>
      <w:r>
        <w:rPr>
          <w:color w:val="585858"/>
          <w:spacing w:val="-3"/>
          <w:sz w:val="16"/>
        </w:rPr>
        <w:t> </w:t>
      </w:r>
      <w:r>
        <w:rPr>
          <w:color w:val="585858"/>
          <w:sz w:val="16"/>
        </w:rPr>
        <w:t>servicios</w:t>
        <w:tab/>
        <w:t>Ingreso</w:t>
      </w:r>
      <w:r>
        <w:rPr>
          <w:color w:val="585858"/>
          <w:spacing w:val="-5"/>
          <w:sz w:val="16"/>
        </w:rPr>
        <w:t> </w:t>
      </w:r>
      <w:r>
        <w:rPr>
          <w:color w:val="585858"/>
          <w:sz w:val="16"/>
        </w:rPr>
        <w:t>Primario</w:t>
      </w:r>
    </w:p>
    <w:p>
      <w:pPr>
        <w:tabs>
          <w:tab w:pos="2320" w:val="left" w:leader="none"/>
        </w:tabs>
        <w:spacing w:before="44"/>
        <w:ind w:left="0" w:right="2248" w:firstLine="0"/>
        <w:jc w:val="center"/>
        <w:rPr>
          <w:sz w:val="16"/>
        </w:rPr>
      </w:pPr>
      <w:r>
        <w:rPr/>
        <w:pict>
          <v:group style="position:absolute;margin-left:212.279999pt;margin-top:-6.531248pt;width:19.95pt;height:4.7pt;mso-position-horizontal-relative:page;mso-position-vertical-relative:paragraph;z-index:251995136" coordorigin="4246,-131" coordsize="399,94">
            <v:line style="position:absolute" from="4253,-84" to="4637,-84" stroked="true" strokeweight="3.96pt" strokecolor="#a6a6a6">
              <v:stroke dashstyle="solid"/>
            </v:line>
            <v:rect style="position:absolute;left:4252;top:-124;width:384;height:80" filled="false" stroked="true" strokeweight=".72pt" strokecolor="#000000">
              <v:stroke dashstyle="solid"/>
            </v:rect>
            <w10:wrap type="none"/>
          </v:group>
        </w:pict>
      </w:r>
      <w:r>
        <w:rPr/>
        <w:pict>
          <v:group style="position:absolute;margin-left:328.200012pt;margin-top:-6.531248pt;width:19.95pt;height:4.7pt;mso-position-horizontal-relative:page;mso-position-vertical-relative:paragraph;z-index:-281323520" coordorigin="6564,-131" coordsize="399,94">
            <v:line style="position:absolute" from="6571,-84" to="6955,-84" stroked="true" strokeweight="3.96pt" strokecolor="#c00000">
              <v:stroke dashstyle="solid"/>
            </v:line>
            <v:rect style="position:absolute;left:6571;top:-124;width:384;height:80" filled="false" stroked="true" strokeweight=".72pt" strokecolor="#000000">
              <v:stroke dashstyle="solid"/>
            </v:rect>
            <w10:wrap type="none"/>
          </v:group>
        </w:pict>
      </w:r>
      <w:r>
        <w:rPr/>
        <w:pict>
          <v:group style="position:absolute;margin-left:212.279999pt;margin-top:4.748753pt;width:19.95pt;height:4.8pt;mso-position-horizontal-relative:page;mso-position-vertical-relative:paragraph;z-index:251997184" coordorigin="4246,95" coordsize="399,96">
            <v:line style="position:absolute" from="4253,143" to="4637,143" stroked="true" strokeweight="4.08pt" strokecolor="#5b9bd4">
              <v:stroke dashstyle="solid"/>
            </v:line>
            <v:rect style="position:absolute;left:4252;top:102;width:384;height:82" filled="false" stroked="true" strokeweight=".72pt" strokecolor="#000000">
              <v:stroke dashstyle="solid"/>
            </v:rect>
            <w10:wrap type="none"/>
          </v:group>
        </w:pict>
      </w:r>
      <w:r>
        <w:rPr/>
        <w:pict>
          <v:group style="position:absolute;margin-left:328.619995pt;margin-top:4.868752pt;width:19.2pt;height:4.6pt;mso-position-horizontal-relative:page;mso-position-vertical-relative:paragraph;z-index:-281321472" coordorigin="6572,97" coordsize="384,92">
            <v:line style="position:absolute" from="6572,144" to="6956,144" stroked="true" strokeweight="2.280pt" strokecolor="#000000">
              <v:stroke dashstyle="solid"/>
            </v:line>
            <v:shape style="position:absolute;left:6724;top:104;width:77;height:77" coordorigin="6725,105" coordsize="77,77" path="m6763,105l6725,143,6763,181,6802,143,6763,105xe" filled="true" fillcolor="#000000" stroked="false">
              <v:path arrowok="t"/>
              <v:fill type="solid"/>
            </v:shape>
            <v:shape style="position:absolute;left:6724;top:104;width:77;height:77" coordorigin="6725,105" coordsize="77,77" path="m6763,105l6802,143,6763,181,6725,143,6763,105xe" filled="false" stroked="true" strokeweight=".72pt" strokecolor="#000000">
              <v:path arrowok="t"/>
              <v:stroke dashstyle="solid"/>
            </v:shape>
            <w10:wrap type="none"/>
          </v:group>
        </w:pict>
      </w:r>
      <w:r>
        <w:rPr>
          <w:color w:val="585858"/>
          <w:sz w:val="16"/>
        </w:rPr>
        <w:t>Ingreso</w:t>
      </w:r>
      <w:r>
        <w:rPr>
          <w:color w:val="585858"/>
          <w:spacing w:val="-4"/>
          <w:sz w:val="16"/>
        </w:rPr>
        <w:t> </w:t>
      </w:r>
      <w:r>
        <w:rPr>
          <w:color w:val="585858"/>
          <w:sz w:val="16"/>
        </w:rPr>
        <w:t>Secundario</w:t>
        <w:tab/>
        <w:t>Cuenta</w:t>
      </w:r>
      <w:r>
        <w:rPr>
          <w:color w:val="585858"/>
          <w:spacing w:val="-8"/>
          <w:sz w:val="16"/>
        </w:rPr>
        <w:t> </w:t>
      </w:r>
      <w:r>
        <w:rPr>
          <w:color w:val="585858"/>
          <w:sz w:val="16"/>
        </w:rPr>
        <w:t>corriente</w:t>
      </w:r>
    </w:p>
    <w:p>
      <w:pPr>
        <w:pStyle w:val="BodyText"/>
        <w:spacing w:before="11"/>
        <w:rPr>
          <w:sz w:val="8"/>
        </w:rPr>
      </w:pPr>
      <w:r>
        <w:rPr/>
        <w:pict>
          <v:group style="position:absolute;margin-left:145.199997pt;margin-top:7.163169pt;width:351.75pt;height:105.5pt;mso-position-horizontal-relative:page;mso-position-vertical-relative:paragraph;z-index:-251322368;mso-wrap-distance-left:0;mso-wrap-distance-right:0" coordorigin="2904,143" coordsize="7035,2110">
            <v:rect style="position:absolute;left:3388;top:1273;width:440;height:545" filled="true" fillcolor="#a6a6a6" stroked="false">
              <v:fill type="solid"/>
            </v:rect>
            <v:rect style="position:absolute;left:3388;top:1273;width:440;height:545" filled="false" stroked="true" strokeweight=".72pt" strokecolor="#000000">
              <v:stroke dashstyle="solid"/>
            </v:rect>
            <v:rect style="position:absolute;left:3388;top:1818;width:440;height:128" filled="true" fillcolor="#c00000" stroked="false">
              <v:fill type="solid"/>
            </v:rect>
            <v:rect style="position:absolute;left:3388;top:1818;width:440;height:128" filled="false" stroked="true" strokeweight=".72pt" strokecolor="#000000">
              <v:stroke dashstyle="solid"/>
            </v:rect>
            <v:rect style="position:absolute;left:3388;top:529;width:440;height:744" filled="true" fillcolor="#5b9bd4" stroked="false">
              <v:fill type="solid"/>
            </v:rect>
            <v:rect style="position:absolute;left:3388;top:529;width:440;height:744" filled="false" stroked="true" strokeweight=".72pt" strokecolor="#000000">
              <v:stroke dashstyle="solid"/>
            </v:rect>
            <v:rect style="position:absolute;left:4795;top:1273;width:440;height:644" filled="true" fillcolor="#a6a6a6" stroked="false">
              <v:fill type="solid"/>
            </v:rect>
            <v:rect style="position:absolute;left:4795;top:1273;width:440;height:644" filled="false" stroked="true" strokeweight=".72pt" strokecolor="#000000">
              <v:stroke dashstyle="solid"/>
            </v:rect>
            <v:rect style="position:absolute;left:4795;top:1916;width:440;height:123" filled="true" fillcolor="#c00000" stroked="false">
              <v:fill type="solid"/>
            </v:rect>
            <v:rect style="position:absolute;left:4795;top:1916;width:440;height:123" filled="false" stroked="true" strokeweight=".72pt" strokecolor="#000000">
              <v:stroke dashstyle="solid"/>
            </v:rect>
            <v:rect style="position:absolute;left:4795;top:455;width:440;height:819" filled="true" fillcolor="#5b9bd4" stroked="false">
              <v:fill type="solid"/>
            </v:rect>
            <v:rect style="position:absolute;left:4795;top:455;width:440;height:819" filled="false" stroked="true" strokeweight=".72pt" strokecolor="#000000">
              <v:stroke dashstyle="solid"/>
            </v:rect>
            <v:rect style="position:absolute;left:6201;top:1273;width:442;height:620" filled="true" fillcolor="#a6a6a6" stroked="false">
              <v:fill type="solid"/>
            </v:rect>
            <v:rect style="position:absolute;left:6201;top:1273;width:442;height:620" filled="false" stroked="true" strokeweight=".72pt" strokecolor="#000000">
              <v:stroke dashstyle="solid"/>
            </v:rect>
            <v:rect style="position:absolute;left:6201;top:1892;width:442;height:111" filled="true" fillcolor="#c00000" stroked="false">
              <v:fill type="solid"/>
            </v:rect>
            <v:rect style="position:absolute;left:6201;top:1892;width:442;height:111" filled="false" stroked="true" strokeweight=".72pt" strokecolor="#000000">
              <v:stroke dashstyle="solid"/>
            </v:rect>
            <v:rect style="position:absolute;left:6201;top:402;width:442;height:872" filled="true" fillcolor="#5b9bd4" stroked="false">
              <v:fill type="solid"/>
            </v:rect>
            <v:rect style="position:absolute;left:6201;top:402;width:442;height:872" filled="false" stroked="true" strokeweight=".72pt" strokecolor="#000000">
              <v:stroke dashstyle="solid"/>
            </v:rect>
            <v:rect style="position:absolute;left:7608;top:1273;width:442;height:512" filled="true" fillcolor="#a6a6a6" stroked="false">
              <v:fill type="solid"/>
            </v:rect>
            <v:rect style="position:absolute;left:7608;top:1273;width:442;height:512" filled="false" stroked="true" strokeweight=".72pt" strokecolor="#000000">
              <v:stroke dashstyle="solid"/>
            </v:rect>
            <v:rect style="position:absolute;left:7608;top:1784;width:442;height:113" filled="true" fillcolor="#c00000" stroked="false">
              <v:fill type="solid"/>
            </v:rect>
            <v:rect style="position:absolute;left:7608;top:1784;width:442;height:113" filled="false" stroked="true" strokeweight=".72pt" strokecolor="#000000">
              <v:stroke dashstyle="solid"/>
            </v:rect>
            <v:rect style="position:absolute;left:7608;top:352;width:442;height:922" filled="true" fillcolor="#5b9bd4" stroked="false">
              <v:fill type="solid"/>
            </v:rect>
            <v:rect style="position:absolute;left:7608;top:352;width:442;height:922" filled="false" stroked="true" strokeweight=".72pt" strokecolor="#000000">
              <v:stroke dashstyle="solid"/>
            </v:rect>
            <v:rect style="position:absolute;left:9014;top:1273;width:442;height:855" filled="true" fillcolor="#a6a6a6" stroked="false">
              <v:fill type="solid"/>
            </v:rect>
            <v:rect style="position:absolute;left:9014;top:1273;width:442;height:855" filled="false" stroked="true" strokeweight=".72pt" strokecolor="#000000">
              <v:stroke dashstyle="solid"/>
            </v:rect>
            <v:rect style="position:absolute;left:9014;top:2128;width:442;height:118" filled="true" fillcolor="#c00000" stroked="false">
              <v:fill type="solid"/>
            </v:rect>
            <v:rect style="position:absolute;left:9014;top:2128;width:442;height:118" filled="false" stroked="true" strokeweight=".72pt" strokecolor="#000000">
              <v:stroke dashstyle="solid"/>
            </v:rect>
            <v:rect style="position:absolute;left:9014;top:150;width:442;height:1124" filled="true" fillcolor="#5b9bd4" stroked="false">
              <v:fill type="solid"/>
            </v:rect>
            <v:rect style="position:absolute;left:9014;top:150;width:442;height:1124" filled="false" stroked="true" strokeweight=".72pt" strokecolor="#000000">
              <v:stroke dashstyle="solid"/>
            </v:rect>
            <v:line style="position:absolute" from="2904,1274" to="9938,1274" stroked="true" strokeweight=".72pt" strokecolor="#d9d9d9">
              <v:stroke dashstyle="solid"/>
            </v:line>
            <v:shape style="position:absolute;left:3608;top:977;width:5628;height:243" coordorigin="3608,977" coordsize="5628,243" path="m3608,1200l5015,1220,6421,1131,7828,977,9236,1121e" filled="false" stroked="true" strokeweight="2.280pt" strokecolor="#000000">
              <v:path arrowok="t"/>
              <v:stroke dashstyle="solid"/>
            </v:shape>
            <v:shape style="position:absolute;left:3549;top:1143;width:116;height:116" type="#_x0000_t75" stroked="false">
              <v:imagedata r:id="rId23" o:title=""/>
            </v:shape>
            <v:shape style="position:absolute;left:4957;top:1162;width:116;height:116" type="#_x0000_t75" stroked="false">
              <v:imagedata r:id="rId24" o:title=""/>
            </v:shape>
            <v:shape style="position:absolute;left:6364;top:1073;width:116;height:116" type="#_x0000_t75" stroked="false">
              <v:imagedata r:id="rId24" o:title=""/>
            </v:shape>
            <v:shape style="position:absolute;left:7770;top:917;width:116;height:116" type="#_x0000_t75" stroked="false">
              <v:imagedata r:id="rId24" o:title=""/>
            </v:shape>
            <v:shape style="position:absolute;left:9177;top:1061;width:116;height:116" type="#_x0000_t75" stroked="false">
              <v:imagedata r:id="rId25" o:title=""/>
            </v:shape>
            <v:rect style="position:absolute;left:3427;top:846;width:360;height:245" filled="true" fillcolor="#ffffff" stroked="false">
              <v:fill type="solid"/>
            </v:rect>
            <v:rect style="position:absolute;left:3427;top:846;width:360;height:245" filled="false" stroked="true" strokeweight=".72pt" strokecolor="#000000">
              <v:stroke dashstyle="solid"/>
            </v:rect>
            <v:rect style="position:absolute;left:4836;top:865;width:360;height:245" filled="true" fillcolor="#ffffff" stroked="false">
              <v:fill type="solid"/>
            </v:rect>
            <v:rect style="position:absolute;left:4836;top:865;width:360;height:245" filled="false" stroked="true" strokeweight=".72pt" strokecolor="#000000">
              <v:stroke dashstyle="solid"/>
            </v:rect>
            <v:rect style="position:absolute;left:6242;top:776;width:360;height:245" filled="true" fillcolor="#ffffff" stroked="false">
              <v:fill type="solid"/>
            </v:rect>
            <v:rect style="position:absolute;left:6242;top:776;width:360;height:245" filled="false" stroked="true" strokeweight=".72pt" strokecolor="#000000">
              <v:stroke dashstyle="solid"/>
            </v:rect>
            <v:rect style="position:absolute;left:7648;top:623;width:360;height:243" filled="true" fillcolor="#ffffff" stroked="false">
              <v:fill type="solid"/>
            </v:rect>
            <v:rect style="position:absolute;left:7648;top:623;width:360;height:243" filled="false" stroked="true" strokeweight=".72pt" strokecolor="#000000">
              <v:stroke dashstyle="solid"/>
            </v:rect>
            <v:rect style="position:absolute;left:9055;top:767;width:360;height:245" filled="true" fillcolor="#ffffff" stroked="false">
              <v:fill type="solid"/>
            </v:rect>
            <v:rect style="position:absolute;left:9055;top:767;width:360;height:245" filled="false" stroked="true" strokeweight=".72pt" strokecolor="#000000">
              <v:stroke dashstyle="solid"/>
            </v:rect>
            <v:shape style="position:absolute;left:7748;top:659;width:223;height:179" type="#_x0000_t202" filled="false" stroked="false">
              <v:textbox inset="0,0,0,0">
                <w:txbxContent>
                  <w:p>
                    <w:pPr>
                      <w:spacing w:line="178" w:lineRule="exact" w:before="0"/>
                      <w:ind w:left="0" w:right="0" w:firstLine="0"/>
                      <w:jc w:val="left"/>
                      <w:rPr>
                        <w:b/>
                        <w:sz w:val="16"/>
                      </w:rPr>
                    </w:pPr>
                    <w:r>
                      <w:rPr>
                        <w:b/>
                        <w:color w:val="404040"/>
                        <w:sz w:val="16"/>
                      </w:rPr>
                      <w:t>4.9</w:t>
                    </w:r>
                  </w:p>
                </w:txbxContent>
              </v:textbox>
              <w10:wrap type="none"/>
            </v:shape>
            <v:shape style="position:absolute;left:3527;top:884;width:223;height:179" type="#_x0000_t202" filled="false" stroked="false">
              <v:textbox inset="0,0,0,0">
                <w:txbxContent>
                  <w:p>
                    <w:pPr>
                      <w:spacing w:line="178" w:lineRule="exact" w:before="0"/>
                      <w:ind w:left="0" w:right="0" w:firstLine="0"/>
                      <w:jc w:val="left"/>
                      <w:rPr>
                        <w:b/>
                        <w:sz w:val="16"/>
                      </w:rPr>
                    </w:pPr>
                    <w:r>
                      <w:rPr>
                        <w:b/>
                        <w:color w:val="404040"/>
                        <w:sz w:val="16"/>
                      </w:rPr>
                      <w:t>1.2</w:t>
                    </w:r>
                  </w:p>
                </w:txbxContent>
              </v:textbox>
              <w10:wrap type="none"/>
            </v:shape>
            <v:shape style="position:absolute;left:4934;top:903;width:223;height:179" type="#_x0000_t202" filled="false" stroked="false">
              <v:textbox inset="0,0,0,0">
                <w:txbxContent>
                  <w:p>
                    <w:pPr>
                      <w:spacing w:line="178" w:lineRule="exact" w:before="0"/>
                      <w:ind w:left="0" w:right="0" w:firstLine="0"/>
                      <w:jc w:val="left"/>
                      <w:rPr>
                        <w:b/>
                        <w:sz w:val="16"/>
                      </w:rPr>
                    </w:pPr>
                    <w:r>
                      <w:rPr>
                        <w:b/>
                        <w:color w:val="404040"/>
                        <w:sz w:val="16"/>
                      </w:rPr>
                      <w:t>0.9</w:t>
                    </w:r>
                  </w:p>
                </w:txbxContent>
              </v:textbox>
              <w10:wrap type="none"/>
            </v:shape>
            <v:shape style="position:absolute;left:6341;top:814;width:223;height:179" type="#_x0000_t202" filled="false" stroked="false">
              <v:textbox inset="0,0,0,0">
                <w:txbxContent>
                  <w:p>
                    <w:pPr>
                      <w:spacing w:line="178" w:lineRule="exact" w:before="0"/>
                      <w:ind w:left="0" w:right="0" w:firstLine="0"/>
                      <w:jc w:val="left"/>
                      <w:rPr>
                        <w:b/>
                        <w:sz w:val="16"/>
                      </w:rPr>
                    </w:pPr>
                    <w:r>
                      <w:rPr>
                        <w:b/>
                        <w:color w:val="404040"/>
                        <w:sz w:val="16"/>
                      </w:rPr>
                      <w:t>2.4</w:t>
                    </w:r>
                  </w:p>
                </w:txbxContent>
              </v:textbox>
              <w10:wrap type="none"/>
            </v:shape>
            <v:shape style="position:absolute;left:9155;top:804;width:223;height:179" type="#_x0000_t202" filled="false" stroked="false">
              <v:textbox inset="0,0,0,0">
                <w:txbxContent>
                  <w:p>
                    <w:pPr>
                      <w:spacing w:line="178" w:lineRule="exact" w:before="0"/>
                      <w:ind w:left="0" w:right="0" w:firstLine="0"/>
                      <w:jc w:val="left"/>
                      <w:rPr>
                        <w:b/>
                        <w:sz w:val="16"/>
                      </w:rPr>
                    </w:pPr>
                    <w:r>
                      <w:rPr>
                        <w:b/>
                        <w:color w:val="404040"/>
                        <w:sz w:val="16"/>
                      </w:rPr>
                      <w:t>2.5</w:t>
                    </w:r>
                  </w:p>
                </w:txbxContent>
              </v:textbox>
              <w10:wrap type="none"/>
            </v:shape>
            <w10:wrap type="topAndBottom"/>
          </v:group>
        </w:pict>
      </w:r>
    </w:p>
    <w:p>
      <w:pPr>
        <w:pStyle w:val="BodyText"/>
        <w:spacing w:before="7"/>
        <w:rPr>
          <w:sz w:val="25"/>
        </w:rPr>
      </w:pPr>
    </w:p>
    <w:p>
      <w:pPr>
        <w:tabs>
          <w:tab w:pos="1407" w:val="left" w:leader="none"/>
          <w:tab w:pos="2814" w:val="left" w:leader="none"/>
          <w:tab w:pos="4221" w:val="left" w:leader="none"/>
          <w:tab w:pos="5628" w:val="left" w:leader="none"/>
        </w:tabs>
        <w:spacing w:before="0"/>
        <w:ind w:left="0" w:right="2139" w:firstLine="0"/>
        <w:jc w:val="center"/>
        <w:rPr>
          <w:sz w:val="18"/>
        </w:rPr>
      </w:pPr>
      <w:r>
        <w:rPr>
          <w:color w:val="585858"/>
          <w:sz w:val="18"/>
        </w:rPr>
        <w:t>2017</w:t>
        <w:tab/>
        <w:t>2018</w:t>
        <w:tab/>
        <w:t>2019</w:t>
        <w:tab/>
        <w:t>2020</w:t>
        <w:tab/>
        <w:t>2021</w:t>
      </w:r>
    </w:p>
    <w:p>
      <w:pPr>
        <w:spacing w:after="0"/>
        <w:jc w:val="center"/>
        <w:rPr>
          <w:sz w:val="18"/>
        </w:rPr>
        <w:sectPr>
          <w:type w:val="continuous"/>
          <w:pgSz w:w="12240" w:h="15840"/>
          <w:pgMar w:top="1500" w:bottom="280" w:left="1140" w:right="0"/>
          <w:cols w:num="2" w:equalWidth="0">
            <w:col w:w="1568" w:space="40"/>
            <w:col w:w="9492"/>
          </w:cols>
        </w:sectPr>
      </w:pPr>
    </w:p>
    <w:p>
      <w:pPr>
        <w:spacing w:before="109"/>
        <w:ind w:left="1094" w:right="0" w:firstLine="0"/>
        <w:jc w:val="left"/>
        <w:rPr>
          <w:sz w:val="16"/>
        </w:rPr>
      </w:pPr>
      <w:r>
        <w:rPr>
          <w:sz w:val="16"/>
        </w:rPr>
        <w:t>Fuente: Banco de Guatemala.</w:t>
      </w:r>
    </w:p>
    <w:p>
      <w:pPr>
        <w:spacing w:after="0"/>
        <w:jc w:val="left"/>
        <w:rPr>
          <w:sz w:val="16"/>
        </w:rPr>
        <w:sectPr>
          <w:type w:val="continuous"/>
          <w:pgSz w:w="12240" w:h="15840"/>
          <w:pgMar w:top="1500" w:bottom="280" w:left="1140" w:right="0"/>
        </w:sectPr>
      </w:pPr>
    </w:p>
    <w:p>
      <w:pPr>
        <w:pStyle w:val="Heading2"/>
        <w:numPr>
          <w:ilvl w:val="3"/>
          <w:numId w:val="12"/>
        </w:numPr>
        <w:tabs>
          <w:tab w:pos="2698" w:val="left" w:leader="none"/>
        </w:tabs>
        <w:spacing w:line="240" w:lineRule="auto" w:before="167" w:after="0"/>
        <w:ind w:left="2698" w:right="0" w:hanging="720"/>
        <w:jc w:val="left"/>
      </w:pPr>
      <w:bookmarkStart w:name="_bookmark57" w:id="75"/>
      <w:bookmarkEnd w:id="75"/>
      <w:r>
        <w:rPr>
          <w:b w:val="0"/>
        </w:rPr>
      </w:r>
      <w:bookmarkStart w:name="_bookmark57" w:id="76"/>
      <w:bookmarkEnd w:id="76"/>
      <w:r>
        <w:rPr/>
        <w:t>Bala</w:t>
      </w:r>
      <w:r>
        <w:rPr/>
        <w:t>nza</w:t>
      </w:r>
      <w:r>
        <w:rPr>
          <w:spacing w:val="-1"/>
        </w:rPr>
        <w:t> </w:t>
      </w:r>
      <w:r>
        <w:rPr/>
        <w:t>comercial</w:t>
      </w:r>
    </w:p>
    <w:p>
      <w:pPr>
        <w:pStyle w:val="BodyText"/>
        <w:spacing w:before="1"/>
        <w:rPr>
          <w:b/>
          <w:sz w:val="30"/>
        </w:rPr>
      </w:pPr>
    </w:p>
    <w:p>
      <w:pPr>
        <w:pStyle w:val="BodyText"/>
        <w:spacing w:line="276" w:lineRule="auto"/>
        <w:ind w:left="562" w:right="1695"/>
        <w:jc w:val="both"/>
      </w:pPr>
      <w:r>
        <w:rPr/>
        <w:t>El déficit de balanza comercial fue de US$12,228.6 millones y representó como proporción del PIB un déficit de 14.2 %. Este déficit ha presentado un constante aumento a tráves del tiempo, dado que el crecimiento en el largo plazo de las exportaciones ha sido menor que el de las importaciones. Asimismo,</w:t>
      </w:r>
      <w:r>
        <w:rPr>
          <w:spacing w:val="8"/>
        </w:rPr>
        <w:t> </w:t>
      </w:r>
      <w:r>
        <w:rPr/>
        <w:t>las</w:t>
      </w:r>
      <w:r>
        <w:rPr>
          <w:spacing w:val="9"/>
        </w:rPr>
        <w:t> </w:t>
      </w:r>
      <w:r>
        <w:rPr/>
        <w:t>exportaciones</w:t>
      </w:r>
      <w:r>
        <w:rPr>
          <w:spacing w:val="9"/>
        </w:rPr>
        <w:t> </w:t>
      </w:r>
      <w:r>
        <w:rPr/>
        <w:t>de</w:t>
      </w:r>
      <w:r>
        <w:rPr>
          <w:spacing w:val="8"/>
        </w:rPr>
        <w:t> </w:t>
      </w:r>
      <w:r>
        <w:rPr/>
        <w:t>bienes</w:t>
      </w:r>
      <w:r>
        <w:rPr>
          <w:spacing w:val="10"/>
        </w:rPr>
        <w:t> </w:t>
      </w:r>
      <w:r>
        <w:rPr/>
        <w:t>tuvieron</w:t>
      </w:r>
      <w:r>
        <w:rPr>
          <w:spacing w:val="8"/>
        </w:rPr>
        <w:t> </w:t>
      </w:r>
      <w:r>
        <w:rPr/>
        <w:t>un</w:t>
      </w:r>
      <w:r>
        <w:rPr>
          <w:spacing w:val="8"/>
        </w:rPr>
        <w:t> </w:t>
      </w:r>
      <w:r>
        <w:rPr/>
        <w:t>crecimiento</w:t>
      </w:r>
      <w:r>
        <w:rPr>
          <w:spacing w:val="8"/>
        </w:rPr>
        <w:t> </w:t>
      </w:r>
      <w:r>
        <w:rPr/>
        <w:t>de</w:t>
      </w:r>
      <w:r>
        <w:rPr>
          <w:spacing w:val="15"/>
        </w:rPr>
        <w:t> </w:t>
      </w:r>
      <w:r>
        <w:rPr/>
        <w:t>22.6</w:t>
      </w:r>
      <w:r>
        <w:rPr>
          <w:spacing w:val="8"/>
        </w:rPr>
        <w:t> </w:t>
      </w:r>
      <w:r>
        <w:rPr/>
        <w:t>%</w:t>
      </w:r>
      <w:r>
        <w:rPr>
          <w:spacing w:val="10"/>
        </w:rPr>
        <w:t> </w:t>
      </w:r>
      <w:r>
        <w:rPr/>
        <w:t>en</w:t>
      </w:r>
      <w:r>
        <w:rPr>
          <w:spacing w:val="8"/>
        </w:rPr>
        <w:t> </w:t>
      </w:r>
      <w:r>
        <w:rPr/>
        <w:t>2020</w:t>
      </w:r>
      <w:r>
        <w:rPr>
          <w:spacing w:val="8"/>
        </w:rPr>
        <w:t> </w:t>
      </w:r>
      <w:r>
        <w:rPr/>
        <w:t>y</w:t>
      </w:r>
      <w:r>
        <w:rPr>
          <w:spacing w:val="6"/>
        </w:rPr>
        <w:t> </w:t>
      </w:r>
      <w:r>
        <w:rPr/>
        <w:t>representaron</w:t>
      </w:r>
    </w:p>
    <w:p>
      <w:pPr>
        <w:pStyle w:val="BodyText"/>
        <w:ind w:left="562"/>
        <w:jc w:val="both"/>
      </w:pPr>
      <w:r>
        <w:rPr/>
        <w:t>81.0</w:t>
      </w:r>
      <w:r>
        <w:rPr>
          <w:spacing w:val="5"/>
        </w:rPr>
        <w:t> </w:t>
      </w:r>
      <w:r>
        <w:rPr/>
        <w:t>%</w:t>
      </w:r>
      <w:r>
        <w:rPr>
          <w:spacing w:val="6"/>
        </w:rPr>
        <w:t> </w:t>
      </w:r>
      <w:r>
        <w:rPr/>
        <w:t>del</w:t>
      </w:r>
      <w:r>
        <w:rPr>
          <w:spacing w:val="3"/>
        </w:rPr>
        <w:t> </w:t>
      </w:r>
      <w:r>
        <w:rPr/>
        <w:t>total,</w:t>
      </w:r>
      <w:r>
        <w:rPr>
          <w:spacing w:val="6"/>
        </w:rPr>
        <w:t> </w:t>
      </w:r>
      <w:r>
        <w:rPr/>
        <w:t>por</w:t>
      </w:r>
      <w:r>
        <w:rPr>
          <w:spacing w:val="5"/>
        </w:rPr>
        <w:t> </w:t>
      </w:r>
      <w:r>
        <w:rPr/>
        <w:t>su</w:t>
      </w:r>
      <w:r>
        <w:rPr>
          <w:spacing w:val="6"/>
        </w:rPr>
        <w:t> </w:t>
      </w:r>
      <w:r>
        <w:rPr/>
        <w:t>lado</w:t>
      </w:r>
      <w:r>
        <w:rPr>
          <w:spacing w:val="5"/>
        </w:rPr>
        <w:t> </w:t>
      </w:r>
      <w:r>
        <w:rPr/>
        <w:t>la</w:t>
      </w:r>
      <w:r>
        <w:rPr>
          <w:spacing w:val="4"/>
        </w:rPr>
        <w:t> </w:t>
      </w:r>
      <w:r>
        <w:rPr/>
        <w:t>importaciones</w:t>
      </w:r>
      <w:r>
        <w:rPr>
          <w:spacing w:val="6"/>
        </w:rPr>
        <w:t> </w:t>
      </w:r>
      <w:r>
        <w:rPr/>
        <w:t>de</w:t>
      </w:r>
      <w:r>
        <w:rPr>
          <w:spacing w:val="5"/>
        </w:rPr>
        <w:t> </w:t>
      </w:r>
      <w:r>
        <w:rPr/>
        <w:t>bienes</w:t>
      </w:r>
      <w:r>
        <w:rPr>
          <w:spacing w:val="6"/>
        </w:rPr>
        <w:t> </w:t>
      </w:r>
      <w:r>
        <w:rPr/>
        <w:t>registraron</w:t>
      </w:r>
      <w:r>
        <w:rPr>
          <w:spacing w:val="5"/>
        </w:rPr>
        <w:t> </w:t>
      </w:r>
      <w:r>
        <w:rPr/>
        <w:t>una</w:t>
      </w:r>
      <w:r>
        <w:rPr>
          <w:spacing w:val="6"/>
        </w:rPr>
        <w:t> </w:t>
      </w:r>
      <w:r>
        <w:rPr/>
        <w:t>tasa</w:t>
      </w:r>
      <w:r>
        <w:rPr>
          <w:spacing w:val="5"/>
        </w:rPr>
        <w:t> </w:t>
      </w:r>
      <w:r>
        <w:rPr/>
        <w:t>de</w:t>
      </w:r>
      <w:r>
        <w:rPr>
          <w:spacing w:val="6"/>
        </w:rPr>
        <w:t> </w:t>
      </w:r>
      <w:r>
        <w:rPr/>
        <w:t>crecimiento</w:t>
      </w:r>
      <w:r>
        <w:rPr>
          <w:spacing w:val="5"/>
        </w:rPr>
        <w:t> </w:t>
      </w:r>
      <w:r>
        <w:rPr/>
        <w:t>de</w:t>
      </w:r>
      <w:r>
        <w:rPr>
          <w:spacing w:val="9"/>
        </w:rPr>
        <w:t> </w:t>
      </w:r>
      <w:r>
        <w:rPr/>
        <w:t>41.9</w:t>
      </w:r>
    </w:p>
    <w:p>
      <w:pPr>
        <w:pStyle w:val="BodyText"/>
        <w:spacing w:before="37"/>
        <w:ind w:left="562"/>
        <w:jc w:val="both"/>
      </w:pPr>
      <w:r>
        <w:rPr/>
        <w:t>% en el 2020, y representaron 84.7 % del total.</w:t>
      </w:r>
    </w:p>
    <w:p>
      <w:pPr>
        <w:pStyle w:val="BodyText"/>
        <w:spacing w:before="6"/>
        <w:rPr>
          <w:sz w:val="28"/>
        </w:rPr>
      </w:pPr>
    </w:p>
    <w:p>
      <w:pPr>
        <w:pStyle w:val="BodyText"/>
        <w:spacing w:line="276" w:lineRule="auto"/>
        <w:ind w:left="562" w:right="1696"/>
        <w:jc w:val="both"/>
      </w:pPr>
      <w:r>
        <w:rPr/>
        <w:t>Previo a mostrar el análisis sobre las exportaciones e importaciones de bienes que se derivan de las estadisticas</w:t>
      </w:r>
      <w:r>
        <w:rPr>
          <w:spacing w:val="28"/>
        </w:rPr>
        <w:t> </w:t>
      </w:r>
      <w:r>
        <w:rPr/>
        <w:t>de</w:t>
      </w:r>
      <w:r>
        <w:rPr>
          <w:spacing w:val="-13"/>
        </w:rPr>
        <w:t> </w:t>
      </w:r>
      <w:r>
        <w:rPr/>
        <w:t>comercio</w:t>
      </w:r>
      <w:r>
        <w:rPr>
          <w:spacing w:val="-13"/>
        </w:rPr>
        <w:t> </w:t>
      </w:r>
      <w:r>
        <w:rPr/>
        <w:t>exterior</w:t>
      </w:r>
      <w:r>
        <w:rPr>
          <w:spacing w:val="-15"/>
        </w:rPr>
        <w:t> </w:t>
      </w:r>
      <w:r>
        <w:rPr/>
        <w:t>es</w:t>
      </w:r>
      <w:r>
        <w:rPr>
          <w:spacing w:val="-13"/>
        </w:rPr>
        <w:t> </w:t>
      </w:r>
      <w:r>
        <w:rPr/>
        <w:t>importante</w:t>
      </w:r>
      <w:r>
        <w:rPr>
          <w:spacing w:val="-15"/>
        </w:rPr>
        <w:t> </w:t>
      </w:r>
      <w:r>
        <w:rPr/>
        <w:t>indicar</w:t>
      </w:r>
      <w:r>
        <w:rPr>
          <w:spacing w:val="-13"/>
        </w:rPr>
        <w:t> </w:t>
      </w:r>
      <w:r>
        <w:rPr/>
        <w:t>que</w:t>
      </w:r>
      <w:r>
        <w:rPr>
          <w:spacing w:val="-13"/>
        </w:rPr>
        <w:t> </w:t>
      </w:r>
      <w:r>
        <w:rPr/>
        <w:t>estos</w:t>
      </w:r>
      <w:r>
        <w:rPr>
          <w:spacing w:val="-13"/>
        </w:rPr>
        <w:t> </w:t>
      </w:r>
      <w:r>
        <w:rPr/>
        <w:t>datos</w:t>
      </w:r>
      <w:r>
        <w:rPr>
          <w:spacing w:val="-13"/>
        </w:rPr>
        <w:t> </w:t>
      </w:r>
      <w:r>
        <w:rPr/>
        <w:t>discrepan</w:t>
      </w:r>
      <w:r>
        <w:rPr>
          <w:spacing w:val="-13"/>
        </w:rPr>
        <w:t> </w:t>
      </w:r>
      <w:r>
        <w:rPr/>
        <w:t>con</w:t>
      </w:r>
      <w:r>
        <w:rPr>
          <w:spacing w:val="-14"/>
        </w:rPr>
        <w:t> </w:t>
      </w:r>
      <w:r>
        <w:rPr/>
        <w:t>los</w:t>
      </w:r>
      <w:r>
        <w:rPr>
          <w:spacing w:val="-13"/>
        </w:rPr>
        <w:t> </w:t>
      </w:r>
      <w:r>
        <w:rPr/>
        <w:t>de</w:t>
      </w:r>
      <w:r>
        <w:rPr>
          <w:spacing w:val="-13"/>
        </w:rPr>
        <w:t> </w:t>
      </w:r>
      <w:r>
        <w:rPr/>
        <w:t>la</w:t>
      </w:r>
      <w:r>
        <w:rPr>
          <w:spacing w:val="-13"/>
        </w:rPr>
        <w:t> </w:t>
      </w:r>
      <w:r>
        <w:rPr/>
        <w:t>balanza de pagos que fueron presentados anteriormente, esta diferencia se encuentra detallada en los</w:t>
      </w:r>
      <w:r>
        <w:rPr>
          <w:spacing w:val="-35"/>
        </w:rPr>
        <w:t> </w:t>
      </w:r>
      <w:r>
        <w:rPr/>
        <w:t>cuadros de conciliación del Banco de Guatemala.</w:t>
      </w:r>
    </w:p>
    <w:p>
      <w:pPr>
        <w:pStyle w:val="BodyText"/>
        <w:spacing w:before="4"/>
        <w:rPr>
          <w:sz w:val="25"/>
        </w:rPr>
      </w:pPr>
    </w:p>
    <w:p>
      <w:pPr>
        <w:pStyle w:val="BodyText"/>
        <w:spacing w:line="276" w:lineRule="auto"/>
        <w:ind w:left="562" w:right="1696"/>
        <w:jc w:val="both"/>
      </w:pPr>
      <w:r>
        <w:rPr/>
        <w:t>Las exportaciones FOB según comercio exterior fueron de US$13,617.9 millones en 2021 mayores a las del 2020 por US$2,516.7 millones. La tasa de crecimiento fue de 22.7 % y se explica principalmente</w:t>
      </w:r>
      <w:r>
        <w:rPr>
          <w:spacing w:val="-9"/>
        </w:rPr>
        <w:t> </w:t>
      </w:r>
      <w:r>
        <w:rPr/>
        <w:t>a</w:t>
      </w:r>
      <w:r>
        <w:rPr>
          <w:spacing w:val="-8"/>
        </w:rPr>
        <w:t> </w:t>
      </w:r>
      <w:r>
        <w:rPr/>
        <w:t>la</w:t>
      </w:r>
      <w:r>
        <w:rPr>
          <w:spacing w:val="-9"/>
        </w:rPr>
        <w:t> </w:t>
      </w:r>
      <w:r>
        <w:rPr/>
        <w:t>recuperación</w:t>
      </w:r>
      <w:r>
        <w:rPr>
          <w:spacing w:val="-9"/>
        </w:rPr>
        <w:t> </w:t>
      </w:r>
      <w:r>
        <w:rPr/>
        <w:t>de</w:t>
      </w:r>
      <w:r>
        <w:rPr>
          <w:spacing w:val="-8"/>
        </w:rPr>
        <w:t> </w:t>
      </w:r>
      <w:r>
        <w:rPr/>
        <w:t>la</w:t>
      </w:r>
      <w:r>
        <w:rPr>
          <w:spacing w:val="-7"/>
        </w:rPr>
        <w:t> </w:t>
      </w:r>
      <w:r>
        <w:rPr/>
        <w:t>demanda</w:t>
      </w:r>
      <w:r>
        <w:rPr>
          <w:spacing w:val="-6"/>
        </w:rPr>
        <w:t> </w:t>
      </w:r>
      <w:r>
        <w:rPr/>
        <w:t>de</w:t>
      </w:r>
      <w:r>
        <w:rPr>
          <w:spacing w:val="-8"/>
        </w:rPr>
        <w:t> </w:t>
      </w:r>
      <w:r>
        <w:rPr/>
        <w:t>los</w:t>
      </w:r>
      <w:r>
        <w:rPr>
          <w:spacing w:val="-9"/>
        </w:rPr>
        <w:t> </w:t>
      </w:r>
      <w:r>
        <w:rPr/>
        <w:t>principales</w:t>
      </w:r>
      <w:r>
        <w:rPr>
          <w:spacing w:val="-8"/>
        </w:rPr>
        <w:t> </w:t>
      </w:r>
      <w:r>
        <w:rPr/>
        <w:t>socios</w:t>
      </w:r>
      <w:r>
        <w:rPr>
          <w:spacing w:val="-8"/>
        </w:rPr>
        <w:t> </w:t>
      </w:r>
      <w:r>
        <w:rPr/>
        <w:t>económicos</w:t>
      </w:r>
      <w:r>
        <w:rPr>
          <w:spacing w:val="-6"/>
        </w:rPr>
        <w:t> </w:t>
      </w:r>
      <w:r>
        <w:rPr/>
        <w:t>y</w:t>
      </w:r>
      <w:r>
        <w:rPr>
          <w:spacing w:val="-9"/>
        </w:rPr>
        <w:t> </w:t>
      </w:r>
      <w:r>
        <w:rPr/>
        <w:t>además</w:t>
      </w:r>
      <w:r>
        <w:rPr>
          <w:spacing w:val="-6"/>
        </w:rPr>
        <w:t> </w:t>
      </w:r>
      <w:r>
        <w:rPr/>
        <w:t>de</w:t>
      </w:r>
      <w:r>
        <w:rPr>
          <w:spacing w:val="-8"/>
        </w:rPr>
        <w:t> </w:t>
      </w:r>
      <w:r>
        <w:rPr/>
        <w:t>un incremento general en los precios de los productos de exportación como lo refleja el deflactor de las exportaciones de bienes y servicios de cuentas nacionales y el incremento en el precio medio de las exportaciones de</w:t>
      </w:r>
      <w:r>
        <w:rPr>
          <w:spacing w:val="-3"/>
        </w:rPr>
        <w:t> </w:t>
      </w:r>
      <w:r>
        <w:rPr/>
        <w:t>bienes.</w:t>
      </w:r>
    </w:p>
    <w:p>
      <w:pPr>
        <w:pStyle w:val="BodyText"/>
        <w:spacing w:before="5"/>
        <w:rPr>
          <w:sz w:val="25"/>
        </w:rPr>
      </w:pPr>
    </w:p>
    <w:p>
      <w:pPr>
        <w:pStyle w:val="BodyText"/>
        <w:spacing w:line="276" w:lineRule="auto"/>
        <w:ind w:left="562" w:right="1695"/>
        <w:jc w:val="both"/>
      </w:pPr>
      <w:r>
        <w:rPr/>
        <w:t>Los principales destinos de exportación de bienes fueron Centroamérica (35.3%), Estados Unidos (31.4%), México ( 4.4)%, Países Bajos ( 2.9 %), China ( 2.5%), Italia ( 2.2%) y España ( 2.0%). Asimismo, entre los principales productos de exportación en 2021 se encuentran los artículos de vestuario que tuvieron un crecimiento de 30.5% explicado por un incremento tanto en el volumen como en los precios. Por su lado, el café tuvo un alto crecimiento de 42.4%. Las grasas y aceites comestibles tuvieron un crecimiento de 55.4% explicado principalmente por el aumento en el precio medio. En el caso del banano tuvo un crecimiento leve de 2.7% e incluso una disminución en el volumen. El hierro y acero tuvieron un incremento de 37.3% explicado por el aumento de precios y volumen.</w:t>
      </w:r>
      <w:r>
        <w:rPr>
          <w:spacing w:val="-14"/>
        </w:rPr>
        <w:t> </w:t>
      </w:r>
      <w:r>
        <w:rPr/>
        <w:t>Por</w:t>
      </w:r>
      <w:r>
        <w:rPr>
          <w:spacing w:val="-14"/>
        </w:rPr>
        <w:t> </w:t>
      </w:r>
      <w:r>
        <w:rPr/>
        <w:t>su</w:t>
      </w:r>
      <w:r>
        <w:rPr>
          <w:spacing w:val="-16"/>
        </w:rPr>
        <w:t> </w:t>
      </w:r>
      <w:r>
        <w:rPr/>
        <w:t>lado,</w:t>
      </w:r>
      <w:r>
        <w:rPr>
          <w:spacing w:val="-16"/>
        </w:rPr>
        <w:t> </w:t>
      </w:r>
      <w:r>
        <w:rPr/>
        <w:t>los</w:t>
      </w:r>
      <w:r>
        <w:rPr>
          <w:spacing w:val="-16"/>
        </w:rPr>
        <w:t> </w:t>
      </w:r>
      <w:r>
        <w:rPr/>
        <w:t>materiales</w:t>
      </w:r>
      <w:r>
        <w:rPr>
          <w:spacing w:val="-13"/>
        </w:rPr>
        <w:t> </w:t>
      </w:r>
      <w:r>
        <w:rPr/>
        <w:t>plásticos</w:t>
      </w:r>
      <w:r>
        <w:rPr>
          <w:spacing w:val="-16"/>
        </w:rPr>
        <w:t> </w:t>
      </w:r>
      <w:r>
        <w:rPr/>
        <w:t>y</w:t>
      </w:r>
      <w:r>
        <w:rPr>
          <w:spacing w:val="-17"/>
        </w:rPr>
        <w:t> </w:t>
      </w:r>
      <w:r>
        <w:rPr/>
        <w:t>sus</w:t>
      </w:r>
      <w:r>
        <w:rPr>
          <w:spacing w:val="-16"/>
        </w:rPr>
        <w:t> </w:t>
      </w:r>
      <w:r>
        <w:rPr/>
        <w:t>manufacturas</w:t>
      </w:r>
      <w:r>
        <w:rPr>
          <w:spacing w:val="-14"/>
        </w:rPr>
        <w:t> </w:t>
      </w:r>
      <w:r>
        <w:rPr/>
        <w:t>mostraron</w:t>
      </w:r>
      <w:r>
        <w:rPr>
          <w:spacing w:val="-13"/>
        </w:rPr>
        <w:t> </w:t>
      </w:r>
      <w:r>
        <w:rPr/>
        <w:t>un</w:t>
      </w:r>
      <w:r>
        <w:rPr>
          <w:spacing w:val="-14"/>
        </w:rPr>
        <w:t> </w:t>
      </w:r>
      <w:r>
        <w:rPr/>
        <w:t>crecimiento</w:t>
      </w:r>
      <w:r>
        <w:rPr>
          <w:spacing w:val="-17"/>
        </w:rPr>
        <w:t> </w:t>
      </w:r>
      <w:r>
        <w:rPr/>
        <w:t>de</w:t>
      </w:r>
      <w:r>
        <w:rPr>
          <w:spacing w:val="-13"/>
        </w:rPr>
        <w:t> </w:t>
      </w:r>
      <w:r>
        <w:rPr/>
        <w:t>39.3%, las</w:t>
      </w:r>
      <w:r>
        <w:rPr>
          <w:spacing w:val="-13"/>
        </w:rPr>
        <w:t> </w:t>
      </w:r>
      <w:r>
        <w:rPr/>
        <w:t>manufacturas</w:t>
      </w:r>
      <w:r>
        <w:rPr>
          <w:spacing w:val="-10"/>
        </w:rPr>
        <w:t> </w:t>
      </w:r>
      <w:r>
        <w:rPr/>
        <w:t>de</w:t>
      </w:r>
      <w:r>
        <w:rPr>
          <w:spacing w:val="-10"/>
        </w:rPr>
        <w:t> </w:t>
      </w:r>
      <w:r>
        <w:rPr/>
        <w:t>papel</w:t>
      </w:r>
      <w:r>
        <w:rPr>
          <w:spacing w:val="-11"/>
        </w:rPr>
        <w:t> </w:t>
      </w:r>
      <w:r>
        <w:rPr/>
        <w:t>y</w:t>
      </w:r>
      <w:r>
        <w:rPr>
          <w:spacing w:val="-16"/>
        </w:rPr>
        <w:t> </w:t>
      </w:r>
      <w:r>
        <w:rPr/>
        <w:t>cartón</w:t>
      </w:r>
      <w:r>
        <w:rPr>
          <w:spacing w:val="-13"/>
        </w:rPr>
        <w:t> </w:t>
      </w:r>
      <w:r>
        <w:rPr/>
        <w:t>un</w:t>
      </w:r>
      <w:r>
        <w:rPr>
          <w:spacing w:val="-13"/>
        </w:rPr>
        <w:t> </w:t>
      </w:r>
      <w:r>
        <w:rPr/>
        <w:t>aumento</w:t>
      </w:r>
      <w:r>
        <w:rPr>
          <w:spacing w:val="-12"/>
        </w:rPr>
        <w:t> </w:t>
      </w:r>
      <w:r>
        <w:rPr/>
        <w:t>de</w:t>
      </w:r>
      <w:r>
        <w:rPr>
          <w:spacing w:val="-12"/>
        </w:rPr>
        <w:t> </w:t>
      </w:r>
      <w:r>
        <w:rPr/>
        <w:t>12.3%</w:t>
      </w:r>
      <w:r>
        <w:rPr>
          <w:spacing w:val="-10"/>
        </w:rPr>
        <w:t> </w:t>
      </w:r>
      <w:r>
        <w:rPr/>
        <w:t>y</w:t>
      </w:r>
      <w:r>
        <w:rPr>
          <w:spacing w:val="-13"/>
        </w:rPr>
        <w:t> </w:t>
      </w:r>
      <w:r>
        <w:rPr/>
        <w:t>el</w:t>
      </w:r>
      <w:r>
        <w:rPr>
          <w:spacing w:val="-11"/>
        </w:rPr>
        <w:t> </w:t>
      </w:r>
      <w:r>
        <w:rPr/>
        <w:t>cardamomo</w:t>
      </w:r>
      <w:r>
        <w:rPr>
          <w:spacing w:val="-11"/>
        </w:rPr>
        <w:t> </w:t>
      </w:r>
      <w:r>
        <w:rPr/>
        <w:t>y</w:t>
      </w:r>
      <w:r>
        <w:rPr>
          <w:spacing w:val="-13"/>
        </w:rPr>
        <w:t> </w:t>
      </w:r>
      <w:r>
        <w:rPr/>
        <w:t>el</w:t>
      </w:r>
      <w:r>
        <w:rPr>
          <w:spacing w:val="-11"/>
        </w:rPr>
        <w:t> </w:t>
      </w:r>
      <w:r>
        <w:rPr/>
        <w:t>azúcar</w:t>
      </w:r>
      <w:r>
        <w:rPr>
          <w:spacing w:val="-10"/>
        </w:rPr>
        <w:t> </w:t>
      </w:r>
      <w:r>
        <w:rPr/>
        <w:t>una</w:t>
      </w:r>
      <w:r>
        <w:rPr>
          <w:spacing w:val="-13"/>
        </w:rPr>
        <w:t> </w:t>
      </w:r>
      <w:r>
        <w:rPr/>
        <w:t>disminución de 28.1% y 11.9%, respectivamente. Estos productos de exportación representaron 49.9% del total FOB de comercio</w:t>
      </w:r>
      <w:r>
        <w:rPr>
          <w:spacing w:val="-5"/>
        </w:rPr>
        <w:t> </w:t>
      </w:r>
      <w:r>
        <w:rPr/>
        <w:t>exterior.</w:t>
      </w:r>
    </w:p>
    <w:p>
      <w:pPr>
        <w:spacing w:after="0" w:line="276" w:lineRule="auto"/>
        <w:jc w:val="both"/>
        <w:sectPr>
          <w:pgSz w:w="12240" w:h="15840"/>
          <w:pgMar w:header="715" w:footer="957" w:top="1240" w:bottom="1140" w:left="1140" w:right="0"/>
        </w:sectPr>
      </w:pPr>
    </w:p>
    <w:p>
      <w:pPr>
        <w:spacing w:before="169"/>
        <w:ind w:left="2719" w:right="0" w:firstLine="0"/>
        <w:jc w:val="left"/>
        <w:rPr>
          <w:b/>
          <w:sz w:val="20"/>
        </w:rPr>
      </w:pPr>
      <w:bookmarkStart w:name="_bookmark58" w:id="77"/>
      <w:bookmarkEnd w:id="77"/>
      <w:r>
        <w:rPr/>
      </w:r>
      <w:r>
        <w:rPr>
          <w:b/>
          <w:i/>
          <w:sz w:val="20"/>
        </w:rPr>
        <w:t>Gráfico 24. </w:t>
      </w:r>
      <w:r>
        <w:rPr>
          <w:b/>
          <w:sz w:val="20"/>
        </w:rPr>
        <w:t>Exportaciones FOB de comercio exterior</w:t>
      </w:r>
    </w:p>
    <w:p>
      <w:pPr>
        <w:tabs>
          <w:tab w:pos="6358" w:val="left" w:leader="none"/>
        </w:tabs>
        <w:spacing w:before="33"/>
        <w:ind w:left="1409" w:right="0" w:firstLine="0"/>
        <w:jc w:val="left"/>
        <w:rPr>
          <w:b/>
          <w:sz w:val="18"/>
        </w:rPr>
      </w:pPr>
      <w:r>
        <w:rPr/>
        <w:drawing>
          <wp:anchor distT="0" distB="0" distL="0" distR="0" allowOverlap="1" layoutInCell="1" locked="0" behindDoc="0" simplePos="0" relativeHeight="251999232">
            <wp:simplePos x="0" y="0"/>
            <wp:positionH relativeFrom="page">
              <wp:posOffset>1200577</wp:posOffset>
            </wp:positionH>
            <wp:positionV relativeFrom="paragraph">
              <wp:posOffset>247379</wp:posOffset>
            </wp:positionV>
            <wp:extent cx="2693242" cy="1998492"/>
            <wp:effectExtent l="0" t="0" r="0" b="0"/>
            <wp:wrapNone/>
            <wp:docPr id="7" name="image20.png"/>
            <wp:cNvGraphicFramePr>
              <a:graphicFrameLocks noChangeAspect="1"/>
            </wp:cNvGraphicFramePr>
            <a:graphic>
              <a:graphicData uri="http://schemas.openxmlformats.org/drawingml/2006/picture">
                <pic:pic>
                  <pic:nvPicPr>
                    <pic:cNvPr id="8" name="image20.png"/>
                    <pic:cNvPicPr/>
                  </pic:nvPicPr>
                  <pic:blipFill>
                    <a:blip r:embed="rId26" cstate="print"/>
                    <a:stretch>
                      <a:fillRect/>
                    </a:stretch>
                  </pic:blipFill>
                  <pic:spPr>
                    <a:xfrm>
                      <a:off x="0" y="0"/>
                      <a:ext cx="2693242" cy="1998492"/>
                    </a:xfrm>
                    <a:prstGeom prst="rect">
                      <a:avLst/>
                    </a:prstGeom>
                  </pic:spPr>
                </pic:pic>
              </a:graphicData>
            </a:graphic>
          </wp:anchor>
        </w:drawing>
      </w:r>
      <w:r>
        <w:rPr/>
        <w:pict>
          <v:shape style="position:absolute;margin-left:362.679993pt;margin-top:23.592365pt;width:65.4pt;height:24.25pt;mso-position-horizontal-relative:page;mso-position-vertical-relative:paragraph;z-index:252012544" type="#_x0000_t202" filled="false" stroked="true" strokeweight=".72pt" strokecolor="#b4c6e7">
            <v:textbox inset="0,0,0,0">
              <w:txbxContent>
                <w:p>
                  <w:pPr>
                    <w:spacing w:line="242" w:lineRule="auto" w:before="73"/>
                    <w:ind w:left="128" w:right="26" w:hanging="27"/>
                    <w:jc w:val="left"/>
                    <w:rPr>
                      <w:sz w:val="14"/>
                    </w:rPr>
                  </w:pPr>
                  <w:r>
                    <w:rPr>
                      <w:color w:val="404040"/>
                      <w:sz w:val="14"/>
                    </w:rPr>
                    <w:t>Materiales plásticos y sus manufacturas</w:t>
                  </w:r>
                </w:p>
              </w:txbxContent>
            </v:textbox>
            <v:stroke dashstyle="solid"/>
            <w10:wrap type="none"/>
          </v:shape>
        </w:pict>
      </w:r>
      <w:r>
        <w:rPr>
          <w:b/>
          <w:sz w:val="18"/>
        </w:rPr>
        <w:t>Principales destinos</w:t>
      </w:r>
      <w:r>
        <w:rPr>
          <w:b/>
          <w:spacing w:val="-6"/>
          <w:sz w:val="18"/>
        </w:rPr>
        <w:t> </w:t>
      </w:r>
      <w:r>
        <w:rPr>
          <w:b/>
          <w:sz w:val="18"/>
        </w:rPr>
        <w:t>(en</w:t>
      </w:r>
      <w:r>
        <w:rPr>
          <w:b/>
          <w:spacing w:val="-2"/>
          <w:sz w:val="18"/>
        </w:rPr>
        <w:t> </w:t>
      </w:r>
      <w:r>
        <w:rPr>
          <w:b/>
          <w:sz w:val="18"/>
        </w:rPr>
        <w:t>porcentaje)</w:t>
        <w:tab/>
        <w:t>Principales</w:t>
      </w:r>
      <w:r>
        <w:rPr>
          <w:b/>
          <w:spacing w:val="2"/>
          <w:sz w:val="18"/>
        </w:rPr>
        <w:t> </w:t>
      </w:r>
      <w:r>
        <w:rPr>
          <w:b/>
          <w:sz w:val="18"/>
        </w:rPr>
        <w:t>productos</w:t>
      </w:r>
    </w:p>
    <w:p>
      <w:pPr>
        <w:pStyle w:val="BodyText"/>
        <w:rPr>
          <w:b/>
          <w:sz w:val="20"/>
        </w:rPr>
      </w:pPr>
    </w:p>
    <w:p>
      <w:pPr>
        <w:pStyle w:val="BodyText"/>
        <w:rPr>
          <w:b/>
          <w:sz w:val="20"/>
        </w:rPr>
      </w:pPr>
    </w:p>
    <w:p>
      <w:pPr>
        <w:spacing w:before="134"/>
        <w:ind w:left="1395" w:right="1389" w:firstLine="0"/>
        <w:jc w:val="center"/>
        <w:rPr>
          <w:sz w:val="14"/>
        </w:rPr>
      </w:pPr>
      <w:r>
        <w:rPr/>
        <w:pict>
          <v:line style="position:absolute;mso-position-horizontal-relative:page;mso-position-vertical-relative:paragraph;z-index:252000256" from="397.679993pt,12.875164pt" to="397.679993pt,41.435164pt" stroked="true" strokeweight=".72pt" strokecolor="#bebebe">
            <v:stroke dashstyle="solid"/>
            <w10:wrap type="none"/>
          </v:line>
        </w:pict>
      </w:r>
      <w:r>
        <w:rPr/>
        <w:pict>
          <v:group style="position:absolute;margin-left:403.559998pt;margin-top:14.915164pt;width:51.85pt;height:38.4pt;mso-position-horizontal-relative:page;mso-position-vertical-relative:paragraph;z-index:252011520" coordorigin="8071,298" coordsize="1037,768">
            <v:shape style="position:absolute;left:8071;top:531;width:471;height:473" coordorigin="8071,531" coordsize="471,473" path="m8306,531l8232,543,8168,577,8117,628,8083,693,8071,768,8083,842,8117,907,8168,958,8232,992,8306,1004,8381,992,8445,958,8496,907,8530,842,8542,768,8530,693,8496,628,8445,577,8381,543,8306,531xe" filled="true" fillcolor="#5b9bd4" stroked="false">
              <v:path arrowok="t"/>
              <v:fill type="solid"/>
            </v:shape>
            <v:shape style="position:absolute;left:8385;top:490;width:363;height:363" coordorigin="8386,490" coordsize="363,363" path="m8567,490l8496,505,8439,543,8400,601,8386,672,8400,742,8439,800,8496,838,8567,853,8637,838,8695,800,8734,742,8748,672,8734,601,8695,543,8637,505,8567,490xe" filled="true" fillcolor="#e1efd9" stroked="false">
              <v:path arrowok="t"/>
              <v:fill type="solid"/>
            </v:shape>
            <v:shape style="position:absolute;left:8469;top:778;width:288;height:288" coordorigin="8470,778" coordsize="288,288" path="m8614,778l8558,790,8512,820,8481,866,8470,922,8481,978,8512,1024,8558,1055,8614,1066,8670,1055,8715,1024,8746,978,8758,922,8746,866,8715,820,8670,790,8614,778xe" filled="true" fillcolor="#e6df44" stroked="false">
              <v:path arrowok="t"/>
              <v:fill type="solid"/>
            </v:shape>
            <v:shape style="position:absolute;left:8184;top:298;width:276;height:276" coordorigin="8184,298" coordsize="276,276" path="m8322,298l8268,309,8224,339,8195,383,8184,436,8195,490,8224,534,8268,563,8322,574,8376,563,8420,534,8449,490,8460,436,8449,383,8420,339,8376,309,8322,298xe" filled="true" fillcolor="#8faadc" stroked="false">
              <v:path arrowok="t"/>
              <v:fill type="solid"/>
            </v:shape>
            <v:rect style="position:absolute;left:8716;top:360;width:384;height:221" filled="true" fillcolor="#ffffff" stroked="false">
              <v:fill type="solid"/>
            </v:rect>
            <v:shape style="position:absolute;left:8716;top:360;width:384;height:221" type="#_x0000_t202" filled="false" stroked="true" strokeweight=".72pt" strokecolor="#c5dfb4">
              <v:textbox inset="0,0,0,0">
                <w:txbxContent>
                  <w:p>
                    <w:pPr>
                      <w:spacing w:before="22"/>
                      <w:ind w:left="55" w:right="0" w:firstLine="0"/>
                      <w:jc w:val="left"/>
                      <w:rPr>
                        <w:sz w:val="14"/>
                      </w:rPr>
                    </w:pPr>
                    <w:r>
                      <w:rPr>
                        <w:color w:val="404040"/>
                        <w:sz w:val="14"/>
                      </w:rPr>
                      <w:t>Café</w:t>
                    </w:r>
                  </w:p>
                </w:txbxContent>
              </v:textbox>
              <v:stroke dashstyle="solid"/>
              <w10:wrap type="none"/>
            </v:shape>
            <w10:wrap type="none"/>
          </v:group>
        </w:pict>
      </w:r>
      <w:r>
        <w:rPr>
          <w:color w:val="585858"/>
          <w:sz w:val="14"/>
        </w:rPr>
        <w:t>30.0</w:t>
      </w:r>
    </w:p>
    <w:p>
      <w:pPr>
        <w:pStyle w:val="BodyText"/>
        <w:rPr>
          <w:sz w:val="14"/>
        </w:rPr>
      </w:pPr>
    </w:p>
    <w:p>
      <w:pPr>
        <w:spacing w:before="125"/>
        <w:ind w:left="1395" w:right="1389" w:firstLine="0"/>
        <w:jc w:val="center"/>
        <w:rPr>
          <w:sz w:val="14"/>
        </w:rPr>
      </w:pPr>
      <w:r>
        <w:rPr/>
        <w:pict>
          <v:group style="position:absolute;margin-left:362.320007pt;margin-top:18.285137pt;width:163.550pt;height:103.6pt;mso-position-horizontal-relative:page;mso-position-vertical-relative:paragraph;z-index:252008448" coordorigin="7246,366" coordsize="3271,2072">
            <v:shape style="position:absolute;left:7785;top:756;width:1942;height:1452" coordorigin="7786,757" coordsize="1942,1452" path="m7954,757l7954,2209m7786,1105l9727,1105e" filled="false" stroked="true" strokeweight=".72pt" strokecolor="#bebebe">
              <v:path arrowok="t"/>
              <v:stroke dashstyle="solid"/>
            </v:shape>
            <v:shape style="position:absolute;left:9398;top:749;width:358;height:360" type="#_x0000_t75" stroked="false">
              <v:imagedata r:id="rId27" o:title=""/>
            </v:shape>
            <v:shape style="position:absolute;left:7893;top:968;width:344;height:344" coordorigin="7894,968" coordsize="344,344" path="m8065,968l7998,982,7944,1018,7907,1073,7894,1140,7907,1207,7944,1261,7998,1298,8065,1311,8132,1298,8187,1261,8223,1207,8237,1140,8223,1073,8187,1018,8132,982,8065,968xe" filled="true" fillcolor="#b80d47" stroked="false">
              <v:path arrowok="t"/>
              <v:fill type="solid"/>
            </v:shape>
            <v:shape style="position:absolute;left:7512;top:1899;width:272;height:272" type="#_x0000_t75" stroked="false">
              <v:imagedata r:id="rId28" o:title=""/>
            </v:shape>
            <v:shape style="position:absolute;left:8174;top:1889;width:267;height:269" type="#_x0000_t75" stroked="false">
              <v:imagedata r:id="rId29" o:title=""/>
            </v:shape>
            <v:shape style="position:absolute;left:8256;top:1008;width:228;height:228" coordorigin="8256,1009" coordsize="228,228" path="m8370,1009l8326,1018,8289,1042,8265,1079,8256,1123,8265,1167,8289,1204,8326,1228,8370,1237,8414,1228,8451,1204,8475,1167,8484,1123,8475,1079,8451,1042,8414,1018,8370,1009xe" filled="true" fillcolor="#3b1047" stroked="false">
              <v:path arrowok="t"/>
              <v:fill type="solid"/>
            </v:shape>
            <v:shape style="position:absolute;left:8464;top:1023;width:2045;height:795" coordorigin="8465,1023" coordsize="2045,795" path="m9444,1148l8465,1148,8465,1818,9444,1818,9444,1148m10510,1023l9727,1023,9727,1568,10510,1568,10510,1023e" filled="true" fillcolor="#ffffff" stroked="false">
              <v:path arrowok="t"/>
              <v:fill type="solid"/>
            </v:shape>
            <v:shape style="position:absolute;left:7404;top:2208;width:812;height:221" type="#_x0000_t202" filled="false" stroked="true" strokeweight=".72pt" strokecolor="#2b6a6c">
              <v:textbox inset="0,0,0,0">
                <w:txbxContent>
                  <w:p>
                    <w:pPr>
                      <w:spacing w:before="22"/>
                      <w:ind w:left="58" w:right="0" w:firstLine="0"/>
                      <w:jc w:val="left"/>
                      <w:rPr>
                        <w:sz w:val="14"/>
                      </w:rPr>
                    </w:pPr>
                    <w:r>
                      <w:rPr>
                        <w:color w:val="404040"/>
                        <w:sz w:val="14"/>
                      </w:rPr>
                      <w:t>Cardamomo</w:t>
                    </w:r>
                  </w:p>
                </w:txbxContent>
              </v:textbox>
              <v:stroke dashstyle="solid"/>
              <w10:wrap type="none"/>
            </v:shape>
            <v:shape style="position:absolute;left:9727;top:1104;width:783;height:464" type="#_x0000_t202" filled="false" stroked="true" strokeweight=".72pt" strokecolor="#be9000">
              <v:textbox inset="0,0,0,0">
                <w:txbxContent>
                  <w:p>
                    <w:pPr>
                      <w:spacing w:line="102" w:lineRule="exact" w:before="0"/>
                      <w:ind w:left="142" w:right="0" w:firstLine="0"/>
                      <w:jc w:val="left"/>
                      <w:rPr>
                        <w:sz w:val="14"/>
                      </w:rPr>
                    </w:pPr>
                    <w:r>
                      <w:rPr>
                        <w:color w:val="404040"/>
                        <w:sz w:val="14"/>
                      </w:rPr>
                      <w:t>Grasas y</w:t>
                    </w:r>
                  </w:p>
                  <w:p>
                    <w:pPr>
                      <w:spacing w:before="2"/>
                      <w:ind w:left="58" w:right="0" w:firstLine="136"/>
                      <w:jc w:val="left"/>
                      <w:rPr>
                        <w:sz w:val="14"/>
                      </w:rPr>
                    </w:pPr>
                    <w:r>
                      <w:rPr>
                        <w:color w:val="404040"/>
                        <w:sz w:val="14"/>
                      </w:rPr>
                      <w:t>aceites </w:t>
                    </w:r>
                    <w:r>
                      <w:rPr>
                        <w:color w:val="404040"/>
                        <w:w w:val="95"/>
                        <w:sz w:val="14"/>
                      </w:rPr>
                      <w:t>comestibles</w:t>
                    </w:r>
                  </w:p>
                </w:txbxContent>
              </v:textbox>
              <v:stroke dashstyle="solid"/>
              <w10:wrap type="none"/>
            </v:shape>
            <v:shape style="position:absolute;left:8464;top:1104;width:980;height:713" type="#_x0000_t202" filled="false" stroked="true" strokeweight=".72pt" strokecolor="#011a27">
              <v:textbox inset="0,0,0,0">
                <w:txbxContent>
                  <w:p>
                    <w:pPr>
                      <w:spacing w:line="240" w:lineRule="auto" w:before="2"/>
                      <w:rPr>
                        <w:sz w:val="11"/>
                      </w:rPr>
                    </w:pPr>
                  </w:p>
                  <w:p>
                    <w:pPr>
                      <w:spacing w:line="242" w:lineRule="auto" w:before="0"/>
                      <w:ind w:left="105" w:right="100" w:firstLine="0"/>
                      <w:jc w:val="center"/>
                      <w:rPr>
                        <w:sz w:val="14"/>
                      </w:rPr>
                    </w:pPr>
                    <w:r>
                      <w:rPr>
                        <w:color w:val="404040"/>
                        <w:w w:val="95"/>
                        <w:sz w:val="14"/>
                      </w:rPr>
                      <w:t>Manufacturas </w:t>
                    </w:r>
                    <w:r>
                      <w:rPr>
                        <w:color w:val="404040"/>
                        <w:sz w:val="14"/>
                      </w:rPr>
                      <w:t>de papel y cartón</w:t>
                    </w:r>
                  </w:p>
                </w:txbxContent>
              </v:textbox>
              <v:stroke dashstyle="solid"/>
              <w10:wrap type="none"/>
            </v:shape>
            <v:shape style="position:absolute;left:7253;top:1026;width:532;height:225" type="#_x0000_t202" filled="false" stroked="true" strokeweight=".72pt" strokecolor="#b80d47">
              <v:textbox inset="0,0,0,0">
                <w:txbxContent>
                  <w:p>
                    <w:pPr>
                      <w:spacing w:before="25"/>
                      <w:ind w:left="40" w:right="0" w:firstLine="0"/>
                      <w:jc w:val="left"/>
                      <w:rPr>
                        <w:sz w:val="14"/>
                      </w:rPr>
                    </w:pPr>
                    <w:r>
                      <w:rPr>
                        <w:color w:val="404040"/>
                        <w:sz w:val="14"/>
                      </w:rPr>
                      <w:t>Banano</w:t>
                    </w:r>
                  </w:p>
                </w:txbxContent>
              </v:textbox>
              <v:stroke dashstyle="solid"/>
              <w10:wrap type="none"/>
            </v:shape>
            <v:shape style="position:absolute;left:7253;top:372;width:806;height:384" type="#_x0000_t202" filled="false" stroked="true" strokeweight=".72pt" strokecolor="#5b9bd4">
              <v:textbox inset="0,0,0,0">
                <w:txbxContent>
                  <w:p>
                    <w:pPr>
                      <w:spacing w:line="242" w:lineRule="auto" w:before="23"/>
                      <w:ind w:left="143" w:right="34" w:hanging="94"/>
                      <w:jc w:val="left"/>
                      <w:rPr>
                        <w:sz w:val="14"/>
                      </w:rPr>
                    </w:pPr>
                    <w:r>
                      <w:rPr>
                        <w:color w:val="404040"/>
                        <w:sz w:val="14"/>
                      </w:rPr>
                      <w:t>Artículos de vestuario</w:t>
                    </w:r>
                  </w:p>
                </w:txbxContent>
              </v:textbox>
              <v:stroke dashstyle="solid"/>
              <w10:wrap type="none"/>
            </v:shape>
            <v:shape style="position:absolute;left:8294;top:2175;width:524;height:221" type="#_x0000_t202" filled="false" stroked="true" strokeweight=".72pt" strokecolor="#ef810f">
              <v:textbox inset="0,0,0,0">
                <w:txbxContent>
                  <w:p>
                    <w:pPr>
                      <w:spacing w:before="22"/>
                      <w:ind w:left="56" w:right="0" w:firstLine="0"/>
                      <w:jc w:val="left"/>
                      <w:rPr>
                        <w:sz w:val="14"/>
                      </w:rPr>
                    </w:pPr>
                    <w:r>
                      <w:rPr>
                        <w:color w:val="404040"/>
                        <w:sz w:val="14"/>
                      </w:rPr>
                      <w:t>Azúcar</w:t>
                    </w:r>
                  </w:p>
                </w:txbxContent>
              </v:textbox>
              <v:stroke dashstyle="solid"/>
              <w10:wrap type="none"/>
            </v:shape>
            <v:shape style="position:absolute;left:8604;top:653;width:591;height:382" type="#_x0000_t202" filled="false" stroked="true" strokeweight=".72pt" strokecolor="#e6df44">
              <v:textbox inset="0,0,0,0">
                <w:txbxContent>
                  <w:p>
                    <w:pPr>
                      <w:spacing w:line="242" w:lineRule="auto" w:before="22"/>
                      <w:ind w:left="138" w:right="32" w:hanging="84"/>
                      <w:jc w:val="left"/>
                      <w:rPr>
                        <w:sz w:val="14"/>
                      </w:rPr>
                    </w:pPr>
                    <w:r>
                      <w:rPr>
                        <w:color w:val="404040"/>
                        <w:sz w:val="14"/>
                      </w:rPr>
                      <w:t>Hierro y acero</w:t>
                    </w:r>
                  </w:p>
                </w:txbxContent>
              </v:textbox>
              <v:stroke dashstyle="solid"/>
              <w10:wrap type="none"/>
            </v:shape>
            <w10:wrap type="none"/>
          </v:group>
        </w:pict>
      </w:r>
      <w:r>
        <w:rPr/>
        <w:pict>
          <v:shape style="position:absolute;margin-left:312.647858pt;margin-top:3.195676pt;width:9.75pt;height:104.2pt;mso-position-horizontal-relative:page;mso-position-vertical-relative:paragraph;z-index:252013568" type="#_x0000_t202" filled="false" stroked="false">
            <v:textbox inset="0,0,0,0" style="layout-flow:vertical;mso-layout-flow-alt:bottom-to-top">
              <w:txbxContent>
                <w:p>
                  <w:pPr>
                    <w:spacing w:before="13"/>
                    <w:ind w:left="20" w:right="0" w:firstLine="0"/>
                    <w:jc w:val="left"/>
                    <w:rPr>
                      <w:sz w:val="14"/>
                    </w:rPr>
                  </w:pPr>
                  <w:r>
                    <w:rPr>
                      <w:color w:val="585858"/>
                      <w:sz w:val="14"/>
                    </w:rPr>
                    <w:t>Variación porcentual volumen en kg</w:t>
                  </w:r>
                </w:p>
              </w:txbxContent>
            </v:textbox>
            <w10:wrap type="none"/>
          </v:shape>
        </w:pict>
      </w:r>
      <w:r>
        <w:rPr>
          <w:color w:val="585858"/>
          <w:sz w:val="14"/>
        </w:rPr>
        <w:t>20.0</w:t>
      </w:r>
    </w:p>
    <w:p>
      <w:pPr>
        <w:pStyle w:val="BodyText"/>
        <w:rPr>
          <w:sz w:val="14"/>
        </w:rPr>
      </w:pPr>
    </w:p>
    <w:p>
      <w:pPr>
        <w:spacing w:before="125"/>
        <w:ind w:left="1395" w:right="1389" w:firstLine="0"/>
        <w:jc w:val="center"/>
        <w:rPr>
          <w:sz w:val="14"/>
        </w:rPr>
      </w:pPr>
      <w:r>
        <w:rPr>
          <w:color w:val="585858"/>
          <w:sz w:val="14"/>
        </w:rPr>
        <w:t>10.0</w:t>
      </w:r>
    </w:p>
    <w:p>
      <w:pPr>
        <w:pStyle w:val="BodyText"/>
        <w:rPr>
          <w:sz w:val="14"/>
        </w:rPr>
      </w:pPr>
    </w:p>
    <w:p>
      <w:pPr>
        <w:spacing w:before="125"/>
        <w:ind w:left="65" w:right="0" w:firstLine="0"/>
        <w:jc w:val="center"/>
        <w:rPr>
          <w:sz w:val="14"/>
        </w:rPr>
      </w:pPr>
      <w:r>
        <w:rPr/>
        <w:pict>
          <v:line style="position:absolute;mso-position-horizontal-relative:page;mso-position-vertical-relative:paragraph;z-index:252009472" from="348.359985pt,10.525166pt" to="361.799985pt,10.525166pt" stroked="true" strokeweight=".72pt" strokecolor="#bebebe">
            <v:stroke dashstyle="solid"/>
            <w10:wrap type="none"/>
          </v:line>
        </w:pict>
      </w:r>
      <w:r>
        <w:rPr>
          <w:color w:val="585858"/>
          <w:w w:val="99"/>
          <w:sz w:val="14"/>
        </w:rPr>
        <w:t>-</w:t>
      </w:r>
    </w:p>
    <w:p>
      <w:pPr>
        <w:pStyle w:val="BodyText"/>
        <w:rPr>
          <w:sz w:val="14"/>
        </w:rPr>
      </w:pPr>
    </w:p>
    <w:p>
      <w:pPr>
        <w:spacing w:before="125"/>
        <w:ind w:left="1395" w:right="1433" w:firstLine="0"/>
        <w:jc w:val="center"/>
        <w:rPr>
          <w:sz w:val="14"/>
        </w:rPr>
      </w:pPr>
      <w:r>
        <w:rPr>
          <w:color w:val="585858"/>
          <w:sz w:val="14"/>
        </w:rPr>
        <w:t>-10.0</w:t>
      </w:r>
    </w:p>
    <w:p>
      <w:pPr>
        <w:pStyle w:val="BodyText"/>
        <w:rPr>
          <w:sz w:val="14"/>
        </w:rPr>
      </w:pPr>
    </w:p>
    <w:p>
      <w:pPr>
        <w:spacing w:before="125"/>
        <w:ind w:left="1395" w:right="1433" w:firstLine="0"/>
        <w:jc w:val="center"/>
        <w:rPr>
          <w:sz w:val="14"/>
        </w:rPr>
      </w:pPr>
      <w:r>
        <w:rPr>
          <w:color w:val="585858"/>
          <w:sz w:val="14"/>
        </w:rPr>
        <w:t>-20.0</w:t>
      </w:r>
    </w:p>
    <w:p>
      <w:pPr>
        <w:pStyle w:val="BodyText"/>
        <w:spacing w:before="9"/>
        <w:rPr>
          <w:sz w:val="16"/>
        </w:rPr>
      </w:pPr>
    </w:p>
    <w:p>
      <w:pPr>
        <w:spacing w:before="93"/>
        <w:ind w:left="1395" w:right="1433" w:firstLine="0"/>
        <w:jc w:val="center"/>
        <w:rPr>
          <w:sz w:val="14"/>
        </w:rPr>
      </w:pPr>
      <w:r>
        <w:rPr>
          <w:color w:val="585858"/>
          <w:sz w:val="14"/>
        </w:rPr>
        <w:t>-30.0</w:t>
      </w:r>
    </w:p>
    <w:p>
      <w:pPr>
        <w:tabs>
          <w:tab w:pos="6298" w:val="left" w:leader="none"/>
          <w:tab w:pos="6985" w:val="left" w:leader="none"/>
          <w:tab w:pos="7641" w:val="left" w:leader="none"/>
          <w:tab w:pos="8298" w:val="left" w:leader="none"/>
          <w:tab w:pos="8955" w:val="left" w:leader="none"/>
        </w:tabs>
        <w:spacing w:before="26"/>
        <w:ind w:left="5642" w:right="0" w:firstLine="0"/>
        <w:jc w:val="left"/>
        <w:rPr>
          <w:sz w:val="18"/>
        </w:rPr>
      </w:pPr>
      <w:r>
        <w:rPr>
          <w:color w:val="585858"/>
          <w:sz w:val="18"/>
        </w:rPr>
        <w:t>-30.0</w:t>
        <w:tab/>
        <w:t>-10.0</w:t>
        <w:tab/>
        <w:t>10.0</w:t>
        <w:tab/>
        <w:t>30.0</w:t>
        <w:tab/>
        <w:t>50.0</w:t>
        <w:tab/>
        <w:t>70.0</w:t>
      </w:r>
    </w:p>
    <w:p>
      <w:pPr>
        <w:spacing w:before="40"/>
        <w:ind w:left="6393" w:right="0" w:firstLine="0"/>
        <w:jc w:val="left"/>
        <w:rPr>
          <w:sz w:val="14"/>
        </w:rPr>
      </w:pPr>
      <w:r>
        <w:rPr>
          <w:color w:val="585858"/>
          <w:sz w:val="14"/>
        </w:rPr>
        <w:t>Variación porcentual precio medio</w:t>
      </w:r>
    </w:p>
    <w:p>
      <w:pPr>
        <w:pStyle w:val="BodyText"/>
        <w:spacing w:before="5"/>
        <w:rPr>
          <w:sz w:val="14"/>
        </w:rPr>
      </w:pPr>
    </w:p>
    <w:p>
      <w:pPr>
        <w:spacing w:before="0"/>
        <w:ind w:left="631" w:right="0" w:firstLine="0"/>
        <w:jc w:val="left"/>
        <w:rPr>
          <w:sz w:val="16"/>
        </w:rPr>
      </w:pPr>
      <w:r>
        <w:rPr>
          <w:sz w:val="16"/>
        </w:rPr>
        <w:t>Fuente: Banco de Guatemala.</w:t>
      </w:r>
    </w:p>
    <w:p>
      <w:pPr>
        <w:pStyle w:val="BodyText"/>
        <w:spacing w:before="7"/>
        <w:rPr>
          <w:sz w:val="19"/>
        </w:rPr>
      </w:pPr>
    </w:p>
    <w:p>
      <w:pPr>
        <w:pStyle w:val="BodyText"/>
        <w:spacing w:line="276" w:lineRule="auto" w:before="91"/>
        <w:ind w:left="562" w:right="1696"/>
        <w:jc w:val="both"/>
      </w:pPr>
      <w:r>
        <w:rPr/>
        <w:t>Las importaciones CIF según comercio exterior en 2021 fueron de US$26,607.1 millones mayores en US$8,400.4 millones que las de 2020. La tasa de crecimiento fue de 46.1 % y se debió a la recuperación de la demanda interna por la normalización de los patrones de consumo e inversión </w:t>
      </w:r>
      <w:r>
        <w:rPr>
          <w:spacing w:val="-3"/>
        </w:rPr>
        <w:t>de </w:t>
      </w:r>
      <w:r>
        <w:rPr/>
        <w:t>los agentes económicos y al aumento en los precios de productos importación explicado en parte</w:t>
      </w:r>
      <w:r>
        <w:rPr>
          <w:spacing w:val="-39"/>
        </w:rPr>
        <w:t> </w:t>
      </w:r>
      <w:r>
        <w:rPr/>
        <w:t>por la recuperación en el comercio internacional y por una oferta incapaz de igualar la demanda de muchos productos por la interrupción de la cadena de suministros y la crisis de los contenedores que aumentaron el valor de la gran mayoría de los productos de</w:t>
      </w:r>
      <w:r>
        <w:rPr>
          <w:spacing w:val="-12"/>
        </w:rPr>
        <w:t> </w:t>
      </w:r>
      <w:r>
        <w:rPr/>
        <w:t>importación.</w:t>
      </w:r>
    </w:p>
    <w:p>
      <w:pPr>
        <w:pStyle w:val="BodyText"/>
        <w:spacing w:before="2"/>
        <w:rPr>
          <w:sz w:val="25"/>
        </w:rPr>
      </w:pPr>
    </w:p>
    <w:p>
      <w:pPr>
        <w:pStyle w:val="BodyText"/>
        <w:spacing w:line="276" w:lineRule="auto"/>
        <w:ind w:left="562" w:right="1695"/>
        <w:jc w:val="both"/>
      </w:pPr>
      <w:r>
        <w:rPr/>
        <w:t>Los principales países vendedores de las importaciones del 2021 fueron Estados Unidos (34.0 %), Centroamérica</w:t>
      </w:r>
      <w:r>
        <w:rPr>
          <w:spacing w:val="-6"/>
        </w:rPr>
        <w:t> </w:t>
      </w:r>
      <w:r>
        <w:rPr/>
        <w:t>(14.2</w:t>
      </w:r>
      <w:r>
        <w:rPr>
          <w:spacing w:val="-5"/>
        </w:rPr>
        <w:t> </w:t>
      </w:r>
      <w:r>
        <w:rPr/>
        <w:t>%),</w:t>
      </w:r>
      <w:r>
        <w:rPr>
          <w:spacing w:val="-5"/>
        </w:rPr>
        <w:t> </w:t>
      </w:r>
      <w:r>
        <w:rPr/>
        <w:t>México</w:t>
      </w:r>
      <w:r>
        <w:rPr>
          <w:spacing w:val="-6"/>
        </w:rPr>
        <w:t> </w:t>
      </w:r>
      <w:r>
        <w:rPr/>
        <w:t>(10.5</w:t>
      </w:r>
      <w:r>
        <w:rPr>
          <w:spacing w:val="-5"/>
        </w:rPr>
        <w:t> </w:t>
      </w:r>
      <w:r>
        <w:rPr/>
        <w:t>%),</w:t>
      </w:r>
      <w:r>
        <w:rPr>
          <w:spacing w:val="-5"/>
        </w:rPr>
        <w:t> </w:t>
      </w:r>
      <w:r>
        <w:rPr/>
        <w:t>Colombia</w:t>
      </w:r>
      <w:r>
        <w:rPr>
          <w:spacing w:val="-4"/>
        </w:rPr>
        <w:t> </w:t>
      </w:r>
      <w:r>
        <w:rPr/>
        <w:t>(</w:t>
      </w:r>
      <w:r>
        <w:rPr>
          <w:spacing w:val="-7"/>
        </w:rPr>
        <w:t> </w:t>
      </w:r>
      <w:r>
        <w:rPr/>
        <w:t>1.9</w:t>
      </w:r>
      <w:r>
        <w:rPr>
          <w:spacing w:val="-5"/>
        </w:rPr>
        <w:t> </w:t>
      </w:r>
      <w:r>
        <w:rPr/>
        <w:t>%),</w:t>
      </w:r>
      <w:r>
        <w:rPr>
          <w:spacing w:val="-5"/>
        </w:rPr>
        <w:t> </w:t>
      </w:r>
      <w:r>
        <w:rPr/>
        <w:t>India</w:t>
      </w:r>
      <w:r>
        <w:rPr>
          <w:spacing w:val="-4"/>
        </w:rPr>
        <w:t> </w:t>
      </w:r>
      <w:r>
        <w:rPr/>
        <w:t>(</w:t>
      </w:r>
      <w:r>
        <w:rPr>
          <w:spacing w:val="-3"/>
        </w:rPr>
        <w:t> </w:t>
      </w:r>
      <w:r>
        <w:rPr/>
        <w:t>2.0</w:t>
      </w:r>
      <w:r>
        <w:rPr>
          <w:spacing w:val="-5"/>
        </w:rPr>
        <w:t> </w:t>
      </w:r>
      <w:r>
        <w:rPr/>
        <w:t>%)</w:t>
      </w:r>
      <w:r>
        <w:rPr>
          <w:spacing w:val="-4"/>
        </w:rPr>
        <w:t> </w:t>
      </w:r>
      <w:r>
        <w:rPr/>
        <w:t>y</w:t>
      </w:r>
      <w:r>
        <w:rPr>
          <w:spacing w:val="-8"/>
        </w:rPr>
        <w:t> </w:t>
      </w:r>
      <w:r>
        <w:rPr/>
        <w:t>Brasil</w:t>
      </w:r>
      <w:r>
        <w:rPr>
          <w:spacing w:val="-3"/>
        </w:rPr>
        <w:t> </w:t>
      </w:r>
      <w:r>
        <w:rPr/>
        <w:t>(</w:t>
      </w:r>
      <w:r>
        <w:rPr>
          <w:spacing w:val="-4"/>
        </w:rPr>
        <w:t> </w:t>
      </w:r>
      <w:r>
        <w:rPr/>
        <w:t>1.6</w:t>
      </w:r>
      <w:r>
        <w:rPr>
          <w:spacing w:val="-7"/>
        </w:rPr>
        <w:t> </w:t>
      </w:r>
      <w:r>
        <w:rPr/>
        <w:t>%).</w:t>
      </w:r>
      <w:r>
        <w:rPr>
          <w:spacing w:val="-5"/>
        </w:rPr>
        <w:t> </w:t>
      </w:r>
      <w:r>
        <w:rPr/>
        <w:t>Entre los principales productos de importación se encontraron los vehículos y material de transporte, que tuvieron un incremento de 56.5%, explicado principalmente por el aumento en el volumen, las máquinas y aparatos mecánicos para usos electrotécnicos con un aumento del 41.0 %, los materiales plásticos</w:t>
      </w:r>
      <w:r>
        <w:rPr>
          <w:spacing w:val="-9"/>
        </w:rPr>
        <w:t> </w:t>
      </w:r>
      <w:r>
        <w:rPr/>
        <w:t>y</w:t>
      </w:r>
      <w:r>
        <w:rPr>
          <w:spacing w:val="-10"/>
        </w:rPr>
        <w:t> </w:t>
      </w:r>
      <w:r>
        <w:rPr/>
        <w:t>sus</w:t>
      </w:r>
      <w:r>
        <w:rPr>
          <w:spacing w:val="-8"/>
        </w:rPr>
        <w:t> </w:t>
      </w:r>
      <w:r>
        <w:rPr/>
        <w:t>manufacturas</w:t>
      </w:r>
      <w:r>
        <w:rPr>
          <w:spacing w:val="-9"/>
        </w:rPr>
        <w:t> </w:t>
      </w:r>
      <w:r>
        <w:rPr/>
        <w:t>por</w:t>
      </w:r>
      <w:r>
        <w:rPr>
          <w:spacing w:val="-6"/>
        </w:rPr>
        <w:t> </w:t>
      </w:r>
      <w:r>
        <w:rPr/>
        <w:t>55.1</w:t>
      </w:r>
      <w:r>
        <w:rPr>
          <w:spacing w:val="-8"/>
        </w:rPr>
        <w:t> </w:t>
      </w:r>
      <w:r>
        <w:rPr/>
        <w:t>%.</w:t>
      </w:r>
      <w:r>
        <w:rPr>
          <w:spacing w:val="-9"/>
        </w:rPr>
        <w:t> </w:t>
      </w:r>
      <w:r>
        <w:rPr/>
        <w:t>En</w:t>
      </w:r>
      <w:r>
        <w:rPr>
          <w:spacing w:val="-11"/>
        </w:rPr>
        <w:t> </w:t>
      </w:r>
      <w:r>
        <w:rPr/>
        <w:t>el</w:t>
      </w:r>
      <w:r>
        <w:rPr>
          <w:spacing w:val="-10"/>
        </w:rPr>
        <w:t> </w:t>
      </w:r>
      <w:r>
        <w:rPr/>
        <w:t>caso</w:t>
      </w:r>
      <w:r>
        <w:rPr>
          <w:spacing w:val="-8"/>
        </w:rPr>
        <w:t> </w:t>
      </w:r>
      <w:r>
        <w:rPr/>
        <w:t>de</w:t>
      </w:r>
      <w:r>
        <w:rPr>
          <w:spacing w:val="-8"/>
        </w:rPr>
        <w:t> </w:t>
      </w:r>
      <w:r>
        <w:rPr/>
        <w:t>la</w:t>
      </w:r>
      <w:r>
        <w:rPr>
          <w:spacing w:val="-8"/>
        </w:rPr>
        <w:t> </w:t>
      </w:r>
      <w:r>
        <w:rPr/>
        <w:t>gasolina</w:t>
      </w:r>
      <w:r>
        <w:rPr>
          <w:spacing w:val="-7"/>
        </w:rPr>
        <w:t> </w:t>
      </w:r>
      <w:r>
        <w:rPr/>
        <w:t>y</w:t>
      </w:r>
      <w:r>
        <w:rPr>
          <w:spacing w:val="-11"/>
        </w:rPr>
        <w:t> </w:t>
      </w:r>
      <w:r>
        <w:rPr/>
        <w:t>diésel,</w:t>
      </w:r>
      <w:r>
        <w:rPr>
          <w:spacing w:val="-8"/>
        </w:rPr>
        <w:t> </w:t>
      </w:r>
      <w:r>
        <w:rPr/>
        <w:t>estas</w:t>
      </w:r>
      <w:r>
        <w:rPr>
          <w:spacing w:val="-8"/>
        </w:rPr>
        <w:t> </w:t>
      </w:r>
      <w:r>
        <w:rPr/>
        <w:t>tuvieron</w:t>
      </w:r>
      <w:r>
        <w:rPr>
          <w:spacing w:val="-9"/>
        </w:rPr>
        <w:t> </w:t>
      </w:r>
      <w:r>
        <w:rPr/>
        <w:t>un</w:t>
      </w:r>
      <w:r>
        <w:rPr>
          <w:spacing w:val="-9"/>
        </w:rPr>
        <w:t> </w:t>
      </w:r>
      <w:r>
        <w:rPr/>
        <w:t>aumento de 96.5 % y 90.2 % afectados por el incremento internacional en los precios como se mencionó con anterioridad. Asimismo, los productos diversos de la industria química mostraron un incremento</w:t>
      </w:r>
      <w:r>
        <w:rPr>
          <w:spacing w:val="-8"/>
        </w:rPr>
        <w:t> </w:t>
      </w:r>
      <w:r>
        <w:rPr/>
        <w:t>del</w:t>
      </w:r>
    </w:p>
    <w:p>
      <w:pPr>
        <w:pStyle w:val="BodyText"/>
        <w:spacing w:line="276" w:lineRule="auto" w:before="1"/>
        <w:ind w:left="562" w:right="1697"/>
        <w:jc w:val="both"/>
      </w:pPr>
      <w:r>
        <w:rPr/>
        <w:t>39.3</w:t>
      </w:r>
      <w:r>
        <w:rPr>
          <w:spacing w:val="-16"/>
        </w:rPr>
        <w:t> </w:t>
      </w:r>
      <w:r>
        <w:rPr/>
        <w:t>%,</w:t>
      </w:r>
      <w:r>
        <w:rPr>
          <w:spacing w:val="-16"/>
        </w:rPr>
        <w:t> </w:t>
      </w:r>
      <w:r>
        <w:rPr/>
        <w:t>el</w:t>
      </w:r>
      <w:r>
        <w:rPr>
          <w:spacing w:val="-14"/>
        </w:rPr>
        <w:t> </w:t>
      </w:r>
      <w:r>
        <w:rPr/>
        <w:t>hierro</w:t>
      </w:r>
      <w:r>
        <w:rPr>
          <w:spacing w:val="-16"/>
        </w:rPr>
        <w:t> </w:t>
      </w:r>
      <w:r>
        <w:rPr/>
        <w:t>y</w:t>
      </w:r>
      <w:r>
        <w:rPr>
          <w:spacing w:val="-15"/>
        </w:rPr>
        <w:t> </w:t>
      </w:r>
      <w:r>
        <w:rPr/>
        <w:t>el</w:t>
      </w:r>
      <w:r>
        <w:rPr>
          <w:spacing w:val="-14"/>
        </w:rPr>
        <w:t> </w:t>
      </w:r>
      <w:r>
        <w:rPr/>
        <w:t>acero</w:t>
      </w:r>
      <w:r>
        <w:rPr>
          <w:spacing w:val="-16"/>
        </w:rPr>
        <w:t> </w:t>
      </w:r>
      <w:r>
        <w:rPr/>
        <w:t>un</w:t>
      </w:r>
      <w:r>
        <w:rPr>
          <w:spacing w:val="-13"/>
        </w:rPr>
        <w:t> </w:t>
      </w:r>
      <w:r>
        <w:rPr/>
        <w:t>alto</w:t>
      </w:r>
      <w:r>
        <w:rPr>
          <w:spacing w:val="-16"/>
        </w:rPr>
        <w:t> </w:t>
      </w:r>
      <w:r>
        <w:rPr/>
        <w:t>aumento</w:t>
      </w:r>
      <w:r>
        <w:rPr>
          <w:spacing w:val="-16"/>
        </w:rPr>
        <w:t> </w:t>
      </w:r>
      <w:r>
        <w:rPr/>
        <w:t>de</w:t>
      </w:r>
      <w:r>
        <w:rPr>
          <w:spacing w:val="-13"/>
        </w:rPr>
        <w:t> </w:t>
      </w:r>
      <w:r>
        <w:rPr/>
        <w:t>93.8</w:t>
      </w:r>
      <w:r>
        <w:rPr>
          <w:spacing w:val="-18"/>
        </w:rPr>
        <w:t> </w:t>
      </w:r>
      <w:r>
        <w:rPr/>
        <w:t>%</w:t>
      </w:r>
      <w:r>
        <w:rPr>
          <w:spacing w:val="-13"/>
        </w:rPr>
        <w:t> </w:t>
      </w:r>
      <w:r>
        <w:rPr/>
        <w:t>por</w:t>
      </w:r>
      <w:r>
        <w:rPr>
          <w:spacing w:val="-15"/>
        </w:rPr>
        <w:t> </w:t>
      </w:r>
      <w:r>
        <w:rPr/>
        <w:t>la</w:t>
      </w:r>
      <w:r>
        <w:rPr>
          <w:spacing w:val="-15"/>
        </w:rPr>
        <w:t> </w:t>
      </w:r>
      <w:r>
        <w:rPr/>
        <w:t>recuperación</w:t>
      </w:r>
      <w:r>
        <w:rPr>
          <w:spacing w:val="-15"/>
        </w:rPr>
        <w:t> </w:t>
      </w:r>
      <w:r>
        <w:rPr/>
        <w:t>en</w:t>
      </w:r>
      <w:r>
        <w:rPr>
          <w:spacing w:val="-15"/>
        </w:rPr>
        <w:t> </w:t>
      </w:r>
      <w:r>
        <w:rPr/>
        <w:t>el</w:t>
      </w:r>
      <w:r>
        <w:rPr>
          <w:spacing w:val="-15"/>
        </w:rPr>
        <w:t> </w:t>
      </w:r>
      <w:r>
        <w:rPr/>
        <w:t>sector</w:t>
      </w:r>
      <w:r>
        <w:rPr>
          <w:spacing w:val="-13"/>
        </w:rPr>
        <w:t> </w:t>
      </w:r>
      <w:r>
        <w:rPr/>
        <w:t>de</w:t>
      </w:r>
      <w:r>
        <w:rPr>
          <w:spacing w:val="-13"/>
        </w:rPr>
        <w:t> </w:t>
      </w:r>
      <w:r>
        <w:rPr/>
        <w:t>construcción, los productos farmacéuticos un crecimiento de 11.9 % y los aparatos transmisores y receptores un aumento de 20.5 %. Estos productos representaron en 47.3 % del total de las importaciones CIF de comercio</w:t>
      </w:r>
      <w:r>
        <w:rPr>
          <w:spacing w:val="-1"/>
        </w:rPr>
        <w:t> </w:t>
      </w:r>
      <w:r>
        <w:rPr/>
        <w:t>exterior.</w:t>
      </w:r>
    </w:p>
    <w:p>
      <w:pPr>
        <w:spacing w:after="0" w:line="276" w:lineRule="auto"/>
        <w:jc w:val="both"/>
        <w:sectPr>
          <w:pgSz w:w="12240" w:h="15840"/>
          <w:pgMar w:header="715" w:footer="957" w:top="1240" w:bottom="1140" w:left="1140" w:right="0"/>
        </w:sectPr>
      </w:pPr>
    </w:p>
    <w:p>
      <w:pPr>
        <w:pStyle w:val="BodyText"/>
        <w:rPr>
          <w:sz w:val="20"/>
        </w:rPr>
      </w:pPr>
    </w:p>
    <w:p>
      <w:pPr>
        <w:pStyle w:val="BodyText"/>
        <w:spacing w:before="11"/>
        <w:rPr>
          <w:sz w:val="19"/>
        </w:rPr>
      </w:pPr>
    </w:p>
    <w:p>
      <w:pPr>
        <w:spacing w:before="0"/>
        <w:ind w:left="2719" w:right="0" w:firstLine="0"/>
        <w:jc w:val="left"/>
        <w:rPr>
          <w:b/>
          <w:sz w:val="20"/>
        </w:rPr>
      </w:pPr>
      <w:bookmarkStart w:name="_bookmark59" w:id="78"/>
      <w:bookmarkEnd w:id="78"/>
      <w:r>
        <w:rPr/>
      </w:r>
      <w:r>
        <w:rPr>
          <w:b/>
          <w:i/>
          <w:sz w:val="20"/>
        </w:rPr>
        <w:t>Gráfico 25. </w:t>
      </w:r>
      <w:r>
        <w:rPr>
          <w:b/>
          <w:sz w:val="20"/>
        </w:rPr>
        <w:t>Exportaciones FOB de comercio exterior</w:t>
      </w:r>
    </w:p>
    <w:p>
      <w:pPr>
        <w:tabs>
          <w:tab w:pos="6358" w:val="left" w:leader="none"/>
        </w:tabs>
        <w:spacing w:before="33"/>
        <w:ind w:left="1409" w:right="0" w:firstLine="0"/>
        <w:jc w:val="left"/>
        <w:rPr>
          <w:b/>
          <w:sz w:val="18"/>
        </w:rPr>
      </w:pPr>
      <w:r>
        <w:rPr/>
        <w:drawing>
          <wp:anchor distT="0" distB="0" distL="0" distR="0" allowOverlap="1" layoutInCell="1" locked="0" behindDoc="0" simplePos="0" relativeHeight="252014592">
            <wp:simplePos x="0" y="0"/>
            <wp:positionH relativeFrom="page">
              <wp:posOffset>1200577</wp:posOffset>
            </wp:positionH>
            <wp:positionV relativeFrom="paragraph">
              <wp:posOffset>247432</wp:posOffset>
            </wp:positionV>
            <wp:extent cx="2693242" cy="1999902"/>
            <wp:effectExtent l="0" t="0" r="0" b="0"/>
            <wp:wrapNone/>
            <wp:docPr id="9" name="image24.png"/>
            <wp:cNvGraphicFramePr>
              <a:graphicFrameLocks noChangeAspect="1"/>
            </wp:cNvGraphicFramePr>
            <a:graphic>
              <a:graphicData uri="http://schemas.openxmlformats.org/drawingml/2006/picture">
                <pic:pic>
                  <pic:nvPicPr>
                    <pic:cNvPr id="10" name="image24.png"/>
                    <pic:cNvPicPr/>
                  </pic:nvPicPr>
                  <pic:blipFill>
                    <a:blip r:embed="rId30" cstate="print"/>
                    <a:stretch>
                      <a:fillRect/>
                    </a:stretch>
                  </pic:blipFill>
                  <pic:spPr>
                    <a:xfrm>
                      <a:off x="0" y="0"/>
                      <a:ext cx="2693242" cy="1999902"/>
                    </a:xfrm>
                    <a:prstGeom prst="rect">
                      <a:avLst/>
                    </a:prstGeom>
                  </pic:spPr>
                </pic:pic>
              </a:graphicData>
            </a:graphic>
          </wp:anchor>
        </w:drawing>
      </w:r>
      <w:r>
        <w:rPr>
          <w:b/>
          <w:sz w:val="18"/>
        </w:rPr>
        <w:t>Principales destinos</w:t>
      </w:r>
      <w:r>
        <w:rPr>
          <w:b/>
          <w:spacing w:val="-6"/>
          <w:sz w:val="18"/>
        </w:rPr>
        <w:t> </w:t>
      </w:r>
      <w:r>
        <w:rPr>
          <w:b/>
          <w:sz w:val="18"/>
        </w:rPr>
        <w:t>(en</w:t>
      </w:r>
      <w:r>
        <w:rPr>
          <w:b/>
          <w:spacing w:val="-2"/>
          <w:sz w:val="18"/>
        </w:rPr>
        <w:t> </w:t>
      </w:r>
      <w:r>
        <w:rPr>
          <w:b/>
          <w:sz w:val="18"/>
        </w:rPr>
        <w:t>porcentaje)</w:t>
        <w:tab/>
        <w:t>Principales</w:t>
      </w:r>
      <w:r>
        <w:rPr>
          <w:b/>
          <w:spacing w:val="2"/>
          <w:sz w:val="18"/>
        </w:rPr>
        <w:t> </w:t>
      </w:r>
      <w:r>
        <w:rPr>
          <w:b/>
          <w:sz w:val="18"/>
        </w:rPr>
        <w:t>productos</w:t>
      </w:r>
    </w:p>
    <w:p>
      <w:pPr>
        <w:pStyle w:val="BodyText"/>
        <w:rPr>
          <w:b/>
          <w:sz w:val="20"/>
        </w:rPr>
      </w:pPr>
    </w:p>
    <w:p>
      <w:pPr>
        <w:pStyle w:val="BodyText"/>
        <w:spacing w:before="1"/>
        <w:rPr>
          <w:b/>
          <w:sz w:val="29"/>
        </w:rPr>
      </w:pPr>
    </w:p>
    <w:p>
      <w:pPr>
        <w:spacing w:before="0"/>
        <w:ind w:left="1395" w:right="1317" w:firstLine="0"/>
        <w:jc w:val="center"/>
        <w:rPr>
          <w:rFonts w:ascii="Calibri"/>
          <w:sz w:val="14"/>
        </w:rPr>
      </w:pPr>
      <w:r>
        <w:rPr/>
        <w:pict>
          <v:group style="position:absolute;margin-left:348.839996pt;margin-top:-5.814966pt;width:175.95pt;height:144.25pt;mso-position-horizontal-relative:page;mso-position-vertical-relative:paragraph;z-index:252025856" coordorigin="6977,-116" coordsize="3519,2885">
            <v:line style="position:absolute" from="7999,93" to="7999,1866" stroked="true" strokeweight=".72pt" strokecolor="#bebebe">
              <v:stroke dashstyle="solid"/>
            </v:line>
            <v:shape style="position:absolute;left:7776;top:303;width:452;height:452" coordorigin="7776,304" coordsize="452,452" path="m8002,304l7930,315,7868,347,7820,396,7788,458,7776,529,7788,601,7820,663,7868,711,7930,743,8002,755,8073,743,8135,711,8184,663,8216,601,8227,529,8216,458,8184,396,8135,347,8073,315,8002,304xe" filled="true" fillcolor="#5b9bd4" stroked="false">
              <v:path arrowok="t"/>
              <v:fill type="solid"/>
            </v:shape>
            <v:shape style="position:absolute;left:7898;top:961;width:423;height:423" coordorigin="7898,961" coordsize="423,423" path="m8110,961l8043,972,7985,1002,7939,1048,7909,1106,7898,1173,7909,1239,7939,1297,7985,1343,8043,1373,8110,1384,8176,1373,8234,1343,8280,1297,8310,1239,8321,1173,8310,1106,8280,1048,8234,1002,8176,972,8110,961xe" filled="true" fillcolor="#e1efd9" stroked="false">
              <v:path arrowok="t"/>
              <v:fill type="solid"/>
            </v:shape>
            <v:shape style="position:absolute;left:8071;top:1510;width:320;height:322" type="#_x0000_t75" stroked="false">
              <v:imagedata r:id="rId31" o:title=""/>
            </v:shape>
            <v:shape style="position:absolute;left:7728;top:1386;width:284;height:286" type="#_x0000_t75" stroked="false">
              <v:imagedata r:id="rId32" o:title=""/>
            </v:shape>
            <v:shape style="position:absolute;left:7968;top:1098;width:248;height:250" type="#_x0000_t75" stroked="false">
              <v:imagedata r:id="rId33" o:title=""/>
            </v:shape>
            <v:rect style="position:absolute;left:8272;top:517;width:756;height:670" filled="true" fillcolor="#ffffff" stroked="false">
              <v:fill type="solid"/>
            </v:rect>
            <v:shape style="position:absolute;left:7015;top:2293;width:2228;height:380" coordorigin="7015,2293" coordsize="2228,380" path="m7999,2293l7999,2673m7015,2349l9242,2349e" filled="false" stroked="true" strokeweight=".72pt" strokecolor="#bebebe">
              <v:path arrowok="t"/>
              <v:stroke dashstyle="solid"/>
            </v:shape>
            <v:shape style="position:absolute;left:8788;top:2122;width:305;height:303" type="#_x0000_t75" stroked="false">
              <v:imagedata r:id="rId34" o:title=""/>
            </v:shape>
            <v:line style="position:absolute" from="9938,2349" to="10462,2349" stroked="true" strokeweight=".72pt" strokecolor="#bebebe">
              <v:stroke dashstyle="solid"/>
            </v:line>
            <v:shape style="position:absolute;left:8872;top:1604;width:399;height:399" type="#_x0000_t75" stroked="false">
              <v:imagedata r:id="rId35" o:title=""/>
            </v:shape>
            <v:shape style="position:absolute;left:9640;top:1450;width:684;height:473" type="#_x0000_t75" stroked="false">
              <v:imagedata r:id="rId36" o:title=""/>
            </v:shape>
            <v:shape style="position:absolute;left:9292;top:1081;width:308;height:308" type="#_x0000_t75" stroked="false">
              <v:imagedata r:id="rId37" o:title=""/>
            </v:shape>
            <v:rect style="position:absolute;left:9242;top:1942;width:696;height:428" filled="true" fillcolor="#ffffff" stroked="false">
              <v:fill type="solid"/>
            </v:rect>
            <v:rect style="position:absolute;left:10020;top:1321;width:468;height:183" filled="false" stroked="true" strokeweight=".72pt" strokecolor="#b80d47">
              <v:stroke dashstyle="solid"/>
            </v:rect>
            <v:rect style="position:absolute;left:9619;top:1222;width:368;height:183" filled="false" stroked="true" strokeweight=".72pt" strokecolor="#e6df44">
              <v:stroke dashstyle="solid"/>
            </v:rect>
            <v:rect style="position:absolute;left:7812;top:1866;width:891;height:428" filled="false" stroked="true" strokeweight=".72pt" strokecolor="#b4c6e7">
              <v:stroke dashstyle="solid"/>
            </v:rect>
            <v:rect style="position:absolute;left:7053;top:1657;width:716;height:425" filled="false" stroked="true" strokeweight=".72pt" strokecolor="#011a27">
              <v:stroke dashstyle="solid"/>
            </v:rect>
            <v:shape style="position:absolute;left:7871;top:1917;width:794;height:344" type="#_x0000_t202" filled="false" stroked="false">
              <v:textbox inset="0,0,0,0">
                <w:txbxContent>
                  <w:p>
                    <w:pPr>
                      <w:spacing w:line="102" w:lineRule="exact" w:before="0"/>
                      <w:ind w:left="0" w:right="0" w:firstLine="0"/>
                      <w:jc w:val="left"/>
                      <w:rPr>
                        <w:rFonts w:ascii="Calibri"/>
                        <w:sz w:val="10"/>
                      </w:rPr>
                    </w:pPr>
                    <w:r>
                      <w:rPr>
                        <w:rFonts w:ascii="Calibri"/>
                        <w:color w:val="404040"/>
                        <w:sz w:val="10"/>
                      </w:rPr>
                      <w:t>Productos diversos</w:t>
                    </w:r>
                  </w:p>
                  <w:p>
                    <w:pPr>
                      <w:spacing w:line="235" w:lineRule="auto" w:before="2"/>
                      <w:ind w:left="223" w:right="101" w:hanging="128"/>
                      <w:jc w:val="left"/>
                      <w:rPr>
                        <w:rFonts w:ascii="Calibri" w:hAnsi="Calibri"/>
                        <w:sz w:val="10"/>
                      </w:rPr>
                    </w:pPr>
                    <w:r>
                      <w:rPr>
                        <w:rFonts w:ascii="Calibri" w:hAnsi="Calibri"/>
                        <w:color w:val="404040"/>
                        <w:sz w:val="10"/>
                      </w:rPr>
                      <w:t>de la industria química</w:t>
                    </w:r>
                  </w:p>
                </w:txbxContent>
              </v:textbox>
              <w10:wrap type="none"/>
            </v:shape>
            <v:shape style="position:absolute;left:9242;top:1904;width:696;height:444" type="#_x0000_t202" filled="false" stroked="true" strokeweight=".72pt" strokecolor="#be9000">
              <v:textbox inset="0,0,0,0">
                <w:txbxContent>
                  <w:p>
                    <w:pPr>
                      <w:spacing w:line="237" w:lineRule="auto" w:before="63"/>
                      <w:ind w:left="54" w:right="33" w:firstLine="67"/>
                      <w:jc w:val="left"/>
                      <w:rPr>
                        <w:rFonts w:ascii="Calibri" w:hAnsi="Calibri"/>
                        <w:sz w:val="10"/>
                      </w:rPr>
                    </w:pPr>
                    <w:r>
                      <w:rPr>
                        <w:rFonts w:ascii="Calibri" w:hAnsi="Calibri"/>
                        <w:color w:val="404040"/>
                        <w:sz w:val="10"/>
                      </w:rPr>
                      <w:t>Materiales plásticos y sus manufacturas</w:t>
                    </w:r>
                  </w:p>
                </w:txbxContent>
              </v:textbox>
              <v:stroke dashstyle="solid"/>
              <w10:wrap type="none"/>
            </v:shape>
            <v:shape style="position:absolute;left:7060;top:1664;width:723;height:411" type="#_x0000_t202" filled="false" stroked="false">
              <v:textbox inset="0,0,0,0">
                <w:txbxContent>
                  <w:p>
                    <w:pPr>
                      <w:spacing w:line="237" w:lineRule="auto" w:before="24"/>
                      <w:ind w:left="54" w:right="71" w:hanging="2"/>
                      <w:jc w:val="center"/>
                      <w:rPr>
                        <w:rFonts w:ascii="Calibri"/>
                        <w:sz w:val="10"/>
                      </w:rPr>
                    </w:pPr>
                    <w:r>
                      <w:rPr>
                        <w:rFonts w:ascii="Calibri"/>
                        <w:color w:val="404040"/>
                        <w:sz w:val="10"/>
                      </w:rPr>
                      <w:t>Aparatos transmisores y receptores</w:t>
                    </w:r>
                  </w:p>
                </w:txbxContent>
              </v:textbox>
              <w10:wrap type="none"/>
            </v:shape>
            <v:shape style="position:absolute;left:10010;top:1328;width:471;height:168" type="#_x0000_t202" filled="false" stroked="false">
              <v:textbox inset="0,0,0,0">
                <w:txbxContent>
                  <w:p>
                    <w:pPr>
                      <w:spacing w:before="23"/>
                      <w:ind w:left="67" w:right="0" w:firstLine="0"/>
                      <w:jc w:val="left"/>
                      <w:rPr>
                        <w:rFonts w:ascii="Calibri"/>
                        <w:sz w:val="10"/>
                      </w:rPr>
                    </w:pPr>
                    <w:r>
                      <w:rPr>
                        <w:rFonts w:ascii="Calibri"/>
                        <w:color w:val="404040"/>
                        <w:sz w:val="10"/>
                      </w:rPr>
                      <w:t>Gasolina</w:t>
                    </w:r>
                  </w:p>
                </w:txbxContent>
              </v:textbox>
              <w10:wrap type="none"/>
            </v:shape>
            <v:shape style="position:absolute;left:9626;top:1230;width:370;height:168" type="#_x0000_t202" filled="false" stroked="false">
              <v:textbox inset="0,0,0,0">
                <w:txbxContent>
                  <w:p>
                    <w:pPr>
                      <w:spacing w:before="23"/>
                      <w:ind w:left="53" w:right="0" w:firstLine="0"/>
                      <w:jc w:val="left"/>
                      <w:rPr>
                        <w:rFonts w:ascii="Calibri"/>
                        <w:sz w:val="10"/>
                      </w:rPr>
                    </w:pPr>
                    <w:r>
                      <w:rPr>
                        <w:rFonts w:ascii="Calibri"/>
                        <w:color w:val="404040"/>
                        <w:sz w:val="10"/>
                      </w:rPr>
                      <w:t>Diesel</w:t>
                    </w:r>
                  </w:p>
                </w:txbxContent>
              </v:textbox>
              <w10:wrap type="none"/>
            </v:shape>
            <v:shape style="position:absolute;left:8596;top:2456;width:696;height:305" type="#_x0000_t202" filled="false" stroked="true" strokeweight=".72pt" strokecolor="#ef810f">
              <v:textbox inset="0,0,0,0">
                <w:txbxContent>
                  <w:p>
                    <w:pPr>
                      <w:spacing w:before="24"/>
                      <w:ind w:left="50" w:right="35" w:firstLine="84"/>
                      <w:jc w:val="left"/>
                      <w:rPr>
                        <w:rFonts w:ascii="Calibri" w:hAnsi="Calibri"/>
                        <w:sz w:val="10"/>
                      </w:rPr>
                    </w:pPr>
                    <w:r>
                      <w:rPr>
                        <w:rFonts w:ascii="Calibri" w:hAnsi="Calibri"/>
                        <w:color w:val="404040"/>
                        <w:sz w:val="10"/>
                      </w:rPr>
                      <w:t>Productos farmacéuticos</w:t>
                    </w:r>
                  </w:p>
                </w:txbxContent>
              </v:textbox>
              <v:stroke dashstyle="solid"/>
              <w10:wrap type="none"/>
            </v:shape>
            <v:shape style="position:absolute;left:6984;top:903;width:872;height:305" type="#_x0000_t202" filled="false" stroked="true" strokeweight=".72pt" strokecolor="#ffc000">
              <v:textbox inset="0,0,0,0">
                <w:txbxContent>
                  <w:p>
                    <w:pPr>
                      <w:spacing w:before="24"/>
                      <w:ind w:left="115" w:right="33" w:hanging="63"/>
                      <w:jc w:val="left"/>
                      <w:rPr>
                        <w:rFonts w:ascii="Calibri"/>
                        <w:sz w:val="10"/>
                      </w:rPr>
                    </w:pPr>
                    <w:r>
                      <w:rPr>
                        <w:rFonts w:ascii="Calibri"/>
                        <w:color w:val="404040"/>
                        <w:sz w:val="10"/>
                      </w:rPr>
                      <w:t>Materiales textiles (tejidos o telas)</w:t>
                    </w:r>
                  </w:p>
                </w:txbxContent>
              </v:textbox>
              <v:stroke dashstyle="solid"/>
              <w10:wrap type="none"/>
            </v:shape>
            <v:shape style="position:absolute;left:9307;top:862;width:694;height:183" type="#_x0000_t202" filled="false" stroked="true" strokeweight=".72pt" strokecolor="#2b6a6c">
              <v:textbox inset="0,0,0,0">
                <w:txbxContent>
                  <w:p>
                    <w:pPr>
                      <w:spacing w:before="24"/>
                      <w:ind w:left="50" w:right="0" w:firstLine="0"/>
                      <w:jc w:val="left"/>
                      <w:rPr>
                        <w:rFonts w:ascii="Calibri"/>
                        <w:sz w:val="10"/>
                      </w:rPr>
                    </w:pPr>
                    <w:r>
                      <w:rPr>
                        <w:rFonts w:ascii="Calibri"/>
                        <w:color w:val="404040"/>
                        <w:sz w:val="10"/>
                      </w:rPr>
                      <w:t>Hierro y acero</w:t>
                    </w:r>
                  </w:p>
                </w:txbxContent>
              </v:textbox>
              <v:stroke dashstyle="solid"/>
              <w10:wrap type="none"/>
            </v:shape>
            <v:shape style="position:absolute;left:8272;top:517;width:756;height:670" type="#_x0000_t202" filled="false" stroked="true" strokeweight=".72pt" strokecolor="#c5dfb4">
              <v:textbox inset="0,0,0,0">
                <w:txbxContent>
                  <w:p>
                    <w:pPr>
                      <w:spacing w:line="240" w:lineRule="auto" w:before="23"/>
                      <w:ind w:left="53" w:right="49" w:hanging="1"/>
                      <w:jc w:val="center"/>
                      <w:rPr>
                        <w:rFonts w:ascii="Calibri" w:hAnsi="Calibri"/>
                        <w:sz w:val="10"/>
                      </w:rPr>
                    </w:pPr>
                    <w:r>
                      <w:rPr>
                        <w:rFonts w:ascii="Calibri" w:hAnsi="Calibri"/>
                        <w:color w:val="404040"/>
                        <w:sz w:val="10"/>
                      </w:rPr>
                      <w:t>Máquinas y aparatos mecánicos para usos   electrotécnicos</w:t>
                    </w:r>
                  </w:p>
                </w:txbxContent>
              </v:textbox>
              <v:stroke dashstyle="solid"/>
              <w10:wrap type="none"/>
            </v:shape>
            <v:shape style="position:absolute;left:8162;top:-110;width:586;height:425" type="#_x0000_t202" filled="false" stroked="true" strokeweight=".72pt" strokecolor="#5b9bd4">
              <v:textbox inset="0,0,0,0">
                <w:txbxContent>
                  <w:p>
                    <w:pPr>
                      <w:spacing w:line="237" w:lineRule="auto" w:before="24"/>
                      <w:ind w:left="53" w:right="50" w:firstLine="2"/>
                      <w:jc w:val="both"/>
                      <w:rPr>
                        <w:rFonts w:ascii="Calibri" w:hAnsi="Calibri"/>
                        <w:sz w:val="10"/>
                      </w:rPr>
                    </w:pPr>
                    <w:r>
                      <w:rPr>
                        <w:rFonts w:ascii="Calibri" w:hAnsi="Calibri"/>
                        <w:color w:val="404040"/>
                        <w:sz w:val="10"/>
                      </w:rPr>
                      <w:t>Vehículos y material de transporte</w:t>
                    </w:r>
                  </w:p>
                </w:txbxContent>
              </v:textbox>
              <v:stroke dashstyle="solid"/>
              <w10:wrap type="none"/>
            </v:shape>
            <w10:wrap type="none"/>
          </v:group>
        </w:pict>
      </w:r>
      <w:r>
        <w:rPr>
          <w:rFonts w:ascii="Calibri"/>
          <w:color w:val="585858"/>
          <w:sz w:val="14"/>
        </w:rPr>
        <w:t>70.0</w:t>
      </w:r>
    </w:p>
    <w:p>
      <w:pPr>
        <w:pStyle w:val="BodyText"/>
        <w:spacing w:before="5"/>
        <w:rPr>
          <w:rFonts w:ascii="Calibri"/>
          <w:sz w:val="12"/>
        </w:rPr>
      </w:pPr>
    </w:p>
    <w:p>
      <w:pPr>
        <w:spacing w:before="0"/>
        <w:ind w:left="1395" w:right="1317" w:firstLine="0"/>
        <w:jc w:val="center"/>
        <w:rPr>
          <w:rFonts w:ascii="Calibri"/>
          <w:sz w:val="14"/>
        </w:rPr>
      </w:pPr>
      <w:r>
        <w:rPr/>
        <w:pict>
          <v:shape style="position:absolute;margin-left:314.777863pt;margin-top:.965598pt;width:9.75pt;height:104.2pt;mso-position-horizontal-relative:page;mso-position-vertical-relative:paragraph;z-index:252026880" type="#_x0000_t202" filled="false" stroked="false">
            <v:textbox inset="0,0,0,0" style="layout-flow:vertical;mso-layout-flow-alt:bottom-to-top">
              <w:txbxContent>
                <w:p>
                  <w:pPr>
                    <w:spacing w:before="13"/>
                    <w:ind w:left="20" w:right="0" w:firstLine="0"/>
                    <w:jc w:val="left"/>
                    <w:rPr>
                      <w:sz w:val="14"/>
                    </w:rPr>
                  </w:pPr>
                  <w:r>
                    <w:rPr>
                      <w:color w:val="585858"/>
                      <w:sz w:val="14"/>
                    </w:rPr>
                    <w:t>Variación porcentual volumen en kg</w:t>
                  </w:r>
                </w:p>
              </w:txbxContent>
            </v:textbox>
            <w10:wrap type="none"/>
          </v:shape>
        </w:pict>
      </w:r>
      <w:r>
        <w:rPr>
          <w:rFonts w:ascii="Calibri"/>
          <w:color w:val="585858"/>
          <w:sz w:val="14"/>
        </w:rPr>
        <w:t>60.0</w:t>
      </w:r>
    </w:p>
    <w:p>
      <w:pPr>
        <w:pStyle w:val="BodyText"/>
        <w:spacing w:before="5"/>
        <w:rPr>
          <w:rFonts w:ascii="Calibri"/>
          <w:sz w:val="12"/>
        </w:rPr>
      </w:pPr>
    </w:p>
    <w:p>
      <w:pPr>
        <w:spacing w:before="0"/>
        <w:ind w:left="1395" w:right="1317" w:firstLine="0"/>
        <w:jc w:val="center"/>
        <w:rPr>
          <w:rFonts w:ascii="Calibri"/>
          <w:sz w:val="14"/>
        </w:rPr>
      </w:pPr>
      <w:r>
        <w:rPr>
          <w:rFonts w:ascii="Calibri"/>
          <w:color w:val="585858"/>
          <w:sz w:val="14"/>
        </w:rPr>
        <w:t>50.0</w:t>
      </w:r>
    </w:p>
    <w:p>
      <w:pPr>
        <w:pStyle w:val="BodyText"/>
        <w:spacing w:before="5"/>
        <w:rPr>
          <w:rFonts w:ascii="Calibri"/>
          <w:sz w:val="12"/>
        </w:rPr>
      </w:pPr>
    </w:p>
    <w:p>
      <w:pPr>
        <w:spacing w:before="0"/>
        <w:ind w:left="1395" w:right="1317" w:firstLine="0"/>
        <w:jc w:val="center"/>
        <w:rPr>
          <w:rFonts w:ascii="Calibri"/>
          <w:sz w:val="14"/>
        </w:rPr>
      </w:pPr>
      <w:r>
        <w:rPr>
          <w:rFonts w:ascii="Calibri"/>
          <w:color w:val="585858"/>
          <w:sz w:val="14"/>
        </w:rPr>
        <w:t>40.0</w:t>
      </w:r>
    </w:p>
    <w:p>
      <w:pPr>
        <w:pStyle w:val="BodyText"/>
        <w:spacing w:before="5"/>
        <w:rPr>
          <w:rFonts w:ascii="Calibri"/>
          <w:sz w:val="12"/>
        </w:rPr>
      </w:pPr>
    </w:p>
    <w:p>
      <w:pPr>
        <w:spacing w:before="0"/>
        <w:ind w:left="1395" w:right="1317" w:firstLine="0"/>
        <w:jc w:val="center"/>
        <w:rPr>
          <w:rFonts w:ascii="Calibri"/>
          <w:sz w:val="14"/>
        </w:rPr>
      </w:pPr>
      <w:r>
        <w:rPr>
          <w:rFonts w:ascii="Calibri"/>
          <w:color w:val="585858"/>
          <w:sz w:val="14"/>
        </w:rPr>
        <w:t>30.0</w:t>
      </w:r>
    </w:p>
    <w:p>
      <w:pPr>
        <w:pStyle w:val="BodyText"/>
        <w:spacing w:before="5"/>
        <w:rPr>
          <w:rFonts w:ascii="Calibri"/>
          <w:sz w:val="12"/>
        </w:rPr>
      </w:pPr>
    </w:p>
    <w:p>
      <w:pPr>
        <w:spacing w:before="1"/>
        <w:ind w:left="1395" w:right="1317" w:firstLine="0"/>
        <w:jc w:val="center"/>
        <w:rPr>
          <w:rFonts w:ascii="Calibri"/>
          <w:sz w:val="14"/>
        </w:rPr>
      </w:pPr>
      <w:r>
        <w:rPr>
          <w:rFonts w:ascii="Calibri"/>
          <w:color w:val="585858"/>
          <w:sz w:val="14"/>
        </w:rPr>
        <w:t>20.0</w:t>
      </w:r>
    </w:p>
    <w:p>
      <w:pPr>
        <w:pStyle w:val="BodyText"/>
        <w:spacing w:before="4"/>
        <w:rPr>
          <w:rFonts w:ascii="Calibri"/>
          <w:sz w:val="12"/>
        </w:rPr>
      </w:pPr>
    </w:p>
    <w:p>
      <w:pPr>
        <w:spacing w:before="1"/>
        <w:ind w:left="1395" w:right="1317" w:firstLine="0"/>
        <w:jc w:val="center"/>
        <w:rPr>
          <w:rFonts w:ascii="Calibri"/>
          <w:sz w:val="14"/>
        </w:rPr>
      </w:pPr>
      <w:r>
        <w:rPr>
          <w:rFonts w:ascii="Calibri"/>
          <w:color w:val="585858"/>
          <w:sz w:val="14"/>
        </w:rPr>
        <w:t>10.0</w:t>
      </w:r>
    </w:p>
    <w:p>
      <w:pPr>
        <w:pStyle w:val="BodyText"/>
        <w:spacing w:before="5"/>
        <w:rPr>
          <w:rFonts w:ascii="Calibri"/>
          <w:sz w:val="12"/>
        </w:rPr>
      </w:pPr>
    </w:p>
    <w:p>
      <w:pPr>
        <w:spacing w:before="0"/>
        <w:ind w:left="157" w:right="0" w:firstLine="0"/>
        <w:jc w:val="center"/>
        <w:rPr>
          <w:rFonts w:ascii="Calibri"/>
          <w:sz w:val="14"/>
        </w:rPr>
      </w:pPr>
      <w:r>
        <w:rPr>
          <w:rFonts w:ascii="Calibri"/>
          <w:color w:val="585858"/>
          <w:w w:val="99"/>
          <w:sz w:val="14"/>
        </w:rPr>
        <w:t>-</w:t>
      </w:r>
    </w:p>
    <w:p>
      <w:pPr>
        <w:spacing w:after="0"/>
        <w:jc w:val="center"/>
        <w:rPr>
          <w:rFonts w:ascii="Calibri"/>
          <w:sz w:val="14"/>
        </w:rPr>
        <w:sectPr>
          <w:pgSz w:w="12240" w:h="15840"/>
          <w:pgMar w:header="715" w:footer="957" w:top="1240" w:bottom="1140" w:left="1140" w:right="0"/>
        </w:sectPr>
      </w:pPr>
    </w:p>
    <w:p>
      <w:pPr>
        <w:pStyle w:val="BodyText"/>
        <w:spacing w:before="5"/>
        <w:rPr>
          <w:rFonts w:ascii="Calibri"/>
          <w:sz w:val="12"/>
        </w:rPr>
      </w:pPr>
    </w:p>
    <w:p>
      <w:pPr>
        <w:spacing w:before="0"/>
        <w:ind w:left="0" w:right="0" w:firstLine="0"/>
        <w:jc w:val="right"/>
        <w:rPr>
          <w:rFonts w:ascii="Calibri"/>
          <w:sz w:val="14"/>
        </w:rPr>
      </w:pPr>
      <w:r>
        <w:rPr>
          <w:rFonts w:ascii="Calibri"/>
          <w:color w:val="585858"/>
          <w:sz w:val="14"/>
        </w:rPr>
        <w:t>-10.0</w:t>
      </w:r>
    </w:p>
    <w:p>
      <w:pPr>
        <w:pStyle w:val="BodyText"/>
        <w:rPr>
          <w:rFonts w:ascii="Calibri"/>
          <w:sz w:val="14"/>
        </w:rPr>
      </w:pPr>
      <w:r>
        <w:rPr/>
        <w:br w:type="column"/>
      </w:r>
      <w:r>
        <w:rPr>
          <w:rFonts w:ascii="Calibri"/>
          <w:sz w:val="14"/>
        </w:rPr>
      </w:r>
    </w:p>
    <w:p>
      <w:pPr>
        <w:pStyle w:val="BodyText"/>
        <w:spacing w:before="4"/>
        <w:rPr>
          <w:rFonts w:ascii="Calibri"/>
          <w:sz w:val="13"/>
        </w:rPr>
      </w:pPr>
    </w:p>
    <w:p>
      <w:pPr>
        <w:tabs>
          <w:tab w:pos="632" w:val="left" w:leader="none"/>
          <w:tab w:pos="1311" w:val="left" w:leader="none"/>
        </w:tabs>
        <w:spacing w:before="0"/>
        <w:ind w:left="-24" w:right="0" w:firstLine="0"/>
        <w:jc w:val="left"/>
        <w:rPr>
          <w:rFonts w:ascii="Calibri"/>
          <w:sz w:val="14"/>
        </w:rPr>
      </w:pPr>
      <w:r>
        <w:rPr>
          <w:rFonts w:ascii="Calibri"/>
          <w:color w:val="585858"/>
          <w:sz w:val="14"/>
        </w:rPr>
        <w:t>-30.0</w:t>
        <w:tab/>
        <w:t>-10.0</w:t>
        <w:tab/>
      </w:r>
      <w:r>
        <w:rPr>
          <w:rFonts w:ascii="Calibri"/>
          <w:color w:val="585858"/>
          <w:spacing w:val="-5"/>
          <w:sz w:val="14"/>
        </w:rPr>
        <w:t>10.0</w:t>
      </w:r>
    </w:p>
    <w:p>
      <w:pPr>
        <w:pStyle w:val="BodyText"/>
        <w:rPr>
          <w:rFonts w:ascii="Calibri"/>
          <w:sz w:val="14"/>
        </w:rPr>
      </w:pPr>
      <w:r>
        <w:rPr/>
        <w:br w:type="column"/>
      </w:r>
      <w:r>
        <w:rPr>
          <w:rFonts w:ascii="Calibri"/>
          <w:sz w:val="14"/>
        </w:rPr>
      </w:r>
    </w:p>
    <w:p>
      <w:pPr>
        <w:pStyle w:val="BodyText"/>
        <w:spacing w:before="4"/>
        <w:rPr>
          <w:rFonts w:ascii="Calibri"/>
          <w:sz w:val="13"/>
        </w:rPr>
      </w:pPr>
    </w:p>
    <w:p>
      <w:pPr>
        <w:spacing w:before="0"/>
        <w:ind w:left="368" w:right="0" w:firstLine="0"/>
        <w:jc w:val="left"/>
        <w:rPr>
          <w:rFonts w:ascii="Calibri"/>
          <w:sz w:val="14"/>
        </w:rPr>
      </w:pPr>
      <w:r>
        <w:rPr>
          <w:rFonts w:ascii="Calibri"/>
          <w:color w:val="585858"/>
          <w:sz w:val="14"/>
        </w:rPr>
        <w:t>30.0</w:t>
      </w:r>
    </w:p>
    <w:p>
      <w:pPr>
        <w:pStyle w:val="BodyText"/>
        <w:rPr>
          <w:rFonts w:ascii="Calibri"/>
          <w:sz w:val="14"/>
        </w:rPr>
      </w:pPr>
      <w:r>
        <w:rPr/>
        <w:br w:type="column"/>
      </w:r>
      <w:r>
        <w:rPr>
          <w:rFonts w:ascii="Calibri"/>
          <w:sz w:val="14"/>
        </w:rPr>
      </w:r>
    </w:p>
    <w:p>
      <w:pPr>
        <w:pStyle w:val="BodyText"/>
        <w:spacing w:before="4"/>
        <w:rPr>
          <w:rFonts w:ascii="Calibri"/>
          <w:sz w:val="13"/>
        </w:rPr>
      </w:pPr>
    </w:p>
    <w:p>
      <w:pPr>
        <w:tabs>
          <w:tab w:pos="1025" w:val="left" w:leader="none"/>
        </w:tabs>
        <w:spacing w:before="0"/>
        <w:ind w:left="368" w:right="0" w:firstLine="0"/>
        <w:jc w:val="left"/>
        <w:rPr>
          <w:rFonts w:ascii="Calibri"/>
          <w:sz w:val="14"/>
        </w:rPr>
      </w:pPr>
      <w:r>
        <w:rPr>
          <w:rFonts w:ascii="Calibri"/>
          <w:color w:val="585858"/>
          <w:sz w:val="14"/>
        </w:rPr>
        <w:t>50.0</w:t>
        <w:tab/>
        <w:t>70.0</w:t>
      </w:r>
    </w:p>
    <w:p>
      <w:pPr>
        <w:spacing w:after="0"/>
        <w:jc w:val="left"/>
        <w:rPr>
          <w:rFonts w:ascii="Calibri"/>
          <w:sz w:val="14"/>
        </w:rPr>
        <w:sectPr>
          <w:type w:val="continuous"/>
          <w:pgSz w:w="12240" w:h="15840"/>
          <w:pgMar w:top="1500" w:bottom="280" w:left="1140" w:right="0"/>
          <w:cols w:num="4" w:equalWidth="0">
            <w:col w:w="5714" w:space="40"/>
            <w:col w:w="1559" w:space="39"/>
            <w:col w:w="617" w:space="40"/>
            <w:col w:w="3091"/>
          </w:cols>
        </w:sectPr>
      </w:pPr>
    </w:p>
    <w:p>
      <w:pPr>
        <w:pStyle w:val="BodyText"/>
        <w:rPr>
          <w:rFonts w:ascii="Calibri"/>
          <w:sz w:val="18"/>
        </w:rPr>
      </w:pPr>
    </w:p>
    <w:p>
      <w:pPr>
        <w:pStyle w:val="BodyText"/>
        <w:rPr>
          <w:rFonts w:ascii="Calibri"/>
          <w:sz w:val="14"/>
        </w:rPr>
      </w:pPr>
    </w:p>
    <w:p>
      <w:pPr>
        <w:spacing w:before="0"/>
        <w:ind w:left="631" w:right="0" w:firstLine="0"/>
        <w:jc w:val="left"/>
        <w:rPr>
          <w:sz w:val="16"/>
        </w:rPr>
      </w:pPr>
      <w:r>
        <w:rPr>
          <w:sz w:val="16"/>
        </w:rPr>
        <w:t>Fuente: Banco de Guatemala.</w:t>
      </w:r>
    </w:p>
    <w:p>
      <w:pPr>
        <w:pStyle w:val="BodyText"/>
        <w:rPr>
          <w:sz w:val="18"/>
        </w:rPr>
      </w:pPr>
    </w:p>
    <w:p>
      <w:pPr>
        <w:pStyle w:val="Heading2"/>
        <w:numPr>
          <w:ilvl w:val="3"/>
          <w:numId w:val="12"/>
        </w:numPr>
        <w:tabs>
          <w:tab w:pos="2698" w:val="left" w:leader="none"/>
        </w:tabs>
        <w:spacing w:line="240" w:lineRule="auto" w:before="113" w:after="0"/>
        <w:ind w:left="2698" w:right="0" w:hanging="720"/>
        <w:jc w:val="left"/>
      </w:pPr>
      <w:bookmarkStart w:name="_bookmark60" w:id="79"/>
      <w:bookmarkEnd w:id="79"/>
      <w:r>
        <w:rPr>
          <w:b w:val="0"/>
        </w:rPr>
      </w:r>
      <w:bookmarkStart w:name="_bookmark60" w:id="80"/>
      <w:bookmarkEnd w:id="80"/>
      <w:r>
        <w:rPr/>
        <w:t>I</w:t>
      </w:r>
      <w:r>
        <w:rPr/>
        <w:t>ngreso primario y</w:t>
      </w:r>
      <w:r>
        <w:rPr>
          <w:spacing w:val="-1"/>
        </w:rPr>
        <w:t> </w:t>
      </w:r>
      <w:r>
        <w:rPr>
          <w:spacing w:val="-2"/>
        </w:rPr>
        <w:t>secundario</w:t>
      </w:r>
    </w:p>
    <w:p>
      <w:pPr>
        <w:spacing w:before="74"/>
        <w:ind w:left="542" w:right="0" w:firstLine="0"/>
        <w:jc w:val="left"/>
        <w:rPr>
          <w:sz w:val="14"/>
        </w:rPr>
      </w:pPr>
      <w:r>
        <w:rPr/>
        <w:br w:type="column"/>
      </w:r>
      <w:r>
        <w:rPr>
          <w:color w:val="585858"/>
          <w:sz w:val="14"/>
        </w:rPr>
        <w:t>Variación porcentual precio medio</w:t>
      </w:r>
    </w:p>
    <w:p>
      <w:pPr>
        <w:spacing w:after="0"/>
        <w:jc w:val="left"/>
        <w:rPr>
          <w:sz w:val="14"/>
        </w:rPr>
        <w:sectPr>
          <w:type w:val="continuous"/>
          <w:pgSz w:w="12240" w:h="15840"/>
          <w:pgMar w:top="1500" w:bottom="280" w:left="1140" w:right="0"/>
          <w:cols w:num="2" w:equalWidth="0">
            <w:col w:w="5812" w:space="40"/>
            <w:col w:w="5248"/>
          </w:cols>
        </w:sectPr>
      </w:pPr>
    </w:p>
    <w:p>
      <w:pPr>
        <w:pStyle w:val="BodyText"/>
      </w:pPr>
    </w:p>
    <w:p>
      <w:pPr>
        <w:pStyle w:val="BodyText"/>
        <w:spacing w:line="276" w:lineRule="auto" w:before="92"/>
        <w:ind w:left="562" w:right="1694"/>
        <w:jc w:val="both"/>
      </w:pPr>
      <w:r>
        <w:rPr/>
        <w:t>El ingreso primario ha tenido saldo deficitario en las últimas décadas. En 2021 este se ubicó en US$1,658.9 debido principalmente al déficit de las rentas a la inversión, la cual registró en US$1,783.0 millones. La mayor parte del déficit de rentas a la inversión se explican por los débitos de las utilidades reinvertidas de la inversión extranjera directa, así como los débitos por intereses de largo</w:t>
      </w:r>
      <w:r>
        <w:rPr>
          <w:spacing w:val="-5"/>
        </w:rPr>
        <w:t> </w:t>
      </w:r>
      <w:r>
        <w:rPr/>
        <w:t>plazo</w:t>
      </w:r>
      <w:r>
        <w:rPr>
          <w:spacing w:val="-4"/>
        </w:rPr>
        <w:t> </w:t>
      </w:r>
      <w:r>
        <w:rPr/>
        <w:t>de</w:t>
      </w:r>
      <w:r>
        <w:rPr>
          <w:spacing w:val="-3"/>
        </w:rPr>
        <w:t> </w:t>
      </w:r>
      <w:r>
        <w:rPr/>
        <w:t>la</w:t>
      </w:r>
      <w:r>
        <w:rPr>
          <w:spacing w:val="-6"/>
        </w:rPr>
        <w:t> </w:t>
      </w:r>
      <w:r>
        <w:rPr/>
        <w:t>inversión</w:t>
      </w:r>
      <w:r>
        <w:rPr>
          <w:spacing w:val="-6"/>
        </w:rPr>
        <w:t> </w:t>
      </w:r>
      <w:r>
        <w:rPr/>
        <w:t>en</w:t>
      </w:r>
      <w:r>
        <w:rPr>
          <w:spacing w:val="-4"/>
        </w:rPr>
        <w:t> </w:t>
      </w:r>
      <w:r>
        <w:rPr/>
        <w:t>cartera.</w:t>
      </w:r>
      <w:r>
        <w:rPr>
          <w:spacing w:val="-3"/>
        </w:rPr>
        <w:t> </w:t>
      </w:r>
      <w:r>
        <w:rPr/>
        <w:t>Por</w:t>
      </w:r>
      <w:r>
        <w:rPr>
          <w:spacing w:val="-3"/>
        </w:rPr>
        <w:t> </w:t>
      </w:r>
      <w:r>
        <w:rPr/>
        <w:t>otro</w:t>
      </w:r>
      <w:r>
        <w:rPr>
          <w:spacing w:val="-4"/>
        </w:rPr>
        <w:t> </w:t>
      </w:r>
      <w:r>
        <w:rPr/>
        <w:t>lado,</w:t>
      </w:r>
      <w:r>
        <w:rPr>
          <w:spacing w:val="-6"/>
        </w:rPr>
        <w:t> </w:t>
      </w:r>
      <w:r>
        <w:rPr/>
        <w:t>la</w:t>
      </w:r>
      <w:r>
        <w:rPr>
          <w:spacing w:val="-6"/>
        </w:rPr>
        <w:t> </w:t>
      </w:r>
      <w:r>
        <w:rPr/>
        <w:t>remuneración</w:t>
      </w:r>
      <w:r>
        <w:rPr>
          <w:spacing w:val="-5"/>
        </w:rPr>
        <w:t> </w:t>
      </w:r>
      <w:r>
        <w:rPr/>
        <w:t>hacia</w:t>
      </w:r>
      <w:r>
        <w:rPr>
          <w:spacing w:val="-3"/>
        </w:rPr>
        <w:t> </w:t>
      </w:r>
      <w:r>
        <w:rPr/>
        <w:t>los</w:t>
      </w:r>
      <w:r>
        <w:rPr>
          <w:spacing w:val="-3"/>
        </w:rPr>
        <w:t> </w:t>
      </w:r>
      <w:r>
        <w:rPr/>
        <w:t>empleados</w:t>
      </w:r>
      <w:r>
        <w:rPr>
          <w:spacing w:val="-3"/>
        </w:rPr>
        <w:t> </w:t>
      </w:r>
      <w:r>
        <w:rPr/>
        <w:t>registró</w:t>
      </w:r>
      <w:r>
        <w:rPr>
          <w:spacing w:val="-4"/>
        </w:rPr>
        <w:t> </w:t>
      </w:r>
      <w:r>
        <w:rPr/>
        <w:t>un superávit de US$123.2 millones.</w:t>
      </w:r>
    </w:p>
    <w:p>
      <w:pPr>
        <w:pStyle w:val="BodyText"/>
        <w:spacing w:before="2"/>
        <w:rPr>
          <w:sz w:val="25"/>
        </w:rPr>
      </w:pPr>
    </w:p>
    <w:p>
      <w:pPr>
        <w:pStyle w:val="BodyText"/>
        <w:spacing w:line="276" w:lineRule="auto"/>
        <w:ind w:left="562" w:right="1697"/>
        <w:jc w:val="both"/>
      </w:pPr>
      <w:r>
        <w:rPr/>
        <w:t>El superávit del ingreso secundario es la razón por la cual se han registrado superávits en la cuenta corriente desde 2016. Una pequeña parte de dicho superávit en 2021 se debe a que el Gobierno General</w:t>
      </w:r>
      <w:r>
        <w:rPr>
          <w:spacing w:val="-4"/>
        </w:rPr>
        <w:t> </w:t>
      </w:r>
      <w:r>
        <w:rPr/>
        <w:t>tuvo</w:t>
      </w:r>
      <w:r>
        <w:rPr>
          <w:spacing w:val="-5"/>
        </w:rPr>
        <w:t> </w:t>
      </w:r>
      <w:r>
        <w:rPr/>
        <w:t>un</w:t>
      </w:r>
      <w:r>
        <w:rPr>
          <w:spacing w:val="-4"/>
        </w:rPr>
        <w:t> </w:t>
      </w:r>
      <w:r>
        <w:rPr/>
        <w:t>saldo</w:t>
      </w:r>
      <w:r>
        <w:rPr>
          <w:spacing w:val="-5"/>
        </w:rPr>
        <w:t> </w:t>
      </w:r>
      <w:r>
        <w:rPr/>
        <w:t>positivo</w:t>
      </w:r>
      <w:r>
        <w:rPr>
          <w:spacing w:val="-4"/>
        </w:rPr>
        <w:t> </w:t>
      </w:r>
      <w:r>
        <w:rPr/>
        <w:t>de</w:t>
      </w:r>
      <w:r>
        <w:rPr>
          <w:spacing w:val="-4"/>
        </w:rPr>
        <w:t> </w:t>
      </w:r>
      <w:r>
        <w:rPr/>
        <w:t>US$459.7</w:t>
      </w:r>
      <w:r>
        <w:rPr>
          <w:spacing w:val="-1"/>
        </w:rPr>
        <w:t> </w:t>
      </w:r>
      <w:r>
        <w:rPr/>
        <w:t>millones,</w:t>
      </w:r>
      <w:r>
        <w:rPr>
          <w:spacing w:val="-7"/>
        </w:rPr>
        <w:t> </w:t>
      </w:r>
      <w:r>
        <w:rPr/>
        <w:t>principalmente</w:t>
      </w:r>
      <w:r>
        <w:rPr>
          <w:spacing w:val="-3"/>
        </w:rPr>
        <w:t> </w:t>
      </w:r>
      <w:r>
        <w:rPr/>
        <w:t>por</w:t>
      </w:r>
      <w:r>
        <w:rPr>
          <w:spacing w:val="-4"/>
        </w:rPr>
        <w:t> </w:t>
      </w:r>
      <w:r>
        <w:rPr/>
        <w:t>los</w:t>
      </w:r>
      <w:r>
        <w:rPr>
          <w:spacing w:val="-4"/>
        </w:rPr>
        <w:t> </w:t>
      </w:r>
      <w:r>
        <w:rPr/>
        <w:t>créditos</w:t>
      </w:r>
      <w:r>
        <w:rPr>
          <w:spacing w:val="-3"/>
        </w:rPr>
        <w:t> </w:t>
      </w:r>
      <w:r>
        <w:rPr/>
        <w:t>por</w:t>
      </w:r>
      <w:r>
        <w:rPr>
          <w:spacing w:val="-4"/>
        </w:rPr>
        <w:t> </w:t>
      </w:r>
      <w:r>
        <w:rPr/>
        <w:t>impuestos corrientes sobre la renta, el patrimonio, etc. (impuestos que pagan los no residentes cuando prestan un servicio en Guatemala) y la parte más relevante es por el crédito por remesas familiares, que en dicho año fue de US$15,295.7 millones. En los últimos años los créditos por remesas superaron </w:t>
      </w:r>
      <w:r>
        <w:rPr>
          <w:spacing w:val="-3"/>
        </w:rPr>
        <w:t>el </w:t>
      </w:r>
      <w:r>
        <w:rPr/>
        <w:t>monto agregado del déficit de la balanza comercial y del ingreso primario, esto a pesar de las repercusiones negativas de la pandemia en EE. UU, en particular el empleo e</w:t>
      </w:r>
      <w:r>
        <w:rPr>
          <w:spacing w:val="-16"/>
        </w:rPr>
        <w:t> </w:t>
      </w:r>
      <w:r>
        <w:rPr/>
        <w:t>inflación.</w:t>
      </w:r>
    </w:p>
    <w:p>
      <w:pPr>
        <w:pStyle w:val="BodyText"/>
        <w:spacing w:before="4"/>
        <w:rPr>
          <w:sz w:val="25"/>
        </w:rPr>
      </w:pPr>
    </w:p>
    <w:p>
      <w:pPr>
        <w:pStyle w:val="BodyText"/>
        <w:spacing w:line="276" w:lineRule="auto"/>
        <w:ind w:left="562" w:right="1695"/>
        <w:jc w:val="both"/>
      </w:pPr>
      <w:r>
        <w:rPr/>
        <w:t>Las remesas familiares representaron el 17.8 % con respecto al PIB en 2021. Por otro lado, la tasa de crecimiento de las remesas, en promedio del 2015 al 2019, fue de 13.6 %, en 2020 fue de 7.9 %, y</w:t>
      </w:r>
      <w:r>
        <w:rPr>
          <w:spacing w:val="-9"/>
        </w:rPr>
        <w:t> </w:t>
      </w:r>
      <w:r>
        <w:rPr/>
        <w:t>en</w:t>
      </w:r>
      <w:r>
        <w:rPr>
          <w:spacing w:val="-6"/>
        </w:rPr>
        <w:t> </w:t>
      </w:r>
      <w:r>
        <w:rPr/>
        <w:t>2021</w:t>
      </w:r>
      <w:r>
        <w:rPr>
          <w:spacing w:val="-7"/>
        </w:rPr>
        <w:t> </w:t>
      </w:r>
      <w:r>
        <w:rPr/>
        <w:t>de</w:t>
      </w:r>
      <w:r>
        <w:rPr>
          <w:spacing w:val="-6"/>
        </w:rPr>
        <w:t> </w:t>
      </w:r>
      <w:r>
        <w:rPr/>
        <w:t>34.9</w:t>
      </w:r>
      <w:r>
        <w:rPr>
          <w:spacing w:val="-8"/>
        </w:rPr>
        <w:t> </w:t>
      </w:r>
      <w:r>
        <w:rPr/>
        <w:t>%,</w:t>
      </w:r>
      <w:r>
        <w:rPr>
          <w:spacing w:val="-9"/>
        </w:rPr>
        <w:t> </w:t>
      </w:r>
      <w:r>
        <w:rPr/>
        <w:t>este</w:t>
      </w:r>
      <w:r>
        <w:rPr>
          <w:spacing w:val="-6"/>
        </w:rPr>
        <w:t> </w:t>
      </w:r>
      <w:r>
        <w:rPr/>
        <w:t>dinamismo</w:t>
      </w:r>
      <w:r>
        <w:rPr>
          <w:spacing w:val="-6"/>
        </w:rPr>
        <w:t> </w:t>
      </w:r>
      <w:r>
        <w:rPr/>
        <w:t>de</w:t>
      </w:r>
      <w:r>
        <w:rPr>
          <w:spacing w:val="-7"/>
        </w:rPr>
        <w:t> </w:t>
      </w:r>
      <w:r>
        <w:rPr/>
        <w:t>los</w:t>
      </w:r>
      <w:r>
        <w:rPr>
          <w:spacing w:val="-5"/>
        </w:rPr>
        <w:t> </w:t>
      </w:r>
      <w:r>
        <w:rPr/>
        <w:t>últimos</w:t>
      </w:r>
      <w:r>
        <w:rPr>
          <w:spacing w:val="-5"/>
        </w:rPr>
        <w:t> </w:t>
      </w:r>
      <w:r>
        <w:rPr/>
        <w:t>años</w:t>
      </w:r>
      <w:r>
        <w:rPr>
          <w:spacing w:val="-7"/>
        </w:rPr>
        <w:t> </w:t>
      </w:r>
      <w:r>
        <w:rPr/>
        <w:t>posiciona</w:t>
      </w:r>
      <w:r>
        <w:rPr>
          <w:spacing w:val="-8"/>
        </w:rPr>
        <w:t> </w:t>
      </w:r>
      <w:r>
        <w:rPr/>
        <w:t>a</w:t>
      </w:r>
      <w:r>
        <w:rPr>
          <w:spacing w:val="-6"/>
        </w:rPr>
        <w:t> </w:t>
      </w:r>
      <w:r>
        <w:rPr/>
        <w:t>Guatemala</w:t>
      </w:r>
      <w:r>
        <w:rPr>
          <w:spacing w:val="-9"/>
        </w:rPr>
        <w:t> </w:t>
      </w:r>
      <w:r>
        <w:rPr/>
        <w:t>entre</w:t>
      </w:r>
      <w:r>
        <w:rPr>
          <w:spacing w:val="-8"/>
        </w:rPr>
        <w:t> </w:t>
      </w:r>
      <w:r>
        <w:rPr/>
        <w:t>los</w:t>
      </w:r>
      <w:r>
        <w:rPr>
          <w:spacing w:val="-5"/>
        </w:rPr>
        <w:t> </w:t>
      </w:r>
      <w:r>
        <w:rPr/>
        <w:t>principales receptores de remesas familiares de América Latina. Es importante indicar que, en 2017, según la última publicación del Banco Mundial, los países remitentes de las remesas familiares son Estados Unidos (90.5%), México (3.1%), Canadá (1.7%) y el restante de otros países. Dicha estructura ha tenido</w:t>
      </w:r>
      <w:r>
        <w:rPr>
          <w:spacing w:val="-9"/>
        </w:rPr>
        <w:t> </w:t>
      </w:r>
      <w:r>
        <w:rPr/>
        <w:t>el</w:t>
      </w:r>
      <w:r>
        <w:rPr>
          <w:spacing w:val="-7"/>
        </w:rPr>
        <w:t> </w:t>
      </w:r>
      <w:r>
        <w:rPr/>
        <w:t>mismo</w:t>
      </w:r>
      <w:r>
        <w:rPr>
          <w:spacing w:val="-9"/>
        </w:rPr>
        <w:t> </w:t>
      </w:r>
      <w:r>
        <w:rPr/>
        <w:t>comportamiento</w:t>
      </w:r>
      <w:r>
        <w:rPr>
          <w:spacing w:val="-9"/>
        </w:rPr>
        <w:t> </w:t>
      </w:r>
      <w:r>
        <w:rPr/>
        <w:t>en</w:t>
      </w:r>
      <w:r>
        <w:rPr>
          <w:spacing w:val="-7"/>
        </w:rPr>
        <w:t> </w:t>
      </w:r>
      <w:r>
        <w:rPr/>
        <w:t>años</w:t>
      </w:r>
      <w:r>
        <w:rPr>
          <w:spacing w:val="-8"/>
        </w:rPr>
        <w:t> </w:t>
      </w:r>
      <w:r>
        <w:rPr/>
        <w:t>anteriores</w:t>
      </w:r>
      <w:r>
        <w:rPr>
          <w:spacing w:val="-8"/>
        </w:rPr>
        <w:t> </w:t>
      </w:r>
      <w:r>
        <w:rPr/>
        <w:t>y</w:t>
      </w:r>
      <w:r>
        <w:rPr>
          <w:spacing w:val="-11"/>
        </w:rPr>
        <w:t> </w:t>
      </w:r>
      <w:r>
        <w:rPr/>
        <w:t>se</w:t>
      </w:r>
      <w:r>
        <w:rPr>
          <w:spacing w:val="-8"/>
        </w:rPr>
        <w:t> </w:t>
      </w:r>
      <w:r>
        <w:rPr/>
        <w:t>prevé</w:t>
      </w:r>
      <w:r>
        <w:rPr>
          <w:spacing w:val="-7"/>
        </w:rPr>
        <w:t> </w:t>
      </w:r>
      <w:r>
        <w:rPr/>
        <w:t>que</w:t>
      </w:r>
      <w:r>
        <w:rPr>
          <w:spacing w:val="-8"/>
        </w:rPr>
        <w:t> </w:t>
      </w:r>
      <w:r>
        <w:rPr/>
        <w:t>permanecerá</w:t>
      </w:r>
      <w:r>
        <w:rPr>
          <w:spacing w:val="-8"/>
        </w:rPr>
        <w:t> </w:t>
      </w:r>
      <w:r>
        <w:rPr/>
        <w:t>en</w:t>
      </w:r>
      <w:r>
        <w:rPr>
          <w:spacing w:val="-10"/>
        </w:rPr>
        <w:t> </w:t>
      </w:r>
      <w:r>
        <w:rPr/>
        <w:t>el</w:t>
      </w:r>
      <w:r>
        <w:rPr>
          <w:spacing w:val="-7"/>
        </w:rPr>
        <w:t> </w:t>
      </w:r>
      <w:r>
        <w:rPr/>
        <w:t>mediano</w:t>
      </w:r>
      <w:r>
        <w:rPr>
          <w:spacing w:val="-7"/>
        </w:rPr>
        <w:t> </w:t>
      </w:r>
      <w:r>
        <w:rPr/>
        <w:t>plazo.</w:t>
      </w:r>
    </w:p>
    <w:p>
      <w:pPr>
        <w:spacing w:after="0" w:line="276" w:lineRule="auto"/>
        <w:jc w:val="both"/>
        <w:sectPr>
          <w:type w:val="continuous"/>
          <w:pgSz w:w="12240" w:h="15840"/>
          <w:pgMar w:top="1500" w:bottom="280" w:left="1140" w:right="0"/>
        </w:sectPr>
      </w:pPr>
    </w:p>
    <w:p>
      <w:pPr>
        <w:pStyle w:val="BodyText"/>
        <w:rPr>
          <w:sz w:val="20"/>
        </w:rPr>
      </w:pPr>
    </w:p>
    <w:p>
      <w:pPr>
        <w:pStyle w:val="BodyText"/>
        <w:spacing w:before="9"/>
        <w:rPr>
          <w:sz w:val="25"/>
        </w:rPr>
      </w:pPr>
    </w:p>
    <w:p>
      <w:pPr>
        <w:spacing w:before="1"/>
        <w:ind w:left="0" w:right="0" w:firstLine="0"/>
        <w:jc w:val="right"/>
        <w:rPr>
          <w:sz w:val="18"/>
        </w:rPr>
      </w:pPr>
      <w:bookmarkStart w:name="_bookmark61" w:id="81"/>
      <w:bookmarkEnd w:id="81"/>
      <w:r>
        <w:rPr/>
      </w:r>
      <w:r>
        <w:rPr>
          <w:color w:val="585858"/>
          <w:spacing w:val="-1"/>
          <w:sz w:val="18"/>
        </w:rPr>
        <w:t>40.0</w:t>
      </w:r>
    </w:p>
    <w:p>
      <w:pPr>
        <w:spacing w:before="111"/>
        <w:ind w:left="0" w:right="0" w:firstLine="0"/>
        <w:jc w:val="right"/>
        <w:rPr>
          <w:sz w:val="18"/>
        </w:rPr>
      </w:pPr>
      <w:r>
        <w:rPr>
          <w:color w:val="585858"/>
          <w:spacing w:val="-1"/>
          <w:sz w:val="18"/>
        </w:rPr>
        <w:t>35.0</w:t>
      </w:r>
    </w:p>
    <w:p>
      <w:pPr>
        <w:spacing w:before="112"/>
        <w:ind w:left="0" w:right="0" w:firstLine="0"/>
        <w:jc w:val="right"/>
        <w:rPr>
          <w:sz w:val="18"/>
        </w:rPr>
      </w:pPr>
      <w:r>
        <w:rPr>
          <w:color w:val="585858"/>
          <w:spacing w:val="-1"/>
          <w:sz w:val="18"/>
        </w:rPr>
        <w:t>30.0</w:t>
      </w:r>
    </w:p>
    <w:p>
      <w:pPr>
        <w:spacing w:before="111"/>
        <w:ind w:left="0" w:right="0" w:firstLine="0"/>
        <w:jc w:val="right"/>
        <w:rPr>
          <w:sz w:val="18"/>
        </w:rPr>
      </w:pPr>
      <w:r>
        <w:rPr>
          <w:color w:val="585858"/>
          <w:spacing w:val="-1"/>
          <w:sz w:val="18"/>
        </w:rPr>
        <w:t>25.0</w:t>
      </w:r>
    </w:p>
    <w:p>
      <w:pPr>
        <w:spacing w:before="112"/>
        <w:ind w:left="0" w:right="0" w:firstLine="0"/>
        <w:jc w:val="right"/>
        <w:rPr>
          <w:sz w:val="18"/>
        </w:rPr>
      </w:pPr>
      <w:r>
        <w:rPr>
          <w:color w:val="585858"/>
          <w:spacing w:val="-1"/>
          <w:sz w:val="18"/>
        </w:rPr>
        <w:t>20.0</w:t>
      </w:r>
    </w:p>
    <w:p>
      <w:pPr>
        <w:spacing w:before="112"/>
        <w:ind w:left="0" w:right="0" w:firstLine="0"/>
        <w:jc w:val="right"/>
        <w:rPr>
          <w:sz w:val="18"/>
        </w:rPr>
      </w:pPr>
      <w:r>
        <w:rPr>
          <w:color w:val="585858"/>
          <w:spacing w:val="-1"/>
          <w:sz w:val="18"/>
        </w:rPr>
        <w:t>15.0</w:t>
      </w:r>
    </w:p>
    <w:p>
      <w:pPr>
        <w:spacing w:before="112"/>
        <w:ind w:left="0" w:right="0" w:firstLine="0"/>
        <w:jc w:val="right"/>
        <w:rPr>
          <w:sz w:val="18"/>
        </w:rPr>
      </w:pPr>
      <w:r>
        <w:rPr>
          <w:color w:val="585858"/>
          <w:spacing w:val="-1"/>
          <w:sz w:val="18"/>
        </w:rPr>
        <w:t>10.0</w:t>
      </w:r>
    </w:p>
    <w:p>
      <w:pPr>
        <w:spacing w:before="111"/>
        <w:ind w:left="0" w:right="0" w:firstLine="0"/>
        <w:jc w:val="right"/>
        <w:rPr>
          <w:sz w:val="18"/>
        </w:rPr>
      </w:pPr>
      <w:r>
        <w:rPr>
          <w:color w:val="585858"/>
          <w:spacing w:val="-1"/>
          <w:sz w:val="18"/>
        </w:rPr>
        <w:t>5.0</w:t>
      </w:r>
    </w:p>
    <w:p>
      <w:pPr>
        <w:spacing w:before="112"/>
        <w:ind w:left="0" w:right="89" w:firstLine="0"/>
        <w:jc w:val="right"/>
        <w:rPr>
          <w:sz w:val="18"/>
        </w:rPr>
      </w:pPr>
      <w:r>
        <w:rPr>
          <w:color w:val="585858"/>
          <w:sz w:val="18"/>
        </w:rPr>
        <w:t>-</w:t>
      </w:r>
    </w:p>
    <w:p>
      <w:pPr>
        <w:spacing w:before="167"/>
        <w:ind w:left="1185" w:right="0" w:firstLine="0"/>
        <w:jc w:val="left"/>
        <w:rPr>
          <w:b/>
          <w:sz w:val="22"/>
        </w:rPr>
      </w:pPr>
      <w:r>
        <w:rPr/>
        <w:br w:type="column"/>
      </w:r>
      <w:r>
        <w:rPr>
          <w:b/>
          <w:i/>
          <w:sz w:val="22"/>
        </w:rPr>
        <w:t>Gráfico 26 </w:t>
      </w:r>
      <w:r>
        <w:rPr>
          <w:b/>
          <w:sz w:val="22"/>
        </w:rPr>
        <w:t>Remesas familiares</w:t>
      </w:r>
    </w:p>
    <w:p>
      <w:pPr>
        <w:pStyle w:val="BodyText"/>
        <w:rPr>
          <w:b/>
          <w:sz w:val="20"/>
        </w:rPr>
      </w:pPr>
    </w:p>
    <w:p>
      <w:pPr>
        <w:pStyle w:val="BodyText"/>
        <w:spacing w:before="1"/>
        <w:rPr>
          <w:b/>
          <w:sz w:val="18"/>
        </w:rPr>
      </w:pPr>
      <w:r>
        <w:rPr/>
        <w:pict>
          <v:group style="position:absolute;margin-left:182.160004pt;margin-top:12.3675pt;width:269.9pt;height:114.9pt;mso-position-horizontal-relative:page;mso-position-vertical-relative:paragraph;z-index:-251277312;mso-wrap-distance-left:0;mso-wrap-distance-right:0" coordorigin="3643,247" coordsize="5398,2298">
            <v:rect style="position:absolute;left:3912;top:1808;width:540;height:730" filled="true" fillcolor="#ef810f" stroked="false">
              <v:fill type="solid"/>
            </v:rect>
            <v:rect style="position:absolute;left:3912;top:1808;width:540;height:730" filled="false" stroked="true" strokeweight=".72pt" strokecolor="#000000">
              <v:stroke dashstyle="solid"/>
            </v:rect>
            <v:rect style="position:absolute;left:4992;top:1728;width:540;height:809" filled="true" fillcolor="#ef810f" stroked="false">
              <v:fill type="solid"/>
            </v:rect>
            <v:rect style="position:absolute;left:4992;top:1728;width:540;height:809" filled="false" stroked="true" strokeweight=".72pt" strokecolor="#000000">
              <v:stroke dashstyle="solid"/>
            </v:rect>
            <v:rect style="position:absolute;left:6072;top:1668;width:540;height:869" filled="true" fillcolor="#ef810f" stroked="false">
              <v:fill type="solid"/>
            </v:rect>
            <v:rect style="position:absolute;left:6072;top:1668;width:540;height:869" filled="false" stroked="true" strokeweight=".72pt" strokecolor="#000000">
              <v:stroke dashstyle="solid"/>
            </v:rect>
            <v:rect style="position:absolute;left:7152;top:1606;width:540;height:932" filled="true" fillcolor="#ef810f" stroked="false">
              <v:fill type="solid"/>
            </v:rect>
            <v:rect style="position:absolute;left:7152;top:1606;width:540;height:932" filled="false" stroked="true" strokeweight=".72pt" strokecolor="#000000">
              <v:stroke dashstyle="solid"/>
            </v:rect>
            <v:rect style="position:absolute;left:8232;top:1404;width:540;height:1133" filled="true" fillcolor="#ef810f" stroked="false">
              <v:fill type="solid"/>
            </v:rect>
            <v:rect style="position:absolute;left:8232;top:1404;width:540;height:1133" filled="false" stroked="true" strokeweight=".72pt" strokecolor="#000000">
              <v:stroke dashstyle="solid"/>
            </v:rect>
            <v:line style="position:absolute" from="3643,2538" to="9041,2538" stroked="true" strokeweight=".72pt" strokecolor="#d9d9d9">
              <v:stroke dashstyle="solid"/>
            </v:line>
            <v:shape style="position:absolute;left:4182;top:314;width:4320;height:1719" coordorigin="4182,314" coordsize="4320,1719" path="m4182,1620l5262,1684,6342,1701,7422,2032,8502,314e" filled="false" stroked="true" strokeweight="2.280pt" strokecolor="#3b1047">
              <v:path arrowok="t"/>
              <v:stroke dashstyle="solid"/>
            </v:shape>
            <v:shape style="position:absolute;left:8443;top:255;width:116;height:116" type="#_x0000_t75" stroked="false">
              <v:imagedata r:id="rId38" o:title=""/>
            </v:shape>
            <v:rect style="position:absolute;left:3885;top:1258;width:442;height:245" filled="true" fillcolor="#ffffff" stroked="false">
              <v:fill type="solid"/>
            </v:rect>
            <v:rect style="position:absolute;left:5042;top:1424;width:440;height:245" filled="false" stroked="true" strokeweight=".72pt" strokecolor="#ef810f">
              <v:stroke dashstyle="solid"/>
            </v:rect>
            <v:rect style="position:absolute;left:6122;top:1364;width:440;height:245" filled="false" stroked="true" strokeweight=".72pt" strokecolor="#ef810f">
              <v:stroke dashstyle="solid"/>
            </v:rect>
            <v:rect style="position:absolute;left:7202;top:1301;width:440;height:245" filled="false" stroked="true" strokeweight=".72pt" strokecolor="#ef810f">
              <v:stroke dashstyle="solid"/>
            </v:rect>
            <v:rect style="position:absolute;left:8280;top:1100;width:442;height:245" filled="true" fillcolor="#ffffff" stroked="false">
              <v:fill type="solid"/>
            </v:rect>
            <v:rect style="position:absolute;left:8280;top:1100;width:442;height:245" filled="false" stroked="true" strokeweight=".72pt" strokecolor="#ef810f">
              <v:stroke dashstyle="solid"/>
            </v:rect>
            <v:rect style="position:absolute;left:3938;top:1808;width:442;height:245" filled="true" fillcolor="#ffffff" stroked="false">
              <v:fill type="solid"/>
            </v:rect>
            <v:rect style="position:absolute;left:3938;top:1808;width:442;height:245" filled="false" stroked="true" strokeweight=".72pt" strokecolor="#000000">
              <v:stroke dashstyle="solid"/>
            </v:rect>
            <v:rect style="position:absolute;left:5042;top:1796;width:440;height:243" filled="true" fillcolor="#ffffff" stroked="false">
              <v:fill type="solid"/>
            </v:rect>
            <v:rect style="position:absolute;left:5042;top:1796;width:440;height:243" filled="false" stroked="true" strokeweight=".72pt" strokecolor="#000000">
              <v:stroke dashstyle="solid"/>
            </v:rect>
            <v:rect style="position:absolute;left:6122;top:1810;width:440;height:245" filled="true" fillcolor="#ffffff" stroked="false">
              <v:fill type="solid"/>
            </v:rect>
            <v:rect style="position:absolute;left:6122;top:1810;width:440;height:245" filled="false" stroked="true" strokeweight=".72pt" strokecolor="#000000">
              <v:stroke dashstyle="solid"/>
            </v:rect>
            <v:rect style="position:absolute;left:8493;top:380;width:440;height:243" filled="true" fillcolor="#ffffff" stroked="false">
              <v:fill type="solid"/>
            </v:rect>
            <v:line style="position:absolute" from="4025,342" to="4409,342" stroked="true" strokeweight="4.08pt" strokecolor="#ef810f">
              <v:stroke dashstyle="solid"/>
            </v:line>
            <v:rect style="position:absolute;left:4024;top:300;width:384;height:82" filled="false" stroked="true" strokeweight=".72pt" strokecolor="#000000">
              <v:stroke dashstyle="solid"/>
            </v:rect>
            <v:line style="position:absolute" from="4024,616" to="4408,616" stroked="true" strokeweight="2.280pt" strokecolor="#3b1047">
              <v:stroke dashstyle="solid"/>
            </v:line>
            <v:shape style="position:absolute;left:4449;top:247;width:1307;height:453" type="#_x0000_t202" filled="false" stroked="false">
              <v:textbox inset="0,0,0,0">
                <w:txbxContent>
                  <w:p>
                    <w:pPr>
                      <w:spacing w:line="178" w:lineRule="exact" w:before="0"/>
                      <w:ind w:left="0" w:right="0" w:firstLine="0"/>
                      <w:jc w:val="left"/>
                      <w:rPr>
                        <w:sz w:val="16"/>
                      </w:rPr>
                    </w:pPr>
                    <w:r>
                      <w:rPr>
                        <w:color w:val="585858"/>
                        <w:sz w:val="16"/>
                      </w:rPr>
                      <w:t>Remesas / PIB</w:t>
                    </w:r>
                  </w:p>
                  <w:p>
                    <w:pPr>
                      <w:spacing w:before="90"/>
                      <w:ind w:left="0" w:right="0" w:firstLine="0"/>
                      <w:jc w:val="left"/>
                      <w:rPr>
                        <w:sz w:val="16"/>
                      </w:rPr>
                    </w:pPr>
                    <w:r>
                      <w:rPr>
                        <w:color w:val="585858"/>
                        <w:sz w:val="16"/>
                      </w:rPr>
                      <w:t>Tasa de crecimiento</w:t>
                    </w:r>
                  </w:p>
                </w:txbxContent>
              </v:textbox>
              <w10:wrap type="none"/>
            </v:shape>
            <v:shape style="position:absolute;left:8380;top:1135;width:304;height:179" type="#_x0000_t202" filled="false" stroked="false">
              <v:textbox inset="0,0,0,0">
                <w:txbxContent>
                  <w:p>
                    <w:pPr>
                      <w:spacing w:line="178" w:lineRule="exact" w:before="0"/>
                      <w:ind w:left="0" w:right="0" w:firstLine="0"/>
                      <w:jc w:val="left"/>
                      <w:rPr>
                        <w:b/>
                        <w:sz w:val="16"/>
                      </w:rPr>
                    </w:pPr>
                    <w:r>
                      <w:rPr>
                        <w:b/>
                        <w:color w:val="EF810F"/>
                        <w:sz w:val="16"/>
                      </w:rPr>
                      <w:t>17.8</w:t>
                    </w:r>
                  </w:p>
                </w:txbxContent>
              </v:textbox>
              <w10:wrap type="none"/>
            </v:shape>
            <v:shape style="position:absolute;left:5140;top:1461;width:304;height:179" type="#_x0000_t202" filled="false" stroked="false">
              <v:textbox inset="0,0,0,0">
                <w:txbxContent>
                  <w:p>
                    <w:pPr>
                      <w:spacing w:line="178" w:lineRule="exact" w:before="0"/>
                      <w:ind w:left="0" w:right="0" w:firstLine="0"/>
                      <w:jc w:val="left"/>
                      <w:rPr>
                        <w:b/>
                        <w:sz w:val="16"/>
                      </w:rPr>
                    </w:pPr>
                    <w:r>
                      <w:rPr>
                        <w:b/>
                        <w:color w:val="EF810F"/>
                        <w:sz w:val="16"/>
                      </w:rPr>
                      <w:t>12.7</w:t>
                    </w:r>
                  </w:p>
                </w:txbxContent>
              </v:textbox>
              <w10:wrap type="none"/>
            </v:shape>
            <v:shape style="position:absolute;left:6220;top:1399;width:304;height:179" type="#_x0000_t202" filled="false" stroked="false">
              <v:textbox inset="0,0,0,0">
                <w:txbxContent>
                  <w:p>
                    <w:pPr>
                      <w:spacing w:line="178" w:lineRule="exact" w:before="0"/>
                      <w:ind w:left="0" w:right="0" w:firstLine="0"/>
                      <w:jc w:val="left"/>
                      <w:rPr>
                        <w:b/>
                        <w:sz w:val="16"/>
                      </w:rPr>
                    </w:pPr>
                    <w:r>
                      <w:rPr>
                        <w:b/>
                        <w:color w:val="EF810F"/>
                        <w:sz w:val="16"/>
                      </w:rPr>
                      <w:t>13.6</w:t>
                    </w:r>
                  </w:p>
                </w:txbxContent>
              </v:textbox>
              <w10:wrap type="none"/>
            </v:shape>
            <v:shape style="position:absolute;left:7300;top:1338;width:304;height:179" type="#_x0000_t202" filled="false" stroked="false">
              <v:textbox inset="0,0,0,0">
                <w:txbxContent>
                  <w:p>
                    <w:pPr>
                      <w:spacing w:line="178" w:lineRule="exact" w:before="0"/>
                      <w:ind w:left="0" w:right="0" w:firstLine="0"/>
                      <w:jc w:val="left"/>
                      <w:rPr>
                        <w:b/>
                        <w:sz w:val="16"/>
                      </w:rPr>
                    </w:pPr>
                    <w:r>
                      <w:rPr>
                        <w:b/>
                        <w:color w:val="EF810F"/>
                        <w:sz w:val="16"/>
                      </w:rPr>
                      <w:t>14.6</w:t>
                    </w:r>
                  </w:p>
                </w:txbxContent>
              </v:textbox>
              <w10:wrap type="none"/>
            </v:shape>
            <v:shape style="position:absolute;left:4038;top:1844;width:304;height:179" type="#_x0000_t202" filled="false" stroked="false">
              <v:textbox inset="0,0,0,0">
                <w:txbxContent>
                  <w:p>
                    <w:pPr>
                      <w:spacing w:line="178" w:lineRule="exact" w:before="0"/>
                      <w:ind w:left="0" w:right="0" w:firstLine="0"/>
                      <w:jc w:val="left"/>
                      <w:rPr>
                        <w:b/>
                        <w:sz w:val="16"/>
                      </w:rPr>
                    </w:pPr>
                    <w:r>
                      <w:rPr>
                        <w:b/>
                        <w:color w:val="3B1047"/>
                        <w:sz w:val="16"/>
                      </w:rPr>
                      <w:t>14.4</w:t>
                    </w:r>
                  </w:p>
                </w:txbxContent>
              </v:textbox>
              <w10:wrap type="none"/>
            </v:shape>
            <v:shape style="position:absolute;left:5140;top:1831;width:304;height:179" type="#_x0000_t202" filled="false" stroked="false">
              <v:textbox inset="0,0,0,0">
                <w:txbxContent>
                  <w:p>
                    <w:pPr>
                      <w:spacing w:line="178" w:lineRule="exact" w:before="0"/>
                      <w:ind w:left="0" w:right="0" w:firstLine="0"/>
                      <w:jc w:val="left"/>
                      <w:rPr>
                        <w:b/>
                        <w:sz w:val="16"/>
                      </w:rPr>
                    </w:pPr>
                    <w:r>
                      <w:rPr>
                        <w:b/>
                        <w:color w:val="3B1047"/>
                        <w:sz w:val="16"/>
                      </w:rPr>
                      <w:t>13.4</w:t>
                    </w:r>
                  </w:p>
                </w:txbxContent>
              </v:textbox>
              <w10:wrap type="none"/>
            </v:shape>
            <v:shape style="position:absolute;left:6220;top:1846;width:304;height:179" type="#_x0000_t202" filled="false" stroked="false">
              <v:textbox inset="0,0,0,0">
                <w:txbxContent>
                  <w:p>
                    <w:pPr>
                      <w:spacing w:line="178" w:lineRule="exact" w:before="0"/>
                      <w:ind w:left="0" w:right="0" w:firstLine="0"/>
                      <w:jc w:val="left"/>
                      <w:rPr>
                        <w:b/>
                        <w:sz w:val="16"/>
                      </w:rPr>
                    </w:pPr>
                    <w:r>
                      <w:rPr>
                        <w:b/>
                        <w:color w:val="3B1047"/>
                        <w:sz w:val="16"/>
                      </w:rPr>
                      <w:t>13.1</w:t>
                    </w:r>
                  </w:p>
                </w:txbxContent>
              </v:textbox>
              <w10:wrap type="none"/>
            </v:shape>
            <v:shape style="position:absolute;left:7240;top:2141;width:360;height:245" type="#_x0000_t202" filled="true" fillcolor="#ffffff" stroked="true" strokeweight=".72pt" strokecolor="#000000">
              <v:textbox inset="0,0,0,0">
                <w:txbxContent>
                  <w:p>
                    <w:pPr>
                      <w:spacing w:before="24"/>
                      <w:ind w:left="93" w:right="0" w:firstLine="0"/>
                      <w:jc w:val="left"/>
                      <w:rPr>
                        <w:b/>
                        <w:sz w:val="16"/>
                      </w:rPr>
                    </w:pPr>
                    <w:r>
                      <w:rPr>
                        <w:b/>
                        <w:color w:val="3B1047"/>
                        <w:sz w:val="16"/>
                      </w:rPr>
                      <w:t>7.9</w:t>
                    </w:r>
                  </w:p>
                </w:txbxContent>
              </v:textbox>
              <v:fill type="solid"/>
              <v:stroke dashstyle="solid"/>
              <w10:wrap type="none"/>
            </v:shape>
            <v:shape style="position:absolute;left:3885;top:1258;width:442;height:245" type="#_x0000_t202" filled="false" stroked="true" strokeweight=".72pt" strokecolor="#ef810f">
              <v:textbox inset="0,0,0,0">
                <w:txbxContent>
                  <w:p>
                    <w:pPr>
                      <w:spacing w:before="23"/>
                      <w:ind w:left="92" w:right="0" w:firstLine="0"/>
                      <w:jc w:val="left"/>
                      <w:rPr>
                        <w:b/>
                        <w:sz w:val="16"/>
                      </w:rPr>
                    </w:pPr>
                    <w:r>
                      <w:rPr>
                        <w:b/>
                        <w:color w:val="EF810F"/>
                        <w:sz w:val="16"/>
                      </w:rPr>
                      <w:t>11.4</w:t>
                    </w:r>
                  </w:p>
                </w:txbxContent>
              </v:textbox>
              <v:stroke dashstyle="solid"/>
              <w10:wrap type="none"/>
            </v:shape>
            <v:shape style="position:absolute;left:8493;top:380;width:440;height:243" type="#_x0000_t202" filled="false" stroked="true" strokeweight=".72pt" strokecolor="#000000">
              <v:textbox inset="0,0,0,0">
                <w:txbxContent>
                  <w:p>
                    <w:pPr>
                      <w:spacing w:before="22"/>
                      <w:ind w:left="91" w:right="0" w:firstLine="0"/>
                      <w:jc w:val="left"/>
                      <w:rPr>
                        <w:b/>
                        <w:sz w:val="16"/>
                      </w:rPr>
                    </w:pPr>
                    <w:r>
                      <w:rPr>
                        <w:b/>
                        <w:color w:val="3B1047"/>
                        <w:sz w:val="16"/>
                      </w:rPr>
                      <w:t>34.9</w:t>
                    </w:r>
                  </w:p>
                </w:txbxContent>
              </v:textbox>
              <v:stroke dashstyle="solid"/>
              <w10:wrap type="none"/>
            </v:shape>
            <w10:wrap type="topAndBottom"/>
          </v:group>
        </w:pict>
      </w:r>
    </w:p>
    <w:p>
      <w:pPr>
        <w:tabs>
          <w:tab w:pos="1597" w:val="left" w:leader="none"/>
          <w:tab w:pos="2677" w:val="left" w:leader="none"/>
          <w:tab w:pos="3757" w:val="left" w:leader="none"/>
          <w:tab w:pos="4837" w:val="left" w:leader="none"/>
        </w:tabs>
        <w:spacing w:before="63"/>
        <w:ind w:left="517" w:right="0" w:firstLine="0"/>
        <w:jc w:val="left"/>
        <w:rPr>
          <w:sz w:val="18"/>
        </w:rPr>
      </w:pPr>
      <w:r>
        <w:rPr>
          <w:color w:val="585858"/>
          <w:sz w:val="18"/>
        </w:rPr>
        <w:t>2017</w:t>
        <w:tab/>
        <w:t>2018</w:t>
        <w:tab/>
        <w:t>2019</w:t>
        <w:tab/>
        <w:t>2020</w:t>
        <w:tab/>
        <w:t>2021</w:t>
      </w:r>
    </w:p>
    <w:p>
      <w:pPr>
        <w:spacing w:after="0"/>
        <w:jc w:val="left"/>
        <w:rPr>
          <w:sz w:val="18"/>
        </w:rPr>
        <w:sectPr>
          <w:pgSz w:w="12240" w:h="15840"/>
          <w:pgMar w:header="715" w:footer="957" w:top="1240" w:bottom="1140" w:left="1140" w:right="0"/>
          <w:cols w:num="2" w:equalWidth="0">
            <w:col w:w="2306" w:space="40"/>
            <w:col w:w="8754"/>
          </w:cols>
        </w:sectPr>
      </w:pPr>
    </w:p>
    <w:p>
      <w:pPr>
        <w:spacing w:before="114"/>
        <w:ind w:left="2033" w:right="0" w:firstLine="0"/>
        <w:jc w:val="left"/>
        <w:rPr>
          <w:sz w:val="18"/>
        </w:rPr>
      </w:pPr>
      <w:r>
        <w:rPr>
          <w:sz w:val="18"/>
        </w:rPr>
        <w:t>Fuente: Banco de Guatemala</w:t>
      </w:r>
    </w:p>
    <w:p>
      <w:pPr>
        <w:pStyle w:val="BodyText"/>
        <w:spacing w:before="3"/>
        <w:rPr>
          <w:sz w:val="26"/>
        </w:rPr>
      </w:pPr>
    </w:p>
    <w:p>
      <w:pPr>
        <w:pStyle w:val="Heading2"/>
        <w:spacing w:before="90"/>
        <w:ind w:left="1978"/>
      </w:pPr>
      <w:bookmarkStart w:name="_bookmark62" w:id="82"/>
      <w:bookmarkEnd w:id="82"/>
      <w:r>
        <w:rPr>
          <w:b w:val="0"/>
        </w:rPr>
      </w:r>
      <w:r>
        <w:rPr/>
        <w:t>3.3.1.3 Cuenta financiera</w:t>
      </w:r>
    </w:p>
    <w:p>
      <w:pPr>
        <w:pStyle w:val="BodyText"/>
        <w:rPr>
          <w:b/>
          <w:sz w:val="30"/>
        </w:rPr>
      </w:pPr>
    </w:p>
    <w:p>
      <w:pPr>
        <w:pStyle w:val="BodyText"/>
        <w:spacing w:line="276" w:lineRule="auto"/>
        <w:ind w:left="562" w:right="1695"/>
        <w:jc w:val="both"/>
      </w:pPr>
      <w:r>
        <w:rPr/>
        <w:t>En 2021 el endeudamiento neto de la cuenta financiera, sin los activos de reserva, fue de US2,035.4 millones. Esto se debe a que la adquisición de activos financieros netos fue de US$4,583.4 millones, principalmente por que el rubro de otra inversión de monedas y depósitos registró US3,782.0 millones, mayor en US3,589.5 millones al registro del año anterior. Los activos de reserva incrementaron considerablemente en los últimos años. Para 2021 el aumento fue de US$2,808.8 millones y según la posición de inversión internacional presenta un saldo de US20,935.0 millones.</w:t>
      </w:r>
    </w:p>
    <w:p>
      <w:pPr>
        <w:pStyle w:val="BodyText"/>
        <w:spacing w:before="4"/>
        <w:rPr>
          <w:sz w:val="25"/>
        </w:rPr>
      </w:pPr>
    </w:p>
    <w:p>
      <w:pPr>
        <w:pStyle w:val="BodyText"/>
        <w:spacing w:line="276" w:lineRule="auto" w:before="1"/>
        <w:ind w:left="562" w:right="1695"/>
        <w:jc w:val="both"/>
      </w:pPr>
      <w:r>
        <w:rPr/>
        <w:t>Asimismo, los pasivos netos incurridos fueron de US 5,356.8 millones, siendo la principal razón el incremento en el flujo de inversión extranjera directa (IED) que fue de US3,471.7 millones en </w:t>
      </w:r>
      <w:r>
        <w:rPr>
          <w:spacing w:val="-3"/>
        </w:rPr>
        <w:t>el  </w:t>
      </w:r>
      <w:r>
        <w:rPr/>
        <w:t>2021,</w:t>
      </w:r>
      <w:r>
        <w:rPr>
          <w:spacing w:val="-4"/>
        </w:rPr>
        <w:t> </w:t>
      </w:r>
      <w:r>
        <w:rPr/>
        <w:t>aumentando</w:t>
      </w:r>
      <w:r>
        <w:rPr>
          <w:spacing w:val="-3"/>
        </w:rPr>
        <w:t> </w:t>
      </w:r>
      <w:r>
        <w:rPr/>
        <w:t>272.6</w:t>
      </w:r>
      <w:r>
        <w:rPr>
          <w:spacing w:val="-3"/>
        </w:rPr>
        <w:t> </w:t>
      </w:r>
      <w:r>
        <w:rPr/>
        <w:t>%</w:t>
      </w:r>
      <w:r>
        <w:rPr>
          <w:spacing w:val="-5"/>
        </w:rPr>
        <w:t> </w:t>
      </w:r>
      <w:r>
        <w:rPr/>
        <w:t>con</w:t>
      </w:r>
      <w:r>
        <w:rPr>
          <w:spacing w:val="-3"/>
        </w:rPr>
        <w:t> </w:t>
      </w:r>
      <w:r>
        <w:rPr/>
        <w:t>respecto</w:t>
      </w:r>
      <w:r>
        <w:rPr>
          <w:spacing w:val="-3"/>
        </w:rPr>
        <w:t> </w:t>
      </w:r>
      <w:r>
        <w:rPr/>
        <w:t>el</w:t>
      </w:r>
      <w:r>
        <w:rPr>
          <w:spacing w:val="-3"/>
        </w:rPr>
        <w:t> </w:t>
      </w:r>
      <w:r>
        <w:rPr/>
        <w:t>2020,</w:t>
      </w:r>
      <w:r>
        <w:rPr>
          <w:spacing w:val="-2"/>
        </w:rPr>
        <w:t> </w:t>
      </w:r>
      <w:r>
        <w:rPr/>
        <w:t>aunque</w:t>
      </w:r>
      <w:r>
        <w:rPr>
          <w:spacing w:val="-2"/>
        </w:rPr>
        <w:t> </w:t>
      </w:r>
      <w:r>
        <w:rPr/>
        <w:t>esto</w:t>
      </w:r>
      <w:r>
        <w:rPr>
          <w:spacing w:val="-4"/>
        </w:rPr>
        <w:t> </w:t>
      </w:r>
      <w:r>
        <w:rPr/>
        <w:t>se</w:t>
      </w:r>
      <w:r>
        <w:rPr>
          <w:spacing w:val="-3"/>
        </w:rPr>
        <w:t> </w:t>
      </w:r>
      <w:r>
        <w:rPr/>
        <w:t>debe</w:t>
      </w:r>
      <w:r>
        <w:rPr>
          <w:spacing w:val="-2"/>
        </w:rPr>
        <w:t> </w:t>
      </w:r>
      <w:r>
        <w:rPr/>
        <w:t>principalmente</w:t>
      </w:r>
      <w:r>
        <w:rPr>
          <w:spacing w:val="-3"/>
        </w:rPr>
        <w:t> </w:t>
      </w:r>
      <w:r>
        <w:rPr/>
        <w:t>a</w:t>
      </w:r>
      <w:r>
        <w:rPr>
          <w:spacing w:val="-3"/>
        </w:rPr>
        <w:t> </w:t>
      </w:r>
      <w:r>
        <w:rPr/>
        <w:t>la</w:t>
      </w:r>
      <w:r>
        <w:rPr>
          <w:spacing w:val="-2"/>
        </w:rPr>
        <w:t> </w:t>
      </w:r>
      <w:r>
        <w:rPr/>
        <w:t>compra</w:t>
      </w:r>
      <w:r>
        <w:rPr>
          <w:spacing w:val="-3"/>
        </w:rPr>
        <w:t> </w:t>
      </w:r>
      <w:r>
        <w:rPr/>
        <w:t>de las acciones de la empresa de telecomunicaciones de TIGO Guatemala, S.A, por la empresa multinacional Millicom International Cellular, con sede central en Luxemburgo, por un monto de aproximadamente US2,200 millones, por lo que la participación del total de la IED de este país fue de 64.8 % en dicho año. Los otros flujos provinieron de Colombia ( 7.5 %), México ( 5.7 %), Panamá ( 5.4 %), EE.UU. ( 3.8 %) y Rusia ( 3.3 %) y las principales actividades económicas en las que se utilizaron fueron las actividades de información y comunicaciones (66.0 %), financieras y de seguros ( 9.8 %), el comercio y reparación de vehículos (</w:t>
      </w:r>
      <w:r>
        <w:rPr>
          <w:spacing w:val="11"/>
        </w:rPr>
        <w:t> </w:t>
      </w:r>
      <w:r>
        <w:rPr/>
        <w:t>7.5 %), y las industrias manufactureras (</w:t>
      </w:r>
    </w:p>
    <w:p>
      <w:pPr>
        <w:pStyle w:val="BodyText"/>
        <w:ind w:left="562"/>
        <w:jc w:val="both"/>
      </w:pPr>
      <w:r>
        <w:rPr/>
        <w:t>7.2 %), entre otras actividades.</w:t>
      </w:r>
    </w:p>
    <w:p>
      <w:pPr>
        <w:pStyle w:val="BodyText"/>
        <w:spacing w:before="5"/>
        <w:rPr>
          <w:sz w:val="28"/>
        </w:rPr>
      </w:pPr>
    </w:p>
    <w:p>
      <w:pPr>
        <w:pStyle w:val="BodyText"/>
        <w:spacing w:line="276" w:lineRule="auto"/>
        <w:ind w:left="562" w:right="1692"/>
        <w:jc w:val="both"/>
      </w:pPr>
      <w:r>
        <w:rPr/>
        <w:t>Es</w:t>
      </w:r>
      <w:r>
        <w:rPr>
          <w:spacing w:val="-9"/>
        </w:rPr>
        <w:t> </w:t>
      </w:r>
      <w:r>
        <w:rPr/>
        <w:t>importante</w:t>
      </w:r>
      <w:r>
        <w:rPr>
          <w:spacing w:val="-11"/>
        </w:rPr>
        <w:t> </w:t>
      </w:r>
      <w:r>
        <w:rPr/>
        <w:t>señalar</w:t>
      </w:r>
      <w:r>
        <w:rPr>
          <w:spacing w:val="-9"/>
        </w:rPr>
        <w:t> </w:t>
      </w:r>
      <w:r>
        <w:rPr/>
        <w:t>que,</w:t>
      </w:r>
      <w:r>
        <w:rPr>
          <w:spacing w:val="-10"/>
        </w:rPr>
        <w:t> </w:t>
      </w:r>
      <w:r>
        <w:rPr/>
        <w:t>a</w:t>
      </w:r>
      <w:r>
        <w:rPr>
          <w:spacing w:val="-11"/>
        </w:rPr>
        <w:t> </w:t>
      </w:r>
      <w:r>
        <w:rPr/>
        <w:t>inicios</w:t>
      </w:r>
      <w:r>
        <w:rPr>
          <w:spacing w:val="-8"/>
        </w:rPr>
        <w:t> </w:t>
      </w:r>
      <w:r>
        <w:rPr/>
        <w:t>de</w:t>
      </w:r>
      <w:r>
        <w:rPr>
          <w:spacing w:val="-8"/>
        </w:rPr>
        <w:t> </w:t>
      </w:r>
      <w:r>
        <w:rPr/>
        <w:t>2021,</w:t>
      </w:r>
      <w:r>
        <w:rPr>
          <w:spacing w:val="-11"/>
        </w:rPr>
        <w:t> </w:t>
      </w:r>
      <w:r>
        <w:rPr/>
        <w:t>se</w:t>
      </w:r>
      <w:r>
        <w:rPr>
          <w:spacing w:val="-10"/>
        </w:rPr>
        <w:t> </w:t>
      </w:r>
      <w:r>
        <w:rPr/>
        <w:t>firmó</w:t>
      </w:r>
      <w:r>
        <w:rPr>
          <w:spacing w:val="-9"/>
        </w:rPr>
        <w:t> </w:t>
      </w:r>
      <w:r>
        <w:rPr/>
        <w:t>el</w:t>
      </w:r>
      <w:r>
        <w:rPr>
          <w:spacing w:val="-10"/>
        </w:rPr>
        <w:t> </w:t>
      </w:r>
      <w:r>
        <w:rPr/>
        <w:t>“Convenio</w:t>
      </w:r>
      <w:r>
        <w:rPr>
          <w:spacing w:val="-8"/>
        </w:rPr>
        <w:t> </w:t>
      </w:r>
      <w:r>
        <w:rPr/>
        <w:t>de</w:t>
      </w:r>
      <w:r>
        <w:rPr>
          <w:spacing w:val="-8"/>
        </w:rPr>
        <w:t> </w:t>
      </w:r>
      <w:r>
        <w:rPr/>
        <w:t>Cooperación</w:t>
      </w:r>
      <w:r>
        <w:rPr>
          <w:spacing w:val="-13"/>
        </w:rPr>
        <w:t> </w:t>
      </w:r>
      <w:r>
        <w:rPr/>
        <w:t>Interinstitucional para el despliegue de iniciativas tendientes al fortalecimiento de la atracción de inversión y competitividad del país” el cual fue suscrito por el Ministerio de Economía, Ministerio de Finanzas Públicas, Ministerio de Relaciones Exteriores, Banco de Guatemala, Asociación Guatemalteca </w:t>
      </w:r>
      <w:r>
        <w:rPr>
          <w:spacing w:val="-3"/>
        </w:rPr>
        <w:t>de </w:t>
      </w:r>
      <w:r>
        <w:rPr/>
        <w:t>Exportadores -AGEXPORT-, Fundación para el Desarrollo de Guatemala -FUNDESA- y Municipalidad de Guatemala. Dicho Convenio tiene por objetivo consolidar y articular esfuerzos entre las Partes para promover la atracción de la inversión y desarrollar en forma coordinada lo siguiente: (a) Las iniciativas y acciones que fomenten la atracción, la permanencia y el crecimiento de</w:t>
      </w:r>
      <w:r>
        <w:rPr>
          <w:spacing w:val="35"/>
        </w:rPr>
        <w:t> </w:t>
      </w:r>
      <w:r>
        <w:rPr/>
        <w:t>las</w:t>
      </w:r>
      <w:r>
        <w:rPr>
          <w:spacing w:val="33"/>
        </w:rPr>
        <w:t> </w:t>
      </w:r>
      <w:r>
        <w:rPr/>
        <w:t>inversiones</w:t>
      </w:r>
      <w:r>
        <w:rPr>
          <w:spacing w:val="34"/>
        </w:rPr>
        <w:t> </w:t>
      </w:r>
      <w:r>
        <w:rPr/>
        <w:t>y</w:t>
      </w:r>
      <w:r>
        <w:rPr>
          <w:spacing w:val="32"/>
        </w:rPr>
        <w:t> </w:t>
      </w:r>
      <w:r>
        <w:rPr/>
        <w:t>la</w:t>
      </w:r>
      <w:r>
        <w:rPr>
          <w:spacing w:val="36"/>
        </w:rPr>
        <w:t> </w:t>
      </w:r>
      <w:r>
        <w:rPr/>
        <w:t>mejora</w:t>
      </w:r>
      <w:r>
        <w:rPr>
          <w:spacing w:val="34"/>
        </w:rPr>
        <w:t> </w:t>
      </w:r>
      <w:r>
        <w:rPr/>
        <w:t>de</w:t>
      </w:r>
      <w:r>
        <w:rPr>
          <w:spacing w:val="32"/>
        </w:rPr>
        <w:t> </w:t>
      </w:r>
      <w:r>
        <w:rPr/>
        <w:t>la</w:t>
      </w:r>
      <w:r>
        <w:rPr>
          <w:spacing w:val="34"/>
        </w:rPr>
        <w:t> </w:t>
      </w:r>
      <w:r>
        <w:rPr/>
        <w:t>competitividad,</w:t>
      </w:r>
      <w:r>
        <w:rPr>
          <w:spacing w:val="31"/>
        </w:rPr>
        <w:t> </w:t>
      </w:r>
      <w:r>
        <w:rPr/>
        <w:t>en</w:t>
      </w:r>
      <w:r>
        <w:rPr>
          <w:spacing w:val="35"/>
        </w:rPr>
        <w:t> </w:t>
      </w:r>
      <w:r>
        <w:rPr/>
        <w:t>toda</w:t>
      </w:r>
      <w:r>
        <w:rPr>
          <w:spacing w:val="33"/>
        </w:rPr>
        <w:t> </w:t>
      </w:r>
      <w:r>
        <w:rPr/>
        <w:t>la</w:t>
      </w:r>
      <w:r>
        <w:rPr>
          <w:spacing w:val="36"/>
        </w:rPr>
        <w:t> </w:t>
      </w:r>
      <w:r>
        <w:rPr/>
        <w:t>República</w:t>
      </w:r>
      <w:r>
        <w:rPr>
          <w:spacing w:val="33"/>
        </w:rPr>
        <w:t> </w:t>
      </w:r>
      <w:r>
        <w:rPr/>
        <w:t>de</w:t>
      </w:r>
      <w:r>
        <w:rPr>
          <w:spacing w:val="33"/>
        </w:rPr>
        <w:t> </w:t>
      </w:r>
      <w:r>
        <w:rPr/>
        <w:t>Guatemala;</w:t>
      </w:r>
      <w:r>
        <w:rPr>
          <w:spacing w:val="34"/>
        </w:rPr>
        <w:t> </w:t>
      </w:r>
      <w:r>
        <w:rPr/>
        <w:t>(b)</w:t>
      </w:r>
      <w:r>
        <w:rPr>
          <w:spacing w:val="36"/>
        </w:rPr>
        <w:t> </w:t>
      </w:r>
      <w:r>
        <w:rPr/>
        <w:t>El</w:t>
      </w:r>
    </w:p>
    <w:p>
      <w:pPr>
        <w:spacing w:after="0" w:line="276" w:lineRule="auto"/>
        <w:jc w:val="both"/>
        <w:sectPr>
          <w:type w:val="continuous"/>
          <w:pgSz w:w="12240" w:h="15840"/>
          <w:pgMar w:top="1500" w:bottom="280" w:left="1140" w:right="0"/>
        </w:sectPr>
      </w:pPr>
    </w:p>
    <w:p>
      <w:pPr>
        <w:pStyle w:val="BodyText"/>
        <w:spacing w:line="276" w:lineRule="auto" w:before="162"/>
        <w:ind w:left="562" w:right="1696"/>
        <w:jc w:val="both"/>
      </w:pPr>
      <w:r>
        <w:rPr/>
        <w:t>fortalecimiento e incremento de la capacidad exportadora del país, incluyendo la promoción de </w:t>
      </w:r>
      <w:r>
        <w:rPr>
          <w:spacing w:val="-2"/>
        </w:rPr>
        <w:t>las </w:t>
      </w:r>
      <w:r>
        <w:rPr/>
        <w:t>exportaciones de bienes, servicios y mercados a priorizar en las Mesas Técnicas Interinstitucionales a establecerse para atraer y conservar las inversiones; (c) Analizar y coordinadamente atender las recomendaciones</w:t>
      </w:r>
      <w:r>
        <w:rPr>
          <w:spacing w:val="-7"/>
        </w:rPr>
        <w:t> </w:t>
      </w:r>
      <w:r>
        <w:rPr/>
        <w:t>en</w:t>
      </w:r>
      <w:r>
        <w:rPr>
          <w:spacing w:val="-8"/>
        </w:rPr>
        <w:t> </w:t>
      </w:r>
      <w:r>
        <w:rPr/>
        <w:t>el</w:t>
      </w:r>
      <w:r>
        <w:rPr>
          <w:spacing w:val="-6"/>
        </w:rPr>
        <w:t> </w:t>
      </w:r>
      <w:r>
        <w:rPr/>
        <w:t>marco</w:t>
      </w:r>
      <w:r>
        <w:rPr>
          <w:spacing w:val="-7"/>
        </w:rPr>
        <w:t> </w:t>
      </w:r>
      <w:r>
        <w:rPr/>
        <w:t>de</w:t>
      </w:r>
      <w:r>
        <w:rPr>
          <w:spacing w:val="-8"/>
        </w:rPr>
        <w:t> </w:t>
      </w:r>
      <w:r>
        <w:rPr/>
        <w:t>las</w:t>
      </w:r>
      <w:r>
        <w:rPr>
          <w:spacing w:val="-8"/>
        </w:rPr>
        <w:t> </w:t>
      </w:r>
      <w:r>
        <w:rPr/>
        <w:t>Mesas</w:t>
      </w:r>
      <w:r>
        <w:rPr>
          <w:spacing w:val="-9"/>
        </w:rPr>
        <w:t> </w:t>
      </w:r>
      <w:r>
        <w:rPr/>
        <w:t>Técnicas</w:t>
      </w:r>
      <w:r>
        <w:rPr>
          <w:spacing w:val="-6"/>
        </w:rPr>
        <w:t> </w:t>
      </w:r>
      <w:r>
        <w:rPr/>
        <w:t>Interinstitucionales</w:t>
      </w:r>
      <w:r>
        <w:rPr>
          <w:spacing w:val="-7"/>
        </w:rPr>
        <w:t> </w:t>
      </w:r>
      <w:r>
        <w:rPr/>
        <w:t>a</w:t>
      </w:r>
      <w:r>
        <w:rPr>
          <w:spacing w:val="-6"/>
        </w:rPr>
        <w:t> </w:t>
      </w:r>
      <w:r>
        <w:rPr/>
        <w:t>establecerse</w:t>
      </w:r>
      <w:r>
        <w:rPr>
          <w:spacing w:val="-9"/>
        </w:rPr>
        <w:t> </w:t>
      </w:r>
      <w:r>
        <w:rPr/>
        <w:t>para</w:t>
      </w:r>
      <w:r>
        <w:rPr>
          <w:spacing w:val="-6"/>
        </w:rPr>
        <w:t> </w:t>
      </w:r>
      <w:r>
        <w:rPr/>
        <w:t>impulsar o que estén relacionadas con el proyecto “GUATEMALA NO SE</w:t>
      </w:r>
      <w:r>
        <w:rPr>
          <w:spacing w:val="-10"/>
        </w:rPr>
        <w:t> </w:t>
      </w:r>
      <w:r>
        <w:rPr/>
        <w:t>DETIENE”.</w:t>
      </w:r>
    </w:p>
    <w:p>
      <w:pPr>
        <w:pStyle w:val="BodyText"/>
        <w:spacing w:before="8"/>
        <w:rPr>
          <w:sz w:val="25"/>
        </w:rPr>
      </w:pPr>
    </w:p>
    <w:p>
      <w:pPr>
        <w:pStyle w:val="Heading3"/>
        <w:ind w:left="639" w:right="1775"/>
        <w:jc w:val="center"/>
      </w:pPr>
      <w:bookmarkStart w:name="_bookmark63" w:id="83"/>
      <w:bookmarkEnd w:id="83"/>
      <w:r>
        <w:rPr>
          <w:b w:val="0"/>
        </w:rPr>
      </w:r>
      <w:r>
        <w:rPr>
          <w:i/>
        </w:rPr>
        <w:t>Gráfico 27 </w:t>
      </w:r>
      <w:r>
        <w:rPr/>
        <w:t>Estructura porcentual de la inversión extranjera directa y Activos en Reserva</w:t>
      </w:r>
    </w:p>
    <w:p>
      <w:pPr>
        <w:tabs>
          <w:tab w:pos="4414" w:val="left" w:leader="none"/>
        </w:tabs>
        <w:spacing w:before="171"/>
        <w:ind w:left="0" w:right="1133" w:firstLine="0"/>
        <w:jc w:val="center"/>
        <w:rPr>
          <w:b/>
          <w:sz w:val="20"/>
        </w:rPr>
      </w:pPr>
      <w:r>
        <w:rPr>
          <w:b/>
          <w:sz w:val="20"/>
        </w:rPr>
        <w:t>IED</w:t>
        <w:tab/>
        <w:t>RIN</w:t>
      </w:r>
    </w:p>
    <w:p>
      <w:pPr>
        <w:tabs>
          <w:tab w:pos="2428" w:val="left" w:leader="none"/>
          <w:tab w:pos="3796" w:val="left" w:leader="none"/>
        </w:tabs>
        <w:spacing w:line="191" w:lineRule="exact" w:before="23"/>
        <w:ind w:left="1060" w:right="0" w:firstLine="0"/>
        <w:jc w:val="left"/>
        <w:rPr>
          <w:sz w:val="18"/>
        </w:rPr>
      </w:pPr>
      <w:r>
        <w:rPr/>
        <w:pict>
          <v:group style="position:absolute;margin-left:103.32pt;margin-top:4.082368pt;width:5.2pt;height:5.3pt;mso-position-horizontal-relative:page;mso-position-vertical-relative:paragraph;z-index:252047360" coordorigin="2066,82" coordsize="104,106">
            <v:rect style="position:absolute;left:2073;top:88;width:89;height:92" filled="true" fillcolor="#053852" stroked="false">
              <v:fill type="solid"/>
            </v:rect>
            <v:rect style="position:absolute;left:2073;top:88;width:89;height:92" filled="false" stroked="true" strokeweight=".72pt" strokecolor="#000000">
              <v:stroke dashstyle="solid"/>
            </v:rect>
            <w10:wrap type="none"/>
          </v:group>
        </w:pict>
      </w:r>
      <w:r>
        <w:rPr/>
        <w:pict>
          <v:group style="position:absolute;margin-left:171.720001pt;margin-top:4.082368pt;width:5.2pt;height:5.3pt;mso-position-horizontal-relative:page;mso-position-vertical-relative:paragraph;z-index:-281271296" coordorigin="3434,82" coordsize="104,106">
            <v:rect style="position:absolute;left:3441;top:88;width:89;height:92" filled="true" fillcolor="#e6df44" stroked="false">
              <v:fill type="solid"/>
            </v:rect>
            <v:rect style="position:absolute;left:3441;top:88;width:89;height:92" filled="false" stroked="true" strokeweight=".72pt" strokecolor="#000000">
              <v:stroke dashstyle="solid"/>
            </v:rect>
            <w10:wrap type="none"/>
          </v:group>
        </w:pict>
      </w:r>
      <w:r>
        <w:rPr/>
        <w:pict>
          <v:group style="position:absolute;margin-left:240pt;margin-top:4.082368pt;width:5.3pt;height:5.3pt;mso-position-horizontal-relative:page;mso-position-vertical-relative:paragraph;z-index:-281270272" coordorigin="4800,82" coordsize="106,106">
            <v:rect style="position:absolute;left:4807;top:88;width:92;height:92" filled="true" fillcolor="#2b6a6c" stroked="false">
              <v:fill type="solid"/>
            </v:rect>
            <v:rect style="position:absolute;left:4807;top:88;width:92;height:92" filled="false" stroked="true" strokeweight=".72pt" strokecolor="#000000">
              <v:stroke dashstyle="solid"/>
            </v:rect>
            <w10:wrap type="none"/>
          </v:group>
        </w:pict>
      </w:r>
      <w:r>
        <w:rPr/>
        <w:pict>
          <v:shape style="position:absolute;margin-left:310.954498pt;margin-top:17.565973pt;width:13.05pt;height:117pt;mso-position-horizontal-relative:page;mso-position-vertical-relative:paragraph;z-index:252054528" type="#_x0000_t202" filled="false" stroked="false">
            <v:textbox inset="0,0,0,0" style="layout-flow:vertical;mso-layout-flow-alt:bottom-to-top">
              <w:txbxContent>
                <w:p>
                  <w:pPr>
                    <w:spacing w:before="10"/>
                    <w:ind w:left="20" w:right="0" w:firstLine="0"/>
                    <w:jc w:val="left"/>
                    <w:rPr>
                      <w:sz w:val="20"/>
                    </w:rPr>
                  </w:pPr>
                  <w:r>
                    <w:rPr>
                      <w:color w:val="585858"/>
                      <w:sz w:val="20"/>
                    </w:rPr>
                    <w:t>Miles de millones de dólares</w:t>
                  </w:r>
                </w:p>
              </w:txbxContent>
            </v:textbox>
            <w10:wrap type="none"/>
          </v:shape>
        </w:pict>
      </w:r>
      <w:r>
        <w:rPr>
          <w:color w:val="585858"/>
          <w:sz w:val="18"/>
        </w:rPr>
        <w:t>Otros</w:t>
        <w:tab/>
        <w:t>Luxemburgo</w:t>
        <w:tab/>
        <w:t>Estados</w:t>
      </w:r>
      <w:r>
        <w:rPr>
          <w:color w:val="585858"/>
          <w:spacing w:val="-2"/>
          <w:sz w:val="18"/>
        </w:rPr>
        <w:t> </w:t>
      </w:r>
      <w:r>
        <w:rPr>
          <w:color w:val="585858"/>
          <w:sz w:val="18"/>
        </w:rPr>
        <w:t>Unidos</w:t>
      </w:r>
    </w:p>
    <w:p>
      <w:pPr>
        <w:spacing w:after="0" w:line="191" w:lineRule="exact"/>
        <w:jc w:val="left"/>
        <w:rPr>
          <w:sz w:val="18"/>
        </w:rPr>
        <w:sectPr>
          <w:pgSz w:w="12240" w:h="15840"/>
          <w:pgMar w:header="715" w:footer="957" w:top="1240" w:bottom="1140" w:left="1140" w:right="0"/>
        </w:sectPr>
      </w:pPr>
    </w:p>
    <w:p>
      <w:pPr>
        <w:tabs>
          <w:tab w:pos="2428" w:val="left" w:leader="none"/>
          <w:tab w:pos="3796" w:val="left" w:leader="none"/>
        </w:tabs>
        <w:spacing w:line="300" w:lineRule="auto" w:before="4"/>
        <w:ind w:left="1009" w:right="521" w:firstLine="51"/>
        <w:jc w:val="left"/>
        <w:rPr>
          <w:sz w:val="18"/>
        </w:rPr>
      </w:pPr>
      <w:r>
        <w:rPr/>
        <w:pict>
          <v:group style="position:absolute;margin-left:128.639999pt;margin-top:28.542368pt;width:177.4pt;height:84.75pt;mso-position-horizontal-relative:page;mso-position-vertical-relative:paragraph;z-index:252046336" coordorigin="2573,571" coordsize="3548,1695">
            <v:rect style="position:absolute;left:2731;top:2027;width:574;height:200" filled="true" fillcolor="#053852" stroked="false">
              <v:fill type="solid"/>
            </v:rect>
            <v:rect style="position:absolute;left:2731;top:2027;width:574;height:200" filled="false" stroked="true" strokeweight=".72pt" strokecolor="#000000">
              <v:stroke dashstyle="solid"/>
            </v:rect>
            <v:line style="position:absolute" from="2731,2022" to="3305,2022" stroked="true" strokeweight=".6pt" strokecolor="#e6df44">
              <v:stroke dashstyle="solid"/>
            </v:line>
            <v:rect style="position:absolute;left:2724;top:2008;width:588;height:27" filled="true" fillcolor="#000000" stroked="false">
              <v:fill type="solid"/>
            </v:rect>
            <v:rect style="position:absolute;left:2731;top:1876;width:574;height:140" filled="true" fillcolor="#2b6a6c" stroked="false">
              <v:fill type="solid"/>
            </v:rect>
            <v:rect style="position:absolute;left:2731;top:1876;width:574;height:140" filled="false" stroked="true" strokeweight=".72pt" strokecolor="#000000">
              <v:stroke dashstyle="solid"/>
            </v:rect>
            <v:rect style="position:absolute;left:2731;top:1804;width:574;height:72" filled="true" fillcolor="#a6a6a6" stroked="false">
              <v:fill type="solid"/>
            </v:rect>
            <v:rect style="position:absolute;left:2731;top:1804;width:574;height:72" filled="false" stroked="true" strokeweight=".72pt" strokecolor="#000000">
              <v:stroke dashstyle="solid"/>
            </v:rect>
            <v:rect style="position:absolute;left:2731;top:1780;width:574;height:24" filled="true" fillcolor="#5b9bd4" stroked="false">
              <v:fill type="solid"/>
            </v:rect>
            <v:rect style="position:absolute;left:2724;top:1773;width:588;height:39" filled="true" fillcolor="#000000" stroked="false">
              <v:fill type="solid"/>
            </v:rect>
            <v:rect style="position:absolute;left:2731;top:2226;width:574;height:32" filled="true" fillcolor="#f19623" stroked="false">
              <v:fill type="solid"/>
            </v:rect>
            <v:rect style="position:absolute;left:2724;top:2219;width:588;height:46" filled="true" fillcolor="#000000" stroked="false">
              <v:fill type="solid"/>
            </v:rect>
            <v:rect style="position:absolute;left:2731;top:1730;width:574;height:51" filled="true" fillcolor="#c00000" stroked="false">
              <v:fill type="solid"/>
            </v:rect>
            <v:rect style="position:absolute;left:2731;top:1730;width:574;height:51" filled="false" stroked="true" strokeweight=".72pt" strokecolor="#000000">
              <v:stroke dashstyle="solid"/>
            </v:rect>
            <v:line style="position:absolute" from="3622,2161" to="4195,2161" stroked="true" strokeweight="6.6pt" strokecolor="#053852">
              <v:stroke dashstyle="solid"/>
            </v:line>
            <v:rect style="position:absolute;left:3621;top:2094;width:574;height:132" filled="false" stroked="true" strokeweight=".72pt" strokecolor="#000000">
              <v:stroke dashstyle="solid"/>
            </v:rect>
            <v:line style="position:absolute" from="3622,2088" to="4195,2088" stroked="true" strokeweight=".72pt" strokecolor="#e6df44">
              <v:stroke dashstyle="solid"/>
            </v:line>
            <v:rect style="position:absolute;left:3614;top:2073;width:588;height:29" filled="true" fillcolor="#000000" stroked="false">
              <v:fill type="solid"/>
            </v:rect>
            <v:rect style="position:absolute;left:3621;top:1970;width:574;height:111" filled="true" fillcolor="#2b6a6c" stroked="false">
              <v:fill type="solid"/>
            </v:rect>
            <v:rect style="position:absolute;left:3621;top:1970;width:574;height:111" filled="false" stroked="true" strokeweight=".72pt" strokecolor="#000000">
              <v:stroke dashstyle="solid"/>
            </v:rect>
            <v:rect style="position:absolute;left:3621;top:1886;width:574;height:84" filled="true" fillcolor="#a6a6a6" stroked="false">
              <v:fill type="solid"/>
            </v:rect>
            <v:rect style="position:absolute;left:3621;top:1886;width:574;height:84" filled="false" stroked="true" strokeweight=".72pt" strokecolor="#000000">
              <v:stroke dashstyle="solid"/>
            </v:rect>
            <v:line style="position:absolute" from="3622,1880" to="4195,1880" stroked="true" strokeweight=".6pt" strokecolor="#5b9bd4">
              <v:stroke dashstyle="solid"/>
            </v:line>
            <v:rect style="position:absolute;left:3614;top:1866;width:588;height:27" filled="true" fillcolor="#000000" stroked="false">
              <v:fill type="solid"/>
            </v:rect>
            <v:rect style="position:absolute;left:3621;top:1814;width:574;height:60" filled="true" fillcolor="#f19623" stroked="false">
              <v:fill type="solid"/>
            </v:rect>
            <v:rect style="position:absolute;left:3621;top:1814;width:574;height:60" filled="false" stroked="true" strokeweight=".72pt" strokecolor="#000000">
              <v:stroke dashstyle="solid"/>
            </v:rect>
            <v:rect style="position:absolute;left:3621;top:1763;width:574;height:51" filled="true" fillcolor="#c00000" stroked="false">
              <v:fill type="solid"/>
            </v:rect>
            <v:rect style="position:absolute;left:3621;top:1763;width:574;height:51" filled="false" stroked="true" strokeweight=".72pt" strokecolor="#000000">
              <v:stroke dashstyle="solid"/>
            </v:rect>
            <v:rect style="position:absolute;left:4509;top:2073;width:576;height:154" filled="true" fillcolor="#053852" stroked="false">
              <v:fill type="solid"/>
            </v:rect>
            <v:rect style="position:absolute;left:4509;top:2073;width:576;height:154" filled="false" stroked="true" strokeweight=".72pt" strokecolor="#000000">
              <v:stroke dashstyle="solid"/>
            </v:rect>
            <v:rect style="position:absolute;left:4509;top:2054;width:576;height:20" filled="true" fillcolor="#e6df44" stroked="false">
              <v:fill type="solid"/>
            </v:rect>
            <v:rect style="position:absolute;left:4502;top:2046;width:591;height:34" filled="true" fillcolor="#000000" stroked="false">
              <v:fill type="solid"/>
            </v:rect>
            <v:rect style="position:absolute;left:4509;top:2008;width:576;height:46" filled="true" fillcolor="#2b6a6c" stroked="false">
              <v:fill type="solid"/>
            </v:rect>
            <v:rect style="position:absolute;left:4509;top:2008;width:576;height:46" filled="false" stroked="true" strokeweight=".72pt" strokecolor="#000000">
              <v:stroke dashstyle="solid"/>
            </v:rect>
            <v:rect style="position:absolute;left:4509;top:1898;width:576;height:111" filled="true" fillcolor="#a6a6a6" stroked="false">
              <v:fill type="solid"/>
            </v:rect>
            <v:rect style="position:absolute;left:4509;top:1898;width:576;height:111" filled="false" stroked="true" strokeweight=".72pt" strokecolor="#000000">
              <v:stroke dashstyle="solid"/>
            </v:rect>
            <v:rect style="position:absolute;left:4509;top:1816;width:576;height:82" filled="true" fillcolor="#5b9bd4" stroked="false">
              <v:fill type="solid"/>
            </v:rect>
            <v:rect style="position:absolute;left:4509;top:1816;width:576;height:82" filled="false" stroked="true" strokeweight=".72pt" strokecolor="#000000">
              <v:stroke dashstyle="solid"/>
            </v:rect>
            <v:rect style="position:absolute;left:4509;top:1778;width:576;height:39" filled="true" fillcolor="#f19623" stroked="false">
              <v:fill type="solid"/>
            </v:rect>
            <v:rect style="position:absolute;left:4509;top:1778;width:576;height:39" filled="false" stroked="true" strokeweight=".72pt" strokecolor="#000000">
              <v:stroke dashstyle="solid"/>
            </v:rect>
            <v:line style="position:absolute" from="4510,2230" to="5086,2230" stroked="true" strokeweight=".36pt" strokecolor="#c00000">
              <v:stroke dashstyle="solid"/>
            </v:line>
            <v:rect style="position:absolute;left:4502;top:2219;width:591;height:22" filled="true" fillcolor="#000000" stroked="false">
              <v:fill type="solid"/>
            </v:rect>
            <v:rect style="position:absolute;left:5400;top:2070;width:576;height:156" filled="true" fillcolor="#053852" stroked="false">
              <v:fill type="solid"/>
            </v:rect>
            <v:rect style="position:absolute;left:5400;top:2070;width:576;height:156" filled="false" stroked="true" strokeweight=".72pt" strokecolor="#000000">
              <v:stroke dashstyle="solid"/>
            </v:rect>
            <v:rect style="position:absolute;left:5400;top:1002;width:576;height:1068" filled="true" fillcolor="#e6df44" stroked="false">
              <v:fill type="solid"/>
            </v:rect>
            <v:rect style="position:absolute;left:5400;top:1002;width:576;height:1068" filled="false" stroked="true" strokeweight=".72pt" strokecolor="#000000">
              <v:stroke dashstyle="solid"/>
            </v:rect>
            <v:rect style="position:absolute;left:5400;top:938;width:576;height:65" filled="true" fillcolor="#2b6a6c" stroked="false">
              <v:fill type="solid"/>
            </v:rect>
            <v:rect style="position:absolute;left:5400;top:938;width:576;height:65" filled="false" stroked="true" strokeweight=".72pt" strokecolor="#000000">
              <v:stroke dashstyle="solid"/>
            </v:rect>
            <v:rect style="position:absolute;left:5400;top:815;width:576;height:123" filled="true" fillcolor="#a6a6a6" stroked="false">
              <v:fill type="solid"/>
            </v:rect>
            <v:rect style="position:absolute;left:5400;top:815;width:576;height:123" filled="false" stroked="true" strokeweight=".72pt" strokecolor="#000000">
              <v:stroke dashstyle="solid"/>
            </v:rect>
            <v:rect style="position:absolute;left:5400;top:724;width:576;height:92" filled="true" fillcolor="#5b9bd4" stroked="false">
              <v:fill type="solid"/>
            </v:rect>
            <v:rect style="position:absolute;left:5400;top:724;width:576;height:92" filled="false" stroked="true" strokeweight=".72pt" strokecolor="#000000">
              <v:stroke dashstyle="solid"/>
            </v:rect>
            <v:rect style="position:absolute;left:5400;top:671;width:576;height:53" filled="true" fillcolor="#f19623" stroked="false">
              <v:fill type="solid"/>
            </v:rect>
            <v:rect style="position:absolute;left:5400;top:671;width:576;height:53" filled="false" stroked="true" strokeweight=".72pt" strokecolor="#000000">
              <v:stroke dashstyle="solid"/>
            </v:rect>
            <v:rect style="position:absolute;left:5400;top:578;width:576;height:94" filled="true" fillcolor="#c00000" stroked="false">
              <v:fill type="solid"/>
            </v:rect>
            <v:rect style="position:absolute;left:5400;top:578;width:576;height:94" filled="false" stroked="true" strokeweight=".72pt" strokecolor="#000000">
              <v:stroke dashstyle="solid"/>
            </v:rect>
            <v:line style="position:absolute" from="2573,2227" to="6120,2227" stroked="true" strokeweight=".72pt" strokecolor="#d9d9d9">
              <v:stroke dashstyle="solid"/>
            </v:line>
            <w10:wrap type="none"/>
          </v:group>
        </w:pict>
      </w:r>
      <w:r>
        <w:rPr/>
        <w:pict>
          <v:group style="position:absolute;margin-left:103.32pt;margin-top:3.102368pt;width:5.2pt;height:5.3pt;mso-position-horizontal-relative:page;mso-position-vertical-relative:paragraph;z-index:252050432" coordorigin="2066,62" coordsize="104,106">
            <v:rect style="position:absolute;left:2073;top:69;width:89;height:92" filled="true" fillcolor="#a6a6a6" stroked="false">
              <v:fill type="solid"/>
            </v:rect>
            <v:rect style="position:absolute;left:2073;top:69;width:89;height:92" filled="false" stroked="true" strokeweight=".72pt" strokecolor="#000000">
              <v:stroke dashstyle="solid"/>
            </v:rect>
            <w10:wrap type="none"/>
          </v:group>
        </w:pict>
      </w:r>
      <w:r>
        <w:rPr/>
        <w:pict>
          <v:group style="position:absolute;margin-left:171.720001pt;margin-top:3.102368pt;width:5.2pt;height:5.3pt;mso-position-horizontal-relative:page;mso-position-vertical-relative:paragraph;z-index:-281268224" coordorigin="3434,62" coordsize="104,106">
            <v:rect style="position:absolute;left:3441;top:69;width:89;height:92" filled="true" fillcolor="#5b9bd4" stroked="false">
              <v:fill type="solid"/>
            </v:rect>
            <v:rect style="position:absolute;left:3441;top:69;width:89;height:92" filled="false" stroked="true" strokeweight=".72pt" strokecolor="#000000">
              <v:stroke dashstyle="solid"/>
            </v:rect>
            <w10:wrap type="none"/>
          </v:group>
        </w:pict>
      </w:r>
      <w:r>
        <w:rPr/>
        <w:pict>
          <v:group style="position:absolute;margin-left:240pt;margin-top:3.102368pt;width:5.3pt;height:5.3pt;mso-position-horizontal-relative:page;mso-position-vertical-relative:paragraph;z-index:-281267200" coordorigin="4800,62" coordsize="106,106">
            <v:rect style="position:absolute;left:4807;top:69;width:92;height:92" filled="true" fillcolor="#f19623" stroked="false">
              <v:fill type="solid"/>
            </v:rect>
            <v:rect style="position:absolute;left:4807;top:69;width:92;height:92" filled="false" stroked="true" strokeweight=".72pt" strokecolor="#000000">
              <v:stroke dashstyle="solid"/>
            </v:rect>
            <w10:wrap type="none"/>
          </v:group>
        </w:pict>
      </w:r>
      <w:r>
        <w:rPr/>
        <w:pict>
          <v:shape style="position:absolute;margin-left:89.556511pt;margin-top:23.46739pt;width:13.05pt;height:114.5pt;mso-position-horizontal-relative:page;mso-position-vertical-relative:paragraph;z-index:252053504" type="#_x0000_t202" filled="false" stroked="false">
            <v:textbox inset="0,0,0,0" style="layout-flow:vertical;mso-layout-flow-alt:bottom-to-top">
              <w:txbxContent>
                <w:p>
                  <w:pPr>
                    <w:spacing w:before="10"/>
                    <w:ind w:left="20" w:right="0" w:firstLine="0"/>
                    <w:jc w:val="left"/>
                    <w:rPr>
                      <w:sz w:val="20"/>
                    </w:rPr>
                  </w:pPr>
                  <w:r>
                    <w:rPr>
                      <w:color w:val="585858"/>
                      <w:sz w:val="20"/>
                    </w:rPr>
                    <w:t>Miles de millonesde dólares</w:t>
                  </w:r>
                </w:p>
              </w:txbxContent>
            </v:textbox>
            <w10:wrap type="none"/>
          </v:shape>
        </w:pict>
      </w:r>
      <w:r>
        <w:rPr>
          <w:color w:val="585858"/>
          <w:sz w:val="18"/>
        </w:rPr>
        <w:t>Colombia</w:t>
        <w:tab/>
        <w:t>Panamá</w:t>
        <w:tab/>
      </w:r>
      <w:r>
        <w:rPr>
          <w:color w:val="585858"/>
          <w:spacing w:val="-4"/>
          <w:sz w:val="18"/>
        </w:rPr>
        <w:t>Rusia </w:t>
      </w:r>
      <w:r>
        <w:rPr>
          <w:color w:val="585858"/>
          <w:sz w:val="18"/>
        </w:rPr>
        <w:t>3.9</w:t>
      </w:r>
    </w:p>
    <w:p>
      <w:pPr>
        <w:pStyle w:val="BodyText"/>
        <w:spacing w:before="8"/>
        <w:rPr>
          <w:sz w:val="18"/>
        </w:rPr>
      </w:pPr>
    </w:p>
    <w:p>
      <w:pPr>
        <w:spacing w:before="1"/>
        <w:ind w:left="1009" w:right="0" w:firstLine="0"/>
        <w:jc w:val="left"/>
        <w:rPr>
          <w:sz w:val="18"/>
        </w:rPr>
      </w:pPr>
      <w:r>
        <w:rPr>
          <w:color w:val="585858"/>
          <w:sz w:val="18"/>
        </w:rPr>
        <w:t>2.9</w:t>
      </w:r>
    </w:p>
    <w:p>
      <w:pPr>
        <w:pStyle w:val="BodyText"/>
        <w:spacing w:before="4"/>
        <w:rPr>
          <w:sz w:val="23"/>
        </w:rPr>
      </w:pPr>
    </w:p>
    <w:p>
      <w:pPr>
        <w:spacing w:before="0"/>
        <w:ind w:left="1009" w:right="0" w:firstLine="0"/>
        <w:jc w:val="left"/>
        <w:rPr>
          <w:sz w:val="18"/>
        </w:rPr>
      </w:pPr>
      <w:r>
        <w:rPr>
          <w:color w:val="585858"/>
          <w:sz w:val="18"/>
        </w:rPr>
        <w:t>1.9</w:t>
      </w:r>
    </w:p>
    <w:p>
      <w:pPr>
        <w:pStyle w:val="BodyText"/>
        <w:spacing w:before="3"/>
        <w:rPr>
          <w:sz w:val="23"/>
        </w:rPr>
      </w:pPr>
    </w:p>
    <w:p>
      <w:pPr>
        <w:spacing w:before="0"/>
        <w:ind w:left="1009" w:right="0" w:firstLine="0"/>
        <w:jc w:val="left"/>
        <w:rPr>
          <w:sz w:val="18"/>
        </w:rPr>
      </w:pPr>
      <w:r>
        <w:rPr>
          <w:color w:val="585858"/>
          <w:sz w:val="18"/>
        </w:rPr>
        <w:t>0.9</w:t>
      </w:r>
    </w:p>
    <w:p>
      <w:pPr>
        <w:pStyle w:val="BodyText"/>
        <w:spacing w:before="5"/>
        <w:rPr>
          <w:sz w:val="23"/>
        </w:rPr>
      </w:pPr>
    </w:p>
    <w:p>
      <w:pPr>
        <w:spacing w:before="0"/>
        <w:ind w:left="950" w:right="0" w:firstLine="0"/>
        <w:jc w:val="left"/>
        <w:rPr>
          <w:sz w:val="18"/>
        </w:rPr>
      </w:pPr>
      <w:r>
        <w:rPr>
          <w:color w:val="585858"/>
          <w:sz w:val="18"/>
        </w:rPr>
        <w:t>-0.1</w:t>
      </w:r>
    </w:p>
    <w:p>
      <w:pPr>
        <w:pStyle w:val="BodyText"/>
        <w:spacing w:before="3"/>
        <w:rPr>
          <w:sz w:val="23"/>
        </w:rPr>
      </w:pPr>
    </w:p>
    <w:p>
      <w:pPr>
        <w:spacing w:before="1"/>
        <w:ind w:left="950" w:right="0" w:firstLine="0"/>
        <w:jc w:val="left"/>
        <w:rPr>
          <w:sz w:val="18"/>
        </w:rPr>
      </w:pPr>
      <w:r>
        <w:rPr>
          <w:color w:val="585858"/>
          <w:sz w:val="18"/>
        </w:rPr>
        <w:t>-1.1</w:t>
      </w:r>
    </w:p>
    <w:p>
      <w:pPr>
        <w:tabs>
          <w:tab w:pos="2588" w:val="left" w:leader="none"/>
          <w:tab w:pos="3478" w:val="left" w:leader="none"/>
          <w:tab w:pos="4369" w:val="left" w:leader="none"/>
        </w:tabs>
        <w:spacing w:before="4"/>
        <w:ind w:left="1697" w:right="0" w:firstLine="0"/>
        <w:jc w:val="left"/>
        <w:rPr>
          <w:sz w:val="18"/>
        </w:rPr>
      </w:pPr>
      <w:r>
        <w:rPr>
          <w:color w:val="585858"/>
          <w:sz w:val="18"/>
        </w:rPr>
        <w:t>2018</w:t>
        <w:tab/>
        <w:t>2019</w:t>
        <w:tab/>
        <w:t>2020</w:t>
        <w:tab/>
      </w:r>
      <w:r>
        <w:rPr>
          <w:color w:val="585858"/>
          <w:spacing w:val="-5"/>
          <w:sz w:val="18"/>
        </w:rPr>
        <w:t>2021</w:t>
      </w:r>
    </w:p>
    <w:p>
      <w:pPr>
        <w:spacing w:line="178" w:lineRule="exact" w:before="0"/>
        <w:ind w:left="0" w:right="0" w:firstLine="0"/>
        <w:jc w:val="right"/>
        <w:rPr>
          <w:sz w:val="16"/>
        </w:rPr>
      </w:pPr>
      <w:r>
        <w:rPr/>
        <w:br w:type="column"/>
      </w:r>
      <w:r>
        <w:rPr>
          <w:color w:val="585858"/>
          <w:spacing w:val="-1"/>
          <w:sz w:val="16"/>
        </w:rPr>
        <w:t>30.0</w:t>
      </w:r>
    </w:p>
    <w:p>
      <w:pPr>
        <w:pStyle w:val="BodyText"/>
        <w:spacing w:before="9"/>
        <w:rPr>
          <w:sz w:val="18"/>
        </w:rPr>
      </w:pPr>
    </w:p>
    <w:p>
      <w:pPr>
        <w:spacing w:before="0"/>
        <w:ind w:left="0" w:right="0" w:firstLine="0"/>
        <w:jc w:val="right"/>
        <w:rPr>
          <w:sz w:val="16"/>
        </w:rPr>
      </w:pPr>
      <w:r>
        <w:rPr>
          <w:color w:val="585858"/>
          <w:spacing w:val="-1"/>
          <w:sz w:val="16"/>
        </w:rPr>
        <w:t>25.0</w:t>
      </w:r>
    </w:p>
    <w:p>
      <w:pPr>
        <w:pStyle w:val="BodyText"/>
        <w:spacing w:before="9"/>
        <w:rPr>
          <w:sz w:val="18"/>
        </w:rPr>
      </w:pPr>
    </w:p>
    <w:p>
      <w:pPr>
        <w:spacing w:before="0"/>
        <w:ind w:left="0" w:right="0" w:firstLine="0"/>
        <w:jc w:val="right"/>
        <w:rPr>
          <w:sz w:val="16"/>
        </w:rPr>
      </w:pPr>
      <w:r>
        <w:rPr>
          <w:color w:val="585858"/>
          <w:spacing w:val="-1"/>
          <w:sz w:val="16"/>
        </w:rPr>
        <w:t>20.0</w:t>
      </w:r>
    </w:p>
    <w:p>
      <w:pPr>
        <w:pStyle w:val="BodyText"/>
        <w:spacing w:before="9"/>
        <w:rPr>
          <w:sz w:val="18"/>
        </w:rPr>
      </w:pPr>
    </w:p>
    <w:p>
      <w:pPr>
        <w:spacing w:before="0"/>
        <w:ind w:left="0" w:right="0" w:firstLine="0"/>
        <w:jc w:val="right"/>
        <w:rPr>
          <w:sz w:val="16"/>
        </w:rPr>
      </w:pPr>
      <w:r>
        <w:rPr>
          <w:color w:val="585858"/>
          <w:spacing w:val="-1"/>
          <w:sz w:val="16"/>
        </w:rPr>
        <w:t>15.0</w:t>
      </w:r>
    </w:p>
    <w:p>
      <w:pPr>
        <w:pStyle w:val="BodyText"/>
        <w:spacing w:before="9"/>
        <w:rPr>
          <w:sz w:val="18"/>
        </w:rPr>
      </w:pPr>
    </w:p>
    <w:p>
      <w:pPr>
        <w:spacing w:before="0"/>
        <w:ind w:left="0" w:right="0" w:firstLine="0"/>
        <w:jc w:val="right"/>
        <w:rPr>
          <w:sz w:val="16"/>
        </w:rPr>
      </w:pPr>
      <w:r>
        <w:rPr>
          <w:color w:val="585858"/>
          <w:spacing w:val="-1"/>
          <w:sz w:val="16"/>
        </w:rPr>
        <w:t>10.0</w:t>
      </w:r>
    </w:p>
    <w:p>
      <w:pPr>
        <w:pStyle w:val="BodyText"/>
        <w:spacing w:before="9"/>
        <w:rPr>
          <w:sz w:val="18"/>
        </w:rPr>
      </w:pPr>
    </w:p>
    <w:p>
      <w:pPr>
        <w:spacing w:before="0"/>
        <w:ind w:left="0" w:right="0" w:firstLine="0"/>
        <w:jc w:val="right"/>
        <w:rPr>
          <w:sz w:val="16"/>
        </w:rPr>
      </w:pPr>
      <w:r>
        <w:rPr>
          <w:color w:val="585858"/>
          <w:spacing w:val="-1"/>
          <w:sz w:val="16"/>
        </w:rPr>
        <w:t>5.0</w:t>
      </w:r>
    </w:p>
    <w:p>
      <w:pPr>
        <w:pStyle w:val="BodyText"/>
        <w:spacing w:before="9"/>
        <w:rPr>
          <w:sz w:val="18"/>
        </w:rPr>
      </w:pPr>
    </w:p>
    <w:p>
      <w:pPr>
        <w:spacing w:before="0"/>
        <w:ind w:left="0" w:right="78" w:firstLine="0"/>
        <w:jc w:val="right"/>
        <w:rPr>
          <w:sz w:val="16"/>
        </w:rPr>
      </w:pPr>
      <w:r>
        <w:rPr>
          <w:color w:val="585858"/>
          <w:w w:val="100"/>
          <w:sz w:val="16"/>
        </w:rPr>
        <w:t>-</w:t>
      </w:r>
    </w:p>
    <w:p>
      <w:pPr>
        <w:pStyle w:val="BodyText"/>
        <w:rPr>
          <w:sz w:val="20"/>
        </w:rPr>
      </w:pPr>
      <w:r>
        <w:rPr/>
        <w:br w:type="column"/>
      </w:r>
      <w:r>
        <w:rPr>
          <w:sz w:val="20"/>
        </w:rPr>
      </w:r>
    </w:p>
    <w:p>
      <w:pPr>
        <w:pStyle w:val="BodyText"/>
        <w:spacing w:before="8"/>
        <w:rPr>
          <w:sz w:val="20"/>
        </w:rPr>
      </w:pPr>
      <w:r>
        <w:rPr/>
        <w:pict>
          <v:group style="position:absolute;margin-left:350.76001pt;margin-top:13.920108pt;width:176.2pt;height:99.6pt;mso-position-horizontal-relative:page;mso-position-vertical-relative:paragraph;z-index:-251271168;mso-wrap-distance-left:0;mso-wrap-distance-right:0" coordorigin="7015,278" coordsize="3524,1992">
            <v:rect style="position:absolute;left:7228;top:1322;width:286;height:941" filled="true" fillcolor="#5b9bd4" stroked="false">
              <v:fill type="solid"/>
            </v:rect>
            <v:rect style="position:absolute;left:7228;top:1322;width:286;height:941" filled="false" stroked="true" strokeweight=".72pt" strokecolor="#000000">
              <v:stroke dashstyle="solid"/>
            </v:rect>
            <v:rect style="position:absolute;left:7944;top:1243;width:286;height:1020" filled="true" fillcolor="#5b9bd4" stroked="false">
              <v:fill type="solid"/>
            </v:rect>
            <v:rect style="position:absolute;left:7944;top:1243;width:286;height:1020" filled="false" stroked="true" strokeweight=".72pt" strokecolor="#000000">
              <v:stroke dashstyle="solid"/>
            </v:rect>
            <v:rect style="position:absolute;left:8656;top:1080;width:286;height:1184" filled="true" fillcolor="#5b9bd4" stroked="false">
              <v:fill type="solid"/>
            </v:rect>
            <v:rect style="position:absolute;left:8656;top:1080;width:286;height:1184" filled="false" stroked="true" strokeweight=".72pt" strokecolor="#000000">
              <v:stroke dashstyle="solid"/>
            </v:rect>
            <v:rect style="position:absolute;left:9372;top:787;width:286;height:1476" filled="true" fillcolor="#5b9bd4" stroked="false">
              <v:fill type="solid"/>
            </v:rect>
            <v:rect style="position:absolute;left:9372;top:787;width:286;height:1476" filled="false" stroked="true" strokeweight=".72pt" strokecolor="#000000">
              <v:stroke dashstyle="solid"/>
            </v:rect>
            <v:rect style="position:absolute;left:10087;top:588;width:286;height:1676" filled="true" fillcolor="#5b9bd4" stroked="false">
              <v:fill type="solid"/>
            </v:rect>
            <v:rect style="position:absolute;left:10087;top:588;width:286;height:1676" filled="false" stroked="true" strokeweight=".72pt" strokecolor="#000000">
              <v:stroke dashstyle="solid"/>
            </v:rect>
            <v:line style="position:absolute" from="7015,2263" to="10538,2263" stroked="true" strokeweight=".72pt" strokecolor="#d9d9d9">
              <v:stroke dashstyle="solid"/>
            </v:line>
            <v:shape style="position:absolute;left:7152;top:1017;width:440;height:245" type="#_x0000_t202" filled="false" stroked="true" strokeweight=".72pt" strokecolor="#011a27">
              <v:textbox inset="0,0,0,0">
                <w:txbxContent>
                  <w:p>
                    <w:pPr>
                      <w:spacing w:before="24"/>
                      <w:ind w:left="91" w:right="0" w:firstLine="0"/>
                      <w:jc w:val="left"/>
                      <w:rPr>
                        <w:b/>
                        <w:sz w:val="16"/>
                      </w:rPr>
                    </w:pPr>
                    <w:r>
                      <w:rPr>
                        <w:b/>
                        <w:color w:val="5B9BD4"/>
                        <w:sz w:val="16"/>
                      </w:rPr>
                      <w:t>11.8</w:t>
                    </w:r>
                  </w:p>
                </w:txbxContent>
              </v:textbox>
              <v:stroke dashstyle="solid"/>
              <w10:wrap type="none"/>
            </v:shape>
            <v:shape style="position:absolute;left:7864;top:940;width:442;height:243" type="#_x0000_t202" filled="false" stroked="true" strokeweight=".72pt" strokecolor="#011a27">
              <v:textbox inset="0,0,0,0">
                <w:txbxContent>
                  <w:p>
                    <w:pPr>
                      <w:spacing w:before="22"/>
                      <w:ind w:left="93" w:right="0" w:firstLine="0"/>
                      <w:jc w:val="left"/>
                      <w:rPr>
                        <w:b/>
                        <w:sz w:val="16"/>
                      </w:rPr>
                    </w:pPr>
                    <w:r>
                      <w:rPr>
                        <w:b/>
                        <w:color w:val="5B9BD4"/>
                        <w:sz w:val="16"/>
                      </w:rPr>
                      <w:t>12.8</w:t>
                    </w:r>
                  </w:p>
                </w:txbxContent>
              </v:textbox>
              <v:stroke dashstyle="solid"/>
              <w10:wrap type="none"/>
            </v:shape>
            <v:shape style="position:absolute;left:8580;top:777;width:440;height:243" type="#_x0000_t202" filled="false" stroked="true" strokeweight=".72pt" strokecolor="#011a27">
              <v:textbox inset="0,0,0,0">
                <w:txbxContent>
                  <w:p>
                    <w:pPr>
                      <w:spacing w:before="22"/>
                      <w:ind w:left="92" w:right="0" w:firstLine="0"/>
                      <w:jc w:val="left"/>
                      <w:rPr>
                        <w:b/>
                        <w:sz w:val="16"/>
                      </w:rPr>
                    </w:pPr>
                    <w:r>
                      <w:rPr>
                        <w:b/>
                        <w:color w:val="5B9BD4"/>
                        <w:sz w:val="16"/>
                      </w:rPr>
                      <w:t>14.8</w:t>
                    </w:r>
                  </w:p>
                </w:txbxContent>
              </v:textbox>
              <v:stroke dashstyle="solid"/>
              <w10:wrap type="none"/>
            </v:shape>
            <v:shape style="position:absolute;left:9295;top:482;width:440;height:245" type="#_x0000_t202" filled="false" stroked="true" strokeweight=".72pt" strokecolor="#011a27">
              <v:textbox inset="0,0,0,0">
                <w:txbxContent>
                  <w:p>
                    <w:pPr>
                      <w:spacing w:before="23"/>
                      <w:ind w:left="91" w:right="0" w:firstLine="0"/>
                      <w:jc w:val="left"/>
                      <w:rPr>
                        <w:b/>
                        <w:sz w:val="16"/>
                      </w:rPr>
                    </w:pPr>
                    <w:r>
                      <w:rPr>
                        <w:b/>
                        <w:color w:val="5B9BD4"/>
                        <w:sz w:val="16"/>
                      </w:rPr>
                      <w:t>18.5</w:t>
                    </w:r>
                  </w:p>
                </w:txbxContent>
              </v:textbox>
              <v:stroke dashstyle="solid"/>
              <w10:wrap type="none"/>
            </v:shape>
            <v:shape style="position:absolute;left:10010;top:285;width:440;height:243" type="#_x0000_t202" filled="false" stroked="true" strokeweight=".72pt" strokecolor="#011a27">
              <v:textbox inset="0,0,0,0">
                <w:txbxContent>
                  <w:p>
                    <w:pPr>
                      <w:spacing w:before="22"/>
                      <w:ind w:left="91" w:right="0" w:firstLine="0"/>
                      <w:jc w:val="left"/>
                      <w:rPr>
                        <w:b/>
                        <w:sz w:val="16"/>
                      </w:rPr>
                    </w:pPr>
                    <w:r>
                      <w:rPr>
                        <w:b/>
                        <w:color w:val="5B9BD4"/>
                        <w:sz w:val="16"/>
                      </w:rPr>
                      <w:t>20.9</w:t>
                    </w:r>
                  </w:p>
                </w:txbxContent>
              </v:textbox>
              <v:stroke dashstyle="solid"/>
              <w10:wrap type="none"/>
            </v:shape>
            <w10:wrap type="topAndBottom"/>
          </v:group>
        </w:pict>
      </w:r>
    </w:p>
    <w:p>
      <w:pPr>
        <w:tabs>
          <w:tab w:pos="1026" w:val="left" w:leader="none"/>
          <w:tab w:pos="1741" w:val="left" w:leader="none"/>
          <w:tab w:pos="2455" w:val="left" w:leader="none"/>
          <w:tab w:pos="3170" w:val="left" w:leader="none"/>
        </w:tabs>
        <w:spacing w:before="64"/>
        <w:ind w:left="312" w:right="0" w:firstLine="0"/>
        <w:jc w:val="left"/>
        <w:rPr>
          <w:sz w:val="18"/>
        </w:rPr>
      </w:pPr>
      <w:r>
        <w:rPr>
          <w:color w:val="585858"/>
          <w:sz w:val="18"/>
        </w:rPr>
        <w:t>2017</w:t>
        <w:tab/>
        <w:t>2018</w:t>
        <w:tab/>
        <w:t>2019</w:t>
        <w:tab/>
        <w:t>2020</w:t>
        <w:tab/>
        <w:t>2021</w:t>
      </w:r>
    </w:p>
    <w:p>
      <w:pPr>
        <w:spacing w:after="0"/>
        <w:jc w:val="left"/>
        <w:rPr>
          <w:sz w:val="18"/>
        </w:rPr>
        <w:sectPr>
          <w:type w:val="continuous"/>
          <w:pgSz w:w="12240" w:h="15840"/>
          <w:pgMar w:top="1500" w:bottom="280" w:left="1140" w:right="0"/>
          <w:cols w:num="3" w:equalWidth="0">
            <w:col w:w="4731" w:space="40"/>
            <w:col w:w="931" w:space="39"/>
            <w:col w:w="5359"/>
          </w:cols>
        </w:sectPr>
      </w:pPr>
    </w:p>
    <w:p>
      <w:pPr>
        <w:spacing w:line="276" w:lineRule="auto" w:before="70"/>
        <w:ind w:left="670" w:right="4496" w:firstLine="0"/>
        <w:jc w:val="left"/>
        <w:rPr>
          <w:sz w:val="18"/>
        </w:rPr>
      </w:pPr>
      <w:r>
        <w:rPr>
          <w:sz w:val="18"/>
        </w:rPr>
        <w:t>Fuente: Dirección de Análisis y Política Fiscal con información del BANGUAT. p: preliminar.</w:t>
      </w:r>
    </w:p>
    <w:p>
      <w:pPr>
        <w:pStyle w:val="BodyText"/>
        <w:spacing w:before="8"/>
        <w:rPr>
          <w:sz w:val="25"/>
        </w:rPr>
      </w:pPr>
    </w:p>
    <w:p>
      <w:pPr>
        <w:pStyle w:val="Heading2"/>
        <w:numPr>
          <w:ilvl w:val="2"/>
          <w:numId w:val="11"/>
        </w:numPr>
        <w:tabs>
          <w:tab w:pos="1694" w:val="left" w:leader="none"/>
          <w:tab w:pos="1695" w:val="left" w:leader="none"/>
        </w:tabs>
        <w:spacing w:line="240" w:lineRule="auto" w:before="1" w:after="0"/>
        <w:ind w:left="1694" w:right="0" w:hanging="721"/>
        <w:jc w:val="left"/>
      </w:pPr>
      <w:bookmarkStart w:name="_bookmark64" w:id="84"/>
      <w:bookmarkEnd w:id="84"/>
      <w:r>
        <w:rPr>
          <w:b w:val="0"/>
        </w:rPr>
      </w:r>
      <w:bookmarkStart w:name="_bookmark64" w:id="85"/>
      <w:bookmarkEnd w:id="85"/>
      <w:r>
        <w:rPr/>
        <w:t>P</w:t>
      </w:r>
      <w:r>
        <w:rPr/>
        <w:t>osición de inversión internacional y la deuda externa público y</w:t>
      </w:r>
      <w:r>
        <w:rPr>
          <w:spacing w:val="-3"/>
        </w:rPr>
        <w:t> </w:t>
      </w:r>
      <w:r>
        <w:rPr/>
        <w:t>privada</w:t>
      </w:r>
    </w:p>
    <w:p>
      <w:pPr>
        <w:pStyle w:val="BodyText"/>
        <w:spacing w:before="9"/>
        <w:rPr>
          <w:b/>
          <w:sz w:val="29"/>
        </w:rPr>
      </w:pPr>
    </w:p>
    <w:p>
      <w:pPr>
        <w:pStyle w:val="BodyText"/>
        <w:spacing w:line="276" w:lineRule="auto"/>
        <w:ind w:left="562" w:right="1695"/>
        <w:jc w:val="both"/>
      </w:pPr>
      <w:r>
        <w:rPr/>
        <w:t>La posición de inversión internacional es un balance estadístico que muestra la tenencia de activos y pasivos financieros externos de la economía, por lo que al igual que la balanza de pagos ofrece información relevante para evaluar las relaciones económicas de los stocks con el resto del mundo. Los activos con los no residentes han tenido un constante aumento a través del tiempo, para el 2021 ascendieron a US$39,070.1 millones, principalmente por las reservas monetarias internacionales, dado que estas representan el 53.6 % del total. Por otro lado, la otra inversión tiene una proporción significativa en los activos, principalmente por las monedas y depósitos y los préstamos del sector bancario al resto del mundo.</w:t>
      </w:r>
    </w:p>
    <w:p>
      <w:pPr>
        <w:pStyle w:val="BodyText"/>
        <w:spacing w:before="4"/>
        <w:rPr>
          <w:sz w:val="25"/>
        </w:rPr>
      </w:pPr>
    </w:p>
    <w:p>
      <w:pPr>
        <w:pStyle w:val="BodyText"/>
        <w:spacing w:line="276" w:lineRule="auto"/>
        <w:ind w:left="562" w:right="1695"/>
        <w:jc w:val="both"/>
      </w:pPr>
      <w:r>
        <w:rPr/>
        <w:t>Los pasivos ascendieron en 2021 a US$45,969.9 principalmente por la inversión extranjera directa que</w:t>
      </w:r>
      <w:r>
        <w:rPr>
          <w:spacing w:val="-12"/>
        </w:rPr>
        <w:t> </w:t>
      </w:r>
      <w:r>
        <w:rPr/>
        <w:t>representó</w:t>
      </w:r>
      <w:r>
        <w:rPr>
          <w:spacing w:val="-13"/>
        </w:rPr>
        <w:t> </w:t>
      </w:r>
      <w:r>
        <w:rPr/>
        <w:t>el</w:t>
      </w:r>
      <w:r>
        <w:rPr>
          <w:spacing w:val="-12"/>
        </w:rPr>
        <w:t> </w:t>
      </w:r>
      <w:r>
        <w:rPr/>
        <w:t>47.7</w:t>
      </w:r>
      <w:r>
        <w:rPr>
          <w:spacing w:val="30"/>
        </w:rPr>
        <w:t> </w:t>
      </w:r>
      <w:r>
        <w:rPr/>
        <w:t>%</w:t>
      </w:r>
      <w:r>
        <w:rPr>
          <w:spacing w:val="-12"/>
        </w:rPr>
        <w:t> </w:t>
      </w:r>
      <w:r>
        <w:rPr/>
        <w:t>del</w:t>
      </w:r>
      <w:r>
        <w:rPr>
          <w:spacing w:val="-10"/>
        </w:rPr>
        <w:t> </w:t>
      </w:r>
      <w:r>
        <w:rPr/>
        <w:t>total,</w:t>
      </w:r>
      <w:r>
        <w:rPr>
          <w:spacing w:val="-13"/>
        </w:rPr>
        <w:t> </w:t>
      </w:r>
      <w:r>
        <w:rPr/>
        <w:t>la</w:t>
      </w:r>
      <w:r>
        <w:rPr>
          <w:spacing w:val="-10"/>
        </w:rPr>
        <w:t> </w:t>
      </w:r>
      <w:r>
        <w:rPr/>
        <w:t>mayor</w:t>
      </w:r>
      <w:r>
        <w:rPr>
          <w:spacing w:val="-11"/>
        </w:rPr>
        <w:t> </w:t>
      </w:r>
      <w:r>
        <w:rPr/>
        <w:t>parte</w:t>
      </w:r>
      <w:r>
        <w:rPr>
          <w:spacing w:val="-12"/>
        </w:rPr>
        <w:t> </w:t>
      </w:r>
      <w:r>
        <w:rPr/>
        <w:t>explicada</w:t>
      </w:r>
      <w:r>
        <w:rPr>
          <w:spacing w:val="-10"/>
        </w:rPr>
        <w:t> </w:t>
      </w:r>
      <w:r>
        <w:rPr/>
        <w:t>por</w:t>
      </w:r>
      <w:r>
        <w:rPr>
          <w:spacing w:val="-12"/>
        </w:rPr>
        <w:t> </w:t>
      </w:r>
      <w:r>
        <w:rPr/>
        <w:t>las</w:t>
      </w:r>
      <w:r>
        <w:rPr>
          <w:spacing w:val="-13"/>
        </w:rPr>
        <w:t> </w:t>
      </w:r>
      <w:r>
        <w:rPr/>
        <w:t>participaciones</w:t>
      </w:r>
      <w:r>
        <w:rPr>
          <w:spacing w:val="-13"/>
        </w:rPr>
        <w:t> </w:t>
      </w:r>
      <w:r>
        <w:rPr/>
        <w:t>de</w:t>
      </w:r>
      <w:r>
        <w:rPr>
          <w:spacing w:val="-11"/>
        </w:rPr>
        <w:t> </w:t>
      </w:r>
      <w:r>
        <w:rPr/>
        <w:t>capital</w:t>
      </w:r>
      <w:r>
        <w:rPr>
          <w:spacing w:val="-12"/>
        </w:rPr>
        <w:t> </w:t>
      </w:r>
      <w:r>
        <w:rPr/>
        <w:t>distintas a la reinversión de utilidades. Asimismo, parte de los pasivos también se explican por la utilización de</w:t>
      </w:r>
      <w:r>
        <w:rPr>
          <w:spacing w:val="-7"/>
        </w:rPr>
        <w:t> </w:t>
      </w:r>
      <w:r>
        <w:rPr/>
        <w:t>los</w:t>
      </w:r>
      <w:r>
        <w:rPr>
          <w:spacing w:val="-9"/>
        </w:rPr>
        <w:t> </w:t>
      </w:r>
      <w:r>
        <w:rPr/>
        <w:t>instrumentos</w:t>
      </w:r>
      <w:r>
        <w:rPr>
          <w:spacing w:val="-6"/>
        </w:rPr>
        <w:t> </w:t>
      </w:r>
      <w:r>
        <w:rPr/>
        <w:t>de</w:t>
      </w:r>
      <w:r>
        <w:rPr>
          <w:spacing w:val="-7"/>
        </w:rPr>
        <w:t> </w:t>
      </w:r>
      <w:r>
        <w:rPr/>
        <w:t>deuda</w:t>
      </w:r>
      <w:r>
        <w:rPr>
          <w:spacing w:val="-7"/>
        </w:rPr>
        <w:t> </w:t>
      </w:r>
      <w:r>
        <w:rPr/>
        <w:t>externa</w:t>
      </w:r>
      <w:r>
        <w:rPr>
          <w:spacing w:val="-8"/>
        </w:rPr>
        <w:t> </w:t>
      </w:r>
      <w:r>
        <w:rPr/>
        <w:t>por</w:t>
      </w:r>
      <w:r>
        <w:rPr>
          <w:spacing w:val="-9"/>
        </w:rPr>
        <w:t> </w:t>
      </w:r>
      <w:r>
        <w:rPr/>
        <w:t>los</w:t>
      </w:r>
      <w:r>
        <w:rPr>
          <w:spacing w:val="-6"/>
        </w:rPr>
        <w:t> </w:t>
      </w:r>
      <w:r>
        <w:rPr/>
        <w:t>distintos</w:t>
      </w:r>
      <w:r>
        <w:rPr>
          <w:spacing w:val="-9"/>
        </w:rPr>
        <w:t> </w:t>
      </w:r>
      <w:r>
        <w:rPr/>
        <w:t>sectores,</w:t>
      </w:r>
      <w:r>
        <w:rPr>
          <w:spacing w:val="-6"/>
        </w:rPr>
        <w:t> </w:t>
      </w:r>
      <w:r>
        <w:rPr/>
        <w:t>de</w:t>
      </w:r>
      <w:r>
        <w:rPr>
          <w:spacing w:val="-9"/>
        </w:rPr>
        <w:t> </w:t>
      </w:r>
      <w:r>
        <w:rPr/>
        <w:t>tal</w:t>
      </w:r>
      <w:r>
        <w:rPr>
          <w:spacing w:val="-5"/>
        </w:rPr>
        <w:t> </w:t>
      </w:r>
      <w:r>
        <w:rPr/>
        <w:t>manera</w:t>
      </w:r>
      <w:r>
        <w:rPr>
          <w:spacing w:val="-6"/>
        </w:rPr>
        <w:t> </w:t>
      </w:r>
      <w:r>
        <w:rPr/>
        <w:t>que</w:t>
      </w:r>
      <w:r>
        <w:rPr>
          <w:spacing w:val="-9"/>
        </w:rPr>
        <w:t> </w:t>
      </w:r>
      <w:r>
        <w:rPr/>
        <w:t>el</w:t>
      </w:r>
      <w:r>
        <w:rPr>
          <w:spacing w:val="-6"/>
        </w:rPr>
        <w:t> </w:t>
      </w:r>
      <w:r>
        <w:rPr/>
        <w:t>saldo</w:t>
      </w:r>
      <w:r>
        <w:rPr>
          <w:spacing w:val="-9"/>
        </w:rPr>
        <w:t> </w:t>
      </w:r>
      <w:r>
        <w:rPr/>
        <w:t>de</w:t>
      </w:r>
      <w:r>
        <w:rPr>
          <w:spacing w:val="-9"/>
        </w:rPr>
        <w:t> </w:t>
      </w:r>
      <w:r>
        <w:rPr/>
        <w:t>la</w:t>
      </w:r>
      <w:r>
        <w:rPr>
          <w:spacing w:val="-6"/>
        </w:rPr>
        <w:t> </w:t>
      </w:r>
      <w:r>
        <w:rPr/>
        <w:t>deuda externa</w:t>
      </w:r>
      <w:r>
        <w:rPr>
          <w:spacing w:val="-12"/>
        </w:rPr>
        <w:t> </w:t>
      </w:r>
      <w:r>
        <w:rPr/>
        <w:t>se</w:t>
      </w:r>
      <w:r>
        <w:rPr>
          <w:spacing w:val="-8"/>
        </w:rPr>
        <w:t> </w:t>
      </w:r>
      <w:r>
        <w:rPr/>
        <w:t>ubicó</w:t>
      </w:r>
      <w:r>
        <w:rPr>
          <w:spacing w:val="-10"/>
        </w:rPr>
        <w:t> </w:t>
      </w:r>
      <w:r>
        <w:rPr/>
        <w:t>en</w:t>
      </w:r>
      <w:r>
        <w:rPr>
          <w:spacing w:val="38"/>
        </w:rPr>
        <w:t> </w:t>
      </w:r>
      <w:r>
        <w:rPr/>
        <w:t>US$25,041.6</w:t>
      </w:r>
      <w:r>
        <w:rPr>
          <w:spacing w:val="39"/>
        </w:rPr>
        <w:t> </w:t>
      </w:r>
      <w:r>
        <w:rPr/>
        <w:t>y</w:t>
      </w:r>
      <w:r>
        <w:rPr>
          <w:spacing w:val="-11"/>
        </w:rPr>
        <w:t> </w:t>
      </w:r>
      <w:r>
        <w:rPr/>
        <w:t>represento</w:t>
      </w:r>
      <w:r>
        <w:rPr>
          <w:spacing w:val="-11"/>
        </w:rPr>
        <w:t> </w:t>
      </w:r>
      <w:r>
        <w:rPr/>
        <w:t>el</w:t>
      </w:r>
      <w:r>
        <w:rPr>
          <w:spacing w:val="-7"/>
        </w:rPr>
        <w:t> </w:t>
      </w:r>
      <w:r>
        <w:rPr/>
        <w:t>29.1%</w:t>
      </w:r>
      <w:r>
        <w:rPr>
          <w:spacing w:val="-8"/>
        </w:rPr>
        <w:t> </w:t>
      </w:r>
      <w:r>
        <w:rPr/>
        <w:t>del</w:t>
      </w:r>
      <w:r>
        <w:rPr>
          <w:spacing w:val="-8"/>
        </w:rPr>
        <w:t> </w:t>
      </w:r>
      <w:r>
        <w:rPr/>
        <w:t>PIB,</w:t>
      </w:r>
      <w:r>
        <w:rPr>
          <w:spacing w:val="-9"/>
        </w:rPr>
        <w:t> </w:t>
      </w:r>
      <w:r>
        <w:rPr/>
        <w:t>de</w:t>
      </w:r>
      <w:r>
        <w:rPr>
          <w:spacing w:val="-9"/>
        </w:rPr>
        <w:t> </w:t>
      </w:r>
      <w:r>
        <w:rPr/>
        <w:t>la</w:t>
      </w:r>
      <w:r>
        <w:rPr>
          <w:spacing w:val="-8"/>
        </w:rPr>
        <w:t> </w:t>
      </w:r>
      <w:r>
        <w:rPr/>
        <w:t>cual</w:t>
      </w:r>
      <w:r>
        <w:rPr>
          <w:spacing w:val="-7"/>
        </w:rPr>
        <w:t> </w:t>
      </w:r>
      <w:r>
        <w:rPr/>
        <w:t>el</w:t>
      </w:r>
      <w:r>
        <w:rPr>
          <w:spacing w:val="-8"/>
        </w:rPr>
        <w:t> </w:t>
      </w:r>
      <w:r>
        <w:rPr/>
        <w:t>gobierno</w:t>
      </w:r>
      <w:r>
        <w:rPr>
          <w:spacing w:val="-9"/>
        </w:rPr>
        <w:t> </w:t>
      </w:r>
      <w:r>
        <w:rPr/>
        <w:t>general</w:t>
      </w:r>
      <w:r>
        <w:rPr>
          <w:spacing w:val="-9"/>
        </w:rPr>
        <w:t> </w:t>
      </w:r>
      <w:r>
        <w:rPr/>
        <w:t>posee el</w:t>
      </w:r>
      <w:r>
        <w:rPr>
          <w:spacing w:val="-2"/>
        </w:rPr>
        <w:t> </w:t>
      </w:r>
      <w:r>
        <w:rPr/>
        <w:t>41.8%,</w:t>
      </w:r>
      <w:r>
        <w:rPr>
          <w:spacing w:val="-4"/>
        </w:rPr>
        <w:t> </w:t>
      </w:r>
      <w:r>
        <w:rPr/>
        <w:t>las</w:t>
      </w:r>
      <w:r>
        <w:rPr>
          <w:spacing w:val="-3"/>
        </w:rPr>
        <w:t> </w:t>
      </w:r>
      <w:r>
        <w:rPr/>
        <w:t>otras</w:t>
      </w:r>
      <w:r>
        <w:rPr>
          <w:spacing w:val="-3"/>
        </w:rPr>
        <w:t> </w:t>
      </w:r>
      <w:r>
        <w:rPr/>
        <w:t>sociedades</w:t>
      </w:r>
      <w:r>
        <w:rPr>
          <w:spacing w:val="-3"/>
        </w:rPr>
        <w:t> </w:t>
      </w:r>
      <w:r>
        <w:rPr/>
        <w:t>captadoras</w:t>
      </w:r>
      <w:r>
        <w:rPr>
          <w:spacing w:val="-3"/>
        </w:rPr>
        <w:t> </w:t>
      </w:r>
      <w:r>
        <w:rPr/>
        <w:t>de</w:t>
      </w:r>
      <w:r>
        <w:rPr>
          <w:spacing w:val="-3"/>
        </w:rPr>
        <w:t> </w:t>
      </w:r>
      <w:r>
        <w:rPr/>
        <w:t>depósito</w:t>
      </w:r>
      <w:r>
        <w:rPr>
          <w:spacing w:val="-2"/>
        </w:rPr>
        <w:t> </w:t>
      </w:r>
      <w:r>
        <w:rPr/>
        <w:t>24.1%</w:t>
      </w:r>
      <w:r>
        <w:rPr>
          <w:spacing w:val="-3"/>
        </w:rPr>
        <w:t> </w:t>
      </w:r>
      <w:r>
        <w:rPr/>
        <w:t>y</w:t>
      </w:r>
      <w:r>
        <w:rPr>
          <w:spacing w:val="-6"/>
        </w:rPr>
        <w:t> </w:t>
      </w:r>
      <w:r>
        <w:rPr/>
        <w:t>los</w:t>
      </w:r>
      <w:r>
        <w:rPr>
          <w:spacing w:val="-3"/>
        </w:rPr>
        <w:t> </w:t>
      </w:r>
      <w:r>
        <w:rPr/>
        <w:t>otros</w:t>
      </w:r>
      <w:r>
        <w:rPr>
          <w:spacing w:val="-3"/>
        </w:rPr>
        <w:t> </w:t>
      </w:r>
      <w:r>
        <w:rPr/>
        <w:t>sectores</w:t>
      </w:r>
      <w:r>
        <w:rPr>
          <w:spacing w:val="-2"/>
        </w:rPr>
        <w:t> </w:t>
      </w:r>
      <w:r>
        <w:rPr/>
        <w:t>29.3%.</w:t>
      </w:r>
      <w:r>
        <w:rPr>
          <w:spacing w:val="-4"/>
        </w:rPr>
        <w:t> </w:t>
      </w:r>
      <w:r>
        <w:rPr/>
        <w:t>El</w:t>
      </w:r>
      <w:r>
        <w:rPr>
          <w:spacing w:val="-3"/>
        </w:rPr>
        <w:t> </w:t>
      </w:r>
      <w:r>
        <w:rPr/>
        <w:t>constante aumento de los activos y la leve disminución de los pasivos han mejorado y fortalecido la posición de inversión internacional neta que como porcentaje del PIB representó el - 8.0 % en</w:t>
      </w:r>
      <w:r>
        <w:rPr>
          <w:spacing w:val="-12"/>
        </w:rPr>
        <w:t> </w:t>
      </w:r>
      <w:r>
        <w:rPr/>
        <w:t>2021.</w:t>
      </w:r>
    </w:p>
    <w:p>
      <w:pPr>
        <w:spacing w:after="0" w:line="276" w:lineRule="auto"/>
        <w:jc w:val="both"/>
        <w:sectPr>
          <w:type w:val="continuous"/>
          <w:pgSz w:w="12240" w:h="15840"/>
          <w:pgMar w:top="1500" w:bottom="280" w:left="1140" w:right="0"/>
        </w:sectPr>
      </w:pPr>
    </w:p>
    <w:p>
      <w:pPr>
        <w:spacing w:before="169"/>
        <w:ind w:left="2263" w:right="0" w:firstLine="0"/>
        <w:jc w:val="left"/>
        <w:rPr>
          <w:b/>
          <w:sz w:val="20"/>
        </w:rPr>
      </w:pPr>
      <w:bookmarkStart w:name="_bookmark65" w:id="86"/>
      <w:bookmarkEnd w:id="86"/>
      <w:r>
        <w:rPr/>
      </w:r>
      <w:r>
        <w:rPr>
          <w:b/>
          <w:i/>
          <w:sz w:val="20"/>
        </w:rPr>
        <w:t>Gráfico 28. </w:t>
      </w:r>
      <w:r>
        <w:rPr>
          <w:b/>
          <w:sz w:val="20"/>
        </w:rPr>
        <w:t>Posición de inversión internacional y deuda externa</w:t>
      </w:r>
    </w:p>
    <w:p>
      <w:pPr>
        <w:tabs>
          <w:tab w:pos="5929" w:val="left" w:leader="none"/>
        </w:tabs>
        <w:spacing w:before="33"/>
        <w:ind w:left="1092" w:right="0" w:firstLine="0"/>
        <w:jc w:val="left"/>
        <w:rPr>
          <w:b/>
          <w:sz w:val="18"/>
        </w:rPr>
      </w:pPr>
      <w:r>
        <w:rPr/>
        <w:pict>
          <v:group style="position:absolute;margin-left:144.240005pt;margin-top:21.912365pt;width:5.3pt;height:5.2pt;mso-position-horizontal-relative:page;mso-position-vertical-relative:paragraph;z-index:252057600" coordorigin="2885,438" coordsize="106,104">
            <v:rect style="position:absolute;left:2892;top:445;width:92;height:89" filled="true" fillcolor="#3b1047" stroked="false">
              <v:fill type="solid"/>
            </v:rect>
            <v:rect style="position:absolute;left:2892;top:445;width:92;height:89" filled="false" stroked="true" strokeweight=".72pt" strokecolor="#3b1047">
              <v:stroke dashstyle="solid"/>
            </v:rect>
            <w10:wrap type="none"/>
          </v:group>
        </w:pict>
      </w:r>
      <w:r>
        <w:rPr/>
        <w:pict>
          <v:group style="position:absolute;margin-left:204.720001pt;margin-top:21.912365pt;width:5.3pt;height:5.2pt;mso-position-horizontal-relative:page;mso-position-vertical-relative:paragraph;z-index:-281261056" coordorigin="4094,438" coordsize="106,104">
            <v:rect style="position:absolute;left:4101;top:445;width:92;height:89" filled="true" fillcolor="#a4a4a4" stroked="false">
              <v:fill type="solid"/>
            </v:rect>
            <v:rect style="position:absolute;left:4101;top:445;width:92;height:89" filled="false" stroked="true" strokeweight=".72pt" strokecolor="#000000">
              <v:stroke dashstyle="solid"/>
            </v:rect>
            <w10:wrap type="none"/>
          </v:group>
        </w:pict>
      </w:r>
      <w:r>
        <w:rPr/>
        <w:drawing>
          <wp:anchor distT="0" distB="0" distL="0" distR="0" allowOverlap="1" layoutInCell="1" locked="0" behindDoc="1" simplePos="0" relativeHeight="222056448">
            <wp:simplePos x="0" y="0"/>
            <wp:positionH relativeFrom="page">
              <wp:posOffset>3357371</wp:posOffset>
            </wp:positionH>
            <wp:positionV relativeFrom="paragraph">
              <wp:posOffset>273715</wp:posOffset>
            </wp:positionV>
            <wp:extent cx="73151" cy="73151"/>
            <wp:effectExtent l="0" t="0" r="0" b="0"/>
            <wp:wrapNone/>
            <wp:docPr id="11" name="image33.png"/>
            <wp:cNvGraphicFramePr>
              <a:graphicFrameLocks noChangeAspect="1"/>
            </wp:cNvGraphicFramePr>
            <a:graphic>
              <a:graphicData uri="http://schemas.openxmlformats.org/drawingml/2006/picture">
                <pic:pic>
                  <pic:nvPicPr>
                    <pic:cNvPr id="12" name="image33.png"/>
                    <pic:cNvPicPr/>
                  </pic:nvPicPr>
                  <pic:blipFill>
                    <a:blip r:embed="rId39" cstate="print"/>
                    <a:stretch>
                      <a:fillRect/>
                    </a:stretch>
                  </pic:blipFill>
                  <pic:spPr>
                    <a:xfrm>
                      <a:off x="0" y="0"/>
                      <a:ext cx="73151" cy="73151"/>
                    </a:xfrm>
                    <a:prstGeom prst="rect">
                      <a:avLst/>
                    </a:prstGeom>
                  </pic:spPr>
                </pic:pic>
              </a:graphicData>
            </a:graphic>
          </wp:anchor>
        </w:drawing>
      </w:r>
      <w:r>
        <w:rPr>
          <w:b/>
          <w:sz w:val="18"/>
        </w:rPr>
        <w:t>Principales destinos (en porcentaje</w:t>
      </w:r>
      <w:r>
        <w:rPr>
          <w:b/>
          <w:spacing w:val="-6"/>
          <w:sz w:val="18"/>
        </w:rPr>
        <w:t> </w:t>
      </w:r>
      <w:r>
        <w:rPr>
          <w:b/>
          <w:sz w:val="18"/>
        </w:rPr>
        <w:t>del</w:t>
      </w:r>
      <w:r>
        <w:rPr>
          <w:b/>
          <w:spacing w:val="-2"/>
          <w:sz w:val="18"/>
        </w:rPr>
        <w:t> </w:t>
      </w:r>
      <w:r>
        <w:rPr>
          <w:b/>
          <w:sz w:val="18"/>
        </w:rPr>
        <w:t>PIB)</w:t>
        <w:tab/>
        <w:t>Deuda externa público y</w:t>
      </w:r>
      <w:r>
        <w:rPr>
          <w:b/>
          <w:spacing w:val="-2"/>
          <w:sz w:val="18"/>
        </w:rPr>
        <w:t> </w:t>
      </w:r>
      <w:r>
        <w:rPr>
          <w:b/>
          <w:sz w:val="18"/>
        </w:rPr>
        <w:t>privada</w:t>
      </w:r>
    </w:p>
    <w:p>
      <w:pPr>
        <w:spacing w:after="0"/>
        <w:jc w:val="left"/>
        <w:rPr>
          <w:sz w:val="18"/>
        </w:rPr>
        <w:sectPr>
          <w:pgSz w:w="12240" w:h="15840"/>
          <w:pgMar w:header="715" w:footer="957" w:top="1240" w:bottom="1140" w:left="1140" w:right="0"/>
        </w:sectPr>
      </w:pPr>
    </w:p>
    <w:p>
      <w:pPr>
        <w:pStyle w:val="BodyText"/>
        <w:spacing w:before="4"/>
        <w:rPr>
          <w:b/>
          <w:sz w:val="17"/>
        </w:rPr>
      </w:pPr>
    </w:p>
    <w:p>
      <w:pPr>
        <w:spacing w:before="0"/>
        <w:ind w:left="0" w:right="0" w:firstLine="0"/>
        <w:jc w:val="right"/>
        <w:rPr>
          <w:sz w:val="18"/>
        </w:rPr>
      </w:pPr>
      <w:r>
        <w:rPr>
          <w:color w:val="585858"/>
          <w:spacing w:val="-1"/>
          <w:sz w:val="18"/>
        </w:rPr>
        <w:t>60.0</w:t>
      </w:r>
    </w:p>
    <w:p>
      <w:pPr>
        <w:pStyle w:val="BodyText"/>
        <w:spacing w:before="9"/>
        <w:rPr>
          <w:sz w:val="26"/>
        </w:rPr>
      </w:pPr>
    </w:p>
    <w:p>
      <w:pPr>
        <w:spacing w:before="0"/>
        <w:ind w:left="0" w:right="0" w:firstLine="0"/>
        <w:jc w:val="right"/>
        <w:rPr>
          <w:sz w:val="18"/>
        </w:rPr>
      </w:pPr>
      <w:r>
        <w:rPr>
          <w:color w:val="585858"/>
          <w:spacing w:val="-1"/>
          <w:sz w:val="18"/>
        </w:rPr>
        <w:t>40.0</w:t>
      </w:r>
    </w:p>
    <w:p>
      <w:pPr>
        <w:tabs>
          <w:tab w:pos="1968" w:val="left" w:leader="none"/>
          <w:tab w:pos="3167" w:val="left" w:leader="none"/>
        </w:tabs>
        <w:spacing w:before="139"/>
        <w:ind w:left="758" w:right="0" w:firstLine="0"/>
        <w:jc w:val="left"/>
        <w:rPr>
          <w:sz w:val="18"/>
        </w:rPr>
      </w:pPr>
      <w:r>
        <w:rPr/>
        <w:br w:type="column"/>
      </w:r>
      <w:r>
        <w:rPr>
          <w:color w:val="585858"/>
          <w:sz w:val="18"/>
        </w:rPr>
        <w:t>Activos/PIB</w:t>
        <w:tab/>
        <w:t>Pasivos/PIB</w:t>
        <w:tab/>
        <w:t>PII /</w:t>
      </w:r>
      <w:r>
        <w:rPr>
          <w:color w:val="585858"/>
          <w:spacing w:val="-2"/>
          <w:sz w:val="18"/>
        </w:rPr>
        <w:t> </w:t>
      </w:r>
      <w:r>
        <w:rPr>
          <w:color w:val="585858"/>
          <w:spacing w:val="-6"/>
          <w:sz w:val="18"/>
        </w:rPr>
        <w:t>PIB</w:t>
      </w:r>
    </w:p>
    <w:p>
      <w:pPr>
        <w:tabs>
          <w:tab w:pos="2563" w:val="left" w:leader="none"/>
        </w:tabs>
        <w:spacing w:line="266" w:lineRule="auto" w:before="92"/>
        <w:ind w:left="295" w:right="2559" w:firstLine="0"/>
        <w:jc w:val="left"/>
        <w:rPr>
          <w:sz w:val="14"/>
        </w:rPr>
      </w:pPr>
      <w:r>
        <w:rPr/>
        <w:br w:type="column"/>
      </w:r>
      <w:r>
        <w:rPr>
          <w:color w:val="585858"/>
          <w:sz w:val="14"/>
        </w:rPr>
        <w:t>Banco</w:t>
      </w:r>
      <w:r>
        <w:rPr>
          <w:color w:val="585858"/>
          <w:spacing w:val="-2"/>
          <w:sz w:val="14"/>
        </w:rPr>
        <w:t> </w:t>
      </w:r>
      <w:r>
        <w:rPr>
          <w:color w:val="585858"/>
          <w:sz w:val="14"/>
        </w:rPr>
        <w:t>Central</w:t>
        <w:tab/>
        <w:t>Gobierno General Sociedades captadoras</w:t>
      </w:r>
      <w:r>
        <w:rPr>
          <w:color w:val="585858"/>
          <w:spacing w:val="-6"/>
          <w:sz w:val="14"/>
        </w:rPr>
        <w:t> </w:t>
      </w:r>
      <w:r>
        <w:rPr>
          <w:color w:val="585858"/>
          <w:sz w:val="14"/>
        </w:rPr>
        <w:t>de</w:t>
      </w:r>
      <w:r>
        <w:rPr>
          <w:color w:val="585858"/>
          <w:spacing w:val="-1"/>
          <w:sz w:val="14"/>
        </w:rPr>
        <w:t> </w:t>
      </w:r>
      <w:r>
        <w:rPr>
          <w:color w:val="585858"/>
          <w:sz w:val="14"/>
        </w:rPr>
        <w:t>depósitos</w:t>
        <w:tab/>
        <w:t>Otros</w:t>
      </w:r>
      <w:r>
        <w:rPr>
          <w:color w:val="585858"/>
          <w:spacing w:val="-2"/>
          <w:sz w:val="14"/>
        </w:rPr>
        <w:t> </w:t>
      </w:r>
      <w:r>
        <w:rPr>
          <w:color w:val="585858"/>
          <w:sz w:val="14"/>
        </w:rPr>
        <w:t>sectores</w:t>
      </w:r>
    </w:p>
    <w:p>
      <w:pPr>
        <w:spacing w:line="207" w:lineRule="exact" w:before="0"/>
        <w:ind w:left="384" w:right="0" w:firstLine="0"/>
        <w:jc w:val="left"/>
        <w:rPr>
          <w:sz w:val="18"/>
        </w:rPr>
      </w:pPr>
      <w:r>
        <w:rPr/>
        <w:pict>
          <v:group style="position:absolute;margin-left:120.959999pt;margin-top:1.285657pt;width:185.05pt;height:69.4pt;mso-position-horizontal-relative:page;mso-position-vertical-relative:paragraph;z-index:252055552" coordorigin="2419,26" coordsize="3701,1388">
            <v:rect style="position:absolute;left:2620;top:539;width:185;height:867" filled="true" fillcolor="#3b1047" stroked="false">
              <v:fill type="solid"/>
            </v:rect>
            <v:rect style="position:absolute;left:2620;top:539;width:185;height:867" filled="false" stroked="true" strokeweight=".72pt" strokecolor="#3b1047">
              <v:stroke dashstyle="solid"/>
            </v:rect>
            <v:rect style="position:absolute;left:2805;top:49;width:183;height:1356" filled="true" fillcolor="#a4a4a4" stroked="false">
              <v:fill type="solid"/>
            </v:rect>
            <v:rect style="position:absolute;left:2805;top:49;width:183;height:1356" filled="false" stroked="true" strokeweight=".72pt" strokecolor="#000000">
              <v:stroke dashstyle="solid"/>
            </v:rect>
            <v:rect style="position:absolute;left:3391;top:493;width:185;height:912" filled="true" fillcolor="#3b1047" stroked="false">
              <v:fill type="solid"/>
            </v:rect>
            <v:rect style="position:absolute;left:3391;top:493;width:185;height:912" filled="false" stroked="true" strokeweight=".72pt" strokecolor="#3b1047">
              <v:stroke dashstyle="solid"/>
            </v:rect>
            <v:rect style="position:absolute;left:3576;top:40;width:185;height:1366" filled="true" fillcolor="#a4a4a4" stroked="false">
              <v:fill type="solid"/>
            </v:rect>
            <v:rect style="position:absolute;left:3576;top:40;width:185;height:1366" filled="false" stroked="true" strokeweight=".72pt" strokecolor="#000000">
              <v:stroke dashstyle="solid"/>
            </v:rect>
            <v:rect style="position:absolute;left:4164;top:484;width:185;height:922" filled="true" fillcolor="#3b1047" stroked="false">
              <v:fill type="solid"/>
            </v:rect>
            <v:rect style="position:absolute;left:4164;top:484;width:185;height:922" filled="false" stroked="true" strokeweight=".72pt" strokecolor="#3b1047">
              <v:stroke dashstyle="solid"/>
            </v:rect>
            <v:rect style="position:absolute;left:4348;top:102;width:183;height:1304" filled="true" fillcolor="#a4a4a4" stroked="false">
              <v:fill type="solid"/>
            </v:rect>
            <v:rect style="position:absolute;left:4348;top:102;width:183;height:1304" filled="false" stroked="true" strokeweight=".72pt" strokecolor="#000000">
              <v:stroke dashstyle="solid"/>
            </v:rect>
            <v:rect style="position:absolute;left:4934;top:332;width:185;height:1073" filled="true" fillcolor="#3b1047" stroked="false">
              <v:fill type="solid"/>
            </v:rect>
            <v:rect style="position:absolute;left:4934;top:332;width:185;height:1073" filled="false" stroked="true" strokeweight=".72pt" strokecolor="#3b1047">
              <v:stroke dashstyle="solid"/>
            </v:rect>
            <v:rect style="position:absolute;left:5119;top:49;width:185;height:1356" filled="true" fillcolor="#a4a4a4" stroked="false">
              <v:fill type="solid"/>
            </v:rect>
            <v:rect style="position:absolute;left:5119;top:49;width:185;height:1356" filled="false" stroked="true" strokeweight=".72pt" strokecolor="#000000">
              <v:stroke dashstyle="solid"/>
            </v:rect>
            <v:rect style="position:absolute;left:5707;top:239;width:185;height:1167" filled="true" fillcolor="#3b1047" stroked="false">
              <v:fill type="solid"/>
            </v:rect>
            <v:rect style="position:absolute;left:5707;top:239;width:185;height:1167" filled="false" stroked="true" strokeweight=".72pt" strokecolor="#3b1047">
              <v:stroke dashstyle="solid"/>
            </v:rect>
            <v:rect style="position:absolute;left:5892;top:32;width:183;height:1373" filled="true" fillcolor="#a4a4a4" stroked="false">
              <v:fill type="solid"/>
            </v:rect>
            <v:rect style="position:absolute;left:5892;top:32;width:183;height:1373" filled="false" stroked="true" strokeweight=".72pt" strokecolor="#000000">
              <v:stroke dashstyle="solid"/>
            </v:rect>
            <v:line style="position:absolute" from="2419,1406" to="6120,1406" stroked="true" strokeweight=".72pt" strokecolor="#d9d9d9">
              <v:stroke dashstyle="solid"/>
            </v:line>
            <w10:wrap type="none"/>
          </v:group>
        </w:pict>
      </w:r>
      <w:r>
        <w:rPr/>
        <w:pict>
          <v:group style="position:absolute;margin-left:350.279999pt;margin-top:-.114363pt;width:176.2pt;height:93.8pt;mso-position-horizontal-relative:page;mso-position-vertical-relative:paragraph;z-index:252064768" coordorigin="7006,-2" coordsize="3524,1876">
            <v:rect style="position:absolute;left:7216;top:1259;width:281;height:608" filled="true" fillcolor="#053852" stroked="false">
              <v:fill type="solid"/>
            </v:rect>
            <v:rect style="position:absolute;left:7216;top:1259;width:281;height:608" filled="false" stroked="true" strokeweight=".72pt" strokecolor="#000000">
              <v:stroke dashstyle="solid"/>
            </v:rect>
            <v:rect style="position:absolute;left:7216;top:882;width:281;height:377" filled="true" fillcolor="#a6a6a6" stroked="false">
              <v:fill type="solid"/>
            </v:rect>
            <v:rect style="position:absolute;left:7216;top:882;width:281;height:377" filled="false" stroked="true" strokeweight=".72pt" strokecolor="#000000">
              <v:stroke dashstyle="solid"/>
            </v:rect>
            <v:rect style="position:absolute;left:7216;top:388;width:281;height:495" filled="true" fillcolor="#5b9bd4" stroked="false">
              <v:fill type="solid"/>
            </v:rect>
            <v:rect style="position:absolute;left:7216;top:388;width:281;height:495" filled="false" stroked="true" strokeweight=".72pt" strokecolor="#000000">
              <v:stroke dashstyle="solid"/>
            </v:rect>
            <v:rect style="position:absolute;left:7216;top:337;width:281;height:51" filled="true" fillcolor="#b80d47" stroked="false">
              <v:fill type="solid"/>
            </v:rect>
            <v:rect style="position:absolute;left:7216;top:337;width:281;height:51" filled="false" stroked="true" strokeweight=".72pt" strokecolor="#000000">
              <v:stroke dashstyle="solid"/>
            </v:rect>
            <v:rect style="position:absolute;left:7922;top:1288;width:281;height:579" filled="true" fillcolor="#053852" stroked="false">
              <v:fill type="solid"/>
            </v:rect>
            <v:rect style="position:absolute;left:7922;top:1288;width:281;height:579" filled="false" stroked="true" strokeweight=".72pt" strokecolor="#000000">
              <v:stroke dashstyle="solid"/>
            </v:rect>
            <v:rect style="position:absolute;left:7922;top:896;width:281;height:392" filled="true" fillcolor="#a6a6a6" stroked="false">
              <v:fill type="solid"/>
            </v:rect>
            <v:rect style="position:absolute;left:7922;top:896;width:281;height:392" filled="false" stroked="true" strokeweight=".72pt" strokecolor="#000000">
              <v:stroke dashstyle="solid"/>
            </v:rect>
            <v:rect style="position:absolute;left:7922;top:407;width:281;height:490" filled="true" fillcolor="#5b9bd4" stroked="false">
              <v:fill type="solid"/>
            </v:rect>
            <v:rect style="position:absolute;left:7922;top:407;width:281;height:490" filled="false" stroked="true" strokeweight=".72pt" strokecolor="#000000">
              <v:stroke dashstyle="solid"/>
            </v:rect>
            <v:rect style="position:absolute;left:7922;top:356;width:281;height:51" filled="true" fillcolor="#b80d47" stroked="false">
              <v:fill type="solid"/>
            </v:rect>
            <v:rect style="position:absolute;left:7922;top:356;width:281;height:51" filled="false" stroked="true" strokeweight=".72pt" strokecolor="#000000">
              <v:stroke dashstyle="solid"/>
            </v:rect>
            <v:rect style="position:absolute;left:8625;top:1386;width:284;height:480" filled="true" fillcolor="#053852" stroked="false">
              <v:fill type="solid"/>
            </v:rect>
            <v:rect style="position:absolute;left:8625;top:1386;width:284;height:480" filled="false" stroked="true" strokeweight=".72pt" strokecolor="#000000">
              <v:stroke dashstyle="solid"/>
            </v:rect>
            <v:rect style="position:absolute;left:8625;top:1026;width:284;height:360" filled="true" fillcolor="#a6a6a6" stroked="false">
              <v:fill type="solid"/>
            </v:rect>
            <v:rect style="position:absolute;left:8625;top:1026;width:284;height:360" filled="false" stroked="true" strokeweight=".72pt" strokecolor="#000000">
              <v:stroke dashstyle="solid"/>
            </v:rect>
            <v:rect style="position:absolute;left:8625;top:510;width:284;height:516" filled="true" fillcolor="#5b9bd4" stroked="false">
              <v:fill type="solid"/>
            </v:rect>
            <v:rect style="position:absolute;left:8625;top:510;width:284;height:516" filled="false" stroked="true" strokeweight=".72pt" strokecolor="#000000">
              <v:stroke dashstyle="solid"/>
            </v:rect>
            <v:rect style="position:absolute;left:8625;top:464;width:284;height:46" filled="true" fillcolor="#b80d47" stroked="false">
              <v:fill type="solid"/>
            </v:rect>
            <v:rect style="position:absolute;left:8625;top:464;width:284;height:46" filled="false" stroked="true" strokeweight=".72pt" strokecolor="#000000">
              <v:stroke dashstyle="solid"/>
            </v:rect>
            <v:rect style="position:absolute;left:9331;top:1444;width:284;height:423" filled="true" fillcolor="#053852" stroked="false">
              <v:fill type="solid"/>
            </v:rect>
            <v:rect style="position:absolute;left:9331;top:1444;width:284;height:423" filled="false" stroked="true" strokeweight=".72pt" strokecolor="#000000">
              <v:stroke dashstyle="solid"/>
            </v:rect>
            <v:rect style="position:absolute;left:9331;top:1098;width:284;height:346" filled="true" fillcolor="#a6a6a6" stroked="false">
              <v:fill type="solid"/>
            </v:rect>
            <v:rect style="position:absolute;left:9331;top:1098;width:284;height:346" filled="false" stroked="true" strokeweight=".72pt" strokecolor="#000000">
              <v:stroke dashstyle="solid"/>
            </v:rect>
            <v:rect style="position:absolute;left:9331;top:474;width:284;height:624" filled="true" fillcolor="#5b9bd4" stroked="false">
              <v:fill type="solid"/>
            </v:rect>
            <v:rect style="position:absolute;left:9331;top:474;width:284;height:624" filled="false" stroked="true" strokeweight=".72pt" strokecolor="#000000">
              <v:stroke dashstyle="solid"/>
            </v:rect>
            <v:rect style="position:absolute;left:9331;top:426;width:284;height:48" filled="true" fillcolor="#b80d47" stroked="false">
              <v:fill type="solid"/>
            </v:rect>
            <v:rect style="position:absolute;left:9331;top:426;width:284;height:48" filled="false" stroked="true" strokeweight=".72pt" strokecolor="#000000">
              <v:stroke dashstyle="solid"/>
            </v:rect>
            <v:rect style="position:absolute;left:10036;top:1465;width:281;height:401" filled="true" fillcolor="#053852" stroked="false">
              <v:fill type="solid"/>
            </v:rect>
            <v:rect style="position:absolute;left:10036;top:1465;width:281;height:401" filled="false" stroked="true" strokeweight=".72pt" strokecolor="#000000">
              <v:stroke dashstyle="solid"/>
            </v:rect>
            <v:rect style="position:absolute;left:10036;top:1165;width:281;height:300" filled="true" fillcolor="#a6a6a6" stroked="false">
              <v:fill type="solid"/>
            </v:rect>
            <v:rect style="position:absolute;left:10036;top:1165;width:281;height:300" filled="false" stroked="true" strokeweight=".72pt" strokecolor="#000000">
              <v:stroke dashstyle="solid"/>
            </v:rect>
            <v:rect style="position:absolute;left:10036;top:632;width:281;height:533" filled="true" fillcolor="#5b9bd4" stroked="false">
              <v:fill type="solid"/>
            </v:rect>
            <v:rect style="position:absolute;left:10036;top:632;width:281;height:533" filled="false" stroked="true" strokeweight=".72pt" strokecolor="#000000">
              <v:stroke dashstyle="solid"/>
            </v:rect>
            <v:rect style="position:absolute;left:10036;top:589;width:281;height:44" filled="true" fillcolor="#b80d47" stroked="false">
              <v:fill type="solid"/>
            </v:rect>
            <v:rect style="position:absolute;left:10036;top:589;width:281;height:44" filled="false" stroked="true" strokeweight=".72pt" strokecolor="#000000">
              <v:stroke dashstyle="solid"/>
            </v:rect>
            <v:line style="position:absolute" from="7006,1867" to="10529,1867" stroked="true" strokeweight=".72pt" strokecolor="#d9d9d9">
              <v:stroke dashstyle="solid"/>
            </v:line>
            <v:shape style="position:absolute;left:7222;top:-3;width:1043;height:221" type="#_x0000_t202" filled="false" stroked="false">
              <v:textbox inset="0,0,0,0">
                <w:txbxContent>
                  <w:p>
                    <w:pPr>
                      <w:tabs>
                        <w:tab w:pos="704" w:val="left" w:leader="none"/>
                      </w:tabs>
                      <w:spacing w:line="219" w:lineRule="exact" w:before="0"/>
                      <w:ind w:left="0" w:right="0" w:firstLine="0"/>
                      <w:jc w:val="left"/>
                      <w:rPr>
                        <w:b/>
                        <w:sz w:val="18"/>
                      </w:rPr>
                    </w:pPr>
                    <w:r>
                      <w:rPr>
                        <w:b/>
                        <w:color w:val="404040"/>
                        <w:sz w:val="18"/>
                      </w:rPr>
                      <w:t>34.9</w:t>
                      <w:tab/>
                    </w:r>
                    <w:r>
                      <w:rPr>
                        <w:b/>
                        <w:color w:val="404040"/>
                        <w:position w:val="-1"/>
                        <w:sz w:val="18"/>
                      </w:rPr>
                      <w:t>34.4</w:t>
                    </w:r>
                  </w:p>
                </w:txbxContent>
              </v:textbox>
              <w10:wrap type="none"/>
            </v:shape>
            <v:shape style="position:absolute;left:8632;top:126;width:338;height:200" type="#_x0000_t202" filled="false" stroked="false">
              <v:textbox inset="0,0,0,0">
                <w:txbxContent>
                  <w:p>
                    <w:pPr>
                      <w:spacing w:line="199" w:lineRule="exact" w:before="0"/>
                      <w:ind w:left="0" w:right="0" w:firstLine="0"/>
                      <w:jc w:val="left"/>
                      <w:rPr>
                        <w:b/>
                        <w:sz w:val="18"/>
                      </w:rPr>
                    </w:pPr>
                    <w:r>
                      <w:rPr>
                        <w:b/>
                        <w:color w:val="404040"/>
                        <w:sz w:val="18"/>
                      </w:rPr>
                      <w:t>31.9</w:t>
                    </w:r>
                  </w:p>
                </w:txbxContent>
              </v:textbox>
              <w10:wrap type="none"/>
            </v:shape>
            <v:shape style="position:absolute;left:9337;top:88;width:338;height:200" type="#_x0000_t202" filled="false" stroked="false">
              <v:textbox inset="0,0,0,0">
                <w:txbxContent>
                  <w:p>
                    <w:pPr>
                      <w:spacing w:line="199" w:lineRule="exact" w:before="0"/>
                      <w:ind w:left="0" w:right="0" w:firstLine="0"/>
                      <w:jc w:val="left"/>
                      <w:rPr>
                        <w:b/>
                        <w:sz w:val="18"/>
                      </w:rPr>
                    </w:pPr>
                    <w:r>
                      <w:rPr>
                        <w:b/>
                        <w:color w:val="404040"/>
                        <w:sz w:val="18"/>
                      </w:rPr>
                      <w:t>32.8</w:t>
                    </w:r>
                  </w:p>
                </w:txbxContent>
              </v:textbox>
              <w10:wrap type="none"/>
            </v:shape>
            <v:shape style="position:absolute;left:10042;top:251;width:338;height:200" type="#_x0000_t202" filled="false" stroked="false">
              <v:textbox inset="0,0,0,0">
                <w:txbxContent>
                  <w:p>
                    <w:pPr>
                      <w:spacing w:line="199" w:lineRule="exact" w:before="0"/>
                      <w:ind w:left="0" w:right="0" w:firstLine="0"/>
                      <w:jc w:val="left"/>
                      <w:rPr>
                        <w:b/>
                        <w:sz w:val="18"/>
                      </w:rPr>
                    </w:pPr>
                    <w:r>
                      <w:rPr>
                        <w:b/>
                        <w:color w:val="404040"/>
                        <w:sz w:val="18"/>
                      </w:rPr>
                      <w:t>29.1</w:t>
                    </w:r>
                  </w:p>
                </w:txbxContent>
              </v:textbox>
              <w10:wrap type="none"/>
            </v:shape>
            <w10:wrap type="none"/>
          </v:group>
        </w:pict>
      </w:r>
      <w:r>
        <w:rPr/>
        <w:pict>
          <v:group style="position:absolute;margin-left:315pt;margin-top:-15.634343pt;width:4.2pt;height:4.2pt;mso-position-horizontal-relative:page;mso-position-vertical-relative:paragraph;z-index:252065792" coordorigin="6300,-313" coordsize="84,84">
            <v:rect style="position:absolute;left:6307;top:-306;width:70;height:70" filled="true" fillcolor="#b80d47" stroked="false">
              <v:fill type="solid"/>
            </v:rect>
            <v:rect style="position:absolute;left:6307;top:-306;width:70;height:70" filled="false" stroked="true" strokeweight=".72pt" strokecolor="#000000">
              <v:stroke dashstyle="solid"/>
            </v:rect>
            <w10:wrap type="none"/>
          </v:group>
        </w:pict>
      </w:r>
      <w:r>
        <w:rPr/>
        <w:pict>
          <v:group style="position:absolute;margin-left:428.399994pt;margin-top:-15.634343pt;width:4.2pt;height:4.2pt;mso-position-horizontal-relative:page;mso-position-vertical-relative:paragraph;z-index:-281252864" coordorigin="8568,-313" coordsize="84,84">
            <v:rect style="position:absolute;left:8575;top:-306;width:70;height:70" filled="true" fillcolor="#5b9bd4" stroked="false">
              <v:fill type="solid"/>
            </v:rect>
            <v:rect style="position:absolute;left:8575;top:-306;width:70;height:70" filled="false" stroked="true" strokeweight=".72pt" strokecolor="#000000">
              <v:stroke dashstyle="solid"/>
            </v:rect>
            <w10:wrap type="none"/>
          </v:group>
        </w:pict>
      </w:r>
      <w:r>
        <w:rPr/>
        <w:pict>
          <v:group style="position:absolute;margin-left:315pt;margin-top:-6.634343pt;width:4.2pt;height:4.2pt;mso-position-horizontal-relative:page;mso-position-vertical-relative:paragraph;z-index:252067840" coordorigin="6300,-133" coordsize="84,84">
            <v:rect style="position:absolute;left:6307;top:-126;width:70;height:70" filled="true" fillcolor="#a6a6a6" stroked="false">
              <v:fill type="solid"/>
            </v:rect>
            <v:rect style="position:absolute;left:6307;top:-126;width:70;height:70" filled="false" stroked="true" strokeweight=".72pt" strokecolor="#000000">
              <v:stroke dashstyle="solid"/>
            </v:rect>
            <w10:wrap type="none"/>
          </v:group>
        </w:pict>
      </w:r>
      <w:r>
        <w:rPr/>
        <w:pict>
          <v:group style="position:absolute;margin-left:428.399994pt;margin-top:-6.634343pt;width:4.2pt;height:4.2pt;mso-position-horizontal-relative:page;mso-position-vertical-relative:paragraph;z-index:-281250816" coordorigin="8568,-133" coordsize="84,84">
            <v:rect style="position:absolute;left:8575;top:-126;width:70;height:70" filled="true" fillcolor="#053852" stroked="false">
              <v:fill type="solid"/>
            </v:rect>
            <v:rect style="position:absolute;left:8575;top:-126;width:70;height:70" filled="false" stroked="true" strokeweight=".72pt" strokecolor="#000000">
              <v:stroke dashstyle="solid"/>
            </v:rect>
            <w10:wrap type="none"/>
          </v:group>
        </w:pict>
      </w:r>
      <w:r>
        <w:rPr/>
        <w:pict>
          <v:shape style="position:absolute;margin-left:310.544525pt;margin-top:7.694638pt;width:13.05pt;height:90.05pt;mso-position-horizontal-relative:page;mso-position-vertical-relative:paragraph;z-index:252085248" type="#_x0000_t202" filled="false" stroked="false">
            <v:textbox inset="0,0,0,0" style="layout-flow:vertical;mso-layout-flow-alt:bottom-to-top">
              <w:txbxContent>
                <w:p>
                  <w:pPr>
                    <w:spacing w:before="10"/>
                    <w:ind w:left="20" w:right="0" w:firstLine="0"/>
                    <w:jc w:val="left"/>
                    <w:rPr>
                      <w:sz w:val="20"/>
                    </w:rPr>
                  </w:pPr>
                  <w:r>
                    <w:rPr>
                      <w:color w:val="585858"/>
                      <w:sz w:val="20"/>
                    </w:rPr>
                    <w:t>En porcentaje del PIB</w:t>
                  </w:r>
                </w:p>
              </w:txbxContent>
            </v:textbox>
            <w10:wrap type="none"/>
          </v:shape>
        </w:pict>
      </w:r>
      <w:r>
        <w:rPr>
          <w:color w:val="585858"/>
          <w:sz w:val="18"/>
        </w:rPr>
        <w:t>40.0</w:t>
      </w:r>
    </w:p>
    <w:p>
      <w:pPr>
        <w:spacing w:after="0" w:line="207" w:lineRule="exact"/>
        <w:jc w:val="left"/>
        <w:rPr>
          <w:sz w:val="18"/>
        </w:rPr>
        <w:sectPr>
          <w:type w:val="continuous"/>
          <w:pgSz w:w="12240" w:h="15840"/>
          <w:pgMar w:top="1500" w:bottom="280" w:left="1140" w:right="0"/>
          <w:cols w:num="3" w:equalWidth="0">
            <w:col w:w="1082" w:space="40"/>
            <w:col w:w="3808" w:space="39"/>
            <w:col w:w="6131"/>
          </w:cols>
        </w:sectPr>
      </w:pPr>
    </w:p>
    <w:p>
      <w:pPr>
        <w:pStyle w:val="BodyText"/>
        <w:spacing w:before="8"/>
        <w:rPr>
          <w:sz w:val="18"/>
        </w:rPr>
      </w:pPr>
    </w:p>
    <w:p>
      <w:pPr>
        <w:spacing w:after="0"/>
        <w:rPr>
          <w:sz w:val="18"/>
        </w:rPr>
        <w:sectPr>
          <w:type w:val="continuous"/>
          <w:pgSz w:w="12240" w:h="15840"/>
          <w:pgMar w:top="1500" w:bottom="280" w:left="1140" w:right="0"/>
        </w:sectPr>
      </w:pPr>
    </w:p>
    <w:p>
      <w:pPr>
        <w:spacing w:before="92"/>
        <w:ind w:left="0" w:right="38" w:firstLine="0"/>
        <w:jc w:val="right"/>
        <w:rPr>
          <w:sz w:val="18"/>
        </w:rPr>
      </w:pPr>
      <w:r>
        <w:rPr>
          <w:color w:val="585858"/>
          <w:sz w:val="18"/>
        </w:rPr>
        <w:t>20.0</w:t>
      </w:r>
    </w:p>
    <w:p>
      <w:pPr>
        <w:pStyle w:val="BodyText"/>
        <w:spacing w:before="6"/>
        <w:rPr>
          <w:sz w:val="16"/>
        </w:rPr>
      </w:pPr>
      <w:r>
        <w:rPr/>
        <w:br w:type="column"/>
      </w:r>
      <w:r>
        <w:rPr>
          <w:sz w:val="16"/>
        </w:rPr>
      </w:r>
    </w:p>
    <w:p>
      <w:pPr>
        <w:spacing w:before="0"/>
        <w:ind w:left="766" w:right="0" w:firstLine="0"/>
        <w:jc w:val="left"/>
        <w:rPr>
          <w:sz w:val="18"/>
        </w:rPr>
      </w:pPr>
      <w:r>
        <w:rPr>
          <w:color w:val="585858"/>
          <w:sz w:val="18"/>
        </w:rPr>
        <w:t>20.0</w:t>
      </w:r>
    </w:p>
    <w:p>
      <w:pPr>
        <w:spacing w:after="0"/>
        <w:jc w:val="left"/>
        <w:rPr>
          <w:sz w:val="18"/>
        </w:rPr>
        <w:sectPr>
          <w:type w:val="continuous"/>
          <w:pgSz w:w="12240" w:h="15840"/>
          <w:pgMar w:top="1500" w:bottom="280" w:left="1140" w:right="0"/>
          <w:cols w:num="2" w:equalWidth="0">
            <w:col w:w="1122" w:space="3464"/>
            <w:col w:w="6514"/>
          </w:cols>
        </w:sectPr>
      </w:pPr>
    </w:p>
    <w:p>
      <w:pPr>
        <w:pStyle w:val="BodyText"/>
        <w:spacing w:before="2"/>
        <w:rPr>
          <w:sz w:val="10"/>
        </w:rPr>
      </w:pPr>
    </w:p>
    <w:p>
      <w:pPr>
        <w:spacing w:before="93" w:after="25"/>
        <w:ind w:left="932" w:right="0" w:firstLine="0"/>
        <w:jc w:val="left"/>
        <w:rPr>
          <w:sz w:val="18"/>
        </w:rPr>
      </w:pPr>
      <w:r>
        <w:rPr>
          <w:color w:val="585858"/>
          <w:sz w:val="18"/>
        </w:rPr>
        <w:t>-</w:t>
      </w:r>
    </w:p>
    <w:p>
      <w:pPr>
        <w:tabs>
          <w:tab w:pos="4665" w:val="left" w:leader="none"/>
        </w:tabs>
        <w:spacing w:line="240" w:lineRule="auto"/>
        <w:ind w:left="3892" w:right="0" w:firstLine="0"/>
        <w:rPr>
          <w:sz w:val="20"/>
        </w:rPr>
      </w:pPr>
      <w:r>
        <w:rPr>
          <w:sz w:val="20"/>
        </w:rPr>
        <w:drawing>
          <wp:inline distT="0" distB="0" distL="0" distR="0">
            <wp:extent cx="109537" cy="109537"/>
            <wp:effectExtent l="0" t="0" r="0" b="0"/>
            <wp:docPr id="13" name="image34.png"/>
            <wp:cNvGraphicFramePr>
              <a:graphicFrameLocks noChangeAspect="1"/>
            </wp:cNvGraphicFramePr>
            <a:graphic>
              <a:graphicData uri="http://schemas.openxmlformats.org/drawingml/2006/picture">
                <pic:pic>
                  <pic:nvPicPr>
                    <pic:cNvPr id="14" name="image34.png"/>
                    <pic:cNvPicPr/>
                  </pic:nvPicPr>
                  <pic:blipFill>
                    <a:blip r:embed="rId40" cstate="print"/>
                    <a:stretch>
                      <a:fillRect/>
                    </a:stretch>
                  </pic:blipFill>
                  <pic:spPr>
                    <a:xfrm>
                      <a:off x="0" y="0"/>
                      <a:ext cx="109537" cy="109537"/>
                    </a:xfrm>
                    <a:prstGeom prst="rect">
                      <a:avLst/>
                    </a:prstGeom>
                  </pic:spPr>
                </pic:pic>
              </a:graphicData>
            </a:graphic>
          </wp:inline>
        </w:drawing>
      </w:r>
      <w:r>
        <w:rPr>
          <w:sz w:val="20"/>
        </w:rPr>
      </w:r>
      <w:r>
        <w:rPr>
          <w:sz w:val="20"/>
        </w:rPr>
        <w:tab/>
      </w:r>
      <w:r>
        <w:rPr>
          <w:position w:val="8"/>
          <w:sz w:val="20"/>
        </w:rPr>
        <w:drawing>
          <wp:inline distT="0" distB="0" distL="0" distR="0">
            <wp:extent cx="109537" cy="109537"/>
            <wp:effectExtent l="0" t="0" r="0" b="0"/>
            <wp:docPr id="15" name="image34.png"/>
            <wp:cNvGraphicFramePr>
              <a:graphicFrameLocks noChangeAspect="1"/>
            </wp:cNvGraphicFramePr>
            <a:graphic>
              <a:graphicData uri="http://schemas.openxmlformats.org/drawingml/2006/picture">
                <pic:pic>
                  <pic:nvPicPr>
                    <pic:cNvPr id="16" name="image34.png"/>
                    <pic:cNvPicPr/>
                  </pic:nvPicPr>
                  <pic:blipFill>
                    <a:blip r:embed="rId40" cstate="print"/>
                    <a:stretch>
                      <a:fillRect/>
                    </a:stretch>
                  </pic:blipFill>
                  <pic:spPr>
                    <a:xfrm>
                      <a:off x="0" y="0"/>
                      <a:ext cx="109537" cy="109537"/>
                    </a:xfrm>
                    <a:prstGeom prst="rect">
                      <a:avLst/>
                    </a:prstGeom>
                  </pic:spPr>
                </pic:pic>
              </a:graphicData>
            </a:graphic>
          </wp:inline>
        </w:drawing>
      </w:r>
      <w:r>
        <w:rPr>
          <w:position w:val="8"/>
          <w:sz w:val="20"/>
        </w:rPr>
      </w:r>
    </w:p>
    <w:p>
      <w:pPr>
        <w:spacing w:after="0" w:line="240" w:lineRule="auto"/>
        <w:rPr>
          <w:sz w:val="20"/>
        </w:rPr>
        <w:sectPr>
          <w:type w:val="continuous"/>
          <w:pgSz w:w="12240" w:h="15840"/>
          <w:pgMar w:top="1500" w:bottom="280" w:left="1140" w:right="0"/>
        </w:sectPr>
      </w:pPr>
    </w:p>
    <w:p>
      <w:pPr>
        <w:spacing w:before="32"/>
        <w:ind w:left="706" w:right="0" w:firstLine="0"/>
        <w:jc w:val="left"/>
        <w:rPr>
          <w:sz w:val="18"/>
        </w:rPr>
      </w:pPr>
      <w:r>
        <w:rPr>
          <w:color w:val="585858"/>
          <w:spacing w:val="-1"/>
          <w:sz w:val="18"/>
        </w:rPr>
        <w:t>-20.0</w:t>
      </w:r>
    </w:p>
    <w:p>
      <w:pPr>
        <w:tabs>
          <w:tab w:pos="1229" w:val="left" w:leader="none"/>
        </w:tabs>
        <w:spacing w:line="206" w:lineRule="exact"/>
        <w:ind w:left="459" w:right="0" w:firstLine="0"/>
        <w:rPr>
          <w:sz w:val="17"/>
        </w:rPr>
      </w:pPr>
      <w:r>
        <w:rPr/>
        <w:br w:type="column"/>
      </w:r>
      <w:r>
        <w:rPr>
          <w:position w:val="-3"/>
          <w:sz w:val="17"/>
        </w:rPr>
        <w:drawing>
          <wp:inline distT="0" distB="0" distL="0" distR="0">
            <wp:extent cx="109537" cy="109537"/>
            <wp:effectExtent l="0" t="0" r="0" b="0"/>
            <wp:docPr id="17" name="image34.png"/>
            <wp:cNvGraphicFramePr>
              <a:graphicFrameLocks noChangeAspect="1"/>
            </wp:cNvGraphicFramePr>
            <a:graphic>
              <a:graphicData uri="http://schemas.openxmlformats.org/drawingml/2006/picture">
                <pic:pic>
                  <pic:nvPicPr>
                    <pic:cNvPr id="18" name="image34.png"/>
                    <pic:cNvPicPr/>
                  </pic:nvPicPr>
                  <pic:blipFill>
                    <a:blip r:embed="rId40" cstate="print"/>
                    <a:stretch>
                      <a:fillRect/>
                    </a:stretch>
                  </pic:blipFill>
                  <pic:spPr>
                    <a:xfrm>
                      <a:off x="0" y="0"/>
                      <a:ext cx="109537" cy="109537"/>
                    </a:xfrm>
                    <a:prstGeom prst="rect">
                      <a:avLst/>
                    </a:prstGeom>
                  </pic:spPr>
                </pic:pic>
              </a:graphicData>
            </a:graphic>
          </wp:inline>
        </w:drawing>
      </w:r>
      <w:r>
        <w:rPr>
          <w:position w:val="-3"/>
          <w:sz w:val="17"/>
        </w:rPr>
      </w:r>
      <w:r>
        <w:rPr>
          <w:position w:val="-3"/>
          <w:sz w:val="17"/>
        </w:rPr>
        <w:tab/>
      </w:r>
      <w:r>
        <w:rPr>
          <w:position w:val="0"/>
          <w:sz w:val="17"/>
        </w:rPr>
        <w:drawing>
          <wp:inline distT="0" distB="0" distL="0" distR="0">
            <wp:extent cx="109537" cy="109537"/>
            <wp:effectExtent l="0" t="0" r="0" b="0"/>
            <wp:docPr id="19" name="image34.png"/>
            <wp:cNvGraphicFramePr>
              <a:graphicFrameLocks noChangeAspect="1"/>
            </wp:cNvGraphicFramePr>
            <a:graphic>
              <a:graphicData uri="http://schemas.openxmlformats.org/drawingml/2006/picture">
                <pic:pic>
                  <pic:nvPicPr>
                    <pic:cNvPr id="20" name="image34.png"/>
                    <pic:cNvPicPr/>
                  </pic:nvPicPr>
                  <pic:blipFill>
                    <a:blip r:embed="rId40" cstate="print"/>
                    <a:stretch>
                      <a:fillRect/>
                    </a:stretch>
                  </pic:blipFill>
                  <pic:spPr>
                    <a:xfrm>
                      <a:off x="0" y="0"/>
                      <a:ext cx="109537" cy="109537"/>
                    </a:xfrm>
                    <a:prstGeom prst="rect">
                      <a:avLst/>
                    </a:prstGeom>
                  </pic:spPr>
                </pic:pic>
              </a:graphicData>
            </a:graphic>
          </wp:inline>
        </w:drawing>
      </w:r>
      <w:r>
        <w:rPr>
          <w:position w:val="0"/>
          <w:sz w:val="17"/>
        </w:rPr>
      </w:r>
    </w:p>
    <w:p>
      <w:pPr>
        <w:tabs>
          <w:tab w:pos="1136" w:val="left" w:leader="none"/>
          <w:tab w:pos="1908" w:val="left" w:leader="none"/>
          <w:tab w:pos="2680" w:val="left" w:leader="none"/>
          <w:tab w:pos="3452" w:val="left" w:leader="none"/>
        </w:tabs>
        <w:spacing w:line="132" w:lineRule="exact" w:before="37"/>
        <w:ind w:left="365" w:right="0" w:firstLine="0"/>
        <w:jc w:val="left"/>
        <w:rPr>
          <w:sz w:val="18"/>
        </w:rPr>
      </w:pPr>
      <w:r>
        <w:rPr/>
        <w:drawing>
          <wp:anchor distT="0" distB="0" distL="0" distR="0" allowOverlap="1" layoutInCell="1" locked="0" behindDoc="0" simplePos="0" relativeHeight="252056576">
            <wp:simplePos x="0" y="0"/>
            <wp:positionH relativeFrom="page">
              <wp:posOffset>2706497</wp:posOffset>
            </wp:positionH>
            <wp:positionV relativeFrom="paragraph">
              <wp:posOffset>-177008</wp:posOffset>
            </wp:positionV>
            <wp:extent cx="109728" cy="109727"/>
            <wp:effectExtent l="0" t="0" r="0" b="0"/>
            <wp:wrapNone/>
            <wp:docPr id="21" name="image34.png"/>
            <wp:cNvGraphicFramePr>
              <a:graphicFrameLocks noChangeAspect="1"/>
            </wp:cNvGraphicFramePr>
            <a:graphic>
              <a:graphicData uri="http://schemas.openxmlformats.org/drawingml/2006/picture">
                <pic:pic>
                  <pic:nvPicPr>
                    <pic:cNvPr id="22" name="image34.png"/>
                    <pic:cNvPicPr/>
                  </pic:nvPicPr>
                  <pic:blipFill>
                    <a:blip r:embed="rId40" cstate="print"/>
                    <a:stretch>
                      <a:fillRect/>
                    </a:stretch>
                  </pic:blipFill>
                  <pic:spPr>
                    <a:xfrm>
                      <a:off x="0" y="0"/>
                      <a:ext cx="109728" cy="109727"/>
                    </a:xfrm>
                    <a:prstGeom prst="rect">
                      <a:avLst/>
                    </a:prstGeom>
                  </pic:spPr>
                </pic:pic>
              </a:graphicData>
            </a:graphic>
          </wp:anchor>
        </w:drawing>
      </w:r>
      <w:r>
        <w:rPr>
          <w:color w:val="585858"/>
          <w:sz w:val="18"/>
        </w:rPr>
        <w:t>2017</w:t>
        <w:tab/>
        <w:t>2018</w:t>
        <w:tab/>
        <w:t>2019</w:t>
        <w:tab/>
        <w:t>2020</w:t>
        <w:tab/>
      </w:r>
      <w:r>
        <w:rPr>
          <w:color w:val="585858"/>
          <w:spacing w:val="-5"/>
          <w:sz w:val="18"/>
        </w:rPr>
        <w:t>2021</w:t>
      </w:r>
    </w:p>
    <w:p>
      <w:pPr>
        <w:spacing w:line="185" w:lineRule="exact" w:before="0"/>
        <w:ind w:left="545" w:right="0" w:firstLine="0"/>
        <w:jc w:val="left"/>
        <w:rPr>
          <w:sz w:val="18"/>
        </w:rPr>
      </w:pPr>
      <w:r>
        <w:rPr/>
        <w:br w:type="column"/>
      </w:r>
      <w:r>
        <w:rPr>
          <w:color w:val="585858"/>
          <w:sz w:val="18"/>
        </w:rPr>
        <w:t>-</w:t>
      </w:r>
    </w:p>
    <w:p>
      <w:pPr>
        <w:tabs>
          <w:tab w:pos="1770" w:val="left" w:leader="none"/>
          <w:tab w:pos="2475" w:val="left" w:leader="none"/>
          <w:tab w:pos="3180" w:val="left" w:leader="none"/>
          <w:tab w:pos="3885" w:val="left" w:leader="none"/>
        </w:tabs>
        <w:spacing w:line="186" w:lineRule="exact" w:before="4"/>
        <w:ind w:left="1065" w:right="0" w:firstLine="0"/>
        <w:jc w:val="left"/>
        <w:rPr>
          <w:sz w:val="18"/>
        </w:rPr>
      </w:pPr>
      <w:r>
        <w:rPr>
          <w:color w:val="585858"/>
          <w:sz w:val="18"/>
        </w:rPr>
        <w:t>2017</w:t>
        <w:tab/>
        <w:t>2018</w:t>
        <w:tab/>
        <w:t>2019</w:t>
        <w:tab/>
        <w:t>2020</w:t>
        <w:tab/>
        <w:t>2021</w:t>
      </w:r>
    </w:p>
    <w:p>
      <w:pPr>
        <w:spacing w:after="0" w:line="186" w:lineRule="exact"/>
        <w:jc w:val="left"/>
        <w:rPr>
          <w:sz w:val="18"/>
        </w:rPr>
        <w:sectPr>
          <w:type w:val="continuous"/>
          <w:pgSz w:w="12240" w:h="15840"/>
          <w:pgMar w:top="1500" w:bottom="280" w:left="1140" w:right="0"/>
          <w:cols w:num="3" w:equalWidth="0">
            <w:col w:w="1080" w:space="40"/>
            <w:col w:w="3814" w:space="39"/>
            <w:col w:w="6127"/>
          </w:cols>
        </w:sectPr>
      </w:pPr>
    </w:p>
    <w:p>
      <w:pPr>
        <w:spacing w:before="89"/>
        <w:ind w:left="934" w:right="0" w:firstLine="0"/>
        <w:jc w:val="left"/>
        <w:rPr>
          <w:sz w:val="18"/>
        </w:rPr>
      </w:pPr>
      <w:r>
        <w:rPr>
          <w:sz w:val="18"/>
        </w:rPr>
        <w:t>Fuente: Banco de Guatemala</w:t>
      </w:r>
    </w:p>
    <w:p>
      <w:pPr>
        <w:spacing w:line="200" w:lineRule="exact" w:before="0"/>
        <w:ind w:left="934" w:right="0" w:firstLine="0"/>
        <w:jc w:val="left"/>
        <w:rPr>
          <w:sz w:val="18"/>
        </w:rPr>
      </w:pPr>
      <w:r>
        <w:rPr/>
        <w:br w:type="column"/>
      </w:r>
      <w:r>
        <w:rPr>
          <w:sz w:val="18"/>
        </w:rPr>
        <w:t>Fuente: Banco de Guatemala</w:t>
      </w:r>
    </w:p>
    <w:p>
      <w:pPr>
        <w:spacing w:after="0" w:line="200" w:lineRule="exact"/>
        <w:jc w:val="left"/>
        <w:rPr>
          <w:sz w:val="18"/>
        </w:rPr>
        <w:sectPr>
          <w:type w:val="continuous"/>
          <w:pgSz w:w="12240" w:h="15840"/>
          <w:pgMar w:top="1500" w:bottom="280" w:left="1140" w:right="0"/>
          <w:cols w:num="2" w:equalWidth="0">
            <w:col w:w="3053" w:space="1310"/>
            <w:col w:w="6737"/>
          </w:cols>
        </w:sectPr>
      </w:pPr>
    </w:p>
    <w:p>
      <w:pPr>
        <w:pStyle w:val="BodyText"/>
        <w:spacing w:before="1"/>
        <w:rPr>
          <w:sz w:val="21"/>
        </w:rPr>
      </w:pPr>
    </w:p>
    <w:p>
      <w:pPr>
        <w:pStyle w:val="Heading2"/>
        <w:tabs>
          <w:tab w:pos="1694" w:val="left" w:leader="none"/>
        </w:tabs>
        <w:spacing w:before="90"/>
        <w:ind w:left="974"/>
      </w:pPr>
      <w:bookmarkStart w:name="_bookmark66" w:id="87"/>
      <w:bookmarkEnd w:id="87"/>
      <w:r>
        <w:rPr>
          <w:b w:val="0"/>
        </w:rPr>
      </w:r>
      <w:r>
        <w:rPr/>
        <w:t>3.3.3</w:t>
        <w:tab/>
        <w:t>Tipo de</w:t>
      </w:r>
      <w:r>
        <w:rPr>
          <w:spacing w:val="-2"/>
        </w:rPr>
        <w:t> </w:t>
      </w:r>
      <w:r>
        <w:rPr/>
        <w:t>cambio</w:t>
      </w:r>
    </w:p>
    <w:p>
      <w:pPr>
        <w:pStyle w:val="BodyText"/>
        <w:rPr>
          <w:b/>
          <w:sz w:val="30"/>
        </w:rPr>
      </w:pPr>
    </w:p>
    <w:p>
      <w:pPr>
        <w:pStyle w:val="BodyText"/>
        <w:spacing w:line="276" w:lineRule="auto" w:before="1"/>
        <w:ind w:left="562" w:right="1697"/>
        <w:jc w:val="both"/>
      </w:pPr>
      <w:r>
        <w:rPr/>
        <w:t>El tipo de cambio nominal de referencia se ha mantenido estable en el largo plazo, mostrando una muy</w:t>
      </w:r>
      <w:r>
        <w:rPr>
          <w:spacing w:val="-8"/>
        </w:rPr>
        <w:t> </w:t>
      </w:r>
      <w:r>
        <w:rPr/>
        <w:t>leve</w:t>
      </w:r>
      <w:r>
        <w:rPr>
          <w:spacing w:val="-4"/>
        </w:rPr>
        <w:t> </w:t>
      </w:r>
      <w:r>
        <w:rPr/>
        <w:t>depreciación</w:t>
      </w:r>
      <w:r>
        <w:rPr>
          <w:spacing w:val="-5"/>
        </w:rPr>
        <w:t> </w:t>
      </w:r>
      <w:r>
        <w:rPr/>
        <w:t>del</w:t>
      </w:r>
      <w:r>
        <w:rPr>
          <w:spacing w:val="-4"/>
        </w:rPr>
        <w:t> </w:t>
      </w:r>
      <w:r>
        <w:rPr/>
        <w:t>año</w:t>
      </w:r>
      <w:r>
        <w:rPr>
          <w:spacing w:val="-5"/>
        </w:rPr>
        <w:t> </w:t>
      </w:r>
      <w:r>
        <w:rPr/>
        <w:t>2013</w:t>
      </w:r>
      <w:r>
        <w:rPr>
          <w:spacing w:val="-5"/>
        </w:rPr>
        <w:t> </w:t>
      </w:r>
      <w:r>
        <w:rPr/>
        <w:t>hasta</w:t>
      </w:r>
      <w:r>
        <w:rPr>
          <w:spacing w:val="-7"/>
        </w:rPr>
        <w:t> </w:t>
      </w:r>
      <w:r>
        <w:rPr/>
        <w:t>el</w:t>
      </w:r>
      <w:r>
        <w:rPr>
          <w:spacing w:val="-4"/>
        </w:rPr>
        <w:t> </w:t>
      </w:r>
      <w:r>
        <w:rPr/>
        <w:t>año</w:t>
      </w:r>
      <w:r>
        <w:rPr>
          <w:spacing w:val="-5"/>
        </w:rPr>
        <w:t> </w:t>
      </w:r>
      <w:r>
        <w:rPr/>
        <w:t>2020,</w:t>
      </w:r>
      <w:r>
        <w:rPr>
          <w:spacing w:val="-8"/>
        </w:rPr>
        <w:t> </w:t>
      </w:r>
      <w:r>
        <w:rPr/>
        <w:t>en</w:t>
      </w:r>
      <w:r>
        <w:rPr>
          <w:spacing w:val="-5"/>
        </w:rPr>
        <w:t> </w:t>
      </w:r>
      <w:r>
        <w:rPr/>
        <w:t>donde</w:t>
      </w:r>
      <w:r>
        <w:rPr>
          <w:spacing w:val="-4"/>
        </w:rPr>
        <w:t> </w:t>
      </w:r>
      <w:r>
        <w:rPr/>
        <w:t>pasó</w:t>
      </w:r>
      <w:r>
        <w:rPr>
          <w:spacing w:val="-5"/>
        </w:rPr>
        <w:t> </w:t>
      </w:r>
      <w:r>
        <w:rPr/>
        <w:t>de</w:t>
      </w:r>
      <w:r>
        <w:rPr>
          <w:spacing w:val="-5"/>
        </w:rPr>
        <w:t> </w:t>
      </w:r>
      <w:r>
        <w:rPr/>
        <w:t>Q7.84</w:t>
      </w:r>
      <w:r>
        <w:rPr>
          <w:spacing w:val="-5"/>
        </w:rPr>
        <w:t> </w:t>
      </w:r>
      <w:r>
        <w:rPr/>
        <w:t>a</w:t>
      </w:r>
      <w:r>
        <w:rPr>
          <w:spacing w:val="-7"/>
        </w:rPr>
        <w:t> </w:t>
      </w:r>
      <w:r>
        <w:rPr/>
        <w:t>Q7.79.</w:t>
      </w:r>
      <w:r>
        <w:rPr>
          <w:spacing w:val="-5"/>
        </w:rPr>
        <w:t> </w:t>
      </w:r>
      <w:r>
        <w:rPr/>
        <w:t>A</w:t>
      </w:r>
      <w:r>
        <w:rPr>
          <w:spacing w:val="-6"/>
        </w:rPr>
        <w:t> </w:t>
      </w:r>
      <w:r>
        <w:rPr/>
        <w:t>pesar,</w:t>
      </w:r>
      <w:r>
        <w:rPr>
          <w:spacing w:val="-5"/>
        </w:rPr>
        <w:t> </w:t>
      </w:r>
      <w:r>
        <w:rPr/>
        <w:t>del aumento constante del déficit de la balanza comercial debido a que las importaciones han mostrado un crecimiento mayor que las exportaciones en el tiempo, el fuerte incremento de las remesas familiares ha compensado dicho déficit en la economía y estabilizado el tipo de cambio</w:t>
      </w:r>
      <w:r>
        <w:rPr>
          <w:spacing w:val="-21"/>
        </w:rPr>
        <w:t> </w:t>
      </w:r>
      <w:r>
        <w:rPr/>
        <w:t>nominal.</w:t>
      </w:r>
    </w:p>
    <w:p>
      <w:pPr>
        <w:pStyle w:val="BodyText"/>
        <w:spacing w:before="2"/>
        <w:rPr>
          <w:sz w:val="25"/>
        </w:rPr>
      </w:pPr>
    </w:p>
    <w:p>
      <w:pPr>
        <w:pStyle w:val="BodyText"/>
        <w:spacing w:line="276" w:lineRule="auto"/>
        <w:ind w:left="562" w:right="1695"/>
        <w:jc w:val="both"/>
      </w:pPr>
      <w:r>
        <w:rPr/>
        <w:t>El tipo de cambio de referencia con respecto al dólar que se registró al 31 de diciembre de 2021 fue de Q7.72, con una apreciación del 1.0% con respecto al registrado el último día del año 2020. Al principio del 2021, el tipo de cambio mostró una leve tendencia hacia la apreciación hasta el mes de marzo y posteriormente se estabilizó con valores alrededor de Q7.73. Es importante indicar también que el Banco de Guatemala participó en el mercado en 2021 con compras de US$2,202.9 millones, de</w:t>
      </w:r>
      <w:r>
        <w:rPr>
          <w:spacing w:val="-14"/>
        </w:rPr>
        <w:t> </w:t>
      </w:r>
      <w:r>
        <w:rPr/>
        <w:t>las</w:t>
      </w:r>
      <w:r>
        <w:rPr>
          <w:spacing w:val="-12"/>
        </w:rPr>
        <w:t> </w:t>
      </w:r>
      <w:r>
        <w:rPr/>
        <w:t>cuales</w:t>
      </w:r>
      <w:r>
        <w:rPr>
          <w:spacing w:val="-10"/>
        </w:rPr>
        <w:t> </w:t>
      </w:r>
      <w:r>
        <w:rPr/>
        <w:t>US$1,500.0</w:t>
      </w:r>
      <w:r>
        <w:rPr>
          <w:spacing w:val="-14"/>
        </w:rPr>
        <w:t> </w:t>
      </w:r>
      <w:r>
        <w:rPr/>
        <w:t>millones</w:t>
      </w:r>
      <w:r>
        <w:rPr>
          <w:spacing w:val="-13"/>
        </w:rPr>
        <w:t> </w:t>
      </w:r>
      <w:r>
        <w:rPr/>
        <w:t>fueron</w:t>
      </w:r>
      <w:r>
        <w:rPr>
          <w:spacing w:val="-13"/>
        </w:rPr>
        <w:t> </w:t>
      </w:r>
      <w:r>
        <w:rPr/>
        <w:t>por</w:t>
      </w:r>
      <w:r>
        <w:rPr>
          <w:spacing w:val="-13"/>
        </w:rPr>
        <w:t> </w:t>
      </w:r>
      <w:r>
        <w:rPr/>
        <w:t>acumulación</w:t>
      </w:r>
      <w:r>
        <w:rPr>
          <w:spacing w:val="-13"/>
        </w:rPr>
        <w:t> </w:t>
      </w:r>
      <w:r>
        <w:rPr/>
        <w:t>de</w:t>
      </w:r>
      <w:r>
        <w:rPr>
          <w:spacing w:val="-13"/>
        </w:rPr>
        <w:t> </w:t>
      </w:r>
      <w:r>
        <w:rPr/>
        <w:t>reservas</w:t>
      </w:r>
      <w:r>
        <w:rPr>
          <w:spacing w:val="-12"/>
        </w:rPr>
        <w:t> </w:t>
      </w:r>
      <w:r>
        <w:rPr/>
        <w:t>y</w:t>
      </w:r>
      <w:r>
        <w:rPr>
          <w:spacing w:val="-14"/>
        </w:rPr>
        <w:t> </w:t>
      </w:r>
      <w:r>
        <w:rPr/>
        <w:t>US$702.9</w:t>
      </w:r>
      <w:r>
        <w:rPr>
          <w:spacing w:val="-16"/>
        </w:rPr>
        <w:t> </w:t>
      </w:r>
      <w:r>
        <w:rPr/>
        <w:t>millones</w:t>
      </w:r>
      <w:r>
        <w:rPr>
          <w:spacing w:val="-12"/>
        </w:rPr>
        <w:t> </w:t>
      </w:r>
      <w:r>
        <w:rPr/>
        <w:t>por</w:t>
      </w:r>
      <w:r>
        <w:rPr>
          <w:spacing w:val="-13"/>
        </w:rPr>
        <w:t> </w:t>
      </w:r>
      <w:r>
        <w:rPr/>
        <w:t>regla cambiaria.</w:t>
      </w:r>
    </w:p>
    <w:p>
      <w:pPr>
        <w:pStyle w:val="BodyText"/>
        <w:spacing w:before="7"/>
        <w:rPr>
          <w:sz w:val="17"/>
        </w:rPr>
      </w:pPr>
    </w:p>
    <w:p>
      <w:pPr>
        <w:spacing w:before="92"/>
        <w:ind w:left="2798" w:right="0" w:firstLine="0"/>
        <w:jc w:val="left"/>
        <w:rPr>
          <w:b/>
          <w:sz w:val="22"/>
        </w:rPr>
      </w:pPr>
      <w:bookmarkStart w:name="_bookmark67" w:id="88"/>
      <w:bookmarkEnd w:id="88"/>
      <w:r>
        <w:rPr/>
      </w:r>
      <w:r>
        <w:rPr>
          <w:b/>
          <w:i/>
          <w:sz w:val="22"/>
        </w:rPr>
        <w:t>Gráfico 29 </w:t>
      </w:r>
      <w:r>
        <w:rPr>
          <w:b/>
          <w:sz w:val="22"/>
        </w:rPr>
        <w:t>Tipo de cambio de referencia (Q/$)</w:t>
      </w:r>
    </w:p>
    <w:p>
      <w:pPr>
        <w:tabs>
          <w:tab w:pos="6565" w:val="left" w:leader="none"/>
        </w:tabs>
        <w:spacing w:before="203"/>
        <w:ind w:left="1526" w:right="0" w:firstLine="0"/>
        <w:jc w:val="left"/>
        <w:rPr>
          <w:b/>
          <w:sz w:val="20"/>
        </w:rPr>
      </w:pPr>
      <w:r>
        <w:rPr>
          <w:b/>
          <w:sz w:val="20"/>
        </w:rPr>
        <w:t>Último día del</w:t>
      </w:r>
      <w:r>
        <w:rPr>
          <w:b/>
          <w:spacing w:val="-7"/>
          <w:sz w:val="20"/>
        </w:rPr>
        <w:t> </w:t>
      </w:r>
      <w:r>
        <w:rPr>
          <w:b/>
          <w:sz w:val="20"/>
        </w:rPr>
        <w:t>año</w:t>
      </w:r>
      <w:r>
        <w:rPr>
          <w:b/>
          <w:spacing w:val="-2"/>
          <w:sz w:val="20"/>
        </w:rPr>
        <w:t> </w:t>
      </w:r>
      <w:r>
        <w:rPr>
          <w:b/>
          <w:sz w:val="20"/>
        </w:rPr>
        <w:t>2013-2021</w:t>
        <w:tab/>
        <w:t>En el año</w:t>
      </w:r>
      <w:r>
        <w:rPr>
          <w:b/>
          <w:spacing w:val="-2"/>
          <w:sz w:val="20"/>
        </w:rPr>
        <w:t> </w:t>
      </w:r>
      <w:r>
        <w:rPr>
          <w:b/>
          <w:sz w:val="20"/>
        </w:rPr>
        <w:t>2021</w:t>
      </w:r>
    </w:p>
    <w:p>
      <w:pPr>
        <w:tabs>
          <w:tab w:pos="5168" w:val="left" w:leader="none"/>
        </w:tabs>
        <w:spacing w:before="156"/>
        <w:ind w:left="748" w:right="0" w:firstLine="0"/>
        <w:jc w:val="left"/>
        <w:rPr>
          <w:sz w:val="16"/>
        </w:rPr>
      </w:pPr>
      <w:r>
        <w:rPr>
          <w:color w:val="585858"/>
          <w:sz w:val="16"/>
        </w:rPr>
        <w:t>8.50</w:t>
        <w:tab/>
        <w:t>7.90</w:t>
      </w:r>
    </w:p>
    <w:p>
      <w:pPr>
        <w:spacing w:after="0"/>
        <w:jc w:val="left"/>
        <w:rPr>
          <w:sz w:val="16"/>
        </w:rPr>
        <w:sectPr>
          <w:type w:val="continuous"/>
          <w:pgSz w:w="12240" w:h="15840"/>
          <w:pgMar w:top="1500" w:bottom="280" w:left="1140" w:right="0"/>
        </w:sectPr>
      </w:pPr>
    </w:p>
    <w:p>
      <w:pPr>
        <w:pStyle w:val="BodyText"/>
        <w:spacing w:before="6"/>
        <w:rPr>
          <w:sz w:val="24"/>
        </w:rPr>
      </w:pPr>
    </w:p>
    <w:p>
      <w:pPr>
        <w:spacing w:before="0"/>
        <w:ind w:left="0" w:right="0" w:firstLine="0"/>
        <w:jc w:val="right"/>
        <w:rPr>
          <w:sz w:val="16"/>
        </w:rPr>
      </w:pPr>
      <w:r>
        <w:rPr>
          <w:color w:val="585858"/>
          <w:spacing w:val="-1"/>
          <w:sz w:val="16"/>
        </w:rPr>
        <w:t>8.10</w:t>
      </w:r>
    </w:p>
    <w:p>
      <w:pPr>
        <w:pStyle w:val="BodyText"/>
        <w:spacing w:before="5"/>
        <w:rPr>
          <w:sz w:val="24"/>
        </w:rPr>
      </w:pPr>
    </w:p>
    <w:p>
      <w:pPr>
        <w:spacing w:before="1"/>
        <w:ind w:left="0" w:right="0" w:firstLine="0"/>
        <w:jc w:val="right"/>
        <w:rPr>
          <w:sz w:val="16"/>
        </w:rPr>
      </w:pPr>
      <w:r>
        <w:rPr>
          <w:color w:val="585858"/>
          <w:spacing w:val="-1"/>
          <w:sz w:val="16"/>
        </w:rPr>
        <w:t>7.70</w:t>
      </w:r>
    </w:p>
    <w:p>
      <w:pPr>
        <w:pStyle w:val="BodyText"/>
        <w:spacing w:before="6"/>
        <w:rPr>
          <w:sz w:val="24"/>
        </w:rPr>
      </w:pPr>
    </w:p>
    <w:p>
      <w:pPr>
        <w:spacing w:before="0"/>
        <w:ind w:left="0" w:right="0" w:firstLine="0"/>
        <w:jc w:val="right"/>
        <w:rPr>
          <w:sz w:val="16"/>
        </w:rPr>
      </w:pPr>
      <w:r>
        <w:rPr>
          <w:color w:val="585858"/>
          <w:spacing w:val="-1"/>
          <w:sz w:val="16"/>
        </w:rPr>
        <w:t>7.30</w:t>
      </w:r>
    </w:p>
    <w:p>
      <w:pPr>
        <w:pStyle w:val="BodyText"/>
        <w:spacing w:before="5"/>
        <w:rPr>
          <w:sz w:val="24"/>
        </w:rPr>
      </w:pPr>
    </w:p>
    <w:p>
      <w:pPr>
        <w:spacing w:before="0"/>
        <w:ind w:left="0" w:right="0" w:firstLine="0"/>
        <w:jc w:val="right"/>
        <w:rPr>
          <w:sz w:val="16"/>
        </w:rPr>
      </w:pPr>
      <w:r>
        <w:rPr>
          <w:color w:val="585858"/>
          <w:spacing w:val="-1"/>
          <w:sz w:val="16"/>
        </w:rPr>
        <w:t>6.90</w:t>
      </w:r>
    </w:p>
    <w:p>
      <w:pPr>
        <w:pStyle w:val="BodyText"/>
        <w:rPr>
          <w:sz w:val="18"/>
        </w:rPr>
      </w:pPr>
      <w:r>
        <w:rPr/>
        <w:br w:type="column"/>
      </w:r>
      <w:r>
        <w:rPr>
          <w:sz w:val="18"/>
        </w:rPr>
      </w:r>
    </w:p>
    <w:p>
      <w:pPr>
        <w:pStyle w:val="BodyText"/>
        <w:rPr>
          <w:sz w:val="18"/>
        </w:rPr>
      </w:pPr>
    </w:p>
    <w:p>
      <w:pPr>
        <w:pStyle w:val="BodyText"/>
        <w:spacing w:before="4"/>
        <w:rPr>
          <w:sz w:val="15"/>
        </w:rPr>
      </w:pPr>
    </w:p>
    <w:p>
      <w:pPr>
        <w:spacing w:before="1"/>
        <w:ind w:left="555" w:right="0" w:firstLine="0"/>
        <w:jc w:val="left"/>
        <w:rPr>
          <w:b/>
          <w:sz w:val="16"/>
        </w:rPr>
      </w:pPr>
      <w:r>
        <w:rPr>
          <w:b/>
          <w:color w:val="001F5F"/>
          <w:sz w:val="16"/>
        </w:rPr>
        <w:t>7.84</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rPr>
          <w:b/>
          <w:sz w:val="18"/>
        </w:rPr>
      </w:pPr>
    </w:p>
    <w:p>
      <w:pPr>
        <w:spacing w:before="109"/>
        <w:ind w:left="-38" w:right="0" w:firstLine="0"/>
        <w:jc w:val="left"/>
        <w:rPr>
          <w:b/>
          <w:sz w:val="16"/>
        </w:rPr>
      </w:pPr>
      <w:r>
        <w:rPr>
          <w:b/>
          <w:color w:val="001F5F"/>
          <w:sz w:val="16"/>
        </w:rPr>
        <w:t>7.60</w:t>
      </w:r>
    </w:p>
    <w:p>
      <w:pPr>
        <w:pStyle w:val="BodyText"/>
        <w:rPr>
          <w:b/>
          <w:sz w:val="18"/>
        </w:rPr>
      </w:pPr>
      <w:r>
        <w:rPr/>
        <w:br w:type="column"/>
      </w:r>
      <w:r>
        <w:rPr>
          <w:b/>
          <w:sz w:val="18"/>
        </w:rPr>
      </w:r>
    </w:p>
    <w:p>
      <w:pPr>
        <w:pStyle w:val="BodyText"/>
        <w:rPr>
          <w:b/>
          <w:sz w:val="18"/>
        </w:rPr>
      </w:pPr>
    </w:p>
    <w:p>
      <w:pPr>
        <w:pStyle w:val="BodyText"/>
        <w:spacing w:before="2"/>
        <w:rPr>
          <w:b/>
          <w:sz w:val="20"/>
        </w:rPr>
      </w:pPr>
    </w:p>
    <w:p>
      <w:pPr>
        <w:spacing w:before="0"/>
        <w:ind w:left="87" w:right="0" w:firstLine="0"/>
        <w:jc w:val="left"/>
        <w:rPr>
          <w:b/>
          <w:sz w:val="16"/>
        </w:rPr>
      </w:pPr>
      <w:r>
        <w:rPr>
          <w:b/>
          <w:color w:val="001F5F"/>
          <w:sz w:val="16"/>
        </w:rPr>
        <w:t>7.63</w:t>
      </w:r>
    </w:p>
    <w:p>
      <w:pPr>
        <w:pStyle w:val="BodyText"/>
        <w:rPr>
          <w:b/>
          <w:sz w:val="18"/>
        </w:rPr>
      </w:pPr>
    </w:p>
    <w:p>
      <w:pPr>
        <w:spacing w:before="158"/>
        <w:ind w:left="334" w:right="0" w:firstLine="0"/>
        <w:jc w:val="left"/>
        <w:rPr>
          <w:b/>
          <w:sz w:val="16"/>
        </w:rPr>
      </w:pPr>
      <w:r>
        <w:rPr>
          <w:b/>
          <w:color w:val="001F5F"/>
          <w:sz w:val="16"/>
        </w:rPr>
        <w:t>7.52</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spacing w:before="160"/>
        <w:ind w:left="100" w:right="0" w:firstLine="0"/>
        <w:jc w:val="left"/>
        <w:rPr>
          <w:b/>
          <w:sz w:val="16"/>
        </w:rPr>
      </w:pPr>
      <w:r>
        <w:rPr>
          <w:b/>
          <w:color w:val="001F5F"/>
          <w:sz w:val="16"/>
        </w:rPr>
        <w:t>7.34</w:t>
      </w:r>
    </w:p>
    <w:p>
      <w:pPr>
        <w:pStyle w:val="BodyText"/>
        <w:rPr>
          <w:b/>
          <w:sz w:val="36"/>
        </w:rPr>
      </w:pPr>
      <w:r>
        <w:rPr/>
        <w:br w:type="column"/>
      </w:r>
      <w:r>
        <w:rPr>
          <w:b/>
          <w:sz w:val="36"/>
        </w:rPr>
      </w:r>
    </w:p>
    <w:p>
      <w:pPr>
        <w:spacing w:before="1"/>
        <w:ind w:left="100" w:right="0" w:firstLine="0"/>
        <w:jc w:val="left"/>
        <w:rPr>
          <w:b/>
          <w:sz w:val="16"/>
        </w:rPr>
      </w:pPr>
      <w:r>
        <w:rPr>
          <w:b/>
          <w:color w:val="001F5F"/>
          <w:position w:val="-6"/>
          <w:sz w:val="16"/>
        </w:rPr>
        <w:t>7.74 </w:t>
      </w:r>
      <w:r>
        <w:rPr>
          <w:b/>
          <w:color w:val="001F5F"/>
          <w:position w:val="-10"/>
          <w:sz w:val="16"/>
        </w:rPr>
        <w:t>7.70 </w:t>
      </w:r>
      <w:r>
        <w:rPr>
          <w:b/>
          <w:color w:val="001F5F"/>
          <w:sz w:val="16"/>
        </w:rPr>
        <w:t>7.79</w:t>
      </w:r>
    </w:p>
    <w:p>
      <w:pPr>
        <w:pStyle w:val="BodyText"/>
        <w:spacing w:before="6"/>
        <w:rPr>
          <w:b/>
          <w:sz w:val="32"/>
        </w:rPr>
      </w:pPr>
    </w:p>
    <w:p>
      <w:pPr>
        <w:spacing w:before="0"/>
        <w:ind w:left="86" w:right="0" w:firstLine="0"/>
        <w:jc w:val="left"/>
        <w:rPr>
          <w:b/>
          <w:sz w:val="18"/>
        </w:rPr>
      </w:pPr>
      <w:r>
        <w:rPr/>
        <w:pict>
          <v:group style="position:absolute;margin-left:126.599998pt;margin-top:-21.18766pt;width:172.2pt;height:31.55pt;mso-position-horizontal-relative:page;mso-position-vertical-relative:paragraph;z-index:-281248768" coordorigin="2532,-424" coordsize="3444,631">
            <v:shape style="position:absolute;left:2554;top:-401;width:3399;height:585" coordorigin="2555,-401" coordsize="3399,585" path="m2555,-401l2615,-357,2676,-310,2737,-261,2798,-215,2858,-173,2919,-139,2980,-115,3050,-105,3121,-111,3192,-126,3263,-144,3334,-156,3404,-157,3475,-146,3546,-130,3617,-108,3688,-83,3758,-56,3829,-28,3890,3,3951,45,4011,90,4072,132,4133,166,4193,183,4254,179,4348,112,4396,57,4443,-7,4490,-73,4537,-139,4584,-198,4632,-247,4679,-279,4750,-299,4820,-296,4891,-279,4962,-257,5033,-239,5104,-235,5174,-246,5245,-267,5316,-293,5387,-317,5458,-337,5528,-345,5599,-342,5670,-331,5741,-314,5812,-295,5882,-275,5953,-258e" filled="false" stroked="true" strokeweight="2.280pt" strokecolor="#001f5f">
              <v:path arrowok="t"/>
              <v:stroke dashstyle="solid"/>
            </v:shape>
            <v:line style="position:absolute" from="3806,-142" to="5551,-142" stroked="true" strokeweight="2.280pt" strokecolor="#ec7c30">
              <v:stroke dashstyle="solid"/>
            </v:line>
            <w10:wrap type="none"/>
          </v:group>
        </w:pict>
      </w:r>
      <w:r>
        <w:rPr>
          <w:b/>
          <w:color w:val="EC7C30"/>
          <w:sz w:val="18"/>
        </w:rPr>
        <w:t>7.62</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spacing w:before="126"/>
        <w:ind w:left="13" w:right="0" w:firstLine="0"/>
        <w:jc w:val="left"/>
        <w:rPr>
          <w:b/>
          <w:sz w:val="16"/>
        </w:rPr>
      </w:pPr>
      <w:r>
        <w:rPr>
          <w:b/>
          <w:color w:val="001F5F"/>
          <w:sz w:val="16"/>
        </w:rPr>
        <w:t>7.72</w:t>
      </w:r>
    </w:p>
    <w:p>
      <w:pPr>
        <w:pStyle w:val="BodyText"/>
        <w:spacing w:before="10"/>
        <w:rPr>
          <w:b/>
          <w:sz w:val="26"/>
        </w:rPr>
      </w:pPr>
      <w:r>
        <w:rPr/>
        <w:br w:type="column"/>
      </w:r>
      <w:r>
        <w:rPr>
          <w:b/>
          <w:sz w:val="26"/>
        </w:rPr>
      </w:r>
    </w:p>
    <w:p>
      <w:pPr>
        <w:spacing w:before="0"/>
        <w:ind w:left="240" w:right="0" w:firstLine="0"/>
        <w:jc w:val="left"/>
        <w:rPr>
          <w:sz w:val="16"/>
        </w:rPr>
      </w:pPr>
      <w:r>
        <w:rPr>
          <w:color w:val="585858"/>
          <w:spacing w:val="-1"/>
          <w:sz w:val="16"/>
        </w:rPr>
        <w:t>7.80</w:t>
      </w:r>
    </w:p>
    <w:p>
      <w:pPr>
        <w:pStyle w:val="BodyText"/>
        <w:spacing w:before="9"/>
        <w:rPr>
          <w:sz w:val="26"/>
        </w:rPr>
      </w:pPr>
    </w:p>
    <w:p>
      <w:pPr>
        <w:spacing w:before="0"/>
        <w:ind w:left="240" w:right="0" w:firstLine="0"/>
        <w:jc w:val="left"/>
        <w:rPr>
          <w:sz w:val="16"/>
        </w:rPr>
      </w:pPr>
      <w:r>
        <w:rPr>
          <w:color w:val="585858"/>
          <w:spacing w:val="-1"/>
          <w:sz w:val="16"/>
        </w:rPr>
        <w:t>7.70</w:t>
      </w:r>
    </w:p>
    <w:p>
      <w:pPr>
        <w:pStyle w:val="BodyText"/>
        <w:spacing w:before="10"/>
        <w:rPr>
          <w:sz w:val="26"/>
        </w:rPr>
      </w:pPr>
    </w:p>
    <w:p>
      <w:pPr>
        <w:spacing w:before="0"/>
        <w:ind w:left="240" w:right="0" w:firstLine="0"/>
        <w:jc w:val="left"/>
        <w:rPr>
          <w:sz w:val="16"/>
        </w:rPr>
      </w:pPr>
      <w:r>
        <w:rPr>
          <w:color w:val="585858"/>
          <w:spacing w:val="-1"/>
          <w:sz w:val="16"/>
        </w:rPr>
        <w:t>7.60</w:t>
      </w:r>
    </w:p>
    <w:p>
      <w:pPr>
        <w:pStyle w:val="BodyText"/>
        <w:spacing w:before="10"/>
        <w:rPr>
          <w:sz w:val="26"/>
        </w:rPr>
      </w:pPr>
    </w:p>
    <w:p>
      <w:pPr>
        <w:spacing w:before="0"/>
        <w:ind w:left="240" w:right="0" w:firstLine="0"/>
        <w:jc w:val="left"/>
        <w:rPr>
          <w:sz w:val="16"/>
        </w:rPr>
      </w:pPr>
      <w:r>
        <w:rPr>
          <w:color w:val="585858"/>
          <w:spacing w:val="-1"/>
          <w:sz w:val="16"/>
        </w:rPr>
        <w:t>7.50</w:t>
      </w:r>
    </w:p>
    <w:p>
      <w:pPr>
        <w:pStyle w:val="BodyText"/>
        <w:spacing w:before="4"/>
        <w:rPr>
          <w:sz w:val="14"/>
        </w:rPr>
      </w:pPr>
      <w:r>
        <w:rPr/>
        <w:br w:type="column"/>
      </w:r>
      <w:r>
        <w:rPr>
          <w:sz w:val="14"/>
        </w:rPr>
      </w:r>
    </w:p>
    <w:p>
      <w:pPr>
        <w:spacing w:before="0"/>
        <w:ind w:left="147" w:right="0" w:firstLine="0"/>
        <w:jc w:val="left"/>
        <w:rPr>
          <w:b/>
          <w:sz w:val="16"/>
        </w:rPr>
      </w:pPr>
      <w:r>
        <w:rPr/>
        <w:drawing>
          <wp:anchor distT="0" distB="0" distL="0" distR="0" allowOverlap="1" layoutInCell="1" locked="0" behindDoc="0" simplePos="0" relativeHeight="252075008">
            <wp:simplePos x="0" y="0"/>
            <wp:positionH relativeFrom="page">
              <wp:posOffset>4293289</wp:posOffset>
            </wp:positionH>
            <wp:positionV relativeFrom="paragraph">
              <wp:posOffset>138414</wp:posOffset>
            </wp:positionV>
            <wp:extent cx="2310202" cy="330707"/>
            <wp:effectExtent l="0" t="0" r="0" b="0"/>
            <wp:wrapNone/>
            <wp:docPr id="23" name="image35.png"/>
            <wp:cNvGraphicFramePr>
              <a:graphicFrameLocks noChangeAspect="1"/>
            </wp:cNvGraphicFramePr>
            <a:graphic>
              <a:graphicData uri="http://schemas.openxmlformats.org/drawingml/2006/picture">
                <pic:pic>
                  <pic:nvPicPr>
                    <pic:cNvPr id="24" name="image35.png"/>
                    <pic:cNvPicPr/>
                  </pic:nvPicPr>
                  <pic:blipFill>
                    <a:blip r:embed="rId41" cstate="print"/>
                    <a:stretch>
                      <a:fillRect/>
                    </a:stretch>
                  </pic:blipFill>
                  <pic:spPr>
                    <a:xfrm>
                      <a:off x="0" y="0"/>
                      <a:ext cx="2310202" cy="330707"/>
                    </a:xfrm>
                    <a:prstGeom prst="rect">
                      <a:avLst/>
                    </a:prstGeom>
                  </pic:spPr>
                </pic:pic>
              </a:graphicData>
            </a:graphic>
          </wp:anchor>
        </w:drawing>
      </w:r>
      <w:r>
        <w:rPr>
          <w:b/>
          <w:color w:val="385622"/>
          <w:sz w:val="16"/>
        </w:rPr>
        <w:t>7.79</w:t>
      </w:r>
    </w:p>
    <w:p>
      <w:pPr>
        <w:pStyle w:val="BodyText"/>
        <w:rPr>
          <w:b/>
          <w:sz w:val="18"/>
        </w:rPr>
      </w:pPr>
      <w:r>
        <w:rPr/>
        <w:br w:type="column"/>
      </w:r>
      <w:r>
        <w:rPr>
          <w:b/>
          <w:sz w:val="18"/>
        </w:rPr>
      </w:r>
    </w:p>
    <w:p>
      <w:pPr>
        <w:pStyle w:val="BodyText"/>
        <w:rPr>
          <w:b/>
          <w:sz w:val="18"/>
        </w:rPr>
      </w:pPr>
    </w:p>
    <w:p>
      <w:pPr>
        <w:pStyle w:val="BodyText"/>
        <w:rPr>
          <w:b/>
          <w:sz w:val="18"/>
        </w:rPr>
      </w:pPr>
    </w:p>
    <w:p>
      <w:pPr>
        <w:pStyle w:val="BodyText"/>
        <w:spacing w:before="3"/>
        <w:rPr>
          <w:b/>
          <w:sz w:val="26"/>
        </w:rPr>
      </w:pPr>
    </w:p>
    <w:p>
      <w:pPr>
        <w:spacing w:before="0"/>
        <w:ind w:left="748" w:right="0" w:firstLine="0"/>
        <w:jc w:val="left"/>
        <w:rPr>
          <w:b/>
          <w:sz w:val="16"/>
        </w:rPr>
      </w:pPr>
      <w:r>
        <w:rPr>
          <w:b/>
          <w:color w:val="385622"/>
          <w:sz w:val="16"/>
        </w:rPr>
        <w:t>7.72</w:t>
      </w:r>
    </w:p>
    <w:p>
      <w:pPr>
        <w:spacing w:after="0"/>
        <w:jc w:val="left"/>
        <w:rPr>
          <w:sz w:val="16"/>
        </w:rPr>
        <w:sectPr>
          <w:type w:val="continuous"/>
          <w:pgSz w:w="12240" w:h="15840"/>
          <w:pgMar w:top="1500" w:bottom="280" w:left="1140" w:right="0"/>
          <w:cols w:num="10" w:equalWidth="0">
            <w:col w:w="1028" w:space="40"/>
            <w:col w:w="840" w:space="39"/>
            <w:col w:w="247" w:space="40"/>
            <w:col w:w="618" w:space="40"/>
            <w:col w:w="385" w:space="40"/>
            <w:col w:w="1235" w:space="39"/>
            <w:col w:w="298" w:space="40"/>
            <w:col w:w="521" w:space="39"/>
            <w:col w:w="472" w:space="2265"/>
            <w:col w:w="2874"/>
          </w:cols>
        </w:sectPr>
      </w:pPr>
    </w:p>
    <w:p>
      <w:pPr>
        <w:pStyle w:val="BodyText"/>
        <w:spacing w:before="2"/>
        <w:rPr>
          <w:b/>
          <w:sz w:val="15"/>
        </w:rPr>
      </w:pPr>
    </w:p>
    <w:p>
      <w:pPr>
        <w:spacing w:before="0"/>
        <w:ind w:left="0" w:right="38" w:firstLine="0"/>
        <w:jc w:val="right"/>
        <w:rPr>
          <w:sz w:val="16"/>
        </w:rPr>
      </w:pPr>
      <w:r>
        <w:rPr>
          <w:color w:val="585858"/>
          <w:sz w:val="16"/>
        </w:rPr>
        <w:t>6.50</w:t>
      </w:r>
    </w:p>
    <w:p>
      <w:pPr>
        <w:pStyle w:val="BodyText"/>
        <w:spacing w:before="10"/>
        <w:rPr>
          <w:sz w:val="26"/>
        </w:rPr>
      </w:pPr>
      <w:r>
        <w:rPr/>
        <w:br w:type="column"/>
      </w:r>
      <w:r>
        <w:rPr>
          <w:sz w:val="26"/>
        </w:rPr>
      </w:r>
    </w:p>
    <w:p>
      <w:pPr>
        <w:spacing w:before="0"/>
        <w:ind w:left="748" w:right="0" w:firstLine="0"/>
        <w:jc w:val="left"/>
        <w:rPr>
          <w:sz w:val="16"/>
        </w:rPr>
      </w:pPr>
      <w:r>
        <w:rPr/>
        <w:pict>
          <v:line style="position:absolute;mso-position-horizontal-relative:page;mso-position-vertical-relative:paragraph;z-index:252069888" from="117.120003pt,-1.841253pt" to="306pt,-1.841253pt" stroked="true" strokeweight=".72pt" strokecolor="#d9d9d9">
            <v:stroke dashstyle="solid"/>
            <w10:wrap type="none"/>
          </v:line>
        </w:pict>
      </w:r>
      <w:r>
        <w:rPr/>
        <w:pict>
          <v:line style="position:absolute;mso-position-horizontal-relative:page;mso-position-vertical-relative:paragraph;z-index:252073984" from="338.160004pt,4.878747pt" to="519.480004pt,4.878747pt" stroked="true" strokeweight=".72pt" strokecolor="#d9d9d9">
            <v:stroke dashstyle="solid"/>
            <w10:wrap type="none"/>
          </v:line>
        </w:pict>
      </w:r>
      <w:r>
        <w:rPr/>
        <w:pict>
          <v:shape style="position:absolute;margin-left:270.975464pt;margin-top:2.043042pt;width:10.95pt;height:18.05pt;mso-position-horizontal-relative:page;mso-position-vertical-relative:paragraph;z-index:252083200" type="#_x0000_t202" filled="false" stroked="false">
            <v:textbox inset="0,0,0,0" style="layout-flow:vertical;mso-layout-flow-alt:bottom-to-top">
              <w:txbxContent>
                <w:p>
                  <w:pPr>
                    <w:spacing w:before="14"/>
                    <w:ind w:left="20" w:right="0" w:firstLine="0"/>
                    <w:jc w:val="left"/>
                    <w:rPr>
                      <w:sz w:val="16"/>
                    </w:rPr>
                  </w:pPr>
                  <w:r>
                    <w:rPr>
                      <w:color w:val="585858"/>
                      <w:sz w:val="16"/>
                    </w:rPr>
                    <w:t>2020</w:t>
                  </w:r>
                </w:p>
              </w:txbxContent>
            </v:textbox>
            <w10:wrap type="none"/>
          </v:shape>
        </w:pict>
      </w:r>
      <w:r>
        <w:rPr/>
        <w:pict>
          <v:shape style="position:absolute;margin-left:292.195435pt;margin-top:2.043042pt;width:10.95pt;height:18.05pt;mso-position-horizontal-relative:page;mso-position-vertical-relative:paragraph;z-index:252084224" type="#_x0000_t202" filled="false" stroked="false">
            <v:textbox inset="0,0,0,0" style="layout-flow:vertical;mso-layout-flow-alt:bottom-to-top">
              <w:txbxContent>
                <w:p>
                  <w:pPr>
                    <w:spacing w:before="14"/>
                    <w:ind w:left="20" w:right="0" w:firstLine="0"/>
                    <w:jc w:val="left"/>
                    <w:rPr>
                      <w:sz w:val="16"/>
                    </w:rPr>
                  </w:pPr>
                  <w:r>
                    <w:rPr>
                      <w:color w:val="585858"/>
                      <w:sz w:val="16"/>
                    </w:rPr>
                    <w:t>2021</w:t>
                  </w:r>
                </w:p>
              </w:txbxContent>
            </v:textbox>
            <w10:wrap type="none"/>
          </v:shape>
        </w:pict>
      </w:r>
      <w:r>
        <w:rPr/>
        <w:pict>
          <v:shape style="position:absolute;margin-left:332.975464pt;margin-top:8.737722pt;width:176.85pt;height:26.5pt;mso-position-horizontal-relative:page;mso-position-vertical-relative:paragraph;z-index:252086272" type="#_x0000_t202" filled="false" stroked="false">
            <v:textbox inset="0,0,0,0" style="layout-flow:vertical;mso-layout-flow-alt:bottom-to-top">
              <w:txbxContent>
                <w:p>
                  <w:pPr>
                    <w:spacing w:line="381" w:lineRule="auto" w:before="14"/>
                    <w:ind w:left="46" w:right="18" w:firstLine="27"/>
                    <w:jc w:val="both"/>
                    <w:rPr>
                      <w:sz w:val="16"/>
                    </w:rPr>
                  </w:pPr>
                  <w:r>
                    <w:rPr>
                      <w:color w:val="585858"/>
                      <w:spacing w:val="-1"/>
                      <w:sz w:val="16"/>
                    </w:rPr>
                    <w:t>ene-21 </w:t>
                  </w:r>
                  <w:r>
                    <w:rPr>
                      <w:color w:val="585858"/>
                      <w:sz w:val="16"/>
                    </w:rPr>
                    <w:t>feb-21 </w:t>
                  </w:r>
                  <w:r>
                    <w:rPr>
                      <w:color w:val="585858"/>
                      <w:spacing w:val="-1"/>
                      <w:sz w:val="16"/>
                    </w:rPr>
                    <w:t>mar-21</w:t>
                  </w:r>
                </w:p>
                <w:p>
                  <w:pPr>
                    <w:spacing w:line="396" w:lineRule="auto" w:before="16"/>
                    <w:ind w:left="20" w:right="18" w:firstLine="71"/>
                    <w:jc w:val="right"/>
                    <w:rPr>
                      <w:sz w:val="16"/>
                    </w:rPr>
                  </w:pPr>
                  <w:r>
                    <w:rPr>
                      <w:color w:val="585858"/>
                      <w:spacing w:val="-1"/>
                      <w:sz w:val="16"/>
                    </w:rPr>
                    <w:t>abr-21 may-21 jun-21 jul-21 ago-21 sep-21 oct-21 nov-21</w:t>
                  </w:r>
                </w:p>
                <w:p>
                  <w:pPr>
                    <w:spacing w:line="179" w:lineRule="exact" w:before="0"/>
                    <w:ind w:left="0" w:right="18" w:firstLine="0"/>
                    <w:jc w:val="right"/>
                    <w:rPr>
                      <w:sz w:val="16"/>
                    </w:rPr>
                  </w:pPr>
                  <w:r>
                    <w:rPr>
                      <w:color w:val="585858"/>
                      <w:spacing w:val="-1"/>
                      <w:sz w:val="16"/>
                    </w:rPr>
                    <w:t>dic-21</w:t>
                  </w:r>
                </w:p>
              </w:txbxContent>
            </v:textbox>
            <w10:wrap type="none"/>
          </v:shape>
        </w:pict>
      </w:r>
      <w:r>
        <w:rPr>
          <w:color w:val="585858"/>
          <w:sz w:val="16"/>
        </w:rPr>
        <w:t>7.40</w:t>
      </w:r>
    </w:p>
    <w:p>
      <w:pPr>
        <w:spacing w:after="0"/>
        <w:jc w:val="left"/>
        <w:rPr>
          <w:sz w:val="16"/>
        </w:rPr>
        <w:sectPr>
          <w:type w:val="continuous"/>
          <w:pgSz w:w="12240" w:h="15840"/>
          <w:pgMar w:top="1500" w:bottom="280" w:left="1140" w:right="0"/>
          <w:cols w:num="2" w:equalWidth="0">
            <w:col w:w="1068" w:space="3353"/>
            <w:col w:w="6679"/>
          </w:cols>
        </w:sectPr>
      </w:pPr>
    </w:p>
    <w:p>
      <w:pPr>
        <w:pStyle w:val="BodyText"/>
        <w:spacing w:before="10"/>
        <w:rPr>
          <w:sz w:val="21"/>
        </w:rPr>
      </w:pPr>
    </w:p>
    <w:p>
      <w:pPr>
        <w:tabs>
          <w:tab w:pos="3739" w:val="left" w:leader="none"/>
        </w:tabs>
        <w:spacing w:before="93"/>
        <w:ind w:left="1934" w:right="0" w:firstLine="0"/>
        <w:jc w:val="left"/>
        <w:rPr>
          <w:sz w:val="18"/>
        </w:rPr>
      </w:pPr>
      <w:r>
        <w:rPr/>
        <w:pict>
          <v:line style="position:absolute;mso-position-horizontal-relative:page;mso-position-vertical-relative:paragraph;z-index:252071936" from="132.539993pt,10.16234pt" to="151.739993pt,10.16234pt" stroked="true" strokeweight="2.280pt" strokecolor="#001f5f">
            <v:stroke dashstyle="solid"/>
            <w10:wrap type="none"/>
          </v:line>
        </w:pict>
      </w:r>
      <w:r>
        <w:rPr/>
        <w:pict>
          <v:line style="position:absolute;mso-position-horizontal-relative:page;mso-position-vertical-relative:paragraph;z-index:-281246720" from="222.660004pt,10.16234pt" to="241.860004pt,10.16234pt" stroked="true" strokeweight="2.280pt" strokecolor="#ec7c30">
            <v:stroke dashstyle="solid"/>
            <w10:wrap type="none"/>
          </v:line>
        </w:pict>
      </w:r>
      <w:r>
        <w:rPr/>
        <w:pict>
          <v:shape style="position:absolute;margin-left:122.295448pt;margin-top:-19.733364pt;width:10.95pt;height:18.05pt;mso-position-horizontal-relative:page;mso-position-vertical-relative:paragraph;z-index:252076032" type="#_x0000_t202" filled="false" stroked="false">
            <v:textbox inset="0,0,0,0" style="layout-flow:vertical;mso-layout-flow-alt:bottom-to-top">
              <w:txbxContent>
                <w:p>
                  <w:pPr>
                    <w:spacing w:before="14"/>
                    <w:ind w:left="20" w:right="0" w:firstLine="0"/>
                    <w:jc w:val="left"/>
                    <w:rPr>
                      <w:sz w:val="16"/>
                    </w:rPr>
                  </w:pPr>
                  <w:r>
                    <w:rPr>
                      <w:color w:val="585858"/>
                      <w:sz w:val="16"/>
                    </w:rPr>
                    <w:t>2013</w:t>
                  </w:r>
                </w:p>
              </w:txbxContent>
            </v:textbox>
            <w10:wrap type="none"/>
          </v:shape>
        </w:pict>
      </w:r>
      <w:r>
        <w:rPr/>
        <w:pict>
          <v:shape style="position:absolute;margin-left:143.535446pt;margin-top:-19.733364pt;width:10.95pt;height:18.05pt;mso-position-horizontal-relative:page;mso-position-vertical-relative:paragraph;z-index:252077056" type="#_x0000_t202" filled="false" stroked="false">
            <v:textbox inset="0,0,0,0" style="layout-flow:vertical;mso-layout-flow-alt:bottom-to-top">
              <w:txbxContent>
                <w:p>
                  <w:pPr>
                    <w:spacing w:before="14"/>
                    <w:ind w:left="20" w:right="0" w:firstLine="0"/>
                    <w:jc w:val="left"/>
                    <w:rPr>
                      <w:sz w:val="16"/>
                    </w:rPr>
                  </w:pPr>
                  <w:r>
                    <w:rPr>
                      <w:color w:val="585858"/>
                      <w:sz w:val="16"/>
                    </w:rPr>
                    <w:t>2014</w:t>
                  </w:r>
                </w:p>
              </w:txbxContent>
            </v:textbox>
            <w10:wrap type="none"/>
          </v:shape>
        </w:pict>
      </w:r>
      <w:r>
        <w:rPr/>
        <w:pict>
          <v:shape style="position:absolute;margin-left:164.775452pt;margin-top:-19.733364pt;width:10.95pt;height:18.05pt;mso-position-horizontal-relative:page;mso-position-vertical-relative:paragraph;z-index:252078080" type="#_x0000_t202" filled="false" stroked="false">
            <v:textbox inset="0,0,0,0" style="layout-flow:vertical;mso-layout-flow-alt:bottom-to-top">
              <w:txbxContent>
                <w:p>
                  <w:pPr>
                    <w:spacing w:before="14"/>
                    <w:ind w:left="20" w:right="0" w:firstLine="0"/>
                    <w:jc w:val="left"/>
                    <w:rPr>
                      <w:sz w:val="16"/>
                    </w:rPr>
                  </w:pPr>
                  <w:r>
                    <w:rPr>
                      <w:color w:val="585858"/>
                      <w:sz w:val="16"/>
                    </w:rPr>
                    <w:t>2015</w:t>
                  </w:r>
                </w:p>
              </w:txbxContent>
            </v:textbox>
            <w10:wrap type="none"/>
          </v:shape>
        </w:pict>
      </w:r>
      <w:r>
        <w:rPr/>
        <w:pict>
          <v:shape style="position:absolute;margin-left:186.015442pt;margin-top:-19.733364pt;width:10.95pt;height:18.05pt;mso-position-horizontal-relative:page;mso-position-vertical-relative:paragraph;z-index:252079104" type="#_x0000_t202" filled="false" stroked="false">
            <v:textbox inset="0,0,0,0" style="layout-flow:vertical;mso-layout-flow-alt:bottom-to-top">
              <w:txbxContent>
                <w:p>
                  <w:pPr>
                    <w:spacing w:before="14"/>
                    <w:ind w:left="20" w:right="0" w:firstLine="0"/>
                    <w:jc w:val="left"/>
                    <w:rPr>
                      <w:sz w:val="16"/>
                    </w:rPr>
                  </w:pPr>
                  <w:r>
                    <w:rPr>
                      <w:color w:val="585858"/>
                      <w:sz w:val="16"/>
                    </w:rPr>
                    <w:t>2016</w:t>
                  </w:r>
                </w:p>
              </w:txbxContent>
            </v:textbox>
            <w10:wrap type="none"/>
          </v:shape>
        </w:pict>
      </w:r>
      <w:r>
        <w:rPr/>
        <w:pict>
          <v:shape style="position:absolute;margin-left:207.255447pt;margin-top:-19.733364pt;width:10.95pt;height:18.05pt;mso-position-horizontal-relative:page;mso-position-vertical-relative:paragraph;z-index:252080128" type="#_x0000_t202" filled="false" stroked="false">
            <v:textbox inset="0,0,0,0" style="layout-flow:vertical;mso-layout-flow-alt:bottom-to-top">
              <w:txbxContent>
                <w:p>
                  <w:pPr>
                    <w:spacing w:before="14"/>
                    <w:ind w:left="20" w:right="0" w:firstLine="0"/>
                    <w:jc w:val="left"/>
                    <w:rPr>
                      <w:sz w:val="16"/>
                    </w:rPr>
                  </w:pPr>
                  <w:r>
                    <w:rPr>
                      <w:color w:val="585858"/>
                      <w:sz w:val="16"/>
                    </w:rPr>
                    <w:t>2017</w:t>
                  </w:r>
                </w:p>
              </w:txbxContent>
            </v:textbox>
            <w10:wrap type="none"/>
          </v:shape>
        </w:pict>
      </w:r>
      <w:r>
        <w:rPr/>
        <w:pict>
          <v:shape style="position:absolute;margin-left:228.495453pt;margin-top:-19.733364pt;width:10.95pt;height:18.05pt;mso-position-horizontal-relative:page;mso-position-vertical-relative:paragraph;z-index:252081152" type="#_x0000_t202" filled="false" stroked="false">
            <v:textbox inset="0,0,0,0" style="layout-flow:vertical;mso-layout-flow-alt:bottom-to-top">
              <w:txbxContent>
                <w:p>
                  <w:pPr>
                    <w:spacing w:before="14"/>
                    <w:ind w:left="20" w:right="0" w:firstLine="0"/>
                    <w:jc w:val="left"/>
                    <w:rPr>
                      <w:sz w:val="16"/>
                    </w:rPr>
                  </w:pPr>
                  <w:r>
                    <w:rPr>
                      <w:color w:val="585858"/>
                      <w:sz w:val="16"/>
                    </w:rPr>
                    <w:t>2018</w:t>
                  </w:r>
                </w:p>
              </w:txbxContent>
            </v:textbox>
            <w10:wrap type="none"/>
          </v:shape>
        </w:pict>
      </w:r>
      <w:r>
        <w:rPr/>
        <w:pict>
          <v:shape style="position:absolute;margin-left:249.735443pt;margin-top:-19.733364pt;width:10.95pt;height:18.05pt;mso-position-horizontal-relative:page;mso-position-vertical-relative:paragraph;z-index:252082176" type="#_x0000_t202" filled="false" stroked="false">
            <v:textbox inset="0,0,0,0" style="layout-flow:vertical;mso-layout-flow-alt:bottom-to-top">
              <w:txbxContent>
                <w:p>
                  <w:pPr>
                    <w:spacing w:before="14"/>
                    <w:ind w:left="20" w:right="0" w:firstLine="0"/>
                    <w:jc w:val="left"/>
                    <w:rPr>
                      <w:sz w:val="16"/>
                    </w:rPr>
                  </w:pPr>
                  <w:r>
                    <w:rPr>
                      <w:color w:val="585858"/>
                      <w:sz w:val="16"/>
                    </w:rPr>
                    <w:t>2019</w:t>
                  </w:r>
                </w:p>
              </w:txbxContent>
            </v:textbox>
            <w10:wrap type="none"/>
          </v:shape>
        </w:pict>
      </w:r>
      <w:r>
        <w:rPr>
          <w:color w:val="585858"/>
          <w:sz w:val="18"/>
        </w:rPr>
        <w:t>Tipo</w:t>
      </w:r>
      <w:r>
        <w:rPr>
          <w:color w:val="585858"/>
          <w:spacing w:val="-2"/>
          <w:sz w:val="18"/>
        </w:rPr>
        <w:t> </w:t>
      </w:r>
      <w:r>
        <w:rPr>
          <w:color w:val="585858"/>
          <w:sz w:val="18"/>
        </w:rPr>
        <w:t>de</w:t>
      </w:r>
      <w:r>
        <w:rPr>
          <w:color w:val="585858"/>
          <w:spacing w:val="-2"/>
          <w:sz w:val="18"/>
        </w:rPr>
        <w:t> </w:t>
      </w:r>
      <w:r>
        <w:rPr>
          <w:color w:val="585858"/>
          <w:sz w:val="18"/>
        </w:rPr>
        <w:t>cambio</w:t>
        <w:tab/>
        <w:t>promedio</w:t>
      </w:r>
    </w:p>
    <w:p>
      <w:pPr>
        <w:spacing w:before="117"/>
        <w:ind w:left="670" w:right="0" w:firstLine="0"/>
        <w:jc w:val="left"/>
        <w:rPr>
          <w:sz w:val="16"/>
        </w:rPr>
      </w:pPr>
      <w:r>
        <w:rPr>
          <w:sz w:val="16"/>
        </w:rPr>
        <w:t>Fuente: Elaboración DAPF con información del BANGUAT.</w:t>
      </w:r>
    </w:p>
    <w:p>
      <w:pPr>
        <w:spacing w:after="0"/>
        <w:jc w:val="left"/>
        <w:rPr>
          <w:sz w:val="16"/>
        </w:rPr>
        <w:sectPr>
          <w:type w:val="continuous"/>
          <w:pgSz w:w="12240" w:h="15840"/>
          <w:pgMar w:top="1500" w:bottom="280" w:left="1140" w:right="0"/>
        </w:sectPr>
      </w:pPr>
    </w:p>
    <w:p>
      <w:pPr>
        <w:pStyle w:val="BodyText"/>
        <w:spacing w:before="8"/>
        <w:rPr>
          <w:sz w:val="14"/>
        </w:rPr>
      </w:pPr>
    </w:p>
    <w:p>
      <w:pPr>
        <w:pStyle w:val="Heading3"/>
        <w:spacing w:before="91"/>
        <w:ind w:left="2760"/>
      </w:pPr>
      <w:r>
        <w:rPr/>
        <w:t>Recuadro 1. Tipo de cambio real de Guatemala</w:t>
      </w:r>
    </w:p>
    <w:p>
      <w:pPr>
        <w:pStyle w:val="BodyText"/>
        <w:spacing w:line="276" w:lineRule="auto" w:before="197"/>
        <w:ind w:left="622" w:right="1757"/>
        <w:jc w:val="both"/>
      </w:pPr>
      <w:r>
        <w:rPr/>
        <w:t>El tipo de cambio real es un indicador de competitividad de los bienes y servicios nacionales con respecto a los del resto del mundo. Un incremento en el tipo de cambio real se considera una depreciación real y se interpreta como un aumento del poder adquisitivo de los bienes nacionales con respecto a los del resto del mundo. Por lo tanto, una depreciación real de la moneda interna aumenta</w:t>
      </w:r>
      <w:r>
        <w:rPr>
          <w:spacing w:val="-14"/>
        </w:rPr>
        <w:t> </w:t>
      </w:r>
      <w:r>
        <w:rPr/>
        <w:t>la</w:t>
      </w:r>
      <w:r>
        <w:rPr>
          <w:spacing w:val="-15"/>
        </w:rPr>
        <w:t> </w:t>
      </w:r>
      <w:r>
        <w:rPr/>
        <w:t>demanda</w:t>
      </w:r>
      <w:r>
        <w:rPr>
          <w:spacing w:val="-14"/>
        </w:rPr>
        <w:t> </w:t>
      </w:r>
      <w:r>
        <w:rPr/>
        <w:t>de</w:t>
      </w:r>
      <w:r>
        <w:rPr>
          <w:spacing w:val="-14"/>
        </w:rPr>
        <w:t> </w:t>
      </w:r>
      <w:r>
        <w:rPr/>
        <w:t>bienes</w:t>
      </w:r>
      <w:r>
        <w:rPr>
          <w:spacing w:val="-13"/>
        </w:rPr>
        <w:t> </w:t>
      </w:r>
      <w:r>
        <w:rPr/>
        <w:t>interiores</w:t>
      </w:r>
      <w:r>
        <w:rPr>
          <w:spacing w:val="-14"/>
        </w:rPr>
        <w:t> </w:t>
      </w:r>
      <w:r>
        <w:rPr/>
        <w:t>(exportaciones)</w:t>
      </w:r>
      <w:r>
        <w:rPr>
          <w:spacing w:val="-12"/>
        </w:rPr>
        <w:t> </w:t>
      </w:r>
      <w:r>
        <w:rPr/>
        <w:t>y</w:t>
      </w:r>
      <w:r>
        <w:rPr>
          <w:spacing w:val="-17"/>
        </w:rPr>
        <w:t> </w:t>
      </w:r>
      <w:r>
        <w:rPr/>
        <w:t>disminuye</w:t>
      </w:r>
      <w:r>
        <w:rPr>
          <w:spacing w:val="-13"/>
        </w:rPr>
        <w:t> </w:t>
      </w:r>
      <w:r>
        <w:rPr/>
        <w:t>la</w:t>
      </w:r>
      <w:r>
        <w:rPr>
          <w:spacing w:val="-14"/>
        </w:rPr>
        <w:t> </w:t>
      </w:r>
      <w:r>
        <w:rPr/>
        <w:t>demanda</w:t>
      </w:r>
      <w:r>
        <w:rPr>
          <w:spacing w:val="-13"/>
        </w:rPr>
        <w:t> </w:t>
      </w:r>
      <w:r>
        <w:rPr/>
        <w:t>de</w:t>
      </w:r>
      <w:r>
        <w:rPr>
          <w:spacing w:val="-14"/>
        </w:rPr>
        <w:t> </w:t>
      </w:r>
      <w:r>
        <w:rPr/>
        <w:t>bienes</w:t>
      </w:r>
      <w:r>
        <w:rPr>
          <w:spacing w:val="-15"/>
        </w:rPr>
        <w:t> </w:t>
      </w:r>
      <w:r>
        <w:rPr/>
        <w:t>del</w:t>
      </w:r>
      <w:r>
        <w:rPr>
          <w:spacing w:val="-16"/>
        </w:rPr>
        <w:t> </w:t>
      </w:r>
      <w:r>
        <w:rPr/>
        <w:t>resto del mundo (importaciones) lo cual incrementa la demanda</w:t>
      </w:r>
      <w:r>
        <w:rPr>
          <w:spacing w:val="-7"/>
        </w:rPr>
        <w:t> </w:t>
      </w:r>
      <w:r>
        <w:rPr/>
        <w:t>agregada.</w:t>
      </w:r>
    </w:p>
    <w:p>
      <w:pPr>
        <w:pStyle w:val="BodyText"/>
        <w:spacing w:line="276" w:lineRule="auto" w:before="160"/>
        <w:ind w:left="622" w:right="1758"/>
        <w:jc w:val="both"/>
      </w:pPr>
      <w:r>
        <w:rPr/>
        <w:t>Además de las importaciones reales, el tipo de cambio real tiene incidencia en la brecha del producto, ambas variables macroeconómicas fundamentales para la proyección de los ingresos tributarios</w:t>
      </w:r>
      <w:r>
        <w:rPr>
          <w:spacing w:val="-4"/>
        </w:rPr>
        <w:t> </w:t>
      </w:r>
      <w:r>
        <w:rPr/>
        <w:t>y</w:t>
      </w:r>
      <w:r>
        <w:rPr>
          <w:spacing w:val="-4"/>
        </w:rPr>
        <w:t> </w:t>
      </w:r>
      <w:r>
        <w:rPr/>
        <w:t>por</w:t>
      </w:r>
      <w:r>
        <w:rPr>
          <w:spacing w:val="-4"/>
        </w:rPr>
        <w:t> </w:t>
      </w:r>
      <w:r>
        <w:rPr/>
        <w:t>lo</w:t>
      </w:r>
      <w:r>
        <w:rPr>
          <w:spacing w:val="-4"/>
        </w:rPr>
        <w:t> </w:t>
      </w:r>
      <w:r>
        <w:rPr/>
        <w:t>tanto</w:t>
      </w:r>
      <w:r>
        <w:rPr>
          <w:spacing w:val="-5"/>
        </w:rPr>
        <w:t> </w:t>
      </w:r>
      <w:r>
        <w:rPr/>
        <w:t>en</w:t>
      </w:r>
      <w:r>
        <w:rPr>
          <w:spacing w:val="-6"/>
        </w:rPr>
        <w:t> </w:t>
      </w:r>
      <w:r>
        <w:rPr/>
        <w:t>el</w:t>
      </w:r>
      <w:r>
        <w:rPr>
          <w:spacing w:val="-1"/>
        </w:rPr>
        <w:t> </w:t>
      </w:r>
      <w:r>
        <w:rPr/>
        <w:t>diseño</w:t>
      </w:r>
      <w:r>
        <w:rPr>
          <w:spacing w:val="-3"/>
        </w:rPr>
        <w:t> </w:t>
      </w:r>
      <w:r>
        <w:rPr/>
        <w:t>de</w:t>
      </w:r>
      <w:r>
        <w:rPr>
          <w:spacing w:val="-4"/>
        </w:rPr>
        <w:t> </w:t>
      </w:r>
      <w:r>
        <w:rPr/>
        <w:t>la</w:t>
      </w:r>
      <w:r>
        <w:rPr>
          <w:spacing w:val="-3"/>
        </w:rPr>
        <w:t> </w:t>
      </w:r>
      <w:r>
        <w:rPr/>
        <w:t>política</w:t>
      </w:r>
      <w:r>
        <w:rPr>
          <w:spacing w:val="-4"/>
        </w:rPr>
        <w:t> </w:t>
      </w:r>
      <w:r>
        <w:rPr/>
        <w:t>fiscal.</w:t>
      </w:r>
      <w:r>
        <w:rPr>
          <w:spacing w:val="-1"/>
        </w:rPr>
        <w:t> </w:t>
      </w:r>
      <w:r>
        <w:rPr/>
        <w:t>Por</w:t>
      </w:r>
      <w:r>
        <w:rPr>
          <w:spacing w:val="-2"/>
        </w:rPr>
        <w:t> </w:t>
      </w:r>
      <w:r>
        <w:rPr/>
        <w:t>este</w:t>
      </w:r>
      <w:r>
        <w:rPr>
          <w:spacing w:val="-1"/>
        </w:rPr>
        <w:t> </w:t>
      </w:r>
      <w:r>
        <w:rPr/>
        <w:t>motivo</w:t>
      </w:r>
      <w:r>
        <w:rPr>
          <w:spacing w:val="-2"/>
        </w:rPr>
        <w:t> </w:t>
      </w:r>
      <w:r>
        <w:rPr/>
        <w:t>se</w:t>
      </w:r>
      <w:r>
        <w:rPr>
          <w:spacing w:val="-3"/>
        </w:rPr>
        <w:t> </w:t>
      </w:r>
      <w:r>
        <w:rPr/>
        <w:t>realizó</w:t>
      </w:r>
      <w:r>
        <w:rPr>
          <w:spacing w:val="-2"/>
        </w:rPr>
        <w:t> </w:t>
      </w:r>
      <w:r>
        <w:rPr/>
        <w:t>una</w:t>
      </w:r>
      <w:r>
        <w:rPr>
          <w:spacing w:val="-3"/>
        </w:rPr>
        <w:t> </w:t>
      </w:r>
      <w:r>
        <w:rPr/>
        <w:t>estimación del índice de tipo de cambio real siguiendo de cerca la metodología sugerida por (Secretaría Ejecutiva</w:t>
      </w:r>
      <w:r>
        <w:rPr>
          <w:spacing w:val="-15"/>
        </w:rPr>
        <w:t> </w:t>
      </w:r>
      <w:r>
        <w:rPr/>
        <w:t>del</w:t>
      </w:r>
      <w:r>
        <w:rPr>
          <w:spacing w:val="-15"/>
        </w:rPr>
        <w:t> </w:t>
      </w:r>
      <w:r>
        <w:rPr/>
        <w:t>Consejo</w:t>
      </w:r>
      <w:r>
        <w:rPr>
          <w:spacing w:val="-16"/>
        </w:rPr>
        <w:t> </w:t>
      </w:r>
      <w:r>
        <w:rPr/>
        <w:t>Monetario</w:t>
      </w:r>
      <w:r>
        <w:rPr>
          <w:spacing w:val="-16"/>
        </w:rPr>
        <w:t> </w:t>
      </w:r>
      <w:r>
        <w:rPr/>
        <w:t>Centroamericano,</w:t>
      </w:r>
      <w:r>
        <w:rPr>
          <w:spacing w:val="-16"/>
        </w:rPr>
        <w:t> </w:t>
      </w:r>
      <w:r>
        <w:rPr/>
        <w:t>2016).</w:t>
      </w:r>
      <w:r>
        <w:rPr>
          <w:spacing w:val="-16"/>
        </w:rPr>
        <w:t> </w:t>
      </w:r>
      <w:r>
        <w:rPr/>
        <w:t>La</w:t>
      </w:r>
      <w:r>
        <w:rPr>
          <w:spacing w:val="-16"/>
        </w:rPr>
        <w:t> </w:t>
      </w:r>
      <w:r>
        <w:rPr/>
        <w:t>expresión</w:t>
      </w:r>
      <w:r>
        <w:rPr>
          <w:spacing w:val="-16"/>
        </w:rPr>
        <w:t> </w:t>
      </w:r>
      <w:r>
        <w:rPr/>
        <w:t>del</w:t>
      </w:r>
      <w:r>
        <w:rPr>
          <w:spacing w:val="-15"/>
        </w:rPr>
        <w:t> </w:t>
      </w:r>
      <w:r>
        <w:rPr/>
        <w:t>índice</w:t>
      </w:r>
      <w:r>
        <w:rPr>
          <w:spacing w:val="-18"/>
        </w:rPr>
        <w:t> </w:t>
      </w:r>
      <w:r>
        <w:rPr/>
        <w:t>de</w:t>
      </w:r>
      <w:r>
        <w:rPr>
          <w:spacing w:val="-15"/>
        </w:rPr>
        <w:t> </w:t>
      </w:r>
      <w:r>
        <w:rPr/>
        <w:t>tipo</w:t>
      </w:r>
      <w:r>
        <w:rPr>
          <w:spacing w:val="-16"/>
        </w:rPr>
        <w:t> </w:t>
      </w:r>
      <w:r>
        <w:rPr/>
        <w:t>de</w:t>
      </w:r>
      <w:r>
        <w:rPr>
          <w:spacing w:val="-15"/>
        </w:rPr>
        <w:t> </w:t>
      </w:r>
      <w:r>
        <w:rPr/>
        <w:t>cambio real es la</w:t>
      </w:r>
      <w:r>
        <w:rPr>
          <w:spacing w:val="-4"/>
        </w:rPr>
        <w:t> </w:t>
      </w:r>
      <w:r>
        <w:rPr/>
        <w:t>siguiente:</w:t>
      </w:r>
    </w:p>
    <w:p>
      <w:pPr>
        <w:spacing w:after="0" w:line="276" w:lineRule="auto"/>
        <w:jc w:val="both"/>
        <w:sectPr>
          <w:pgSz w:w="12240" w:h="15840"/>
          <w:pgMar w:header="715" w:footer="957" w:top="1240" w:bottom="1140" w:left="1140" w:right="0"/>
        </w:sectPr>
      </w:pPr>
    </w:p>
    <w:p>
      <w:pPr>
        <w:pStyle w:val="BodyText"/>
        <w:rPr>
          <w:sz w:val="24"/>
        </w:rPr>
      </w:pPr>
    </w:p>
    <w:p>
      <w:pPr>
        <w:pStyle w:val="BodyText"/>
        <w:rPr>
          <w:sz w:val="24"/>
        </w:rPr>
      </w:pPr>
    </w:p>
    <w:p>
      <w:pPr>
        <w:pStyle w:val="BodyText"/>
        <w:spacing w:before="10"/>
        <w:rPr>
          <w:sz w:val="30"/>
        </w:rPr>
      </w:pPr>
    </w:p>
    <w:p>
      <w:pPr>
        <w:pStyle w:val="BodyText"/>
        <w:ind w:left="622"/>
      </w:pPr>
      <w:r>
        <w:rPr/>
        <w:t>De la cual:</w:t>
      </w:r>
    </w:p>
    <w:p>
      <w:pPr>
        <w:spacing w:line="231" w:lineRule="exact" w:before="145"/>
        <w:ind w:left="1402" w:right="0" w:firstLine="0"/>
        <w:jc w:val="left"/>
        <w:rPr>
          <w:rFonts w:ascii="Cambria Math" w:hAnsi="Cambria Math" w:eastAsia="Cambria Math"/>
          <w:sz w:val="22"/>
        </w:rPr>
      </w:pPr>
      <w:r>
        <w:rPr/>
        <w:br w:type="column"/>
      </w:r>
      <w:r>
        <w:rPr>
          <w:rFonts w:ascii="Cambria Math" w:hAnsi="Cambria Math" w:eastAsia="Cambria Math"/>
          <w:spacing w:val="-138"/>
          <w:sz w:val="22"/>
        </w:rPr>
        <w:t>𝐸</w:t>
      </w:r>
      <w:r>
        <w:rPr>
          <w:rFonts w:ascii="Cambria Math" w:hAnsi="Cambria Math" w:eastAsia="Cambria Math"/>
          <w:spacing w:val="75"/>
          <w:position w:val="-4"/>
          <w:sz w:val="22"/>
          <w:u w:val="single"/>
        </w:rPr>
        <w:t> </w:t>
      </w:r>
      <w:r>
        <w:rPr>
          <w:rFonts w:ascii="Cambria Math" w:hAnsi="Cambria Math" w:eastAsia="Cambria Math"/>
          <w:spacing w:val="6"/>
          <w:position w:val="-4"/>
          <w:sz w:val="16"/>
        </w:rPr>
        <w:t>𝑡</w:t>
      </w:r>
      <w:r>
        <w:rPr>
          <w:rFonts w:ascii="Cambria Math" w:hAnsi="Cambria Math" w:eastAsia="Cambria Math"/>
          <w:spacing w:val="6"/>
          <w:sz w:val="22"/>
        </w:rPr>
        <w:t>𝑃</w:t>
      </w:r>
      <w:r>
        <w:rPr>
          <w:rFonts w:ascii="Cambria Math" w:hAnsi="Cambria Math" w:eastAsia="Cambria Math"/>
          <w:spacing w:val="6"/>
          <w:sz w:val="22"/>
          <w:vertAlign w:val="superscript"/>
        </w:rPr>
        <w:t>∗</w:t>
      </w:r>
    </w:p>
    <w:p>
      <w:pPr>
        <w:pStyle w:val="BodyText"/>
        <w:spacing w:line="140" w:lineRule="exact"/>
        <w:ind w:left="622"/>
        <w:rPr>
          <w:rFonts w:ascii="Cambria Math" w:eastAsia="Cambria Math"/>
        </w:rPr>
      </w:pPr>
      <w:r>
        <w:rPr/>
        <w:pict>
          <v:shape style="position:absolute;margin-left:330.769989pt;margin-top:-4.974216pt;width:5.7pt;height:8.0500pt;mso-position-horizontal-relative:page;mso-position-vertical-relative:paragraph;z-index:-281227264" type="#_x0000_t202" filled="false" stroked="false">
            <v:textbox inset="0,0,0,0">
              <w:txbxContent>
                <w:p>
                  <w:pPr>
                    <w:spacing w:line="161" w:lineRule="exact" w:before="0"/>
                    <w:ind w:left="0" w:right="0" w:firstLine="0"/>
                    <w:jc w:val="left"/>
                    <w:rPr>
                      <w:rFonts w:ascii="Cambria Math" w:eastAsia="Cambria Math"/>
                      <w:sz w:val="16"/>
                    </w:rPr>
                  </w:pPr>
                  <w:r>
                    <w:rPr>
                      <w:rFonts w:ascii="Cambria Math" w:eastAsia="Cambria Math"/>
                      <w:w w:val="110"/>
                      <w:sz w:val="16"/>
                      <w:u w:val="single"/>
                    </w:rPr>
                    <w:t>𝑡</w:t>
                  </w:r>
                  <w:r>
                    <w:rPr>
                      <w:rFonts w:ascii="Cambria Math" w:eastAsia="Cambria Math"/>
                      <w:sz w:val="16"/>
                      <w:u w:val="single"/>
                    </w:rPr>
                    <w:t> </w:t>
                  </w:r>
                </w:p>
              </w:txbxContent>
            </v:textbox>
            <w10:wrap type="none"/>
          </v:shape>
        </w:pict>
      </w:r>
      <w:r>
        <w:rPr>
          <w:rFonts w:ascii="Cambria Math" w:eastAsia="Cambria Math"/>
        </w:rPr>
        <w:t>𝐼𝑇𝐶𝑅 =</w:t>
      </w:r>
    </w:p>
    <w:p>
      <w:pPr>
        <w:spacing w:line="240" w:lineRule="exact" w:before="0"/>
        <w:ind w:left="1522" w:right="0" w:firstLine="0"/>
        <w:jc w:val="left"/>
        <w:rPr>
          <w:rFonts w:ascii="Cambria Math" w:eastAsia="Cambria Math"/>
          <w:sz w:val="16"/>
        </w:rPr>
      </w:pPr>
      <w:r>
        <w:rPr>
          <w:rFonts w:ascii="Cambria Math" w:eastAsia="Cambria Math"/>
          <w:w w:val="105"/>
          <w:sz w:val="22"/>
        </w:rPr>
        <w:t>𝑃</w:t>
      </w:r>
      <w:r>
        <w:rPr>
          <w:rFonts w:ascii="Cambria Math" w:eastAsia="Cambria Math"/>
          <w:w w:val="105"/>
          <w:position w:val="-4"/>
          <w:sz w:val="16"/>
        </w:rPr>
        <w:t>𝑡</w:t>
      </w:r>
    </w:p>
    <w:p>
      <w:pPr>
        <w:spacing w:after="0" w:line="240" w:lineRule="exact"/>
        <w:jc w:val="left"/>
        <w:rPr>
          <w:rFonts w:ascii="Cambria Math" w:eastAsia="Cambria Math"/>
          <w:sz w:val="16"/>
        </w:rPr>
        <w:sectPr>
          <w:type w:val="continuous"/>
          <w:pgSz w:w="12240" w:h="15840"/>
          <w:pgMar w:top="1500" w:bottom="280" w:left="1140" w:right="0"/>
          <w:cols w:num="2" w:equalWidth="0">
            <w:col w:w="1616" w:space="2133"/>
            <w:col w:w="7351"/>
          </w:cols>
        </w:sectPr>
      </w:pPr>
    </w:p>
    <w:p>
      <w:pPr>
        <w:pStyle w:val="BodyText"/>
        <w:spacing w:before="3"/>
        <w:rPr>
          <w:rFonts w:ascii="Cambria Math"/>
        </w:rPr>
      </w:pPr>
    </w:p>
    <w:p>
      <w:pPr>
        <w:spacing w:line="102" w:lineRule="exact" w:before="0"/>
        <w:ind w:left="0" w:right="0" w:firstLine="0"/>
        <w:jc w:val="right"/>
        <w:rPr>
          <w:rFonts w:ascii="Cambria Math" w:eastAsia="Cambria Math"/>
          <w:sz w:val="13"/>
        </w:rPr>
      </w:pPr>
      <w:r>
        <w:rPr>
          <w:w w:val="100"/>
          <w:sz w:val="16"/>
          <w:u w:val="single"/>
        </w:rPr>
        <w:t> </w:t>
      </w:r>
      <w:r>
        <w:rPr>
          <w:rFonts w:ascii="Cambria Math" w:eastAsia="Cambria Math"/>
          <w:w w:val="110"/>
          <w:sz w:val="16"/>
          <w:u w:val="single"/>
        </w:rPr>
        <w:t>𝐸</w:t>
      </w:r>
      <w:r>
        <w:rPr>
          <w:rFonts w:ascii="Cambria Math" w:eastAsia="Cambria Math"/>
          <w:w w:val="110"/>
          <w:position w:val="-2"/>
          <w:sz w:val="13"/>
          <w:u w:val="single"/>
        </w:rPr>
        <w:t>𝑖𝑡</w:t>
      </w:r>
      <w:r>
        <w:rPr>
          <w:rFonts w:ascii="Cambria Math" w:eastAsia="Cambria Math"/>
          <w:position w:val="-2"/>
          <w:sz w:val="13"/>
          <w:u w:val="single"/>
        </w:rPr>
        <w:t> </w:t>
      </w:r>
    </w:p>
    <w:p>
      <w:pPr>
        <w:pStyle w:val="BodyText"/>
        <w:rPr>
          <w:rFonts w:ascii="Cambria Math"/>
          <w:sz w:val="16"/>
        </w:rPr>
      </w:pPr>
      <w:r>
        <w:rPr/>
        <w:br w:type="column"/>
      </w:r>
      <w:r>
        <w:rPr>
          <w:rFonts w:ascii="Cambria Math"/>
          <w:sz w:val="16"/>
        </w:rPr>
      </w:r>
    </w:p>
    <w:p>
      <w:pPr>
        <w:tabs>
          <w:tab w:pos="1305" w:val="left" w:leader="none"/>
        </w:tabs>
        <w:spacing w:line="64" w:lineRule="exact" w:before="111"/>
        <w:ind w:left="706" w:right="0" w:firstLine="0"/>
        <w:jc w:val="left"/>
        <w:rPr>
          <w:rFonts w:ascii="Cambria Math" w:hAnsi="Cambria Math" w:eastAsia="Cambria Math"/>
          <w:sz w:val="16"/>
        </w:rPr>
      </w:pPr>
      <w:r>
        <w:rPr/>
        <w:pict>
          <v:shape style="position:absolute;margin-left:297.410004pt;margin-top:14.109956pt;width:12.7pt;height:8.0500pt;mso-position-horizontal-relative:page;mso-position-vertical-relative:paragraph;z-index:-281226240" type="#_x0000_t202" filled="false" stroked="false">
            <v:textbox inset="0,0,0,0">
              <w:txbxContent>
                <w:p>
                  <w:pPr>
                    <w:spacing w:line="161" w:lineRule="exact" w:before="0"/>
                    <w:ind w:left="0" w:right="0" w:firstLine="0"/>
                    <w:jc w:val="left"/>
                    <w:rPr>
                      <w:rFonts w:ascii="Cambria Math" w:hAnsi="Cambria Math" w:eastAsia="Cambria Math"/>
                      <w:sz w:val="16"/>
                    </w:rPr>
                  </w:pPr>
                  <w:r>
                    <w:rPr>
                      <w:rFonts w:ascii="Cambria Math" w:hAnsi="Cambria Math" w:eastAsia="Cambria Math"/>
                      <w:w w:val="110"/>
                      <w:sz w:val="16"/>
                    </w:rPr>
                    <w:t>𝑗≠𝑖</w:t>
                  </w:r>
                </w:p>
              </w:txbxContent>
            </v:textbox>
            <w10:wrap type="none"/>
          </v:shape>
        </w:pict>
      </w:r>
      <w:r>
        <w:rPr>
          <w:rFonts w:ascii="Cambria Math" w:hAnsi="Cambria Math" w:eastAsia="Cambria Math"/>
          <w:sz w:val="16"/>
        </w:rPr>
        <w:t>∗</w:t>
        <w:tab/>
      </w:r>
      <w:r>
        <w:rPr>
          <w:rFonts w:ascii="Cambria Math" w:hAnsi="Cambria Math" w:eastAsia="Cambria Math"/>
          <w:spacing w:val="-106"/>
          <w:position w:val="1"/>
          <w:sz w:val="16"/>
        </w:rPr>
        <w:t>𝑁</w:t>
      </w:r>
    </w:p>
    <w:p>
      <w:pPr>
        <w:pStyle w:val="BodyText"/>
        <w:rPr>
          <w:rFonts w:ascii="Cambria Math"/>
          <w:sz w:val="21"/>
        </w:rPr>
      </w:pPr>
      <w:r>
        <w:rPr/>
        <w:br w:type="column"/>
      </w:r>
      <w:r>
        <w:rPr>
          <w:rFonts w:ascii="Cambria Math"/>
          <w:sz w:val="21"/>
        </w:rPr>
      </w:r>
    </w:p>
    <w:p>
      <w:pPr>
        <w:spacing w:line="117" w:lineRule="exact" w:before="0"/>
        <w:ind w:left="241" w:right="0" w:firstLine="0"/>
        <w:jc w:val="left"/>
        <w:rPr>
          <w:rFonts w:ascii="Cambria Math" w:eastAsia="Cambria Math"/>
          <w:sz w:val="13"/>
        </w:rPr>
      </w:pPr>
      <w:r>
        <w:rPr>
          <w:spacing w:val="-41"/>
          <w:w w:val="100"/>
          <w:sz w:val="16"/>
          <w:u w:val="single"/>
        </w:rPr>
        <w:t> </w:t>
      </w:r>
      <w:r>
        <w:rPr>
          <w:rFonts w:ascii="Cambria Math" w:eastAsia="Cambria Math"/>
          <w:spacing w:val="-1"/>
          <w:w w:val="115"/>
          <w:sz w:val="16"/>
          <w:u w:val="single"/>
        </w:rPr>
        <w:t>𝑃</w:t>
      </w:r>
      <w:r>
        <w:rPr>
          <w:rFonts w:ascii="Cambria Math" w:eastAsia="Cambria Math"/>
          <w:spacing w:val="-1"/>
          <w:w w:val="115"/>
          <w:position w:val="-2"/>
          <w:sz w:val="13"/>
          <w:u w:val="single"/>
        </w:rPr>
        <w:t>𝑗𝑡</w:t>
      </w:r>
      <w:r>
        <w:rPr>
          <w:rFonts w:ascii="Cambria Math" w:eastAsia="Cambria Math"/>
          <w:spacing w:val="-1"/>
          <w:w w:val="115"/>
          <w:sz w:val="16"/>
          <w:u w:val="single"/>
        </w:rPr>
        <w:t>/𝑃</w:t>
      </w:r>
      <w:r>
        <w:rPr>
          <w:rFonts w:ascii="Cambria Math" w:eastAsia="Cambria Math"/>
          <w:spacing w:val="-1"/>
          <w:w w:val="115"/>
          <w:position w:val="-2"/>
          <w:sz w:val="13"/>
          <w:u w:val="single"/>
        </w:rPr>
        <w:t>𝑗0</w:t>
      </w:r>
    </w:p>
    <w:p>
      <w:pPr>
        <w:pStyle w:val="BodyText"/>
        <w:spacing w:before="11"/>
        <w:rPr>
          <w:rFonts w:ascii="Cambria Math"/>
          <w:sz w:val="13"/>
        </w:rPr>
      </w:pPr>
      <w:r>
        <w:rPr/>
        <w:br w:type="column"/>
      </w:r>
      <w:r>
        <w:rPr>
          <w:rFonts w:ascii="Cambria Math"/>
          <w:sz w:val="13"/>
        </w:rPr>
      </w:r>
    </w:p>
    <w:p>
      <w:pPr>
        <w:spacing w:line="200" w:lineRule="exact" w:before="0"/>
        <w:ind w:left="67" w:right="0" w:firstLine="0"/>
        <w:jc w:val="left"/>
        <w:rPr>
          <w:rFonts w:ascii="Cambria Math" w:eastAsia="Cambria Math"/>
          <w:sz w:val="13"/>
        </w:rPr>
      </w:pPr>
      <w:r>
        <w:rPr>
          <w:rFonts w:ascii="Cambria Math" w:eastAsia="Cambria Math"/>
          <w:spacing w:val="-3"/>
          <w:w w:val="120"/>
          <w:position w:val="3"/>
          <w:sz w:val="16"/>
        </w:rPr>
        <w:t>𝑤</w:t>
      </w:r>
      <w:r>
        <w:rPr>
          <w:rFonts w:ascii="Cambria Math" w:eastAsia="Cambria Math"/>
          <w:spacing w:val="-3"/>
          <w:w w:val="120"/>
          <w:sz w:val="13"/>
        </w:rPr>
        <w:t>𝑗𝑡</w:t>
      </w:r>
    </w:p>
    <w:p>
      <w:pPr>
        <w:pStyle w:val="BodyText"/>
        <w:spacing w:before="3"/>
        <w:rPr>
          <w:rFonts w:ascii="Cambria Math"/>
        </w:rPr>
      </w:pPr>
      <w:r>
        <w:rPr/>
        <w:br w:type="column"/>
      </w:r>
      <w:r>
        <w:rPr>
          <w:rFonts w:ascii="Cambria Math"/>
        </w:rPr>
      </w:r>
    </w:p>
    <w:p>
      <w:pPr>
        <w:spacing w:line="102" w:lineRule="exact" w:before="0"/>
        <w:ind w:left="811" w:right="0" w:firstLine="0"/>
        <w:jc w:val="left"/>
        <w:rPr>
          <w:rFonts w:ascii="Cambria Math" w:eastAsia="Cambria Math"/>
          <w:sz w:val="13"/>
        </w:rPr>
      </w:pPr>
      <w:r>
        <w:rPr>
          <w:w w:val="100"/>
          <w:sz w:val="16"/>
          <w:u w:val="single"/>
        </w:rPr>
        <w:t> </w:t>
      </w:r>
      <w:r>
        <w:rPr>
          <w:rFonts w:ascii="Cambria Math" w:eastAsia="Cambria Math"/>
          <w:w w:val="115"/>
          <w:sz w:val="16"/>
          <w:u w:val="single"/>
        </w:rPr>
        <w:t>𝑃</w:t>
      </w:r>
      <w:r>
        <w:rPr>
          <w:rFonts w:ascii="Cambria Math" w:eastAsia="Cambria Math"/>
          <w:w w:val="115"/>
          <w:position w:val="-2"/>
          <w:sz w:val="13"/>
          <w:u w:val="single"/>
        </w:rPr>
        <w:t>𝑖𝑡</w:t>
      </w:r>
      <w:r>
        <w:rPr>
          <w:rFonts w:ascii="Cambria Math" w:eastAsia="Cambria Math"/>
          <w:position w:val="-2"/>
          <w:sz w:val="13"/>
          <w:u w:val="single"/>
        </w:rPr>
        <w:t> </w:t>
      </w:r>
    </w:p>
    <w:p>
      <w:pPr>
        <w:spacing w:after="0" w:line="102" w:lineRule="exact"/>
        <w:jc w:val="left"/>
        <w:rPr>
          <w:rFonts w:ascii="Cambria Math" w:eastAsia="Cambria Math"/>
          <w:sz w:val="13"/>
        </w:rPr>
        <w:sectPr>
          <w:type w:val="continuous"/>
          <w:pgSz w:w="12240" w:h="15840"/>
          <w:pgMar w:top="1500" w:bottom="280" w:left="1140" w:right="0"/>
          <w:cols w:num="5" w:equalWidth="0">
            <w:col w:w="3463" w:space="40"/>
            <w:col w:w="1428" w:space="39"/>
            <w:col w:w="807" w:space="39"/>
            <w:col w:w="323" w:space="39"/>
            <w:col w:w="4922"/>
          </w:cols>
        </w:sectPr>
      </w:pPr>
    </w:p>
    <w:p>
      <w:pPr>
        <w:spacing w:line="204" w:lineRule="auto" w:before="0"/>
        <w:ind w:left="0" w:right="0" w:firstLine="0"/>
        <w:jc w:val="right"/>
        <w:rPr>
          <w:rFonts w:ascii="Cambria Math" w:eastAsia="Cambria Math"/>
          <w:sz w:val="16"/>
        </w:rPr>
      </w:pPr>
      <w:r>
        <w:rPr>
          <w:rFonts w:ascii="Cambria Math" w:eastAsia="Cambria Math"/>
          <w:w w:val="105"/>
          <w:sz w:val="22"/>
        </w:rPr>
        <w:t>𝐸</w:t>
      </w:r>
      <w:r>
        <w:rPr>
          <w:rFonts w:ascii="Cambria Math" w:eastAsia="Cambria Math"/>
          <w:w w:val="105"/>
          <w:position w:val="-4"/>
          <w:sz w:val="16"/>
        </w:rPr>
        <w:t>𝑡 </w:t>
      </w:r>
      <w:r>
        <w:rPr>
          <w:rFonts w:ascii="Cambria Math" w:eastAsia="Cambria Math"/>
          <w:w w:val="105"/>
          <w:sz w:val="22"/>
        </w:rPr>
        <w:t>= </w:t>
      </w:r>
      <w:r>
        <w:rPr>
          <w:rFonts w:ascii="Cambria Math" w:eastAsia="Cambria Math"/>
          <w:w w:val="105"/>
          <w:position w:val="-10"/>
          <w:sz w:val="16"/>
        </w:rPr>
        <w:t>𝐸</w:t>
      </w:r>
    </w:p>
    <w:p>
      <w:pPr>
        <w:pStyle w:val="BodyText"/>
        <w:rPr>
          <w:rFonts w:ascii="Cambria Math"/>
          <w:sz w:val="17"/>
        </w:rPr>
      </w:pPr>
      <w:r>
        <w:rPr/>
        <w:br w:type="column"/>
      </w:r>
      <w:r>
        <w:rPr>
          <w:rFonts w:ascii="Cambria Math"/>
          <w:sz w:val="17"/>
        </w:rPr>
      </w:r>
    </w:p>
    <w:p>
      <w:pPr>
        <w:spacing w:before="0"/>
        <w:ind w:left="-40" w:right="0" w:firstLine="0"/>
        <w:jc w:val="left"/>
        <w:rPr>
          <w:rFonts w:ascii="Cambria Math" w:eastAsia="Cambria Math"/>
          <w:sz w:val="13"/>
        </w:rPr>
      </w:pPr>
      <w:r>
        <w:rPr>
          <w:rFonts w:ascii="Cambria Math" w:eastAsia="Cambria Math"/>
          <w:w w:val="110"/>
          <w:sz w:val="13"/>
        </w:rPr>
        <w:t>𝑖0</w:t>
      </w:r>
    </w:p>
    <w:p>
      <w:pPr>
        <w:pStyle w:val="BodyText"/>
        <w:tabs>
          <w:tab w:pos="569" w:val="left" w:leader="none"/>
        </w:tabs>
        <w:spacing w:line="239" w:lineRule="exact"/>
        <w:ind w:left="168"/>
        <w:rPr>
          <w:rFonts w:ascii="Cambria Math" w:eastAsia="Cambria Math"/>
        </w:rPr>
      </w:pPr>
      <w:r>
        <w:rPr/>
        <w:br w:type="column"/>
      </w:r>
      <w:r>
        <w:rPr>
          <w:rFonts w:ascii="Calibri" w:eastAsia="Calibri"/>
        </w:rPr>
        <w:t>,</w:t>
        <w:tab/>
      </w:r>
      <w:r>
        <w:rPr>
          <w:rFonts w:ascii="Cambria Math" w:eastAsia="Cambria Math"/>
          <w:spacing w:val="-153"/>
        </w:rPr>
        <w:t>𝑃</w:t>
      </w:r>
    </w:p>
    <w:p>
      <w:pPr>
        <w:pStyle w:val="BodyText"/>
        <w:tabs>
          <w:tab w:pos="862" w:val="left" w:leader="none"/>
          <w:tab w:pos="1534" w:val="left" w:leader="none"/>
        </w:tabs>
        <w:spacing w:line="185" w:lineRule="exact"/>
        <w:ind w:left="113"/>
        <w:rPr>
          <w:rFonts w:ascii="Cambria Math" w:hAnsi="Cambria Math"/>
        </w:rPr>
      </w:pPr>
      <w:r>
        <w:rPr/>
        <w:br w:type="column"/>
      </w:r>
      <w:r>
        <w:rPr>
          <w:rFonts w:ascii="Cambria Math" w:hAnsi="Cambria Math"/>
          <w:w w:val="110"/>
        </w:rPr>
        <w:t>=</w:t>
      </w:r>
      <w:r>
        <w:rPr>
          <w:rFonts w:ascii="Cambria Math" w:hAnsi="Cambria Math"/>
          <w:spacing w:val="39"/>
          <w:w w:val="110"/>
        </w:rPr>
        <w:t> </w:t>
      </w:r>
      <w:r>
        <w:rPr>
          <w:rFonts w:ascii="Cambria Math" w:hAnsi="Cambria Math"/>
          <w:w w:val="110"/>
          <w:position w:val="1"/>
        </w:rPr>
        <w:t>∏</w:t>
        <w:tab/>
      </w:r>
      <w:r>
        <w:rPr>
          <w:rFonts w:ascii="Cambria Math" w:hAnsi="Cambria Math"/>
          <w:w w:val="110"/>
        </w:rPr>
        <w:t>(</w:t>
        <w:tab/>
      </w:r>
      <w:r>
        <w:rPr>
          <w:rFonts w:ascii="Cambria Math" w:hAnsi="Cambria Math"/>
          <w:spacing w:val="-20"/>
          <w:w w:val="110"/>
        </w:rPr>
        <w:t>)</w:t>
      </w:r>
    </w:p>
    <w:p>
      <w:pPr>
        <w:spacing w:line="167" w:lineRule="exact" w:before="0"/>
        <w:ind w:left="970" w:right="0" w:firstLine="0"/>
        <w:jc w:val="left"/>
        <w:rPr>
          <w:rFonts w:ascii="Cambria Math" w:eastAsia="Cambria Math"/>
          <w:sz w:val="13"/>
        </w:rPr>
      </w:pPr>
      <w:r>
        <w:rPr>
          <w:rFonts w:ascii="Cambria Math" w:eastAsia="Cambria Math"/>
          <w:w w:val="115"/>
          <w:position w:val="3"/>
          <w:sz w:val="16"/>
        </w:rPr>
        <w:t>𝐸</w:t>
      </w:r>
      <w:r>
        <w:rPr>
          <w:rFonts w:ascii="Cambria Math" w:eastAsia="Cambria Math"/>
          <w:w w:val="115"/>
          <w:sz w:val="13"/>
        </w:rPr>
        <w:t>𝑗𝑡</w:t>
      </w:r>
      <w:r>
        <w:rPr>
          <w:rFonts w:ascii="Cambria Math" w:eastAsia="Cambria Math"/>
          <w:w w:val="115"/>
          <w:position w:val="3"/>
          <w:sz w:val="16"/>
        </w:rPr>
        <w:t>/𝐸</w:t>
      </w:r>
      <w:r>
        <w:rPr>
          <w:rFonts w:ascii="Cambria Math" w:eastAsia="Cambria Math"/>
          <w:w w:val="115"/>
          <w:sz w:val="13"/>
        </w:rPr>
        <w:t>𝑗0</w:t>
      </w:r>
    </w:p>
    <w:p>
      <w:pPr>
        <w:tabs>
          <w:tab w:pos="582" w:val="left" w:leader="none"/>
        </w:tabs>
        <w:spacing w:line="265" w:lineRule="exact" w:before="0"/>
        <w:ind w:left="230" w:right="0" w:firstLine="0"/>
        <w:jc w:val="left"/>
        <w:rPr>
          <w:rFonts w:ascii="Cambria Math" w:eastAsia="Cambria Math"/>
          <w:sz w:val="22"/>
        </w:rPr>
      </w:pPr>
      <w:r>
        <w:rPr/>
        <w:br w:type="column"/>
      </w:r>
      <w:r>
        <w:rPr>
          <w:rFonts w:ascii="Calibri" w:eastAsia="Calibri"/>
          <w:w w:val="105"/>
          <w:sz w:val="22"/>
        </w:rPr>
        <w:t>,</w:t>
        <w:tab/>
      </w:r>
      <w:r>
        <w:rPr>
          <w:rFonts w:ascii="Cambria Math" w:eastAsia="Cambria Math"/>
          <w:spacing w:val="-13"/>
          <w:w w:val="105"/>
          <w:sz w:val="22"/>
        </w:rPr>
        <w:t>𝑃</w:t>
      </w:r>
      <w:r>
        <w:rPr>
          <w:rFonts w:ascii="Cambria Math" w:eastAsia="Cambria Math"/>
          <w:spacing w:val="-13"/>
          <w:w w:val="105"/>
          <w:position w:val="-4"/>
          <w:sz w:val="16"/>
        </w:rPr>
        <w:t>𝑡</w:t>
      </w:r>
      <w:r>
        <w:rPr>
          <w:rFonts w:ascii="Cambria Math" w:eastAsia="Cambria Math"/>
          <w:spacing w:val="5"/>
          <w:w w:val="105"/>
          <w:position w:val="-4"/>
          <w:sz w:val="16"/>
        </w:rPr>
        <w:t> </w:t>
      </w:r>
      <w:r>
        <w:rPr>
          <w:rFonts w:ascii="Cambria Math" w:eastAsia="Cambria Math"/>
          <w:spacing w:val="-18"/>
          <w:w w:val="105"/>
          <w:sz w:val="22"/>
        </w:rPr>
        <w:t>=</w:t>
      </w:r>
    </w:p>
    <w:p>
      <w:pPr>
        <w:spacing w:before="141"/>
        <w:ind w:left="20" w:right="0" w:firstLine="0"/>
        <w:jc w:val="left"/>
        <w:rPr>
          <w:rFonts w:ascii="Cambria Math" w:eastAsia="Cambria Math"/>
          <w:sz w:val="13"/>
        </w:rPr>
      </w:pPr>
      <w:r>
        <w:rPr/>
        <w:br w:type="column"/>
      </w:r>
      <w:r>
        <w:rPr>
          <w:rFonts w:ascii="Cambria Math" w:eastAsia="Cambria Math"/>
          <w:w w:val="110"/>
          <w:position w:val="3"/>
          <w:sz w:val="16"/>
        </w:rPr>
        <w:t>𝑃</w:t>
      </w:r>
      <w:r>
        <w:rPr>
          <w:rFonts w:ascii="Cambria Math" w:eastAsia="Cambria Math"/>
          <w:w w:val="110"/>
          <w:sz w:val="13"/>
        </w:rPr>
        <w:t>𝑖0</w:t>
      </w:r>
    </w:p>
    <w:p>
      <w:pPr>
        <w:spacing w:after="0"/>
        <w:jc w:val="left"/>
        <w:rPr>
          <w:rFonts w:ascii="Cambria Math" w:eastAsia="Cambria Math"/>
          <w:sz w:val="13"/>
        </w:rPr>
        <w:sectPr>
          <w:type w:val="continuous"/>
          <w:pgSz w:w="12240" w:h="15840"/>
          <w:pgMar w:top="1500" w:bottom="280" w:left="1140" w:right="0"/>
          <w:cols w:num="6" w:equalWidth="0">
            <w:col w:w="3330" w:space="40"/>
            <w:col w:w="86" w:space="39"/>
            <w:col w:w="707" w:space="39"/>
            <w:col w:w="1644" w:space="40"/>
            <w:col w:w="1005" w:space="39"/>
            <w:col w:w="4131"/>
          </w:cols>
        </w:sectPr>
      </w:pPr>
    </w:p>
    <w:p>
      <w:pPr>
        <w:pStyle w:val="BodyText"/>
        <w:spacing w:line="261" w:lineRule="auto" w:before="156"/>
        <w:ind w:left="622" w:right="1758"/>
        <w:jc w:val="both"/>
      </w:pPr>
      <w:r>
        <w:rPr/>
        <w:pict>
          <v:group style="position:absolute;margin-left:81.984001pt;margin-top:74.160004pt;width:448.2pt;height:644.65pt;mso-position-horizontal-relative:page;mso-position-vertical-relative:page;z-index:-281230336" coordorigin="1640,1483" coordsize="8964,12893">
            <v:shape style="position:absolute;left:1670;top:1514;width:8901;height:12835" coordorigin="1671,1514" coordsize="8901,12835" path="m10571,1514l10480,1514,1762,1514,1671,1514,1671,14349,10571,14349,10571,1514e" filled="true" fillcolor="#bcd5ed" stroked="false">
              <v:path arrowok="t"/>
              <v:fill type="solid"/>
            </v:shape>
            <v:rect style="position:absolute;left:1668;top:1483;width:8906;height:29" filled="true" fillcolor="#000000" stroked="false">
              <v:fill type="solid"/>
            </v:rect>
            <v:line style="position:absolute" from="1668,1513" to="10574,1513" stroked="true" strokeweight=".12pt" strokecolor="#bcd5ed">
              <v:stroke dashstyle="solid"/>
            </v:line>
            <v:line style="position:absolute" from="1654,1483" to="1654,14376" stroked="true" strokeweight="1.44pt" strokecolor="#000000">
              <v:stroke dashstyle="solid"/>
            </v:line>
            <v:rect style="position:absolute;left:1668;top:14346;width:8906;height:29" filled="true" fillcolor="#000000" stroked="false">
              <v:fill type="solid"/>
            </v:rect>
            <v:line style="position:absolute" from="10588,1483" to="10588,14376" stroked="true" strokeweight="1.44pt" strokecolor="#000000">
              <v:stroke dashstyle="solid"/>
            </v:line>
            <v:rect style="position:absolute;left:1833;top:11265;width:4200;height:2830" filled="true" fillcolor="#ffffff" stroked="false">
              <v:fill type="solid"/>
            </v:rect>
            <v:line style="position:absolute" from="2378,13601" to="5813,13601" stroked="true" strokeweight=".72pt" strokecolor="#d9d9d9">
              <v:stroke dashstyle="solid"/>
            </v:line>
            <v:shape style="position:absolute;left:2378;top:11876;width:3393;height:1332" coordorigin="2378,11876" coordsize="3393,1332" path="m2378,13031l2420,13064,2504,13048,2588,13009,2672,12995,2756,13136,2840,12668,2922,12277,3006,12244,3090,12246,3174,11876,3258,12121,3342,12160,3426,12150,3510,12236,3594,12380,3676,12464,3760,12553,3844,12548,3928,12332,4012,12292,4096,12263,4180,12493,4264,12536,4348,12620,4432,12736,4513,12808,4597,12829,4681,12894,4765,12844,4849,12872,4933,12928,5017,12954,5101,12983,5185,13021,5269,13079,5351,13132,5435,13182,5519,13170,5603,13180,5687,13206,5771,13208e" filled="false" stroked="true" strokeweight="2.280pt" strokecolor="#001f5f">
              <v:path arrowok="t"/>
              <v:stroke dashstyle="solid"/>
            </v:shape>
            <v:rect style="position:absolute;left:6364;top:11265;width:3951;height:2830" filled="true" fillcolor="#ffffff" stroked="false">
              <v:fill type="solid"/>
            </v:rect>
            <v:shape style="position:absolute;left:7066;top:12470;width:346;height:1133" coordorigin="7067,12470" coordsize="346,1133" path="m7067,12470l7067,12850m7240,12470l7240,13265m7412,12470l7412,13603e" filled="false" stroked="true" strokeweight="3.48pt" strokecolor="#c00000">
              <v:path arrowok="t"/>
              <v:stroke dashstyle="solid"/>
            </v:shape>
            <v:line style="position:absolute" from="7585,12470" to="7585,13030" stroked="true" strokeweight="3.48pt" strokecolor="#c00000">
              <v:stroke dashstyle="solid"/>
            </v:line>
            <v:line style="position:absolute" from="7758,12470" to="7758,13020" stroked="true" strokeweight="3.48pt" strokecolor="#c00000">
              <v:stroke dashstyle="solid"/>
            </v:line>
            <v:line style="position:absolute" from="7932,12204" to="7932,12470" stroked="true" strokeweight="3.36pt" strokecolor="#c00000">
              <v:stroke dashstyle="solid"/>
            </v:line>
            <v:shape style="position:absolute;left:8071;top:12360;width:243;height:233" coordorigin="8071,12360" coordsize="243,233" path="m8138,12470l8071,12470,8071,12593,8138,12593,8138,12470m8314,12360l8244,12360,8244,12470,8314,12470,8314,12360e" filled="true" fillcolor="#c00000" stroked="false">
              <v:path arrowok="t"/>
              <v:fill type="solid"/>
            </v:shape>
            <v:line style="position:absolute" from="8452,12470" to="8452,12890" stroked="true" strokeweight="3.48pt" strokecolor="#c00000">
              <v:stroke dashstyle="solid"/>
            </v:line>
            <v:rect style="position:absolute;left:8589;top:12470;width:70;height:3" filled="true" fillcolor="#c00000" stroked="false">
              <v:fill type="solid"/>
            </v:rect>
            <v:shape style="position:absolute;left:8797;top:12007;width:173;height:1498" coordorigin="8797,12007" coordsize="173,1498" path="m8797,12007l8797,12470m8970,12470l8970,13505e" filled="false" stroked="true" strokeweight="3.48pt" strokecolor="#c00000">
              <v:path arrowok="t"/>
              <v:stroke dashstyle="solid"/>
            </v:shape>
            <v:line style="position:absolute" from="9143,12470" to="9143,12732" stroked="true" strokeweight="3.48pt" strokecolor="#c00000">
              <v:stroke dashstyle="solid"/>
            </v:line>
            <v:shape style="position:absolute;left:9280;top:12470;width:243;height:41" coordorigin="9281,12470" coordsize="243,41" path="m9350,12470l9281,12470,9281,12511,9350,12511,9350,12470m9523,12470l9454,12470,9454,12487,9523,12487,9523,12470e" filled="true" fillcolor="#c00000" stroked="false">
              <v:path arrowok="t"/>
              <v:fill type="solid"/>
            </v:shape>
            <v:line style="position:absolute" from="9661,12470" to="9661,12866" stroked="true" strokeweight="3.48pt" strokecolor="#c00000">
              <v:stroke dashstyle="solid"/>
            </v:line>
            <v:line style="position:absolute" from="9834,12470" to="9834,12802" stroked="true" strokeweight="3.48pt" strokecolor="#c00000">
              <v:stroke dashstyle="solid"/>
            </v:line>
            <v:line style="position:absolute" from="10008,12161" to="10008,12470" stroked="true" strokeweight="3.36pt" strokecolor="#c00000">
              <v:stroke dashstyle="solid"/>
            </v:line>
            <v:shape style="position:absolute;left:7032;top:12379;width:243;height:576" coordorigin="7032,12379" coordsize="243,576" path="m7102,12850l7032,12850,7032,12955,7102,12955,7102,12850m7274,12379l7205,12379,7205,12470,7274,12470,7274,12379e" filled="true" fillcolor="#4471c4" stroked="false">
              <v:path arrowok="t"/>
              <v:fill type="solid"/>
            </v:shape>
            <v:line style="position:absolute" from="7412,11830" to="7412,12470" stroked="true" strokeweight="3.48pt" strokecolor="#4471c4">
              <v:stroke dashstyle="solid"/>
            </v:line>
            <v:line style="position:absolute" from="7585,12062" to="7585,12470" stroked="true" strokeweight="3.48pt" strokecolor="#4471c4">
              <v:stroke dashstyle="solid"/>
            </v:line>
            <v:shape style="position:absolute;left:7723;top:12105;width:416;height:567" coordorigin="7723,12106" coordsize="416,567" path="m7793,12386l7723,12386,7723,12470,7793,12470,7793,12386m7966,12106l7898,12106,7898,12204,7966,12204,7966,12106m8138,12593l8071,12593,8071,12672,8138,12672,8138,12593e" filled="true" fillcolor="#4471c4" stroked="false">
              <v:path arrowok="t"/>
              <v:fill type="solid"/>
            </v:shape>
            <v:line style="position:absolute" from="8279,12470" to="8279,12994" stroked="true" strokeweight="3.48pt" strokecolor="#4471c4">
              <v:stroke dashstyle="solid"/>
            </v:line>
            <v:shape style="position:absolute;left:8451;top:11906;width:519;height:1361" coordorigin="8452,11906" coordsize="519,1361" path="m8452,12262l8452,12470m8624,12473l8624,12722m8797,12470l8797,13267m8970,11906l8970,12470e" filled="false" stroked="true" strokeweight="3.48pt" strokecolor="#4471c4">
              <v:path arrowok="t"/>
              <v:stroke dashstyle="solid"/>
            </v:shape>
            <v:line style="position:absolute" from="9143,12732" to="9143,12948" stroked="true" strokeweight="3.48pt" strokecolor="#4471c4">
              <v:stroke dashstyle="solid"/>
            </v:line>
            <v:line style="position:absolute" from="9316,12511" to="9316,12958" stroked="true" strokeweight="3.48pt" strokecolor="#4471c4">
              <v:stroke dashstyle="solid"/>
            </v:line>
            <v:rect style="position:absolute;left:9453;top:12393;width:70;height:77" filled="true" fillcolor="#4471c4" stroked="false">
              <v:fill type="solid"/>
            </v:rect>
            <v:line style="position:absolute" from="9661,12149" to="9661,12470" stroked="true" strokeweight="3.48pt" strokecolor="#4471c4">
              <v:stroke dashstyle="solid"/>
            </v:line>
            <v:rect style="position:absolute;left:9799;top:12427;width:70;height:44" filled="true" fillcolor="#4471c4" stroked="false">
              <v:fill type="solid"/>
            </v:rect>
            <v:line style="position:absolute" from="10008,12470" to="10008,12816" stroked="true" strokeweight="3.36pt" strokecolor="#4471c4">
              <v:stroke dashstyle="solid"/>
            </v:line>
            <v:line style="position:absolute" from="6982,12470" to="10094,12470" stroked="true" strokeweight=".72pt" strokecolor="#d9d9d9">
              <v:stroke dashstyle="solid"/>
            </v:line>
            <v:shape style="position:absolute;left:7066;top:12097;width:2940;height:1047" coordorigin="7067,12097" coordsize="2940,1047" path="m7067,12940l7240,13144,7412,12947,7585,12618,7758,12920,7931,12097,8106,12668,8279,12870,8452,12676,8624,12719,8797,12796,8970,12925,9143,12935,9316,12944,9488,12409,9661,12544,9834,12755,10007,12505e" filled="false" stroked="true" strokeweight="2.280pt" strokecolor="#ffc000">
              <v:path arrowok="t"/>
              <v:stroke dashstyle="solid"/>
            </v:shape>
            <v:line style="position:absolute" from="7730,11320" to="8114,11320" stroked="true" strokeweight="2.52pt" strokecolor="#c00000">
              <v:stroke dashstyle="solid"/>
            </v:line>
            <v:line style="position:absolute" from="7730,11422" to="8114,11422" stroked="true" strokeweight="2.4pt" strokecolor="#4471c4">
              <v:stroke dashstyle="solid"/>
            </v:line>
            <w10:wrap type="none"/>
          </v:group>
        </w:pict>
      </w:r>
      <w:r>
        <w:rPr/>
        <w:pict>
          <v:shape style="position:absolute;margin-left:116.207855pt;margin-top:683.29657pt;width:177.25pt;height:16.05pt;mso-position-horizontal-relative:page;mso-position-vertical-relative:page;z-index:252090368" type="#_x0000_t202" filled="false" stroked="false">
            <v:textbox inset="0,0,0,0" style="layout-flow:vertical;mso-layout-flow-alt:bottom-to-top">
              <w:txbxContent>
                <w:p>
                  <w:pPr>
                    <w:spacing w:before="13"/>
                    <w:ind w:left="20" w:right="0" w:firstLine="0"/>
                    <w:jc w:val="left"/>
                    <w:rPr>
                      <w:sz w:val="14"/>
                    </w:rPr>
                  </w:pPr>
                  <w:r>
                    <w:rPr>
                      <w:color w:val="585858"/>
                      <w:sz w:val="14"/>
                    </w:rPr>
                    <w:t>1981</w:t>
                  </w:r>
                </w:p>
                <w:p>
                  <w:pPr>
                    <w:spacing w:before="6"/>
                    <w:ind w:left="20" w:right="0" w:firstLine="0"/>
                    <w:jc w:val="left"/>
                    <w:rPr>
                      <w:sz w:val="14"/>
                    </w:rPr>
                  </w:pPr>
                  <w:r>
                    <w:rPr>
                      <w:color w:val="585858"/>
                      <w:sz w:val="14"/>
                    </w:rPr>
                    <w:t>1983</w:t>
                  </w:r>
                </w:p>
                <w:p>
                  <w:pPr>
                    <w:spacing w:before="7"/>
                    <w:ind w:left="20" w:right="0" w:firstLine="0"/>
                    <w:jc w:val="left"/>
                    <w:rPr>
                      <w:sz w:val="14"/>
                    </w:rPr>
                  </w:pPr>
                  <w:r>
                    <w:rPr>
                      <w:color w:val="585858"/>
                      <w:sz w:val="14"/>
                    </w:rPr>
                    <w:t>1985</w:t>
                  </w:r>
                </w:p>
                <w:p>
                  <w:pPr>
                    <w:spacing w:before="7"/>
                    <w:ind w:left="20" w:right="0" w:firstLine="0"/>
                    <w:jc w:val="left"/>
                    <w:rPr>
                      <w:sz w:val="14"/>
                    </w:rPr>
                  </w:pPr>
                  <w:r>
                    <w:rPr>
                      <w:color w:val="585858"/>
                      <w:sz w:val="14"/>
                    </w:rPr>
                    <w:t>1987</w:t>
                  </w:r>
                </w:p>
                <w:p>
                  <w:pPr>
                    <w:spacing w:before="6"/>
                    <w:ind w:left="20" w:right="0" w:firstLine="0"/>
                    <w:jc w:val="left"/>
                    <w:rPr>
                      <w:sz w:val="14"/>
                    </w:rPr>
                  </w:pPr>
                  <w:r>
                    <w:rPr>
                      <w:color w:val="585858"/>
                      <w:sz w:val="14"/>
                    </w:rPr>
                    <w:t>1989</w:t>
                  </w:r>
                </w:p>
                <w:p>
                  <w:pPr>
                    <w:spacing w:before="7"/>
                    <w:ind w:left="20" w:right="0" w:firstLine="0"/>
                    <w:jc w:val="left"/>
                    <w:rPr>
                      <w:sz w:val="14"/>
                    </w:rPr>
                  </w:pPr>
                  <w:r>
                    <w:rPr>
                      <w:color w:val="585858"/>
                      <w:sz w:val="14"/>
                    </w:rPr>
                    <w:t>1991</w:t>
                  </w:r>
                </w:p>
                <w:p>
                  <w:pPr>
                    <w:spacing w:before="6"/>
                    <w:ind w:left="20" w:right="0" w:firstLine="0"/>
                    <w:jc w:val="left"/>
                    <w:rPr>
                      <w:sz w:val="14"/>
                    </w:rPr>
                  </w:pPr>
                  <w:r>
                    <w:rPr>
                      <w:color w:val="585858"/>
                      <w:sz w:val="14"/>
                    </w:rPr>
                    <w:t>1993</w:t>
                  </w:r>
                </w:p>
                <w:p>
                  <w:pPr>
                    <w:spacing w:before="7"/>
                    <w:ind w:left="20" w:right="0" w:firstLine="0"/>
                    <w:jc w:val="left"/>
                    <w:rPr>
                      <w:sz w:val="14"/>
                    </w:rPr>
                  </w:pPr>
                  <w:r>
                    <w:rPr>
                      <w:color w:val="585858"/>
                      <w:sz w:val="14"/>
                    </w:rPr>
                    <w:t>1995</w:t>
                  </w:r>
                </w:p>
                <w:p>
                  <w:pPr>
                    <w:spacing w:before="6"/>
                    <w:ind w:left="20" w:right="0" w:firstLine="0"/>
                    <w:jc w:val="left"/>
                    <w:rPr>
                      <w:sz w:val="14"/>
                    </w:rPr>
                  </w:pPr>
                  <w:r>
                    <w:rPr>
                      <w:color w:val="585858"/>
                      <w:sz w:val="14"/>
                    </w:rPr>
                    <w:t>1997</w:t>
                  </w:r>
                </w:p>
                <w:p>
                  <w:pPr>
                    <w:spacing w:before="7"/>
                    <w:ind w:left="20" w:right="0" w:firstLine="0"/>
                    <w:jc w:val="left"/>
                    <w:rPr>
                      <w:sz w:val="14"/>
                    </w:rPr>
                  </w:pPr>
                  <w:r>
                    <w:rPr>
                      <w:color w:val="585858"/>
                      <w:sz w:val="14"/>
                    </w:rPr>
                    <w:t>1999</w:t>
                  </w:r>
                </w:p>
                <w:p>
                  <w:pPr>
                    <w:spacing w:before="6"/>
                    <w:ind w:left="20" w:right="0" w:firstLine="0"/>
                    <w:jc w:val="left"/>
                    <w:rPr>
                      <w:sz w:val="14"/>
                    </w:rPr>
                  </w:pPr>
                  <w:r>
                    <w:rPr>
                      <w:color w:val="585858"/>
                      <w:sz w:val="14"/>
                    </w:rPr>
                    <w:t>2001</w:t>
                  </w:r>
                </w:p>
                <w:p>
                  <w:pPr>
                    <w:spacing w:before="7"/>
                    <w:ind w:left="20" w:right="0" w:firstLine="0"/>
                    <w:jc w:val="left"/>
                    <w:rPr>
                      <w:sz w:val="14"/>
                    </w:rPr>
                  </w:pPr>
                  <w:r>
                    <w:rPr>
                      <w:color w:val="585858"/>
                      <w:sz w:val="14"/>
                    </w:rPr>
                    <w:t>2003</w:t>
                  </w:r>
                </w:p>
                <w:p>
                  <w:pPr>
                    <w:spacing w:before="7"/>
                    <w:ind w:left="20" w:right="0" w:firstLine="0"/>
                    <w:jc w:val="left"/>
                    <w:rPr>
                      <w:sz w:val="14"/>
                    </w:rPr>
                  </w:pPr>
                  <w:r>
                    <w:rPr>
                      <w:color w:val="585858"/>
                      <w:sz w:val="14"/>
                    </w:rPr>
                    <w:t>2005</w:t>
                  </w:r>
                </w:p>
                <w:p>
                  <w:pPr>
                    <w:spacing w:before="6"/>
                    <w:ind w:left="20" w:right="0" w:firstLine="0"/>
                    <w:jc w:val="left"/>
                    <w:rPr>
                      <w:sz w:val="14"/>
                    </w:rPr>
                  </w:pPr>
                  <w:r>
                    <w:rPr>
                      <w:color w:val="585858"/>
                      <w:sz w:val="14"/>
                    </w:rPr>
                    <w:t>2007</w:t>
                  </w:r>
                </w:p>
                <w:p>
                  <w:pPr>
                    <w:spacing w:before="7"/>
                    <w:ind w:left="20" w:right="0" w:firstLine="0"/>
                    <w:jc w:val="left"/>
                    <w:rPr>
                      <w:sz w:val="14"/>
                    </w:rPr>
                  </w:pPr>
                  <w:r>
                    <w:rPr>
                      <w:color w:val="585858"/>
                      <w:sz w:val="14"/>
                    </w:rPr>
                    <w:t>2009</w:t>
                  </w:r>
                </w:p>
                <w:p>
                  <w:pPr>
                    <w:spacing w:before="6"/>
                    <w:ind w:left="20" w:right="0" w:firstLine="0"/>
                    <w:jc w:val="left"/>
                    <w:rPr>
                      <w:sz w:val="14"/>
                    </w:rPr>
                  </w:pPr>
                  <w:r>
                    <w:rPr>
                      <w:color w:val="585858"/>
                      <w:sz w:val="14"/>
                    </w:rPr>
                    <w:t>2011</w:t>
                  </w:r>
                </w:p>
                <w:p>
                  <w:pPr>
                    <w:spacing w:before="7"/>
                    <w:ind w:left="20" w:right="0" w:firstLine="0"/>
                    <w:jc w:val="left"/>
                    <w:rPr>
                      <w:sz w:val="14"/>
                    </w:rPr>
                  </w:pPr>
                  <w:r>
                    <w:rPr>
                      <w:color w:val="585858"/>
                      <w:sz w:val="14"/>
                    </w:rPr>
                    <w:t>2013</w:t>
                  </w:r>
                </w:p>
                <w:p>
                  <w:pPr>
                    <w:spacing w:before="6"/>
                    <w:ind w:left="20" w:right="0" w:firstLine="0"/>
                    <w:jc w:val="left"/>
                    <w:rPr>
                      <w:sz w:val="14"/>
                    </w:rPr>
                  </w:pPr>
                  <w:r>
                    <w:rPr>
                      <w:color w:val="585858"/>
                      <w:sz w:val="14"/>
                    </w:rPr>
                    <w:t>2015</w:t>
                  </w:r>
                </w:p>
                <w:p>
                  <w:pPr>
                    <w:spacing w:before="7"/>
                    <w:ind w:left="20" w:right="0" w:firstLine="0"/>
                    <w:jc w:val="left"/>
                    <w:rPr>
                      <w:sz w:val="14"/>
                    </w:rPr>
                  </w:pPr>
                  <w:r>
                    <w:rPr>
                      <w:color w:val="585858"/>
                      <w:sz w:val="14"/>
                    </w:rPr>
                    <w:t>2017</w:t>
                  </w:r>
                </w:p>
                <w:p>
                  <w:pPr>
                    <w:spacing w:before="7"/>
                    <w:ind w:left="20" w:right="0" w:firstLine="0"/>
                    <w:jc w:val="left"/>
                    <w:rPr>
                      <w:sz w:val="14"/>
                    </w:rPr>
                  </w:pPr>
                  <w:r>
                    <w:rPr>
                      <w:color w:val="585858"/>
                      <w:sz w:val="14"/>
                    </w:rPr>
                    <w:t>2019</w:t>
                  </w:r>
                </w:p>
                <w:p>
                  <w:pPr>
                    <w:spacing w:before="6"/>
                    <w:ind w:left="20" w:right="0" w:firstLine="0"/>
                    <w:jc w:val="left"/>
                    <w:rPr>
                      <w:sz w:val="14"/>
                    </w:rPr>
                  </w:pPr>
                  <w:r>
                    <w:rPr>
                      <w:color w:val="585858"/>
                      <w:sz w:val="14"/>
                    </w:rPr>
                    <w:t>2021</w:t>
                  </w:r>
                </w:p>
              </w:txbxContent>
            </v:textbox>
            <w10:wrap type="none"/>
          </v:shape>
        </w:pict>
      </w:r>
      <w:r>
        <w:rPr/>
        <w:pict>
          <v:shape style="position:absolute;margin-left:348.57785pt;margin-top:686.87262pt;width:156.8pt;height:16.05pt;mso-position-horizontal-relative:page;mso-position-vertical-relative:page;z-index:252091392" type="#_x0000_t202" filled="false" stroked="false">
            <v:textbox inset="0,0,0,0" style="layout-flow:vertical;mso-layout-flow-alt:bottom-to-top">
              <w:txbxContent>
                <w:p>
                  <w:pPr>
                    <w:spacing w:before="13"/>
                    <w:ind w:left="20" w:right="0" w:firstLine="0"/>
                    <w:jc w:val="left"/>
                    <w:rPr>
                      <w:sz w:val="14"/>
                    </w:rPr>
                  </w:pPr>
                  <w:r>
                    <w:rPr>
                      <w:color w:val="585858"/>
                      <w:sz w:val="14"/>
                    </w:rPr>
                    <w:t>2004</w:t>
                  </w:r>
                </w:p>
                <w:p>
                  <w:pPr>
                    <w:spacing w:before="12"/>
                    <w:ind w:left="20" w:right="0" w:firstLine="0"/>
                    <w:jc w:val="left"/>
                    <w:rPr>
                      <w:sz w:val="14"/>
                    </w:rPr>
                  </w:pPr>
                  <w:r>
                    <w:rPr>
                      <w:color w:val="585858"/>
                      <w:sz w:val="14"/>
                    </w:rPr>
                    <w:t>2005</w:t>
                  </w:r>
                </w:p>
                <w:p>
                  <w:pPr>
                    <w:spacing w:before="12"/>
                    <w:ind w:left="20" w:right="0" w:firstLine="0"/>
                    <w:jc w:val="left"/>
                    <w:rPr>
                      <w:sz w:val="14"/>
                    </w:rPr>
                  </w:pPr>
                  <w:r>
                    <w:rPr>
                      <w:color w:val="585858"/>
                      <w:sz w:val="14"/>
                    </w:rPr>
                    <w:t>2006</w:t>
                  </w:r>
                </w:p>
                <w:p>
                  <w:pPr>
                    <w:spacing w:before="12"/>
                    <w:ind w:left="20" w:right="0" w:firstLine="0"/>
                    <w:jc w:val="left"/>
                    <w:rPr>
                      <w:sz w:val="14"/>
                    </w:rPr>
                  </w:pPr>
                  <w:r>
                    <w:rPr>
                      <w:color w:val="585858"/>
                      <w:sz w:val="14"/>
                    </w:rPr>
                    <w:t>2007</w:t>
                  </w:r>
                </w:p>
                <w:p>
                  <w:pPr>
                    <w:spacing w:before="12"/>
                    <w:ind w:left="20" w:right="0" w:firstLine="0"/>
                    <w:jc w:val="left"/>
                    <w:rPr>
                      <w:sz w:val="14"/>
                    </w:rPr>
                  </w:pPr>
                  <w:r>
                    <w:rPr>
                      <w:color w:val="585858"/>
                      <w:sz w:val="14"/>
                    </w:rPr>
                    <w:t>2008</w:t>
                  </w:r>
                </w:p>
                <w:p>
                  <w:pPr>
                    <w:spacing w:before="12"/>
                    <w:ind w:left="20" w:right="0" w:firstLine="0"/>
                    <w:jc w:val="left"/>
                    <w:rPr>
                      <w:sz w:val="14"/>
                    </w:rPr>
                  </w:pPr>
                  <w:r>
                    <w:rPr>
                      <w:color w:val="585858"/>
                      <w:sz w:val="14"/>
                    </w:rPr>
                    <w:t>2009</w:t>
                  </w:r>
                </w:p>
                <w:p>
                  <w:pPr>
                    <w:spacing w:before="12"/>
                    <w:ind w:left="20" w:right="0" w:firstLine="0"/>
                    <w:jc w:val="left"/>
                    <w:rPr>
                      <w:sz w:val="14"/>
                    </w:rPr>
                  </w:pPr>
                  <w:r>
                    <w:rPr>
                      <w:color w:val="585858"/>
                      <w:sz w:val="14"/>
                    </w:rPr>
                    <w:t>2010</w:t>
                  </w:r>
                </w:p>
                <w:p>
                  <w:pPr>
                    <w:spacing w:before="12"/>
                    <w:ind w:left="20" w:right="0" w:firstLine="0"/>
                    <w:jc w:val="left"/>
                    <w:rPr>
                      <w:sz w:val="14"/>
                    </w:rPr>
                  </w:pPr>
                  <w:r>
                    <w:rPr>
                      <w:color w:val="585858"/>
                      <w:sz w:val="14"/>
                    </w:rPr>
                    <w:t>2011</w:t>
                  </w:r>
                </w:p>
                <w:p>
                  <w:pPr>
                    <w:spacing w:before="12"/>
                    <w:ind w:left="20" w:right="0" w:firstLine="0"/>
                    <w:jc w:val="left"/>
                    <w:rPr>
                      <w:sz w:val="14"/>
                    </w:rPr>
                  </w:pPr>
                  <w:r>
                    <w:rPr>
                      <w:color w:val="585858"/>
                      <w:sz w:val="14"/>
                    </w:rPr>
                    <w:t>2012</w:t>
                  </w:r>
                </w:p>
                <w:p>
                  <w:pPr>
                    <w:spacing w:before="12"/>
                    <w:ind w:left="20" w:right="0" w:firstLine="0"/>
                    <w:jc w:val="left"/>
                    <w:rPr>
                      <w:sz w:val="14"/>
                    </w:rPr>
                  </w:pPr>
                  <w:r>
                    <w:rPr>
                      <w:color w:val="585858"/>
                      <w:sz w:val="14"/>
                    </w:rPr>
                    <w:t>2013</w:t>
                  </w:r>
                </w:p>
                <w:p>
                  <w:pPr>
                    <w:spacing w:before="13"/>
                    <w:ind w:left="20" w:right="0" w:firstLine="0"/>
                    <w:jc w:val="left"/>
                    <w:rPr>
                      <w:sz w:val="14"/>
                    </w:rPr>
                  </w:pPr>
                  <w:r>
                    <w:rPr>
                      <w:color w:val="585858"/>
                      <w:sz w:val="14"/>
                    </w:rPr>
                    <w:t>2014</w:t>
                  </w:r>
                </w:p>
                <w:p>
                  <w:pPr>
                    <w:spacing w:before="11"/>
                    <w:ind w:left="20" w:right="0" w:firstLine="0"/>
                    <w:jc w:val="left"/>
                    <w:rPr>
                      <w:sz w:val="14"/>
                    </w:rPr>
                  </w:pPr>
                  <w:r>
                    <w:rPr>
                      <w:color w:val="585858"/>
                      <w:sz w:val="14"/>
                    </w:rPr>
                    <w:t>2015</w:t>
                  </w:r>
                </w:p>
                <w:p>
                  <w:pPr>
                    <w:spacing w:before="13"/>
                    <w:ind w:left="20" w:right="0" w:firstLine="0"/>
                    <w:jc w:val="left"/>
                    <w:rPr>
                      <w:sz w:val="14"/>
                    </w:rPr>
                  </w:pPr>
                  <w:r>
                    <w:rPr>
                      <w:color w:val="585858"/>
                      <w:sz w:val="14"/>
                    </w:rPr>
                    <w:t>2016</w:t>
                  </w:r>
                </w:p>
                <w:p>
                  <w:pPr>
                    <w:spacing w:before="11"/>
                    <w:ind w:left="20" w:right="0" w:firstLine="0"/>
                    <w:jc w:val="left"/>
                    <w:rPr>
                      <w:sz w:val="14"/>
                    </w:rPr>
                  </w:pPr>
                  <w:r>
                    <w:rPr>
                      <w:color w:val="585858"/>
                      <w:sz w:val="14"/>
                    </w:rPr>
                    <w:t>2017</w:t>
                  </w:r>
                </w:p>
                <w:p>
                  <w:pPr>
                    <w:spacing w:before="13"/>
                    <w:ind w:left="20" w:right="0" w:firstLine="0"/>
                    <w:jc w:val="left"/>
                    <w:rPr>
                      <w:sz w:val="14"/>
                    </w:rPr>
                  </w:pPr>
                  <w:r>
                    <w:rPr>
                      <w:color w:val="585858"/>
                      <w:sz w:val="14"/>
                    </w:rPr>
                    <w:t>2018</w:t>
                  </w:r>
                </w:p>
                <w:p>
                  <w:pPr>
                    <w:spacing w:before="11"/>
                    <w:ind w:left="20" w:right="0" w:firstLine="0"/>
                    <w:jc w:val="left"/>
                    <w:rPr>
                      <w:sz w:val="14"/>
                    </w:rPr>
                  </w:pPr>
                  <w:r>
                    <w:rPr>
                      <w:color w:val="585858"/>
                      <w:sz w:val="14"/>
                    </w:rPr>
                    <w:t>2019</w:t>
                  </w:r>
                </w:p>
                <w:p>
                  <w:pPr>
                    <w:spacing w:before="12"/>
                    <w:ind w:left="20" w:right="0" w:firstLine="0"/>
                    <w:jc w:val="left"/>
                    <w:rPr>
                      <w:sz w:val="14"/>
                    </w:rPr>
                  </w:pPr>
                  <w:r>
                    <w:rPr>
                      <w:color w:val="585858"/>
                      <w:sz w:val="14"/>
                    </w:rPr>
                    <w:t>2020</w:t>
                  </w:r>
                </w:p>
                <w:p>
                  <w:pPr>
                    <w:spacing w:before="13"/>
                    <w:ind w:left="20" w:right="0" w:firstLine="0"/>
                    <w:jc w:val="left"/>
                    <w:rPr>
                      <w:sz w:val="14"/>
                    </w:rPr>
                  </w:pPr>
                  <w:r>
                    <w:rPr>
                      <w:color w:val="585858"/>
                      <w:sz w:val="14"/>
                    </w:rPr>
                    <w:t>2021</w:t>
                  </w:r>
                </w:p>
              </w:txbxContent>
            </v:textbox>
            <w10:wrap type="none"/>
          </v:shape>
        </w:pict>
      </w:r>
      <w:r>
        <w:rPr>
          <w:rFonts w:ascii="Cambria Math" w:hAnsi="Cambria Math" w:eastAsia="Cambria Math"/>
          <w:spacing w:val="-7"/>
        </w:rPr>
        <w:t>𝐸</w:t>
      </w:r>
      <w:r>
        <w:rPr>
          <w:rFonts w:ascii="Cambria Math" w:hAnsi="Cambria Math" w:eastAsia="Cambria Math"/>
          <w:spacing w:val="-7"/>
          <w:position w:val="-4"/>
          <w:sz w:val="16"/>
        </w:rPr>
        <w:t>𝑡</w:t>
      </w:r>
      <w:r>
        <w:rPr>
          <w:rFonts w:ascii="Cambria Math" w:hAnsi="Cambria Math" w:eastAsia="Cambria Math"/>
          <w:spacing w:val="21"/>
          <w:position w:val="-4"/>
          <w:sz w:val="16"/>
        </w:rPr>
        <w:t> </w:t>
      </w:r>
      <w:r>
        <w:rPr/>
        <w:t>es el tipo de cambio de cada país por un dólar, </w:t>
      </w:r>
      <w:r>
        <w:rPr>
          <w:rFonts w:ascii="Cambria Math" w:hAnsi="Cambria Math" w:eastAsia="Cambria Math"/>
          <w:spacing w:val="-4"/>
        </w:rPr>
        <w:t>𝑃</w:t>
      </w:r>
      <w:r>
        <w:rPr>
          <w:rFonts w:ascii="Cambria Math" w:hAnsi="Cambria Math" w:eastAsia="Cambria Math"/>
          <w:spacing w:val="-4"/>
          <w:position w:val="-4"/>
          <w:sz w:val="16"/>
        </w:rPr>
        <w:t>𝑡</w:t>
      </w:r>
      <w:r>
        <w:rPr>
          <w:rFonts w:ascii="Cambria Math" w:hAnsi="Cambria Math" w:eastAsia="Cambria Math"/>
          <w:spacing w:val="-4"/>
          <w:position w:val="10"/>
          <w:sz w:val="16"/>
        </w:rPr>
        <w:t>∗ </w:t>
      </w:r>
      <w:r>
        <w:rPr/>
        <w:t>son los precios ponderados de las cestas de bienes de los socios comerciales en dólares y </w:t>
      </w:r>
      <w:r>
        <w:rPr>
          <w:rFonts w:ascii="Cambria Math" w:hAnsi="Cambria Math" w:eastAsia="Cambria Math"/>
          <w:spacing w:val="-13"/>
        </w:rPr>
        <w:t>𝑃</w:t>
      </w:r>
      <w:r>
        <w:rPr>
          <w:rFonts w:ascii="Cambria Math" w:hAnsi="Cambria Math" w:eastAsia="Cambria Math"/>
          <w:spacing w:val="-13"/>
          <w:position w:val="-4"/>
          <w:sz w:val="16"/>
        </w:rPr>
        <w:t>𝑡 </w:t>
      </w:r>
      <w:r>
        <w:rPr/>
        <w:t>los precios de la cesta nacional. Además, </w:t>
      </w:r>
      <w:r>
        <w:rPr>
          <w:rFonts w:ascii="Cambria Math" w:hAnsi="Cambria Math" w:eastAsia="Cambria Math"/>
          <w:spacing w:val="-10"/>
        </w:rPr>
        <w:t>𝑤</w:t>
      </w:r>
      <w:r>
        <w:rPr>
          <w:rFonts w:ascii="Cambria Math" w:hAnsi="Cambria Math" w:eastAsia="Cambria Math"/>
          <w:spacing w:val="-10"/>
          <w:position w:val="-4"/>
          <w:sz w:val="16"/>
        </w:rPr>
        <w:t>𝑗𝑡 </w:t>
      </w:r>
      <w:r>
        <w:rPr/>
        <w:t>es </w:t>
      </w:r>
      <w:r>
        <w:rPr>
          <w:spacing w:val="-3"/>
        </w:rPr>
        <w:t>el </w:t>
      </w:r>
      <w:r>
        <w:rPr/>
        <w:t>ponderador</w:t>
      </w:r>
      <w:r>
        <w:rPr>
          <w:spacing w:val="-3"/>
        </w:rPr>
        <w:t> </w:t>
      </w:r>
      <w:r>
        <w:rPr/>
        <w:t>de</w:t>
      </w:r>
      <w:r>
        <w:rPr>
          <w:spacing w:val="-3"/>
        </w:rPr>
        <w:t> </w:t>
      </w:r>
      <w:r>
        <w:rPr/>
        <w:t>cada</w:t>
      </w:r>
      <w:r>
        <w:rPr>
          <w:spacing w:val="-4"/>
        </w:rPr>
        <w:t> </w:t>
      </w:r>
      <w:r>
        <w:rPr>
          <w:rFonts w:ascii="Cambria Math" w:hAnsi="Cambria Math" w:eastAsia="Cambria Math"/>
        </w:rPr>
        <w:t>𝑗</w:t>
      </w:r>
      <w:r>
        <w:rPr>
          <w:rFonts w:ascii="Cambria Math" w:hAnsi="Cambria Math" w:eastAsia="Cambria Math"/>
          <w:spacing w:val="8"/>
        </w:rPr>
        <w:t> </w:t>
      </w:r>
      <w:r>
        <w:rPr/>
        <w:t>socio</w:t>
      </w:r>
      <w:r>
        <w:rPr>
          <w:spacing w:val="-3"/>
        </w:rPr>
        <w:t> </w:t>
      </w:r>
      <w:r>
        <w:rPr/>
        <w:t>comercial</w:t>
      </w:r>
      <w:r>
        <w:rPr>
          <w:spacing w:val="-3"/>
        </w:rPr>
        <w:t> </w:t>
      </w:r>
      <w:r>
        <w:rPr/>
        <w:t>y</w:t>
      </w:r>
      <w:r>
        <w:rPr>
          <w:spacing w:val="-5"/>
        </w:rPr>
        <w:t> </w:t>
      </w:r>
      <w:r>
        <w:rPr/>
        <w:t>es</w:t>
      </w:r>
      <w:r>
        <w:rPr>
          <w:spacing w:val="-5"/>
        </w:rPr>
        <w:t> </w:t>
      </w:r>
      <w:r>
        <w:rPr/>
        <w:t>importante</w:t>
      </w:r>
      <w:r>
        <w:rPr>
          <w:spacing w:val="-5"/>
        </w:rPr>
        <w:t> </w:t>
      </w:r>
      <w:r>
        <w:rPr/>
        <w:t>indicar</w:t>
      </w:r>
      <w:r>
        <w:rPr>
          <w:spacing w:val="-3"/>
        </w:rPr>
        <w:t> </w:t>
      </w:r>
      <w:r>
        <w:rPr/>
        <w:t>que</w:t>
      </w:r>
      <w:r>
        <w:rPr>
          <w:spacing w:val="-5"/>
        </w:rPr>
        <w:t> </w:t>
      </w:r>
      <w:r>
        <w:rPr/>
        <w:t>el</w:t>
      </w:r>
      <w:r>
        <w:rPr>
          <w:spacing w:val="-5"/>
        </w:rPr>
        <w:t> </w:t>
      </w:r>
      <w:r>
        <w:rPr/>
        <w:t>tipo</w:t>
      </w:r>
      <w:r>
        <w:rPr>
          <w:spacing w:val="-3"/>
        </w:rPr>
        <w:t> </w:t>
      </w:r>
      <w:r>
        <w:rPr/>
        <w:t>de</w:t>
      </w:r>
      <w:r>
        <w:rPr>
          <w:spacing w:val="-6"/>
        </w:rPr>
        <w:t> </w:t>
      </w:r>
      <w:r>
        <w:rPr/>
        <w:t>cambio</w:t>
      </w:r>
      <w:r>
        <w:rPr>
          <w:spacing w:val="-5"/>
        </w:rPr>
        <w:t> </w:t>
      </w:r>
      <w:r>
        <w:rPr/>
        <w:t>y</w:t>
      </w:r>
      <w:r>
        <w:rPr>
          <w:spacing w:val="-6"/>
        </w:rPr>
        <w:t> </w:t>
      </w:r>
      <w:r>
        <w:rPr/>
        <w:t>los</w:t>
      </w:r>
      <w:r>
        <w:rPr>
          <w:spacing w:val="-2"/>
        </w:rPr>
        <w:t> </w:t>
      </w:r>
      <w:r>
        <w:rPr/>
        <w:t>precios</w:t>
      </w:r>
      <w:r>
        <w:rPr>
          <w:spacing w:val="-3"/>
        </w:rPr>
        <w:t> </w:t>
      </w:r>
      <w:r>
        <w:rPr/>
        <w:t>de las cestas de bienes se normalizan al periodo </w:t>
      </w:r>
      <w:r>
        <w:rPr>
          <w:rFonts w:ascii="Cambria Math" w:hAnsi="Cambria Math" w:eastAsia="Cambria Math"/>
        </w:rPr>
        <w:t>𝑡 =</w:t>
      </w:r>
      <w:r>
        <w:rPr>
          <w:rFonts w:ascii="Cambria Math" w:hAnsi="Cambria Math" w:eastAsia="Cambria Math"/>
          <w:spacing w:val="-25"/>
        </w:rPr>
        <w:t> </w:t>
      </w:r>
      <w:r>
        <w:rPr>
          <w:rFonts w:ascii="Cambria Math" w:hAnsi="Cambria Math" w:eastAsia="Cambria Math"/>
        </w:rPr>
        <w:t>0</w:t>
      </w:r>
      <w:r>
        <w:rPr/>
        <w:t>.</w:t>
      </w:r>
    </w:p>
    <w:p>
      <w:pPr>
        <w:pStyle w:val="BodyText"/>
        <w:spacing w:line="276" w:lineRule="auto" w:before="175"/>
        <w:ind w:left="622" w:right="1761"/>
        <w:jc w:val="both"/>
      </w:pPr>
      <w:r>
        <w:rPr/>
        <w:t>Para calcular los ponderadores para cada periodo </w:t>
      </w:r>
      <w:r>
        <w:rPr>
          <w:rFonts w:ascii="Cambria Math" w:hAnsi="Cambria Math" w:eastAsia="Cambria Math"/>
        </w:rPr>
        <w:t>𝑡 </w:t>
      </w:r>
      <w:r>
        <w:rPr/>
        <w:t>se utilizó la información publicada por país de 1980-2021</w:t>
      </w:r>
      <w:r>
        <w:rPr>
          <w:spacing w:val="-7"/>
        </w:rPr>
        <w:t> </w:t>
      </w:r>
      <w:r>
        <w:rPr/>
        <w:t>de</w:t>
      </w:r>
      <w:r>
        <w:rPr>
          <w:spacing w:val="-6"/>
        </w:rPr>
        <w:t> </w:t>
      </w:r>
      <w:r>
        <w:rPr/>
        <w:t>la</w:t>
      </w:r>
      <w:r>
        <w:rPr>
          <w:spacing w:val="-7"/>
        </w:rPr>
        <w:t> </w:t>
      </w:r>
      <w:r>
        <w:rPr/>
        <w:t>base</w:t>
      </w:r>
      <w:r>
        <w:rPr>
          <w:spacing w:val="-6"/>
        </w:rPr>
        <w:t> </w:t>
      </w:r>
      <w:r>
        <w:rPr/>
        <w:t>de</w:t>
      </w:r>
      <w:r>
        <w:rPr>
          <w:spacing w:val="-6"/>
        </w:rPr>
        <w:t> </w:t>
      </w:r>
      <w:r>
        <w:rPr/>
        <w:t>datos</w:t>
      </w:r>
      <w:r>
        <w:rPr>
          <w:spacing w:val="-6"/>
        </w:rPr>
        <w:t> </w:t>
      </w:r>
      <w:r>
        <w:rPr/>
        <w:t>de</w:t>
      </w:r>
      <w:r>
        <w:rPr>
          <w:spacing w:val="-8"/>
        </w:rPr>
        <w:t> </w:t>
      </w:r>
      <w:r>
        <w:rPr/>
        <w:t>la</w:t>
      </w:r>
      <w:r>
        <w:rPr>
          <w:spacing w:val="-8"/>
        </w:rPr>
        <w:t> </w:t>
      </w:r>
      <w:r>
        <w:rPr/>
        <w:t>Dirección</w:t>
      </w:r>
      <w:r>
        <w:rPr>
          <w:spacing w:val="-9"/>
        </w:rPr>
        <w:t> </w:t>
      </w:r>
      <w:r>
        <w:rPr/>
        <w:t>de</w:t>
      </w:r>
      <w:r>
        <w:rPr>
          <w:spacing w:val="-7"/>
        </w:rPr>
        <w:t> </w:t>
      </w:r>
      <w:r>
        <w:rPr/>
        <w:t>Estadísticas</w:t>
      </w:r>
      <w:r>
        <w:rPr>
          <w:spacing w:val="-8"/>
        </w:rPr>
        <w:t> </w:t>
      </w:r>
      <w:r>
        <w:rPr/>
        <w:t>de</w:t>
      </w:r>
      <w:r>
        <w:rPr>
          <w:spacing w:val="-6"/>
        </w:rPr>
        <w:t> </w:t>
      </w:r>
      <w:r>
        <w:rPr/>
        <w:t>Comercio</w:t>
      </w:r>
      <w:r>
        <w:rPr>
          <w:spacing w:val="-10"/>
        </w:rPr>
        <w:t> </w:t>
      </w:r>
      <w:r>
        <w:rPr/>
        <w:t>(DOTS</w:t>
      </w:r>
      <w:r>
        <w:rPr>
          <w:spacing w:val="-9"/>
        </w:rPr>
        <w:t> </w:t>
      </w:r>
      <w:r>
        <w:rPr/>
        <w:t>por</w:t>
      </w:r>
      <w:r>
        <w:rPr>
          <w:spacing w:val="-5"/>
        </w:rPr>
        <w:t> </w:t>
      </w:r>
      <w:r>
        <w:rPr/>
        <w:t>sus</w:t>
      </w:r>
      <w:r>
        <w:rPr>
          <w:spacing w:val="-6"/>
        </w:rPr>
        <w:t> </w:t>
      </w:r>
      <w:r>
        <w:rPr/>
        <w:t>siglas</w:t>
      </w:r>
      <w:r>
        <w:rPr>
          <w:spacing w:val="-8"/>
        </w:rPr>
        <w:t> </w:t>
      </w:r>
      <w:r>
        <w:rPr/>
        <w:t>en inglés) del FMI y la información de los socios comerciales con respecto a los índices de precios de consumidor y el tipo de cambio se obtuvo de las Estadísticas Financieras Internacionales del FMI (IFS por sus siglas en</w:t>
      </w:r>
      <w:r>
        <w:rPr>
          <w:spacing w:val="-1"/>
        </w:rPr>
        <w:t> </w:t>
      </w:r>
      <w:r>
        <w:rPr/>
        <w:t>inglés.</w:t>
      </w:r>
    </w:p>
    <w:p>
      <w:pPr>
        <w:spacing w:before="163"/>
        <w:ind w:left="1395" w:right="2468" w:firstLine="0"/>
        <w:jc w:val="center"/>
        <w:rPr>
          <w:b/>
          <w:sz w:val="22"/>
        </w:rPr>
      </w:pPr>
      <w:bookmarkStart w:name="_bookmark68" w:id="89"/>
      <w:bookmarkEnd w:id="89"/>
      <w:r>
        <w:rPr/>
      </w:r>
      <w:r>
        <w:rPr>
          <w:b/>
          <w:i/>
          <w:sz w:val="22"/>
        </w:rPr>
        <w:t>Gráfico 30 </w:t>
      </w:r>
      <w:r>
        <w:rPr>
          <w:b/>
          <w:sz w:val="22"/>
        </w:rPr>
        <w:t>Índice de tipo de cambio real</w:t>
      </w:r>
    </w:p>
    <w:p>
      <w:pPr>
        <w:pStyle w:val="Heading3"/>
        <w:tabs>
          <w:tab w:pos="4358" w:val="left" w:leader="none"/>
        </w:tabs>
        <w:spacing w:before="38"/>
        <w:ind w:left="0" w:right="1045"/>
        <w:jc w:val="center"/>
      </w:pPr>
      <w:r>
        <w:rPr/>
        <w:pict>
          <v:shape style="position:absolute;margin-left:91.68pt;margin-top:16.539528pt;width:210pt;height:141.5pt;mso-position-horizontal-relative:page;mso-position-vertical-relative:paragraph;z-index:-251229184;mso-wrap-distance-left:0;mso-wrap-distance-right:0" type="#_x0000_t202" filled="false" stroked="false">
            <v:textbox inset="0,0,0,0">
              <w:txbxContent>
                <w:p>
                  <w:pPr>
                    <w:pStyle w:val="BodyText"/>
                    <w:spacing w:before="2"/>
                    <w:rPr>
                      <w:b/>
                      <w:sz w:val="19"/>
                    </w:rPr>
                  </w:pPr>
                </w:p>
                <w:p>
                  <w:pPr>
                    <w:spacing w:before="0"/>
                    <w:ind w:left="169" w:right="0" w:firstLine="0"/>
                    <w:jc w:val="left"/>
                    <w:rPr>
                      <w:sz w:val="16"/>
                    </w:rPr>
                  </w:pPr>
                  <w:r>
                    <w:rPr>
                      <w:color w:val="585858"/>
                      <w:sz w:val="16"/>
                    </w:rPr>
                    <w:t>2.4</w:t>
                  </w:r>
                </w:p>
                <w:p>
                  <w:pPr>
                    <w:pStyle w:val="BodyText"/>
                    <w:rPr>
                      <w:sz w:val="18"/>
                    </w:rPr>
                  </w:pPr>
                </w:p>
                <w:p>
                  <w:pPr>
                    <w:spacing w:before="113"/>
                    <w:ind w:left="169" w:right="0" w:firstLine="0"/>
                    <w:jc w:val="left"/>
                    <w:rPr>
                      <w:sz w:val="16"/>
                    </w:rPr>
                  </w:pPr>
                  <w:r>
                    <w:rPr>
                      <w:color w:val="585858"/>
                      <w:sz w:val="16"/>
                    </w:rPr>
                    <w:t>1.9</w:t>
                  </w:r>
                </w:p>
                <w:p>
                  <w:pPr>
                    <w:pStyle w:val="BodyText"/>
                    <w:rPr>
                      <w:sz w:val="18"/>
                    </w:rPr>
                  </w:pPr>
                </w:p>
                <w:p>
                  <w:pPr>
                    <w:spacing w:before="113"/>
                    <w:ind w:left="169" w:right="0" w:firstLine="0"/>
                    <w:jc w:val="left"/>
                    <w:rPr>
                      <w:sz w:val="16"/>
                    </w:rPr>
                  </w:pPr>
                  <w:r>
                    <w:rPr>
                      <w:color w:val="585858"/>
                      <w:sz w:val="16"/>
                    </w:rPr>
                    <w:t>1.4</w:t>
                  </w:r>
                </w:p>
                <w:p>
                  <w:pPr>
                    <w:pStyle w:val="BodyText"/>
                    <w:rPr>
                      <w:sz w:val="18"/>
                    </w:rPr>
                  </w:pPr>
                </w:p>
                <w:p>
                  <w:pPr>
                    <w:spacing w:before="113"/>
                    <w:ind w:left="169" w:right="0" w:firstLine="0"/>
                    <w:jc w:val="left"/>
                    <w:rPr>
                      <w:sz w:val="16"/>
                    </w:rPr>
                  </w:pPr>
                  <w:r>
                    <w:rPr>
                      <w:color w:val="585858"/>
                      <w:sz w:val="16"/>
                    </w:rPr>
                    <w:t>0.9</w:t>
                  </w:r>
                </w:p>
                <w:p>
                  <w:pPr>
                    <w:pStyle w:val="BodyText"/>
                    <w:rPr>
                      <w:sz w:val="18"/>
                    </w:rPr>
                  </w:pPr>
                </w:p>
                <w:p>
                  <w:pPr>
                    <w:spacing w:before="114"/>
                    <w:ind w:left="169" w:right="0" w:firstLine="0"/>
                    <w:jc w:val="left"/>
                    <w:rPr>
                      <w:sz w:val="16"/>
                    </w:rPr>
                  </w:pPr>
                  <w:r>
                    <w:rPr>
                      <w:color w:val="585858"/>
                      <w:sz w:val="16"/>
                    </w:rPr>
                    <w:t>0.4</w:t>
                  </w:r>
                </w:p>
              </w:txbxContent>
            </v:textbox>
            <w10:wrap type="topAndBottom"/>
          </v:shape>
        </w:pict>
      </w:r>
      <w:r>
        <w:rPr/>
        <w:pict>
          <v:shape style="position:absolute;margin-left:318.239990pt;margin-top:16.539528pt;width:197.55pt;height:141.5pt;mso-position-horizontal-relative:page;mso-position-vertical-relative:paragraph;z-index:-251228160;mso-wrap-distance-left:0;mso-wrap-distance-right:0" type="#_x0000_t202" filled="false" stroked="false">
            <v:textbox inset="0,0,0,0">
              <w:txbxContent>
                <w:p>
                  <w:pPr>
                    <w:spacing w:line="102" w:lineRule="exact" w:before="0"/>
                    <w:ind w:left="1791" w:right="0" w:firstLine="0"/>
                    <w:jc w:val="left"/>
                    <w:rPr>
                      <w:sz w:val="10"/>
                    </w:rPr>
                  </w:pPr>
                  <w:r>
                    <w:rPr>
                      <w:color w:val="585858"/>
                      <w:sz w:val="10"/>
                    </w:rPr>
                    <w:t>Precios relativos</w:t>
                  </w:r>
                </w:p>
                <w:p>
                  <w:pPr>
                    <w:spacing w:line="101" w:lineRule="exact" w:before="0"/>
                    <w:ind w:left="1791" w:right="0" w:firstLine="0"/>
                    <w:jc w:val="left"/>
                    <w:rPr>
                      <w:sz w:val="10"/>
                    </w:rPr>
                  </w:pPr>
                  <w:r>
                    <w:rPr>
                      <w:color w:val="585858"/>
                      <w:sz w:val="10"/>
                    </w:rPr>
                    <w:t>Tipo de cambio relativo inverso</w:t>
                  </w:r>
                </w:p>
                <w:p>
                  <w:pPr>
                    <w:tabs>
                      <w:tab w:pos="410" w:val="left" w:leader="none"/>
                    </w:tabs>
                    <w:spacing w:line="106" w:lineRule="exact" w:before="0"/>
                    <w:ind w:left="6" w:right="0" w:firstLine="0"/>
                    <w:jc w:val="center"/>
                    <w:rPr>
                      <w:sz w:val="10"/>
                    </w:rPr>
                  </w:pPr>
                  <w:r>
                    <w:rPr>
                      <w:color w:val="585858"/>
                      <w:w w:val="100"/>
                      <w:sz w:val="10"/>
                      <w:u w:val="thick" w:color="FFC000"/>
                    </w:rPr>
                    <w:t> </w:t>
                  </w:r>
                  <w:r>
                    <w:rPr>
                      <w:color w:val="585858"/>
                      <w:sz w:val="10"/>
                      <w:u w:val="thick" w:color="FFC000"/>
                    </w:rPr>
                    <w:tab/>
                  </w:r>
                  <w:r>
                    <w:rPr>
                      <w:color w:val="585858"/>
                      <w:spacing w:val="-3"/>
                      <w:sz w:val="10"/>
                    </w:rPr>
                    <w:t> </w:t>
                  </w:r>
                  <w:r>
                    <w:rPr>
                      <w:color w:val="585858"/>
                      <w:sz w:val="10"/>
                    </w:rPr>
                    <w:t>Ap. - dep. del</w:t>
                  </w:r>
                  <w:r>
                    <w:rPr>
                      <w:color w:val="585858"/>
                      <w:spacing w:val="-2"/>
                      <w:sz w:val="10"/>
                    </w:rPr>
                    <w:t> </w:t>
                  </w:r>
                  <w:r>
                    <w:rPr>
                      <w:color w:val="585858"/>
                      <w:sz w:val="10"/>
                    </w:rPr>
                    <w:t>ITCR</w:t>
                  </w:r>
                </w:p>
                <w:p>
                  <w:pPr>
                    <w:spacing w:line="182" w:lineRule="exact" w:before="0"/>
                    <w:ind w:left="187" w:right="0" w:firstLine="0"/>
                    <w:jc w:val="left"/>
                    <w:rPr>
                      <w:sz w:val="16"/>
                    </w:rPr>
                  </w:pPr>
                  <w:r>
                    <w:rPr>
                      <w:color w:val="585858"/>
                      <w:sz w:val="16"/>
                    </w:rPr>
                    <w:t>10%</w:t>
                  </w:r>
                </w:p>
                <w:p>
                  <w:pPr>
                    <w:pStyle w:val="BodyText"/>
                    <w:spacing w:before="9"/>
                    <w:rPr>
                      <w:sz w:val="18"/>
                    </w:rPr>
                  </w:pPr>
                </w:p>
                <w:p>
                  <w:pPr>
                    <w:spacing w:before="0"/>
                    <w:ind w:left="0" w:right="3469" w:firstLine="0"/>
                    <w:jc w:val="right"/>
                    <w:rPr>
                      <w:sz w:val="16"/>
                    </w:rPr>
                  </w:pPr>
                  <w:r>
                    <w:rPr>
                      <w:color w:val="585858"/>
                      <w:spacing w:val="-2"/>
                      <w:sz w:val="16"/>
                    </w:rPr>
                    <w:t>5%</w:t>
                  </w:r>
                </w:p>
                <w:p>
                  <w:pPr>
                    <w:pStyle w:val="BodyText"/>
                    <w:spacing w:before="10"/>
                    <w:rPr>
                      <w:sz w:val="18"/>
                    </w:rPr>
                  </w:pPr>
                </w:p>
                <w:p>
                  <w:pPr>
                    <w:spacing w:before="0"/>
                    <w:ind w:left="0" w:right="3469" w:firstLine="0"/>
                    <w:jc w:val="right"/>
                    <w:rPr>
                      <w:sz w:val="16"/>
                    </w:rPr>
                  </w:pPr>
                  <w:r>
                    <w:rPr>
                      <w:color w:val="585858"/>
                      <w:spacing w:val="-2"/>
                      <w:sz w:val="16"/>
                    </w:rPr>
                    <w:t>0%</w:t>
                  </w:r>
                </w:p>
                <w:p>
                  <w:pPr>
                    <w:pStyle w:val="BodyText"/>
                    <w:spacing w:before="9"/>
                    <w:rPr>
                      <w:sz w:val="18"/>
                    </w:rPr>
                  </w:pPr>
                </w:p>
                <w:p>
                  <w:pPr>
                    <w:spacing w:before="0"/>
                    <w:ind w:left="0" w:right="3466" w:firstLine="0"/>
                    <w:jc w:val="right"/>
                    <w:rPr>
                      <w:sz w:val="16"/>
                    </w:rPr>
                  </w:pPr>
                  <w:r>
                    <w:rPr>
                      <w:color w:val="585858"/>
                      <w:spacing w:val="-1"/>
                      <w:sz w:val="16"/>
                    </w:rPr>
                    <w:t>-5%</w:t>
                  </w:r>
                </w:p>
                <w:p>
                  <w:pPr>
                    <w:pStyle w:val="BodyText"/>
                    <w:spacing w:before="9"/>
                    <w:rPr>
                      <w:sz w:val="18"/>
                    </w:rPr>
                  </w:pPr>
                </w:p>
                <w:p>
                  <w:pPr>
                    <w:spacing w:before="0"/>
                    <w:ind w:left="0" w:right="3466" w:firstLine="0"/>
                    <w:jc w:val="right"/>
                    <w:rPr>
                      <w:sz w:val="16"/>
                    </w:rPr>
                  </w:pPr>
                  <w:r>
                    <w:rPr>
                      <w:color w:val="585858"/>
                      <w:spacing w:val="-1"/>
                      <w:sz w:val="16"/>
                    </w:rPr>
                    <w:t>-10%</w:t>
                  </w:r>
                </w:p>
                <w:p>
                  <w:pPr>
                    <w:pStyle w:val="BodyText"/>
                    <w:spacing w:before="10"/>
                    <w:rPr>
                      <w:sz w:val="18"/>
                    </w:rPr>
                  </w:pPr>
                </w:p>
                <w:p>
                  <w:pPr>
                    <w:spacing w:before="0"/>
                    <w:ind w:left="0" w:right="3466" w:firstLine="0"/>
                    <w:jc w:val="right"/>
                    <w:rPr>
                      <w:sz w:val="16"/>
                    </w:rPr>
                  </w:pPr>
                  <w:r>
                    <w:rPr>
                      <w:color w:val="585858"/>
                      <w:spacing w:val="-1"/>
                      <w:sz w:val="16"/>
                    </w:rPr>
                    <w:t>-15%</w:t>
                  </w:r>
                </w:p>
              </w:txbxContent>
            </v:textbox>
            <w10:wrap type="topAndBottom"/>
          </v:shape>
        </w:pict>
      </w:r>
      <w:r>
        <w:rPr/>
        <w:t>Índice de tipo de cambio</w:t>
      </w:r>
      <w:r>
        <w:rPr>
          <w:spacing w:val="-11"/>
        </w:rPr>
        <w:t> </w:t>
      </w:r>
      <w:r>
        <w:rPr/>
        <w:t>real</w:t>
      </w:r>
      <w:r>
        <w:rPr>
          <w:spacing w:val="-4"/>
        </w:rPr>
        <w:t> </w:t>
      </w:r>
      <w:r>
        <w:rPr/>
        <w:t>(ITCR)</w:t>
        <w:tab/>
        <w:t>Apreciación o Depreciación del</w:t>
      </w:r>
      <w:r>
        <w:rPr>
          <w:spacing w:val="-6"/>
        </w:rPr>
        <w:t> </w:t>
      </w:r>
      <w:r>
        <w:rPr/>
        <w:t>ITCR</w:t>
      </w:r>
    </w:p>
    <w:p>
      <w:pPr>
        <w:spacing w:before="24"/>
        <w:ind w:left="730" w:right="0" w:firstLine="0"/>
        <w:jc w:val="left"/>
        <w:rPr>
          <w:sz w:val="16"/>
        </w:rPr>
      </w:pPr>
      <w:r>
        <w:rPr>
          <w:sz w:val="16"/>
        </w:rPr>
        <w:t>Fuente: Dirección de Análisis y Política Fiscal</w:t>
      </w:r>
    </w:p>
    <w:p>
      <w:pPr>
        <w:spacing w:after="0"/>
        <w:jc w:val="left"/>
        <w:rPr>
          <w:sz w:val="16"/>
        </w:rPr>
        <w:sectPr>
          <w:type w:val="continuous"/>
          <w:pgSz w:w="12240" w:h="15840"/>
          <w:pgMar w:top="1500" w:bottom="280" w:left="1140" w:right="0"/>
        </w:sectPr>
      </w:pPr>
    </w:p>
    <w:p>
      <w:pPr>
        <w:pStyle w:val="BodyText"/>
        <w:rPr>
          <w:sz w:val="20"/>
        </w:rPr>
      </w:pPr>
    </w:p>
    <w:p>
      <w:pPr>
        <w:pStyle w:val="BodyText"/>
        <w:spacing w:before="1"/>
      </w:pPr>
    </w:p>
    <w:p>
      <w:pPr>
        <w:pStyle w:val="BodyText"/>
        <w:spacing w:line="276" w:lineRule="auto"/>
        <w:ind w:left="622" w:right="1764"/>
        <w:jc w:val="both"/>
      </w:pPr>
      <w:r>
        <w:rPr/>
        <w:pict>
          <v:group style="position:absolute;margin-left:81.984001pt;margin-top:-15.790449pt;width:448.2pt;height:341.95pt;mso-position-horizontal-relative:page;mso-position-vertical-relative:paragraph;z-index:-281225216" coordorigin="1640,-316" coordsize="8964,6839">
            <v:shape style="position:absolute;left:1670;top:-288;width:8901;height:6784" coordorigin="1671,-287" coordsize="8901,6784" path="m10571,-287l10480,-287,1762,-287,1671,-287,1671,6496,1762,6496,10480,6496,10571,6496,10571,-287e" filled="true" fillcolor="#bcd5ed" stroked="false">
              <v:path arrowok="t"/>
              <v:fill type="solid"/>
            </v:shape>
            <v:rect style="position:absolute;left:1668;top:-316;width:8906;height:29" filled="true" fillcolor="#000000" stroked="false">
              <v:fill type="solid"/>
            </v:rect>
            <v:line style="position:absolute" from="1668,-286" to="10574,-286" stroked="true" strokeweight=".12pt" strokecolor="#bcd5ed">
              <v:stroke dashstyle="solid"/>
            </v:line>
            <v:line style="position:absolute" from="1654,-316" to="1654,6523" stroked="true" strokeweight="1.44pt" strokecolor="#000000">
              <v:stroke dashstyle="solid"/>
            </v:line>
            <v:rect style="position:absolute;left:1668;top:6494;width:8906;height:29" filled="true" fillcolor="#000000" stroked="false">
              <v:fill type="solid"/>
            </v:rect>
            <v:line style="position:absolute" from="10588,-316" to="10588,6523" stroked="true" strokeweight="1.44pt" strokecolor="#000000">
              <v:stroke dashstyle="solid"/>
            </v:line>
            <w10:wrap type="none"/>
          </v:group>
        </w:pict>
      </w:r>
      <w:r>
        <w:rPr/>
        <w:t>Como se observa en el gráfico, el índice de tipo de cambio real ha tenido una tendencia a la apreciación en las últimas décadas, lo cual refleja una pérdida de competitividad al disminuir el poder adquisitivo de los bienes internos, lo cual se explica porque se ha observado un crecimiento mayor de las importaciones que el de las exportaciones.</w:t>
      </w:r>
    </w:p>
    <w:p>
      <w:pPr>
        <w:pStyle w:val="BodyText"/>
        <w:spacing w:before="4"/>
        <w:rPr>
          <w:sz w:val="17"/>
        </w:rPr>
      </w:pPr>
    </w:p>
    <w:p>
      <w:pPr>
        <w:pStyle w:val="BodyText"/>
        <w:spacing w:before="91"/>
        <w:ind w:left="622"/>
      </w:pPr>
      <w:r>
        <w:rPr/>
        <w:t>Por otro lado, de la expresión del tipo de cambio real se separó el efecto de los precios relativos</w:t>
      </w:r>
    </w:p>
    <w:p>
      <w:pPr>
        <w:spacing w:after="0"/>
        <w:sectPr>
          <w:pgSz w:w="12240" w:h="15840"/>
          <w:pgMar w:header="715" w:footer="957" w:top="1240" w:bottom="1140" w:left="1140" w:right="0"/>
        </w:sectPr>
      </w:pPr>
    </w:p>
    <w:p>
      <w:pPr>
        <w:spacing w:line="71" w:lineRule="exact" w:before="57"/>
        <w:ind w:left="0" w:right="0" w:firstLine="0"/>
        <w:jc w:val="right"/>
        <w:rPr>
          <w:rFonts w:ascii="Cambria Math" w:hAnsi="Cambria Math" w:eastAsia="Cambria Math"/>
          <w:sz w:val="16"/>
        </w:rPr>
      </w:pPr>
      <w:r>
        <w:rPr>
          <w:rFonts w:ascii="Cambria Math" w:hAnsi="Cambria Math" w:eastAsia="Cambria Math"/>
          <w:position w:val="-7"/>
          <w:sz w:val="22"/>
        </w:rPr>
        <w:t>∏</w:t>
      </w:r>
      <w:r>
        <w:rPr>
          <w:rFonts w:ascii="Cambria Math" w:hAnsi="Cambria Math" w:eastAsia="Cambria Math"/>
          <w:sz w:val="16"/>
        </w:rPr>
        <w:t>𝑁</w:t>
      </w:r>
    </w:p>
    <w:p>
      <w:pPr>
        <w:spacing w:line="37" w:lineRule="exact" w:before="92"/>
        <w:ind w:left="95" w:right="0" w:firstLine="0"/>
        <w:jc w:val="left"/>
        <w:rPr>
          <w:rFonts w:ascii="Cambria Math" w:eastAsia="Cambria Math"/>
          <w:sz w:val="22"/>
        </w:rPr>
      </w:pPr>
      <w:r>
        <w:rPr/>
        <w:br w:type="column"/>
      </w:r>
      <w:r>
        <w:rPr>
          <w:rFonts w:ascii="Cambria Math" w:eastAsia="Cambria Math"/>
          <w:spacing w:val="-2"/>
          <w:w w:val="105"/>
          <w:sz w:val="22"/>
        </w:rPr>
        <w:t>(𝑃</w:t>
      </w:r>
    </w:p>
    <w:p>
      <w:pPr>
        <w:spacing w:line="142" w:lineRule="exact" w:before="6"/>
        <w:ind w:left="166" w:right="0" w:firstLine="0"/>
        <w:jc w:val="center"/>
        <w:rPr>
          <w:rFonts w:ascii="Cambria Math" w:eastAsia="Cambria Math"/>
          <w:sz w:val="13"/>
        </w:rPr>
      </w:pPr>
      <w:r>
        <w:rPr/>
        <w:br w:type="column"/>
      </w:r>
      <w:r>
        <w:rPr>
          <w:rFonts w:ascii="Cambria Math" w:eastAsia="Cambria Math"/>
          <w:w w:val="120"/>
          <w:position w:val="3"/>
          <w:sz w:val="16"/>
        </w:rPr>
        <w:t>𝑤</w:t>
      </w:r>
      <w:r>
        <w:rPr>
          <w:rFonts w:ascii="Cambria Math" w:eastAsia="Cambria Math"/>
          <w:w w:val="120"/>
          <w:sz w:val="13"/>
        </w:rPr>
        <w:t>𝑗𝑡</w:t>
      </w:r>
    </w:p>
    <w:p>
      <w:pPr>
        <w:pStyle w:val="BodyText"/>
        <w:tabs>
          <w:tab w:pos="859" w:val="left" w:leader="none"/>
        </w:tabs>
        <w:spacing w:line="19" w:lineRule="exact"/>
        <w:ind w:left="77"/>
        <w:jc w:val="center"/>
        <w:rPr>
          <w:rFonts w:ascii="Cambria Math" w:eastAsia="Cambria Math"/>
        </w:rPr>
      </w:pPr>
      <w:r>
        <w:rPr>
          <w:rFonts w:ascii="Cambria Math" w:eastAsia="Cambria Math"/>
        </w:rPr>
        <w:t>/𝑃</w:t>
        <w:tab/>
      </w:r>
      <w:r>
        <w:rPr>
          <w:rFonts w:ascii="Cambria Math" w:eastAsia="Cambria Math"/>
          <w:spacing w:val="-77"/>
        </w:rPr>
        <w:t>/</w:t>
      </w:r>
      <w:r>
        <w:rPr>
          <w:rFonts w:ascii="Cambria Math" w:eastAsia="Cambria Math"/>
          <w:spacing w:val="-77"/>
          <w:position w:val="1"/>
        </w:rPr>
        <w:t>(</w:t>
      </w:r>
      <w:r>
        <w:rPr>
          <w:rFonts w:ascii="Cambria Math" w:eastAsia="Cambria Math"/>
          <w:spacing w:val="-77"/>
        </w:rPr>
        <w:t>𝑃</w:t>
      </w:r>
    </w:p>
    <w:p>
      <w:pPr>
        <w:spacing w:line="39" w:lineRule="exact" w:before="89"/>
        <w:ind w:left="77" w:right="0" w:firstLine="0"/>
        <w:jc w:val="left"/>
        <w:rPr>
          <w:rFonts w:ascii="Cambria Math" w:eastAsia="Cambria Math"/>
          <w:sz w:val="22"/>
        </w:rPr>
      </w:pPr>
      <w:r>
        <w:rPr/>
        <w:br w:type="column"/>
      </w:r>
      <w:r>
        <w:rPr>
          <w:rFonts w:ascii="Cambria Math" w:eastAsia="Cambria Math"/>
          <w:sz w:val="22"/>
        </w:rPr>
        <w:t>/𝑃</w:t>
      </w:r>
    </w:p>
    <w:p>
      <w:pPr>
        <w:pStyle w:val="BodyText"/>
        <w:spacing w:line="47" w:lineRule="exact" w:before="82"/>
        <w:ind w:left="99"/>
        <w:rPr>
          <w:rFonts w:ascii="Cambria Math" w:eastAsia="Cambria Math"/>
        </w:rPr>
      </w:pPr>
      <w:r>
        <w:rPr/>
        <w:br w:type="column"/>
      </w:r>
      <w:r>
        <w:rPr>
          <w:rFonts w:ascii="Cambria Math" w:eastAsia="Cambria Math"/>
          <w:position w:val="1"/>
        </w:rPr>
        <w:t>) </w:t>
      </w:r>
      <w:r>
        <w:rPr/>
        <w:t>y del tipo de cambio real relativo inverso </w:t>
      </w:r>
      <w:r>
        <w:rPr>
          <w:rFonts w:ascii="Cambria Math" w:eastAsia="Cambria Math"/>
        </w:rPr>
        <w:t>𝐸 /(𝐸</w:t>
      </w:r>
    </w:p>
    <w:p>
      <w:pPr>
        <w:spacing w:line="147" w:lineRule="exact" w:before="6"/>
        <w:ind w:left="575" w:right="0" w:firstLine="0"/>
        <w:jc w:val="left"/>
        <w:rPr>
          <w:rFonts w:ascii="Cambria Math" w:eastAsia="Cambria Math"/>
          <w:sz w:val="13"/>
        </w:rPr>
      </w:pPr>
      <w:r>
        <w:rPr/>
        <w:br w:type="column"/>
      </w:r>
      <w:r>
        <w:rPr>
          <w:rFonts w:ascii="Cambria Math" w:eastAsia="Cambria Math"/>
          <w:w w:val="120"/>
          <w:position w:val="3"/>
          <w:sz w:val="16"/>
        </w:rPr>
        <w:t>𝑤</w:t>
      </w:r>
      <w:r>
        <w:rPr>
          <w:rFonts w:ascii="Cambria Math" w:eastAsia="Cambria Math"/>
          <w:w w:val="120"/>
          <w:sz w:val="13"/>
        </w:rPr>
        <w:t>𝑗𝑡</w:t>
      </w:r>
    </w:p>
    <w:p>
      <w:pPr>
        <w:pStyle w:val="BodyText"/>
        <w:tabs>
          <w:tab w:pos="847" w:val="left" w:leader="none"/>
        </w:tabs>
        <w:spacing w:line="24" w:lineRule="exact"/>
        <w:ind w:left="88"/>
      </w:pPr>
      <w:r>
        <w:rPr>
          <w:rFonts w:ascii="Cambria Math" w:eastAsia="Cambria Math"/>
        </w:rPr>
        <w:t>/𝐸</w:t>
        <w:tab/>
      </w:r>
      <w:r>
        <w:rPr/>
        <w:t>, en el</w:t>
      </w:r>
      <w:r>
        <w:rPr>
          <w:spacing w:val="18"/>
        </w:rPr>
        <w:t> </w:t>
      </w:r>
      <w:r>
        <w:rPr/>
        <w:t>caso</w:t>
      </w:r>
    </w:p>
    <w:p>
      <w:pPr>
        <w:spacing w:after="0" w:line="24" w:lineRule="exact"/>
        <w:sectPr>
          <w:type w:val="continuous"/>
          <w:pgSz w:w="12240" w:h="15840"/>
          <w:pgMar w:top="1500" w:bottom="280" w:left="1140" w:right="0"/>
          <w:cols w:num="6" w:equalWidth="0">
            <w:col w:w="924" w:space="40"/>
            <w:col w:w="331" w:space="39"/>
            <w:col w:w="1196" w:space="40"/>
            <w:col w:w="323" w:space="40"/>
            <w:col w:w="4522" w:space="39"/>
            <w:col w:w="3606"/>
          </w:cols>
        </w:sectPr>
      </w:pPr>
    </w:p>
    <w:p>
      <w:pPr>
        <w:spacing w:before="22"/>
        <w:ind w:left="0" w:right="0" w:firstLine="0"/>
        <w:jc w:val="right"/>
        <w:rPr>
          <w:rFonts w:ascii="Cambria Math" w:hAnsi="Cambria Math" w:eastAsia="Cambria Math"/>
          <w:sz w:val="16"/>
        </w:rPr>
      </w:pPr>
      <w:r>
        <w:rPr>
          <w:rFonts w:ascii="Cambria Math" w:hAnsi="Cambria Math" w:eastAsia="Cambria Math"/>
          <w:w w:val="110"/>
          <w:sz w:val="16"/>
        </w:rPr>
        <w:t>𝑗≠𝑖</w:t>
      </w:r>
    </w:p>
    <w:p>
      <w:pPr>
        <w:spacing w:before="14"/>
        <w:ind w:left="155" w:right="0" w:firstLine="0"/>
        <w:jc w:val="left"/>
        <w:rPr>
          <w:rFonts w:ascii="Cambria Math" w:eastAsia="Cambria Math"/>
          <w:sz w:val="16"/>
        </w:rPr>
      </w:pPr>
      <w:r>
        <w:rPr/>
        <w:br w:type="column"/>
      </w:r>
      <w:r>
        <w:rPr>
          <w:rFonts w:ascii="Cambria Math" w:eastAsia="Cambria Math"/>
          <w:spacing w:val="-2"/>
          <w:w w:val="120"/>
          <w:sz w:val="16"/>
        </w:rPr>
        <w:t>𝑗𝑡</w:t>
      </w:r>
    </w:p>
    <w:p>
      <w:pPr>
        <w:spacing w:line="202" w:lineRule="exact" w:before="0"/>
        <w:ind w:left="178" w:right="0" w:firstLine="0"/>
        <w:jc w:val="left"/>
        <w:rPr>
          <w:rFonts w:ascii="Cambria Math" w:eastAsia="Cambria Math"/>
          <w:sz w:val="22"/>
        </w:rPr>
      </w:pPr>
      <w:r>
        <w:rPr/>
        <w:br w:type="column"/>
      </w:r>
      <w:r>
        <w:rPr>
          <w:rFonts w:ascii="Cambria Math" w:eastAsia="Cambria Math"/>
          <w:w w:val="115"/>
          <w:sz w:val="16"/>
        </w:rPr>
        <w:t>𝑗0</w:t>
      </w:r>
      <w:r>
        <w:rPr>
          <w:rFonts w:ascii="Cambria Math" w:eastAsia="Cambria Math"/>
          <w:w w:val="115"/>
          <w:position w:val="4"/>
          <w:sz w:val="22"/>
        </w:rPr>
        <w:t>)</w:t>
      </w:r>
    </w:p>
    <w:p>
      <w:pPr>
        <w:spacing w:before="14"/>
        <w:ind w:left="0" w:right="0" w:firstLine="0"/>
        <w:jc w:val="right"/>
        <w:rPr>
          <w:rFonts w:ascii="Cambria Math" w:eastAsia="Cambria Math"/>
          <w:sz w:val="16"/>
        </w:rPr>
      </w:pPr>
      <w:r>
        <w:rPr/>
        <w:br w:type="column"/>
      </w:r>
      <w:r>
        <w:rPr>
          <w:rFonts w:ascii="Cambria Math" w:eastAsia="Cambria Math"/>
          <w:w w:val="110"/>
          <w:sz w:val="16"/>
        </w:rPr>
        <w:t>𝑖𝑡</w:t>
      </w:r>
    </w:p>
    <w:p>
      <w:pPr>
        <w:spacing w:before="14"/>
        <w:ind w:left="198" w:right="0" w:firstLine="0"/>
        <w:jc w:val="left"/>
        <w:rPr>
          <w:rFonts w:ascii="Cambria Math" w:eastAsia="Cambria Math"/>
          <w:sz w:val="16"/>
        </w:rPr>
      </w:pPr>
      <w:r>
        <w:rPr/>
        <w:br w:type="column"/>
      </w:r>
      <w:r>
        <w:rPr>
          <w:rFonts w:ascii="Cambria Math" w:eastAsia="Cambria Math"/>
          <w:w w:val="110"/>
          <w:sz w:val="16"/>
        </w:rPr>
        <w:t>𝑖𝑜</w:t>
      </w:r>
    </w:p>
    <w:p>
      <w:pPr>
        <w:tabs>
          <w:tab w:pos="1200" w:val="left" w:leader="none"/>
        </w:tabs>
        <w:spacing w:before="14"/>
        <w:ind w:left="802" w:right="0" w:firstLine="0"/>
        <w:jc w:val="left"/>
        <w:rPr>
          <w:rFonts w:ascii="Cambria Math" w:eastAsia="Cambria Math"/>
          <w:sz w:val="16"/>
        </w:rPr>
      </w:pPr>
      <w:r>
        <w:rPr/>
        <w:br w:type="column"/>
      </w:r>
      <w:r>
        <w:rPr>
          <w:rFonts w:ascii="Cambria Math" w:eastAsia="Cambria Math"/>
          <w:w w:val="115"/>
          <w:sz w:val="16"/>
        </w:rPr>
        <w:t>𝑡</w:t>
        <w:tab/>
      </w:r>
      <w:r>
        <w:rPr>
          <w:rFonts w:ascii="Cambria Math" w:eastAsia="Cambria Math"/>
          <w:spacing w:val="-74"/>
          <w:w w:val="115"/>
          <w:sz w:val="16"/>
        </w:rPr>
        <w:t>𝑗𝑡</w:t>
      </w:r>
    </w:p>
    <w:p>
      <w:pPr>
        <w:spacing w:line="202" w:lineRule="exact" w:before="0"/>
        <w:ind w:left="190" w:right="0" w:firstLine="0"/>
        <w:jc w:val="left"/>
        <w:rPr>
          <w:rFonts w:ascii="Cambria Math" w:eastAsia="Cambria Math"/>
          <w:sz w:val="22"/>
        </w:rPr>
      </w:pPr>
      <w:r>
        <w:rPr/>
        <w:br w:type="column"/>
      </w:r>
      <w:r>
        <w:rPr>
          <w:rFonts w:ascii="Cambria Math" w:eastAsia="Cambria Math"/>
          <w:w w:val="115"/>
          <w:sz w:val="16"/>
        </w:rPr>
        <w:t>𝑗0</w:t>
      </w:r>
      <w:r>
        <w:rPr>
          <w:rFonts w:ascii="Cambria Math" w:eastAsia="Cambria Math"/>
          <w:w w:val="115"/>
          <w:position w:val="4"/>
          <w:sz w:val="22"/>
        </w:rPr>
        <w:t>)</w:t>
      </w:r>
    </w:p>
    <w:p>
      <w:pPr>
        <w:spacing w:after="0" w:line="202" w:lineRule="exact"/>
        <w:jc w:val="left"/>
        <w:rPr>
          <w:rFonts w:ascii="Cambria Math" w:eastAsia="Cambria Math"/>
          <w:sz w:val="22"/>
        </w:rPr>
        <w:sectPr>
          <w:type w:val="continuous"/>
          <w:pgSz w:w="12240" w:h="15840"/>
          <w:pgMar w:top="1500" w:bottom="280" w:left="1140" w:right="0"/>
          <w:cols w:num="7" w:equalWidth="0">
            <w:col w:w="1056" w:space="40"/>
            <w:col w:w="300" w:space="39"/>
            <w:col w:w="456" w:space="39"/>
            <w:col w:w="701" w:space="39"/>
            <w:col w:w="387" w:space="3164"/>
            <w:col w:w="1345" w:space="40"/>
            <w:col w:w="3494"/>
          </w:cols>
        </w:sectPr>
      </w:pPr>
    </w:p>
    <w:p>
      <w:pPr>
        <w:pStyle w:val="BodyText"/>
        <w:spacing w:line="276" w:lineRule="auto" w:before="30"/>
        <w:ind w:left="622" w:right="1763"/>
        <w:jc w:val="both"/>
      </w:pPr>
      <w:r>
        <w:rPr/>
        <w:t>de los precios relativos, una mayor inflación de los precios nacionales en comparación a los socios realiza presiones a la apreciación y en el caso del tipo de cambio real relativo inverso indica que si el aumento del tipo de cambio con respecto al dólar de los socios comerciales es mayor que el nacional significan presiones a la apreciación dado que el poder adquisitivo del quetzal aumenta</w:t>
      </w:r>
      <w:r>
        <w:rPr>
          <w:spacing w:val="-40"/>
        </w:rPr>
        <w:t> </w:t>
      </w:r>
      <w:r>
        <w:rPr/>
        <w:t>en los países socios en comparación al</w:t>
      </w:r>
      <w:r>
        <w:rPr>
          <w:spacing w:val="-6"/>
        </w:rPr>
        <w:t> </w:t>
      </w:r>
      <w:r>
        <w:rPr/>
        <w:t>nacional.</w:t>
      </w:r>
    </w:p>
    <w:p>
      <w:pPr>
        <w:pStyle w:val="BodyText"/>
        <w:spacing w:before="6"/>
        <w:rPr>
          <w:sz w:val="17"/>
        </w:rPr>
      </w:pPr>
    </w:p>
    <w:p>
      <w:pPr>
        <w:pStyle w:val="BodyText"/>
        <w:spacing w:line="276" w:lineRule="auto" w:before="91"/>
        <w:ind w:left="622" w:right="1760"/>
        <w:jc w:val="both"/>
      </w:pPr>
      <w:r>
        <w:rPr/>
        <w:t>Se utilizó logaritmos de los precios relativos y del tipo de cambio relativo inverso para obtener la contribución a la apreciación o depreciación en cada año desde el 2004. Se observa que la contribución de los precios relativos ha sido diversa a lo largo del tiempo. Para el tipo de cambio real inverso se observa un patrón constante hacia la apreciación en su contribución, esto se debe a que el tipo de cambio nacional ha permanecido estable en comparación de países como México, Costa Rica, Colombia, entre otros que han tenido una tendencia definida hacia la depreciación. En 2021 a pesar de que existieron presiones hacia la depreciación debido a que los socios mostraron más altas tasas de inflación que la nacional, se contrarrestó por el efecto del tipo de cambio, dado que el tipo de cambio de los socios se depreció más que el nacional.</w:t>
      </w:r>
    </w:p>
    <w:p>
      <w:pPr>
        <w:pStyle w:val="BodyText"/>
        <w:spacing w:before="5"/>
        <w:rPr>
          <w:sz w:val="20"/>
        </w:rPr>
      </w:pPr>
    </w:p>
    <w:p>
      <w:pPr>
        <w:pStyle w:val="Heading2"/>
        <w:numPr>
          <w:ilvl w:val="0"/>
          <w:numId w:val="11"/>
        </w:numPr>
        <w:tabs>
          <w:tab w:pos="846" w:val="left" w:leader="none"/>
        </w:tabs>
        <w:spacing w:line="240" w:lineRule="auto" w:before="90" w:after="0"/>
        <w:ind w:left="845" w:right="0" w:hanging="284"/>
        <w:jc w:val="left"/>
      </w:pPr>
      <w:bookmarkStart w:name="_bookmark69" w:id="90"/>
      <w:bookmarkEnd w:id="90"/>
      <w:r>
        <w:rPr>
          <w:b w:val="0"/>
        </w:rPr>
      </w:r>
      <w:bookmarkStart w:name="_bookmark69" w:id="91"/>
      <w:bookmarkEnd w:id="91"/>
      <w:r>
        <w:rPr/>
        <w:t>E</w:t>
      </w:r>
      <w:r>
        <w:rPr/>
        <w:t>scenario macroeconómico</w:t>
      </w:r>
      <w:r>
        <w:rPr>
          <w:spacing w:val="1"/>
        </w:rPr>
        <w:t> </w:t>
      </w:r>
      <w:r>
        <w:rPr/>
        <w:t>2022</w:t>
      </w:r>
    </w:p>
    <w:p>
      <w:pPr>
        <w:pStyle w:val="BodyText"/>
        <w:rPr>
          <w:b/>
          <w:sz w:val="30"/>
        </w:rPr>
      </w:pPr>
    </w:p>
    <w:p>
      <w:pPr>
        <w:pStyle w:val="BodyText"/>
        <w:spacing w:line="276" w:lineRule="auto" w:before="1"/>
        <w:ind w:left="562" w:right="1695"/>
        <w:jc w:val="both"/>
      </w:pPr>
      <w:r>
        <w:rPr/>
        <w:t>Luego</w:t>
      </w:r>
      <w:r>
        <w:rPr>
          <w:spacing w:val="-11"/>
        </w:rPr>
        <w:t> </w:t>
      </w:r>
      <w:r>
        <w:rPr/>
        <w:t>de</w:t>
      </w:r>
      <w:r>
        <w:rPr>
          <w:spacing w:val="-13"/>
        </w:rPr>
        <w:t> </w:t>
      </w:r>
      <w:r>
        <w:rPr/>
        <w:t>la</w:t>
      </w:r>
      <w:r>
        <w:rPr>
          <w:spacing w:val="-13"/>
        </w:rPr>
        <w:t> </w:t>
      </w:r>
      <w:r>
        <w:rPr/>
        <w:t>recuperación</w:t>
      </w:r>
      <w:r>
        <w:rPr>
          <w:spacing w:val="-12"/>
        </w:rPr>
        <w:t> </w:t>
      </w:r>
      <w:r>
        <w:rPr/>
        <w:t>observada</w:t>
      </w:r>
      <w:r>
        <w:rPr>
          <w:spacing w:val="-13"/>
        </w:rPr>
        <w:t> </w:t>
      </w:r>
      <w:r>
        <w:rPr/>
        <w:t>en</w:t>
      </w:r>
      <w:r>
        <w:rPr>
          <w:spacing w:val="-12"/>
        </w:rPr>
        <w:t> </w:t>
      </w:r>
      <w:r>
        <w:rPr/>
        <w:t>2021</w:t>
      </w:r>
      <w:r>
        <w:rPr>
          <w:spacing w:val="-13"/>
        </w:rPr>
        <w:t> </w:t>
      </w:r>
      <w:r>
        <w:rPr/>
        <w:t>se</w:t>
      </w:r>
      <w:r>
        <w:rPr>
          <w:spacing w:val="-12"/>
        </w:rPr>
        <w:t> </w:t>
      </w:r>
      <w:r>
        <w:rPr/>
        <w:t>prevé</w:t>
      </w:r>
      <w:r>
        <w:rPr>
          <w:spacing w:val="-10"/>
        </w:rPr>
        <w:t> </w:t>
      </w:r>
      <w:r>
        <w:rPr/>
        <w:t>para</w:t>
      </w:r>
      <w:r>
        <w:rPr>
          <w:spacing w:val="-13"/>
        </w:rPr>
        <w:t> </w:t>
      </w:r>
      <w:r>
        <w:rPr/>
        <w:t>el</w:t>
      </w:r>
      <w:r>
        <w:rPr>
          <w:spacing w:val="-12"/>
        </w:rPr>
        <w:t> </w:t>
      </w:r>
      <w:r>
        <w:rPr/>
        <w:t>presente</w:t>
      </w:r>
      <w:r>
        <w:rPr>
          <w:spacing w:val="-13"/>
        </w:rPr>
        <w:t> </w:t>
      </w:r>
      <w:r>
        <w:rPr/>
        <w:t>año,</w:t>
      </w:r>
      <w:r>
        <w:rPr>
          <w:spacing w:val="-12"/>
        </w:rPr>
        <w:t> </w:t>
      </w:r>
      <w:r>
        <w:rPr/>
        <w:t>que</w:t>
      </w:r>
      <w:r>
        <w:rPr>
          <w:spacing w:val="-10"/>
        </w:rPr>
        <w:t> </w:t>
      </w:r>
      <w:r>
        <w:rPr/>
        <w:t>el</w:t>
      </w:r>
      <w:r>
        <w:rPr>
          <w:spacing w:val="-12"/>
        </w:rPr>
        <w:t> </w:t>
      </w:r>
      <w:r>
        <w:rPr/>
        <w:t>impulso</w:t>
      </w:r>
      <w:r>
        <w:rPr>
          <w:spacing w:val="-10"/>
        </w:rPr>
        <w:t> </w:t>
      </w:r>
      <w:r>
        <w:rPr/>
        <w:t>económico, como consecuencia de la resiliencia del país y el relajamiento en las medidas de contingencia de la pandemia</w:t>
      </w:r>
      <w:r>
        <w:rPr>
          <w:spacing w:val="-4"/>
        </w:rPr>
        <w:t> </w:t>
      </w:r>
      <w:r>
        <w:rPr/>
        <w:t>se</w:t>
      </w:r>
      <w:r>
        <w:rPr>
          <w:spacing w:val="-5"/>
        </w:rPr>
        <w:t> </w:t>
      </w:r>
      <w:r>
        <w:rPr/>
        <w:t>mantenga</w:t>
      </w:r>
      <w:r>
        <w:rPr>
          <w:spacing w:val="-3"/>
        </w:rPr>
        <w:t> </w:t>
      </w:r>
      <w:r>
        <w:rPr/>
        <w:t>constante</w:t>
      </w:r>
      <w:r>
        <w:rPr>
          <w:spacing w:val="-3"/>
        </w:rPr>
        <w:t> </w:t>
      </w:r>
      <w:r>
        <w:rPr/>
        <w:t>pero</w:t>
      </w:r>
      <w:r>
        <w:rPr>
          <w:spacing w:val="-4"/>
        </w:rPr>
        <w:t> </w:t>
      </w:r>
      <w:r>
        <w:rPr/>
        <w:t>moderado.</w:t>
      </w:r>
      <w:r>
        <w:rPr>
          <w:spacing w:val="-4"/>
        </w:rPr>
        <w:t> </w:t>
      </w:r>
      <w:r>
        <w:rPr/>
        <w:t>Se</w:t>
      </w:r>
      <w:r>
        <w:rPr>
          <w:spacing w:val="-6"/>
        </w:rPr>
        <w:t> </w:t>
      </w:r>
      <w:r>
        <w:rPr/>
        <w:t>espera</w:t>
      </w:r>
      <w:r>
        <w:rPr>
          <w:spacing w:val="-6"/>
        </w:rPr>
        <w:t> </w:t>
      </w:r>
      <w:r>
        <w:rPr/>
        <w:t>un</w:t>
      </w:r>
      <w:r>
        <w:rPr>
          <w:spacing w:val="-4"/>
        </w:rPr>
        <w:t> </w:t>
      </w:r>
      <w:r>
        <w:rPr/>
        <w:t>incremento</w:t>
      </w:r>
      <w:r>
        <w:rPr>
          <w:spacing w:val="-4"/>
        </w:rPr>
        <w:t> </w:t>
      </w:r>
      <w:r>
        <w:rPr/>
        <w:t>en</w:t>
      </w:r>
      <w:r>
        <w:rPr>
          <w:spacing w:val="-6"/>
        </w:rPr>
        <w:t> </w:t>
      </w:r>
      <w:r>
        <w:rPr/>
        <w:t>el</w:t>
      </w:r>
      <w:r>
        <w:rPr>
          <w:spacing w:val="-3"/>
        </w:rPr>
        <w:t> </w:t>
      </w:r>
      <w:r>
        <w:rPr/>
        <w:t>PIB,</w:t>
      </w:r>
      <w:r>
        <w:rPr>
          <w:spacing w:val="-4"/>
        </w:rPr>
        <w:t> </w:t>
      </w:r>
      <w:r>
        <w:rPr/>
        <w:t>sujeto</w:t>
      </w:r>
      <w:r>
        <w:rPr>
          <w:spacing w:val="-6"/>
        </w:rPr>
        <w:t> </w:t>
      </w:r>
      <w:r>
        <w:rPr/>
        <w:t>a</w:t>
      </w:r>
      <w:r>
        <w:rPr>
          <w:spacing w:val="-4"/>
        </w:rPr>
        <w:t> </w:t>
      </w:r>
      <w:r>
        <w:rPr/>
        <w:t>riesgos asociados al surgimiento de nuevas variantes y a una contracción de la demanda externa por </w:t>
      </w:r>
      <w:r>
        <w:rPr>
          <w:spacing w:val="-3"/>
        </w:rPr>
        <w:t>el </w:t>
      </w:r>
      <w:r>
        <w:rPr/>
        <w:t>conflicto bélico de Rusia-Ucrania. En cuanto a los sectores productivos, se prevén tasas de crecimiento</w:t>
      </w:r>
      <w:r>
        <w:rPr>
          <w:spacing w:val="-11"/>
        </w:rPr>
        <w:t> </w:t>
      </w:r>
      <w:r>
        <w:rPr/>
        <w:t>positivas</w:t>
      </w:r>
      <w:r>
        <w:rPr>
          <w:spacing w:val="-9"/>
        </w:rPr>
        <w:t> </w:t>
      </w:r>
      <w:r>
        <w:rPr/>
        <w:t>en</w:t>
      </w:r>
      <w:r>
        <w:rPr>
          <w:spacing w:val="-9"/>
        </w:rPr>
        <w:t> </w:t>
      </w:r>
      <w:r>
        <w:rPr/>
        <w:t>todas</w:t>
      </w:r>
      <w:r>
        <w:rPr>
          <w:spacing w:val="-10"/>
        </w:rPr>
        <w:t> </w:t>
      </w:r>
      <w:r>
        <w:rPr/>
        <w:t>las</w:t>
      </w:r>
      <w:r>
        <w:rPr>
          <w:spacing w:val="-9"/>
        </w:rPr>
        <w:t> </w:t>
      </w:r>
      <w:r>
        <w:rPr/>
        <w:t>actividades</w:t>
      </w:r>
      <w:r>
        <w:rPr>
          <w:spacing w:val="-11"/>
        </w:rPr>
        <w:t> </w:t>
      </w:r>
      <w:r>
        <w:rPr/>
        <w:t>económicas,</w:t>
      </w:r>
      <w:r>
        <w:rPr>
          <w:spacing w:val="-10"/>
        </w:rPr>
        <w:t> </w:t>
      </w:r>
      <w:r>
        <w:rPr/>
        <w:t>siendo</w:t>
      </w:r>
      <w:r>
        <w:rPr>
          <w:spacing w:val="-9"/>
        </w:rPr>
        <w:t> </w:t>
      </w:r>
      <w:r>
        <w:rPr/>
        <w:t>las</w:t>
      </w:r>
      <w:r>
        <w:rPr>
          <w:spacing w:val="-9"/>
        </w:rPr>
        <w:t> </w:t>
      </w:r>
      <w:r>
        <w:rPr/>
        <w:t>más</w:t>
      </w:r>
      <w:r>
        <w:rPr>
          <w:spacing w:val="-9"/>
        </w:rPr>
        <w:t> </w:t>
      </w:r>
      <w:r>
        <w:rPr/>
        <w:t>destacadas,</w:t>
      </w:r>
      <w:r>
        <w:rPr>
          <w:spacing w:val="-10"/>
        </w:rPr>
        <w:t> </w:t>
      </w:r>
      <w:r>
        <w:rPr/>
        <w:t>mantenimiento y reparación de vehículos automotores, actividades agropecuarias y las industrias manufactureras asociadas al sector construcción, fabricación de muebles y de productos plásticos. Asimismo, los pronósticos de inflación para 2022, según las previsiones de abril, se ubican dentro de la meta establecida por el Banco de Guatemala, sujeta al impulso económico nacional y presiones inflacionarias de los principales socios comerciales del</w:t>
      </w:r>
      <w:r>
        <w:rPr>
          <w:spacing w:val="-8"/>
        </w:rPr>
        <w:t> </w:t>
      </w:r>
      <w:r>
        <w:rPr/>
        <w:t>país.</w:t>
      </w:r>
    </w:p>
    <w:p>
      <w:pPr>
        <w:pStyle w:val="BodyText"/>
        <w:spacing w:before="4"/>
        <w:rPr>
          <w:sz w:val="25"/>
        </w:rPr>
      </w:pPr>
    </w:p>
    <w:p>
      <w:pPr>
        <w:pStyle w:val="BodyText"/>
        <w:spacing w:line="276" w:lineRule="auto" w:before="1"/>
        <w:ind w:left="562" w:right="1696"/>
        <w:jc w:val="both"/>
      </w:pPr>
      <w:r>
        <w:rPr/>
        <w:t>Por su parte, se espera que las exportaciones y las importaciones, mantengan un leve crecimiento, sujeta a la resiliencia de los principales socios comerciales y bajo el riesgo causado por el conflicto Rusia-Ucrania. En cuanto a las remesas, se proyecta un crecimiento positivo, como consecuencia de la recuperación en el mercado laboral estadounidense, particularmente en el sector hispano, la normalización post pandemia y flujo migratorio constante. Asimismo, los agregados monetarios son consistentes en mostrar una recuperación de la actividad económico y las tasas de interés se han</w:t>
      </w:r>
    </w:p>
    <w:p>
      <w:pPr>
        <w:spacing w:after="0" w:line="276" w:lineRule="auto"/>
        <w:jc w:val="both"/>
        <w:sectPr>
          <w:type w:val="continuous"/>
          <w:pgSz w:w="12240" w:h="15840"/>
          <w:pgMar w:top="1500" w:bottom="280" w:left="1140" w:right="0"/>
        </w:sectPr>
      </w:pPr>
    </w:p>
    <w:p>
      <w:pPr>
        <w:pStyle w:val="BodyText"/>
        <w:spacing w:line="276" w:lineRule="auto" w:before="162"/>
        <w:ind w:left="562" w:right="1702"/>
        <w:jc w:val="both"/>
      </w:pPr>
      <w:r>
        <w:rPr/>
        <w:t>mantenido estables el 2022 a pesar de la expectativa del aumento de las tasas internacionales por los incrementos de la tasa de interés de la Reserva Federal.</w:t>
      </w:r>
    </w:p>
    <w:p>
      <w:pPr>
        <w:pStyle w:val="BodyText"/>
        <w:spacing w:before="4"/>
        <w:rPr>
          <w:sz w:val="27"/>
        </w:rPr>
      </w:pPr>
    </w:p>
    <w:p>
      <w:pPr>
        <w:pStyle w:val="Heading2"/>
        <w:numPr>
          <w:ilvl w:val="1"/>
          <w:numId w:val="11"/>
        </w:numPr>
        <w:tabs>
          <w:tab w:pos="1390" w:val="left" w:leader="none"/>
        </w:tabs>
        <w:spacing w:line="240" w:lineRule="auto" w:before="0" w:after="0"/>
        <w:ind w:left="1390" w:right="0" w:hanging="480"/>
        <w:jc w:val="left"/>
      </w:pPr>
      <w:bookmarkStart w:name="_bookmark70" w:id="92"/>
      <w:bookmarkEnd w:id="92"/>
      <w:r>
        <w:rPr/>
        <w:t>S</w:t>
      </w:r>
      <w:r>
        <w:rPr/>
        <w:t>ector</w:t>
      </w:r>
      <w:r>
        <w:rPr>
          <w:spacing w:val="-3"/>
        </w:rPr>
        <w:t> </w:t>
      </w:r>
      <w:r>
        <w:rPr/>
        <w:t>real</w:t>
      </w:r>
    </w:p>
    <w:p>
      <w:pPr>
        <w:pStyle w:val="BodyText"/>
        <w:rPr>
          <w:b/>
          <w:sz w:val="30"/>
        </w:rPr>
      </w:pPr>
    </w:p>
    <w:p>
      <w:pPr>
        <w:pStyle w:val="BodyText"/>
        <w:spacing w:line="276" w:lineRule="auto"/>
        <w:ind w:left="562" w:right="1696"/>
        <w:jc w:val="both"/>
      </w:pPr>
      <w:r>
        <w:rPr/>
        <w:t>En el año 2022, se espera que la economía guatemalteca continúe con su estabilización mostrada previo a la pandemia. La solidez bancaria, las continuas reformas para mejorar el desempeño de las empresas</w:t>
      </w:r>
      <w:r>
        <w:rPr>
          <w:spacing w:val="-3"/>
        </w:rPr>
        <w:t> </w:t>
      </w:r>
      <w:r>
        <w:rPr/>
        <w:t>y</w:t>
      </w:r>
      <w:r>
        <w:rPr>
          <w:spacing w:val="-5"/>
        </w:rPr>
        <w:t> </w:t>
      </w:r>
      <w:r>
        <w:rPr/>
        <w:t>el</w:t>
      </w:r>
      <w:r>
        <w:rPr>
          <w:spacing w:val="-3"/>
        </w:rPr>
        <w:t> </w:t>
      </w:r>
      <w:r>
        <w:rPr/>
        <w:t>relajamiento</w:t>
      </w:r>
      <w:r>
        <w:rPr>
          <w:spacing w:val="-3"/>
        </w:rPr>
        <w:t> </w:t>
      </w:r>
      <w:r>
        <w:rPr/>
        <w:t>continuo</w:t>
      </w:r>
      <w:r>
        <w:rPr>
          <w:spacing w:val="-4"/>
        </w:rPr>
        <w:t> </w:t>
      </w:r>
      <w:r>
        <w:rPr/>
        <w:t>de</w:t>
      </w:r>
      <w:r>
        <w:rPr>
          <w:spacing w:val="-5"/>
        </w:rPr>
        <w:t> </w:t>
      </w:r>
      <w:r>
        <w:rPr/>
        <w:t>las</w:t>
      </w:r>
      <w:r>
        <w:rPr>
          <w:spacing w:val="-3"/>
        </w:rPr>
        <w:t> </w:t>
      </w:r>
      <w:r>
        <w:rPr/>
        <w:t>medidas</w:t>
      </w:r>
      <w:r>
        <w:rPr>
          <w:spacing w:val="-4"/>
        </w:rPr>
        <w:t> </w:t>
      </w:r>
      <w:r>
        <w:rPr/>
        <w:t>tomadas</w:t>
      </w:r>
      <w:r>
        <w:rPr>
          <w:spacing w:val="1"/>
        </w:rPr>
        <w:t> </w:t>
      </w:r>
      <w:r>
        <w:rPr/>
        <w:t>con</w:t>
      </w:r>
      <w:r>
        <w:rPr>
          <w:spacing w:val="-2"/>
        </w:rPr>
        <w:t> </w:t>
      </w:r>
      <w:r>
        <w:rPr/>
        <w:t>respecto</w:t>
      </w:r>
      <w:r>
        <w:rPr>
          <w:spacing w:val="-3"/>
        </w:rPr>
        <w:t> </w:t>
      </w:r>
      <w:r>
        <w:rPr/>
        <w:t>a</w:t>
      </w:r>
      <w:r>
        <w:rPr>
          <w:spacing w:val="-6"/>
        </w:rPr>
        <w:t> </w:t>
      </w:r>
      <w:r>
        <w:rPr/>
        <w:t>la</w:t>
      </w:r>
      <w:r>
        <w:rPr>
          <w:spacing w:val="-2"/>
        </w:rPr>
        <w:t> </w:t>
      </w:r>
      <w:r>
        <w:rPr/>
        <w:t>pandemia</w:t>
      </w:r>
      <w:r>
        <w:rPr>
          <w:spacing w:val="-3"/>
        </w:rPr>
        <w:t> </w:t>
      </w:r>
      <w:r>
        <w:rPr/>
        <w:t>contribuyen para que la economía pueda ubicarse al menos en el crecimiento potencial en el presente año. Se espera que la inflación nacional aumente debido a las presiones inflacionarias globales, derivado del conflicto bélico entre Ucrania y Rusia y la crisis en la cadena de suministros por las medidas de confinamiento en algunos</w:t>
      </w:r>
      <w:r>
        <w:rPr>
          <w:spacing w:val="-1"/>
        </w:rPr>
        <w:t> </w:t>
      </w:r>
      <w:r>
        <w:rPr/>
        <w:t>países.</w:t>
      </w:r>
    </w:p>
    <w:p>
      <w:pPr>
        <w:pStyle w:val="BodyText"/>
        <w:spacing w:before="4"/>
        <w:rPr>
          <w:sz w:val="25"/>
        </w:rPr>
      </w:pPr>
    </w:p>
    <w:p>
      <w:pPr>
        <w:pStyle w:val="BodyText"/>
        <w:spacing w:line="276" w:lineRule="auto"/>
        <w:ind w:left="562" w:right="1695"/>
        <w:jc w:val="both"/>
      </w:pPr>
      <w:r>
        <w:rPr/>
        <w:t>El</w:t>
      </w:r>
      <w:r>
        <w:rPr>
          <w:spacing w:val="-6"/>
        </w:rPr>
        <w:t> </w:t>
      </w:r>
      <w:r>
        <w:rPr/>
        <w:t>Índice</w:t>
      </w:r>
      <w:r>
        <w:rPr>
          <w:spacing w:val="-6"/>
        </w:rPr>
        <w:t> </w:t>
      </w:r>
      <w:r>
        <w:rPr/>
        <w:t>Mensual</w:t>
      </w:r>
      <w:r>
        <w:rPr>
          <w:spacing w:val="-6"/>
        </w:rPr>
        <w:t> </w:t>
      </w:r>
      <w:r>
        <w:rPr/>
        <w:t>de</w:t>
      </w:r>
      <w:r>
        <w:rPr>
          <w:spacing w:val="-6"/>
        </w:rPr>
        <w:t> </w:t>
      </w:r>
      <w:r>
        <w:rPr/>
        <w:t>la</w:t>
      </w:r>
      <w:r>
        <w:rPr>
          <w:spacing w:val="-6"/>
        </w:rPr>
        <w:t> </w:t>
      </w:r>
      <w:r>
        <w:rPr/>
        <w:t>Actividad</w:t>
      </w:r>
      <w:r>
        <w:rPr>
          <w:spacing w:val="-7"/>
        </w:rPr>
        <w:t> </w:t>
      </w:r>
      <w:r>
        <w:rPr/>
        <w:t>Económica</w:t>
      </w:r>
      <w:r>
        <w:rPr>
          <w:spacing w:val="-3"/>
        </w:rPr>
        <w:t> </w:t>
      </w:r>
      <w:r>
        <w:rPr/>
        <w:t>-IMAE-</w:t>
      </w:r>
      <w:r>
        <w:rPr>
          <w:spacing w:val="-9"/>
        </w:rPr>
        <w:t> </w:t>
      </w:r>
      <w:r>
        <w:rPr/>
        <w:t>reportado</w:t>
      </w:r>
      <w:r>
        <w:rPr>
          <w:spacing w:val="-6"/>
        </w:rPr>
        <w:t> </w:t>
      </w:r>
      <w:r>
        <w:rPr/>
        <w:t>por</w:t>
      </w:r>
      <w:r>
        <w:rPr>
          <w:spacing w:val="-5"/>
        </w:rPr>
        <w:t> </w:t>
      </w:r>
      <w:r>
        <w:rPr/>
        <w:t>el</w:t>
      </w:r>
      <w:r>
        <w:rPr>
          <w:spacing w:val="-6"/>
        </w:rPr>
        <w:t> </w:t>
      </w:r>
      <w:r>
        <w:rPr/>
        <w:t>Banco</w:t>
      </w:r>
      <w:r>
        <w:rPr>
          <w:spacing w:val="-6"/>
        </w:rPr>
        <w:t> </w:t>
      </w:r>
      <w:r>
        <w:rPr/>
        <w:t>de</w:t>
      </w:r>
      <w:r>
        <w:rPr>
          <w:spacing w:val="-7"/>
        </w:rPr>
        <w:t> </w:t>
      </w:r>
      <w:r>
        <w:rPr/>
        <w:t>Guatemala</w:t>
      </w:r>
      <w:r>
        <w:rPr>
          <w:spacing w:val="-6"/>
        </w:rPr>
        <w:t> </w:t>
      </w:r>
      <w:r>
        <w:rPr/>
        <w:t>registró una</w:t>
      </w:r>
      <w:r>
        <w:rPr>
          <w:spacing w:val="-6"/>
        </w:rPr>
        <w:t> </w:t>
      </w:r>
      <w:r>
        <w:rPr/>
        <w:t>tasa</w:t>
      </w:r>
      <w:r>
        <w:rPr>
          <w:spacing w:val="-3"/>
        </w:rPr>
        <w:t> </w:t>
      </w:r>
      <w:r>
        <w:rPr/>
        <w:t>de</w:t>
      </w:r>
      <w:r>
        <w:rPr>
          <w:spacing w:val="-6"/>
        </w:rPr>
        <w:t> </w:t>
      </w:r>
      <w:r>
        <w:rPr/>
        <w:t>crecimiento</w:t>
      </w:r>
      <w:r>
        <w:rPr>
          <w:spacing w:val="-6"/>
        </w:rPr>
        <w:t> </w:t>
      </w:r>
      <w:r>
        <w:rPr/>
        <w:t>interanual</w:t>
      </w:r>
      <w:r>
        <w:rPr>
          <w:spacing w:val="-5"/>
        </w:rPr>
        <w:t> </w:t>
      </w:r>
      <w:r>
        <w:rPr/>
        <w:t>de</w:t>
      </w:r>
      <w:r>
        <w:rPr>
          <w:spacing w:val="-6"/>
        </w:rPr>
        <w:t> </w:t>
      </w:r>
      <w:r>
        <w:rPr/>
        <w:t>3.6%</w:t>
      </w:r>
      <w:r>
        <w:rPr>
          <w:spacing w:val="-1"/>
        </w:rPr>
        <w:t> </w:t>
      </w:r>
      <w:r>
        <w:rPr/>
        <w:t>para</w:t>
      </w:r>
      <w:r>
        <w:rPr>
          <w:spacing w:val="-8"/>
        </w:rPr>
        <w:t> </w:t>
      </w:r>
      <w:r>
        <w:rPr/>
        <w:t>junio</w:t>
      </w:r>
      <w:r>
        <w:rPr>
          <w:spacing w:val="-6"/>
        </w:rPr>
        <w:t> </w:t>
      </w:r>
      <w:r>
        <w:rPr/>
        <w:t>de</w:t>
      </w:r>
      <w:r>
        <w:rPr>
          <w:spacing w:val="-3"/>
        </w:rPr>
        <w:t> </w:t>
      </w:r>
      <w:r>
        <w:rPr/>
        <w:t>2022</w:t>
      </w:r>
      <w:r>
        <w:rPr>
          <w:position w:val="8"/>
          <w:sz w:val="14"/>
        </w:rPr>
        <w:t>1</w:t>
      </w:r>
      <w:r>
        <w:rPr/>
        <w:t>,</w:t>
      </w:r>
      <w:r>
        <w:rPr>
          <w:spacing w:val="-4"/>
        </w:rPr>
        <w:t> </w:t>
      </w:r>
      <w:r>
        <w:rPr/>
        <w:t>menor</w:t>
      </w:r>
      <w:r>
        <w:rPr>
          <w:spacing w:val="-5"/>
        </w:rPr>
        <w:t> </w:t>
      </w:r>
      <w:r>
        <w:rPr/>
        <w:t>al</w:t>
      </w:r>
      <w:r>
        <w:rPr>
          <w:spacing w:val="-5"/>
        </w:rPr>
        <w:t> </w:t>
      </w:r>
      <w:r>
        <w:rPr/>
        <w:t>mostrado</w:t>
      </w:r>
      <w:r>
        <w:rPr>
          <w:spacing w:val="-6"/>
        </w:rPr>
        <w:t> </w:t>
      </w:r>
      <w:r>
        <w:rPr/>
        <w:t>en</w:t>
      </w:r>
      <w:r>
        <w:rPr>
          <w:spacing w:val="-3"/>
        </w:rPr>
        <w:t> </w:t>
      </w:r>
      <w:r>
        <w:rPr/>
        <w:t>el</w:t>
      </w:r>
      <w:r>
        <w:rPr>
          <w:spacing w:val="-5"/>
        </w:rPr>
        <w:t> </w:t>
      </w:r>
      <w:r>
        <w:rPr/>
        <w:t>año</w:t>
      </w:r>
      <w:r>
        <w:rPr>
          <w:spacing w:val="-6"/>
        </w:rPr>
        <w:t> </w:t>
      </w:r>
      <w:r>
        <w:rPr/>
        <w:t>anterior con un valor de 14.3%. Con respecto a la variación interanual de la tendencia – ciclo del IMAE, se reportó</w:t>
      </w:r>
      <w:r>
        <w:rPr>
          <w:spacing w:val="-13"/>
        </w:rPr>
        <w:t> </w:t>
      </w:r>
      <w:r>
        <w:rPr/>
        <w:t>3.3%</w:t>
      </w:r>
      <w:r>
        <w:rPr>
          <w:spacing w:val="-13"/>
        </w:rPr>
        <w:t> </w:t>
      </w:r>
      <w:r>
        <w:rPr/>
        <w:t>para</w:t>
      </w:r>
      <w:r>
        <w:rPr>
          <w:spacing w:val="-13"/>
        </w:rPr>
        <w:t> </w:t>
      </w:r>
      <w:r>
        <w:rPr/>
        <w:t>el</w:t>
      </w:r>
      <w:r>
        <w:rPr>
          <w:spacing w:val="-12"/>
        </w:rPr>
        <w:t> </w:t>
      </w:r>
      <w:r>
        <w:rPr/>
        <w:t>presente</w:t>
      </w:r>
      <w:r>
        <w:rPr>
          <w:spacing w:val="-13"/>
        </w:rPr>
        <w:t> </w:t>
      </w:r>
      <w:r>
        <w:rPr/>
        <w:t>año.</w:t>
      </w:r>
      <w:r>
        <w:rPr>
          <w:spacing w:val="-13"/>
        </w:rPr>
        <w:t> </w:t>
      </w:r>
      <w:r>
        <w:rPr/>
        <w:t>La</w:t>
      </w:r>
      <w:r>
        <w:rPr>
          <w:spacing w:val="-13"/>
        </w:rPr>
        <w:t> </w:t>
      </w:r>
      <w:r>
        <w:rPr/>
        <w:t>mejora</w:t>
      </w:r>
      <w:r>
        <w:rPr>
          <w:spacing w:val="-12"/>
        </w:rPr>
        <w:t> </w:t>
      </w:r>
      <w:r>
        <w:rPr/>
        <w:t>en</w:t>
      </w:r>
      <w:r>
        <w:rPr>
          <w:spacing w:val="-13"/>
        </w:rPr>
        <w:t> </w:t>
      </w:r>
      <w:r>
        <w:rPr/>
        <w:t>el</w:t>
      </w:r>
      <w:r>
        <w:rPr>
          <w:spacing w:val="-12"/>
        </w:rPr>
        <w:t> </w:t>
      </w:r>
      <w:r>
        <w:rPr/>
        <w:t>IMAE</w:t>
      </w:r>
      <w:r>
        <w:rPr>
          <w:spacing w:val="-14"/>
        </w:rPr>
        <w:t> </w:t>
      </w:r>
      <w:r>
        <w:rPr/>
        <w:t>se</w:t>
      </w:r>
      <w:r>
        <w:rPr>
          <w:spacing w:val="-13"/>
        </w:rPr>
        <w:t> </w:t>
      </w:r>
      <w:r>
        <w:rPr/>
        <w:t>explica</w:t>
      </w:r>
      <w:r>
        <w:rPr>
          <w:spacing w:val="-13"/>
        </w:rPr>
        <w:t> </w:t>
      </w:r>
      <w:r>
        <w:rPr/>
        <w:t>principalmente</w:t>
      </w:r>
      <w:r>
        <w:rPr>
          <w:spacing w:val="-14"/>
        </w:rPr>
        <w:t> </w:t>
      </w:r>
      <w:r>
        <w:rPr/>
        <w:t>por</w:t>
      </w:r>
      <w:r>
        <w:rPr>
          <w:spacing w:val="-13"/>
        </w:rPr>
        <w:t> </w:t>
      </w:r>
      <w:r>
        <w:rPr/>
        <w:t>el</w:t>
      </w:r>
      <w:r>
        <w:rPr>
          <w:spacing w:val="-12"/>
        </w:rPr>
        <w:t> </w:t>
      </w:r>
      <w:r>
        <w:rPr/>
        <w:t>crecimiento interanual de las actividades económicas de alojamiento, transporte y almacenamiento, seguidas por las</w:t>
      </w:r>
      <w:r>
        <w:rPr>
          <w:spacing w:val="-14"/>
        </w:rPr>
        <w:t> </w:t>
      </w:r>
      <w:r>
        <w:rPr/>
        <w:t>actividades</w:t>
      </w:r>
      <w:r>
        <w:rPr>
          <w:spacing w:val="-11"/>
        </w:rPr>
        <w:t> </w:t>
      </w:r>
      <w:r>
        <w:rPr/>
        <w:t>de</w:t>
      </w:r>
      <w:r>
        <w:rPr>
          <w:spacing w:val="-11"/>
        </w:rPr>
        <w:t> </w:t>
      </w:r>
      <w:r>
        <w:rPr/>
        <w:t>salud,</w:t>
      </w:r>
      <w:r>
        <w:rPr>
          <w:spacing w:val="-13"/>
        </w:rPr>
        <w:t> </w:t>
      </w:r>
      <w:r>
        <w:rPr/>
        <w:t>seguros</w:t>
      </w:r>
      <w:r>
        <w:rPr>
          <w:spacing w:val="-11"/>
        </w:rPr>
        <w:t> </w:t>
      </w:r>
      <w:r>
        <w:rPr/>
        <w:t>y</w:t>
      </w:r>
      <w:r>
        <w:rPr>
          <w:spacing w:val="-13"/>
        </w:rPr>
        <w:t> </w:t>
      </w:r>
      <w:r>
        <w:rPr/>
        <w:t>actividades</w:t>
      </w:r>
      <w:r>
        <w:rPr>
          <w:spacing w:val="-14"/>
        </w:rPr>
        <w:t> </w:t>
      </w:r>
      <w:r>
        <w:rPr/>
        <w:t>profesionales</w:t>
      </w:r>
      <w:r>
        <w:rPr>
          <w:spacing w:val="-13"/>
        </w:rPr>
        <w:t> </w:t>
      </w:r>
      <w:r>
        <w:rPr/>
        <w:t>y</w:t>
      </w:r>
      <w:r>
        <w:rPr>
          <w:spacing w:val="-13"/>
        </w:rPr>
        <w:t> </w:t>
      </w:r>
      <w:r>
        <w:rPr/>
        <w:t>técnicas.</w:t>
      </w:r>
      <w:r>
        <w:rPr>
          <w:spacing w:val="-12"/>
        </w:rPr>
        <w:t> </w:t>
      </w:r>
      <w:r>
        <w:rPr/>
        <w:t>Se</w:t>
      </w:r>
      <w:r>
        <w:rPr>
          <w:spacing w:val="-14"/>
        </w:rPr>
        <w:t> </w:t>
      </w:r>
      <w:r>
        <w:rPr/>
        <w:t>observa</w:t>
      </w:r>
      <w:r>
        <w:rPr>
          <w:spacing w:val="-10"/>
        </w:rPr>
        <w:t> </w:t>
      </w:r>
      <w:r>
        <w:rPr/>
        <w:t>que</w:t>
      </w:r>
      <w:r>
        <w:rPr>
          <w:spacing w:val="-12"/>
        </w:rPr>
        <w:t> </w:t>
      </w:r>
      <w:r>
        <w:rPr/>
        <w:t>el</w:t>
      </w:r>
      <w:r>
        <w:rPr>
          <w:spacing w:val="-11"/>
        </w:rPr>
        <w:t> </w:t>
      </w:r>
      <w:r>
        <w:rPr/>
        <w:t>IMAE</w:t>
      </w:r>
      <w:r>
        <w:rPr>
          <w:spacing w:val="-12"/>
        </w:rPr>
        <w:t> </w:t>
      </w:r>
      <w:r>
        <w:rPr/>
        <w:t>tanto en</w:t>
      </w:r>
      <w:r>
        <w:rPr>
          <w:spacing w:val="-13"/>
        </w:rPr>
        <w:t> </w:t>
      </w:r>
      <w:r>
        <w:rPr/>
        <w:t>su</w:t>
      </w:r>
      <w:r>
        <w:rPr>
          <w:spacing w:val="-13"/>
        </w:rPr>
        <w:t> </w:t>
      </w:r>
      <w:r>
        <w:rPr/>
        <w:t>componente</w:t>
      </w:r>
      <w:r>
        <w:rPr>
          <w:spacing w:val="-13"/>
        </w:rPr>
        <w:t> </w:t>
      </w:r>
      <w:r>
        <w:rPr/>
        <w:t>original</w:t>
      </w:r>
      <w:r>
        <w:rPr>
          <w:spacing w:val="-12"/>
        </w:rPr>
        <w:t> </w:t>
      </w:r>
      <w:r>
        <w:rPr/>
        <w:t>como</w:t>
      </w:r>
      <w:r>
        <w:rPr>
          <w:spacing w:val="-13"/>
        </w:rPr>
        <w:t> </w:t>
      </w:r>
      <w:r>
        <w:rPr/>
        <w:t>en</w:t>
      </w:r>
      <w:r>
        <w:rPr>
          <w:spacing w:val="-13"/>
        </w:rPr>
        <w:t> </w:t>
      </w:r>
      <w:r>
        <w:rPr/>
        <w:t>el</w:t>
      </w:r>
      <w:r>
        <w:rPr>
          <w:spacing w:val="-12"/>
        </w:rPr>
        <w:t> </w:t>
      </w:r>
      <w:r>
        <w:rPr/>
        <w:t>ajuste</w:t>
      </w:r>
      <w:r>
        <w:rPr>
          <w:spacing w:val="-13"/>
        </w:rPr>
        <w:t> </w:t>
      </w:r>
      <w:r>
        <w:rPr/>
        <w:t>de</w:t>
      </w:r>
      <w:r>
        <w:rPr>
          <w:spacing w:val="-13"/>
        </w:rPr>
        <w:t> </w:t>
      </w:r>
      <w:r>
        <w:rPr/>
        <w:t>tendencia</w:t>
      </w:r>
      <w:r>
        <w:rPr>
          <w:spacing w:val="-13"/>
        </w:rPr>
        <w:t> </w:t>
      </w:r>
      <w:r>
        <w:rPr/>
        <w:t>–</w:t>
      </w:r>
      <w:r>
        <w:rPr>
          <w:spacing w:val="-12"/>
        </w:rPr>
        <w:t> </w:t>
      </w:r>
      <w:r>
        <w:rPr/>
        <w:t>ciclo,</w:t>
      </w:r>
      <w:r>
        <w:rPr>
          <w:spacing w:val="-13"/>
        </w:rPr>
        <w:t> </w:t>
      </w:r>
      <w:r>
        <w:rPr/>
        <w:t>está</w:t>
      </w:r>
      <w:r>
        <w:rPr>
          <w:spacing w:val="-13"/>
        </w:rPr>
        <w:t> </w:t>
      </w:r>
      <w:r>
        <w:rPr/>
        <w:t>proyectando</w:t>
      </w:r>
      <w:r>
        <w:rPr>
          <w:spacing w:val="-13"/>
        </w:rPr>
        <w:t> </w:t>
      </w:r>
      <w:r>
        <w:rPr/>
        <w:t>una</w:t>
      </w:r>
      <w:r>
        <w:rPr>
          <w:spacing w:val="-13"/>
        </w:rPr>
        <w:t> </w:t>
      </w:r>
      <w:r>
        <w:rPr/>
        <w:t>normalización después del efecto </w:t>
      </w:r>
      <w:r>
        <w:rPr>
          <w:i/>
        </w:rPr>
        <w:t>Catch up </w:t>
      </w:r>
      <w:r>
        <w:rPr/>
        <w:t>sufrido por la pandemia de</w:t>
      </w:r>
      <w:r>
        <w:rPr>
          <w:spacing w:val="-6"/>
        </w:rPr>
        <w:t> </w:t>
      </w:r>
      <w:r>
        <w:rPr/>
        <w:t>COVID-19</w:t>
      </w:r>
    </w:p>
    <w:p>
      <w:pPr>
        <w:pStyle w:val="BodyText"/>
        <w:spacing w:before="10"/>
        <w:rPr>
          <w:sz w:val="24"/>
        </w:rPr>
      </w:pPr>
    </w:p>
    <w:p>
      <w:pPr>
        <w:pStyle w:val="BodyText"/>
        <w:spacing w:line="276" w:lineRule="auto"/>
        <w:ind w:left="562" w:right="1697"/>
        <w:jc w:val="both"/>
      </w:pPr>
      <w:r>
        <w:rPr/>
        <w:t>Asimismo,</w:t>
      </w:r>
      <w:r>
        <w:rPr>
          <w:spacing w:val="-5"/>
        </w:rPr>
        <w:t> </w:t>
      </w:r>
      <w:r>
        <w:rPr/>
        <w:t>el</w:t>
      </w:r>
      <w:r>
        <w:rPr>
          <w:spacing w:val="-4"/>
        </w:rPr>
        <w:t> </w:t>
      </w:r>
      <w:r>
        <w:rPr/>
        <w:t>IMAE</w:t>
      </w:r>
      <w:r>
        <w:rPr>
          <w:spacing w:val="-2"/>
        </w:rPr>
        <w:t> </w:t>
      </w:r>
      <w:r>
        <w:rPr/>
        <w:t>muestra</w:t>
      </w:r>
      <w:r>
        <w:rPr>
          <w:spacing w:val="-4"/>
        </w:rPr>
        <w:t> </w:t>
      </w:r>
      <w:r>
        <w:rPr/>
        <w:t>una</w:t>
      </w:r>
      <w:r>
        <w:rPr>
          <w:spacing w:val="-6"/>
        </w:rPr>
        <w:t> </w:t>
      </w:r>
      <w:r>
        <w:rPr/>
        <w:t>correlación</w:t>
      </w:r>
      <w:r>
        <w:rPr>
          <w:spacing w:val="-5"/>
        </w:rPr>
        <w:t> </w:t>
      </w:r>
      <w:r>
        <w:rPr/>
        <w:t>muy</w:t>
      </w:r>
      <w:r>
        <w:rPr>
          <w:spacing w:val="-6"/>
        </w:rPr>
        <w:t> </w:t>
      </w:r>
      <w:r>
        <w:rPr/>
        <w:t>fuerte</w:t>
      </w:r>
      <w:r>
        <w:rPr>
          <w:spacing w:val="-4"/>
        </w:rPr>
        <w:t> </w:t>
      </w:r>
      <w:r>
        <w:rPr/>
        <w:t>con</w:t>
      </w:r>
      <w:r>
        <w:rPr>
          <w:spacing w:val="-6"/>
        </w:rPr>
        <w:t> </w:t>
      </w:r>
      <w:r>
        <w:rPr/>
        <w:t>la</w:t>
      </w:r>
      <w:r>
        <w:rPr>
          <w:spacing w:val="-7"/>
        </w:rPr>
        <w:t> </w:t>
      </w:r>
      <w:r>
        <w:rPr/>
        <w:t>demanda</w:t>
      </w:r>
      <w:r>
        <w:rPr>
          <w:spacing w:val="-4"/>
        </w:rPr>
        <w:t> </w:t>
      </w:r>
      <w:r>
        <w:rPr/>
        <w:t>de</w:t>
      </w:r>
      <w:r>
        <w:rPr>
          <w:spacing w:val="-6"/>
        </w:rPr>
        <w:t> </w:t>
      </w:r>
      <w:r>
        <w:rPr/>
        <w:t>energía,</w:t>
      </w:r>
      <w:r>
        <w:rPr>
          <w:spacing w:val="-4"/>
        </w:rPr>
        <w:t> </w:t>
      </w:r>
      <w:r>
        <w:rPr/>
        <w:t>esto</w:t>
      </w:r>
      <w:r>
        <w:rPr>
          <w:spacing w:val="-6"/>
        </w:rPr>
        <w:t> </w:t>
      </w:r>
      <w:r>
        <w:rPr/>
        <w:t>es</w:t>
      </w:r>
      <w:r>
        <w:rPr>
          <w:spacing w:val="-4"/>
        </w:rPr>
        <w:t> </w:t>
      </w:r>
      <w:r>
        <w:rPr/>
        <w:t>debido</w:t>
      </w:r>
      <w:r>
        <w:rPr>
          <w:spacing w:val="-4"/>
        </w:rPr>
        <w:t> </w:t>
      </w:r>
      <w:r>
        <w:rPr/>
        <w:t>a que la demanda de energía responde a los aumentos de la demanda agregada y producción. La demanda (KWh) de energía para junio muestra una tasa de crecimiento interanual de 1.6%, lo que refleja que se mantiene la recuperación de la actividad económica en el presente año; a pesar de los acontecimientos observados por el conflicto Rusia – Ucrania, el aumento en las medidas de confinamiento tomadas por varios países, en particular China y a la incertidumbre de los agentes económicos con respecto a la evolución de la</w:t>
      </w:r>
      <w:r>
        <w:rPr>
          <w:spacing w:val="-10"/>
        </w:rPr>
        <w:t> </w:t>
      </w:r>
      <w:r>
        <w:rPr/>
        <w:t>pandemia.</w:t>
      </w:r>
    </w:p>
    <w:p>
      <w:pPr>
        <w:pStyle w:val="BodyText"/>
        <w:spacing w:before="1"/>
        <w:rPr>
          <w:sz w:val="13"/>
        </w:rPr>
      </w:pPr>
    </w:p>
    <w:p>
      <w:pPr>
        <w:spacing w:after="0"/>
        <w:rPr>
          <w:sz w:val="13"/>
        </w:rPr>
        <w:sectPr>
          <w:pgSz w:w="12240" w:h="15840"/>
          <w:pgMar w:header="715" w:footer="957" w:top="1240" w:bottom="1140" w:left="1140" w:right="0"/>
        </w:sectPr>
      </w:pPr>
    </w:p>
    <w:p>
      <w:pPr>
        <w:spacing w:line="276" w:lineRule="auto" w:before="91"/>
        <w:ind w:left="1610" w:right="0" w:hanging="699"/>
        <w:jc w:val="left"/>
        <w:rPr>
          <w:b/>
          <w:sz w:val="20"/>
        </w:rPr>
      </w:pPr>
      <w:bookmarkStart w:name="_bookmark71" w:id="93"/>
      <w:bookmarkEnd w:id="93"/>
      <w:r>
        <w:rPr/>
      </w:r>
      <w:r>
        <w:rPr>
          <w:b/>
          <w:i/>
          <w:sz w:val="20"/>
        </w:rPr>
        <w:t>Gráfico 31. </w:t>
      </w:r>
      <w:r>
        <w:rPr>
          <w:b/>
          <w:sz w:val="20"/>
        </w:rPr>
        <w:t>Índice Mensual de la Actividad Económica a junio de 2022</w:t>
      </w:r>
    </w:p>
    <w:p>
      <w:pPr>
        <w:spacing w:line="211" w:lineRule="auto" w:before="105"/>
        <w:ind w:left="1952" w:right="585" w:firstLine="0"/>
        <w:jc w:val="left"/>
        <w:rPr>
          <w:sz w:val="20"/>
        </w:rPr>
      </w:pPr>
      <w:r>
        <w:rPr/>
        <w:pict>
          <v:line style="position:absolute;mso-position-horizontal-relative:page;mso-position-vertical-relative:paragraph;z-index:252097536" from="133.320007pt,10.33562pt" to="152.520007pt,10.33562pt" stroked="true" strokeweight="4.92pt" strokecolor="#00aae3">
            <v:stroke dashstyle="solid"/>
            <w10:wrap type="none"/>
          </v:line>
        </w:pict>
      </w:r>
      <w:r>
        <w:rPr/>
        <w:pict>
          <v:line style="position:absolute;mso-position-horizontal-relative:page;mso-position-vertical-relative:paragraph;z-index:252098560" from="133.380005pt,20.415621pt" to="152.580005pt,20.415621pt" stroked="true" strokeweight="1.56pt" strokecolor="#ff0000">
            <v:stroke dashstyle="solid"/>
            <w10:wrap type="none"/>
          </v:line>
        </w:pict>
      </w:r>
      <w:r>
        <w:rPr>
          <w:sz w:val="20"/>
        </w:rPr>
        <w:t>Variacion Interanual Variacion tendencia ciclo</w:t>
      </w:r>
    </w:p>
    <w:p>
      <w:pPr>
        <w:spacing w:line="276" w:lineRule="auto" w:before="91"/>
        <w:ind w:left="926" w:right="1205" w:hanging="236"/>
        <w:jc w:val="left"/>
        <w:rPr>
          <w:b/>
          <w:i/>
          <w:sz w:val="18"/>
        </w:rPr>
      </w:pPr>
      <w:r>
        <w:rPr/>
        <w:br w:type="column"/>
      </w:r>
      <w:bookmarkStart w:name="_bookmark72" w:id="94"/>
      <w:bookmarkEnd w:id="94"/>
      <w:r>
        <w:rPr/>
      </w:r>
      <w:r>
        <w:rPr>
          <w:b/>
          <w:i/>
          <w:sz w:val="20"/>
        </w:rPr>
        <w:t>Gráfico 32. </w:t>
      </w:r>
      <w:r>
        <w:rPr>
          <w:b/>
          <w:sz w:val="20"/>
        </w:rPr>
        <w:t>Índice Mensual de la Actividad Económica por Actividad Económica</w:t>
      </w:r>
      <w:r>
        <w:rPr>
          <w:b/>
          <w:i/>
          <w:color w:val="44536A"/>
          <w:sz w:val="18"/>
        </w:rPr>
        <w:t>.</w:t>
      </w:r>
    </w:p>
    <w:p>
      <w:pPr>
        <w:spacing w:before="170"/>
        <w:ind w:left="1856" w:right="0" w:firstLine="0"/>
        <w:jc w:val="left"/>
        <w:rPr>
          <w:sz w:val="12"/>
        </w:rPr>
      </w:pPr>
      <w:r>
        <w:rPr/>
        <w:pict>
          <v:rect style="position:absolute;margin-left:377.640015pt;margin-top:10.621564pt;width:3pt;height:3pt;mso-position-horizontal-relative:page;mso-position-vertical-relative:paragraph;z-index:252111872" filled="true" fillcolor="#c46627" stroked="false">
            <v:fill type="solid"/>
            <w10:wrap type="none"/>
          </v:rect>
        </w:pict>
      </w:r>
      <w:r>
        <w:rPr/>
        <w:pict>
          <v:rect style="position:absolute;margin-left:407.519989pt;margin-top:10.621564pt;width:3pt;height:3pt;mso-position-horizontal-relative:page;mso-position-vertical-relative:paragraph;z-index:-281206784" filled="true" fillcolor="#ec7c30" stroked="false">
            <v:fill type="solid"/>
            <w10:wrap type="none"/>
          </v:rect>
        </w:pict>
      </w:r>
      <w:r>
        <w:rPr/>
        <w:pict>
          <v:rect style="position:absolute;margin-left:437.399994pt;margin-top:10.621564pt;width:3pt;height:3pt;mso-position-horizontal-relative:page;mso-position-vertical-relative:paragraph;z-index:-281205760" filled="true" fillcolor="#f4b8a3" stroked="false">
            <v:fill type="solid"/>
            <w10:wrap type="none"/>
          </v:rect>
        </w:pict>
      </w:r>
      <w:r>
        <w:rPr>
          <w:sz w:val="12"/>
        </w:rPr>
        <w:t>2022-03 2021-03 2020-02</w:t>
      </w:r>
    </w:p>
    <w:p>
      <w:pPr>
        <w:spacing w:after="0"/>
        <w:jc w:val="left"/>
        <w:rPr>
          <w:sz w:val="12"/>
        </w:rPr>
        <w:sectPr>
          <w:type w:val="continuous"/>
          <w:pgSz w:w="12240" w:h="15840"/>
          <w:pgMar w:top="1500" w:bottom="280" w:left="1140" w:right="0"/>
          <w:cols w:num="2" w:equalWidth="0">
            <w:col w:w="4601" w:space="40"/>
            <w:col w:w="6459"/>
          </w:cols>
        </w:sectPr>
      </w:pPr>
    </w:p>
    <w:p>
      <w:pPr>
        <w:pStyle w:val="BodyText"/>
        <w:spacing w:before="11"/>
        <w:rPr>
          <w:sz w:val="12"/>
        </w:rPr>
      </w:pPr>
    </w:p>
    <w:p>
      <w:pPr>
        <w:spacing w:before="0"/>
        <w:ind w:left="0" w:right="38" w:firstLine="0"/>
        <w:jc w:val="right"/>
        <w:rPr>
          <w:sz w:val="12"/>
        </w:rPr>
      </w:pPr>
      <w:r>
        <w:rPr/>
        <w:pict>
          <v:shape style="position:absolute;margin-left:93.457855pt;margin-top:-5.960281pt;width:9.75pt;height:106.3pt;mso-position-horizontal-relative:page;mso-position-vertical-relative:paragraph;z-index:252114944" type="#_x0000_t202" filled="false" stroked="false">
            <v:textbox inset="0,0,0,0" style="layout-flow:vertical;mso-layout-flow-alt:bottom-to-top">
              <w:txbxContent>
                <w:p>
                  <w:pPr>
                    <w:spacing w:before="13"/>
                    <w:ind w:left="20" w:right="0" w:firstLine="0"/>
                    <w:jc w:val="left"/>
                    <w:rPr>
                      <w:b/>
                      <w:sz w:val="14"/>
                    </w:rPr>
                  </w:pPr>
                  <w:r>
                    <w:rPr>
                      <w:b/>
                      <w:sz w:val="14"/>
                    </w:rPr>
                    <w:t>Variacion interanual en porcentaje</w:t>
                  </w:r>
                </w:p>
              </w:txbxContent>
            </v:textbox>
            <w10:wrap type="none"/>
          </v:shape>
        </w:pict>
      </w:r>
      <w:r>
        <w:rPr>
          <w:sz w:val="12"/>
        </w:rPr>
        <w:t>20.1</w:t>
      </w:r>
    </w:p>
    <w:p>
      <w:pPr>
        <w:spacing w:before="59"/>
        <w:ind w:left="0" w:right="38" w:firstLine="0"/>
        <w:jc w:val="right"/>
        <w:rPr>
          <w:sz w:val="12"/>
        </w:rPr>
      </w:pPr>
      <w:r>
        <w:rPr>
          <w:sz w:val="12"/>
        </w:rPr>
        <w:t>15.1</w:t>
      </w:r>
    </w:p>
    <w:p>
      <w:pPr>
        <w:spacing w:before="60"/>
        <w:ind w:left="0" w:right="38" w:firstLine="0"/>
        <w:jc w:val="right"/>
        <w:rPr>
          <w:sz w:val="12"/>
        </w:rPr>
      </w:pPr>
      <w:r>
        <w:rPr>
          <w:sz w:val="12"/>
        </w:rPr>
        <w:t>10.1</w:t>
      </w:r>
    </w:p>
    <w:p>
      <w:pPr>
        <w:spacing w:before="59"/>
        <w:ind w:left="0" w:right="38" w:firstLine="0"/>
        <w:jc w:val="right"/>
        <w:rPr>
          <w:sz w:val="12"/>
        </w:rPr>
      </w:pPr>
      <w:r>
        <w:rPr>
          <w:sz w:val="12"/>
        </w:rPr>
        <w:t>5.1</w:t>
      </w:r>
    </w:p>
    <w:p>
      <w:pPr>
        <w:spacing w:before="59"/>
        <w:ind w:left="0" w:right="38" w:firstLine="0"/>
        <w:jc w:val="right"/>
        <w:rPr>
          <w:sz w:val="12"/>
        </w:rPr>
      </w:pPr>
      <w:r>
        <w:rPr>
          <w:sz w:val="12"/>
        </w:rPr>
        <w:t>0.1</w:t>
      </w:r>
    </w:p>
    <w:p>
      <w:pPr>
        <w:spacing w:before="59"/>
        <w:ind w:left="0" w:right="40" w:firstLine="0"/>
        <w:jc w:val="right"/>
        <w:rPr>
          <w:sz w:val="12"/>
        </w:rPr>
      </w:pPr>
      <w:r>
        <w:rPr>
          <w:spacing w:val="-1"/>
          <w:sz w:val="12"/>
        </w:rPr>
        <w:t>-4.9</w:t>
      </w:r>
    </w:p>
    <w:p>
      <w:pPr>
        <w:spacing w:before="59"/>
        <w:ind w:left="0" w:right="40" w:firstLine="0"/>
        <w:jc w:val="right"/>
        <w:rPr>
          <w:sz w:val="12"/>
        </w:rPr>
      </w:pPr>
      <w:r>
        <w:rPr>
          <w:spacing w:val="-1"/>
          <w:sz w:val="12"/>
        </w:rPr>
        <w:t>-9.9</w:t>
      </w:r>
    </w:p>
    <w:p>
      <w:pPr>
        <w:spacing w:before="59"/>
        <w:ind w:left="0" w:right="41" w:firstLine="0"/>
        <w:jc w:val="right"/>
        <w:rPr>
          <w:sz w:val="12"/>
        </w:rPr>
      </w:pPr>
      <w:r>
        <w:rPr/>
        <w:pict>
          <v:shape style="position:absolute;margin-left:129.137848pt;margin-top:9.867219pt;width:162.9pt;height:25.3pt;mso-position-horizontal-relative:page;mso-position-vertical-relative:paragraph;z-index:252115968" type="#_x0000_t202" filled="false" stroked="false">
            <v:textbox inset="0,0,0,0" style="layout-flow:vertical;mso-layout-flow-alt:bottom-to-top">
              <w:txbxContent>
                <w:p>
                  <w:pPr>
                    <w:spacing w:before="13"/>
                    <w:ind w:left="20" w:right="0" w:firstLine="0"/>
                    <w:jc w:val="left"/>
                    <w:rPr>
                      <w:sz w:val="14"/>
                    </w:rPr>
                  </w:pPr>
                  <w:r>
                    <w:rPr>
                      <w:sz w:val="14"/>
                    </w:rPr>
                    <w:t>06-2020</w:t>
                  </w:r>
                </w:p>
                <w:p>
                  <w:pPr>
                    <w:spacing w:before="94"/>
                    <w:ind w:left="20" w:right="0" w:firstLine="0"/>
                    <w:jc w:val="left"/>
                    <w:rPr>
                      <w:sz w:val="14"/>
                    </w:rPr>
                  </w:pPr>
                  <w:r>
                    <w:rPr>
                      <w:sz w:val="14"/>
                    </w:rPr>
                    <w:t>08-2020</w:t>
                  </w:r>
                </w:p>
                <w:p>
                  <w:pPr>
                    <w:spacing w:before="95"/>
                    <w:ind w:left="20" w:right="0" w:firstLine="0"/>
                    <w:jc w:val="left"/>
                    <w:rPr>
                      <w:sz w:val="14"/>
                    </w:rPr>
                  </w:pPr>
                  <w:r>
                    <w:rPr>
                      <w:sz w:val="14"/>
                    </w:rPr>
                    <w:t>10-2020</w:t>
                  </w:r>
                </w:p>
                <w:p>
                  <w:pPr>
                    <w:spacing w:before="94"/>
                    <w:ind w:left="20" w:right="0" w:firstLine="0"/>
                    <w:jc w:val="left"/>
                    <w:rPr>
                      <w:sz w:val="14"/>
                    </w:rPr>
                  </w:pPr>
                  <w:r>
                    <w:rPr>
                      <w:sz w:val="14"/>
                    </w:rPr>
                    <w:t>12-2020</w:t>
                  </w:r>
                </w:p>
                <w:p>
                  <w:pPr>
                    <w:spacing w:before="94"/>
                    <w:ind w:left="20" w:right="0" w:firstLine="0"/>
                    <w:jc w:val="left"/>
                    <w:rPr>
                      <w:sz w:val="14"/>
                    </w:rPr>
                  </w:pPr>
                  <w:r>
                    <w:rPr>
                      <w:sz w:val="14"/>
                    </w:rPr>
                    <w:t>02-2021</w:t>
                  </w:r>
                </w:p>
                <w:p>
                  <w:pPr>
                    <w:spacing w:before="95"/>
                    <w:ind w:left="20" w:right="0" w:firstLine="0"/>
                    <w:jc w:val="left"/>
                    <w:rPr>
                      <w:sz w:val="14"/>
                    </w:rPr>
                  </w:pPr>
                  <w:r>
                    <w:rPr>
                      <w:sz w:val="14"/>
                    </w:rPr>
                    <w:t>04-2021</w:t>
                  </w:r>
                </w:p>
                <w:p>
                  <w:pPr>
                    <w:spacing w:before="94"/>
                    <w:ind w:left="20" w:right="0" w:firstLine="0"/>
                    <w:jc w:val="left"/>
                    <w:rPr>
                      <w:sz w:val="14"/>
                    </w:rPr>
                  </w:pPr>
                  <w:r>
                    <w:rPr>
                      <w:sz w:val="14"/>
                    </w:rPr>
                    <w:t>06-2021</w:t>
                  </w:r>
                </w:p>
                <w:p>
                  <w:pPr>
                    <w:spacing w:before="94"/>
                    <w:ind w:left="20" w:right="0" w:firstLine="0"/>
                    <w:jc w:val="left"/>
                    <w:rPr>
                      <w:sz w:val="14"/>
                    </w:rPr>
                  </w:pPr>
                  <w:r>
                    <w:rPr>
                      <w:sz w:val="14"/>
                    </w:rPr>
                    <w:t>08-2021</w:t>
                  </w:r>
                </w:p>
                <w:p>
                  <w:pPr>
                    <w:spacing w:before="94"/>
                    <w:ind w:left="20" w:right="0" w:firstLine="0"/>
                    <w:jc w:val="left"/>
                    <w:rPr>
                      <w:sz w:val="14"/>
                    </w:rPr>
                  </w:pPr>
                  <w:r>
                    <w:rPr>
                      <w:sz w:val="14"/>
                    </w:rPr>
                    <w:t>10-2021</w:t>
                  </w:r>
                </w:p>
                <w:p>
                  <w:pPr>
                    <w:spacing w:before="95"/>
                    <w:ind w:left="20" w:right="0" w:firstLine="0"/>
                    <w:jc w:val="left"/>
                    <w:rPr>
                      <w:sz w:val="14"/>
                    </w:rPr>
                  </w:pPr>
                  <w:r>
                    <w:rPr>
                      <w:sz w:val="14"/>
                    </w:rPr>
                    <w:t>12-2021</w:t>
                  </w:r>
                </w:p>
                <w:p>
                  <w:pPr>
                    <w:spacing w:before="94"/>
                    <w:ind w:left="20" w:right="0" w:firstLine="0"/>
                    <w:jc w:val="left"/>
                    <w:rPr>
                      <w:sz w:val="14"/>
                    </w:rPr>
                  </w:pPr>
                  <w:r>
                    <w:rPr>
                      <w:sz w:val="14"/>
                    </w:rPr>
                    <w:t>02-2022</w:t>
                  </w:r>
                </w:p>
                <w:p>
                  <w:pPr>
                    <w:spacing w:before="94"/>
                    <w:ind w:left="20" w:right="0" w:firstLine="0"/>
                    <w:jc w:val="left"/>
                    <w:rPr>
                      <w:sz w:val="14"/>
                    </w:rPr>
                  </w:pPr>
                  <w:r>
                    <w:rPr>
                      <w:sz w:val="14"/>
                    </w:rPr>
                    <w:t>04-2022</w:t>
                  </w:r>
                </w:p>
                <w:p>
                  <w:pPr>
                    <w:spacing w:before="94"/>
                    <w:ind w:left="20" w:right="0" w:firstLine="0"/>
                    <w:jc w:val="left"/>
                    <w:rPr>
                      <w:sz w:val="14"/>
                    </w:rPr>
                  </w:pPr>
                  <w:r>
                    <w:rPr>
                      <w:sz w:val="14"/>
                    </w:rPr>
                    <w:t>06-2022</w:t>
                  </w:r>
                </w:p>
              </w:txbxContent>
            </v:textbox>
            <w10:wrap type="none"/>
          </v:shape>
        </w:pict>
      </w:r>
      <w:r>
        <w:rPr>
          <w:spacing w:val="-1"/>
          <w:sz w:val="12"/>
        </w:rPr>
        <w:t>-14.9</w:t>
      </w:r>
    </w:p>
    <w:p>
      <w:pPr>
        <w:pStyle w:val="BodyText"/>
      </w:pPr>
      <w:r>
        <w:rPr/>
        <w:br w:type="column"/>
      </w:r>
      <w:r>
        <w:rPr/>
      </w:r>
    </w:p>
    <w:p>
      <w:pPr>
        <w:pStyle w:val="BodyText"/>
        <w:spacing w:before="2"/>
        <w:rPr>
          <w:sz w:val="27"/>
        </w:rPr>
      </w:pPr>
    </w:p>
    <w:p>
      <w:pPr>
        <w:spacing w:line="212" w:lineRule="exact" w:before="0"/>
        <w:ind w:left="1123" w:right="0" w:firstLine="0"/>
        <w:jc w:val="left"/>
        <w:rPr>
          <w:b/>
          <w:sz w:val="20"/>
        </w:rPr>
      </w:pPr>
      <w:r>
        <w:rPr>
          <w:b/>
          <w:sz w:val="20"/>
        </w:rPr>
        <w:t>3.3</w:t>
      </w:r>
    </w:p>
    <w:p>
      <w:pPr>
        <w:spacing w:line="212" w:lineRule="exact" w:before="0"/>
        <w:ind w:left="1123" w:right="0" w:firstLine="0"/>
        <w:jc w:val="left"/>
        <w:rPr>
          <w:b/>
          <w:sz w:val="20"/>
        </w:rPr>
      </w:pPr>
      <w:r>
        <w:rPr/>
        <w:pict>
          <v:group style="position:absolute;margin-left:129pt;margin-top:-30.793573pt;width:161.25pt;height:72.25pt;mso-position-horizontal-relative:page;mso-position-vertical-relative:paragraph;z-index:252096512" coordorigin="2580,-616" coordsize="3225,1445">
            <v:shape style="position:absolute;left:2679;top:236;width:128;height:293" coordorigin="2680,236" coordsize="128,293" path="m2680,236l2680,529m2807,236l2807,378e" filled="false" stroked="true" strokeweight="5.88pt" strokecolor="#00aae3">
              <v:path arrowok="t"/>
              <v:stroke dashstyle="solid"/>
            </v:shape>
            <v:shape style="position:absolute;left:2875;top:166;width:502;height:113" coordorigin="2875,167" coordsize="502,113" path="m2993,236l2875,236,2875,279,2993,279,2993,236m3120,205l3002,205,3002,236,3120,236,3120,205m3250,167l3130,167,3130,236,3250,236,3250,167m3377,200l3259,200,3259,236,3377,236,3377,200e" filled="true" fillcolor="#00aae3" stroked="false">
              <v:path arrowok="t"/>
              <v:fill type="solid"/>
            </v:shape>
            <v:line style="position:absolute" from="3445,99" to="3445,236" stroked="true" strokeweight="5.88pt" strokecolor="#00aae3">
              <v:stroke dashstyle="solid"/>
            </v:line>
            <v:shape style="position:absolute;left:3513;top:137;width:245;height:99" coordorigin="3514,138" coordsize="245,99" path="m3631,176l3514,176,3514,236,3631,236,3631,176m3758,138l3641,138,3641,236,3758,236,3758,138e" filled="true" fillcolor="#00aae3" stroked="false">
              <v:path arrowok="t"/>
              <v:fill type="solid"/>
            </v:shape>
            <v:line style="position:absolute" from="3827,-150" to="3827,236" stroked="true" strokeweight="5.88pt" strokecolor="#00aae3">
              <v:stroke dashstyle="solid"/>
            </v:line>
            <v:line style="position:absolute" from="3955,-371" to="3955,236" stroked="true" strokeweight="6pt" strokecolor="#00aae3">
              <v:stroke dashstyle="solid"/>
            </v:line>
            <v:shape style="position:absolute;left:4083;top:-420;width:509;height:656" coordorigin="4084,-419" coordsize="509,656" path="m4084,-419l4084,236m4211,-328l4211,236m4338,-186l4338,236m4465,-76l4465,236m4592,8l4592,236e" filled="false" stroked="true" strokeweight="5.88pt" strokecolor="#00aae3">
              <v:path arrowok="t"/>
              <v:stroke dashstyle="solid"/>
            </v:shape>
            <v:line style="position:absolute" from="4721,66" to="4721,236" stroked="true" strokeweight="6pt" strokecolor="#00aae3">
              <v:stroke dashstyle="solid"/>
            </v:line>
            <v:shape style="position:absolute;left:4849;top:10;width:382;height:226" coordorigin="4849,11" coordsize="382,226" path="m4849,11l4849,236m4976,66l4976,236m5104,51l5104,236m5231,66l5231,236e" filled="false" stroked="true" strokeweight="5.88pt" strokecolor="#00aae3">
              <v:path arrowok="t"/>
              <v:stroke dashstyle="solid"/>
            </v:shape>
            <v:line style="position:absolute" from="5358,63" to="5358,236" stroked="true" strokeweight="5.88pt" strokecolor="#00aae3">
              <v:stroke dashstyle="solid"/>
            </v:line>
            <v:line style="position:absolute" from="5486,63" to="5486,236" stroked="true" strokeweight="6pt" strokecolor="#00aae3">
              <v:stroke dashstyle="solid"/>
            </v:line>
            <v:line style="position:absolute" from="5615,71" to="5615,236" stroked="true" strokeweight="5.88pt" strokecolor="#00aae3">
              <v:stroke dashstyle="solid"/>
            </v:line>
            <v:rect style="position:absolute;left:5683;top:106;width:118;height:130" filled="true" fillcolor="#00aae3" stroked="false">
              <v:fill type="solid"/>
            </v:rect>
            <v:line style="position:absolute" from="2616,824" to="2616,-616" stroked="true" strokeweight=".48pt" strokecolor="#888888">
              <v:stroke dashstyle="solid"/>
            </v:line>
            <v:shape style="position:absolute;left:0;top:2489;width:36;height:1380" coordorigin="0,2490" coordsize="36,1380" path="m2580,824l2616,824m2580,627l2616,627m2580,431l2616,431m2580,231l2616,231m2580,35l2616,35m2580,-162l2616,-162m2580,-359l2616,-359m2580,-556l2616,-556e" filled="false" stroked="true" strokeweight=".48pt" strokecolor="#888888">
              <v:path arrowok="t"/>
              <v:stroke dashstyle="solid"/>
            </v:shape>
            <v:line style="position:absolute" from="2615,237" to="5804,237" stroked="true" strokeweight="2.04pt" strokecolor="#000000">
              <v:stroke dashstyle="solid"/>
            </v:line>
            <v:shape style="position:absolute;left:2594;top:257;width:3104;height:2" coordorigin="2594,258" coordsize="3104,0" path="m2594,258l2635,258m2851,258l2892,258m3106,258l3146,258m3360,258l3401,258m3617,258l3658,258m3871,258l3912,258m4126,258l4166,258m4382,258l4423,258m4637,258l4678,258m4891,258l4932,258m5148,258l5189,258m5402,258l5443,258m5657,258l5698,258e" filled="false" stroked="true" strokeweight="2.04pt" strokecolor="#000000">
              <v:path arrowok="t"/>
              <v:stroke dashstyle="solid"/>
            </v:shape>
            <v:shape style="position:absolute;left:2679;top:-315;width:3063;height:807" coordorigin="2680,-315" coordsize="3063,807" path="m2680,492l2807,405,2934,307,3061,233,3191,189,3318,173,3445,146,3572,86,3700,-12,3827,-142,3956,-257,4084,-315,4211,-293,4338,-202,4465,-94,4592,-12,4720,31,4849,48,4976,50,5104,55,5231,60,5358,67,5485,74,5615,86,5742,93e" filled="false" stroked="true" strokeweight="1.56pt" strokecolor="#ff0000">
              <v:path arrowok="t"/>
              <v:stroke dashstyle="solid"/>
            </v:shape>
            <w10:wrap type="none"/>
          </v:group>
        </w:pict>
      </w:r>
      <w:r>
        <w:rPr/>
        <w:pict>
          <v:group style="position:absolute;margin-left:328.679993pt;margin-top:-39.980251pt;width:189pt;height:56.95pt;mso-position-horizontal-relative:page;mso-position-vertical-relative:paragraph;z-index:252110848" coordorigin="6574,-800" coordsize="3780,1139">
            <v:line style="position:absolute" from="6830,-313" to="6830,303" stroked="true" strokeweight="6.24pt" strokecolor="#c46627">
              <v:stroke dashstyle="solid"/>
            </v:line>
            <v:line style="position:absolute" from="6956,-580" to="6956,303" stroked="true" strokeweight="6.36pt" strokecolor="#ec7c30">
              <v:stroke dashstyle="solid"/>
            </v:line>
            <v:rect style="position:absolute;left:6892;top:-580;width:128;height:884" filled="false" stroked="true" strokeweight=".48pt" strokecolor="#ffffff">
              <v:stroke dashstyle="solid"/>
            </v:rect>
            <v:line style="position:absolute" from="7082,-59" to="7082,303" stroked="true" strokeweight="6.24pt" strokecolor="#f4b8a3">
              <v:stroke dashstyle="solid"/>
            </v:line>
            <v:rect style="position:absolute;left:7020;top:-60;width:125;height:363" filled="false" stroked="true" strokeweight=".48pt" strokecolor="#ffffff">
              <v:stroke dashstyle="solid"/>
            </v:rect>
            <v:line style="position:absolute" from="7584,-160" to="7584,303" stroked="true" strokeweight="6.24pt" strokecolor="#c46627">
              <v:stroke dashstyle="solid"/>
            </v:line>
            <v:line style="position:absolute" from="7710,54" to="7710,303" stroked="true" strokeweight="6.36pt" strokecolor="#ec7c30">
              <v:stroke dashstyle="solid"/>
            </v:line>
            <v:rect style="position:absolute;left:7646;top:53;width:128;height:250" filled="false" stroked="true" strokeweight=".48pt" strokecolor="#ffffff">
              <v:stroke dashstyle="solid"/>
            </v:rect>
            <v:rect style="position:absolute;left:7773;top:202;width:125;height:101" filled="true" fillcolor="#f4b8a3" stroked="false">
              <v:fill type="solid"/>
            </v:rect>
            <v:rect style="position:absolute;left:7773;top:202;width:125;height:101" filled="false" stroked="true" strokeweight=".48pt" strokecolor="#ffffff">
              <v:stroke dashstyle="solid"/>
            </v:rect>
            <v:line style="position:absolute" from="8338,-52" to="8338,303" stroked="true" strokeweight="6.24pt" strokecolor="#c46627">
              <v:stroke dashstyle="solid"/>
            </v:line>
            <v:line style="position:absolute" from="8464,-354" to="8464,303" stroked="true" strokeweight="6.36pt" strokecolor="#ec7c30">
              <v:stroke dashstyle="solid"/>
            </v:line>
            <v:rect style="position:absolute;left:8400;top:-355;width:128;height:658" filled="false" stroked="true" strokeweight=".48pt" strokecolor="#ffffff">
              <v:stroke dashstyle="solid"/>
            </v:rect>
            <v:rect style="position:absolute;left:8527;top:250;width:125;height:53" filled="true" fillcolor="#f4b8a3" stroked="false">
              <v:fill type="solid"/>
            </v:rect>
            <v:rect style="position:absolute;left:8527;top:250;width:125;height:53" filled="false" stroked="true" strokeweight=".48pt" strokecolor="#ffffff">
              <v:stroke dashstyle="solid"/>
            </v:rect>
            <v:line style="position:absolute" from="9092,-40" to="9092,303" stroked="true" strokeweight="6.36pt" strokecolor="#c46627">
              <v:stroke dashstyle="solid"/>
            </v:line>
            <v:line style="position:absolute" from="9218,71" to="9218,303" stroked="true" strokeweight="6.24pt" strokecolor="#ec7c30">
              <v:stroke dashstyle="solid"/>
            </v:line>
            <v:rect style="position:absolute;left:9156;top:70;width:125;height:233" filled="false" stroked="true" strokeweight=".48pt" strokecolor="#ffffff">
              <v:stroke dashstyle="solid"/>
            </v:rect>
            <v:line style="position:absolute" from="9343,97" to="9343,303" stroked="true" strokeweight="6.24pt" strokecolor="#f4b8a3">
              <v:stroke dashstyle="solid"/>
            </v:line>
            <v:rect style="position:absolute;left:9280;top:96;width:125;height:207" filled="false" stroked="true" strokeweight=".48pt" strokecolor="#ffffff">
              <v:stroke dashstyle="solid"/>
            </v:rect>
            <v:line style="position:absolute" from="9846,47" to="9846,303" stroked="true" strokeweight="6.36pt" strokecolor="#c46627">
              <v:stroke dashstyle="solid"/>
            </v:line>
            <v:line style="position:absolute" from="9972,11" to="9972,303" stroked="true" strokeweight="6.24pt" strokecolor="#ec7c30">
              <v:stroke dashstyle="solid"/>
            </v:line>
            <v:rect style="position:absolute;left:9909;top:10;width:125;height:293" filled="false" stroked="true" strokeweight=".48pt" strokecolor="#ffffff">
              <v:stroke dashstyle="solid"/>
            </v:rect>
            <v:rect style="position:absolute;left:10034;top:264;width:128;height:39" filled="true" fillcolor="#f4b8a3" stroked="false">
              <v:fill type="solid"/>
            </v:rect>
            <v:rect style="position:absolute;left:10034;top:264;width:128;height:39" filled="false" stroked="true" strokeweight=".48pt" strokecolor="#ffffff">
              <v:stroke dashstyle="solid"/>
            </v:rect>
            <v:shape style="position:absolute;left:0;top:3869;width:3771;height:36" coordorigin="0,3870" coordsize="3771,36" path="m6578,303l10349,303m6578,303l6578,339m7332,303l7332,339m8088,303l8088,339m8842,303l8842,339m9595,303l9595,339m10349,303l10349,339e" filled="false" stroked="true" strokeweight=".48pt" strokecolor="#888888">
              <v:path arrowok="t"/>
              <v:stroke dashstyle="solid"/>
            </v:shape>
            <v:shape style="position:absolute;left:6724;top:-800;width:357;height:399" type="#_x0000_t202" filled="false" stroked="false">
              <v:textbox inset="0,0,0,0">
                <w:txbxContent>
                  <w:p>
                    <w:pPr>
                      <w:spacing w:line="133" w:lineRule="exact" w:before="0"/>
                      <w:ind w:left="125" w:right="0" w:firstLine="0"/>
                      <w:jc w:val="left"/>
                      <w:rPr>
                        <w:sz w:val="12"/>
                      </w:rPr>
                    </w:pPr>
                    <w:r>
                      <w:rPr>
                        <w:sz w:val="12"/>
                      </w:rPr>
                      <w:t>24.3</w:t>
                    </w:r>
                  </w:p>
                  <w:p>
                    <w:pPr>
                      <w:spacing w:line="240" w:lineRule="auto" w:before="0"/>
                      <w:rPr>
                        <w:sz w:val="11"/>
                      </w:rPr>
                    </w:pPr>
                  </w:p>
                  <w:p>
                    <w:pPr>
                      <w:spacing w:before="1"/>
                      <w:ind w:left="0" w:right="0" w:firstLine="0"/>
                      <w:jc w:val="left"/>
                      <w:rPr>
                        <w:sz w:val="12"/>
                      </w:rPr>
                    </w:pPr>
                    <w:r>
                      <w:rPr>
                        <w:sz w:val="12"/>
                      </w:rPr>
                      <w:t>17.0</w:t>
                    </w:r>
                  </w:p>
                </w:txbxContent>
              </v:textbox>
              <w10:wrap type="none"/>
            </v:shape>
            <v:shape style="position:absolute;left:8358;top:-574;width:232;height:133" type="#_x0000_t202" filled="false" stroked="false">
              <v:textbox inset="0,0,0,0">
                <w:txbxContent>
                  <w:p>
                    <w:pPr>
                      <w:spacing w:line="133" w:lineRule="exact" w:before="0"/>
                      <w:ind w:left="0" w:right="0" w:firstLine="0"/>
                      <w:jc w:val="left"/>
                      <w:rPr>
                        <w:sz w:val="12"/>
                      </w:rPr>
                    </w:pPr>
                    <w:r>
                      <w:rPr>
                        <w:sz w:val="12"/>
                      </w:rPr>
                      <w:t>18.1</w:t>
                    </w:r>
                  </w:p>
                </w:txbxContent>
              </v:textbox>
              <w10:wrap type="none"/>
            </v:shape>
            <v:shape style="position:absolute;left:6975;top:-280;width:232;height:133" type="#_x0000_t202" filled="false" stroked="false">
              <v:textbox inset="0,0,0,0">
                <w:txbxContent>
                  <w:p>
                    <w:pPr>
                      <w:spacing w:line="133" w:lineRule="exact" w:before="0"/>
                      <w:ind w:left="0" w:right="0" w:firstLine="0"/>
                      <w:jc w:val="left"/>
                      <w:rPr>
                        <w:sz w:val="12"/>
                      </w:rPr>
                    </w:pPr>
                    <w:r>
                      <w:rPr>
                        <w:sz w:val="12"/>
                      </w:rPr>
                      <w:t>10.0</w:t>
                    </w:r>
                  </w:p>
                </w:txbxContent>
              </v:textbox>
              <w10:wrap type="none"/>
            </v:shape>
            <v:shape style="position:absolute;left:7478;top:-382;width:454;height:497" type="#_x0000_t202" filled="false" stroked="false">
              <v:textbox inset="0,0,0,0">
                <w:txbxContent>
                  <w:p>
                    <w:pPr>
                      <w:spacing w:line="133" w:lineRule="exact" w:before="0"/>
                      <w:ind w:left="0" w:right="0" w:firstLine="0"/>
                      <w:jc w:val="left"/>
                      <w:rPr>
                        <w:sz w:val="12"/>
                      </w:rPr>
                    </w:pPr>
                    <w:r>
                      <w:rPr>
                        <w:sz w:val="12"/>
                      </w:rPr>
                      <w:t>12.8</w:t>
                    </w:r>
                  </w:p>
                  <w:p>
                    <w:pPr>
                      <w:spacing w:before="76"/>
                      <w:ind w:left="156" w:right="0" w:firstLine="0"/>
                      <w:jc w:val="left"/>
                      <w:rPr>
                        <w:sz w:val="12"/>
                      </w:rPr>
                    </w:pPr>
                    <w:r>
                      <w:rPr>
                        <w:sz w:val="12"/>
                      </w:rPr>
                      <w:t>6.9</w:t>
                    </w:r>
                  </w:p>
                  <w:p>
                    <w:pPr>
                      <w:spacing w:before="11"/>
                      <w:ind w:left="282" w:right="0" w:firstLine="0"/>
                      <w:jc w:val="left"/>
                      <w:rPr>
                        <w:sz w:val="12"/>
                      </w:rPr>
                    </w:pPr>
                    <w:r>
                      <w:rPr>
                        <w:sz w:val="12"/>
                      </w:rPr>
                      <w:t>2.8</w:t>
                    </w:r>
                  </w:p>
                </w:txbxContent>
              </v:textbox>
              <w10:wrap type="none"/>
            </v:shape>
            <v:shape style="position:absolute;left:8263;top:-273;width:172;height:133" type="#_x0000_t202" filled="false" stroked="false">
              <v:textbox inset="0,0,0,0">
                <w:txbxContent>
                  <w:p>
                    <w:pPr>
                      <w:spacing w:line="133" w:lineRule="exact" w:before="0"/>
                      <w:ind w:left="0" w:right="0" w:firstLine="0"/>
                      <w:jc w:val="left"/>
                      <w:rPr>
                        <w:sz w:val="12"/>
                      </w:rPr>
                    </w:pPr>
                    <w:r>
                      <w:rPr>
                        <w:sz w:val="12"/>
                      </w:rPr>
                      <w:t>9.8</w:t>
                    </w:r>
                  </w:p>
                </w:txbxContent>
              </v:textbox>
              <w10:wrap type="none"/>
            </v:shape>
            <v:shape style="position:absolute;left:9017;top:-262;width:172;height:133" type="#_x0000_t202" filled="false" stroked="false">
              <v:textbox inset="0,0,0,0">
                <w:txbxContent>
                  <w:p>
                    <w:pPr>
                      <w:spacing w:line="133" w:lineRule="exact" w:before="0"/>
                      <w:ind w:left="0" w:right="0" w:firstLine="0"/>
                      <w:jc w:val="left"/>
                      <w:rPr>
                        <w:sz w:val="12"/>
                      </w:rPr>
                    </w:pPr>
                    <w:r>
                      <w:rPr>
                        <w:sz w:val="12"/>
                      </w:rPr>
                      <w:t>9.5</w:t>
                    </w:r>
                  </w:p>
                </w:txbxContent>
              </v:textbox>
              <w10:wrap type="none"/>
            </v:shape>
            <v:shape style="position:absolute;left:9143;top:-149;width:317;height:227" type="#_x0000_t202" filled="false" stroked="false">
              <v:textbox inset="0,0,0,0">
                <w:txbxContent>
                  <w:p>
                    <w:pPr>
                      <w:spacing w:line="111" w:lineRule="exact" w:before="0"/>
                      <w:ind w:left="0" w:right="0" w:firstLine="0"/>
                      <w:jc w:val="left"/>
                      <w:rPr>
                        <w:sz w:val="12"/>
                      </w:rPr>
                    </w:pPr>
                    <w:r>
                      <w:rPr>
                        <w:sz w:val="12"/>
                      </w:rPr>
                      <w:t>6.4</w:t>
                    </w:r>
                  </w:p>
                  <w:p>
                    <w:pPr>
                      <w:spacing w:line="116" w:lineRule="exact" w:before="0"/>
                      <w:ind w:left="145" w:right="0" w:firstLine="0"/>
                      <w:jc w:val="left"/>
                      <w:rPr>
                        <w:sz w:val="12"/>
                      </w:rPr>
                    </w:pPr>
                    <w:r>
                      <w:rPr>
                        <w:sz w:val="12"/>
                      </w:rPr>
                      <w:t>5.7</w:t>
                    </w:r>
                  </w:p>
                </w:txbxContent>
              </v:textbox>
              <w10:wrap type="none"/>
            </v:shape>
            <v:shape style="position:absolute;left:9752;top:-211;width:317;height:204" type="#_x0000_t202" filled="false" stroked="false">
              <v:textbox inset="0,0,0,0">
                <w:txbxContent>
                  <w:p>
                    <w:pPr>
                      <w:spacing w:line="228" w:lineRule="auto" w:before="0"/>
                      <w:ind w:left="0" w:right="0" w:firstLine="0"/>
                      <w:jc w:val="left"/>
                      <w:rPr>
                        <w:sz w:val="12"/>
                      </w:rPr>
                    </w:pPr>
                    <w:r>
                      <w:rPr>
                        <w:position w:val="-6"/>
                        <w:sz w:val="12"/>
                      </w:rPr>
                      <w:t>7. </w:t>
                    </w:r>
                    <w:r>
                      <w:rPr>
                        <w:sz w:val="12"/>
                      </w:rPr>
                      <w:t>8.1</w:t>
                    </w:r>
                  </w:p>
                </w:txbxContent>
              </v:textbox>
              <w10:wrap type="none"/>
            </v:shape>
            <v:shape style="position:absolute;left:9843;top:-140;width:80;height:133" type="#_x0000_t202" filled="false" stroked="false">
              <v:textbox inset="0,0,0,0">
                <w:txbxContent>
                  <w:p>
                    <w:pPr>
                      <w:spacing w:line="133" w:lineRule="exact" w:before="0"/>
                      <w:ind w:left="0" w:right="0" w:firstLine="0"/>
                      <w:jc w:val="left"/>
                      <w:rPr>
                        <w:sz w:val="12"/>
                      </w:rPr>
                    </w:pPr>
                    <w:r>
                      <w:rPr>
                        <w:sz w:val="12"/>
                      </w:rPr>
                      <w:t>1</w:t>
                    </w:r>
                  </w:p>
                </w:txbxContent>
              </v:textbox>
              <w10:wrap type="none"/>
            </v:shape>
            <v:shape style="position:absolute;left:8515;top:29;width:172;height:133" type="#_x0000_t202" filled="false" stroked="false">
              <v:textbox inset="0,0,0,0">
                <w:txbxContent>
                  <w:p>
                    <w:pPr>
                      <w:spacing w:line="133" w:lineRule="exact" w:before="0"/>
                      <w:ind w:left="0" w:right="0" w:firstLine="0"/>
                      <w:jc w:val="left"/>
                      <w:rPr>
                        <w:sz w:val="12"/>
                      </w:rPr>
                    </w:pPr>
                    <w:r>
                      <w:rPr>
                        <w:sz w:val="12"/>
                      </w:rPr>
                      <w:t>1.5</w:t>
                    </w:r>
                  </w:p>
                </w:txbxContent>
              </v:textbox>
              <w10:wrap type="none"/>
            </v:shape>
            <v:shape style="position:absolute;left:10023;top:43;width:172;height:133" type="#_x0000_t202" filled="false" stroked="false">
              <v:textbox inset="0,0,0,0">
                <w:txbxContent>
                  <w:p>
                    <w:pPr>
                      <w:spacing w:line="133" w:lineRule="exact" w:before="0"/>
                      <w:ind w:left="0" w:right="0" w:firstLine="0"/>
                      <w:jc w:val="left"/>
                      <w:rPr>
                        <w:sz w:val="12"/>
                      </w:rPr>
                    </w:pPr>
                    <w:r>
                      <w:rPr>
                        <w:sz w:val="12"/>
                      </w:rPr>
                      <w:t>1.1</w:t>
                    </w:r>
                  </w:p>
                </w:txbxContent>
              </v:textbox>
              <w10:wrap type="none"/>
            </v:shape>
            <w10:wrap type="none"/>
          </v:group>
        </w:pict>
      </w:r>
      <w:r>
        <w:rPr/>
        <w:pict>
          <v:shape style="position:absolute;margin-left:319.913330pt;margin-top:-37.198505pt;width:8.65pt;height:55.5pt;mso-position-horizontal-relative:page;mso-position-vertical-relative:paragraph;z-index:252116992" type="#_x0000_t202" filled="false" stroked="false">
            <v:textbox inset="0,0,0,0" style="layout-flow:vertical;mso-layout-flow-alt:bottom-to-top">
              <w:txbxContent>
                <w:p>
                  <w:pPr>
                    <w:spacing w:before="15"/>
                    <w:ind w:left="20" w:right="0" w:firstLine="0"/>
                    <w:jc w:val="left"/>
                    <w:rPr>
                      <w:b/>
                      <w:sz w:val="12"/>
                    </w:rPr>
                  </w:pPr>
                  <w:r>
                    <w:rPr>
                      <w:b/>
                      <w:sz w:val="12"/>
                    </w:rPr>
                    <w:t>Variacion interanual</w:t>
                  </w:r>
                </w:p>
              </w:txbxContent>
            </v:textbox>
            <w10:wrap type="none"/>
          </v:shape>
        </w:pict>
      </w:r>
      <w:r>
        <w:rPr/>
        <w:pict>
          <v:shape style="position:absolute;margin-left:340.143311pt;margin-top:19.420097pt;width:15.6pt;height:37.8pt;mso-position-horizontal-relative:page;mso-position-vertical-relative:paragraph;z-index:252118016" type="#_x0000_t202" filled="false" stroked="false">
            <v:textbox inset="0,0,0,0" style="layout-flow:vertical;mso-layout-flow-alt:bottom-to-top">
              <w:txbxContent>
                <w:p>
                  <w:pPr>
                    <w:spacing w:before="15"/>
                    <w:ind w:left="95" w:right="-1" w:hanging="75"/>
                    <w:jc w:val="left"/>
                    <w:rPr>
                      <w:sz w:val="12"/>
                    </w:rPr>
                  </w:pPr>
                  <w:r>
                    <w:rPr>
                      <w:sz w:val="12"/>
                    </w:rPr>
                    <w:t>Actividades de alojamiento</w:t>
                  </w:r>
                </w:p>
              </w:txbxContent>
            </v:textbox>
            <w10:wrap type="none"/>
          </v:shape>
        </w:pict>
      </w:r>
      <w:r>
        <w:rPr/>
        <w:pict>
          <v:shape style="position:absolute;margin-left:377.843323pt;margin-top:17.848347pt;width:15.6pt;height:41.35pt;mso-position-horizontal-relative:page;mso-position-vertical-relative:paragraph;z-index:252119040" type="#_x0000_t202" filled="false" stroked="false">
            <v:textbox inset="0,0,0,0" style="layout-flow:vertical;mso-layout-flow-alt:bottom-to-top">
              <w:txbxContent>
                <w:p>
                  <w:pPr>
                    <w:spacing w:before="15"/>
                    <w:ind w:left="20" w:right="0" w:firstLine="87"/>
                    <w:jc w:val="left"/>
                    <w:rPr>
                      <w:sz w:val="12"/>
                    </w:rPr>
                  </w:pPr>
                  <w:r>
                    <w:rPr>
                      <w:sz w:val="12"/>
                    </w:rPr>
                    <w:t>Transporte y almacenamiento</w:t>
                  </w:r>
                </w:p>
              </w:txbxContent>
            </v:textbox>
            <w10:wrap type="none"/>
          </v:shape>
        </w:pict>
      </w:r>
      <w:r>
        <w:rPr/>
        <w:pict>
          <v:shape style="position:absolute;margin-left:419.003326pt;margin-top:17.852411pt;width:8.65pt;height:15.7pt;mso-position-horizontal-relative:page;mso-position-vertical-relative:paragraph;z-index:252120064" type="#_x0000_t202" filled="false" stroked="false">
            <v:textbox inset="0,0,0,0" style="layout-flow:vertical;mso-layout-flow-alt:bottom-to-top">
              <w:txbxContent>
                <w:p>
                  <w:pPr>
                    <w:spacing w:before="15"/>
                    <w:ind w:left="20" w:right="0" w:firstLine="0"/>
                    <w:jc w:val="left"/>
                    <w:rPr>
                      <w:sz w:val="12"/>
                    </w:rPr>
                  </w:pPr>
                  <w:r>
                    <w:rPr>
                      <w:sz w:val="12"/>
                    </w:rPr>
                    <w:t>Salud</w:t>
                  </w:r>
                </w:p>
              </w:txbxContent>
            </v:textbox>
            <w10:wrap type="none"/>
          </v:shape>
        </w:pict>
      </w:r>
      <w:r>
        <w:rPr/>
        <w:pict>
          <v:shape style="position:absolute;margin-left:453.253326pt;margin-top:17.917831pt;width:15.6pt;height:62.95pt;mso-position-horizontal-relative:page;mso-position-vertical-relative:paragraph;z-index:252121088" type="#_x0000_t202" filled="false" stroked="false">
            <v:textbox inset="0,0,0,0" style="layout-flow:vertical;mso-layout-flow-alt:bottom-to-top">
              <w:txbxContent>
                <w:p>
                  <w:pPr>
                    <w:spacing w:before="15"/>
                    <w:ind w:left="374" w:right="0" w:hanging="355"/>
                    <w:jc w:val="left"/>
                    <w:rPr>
                      <w:sz w:val="12"/>
                    </w:rPr>
                  </w:pPr>
                  <w:r>
                    <w:rPr>
                      <w:sz w:val="12"/>
                    </w:rPr>
                    <w:t>Actividades financieras y de seguros</w:t>
                  </w:r>
                </w:p>
              </w:txbxContent>
            </v:textbox>
            <w10:wrap type="none"/>
          </v:shape>
        </w:pict>
      </w:r>
      <w:r>
        <w:rPr/>
        <w:pict>
          <v:shape style="position:absolute;margin-left:490.983307pt;margin-top:17.843924pt;width:15.55pt;height:64.2pt;mso-position-horizontal-relative:page;mso-position-vertical-relative:paragraph;z-index:252122112" type="#_x0000_t202" filled="false" stroked="false">
            <v:textbox inset="0,0,0,0" style="layout-flow:vertical;mso-layout-flow-alt:bottom-to-top">
              <w:txbxContent>
                <w:p>
                  <w:pPr>
                    <w:spacing w:before="15"/>
                    <w:ind w:left="141" w:right="2" w:hanging="122"/>
                    <w:jc w:val="left"/>
                    <w:rPr>
                      <w:sz w:val="12"/>
                    </w:rPr>
                  </w:pPr>
                  <w:r>
                    <w:rPr>
                      <w:sz w:val="12"/>
                    </w:rPr>
                    <w:t>Actividades profesionales científicas y técnicas</w:t>
                  </w:r>
                </w:p>
              </w:txbxContent>
            </v:textbox>
            <w10:wrap type="none"/>
          </v:shape>
        </w:pict>
      </w:r>
      <w:r>
        <w:rPr>
          <w:b/>
          <w:sz w:val="20"/>
        </w:rPr>
        <w:t>3.6</w:t>
      </w:r>
    </w:p>
    <w:p>
      <w:pPr>
        <w:spacing w:after="0" w:line="212" w:lineRule="exact"/>
        <w:jc w:val="left"/>
        <w:rPr>
          <w:sz w:val="20"/>
        </w:rPr>
        <w:sectPr>
          <w:type w:val="continuous"/>
          <w:pgSz w:w="12240" w:h="15840"/>
          <w:pgMar w:top="1500" w:bottom="280" w:left="1140" w:right="0"/>
          <w:cols w:num="2" w:equalWidth="0">
            <w:col w:w="1416" w:space="2121"/>
            <w:col w:w="7563"/>
          </w:cols>
        </w:sectPr>
      </w:pPr>
    </w:p>
    <w:p>
      <w:pPr>
        <w:pStyle w:val="BodyText"/>
        <w:rPr>
          <w:b/>
          <w:sz w:val="20"/>
        </w:rPr>
      </w:pPr>
    </w:p>
    <w:p>
      <w:pPr>
        <w:pStyle w:val="BodyText"/>
        <w:spacing w:before="3"/>
        <w:rPr>
          <w:b/>
          <w:sz w:val="19"/>
        </w:rPr>
      </w:pPr>
    </w:p>
    <w:p>
      <w:pPr>
        <w:spacing w:after="0"/>
        <w:rPr>
          <w:sz w:val="19"/>
        </w:rPr>
        <w:sectPr>
          <w:type w:val="continuous"/>
          <w:pgSz w:w="12240" w:h="15840"/>
          <w:pgMar w:top="1500" w:bottom="280" w:left="1140" w:right="0"/>
        </w:sectPr>
      </w:pPr>
    </w:p>
    <w:p>
      <w:pPr>
        <w:spacing w:before="94"/>
        <w:ind w:left="2845" w:right="2649" w:firstLine="0"/>
        <w:jc w:val="center"/>
        <w:rPr>
          <w:b/>
          <w:sz w:val="16"/>
        </w:rPr>
      </w:pPr>
      <w:r>
        <w:rPr>
          <w:b/>
          <w:sz w:val="16"/>
        </w:rPr>
        <w:t>Fecha</w:t>
      </w:r>
    </w:p>
    <w:p>
      <w:pPr>
        <w:spacing w:before="152"/>
        <w:ind w:left="821" w:right="0" w:firstLine="0"/>
        <w:jc w:val="left"/>
        <w:rPr>
          <w:sz w:val="16"/>
        </w:rPr>
      </w:pPr>
      <w:r>
        <w:rPr>
          <w:sz w:val="16"/>
        </w:rPr>
        <w:t>Fuente:</w:t>
      </w:r>
      <w:r>
        <w:rPr>
          <w:spacing w:val="-4"/>
          <w:sz w:val="16"/>
        </w:rPr>
        <w:t> </w:t>
      </w:r>
      <w:r>
        <w:rPr>
          <w:sz w:val="16"/>
        </w:rPr>
        <w:t>Dirección</w:t>
      </w:r>
      <w:r>
        <w:rPr>
          <w:spacing w:val="-4"/>
          <w:sz w:val="16"/>
        </w:rPr>
        <w:t> </w:t>
      </w:r>
      <w:r>
        <w:rPr>
          <w:sz w:val="16"/>
        </w:rPr>
        <w:t>de</w:t>
      </w:r>
      <w:r>
        <w:rPr>
          <w:spacing w:val="-5"/>
          <w:sz w:val="16"/>
        </w:rPr>
        <w:t> </w:t>
      </w:r>
      <w:r>
        <w:rPr>
          <w:sz w:val="16"/>
        </w:rPr>
        <w:t>Análisis</w:t>
      </w:r>
      <w:r>
        <w:rPr>
          <w:spacing w:val="-3"/>
          <w:sz w:val="16"/>
        </w:rPr>
        <w:t> </w:t>
      </w:r>
      <w:r>
        <w:rPr>
          <w:sz w:val="16"/>
        </w:rPr>
        <w:t>y</w:t>
      </w:r>
      <w:r>
        <w:rPr>
          <w:spacing w:val="-6"/>
          <w:sz w:val="16"/>
        </w:rPr>
        <w:t> </w:t>
      </w:r>
      <w:r>
        <w:rPr>
          <w:sz w:val="16"/>
        </w:rPr>
        <w:t>Política</w:t>
      </w:r>
      <w:r>
        <w:rPr>
          <w:spacing w:val="-2"/>
          <w:sz w:val="16"/>
        </w:rPr>
        <w:t> </w:t>
      </w:r>
      <w:r>
        <w:rPr>
          <w:sz w:val="16"/>
        </w:rPr>
        <w:t>Fiscal</w:t>
      </w:r>
      <w:r>
        <w:rPr>
          <w:spacing w:val="-5"/>
          <w:sz w:val="16"/>
        </w:rPr>
        <w:t> </w:t>
      </w:r>
      <w:r>
        <w:rPr>
          <w:sz w:val="16"/>
        </w:rPr>
        <w:t>con</w:t>
      </w:r>
      <w:r>
        <w:rPr>
          <w:spacing w:val="-4"/>
          <w:sz w:val="16"/>
        </w:rPr>
        <w:t> </w:t>
      </w:r>
      <w:r>
        <w:rPr>
          <w:sz w:val="16"/>
        </w:rPr>
        <w:t>información</w:t>
      </w:r>
      <w:r>
        <w:rPr>
          <w:spacing w:val="-4"/>
          <w:sz w:val="16"/>
        </w:rPr>
        <w:t> </w:t>
      </w:r>
      <w:r>
        <w:rPr>
          <w:sz w:val="16"/>
        </w:rPr>
        <w:t>del</w:t>
      </w:r>
      <w:r>
        <w:rPr>
          <w:spacing w:val="-4"/>
          <w:sz w:val="16"/>
        </w:rPr>
        <w:t> </w:t>
      </w:r>
      <w:r>
        <w:rPr>
          <w:sz w:val="16"/>
        </w:rPr>
        <w:t>BANGUAT</w:t>
      </w:r>
    </w:p>
    <w:p>
      <w:pPr>
        <w:pStyle w:val="BodyText"/>
        <w:spacing w:before="5"/>
        <w:rPr>
          <w:sz w:val="12"/>
        </w:rPr>
      </w:pPr>
      <w:r>
        <w:rPr/>
        <w:br w:type="column"/>
      </w:r>
      <w:r>
        <w:rPr>
          <w:sz w:val="12"/>
        </w:rPr>
      </w:r>
    </w:p>
    <w:p>
      <w:pPr>
        <w:spacing w:before="1"/>
        <w:ind w:left="808" w:right="0" w:firstLine="0"/>
        <w:jc w:val="left"/>
        <w:rPr>
          <w:b/>
          <w:sz w:val="12"/>
        </w:rPr>
      </w:pPr>
      <w:r>
        <w:rPr>
          <w:b/>
          <w:sz w:val="12"/>
        </w:rPr>
        <w:t>Actividad economica</w:t>
      </w:r>
    </w:p>
    <w:p>
      <w:pPr>
        <w:spacing w:after="0"/>
        <w:jc w:val="left"/>
        <w:rPr>
          <w:sz w:val="12"/>
        </w:rPr>
        <w:sectPr>
          <w:type w:val="continuous"/>
          <w:pgSz w:w="12240" w:h="15840"/>
          <w:pgMar w:top="1500" w:bottom="280" w:left="1140" w:right="0"/>
          <w:cols w:num="2" w:equalWidth="0">
            <w:col w:w="5943" w:space="40"/>
            <w:col w:w="5117"/>
          </w:cols>
        </w:sectPr>
      </w:pPr>
    </w:p>
    <w:p>
      <w:pPr>
        <w:pStyle w:val="BodyText"/>
        <w:spacing w:before="11"/>
        <w:rPr>
          <w:b/>
          <w:sz w:val="11"/>
        </w:rPr>
      </w:pPr>
    </w:p>
    <w:p>
      <w:pPr>
        <w:pStyle w:val="BodyText"/>
        <w:spacing w:line="20" w:lineRule="exact"/>
        <w:ind w:left="554"/>
        <w:rPr>
          <w:sz w:val="2"/>
        </w:rPr>
      </w:pPr>
      <w:r>
        <w:rPr>
          <w:sz w:val="2"/>
        </w:rPr>
        <w:pict>
          <v:group style="width:144.050pt;height:.75pt;mso-position-horizontal-relative:char;mso-position-vertical-relative:line" coordorigin="0,0" coordsize="2881,15">
            <v:line style="position:absolute" from="0,7" to="2880,7" stroked="true" strokeweight=".72pt" strokecolor="#000000">
              <v:stroke dashstyle="solid"/>
            </v:line>
          </v:group>
        </w:pict>
      </w:r>
      <w:r>
        <w:rPr>
          <w:sz w:val="2"/>
        </w:rPr>
      </w:r>
    </w:p>
    <w:p>
      <w:pPr>
        <w:spacing w:before="92"/>
        <w:ind w:left="562" w:right="0" w:firstLine="0"/>
        <w:jc w:val="left"/>
        <w:rPr>
          <w:sz w:val="20"/>
        </w:rPr>
      </w:pPr>
      <w:r>
        <w:rPr>
          <w:rFonts w:ascii="Calibri" w:hAnsi="Calibri"/>
          <w:position w:val="7"/>
          <w:sz w:val="13"/>
        </w:rPr>
        <w:t>1 </w:t>
      </w:r>
      <w:r>
        <w:rPr>
          <w:sz w:val="20"/>
        </w:rPr>
        <w:t>A la fecha del presente informe es el último dado reportado por el Banguat.</w:t>
      </w:r>
    </w:p>
    <w:p>
      <w:pPr>
        <w:spacing w:after="0"/>
        <w:jc w:val="left"/>
        <w:rPr>
          <w:sz w:val="20"/>
        </w:rPr>
        <w:sectPr>
          <w:type w:val="continuous"/>
          <w:pgSz w:w="12240" w:h="15840"/>
          <w:pgMar w:top="1500" w:bottom="280" w:left="1140" w:right="0"/>
        </w:sectPr>
      </w:pPr>
    </w:p>
    <w:p>
      <w:pPr>
        <w:pStyle w:val="BodyText"/>
        <w:spacing w:line="276" w:lineRule="auto" w:before="162"/>
        <w:ind w:left="562" w:right="1696"/>
        <w:jc w:val="both"/>
      </w:pPr>
      <w:r>
        <w:rPr/>
        <w:t>En lo que respecta al índice de Confianza de la Actividad Económica -ICAE-, del Banco de Guatemala, que mide la percepción de un panel de analistas privados sobre la situación económica actual, mostró una clara tendencia a la baja a partir de enero de 2022, y reportó un nivel 54.0 para junio</w:t>
      </w:r>
      <w:r>
        <w:rPr>
          <w:spacing w:val="-4"/>
        </w:rPr>
        <w:t> </w:t>
      </w:r>
      <w:r>
        <w:rPr/>
        <w:t>de</w:t>
      </w:r>
      <w:r>
        <w:rPr>
          <w:spacing w:val="-3"/>
        </w:rPr>
        <w:t> </w:t>
      </w:r>
      <w:r>
        <w:rPr/>
        <w:t>2022,</w:t>
      </w:r>
      <w:r>
        <w:rPr>
          <w:spacing w:val="-6"/>
        </w:rPr>
        <w:t> </w:t>
      </w:r>
      <w:r>
        <w:rPr/>
        <w:t>con</w:t>
      </w:r>
      <w:r>
        <w:rPr>
          <w:spacing w:val="-3"/>
        </w:rPr>
        <w:t> </w:t>
      </w:r>
      <w:r>
        <w:rPr/>
        <w:t>una</w:t>
      </w:r>
      <w:r>
        <w:rPr>
          <w:spacing w:val="-3"/>
        </w:rPr>
        <w:t> </w:t>
      </w:r>
      <w:r>
        <w:rPr/>
        <w:t>variación</w:t>
      </w:r>
      <w:r>
        <w:rPr>
          <w:spacing w:val="-6"/>
        </w:rPr>
        <w:t> </w:t>
      </w:r>
      <w:r>
        <w:rPr/>
        <w:t>interanual</w:t>
      </w:r>
      <w:r>
        <w:rPr>
          <w:spacing w:val="-3"/>
        </w:rPr>
        <w:t> </w:t>
      </w:r>
      <w:r>
        <w:rPr/>
        <w:t>negativa</w:t>
      </w:r>
      <w:r>
        <w:rPr>
          <w:spacing w:val="-3"/>
        </w:rPr>
        <w:t> </w:t>
      </w:r>
      <w:r>
        <w:rPr/>
        <w:t>de</w:t>
      </w:r>
      <w:r>
        <w:rPr>
          <w:spacing w:val="-3"/>
        </w:rPr>
        <w:t> </w:t>
      </w:r>
      <w:r>
        <w:rPr/>
        <w:t>29.0%.</w:t>
      </w:r>
      <w:r>
        <w:rPr>
          <w:spacing w:val="-4"/>
        </w:rPr>
        <w:t> </w:t>
      </w:r>
      <w:r>
        <w:rPr/>
        <w:t>Entre</w:t>
      </w:r>
      <w:r>
        <w:rPr>
          <w:spacing w:val="-3"/>
        </w:rPr>
        <w:t> </w:t>
      </w:r>
      <w:r>
        <w:rPr/>
        <w:t>los</w:t>
      </w:r>
      <w:r>
        <w:rPr>
          <w:spacing w:val="-3"/>
        </w:rPr>
        <w:t> </w:t>
      </w:r>
      <w:r>
        <w:rPr/>
        <w:t>factores</w:t>
      </w:r>
      <w:r>
        <w:rPr>
          <w:spacing w:val="-5"/>
        </w:rPr>
        <w:t> </w:t>
      </w:r>
      <w:r>
        <w:rPr/>
        <w:t>considerados</w:t>
      </w:r>
      <w:r>
        <w:rPr>
          <w:spacing w:val="-4"/>
        </w:rPr>
        <w:t> </w:t>
      </w:r>
      <w:r>
        <w:rPr/>
        <w:t>están los precios nacionales e internacionales de los combustibles, el mercado interno, el desempeño de la política fiscal y la estabilidad en el nivel general de los precios, entre</w:t>
      </w:r>
      <w:r>
        <w:rPr>
          <w:spacing w:val="-12"/>
        </w:rPr>
        <w:t> </w:t>
      </w:r>
      <w:r>
        <w:rPr/>
        <w:t>otros.</w:t>
      </w:r>
    </w:p>
    <w:p>
      <w:pPr>
        <w:pStyle w:val="BodyText"/>
        <w:rPr>
          <w:sz w:val="20"/>
        </w:rPr>
      </w:pPr>
    </w:p>
    <w:p>
      <w:pPr>
        <w:spacing w:after="0"/>
        <w:rPr>
          <w:sz w:val="20"/>
        </w:rPr>
        <w:sectPr>
          <w:pgSz w:w="12240" w:h="15840"/>
          <w:pgMar w:header="715" w:footer="957" w:top="1240" w:bottom="1140" w:left="1140" w:right="0"/>
        </w:sectPr>
      </w:pPr>
    </w:p>
    <w:p>
      <w:pPr>
        <w:pStyle w:val="BodyText"/>
        <w:spacing w:before="9"/>
        <w:rPr>
          <w:sz w:val="19"/>
        </w:rPr>
      </w:pPr>
    </w:p>
    <w:p>
      <w:pPr>
        <w:spacing w:line="276" w:lineRule="auto" w:before="0"/>
        <w:ind w:left="1762" w:right="0" w:hanging="833"/>
        <w:jc w:val="left"/>
        <w:rPr>
          <w:b/>
          <w:sz w:val="20"/>
        </w:rPr>
      </w:pPr>
      <w:bookmarkStart w:name="_bookmark73" w:id="95"/>
      <w:bookmarkEnd w:id="95"/>
      <w:r>
        <w:rPr/>
      </w:r>
      <w:r>
        <w:rPr>
          <w:b/>
          <w:i/>
          <w:sz w:val="20"/>
        </w:rPr>
        <w:t>Gráfico 33. </w:t>
      </w:r>
      <w:r>
        <w:rPr>
          <w:b/>
          <w:sz w:val="20"/>
        </w:rPr>
        <w:t>Índice Encuesta de Expectativas Económicas a junio 2022</w:t>
      </w:r>
    </w:p>
    <w:p>
      <w:pPr>
        <w:pStyle w:val="BodyText"/>
        <w:spacing w:before="9"/>
        <w:rPr>
          <w:b/>
          <w:sz w:val="19"/>
        </w:rPr>
      </w:pPr>
      <w:r>
        <w:rPr/>
        <w:br w:type="column"/>
      </w:r>
      <w:r>
        <w:rPr>
          <w:b/>
          <w:sz w:val="19"/>
        </w:rPr>
      </w:r>
    </w:p>
    <w:p>
      <w:pPr>
        <w:spacing w:line="276" w:lineRule="auto" w:before="0"/>
        <w:ind w:left="2161" w:right="1801" w:hanging="1606"/>
        <w:jc w:val="left"/>
        <w:rPr>
          <w:b/>
          <w:sz w:val="20"/>
        </w:rPr>
      </w:pPr>
      <w:bookmarkStart w:name="_bookmark74" w:id="96"/>
      <w:bookmarkEnd w:id="96"/>
      <w:r>
        <w:rPr/>
      </w:r>
      <w:r>
        <w:rPr>
          <w:b/>
          <w:i/>
          <w:sz w:val="20"/>
        </w:rPr>
        <w:t>Gráfico 34. </w:t>
      </w:r>
      <w:r>
        <w:rPr>
          <w:b/>
          <w:sz w:val="20"/>
        </w:rPr>
        <w:t>Índice de rigor OXFORD a junio de 2022</w:t>
      </w:r>
    </w:p>
    <w:p>
      <w:pPr>
        <w:spacing w:after="0" w:line="276" w:lineRule="auto"/>
        <w:jc w:val="left"/>
        <w:rPr>
          <w:sz w:val="20"/>
        </w:rPr>
        <w:sectPr>
          <w:type w:val="continuous"/>
          <w:pgSz w:w="12240" w:h="15840"/>
          <w:pgMar w:top="1500" w:bottom="280" w:left="1140" w:right="0"/>
          <w:cols w:num="2" w:equalWidth="0">
            <w:col w:w="4713" w:space="40"/>
            <w:col w:w="6347"/>
          </w:cols>
        </w:sectPr>
      </w:pPr>
    </w:p>
    <w:p>
      <w:pPr>
        <w:pStyle w:val="BodyText"/>
        <w:spacing w:before="8"/>
        <w:rPr>
          <w:b/>
          <w:sz w:val="14"/>
        </w:rPr>
      </w:pPr>
    </w:p>
    <w:p>
      <w:pPr>
        <w:tabs>
          <w:tab w:pos="7081" w:val="left" w:leader="none"/>
          <w:tab w:pos="7876" w:val="left" w:leader="none"/>
          <w:tab w:pos="8757" w:val="left" w:leader="none"/>
        </w:tabs>
        <w:spacing w:before="0"/>
        <w:ind w:left="6170" w:right="0" w:firstLine="0"/>
        <w:jc w:val="left"/>
        <w:rPr>
          <w:sz w:val="14"/>
        </w:rPr>
      </w:pPr>
      <w:r>
        <w:rPr/>
        <w:pict>
          <v:group style="position:absolute;margin-left:112.129997pt;margin-top:2.475186pt;width:195.05pt;height:115.6pt;mso-position-horizontal-relative:page;mso-position-vertical-relative:paragraph;z-index:252126208" coordorigin="2243,50" coordsize="3901,2312">
            <v:line style="position:absolute" from="2606,2286" to="2606,50" stroked="true" strokeweight=".48pt" strokecolor="#888888">
              <v:stroke dashstyle="solid"/>
            </v:line>
            <v:shape style="position:absolute;left:0;top:9443;width:41;height:2084" coordorigin="0,9443" coordsize="41,2084" path="m2566,2286l2606,2286m2566,1869l2606,1869m2566,1454l2606,1454m2566,1036l2606,1036m2566,621l2606,621m2566,203l2606,203e" filled="false" stroked="true" strokeweight=".48pt" strokecolor="#888888">
              <v:path arrowok="t"/>
              <v:stroke dashstyle="solid"/>
            </v:shape>
            <v:line style="position:absolute" from="2605,2285" to="6080,2285" stroked="true" strokeweight="2.04pt" strokecolor="#000000">
              <v:stroke dashstyle="solid"/>
            </v:line>
            <v:shape style="position:absolute;left:2584;top:2306;width:3377;height:2" coordorigin="2585,2307" coordsize="3377,0" path="m2585,2307l2626,2307m2863,2307l2904,2307m3142,2307l3182,2307m3420,2307l3461,2307m3698,2307l3739,2307m3974,2307l4015,2307m4253,2307l4294,2307m4531,2307l4572,2307m4810,2307l4850,2307m5088,2307l5129,2307m5364,2307l5405,2307m5642,2307l5683,2307m5921,2307l5962,2307e" filled="false" stroked="true" strokeweight="2.16pt" strokecolor="#000000">
              <v:path arrowok="t"/>
              <v:stroke dashstyle="solid"/>
            </v:shape>
            <v:shape style="position:absolute;left:2674;top:257;width:3336;height:1822" coordorigin="2675,257" coordsize="3336,1822" path="m2675,2079l2814,1983,2953,1599,3092,1371,3232,1419,3371,1553,3510,1520,3649,1462,3788,1212,3925,1203,4064,562,4204,533,4343,425,4482,663,4621,704,4760,682,4900,692,5039,346,5178,312,5317,257,5454,478,5593,634,5732,653,5872,908,6011,1344e" filled="false" stroked="true" strokeweight="1.56pt" strokecolor="#008000">
              <v:path arrowok="t"/>
              <v:stroke dashstyle="solid"/>
            </v:shape>
            <v:shape style="position:absolute;left:2242;top:123;width:265;height:1404" type="#_x0000_t202" filled="false" stroked="false">
              <v:textbox inset="0,0,0,0">
                <w:txbxContent>
                  <w:p>
                    <w:pPr>
                      <w:spacing w:line="154" w:lineRule="exact" w:before="0"/>
                      <w:ind w:left="0" w:right="0" w:firstLine="0"/>
                      <w:jc w:val="left"/>
                      <w:rPr>
                        <w:sz w:val="14"/>
                      </w:rPr>
                    </w:pPr>
                    <w:r>
                      <w:rPr>
                        <w:sz w:val="14"/>
                      </w:rPr>
                      <w:t>81.4</w:t>
                    </w:r>
                  </w:p>
                  <w:p>
                    <w:pPr>
                      <w:spacing w:line="240" w:lineRule="auto" w:before="0"/>
                      <w:rPr>
                        <w:sz w:val="14"/>
                      </w:rPr>
                    </w:pPr>
                  </w:p>
                  <w:p>
                    <w:pPr>
                      <w:spacing w:before="94"/>
                      <w:ind w:left="0" w:right="0" w:firstLine="0"/>
                      <w:jc w:val="left"/>
                      <w:rPr>
                        <w:sz w:val="14"/>
                      </w:rPr>
                    </w:pPr>
                    <w:r>
                      <w:rPr>
                        <w:sz w:val="14"/>
                      </w:rPr>
                      <w:t>71.4</w:t>
                    </w:r>
                  </w:p>
                  <w:p>
                    <w:pPr>
                      <w:spacing w:line="240" w:lineRule="auto" w:before="0"/>
                      <w:rPr>
                        <w:sz w:val="14"/>
                      </w:rPr>
                    </w:pPr>
                  </w:p>
                  <w:p>
                    <w:pPr>
                      <w:spacing w:before="95"/>
                      <w:ind w:left="0" w:right="0" w:firstLine="0"/>
                      <w:jc w:val="left"/>
                      <w:rPr>
                        <w:sz w:val="14"/>
                      </w:rPr>
                    </w:pPr>
                    <w:r>
                      <w:rPr>
                        <w:sz w:val="14"/>
                      </w:rPr>
                      <w:t>61.4</w:t>
                    </w:r>
                  </w:p>
                  <w:p>
                    <w:pPr>
                      <w:spacing w:line="240" w:lineRule="auto" w:before="0"/>
                      <w:rPr>
                        <w:sz w:val="14"/>
                      </w:rPr>
                    </w:pPr>
                  </w:p>
                  <w:p>
                    <w:pPr>
                      <w:spacing w:before="94"/>
                      <w:ind w:left="0" w:right="0" w:firstLine="0"/>
                      <w:jc w:val="left"/>
                      <w:rPr>
                        <w:sz w:val="14"/>
                      </w:rPr>
                    </w:pPr>
                    <w:r>
                      <w:rPr>
                        <w:sz w:val="14"/>
                      </w:rPr>
                      <w:t>51.4</w:t>
                    </w:r>
                  </w:p>
                </w:txbxContent>
              </v:textbox>
              <w10:wrap type="none"/>
            </v:shape>
            <v:shape style="position:absolute;left:5805;top:1424;width:338;height:200" type="#_x0000_t202" filled="false" stroked="false">
              <v:textbox inset="0,0,0,0">
                <w:txbxContent>
                  <w:p>
                    <w:pPr>
                      <w:spacing w:line="199" w:lineRule="exact" w:before="0"/>
                      <w:ind w:left="0" w:right="0" w:firstLine="0"/>
                      <w:jc w:val="left"/>
                      <w:rPr>
                        <w:b/>
                        <w:sz w:val="18"/>
                      </w:rPr>
                    </w:pPr>
                    <w:r>
                      <w:rPr>
                        <w:b/>
                        <w:sz w:val="18"/>
                      </w:rPr>
                      <w:t>54.0</w:t>
                    </w:r>
                  </w:p>
                </w:txbxContent>
              </v:textbox>
              <w10:wrap type="none"/>
            </v:shape>
            <v:shape style="position:absolute;left:2242;top:1789;width:265;height:571" type="#_x0000_t202" filled="false" stroked="false">
              <v:textbox inset="0,0,0,0">
                <w:txbxContent>
                  <w:p>
                    <w:pPr>
                      <w:spacing w:line="154" w:lineRule="exact" w:before="0"/>
                      <w:ind w:left="0" w:right="0" w:firstLine="0"/>
                      <w:jc w:val="left"/>
                      <w:rPr>
                        <w:sz w:val="14"/>
                      </w:rPr>
                    </w:pPr>
                    <w:r>
                      <w:rPr>
                        <w:sz w:val="14"/>
                      </w:rPr>
                      <w:t>41.4</w:t>
                    </w:r>
                  </w:p>
                  <w:p>
                    <w:pPr>
                      <w:spacing w:line="240" w:lineRule="auto" w:before="0"/>
                      <w:rPr>
                        <w:sz w:val="14"/>
                      </w:rPr>
                    </w:pPr>
                  </w:p>
                  <w:p>
                    <w:pPr>
                      <w:spacing w:before="94"/>
                      <w:ind w:left="0" w:right="0" w:firstLine="0"/>
                      <w:jc w:val="left"/>
                      <w:rPr>
                        <w:sz w:val="14"/>
                      </w:rPr>
                    </w:pPr>
                    <w:r>
                      <w:rPr>
                        <w:sz w:val="14"/>
                      </w:rPr>
                      <w:t>31.4</w:t>
                    </w:r>
                  </w:p>
                </w:txbxContent>
              </v:textbox>
              <w10:wrap type="none"/>
            </v:shape>
            <w10:wrap type="none"/>
          </v:group>
        </w:pict>
      </w:r>
      <w:r>
        <w:rPr/>
        <w:pict>
          <v:line style="position:absolute;mso-position-horizontal-relative:page;mso-position-vertical-relative:paragraph;z-index:252129280" from="344.220001pt,4.335186pt" to="363.420001pt,4.335186pt" stroked="true" strokeweight="1.56pt" strokecolor="#5b9bd4">
            <v:stroke dashstyle="solid"/>
            <w10:wrap type="none"/>
          </v:line>
        </w:pict>
      </w:r>
      <w:r>
        <w:rPr/>
        <w:pict>
          <v:line style="position:absolute;mso-position-horizontal-relative:page;mso-position-vertical-relative:paragraph;z-index:-281189376" from="389.820007pt,4.335186pt" to="409.020007pt,4.335186pt" stroked="true" strokeweight="1.56pt" strokecolor="#ec7c30">
            <v:stroke dashstyle="solid"/>
            <w10:wrap type="none"/>
          </v:line>
        </w:pict>
      </w:r>
      <w:r>
        <w:rPr/>
        <w:pict>
          <v:line style="position:absolute;mso-position-horizontal-relative:page;mso-position-vertical-relative:paragraph;z-index:-281188352" from="429.540009pt,4.335186pt" to="448.740009pt,4.335186pt" stroked="true" strokeweight="1.56pt" strokecolor="#a4a4a4">
            <v:stroke dashstyle="solid"/>
            <w10:wrap type="none"/>
          </v:line>
        </w:pict>
      </w:r>
      <w:r>
        <w:rPr/>
        <w:pict>
          <v:line style="position:absolute;mso-position-horizontal-relative:page;mso-position-vertical-relative:paragraph;z-index:-281187328" from="473.579987pt,4.335186pt" to="492.779987pt,4.335186pt" stroked="true" strokeweight="1.56pt" strokecolor="#ffc000">
            <v:stroke dashstyle="solid"/>
            <w10:wrap type="none"/>
          </v:line>
        </w:pict>
      </w:r>
      <w:r>
        <w:rPr>
          <w:sz w:val="14"/>
        </w:rPr>
        <w:t>GTM</w:t>
        <w:tab/>
        <w:t>CA</w:t>
        <w:tab/>
        <w:t>USA</w:t>
        <w:tab/>
        <w:t>CHN</w:t>
      </w:r>
    </w:p>
    <w:p>
      <w:pPr>
        <w:pStyle w:val="BodyText"/>
        <w:spacing w:before="3"/>
        <w:rPr>
          <w:sz w:val="23"/>
        </w:rPr>
      </w:pPr>
    </w:p>
    <w:p>
      <w:pPr>
        <w:spacing w:before="93"/>
        <w:ind w:left="0" w:right="5461" w:firstLine="0"/>
        <w:jc w:val="right"/>
        <w:rPr>
          <w:sz w:val="14"/>
        </w:rPr>
      </w:pPr>
      <w:r>
        <w:rPr/>
        <w:pict>
          <v:group style="position:absolute;margin-left:342.839996pt;margin-top:5.185127pt;width:175.4pt;height:82.4pt;mso-position-horizontal-relative:page;mso-position-vertical-relative:paragraph;z-index:252128256" coordorigin="6857,104" coordsize="3508,1648">
            <v:line style="position:absolute" from="6898,1709" to="6898,104" stroked="true" strokeweight=".48pt" strokecolor="#888888">
              <v:stroke dashstyle="solid"/>
            </v:line>
            <v:shape style="position:absolute;left:0;top:9569;width:41;height:1529" coordorigin="0,9569" coordsize="41,1529" path="m6857,1709l6898,1709m6857,1402l6898,1402m6857,1097l6898,1097m6857,793l6898,793m6857,485l6898,485m6857,181l6898,181e" filled="false" stroked="true" strokeweight=".48pt" strokecolor="#888888">
              <v:path arrowok="t"/>
              <v:stroke dashstyle="solid"/>
            </v:shape>
            <v:line style="position:absolute" from="6896,1708" to="10336,1708" stroked="true" strokeweight="2.04pt" strokecolor="#000000">
              <v:stroke dashstyle="solid"/>
            </v:line>
            <v:shape style="position:absolute;left:6876;top:1729;width:3363;height:2" coordorigin="6876,1730" coordsize="3363,0" path="m6876,1730l6917,1730m7114,1730l7154,1730m7351,1730l7392,1730m7589,1730l7630,1730m7826,1730l7867,1730m8062,1730l8102,1730m8299,1730l8340,1730m8537,1730l8578,1730m8774,1730l8815,1730m9012,1730l9053,1730m9247,1730l9288,1730m9485,1730l9526,1730m9722,1730l9763,1730m9960,1730l10001,1730m10198,1730l10238,1730e" filled="false" stroked="true" strokeweight="2.16pt" strokecolor="#000000">
              <v:path arrowok="t"/>
              <v:stroke dashstyle="solid"/>
            </v:shape>
            <v:shape style="position:absolute;left:6956;top:236;width:3393;height:1304" coordorigin="6956,237" coordsize="3393,1304" path="m6956,1540l7074,278,7194,237,7312,237,7432,237,7549,379,7667,379,7787,676,7904,952,8024,952,8142,909,8262,923,8380,902,8497,873,8617,916,8735,916,8855,916,8972,902,9090,698,9210,698,9328,993,9448,909,9565,796,9683,947,9803,808,9920,1101,10040,993,10158,1051,10276,993,10349,1019e" filled="false" stroked="true" strokeweight="1.56pt" strokecolor="#5b9bd4">
              <v:path arrowok="t"/>
              <v:stroke dashstyle="solid"/>
            </v:shape>
            <v:shape style="position:absolute;left:6956;top:460;width:3393;height:1222" coordorigin="6956,460" coordsize="3393,1222" path="m6956,1682l7074,563,7194,460,7312,494,7432,542,7549,568,7667,681,7787,791,7904,921,8024,943,8142,861,8262,851,8380,892,8497,904,8617,938,8735,962,8855,1003,8972,967,9090,940,9210,928,9328,1048,9448,1048,9565,1067,9683,1192,9803,1204,9920,1259,10040,1324,10158,1322,10276,1310,10349,1314e" filled="false" stroked="true" strokeweight="1.56pt" strokecolor="#ec7c30">
              <v:path arrowok="t"/>
              <v:stroke dashstyle="solid"/>
            </v:shape>
            <v:shape style="position:absolute;left:6956;top:556;width:3393;height:1068" coordorigin="6956,556" coordsize="3393,1068" path="m6956,1624l7074,597,7194,597,7312,597,7432,655,7549,683,7667,683,7787,753,7904,753,8024,556,8142,611,8262,611,8380,669,8497,861,8617,868,8735,851,8855,808,8972,995,9090,844,9210,909,9328,911,9448,964,9565,979,9683,1010,9803,1139,9920,1252,10040,1281,10158,1303,10276,1305,10349,1333e" filled="false" stroked="true" strokeweight="1.56pt" strokecolor="#a4a4a4">
              <v:path arrowok="t"/>
              <v:stroke dashstyle="solid"/>
            </v:shape>
            <v:shape style="position:absolute;left:6956;top:455;width:3393;height:490" coordorigin="6956,455" coordsize="3393,490" path="m6956,470l7074,583,7194,839,7312,455,7432,513,7549,513,7667,513,7787,880,7904,739,8024,455,8142,513,8262,513,8380,767,8497,945,8617,513,8735,698,8855,568,8972,626,9090,626,9210,542,9328,626,9448,626,9565,499,9683,724,9803,799,9920,583,10040,499,10158,499,10276,499,10349,550e" filled="false" stroked="true" strokeweight="1.56pt" strokecolor="#ffc000">
              <v:path arrowok="t"/>
              <v:stroke dashstyle="solid"/>
            </v:shape>
            <w10:wrap type="none"/>
          </v:group>
        </w:pict>
      </w:r>
      <w:r>
        <w:rPr>
          <w:w w:val="95"/>
          <w:sz w:val="14"/>
        </w:rPr>
        <w:t>100</w:t>
      </w:r>
    </w:p>
    <w:p>
      <w:pPr>
        <w:pStyle w:val="BodyText"/>
        <w:spacing w:before="7"/>
        <w:rPr>
          <w:sz w:val="12"/>
        </w:rPr>
      </w:pPr>
    </w:p>
    <w:p>
      <w:pPr>
        <w:spacing w:before="0"/>
        <w:ind w:left="0" w:right="5459" w:firstLine="0"/>
        <w:jc w:val="right"/>
        <w:rPr>
          <w:sz w:val="14"/>
        </w:rPr>
      </w:pPr>
      <w:r>
        <w:rPr/>
        <w:pict>
          <v:shape style="position:absolute;margin-left:100.337852pt;margin-top:6.765221pt;width:9.75pt;height:20.55pt;mso-position-horizontal-relative:page;mso-position-vertical-relative:paragraph;z-index:252133376" type="#_x0000_t202" filled="false" stroked="false">
            <v:textbox inset="0,0,0,0" style="layout-flow:vertical;mso-layout-flow-alt:bottom-to-top">
              <w:txbxContent>
                <w:p>
                  <w:pPr>
                    <w:spacing w:before="13"/>
                    <w:ind w:left="20" w:right="0" w:firstLine="0"/>
                    <w:jc w:val="left"/>
                    <w:rPr>
                      <w:b/>
                      <w:sz w:val="14"/>
                    </w:rPr>
                  </w:pPr>
                  <w:r>
                    <w:rPr>
                      <w:b/>
                      <w:sz w:val="14"/>
                    </w:rPr>
                    <w:t>Indice</w:t>
                  </w:r>
                </w:p>
              </w:txbxContent>
            </v:textbox>
            <w10:wrap type="none"/>
          </v:shape>
        </w:pict>
      </w:r>
      <w:r>
        <w:rPr>
          <w:spacing w:val="-1"/>
          <w:sz w:val="14"/>
        </w:rPr>
        <w:t>80</w:t>
      </w:r>
    </w:p>
    <w:p>
      <w:pPr>
        <w:pStyle w:val="BodyText"/>
        <w:spacing w:before="7"/>
        <w:rPr>
          <w:sz w:val="12"/>
        </w:rPr>
      </w:pPr>
    </w:p>
    <w:p>
      <w:pPr>
        <w:spacing w:before="0"/>
        <w:ind w:left="0" w:right="5459" w:firstLine="0"/>
        <w:jc w:val="right"/>
        <w:rPr>
          <w:sz w:val="14"/>
        </w:rPr>
      </w:pPr>
      <w:r>
        <w:rPr/>
        <w:pict>
          <v:shape style="position:absolute;margin-left:316.697845pt;margin-top:-.194757pt;width:9.75pt;height:20.55pt;mso-position-horizontal-relative:page;mso-position-vertical-relative:paragraph;z-index:252134400" type="#_x0000_t202" filled="false" stroked="false">
            <v:textbox inset="0,0,0,0" style="layout-flow:vertical;mso-layout-flow-alt:bottom-to-top">
              <w:txbxContent>
                <w:p>
                  <w:pPr>
                    <w:spacing w:before="13"/>
                    <w:ind w:left="20" w:right="0" w:firstLine="0"/>
                    <w:jc w:val="left"/>
                    <w:rPr>
                      <w:b/>
                      <w:sz w:val="14"/>
                    </w:rPr>
                  </w:pPr>
                  <w:r>
                    <w:rPr>
                      <w:b/>
                      <w:sz w:val="14"/>
                    </w:rPr>
                    <w:t>Indice</w:t>
                  </w:r>
                </w:p>
              </w:txbxContent>
            </v:textbox>
            <w10:wrap type="none"/>
          </v:shape>
        </w:pict>
      </w:r>
      <w:r>
        <w:rPr>
          <w:spacing w:val="-1"/>
          <w:sz w:val="14"/>
        </w:rPr>
        <w:t>60</w:t>
      </w:r>
    </w:p>
    <w:p>
      <w:pPr>
        <w:pStyle w:val="BodyText"/>
        <w:spacing w:before="7"/>
        <w:rPr>
          <w:sz w:val="12"/>
        </w:rPr>
      </w:pPr>
    </w:p>
    <w:p>
      <w:pPr>
        <w:spacing w:before="0"/>
        <w:ind w:left="0" w:right="5459" w:firstLine="0"/>
        <w:jc w:val="right"/>
        <w:rPr>
          <w:sz w:val="14"/>
        </w:rPr>
      </w:pPr>
      <w:r>
        <w:rPr>
          <w:spacing w:val="-1"/>
          <w:sz w:val="14"/>
        </w:rPr>
        <w:t>40</w:t>
      </w:r>
    </w:p>
    <w:p>
      <w:pPr>
        <w:pStyle w:val="BodyText"/>
        <w:spacing w:before="7"/>
        <w:rPr>
          <w:sz w:val="12"/>
        </w:rPr>
      </w:pPr>
    </w:p>
    <w:p>
      <w:pPr>
        <w:spacing w:before="0"/>
        <w:ind w:left="0" w:right="5459" w:firstLine="0"/>
        <w:jc w:val="right"/>
        <w:rPr>
          <w:sz w:val="14"/>
        </w:rPr>
      </w:pPr>
      <w:r>
        <w:rPr>
          <w:spacing w:val="-1"/>
          <w:sz w:val="14"/>
        </w:rPr>
        <w:t>20</w:t>
      </w:r>
    </w:p>
    <w:p>
      <w:pPr>
        <w:pStyle w:val="BodyText"/>
        <w:spacing w:before="7"/>
        <w:rPr>
          <w:sz w:val="12"/>
        </w:rPr>
      </w:pPr>
    </w:p>
    <w:p>
      <w:pPr>
        <w:spacing w:before="0"/>
        <w:ind w:left="0" w:right="5460" w:firstLine="0"/>
        <w:jc w:val="right"/>
        <w:rPr>
          <w:sz w:val="14"/>
        </w:rPr>
      </w:pPr>
      <w:r>
        <w:rPr/>
        <w:pict>
          <v:shape style="position:absolute;margin-left:116.520004pt;margin-top:17.945145pt;width:185.25pt;height:18.25pt;mso-position-horizontal-relative:page;mso-position-vertical-relative:paragraph;z-index:252127232" coordorigin="2330,359" coordsize="3705,365" path="m2412,695l2411,689,2408,681,2405,674,2405,699,2405,703,2404,707,2403,709,2398,715,2393,715,2386,711,2378,709,2370,703,2356,687,2350,681,2345,675,2341,669,2338,663,2338,657,2337,655,2338,651,2341,649,2342,647,2347,647,2350,645,2354,647,2359,649,2366,653,2373,659,2380,665,2390,675,2397,685,2404,695,2405,699,2405,674,2405,673,2399,665,2392,659,2381,647,2377,645,2370,641,2358,641,2349,639,2342,641,2334,649,2332,653,2332,659,2330,665,2332,671,2335,679,2338,687,2343,695,2350,701,2359,711,2368,715,2378,719,2390,721,2398,721,2405,715,2408,711,2410,707,2412,695m2463,651l2462,641,2461,633,2457,627,2457,626,2457,653,2456,657,2453,661,2451,663,2448,665,2440,665,2436,663,2426,659,2422,655,2417,649,2413,645,2410,641,2411,637,2412,633,2413,631,2413,629,2414,629,2420,623,2425,621,2437,625,2443,629,2448,635,2453,639,2456,645,2457,653,2457,626,2452,621,2446,615,2440,613,2433,611,2426,611,2421,613,2416,619,2411,623,2408,629,2407,637,2404,631,2401,625,2400,621,2398,617,2398,613,2398,601,2398,597,2401,589,2404,583,2408,579,2406,577,2400,583,2397,589,2392,599,2390,605,2390,611,2390,617,2390,623,2391,631,2394,639,2397,645,2401,653,2416,667,2427,671,2444,671,2450,669,2454,665,2461,659,2463,651m2488,591l2481,585,2456,609,2463,617,2488,591m2552,565l2544,547,2542,549,2543,551,2543,553,2543,555,2542,557,2542,559,2540,561,2539,563,2537,565,2517,585,2516,573,2516,553,2515,543,2514,535,2511,527,2509,521,2507,517,2503,515,2499,509,2493,507,2479,507,2473,511,2468,517,2463,521,2460,527,2460,529,2460,539,2462,547,2467,553,2469,551,2467,547,2466,541,2467,537,2467,533,2469,529,2476,523,2480,521,2491,521,2495,523,2505,533,2509,541,2510,551,2512,561,2512,573,2512,591,2512,601,2514,603,2532,585,2552,565m2593,513l2592,507,2587,492,2587,519,2586,525,2585,527,2580,533,2575,533,2568,531,2560,527,2552,521,2543,511,2537,507,2532,501,2527,493,2522,487,2520,481,2519,477,2519,473,2520,469,2522,467,2524,465,2536,465,2541,467,2547,471,2554,477,2572,495,2579,503,2585,515,2587,519,2587,492,2586,491,2581,485,2573,477,2562,467,2560,465,2551,459,2540,459,2531,457,2524,459,2516,467,2514,471,2513,477,2512,483,2513,489,2519,505,2525,513,2532,519,2541,529,2550,535,2560,537,2571,541,2580,539,2586,533,2589,529,2591,525,2593,513m2650,467l2642,449,2641,451,2641,453,2641,455,2641,457,2641,459,2640,461,2639,463,2638,463,2635,467,2615,487,2615,469,2614,459,2614,445,2612,435,2607,423,2605,419,2597,411,2591,409,2577,409,2571,413,2566,417,2561,423,2558,429,2558,441,2561,447,2566,455,2568,453,2565,447,2564,443,2566,435,2568,431,2574,423,2589,423,2594,425,2598,429,2603,435,2607,443,2609,453,2610,463,2611,473,2611,489,2610,503,2612,505,2630,487,2650,467m2690,695l2689,689,2686,681,2683,674,2683,699,2683,703,2682,707,2681,709,2676,715,2671,715,2664,711,2656,709,2648,703,2639,693,2633,687,2628,681,2619,669,2616,663,2616,657,2615,655,2616,651,2620,647,2625,647,2628,645,2632,647,2637,649,2644,653,2651,659,2668,675,2679,691,2682,695,2683,699,2683,674,2682,673,2677,665,2670,659,2659,647,2655,645,2648,641,2636,641,2627,639,2620,641,2615,647,2612,649,2610,653,2610,659,2608,665,2609,671,2613,679,2616,687,2621,695,2628,701,2637,711,2646,715,2656,719,2667,721,2676,721,2682,715,2686,711,2688,707,2690,695m2692,415l2691,409,2688,401,2685,394,2685,419,2685,423,2684,427,2683,429,2682,431,2678,435,2673,435,2666,431,2659,429,2650,423,2641,413,2636,407,2630,401,2625,395,2621,389,2618,383,2618,377,2617,375,2618,371,2621,369,2622,367,2627,367,2630,365,2634,367,2639,369,2646,373,2653,379,2660,385,2670,395,2677,405,2684,415,2685,419,2685,394,2685,393,2679,385,2661,367,2657,365,2650,361,2639,361,2629,359,2622,361,2617,365,2614,369,2612,373,2611,385,2612,391,2615,399,2618,407,2623,415,2630,421,2639,431,2648,435,2658,439,2670,441,2678,441,2685,435,2688,431,2690,427,2692,415m2741,639l2740,635,2739,633,2736,630,2736,647,2736,653,2735,655,2734,657,2727,665,2723,667,2713,667,2709,663,2701,657,2699,653,2696,645,2696,643,2696,637,2696,635,2718,635,2727,637,2729,637,2734,643,2736,647,2736,630,2731,625,2726,623,2720,623,2716,621,2709,623,2699,623,2701,615,2702,609,2700,599,2698,595,2696,593,2695,592,2695,617,2695,623,2680,625,2674,625,2672,623,2669,623,2667,621,2663,617,2662,615,2662,607,2664,603,2667,599,2674,595,2682,595,2685,597,2689,599,2691,603,2693,605,2694,609,2695,611,2695,617,2695,592,2692,589,2675,589,2670,591,2659,603,2656,609,2656,621,2658,627,2662,631,2665,633,2668,635,2672,637,2692,637,2691,645,2691,651,2692,655,2693,661,2694,665,2697,667,2701,671,2706,673,2719,673,2726,671,2730,667,2738,659,2741,653,2741,639m2766,591l2759,585,2734,609,2741,617,2766,591m2830,565l2822,547,2820,549,2821,551,2821,553,2820,557,2820,559,2817,563,2815,565,2795,585,2795,581,2794,571,2794,557,2793,543,2792,535,2789,527,2787,521,2784,517,2781,515,2777,509,2771,507,2757,507,2751,511,2745,517,2741,521,2738,527,2738,539,2740,547,2745,553,2747,551,2745,547,2744,541,2744,537,2745,533,2747,529,2750,525,2754,523,2758,521,2769,521,2773,523,2783,533,2786,541,2788,551,2790,561,2790,571,2790,589,2790,601,2792,603,2810,585,2830,565m2871,513l2870,507,2867,499,2865,492,2865,519,2864,521,2864,525,2863,527,2858,533,2852,533,2846,531,2838,527,2830,521,2821,511,2815,507,2810,501,2805,493,2800,487,2798,481,2797,473,2798,469,2800,467,2802,465,2814,465,2819,467,2825,471,2832,477,2850,495,2857,503,2861,509,2863,515,2865,519,2865,492,2864,491,2859,485,2840,467,2838,465,2829,459,2818,459,2809,457,2802,459,2797,465,2794,467,2792,471,2790,483,2791,489,2794,497,2797,505,2803,513,2810,519,2819,529,2828,535,2838,537,2849,541,2858,539,2864,533,2867,529,2869,525,2870,519,2871,513m2928,467l2920,449,2919,451,2919,453,2919,455,2919,457,2919,459,2918,461,2917,463,2916,463,2913,467,2893,487,2893,473,2892,457,2892,445,2890,435,2885,423,2883,419,2880,415,2875,411,2869,409,2855,409,2849,413,2844,417,2839,423,2836,429,2836,441,2839,447,2844,455,2846,453,2843,447,2842,443,2843,439,2844,435,2846,431,2849,427,2852,423,2867,423,2872,425,2881,435,2885,443,2887,453,2888,463,2888,471,2889,491,2888,503,2890,505,2908,487,2928,467m2970,415l2969,409,2966,401,2963,394,2963,419,2963,423,2962,427,2961,429,2956,435,2951,435,2944,431,2936,429,2928,423,2919,413,2913,407,2908,401,2899,389,2896,383,2896,377,2895,375,2896,371,2898,369,2900,367,2905,367,2908,365,2912,367,2917,369,2924,373,2931,379,2948,395,2959,411,2962,415,2963,419,2963,394,2962,393,2957,385,2939,367,2935,365,2928,361,2916,361,2907,359,2900,361,2892,369,2890,373,2890,379,2888,385,2889,391,2896,407,2901,415,2908,421,2917,431,2926,435,2936,439,2947,441,2956,441,2962,435,2966,431,2968,427,2970,415m2972,700l2970,698,2967,702,2965,704,2959,704,2956,700,2952,698,2915,660,2897,642,2896,644,2888,668,2890,668,2891,664,2892,662,2894,660,2899,660,2900,662,2901,662,2905,666,2945,704,2948,710,2951,712,2951,712,2951,714,2951,718,2946,724,2948,724,2968,704,2972,700m3017,646l3016,640,3013,632,3010,625,3010,650,3010,654,3010,658,3009,660,3003,666,2998,666,2991,662,2984,660,2975,654,2966,644,2961,638,2955,632,2946,620,2943,614,2943,608,2942,606,2943,602,2946,600,2947,598,2952,598,2955,596,2959,598,2964,600,2971,604,2978,610,2995,626,3002,636,3006,642,3009,646,3010,650,3010,625,3010,624,3004,616,2986,598,2982,596,2975,592,2964,592,2955,590,2947,592,2942,596,2939,600,2937,604,2936,616,2937,622,2940,630,2943,638,2948,646,2956,652,2964,662,2973,666,2983,670,2995,674,3003,672,3010,666,3013,662,3015,658,3017,646m3044,592l3037,584,3012,610,3019,616,3044,592m3108,564l3100,548,3098,550,3099,552,3099,554,3098,558,3097,560,3096,560,3095,562,3093,566,3089,568,3072,586,3072,568,3071,544,3069,534,3067,528,3065,522,3064,520,3062,518,3059,514,3054,510,3049,508,3035,508,3029,510,3018,522,3016,526,3016,540,3018,546,3023,554,3025,552,3023,546,3022,542,3023,532,3025,530,3028,526,3032,522,3036,520,3046,520,3051,524,3055,528,3061,532,3064,540,3066,552,3067,562,3068,568,3068,590,3068,602,3069,604,3087,586,3108,564m3149,514l3148,508,3145,500,3143,493,3143,518,3142,522,3142,526,3141,528,3139,530,3136,534,3130,534,3124,530,3116,528,3108,520,3099,512,3093,506,3088,500,3078,488,3075,482,3075,476,3075,472,3076,470,3078,468,3080,466,3082,464,3088,464,3092,466,3097,468,3103,472,3110,478,3118,484,3128,494,3135,502,3139,510,3141,514,3143,518,3143,493,3142,492,3137,484,3129,478,3118,466,3115,464,3107,460,3096,458,3087,458,3080,460,3072,468,3070,472,3068,484,3069,490,3072,498,3075,506,3080,512,3088,520,3097,528,3106,534,3116,538,3127,540,3136,538,3140,534,3142,532,3145,530,3147,526,3149,514m3206,466l3198,450,3197,450,3197,454,3197,456,3197,460,3196,460,3194,464,3191,466,3188,470,3171,488,3171,470,3170,446,3168,436,3163,424,3162,422,3161,420,3158,416,3153,412,3147,410,3133,410,3127,412,3122,418,3117,422,3114,428,3114,442,3117,448,3122,454,3123,452,3121,448,3120,444,3121,438,3122,434,3123,430,3130,424,3135,422,3145,422,3150,424,3159,434,3163,442,3165,454,3166,464,3166,472,3167,492,3166,502,3168,504,3184,488,3206,466m3248,416l3247,408,3243,402,3241,395,3241,420,3240,426,3239,430,3238,432,3234,434,3229,436,3222,432,3214,428,3206,422,3197,414,3191,408,3186,402,3176,388,3174,384,3174,378,3173,374,3174,372,3176,370,3178,368,3180,366,3186,366,3190,368,3195,370,3202,374,3209,378,3226,396,3233,404,3237,412,3240,416,3241,420,3241,395,3240,394,3235,386,3217,368,3213,366,3206,362,3194,360,3185,360,3178,362,3173,366,3170,370,3168,374,3166,384,3167,392,3171,400,3174,406,3179,414,3186,422,3195,430,3204,436,3214,438,3225,442,3234,440,3238,436,3240,434,3244,432,3246,426,3248,416m3250,700l3248,698,3245,702,3243,704,3236,704,3234,700,3194,660,3175,642,3174,644,3166,668,3168,668,3169,664,3170,662,3172,660,3176,660,3178,662,3179,662,3183,666,3187,670,3226,710,3229,712,3229,712,3229,714,3229,718,3227,720,3224,724,3226,724,3246,704,3250,700m3303,648l3295,630,3293,632,3294,634,3294,636,3293,638,3293,640,3292,642,3291,644,3290,646,3288,648,3267,668,3267,654,3267,640,3266,626,3264,618,3260,606,3258,604,3257,602,3249,594,3243,590,3230,592,3223,594,3218,600,3213,604,3211,610,3210,622,3213,630,3218,636,3220,634,3217,630,3217,624,3218,616,3220,612,3227,606,3231,604,3241,604,3246,606,3250,610,3255,616,3259,624,3262,644,3263,654,3263,670,3262,684,3264,686,3282,668,3303,648m3322,592l3314,584,3290,610,3297,616,3322,592m3386,564l3378,548,3376,550,3377,552,3377,556,3376,558,3375,560,3374,560,3373,562,3371,566,3350,586,3350,572,3350,554,3349,544,3347,534,3345,528,3343,522,3342,520,3340,518,3337,514,3332,510,3327,508,3313,508,3307,510,3301,516,3296,522,3294,526,3294,540,3296,546,3301,554,3303,552,3301,546,3300,542,3300,538,3301,532,3303,530,3310,522,3314,520,3324,520,3329,524,3339,532,3342,540,3344,552,3345,562,3346,572,3346,590,3346,602,3347,604,3365,586,3386,564m3427,514l3426,508,3420,493,3420,518,3420,522,3420,526,3419,528,3413,534,3408,534,3402,530,3394,528,3385,520,3376,512,3371,506,3366,500,3361,494,3356,488,3353,482,3353,476,3353,472,3354,470,3356,468,3358,466,3360,464,3366,464,3370,466,3375,468,3381,472,3388,478,3405,494,3413,502,3419,514,3420,518,3420,493,3420,492,3415,484,3407,478,3396,466,3393,464,3385,460,3374,458,3365,458,3358,460,3350,468,3348,472,3347,476,3346,484,3347,490,3353,506,3358,512,3366,520,3375,528,3384,534,3393,538,3405,540,3414,538,3418,534,3420,532,3423,530,3425,526,3427,514m3484,466l3476,450,3475,450,3475,452,3475,458,3475,460,3474,460,3473,462,3472,464,3469,466,3449,488,3449,470,3448,446,3446,436,3441,424,3440,422,3439,420,3431,412,3425,410,3411,410,3405,412,3400,418,3395,422,3392,428,3392,442,3394,448,3400,454,3401,452,3399,448,3398,444,3399,434,3401,430,3408,424,3412,422,3423,422,3428,424,3432,428,3437,434,3441,442,3443,454,3444,464,3444,472,3444,490,3444,502,3446,504,3462,488,3484,466m3524,695l3522,689,3519,681,3517,674,3517,699,3516,703,3516,707,3515,709,3510,715,3505,715,3498,711,3490,709,3482,703,3473,693,3467,687,3462,681,3452,669,3450,663,3449,657,3449,655,3450,651,3454,647,3459,647,3462,645,3466,647,3471,649,3477,653,3484,659,3502,675,3513,691,3516,695,3517,699,3517,674,3516,673,3511,665,3503,659,3493,647,3489,645,3482,641,3470,641,3461,639,3454,641,3449,647,3446,649,3444,653,3443,659,3442,665,3443,671,3446,679,3449,687,3455,695,3462,701,3471,711,3480,715,3490,719,3501,721,3510,721,3516,715,3519,711,3522,707,3524,695m3526,416l3525,408,3521,402,3519,395,3519,420,3519,424,3518,426,3517,430,3516,432,3512,434,3507,436,3500,432,3492,428,3484,422,3475,414,3469,408,3464,402,3459,396,3454,388,3452,384,3451,378,3451,374,3452,372,3454,370,3456,368,3458,366,3464,366,3468,368,3473,370,3479,374,3486,378,3494,386,3504,396,3511,404,3518,416,3519,420,3519,395,3518,394,3513,386,3495,368,3491,366,3484,362,3472,360,3463,360,3456,362,3451,366,3448,370,3446,374,3444,384,3445,392,3448,400,3452,406,3457,414,3464,422,3473,430,3482,436,3492,438,3503,442,3512,440,3516,436,3518,434,3522,432,3524,426,3526,416m3581,647l3573,631,3571,633,3571,635,3572,637,3571,639,3571,641,3570,643,3569,643,3568,645,3566,649,3545,669,3545,657,3544,637,3544,627,3542,617,3538,605,3536,603,3535,601,3532,597,3527,593,3521,591,3508,591,3501,593,3496,599,3491,603,3489,609,3489,613,3488,623,3491,629,3496,637,3498,635,3495,629,3494,625,3495,621,3496,615,3498,613,3501,609,3504,605,3509,603,3519,603,3524,607,3533,615,3537,623,3539,635,3540,645,3541,651,3541,673,3540,685,3542,685,3558,669,3581,647m3600,591l3592,585,3568,609,3575,617,3600,591m3664,565l3656,547,3654,549,3655,551,3655,553,3654,557,3653,559,3651,563,3649,565,3628,585,3629,581,3628,571,3628,557,3627,543,3625,535,3623,527,3621,521,3618,517,3615,515,3610,509,3605,507,3591,507,3585,511,3579,517,3574,521,3572,527,3571,539,3574,547,3579,553,3581,551,3578,547,3578,541,3578,537,3579,533,3581,529,3584,525,3588,523,3592,521,3602,521,3607,523,3617,533,3620,541,3622,551,3623,561,3624,571,3624,591,3624,601,3625,603,3644,585,3664,565m3705,513l3704,507,3701,499,3698,492,3698,519,3698,521,3698,525,3697,527,3691,533,3686,533,3680,531,3672,527,3663,521,3654,511,3649,507,3644,501,3639,493,3634,487,3631,481,3631,477,3631,473,3632,469,3634,467,3636,465,3648,465,3652,467,3659,471,3666,477,3683,495,3690,503,3694,509,3697,515,3698,519,3698,492,3698,491,3692,485,3674,467,3671,465,3663,459,3652,459,3643,457,3636,459,3631,465,3628,467,3626,471,3625,477,3624,483,3625,489,3628,497,3631,505,3636,513,3644,519,3653,529,3662,535,3671,537,3683,541,3692,539,3698,533,3701,529,3703,525,3704,519,3705,513m3762,467l3754,449,3752,451,3753,453,3753,455,3753,457,3753,459,3752,461,3751,463,3750,463,3747,467,3727,487,3727,473,3726,457,3725,445,3724,435,3719,423,3717,419,3713,415,3709,411,3703,409,3689,409,3683,413,3678,417,3673,423,3670,429,3670,441,3672,447,3678,455,3679,453,3677,447,3676,443,3677,439,3677,435,3679,431,3683,427,3686,423,3701,423,3705,425,3715,435,3719,443,3721,453,3722,463,3722,471,3722,491,3722,503,3724,505,3742,487,3762,467m3801,695l3800,689,3797,681,3795,675,3795,699,3794,703,3794,707,3793,709,3788,715,3783,715,3776,711,3768,709,3760,703,3751,693,3745,687,3740,681,3730,669,3728,663,3727,657,3727,655,3728,651,3730,649,3732,647,3737,647,3740,645,3744,647,3749,649,3755,653,3762,659,3780,675,3787,685,3791,691,3794,695,3795,699,3795,675,3794,673,3789,665,3781,659,3770,647,3767,645,3759,641,3748,641,3739,639,3732,641,3724,649,3722,653,3720,665,3721,671,3724,679,3727,687,3733,695,3740,701,3749,711,3758,715,3768,719,3779,721,3788,721,3794,715,3797,711,3799,707,3801,695m3808,421l3806,419,3803,421,3801,423,3794,423,3792,421,3751,379,3733,361,3732,363,3724,387,3726,387,3728,383,3729,381,3731,381,3733,379,3734,381,3737,381,3741,385,3784,429,3787,431,3787,433,3787,433,3787,435,3787,437,3785,439,3782,443,3784,445,3806,423,3808,421m3855,651l3845,641,3838,633,3844,627,3847,625,3840,619,3831,627,3823,619,3823,635,3800,657,3791,603,3823,635,3823,619,3807,603,3789,585,3783,589,3796,663,3802,669,3814,657,3830,641,3847,659,3855,651m3878,591l3870,585,3845,609,3853,617,3878,591m3942,565l3934,547,3932,549,3933,551,3933,553,3932,557,3931,559,3930,561,3929,563,3927,565,3923,569,3906,585,3906,569,3906,557,3905,543,3903,535,3900,527,3899,521,3896,517,3893,515,3888,509,3882,507,3869,507,3863,511,3852,521,3850,527,3849,539,3852,547,3857,553,3859,551,3856,547,3856,541,3857,533,3859,529,3862,525,3866,523,3870,521,3880,521,3885,523,3889,527,3895,533,3898,541,3900,551,3901,561,3902,569,3902,591,3901,601,3903,603,3921,585,3942,565m3983,513l3982,507,3979,499,3976,493,3976,519,3976,521,3976,525,3975,527,3973,529,3969,533,3964,533,3958,531,3950,527,3941,521,3932,511,3927,507,3922,501,3912,487,3909,481,3909,477,3909,473,3910,469,3912,467,3914,465,3926,465,3930,467,3937,471,3944,477,3951,485,3961,495,3968,503,3972,509,3975,515,3976,519,3976,493,3976,491,3970,485,3963,477,3952,467,3949,465,3941,459,3930,459,3921,457,3914,459,3906,467,3904,471,3902,483,3903,489,3906,497,3909,505,3914,513,3922,519,3930,529,3940,535,3949,537,3961,541,3970,539,3976,533,3979,529,3981,525,3983,513m4040,467l4032,449,4030,451,4031,453,4031,455,4030,459,4030,461,4029,463,4027,463,4025,467,4022,469,4005,487,4004,469,4004,459,4003,445,4002,435,3997,423,3995,419,3991,415,3987,411,3981,409,3967,409,3961,413,3956,417,3951,423,3948,429,3948,441,3950,447,3955,455,3957,453,3955,447,3954,443,3955,439,3955,435,3957,431,3964,423,3979,423,3983,425,3993,435,3997,443,3999,453,4000,463,4000,473,4000,491,4000,503,4002,505,4020,487,4040,467m4079,695l4078,689,4075,681,4073,674,4073,699,4072,703,4072,707,4071,709,4066,715,4061,715,4054,711,4046,709,4038,703,4023,687,4018,681,4013,675,4008,669,4006,663,4005,657,4005,655,4006,651,4008,649,4010,647,4014,647,4018,645,4022,647,4027,649,4033,653,4040,659,4048,665,4058,675,4065,685,4071,695,4073,699,4073,674,4072,673,4067,665,4059,659,4048,647,4045,645,4037,641,4026,641,4017,639,4010,641,4002,649,4000,653,3999,659,3998,665,3999,671,4002,679,4005,687,4011,695,4018,701,4027,711,4036,715,4046,719,4057,721,4066,721,4072,715,4075,711,4077,707,4079,695m4086,421l4084,419,4081,421,4079,423,4072,423,4070,421,4066,417,4029,379,4011,361,4010,363,4002,387,4004,387,4005,385,4006,383,4008,381,4009,381,4011,379,4012,381,4015,381,4018,385,4023,389,4058,425,4062,429,4064,431,4065,433,4065,433,4065,435,4065,437,4064,437,4063,439,4060,443,4061,445,4084,423,4086,421m4131,651l4129,641,4128,633,4125,627,4124,626,4124,653,4123,657,4120,661,4118,663,4115,665,4108,665,4103,663,4094,659,4090,655,4084,649,4081,645,4077,641,4078,637,4079,633,4080,631,4081,629,4082,629,4087,623,4092,621,4105,625,4111,629,4116,635,4121,639,4124,645,4124,653,4124,626,4119,621,4114,615,4108,613,4101,611,4094,611,4088,613,4084,619,4079,623,4076,629,4075,637,4071,631,4069,625,4068,621,4066,617,4066,613,4065,601,4066,597,4069,589,4072,583,4075,579,4074,577,4067,583,4064,589,4059,599,4058,605,4058,611,4058,617,4057,623,4059,631,4061,639,4064,645,4069,653,4084,667,4094,671,4112,671,4117,669,4122,665,4128,659,4131,651m4156,591l4148,585,4123,609,4131,617,4156,591m4220,565l4212,547,4210,549,4211,551,4211,553,4210,555,4210,557,4209,559,4208,561,4207,563,4205,565,4184,585,4184,571,4183,543,4181,535,4178,527,4177,521,4174,517,4171,515,4166,509,4160,507,4147,507,4140,511,4135,517,4130,521,4128,527,4128,529,4127,539,4130,547,4135,553,4137,551,4134,547,4133,541,4134,537,4135,533,4137,529,4143,523,4148,521,4158,521,4163,523,4172,533,4176,541,4178,551,4179,561,4180,571,4180,591,4179,601,4181,603,4199,585,4220,565m4261,513l4260,507,4254,492,4254,519,4254,525,4253,527,4247,533,4242,533,4236,531,4228,527,4219,521,4210,511,4205,507,4200,501,4195,493,4190,487,4187,481,4187,477,4187,473,4188,469,4190,467,4192,465,4204,465,4208,467,4215,471,4222,477,4239,495,4246,503,4253,515,4254,519,4254,492,4254,491,4248,485,4241,477,4230,467,4227,465,4219,459,4208,459,4199,457,4192,459,4184,467,4182,471,4181,477,4180,483,4181,489,4187,505,4192,513,4200,519,4208,529,4218,535,4227,537,4239,541,4248,539,4254,533,4257,529,4259,525,4261,513m4318,467l4310,449,4308,451,4309,453,4309,455,4309,457,4308,459,4308,461,4307,463,4305,463,4303,467,4283,487,4282,469,4282,459,4281,445,4280,435,4275,423,4273,419,4265,411,4259,409,4245,409,4239,413,4234,417,4229,423,4226,429,4226,441,4228,447,4233,455,4235,453,4233,447,4232,443,4233,435,4235,431,4242,423,4257,423,4261,425,4265,429,4271,435,4275,443,4276,453,4278,463,4278,473,4278,489,4278,503,4280,505,4298,487,4318,467m4357,695l4356,689,4353,681,4351,674,4351,699,4350,703,4350,707,4349,709,4344,715,4339,715,4332,711,4324,709,4316,703,4307,693,4301,687,4296,681,4286,669,4284,663,4283,657,4283,655,4284,651,4288,647,4292,647,4296,645,4300,647,4305,649,4311,653,4318,659,4336,675,4347,691,4349,695,4351,699,4351,674,4350,673,4345,665,4337,659,4326,647,4323,645,4315,641,4304,641,4295,639,4288,641,4283,647,4280,649,4278,653,4277,659,4276,665,4277,671,4280,679,4283,687,4289,695,4296,701,4305,711,4314,715,4324,719,4335,721,4344,721,4350,715,4353,711,4355,707,4357,695m4364,421l4362,419,4359,421,4357,423,4350,423,4348,421,4307,379,4289,361,4288,363,4279,387,4282,387,4284,383,4286,381,4287,381,4289,379,4290,381,4293,381,4296,385,4301,389,4340,429,4342,431,4343,433,4343,433,4343,435,4342,437,4341,439,4338,443,4339,445,4362,423,4364,421m4409,639l4407,635,4407,633,4403,630,4403,647,4403,653,4403,655,4401,657,4394,665,4390,667,4381,667,4376,663,4369,657,4367,653,4364,645,4364,643,4364,637,4364,635,4385,635,4394,637,4397,637,4402,643,4403,647,4403,630,4398,625,4394,623,4388,623,4384,621,4376,623,4366,623,4369,615,4369,609,4368,599,4366,595,4363,593,4363,592,4363,617,4362,623,4348,625,4342,625,4340,623,4337,623,4335,621,4331,617,4330,615,4330,607,4332,603,4335,599,4342,595,4349,595,4353,597,4356,599,4359,603,4360,605,4361,609,4362,611,4363,617,4363,592,4360,589,4343,589,4337,591,4327,603,4324,609,4323,621,4325,627,4330,631,4332,633,4336,635,4340,637,4360,637,4359,645,4358,651,4359,655,4360,661,4362,665,4365,667,4369,671,4373,673,4387,673,4393,671,4397,667,4405,659,4408,653,4409,639m4433,591l4426,585,4401,609,4409,617,4433,591m4498,565l4490,547,4488,549,4488,551,4489,553,4488,555,4488,557,4487,559,4485,563,4483,565,4462,585,4462,581,4461,553,4461,543,4459,535,4456,527,4455,521,4452,517,4449,515,4444,509,4438,507,4424,507,4418,511,4413,517,4408,521,4406,527,4405,539,4408,547,4413,553,4415,551,4412,547,4411,541,4412,537,4413,533,4415,529,4418,525,4421,523,4426,521,4436,521,4441,523,4450,533,4454,541,4456,551,4457,561,4458,573,4458,589,4457,601,4459,603,4477,585,4498,565m4539,513l4538,507,4535,499,4532,492,4532,519,4532,521,4532,525,4531,527,4525,533,4520,533,4513,531,4506,527,4497,521,4488,511,4483,507,4477,501,4473,493,4468,487,4465,481,4465,477,4465,473,4465,469,4470,465,4481,465,4486,467,4493,471,4500,477,4517,495,4524,503,4528,509,4531,515,4532,519,4532,492,4532,491,4526,485,4508,467,4505,465,4497,459,4486,459,4477,457,4470,459,4465,465,4461,467,4460,471,4459,477,4458,483,4459,489,4462,497,4465,505,4470,513,4478,519,4486,529,4496,535,4505,537,4517,541,4525,539,4532,533,4535,529,4537,525,4539,513m4596,467l4588,449,4586,451,4587,453,4587,455,4587,457,4586,459,4586,461,4584,463,4583,463,4581,467,4561,487,4560,473,4560,457,4559,445,4558,435,4553,423,4550,419,4547,415,4543,411,4537,409,4523,409,4517,413,4512,417,4507,423,4504,429,4504,441,4506,447,4511,455,4513,453,4511,447,4510,443,4511,439,4511,435,4513,431,4516,427,4520,423,4535,423,4539,425,4549,435,4552,443,4554,453,4556,463,4556,471,4556,491,4556,503,4558,505,4576,487,4596,467m4640,700l4638,698,4635,702,4633,704,4626,704,4624,700,4620,698,4583,660,4565,642,4563,644,4555,668,4558,668,4559,664,4560,662,4562,660,4566,660,4567,662,4569,662,4572,666,4612,704,4616,710,4618,712,4619,712,4619,714,4618,718,4613,724,4615,724,4636,704,4640,700m4642,421l4640,419,4637,421,4635,423,4628,423,4626,421,4585,379,4567,361,4566,363,4557,387,4560,387,4562,383,4563,381,4565,381,4567,379,4568,381,4571,381,4574,385,4618,429,4620,431,4621,433,4621,433,4621,435,4620,437,4619,439,4616,443,4617,445,4640,423,4642,421m4684,646l4683,640,4680,632,4678,625,4678,650,4677,654,4677,658,4676,660,4671,666,4666,666,4659,662,4651,660,4643,654,4634,644,4628,638,4623,632,4613,620,4611,614,4610,608,4610,606,4611,602,4613,600,4615,598,4620,598,4623,596,4627,598,4632,600,4638,604,4645,610,4663,626,4670,636,4674,642,4677,646,4678,650,4678,625,4677,624,4672,616,4653,598,4650,596,4642,592,4631,592,4622,590,4615,592,4610,596,4607,600,4605,604,4603,616,4604,622,4607,630,4610,638,4616,646,4623,652,4632,662,4641,666,4651,670,4662,674,4671,672,4677,666,4680,662,4682,658,4684,646m4711,592l4704,584,4679,610,4687,616,4711,592m4776,564l4768,548,4766,550,4766,552,4767,554,4766,558,4765,560,4764,560,4763,562,4761,566,4757,568,4740,586,4740,568,4739,544,4737,534,4734,528,4733,522,4731,520,4730,518,4727,514,4722,510,4716,508,4702,508,4696,510,4686,522,4684,526,4683,540,4686,546,4691,554,4693,552,4690,546,4689,542,4691,532,4693,530,4696,526,4699,522,4704,520,4714,520,4719,524,4723,528,4728,532,4732,540,4734,552,4735,562,4735,568,4736,590,4735,602,4737,604,4754,586,4776,564m4817,514l4816,508,4813,500,4810,493,4810,518,4810,522,4810,526,4808,528,4807,530,4803,534,4798,534,4791,530,4784,528,4775,520,4766,512,4761,506,4755,500,4746,488,4743,482,4743,476,4742,472,4743,470,4746,468,4747,466,4750,464,4755,464,4759,466,4764,468,4771,472,4778,478,4785,484,4795,494,4802,502,4806,510,4809,514,4810,518,4810,493,4810,492,4804,484,4797,478,4786,466,4782,464,4775,460,4764,458,4754,458,4747,460,4739,468,4737,472,4736,484,4737,490,4740,498,4743,506,4748,512,4756,520,4764,528,4773,534,4783,538,4795,540,4803,538,4808,534,4810,532,4813,530,4815,526,4817,514m4874,466l4866,450,4864,450,4865,454,4865,456,4864,460,4864,460,4861,464,4859,466,4855,470,4838,488,4838,470,4837,446,4836,436,4831,424,4830,422,4828,420,4825,416,4821,412,4815,410,4801,410,4795,412,4789,418,4784,422,4782,428,4782,442,4784,448,4789,454,4791,452,4789,448,4788,444,4788,438,4789,434,4791,430,4798,424,4802,422,4813,422,4817,424,4827,434,4830,442,4832,454,4834,464,4834,472,4834,492,4834,502,4836,504,4852,488,4874,466m4918,700l4916,698,4913,702,4911,704,4904,704,4902,700,4861,660,4843,642,4841,644,4833,668,4835,668,4837,664,4838,662,4840,660,4844,660,4845,662,4847,662,4850,666,4894,710,4896,712,4897,712,4897,714,4896,718,4894,720,4891,724,4893,724,4914,704,4918,700m4920,420l4918,418,4915,422,4913,424,4909,424,4904,420,4900,418,4863,380,4845,362,4843,364,4835,388,4838,388,4839,384,4840,382,4842,380,4846,380,4847,382,4849,382,4852,386,4857,390,4892,424,4896,428,4898,432,4899,432,4899,434,4899,436,4898,438,4897,440,4894,444,4895,444,4916,424,4920,420m4970,648l4962,630,4961,632,4961,634,4961,636,4961,638,4961,640,4960,642,4959,644,4958,646,4955,648,4952,652,4935,668,4935,652,4934,640,4934,626,4932,618,4927,606,4926,604,4925,602,4917,594,4911,590,4897,592,4891,594,4886,600,4881,604,4878,610,4878,622,4880,630,4886,636,4887,634,4885,630,4884,624,4885,616,4887,612,4894,606,4898,604,4909,604,4914,606,4918,610,4923,616,4927,624,4930,644,4930,654,4930,670,4930,684,4932,686,4950,668,4970,648m4989,592l4982,584,4957,610,4964,616,4989,592m5053,564l5045,548,5044,550,5044,552,5044,556,5044,558,5043,560,5042,560,5041,562,5038,566,5018,586,5018,572,5017,554,5017,544,5015,534,5012,528,5010,522,5009,520,5008,518,5005,514,5000,510,4994,508,4980,508,4974,510,4969,516,4964,522,4961,526,4961,540,4964,546,4969,554,4971,552,4968,546,4967,542,4968,538,4969,532,4971,530,4977,522,4982,520,4992,520,4997,524,5006,532,5010,540,5012,552,5013,562,5014,572,5014,590,5013,602,5015,604,5032,586,5053,564m5095,514l5094,508,5088,493,5088,518,5088,522,5087,526,5086,528,5081,534,5076,534,5069,530,5061,528,5053,520,5044,512,5039,506,5033,500,5028,494,5024,488,5021,482,5021,476,5020,472,5021,470,5024,468,5025,466,5027,464,5033,464,5037,466,5042,468,5049,472,5056,478,5073,494,5080,502,5087,514,5088,518,5088,493,5087,492,5082,484,5075,478,5064,466,5060,464,5053,460,5041,458,5032,458,5025,460,5017,468,5015,472,5015,476,5013,484,5015,490,5018,498,5021,506,5026,512,5033,520,5042,528,5051,534,5061,538,5073,540,5081,538,5086,534,5088,532,5091,530,5093,526,5095,514m5152,466l5144,450,5142,450,5143,452,5143,458,5142,460,5141,460,5140,462,5139,464,5137,466,5116,488,5116,470,5115,446,5113,436,5109,424,5108,422,5106,420,5098,412,5093,410,5079,410,5073,412,5067,418,5062,422,5060,428,5060,442,5062,448,5067,454,5069,452,5067,448,5066,444,5067,434,5069,430,5076,424,5080,422,5090,422,5095,424,5099,428,5105,434,5108,442,5110,454,5111,464,5112,472,5112,490,5112,502,5113,504,5130,488,5152,466m5191,695l5190,689,5187,681,5184,674,5184,699,5184,703,5184,707,5183,709,5177,715,5172,715,5166,711,5158,709,5149,703,5140,693,5135,687,5130,681,5120,669,5117,663,5117,657,5117,655,5118,651,5122,647,5126,647,5130,645,5134,647,5139,649,5145,653,5152,659,5169,675,5181,691,5183,695,5184,699,5184,674,5184,673,5179,665,5171,659,5160,647,5157,645,5149,641,5138,641,5129,639,5122,641,5117,647,5114,649,5112,653,5111,659,5110,665,5111,671,5114,679,5117,687,5122,695,5130,701,5139,711,5148,715,5157,719,5169,721,5178,721,5183,715,5187,711,5189,707,5191,695m5198,420l5196,418,5193,422,5191,424,5187,424,5184,422,5182,420,5141,380,5123,362,5121,364,5113,388,5116,388,5117,384,5118,382,5120,380,5124,380,5125,382,5127,382,5130,386,5135,390,5174,428,5176,432,5177,432,5177,434,5176,438,5174,440,5171,444,5173,444,5194,424,5198,420m5248,647l5240,631,5238,633,5239,635,5239,637,5239,639,5239,641,5238,643,5237,643,5236,645,5233,649,5213,669,5213,657,5212,637,5211,627,5210,617,5205,605,5204,603,5203,601,5195,593,5189,591,5175,591,5169,593,5164,599,5159,603,5156,609,5156,613,5156,623,5158,629,5164,637,5165,635,5163,629,5162,625,5163,621,5163,615,5165,613,5169,609,5172,605,5176,603,5187,603,5191,607,5201,615,5205,623,5207,635,5208,645,5208,651,5208,673,5208,685,5210,685,5226,669,5248,647m5267,591l5260,585,5235,609,5242,617,5267,591m5331,565l5323,547,5322,549,5322,551,5322,553,5322,555,5322,557,5321,559,5319,563,5316,565,5296,585,5296,581,5295,553,5295,543,5293,535,5290,527,5288,521,5286,517,5283,515,5278,509,5272,507,5258,507,5252,511,5247,517,5242,521,5239,527,5239,539,5242,547,5247,553,5248,551,5246,547,5245,541,5246,537,5247,533,5248,529,5252,525,5255,523,5260,521,5270,521,5275,523,5284,533,5288,541,5290,551,5291,561,5292,573,5291,591,5291,601,5293,603,5311,585,5331,565m5373,513l5372,507,5369,499,5366,492,5366,519,5366,521,5365,525,5364,527,5359,533,5354,533,5347,531,5339,527,5331,521,5322,511,5316,507,5311,501,5306,493,5302,487,5299,481,5299,477,5298,473,5299,469,5303,465,5315,465,5320,467,5327,471,5334,477,5351,495,5358,503,5362,509,5365,515,5366,519,5366,492,5365,491,5360,485,5342,467,5339,465,5331,459,5319,459,5310,457,5303,459,5298,465,5295,467,5293,471,5293,477,5291,483,5292,489,5296,497,5299,505,5304,513,5311,519,5320,529,5329,535,5339,537,5350,541,5359,539,5366,533,5369,529,5371,525,5373,513m5430,467l5422,449,5420,451,5421,453,5421,455,5420,457,5420,459,5419,461,5418,463,5417,463,5415,467,5394,487,5394,473,5394,457,5393,445,5391,435,5387,423,5384,419,5381,415,5376,411,5371,409,5357,409,5351,413,5345,417,5340,423,5338,429,5338,441,5340,447,5345,455,5347,453,5345,447,5344,443,5344,439,5345,435,5347,431,5350,427,5354,423,5368,423,5373,425,5383,435,5386,443,5388,453,5389,463,5390,471,5390,491,5390,503,5391,505,5410,487,5430,467m5469,695l5468,689,5465,681,5462,675,5462,699,5462,703,5462,707,5461,709,5455,715,5450,715,5444,711,5436,709,5427,703,5418,693,5413,687,5408,681,5398,669,5395,663,5395,657,5395,655,5396,651,5398,649,5400,647,5404,647,5408,645,5412,647,5416,649,5423,653,5430,659,5447,675,5454,685,5458,691,5461,695,5462,699,5462,675,5462,673,5456,665,5449,659,5438,647,5434,645,5427,641,5416,641,5407,639,5400,641,5392,649,5390,653,5388,665,5389,671,5392,679,5395,687,5400,695,5408,701,5416,711,5426,715,5435,719,5447,721,5456,721,5462,715,5465,711,5467,707,5469,695m5479,417l5471,399,5469,401,5470,403,5470,405,5470,407,5469,409,5469,411,5467,413,5466,415,5464,417,5444,437,5443,423,5443,407,5442,395,5441,387,5436,375,5435,373,5434,371,5426,363,5420,361,5406,361,5400,363,5395,369,5390,373,5387,379,5387,391,5389,399,5394,405,5396,403,5394,399,5393,393,5394,389,5394,385,5396,381,5399,379,5403,375,5407,373,5418,373,5422,375,5432,385,5435,393,5437,405,5439,413,5439,423,5439,441,5439,453,5441,455,5459,437,5479,417m5523,651l5513,641,5505,633,5512,627,5514,625,5507,619,5499,627,5491,619,5491,635,5468,657,5458,603,5491,635,5491,619,5474,603,5456,585,5451,589,5464,663,5470,669,5482,657,5498,641,5515,659,5523,651m5545,591l5538,585,5513,609,5520,617,5545,591m5609,565l5601,547,5600,549,5600,551,5600,553,5600,557,5599,559,5597,563,5594,565,5591,569,5574,585,5574,569,5573,557,5573,543,5571,535,5568,527,5566,521,5564,517,5560,515,5556,509,5550,507,5536,507,5530,511,5520,521,5517,527,5517,539,5520,547,5525,553,5526,551,5524,547,5523,541,5524,533,5526,529,5530,525,5533,523,5538,521,5548,521,5553,523,5557,527,5562,533,5566,541,5568,551,5569,561,5569,569,5569,591,5569,601,5571,603,5589,585,5609,565m5651,513l5650,507,5646,499,5644,493,5644,519,5644,521,5643,525,5642,527,5641,529,5637,533,5632,533,5625,531,5617,527,5609,521,5600,511,5594,507,5589,501,5579,487,5577,481,5576,477,5576,473,5577,469,5579,467,5581,465,5593,465,5598,467,5605,471,5612,477,5629,495,5636,503,5640,509,5643,515,5644,519,5644,493,5643,491,5638,485,5630,477,5620,467,5617,465,5609,459,5597,459,5588,457,5581,459,5573,467,5571,471,5569,483,5570,489,5573,497,5577,505,5582,513,5589,519,5598,529,5607,535,5617,537,5628,541,5637,539,5643,533,5647,529,5649,525,5651,513m5708,467l5700,449,5698,451,5699,453,5699,455,5698,459,5697,461,5696,463,5695,463,5693,467,5689,469,5672,487,5672,469,5672,459,5671,445,5669,435,5665,423,5662,419,5659,415,5654,411,5649,409,5635,409,5629,413,5623,417,5618,423,5616,429,5615,441,5618,447,5623,455,5625,453,5622,447,5622,443,5622,439,5623,435,5625,431,5632,423,5646,423,5651,425,5661,435,5664,443,5666,453,5667,463,5668,473,5668,491,5668,503,5669,505,5688,487,5708,467m5747,695l5746,689,5743,681,5740,674,5740,699,5740,703,5740,707,5739,709,5733,715,5728,715,5722,711,5714,709,5705,703,5696,693,5691,687,5686,681,5681,675,5676,669,5673,663,5673,657,5673,655,5674,651,5676,649,5678,647,5682,647,5685,645,5690,647,5694,649,5701,653,5708,659,5715,665,5725,675,5732,685,5739,695,5740,699,5740,674,5740,673,5734,665,5727,659,5716,647,5712,645,5705,641,5694,641,5685,639,5678,641,5670,649,5668,653,5666,665,5667,671,5670,679,5673,687,5678,695,5686,701,5694,711,5704,715,5713,719,5725,721,5734,721,5740,715,5743,711,5745,707,5747,695m5757,417l5749,399,5747,401,5748,403,5748,405,5747,409,5747,411,5744,415,5742,417,5739,421,5721,437,5721,419,5721,407,5720,395,5719,387,5714,375,5713,373,5711,371,5708,367,5704,363,5698,361,5684,361,5678,363,5668,373,5665,379,5665,391,5667,399,5672,405,5674,403,5672,399,5671,393,5671,389,5672,385,5674,381,5681,375,5685,373,5696,373,5700,375,5710,385,5713,393,5715,405,5717,413,5717,423,5717,441,5717,453,5719,455,5737,437,5757,417m5798,651l5797,641,5796,633,5792,627,5792,626,5792,653,5791,657,5788,661,5786,663,5783,665,5776,665,5771,663,5761,659,5758,655,5755,653,5752,649,5749,645,5745,641,5746,637,5747,633,5748,631,5749,629,5750,629,5751,627,5755,623,5760,621,5772,625,5778,629,5784,635,5789,639,5791,645,5792,653,5792,626,5787,621,5781,615,5775,613,5768,611,5761,611,5756,613,5751,619,5747,623,5744,629,5742,637,5739,631,5737,625,5735,621,5734,617,5733,613,5733,601,5734,597,5736,589,5739,583,5743,579,5741,577,5735,583,5732,589,5727,599,5725,605,5725,611,5725,617,5725,623,5726,631,5729,639,5732,645,5736,653,5751,667,5762,671,5780,671,5785,669,5789,665,5796,659,5798,651m5823,591l5816,585,5791,609,5798,617,5823,591m5887,565l5879,547,5878,549,5878,551,5878,553,5878,555,5878,557,5877,559,5876,561,5875,563,5872,565,5852,585,5852,571,5850,543,5849,535,5846,527,5844,521,5842,517,5838,515,5834,509,5828,507,5814,507,5808,511,5803,517,5798,521,5795,527,5795,535,5795,539,5797,547,5803,553,5804,551,5802,547,5801,541,5802,537,5802,533,5804,529,5811,523,5815,521,5826,521,5830,523,5840,533,5844,541,5846,551,5847,561,5847,571,5847,591,5847,601,5849,603,5867,585,5887,565m5929,513l5928,507,5924,499,5922,492,5922,519,5921,525,5920,527,5915,533,5910,533,5903,531,5895,527,5887,521,5878,511,5872,507,5867,501,5862,493,5857,487,5855,481,5854,477,5854,473,5855,469,5857,467,5859,465,5871,465,5876,467,5882,471,5889,477,5907,495,5914,503,5921,515,5922,519,5922,492,5921,491,5916,485,5908,477,5898,467,5895,465,5887,459,5875,459,5866,457,5859,459,5851,467,5849,471,5848,477,5847,483,5848,489,5851,497,5855,505,5860,513,5867,519,5876,529,5885,535,5895,537,5906,541,5915,539,5921,533,5925,529,5927,525,5929,513m5986,467l5978,449,5976,451,5977,453,5977,455,5976,457,5976,459,5975,461,5974,463,5973,463,5971,467,5950,487,5950,469,5950,459,5949,445,5947,435,5943,423,5940,419,5932,411,5926,409,5913,409,5906,413,5901,417,5896,423,5894,429,5893,441,5896,447,5901,455,5903,453,5900,447,5900,443,5901,435,5903,431,5910,423,5924,423,5929,425,5933,429,5938,435,5942,443,5944,453,5945,463,5946,471,5946,491,5945,503,5947,505,5965,487,5986,467m6035,417l6027,399,6025,401,6026,403,6026,405,6026,407,6025,409,6024,411,6023,413,6022,415,6020,417,6016,421,5999,437,5999,419,5999,407,5998,395,5996,387,5994,379,5992,375,5991,373,5989,371,5981,363,5976,361,5962,361,5956,363,5950,369,5945,373,5943,379,5943,391,5945,399,5950,405,5952,403,5950,399,5949,393,5950,385,5952,381,5959,375,5963,373,5973,373,5978,375,5982,379,5988,385,5991,393,5994,413,5995,421,5995,441,5995,453,5996,455,6015,437,6035,417e" filled="true" fillcolor="#000000" stroked="false">
            <v:path arrowok="t"/>
            <v:fill type="solid"/>
            <w10:wrap type="none"/>
          </v:shape>
        </w:pict>
      </w:r>
      <w:r>
        <w:rPr/>
        <w:pict>
          <v:shape style="position:absolute;margin-left:343.057861pt;margin-top:7.58083pt;width:175.75pt;height:25.3pt;mso-position-horizontal-relative:page;mso-position-vertical-relative:paragraph;z-index:252135424" type="#_x0000_t202" filled="false" stroked="false">
            <v:textbox inset="0,0,0,0" style="layout-flow:vertical;mso-layout-flow-alt:bottom-to-top">
              <w:txbxContent>
                <w:p>
                  <w:pPr>
                    <w:spacing w:before="13"/>
                    <w:ind w:left="20" w:right="0" w:firstLine="0"/>
                    <w:jc w:val="left"/>
                    <w:rPr>
                      <w:sz w:val="14"/>
                    </w:rPr>
                  </w:pPr>
                  <w:r>
                    <w:rPr>
                      <w:sz w:val="14"/>
                    </w:rPr>
                    <w:t>02-2020</w:t>
                  </w:r>
                </w:p>
                <w:p>
                  <w:pPr>
                    <w:spacing w:before="76"/>
                    <w:ind w:left="20" w:right="0" w:firstLine="0"/>
                    <w:jc w:val="left"/>
                    <w:rPr>
                      <w:sz w:val="14"/>
                    </w:rPr>
                  </w:pPr>
                  <w:r>
                    <w:rPr>
                      <w:sz w:val="14"/>
                    </w:rPr>
                    <w:t>04-2020</w:t>
                  </w:r>
                </w:p>
                <w:p>
                  <w:pPr>
                    <w:spacing w:before="76"/>
                    <w:ind w:left="20" w:right="0" w:firstLine="0"/>
                    <w:jc w:val="left"/>
                    <w:rPr>
                      <w:sz w:val="14"/>
                    </w:rPr>
                  </w:pPr>
                  <w:r>
                    <w:rPr>
                      <w:sz w:val="14"/>
                    </w:rPr>
                    <w:t>06-2020</w:t>
                  </w:r>
                </w:p>
                <w:p>
                  <w:pPr>
                    <w:spacing w:before="76"/>
                    <w:ind w:left="20" w:right="0" w:firstLine="0"/>
                    <w:jc w:val="left"/>
                    <w:rPr>
                      <w:sz w:val="14"/>
                    </w:rPr>
                  </w:pPr>
                  <w:r>
                    <w:rPr>
                      <w:sz w:val="14"/>
                    </w:rPr>
                    <w:t>08-2020</w:t>
                  </w:r>
                </w:p>
                <w:p>
                  <w:pPr>
                    <w:spacing w:before="77"/>
                    <w:ind w:left="20" w:right="0" w:firstLine="0"/>
                    <w:jc w:val="left"/>
                    <w:rPr>
                      <w:sz w:val="14"/>
                    </w:rPr>
                  </w:pPr>
                  <w:r>
                    <w:rPr>
                      <w:sz w:val="14"/>
                    </w:rPr>
                    <w:t>10-2020</w:t>
                  </w:r>
                </w:p>
                <w:p>
                  <w:pPr>
                    <w:spacing w:before="76"/>
                    <w:ind w:left="20" w:right="0" w:firstLine="0"/>
                    <w:jc w:val="left"/>
                    <w:rPr>
                      <w:sz w:val="14"/>
                    </w:rPr>
                  </w:pPr>
                  <w:r>
                    <w:rPr>
                      <w:sz w:val="14"/>
                    </w:rPr>
                    <w:t>12-2020</w:t>
                  </w:r>
                </w:p>
                <w:p>
                  <w:pPr>
                    <w:spacing w:before="76"/>
                    <w:ind w:left="20" w:right="0" w:firstLine="0"/>
                    <w:jc w:val="left"/>
                    <w:rPr>
                      <w:sz w:val="14"/>
                    </w:rPr>
                  </w:pPr>
                  <w:r>
                    <w:rPr>
                      <w:sz w:val="14"/>
                    </w:rPr>
                    <w:t>02-2021</w:t>
                  </w:r>
                </w:p>
                <w:p>
                  <w:pPr>
                    <w:spacing w:before="76"/>
                    <w:ind w:left="20" w:right="0" w:firstLine="0"/>
                    <w:jc w:val="left"/>
                    <w:rPr>
                      <w:sz w:val="14"/>
                    </w:rPr>
                  </w:pPr>
                  <w:r>
                    <w:rPr>
                      <w:sz w:val="14"/>
                    </w:rPr>
                    <w:t>04-2021</w:t>
                  </w:r>
                </w:p>
                <w:p>
                  <w:pPr>
                    <w:spacing w:before="77"/>
                    <w:ind w:left="20" w:right="0" w:firstLine="0"/>
                    <w:jc w:val="left"/>
                    <w:rPr>
                      <w:sz w:val="14"/>
                    </w:rPr>
                  </w:pPr>
                  <w:r>
                    <w:rPr>
                      <w:sz w:val="14"/>
                    </w:rPr>
                    <w:t>06-2021</w:t>
                  </w:r>
                </w:p>
                <w:p>
                  <w:pPr>
                    <w:spacing w:before="76"/>
                    <w:ind w:left="20" w:right="0" w:firstLine="0"/>
                    <w:jc w:val="left"/>
                    <w:rPr>
                      <w:sz w:val="14"/>
                    </w:rPr>
                  </w:pPr>
                  <w:r>
                    <w:rPr>
                      <w:sz w:val="14"/>
                    </w:rPr>
                    <w:t>08-2021</w:t>
                  </w:r>
                </w:p>
                <w:p>
                  <w:pPr>
                    <w:spacing w:before="76"/>
                    <w:ind w:left="20" w:right="0" w:firstLine="0"/>
                    <w:jc w:val="left"/>
                    <w:rPr>
                      <w:sz w:val="14"/>
                    </w:rPr>
                  </w:pPr>
                  <w:r>
                    <w:rPr>
                      <w:sz w:val="14"/>
                    </w:rPr>
                    <w:t>10-2021</w:t>
                  </w:r>
                </w:p>
                <w:p>
                  <w:pPr>
                    <w:spacing w:before="76"/>
                    <w:ind w:left="20" w:right="0" w:firstLine="0"/>
                    <w:jc w:val="left"/>
                    <w:rPr>
                      <w:sz w:val="14"/>
                    </w:rPr>
                  </w:pPr>
                  <w:r>
                    <w:rPr>
                      <w:sz w:val="14"/>
                    </w:rPr>
                    <w:t>12-2021</w:t>
                  </w:r>
                </w:p>
                <w:p>
                  <w:pPr>
                    <w:spacing w:before="77"/>
                    <w:ind w:left="20" w:right="0" w:firstLine="0"/>
                    <w:jc w:val="left"/>
                    <w:rPr>
                      <w:sz w:val="14"/>
                    </w:rPr>
                  </w:pPr>
                  <w:r>
                    <w:rPr>
                      <w:sz w:val="14"/>
                    </w:rPr>
                    <w:t>02-2022</w:t>
                  </w:r>
                </w:p>
                <w:p>
                  <w:pPr>
                    <w:spacing w:before="76"/>
                    <w:ind w:left="20" w:right="0" w:firstLine="0"/>
                    <w:jc w:val="left"/>
                    <w:rPr>
                      <w:sz w:val="14"/>
                    </w:rPr>
                  </w:pPr>
                  <w:r>
                    <w:rPr>
                      <w:sz w:val="14"/>
                    </w:rPr>
                    <w:t>04-2022</w:t>
                  </w:r>
                </w:p>
                <w:p>
                  <w:pPr>
                    <w:spacing w:before="76"/>
                    <w:ind w:left="20" w:right="0" w:firstLine="0"/>
                    <w:jc w:val="left"/>
                    <w:rPr>
                      <w:sz w:val="14"/>
                    </w:rPr>
                  </w:pPr>
                  <w:r>
                    <w:rPr>
                      <w:sz w:val="14"/>
                    </w:rPr>
                    <w:t>06-2022</w:t>
                  </w:r>
                </w:p>
              </w:txbxContent>
            </v:textbox>
            <w10:wrap type="none"/>
          </v:shape>
        </w:pict>
      </w:r>
      <w:r>
        <w:rPr>
          <w:w w:val="99"/>
          <w:sz w:val="14"/>
        </w:rPr>
        <w:t>0</w:t>
      </w:r>
    </w:p>
    <w:p>
      <w:pPr>
        <w:pStyle w:val="BodyText"/>
        <w:rPr>
          <w:sz w:val="20"/>
        </w:rPr>
      </w:pPr>
    </w:p>
    <w:p>
      <w:pPr>
        <w:pStyle w:val="BodyText"/>
        <w:spacing w:before="5"/>
        <w:rPr>
          <w:sz w:val="18"/>
        </w:rPr>
      </w:pPr>
    </w:p>
    <w:p>
      <w:pPr>
        <w:spacing w:after="0"/>
        <w:rPr>
          <w:sz w:val="18"/>
        </w:rPr>
        <w:sectPr>
          <w:type w:val="continuous"/>
          <w:pgSz w:w="12240" w:h="15840"/>
          <w:pgMar w:top="1500" w:bottom="280" w:left="1140" w:right="0"/>
        </w:sectPr>
      </w:pPr>
    </w:p>
    <w:p>
      <w:pPr>
        <w:pStyle w:val="BodyText"/>
        <w:spacing w:before="8"/>
        <w:rPr>
          <w:sz w:val="18"/>
        </w:rPr>
      </w:pPr>
    </w:p>
    <w:p>
      <w:pPr>
        <w:spacing w:before="0"/>
        <w:ind w:left="948" w:right="1126" w:firstLine="0"/>
        <w:jc w:val="center"/>
        <w:rPr>
          <w:b/>
          <w:sz w:val="14"/>
        </w:rPr>
      </w:pPr>
      <w:r>
        <w:rPr>
          <w:b/>
          <w:sz w:val="14"/>
        </w:rPr>
        <w:t>Fecha</w:t>
      </w:r>
    </w:p>
    <w:p>
      <w:pPr>
        <w:spacing w:before="83"/>
        <w:ind w:left="948" w:right="0" w:firstLine="0"/>
        <w:jc w:val="center"/>
        <w:rPr>
          <w:sz w:val="16"/>
        </w:rPr>
      </w:pPr>
      <w:r>
        <w:rPr>
          <w:sz w:val="16"/>
        </w:rPr>
        <w:t>Fuente:</w:t>
      </w:r>
      <w:r>
        <w:rPr>
          <w:spacing w:val="-4"/>
          <w:sz w:val="16"/>
        </w:rPr>
        <w:t> </w:t>
      </w:r>
      <w:r>
        <w:rPr>
          <w:sz w:val="16"/>
        </w:rPr>
        <w:t>Dirección</w:t>
      </w:r>
      <w:r>
        <w:rPr>
          <w:spacing w:val="-3"/>
          <w:sz w:val="16"/>
        </w:rPr>
        <w:t> </w:t>
      </w:r>
      <w:r>
        <w:rPr>
          <w:sz w:val="16"/>
        </w:rPr>
        <w:t>de</w:t>
      </w:r>
      <w:r>
        <w:rPr>
          <w:spacing w:val="-4"/>
          <w:sz w:val="16"/>
        </w:rPr>
        <w:t> </w:t>
      </w:r>
      <w:r>
        <w:rPr>
          <w:sz w:val="16"/>
        </w:rPr>
        <w:t>Análisis</w:t>
      </w:r>
      <w:r>
        <w:rPr>
          <w:spacing w:val="-3"/>
          <w:sz w:val="16"/>
        </w:rPr>
        <w:t> </w:t>
      </w:r>
      <w:r>
        <w:rPr>
          <w:sz w:val="16"/>
        </w:rPr>
        <w:t>y</w:t>
      </w:r>
      <w:r>
        <w:rPr>
          <w:spacing w:val="-5"/>
          <w:sz w:val="16"/>
        </w:rPr>
        <w:t> </w:t>
      </w:r>
      <w:r>
        <w:rPr>
          <w:sz w:val="16"/>
        </w:rPr>
        <w:t>Política</w:t>
      </w:r>
      <w:r>
        <w:rPr>
          <w:spacing w:val="-2"/>
          <w:sz w:val="16"/>
        </w:rPr>
        <w:t> </w:t>
      </w:r>
      <w:r>
        <w:rPr>
          <w:sz w:val="16"/>
        </w:rPr>
        <w:t>Fiscal</w:t>
      </w:r>
      <w:r>
        <w:rPr>
          <w:spacing w:val="-5"/>
          <w:sz w:val="16"/>
        </w:rPr>
        <w:t> </w:t>
      </w:r>
      <w:r>
        <w:rPr>
          <w:sz w:val="16"/>
        </w:rPr>
        <w:t>con</w:t>
      </w:r>
      <w:r>
        <w:rPr>
          <w:spacing w:val="-3"/>
          <w:sz w:val="16"/>
        </w:rPr>
        <w:t> </w:t>
      </w:r>
      <w:r>
        <w:rPr>
          <w:sz w:val="16"/>
        </w:rPr>
        <w:t>información</w:t>
      </w:r>
      <w:r>
        <w:rPr>
          <w:spacing w:val="-3"/>
          <w:sz w:val="16"/>
        </w:rPr>
        <w:t> </w:t>
      </w:r>
      <w:r>
        <w:rPr>
          <w:sz w:val="16"/>
        </w:rPr>
        <w:t>de</w:t>
      </w:r>
      <w:r>
        <w:rPr>
          <w:spacing w:val="-7"/>
          <w:sz w:val="16"/>
        </w:rPr>
        <w:t> </w:t>
      </w:r>
      <w:r>
        <w:rPr>
          <w:sz w:val="16"/>
        </w:rPr>
        <w:t>BANGUAT</w:t>
      </w:r>
      <w:r>
        <w:rPr>
          <w:spacing w:val="-2"/>
          <w:sz w:val="16"/>
        </w:rPr>
        <w:t> </w:t>
      </w:r>
      <w:r>
        <w:rPr>
          <w:sz w:val="16"/>
        </w:rPr>
        <w:t>y</w:t>
      </w:r>
      <w:r>
        <w:rPr>
          <w:spacing w:val="-3"/>
          <w:sz w:val="16"/>
        </w:rPr>
        <w:t> </w:t>
      </w:r>
      <w:r>
        <w:rPr>
          <w:sz w:val="16"/>
        </w:rPr>
        <w:t>AMM</w:t>
      </w:r>
    </w:p>
    <w:p>
      <w:pPr>
        <w:spacing w:before="93"/>
        <w:ind w:left="672" w:right="0" w:firstLine="0"/>
        <w:jc w:val="left"/>
        <w:rPr>
          <w:b/>
          <w:sz w:val="14"/>
        </w:rPr>
      </w:pPr>
      <w:r>
        <w:rPr/>
        <w:br w:type="column"/>
      </w:r>
      <w:r>
        <w:rPr>
          <w:b/>
          <w:sz w:val="14"/>
        </w:rPr>
        <w:t>Fecha</w:t>
      </w:r>
    </w:p>
    <w:p>
      <w:pPr>
        <w:spacing w:after="0"/>
        <w:jc w:val="left"/>
        <w:rPr>
          <w:sz w:val="14"/>
        </w:rPr>
        <w:sectPr>
          <w:type w:val="continuous"/>
          <w:pgSz w:w="12240" w:h="15840"/>
          <w:pgMar w:top="1500" w:bottom="280" w:left="1140" w:right="0"/>
          <w:cols w:num="2" w:equalWidth="0">
            <w:col w:w="6588" w:space="40"/>
            <w:col w:w="4472"/>
          </w:cols>
        </w:sectPr>
      </w:pPr>
    </w:p>
    <w:p>
      <w:pPr>
        <w:pStyle w:val="BodyText"/>
        <w:rPr>
          <w:b/>
          <w:sz w:val="21"/>
        </w:rPr>
      </w:pPr>
    </w:p>
    <w:p>
      <w:pPr>
        <w:pStyle w:val="Heading2"/>
        <w:numPr>
          <w:ilvl w:val="2"/>
          <w:numId w:val="11"/>
        </w:numPr>
        <w:tabs>
          <w:tab w:pos="1838" w:val="left" w:leader="none"/>
          <w:tab w:pos="1839" w:val="left" w:leader="none"/>
        </w:tabs>
        <w:spacing w:line="240" w:lineRule="auto" w:before="90" w:after="0"/>
        <w:ind w:left="1838" w:right="0" w:hanging="721"/>
        <w:jc w:val="left"/>
      </w:pPr>
      <w:bookmarkStart w:name="_bookmark75" w:id="97"/>
      <w:bookmarkEnd w:id="97"/>
      <w:r>
        <w:rPr>
          <w:b w:val="0"/>
        </w:rPr>
      </w:r>
      <w:bookmarkStart w:name="_bookmark75" w:id="98"/>
      <w:bookmarkEnd w:id="98"/>
      <w:r>
        <w:rPr/>
        <w:t>P</w:t>
      </w:r>
      <w:r>
        <w:rPr/>
        <w:t>roducto Interno</w:t>
      </w:r>
      <w:r>
        <w:rPr>
          <w:spacing w:val="-1"/>
        </w:rPr>
        <w:t> </w:t>
      </w:r>
      <w:r>
        <w:rPr/>
        <w:t>Bruto</w:t>
      </w:r>
    </w:p>
    <w:p>
      <w:pPr>
        <w:pStyle w:val="BodyText"/>
        <w:spacing w:before="6"/>
        <w:rPr>
          <w:b/>
          <w:sz w:val="28"/>
        </w:rPr>
      </w:pPr>
    </w:p>
    <w:p>
      <w:pPr>
        <w:pStyle w:val="BodyText"/>
        <w:spacing w:line="276" w:lineRule="auto"/>
        <w:ind w:left="562" w:right="1695"/>
        <w:jc w:val="both"/>
      </w:pPr>
      <w:r>
        <w:rPr/>
        <w:t>De acuerdo con las proyecciones del Banco de Guatemala, se espera un crecimiento económico del PIB de entre el 3.0 % a 5.0% para el año actual (escenario macroeconómico abril 2022). Aun así, la economía nacional afronta riesgos externos asociados a la incertidumbre por nuevas variantes </w:t>
      </w:r>
      <w:r>
        <w:rPr>
          <w:spacing w:val="-3"/>
        </w:rPr>
        <w:t>de  </w:t>
      </w:r>
      <w:r>
        <w:rPr/>
        <w:t>COVID-19,</w:t>
      </w:r>
      <w:r>
        <w:rPr>
          <w:spacing w:val="-13"/>
        </w:rPr>
        <w:t> </w:t>
      </w:r>
      <w:r>
        <w:rPr/>
        <w:t>al</w:t>
      </w:r>
      <w:r>
        <w:rPr>
          <w:spacing w:val="-11"/>
        </w:rPr>
        <w:t> </w:t>
      </w:r>
      <w:r>
        <w:rPr/>
        <w:t>desanclaje</w:t>
      </w:r>
      <w:r>
        <w:rPr>
          <w:spacing w:val="-15"/>
        </w:rPr>
        <w:t> </w:t>
      </w:r>
      <w:r>
        <w:rPr/>
        <w:t>de</w:t>
      </w:r>
      <w:r>
        <w:rPr>
          <w:spacing w:val="-11"/>
        </w:rPr>
        <w:t> </w:t>
      </w:r>
      <w:r>
        <w:rPr/>
        <w:t>las</w:t>
      </w:r>
      <w:r>
        <w:rPr>
          <w:spacing w:val="-11"/>
        </w:rPr>
        <w:t> </w:t>
      </w:r>
      <w:r>
        <w:rPr/>
        <w:t>expectativas</w:t>
      </w:r>
      <w:r>
        <w:rPr>
          <w:spacing w:val="-15"/>
        </w:rPr>
        <w:t> </w:t>
      </w:r>
      <w:r>
        <w:rPr/>
        <w:t>inflacionarias</w:t>
      </w:r>
      <w:r>
        <w:rPr>
          <w:spacing w:val="-11"/>
        </w:rPr>
        <w:t> </w:t>
      </w:r>
      <w:r>
        <w:rPr/>
        <w:t>en</w:t>
      </w:r>
      <w:r>
        <w:rPr>
          <w:spacing w:val="-14"/>
        </w:rPr>
        <w:t> </w:t>
      </w:r>
      <w:r>
        <w:rPr/>
        <w:t>las</w:t>
      </w:r>
      <w:r>
        <w:rPr>
          <w:spacing w:val="-12"/>
        </w:rPr>
        <w:t> </w:t>
      </w:r>
      <w:r>
        <w:rPr/>
        <w:t>economías</w:t>
      </w:r>
      <w:r>
        <w:rPr>
          <w:spacing w:val="-11"/>
        </w:rPr>
        <w:t> </w:t>
      </w:r>
      <w:r>
        <w:rPr/>
        <w:t>de</w:t>
      </w:r>
      <w:r>
        <w:rPr>
          <w:spacing w:val="-12"/>
        </w:rPr>
        <w:t> </w:t>
      </w:r>
      <w:r>
        <w:rPr/>
        <w:t>sus</w:t>
      </w:r>
      <w:r>
        <w:rPr>
          <w:spacing w:val="-14"/>
        </w:rPr>
        <w:t> </w:t>
      </w:r>
      <w:r>
        <w:rPr/>
        <w:t>principales</w:t>
      </w:r>
      <w:r>
        <w:rPr>
          <w:spacing w:val="-14"/>
        </w:rPr>
        <w:t> </w:t>
      </w:r>
      <w:r>
        <w:rPr/>
        <w:t>socios comerciales y a la actitud precavida del inversionista frente al endurecimiento de las condiciones financieras internacionales. En menor medida se puede ver afectada por el conflicto Rusia-Ucrania, que puede generar incertidumbre sobre los precios de las materias primas acelerando las presiones inflacionarias mundiales y contrayendo la demanda externa. De esa cuenta, como </w:t>
      </w:r>
      <w:r>
        <w:rPr>
          <w:spacing w:val="2"/>
        </w:rPr>
        <w:t>un </w:t>
      </w:r>
      <w:r>
        <w:rPr/>
        <w:t>escenario conservador, se prevé para 2022 que el crecimiento económico del país se situé en</w:t>
      </w:r>
      <w:r>
        <w:rPr>
          <w:spacing w:val="-17"/>
        </w:rPr>
        <w:t> </w:t>
      </w:r>
      <w:r>
        <w:rPr/>
        <w:t>3.0%.</w:t>
      </w:r>
    </w:p>
    <w:p>
      <w:pPr>
        <w:pStyle w:val="BodyText"/>
        <w:spacing w:before="3"/>
        <w:rPr>
          <w:sz w:val="25"/>
        </w:rPr>
      </w:pPr>
    </w:p>
    <w:p>
      <w:pPr>
        <w:pStyle w:val="BodyText"/>
        <w:spacing w:line="276" w:lineRule="auto"/>
        <w:ind w:left="562" w:right="1695"/>
        <w:jc w:val="both"/>
      </w:pPr>
      <w:r>
        <w:rPr/>
        <w:t>Asimismo,</w:t>
      </w:r>
      <w:r>
        <w:rPr>
          <w:spacing w:val="-14"/>
        </w:rPr>
        <w:t> </w:t>
      </w:r>
      <w:r>
        <w:rPr/>
        <w:t>las</w:t>
      </w:r>
      <w:r>
        <w:rPr>
          <w:spacing w:val="-14"/>
        </w:rPr>
        <w:t> </w:t>
      </w:r>
      <w:r>
        <w:rPr/>
        <w:t>proyecciones</w:t>
      </w:r>
      <w:r>
        <w:rPr>
          <w:spacing w:val="-15"/>
        </w:rPr>
        <w:t> </w:t>
      </w:r>
      <w:r>
        <w:rPr/>
        <w:t>del</w:t>
      </w:r>
      <w:r>
        <w:rPr>
          <w:spacing w:val="-13"/>
        </w:rPr>
        <w:t> </w:t>
      </w:r>
      <w:r>
        <w:rPr/>
        <w:t>Producto</w:t>
      </w:r>
      <w:r>
        <w:rPr>
          <w:spacing w:val="-14"/>
        </w:rPr>
        <w:t> </w:t>
      </w:r>
      <w:r>
        <w:rPr/>
        <w:t>Interno</w:t>
      </w:r>
      <w:r>
        <w:rPr>
          <w:spacing w:val="-13"/>
        </w:rPr>
        <w:t> </w:t>
      </w:r>
      <w:r>
        <w:rPr/>
        <w:t>Bruto</w:t>
      </w:r>
      <w:r>
        <w:rPr>
          <w:spacing w:val="-17"/>
        </w:rPr>
        <w:t> </w:t>
      </w:r>
      <w:r>
        <w:rPr/>
        <w:t>por</w:t>
      </w:r>
      <w:r>
        <w:rPr>
          <w:spacing w:val="-13"/>
        </w:rPr>
        <w:t> </w:t>
      </w:r>
      <w:r>
        <w:rPr/>
        <w:t>enfoque</w:t>
      </w:r>
      <w:r>
        <w:rPr>
          <w:spacing w:val="-14"/>
        </w:rPr>
        <w:t> </w:t>
      </w:r>
      <w:r>
        <w:rPr/>
        <w:t>del</w:t>
      </w:r>
      <w:r>
        <w:rPr>
          <w:spacing w:val="-13"/>
        </w:rPr>
        <w:t> </w:t>
      </w:r>
      <w:r>
        <w:rPr/>
        <w:t>gasto</w:t>
      </w:r>
      <w:r>
        <w:rPr>
          <w:spacing w:val="-13"/>
        </w:rPr>
        <w:t> </w:t>
      </w:r>
      <w:r>
        <w:rPr/>
        <w:t>reportadas</w:t>
      </w:r>
      <w:r>
        <w:rPr>
          <w:spacing w:val="-14"/>
        </w:rPr>
        <w:t> </w:t>
      </w:r>
      <w:r>
        <w:rPr/>
        <w:t>por</w:t>
      </w:r>
      <w:r>
        <w:rPr>
          <w:spacing w:val="-13"/>
        </w:rPr>
        <w:t> </w:t>
      </w:r>
      <w:r>
        <w:rPr/>
        <w:t>el</w:t>
      </w:r>
      <w:r>
        <w:rPr>
          <w:spacing w:val="-13"/>
        </w:rPr>
        <w:t> </w:t>
      </w:r>
      <w:r>
        <w:rPr/>
        <w:t>Banco de Guatemala, para el presente año, presentan tasas de crecimiento positivas para las principales actividades,</w:t>
      </w:r>
      <w:r>
        <w:rPr>
          <w:spacing w:val="-11"/>
        </w:rPr>
        <w:t> </w:t>
      </w:r>
      <w:r>
        <w:rPr/>
        <w:t>aunque</w:t>
      </w:r>
      <w:r>
        <w:rPr>
          <w:spacing w:val="-11"/>
        </w:rPr>
        <w:t> </w:t>
      </w:r>
      <w:r>
        <w:rPr/>
        <w:t>menores</w:t>
      </w:r>
      <w:r>
        <w:rPr>
          <w:spacing w:val="-10"/>
        </w:rPr>
        <w:t> </w:t>
      </w:r>
      <w:r>
        <w:rPr/>
        <w:t>a</w:t>
      </w:r>
      <w:r>
        <w:rPr>
          <w:spacing w:val="-10"/>
        </w:rPr>
        <w:t> </w:t>
      </w:r>
      <w:r>
        <w:rPr/>
        <w:t>las</w:t>
      </w:r>
      <w:r>
        <w:rPr>
          <w:spacing w:val="-13"/>
        </w:rPr>
        <w:t> </w:t>
      </w:r>
      <w:r>
        <w:rPr/>
        <w:t>reportadas</w:t>
      </w:r>
      <w:r>
        <w:rPr>
          <w:spacing w:val="-13"/>
        </w:rPr>
        <w:t> </w:t>
      </w:r>
      <w:r>
        <w:rPr/>
        <w:t>el</w:t>
      </w:r>
      <w:r>
        <w:rPr>
          <w:spacing w:val="-12"/>
        </w:rPr>
        <w:t> </w:t>
      </w:r>
      <w:r>
        <w:rPr/>
        <w:t>año</w:t>
      </w:r>
      <w:r>
        <w:rPr>
          <w:spacing w:val="-10"/>
        </w:rPr>
        <w:t> </w:t>
      </w:r>
      <w:r>
        <w:rPr/>
        <w:t>anterior.</w:t>
      </w:r>
      <w:r>
        <w:rPr>
          <w:spacing w:val="-11"/>
        </w:rPr>
        <w:t> </w:t>
      </w:r>
      <w:r>
        <w:rPr/>
        <w:t>El</w:t>
      </w:r>
      <w:r>
        <w:rPr>
          <w:spacing w:val="-7"/>
        </w:rPr>
        <w:t> </w:t>
      </w:r>
      <w:r>
        <w:rPr/>
        <w:t>gasto</w:t>
      </w:r>
      <w:r>
        <w:rPr>
          <w:spacing w:val="-13"/>
        </w:rPr>
        <w:t> </w:t>
      </w:r>
      <w:r>
        <w:rPr/>
        <w:t>de</w:t>
      </w:r>
      <w:r>
        <w:rPr>
          <w:spacing w:val="-11"/>
        </w:rPr>
        <w:t> </w:t>
      </w:r>
      <w:r>
        <w:rPr/>
        <w:t>consumo</w:t>
      </w:r>
      <w:r>
        <w:rPr>
          <w:spacing w:val="-11"/>
        </w:rPr>
        <w:t> </w:t>
      </w:r>
      <w:r>
        <w:rPr/>
        <w:t>final</w:t>
      </w:r>
      <w:r>
        <w:rPr>
          <w:spacing w:val="-10"/>
        </w:rPr>
        <w:t> </w:t>
      </w:r>
      <w:r>
        <w:rPr/>
        <w:t>de</w:t>
      </w:r>
      <w:r>
        <w:rPr>
          <w:spacing w:val="-13"/>
        </w:rPr>
        <w:t> </w:t>
      </w:r>
      <w:r>
        <w:rPr/>
        <w:t>los</w:t>
      </w:r>
      <w:r>
        <w:rPr>
          <w:spacing w:val="-13"/>
        </w:rPr>
        <w:t> </w:t>
      </w:r>
      <w:r>
        <w:rPr/>
        <w:t>hogares y</w:t>
      </w:r>
      <w:r>
        <w:rPr>
          <w:spacing w:val="-12"/>
        </w:rPr>
        <w:t> </w:t>
      </w:r>
      <w:r>
        <w:rPr/>
        <w:t>de</w:t>
      </w:r>
      <w:r>
        <w:rPr>
          <w:spacing w:val="-8"/>
        </w:rPr>
        <w:t> </w:t>
      </w:r>
      <w:r>
        <w:rPr/>
        <w:t>las</w:t>
      </w:r>
      <w:r>
        <w:rPr>
          <w:spacing w:val="-8"/>
        </w:rPr>
        <w:t> </w:t>
      </w:r>
      <w:r>
        <w:rPr/>
        <w:t>instituciones</w:t>
      </w:r>
      <w:r>
        <w:rPr>
          <w:spacing w:val="-8"/>
        </w:rPr>
        <w:t> </w:t>
      </w:r>
      <w:r>
        <w:rPr/>
        <w:t>privadas</w:t>
      </w:r>
      <w:r>
        <w:rPr>
          <w:spacing w:val="-9"/>
        </w:rPr>
        <w:t> </w:t>
      </w:r>
      <w:r>
        <w:rPr/>
        <w:t>sin</w:t>
      </w:r>
      <w:r>
        <w:rPr>
          <w:spacing w:val="-9"/>
        </w:rPr>
        <w:t> </w:t>
      </w:r>
      <w:r>
        <w:rPr/>
        <w:t>fines</w:t>
      </w:r>
      <w:r>
        <w:rPr>
          <w:spacing w:val="-8"/>
        </w:rPr>
        <w:t> </w:t>
      </w:r>
      <w:r>
        <w:rPr/>
        <w:t>de</w:t>
      </w:r>
      <w:r>
        <w:rPr>
          <w:spacing w:val="-11"/>
        </w:rPr>
        <w:t> </w:t>
      </w:r>
      <w:r>
        <w:rPr/>
        <w:t>lucro</w:t>
      </w:r>
      <w:r>
        <w:rPr>
          <w:spacing w:val="-6"/>
        </w:rPr>
        <w:t> </w:t>
      </w:r>
      <w:r>
        <w:rPr/>
        <w:t>presenta</w:t>
      </w:r>
      <w:r>
        <w:rPr>
          <w:spacing w:val="-8"/>
        </w:rPr>
        <w:t> </w:t>
      </w:r>
      <w:r>
        <w:rPr/>
        <w:t>un</w:t>
      </w:r>
      <w:r>
        <w:rPr>
          <w:spacing w:val="-9"/>
        </w:rPr>
        <w:t> </w:t>
      </w:r>
      <w:r>
        <w:rPr/>
        <w:t>crecimiento</w:t>
      </w:r>
      <w:r>
        <w:rPr>
          <w:spacing w:val="-9"/>
        </w:rPr>
        <w:t> </w:t>
      </w:r>
      <w:r>
        <w:rPr/>
        <w:t>interanual</w:t>
      </w:r>
      <w:r>
        <w:rPr>
          <w:spacing w:val="-10"/>
        </w:rPr>
        <w:t> </w:t>
      </w:r>
      <w:r>
        <w:rPr/>
        <w:t>de</w:t>
      </w:r>
      <w:r>
        <w:rPr>
          <w:spacing w:val="-9"/>
        </w:rPr>
        <w:t> </w:t>
      </w:r>
      <w:r>
        <w:rPr/>
        <w:t>4.7%,</w:t>
      </w:r>
      <w:r>
        <w:rPr>
          <w:spacing w:val="-9"/>
        </w:rPr>
        <w:t> </w:t>
      </w:r>
      <w:r>
        <w:rPr/>
        <w:t>mientras que el gasto de consumo final del gobierno general y formación bruta de capital fijo presentan tasas de</w:t>
      </w:r>
      <w:r>
        <w:rPr>
          <w:spacing w:val="-4"/>
        </w:rPr>
        <w:t> </w:t>
      </w:r>
      <w:r>
        <w:rPr/>
        <w:t>crecimiento</w:t>
      </w:r>
      <w:r>
        <w:rPr>
          <w:spacing w:val="-4"/>
        </w:rPr>
        <w:t> </w:t>
      </w:r>
      <w:r>
        <w:rPr/>
        <w:t>de</w:t>
      </w:r>
      <w:r>
        <w:rPr>
          <w:spacing w:val="-3"/>
        </w:rPr>
        <w:t> </w:t>
      </w:r>
      <w:r>
        <w:rPr/>
        <w:t>2.8%</w:t>
      </w:r>
      <w:r>
        <w:rPr>
          <w:spacing w:val="-3"/>
        </w:rPr>
        <w:t> </w:t>
      </w:r>
      <w:r>
        <w:rPr/>
        <w:t>y</w:t>
      </w:r>
      <w:r>
        <w:rPr>
          <w:spacing w:val="-5"/>
        </w:rPr>
        <w:t> </w:t>
      </w:r>
      <w:r>
        <w:rPr/>
        <w:t>6.0%</w:t>
      </w:r>
      <w:r>
        <w:rPr>
          <w:spacing w:val="-3"/>
        </w:rPr>
        <w:t> </w:t>
      </w:r>
      <w:r>
        <w:rPr/>
        <w:t>respectivamente.</w:t>
      </w:r>
      <w:r>
        <w:rPr>
          <w:spacing w:val="-3"/>
        </w:rPr>
        <w:t> </w:t>
      </w:r>
      <w:r>
        <w:rPr/>
        <w:t>Tanto</w:t>
      </w:r>
      <w:r>
        <w:rPr>
          <w:spacing w:val="-7"/>
        </w:rPr>
        <w:t> </w:t>
      </w:r>
      <w:r>
        <w:rPr/>
        <w:t>las</w:t>
      </w:r>
      <w:r>
        <w:rPr>
          <w:spacing w:val="-1"/>
        </w:rPr>
        <w:t> </w:t>
      </w:r>
      <w:r>
        <w:rPr/>
        <w:t>exportaciones</w:t>
      </w:r>
      <w:r>
        <w:rPr>
          <w:spacing w:val="-3"/>
        </w:rPr>
        <w:t> </w:t>
      </w:r>
      <w:r>
        <w:rPr/>
        <w:t>de</w:t>
      </w:r>
      <w:r>
        <w:rPr>
          <w:spacing w:val="-3"/>
        </w:rPr>
        <w:t> </w:t>
      </w:r>
      <w:r>
        <w:rPr/>
        <w:t>bienes</w:t>
      </w:r>
      <w:r>
        <w:rPr>
          <w:spacing w:val="-5"/>
        </w:rPr>
        <w:t> </w:t>
      </w:r>
      <w:r>
        <w:rPr/>
        <w:t>y</w:t>
      </w:r>
      <w:r>
        <w:rPr>
          <w:spacing w:val="-6"/>
        </w:rPr>
        <w:t> </w:t>
      </w:r>
      <w:r>
        <w:rPr/>
        <w:t>servicios</w:t>
      </w:r>
      <w:r>
        <w:rPr>
          <w:spacing w:val="-1"/>
        </w:rPr>
        <w:t> </w:t>
      </w:r>
      <w:r>
        <w:rPr/>
        <w:t>como las importaciones de bienes y servicios presentan tasas positivas de crecimiento con 5.5% y 4.7% respectivamente.</w:t>
      </w:r>
    </w:p>
    <w:p>
      <w:pPr>
        <w:spacing w:after="0" w:line="276" w:lineRule="auto"/>
        <w:jc w:val="both"/>
        <w:sectPr>
          <w:type w:val="continuous"/>
          <w:pgSz w:w="12240" w:h="15840"/>
          <w:pgMar w:top="1500" w:bottom="280" w:left="1140" w:right="0"/>
        </w:sectPr>
      </w:pPr>
    </w:p>
    <w:p>
      <w:pPr>
        <w:spacing w:before="169"/>
        <w:ind w:left="1395" w:right="2529" w:firstLine="0"/>
        <w:jc w:val="center"/>
        <w:rPr>
          <w:b/>
          <w:sz w:val="20"/>
        </w:rPr>
      </w:pPr>
      <w:bookmarkStart w:name="_bookmark76" w:id="99"/>
      <w:bookmarkEnd w:id="99"/>
      <w:r>
        <w:rPr/>
      </w:r>
      <w:r>
        <w:rPr>
          <w:b/>
          <w:i/>
          <w:sz w:val="20"/>
        </w:rPr>
        <w:t>Gráfico 35.  </w:t>
      </w:r>
      <w:r>
        <w:rPr>
          <w:b/>
          <w:sz w:val="20"/>
        </w:rPr>
        <w:t>Producto Interno Bruto</w:t>
      </w:r>
    </w:p>
    <w:p>
      <w:pPr>
        <w:pStyle w:val="BodyText"/>
        <w:spacing w:line="276" w:lineRule="auto" w:before="27"/>
        <w:ind w:left="2294" w:right="3432"/>
        <w:jc w:val="center"/>
      </w:pPr>
      <w:r>
        <w:rPr/>
        <w:t>Por Enfoque del gasto, variaciones Porcentuales Interanuales 2021-2022</w:t>
      </w:r>
    </w:p>
    <w:p>
      <w:pPr>
        <w:tabs>
          <w:tab w:pos="875" w:val="left" w:leader="none"/>
        </w:tabs>
        <w:spacing w:before="144"/>
        <w:ind w:left="0" w:right="837" w:firstLine="0"/>
        <w:jc w:val="center"/>
        <w:rPr>
          <w:sz w:val="16"/>
        </w:rPr>
      </w:pPr>
      <w:r>
        <w:rPr/>
        <w:pict>
          <v:rect style="position:absolute;margin-left:270.600006pt;margin-top:10.228752pt;width:4.08pt;height:3.96pt;mso-position-horizontal-relative:page;mso-position-vertical-relative:paragraph;z-index:252146688" filled="true" fillcolor="#f46c43" stroked="false">
            <v:fill type="solid"/>
            <w10:wrap type="none"/>
          </v:rect>
        </w:pict>
      </w:r>
      <w:r>
        <w:rPr/>
        <w:pict>
          <v:rect style="position:absolute;margin-left:314.399994pt;margin-top:10.228752pt;width:3.96pt;height:3.96pt;mso-position-horizontal-relative:page;mso-position-vertical-relative:paragraph;z-index:-281171968" filled="true" fillcolor="#fcad60" stroked="false">
            <v:fill type="solid"/>
            <w10:wrap type="none"/>
          </v:rect>
        </w:pict>
      </w:r>
      <w:r>
        <w:rPr>
          <w:sz w:val="16"/>
        </w:rPr>
        <w:t>TV_2021</w:t>
        <w:tab/>
        <w:t>TV_2022</w:t>
      </w:r>
    </w:p>
    <w:p>
      <w:pPr>
        <w:spacing w:before="109" w:after="90"/>
        <w:ind w:left="0" w:right="2852" w:firstLine="0"/>
        <w:jc w:val="right"/>
        <w:rPr>
          <w:b/>
          <w:sz w:val="16"/>
        </w:rPr>
      </w:pPr>
      <w:r>
        <w:rPr>
          <w:b/>
          <w:sz w:val="16"/>
        </w:rPr>
        <w:t>24.3</w:t>
      </w:r>
    </w:p>
    <w:p>
      <w:pPr>
        <w:pStyle w:val="BodyText"/>
        <w:ind w:left="916"/>
        <w:rPr>
          <w:sz w:val="20"/>
        </w:rPr>
      </w:pPr>
      <w:r>
        <w:rPr>
          <w:sz w:val="20"/>
        </w:rPr>
        <w:pict>
          <v:group style="width:412.6pt;height:73.8pt;mso-position-horizontal-relative:char;mso-position-vertical-relative:line" coordorigin="0,0" coordsize="8252,1476">
            <v:rect style="position:absolute;left:357;top:912;width:471;height:516" filled="true" fillcolor="#f46c43" stroked="false">
              <v:fill type="solid"/>
            </v:rect>
            <v:rect style="position:absolute;left:828;top:1152;width:471;height:276" filled="true" fillcolor="#fcad60" stroked="false">
              <v:fill type="solid"/>
            </v:rect>
            <v:rect style="position:absolute;left:828;top:1152;width:471;height:276" filled="false" stroked="true" strokeweight=".48pt" strokecolor="#ffffff">
              <v:stroke dashstyle="solid"/>
            </v:rect>
            <v:rect style="position:absolute;left:2006;top:1180;width:471;height:248" filled="true" fillcolor="#f46c43" stroked="false">
              <v:fill type="solid"/>
            </v:rect>
            <v:rect style="position:absolute;left:2476;top:1264;width:471;height:164" filled="true" fillcolor="#fcad60" stroked="false">
              <v:fill type="solid"/>
            </v:rect>
            <v:rect style="position:absolute;left:2476;top:1264;width:471;height:164" filled="false" stroked="true" strokeweight=".48pt" strokecolor="#ffffff">
              <v:stroke dashstyle="solid"/>
            </v:rect>
            <v:rect style="position:absolute;left:3655;top:324;width:471;height:1104" filled="true" fillcolor="#f46c43" stroked="false">
              <v:fill type="solid"/>
            </v:rect>
            <v:rect style="position:absolute;left:4125;top:1075;width:471;height:353" filled="true" fillcolor="#fcad60" stroked="false">
              <v:fill type="solid"/>
            </v:rect>
            <v:rect style="position:absolute;left:4125;top:1075;width:471;height:353" filled="false" stroked="true" strokeweight=".48pt" strokecolor="#ffffff">
              <v:stroke dashstyle="solid"/>
            </v:rect>
            <v:rect style="position:absolute;left:5301;top:700;width:473;height:728" filled="true" fillcolor="#f46c43" stroked="false">
              <v:fill type="solid"/>
            </v:rect>
            <v:rect style="position:absolute;left:5774;top:1106;width:471;height:322" filled="true" fillcolor="#fcad60" stroked="false">
              <v:fill type="solid"/>
            </v:rect>
            <v:rect style="position:absolute;left:5774;top:1106;width:471;height:322" filled="false" stroked="true" strokeweight=".48pt" strokecolor="#ffffff">
              <v:stroke dashstyle="solid"/>
            </v:rect>
            <v:rect style="position:absolute;left:6950;top:0;width:473;height:1428" filled="true" fillcolor="#f46c43" stroked="false">
              <v:fill type="solid"/>
            </v:rect>
            <v:rect style="position:absolute;left:7423;top:1152;width:471;height:276" filled="true" fillcolor="#fcad60" stroked="false">
              <v:fill type="solid"/>
            </v:rect>
            <v:rect style="position:absolute;left:7423;top:1152;width:471;height:276" filled="false" stroked="true" strokeweight=".48pt" strokecolor="#ffffff">
              <v:stroke dashstyle="solid"/>
            </v:rect>
            <v:line style="position:absolute" from="5,1428" to="8246,1428" stroked="true" strokeweight=".48pt" strokecolor="#888888">
              <v:stroke dashstyle="solid"/>
            </v:line>
            <v:line style="position:absolute" from="5,1428" to="5,1476" stroked="true" strokeweight=".48pt" strokecolor="#888888">
              <v:stroke dashstyle="solid"/>
            </v:line>
            <v:line style="position:absolute" from="1654,1428" to="1654,1476" stroked="true" strokeweight=".48pt" strokecolor="#888888">
              <v:stroke dashstyle="solid"/>
            </v:line>
            <v:line style="position:absolute" from="3300,1428" to="3300,1476" stroked="true" strokeweight=".48pt" strokecolor="#888888">
              <v:stroke dashstyle="solid"/>
            </v:line>
            <v:line style="position:absolute" from="4949,1428" to="4949,1476" stroked="true" strokeweight=".48pt" strokecolor="#888888">
              <v:stroke dashstyle="solid"/>
            </v:line>
            <v:line style="position:absolute" from="6598,1428" to="6598,1476" stroked="true" strokeweight=".48pt" strokecolor="#888888">
              <v:stroke dashstyle="solid"/>
            </v:line>
            <v:line style="position:absolute" from="8246,1428" to="8246,1476" stroked="true" strokeweight=".48pt" strokecolor="#888888">
              <v:stroke dashstyle="solid"/>
            </v:line>
            <v:shape style="position:absolute;left:3747;top:55;width:304;height:179" type="#_x0000_t202" filled="false" stroked="false">
              <v:textbox inset="0,0,0,0">
                <w:txbxContent>
                  <w:p>
                    <w:pPr>
                      <w:spacing w:line="178" w:lineRule="exact" w:before="0"/>
                      <w:ind w:left="0" w:right="0" w:firstLine="0"/>
                      <w:jc w:val="left"/>
                      <w:rPr>
                        <w:b/>
                        <w:sz w:val="16"/>
                      </w:rPr>
                    </w:pPr>
                    <w:r>
                      <w:rPr>
                        <w:b/>
                        <w:sz w:val="16"/>
                      </w:rPr>
                      <w:t>18.8</w:t>
                    </w:r>
                  </w:p>
                </w:txbxContent>
              </v:textbox>
              <w10:wrap type="none"/>
            </v:shape>
            <v:shape style="position:absolute;left:5396;top:432;width:304;height:179" type="#_x0000_t202" filled="false" stroked="false">
              <v:textbox inset="0,0,0,0">
                <w:txbxContent>
                  <w:p>
                    <w:pPr>
                      <w:spacing w:line="178" w:lineRule="exact" w:before="0"/>
                      <w:ind w:left="0" w:right="0" w:firstLine="0"/>
                      <w:jc w:val="left"/>
                      <w:rPr>
                        <w:b/>
                        <w:sz w:val="16"/>
                      </w:rPr>
                    </w:pPr>
                    <w:r>
                      <w:rPr>
                        <w:b/>
                        <w:sz w:val="16"/>
                      </w:rPr>
                      <w:t>12.4</w:t>
                    </w:r>
                  </w:p>
                </w:txbxContent>
              </v:textbox>
              <w10:wrap type="none"/>
            </v:shape>
            <v:shape style="position:absolute;left:490;top:643;width:223;height:179" type="#_x0000_t202" filled="false" stroked="false">
              <v:textbox inset="0,0,0,0">
                <w:txbxContent>
                  <w:p>
                    <w:pPr>
                      <w:spacing w:line="178" w:lineRule="exact" w:before="0"/>
                      <w:ind w:left="0" w:right="0" w:firstLine="0"/>
                      <w:jc w:val="left"/>
                      <w:rPr>
                        <w:b/>
                        <w:sz w:val="16"/>
                      </w:rPr>
                    </w:pPr>
                    <w:r>
                      <w:rPr>
                        <w:b/>
                        <w:sz w:val="16"/>
                      </w:rPr>
                      <w:t>8.8</w:t>
                    </w:r>
                  </w:p>
                </w:txbxContent>
              </v:textbox>
              <w10:wrap type="none"/>
            </v:shape>
            <v:shape style="position:absolute;left:962;top:884;width:223;height:179" type="#_x0000_t202" filled="false" stroked="false">
              <v:textbox inset="0,0,0,0">
                <w:txbxContent>
                  <w:p>
                    <w:pPr>
                      <w:spacing w:line="178" w:lineRule="exact" w:before="0"/>
                      <w:ind w:left="0" w:right="0" w:firstLine="0"/>
                      <w:jc w:val="left"/>
                      <w:rPr>
                        <w:b/>
                        <w:sz w:val="16"/>
                      </w:rPr>
                    </w:pPr>
                    <w:r>
                      <w:rPr>
                        <w:b/>
                        <w:sz w:val="16"/>
                      </w:rPr>
                      <w:t>4.7</w:t>
                    </w:r>
                  </w:p>
                </w:txbxContent>
              </v:textbox>
              <w10:wrap type="none"/>
            </v:shape>
            <v:shape style="position:absolute;left:2139;top:914;width:223;height:179" type="#_x0000_t202" filled="false" stroked="false">
              <v:textbox inset="0,0,0,0">
                <w:txbxContent>
                  <w:p>
                    <w:pPr>
                      <w:spacing w:line="178" w:lineRule="exact" w:before="0"/>
                      <w:ind w:left="0" w:right="0" w:firstLine="0"/>
                      <w:jc w:val="left"/>
                      <w:rPr>
                        <w:b/>
                        <w:sz w:val="16"/>
                      </w:rPr>
                    </w:pPr>
                    <w:r>
                      <w:rPr>
                        <w:b/>
                        <w:sz w:val="16"/>
                      </w:rPr>
                      <w:t>4.2</w:t>
                    </w:r>
                  </w:p>
                </w:txbxContent>
              </v:textbox>
              <w10:wrap type="none"/>
            </v:shape>
            <v:shape style="position:absolute;left:4321;top:808;width:101;height:179" type="#_x0000_t202" filled="false" stroked="false">
              <v:textbox inset="0,0,0,0">
                <w:txbxContent>
                  <w:p>
                    <w:pPr>
                      <w:spacing w:line="178" w:lineRule="exact" w:before="0"/>
                      <w:ind w:left="0" w:right="0" w:firstLine="0"/>
                      <w:jc w:val="left"/>
                      <w:rPr>
                        <w:b/>
                        <w:sz w:val="16"/>
                      </w:rPr>
                    </w:pPr>
                    <w:r>
                      <w:rPr>
                        <w:b/>
                        <w:w w:val="100"/>
                        <w:sz w:val="16"/>
                      </w:rPr>
                      <w:t>6</w:t>
                    </w:r>
                  </w:p>
                </w:txbxContent>
              </v:textbox>
              <w10:wrap type="none"/>
            </v:shape>
            <v:shape style="position:absolute;left:5907;top:837;width:223;height:179" type="#_x0000_t202" filled="false" stroked="false">
              <v:textbox inset="0,0,0,0">
                <w:txbxContent>
                  <w:p>
                    <w:pPr>
                      <w:spacing w:line="178" w:lineRule="exact" w:before="0"/>
                      <w:ind w:left="0" w:right="0" w:firstLine="0"/>
                      <w:jc w:val="left"/>
                      <w:rPr>
                        <w:b/>
                        <w:sz w:val="16"/>
                      </w:rPr>
                    </w:pPr>
                    <w:r>
                      <w:rPr>
                        <w:b/>
                        <w:sz w:val="16"/>
                      </w:rPr>
                      <w:t>5.5</w:t>
                    </w:r>
                  </w:p>
                </w:txbxContent>
              </v:textbox>
              <w10:wrap type="none"/>
            </v:shape>
            <v:shape style="position:absolute;left:2610;top:996;width:223;height:179" type="#_x0000_t202" filled="false" stroked="false">
              <v:textbox inset="0,0,0,0">
                <w:txbxContent>
                  <w:p>
                    <w:pPr>
                      <w:spacing w:line="178" w:lineRule="exact" w:before="0"/>
                      <w:ind w:left="0" w:right="0" w:firstLine="0"/>
                      <w:jc w:val="left"/>
                      <w:rPr>
                        <w:b/>
                        <w:sz w:val="16"/>
                      </w:rPr>
                    </w:pPr>
                    <w:r>
                      <w:rPr>
                        <w:b/>
                        <w:sz w:val="16"/>
                      </w:rPr>
                      <w:t>2.8</w:t>
                    </w:r>
                  </w:p>
                </w:txbxContent>
              </v:textbox>
              <w10:wrap type="none"/>
            </v:shape>
            <v:shape style="position:absolute;left:7556;top:884;width:223;height:179" type="#_x0000_t202" filled="false" stroked="false">
              <v:textbox inset="0,0,0,0">
                <w:txbxContent>
                  <w:p>
                    <w:pPr>
                      <w:spacing w:line="178" w:lineRule="exact" w:before="0"/>
                      <w:ind w:left="0" w:right="0" w:firstLine="0"/>
                      <w:jc w:val="left"/>
                      <w:rPr>
                        <w:b/>
                        <w:sz w:val="16"/>
                      </w:rPr>
                    </w:pPr>
                    <w:r>
                      <w:rPr>
                        <w:b/>
                        <w:sz w:val="16"/>
                      </w:rPr>
                      <w:t>4.7</w:t>
                    </w:r>
                  </w:p>
                </w:txbxContent>
              </v:textbox>
              <w10:wrap type="none"/>
            </v:shape>
          </v:group>
        </w:pict>
      </w:r>
      <w:r>
        <w:rPr>
          <w:sz w:val="20"/>
        </w:rPr>
      </w:r>
    </w:p>
    <w:p>
      <w:pPr>
        <w:spacing w:after="0"/>
        <w:rPr>
          <w:sz w:val="20"/>
        </w:rPr>
        <w:sectPr>
          <w:pgSz w:w="12240" w:h="15840"/>
          <w:pgMar w:header="715" w:footer="957" w:top="1240" w:bottom="1140" w:left="1140" w:right="0"/>
        </w:sectPr>
      </w:pPr>
    </w:p>
    <w:p>
      <w:pPr>
        <w:tabs>
          <w:tab w:pos="2782" w:val="left" w:leader="none"/>
        </w:tabs>
        <w:spacing w:before="6"/>
        <w:ind w:left="1170" w:right="0" w:firstLine="0"/>
        <w:jc w:val="left"/>
        <w:rPr>
          <w:sz w:val="16"/>
        </w:rPr>
      </w:pPr>
      <w:r>
        <w:rPr>
          <w:sz w:val="16"/>
        </w:rPr>
        <w:t>Consumo</w:t>
      </w:r>
      <w:r>
        <w:rPr>
          <w:spacing w:val="-3"/>
          <w:sz w:val="16"/>
        </w:rPr>
        <w:t> </w:t>
      </w:r>
      <w:r>
        <w:rPr>
          <w:sz w:val="16"/>
        </w:rPr>
        <w:t>hogares</w:t>
        <w:tab/>
        <w:t>Consumo</w:t>
      </w:r>
      <w:r>
        <w:rPr>
          <w:spacing w:val="-8"/>
          <w:sz w:val="16"/>
        </w:rPr>
        <w:t> </w:t>
      </w:r>
      <w:r>
        <w:rPr>
          <w:sz w:val="16"/>
        </w:rPr>
        <w:t>gobierno</w:t>
      </w:r>
    </w:p>
    <w:p>
      <w:pPr>
        <w:spacing w:before="0"/>
        <w:ind w:left="3158" w:right="0" w:firstLine="0"/>
        <w:jc w:val="left"/>
        <w:rPr>
          <w:sz w:val="16"/>
        </w:rPr>
      </w:pPr>
      <w:r>
        <w:rPr>
          <w:sz w:val="16"/>
        </w:rPr>
        <w:t>general</w:t>
      </w:r>
    </w:p>
    <w:p>
      <w:pPr>
        <w:spacing w:before="6"/>
        <w:ind w:left="653" w:right="-18" w:hanging="283"/>
        <w:jc w:val="left"/>
        <w:rPr>
          <w:sz w:val="16"/>
        </w:rPr>
      </w:pPr>
      <w:r>
        <w:rPr/>
        <w:br w:type="column"/>
      </w:r>
      <w:r>
        <w:rPr>
          <w:sz w:val="16"/>
        </w:rPr>
        <w:t>Formación bruta de capital fijo</w:t>
      </w:r>
    </w:p>
    <w:p>
      <w:pPr>
        <w:tabs>
          <w:tab w:pos="2172" w:val="left" w:leader="none"/>
        </w:tabs>
        <w:spacing w:before="6"/>
        <w:ind w:left="524" w:right="0" w:firstLine="0"/>
        <w:jc w:val="left"/>
        <w:rPr>
          <w:sz w:val="16"/>
        </w:rPr>
      </w:pPr>
      <w:r>
        <w:rPr/>
        <w:br w:type="column"/>
      </w:r>
      <w:r>
        <w:rPr>
          <w:sz w:val="16"/>
        </w:rPr>
        <w:t>Exportaciones</w:t>
        <w:tab/>
        <w:t>Importaciones</w:t>
      </w:r>
    </w:p>
    <w:p>
      <w:pPr>
        <w:spacing w:after="0"/>
        <w:jc w:val="left"/>
        <w:rPr>
          <w:sz w:val="16"/>
        </w:rPr>
        <w:sectPr>
          <w:type w:val="continuous"/>
          <w:pgSz w:w="12240" w:h="15840"/>
          <w:pgMar w:top="1500" w:bottom="280" w:left="1140" w:right="0"/>
          <w:cols w:num="3" w:equalWidth="0">
            <w:col w:w="4006" w:space="40"/>
            <w:col w:w="1625" w:space="39"/>
            <w:col w:w="5390"/>
          </w:cols>
        </w:sectPr>
      </w:pPr>
    </w:p>
    <w:p>
      <w:pPr>
        <w:pStyle w:val="BodyText"/>
        <w:spacing w:before="6"/>
        <w:rPr>
          <w:sz w:val="14"/>
        </w:rPr>
      </w:pPr>
    </w:p>
    <w:p>
      <w:pPr>
        <w:spacing w:before="94"/>
        <w:ind w:left="746" w:right="0" w:firstLine="0"/>
        <w:jc w:val="left"/>
        <w:rPr>
          <w:sz w:val="16"/>
        </w:rPr>
      </w:pPr>
      <w:r>
        <w:rPr>
          <w:sz w:val="16"/>
        </w:rPr>
        <w:t>Fuente: Dirección de Análisis y Política Fiscal con información de BANGUAT</w:t>
      </w:r>
    </w:p>
    <w:p>
      <w:pPr>
        <w:pStyle w:val="BodyText"/>
        <w:spacing w:before="3"/>
        <w:rPr>
          <w:sz w:val="20"/>
        </w:rPr>
      </w:pPr>
    </w:p>
    <w:p>
      <w:pPr>
        <w:pStyle w:val="BodyText"/>
        <w:spacing w:line="276" w:lineRule="auto" w:before="91"/>
        <w:ind w:left="562" w:right="1693"/>
        <w:jc w:val="both"/>
      </w:pPr>
      <w:r>
        <w:rPr/>
        <w:t>Con</w:t>
      </w:r>
      <w:r>
        <w:rPr>
          <w:spacing w:val="-10"/>
        </w:rPr>
        <w:t> </w:t>
      </w:r>
      <w:r>
        <w:rPr/>
        <w:t>respecto</w:t>
      </w:r>
      <w:r>
        <w:rPr>
          <w:spacing w:val="-9"/>
        </w:rPr>
        <w:t> </w:t>
      </w:r>
      <w:r>
        <w:rPr/>
        <w:t>de</w:t>
      </w:r>
      <w:r>
        <w:rPr>
          <w:spacing w:val="-7"/>
        </w:rPr>
        <w:t> </w:t>
      </w:r>
      <w:r>
        <w:rPr/>
        <w:t>la</w:t>
      </w:r>
      <w:r>
        <w:rPr>
          <w:spacing w:val="-8"/>
        </w:rPr>
        <w:t> </w:t>
      </w:r>
      <w:r>
        <w:rPr/>
        <w:t>participación</w:t>
      </w:r>
      <w:r>
        <w:rPr>
          <w:spacing w:val="-10"/>
        </w:rPr>
        <w:t> </w:t>
      </w:r>
      <w:r>
        <w:rPr/>
        <w:t>estructural,</w:t>
      </w:r>
      <w:r>
        <w:rPr>
          <w:spacing w:val="-9"/>
        </w:rPr>
        <w:t> </w:t>
      </w:r>
      <w:r>
        <w:rPr/>
        <w:t>las</w:t>
      </w:r>
      <w:r>
        <w:rPr>
          <w:spacing w:val="-8"/>
        </w:rPr>
        <w:t> </w:t>
      </w:r>
      <w:r>
        <w:rPr/>
        <w:t>proyecciones</w:t>
      </w:r>
      <w:r>
        <w:rPr>
          <w:spacing w:val="-8"/>
        </w:rPr>
        <w:t> </w:t>
      </w:r>
      <w:r>
        <w:rPr/>
        <w:t>que</w:t>
      </w:r>
      <w:r>
        <w:rPr>
          <w:spacing w:val="-9"/>
        </w:rPr>
        <w:t> </w:t>
      </w:r>
      <w:r>
        <w:rPr/>
        <w:t>el</w:t>
      </w:r>
      <w:r>
        <w:rPr>
          <w:spacing w:val="-7"/>
        </w:rPr>
        <w:t> </w:t>
      </w:r>
      <w:r>
        <w:rPr/>
        <w:t>Banco</w:t>
      </w:r>
      <w:r>
        <w:rPr>
          <w:spacing w:val="-8"/>
        </w:rPr>
        <w:t> </w:t>
      </w:r>
      <w:r>
        <w:rPr/>
        <w:t>de</w:t>
      </w:r>
      <w:r>
        <w:rPr>
          <w:spacing w:val="-8"/>
        </w:rPr>
        <w:t> </w:t>
      </w:r>
      <w:r>
        <w:rPr/>
        <w:t>Guatemala</w:t>
      </w:r>
      <w:r>
        <w:rPr>
          <w:spacing w:val="-9"/>
        </w:rPr>
        <w:t> </w:t>
      </w:r>
      <w:r>
        <w:rPr/>
        <w:t>estima</w:t>
      </w:r>
      <w:r>
        <w:rPr>
          <w:spacing w:val="-3"/>
        </w:rPr>
        <w:t> </w:t>
      </w:r>
      <w:r>
        <w:rPr/>
        <w:t>para el Producto Interno Bruto por enfoque de la producción, presentan, en primer lugar, al comercio y reparación</w:t>
      </w:r>
      <w:r>
        <w:rPr>
          <w:spacing w:val="-6"/>
        </w:rPr>
        <w:t> </w:t>
      </w:r>
      <w:r>
        <w:rPr/>
        <w:t>de</w:t>
      </w:r>
      <w:r>
        <w:rPr>
          <w:spacing w:val="-6"/>
        </w:rPr>
        <w:t> </w:t>
      </w:r>
      <w:r>
        <w:rPr/>
        <w:t>vehículos</w:t>
      </w:r>
      <w:r>
        <w:rPr>
          <w:spacing w:val="-4"/>
        </w:rPr>
        <w:t> </w:t>
      </w:r>
      <w:r>
        <w:rPr/>
        <w:t>con</w:t>
      </w:r>
      <w:r>
        <w:rPr>
          <w:spacing w:val="-8"/>
        </w:rPr>
        <w:t> </w:t>
      </w:r>
      <w:r>
        <w:rPr/>
        <w:t>un</w:t>
      </w:r>
      <w:r>
        <w:rPr>
          <w:spacing w:val="-5"/>
        </w:rPr>
        <w:t> </w:t>
      </w:r>
      <w:r>
        <w:rPr/>
        <w:t>peso</w:t>
      </w:r>
      <w:r>
        <w:rPr>
          <w:spacing w:val="-6"/>
        </w:rPr>
        <w:t> </w:t>
      </w:r>
      <w:r>
        <w:rPr/>
        <w:t>relativo</w:t>
      </w:r>
      <w:r>
        <w:rPr>
          <w:spacing w:val="-5"/>
        </w:rPr>
        <w:t> </w:t>
      </w:r>
      <w:r>
        <w:rPr/>
        <w:t>de</w:t>
      </w:r>
      <w:r>
        <w:rPr>
          <w:spacing w:val="-6"/>
        </w:rPr>
        <w:t> </w:t>
      </w:r>
      <w:r>
        <w:rPr/>
        <w:t>20.3%</w:t>
      </w:r>
      <w:r>
        <w:rPr>
          <w:spacing w:val="-8"/>
        </w:rPr>
        <w:t> </w:t>
      </w:r>
      <w:r>
        <w:rPr/>
        <w:t>en</w:t>
      </w:r>
      <w:r>
        <w:rPr>
          <w:spacing w:val="-5"/>
        </w:rPr>
        <w:t> </w:t>
      </w:r>
      <w:r>
        <w:rPr/>
        <w:t>el</w:t>
      </w:r>
      <w:r>
        <w:rPr>
          <w:spacing w:val="-5"/>
        </w:rPr>
        <w:t> </w:t>
      </w:r>
      <w:r>
        <w:rPr/>
        <w:t>PIB</w:t>
      </w:r>
      <w:r>
        <w:rPr>
          <w:spacing w:val="-4"/>
        </w:rPr>
        <w:t> </w:t>
      </w:r>
      <w:r>
        <w:rPr/>
        <w:t>y</w:t>
      </w:r>
      <w:r>
        <w:rPr>
          <w:spacing w:val="-9"/>
        </w:rPr>
        <w:t> </w:t>
      </w:r>
      <w:r>
        <w:rPr/>
        <w:t>una</w:t>
      </w:r>
      <w:r>
        <w:rPr>
          <w:spacing w:val="-5"/>
        </w:rPr>
        <w:t> </w:t>
      </w:r>
      <w:r>
        <w:rPr/>
        <w:t>estimación</w:t>
      </w:r>
      <w:r>
        <w:rPr>
          <w:spacing w:val="-9"/>
        </w:rPr>
        <w:t> </w:t>
      </w:r>
      <w:r>
        <w:rPr/>
        <w:t>de</w:t>
      </w:r>
      <w:r>
        <w:rPr>
          <w:spacing w:val="-5"/>
        </w:rPr>
        <w:t> </w:t>
      </w:r>
      <w:r>
        <w:rPr/>
        <w:t>crecimiento</w:t>
      </w:r>
      <w:r>
        <w:rPr>
          <w:spacing w:val="-6"/>
        </w:rPr>
        <w:t> </w:t>
      </w:r>
      <w:r>
        <w:rPr/>
        <w:t>del 3.8%,</w:t>
      </w:r>
      <w:r>
        <w:rPr>
          <w:spacing w:val="-7"/>
        </w:rPr>
        <w:t> </w:t>
      </w:r>
      <w:r>
        <w:rPr/>
        <w:t>asociado</w:t>
      </w:r>
      <w:r>
        <w:rPr>
          <w:spacing w:val="-5"/>
        </w:rPr>
        <w:t> </w:t>
      </w:r>
      <w:r>
        <w:rPr/>
        <w:t>a</w:t>
      </w:r>
      <w:r>
        <w:rPr>
          <w:spacing w:val="-6"/>
        </w:rPr>
        <w:t> </w:t>
      </w:r>
      <w:r>
        <w:rPr/>
        <w:t>la</w:t>
      </w:r>
      <w:r>
        <w:rPr>
          <w:spacing w:val="-7"/>
        </w:rPr>
        <w:t> </w:t>
      </w:r>
      <w:r>
        <w:rPr/>
        <w:t>normalización</w:t>
      </w:r>
      <w:r>
        <w:rPr>
          <w:spacing w:val="-5"/>
        </w:rPr>
        <w:t> </w:t>
      </w:r>
      <w:r>
        <w:rPr/>
        <w:t>de</w:t>
      </w:r>
      <w:r>
        <w:rPr>
          <w:spacing w:val="-3"/>
        </w:rPr>
        <w:t> </w:t>
      </w:r>
      <w:r>
        <w:rPr/>
        <w:t>la</w:t>
      </w:r>
      <w:r>
        <w:rPr>
          <w:spacing w:val="-4"/>
        </w:rPr>
        <w:t> </w:t>
      </w:r>
      <w:r>
        <w:rPr/>
        <w:t>economía</w:t>
      </w:r>
      <w:r>
        <w:rPr>
          <w:spacing w:val="-4"/>
        </w:rPr>
        <w:t> </w:t>
      </w:r>
      <w:r>
        <w:rPr/>
        <w:t>después</w:t>
      </w:r>
      <w:r>
        <w:rPr>
          <w:spacing w:val="-3"/>
        </w:rPr>
        <w:t> </w:t>
      </w:r>
      <w:r>
        <w:rPr/>
        <w:t>del</w:t>
      </w:r>
      <w:r>
        <w:rPr>
          <w:spacing w:val="-6"/>
        </w:rPr>
        <w:t> </w:t>
      </w:r>
      <w:r>
        <w:rPr/>
        <w:t>efecto</w:t>
      </w:r>
      <w:r>
        <w:rPr>
          <w:spacing w:val="-4"/>
        </w:rPr>
        <w:t> </w:t>
      </w:r>
      <w:r>
        <w:rPr/>
        <w:t>provocado</w:t>
      </w:r>
      <w:r>
        <w:rPr>
          <w:spacing w:val="-5"/>
        </w:rPr>
        <w:t> </w:t>
      </w:r>
      <w:r>
        <w:rPr/>
        <w:t>por</w:t>
      </w:r>
      <w:r>
        <w:rPr>
          <w:spacing w:val="-4"/>
        </w:rPr>
        <w:t> </w:t>
      </w:r>
      <w:r>
        <w:rPr/>
        <w:t>la</w:t>
      </w:r>
      <w:r>
        <w:rPr>
          <w:spacing w:val="-3"/>
        </w:rPr>
        <w:t> </w:t>
      </w:r>
      <w:r>
        <w:rPr/>
        <w:t>pandemia.</w:t>
      </w:r>
      <w:r>
        <w:rPr>
          <w:spacing w:val="-4"/>
        </w:rPr>
        <w:t> </w:t>
      </w:r>
      <w:r>
        <w:rPr/>
        <w:t>En segundo lugar, se encuentran las industrias manufactureras con participación del 14.0% y una contribución al crecimiento de 3.6%, influenciado principalmente, por una mayor demanda intermedia en las actividades relacionadas con la elaboración de materiales de construcción, fabricación y reparación de maquinaria y equipo, productos de plástico, y productos de papel e impresión, así como un incremento en la demanda interna y externa de azúcar, aceites y grasas de origen vegetal y animal, otros productos alimenticios y bebidas no</w:t>
      </w:r>
      <w:r>
        <w:rPr>
          <w:spacing w:val="-8"/>
        </w:rPr>
        <w:t> </w:t>
      </w:r>
      <w:r>
        <w:rPr/>
        <w:t>alcohólicas.</w:t>
      </w:r>
    </w:p>
    <w:p>
      <w:pPr>
        <w:pStyle w:val="BodyText"/>
        <w:spacing w:before="5"/>
        <w:rPr>
          <w:sz w:val="25"/>
        </w:rPr>
      </w:pPr>
    </w:p>
    <w:p>
      <w:pPr>
        <w:pStyle w:val="BodyText"/>
        <w:spacing w:line="276" w:lineRule="auto" w:before="1"/>
        <w:ind w:left="562" w:right="1695"/>
        <w:jc w:val="both"/>
      </w:pPr>
      <w:r>
        <w:rPr/>
        <w:t>Por su parte, agricultura, ganadería, silvicultura y pesca con un peso relativo de 9.3% en el PIB, se proyecta un crecimiento del 2.6%, como resultado de un aumento esperado en la producción de hortalizas, melones, bananos y otras frutas, así como de palma africana y aves de corral.</w:t>
      </w:r>
    </w:p>
    <w:p>
      <w:pPr>
        <w:pStyle w:val="BodyText"/>
        <w:spacing w:before="3"/>
        <w:rPr>
          <w:sz w:val="25"/>
        </w:rPr>
      </w:pPr>
    </w:p>
    <w:p>
      <w:pPr>
        <w:pStyle w:val="BodyText"/>
        <w:spacing w:line="276" w:lineRule="auto"/>
        <w:ind w:left="562" w:right="1694"/>
        <w:jc w:val="both"/>
      </w:pPr>
      <w:r>
        <w:rPr/>
        <w:t>Debido a la evolución prevista en la construcción de edificios residenciales y no residenciales y el incremento en la construcción de obra civil privada se prevé que el crecimiento estimado de las actividades de construcción sea del 8.8% y que las actividades inmobiliarias, con peso relativo del 8.0% en el PIB, aumentarían un 4.2%, como consecuencia en el incremento estimado de alquileres</w:t>
      </w:r>
      <w:r>
        <w:rPr>
          <w:spacing w:val="-32"/>
        </w:rPr>
        <w:t> </w:t>
      </w:r>
      <w:r>
        <w:rPr/>
        <w:t>y viviendas</w:t>
      </w:r>
      <w:r>
        <w:rPr>
          <w:spacing w:val="-1"/>
        </w:rPr>
        <w:t> </w:t>
      </w:r>
      <w:r>
        <w:rPr/>
        <w:t>construidas.</w:t>
      </w:r>
    </w:p>
    <w:p>
      <w:pPr>
        <w:pStyle w:val="BodyText"/>
        <w:spacing w:before="3"/>
        <w:rPr>
          <w:sz w:val="25"/>
        </w:rPr>
      </w:pPr>
    </w:p>
    <w:p>
      <w:pPr>
        <w:pStyle w:val="BodyText"/>
        <w:spacing w:line="276" w:lineRule="auto"/>
        <w:ind w:left="562" w:right="1697"/>
        <w:jc w:val="both"/>
      </w:pPr>
      <w:r>
        <w:rPr/>
        <w:t>Por la relajación de las medidas de contingencia de la pandemia, se espera que el flujo de turistas nacionales y extranjeros se recuperen, lo que incidiría positivamente en la demanda de servicios de alojamiento, reflejada en que las actividades de alojamiento y de servicio de comidas con peso de 2.9% proyecten un crecimiento 8.9% para este año.</w:t>
      </w:r>
    </w:p>
    <w:p>
      <w:pPr>
        <w:pStyle w:val="BodyText"/>
        <w:spacing w:before="4"/>
        <w:rPr>
          <w:sz w:val="25"/>
        </w:rPr>
      </w:pPr>
    </w:p>
    <w:p>
      <w:pPr>
        <w:pStyle w:val="BodyText"/>
        <w:spacing w:line="276" w:lineRule="auto"/>
        <w:ind w:left="562" w:right="1699"/>
        <w:jc w:val="both"/>
      </w:pPr>
      <w:r>
        <w:rPr/>
        <w:t>Actividades</w:t>
      </w:r>
      <w:r>
        <w:rPr>
          <w:spacing w:val="-6"/>
        </w:rPr>
        <w:t> </w:t>
      </w:r>
      <w:r>
        <w:rPr/>
        <w:t>de</w:t>
      </w:r>
      <w:r>
        <w:rPr>
          <w:spacing w:val="-6"/>
        </w:rPr>
        <w:t> </w:t>
      </w:r>
      <w:r>
        <w:rPr/>
        <w:t>servicios</w:t>
      </w:r>
      <w:r>
        <w:rPr>
          <w:spacing w:val="-7"/>
        </w:rPr>
        <w:t> </w:t>
      </w:r>
      <w:r>
        <w:rPr/>
        <w:t>administrativos</w:t>
      </w:r>
      <w:r>
        <w:rPr>
          <w:spacing w:val="-3"/>
        </w:rPr>
        <w:t> </w:t>
      </w:r>
      <w:r>
        <w:rPr/>
        <w:t>y</w:t>
      </w:r>
      <w:r>
        <w:rPr>
          <w:spacing w:val="-6"/>
        </w:rPr>
        <w:t> </w:t>
      </w:r>
      <w:r>
        <w:rPr/>
        <w:t>de</w:t>
      </w:r>
      <w:r>
        <w:rPr>
          <w:spacing w:val="-7"/>
        </w:rPr>
        <w:t> </w:t>
      </w:r>
      <w:r>
        <w:rPr/>
        <w:t>apoyo</w:t>
      </w:r>
      <w:r>
        <w:rPr>
          <w:spacing w:val="-4"/>
        </w:rPr>
        <w:t> </w:t>
      </w:r>
      <w:r>
        <w:rPr/>
        <w:t>con</w:t>
      </w:r>
      <w:r>
        <w:rPr>
          <w:spacing w:val="-4"/>
        </w:rPr>
        <w:t> </w:t>
      </w:r>
      <w:r>
        <w:rPr/>
        <w:t>un</w:t>
      </w:r>
      <w:r>
        <w:rPr>
          <w:spacing w:val="-7"/>
        </w:rPr>
        <w:t> </w:t>
      </w:r>
      <w:r>
        <w:rPr/>
        <w:t>peso</w:t>
      </w:r>
      <w:r>
        <w:rPr>
          <w:spacing w:val="-6"/>
        </w:rPr>
        <w:t> </w:t>
      </w:r>
      <w:r>
        <w:rPr/>
        <w:t>relativo</w:t>
      </w:r>
      <w:r>
        <w:rPr>
          <w:spacing w:val="-4"/>
        </w:rPr>
        <w:t> </w:t>
      </w:r>
      <w:r>
        <w:rPr/>
        <w:t>4.1%</w:t>
      </w:r>
      <w:r>
        <w:rPr>
          <w:spacing w:val="-4"/>
        </w:rPr>
        <w:t> </w:t>
      </w:r>
      <w:r>
        <w:rPr/>
        <w:t>en</w:t>
      </w:r>
      <w:r>
        <w:rPr>
          <w:spacing w:val="-8"/>
        </w:rPr>
        <w:t> </w:t>
      </w:r>
      <w:r>
        <w:rPr/>
        <w:t>el</w:t>
      </w:r>
      <w:r>
        <w:rPr>
          <w:spacing w:val="-4"/>
        </w:rPr>
        <w:t> </w:t>
      </w:r>
      <w:r>
        <w:rPr/>
        <w:t>PIB</w:t>
      </w:r>
      <w:r>
        <w:rPr>
          <w:spacing w:val="-5"/>
        </w:rPr>
        <w:t> </w:t>
      </w:r>
      <w:r>
        <w:rPr/>
        <w:t>y</w:t>
      </w:r>
      <w:r>
        <w:rPr>
          <w:spacing w:val="-6"/>
        </w:rPr>
        <w:t> </w:t>
      </w:r>
      <w:r>
        <w:rPr/>
        <w:t>Salud</w:t>
      </w:r>
      <w:r>
        <w:rPr>
          <w:spacing w:val="-7"/>
        </w:rPr>
        <w:t> </w:t>
      </w:r>
      <w:r>
        <w:rPr/>
        <w:t>con peso relativo del 3.1% en el PIB, proyectan los crecimientos interanuales muy por debajo a los obtenidos el año pasado con 3.0% y 4.5% respectivamente, también asociado al relajamiento en medidas de contingencia post COVID.</w:t>
      </w:r>
    </w:p>
    <w:p>
      <w:pPr>
        <w:spacing w:after="0" w:line="276" w:lineRule="auto"/>
        <w:jc w:val="both"/>
        <w:sectPr>
          <w:type w:val="continuous"/>
          <w:pgSz w:w="12240" w:h="15840"/>
          <w:pgMar w:top="1500" w:bottom="280" w:left="1140" w:right="0"/>
        </w:sectPr>
      </w:pPr>
    </w:p>
    <w:p>
      <w:pPr>
        <w:spacing w:before="169"/>
        <w:ind w:left="1395" w:right="2535" w:firstLine="0"/>
        <w:jc w:val="center"/>
        <w:rPr>
          <w:b/>
          <w:sz w:val="20"/>
        </w:rPr>
      </w:pPr>
      <w:bookmarkStart w:name="_bookmark77" w:id="100"/>
      <w:bookmarkEnd w:id="100"/>
      <w:r>
        <w:rPr/>
      </w:r>
      <w:r>
        <w:rPr>
          <w:b/>
          <w:i/>
          <w:sz w:val="20"/>
        </w:rPr>
        <w:t>Tabla 5.  </w:t>
      </w:r>
      <w:r>
        <w:rPr>
          <w:b/>
          <w:sz w:val="20"/>
        </w:rPr>
        <w:t>Producto Interno Bruto</w:t>
      </w:r>
    </w:p>
    <w:p>
      <w:pPr>
        <w:pStyle w:val="BodyText"/>
        <w:spacing w:line="276" w:lineRule="auto" w:before="27" w:after="6"/>
        <w:ind w:left="1954" w:right="3093"/>
        <w:jc w:val="center"/>
      </w:pPr>
      <w:r>
        <w:rPr/>
        <w:t>Por Enfoque de la producción, variaciones Porcentuales Interanuales 2021-2022</w:t>
      </w:r>
    </w:p>
    <w:tbl>
      <w:tblPr>
        <w:tblW w:w="0" w:type="auto"/>
        <w:jc w:val="left"/>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25"/>
        <w:gridCol w:w="968"/>
        <w:gridCol w:w="968"/>
        <w:gridCol w:w="969"/>
        <w:gridCol w:w="971"/>
      </w:tblGrid>
      <w:tr>
        <w:trPr>
          <w:trHeight w:val="266" w:hRule="atLeast"/>
        </w:trPr>
        <w:tc>
          <w:tcPr>
            <w:tcW w:w="4825" w:type="dxa"/>
            <w:vMerge w:val="restart"/>
            <w:tcBorders>
              <w:top w:val="single" w:sz="4" w:space="0" w:color="000000"/>
              <w:left w:val="single" w:sz="4" w:space="0" w:color="000000"/>
              <w:bottom w:val="single" w:sz="4" w:space="0" w:color="000000"/>
              <w:right w:val="single" w:sz="4" w:space="0" w:color="000000"/>
            </w:tcBorders>
            <w:shd w:val="clear" w:color="auto" w:fill="BCD5ED"/>
          </w:tcPr>
          <w:p>
            <w:pPr>
              <w:pStyle w:val="TableParagraph"/>
              <w:spacing w:before="139"/>
              <w:ind w:left="1518"/>
              <w:rPr>
                <w:b/>
                <w:sz w:val="20"/>
              </w:rPr>
            </w:pPr>
            <w:r>
              <w:rPr>
                <w:b/>
                <w:sz w:val="20"/>
              </w:rPr>
              <w:t>Actividad económica</w:t>
            </w:r>
          </w:p>
        </w:tc>
        <w:tc>
          <w:tcPr>
            <w:tcW w:w="1936" w:type="dxa"/>
            <w:gridSpan w:val="2"/>
            <w:tcBorders>
              <w:top w:val="single" w:sz="4" w:space="0" w:color="000000"/>
              <w:left w:val="single" w:sz="4" w:space="0" w:color="000000"/>
              <w:bottom w:val="single" w:sz="4" w:space="0" w:color="000000"/>
              <w:right w:val="single" w:sz="4" w:space="0" w:color="000000"/>
            </w:tcBorders>
            <w:shd w:val="clear" w:color="auto" w:fill="BCD5ED"/>
          </w:tcPr>
          <w:p>
            <w:pPr>
              <w:pStyle w:val="TableParagraph"/>
              <w:spacing w:before="2"/>
              <w:ind w:left="498"/>
              <w:rPr>
                <w:b/>
                <w:sz w:val="20"/>
              </w:rPr>
            </w:pPr>
            <w:r>
              <w:rPr>
                <w:b/>
                <w:sz w:val="20"/>
              </w:rPr>
              <w:t>Estructura</w:t>
            </w:r>
          </w:p>
        </w:tc>
        <w:tc>
          <w:tcPr>
            <w:tcW w:w="1940" w:type="dxa"/>
            <w:gridSpan w:val="2"/>
            <w:tcBorders>
              <w:top w:val="single" w:sz="4" w:space="0" w:color="000000"/>
              <w:left w:val="single" w:sz="4" w:space="0" w:color="000000"/>
              <w:bottom w:val="single" w:sz="4" w:space="0" w:color="000000"/>
              <w:right w:val="single" w:sz="4" w:space="0" w:color="000000"/>
            </w:tcBorders>
            <w:shd w:val="clear" w:color="auto" w:fill="BCD5ED"/>
          </w:tcPr>
          <w:p>
            <w:pPr>
              <w:pStyle w:val="TableParagraph"/>
              <w:spacing w:before="2"/>
              <w:ind w:left="437"/>
              <w:rPr>
                <w:b/>
                <w:sz w:val="20"/>
              </w:rPr>
            </w:pPr>
            <w:r>
              <w:rPr>
                <w:b/>
                <w:sz w:val="20"/>
              </w:rPr>
              <w:t>Crecimiento</w:t>
            </w:r>
          </w:p>
        </w:tc>
      </w:tr>
      <w:tr>
        <w:trPr>
          <w:trHeight w:val="263" w:hRule="atLeast"/>
        </w:trPr>
        <w:tc>
          <w:tcPr>
            <w:tcW w:w="4825" w:type="dxa"/>
            <w:vMerge/>
            <w:tcBorders>
              <w:top w:val="nil"/>
              <w:left w:val="single" w:sz="4" w:space="0" w:color="000000"/>
              <w:bottom w:val="single" w:sz="4" w:space="0" w:color="000000"/>
              <w:right w:val="single" w:sz="4" w:space="0" w:color="000000"/>
            </w:tcBorders>
            <w:shd w:val="clear" w:color="auto" w:fill="BCD5ED"/>
          </w:tcPr>
          <w:p>
            <w:pPr>
              <w:rPr>
                <w:sz w:val="2"/>
                <w:szCs w:val="2"/>
              </w:rPr>
            </w:pPr>
          </w:p>
        </w:tc>
        <w:tc>
          <w:tcPr>
            <w:tcW w:w="968" w:type="dxa"/>
            <w:tcBorders>
              <w:top w:val="single" w:sz="4" w:space="0" w:color="000000"/>
              <w:left w:val="single" w:sz="4" w:space="0" w:color="000000"/>
              <w:bottom w:val="single" w:sz="4" w:space="0" w:color="000000"/>
              <w:right w:val="single" w:sz="4" w:space="0" w:color="000000"/>
            </w:tcBorders>
            <w:shd w:val="clear" w:color="auto" w:fill="BCD5ED"/>
          </w:tcPr>
          <w:p>
            <w:pPr>
              <w:pStyle w:val="TableParagraph"/>
              <w:ind w:right="269"/>
              <w:jc w:val="right"/>
              <w:rPr>
                <w:b/>
                <w:sz w:val="20"/>
              </w:rPr>
            </w:pPr>
            <w:r>
              <w:rPr>
                <w:b/>
                <w:sz w:val="20"/>
              </w:rPr>
              <w:t>2021</w:t>
            </w:r>
          </w:p>
        </w:tc>
        <w:tc>
          <w:tcPr>
            <w:tcW w:w="968" w:type="dxa"/>
            <w:tcBorders>
              <w:top w:val="single" w:sz="4" w:space="0" w:color="000000"/>
              <w:left w:val="single" w:sz="4" w:space="0" w:color="000000"/>
              <w:bottom w:val="single" w:sz="4" w:space="0" w:color="000000"/>
              <w:right w:val="single" w:sz="4" w:space="0" w:color="000000"/>
            </w:tcBorders>
            <w:shd w:val="clear" w:color="auto" w:fill="BCD5ED"/>
          </w:tcPr>
          <w:p>
            <w:pPr>
              <w:pStyle w:val="TableParagraph"/>
              <w:ind w:left="263" w:right="254"/>
              <w:jc w:val="center"/>
              <w:rPr>
                <w:b/>
                <w:sz w:val="20"/>
              </w:rPr>
            </w:pPr>
            <w:r>
              <w:rPr>
                <w:b/>
                <w:sz w:val="20"/>
              </w:rPr>
              <w:t>2022</w:t>
            </w:r>
          </w:p>
        </w:tc>
        <w:tc>
          <w:tcPr>
            <w:tcW w:w="969" w:type="dxa"/>
            <w:tcBorders>
              <w:top w:val="single" w:sz="4" w:space="0" w:color="000000"/>
              <w:left w:val="single" w:sz="4" w:space="0" w:color="000000"/>
              <w:bottom w:val="single" w:sz="4" w:space="0" w:color="000000"/>
              <w:right w:val="single" w:sz="4" w:space="0" w:color="000000"/>
            </w:tcBorders>
            <w:shd w:val="clear" w:color="auto" w:fill="BCD5ED"/>
          </w:tcPr>
          <w:p>
            <w:pPr>
              <w:pStyle w:val="TableParagraph"/>
              <w:ind w:left="260" w:right="258"/>
              <w:jc w:val="center"/>
              <w:rPr>
                <w:b/>
                <w:sz w:val="20"/>
              </w:rPr>
            </w:pPr>
            <w:r>
              <w:rPr>
                <w:b/>
                <w:sz w:val="20"/>
              </w:rPr>
              <w:t>2021</w:t>
            </w:r>
          </w:p>
        </w:tc>
        <w:tc>
          <w:tcPr>
            <w:tcW w:w="971" w:type="dxa"/>
            <w:tcBorders>
              <w:top w:val="single" w:sz="4" w:space="0" w:color="000000"/>
              <w:left w:val="single" w:sz="4" w:space="0" w:color="000000"/>
              <w:bottom w:val="single" w:sz="4" w:space="0" w:color="000000"/>
              <w:right w:val="single" w:sz="4" w:space="0" w:color="000000"/>
            </w:tcBorders>
            <w:shd w:val="clear" w:color="auto" w:fill="BCD5ED"/>
          </w:tcPr>
          <w:p>
            <w:pPr>
              <w:pStyle w:val="TableParagraph"/>
              <w:ind w:left="261" w:right="259"/>
              <w:jc w:val="center"/>
              <w:rPr>
                <w:b/>
                <w:sz w:val="20"/>
              </w:rPr>
            </w:pPr>
            <w:r>
              <w:rPr>
                <w:b/>
                <w:sz w:val="20"/>
              </w:rPr>
              <w:t>2022</w:t>
            </w:r>
          </w:p>
        </w:tc>
      </w:tr>
      <w:tr>
        <w:trPr>
          <w:trHeight w:val="248" w:hRule="atLeast"/>
        </w:trPr>
        <w:tc>
          <w:tcPr>
            <w:tcW w:w="4825" w:type="dxa"/>
            <w:tcBorders>
              <w:top w:val="single" w:sz="4" w:space="0" w:color="000000"/>
              <w:left w:val="single" w:sz="4" w:space="0" w:color="000000"/>
              <w:right w:val="single" w:sz="4" w:space="0" w:color="000000"/>
            </w:tcBorders>
          </w:tcPr>
          <w:p>
            <w:pPr>
              <w:pStyle w:val="TableParagraph"/>
              <w:spacing w:line="225" w:lineRule="exact"/>
              <w:ind w:left="279" w:right="280"/>
              <w:jc w:val="center"/>
              <w:rPr>
                <w:sz w:val="20"/>
              </w:rPr>
            </w:pPr>
            <w:r>
              <w:rPr>
                <w:sz w:val="20"/>
              </w:rPr>
              <w:t>Actividades de alojamiento y de servicio de comidas</w:t>
            </w:r>
          </w:p>
        </w:tc>
        <w:tc>
          <w:tcPr>
            <w:tcW w:w="968" w:type="dxa"/>
            <w:tcBorders>
              <w:top w:val="single" w:sz="4" w:space="0" w:color="000000"/>
              <w:left w:val="single" w:sz="4" w:space="0" w:color="000000"/>
            </w:tcBorders>
          </w:tcPr>
          <w:p>
            <w:pPr>
              <w:pStyle w:val="TableParagraph"/>
              <w:spacing w:line="225" w:lineRule="exact"/>
              <w:ind w:right="270"/>
              <w:jc w:val="right"/>
              <w:rPr>
                <w:sz w:val="20"/>
              </w:rPr>
            </w:pPr>
            <w:r>
              <w:rPr>
                <w:sz w:val="20"/>
              </w:rPr>
              <w:t>2.5%</w:t>
            </w:r>
          </w:p>
        </w:tc>
        <w:tc>
          <w:tcPr>
            <w:tcW w:w="968" w:type="dxa"/>
            <w:tcBorders>
              <w:top w:val="single" w:sz="4" w:space="0" w:color="000000"/>
              <w:right w:val="single" w:sz="4" w:space="0" w:color="000000"/>
            </w:tcBorders>
          </w:tcPr>
          <w:p>
            <w:pPr>
              <w:pStyle w:val="TableParagraph"/>
              <w:spacing w:line="225" w:lineRule="exact"/>
              <w:ind w:left="205" w:right="196"/>
              <w:jc w:val="center"/>
              <w:rPr>
                <w:sz w:val="20"/>
              </w:rPr>
            </w:pPr>
            <w:r>
              <w:rPr>
                <w:sz w:val="20"/>
              </w:rPr>
              <w:t>2.6%</w:t>
            </w:r>
          </w:p>
        </w:tc>
        <w:tc>
          <w:tcPr>
            <w:tcW w:w="969" w:type="dxa"/>
            <w:tcBorders>
              <w:top w:val="single" w:sz="4" w:space="0" w:color="000000"/>
              <w:left w:val="single" w:sz="4" w:space="0" w:color="000000"/>
            </w:tcBorders>
          </w:tcPr>
          <w:p>
            <w:pPr>
              <w:pStyle w:val="TableParagraph"/>
              <w:spacing w:line="225" w:lineRule="exact"/>
              <w:ind w:left="203" w:right="204"/>
              <w:jc w:val="center"/>
              <w:rPr>
                <w:sz w:val="20"/>
              </w:rPr>
            </w:pPr>
            <w:r>
              <w:rPr>
                <w:sz w:val="20"/>
              </w:rPr>
              <w:t>20.8%</w:t>
            </w:r>
          </w:p>
        </w:tc>
        <w:tc>
          <w:tcPr>
            <w:tcW w:w="971" w:type="dxa"/>
            <w:tcBorders>
              <w:top w:val="single" w:sz="4" w:space="0" w:color="000000"/>
              <w:right w:val="single" w:sz="4" w:space="0" w:color="000000"/>
            </w:tcBorders>
          </w:tcPr>
          <w:p>
            <w:pPr>
              <w:pStyle w:val="TableParagraph"/>
              <w:spacing w:line="225" w:lineRule="exact"/>
              <w:ind w:left="121" w:right="114"/>
              <w:jc w:val="center"/>
              <w:rPr>
                <w:sz w:val="20"/>
              </w:rPr>
            </w:pPr>
            <w:r>
              <w:rPr>
                <w:sz w:val="20"/>
              </w:rPr>
              <w:t>8.9%</w:t>
            </w:r>
          </w:p>
        </w:tc>
      </w:tr>
      <w:tr>
        <w:trPr>
          <w:trHeight w:val="265" w:hRule="atLeast"/>
        </w:trPr>
        <w:tc>
          <w:tcPr>
            <w:tcW w:w="4825" w:type="dxa"/>
            <w:tcBorders>
              <w:left w:val="single" w:sz="4" w:space="0" w:color="000000"/>
              <w:right w:val="single" w:sz="4" w:space="0" w:color="000000"/>
            </w:tcBorders>
          </w:tcPr>
          <w:p>
            <w:pPr>
              <w:pStyle w:val="TableParagraph"/>
              <w:spacing w:before="13"/>
              <w:ind w:left="279" w:right="278"/>
              <w:jc w:val="center"/>
              <w:rPr>
                <w:sz w:val="20"/>
              </w:rPr>
            </w:pPr>
            <w:r>
              <w:rPr>
                <w:sz w:val="20"/>
              </w:rPr>
              <w:t>Construcción</w:t>
            </w:r>
          </w:p>
        </w:tc>
        <w:tc>
          <w:tcPr>
            <w:tcW w:w="968" w:type="dxa"/>
            <w:tcBorders>
              <w:left w:val="single" w:sz="4" w:space="0" w:color="000000"/>
            </w:tcBorders>
          </w:tcPr>
          <w:p>
            <w:pPr>
              <w:pStyle w:val="TableParagraph"/>
              <w:spacing w:before="13"/>
              <w:ind w:right="270"/>
              <w:jc w:val="right"/>
              <w:rPr>
                <w:sz w:val="20"/>
              </w:rPr>
            </w:pPr>
            <w:r>
              <w:rPr>
                <w:sz w:val="20"/>
              </w:rPr>
              <w:t>5.4%</w:t>
            </w:r>
          </w:p>
        </w:tc>
        <w:tc>
          <w:tcPr>
            <w:tcW w:w="968" w:type="dxa"/>
            <w:tcBorders>
              <w:right w:val="single" w:sz="4" w:space="0" w:color="000000"/>
            </w:tcBorders>
          </w:tcPr>
          <w:p>
            <w:pPr>
              <w:pStyle w:val="TableParagraph"/>
              <w:spacing w:before="13"/>
              <w:ind w:left="205" w:right="196"/>
              <w:jc w:val="center"/>
              <w:rPr>
                <w:sz w:val="20"/>
              </w:rPr>
            </w:pPr>
            <w:r>
              <w:rPr>
                <w:sz w:val="20"/>
              </w:rPr>
              <w:t>5.7%</w:t>
            </w:r>
          </w:p>
        </w:tc>
        <w:tc>
          <w:tcPr>
            <w:tcW w:w="969" w:type="dxa"/>
            <w:tcBorders>
              <w:left w:val="single" w:sz="4" w:space="0" w:color="000000"/>
            </w:tcBorders>
          </w:tcPr>
          <w:p>
            <w:pPr>
              <w:pStyle w:val="TableParagraph"/>
              <w:spacing w:before="13"/>
              <w:ind w:left="203" w:right="204"/>
              <w:jc w:val="center"/>
              <w:rPr>
                <w:sz w:val="20"/>
              </w:rPr>
            </w:pPr>
            <w:r>
              <w:rPr>
                <w:sz w:val="20"/>
              </w:rPr>
              <w:t>11.0%</w:t>
            </w:r>
          </w:p>
        </w:tc>
        <w:tc>
          <w:tcPr>
            <w:tcW w:w="971" w:type="dxa"/>
            <w:tcBorders>
              <w:right w:val="single" w:sz="4" w:space="0" w:color="000000"/>
            </w:tcBorders>
          </w:tcPr>
          <w:p>
            <w:pPr>
              <w:pStyle w:val="TableParagraph"/>
              <w:spacing w:before="13"/>
              <w:ind w:left="121" w:right="114"/>
              <w:jc w:val="center"/>
              <w:rPr>
                <w:sz w:val="20"/>
              </w:rPr>
            </w:pPr>
            <w:r>
              <w:rPr>
                <w:sz w:val="20"/>
              </w:rPr>
              <w:t>8.8%</w:t>
            </w:r>
          </w:p>
        </w:tc>
      </w:tr>
      <w:tr>
        <w:trPr>
          <w:trHeight w:val="263" w:hRule="atLeast"/>
        </w:trPr>
        <w:tc>
          <w:tcPr>
            <w:tcW w:w="4825" w:type="dxa"/>
            <w:tcBorders>
              <w:left w:val="single" w:sz="4" w:space="0" w:color="000000"/>
              <w:right w:val="single" w:sz="4" w:space="0" w:color="000000"/>
            </w:tcBorders>
          </w:tcPr>
          <w:p>
            <w:pPr>
              <w:pStyle w:val="TableParagraph"/>
              <w:spacing w:before="12"/>
              <w:ind w:left="279" w:right="275"/>
              <w:jc w:val="center"/>
              <w:rPr>
                <w:sz w:val="20"/>
              </w:rPr>
            </w:pPr>
            <w:r>
              <w:rPr>
                <w:sz w:val="20"/>
              </w:rPr>
              <w:t>Explotación de minas y canteras</w:t>
            </w:r>
          </w:p>
        </w:tc>
        <w:tc>
          <w:tcPr>
            <w:tcW w:w="968" w:type="dxa"/>
            <w:tcBorders>
              <w:left w:val="single" w:sz="4" w:space="0" w:color="000000"/>
            </w:tcBorders>
          </w:tcPr>
          <w:p>
            <w:pPr>
              <w:pStyle w:val="TableParagraph"/>
              <w:spacing w:before="12"/>
              <w:ind w:right="270"/>
              <w:jc w:val="right"/>
              <w:rPr>
                <w:sz w:val="20"/>
              </w:rPr>
            </w:pPr>
            <w:r>
              <w:rPr>
                <w:sz w:val="20"/>
              </w:rPr>
              <w:t>0.6%</w:t>
            </w:r>
          </w:p>
        </w:tc>
        <w:tc>
          <w:tcPr>
            <w:tcW w:w="968" w:type="dxa"/>
            <w:tcBorders>
              <w:right w:val="single" w:sz="4" w:space="0" w:color="000000"/>
            </w:tcBorders>
          </w:tcPr>
          <w:p>
            <w:pPr>
              <w:pStyle w:val="TableParagraph"/>
              <w:spacing w:before="12"/>
              <w:ind w:left="205" w:right="196"/>
              <w:jc w:val="center"/>
              <w:rPr>
                <w:sz w:val="20"/>
              </w:rPr>
            </w:pPr>
            <w:r>
              <w:rPr>
                <w:sz w:val="20"/>
              </w:rPr>
              <w:t>0.6%</w:t>
            </w:r>
          </w:p>
        </w:tc>
        <w:tc>
          <w:tcPr>
            <w:tcW w:w="969" w:type="dxa"/>
            <w:tcBorders>
              <w:left w:val="single" w:sz="4" w:space="0" w:color="000000"/>
            </w:tcBorders>
          </w:tcPr>
          <w:p>
            <w:pPr>
              <w:pStyle w:val="TableParagraph"/>
              <w:spacing w:before="12"/>
              <w:ind w:left="203" w:right="204"/>
              <w:jc w:val="center"/>
              <w:rPr>
                <w:sz w:val="20"/>
              </w:rPr>
            </w:pPr>
            <w:r>
              <w:rPr>
                <w:sz w:val="20"/>
              </w:rPr>
              <w:t>10.1%</w:t>
            </w:r>
          </w:p>
        </w:tc>
        <w:tc>
          <w:tcPr>
            <w:tcW w:w="971" w:type="dxa"/>
            <w:tcBorders>
              <w:right w:val="single" w:sz="4" w:space="0" w:color="000000"/>
            </w:tcBorders>
          </w:tcPr>
          <w:p>
            <w:pPr>
              <w:pStyle w:val="TableParagraph"/>
              <w:spacing w:before="12"/>
              <w:ind w:left="121" w:right="114"/>
              <w:jc w:val="center"/>
              <w:rPr>
                <w:sz w:val="20"/>
              </w:rPr>
            </w:pPr>
            <w:r>
              <w:rPr>
                <w:sz w:val="20"/>
              </w:rPr>
              <w:t>6.1%</w:t>
            </w:r>
          </w:p>
        </w:tc>
      </w:tr>
      <w:tr>
        <w:trPr>
          <w:trHeight w:val="264" w:hRule="atLeast"/>
        </w:trPr>
        <w:tc>
          <w:tcPr>
            <w:tcW w:w="4825" w:type="dxa"/>
            <w:tcBorders>
              <w:left w:val="single" w:sz="4" w:space="0" w:color="000000"/>
              <w:right w:val="single" w:sz="4" w:space="0" w:color="000000"/>
            </w:tcBorders>
          </w:tcPr>
          <w:p>
            <w:pPr>
              <w:pStyle w:val="TableParagraph"/>
              <w:spacing w:before="12"/>
              <w:ind w:left="279" w:right="279"/>
              <w:jc w:val="center"/>
              <w:rPr>
                <w:sz w:val="20"/>
              </w:rPr>
            </w:pPr>
            <w:r>
              <w:rPr>
                <w:sz w:val="20"/>
              </w:rPr>
              <w:t>Transporte y almacenamiento</w:t>
            </w:r>
          </w:p>
        </w:tc>
        <w:tc>
          <w:tcPr>
            <w:tcW w:w="968" w:type="dxa"/>
            <w:tcBorders>
              <w:left w:val="single" w:sz="4" w:space="0" w:color="000000"/>
            </w:tcBorders>
          </w:tcPr>
          <w:p>
            <w:pPr>
              <w:pStyle w:val="TableParagraph"/>
              <w:spacing w:before="12"/>
              <w:ind w:right="270"/>
              <w:jc w:val="right"/>
              <w:rPr>
                <w:sz w:val="20"/>
              </w:rPr>
            </w:pPr>
            <w:r>
              <w:rPr>
                <w:sz w:val="20"/>
              </w:rPr>
              <w:t>3.0%</w:t>
            </w:r>
          </w:p>
        </w:tc>
        <w:tc>
          <w:tcPr>
            <w:tcW w:w="968" w:type="dxa"/>
            <w:tcBorders>
              <w:right w:val="single" w:sz="4" w:space="0" w:color="000000"/>
            </w:tcBorders>
          </w:tcPr>
          <w:p>
            <w:pPr>
              <w:pStyle w:val="TableParagraph"/>
              <w:spacing w:before="12"/>
              <w:ind w:left="205" w:right="196"/>
              <w:jc w:val="center"/>
              <w:rPr>
                <w:sz w:val="20"/>
              </w:rPr>
            </w:pPr>
            <w:r>
              <w:rPr>
                <w:sz w:val="20"/>
              </w:rPr>
              <w:t>3.0%</w:t>
            </w:r>
          </w:p>
        </w:tc>
        <w:tc>
          <w:tcPr>
            <w:tcW w:w="969" w:type="dxa"/>
            <w:tcBorders>
              <w:left w:val="single" w:sz="4" w:space="0" w:color="000000"/>
            </w:tcBorders>
          </w:tcPr>
          <w:p>
            <w:pPr>
              <w:pStyle w:val="TableParagraph"/>
              <w:spacing w:before="12"/>
              <w:ind w:left="203" w:right="204"/>
              <w:jc w:val="center"/>
              <w:rPr>
                <w:sz w:val="20"/>
              </w:rPr>
            </w:pPr>
            <w:r>
              <w:rPr>
                <w:sz w:val="20"/>
              </w:rPr>
              <w:t>11.6%</w:t>
            </w:r>
          </w:p>
        </w:tc>
        <w:tc>
          <w:tcPr>
            <w:tcW w:w="971" w:type="dxa"/>
            <w:tcBorders>
              <w:right w:val="single" w:sz="4" w:space="0" w:color="000000"/>
            </w:tcBorders>
          </w:tcPr>
          <w:p>
            <w:pPr>
              <w:pStyle w:val="TableParagraph"/>
              <w:spacing w:before="12"/>
              <w:ind w:left="121" w:right="114"/>
              <w:jc w:val="center"/>
              <w:rPr>
                <w:sz w:val="20"/>
              </w:rPr>
            </w:pPr>
            <w:r>
              <w:rPr>
                <w:sz w:val="20"/>
              </w:rPr>
              <w:t>5.3%</w:t>
            </w:r>
          </w:p>
        </w:tc>
      </w:tr>
      <w:tr>
        <w:trPr>
          <w:trHeight w:val="264" w:hRule="atLeast"/>
        </w:trPr>
        <w:tc>
          <w:tcPr>
            <w:tcW w:w="4825" w:type="dxa"/>
            <w:tcBorders>
              <w:left w:val="single" w:sz="4" w:space="0" w:color="000000"/>
              <w:right w:val="single" w:sz="4" w:space="0" w:color="000000"/>
            </w:tcBorders>
          </w:tcPr>
          <w:p>
            <w:pPr>
              <w:pStyle w:val="TableParagraph"/>
              <w:spacing w:before="12"/>
              <w:ind w:left="279" w:right="279"/>
              <w:jc w:val="center"/>
              <w:rPr>
                <w:sz w:val="20"/>
              </w:rPr>
            </w:pPr>
            <w:r>
              <w:rPr>
                <w:sz w:val="20"/>
              </w:rPr>
              <w:t>Actividades financieras y de seguros</w:t>
            </w:r>
          </w:p>
        </w:tc>
        <w:tc>
          <w:tcPr>
            <w:tcW w:w="968" w:type="dxa"/>
            <w:tcBorders>
              <w:left w:val="single" w:sz="4" w:space="0" w:color="000000"/>
            </w:tcBorders>
          </w:tcPr>
          <w:p>
            <w:pPr>
              <w:pStyle w:val="TableParagraph"/>
              <w:spacing w:before="12"/>
              <w:ind w:right="270"/>
              <w:jc w:val="right"/>
              <w:rPr>
                <w:sz w:val="20"/>
              </w:rPr>
            </w:pPr>
            <w:r>
              <w:rPr>
                <w:sz w:val="20"/>
              </w:rPr>
              <w:t>3.8%</w:t>
            </w:r>
          </w:p>
        </w:tc>
        <w:tc>
          <w:tcPr>
            <w:tcW w:w="968" w:type="dxa"/>
            <w:tcBorders>
              <w:right w:val="single" w:sz="4" w:space="0" w:color="000000"/>
            </w:tcBorders>
          </w:tcPr>
          <w:p>
            <w:pPr>
              <w:pStyle w:val="TableParagraph"/>
              <w:spacing w:before="12"/>
              <w:ind w:left="205" w:right="196"/>
              <w:jc w:val="center"/>
              <w:rPr>
                <w:sz w:val="20"/>
              </w:rPr>
            </w:pPr>
            <w:r>
              <w:rPr>
                <w:sz w:val="20"/>
              </w:rPr>
              <w:t>3.8%</w:t>
            </w:r>
          </w:p>
        </w:tc>
        <w:tc>
          <w:tcPr>
            <w:tcW w:w="969" w:type="dxa"/>
            <w:tcBorders>
              <w:left w:val="single" w:sz="4" w:space="0" w:color="000000"/>
            </w:tcBorders>
          </w:tcPr>
          <w:p>
            <w:pPr>
              <w:pStyle w:val="TableParagraph"/>
              <w:spacing w:before="12"/>
              <w:ind w:left="198" w:right="204"/>
              <w:jc w:val="center"/>
              <w:rPr>
                <w:sz w:val="20"/>
              </w:rPr>
            </w:pPr>
            <w:r>
              <w:rPr>
                <w:sz w:val="20"/>
              </w:rPr>
              <w:t>6.3%</w:t>
            </w:r>
          </w:p>
        </w:tc>
        <w:tc>
          <w:tcPr>
            <w:tcW w:w="971" w:type="dxa"/>
            <w:tcBorders>
              <w:right w:val="single" w:sz="4" w:space="0" w:color="000000"/>
            </w:tcBorders>
          </w:tcPr>
          <w:p>
            <w:pPr>
              <w:pStyle w:val="TableParagraph"/>
              <w:spacing w:before="12"/>
              <w:ind w:left="121" w:right="114"/>
              <w:jc w:val="center"/>
              <w:rPr>
                <w:sz w:val="20"/>
              </w:rPr>
            </w:pPr>
            <w:r>
              <w:rPr>
                <w:sz w:val="20"/>
              </w:rPr>
              <w:t>5.2%</w:t>
            </w:r>
          </w:p>
        </w:tc>
      </w:tr>
      <w:tr>
        <w:trPr>
          <w:trHeight w:val="265" w:hRule="atLeast"/>
        </w:trPr>
        <w:tc>
          <w:tcPr>
            <w:tcW w:w="4825" w:type="dxa"/>
            <w:tcBorders>
              <w:left w:val="single" w:sz="4" w:space="0" w:color="000000"/>
              <w:right w:val="single" w:sz="4" w:space="0" w:color="000000"/>
            </w:tcBorders>
          </w:tcPr>
          <w:p>
            <w:pPr>
              <w:pStyle w:val="TableParagraph"/>
              <w:spacing w:before="12"/>
              <w:ind w:left="279" w:right="280"/>
              <w:jc w:val="center"/>
              <w:rPr>
                <w:sz w:val="20"/>
              </w:rPr>
            </w:pPr>
            <w:r>
              <w:rPr>
                <w:sz w:val="20"/>
              </w:rPr>
              <w:t>Suministro de electricidad, agua y saneamiento</w:t>
            </w:r>
          </w:p>
        </w:tc>
        <w:tc>
          <w:tcPr>
            <w:tcW w:w="968" w:type="dxa"/>
            <w:tcBorders>
              <w:left w:val="single" w:sz="4" w:space="0" w:color="000000"/>
            </w:tcBorders>
          </w:tcPr>
          <w:p>
            <w:pPr>
              <w:pStyle w:val="TableParagraph"/>
              <w:spacing w:before="12"/>
              <w:ind w:right="270"/>
              <w:jc w:val="right"/>
              <w:rPr>
                <w:sz w:val="20"/>
              </w:rPr>
            </w:pPr>
            <w:r>
              <w:rPr>
                <w:sz w:val="20"/>
              </w:rPr>
              <w:t>2.3%</w:t>
            </w:r>
          </w:p>
        </w:tc>
        <w:tc>
          <w:tcPr>
            <w:tcW w:w="968" w:type="dxa"/>
            <w:tcBorders>
              <w:right w:val="single" w:sz="4" w:space="0" w:color="000000"/>
            </w:tcBorders>
          </w:tcPr>
          <w:p>
            <w:pPr>
              <w:pStyle w:val="TableParagraph"/>
              <w:spacing w:before="12"/>
              <w:ind w:left="205" w:right="196"/>
              <w:jc w:val="center"/>
              <w:rPr>
                <w:sz w:val="20"/>
              </w:rPr>
            </w:pPr>
            <w:r>
              <w:rPr>
                <w:sz w:val="20"/>
              </w:rPr>
              <w:t>2.3%</w:t>
            </w:r>
          </w:p>
        </w:tc>
        <w:tc>
          <w:tcPr>
            <w:tcW w:w="969" w:type="dxa"/>
            <w:tcBorders>
              <w:left w:val="single" w:sz="4" w:space="0" w:color="000000"/>
            </w:tcBorders>
          </w:tcPr>
          <w:p>
            <w:pPr>
              <w:pStyle w:val="TableParagraph"/>
              <w:spacing w:before="12"/>
              <w:ind w:left="198" w:right="204"/>
              <w:jc w:val="center"/>
              <w:rPr>
                <w:sz w:val="20"/>
              </w:rPr>
            </w:pPr>
            <w:r>
              <w:rPr>
                <w:sz w:val="20"/>
              </w:rPr>
              <w:t>5.7%</w:t>
            </w:r>
          </w:p>
        </w:tc>
        <w:tc>
          <w:tcPr>
            <w:tcW w:w="971" w:type="dxa"/>
            <w:tcBorders>
              <w:right w:val="single" w:sz="4" w:space="0" w:color="000000"/>
            </w:tcBorders>
          </w:tcPr>
          <w:p>
            <w:pPr>
              <w:pStyle w:val="TableParagraph"/>
              <w:spacing w:before="12"/>
              <w:ind w:left="121" w:right="114"/>
              <w:jc w:val="center"/>
              <w:rPr>
                <w:sz w:val="20"/>
              </w:rPr>
            </w:pPr>
            <w:r>
              <w:rPr>
                <w:sz w:val="20"/>
              </w:rPr>
              <w:t>4.7%</w:t>
            </w:r>
          </w:p>
        </w:tc>
      </w:tr>
      <w:tr>
        <w:trPr>
          <w:trHeight w:val="265" w:hRule="atLeast"/>
        </w:trPr>
        <w:tc>
          <w:tcPr>
            <w:tcW w:w="4825" w:type="dxa"/>
            <w:tcBorders>
              <w:left w:val="single" w:sz="4" w:space="0" w:color="000000"/>
              <w:right w:val="single" w:sz="4" w:space="0" w:color="000000"/>
            </w:tcBorders>
          </w:tcPr>
          <w:p>
            <w:pPr>
              <w:pStyle w:val="TableParagraph"/>
              <w:spacing w:before="13"/>
              <w:ind w:left="279" w:right="279"/>
              <w:jc w:val="center"/>
              <w:rPr>
                <w:sz w:val="20"/>
              </w:rPr>
            </w:pPr>
            <w:r>
              <w:rPr>
                <w:sz w:val="20"/>
              </w:rPr>
              <w:t>Salud</w:t>
            </w:r>
          </w:p>
        </w:tc>
        <w:tc>
          <w:tcPr>
            <w:tcW w:w="968" w:type="dxa"/>
            <w:tcBorders>
              <w:left w:val="single" w:sz="4" w:space="0" w:color="000000"/>
            </w:tcBorders>
          </w:tcPr>
          <w:p>
            <w:pPr>
              <w:pStyle w:val="TableParagraph"/>
              <w:spacing w:before="13"/>
              <w:ind w:right="270"/>
              <w:jc w:val="right"/>
              <w:rPr>
                <w:sz w:val="20"/>
              </w:rPr>
            </w:pPr>
            <w:r>
              <w:rPr>
                <w:sz w:val="20"/>
              </w:rPr>
              <w:t>3.0%</w:t>
            </w:r>
          </w:p>
        </w:tc>
        <w:tc>
          <w:tcPr>
            <w:tcW w:w="968" w:type="dxa"/>
            <w:tcBorders>
              <w:right w:val="single" w:sz="4" w:space="0" w:color="000000"/>
            </w:tcBorders>
          </w:tcPr>
          <w:p>
            <w:pPr>
              <w:pStyle w:val="TableParagraph"/>
              <w:spacing w:before="13"/>
              <w:ind w:left="205" w:right="196"/>
              <w:jc w:val="center"/>
              <w:rPr>
                <w:sz w:val="20"/>
              </w:rPr>
            </w:pPr>
            <w:r>
              <w:rPr>
                <w:sz w:val="20"/>
              </w:rPr>
              <w:t>3.1%</w:t>
            </w:r>
          </w:p>
        </w:tc>
        <w:tc>
          <w:tcPr>
            <w:tcW w:w="969" w:type="dxa"/>
            <w:tcBorders>
              <w:left w:val="single" w:sz="4" w:space="0" w:color="000000"/>
            </w:tcBorders>
          </w:tcPr>
          <w:p>
            <w:pPr>
              <w:pStyle w:val="TableParagraph"/>
              <w:spacing w:before="13"/>
              <w:ind w:left="203" w:right="204"/>
              <w:jc w:val="center"/>
              <w:rPr>
                <w:sz w:val="20"/>
              </w:rPr>
            </w:pPr>
            <w:r>
              <w:rPr>
                <w:sz w:val="20"/>
              </w:rPr>
              <w:t>17.4%</w:t>
            </w:r>
          </w:p>
        </w:tc>
        <w:tc>
          <w:tcPr>
            <w:tcW w:w="971" w:type="dxa"/>
            <w:tcBorders>
              <w:right w:val="single" w:sz="4" w:space="0" w:color="000000"/>
            </w:tcBorders>
          </w:tcPr>
          <w:p>
            <w:pPr>
              <w:pStyle w:val="TableParagraph"/>
              <w:spacing w:before="13"/>
              <w:ind w:left="121" w:right="114"/>
              <w:jc w:val="center"/>
              <w:rPr>
                <w:sz w:val="20"/>
              </w:rPr>
            </w:pPr>
            <w:r>
              <w:rPr>
                <w:sz w:val="20"/>
              </w:rPr>
              <w:t>4.5%</w:t>
            </w:r>
          </w:p>
        </w:tc>
      </w:tr>
      <w:tr>
        <w:trPr>
          <w:trHeight w:val="264" w:hRule="atLeast"/>
        </w:trPr>
        <w:tc>
          <w:tcPr>
            <w:tcW w:w="4825" w:type="dxa"/>
            <w:tcBorders>
              <w:left w:val="single" w:sz="4" w:space="0" w:color="000000"/>
              <w:right w:val="single" w:sz="4" w:space="0" w:color="000000"/>
            </w:tcBorders>
          </w:tcPr>
          <w:p>
            <w:pPr>
              <w:pStyle w:val="TableParagraph"/>
              <w:spacing w:before="12"/>
              <w:ind w:left="279" w:right="275"/>
              <w:jc w:val="center"/>
              <w:rPr>
                <w:sz w:val="20"/>
              </w:rPr>
            </w:pPr>
            <w:r>
              <w:rPr>
                <w:sz w:val="20"/>
              </w:rPr>
              <w:t>Otras actividades de servicios</w:t>
            </w:r>
          </w:p>
        </w:tc>
        <w:tc>
          <w:tcPr>
            <w:tcW w:w="968" w:type="dxa"/>
            <w:tcBorders>
              <w:left w:val="single" w:sz="4" w:space="0" w:color="000000"/>
            </w:tcBorders>
          </w:tcPr>
          <w:p>
            <w:pPr>
              <w:pStyle w:val="TableParagraph"/>
              <w:spacing w:before="12"/>
              <w:ind w:right="270"/>
              <w:jc w:val="right"/>
              <w:rPr>
                <w:sz w:val="20"/>
              </w:rPr>
            </w:pPr>
            <w:r>
              <w:rPr>
                <w:sz w:val="20"/>
              </w:rPr>
              <w:t>3.7%</w:t>
            </w:r>
          </w:p>
        </w:tc>
        <w:tc>
          <w:tcPr>
            <w:tcW w:w="968" w:type="dxa"/>
            <w:tcBorders>
              <w:right w:val="single" w:sz="4" w:space="0" w:color="000000"/>
            </w:tcBorders>
          </w:tcPr>
          <w:p>
            <w:pPr>
              <w:pStyle w:val="TableParagraph"/>
              <w:spacing w:before="12"/>
              <w:ind w:left="205" w:right="196"/>
              <w:jc w:val="center"/>
              <w:rPr>
                <w:sz w:val="20"/>
              </w:rPr>
            </w:pPr>
            <w:r>
              <w:rPr>
                <w:sz w:val="20"/>
              </w:rPr>
              <w:t>3.7%</w:t>
            </w:r>
          </w:p>
        </w:tc>
        <w:tc>
          <w:tcPr>
            <w:tcW w:w="969" w:type="dxa"/>
            <w:tcBorders>
              <w:left w:val="single" w:sz="4" w:space="0" w:color="000000"/>
            </w:tcBorders>
          </w:tcPr>
          <w:p>
            <w:pPr>
              <w:pStyle w:val="TableParagraph"/>
              <w:spacing w:before="12"/>
              <w:ind w:left="198" w:right="204"/>
              <w:jc w:val="center"/>
              <w:rPr>
                <w:sz w:val="20"/>
              </w:rPr>
            </w:pPr>
            <w:r>
              <w:rPr>
                <w:sz w:val="20"/>
              </w:rPr>
              <w:t>7.2%</w:t>
            </w:r>
          </w:p>
        </w:tc>
        <w:tc>
          <w:tcPr>
            <w:tcW w:w="971" w:type="dxa"/>
            <w:tcBorders>
              <w:right w:val="single" w:sz="4" w:space="0" w:color="000000"/>
            </w:tcBorders>
          </w:tcPr>
          <w:p>
            <w:pPr>
              <w:pStyle w:val="TableParagraph"/>
              <w:spacing w:before="12"/>
              <w:ind w:left="121" w:right="114"/>
              <w:jc w:val="center"/>
              <w:rPr>
                <w:sz w:val="20"/>
              </w:rPr>
            </w:pPr>
            <w:r>
              <w:rPr>
                <w:sz w:val="20"/>
              </w:rPr>
              <w:t>4.4%</w:t>
            </w:r>
          </w:p>
        </w:tc>
      </w:tr>
      <w:tr>
        <w:trPr>
          <w:trHeight w:val="264" w:hRule="atLeast"/>
        </w:trPr>
        <w:tc>
          <w:tcPr>
            <w:tcW w:w="4825" w:type="dxa"/>
            <w:tcBorders>
              <w:left w:val="single" w:sz="4" w:space="0" w:color="000000"/>
              <w:right w:val="single" w:sz="4" w:space="0" w:color="000000"/>
            </w:tcBorders>
          </w:tcPr>
          <w:p>
            <w:pPr>
              <w:pStyle w:val="TableParagraph"/>
              <w:spacing w:before="12"/>
              <w:ind w:left="279" w:right="277"/>
              <w:jc w:val="center"/>
              <w:rPr>
                <w:sz w:val="20"/>
              </w:rPr>
            </w:pPr>
            <w:r>
              <w:rPr>
                <w:sz w:val="20"/>
              </w:rPr>
              <w:t>Actividades inmobiliarias</w:t>
            </w:r>
          </w:p>
        </w:tc>
        <w:tc>
          <w:tcPr>
            <w:tcW w:w="968" w:type="dxa"/>
            <w:tcBorders>
              <w:left w:val="single" w:sz="4" w:space="0" w:color="000000"/>
            </w:tcBorders>
          </w:tcPr>
          <w:p>
            <w:pPr>
              <w:pStyle w:val="TableParagraph"/>
              <w:spacing w:before="12"/>
              <w:ind w:right="270"/>
              <w:jc w:val="right"/>
              <w:rPr>
                <w:sz w:val="20"/>
              </w:rPr>
            </w:pPr>
            <w:r>
              <w:rPr>
                <w:sz w:val="20"/>
              </w:rPr>
              <w:t>8.1%</w:t>
            </w:r>
          </w:p>
        </w:tc>
        <w:tc>
          <w:tcPr>
            <w:tcW w:w="968" w:type="dxa"/>
            <w:tcBorders>
              <w:right w:val="single" w:sz="4" w:space="0" w:color="000000"/>
            </w:tcBorders>
          </w:tcPr>
          <w:p>
            <w:pPr>
              <w:pStyle w:val="TableParagraph"/>
              <w:spacing w:before="12"/>
              <w:ind w:left="205" w:right="196"/>
              <w:jc w:val="center"/>
              <w:rPr>
                <w:sz w:val="20"/>
              </w:rPr>
            </w:pPr>
            <w:r>
              <w:rPr>
                <w:sz w:val="20"/>
              </w:rPr>
              <w:t>8.0%</w:t>
            </w:r>
          </w:p>
        </w:tc>
        <w:tc>
          <w:tcPr>
            <w:tcW w:w="969" w:type="dxa"/>
            <w:tcBorders>
              <w:left w:val="single" w:sz="4" w:space="0" w:color="000000"/>
            </w:tcBorders>
          </w:tcPr>
          <w:p>
            <w:pPr>
              <w:pStyle w:val="TableParagraph"/>
              <w:spacing w:before="12"/>
              <w:ind w:left="198" w:right="204"/>
              <w:jc w:val="center"/>
              <w:rPr>
                <w:sz w:val="20"/>
              </w:rPr>
            </w:pPr>
            <w:r>
              <w:rPr>
                <w:sz w:val="20"/>
              </w:rPr>
              <w:t>4.7%</w:t>
            </w:r>
          </w:p>
        </w:tc>
        <w:tc>
          <w:tcPr>
            <w:tcW w:w="971" w:type="dxa"/>
            <w:tcBorders>
              <w:right w:val="single" w:sz="4" w:space="0" w:color="000000"/>
            </w:tcBorders>
          </w:tcPr>
          <w:p>
            <w:pPr>
              <w:pStyle w:val="TableParagraph"/>
              <w:spacing w:before="12"/>
              <w:ind w:left="121" w:right="114"/>
              <w:jc w:val="center"/>
              <w:rPr>
                <w:sz w:val="20"/>
              </w:rPr>
            </w:pPr>
            <w:r>
              <w:rPr>
                <w:sz w:val="20"/>
              </w:rPr>
              <w:t>4.2%</w:t>
            </w:r>
          </w:p>
        </w:tc>
      </w:tr>
      <w:tr>
        <w:trPr>
          <w:trHeight w:val="264" w:hRule="atLeast"/>
        </w:trPr>
        <w:tc>
          <w:tcPr>
            <w:tcW w:w="4825" w:type="dxa"/>
            <w:tcBorders>
              <w:left w:val="single" w:sz="4" w:space="0" w:color="000000"/>
              <w:right w:val="single" w:sz="4" w:space="0" w:color="000000"/>
            </w:tcBorders>
          </w:tcPr>
          <w:p>
            <w:pPr>
              <w:pStyle w:val="TableParagraph"/>
              <w:spacing w:before="12"/>
              <w:ind w:left="279" w:right="278"/>
              <w:jc w:val="center"/>
              <w:rPr>
                <w:sz w:val="20"/>
              </w:rPr>
            </w:pPr>
            <w:r>
              <w:rPr>
                <w:sz w:val="20"/>
              </w:rPr>
              <w:t>Actividades profesionales, científicas y técnicas</w:t>
            </w:r>
          </w:p>
        </w:tc>
        <w:tc>
          <w:tcPr>
            <w:tcW w:w="968" w:type="dxa"/>
            <w:tcBorders>
              <w:left w:val="single" w:sz="4" w:space="0" w:color="000000"/>
            </w:tcBorders>
          </w:tcPr>
          <w:p>
            <w:pPr>
              <w:pStyle w:val="TableParagraph"/>
              <w:spacing w:before="12"/>
              <w:ind w:right="270"/>
              <w:jc w:val="right"/>
              <w:rPr>
                <w:sz w:val="20"/>
              </w:rPr>
            </w:pPr>
            <w:r>
              <w:rPr>
                <w:sz w:val="20"/>
              </w:rPr>
              <w:t>2.3%</w:t>
            </w:r>
          </w:p>
        </w:tc>
        <w:tc>
          <w:tcPr>
            <w:tcW w:w="968" w:type="dxa"/>
            <w:tcBorders>
              <w:right w:val="single" w:sz="4" w:space="0" w:color="000000"/>
            </w:tcBorders>
          </w:tcPr>
          <w:p>
            <w:pPr>
              <w:pStyle w:val="TableParagraph"/>
              <w:spacing w:before="12"/>
              <w:ind w:left="205" w:right="196"/>
              <w:jc w:val="center"/>
              <w:rPr>
                <w:sz w:val="20"/>
              </w:rPr>
            </w:pPr>
            <w:r>
              <w:rPr>
                <w:sz w:val="20"/>
              </w:rPr>
              <w:t>2.4%</w:t>
            </w:r>
          </w:p>
        </w:tc>
        <w:tc>
          <w:tcPr>
            <w:tcW w:w="969" w:type="dxa"/>
            <w:tcBorders>
              <w:left w:val="single" w:sz="4" w:space="0" w:color="000000"/>
            </w:tcBorders>
          </w:tcPr>
          <w:p>
            <w:pPr>
              <w:pStyle w:val="TableParagraph"/>
              <w:spacing w:before="12"/>
              <w:ind w:left="198" w:right="204"/>
              <w:jc w:val="center"/>
              <w:rPr>
                <w:sz w:val="20"/>
              </w:rPr>
            </w:pPr>
            <w:r>
              <w:rPr>
                <w:sz w:val="20"/>
              </w:rPr>
              <w:t>8.9%</w:t>
            </w:r>
          </w:p>
        </w:tc>
        <w:tc>
          <w:tcPr>
            <w:tcW w:w="971" w:type="dxa"/>
            <w:tcBorders>
              <w:right w:val="single" w:sz="4" w:space="0" w:color="000000"/>
            </w:tcBorders>
          </w:tcPr>
          <w:p>
            <w:pPr>
              <w:pStyle w:val="TableParagraph"/>
              <w:spacing w:before="12"/>
              <w:ind w:left="121" w:right="114"/>
              <w:jc w:val="center"/>
              <w:rPr>
                <w:sz w:val="20"/>
              </w:rPr>
            </w:pPr>
            <w:r>
              <w:rPr>
                <w:sz w:val="20"/>
              </w:rPr>
              <w:t>3.8%</w:t>
            </w:r>
          </w:p>
        </w:tc>
      </w:tr>
      <w:tr>
        <w:trPr>
          <w:trHeight w:val="265" w:hRule="atLeast"/>
        </w:trPr>
        <w:tc>
          <w:tcPr>
            <w:tcW w:w="4825" w:type="dxa"/>
            <w:tcBorders>
              <w:left w:val="single" w:sz="4" w:space="0" w:color="000000"/>
              <w:right w:val="single" w:sz="4" w:space="0" w:color="000000"/>
            </w:tcBorders>
          </w:tcPr>
          <w:p>
            <w:pPr>
              <w:pStyle w:val="TableParagraph"/>
              <w:spacing w:before="12"/>
              <w:ind w:left="279" w:right="278"/>
              <w:jc w:val="center"/>
              <w:rPr>
                <w:sz w:val="20"/>
              </w:rPr>
            </w:pPr>
            <w:r>
              <w:rPr>
                <w:sz w:val="20"/>
              </w:rPr>
              <w:t>Comercio y reparación de vehículos</w:t>
            </w:r>
          </w:p>
        </w:tc>
        <w:tc>
          <w:tcPr>
            <w:tcW w:w="968" w:type="dxa"/>
            <w:tcBorders>
              <w:left w:val="single" w:sz="4" w:space="0" w:color="000000"/>
            </w:tcBorders>
          </w:tcPr>
          <w:p>
            <w:pPr>
              <w:pStyle w:val="TableParagraph"/>
              <w:spacing w:before="12"/>
              <w:ind w:right="217"/>
              <w:jc w:val="right"/>
              <w:rPr>
                <w:sz w:val="20"/>
              </w:rPr>
            </w:pPr>
            <w:r>
              <w:rPr>
                <w:sz w:val="20"/>
              </w:rPr>
              <w:t>20.2%</w:t>
            </w:r>
          </w:p>
        </w:tc>
        <w:tc>
          <w:tcPr>
            <w:tcW w:w="968" w:type="dxa"/>
            <w:tcBorders>
              <w:right w:val="single" w:sz="4" w:space="0" w:color="000000"/>
            </w:tcBorders>
          </w:tcPr>
          <w:p>
            <w:pPr>
              <w:pStyle w:val="TableParagraph"/>
              <w:spacing w:before="12"/>
              <w:ind w:left="209" w:right="196"/>
              <w:jc w:val="center"/>
              <w:rPr>
                <w:sz w:val="20"/>
              </w:rPr>
            </w:pPr>
            <w:r>
              <w:rPr>
                <w:sz w:val="20"/>
              </w:rPr>
              <w:t>20.3%</w:t>
            </w:r>
          </w:p>
        </w:tc>
        <w:tc>
          <w:tcPr>
            <w:tcW w:w="969" w:type="dxa"/>
            <w:tcBorders>
              <w:left w:val="single" w:sz="4" w:space="0" w:color="000000"/>
            </w:tcBorders>
          </w:tcPr>
          <w:p>
            <w:pPr>
              <w:pStyle w:val="TableParagraph"/>
              <w:spacing w:before="12"/>
              <w:ind w:left="198" w:right="204"/>
              <w:jc w:val="center"/>
              <w:rPr>
                <w:sz w:val="20"/>
              </w:rPr>
            </w:pPr>
            <w:r>
              <w:rPr>
                <w:sz w:val="20"/>
              </w:rPr>
              <w:t>9.0%</w:t>
            </w:r>
          </w:p>
        </w:tc>
        <w:tc>
          <w:tcPr>
            <w:tcW w:w="971" w:type="dxa"/>
            <w:tcBorders>
              <w:right w:val="single" w:sz="4" w:space="0" w:color="000000"/>
            </w:tcBorders>
          </w:tcPr>
          <w:p>
            <w:pPr>
              <w:pStyle w:val="TableParagraph"/>
              <w:spacing w:before="12"/>
              <w:ind w:left="121" w:right="114"/>
              <w:jc w:val="center"/>
              <w:rPr>
                <w:sz w:val="20"/>
              </w:rPr>
            </w:pPr>
            <w:r>
              <w:rPr>
                <w:sz w:val="20"/>
              </w:rPr>
              <w:t>3.8%</w:t>
            </w:r>
          </w:p>
        </w:tc>
      </w:tr>
      <w:tr>
        <w:trPr>
          <w:trHeight w:val="265" w:hRule="atLeast"/>
        </w:trPr>
        <w:tc>
          <w:tcPr>
            <w:tcW w:w="4825" w:type="dxa"/>
            <w:tcBorders>
              <w:left w:val="single" w:sz="4" w:space="0" w:color="000000"/>
              <w:right w:val="single" w:sz="4" w:space="0" w:color="000000"/>
            </w:tcBorders>
          </w:tcPr>
          <w:p>
            <w:pPr>
              <w:pStyle w:val="TableParagraph"/>
              <w:spacing w:before="13"/>
              <w:ind w:left="279" w:right="278"/>
              <w:jc w:val="center"/>
              <w:rPr>
                <w:sz w:val="20"/>
              </w:rPr>
            </w:pPr>
            <w:r>
              <w:rPr>
                <w:sz w:val="20"/>
              </w:rPr>
              <w:t>Información y comunicaciones</w:t>
            </w:r>
          </w:p>
        </w:tc>
        <w:tc>
          <w:tcPr>
            <w:tcW w:w="968" w:type="dxa"/>
            <w:tcBorders>
              <w:left w:val="single" w:sz="4" w:space="0" w:color="000000"/>
            </w:tcBorders>
          </w:tcPr>
          <w:p>
            <w:pPr>
              <w:pStyle w:val="TableParagraph"/>
              <w:spacing w:before="13"/>
              <w:ind w:right="270"/>
              <w:jc w:val="right"/>
              <w:rPr>
                <w:sz w:val="20"/>
              </w:rPr>
            </w:pPr>
            <w:r>
              <w:rPr>
                <w:sz w:val="20"/>
              </w:rPr>
              <w:t>3.7%</w:t>
            </w:r>
          </w:p>
        </w:tc>
        <w:tc>
          <w:tcPr>
            <w:tcW w:w="968" w:type="dxa"/>
            <w:tcBorders>
              <w:right w:val="single" w:sz="4" w:space="0" w:color="000000"/>
            </w:tcBorders>
          </w:tcPr>
          <w:p>
            <w:pPr>
              <w:pStyle w:val="TableParagraph"/>
              <w:spacing w:before="13"/>
              <w:ind w:left="205" w:right="196"/>
              <w:jc w:val="center"/>
              <w:rPr>
                <w:sz w:val="20"/>
              </w:rPr>
            </w:pPr>
            <w:r>
              <w:rPr>
                <w:sz w:val="20"/>
              </w:rPr>
              <w:t>3.6%</w:t>
            </w:r>
          </w:p>
        </w:tc>
        <w:tc>
          <w:tcPr>
            <w:tcW w:w="969" w:type="dxa"/>
            <w:tcBorders>
              <w:left w:val="single" w:sz="4" w:space="0" w:color="000000"/>
            </w:tcBorders>
          </w:tcPr>
          <w:p>
            <w:pPr>
              <w:pStyle w:val="TableParagraph"/>
              <w:spacing w:before="13"/>
              <w:ind w:left="198" w:right="204"/>
              <w:jc w:val="center"/>
              <w:rPr>
                <w:sz w:val="20"/>
              </w:rPr>
            </w:pPr>
            <w:r>
              <w:rPr>
                <w:sz w:val="20"/>
              </w:rPr>
              <w:t>6.1%</w:t>
            </w:r>
          </w:p>
        </w:tc>
        <w:tc>
          <w:tcPr>
            <w:tcW w:w="971" w:type="dxa"/>
            <w:tcBorders>
              <w:right w:val="single" w:sz="4" w:space="0" w:color="000000"/>
            </w:tcBorders>
          </w:tcPr>
          <w:p>
            <w:pPr>
              <w:pStyle w:val="TableParagraph"/>
              <w:spacing w:before="13"/>
              <w:ind w:left="121" w:right="114"/>
              <w:jc w:val="center"/>
              <w:rPr>
                <w:sz w:val="20"/>
              </w:rPr>
            </w:pPr>
            <w:r>
              <w:rPr>
                <w:sz w:val="20"/>
              </w:rPr>
              <w:t>3.7%</w:t>
            </w:r>
          </w:p>
        </w:tc>
      </w:tr>
      <w:tr>
        <w:trPr>
          <w:trHeight w:val="264" w:hRule="atLeast"/>
        </w:trPr>
        <w:tc>
          <w:tcPr>
            <w:tcW w:w="4825" w:type="dxa"/>
            <w:tcBorders>
              <w:left w:val="single" w:sz="4" w:space="0" w:color="000000"/>
              <w:right w:val="single" w:sz="4" w:space="0" w:color="000000"/>
            </w:tcBorders>
          </w:tcPr>
          <w:p>
            <w:pPr>
              <w:pStyle w:val="TableParagraph"/>
              <w:spacing w:before="12"/>
              <w:ind w:left="279" w:right="277"/>
              <w:jc w:val="center"/>
              <w:rPr>
                <w:sz w:val="20"/>
              </w:rPr>
            </w:pPr>
            <w:r>
              <w:rPr>
                <w:sz w:val="20"/>
              </w:rPr>
              <w:t>Industrias manufactureras</w:t>
            </w:r>
          </w:p>
        </w:tc>
        <w:tc>
          <w:tcPr>
            <w:tcW w:w="968" w:type="dxa"/>
            <w:tcBorders>
              <w:left w:val="single" w:sz="4" w:space="0" w:color="000000"/>
            </w:tcBorders>
          </w:tcPr>
          <w:p>
            <w:pPr>
              <w:pStyle w:val="TableParagraph"/>
              <w:spacing w:before="12"/>
              <w:ind w:right="217"/>
              <w:jc w:val="right"/>
              <w:rPr>
                <w:sz w:val="20"/>
              </w:rPr>
            </w:pPr>
            <w:r>
              <w:rPr>
                <w:sz w:val="20"/>
              </w:rPr>
              <w:t>14.0%</w:t>
            </w:r>
          </w:p>
        </w:tc>
        <w:tc>
          <w:tcPr>
            <w:tcW w:w="968" w:type="dxa"/>
            <w:tcBorders>
              <w:right w:val="single" w:sz="4" w:space="0" w:color="000000"/>
            </w:tcBorders>
          </w:tcPr>
          <w:p>
            <w:pPr>
              <w:pStyle w:val="TableParagraph"/>
              <w:spacing w:before="12"/>
              <w:ind w:left="209" w:right="196"/>
              <w:jc w:val="center"/>
              <w:rPr>
                <w:sz w:val="20"/>
              </w:rPr>
            </w:pPr>
            <w:r>
              <w:rPr>
                <w:sz w:val="20"/>
              </w:rPr>
              <w:t>14.0%</w:t>
            </w:r>
          </w:p>
        </w:tc>
        <w:tc>
          <w:tcPr>
            <w:tcW w:w="969" w:type="dxa"/>
            <w:tcBorders>
              <w:left w:val="single" w:sz="4" w:space="0" w:color="000000"/>
            </w:tcBorders>
          </w:tcPr>
          <w:p>
            <w:pPr>
              <w:pStyle w:val="TableParagraph"/>
              <w:spacing w:before="12"/>
              <w:ind w:left="198" w:right="204"/>
              <w:jc w:val="center"/>
              <w:rPr>
                <w:sz w:val="20"/>
              </w:rPr>
            </w:pPr>
            <w:r>
              <w:rPr>
                <w:sz w:val="20"/>
              </w:rPr>
              <w:t>8.0%</w:t>
            </w:r>
          </w:p>
        </w:tc>
        <w:tc>
          <w:tcPr>
            <w:tcW w:w="971" w:type="dxa"/>
            <w:tcBorders>
              <w:right w:val="single" w:sz="4" w:space="0" w:color="000000"/>
            </w:tcBorders>
          </w:tcPr>
          <w:p>
            <w:pPr>
              <w:pStyle w:val="TableParagraph"/>
              <w:spacing w:before="12"/>
              <w:ind w:left="121" w:right="114"/>
              <w:jc w:val="center"/>
              <w:rPr>
                <w:sz w:val="20"/>
              </w:rPr>
            </w:pPr>
            <w:r>
              <w:rPr>
                <w:sz w:val="20"/>
              </w:rPr>
              <w:t>3.6%</w:t>
            </w:r>
          </w:p>
        </w:tc>
      </w:tr>
      <w:tr>
        <w:trPr>
          <w:trHeight w:val="263" w:hRule="atLeast"/>
        </w:trPr>
        <w:tc>
          <w:tcPr>
            <w:tcW w:w="4825" w:type="dxa"/>
            <w:tcBorders>
              <w:left w:val="single" w:sz="4" w:space="0" w:color="000000"/>
              <w:right w:val="single" w:sz="4" w:space="0" w:color="000000"/>
            </w:tcBorders>
          </w:tcPr>
          <w:p>
            <w:pPr>
              <w:pStyle w:val="TableParagraph"/>
              <w:spacing w:before="12"/>
              <w:ind w:left="279" w:right="280"/>
              <w:jc w:val="center"/>
              <w:rPr>
                <w:sz w:val="20"/>
              </w:rPr>
            </w:pPr>
            <w:r>
              <w:rPr>
                <w:sz w:val="20"/>
              </w:rPr>
              <w:t>Actividades de servicios administrativos y de apoyo</w:t>
            </w:r>
          </w:p>
        </w:tc>
        <w:tc>
          <w:tcPr>
            <w:tcW w:w="968" w:type="dxa"/>
            <w:tcBorders>
              <w:left w:val="single" w:sz="4" w:space="0" w:color="000000"/>
            </w:tcBorders>
          </w:tcPr>
          <w:p>
            <w:pPr>
              <w:pStyle w:val="TableParagraph"/>
              <w:spacing w:before="12"/>
              <w:ind w:right="270"/>
              <w:jc w:val="right"/>
              <w:rPr>
                <w:sz w:val="20"/>
              </w:rPr>
            </w:pPr>
            <w:r>
              <w:rPr>
                <w:sz w:val="20"/>
              </w:rPr>
              <w:t>3.2%</w:t>
            </w:r>
          </w:p>
        </w:tc>
        <w:tc>
          <w:tcPr>
            <w:tcW w:w="968" w:type="dxa"/>
            <w:tcBorders>
              <w:right w:val="single" w:sz="4" w:space="0" w:color="000000"/>
            </w:tcBorders>
          </w:tcPr>
          <w:p>
            <w:pPr>
              <w:pStyle w:val="TableParagraph"/>
              <w:spacing w:before="12"/>
              <w:ind w:left="205" w:right="196"/>
              <w:jc w:val="center"/>
              <w:rPr>
                <w:sz w:val="20"/>
              </w:rPr>
            </w:pPr>
            <w:r>
              <w:rPr>
                <w:sz w:val="20"/>
              </w:rPr>
              <w:t>3.1%</w:t>
            </w:r>
          </w:p>
        </w:tc>
        <w:tc>
          <w:tcPr>
            <w:tcW w:w="969" w:type="dxa"/>
            <w:tcBorders>
              <w:left w:val="single" w:sz="4" w:space="0" w:color="000000"/>
            </w:tcBorders>
          </w:tcPr>
          <w:p>
            <w:pPr>
              <w:pStyle w:val="TableParagraph"/>
              <w:spacing w:before="12"/>
              <w:ind w:left="203" w:right="204"/>
              <w:jc w:val="center"/>
              <w:rPr>
                <w:sz w:val="20"/>
              </w:rPr>
            </w:pPr>
            <w:r>
              <w:rPr>
                <w:sz w:val="20"/>
              </w:rPr>
              <w:t>10.4%</w:t>
            </w:r>
          </w:p>
        </w:tc>
        <w:tc>
          <w:tcPr>
            <w:tcW w:w="971" w:type="dxa"/>
            <w:tcBorders>
              <w:right w:val="single" w:sz="4" w:space="0" w:color="000000"/>
            </w:tcBorders>
          </w:tcPr>
          <w:p>
            <w:pPr>
              <w:pStyle w:val="TableParagraph"/>
              <w:spacing w:before="12"/>
              <w:ind w:left="121" w:right="114"/>
              <w:jc w:val="center"/>
              <w:rPr>
                <w:sz w:val="20"/>
              </w:rPr>
            </w:pPr>
            <w:r>
              <w:rPr>
                <w:sz w:val="20"/>
              </w:rPr>
              <w:t>3.0%</w:t>
            </w:r>
          </w:p>
        </w:tc>
      </w:tr>
      <w:tr>
        <w:trPr>
          <w:trHeight w:val="264" w:hRule="atLeast"/>
        </w:trPr>
        <w:tc>
          <w:tcPr>
            <w:tcW w:w="4825" w:type="dxa"/>
            <w:tcBorders>
              <w:left w:val="single" w:sz="4" w:space="0" w:color="000000"/>
              <w:right w:val="single" w:sz="4" w:space="0" w:color="000000"/>
            </w:tcBorders>
          </w:tcPr>
          <w:p>
            <w:pPr>
              <w:pStyle w:val="TableParagraph"/>
              <w:spacing w:before="12"/>
              <w:ind w:left="279" w:right="280"/>
              <w:jc w:val="center"/>
              <w:rPr>
                <w:sz w:val="20"/>
              </w:rPr>
            </w:pPr>
            <w:r>
              <w:rPr>
                <w:sz w:val="20"/>
              </w:rPr>
              <w:t>Administración pública y defensa</w:t>
            </w:r>
          </w:p>
        </w:tc>
        <w:tc>
          <w:tcPr>
            <w:tcW w:w="968" w:type="dxa"/>
            <w:tcBorders>
              <w:left w:val="single" w:sz="4" w:space="0" w:color="000000"/>
            </w:tcBorders>
          </w:tcPr>
          <w:p>
            <w:pPr>
              <w:pStyle w:val="TableParagraph"/>
              <w:spacing w:before="12"/>
              <w:ind w:right="270"/>
              <w:jc w:val="right"/>
              <w:rPr>
                <w:sz w:val="20"/>
              </w:rPr>
            </w:pPr>
            <w:r>
              <w:rPr>
                <w:sz w:val="20"/>
              </w:rPr>
              <w:t>4.1%</w:t>
            </w:r>
          </w:p>
        </w:tc>
        <w:tc>
          <w:tcPr>
            <w:tcW w:w="968" w:type="dxa"/>
            <w:tcBorders>
              <w:right w:val="single" w:sz="4" w:space="0" w:color="000000"/>
            </w:tcBorders>
          </w:tcPr>
          <w:p>
            <w:pPr>
              <w:pStyle w:val="TableParagraph"/>
              <w:spacing w:before="12"/>
              <w:ind w:left="205" w:right="196"/>
              <w:jc w:val="center"/>
              <w:rPr>
                <w:sz w:val="20"/>
              </w:rPr>
            </w:pPr>
            <w:r>
              <w:rPr>
                <w:sz w:val="20"/>
              </w:rPr>
              <w:t>4.1%</w:t>
            </w:r>
          </w:p>
        </w:tc>
        <w:tc>
          <w:tcPr>
            <w:tcW w:w="969" w:type="dxa"/>
            <w:tcBorders>
              <w:left w:val="single" w:sz="4" w:space="0" w:color="000000"/>
            </w:tcBorders>
          </w:tcPr>
          <w:p>
            <w:pPr>
              <w:pStyle w:val="TableParagraph"/>
              <w:spacing w:before="12"/>
              <w:ind w:left="198" w:right="204"/>
              <w:jc w:val="center"/>
              <w:rPr>
                <w:sz w:val="20"/>
              </w:rPr>
            </w:pPr>
            <w:r>
              <w:rPr>
                <w:sz w:val="20"/>
              </w:rPr>
              <w:t>2.0%</w:t>
            </w:r>
          </w:p>
        </w:tc>
        <w:tc>
          <w:tcPr>
            <w:tcW w:w="971" w:type="dxa"/>
            <w:tcBorders>
              <w:right w:val="single" w:sz="4" w:space="0" w:color="000000"/>
            </w:tcBorders>
          </w:tcPr>
          <w:p>
            <w:pPr>
              <w:pStyle w:val="TableParagraph"/>
              <w:spacing w:before="12"/>
              <w:ind w:left="121" w:right="114"/>
              <w:jc w:val="center"/>
              <w:rPr>
                <w:sz w:val="20"/>
              </w:rPr>
            </w:pPr>
            <w:r>
              <w:rPr>
                <w:sz w:val="20"/>
              </w:rPr>
              <w:t>3.0%</w:t>
            </w:r>
          </w:p>
        </w:tc>
      </w:tr>
      <w:tr>
        <w:trPr>
          <w:trHeight w:val="265" w:hRule="atLeast"/>
        </w:trPr>
        <w:tc>
          <w:tcPr>
            <w:tcW w:w="4825" w:type="dxa"/>
            <w:tcBorders>
              <w:left w:val="single" w:sz="4" w:space="0" w:color="000000"/>
              <w:right w:val="single" w:sz="4" w:space="0" w:color="000000"/>
            </w:tcBorders>
          </w:tcPr>
          <w:p>
            <w:pPr>
              <w:pStyle w:val="TableParagraph"/>
              <w:spacing w:before="12"/>
              <w:ind w:left="279" w:right="279"/>
              <w:jc w:val="center"/>
              <w:rPr>
                <w:sz w:val="20"/>
              </w:rPr>
            </w:pPr>
            <w:r>
              <w:rPr>
                <w:sz w:val="20"/>
              </w:rPr>
              <w:t>Agricultura, ganadería, silvicultura y pesca</w:t>
            </w:r>
          </w:p>
        </w:tc>
        <w:tc>
          <w:tcPr>
            <w:tcW w:w="968" w:type="dxa"/>
            <w:tcBorders>
              <w:left w:val="single" w:sz="4" w:space="0" w:color="000000"/>
            </w:tcBorders>
          </w:tcPr>
          <w:p>
            <w:pPr>
              <w:pStyle w:val="TableParagraph"/>
              <w:spacing w:before="12"/>
              <w:ind w:right="270"/>
              <w:jc w:val="right"/>
              <w:rPr>
                <w:sz w:val="20"/>
              </w:rPr>
            </w:pPr>
            <w:r>
              <w:rPr>
                <w:sz w:val="20"/>
              </w:rPr>
              <w:t>9.4%</w:t>
            </w:r>
          </w:p>
        </w:tc>
        <w:tc>
          <w:tcPr>
            <w:tcW w:w="968" w:type="dxa"/>
            <w:tcBorders>
              <w:right w:val="single" w:sz="4" w:space="0" w:color="000000"/>
            </w:tcBorders>
          </w:tcPr>
          <w:p>
            <w:pPr>
              <w:pStyle w:val="TableParagraph"/>
              <w:spacing w:before="12"/>
              <w:ind w:left="205" w:right="196"/>
              <w:jc w:val="center"/>
              <w:rPr>
                <w:sz w:val="20"/>
              </w:rPr>
            </w:pPr>
            <w:r>
              <w:rPr>
                <w:sz w:val="20"/>
              </w:rPr>
              <w:t>9.3%</w:t>
            </w:r>
          </w:p>
        </w:tc>
        <w:tc>
          <w:tcPr>
            <w:tcW w:w="969" w:type="dxa"/>
            <w:tcBorders>
              <w:left w:val="single" w:sz="4" w:space="0" w:color="000000"/>
            </w:tcBorders>
          </w:tcPr>
          <w:p>
            <w:pPr>
              <w:pStyle w:val="TableParagraph"/>
              <w:spacing w:before="12"/>
              <w:ind w:left="198" w:right="204"/>
              <w:jc w:val="center"/>
              <w:rPr>
                <w:sz w:val="20"/>
              </w:rPr>
            </w:pPr>
            <w:r>
              <w:rPr>
                <w:sz w:val="20"/>
              </w:rPr>
              <w:t>3.5%</w:t>
            </w:r>
          </w:p>
        </w:tc>
        <w:tc>
          <w:tcPr>
            <w:tcW w:w="971" w:type="dxa"/>
            <w:tcBorders>
              <w:right w:val="single" w:sz="4" w:space="0" w:color="000000"/>
            </w:tcBorders>
          </w:tcPr>
          <w:p>
            <w:pPr>
              <w:pStyle w:val="TableParagraph"/>
              <w:spacing w:before="12"/>
              <w:ind w:left="121" w:right="114"/>
              <w:jc w:val="center"/>
              <w:rPr>
                <w:sz w:val="20"/>
              </w:rPr>
            </w:pPr>
            <w:r>
              <w:rPr>
                <w:sz w:val="20"/>
              </w:rPr>
              <w:t>2.6%</w:t>
            </w:r>
          </w:p>
        </w:tc>
      </w:tr>
      <w:tr>
        <w:trPr>
          <w:trHeight w:val="265" w:hRule="atLeast"/>
        </w:trPr>
        <w:tc>
          <w:tcPr>
            <w:tcW w:w="4825" w:type="dxa"/>
            <w:tcBorders>
              <w:left w:val="single" w:sz="4" w:space="0" w:color="000000"/>
              <w:right w:val="single" w:sz="4" w:space="0" w:color="000000"/>
            </w:tcBorders>
          </w:tcPr>
          <w:p>
            <w:pPr>
              <w:pStyle w:val="TableParagraph"/>
              <w:spacing w:before="13"/>
              <w:ind w:left="279" w:right="279"/>
              <w:jc w:val="center"/>
              <w:rPr>
                <w:sz w:val="20"/>
              </w:rPr>
            </w:pPr>
            <w:r>
              <w:rPr>
                <w:sz w:val="20"/>
              </w:rPr>
              <w:t>Enseñanza</w:t>
            </w:r>
          </w:p>
        </w:tc>
        <w:tc>
          <w:tcPr>
            <w:tcW w:w="968" w:type="dxa"/>
            <w:tcBorders>
              <w:left w:val="single" w:sz="4" w:space="0" w:color="000000"/>
            </w:tcBorders>
          </w:tcPr>
          <w:p>
            <w:pPr>
              <w:pStyle w:val="TableParagraph"/>
              <w:spacing w:before="13"/>
              <w:ind w:right="270"/>
              <w:jc w:val="right"/>
              <w:rPr>
                <w:sz w:val="20"/>
              </w:rPr>
            </w:pPr>
            <w:r>
              <w:rPr>
                <w:sz w:val="20"/>
              </w:rPr>
              <w:t>4.5%</w:t>
            </w:r>
          </w:p>
        </w:tc>
        <w:tc>
          <w:tcPr>
            <w:tcW w:w="968" w:type="dxa"/>
            <w:tcBorders>
              <w:right w:val="single" w:sz="4" w:space="0" w:color="000000"/>
            </w:tcBorders>
          </w:tcPr>
          <w:p>
            <w:pPr>
              <w:pStyle w:val="TableParagraph"/>
              <w:spacing w:before="13"/>
              <w:ind w:left="205" w:right="196"/>
              <w:jc w:val="center"/>
              <w:rPr>
                <w:sz w:val="20"/>
              </w:rPr>
            </w:pPr>
            <w:r>
              <w:rPr>
                <w:sz w:val="20"/>
              </w:rPr>
              <w:t>4.5%</w:t>
            </w:r>
          </w:p>
        </w:tc>
        <w:tc>
          <w:tcPr>
            <w:tcW w:w="969" w:type="dxa"/>
            <w:tcBorders>
              <w:left w:val="single" w:sz="4" w:space="0" w:color="000000"/>
            </w:tcBorders>
          </w:tcPr>
          <w:p>
            <w:pPr>
              <w:pStyle w:val="TableParagraph"/>
              <w:spacing w:before="13"/>
              <w:ind w:left="198" w:right="204"/>
              <w:jc w:val="center"/>
              <w:rPr>
                <w:sz w:val="20"/>
              </w:rPr>
            </w:pPr>
            <w:r>
              <w:rPr>
                <w:sz w:val="20"/>
              </w:rPr>
              <w:t>3.8%</w:t>
            </w:r>
          </w:p>
        </w:tc>
        <w:tc>
          <w:tcPr>
            <w:tcW w:w="971" w:type="dxa"/>
            <w:tcBorders>
              <w:right w:val="single" w:sz="4" w:space="0" w:color="000000"/>
            </w:tcBorders>
          </w:tcPr>
          <w:p>
            <w:pPr>
              <w:pStyle w:val="TableParagraph"/>
              <w:spacing w:before="13"/>
              <w:ind w:left="121" w:right="114"/>
              <w:jc w:val="center"/>
              <w:rPr>
                <w:sz w:val="20"/>
              </w:rPr>
            </w:pPr>
            <w:r>
              <w:rPr>
                <w:sz w:val="20"/>
              </w:rPr>
              <w:t>1.5%</w:t>
            </w:r>
          </w:p>
        </w:tc>
      </w:tr>
      <w:tr>
        <w:trPr>
          <w:trHeight w:val="280" w:hRule="atLeast"/>
        </w:trPr>
        <w:tc>
          <w:tcPr>
            <w:tcW w:w="4825" w:type="dxa"/>
            <w:tcBorders>
              <w:left w:val="single" w:sz="4" w:space="0" w:color="000000"/>
              <w:bottom w:val="single" w:sz="4" w:space="0" w:color="000000"/>
              <w:right w:val="single" w:sz="4" w:space="0" w:color="000000"/>
            </w:tcBorders>
          </w:tcPr>
          <w:p>
            <w:pPr>
              <w:pStyle w:val="TableParagraph"/>
              <w:spacing w:before="12"/>
              <w:ind w:left="279" w:right="277"/>
              <w:jc w:val="center"/>
              <w:rPr>
                <w:sz w:val="20"/>
              </w:rPr>
            </w:pPr>
            <w:r>
              <w:rPr>
                <w:sz w:val="20"/>
              </w:rPr>
              <w:t>Producto Interno Bruto</w:t>
            </w:r>
          </w:p>
        </w:tc>
        <w:tc>
          <w:tcPr>
            <w:tcW w:w="968" w:type="dxa"/>
            <w:tcBorders>
              <w:left w:val="single" w:sz="4" w:space="0" w:color="000000"/>
              <w:bottom w:val="single" w:sz="4" w:space="0" w:color="000000"/>
            </w:tcBorders>
          </w:tcPr>
          <w:p>
            <w:pPr>
              <w:pStyle w:val="TableParagraph"/>
              <w:spacing w:before="12"/>
              <w:ind w:right="270"/>
              <w:jc w:val="right"/>
              <w:rPr>
                <w:sz w:val="20"/>
              </w:rPr>
            </w:pPr>
            <w:r>
              <w:rPr>
                <w:sz w:val="20"/>
              </w:rPr>
              <w:t>0.0%</w:t>
            </w:r>
          </w:p>
        </w:tc>
        <w:tc>
          <w:tcPr>
            <w:tcW w:w="968" w:type="dxa"/>
            <w:tcBorders>
              <w:bottom w:val="single" w:sz="4" w:space="0" w:color="000000"/>
              <w:right w:val="single" w:sz="4" w:space="0" w:color="000000"/>
            </w:tcBorders>
          </w:tcPr>
          <w:p>
            <w:pPr>
              <w:pStyle w:val="TableParagraph"/>
              <w:spacing w:before="12"/>
              <w:ind w:left="205" w:right="196"/>
              <w:jc w:val="center"/>
              <w:rPr>
                <w:sz w:val="20"/>
              </w:rPr>
            </w:pPr>
            <w:r>
              <w:rPr>
                <w:sz w:val="20"/>
              </w:rPr>
              <w:t>0.0%</w:t>
            </w:r>
          </w:p>
        </w:tc>
        <w:tc>
          <w:tcPr>
            <w:tcW w:w="969" w:type="dxa"/>
            <w:tcBorders>
              <w:left w:val="single" w:sz="4" w:space="0" w:color="000000"/>
              <w:bottom w:val="single" w:sz="4" w:space="0" w:color="000000"/>
            </w:tcBorders>
          </w:tcPr>
          <w:p>
            <w:pPr>
              <w:pStyle w:val="TableParagraph"/>
              <w:spacing w:before="12"/>
              <w:ind w:left="198" w:right="204"/>
              <w:jc w:val="center"/>
              <w:rPr>
                <w:sz w:val="20"/>
              </w:rPr>
            </w:pPr>
            <w:r>
              <w:rPr>
                <w:sz w:val="20"/>
              </w:rPr>
              <w:t>8.0%</w:t>
            </w:r>
          </w:p>
        </w:tc>
        <w:tc>
          <w:tcPr>
            <w:tcW w:w="971" w:type="dxa"/>
            <w:tcBorders>
              <w:bottom w:val="single" w:sz="4" w:space="0" w:color="000000"/>
              <w:right w:val="single" w:sz="4" w:space="0" w:color="000000"/>
            </w:tcBorders>
          </w:tcPr>
          <w:p>
            <w:pPr>
              <w:pStyle w:val="TableParagraph"/>
              <w:spacing w:before="12"/>
              <w:ind w:left="121" w:right="116"/>
              <w:jc w:val="center"/>
              <w:rPr>
                <w:sz w:val="20"/>
              </w:rPr>
            </w:pPr>
            <w:r>
              <w:rPr>
                <w:sz w:val="20"/>
              </w:rPr>
              <w:t>3.0 a 5.0</w:t>
            </w:r>
          </w:p>
        </w:tc>
      </w:tr>
    </w:tbl>
    <w:p>
      <w:pPr>
        <w:spacing w:before="0"/>
        <w:ind w:left="562" w:right="0" w:firstLine="0"/>
        <w:jc w:val="both"/>
        <w:rPr>
          <w:sz w:val="16"/>
        </w:rPr>
      </w:pPr>
      <w:r>
        <w:rPr>
          <w:sz w:val="16"/>
        </w:rPr>
        <w:t>Fuente: Dirección de Análisis y Política Fiscal con información de BANGUAT</w:t>
      </w:r>
    </w:p>
    <w:p>
      <w:pPr>
        <w:pStyle w:val="BodyText"/>
        <w:rPr>
          <w:sz w:val="18"/>
        </w:rPr>
      </w:pPr>
    </w:p>
    <w:p>
      <w:pPr>
        <w:pStyle w:val="BodyText"/>
        <w:spacing w:line="276" w:lineRule="auto" w:before="107"/>
        <w:ind w:left="562" w:right="1693"/>
        <w:jc w:val="both"/>
      </w:pPr>
      <w:r>
        <w:rPr/>
        <w:t>Se espera que el PIB nominal tenga un crecimiento de 6.7% para 2022 dado que la tasa de variación del</w:t>
      </w:r>
      <w:r>
        <w:rPr>
          <w:spacing w:val="-13"/>
        </w:rPr>
        <w:t> </w:t>
      </w:r>
      <w:r>
        <w:rPr/>
        <w:t>deflactor</w:t>
      </w:r>
      <w:r>
        <w:rPr>
          <w:spacing w:val="-10"/>
        </w:rPr>
        <w:t> </w:t>
      </w:r>
      <w:r>
        <w:rPr/>
        <w:t>del</w:t>
      </w:r>
      <w:r>
        <w:rPr>
          <w:spacing w:val="-12"/>
        </w:rPr>
        <w:t> </w:t>
      </w:r>
      <w:r>
        <w:rPr/>
        <w:t>PIB</w:t>
      </w:r>
      <w:r>
        <w:rPr>
          <w:spacing w:val="-11"/>
        </w:rPr>
        <w:t> </w:t>
      </w:r>
      <w:r>
        <w:rPr/>
        <w:t>podría</w:t>
      </w:r>
      <w:r>
        <w:rPr>
          <w:spacing w:val="-15"/>
        </w:rPr>
        <w:t> </w:t>
      </w:r>
      <w:r>
        <w:rPr/>
        <w:t>ser</w:t>
      </w:r>
      <w:r>
        <w:rPr>
          <w:spacing w:val="-11"/>
        </w:rPr>
        <w:t> </w:t>
      </w:r>
      <w:r>
        <w:rPr/>
        <w:t>de</w:t>
      </w:r>
      <w:r>
        <w:rPr>
          <w:spacing w:val="-13"/>
        </w:rPr>
        <w:t> </w:t>
      </w:r>
      <w:r>
        <w:rPr/>
        <w:t>3.6%.</w:t>
      </w:r>
      <w:r>
        <w:rPr>
          <w:spacing w:val="-11"/>
        </w:rPr>
        <w:t> </w:t>
      </w:r>
      <w:r>
        <w:rPr/>
        <w:t>De</w:t>
      </w:r>
      <w:r>
        <w:rPr>
          <w:spacing w:val="-13"/>
        </w:rPr>
        <w:t> </w:t>
      </w:r>
      <w:r>
        <w:rPr/>
        <w:t>sus</w:t>
      </w:r>
      <w:r>
        <w:rPr>
          <w:spacing w:val="-12"/>
        </w:rPr>
        <w:t> </w:t>
      </w:r>
      <w:r>
        <w:rPr/>
        <w:t>principales</w:t>
      </w:r>
      <w:r>
        <w:rPr>
          <w:spacing w:val="-13"/>
        </w:rPr>
        <w:t> </w:t>
      </w:r>
      <w:r>
        <w:rPr/>
        <w:t>componentes</w:t>
      </w:r>
      <w:r>
        <w:rPr>
          <w:spacing w:val="-12"/>
        </w:rPr>
        <w:t> </w:t>
      </w:r>
      <w:r>
        <w:rPr/>
        <w:t>se</w:t>
      </w:r>
      <w:r>
        <w:rPr>
          <w:spacing w:val="-12"/>
        </w:rPr>
        <w:t> </w:t>
      </w:r>
      <w:r>
        <w:rPr/>
        <w:t>espera</w:t>
      </w:r>
      <w:r>
        <w:rPr>
          <w:spacing w:val="-13"/>
        </w:rPr>
        <w:t> </w:t>
      </w:r>
      <w:r>
        <w:rPr/>
        <w:t>que</w:t>
      </w:r>
      <w:r>
        <w:rPr>
          <w:spacing w:val="-11"/>
        </w:rPr>
        <w:t> </w:t>
      </w:r>
      <w:r>
        <w:rPr/>
        <w:t>el</w:t>
      </w:r>
      <w:r>
        <w:rPr>
          <w:spacing w:val="-12"/>
        </w:rPr>
        <w:t> </w:t>
      </w:r>
      <w:r>
        <w:rPr/>
        <w:t>crecimiento del</w:t>
      </w:r>
      <w:r>
        <w:rPr>
          <w:spacing w:val="-6"/>
        </w:rPr>
        <w:t> </w:t>
      </w:r>
      <w:r>
        <w:rPr/>
        <w:t>deflactor</w:t>
      </w:r>
      <w:r>
        <w:rPr>
          <w:spacing w:val="-5"/>
        </w:rPr>
        <w:t> </w:t>
      </w:r>
      <w:r>
        <w:rPr/>
        <w:t>del</w:t>
      </w:r>
      <w:r>
        <w:rPr>
          <w:spacing w:val="-5"/>
        </w:rPr>
        <w:t> </w:t>
      </w:r>
      <w:r>
        <w:rPr/>
        <w:t>consumo</w:t>
      </w:r>
      <w:r>
        <w:rPr>
          <w:spacing w:val="-6"/>
        </w:rPr>
        <w:t> </w:t>
      </w:r>
      <w:r>
        <w:rPr/>
        <w:t>privado</w:t>
      </w:r>
      <w:r>
        <w:rPr>
          <w:spacing w:val="-6"/>
        </w:rPr>
        <w:t> </w:t>
      </w:r>
      <w:r>
        <w:rPr/>
        <w:t>se</w:t>
      </w:r>
      <w:r>
        <w:rPr>
          <w:spacing w:val="-6"/>
        </w:rPr>
        <w:t> </w:t>
      </w:r>
      <w:r>
        <w:rPr/>
        <w:t>mantenga</w:t>
      </w:r>
      <w:r>
        <w:rPr>
          <w:spacing w:val="-6"/>
        </w:rPr>
        <w:t> </w:t>
      </w:r>
      <w:r>
        <w:rPr/>
        <w:t>estable</w:t>
      </w:r>
      <w:r>
        <w:rPr>
          <w:spacing w:val="-8"/>
        </w:rPr>
        <w:t> </w:t>
      </w:r>
      <w:r>
        <w:rPr/>
        <w:t>dado</w:t>
      </w:r>
      <w:r>
        <w:rPr>
          <w:spacing w:val="-6"/>
        </w:rPr>
        <w:t> </w:t>
      </w:r>
      <w:r>
        <w:rPr/>
        <w:t>que</w:t>
      </w:r>
      <w:r>
        <w:rPr>
          <w:spacing w:val="-3"/>
        </w:rPr>
        <w:t> </w:t>
      </w:r>
      <w:r>
        <w:rPr/>
        <w:t>el</w:t>
      </w:r>
      <w:r>
        <w:rPr>
          <w:spacing w:val="-5"/>
        </w:rPr>
        <w:t> </w:t>
      </w:r>
      <w:r>
        <w:rPr/>
        <w:t>Banco</w:t>
      </w:r>
      <w:r>
        <w:rPr>
          <w:spacing w:val="-6"/>
        </w:rPr>
        <w:t> </w:t>
      </w:r>
      <w:r>
        <w:rPr/>
        <w:t>de</w:t>
      </w:r>
      <w:r>
        <w:rPr>
          <w:spacing w:val="-6"/>
        </w:rPr>
        <w:t> </w:t>
      </w:r>
      <w:r>
        <w:rPr/>
        <w:t>Guatemala</w:t>
      </w:r>
      <w:r>
        <w:rPr>
          <w:spacing w:val="-6"/>
        </w:rPr>
        <w:t> </w:t>
      </w:r>
      <w:r>
        <w:rPr/>
        <w:t>prevé</w:t>
      </w:r>
      <w:r>
        <w:rPr>
          <w:spacing w:val="-7"/>
        </w:rPr>
        <w:t> </w:t>
      </w:r>
      <w:r>
        <w:rPr/>
        <w:t>que</w:t>
      </w:r>
      <w:r>
        <w:rPr>
          <w:spacing w:val="-6"/>
        </w:rPr>
        <w:t> </w:t>
      </w:r>
      <w:r>
        <w:rPr/>
        <w:t>el índice de precios al consumidor se encuentre en la meta. Asimismo, se espera que los deflactores de las</w:t>
      </w:r>
      <w:r>
        <w:rPr>
          <w:spacing w:val="-10"/>
        </w:rPr>
        <w:t> </w:t>
      </w:r>
      <w:r>
        <w:rPr/>
        <w:t>importaciones</w:t>
      </w:r>
      <w:r>
        <w:rPr>
          <w:spacing w:val="-7"/>
        </w:rPr>
        <w:t> </w:t>
      </w:r>
      <w:r>
        <w:rPr/>
        <w:t>y</w:t>
      </w:r>
      <w:r>
        <w:rPr>
          <w:spacing w:val="-11"/>
        </w:rPr>
        <w:t> </w:t>
      </w:r>
      <w:r>
        <w:rPr/>
        <w:t>exportaciones</w:t>
      </w:r>
      <w:r>
        <w:rPr>
          <w:spacing w:val="-7"/>
        </w:rPr>
        <w:t> </w:t>
      </w:r>
      <w:r>
        <w:rPr/>
        <w:t>aumenten</w:t>
      </w:r>
      <w:r>
        <w:rPr>
          <w:spacing w:val="-9"/>
        </w:rPr>
        <w:t> </w:t>
      </w:r>
      <w:r>
        <w:rPr/>
        <w:t>levemente</w:t>
      </w:r>
      <w:r>
        <w:rPr>
          <w:spacing w:val="-10"/>
        </w:rPr>
        <w:t> </w:t>
      </w:r>
      <w:r>
        <w:rPr/>
        <w:t>para</w:t>
      </w:r>
      <w:r>
        <w:rPr>
          <w:spacing w:val="-10"/>
        </w:rPr>
        <w:t> </w:t>
      </w:r>
      <w:r>
        <w:rPr/>
        <w:t>2022</w:t>
      </w:r>
      <w:r>
        <w:rPr>
          <w:spacing w:val="-8"/>
        </w:rPr>
        <w:t> </w:t>
      </w:r>
      <w:r>
        <w:rPr/>
        <w:t>después</w:t>
      </w:r>
      <w:r>
        <w:rPr>
          <w:spacing w:val="-8"/>
        </w:rPr>
        <w:t> </w:t>
      </w:r>
      <w:r>
        <w:rPr/>
        <w:t>de</w:t>
      </w:r>
      <w:r>
        <w:rPr>
          <w:spacing w:val="-10"/>
        </w:rPr>
        <w:t> </w:t>
      </w:r>
      <w:r>
        <w:rPr/>
        <w:t>haber</w:t>
      </w:r>
      <w:r>
        <w:rPr>
          <w:spacing w:val="-9"/>
        </w:rPr>
        <w:t> </w:t>
      </w:r>
      <w:r>
        <w:rPr/>
        <w:t>crecido</w:t>
      </w:r>
      <w:r>
        <w:rPr>
          <w:spacing w:val="-11"/>
        </w:rPr>
        <w:t> </w:t>
      </w:r>
      <w:r>
        <w:rPr/>
        <w:t>en</w:t>
      </w:r>
      <w:r>
        <w:rPr>
          <w:spacing w:val="-7"/>
        </w:rPr>
        <w:t> </w:t>
      </w:r>
      <w:r>
        <w:rPr/>
        <w:t>17.4% y 8.2% en 2021, respectivamente. No obstante, existen riesgos hacia el aumento de estos precios debido al aumento de los precios de petróleo en el presente año y al incremento de los precios de otros productos de energía y de agricultura (trigo y cereales) por el conflicto de Rusia y</w:t>
      </w:r>
      <w:r>
        <w:rPr>
          <w:spacing w:val="-29"/>
        </w:rPr>
        <w:t> </w:t>
      </w:r>
      <w:r>
        <w:rPr/>
        <w:t>Ucrania.</w:t>
      </w:r>
    </w:p>
    <w:p>
      <w:pPr>
        <w:pStyle w:val="BodyText"/>
        <w:spacing w:before="9"/>
        <w:rPr>
          <w:sz w:val="25"/>
        </w:rPr>
      </w:pPr>
    </w:p>
    <w:p>
      <w:pPr>
        <w:pStyle w:val="Heading2"/>
        <w:tabs>
          <w:tab w:pos="1838" w:val="left" w:leader="none"/>
        </w:tabs>
        <w:ind w:left="1118"/>
      </w:pPr>
      <w:bookmarkStart w:name="_bookmark78" w:id="101"/>
      <w:bookmarkEnd w:id="101"/>
      <w:r>
        <w:rPr>
          <w:b w:val="0"/>
        </w:rPr>
      </w:r>
      <w:r>
        <w:rPr/>
        <w:t>4.1.2</w:t>
        <w:tab/>
        <w:t>Inflación</w:t>
      </w:r>
    </w:p>
    <w:p>
      <w:pPr>
        <w:pStyle w:val="BodyText"/>
        <w:spacing w:before="7"/>
        <w:rPr>
          <w:b/>
          <w:sz w:val="28"/>
        </w:rPr>
      </w:pPr>
    </w:p>
    <w:p>
      <w:pPr>
        <w:pStyle w:val="BodyText"/>
        <w:spacing w:line="276" w:lineRule="auto"/>
        <w:ind w:left="562" w:right="1695"/>
        <w:jc w:val="both"/>
      </w:pPr>
      <w:r>
        <w:rPr/>
        <w:t>Para junio de 2022, el ritmo inflacionario se situó en 7.55% por encima del margen de tolerancia de la</w:t>
      </w:r>
      <w:r>
        <w:rPr>
          <w:spacing w:val="-9"/>
        </w:rPr>
        <w:t> </w:t>
      </w:r>
      <w:r>
        <w:rPr/>
        <w:t>meta</w:t>
      </w:r>
      <w:r>
        <w:rPr>
          <w:spacing w:val="-8"/>
        </w:rPr>
        <w:t> </w:t>
      </w:r>
      <w:r>
        <w:rPr/>
        <w:t>de</w:t>
      </w:r>
      <w:r>
        <w:rPr>
          <w:spacing w:val="-12"/>
        </w:rPr>
        <w:t> </w:t>
      </w:r>
      <w:r>
        <w:rPr/>
        <w:t>inflación.</w:t>
      </w:r>
      <w:r>
        <w:rPr>
          <w:spacing w:val="-9"/>
        </w:rPr>
        <w:t> </w:t>
      </w:r>
      <w:r>
        <w:rPr/>
        <w:t>Se</w:t>
      </w:r>
      <w:r>
        <w:rPr>
          <w:spacing w:val="-8"/>
        </w:rPr>
        <w:t> </w:t>
      </w:r>
      <w:r>
        <w:rPr/>
        <w:t>puede</w:t>
      </w:r>
      <w:r>
        <w:rPr>
          <w:spacing w:val="-9"/>
        </w:rPr>
        <w:t> </w:t>
      </w:r>
      <w:r>
        <w:rPr/>
        <w:t>observar</w:t>
      </w:r>
      <w:r>
        <w:rPr>
          <w:spacing w:val="-7"/>
        </w:rPr>
        <w:t> </w:t>
      </w:r>
      <w:r>
        <w:rPr/>
        <w:t>que,</w:t>
      </w:r>
      <w:r>
        <w:rPr>
          <w:spacing w:val="-10"/>
        </w:rPr>
        <w:t> </w:t>
      </w:r>
      <w:r>
        <w:rPr/>
        <w:t>para</w:t>
      </w:r>
      <w:r>
        <w:rPr>
          <w:spacing w:val="-8"/>
        </w:rPr>
        <w:t> </w:t>
      </w:r>
      <w:r>
        <w:rPr/>
        <w:t>esa</w:t>
      </w:r>
      <w:r>
        <w:rPr>
          <w:spacing w:val="-9"/>
        </w:rPr>
        <w:t> </w:t>
      </w:r>
      <w:r>
        <w:rPr/>
        <w:t>misma</w:t>
      </w:r>
      <w:r>
        <w:rPr>
          <w:spacing w:val="-8"/>
        </w:rPr>
        <w:t> </w:t>
      </w:r>
      <w:r>
        <w:rPr/>
        <w:t>fecha,</w:t>
      </w:r>
      <w:r>
        <w:rPr>
          <w:spacing w:val="-11"/>
        </w:rPr>
        <w:t> </w:t>
      </w:r>
      <w:r>
        <w:rPr/>
        <w:t>el</w:t>
      </w:r>
      <w:r>
        <w:rPr>
          <w:spacing w:val="-11"/>
        </w:rPr>
        <w:t> </w:t>
      </w:r>
      <w:r>
        <w:rPr/>
        <w:t>ritmo</w:t>
      </w:r>
      <w:r>
        <w:rPr>
          <w:spacing w:val="-9"/>
        </w:rPr>
        <w:t> </w:t>
      </w:r>
      <w:r>
        <w:rPr/>
        <w:t>inflacionario</w:t>
      </w:r>
      <w:r>
        <w:rPr>
          <w:spacing w:val="-9"/>
        </w:rPr>
        <w:t> </w:t>
      </w:r>
      <w:r>
        <w:rPr/>
        <w:t>fue</w:t>
      </w:r>
      <w:r>
        <w:rPr>
          <w:spacing w:val="-9"/>
        </w:rPr>
        <w:t> </w:t>
      </w:r>
      <w:r>
        <w:rPr/>
        <w:t>afectado por las tasas de variaciones interanuales de las actividades económicas de Transporte (11.5%), Muebles, Alimentos y bebidas no alcohólicas (10.7%), Muebles, artículos para el hogar (7.2%), Restaurante y hoteles (7.2%) y Bebidas alcoholicas y Tabaco</w:t>
      </w:r>
      <w:r>
        <w:rPr>
          <w:spacing w:val="-9"/>
        </w:rPr>
        <w:t> </w:t>
      </w:r>
      <w:r>
        <w:rPr/>
        <w:t>(5.2%).</w:t>
      </w:r>
    </w:p>
    <w:p>
      <w:pPr>
        <w:pStyle w:val="BodyText"/>
        <w:spacing w:before="3"/>
        <w:rPr>
          <w:sz w:val="25"/>
        </w:rPr>
      </w:pPr>
    </w:p>
    <w:p>
      <w:pPr>
        <w:pStyle w:val="BodyText"/>
        <w:spacing w:line="276" w:lineRule="auto"/>
        <w:ind w:left="562" w:right="1697"/>
        <w:jc w:val="both"/>
      </w:pPr>
      <w:r>
        <w:rPr/>
        <w:t>Las alzas de gastos asociados a materias primas de energía (transporte y vivienda) son afectados por el aumento en los precios internacional del petróleo y sus derivados que inicio desde el segundo semestre del 2021 y también ha sido afectado por el conflicto bélico entre Rusia y Ucrania. No obstante, los pronósticos y las expectativas de inflación para 2022 se ubican dentro de la meta de</w:t>
      </w:r>
    </w:p>
    <w:p>
      <w:pPr>
        <w:spacing w:after="0" w:line="276" w:lineRule="auto"/>
        <w:jc w:val="both"/>
        <w:sectPr>
          <w:pgSz w:w="12240" w:h="15840"/>
          <w:pgMar w:header="715" w:footer="957" w:top="1240" w:bottom="1140" w:left="1140" w:right="0"/>
        </w:sectPr>
      </w:pPr>
    </w:p>
    <w:p>
      <w:pPr>
        <w:pStyle w:val="BodyText"/>
        <w:spacing w:line="276" w:lineRule="auto" w:before="162"/>
        <w:ind w:left="562" w:right="1695"/>
        <w:jc w:val="both"/>
      </w:pPr>
      <w:r>
        <w:rPr/>
        <w:t>4.0% +/- 1%, establecida por el Banco de Guatemala, sujeta al impulso positivo de la actividad económica nacional. Sin embargo, existen riesgos asociados a la elevada incertidumbre a nivel externo y a las presiones inflacionarias de los principales socios comerciales del país que podría afectar la inflación nacional por un efecto de transmisión del precio de las importaciones (</w:t>
      </w:r>
      <w:r>
        <w:rPr>
          <w:i/>
        </w:rPr>
        <w:t>pass </w:t>
      </w:r>
      <w:r>
        <w:rPr>
          <w:i/>
        </w:rPr>
        <w:t>through</w:t>
      </w:r>
      <w:r>
        <w:rPr/>
        <w:t>) y al aumento internacional de las materias prima de energía y agricultura.</w:t>
      </w:r>
    </w:p>
    <w:p>
      <w:pPr>
        <w:pStyle w:val="BodyText"/>
        <w:spacing w:before="9"/>
        <w:rPr>
          <w:sz w:val="25"/>
        </w:rPr>
      </w:pPr>
    </w:p>
    <w:p>
      <w:pPr>
        <w:tabs>
          <w:tab w:pos="5134" w:val="left" w:leader="none"/>
        </w:tabs>
        <w:spacing w:before="1"/>
        <w:ind w:left="1390" w:right="0" w:firstLine="0"/>
        <w:jc w:val="left"/>
        <w:rPr>
          <w:b/>
          <w:sz w:val="20"/>
        </w:rPr>
      </w:pPr>
      <w:bookmarkStart w:name="_bookmark79" w:id="102"/>
      <w:bookmarkEnd w:id="102"/>
      <w:r>
        <w:rPr/>
      </w:r>
      <w:r>
        <w:rPr>
          <w:b/>
          <w:i/>
          <w:sz w:val="20"/>
        </w:rPr>
        <w:t>Gráfico 36.</w:t>
      </w:r>
      <w:r>
        <w:rPr>
          <w:b/>
          <w:i/>
          <w:spacing w:val="45"/>
          <w:sz w:val="20"/>
        </w:rPr>
        <w:t> </w:t>
      </w:r>
      <w:r>
        <w:rPr>
          <w:b/>
          <w:sz w:val="20"/>
        </w:rPr>
        <w:t>Inflación</w:t>
      </w:r>
      <w:r>
        <w:rPr>
          <w:b/>
          <w:spacing w:val="-3"/>
          <w:sz w:val="20"/>
        </w:rPr>
        <w:t> </w:t>
      </w:r>
      <w:r>
        <w:rPr>
          <w:b/>
          <w:sz w:val="20"/>
        </w:rPr>
        <w:t>Interanual</w:t>
        <w:tab/>
      </w:r>
      <w:bookmarkStart w:name="_bookmark80" w:id="103"/>
      <w:bookmarkEnd w:id="103"/>
      <w:r>
        <w:rPr>
          <w:b/>
          <w:sz w:val="20"/>
        </w:rPr>
      </w:r>
      <w:r>
        <w:rPr>
          <w:b/>
          <w:i/>
          <w:sz w:val="20"/>
        </w:rPr>
        <w:t>Gráfico 37. </w:t>
      </w:r>
      <w:r>
        <w:rPr>
          <w:b/>
          <w:sz w:val="20"/>
        </w:rPr>
        <w:t>Inflación interanual por división</w:t>
      </w:r>
      <w:r>
        <w:rPr>
          <w:b/>
          <w:spacing w:val="-4"/>
          <w:sz w:val="20"/>
        </w:rPr>
        <w:t> </w:t>
      </w:r>
      <w:r>
        <w:rPr>
          <w:b/>
          <w:sz w:val="20"/>
        </w:rPr>
        <w:t>del</w:t>
      </w:r>
    </w:p>
    <w:p>
      <w:pPr>
        <w:spacing w:line="176" w:lineRule="exact" w:before="34"/>
        <w:ind w:left="6968" w:right="0" w:firstLine="0"/>
        <w:jc w:val="left"/>
        <w:rPr>
          <w:b/>
          <w:sz w:val="20"/>
        </w:rPr>
      </w:pPr>
      <w:r>
        <w:rPr>
          <w:b/>
          <w:sz w:val="20"/>
        </w:rPr>
        <w:t>gasto</w:t>
      </w:r>
    </w:p>
    <w:p>
      <w:pPr>
        <w:spacing w:after="0" w:line="176" w:lineRule="exact"/>
        <w:jc w:val="left"/>
        <w:rPr>
          <w:sz w:val="20"/>
        </w:rPr>
        <w:sectPr>
          <w:pgSz w:w="12240" w:h="15840"/>
          <w:pgMar w:header="715" w:footer="957" w:top="1240" w:bottom="1140" w:left="1140" w:right="0"/>
        </w:sectPr>
      </w:pPr>
    </w:p>
    <w:p>
      <w:pPr>
        <w:tabs>
          <w:tab w:pos="3194" w:val="left" w:leader="none"/>
          <w:tab w:pos="4122" w:val="left" w:leader="none"/>
        </w:tabs>
        <w:spacing w:line="154" w:lineRule="exact" w:before="0"/>
        <w:ind w:left="1933" w:right="0" w:firstLine="0"/>
        <w:jc w:val="left"/>
        <w:rPr>
          <w:sz w:val="14"/>
        </w:rPr>
      </w:pPr>
      <w:r>
        <w:rPr/>
        <w:pict>
          <v:line style="position:absolute;mso-position-horizontal-relative:page;mso-position-vertical-relative:paragraph;z-index:252161024" from="125.699997pt,4.032075pt" to="150.899997pt,4.032075pt" stroked="true" strokeweight="2.04pt" strokecolor="#9d3c39">
            <v:stroke dashstyle="solid"/>
            <w10:wrap type="none"/>
          </v:line>
        </w:pict>
      </w:r>
      <w:r>
        <w:rPr/>
        <w:pict>
          <v:line style="position:absolute;mso-position-horizontal-relative:page;mso-position-vertical-relative:paragraph;z-index:-281157632" from="188.699997pt,4.032075pt" to="213.899997pt,4.032075pt" stroked="true" strokeweight="2.52pt" strokecolor="#bd4a47">
            <v:stroke dashstyle="dash"/>
            <w10:wrap type="none"/>
          </v:line>
        </w:pict>
      </w:r>
      <w:r>
        <w:rPr/>
        <w:pict>
          <v:line style="position:absolute;mso-position-horizontal-relative:page;mso-position-vertical-relative:paragraph;z-index:-281156608" from="235.139999pt,4.032075pt" to="260.339999pt,4.032075pt" stroked="true" strokeweight="2.04pt" strokecolor="#d4a4a3">
            <v:stroke dashstyle="dash"/>
            <w10:wrap type="none"/>
          </v:line>
        </w:pict>
      </w:r>
      <w:r>
        <w:rPr/>
        <w:pict>
          <v:rect style="position:absolute;margin-left:386.640015pt;margin-top:15.492075pt;width:3.48pt;height:3.48pt;mso-position-horizontal-relative:page;mso-position-vertical-relative:paragraph;z-index:252164096" filled="true" fillcolor="#e1aa00" stroked="false">
            <v:fill type="solid"/>
            <w10:wrap type="none"/>
          </v:rect>
        </w:pict>
      </w:r>
      <w:r>
        <w:rPr/>
        <w:pict>
          <v:rect style="position:absolute;margin-left:420.959991pt;margin-top:15.492075pt;width:3.48pt;height:3.48pt;mso-position-horizontal-relative:page;mso-position-vertical-relative:paragraph;z-index:-281154560" filled="true" fillcolor="#ffd184" stroked="false">
            <v:fill type="solid"/>
            <w10:wrap type="none"/>
          </v:rect>
        </w:pict>
      </w:r>
      <w:r>
        <w:rPr>
          <w:sz w:val="14"/>
        </w:rPr>
        <w:t>inflacion</w:t>
        <w:tab/>
        <w:t>LS</w:t>
        <w:tab/>
      </w:r>
      <w:r>
        <w:rPr>
          <w:spacing w:val="-9"/>
          <w:sz w:val="14"/>
        </w:rPr>
        <w:t>LI</w:t>
      </w:r>
    </w:p>
    <w:p>
      <w:pPr>
        <w:pStyle w:val="BodyText"/>
        <w:rPr>
          <w:sz w:val="14"/>
        </w:rPr>
      </w:pPr>
      <w:r>
        <w:rPr/>
        <w:br w:type="column"/>
      </w:r>
      <w:r>
        <w:rPr>
          <w:sz w:val="14"/>
        </w:rPr>
      </w:r>
    </w:p>
    <w:p>
      <w:pPr>
        <w:pStyle w:val="BodyText"/>
        <w:spacing w:before="5"/>
        <w:rPr>
          <w:sz w:val="20"/>
        </w:rPr>
      </w:pPr>
    </w:p>
    <w:p>
      <w:pPr>
        <w:spacing w:before="0"/>
        <w:ind w:left="0" w:right="0" w:firstLine="0"/>
        <w:jc w:val="right"/>
        <w:rPr>
          <w:sz w:val="14"/>
        </w:rPr>
      </w:pPr>
      <w:r>
        <w:rPr/>
        <w:pict>
          <v:group style="position:absolute;margin-left:114.019997pt;margin-top:-1.967019pt;width:183.85pt;height:99pt;mso-position-horizontal-relative:page;mso-position-vertical-relative:paragraph;z-index:252160000" coordorigin="2280,-39" coordsize="3677,1980">
            <v:line style="position:absolute" from="2470,1865" to="2470,41" stroked="true" strokeweight=".48pt" strokecolor="#888888">
              <v:stroke dashstyle="solid"/>
            </v:line>
            <v:shape style="position:absolute;left:0;top:10014;width:44;height:1824" coordorigin="0,10015" coordsize="44,1824" path="m2426,1865l2470,1865m2426,1637l2470,1637m2426,1409l2470,1409m2426,1181l2470,1181m2426,953l2470,953m2426,725l2470,725m2426,497l2470,497m2426,269l2470,269m2426,41l2470,41e" filled="false" stroked="true" strokeweight=".48pt" strokecolor="#888888">
              <v:path arrowok="t"/>
              <v:stroke dashstyle="solid"/>
            </v:shape>
            <v:shape style="position:absolute;left:0;top:11838;width:3322;height:44" coordorigin="0,11839" coordsize="3322,44" path="m2470,1865l5791,1865m2470,1865l2470,1908m2746,1865l2746,1908m3024,1865l3024,1908m3300,1865l3300,1908m3576,1865l3576,1908m3854,1865l3854,1908m4130,1865l4130,1908m4406,1865l4406,1908m4685,1865l4685,1908m4961,1865l4961,1908m5239,1865l5239,1908m5515,1865l5515,1908m5791,1865l5791,1908e" filled="false" stroked="true" strokeweight=".48pt" strokecolor="#888888">
              <v:path arrowok="t"/>
              <v:stroke dashstyle="solid"/>
            </v:shape>
            <v:shape style="position:absolute;left:2538;top:142;width:3185;height:1068" coordorigin="2538,143" coordsize="3185,1068" path="m2538,1208l2677,911,2816,731,2953,647,3092,620,3232,767,3368,671,3508,498,3647,534,3784,680,3923,685,4062,973,4199,995,4338,1040,4477,1028,4614,1189,4753,1206,4892,1165,5032,1211,5168,1187,5308,913,5447,812,5584,539,5723,143e" filled="false" stroked="true" strokeweight="2.04pt" strokecolor="#9d3c39">
              <v:path arrowok="t"/>
              <v:stroke dashstyle="solid"/>
            </v:shape>
            <v:line style="position:absolute" from="2513,726" to="5748,726" stroked="true" strokeweight="2.52pt" strokecolor="#bd4a47">
              <v:stroke dashstyle="dash"/>
            </v:line>
            <v:line style="position:absolute" from="2518,1182" to="5743,1182" stroked="true" strokeweight="2.04pt" strokecolor="#d4a4a3">
              <v:stroke dashstyle="dash"/>
            </v:line>
            <v:shape style="position:absolute;left:2280;top:-40;width:90;height:1980" type="#_x0000_t202" filled="false" stroked="false">
              <v:textbox inset="0,0,0,0">
                <w:txbxContent>
                  <w:p>
                    <w:pPr>
                      <w:spacing w:line="154" w:lineRule="exact" w:before="0"/>
                      <w:ind w:left="0" w:right="0" w:firstLine="0"/>
                      <w:jc w:val="left"/>
                      <w:rPr>
                        <w:sz w:val="14"/>
                      </w:rPr>
                    </w:pPr>
                    <w:r>
                      <w:rPr>
                        <w:w w:val="99"/>
                        <w:sz w:val="14"/>
                      </w:rPr>
                      <w:t>8</w:t>
                    </w:r>
                  </w:p>
                  <w:p>
                    <w:pPr>
                      <w:spacing w:before="67"/>
                      <w:ind w:left="0" w:right="0" w:firstLine="0"/>
                      <w:jc w:val="left"/>
                      <w:rPr>
                        <w:sz w:val="14"/>
                      </w:rPr>
                    </w:pPr>
                    <w:r>
                      <w:rPr>
                        <w:w w:val="99"/>
                        <w:sz w:val="14"/>
                      </w:rPr>
                      <w:t>7</w:t>
                    </w:r>
                  </w:p>
                  <w:p>
                    <w:pPr>
                      <w:spacing w:before="67"/>
                      <w:ind w:left="0" w:right="0" w:firstLine="0"/>
                      <w:jc w:val="left"/>
                      <w:rPr>
                        <w:sz w:val="14"/>
                      </w:rPr>
                    </w:pPr>
                    <w:r>
                      <w:rPr>
                        <w:w w:val="99"/>
                        <w:sz w:val="14"/>
                      </w:rPr>
                      <w:t>6</w:t>
                    </w:r>
                  </w:p>
                  <w:p>
                    <w:pPr>
                      <w:spacing w:before="67"/>
                      <w:ind w:left="0" w:right="0" w:firstLine="0"/>
                      <w:jc w:val="left"/>
                      <w:rPr>
                        <w:sz w:val="14"/>
                      </w:rPr>
                    </w:pPr>
                    <w:r>
                      <w:rPr>
                        <w:w w:val="99"/>
                        <w:sz w:val="14"/>
                      </w:rPr>
                      <w:t>5</w:t>
                    </w:r>
                  </w:p>
                  <w:p>
                    <w:pPr>
                      <w:spacing w:before="67"/>
                      <w:ind w:left="0" w:right="0" w:firstLine="0"/>
                      <w:jc w:val="left"/>
                      <w:rPr>
                        <w:sz w:val="14"/>
                      </w:rPr>
                    </w:pPr>
                    <w:r>
                      <w:rPr>
                        <w:w w:val="99"/>
                        <w:sz w:val="14"/>
                      </w:rPr>
                      <w:t>4</w:t>
                    </w:r>
                  </w:p>
                  <w:p>
                    <w:pPr>
                      <w:spacing w:before="67"/>
                      <w:ind w:left="0" w:right="0" w:firstLine="0"/>
                      <w:jc w:val="left"/>
                      <w:rPr>
                        <w:sz w:val="14"/>
                      </w:rPr>
                    </w:pPr>
                    <w:r>
                      <w:rPr>
                        <w:w w:val="99"/>
                        <w:sz w:val="14"/>
                      </w:rPr>
                      <w:t>3</w:t>
                    </w:r>
                  </w:p>
                  <w:p>
                    <w:pPr>
                      <w:spacing w:before="67"/>
                      <w:ind w:left="0" w:right="0" w:firstLine="0"/>
                      <w:jc w:val="left"/>
                      <w:rPr>
                        <w:sz w:val="14"/>
                      </w:rPr>
                    </w:pPr>
                    <w:r>
                      <w:rPr>
                        <w:w w:val="99"/>
                        <w:sz w:val="14"/>
                      </w:rPr>
                      <w:t>2</w:t>
                    </w:r>
                  </w:p>
                  <w:p>
                    <w:pPr>
                      <w:spacing w:before="67"/>
                      <w:ind w:left="0" w:right="0" w:firstLine="0"/>
                      <w:jc w:val="left"/>
                      <w:rPr>
                        <w:sz w:val="14"/>
                      </w:rPr>
                    </w:pPr>
                    <w:r>
                      <w:rPr>
                        <w:w w:val="99"/>
                        <w:sz w:val="14"/>
                      </w:rPr>
                      <w:t>1</w:t>
                    </w:r>
                  </w:p>
                  <w:p>
                    <w:pPr>
                      <w:spacing w:before="68"/>
                      <w:ind w:left="0" w:right="0" w:firstLine="0"/>
                      <w:jc w:val="left"/>
                      <w:rPr>
                        <w:sz w:val="14"/>
                      </w:rPr>
                    </w:pPr>
                    <w:r>
                      <w:rPr>
                        <w:w w:val="99"/>
                        <w:sz w:val="14"/>
                      </w:rPr>
                      <w:t>0</w:t>
                    </w:r>
                  </w:p>
                </w:txbxContent>
              </v:textbox>
              <w10:wrap type="none"/>
            </v:shape>
            <v:shape style="position:absolute;left:5692;top:-32;width:265;height:155" type="#_x0000_t202" filled="false" stroked="false">
              <v:textbox inset="0,0,0,0">
                <w:txbxContent>
                  <w:p>
                    <w:pPr>
                      <w:spacing w:line="154" w:lineRule="exact" w:before="0"/>
                      <w:ind w:left="0" w:right="0" w:firstLine="0"/>
                      <w:jc w:val="left"/>
                      <w:rPr>
                        <w:b/>
                        <w:sz w:val="14"/>
                      </w:rPr>
                    </w:pPr>
                    <w:r>
                      <w:rPr>
                        <w:b/>
                        <w:sz w:val="14"/>
                      </w:rPr>
                      <w:t>7.55</w:t>
                    </w:r>
                  </w:p>
                </w:txbxContent>
              </v:textbox>
              <w10:wrap type="none"/>
            </v:shape>
            <v:shape style="position:absolute;left:5761;top:630;width:196;height:611" type="#_x0000_t202" filled="false" stroked="false">
              <v:textbox inset="0,0,0,0">
                <w:txbxContent>
                  <w:p>
                    <w:pPr>
                      <w:spacing w:line="154" w:lineRule="exact" w:before="0"/>
                      <w:ind w:left="0" w:right="0" w:firstLine="0"/>
                      <w:jc w:val="left"/>
                      <w:rPr>
                        <w:b/>
                        <w:sz w:val="14"/>
                      </w:rPr>
                    </w:pPr>
                    <w:r>
                      <w:rPr>
                        <w:b/>
                        <w:sz w:val="14"/>
                      </w:rPr>
                      <w:t>5.0</w:t>
                    </w:r>
                  </w:p>
                  <w:p>
                    <w:pPr>
                      <w:spacing w:line="240" w:lineRule="auto" w:before="0"/>
                      <w:rPr>
                        <w:b/>
                        <w:sz w:val="14"/>
                      </w:rPr>
                    </w:pPr>
                  </w:p>
                  <w:p>
                    <w:pPr>
                      <w:spacing w:line="240" w:lineRule="auto" w:before="7"/>
                      <w:rPr>
                        <w:b/>
                        <w:sz w:val="11"/>
                      </w:rPr>
                    </w:pPr>
                  </w:p>
                  <w:p>
                    <w:pPr>
                      <w:spacing w:before="0"/>
                      <w:ind w:left="0" w:right="0" w:firstLine="0"/>
                      <w:jc w:val="left"/>
                      <w:rPr>
                        <w:b/>
                        <w:sz w:val="14"/>
                      </w:rPr>
                    </w:pPr>
                    <w:r>
                      <w:rPr>
                        <w:b/>
                        <w:sz w:val="14"/>
                      </w:rPr>
                      <w:t>3.0</w:t>
                    </w:r>
                  </w:p>
                </w:txbxContent>
              </v:textbox>
              <w10:wrap type="none"/>
            </v:shape>
            <w10:wrap type="none"/>
          </v:group>
        </w:pict>
      </w:r>
      <w:r>
        <w:rPr/>
        <w:pict>
          <v:shape style="position:absolute;margin-left:102.237854pt;margin-top:33.242290pt;width:9.75pt;height:28.75pt;mso-position-horizontal-relative:page;mso-position-vertical-relative:paragraph;z-index:252166144" type="#_x0000_t202" filled="false" stroked="false">
            <v:textbox inset="0,0,0,0" style="layout-flow:vertical;mso-layout-flow-alt:bottom-to-top">
              <w:txbxContent>
                <w:p>
                  <w:pPr>
                    <w:spacing w:before="13"/>
                    <w:ind w:left="20" w:right="0" w:firstLine="0"/>
                    <w:jc w:val="left"/>
                    <w:rPr>
                      <w:b/>
                      <w:sz w:val="14"/>
                    </w:rPr>
                  </w:pPr>
                  <w:r>
                    <w:rPr>
                      <w:b/>
                      <w:sz w:val="14"/>
                    </w:rPr>
                    <w:t>Inflación</w:t>
                  </w:r>
                </w:p>
              </w:txbxContent>
            </v:textbox>
            <w10:wrap type="none"/>
          </v:shape>
        </w:pict>
      </w:r>
      <w:r>
        <w:rPr/>
        <w:pict>
          <v:shape style="position:absolute;margin-left:323.227844pt;margin-top:24.163176pt;width:9.75pt;height:28.55pt;mso-position-horizontal-relative:page;mso-position-vertical-relative:paragraph;z-index:252168192" type="#_x0000_t202" filled="false" stroked="false">
            <v:textbox inset="0,0,0,0" style="layout-flow:vertical;mso-layout-flow-alt:bottom-to-top">
              <w:txbxContent>
                <w:p>
                  <w:pPr>
                    <w:spacing w:before="13"/>
                    <w:ind w:left="20" w:right="0" w:firstLine="0"/>
                    <w:jc w:val="left"/>
                    <w:rPr>
                      <w:b/>
                      <w:sz w:val="14"/>
                    </w:rPr>
                  </w:pPr>
                  <w:r>
                    <w:rPr>
                      <w:b/>
                      <w:sz w:val="14"/>
                    </w:rPr>
                    <w:t>Inflación</w:t>
                  </w:r>
                </w:p>
              </w:txbxContent>
            </v:textbox>
            <w10:wrap type="none"/>
          </v:shape>
        </w:pict>
      </w:r>
      <w:r>
        <w:rPr>
          <w:w w:val="95"/>
          <w:sz w:val="14"/>
        </w:rPr>
        <w:t>23.2</w:t>
      </w:r>
    </w:p>
    <w:p>
      <w:pPr>
        <w:pStyle w:val="BodyText"/>
        <w:rPr>
          <w:sz w:val="14"/>
        </w:rPr>
      </w:pPr>
      <w:r>
        <w:rPr/>
        <w:br w:type="column"/>
      </w:r>
      <w:r>
        <w:rPr>
          <w:sz w:val="14"/>
        </w:rPr>
      </w:r>
    </w:p>
    <w:p>
      <w:pPr>
        <w:tabs>
          <w:tab w:pos="1251" w:val="left" w:leader="none"/>
        </w:tabs>
        <w:spacing w:before="97"/>
        <w:ind w:left="564" w:right="0" w:firstLine="0"/>
        <w:jc w:val="left"/>
        <w:rPr>
          <w:sz w:val="14"/>
        </w:rPr>
      </w:pPr>
      <w:r>
        <w:rPr>
          <w:sz w:val="14"/>
        </w:rPr>
        <w:t>2022-06</w:t>
        <w:tab/>
        <w:t>2021-06</w:t>
      </w:r>
    </w:p>
    <w:p>
      <w:pPr>
        <w:spacing w:after="0"/>
        <w:jc w:val="left"/>
        <w:rPr>
          <w:sz w:val="14"/>
        </w:rPr>
        <w:sectPr>
          <w:type w:val="continuous"/>
          <w:pgSz w:w="12240" w:h="15840"/>
          <w:pgMar w:top="1500" w:bottom="280" w:left="1140" w:right="0"/>
          <w:cols w:num="3" w:equalWidth="0">
            <w:col w:w="4257" w:space="40"/>
            <w:col w:w="1790" w:space="39"/>
            <w:col w:w="4974"/>
          </w:cols>
        </w:sectPr>
      </w:pPr>
    </w:p>
    <w:p>
      <w:pPr>
        <w:pStyle w:val="BodyText"/>
        <w:spacing w:before="5"/>
        <w:rPr>
          <w:sz w:val="7"/>
        </w:rPr>
      </w:pPr>
    </w:p>
    <w:p>
      <w:pPr>
        <w:pStyle w:val="BodyText"/>
        <w:ind w:left="5524"/>
        <w:rPr>
          <w:sz w:val="20"/>
        </w:rPr>
      </w:pPr>
      <w:r>
        <w:rPr>
          <w:sz w:val="20"/>
        </w:rPr>
        <w:pict>
          <v:group style="width:181.6pt;height:58.2pt;mso-position-horizontal-relative:char;mso-position-vertical-relative:line" coordorigin="0,0" coordsize="3632,1164">
            <v:rect style="position:absolute;left:220;top:568;width:147;height:555" filled="true" fillcolor="#e1aa00" stroked="false">
              <v:fill type="solid"/>
            </v:rect>
            <v:rect style="position:absolute;left:367;top:4;width:144;height:1119" filled="true" fillcolor="#ffd184" stroked="false">
              <v:fill type="solid"/>
            </v:rect>
            <v:rect style="position:absolute;left:367;top:4;width:144;height:1119" filled="false" stroked="true" strokeweight=".48pt" strokecolor="#ffffff">
              <v:stroke dashstyle="solid"/>
            </v:rect>
            <v:rect style="position:absolute;left:945;top:607;width:144;height:516" filled="true" fillcolor="#e1aa00" stroked="false">
              <v:fill type="solid"/>
            </v:rect>
            <v:line style="position:absolute" from="1090,1058" to="1236,1058" stroked="true" strokeweight="6.48pt" strokecolor="#ffd184">
              <v:stroke dashstyle="solid"/>
            </v:line>
            <v:rect style="position:absolute;left:1089;top:993;width:147;height:130" filled="false" stroked="true" strokeweight=".48pt" strokecolor="#ffffff">
              <v:stroke dashstyle="solid"/>
            </v:rect>
            <v:rect style="position:absolute;left:1670;top:746;width:144;height:377" filled="true" fillcolor="#e1aa00" stroked="false">
              <v:fill type="solid"/>
            </v:rect>
            <v:line style="position:absolute" from="1814,1092" to="1961,1092" stroked="true" strokeweight="3.12pt" strokecolor="#ffd184">
              <v:stroke dashstyle="solid"/>
            </v:line>
            <v:rect style="position:absolute;left:1814;top:1060;width:147;height:63" filled="false" stroked="true" strokeweight=".48pt" strokecolor="#ffffff">
              <v:stroke dashstyle="solid"/>
            </v:rect>
            <v:rect style="position:absolute;left:2395;top:775;width:144;height:348" filled="true" fillcolor="#e1aa00" stroked="false">
              <v:fill type="solid"/>
            </v:rect>
            <v:line style="position:absolute" from="2539,1090" to="2686,1090" stroked="true" strokeweight="3.36pt" strokecolor="#ffd184">
              <v:stroke dashstyle="solid"/>
            </v:line>
            <v:rect style="position:absolute;left:2539;top:1056;width:147;height:68" filled="false" stroked="true" strokeweight=".48pt" strokecolor="#ffffff">
              <v:stroke dashstyle="solid"/>
            </v:rect>
            <v:rect style="position:absolute;left:3120;top:873;width:144;height:250" filled="true" fillcolor="#e1aa00" stroked="false">
              <v:fill type="solid"/>
            </v:rect>
            <v:line style="position:absolute" from="3264,1085" to="3408,1085" stroked="true" strokeweight="3.84pt" strokecolor="#ffd184">
              <v:stroke dashstyle="solid"/>
            </v:line>
            <v:rect style="position:absolute;left:3264;top:1046;width:144;height:77" filled="false" stroked="true" strokeweight=".48pt" strokecolor="#ffffff">
              <v:stroke dashstyle="solid"/>
            </v:rect>
            <v:line style="position:absolute" from="5,1123" to="3626,1123" stroked="true" strokeweight=".48pt" strokecolor="#888888">
              <v:stroke dashstyle="solid"/>
            </v:line>
            <v:line style="position:absolute" from="5,1123" to="5,1164" stroked="true" strokeweight=".48pt" strokecolor="#888888">
              <v:stroke dashstyle="solid"/>
            </v:line>
            <v:line style="position:absolute" from="730,1123" to="730,1164" stroked="true" strokeweight=".48pt" strokecolor="#888888">
              <v:stroke dashstyle="solid"/>
            </v:line>
            <v:line style="position:absolute" from="1452,1123" to="1452,1164" stroked="true" strokeweight=".48pt" strokecolor="#888888">
              <v:stroke dashstyle="solid"/>
            </v:line>
            <v:line style="position:absolute" from="2177,1123" to="2177,1164" stroked="true" strokeweight=".48pt" strokecolor="#888888">
              <v:stroke dashstyle="solid"/>
            </v:line>
            <v:line style="position:absolute" from="2902,1123" to="2902,1164" stroked="true" strokeweight=".48pt" strokecolor="#888888">
              <v:stroke dashstyle="solid"/>
            </v:line>
            <v:line style="position:absolute" from="3626,1123" to="3626,1164" stroked="true" strokeweight=".48pt" strokecolor="#888888">
              <v:stroke dashstyle="solid"/>
            </v:line>
            <v:shape style="position:absolute;left:172;top:324;width:265;height:155" type="#_x0000_t202" filled="false" stroked="false">
              <v:textbox inset="0,0,0,0">
                <w:txbxContent>
                  <w:p>
                    <w:pPr>
                      <w:spacing w:line="154" w:lineRule="exact" w:before="0"/>
                      <w:ind w:left="0" w:right="0" w:firstLine="0"/>
                      <w:jc w:val="left"/>
                      <w:rPr>
                        <w:sz w:val="14"/>
                      </w:rPr>
                    </w:pPr>
                    <w:r>
                      <w:rPr>
                        <w:sz w:val="14"/>
                      </w:rPr>
                      <w:t>11.5</w:t>
                    </w:r>
                  </w:p>
                </w:txbxContent>
              </v:textbox>
              <w10:wrap type="none"/>
            </v:shape>
            <v:shape style="position:absolute;left:897;top:362;width:265;height:155" type="#_x0000_t202" filled="false" stroked="false">
              <v:textbox inset="0,0,0,0">
                <w:txbxContent>
                  <w:p>
                    <w:pPr>
                      <w:spacing w:line="154" w:lineRule="exact" w:before="0"/>
                      <w:ind w:left="0" w:right="0" w:firstLine="0"/>
                      <w:jc w:val="left"/>
                      <w:rPr>
                        <w:sz w:val="14"/>
                      </w:rPr>
                    </w:pPr>
                    <w:r>
                      <w:rPr>
                        <w:sz w:val="14"/>
                      </w:rPr>
                      <w:t>10.7</w:t>
                    </w:r>
                  </w:p>
                </w:txbxContent>
              </v:textbox>
              <w10:wrap type="none"/>
            </v:shape>
            <v:shape style="position:absolute;left:1655;top:502;width:196;height:155" type="#_x0000_t202" filled="false" stroked="false">
              <v:textbox inset="0,0,0,0">
                <w:txbxContent>
                  <w:p>
                    <w:pPr>
                      <w:spacing w:line="154" w:lineRule="exact" w:before="0"/>
                      <w:ind w:left="0" w:right="0" w:firstLine="0"/>
                      <w:jc w:val="left"/>
                      <w:rPr>
                        <w:sz w:val="14"/>
                      </w:rPr>
                    </w:pPr>
                    <w:r>
                      <w:rPr>
                        <w:sz w:val="14"/>
                      </w:rPr>
                      <w:t>7.8</w:t>
                    </w:r>
                  </w:p>
                </w:txbxContent>
              </v:textbox>
              <w10:wrap type="none"/>
            </v:shape>
            <v:shape style="position:absolute;left:1075;top:748;width:196;height:155" type="#_x0000_t202" filled="false" stroked="false">
              <v:textbox inset="0,0,0,0">
                <w:txbxContent>
                  <w:p>
                    <w:pPr>
                      <w:spacing w:line="154" w:lineRule="exact" w:before="0"/>
                      <w:ind w:left="0" w:right="0" w:firstLine="0"/>
                      <w:jc w:val="left"/>
                      <w:rPr>
                        <w:sz w:val="14"/>
                      </w:rPr>
                    </w:pPr>
                    <w:r>
                      <w:rPr>
                        <w:sz w:val="14"/>
                      </w:rPr>
                      <w:t>2.7</w:t>
                    </w:r>
                  </w:p>
                </w:txbxContent>
              </v:textbox>
              <w10:wrap type="none"/>
            </v:shape>
            <v:shape style="position:absolute;left:1800;top:815;width:196;height:155" type="#_x0000_t202" filled="false" stroked="false">
              <v:textbox inset="0,0,0,0">
                <w:txbxContent>
                  <w:p>
                    <w:pPr>
                      <w:spacing w:line="154" w:lineRule="exact" w:before="0"/>
                      <w:ind w:left="0" w:right="0" w:firstLine="0"/>
                      <w:jc w:val="left"/>
                      <w:rPr>
                        <w:sz w:val="14"/>
                      </w:rPr>
                    </w:pPr>
                    <w:r>
                      <w:rPr>
                        <w:sz w:val="14"/>
                      </w:rPr>
                      <w:t>1.3</w:t>
                    </w:r>
                  </w:p>
                </w:txbxContent>
              </v:textbox>
              <w10:wrap type="none"/>
            </v:shape>
            <v:shape style="position:absolute;left:2379;top:531;width:341;height:434" type="#_x0000_t202" filled="false" stroked="false">
              <v:textbox inset="0,0,0,0">
                <w:txbxContent>
                  <w:p>
                    <w:pPr>
                      <w:spacing w:line="154" w:lineRule="exact" w:before="0"/>
                      <w:ind w:left="0" w:right="0" w:firstLine="0"/>
                      <w:jc w:val="left"/>
                      <w:rPr>
                        <w:sz w:val="14"/>
                      </w:rPr>
                    </w:pPr>
                    <w:r>
                      <w:rPr>
                        <w:sz w:val="14"/>
                      </w:rPr>
                      <w:t>7.2</w:t>
                    </w:r>
                  </w:p>
                  <w:p>
                    <w:pPr>
                      <w:spacing w:before="118"/>
                      <w:ind w:left="145" w:right="0" w:firstLine="0"/>
                      <w:jc w:val="left"/>
                      <w:rPr>
                        <w:sz w:val="14"/>
                      </w:rPr>
                    </w:pPr>
                    <w:r>
                      <w:rPr>
                        <w:sz w:val="14"/>
                      </w:rPr>
                      <w:t>1.4</w:t>
                    </w:r>
                  </w:p>
                </w:txbxContent>
              </v:textbox>
              <w10:wrap type="none"/>
            </v:shape>
            <v:shape style="position:absolute;left:3104;top:628;width:341;height:328" type="#_x0000_t202" filled="false" stroked="false">
              <v:textbox inset="0,0,0,0">
                <w:txbxContent>
                  <w:p>
                    <w:pPr>
                      <w:spacing w:line="154" w:lineRule="exact" w:before="0"/>
                      <w:ind w:left="0" w:right="0" w:firstLine="0"/>
                      <w:jc w:val="left"/>
                      <w:rPr>
                        <w:sz w:val="14"/>
                      </w:rPr>
                    </w:pPr>
                    <w:r>
                      <w:rPr>
                        <w:sz w:val="14"/>
                      </w:rPr>
                      <w:t>5.2</w:t>
                    </w:r>
                  </w:p>
                  <w:p>
                    <w:pPr>
                      <w:spacing w:before="12"/>
                      <w:ind w:left="145" w:right="0" w:firstLine="0"/>
                      <w:jc w:val="left"/>
                      <w:rPr>
                        <w:sz w:val="14"/>
                      </w:rPr>
                    </w:pPr>
                    <w:r>
                      <w:rPr>
                        <w:sz w:val="14"/>
                      </w:rPr>
                      <w:t>1.6</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spacing w:before="94"/>
        <w:ind w:left="631" w:right="0" w:firstLine="0"/>
        <w:jc w:val="both"/>
        <w:rPr>
          <w:sz w:val="16"/>
        </w:rPr>
      </w:pPr>
      <w:r>
        <w:rPr/>
        <w:pict>
          <v:shape style="position:absolute;margin-left:122.107849pt;margin-top:-55.855572pt;width:162.050pt;height:25.3pt;mso-position-horizontal-relative:page;mso-position-vertical-relative:paragraph;z-index:252167168" type="#_x0000_t202" filled="false" stroked="false">
            <v:textbox inset="0,0,0,0" style="layout-flow:vertical;mso-layout-flow-alt:bottom-to-top">
              <w:txbxContent>
                <w:p>
                  <w:pPr>
                    <w:spacing w:before="13"/>
                    <w:ind w:left="20" w:right="0" w:firstLine="0"/>
                    <w:jc w:val="left"/>
                    <w:rPr>
                      <w:sz w:val="14"/>
                    </w:rPr>
                  </w:pPr>
                  <w:r>
                    <w:rPr>
                      <w:sz w:val="14"/>
                    </w:rPr>
                    <w:t>07-2020</w:t>
                  </w:r>
                </w:p>
                <w:p>
                  <w:pPr>
                    <w:spacing w:before="116"/>
                    <w:ind w:left="20" w:right="0" w:firstLine="0"/>
                    <w:jc w:val="left"/>
                    <w:rPr>
                      <w:sz w:val="14"/>
                    </w:rPr>
                  </w:pPr>
                  <w:r>
                    <w:rPr>
                      <w:sz w:val="14"/>
                    </w:rPr>
                    <w:t>09-2020</w:t>
                  </w:r>
                </w:p>
                <w:p>
                  <w:pPr>
                    <w:spacing w:before="116"/>
                    <w:ind w:left="20" w:right="0" w:firstLine="0"/>
                    <w:jc w:val="left"/>
                    <w:rPr>
                      <w:sz w:val="14"/>
                    </w:rPr>
                  </w:pPr>
                  <w:r>
                    <w:rPr>
                      <w:sz w:val="14"/>
                    </w:rPr>
                    <w:t>11-2020</w:t>
                  </w:r>
                </w:p>
                <w:p>
                  <w:pPr>
                    <w:spacing w:before="116"/>
                    <w:ind w:left="20" w:right="0" w:firstLine="0"/>
                    <w:jc w:val="left"/>
                    <w:rPr>
                      <w:sz w:val="14"/>
                    </w:rPr>
                  </w:pPr>
                  <w:r>
                    <w:rPr>
                      <w:sz w:val="14"/>
                    </w:rPr>
                    <w:t>01-2021</w:t>
                  </w:r>
                </w:p>
                <w:p>
                  <w:pPr>
                    <w:spacing w:before="116"/>
                    <w:ind w:left="20" w:right="0" w:firstLine="0"/>
                    <w:jc w:val="left"/>
                    <w:rPr>
                      <w:sz w:val="14"/>
                    </w:rPr>
                  </w:pPr>
                  <w:r>
                    <w:rPr>
                      <w:sz w:val="14"/>
                    </w:rPr>
                    <w:t>03-2021</w:t>
                  </w:r>
                </w:p>
                <w:p>
                  <w:pPr>
                    <w:spacing w:before="116"/>
                    <w:ind w:left="20" w:right="0" w:firstLine="0"/>
                    <w:jc w:val="left"/>
                    <w:rPr>
                      <w:sz w:val="14"/>
                    </w:rPr>
                  </w:pPr>
                  <w:r>
                    <w:rPr>
                      <w:sz w:val="14"/>
                    </w:rPr>
                    <w:t>05-2021</w:t>
                  </w:r>
                </w:p>
                <w:p>
                  <w:pPr>
                    <w:spacing w:before="116"/>
                    <w:ind w:left="20" w:right="0" w:firstLine="0"/>
                    <w:jc w:val="left"/>
                    <w:rPr>
                      <w:sz w:val="14"/>
                    </w:rPr>
                  </w:pPr>
                  <w:r>
                    <w:rPr>
                      <w:sz w:val="14"/>
                    </w:rPr>
                    <w:t>07-2021</w:t>
                  </w:r>
                </w:p>
                <w:p>
                  <w:pPr>
                    <w:spacing w:before="116"/>
                    <w:ind w:left="20" w:right="0" w:firstLine="0"/>
                    <w:jc w:val="left"/>
                    <w:rPr>
                      <w:sz w:val="14"/>
                    </w:rPr>
                  </w:pPr>
                  <w:r>
                    <w:rPr>
                      <w:sz w:val="14"/>
                    </w:rPr>
                    <w:t>09-2021</w:t>
                  </w:r>
                </w:p>
                <w:p>
                  <w:pPr>
                    <w:spacing w:before="116"/>
                    <w:ind w:left="20" w:right="0" w:firstLine="0"/>
                    <w:jc w:val="left"/>
                    <w:rPr>
                      <w:sz w:val="14"/>
                    </w:rPr>
                  </w:pPr>
                  <w:r>
                    <w:rPr>
                      <w:sz w:val="14"/>
                    </w:rPr>
                    <w:t>11-2021</w:t>
                  </w:r>
                </w:p>
                <w:p>
                  <w:pPr>
                    <w:spacing w:before="116"/>
                    <w:ind w:left="20" w:right="0" w:firstLine="0"/>
                    <w:jc w:val="left"/>
                    <w:rPr>
                      <w:sz w:val="14"/>
                    </w:rPr>
                  </w:pPr>
                  <w:r>
                    <w:rPr>
                      <w:sz w:val="14"/>
                    </w:rPr>
                    <w:t>01-2022</w:t>
                  </w:r>
                </w:p>
                <w:p>
                  <w:pPr>
                    <w:spacing w:before="116"/>
                    <w:ind w:left="20" w:right="0" w:firstLine="0"/>
                    <w:jc w:val="left"/>
                    <w:rPr>
                      <w:sz w:val="14"/>
                    </w:rPr>
                  </w:pPr>
                  <w:r>
                    <w:rPr>
                      <w:sz w:val="14"/>
                    </w:rPr>
                    <w:t>03-2022</w:t>
                  </w:r>
                </w:p>
                <w:p>
                  <w:pPr>
                    <w:spacing w:before="116"/>
                    <w:ind w:left="20" w:right="0" w:firstLine="0"/>
                    <w:jc w:val="left"/>
                    <w:rPr>
                      <w:sz w:val="14"/>
                    </w:rPr>
                  </w:pPr>
                  <w:r>
                    <w:rPr>
                      <w:sz w:val="14"/>
                    </w:rPr>
                    <w:t>05-2022</w:t>
                  </w:r>
                </w:p>
              </w:txbxContent>
            </v:textbox>
            <w10:wrap type="none"/>
          </v:shape>
        </w:pict>
      </w:r>
      <w:r>
        <w:rPr/>
        <w:pict>
          <v:shape style="position:absolute;margin-left:346.777863pt;margin-top:-80.667236pt;width:9.75pt;height:32.35pt;mso-position-horizontal-relative:page;mso-position-vertical-relative:paragraph;z-index:252169216" type="#_x0000_t202" filled="false" stroked="false">
            <v:textbox inset="0,0,0,0" style="layout-flow:vertical;mso-layout-flow-alt:bottom-to-top">
              <w:txbxContent>
                <w:p>
                  <w:pPr>
                    <w:spacing w:before="13"/>
                    <w:ind w:left="20" w:right="0" w:firstLine="0"/>
                    <w:jc w:val="left"/>
                    <w:rPr>
                      <w:sz w:val="14"/>
                    </w:rPr>
                  </w:pPr>
                  <w:r>
                    <w:rPr>
                      <w:sz w:val="14"/>
                    </w:rPr>
                    <w:t>Transporte</w:t>
                  </w:r>
                </w:p>
              </w:txbxContent>
            </v:textbox>
            <w10:wrap type="none"/>
          </v:shape>
        </w:pict>
      </w:r>
      <w:r>
        <w:rPr/>
        <w:pict>
          <v:shape style="position:absolute;margin-left:378.977844pt;margin-top:-80.571365pt;width:17.8pt;height:68.2pt;mso-position-horizontal-relative:page;mso-position-vertical-relative:paragraph;z-index:252170240" type="#_x0000_t202" filled="false" stroked="false">
            <v:textbox inset="0,0,0,0" style="layout-flow:vertical;mso-layout-flow-alt:bottom-to-top">
              <w:txbxContent>
                <w:p>
                  <w:pPr>
                    <w:spacing w:before="13"/>
                    <w:ind w:left="367" w:right="-1" w:hanging="348"/>
                    <w:jc w:val="left"/>
                    <w:rPr>
                      <w:sz w:val="14"/>
                    </w:rPr>
                  </w:pPr>
                  <w:r>
                    <w:rPr>
                      <w:sz w:val="14"/>
                    </w:rPr>
                    <w:t>Alimentos y bebidas no alcohólicas</w:t>
                  </w:r>
                </w:p>
              </w:txbxContent>
            </v:textbox>
            <w10:wrap type="none"/>
          </v:shape>
        </w:pict>
      </w:r>
      <w:r>
        <w:rPr/>
        <w:pict>
          <v:shape style="position:absolute;margin-left:415.217865pt;margin-top:-80.593674pt;width:17.75pt;height:67.45pt;mso-position-horizontal-relative:page;mso-position-vertical-relative:paragraph;z-index:252171264" type="#_x0000_t202" filled="false" stroked="false">
            <v:textbox inset="0,0,0,0" style="layout-flow:vertical;mso-layout-flow-alt:bottom-to-top">
              <w:txbxContent>
                <w:p>
                  <w:pPr>
                    <w:spacing w:before="13"/>
                    <w:ind w:left="447" w:right="-1" w:hanging="428"/>
                    <w:jc w:val="left"/>
                    <w:rPr>
                      <w:sz w:val="14"/>
                    </w:rPr>
                  </w:pPr>
                  <w:r>
                    <w:rPr>
                      <w:sz w:val="14"/>
                    </w:rPr>
                    <w:t>Muebles, artículos para el hogar</w:t>
                  </w:r>
                </w:p>
              </w:txbxContent>
            </v:textbox>
            <w10:wrap type="none"/>
          </v:shape>
        </w:pict>
      </w:r>
      <w:r>
        <w:rPr/>
        <w:pict>
          <v:shape style="position:absolute;margin-left:455.467865pt;margin-top:-80.577606pt;width:9.75pt;height:61.8pt;mso-position-horizontal-relative:page;mso-position-vertical-relative:paragraph;z-index:252172288" type="#_x0000_t202" filled="false" stroked="false">
            <v:textbox inset="0,0,0,0" style="layout-flow:vertical;mso-layout-flow-alt:bottom-to-top">
              <w:txbxContent>
                <w:p>
                  <w:pPr>
                    <w:spacing w:before="13"/>
                    <w:ind w:left="20" w:right="0" w:firstLine="0"/>
                    <w:jc w:val="left"/>
                    <w:rPr>
                      <w:sz w:val="14"/>
                    </w:rPr>
                  </w:pPr>
                  <w:r>
                    <w:rPr>
                      <w:sz w:val="14"/>
                    </w:rPr>
                    <w:t>Restaurante y hoteles</w:t>
                  </w:r>
                </w:p>
              </w:txbxContent>
            </v:textbox>
            <w10:wrap type="none"/>
          </v:shape>
        </w:pict>
      </w:r>
      <w:r>
        <w:rPr/>
        <w:pict>
          <v:shape style="position:absolute;margin-left:487.657837pt;margin-top:-80.510849pt;width:17.8pt;height:62.9pt;mso-position-horizontal-relative:page;mso-position-vertical-relative:paragraph;z-index:252173312" type="#_x0000_t202" filled="false" stroked="false">
            <v:textbox inset="0,0,0,0" style="layout-flow:vertical;mso-layout-flow-alt:bottom-to-top">
              <w:txbxContent>
                <w:p>
                  <w:pPr>
                    <w:spacing w:before="13"/>
                    <w:ind w:left="448" w:right="-2" w:hanging="429"/>
                    <w:jc w:val="left"/>
                    <w:rPr>
                      <w:sz w:val="14"/>
                    </w:rPr>
                  </w:pPr>
                  <w:r>
                    <w:rPr>
                      <w:sz w:val="14"/>
                    </w:rPr>
                    <w:t>Bebidas alcohólicas y tabaco</w:t>
                  </w:r>
                </w:p>
              </w:txbxContent>
            </v:textbox>
            <w10:wrap type="none"/>
          </v:shape>
        </w:pict>
      </w:r>
      <w:r>
        <w:rPr>
          <w:sz w:val="16"/>
        </w:rPr>
        <w:t>Fuente: Dirección de Análisis y Política con información del BANGUAT</w:t>
      </w:r>
    </w:p>
    <w:p>
      <w:pPr>
        <w:pStyle w:val="BodyText"/>
        <w:rPr>
          <w:sz w:val="18"/>
        </w:rPr>
      </w:pPr>
    </w:p>
    <w:p>
      <w:pPr>
        <w:pStyle w:val="Heading2"/>
        <w:numPr>
          <w:ilvl w:val="1"/>
          <w:numId w:val="11"/>
        </w:numPr>
        <w:tabs>
          <w:tab w:pos="1110" w:val="left" w:leader="none"/>
        </w:tabs>
        <w:spacing w:line="240" w:lineRule="auto" w:before="112" w:after="0"/>
        <w:ind w:left="1109" w:right="0" w:hanging="481"/>
        <w:jc w:val="left"/>
      </w:pPr>
      <w:bookmarkStart w:name="_bookmark81" w:id="104"/>
      <w:bookmarkEnd w:id="104"/>
      <w:r>
        <w:rPr/>
        <w:t>S</w:t>
      </w:r>
      <w:r>
        <w:rPr/>
        <w:t>ector monetario</w:t>
      </w:r>
      <w:r>
        <w:rPr>
          <w:spacing w:val="1"/>
        </w:rPr>
        <w:t> </w:t>
      </w:r>
      <w:r>
        <w:rPr/>
        <w:t>2022</w:t>
      </w:r>
    </w:p>
    <w:p>
      <w:pPr>
        <w:pStyle w:val="BodyText"/>
        <w:rPr>
          <w:b/>
          <w:sz w:val="30"/>
        </w:rPr>
      </w:pPr>
    </w:p>
    <w:p>
      <w:pPr>
        <w:pStyle w:val="BodyText"/>
        <w:spacing w:line="276" w:lineRule="auto" w:before="1"/>
        <w:ind w:left="562" w:right="1697"/>
        <w:jc w:val="both"/>
      </w:pPr>
      <w:r>
        <w:rPr/>
        <w:t>El</w:t>
      </w:r>
      <w:r>
        <w:rPr>
          <w:spacing w:val="-9"/>
        </w:rPr>
        <w:t> </w:t>
      </w:r>
      <w:r>
        <w:rPr/>
        <w:t>sector</w:t>
      </w:r>
      <w:r>
        <w:rPr>
          <w:spacing w:val="-9"/>
        </w:rPr>
        <w:t> </w:t>
      </w:r>
      <w:r>
        <w:rPr/>
        <w:t>monetario</w:t>
      </w:r>
      <w:r>
        <w:rPr>
          <w:spacing w:val="-11"/>
        </w:rPr>
        <w:t> </w:t>
      </w:r>
      <w:r>
        <w:rPr/>
        <w:t>refleja</w:t>
      </w:r>
      <w:r>
        <w:rPr>
          <w:spacing w:val="-13"/>
        </w:rPr>
        <w:t> </w:t>
      </w:r>
      <w:r>
        <w:rPr/>
        <w:t>un</w:t>
      </w:r>
      <w:r>
        <w:rPr>
          <w:spacing w:val="-10"/>
        </w:rPr>
        <w:t> </w:t>
      </w:r>
      <w:r>
        <w:rPr/>
        <w:t>comportamiento</w:t>
      </w:r>
      <w:r>
        <w:rPr>
          <w:spacing w:val="-10"/>
        </w:rPr>
        <w:t> </w:t>
      </w:r>
      <w:r>
        <w:rPr/>
        <w:t>de</w:t>
      </w:r>
      <w:r>
        <w:rPr>
          <w:spacing w:val="-8"/>
        </w:rPr>
        <w:t> </w:t>
      </w:r>
      <w:r>
        <w:rPr/>
        <w:t>normalización</w:t>
      </w:r>
      <w:r>
        <w:rPr>
          <w:spacing w:val="-10"/>
        </w:rPr>
        <w:t> </w:t>
      </w:r>
      <w:r>
        <w:rPr/>
        <w:t>después</w:t>
      </w:r>
      <w:r>
        <w:rPr>
          <w:spacing w:val="-10"/>
        </w:rPr>
        <w:t> </w:t>
      </w:r>
      <w:r>
        <w:rPr/>
        <w:t>de</w:t>
      </w:r>
      <w:r>
        <w:rPr>
          <w:spacing w:val="-12"/>
        </w:rPr>
        <w:t> </w:t>
      </w:r>
      <w:r>
        <w:rPr/>
        <w:t>la</w:t>
      </w:r>
      <w:r>
        <w:rPr>
          <w:spacing w:val="-11"/>
        </w:rPr>
        <w:t> </w:t>
      </w:r>
      <w:r>
        <w:rPr/>
        <w:t>crisis,</w:t>
      </w:r>
      <w:r>
        <w:rPr>
          <w:spacing w:val="-11"/>
        </w:rPr>
        <w:t> </w:t>
      </w:r>
      <w:r>
        <w:rPr/>
        <w:t>lo</w:t>
      </w:r>
      <w:r>
        <w:rPr>
          <w:spacing w:val="-12"/>
        </w:rPr>
        <w:t> </w:t>
      </w:r>
      <w:r>
        <w:rPr/>
        <w:t>cual</w:t>
      </w:r>
      <w:r>
        <w:rPr>
          <w:spacing w:val="-10"/>
        </w:rPr>
        <w:t> </w:t>
      </w:r>
      <w:r>
        <w:rPr/>
        <w:t>proyecta resultados de acuerdo con la época prepandemia, un entorno externo con una recuperación de la actividad mundial que se ha mantenido a pesar de los elevados márgenes de incertidumbre y a pesar del alza en el precio medio del crudo respecto del año anterior que presionan al alza la inflación, se espera que el dinamismo en el crédito al sector empresarial generará más inversión y</w:t>
      </w:r>
      <w:r>
        <w:rPr>
          <w:spacing w:val="-21"/>
        </w:rPr>
        <w:t> </w:t>
      </w:r>
      <w:r>
        <w:rPr/>
        <w:t>empleo.</w:t>
      </w:r>
    </w:p>
    <w:p>
      <w:pPr>
        <w:pStyle w:val="BodyText"/>
        <w:spacing w:before="2"/>
        <w:rPr>
          <w:sz w:val="25"/>
        </w:rPr>
      </w:pPr>
    </w:p>
    <w:p>
      <w:pPr>
        <w:pStyle w:val="BodyText"/>
        <w:spacing w:line="276" w:lineRule="auto" w:before="1"/>
        <w:ind w:left="562" w:right="1696"/>
        <w:jc w:val="both"/>
      </w:pPr>
      <w:r>
        <w:rPr/>
        <w:t>En el 2022 la emisión monetaria muestra a junio un crecimiento interanual de 16.8%, mayor al presentado en junio de 2021 de 14.6%, dicha variable evoluciona conforme a lo previsto, dentro de los niveles aceptados para este periodo, al analizar el desempeño de la emisión monetaria en su componente de numerario en circulación, este tuvo un crecimiento de 15.4%, menor al 18.3% registrado en junio del 2021.</w:t>
      </w:r>
    </w:p>
    <w:p>
      <w:pPr>
        <w:pStyle w:val="BodyText"/>
        <w:spacing w:before="2"/>
        <w:rPr>
          <w:sz w:val="25"/>
        </w:rPr>
      </w:pPr>
    </w:p>
    <w:p>
      <w:pPr>
        <w:pStyle w:val="BodyText"/>
        <w:spacing w:line="276" w:lineRule="auto"/>
        <w:ind w:left="562" w:right="1693"/>
        <w:jc w:val="both"/>
      </w:pPr>
      <w:r>
        <w:rPr/>
        <w:t>El crédito bancario al sector privado que influye de forma directa en la producción y el consumo nacional, a junio del 2022 muestra un crecimiento de 16.1%, mayor en 10.3 puntos porcentuales respecto</w:t>
      </w:r>
      <w:r>
        <w:rPr>
          <w:spacing w:val="-9"/>
        </w:rPr>
        <w:t> </w:t>
      </w:r>
      <w:r>
        <w:rPr/>
        <w:t>a</w:t>
      </w:r>
      <w:r>
        <w:rPr>
          <w:spacing w:val="-8"/>
        </w:rPr>
        <w:t> </w:t>
      </w:r>
      <w:r>
        <w:rPr/>
        <w:t>lo</w:t>
      </w:r>
      <w:r>
        <w:rPr>
          <w:spacing w:val="-10"/>
        </w:rPr>
        <w:t> </w:t>
      </w:r>
      <w:r>
        <w:rPr/>
        <w:t>registrado</w:t>
      </w:r>
      <w:r>
        <w:rPr>
          <w:spacing w:val="-9"/>
        </w:rPr>
        <w:t> </w:t>
      </w:r>
      <w:r>
        <w:rPr/>
        <w:t>en</w:t>
      </w:r>
      <w:r>
        <w:rPr>
          <w:spacing w:val="-8"/>
        </w:rPr>
        <w:t> </w:t>
      </w:r>
      <w:r>
        <w:rPr/>
        <w:t>el</w:t>
      </w:r>
      <w:r>
        <w:rPr>
          <w:spacing w:val="-7"/>
        </w:rPr>
        <w:t> </w:t>
      </w:r>
      <w:r>
        <w:rPr/>
        <w:t>mismo</w:t>
      </w:r>
      <w:r>
        <w:rPr>
          <w:spacing w:val="-9"/>
        </w:rPr>
        <w:t> </w:t>
      </w:r>
      <w:r>
        <w:rPr/>
        <w:t>período</w:t>
      </w:r>
      <w:r>
        <w:rPr>
          <w:spacing w:val="-9"/>
        </w:rPr>
        <w:t> </w:t>
      </w:r>
      <w:r>
        <w:rPr/>
        <w:t>de</w:t>
      </w:r>
      <w:r>
        <w:rPr>
          <w:spacing w:val="-7"/>
        </w:rPr>
        <w:t> </w:t>
      </w:r>
      <w:r>
        <w:rPr/>
        <w:t>2021.</w:t>
      </w:r>
      <w:r>
        <w:rPr>
          <w:spacing w:val="-9"/>
        </w:rPr>
        <w:t> </w:t>
      </w:r>
      <w:r>
        <w:rPr/>
        <w:t>Al</w:t>
      </w:r>
      <w:r>
        <w:rPr>
          <w:spacing w:val="-8"/>
        </w:rPr>
        <w:t> </w:t>
      </w:r>
      <w:r>
        <w:rPr/>
        <w:t>desagregarlo</w:t>
      </w:r>
      <w:r>
        <w:rPr>
          <w:spacing w:val="-8"/>
        </w:rPr>
        <w:t> </w:t>
      </w:r>
      <w:r>
        <w:rPr/>
        <w:t>por</w:t>
      </w:r>
      <w:r>
        <w:rPr>
          <w:spacing w:val="-8"/>
        </w:rPr>
        <w:t> </w:t>
      </w:r>
      <w:r>
        <w:rPr/>
        <w:t>tipo</w:t>
      </w:r>
      <w:r>
        <w:rPr>
          <w:spacing w:val="-9"/>
        </w:rPr>
        <w:t> </w:t>
      </w:r>
      <w:r>
        <w:rPr/>
        <w:t>de</w:t>
      </w:r>
      <w:r>
        <w:rPr>
          <w:spacing w:val="-7"/>
        </w:rPr>
        <w:t> </w:t>
      </w:r>
      <w:r>
        <w:rPr/>
        <w:t>monedas,</w:t>
      </w:r>
      <w:r>
        <w:rPr>
          <w:spacing w:val="-8"/>
        </w:rPr>
        <w:t> </w:t>
      </w:r>
      <w:r>
        <w:rPr/>
        <w:t>el</w:t>
      </w:r>
      <w:r>
        <w:rPr>
          <w:spacing w:val="-7"/>
        </w:rPr>
        <w:t> </w:t>
      </w:r>
      <w:r>
        <w:rPr/>
        <w:t>crédito al sector privado en moneda nacional creció 15.9%, mayor en 7.9 puntos porcentuales registrado en 2021, y el crédito bancario en moneda extranjera creció 16.5%, mayor en 15.1 puntos porcentuales experimentada en el mismo mes del</w:t>
      </w:r>
      <w:r>
        <w:rPr>
          <w:spacing w:val="1"/>
        </w:rPr>
        <w:t> </w:t>
      </w:r>
      <w:r>
        <w:rPr/>
        <w:t>2021.</w:t>
      </w:r>
    </w:p>
    <w:p>
      <w:pPr>
        <w:spacing w:after="0" w:line="276" w:lineRule="auto"/>
        <w:jc w:val="both"/>
        <w:sectPr>
          <w:type w:val="continuous"/>
          <w:pgSz w:w="12240" w:h="15840"/>
          <w:pgMar w:top="1500" w:bottom="280" w:left="1140" w:right="0"/>
        </w:sectPr>
      </w:pPr>
    </w:p>
    <w:p>
      <w:pPr>
        <w:tabs>
          <w:tab w:pos="5480" w:val="left" w:leader="none"/>
        </w:tabs>
        <w:spacing w:before="169"/>
        <w:ind w:left="1308" w:right="0" w:firstLine="0"/>
        <w:jc w:val="left"/>
        <w:rPr>
          <w:b/>
          <w:sz w:val="20"/>
        </w:rPr>
      </w:pPr>
      <w:bookmarkStart w:name="_bookmark82" w:id="105"/>
      <w:bookmarkEnd w:id="105"/>
      <w:r>
        <w:rPr/>
      </w:r>
      <w:r>
        <w:rPr>
          <w:b/>
          <w:i/>
          <w:sz w:val="20"/>
        </w:rPr>
        <w:t>Gráfico 38.</w:t>
      </w:r>
      <w:r>
        <w:rPr>
          <w:b/>
          <w:i/>
          <w:spacing w:val="46"/>
          <w:sz w:val="20"/>
        </w:rPr>
        <w:t> </w:t>
      </w:r>
      <w:r>
        <w:rPr>
          <w:b/>
          <w:sz w:val="20"/>
        </w:rPr>
        <w:t>Emisión</w:t>
      </w:r>
      <w:r>
        <w:rPr>
          <w:b/>
          <w:spacing w:val="-3"/>
          <w:sz w:val="20"/>
        </w:rPr>
        <w:t> </w:t>
      </w:r>
      <w:r>
        <w:rPr>
          <w:b/>
          <w:sz w:val="20"/>
        </w:rPr>
        <w:t>Monetaria</w:t>
        <w:tab/>
      </w:r>
      <w:bookmarkStart w:name="_bookmark83" w:id="106"/>
      <w:bookmarkEnd w:id="106"/>
      <w:r>
        <w:rPr>
          <w:b/>
          <w:sz w:val="20"/>
        </w:rPr>
      </w:r>
      <w:r>
        <w:rPr>
          <w:b/>
          <w:i/>
          <w:sz w:val="20"/>
        </w:rPr>
        <w:t>Gráfico 39. </w:t>
      </w:r>
      <w:r>
        <w:rPr>
          <w:b/>
          <w:sz w:val="20"/>
        </w:rPr>
        <w:t>Crédito al sector</w:t>
      </w:r>
      <w:r>
        <w:rPr>
          <w:b/>
          <w:spacing w:val="-3"/>
          <w:sz w:val="20"/>
        </w:rPr>
        <w:t> </w:t>
      </w:r>
      <w:r>
        <w:rPr>
          <w:b/>
          <w:sz w:val="20"/>
        </w:rPr>
        <w:t>privado</w:t>
      </w:r>
    </w:p>
    <w:p>
      <w:pPr>
        <w:spacing w:after="0"/>
        <w:jc w:val="left"/>
        <w:rPr>
          <w:sz w:val="20"/>
        </w:rPr>
        <w:sectPr>
          <w:pgSz w:w="12240" w:h="15840"/>
          <w:pgMar w:header="715" w:footer="957" w:top="1240" w:bottom="1140" w:left="1140" w:right="0"/>
        </w:sectPr>
      </w:pPr>
    </w:p>
    <w:p>
      <w:pPr>
        <w:spacing w:before="149"/>
        <w:ind w:left="0" w:right="38" w:firstLine="0"/>
        <w:jc w:val="right"/>
        <w:rPr>
          <w:sz w:val="16"/>
        </w:rPr>
      </w:pPr>
      <w:r>
        <w:rPr>
          <w:color w:val="585858"/>
          <w:spacing w:val="-1"/>
          <w:sz w:val="16"/>
        </w:rPr>
        <w:t>35.00</w:t>
      </w:r>
    </w:p>
    <w:p>
      <w:pPr>
        <w:spacing w:before="92"/>
        <w:ind w:left="0" w:right="38" w:firstLine="0"/>
        <w:jc w:val="right"/>
        <w:rPr>
          <w:sz w:val="16"/>
        </w:rPr>
      </w:pPr>
      <w:r>
        <w:rPr>
          <w:color w:val="585858"/>
          <w:spacing w:val="-1"/>
          <w:sz w:val="16"/>
        </w:rPr>
        <w:t>30.00</w:t>
      </w:r>
    </w:p>
    <w:p>
      <w:pPr>
        <w:spacing w:before="92"/>
        <w:ind w:left="0" w:right="38" w:firstLine="0"/>
        <w:jc w:val="right"/>
        <w:rPr>
          <w:sz w:val="16"/>
        </w:rPr>
      </w:pPr>
      <w:r>
        <w:rPr>
          <w:color w:val="585858"/>
          <w:spacing w:val="-1"/>
          <w:sz w:val="16"/>
        </w:rPr>
        <w:t>25.00</w:t>
      </w:r>
    </w:p>
    <w:p>
      <w:pPr>
        <w:spacing w:before="93"/>
        <w:ind w:left="0" w:right="38" w:firstLine="0"/>
        <w:jc w:val="right"/>
        <w:rPr>
          <w:sz w:val="16"/>
        </w:rPr>
      </w:pPr>
      <w:r>
        <w:rPr>
          <w:color w:val="585858"/>
          <w:spacing w:val="-1"/>
          <w:sz w:val="16"/>
        </w:rPr>
        <w:t>20.00</w:t>
      </w:r>
    </w:p>
    <w:p>
      <w:pPr>
        <w:spacing w:before="92"/>
        <w:ind w:left="0" w:right="38" w:firstLine="0"/>
        <w:jc w:val="right"/>
        <w:rPr>
          <w:sz w:val="16"/>
        </w:rPr>
      </w:pPr>
      <w:r>
        <w:rPr>
          <w:color w:val="585858"/>
          <w:spacing w:val="-1"/>
          <w:sz w:val="16"/>
        </w:rPr>
        <w:t>15.00</w:t>
      </w:r>
    </w:p>
    <w:p>
      <w:pPr>
        <w:spacing w:before="92"/>
        <w:ind w:left="0" w:right="38" w:firstLine="0"/>
        <w:jc w:val="right"/>
        <w:rPr>
          <w:sz w:val="16"/>
        </w:rPr>
      </w:pPr>
      <w:r>
        <w:rPr>
          <w:color w:val="585858"/>
          <w:spacing w:val="-1"/>
          <w:sz w:val="16"/>
        </w:rPr>
        <w:t>10.00</w:t>
      </w:r>
    </w:p>
    <w:p>
      <w:pPr>
        <w:spacing w:before="92"/>
        <w:ind w:left="0" w:right="39" w:firstLine="0"/>
        <w:jc w:val="right"/>
        <w:rPr>
          <w:sz w:val="16"/>
        </w:rPr>
      </w:pPr>
      <w:r>
        <w:rPr>
          <w:color w:val="585858"/>
          <w:spacing w:val="-1"/>
          <w:sz w:val="16"/>
        </w:rPr>
        <w:t>5.00</w:t>
      </w:r>
    </w:p>
    <w:p>
      <w:pPr>
        <w:spacing w:before="93"/>
        <w:ind w:left="0" w:right="39" w:firstLine="0"/>
        <w:jc w:val="right"/>
        <w:rPr>
          <w:sz w:val="16"/>
        </w:rPr>
      </w:pPr>
      <w:r>
        <w:rPr>
          <w:color w:val="585858"/>
          <w:spacing w:val="-1"/>
          <w:sz w:val="16"/>
        </w:rPr>
        <w:t>0.00</w:t>
      </w:r>
    </w:p>
    <w:p>
      <w:pPr>
        <w:pStyle w:val="BodyText"/>
        <w:rPr>
          <w:sz w:val="14"/>
        </w:rPr>
      </w:pPr>
      <w:r>
        <w:rPr/>
        <w:br w:type="column"/>
      </w:r>
      <w:r>
        <w:rPr>
          <w:sz w:val="14"/>
        </w:rPr>
      </w:r>
    </w:p>
    <w:p>
      <w:pPr>
        <w:pStyle w:val="BodyText"/>
        <w:spacing w:before="7"/>
        <w:rPr>
          <w:sz w:val="15"/>
        </w:rPr>
      </w:pPr>
    </w:p>
    <w:p>
      <w:pPr>
        <w:spacing w:before="0"/>
        <w:ind w:left="0" w:right="38" w:firstLine="0"/>
        <w:jc w:val="right"/>
        <w:rPr>
          <w:sz w:val="14"/>
        </w:rPr>
      </w:pPr>
      <w:r>
        <w:rPr>
          <w:w w:val="95"/>
          <w:sz w:val="14"/>
        </w:rPr>
        <w:t>18.0</w:t>
      </w:r>
    </w:p>
    <w:p>
      <w:pPr>
        <w:spacing w:before="37"/>
        <w:ind w:left="0" w:right="38" w:firstLine="0"/>
        <w:jc w:val="right"/>
        <w:rPr>
          <w:sz w:val="14"/>
        </w:rPr>
      </w:pPr>
      <w:r>
        <w:rPr/>
        <w:pict>
          <v:group style="position:absolute;margin-left:127.800003pt;margin-top:-.634827pt;width:166.65pt;height:52.55pt;mso-position-horizontal-relative:page;mso-position-vertical-relative:paragraph;z-index:252176384" coordorigin="2556,-13" coordsize="3333,1051">
            <v:shape style="position:absolute;left:2581;top:12;width:3282;height:1001" coordorigin="2581,13" coordsize="3282,1001" path="m2581,271l2616,257,2651,244,2686,228,2720,202,2755,152,2790,84,2825,28,2859,13,2894,61,2929,153,2964,251,2999,315,3033,331,3068,322,3103,303,3138,288,3172,278,3207,266,3242,256,3277,250,3311,251,3346,257,3381,262,3416,262,3451,252,3485,235,3520,221,3555,216,3588,220,3624,230,3694,291,3722,351,3750,431,3777,520,3805,604,3833,672,3868,735,3937,821,4007,866,4042,870,4077,869,4111,869,4146,871,4181,872,4216,873,4250,875,4285,876,4320,877,4355,881,4390,892,4424,917,4459,952,4494,986,4529,1006,4563,1005,4598,992,4633,976,4668,965,4702,960,4737,958,4772,959,4807,963,4842,975,4876,993,4911,1009,4946,1013,4981,1001,5015,978,5050,952,5085,930,5120,911,5155,892,5189,878,5224,874,5259,889,5294,918,5328,943,5363,945,5398,911,5433,854,5468,795,5502,755,5537,742,5572,744,5607,753,5641,757,5676,754,5711,748,5746,746,5781,754,5815,776,5850,808,5863,821e" filled="false" stroked="true" strokeweight="2.52pt" strokecolor="#c00000">
              <v:path arrowok="t"/>
              <v:stroke dashstyle="solid"/>
            </v:shape>
            <v:shape style="position:absolute;left:5547;top:472;width:304;height:179" type="#_x0000_t202" filled="false" stroked="false">
              <v:textbox inset="0,0,0,0">
                <w:txbxContent>
                  <w:p>
                    <w:pPr>
                      <w:spacing w:line="178" w:lineRule="exact" w:before="0"/>
                      <w:ind w:left="0" w:right="0" w:firstLine="0"/>
                      <w:jc w:val="left"/>
                      <w:rPr>
                        <w:b/>
                        <w:sz w:val="16"/>
                      </w:rPr>
                    </w:pPr>
                    <w:r>
                      <w:rPr>
                        <w:b/>
                        <w:color w:val="404040"/>
                        <w:sz w:val="16"/>
                      </w:rPr>
                      <w:t>16.8</w:t>
                    </w:r>
                  </w:p>
                </w:txbxContent>
              </v:textbox>
              <w10:wrap type="none"/>
            </v:shape>
            <w10:wrap type="none"/>
          </v:group>
        </w:pict>
      </w:r>
      <w:r>
        <w:rPr>
          <w:w w:val="95"/>
          <w:sz w:val="14"/>
        </w:rPr>
        <w:t>16.0</w:t>
      </w:r>
    </w:p>
    <w:p>
      <w:pPr>
        <w:spacing w:before="37"/>
        <w:ind w:left="0" w:right="38" w:firstLine="0"/>
        <w:jc w:val="right"/>
        <w:rPr>
          <w:sz w:val="14"/>
        </w:rPr>
      </w:pPr>
      <w:r>
        <w:rPr>
          <w:w w:val="95"/>
          <w:sz w:val="14"/>
        </w:rPr>
        <w:t>14.0</w:t>
      </w:r>
    </w:p>
    <w:p>
      <w:pPr>
        <w:spacing w:before="37"/>
        <w:ind w:left="0" w:right="38" w:firstLine="0"/>
        <w:jc w:val="right"/>
        <w:rPr>
          <w:sz w:val="14"/>
        </w:rPr>
      </w:pPr>
      <w:r>
        <w:rPr>
          <w:w w:val="95"/>
          <w:sz w:val="14"/>
        </w:rPr>
        <w:t>12.0</w:t>
      </w:r>
    </w:p>
    <w:p>
      <w:pPr>
        <w:spacing w:before="37"/>
        <w:ind w:left="0" w:right="38" w:firstLine="0"/>
        <w:jc w:val="right"/>
        <w:rPr>
          <w:sz w:val="14"/>
        </w:rPr>
      </w:pPr>
      <w:r>
        <w:rPr>
          <w:w w:val="95"/>
          <w:sz w:val="14"/>
        </w:rPr>
        <w:t>10.0</w:t>
      </w:r>
    </w:p>
    <w:p>
      <w:pPr>
        <w:spacing w:before="37"/>
        <w:ind w:left="0" w:right="40" w:firstLine="0"/>
        <w:jc w:val="right"/>
        <w:rPr>
          <w:sz w:val="14"/>
        </w:rPr>
      </w:pPr>
      <w:r>
        <w:rPr>
          <w:spacing w:val="-1"/>
          <w:sz w:val="14"/>
        </w:rPr>
        <w:t>8.0</w:t>
      </w:r>
    </w:p>
    <w:p>
      <w:pPr>
        <w:spacing w:before="37"/>
        <w:ind w:left="0" w:right="40" w:firstLine="0"/>
        <w:jc w:val="right"/>
        <w:rPr>
          <w:sz w:val="14"/>
        </w:rPr>
      </w:pPr>
      <w:r>
        <w:rPr>
          <w:spacing w:val="-1"/>
          <w:sz w:val="14"/>
        </w:rPr>
        <w:t>6.0</w:t>
      </w:r>
    </w:p>
    <w:p>
      <w:pPr>
        <w:spacing w:before="37"/>
        <w:ind w:left="0" w:right="40" w:firstLine="0"/>
        <w:jc w:val="right"/>
        <w:rPr>
          <w:sz w:val="14"/>
        </w:rPr>
      </w:pPr>
      <w:r>
        <w:rPr>
          <w:spacing w:val="-1"/>
          <w:sz w:val="14"/>
        </w:rPr>
        <w:t>4.0</w:t>
      </w:r>
    </w:p>
    <w:p>
      <w:pPr>
        <w:spacing w:before="37"/>
        <w:ind w:left="0" w:right="40" w:firstLine="0"/>
        <w:jc w:val="right"/>
        <w:rPr>
          <w:sz w:val="14"/>
        </w:rPr>
      </w:pPr>
      <w:r>
        <w:rPr>
          <w:spacing w:val="-1"/>
          <w:sz w:val="14"/>
        </w:rPr>
        <w:t>2.0</w:t>
      </w:r>
    </w:p>
    <w:p>
      <w:pPr>
        <w:spacing w:before="37"/>
        <w:ind w:left="0" w:right="108" w:firstLine="0"/>
        <w:jc w:val="right"/>
        <w:rPr>
          <w:sz w:val="14"/>
        </w:rPr>
      </w:pPr>
      <w:r>
        <w:rPr/>
        <w:pict>
          <v:line style="position:absolute;mso-position-horizontal-relative:page;mso-position-vertical-relative:paragraph;z-index:252174336" from="118.68pt,4.92518pt" to="292.44pt,4.92518pt" stroked="true" strokeweight=".72pt" strokecolor="#d9d9d9">
            <v:stroke dashstyle="solid"/>
            <w10:wrap type="none"/>
          </v:line>
        </w:pict>
      </w:r>
      <w:r>
        <w:rPr/>
        <w:pict>
          <v:shape style="position:absolute;margin-left:116.635452pt;margin-top:8.627035pt;width:177.8pt;height:24.25pt;mso-position-horizontal-relative:page;mso-position-vertical-relative:paragraph;z-index:252181504" type="#_x0000_t202" filled="false" stroked="false">
            <v:textbox inset="0,0,0,0" style="layout-flow:vertical;mso-layout-flow-alt:bottom-to-top">
              <w:txbxContent>
                <w:p>
                  <w:pPr>
                    <w:spacing w:line="362" w:lineRule="auto" w:before="14"/>
                    <w:ind w:left="20" w:right="18" w:firstLine="26"/>
                    <w:jc w:val="both"/>
                    <w:rPr>
                      <w:sz w:val="16"/>
                    </w:rPr>
                  </w:pPr>
                  <w:r>
                    <w:rPr>
                      <w:color w:val="585858"/>
                      <w:spacing w:val="-1"/>
                      <w:sz w:val="16"/>
                    </w:rPr>
                    <w:t>jun-20 ago-20 </w:t>
                  </w:r>
                  <w:r>
                    <w:rPr>
                      <w:color w:val="585858"/>
                      <w:sz w:val="16"/>
                    </w:rPr>
                    <w:t>oct-20 dic-20 feb-21 abr-21 jun-21 </w:t>
                  </w:r>
                  <w:r>
                    <w:rPr>
                      <w:color w:val="585858"/>
                      <w:spacing w:val="-1"/>
                      <w:sz w:val="16"/>
                    </w:rPr>
                    <w:t>ago-21 </w:t>
                  </w:r>
                  <w:r>
                    <w:rPr>
                      <w:color w:val="585858"/>
                      <w:sz w:val="16"/>
                    </w:rPr>
                    <w:t>oct-21 dic-21 feb-22 abr-22</w:t>
                  </w:r>
                </w:p>
                <w:p>
                  <w:pPr>
                    <w:spacing w:before="3"/>
                    <w:ind w:left="46" w:right="0" w:firstLine="0"/>
                    <w:jc w:val="left"/>
                    <w:rPr>
                      <w:sz w:val="16"/>
                    </w:rPr>
                  </w:pPr>
                  <w:r>
                    <w:rPr>
                      <w:color w:val="585858"/>
                      <w:sz w:val="16"/>
                    </w:rPr>
                    <w:t>jun-22</w:t>
                  </w:r>
                </w:p>
              </w:txbxContent>
            </v:textbox>
            <w10:wrap type="none"/>
          </v:shape>
        </w:pict>
      </w:r>
      <w:r>
        <w:rPr>
          <w:w w:val="99"/>
          <w:sz w:val="14"/>
        </w:rPr>
        <w:t>-</w:t>
      </w:r>
    </w:p>
    <w:p>
      <w:pPr>
        <w:spacing w:before="36"/>
        <w:ind w:left="0" w:right="38" w:firstLine="0"/>
        <w:jc w:val="right"/>
        <w:rPr>
          <w:sz w:val="14"/>
        </w:rPr>
      </w:pPr>
      <w:r>
        <w:rPr>
          <w:spacing w:val="-1"/>
          <w:sz w:val="14"/>
        </w:rPr>
        <w:t>-2.0</w:t>
      </w:r>
    </w:p>
    <w:p>
      <w:pPr>
        <w:pStyle w:val="BodyText"/>
        <w:spacing w:before="7"/>
        <w:rPr>
          <w:sz w:val="13"/>
        </w:rPr>
      </w:pPr>
      <w:r>
        <w:rPr/>
        <w:br w:type="column"/>
      </w:r>
      <w:r>
        <w:rPr>
          <w:sz w:val="13"/>
        </w:rPr>
      </w:r>
    </w:p>
    <w:p>
      <w:pPr>
        <w:tabs>
          <w:tab w:pos="1654" w:val="left" w:leader="none"/>
        </w:tabs>
        <w:spacing w:before="0"/>
        <w:ind w:left="737" w:right="0" w:firstLine="0"/>
        <w:jc w:val="left"/>
        <w:rPr>
          <w:sz w:val="14"/>
        </w:rPr>
      </w:pPr>
      <w:r>
        <w:rPr>
          <w:sz w:val="14"/>
        </w:rPr>
        <w:t>MN</w:t>
        <w:tab/>
      </w:r>
      <w:r>
        <w:rPr>
          <w:spacing w:val="-9"/>
          <w:sz w:val="14"/>
        </w:rPr>
        <w:t>ME</w:t>
      </w:r>
    </w:p>
    <w:p>
      <w:pPr>
        <w:pStyle w:val="BodyText"/>
        <w:spacing w:before="7"/>
        <w:rPr>
          <w:sz w:val="13"/>
        </w:rPr>
      </w:pPr>
      <w:r>
        <w:rPr/>
        <w:br w:type="column"/>
      </w:r>
      <w:r>
        <w:rPr>
          <w:sz w:val="13"/>
        </w:rPr>
      </w:r>
    </w:p>
    <w:p>
      <w:pPr>
        <w:spacing w:before="0"/>
        <w:ind w:left="0" w:right="0" w:firstLine="0"/>
        <w:jc w:val="right"/>
        <w:rPr>
          <w:sz w:val="14"/>
        </w:rPr>
      </w:pPr>
      <w:r>
        <w:rPr/>
        <w:pict>
          <v:shape style="position:absolute;margin-left:441.359985pt;margin-top:.915149pt;width:23.8pt;height:6.85pt;mso-position-horizontal-relative:page;mso-position-vertical-relative:paragraph;z-index:252180480" coordorigin="8827,18" coordsize="476,137" path="m9234,18l9207,24,9186,38,9171,60,9166,87,9171,113,9186,135,9207,150,9234,155,9261,150,9282,135,9297,113,9298,110,9247,110,9257,99,9257,74,9247,64,9298,64,9297,60,9282,38,9261,24,9234,18xm9170,64l8837,64,8827,74,8827,99,8837,110,9170,110,9166,87,9170,64xm9298,64l9247,64,9257,74,9257,99,9247,110,9298,110,9302,87,9298,64xe" filled="true" fillcolor="#001f5f" stroked="false">
            <v:path arrowok="t"/>
            <v:fill type="solid"/>
            <w10:wrap type="none"/>
          </v:shape>
        </w:pict>
      </w:r>
      <w:r>
        <w:rPr>
          <w:w w:val="95"/>
          <w:sz w:val="14"/>
        </w:rPr>
        <w:t>Total</w:t>
      </w:r>
    </w:p>
    <w:p>
      <w:pPr>
        <w:pStyle w:val="BodyText"/>
        <w:spacing w:before="5"/>
        <w:rPr>
          <w:sz w:val="24"/>
        </w:rPr>
      </w:pPr>
      <w:r>
        <w:rPr/>
        <w:br w:type="column"/>
      </w:r>
      <w:r>
        <w:rPr>
          <w:sz w:val="24"/>
        </w:rPr>
      </w:r>
    </w:p>
    <w:p>
      <w:pPr>
        <w:spacing w:before="0"/>
        <w:ind w:left="525" w:right="0" w:firstLine="0"/>
        <w:jc w:val="left"/>
        <w:rPr>
          <w:b/>
          <w:sz w:val="18"/>
        </w:rPr>
      </w:pPr>
      <w:r>
        <w:rPr/>
        <w:pict>
          <v:line style="position:absolute;mso-position-horizontal-relative:page;mso-position-vertical-relative:paragraph;z-index:252178432" from="351.480011pt,-1.877681pt" to="370.680011pt,-1.877681pt" stroked="true" strokeweight="3.48pt" strokecolor="#5b9bd4">
            <v:stroke dashstyle="solid"/>
            <w10:wrap type="none"/>
          </v:line>
        </w:pict>
      </w:r>
      <w:r>
        <w:rPr/>
        <w:pict>
          <v:line style="position:absolute;mso-position-horizontal-relative:page;mso-position-vertical-relative:paragraph;z-index:-281140224" from="397.320007pt,-1.877681pt" to="416.520007pt,-1.877681pt" stroked="true" strokeweight="3.48pt" strokecolor="#ec7c30">
            <v:stroke dashstyle="solid"/>
            <w10:wrap type="none"/>
          </v:line>
        </w:pict>
      </w:r>
      <w:r>
        <w:rPr>
          <w:b/>
          <w:color w:val="C55A11"/>
          <w:sz w:val="18"/>
        </w:rPr>
        <w:t>16.5</w:t>
      </w:r>
    </w:p>
    <w:p>
      <w:pPr>
        <w:spacing w:line="204" w:lineRule="exact" w:before="7"/>
        <w:ind w:left="555" w:right="0" w:firstLine="0"/>
        <w:jc w:val="left"/>
        <w:rPr>
          <w:b/>
          <w:sz w:val="18"/>
        </w:rPr>
      </w:pPr>
      <w:r>
        <w:rPr/>
        <w:pict>
          <v:group style="position:absolute;margin-left:327.359985pt;margin-top:4.142358pt;width:178.6pt;height:89.9pt;mso-position-horizontal-relative:page;mso-position-vertical-relative:paragraph;z-index:252177408" coordorigin="6547,83" coordsize="3572,1798">
            <v:shape style="position:absolute;left:6760;top:150;width:3358;height:1570" coordorigin="6761,150" coordsize="3358,1570" path="m6761,805l6761,1720,10118,1720,10118,1031,7615,1031,7474,1012,7330,964,7259,947,7046,947,6902,856,6761,805xm7757,913l7615,1031,10118,1031,10118,976,7898,976,7757,913xm8753,570l8611,623,8467,719,8326,928,8184,935,8042,971,7898,976,10118,976,10118,692,8894,692,8753,570xm7188,930l7046,947,7259,947,7188,930xm9322,301l9180,376,9036,515,8894,692,10118,692,10118,359,9463,359,9322,301xm10032,150l9890,232,9749,263,9605,282,9463,359,10118,359,10118,168,10032,150xe" filled="true" fillcolor="#5b9bd4" stroked="false">
              <v:path arrowok="t"/>
              <v:fill type="solid"/>
            </v:shape>
            <v:line style="position:absolute" from="6761,1376" to="6761,1720" stroked="true" strokeweight="2.88pt" strokecolor="#ec7c30">
              <v:stroke dashstyle="solid"/>
            </v:line>
            <v:line style="position:absolute" from="6904,1410" to="6904,1720" stroked="true" strokeweight="2.76pt" strokecolor="#ec7c30">
              <v:stroke dashstyle="solid"/>
            </v:line>
            <v:line style="position:absolute" from="7046,1544" to="7046,1720" stroked="true" strokeweight="2.88pt" strokecolor="#ec7c30">
              <v:stroke dashstyle="solid"/>
            </v:line>
            <v:shape style="position:absolute;left:7188;top:1338;width:142;height:382" coordorigin="7188,1338" coordsize="142,382" path="m7188,1338l7188,1720m7330,1360l7330,1720e" filled="false" stroked="true" strokeweight="2.88pt" strokecolor="#ec7c30">
              <v:path arrowok="t"/>
              <v:stroke dashstyle="solid"/>
            </v:shape>
            <v:line style="position:absolute" from="7472,1340" to="7472,1720" stroked="true" strokeweight="2.76pt" strokecolor="#ec7c30">
              <v:stroke dashstyle="solid"/>
            </v:line>
            <v:shape style="position:absolute;left:7756;top:1460;width:142;height:420" coordorigin="7757,1460" coordsize="142,420" path="m7757,1460l7757,1720m7898,1720l7898,1880e" filled="false" stroked="true" strokeweight="2.88pt" strokecolor="#ec7c30">
              <v:path arrowok="t"/>
              <v:stroke dashstyle="solid"/>
            </v:shape>
            <v:line style="position:absolute" from="8041,1720" to="8041,1878" stroked="true" strokeweight="2.76pt" strokecolor="#ec7c30">
              <v:stroke dashstyle="solid"/>
            </v:line>
            <v:rect style="position:absolute;left:8155;top:1698;width:58;height:22" filled="true" fillcolor="#ec7c30" stroked="false">
              <v:fill type="solid"/>
            </v:rect>
            <v:shape style="position:absolute;left:8325;top:1244;width:142;height:476" coordorigin="8326,1244" coordsize="142,476" path="m8326,1580l8326,1720m8467,1244l8467,1720e" filled="false" stroked="true" strokeweight="2.88pt" strokecolor="#ec7c30">
              <v:path arrowok="t"/>
              <v:stroke dashstyle="solid"/>
            </v:shape>
            <v:line style="position:absolute" from="8610,1163" to="8610,1720" stroked="true" strokeweight="2.76pt" strokecolor="#ec7c30">
              <v:stroke dashstyle="solid"/>
            </v:line>
            <v:shape style="position:absolute;left:8752;top:661;width:284;height:1059" coordorigin="8753,661" coordsize="284,1059" path="m8753,1100l8753,1720m8894,904l8894,1720m9036,661l9036,1720e" filled="false" stroked="true" strokeweight="2.88pt" strokecolor="#ec7c30">
              <v:path arrowok="t"/>
              <v:stroke dashstyle="solid"/>
            </v:shape>
            <v:line style="position:absolute" from="9179,637" to="9179,1720" stroked="true" strokeweight="2.76pt" strokecolor="#ec7c30">
              <v:stroke dashstyle="solid"/>
            </v:line>
            <v:shape style="position:absolute;left:9321;top:495;width:142;height:1224" coordorigin="9322,496" coordsize="142,1224" path="m9322,695l9322,1720m9463,496l9463,1720e" filled="false" stroked="true" strokeweight="2.88pt" strokecolor="#ec7c30">
              <v:path arrowok="t"/>
              <v:stroke dashstyle="solid"/>
            </v:shape>
            <v:line style="position:absolute" from="9606,371" to="9606,1720" stroked="true" strokeweight="2.76pt" strokecolor="#ec7c30">
              <v:stroke dashstyle="solid"/>
            </v:line>
            <v:line style="position:absolute" from="9748,354" to="9748,1720" stroked="true" strokeweight="2.76pt" strokecolor="#ec7c30">
              <v:stroke dashstyle="solid"/>
            </v:line>
            <v:shape style="position:absolute;left:9890;top:82;width:142;height:1637" coordorigin="9890,83" coordsize="142,1637" path="m9890,270l9890,1720m10032,83l10032,1720e" filled="false" stroked="true" strokeweight="2.88pt" strokecolor="#ec7c30">
              <v:path arrowok="t"/>
              <v:stroke dashstyle="solid"/>
            </v:shape>
            <v:line style="position:absolute" from="6547,1720" to="10104,1720" stroked="true" strokeweight=".72pt" strokecolor="#d9d9d9">
              <v:stroke dashstyle="solid"/>
            </v:line>
            <v:shape style="position:absolute;left:6736;top:102;width:3382;height:1205" coordorigin="6736,103" coordsize="3382,1205" path="m7797,1111l7740,1111,7762,1119,7748,1122,7886,1304,7893,1307,8042,1302,8046,1302,8050,1301,8053,1299,8100,1270,7918,1270,7899,1261,7911,1261,7797,1111xm7911,1261l7899,1261,7918,1270,7911,1261xm8035,1257l7911,1261,7918,1270,8100,1270,8117,1260,8029,1260,8035,1257xm8040,1256l8035,1257,8029,1260,8040,1256xm8122,1256l8040,1256,8029,1260,8117,1260,8122,1256xm8311,1131l8176,1171,8174,1172,8173,1172,8171,1173,8035,1257,8040,1256,8122,1256,8191,1215,8189,1215,8195,1212,8197,1212,8333,1171,8339,1170,8344,1166,8347,1161,8359,1139,8307,1139,8311,1131xm8195,1212l8189,1215,8192,1214,8195,1212xm8192,1214l8189,1215,8191,1215,8192,1214xm8197,1212l8195,1212,8192,1214,8197,1212xm6893,1070l7032,1173,7039,1178,7049,1179,7120,1136,7059,1136,7033,1135,7046,1127,6971,1071,6897,1071,6893,1070xm7413,1088l7201,1088,7193,1092,7326,1119,7469,1143,7613,1148,7617,1148,7618,1148,7748,1122,7740,1111,7797,1111,7791,1103,7610,1103,7612,1103,7476,1098,7413,1088xm8320,1128l8311,1131,8307,1139,8320,1128xm8365,1128l8320,1128,8307,1139,8359,1139,8365,1128xm7046,1127l7033,1135,7059,1136,7046,1127xm7188,1045l7182,1046,7177,1048,7046,1127,7059,1136,7120,1136,7193,1092,7185,1090,7201,1088,7413,1088,7335,1074,7194,1046,7188,1045xm8750,723l8747,724,8743,725,8601,783,8600,783,8599,784,8598,785,8456,876,8453,878,8450,881,8448,884,8311,1131,8320,1128,8365,1128,8484,914,8481,914,8488,906,8494,906,8619,825,8619,825,8622,823,8624,823,8755,770,8749,769,8760,768,8920,768,8933,750,8877,750,8885,739,8754,724,8750,723xm7740,1111l7748,1122,7762,1119,7740,1111xm7612,1103l7610,1103,7615,1103,7612,1103xm7762,1073l7754,1074,7612,1103,7615,1103,7610,1103,7791,1103,7776,1083,7771,1076,7762,1073xm7201,1088l7185,1090,7193,1092,7201,1088xm6890,1067l6893,1070,6897,1071,6890,1067xm6966,1067l6890,1067,6897,1071,6971,1071,6966,1067xm6757,978l6744,984,6740,996,6736,1008,6743,1021,6755,1025,6893,1070,6890,1067,6966,1067,6917,1031,6915,1029,6913,1028,6911,1027,6757,978xm8488,906l8481,914,8486,911,8488,906xm8486,911l8481,914,8484,914,8486,911xm8494,906l8488,906,8486,911,8494,906xm8622,823l8619,825,8620,824,8622,823xm8620,824l8619,825,8619,825,8620,824xm8624,823l8622,823,8620,824,8624,823xm8920,768l8760,768,8755,770,8901,787,8909,783,8920,768xm8760,768l8749,769,8755,770,8760,768xm8885,739l8877,750,8898,741,8885,739xm9456,382l9315,407,9174,439,9171,439,9168,441,9165,442,9024,546,9022,547,9020,549,8885,739,8898,741,8877,750,8933,750,9052,582,9051,582,9056,577,9058,577,9187,483,9184,483,9192,479,9201,479,9325,452,9469,426,9472,425,9474,424,9477,422,9534,384,9452,384,9456,382xm9056,577l9051,582,9054,580,9056,577xm9054,580l9051,582,9052,582,9054,580xm9058,577l9056,577,9054,580,9058,577xm9192,479l9184,483,9188,482,9192,479xm9188,482l9184,483,9187,483,9188,482xm9201,479l9192,479,9188,482,9201,479xm9460,381l9456,382,9452,384,9460,381xm9540,381l9460,381,9452,384,9534,384,9540,381xm9743,271l9600,287,9596,289,9456,382,9460,381,9540,381,9613,332,9609,332,9619,329,9639,329,9752,315,9754,315,9755,314,9875,271,9740,271,9743,271xm9619,329l9609,332,9614,332,9619,329xm9614,332l9609,332,9613,332,9614,332xm9639,329l9619,329,9614,332,9639,329xm9745,270l9743,271,9740,271,9745,270xm9879,270l9745,270,9740,271,9875,271,9879,270xm9878,222l9743,271,9745,270,9879,270,9897,264,9899,263,9901,262,9948,225,9875,225,9878,222xm10108,192l10107,196,10109,222,10118,239,10118,198,10108,192xm9882,221l9878,222,9875,225,9882,221xm9952,221l9882,221,9875,225,9948,225,9952,221xm10036,103l10026,104,9878,222,9882,221,9952,221,10036,154,10023,147,10047,145,10116,145,10036,103xm10118,165l10114,170,10108,192,10118,198,10118,165xm10116,145l10047,145,10036,154,10108,192,10114,170,10118,165,10118,146,10116,145xm10047,145l10023,147,10036,154,10047,145xe" filled="true" fillcolor="#001f5f" stroked="false">
              <v:path arrowok="t"/>
              <v:fill type="solid"/>
            </v:shape>
            <w10:wrap type="none"/>
          </v:group>
        </w:pict>
      </w:r>
      <w:r>
        <w:rPr>
          <w:b/>
          <w:color w:val="1F3863"/>
          <w:sz w:val="18"/>
        </w:rPr>
        <w:t>16.1</w:t>
      </w:r>
    </w:p>
    <w:p>
      <w:pPr>
        <w:spacing w:line="204" w:lineRule="exact" w:before="0"/>
        <w:ind w:left="519" w:right="0" w:firstLine="0"/>
        <w:jc w:val="left"/>
        <w:rPr>
          <w:b/>
          <w:sz w:val="18"/>
        </w:rPr>
      </w:pPr>
      <w:r>
        <w:rPr>
          <w:b/>
          <w:color w:val="2D75B6"/>
          <w:sz w:val="18"/>
        </w:rPr>
        <w:t>15.9</w:t>
      </w:r>
    </w:p>
    <w:p>
      <w:pPr>
        <w:spacing w:after="0" w:line="204" w:lineRule="exact"/>
        <w:jc w:val="left"/>
        <w:rPr>
          <w:sz w:val="18"/>
        </w:rPr>
        <w:sectPr>
          <w:type w:val="continuous"/>
          <w:pgSz w:w="12240" w:h="15840"/>
          <w:pgMar w:top="1500" w:bottom="280" w:left="1140" w:right="0"/>
          <w:cols w:num="5" w:equalWidth="0">
            <w:col w:w="1139" w:space="3135"/>
            <w:col w:w="1022" w:space="282"/>
            <w:col w:w="1866" w:space="40"/>
            <w:col w:w="947" w:space="40"/>
            <w:col w:w="2629"/>
          </w:cols>
        </w:sectPr>
      </w:pPr>
    </w:p>
    <w:p>
      <w:pPr>
        <w:pStyle w:val="BodyText"/>
        <w:spacing w:before="3"/>
        <w:rPr>
          <w:b/>
          <w:sz w:val="4"/>
        </w:rPr>
      </w:pPr>
    </w:p>
    <w:p>
      <w:pPr>
        <w:pStyle w:val="BodyText"/>
        <w:ind w:left="5198"/>
        <w:rPr>
          <w:sz w:val="20"/>
        </w:rPr>
      </w:pPr>
      <w:r>
        <w:rPr>
          <w:sz w:val="20"/>
        </w:rPr>
        <w:drawing>
          <wp:inline distT="0" distB="0" distL="0" distR="0">
            <wp:extent cx="2342852" cy="209550"/>
            <wp:effectExtent l="0" t="0" r="0" b="0"/>
            <wp:docPr id="25" name="image36.png"/>
            <wp:cNvGraphicFramePr>
              <a:graphicFrameLocks noChangeAspect="1"/>
            </wp:cNvGraphicFramePr>
            <a:graphic>
              <a:graphicData uri="http://schemas.openxmlformats.org/drawingml/2006/picture">
                <pic:pic>
                  <pic:nvPicPr>
                    <pic:cNvPr id="26" name="image36.png"/>
                    <pic:cNvPicPr/>
                  </pic:nvPicPr>
                  <pic:blipFill>
                    <a:blip r:embed="rId42" cstate="print"/>
                    <a:stretch>
                      <a:fillRect/>
                    </a:stretch>
                  </pic:blipFill>
                  <pic:spPr>
                    <a:xfrm>
                      <a:off x="0" y="0"/>
                      <a:ext cx="2342852" cy="209550"/>
                    </a:xfrm>
                    <a:prstGeom prst="rect">
                      <a:avLst/>
                    </a:prstGeom>
                  </pic:spPr>
                </pic:pic>
              </a:graphicData>
            </a:graphic>
          </wp:inline>
        </w:drawing>
      </w:r>
      <w:r>
        <w:rPr>
          <w:sz w:val="20"/>
        </w:rPr>
      </w:r>
    </w:p>
    <w:p>
      <w:pPr>
        <w:tabs>
          <w:tab w:pos="4844" w:val="left" w:leader="none"/>
        </w:tabs>
        <w:spacing w:before="121"/>
        <w:ind w:left="670" w:right="0" w:firstLine="0"/>
        <w:jc w:val="left"/>
        <w:rPr>
          <w:sz w:val="16"/>
        </w:rPr>
      </w:pPr>
      <w:r>
        <w:rPr>
          <w:sz w:val="16"/>
        </w:rPr>
        <w:t>Fuente: Banco</w:t>
      </w:r>
      <w:r>
        <w:rPr>
          <w:spacing w:val="-7"/>
          <w:sz w:val="16"/>
        </w:rPr>
        <w:t> </w:t>
      </w:r>
      <w:r>
        <w:rPr>
          <w:sz w:val="16"/>
        </w:rPr>
        <w:t>de</w:t>
      </w:r>
      <w:r>
        <w:rPr>
          <w:spacing w:val="-4"/>
          <w:sz w:val="16"/>
        </w:rPr>
        <w:t> </w:t>
      </w:r>
      <w:r>
        <w:rPr>
          <w:sz w:val="16"/>
        </w:rPr>
        <w:t>Guatemala</w:t>
        <w:tab/>
        <w:t>Fuente: Banco de</w:t>
      </w:r>
      <w:r>
        <w:rPr>
          <w:spacing w:val="-6"/>
          <w:sz w:val="16"/>
        </w:rPr>
        <w:t> </w:t>
      </w:r>
      <w:r>
        <w:rPr>
          <w:sz w:val="16"/>
        </w:rPr>
        <w:t>Guatemala</w:t>
      </w:r>
    </w:p>
    <w:p>
      <w:pPr>
        <w:pStyle w:val="BodyText"/>
        <w:rPr>
          <w:sz w:val="18"/>
        </w:rPr>
      </w:pPr>
    </w:p>
    <w:p>
      <w:pPr>
        <w:pStyle w:val="BodyText"/>
        <w:spacing w:line="276" w:lineRule="auto" w:before="110"/>
        <w:ind w:left="562" w:right="1695"/>
        <w:jc w:val="both"/>
      </w:pPr>
      <w:r>
        <w:rPr/>
        <w:t>Asimismo, según el cuadro comparativo consolidado registrado por la Superintendencia de Bancos indica que la agrupación empresarial mayor y el crédito de consumo tuvieron una participación de 53.5% y 31.6%, respectivamente; para el caso del empresarial mayor el crecimiento a esta fecha fue de</w:t>
      </w:r>
      <w:r>
        <w:rPr>
          <w:spacing w:val="-9"/>
        </w:rPr>
        <w:t> </w:t>
      </w:r>
      <w:r>
        <w:rPr/>
        <w:t>17.6%,</w:t>
      </w:r>
      <w:r>
        <w:rPr>
          <w:spacing w:val="-9"/>
        </w:rPr>
        <w:t> </w:t>
      </w:r>
      <w:r>
        <w:rPr/>
        <w:t>suficientemente</w:t>
      </w:r>
      <w:r>
        <w:rPr>
          <w:spacing w:val="-11"/>
        </w:rPr>
        <w:t> </w:t>
      </w:r>
      <w:r>
        <w:rPr/>
        <w:t>mayor</w:t>
      </w:r>
      <w:r>
        <w:rPr>
          <w:spacing w:val="-8"/>
        </w:rPr>
        <w:t> </w:t>
      </w:r>
      <w:r>
        <w:rPr/>
        <w:t>al</w:t>
      </w:r>
      <w:r>
        <w:rPr>
          <w:spacing w:val="-5"/>
        </w:rPr>
        <w:t> </w:t>
      </w:r>
      <w:r>
        <w:rPr/>
        <w:t>-0.50%</w:t>
      </w:r>
      <w:r>
        <w:rPr>
          <w:spacing w:val="-9"/>
        </w:rPr>
        <w:t> </w:t>
      </w:r>
      <w:r>
        <w:rPr/>
        <w:t>registrado</w:t>
      </w:r>
      <w:r>
        <w:rPr>
          <w:spacing w:val="-13"/>
        </w:rPr>
        <w:t> </w:t>
      </w:r>
      <w:r>
        <w:rPr/>
        <w:t>en</w:t>
      </w:r>
      <w:r>
        <w:rPr>
          <w:spacing w:val="-10"/>
        </w:rPr>
        <w:t> </w:t>
      </w:r>
      <w:r>
        <w:rPr/>
        <w:t>junio</w:t>
      </w:r>
      <w:r>
        <w:rPr>
          <w:spacing w:val="-12"/>
        </w:rPr>
        <w:t> </w:t>
      </w:r>
      <w:r>
        <w:rPr/>
        <w:t>del</w:t>
      </w:r>
      <w:r>
        <w:rPr>
          <w:spacing w:val="-10"/>
        </w:rPr>
        <w:t> </w:t>
      </w:r>
      <w:r>
        <w:rPr/>
        <w:t>2021.</w:t>
      </w:r>
      <w:r>
        <w:rPr>
          <w:spacing w:val="35"/>
        </w:rPr>
        <w:t> </w:t>
      </w:r>
      <w:r>
        <w:rPr/>
        <w:t>Este</w:t>
      </w:r>
      <w:r>
        <w:rPr>
          <w:spacing w:val="-8"/>
        </w:rPr>
        <w:t> </w:t>
      </w:r>
      <w:r>
        <w:rPr/>
        <w:t>dinamismo</w:t>
      </w:r>
      <w:r>
        <w:rPr>
          <w:spacing w:val="-10"/>
        </w:rPr>
        <w:t> </w:t>
      </w:r>
      <w:r>
        <w:rPr/>
        <w:t>del</w:t>
      </w:r>
      <w:r>
        <w:rPr>
          <w:spacing w:val="-7"/>
        </w:rPr>
        <w:t> </w:t>
      </w:r>
      <w:r>
        <w:rPr/>
        <w:t>crédito empresarial se espera genere más inversión y empleo, mientras el crédito de consumo creció 8.7%, también</w:t>
      </w:r>
      <w:r>
        <w:rPr>
          <w:spacing w:val="-9"/>
        </w:rPr>
        <w:t> </w:t>
      </w:r>
      <w:r>
        <w:rPr/>
        <w:t>mayor</w:t>
      </w:r>
      <w:r>
        <w:rPr>
          <w:spacing w:val="-9"/>
        </w:rPr>
        <w:t> </w:t>
      </w:r>
      <w:r>
        <w:rPr/>
        <w:t>al</w:t>
      </w:r>
      <w:r>
        <w:rPr>
          <w:spacing w:val="-8"/>
        </w:rPr>
        <w:t> </w:t>
      </w:r>
      <w:r>
        <w:rPr/>
        <w:t>3.8%</w:t>
      </w:r>
      <w:r>
        <w:rPr>
          <w:spacing w:val="-9"/>
        </w:rPr>
        <w:t> </w:t>
      </w:r>
      <w:r>
        <w:rPr/>
        <w:t>del</w:t>
      </w:r>
      <w:r>
        <w:rPr>
          <w:spacing w:val="-11"/>
        </w:rPr>
        <w:t> </w:t>
      </w:r>
      <w:r>
        <w:rPr/>
        <w:t>mismo</w:t>
      </w:r>
      <w:r>
        <w:rPr>
          <w:spacing w:val="-7"/>
        </w:rPr>
        <w:t> </w:t>
      </w:r>
      <w:r>
        <w:rPr/>
        <w:t>mes</w:t>
      </w:r>
      <w:r>
        <w:rPr>
          <w:spacing w:val="-9"/>
        </w:rPr>
        <w:t> </w:t>
      </w:r>
      <w:r>
        <w:rPr/>
        <w:t>del</w:t>
      </w:r>
      <w:r>
        <w:rPr>
          <w:spacing w:val="-11"/>
        </w:rPr>
        <w:t> </w:t>
      </w:r>
      <w:r>
        <w:rPr/>
        <w:t>año</w:t>
      </w:r>
      <w:r>
        <w:rPr>
          <w:spacing w:val="-9"/>
        </w:rPr>
        <w:t> </w:t>
      </w:r>
      <w:r>
        <w:rPr/>
        <w:t>anterior,</w:t>
      </w:r>
      <w:r>
        <w:rPr>
          <w:spacing w:val="-10"/>
        </w:rPr>
        <w:t> </w:t>
      </w:r>
      <w:r>
        <w:rPr/>
        <w:t>esto</w:t>
      </w:r>
      <w:r>
        <w:rPr>
          <w:spacing w:val="-10"/>
        </w:rPr>
        <w:t> </w:t>
      </w:r>
      <w:r>
        <w:rPr/>
        <w:t>resultado</w:t>
      </w:r>
      <w:r>
        <w:rPr>
          <w:spacing w:val="-10"/>
        </w:rPr>
        <w:t> </w:t>
      </w:r>
      <w:r>
        <w:rPr/>
        <w:t>del</w:t>
      </w:r>
      <w:r>
        <w:rPr>
          <w:spacing w:val="-9"/>
        </w:rPr>
        <w:t> </w:t>
      </w:r>
      <w:r>
        <w:rPr/>
        <w:t>crecimiento</w:t>
      </w:r>
      <w:r>
        <w:rPr>
          <w:spacing w:val="-10"/>
        </w:rPr>
        <w:t> </w:t>
      </w:r>
      <w:r>
        <w:rPr/>
        <w:t>de</w:t>
      </w:r>
      <w:r>
        <w:rPr>
          <w:spacing w:val="-12"/>
        </w:rPr>
        <w:t> </w:t>
      </w:r>
      <w:r>
        <w:rPr/>
        <w:t>la</w:t>
      </w:r>
      <w:r>
        <w:rPr>
          <w:spacing w:val="-11"/>
        </w:rPr>
        <w:t> </w:t>
      </w:r>
      <w:r>
        <w:rPr/>
        <w:t>actividad económica; el crédito del empresarial menor ha tenido una fuerte caída al pasar a -8.9% en junio del 2022 bastante menor al crecimiento de 5.3% registrado en el mismo mes del año anterior, así mismo el crédito hipotecario para la vivienda a crédito únicamente creció 4.5% a junio disminuyendo 9.4 puntos</w:t>
      </w:r>
      <w:r>
        <w:rPr>
          <w:spacing w:val="-4"/>
        </w:rPr>
        <w:t> </w:t>
      </w:r>
      <w:r>
        <w:rPr/>
        <w:t>porcentuales</w:t>
      </w:r>
      <w:r>
        <w:rPr>
          <w:spacing w:val="-7"/>
        </w:rPr>
        <w:t> </w:t>
      </w:r>
      <w:r>
        <w:rPr/>
        <w:t>respecto</w:t>
      </w:r>
      <w:r>
        <w:rPr>
          <w:spacing w:val="-4"/>
        </w:rPr>
        <w:t> </w:t>
      </w:r>
      <w:r>
        <w:rPr/>
        <w:t>al</w:t>
      </w:r>
      <w:r>
        <w:rPr>
          <w:spacing w:val="-6"/>
        </w:rPr>
        <w:t> </w:t>
      </w:r>
      <w:r>
        <w:rPr/>
        <w:t>crecimiento</w:t>
      </w:r>
      <w:r>
        <w:rPr>
          <w:spacing w:val="-7"/>
        </w:rPr>
        <w:t> </w:t>
      </w:r>
      <w:r>
        <w:rPr/>
        <w:t>del</w:t>
      </w:r>
      <w:r>
        <w:rPr>
          <w:spacing w:val="-3"/>
        </w:rPr>
        <w:t> </w:t>
      </w:r>
      <w:r>
        <w:rPr/>
        <w:t>mismo</w:t>
      </w:r>
      <w:r>
        <w:rPr>
          <w:spacing w:val="-5"/>
        </w:rPr>
        <w:t> </w:t>
      </w:r>
      <w:r>
        <w:rPr/>
        <w:t>mes</w:t>
      </w:r>
      <w:r>
        <w:rPr>
          <w:spacing w:val="-4"/>
        </w:rPr>
        <w:t> </w:t>
      </w:r>
      <w:r>
        <w:rPr/>
        <w:t>del</w:t>
      </w:r>
      <w:r>
        <w:rPr>
          <w:spacing w:val="-5"/>
        </w:rPr>
        <w:t> </w:t>
      </w:r>
      <w:r>
        <w:rPr/>
        <w:t>año</w:t>
      </w:r>
      <w:r>
        <w:rPr>
          <w:spacing w:val="-7"/>
        </w:rPr>
        <w:t> </w:t>
      </w:r>
      <w:r>
        <w:rPr/>
        <w:t>pasado,</w:t>
      </w:r>
      <w:r>
        <w:rPr>
          <w:spacing w:val="-6"/>
        </w:rPr>
        <w:t> </w:t>
      </w:r>
      <w:r>
        <w:rPr/>
        <w:t>a</w:t>
      </w:r>
      <w:r>
        <w:rPr>
          <w:spacing w:val="-4"/>
        </w:rPr>
        <w:t> </w:t>
      </w:r>
      <w:r>
        <w:rPr/>
        <w:t>pesar</w:t>
      </w:r>
      <w:r>
        <w:rPr>
          <w:spacing w:val="-6"/>
        </w:rPr>
        <w:t> </w:t>
      </w:r>
      <w:r>
        <w:rPr/>
        <w:t>de</w:t>
      </w:r>
      <w:r>
        <w:rPr>
          <w:spacing w:val="-6"/>
        </w:rPr>
        <w:t> </w:t>
      </w:r>
      <w:r>
        <w:rPr/>
        <w:t>ello</w:t>
      </w:r>
      <w:r>
        <w:rPr>
          <w:spacing w:val="-7"/>
        </w:rPr>
        <w:t> </w:t>
      </w:r>
      <w:r>
        <w:rPr/>
        <w:t>el</w:t>
      </w:r>
      <w:r>
        <w:rPr>
          <w:spacing w:val="-6"/>
        </w:rPr>
        <w:t> </w:t>
      </w:r>
      <w:r>
        <w:rPr/>
        <w:t>total</w:t>
      </w:r>
      <w:r>
        <w:rPr>
          <w:spacing w:val="-3"/>
        </w:rPr>
        <w:t> </w:t>
      </w:r>
      <w:r>
        <w:rPr/>
        <w:t>de créditos mantiene su crecimiento respecto del año</w:t>
      </w:r>
      <w:r>
        <w:rPr>
          <w:spacing w:val="-7"/>
        </w:rPr>
        <w:t> </w:t>
      </w:r>
      <w:r>
        <w:rPr/>
        <w:t>anterior.</w:t>
      </w:r>
    </w:p>
    <w:p>
      <w:pPr>
        <w:pStyle w:val="BodyText"/>
        <w:spacing w:before="2"/>
        <w:rPr>
          <w:sz w:val="25"/>
        </w:rPr>
      </w:pPr>
    </w:p>
    <w:p>
      <w:pPr>
        <w:pStyle w:val="BodyText"/>
        <w:spacing w:line="276" w:lineRule="auto" w:before="1"/>
        <w:ind w:left="562" w:right="1695"/>
        <w:jc w:val="both"/>
      </w:pPr>
      <w:r>
        <w:rPr/>
        <w:t>En el caso de los créditos por actividad económica indicados por la entidad reguladora del sistema bancario</w:t>
      </w:r>
      <w:r>
        <w:rPr>
          <w:spacing w:val="-17"/>
        </w:rPr>
        <w:t> </w:t>
      </w:r>
      <w:r>
        <w:rPr/>
        <w:t>en</w:t>
      </w:r>
      <w:r>
        <w:rPr>
          <w:spacing w:val="-16"/>
        </w:rPr>
        <w:t> </w:t>
      </w:r>
      <w:r>
        <w:rPr/>
        <w:t>Guatemala,</w:t>
      </w:r>
      <w:r>
        <w:rPr>
          <w:spacing w:val="-18"/>
        </w:rPr>
        <w:t> </w:t>
      </w:r>
      <w:r>
        <w:rPr/>
        <w:t>tiene</w:t>
      </w:r>
      <w:r>
        <w:rPr>
          <w:spacing w:val="-16"/>
        </w:rPr>
        <w:t> </w:t>
      </w:r>
      <w:r>
        <w:rPr/>
        <w:t>relevancia</w:t>
      </w:r>
      <w:r>
        <w:rPr>
          <w:spacing w:val="-15"/>
        </w:rPr>
        <w:t> </w:t>
      </w:r>
      <w:r>
        <w:rPr/>
        <w:t>el</w:t>
      </w:r>
      <w:r>
        <w:rPr>
          <w:spacing w:val="-15"/>
        </w:rPr>
        <w:t> </w:t>
      </w:r>
      <w:r>
        <w:rPr/>
        <w:t>fuerte</w:t>
      </w:r>
      <w:r>
        <w:rPr>
          <w:spacing w:val="-16"/>
        </w:rPr>
        <w:t> </w:t>
      </w:r>
      <w:r>
        <w:rPr/>
        <w:t>crecimiento</w:t>
      </w:r>
      <w:r>
        <w:rPr>
          <w:spacing w:val="-16"/>
        </w:rPr>
        <w:t> </w:t>
      </w:r>
      <w:r>
        <w:rPr/>
        <w:t>de</w:t>
      </w:r>
      <w:r>
        <w:rPr>
          <w:spacing w:val="-15"/>
        </w:rPr>
        <w:t> </w:t>
      </w:r>
      <w:r>
        <w:rPr/>
        <w:t>los</w:t>
      </w:r>
      <w:r>
        <w:rPr>
          <w:spacing w:val="-16"/>
        </w:rPr>
        <w:t> </w:t>
      </w:r>
      <w:r>
        <w:rPr/>
        <w:t>créditos</w:t>
      </w:r>
      <w:r>
        <w:rPr>
          <w:spacing w:val="-15"/>
        </w:rPr>
        <w:t> </w:t>
      </w:r>
      <w:r>
        <w:rPr/>
        <w:t>a</w:t>
      </w:r>
      <w:r>
        <w:rPr>
          <w:spacing w:val="-15"/>
        </w:rPr>
        <w:t> </w:t>
      </w:r>
      <w:r>
        <w:rPr/>
        <w:t>la</w:t>
      </w:r>
      <w:r>
        <w:rPr>
          <w:spacing w:val="-16"/>
        </w:rPr>
        <w:t> </w:t>
      </w:r>
      <w:r>
        <w:rPr/>
        <w:t>adquisición</w:t>
      </w:r>
      <w:r>
        <w:rPr>
          <w:spacing w:val="-11"/>
        </w:rPr>
        <w:t> </w:t>
      </w:r>
      <w:r>
        <w:rPr/>
        <w:t>de</w:t>
      </w:r>
      <w:r>
        <w:rPr>
          <w:spacing w:val="-15"/>
        </w:rPr>
        <w:t> </w:t>
      </w:r>
      <w:r>
        <w:rPr/>
        <w:t>bienes durables,</w:t>
      </w:r>
      <w:r>
        <w:rPr>
          <w:spacing w:val="-14"/>
        </w:rPr>
        <w:t> </w:t>
      </w:r>
      <w:r>
        <w:rPr/>
        <w:t>particularmente</w:t>
      </w:r>
      <w:r>
        <w:rPr>
          <w:spacing w:val="-15"/>
        </w:rPr>
        <w:t> </w:t>
      </w:r>
      <w:r>
        <w:rPr/>
        <w:t>los</w:t>
      </w:r>
      <w:r>
        <w:rPr>
          <w:spacing w:val="-14"/>
        </w:rPr>
        <w:t> </w:t>
      </w:r>
      <w:r>
        <w:rPr/>
        <w:t>inmuebles,</w:t>
      </w:r>
      <w:r>
        <w:rPr>
          <w:spacing w:val="-16"/>
        </w:rPr>
        <w:t> </w:t>
      </w:r>
      <w:r>
        <w:rPr/>
        <w:t>al</w:t>
      </w:r>
      <w:r>
        <w:rPr>
          <w:spacing w:val="-15"/>
        </w:rPr>
        <w:t> </w:t>
      </w:r>
      <w:r>
        <w:rPr/>
        <w:t>mostrar</w:t>
      </w:r>
      <w:r>
        <w:rPr>
          <w:spacing w:val="-13"/>
        </w:rPr>
        <w:t> </w:t>
      </w:r>
      <w:r>
        <w:rPr/>
        <w:t>un</w:t>
      </w:r>
      <w:r>
        <w:rPr>
          <w:spacing w:val="-16"/>
        </w:rPr>
        <w:t> </w:t>
      </w:r>
      <w:r>
        <w:rPr/>
        <w:t>crecimiento</w:t>
      </w:r>
      <w:r>
        <w:rPr>
          <w:spacing w:val="-17"/>
        </w:rPr>
        <w:t> </w:t>
      </w:r>
      <w:r>
        <w:rPr/>
        <w:t>de</w:t>
      </w:r>
      <w:r>
        <w:rPr>
          <w:spacing w:val="-13"/>
        </w:rPr>
        <w:t> </w:t>
      </w:r>
      <w:r>
        <w:rPr/>
        <w:t>13.5%</w:t>
      </w:r>
      <w:r>
        <w:rPr>
          <w:spacing w:val="-14"/>
        </w:rPr>
        <w:t> </w:t>
      </w:r>
      <w:r>
        <w:rPr/>
        <w:t>en</w:t>
      </w:r>
      <w:r>
        <w:rPr>
          <w:spacing w:val="-18"/>
        </w:rPr>
        <w:t> </w:t>
      </w:r>
      <w:r>
        <w:rPr/>
        <w:t>junio</w:t>
      </w:r>
      <w:r>
        <w:rPr>
          <w:spacing w:val="-13"/>
        </w:rPr>
        <w:t> </w:t>
      </w:r>
      <w:r>
        <w:rPr/>
        <w:t>del</w:t>
      </w:r>
      <w:r>
        <w:rPr>
          <w:spacing w:val="-13"/>
        </w:rPr>
        <w:t> </w:t>
      </w:r>
      <w:r>
        <w:rPr/>
        <w:t>2022,</w:t>
      </w:r>
      <w:r>
        <w:rPr>
          <w:spacing w:val="-13"/>
        </w:rPr>
        <w:t> </w:t>
      </w:r>
      <w:r>
        <w:rPr/>
        <w:t>mayor en 8.3 puntos básicos al registrado en el mismo mes del 2021. De la misma forma lo están haciendo los créditos de la industria de la energía eléctrica con un crecimiento de 20.7% y el Transporte y almacenamiento con 11.3%, el primero de estos es relevante ya que el año anterior al mismo mes registraba</w:t>
      </w:r>
      <w:r>
        <w:rPr>
          <w:spacing w:val="-9"/>
        </w:rPr>
        <w:t> </w:t>
      </w:r>
      <w:r>
        <w:rPr/>
        <w:t>crecimiento</w:t>
      </w:r>
      <w:r>
        <w:rPr>
          <w:spacing w:val="-9"/>
        </w:rPr>
        <w:t> </w:t>
      </w:r>
      <w:r>
        <w:rPr/>
        <w:t>negativo,</w:t>
      </w:r>
      <w:r>
        <w:rPr>
          <w:spacing w:val="-10"/>
        </w:rPr>
        <w:t> </w:t>
      </w:r>
      <w:r>
        <w:rPr/>
        <w:t>sin</w:t>
      </w:r>
      <w:r>
        <w:rPr>
          <w:spacing w:val="-9"/>
        </w:rPr>
        <w:t> </w:t>
      </w:r>
      <w:r>
        <w:rPr/>
        <w:t>embargo</w:t>
      </w:r>
      <w:r>
        <w:rPr>
          <w:spacing w:val="-10"/>
        </w:rPr>
        <w:t> </w:t>
      </w:r>
      <w:r>
        <w:rPr/>
        <w:t>en</w:t>
      </w:r>
      <w:r>
        <w:rPr>
          <w:spacing w:val="-8"/>
        </w:rPr>
        <w:t> </w:t>
      </w:r>
      <w:r>
        <w:rPr/>
        <w:t>el</w:t>
      </w:r>
      <w:r>
        <w:rPr>
          <w:spacing w:val="-11"/>
        </w:rPr>
        <w:t> </w:t>
      </w:r>
      <w:r>
        <w:rPr/>
        <w:t>caso</w:t>
      </w:r>
      <w:r>
        <w:rPr>
          <w:spacing w:val="-11"/>
        </w:rPr>
        <w:t> </w:t>
      </w:r>
      <w:r>
        <w:rPr/>
        <w:t>del</w:t>
      </w:r>
      <w:r>
        <w:rPr>
          <w:spacing w:val="-10"/>
        </w:rPr>
        <w:t> </w:t>
      </w:r>
      <w:r>
        <w:rPr/>
        <w:t>transporte</w:t>
      </w:r>
      <w:r>
        <w:rPr>
          <w:spacing w:val="-9"/>
        </w:rPr>
        <w:t> </w:t>
      </w:r>
      <w:r>
        <w:rPr/>
        <w:t>y</w:t>
      </w:r>
      <w:r>
        <w:rPr>
          <w:spacing w:val="-11"/>
        </w:rPr>
        <w:t> </w:t>
      </w:r>
      <w:r>
        <w:rPr/>
        <w:t>almacenamiento</w:t>
      </w:r>
      <w:r>
        <w:rPr>
          <w:spacing w:val="-10"/>
        </w:rPr>
        <w:t> </w:t>
      </w:r>
      <w:r>
        <w:rPr/>
        <w:t>en</w:t>
      </w:r>
      <w:r>
        <w:rPr>
          <w:spacing w:val="-10"/>
        </w:rPr>
        <w:t> </w:t>
      </w:r>
      <w:r>
        <w:rPr/>
        <w:t>el</w:t>
      </w:r>
      <w:r>
        <w:rPr>
          <w:spacing w:val="-8"/>
        </w:rPr>
        <w:t> </w:t>
      </w:r>
      <w:r>
        <w:rPr/>
        <w:t>mismo mes del año anterior si tuvo un crecimiento levemente mayor al de este año, ya que registraba un crecimiento de 11.6, es decir mayor en 0.3 puntos porcentuales respecto del registrado en junio de este</w:t>
      </w:r>
      <w:r>
        <w:rPr>
          <w:spacing w:val="-2"/>
        </w:rPr>
        <w:t> </w:t>
      </w:r>
      <w:r>
        <w:rPr/>
        <w:t>año.</w:t>
      </w:r>
    </w:p>
    <w:p>
      <w:pPr>
        <w:spacing w:after="0" w:line="276" w:lineRule="auto"/>
        <w:jc w:val="both"/>
        <w:sectPr>
          <w:type w:val="continuous"/>
          <w:pgSz w:w="12240" w:h="15840"/>
          <w:pgMar w:top="1500" w:bottom="280" w:left="1140" w:right="0"/>
        </w:sectPr>
      </w:pPr>
    </w:p>
    <w:p>
      <w:pPr>
        <w:tabs>
          <w:tab w:pos="3698" w:val="left" w:leader="none"/>
        </w:tabs>
        <w:spacing w:before="169"/>
        <w:ind w:left="0" w:right="323" w:firstLine="0"/>
        <w:jc w:val="center"/>
        <w:rPr>
          <w:b/>
          <w:sz w:val="20"/>
        </w:rPr>
      </w:pPr>
      <w:bookmarkStart w:name="_bookmark84" w:id="107"/>
      <w:bookmarkEnd w:id="107"/>
      <w:r>
        <w:rPr/>
      </w:r>
      <w:r>
        <w:rPr>
          <w:b/>
          <w:i/>
          <w:sz w:val="20"/>
        </w:rPr>
        <w:t>Gráfico 40.  </w:t>
      </w:r>
      <w:r>
        <w:rPr>
          <w:b/>
          <w:sz w:val="20"/>
        </w:rPr>
        <w:t>Medios</w:t>
      </w:r>
      <w:r>
        <w:rPr>
          <w:b/>
          <w:spacing w:val="-4"/>
          <w:sz w:val="20"/>
        </w:rPr>
        <w:t> </w:t>
      </w:r>
      <w:r>
        <w:rPr>
          <w:b/>
          <w:sz w:val="20"/>
        </w:rPr>
        <w:t>de</w:t>
      </w:r>
      <w:r>
        <w:rPr>
          <w:b/>
          <w:spacing w:val="-1"/>
          <w:sz w:val="20"/>
        </w:rPr>
        <w:t> </w:t>
      </w:r>
      <w:r>
        <w:rPr>
          <w:b/>
          <w:sz w:val="20"/>
        </w:rPr>
        <w:t>pago</w:t>
        <w:tab/>
      </w:r>
      <w:bookmarkStart w:name="_bookmark85" w:id="108"/>
      <w:bookmarkEnd w:id="108"/>
      <w:r>
        <w:rPr>
          <w:b/>
          <w:sz w:val="20"/>
        </w:rPr>
      </w:r>
      <w:r>
        <w:rPr>
          <w:b/>
          <w:i/>
          <w:sz w:val="20"/>
        </w:rPr>
        <w:t>Gráfico 41. </w:t>
      </w:r>
      <w:r>
        <w:rPr>
          <w:b/>
          <w:sz w:val="20"/>
        </w:rPr>
        <w:t>Tasas activa y pasiva en</w:t>
      </w:r>
      <w:r>
        <w:rPr>
          <w:b/>
          <w:spacing w:val="1"/>
          <w:sz w:val="20"/>
        </w:rPr>
        <w:t> </w:t>
      </w:r>
      <w:r>
        <w:rPr>
          <w:b/>
          <w:sz w:val="20"/>
        </w:rPr>
        <w:t>moneda</w:t>
      </w:r>
    </w:p>
    <w:p>
      <w:pPr>
        <w:spacing w:before="34"/>
        <w:ind w:left="4364" w:right="988" w:firstLine="0"/>
        <w:jc w:val="center"/>
        <w:rPr>
          <w:b/>
          <w:sz w:val="20"/>
        </w:rPr>
      </w:pPr>
      <w:r>
        <w:rPr>
          <w:b/>
          <w:sz w:val="20"/>
        </w:rPr>
        <w:t>nacional</w:t>
      </w:r>
    </w:p>
    <w:p>
      <w:pPr>
        <w:spacing w:after="0"/>
        <w:jc w:val="center"/>
        <w:rPr>
          <w:sz w:val="20"/>
        </w:rPr>
        <w:sectPr>
          <w:pgSz w:w="12240" w:h="15840"/>
          <w:pgMar w:header="715" w:footer="957" w:top="1240" w:bottom="1140" w:left="1140" w:right="0"/>
        </w:sectPr>
      </w:pPr>
    </w:p>
    <w:p>
      <w:pPr>
        <w:pStyle w:val="BodyText"/>
        <w:rPr>
          <w:b/>
          <w:sz w:val="14"/>
        </w:rPr>
      </w:pPr>
    </w:p>
    <w:p>
      <w:pPr>
        <w:pStyle w:val="BodyText"/>
        <w:rPr>
          <w:b/>
          <w:sz w:val="14"/>
        </w:rPr>
      </w:pPr>
    </w:p>
    <w:p>
      <w:pPr>
        <w:pStyle w:val="BodyText"/>
        <w:spacing w:before="2"/>
        <w:rPr>
          <w:b/>
          <w:sz w:val="12"/>
        </w:rPr>
      </w:pPr>
    </w:p>
    <w:p>
      <w:pPr>
        <w:spacing w:before="1"/>
        <w:ind w:left="0" w:right="32" w:firstLine="0"/>
        <w:jc w:val="right"/>
        <w:rPr>
          <w:sz w:val="14"/>
        </w:rPr>
      </w:pPr>
      <w:r>
        <w:rPr/>
        <w:pict>
          <v:shape style="position:absolute;margin-left:92.037849pt;margin-top:17.425751pt;width:9.75pt;height:87.15pt;mso-position-horizontal-relative:page;mso-position-vertical-relative:paragraph;z-index:252192768" type="#_x0000_t202" filled="false" stroked="false">
            <v:textbox inset="0,0,0,0" style="layout-flow:vertical;mso-layout-flow-alt:bottom-to-top">
              <w:txbxContent>
                <w:p>
                  <w:pPr>
                    <w:spacing w:before="13"/>
                    <w:ind w:left="20" w:right="0" w:firstLine="0"/>
                    <w:jc w:val="left"/>
                    <w:rPr>
                      <w:b/>
                      <w:sz w:val="14"/>
                    </w:rPr>
                  </w:pPr>
                  <w:r>
                    <w:rPr>
                      <w:b/>
                      <w:sz w:val="14"/>
                    </w:rPr>
                    <w:t>Tasa de variación interanual</w:t>
                  </w:r>
                </w:p>
              </w:txbxContent>
            </v:textbox>
            <w10:wrap type="none"/>
          </v:shape>
        </w:pict>
      </w:r>
      <w:r>
        <w:rPr>
          <w:w w:val="95"/>
          <w:sz w:val="14"/>
        </w:rPr>
        <w:t>35.0</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7"/>
        <w:rPr>
          <w:sz w:val="15"/>
        </w:rPr>
      </w:pPr>
    </w:p>
    <w:p>
      <w:pPr>
        <w:spacing w:before="0"/>
        <w:ind w:left="0" w:right="0" w:firstLine="0"/>
        <w:jc w:val="right"/>
        <w:rPr>
          <w:sz w:val="14"/>
        </w:rPr>
      </w:pPr>
      <w:r>
        <w:rPr>
          <w:spacing w:val="-1"/>
          <w:sz w:val="14"/>
        </w:rPr>
        <w:t>(5.0)</w:t>
      </w:r>
    </w:p>
    <w:p>
      <w:pPr>
        <w:pStyle w:val="BodyText"/>
        <w:spacing w:before="10"/>
        <w:rPr>
          <w:sz w:val="16"/>
        </w:rPr>
      </w:pPr>
      <w:r>
        <w:rPr/>
        <w:br w:type="column"/>
      </w:r>
      <w:r>
        <w:rPr>
          <w:sz w:val="16"/>
        </w:rPr>
      </w:r>
    </w:p>
    <w:p>
      <w:pPr>
        <w:tabs>
          <w:tab w:pos="1991" w:val="left" w:leader="none"/>
        </w:tabs>
        <w:spacing w:before="0"/>
        <w:ind w:left="468" w:right="0" w:firstLine="0"/>
        <w:jc w:val="left"/>
        <w:rPr>
          <w:sz w:val="14"/>
        </w:rPr>
      </w:pPr>
      <w:r>
        <w:rPr>
          <w:sz w:val="14"/>
        </w:rPr>
        <w:t>Moneda</w:t>
      </w:r>
      <w:r>
        <w:rPr>
          <w:spacing w:val="-2"/>
          <w:sz w:val="14"/>
        </w:rPr>
        <w:t> </w:t>
      </w:r>
      <w:r>
        <w:rPr>
          <w:sz w:val="14"/>
        </w:rPr>
        <w:t>Nacional</w:t>
        <w:tab/>
        <w:t>Moneda</w:t>
      </w:r>
      <w:r>
        <w:rPr>
          <w:spacing w:val="1"/>
          <w:sz w:val="14"/>
        </w:rPr>
        <w:t> </w:t>
      </w:r>
      <w:r>
        <w:rPr>
          <w:sz w:val="14"/>
        </w:rPr>
        <w:t>Extranjera</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93"/>
        <w:ind w:left="0" w:right="0" w:firstLine="0"/>
        <w:jc w:val="right"/>
        <w:rPr>
          <w:b/>
          <w:sz w:val="14"/>
        </w:rPr>
      </w:pPr>
      <w:r>
        <w:rPr/>
        <w:pict>
          <v:group style="position:absolute;margin-left:115.2957pt;margin-top:-45.466972pt;width:179.2pt;height:86.95pt;mso-position-horizontal-relative:page;mso-position-vertical-relative:paragraph;z-index:252184576" coordorigin="2306,-909" coordsize="3584,1739">
            <v:line style="position:absolute" from="2746,248" to="2746,755" stroked="true" strokeweight="1.68pt" strokecolor="#a6a6a6">
              <v:stroke dashstyle="solid"/>
            </v:line>
            <v:line style="position:absolute" from="2827,227" to="2827,755" stroked="true" strokeweight="1.68pt" strokecolor="#a6a6a6">
              <v:stroke dashstyle="solid"/>
            </v:line>
            <v:line style="position:absolute" from="2911,224" to="2911,755" stroked="true" strokeweight="1.68pt" strokecolor="#a6a6a6">
              <v:stroke dashstyle="solid"/>
            </v:line>
            <v:line style="position:absolute" from="2994,219" to="2994,755" stroked="true" strokeweight="1.56pt" strokecolor="#a6a6a6">
              <v:stroke dashstyle="solid"/>
            </v:line>
            <v:line style="position:absolute" from="3077,145" to="3077,755" stroked="true" strokeweight="1.68pt" strokecolor="#a6a6a6">
              <v:stroke dashstyle="solid"/>
            </v:line>
            <v:line style="position:absolute" from="3160,152" to="3160,755" stroked="true" strokeweight="1.56pt" strokecolor="#a6a6a6">
              <v:stroke dashstyle="solid"/>
            </v:line>
            <v:shape style="position:absolute;left:3242;top:101;width:250;height:653" coordorigin="3242,102" coordsize="250,653" path="m3242,121l3242,755m3326,102l3326,755m3408,128l3408,755m3492,135l3492,755e" filled="false" stroked="true" strokeweight="1.68pt" strokecolor="#a6a6a6">
              <v:path arrowok="t"/>
              <v:stroke dashstyle="solid"/>
            </v:shape>
            <v:line style="position:absolute" from="3574,128" to="3574,755" stroked="true" strokeweight="1.68pt" strokecolor="#a6a6a6">
              <v:stroke dashstyle="solid"/>
            </v:line>
            <v:shape style="position:absolute;left:3657;top:-64;width:166;height:819" coordorigin="3658,-64" coordsize="166,819" path="m3658,71l3658,755m3739,1l3739,755m3823,-64l3823,755e" filled="false" stroked="true" strokeweight="1.68pt" strokecolor="#a6a6a6">
              <v:path arrowok="t"/>
              <v:stroke dashstyle="solid"/>
            </v:shape>
            <v:line style="position:absolute" from="3905,-119" to="3905,755" stroked="true" strokeweight="1.68pt" strokecolor="#a6a6a6">
              <v:stroke dashstyle="solid"/>
            </v:line>
            <v:line style="position:absolute" from="3989,-289" to="3989,755" stroked="true" strokeweight="1.68pt" strokecolor="#a6a6a6">
              <v:stroke dashstyle="solid"/>
            </v:line>
            <v:line style="position:absolute" from="4072,-241" to="4072,755" stroked="true" strokeweight="1.56pt" strokecolor="#a6a6a6">
              <v:stroke dashstyle="solid"/>
            </v:line>
            <v:line style="position:absolute" from="4154,-205" to="4154,755" stroked="true" strokeweight="1.68pt" strokecolor="#a6a6a6">
              <v:stroke dashstyle="solid"/>
            </v:line>
            <v:line style="position:absolute" from="4237,-215" to="4237,755" stroked="true" strokeweight="1.56pt" strokecolor="#a6a6a6">
              <v:stroke dashstyle="solid"/>
            </v:line>
            <v:line style="position:absolute" from="4320,-227" to="4320,755" stroked="true" strokeweight="1.68pt" strokecolor="#a6a6a6">
              <v:stroke dashstyle="solid"/>
            </v:line>
            <v:line style="position:absolute" from="4404,-222" to="4404,755" stroked="true" strokeweight="1.68pt" strokecolor="#a6a6a6">
              <v:stroke dashstyle="solid"/>
            </v:line>
            <v:shape style="position:absolute;left:4485;top:-225;width:84;height:980" coordorigin="4486,-225" coordsize="84,980" path="m4486,-225l4486,755m4570,-201l4570,755e" filled="false" stroked="true" strokeweight="1.68pt" strokecolor="#a6a6a6">
              <v:path arrowok="t"/>
              <v:stroke dashstyle="solid"/>
            </v:shape>
            <v:shape style="position:absolute;left:4651;top:-110;width:84;height:864" coordorigin="4651,-109" coordsize="84,864" path="m4651,-109l4651,755m4735,-66l4735,755e" filled="false" stroked="true" strokeweight="1.68pt" strokecolor="#a6a6a6">
              <v:path arrowok="t"/>
              <v:stroke dashstyle="solid"/>
            </v:shape>
            <v:shape style="position:absolute;left:4816;top:-4;width:84;height:759" coordorigin="4817,-4" coordsize="84,759" path="m4817,-4l4817,755m4901,114l4901,755e" filled="false" stroked="true" strokeweight="1.68pt" strokecolor="#a6a6a6">
              <v:path arrowok="t"/>
              <v:stroke dashstyle="solid"/>
            </v:shape>
            <v:shape style="position:absolute;left:4982;top:200;width:84;height:555" coordorigin="4982,200" coordsize="84,555" path="m4982,200l4982,755m5066,217l5066,755e" filled="false" stroked="true" strokeweight="1.68pt" strokecolor="#a6a6a6">
              <v:path arrowok="t"/>
              <v:stroke dashstyle="solid"/>
            </v:shape>
            <v:line style="position:absolute" from="5149,222" to="5149,755" stroked="true" strokeweight="1.56pt" strokecolor="#a6a6a6">
              <v:stroke dashstyle="solid"/>
            </v:line>
            <v:line style="position:absolute" from="5232,231" to="5232,755" stroked="true" strokeweight="1.68pt" strokecolor="#a6a6a6">
              <v:stroke dashstyle="solid"/>
            </v:line>
            <v:line style="position:absolute" from="5315,157" to="5315,755" stroked="true" strokeweight="1.56pt" strokecolor="#a6a6a6">
              <v:stroke dashstyle="solid"/>
            </v:line>
            <v:line style="position:absolute" from="5398,145" to="5398,755" stroked="true" strokeweight="1.68pt" strokecolor="#a6a6a6">
              <v:stroke dashstyle="solid"/>
            </v:line>
            <v:line style="position:absolute" from="5482,133" to="5482,755" stroked="true" strokeweight="1.68pt" strokecolor="#a6a6a6">
              <v:stroke dashstyle="solid"/>
            </v:line>
            <v:shape style="position:absolute;left:5563;top:87;width:84;height:668" coordorigin="5563,87" coordsize="84,668" path="m5563,87l5563,755m5647,135l5647,755e" filled="false" stroked="true" strokeweight="1.68pt" strokecolor="#a6a6a6">
              <v:path arrowok="t"/>
              <v:stroke dashstyle="solid"/>
            </v:shape>
            <v:line style="position:absolute" from="5729,147" to="5729,755" stroked="true" strokeweight="1.68pt" strokecolor="#a6a6a6">
              <v:stroke dashstyle="solid"/>
            </v:line>
            <v:shape style="position:absolute;left:0;top:12284;width:3068;height:41" coordorigin="0,12284" coordsize="3068,41" path="m2705,755l5772,755m2705,755l2705,795m2952,755l2952,795m3202,755l3202,795m3449,755l3449,795m3698,755l3698,795m3948,755l3948,795m4195,755l4195,795m4445,755l4445,795m4694,755l4694,795m4942,755l4942,795m5191,755l5191,795m5438,755l5438,795m5688,755l5688,795e" filled="false" stroked="true" strokeweight=".72pt" strokecolor="#d9d9d9">
              <v:path arrowok="t"/>
              <v:stroke dashstyle="solid"/>
            </v:shape>
            <v:shape style="position:absolute;left:2744;top:-822;width:2986;height:1587" coordorigin="2744,-821" coordsize="2986,1587" path="m2744,199l2828,360,2910,326,2994,353,3076,595,3160,501,3244,765,3325,533,3409,583,3491,132,3575,9,3656,-307,3740,-187,3822,-324,3906,-276,3988,57,4072,-598,4156,-567,4237,-319,4321,-435,4403,-821,4487,-327,4568,-322,4652,-262,4734,-240,4818,-228,4900,-228,4984,-262,5065,-58,5149,-10,5233,-315,5315,-245,5399,182,5480,98,5564,230,5646,278,5730,235e" filled="false" stroked="true" strokeweight="2.280pt" strokecolor="#001f5f">
              <v:path arrowok="t"/>
              <v:stroke dashstyle="solid"/>
            </v:shape>
            <v:shape style="position:absolute;left:2305;top:-910;width:265;height:1739" type="#_x0000_t202" filled="false" stroked="false">
              <v:textbox inset="0,0,0,0">
                <w:txbxContent>
                  <w:p>
                    <w:pPr>
                      <w:spacing w:line="154" w:lineRule="exact" w:before="0"/>
                      <w:ind w:left="-1" w:right="18" w:firstLine="0"/>
                      <w:jc w:val="center"/>
                      <w:rPr>
                        <w:sz w:val="14"/>
                      </w:rPr>
                    </w:pPr>
                    <w:r>
                      <w:rPr>
                        <w:sz w:val="14"/>
                      </w:rPr>
                      <w:t>30.0</w:t>
                    </w:r>
                  </w:p>
                  <w:p>
                    <w:pPr>
                      <w:spacing w:before="103"/>
                      <w:ind w:left="-1" w:right="18" w:firstLine="0"/>
                      <w:jc w:val="center"/>
                      <w:rPr>
                        <w:sz w:val="14"/>
                      </w:rPr>
                    </w:pPr>
                    <w:r>
                      <w:rPr>
                        <w:sz w:val="14"/>
                      </w:rPr>
                      <w:t>25.0</w:t>
                    </w:r>
                  </w:p>
                  <w:p>
                    <w:pPr>
                      <w:spacing w:before="103"/>
                      <w:ind w:left="-1" w:right="18" w:firstLine="0"/>
                      <w:jc w:val="center"/>
                      <w:rPr>
                        <w:sz w:val="14"/>
                      </w:rPr>
                    </w:pPr>
                    <w:r>
                      <w:rPr>
                        <w:sz w:val="14"/>
                      </w:rPr>
                      <w:t>20.0</w:t>
                    </w:r>
                  </w:p>
                  <w:p>
                    <w:pPr>
                      <w:spacing w:before="103"/>
                      <w:ind w:left="-1" w:right="18" w:firstLine="0"/>
                      <w:jc w:val="center"/>
                      <w:rPr>
                        <w:sz w:val="14"/>
                      </w:rPr>
                    </w:pPr>
                    <w:r>
                      <w:rPr>
                        <w:sz w:val="14"/>
                      </w:rPr>
                      <w:t>15.0</w:t>
                    </w:r>
                  </w:p>
                  <w:p>
                    <w:pPr>
                      <w:spacing w:before="103"/>
                      <w:ind w:left="-1" w:right="18" w:firstLine="0"/>
                      <w:jc w:val="center"/>
                      <w:rPr>
                        <w:sz w:val="14"/>
                      </w:rPr>
                    </w:pPr>
                    <w:r>
                      <w:rPr>
                        <w:sz w:val="14"/>
                      </w:rPr>
                      <w:t>10.0</w:t>
                    </w:r>
                  </w:p>
                  <w:p>
                    <w:pPr>
                      <w:spacing w:before="103"/>
                      <w:ind w:left="49" w:right="1" w:firstLine="0"/>
                      <w:jc w:val="center"/>
                      <w:rPr>
                        <w:sz w:val="14"/>
                      </w:rPr>
                    </w:pPr>
                    <w:r>
                      <w:rPr>
                        <w:sz w:val="14"/>
                      </w:rPr>
                      <w:t>5.0</w:t>
                    </w:r>
                  </w:p>
                  <w:p>
                    <w:pPr>
                      <w:spacing w:before="103"/>
                      <w:ind w:left="39" w:right="0" w:firstLine="0"/>
                      <w:jc w:val="center"/>
                      <w:rPr>
                        <w:sz w:val="14"/>
                      </w:rPr>
                    </w:pPr>
                    <w:r>
                      <w:rPr>
                        <w:w w:val="99"/>
                        <w:sz w:val="14"/>
                      </w:rPr>
                      <w:t>-</w:t>
                    </w:r>
                  </w:p>
                </w:txbxContent>
              </v:textbox>
              <w10:wrap type="none"/>
            </v:shape>
            <v:shape style="position:absolute;left:5625;top:-99;width:265;height:352" type="#_x0000_t202" filled="false" stroked="false">
              <v:textbox inset="0,0,0,0">
                <w:txbxContent>
                  <w:p>
                    <w:pPr>
                      <w:spacing w:line="154" w:lineRule="exact" w:before="0"/>
                      <w:ind w:left="0" w:right="18" w:firstLine="0"/>
                      <w:jc w:val="right"/>
                      <w:rPr>
                        <w:b/>
                        <w:sz w:val="14"/>
                      </w:rPr>
                    </w:pPr>
                    <w:r>
                      <w:rPr>
                        <w:b/>
                        <w:color w:val="7E7E7E"/>
                        <w:w w:val="95"/>
                        <w:sz w:val="14"/>
                      </w:rPr>
                      <w:t>11.5</w:t>
                    </w:r>
                  </w:p>
                  <w:p>
                    <w:pPr>
                      <w:spacing w:before="37"/>
                      <w:ind w:left="0" w:right="21" w:firstLine="0"/>
                      <w:jc w:val="right"/>
                      <w:rPr>
                        <w:b/>
                        <w:sz w:val="14"/>
                      </w:rPr>
                    </w:pPr>
                    <w:r>
                      <w:rPr>
                        <w:b/>
                        <w:color w:val="001F5F"/>
                        <w:spacing w:val="-1"/>
                        <w:sz w:val="14"/>
                      </w:rPr>
                      <w:t>9.</w:t>
                    </w:r>
                  </w:p>
                </w:txbxContent>
              </v:textbox>
              <w10:wrap type="none"/>
            </v:shape>
            <w10:wrap type="none"/>
          </v:group>
        </w:pict>
      </w:r>
      <w:r>
        <w:rPr/>
        <w:pict>
          <v:line style="position:absolute;mso-position-horizontal-relative:page;mso-position-vertical-relative:paragraph;z-index:252185600" from="133.440002pt,-68.054825pt" to="152.640002pt,-68.054825pt" stroked="true" strokeweight="3.48pt" strokecolor="#a6a6a6">
            <v:stroke dashstyle="solid"/>
            <w10:wrap type="none"/>
          </v:line>
        </w:pict>
      </w:r>
      <w:r>
        <w:rPr/>
        <w:pict>
          <v:line style="position:absolute;mso-position-horizontal-relative:page;mso-position-vertical-relative:paragraph;z-index:-281133056" from="209.580002pt,-68.054825pt" to="228.780002pt,-68.054825pt" stroked="true" strokeweight="2.280pt" strokecolor="#001f5f">
            <v:stroke dashstyle="solid"/>
            <w10:wrap type="none"/>
          </v:line>
        </w:pict>
      </w:r>
      <w:r>
        <w:rPr>
          <w:b/>
          <w:color w:val="001F5F"/>
          <w:w w:val="99"/>
          <w:sz w:val="14"/>
        </w:rPr>
        <w:t>9</w:t>
      </w:r>
    </w:p>
    <w:p>
      <w:pPr>
        <w:pStyle w:val="BodyText"/>
        <w:spacing w:before="3"/>
        <w:rPr>
          <w:b/>
          <w:sz w:val="15"/>
        </w:rPr>
      </w:pPr>
      <w:r>
        <w:rPr/>
        <w:br w:type="column"/>
      </w:r>
      <w:r>
        <w:rPr>
          <w:b/>
          <w:sz w:val="15"/>
        </w:rPr>
      </w:r>
    </w:p>
    <w:p>
      <w:pPr>
        <w:spacing w:before="1"/>
        <w:ind w:left="0" w:right="0" w:firstLine="0"/>
        <w:jc w:val="right"/>
        <w:rPr>
          <w:sz w:val="14"/>
        </w:rPr>
      </w:pPr>
      <w:r>
        <w:rPr>
          <w:color w:val="585858"/>
          <w:w w:val="95"/>
          <w:sz w:val="14"/>
        </w:rPr>
        <w:t>20.0</w:t>
      </w:r>
    </w:p>
    <w:p>
      <w:pPr>
        <w:spacing w:before="61"/>
        <w:ind w:left="0" w:right="0" w:firstLine="0"/>
        <w:jc w:val="right"/>
        <w:rPr>
          <w:sz w:val="14"/>
        </w:rPr>
      </w:pPr>
      <w:r>
        <w:rPr>
          <w:color w:val="585858"/>
          <w:w w:val="95"/>
          <w:sz w:val="14"/>
        </w:rPr>
        <w:t>18.0</w:t>
      </w:r>
    </w:p>
    <w:p>
      <w:pPr>
        <w:spacing w:before="61"/>
        <w:ind w:left="0" w:right="0" w:firstLine="0"/>
        <w:jc w:val="right"/>
        <w:rPr>
          <w:sz w:val="14"/>
        </w:rPr>
      </w:pPr>
      <w:r>
        <w:rPr>
          <w:color w:val="585858"/>
          <w:w w:val="95"/>
          <w:sz w:val="14"/>
        </w:rPr>
        <w:t>16.0</w:t>
      </w:r>
    </w:p>
    <w:p>
      <w:pPr>
        <w:spacing w:before="61"/>
        <w:ind w:left="0" w:right="0" w:firstLine="0"/>
        <w:jc w:val="right"/>
        <w:rPr>
          <w:sz w:val="14"/>
        </w:rPr>
      </w:pPr>
      <w:r>
        <w:rPr>
          <w:color w:val="585858"/>
          <w:w w:val="95"/>
          <w:sz w:val="14"/>
        </w:rPr>
        <w:t>14.0</w:t>
      </w:r>
    </w:p>
    <w:p>
      <w:pPr>
        <w:spacing w:before="61"/>
        <w:ind w:left="0" w:right="0" w:firstLine="0"/>
        <w:jc w:val="right"/>
        <w:rPr>
          <w:sz w:val="14"/>
        </w:rPr>
      </w:pPr>
      <w:r>
        <w:rPr/>
        <w:pict>
          <v:shape style="position:absolute;margin-left:317.137848pt;margin-top:2.915933pt;width:9.75pt;height:31.25pt;mso-position-horizontal-relative:page;mso-position-vertical-relative:paragraph;z-index:252194816" type="#_x0000_t202" filled="false" stroked="false">
            <v:textbox inset="0,0,0,0" style="layout-flow:vertical;mso-layout-flow-alt:bottom-to-top">
              <w:txbxContent>
                <w:p>
                  <w:pPr>
                    <w:spacing w:before="13"/>
                    <w:ind w:left="20" w:right="0" w:firstLine="0"/>
                    <w:jc w:val="left"/>
                    <w:rPr>
                      <w:sz w:val="14"/>
                    </w:rPr>
                  </w:pPr>
                  <w:r>
                    <w:rPr>
                      <w:color w:val="585858"/>
                      <w:sz w:val="14"/>
                    </w:rPr>
                    <w:t>Porcentaje</w:t>
                  </w:r>
                </w:p>
              </w:txbxContent>
            </v:textbox>
            <w10:wrap type="none"/>
          </v:shape>
        </w:pict>
      </w:r>
      <w:r>
        <w:rPr>
          <w:color w:val="585858"/>
          <w:w w:val="95"/>
          <w:sz w:val="14"/>
        </w:rPr>
        <w:t>12.0</w:t>
      </w:r>
    </w:p>
    <w:p>
      <w:pPr>
        <w:spacing w:before="61"/>
        <w:ind w:left="0" w:right="0" w:firstLine="0"/>
        <w:jc w:val="right"/>
        <w:rPr>
          <w:sz w:val="14"/>
        </w:rPr>
      </w:pPr>
      <w:r>
        <w:rPr>
          <w:color w:val="585858"/>
          <w:w w:val="95"/>
          <w:sz w:val="14"/>
        </w:rPr>
        <w:t>10.0</w:t>
      </w:r>
    </w:p>
    <w:p>
      <w:pPr>
        <w:spacing w:before="61"/>
        <w:ind w:left="0" w:right="0" w:firstLine="0"/>
        <w:jc w:val="right"/>
        <w:rPr>
          <w:sz w:val="14"/>
        </w:rPr>
      </w:pPr>
      <w:r>
        <w:rPr>
          <w:color w:val="585858"/>
          <w:sz w:val="14"/>
        </w:rPr>
        <w:t>8.0</w:t>
      </w:r>
    </w:p>
    <w:p>
      <w:pPr>
        <w:spacing w:before="61"/>
        <w:ind w:left="0" w:right="0" w:firstLine="0"/>
        <w:jc w:val="right"/>
        <w:rPr>
          <w:sz w:val="14"/>
        </w:rPr>
      </w:pPr>
      <w:r>
        <w:rPr>
          <w:color w:val="585858"/>
          <w:sz w:val="14"/>
        </w:rPr>
        <w:t>6.0</w:t>
      </w:r>
    </w:p>
    <w:p>
      <w:pPr>
        <w:spacing w:before="62"/>
        <w:ind w:left="0" w:right="0" w:firstLine="0"/>
        <w:jc w:val="right"/>
        <w:rPr>
          <w:sz w:val="14"/>
        </w:rPr>
      </w:pPr>
      <w:r>
        <w:rPr>
          <w:color w:val="585858"/>
          <w:sz w:val="14"/>
        </w:rPr>
        <w:t>4.0</w:t>
      </w:r>
    </w:p>
    <w:p>
      <w:pPr>
        <w:spacing w:before="61"/>
        <w:ind w:left="0" w:right="0" w:firstLine="0"/>
        <w:jc w:val="right"/>
        <w:rPr>
          <w:sz w:val="14"/>
        </w:rPr>
      </w:pPr>
      <w:r>
        <w:rPr>
          <w:color w:val="585858"/>
          <w:sz w:val="14"/>
        </w:rPr>
        <w:t>2.0</w:t>
      </w:r>
    </w:p>
    <w:p>
      <w:pPr>
        <w:spacing w:before="61"/>
        <w:ind w:left="0" w:right="0" w:firstLine="0"/>
        <w:jc w:val="right"/>
        <w:rPr>
          <w:sz w:val="14"/>
        </w:rPr>
      </w:pPr>
      <w:r>
        <w:rPr/>
        <w:pict>
          <v:shape style="position:absolute;margin-left:344.057861pt;margin-top:10.524549pt;width:9.75pt;height:20.350pt;mso-position-horizontal-relative:page;mso-position-vertical-relative:paragraph;z-index:252195840" type="#_x0000_t202" filled="false" stroked="false">
            <v:textbox inset="0,0,0,0" style="layout-flow:vertical;mso-layout-flow-alt:bottom-to-top">
              <w:txbxContent>
                <w:p>
                  <w:pPr>
                    <w:spacing w:before="13"/>
                    <w:ind w:left="20" w:right="0" w:firstLine="0"/>
                    <w:jc w:val="left"/>
                    <w:rPr>
                      <w:sz w:val="14"/>
                    </w:rPr>
                  </w:pPr>
                  <w:r>
                    <w:rPr>
                      <w:color w:val="585858"/>
                      <w:sz w:val="14"/>
                    </w:rPr>
                    <w:t>jun-19</w:t>
                  </w:r>
                </w:p>
              </w:txbxContent>
            </v:textbox>
            <w10:wrap type="none"/>
          </v:shape>
        </w:pict>
      </w:r>
      <w:r>
        <w:rPr>
          <w:color w:val="585858"/>
          <w:sz w:val="14"/>
        </w:rPr>
        <w:t>0.0</w:t>
      </w:r>
    </w:p>
    <w:p>
      <w:pPr>
        <w:pStyle w:val="BodyText"/>
        <w:spacing w:before="1"/>
        <w:rPr>
          <w:sz w:val="15"/>
        </w:rPr>
      </w:pPr>
      <w:r>
        <w:rPr/>
        <w:br w:type="column"/>
      </w:r>
      <w:r>
        <w:rPr>
          <w:sz w:val="15"/>
        </w:rPr>
      </w:r>
    </w:p>
    <w:p>
      <w:pPr>
        <w:tabs>
          <w:tab w:pos="2284" w:val="left" w:leader="none"/>
        </w:tabs>
        <w:spacing w:line="152" w:lineRule="exact" w:before="0"/>
        <w:ind w:left="734" w:right="0" w:firstLine="0"/>
        <w:jc w:val="left"/>
        <w:rPr>
          <w:sz w:val="14"/>
        </w:rPr>
      </w:pPr>
      <w:r>
        <w:rPr>
          <w:color w:val="585858"/>
          <w:sz w:val="14"/>
        </w:rPr>
        <w:t>Spread</w:t>
        <w:tab/>
        <w:t>Tasa</w:t>
      </w:r>
      <w:r>
        <w:rPr>
          <w:color w:val="585858"/>
          <w:spacing w:val="1"/>
          <w:sz w:val="14"/>
        </w:rPr>
        <w:t> </w:t>
      </w:r>
      <w:r>
        <w:rPr>
          <w:color w:val="585858"/>
          <w:spacing w:val="-4"/>
          <w:sz w:val="14"/>
        </w:rPr>
        <w:t>Activa</w:t>
      </w:r>
    </w:p>
    <w:p>
      <w:pPr>
        <w:spacing w:line="152" w:lineRule="exact" w:before="0"/>
        <w:ind w:left="734" w:right="0" w:firstLine="0"/>
        <w:jc w:val="left"/>
        <w:rPr>
          <w:sz w:val="14"/>
        </w:rPr>
      </w:pPr>
      <w:r>
        <w:rPr/>
        <w:pict>
          <v:line style="position:absolute;mso-position-horizontal-relative:page;mso-position-vertical-relative:paragraph;z-index:252189696" from="358.200012pt,-3.249485pt" to="377.400012pt,-3.249485pt" stroked="true" strokeweight="3.48pt" strokecolor="#a4a4a4">
            <v:stroke dashstyle="solid"/>
            <w10:wrap type="none"/>
          </v:line>
        </w:pict>
      </w:r>
      <w:r>
        <w:rPr/>
        <w:pict>
          <v:line style="position:absolute;mso-position-horizontal-relative:page;mso-position-vertical-relative:paragraph;z-index:-281128960" from="435.660004pt,-3.249485pt" to="454.860004pt,-3.249485pt" stroked="true" strokeweight="2.280pt" strokecolor="#5b9bd4">
            <v:stroke dashstyle="solid"/>
            <w10:wrap type="none"/>
          </v:line>
        </w:pict>
      </w:r>
      <w:r>
        <w:rPr/>
        <w:pict>
          <v:line style="position:absolute;mso-position-horizontal-relative:page;mso-position-vertical-relative:paragraph;z-index:252191744" from="358.140015pt,3.950515pt" to="377.340015pt,3.950515pt" stroked="true" strokeweight="2.280pt" strokecolor="#ec7c30">
            <v:stroke dashstyle="solid"/>
            <w10:wrap type="none"/>
          </v:line>
        </w:pict>
      </w:r>
      <w:r>
        <w:rPr>
          <w:color w:val="585858"/>
          <w:sz w:val="14"/>
        </w:rPr>
        <w:t>Tasa Pasiva</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spacing w:before="11"/>
        <w:rPr>
          <w:sz w:val="20"/>
        </w:rPr>
      </w:pPr>
    </w:p>
    <w:p>
      <w:pPr>
        <w:spacing w:before="0"/>
        <w:ind w:left="251" w:right="0" w:firstLine="0"/>
        <w:jc w:val="left"/>
        <w:rPr>
          <w:sz w:val="14"/>
        </w:rPr>
      </w:pPr>
      <w:r>
        <w:rPr/>
        <w:pict>
          <v:shape style="position:absolute;margin-left:348.779999pt;margin-top:8.945144pt;width:157.8pt;height:4.8pt;mso-position-horizontal-relative:page;mso-position-vertical-relative:paragraph;z-index:252188672" coordorigin="6976,179" coordsize="3156,96" path="m6976,184l7064,181,7151,179,7240,179,7326,189,7415,191,7504,196,7590,193,7679,191,7765,196,7854,198,7940,193,8029,193,8116,215,8204,213,8291,213,8380,229,8466,232,8555,229,8641,229,8730,232,8816,232,8905,234,8992,239,9080,239,9167,251,9256,251,9342,249,9431,251,9517,263,9606,275,9692,275,9781,275,9870,273,9956,275,10045,273,10132,268e" filled="false" stroked="true" strokeweight="2.280pt" strokecolor="#5b9bd4">
            <v:path arrowok="t"/>
            <v:stroke dashstyle="solid"/>
            <w10:wrap type="none"/>
          </v:shape>
        </w:pict>
      </w:r>
      <w:r>
        <w:rPr>
          <w:color w:val="404040"/>
          <w:sz w:val="14"/>
        </w:rPr>
        <w:t>12.0</w:t>
      </w:r>
    </w:p>
    <w:p>
      <w:pPr>
        <w:pStyle w:val="BodyText"/>
        <w:rPr>
          <w:sz w:val="14"/>
        </w:rPr>
      </w:pPr>
    </w:p>
    <w:p>
      <w:pPr>
        <w:pStyle w:val="BodyText"/>
        <w:spacing w:before="8"/>
        <w:rPr>
          <w:sz w:val="12"/>
        </w:rPr>
      </w:pPr>
    </w:p>
    <w:p>
      <w:pPr>
        <w:spacing w:before="1"/>
        <w:ind w:left="195" w:right="0" w:firstLine="0"/>
        <w:jc w:val="left"/>
        <w:rPr>
          <w:sz w:val="14"/>
        </w:rPr>
      </w:pPr>
      <w:r>
        <w:rPr/>
        <w:pict>
          <v:group style="position:absolute;margin-left:346.320007pt;margin-top:11.435162pt;width:162.5pt;height:47.2pt;mso-position-horizontal-relative:page;mso-position-vertical-relative:paragraph;z-index:252187648" coordorigin="6926,229" coordsize="3250,944">
            <v:line style="position:absolute" from="6977,279" to="6977,1131" stroked="true" strokeweight="1.44pt" strokecolor="#a4a4a4">
              <v:stroke dashstyle="solid"/>
            </v:line>
            <v:line style="position:absolute" from="7064,272" to="7064,1131" stroked="true" strokeweight="1.32pt" strokecolor="#a4a4a4">
              <v:stroke dashstyle="solid"/>
            </v:line>
            <v:line style="position:absolute" from="7152,267" to="7152,1131" stroked="true" strokeweight="1.44pt" strokecolor="#a4a4a4">
              <v:stroke dashstyle="solid"/>
            </v:line>
            <v:line style="position:absolute" from="7240,267" to="7240,1131" stroked="true" strokeweight="1.32pt" strokecolor="#a4a4a4">
              <v:stroke dashstyle="solid"/>
            </v:line>
            <v:line style="position:absolute" from="7327,272" to="7327,1131" stroked="true" strokeweight="1.44pt" strokecolor="#a4a4a4">
              <v:stroke dashstyle="solid"/>
            </v:line>
            <v:line style="position:absolute" from="7415,274" to="7415,1131" stroked="true" strokeweight="1.32pt" strokecolor="#a4a4a4">
              <v:stroke dashstyle="solid"/>
            </v:line>
            <v:line style="position:absolute" from="7502,272" to="7502,1131" stroked="true" strokeweight="1.44pt" strokecolor="#a4a4a4">
              <v:stroke dashstyle="solid"/>
            </v:line>
            <v:line style="position:absolute" from="7590,267" to="7590,1131" stroked="true" strokeweight="1.32pt" strokecolor="#a4a4a4">
              <v:stroke dashstyle="solid"/>
            </v:line>
            <v:line style="position:absolute" from="7678,260" to="7678,1131" stroked="true" strokeweight="1.44pt" strokecolor="#a4a4a4">
              <v:stroke dashstyle="solid"/>
            </v:line>
            <v:line style="position:absolute" from="7765,262" to="7765,1131" stroked="true" strokeweight="1.32pt" strokecolor="#a4a4a4">
              <v:stroke dashstyle="solid"/>
            </v:line>
            <v:line style="position:absolute" from="7853,255" to="7853,1131" stroked="true" strokeweight="1.44pt" strokecolor="#a4a4a4">
              <v:stroke dashstyle="solid"/>
            </v:line>
            <v:line style="position:absolute" from="7940,250" to="7940,1131" stroked="true" strokeweight="1.32pt" strokecolor="#a4a4a4">
              <v:stroke dashstyle="solid"/>
            </v:line>
            <v:line style="position:absolute" from="8028,246" to="8028,1131" stroked="true" strokeweight="1.44pt" strokecolor="#a4a4a4">
              <v:stroke dashstyle="solid"/>
            </v:line>
            <v:line style="position:absolute" from="8116,258" to="8116,1131" stroked="true" strokeweight="1.32pt" strokecolor="#a4a4a4">
              <v:stroke dashstyle="solid"/>
            </v:line>
            <v:line style="position:absolute" from="8203,253" to="8203,1131" stroked="true" strokeweight="1.44pt" strokecolor="#a4a4a4">
              <v:stroke dashstyle="solid"/>
            </v:line>
            <v:line style="position:absolute" from="8291,246" to="8291,1131" stroked="true" strokeweight="1.32pt" strokecolor="#a4a4a4">
              <v:stroke dashstyle="solid"/>
            </v:line>
            <v:line style="position:absolute" from="8378,258" to="8378,1131" stroked="true" strokeweight="1.44pt" strokecolor="#a4a4a4">
              <v:stroke dashstyle="solid"/>
            </v:line>
            <v:line style="position:absolute" from="8466,255" to="8466,1131" stroked="true" strokeweight="1.32pt" strokecolor="#a4a4a4">
              <v:stroke dashstyle="solid"/>
            </v:line>
            <v:line style="position:absolute" from="8555,246" to="8555,1131" stroked="true" strokeweight="1.32pt" strokecolor="#a4a4a4">
              <v:stroke dashstyle="solid"/>
            </v:line>
            <v:line style="position:absolute" from="8641,241" to="8641,1131" stroked="true" strokeweight="1.32pt" strokecolor="#a4a4a4">
              <v:stroke dashstyle="solid"/>
            </v:line>
            <v:line style="position:absolute" from="8730,241" to="8730,1131" stroked="true" strokeweight="1.32pt" strokecolor="#a4a4a4">
              <v:stroke dashstyle="solid"/>
            </v:line>
            <v:line style="position:absolute" from="8818,236" to="8818,1131" stroked="true" strokeweight="1.44pt" strokecolor="#a4a4a4">
              <v:stroke dashstyle="solid"/>
            </v:line>
            <v:line style="position:absolute" from="8905,236" to="8905,1131" stroked="true" strokeweight="1.32pt" strokecolor="#a4a4a4">
              <v:stroke dashstyle="solid"/>
            </v:line>
            <v:line style="position:absolute" from="8993,236" to="8993,1131" stroked="true" strokeweight="1.44pt" strokecolor="#a4a4a4">
              <v:stroke dashstyle="solid"/>
            </v:line>
            <v:line style="position:absolute" from="9080,234" to="9080,1131" stroked="true" strokeweight="1.32pt" strokecolor="#a4a4a4">
              <v:stroke dashstyle="solid"/>
            </v:line>
            <v:line style="position:absolute" from="9168,238" to="9168,1131" stroked="true" strokeweight="1.44pt" strokecolor="#a4a4a4">
              <v:stroke dashstyle="solid"/>
            </v:line>
            <v:line style="position:absolute" from="9256,236" to="9256,1131" stroked="true" strokeweight="1.32pt" strokecolor="#a4a4a4">
              <v:stroke dashstyle="solid"/>
            </v:line>
            <v:line style="position:absolute" from="9343,229" to="9343,1131" stroked="true" strokeweight="1.44pt" strokecolor="#a4a4a4">
              <v:stroke dashstyle="solid"/>
            </v:line>
            <v:line style="position:absolute" from="9431,231" to="9431,1131" stroked="true" strokeweight="1.32pt" strokecolor="#a4a4a4">
              <v:stroke dashstyle="solid"/>
            </v:line>
            <v:line style="position:absolute" from="9518,243" to="9518,1131" stroked="true" strokeweight="1.44pt" strokecolor="#a4a4a4">
              <v:stroke dashstyle="solid"/>
            </v:line>
            <v:line style="position:absolute" from="9606,250" to="9606,1131" stroked="true" strokeweight="1.32pt" strokecolor="#a4a4a4">
              <v:stroke dashstyle="solid"/>
            </v:line>
            <v:line style="position:absolute" from="9694,246" to="9694,1131" stroked="true" strokeweight="1.44pt" strokecolor="#a4a4a4">
              <v:stroke dashstyle="solid"/>
            </v:line>
            <v:line style="position:absolute" from="9781,246" to="9781,1131" stroked="true" strokeweight="1.32pt" strokecolor="#a4a4a4">
              <v:stroke dashstyle="solid"/>
            </v:line>
            <v:line style="position:absolute" from="9869,238" to="9869,1131" stroked="true" strokeweight="1.44pt" strokecolor="#a4a4a4">
              <v:stroke dashstyle="solid"/>
            </v:line>
            <v:line style="position:absolute" from="9956,241" to="9956,1131" stroked="true" strokeweight="1.32pt" strokecolor="#a4a4a4">
              <v:stroke dashstyle="solid"/>
            </v:line>
            <v:line style="position:absolute" from="10044,238" to="10044,1131" stroked="true" strokeweight="1.44pt" strokecolor="#a4a4a4">
              <v:stroke dashstyle="solid"/>
            </v:line>
            <v:line style="position:absolute" from="10132,231" to="10132,1131" stroked="true" strokeweight="1.32pt" strokecolor="#a4a4a4">
              <v:stroke dashstyle="solid"/>
            </v:line>
            <v:shape style="position:absolute;left:0;top:12574;width:3243;height:41" coordorigin="0,12574" coordsize="3243,41" path="m6934,1131l10176,1131m6934,1131l6934,1172m7459,1131l7459,1172m7985,1131l7985,1172m8510,1131l8510,1172m9036,1131l9036,1172m9562,1131l9562,1172m10087,1131l10087,1172e" filled="false" stroked="true" strokeweight=".72pt" strokecolor="#d9d9d9">
              <v:path arrowok="t"/>
              <v:stroke dashstyle="solid"/>
            </v:shape>
            <v:shape style="position:absolute;left:6975;top:568;width:3156;height:132" coordorigin="6976,568" coordsize="3156,132" path="m6976,568l7064,573,7151,576,7240,578,7326,580,7415,583,7504,585,7590,590,7679,595,7765,597,7854,604,7940,607,8029,612,8116,621,8204,626,8291,631,8380,636,8466,640,8555,648,8641,652,8730,655,8816,660,8905,662,8992,667,9080,672,9167,676,9256,679,9342,684,9431,684,9517,686,9606,688,9692,693,9781,693,9870,698,9956,698,10045,700,10132,700e" filled="false" stroked="true" strokeweight="2.280pt" strokecolor="#ec7c30">
              <v:path arrowok="t"/>
              <v:stroke dashstyle="solid"/>
            </v:shape>
            <w10:wrap type="none"/>
          </v:group>
        </w:pict>
      </w:r>
      <w:r>
        <w:rPr>
          <w:color w:val="404040"/>
          <w:sz w:val="14"/>
        </w:rPr>
        <w:t>8.1</w:t>
      </w:r>
    </w:p>
    <w:p>
      <w:pPr>
        <w:pStyle w:val="BodyText"/>
        <w:rPr>
          <w:sz w:val="14"/>
        </w:rPr>
      </w:pPr>
    </w:p>
    <w:p>
      <w:pPr>
        <w:pStyle w:val="BodyText"/>
        <w:spacing w:before="6"/>
        <w:rPr>
          <w:sz w:val="18"/>
        </w:rPr>
      </w:pPr>
    </w:p>
    <w:p>
      <w:pPr>
        <w:spacing w:before="0"/>
        <w:ind w:left="320" w:right="0" w:firstLine="0"/>
        <w:jc w:val="left"/>
        <w:rPr>
          <w:sz w:val="14"/>
        </w:rPr>
      </w:pPr>
      <w:r>
        <w:rPr>
          <w:color w:val="404040"/>
          <w:sz w:val="14"/>
        </w:rPr>
        <w:t>3.9</w:t>
      </w:r>
    </w:p>
    <w:p>
      <w:pPr>
        <w:spacing w:after="0"/>
        <w:jc w:val="left"/>
        <w:rPr>
          <w:sz w:val="14"/>
        </w:rPr>
        <w:sectPr>
          <w:type w:val="continuous"/>
          <w:pgSz w:w="12240" w:h="15840"/>
          <w:pgMar w:top="1500" w:bottom="280" w:left="1140" w:right="0"/>
          <w:cols w:num="5" w:equalWidth="0">
            <w:col w:w="1446" w:space="40"/>
            <w:col w:w="3313" w:space="39"/>
            <w:col w:w="838" w:space="39"/>
            <w:col w:w="2955" w:space="39"/>
            <w:col w:w="2391"/>
          </w:cols>
        </w:sectPr>
      </w:pPr>
    </w:p>
    <w:p>
      <w:pPr>
        <w:pStyle w:val="BodyText"/>
        <w:rPr>
          <w:sz w:val="20"/>
        </w:rPr>
      </w:pPr>
    </w:p>
    <w:p>
      <w:pPr>
        <w:pStyle w:val="BodyText"/>
        <w:spacing w:before="5"/>
      </w:pPr>
    </w:p>
    <w:p>
      <w:pPr>
        <w:tabs>
          <w:tab w:pos="5408" w:val="left" w:leader="none"/>
        </w:tabs>
        <w:spacing w:before="0"/>
        <w:ind w:left="912" w:right="0" w:firstLine="0"/>
        <w:jc w:val="left"/>
        <w:rPr>
          <w:sz w:val="16"/>
        </w:rPr>
      </w:pPr>
      <w:r>
        <w:rPr/>
        <w:pict>
          <v:shape style="position:absolute;margin-left:132.457855pt;margin-top:-24.951847pt;width:158.950pt;height:22.3pt;mso-position-horizontal-relative:page;mso-position-vertical-relative:paragraph;z-index:252193792" type="#_x0000_t202" filled="false" stroked="false">
            <v:textbox inset="0,0,0,0" style="layout-flow:vertical;mso-layout-flow-alt:bottom-to-top">
              <w:txbxContent>
                <w:p>
                  <w:pPr>
                    <w:spacing w:line="372" w:lineRule="auto" w:before="13"/>
                    <w:ind w:left="20" w:right="18" w:firstLine="38"/>
                    <w:jc w:val="both"/>
                    <w:rPr>
                      <w:sz w:val="14"/>
                    </w:rPr>
                  </w:pPr>
                  <w:r>
                    <w:rPr>
                      <w:color w:val="585858"/>
                      <w:sz w:val="14"/>
                    </w:rPr>
                    <w:t>jun-19 sep-19 dic-19 mar-20 jun-20 sep-20 dic-20 mar-21 jun-21 sep-21 dic-21 mar-22</w:t>
                  </w:r>
                </w:p>
                <w:p>
                  <w:pPr>
                    <w:spacing w:line="151" w:lineRule="exact" w:before="0"/>
                    <w:ind w:left="58" w:right="0" w:firstLine="0"/>
                    <w:jc w:val="left"/>
                    <w:rPr>
                      <w:sz w:val="14"/>
                    </w:rPr>
                  </w:pPr>
                  <w:r>
                    <w:rPr>
                      <w:color w:val="585858"/>
                      <w:sz w:val="14"/>
                    </w:rPr>
                    <w:t>jun-22</w:t>
                  </w:r>
                </w:p>
              </w:txbxContent>
            </v:textbox>
            <w10:wrap type="none"/>
          </v:shape>
        </w:pict>
      </w:r>
      <w:r>
        <w:rPr/>
        <w:pict>
          <v:shape style="position:absolute;margin-left:370.33786pt;margin-top:-33.772354pt;width:9.75pt;height:19.9pt;mso-position-horizontal-relative:page;mso-position-vertical-relative:paragraph;z-index:252196864" type="#_x0000_t202" filled="false" stroked="false">
            <v:textbox inset="0,0,0,0" style="layout-flow:vertical;mso-layout-flow-alt:bottom-to-top">
              <w:txbxContent>
                <w:p>
                  <w:pPr>
                    <w:spacing w:before="13"/>
                    <w:ind w:left="20" w:right="0" w:firstLine="0"/>
                    <w:jc w:val="left"/>
                    <w:rPr>
                      <w:sz w:val="14"/>
                    </w:rPr>
                  </w:pPr>
                  <w:r>
                    <w:rPr>
                      <w:color w:val="585858"/>
                      <w:sz w:val="14"/>
                    </w:rPr>
                    <w:t>dic-19</w:t>
                  </w:r>
                </w:p>
              </w:txbxContent>
            </v:textbox>
            <w10:wrap type="none"/>
          </v:shape>
        </w:pict>
      </w:r>
      <w:r>
        <w:rPr/>
        <w:pict>
          <v:shape style="position:absolute;margin-left:396.647858pt;margin-top:-33.831848pt;width:9.75pt;height:20.350pt;mso-position-horizontal-relative:page;mso-position-vertical-relative:paragraph;z-index:252197888" type="#_x0000_t202" filled="false" stroked="false">
            <v:textbox inset="0,0,0,0" style="layout-flow:vertical;mso-layout-flow-alt:bottom-to-top">
              <w:txbxContent>
                <w:p>
                  <w:pPr>
                    <w:spacing w:before="13"/>
                    <w:ind w:left="20" w:right="0" w:firstLine="0"/>
                    <w:jc w:val="left"/>
                    <w:rPr>
                      <w:sz w:val="14"/>
                    </w:rPr>
                  </w:pPr>
                  <w:r>
                    <w:rPr>
                      <w:color w:val="585858"/>
                      <w:sz w:val="14"/>
                    </w:rPr>
                    <w:t>jun-20</w:t>
                  </w:r>
                </w:p>
              </w:txbxContent>
            </v:textbox>
            <w10:wrap type="none"/>
          </v:shape>
        </w:pict>
      </w:r>
      <w:r>
        <w:rPr/>
        <w:pict>
          <v:shape style="position:absolute;margin-left:422.947845pt;margin-top:-33.772354pt;width:9.75pt;height:19.9pt;mso-position-horizontal-relative:page;mso-position-vertical-relative:paragraph;z-index:252198912" type="#_x0000_t202" filled="false" stroked="false">
            <v:textbox inset="0,0,0,0" style="layout-flow:vertical;mso-layout-flow-alt:bottom-to-top">
              <w:txbxContent>
                <w:p>
                  <w:pPr>
                    <w:spacing w:before="13"/>
                    <w:ind w:left="20" w:right="0" w:firstLine="0"/>
                    <w:jc w:val="left"/>
                    <w:rPr>
                      <w:sz w:val="14"/>
                    </w:rPr>
                  </w:pPr>
                  <w:r>
                    <w:rPr>
                      <w:color w:val="585858"/>
                      <w:sz w:val="14"/>
                    </w:rPr>
                    <w:t>dic-20</w:t>
                  </w:r>
                </w:p>
              </w:txbxContent>
            </v:textbox>
            <w10:wrap type="none"/>
          </v:shape>
        </w:pict>
      </w:r>
      <w:r>
        <w:rPr/>
        <w:pict>
          <v:shape style="position:absolute;margin-left:449.257843pt;margin-top:-33.831848pt;width:9.75pt;height:20.350pt;mso-position-horizontal-relative:page;mso-position-vertical-relative:paragraph;z-index:252199936" type="#_x0000_t202" filled="false" stroked="false">
            <v:textbox inset="0,0,0,0" style="layout-flow:vertical;mso-layout-flow-alt:bottom-to-top">
              <w:txbxContent>
                <w:p>
                  <w:pPr>
                    <w:spacing w:before="13"/>
                    <w:ind w:left="20" w:right="0" w:firstLine="0"/>
                    <w:jc w:val="left"/>
                    <w:rPr>
                      <w:sz w:val="14"/>
                    </w:rPr>
                  </w:pPr>
                  <w:r>
                    <w:rPr>
                      <w:color w:val="585858"/>
                      <w:sz w:val="14"/>
                    </w:rPr>
                    <w:t>jun-21</w:t>
                  </w:r>
                </w:p>
              </w:txbxContent>
            </v:textbox>
            <w10:wrap type="none"/>
          </v:shape>
        </w:pict>
      </w:r>
      <w:r>
        <w:rPr/>
        <w:pict>
          <v:shape style="position:absolute;margin-left:475.537842pt;margin-top:-33.772354pt;width:9.75pt;height:19.9pt;mso-position-horizontal-relative:page;mso-position-vertical-relative:paragraph;z-index:252200960" type="#_x0000_t202" filled="false" stroked="false">
            <v:textbox inset="0,0,0,0" style="layout-flow:vertical;mso-layout-flow-alt:bottom-to-top">
              <w:txbxContent>
                <w:p>
                  <w:pPr>
                    <w:spacing w:before="13"/>
                    <w:ind w:left="20" w:right="0" w:firstLine="0"/>
                    <w:jc w:val="left"/>
                    <w:rPr>
                      <w:sz w:val="14"/>
                    </w:rPr>
                  </w:pPr>
                  <w:r>
                    <w:rPr>
                      <w:color w:val="585858"/>
                      <w:sz w:val="14"/>
                    </w:rPr>
                    <w:t>dic-21</w:t>
                  </w:r>
                </w:p>
              </w:txbxContent>
            </v:textbox>
            <w10:wrap type="none"/>
          </v:shape>
        </w:pict>
      </w:r>
      <w:r>
        <w:rPr/>
        <w:pict>
          <v:shape style="position:absolute;margin-left:501.83786pt;margin-top:-33.831848pt;width:9.75pt;height:20.350pt;mso-position-horizontal-relative:page;mso-position-vertical-relative:paragraph;z-index:252201984" type="#_x0000_t202" filled="false" stroked="false">
            <v:textbox inset="0,0,0,0" style="layout-flow:vertical;mso-layout-flow-alt:bottom-to-top">
              <w:txbxContent>
                <w:p>
                  <w:pPr>
                    <w:spacing w:before="13"/>
                    <w:ind w:left="20" w:right="0" w:firstLine="0"/>
                    <w:jc w:val="left"/>
                    <w:rPr>
                      <w:sz w:val="14"/>
                    </w:rPr>
                  </w:pPr>
                  <w:r>
                    <w:rPr>
                      <w:color w:val="585858"/>
                      <w:sz w:val="14"/>
                    </w:rPr>
                    <w:t>jun-22</w:t>
                  </w:r>
                </w:p>
              </w:txbxContent>
            </v:textbox>
            <w10:wrap type="none"/>
          </v:shape>
        </w:pict>
      </w:r>
      <w:r>
        <w:rPr>
          <w:sz w:val="16"/>
        </w:rPr>
        <w:t>Fuente: Banco</w:t>
      </w:r>
      <w:r>
        <w:rPr>
          <w:spacing w:val="-8"/>
          <w:sz w:val="16"/>
        </w:rPr>
        <w:t> </w:t>
      </w:r>
      <w:r>
        <w:rPr>
          <w:sz w:val="16"/>
        </w:rPr>
        <w:t>de</w:t>
      </w:r>
      <w:r>
        <w:rPr>
          <w:spacing w:val="-4"/>
          <w:sz w:val="16"/>
        </w:rPr>
        <w:t> </w:t>
      </w:r>
      <w:r>
        <w:rPr>
          <w:sz w:val="16"/>
        </w:rPr>
        <w:t>Guatemala</w:t>
        <w:tab/>
        <w:t>Fuente: Banco de</w:t>
      </w:r>
      <w:r>
        <w:rPr>
          <w:spacing w:val="-2"/>
          <w:sz w:val="16"/>
        </w:rPr>
        <w:t> </w:t>
      </w:r>
      <w:r>
        <w:rPr>
          <w:sz w:val="16"/>
        </w:rPr>
        <w:t>Guatemala</w:t>
      </w:r>
    </w:p>
    <w:p>
      <w:pPr>
        <w:pStyle w:val="BodyText"/>
        <w:rPr>
          <w:sz w:val="18"/>
        </w:rPr>
      </w:pPr>
    </w:p>
    <w:p>
      <w:pPr>
        <w:pStyle w:val="BodyText"/>
        <w:spacing w:line="276" w:lineRule="auto" w:before="107"/>
        <w:ind w:left="562" w:right="1695"/>
        <w:jc w:val="both"/>
      </w:pPr>
      <w:r>
        <w:rPr/>
        <w:t>Los medios de pago totales muestran una tasa de variación interanual de 11.2% a junio del 2022, menor al crecimiento de 16.2% del mismo mes del año pasado. Esto refleja un proceso </w:t>
      </w:r>
      <w:r>
        <w:rPr>
          <w:spacing w:val="-3"/>
        </w:rPr>
        <w:t>de </w:t>
      </w:r>
      <w:r>
        <w:rPr/>
        <w:t>estabilización del comportamiento de la actividad económica. Esto está en línea con el comportamiento</w:t>
      </w:r>
      <w:r>
        <w:rPr>
          <w:spacing w:val="-10"/>
        </w:rPr>
        <w:t> </w:t>
      </w:r>
      <w:r>
        <w:rPr/>
        <w:t>del</w:t>
      </w:r>
      <w:r>
        <w:rPr>
          <w:spacing w:val="-5"/>
        </w:rPr>
        <w:t> </w:t>
      </w:r>
      <w:r>
        <w:rPr/>
        <w:t>numerario</w:t>
      </w:r>
      <w:r>
        <w:rPr>
          <w:spacing w:val="-9"/>
        </w:rPr>
        <w:t> </w:t>
      </w:r>
      <w:r>
        <w:rPr/>
        <w:t>en</w:t>
      </w:r>
      <w:r>
        <w:rPr>
          <w:spacing w:val="-9"/>
        </w:rPr>
        <w:t> </w:t>
      </w:r>
      <w:r>
        <w:rPr/>
        <w:t>circulación</w:t>
      </w:r>
      <w:r>
        <w:rPr>
          <w:spacing w:val="-9"/>
        </w:rPr>
        <w:t> </w:t>
      </w:r>
      <w:r>
        <w:rPr/>
        <w:t>con</w:t>
      </w:r>
      <w:r>
        <w:rPr>
          <w:spacing w:val="-6"/>
        </w:rPr>
        <w:t> </w:t>
      </w:r>
      <w:r>
        <w:rPr/>
        <w:t>una</w:t>
      </w:r>
      <w:r>
        <w:rPr>
          <w:spacing w:val="-9"/>
        </w:rPr>
        <w:t> </w:t>
      </w:r>
      <w:r>
        <w:rPr/>
        <w:t>tendencia</w:t>
      </w:r>
      <w:r>
        <w:rPr>
          <w:spacing w:val="-6"/>
        </w:rPr>
        <w:t> </w:t>
      </w:r>
      <w:r>
        <w:rPr/>
        <w:t>de</w:t>
      </w:r>
      <w:r>
        <w:rPr>
          <w:spacing w:val="-8"/>
        </w:rPr>
        <w:t> </w:t>
      </w:r>
      <w:r>
        <w:rPr/>
        <w:t>estabilización</w:t>
      </w:r>
      <w:r>
        <w:rPr>
          <w:spacing w:val="-9"/>
        </w:rPr>
        <w:t> </w:t>
      </w:r>
      <w:r>
        <w:rPr/>
        <w:t>de</w:t>
      </w:r>
      <w:r>
        <w:rPr>
          <w:spacing w:val="-6"/>
        </w:rPr>
        <w:t> </w:t>
      </w:r>
      <w:r>
        <w:rPr/>
        <w:t>los</w:t>
      </w:r>
      <w:r>
        <w:rPr>
          <w:spacing w:val="-8"/>
        </w:rPr>
        <w:t> </w:t>
      </w:r>
      <w:r>
        <w:rPr/>
        <w:t>depósitos</w:t>
      </w:r>
      <w:r>
        <w:rPr>
          <w:spacing w:val="-9"/>
        </w:rPr>
        <w:t> </w:t>
      </w:r>
      <w:r>
        <w:rPr/>
        <w:t>en los bancos comerciales en total registraron un crecimiento de 10.4% en junio del 2022 menor en 5.4 puntos porcentuales de los registrado en junio del año</w:t>
      </w:r>
      <w:r>
        <w:rPr>
          <w:spacing w:val="-12"/>
        </w:rPr>
        <w:t> </w:t>
      </w:r>
      <w:r>
        <w:rPr/>
        <w:t>anterior.</w:t>
      </w:r>
    </w:p>
    <w:p>
      <w:pPr>
        <w:pStyle w:val="BodyText"/>
        <w:spacing w:before="2"/>
        <w:rPr>
          <w:sz w:val="25"/>
        </w:rPr>
      </w:pPr>
    </w:p>
    <w:p>
      <w:pPr>
        <w:pStyle w:val="BodyText"/>
        <w:spacing w:line="276" w:lineRule="auto" w:before="1"/>
        <w:ind w:left="562" w:right="1696"/>
        <w:jc w:val="both"/>
      </w:pPr>
      <w:r>
        <w:rPr/>
        <w:t>La tasa activa promedio ponderada de moneda nacional para junio de 2022 mostraba un valor de 11.98%,</w:t>
      </w:r>
      <w:r>
        <w:rPr>
          <w:spacing w:val="-9"/>
        </w:rPr>
        <w:t> </w:t>
      </w:r>
      <w:r>
        <w:rPr/>
        <w:t>manteniéndose</w:t>
      </w:r>
      <w:r>
        <w:rPr>
          <w:spacing w:val="-8"/>
        </w:rPr>
        <w:t> </w:t>
      </w:r>
      <w:r>
        <w:rPr/>
        <w:t>levemente</w:t>
      </w:r>
      <w:r>
        <w:rPr>
          <w:spacing w:val="-6"/>
        </w:rPr>
        <w:t> </w:t>
      </w:r>
      <w:r>
        <w:rPr/>
        <w:t>superior</w:t>
      </w:r>
      <w:r>
        <w:rPr>
          <w:spacing w:val="-8"/>
        </w:rPr>
        <w:t> </w:t>
      </w:r>
      <w:r>
        <w:rPr/>
        <w:t>al</w:t>
      </w:r>
      <w:r>
        <w:rPr>
          <w:spacing w:val="-5"/>
        </w:rPr>
        <w:t> </w:t>
      </w:r>
      <w:r>
        <w:rPr/>
        <w:t>valor</w:t>
      </w:r>
      <w:r>
        <w:rPr>
          <w:spacing w:val="-5"/>
        </w:rPr>
        <w:t> </w:t>
      </w:r>
      <w:r>
        <w:rPr/>
        <w:t>de</w:t>
      </w:r>
      <w:r>
        <w:rPr>
          <w:spacing w:val="-8"/>
        </w:rPr>
        <w:t> </w:t>
      </w:r>
      <w:r>
        <w:rPr/>
        <w:t>cierre</w:t>
      </w:r>
      <w:r>
        <w:rPr>
          <w:spacing w:val="-8"/>
        </w:rPr>
        <w:t> </w:t>
      </w:r>
      <w:r>
        <w:rPr/>
        <w:t>del</w:t>
      </w:r>
      <w:r>
        <w:rPr>
          <w:spacing w:val="-5"/>
        </w:rPr>
        <w:t> </w:t>
      </w:r>
      <w:r>
        <w:rPr/>
        <w:t>2021.</w:t>
      </w:r>
      <w:r>
        <w:rPr>
          <w:spacing w:val="-6"/>
        </w:rPr>
        <w:t> </w:t>
      </w:r>
      <w:r>
        <w:rPr/>
        <w:t>Por</w:t>
      </w:r>
      <w:r>
        <w:rPr>
          <w:spacing w:val="-8"/>
        </w:rPr>
        <w:t> </w:t>
      </w:r>
      <w:r>
        <w:rPr/>
        <w:t>su</w:t>
      </w:r>
      <w:r>
        <w:rPr>
          <w:spacing w:val="-8"/>
        </w:rPr>
        <w:t> </w:t>
      </w:r>
      <w:r>
        <w:rPr/>
        <w:t>lado,</w:t>
      </w:r>
      <w:r>
        <w:rPr>
          <w:spacing w:val="-9"/>
        </w:rPr>
        <w:t> </w:t>
      </w:r>
      <w:r>
        <w:rPr/>
        <w:t>la</w:t>
      </w:r>
      <w:r>
        <w:rPr>
          <w:spacing w:val="-8"/>
        </w:rPr>
        <w:t> </w:t>
      </w:r>
      <w:r>
        <w:rPr/>
        <w:t>tasa</w:t>
      </w:r>
      <w:r>
        <w:rPr>
          <w:spacing w:val="-6"/>
        </w:rPr>
        <w:t> </w:t>
      </w:r>
      <w:r>
        <w:rPr/>
        <w:t>pasiva</w:t>
      </w:r>
      <w:r>
        <w:rPr>
          <w:spacing w:val="-6"/>
        </w:rPr>
        <w:t> </w:t>
      </w:r>
      <w:r>
        <w:rPr/>
        <w:t>fue de</w:t>
      </w:r>
      <w:r>
        <w:rPr>
          <w:spacing w:val="-4"/>
        </w:rPr>
        <w:t> </w:t>
      </w:r>
      <w:r>
        <w:rPr/>
        <w:t>3.88%</w:t>
      </w:r>
      <w:r>
        <w:rPr>
          <w:spacing w:val="-5"/>
        </w:rPr>
        <w:t> </w:t>
      </w:r>
      <w:r>
        <w:rPr/>
        <w:t>para</w:t>
      </w:r>
      <w:r>
        <w:rPr>
          <w:spacing w:val="-6"/>
        </w:rPr>
        <w:t> </w:t>
      </w:r>
      <w:r>
        <w:rPr/>
        <w:t>la</w:t>
      </w:r>
      <w:r>
        <w:rPr>
          <w:spacing w:val="-6"/>
        </w:rPr>
        <w:t> </w:t>
      </w:r>
      <w:r>
        <w:rPr/>
        <w:t>misma</w:t>
      </w:r>
      <w:r>
        <w:rPr>
          <w:spacing w:val="-3"/>
        </w:rPr>
        <w:t> </w:t>
      </w:r>
      <w:r>
        <w:rPr/>
        <w:t>fecha</w:t>
      </w:r>
      <w:r>
        <w:rPr>
          <w:spacing w:val="-3"/>
        </w:rPr>
        <w:t> </w:t>
      </w:r>
      <w:r>
        <w:rPr/>
        <w:t>y</w:t>
      </w:r>
      <w:r>
        <w:rPr>
          <w:spacing w:val="-6"/>
        </w:rPr>
        <w:t> </w:t>
      </w:r>
      <w:r>
        <w:rPr/>
        <w:t>mostró</w:t>
      </w:r>
      <w:r>
        <w:rPr>
          <w:spacing w:val="-6"/>
        </w:rPr>
        <w:t> </w:t>
      </w:r>
      <w:r>
        <w:rPr/>
        <w:t>un</w:t>
      </w:r>
      <w:r>
        <w:rPr>
          <w:spacing w:val="-6"/>
        </w:rPr>
        <w:t> </w:t>
      </w:r>
      <w:r>
        <w:rPr/>
        <w:t>decremento</w:t>
      </w:r>
      <w:r>
        <w:rPr>
          <w:spacing w:val="-6"/>
        </w:rPr>
        <w:t> </w:t>
      </w:r>
      <w:r>
        <w:rPr/>
        <w:t>de 11</w:t>
      </w:r>
      <w:r>
        <w:rPr>
          <w:spacing w:val="-6"/>
        </w:rPr>
        <w:t> </w:t>
      </w:r>
      <w:r>
        <w:rPr/>
        <w:t>puntos</w:t>
      </w:r>
      <w:r>
        <w:rPr>
          <w:spacing w:val="-6"/>
        </w:rPr>
        <w:t> </w:t>
      </w:r>
      <w:r>
        <w:rPr/>
        <w:t>básicos</w:t>
      </w:r>
      <w:r>
        <w:rPr>
          <w:spacing w:val="-5"/>
        </w:rPr>
        <w:t> </w:t>
      </w:r>
      <w:r>
        <w:rPr/>
        <w:t>con</w:t>
      </w:r>
      <w:r>
        <w:rPr>
          <w:spacing w:val="-6"/>
        </w:rPr>
        <w:t> </w:t>
      </w:r>
      <w:r>
        <w:rPr/>
        <w:t>respecto</w:t>
      </w:r>
      <w:r>
        <w:rPr>
          <w:spacing w:val="-6"/>
        </w:rPr>
        <w:t> </w:t>
      </w:r>
      <w:r>
        <w:rPr/>
        <w:t>su</w:t>
      </w:r>
      <w:r>
        <w:rPr>
          <w:spacing w:val="-3"/>
        </w:rPr>
        <w:t> </w:t>
      </w:r>
      <w:r>
        <w:rPr/>
        <w:t>valor</w:t>
      </w:r>
      <w:r>
        <w:rPr>
          <w:spacing w:val="-5"/>
        </w:rPr>
        <w:t> </w:t>
      </w:r>
      <w:r>
        <w:rPr/>
        <w:t>de final de año de 2021. En lo que respecta a las tasas activa y pasiva en moneda extranjera mostraron valores de 5.52% y 2.64% para junio del 2022, respectivamente. Las tasas nacionales han tenido un comportamiento levemente hacia la baja y ante la expectativa y aumento de la tasa líder de política monetaria</w:t>
      </w:r>
      <w:r>
        <w:rPr>
          <w:spacing w:val="-6"/>
        </w:rPr>
        <w:t> </w:t>
      </w:r>
      <w:r>
        <w:rPr/>
        <w:t>ante</w:t>
      </w:r>
      <w:r>
        <w:rPr>
          <w:spacing w:val="-8"/>
        </w:rPr>
        <w:t> </w:t>
      </w:r>
      <w:r>
        <w:rPr/>
        <w:t>la</w:t>
      </w:r>
      <w:r>
        <w:rPr>
          <w:spacing w:val="-6"/>
        </w:rPr>
        <w:t> </w:t>
      </w:r>
      <w:r>
        <w:rPr/>
        <w:t>expectativa</w:t>
      </w:r>
      <w:r>
        <w:rPr>
          <w:spacing w:val="-6"/>
        </w:rPr>
        <w:t> </w:t>
      </w:r>
      <w:r>
        <w:rPr/>
        <w:t>de</w:t>
      </w:r>
      <w:r>
        <w:rPr>
          <w:spacing w:val="-6"/>
        </w:rPr>
        <w:t> </w:t>
      </w:r>
      <w:r>
        <w:rPr/>
        <w:t>una</w:t>
      </w:r>
      <w:r>
        <w:rPr>
          <w:spacing w:val="-6"/>
        </w:rPr>
        <w:t> </w:t>
      </w:r>
      <w:r>
        <w:rPr/>
        <w:t>presión</w:t>
      </w:r>
      <w:r>
        <w:rPr>
          <w:spacing w:val="-6"/>
        </w:rPr>
        <w:t> </w:t>
      </w:r>
      <w:r>
        <w:rPr/>
        <w:t>inflacionaria</w:t>
      </w:r>
      <w:r>
        <w:rPr>
          <w:spacing w:val="-6"/>
        </w:rPr>
        <w:t> </w:t>
      </w:r>
      <w:r>
        <w:rPr/>
        <w:t>derivado</w:t>
      </w:r>
      <w:r>
        <w:rPr>
          <w:spacing w:val="-3"/>
        </w:rPr>
        <w:t> </w:t>
      </w:r>
      <w:r>
        <w:rPr/>
        <w:t>-entre</w:t>
      </w:r>
      <w:r>
        <w:rPr>
          <w:spacing w:val="-6"/>
        </w:rPr>
        <w:t> </w:t>
      </w:r>
      <w:r>
        <w:rPr/>
        <w:t>otros-</w:t>
      </w:r>
      <w:r>
        <w:rPr>
          <w:spacing w:val="-10"/>
        </w:rPr>
        <w:t> </w:t>
      </w:r>
      <w:r>
        <w:rPr/>
        <w:t>al</w:t>
      </w:r>
      <w:r>
        <w:rPr>
          <w:spacing w:val="-5"/>
        </w:rPr>
        <w:t> </w:t>
      </w:r>
      <w:r>
        <w:rPr/>
        <w:t>excesivo</w:t>
      </w:r>
      <w:r>
        <w:rPr>
          <w:spacing w:val="-6"/>
        </w:rPr>
        <w:t> </w:t>
      </w:r>
      <w:r>
        <w:rPr/>
        <w:t>aumento del</w:t>
      </w:r>
      <w:r>
        <w:rPr>
          <w:spacing w:val="-5"/>
        </w:rPr>
        <w:t> </w:t>
      </w:r>
      <w:r>
        <w:rPr/>
        <w:t>precio</w:t>
      </w:r>
      <w:r>
        <w:rPr>
          <w:spacing w:val="-6"/>
        </w:rPr>
        <w:t> </w:t>
      </w:r>
      <w:r>
        <w:rPr/>
        <w:t>del</w:t>
      </w:r>
      <w:r>
        <w:rPr>
          <w:spacing w:val="-3"/>
        </w:rPr>
        <w:t> </w:t>
      </w:r>
      <w:r>
        <w:rPr/>
        <w:t>petróleo</w:t>
      </w:r>
      <w:r>
        <w:rPr>
          <w:spacing w:val="-3"/>
        </w:rPr>
        <w:t> </w:t>
      </w:r>
      <w:r>
        <w:rPr/>
        <w:t>y</w:t>
      </w:r>
      <w:r>
        <w:rPr>
          <w:spacing w:val="-6"/>
        </w:rPr>
        <w:t> </w:t>
      </w:r>
      <w:r>
        <w:rPr/>
        <w:t>la</w:t>
      </w:r>
      <w:r>
        <w:rPr>
          <w:spacing w:val="-7"/>
        </w:rPr>
        <w:t> </w:t>
      </w:r>
      <w:r>
        <w:rPr/>
        <w:t>guerra</w:t>
      </w:r>
      <w:r>
        <w:rPr>
          <w:spacing w:val="-6"/>
        </w:rPr>
        <w:t> </w:t>
      </w:r>
      <w:r>
        <w:rPr/>
        <w:t>en</w:t>
      </w:r>
      <w:r>
        <w:rPr>
          <w:spacing w:val="-1"/>
        </w:rPr>
        <w:t> </w:t>
      </w:r>
      <w:r>
        <w:rPr/>
        <w:t>Ucrania,</w:t>
      </w:r>
      <w:r>
        <w:rPr>
          <w:spacing w:val="-5"/>
        </w:rPr>
        <w:t> </w:t>
      </w:r>
      <w:r>
        <w:rPr/>
        <w:t>así</w:t>
      </w:r>
      <w:r>
        <w:rPr>
          <w:spacing w:val="-3"/>
        </w:rPr>
        <w:t> </w:t>
      </w:r>
      <w:r>
        <w:rPr/>
        <w:t>como</w:t>
      </w:r>
      <w:r>
        <w:rPr>
          <w:spacing w:val="-3"/>
        </w:rPr>
        <w:t> </w:t>
      </w:r>
      <w:r>
        <w:rPr/>
        <w:t>del</w:t>
      </w:r>
      <w:r>
        <w:rPr>
          <w:spacing w:val="-3"/>
        </w:rPr>
        <w:t> </w:t>
      </w:r>
      <w:r>
        <w:rPr/>
        <w:t>aumento</w:t>
      </w:r>
      <w:r>
        <w:rPr>
          <w:spacing w:val="-6"/>
        </w:rPr>
        <w:t> </w:t>
      </w:r>
      <w:r>
        <w:rPr/>
        <w:t>de</w:t>
      </w:r>
      <w:r>
        <w:rPr>
          <w:spacing w:val="-6"/>
        </w:rPr>
        <w:t> </w:t>
      </w:r>
      <w:r>
        <w:rPr/>
        <w:t>la</w:t>
      </w:r>
      <w:r>
        <w:rPr>
          <w:spacing w:val="-6"/>
        </w:rPr>
        <w:t> </w:t>
      </w:r>
      <w:r>
        <w:rPr/>
        <w:t>tasa</w:t>
      </w:r>
      <w:r>
        <w:rPr>
          <w:spacing w:val="-5"/>
        </w:rPr>
        <w:t> </w:t>
      </w:r>
      <w:r>
        <w:rPr/>
        <w:t>de</w:t>
      </w:r>
      <w:r>
        <w:rPr>
          <w:spacing w:val="-6"/>
        </w:rPr>
        <w:t> </w:t>
      </w:r>
      <w:r>
        <w:rPr/>
        <w:t>interés</w:t>
      </w:r>
      <w:r>
        <w:rPr>
          <w:spacing w:val="-3"/>
        </w:rPr>
        <w:t> </w:t>
      </w:r>
      <w:r>
        <w:rPr/>
        <w:t>por</w:t>
      </w:r>
      <w:r>
        <w:rPr>
          <w:spacing w:val="-3"/>
        </w:rPr>
        <w:t> </w:t>
      </w:r>
      <w:r>
        <w:rPr/>
        <w:t>parte</w:t>
      </w:r>
      <w:r>
        <w:rPr>
          <w:spacing w:val="-6"/>
        </w:rPr>
        <w:t> </w:t>
      </w:r>
      <w:r>
        <w:rPr/>
        <w:t>de la FED para frenar la inflación y proteger el dólar, dichos aumentos fueron desde mayo del 2022. Es importante indicar que estas tasas activas publicadas por el Banco de Guatemala no incluyen los rubros de préstamos con tarjeta de crédito y las pasivas no incluyen el rubro de depósitos a la</w:t>
      </w:r>
      <w:r>
        <w:rPr>
          <w:spacing w:val="-27"/>
        </w:rPr>
        <w:t> </w:t>
      </w:r>
      <w:r>
        <w:rPr/>
        <w:t>vista.</w:t>
      </w:r>
    </w:p>
    <w:p>
      <w:pPr>
        <w:pStyle w:val="BodyText"/>
        <w:spacing w:before="4"/>
        <w:rPr>
          <w:sz w:val="25"/>
        </w:rPr>
      </w:pPr>
    </w:p>
    <w:p>
      <w:pPr>
        <w:pStyle w:val="BodyText"/>
        <w:spacing w:line="276" w:lineRule="auto"/>
        <w:ind w:left="562" w:right="1696"/>
        <w:jc w:val="both"/>
      </w:pPr>
      <w:r>
        <w:rPr/>
        <w:t>En esta línea de ideas los agregados monetarios están proyectándose a la normalidad por lo que </w:t>
      </w:r>
      <w:r>
        <w:rPr>
          <w:spacing w:val="-3"/>
        </w:rPr>
        <w:t>se </w:t>
      </w:r>
      <w:r>
        <w:rPr/>
        <w:t>espera</w:t>
      </w:r>
      <w:r>
        <w:rPr>
          <w:spacing w:val="-7"/>
        </w:rPr>
        <w:t> </w:t>
      </w:r>
      <w:r>
        <w:rPr/>
        <w:t>que</w:t>
      </w:r>
      <w:r>
        <w:rPr>
          <w:spacing w:val="-8"/>
        </w:rPr>
        <w:t> </w:t>
      </w:r>
      <w:r>
        <w:rPr/>
        <w:t>los</w:t>
      </w:r>
      <w:r>
        <w:rPr>
          <w:spacing w:val="-6"/>
        </w:rPr>
        <w:t> </w:t>
      </w:r>
      <w:r>
        <w:rPr/>
        <w:t>medios</w:t>
      </w:r>
      <w:r>
        <w:rPr>
          <w:spacing w:val="-8"/>
        </w:rPr>
        <w:t> </w:t>
      </w:r>
      <w:r>
        <w:rPr/>
        <w:t>de</w:t>
      </w:r>
      <w:r>
        <w:rPr>
          <w:spacing w:val="-8"/>
        </w:rPr>
        <w:t> </w:t>
      </w:r>
      <w:r>
        <w:rPr/>
        <w:t>pago</w:t>
      </w:r>
      <w:r>
        <w:rPr>
          <w:spacing w:val="-7"/>
        </w:rPr>
        <w:t> </w:t>
      </w:r>
      <w:r>
        <w:rPr/>
        <w:t>cierren</w:t>
      </w:r>
      <w:r>
        <w:rPr>
          <w:spacing w:val="-6"/>
        </w:rPr>
        <w:t> </w:t>
      </w:r>
      <w:r>
        <w:rPr/>
        <w:t>en</w:t>
      </w:r>
      <w:r>
        <w:rPr>
          <w:spacing w:val="-6"/>
        </w:rPr>
        <w:t> </w:t>
      </w:r>
      <w:r>
        <w:rPr/>
        <w:t>2022</w:t>
      </w:r>
      <w:r>
        <w:rPr>
          <w:spacing w:val="-7"/>
        </w:rPr>
        <w:t> </w:t>
      </w:r>
      <w:r>
        <w:rPr/>
        <w:t>entre</w:t>
      </w:r>
      <w:r>
        <w:rPr>
          <w:spacing w:val="-6"/>
        </w:rPr>
        <w:t> </w:t>
      </w:r>
      <w:r>
        <w:rPr/>
        <w:t>8.5%</w:t>
      </w:r>
      <w:r>
        <w:rPr>
          <w:spacing w:val="-5"/>
        </w:rPr>
        <w:t> </w:t>
      </w:r>
      <w:r>
        <w:rPr/>
        <w:t>y</w:t>
      </w:r>
      <w:r>
        <w:rPr>
          <w:spacing w:val="-10"/>
        </w:rPr>
        <w:t> </w:t>
      </w:r>
      <w:r>
        <w:rPr/>
        <w:t>10.5%.</w:t>
      </w:r>
      <w:r>
        <w:rPr>
          <w:spacing w:val="43"/>
        </w:rPr>
        <w:t> </w:t>
      </w:r>
      <w:r>
        <w:rPr/>
        <w:t>Asimismo,</w:t>
      </w:r>
      <w:r>
        <w:rPr>
          <w:spacing w:val="-7"/>
        </w:rPr>
        <w:t> </w:t>
      </w:r>
      <w:r>
        <w:rPr/>
        <w:t>la</w:t>
      </w:r>
      <w:r>
        <w:rPr>
          <w:spacing w:val="-6"/>
        </w:rPr>
        <w:t> </w:t>
      </w:r>
      <w:r>
        <w:rPr/>
        <w:t>emisión</w:t>
      </w:r>
      <w:r>
        <w:rPr>
          <w:spacing w:val="-7"/>
        </w:rPr>
        <w:t> </w:t>
      </w:r>
      <w:r>
        <w:rPr/>
        <w:t>monetaria cerraría entre 9.0% y 12.0% y el crédito bancario al sector privado crecería interanualmente entre 8.0% y 11.0%, en dicho año. El comportamiento del crecimiento de las principales variables monetarias para el 2022 presentaran un nivel levemente menor a las obtenidas en el</w:t>
      </w:r>
      <w:r>
        <w:rPr>
          <w:spacing w:val="-11"/>
        </w:rPr>
        <w:t> </w:t>
      </w:r>
      <w:r>
        <w:rPr/>
        <w:t>2021.</w:t>
      </w:r>
    </w:p>
    <w:p>
      <w:pPr>
        <w:spacing w:after="0" w:line="276" w:lineRule="auto"/>
        <w:jc w:val="both"/>
        <w:sectPr>
          <w:type w:val="continuous"/>
          <w:pgSz w:w="12240" w:h="15840"/>
          <w:pgMar w:top="1500" w:bottom="280" w:left="1140" w:right="0"/>
        </w:sectPr>
      </w:pPr>
    </w:p>
    <w:p>
      <w:pPr>
        <w:spacing w:before="169"/>
        <w:ind w:left="1395" w:right="2537" w:firstLine="0"/>
        <w:jc w:val="center"/>
        <w:rPr>
          <w:b/>
          <w:sz w:val="20"/>
        </w:rPr>
      </w:pPr>
      <w:bookmarkStart w:name="_bookmark86" w:id="109"/>
      <w:bookmarkEnd w:id="109"/>
      <w:r>
        <w:rPr/>
      </w:r>
      <w:r>
        <w:rPr>
          <w:b/>
          <w:i/>
          <w:sz w:val="20"/>
        </w:rPr>
        <w:t>Gráfico 42. </w:t>
      </w:r>
      <w:r>
        <w:rPr>
          <w:b/>
          <w:sz w:val="20"/>
        </w:rPr>
        <w:t>Pronóstico del 2022, crecimiento de las principales variables monetarias</w:t>
      </w:r>
    </w:p>
    <w:p>
      <w:pPr>
        <w:pStyle w:val="Heading3"/>
        <w:spacing w:before="32"/>
        <w:ind w:left="1395" w:right="2528"/>
        <w:jc w:val="center"/>
      </w:pPr>
      <w:r>
        <w:rPr/>
        <w:t>(porcentaje)</w:t>
      </w:r>
    </w:p>
    <w:p>
      <w:pPr>
        <w:spacing w:before="148"/>
        <w:ind w:left="1593" w:right="0" w:firstLine="0"/>
        <w:jc w:val="left"/>
        <w:rPr>
          <w:sz w:val="18"/>
        </w:rPr>
      </w:pPr>
      <w:r>
        <w:rPr>
          <w:color w:val="585858"/>
          <w:sz w:val="18"/>
        </w:rPr>
        <w:t>25.0</w:t>
      </w:r>
    </w:p>
    <w:p>
      <w:pPr>
        <w:pStyle w:val="BodyText"/>
        <w:spacing w:before="6"/>
        <w:rPr>
          <w:sz w:val="19"/>
        </w:rPr>
      </w:pPr>
    </w:p>
    <w:p>
      <w:pPr>
        <w:spacing w:before="92"/>
        <w:ind w:left="1593" w:right="0" w:firstLine="0"/>
        <w:jc w:val="left"/>
        <w:rPr>
          <w:sz w:val="18"/>
        </w:rPr>
      </w:pPr>
      <w:r>
        <w:rPr/>
        <w:pict>
          <v:group style="position:absolute;margin-left:162.240005pt;margin-top:2.823332pt;width:310.95pt;height:112.8pt;mso-position-horizontal-relative:page;mso-position-vertical-relative:paragraph;z-index:252209152" coordorigin="3245,56" coordsize="6219,2256">
            <v:shape style="position:absolute;left:3855;top:1343;width:5099;height:970" type="#_x0000_t75" stroked="false">
              <v:imagedata r:id="rId43" o:title=""/>
            </v:shape>
            <v:shape style="position:absolute;left:3825;top:56;width:5129;height:1517" type="#_x0000_t75" stroked="false">
              <v:imagedata r:id="rId44" o:title=""/>
            </v:shape>
            <v:shape style="position:absolute;left:3866;top:1354;width:4976;height:944" coordorigin="3866,1355" coordsize="4976,944" path="m4697,1355l3866,1355,3866,2298,4697,2298,4697,1355m6768,1408l5940,1408,5940,2298,6768,2298,6768,1408m8842,1460l8011,1460,8011,2298,8842,2298,8842,1460e" filled="true" fillcolor="#001f5f" stroked="false">
              <v:path arrowok="t"/>
              <v:fill type="solid"/>
            </v:shape>
            <v:shape style="position:absolute;left:5940;top:308;width:2902;height:1152" coordorigin="5940,308" coordsize="2902,1152" path="m6768,308l5940,308,5940,1408,6768,1408,6768,308m8842,308l8011,308,8011,1460,8842,1460,8842,308e" filled="true" fillcolor="#ec7c30" stroked="false">
              <v:path arrowok="t"/>
              <v:fill type="solid"/>
            </v:shape>
            <v:line style="position:absolute" from="3245,2298" to="9463,2298" stroked="true" strokeweight=".72pt" strokecolor="#d9d9d9">
              <v:stroke dashstyle="solid"/>
            </v:line>
            <v:shape style="position:absolute;left:8011;top:1420;width:831;height:870" type="#_x0000_t202" filled="false" stroked="false">
              <v:textbox inset="0,0,0,0">
                <w:txbxContent>
                  <w:p>
                    <w:pPr>
                      <w:spacing w:line="240" w:lineRule="auto" w:before="0"/>
                      <w:rPr>
                        <w:sz w:val="20"/>
                      </w:rPr>
                    </w:pPr>
                  </w:p>
                  <w:p>
                    <w:pPr>
                      <w:spacing w:before="125"/>
                      <w:ind w:left="306" w:right="258" w:firstLine="0"/>
                      <w:jc w:val="center"/>
                      <w:rPr>
                        <w:b/>
                        <w:sz w:val="18"/>
                      </w:rPr>
                    </w:pPr>
                    <w:r>
                      <w:rPr>
                        <w:b/>
                        <w:color w:val="FFFFFF"/>
                        <w:sz w:val="18"/>
                      </w:rPr>
                      <w:t>8.0</w:t>
                    </w:r>
                  </w:p>
                </w:txbxContent>
              </v:textbox>
              <w10:wrap type="none"/>
            </v:shape>
            <v:shape style="position:absolute;left:5940;top:1420;width:828;height:870" type="#_x0000_t202" filled="false" stroked="false">
              <v:textbox inset="0,0,0,0">
                <w:txbxContent>
                  <w:p>
                    <w:pPr>
                      <w:spacing w:line="240" w:lineRule="auto" w:before="6"/>
                      <w:rPr>
                        <w:sz w:val="28"/>
                      </w:rPr>
                    </w:pPr>
                  </w:p>
                  <w:p>
                    <w:pPr>
                      <w:spacing w:before="1"/>
                      <w:ind w:left="305" w:right="258" w:firstLine="0"/>
                      <w:jc w:val="center"/>
                      <w:rPr>
                        <w:b/>
                        <w:sz w:val="18"/>
                      </w:rPr>
                    </w:pPr>
                    <w:r>
                      <w:rPr>
                        <w:b/>
                        <w:color w:val="FFFFFF"/>
                        <w:sz w:val="18"/>
                      </w:rPr>
                      <w:t>8.5</w:t>
                    </w:r>
                  </w:p>
                </w:txbxContent>
              </v:textbox>
              <w10:wrap type="none"/>
            </v:shape>
            <v:shape style="position:absolute;left:3866;top:1381;width:831;height:910" type="#_x0000_t202" filled="false" stroked="false">
              <v:textbox inset="0,0,0,0">
                <w:txbxContent>
                  <w:p>
                    <w:pPr>
                      <w:spacing w:line="240" w:lineRule="auto" w:before="9"/>
                      <w:rPr>
                        <w:sz w:val="29"/>
                      </w:rPr>
                    </w:pPr>
                  </w:p>
                  <w:p>
                    <w:pPr>
                      <w:spacing w:before="0"/>
                      <w:ind w:left="305" w:right="259" w:firstLine="0"/>
                      <w:jc w:val="center"/>
                      <w:rPr>
                        <w:b/>
                        <w:sz w:val="18"/>
                      </w:rPr>
                    </w:pPr>
                    <w:r>
                      <w:rPr>
                        <w:b/>
                        <w:color w:val="FFFFFF"/>
                        <w:sz w:val="18"/>
                      </w:rPr>
                      <w:t>9.0</w:t>
                    </w:r>
                  </w:p>
                </w:txbxContent>
              </v:textbox>
              <w10:wrap type="none"/>
            </v:shape>
            <v:shape style="position:absolute;left:8011;top:308;width:831;height:1113" type="#_x0000_t202" filled="false" stroked="false">
              <v:textbox inset="0,0,0,0">
                <w:txbxContent>
                  <w:p>
                    <w:pPr>
                      <w:spacing w:line="240" w:lineRule="auto" w:before="0"/>
                      <w:rPr>
                        <w:sz w:val="20"/>
                      </w:rPr>
                    </w:pPr>
                  </w:p>
                  <w:p>
                    <w:pPr>
                      <w:spacing w:line="240" w:lineRule="auto" w:before="0"/>
                      <w:rPr>
                        <w:sz w:val="21"/>
                      </w:rPr>
                    </w:pPr>
                  </w:p>
                  <w:p>
                    <w:pPr>
                      <w:spacing w:before="1"/>
                      <w:ind w:left="280" w:right="0" w:firstLine="0"/>
                      <w:jc w:val="left"/>
                      <w:rPr>
                        <w:b/>
                        <w:sz w:val="18"/>
                      </w:rPr>
                    </w:pPr>
                    <w:r>
                      <w:rPr>
                        <w:b/>
                        <w:color w:val="FFFFFF"/>
                        <w:sz w:val="18"/>
                      </w:rPr>
                      <w:t>11.0</w:t>
                    </w:r>
                  </w:p>
                </w:txbxContent>
              </v:textbox>
              <w10:wrap type="none"/>
            </v:shape>
            <v:shape style="position:absolute;left:5940;top:308;width:828;height:1113" type="#_x0000_t202" filled="false" stroked="false">
              <v:textbox inset="0,0,0,0">
                <w:txbxContent>
                  <w:p>
                    <w:pPr>
                      <w:spacing w:line="240" w:lineRule="auto" w:before="0"/>
                      <w:rPr>
                        <w:sz w:val="20"/>
                      </w:rPr>
                    </w:pPr>
                  </w:p>
                  <w:p>
                    <w:pPr>
                      <w:spacing w:line="240" w:lineRule="auto" w:before="9"/>
                      <w:rPr>
                        <w:sz w:val="18"/>
                      </w:rPr>
                    </w:pPr>
                  </w:p>
                  <w:p>
                    <w:pPr>
                      <w:spacing w:before="0"/>
                      <w:ind w:left="278" w:right="0" w:firstLine="0"/>
                      <w:jc w:val="left"/>
                      <w:rPr>
                        <w:b/>
                        <w:sz w:val="18"/>
                      </w:rPr>
                    </w:pPr>
                    <w:r>
                      <w:rPr>
                        <w:b/>
                        <w:color w:val="FFFFFF"/>
                        <w:sz w:val="18"/>
                      </w:rPr>
                      <w:t>10.5</w:t>
                    </w:r>
                  </w:p>
                </w:txbxContent>
              </v:textbox>
              <w10:wrap type="none"/>
            </v:shape>
            <v:shape style="position:absolute;left:3866;top:97;width:831;height:1284" type="#_x0000_t202" filled="true" fillcolor="#ec7c30" stroked="false">
              <v:textbox inset="0,0,0,0">
                <w:txbxContent>
                  <w:p>
                    <w:pPr>
                      <w:spacing w:line="240" w:lineRule="auto" w:before="0"/>
                      <w:rPr>
                        <w:sz w:val="20"/>
                      </w:rPr>
                    </w:pPr>
                  </w:p>
                  <w:p>
                    <w:pPr>
                      <w:spacing w:line="240" w:lineRule="auto" w:before="9"/>
                      <w:rPr>
                        <w:sz w:val="25"/>
                      </w:rPr>
                    </w:pPr>
                  </w:p>
                  <w:p>
                    <w:pPr>
                      <w:spacing w:before="0"/>
                      <w:ind w:left="279" w:right="0" w:firstLine="0"/>
                      <w:jc w:val="left"/>
                      <w:rPr>
                        <w:b/>
                        <w:sz w:val="18"/>
                      </w:rPr>
                    </w:pPr>
                    <w:r>
                      <w:rPr>
                        <w:b/>
                        <w:color w:val="FFFFFF"/>
                        <w:sz w:val="18"/>
                      </w:rPr>
                      <w:t>12.0</w:t>
                    </w:r>
                  </w:p>
                </w:txbxContent>
              </v:textbox>
              <v:fill type="solid"/>
              <w10:wrap type="none"/>
            </v:shape>
            <w10:wrap type="none"/>
          </v:group>
        </w:pict>
      </w:r>
      <w:r>
        <w:rPr>
          <w:color w:val="585858"/>
          <w:sz w:val="18"/>
        </w:rPr>
        <w:t>20.0</w:t>
      </w:r>
    </w:p>
    <w:p>
      <w:pPr>
        <w:pStyle w:val="BodyText"/>
        <w:spacing w:before="6"/>
        <w:rPr>
          <w:sz w:val="19"/>
        </w:rPr>
      </w:pPr>
    </w:p>
    <w:p>
      <w:pPr>
        <w:spacing w:before="92"/>
        <w:ind w:left="1593" w:right="0" w:firstLine="0"/>
        <w:jc w:val="left"/>
        <w:rPr>
          <w:sz w:val="18"/>
        </w:rPr>
      </w:pPr>
      <w:r>
        <w:rPr>
          <w:color w:val="585858"/>
          <w:sz w:val="18"/>
        </w:rPr>
        <w:t>15.0</w:t>
      </w:r>
    </w:p>
    <w:p>
      <w:pPr>
        <w:pStyle w:val="BodyText"/>
        <w:spacing w:before="6"/>
        <w:rPr>
          <w:sz w:val="19"/>
        </w:rPr>
      </w:pPr>
    </w:p>
    <w:p>
      <w:pPr>
        <w:spacing w:before="93"/>
        <w:ind w:left="1593" w:right="0" w:firstLine="0"/>
        <w:jc w:val="left"/>
        <w:rPr>
          <w:sz w:val="18"/>
        </w:rPr>
      </w:pPr>
      <w:r>
        <w:rPr>
          <w:color w:val="585858"/>
          <w:sz w:val="18"/>
        </w:rPr>
        <w:t>10.0</w:t>
      </w:r>
    </w:p>
    <w:p>
      <w:pPr>
        <w:pStyle w:val="BodyText"/>
        <w:spacing w:before="5"/>
        <w:rPr>
          <w:sz w:val="19"/>
        </w:rPr>
      </w:pPr>
    </w:p>
    <w:p>
      <w:pPr>
        <w:spacing w:before="93"/>
        <w:ind w:left="1683" w:right="0" w:firstLine="0"/>
        <w:jc w:val="left"/>
        <w:rPr>
          <w:sz w:val="18"/>
        </w:rPr>
      </w:pPr>
      <w:r>
        <w:rPr>
          <w:color w:val="585858"/>
          <w:sz w:val="18"/>
        </w:rPr>
        <w:t>5.0</w:t>
      </w:r>
    </w:p>
    <w:p>
      <w:pPr>
        <w:pStyle w:val="BodyText"/>
        <w:spacing w:before="5"/>
        <w:rPr>
          <w:sz w:val="19"/>
        </w:rPr>
      </w:pPr>
    </w:p>
    <w:p>
      <w:pPr>
        <w:spacing w:before="93"/>
        <w:ind w:left="1758" w:right="0" w:firstLine="0"/>
        <w:jc w:val="left"/>
        <w:rPr>
          <w:sz w:val="18"/>
        </w:rPr>
      </w:pPr>
      <w:r>
        <w:rPr>
          <w:color w:val="585858"/>
          <w:sz w:val="18"/>
        </w:rPr>
        <w:t>-</w:t>
      </w:r>
    </w:p>
    <w:p>
      <w:pPr>
        <w:tabs>
          <w:tab w:pos="4640" w:val="left" w:leader="none"/>
          <w:tab w:pos="5234" w:val="left" w:leader="none"/>
          <w:tab w:pos="6685" w:val="left" w:leader="none"/>
        </w:tabs>
        <w:spacing w:line="259" w:lineRule="auto" w:before="5"/>
        <w:ind w:left="4682" w:right="3210" w:hanging="2223"/>
        <w:jc w:val="left"/>
        <w:rPr>
          <w:sz w:val="18"/>
        </w:rPr>
      </w:pPr>
      <w:r>
        <w:rPr/>
        <w:pict>
          <v:rect style="position:absolute;margin-left:284.760010pt;margin-top:14.672324pt;width:4.440pt;height:4.560pt;mso-position-horizontal-relative:page;mso-position-vertical-relative:paragraph;z-index:-281109504" filled="true" fillcolor="#001f5f" stroked="false">
            <v:fill type="solid"/>
            <w10:wrap type="none"/>
          </v:rect>
        </w:pict>
      </w:r>
      <w:r>
        <w:rPr/>
        <w:pict>
          <v:rect style="position:absolute;margin-left:312.359985pt;margin-top:14.672324pt;width:4.440pt;height:4.560pt;mso-position-horizontal-relative:page;mso-position-vertical-relative:paragraph;z-index:-281108480" filled="true" fillcolor="#ec7c30" stroked="false">
            <v:fill type="solid"/>
            <w10:wrap type="none"/>
          </v:rect>
        </w:pict>
      </w:r>
      <w:r>
        <w:rPr>
          <w:color w:val="585858"/>
          <w:sz w:val="18"/>
        </w:rPr>
        <w:t>Emision</w:t>
      </w:r>
      <w:r>
        <w:rPr>
          <w:color w:val="585858"/>
          <w:spacing w:val="-3"/>
          <w:sz w:val="18"/>
        </w:rPr>
        <w:t> </w:t>
      </w:r>
      <w:r>
        <w:rPr>
          <w:color w:val="585858"/>
          <w:sz w:val="18"/>
        </w:rPr>
        <w:t>monetaria</w:t>
        <w:tab/>
        <w:t>Medios</w:t>
      </w:r>
      <w:r>
        <w:rPr>
          <w:color w:val="585858"/>
          <w:spacing w:val="-2"/>
          <w:sz w:val="18"/>
        </w:rPr>
        <w:t> </w:t>
      </w:r>
      <w:r>
        <w:rPr>
          <w:color w:val="585858"/>
          <w:sz w:val="18"/>
        </w:rPr>
        <w:t>de</w:t>
      </w:r>
      <w:r>
        <w:rPr>
          <w:color w:val="585858"/>
          <w:spacing w:val="-1"/>
          <w:sz w:val="18"/>
        </w:rPr>
        <w:t> </w:t>
      </w:r>
      <w:r>
        <w:rPr>
          <w:color w:val="585858"/>
          <w:sz w:val="18"/>
        </w:rPr>
        <w:t>pago</w:t>
        <w:tab/>
        <w:t>Crédito </w:t>
      </w:r>
      <w:r>
        <w:rPr>
          <w:color w:val="585858"/>
          <w:spacing w:val="-3"/>
          <w:sz w:val="18"/>
        </w:rPr>
        <w:t>bancario </w:t>
      </w:r>
      <w:r>
        <w:rPr>
          <w:color w:val="585858"/>
          <w:sz w:val="18"/>
        </w:rPr>
        <w:t>bajo</w:t>
        <w:tab/>
        <w:t>alto</w:t>
      </w:r>
    </w:p>
    <w:p>
      <w:pPr>
        <w:pStyle w:val="BodyText"/>
        <w:spacing w:before="4"/>
        <w:rPr>
          <w:sz w:val="24"/>
        </w:rPr>
      </w:pPr>
    </w:p>
    <w:p>
      <w:pPr>
        <w:spacing w:before="94"/>
        <w:ind w:left="1553" w:right="0" w:firstLine="0"/>
        <w:jc w:val="left"/>
        <w:rPr>
          <w:sz w:val="16"/>
        </w:rPr>
      </w:pPr>
      <w:r>
        <w:rPr>
          <w:sz w:val="16"/>
        </w:rPr>
        <w:t>Fuente: Dirección de Análisis Fiscal con información de BANGUAT, datos a noviembre del 2021</w:t>
      </w:r>
    </w:p>
    <w:p>
      <w:pPr>
        <w:pStyle w:val="BodyText"/>
        <w:rPr>
          <w:sz w:val="18"/>
        </w:rPr>
      </w:pPr>
    </w:p>
    <w:p>
      <w:pPr>
        <w:pStyle w:val="BodyText"/>
        <w:spacing w:before="8"/>
      </w:pPr>
    </w:p>
    <w:p>
      <w:pPr>
        <w:pStyle w:val="BodyText"/>
        <w:spacing w:line="276" w:lineRule="auto"/>
        <w:ind w:left="562" w:right="1692"/>
        <w:jc w:val="both"/>
      </w:pPr>
      <w:r>
        <w:rPr/>
        <w:t>En lo que respecta a la tasa de interés líder de política monetaria, la Junta Monetaria ha aumentado en 50 puntos básicos en dos tramos de 25 puntos básicos cada uno, dejando la tasa en 2.25% a</w:t>
      </w:r>
      <w:r>
        <w:rPr>
          <w:spacing w:val="-24"/>
        </w:rPr>
        <w:t> </w:t>
      </w:r>
      <w:r>
        <w:rPr/>
        <w:t>junio. Actualmente tiene como objetivo frenar la inflación y proteger la moneda, lo cual es congruente con períodos inusuales de inflación en la economía guatemalteca en los meses recientes del año, además las expectativas de inflación siguen sorprendiendo la meta fijada por el Banco Central, por lo que, ante variaciones de inflación y cambios en las tasas de la reserva federal de Estados Unidos, se continuaría con modificaciones al alza en la tasa de política en lo que resta del año. Asimismo, es de especial relevancia observar la reducción y estabilización del precio del petróleo después de haber tenido alzas muy fuertes por lo que en el mediano plazo tienden a la reducción y posteriormente a</w:t>
      </w:r>
      <w:r>
        <w:rPr>
          <w:spacing w:val="-35"/>
        </w:rPr>
        <w:t> </w:t>
      </w:r>
      <w:r>
        <w:rPr/>
        <w:t>su estabilización para lograr tener con ello un comportamiento más estable en la</w:t>
      </w:r>
      <w:r>
        <w:rPr>
          <w:spacing w:val="-13"/>
        </w:rPr>
        <w:t> </w:t>
      </w:r>
      <w:r>
        <w:rPr/>
        <w:t>inflación.</w:t>
      </w:r>
    </w:p>
    <w:p>
      <w:pPr>
        <w:pStyle w:val="BodyText"/>
        <w:spacing w:before="8"/>
        <w:rPr>
          <w:sz w:val="25"/>
        </w:rPr>
      </w:pPr>
    </w:p>
    <w:p>
      <w:pPr>
        <w:pStyle w:val="Heading2"/>
        <w:numPr>
          <w:ilvl w:val="1"/>
          <w:numId w:val="11"/>
        </w:numPr>
        <w:tabs>
          <w:tab w:pos="1050" w:val="left" w:leader="none"/>
        </w:tabs>
        <w:spacing w:line="240" w:lineRule="auto" w:before="1" w:after="0"/>
        <w:ind w:left="1049" w:right="0" w:hanging="421"/>
        <w:jc w:val="left"/>
      </w:pPr>
      <w:bookmarkStart w:name="_bookmark87" w:id="110"/>
      <w:bookmarkEnd w:id="110"/>
      <w:r>
        <w:rPr/>
        <w:t>S</w:t>
      </w:r>
      <w:r>
        <w:rPr/>
        <w:t>ector Externo</w:t>
      </w:r>
      <w:r>
        <w:rPr>
          <w:spacing w:val="-3"/>
        </w:rPr>
        <w:t> </w:t>
      </w:r>
      <w:r>
        <w:rPr/>
        <w:t>2022</w:t>
      </w:r>
    </w:p>
    <w:p>
      <w:pPr>
        <w:pStyle w:val="BodyText"/>
        <w:rPr>
          <w:b/>
          <w:sz w:val="30"/>
        </w:rPr>
      </w:pPr>
    </w:p>
    <w:p>
      <w:pPr>
        <w:pStyle w:val="BodyText"/>
        <w:spacing w:line="276" w:lineRule="auto"/>
        <w:ind w:left="562" w:right="1696"/>
        <w:jc w:val="both"/>
      </w:pPr>
      <w:r>
        <w:rPr/>
        <w:t>A</w:t>
      </w:r>
      <w:r>
        <w:rPr>
          <w:spacing w:val="-7"/>
        </w:rPr>
        <w:t> </w:t>
      </w:r>
      <w:r>
        <w:rPr/>
        <w:t>junio</w:t>
      </w:r>
      <w:r>
        <w:rPr>
          <w:spacing w:val="-6"/>
        </w:rPr>
        <w:t> </w:t>
      </w:r>
      <w:r>
        <w:rPr/>
        <w:t>de</w:t>
      </w:r>
      <w:r>
        <w:rPr>
          <w:spacing w:val="-6"/>
        </w:rPr>
        <w:t> </w:t>
      </w:r>
      <w:r>
        <w:rPr/>
        <w:t>2022</w:t>
      </w:r>
      <w:r>
        <w:rPr>
          <w:spacing w:val="-6"/>
        </w:rPr>
        <w:t> </w:t>
      </w:r>
      <w:r>
        <w:rPr/>
        <w:t>el</w:t>
      </w:r>
      <w:r>
        <w:rPr>
          <w:spacing w:val="-3"/>
        </w:rPr>
        <w:t> </w:t>
      </w:r>
      <w:r>
        <w:rPr/>
        <w:t>comercio</w:t>
      </w:r>
      <w:r>
        <w:rPr>
          <w:spacing w:val="-4"/>
        </w:rPr>
        <w:t> </w:t>
      </w:r>
      <w:r>
        <w:rPr/>
        <w:t>exterior</w:t>
      </w:r>
      <w:r>
        <w:rPr>
          <w:spacing w:val="-3"/>
        </w:rPr>
        <w:t> </w:t>
      </w:r>
      <w:r>
        <w:rPr/>
        <w:t>muestra</w:t>
      </w:r>
      <w:r>
        <w:rPr>
          <w:spacing w:val="-6"/>
        </w:rPr>
        <w:t> </w:t>
      </w:r>
      <w:r>
        <w:rPr/>
        <w:t>un</w:t>
      </w:r>
      <w:r>
        <w:rPr>
          <w:spacing w:val="-6"/>
        </w:rPr>
        <w:t> </w:t>
      </w:r>
      <w:r>
        <w:rPr/>
        <w:t>alto</w:t>
      </w:r>
      <w:r>
        <w:rPr>
          <w:spacing w:val="-6"/>
        </w:rPr>
        <w:t> </w:t>
      </w:r>
      <w:r>
        <w:rPr/>
        <w:t>dinamismo</w:t>
      </w:r>
      <w:r>
        <w:rPr>
          <w:spacing w:val="-4"/>
        </w:rPr>
        <w:t> </w:t>
      </w:r>
      <w:r>
        <w:rPr/>
        <w:t>por</w:t>
      </w:r>
      <w:r>
        <w:rPr>
          <w:spacing w:val="-5"/>
        </w:rPr>
        <w:t> </w:t>
      </w:r>
      <w:r>
        <w:rPr/>
        <w:t>la</w:t>
      </w:r>
      <w:r>
        <w:rPr>
          <w:spacing w:val="-6"/>
        </w:rPr>
        <w:t> </w:t>
      </w:r>
      <w:r>
        <w:rPr/>
        <w:t>normalización</w:t>
      </w:r>
      <w:r>
        <w:rPr>
          <w:spacing w:val="-6"/>
        </w:rPr>
        <w:t> </w:t>
      </w:r>
      <w:r>
        <w:rPr/>
        <w:t>de</w:t>
      </w:r>
      <w:r>
        <w:rPr>
          <w:spacing w:val="-6"/>
        </w:rPr>
        <w:t> </w:t>
      </w:r>
      <w:r>
        <w:rPr/>
        <w:t>la</w:t>
      </w:r>
      <w:r>
        <w:rPr>
          <w:spacing w:val="-6"/>
        </w:rPr>
        <w:t> </w:t>
      </w:r>
      <w:r>
        <w:rPr/>
        <w:t>demanda externa e interna que se ha observado desde el 2021. Asimismo, por el continuo aumento de precios de</w:t>
      </w:r>
      <w:r>
        <w:rPr>
          <w:spacing w:val="-7"/>
        </w:rPr>
        <w:t> </w:t>
      </w:r>
      <w:r>
        <w:rPr/>
        <w:t>los</w:t>
      </w:r>
      <w:r>
        <w:rPr>
          <w:spacing w:val="-6"/>
        </w:rPr>
        <w:t> </w:t>
      </w:r>
      <w:r>
        <w:rPr/>
        <w:t>combustibles</w:t>
      </w:r>
      <w:r>
        <w:rPr>
          <w:spacing w:val="-3"/>
        </w:rPr>
        <w:t> </w:t>
      </w:r>
      <w:r>
        <w:rPr/>
        <w:t>y</w:t>
      </w:r>
      <w:r>
        <w:rPr>
          <w:spacing w:val="-6"/>
        </w:rPr>
        <w:t> </w:t>
      </w:r>
      <w:r>
        <w:rPr/>
        <w:t>de</w:t>
      </w:r>
      <w:r>
        <w:rPr>
          <w:spacing w:val="-4"/>
        </w:rPr>
        <w:t> </w:t>
      </w:r>
      <w:r>
        <w:rPr/>
        <w:t>productos</w:t>
      </w:r>
      <w:r>
        <w:rPr>
          <w:spacing w:val="-6"/>
        </w:rPr>
        <w:t> </w:t>
      </w:r>
      <w:r>
        <w:rPr/>
        <w:t>agrícolas</w:t>
      </w:r>
      <w:r>
        <w:rPr>
          <w:spacing w:val="-4"/>
        </w:rPr>
        <w:t> </w:t>
      </w:r>
      <w:r>
        <w:rPr/>
        <w:t>cuya</w:t>
      </w:r>
      <w:r>
        <w:rPr>
          <w:spacing w:val="-4"/>
        </w:rPr>
        <w:t> </w:t>
      </w:r>
      <w:r>
        <w:rPr/>
        <w:t>oferta</w:t>
      </w:r>
      <w:r>
        <w:rPr>
          <w:spacing w:val="-6"/>
        </w:rPr>
        <w:t> </w:t>
      </w:r>
      <w:r>
        <w:rPr/>
        <w:t>ha</w:t>
      </w:r>
      <w:r>
        <w:rPr>
          <w:spacing w:val="-6"/>
        </w:rPr>
        <w:t> </w:t>
      </w:r>
      <w:r>
        <w:rPr/>
        <w:t>sido</w:t>
      </w:r>
      <w:r>
        <w:rPr>
          <w:spacing w:val="-4"/>
        </w:rPr>
        <w:t> </w:t>
      </w:r>
      <w:r>
        <w:rPr/>
        <w:t>afectada</w:t>
      </w:r>
      <w:r>
        <w:rPr>
          <w:spacing w:val="-7"/>
        </w:rPr>
        <w:t> </w:t>
      </w:r>
      <w:r>
        <w:rPr/>
        <w:t>por</w:t>
      </w:r>
      <w:r>
        <w:rPr>
          <w:spacing w:val="-5"/>
        </w:rPr>
        <w:t> </w:t>
      </w:r>
      <w:r>
        <w:rPr/>
        <w:t>el</w:t>
      </w:r>
      <w:r>
        <w:rPr>
          <w:spacing w:val="-5"/>
        </w:rPr>
        <w:t> </w:t>
      </w:r>
      <w:r>
        <w:rPr/>
        <w:t>conflicto</w:t>
      </w:r>
      <w:r>
        <w:rPr>
          <w:spacing w:val="-6"/>
        </w:rPr>
        <w:t> </w:t>
      </w:r>
      <w:r>
        <w:rPr/>
        <w:t>entre</w:t>
      </w:r>
      <w:r>
        <w:rPr>
          <w:spacing w:val="-7"/>
        </w:rPr>
        <w:t> </w:t>
      </w:r>
      <w:r>
        <w:rPr/>
        <w:t>Rusia y Ucrania. De tal manera que las exportaciones FOB presentan a la fecha un crecimiento interanual acumulado de 25.2% y las importaciones CIF un crecimiento de 34.2%. Además, esto se explica</w:t>
      </w:r>
      <w:r>
        <w:rPr>
          <w:spacing w:val="-32"/>
        </w:rPr>
        <w:t> </w:t>
      </w:r>
      <w:r>
        <w:rPr/>
        <w:t>por el incremento en los precios medios de las exportaciones (14.5%) e importaciones</w:t>
      </w:r>
      <w:r>
        <w:rPr>
          <w:spacing w:val="-16"/>
        </w:rPr>
        <w:t> </w:t>
      </w:r>
      <w:r>
        <w:rPr/>
        <w:t>(26.8%).</w:t>
      </w:r>
    </w:p>
    <w:p>
      <w:pPr>
        <w:pStyle w:val="BodyText"/>
        <w:spacing w:before="2"/>
        <w:rPr>
          <w:sz w:val="25"/>
        </w:rPr>
      </w:pPr>
    </w:p>
    <w:p>
      <w:pPr>
        <w:pStyle w:val="BodyText"/>
        <w:spacing w:line="276" w:lineRule="auto" w:before="1"/>
        <w:ind w:left="562" w:right="1695"/>
        <w:jc w:val="both"/>
      </w:pPr>
      <w:r>
        <w:rPr/>
        <w:t>Entre</w:t>
      </w:r>
      <w:r>
        <w:rPr>
          <w:spacing w:val="-7"/>
        </w:rPr>
        <w:t> </w:t>
      </w:r>
      <w:r>
        <w:rPr/>
        <w:t>los</w:t>
      </w:r>
      <w:r>
        <w:rPr>
          <w:spacing w:val="-3"/>
        </w:rPr>
        <w:t> </w:t>
      </w:r>
      <w:r>
        <w:rPr/>
        <w:t>productos</w:t>
      </w:r>
      <w:r>
        <w:rPr>
          <w:spacing w:val="-3"/>
        </w:rPr>
        <w:t> </w:t>
      </w:r>
      <w:r>
        <w:rPr/>
        <w:t>con</w:t>
      </w:r>
      <w:r>
        <w:rPr>
          <w:spacing w:val="-4"/>
        </w:rPr>
        <w:t> </w:t>
      </w:r>
      <w:r>
        <w:rPr/>
        <w:t>mayor</w:t>
      </w:r>
      <w:r>
        <w:rPr>
          <w:spacing w:val="-3"/>
        </w:rPr>
        <w:t> </w:t>
      </w:r>
      <w:r>
        <w:rPr/>
        <w:t>participación</w:t>
      </w:r>
      <w:r>
        <w:rPr>
          <w:spacing w:val="-5"/>
        </w:rPr>
        <w:t> </w:t>
      </w:r>
      <w:r>
        <w:rPr/>
        <w:t>del</w:t>
      </w:r>
      <w:r>
        <w:rPr>
          <w:spacing w:val="-3"/>
        </w:rPr>
        <w:t> </w:t>
      </w:r>
      <w:r>
        <w:rPr/>
        <w:t>total</w:t>
      </w:r>
      <w:r>
        <w:rPr>
          <w:spacing w:val="-3"/>
        </w:rPr>
        <w:t> </w:t>
      </w:r>
      <w:r>
        <w:rPr/>
        <w:t>de</w:t>
      </w:r>
      <w:r>
        <w:rPr>
          <w:spacing w:val="-3"/>
        </w:rPr>
        <w:t> </w:t>
      </w:r>
      <w:r>
        <w:rPr/>
        <w:t>exportaciones</w:t>
      </w:r>
      <w:r>
        <w:rPr>
          <w:spacing w:val="-3"/>
        </w:rPr>
        <w:t> </w:t>
      </w:r>
      <w:r>
        <w:rPr/>
        <w:t>se</w:t>
      </w:r>
      <w:r>
        <w:rPr>
          <w:spacing w:val="-4"/>
        </w:rPr>
        <w:t> </w:t>
      </w:r>
      <w:r>
        <w:rPr/>
        <w:t>encuentran</w:t>
      </w:r>
      <w:r>
        <w:rPr>
          <w:spacing w:val="-3"/>
        </w:rPr>
        <w:t> </w:t>
      </w:r>
      <w:r>
        <w:rPr/>
        <w:t>los</w:t>
      </w:r>
      <w:r>
        <w:rPr>
          <w:spacing w:val="-3"/>
        </w:rPr>
        <w:t> </w:t>
      </w:r>
      <w:r>
        <w:rPr/>
        <w:t>artículos</w:t>
      </w:r>
      <w:r>
        <w:rPr>
          <w:spacing w:val="-5"/>
        </w:rPr>
        <w:t> </w:t>
      </w:r>
      <w:r>
        <w:rPr/>
        <w:t>de vestuario (11.6%), café (9.6%), grasas, aceites comestibles (6.7%) y azúcar (5.9%) ocupando a la fecha, el 33.8% de las exportaciones totales. Asimismo, los productos de exportación FOB que presentaron crecimientos interanuales más altos a junio 2022 fueron las de cardamomo (89.8%), el hierro y acero (82.5%), y azúcar (66.4%), lo cual se asocia a las mejores expectativas para la comercialización de bienes, a la estacionalidad de los propios productos y al aumento esperado en la producción de las actividades agrícolas e industriales. Por su parte, los productos con</w:t>
      </w:r>
      <w:r>
        <w:rPr>
          <w:spacing w:val="34"/>
        </w:rPr>
        <w:t> </w:t>
      </w:r>
      <w:r>
        <w:rPr/>
        <w:t>mayor</w:t>
      </w:r>
    </w:p>
    <w:p>
      <w:pPr>
        <w:spacing w:after="0" w:line="276" w:lineRule="auto"/>
        <w:jc w:val="both"/>
        <w:sectPr>
          <w:pgSz w:w="12240" w:h="15840"/>
          <w:pgMar w:header="715" w:footer="957" w:top="1240" w:bottom="1140" w:left="1140" w:right="0"/>
        </w:sectPr>
      </w:pPr>
    </w:p>
    <w:p>
      <w:pPr>
        <w:pStyle w:val="BodyText"/>
        <w:spacing w:line="276" w:lineRule="auto" w:before="162"/>
        <w:ind w:left="562" w:right="1630"/>
      </w:pPr>
      <w:r>
        <w:rPr/>
        <w:t>participación</w:t>
      </w:r>
      <w:r>
        <w:rPr>
          <w:spacing w:val="-14"/>
        </w:rPr>
        <w:t> </w:t>
      </w:r>
      <w:r>
        <w:rPr/>
        <w:t>en</w:t>
      </w:r>
      <w:r>
        <w:rPr>
          <w:spacing w:val="-13"/>
        </w:rPr>
        <w:t> </w:t>
      </w:r>
      <w:r>
        <w:rPr/>
        <w:t>las</w:t>
      </w:r>
      <w:r>
        <w:rPr>
          <w:spacing w:val="-10"/>
        </w:rPr>
        <w:t> </w:t>
      </w:r>
      <w:r>
        <w:rPr/>
        <w:t>exportaciones</w:t>
      </w:r>
      <w:r>
        <w:rPr>
          <w:spacing w:val="-10"/>
        </w:rPr>
        <w:t> </w:t>
      </w:r>
      <w:r>
        <w:rPr/>
        <w:t>que</w:t>
      </w:r>
      <w:r>
        <w:rPr>
          <w:spacing w:val="-10"/>
        </w:rPr>
        <w:t> </w:t>
      </w:r>
      <w:r>
        <w:rPr/>
        <w:t>mostraron</w:t>
      </w:r>
      <w:r>
        <w:rPr>
          <w:spacing w:val="-13"/>
        </w:rPr>
        <w:t> </w:t>
      </w:r>
      <w:r>
        <w:rPr/>
        <w:t>un</w:t>
      </w:r>
      <w:r>
        <w:rPr>
          <w:spacing w:val="-13"/>
        </w:rPr>
        <w:t> </w:t>
      </w:r>
      <w:r>
        <w:rPr/>
        <w:t>crecimiento</w:t>
      </w:r>
      <w:r>
        <w:rPr>
          <w:spacing w:val="-13"/>
        </w:rPr>
        <w:t> </w:t>
      </w:r>
      <w:r>
        <w:rPr/>
        <w:t>interanual</w:t>
      </w:r>
      <w:r>
        <w:rPr>
          <w:spacing w:val="-10"/>
        </w:rPr>
        <w:t> </w:t>
      </w:r>
      <w:r>
        <w:rPr/>
        <w:t>más</w:t>
      </w:r>
      <w:r>
        <w:rPr>
          <w:spacing w:val="-11"/>
        </w:rPr>
        <w:t> </w:t>
      </w:r>
      <w:r>
        <w:rPr/>
        <w:t>bajo</w:t>
      </w:r>
      <w:r>
        <w:rPr>
          <w:spacing w:val="-11"/>
        </w:rPr>
        <w:t> </w:t>
      </w:r>
      <w:r>
        <w:rPr/>
        <w:t>a</w:t>
      </w:r>
      <w:r>
        <w:rPr>
          <w:spacing w:val="-13"/>
        </w:rPr>
        <w:t> </w:t>
      </w:r>
      <w:r>
        <w:rPr/>
        <w:t>la</w:t>
      </w:r>
      <w:r>
        <w:rPr>
          <w:spacing w:val="-13"/>
        </w:rPr>
        <w:t> </w:t>
      </w:r>
      <w:r>
        <w:rPr/>
        <w:t>fecha</w:t>
      </w:r>
      <w:r>
        <w:rPr>
          <w:spacing w:val="-13"/>
        </w:rPr>
        <w:t> </w:t>
      </w:r>
      <w:r>
        <w:rPr/>
        <w:t>fueron frutas (13.2%) y grasas y aceites comestibles con</w:t>
      </w:r>
      <w:r>
        <w:rPr>
          <w:spacing w:val="-13"/>
        </w:rPr>
        <w:t> </w:t>
      </w:r>
      <w:r>
        <w:rPr/>
        <w:t>(-3.8%).</w:t>
      </w:r>
    </w:p>
    <w:p>
      <w:pPr>
        <w:pStyle w:val="BodyText"/>
        <w:spacing w:before="10"/>
        <w:rPr>
          <w:sz w:val="17"/>
        </w:rPr>
      </w:pPr>
    </w:p>
    <w:p>
      <w:pPr>
        <w:spacing w:after="0"/>
        <w:rPr>
          <w:sz w:val="17"/>
        </w:rPr>
        <w:sectPr>
          <w:pgSz w:w="12240" w:h="15840"/>
          <w:pgMar w:header="715" w:footer="957" w:top="1240" w:bottom="1140" w:left="1140" w:right="0"/>
        </w:sectPr>
      </w:pPr>
    </w:p>
    <w:p>
      <w:pPr>
        <w:spacing w:line="278" w:lineRule="auto" w:before="91"/>
        <w:ind w:left="1550" w:right="0" w:hanging="399"/>
        <w:jc w:val="left"/>
        <w:rPr>
          <w:b/>
          <w:sz w:val="20"/>
        </w:rPr>
      </w:pPr>
      <w:bookmarkStart w:name="_bookmark88" w:id="111"/>
      <w:bookmarkEnd w:id="111"/>
      <w:r>
        <w:rPr/>
      </w:r>
      <w:r>
        <w:rPr>
          <w:b/>
          <w:i/>
          <w:sz w:val="20"/>
        </w:rPr>
        <w:t>Gráfico 43. </w:t>
      </w:r>
      <w:r>
        <w:rPr>
          <w:b/>
          <w:sz w:val="20"/>
        </w:rPr>
        <w:t>Diagrama de Pareto para Exportaciones por</w:t>
      </w:r>
      <w:r>
        <w:rPr>
          <w:b/>
          <w:spacing w:val="-3"/>
          <w:sz w:val="20"/>
        </w:rPr>
        <w:t> </w:t>
      </w:r>
      <w:r>
        <w:rPr>
          <w:b/>
          <w:sz w:val="20"/>
        </w:rPr>
        <w:t>Producto</w:t>
      </w:r>
    </w:p>
    <w:p>
      <w:pPr>
        <w:tabs>
          <w:tab w:pos="3348" w:val="left" w:leader="none"/>
        </w:tabs>
        <w:spacing w:before="147"/>
        <w:ind w:left="2078" w:right="0" w:firstLine="0"/>
        <w:jc w:val="left"/>
        <w:rPr>
          <w:sz w:val="12"/>
        </w:rPr>
      </w:pPr>
      <w:r>
        <w:rPr/>
        <w:pict>
          <v:group style="position:absolute;margin-left:141.926605pt;margin-top:9.162647pt;width:17.6pt;height:3.8pt;mso-position-horizontal-relative:page;mso-position-vertical-relative:paragraph;z-index:252213248" coordorigin="2839,183" coordsize="352,76">
            <v:line style="position:absolute" from="2845,221" to="3183,221" stroked="true" strokeweight="3.139163pt" strokecolor="#4f81bc">
              <v:stroke dashstyle="solid"/>
            </v:line>
            <v:rect style="position:absolute;left:2845;top:189;width:339;height:63" filled="false" stroked="true" strokeweight=".654209pt" strokecolor="#000000">
              <v:stroke dashstyle="solid"/>
            </v:rect>
            <w10:wrap type="none"/>
          </v:group>
        </w:pict>
      </w:r>
      <w:r>
        <w:rPr/>
        <w:pict>
          <v:group style="position:absolute;margin-left:205.709656pt;margin-top:8.951854pt;width:16.95pt;height:4.05pt;mso-position-horizontal-relative:page;mso-position-vertical-relative:paragraph;z-index:-281105408" coordorigin="4114,179" coordsize="339,81">
            <v:line style="position:absolute" from="4114,220" to="4452,220" stroked="true" strokeweight="1.961977pt" strokecolor="#bd4a47">
              <v:stroke dashstyle="solid"/>
            </v:line>
            <v:shape style="position:absolute;left:4248;top:185;width:68;height:67" coordorigin="4248,186" coordsize="68,67" path="m4282,186l4248,219,4282,253,4316,219,4282,186xe" filled="true" fillcolor="#c0504d" stroked="false">
              <v:path arrowok="t"/>
              <v:fill type="solid"/>
            </v:shape>
            <v:shape style="position:absolute;left:4248;top:185;width:68;height:67" coordorigin="4248,186" coordsize="68,67" path="m4282,186l4316,219,4282,253,4248,219,4282,186xe" filled="false" stroked="true" strokeweight=".657211pt" strokecolor="#bd4a47">
              <v:path arrowok="t"/>
              <v:stroke dashstyle="solid"/>
            </v:shape>
            <w10:wrap type="none"/>
          </v:group>
        </w:pict>
      </w:r>
      <w:r>
        <w:rPr>
          <w:sz w:val="12"/>
        </w:rPr>
        <w:t>Exportaciones</w:t>
        <w:tab/>
        <w:t>Acumulado</w:t>
      </w:r>
    </w:p>
    <w:p>
      <w:pPr>
        <w:spacing w:line="278" w:lineRule="auto" w:before="91"/>
        <w:ind w:left="1546" w:right="1142" w:hanging="394"/>
        <w:jc w:val="left"/>
        <w:rPr>
          <w:b/>
          <w:sz w:val="20"/>
        </w:rPr>
      </w:pPr>
      <w:r>
        <w:rPr/>
        <w:br w:type="column"/>
      </w:r>
      <w:bookmarkStart w:name="_bookmark89" w:id="112"/>
      <w:bookmarkEnd w:id="112"/>
      <w:r>
        <w:rPr/>
      </w:r>
      <w:r>
        <w:rPr>
          <w:b/>
          <w:i/>
          <w:sz w:val="20"/>
        </w:rPr>
        <w:t>Gráfico 44. </w:t>
      </w:r>
      <w:r>
        <w:rPr>
          <w:b/>
          <w:sz w:val="20"/>
        </w:rPr>
        <w:t>Tasas de Variación de las Exportaciones por Producto</w:t>
      </w:r>
    </w:p>
    <w:p>
      <w:pPr>
        <w:spacing w:after="0" w:line="278" w:lineRule="auto"/>
        <w:jc w:val="left"/>
        <w:rPr>
          <w:sz w:val="20"/>
        </w:rPr>
        <w:sectPr>
          <w:type w:val="continuous"/>
          <w:pgSz w:w="12240" w:h="15840"/>
          <w:pgMar w:top="1500" w:bottom="280" w:left="1140" w:right="0"/>
          <w:cols w:num="2" w:equalWidth="0">
            <w:col w:w="4397" w:space="56"/>
            <w:col w:w="6647"/>
          </w:cols>
        </w:sectPr>
      </w:pPr>
    </w:p>
    <w:p>
      <w:pPr>
        <w:pStyle w:val="BodyText"/>
        <w:rPr>
          <w:b/>
          <w:sz w:val="15"/>
        </w:rPr>
      </w:pPr>
    </w:p>
    <w:p>
      <w:pPr>
        <w:spacing w:before="1"/>
        <w:ind w:left="0" w:right="0" w:firstLine="0"/>
        <w:jc w:val="right"/>
        <w:rPr>
          <w:sz w:val="12"/>
        </w:rPr>
      </w:pPr>
      <w:r>
        <w:rPr>
          <w:sz w:val="12"/>
        </w:rPr>
        <w:t>60.0</w:t>
      </w:r>
    </w:p>
    <w:p>
      <w:pPr>
        <w:spacing w:before="39"/>
        <w:ind w:left="0" w:right="0" w:firstLine="0"/>
        <w:jc w:val="right"/>
        <w:rPr>
          <w:sz w:val="12"/>
        </w:rPr>
      </w:pPr>
      <w:r>
        <w:rPr/>
        <w:pict>
          <v:shape style="position:absolute;margin-left:99.151871pt;margin-top:4.758892pt;width:8.8pt;height:29.8pt;mso-position-horizontal-relative:page;mso-position-vertical-relative:paragraph;z-index:252240896" type="#_x0000_t202" filled="false" stroked="false">
            <v:textbox inset="0,0,0,0" style="layout-flow:vertical;mso-layout-flow-alt:bottom-to-top">
              <w:txbxContent>
                <w:p>
                  <w:pPr>
                    <w:spacing w:before="17"/>
                    <w:ind w:left="20" w:right="0" w:firstLine="0"/>
                    <w:jc w:val="left"/>
                    <w:rPr>
                      <w:b/>
                      <w:sz w:val="12"/>
                    </w:rPr>
                  </w:pPr>
                  <w:r>
                    <w:rPr>
                      <w:b/>
                      <w:sz w:val="12"/>
                    </w:rPr>
                    <w:t>Porcentaje</w:t>
                  </w:r>
                </w:p>
              </w:txbxContent>
            </v:textbox>
            <w10:wrap type="none"/>
          </v:shape>
        </w:pict>
      </w:r>
      <w:r>
        <w:rPr>
          <w:sz w:val="12"/>
        </w:rPr>
        <w:t>50.0</w:t>
      </w:r>
    </w:p>
    <w:p>
      <w:pPr>
        <w:spacing w:before="39"/>
        <w:ind w:left="0" w:right="0" w:firstLine="0"/>
        <w:jc w:val="right"/>
        <w:rPr>
          <w:sz w:val="12"/>
        </w:rPr>
      </w:pPr>
      <w:r>
        <w:rPr>
          <w:sz w:val="12"/>
        </w:rPr>
        <w:t>40.0</w:t>
      </w:r>
    </w:p>
    <w:p>
      <w:pPr>
        <w:spacing w:before="39"/>
        <w:ind w:left="0" w:right="0" w:firstLine="0"/>
        <w:jc w:val="right"/>
        <w:rPr>
          <w:sz w:val="12"/>
        </w:rPr>
      </w:pPr>
      <w:r>
        <w:rPr>
          <w:sz w:val="12"/>
        </w:rPr>
        <w:t>30.0</w:t>
      </w:r>
    </w:p>
    <w:p>
      <w:pPr>
        <w:spacing w:line="95" w:lineRule="exact" w:before="39"/>
        <w:ind w:left="0" w:right="0" w:firstLine="0"/>
        <w:jc w:val="right"/>
        <w:rPr>
          <w:sz w:val="12"/>
        </w:rPr>
      </w:pPr>
      <w:r>
        <w:rPr>
          <w:sz w:val="12"/>
        </w:rPr>
        <w:t>20.0</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spacing w:before="6"/>
        <w:rPr>
          <w:sz w:val="10"/>
        </w:rPr>
      </w:pPr>
    </w:p>
    <w:p>
      <w:pPr>
        <w:spacing w:before="0"/>
        <w:ind w:left="0" w:right="0" w:firstLine="0"/>
        <w:jc w:val="right"/>
        <w:rPr>
          <w:sz w:val="12"/>
        </w:rPr>
      </w:pPr>
      <w:r>
        <w:rPr>
          <w:spacing w:val="-1"/>
          <w:sz w:val="12"/>
        </w:rPr>
        <w:t>21.2</w:t>
      </w:r>
    </w:p>
    <w:p>
      <w:pPr>
        <w:spacing w:line="90" w:lineRule="exact" w:before="76"/>
        <w:ind w:left="128" w:right="0" w:firstLine="0"/>
        <w:jc w:val="left"/>
        <w:rPr>
          <w:sz w:val="12"/>
        </w:rPr>
      </w:pPr>
      <w:r>
        <w:rPr/>
        <w:pict>
          <v:shape style="position:absolute;margin-left:319.401917pt;margin-top:-19.659412pt;width:8.6pt;height:30.1pt;mso-position-horizontal-relative:page;mso-position-vertical-relative:paragraph;z-index:252241920" type="#_x0000_t202" filled="false" stroked="false">
            <v:textbox inset="0,0,0,0" style="layout-flow:vertical;mso-layout-flow-alt:bottom-to-top">
              <w:txbxContent>
                <w:p>
                  <w:pPr>
                    <w:spacing w:before="14"/>
                    <w:ind w:left="20" w:right="0" w:firstLine="0"/>
                    <w:jc w:val="left"/>
                    <w:rPr>
                      <w:b/>
                      <w:sz w:val="12"/>
                    </w:rPr>
                  </w:pPr>
                  <w:r>
                    <w:rPr>
                      <w:b/>
                      <w:sz w:val="12"/>
                    </w:rPr>
                    <w:t>Porcentaje</w:t>
                  </w:r>
                </w:p>
              </w:txbxContent>
            </v:textbox>
            <w10:wrap type="none"/>
          </v:shape>
        </w:pict>
      </w:r>
      <w:r>
        <w:rPr>
          <w:sz w:val="12"/>
        </w:rPr>
        <w:t>11.6    </w:t>
      </w:r>
      <w:r>
        <w:rPr>
          <w:spacing w:val="16"/>
          <w:sz w:val="12"/>
        </w:rPr>
        <w:t> </w:t>
      </w:r>
      <w:r>
        <w:rPr>
          <w:position w:val="-2"/>
          <w:sz w:val="12"/>
        </w:rPr>
        <w:t>9.6</w:t>
      </w:r>
    </w:p>
    <w:p>
      <w:pPr>
        <w:pStyle w:val="BodyText"/>
        <w:rPr>
          <w:sz w:val="12"/>
        </w:rPr>
      </w:pPr>
      <w:r>
        <w:rPr/>
        <w:br w:type="column"/>
      </w:r>
      <w:r>
        <w:rPr>
          <w:sz w:val="12"/>
        </w:rPr>
      </w:r>
    </w:p>
    <w:p>
      <w:pPr>
        <w:pStyle w:val="BodyText"/>
        <w:rPr>
          <w:sz w:val="12"/>
        </w:rPr>
      </w:pPr>
    </w:p>
    <w:p>
      <w:pPr>
        <w:pStyle w:val="BodyText"/>
        <w:spacing w:before="1"/>
        <w:rPr>
          <w:sz w:val="15"/>
        </w:rPr>
      </w:pPr>
    </w:p>
    <w:p>
      <w:pPr>
        <w:spacing w:line="121" w:lineRule="exact" w:before="1"/>
        <w:ind w:left="430" w:right="0" w:firstLine="0"/>
        <w:jc w:val="left"/>
        <w:rPr>
          <w:sz w:val="12"/>
        </w:rPr>
      </w:pPr>
      <w:r>
        <w:rPr>
          <w:sz w:val="12"/>
        </w:rPr>
        <w:t>33.8</w:t>
      </w:r>
    </w:p>
    <w:p>
      <w:pPr>
        <w:spacing w:line="121" w:lineRule="exact" w:before="0"/>
        <w:ind w:left="87" w:right="0" w:firstLine="0"/>
        <w:jc w:val="left"/>
        <w:rPr>
          <w:sz w:val="12"/>
        </w:rPr>
      </w:pPr>
      <w:r>
        <w:rPr>
          <w:sz w:val="12"/>
        </w:rPr>
        <w:t>27.8</w:t>
      </w:r>
    </w:p>
    <w:p>
      <w:pPr>
        <w:pStyle w:val="BodyText"/>
        <w:rPr>
          <w:sz w:val="12"/>
        </w:rPr>
      </w:pPr>
      <w:r>
        <w:rPr/>
        <w:br w:type="column"/>
      </w:r>
      <w:r>
        <w:rPr>
          <w:sz w:val="12"/>
        </w:rPr>
      </w:r>
    </w:p>
    <w:p>
      <w:pPr>
        <w:pStyle w:val="BodyText"/>
        <w:rPr>
          <w:sz w:val="12"/>
        </w:rPr>
      </w:pPr>
    </w:p>
    <w:p>
      <w:pPr>
        <w:spacing w:before="72"/>
        <w:ind w:left="87" w:right="0" w:firstLine="0"/>
        <w:jc w:val="left"/>
        <w:rPr>
          <w:sz w:val="12"/>
        </w:rPr>
      </w:pPr>
      <w:r>
        <w:rPr>
          <w:sz w:val="12"/>
        </w:rPr>
        <w:t>39.5</w:t>
      </w:r>
    </w:p>
    <w:p>
      <w:pPr>
        <w:pStyle w:val="BodyText"/>
        <w:spacing w:before="4"/>
        <w:rPr>
          <w:sz w:val="18"/>
        </w:rPr>
      </w:pPr>
      <w:r>
        <w:rPr/>
        <w:br w:type="column"/>
      </w:r>
      <w:r>
        <w:rPr>
          <w:sz w:val="18"/>
        </w:rPr>
      </w:r>
    </w:p>
    <w:p>
      <w:pPr>
        <w:spacing w:before="0"/>
        <w:ind w:left="87" w:right="0" w:firstLine="0"/>
        <w:jc w:val="left"/>
        <w:rPr>
          <w:sz w:val="12"/>
        </w:rPr>
      </w:pPr>
      <w:r>
        <w:rPr>
          <w:position w:val="-6"/>
          <w:sz w:val="12"/>
        </w:rPr>
        <w:t>43.5 </w:t>
      </w:r>
      <w:r>
        <w:rPr>
          <w:sz w:val="12"/>
        </w:rPr>
        <w:t>47.2</w:t>
      </w:r>
    </w:p>
    <w:p>
      <w:pPr>
        <w:spacing w:before="51"/>
        <w:ind w:left="87" w:right="0" w:firstLine="0"/>
        <w:jc w:val="left"/>
        <w:rPr>
          <w:sz w:val="12"/>
        </w:rPr>
      </w:pPr>
      <w:r>
        <w:rPr/>
        <w:br w:type="column"/>
      </w:r>
      <w:r>
        <w:rPr>
          <w:position w:val="-9"/>
          <w:sz w:val="12"/>
        </w:rPr>
        <w:t>50.7 </w:t>
      </w:r>
      <w:r>
        <w:rPr>
          <w:position w:val="-4"/>
          <w:sz w:val="12"/>
        </w:rPr>
        <w:t>53.6 </w:t>
      </w:r>
      <w:r>
        <w:rPr>
          <w:sz w:val="12"/>
        </w:rPr>
        <w:t>56.3</w:t>
      </w:r>
    </w:p>
    <w:p>
      <w:pPr>
        <w:spacing w:after="0"/>
        <w:jc w:val="left"/>
        <w:rPr>
          <w:sz w:val="12"/>
        </w:rPr>
        <w:sectPr>
          <w:type w:val="continuous"/>
          <w:pgSz w:w="12240" w:h="15840"/>
          <w:pgMar w:top="1500" w:bottom="280" w:left="1140" w:right="0"/>
          <w:cols w:num="6" w:equalWidth="0">
            <w:col w:w="1234" w:space="40"/>
            <w:col w:w="688" w:space="39"/>
            <w:col w:w="646" w:space="39"/>
            <w:col w:w="304" w:space="40"/>
            <w:col w:w="647" w:space="39"/>
            <w:col w:w="7384"/>
          </w:cols>
        </w:sectPr>
      </w:pPr>
    </w:p>
    <w:p>
      <w:pPr>
        <w:spacing w:before="82"/>
        <w:ind w:left="0" w:right="0" w:firstLine="0"/>
        <w:jc w:val="right"/>
        <w:rPr>
          <w:sz w:val="12"/>
        </w:rPr>
      </w:pPr>
      <w:r>
        <w:rPr>
          <w:sz w:val="12"/>
        </w:rPr>
        <w:t>10.0</w:t>
      </w:r>
    </w:p>
    <w:p>
      <w:pPr>
        <w:spacing w:before="39"/>
        <w:ind w:left="0" w:right="0" w:firstLine="0"/>
        <w:jc w:val="right"/>
        <w:rPr>
          <w:sz w:val="12"/>
        </w:rPr>
      </w:pPr>
      <w:r>
        <w:rPr>
          <w:sz w:val="12"/>
        </w:rPr>
        <w:t>0.0</w:t>
      </w:r>
    </w:p>
    <w:p>
      <w:pPr>
        <w:spacing w:line="206" w:lineRule="exact" w:before="0"/>
        <w:ind w:left="846" w:right="0" w:firstLine="0"/>
        <w:jc w:val="left"/>
        <w:rPr>
          <w:sz w:val="12"/>
        </w:rPr>
      </w:pPr>
      <w:r>
        <w:rPr/>
        <w:br w:type="column"/>
      </w:r>
      <w:r>
        <w:rPr>
          <w:position w:val="7"/>
          <w:sz w:val="12"/>
        </w:rPr>
        <w:t>6.7 </w:t>
      </w:r>
      <w:r>
        <w:rPr>
          <w:position w:val="6"/>
          <w:sz w:val="12"/>
        </w:rPr>
        <w:t>5.9 </w:t>
      </w:r>
      <w:r>
        <w:rPr>
          <w:position w:val="5"/>
          <w:sz w:val="12"/>
        </w:rPr>
        <w:t>5.8 </w:t>
      </w:r>
      <w:r>
        <w:rPr>
          <w:position w:val="2"/>
          <w:sz w:val="12"/>
        </w:rPr>
        <w:t>3.9 3.8 </w:t>
      </w:r>
      <w:r>
        <w:rPr>
          <w:position w:val="1"/>
          <w:sz w:val="12"/>
        </w:rPr>
        <w:t>3.5 </w:t>
      </w:r>
      <w:r>
        <w:rPr>
          <w:sz w:val="12"/>
        </w:rPr>
        <w:t>2.9 2.7</w:t>
      </w:r>
    </w:p>
    <w:p>
      <w:pPr>
        <w:spacing w:after="0" w:line="206" w:lineRule="exact"/>
        <w:jc w:val="left"/>
        <w:rPr>
          <w:sz w:val="12"/>
        </w:rPr>
        <w:sectPr>
          <w:type w:val="continuous"/>
          <w:pgSz w:w="12240" w:h="15840"/>
          <w:pgMar w:top="1500" w:bottom="280" w:left="1140" w:right="0"/>
          <w:cols w:num="2" w:equalWidth="0">
            <w:col w:w="1234" w:space="40"/>
            <w:col w:w="9826"/>
          </w:cols>
        </w:sectPr>
      </w:pPr>
    </w:p>
    <w:p>
      <w:pPr>
        <w:pStyle w:val="BodyText"/>
        <w:rPr>
          <w:sz w:val="20"/>
        </w:rPr>
      </w:pPr>
    </w:p>
    <w:p>
      <w:pPr>
        <w:pStyle w:val="BodyText"/>
        <w:rPr>
          <w:sz w:val="20"/>
        </w:rPr>
      </w:pPr>
    </w:p>
    <w:p>
      <w:pPr>
        <w:pStyle w:val="BodyText"/>
        <w:rPr>
          <w:sz w:val="20"/>
        </w:rPr>
      </w:pPr>
    </w:p>
    <w:p>
      <w:pPr>
        <w:pStyle w:val="BodyText"/>
        <w:spacing w:before="7"/>
        <w:rPr>
          <w:sz w:val="15"/>
        </w:rPr>
      </w:pPr>
    </w:p>
    <w:p>
      <w:pPr>
        <w:spacing w:after="0"/>
        <w:rPr>
          <w:sz w:val="15"/>
        </w:rPr>
        <w:sectPr>
          <w:type w:val="continuous"/>
          <w:pgSz w:w="12240" w:h="15840"/>
          <w:pgMar w:top="1500" w:bottom="280" w:left="1140" w:right="0"/>
        </w:sectPr>
      </w:pPr>
    </w:p>
    <w:p>
      <w:pPr>
        <w:spacing w:before="96"/>
        <w:ind w:left="0" w:right="38" w:firstLine="0"/>
        <w:jc w:val="right"/>
        <w:rPr>
          <w:b/>
          <w:sz w:val="12"/>
        </w:rPr>
      </w:pPr>
      <w:r>
        <w:rPr/>
        <w:pict>
          <v:group style="position:absolute;margin-left:110.167747pt;margin-top:-100.101364pt;width:185.55pt;height:102.6pt;mso-position-horizontal-relative:page;mso-position-vertical-relative:paragraph;z-index:-281107456" coordorigin="2203,-2002" coordsize="3711,2052">
            <v:shape style="position:absolute;left:2477;top:-1140;width:687;height:206" coordorigin="2477,-1139" coordsize="687,206" path="m3164,-1104l2822,-1104,2822,-1139,2477,-1139,2477,-934,2822,-934,3164,-934,3164,-1104e" filled="true" fillcolor="#4f81bc" stroked="false">
              <v:path arrowok="t"/>
              <v:fill type="solid"/>
            </v:shape>
            <v:line style="position:absolute" from="3164,-994" to="3507,-994" stroked="true" strokeweight="5.96441pt" strokecolor="#4f81bc">
              <v:stroke dashstyle="solid"/>
            </v:line>
            <v:line style="position:absolute" from="3507,-987" to="3851,-987" stroked="true" strokeweight="5.231939pt" strokecolor="#4f81bc">
              <v:stroke dashstyle="solid"/>
            </v:line>
            <v:line style="position:absolute" from="3851,-986" to="4193,-986" stroked="true" strokeweight="5.1273pt" strokecolor="#4f81bc">
              <v:stroke dashstyle="solid"/>
            </v:line>
            <v:line style="position:absolute" from="4193,-969" to="4536,-969" stroked="true" strokeweight="3.45308pt" strokecolor="#4f81bc">
              <v:stroke dashstyle="solid"/>
            </v:line>
            <v:line style="position:absolute" from="4536,-968" to="4878,-968" stroked="true" strokeweight="3.348441pt" strokecolor="#4f81bc">
              <v:stroke dashstyle="solid"/>
            </v:line>
            <v:line style="position:absolute" from="4878,-965" to="5223,-965" stroked="true" strokeweight="3.034524pt" strokecolor="#4f81bc">
              <v:stroke dashstyle="solid"/>
            </v:line>
            <v:line style="position:absolute" from="5223,-961" to="5565,-961" stroked="true" strokeweight="2.615969pt" strokecolor="#4f81bc">
              <v:stroke dashstyle="solid"/>
            </v:line>
            <v:line style="position:absolute" from="5565,-958" to="5908,-958" stroked="true" strokeweight="2.406692pt" strokecolor="#4f81bc">
              <v:stroke dashstyle="solid"/>
            </v:line>
            <v:shape style="position:absolute;left:0;top:10487;width:3896;height:236" coordorigin="0,10487" coordsize="3896,236" path="m2477,-1139l2822,-1139,2822,-934,2477,-934,2477,-1139xm2822,-1104l3164,-1104,3164,-934,2822,-934,2822,-1104xm3164,-1054l3507,-1054,3507,-934,3164,-934,3164,-1054xm3507,-1039l3851,-1039,3851,-934,3507,-934,3507,-1039xm3851,-1037l4193,-1037,4193,-934,3851,-934,3851,-1037xm4193,-1003l4536,-1003,4536,-934,4193,-934,4193,-1003xm4536,-1001l4878,-1001,4878,-934,4536,-934,4536,-1001xm4878,-995l5223,-995,5223,-934,4878,-934,4878,-995xm5223,-987l5565,-987,5565,-934,5223,-934,5223,-987xm5565,-983l5908,-983,5908,-934,5565,-934,5565,-983xe" filled="false" stroked="true" strokeweight=".657244pt" strokecolor="#000000">
              <v:path arrowok="t"/>
              <v:stroke dashstyle="solid"/>
            </v:shape>
            <v:line style="position:absolute" from="2477,-934" to="2477,-1995" stroked="true" strokeweight=".660495pt" strokecolor="#858585">
              <v:stroke dashstyle="solid"/>
            </v:line>
            <v:shape style="position:absolute;left:0;top:9270;width:41;height:1217" coordorigin="0,9270" coordsize="41,1217" path="m2441,-934l2477,-934m2441,-1112l2477,-1112m2441,-1288l2477,-1288m2441,-1466l2477,-1466m2441,-1642l2477,-1642m2441,-1820l2477,-1820m2441,-1995l2477,-1995e" filled="false" stroked="true" strokeweight=".657244pt" strokecolor="#858585">
              <v:path arrowok="t"/>
              <v:stroke dashstyle="solid"/>
            </v:shape>
            <v:shape style="position:absolute;left:0;top:10487;width:3896;height:36" coordorigin="0,10487" coordsize="3896,36" path="m2477,-934l5908,-934m2477,-934l2477,-903m2822,-934l2822,-903m3164,-934l3164,-903m3507,-934l3507,-903m3851,-934l3851,-903m4193,-934l4193,-903m4536,-934l4536,-903m4878,-934l4878,-903m5223,-934l5223,-903m5565,-934l5565,-903m5908,-934l5908,-903e" filled="false" stroked="true" strokeweight=".657244pt" strokecolor="#858585">
              <v:path arrowok="t"/>
              <v:stroke dashstyle="solid"/>
            </v:shape>
            <v:shape style="position:absolute;left:2649;top:-1932;width:3088;height:794" coordorigin="2650,-1932" coordsize="3088,794" path="m2650,-1138l2992,-1310,3336,-1427,3679,-1532,4021,-1634,4366,-1704,4708,-1771,5051,-1831,5393,-1884,5737,-1932e" filled="false" stroked="true" strokeweight="1.963185pt" strokecolor="#bd4a47">
              <v:path arrowok="t"/>
              <v:stroke dashstyle="solid"/>
            </v:shape>
            <v:shape style="position:absolute;left:2598;top:-1190;width:102;height:102" type="#_x0000_t75" stroked="false">
              <v:imagedata r:id="rId45" o:title=""/>
            </v:shape>
            <v:shape style="position:absolute;left:2941;top:-1360;width:102;height:102" type="#_x0000_t75" stroked="false">
              <v:imagedata r:id="rId46" o:title=""/>
            </v:shape>
            <v:shape style="position:absolute;left:3283;top:-1479;width:102;height:102" type="#_x0000_t75" stroked="false">
              <v:imagedata r:id="rId47" o:title=""/>
            </v:shape>
            <v:shape style="position:absolute;left:3625;top:-1584;width:102;height:102" type="#_x0000_t75" stroked="false">
              <v:imagedata r:id="rId45" o:title=""/>
            </v:shape>
            <v:shape style="position:absolute;left:3970;top:-1684;width:102;height:102" type="#_x0000_t75" stroked="false">
              <v:imagedata r:id="rId48" o:title=""/>
            </v:shape>
            <v:shape style="position:absolute;left:4312;top:-1756;width:102;height:102" type="#_x0000_t75" stroked="false">
              <v:imagedata r:id="rId45" o:title=""/>
            </v:shape>
            <v:shape style="position:absolute;left:4655;top:-1820;width:102;height:102" type="#_x0000_t75" stroked="false">
              <v:imagedata r:id="rId49" o:title=""/>
            </v:shape>
            <v:shape style="position:absolute;left:4999;top:-1883;width:102;height:102" type="#_x0000_t75" stroked="false">
              <v:imagedata r:id="rId50" o:title=""/>
            </v:shape>
            <v:shape style="position:absolute;left:5341;top:-1936;width:102;height:102" type="#_x0000_t75" stroked="false">
              <v:imagedata r:id="rId45" o:title=""/>
            </v:shape>
            <v:shape style="position:absolute;left:5684;top:-1982;width:102;height:102" type="#_x0000_t75" stroked="false">
              <v:imagedata r:id="rId45" o:title=""/>
            </v:shape>
            <v:shape style="position:absolute;left:2203;top:-849;width:3549;height:899" type="#_x0000_t75" stroked="false">
              <v:imagedata r:id="rId51" o:title=""/>
            </v:shape>
            <w10:wrap type="none"/>
          </v:group>
        </w:pict>
      </w:r>
      <w:r>
        <w:rPr>
          <w:b/>
          <w:sz w:val="12"/>
        </w:rPr>
        <w:t>Producto</w:t>
      </w:r>
    </w:p>
    <w:p>
      <w:pPr>
        <w:pStyle w:val="BodyText"/>
        <w:spacing w:before="1"/>
        <w:rPr>
          <w:b/>
          <w:sz w:val="13"/>
        </w:rPr>
      </w:pPr>
      <w:r>
        <w:rPr/>
        <w:br w:type="column"/>
      </w:r>
      <w:r>
        <w:rPr>
          <w:b/>
          <w:sz w:val="13"/>
        </w:rPr>
      </w:r>
    </w:p>
    <w:p>
      <w:pPr>
        <w:spacing w:before="0"/>
        <w:ind w:left="2735" w:right="3409" w:firstLine="0"/>
        <w:jc w:val="center"/>
        <w:rPr>
          <w:b/>
          <w:sz w:val="12"/>
        </w:rPr>
      </w:pPr>
      <w:r>
        <w:rPr/>
        <w:pict>
          <v:group style="position:absolute;margin-left:329.618561pt;margin-top:-128.320175pt;width:182.55pt;height:124.9pt;mso-position-horizontal-relative:page;mso-position-vertical-relative:paragraph;z-index:252227584" coordorigin="6592,-2566" coordsize="3651,2498">
            <v:shape style="position:absolute;left:6908;top:-2373;width:3335;height:1366" type="#_x0000_t75" stroked="false">
              <v:imagedata r:id="rId52" o:title=""/>
            </v:shape>
            <v:shape style="position:absolute;left:6947;top:-2350;width:2915;height:1214" coordorigin="6948,-2349" coordsize="2915,1214" path="m7204,-2349l6948,-2349,6948,-1135,7204,-1135,7204,-2349m7536,-2250l7280,-2250,7280,-1135,7536,-1135,7536,-2250m7869,-2032l7612,-2032,7612,-1135,7869,-1135,7869,-2032m8201,-1679l7944,-1679,7944,-1135,8201,-1135,8201,-1679m8533,-1653l8277,-1653,8277,-1135,8533,-1135,8533,-1653m8865,-1647l8609,-1647,8609,-1135,8865,-1135,8865,-1647m9197,-1518l8941,-1518,8941,-1135,9197,-1135,9197,-1518m9530,-1347l9273,-1347,9273,-1135,9530,-1135,9530,-1347m9862,-1313l9605,-1313,9605,-1135,9862,-1135,9862,-1313e" filled="true" fillcolor="#9bba58" stroked="false">
              <v:path arrowok="t"/>
              <v:fill type="solid"/>
            </v:shape>
            <v:line style="position:absolute" from="9938,-1110" to="10194,-1110" stroked="true" strokeweight="2.537405pt" strokecolor="#9bba58">
              <v:stroke dashstyle="solid"/>
            </v:line>
            <v:shape style="position:absolute;left:0;top:10337;width:3800;height:1436" coordorigin="0,10338" coordsize="3800,1436" path="m6948,-2349l7204,-2349,7204,-1135,6948,-1135,6948,-2349xm7280,-2250l7536,-2250,7536,-1135,7280,-1135,7280,-2250xm7612,-2032l7869,-2032,7869,-1135,7612,-1135,7612,-2032xm7944,-1679l8201,-1679,8201,-1135,7944,-1135,7944,-1679xm8277,-1653l8533,-1653,8533,-1135,8277,-1135,8277,-1653xm8609,-1647l8865,-1647,8865,-1135,8609,-1135,8609,-1647xm8941,-1518l9197,-1518,9197,-1135,8941,-1135,8941,-1518xm9273,-1347l9530,-1347,9530,-1135,9273,-1135,9273,-1347xm9605,-1313l9862,-1313,9862,-1135,9605,-1135,9605,-1313xm9938,-1085l10194,-1085,10194,-1135,9938,-1135,9938,-1085xe" filled="false" stroked="true" strokeweight=".650824pt" strokecolor="#000000">
              <v:path arrowok="t"/>
              <v:stroke dashstyle="solid"/>
            </v:shape>
            <v:line style="position:absolute" from="6911,-2487" to="6911,-865" stroked="true" strokeweight=".640865pt" strokecolor="#858585">
              <v:stroke dashstyle="solid"/>
            </v:line>
            <v:shape style="position:absolute;left:0;top:8496;width:36;height:1841" coordorigin="0,8497" coordsize="36,1841" path="m6880,-865l6911,-865m6880,-1135l6911,-1135m6880,-1406l6911,-1406m6880,-1677l6911,-1677m6880,-1947l6911,-1947m6880,-2216l6911,-2216m6880,-2487l6911,-2487e" filled="false" stroked="true" strokeweight=".650824pt" strokecolor="#858585">
              <v:path arrowok="t"/>
              <v:stroke dashstyle="solid"/>
            </v:shape>
            <v:line style="position:absolute" from="6911,-1135" to="10231,-1135" stroked="true" strokeweight=".660783pt" strokecolor="#858585">
              <v:stroke dashstyle="solid"/>
            </v:line>
            <v:shape style="position:absolute;left:7236;top:-1123;width:3001;height:2" coordorigin="7237,-1123" coordsize="3001,0" path="m7237,-1123l7250,-1123m7569,-1123l7582,-1123m7901,-1123l7914,-1123m8233,-1123l8246,-1123m8566,-1123l8578,-1123m8898,-1123l8911,-1123m9228,-1123l9241,-1123m9560,-1123l9573,-1123m9892,-1123l9905,-1123m10225,-1123l10237,-1123e" filled="false" stroked="true" strokeweight="1.268703pt" strokecolor="#858585">
              <v:path arrowok="t"/>
              <v:stroke dashstyle="solid"/>
            </v:shape>
            <v:shape style="position:absolute;left:6692;top:-791;width:723;height:527" type="#_x0000_t75" stroked="false">
              <v:imagedata r:id="rId53" o:title=""/>
            </v:shape>
            <v:shape style="position:absolute;left:7521;top:-793;width:880;height:368" type="#_x0000_t75" stroked="false">
              <v:imagedata r:id="rId54" o:title=""/>
            </v:shape>
            <v:shape style="position:absolute;left:8584;top:-803;width:1493;height:735" type="#_x0000_t75" stroked="false">
              <v:imagedata r:id="rId55" o:title=""/>
            </v:shape>
            <v:shape style="position:absolute;left:6592;top:-2567;width:609;height:137" type="#_x0000_t202" filled="false" stroked="false">
              <v:textbox inset="0,0,0,0">
                <w:txbxContent>
                  <w:p>
                    <w:pPr>
                      <w:spacing w:line="136" w:lineRule="exact" w:before="0"/>
                      <w:ind w:left="0" w:right="0" w:firstLine="0"/>
                      <w:jc w:val="left"/>
                      <w:rPr>
                        <w:sz w:val="12"/>
                      </w:rPr>
                    </w:pPr>
                    <w:r>
                      <w:rPr>
                        <w:i/>
                        <w:sz w:val="10"/>
                      </w:rPr>
                      <w:t>100.0 </w:t>
                    </w:r>
                    <w:r>
                      <w:rPr>
                        <w:sz w:val="12"/>
                      </w:rPr>
                      <w:t>89.8</w:t>
                    </w:r>
                  </w:p>
                </w:txbxContent>
              </v:textbox>
              <w10:wrap type="none"/>
            </v:shape>
            <v:shape style="position:absolute;left:7303;top:-2467;width:230;height:136" type="#_x0000_t202" filled="false" stroked="false">
              <v:textbox inset="0,0,0,0">
                <w:txbxContent>
                  <w:p>
                    <w:pPr>
                      <w:spacing w:line="135" w:lineRule="exact" w:before="0"/>
                      <w:ind w:left="0" w:right="0" w:firstLine="0"/>
                      <w:jc w:val="left"/>
                      <w:rPr>
                        <w:sz w:val="12"/>
                      </w:rPr>
                    </w:pPr>
                    <w:r>
                      <w:rPr>
                        <w:sz w:val="12"/>
                      </w:rPr>
                      <w:t>82.5</w:t>
                    </w:r>
                  </w:p>
                </w:txbxContent>
              </v:textbox>
              <w10:wrap type="none"/>
            </v:shape>
            <v:shape style="position:absolute;left:6643;top:-2278;width:201;height:118" type="#_x0000_t202" filled="false" stroked="false">
              <v:textbox inset="0,0,0,0">
                <w:txbxContent>
                  <w:p>
                    <w:pPr>
                      <w:spacing w:before="1"/>
                      <w:ind w:left="0" w:right="0" w:firstLine="0"/>
                      <w:jc w:val="left"/>
                      <w:rPr>
                        <w:i/>
                        <w:sz w:val="10"/>
                      </w:rPr>
                    </w:pPr>
                    <w:r>
                      <w:rPr>
                        <w:i/>
                        <w:w w:val="105"/>
                        <w:sz w:val="10"/>
                      </w:rPr>
                      <w:t>80.0</w:t>
                    </w:r>
                  </w:p>
                </w:txbxContent>
              </v:textbox>
              <w10:wrap type="none"/>
            </v:shape>
            <v:shape style="position:absolute;left:7635;top:-2250;width:230;height:136" type="#_x0000_t202" filled="false" stroked="false">
              <v:textbox inset="0,0,0,0">
                <w:txbxContent>
                  <w:p>
                    <w:pPr>
                      <w:spacing w:line="135" w:lineRule="exact" w:before="0"/>
                      <w:ind w:left="0" w:right="0" w:firstLine="0"/>
                      <w:jc w:val="left"/>
                      <w:rPr>
                        <w:sz w:val="12"/>
                      </w:rPr>
                    </w:pPr>
                    <w:r>
                      <w:rPr>
                        <w:sz w:val="12"/>
                      </w:rPr>
                      <w:t>66.4</w:t>
                    </w:r>
                  </w:p>
                </w:txbxContent>
              </v:textbox>
              <w10:wrap type="none"/>
            </v:shape>
            <v:shape style="position:absolute;left:6643;top:-2007;width:201;height:118" type="#_x0000_t202" filled="false" stroked="false">
              <v:textbox inset="0,0,0,0">
                <w:txbxContent>
                  <w:p>
                    <w:pPr>
                      <w:spacing w:before="1"/>
                      <w:ind w:left="0" w:right="0" w:firstLine="0"/>
                      <w:jc w:val="left"/>
                      <w:rPr>
                        <w:i/>
                        <w:sz w:val="10"/>
                      </w:rPr>
                    </w:pPr>
                    <w:r>
                      <w:rPr>
                        <w:i/>
                        <w:w w:val="105"/>
                        <w:sz w:val="10"/>
                      </w:rPr>
                      <w:t>60.0</w:t>
                    </w:r>
                  </w:p>
                </w:txbxContent>
              </v:textbox>
              <w10:wrap type="none"/>
            </v:shape>
            <v:shape style="position:absolute;left:7967;top:-1895;width:894;height:169" type="#_x0000_t202" filled="false" stroked="false">
              <v:textbox inset="0,0,0,0">
                <w:txbxContent>
                  <w:p>
                    <w:pPr>
                      <w:spacing w:before="0"/>
                      <w:ind w:left="0" w:right="0" w:firstLine="0"/>
                      <w:jc w:val="left"/>
                      <w:rPr>
                        <w:sz w:val="12"/>
                      </w:rPr>
                    </w:pPr>
                    <w:r>
                      <w:rPr>
                        <w:position w:val="3"/>
                        <w:sz w:val="12"/>
                      </w:rPr>
                      <w:t>40.2 </w:t>
                    </w:r>
                    <w:r>
                      <w:rPr>
                        <w:position w:val="1"/>
                        <w:sz w:val="12"/>
                      </w:rPr>
                      <w:t>38.3 </w:t>
                    </w:r>
                    <w:r>
                      <w:rPr>
                        <w:sz w:val="12"/>
                      </w:rPr>
                      <w:t>37.8</w:t>
                    </w:r>
                  </w:p>
                </w:txbxContent>
              </v:textbox>
              <w10:wrap type="none"/>
            </v:shape>
            <v:shape style="position:absolute;left:6643;top:-1736;width:201;height:118" type="#_x0000_t202" filled="false" stroked="false">
              <v:textbox inset="0,0,0,0">
                <w:txbxContent>
                  <w:p>
                    <w:pPr>
                      <w:spacing w:before="1"/>
                      <w:ind w:left="0" w:right="0" w:firstLine="0"/>
                      <w:jc w:val="left"/>
                      <w:rPr>
                        <w:i/>
                        <w:sz w:val="10"/>
                      </w:rPr>
                    </w:pPr>
                    <w:r>
                      <w:rPr>
                        <w:i/>
                        <w:w w:val="105"/>
                        <w:sz w:val="10"/>
                      </w:rPr>
                      <w:t>40.0</w:t>
                    </w:r>
                  </w:p>
                </w:txbxContent>
              </v:textbox>
              <w10:wrap type="none"/>
            </v:shape>
            <v:shape style="position:absolute;left:8964;top:-1736;width:230;height:136" type="#_x0000_t202" filled="false" stroked="false">
              <v:textbox inset="0,0,0,0">
                <w:txbxContent>
                  <w:p>
                    <w:pPr>
                      <w:spacing w:line="135" w:lineRule="exact" w:before="0"/>
                      <w:ind w:left="0" w:right="0" w:firstLine="0"/>
                      <w:jc w:val="left"/>
                      <w:rPr>
                        <w:sz w:val="12"/>
                      </w:rPr>
                    </w:pPr>
                    <w:r>
                      <w:rPr>
                        <w:sz w:val="12"/>
                      </w:rPr>
                      <w:t>28.4</w:t>
                    </w:r>
                  </w:p>
                </w:txbxContent>
              </v:textbox>
              <w10:wrap type="none"/>
            </v:shape>
            <v:shape style="position:absolute;left:6643;top:-1467;width:201;height:118" type="#_x0000_t202" filled="false" stroked="false">
              <v:textbox inset="0,0,0,0">
                <w:txbxContent>
                  <w:p>
                    <w:pPr>
                      <w:spacing w:before="1"/>
                      <w:ind w:left="0" w:right="0" w:firstLine="0"/>
                      <w:jc w:val="left"/>
                      <w:rPr>
                        <w:i/>
                        <w:sz w:val="10"/>
                      </w:rPr>
                    </w:pPr>
                    <w:r>
                      <w:rPr>
                        <w:i/>
                        <w:w w:val="105"/>
                        <w:sz w:val="10"/>
                      </w:rPr>
                      <w:t>20.0</w:t>
                    </w:r>
                  </w:p>
                </w:txbxContent>
              </v:textbox>
              <w10:wrap type="none"/>
            </v:shape>
            <v:shape style="position:absolute;left:9297;top:-1564;width:562;height:170" type="#_x0000_t202" filled="false" stroked="false">
              <v:textbox inset="0,0,0,0">
                <w:txbxContent>
                  <w:p>
                    <w:pPr>
                      <w:spacing w:line="232" w:lineRule="auto" w:before="0"/>
                      <w:ind w:left="0" w:right="0" w:firstLine="0"/>
                      <w:jc w:val="left"/>
                      <w:rPr>
                        <w:sz w:val="12"/>
                      </w:rPr>
                    </w:pPr>
                    <w:r>
                      <w:rPr>
                        <w:sz w:val="12"/>
                      </w:rPr>
                      <w:t>15.7 </w:t>
                    </w:r>
                    <w:r>
                      <w:rPr>
                        <w:position w:val="-2"/>
                        <w:sz w:val="12"/>
                      </w:rPr>
                      <w:t>13.2</w:t>
                    </w:r>
                  </w:p>
                </w:txbxContent>
              </v:textbox>
              <w10:wrap type="none"/>
            </v:shape>
            <v:shape style="position:absolute;left:6609;top:-1196;width:235;height:388" type="#_x0000_t202" filled="false" stroked="false">
              <v:textbox inset="0,0,0,0">
                <w:txbxContent>
                  <w:p>
                    <w:pPr>
                      <w:spacing w:before="1"/>
                      <w:ind w:left="85" w:right="0" w:firstLine="0"/>
                      <w:jc w:val="left"/>
                      <w:rPr>
                        <w:i/>
                        <w:sz w:val="10"/>
                      </w:rPr>
                    </w:pPr>
                    <w:r>
                      <w:rPr>
                        <w:i/>
                        <w:w w:val="105"/>
                        <w:sz w:val="10"/>
                      </w:rPr>
                      <w:t>0.0</w:t>
                    </w:r>
                  </w:p>
                  <w:p>
                    <w:pPr>
                      <w:spacing w:line="240" w:lineRule="auto" w:before="6"/>
                      <w:rPr>
                        <w:i/>
                        <w:sz w:val="13"/>
                      </w:rPr>
                    </w:pPr>
                  </w:p>
                  <w:p>
                    <w:pPr>
                      <w:spacing w:before="0"/>
                      <w:ind w:left="0" w:right="0" w:firstLine="0"/>
                      <w:jc w:val="left"/>
                      <w:rPr>
                        <w:i/>
                        <w:sz w:val="10"/>
                      </w:rPr>
                    </w:pPr>
                    <w:r>
                      <w:rPr>
                        <w:i/>
                        <w:w w:val="105"/>
                        <w:sz w:val="10"/>
                      </w:rPr>
                      <w:t>-20.0</w:t>
                    </w:r>
                  </w:p>
                </w:txbxContent>
              </v:textbox>
              <w10:wrap type="none"/>
            </v:shape>
            <v:shape style="position:absolute;left:9972;top:-999;width:209;height:136" type="#_x0000_t202" filled="false" stroked="false">
              <v:textbox inset="0,0,0,0">
                <w:txbxContent>
                  <w:p>
                    <w:pPr>
                      <w:spacing w:line="135" w:lineRule="exact" w:before="0"/>
                      <w:ind w:left="0" w:right="0" w:firstLine="0"/>
                      <w:jc w:val="left"/>
                      <w:rPr>
                        <w:sz w:val="12"/>
                      </w:rPr>
                    </w:pPr>
                    <w:r>
                      <w:rPr>
                        <w:sz w:val="12"/>
                      </w:rPr>
                      <w:t>-3.8</w:t>
                    </w:r>
                  </w:p>
                </w:txbxContent>
              </v:textbox>
              <w10:wrap type="none"/>
            </v:shape>
            <w10:wrap type="none"/>
          </v:group>
        </w:pict>
      </w:r>
      <w:r>
        <w:rPr>
          <w:b/>
          <w:sz w:val="12"/>
        </w:rPr>
        <w:t>Producto</w:t>
      </w:r>
    </w:p>
    <w:p>
      <w:pPr>
        <w:spacing w:after="0"/>
        <w:jc w:val="center"/>
        <w:rPr>
          <w:sz w:val="12"/>
        </w:rPr>
        <w:sectPr>
          <w:type w:val="continuous"/>
          <w:pgSz w:w="12240" w:h="15840"/>
          <w:pgMar w:top="1500" w:bottom="280" w:left="1140" w:right="0"/>
          <w:cols w:num="2" w:equalWidth="0">
            <w:col w:w="3279" w:space="1163"/>
            <w:col w:w="6658"/>
          </w:cols>
        </w:sectPr>
      </w:pPr>
    </w:p>
    <w:p>
      <w:pPr>
        <w:pStyle w:val="BodyText"/>
        <w:spacing w:before="1"/>
        <w:rPr>
          <w:b/>
          <w:sz w:val="14"/>
        </w:rPr>
      </w:pPr>
    </w:p>
    <w:p>
      <w:pPr>
        <w:spacing w:before="95"/>
        <w:ind w:left="641" w:right="0" w:firstLine="0"/>
        <w:jc w:val="both"/>
        <w:rPr>
          <w:sz w:val="16"/>
        </w:rPr>
      </w:pPr>
      <w:r>
        <w:rPr>
          <w:sz w:val="16"/>
        </w:rPr>
        <w:t>Fuente: Dirección de Análisis y Política Fiscal con información de BANGUAT</w:t>
      </w:r>
    </w:p>
    <w:p>
      <w:pPr>
        <w:pStyle w:val="BodyText"/>
        <w:rPr>
          <w:sz w:val="18"/>
        </w:rPr>
      </w:pPr>
    </w:p>
    <w:p>
      <w:pPr>
        <w:pStyle w:val="BodyText"/>
        <w:spacing w:line="276" w:lineRule="auto" w:before="109"/>
        <w:ind w:left="562" w:right="1696"/>
        <w:jc w:val="both"/>
      </w:pPr>
      <w:r>
        <w:rPr/>
        <w:t>Entre</w:t>
      </w:r>
      <w:r>
        <w:rPr>
          <w:spacing w:val="-12"/>
        </w:rPr>
        <w:t> </w:t>
      </w:r>
      <w:r>
        <w:rPr/>
        <w:t>los</w:t>
      </w:r>
      <w:r>
        <w:rPr>
          <w:spacing w:val="-8"/>
        </w:rPr>
        <w:t> </w:t>
      </w:r>
      <w:r>
        <w:rPr/>
        <w:t>principales</w:t>
      </w:r>
      <w:r>
        <w:rPr>
          <w:spacing w:val="-11"/>
        </w:rPr>
        <w:t> </w:t>
      </w:r>
      <w:r>
        <w:rPr/>
        <w:t>socios</w:t>
      </w:r>
      <w:r>
        <w:rPr>
          <w:spacing w:val="-10"/>
        </w:rPr>
        <w:t> </w:t>
      </w:r>
      <w:r>
        <w:rPr/>
        <w:t>comerciales</w:t>
      </w:r>
      <w:r>
        <w:rPr>
          <w:spacing w:val="-9"/>
        </w:rPr>
        <w:t> </w:t>
      </w:r>
      <w:r>
        <w:rPr/>
        <w:t>de</w:t>
      </w:r>
      <w:r>
        <w:rPr>
          <w:spacing w:val="-8"/>
        </w:rPr>
        <w:t> </w:t>
      </w:r>
      <w:r>
        <w:rPr/>
        <w:t>las</w:t>
      </w:r>
      <w:r>
        <w:rPr>
          <w:spacing w:val="-9"/>
        </w:rPr>
        <w:t> </w:t>
      </w:r>
      <w:r>
        <w:rPr/>
        <w:t>exportaciones</w:t>
      </w:r>
      <w:r>
        <w:rPr>
          <w:spacing w:val="-10"/>
        </w:rPr>
        <w:t> </w:t>
      </w:r>
      <w:r>
        <w:rPr/>
        <w:t>de</w:t>
      </w:r>
      <w:r>
        <w:rPr>
          <w:spacing w:val="-8"/>
        </w:rPr>
        <w:t> </w:t>
      </w:r>
      <w:r>
        <w:rPr/>
        <w:t>bienes</w:t>
      </w:r>
      <w:r>
        <w:rPr>
          <w:spacing w:val="-9"/>
        </w:rPr>
        <w:t> </w:t>
      </w:r>
      <w:r>
        <w:rPr/>
        <w:t>FOB,</w:t>
      </w:r>
      <w:r>
        <w:rPr>
          <w:spacing w:val="-9"/>
        </w:rPr>
        <w:t> </w:t>
      </w:r>
      <w:r>
        <w:rPr/>
        <w:t>se</w:t>
      </w:r>
      <w:r>
        <w:rPr>
          <w:spacing w:val="-8"/>
        </w:rPr>
        <w:t> </w:t>
      </w:r>
      <w:r>
        <w:rPr/>
        <w:t>encuentran</w:t>
      </w:r>
      <w:r>
        <w:rPr>
          <w:spacing w:val="-10"/>
        </w:rPr>
        <w:t> </w:t>
      </w:r>
      <w:r>
        <w:rPr/>
        <w:t>los</w:t>
      </w:r>
      <w:r>
        <w:rPr>
          <w:spacing w:val="-9"/>
        </w:rPr>
        <w:t> </w:t>
      </w:r>
      <w:r>
        <w:rPr/>
        <w:t>países centroamericanos (32.6%), Estados Unidos (32.5%), la Zona del Euro (10.1%) y México (4.1%), ocupando</w:t>
      </w:r>
      <w:r>
        <w:rPr>
          <w:spacing w:val="-17"/>
        </w:rPr>
        <w:t> </w:t>
      </w:r>
      <w:r>
        <w:rPr/>
        <w:t>el</w:t>
      </w:r>
      <w:r>
        <w:rPr>
          <w:spacing w:val="-15"/>
        </w:rPr>
        <w:t> </w:t>
      </w:r>
      <w:r>
        <w:rPr/>
        <w:t>79.3%</w:t>
      </w:r>
      <w:r>
        <w:rPr>
          <w:spacing w:val="-15"/>
        </w:rPr>
        <w:t> </w:t>
      </w:r>
      <w:r>
        <w:rPr/>
        <w:t>del</w:t>
      </w:r>
      <w:r>
        <w:rPr>
          <w:spacing w:val="-15"/>
        </w:rPr>
        <w:t> </w:t>
      </w:r>
      <w:r>
        <w:rPr/>
        <w:t>total</w:t>
      </w:r>
      <w:r>
        <w:rPr>
          <w:spacing w:val="-17"/>
        </w:rPr>
        <w:t> </w:t>
      </w:r>
      <w:r>
        <w:rPr/>
        <w:t>de</w:t>
      </w:r>
      <w:r>
        <w:rPr>
          <w:spacing w:val="-15"/>
        </w:rPr>
        <w:t> </w:t>
      </w:r>
      <w:r>
        <w:rPr/>
        <w:t>todas</w:t>
      </w:r>
      <w:r>
        <w:rPr>
          <w:spacing w:val="-16"/>
        </w:rPr>
        <w:t> </w:t>
      </w:r>
      <w:r>
        <w:rPr/>
        <w:t>las</w:t>
      </w:r>
      <w:r>
        <w:rPr>
          <w:spacing w:val="-15"/>
        </w:rPr>
        <w:t> </w:t>
      </w:r>
      <w:r>
        <w:rPr/>
        <w:t>exportaciones.</w:t>
      </w:r>
      <w:r>
        <w:rPr>
          <w:spacing w:val="-18"/>
        </w:rPr>
        <w:t> </w:t>
      </w:r>
      <w:r>
        <w:rPr/>
        <w:t>China</w:t>
      </w:r>
      <w:r>
        <w:rPr>
          <w:spacing w:val="-15"/>
        </w:rPr>
        <w:t> </w:t>
      </w:r>
      <w:r>
        <w:rPr/>
        <w:t>ha</w:t>
      </w:r>
      <w:r>
        <w:rPr>
          <w:spacing w:val="-15"/>
        </w:rPr>
        <w:t> </w:t>
      </w:r>
      <w:r>
        <w:rPr/>
        <w:t>presentado</w:t>
      </w:r>
      <w:r>
        <w:rPr>
          <w:spacing w:val="-15"/>
        </w:rPr>
        <w:t> </w:t>
      </w:r>
      <w:r>
        <w:rPr/>
        <w:t>un</w:t>
      </w:r>
      <w:r>
        <w:rPr>
          <w:spacing w:val="-16"/>
        </w:rPr>
        <w:t> </w:t>
      </w:r>
      <w:r>
        <w:rPr/>
        <w:t>crecimiento</w:t>
      </w:r>
      <w:r>
        <w:rPr>
          <w:spacing w:val="-16"/>
        </w:rPr>
        <w:t> </w:t>
      </w:r>
      <w:r>
        <w:rPr/>
        <w:t>interanual más alto hasta la fecha con 69.1%, debido principalmente a la demanda de azúcar; mientras que Canadá ha sufrido una recaída del -35.4% en la demanda de productos</w:t>
      </w:r>
      <w:r>
        <w:rPr>
          <w:spacing w:val="-6"/>
        </w:rPr>
        <w:t> </w:t>
      </w:r>
      <w:r>
        <w:rPr/>
        <w:t>nacionales.</w:t>
      </w:r>
    </w:p>
    <w:p>
      <w:pPr>
        <w:pStyle w:val="BodyText"/>
        <w:spacing w:before="11"/>
        <w:rPr>
          <w:sz w:val="17"/>
        </w:rPr>
      </w:pPr>
    </w:p>
    <w:p>
      <w:pPr>
        <w:spacing w:after="0"/>
        <w:rPr>
          <w:sz w:val="17"/>
        </w:rPr>
        <w:sectPr>
          <w:type w:val="continuous"/>
          <w:pgSz w:w="12240" w:h="15840"/>
          <w:pgMar w:top="1500" w:bottom="280" w:left="1140" w:right="0"/>
        </w:sectPr>
      </w:pPr>
    </w:p>
    <w:p>
      <w:pPr>
        <w:spacing w:line="276" w:lineRule="auto" w:before="91"/>
        <w:ind w:left="1778" w:right="0" w:hanging="615"/>
        <w:jc w:val="left"/>
        <w:rPr>
          <w:b/>
          <w:sz w:val="20"/>
        </w:rPr>
      </w:pPr>
      <w:bookmarkStart w:name="_bookmark90" w:id="113"/>
      <w:bookmarkEnd w:id="113"/>
      <w:r>
        <w:rPr/>
      </w:r>
      <w:r>
        <w:rPr>
          <w:b/>
          <w:i/>
          <w:sz w:val="20"/>
        </w:rPr>
        <w:t>Gráfico 45. </w:t>
      </w:r>
      <w:r>
        <w:rPr>
          <w:b/>
          <w:sz w:val="20"/>
        </w:rPr>
        <w:t>Diagrama de Pareto para Exportaciones por País</w:t>
      </w:r>
    </w:p>
    <w:p>
      <w:pPr>
        <w:spacing w:line="276" w:lineRule="auto" w:before="91"/>
        <w:ind w:left="1773" w:right="1165" w:hanging="610"/>
        <w:jc w:val="left"/>
        <w:rPr>
          <w:b/>
          <w:sz w:val="20"/>
        </w:rPr>
      </w:pPr>
      <w:r>
        <w:rPr/>
        <w:br w:type="column"/>
      </w:r>
      <w:bookmarkStart w:name="_bookmark91" w:id="114"/>
      <w:bookmarkEnd w:id="114"/>
      <w:r>
        <w:rPr/>
      </w:r>
      <w:r>
        <w:rPr>
          <w:b/>
          <w:i/>
          <w:sz w:val="20"/>
        </w:rPr>
        <w:t>Gráfico 46. </w:t>
      </w:r>
      <w:r>
        <w:rPr>
          <w:b/>
          <w:sz w:val="20"/>
        </w:rPr>
        <w:t>Tasas de Variación de las Exportaciones por País</w:t>
      </w:r>
    </w:p>
    <w:p>
      <w:pPr>
        <w:spacing w:after="0" w:line="276" w:lineRule="auto"/>
        <w:jc w:val="left"/>
        <w:rPr>
          <w:sz w:val="20"/>
        </w:rPr>
        <w:sectPr>
          <w:type w:val="continuous"/>
          <w:pgSz w:w="12240" w:h="15840"/>
          <w:pgMar w:top="1500" w:bottom="280" w:left="1140" w:right="0"/>
          <w:cols w:num="2" w:equalWidth="0">
            <w:col w:w="4369" w:space="50"/>
            <w:col w:w="6681"/>
          </w:cols>
        </w:sectPr>
      </w:pPr>
    </w:p>
    <w:p>
      <w:pPr>
        <w:spacing w:before="94"/>
        <w:ind w:left="0" w:right="9835" w:firstLine="0"/>
        <w:jc w:val="right"/>
        <w:rPr>
          <w:rFonts w:ascii="Calibri"/>
          <w:i/>
          <w:sz w:val="14"/>
        </w:rPr>
      </w:pPr>
      <w:r>
        <w:rPr/>
        <w:pict>
          <v:group style="position:absolute;margin-left:124.281593pt;margin-top:8.566826pt;width:168.55pt;height:107.9pt;mso-position-horizontal-relative:page;mso-position-vertical-relative:paragraph;z-index:252237824" coordorigin="2486,171" coordsize="3371,2158">
            <v:shape style="position:absolute;left:2529;top:1601;width:997;height:684" coordorigin="2529,1601" coordsize="997,684" path="m3526,2074l3194,2074,3194,1606,2863,1606,2863,1601,2529,1601,2529,2285,2863,2285,3194,2285,3526,2285,3526,2074e" filled="true" fillcolor="#4f81bc" stroked="false">
              <v:path arrowok="t"/>
              <v:fill type="solid"/>
            </v:shape>
            <v:line style="position:absolute" from="3526,2243" to="3858,2243" stroked="true" strokeweight="4.249135pt" strokecolor="#4f81bc">
              <v:stroke dashstyle="solid"/>
            </v:line>
            <v:line style="position:absolute" from="3858,2263" to="4189,2263" stroked="true" strokeweight="2.280024pt" strokecolor="#4f81bc">
              <v:stroke dashstyle="solid"/>
            </v:line>
            <v:line style="position:absolute" from="4189,2266" to="4521,2266" stroked="true" strokeweight="1.969112pt" strokecolor="#4f81bc">
              <v:stroke dashstyle="solid"/>
            </v:line>
            <v:shape style="position:absolute;left:4520;top:2254;width:1329;height:32" coordorigin="4521,2254" coordsize="1329,32" path="m5849,2265l5518,2265,5518,2263,5186,2263,5186,2256,4852,2256,4852,2254,4521,2254,4521,2285,4852,2285,5186,2285,5518,2285,5849,2285,5849,2265e" filled="true" fillcolor="#4f81bc" stroked="false">
              <v:path arrowok="t"/>
              <v:fill type="solid"/>
            </v:shape>
            <v:shape style="position:absolute;left:0;top:7161;width:2307;height:792" coordorigin="0,7162" coordsize="2307,792" path="m2529,1601l2863,1601,2863,2285,2529,2285,2529,1601xm2863,1606l3194,1606,3194,2285,2863,2285,2863,1606xm3194,2074l3526,2074,3526,2285,3194,2285,3194,2074xm3526,2200l3858,2200,3858,2285,3526,2285,3526,2200xm3858,2240l4189,2240,4189,2285,3858,2285,3858,2240xm4189,2246l4521,2246,4521,2285,4189,2285,4189,2246xe" filled="false" stroked="true" strokeweight=".647706pt" strokecolor="#000000">
              <v:path arrowok="t"/>
              <v:stroke dashstyle="solid"/>
            </v:shape>
            <v:shape style="position:absolute;left:4514;top:2247;width:1342;height:45" coordorigin="4514,2248" coordsize="1342,45" path="m5856,2258l5524,2258,5524,2256,5193,2256,5193,2250,4859,2250,4859,2248,4514,2248,4514,2292,4846,2292,4859,2292,5856,2292,5856,2258e" filled="true" fillcolor="#000000" stroked="false">
              <v:path arrowok="t"/>
              <v:fill type="solid"/>
            </v:shape>
            <v:line style="position:absolute" from="2529,2285" to="2529,190" stroked="true" strokeweight=".647678pt" strokecolor="#858585">
              <v:stroke dashstyle="solid"/>
            </v:line>
            <v:shape style="position:absolute;left:0;top:4735;width:51;height:2427" coordorigin="0,4735" coordsize="51,2427" path="m2486,2285l2529,2285m2486,2076l2529,2076m2486,1867l2529,1867m2486,1657l2529,1657m2486,1448l2529,1448m2486,1237l2529,1237m2486,1027l2529,1027m2486,818l2529,818m2486,609l2529,609m2486,399l2529,399m2486,190l2529,190e" filled="false" stroked="true" strokeweight=".647706pt" strokecolor="#858585">
              <v:path arrowok="t"/>
              <v:stroke dashstyle="solid"/>
            </v:shape>
            <v:shape style="position:absolute;left:0;top:7161;width:3845;height:51" coordorigin="0,7162" coordsize="3845,51" path="m2529,2285l5849,2285m2529,2285l2529,2329m2863,2285l2863,2329m3194,2285l3194,2329m3526,2285l3526,2329m3858,2285l3858,2329m4189,2285l4189,2329m4521,2285l4521,2329m4852,2285l4852,2329m5186,2285l5186,2329m5518,2285l5518,2329m5849,2285l5849,2329e" filled="false" stroked="true" strokeweight=".647706pt" strokecolor="#858585">
              <v:path arrowok="t"/>
              <v:stroke dashstyle="solid"/>
            </v:shape>
            <v:shape style="position:absolute;left:2696;top:435;width:2987;height:1168" coordorigin="2696,435" coordsize="2987,1168" path="m2696,1602l3028,923,3359,711,3691,624,4024,578,4356,539,4688,508,5019,479,5351,456,5682,435e" filled="false" stroked="true" strokeweight="1.94318pt" strokecolor="#bd4a47">
              <v:path arrowok="t"/>
              <v:stroke dashstyle="solid"/>
            </v:shape>
            <v:shape style="position:absolute;left:2647;top:1551;width:100;height:100" type="#_x0000_t75" stroked="false">
              <v:imagedata r:id="rId56" o:title=""/>
            </v:shape>
            <v:shape style="position:absolute;left:2978;top:873;width:100;height:100" type="#_x0000_t75" stroked="false">
              <v:imagedata r:id="rId56" o:title=""/>
            </v:shape>
            <v:shape style="position:absolute;left:3310;top:662;width:100;height:100" type="#_x0000_t75" stroked="false">
              <v:imagedata r:id="rId57" o:title=""/>
            </v:shape>
            <v:shape style="position:absolute;left:3641;top:573;width:100;height:100" type="#_x0000_t75" stroked="false">
              <v:imagedata r:id="rId56" o:title=""/>
            </v:shape>
            <v:shape style="position:absolute;left:3973;top:529;width:100;height:100" type="#_x0000_t75" stroked="false">
              <v:imagedata r:id="rId56" o:title=""/>
            </v:shape>
            <v:shape style="position:absolute;left:4305;top:490;width:100;height:100" type="#_x0000_t75" stroked="false">
              <v:imagedata r:id="rId58" o:title=""/>
            </v:shape>
            <v:shape style="position:absolute;left:4636;top:456;width:100;height:100" type="#_x0000_t75" stroked="false">
              <v:imagedata r:id="rId59" o:title=""/>
            </v:shape>
            <v:shape style="position:absolute;left:4968;top:427;width:100;height:100" type="#_x0000_t75" stroked="false">
              <v:imagedata r:id="rId59" o:title=""/>
            </v:shape>
            <v:shape style="position:absolute;left:5302;top:405;width:100;height:100" type="#_x0000_t75" stroked="false">
              <v:imagedata r:id="rId56" o:title=""/>
            </v:shape>
            <v:shape style="position:absolute;left:5633;top:384;width:100;height:100" type="#_x0000_t75" stroked="false">
              <v:imagedata r:id="rId58" o:title=""/>
            </v:shape>
            <v:shape style="position:absolute;left:3236;top:448;width:267;height:139" type="#_x0000_t202" filled="false" stroked="false">
              <v:textbox inset="0,0,0,0">
                <w:txbxContent>
                  <w:p>
                    <w:pPr>
                      <w:spacing w:line="139" w:lineRule="exact" w:before="0"/>
                      <w:ind w:left="0" w:right="0" w:firstLine="0"/>
                      <w:jc w:val="left"/>
                      <w:rPr>
                        <w:rFonts w:ascii="Calibri"/>
                        <w:sz w:val="14"/>
                      </w:rPr>
                    </w:pPr>
                    <w:r>
                      <w:rPr>
                        <w:rFonts w:ascii="Calibri"/>
                        <w:sz w:val="14"/>
                      </w:rPr>
                      <w:t>75.1</w:t>
                    </w:r>
                  </w:p>
                </w:txbxContent>
              </v:textbox>
              <w10:wrap type="none"/>
            </v:shape>
            <v:shape style="position:absolute;left:3568;top:276;width:931;height:223" type="#_x0000_t202" filled="false" stroked="false">
              <v:textbox inset="0,0,0,0">
                <w:txbxContent>
                  <w:p>
                    <w:pPr>
                      <w:spacing w:line="187" w:lineRule="auto" w:before="0"/>
                      <w:ind w:left="0" w:right="0" w:firstLine="0"/>
                      <w:jc w:val="left"/>
                      <w:rPr>
                        <w:rFonts w:ascii="Calibri"/>
                        <w:sz w:val="14"/>
                      </w:rPr>
                    </w:pPr>
                    <w:r>
                      <w:rPr>
                        <w:rFonts w:ascii="Calibri"/>
                        <w:position w:val="-7"/>
                        <w:sz w:val="14"/>
                      </w:rPr>
                      <w:t>79.3 </w:t>
                    </w:r>
                    <w:r>
                      <w:rPr>
                        <w:rFonts w:ascii="Calibri"/>
                        <w:position w:val="-3"/>
                        <w:sz w:val="14"/>
                      </w:rPr>
                      <w:t>81.4 </w:t>
                    </w:r>
                    <w:r>
                      <w:rPr>
                        <w:rFonts w:ascii="Calibri"/>
                        <w:sz w:val="14"/>
                      </w:rPr>
                      <w:t>83.3</w:t>
                    </w:r>
                  </w:p>
                </w:txbxContent>
              </v:textbox>
              <w10:wrap type="none"/>
            </v:shape>
            <v:shape style="position:absolute;left:4564;top:171;width:1263;height:213" type="#_x0000_t202" filled="false" stroked="false">
              <v:textbox inset="0,0,0,0">
                <w:txbxContent>
                  <w:p>
                    <w:pPr>
                      <w:spacing w:line="187" w:lineRule="auto" w:before="0"/>
                      <w:ind w:left="0" w:right="0" w:firstLine="0"/>
                      <w:jc w:val="left"/>
                      <w:rPr>
                        <w:rFonts w:ascii="Calibri"/>
                        <w:sz w:val="14"/>
                      </w:rPr>
                    </w:pPr>
                    <w:r>
                      <w:rPr>
                        <w:rFonts w:ascii="Calibri"/>
                        <w:position w:val="-6"/>
                        <w:sz w:val="14"/>
                      </w:rPr>
                      <w:t>84.8 </w:t>
                    </w:r>
                    <w:r>
                      <w:rPr>
                        <w:rFonts w:ascii="Calibri"/>
                        <w:position w:val="-3"/>
                        <w:sz w:val="14"/>
                      </w:rPr>
                      <w:t>86.2 </w:t>
                    </w:r>
                    <w:r>
                      <w:rPr>
                        <w:rFonts w:ascii="Calibri"/>
                        <w:position w:val="-1"/>
                        <w:sz w:val="14"/>
                      </w:rPr>
                      <w:t>87.3 </w:t>
                    </w:r>
                    <w:r>
                      <w:rPr>
                        <w:rFonts w:ascii="Calibri"/>
                        <w:sz w:val="14"/>
                      </w:rPr>
                      <w:t>88.3</w:t>
                    </w:r>
                  </w:p>
                </w:txbxContent>
              </v:textbox>
              <w10:wrap type="none"/>
            </v:shape>
            <v:shape style="position:absolute;left:2956;top:659;width:161;height:139" type="#_x0000_t202" filled="false" stroked="false">
              <v:textbox inset="0,0,0,0">
                <w:txbxContent>
                  <w:p>
                    <w:pPr>
                      <w:spacing w:line="139" w:lineRule="exact" w:before="0"/>
                      <w:ind w:left="0" w:right="0" w:firstLine="0"/>
                      <w:jc w:val="left"/>
                      <w:rPr>
                        <w:rFonts w:ascii="Calibri"/>
                        <w:sz w:val="14"/>
                      </w:rPr>
                    </w:pPr>
                    <w:r>
                      <w:rPr>
                        <w:rFonts w:ascii="Calibri"/>
                        <w:sz w:val="14"/>
                      </w:rPr>
                      <w:t>65</w:t>
                    </w:r>
                  </w:p>
                </w:txbxContent>
              </v:textbox>
              <w10:wrap type="none"/>
            </v:shape>
            <v:shape style="position:absolute;left:2572;top:1279;width:267;height:139" type="#_x0000_t202" filled="false" stroked="false">
              <v:textbox inset="0,0,0,0">
                <w:txbxContent>
                  <w:p>
                    <w:pPr>
                      <w:spacing w:line="139" w:lineRule="exact" w:before="0"/>
                      <w:ind w:left="0" w:right="0" w:firstLine="0"/>
                      <w:jc w:val="left"/>
                      <w:rPr>
                        <w:rFonts w:ascii="Calibri"/>
                        <w:sz w:val="14"/>
                      </w:rPr>
                    </w:pPr>
                    <w:r>
                      <w:rPr>
                        <w:rFonts w:ascii="Calibri"/>
                        <w:sz w:val="14"/>
                      </w:rPr>
                      <w:t>32.6</w:t>
                    </w:r>
                  </w:p>
                </w:txbxContent>
              </v:textbox>
              <w10:wrap type="none"/>
            </v:shape>
            <v:shape style="position:absolute;left:2904;top:1385;width:267;height:139" type="#_x0000_t202" filled="false" stroked="false">
              <v:textbox inset="0,0,0,0">
                <w:txbxContent>
                  <w:p>
                    <w:pPr>
                      <w:spacing w:line="139" w:lineRule="exact" w:before="0"/>
                      <w:ind w:left="0" w:right="0" w:firstLine="0"/>
                      <w:jc w:val="left"/>
                      <w:rPr>
                        <w:rFonts w:ascii="Calibri"/>
                        <w:sz w:val="14"/>
                      </w:rPr>
                    </w:pPr>
                    <w:r>
                      <w:rPr>
                        <w:rFonts w:ascii="Calibri"/>
                        <w:sz w:val="14"/>
                      </w:rPr>
                      <w:t>32.5</w:t>
                    </w:r>
                  </w:p>
                </w:txbxContent>
              </v:textbox>
              <w10:wrap type="none"/>
            </v:shape>
            <v:shape style="position:absolute;left:3236;top:1855;width:267;height:139" type="#_x0000_t202" filled="false" stroked="false">
              <v:textbox inset="0,0,0,0">
                <w:txbxContent>
                  <w:p>
                    <w:pPr>
                      <w:spacing w:line="139" w:lineRule="exact" w:before="0"/>
                      <w:ind w:left="0" w:right="0" w:firstLine="0"/>
                      <w:jc w:val="left"/>
                      <w:rPr>
                        <w:rFonts w:ascii="Calibri"/>
                        <w:sz w:val="14"/>
                      </w:rPr>
                    </w:pPr>
                    <w:r>
                      <w:rPr>
                        <w:rFonts w:ascii="Calibri"/>
                        <w:sz w:val="14"/>
                      </w:rPr>
                      <w:t>10.1</w:t>
                    </w:r>
                  </w:p>
                </w:txbxContent>
              </v:textbox>
              <w10:wrap type="none"/>
            </v:shape>
            <v:shape style="position:absolute;left:3603;top:1980;width:197;height:140" type="#_x0000_t202" filled="false" stroked="false">
              <v:textbox inset="0,0,0,0">
                <w:txbxContent>
                  <w:p>
                    <w:pPr>
                      <w:spacing w:line="139" w:lineRule="exact" w:before="0"/>
                      <w:ind w:left="0" w:right="0" w:firstLine="0"/>
                      <w:jc w:val="left"/>
                      <w:rPr>
                        <w:rFonts w:ascii="Calibri"/>
                        <w:sz w:val="14"/>
                      </w:rPr>
                    </w:pPr>
                    <w:r>
                      <w:rPr>
                        <w:rFonts w:ascii="Calibri"/>
                        <w:sz w:val="14"/>
                      </w:rPr>
                      <w:t>4.1</w:t>
                    </w:r>
                  </w:p>
                </w:txbxContent>
              </v:textbox>
              <w10:wrap type="none"/>
            </v:shape>
            <v:shape style="position:absolute;left:3935;top:2021;width:1803;height:164" type="#_x0000_t202" filled="false" stroked="false">
              <v:textbox inset="0,0,0,0">
                <w:txbxContent>
                  <w:p>
                    <w:pPr>
                      <w:tabs>
                        <w:tab w:pos="1711" w:val="left" w:leader="none"/>
                      </w:tabs>
                      <w:spacing w:line="164" w:lineRule="exact" w:before="0"/>
                      <w:ind w:left="0" w:right="0" w:firstLine="0"/>
                      <w:jc w:val="left"/>
                      <w:rPr>
                        <w:rFonts w:ascii="Calibri"/>
                        <w:sz w:val="14"/>
                      </w:rPr>
                    </w:pPr>
                    <w:r>
                      <w:rPr>
                        <w:rFonts w:ascii="Calibri"/>
                        <w:position w:val="2"/>
                        <w:sz w:val="14"/>
                      </w:rPr>
                      <w:t>2.2     1.9     </w:t>
                    </w:r>
                    <w:r>
                      <w:rPr>
                        <w:rFonts w:ascii="Calibri"/>
                        <w:position w:val="1"/>
                        <w:sz w:val="14"/>
                      </w:rPr>
                      <w:t>1.5   </w:t>
                    </w:r>
                    <w:r>
                      <w:rPr>
                        <w:rFonts w:ascii="Calibri"/>
                        <w:spacing w:val="18"/>
                        <w:position w:val="1"/>
                        <w:sz w:val="14"/>
                      </w:rPr>
                      <w:t> </w:t>
                    </w:r>
                    <w:r>
                      <w:rPr>
                        <w:rFonts w:ascii="Calibri"/>
                        <w:position w:val="1"/>
                        <w:sz w:val="14"/>
                      </w:rPr>
                      <w:t>1.4   </w:t>
                    </w:r>
                    <w:r>
                      <w:rPr>
                        <w:rFonts w:ascii="Calibri"/>
                        <w:spacing w:val="28"/>
                        <w:position w:val="1"/>
                        <w:sz w:val="14"/>
                      </w:rPr>
                      <w:t> </w:t>
                    </w:r>
                    <w:r>
                      <w:rPr>
                        <w:rFonts w:ascii="Calibri"/>
                        <w:sz w:val="14"/>
                      </w:rPr>
                      <w:t>1.1</w:t>
                      <w:tab/>
                      <w:t>1</w:t>
                    </w:r>
                  </w:p>
                </w:txbxContent>
              </v:textbox>
              <w10:wrap type="none"/>
            </v:shape>
            <w10:wrap type="none"/>
          </v:group>
        </w:pict>
      </w:r>
      <w:r>
        <w:rPr/>
        <w:drawing>
          <wp:anchor distT="0" distB="0" distL="0" distR="0" allowOverlap="1" layoutInCell="1" locked="0" behindDoc="0" simplePos="0" relativeHeight="252238848">
            <wp:simplePos x="0" y="0"/>
            <wp:positionH relativeFrom="page">
              <wp:posOffset>3927347</wp:posOffset>
            </wp:positionH>
            <wp:positionV relativeFrom="paragraph">
              <wp:posOffset>-1441</wp:posOffset>
            </wp:positionV>
            <wp:extent cx="2758440" cy="1810512"/>
            <wp:effectExtent l="0" t="0" r="0" b="0"/>
            <wp:wrapNone/>
            <wp:docPr id="27" name="image54.png"/>
            <wp:cNvGraphicFramePr>
              <a:graphicFrameLocks noChangeAspect="1"/>
            </wp:cNvGraphicFramePr>
            <a:graphic>
              <a:graphicData uri="http://schemas.openxmlformats.org/drawingml/2006/picture">
                <pic:pic>
                  <pic:nvPicPr>
                    <pic:cNvPr id="28" name="image54.png"/>
                    <pic:cNvPicPr/>
                  </pic:nvPicPr>
                  <pic:blipFill>
                    <a:blip r:embed="rId60" cstate="print"/>
                    <a:stretch>
                      <a:fillRect/>
                    </a:stretch>
                  </pic:blipFill>
                  <pic:spPr>
                    <a:xfrm>
                      <a:off x="0" y="0"/>
                      <a:ext cx="2758440" cy="1810512"/>
                    </a:xfrm>
                    <a:prstGeom prst="rect">
                      <a:avLst/>
                    </a:prstGeom>
                  </pic:spPr>
                </pic:pic>
              </a:graphicData>
            </a:graphic>
          </wp:anchor>
        </w:drawing>
      </w:r>
      <w:r>
        <w:rPr>
          <w:rFonts w:ascii="Calibri"/>
          <w:i/>
          <w:spacing w:val="-1"/>
          <w:w w:val="95"/>
          <w:sz w:val="14"/>
        </w:rPr>
        <w:t>100</w:t>
      </w:r>
    </w:p>
    <w:p>
      <w:pPr>
        <w:spacing w:before="39"/>
        <w:ind w:left="0" w:right="9835" w:firstLine="0"/>
        <w:jc w:val="right"/>
        <w:rPr>
          <w:rFonts w:ascii="Calibri"/>
          <w:i/>
          <w:sz w:val="14"/>
        </w:rPr>
      </w:pPr>
      <w:r>
        <w:rPr>
          <w:rFonts w:ascii="Calibri"/>
          <w:i/>
          <w:w w:val="95"/>
          <w:sz w:val="14"/>
        </w:rPr>
        <w:t>90</w:t>
      </w:r>
    </w:p>
    <w:p>
      <w:pPr>
        <w:spacing w:before="39"/>
        <w:ind w:left="0" w:right="9835" w:firstLine="0"/>
        <w:jc w:val="right"/>
        <w:rPr>
          <w:rFonts w:ascii="Calibri"/>
          <w:i/>
          <w:sz w:val="14"/>
        </w:rPr>
      </w:pPr>
      <w:r>
        <w:rPr>
          <w:rFonts w:ascii="Calibri"/>
          <w:i/>
          <w:w w:val="95"/>
          <w:sz w:val="14"/>
        </w:rPr>
        <w:t>80</w:t>
      </w:r>
    </w:p>
    <w:p>
      <w:pPr>
        <w:spacing w:before="39"/>
        <w:ind w:left="0" w:right="9835" w:firstLine="0"/>
        <w:jc w:val="right"/>
        <w:rPr>
          <w:rFonts w:ascii="Calibri"/>
          <w:i/>
          <w:sz w:val="14"/>
        </w:rPr>
      </w:pPr>
      <w:r>
        <w:rPr/>
        <w:pict>
          <v:shape style="position:absolute;margin-left:98.871048pt;margin-top:11.11412pt;width:8.950pt;height:33.2pt;mso-position-horizontal-relative:page;mso-position-vertical-relative:paragraph;z-index:252239872" type="#_x0000_t202" filled="false" stroked="false">
            <v:textbox inset="0,0,0,0" style="layout-flow:vertical;mso-layout-flow-alt:bottom-to-top">
              <w:txbxContent>
                <w:p>
                  <w:pPr>
                    <w:spacing w:line="162" w:lineRule="exact" w:before="0"/>
                    <w:ind w:left="20" w:right="0" w:firstLine="0"/>
                    <w:jc w:val="left"/>
                    <w:rPr>
                      <w:rFonts w:ascii="Calibri"/>
                      <w:b/>
                      <w:sz w:val="14"/>
                    </w:rPr>
                  </w:pPr>
                  <w:r>
                    <w:rPr>
                      <w:rFonts w:ascii="Calibri"/>
                      <w:b/>
                      <w:sz w:val="14"/>
                    </w:rPr>
                    <w:t>Porcentaje</w:t>
                  </w:r>
                </w:p>
              </w:txbxContent>
            </v:textbox>
            <w10:wrap type="none"/>
          </v:shape>
        </w:pict>
      </w:r>
      <w:r>
        <w:rPr>
          <w:rFonts w:ascii="Calibri"/>
          <w:i/>
          <w:w w:val="95"/>
          <w:sz w:val="14"/>
        </w:rPr>
        <w:t>70</w:t>
      </w:r>
    </w:p>
    <w:p>
      <w:pPr>
        <w:spacing w:before="38"/>
        <w:ind w:left="0" w:right="9835" w:firstLine="0"/>
        <w:jc w:val="right"/>
        <w:rPr>
          <w:rFonts w:ascii="Calibri"/>
          <w:i/>
          <w:sz w:val="14"/>
        </w:rPr>
      </w:pPr>
      <w:r>
        <w:rPr>
          <w:rFonts w:ascii="Calibri"/>
          <w:i/>
          <w:w w:val="95"/>
          <w:sz w:val="14"/>
        </w:rPr>
        <w:t>60</w:t>
      </w:r>
    </w:p>
    <w:p>
      <w:pPr>
        <w:spacing w:before="39"/>
        <w:ind w:left="0" w:right="9835" w:firstLine="0"/>
        <w:jc w:val="right"/>
        <w:rPr>
          <w:rFonts w:ascii="Calibri"/>
          <w:i/>
          <w:sz w:val="14"/>
        </w:rPr>
      </w:pPr>
      <w:r>
        <w:rPr>
          <w:rFonts w:ascii="Calibri"/>
          <w:i/>
          <w:w w:val="95"/>
          <w:sz w:val="14"/>
        </w:rPr>
        <w:t>50</w:t>
      </w:r>
    </w:p>
    <w:p>
      <w:pPr>
        <w:spacing w:before="39"/>
        <w:ind w:left="0" w:right="9835" w:firstLine="0"/>
        <w:jc w:val="right"/>
        <w:rPr>
          <w:rFonts w:ascii="Calibri"/>
          <w:i/>
          <w:sz w:val="14"/>
        </w:rPr>
      </w:pPr>
      <w:r>
        <w:rPr>
          <w:rFonts w:ascii="Calibri"/>
          <w:i/>
          <w:w w:val="95"/>
          <w:sz w:val="14"/>
        </w:rPr>
        <w:t>40</w:t>
      </w:r>
    </w:p>
    <w:p>
      <w:pPr>
        <w:spacing w:before="39"/>
        <w:ind w:left="0" w:right="9835" w:firstLine="0"/>
        <w:jc w:val="right"/>
        <w:rPr>
          <w:rFonts w:ascii="Calibri"/>
          <w:i/>
          <w:sz w:val="14"/>
        </w:rPr>
      </w:pPr>
      <w:r>
        <w:rPr>
          <w:rFonts w:ascii="Calibri"/>
          <w:i/>
          <w:w w:val="95"/>
          <w:sz w:val="14"/>
        </w:rPr>
        <w:t>30</w:t>
      </w:r>
    </w:p>
    <w:p>
      <w:pPr>
        <w:spacing w:before="39"/>
        <w:ind w:left="0" w:right="9835" w:firstLine="0"/>
        <w:jc w:val="right"/>
        <w:rPr>
          <w:rFonts w:ascii="Calibri"/>
          <w:i/>
          <w:sz w:val="14"/>
        </w:rPr>
      </w:pPr>
      <w:r>
        <w:rPr>
          <w:rFonts w:ascii="Calibri"/>
          <w:i/>
          <w:spacing w:val="-2"/>
          <w:sz w:val="14"/>
        </w:rPr>
        <w:t>20</w:t>
      </w:r>
    </w:p>
    <w:p>
      <w:pPr>
        <w:spacing w:before="39"/>
        <w:ind w:left="0" w:right="9835" w:firstLine="0"/>
        <w:jc w:val="right"/>
        <w:rPr>
          <w:rFonts w:ascii="Calibri"/>
          <w:i/>
          <w:sz w:val="14"/>
        </w:rPr>
      </w:pPr>
      <w:r>
        <w:rPr>
          <w:rFonts w:ascii="Calibri"/>
          <w:i/>
          <w:w w:val="95"/>
          <w:sz w:val="14"/>
        </w:rPr>
        <w:t>10</w:t>
      </w:r>
    </w:p>
    <w:p>
      <w:pPr>
        <w:spacing w:before="39"/>
        <w:ind w:left="0" w:right="9837" w:firstLine="0"/>
        <w:jc w:val="right"/>
        <w:rPr>
          <w:rFonts w:ascii="Calibri"/>
          <w:i/>
          <w:sz w:val="14"/>
        </w:rPr>
      </w:pPr>
      <w:r>
        <w:rPr>
          <w:rFonts w:ascii="Calibri"/>
          <w:i/>
          <w:w w:val="99"/>
          <w:sz w:val="14"/>
        </w:rPr>
        <w:t>0</w:t>
      </w:r>
    </w:p>
    <w:p>
      <w:pPr>
        <w:spacing w:before="9"/>
        <w:ind w:left="532" w:right="5499" w:firstLine="0"/>
        <w:jc w:val="center"/>
        <w:rPr>
          <w:rFonts w:ascii="Calibri"/>
          <w:i/>
          <w:sz w:val="14"/>
        </w:rPr>
      </w:pPr>
      <w:r>
        <w:rPr>
          <w:rFonts w:ascii="Calibri"/>
          <w:i/>
          <w:sz w:val="14"/>
        </w:rPr>
        <w:t>CA USA ZE MEX CHN PAN DOM JPN CAN CHL</w:t>
      </w:r>
    </w:p>
    <w:p>
      <w:pPr>
        <w:spacing w:before="50"/>
        <w:ind w:left="498" w:right="5499" w:firstLine="0"/>
        <w:jc w:val="center"/>
        <w:rPr>
          <w:rFonts w:ascii="Calibri"/>
          <w:b/>
          <w:sz w:val="14"/>
        </w:rPr>
      </w:pPr>
      <w:r>
        <w:rPr>
          <w:rFonts w:ascii="Calibri"/>
          <w:b/>
          <w:sz w:val="14"/>
        </w:rPr>
        <w:t>Pais</w:t>
      </w:r>
    </w:p>
    <w:p>
      <w:pPr>
        <w:pStyle w:val="BodyText"/>
        <w:spacing w:before="1"/>
        <w:rPr>
          <w:rFonts w:ascii="Calibri"/>
          <w:b/>
          <w:sz w:val="13"/>
        </w:rPr>
      </w:pPr>
    </w:p>
    <w:p>
      <w:pPr>
        <w:spacing w:before="94"/>
        <w:ind w:left="670" w:right="0" w:firstLine="0"/>
        <w:jc w:val="left"/>
        <w:rPr>
          <w:sz w:val="16"/>
        </w:rPr>
      </w:pPr>
      <w:r>
        <w:rPr>
          <w:sz w:val="16"/>
        </w:rPr>
        <w:t>Fuente: Dirección de Análisis y Política Fiscal con información de BANGUAT</w:t>
      </w:r>
    </w:p>
    <w:p>
      <w:pPr>
        <w:pStyle w:val="BodyText"/>
        <w:rPr>
          <w:sz w:val="18"/>
        </w:rPr>
      </w:pPr>
    </w:p>
    <w:p>
      <w:pPr>
        <w:pStyle w:val="BodyText"/>
        <w:spacing w:line="276" w:lineRule="auto" w:before="108"/>
        <w:ind w:left="562" w:right="1695"/>
        <w:jc w:val="both"/>
      </w:pPr>
      <w:r>
        <w:rPr/>
        <w:t>Por</w:t>
      </w:r>
      <w:r>
        <w:rPr>
          <w:spacing w:val="-7"/>
        </w:rPr>
        <w:t> </w:t>
      </w:r>
      <w:r>
        <w:rPr/>
        <w:t>su</w:t>
      </w:r>
      <w:r>
        <w:rPr>
          <w:spacing w:val="-7"/>
        </w:rPr>
        <w:t> </w:t>
      </w:r>
      <w:r>
        <w:rPr/>
        <w:t>parte,</w:t>
      </w:r>
      <w:r>
        <w:rPr>
          <w:spacing w:val="-8"/>
        </w:rPr>
        <w:t> </w:t>
      </w:r>
      <w:r>
        <w:rPr/>
        <w:t>el</w:t>
      </w:r>
      <w:r>
        <w:rPr>
          <w:spacing w:val="-6"/>
        </w:rPr>
        <w:t> </w:t>
      </w:r>
      <w:r>
        <w:rPr/>
        <w:t>valor</w:t>
      </w:r>
      <w:r>
        <w:rPr>
          <w:spacing w:val="-5"/>
        </w:rPr>
        <w:t> </w:t>
      </w:r>
      <w:r>
        <w:rPr/>
        <w:t>CIF</w:t>
      </w:r>
      <w:r>
        <w:rPr>
          <w:spacing w:val="-6"/>
        </w:rPr>
        <w:t> </w:t>
      </w:r>
      <w:r>
        <w:rPr/>
        <w:t>de</w:t>
      </w:r>
      <w:r>
        <w:rPr>
          <w:spacing w:val="-6"/>
        </w:rPr>
        <w:t> </w:t>
      </w:r>
      <w:r>
        <w:rPr/>
        <w:t>las</w:t>
      </w:r>
      <w:r>
        <w:rPr>
          <w:spacing w:val="-6"/>
        </w:rPr>
        <w:t> </w:t>
      </w:r>
      <w:r>
        <w:rPr/>
        <w:t>importaciones</w:t>
      </w:r>
      <w:r>
        <w:rPr>
          <w:spacing w:val="-8"/>
        </w:rPr>
        <w:t> </w:t>
      </w:r>
      <w:r>
        <w:rPr/>
        <w:t>de</w:t>
      </w:r>
      <w:r>
        <w:rPr>
          <w:spacing w:val="-6"/>
        </w:rPr>
        <w:t> </w:t>
      </w:r>
      <w:r>
        <w:rPr/>
        <w:t>bienes</w:t>
      </w:r>
      <w:r>
        <w:rPr>
          <w:spacing w:val="-5"/>
        </w:rPr>
        <w:t> </w:t>
      </w:r>
      <w:r>
        <w:rPr/>
        <w:t>aumentó</w:t>
      </w:r>
      <w:r>
        <w:rPr>
          <w:spacing w:val="-6"/>
        </w:rPr>
        <w:t> </w:t>
      </w:r>
      <w:r>
        <w:rPr/>
        <w:t>45.1%</w:t>
      </w:r>
      <w:r>
        <w:rPr>
          <w:spacing w:val="-8"/>
        </w:rPr>
        <w:t> </w:t>
      </w:r>
      <w:r>
        <w:rPr/>
        <w:t>a</w:t>
      </w:r>
      <w:r>
        <w:rPr>
          <w:spacing w:val="-8"/>
        </w:rPr>
        <w:t> </w:t>
      </w:r>
      <w:r>
        <w:rPr/>
        <w:t>junio</w:t>
      </w:r>
      <w:r>
        <w:rPr>
          <w:spacing w:val="-9"/>
        </w:rPr>
        <w:t> </w:t>
      </w:r>
      <w:r>
        <w:rPr/>
        <w:t>2022.</w:t>
      </w:r>
      <w:r>
        <w:rPr>
          <w:spacing w:val="-6"/>
        </w:rPr>
        <w:t> </w:t>
      </w:r>
      <w:r>
        <w:rPr/>
        <w:t>Los</w:t>
      </w:r>
      <w:r>
        <w:rPr>
          <w:spacing w:val="-6"/>
        </w:rPr>
        <w:t> </w:t>
      </w:r>
      <w:r>
        <w:rPr/>
        <w:t>productos con mayor participación en la estructura porcentual son los electrónicos (9.4%) y vehículos y sus repuestos</w:t>
      </w:r>
      <w:r>
        <w:rPr>
          <w:spacing w:val="-4"/>
        </w:rPr>
        <w:t> </w:t>
      </w:r>
      <w:r>
        <w:rPr/>
        <w:t>(7.0%),</w:t>
      </w:r>
      <w:r>
        <w:rPr>
          <w:spacing w:val="-5"/>
        </w:rPr>
        <w:t> </w:t>
      </w:r>
      <w:r>
        <w:rPr/>
        <w:t>gasolina</w:t>
      </w:r>
      <w:r>
        <w:rPr>
          <w:spacing w:val="-6"/>
        </w:rPr>
        <w:t> </w:t>
      </w:r>
      <w:r>
        <w:rPr/>
        <w:t>(6.5%)</w:t>
      </w:r>
      <w:r>
        <w:rPr>
          <w:spacing w:val="-4"/>
        </w:rPr>
        <w:t> </w:t>
      </w:r>
      <w:r>
        <w:rPr/>
        <w:t>y</w:t>
      </w:r>
      <w:r>
        <w:rPr>
          <w:spacing w:val="-7"/>
        </w:rPr>
        <w:t> </w:t>
      </w:r>
      <w:r>
        <w:rPr/>
        <w:t>plásticos</w:t>
      </w:r>
      <w:r>
        <w:rPr>
          <w:spacing w:val="-3"/>
        </w:rPr>
        <w:t> </w:t>
      </w:r>
      <w:r>
        <w:rPr/>
        <w:t>y</w:t>
      </w:r>
      <w:r>
        <w:rPr>
          <w:spacing w:val="-7"/>
        </w:rPr>
        <w:t> </w:t>
      </w:r>
      <w:r>
        <w:rPr/>
        <w:t>sus</w:t>
      </w:r>
      <w:r>
        <w:rPr>
          <w:spacing w:val="-4"/>
        </w:rPr>
        <w:t> </w:t>
      </w:r>
      <w:r>
        <w:rPr/>
        <w:t>productos</w:t>
      </w:r>
      <w:r>
        <w:rPr>
          <w:spacing w:val="-3"/>
        </w:rPr>
        <w:t> </w:t>
      </w:r>
      <w:r>
        <w:rPr/>
        <w:t>(6.3%)</w:t>
      </w:r>
      <w:r>
        <w:rPr>
          <w:spacing w:val="-4"/>
        </w:rPr>
        <w:t> </w:t>
      </w:r>
      <w:r>
        <w:rPr/>
        <w:t>que</w:t>
      </w:r>
      <w:r>
        <w:rPr>
          <w:spacing w:val="-4"/>
        </w:rPr>
        <w:t> </w:t>
      </w:r>
      <w:r>
        <w:rPr/>
        <w:t>representan</w:t>
      </w:r>
      <w:r>
        <w:rPr>
          <w:spacing w:val="-3"/>
        </w:rPr>
        <w:t> </w:t>
      </w:r>
      <w:r>
        <w:rPr/>
        <w:t>conjuntamente 29.1% del total de importaciones. Como consecuencia de las altas inflaciones causadas por el conflicto entre Rusia y Ucrania, se observa que los productos papel y cartón, así como diésel y gasolina</w:t>
      </w:r>
      <w:r>
        <w:rPr>
          <w:spacing w:val="24"/>
        </w:rPr>
        <w:t> </w:t>
      </w:r>
      <w:r>
        <w:rPr/>
        <w:t>presentan</w:t>
      </w:r>
      <w:r>
        <w:rPr>
          <w:spacing w:val="25"/>
        </w:rPr>
        <w:t> </w:t>
      </w:r>
      <w:r>
        <w:rPr/>
        <w:t>tasas</w:t>
      </w:r>
      <w:r>
        <w:rPr>
          <w:spacing w:val="28"/>
        </w:rPr>
        <w:t> </w:t>
      </w:r>
      <w:r>
        <w:rPr/>
        <w:t>de</w:t>
      </w:r>
      <w:r>
        <w:rPr>
          <w:spacing w:val="27"/>
        </w:rPr>
        <w:t> </w:t>
      </w:r>
      <w:r>
        <w:rPr/>
        <w:t>crecimiento</w:t>
      </w:r>
      <w:r>
        <w:rPr>
          <w:spacing w:val="27"/>
        </w:rPr>
        <w:t> </w:t>
      </w:r>
      <w:r>
        <w:rPr/>
        <w:t>interanual</w:t>
      </w:r>
      <w:r>
        <w:rPr>
          <w:spacing w:val="28"/>
        </w:rPr>
        <w:t> </w:t>
      </w:r>
      <w:r>
        <w:rPr/>
        <w:t>con</w:t>
      </w:r>
      <w:r>
        <w:rPr>
          <w:spacing w:val="29"/>
        </w:rPr>
        <w:t> </w:t>
      </w:r>
      <w:r>
        <w:rPr/>
        <w:t>124.6%,</w:t>
      </w:r>
      <w:r>
        <w:rPr>
          <w:spacing w:val="28"/>
        </w:rPr>
        <w:t> </w:t>
      </w:r>
      <w:r>
        <w:rPr/>
        <w:t>78.0%</w:t>
      </w:r>
      <w:r>
        <w:rPr>
          <w:spacing w:val="27"/>
        </w:rPr>
        <w:t> </w:t>
      </w:r>
      <w:r>
        <w:rPr/>
        <w:t>y</w:t>
      </w:r>
      <w:r>
        <w:rPr>
          <w:spacing w:val="25"/>
        </w:rPr>
        <w:t> </w:t>
      </w:r>
      <w:r>
        <w:rPr/>
        <w:t>76.4%</w:t>
      </w:r>
      <w:r>
        <w:rPr>
          <w:spacing w:val="28"/>
        </w:rPr>
        <w:t> </w:t>
      </w:r>
      <w:r>
        <w:rPr/>
        <w:t>respectivamente,</w:t>
      </w:r>
    </w:p>
    <w:p>
      <w:pPr>
        <w:spacing w:after="0" w:line="276" w:lineRule="auto"/>
        <w:jc w:val="both"/>
        <w:sectPr>
          <w:type w:val="continuous"/>
          <w:pgSz w:w="12240" w:h="15840"/>
          <w:pgMar w:top="1500" w:bottom="280" w:left="1140" w:right="0"/>
        </w:sectPr>
      </w:pPr>
    </w:p>
    <w:p>
      <w:pPr>
        <w:pStyle w:val="BodyText"/>
        <w:spacing w:line="276" w:lineRule="auto" w:before="162"/>
        <w:ind w:left="562" w:right="1630"/>
      </w:pPr>
      <w:r>
        <w:rPr/>
        <w:t>mientras que vehículos y sus repuestos como hierro y aceros sostuvieron las variaciones interanuales más bajas con 3.6% y -47.9% a la fecha.</w:t>
      </w:r>
    </w:p>
    <w:p>
      <w:pPr>
        <w:pStyle w:val="BodyText"/>
        <w:spacing w:before="10"/>
        <w:rPr>
          <w:sz w:val="17"/>
        </w:rPr>
      </w:pPr>
    </w:p>
    <w:p>
      <w:pPr>
        <w:spacing w:after="0"/>
        <w:rPr>
          <w:sz w:val="17"/>
        </w:rPr>
        <w:sectPr>
          <w:pgSz w:w="12240" w:h="15840"/>
          <w:pgMar w:header="715" w:footer="957" w:top="1240" w:bottom="1140" w:left="1140" w:right="0"/>
        </w:sectPr>
      </w:pPr>
    </w:p>
    <w:p>
      <w:pPr>
        <w:spacing w:line="278" w:lineRule="auto" w:before="91"/>
        <w:ind w:left="1558" w:right="0" w:hanging="394"/>
        <w:jc w:val="left"/>
        <w:rPr>
          <w:b/>
          <w:sz w:val="20"/>
        </w:rPr>
      </w:pPr>
      <w:bookmarkStart w:name="_bookmark92" w:id="115"/>
      <w:bookmarkEnd w:id="115"/>
      <w:r>
        <w:rPr/>
      </w:r>
      <w:r>
        <w:rPr>
          <w:b/>
          <w:i/>
          <w:sz w:val="20"/>
        </w:rPr>
        <w:t>Gráfico 47. </w:t>
      </w:r>
      <w:r>
        <w:rPr>
          <w:b/>
          <w:sz w:val="20"/>
        </w:rPr>
        <w:t>Diagrama de Pareto para Importaciones por</w:t>
      </w:r>
      <w:r>
        <w:rPr>
          <w:b/>
          <w:spacing w:val="-4"/>
          <w:sz w:val="20"/>
        </w:rPr>
        <w:t> </w:t>
      </w:r>
      <w:r>
        <w:rPr>
          <w:b/>
          <w:sz w:val="20"/>
        </w:rPr>
        <w:t>Producto</w:t>
      </w:r>
    </w:p>
    <w:p>
      <w:pPr>
        <w:tabs>
          <w:tab w:pos="3331" w:val="left" w:leader="none"/>
        </w:tabs>
        <w:spacing w:before="141"/>
        <w:ind w:left="1980" w:right="0" w:firstLine="0"/>
        <w:jc w:val="left"/>
        <w:rPr>
          <w:sz w:val="14"/>
        </w:rPr>
      </w:pPr>
      <w:r>
        <w:rPr/>
        <w:pict>
          <v:group style="position:absolute;margin-left:137.379059pt;margin-top:9.426166pt;width:17.2pt;height:4.1pt;mso-position-horizontal-relative:page;mso-position-vertical-relative:paragraph;z-index:252255232" coordorigin="2748,189" coordsize="344,82">
            <v:line style="position:absolute" from="2754,229" to="3085,229" stroked="true" strokeweight="3.44201pt" strokecolor="#4f81bc">
              <v:stroke dashstyle="solid"/>
            </v:line>
            <v:rect style="position:absolute;left:2754;top:195;width:331;height:69" filled="false" stroked="true" strokeweight=".651638pt" strokecolor="#000000">
              <v:stroke dashstyle="solid"/>
            </v:rect>
            <w10:wrap type="none"/>
          </v:group>
        </w:pict>
      </w:r>
      <w:r>
        <w:rPr/>
        <w:pict>
          <v:group style="position:absolute;margin-left:205.316193pt;margin-top:9.427597pt;width:16.55pt;height:4pt;mso-position-horizontal-relative:page;mso-position-vertical-relative:paragraph;z-index:-281063424" coordorigin="4106,189" coordsize="331,80">
            <v:line style="position:absolute" from="4106,229" to="4437,229" stroked="true" strokeweight="1.955688pt" strokecolor="#bd4a47">
              <v:stroke dashstyle="solid"/>
            </v:line>
            <v:shape style="position:absolute;left:4237;top:195;width:67;height:67" coordorigin="4238,195" coordsize="67,67" path="m4271,195l4238,228,4271,262,4304,228,4271,195xe" filled="true" fillcolor="#c0504d" stroked="false">
              <v:path arrowok="t"/>
              <v:fill type="solid"/>
            </v:shape>
            <v:shape style="position:absolute;left:4237;top:195;width:67;height:67" coordorigin="4238,195" coordsize="67,67" path="m4271,195l4304,228,4271,262,4238,228,4271,195xe" filled="false" stroked="true" strokeweight=".648758pt" strokecolor="#bd4a47">
              <v:path arrowok="t"/>
              <v:stroke dashstyle="solid"/>
            </v:shape>
            <w10:wrap type="none"/>
          </v:group>
        </w:pict>
      </w:r>
      <w:r>
        <w:rPr>
          <w:sz w:val="14"/>
        </w:rPr>
        <w:t>Importaciones</w:t>
        <w:tab/>
        <w:t>Acumulado</w:t>
      </w:r>
    </w:p>
    <w:p>
      <w:pPr>
        <w:spacing w:line="278" w:lineRule="auto" w:before="91"/>
        <w:ind w:left="1563" w:right="1153" w:hanging="389"/>
        <w:jc w:val="left"/>
        <w:rPr>
          <w:b/>
          <w:sz w:val="20"/>
        </w:rPr>
      </w:pPr>
      <w:r>
        <w:rPr/>
        <w:br w:type="column"/>
      </w:r>
      <w:bookmarkStart w:name="_bookmark93" w:id="116"/>
      <w:bookmarkEnd w:id="116"/>
      <w:r>
        <w:rPr/>
      </w:r>
      <w:r>
        <w:rPr>
          <w:b/>
          <w:i/>
          <w:sz w:val="20"/>
        </w:rPr>
        <w:t>Gráfico 48. </w:t>
      </w:r>
      <w:r>
        <w:rPr>
          <w:b/>
          <w:sz w:val="20"/>
        </w:rPr>
        <w:t>Tasas de Variación de las Importaciones por Producto</w:t>
      </w:r>
    </w:p>
    <w:p>
      <w:pPr>
        <w:spacing w:before="114"/>
        <w:ind w:left="1063" w:right="0" w:firstLine="0"/>
        <w:jc w:val="left"/>
        <w:rPr>
          <w:sz w:val="12"/>
        </w:rPr>
      </w:pPr>
      <w:r>
        <w:rPr/>
        <w:pict>
          <v:group style="position:absolute;margin-left:333.569244pt;margin-top:3.422692pt;width:182.2pt;height:83.1pt;mso-position-horizontal-relative:page;mso-position-vertical-relative:paragraph;z-index:252263424" coordorigin="6671,68" coordsize="3644,1662">
            <v:shape style="position:absolute;left:6984;top:279;width:3289;height:1374" type="#_x0000_t75" stroked="false">
              <v:imagedata r:id="rId61" o:title=""/>
            </v:shape>
            <v:shape style="position:absolute;left:7023;top:301;width:1890;height:920" coordorigin="7024,302" coordsize="1890,920" path="m7276,302l7024,302,7024,1222,7276,1222,7276,302m7604,646l7352,646,7352,1222,7604,1222,7604,646m7931,658l7679,658,7679,1222,7931,1222,7931,658m8258,771l8005,771,8005,1222,8258,1222,8258,771m8586,909l8334,909,8334,1222,8586,1222,8586,909m8913,1071l8661,1071,8661,1222,8913,1222,8913,1071e" filled="true" fillcolor="#9bba58" stroked="false">
              <v:path arrowok="t"/>
              <v:fill type="solid"/>
            </v:shape>
            <v:line style="position:absolute" from="8989,1159" to="9242,1159" stroked="true" strokeweight="6.25820pt" strokecolor="#9bba58">
              <v:stroke dashstyle="solid"/>
            </v:line>
            <v:line style="position:absolute" from="9316,1167" to="9568,1167" stroked="true" strokeweight="5.423773pt" strokecolor="#9bba58">
              <v:stroke dashstyle="solid"/>
            </v:line>
            <v:rect style="position:absolute;left:9971;top:1221;width:253;height:355" filled="true" fillcolor="#9bba58" stroked="false">
              <v:fill type="solid"/>
            </v:rect>
            <v:shape style="position:absolute;left:0;top:13015;width:2955;height:1059" coordorigin="0,13016" coordsize="2955,1059" path="m7024,302l7276,302,7276,1222,7024,1222,7024,302xm7352,646l7604,646,7604,1222,7352,1222,7352,646xm7679,658l7931,658,7931,1222,7679,1222,7679,658xm8005,771l8258,771,8258,1222,8005,1222,8005,771xm8334,909l8586,909,8586,1222,8334,1222,8334,909xm8661,1071l8913,1071,8913,1222,8661,1222,8661,1071xm8989,1096l9242,1096,9242,1222,8989,1222,8989,1096xm9316,1113l9568,1113,9568,1222,9316,1222,9316,1113xe" filled="false" stroked="true" strokeweight=".648962pt" strokecolor="#000000">
              <v:path arrowok="t"/>
              <v:stroke dashstyle="solid"/>
            </v:shape>
            <v:rect style="position:absolute;left:9638;top:1187;width:264;height:41" filled="true" fillcolor="#000000" stroked="false">
              <v:fill type="solid"/>
            </v:rect>
            <v:rect style="position:absolute;left:9971;top:1221;width:253;height:355" filled="false" stroked="true" strokeweight=".647999pt" strokecolor="#000000">
              <v:stroke dashstyle="solid"/>
            </v:rect>
            <v:line style="position:absolute" from="6986,1664" to="6986,189" stroked="true" strokeweight=".646029pt" strokecolor="#858585">
              <v:stroke dashstyle="solid"/>
            </v:line>
            <v:shape style="position:absolute;left:0;top:11318;width:41;height:1697" coordorigin="0,11319" coordsize="41,1697" path="m6951,1664l6986,1664m6951,1518l6986,1518m6951,1370l6986,1370m6951,1222l6986,1222m6951,1073l6986,1073m6951,927l6986,927m6951,779l6986,779m6951,631l6986,631m6951,483l6986,483m6951,335l6986,335m6951,189l6986,189e" filled="false" stroked="true" strokeweight=".648962pt" strokecolor="#858585">
              <v:path arrowok="t"/>
              <v:stroke dashstyle="solid"/>
            </v:shape>
            <v:shape style="position:absolute;left:0;top:13015;width:3802;height:36" coordorigin="0,13016" coordsize="3802,36" path="m6986,1222l10261,1222m6986,1222l6986,1253m7313,1222l7313,1253m7642,1222l7642,1253m7968,1222l7968,1253m8297,1222l8297,1253m8624,1222l8624,1253m8950,1222l8950,1253m9279,1222l9279,1253m9605,1222l9605,1253m9934,1222l9934,1253m10261,1222l10261,1253e" filled="false" stroked="true" strokeweight=".648962pt" strokecolor="#858585">
              <v:path arrowok="t"/>
              <v:stroke dashstyle="solid"/>
            </v:shape>
            <v:shape style="position:absolute;left:6671;top:68;width:656;height:1662" type="#_x0000_t202" filled="false" stroked="false">
              <v:textbox inset="0,0,0,0">
                <w:txbxContent>
                  <w:p>
                    <w:pPr>
                      <w:spacing w:line="181" w:lineRule="exact" w:before="0"/>
                      <w:ind w:left="0" w:right="0" w:firstLine="0"/>
                      <w:jc w:val="left"/>
                      <w:rPr>
                        <w:sz w:val="14"/>
                      </w:rPr>
                    </w:pPr>
                    <w:r>
                      <w:rPr>
                        <w:position w:val="-2"/>
                        <w:sz w:val="12"/>
                      </w:rPr>
                      <w:t>40.0 </w:t>
                    </w:r>
                    <w:r>
                      <w:rPr>
                        <w:sz w:val="14"/>
                      </w:rPr>
                      <w:t>124.6</w:t>
                    </w:r>
                  </w:p>
                  <w:p>
                    <w:pPr>
                      <w:spacing w:before="12"/>
                      <w:ind w:left="0" w:right="0" w:firstLine="0"/>
                      <w:jc w:val="left"/>
                      <w:rPr>
                        <w:sz w:val="12"/>
                      </w:rPr>
                    </w:pPr>
                    <w:r>
                      <w:rPr>
                        <w:sz w:val="12"/>
                      </w:rPr>
                      <w:t>20.0</w:t>
                    </w:r>
                  </w:p>
                  <w:p>
                    <w:pPr>
                      <w:spacing w:before="10"/>
                      <w:ind w:left="0" w:right="0" w:firstLine="0"/>
                      <w:jc w:val="left"/>
                      <w:rPr>
                        <w:sz w:val="12"/>
                      </w:rPr>
                    </w:pPr>
                    <w:r>
                      <w:rPr>
                        <w:sz w:val="12"/>
                      </w:rPr>
                      <w:t>00.0</w:t>
                    </w:r>
                  </w:p>
                  <w:p>
                    <w:pPr>
                      <w:spacing w:before="10"/>
                      <w:ind w:left="0" w:right="0" w:firstLine="0"/>
                      <w:jc w:val="left"/>
                      <w:rPr>
                        <w:sz w:val="12"/>
                      </w:rPr>
                    </w:pPr>
                    <w:r>
                      <w:rPr>
                        <w:sz w:val="12"/>
                      </w:rPr>
                      <w:t>80.0</w:t>
                    </w:r>
                  </w:p>
                  <w:p>
                    <w:pPr>
                      <w:spacing w:before="9"/>
                      <w:ind w:left="0" w:right="0" w:firstLine="0"/>
                      <w:jc w:val="left"/>
                      <w:rPr>
                        <w:sz w:val="12"/>
                      </w:rPr>
                    </w:pPr>
                    <w:r>
                      <w:rPr>
                        <w:sz w:val="12"/>
                      </w:rPr>
                      <w:t>60.0</w:t>
                    </w:r>
                  </w:p>
                  <w:p>
                    <w:pPr>
                      <w:spacing w:before="10"/>
                      <w:ind w:left="0" w:right="0" w:firstLine="0"/>
                      <w:jc w:val="left"/>
                      <w:rPr>
                        <w:sz w:val="12"/>
                      </w:rPr>
                    </w:pPr>
                    <w:r>
                      <w:rPr>
                        <w:sz w:val="12"/>
                      </w:rPr>
                      <w:t>40.0</w:t>
                    </w:r>
                  </w:p>
                  <w:p>
                    <w:pPr>
                      <w:spacing w:before="10"/>
                      <w:ind w:left="0" w:right="0" w:firstLine="0"/>
                      <w:jc w:val="left"/>
                      <w:rPr>
                        <w:sz w:val="12"/>
                      </w:rPr>
                    </w:pPr>
                    <w:r>
                      <w:rPr>
                        <w:sz w:val="12"/>
                      </w:rPr>
                      <w:t>20.0</w:t>
                    </w:r>
                  </w:p>
                  <w:p>
                    <w:pPr>
                      <w:spacing w:before="10"/>
                      <w:ind w:left="61" w:right="0" w:firstLine="0"/>
                      <w:jc w:val="left"/>
                      <w:rPr>
                        <w:sz w:val="12"/>
                      </w:rPr>
                    </w:pPr>
                    <w:r>
                      <w:rPr>
                        <w:sz w:val="12"/>
                      </w:rPr>
                      <w:t>0.0</w:t>
                    </w:r>
                  </w:p>
                  <w:p>
                    <w:pPr>
                      <w:spacing w:before="9"/>
                      <w:ind w:left="0" w:right="0" w:firstLine="0"/>
                      <w:jc w:val="left"/>
                      <w:rPr>
                        <w:sz w:val="12"/>
                      </w:rPr>
                    </w:pPr>
                    <w:r>
                      <w:rPr>
                        <w:sz w:val="12"/>
                      </w:rPr>
                      <w:t>20.0</w:t>
                    </w:r>
                  </w:p>
                  <w:p>
                    <w:pPr>
                      <w:spacing w:before="10"/>
                      <w:ind w:left="0" w:right="0" w:firstLine="0"/>
                      <w:jc w:val="left"/>
                      <w:rPr>
                        <w:sz w:val="12"/>
                      </w:rPr>
                    </w:pPr>
                    <w:r>
                      <w:rPr>
                        <w:sz w:val="12"/>
                      </w:rPr>
                      <w:t>40.0</w:t>
                    </w:r>
                  </w:p>
                  <w:p>
                    <w:pPr>
                      <w:spacing w:before="10"/>
                      <w:ind w:left="0" w:right="0" w:firstLine="0"/>
                      <w:jc w:val="left"/>
                      <w:rPr>
                        <w:sz w:val="12"/>
                      </w:rPr>
                    </w:pPr>
                    <w:r>
                      <w:rPr>
                        <w:sz w:val="12"/>
                      </w:rPr>
                      <w:t>60.0</w:t>
                    </w:r>
                  </w:p>
                </w:txbxContent>
              </v:textbox>
              <w10:wrap type="none"/>
            </v:shape>
            <v:shape style="position:absolute;left:7354;top:412;width:593;height:167" type="#_x0000_t202" filled="false" stroked="false">
              <v:textbox inset="0,0,0,0">
                <w:txbxContent>
                  <w:p>
                    <w:pPr>
                      <w:spacing w:line="166" w:lineRule="exact" w:before="0"/>
                      <w:ind w:left="0" w:right="0" w:firstLine="0"/>
                      <w:jc w:val="left"/>
                      <w:rPr>
                        <w:sz w:val="14"/>
                      </w:rPr>
                    </w:pPr>
                    <w:r>
                      <w:rPr>
                        <w:position w:val="1"/>
                        <w:sz w:val="14"/>
                      </w:rPr>
                      <w:t>78.0 </w:t>
                    </w:r>
                    <w:r>
                      <w:rPr>
                        <w:sz w:val="14"/>
                      </w:rPr>
                      <w:t>76.4</w:t>
                    </w:r>
                  </w:p>
                </w:txbxContent>
              </v:textbox>
              <w10:wrap type="none"/>
            </v:shape>
            <v:shape style="position:absolute;left:8010;top:537;width:265;height:155" type="#_x0000_t202" filled="false" stroked="false">
              <v:textbox inset="0,0,0,0">
                <w:txbxContent>
                  <w:p>
                    <w:pPr>
                      <w:spacing w:line="155" w:lineRule="exact" w:before="0"/>
                      <w:ind w:left="0" w:right="0" w:firstLine="0"/>
                      <w:jc w:val="left"/>
                      <w:rPr>
                        <w:sz w:val="14"/>
                      </w:rPr>
                    </w:pPr>
                    <w:r>
                      <w:rPr>
                        <w:sz w:val="14"/>
                      </w:rPr>
                      <w:t>61.1</w:t>
                    </w:r>
                  </w:p>
                </w:txbxContent>
              </v:textbox>
              <w10:wrap type="none"/>
            </v:shape>
            <v:shape style="position:absolute;left:8338;top:676;width:265;height:155" type="#_x0000_t202" filled="false" stroked="false">
              <v:textbox inset="0,0,0,0">
                <w:txbxContent>
                  <w:p>
                    <w:pPr>
                      <w:spacing w:line="155" w:lineRule="exact" w:before="0"/>
                      <w:ind w:left="0" w:right="0" w:firstLine="0"/>
                      <w:jc w:val="left"/>
                      <w:rPr>
                        <w:sz w:val="14"/>
                      </w:rPr>
                    </w:pPr>
                    <w:r>
                      <w:rPr>
                        <w:sz w:val="14"/>
                      </w:rPr>
                      <w:t>42.3</w:t>
                    </w:r>
                  </w:p>
                </w:txbxContent>
              </v:textbox>
              <w10:wrap type="none"/>
            </v:shape>
            <v:shape style="position:absolute;left:8665;top:837;width:1213;height:280" type="#_x0000_t202" filled="false" stroked="false">
              <v:textbox inset="0,0,0,0">
                <w:txbxContent>
                  <w:p>
                    <w:pPr>
                      <w:spacing w:line="240" w:lineRule="auto" w:before="0"/>
                      <w:ind w:left="0" w:right="0" w:firstLine="0"/>
                      <w:jc w:val="left"/>
                      <w:rPr>
                        <w:sz w:val="14"/>
                      </w:rPr>
                    </w:pPr>
                    <w:r>
                      <w:rPr>
                        <w:position w:val="4"/>
                        <w:sz w:val="14"/>
                      </w:rPr>
                      <w:t>20.5 </w:t>
                    </w:r>
                    <w:r>
                      <w:rPr>
                        <w:position w:val="2"/>
                        <w:sz w:val="14"/>
                      </w:rPr>
                      <w:t>17.1 </w:t>
                    </w:r>
                    <w:r>
                      <w:rPr>
                        <w:sz w:val="14"/>
                      </w:rPr>
                      <w:t>14.7 </w:t>
                    </w:r>
                    <w:r>
                      <w:rPr>
                        <w:position w:val="-7"/>
                        <w:sz w:val="14"/>
                      </w:rPr>
                      <w:t>3.6</w:t>
                    </w:r>
                  </w:p>
                </w:txbxContent>
              </v:textbox>
              <w10:wrap type="none"/>
            </v:shape>
            <v:shape style="position:absolute;left:9644;top:1050;width:671;height:155" type="#_x0000_t202" filled="false" stroked="false">
              <v:textbox inset="0,0,0,0">
                <w:txbxContent>
                  <w:p>
                    <w:pPr>
                      <w:tabs>
                        <w:tab w:pos="280" w:val="left" w:leader="none"/>
                      </w:tabs>
                      <w:spacing w:line="155" w:lineRule="exact" w:before="0"/>
                      <w:ind w:left="0" w:right="0" w:firstLine="0"/>
                      <w:jc w:val="left"/>
                      <w:rPr>
                        <w:sz w:val="14"/>
                      </w:rPr>
                    </w:pPr>
                    <w:r>
                      <w:rPr>
                        <w:w w:val="98"/>
                        <w:sz w:val="14"/>
                        <w:u w:val="thick" w:color="9BBA58"/>
                      </w:rPr>
                      <w:t> </w:t>
                    </w:r>
                    <w:r>
                      <w:rPr>
                        <w:sz w:val="14"/>
                        <w:u w:val="thick" w:color="9BBA58"/>
                      </w:rPr>
                      <w:tab/>
                    </w:r>
                    <w:r>
                      <w:rPr>
                        <w:sz w:val="14"/>
                      </w:rPr>
                      <w:t> </w:t>
                    </w:r>
                    <w:r>
                      <w:rPr>
                        <w:spacing w:val="9"/>
                        <w:sz w:val="14"/>
                      </w:rPr>
                      <w:t> </w:t>
                    </w:r>
                    <w:r>
                      <w:rPr>
                        <w:sz w:val="14"/>
                      </w:rPr>
                      <w:t>-47.9</w:t>
                    </w:r>
                  </w:p>
                </w:txbxContent>
              </v:textbox>
              <w10:wrap type="none"/>
            </v:shape>
            <w10:wrap type="none"/>
          </v:group>
        </w:pict>
      </w:r>
      <w:r>
        <w:rPr>
          <w:w w:val="99"/>
          <w:sz w:val="12"/>
        </w:rPr>
        <w:t>1</w:t>
      </w:r>
    </w:p>
    <w:p>
      <w:pPr>
        <w:spacing w:before="10"/>
        <w:ind w:left="1063" w:right="0" w:firstLine="0"/>
        <w:jc w:val="left"/>
        <w:rPr>
          <w:sz w:val="12"/>
        </w:rPr>
      </w:pPr>
      <w:r>
        <w:rPr>
          <w:w w:val="99"/>
          <w:sz w:val="12"/>
        </w:rPr>
        <w:t>1</w:t>
      </w:r>
    </w:p>
    <w:p>
      <w:pPr>
        <w:spacing w:before="10"/>
        <w:ind w:left="1063" w:right="0" w:firstLine="0"/>
        <w:jc w:val="left"/>
        <w:rPr>
          <w:sz w:val="12"/>
        </w:rPr>
      </w:pPr>
      <w:r>
        <w:rPr/>
        <w:pict>
          <v:group style="position:absolute;margin-left:100.687599pt;margin-top:1.334443pt;width:191.9pt;height:105.25pt;mso-position-horizontal-relative:page;mso-position-vertical-relative:paragraph;z-index:252254208" coordorigin="2014,27" coordsize="3838,2105">
            <v:rect style="position:absolute;left:2555;top:1091;width:331;height:174" filled="true" fillcolor="#4f81bc" stroked="false">
              <v:fill type="solid"/>
            </v:rect>
            <v:line style="position:absolute" from="2886,1200" to="3215,1200" stroked="true" strokeweight="6.466807pt" strokecolor="#4f81bc">
              <v:stroke dashstyle="solid"/>
            </v:line>
            <v:line style="position:absolute" from="3215,1204" to="3543,1204" stroked="true" strokeweight="6.049593pt" strokecolor="#4f81bc">
              <v:stroke dashstyle="solid"/>
            </v:line>
            <v:line style="position:absolute" from="3543,1206" to="3872,1206" stroked="true" strokeweight="5.840987pt" strokecolor="#4f81bc">
              <v:stroke dashstyle="solid"/>
            </v:line>
            <v:line style="position:absolute" from="3872,1207" to="4200,1207" stroked="true" strokeweight="5.736683pt" strokecolor="#4f81bc">
              <v:stroke dashstyle="solid"/>
            </v:line>
            <v:line style="position:absolute" from="4200,1223" to="4529,1223" stroked="true" strokeweight="4.172133pt" strokecolor="#4f81bc">
              <v:stroke dashstyle="solid"/>
            </v:line>
            <v:line style="position:absolute" from="4529,1231" to="4859,1231" stroked="true" strokeweight="3.337707pt" strokecolor="#4f81bc">
              <v:stroke dashstyle="solid"/>
            </v:line>
            <v:line style="position:absolute" from="4859,1234" to="5188,1234" stroked="true" strokeweight="3.024797pt" strokecolor="#4f81bc">
              <v:stroke dashstyle="solid"/>
            </v:line>
            <v:line style="position:absolute" from="5188,1241" to="5516,1241" stroked="true" strokeweight="2.398977pt" strokecolor="#4f81bc">
              <v:stroke dashstyle="solid"/>
            </v:line>
            <v:line style="position:absolute" from="5516,1243" to="5845,1243" stroked="true" strokeweight="2.190370pt" strokecolor="#4f81bc">
              <v:stroke dashstyle="solid"/>
            </v:line>
            <v:shape style="position:absolute;left:0;top:12616;width:3821;height:200" coordorigin="0,12616" coordsize="3821,200" path="m2556,1091l2886,1091,2886,1265,2556,1265,2556,1091xm2886,1135l3215,1135,3215,1265,2886,1265,2886,1135xm3215,1144l3543,1144,3543,1265,3215,1265,3215,1144xm3543,1148l3872,1148,3872,1265,3543,1265,3543,1148xm3872,1150l4200,1150,4200,1265,3872,1265,3872,1150xm4200,1181l4529,1181,4529,1265,4200,1265,4200,1181xm4529,1198l4859,1198,4859,1265,4529,1265,4529,1198xm4859,1204l5188,1204,5188,1265,4859,1265,4859,1204xm5188,1217l5516,1217,5516,1265,5188,1265,5188,1217xm5516,1221l5845,1221,5845,1265,5516,1265,5516,1221xe" filled="false" stroked="true" strokeweight=".648788pt" strokecolor="#000000">
              <v:path arrowok="t"/>
              <v:stroke dashstyle="solid"/>
            </v:shape>
            <v:line style="position:absolute" from="2556,1265" to="2556,151" stroked="true" strokeweight=".64568pt" strokecolor="#858585">
              <v:stroke dashstyle="solid"/>
            </v:line>
            <v:shape style="position:absolute;left:0;top:11334;width:46;height:1282" coordorigin="0,11335" coordsize="46,1282" path="m2516,1265l2556,1265m2516,1079l2556,1079m2516,893l2556,893m2516,708l2556,708m2516,522l2556,522m2516,336l2556,336m2516,151l2556,151e" filled="false" stroked="true" strokeweight=".648788pt" strokecolor="#858585">
              <v:path arrowok="t"/>
              <v:stroke dashstyle="solid"/>
            </v:shape>
            <v:shape style="position:absolute;left:0;top:12616;width:3821;height:36" coordorigin="0,12616" coordsize="3821,36" path="m2556,1265l5845,1265m2556,1265l2556,1296m2886,1265l2886,1296m3543,1265l3543,1296m4200,1265l4200,1296m4529,1265l4529,1296m4859,1265l4859,1296m5188,1265l5188,1296m5516,1265l5516,1296m5845,1265l5845,1296e" filled="false" stroked="true" strokeweight=".648788pt" strokecolor="#858585">
              <v:path arrowok="t"/>
              <v:stroke dashstyle="solid"/>
            </v:shape>
            <v:shape style="position:absolute;left:2722;top:303;width:2959;height:789" coordorigin="2722,304" coordsize="2959,789" path="m2722,1092l3051,961,3379,840,3708,723,4036,608,4365,525,4695,458,5024,398,5352,350,5681,304e" filled="false" stroked="true" strokeweight="1.954451pt" strokecolor="#bd4a47">
              <v:path arrowok="t"/>
              <v:stroke dashstyle="solid"/>
            </v:shape>
            <v:shape style="position:absolute;left:2678;top:1047;width:87;height:88" coordorigin="2678,1048" coordsize="87,88" path="m2722,1048l2678,1091,2722,1135,2765,1091,2722,1048xe" filled="true" fillcolor="#c0504d" stroked="false">
              <v:path arrowok="t"/>
              <v:fill type="solid"/>
            </v:shape>
            <v:shape style="position:absolute;left:2678;top:1047;width:87;height:88" coordorigin="2678,1048" coordsize="87,88" path="m2722,1048l2765,1091,2722,1135,2678,1091,2722,1048xe" filled="false" stroked="true" strokeweight=".648758pt" strokecolor="#bd4a47">
              <v:path arrowok="t"/>
              <v:stroke dashstyle="solid"/>
            </v:shape>
            <v:shape style="position:absolute;left:3006;top:918;width:87;height:88" coordorigin="3007,918" coordsize="87,88" path="m3050,918l3007,962,3050,1006,3093,962,3050,918xe" filled="true" fillcolor="#c0504d" stroked="false">
              <v:path arrowok="t"/>
              <v:fill type="solid"/>
            </v:shape>
            <v:shape style="position:absolute;left:3006;top:918;width:87;height:88" coordorigin="3007,918" coordsize="87,88" path="m3050,918l3093,962,3050,1006,3007,962,3050,918xe" filled="false" stroked="true" strokeweight=".648758pt" strokecolor="#bd4a47">
              <v:path arrowok="t"/>
              <v:stroke dashstyle="solid"/>
            </v:shape>
            <v:shape style="position:absolute;left:3335;top:797;width:87;height:88" coordorigin="3335,797" coordsize="87,88" path="m3379,797l3335,841,3379,885,3422,841,3379,797xe" filled="true" fillcolor="#c0504d" stroked="false">
              <v:path arrowok="t"/>
              <v:fill type="solid"/>
            </v:shape>
            <v:shape style="position:absolute;left:3335;top:797;width:87;height:88" coordorigin="3335,797" coordsize="87,88" path="m3379,797l3422,841,3379,885,3335,841,3379,797xe" filled="false" stroked="true" strokeweight=".648756pt" strokecolor="#bd4a47">
              <v:path arrowok="t"/>
              <v:stroke dashstyle="solid"/>
            </v:shape>
            <v:shape style="position:absolute;left:3665;top:680;width:87;height:88" coordorigin="3666,680" coordsize="87,88" path="m3709,680l3666,724,3709,768,3752,724,3709,680xe" filled="true" fillcolor="#c0504d" stroked="false">
              <v:path arrowok="t"/>
              <v:fill type="solid"/>
            </v:shape>
            <v:shape style="position:absolute;left:3665;top:680;width:87;height:88" coordorigin="3666,680" coordsize="87,88" path="m3709,680l3752,724,3709,768,3666,724,3709,680xe" filled="false" stroked="true" strokeweight=".648758pt" strokecolor="#bd4a47">
              <v:path arrowok="t"/>
              <v:stroke dashstyle="solid"/>
            </v:shape>
            <v:shape style="position:absolute;left:3994;top:565;width:87;height:88" coordorigin="3994,566" coordsize="87,88" path="m4038,566l3994,609,4038,653,4081,609,4038,566xe" filled="true" fillcolor="#c0504d" stroked="false">
              <v:path arrowok="t"/>
              <v:fill type="solid"/>
            </v:shape>
            <v:shape style="position:absolute;left:3994;top:565;width:87;height:88" coordorigin="3994,566" coordsize="87,88" path="m4038,566l4081,609,4038,653,3994,609,4038,566xe" filled="false" stroked="true" strokeweight=".648758pt" strokecolor="#bd4a47">
              <v:path arrowok="t"/>
              <v:stroke dashstyle="solid"/>
            </v:shape>
            <v:shape style="position:absolute;left:4322;top:482;width:87;height:88" coordorigin="4323,482" coordsize="87,88" path="m4366,482l4323,526,4366,570,4410,526,4366,482xe" filled="true" fillcolor="#c0504d" stroked="false">
              <v:path arrowok="t"/>
              <v:fill type="solid"/>
            </v:shape>
            <v:shape style="position:absolute;left:4322;top:482;width:87;height:88" coordorigin="4323,482" coordsize="87,88" path="m4366,482l4410,526,4366,570,4323,526,4366,482xe" filled="false" stroked="true" strokeweight=".648758pt" strokecolor="#bd4a47">
              <v:path arrowok="t"/>
              <v:stroke dashstyle="solid"/>
            </v:shape>
            <v:shape style="position:absolute;left:4651;top:415;width:87;height:88" coordorigin="4651,415" coordsize="87,88" path="m4695,415l4651,459,4695,503,4738,459,4695,415xe" filled="true" fillcolor="#c0504d" stroked="false">
              <v:path arrowok="t"/>
              <v:fill type="solid"/>
            </v:shape>
            <v:shape style="position:absolute;left:4651;top:415;width:87;height:88" coordorigin="4651,415" coordsize="87,88" path="m4695,415l4738,459,4695,503,4651,459,4695,415xe" filled="false" stroked="true" strokeweight=".648758pt" strokecolor="#bd4a47">
              <v:path arrowok="t"/>
              <v:stroke dashstyle="solid"/>
            </v:shape>
            <v:shape style="position:absolute;left:4979;top:352;width:87;height:88" coordorigin="4980,353" coordsize="87,88" path="m5023,353l4980,397,5023,441,5067,397,5023,353xe" filled="true" fillcolor="#c0504d" stroked="false">
              <v:path arrowok="t"/>
              <v:fill type="solid"/>
            </v:shape>
            <v:shape style="position:absolute;left:4979;top:352;width:87;height:88" coordorigin="4980,353" coordsize="87,88" path="m5023,353l5067,397,5023,441,4980,397,5023,353xe" filled="false" stroked="true" strokeweight=".648758pt" strokecolor="#bd4a47">
              <v:path arrowok="t"/>
              <v:stroke dashstyle="solid"/>
            </v:shape>
            <v:shape style="position:absolute;left:5308;top:304;width:87;height:88" coordorigin="5308,305" coordsize="87,88" path="m5352,305l5308,349,5352,393,5395,349,5352,305xe" filled="true" fillcolor="#c0504d" stroked="false">
              <v:path arrowok="t"/>
              <v:fill type="solid"/>
            </v:shape>
            <v:shape style="position:absolute;left:5308;top:304;width:87;height:88" coordorigin="5308,305" coordsize="87,88" path="m5352,305l5395,349,5352,393,5308,349,5352,305xe" filled="false" stroked="true" strokeweight=".648758pt" strokecolor="#bd4a47">
              <v:path arrowok="t"/>
              <v:stroke dashstyle="solid"/>
            </v:shape>
            <v:shape style="position:absolute;left:5638;top:259;width:87;height:88" coordorigin="5639,259" coordsize="87,88" path="m5682,259l5639,303,5682,347,5726,303,5682,259xe" filled="true" fillcolor="#c0504d" stroked="false">
              <v:path arrowok="t"/>
              <v:fill type="solid"/>
            </v:shape>
            <v:shape style="position:absolute;left:5638;top:259;width:87;height:88" coordorigin="5639,259" coordsize="87,88" path="m5682,259l5726,303,5682,347,5639,303,5682,259xe" filled="false" stroked="true" strokeweight=".648758pt" strokecolor="#bd4a47">
              <v:path arrowok="t"/>
              <v:stroke dashstyle="solid"/>
            </v:shape>
            <v:shape style="position:absolute;left:2013;top:1264;width:3682;height:867" type="#_x0000_t75" stroked="false">
              <v:imagedata r:id="rId62" o:title=""/>
            </v:shape>
            <v:shape style="position:absolute;left:2198;top:67;width:262;height:1271" type="#_x0000_t202" filled="false" stroked="false">
              <v:textbox inset="0,0,0,0">
                <w:txbxContent>
                  <w:p>
                    <w:pPr>
                      <w:spacing w:line="155" w:lineRule="exact" w:before="0"/>
                      <w:ind w:left="0" w:right="0" w:firstLine="0"/>
                      <w:jc w:val="left"/>
                      <w:rPr>
                        <w:sz w:val="14"/>
                      </w:rPr>
                    </w:pPr>
                    <w:r>
                      <w:rPr>
                        <w:sz w:val="14"/>
                      </w:rPr>
                      <w:t>60.0</w:t>
                    </w:r>
                  </w:p>
                  <w:p>
                    <w:pPr>
                      <w:spacing w:before="25"/>
                      <w:ind w:left="0" w:right="0" w:firstLine="0"/>
                      <w:jc w:val="left"/>
                      <w:rPr>
                        <w:sz w:val="14"/>
                      </w:rPr>
                    </w:pPr>
                    <w:r>
                      <w:rPr>
                        <w:sz w:val="14"/>
                      </w:rPr>
                      <w:t>50.0</w:t>
                    </w:r>
                  </w:p>
                  <w:p>
                    <w:pPr>
                      <w:spacing w:before="25"/>
                      <w:ind w:left="0" w:right="0" w:firstLine="0"/>
                      <w:jc w:val="left"/>
                      <w:rPr>
                        <w:sz w:val="14"/>
                      </w:rPr>
                    </w:pPr>
                    <w:r>
                      <w:rPr>
                        <w:sz w:val="14"/>
                      </w:rPr>
                      <w:t>40.0</w:t>
                    </w:r>
                  </w:p>
                  <w:p>
                    <w:pPr>
                      <w:spacing w:before="25"/>
                      <w:ind w:left="0" w:right="0" w:firstLine="0"/>
                      <w:jc w:val="left"/>
                      <w:rPr>
                        <w:sz w:val="14"/>
                      </w:rPr>
                    </w:pPr>
                    <w:r>
                      <w:rPr>
                        <w:sz w:val="14"/>
                      </w:rPr>
                      <w:t>30.0</w:t>
                    </w:r>
                  </w:p>
                  <w:p>
                    <w:pPr>
                      <w:spacing w:before="25"/>
                      <w:ind w:left="0" w:right="0" w:firstLine="0"/>
                      <w:jc w:val="left"/>
                      <w:rPr>
                        <w:sz w:val="14"/>
                      </w:rPr>
                    </w:pPr>
                    <w:r>
                      <w:rPr>
                        <w:sz w:val="14"/>
                      </w:rPr>
                      <w:t>20.0</w:t>
                    </w:r>
                  </w:p>
                  <w:p>
                    <w:pPr>
                      <w:spacing w:before="25"/>
                      <w:ind w:left="0" w:right="0" w:firstLine="0"/>
                      <w:jc w:val="left"/>
                      <w:rPr>
                        <w:sz w:val="14"/>
                      </w:rPr>
                    </w:pPr>
                    <w:r>
                      <w:rPr>
                        <w:sz w:val="14"/>
                      </w:rPr>
                      <w:t>10.0</w:t>
                    </w:r>
                  </w:p>
                  <w:p>
                    <w:pPr>
                      <w:spacing w:before="24"/>
                      <w:ind w:left="69" w:right="0" w:firstLine="0"/>
                      <w:jc w:val="left"/>
                      <w:rPr>
                        <w:sz w:val="14"/>
                      </w:rPr>
                    </w:pPr>
                    <w:r>
                      <w:rPr>
                        <w:sz w:val="14"/>
                      </w:rPr>
                      <w:t>0.0</w:t>
                    </w:r>
                  </w:p>
                </w:txbxContent>
              </v:textbox>
              <w10:wrap type="none"/>
            </v:shape>
            <v:shape style="position:absolute;left:4901;top:26;width:923;height:249" type="#_x0000_t202" filled="false" stroked="false">
              <v:textbox inset="0,0,0,0">
                <w:txbxContent>
                  <w:p>
                    <w:pPr>
                      <w:spacing w:line="228" w:lineRule="auto" w:before="0"/>
                      <w:ind w:left="0" w:right="0" w:firstLine="0"/>
                      <w:jc w:val="left"/>
                      <w:rPr>
                        <w:sz w:val="14"/>
                      </w:rPr>
                    </w:pPr>
                    <w:r>
                      <w:rPr>
                        <w:position w:val="-8"/>
                        <w:sz w:val="14"/>
                      </w:rPr>
                      <w:t>46.7 </w:t>
                    </w:r>
                    <w:r>
                      <w:rPr>
                        <w:position w:val="-4"/>
                        <w:sz w:val="14"/>
                      </w:rPr>
                      <w:t>49.3 </w:t>
                    </w:r>
                    <w:r>
                      <w:rPr>
                        <w:sz w:val="14"/>
                      </w:rPr>
                      <w:t>51.7</w:t>
                    </w:r>
                  </w:p>
                </w:txbxContent>
              </v:textbox>
              <w10:wrap type="none"/>
            </v:shape>
            <v:shape style="position:absolute;left:3585;top:447;width:265;height:155" type="#_x0000_t202" filled="false" stroked="false">
              <v:textbox inset="0,0,0,0">
                <w:txbxContent>
                  <w:p>
                    <w:pPr>
                      <w:spacing w:line="155" w:lineRule="exact" w:before="0"/>
                      <w:ind w:left="0" w:right="0" w:firstLine="0"/>
                      <w:jc w:val="left"/>
                      <w:rPr>
                        <w:sz w:val="14"/>
                      </w:rPr>
                    </w:pPr>
                    <w:r>
                      <w:rPr>
                        <w:sz w:val="14"/>
                      </w:rPr>
                      <w:t>29.1</w:t>
                    </w:r>
                  </w:p>
                </w:txbxContent>
              </v:textbox>
              <w10:wrap type="none"/>
            </v:shape>
            <v:shape style="position:absolute;left:3914;top:181;width:923;height:306" type="#_x0000_t202" filled="false" stroked="false">
              <v:textbox inset="0,0,0,0">
                <w:txbxContent>
                  <w:p>
                    <w:pPr>
                      <w:spacing w:line="228" w:lineRule="auto" w:before="0"/>
                      <w:ind w:left="0" w:right="0" w:firstLine="0"/>
                      <w:jc w:val="left"/>
                      <w:rPr>
                        <w:sz w:val="14"/>
                      </w:rPr>
                    </w:pPr>
                    <w:r>
                      <w:rPr>
                        <w:position w:val="-14"/>
                        <w:sz w:val="14"/>
                      </w:rPr>
                      <w:t>35.3 </w:t>
                    </w:r>
                    <w:r>
                      <w:rPr>
                        <w:position w:val="-6"/>
                        <w:sz w:val="14"/>
                      </w:rPr>
                      <w:t>39.8 </w:t>
                    </w:r>
                    <w:r>
                      <w:rPr>
                        <w:sz w:val="14"/>
                      </w:rPr>
                      <w:t>43.4</w:t>
                    </w:r>
                  </w:p>
                </w:txbxContent>
              </v:textbox>
              <w10:wrap type="none"/>
            </v:shape>
            <v:shape style="position:absolute;left:2927;top:563;width:594;height:277" type="#_x0000_t202" filled="false" stroked="false">
              <v:textbox inset="0,0,0,0">
                <w:txbxContent>
                  <w:p>
                    <w:pPr>
                      <w:spacing w:line="135" w:lineRule="exact" w:before="0"/>
                      <w:ind w:left="328" w:right="0" w:firstLine="0"/>
                      <w:jc w:val="left"/>
                      <w:rPr>
                        <w:sz w:val="14"/>
                      </w:rPr>
                    </w:pPr>
                    <w:r>
                      <w:rPr>
                        <w:sz w:val="14"/>
                      </w:rPr>
                      <w:t>22.8</w:t>
                    </w:r>
                  </w:p>
                  <w:p>
                    <w:pPr>
                      <w:spacing w:line="141" w:lineRule="exact" w:before="0"/>
                      <w:ind w:left="0" w:right="0" w:firstLine="0"/>
                      <w:jc w:val="left"/>
                      <w:rPr>
                        <w:sz w:val="14"/>
                      </w:rPr>
                    </w:pPr>
                    <w:r>
                      <w:rPr>
                        <w:sz w:val="14"/>
                      </w:rPr>
                      <w:t>16.3</w:t>
                    </w:r>
                  </w:p>
                </w:txbxContent>
              </v:textbox>
              <w10:wrap type="none"/>
            </v:shape>
            <v:shape style="position:absolute;left:2646;top:878;width:171;height:134" type="#_x0000_t202" filled="false" stroked="false">
              <v:textbox inset="0,0,0,0">
                <w:txbxContent>
                  <w:p>
                    <w:pPr>
                      <w:spacing w:line="134" w:lineRule="exact" w:before="0"/>
                      <w:ind w:left="0" w:right="0" w:firstLine="0"/>
                      <w:jc w:val="left"/>
                      <w:rPr>
                        <w:sz w:val="12"/>
                      </w:rPr>
                    </w:pPr>
                    <w:r>
                      <w:rPr>
                        <w:sz w:val="12"/>
                      </w:rPr>
                      <w:t>9.4</w:t>
                    </w:r>
                  </w:p>
                </w:txbxContent>
              </v:textbox>
              <w10:wrap type="none"/>
            </v:shape>
            <v:shape style="position:absolute;left:2975;top:922;width:1158;height:149" type="#_x0000_t202" filled="false" stroked="false">
              <v:textbox inset="0,0,0,0">
                <w:txbxContent>
                  <w:p>
                    <w:pPr>
                      <w:spacing w:line="149" w:lineRule="exact" w:before="0"/>
                      <w:ind w:left="0" w:right="0" w:firstLine="0"/>
                      <w:jc w:val="left"/>
                      <w:rPr>
                        <w:sz w:val="12"/>
                      </w:rPr>
                    </w:pPr>
                    <w:r>
                      <w:rPr>
                        <w:position w:val="2"/>
                        <w:sz w:val="12"/>
                      </w:rPr>
                      <w:t>7.0 </w:t>
                    </w:r>
                    <w:r>
                      <w:rPr>
                        <w:position w:val="1"/>
                        <w:sz w:val="12"/>
                      </w:rPr>
                      <w:t>6.5 </w:t>
                    </w:r>
                    <w:r>
                      <w:rPr>
                        <w:sz w:val="12"/>
                      </w:rPr>
                      <w:t>6.3 6.2</w:t>
                    </w:r>
                  </w:p>
                </w:txbxContent>
              </v:textbox>
              <w10:wrap type="none"/>
            </v:shape>
            <v:shape style="position:absolute;left:4291;top:968;width:171;height:134" type="#_x0000_t202" filled="false" stroked="false">
              <v:textbox inset="0,0,0,0">
                <w:txbxContent>
                  <w:p>
                    <w:pPr>
                      <w:spacing w:line="134" w:lineRule="exact" w:before="0"/>
                      <w:ind w:left="0" w:right="0" w:firstLine="0"/>
                      <w:jc w:val="left"/>
                      <w:rPr>
                        <w:sz w:val="12"/>
                      </w:rPr>
                    </w:pPr>
                    <w:r>
                      <w:rPr>
                        <w:sz w:val="12"/>
                      </w:rPr>
                      <w:t>4.5</w:t>
                    </w:r>
                  </w:p>
                </w:txbxContent>
              </v:textbox>
              <w10:wrap type="none"/>
            </v:shape>
            <v:shape style="position:absolute;left:4620;top:985;width:500;height:140" type="#_x0000_t202" filled="false" stroked="false">
              <v:textbox inset="0,0,0,0">
                <w:txbxContent>
                  <w:p>
                    <w:pPr>
                      <w:spacing w:line="140" w:lineRule="exact" w:before="0"/>
                      <w:ind w:left="0" w:right="0" w:firstLine="0"/>
                      <w:jc w:val="left"/>
                      <w:rPr>
                        <w:sz w:val="12"/>
                      </w:rPr>
                    </w:pPr>
                    <w:r>
                      <w:rPr>
                        <w:position w:val="1"/>
                        <w:sz w:val="12"/>
                      </w:rPr>
                      <w:t>3.6 </w:t>
                    </w:r>
                    <w:r>
                      <w:rPr>
                        <w:sz w:val="12"/>
                      </w:rPr>
                      <w:t>3.3</w:t>
                    </w:r>
                  </w:p>
                </w:txbxContent>
              </v:textbox>
              <w10:wrap type="none"/>
            </v:shape>
            <v:shape style="position:absolute;left:5278;top:1004;width:171;height:134" type="#_x0000_t202" filled="false" stroked="false">
              <v:textbox inset="0,0,0,0">
                <w:txbxContent>
                  <w:p>
                    <w:pPr>
                      <w:spacing w:line="134" w:lineRule="exact" w:before="0"/>
                      <w:ind w:left="0" w:right="0" w:firstLine="0"/>
                      <w:jc w:val="left"/>
                      <w:rPr>
                        <w:sz w:val="12"/>
                      </w:rPr>
                    </w:pPr>
                    <w:r>
                      <w:rPr>
                        <w:sz w:val="12"/>
                      </w:rPr>
                      <w:t>2.6</w:t>
                    </w:r>
                  </w:p>
                </w:txbxContent>
              </v:textbox>
              <w10:wrap type="none"/>
            </v:shape>
            <v:shape style="position:absolute;left:5607;top:1007;width:171;height:134" type="#_x0000_t202" filled="false" stroked="false">
              <v:textbox inset="0,0,0,0">
                <w:txbxContent>
                  <w:p>
                    <w:pPr>
                      <w:spacing w:line="134" w:lineRule="exact" w:before="0"/>
                      <w:ind w:left="0" w:right="0" w:firstLine="0"/>
                      <w:jc w:val="left"/>
                      <w:rPr>
                        <w:sz w:val="12"/>
                      </w:rPr>
                    </w:pPr>
                    <w:r>
                      <w:rPr>
                        <w:sz w:val="12"/>
                      </w:rPr>
                      <w:t>2.4</w:t>
                    </w:r>
                  </w:p>
                </w:txbxContent>
              </v:textbox>
              <w10:wrap type="none"/>
            </v:shape>
            <w10:wrap type="none"/>
          </v:group>
        </w:pict>
      </w:r>
      <w:r>
        <w:rPr/>
        <w:pict>
          <v:shape style="position:absolute;margin-left:319.330566pt;margin-top:9.281776pt;width:9.7pt;height:34.3pt;mso-position-horizontal-relative:page;mso-position-vertical-relative:paragraph;z-index:252278784" type="#_x0000_t202" filled="false" stroked="false">
            <v:textbox inset="0,0,0,0" style="layout-flow:vertical;mso-layout-flow-alt:bottom-to-top">
              <w:txbxContent>
                <w:p>
                  <w:pPr>
                    <w:spacing w:before="12"/>
                    <w:ind w:left="20" w:right="0" w:firstLine="0"/>
                    <w:jc w:val="left"/>
                    <w:rPr>
                      <w:b/>
                      <w:sz w:val="14"/>
                    </w:rPr>
                  </w:pPr>
                  <w:r>
                    <w:rPr>
                      <w:b/>
                      <w:sz w:val="14"/>
                    </w:rPr>
                    <w:t>Porcentaje</w:t>
                  </w:r>
                </w:p>
              </w:txbxContent>
            </v:textbox>
            <w10:wrap type="none"/>
          </v:shape>
        </w:pict>
      </w:r>
      <w:r>
        <w:rPr>
          <w:w w:val="99"/>
          <w:sz w:val="12"/>
        </w:rPr>
        <w:t>1</w:t>
      </w:r>
    </w:p>
    <w:p>
      <w:pPr>
        <w:spacing w:after="0"/>
        <w:jc w:val="left"/>
        <w:rPr>
          <w:sz w:val="12"/>
        </w:rPr>
        <w:sectPr>
          <w:type w:val="continuous"/>
          <w:pgSz w:w="12240" w:h="15840"/>
          <w:pgMar w:top="1500" w:bottom="280" w:left="1140" w:right="0"/>
          <w:cols w:num="2" w:equalWidth="0">
            <w:col w:w="4369" w:space="40"/>
            <w:col w:w="6691"/>
          </w:cols>
        </w:sectPr>
      </w:pPr>
    </w:p>
    <w:p>
      <w:pPr>
        <w:pStyle w:val="BodyText"/>
        <w:rPr>
          <w:sz w:val="20"/>
        </w:rPr>
      </w:pPr>
    </w:p>
    <w:p>
      <w:pPr>
        <w:pStyle w:val="BodyText"/>
        <w:rPr>
          <w:sz w:val="20"/>
        </w:rPr>
      </w:pPr>
    </w:p>
    <w:p>
      <w:pPr>
        <w:pStyle w:val="BodyText"/>
        <w:spacing w:before="7"/>
        <w:rPr>
          <w:sz w:val="16"/>
        </w:rPr>
      </w:pPr>
    </w:p>
    <w:p>
      <w:pPr>
        <w:spacing w:before="97"/>
        <w:ind w:left="0" w:right="73" w:firstLine="0"/>
        <w:jc w:val="center"/>
        <w:rPr>
          <w:sz w:val="12"/>
        </w:rPr>
      </w:pPr>
      <w:r>
        <w:rPr/>
        <w:pict>
          <v:shape style="position:absolute;margin-left:98.644562pt;margin-top:-21.645369pt;width:9.7pt;height:34.3pt;mso-position-horizontal-relative:page;mso-position-vertical-relative:paragraph;z-index:252276736" type="#_x0000_t202" filled="false" stroked="false">
            <v:textbox inset="0,0,0,0" style="layout-flow:vertical;mso-layout-flow-alt:bottom-to-top">
              <w:txbxContent>
                <w:p>
                  <w:pPr>
                    <w:spacing w:before="12"/>
                    <w:ind w:left="20" w:right="0" w:firstLine="0"/>
                    <w:jc w:val="left"/>
                    <w:rPr>
                      <w:b/>
                      <w:sz w:val="14"/>
                    </w:rPr>
                  </w:pPr>
                  <w:r>
                    <w:rPr>
                      <w:b/>
                      <w:sz w:val="14"/>
                    </w:rPr>
                    <w:t>Porcentaje</w:t>
                  </w:r>
                </w:p>
              </w:txbxContent>
            </v:textbox>
            <w10:wrap type="none"/>
          </v:shape>
        </w:pict>
      </w:r>
      <w:r>
        <w:rPr>
          <w:w w:val="100"/>
          <w:sz w:val="12"/>
        </w:rPr>
        <w:t>-</w:t>
      </w:r>
    </w:p>
    <w:p>
      <w:pPr>
        <w:spacing w:before="10"/>
        <w:ind w:left="0" w:right="73" w:firstLine="0"/>
        <w:jc w:val="center"/>
        <w:rPr>
          <w:sz w:val="12"/>
        </w:rPr>
      </w:pPr>
      <w:r>
        <w:rPr>
          <w:w w:val="99"/>
          <w:sz w:val="12"/>
        </w:rPr>
        <w:t>-</w:t>
      </w:r>
    </w:p>
    <w:p>
      <w:pPr>
        <w:spacing w:before="10" w:after="17"/>
        <w:ind w:left="0" w:right="73" w:firstLine="0"/>
        <w:jc w:val="center"/>
        <w:rPr>
          <w:sz w:val="12"/>
        </w:rPr>
      </w:pPr>
      <w:r>
        <w:rPr>
          <w:w w:val="99"/>
          <w:sz w:val="12"/>
        </w:rPr>
        <w:t>-</w:t>
      </w:r>
    </w:p>
    <w:p>
      <w:pPr>
        <w:pStyle w:val="BodyText"/>
        <w:ind w:left="5374"/>
        <w:rPr>
          <w:sz w:val="20"/>
        </w:rPr>
      </w:pPr>
      <w:r>
        <w:rPr>
          <w:sz w:val="20"/>
        </w:rPr>
        <w:drawing>
          <wp:inline distT="0" distB="0" distL="0" distR="0">
            <wp:extent cx="2291469" cy="500062"/>
            <wp:effectExtent l="0" t="0" r="0" b="0"/>
            <wp:docPr id="29" name="image57.png"/>
            <wp:cNvGraphicFramePr>
              <a:graphicFrameLocks noChangeAspect="1"/>
            </wp:cNvGraphicFramePr>
            <a:graphic>
              <a:graphicData uri="http://schemas.openxmlformats.org/drawingml/2006/picture">
                <pic:pic>
                  <pic:nvPicPr>
                    <pic:cNvPr id="30" name="image57.png"/>
                    <pic:cNvPicPr/>
                  </pic:nvPicPr>
                  <pic:blipFill>
                    <a:blip r:embed="rId63" cstate="print"/>
                    <a:stretch>
                      <a:fillRect/>
                    </a:stretch>
                  </pic:blipFill>
                  <pic:spPr>
                    <a:xfrm>
                      <a:off x="0" y="0"/>
                      <a:ext cx="2291469" cy="500062"/>
                    </a:xfrm>
                    <a:prstGeom prst="rect">
                      <a:avLst/>
                    </a:prstGeom>
                  </pic:spPr>
                </pic:pic>
              </a:graphicData>
            </a:graphic>
          </wp:inline>
        </w:drawing>
      </w:r>
      <w:r>
        <w:rPr>
          <w:sz w:val="20"/>
        </w:rPr>
      </w:r>
    </w:p>
    <w:p>
      <w:pPr>
        <w:tabs>
          <w:tab w:pos="7209" w:val="left" w:leader="none"/>
        </w:tabs>
        <w:spacing w:before="84"/>
        <w:ind w:left="2786" w:right="0" w:firstLine="0"/>
        <w:jc w:val="left"/>
        <w:rPr>
          <w:b/>
          <w:sz w:val="14"/>
        </w:rPr>
      </w:pPr>
      <w:r>
        <w:rPr>
          <w:b/>
          <w:sz w:val="14"/>
        </w:rPr>
        <w:t>Producto</w:t>
        <w:tab/>
        <w:t>Producto</w:t>
      </w:r>
    </w:p>
    <w:p>
      <w:pPr>
        <w:pStyle w:val="BodyText"/>
        <w:rPr>
          <w:b/>
          <w:sz w:val="14"/>
        </w:rPr>
      </w:pPr>
    </w:p>
    <w:p>
      <w:pPr>
        <w:spacing w:before="94"/>
        <w:ind w:left="670" w:right="0" w:firstLine="0"/>
        <w:jc w:val="left"/>
        <w:rPr>
          <w:sz w:val="16"/>
        </w:rPr>
      </w:pPr>
      <w:r>
        <w:rPr>
          <w:sz w:val="16"/>
        </w:rPr>
        <w:t>Fuente: Dirección de Análisis y Política Fiscal con información de BANGUAT</w:t>
      </w:r>
    </w:p>
    <w:p>
      <w:pPr>
        <w:pStyle w:val="BodyText"/>
        <w:rPr>
          <w:sz w:val="18"/>
        </w:rPr>
      </w:pPr>
    </w:p>
    <w:p>
      <w:pPr>
        <w:pStyle w:val="BodyText"/>
        <w:spacing w:line="276" w:lineRule="auto" w:before="107"/>
        <w:ind w:left="562" w:right="1695"/>
        <w:jc w:val="both"/>
      </w:pPr>
      <w:r>
        <w:rPr/>
        <w:t>Los países o zonas más importantes con respecto a las importaciones CIF a junio 2022 son Estados Unidos (36.1%), los países centroamericanos (13.9%), China (12.9%) y México (10.8%) que representan</w:t>
      </w:r>
      <w:r>
        <w:rPr>
          <w:spacing w:val="-14"/>
        </w:rPr>
        <w:t> </w:t>
      </w:r>
      <w:r>
        <w:rPr/>
        <w:t>el</w:t>
      </w:r>
      <w:r>
        <w:rPr>
          <w:spacing w:val="-15"/>
        </w:rPr>
        <w:t> </w:t>
      </w:r>
      <w:r>
        <w:rPr/>
        <w:t>73.6%</w:t>
      </w:r>
      <w:r>
        <w:rPr>
          <w:spacing w:val="-14"/>
        </w:rPr>
        <w:t> </w:t>
      </w:r>
      <w:r>
        <w:rPr/>
        <w:t>del</w:t>
      </w:r>
      <w:r>
        <w:rPr>
          <w:spacing w:val="-15"/>
        </w:rPr>
        <w:t> </w:t>
      </w:r>
      <w:r>
        <w:rPr/>
        <w:t>total</w:t>
      </w:r>
      <w:r>
        <w:rPr>
          <w:spacing w:val="-15"/>
        </w:rPr>
        <w:t> </w:t>
      </w:r>
      <w:r>
        <w:rPr/>
        <w:t>de</w:t>
      </w:r>
      <w:r>
        <w:rPr>
          <w:spacing w:val="-16"/>
        </w:rPr>
        <w:t> </w:t>
      </w:r>
      <w:r>
        <w:rPr/>
        <w:t>las</w:t>
      </w:r>
      <w:r>
        <w:rPr>
          <w:spacing w:val="-15"/>
        </w:rPr>
        <w:t> </w:t>
      </w:r>
      <w:r>
        <w:rPr/>
        <w:t>importaciones.</w:t>
      </w:r>
      <w:r>
        <w:rPr>
          <w:spacing w:val="-16"/>
        </w:rPr>
        <w:t> </w:t>
      </w:r>
      <w:r>
        <w:rPr/>
        <w:t>Con</w:t>
      </w:r>
      <w:r>
        <w:rPr>
          <w:spacing w:val="-17"/>
        </w:rPr>
        <w:t> </w:t>
      </w:r>
      <w:r>
        <w:rPr/>
        <w:t>respecto</w:t>
      </w:r>
      <w:r>
        <w:rPr>
          <w:spacing w:val="-16"/>
        </w:rPr>
        <w:t> </w:t>
      </w:r>
      <w:r>
        <w:rPr/>
        <w:t>al</w:t>
      </w:r>
      <w:r>
        <w:rPr>
          <w:spacing w:val="-15"/>
        </w:rPr>
        <w:t> </w:t>
      </w:r>
      <w:r>
        <w:rPr/>
        <w:t>crecimiento</w:t>
      </w:r>
      <w:r>
        <w:rPr>
          <w:spacing w:val="-19"/>
        </w:rPr>
        <w:t> </w:t>
      </w:r>
      <w:r>
        <w:rPr/>
        <w:t>interanual,</w:t>
      </w:r>
      <w:r>
        <w:rPr>
          <w:spacing w:val="-16"/>
        </w:rPr>
        <w:t> </w:t>
      </w:r>
      <w:r>
        <w:rPr>
          <w:spacing w:val="2"/>
        </w:rPr>
        <w:t>se</w:t>
      </w:r>
      <w:r>
        <w:rPr>
          <w:spacing w:val="-15"/>
        </w:rPr>
        <w:t> </w:t>
      </w:r>
      <w:r>
        <w:rPr/>
        <w:t>observa que</w:t>
      </w:r>
      <w:r>
        <w:rPr>
          <w:spacing w:val="-4"/>
        </w:rPr>
        <w:t> </w:t>
      </w:r>
      <w:r>
        <w:rPr/>
        <w:t>Colombia</w:t>
      </w:r>
      <w:r>
        <w:rPr>
          <w:spacing w:val="-4"/>
        </w:rPr>
        <w:t> </w:t>
      </w:r>
      <w:r>
        <w:rPr/>
        <w:t>y</w:t>
      </w:r>
      <w:r>
        <w:rPr>
          <w:spacing w:val="-7"/>
        </w:rPr>
        <w:t> </w:t>
      </w:r>
      <w:r>
        <w:rPr/>
        <w:t>Zona</w:t>
      </w:r>
      <w:r>
        <w:rPr>
          <w:spacing w:val="-4"/>
        </w:rPr>
        <w:t> </w:t>
      </w:r>
      <w:r>
        <w:rPr/>
        <w:t>del</w:t>
      </w:r>
      <w:r>
        <w:rPr>
          <w:spacing w:val="-4"/>
        </w:rPr>
        <w:t> </w:t>
      </w:r>
      <w:r>
        <w:rPr/>
        <w:t>Euro,</w:t>
      </w:r>
      <w:r>
        <w:rPr>
          <w:spacing w:val="-6"/>
        </w:rPr>
        <w:t> </w:t>
      </w:r>
      <w:r>
        <w:rPr/>
        <w:t>reportan</w:t>
      </w:r>
      <w:r>
        <w:rPr>
          <w:spacing w:val="-4"/>
        </w:rPr>
        <w:t> </w:t>
      </w:r>
      <w:r>
        <w:rPr/>
        <w:t>crecimientos</w:t>
      </w:r>
      <w:r>
        <w:rPr>
          <w:spacing w:val="-6"/>
        </w:rPr>
        <w:t> </w:t>
      </w:r>
      <w:r>
        <w:rPr/>
        <w:t>de</w:t>
      </w:r>
      <w:r>
        <w:rPr>
          <w:spacing w:val="-3"/>
        </w:rPr>
        <w:t> </w:t>
      </w:r>
      <w:r>
        <w:rPr/>
        <w:t>156.3%</w:t>
      </w:r>
      <w:r>
        <w:rPr>
          <w:spacing w:val="-4"/>
        </w:rPr>
        <w:t> </w:t>
      </w:r>
      <w:r>
        <w:rPr/>
        <w:t>y</w:t>
      </w:r>
      <w:r>
        <w:rPr>
          <w:spacing w:val="-7"/>
        </w:rPr>
        <w:t> </w:t>
      </w:r>
      <w:r>
        <w:rPr/>
        <w:t>55.2%</w:t>
      </w:r>
      <w:r>
        <w:rPr>
          <w:spacing w:val="-6"/>
        </w:rPr>
        <w:t> </w:t>
      </w:r>
      <w:r>
        <w:rPr/>
        <w:t>respectivamente,</w:t>
      </w:r>
      <w:r>
        <w:rPr>
          <w:spacing w:val="-4"/>
        </w:rPr>
        <w:t> </w:t>
      </w:r>
      <w:r>
        <w:rPr/>
        <w:t>mientras que Corea del Sur y Hong Kong representan caídas de -3.8% y</w:t>
      </w:r>
      <w:r>
        <w:rPr>
          <w:spacing w:val="-9"/>
        </w:rPr>
        <w:t> </w:t>
      </w:r>
      <w:r>
        <w:rPr/>
        <w:t>8.6%.</w:t>
      </w:r>
    </w:p>
    <w:p>
      <w:pPr>
        <w:pStyle w:val="BodyText"/>
        <w:spacing w:line="276" w:lineRule="auto" w:before="162"/>
        <w:ind w:left="562" w:right="1696"/>
        <w:jc w:val="both"/>
      </w:pPr>
      <w:r>
        <w:rPr>
          <w:sz w:val="24"/>
        </w:rPr>
        <w:t>El</w:t>
      </w:r>
      <w:r>
        <w:rPr>
          <w:spacing w:val="-14"/>
          <w:sz w:val="24"/>
        </w:rPr>
        <w:t> </w:t>
      </w:r>
      <w:r>
        <w:rPr/>
        <w:t>Banco</w:t>
      </w:r>
      <w:r>
        <w:rPr>
          <w:spacing w:val="-9"/>
        </w:rPr>
        <w:t> </w:t>
      </w:r>
      <w:r>
        <w:rPr/>
        <w:t>de</w:t>
      </w:r>
      <w:r>
        <w:rPr>
          <w:spacing w:val="-8"/>
        </w:rPr>
        <w:t> </w:t>
      </w:r>
      <w:r>
        <w:rPr/>
        <w:t>Guatemala</w:t>
      </w:r>
      <w:r>
        <w:rPr>
          <w:spacing w:val="-9"/>
        </w:rPr>
        <w:t> </w:t>
      </w:r>
      <w:r>
        <w:rPr/>
        <w:t>prevé</w:t>
      </w:r>
      <w:r>
        <w:rPr>
          <w:spacing w:val="-8"/>
        </w:rPr>
        <w:t> </w:t>
      </w:r>
      <w:r>
        <w:rPr/>
        <w:t>que</w:t>
      </w:r>
      <w:r>
        <w:rPr>
          <w:spacing w:val="-8"/>
        </w:rPr>
        <w:t> </w:t>
      </w:r>
      <w:r>
        <w:rPr/>
        <w:t>las</w:t>
      </w:r>
      <w:r>
        <w:rPr>
          <w:spacing w:val="-11"/>
        </w:rPr>
        <w:t> </w:t>
      </w:r>
      <w:r>
        <w:rPr/>
        <w:t>exportaciones</w:t>
      </w:r>
      <w:r>
        <w:rPr>
          <w:spacing w:val="-8"/>
        </w:rPr>
        <w:t> </w:t>
      </w:r>
      <w:r>
        <w:rPr/>
        <w:t>de</w:t>
      </w:r>
      <w:r>
        <w:rPr>
          <w:spacing w:val="-10"/>
        </w:rPr>
        <w:t> </w:t>
      </w:r>
      <w:r>
        <w:rPr/>
        <w:t>bienes</w:t>
      </w:r>
      <w:r>
        <w:rPr>
          <w:spacing w:val="-8"/>
        </w:rPr>
        <w:t> </w:t>
      </w:r>
      <w:r>
        <w:rPr/>
        <w:t>tengan</w:t>
      </w:r>
      <w:r>
        <w:rPr>
          <w:spacing w:val="-9"/>
        </w:rPr>
        <w:t> </w:t>
      </w:r>
      <w:r>
        <w:rPr/>
        <w:t>un</w:t>
      </w:r>
      <w:r>
        <w:rPr>
          <w:spacing w:val="-9"/>
        </w:rPr>
        <w:t> </w:t>
      </w:r>
      <w:r>
        <w:rPr/>
        <w:t>crecimiento</w:t>
      </w:r>
      <w:r>
        <w:rPr>
          <w:spacing w:val="-9"/>
        </w:rPr>
        <w:t> </w:t>
      </w:r>
      <w:r>
        <w:rPr/>
        <w:t>anual</w:t>
      </w:r>
      <w:r>
        <w:rPr>
          <w:spacing w:val="-9"/>
        </w:rPr>
        <w:t> </w:t>
      </w:r>
      <w:r>
        <w:rPr/>
        <w:t>para</w:t>
      </w:r>
      <w:r>
        <w:rPr>
          <w:spacing w:val="-8"/>
        </w:rPr>
        <w:t> </w:t>
      </w:r>
      <w:r>
        <w:rPr/>
        <w:t>2022 de 10.0 %, oscilando entre 8.5% y 11.5% esto dado que se espera que los principales socios comerciales</w:t>
      </w:r>
      <w:r>
        <w:rPr>
          <w:spacing w:val="-16"/>
        </w:rPr>
        <w:t> </w:t>
      </w:r>
      <w:r>
        <w:rPr/>
        <w:t>continúen</w:t>
      </w:r>
      <w:r>
        <w:rPr>
          <w:spacing w:val="-13"/>
        </w:rPr>
        <w:t> </w:t>
      </w:r>
      <w:r>
        <w:rPr/>
        <w:t>con</w:t>
      </w:r>
      <w:r>
        <w:rPr>
          <w:spacing w:val="-16"/>
        </w:rPr>
        <w:t> </w:t>
      </w:r>
      <w:r>
        <w:rPr/>
        <w:t>su</w:t>
      </w:r>
      <w:r>
        <w:rPr>
          <w:spacing w:val="-13"/>
        </w:rPr>
        <w:t> </w:t>
      </w:r>
      <w:r>
        <w:rPr/>
        <w:t>recuperación</w:t>
      </w:r>
      <w:r>
        <w:rPr>
          <w:spacing w:val="-14"/>
        </w:rPr>
        <w:t> </w:t>
      </w:r>
      <w:r>
        <w:rPr/>
        <w:t>económica,</w:t>
      </w:r>
      <w:r>
        <w:rPr>
          <w:spacing w:val="-16"/>
        </w:rPr>
        <w:t> </w:t>
      </w:r>
      <w:r>
        <w:rPr/>
        <w:t>principalmente</w:t>
      </w:r>
      <w:r>
        <w:rPr>
          <w:spacing w:val="-13"/>
        </w:rPr>
        <w:t> </w:t>
      </w:r>
      <w:r>
        <w:rPr/>
        <w:t>Estados</w:t>
      </w:r>
      <w:r>
        <w:rPr>
          <w:spacing w:val="-14"/>
        </w:rPr>
        <w:t> </w:t>
      </w:r>
      <w:r>
        <w:rPr/>
        <w:t>Unidos.</w:t>
      </w:r>
      <w:r>
        <w:rPr>
          <w:spacing w:val="-13"/>
        </w:rPr>
        <w:t> </w:t>
      </w:r>
      <w:r>
        <w:rPr/>
        <w:t>Por</w:t>
      </w:r>
      <w:r>
        <w:rPr>
          <w:spacing w:val="-16"/>
        </w:rPr>
        <w:t> </w:t>
      </w:r>
      <w:r>
        <w:rPr/>
        <w:t>otro</w:t>
      </w:r>
      <w:r>
        <w:rPr>
          <w:spacing w:val="-13"/>
        </w:rPr>
        <w:t> </w:t>
      </w:r>
      <w:r>
        <w:rPr/>
        <w:t>lado, y</w:t>
      </w:r>
      <w:r>
        <w:rPr>
          <w:spacing w:val="-16"/>
        </w:rPr>
        <w:t> </w:t>
      </w:r>
      <w:r>
        <w:rPr/>
        <w:t>en</w:t>
      </w:r>
      <w:r>
        <w:rPr>
          <w:spacing w:val="-13"/>
        </w:rPr>
        <w:t> </w:t>
      </w:r>
      <w:r>
        <w:rPr/>
        <w:t>base</w:t>
      </w:r>
      <w:r>
        <w:rPr>
          <w:spacing w:val="-14"/>
        </w:rPr>
        <w:t> </w:t>
      </w:r>
      <w:r>
        <w:rPr/>
        <w:t>a</w:t>
      </w:r>
      <w:r>
        <w:rPr>
          <w:spacing w:val="-15"/>
        </w:rPr>
        <w:t> </w:t>
      </w:r>
      <w:r>
        <w:rPr/>
        <w:t>la</w:t>
      </w:r>
      <w:r>
        <w:rPr>
          <w:spacing w:val="-14"/>
        </w:rPr>
        <w:t> </w:t>
      </w:r>
      <w:r>
        <w:rPr/>
        <w:t>normalización</w:t>
      </w:r>
      <w:r>
        <w:rPr>
          <w:spacing w:val="-16"/>
        </w:rPr>
        <w:t> </w:t>
      </w:r>
      <w:r>
        <w:rPr/>
        <w:t>de</w:t>
      </w:r>
      <w:r>
        <w:rPr>
          <w:spacing w:val="-15"/>
        </w:rPr>
        <w:t> </w:t>
      </w:r>
      <w:r>
        <w:rPr/>
        <w:t>la</w:t>
      </w:r>
      <w:r>
        <w:rPr>
          <w:spacing w:val="-12"/>
        </w:rPr>
        <w:t> </w:t>
      </w:r>
      <w:r>
        <w:rPr/>
        <w:t>demanda</w:t>
      </w:r>
      <w:r>
        <w:rPr>
          <w:spacing w:val="-13"/>
        </w:rPr>
        <w:t> </w:t>
      </w:r>
      <w:r>
        <w:rPr/>
        <w:t>interna</w:t>
      </w:r>
      <w:r>
        <w:rPr>
          <w:spacing w:val="-14"/>
        </w:rPr>
        <w:t> </w:t>
      </w:r>
      <w:r>
        <w:rPr/>
        <w:t>en</w:t>
      </w:r>
      <w:r>
        <w:rPr>
          <w:spacing w:val="-15"/>
        </w:rPr>
        <w:t> </w:t>
      </w:r>
      <w:r>
        <w:rPr/>
        <w:t>el</w:t>
      </w:r>
      <w:r>
        <w:rPr>
          <w:spacing w:val="-17"/>
        </w:rPr>
        <w:t> </w:t>
      </w:r>
      <w:r>
        <w:rPr/>
        <w:t>2021</w:t>
      </w:r>
      <w:r>
        <w:rPr>
          <w:spacing w:val="-12"/>
        </w:rPr>
        <w:t> </w:t>
      </w:r>
      <w:r>
        <w:rPr/>
        <w:t>y</w:t>
      </w:r>
      <w:r>
        <w:rPr>
          <w:spacing w:val="-16"/>
        </w:rPr>
        <w:t> </w:t>
      </w:r>
      <w:r>
        <w:rPr/>
        <w:t>la</w:t>
      </w:r>
      <w:r>
        <w:rPr>
          <w:spacing w:val="-14"/>
        </w:rPr>
        <w:t> </w:t>
      </w:r>
      <w:r>
        <w:rPr/>
        <w:t>evolución</w:t>
      </w:r>
      <w:r>
        <w:rPr>
          <w:spacing w:val="-16"/>
        </w:rPr>
        <w:t> </w:t>
      </w:r>
      <w:r>
        <w:rPr/>
        <w:t>optimista</w:t>
      </w:r>
      <w:r>
        <w:rPr>
          <w:spacing w:val="-13"/>
        </w:rPr>
        <w:t> </w:t>
      </w:r>
      <w:r>
        <w:rPr/>
        <w:t>de</w:t>
      </w:r>
      <w:r>
        <w:rPr>
          <w:spacing w:val="-14"/>
        </w:rPr>
        <w:t> </w:t>
      </w:r>
      <w:r>
        <w:rPr/>
        <w:t>la</w:t>
      </w:r>
      <w:r>
        <w:rPr>
          <w:spacing w:val="-13"/>
        </w:rPr>
        <w:t> </w:t>
      </w:r>
      <w:r>
        <w:rPr/>
        <w:t>pandemia, pero</w:t>
      </w:r>
      <w:r>
        <w:rPr>
          <w:spacing w:val="-12"/>
        </w:rPr>
        <w:t> </w:t>
      </w:r>
      <w:r>
        <w:rPr/>
        <w:t>sujeta</w:t>
      </w:r>
      <w:r>
        <w:rPr>
          <w:spacing w:val="-10"/>
        </w:rPr>
        <w:t> </w:t>
      </w:r>
      <w:r>
        <w:rPr/>
        <w:t>a</w:t>
      </w:r>
      <w:r>
        <w:rPr>
          <w:spacing w:val="-10"/>
        </w:rPr>
        <w:t> </w:t>
      </w:r>
      <w:r>
        <w:rPr/>
        <w:t>la</w:t>
      </w:r>
      <w:r>
        <w:rPr>
          <w:spacing w:val="-10"/>
        </w:rPr>
        <w:t> </w:t>
      </w:r>
      <w:r>
        <w:rPr/>
        <w:t>inestabilidad</w:t>
      </w:r>
      <w:r>
        <w:rPr>
          <w:spacing w:val="-12"/>
        </w:rPr>
        <w:t> </w:t>
      </w:r>
      <w:r>
        <w:rPr/>
        <w:t>generada</w:t>
      </w:r>
      <w:r>
        <w:rPr>
          <w:spacing w:val="-10"/>
        </w:rPr>
        <w:t> </w:t>
      </w:r>
      <w:r>
        <w:rPr/>
        <w:t>por</w:t>
      </w:r>
      <w:r>
        <w:rPr>
          <w:spacing w:val="-10"/>
        </w:rPr>
        <w:t> </w:t>
      </w:r>
      <w:r>
        <w:rPr/>
        <w:t>el</w:t>
      </w:r>
      <w:r>
        <w:rPr>
          <w:spacing w:val="-10"/>
        </w:rPr>
        <w:t> </w:t>
      </w:r>
      <w:r>
        <w:rPr/>
        <w:t>conflicto</w:t>
      </w:r>
      <w:r>
        <w:rPr>
          <w:spacing w:val="-14"/>
        </w:rPr>
        <w:t> </w:t>
      </w:r>
      <w:r>
        <w:rPr/>
        <w:t>Rusia-Ucrania,</w:t>
      </w:r>
      <w:r>
        <w:rPr>
          <w:spacing w:val="-10"/>
        </w:rPr>
        <w:t> </w:t>
      </w:r>
      <w:r>
        <w:rPr/>
        <w:t>se</w:t>
      </w:r>
      <w:r>
        <w:rPr>
          <w:spacing w:val="-10"/>
        </w:rPr>
        <w:t> </w:t>
      </w:r>
      <w:r>
        <w:rPr/>
        <w:t>espera</w:t>
      </w:r>
      <w:r>
        <w:rPr>
          <w:spacing w:val="-10"/>
        </w:rPr>
        <w:t> </w:t>
      </w:r>
      <w:r>
        <w:rPr/>
        <w:t>que</w:t>
      </w:r>
      <w:r>
        <w:rPr>
          <w:spacing w:val="-11"/>
        </w:rPr>
        <w:t> </w:t>
      </w:r>
      <w:r>
        <w:rPr/>
        <w:t>las</w:t>
      </w:r>
      <w:r>
        <w:rPr>
          <w:spacing w:val="-13"/>
        </w:rPr>
        <w:t> </w:t>
      </w:r>
      <w:r>
        <w:rPr/>
        <w:t>importaciones tengan un crecimiento del 12.0%, oscilando entre 10.5% y</w:t>
      </w:r>
      <w:r>
        <w:rPr>
          <w:spacing w:val="-7"/>
        </w:rPr>
        <w:t> </w:t>
      </w:r>
      <w:r>
        <w:rPr/>
        <w:t>13.5%.</w:t>
      </w:r>
    </w:p>
    <w:p>
      <w:pPr>
        <w:pStyle w:val="BodyText"/>
        <w:spacing w:before="9"/>
        <w:rPr>
          <w:sz w:val="17"/>
        </w:rPr>
      </w:pPr>
    </w:p>
    <w:p>
      <w:pPr>
        <w:spacing w:after="0"/>
        <w:rPr>
          <w:sz w:val="17"/>
        </w:rPr>
        <w:sectPr>
          <w:type w:val="continuous"/>
          <w:pgSz w:w="12240" w:h="15840"/>
          <w:pgMar w:top="1500" w:bottom="280" w:left="1140" w:right="0"/>
        </w:sectPr>
      </w:pPr>
    </w:p>
    <w:p>
      <w:pPr>
        <w:spacing w:line="278" w:lineRule="auto" w:before="91"/>
        <w:ind w:left="1773" w:right="0" w:hanging="610"/>
        <w:jc w:val="left"/>
        <w:rPr>
          <w:b/>
          <w:sz w:val="20"/>
        </w:rPr>
      </w:pPr>
      <w:r>
        <w:rPr/>
        <w:pict>
          <v:group style="position:absolute;margin-left:137.477539pt;margin-top:41.652332pt;width:17.3pt;height:4.55pt;mso-position-horizontal-relative:page;mso-position-vertical-relative:paragraph;z-index:252272640" coordorigin="2750,833" coordsize="346,91">
            <v:line style="position:absolute" from="2757,878" to="3088,878" stroked="true" strokeweight="3.805492pt" strokecolor="#4f81bc">
              <v:stroke dashstyle="solid"/>
            </v:line>
            <v:rect style="position:absolute;left:2756;top:840;width:332;height:77" filled="false" stroked="true" strokeweight=".717065pt" strokecolor="#000000">
              <v:stroke dashstyle="solid"/>
            </v:rect>
            <w10:wrap type="none"/>
          </v:group>
        </w:pict>
      </w:r>
      <w:r>
        <w:rPr/>
        <w:pict>
          <v:group style="position:absolute;margin-left:205.628708pt;margin-top:41.669163pt;width:16.6pt;height:4.4pt;mso-position-horizontal-relative:page;mso-position-vertical-relative:paragraph;z-index:-281046016" coordorigin="4113,833" coordsize="332,88">
            <v:line style="position:absolute" from="4113,878" to="4444,878" stroked="true" strokeweight="2.162211pt" strokecolor="#bd4a47">
              <v:stroke dashstyle="solid"/>
            </v:line>
            <v:shape style="position:absolute;left:4244;top:840;width:67;height:74" coordorigin="4244,840" coordsize="67,74" path="m4277,840l4244,877,4277,914,4310,877,4277,840xe" filled="true" fillcolor="#c0504d" stroked="false">
              <v:path arrowok="t"/>
              <v:fill type="solid"/>
            </v:shape>
            <v:shape style="position:absolute;left:4244;top:840;width:67;height:74" coordorigin="4244,840" coordsize="67,74" path="m4277,840l4310,877,4277,914,4244,877,4277,840xe" filled="false" stroked="true" strokeweight=".680154pt" strokecolor="#bd4a47">
              <v:path arrowok="t"/>
              <v:stroke dashstyle="solid"/>
            </v:shape>
            <w10:wrap type="none"/>
          </v:group>
        </w:pict>
      </w:r>
      <w:bookmarkStart w:name="_bookmark94" w:id="117"/>
      <w:bookmarkEnd w:id="117"/>
      <w:r>
        <w:rPr/>
      </w:r>
      <w:r>
        <w:rPr>
          <w:b/>
          <w:i/>
          <w:sz w:val="20"/>
        </w:rPr>
        <w:t>Gráfico 49. </w:t>
      </w:r>
      <w:r>
        <w:rPr>
          <w:b/>
          <w:sz w:val="20"/>
        </w:rPr>
        <w:t>Diagrama de Pareto para Importaciones por País</w:t>
      </w:r>
    </w:p>
    <w:p>
      <w:pPr>
        <w:spacing w:line="278" w:lineRule="auto" w:before="91"/>
        <w:ind w:left="1769" w:right="1165" w:hanging="605"/>
        <w:jc w:val="left"/>
        <w:rPr>
          <w:b/>
          <w:sz w:val="20"/>
        </w:rPr>
      </w:pPr>
      <w:r>
        <w:rPr/>
        <w:br w:type="column"/>
      </w:r>
      <w:bookmarkStart w:name="_bookmark95" w:id="118"/>
      <w:bookmarkEnd w:id="118"/>
      <w:r>
        <w:rPr/>
      </w:r>
      <w:r>
        <w:rPr>
          <w:b/>
          <w:i/>
          <w:sz w:val="20"/>
        </w:rPr>
        <w:t>Gráfico 50. </w:t>
      </w:r>
      <w:r>
        <w:rPr>
          <w:b/>
          <w:sz w:val="20"/>
        </w:rPr>
        <w:t>Tasas de Variación de las Importaciones por País</w:t>
      </w:r>
    </w:p>
    <w:p>
      <w:pPr>
        <w:spacing w:after="0" w:line="278" w:lineRule="auto"/>
        <w:jc w:val="left"/>
        <w:rPr>
          <w:sz w:val="20"/>
        </w:rPr>
        <w:sectPr>
          <w:type w:val="continuous"/>
          <w:pgSz w:w="12240" w:h="15840"/>
          <w:pgMar w:top="1500" w:bottom="280" w:left="1140" w:right="0"/>
          <w:cols w:num="2" w:equalWidth="0">
            <w:col w:w="4369" w:space="50"/>
            <w:col w:w="6681"/>
          </w:cols>
        </w:sectPr>
      </w:pPr>
    </w:p>
    <w:p>
      <w:pPr>
        <w:pStyle w:val="BodyText"/>
        <w:rPr>
          <w:b/>
          <w:sz w:val="16"/>
        </w:rPr>
      </w:pPr>
    </w:p>
    <w:p>
      <w:pPr>
        <w:pStyle w:val="BodyText"/>
        <w:rPr>
          <w:b/>
          <w:sz w:val="16"/>
        </w:rPr>
      </w:pPr>
    </w:p>
    <w:p>
      <w:pPr>
        <w:pStyle w:val="BodyText"/>
        <w:spacing w:before="8"/>
        <w:rPr>
          <w:b/>
          <w:sz w:val="12"/>
        </w:rPr>
      </w:pPr>
    </w:p>
    <w:p>
      <w:pPr>
        <w:spacing w:before="0"/>
        <w:ind w:left="0" w:right="0" w:firstLine="0"/>
        <w:jc w:val="right"/>
        <w:rPr>
          <w:sz w:val="15"/>
        </w:rPr>
      </w:pPr>
      <w:r>
        <w:rPr>
          <w:spacing w:val="-1"/>
          <w:w w:val="90"/>
          <w:sz w:val="15"/>
        </w:rPr>
        <w:t>100.0</w:t>
      </w:r>
    </w:p>
    <w:p>
      <w:pPr>
        <w:spacing w:before="25"/>
        <w:ind w:left="0" w:right="1" w:firstLine="0"/>
        <w:jc w:val="right"/>
        <w:rPr>
          <w:sz w:val="15"/>
        </w:rPr>
      </w:pPr>
      <w:r>
        <w:rPr>
          <w:spacing w:val="-1"/>
          <w:w w:val="90"/>
          <w:sz w:val="15"/>
        </w:rPr>
        <w:t>90.0</w:t>
      </w:r>
    </w:p>
    <w:p>
      <w:pPr>
        <w:spacing w:before="24"/>
        <w:ind w:left="0" w:right="1" w:firstLine="0"/>
        <w:jc w:val="right"/>
        <w:rPr>
          <w:sz w:val="15"/>
        </w:rPr>
      </w:pPr>
      <w:r>
        <w:rPr>
          <w:spacing w:val="-1"/>
          <w:w w:val="90"/>
          <w:sz w:val="15"/>
        </w:rPr>
        <w:t>80.0</w:t>
      </w:r>
    </w:p>
    <w:p>
      <w:pPr>
        <w:spacing w:before="25"/>
        <w:ind w:left="0" w:right="1" w:firstLine="0"/>
        <w:jc w:val="right"/>
        <w:rPr>
          <w:sz w:val="15"/>
        </w:rPr>
      </w:pPr>
      <w:r>
        <w:rPr/>
        <w:pict>
          <v:shape style="position:absolute;margin-left:98.653519pt;margin-top:6.598307pt;width:9.7pt;height:37.9pt;mso-position-horizontal-relative:page;mso-position-vertical-relative:paragraph;z-index:252275712" type="#_x0000_t202" filled="false" stroked="false">
            <v:textbox inset="0,0,0,0" style="layout-flow:vertical;mso-layout-flow-alt:bottom-to-top">
              <w:txbxContent>
                <w:p>
                  <w:pPr>
                    <w:spacing w:before="13"/>
                    <w:ind w:left="20" w:right="0" w:firstLine="0"/>
                    <w:jc w:val="left"/>
                    <w:rPr>
                      <w:b/>
                      <w:sz w:val="14"/>
                    </w:rPr>
                  </w:pPr>
                  <w:r>
                    <w:rPr>
                      <w:b/>
                      <w:w w:val="110"/>
                      <w:sz w:val="14"/>
                    </w:rPr>
                    <w:t>Porcentaje</w:t>
                  </w:r>
                </w:p>
              </w:txbxContent>
            </v:textbox>
            <w10:wrap type="none"/>
          </v:shape>
        </w:pict>
      </w:r>
      <w:r>
        <w:rPr>
          <w:spacing w:val="-1"/>
          <w:w w:val="90"/>
          <w:sz w:val="15"/>
        </w:rPr>
        <w:t>70.0</w:t>
      </w:r>
    </w:p>
    <w:p>
      <w:pPr>
        <w:spacing w:before="24"/>
        <w:ind w:left="0" w:right="1" w:firstLine="0"/>
        <w:jc w:val="right"/>
        <w:rPr>
          <w:sz w:val="15"/>
        </w:rPr>
      </w:pPr>
      <w:r>
        <w:rPr>
          <w:spacing w:val="-1"/>
          <w:w w:val="90"/>
          <w:sz w:val="15"/>
        </w:rPr>
        <w:t>60.0</w:t>
      </w:r>
    </w:p>
    <w:p>
      <w:pPr>
        <w:spacing w:before="25"/>
        <w:ind w:left="0" w:right="1" w:firstLine="0"/>
        <w:jc w:val="right"/>
        <w:rPr>
          <w:sz w:val="15"/>
        </w:rPr>
      </w:pPr>
      <w:r>
        <w:rPr>
          <w:spacing w:val="-1"/>
          <w:w w:val="90"/>
          <w:sz w:val="15"/>
        </w:rPr>
        <w:t>50.0</w:t>
      </w:r>
    </w:p>
    <w:p>
      <w:pPr>
        <w:spacing w:before="24"/>
        <w:ind w:left="0" w:right="1" w:firstLine="0"/>
        <w:jc w:val="right"/>
        <w:rPr>
          <w:sz w:val="15"/>
        </w:rPr>
      </w:pPr>
      <w:r>
        <w:rPr>
          <w:spacing w:val="-1"/>
          <w:w w:val="90"/>
          <w:sz w:val="15"/>
        </w:rPr>
        <w:t>40.0</w:t>
      </w:r>
    </w:p>
    <w:p>
      <w:pPr>
        <w:spacing w:before="25"/>
        <w:ind w:left="0" w:right="1" w:firstLine="0"/>
        <w:jc w:val="right"/>
        <w:rPr>
          <w:sz w:val="15"/>
        </w:rPr>
      </w:pPr>
      <w:r>
        <w:rPr>
          <w:spacing w:val="-1"/>
          <w:w w:val="90"/>
          <w:sz w:val="15"/>
        </w:rPr>
        <w:t>30.0</w:t>
      </w:r>
    </w:p>
    <w:p>
      <w:pPr>
        <w:spacing w:before="24"/>
        <w:ind w:left="0" w:right="1" w:firstLine="0"/>
        <w:jc w:val="right"/>
        <w:rPr>
          <w:sz w:val="15"/>
        </w:rPr>
      </w:pPr>
      <w:r>
        <w:rPr>
          <w:spacing w:val="-1"/>
          <w:w w:val="90"/>
          <w:sz w:val="15"/>
        </w:rPr>
        <w:t>20.0</w:t>
      </w:r>
    </w:p>
    <w:p>
      <w:pPr>
        <w:spacing w:before="25"/>
        <w:ind w:left="0" w:right="1" w:firstLine="0"/>
        <w:jc w:val="right"/>
        <w:rPr>
          <w:sz w:val="15"/>
        </w:rPr>
      </w:pPr>
      <w:r>
        <w:rPr>
          <w:spacing w:val="-1"/>
          <w:w w:val="90"/>
          <w:sz w:val="15"/>
        </w:rPr>
        <w:t>10.0</w:t>
      </w:r>
    </w:p>
    <w:p>
      <w:pPr>
        <w:spacing w:before="24"/>
        <w:ind w:left="0" w:right="0" w:firstLine="0"/>
        <w:jc w:val="right"/>
        <w:rPr>
          <w:sz w:val="15"/>
        </w:rPr>
      </w:pPr>
      <w:r>
        <w:rPr>
          <w:spacing w:val="-1"/>
          <w:w w:val="90"/>
          <w:sz w:val="15"/>
        </w:rPr>
        <w:t>0.0</w:t>
      </w:r>
    </w:p>
    <w:p>
      <w:pPr>
        <w:pStyle w:val="BodyText"/>
        <w:spacing w:before="11"/>
        <w:rPr>
          <w:sz w:val="13"/>
        </w:rPr>
      </w:pPr>
      <w:r>
        <w:rPr/>
        <w:br w:type="column"/>
      </w:r>
      <w:r>
        <w:rPr>
          <w:sz w:val="13"/>
        </w:rPr>
      </w:r>
    </w:p>
    <w:p>
      <w:pPr>
        <w:tabs>
          <w:tab w:pos="1928" w:val="left" w:leader="none"/>
        </w:tabs>
        <w:spacing w:before="0"/>
        <w:ind w:left="572" w:right="0" w:firstLine="0"/>
        <w:jc w:val="left"/>
        <w:rPr>
          <w:sz w:val="15"/>
        </w:rPr>
      </w:pPr>
      <w:r>
        <w:rPr>
          <w:w w:val="95"/>
          <w:sz w:val="15"/>
        </w:rPr>
        <w:t>Importaciones</w:t>
        <w:tab/>
        <w:t>Acumulado</w:t>
      </w:r>
    </w:p>
    <w:p>
      <w:pPr>
        <w:spacing w:before="115"/>
        <w:ind w:left="0" w:right="0" w:firstLine="0"/>
        <w:jc w:val="right"/>
        <w:rPr>
          <w:sz w:val="15"/>
        </w:rPr>
      </w:pPr>
      <w:r>
        <w:rPr/>
        <w:br w:type="column"/>
      </w:r>
      <w:r>
        <w:rPr>
          <w:spacing w:val="-1"/>
          <w:w w:val="90"/>
          <w:sz w:val="15"/>
        </w:rPr>
        <w:t>180.0</w:t>
      </w:r>
    </w:p>
    <w:p>
      <w:pPr>
        <w:spacing w:before="64"/>
        <w:ind w:left="0" w:right="0" w:firstLine="0"/>
        <w:jc w:val="right"/>
        <w:rPr>
          <w:sz w:val="15"/>
        </w:rPr>
      </w:pPr>
      <w:r>
        <w:rPr/>
        <w:pict>
          <v:group style="position:absolute;margin-left:129.342422pt;margin-top:12.244469pt;width:163.8pt;height:104.5pt;mso-position-horizontal-relative:page;mso-position-vertical-relative:paragraph;z-index:252271616" coordorigin="2587,245" coordsize="3276,2090">
            <v:shape style="position:absolute;left:2628;top:1577;width:1291;height:711" coordorigin="2628,1578" coordsize="1291,711" path="m3919,2076l3596,2076,3596,2034,3273,2034,3273,2016,2949,2016,2949,1578,2628,1578,2628,2288,2949,2288,3273,2288,3596,2288,3919,2288,3919,2076e" filled="true" fillcolor="#4f81bc" stroked="false">
              <v:path arrowok="t"/>
              <v:fill type="solid"/>
            </v:shape>
            <v:line style="position:absolute" from="3919,2226" to="4242,2226" stroked="true" strokeweight="6.227169pt" strokecolor="#4f81bc">
              <v:stroke dashstyle="solid"/>
            </v:line>
            <v:line style="position:absolute" from="4242,2265" to="4565,2265" stroked="true" strokeweight="2.306359pt" strokecolor="#4f81bc">
              <v:stroke dashstyle="solid"/>
            </v:line>
            <v:line style="position:absolute" from="4565,2269" to="4886,2269" stroked="true" strokeweight="1.845087pt" strokecolor="#4f81bc">
              <v:stroke dashstyle="solid"/>
            </v:line>
            <v:shape style="position:absolute;left:4886;top:2260;width:970;height:28" coordorigin="4886,2260" coordsize="970,28" path="m5856,2265l5533,2265,5533,2263,5210,2263,5210,2260,4886,2260,4886,2288,5210,2288,5533,2288,5856,2288,5856,2265e" filled="true" fillcolor="#4f81bc" stroked="false">
              <v:path arrowok="t"/>
              <v:fill type="solid"/>
            </v:shape>
            <v:shape style="position:absolute;left:0;top:4978;width:2616;height:740" coordorigin="0,4978" coordsize="2616,740" path="m2628,1578l2949,1578,2949,2288,2628,2288,2628,1578xm2949,2016l3273,2016,3273,2288,2949,2288,2949,2016xm3273,2034l3596,2034,3596,2288,3273,2288,3273,2034xm3596,2076l3919,2076,3919,2288,3596,2288,3596,2076xm3919,2163l4242,2163,4242,2288,3919,2288,3919,2163xm4242,2242l4565,2242,4565,2288,4242,2288,4242,2242xm4565,2251l4886,2251,4886,2288,4565,2288,4565,2251xe" filled="false" stroked="true" strokeweight=".684073pt" strokecolor="#000000">
              <v:path arrowok="t"/>
              <v:stroke dashstyle="solid"/>
            </v:shape>
            <v:shape style="position:absolute;left:4879;top:2253;width:983;height:43" coordorigin="4880,2253" coordsize="983,43" path="m5862,2258l5539,2258,5539,2255,5216,2255,5216,2253,4880,2253,4880,2295,5203,2295,5216,2295,5526,2295,5539,2295,5862,2295,5862,2258e" filled="true" fillcolor="#000000" stroked="false">
              <v:path arrowok="t"/>
              <v:fill type="solid"/>
            </v:shape>
            <v:line style="position:absolute" from="2628,2288" to="2628,321" stroked="true" strokeweight=".647408pt" strokecolor="#858585">
              <v:stroke dashstyle="solid"/>
            </v:line>
            <v:shape style="position:absolute;left:0;top:2930;width:48;height:2048" coordorigin="0,2931" coordsize="48,2048" path="m2587,2288l2628,2288m2587,2092l2628,2092m2587,1896l2628,1896m2587,1697l2628,1697m2587,1501l2628,1501m2587,1303l2628,1303m2587,1107l2628,1107m2587,911l2628,911m2587,713l2628,713m2587,517l2628,517m2587,321l2628,321e" filled="false" stroked="true" strokeweight=".684073pt" strokecolor="#858585">
              <v:path arrowok="t"/>
              <v:stroke dashstyle="solid"/>
            </v:shape>
            <v:shape style="position:absolute;left:0;top:4978;width:3740;height:48" coordorigin="0,4978" coordsize="3740,48" path="m2628,2288l5856,2288m2628,2288l2628,2334m2949,2288l2949,2334m3273,2288l3273,2334m3596,2288l3596,2334m3919,2288l3919,2334m4242,2288l4242,2334m4565,2288l4565,2334m4886,2288l4886,2334m5210,2288l5210,2334m5533,2288l5533,2334m5856,2288l5856,2334e" filled="false" stroked="true" strokeweight=".684073pt" strokecolor="#858585">
              <v:path arrowok="t"/>
              <v:stroke dashstyle="solid"/>
            </v:shape>
            <v:shape style="position:absolute;left:2788;top:550;width:2905;height:1029" coordorigin="2789,550" coordsize="2905,1029" path="m2789,1579l3112,1304,3435,1050,3756,838,4079,714,4403,668,4726,628,5049,601,5372,575,5693,550e" filled="false" stroked="true" strokeweight="2.137691pt" strokecolor="#bd4a47">
              <v:path arrowok="t"/>
              <v:stroke dashstyle="solid"/>
            </v:shape>
            <v:shape style="position:absolute;left:2737;top:1522;width:101;height:111" type="#_x0000_t75" stroked="false">
              <v:imagedata r:id="rId64" o:title=""/>
            </v:shape>
            <v:shape style="position:absolute;left:3060;top:1250;width:101;height:111" type="#_x0000_t75" stroked="false">
              <v:imagedata r:id="rId65" o:title=""/>
            </v:shape>
            <v:shape style="position:absolute;left:3383;top:996;width:101;height:111" type="#_x0000_t75" stroked="false">
              <v:imagedata r:id="rId65" o:title=""/>
            </v:shape>
            <v:shape style="position:absolute;left:3706;top:784;width:101;height:111" type="#_x0000_t75" stroked="false">
              <v:imagedata r:id="rId65" o:title=""/>
            </v:shape>
            <v:shape style="position:absolute;left:4030;top:657;width:101;height:111" type="#_x0000_t75" stroked="false">
              <v:imagedata r:id="rId65" o:title=""/>
            </v:shape>
            <v:shape style="position:absolute;left:4353;top:611;width:101;height:111" type="#_x0000_t75" stroked="false">
              <v:imagedata r:id="rId66" o:title=""/>
            </v:shape>
            <v:shape style="position:absolute;left:4674;top:574;width:101;height:111" type="#_x0000_t75" stroked="false">
              <v:imagedata r:id="rId65" o:title=""/>
            </v:shape>
            <v:shape style="position:absolute;left:4997;top:544;width:101;height:111" type="#_x0000_t75" stroked="false">
              <v:imagedata r:id="rId65" o:title=""/>
            </v:shape>
            <v:shape style="position:absolute;left:5320;top:518;width:101;height:111" type="#_x0000_t75" stroked="false">
              <v:imagedata r:id="rId65" o:title=""/>
            </v:shape>
            <v:shape style="position:absolute;left:5643;top:495;width:101;height:111" type="#_x0000_t75" stroked="false">
              <v:imagedata r:id="rId64" o:title=""/>
            </v:shape>
            <v:shape style="position:absolute;left:3634;top:533;width:265;height:172" type="#_x0000_t202" filled="false" stroked="false">
              <v:textbox inset="0,0,0,0">
                <w:txbxContent>
                  <w:p>
                    <w:pPr>
                      <w:spacing w:line="170" w:lineRule="exact" w:before="0"/>
                      <w:ind w:left="0" w:right="0" w:firstLine="0"/>
                      <w:jc w:val="left"/>
                      <w:rPr>
                        <w:sz w:val="15"/>
                      </w:rPr>
                    </w:pPr>
                    <w:r>
                      <w:rPr>
                        <w:w w:val="95"/>
                        <w:sz w:val="15"/>
                      </w:rPr>
                      <w:t>73.6</w:t>
                    </w:r>
                  </w:p>
                </w:txbxContent>
              </v:textbox>
              <w10:wrap type="none"/>
            </v:shape>
            <v:shape style="position:absolute;left:3957;top:244;width:1881;height:334" type="#_x0000_t202" filled="false" stroked="false">
              <v:textbox inset="0,0,0,0">
                <w:txbxContent>
                  <w:p>
                    <w:pPr>
                      <w:spacing w:line="235" w:lineRule="auto" w:before="0"/>
                      <w:ind w:left="0" w:right="0" w:firstLine="0"/>
                      <w:jc w:val="left"/>
                      <w:rPr>
                        <w:sz w:val="15"/>
                      </w:rPr>
                    </w:pPr>
                    <w:r>
                      <w:rPr>
                        <w:position w:val="-15"/>
                        <w:sz w:val="15"/>
                      </w:rPr>
                      <w:t>80.0 </w:t>
                    </w:r>
                    <w:r>
                      <w:rPr>
                        <w:position w:val="-11"/>
                        <w:sz w:val="15"/>
                      </w:rPr>
                      <w:t>82.4 </w:t>
                    </w:r>
                    <w:r>
                      <w:rPr>
                        <w:position w:val="-7"/>
                        <w:sz w:val="15"/>
                      </w:rPr>
                      <w:t>84.3 </w:t>
                    </w:r>
                    <w:r>
                      <w:rPr>
                        <w:position w:val="-4"/>
                        <w:sz w:val="15"/>
                      </w:rPr>
                      <w:t>85.8 </w:t>
                    </w:r>
                    <w:r>
                      <w:rPr>
                        <w:position w:val="-1"/>
                        <w:sz w:val="15"/>
                      </w:rPr>
                      <w:t>87.0 </w:t>
                    </w:r>
                    <w:r>
                      <w:rPr>
                        <w:sz w:val="15"/>
                      </w:rPr>
                      <w:t>88.3</w:t>
                    </w:r>
                  </w:p>
                </w:txbxContent>
              </v:textbox>
              <w10:wrap type="none"/>
            </v:shape>
            <v:shape style="position:absolute;left:3311;top:745;width:265;height:172" type="#_x0000_t202" filled="false" stroked="false">
              <v:textbox inset="0,0,0,0">
                <w:txbxContent>
                  <w:p>
                    <w:pPr>
                      <w:spacing w:line="170" w:lineRule="exact" w:before="0"/>
                      <w:ind w:left="0" w:right="0" w:firstLine="0"/>
                      <w:jc w:val="left"/>
                      <w:rPr>
                        <w:sz w:val="15"/>
                      </w:rPr>
                    </w:pPr>
                    <w:r>
                      <w:rPr>
                        <w:w w:val="95"/>
                        <w:sz w:val="15"/>
                      </w:rPr>
                      <w:t>62.9</w:t>
                    </w:r>
                  </w:p>
                </w:txbxContent>
              </v:textbox>
              <w10:wrap type="none"/>
            </v:shape>
            <v:shape style="position:absolute;left:2988;top:998;width:266;height:172" type="#_x0000_t202" filled="false" stroked="false">
              <v:textbox inset="0,0,0,0">
                <w:txbxContent>
                  <w:p>
                    <w:pPr>
                      <w:spacing w:line="171" w:lineRule="exact" w:before="0"/>
                      <w:ind w:left="0" w:right="0" w:firstLine="0"/>
                      <w:jc w:val="left"/>
                      <w:rPr>
                        <w:sz w:val="15"/>
                      </w:rPr>
                    </w:pPr>
                    <w:r>
                      <w:rPr>
                        <w:w w:val="95"/>
                        <w:sz w:val="15"/>
                      </w:rPr>
                      <w:t>50.0</w:t>
                    </w:r>
                  </w:p>
                </w:txbxContent>
              </v:textbox>
              <w10:wrap type="none"/>
            </v:shape>
            <v:shape style="position:absolute;left:2666;top:1319;width:266;height:172" type="#_x0000_t202" filled="false" stroked="false">
              <v:textbox inset="0,0,0,0">
                <w:txbxContent>
                  <w:p>
                    <w:pPr>
                      <w:spacing w:line="171" w:lineRule="exact" w:before="0"/>
                      <w:ind w:left="0" w:right="0" w:firstLine="0"/>
                      <w:jc w:val="left"/>
                      <w:rPr>
                        <w:sz w:val="15"/>
                      </w:rPr>
                    </w:pPr>
                    <w:r>
                      <w:rPr>
                        <w:w w:val="95"/>
                        <w:sz w:val="15"/>
                      </w:rPr>
                      <w:t>36.1</w:t>
                    </w:r>
                  </w:p>
                </w:txbxContent>
              </v:textbox>
              <w10:wrap type="none"/>
            </v:shape>
            <v:shape style="position:absolute;left:2988;top:1757;width:1199;height:320" type="#_x0000_t202" filled="false" stroked="false">
              <v:textbox inset="0,0,0,0">
                <w:txbxContent>
                  <w:p>
                    <w:pPr>
                      <w:spacing w:line="237" w:lineRule="auto" w:before="0"/>
                      <w:ind w:left="0" w:right="0" w:firstLine="0"/>
                      <w:jc w:val="left"/>
                      <w:rPr>
                        <w:sz w:val="15"/>
                      </w:rPr>
                    </w:pPr>
                    <w:r>
                      <w:rPr>
                        <w:position w:val="2"/>
                        <w:sz w:val="15"/>
                      </w:rPr>
                      <w:t>13.9 </w:t>
                    </w:r>
                    <w:r>
                      <w:rPr>
                        <w:sz w:val="15"/>
                      </w:rPr>
                      <w:t>12.9 </w:t>
                    </w:r>
                    <w:r>
                      <w:rPr>
                        <w:position w:val="-3"/>
                        <w:sz w:val="15"/>
                      </w:rPr>
                      <w:t>10.8 </w:t>
                    </w:r>
                    <w:r>
                      <w:rPr>
                        <w:position w:val="-12"/>
                        <w:sz w:val="15"/>
                      </w:rPr>
                      <w:t>6.4</w:t>
                    </w:r>
                  </w:p>
                </w:txbxContent>
              </v:textbox>
              <w10:wrap type="none"/>
            </v:shape>
            <v:shape style="position:absolute;left:4316;top:1984;width:1487;height:194" type="#_x0000_t202" filled="false" stroked="false">
              <v:textbox inset="0,0,0,0">
                <w:txbxContent>
                  <w:p>
                    <w:pPr>
                      <w:spacing w:before="0"/>
                      <w:ind w:left="0" w:right="0" w:firstLine="0"/>
                      <w:jc w:val="left"/>
                      <w:rPr>
                        <w:sz w:val="15"/>
                      </w:rPr>
                    </w:pPr>
                    <w:r>
                      <w:rPr>
                        <w:position w:val="2"/>
                        <w:sz w:val="15"/>
                      </w:rPr>
                      <w:t>2.4 </w:t>
                    </w:r>
                    <w:r>
                      <w:rPr>
                        <w:position w:val="1"/>
                        <w:sz w:val="15"/>
                      </w:rPr>
                      <w:t>1.9 </w:t>
                    </w:r>
                    <w:r>
                      <w:rPr>
                        <w:sz w:val="15"/>
                      </w:rPr>
                      <w:t>1.5 1.3 1.2</w:t>
                    </w:r>
                  </w:p>
                </w:txbxContent>
              </v:textbox>
              <w10:wrap type="none"/>
            </v:shape>
            <w10:wrap type="none"/>
          </v:group>
        </w:pict>
      </w:r>
      <w:r>
        <w:rPr>
          <w:spacing w:val="-1"/>
          <w:w w:val="90"/>
          <w:sz w:val="15"/>
        </w:rPr>
        <w:t>160.0</w:t>
      </w:r>
    </w:p>
    <w:p>
      <w:pPr>
        <w:spacing w:before="65"/>
        <w:ind w:left="0" w:right="0" w:firstLine="0"/>
        <w:jc w:val="right"/>
        <w:rPr>
          <w:sz w:val="15"/>
        </w:rPr>
      </w:pPr>
      <w:r>
        <w:rPr>
          <w:spacing w:val="-1"/>
          <w:w w:val="90"/>
          <w:sz w:val="15"/>
        </w:rPr>
        <w:t>140.0</w:t>
      </w:r>
    </w:p>
    <w:p>
      <w:pPr>
        <w:spacing w:before="64"/>
        <w:ind w:left="0" w:right="0" w:firstLine="0"/>
        <w:jc w:val="right"/>
        <w:rPr>
          <w:sz w:val="15"/>
        </w:rPr>
      </w:pPr>
      <w:r>
        <w:rPr/>
        <w:pict>
          <v:shape style="position:absolute;margin-left:319.333527pt;margin-top:12.544073pt;width:9.7pt;height:37.9pt;mso-position-horizontal-relative:page;mso-position-vertical-relative:paragraph;z-index:252277760" type="#_x0000_t202" filled="false" stroked="false">
            <v:textbox inset="0,0,0,0" style="layout-flow:vertical;mso-layout-flow-alt:bottom-to-top">
              <w:txbxContent>
                <w:p>
                  <w:pPr>
                    <w:spacing w:before="13"/>
                    <w:ind w:left="20" w:right="0" w:firstLine="0"/>
                    <w:jc w:val="left"/>
                    <w:rPr>
                      <w:b/>
                      <w:sz w:val="14"/>
                    </w:rPr>
                  </w:pPr>
                  <w:r>
                    <w:rPr>
                      <w:b/>
                      <w:w w:val="110"/>
                      <w:sz w:val="14"/>
                    </w:rPr>
                    <w:t>Porcentaje</w:t>
                  </w:r>
                </w:p>
              </w:txbxContent>
            </v:textbox>
            <w10:wrap type="none"/>
          </v:shape>
        </w:pict>
      </w:r>
      <w:r>
        <w:rPr>
          <w:spacing w:val="-1"/>
          <w:w w:val="90"/>
          <w:sz w:val="15"/>
        </w:rPr>
        <w:t>120.0</w:t>
      </w:r>
    </w:p>
    <w:p>
      <w:pPr>
        <w:spacing w:before="64"/>
        <w:ind w:left="0" w:right="0" w:firstLine="0"/>
        <w:jc w:val="right"/>
        <w:rPr>
          <w:sz w:val="15"/>
        </w:rPr>
      </w:pPr>
      <w:r>
        <w:rPr>
          <w:spacing w:val="-1"/>
          <w:w w:val="90"/>
          <w:sz w:val="15"/>
        </w:rPr>
        <w:t>100.0</w:t>
      </w:r>
    </w:p>
    <w:p>
      <w:pPr>
        <w:spacing w:before="65"/>
        <w:ind w:left="0" w:right="1" w:firstLine="0"/>
        <w:jc w:val="right"/>
        <w:rPr>
          <w:sz w:val="15"/>
        </w:rPr>
      </w:pPr>
      <w:r>
        <w:rPr>
          <w:spacing w:val="-1"/>
          <w:w w:val="90"/>
          <w:sz w:val="15"/>
        </w:rPr>
        <w:t>80.0</w:t>
      </w:r>
    </w:p>
    <w:p>
      <w:pPr>
        <w:spacing w:before="64"/>
        <w:ind w:left="0" w:right="1" w:firstLine="0"/>
        <w:jc w:val="right"/>
        <w:rPr>
          <w:sz w:val="15"/>
        </w:rPr>
      </w:pPr>
      <w:r>
        <w:rPr>
          <w:spacing w:val="-2"/>
          <w:w w:val="90"/>
          <w:sz w:val="15"/>
        </w:rPr>
        <w:t>60.0</w:t>
      </w:r>
    </w:p>
    <w:p>
      <w:pPr>
        <w:spacing w:before="65"/>
        <w:ind w:left="0" w:right="1" w:firstLine="0"/>
        <w:jc w:val="right"/>
        <w:rPr>
          <w:sz w:val="15"/>
        </w:rPr>
      </w:pPr>
      <w:r>
        <w:rPr>
          <w:spacing w:val="-1"/>
          <w:w w:val="90"/>
          <w:sz w:val="15"/>
        </w:rPr>
        <w:t>40.0</w:t>
      </w:r>
    </w:p>
    <w:p>
      <w:pPr>
        <w:spacing w:before="64"/>
        <w:ind w:left="0" w:right="1" w:firstLine="0"/>
        <w:jc w:val="right"/>
        <w:rPr>
          <w:sz w:val="15"/>
        </w:rPr>
      </w:pPr>
      <w:r>
        <w:rPr>
          <w:spacing w:val="-1"/>
          <w:w w:val="90"/>
          <w:sz w:val="15"/>
        </w:rPr>
        <w:t>20.0</w:t>
      </w:r>
    </w:p>
    <w:p>
      <w:pPr>
        <w:spacing w:before="64"/>
        <w:ind w:left="0" w:right="0" w:firstLine="0"/>
        <w:jc w:val="right"/>
        <w:rPr>
          <w:sz w:val="15"/>
        </w:rPr>
      </w:pPr>
      <w:r>
        <w:rPr>
          <w:spacing w:val="-1"/>
          <w:w w:val="90"/>
          <w:sz w:val="15"/>
        </w:rPr>
        <w:t>0.0</w:t>
      </w:r>
    </w:p>
    <w:p>
      <w:pPr>
        <w:spacing w:before="65"/>
        <w:ind w:left="0" w:right="0" w:firstLine="0"/>
        <w:jc w:val="right"/>
        <w:rPr>
          <w:sz w:val="15"/>
        </w:rPr>
      </w:pPr>
      <w:r>
        <w:rPr>
          <w:spacing w:val="-1"/>
          <w:w w:val="90"/>
          <w:sz w:val="15"/>
        </w:rPr>
        <w:t>-20.0</w:t>
      </w:r>
    </w:p>
    <w:p>
      <w:pPr>
        <w:pStyle w:val="BodyText"/>
        <w:spacing w:before="10"/>
        <w:rPr>
          <w:sz w:val="19"/>
        </w:rPr>
      </w:pPr>
      <w:r>
        <w:rPr/>
        <w:br w:type="column"/>
      </w:r>
      <w:r>
        <w:rPr>
          <w:sz w:val="19"/>
        </w:rPr>
      </w:r>
    </w:p>
    <w:p>
      <w:pPr>
        <w:spacing w:before="0"/>
        <w:ind w:left="79" w:right="0" w:firstLine="0"/>
        <w:jc w:val="left"/>
        <w:rPr>
          <w:sz w:val="15"/>
        </w:rPr>
      </w:pPr>
      <w:r>
        <w:rPr>
          <w:w w:val="90"/>
          <w:sz w:val="15"/>
        </w:rPr>
        <w:t>156.3</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38"/>
        <w:ind w:left="1" w:right="0" w:firstLine="0"/>
        <w:jc w:val="left"/>
        <w:rPr>
          <w:sz w:val="15"/>
        </w:rPr>
      </w:pPr>
      <w:r>
        <w:rPr>
          <w:w w:val="90"/>
          <w:sz w:val="15"/>
        </w:rPr>
        <w:t>55.2</w:t>
      </w:r>
    </w:p>
    <w:p>
      <w:pPr>
        <w:pStyle w:val="BodyText"/>
        <w:rPr>
          <w:sz w:val="32"/>
        </w:rPr>
      </w:pPr>
      <w:r>
        <w:rPr/>
        <w:br w:type="column"/>
      </w:r>
      <w:r>
        <w:rPr>
          <w:sz w:val="32"/>
        </w:rPr>
      </w:r>
    </w:p>
    <w:p>
      <w:pPr>
        <w:pStyle w:val="BodyText"/>
        <w:rPr>
          <w:sz w:val="32"/>
        </w:rPr>
      </w:pPr>
    </w:p>
    <w:p>
      <w:pPr>
        <w:pStyle w:val="BodyText"/>
        <w:rPr>
          <w:sz w:val="32"/>
        </w:rPr>
      </w:pPr>
    </w:p>
    <w:p>
      <w:pPr>
        <w:pStyle w:val="BodyText"/>
        <w:spacing w:before="1"/>
        <w:rPr>
          <w:sz w:val="44"/>
        </w:rPr>
      </w:pPr>
    </w:p>
    <w:p>
      <w:pPr>
        <w:spacing w:before="0"/>
        <w:ind w:left="37" w:right="0" w:firstLine="0"/>
        <w:jc w:val="left"/>
        <w:rPr>
          <w:sz w:val="15"/>
        </w:rPr>
      </w:pPr>
      <w:r>
        <w:rPr>
          <w:position w:val="15"/>
          <w:sz w:val="15"/>
        </w:rPr>
        <w:t>39.4 </w:t>
      </w:r>
      <w:r>
        <w:rPr>
          <w:position w:val="10"/>
          <w:sz w:val="15"/>
        </w:rPr>
        <w:t>35.2 </w:t>
      </w:r>
      <w:r>
        <w:rPr>
          <w:sz w:val="15"/>
        </w:rPr>
        <w:t>27.0 26.9</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43"/>
        <w:ind w:left="37" w:right="0" w:firstLine="0"/>
        <w:jc w:val="left"/>
        <w:rPr>
          <w:sz w:val="15"/>
        </w:rPr>
      </w:pPr>
      <w:r>
        <w:rPr>
          <w:w w:val="90"/>
          <w:sz w:val="15"/>
        </w:rPr>
        <w:t>23.7</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17"/>
        </w:rPr>
      </w:pPr>
    </w:p>
    <w:p>
      <w:pPr>
        <w:spacing w:before="0"/>
        <w:ind w:left="73" w:right="0" w:firstLine="0"/>
        <w:jc w:val="left"/>
        <w:rPr>
          <w:sz w:val="15"/>
        </w:rPr>
      </w:pPr>
      <w:r>
        <w:rPr>
          <w:w w:val="90"/>
          <w:sz w:val="15"/>
        </w:rPr>
        <w:t>2.9</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0"/>
        </w:rPr>
      </w:pPr>
    </w:p>
    <w:p>
      <w:pPr>
        <w:spacing w:line="134" w:lineRule="auto" w:before="0"/>
        <w:ind w:left="85" w:right="0" w:firstLine="0"/>
        <w:jc w:val="left"/>
        <w:rPr>
          <w:sz w:val="15"/>
        </w:rPr>
      </w:pPr>
      <w:r>
        <w:rPr/>
        <w:pict>
          <v:group style="position:absolute;margin-left:350.02243pt;margin-top:-115.369308pt;width:164.1pt;height:119.05pt;mso-position-horizontal-relative:page;mso-position-vertical-relative:paragraph;z-index:-281044992" coordorigin="7000,-2307" coordsize="3282,2381">
            <v:shape style="position:absolute;left:7039;top:-2048;width:3243;height:2067" type="#_x0000_t75" stroked="false">
              <v:imagedata r:id="rId67" o:title=""/>
            </v:shape>
            <v:shape style="position:absolute;left:7079;top:-2022;width:2184;height:1853" coordorigin="7079,-2021" coordsize="2184,1853" path="m7326,-2021l7079,-2021,7079,-169,7326,-169,7326,-2021m7649,-824l7400,-824,7400,-169,7649,-169,7649,-824m7972,-637l7723,-637,7723,-169,7972,-169,7972,-637m8295,-586l8047,-586,8047,-169,8295,-169,8295,-586m8618,-490l8370,-490,8370,-169,8618,-169,8618,-490m8942,-490l8693,-490,8693,-169,8942,-169,8942,-490m9263,-450l9016,-450,9016,-169,9263,-169,9263,-450e" filled="true" fillcolor="#9bba58" stroked="false">
              <v:path arrowok="t"/>
              <v:fill type="solid"/>
            </v:shape>
            <v:line style="position:absolute" from="9337,-186" to="9586,-186" stroked="true" strokeweight="1.729769pt" strokecolor="#9bba58">
              <v:stroke dashstyle="solid"/>
            </v:line>
            <v:line style="position:absolute" from="9660,-147" to="9909,-147" stroked="true" strokeweight="2.191041pt" strokecolor="#9bba58">
              <v:stroke dashstyle="solid"/>
            </v:line>
            <v:line style="position:absolute" from="9984,-118" to="10232,-118" stroked="true" strokeweight="5.073989pt" strokecolor="#9bba58">
              <v:stroke dashstyle="solid"/>
            </v:line>
            <v:shape style="position:absolute;left:0;top:2756;width:3653;height:2033" coordorigin="0,2756" coordsize="3653,2033" path="m7079,-2021l7326,-2021,7326,-169,7079,-169,7079,-2021xm7400,-824l7649,-824,7649,-169,7400,-169,7400,-824xm7723,-637l7972,-637,7972,-169,7723,-169,7723,-637xm8047,-586l8295,-586,8295,-169,8047,-169,8047,-586xm8370,-490l8618,-490,8618,-169,8370,-169,8370,-490xm8693,-490l8942,-490,8942,-169,8693,-169,8693,-490xm9016,-450l9263,-450,9263,-169,9016,-169,9016,-450xm9337,-204l9586,-204,9586,-169,9337,-169,9337,-204xm9660,-125l9909,-125,9909,-169,9660,-169,9660,-125xm9984,-68l10232,-68,10232,-169,9984,-169,9984,-68xe" filled="false" stroked="true" strokeweight=".684073pt" strokecolor="#000000">
              <v:path arrowok="t"/>
              <v:stroke dashstyle="solid"/>
            </v:shape>
            <v:line style="position:absolute" from="7042,66" to="7042,-2300" stroked="true" strokeweight=".647408pt" strokecolor="#858585">
              <v:stroke dashstyle="solid"/>
            </v:line>
            <v:shape style="position:absolute;left:0;top:293;width:48;height:2463" coordorigin="0,294" coordsize="48,2463" path="m7000,66l7042,66m7000,-169l7042,-169m7000,-407l7042,-407m7000,-644l7042,-644m7000,-879l7042,-879m7000,-1117l7042,-1117m7000,-1355l7042,-1355m7000,-1590l7042,-1590m7000,-1827l7042,-1827m7000,-2065l7042,-2065m7000,-2300l7042,-2300e" filled="false" stroked="true" strokeweight=".684073pt" strokecolor="#858585">
              <v:path arrowok="t"/>
              <v:stroke dashstyle="solid"/>
            </v:shape>
            <v:shape style="position:absolute;left:0;top:2756;width:3740;height:46" coordorigin="0,2756" coordsize="3740,46" path="m7042,-169l10270,-169m7042,-169l7042,-125m7363,-169l7363,-125m7686,-169l7686,-125m8009,-169l8009,-125m8332,-169l8332,-125m8656,-169l8656,-125m8979,-169l8979,-125m9300,-169l9300,-125m9623,-169l9623,-125m9946,-169l9946,-125m10270,-169l10270,-125e" filled="false" stroked="true" strokeweight=".684073pt" strokecolor="#858585">
              <v:path arrowok="t"/>
              <v:stroke dashstyle="solid"/>
            </v:shape>
            <w10:wrap type="none"/>
          </v:group>
        </w:pict>
      </w:r>
      <w:r>
        <w:rPr>
          <w:sz w:val="15"/>
        </w:rPr>
        <w:t>-3.8 </w:t>
      </w:r>
      <w:r>
        <w:rPr>
          <w:position w:val="-5"/>
          <w:sz w:val="15"/>
        </w:rPr>
        <w:t>-8.6</w:t>
      </w:r>
    </w:p>
    <w:p>
      <w:pPr>
        <w:spacing w:after="0" w:line="134" w:lineRule="auto"/>
        <w:jc w:val="left"/>
        <w:rPr>
          <w:sz w:val="15"/>
        </w:rPr>
        <w:sectPr>
          <w:type w:val="continuous"/>
          <w:pgSz w:w="12240" w:h="15840"/>
          <w:pgMar w:top="1500" w:bottom="280" w:left="1140" w:right="0"/>
          <w:cols w:num="9" w:equalWidth="0">
            <w:col w:w="1371" w:space="40"/>
            <w:col w:w="2614" w:space="389"/>
            <w:col w:w="1371" w:space="39"/>
            <w:col w:w="397" w:space="40"/>
            <w:col w:w="247" w:space="39"/>
            <w:col w:w="1252" w:space="40"/>
            <w:col w:w="283" w:space="40"/>
            <w:col w:w="249" w:space="40"/>
            <w:col w:w="2649"/>
          </w:cols>
        </w:sectPr>
      </w:pPr>
    </w:p>
    <w:p>
      <w:pPr>
        <w:spacing w:line="170" w:lineRule="exact" w:before="0"/>
        <w:ind w:left="1510" w:right="0" w:firstLine="0"/>
        <w:jc w:val="center"/>
        <w:rPr>
          <w:sz w:val="15"/>
        </w:rPr>
      </w:pPr>
      <w:r>
        <w:rPr>
          <w:sz w:val="15"/>
        </w:rPr>
        <w:t>USA CA CHN MEX ZE COL IND BRA KOR</w:t>
      </w:r>
      <w:r>
        <w:rPr>
          <w:spacing w:val="-10"/>
          <w:sz w:val="15"/>
        </w:rPr>
        <w:t> </w:t>
      </w:r>
      <w:r>
        <w:rPr>
          <w:sz w:val="15"/>
        </w:rPr>
        <w:t>HKG</w:t>
      </w:r>
    </w:p>
    <w:p>
      <w:pPr>
        <w:spacing w:before="62"/>
        <w:ind w:left="1499" w:right="0" w:firstLine="0"/>
        <w:jc w:val="center"/>
        <w:rPr>
          <w:b/>
          <w:sz w:val="15"/>
        </w:rPr>
      </w:pPr>
      <w:r>
        <w:rPr>
          <w:b/>
          <w:sz w:val="15"/>
        </w:rPr>
        <w:t>Pais</w:t>
      </w:r>
    </w:p>
    <w:p>
      <w:pPr>
        <w:spacing w:line="170" w:lineRule="exact" w:before="0"/>
        <w:ind w:left="1160" w:right="1959" w:firstLine="0"/>
        <w:jc w:val="center"/>
        <w:rPr>
          <w:sz w:val="15"/>
        </w:rPr>
      </w:pPr>
      <w:r>
        <w:rPr/>
        <w:br w:type="column"/>
      </w:r>
      <w:r>
        <w:rPr>
          <w:sz w:val="15"/>
        </w:rPr>
        <w:t>COL ZE USA BRA IND MEX CA CHN KOR HKG</w:t>
      </w:r>
    </w:p>
    <w:p>
      <w:pPr>
        <w:spacing w:before="62"/>
        <w:ind w:left="1148" w:right="1959" w:firstLine="0"/>
        <w:jc w:val="center"/>
        <w:rPr>
          <w:b/>
          <w:sz w:val="15"/>
        </w:rPr>
      </w:pPr>
      <w:r>
        <w:rPr>
          <w:b/>
          <w:sz w:val="15"/>
        </w:rPr>
        <w:t>Pais</w:t>
      </w:r>
    </w:p>
    <w:p>
      <w:pPr>
        <w:spacing w:after="0"/>
        <w:jc w:val="center"/>
        <w:rPr>
          <w:sz w:val="15"/>
        </w:rPr>
        <w:sectPr>
          <w:type w:val="continuous"/>
          <w:pgSz w:w="12240" w:h="15840"/>
          <w:pgMar w:top="1500" w:bottom="280" w:left="1140" w:right="0"/>
          <w:cols w:num="2" w:equalWidth="0">
            <w:col w:w="4705" w:space="40"/>
            <w:col w:w="6355"/>
          </w:cols>
        </w:sectPr>
      </w:pPr>
    </w:p>
    <w:p>
      <w:pPr>
        <w:pStyle w:val="BodyText"/>
        <w:spacing w:before="2"/>
        <w:rPr>
          <w:b/>
          <w:sz w:val="17"/>
        </w:rPr>
      </w:pPr>
    </w:p>
    <w:p>
      <w:pPr>
        <w:spacing w:before="94"/>
        <w:ind w:left="670" w:right="0" w:firstLine="0"/>
        <w:jc w:val="left"/>
        <w:rPr>
          <w:sz w:val="16"/>
        </w:rPr>
      </w:pPr>
      <w:r>
        <w:rPr>
          <w:sz w:val="16"/>
        </w:rPr>
        <w:t>Fuente: Dirección de Análisis y Política Fiscal con información de BANGUAT</w:t>
      </w:r>
    </w:p>
    <w:p>
      <w:pPr>
        <w:spacing w:after="0"/>
        <w:jc w:val="left"/>
        <w:rPr>
          <w:sz w:val="16"/>
        </w:rPr>
        <w:sectPr>
          <w:type w:val="continuous"/>
          <w:pgSz w:w="12240" w:h="15840"/>
          <w:pgMar w:top="1500" w:bottom="280" w:left="1140" w:right="0"/>
        </w:sectPr>
      </w:pPr>
    </w:p>
    <w:p>
      <w:pPr>
        <w:pStyle w:val="BodyText"/>
        <w:spacing w:line="276" w:lineRule="auto" w:before="162"/>
        <w:ind w:left="562" w:right="1695"/>
        <w:jc w:val="both"/>
      </w:pPr>
      <w:r>
        <w:rPr/>
        <w:t>Por</w:t>
      </w:r>
      <w:r>
        <w:rPr>
          <w:spacing w:val="-9"/>
        </w:rPr>
        <w:t> </w:t>
      </w:r>
      <w:r>
        <w:rPr/>
        <w:t>otro</w:t>
      </w:r>
      <w:r>
        <w:rPr>
          <w:spacing w:val="-10"/>
        </w:rPr>
        <w:t> </w:t>
      </w:r>
      <w:r>
        <w:rPr/>
        <w:t>lado,</w:t>
      </w:r>
      <w:r>
        <w:rPr>
          <w:spacing w:val="-8"/>
        </w:rPr>
        <w:t> </w:t>
      </w:r>
      <w:r>
        <w:rPr/>
        <w:t>el</w:t>
      </w:r>
      <w:r>
        <w:rPr>
          <w:spacing w:val="-9"/>
        </w:rPr>
        <w:t> </w:t>
      </w:r>
      <w:r>
        <w:rPr/>
        <w:t>ingreso</w:t>
      </w:r>
      <w:r>
        <w:rPr>
          <w:spacing w:val="-9"/>
        </w:rPr>
        <w:t> </w:t>
      </w:r>
      <w:r>
        <w:rPr/>
        <w:t>de</w:t>
      </w:r>
      <w:r>
        <w:rPr>
          <w:spacing w:val="-11"/>
        </w:rPr>
        <w:t> </w:t>
      </w:r>
      <w:r>
        <w:rPr/>
        <w:t>divisas</w:t>
      </w:r>
      <w:r>
        <w:rPr>
          <w:spacing w:val="-9"/>
        </w:rPr>
        <w:t> </w:t>
      </w:r>
      <w:r>
        <w:rPr/>
        <w:t>por</w:t>
      </w:r>
      <w:r>
        <w:rPr>
          <w:spacing w:val="-9"/>
        </w:rPr>
        <w:t> </w:t>
      </w:r>
      <w:r>
        <w:rPr/>
        <w:t>remesas</w:t>
      </w:r>
      <w:r>
        <w:rPr>
          <w:spacing w:val="-8"/>
        </w:rPr>
        <w:t> </w:t>
      </w:r>
      <w:r>
        <w:rPr/>
        <w:t>familiares</w:t>
      </w:r>
      <w:r>
        <w:rPr>
          <w:spacing w:val="-9"/>
        </w:rPr>
        <w:t> </w:t>
      </w:r>
      <w:r>
        <w:rPr/>
        <w:t>alcanzó</w:t>
      </w:r>
      <w:r>
        <w:rPr>
          <w:spacing w:val="-10"/>
        </w:rPr>
        <w:t> </w:t>
      </w:r>
      <w:r>
        <w:rPr/>
        <w:t>un</w:t>
      </w:r>
      <w:r>
        <w:rPr>
          <w:spacing w:val="-9"/>
        </w:rPr>
        <w:t> </w:t>
      </w:r>
      <w:r>
        <w:rPr/>
        <w:t>monto</w:t>
      </w:r>
      <w:r>
        <w:rPr>
          <w:spacing w:val="-10"/>
        </w:rPr>
        <w:t> </w:t>
      </w:r>
      <w:r>
        <w:rPr/>
        <w:t>de</w:t>
      </w:r>
      <w:r>
        <w:rPr>
          <w:spacing w:val="-8"/>
        </w:rPr>
        <w:t> </w:t>
      </w:r>
      <w:r>
        <w:rPr/>
        <w:t>US$</w:t>
      </w:r>
      <w:r>
        <w:rPr>
          <w:spacing w:val="-10"/>
        </w:rPr>
        <w:t> </w:t>
      </w:r>
      <w:r>
        <w:rPr/>
        <w:t>8,711.4</w:t>
      </w:r>
      <w:r>
        <w:rPr>
          <w:spacing w:val="-10"/>
        </w:rPr>
        <w:t> </w:t>
      </w:r>
      <w:r>
        <w:rPr/>
        <w:t>millones a junio de 2022, superior en US$ 1,745.2 millones (25.1%), respecto del monto observado en igual periodo</w:t>
      </w:r>
      <w:r>
        <w:rPr>
          <w:spacing w:val="-10"/>
        </w:rPr>
        <w:t> </w:t>
      </w:r>
      <w:r>
        <w:rPr/>
        <w:t>del</w:t>
      </w:r>
      <w:r>
        <w:rPr>
          <w:spacing w:val="-8"/>
        </w:rPr>
        <w:t> </w:t>
      </w:r>
      <w:r>
        <w:rPr/>
        <w:t>año</w:t>
      </w:r>
      <w:r>
        <w:rPr>
          <w:spacing w:val="-8"/>
        </w:rPr>
        <w:t> </w:t>
      </w:r>
      <w:r>
        <w:rPr/>
        <w:t>previo.</w:t>
      </w:r>
      <w:r>
        <w:rPr>
          <w:spacing w:val="-9"/>
        </w:rPr>
        <w:t> </w:t>
      </w:r>
      <w:r>
        <w:rPr/>
        <w:t>Se</w:t>
      </w:r>
      <w:r>
        <w:rPr>
          <w:spacing w:val="-9"/>
        </w:rPr>
        <w:t> </w:t>
      </w:r>
      <w:r>
        <w:rPr/>
        <w:t>espera</w:t>
      </w:r>
      <w:r>
        <w:rPr>
          <w:spacing w:val="-9"/>
        </w:rPr>
        <w:t> </w:t>
      </w:r>
      <w:r>
        <w:rPr/>
        <w:t>que</w:t>
      </w:r>
      <w:r>
        <w:rPr>
          <w:spacing w:val="-8"/>
        </w:rPr>
        <w:t> </w:t>
      </w:r>
      <w:r>
        <w:rPr/>
        <w:t>continúe</w:t>
      </w:r>
      <w:r>
        <w:rPr>
          <w:spacing w:val="-11"/>
        </w:rPr>
        <w:t> </w:t>
      </w:r>
      <w:r>
        <w:rPr/>
        <w:t>la</w:t>
      </w:r>
      <w:r>
        <w:rPr>
          <w:spacing w:val="-8"/>
        </w:rPr>
        <w:t> </w:t>
      </w:r>
      <w:r>
        <w:rPr/>
        <w:t>recuperación</w:t>
      </w:r>
      <w:r>
        <w:rPr>
          <w:spacing w:val="-9"/>
        </w:rPr>
        <w:t> </w:t>
      </w:r>
      <w:r>
        <w:rPr/>
        <w:t>en</w:t>
      </w:r>
      <w:r>
        <w:rPr>
          <w:spacing w:val="-9"/>
        </w:rPr>
        <w:t> </w:t>
      </w:r>
      <w:r>
        <w:rPr/>
        <w:t>el</w:t>
      </w:r>
      <w:r>
        <w:rPr>
          <w:spacing w:val="-8"/>
        </w:rPr>
        <w:t> </w:t>
      </w:r>
      <w:r>
        <w:rPr/>
        <w:t>mercado</w:t>
      </w:r>
      <w:r>
        <w:rPr>
          <w:spacing w:val="-9"/>
        </w:rPr>
        <w:t> </w:t>
      </w:r>
      <w:r>
        <w:rPr/>
        <w:t>laboral</w:t>
      </w:r>
      <w:r>
        <w:rPr>
          <w:spacing w:val="-7"/>
        </w:rPr>
        <w:t> </w:t>
      </w:r>
      <w:r>
        <w:rPr/>
        <w:t>estadounidense, particularmente en el sector hispano, la normalización post pandemia y que se mantenga flujo migratorio, por lo que se estima que el ingreso de divisas por remesas familiares sea del 15.0%, oscilando entre 13.5% y 16.5%, lo que proporcionaría saldos superavitarios en el ingreso secundario que nuevamente compensarían los déficits esperados del ingreso primario y de la balanza comercial de bienes y servicios. Derivado de lo anterior, se espera que el superávit de la cuenta corriente represente el 1.2% del PIB de</w:t>
      </w:r>
      <w:r>
        <w:rPr>
          <w:spacing w:val="-6"/>
        </w:rPr>
        <w:t> </w:t>
      </w:r>
      <w:r>
        <w:rPr/>
        <w:t>2022.</w:t>
      </w:r>
    </w:p>
    <w:p>
      <w:pPr>
        <w:pStyle w:val="BodyText"/>
        <w:spacing w:before="3"/>
        <w:rPr>
          <w:sz w:val="25"/>
        </w:rPr>
      </w:pPr>
    </w:p>
    <w:p>
      <w:pPr>
        <w:pStyle w:val="BodyText"/>
        <w:spacing w:line="276" w:lineRule="auto"/>
        <w:ind w:left="562" w:right="1696"/>
        <w:jc w:val="both"/>
      </w:pPr>
      <w:r>
        <w:rPr/>
        <w:t>El nivel de Reservas Internacionales Netas (RIN), a junio fue de US$ 19,875.6 millones, mayor en US$1,126.8 millones, al registrado a la misma fecha del año anterior, resultado, principalmente, </w:t>
      </w:r>
      <w:r>
        <w:rPr>
          <w:spacing w:val="-3"/>
        </w:rPr>
        <w:t>de </w:t>
      </w:r>
      <w:r>
        <w:rPr/>
        <w:t>las compras netas por activación de la regla cambiaria, del mecanismo de acumulación de reservas internacionales</w:t>
      </w:r>
      <w:r>
        <w:rPr>
          <w:spacing w:val="-11"/>
        </w:rPr>
        <w:t> </w:t>
      </w:r>
      <w:r>
        <w:rPr/>
        <w:t>y</w:t>
      </w:r>
      <w:r>
        <w:rPr>
          <w:spacing w:val="-14"/>
        </w:rPr>
        <w:t> </w:t>
      </w:r>
      <w:r>
        <w:rPr/>
        <w:t>del</w:t>
      </w:r>
      <w:r>
        <w:rPr>
          <w:spacing w:val="-13"/>
        </w:rPr>
        <w:t> </w:t>
      </w:r>
      <w:r>
        <w:rPr/>
        <w:t>incremento</w:t>
      </w:r>
      <w:r>
        <w:rPr>
          <w:spacing w:val="-13"/>
        </w:rPr>
        <w:t> </w:t>
      </w:r>
      <w:r>
        <w:rPr/>
        <w:t>en</w:t>
      </w:r>
      <w:r>
        <w:rPr>
          <w:spacing w:val="-14"/>
        </w:rPr>
        <w:t> </w:t>
      </w:r>
      <w:r>
        <w:rPr/>
        <w:t>la</w:t>
      </w:r>
      <w:r>
        <w:rPr>
          <w:spacing w:val="-14"/>
        </w:rPr>
        <w:t> </w:t>
      </w:r>
      <w:r>
        <w:rPr/>
        <w:t>tenencia</w:t>
      </w:r>
      <w:r>
        <w:rPr>
          <w:spacing w:val="-11"/>
        </w:rPr>
        <w:t> </w:t>
      </w:r>
      <w:r>
        <w:rPr/>
        <w:t>de</w:t>
      </w:r>
      <w:r>
        <w:rPr>
          <w:spacing w:val="-10"/>
        </w:rPr>
        <w:t> </w:t>
      </w:r>
      <w:r>
        <w:rPr/>
        <w:t>derechos</w:t>
      </w:r>
      <w:r>
        <w:rPr>
          <w:spacing w:val="-11"/>
        </w:rPr>
        <w:t> </w:t>
      </w:r>
      <w:r>
        <w:rPr/>
        <w:t>especiales</w:t>
      </w:r>
      <w:r>
        <w:rPr>
          <w:spacing w:val="-13"/>
        </w:rPr>
        <w:t> </w:t>
      </w:r>
      <w:r>
        <w:rPr/>
        <w:t>de</w:t>
      </w:r>
      <w:r>
        <w:rPr>
          <w:spacing w:val="-12"/>
        </w:rPr>
        <w:t> </w:t>
      </w:r>
      <w:r>
        <w:rPr/>
        <w:t>giro</w:t>
      </w:r>
      <w:r>
        <w:rPr>
          <w:spacing w:val="-11"/>
        </w:rPr>
        <w:t> </w:t>
      </w:r>
      <w:r>
        <w:rPr/>
        <w:t>del</w:t>
      </w:r>
      <w:r>
        <w:rPr>
          <w:spacing w:val="-11"/>
        </w:rPr>
        <w:t> </w:t>
      </w:r>
      <w:r>
        <w:rPr/>
        <w:t>FMI.</w:t>
      </w:r>
      <w:r>
        <w:rPr>
          <w:spacing w:val="-12"/>
        </w:rPr>
        <w:t> </w:t>
      </w:r>
      <w:r>
        <w:rPr/>
        <w:t>Por</w:t>
      </w:r>
      <w:r>
        <w:rPr>
          <w:spacing w:val="-11"/>
        </w:rPr>
        <w:t> </w:t>
      </w:r>
      <w:r>
        <w:rPr/>
        <w:t>lo</w:t>
      </w:r>
      <w:r>
        <w:rPr>
          <w:spacing w:val="-11"/>
        </w:rPr>
        <w:t> </w:t>
      </w:r>
      <w:r>
        <w:rPr/>
        <w:t>anterior el Banco de Guatemala espera un alza de las Reservas Internacionales Netas de US$ 1,500 millones en 2022.</w:t>
      </w:r>
    </w:p>
    <w:p>
      <w:pPr>
        <w:pStyle w:val="BodyText"/>
        <w:spacing w:before="5"/>
        <w:rPr>
          <w:sz w:val="25"/>
        </w:rPr>
      </w:pPr>
    </w:p>
    <w:p>
      <w:pPr>
        <w:pStyle w:val="BodyText"/>
        <w:spacing w:line="276" w:lineRule="auto"/>
        <w:ind w:left="562" w:right="1699"/>
        <w:jc w:val="both"/>
      </w:pPr>
      <w:r>
        <w:rPr/>
        <w:t>Por</w:t>
      </w:r>
      <w:r>
        <w:rPr>
          <w:spacing w:val="-4"/>
        </w:rPr>
        <w:t> </w:t>
      </w:r>
      <w:r>
        <w:rPr/>
        <w:t>lo</w:t>
      </w:r>
      <w:r>
        <w:rPr>
          <w:spacing w:val="-4"/>
        </w:rPr>
        <w:t> </w:t>
      </w:r>
      <w:r>
        <w:rPr/>
        <w:t>que</w:t>
      </w:r>
      <w:r>
        <w:rPr>
          <w:spacing w:val="-3"/>
        </w:rPr>
        <w:t> </w:t>
      </w:r>
      <w:r>
        <w:rPr/>
        <w:t>el</w:t>
      </w:r>
      <w:r>
        <w:rPr>
          <w:spacing w:val="-4"/>
        </w:rPr>
        <w:t> </w:t>
      </w:r>
      <w:r>
        <w:rPr/>
        <w:t>superávit</w:t>
      </w:r>
      <w:r>
        <w:rPr>
          <w:spacing w:val="-3"/>
        </w:rPr>
        <w:t> </w:t>
      </w:r>
      <w:r>
        <w:rPr/>
        <w:t>de</w:t>
      </w:r>
      <w:r>
        <w:rPr>
          <w:spacing w:val="-3"/>
        </w:rPr>
        <w:t> </w:t>
      </w:r>
      <w:r>
        <w:rPr/>
        <w:t>la</w:t>
      </w:r>
      <w:r>
        <w:rPr>
          <w:spacing w:val="-6"/>
        </w:rPr>
        <w:t> </w:t>
      </w:r>
      <w:r>
        <w:rPr/>
        <w:t>cuenta</w:t>
      </w:r>
      <w:r>
        <w:rPr>
          <w:spacing w:val="-3"/>
        </w:rPr>
        <w:t> </w:t>
      </w:r>
      <w:r>
        <w:rPr/>
        <w:t>corriente</w:t>
      </w:r>
      <w:r>
        <w:rPr>
          <w:spacing w:val="-4"/>
        </w:rPr>
        <w:t> </w:t>
      </w:r>
      <w:r>
        <w:rPr/>
        <w:t>y</w:t>
      </w:r>
      <w:r>
        <w:rPr>
          <w:spacing w:val="-6"/>
        </w:rPr>
        <w:t> </w:t>
      </w:r>
      <w:r>
        <w:rPr/>
        <w:t>los</w:t>
      </w:r>
      <w:r>
        <w:rPr>
          <w:spacing w:val="-3"/>
        </w:rPr>
        <w:t> </w:t>
      </w:r>
      <w:r>
        <w:rPr/>
        <w:t>flujos</w:t>
      </w:r>
      <w:r>
        <w:rPr>
          <w:spacing w:val="-3"/>
        </w:rPr>
        <w:t> </w:t>
      </w:r>
      <w:r>
        <w:rPr/>
        <w:t>de</w:t>
      </w:r>
      <w:r>
        <w:rPr>
          <w:spacing w:val="-4"/>
        </w:rPr>
        <w:t> </w:t>
      </w:r>
      <w:r>
        <w:rPr/>
        <w:t>inversión</w:t>
      </w:r>
      <w:r>
        <w:rPr>
          <w:spacing w:val="-4"/>
        </w:rPr>
        <w:t> </w:t>
      </w:r>
      <w:r>
        <w:rPr/>
        <w:t>extranjera</w:t>
      </w:r>
      <w:r>
        <w:rPr>
          <w:spacing w:val="-3"/>
        </w:rPr>
        <w:t> </w:t>
      </w:r>
      <w:r>
        <w:rPr/>
        <w:t>directa</w:t>
      </w:r>
      <w:r>
        <w:rPr>
          <w:spacing w:val="-3"/>
        </w:rPr>
        <w:t> </w:t>
      </w:r>
      <w:r>
        <w:rPr/>
        <w:t>permitirán</w:t>
      </w:r>
      <w:r>
        <w:rPr>
          <w:spacing w:val="-7"/>
        </w:rPr>
        <w:t> </w:t>
      </w:r>
      <w:r>
        <w:rPr/>
        <w:t>la reducción</w:t>
      </w:r>
      <w:r>
        <w:rPr>
          <w:spacing w:val="-13"/>
        </w:rPr>
        <w:t> </w:t>
      </w:r>
      <w:r>
        <w:rPr/>
        <w:t>de</w:t>
      </w:r>
      <w:r>
        <w:rPr>
          <w:spacing w:val="-13"/>
        </w:rPr>
        <w:t> </w:t>
      </w:r>
      <w:r>
        <w:rPr/>
        <w:t>pasivos</w:t>
      </w:r>
      <w:r>
        <w:rPr>
          <w:spacing w:val="-13"/>
        </w:rPr>
        <w:t> </w:t>
      </w:r>
      <w:r>
        <w:rPr/>
        <w:t>y</w:t>
      </w:r>
      <w:r>
        <w:rPr>
          <w:spacing w:val="-16"/>
        </w:rPr>
        <w:t> </w:t>
      </w:r>
      <w:r>
        <w:rPr/>
        <w:t>el</w:t>
      </w:r>
      <w:r>
        <w:rPr>
          <w:spacing w:val="-12"/>
        </w:rPr>
        <w:t> </w:t>
      </w:r>
      <w:r>
        <w:rPr/>
        <w:t>aumento</w:t>
      </w:r>
      <w:r>
        <w:rPr>
          <w:spacing w:val="-13"/>
        </w:rPr>
        <w:t> </w:t>
      </w:r>
      <w:r>
        <w:rPr/>
        <w:t>de</w:t>
      </w:r>
      <w:r>
        <w:rPr>
          <w:spacing w:val="-13"/>
        </w:rPr>
        <w:t> </w:t>
      </w:r>
      <w:r>
        <w:rPr/>
        <w:t>activos</w:t>
      </w:r>
      <w:r>
        <w:rPr>
          <w:spacing w:val="-13"/>
        </w:rPr>
        <w:t> </w:t>
      </w:r>
      <w:r>
        <w:rPr/>
        <w:t>en</w:t>
      </w:r>
      <w:r>
        <w:rPr>
          <w:spacing w:val="-13"/>
        </w:rPr>
        <w:t> </w:t>
      </w:r>
      <w:r>
        <w:rPr/>
        <w:t>la</w:t>
      </w:r>
      <w:r>
        <w:rPr>
          <w:spacing w:val="-12"/>
        </w:rPr>
        <w:t> </w:t>
      </w:r>
      <w:r>
        <w:rPr/>
        <w:t>cuenta</w:t>
      </w:r>
      <w:r>
        <w:rPr>
          <w:spacing w:val="-13"/>
        </w:rPr>
        <w:t> </w:t>
      </w:r>
      <w:r>
        <w:rPr/>
        <w:t>financiera,</w:t>
      </w:r>
      <w:r>
        <w:rPr>
          <w:spacing w:val="-13"/>
        </w:rPr>
        <w:t> </w:t>
      </w:r>
      <w:r>
        <w:rPr/>
        <w:t>lo</w:t>
      </w:r>
      <w:r>
        <w:rPr>
          <w:spacing w:val="-16"/>
        </w:rPr>
        <w:t> </w:t>
      </w:r>
      <w:r>
        <w:rPr/>
        <w:t>que</w:t>
      </w:r>
      <w:r>
        <w:rPr>
          <w:spacing w:val="-13"/>
        </w:rPr>
        <w:t> </w:t>
      </w:r>
      <w:r>
        <w:rPr/>
        <w:t>se</w:t>
      </w:r>
      <w:r>
        <w:rPr>
          <w:spacing w:val="-13"/>
        </w:rPr>
        <w:t> </w:t>
      </w:r>
      <w:r>
        <w:rPr/>
        <w:t>reflejará</w:t>
      </w:r>
      <w:r>
        <w:rPr>
          <w:spacing w:val="-13"/>
        </w:rPr>
        <w:t> </w:t>
      </w:r>
      <w:r>
        <w:rPr/>
        <w:t>en</w:t>
      </w:r>
      <w:r>
        <w:rPr>
          <w:spacing w:val="-15"/>
        </w:rPr>
        <w:t> </w:t>
      </w:r>
      <w:r>
        <w:rPr/>
        <w:t>un</w:t>
      </w:r>
      <w:r>
        <w:rPr>
          <w:spacing w:val="-12"/>
        </w:rPr>
        <w:t> </w:t>
      </w:r>
      <w:r>
        <w:rPr/>
        <w:t>aumento del préstamo neto a los no residentes de la economía y el fortalecimiento de la posición de inversión internacional.</w:t>
      </w:r>
    </w:p>
    <w:p>
      <w:pPr>
        <w:pStyle w:val="BodyText"/>
        <w:spacing w:before="10"/>
        <w:rPr>
          <w:sz w:val="25"/>
        </w:rPr>
      </w:pPr>
    </w:p>
    <w:p>
      <w:pPr>
        <w:spacing w:line="276" w:lineRule="auto" w:before="0"/>
        <w:ind w:left="639" w:right="1787" w:firstLine="0"/>
        <w:jc w:val="center"/>
        <w:rPr>
          <w:b/>
          <w:sz w:val="20"/>
        </w:rPr>
      </w:pPr>
      <w:bookmarkStart w:name="_bookmark96" w:id="119"/>
      <w:bookmarkEnd w:id="119"/>
      <w:r>
        <w:rPr/>
      </w:r>
      <w:r>
        <w:rPr>
          <w:b/>
          <w:i/>
          <w:sz w:val="20"/>
        </w:rPr>
        <w:t>Gráfico 51. </w:t>
      </w:r>
      <w:r>
        <w:rPr>
          <w:b/>
          <w:sz w:val="20"/>
        </w:rPr>
        <w:t>Pronóstico de la tasa de crecimiento de exportaciones, importaciones, remesas familiares para el 2022</w:t>
      </w:r>
    </w:p>
    <w:p>
      <w:pPr>
        <w:pStyle w:val="BodyText"/>
        <w:spacing w:line="245" w:lineRule="exact"/>
        <w:ind w:left="1395" w:right="2478"/>
        <w:jc w:val="center"/>
      </w:pPr>
      <w:r>
        <w:rPr/>
        <w:t>Porcentajes al período actual</w:t>
      </w:r>
    </w:p>
    <w:p>
      <w:pPr>
        <w:tabs>
          <w:tab w:pos="4758" w:val="left" w:leader="none"/>
          <w:tab w:pos="5724" w:val="left" w:leader="none"/>
        </w:tabs>
        <w:spacing w:before="92"/>
        <w:ind w:left="3347" w:right="0" w:firstLine="0"/>
        <w:jc w:val="left"/>
        <w:rPr>
          <w:sz w:val="18"/>
        </w:rPr>
      </w:pPr>
      <w:r>
        <w:rPr/>
        <w:pict>
          <v:rect style="position:absolute;margin-left:217.919998pt;margin-top:7.912333pt;width:4.560pt;height:4.440pt;mso-position-horizontal-relative:page;mso-position-vertical-relative:paragraph;z-index:252283904" filled="true" fillcolor="#5b9bd4" stroked="false">
            <v:fill type="solid"/>
            <w10:wrap type="none"/>
          </v:rect>
        </w:pict>
      </w:r>
      <w:r>
        <w:rPr/>
        <w:pict>
          <v:rect style="position:absolute;margin-left:288.480011pt;margin-top:7.912333pt;width:4.560pt;height:4.440pt;mso-position-horizontal-relative:page;mso-position-vertical-relative:paragraph;z-index:-281034752" filled="true" fillcolor="#ec7c30" stroked="false">
            <v:fill type="solid"/>
            <w10:wrap type="none"/>
          </v:rect>
        </w:pict>
      </w:r>
      <w:r>
        <w:rPr/>
        <w:pict>
          <v:rect style="position:absolute;margin-left:336.839996pt;margin-top:7.912333pt;width:4.440pt;height:4.440pt;mso-position-horizontal-relative:page;mso-position-vertical-relative:paragraph;z-index:-281033728" filled="true" fillcolor="#a4a4a4" stroked="false">
            <v:fill type="solid"/>
            <w10:wrap type="none"/>
          </v:rect>
        </w:pict>
      </w:r>
      <w:r>
        <w:rPr/>
        <w:pict>
          <v:shape style="position:absolute;margin-left:165.240005pt;margin-top:31.432333pt;width:57.85pt;height:44.4pt;mso-position-horizontal-relative:page;mso-position-vertical-relative:paragraph;z-index:252295168" type="#_x0000_t202" filled="true" fillcolor="#a4a4a4" stroked="false">
            <v:textbox inset="0,0,0,0">
              <w:txbxContent>
                <w:p>
                  <w:pPr>
                    <w:pStyle w:val="BodyText"/>
                    <w:spacing w:before="8"/>
                    <w:rPr>
                      <w:sz w:val="29"/>
                    </w:rPr>
                  </w:pPr>
                </w:p>
                <w:p>
                  <w:pPr>
                    <w:spacing w:before="0"/>
                    <w:ind w:left="400" w:right="400" w:firstLine="0"/>
                    <w:jc w:val="center"/>
                    <w:rPr>
                      <w:sz w:val="18"/>
                    </w:rPr>
                  </w:pPr>
                  <w:r>
                    <w:rPr>
                      <w:color w:val="404040"/>
                      <w:sz w:val="18"/>
                    </w:rPr>
                    <w:t>16.5</w:t>
                  </w:r>
                </w:p>
              </w:txbxContent>
            </v:textbox>
            <v:fill type="solid"/>
            <w10:wrap type="none"/>
          </v:shape>
        </w:pict>
      </w:r>
      <w:r>
        <w:rPr>
          <w:color w:val="585858"/>
          <w:sz w:val="18"/>
        </w:rPr>
        <w:t>Limite</w:t>
      </w:r>
      <w:r>
        <w:rPr>
          <w:color w:val="585858"/>
          <w:spacing w:val="-2"/>
          <w:sz w:val="18"/>
        </w:rPr>
        <w:t> </w:t>
      </w:r>
      <w:r>
        <w:rPr>
          <w:color w:val="585858"/>
          <w:sz w:val="18"/>
        </w:rPr>
        <w:t>inferior</w:t>
        <w:tab/>
        <w:t>Variable</w:t>
        <w:tab/>
        <w:t>Limite</w:t>
      </w:r>
      <w:r>
        <w:rPr>
          <w:color w:val="585858"/>
          <w:spacing w:val="-1"/>
          <w:sz w:val="18"/>
        </w:rPr>
        <w:t> </w:t>
      </w:r>
      <w:r>
        <w:rPr>
          <w:color w:val="585858"/>
          <w:sz w:val="18"/>
        </w:rPr>
        <w:t>superior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pStyle w:val="BodyText"/>
        <w:spacing w:line="20" w:lineRule="exact"/>
        <w:ind w:left="1607"/>
        <w:rPr>
          <w:sz w:val="2"/>
        </w:rPr>
      </w:pPr>
      <w:r>
        <w:rPr>
          <w:sz w:val="2"/>
        </w:rPr>
        <w:pict>
          <v:group style="width:338.55pt;height:.75pt;mso-position-horizontal-relative:char;mso-position-vertical-relative:line" coordorigin="0,0" coordsize="6771,15">
            <v:line style="position:absolute" from="0,7" to="6770,7" stroked="true" strokeweight=".72pt" strokecolor="#d9d9d9">
              <v:stroke dashstyle="solid"/>
            </v:line>
          </v:group>
        </w:pict>
      </w:r>
      <w:r>
        <w:rPr>
          <w:sz w:val="2"/>
        </w:rPr>
      </w:r>
    </w:p>
    <w:p>
      <w:pPr>
        <w:tabs>
          <w:tab w:pos="4485" w:val="left" w:leader="none"/>
          <w:tab w:pos="6743" w:val="left" w:leader="none"/>
        </w:tabs>
        <w:spacing w:before="72"/>
        <w:ind w:left="1998" w:right="0" w:firstLine="0"/>
        <w:jc w:val="left"/>
        <w:rPr>
          <w:sz w:val="18"/>
        </w:rPr>
      </w:pPr>
      <w:r>
        <w:rPr/>
        <w:pict>
          <v:group style="position:absolute;margin-left:165.240005pt;margin-top:-77.947647pt;width:57.85pt;height:76.1pt;mso-position-horizontal-relative:page;mso-position-vertical-relative:paragraph;z-index:252282880" coordorigin="3305,-1559" coordsize="1157,1522">
            <v:rect style="position:absolute;left:3304;top:-1559;width:1157;height:804" filled="true" fillcolor="#ec7c30" stroked="false">
              <v:fill type="solid"/>
            </v:rect>
            <v:shape style="position:absolute;left:3304;top:-755;width:1157;height:718" type="#_x0000_t202" filled="true" fillcolor="#5b9bd4" stroked="false">
              <v:textbox inset="0,0,0,0">
                <w:txbxContent>
                  <w:p>
                    <w:pPr>
                      <w:spacing w:line="240" w:lineRule="auto" w:before="8"/>
                      <w:rPr>
                        <w:sz w:val="22"/>
                      </w:rPr>
                    </w:pPr>
                  </w:p>
                  <w:p>
                    <w:pPr>
                      <w:spacing w:before="0"/>
                      <w:ind w:left="400" w:right="400" w:firstLine="0"/>
                      <w:jc w:val="center"/>
                      <w:rPr>
                        <w:sz w:val="18"/>
                      </w:rPr>
                    </w:pPr>
                    <w:r>
                      <w:rPr>
                        <w:color w:val="404040"/>
                        <w:sz w:val="18"/>
                      </w:rPr>
                      <w:t>13.5</w:t>
                    </w:r>
                  </w:p>
                </w:txbxContent>
              </v:textbox>
              <v:fill type="solid"/>
              <w10:wrap type="none"/>
            </v:shape>
            <v:shape style="position:absolute;left:3793;top:-1252;width:203;height:200" type="#_x0000_t202" filled="false" stroked="false">
              <v:textbox inset="0,0,0,0">
                <w:txbxContent>
                  <w:p>
                    <w:pPr>
                      <w:spacing w:line="199" w:lineRule="exact" w:before="0"/>
                      <w:ind w:left="0" w:right="0" w:firstLine="0"/>
                      <w:jc w:val="left"/>
                      <w:rPr>
                        <w:sz w:val="18"/>
                      </w:rPr>
                    </w:pPr>
                    <w:r>
                      <w:rPr>
                        <w:color w:val="404040"/>
                        <w:sz w:val="18"/>
                      </w:rPr>
                      <w:t>15</w:t>
                    </w:r>
                  </w:p>
                </w:txbxContent>
              </v:textbox>
              <w10:wrap type="none"/>
            </v:shape>
            <w10:wrap type="none"/>
          </v:group>
        </w:pict>
      </w:r>
      <w:r>
        <w:rPr/>
        <w:pict>
          <v:group style="position:absolute;margin-left:278.040009pt;margin-top:-82.027649pt;width:57.85pt;height:80.2pt;mso-position-horizontal-relative:page;mso-position-vertical-relative:paragraph;z-index:252290048" coordorigin="5561,-1641" coordsize="1157,1604">
            <v:shape style="position:absolute;left:5560;top:-487;width:1157;height:449" type="#_x0000_t202" filled="true" fillcolor="#5b9bd4" stroked="false">
              <v:textbox inset="0,0,0,0">
                <w:txbxContent>
                  <w:p>
                    <w:pPr>
                      <w:spacing w:before="126"/>
                      <w:ind w:left="400" w:right="400" w:firstLine="0"/>
                      <w:jc w:val="center"/>
                      <w:rPr>
                        <w:sz w:val="18"/>
                      </w:rPr>
                    </w:pPr>
                    <w:r>
                      <w:rPr>
                        <w:color w:val="404040"/>
                        <w:sz w:val="18"/>
                      </w:rPr>
                      <w:t>8.5</w:t>
                    </w:r>
                  </w:p>
                </w:txbxContent>
              </v:textbox>
              <v:fill type="solid"/>
              <w10:wrap type="none"/>
            </v:shape>
            <v:shape style="position:absolute;left:5560;top:-1024;width:1157;height:538" type="#_x0000_t202" filled="true" fillcolor="#ec7c30" stroked="false">
              <v:textbox inset="0,0,0,0">
                <w:txbxContent>
                  <w:p>
                    <w:pPr>
                      <w:spacing w:before="167"/>
                      <w:ind w:left="400" w:right="396" w:firstLine="0"/>
                      <w:jc w:val="center"/>
                      <w:rPr>
                        <w:sz w:val="18"/>
                      </w:rPr>
                    </w:pPr>
                    <w:r>
                      <w:rPr>
                        <w:color w:val="404040"/>
                        <w:sz w:val="18"/>
                      </w:rPr>
                      <w:t>10</w:t>
                    </w:r>
                  </w:p>
                </w:txbxContent>
              </v:textbox>
              <v:fill type="solid"/>
              <w10:wrap type="none"/>
            </v:shape>
            <v:shape style="position:absolute;left:5560;top:-1641;width:1157;height:617" type="#_x0000_t202" filled="true" fillcolor="#a4a4a4" stroked="false">
              <v:textbox inset="0,0,0,0">
                <w:txbxContent>
                  <w:p>
                    <w:pPr>
                      <w:spacing w:line="240" w:lineRule="auto" w:before="11"/>
                      <w:rPr>
                        <w:sz w:val="17"/>
                      </w:rPr>
                    </w:pPr>
                  </w:p>
                  <w:p>
                    <w:pPr>
                      <w:spacing w:before="0"/>
                      <w:ind w:left="400" w:right="400" w:firstLine="0"/>
                      <w:jc w:val="center"/>
                      <w:rPr>
                        <w:sz w:val="18"/>
                      </w:rPr>
                    </w:pPr>
                    <w:r>
                      <w:rPr>
                        <w:color w:val="404040"/>
                        <w:sz w:val="18"/>
                      </w:rPr>
                      <w:t>11.5</w:t>
                    </w:r>
                  </w:p>
                </w:txbxContent>
              </v:textbox>
              <v:fill type="solid"/>
              <w10:wrap type="none"/>
            </v:shape>
            <w10:wrap type="none"/>
          </v:group>
        </w:pict>
      </w:r>
      <w:r>
        <w:rPr/>
        <w:pict>
          <v:group style="position:absolute;margin-left:390.959991pt;margin-top:-98.107651pt;width:57.85pt;height:96.25pt;mso-position-horizontal-relative:page;mso-position-vertical-relative:paragraph;z-index:252294144" coordorigin="7819,-1962" coordsize="1157,1925">
            <v:shape style="position:absolute;left:7819;top:-595;width:1157;height:557" type="#_x0000_t202" filled="true" fillcolor="#5b9bd4" stroked="false">
              <v:textbox inset="0,0,0,0">
                <w:txbxContent>
                  <w:p>
                    <w:pPr>
                      <w:spacing w:line="240" w:lineRule="auto" w:before="8"/>
                      <w:rPr>
                        <w:sz w:val="15"/>
                      </w:rPr>
                    </w:pPr>
                  </w:p>
                  <w:p>
                    <w:pPr>
                      <w:spacing w:before="1"/>
                      <w:ind w:left="400" w:right="401" w:firstLine="0"/>
                      <w:jc w:val="center"/>
                      <w:rPr>
                        <w:sz w:val="18"/>
                      </w:rPr>
                    </w:pPr>
                    <w:r>
                      <w:rPr>
                        <w:color w:val="404040"/>
                        <w:sz w:val="18"/>
                      </w:rPr>
                      <w:t>10.5</w:t>
                    </w:r>
                  </w:p>
                </w:txbxContent>
              </v:textbox>
              <v:fill type="solid"/>
              <w10:wrap type="none"/>
            </v:shape>
            <v:shape style="position:absolute;left:7819;top:-1238;width:1157;height:644" type="#_x0000_t202" filled="true" fillcolor="#ec7c30" stroked="false">
              <v:textbox inset="0,0,0,0">
                <w:txbxContent>
                  <w:p>
                    <w:pPr>
                      <w:spacing w:line="240" w:lineRule="auto" w:before="1"/>
                      <w:rPr>
                        <w:sz w:val="19"/>
                      </w:rPr>
                    </w:pPr>
                  </w:p>
                  <w:p>
                    <w:pPr>
                      <w:spacing w:before="1"/>
                      <w:ind w:left="400" w:right="398" w:firstLine="0"/>
                      <w:jc w:val="center"/>
                      <w:rPr>
                        <w:sz w:val="18"/>
                      </w:rPr>
                    </w:pPr>
                    <w:r>
                      <w:rPr>
                        <w:color w:val="404040"/>
                        <w:sz w:val="18"/>
                      </w:rPr>
                      <w:t>12</w:t>
                    </w:r>
                  </w:p>
                </w:txbxContent>
              </v:textbox>
              <v:fill type="solid"/>
              <w10:wrap type="none"/>
            </v:shape>
            <v:shape style="position:absolute;left:7819;top:-1963;width:1157;height:725" type="#_x0000_t202" filled="true" fillcolor="#a4a4a4" stroked="false">
              <v:textbox inset="0,0,0,0">
                <w:txbxContent>
                  <w:p>
                    <w:pPr>
                      <w:spacing w:line="240" w:lineRule="auto" w:before="7"/>
                      <w:rPr>
                        <w:sz w:val="22"/>
                      </w:rPr>
                    </w:pPr>
                  </w:p>
                  <w:p>
                    <w:pPr>
                      <w:spacing w:before="0"/>
                      <w:ind w:left="400" w:right="401" w:firstLine="0"/>
                      <w:jc w:val="center"/>
                      <w:rPr>
                        <w:sz w:val="18"/>
                      </w:rPr>
                    </w:pPr>
                    <w:r>
                      <w:rPr>
                        <w:color w:val="404040"/>
                        <w:sz w:val="18"/>
                      </w:rPr>
                      <w:t>13.5</w:t>
                    </w:r>
                  </w:p>
                </w:txbxContent>
              </v:textbox>
              <v:fill type="solid"/>
              <w10:wrap type="none"/>
            </v:shape>
            <w10:wrap type="none"/>
          </v:group>
        </w:pict>
      </w:r>
      <w:r>
        <w:rPr>
          <w:color w:val="585858"/>
          <w:sz w:val="18"/>
        </w:rPr>
        <w:t>Remesas</w:t>
      </w:r>
      <w:r>
        <w:rPr>
          <w:color w:val="585858"/>
          <w:spacing w:val="-3"/>
          <w:sz w:val="18"/>
        </w:rPr>
        <w:t> </w:t>
      </w:r>
      <w:r>
        <w:rPr>
          <w:color w:val="585858"/>
          <w:sz w:val="18"/>
        </w:rPr>
        <w:t>Familiares</w:t>
        <w:tab/>
        <w:t>Exportaciones</w:t>
        <w:tab/>
        <w:t>Importaciones</w:t>
      </w:r>
    </w:p>
    <w:p>
      <w:pPr>
        <w:pStyle w:val="BodyText"/>
        <w:spacing w:before="7"/>
        <w:rPr>
          <w:sz w:val="16"/>
        </w:rPr>
      </w:pPr>
    </w:p>
    <w:p>
      <w:pPr>
        <w:spacing w:before="94"/>
        <w:ind w:left="1978" w:right="0" w:firstLine="0"/>
        <w:jc w:val="left"/>
        <w:rPr>
          <w:sz w:val="16"/>
        </w:rPr>
      </w:pPr>
      <w:r>
        <w:rPr>
          <w:sz w:val="16"/>
        </w:rPr>
        <w:t>Fuente: Dirección de Análisis y Política Fiscal con información de BANGUAT a abril 2022</w:t>
      </w:r>
    </w:p>
    <w:p>
      <w:pPr>
        <w:pStyle w:val="BodyText"/>
        <w:rPr>
          <w:sz w:val="18"/>
        </w:rPr>
      </w:pPr>
    </w:p>
    <w:p>
      <w:pPr>
        <w:pStyle w:val="BodyText"/>
        <w:spacing w:line="276" w:lineRule="auto" w:before="108"/>
        <w:ind w:left="562" w:right="1695"/>
        <w:jc w:val="both"/>
      </w:pPr>
      <w:r>
        <w:rPr/>
        <w:t>Por su parte, el tipo de cambio nominal de referencia registró a junio de 2022 una depreciación con respecto</w:t>
      </w:r>
      <w:r>
        <w:rPr>
          <w:spacing w:val="-6"/>
        </w:rPr>
        <w:t> </w:t>
      </w:r>
      <w:r>
        <w:rPr/>
        <w:t>al</w:t>
      </w:r>
      <w:r>
        <w:rPr>
          <w:spacing w:val="-5"/>
        </w:rPr>
        <w:t> </w:t>
      </w:r>
      <w:r>
        <w:rPr/>
        <w:t>2021</w:t>
      </w:r>
      <w:r>
        <w:rPr>
          <w:spacing w:val="-6"/>
        </w:rPr>
        <w:t> </w:t>
      </w:r>
      <w:r>
        <w:rPr/>
        <w:t>de</w:t>
      </w:r>
      <w:r>
        <w:rPr>
          <w:spacing w:val="-5"/>
        </w:rPr>
        <w:t> </w:t>
      </w:r>
      <w:r>
        <w:rPr/>
        <w:t>0.5%,</w:t>
      </w:r>
      <w:r>
        <w:rPr>
          <w:spacing w:val="-5"/>
        </w:rPr>
        <w:t> </w:t>
      </w:r>
      <w:r>
        <w:rPr/>
        <w:t>resultado</w:t>
      </w:r>
      <w:r>
        <w:rPr>
          <w:spacing w:val="-6"/>
        </w:rPr>
        <w:t> </w:t>
      </w:r>
      <w:r>
        <w:rPr/>
        <w:t>congruente</w:t>
      </w:r>
      <w:r>
        <w:rPr>
          <w:spacing w:val="-6"/>
        </w:rPr>
        <w:t> </w:t>
      </w:r>
      <w:r>
        <w:rPr/>
        <w:t>con</w:t>
      </w:r>
      <w:r>
        <w:rPr>
          <w:spacing w:val="-5"/>
        </w:rPr>
        <w:t> </w:t>
      </w:r>
      <w:r>
        <w:rPr/>
        <w:t>la</w:t>
      </w:r>
      <w:r>
        <w:rPr>
          <w:spacing w:val="-6"/>
        </w:rPr>
        <w:t> </w:t>
      </w:r>
      <w:r>
        <w:rPr/>
        <w:t>evolución</w:t>
      </w:r>
      <w:r>
        <w:rPr>
          <w:spacing w:val="-6"/>
        </w:rPr>
        <w:t> </w:t>
      </w:r>
      <w:r>
        <w:rPr/>
        <w:t>de</w:t>
      </w:r>
      <w:r>
        <w:rPr>
          <w:spacing w:val="-6"/>
        </w:rPr>
        <w:t> </w:t>
      </w:r>
      <w:r>
        <w:rPr/>
        <w:t>sus</w:t>
      </w:r>
      <w:r>
        <w:rPr>
          <w:spacing w:val="-4"/>
        </w:rPr>
        <w:t> </w:t>
      </w:r>
      <w:r>
        <w:rPr/>
        <w:t>fundamentos,</w:t>
      </w:r>
      <w:r>
        <w:rPr>
          <w:spacing w:val="-5"/>
        </w:rPr>
        <w:t> </w:t>
      </w:r>
      <w:r>
        <w:rPr/>
        <w:t>en</w:t>
      </w:r>
      <w:r>
        <w:rPr>
          <w:spacing w:val="-6"/>
        </w:rPr>
        <w:t> </w:t>
      </w:r>
      <w:r>
        <w:rPr/>
        <w:t>particular</w:t>
      </w:r>
      <w:r>
        <w:rPr>
          <w:spacing w:val="-5"/>
        </w:rPr>
        <w:t> </w:t>
      </w:r>
      <w:r>
        <w:rPr>
          <w:spacing w:val="-3"/>
        </w:rPr>
        <w:t>el </w:t>
      </w:r>
      <w:r>
        <w:rPr/>
        <w:t>crecimiento del flujo de remesas familiares y el comportamiento de las exportaciones. </w:t>
      </w:r>
      <w:r>
        <w:rPr>
          <w:spacing w:val="2"/>
        </w:rPr>
        <w:t>Se </w:t>
      </w:r>
      <w:r>
        <w:rPr/>
        <w:t>prevé que para diciembre del presente año el tipo de cambio sea alrededor de Q 7.85 por US$</w:t>
      </w:r>
      <w:r>
        <w:rPr>
          <w:spacing w:val="-11"/>
        </w:rPr>
        <w:t> </w:t>
      </w:r>
      <w:r>
        <w:rPr/>
        <w:t>1.00.</w:t>
      </w:r>
    </w:p>
    <w:p>
      <w:pPr>
        <w:spacing w:after="0" w:line="276" w:lineRule="auto"/>
        <w:jc w:val="both"/>
        <w:sectPr>
          <w:pgSz w:w="12240" w:h="15840"/>
          <w:pgMar w:header="715" w:footer="957" w:top="1240" w:bottom="1140" w:left="1140" w:right="0"/>
        </w:sectPr>
      </w:pPr>
    </w:p>
    <w:p>
      <w:pPr>
        <w:spacing w:before="169"/>
        <w:ind w:left="2551" w:right="0" w:firstLine="0"/>
        <w:jc w:val="left"/>
        <w:rPr>
          <w:b/>
          <w:sz w:val="20"/>
        </w:rPr>
      </w:pPr>
      <w:bookmarkStart w:name="_bookmark97" w:id="120"/>
      <w:bookmarkEnd w:id="120"/>
      <w:r>
        <w:rPr/>
      </w:r>
      <w:r>
        <w:rPr>
          <w:b/>
          <w:i/>
          <w:sz w:val="20"/>
        </w:rPr>
        <w:t>Gráfico 52. </w:t>
      </w:r>
      <w:r>
        <w:rPr>
          <w:b/>
          <w:sz w:val="20"/>
        </w:rPr>
        <w:t>Tipo de cambio promedio de compra y venta</w:t>
      </w:r>
    </w:p>
    <w:p>
      <w:pPr>
        <w:tabs>
          <w:tab w:pos="5704" w:val="left" w:leader="none"/>
        </w:tabs>
        <w:spacing w:before="81"/>
        <w:ind w:left="3617" w:right="0" w:firstLine="0"/>
        <w:jc w:val="left"/>
        <w:rPr>
          <w:sz w:val="16"/>
        </w:rPr>
      </w:pPr>
      <w:r>
        <w:rPr/>
        <w:pict>
          <v:line style="position:absolute;mso-position-horizontal-relative:page;mso-position-vertical-relative:paragraph;z-index:252299264" from="216.660004pt,9.058728pt" to="235.860004pt,9.058728pt" stroked="true" strokeweight="1.56pt" strokecolor="#5b9bd4">
            <v:stroke dashstyle="solid"/>
            <w10:wrap type="none"/>
          </v:line>
        </w:pict>
      </w:r>
      <w:r>
        <w:rPr/>
        <w:pict>
          <v:line style="position:absolute;mso-position-horizontal-relative:page;mso-position-vertical-relative:paragraph;z-index:-281019392" from="320.940002pt,9.058728pt" to="340.140002pt,9.058728pt" stroked="true" strokeweight="1.56pt" strokecolor="#ec7c30">
            <v:stroke dashstyle="solid"/>
            <w10:wrap type="none"/>
          </v:line>
        </w:pict>
      </w:r>
      <w:r>
        <w:rPr>
          <w:sz w:val="16"/>
        </w:rPr>
        <w:t>Tipo</w:t>
      </w:r>
      <w:r>
        <w:rPr>
          <w:spacing w:val="-3"/>
          <w:sz w:val="16"/>
        </w:rPr>
        <w:t> </w:t>
      </w:r>
      <w:r>
        <w:rPr>
          <w:sz w:val="16"/>
        </w:rPr>
        <w:t>Cambio</w:t>
      </w:r>
      <w:r>
        <w:rPr>
          <w:spacing w:val="-2"/>
          <w:sz w:val="16"/>
        </w:rPr>
        <w:t> </w:t>
      </w:r>
      <w:r>
        <w:rPr>
          <w:sz w:val="16"/>
        </w:rPr>
        <w:t>compra</w:t>
        <w:tab/>
        <w:t>Tipo Cambio</w:t>
      </w:r>
      <w:r>
        <w:rPr>
          <w:spacing w:val="-2"/>
          <w:sz w:val="16"/>
        </w:rPr>
        <w:t> </w:t>
      </w:r>
      <w:r>
        <w:rPr>
          <w:sz w:val="16"/>
        </w:rPr>
        <w:t>venta</w:t>
      </w:r>
    </w:p>
    <w:p>
      <w:pPr>
        <w:spacing w:before="3"/>
        <w:ind w:left="2049" w:right="0" w:firstLine="0"/>
        <w:jc w:val="left"/>
        <w:rPr>
          <w:sz w:val="16"/>
        </w:rPr>
      </w:pPr>
      <w:r>
        <w:rPr/>
        <w:pict>
          <v:group style="position:absolute;margin-left:173.880005pt;margin-top:4.958723pt;width:298.1pt;height:113.2pt;mso-position-horizontal-relative:page;mso-position-vertical-relative:paragraph;z-index:252298240" coordorigin="3478,99" coordsize="5962,2264">
            <v:line style="position:absolute" from="3526,2317" to="3526,104" stroked="true" strokeweight=".48pt" strokecolor="#888888">
              <v:stroke dashstyle="solid"/>
            </v:line>
            <v:shape style="position:absolute;left:0;top:11712;width:48;height:2213" coordorigin="0,11713" coordsize="48,2213" path="m3478,2317l3526,2317m3478,2000l3526,2000m3478,1683l3526,1683m3478,1369l3526,1369m3478,1052l3526,1052m3478,735l3526,735m3478,418l3526,418m3478,104l3526,104e" filled="false" stroked="true" strokeweight=".48pt" strokecolor="#888888">
              <v:path arrowok="t"/>
              <v:stroke dashstyle="solid"/>
            </v:shape>
            <v:shape style="position:absolute;left:0;top:13925;width:5909;height:46" coordorigin="0,13926" coordsize="5909,46" path="m3526,2317l9434,2317m3526,2317l3526,2362m3770,2317l3770,2362m4018,2317l4018,2362m4265,2317l4265,2362m4510,2317l4510,2362m4757,2317l4757,2362m5002,2317l5002,2362m5249,2317l5249,2362m5494,2317l5494,2362m5741,2317l5741,2362m5988,2317l5988,2362m6233,2317l6233,2362m6480,2317l6480,2362m6725,2317l6725,2362m6972,2317l6972,2362m7217,2317l7217,2362m7464,2317l7464,2362m7711,2317l7711,2362m7956,2317l7956,2362m8203,2317l8203,2362m8448,2317l8448,2362m8695,2317l8695,2362m8940,2317l8940,2362m9187,2317l9187,2362m9434,2317l9434,2362e" filled="false" stroked="true" strokeweight=".48pt" strokecolor="#888888">
              <v:path arrowok="t"/>
              <v:stroke dashstyle="solid"/>
            </v:shape>
            <v:shape style="position:absolute;left:3649;top:798;width:5662;height:886" coordorigin="3649,799" coordsize="5662,886" path="m3649,1305l3894,926,4141,926,4386,799,4633,861,4878,988,5125,1495,5372,1430,5617,1368,5864,1430,6109,1178,6356,1240,6604,1240,6848,1368,7096,1240,7340,1305,7588,1368,7832,1557,8080,1430,8327,1620,8572,1684,8819,1495,9064,1116,9311,1305e" filled="false" stroked="true" strokeweight="1.56pt" strokecolor="#5b9bd4">
              <v:path arrowok="t"/>
              <v:stroke dashstyle="solid"/>
            </v:shape>
            <v:shape style="position:absolute;left:3649;top:419;width:5662;height:1011" coordorigin="3649,420" coordsize="5662,1011" path="m3649,988l3894,736,4141,609,4386,420,4633,609,4878,609,5125,1178,5372,1178,5617,1178,5864,1051,6109,988,6356,926,6604,1116,6848,988,7096,1051,7340,1051,7588,1178,7832,1305,8080,1116,8327,1368,8572,1430,8819,1240,9064,926,9311,1051e" filled="false" stroked="true" strokeweight="1.56pt" strokecolor="#ec7c30">
              <v:path arrowok="t"/>
              <v:stroke dashstyle="solid"/>
            </v:shape>
            <v:shape style="position:absolute;left:8813;top:638;width:304;height:179" type="#_x0000_t202" filled="false" stroked="false">
              <v:textbox inset="0,0,0,0">
                <w:txbxContent>
                  <w:p>
                    <w:pPr>
                      <w:spacing w:line="178" w:lineRule="exact" w:before="0"/>
                      <w:ind w:left="0" w:right="0" w:firstLine="0"/>
                      <w:jc w:val="left"/>
                      <w:rPr>
                        <w:b/>
                        <w:sz w:val="16"/>
                      </w:rPr>
                    </w:pPr>
                    <w:r>
                      <w:rPr>
                        <w:b/>
                        <w:color w:val="C55A11"/>
                        <w:sz w:val="16"/>
                      </w:rPr>
                      <w:t>7.77</w:t>
                    </w:r>
                  </w:p>
                </w:txbxContent>
              </v:textbox>
              <w10:wrap type="none"/>
            </v:shape>
            <v:shape style="position:absolute;left:8853;top:1348;width:304;height:179" type="#_x0000_t202" filled="false" stroked="false">
              <v:textbox inset="0,0,0,0">
                <w:txbxContent>
                  <w:p>
                    <w:pPr>
                      <w:spacing w:line="178" w:lineRule="exact" w:before="0"/>
                      <w:ind w:left="0" w:right="0" w:firstLine="0"/>
                      <w:jc w:val="left"/>
                      <w:rPr>
                        <w:b/>
                        <w:sz w:val="16"/>
                      </w:rPr>
                    </w:pPr>
                    <w:r>
                      <w:rPr>
                        <w:b/>
                        <w:color w:val="2D75B6"/>
                        <w:sz w:val="16"/>
                      </w:rPr>
                      <w:t>7.74</w:t>
                    </w:r>
                  </w:p>
                </w:txbxContent>
              </v:textbox>
              <w10:wrap type="none"/>
            </v:shape>
            <w10:wrap type="none"/>
          </v:group>
        </w:pict>
      </w:r>
      <w:r>
        <w:rPr>
          <w:sz w:val="16"/>
        </w:rPr>
        <w:t>7.9</w:t>
      </w:r>
    </w:p>
    <w:p>
      <w:pPr>
        <w:spacing w:before="133"/>
        <w:ind w:left="1969" w:right="0" w:firstLine="0"/>
        <w:jc w:val="left"/>
        <w:rPr>
          <w:sz w:val="16"/>
        </w:rPr>
      </w:pPr>
      <w:r>
        <w:rPr>
          <w:sz w:val="16"/>
        </w:rPr>
        <w:t>7.85</w:t>
      </w:r>
    </w:p>
    <w:p>
      <w:pPr>
        <w:spacing w:before="131"/>
        <w:ind w:left="2049" w:right="0" w:firstLine="0"/>
        <w:jc w:val="left"/>
        <w:rPr>
          <w:sz w:val="16"/>
        </w:rPr>
      </w:pPr>
      <w:r>
        <w:rPr>
          <w:sz w:val="16"/>
        </w:rPr>
        <w:t>7.8</w:t>
      </w:r>
    </w:p>
    <w:p>
      <w:pPr>
        <w:spacing w:before="133"/>
        <w:ind w:left="1969" w:right="0" w:firstLine="0"/>
        <w:jc w:val="left"/>
        <w:rPr>
          <w:sz w:val="16"/>
        </w:rPr>
      </w:pPr>
      <w:r>
        <w:rPr/>
        <w:pict>
          <v:shape style="position:absolute;margin-left:142.55545pt;margin-top:5.265139pt;width:10.95pt;height:30.6pt;mso-position-horizontal-relative:page;mso-position-vertical-relative:paragraph;z-index:252302336" type="#_x0000_t202" filled="false" stroked="false">
            <v:textbox inset="0,0,0,0" style="layout-flow:vertical;mso-layout-flow-alt:bottom-to-top">
              <w:txbxContent>
                <w:p>
                  <w:pPr>
                    <w:spacing w:before="14"/>
                    <w:ind w:left="20" w:right="0" w:firstLine="0"/>
                    <w:jc w:val="left"/>
                    <w:rPr>
                      <w:b/>
                      <w:sz w:val="16"/>
                    </w:rPr>
                  </w:pPr>
                  <w:r>
                    <w:rPr>
                      <w:b/>
                      <w:sz w:val="16"/>
                    </w:rPr>
                    <w:t>Q/$USD</w:t>
                  </w:r>
                </w:p>
              </w:txbxContent>
            </v:textbox>
            <w10:wrap type="none"/>
          </v:shape>
        </w:pict>
      </w:r>
      <w:r>
        <w:rPr>
          <w:sz w:val="16"/>
        </w:rPr>
        <w:t>7.75</w:t>
      </w:r>
    </w:p>
    <w:p>
      <w:pPr>
        <w:spacing w:before="132"/>
        <w:ind w:left="2049" w:right="0" w:firstLine="0"/>
        <w:jc w:val="left"/>
        <w:rPr>
          <w:sz w:val="16"/>
        </w:rPr>
      </w:pPr>
      <w:r>
        <w:rPr>
          <w:sz w:val="16"/>
        </w:rPr>
        <w:t>7.7</w:t>
      </w:r>
    </w:p>
    <w:p>
      <w:pPr>
        <w:spacing w:before="131"/>
        <w:ind w:left="1969" w:right="0" w:firstLine="0"/>
        <w:jc w:val="left"/>
        <w:rPr>
          <w:sz w:val="16"/>
        </w:rPr>
      </w:pPr>
      <w:r>
        <w:rPr>
          <w:sz w:val="16"/>
        </w:rPr>
        <w:t>7.65</w:t>
      </w:r>
    </w:p>
    <w:p>
      <w:pPr>
        <w:spacing w:before="133"/>
        <w:ind w:left="2049" w:right="0" w:firstLine="0"/>
        <w:jc w:val="left"/>
        <w:rPr>
          <w:sz w:val="16"/>
        </w:rPr>
      </w:pPr>
      <w:r>
        <w:rPr>
          <w:sz w:val="16"/>
        </w:rPr>
        <w:t>7.6</w:t>
      </w:r>
    </w:p>
    <w:p>
      <w:pPr>
        <w:spacing w:before="132"/>
        <w:ind w:left="1969" w:right="0" w:firstLine="0"/>
        <w:jc w:val="left"/>
        <w:rPr>
          <w:sz w:val="16"/>
        </w:rPr>
      </w:pPr>
      <w:r>
        <w:rPr/>
        <w:pict>
          <v:shape style="position:absolute;margin-left:177.040878pt;margin-top:15.398728pt;width:294.1pt;height:28.7pt;mso-position-horizontal-relative:page;mso-position-vertical-relative:paragraph;z-index:252301312" type="#_x0000_t202" filled="false" stroked="false">
            <v:textbox inset="0,0,0,0" style="layout-flow:vertical">
              <w:txbxContent>
                <w:p>
                  <w:pPr>
                    <w:spacing w:before="14"/>
                    <w:ind w:left="20" w:right="0" w:firstLine="0"/>
                    <w:jc w:val="left"/>
                    <w:rPr>
                      <w:sz w:val="16"/>
                    </w:rPr>
                  </w:pPr>
                  <w:r>
                    <w:rPr>
                      <w:sz w:val="16"/>
                    </w:rPr>
                    <w:t>07-2022</w:t>
                  </w:r>
                </w:p>
                <w:p>
                  <w:pPr>
                    <w:spacing w:before="62"/>
                    <w:ind w:left="20" w:right="0" w:firstLine="0"/>
                    <w:jc w:val="left"/>
                    <w:rPr>
                      <w:sz w:val="16"/>
                    </w:rPr>
                  </w:pPr>
                  <w:r>
                    <w:rPr>
                      <w:sz w:val="16"/>
                    </w:rPr>
                    <w:t>06-2022</w:t>
                  </w:r>
                </w:p>
                <w:p>
                  <w:pPr>
                    <w:spacing w:before="62"/>
                    <w:ind w:left="20" w:right="0" w:firstLine="0"/>
                    <w:jc w:val="left"/>
                    <w:rPr>
                      <w:sz w:val="16"/>
                    </w:rPr>
                  </w:pPr>
                  <w:r>
                    <w:rPr>
                      <w:sz w:val="16"/>
                    </w:rPr>
                    <w:t>05-2022</w:t>
                  </w:r>
                </w:p>
                <w:p>
                  <w:pPr>
                    <w:spacing w:before="62"/>
                    <w:ind w:left="20" w:right="0" w:firstLine="0"/>
                    <w:jc w:val="left"/>
                    <w:rPr>
                      <w:sz w:val="16"/>
                    </w:rPr>
                  </w:pPr>
                  <w:r>
                    <w:rPr>
                      <w:sz w:val="16"/>
                    </w:rPr>
                    <w:t>04-2022</w:t>
                  </w:r>
                </w:p>
                <w:p>
                  <w:pPr>
                    <w:spacing w:before="63"/>
                    <w:ind w:left="20" w:right="0" w:firstLine="0"/>
                    <w:jc w:val="left"/>
                    <w:rPr>
                      <w:sz w:val="16"/>
                    </w:rPr>
                  </w:pPr>
                  <w:r>
                    <w:rPr>
                      <w:sz w:val="16"/>
                    </w:rPr>
                    <w:t>03-2022</w:t>
                  </w:r>
                </w:p>
                <w:p>
                  <w:pPr>
                    <w:spacing w:before="62"/>
                    <w:ind w:left="20" w:right="0" w:firstLine="0"/>
                    <w:jc w:val="left"/>
                    <w:rPr>
                      <w:sz w:val="16"/>
                    </w:rPr>
                  </w:pPr>
                  <w:r>
                    <w:rPr>
                      <w:sz w:val="16"/>
                    </w:rPr>
                    <w:t>02-2022</w:t>
                  </w:r>
                </w:p>
                <w:p>
                  <w:pPr>
                    <w:spacing w:before="62"/>
                    <w:ind w:left="20" w:right="0" w:firstLine="0"/>
                    <w:jc w:val="left"/>
                    <w:rPr>
                      <w:sz w:val="16"/>
                    </w:rPr>
                  </w:pPr>
                  <w:r>
                    <w:rPr>
                      <w:sz w:val="16"/>
                    </w:rPr>
                    <w:t>01-2022</w:t>
                  </w:r>
                </w:p>
                <w:p>
                  <w:pPr>
                    <w:spacing w:before="62"/>
                    <w:ind w:left="20" w:right="0" w:firstLine="0"/>
                    <w:jc w:val="left"/>
                    <w:rPr>
                      <w:sz w:val="16"/>
                    </w:rPr>
                  </w:pPr>
                  <w:r>
                    <w:rPr>
                      <w:sz w:val="16"/>
                    </w:rPr>
                    <w:t>12-2021</w:t>
                  </w:r>
                </w:p>
                <w:p>
                  <w:pPr>
                    <w:spacing w:before="63"/>
                    <w:ind w:left="20" w:right="0" w:firstLine="0"/>
                    <w:jc w:val="left"/>
                    <w:rPr>
                      <w:sz w:val="16"/>
                    </w:rPr>
                  </w:pPr>
                  <w:r>
                    <w:rPr>
                      <w:sz w:val="16"/>
                    </w:rPr>
                    <w:t>11-2021</w:t>
                  </w:r>
                </w:p>
                <w:p>
                  <w:pPr>
                    <w:spacing w:before="62"/>
                    <w:ind w:left="20" w:right="0" w:firstLine="0"/>
                    <w:jc w:val="left"/>
                    <w:rPr>
                      <w:sz w:val="16"/>
                    </w:rPr>
                  </w:pPr>
                  <w:r>
                    <w:rPr>
                      <w:sz w:val="16"/>
                    </w:rPr>
                    <w:t>10-2021</w:t>
                  </w:r>
                </w:p>
                <w:p>
                  <w:pPr>
                    <w:spacing w:before="62"/>
                    <w:ind w:left="20" w:right="0" w:firstLine="0"/>
                    <w:jc w:val="left"/>
                    <w:rPr>
                      <w:sz w:val="16"/>
                    </w:rPr>
                  </w:pPr>
                  <w:r>
                    <w:rPr>
                      <w:sz w:val="16"/>
                    </w:rPr>
                    <w:t>09-2021</w:t>
                  </w:r>
                </w:p>
                <w:p>
                  <w:pPr>
                    <w:spacing w:before="62"/>
                    <w:ind w:left="20" w:right="0" w:firstLine="0"/>
                    <w:jc w:val="left"/>
                    <w:rPr>
                      <w:sz w:val="16"/>
                    </w:rPr>
                  </w:pPr>
                  <w:r>
                    <w:rPr>
                      <w:sz w:val="16"/>
                    </w:rPr>
                    <w:t>08-2021</w:t>
                  </w:r>
                </w:p>
                <w:p>
                  <w:pPr>
                    <w:spacing w:before="63"/>
                    <w:ind w:left="20" w:right="0" w:firstLine="0"/>
                    <w:jc w:val="left"/>
                    <w:rPr>
                      <w:sz w:val="16"/>
                    </w:rPr>
                  </w:pPr>
                  <w:r>
                    <w:rPr>
                      <w:sz w:val="16"/>
                    </w:rPr>
                    <w:t>07-2021</w:t>
                  </w:r>
                </w:p>
                <w:p>
                  <w:pPr>
                    <w:spacing w:before="62"/>
                    <w:ind w:left="20" w:right="0" w:firstLine="0"/>
                    <w:jc w:val="left"/>
                    <w:rPr>
                      <w:sz w:val="16"/>
                    </w:rPr>
                  </w:pPr>
                  <w:r>
                    <w:rPr>
                      <w:sz w:val="16"/>
                    </w:rPr>
                    <w:t>06-2021</w:t>
                  </w:r>
                </w:p>
                <w:p>
                  <w:pPr>
                    <w:spacing w:before="62"/>
                    <w:ind w:left="20" w:right="0" w:firstLine="0"/>
                    <w:jc w:val="left"/>
                    <w:rPr>
                      <w:sz w:val="16"/>
                    </w:rPr>
                  </w:pPr>
                  <w:r>
                    <w:rPr>
                      <w:sz w:val="16"/>
                    </w:rPr>
                    <w:t>05-2021</w:t>
                  </w:r>
                </w:p>
                <w:p>
                  <w:pPr>
                    <w:spacing w:before="62"/>
                    <w:ind w:left="20" w:right="0" w:firstLine="0"/>
                    <w:jc w:val="left"/>
                    <w:rPr>
                      <w:sz w:val="16"/>
                    </w:rPr>
                  </w:pPr>
                  <w:r>
                    <w:rPr>
                      <w:sz w:val="16"/>
                    </w:rPr>
                    <w:t>04-2021</w:t>
                  </w:r>
                </w:p>
                <w:p>
                  <w:pPr>
                    <w:spacing w:before="63"/>
                    <w:ind w:left="20" w:right="0" w:firstLine="0"/>
                    <w:jc w:val="left"/>
                    <w:rPr>
                      <w:sz w:val="16"/>
                    </w:rPr>
                  </w:pPr>
                  <w:r>
                    <w:rPr>
                      <w:sz w:val="16"/>
                    </w:rPr>
                    <w:t>03-2021</w:t>
                  </w:r>
                </w:p>
                <w:p>
                  <w:pPr>
                    <w:spacing w:before="62"/>
                    <w:ind w:left="20" w:right="0" w:firstLine="0"/>
                    <w:jc w:val="left"/>
                    <w:rPr>
                      <w:sz w:val="16"/>
                    </w:rPr>
                  </w:pPr>
                  <w:r>
                    <w:rPr>
                      <w:sz w:val="16"/>
                    </w:rPr>
                    <w:t>02-2021</w:t>
                  </w:r>
                </w:p>
                <w:p>
                  <w:pPr>
                    <w:spacing w:before="62"/>
                    <w:ind w:left="20" w:right="0" w:firstLine="0"/>
                    <w:jc w:val="left"/>
                    <w:rPr>
                      <w:sz w:val="16"/>
                    </w:rPr>
                  </w:pPr>
                  <w:r>
                    <w:rPr>
                      <w:sz w:val="16"/>
                    </w:rPr>
                    <w:t>01-2021</w:t>
                  </w:r>
                </w:p>
                <w:p>
                  <w:pPr>
                    <w:spacing w:before="63"/>
                    <w:ind w:left="20" w:right="0" w:firstLine="0"/>
                    <w:jc w:val="left"/>
                    <w:rPr>
                      <w:sz w:val="16"/>
                    </w:rPr>
                  </w:pPr>
                  <w:r>
                    <w:rPr>
                      <w:sz w:val="16"/>
                    </w:rPr>
                    <w:t>12-2020</w:t>
                  </w:r>
                </w:p>
                <w:p>
                  <w:pPr>
                    <w:spacing w:before="62"/>
                    <w:ind w:left="20" w:right="0" w:firstLine="0"/>
                    <w:jc w:val="left"/>
                    <w:rPr>
                      <w:sz w:val="16"/>
                    </w:rPr>
                  </w:pPr>
                  <w:r>
                    <w:rPr>
                      <w:sz w:val="16"/>
                    </w:rPr>
                    <w:t>11-2020</w:t>
                  </w:r>
                </w:p>
                <w:p>
                  <w:pPr>
                    <w:spacing w:before="62"/>
                    <w:ind w:left="20" w:right="0" w:firstLine="0"/>
                    <w:jc w:val="left"/>
                    <w:rPr>
                      <w:sz w:val="16"/>
                    </w:rPr>
                  </w:pPr>
                  <w:r>
                    <w:rPr>
                      <w:sz w:val="16"/>
                    </w:rPr>
                    <w:t>10-2020</w:t>
                  </w:r>
                </w:p>
                <w:p>
                  <w:pPr>
                    <w:spacing w:before="62"/>
                    <w:ind w:left="20" w:right="0" w:firstLine="0"/>
                    <w:jc w:val="left"/>
                    <w:rPr>
                      <w:sz w:val="16"/>
                    </w:rPr>
                  </w:pPr>
                  <w:r>
                    <w:rPr>
                      <w:sz w:val="16"/>
                    </w:rPr>
                    <w:t>09-2020</w:t>
                  </w:r>
                </w:p>
                <w:p>
                  <w:pPr>
                    <w:spacing w:before="63"/>
                    <w:ind w:left="20" w:right="0" w:firstLine="0"/>
                    <w:jc w:val="left"/>
                    <w:rPr>
                      <w:sz w:val="16"/>
                    </w:rPr>
                  </w:pPr>
                  <w:r>
                    <w:rPr>
                      <w:sz w:val="16"/>
                    </w:rPr>
                    <w:t>08-2020</w:t>
                  </w:r>
                </w:p>
              </w:txbxContent>
            </v:textbox>
            <w10:wrap type="none"/>
          </v:shape>
        </w:pict>
      </w:r>
      <w:r>
        <w:rPr>
          <w:sz w:val="16"/>
        </w:rPr>
        <w:t>7.55</w:t>
      </w:r>
    </w:p>
    <w:p>
      <w:pPr>
        <w:pStyle w:val="BodyText"/>
        <w:rPr>
          <w:sz w:val="20"/>
        </w:rPr>
      </w:pPr>
    </w:p>
    <w:p>
      <w:pPr>
        <w:pStyle w:val="BodyText"/>
        <w:spacing w:before="4"/>
        <w:rPr>
          <w:sz w:val="24"/>
        </w:rPr>
      </w:pPr>
    </w:p>
    <w:p>
      <w:pPr>
        <w:spacing w:before="94"/>
        <w:ind w:left="1395" w:right="1854" w:firstLine="0"/>
        <w:jc w:val="center"/>
        <w:rPr>
          <w:b/>
          <w:sz w:val="16"/>
        </w:rPr>
      </w:pPr>
      <w:r>
        <w:rPr>
          <w:b/>
          <w:sz w:val="16"/>
        </w:rPr>
        <w:t>Fecha</w:t>
      </w:r>
    </w:p>
    <w:p>
      <w:pPr>
        <w:spacing w:before="68"/>
        <w:ind w:left="464" w:right="2542" w:firstLine="0"/>
        <w:jc w:val="center"/>
        <w:rPr>
          <w:sz w:val="16"/>
        </w:rPr>
      </w:pPr>
      <w:r>
        <w:rPr>
          <w:sz w:val="16"/>
        </w:rPr>
        <w:t>Fuente: Dirección de Análisis y Política Fiscal con información de BANGUAT</w:t>
      </w:r>
    </w:p>
    <w:p>
      <w:pPr>
        <w:pStyle w:val="BodyText"/>
        <w:rPr>
          <w:sz w:val="18"/>
        </w:rPr>
      </w:pPr>
    </w:p>
    <w:p>
      <w:pPr>
        <w:pStyle w:val="BodyText"/>
        <w:spacing w:line="276" w:lineRule="auto" w:before="110"/>
        <w:ind w:left="562" w:right="1698"/>
        <w:jc w:val="both"/>
      </w:pPr>
      <w:r>
        <w:rPr/>
        <w:t>En ese contexto, el Banco Central continuó participando en el mercado cambiario con el objetivo de reducir la volatilidad del tipo de cambio nominal, realizando mediante la regla de participación compras netas de divisas por US$446.0 millones; al mismo tiempo que, con el propósito de reducir el excedente de divisas en el mercado cambiario, efectuó bajo el mecanismo de acumulación de reservas monetarias internacionales compras de divisas por US$1,1694.8 millones.</w:t>
      </w:r>
    </w:p>
    <w:p>
      <w:pPr>
        <w:pStyle w:val="BodyText"/>
        <w:spacing w:before="8"/>
        <w:rPr>
          <w:sz w:val="25"/>
        </w:rPr>
      </w:pPr>
    </w:p>
    <w:p>
      <w:pPr>
        <w:pStyle w:val="Heading2"/>
        <w:numPr>
          <w:ilvl w:val="0"/>
          <w:numId w:val="11"/>
        </w:numPr>
        <w:tabs>
          <w:tab w:pos="846" w:val="left" w:leader="none"/>
        </w:tabs>
        <w:spacing w:line="240" w:lineRule="auto" w:before="0" w:after="0"/>
        <w:ind w:left="845" w:right="0" w:hanging="284"/>
        <w:jc w:val="left"/>
      </w:pPr>
      <w:bookmarkStart w:name="_bookmark98" w:id="121"/>
      <w:bookmarkEnd w:id="121"/>
      <w:r>
        <w:rPr>
          <w:b w:val="0"/>
        </w:rPr>
      </w:r>
      <w:bookmarkStart w:name="_bookmark98" w:id="122"/>
      <w:bookmarkEnd w:id="122"/>
      <w:r>
        <w:rPr/>
        <w:t>E</w:t>
      </w:r>
      <w:r>
        <w:rPr/>
        <w:t>scenario macroeconómico de mediano plazo</w:t>
      </w:r>
      <w:r>
        <w:rPr>
          <w:spacing w:val="2"/>
        </w:rPr>
        <w:t> </w:t>
      </w:r>
      <w:r>
        <w:rPr/>
        <w:t>(2023-2027)</w:t>
      </w:r>
    </w:p>
    <w:p>
      <w:pPr>
        <w:pStyle w:val="BodyText"/>
        <w:spacing w:before="4"/>
        <w:rPr>
          <w:b/>
          <w:sz w:val="28"/>
        </w:rPr>
      </w:pPr>
    </w:p>
    <w:p>
      <w:pPr>
        <w:pStyle w:val="BodyText"/>
        <w:spacing w:line="276" w:lineRule="auto"/>
        <w:ind w:left="562" w:right="1698"/>
        <w:jc w:val="both"/>
      </w:pPr>
      <w:r>
        <w:rPr/>
        <w:t>En esta sección se describe el escenario macroeconómico de mediano plazo para las principales variables macroeconómicas del 2023-2027, como lo es el producto interno bruto real y nominal, las exportaciones, importaciones e inflación. Los supuestos alrededor de las variables son descritos en esta</w:t>
      </w:r>
      <w:r>
        <w:rPr>
          <w:spacing w:val="-2"/>
        </w:rPr>
        <w:t> </w:t>
      </w:r>
      <w:r>
        <w:rPr/>
        <w:t>sección.</w:t>
      </w:r>
    </w:p>
    <w:p>
      <w:pPr>
        <w:pStyle w:val="BodyText"/>
        <w:spacing w:before="6"/>
        <w:rPr>
          <w:sz w:val="25"/>
        </w:rPr>
      </w:pPr>
    </w:p>
    <w:p>
      <w:pPr>
        <w:pStyle w:val="BodyText"/>
        <w:spacing w:line="276" w:lineRule="auto"/>
        <w:ind w:left="562" w:right="1695"/>
        <w:jc w:val="both"/>
      </w:pPr>
      <w:r>
        <w:rPr/>
        <w:t>Para el 2023 los organismos internacionales esperan un crecimiento de la economía mundial debido a la disipación de la crisis sanitaria y a un efecto rezagado de los efectos negativos de la guerra de Rusia y Ucrania. Después del 2023, se espera un crecimiento que converja gradualmente a su nivel de largo plazo. Sin embargo, estas perspectivas podrían disminuir por daño en la oferta potencial o desaceleración del crecimiento de la fuerza laboral, tanto en las economías avanzas como en las emergentes.</w:t>
      </w:r>
      <w:r>
        <w:rPr>
          <w:spacing w:val="-11"/>
        </w:rPr>
        <w:t> </w:t>
      </w:r>
      <w:r>
        <w:rPr/>
        <w:t>La</w:t>
      </w:r>
      <w:r>
        <w:rPr>
          <w:spacing w:val="-13"/>
        </w:rPr>
        <w:t> </w:t>
      </w:r>
      <w:r>
        <w:rPr/>
        <w:t>inflación</w:t>
      </w:r>
      <w:r>
        <w:rPr>
          <w:spacing w:val="-11"/>
        </w:rPr>
        <w:t> </w:t>
      </w:r>
      <w:r>
        <w:rPr/>
        <w:t>mundial</w:t>
      </w:r>
      <w:r>
        <w:rPr>
          <w:spacing w:val="-9"/>
        </w:rPr>
        <w:t> </w:t>
      </w:r>
      <w:r>
        <w:rPr/>
        <w:t>se</w:t>
      </w:r>
      <w:r>
        <w:rPr>
          <w:spacing w:val="-9"/>
        </w:rPr>
        <w:t> </w:t>
      </w:r>
      <w:r>
        <w:rPr/>
        <w:t>mantendrá</w:t>
      </w:r>
      <w:r>
        <w:rPr>
          <w:spacing w:val="-10"/>
        </w:rPr>
        <w:t> </w:t>
      </w:r>
      <w:r>
        <w:rPr/>
        <w:t>alta</w:t>
      </w:r>
      <w:r>
        <w:rPr>
          <w:spacing w:val="-13"/>
        </w:rPr>
        <w:t> </w:t>
      </w:r>
      <w:r>
        <w:rPr/>
        <w:t>en</w:t>
      </w:r>
      <w:r>
        <w:rPr>
          <w:spacing w:val="-12"/>
        </w:rPr>
        <w:t> </w:t>
      </w:r>
      <w:r>
        <w:rPr/>
        <w:t>2023</w:t>
      </w:r>
      <w:r>
        <w:rPr>
          <w:spacing w:val="-11"/>
        </w:rPr>
        <w:t> </w:t>
      </w:r>
      <w:r>
        <w:rPr/>
        <w:t>por</w:t>
      </w:r>
      <w:r>
        <w:rPr>
          <w:spacing w:val="-13"/>
        </w:rPr>
        <w:t> </w:t>
      </w:r>
      <w:r>
        <w:rPr/>
        <w:t>los</w:t>
      </w:r>
      <w:r>
        <w:rPr>
          <w:spacing w:val="-9"/>
        </w:rPr>
        <w:t> </w:t>
      </w:r>
      <w:r>
        <w:rPr/>
        <w:t>efectos</w:t>
      </w:r>
      <w:r>
        <w:rPr>
          <w:spacing w:val="-10"/>
        </w:rPr>
        <w:t> </w:t>
      </w:r>
      <w:r>
        <w:rPr/>
        <w:t>rezagados</w:t>
      </w:r>
      <w:r>
        <w:rPr>
          <w:spacing w:val="-10"/>
        </w:rPr>
        <w:t> </w:t>
      </w:r>
      <w:r>
        <w:rPr/>
        <w:t>de</w:t>
      </w:r>
      <w:r>
        <w:rPr>
          <w:spacing w:val="-13"/>
        </w:rPr>
        <w:t> </w:t>
      </w:r>
      <w:r>
        <w:rPr/>
        <w:t>las</w:t>
      </w:r>
      <w:r>
        <w:rPr>
          <w:spacing w:val="-12"/>
        </w:rPr>
        <w:t> </w:t>
      </w:r>
      <w:r>
        <w:rPr/>
        <w:t>cosechas de</w:t>
      </w:r>
      <w:r>
        <w:rPr>
          <w:spacing w:val="-12"/>
        </w:rPr>
        <w:t> </w:t>
      </w:r>
      <w:r>
        <w:rPr/>
        <w:t>2022,</w:t>
      </w:r>
      <w:r>
        <w:rPr>
          <w:spacing w:val="-14"/>
        </w:rPr>
        <w:t> </w:t>
      </w:r>
      <w:r>
        <w:rPr/>
        <w:t>especialmente</w:t>
      </w:r>
      <w:r>
        <w:rPr>
          <w:spacing w:val="-13"/>
        </w:rPr>
        <w:t> </w:t>
      </w:r>
      <w:r>
        <w:rPr/>
        <w:t>en</w:t>
      </w:r>
      <w:r>
        <w:rPr>
          <w:spacing w:val="-14"/>
        </w:rPr>
        <w:t> </w:t>
      </w:r>
      <w:r>
        <w:rPr/>
        <w:t>las</w:t>
      </w:r>
      <w:r>
        <w:rPr>
          <w:spacing w:val="-13"/>
        </w:rPr>
        <w:t> </w:t>
      </w:r>
      <w:r>
        <w:rPr/>
        <w:t>economías</w:t>
      </w:r>
      <w:r>
        <w:rPr>
          <w:spacing w:val="-13"/>
        </w:rPr>
        <w:t> </w:t>
      </w:r>
      <w:r>
        <w:rPr/>
        <w:t>emergentes,</w:t>
      </w:r>
      <w:r>
        <w:rPr>
          <w:spacing w:val="-13"/>
        </w:rPr>
        <w:t> </w:t>
      </w:r>
      <w:r>
        <w:rPr/>
        <w:t>posteriormente</w:t>
      </w:r>
      <w:r>
        <w:rPr>
          <w:spacing w:val="-14"/>
        </w:rPr>
        <w:t> </w:t>
      </w:r>
      <w:r>
        <w:rPr/>
        <w:t>se</w:t>
      </w:r>
      <w:r>
        <w:rPr>
          <w:spacing w:val="-12"/>
        </w:rPr>
        <w:t> </w:t>
      </w:r>
      <w:r>
        <w:rPr/>
        <w:t>espera</w:t>
      </w:r>
      <w:r>
        <w:rPr>
          <w:spacing w:val="-11"/>
        </w:rPr>
        <w:t> </w:t>
      </w:r>
      <w:r>
        <w:rPr/>
        <w:t>una</w:t>
      </w:r>
      <w:r>
        <w:rPr>
          <w:spacing w:val="-14"/>
        </w:rPr>
        <w:t> </w:t>
      </w:r>
      <w:r>
        <w:rPr/>
        <w:t>gradual</w:t>
      </w:r>
      <w:r>
        <w:rPr>
          <w:spacing w:val="-12"/>
        </w:rPr>
        <w:t> </w:t>
      </w:r>
      <w:r>
        <w:rPr/>
        <w:t>reducción de la</w:t>
      </w:r>
      <w:r>
        <w:rPr>
          <w:spacing w:val="-1"/>
        </w:rPr>
        <w:t> </w:t>
      </w:r>
      <w:r>
        <w:rPr/>
        <w:t>misma.</w:t>
      </w:r>
    </w:p>
    <w:p>
      <w:pPr>
        <w:pStyle w:val="BodyText"/>
        <w:spacing w:before="4"/>
        <w:rPr>
          <w:sz w:val="25"/>
        </w:rPr>
      </w:pPr>
    </w:p>
    <w:p>
      <w:pPr>
        <w:pStyle w:val="BodyText"/>
        <w:spacing w:line="276" w:lineRule="auto"/>
        <w:ind w:left="562" w:right="1696"/>
        <w:jc w:val="both"/>
      </w:pPr>
      <w:r>
        <w:rPr/>
        <w:t>De</w:t>
      </w:r>
      <w:r>
        <w:rPr>
          <w:spacing w:val="-6"/>
        </w:rPr>
        <w:t> </w:t>
      </w:r>
      <w:r>
        <w:rPr/>
        <w:t>igual</w:t>
      </w:r>
      <w:r>
        <w:rPr>
          <w:spacing w:val="-5"/>
        </w:rPr>
        <w:t> </w:t>
      </w:r>
      <w:r>
        <w:rPr/>
        <w:t>manera,</w:t>
      </w:r>
      <w:r>
        <w:rPr>
          <w:spacing w:val="-6"/>
        </w:rPr>
        <w:t> </w:t>
      </w:r>
      <w:r>
        <w:rPr/>
        <w:t>se</w:t>
      </w:r>
      <w:r>
        <w:rPr>
          <w:spacing w:val="-6"/>
        </w:rPr>
        <w:t> </w:t>
      </w:r>
      <w:r>
        <w:rPr/>
        <w:t>espera</w:t>
      </w:r>
      <w:r>
        <w:rPr>
          <w:spacing w:val="-8"/>
        </w:rPr>
        <w:t> </w:t>
      </w:r>
      <w:r>
        <w:rPr/>
        <w:t>en</w:t>
      </w:r>
      <w:r>
        <w:rPr>
          <w:spacing w:val="-5"/>
        </w:rPr>
        <w:t> </w:t>
      </w:r>
      <w:r>
        <w:rPr/>
        <w:t>el</w:t>
      </w:r>
      <w:r>
        <w:rPr>
          <w:spacing w:val="-3"/>
        </w:rPr>
        <w:t> </w:t>
      </w:r>
      <w:r>
        <w:rPr/>
        <w:t>2023</w:t>
      </w:r>
      <w:r>
        <w:rPr>
          <w:spacing w:val="-6"/>
        </w:rPr>
        <w:t> </w:t>
      </w:r>
      <w:r>
        <w:rPr/>
        <w:t>que</w:t>
      </w:r>
      <w:r>
        <w:rPr>
          <w:spacing w:val="-6"/>
        </w:rPr>
        <w:t> </w:t>
      </w:r>
      <w:r>
        <w:rPr/>
        <w:t>la</w:t>
      </w:r>
      <w:r>
        <w:rPr>
          <w:spacing w:val="-6"/>
        </w:rPr>
        <w:t> </w:t>
      </w:r>
      <w:r>
        <w:rPr/>
        <w:t>economía</w:t>
      </w:r>
      <w:r>
        <w:rPr>
          <w:spacing w:val="-6"/>
        </w:rPr>
        <w:t> </w:t>
      </w:r>
      <w:r>
        <w:rPr/>
        <w:t>nacional</w:t>
      </w:r>
      <w:r>
        <w:rPr>
          <w:spacing w:val="-5"/>
        </w:rPr>
        <w:t> </w:t>
      </w:r>
      <w:r>
        <w:rPr/>
        <w:t>siga</w:t>
      </w:r>
      <w:r>
        <w:rPr>
          <w:spacing w:val="-6"/>
        </w:rPr>
        <w:t> </w:t>
      </w:r>
      <w:r>
        <w:rPr/>
        <w:t>en</w:t>
      </w:r>
      <w:r>
        <w:rPr>
          <w:spacing w:val="-6"/>
        </w:rPr>
        <w:t> </w:t>
      </w:r>
      <w:r>
        <w:rPr/>
        <w:t>recuperación</w:t>
      </w:r>
      <w:r>
        <w:rPr>
          <w:spacing w:val="-5"/>
        </w:rPr>
        <w:t> </w:t>
      </w:r>
      <w:r>
        <w:rPr/>
        <w:t>como</w:t>
      </w:r>
      <w:r>
        <w:rPr>
          <w:spacing w:val="-6"/>
        </w:rPr>
        <w:t> </w:t>
      </w:r>
      <w:r>
        <w:rPr/>
        <w:t>resultado de la mejora de la demanda interna y externa. También se espera un crecimiento positivo de las principales actividades económicas según su participación, como lo son la industria manufacturera, el</w:t>
      </w:r>
      <w:r>
        <w:rPr>
          <w:spacing w:val="-7"/>
        </w:rPr>
        <w:t> </w:t>
      </w:r>
      <w:r>
        <w:rPr/>
        <w:t>comercio,</w:t>
      </w:r>
      <w:r>
        <w:rPr>
          <w:spacing w:val="-9"/>
        </w:rPr>
        <w:t> </w:t>
      </w:r>
      <w:r>
        <w:rPr/>
        <w:t>mantenimiento</w:t>
      </w:r>
      <w:r>
        <w:rPr>
          <w:spacing w:val="-9"/>
        </w:rPr>
        <w:t> </w:t>
      </w:r>
      <w:r>
        <w:rPr/>
        <w:t>y</w:t>
      </w:r>
      <w:r>
        <w:rPr>
          <w:spacing w:val="-9"/>
        </w:rPr>
        <w:t> </w:t>
      </w:r>
      <w:r>
        <w:rPr/>
        <w:t>reparación</w:t>
      </w:r>
      <w:r>
        <w:rPr>
          <w:spacing w:val="-9"/>
        </w:rPr>
        <w:t> </w:t>
      </w:r>
      <w:r>
        <w:rPr/>
        <w:t>de</w:t>
      </w:r>
      <w:r>
        <w:rPr>
          <w:spacing w:val="-7"/>
        </w:rPr>
        <w:t> </w:t>
      </w:r>
      <w:r>
        <w:rPr/>
        <w:t>vehículos;</w:t>
      </w:r>
      <w:r>
        <w:rPr>
          <w:spacing w:val="-8"/>
        </w:rPr>
        <w:t> </w:t>
      </w:r>
      <w:r>
        <w:rPr/>
        <w:t>entre</w:t>
      </w:r>
      <w:r>
        <w:rPr>
          <w:spacing w:val="-6"/>
        </w:rPr>
        <w:t> </w:t>
      </w:r>
      <w:r>
        <w:rPr/>
        <w:t>otras.</w:t>
      </w:r>
      <w:r>
        <w:rPr>
          <w:spacing w:val="-9"/>
        </w:rPr>
        <w:t> </w:t>
      </w:r>
      <w:r>
        <w:rPr/>
        <w:t>Las</w:t>
      </w:r>
      <w:r>
        <w:rPr>
          <w:spacing w:val="-8"/>
        </w:rPr>
        <w:t> </w:t>
      </w:r>
      <w:r>
        <w:rPr/>
        <w:t>expectativas</w:t>
      </w:r>
      <w:r>
        <w:rPr>
          <w:spacing w:val="-4"/>
        </w:rPr>
        <w:t> </w:t>
      </w:r>
      <w:r>
        <w:rPr/>
        <w:t>de</w:t>
      </w:r>
      <w:r>
        <w:rPr>
          <w:spacing w:val="-8"/>
        </w:rPr>
        <w:t> </w:t>
      </w:r>
      <w:r>
        <w:rPr/>
        <w:t>inflación</w:t>
      </w:r>
      <w:r>
        <w:rPr>
          <w:spacing w:val="-9"/>
        </w:rPr>
        <w:t> </w:t>
      </w:r>
      <w:r>
        <w:rPr/>
        <w:t>para el</w:t>
      </w:r>
      <w:r>
        <w:rPr>
          <w:spacing w:val="-8"/>
        </w:rPr>
        <w:t> </w:t>
      </w:r>
      <w:r>
        <w:rPr/>
        <w:t>2023</w:t>
      </w:r>
      <w:r>
        <w:rPr>
          <w:spacing w:val="-9"/>
        </w:rPr>
        <w:t> </w:t>
      </w:r>
      <w:r>
        <w:rPr/>
        <w:t>se</w:t>
      </w:r>
      <w:r>
        <w:rPr>
          <w:spacing w:val="-8"/>
        </w:rPr>
        <w:t> </w:t>
      </w:r>
      <w:r>
        <w:rPr/>
        <w:t>mantienen</w:t>
      </w:r>
      <w:r>
        <w:rPr>
          <w:spacing w:val="-10"/>
        </w:rPr>
        <w:t> </w:t>
      </w:r>
      <w:r>
        <w:rPr/>
        <w:t>ancladas</w:t>
      </w:r>
      <w:r>
        <w:rPr>
          <w:spacing w:val="-8"/>
        </w:rPr>
        <w:t> </w:t>
      </w:r>
      <w:r>
        <w:rPr/>
        <w:t>en</w:t>
      </w:r>
      <w:r>
        <w:rPr>
          <w:spacing w:val="-9"/>
        </w:rPr>
        <w:t> </w:t>
      </w:r>
      <w:r>
        <w:rPr/>
        <w:t>el</w:t>
      </w:r>
      <w:r>
        <w:rPr>
          <w:spacing w:val="-8"/>
        </w:rPr>
        <w:t> </w:t>
      </w:r>
      <w:r>
        <w:rPr/>
        <w:t>margen</w:t>
      </w:r>
      <w:r>
        <w:rPr>
          <w:spacing w:val="-8"/>
        </w:rPr>
        <w:t> </w:t>
      </w:r>
      <w:r>
        <w:rPr/>
        <w:t>de</w:t>
      </w:r>
      <w:r>
        <w:rPr>
          <w:spacing w:val="-11"/>
        </w:rPr>
        <w:t> </w:t>
      </w:r>
      <w:r>
        <w:rPr/>
        <w:t>tolerancia</w:t>
      </w:r>
      <w:r>
        <w:rPr>
          <w:spacing w:val="-10"/>
        </w:rPr>
        <w:t> </w:t>
      </w:r>
      <w:r>
        <w:rPr/>
        <w:t>de</w:t>
      </w:r>
      <w:r>
        <w:rPr>
          <w:spacing w:val="-11"/>
        </w:rPr>
        <w:t> </w:t>
      </w:r>
      <w:r>
        <w:rPr/>
        <w:t>la</w:t>
      </w:r>
      <w:r>
        <w:rPr>
          <w:spacing w:val="-8"/>
        </w:rPr>
        <w:t> </w:t>
      </w:r>
      <w:r>
        <w:rPr/>
        <w:t>meta</w:t>
      </w:r>
      <w:r>
        <w:rPr>
          <w:spacing w:val="-8"/>
        </w:rPr>
        <w:t> </w:t>
      </w:r>
      <w:r>
        <w:rPr/>
        <w:t>de</w:t>
      </w:r>
      <w:r>
        <w:rPr>
          <w:spacing w:val="-10"/>
        </w:rPr>
        <w:t> </w:t>
      </w:r>
      <w:r>
        <w:rPr/>
        <w:t>inflación,</w:t>
      </w:r>
      <w:r>
        <w:rPr>
          <w:spacing w:val="-13"/>
        </w:rPr>
        <w:t> </w:t>
      </w:r>
      <w:r>
        <w:rPr/>
        <w:t>pero</w:t>
      </w:r>
      <w:r>
        <w:rPr>
          <w:spacing w:val="-11"/>
        </w:rPr>
        <w:t> </w:t>
      </w:r>
      <w:r>
        <w:rPr/>
        <w:t>existen</w:t>
      </w:r>
      <w:r>
        <w:rPr>
          <w:spacing w:val="-8"/>
        </w:rPr>
        <w:t> </w:t>
      </w:r>
      <w:r>
        <w:rPr/>
        <w:t>riesgos al alza entre los cuales destaca los choques de oferta por el aumento de las materias primas internacionales de energía y</w:t>
      </w:r>
      <w:r>
        <w:rPr>
          <w:spacing w:val="-6"/>
        </w:rPr>
        <w:t> </w:t>
      </w:r>
      <w:r>
        <w:rPr/>
        <w:t>agricultura.</w:t>
      </w:r>
    </w:p>
    <w:p>
      <w:pPr>
        <w:spacing w:after="0" w:line="276" w:lineRule="auto"/>
        <w:jc w:val="both"/>
        <w:sectPr>
          <w:pgSz w:w="12240" w:h="15840"/>
          <w:pgMar w:header="715" w:footer="957" w:top="1240" w:bottom="1140" w:left="1140" w:right="0"/>
        </w:sectPr>
      </w:pPr>
    </w:p>
    <w:p>
      <w:pPr>
        <w:pStyle w:val="Heading2"/>
        <w:numPr>
          <w:ilvl w:val="1"/>
          <w:numId w:val="11"/>
        </w:numPr>
        <w:tabs>
          <w:tab w:pos="420" w:val="left" w:leader="none"/>
        </w:tabs>
        <w:spacing w:line="240" w:lineRule="auto" w:before="167" w:after="0"/>
        <w:ind w:left="1330" w:right="6776" w:hanging="1330"/>
        <w:jc w:val="right"/>
      </w:pPr>
      <w:bookmarkStart w:name="_bookmark99" w:id="123"/>
      <w:bookmarkEnd w:id="123"/>
      <w:r>
        <w:rPr/>
        <w:t>Su</w:t>
      </w:r>
      <w:r>
        <w:rPr/>
        <w:t>puestos</w:t>
      </w:r>
      <w:r>
        <w:rPr>
          <w:spacing w:val="-12"/>
        </w:rPr>
        <w:t> </w:t>
      </w:r>
      <w:r>
        <w:rPr/>
        <w:t>macroeconómicos:</w:t>
      </w:r>
    </w:p>
    <w:p>
      <w:pPr>
        <w:pStyle w:val="BodyText"/>
        <w:spacing w:before="6"/>
        <w:rPr>
          <w:b/>
          <w:sz w:val="30"/>
        </w:rPr>
      </w:pPr>
    </w:p>
    <w:p>
      <w:pPr>
        <w:pStyle w:val="Heading2"/>
        <w:numPr>
          <w:ilvl w:val="2"/>
          <w:numId w:val="11"/>
        </w:numPr>
        <w:tabs>
          <w:tab w:pos="719" w:val="left" w:leader="none"/>
          <w:tab w:pos="720" w:val="left" w:leader="none"/>
        </w:tabs>
        <w:spacing w:line="240" w:lineRule="auto" w:before="0" w:after="0"/>
        <w:ind w:left="1980" w:right="6766" w:hanging="1981"/>
        <w:jc w:val="right"/>
      </w:pPr>
      <w:bookmarkStart w:name="_bookmark100" w:id="124"/>
      <w:bookmarkEnd w:id="124"/>
      <w:r>
        <w:rPr/>
        <w:t>Cont</w:t>
      </w:r>
      <w:r>
        <w:rPr/>
        <w:t>exto</w:t>
      </w:r>
      <w:r>
        <w:rPr>
          <w:spacing w:val="-9"/>
        </w:rPr>
        <w:t> </w:t>
      </w:r>
      <w:r>
        <w:rPr/>
        <w:t>internacional</w:t>
      </w:r>
    </w:p>
    <w:p>
      <w:pPr>
        <w:pStyle w:val="BodyText"/>
        <w:rPr>
          <w:b/>
          <w:sz w:val="30"/>
        </w:rPr>
      </w:pPr>
    </w:p>
    <w:p>
      <w:pPr>
        <w:pStyle w:val="BodyText"/>
        <w:spacing w:line="276" w:lineRule="auto"/>
        <w:ind w:left="562" w:right="1699"/>
        <w:jc w:val="both"/>
      </w:pPr>
      <w:r>
        <w:rPr/>
        <w:t>Según las proyecciones del Fondo Monetario internacional el crecimiento económico mundial se ubicará en 3.6% para 2023 y se reduciría levemente hasta tener un crecimiento de 3.3% en 2027. En general</w:t>
      </w:r>
      <w:r>
        <w:rPr>
          <w:spacing w:val="-6"/>
        </w:rPr>
        <w:t> </w:t>
      </w:r>
      <w:r>
        <w:rPr/>
        <w:t>se</w:t>
      </w:r>
      <w:r>
        <w:rPr>
          <w:spacing w:val="-6"/>
        </w:rPr>
        <w:t> </w:t>
      </w:r>
      <w:r>
        <w:rPr/>
        <w:t>espera</w:t>
      </w:r>
      <w:r>
        <w:rPr>
          <w:spacing w:val="-6"/>
        </w:rPr>
        <w:t> </w:t>
      </w:r>
      <w:r>
        <w:rPr/>
        <w:t>que</w:t>
      </w:r>
      <w:r>
        <w:rPr>
          <w:spacing w:val="-6"/>
        </w:rPr>
        <w:t> </w:t>
      </w:r>
      <w:r>
        <w:rPr/>
        <w:t>el</w:t>
      </w:r>
      <w:r>
        <w:rPr>
          <w:spacing w:val="-5"/>
        </w:rPr>
        <w:t> </w:t>
      </w:r>
      <w:r>
        <w:rPr/>
        <w:t>empleo</w:t>
      </w:r>
      <w:r>
        <w:rPr>
          <w:spacing w:val="-6"/>
        </w:rPr>
        <w:t> </w:t>
      </w:r>
      <w:r>
        <w:rPr/>
        <w:t>y</w:t>
      </w:r>
      <w:r>
        <w:rPr>
          <w:spacing w:val="-9"/>
        </w:rPr>
        <w:t> </w:t>
      </w:r>
      <w:r>
        <w:rPr/>
        <w:t>la</w:t>
      </w:r>
      <w:r>
        <w:rPr>
          <w:spacing w:val="-6"/>
        </w:rPr>
        <w:t> </w:t>
      </w:r>
      <w:r>
        <w:rPr/>
        <w:t>producción</w:t>
      </w:r>
      <w:r>
        <w:rPr>
          <w:spacing w:val="-9"/>
        </w:rPr>
        <w:t> </w:t>
      </w:r>
      <w:r>
        <w:rPr/>
        <w:t>se</w:t>
      </w:r>
      <w:r>
        <w:rPr>
          <w:spacing w:val="-6"/>
        </w:rPr>
        <w:t> </w:t>
      </w:r>
      <w:r>
        <w:rPr/>
        <w:t>mantengan</w:t>
      </w:r>
      <w:r>
        <w:rPr>
          <w:spacing w:val="-6"/>
        </w:rPr>
        <w:t> </w:t>
      </w:r>
      <w:r>
        <w:rPr/>
        <w:t>por</w:t>
      </w:r>
      <w:r>
        <w:rPr>
          <w:spacing w:val="-2"/>
        </w:rPr>
        <w:t> </w:t>
      </w:r>
      <w:r>
        <w:rPr/>
        <w:t>debajo</w:t>
      </w:r>
      <w:r>
        <w:rPr>
          <w:spacing w:val="-6"/>
        </w:rPr>
        <w:t> </w:t>
      </w:r>
      <w:r>
        <w:rPr/>
        <w:t>de</w:t>
      </w:r>
      <w:r>
        <w:rPr>
          <w:spacing w:val="-8"/>
        </w:rPr>
        <w:t> </w:t>
      </w:r>
      <w:r>
        <w:rPr/>
        <w:t>los</w:t>
      </w:r>
      <w:r>
        <w:rPr>
          <w:spacing w:val="-5"/>
        </w:rPr>
        <w:t> </w:t>
      </w:r>
      <w:r>
        <w:rPr/>
        <w:t>niveles</w:t>
      </w:r>
      <w:r>
        <w:rPr>
          <w:spacing w:val="-5"/>
        </w:rPr>
        <w:t> </w:t>
      </w:r>
      <w:r>
        <w:rPr/>
        <w:t>prepandemia hasta 2026. Asimismo, se espera que la cicatrización en la economía de los efectos en la pandemia sea más lenta en las economías emergentes y en desarrollo dado que el apoyo político y vacunación es menor en estos países en comparación a las economías</w:t>
      </w:r>
      <w:r>
        <w:rPr>
          <w:spacing w:val="-8"/>
        </w:rPr>
        <w:t> </w:t>
      </w:r>
      <w:r>
        <w:rPr/>
        <w:t>avanzadas.</w:t>
      </w:r>
    </w:p>
    <w:p>
      <w:pPr>
        <w:pStyle w:val="BodyText"/>
        <w:spacing w:before="2"/>
        <w:rPr>
          <w:sz w:val="25"/>
        </w:rPr>
      </w:pPr>
    </w:p>
    <w:p>
      <w:pPr>
        <w:pStyle w:val="BodyText"/>
        <w:spacing w:line="276" w:lineRule="auto"/>
        <w:ind w:left="562" w:right="1701"/>
        <w:jc w:val="both"/>
      </w:pPr>
      <w:r>
        <w:rPr/>
        <w:t>Existen riesgos a la baja de estos pronósticos por un empeoramiento de la guerra y una escalada de sanciones sobre Rusia y una desaceleración de China por los confinamientos para disminuir la propagación de la variante Ómicron, así como el surgimiento de otras cepas. Asimismo, existen riesgos a nuevas tensiones sociales por el constante incremento de alimentos y energía por arriba de las actuales perspectivas.</w:t>
      </w:r>
    </w:p>
    <w:p>
      <w:pPr>
        <w:pStyle w:val="BodyText"/>
        <w:spacing w:before="6"/>
        <w:rPr>
          <w:sz w:val="25"/>
        </w:rPr>
      </w:pPr>
    </w:p>
    <w:p>
      <w:pPr>
        <w:pStyle w:val="BodyText"/>
        <w:spacing w:line="276" w:lineRule="auto"/>
        <w:ind w:left="562" w:right="1697"/>
        <w:jc w:val="both"/>
      </w:pPr>
      <w:r>
        <w:rPr/>
        <w:t>Para las economías avanzadas se espera que su crecimiento se ralentice a 2.4% en 2023 y disminuya a 1.6% para 2027, convergiendo al bajo crecimiento característico de este tipo de economías. Para Estados</w:t>
      </w:r>
      <w:r>
        <w:rPr>
          <w:spacing w:val="-4"/>
        </w:rPr>
        <w:t> </w:t>
      </w:r>
      <w:r>
        <w:rPr/>
        <w:t>Unidos</w:t>
      </w:r>
      <w:r>
        <w:rPr>
          <w:spacing w:val="-3"/>
        </w:rPr>
        <w:t> </w:t>
      </w:r>
      <w:r>
        <w:rPr/>
        <w:t>que</w:t>
      </w:r>
      <w:r>
        <w:rPr>
          <w:spacing w:val="-4"/>
        </w:rPr>
        <w:t> </w:t>
      </w:r>
      <w:r>
        <w:rPr/>
        <w:t>es</w:t>
      </w:r>
      <w:r>
        <w:rPr>
          <w:spacing w:val="-5"/>
        </w:rPr>
        <w:t> </w:t>
      </w:r>
      <w:r>
        <w:rPr/>
        <w:t>el</w:t>
      </w:r>
      <w:r>
        <w:rPr>
          <w:spacing w:val="-5"/>
        </w:rPr>
        <w:t> </w:t>
      </w:r>
      <w:r>
        <w:rPr/>
        <w:t>principal</w:t>
      </w:r>
      <w:r>
        <w:rPr>
          <w:spacing w:val="-3"/>
        </w:rPr>
        <w:t> </w:t>
      </w:r>
      <w:r>
        <w:rPr/>
        <w:t>socio</w:t>
      </w:r>
      <w:r>
        <w:rPr>
          <w:spacing w:val="-7"/>
        </w:rPr>
        <w:t> </w:t>
      </w:r>
      <w:r>
        <w:rPr/>
        <w:t>comercial</w:t>
      </w:r>
      <w:r>
        <w:rPr>
          <w:spacing w:val="-3"/>
        </w:rPr>
        <w:t> </w:t>
      </w:r>
      <w:r>
        <w:rPr/>
        <w:t>se</w:t>
      </w:r>
      <w:r>
        <w:rPr>
          <w:spacing w:val="-3"/>
        </w:rPr>
        <w:t> </w:t>
      </w:r>
      <w:r>
        <w:rPr/>
        <w:t>espera</w:t>
      </w:r>
      <w:r>
        <w:rPr>
          <w:spacing w:val="-4"/>
        </w:rPr>
        <w:t> </w:t>
      </w:r>
      <w:r>
        <w:rPr/>
        <w:t>que</w:t>
      </w:r>
      <w:r>
        <w:rPr>
          <w:spacing w:val="-6"/>
        </w:rPr>
        <w:t> </w:t>
      </w:r>
      <w:r>
        <w:rPr/>
        <w:t>su</w:t>
      </w:r>
      <w:r>
        <w:rPr>
          <w:spacing w:val="-3"/>
        </w:rPr>
        <w:t> </w:t>
      </w:r>
      <w:r>
        <w:rPr/>
        <w:t>crecimiento</w:t>
      </w:r>
      <w:r>
        <w:rPr>
          <w:spacing w:val="-7"/>
        </w:rPr>
        <w:t> </w:t>
      </w:r>
      <w:r>
        <w:rPr/>
        <w:t>alrededor</w:t>
      </w:r>
      <w:r>
        <w:rPr>
          <w:spacing w:val="-3"/>
        </w:rPr>
        <w:t> </w:t>
      </w:r>
      <w:r>
        <w:rPr/>
        <w:t>de</w:t>
      </w:r>
      <w:r>
        <w:rPr>
          <w:spacing w:val="-3"/>
        </w:rPr>
        <w:t> </w:t>
      </w:r>
      <w:r>
        <w:rPr/>
        <w:t>2.3%</w:t>
      </w:r>
      <w:r>
        <w:rPr>
          <w:spacing w:val="-4"/>
        </w:rPr>
        <w:t> </w:t>
      </w:r>
      <w:r>
        <w:rPr/>
        <w:t>y que</w:t>
      </w:r>
      <w:r>
        <w:rPr>
          <w:spacing w:val="-9"/>
        </w:rPr>
        <w:t> </w:t>
      </w:r>
      <w:r>
        <w:rPr/>
        <w:t>para</w:t>
      </w:r>
      <w:r>
        <w:rPr>
          <w:spacing w:val="-8"/>
        </w:rPr>
        <w:t> </w:t>
      </w:r>
      <w:r>
        <w:rPr/>
        <w:t>2027</w:t>
      </w:r>
      <w:r>
        <w:rPr>
          <w:spacing w:val="-8"/>
        </w:rPr>
        <w:t> </w:t>
      </w:r>
      <w:r>
        <w:rPr/>
        <w:t>se</w:t>
      </w:r>
      <w:r>
        <w:rPr>
          <w:spacing w:val="-8"/>
        </w:rPr>
        <w:t> </w:t>
      </w:r>
      <w:r>
        <w:rPr/>
        <w:t>encuentre</w:t>
      </w:r>
      <w:r>
        <w:rPr>
          <w:spacing w:val="-10"/>
        </w:rPr>
        <w:t> </w:t>
      </w:r>
      <w:r>
        <w:rPr/>
        <w:t>en</w:t>
      </w:r>
      <w:r>
        <w:rPr>
          <w:spacing w:val="-8"/>
        </w:rPr>
        <w:t> </w:t>
      </w:r>
      <w:r>
        <w:rPr/>
        <w:t>1.7%.</w:t>
      </w:r>
      <w:r>
        <w:rPr>
          <w:spacing w:val="-9"/>
        </w:rPr>
        <w:t> </w:t>
      </w:r>
      <w:r>
        <w:rPr/>
        <w:t>Para</w:t>
      </w:r>
      <w:r>
        <w:rPr>
          <w:spacing w:val="-10"/>
        </w:rPr>
        <w:t> </w:t>
      </w:r>
      <w:r>
        <w:rPr/>
        <w:t>la</w:t>
      </w:r>
      <w:r>
        <w:rPr>
          <w:spacing w:val="-8"/>
        </w:rPr>
        <w:t> </w:t>
      </w:r>
      <w:r>
        <w:rPr/>
        <w:t>zona</w:t>
      </w:r>
      <w:r>
        <w:rPr>
          <w:spacing w:val="-11"/>
        </w:rPr>
        <w:t> </w:t>
      </w:r>
      <w:r>
        <w:rPr/>
        <w:t>del</w:t>
      </w:r>
      <w:r>
        <w:rPr>
          <w:spacing w:val="-10"/>
        </w:rPr>
        <w:t> </w:t>
      </w:r>
      <w:r>
        <w:rPr/>
        <w:t>euro</w:t>
      </w:r>
      <w:r>
        <w:rPr>
          <w:spacing w:val="-9"/>
        </w:rPr>
        <w:t> </w:t>
      </w:r>
      <w:r>
        <w:rPr/>
        <w:t>se</w:t>
      </w:r>
      <w:r>
        <w:rPr>
          <w:spacing w:val="-10"/>
        </w:rPr>
        <w:t> </w:t>
      </w:r>
      <w:r>
        <w:rPr/>
        <w:t>prevé</w:t>
      </w:r>
      <w:r>
        <w:rPr>
          <w:spacing w:val="-8"/>
        </w:rPr>
        <w:t> </w:t>
      </w:r>
      <w:r>
        <w:rPr/>
        <w:t>un</w:t>
      </w:r>
      <w:r>
        <w:rPr>
          <w:spacing w:val="-9"/>
        </w:rPr>
        <w:t> </w:t>
      </w:r>
      <w:r>
        <w:rPr/>
        <w:t>crecimiento</w:t>
      </w:r>
      <w:r>
        <w:rPr>
          <w:spacing w:val="-11"/>
        </w:rPr>
        <w:t> </w:t>
      </w:r>
      <w:r>
        <w:rPr/>
        <w:t>de</w:t>
      </w:r>
      <w:r>
        <w:rPr>
          <w:spacing w:val="-8"/>
        </w:rPr>
        <w:t> </w:t>
      </w:r>
      <w:r>
        <w:rPr/>
        <w:t>2.3%</w:t>
      </w:r>
      <w:r>
        <w:rPr>
          <w:spacing w:val="-8"/>
        </w:rPr>
        <w:t> </w:t>
      </w:r>
      <w:r>
        <w:rPr/>
        <w:t>para</w:t>
      </w:r>
      <w:r>
        <w:rPr>
          <w:spacing w:val="-8"/>
        </w:rPr>
        <w:t> </w:t>
      </w:r>
      <w:r>
        <w:rPr/>
        <w:t>2023 y un crecimiento de 1.3%, mientras que se espera Alemania e Italia no tengan graves repercusiones dado que sus sectores de manufactura por las continuas disrupciones en las cadenas de suministro y por su dependencia de importaciones de materias prima de energía de</w:t>
      </w:r>
      <w:r>
        <w:rPr>
          <w:spacing w:val="-12"/>
        </w:rPr>
        <w:t> </w:t>
      </w:r>
      <w:r>
        <w:rPr/>
        <w:t>Rusia.</w:t>
      </w:r>
    </w:p>
    <w:p>
      <w:pPr>
        <w:pStyle w:val="BodyText"/>
        <w:spacing w:before="2"/>
        <w:rPr>
          <w:sz w:val="25"/>
        </w:rPr>
      </w:pPr>
    </w:p>
    <w:p>
      <w:pPr>
        <w:pStyle w:val="BodyText"/>
        <w:spacing w:line="276" w:lineRule="auto"/>
        <w:ind w:left="562" w:right="1696"/>
        <w:jc w:val="both"/>
      </w:pPr>
      <w:r>
        <w:rPr/>
        <w:t>En</w:t>
      </w:r>
      <w:r>
        <w:rPr>
          <w:spacing w:val="-7"/>
        </w:rPr>
        <w:t> </w:t>
      </w:r>
      <w:r>
        <w:rPr/>
        <w:t>lo</w:t>
      </w:r>
      <w:r>
        <w:rPr>
          <w:spacing w:val="-8"/>
        </w:rPr>
        <w:t> </w:t>
      </w:r>
      <w:r>
        <w:rPr/>
        <w:t>que</w:t>
      </w:r>
      <w:r>
        <w:rPr>
          <w:spacing w:val="-8"/>
        </w:rPr>
        <w:t> </w:t>
      </w:r>
      <w:r>
        <w:rPr/>
        <w:t>respecta</w:t>
      </w:r>
      <w:r>
        <w:rPr>
          <w:spacing w:val="-7"/>
        </w:rPr>
        <w:t> </w:t>
      </w:r>
      <w:r>
        <w:rPr/>
        <w:t>a</w:t>
      </w:r>
      <w:r>
        <w:rPr>
          <w:spacing w:val="-8"/>
        </w:rPr>
        <w:t> </w:t>
      </w:r>
      <w:r>
        <w:rPr/>
        <w:t>las</w:t>
      </w:r>
      <w:r>
        <w:rPr>
          <w:spacing w:val="-7"/>
        </w:rPr>
        <w:t> </w:t>
      </w:r>
      <w:r>
        <w:rPr/>
        <w:t>economías</w:t>
      </w:r>
      <w:r>
        <w:rPr>
          <w:spacing w:val="-5"/>
        </w:rPr>
        <w:t> </w:t>
      </w:r>
      <w:r>
        <w:rPr/>
        <w:t>emergentes</w:t>
      </w:r>
      <w:r>
        <w:rPr>
          <w:spacing w:val="-8"/>
        </w:rPr>
        <w:t> </w:t>
      </w:r>
      <w:r>
        <w:rPr/>
        <w:t>se</w:t>
      </w:r>
      <w:r>
        <w:rPr>
          <w:spacing w:val="-7"/>
        </w:rPr>
        <w:t> </w:t>
      </w:r>
      <w:r>
        <w:rPr/>
        <w:t>proyecta</w:t>
      </w:r>
      <w:r>
        <w:rPr>
          <w:spacing w:val="-8"/>
        </w:rPr>
        <w:t> </w:t>
      </w:r>
      <w:r>
        <w:rPr/>
        <w:t>que</w:t>
      </w:r>
      <w:r>
        <w:rPr>
          <w:spacing w:val="-7"/>
        </w:rPr>
        <w:t> </w:t>
      </w:r>
      <w:r>
        <w:rPr/>
        <w:t>su</w:t>
      </w:r>
      <w:r>
        <w:rPr>
          <w:spacing w:val="-8"/>
        </w:rPr>
        <w:t> </w:t>
      </w:r>
      <w:r>
        <w:rPr/>
        <w:t>crecimiento</w:t>
      </w:r>
      <w:r>
        <w:rPr>
          <w:spacing w:val="-8"/>
        </w:rPr>
        <w:t> </w:t>
      </w:r>
      <w:r>
        <w:rPr/>
        <w:t>sea</w:t>
      </w:r>
      <w:r>
        <w:rPr>
          <w:spacing w:val="-10"/>
        </w:rPr>
        <w:t> </w:t>
      </w:r>
      <w:r>
        <w:rPr/>
        <w:t>de</w:t>
      </w:r>
      <w:r>
        <w:rPr>
          <w:spacing w:val="-6"/>
        </w:rPr>
        <w:t> </w:t>
      </w:r>
      <w:r>
        <w:rPr/>
        <w:t>4.4%</w:t>
      </w:r>
      <w:r>
        <w:rPr>
          <w:spacing w:val="-5"/>
        </w:rPr>
        <w:t> </w:t>
      </w:r>
      <w:r>
        <w:rPr/>
        <w:t>para</w:t>
      </w:r>
      <w:r>
        <w:rPr>
          <w:spacing w:val="-7"/>
        </w:rPr>
        <w:t> </w:t>
      </w:r>
      <w:r>
        <w:rPr/>
        <w:t>2023 y se mantenga alrededor de ese nivel hasta el 2027. En particular, para Latinoamérica también se prevé un crecimiento leve y estable cercano al 2.5% en el mediano plazo, siendo consistente con un endurecimiento</w:t>
      </w:r>
      <w:r>
        <w:rPr>
          <w:spacing w:val="-14"/>
        </w:rPr>
        <w:t> </w:t>
      </w:r>
      <w:r>
        <w:rPr/>
        <w:t>de</w:t>
      </w:r>
      <w:r>
        <w:rPr>
          <w:spacing w:val="-14"/>
        </w:rPr>
        <w:t> </w:t>
      </w:r>
      <w:r>
        <w:rPr/>
        <w:t>la</w:t>
      </w:r>
      <w:r>
        <w:rPr>
          <w:spacing w:val="-13"/>
        </w:rPr>
        <w:t> </w:t>
      </w:r>
      <w:r>
        <w:rPr/>
        <w:t>política</w:t>
      </w:r>
      <w:r>
        <w:rPr>
          <w:spacing w:val="-14"/>
        </w:rPr>
        <w:t> </w:t>
      </w:r>
      <w:r>
        <w:rPr/>
        <w:t>fiscal</w:t>
      </w:r>
      <w:r>
        <w:rPr>
          <w:spacing w:val="-13"/>
        </w:rPr>
        <w:t> </w:t>
      </w:r>
      <w:r>
        <w:rPr/>
        <w:t>y</w:t>
      </w:r>
      <w:r>
        <w:rPr>
          <w:spacing w:val="-13"/>
        </w:rPr>
        <w:t> </w:t>
      </w:r>
      <w:r>
        <w:rPr/>
        <w:t>monetaria,</w:t>
      </w:r>
      <w:r>
        <w:rPr>
          <w:spacing w:val="-14"/>
        </w:rPr>
        <w:t> </w:t>
      </w:r>
      <w:r>
        <w:rPr/>
        <w:t>además</w:t>
      </w:r>
      <w:r>
        <w:rPr>
          <w:spacing w:val="-13"/>
        </w:rPr>
        <w:t> </w:t>
      </w:r>
      <w:r>
        <w:rPr/>
        <w:t>de</w:t>
      </w:r>
      <w:r>
        <w:rPr>
          <w:spacing w:val="-14"/>
        </w:rPr>
        <w:t> </w:t>
      </w:r>
      <w:r>
        <w:rPr/>
        <w:t>una</w:t>
      </w:r>
      <w:r>
        <w:rPr>
          <w:spacing w:val="-14"/>
        </w:rPr>
        <w:t> </w:t>
      </w:r>
      <w:r>
        <w:rPr/>
        <w:t>lenta</w:t>
      </w:r>
      <w:r>
        <w:rPr>
          <w:spacing w:val="-15"/>
        </w:rPr>
        <w:t> </w:t>
      </w:r>
      <w:r>
        <w:rPr/>
        <w:t>reintegración</w:t>
      </w:r>
      <w:r>
        <w:rPr>
          <w:spacing w:val="-14"/>
        </w:rPr>
        <w:t> </w:t>
      </w:r>
      <w:r>
        <w:rPr/>
        <w:t>de</w:t>
      </w:r>
      <w:r>
        <w:rPr>
          <w:spacing w:val="-14"/>
        </w:rPr>
        <w:t> </w:t>
      </w:r>
      <w:r>
        <w:rPr/>
        <w:t>los</w:t>
      </w:r>
      <w:r>
        <w:rPr>
          <w:spacing w:val="-15"/>
        </w:rPr>
        <w:t> </w:t>
      </w:r>
      <w:r>
        <w:rPr/>
        <w:t>trabajadores al mercado laboral, además de un suavizamiento de la demanda externa al desacelerarse el crecimiento</w:t>
      </w:r>
      <w:r>
        <w:rPr>
          <w:spacing w:val="-17"/>
        </w:rPr>
        <w:t> </w:t>
      </w:r>
      <w:r>
        <w:rPr/>
        <w:t>de</w:t>
      </w:r>
      <w:r>
        <w:rPr>
          <w:spacing w:val="-15"/>
        </w:rPr>
        <w:t> </w:t>
      </w:r>
      <w:r>
        <w:rPr/>
        <w:t>las</w:t>
      </w:r>
      <w:r>
        <w:rPr>
          <w:spacing w:val="-15"/>
        </w:rPr>
        <w:t> </w:t>
      </w:r>
      <w:r>
        <w:rPr/>
        <w:t>economías</w:t>
      </w:r>
      <w:r>
        <w:rPr>
          <w:spacing w:val="-13"/>
        </w:rPr>
        <w:t> </w:t>
      </w:r>
      <w:r>
        <w:rPr/>
        <w:t>avanzada</w:t>
      </w:r>
      <w:r>
        <w:rPr>
          <w:spacing w:val="-14"/>
        </w:rPr>
        <w:t> </w:t>
      </w:r>
      <w:r>
        <w:rPr/>
        <w:t>y</w:t>
      </w:r>
      <w:r>
        <w:rPr>
          <w:spacing w:val="-16"/>
        </w:rPr>
        <w:t> </w:t>
      </w:r>
      <w:r>
        <w:rPr/>
        <w:t>se</w:t>
      </w:r>
      <w:r>
        <w:rPr>
          <w:spacing w:val="-13"/>
        </w:rPr>
        <w:t> </w:t>
      </w:r>
      <w:r>
        <w:rPr/>
        <w:t>desvanece</w:t>
      </w:r>
      <w:r>
        <w:rPr>
          <w:spacing w:val="-16"/>
        </w:rPr>
        <w:t> </w:t>
      </w:r>
      <w:r>
        <w:rPr/>
        <w:t>el</w:t>
      </w:r>
      <w:r>
        <w:rPr>
          <w:spacing w:val="-12"/>
        </w:rPr>
        <w:t> </w:t>
      </w:r>
      <w:r>
        <w:rPr/>
        <w:t>apoyo</w:t>
      </w:r>
      <w:r>
        <w:rPr>
          <w:spacing w:val="-13"/>
        </w:rPr>
        <w:t> </w:t>
      </w:r>
      <w:r>
        <w:rPr/>
        <w:t>del</w:t>
      </w:r>
      <w:r>
        <w:rPr>
          <w:spacing w:val="-15"/>
        </w:rPr>
        <w:t> </w:t>
      </w:r>
      <w:r>
        <w:rPr/>
        <w:t>incremento</w:t>
      </w:r>
      <w:r>
        <w:rPr>
          <w:spacing w:val="-14"/>
        </w:rPr>
        <w:t> </w:t>
      </w:r>
      <w:r>
        <w:rPr/>
        <w:t>de</w:t>
      </w:r>
      <w:r>
        <w:rPr>
          <w:spacing w:val="-13"/>
        </w:rPr>
        <w:t> </w:t>
      </w:r>
      <w:r>
        <w:rPr/>
        <w:t>las</w:t>
      </w:r>
      <w:r>
        <w:rPr>
          <w:spacing w:val="-9"/>
        </w:rPr>
        <w:t> </w:t>
      </w:r>
      <w:r>
        <w:rPr/>
        <w:t>materias</w:t>
      </w:r>
      <w:r>
        <w:rPr>
          <w:spacing w:val="-16"/>
        </w:rPr>
        <w:t> </w:t>
      </w:r>
      <w:r>
        <w:rPr/>
        <w:t>primas en 2021 y</w:t>
      </w:r>
      <w:r>
        <w:rPr>
          <w:spacing w:val="-2"/>
        </w:rPr>
        <w:t> </w:t>
      </w:r>
      <w:r>
        <w:rPr/>
        <w:t>2022.</w:t>
      </w:r>
    </w:p>
    <w:p>
      <w:pPr>
        <w:spacing w:before="166"/>
        <w:ind w:left="2093" w:right="0" w:firstLine="0"/>
        <w:jc w:val="left"/>
        <w:rPr>
          <w:b/>
          <w:sz w:val="20"/>
        </w:rPr>
      </w:pPr>
      <w:bookmarkStart w:name="_bookmark101" w:id="125"/>
      <w:bookmarkEnd w:id="125"/>
      <w:r>
        <w:rPr/>
      </w:r>
      <w:r>
        <w:rPr>
          <w:b/>
          <w:i/>
          <w:sz w:val="20"/>
        </w:rPr>
        <w:t>Gráfico 53. </w:t>
      </w:r>
      <w:r>
        <w:rPr>
          <w:b/>
          <w:sz w:val="20"/>
        </w:rPr>
        <w:t>Crecimiento económico internacional de mediano plazo</w:t>
      </w:r>
    </w:p>
    <w:p>
      <w:pPr>
        <w:spacing w:before="59"/>
        <w:ind w:left="1990" w:right="0" w:firstLine="0"/>
        <w:jc w:val="left"/>
        <w:rPr>
          <w:sz w:val="18"/>
        </w:rPr>
      </w:pPr>
      <w:r>
        <w:rPr/>
        <w:pict>
          <v:group style="position:absolute;margin-left:177.600006pt;margin-top:9.552351pt;width:270.850pt;height:127.35pt;mso-position-horizontal-relative:page;mso-position-vertical-relative:paragraph;z-index:252304384" coordorigin="3552,191" coordsize="5417,2547">
            <v:shape style="position:absolute;left:3756;top:349;width:4992;height:2100" coordorigin="3756,349" coordsize="4992,2100" path="m4025,1389l3756,1389,3756,2449,4025,2449,4025,1389m4699,349l4430,349,4430,1389,4699,1389,4699,349m5374,1000l5105,1000,5105,1389,5374,1389,5374,1000m6050,1009l5779,1009,5779,1389,6050,1389,6050,1009m6725,1014l6454,1014,6454,1389,6725,1389,6725,1014m7399,1026l7128,1026,7128,1389,7399,1389,7399,1026m8074,1021l7802,1021,7802,1389,8074,1389,8074,1021m8748,1021l8479,1021,8479,1389,8748,1389,8748,1021e" filled="true" fillcolor="#a6a6a6" stroked="false">
              <v:path arrowok="t"/>
              <v:fill type="solid"/>
            </v:shape>
            <v:line style="position:absolute" from="3552,1389" to="8950,1389" stroked="true" strokeweight=".72pt" strokecolor="#d9d9d9">
              <v:stroke dashstyle="solid"/>
            </v:line>
            <v:shape style="position:absolute;left:3889;top:458;width:4724;height:1397" coordorigin="3889,459" coordsize="4724,1397" path="m3889,1855l4566,459,5240,843,5915,847,6589,869,7264,874,7938,883,8612,891e" filled="false" stroked="true" strokeweight="2.280pt" strokecolor="#c00000">
              <v:path arrowok="t"/>
              <v:stroke dashstyle="solid"/>
            </v:shape>
            <v:shape style="position:absolute;left:3889;top:597;width:4724;height:1476" coordorigin="3889,598" coordsize="4724,1476" path="m3889,2074l4566,598,5240,893,5915,1030,6589,1131,7264,1128,7938,1140,8612,1150e" filled="false" stroked="true" strokeweight="2.280pt" strokecolor="#3b1047">
              <v:path arrowok="t"/>
              <v:stroke dashstyle="dot"/>
            </v:shape>
            <v:shape style="position:absolute;left:3889;top:355;width:4724;height:1340" coordorigin="3889,355" coordsize="4724,1340" path="m3889,1695l4566,355,5240,807,5915,718,6589,691,7264,703,7938,715,8612,727e" filled="false" stroked="true" strokeweight="2.280pt" strokecolor="#ec7c30">
              <v:path arrowok="t"/>
              <v:stroke dashstyle="longdashdot"/>
            </v:shape>
            <v:line style="position:absolute" from="5518,1851" to="6022,1851" stroked="true" strokeweight="3.48pt" strokecolor="#a6a6a6">
              <v:stroke dashstyle="solid"/>
            </v:line>
            <v:line style="position:absolute" from="5516,2016" to="6020,2016" stroked="true" strokeweight="2.280pt" strokecolor="#c00000">
              <v:stroke dashstyle="solid"/>
            </v:line>
            <v:line style="position:absolute" from="5516,2182" to="6020,2182" stroked="true" strokeweight="2.280pt" strokecolor="#3b1047">
              <v:stroke dashstyle="dot"/>
            </v:line>
            <v:line style="position:absolute" from="5516,2347" to="6020,2347" stroked="true" strokeweight="2.280pt" strokecolor="#ec7c30">
              <v:stroke dashstyle="longdashdot"/>
            </v:line>
            <v:rect style="position:absolute;left:5184;top:191;width:3785;height:2547" filled="true" fillcolor="#4471c4" stroked="false">
              <v:fill opacity="3341f" type="solid"/>
            </v:rect>
            <v:shape style="position:absolute;left:5144;top:1395;width:3825;height:1342" type="#_x0000_t202" filled="false" stroked="false">
              <v:textbox inset="0,0,0,0">
                <w:txbxContent>
                  <w:p>
                    <w:pPr>
                      <w:spacing w:line="240" w:lineRule="auto" w:before="0"/>
                      <w:rPr>
                        <w:sz w:val="14"/>
                      </w:rPr>
                    </w:pPr>
                  </w:p>
                  <w:p>
                    <w:pPr>
                      <w:spacing w:line="240" w:lineRule="auto" w:before="0"/>
                      <w:rPr>
                        <w:sz w:val="18"/>
                      </w:rPr>
                    </w:pPr>
                  </w:p>
                  <w:p>
                    <w:pPr>
                      <w:spacing w:line="247" w:lineRule="auto" w:before="1"/>
                      <w:ind w:left="932" w:right="1415" w:firstLine="0"/>
                      <w:jc w:val="left"/>
                      <w:rPr>
                        <w:sz w:val="14"/>
                      </w:rPr>
                    </w:pPr>
                    <w:r>
                      <w:rPr>
                        <w:color w:val="585858"/>
                        <w:sz w:val="14"/>
                      </w:rPr>
                      <w:t>Latinoamerica y el Caribe Mundo</w:t>
                    </w:r>
                  </w:p>
                  <w:p>
                    <w:pPr>
                      <w:spacing w:before="0"/>
                      <w:ind w:left="932" w:right="0" w:firstLine="0"/>
                      <w:jc w:val="left"/>
                      <w:rPr>
                        <w:sz w:val="14"/>
                      </w:rPr>
                    </w:pPr>
                    <w:r>
                      <w:rPr>
                        <w:color w:val="585858"/>
                        <w:sz w:val="14"/>
                      </w:rPr>
                      <w:t>Economias avanzadas</w:t>
                    </w:r>
                  </w:p>
                  <w:p>
                    <w:pPr>
                      <w:spacing w:before="5"/>
                      <w:ind w:left="932" w:right="0" w:firstLine="0"/>
                      <w:jc w:val="left"/>
                      <w:rPr>
                        <w:sz w:val="14"/>
                      </w:rPr>
                    </w:pPr>
                    <w:r>
                      <w:rPr>
                        <w:color w:val="585858"/>
                        <w:sz w:val="14"/>
                      </w:rPr>
                      <w:t>Economias emergentes y en desarrollo</w:t>
                    </w:r>
                  </w:p>
                </w:txbxContent>
              </v:textbox>
              <w10:wrap type="none"/>
            </v:shape>
            <w10:wrap type="none"/>
          </v:group>
        </w:pict>
      </w:r>
      <w:r>
        <w:rPr>
          <w:color w:val="585858"/>
          <w:sz w:val="18"/>
        </w:rPr>
        <w:t>8.0</w:t>
      </w:r>
    </w:p>
    <w:p>
      <w:pPr>
        <w:spacing w:before="98"/>
        <w:ind w:left="1990" w:right="0" w:firstLine="0"/>
        <w:jc w:val="left"/>
        <w:rPr>
          <w:sz w:val="18"/>
        </w:rPr>
      </w:pPr>
      <w:r>
        <w:rPr>
          <w:color w:val="585858"/>
          <w:sz w:val="18"/>
        </w:rPr>
        <w:t>6.0</w:t>
      </w:r>
    </w:p>
    <w:p>
      <w:pPr>
        <w:spacing w:before="98"/>
        <w:ind w:left="1990" w:right="0" w:firstLine="0"/>
        <w:jc w:val="left"/>
        <w:rPr>
          <w:sz w:val="18"/>
        </w:rPr>
      </w:pPr>
      <w:r>
        <w:rPr>
          <w:color w:val="585858"/>
          <w:sz w:val="18"/>
        </w:rPr>
        <w:t>4.0</w:t>
      </w:r>
    </w:p>
    <w:p>
      <w:pPr>
        <w:spacing w:before="98"/>
        <w:ind w:left="1990" w:right="0" w:firstLine="0"/>
        <w:jc w:val="left"/>
        <w:rPr>
          <w:sz w:val="18"/>
        </w:rPr>
      </w:pPr>
      <w:r>
        <w:rPr>
          <w:color w:val="585858"/>
          <w:sz w:val="18"/>
        </w:rPr>
        <w:t>2.0</w:t>
      </w:r>
    </w:p>
    <w:p>
      <w:pPr>
        <w:spacing w:before="97"/>
        <w:ind w:left="2066" w:right="0" w:firstLine="0"/>
        <w:jc w:val="left"/>
        <w:rPr>
          <w:sz w:val="18"/>
        </w:rPr>
      </w:pPr>
      <w:r>
        <w:rPr>
          <w:color w:val="585858"/>
          <w:sz w:val="18"/>
        </w:rPr>
        <w:t>-</w:t>
      </w:r>
    </w:p>
    <w:p>
      <w:pPr>
        <w:spacing w:before="98"/>
        <w:ind w:left="1930" w:right="0" w:firstLine="0"/>
        <w:jc w:val="left"/>
        <w:rPr>
          <w:sz w:val="18"/>
        </w:rPr>
      </w:pPr>
      <w:r>
        <w:rPr>
          <w:color w:val="585858"/>
          <w:sz w:val="18"/>
        </w:rPr>
        <w:t>-2.0</w:t>
      </w:r>
    </w:p>
    <w:p>
      <w:pPr>
        <w:spacing w:before="98"/>
        <w:ind w:left="1930" w:right="0" w:firstLine="0"/>
        <w:jc w:val="left"/>
        <w:rPr>
          <w:sz w:val="18"/>
        </w:rPr>
      </w:pPr>
      <w:r>
        <w:rPr>
          <w:color w:val="585858"/>
          <w:sz w:val="18"/>
        </w:rPr>
        <w:t>-4.0</w:t>
      </w:r>
    </w:p>
    <w:p>
      <w:pPr>
        <w:spacing w:before="99"/>
        <w:ind w:left="1930" w:right="0" w:firstLine="0"/>
        <w:jc w:val="left"/>
        <w:rPr>
          <w:sz w:val="18"/>
        </w:rPr>
      </w:pPr>
      <w:r>
        <w:rPr>
          <w:color w:val="585858"/>
          <w:sz w:val="18"/>
        </w:rPr>
        <w:t>-6.0</w:t>
      </w:r>
    </w:p>
    <w:p>
      <w:pPr>
        <w:spacing w:before="97"/>
        <w:ind w:left="1930" w:right="0" w:firstLine="0"/>
        <w:jc w:val="left"/>
        <w:rPr>
          <w:sz w:val="18"/>
        </w:rPr>
      </w:pPr>
      <w:r>
        <w:rPr>
          <w:color w:val="585858"/>
          <w:sz w:val="18"/>
        </w:rPr>
        <w:t>-8.0</w:t>
      </w:r>
    </w:p>
    <w:p>
      <w:pPr>
        <w:tabs>
          <w:tab w:pos="3245" w:val="left" w:leader="none"/>
          <w:tab w:pos="3920" w:val="left" w:leader="none"/>
          <w:tab w:pos="4595" w:val="left" w:leader="none"/>
          <w:tab w:pos="5270" w:val="left" w:leader="none"/>
          <w:tab w:pos="5945" w:val="left" w:leader="none"/>
          <w:tab w:pos="6619" w:val="left" w:leader="none"/>
          <w:tab w:pos="7294" w:val="left" w:leader="none"/>
        </w:tabs>
        <w:spacing w:before="5"/>
        <w:ind w:left="2570" w:right="0" w:firstLine="0"/>
        <w:jc w:val="left"/>
        <w:rPr>
          <w:sz w:val="18"/>
        </w:rPr>
      </w:pPr>
      <w:r>
        <w:rPr>
          <w:color w:val="585858"/>
          <w:sz w:val="18"/>
        </w:rPr>
        <w:t>2020</w:t>
        <w:tab/>
        <w:t>2021</w:t>
        <w:tab/>
        <w:t>2022</w:t>
        <w:tab/>
        <w:t>2023</w:t>
        <w:tab/>
        <w:t>2024</w:t>
        <w:tab/>
        <w:t>2025</w:t>
        <w:tab/>
        <w:t>2026</w:t>
        <w:tab/>
        <w:t>2027</w:t>
      </w:r>
    </w:p>
    <w:p>
      <w:pPr>
        <w:spacing w:before="79"/>
        <w:ind w:left="2232" w:right="0" w:firstLine="0"/>
        <w:jc w:val="left"/>
        <w:rPr>
          <w:sz w:val="16"/>
        </w:rPr>
      </w:pPr>
      <w:r>
        <w:rPr>
          <w:sz w:val="16"/>
        </w:rPr>
        <w:t>Fuente: FMI, WEO abril 2022</w:t>
      </w:r>
    </w:p>
    <w:p>
      <w:pPr>
        <w:spacing w:after="0"/>
        <w:jc w:val="left"/>
        <w:rPr>
          <w:sz w:val="16"/>
        </w:rPr>
        <w:sectPr>
          <w:pgSz w:w="12240" w:h="15840"/>
          <w:pgMar w:header="715" w:footer="957" w:top="1240" w:bottom="1140" w:left="1140" w:right="0"/>
        </w:sectPr>
      </w:pPr>
    </w:p>
    <w:p>
      <w:pPr>
        <w:pStyle w:val="BodyText"/>
        <w:spacing w:line="276" w:lineRule="auto" w:before="162"/>
        <w:ind w:left="562" w:right="1696"/>
        <w:jc w:val="both"/>
      </w:pPr>
      <w:r>
        <w:rPr/>
        <w:t>El promedio simple de las proyecciones del FMI para las economías de Centroamérica y República Dominicana</w:t>
      </w:r>
      <w:r>
        <w:rPr>
          <w:spacing w:val="-3"/>
        </w:rPr>
        <w:t> </w:t>
      </w:r>
      <w:r>
        <w:rPr/>
        <w:t>se</w:t>
      </w:r>
      <w:r>
        <w:rPr>
          <w:spacing w:val="-2"/>
        </w:rPr>
        <w:t> </w:t>
      </w:r>
      <w:r>
        <w:rPr/>
        <w:t>encuentra</w:t>
      </w:r>
      <w:r>
        <w:rPr>
          <w:spacing w:val="-2"/>
        </w:rPr>
        <w:t> </w:t>
      </w:r>
      <w:r>
        <w:rPr/>
        <w:t>en</w:t>
      </w:r>
      <w:r>
        <w:rPr>
          <w:spacing w:val="-4"/>
        </w:rPr>
        <w:t> </w:t>
      </w:r>
      <w:r>
        <w:rPr/>
        <w:t>3.4%</w:t>
      </w:r>
      <w:r>
        <w:rPr>
          <w:spacing w:val="-2"/>
        </w:rPr>
        <w:t> </w:t>
      </w:r>
      <w:r>
        <w:rPr/>
        <w:t>en</w:t>
      </w:r>
      <w:r>
        <w:rPr>
          <w:spacing w:val="-2"/>
        </w:rPr>
        <w:t> </w:t>
      </w:r>
      <w:r>
        <w:rPr/>
        <w:t>2023</w:t>
      </w:r>
      <w:r>
        <w:rPr>
          <w:spacing w:val="-4"/>
        </w:rPr>
        <w:t> </w:t>
      </w:r>
      <w:r>
        <w:rPr/>
        <w:t>y</w:t>
      </w:r>
      <w:r>
        <w:rPr>
          <w:spacing w:val="-5"/>
        </w:rPr>
        <w:t> </w:t>
      </w:r>
      <w:r>
        <w:rPr/>
        <w:t>se</w:t>
      </w:r>
      <w:r>
        <w:rPr>
          <w:spacing w:val="-2"/>
        </w:rPr>
        <w:t> </w:t>
      </w:r>
      <w:r>
        <w:rPr/>
        <w:t>espera</w:t>
      </w:r>
      <w:r>
        <w:rPr>
          <w:spacing w:val="-5"/>
        </w:rPr>
        <w:t> </w:t>
      </w:r>
      <w:r>
        <w:rPr/>
        <w:t>a</w:t>
      </w:r>
      <w:r>
        <w:rPr>
          <w:spacing w:val="-3"/>
        </w:rPr>
        <w:t> </w:t>
      </w:r>
      <w:r>
        <w:rPr/>
        <w:t>que</w:t>
      </w:r>
      <w:r>
        <w:rPr>
          <w:spacing w:val="-2"/>
        </w:rPr>
        <w:t> </w:t>
      </w:r>
      <w:r>
        <w:rPr/>
        <w:t>incremente</w:t>
      </w:r>
      <w:r>
        <w:rPr>
          <w:spacing w:val="-2"/>
        </w:rPr>
        <w:t> </w:t>
      </w:r>
      <w:r>
        <w:rPr/>
        <w:t>a</w:t>
      </w:r>
      <w:r>
        <w:rPr>
          <w:spacing w:val="-3"/>
        </w:rPr>
        <w:t> </w:t>
      </w:r>
      <w:r>
        <w:rPr/>
        <w:t>3.5%</w:t>
      </w:r>
      <w:r>
        <w:rPr>
          <w:spacing w:val="-2"/>
        </w:rPr>
        <w:t> </w:t>
      </w:r>
      <w:r>
        <w:rPr/>
        <w:t>para</w:t>
      </w:r>
      <w:r>
        <w:rPr>
          <w:spacing w:val="-2"/>
        </w:rPr>
        <w:t> </w:t>
      </w:r>
      <w:r>
        <w:rPr/>
        <w:t>2027.</w:t>
      </w:r>
      <w:r>
        <w:rPr>
          <w:spacing w:val="-3"/>
        </w:rPr>
        <w:t> </w:t>
      </w:r>
      <w:r>
        <w:rPr/>
        <w:t>Donde</w:t>
      </w:r>
      <w:r>
        <w:rPr>
          <w:spacing w:val="-3"/>
        </w:rPr>
        <w:t> </w:t>
      </w:r>
      <w:r>
        <w:rPr/>
        <w:t>se prevé</w:t>
      </w:r>
      <w:r>
        <w:rPr>
          <w:spacing w:val="-3"/>
        </w:rPr>
        <w:t> </w:t>
      </w:r>
      <w:r>
        <w:rPr/>
        <w:t>un</w:t>
      </w:r>
      <w:r>
        <w:rPr>
          <w:spacing w:val="-4"/>
        </w:rPr>
        <w:t> </w:t>
      </w:r>
      <w:r>
        <w:rPr/>
        <w:t>mayor</w:t>
      </w:r>
      <w:r>
        <w:rPr>
          <w:spacing w:val="-3"/>
        </w:rPr>
        <w:t> </w:t>
      </w:r>
      <w:r>
        <w:rPr/>
        <w:t>crecimiento</w:t>
      </w:r>
      <w:r>
        <w:rPr>
          <w:spacing w:val="-4"/>
        </w:rPr>
        <w:t> </w:t>
      </w:r>
      <w:r>
        <w:rPr/>
        <w:t>para</w:t>
      </w:r>
      <w:r>
        <w:rPr>
          <w:spacing w:val="-3"/>
        </w:rPr>
        <w:t> </w:t>
      </w:r>
      <w:r>
        <w:rPr/>
        <w:t>República</w:t>
      </w:r>
      <w:r>
        <w:rPr>
          <w:spacing w:val="-3"/>
        </w:rPr>
        <w:t> </w:t>
      </w:r>
      <w:r>
        <w:rPr/>
        <w:t>Dominicana</w:t>
      </w:r>
      <w:r>
        <w:rPr>
          <w:spacing w:val="-3"/>
        </w:rPr>
        <w:t> </w:t>
      </w:r>
      <w:r>
        <w:rPr/>
        <w:t>y</w:t>
      </w:r>
      <w:r>
        <w:rPr>
          <w:spacing w:val="-6"/>
        </w:rPr>
        <w:t> </w:t>
      </w:r>
      <w:r>
        <w:rPr/>
        <w:t>el menor</w:t>
      </w:r>
      <w:r>
        <w:rPr>
          <w:spacing w:val="-3"/>
        </w:rPr>
        <w:t> </w:t>
      </w:r>
      <w:r>
        <w:rPr/>
        <w:t>crecimiento</w:t>
      </w:r>
      <w:r>
        <w:rPr>
          <w:spacing w:val="-4"/>
        </w:rPr>
        <w:t> </w:t>
      </w:r>
      <w:r>
        <w:rPr/>
        <w:t>para</w:t>
      </w:r>
      <w:r>
        <w:rPr>
          <w:spacing w:val="-3"/>
        </w:rPr>
        <w:t> </w:t>
      </w:r>
      <w:r>
        <w:rPr/>
        <w:t>El</w:t>
      </w:r>
      <w:r>
        <w:rPr>
          <w:spacing w:val="-3"/>
        </w:rPr>
        <w:t> </w:t>
      </w:r>
      <w:r>
        <w:rPr/>
        <w:t>Salvador</w:t>
      </w:r>
      <w:r>
        <w:rPr>
          <w:spacing w:val="-3"/>
        </w:rPr>
        <w:t> </w:t>
      </w:r>
      <w:r>
        <w:rPr/>
        <w:t>en este periodo. En este periodo el Banco Mundial prevé que las remesas se mantengan robustas en la región y que estas sigan financiando parte del consumo en el mediano</w:t>
      </w:r>
      <w:r>
        <w:rPr>
          <w:spacing w:val="-5"/>
        </w:rPr>
        <w:t> </w:t>
      </w:r>
      <w:r>
        <w:rPr/>
        <w:t>plazo.</w:t>
      </w:r>
    </w:p>
    <w:p>
      <w:pPr>
        <w:pStyle w:val="BodyText"/>
        <w:spacing w:before="8"/>
        <w:rPr>
          <w:sz w:val="25"/>
        </w:rPr>
      </w:pPr>
    </w:p>
    <w:p>
      <w:pPr>
        <w:pStyle w:val="Heading2"/>
        <w:ind w:left="1260"/>
      </w:pPr>
      <w:r>
        <w:rPr/>
        <w:t>5.1.1.1 </w:t>
      </w:r>
      <w:bookmarkStart w:name="_bookmark102" w:id="126"/>
      <w:bookmarkEnd w:id="126"/>
      <w:r>
        <w:rPr/>
        <w:t>I</w:t>
      </w:r>
      <w:r>
        <w:rPr/>
        <w:t>nflación externa</w:t>
      </w:r>
    </w:p>
    <w:p>
      <w:pPr>
        <w:pStyle w:val="BodyText"/>
        <w:spacing w:before="6"/>
        <w:rPr>
          <w:b/>
          <w:sz w:val="28"/>
        </w:rPr>
      </w:pPr>
    </w:p>
    <w:p>
      <w:pPr>
        <w:pStyle w:val="BodyText"/>
        <w:spacing w:line="276" w:lineRule="auto" w:before="1"/>
        <w:ind w:left="562" w:right="1695"/>
        <w:jc w:val="both"/>
      </w:pPr>
      <w:r>
        <w:rPr/>
        <w:t>La tasa de inflación mundial podría ubicarse en 4.1% para 2023 y disminuir su nivel hasta 3.2% en 2027,</w:t>
      </w:r>
      <w:r>
        <w:rPr>
          <w:spacing w:val="-6"/>
        </w:rPr>
        <w:t> </w:t>
      </w:r>
      <w:r>
        <w:rPr/>
        <w:t>esto</w:t>
      </w:r>
      <w:r>
        <w:rPr>
          <w:spacing w:val="-6"/>
        </w:rPr>
        <w:t> </w:t>
      </w:r>
      <w:r>
        <w:rPr/>
        <w:t>dado</w:t>
      </w:r>
      <w:r>
        <w:rPr>
          <w:spacing w:val="-6"/>
        </w:rPr>
        <w:t> </w:t>
      </w:r>
      <w:r>
        <w:rPr/>
        <w:t>que</w:t>
      </w:r>
      <w:r>
        <w:rPr>
          <w:spacing w:val="-6"/>
        </w:rPr>
        <w:t> </w:t>
      </w:r>
      <w:r>
        <w:rPr/>
        <w:t>se</w:t>
      </w:r>
      <w:r>
        <w:rPr>
          <w:spacing w:val="-5"/>
        </w:rPr>
        <w:t> </w:t>
      </w:r>
      <w:r>
        <w:rPr/>
        <w:t>prevé</w:t>
      </w:r>
      <w:r>
        <w:rPr>
          <w:spacing w:val="-6"/>
        </w:rPr>
        <w:t> </w:t>
      </w:r>
      <w:r>
        <w:rPr/>
        <w:t>un</w:t>
      </w:r>
      <w:r>
        <w:rPr>
          <w:spacing w:val="-6"/>
        </w:rPr>
        <w:t> </w:t>
      </w:r>
      <w:r>
        <w:rPr/>
        <w:t>efecto</w:t>
      </w:r>
      <w:r>
        <w:rPr>
          <w:spacing w:val="-9"/>
        </w:rPr>
        <w:t> </w:t>
      </w:r>
      <w:r>
        <w:rPr/>
        <w:t>rezagado</w:t>
      </w:r>
      <w:r>
        <w:rPr>
          <w:spacing w:val="-6"/>
        </w:rPr>
        <w:t> </w:t>
      </w:r>
      <w:r>
        <w:rPr/>
        <w:t>del</w:t>
      </w:r>
      <w:r>
        <w:rPr>
          <w:spacing w:val="-4"/>
        </w:rPr>
        <w:t> </w:t>
      </w:r>
      <w:r>
        <w:rPr/>
        <w:t>aumento</w:t>
      </w:r>
      <w:r>
        <w:rPr>
          <w:spacing w:val="-6"/>
        </w:rPr>
        <w:t> </w:t>
      </w:r>
      <w:r>
        <w:rPr/>
        <w:t>de</w:t>
      </w:r>
      <w:r>
        <w:rPr>
          <w:spacing w:val="-6"/>
        </w:rPr>
        <w:t> </w:t>
      </w:r>
      <w:r>
        <w:rPr/>
        <w:t>las</w:t>
      </w:r>
      <w:r>
        <w:rPr>
          <w:spacing w:val="-5"/>
        </w:rPr>
        <w:t> </w:t>
      </w:r>
      <w:r>
        <w:rPr/>
        <w:t>materias</w:t>
      </w:r>
      <w:r>
        <w:rPr>
          <w:spacing w:val="-5"/>
        </w:rPr>
        <w:t> </w:t>
      </w:r>
      <w:r>
        <w:rPr/>
        <w:t>primas</w:t>
      </w:r>
      <w:r>
        <w:rPr>
          <w:spacing w:val="-4"/>
        </w:rPr>
        <w:t> </w:t>
      </w:r>
      <w:r>
        <w:rPr/>
        <w:t>de</w:t>
      </w:r>
      <w:r>
        <w:rPr>
          <w:spacing w:val="-6"/>
        </w:rPr>
        <w:t> </w:t>
      </w:r>
      <w:r>
        <w:rPr/>
        <w:t>los</w:t>
      </w:r>
      <w:r>
        <w:rPr>
          <w:spacing w:val="-6"/>
        </w:rPr>
        <w:t> </w:t>
      </w:r>
      <w:r>
        <w:rPr/>
        <w:t>productos de agricultura por las cosechas de 2022. Para las economías avanzadas se prevé una disminución en la</w:t>
      </w:r>
      <w:r>
        <w:rPr>
          <w:spacing w:val="-7"/>
        </w:rPr>
        <w:t> </w:t>
      </w:r>
      <w:r>
        <w:rPr/>
        <w:t>tasa</w:t>
      </w:r>
      <w:r>
        <w:rPr>
          <w:spacing w:val="-7"/>
        </w:rPr>
        <w:t> </w:t>
      </w:r>
      <w:r>
        <w:rPr/>
        <w:t>de</w:t>
      </w:r>
      <w:r>
        <w:rPr>
          <w:spacing w:val="-6"/>
        </w:rPr>
        <w:t> </w:t>
      </w:r>
      <w:r>
        <w:rPr/>
        <w:t>inflación</w:t>
      </w:r>
      <w:r>
        <w:rPr>
          <w:spacing w:val="-5"/>
        </w:rPr>
        <w:t> </w:t>
      </w:r>
      <w:r>
        <w:rPr/>
        <w:t>de</w:t>
      </w:r>
      <w:r>
        <w:rPr>
          <w:spacing w:val="-2"/>
        </w:rPr>
        <w:t> </w:t>
      </w:r>
      <w:r>
        <w:rPr/>
        <w:t>2.2%</w:t>
      </w:r>
      <w:r>
        <w:rPr>
          <w:spacing w:val="-6"/>
        </w:rPr>
        <w:t> </w:t>
      </w:r>
      <w:r>
        <w:rPr/>
        <w:t>a</w:t>
      </w:r>
      <w:r>
        <w:rPr>
          <w:spacing w:val="-6"/>
        </w:rPr>
        <w:t> </w:t>
      </w:r>
      <w:r>
        <w:rPr/>
        <w:t>1.8%</w:t>
      </w:r>
      <w:r>
        <w:rPr>
          <w:spacing w:val="-6"/>
        </w:rPr>
        <w:t> </w:t>
      </w:r>
      <w:r>
        <w:rPr/>
        <w:t>de</w:t>
      </w:r>
      <w:r>
        <w:rPr>
          <w:spacing w:val="-6"/>
        </w:rPr>
        <w:t> </w:t>
      </w:r>
      <w:r>
        <w:rPr/>
        <w:t>2023</w:t>
      </w:r>
      <w:r>
        <w:rPr>
          <w:spacing w:val="-7"/>
        </w:rPr>
        <w:t> </w:t>
      </w:r>
      <w:r>
        <w:rPr/>
        <w:t>a</w:t>
      </w:r>
      <w:r>
        <w:rPr>
          <w:spacing w:val="-3"/>
        </w:rPr>
        <w:t> </w:t>
      </w:r>
      <w:r>
        <w:rPr/>
        <w:t>2027,</w:t>
      </w:r>
      <w:r>
        <w:rPr>
          <w:spacing w:val="-7"/>
        </w:rPr>
        <w:t> </w:t>
      </w:r>
      <w:r>
        <w:rPr/>
        <w:t>respectivamente.</w:t>
      </w:r>
      <w:r>
        <w:rPr>
          <w:spacing w:val="-4"/>
        </w:rPr>
        <w:t> </w:t>
      </w:r>
      <w:r>
        <w:rPr/>
        <w:t>Para</w:t>
      </w:r>
      <w:r>
        <w:rPr>
          <w:spacing w:val="-6"/>
        </w:rPr>
        <w:t> </w:t>
      </w:r>
      <w:r>
        <w:rPr/>
        <w:t>las</w:t>
      </w:r>
      <w:r>
        <w:rPr>
          <w:spacing w:val="-7"/>
        </w:rPr>
        <w:t> </w:t>
      </w:r>
      <w:r>
        <w:rPr/>
        <w:t>economías</w:t>
      </w:r>
      <w:r>
        <w:rPr>
          <w:spacing w:val="-3"/>
        </w:rPr>
        <w:t> </w:t>
      </w:r>
      <w:r>
        <w:rPr/>
        <w:t>emergentes se</w:t>
      </w:r>
      <w:r>
        <w:rPr>
          <w:spacing w:val="-10"/>
        </w:rPr>
        <w:t> </w:t>
      </w:r>
      <w:r>
        <w:rPr/>
        <w:t>espera</w:t>
      </w:r>
      <w:r>
        <w:rPr>
          <w:spacing w:val="-9"/>
        </w:rPr>
        <w:t> </w:t>
      </w:r>
      <w:r>
        <w:rPr/>
        <w:t>una</w:t>
      </w:r>
      <w:r>
        <w:rPr>
          <w:spacing w:val="-10"/>
        </w:rPr>
        <w:t> </w:t>
      </w:r>
      <w:r>
        <w:rPr/>
        <w:t>mayor</w:t>
      </w:r>
      <w:r>
        <w:rPr>
          <w:spacing w:val="-9"/>
        </w:rPr>
        <w:t> </w:t>
      </w:r>
      <w:r>
        <w:rPr/>
        <w:t>inflación</w:t>
      </w:r>
      <w:r>
        <w:rPr>
          <w:spacing w:val="-11"/>
        </w:rPr>
        <w:t> </w:t>
      </w:r>
      <w:r>
        <w:rPr/>
        <w:t>en</w:t>
      </w:r>
      <w:r>
        <w:rPr>
          <w:spacing w:val="-9"/>
        </w:rPr>
        <w:t> </w:t>
      </w:r>
      <w:r>
        <w:rPr/>
        <w:t>2023</w:t>
      </w:r>
      <w:r>
        <w:rPr>
          <w:spacing w:val="-11"/>
        </w:rPr>
        <w:t> </w:t>
      </w:r>
      <w:r>
        <w:rPr/>
        <w:t>de</w:t>
      </w:r>
      <w:r>
        <w:rPr>
          <w:spacing w:val="-10"/>
        </w:rPr>
        <w:t> </w:t>
      </w:r>
      <w:r>
        <w:rPr/>
        <w:t>5.6%</w:t>
      </w:r>
      <w:r>
        <w:rPr>
          <w:spacing w:val="-10"/>
        </w:rPr>
        <w:t> </w:t>
      </w:r>
      <w:r>
        <w:rPr/>
        <w:t>y</w:t>
      </w:r>
      <w:r>
        <w:rPr>
          <w:spacing w:val="-12"/>
        </w:rPr>
        <w:t> </w:t>
      </w:r>
      <w:r>
        <w:rPr/>
        <w:t>se</w:t>
      </w:r>
      <w:r>
        <w:rPr>
          <w:spacing w:val="-10"/>
        </w:rPr>
        <w:t> </w:t>
      </w:r>
      <w:r>
        <w:rPr/>
        <w:t>espera</w:t>
      </w:r>
      <w:r>
        <w:rPr>
          <w:spacing w:val="-9"/>
        </w:rPr>
        <w:t> </w:t>
      </w:r>
      <w:r>
        <w:rPr/>
        <w:t>que</w:t>
      </w:r>
      <w:r>
        <w:rPr>
          <w:spacing w:val="-10"/>
        </w:rPr>
        <w:t> </w:t>
      </w:r>
      <w:r>
        <w:rPr/>
        <w:t>disminuya</w:t>
      </w:r>
      <w:r>
        <w:rPr>
          <w:spacing w:val="-10"/>
        </w:rPr>
        <w:t> </w:t>
      </w:r>
      <w:r>
        <w:rPr/>
        <w:t>a</w:t>
      </w:r>
      <w:r>
        <w:rPr>
          <w:spacing w:val="-9"/>
        </w:rPr>
        <w:t> </w:t>
      </w:r>
      <w:r>
        <w:rPr/>
        <w:t>4.1%</w:t>
      </w:r>
      <w:r>
        <w:rPr>
          <w:spacing w:val="-10"/>
        </w:rPr>
        <w:t> </w:t>
      </w:r>
      <w:r>
        <w:rPr/>
        <w:t>a</w:t>
      </w:r>
      <w:r>
        <w:rPr>
          <w:spacing w:val="-12"/>
        </w:rPr>
        <w:t> </w:t>
      </w:r>
      <w:r>
        <w:rPr/>
        <w:t>2027</w:t>
      </w:r>
      <w:r>
        <w:rPr>
          <w:spacing w:val="-11"/>
        </w:rPr>
        <w:t> </w:t>
      </w:r>
      <w:r>
        <w:rPr/>
        <w:t>No</w:t>
      </w:r>
      <w:r>
        <w:rPr>
          <w:spacing w:val="-10"/>
        </w:rPr>
        <w:t> </w:t>
      </w:r>
      <w:r>
        <w:rPr/>
        <w:t>obstante, el FMI indica que hay una considerable incertidumbre alrededor de estas</w:t>
      </w:r>
      <w:r>
        <w:rPr>
          <w:spacing w:val="-16"/>
        </w:rPr>
        <w:t> </w:t>
      </w:r>
      <w:r>
        <w:rPr/>
        <w:t>proyecciones.</w:t>
      </w:r>
    </w:p>
    <w:p>
      <w:pPr>
        <w:pStyle w:val="BodyText"/>
        <w:spacing w:before="2"/>
        <w:rPr>
          <w:sz w:val="25"/>
        </w:rPr>
      </w:pPr>
    </w:p>
    <w:p>
      <w:pPr>
        <w:pStyle w:val="BodyText"/>
        <w:spacing w:line="276" w:lineRule="auto"/>
        <w:ind w:left="562" w:right="1695"/>
        <w:jc w:val="both"/>
      </w:pPr>
      <w:r>
        <w:rPr/>
        <w:t>Para Estados Unidos, la inflación podría ubicarse en 2.3% en 2023 por arriba del objetivo planteado por la Reserva Federal de 2.0% y disminuir levemente en el mediano plazo. Para la zona del euro se espera que la tasa de inflación sea de 2.1% para 2023 y que se encuentre alrededor de 1.8% hasta 2027. En Latinoamérica, la inflación será mayor que en otras regiones, se espera que para 2023 sea de 7.1% y se encuentre en 4.8% para 2027. La base de los pronósticos es la expectativa de presiones de inflación prologadas derivadas del aumento de las materias primas que, aunque varían de forma heterogénea se espera que las materias primas de energía afecten las distintas regiones más allá del 2022.</w:t>
      </w:r>
    </w:p>
    <w:p>
      <w:pPr>
        <w:pStyle w:val="BodyText"/>
        <w:rPr>
          <w:sz w:val="18"/>
        </w:rPr>
      </w:pPr>
    </w:p>
    <w:p>
      <w:pPr>
        <w:spacing w:before="91"/>
        <w:ind w:left="2957" w:right="0" w:firstLine="0"/>
        <w:jc w:val="left"/>
        <w:rPr>
          <w:b/>
          <w:sz w:val="20"/>
        </w:rPr>
      </w:pPr>
      <w:bookmarkStart w:name="_bookmark103" w:id="127"/>
      <w:bookmarkEnd w:id="127"/>
      <w:r>
        <w:rPr/>
      </w:r>
      <w:r>
        <w:rPr>
          <w:b/>
          <w:i/>
          <w:sz w:val="20"/>
        </w:rPr>
        <w:t>Gráfico 54. </w:t>
      </w:r>
      <w:r>
        <w:rPr>
          <w:b/>
          <w:sz w:val="20"/>
        </w:rPr>
        <w:t>Inflación externa de mediano plazo</w:t>
      </w:r>
    </w:p>
    <w:p>
      <w:pPr>
        <w:spacing w:before="84"/>
        <w:ind w:left="1930" w:right="0" w:firstLine="0"/>
        <w:jc w:val="left"/>
        <w:rPr>
          <w:sz w:val="18"/>
        </w:rPr>
      </w:pPr>
      <w:r>
        <w:rPr/>
        <w:pict>
          <v:group style="position:absolute;margin-left:179.160004pt;margin-top:10.272353pt;width:269.9pt;height:142.1pt;mso-position-horizontal-relative:page;mso-position-vertical-relative:paragraph;z-index:252307456" coordorigin="3583,205" coordsize="5398,2842">
            <v:shape style="position:absolute;left:3784;top:690;width:4995;height:2350" coordorigin="3785,690" coordsize="4995,2350" path="m4056,1751l3785,1751,3785,3040,4056,3040,4056,1751m4730,690l4459,690,4459,3040,4730,3040,4730,690m5405,1014l5136,1014,5136,3040,5405,3040,5405,1014m6079,1607l5810,1607,5810,3040,6079,3040,6079,1607m6754,1782l6485,1782,6485,3040,6754,3040,6754,1782m7428,1878l7159,1878,7159,3040,7428,3040,7428,1878m8102,1969l7834,1969,7834,3040,8102,3040,8102,1969m8779,2063l8508,2063,8508,3040,8779,3040,8779,2063e" filled="true" fillcolor="#a6a6a6" stroked="false">
              <v:path arrowok="t"/>
              <v:fill type="solid"/>
            </v:shape>
            <v:line style="position:absolute" from="3583,3040" to="8981,3040" stroked="true" strokeweight=".72pt" strokecolor="#d9d9d9">
              <v:stroke dashstyle="solid"/>
            </v:line>
            <v:shape style="position:absolute;left:3920;top:1665;width:4724;height:804" coordorigin="3920,1666" coordsize="4724,804" path="m3920,2470l4595,1740,5269,1666,5944,2196,6618,2321,7295,2367,7969,2379,8644,2388e" filled="false" stroked="true" strokeweight="2.280pt" strokecolor="#053852">
              <v:path arrowok="t"/>
              <v:stroke dashstyle="solid"/>
            </v:shape>
            <v:shape style="position:absolute;left:3920;top:1973;width:4724;height:960" coordorigin="3920,1973" coordsize="4724,960" path="m3920,2933l4595,1973,5269,2143,5944,2599,6618,2662,7295,2667,7969,2664,8644,2669e" filled="false" stroked="true" strokeweight="2.280pt" strokecolor="#c00000">
              <v:path arrowok="t"/>
              <v:stroke dashstyle="dot"/>
            </v:shape>
            <v:shape style="position:absolute;left:3920;top:1310;width:4724;height:898" coordorigin="3920,1311" coordsize="4724,898" path="m3920,2122l4595,1565,5269,1311,5944,1903,6618,2083,7295,2163,7969,2189,8644,2208e" filled="false" stroked="true" strokeweight="2.04pt" strokecolor="#ef810f">
              <v:path arrowok="t"/>
              <v:stroke dashstyle="dash"/>
            </v:shape>
            <v:shape style="position:absolute;left:3861;top:1252;width:4841;height:1016" coordorigin="3861,1253" coordsize="4841,1016" path="m3981,2121l3921,2061,3861,2121,3921,2181,3981,2121m4656,1567l4596,1507,4536,1567,4596,1627,4656,1567m5330,1313l5270,1253,5210,1313,5270,1373,5330,1313m6005,1905l5945,1845,5885,1905,5945,1965,6005,1905m6679,2083l6619,2023,6559,2083,6619,2143,6679,2083m7353,2162l7293,2102,7233,2162,7293,2222,7353,2162m8028,2189l7968,2129,7908,2189,7968,2249,8028,2189m8702,2208l8642,2148,8582,2208,8642,2268,8702,2208e" filled="true" fillcolor="#ef810f" stroked="false">
              <v:path arrowok="t"/>
              <v:fill type="solid"/>
            </v:shape>
            <v:line style="position:absolute" from="6186,720" to="6690,720" stroked="true" strokeweight="2.280pt" strokecolor="#053852">
              <v:stroke dashstyle="solid"/>
            </v:line>
            <v:line style="position:absolute" from="6186,963" to="6690,963" stroked="true" strokeweight="2.280pt" strokecolor="#c00000">
              <v:stroke dashstyle="dot"/>
            </v:line>
            <v:line style="position:absolute" from="6186,1207" to="6690,1207" stroked="true" strokeweight="2.04pt" strokecolor="#ef810f">
              <v:stroke dashstyle="dash"/>
            </v:line>
            <v:shape style="position:absolute;left:6398;top:1167;width:77;height:77" coordorigin="6398,1168" coordsize="77,77" path="m6437,1168l6398,1206,6437,1245,6475,1206,6437,1168xe" filled="true" fillcolor="#ef810f" stroked="false">
              <v:path arrowok="t"/>
              <v:fill type="solid"/>
            </v:shape>
            <v:line style="position:absolute" from="6185,475" to="6689,475" stroked="true" strokeweight="3.48pt" strokecolor="#a6a6a6">
              <v:stroke dashstyle="solid"/>
            </v:line>
            <v:rect style="position:absolute;left:5124;top:205;width:3848;height:2823" filled="true" fillcolor="#4471c4" stroked="false">
              <v:fill opacity="3341f" type="solid"/>
            </v:rect>
            <v:shape style="position:absolute;left:6746;top:1127;width:2178;height:155" type="#_x0000_t202" filled="false" stroked="false">
              <v:textbox inset="0,0,0,0">
                <w:txbxContent>
                  <w:p>
                    <w:pPr>
                      <w:spacing w:line="154" w:lineRule="exact" w:before="0"/>
                      <w:ind w:left="0" w:right="0" w:firstLine="0"/>
                      <w:jc w:val="left"/>
                      <w:rPr>
                        <w:sz w:val="14"/>
                      </w:rPr>
                    </w:pPr>
                    <w:r>
                      <w:rPr>
                        <w:color w:val="585858"/>
                        <w:sz w:val="14"/>
                      </w:rPr>
                      <w:t>Economias emergentes y en desarrollo</w:t>
                    </w:r>
                  </w:p>
                </w:txbxContent>
              </v:textbox>
              <w10:wrap type="none"/>
            </v:shape>
            <v:shape style="position:absolute;left:5136;top:205;width:3836;height:809" type="#_x0000_t202" filled="false" stroked="false">
              <v:textbox inset="0,0,0,0">
                <w:txbxContent>
                  <w:p>
                    <w:pPr>
                      <w:spacing w:line="240" w:lineRule="auto" w:before="0"/>
                      <w:rPr>
                        <w:sz w:val="16"/>
                      </w:rPr>
                    </w:pPr>
                  </w:p>
                  <w:p>
                    <w:pPr>
                      <w:spacing w:line="362" w:lineRule="auto" w:before="0"/>
                      <w:ind w:left="1610" w:right="748" w:firstLine="0"/>
                      <w:jc w:val="left"/>
                      <w:rPr>
                        <w:sz w:val="14"/>
                      </w:rPr>
                    </w:pPr>
                    <w:r>
                      <w:rPr>
                        <w:color w:val="585858"/>
                        <w:sz w:val="14"/>
                      </w:rPr>
                      <w:t>Latinoamerica y el Cáribe Mundo</w:t>
                    </w:r>
                  </w:p>
                  <w:p>
                    <w:pPr>
                      <w:spacing w:line="138" w:lineRule="exact" w:before="1"/>
                      <w:ind w:left="1610" w:right="0" w:firstLine="0"/>
                      <w:jc w:val="left"/>
                      <w:rPr>
                        <w:sz w:val="14"/>
                      </w:rPr>
                    </w:pPr>
                    <w:r>
                      <w:rPr>
                        <w:color w:val="585858"/>
                        <w:sz w:val="14"/>
                      </w:rPr>
                      <w:t>Economias avanzadas</w:t>
                    </w:r>
                  </w:p>
                </w:txbxContent>
              </v:textbox>
              <w10:wrap type="none"/>
            </v:shape>
            <w10:wrap type="none"/>
          </v:group>
        </w:pict>
      </w:r>
      <w:r>
        <w:rPr>
          <w:color w:val="585858"/>
          <w:sz w:val="18"/>
        </w:rPr>
        <w:t>14.0</w:t>
      </w:r>
    </w:p>
    <w:p>
      <w:pPr>
        <w:pStyle w:val="BodyText"/>
        <w:spacing w:before="4"/>
        <w:rPr>
          <w:sz w:val="9"/>
        </w:rPr>
      </w:pPr>
    </w:p>
    <w:p>
      <w:pPr>
        <w:spacing w:before="92"/>
        <w:ind w:left="1930" w:right="0" w:firstLine="0"/>
        <w:jc w:val="left"/>
        <w:rPr>
          <w:sz w:val="18"/>
        </w:rPr>
      </w:pPr>
      <w:r>
        <w:rPr>
          <w:color w:val="585858"/>
          <w:sz w:val="18"/>
        </w:rPr>
        <w:t>12.0</w:t>
      </w:r>
    </w:p>
    <w:p>
      <w:pPr>
        <w:pStyle w:val="BodyText"/>
        <w:spacing w:before="4"/>
        <w:rPr>
          <w:sz w:val="17"/>
        </w:rPr>
      </w:pPr>
    </w:p>
    <w:p>
      <w:pPr>
        <w:spacing w:before="0"/>
        <w:ind w:left="1930" w:right="0" w:firstLine="0"/>
        <w:jc w:val="left"/>
        <w:rPr>
          <w:sz w:val="18"/>
        </w:rPr>
      </w:pPr>
      <w:r>
        <w:rPr>
          <w:color w:val="585858"/>
          <w:sz w:val="18"/>
        </w:rPr>
        <w:t>10.0</w:t>
      </w:r>
    </w:p>
    <w:p>
      <w:pPr>
        <w:pStyle w:val="BodyText"/>
        <w:spacing w:before="4"/>
        <w:rPr>
          <w:sz w:val="9"/>
        </w:rPr>
      </w:pPr>
    </w:p>
    <w:p>
      <w:pPr>
        <w:spacing w:before="92"/>
        <w:ind w:left="2020" w:right="0" w:firstLine="0"/>
        <w:jc w:val="left"/>
        <w:rPr>
          <w:sz w:val="18"/>
        </w:rPr>
      </w:pPr>
      <w:r>
        <w:rPr>
          <w:color w:val="585858"/>
          <w:sz w:val="18"/>
        </w:rPr>
        <w:t>8.0</w:t>
      </w:r>
    </w:p>
    <w:p>
      <w:pPr>
        <w:pStyle w:val="BodyText"/>
        <w:spacing w:before="4"/>
        <w:rPr>
          <w:sz w:val="9"/>
        </w:rPr>
      </w:pPr>
    </w:p>
    <w:p>
      <w:pPr>
        <w:spacing w:before="92"/>
        <w:ind w:left="2020" w:right="0" w:firstLine="0"/>
        <w:jc w:val="left"/>
        <w:rPr>
          <w:sz w:val="18"/>
        </w:rPr>
      </w:pPr>
      <w:r>
        <w:rPr>
          <w:color w:val="585858"/>
          <w:sz w:val="18"/>
        </w:rPr>
        <w:t>6.0</w:t>
      </w:r>
    </w:p>
    <w:p>
      <w:pPr>
        <w:pStyle w:val="BodyText"/>
        <w:spacing w:before="4"/>
        <w:rPr>
          <w:sz w:val="9"/>
        </w:rPr>
      </w:pPr>
    </w:p>
    <w:p>
      <w:pPr>
        <w:spacing w:before="92"/>
        <w:ind w:left="2020" w:right="0" w:firstLine="0"/>
        <w:jc w:val="left"/>
        <w:rPr>
          <w:sz w:val="18"/>
        </w:rPr>
      </w:pPr>
      <w:r>
        <w:rPr>
          <w:color w:val="585858"/>
          <w:sz w:val="18"/>
        </w:rPr>
        <w:t>4.0</w:t>
      </w:r>
    </w:p>
    <w:p>
      <w:pPr>
        <w:pStyle w:val="BodyText"/>
        <w:spacing w:before="4"/>
        <w:rPr>
          <w:sz w:val="9"/>
        </w:rPr>
      </w:pPr>
    </w:p>
    <w:p>
      <w:pPr>
        <w:spacing w:before="93"/>
        <w:ind w:left="2020" w:right="0" w:firstLine="0"/>
        <w:jc w:val="left"/>
        <w:rPr>
          <w:sz w:val="18"/>
        </w:rPr>
      </w:pPr>
      <w:r>
        <w:rPr>
          <w:color w:val="585858"/>
          <w:sz w:val="18"/>
        </w:rPr>
        <w:t>2.0</w:t>
      </w:r>
    </w:p>
    <w:p>
      <w:pPr>
        <w:pStyle w:val="BodyText"/>
        <w:spacing w:before="4"/>
        <w:rPr>
          <w:sz w:val="9"/>
        </w:rPr>
      </w:pPr>
    </w:p>
    <w:p>
      <w:pPr>
        <w:spacing w:before="92"/>
        <w:ind w:left="2096" w:right="0" w:firstLine="0"/>
        <w:jc w:val="left"/>
        <w:rPr>
          <w:sz w:val="18"/>
        </w:rPr>
      </w:pPr>
      <w:r>
        <w:rPr>
          <w:color w:val="585858"/>
          <w:sz w:val="18"/>
        </w:rPr>
        <w:t>-</w:t>
      </w:r>
    </w:p>
    <w:p>
      <w:pPr>
        <w:tabs>
          <w:tab w:pos="3275" w:val="left" w:leader="none"/>
          <w:tab w:pos="3950" w:val="left" w:leader="none"/>
          <w:tab w:pos="4625" w:val="left" w:leader="none"/>
          <w:tab w:pos="5300" w:val="left" w:leader="none"/>
          <w:tab w:pos="5974" w:val="left" w:leader="none"/>
          <w:tab w:pos="6649" w:val="left" w:leader="none"/>
          <w:tab w:pos="7324" w:val="left" w:leader="none"/>
        </w:tabs>
        <w:spacing w:before="4"/>
        <w:ind w:left="2601" w:right="0" w:firstLine="0"/>
        <w:jc w:val="left"/>
        <w:rPr>
          <w:sz w:val="18"/>
        </w:rPr>
      </w:pPr>
      <w:r>
        <w:rPr>
          <w:color w:val="585858"/>
          <w:sz w:val="18"/>
        </w:rPr>
        <w:t>2020</w:t>
        <w:tab/>
        <w:t>2021</w:t>
        <w:tab/>
        <w:t>2022</w:t>
        <w:tab/>
        <w:t>2023</w:t>
        <w:tab/>
        <w:t>2024</w:t>
        <w:tab/>
        <w:t>2025</w:t>
        <w:tab/>
        <w:t>2026</w:t>
        <w:tab/>
        <w:t>2027</w:t>
      </w:r>
    </w:p>
    <w:p>
      <w:pPr>
        <w:pStyle w:val="BodyText"/>
        <w:spacing w:before="1"/>
        <w:rPr>
          <w:sz w:val="13"/>
        </w:rPr>
      </w:pPr>
    </w:p>
    <w:p>
      <w:pPr>
        <w:spacing w:before="95"/>
        <w:ind w:left="1793" w:right="0" w:firstLine="0"/>
        <w:jc w:val="left"/>
        <w:rPr>
          <w:sz w:val="16"/>
        </w:rPr>
      </w:pPr>
      <w:r>
        <w:rPr>
          <w:sz w:val="16"/>
        </w:rPr>
        <w:t>Fuente: FMI, WEO abril 2022</w:t>
      </w:r>
    </w:p>
    <w:p>
      <w:pPr>
        <w:pStyle w:val="BodyText"/>
        <w:rPr>
          <w:sz w:val="18"/>
        </w:rPr>
      </w:pPr>
    </w:p>
    <w:p>
      <w:pPr>
        <w:pStyle w:val="Heading2"/>
        <w:spacing w:before="112"/>
        <w:ind w:left="1260"/>
      </w:pPr>
      <w:r>
        <w:rPr/>
        <w:t>5.1.1.2 </w:t>
      </w:r>
      <w:bookmarkStart w:name="_bookmark104" w:id="128"/>
      <w:bookmarkEnd w:id="128"/>
      <w:r>
        <w:rPr/>
        <w:t>P</w:t>
      </w:r>
      <w:r>
        <w:rPr/>
        <w:t>recio del Petróleo</w:t>
      </w:r>
    </w:p>
    <w:p>
      <w:pPr>
        <w:pStyle w:val="BodyText"/>
        <w:spacing w:before="6"/>
        <w:rPr>
          <w:b/>
          <w:sz w:val="28"/>
        </w:rPr>
      </w:pPr>
    </w:p>
    <w:p>
      <w:pPr>
        <w:pStyle w:val="BodyText"/>
        <w:spacing w:line="276" w:lineRule="auto" w:before="1"/>
        <w:ind w:left="562" w:right="1695"/>
        <w:jc w:val="both"/>
      </w:pPr>
      <w:r>
        <w:rPr/>
        <w:t>Dado</w:t>
      </w:r>
      <w:r>
        <w:rPr>
          <w:spacing w:val="-4"/>
        </w:rPr>
        <w:t> </w:t>
      </w:r>
      <w:r>
        <w:rPr/>
        <w:t>que</w:t>
      </w:r>
      <w:r>
        <w:rPr>
          <w:spacing w:val="-6"/>
        </w:rPr>
        <w:t> </w:t>
      </w:r>
      <w:r>
        <w:rPr/>
        <w:t>se</w:t>
      </w:r>
      <w:r>
        <w:rPr>
          <w:spacing w:val="-3"/>
        </w:rPr>
        <w:t> </w:t>
      </w:r>
      <w:r>
        <w:rPr/>
        <w:t>espera</w:t>
      </w:r>
      <w:r>
        <w:rPr>
          <w:spacing w:val="-3"/>
        </w:rPr>
        <w:t> </w:t>
      </w:r>
      <w:r>
        <w:rPr/>
        <w:t>que</w:t>
      </w:r>
      <w:r>
        <w:rPr>
          <w:spacing w:val="-3"/>
        </w:rPr>
        <w:t> </w:t>
      </w:r>
      <w:r>
        <w:rPr/>
        <w:t>el</w:t>
      </w:r>
      <w:r>
        <w:rPr>
          <w:spacing w:val="-5"/>
        </w:rPr>
        <w:t> </w:t>
      </w:r>
      <w:r>
        <w:rPr/>
        <w:t>crecimiento</w:t>
      </w:r>
      <w:r>
        <w:rPr>
          <w:spacing w:val="-4"/>
        </w:rPr>
        <w:t> </w:t>
      </w:r>
      <w:r>
        <w:rPr/>
        <w:t>económico</w:t>
      </w:r>
      <w:r>
        <w:rPr>
          <w:spacing w:val="-3"/>
        </w:rPr>
        <w:t> </w:t>
      </w:r>
      <w:r>
        <w:rPr/>
        <w:t>mundial</w:t>
      </w:r>
      <w:r>
        <w:rPr>
          <w:spacing w:val="-3"/>
        </w:rPr>
        <w:t> </w:t>
      </w:r>
      <w:r>
        <w:rPr/>
        <w:t>se</w:t>
      </w:r>
      <w:r>
        <w:rPr>
          <w:spacing w:val="-3"/>
        </w:rPr>
        <w:t> </w:t>
      </w:r>
      <w:r>
        <w:rPr/>
        <w:t>desacelere</w:t>
      </w:r>
      <w:r>
        <w:rPr>
          <w:spacing w:val="-3"/>
        </w:rPr>
        <w:t> </w:t>
      </w:r>
      <w:r>
        <w:rPr/>
        <w:t>en</w:t>
      </w:r>
      <w:r>
        <w:rPr>
          <w:spacing w:val="-4"/>
        </w:rPr>
        <w:t> </w:t>
      </w:r>
      <w:r>
        <w:rPr/>
        <w:t>2022</w:t>
      </w:r>
      <w:r>
        <w:rPr>
          <w:spacing w:val="-4"/>
        </w:rPr>
        <w:t> </w:t>
      </w:r>
      <w:r>
        <w:rPr/>
        <w:t>y</w:t>
      </w:r>
      <w:r>
        <w:rPr>
          <w:spacing w:val="-6"/>
        </w:rPr>
        <w:t> </w:t>
      </w:r>
      <w:r>
        <w:rPr/>
        <w:t>2023,</w:t>
      </w:r>
      <w:r>
        <w:rPr>
          <w:spacing w:val="-4"/>
        </w:rPr>
        <w:t> </w:t>
      </w:r>
      <w:r>
        <w:rPr/>
        <w:t>esto</w:t>
      </w:r>
      <w:r>
        <w:rPr>
          <w:spacing w:val="-6"/>
        </w:rPr>
        <w:t> </w:t>
      </w:r>
      <w:r>
        <w:rPr/>
        <w:t>tendrá impacto en la demanda del petróleo. Sin embargo, existen otras presiones contrarias como lo son el efecto</w:t>
      </w:r>
      <w:r>
        <w:rPr>
          <w:spacing w:val="7"/>
        </w:rPr>
        <w:t> </w:t>
      </w:r>
      <w:r>
        <w:rPr/>
        <w:t>contagio</w:t>
      </w:r>
      <w:r>
        <w:rPr>
          <w:spacing w:val="8"/>
        </w:rPr>
        <w:t> </w:t>
      </w:r>
      <w:r>
        <w:rPr/>
        <w:t>de</w:t>
      </w:r>
      <w:r>
        <w:rPr>
          <w:spacing w:val="8"/>
        </w:rPr>
        <w:t> </w:t>
      </w:r>
      <w:r>
        <w:rPr/>
        <w:t>la</w:t>
      </w:r>
      <w:r>
        <w:rPr>
          <w:spacing w:val="8"/>
        </w:rPr>
        <w:t> </w:t>
      </w:r>
      <w:r>
        <w:rPr/>
        <w:t>guerra,</w:t>
      </w:r>
      <w:r>
        <w:rPr>
          <w:spacing w:val="11"/>
        </w:rPr>
        <w:t> </w:t>
      </w:r>
      <w:r>
        <w:rPr/>
        <w:t>el</w:t>
      </w:r>
      <w:r>
        <w:rPr>
          <w:spacing w:val="10"/>
        </w:rPr>
        <w:t> </w:t>
      </w:r>
      <w:r>
        <w:rPr/>
        <w:t>cese</w:t>
      </w:r>
      <w:r>
        <w:rPr>
          <w:spacing w:val="9"/>
        </w:rPr>
        <w:t> </w:t>
      </w:r>
      <w:r>
        <w:rPr/>
        <w:t>de</w:t>
      </w:r>
      <w:r>
        <w:rPr>
          <w:spacing w:val="8"/>
        </w:rPr>
        <w:t> </w:t>
      </w:r>
      <w:r>
        <w:rPr/>
        <w:t>la</w:t>
      </w:r>
      <w:r>
        <w:rPr>
          <w:spacing w:val="11"/>
        </w:rPr>
        <w:t> </w:t>
      </w:r>
      <w:r>
        <w:rPr/>
        <w:t>demanda</w:t>
      </w:r>
      <w:r>
        <w:rPr>
          <w:spacing w:val="11"/>
        </w:rPr>
        <w:t> </w:t>
      </w:r>
      <w:r>
        <w:rPr/>
        <w:t>reprimida</w:t>
      </w:r>
      <w:r>
        <w:rPr>
          <w:spacing w:val="10"/>
        </w:rPr>
        <w:t> </w:t>
      </w:r>
      <w:r>
        <w:rPr/>
        <w:t>por</w:t>
      </w:r>
      <w:r>
        <w:rPr>
          <w:spacing w:val="9"/>
        </w:rPr>
        <w:t> </w:t>
      </w:r>
      <w:r>
        <w:rPr/>
        <w:t>la</w:t>
      </w:r>
      <w:r>
        <w:rPr>
          <w:spacing w:val="8"/>
        </w:rPr>
        <w:t> </w:t>
      </w:r>
      <w:r>
        <w:rPr/>
        <w:t>pandemia</w:t>
      </w:r>
      <w:r>
        <w:rPr>
          <w:spacing w:val="11"/>
        </w:rPr>
        <w:t> </w:t>
      </w:r>
      <w:r>
        <w:rPr/>
        <w:t>y</w:t>
      </w:r>
      <w:r>
        <w:rPr>
          <w:spacing w:val="6"/>
        </w:rPr>
        <w:t> </w:t>
      </w:r>
      <w:r>
        <w:rPr/>
        <w:t>la</w:t>
      </w:r>
      <w:r>
        <w:rPr>
          <w:spacing w:val="8"/>
        </w:rPr>
        <w:t> </w:t>
      </w:r>
      <w:r>
        <w:rPr/>
        <w:t>finalización</w:t>
      </w:r>
      <w:r>
        <w:rPr>
          <w:spacing w:val="9"/>
        </w:rPr>
        <w:t> </w:t>
      </w:r>
      <w:r>
        <w:rPr/>
        <w:t>del</w:t>
      </w:r>
    </w:p>
    <w:p>
      <w:pPr>
        <w:spacing w:after="0" w:line="276" w:lineRule="auto"/>
        <w:jc w:val="both"/>
        <w:sectPr>
          <w:pgSz w:w="12240" w:h="15840"/>
          <w:pgMar w:header="715" w:footer="957" w:top="1240" w:bottom="1140" w:left="1140" w:right="0"/>
        </w:sectPr>
      </w:pPr>
    </w:p>
    <w:p>
      <w:pPr>
        <w:pStyle w:val="BodyText"/>
        <w:spacing w:line="276" w:lineRule="auto" w:before="162"/>
        <w:ind w:left="562" w:right="1697"/>
        <w:jc w:val="both"/>
      </w:pPr>
      <w:r>
        <w:rPr/>
        <w:t>apoyo</w:t>
      </w:r>
      <w:r>
        <w:rPr>
          <w:spacing w:val="-17"/>
        </w:rPr>
        <w:t> </w:t>
      </w:r>
      <w:r>
        <w:rPr/>
        <w:t>de</w:t>
      </w:r>
      <w:r>
        <w:rPr>
          <w:spacing w:val="-15"/>
        </w:rPr>
        <w:t> </w:t>
      </w:r>
      <w:r>
        <w:rPr/>
        <w:t>las</w:t>
      </w:r>
      <w:r>
        <w:rPr>
          <w:spacing w:val="-15"/>
        </w:rPr>
        <w:t> </w:t>
      </w:r>
      <w:r>
        <w:rPr/>
        <w:t>políticas</w:t>
      </w:r>
      <w:r>
        <w:rPr>
          <w:spacing w:val="-15"/>
        </w:rPr>
        <w:t> </w:t>
      </w:r>
      <w:r>
        <w:rPr/>
        <w:t>económicas,</w:t>
      </w:r>
      <w:r>
        <w:rPr>
          <w:spacing w:val="-15"/>
        </w:rPr>
        <w:t> </w:t>
      </w:r>
      <w:r>
        <w:rPr/>
        <w:t>por</w:t>
      </w:r>
      <w:r>
        <w:rPr>
          <w:spacing w:val="-15"/>
        </w:rPr>
        <w:t> </w:t>
      </w:r>
      <w:r>
        <w:rPr/>
        <w:t>lo</w:t>
      </w:r>
      <w:r>
        <w:rPr>
          <w:spacing w:val="-17"/>
        </w:rPr>
        <w:t> </w:t>
      </w:r>
      <w:r>
        <w:rPr/>
        <w:t>que</w:t>
      </w:r>
      <w:r>
        <w:rPr>
          <w:spacing w:val="-15"/>
        </w:rPr>
        <w:t> </w:t>
      </w:r>
      <w:r>
        <w:rPr/>
        <w:t>la</w:t>
      </w:r>
      <w:r>
        <w:rPr>
          <w:spacing w:val="-15"/>
        </w:rPr>
        <w:t> </w:t>
      </w:r>
      <w:r>
        <w:rPr/>
        <w:t>Administración</w:t>
      </w:r>
      <w:r>
        <w:rPr>
          <w:spacing w:val="-16"/>
        </w:rPr>
        <w:t> </w:t>
      </w:r>
      <w:r>
        <w:rPr/>
        <w:t>de</w:t>
      </w:r>
      <w:r>
        <w:rPr>
          <w:spacing w:val="-15"/>
        </w:rPr>
        <w:t> </w:t>
      </w:r>
      <w:r>
        <w:rPr/>
        <w:t>Información</w:t>
      </w:r>
      <w:r>
        <w:rPr>
          <w:spacing w:val="-16"/>
        </w:rPr>
        <w:t> </w:t>
      </w:r>
      <w:r>
        <w:rPr/>
        <w:t>de</w:t>
      </w:r>
      <w:r>
        <w:rPr>
          <w:spacing w:val="-18"/>
        </w:rPr>
        <w:t> </w:t>
      </w:r>
      <w:r>
        <w:rPr/>
        <w:t>Energía</w:t>
      </w:r>
      <w:r>
        <w:rPr>
          <w:spacing w:val="-15"/>
        </w:rPr>
        <w:t> </w:t>
      </w:r>
      <w:r>
        <w:rPr/>
        <w:t>de</w:t>
      </w:r>
      <w:r>
        <w:rPr>
          <w:spacing w:val="-16"/>
        </w:rPr>
        <w:t> </w:t>
      </w:r>
      <w:r>
        <w:rPr/>
        <w:t>Estados Unidos</w:t>
      </w:r>
      <w:r>
        <w:rPr>
          <w:spacing w:val="-14"/>
        </w:rPr>
        <w:t> </w:t>
      </w:r>
      <w:r>
        <w:rPr/>
        <w:t>-EIA-</w:t>
      </w:r>
      <w:r>
        <w:rPr>
          <w:spacing w:val="-17"/>
        </w:rPr>
        <w:t> </w:t>
      </w:r>
      <w:r>
        <w:rPr/>
        <w:t>por</w:t>
      </w:r>
      <w:r>
        <w:rPr>
          <w:spacing w:val="-14"/>
        </w:rPr>
        <w:t> </w:t>
      </w:r>
      <w:r>
        <w:rPr/>
        <w:t>sus</w:t>
      </w:r>
      <w:r>
        <w:rPr>
          <w:spacing w:val="-13"/>
        </w:rPr>
        <w:t> </w:t>
      </w:r>
      <w:r>
        <w:rPr/>
        <w:t>siglas</w:t>
      </w:r>
      <w:r>
        <w:rPr>
          <w:spacing w:val="-15"/>
        </w:rPr>
        <w:t> </w:t>
      </w:r>
      <w:r>
        <w:rPr/>
        <w:t>en</w:t>
      </w:r>
      <w:r>
        <w:rPr>
          <w:spacing w:val="-13"/>
        </w:rPr>
        <w:t> </w:t>
      </w:r>
      <w:r>
        <w:rPr/>
        <w:t>inglés,</w:t>
      </w:r>
      <w:r>
        <w:rPr>
          <w:spacing w:val="-13"/>
        </w:rPr>
        <w:t> </w:t>
      </w:r>
      <w:r>
        <w:rPr/>
        <w:t>proyecta</w:t>
      </w:r>
      <w:r>
        <w:rPr>
          <w:spacing w:val="-14"/>
        </w:rPr>
        <w:t> </w:t>
      </w:r>
      <w:r>
        <w:rPr/>
        <w:t>que</w:t>
      </w:r>
      <w:r>
        <w:rPr>
          <w:spacing w:val="-15"/>
        </w:rPr>
        <w:t> </w:t>
      </w:r>
      <w:r>
        <w:rPr/>
        <w:t>el</w:t>
      </w:r>
      <w:r>
        <w:rPr>
          <w:spacing w:val="-15"/>
        </w:rPr>
        <w:t> </w:t>
      </w:r>
      <w:r>
        <w:rPr/>
        <w:t>consumo</w:t>
      </w:r>
      <w:r>
        <w:rPr>
          <w:spacing w:val="-13"/>
        </w:rPr>
        <w:t> </w:t>
      </w:r>
      <w:r>
        <w:rPr/>
        <w:t>de</w:t>
      </w:r>
      <w:r>
        <w:rPr>
          <w:spacing w:val="-14"/>
        </w:rPr>
        <w:t> </w:t>
      </w:r>
      <w:r>
        <w:rPr/>
        <w:t>petróleo</w:t>
      </w:r>
      <w:r>
        <w:rPr>
          <w:spacing w:val="-13"/>
        </w:rPr>
        <w:t> </w:t>
      </w:r>
      <w:r>
        <w:rPr/>
        <w:t>y</w:t>
      </w:r>
      <w:r>
        <w:rPr>
          <w:spacing w:val="-17"/>
        </w:rPr>
        <w:t> </w:t>
      </w:r>
      <w:r>
        <w:rPr/>
        <w:t>de</w:t>
      </w:r>
      <w:r>
        <w:rPr>
          <w:spacing w:val="-15"/>
        </w:rPr>
        <w:t> </w:t>
      </w:r>
      <w:r>
        <w:rPr/>
        <w:t>combustibles</w:t>
      </w:r>
      <w:r>
        <w:rPr>
          <w:spacing w:val="-16"/>
        </w:rPr>
        <w:t> </w:t>
      </w:r>
      <w:r>
        <w:rPr/>
        <w:t>líquidos aumentará en 1.9 mb/d en 2023, por lo que tendrá un promedio de 101.5</w:t>
      </w:r>
      <w:r>
        <w:rPr>
          <w:spacing w:val="-11"/>
        </w:rPr>
        <w:t> </w:t>
      </w:r>
      <w:r>
        <w:rPr/>
        <w:t>mb/d.</w:t>
      </w:r>
    </w:p>
    <w:p>
      <w:pPr>
        <w:pStyle w:val="BodyText"/>
        <w:spacing w:before="4"/>
        <w:rPr>
          <w:sz w:val="25"/>
        </w:rPr>
      </w:pPr>
    </w:p>
    <w:p>
      <w:pPr>
        <w:pStyle w:val="BodyText"/>
        <w:spacing w:line="276" w:lineRule="auto"/>
        <w:ind w:left="562" w:right="1696"/>
        <w:jc w:val="both"/>
      </w:pPr>
      <w:r>
        <w:rPr/>
        <w:t>En el caso de la oferta de petróleo y de combustibles líquidos, la EIA estima que la producción mundial aumentará en 1.7 mb/d y que será de 101.60 mb/d para 2023, valores mayores a los observados</w:t>
      </w:r>
      <w:r>
        <w:rPr>
          <w:spacing w:val="-13"/>
        </w:rPr>
        <w:t> </w:t>
      </w:r>
      <w:r>
        <w:rPr/>
        <w:t>en</w:t>
      </w:r>
      <w:r>
        <w:rPr>
          <w:spacing w:val="-15"/>
        </w:rPr>
        <w:t> </w:t>
      </w:r>
      <w:r>
        <w:rPr/>
        <w:t>2019.</w:t>
      </w:r>
      <w:r>
        <w:rPr>
          <w:spacing w:val="-13"/>
        </w:rPr>
        <w:t> </w:t>
      </w:r>
      <w:r>
        <w:rPr/>
        <w:t>Se</w:t>
      </w:r>
      <w:r>
        <w:rPr>
          <w:spacing w:val="-15"/>
        </w:rPr>
        <w:t> </w:t>
      </w:r>
      <w:r>
        <w:rPr/>
        <w:t>esperan</w:t>
      </w:r>
      <w:r>
        <w:rPr>
          <w:spacing w:val="-15"/>
        </w:rPr>
        <w:t> </w:t>
      </w:r>
      <w:r>
        <w:rPr/>
        <w:t>aumentos</w:t>
      </w:r>
      <w:r>
        <w:rPr>
          <w:spacing w:val="-15"/>
        </w:rPr>
        <w:t> </w:t>
      </w:r>
      <w:r>
        <w:rPr/>
        <w:t>de</w:t>
      </w:r>
      <w:r>
        <w:rPr>
          <w:spacing w:val="-14"/>
        </w:rPr>
        <w:t> </w:t>
      </w:r>
      <w:r>
        <w:rPr/>
        <w:t>la</w:t>
      </w:r>
      <w:r>
        <w:rPr>
          <w:spacing w:val="-15"/>
        </w:rPr>
        <w:t> </w:t>
      </w:r>
      <w:r>
        <w:rPr/>
        <w:t>producción</w:t>
      </w:r>
      <w:r>
        <w:rPr>
          <w:spacing w:val="-16"/>
        </w:rPr>
        <w:t> </w:t>
      </w:r>
      <w:r>
        <w:rPr/>
        <w:t>de</w:t>
      </w:r>
      <w:r>
        <w:rPr>
          <w:spacing w:val="-13"/>
        </w:rPr>
        <w:t> </w:t>
      </w:r>
      <w:r>
        <w:rPr/>
        <w:t>Estados</w:t>
      </w:r>
      <w:r>
        <w:rPr>
          <w:spacing w:val="-14"/>
        </w:rPr>
        <w:t> </w:t>
      </w:r>
      <w:r>
        <w:rPr/>
        <w:t>Unidos</w:t>
      </w:r>
      <w:r>
        <w:rPr>
          <w:spacing w:val="-13"/>
        </w:rPr>
        <w:t> </w:t>
      </w:r>
      <w:r>
        <w:rPr/>
        <w:t>y</w:t>
      </w:r>
      <w:r>
        <w:rPr>
          <w:spacing w:val="-16"/>
        </w:rPr>
        <w:t> </w:t>
      </w:r>
      <w:r>
        <w:rPr/>
        <w:t>que</w:t>
      </w:r>
      <w:r>
        <w:rPr>
          <w:spacing w:val="-12"/>
        </w:rPr>
        <w:t> </w:t>
      </w:r>
      <w:r>
        <w:rPr/>
        <w:t>las</w:t>
      </w:r>
      <w:r>
        <w:rPr>
          <w:spacing w:val="-15"/>
        </w:rPr>
        <w:t> </w:t>
      </w:r>
      <w:r>
        <w:rPr/>
        <w:t>exportaciones rusas se vean afectadas de forma grave por la reducción de importaciones de otros países y por las sanciones actuales. No obstante, se ha visto poca desviación de las exportaciones rusas dado a lo limitado de la infraestructura y a la disponibilidad de financiamiento. Sin embargo, se espera miembros de la OPEP+ finalizarán con los recortes de producción y que otros países como Estados Unidos, Brasil y Canadá tengan aumentos en la</w:t>
      </w:r>
      <w:r>
        <w:rPr>
          <w:spacing w:val="-7"/>
        </w:rPr>
        <w:t> </w:t>
      </w:r>
      <w:r>
        <w:rPr/>
        <w:t>misma.</w:t>
      </w:r>
    </w:p>
    <w:p>
      <w:pPr>
        <w:pStyle w:val="BodyText"/>
        <w:spacing w:before="4"/>
        <w:rPr>
          <w:sz w:val="25"/>
        </w:rPr>
      </w:pPr>
    </w:p>
    <w:p>
      <w:pPr>
        <w:pStyle w:val="BodyText"/>
        <w:spacing w:line="276" w:lineRule="auto"/>
        <w:ind w:left="562" w:right="1695"/>
        <w:jc w:val="both"/>
      </w:pPr>
      <w:r>
        <w:rPr/>
        <w:t>Dado lo anterior, el FMI proyecta que para el 2023 el precio promedio del barril de petróleo de WTI sea</w:t>
      </w:r>
      <w:r>
        <w:rPr>
          <w:spacing w:val="-11"/>
        </w:rPr>
        <w:t> </w:t>
      </w:r>
      <w:r>
        <w:rPr/>
        <w:t>de</w:t>
      </w:r>
      <w:r>
        <w:rPr>
          <w:spacing w:val="-11"/>
        </w:rPr>
        <w:t> </w:t>
      </w:r>
      <w:r>
        <w:rPr/>
        <w:t>USD$</w:t>
      </w:r>
      <w:r>
        <w:rPr>
          <w:spacing w:val="-11"/>
        </w:rPr>
        <w:t> </w:t>
      </w:r>
      <w:r>
        <w:rPr/>
        <w:t>103.9,</w:t>
      </w:r>
      <w:r>
        <w:rPr>
          <w:spacing w:val="-14"/>
        </w:rPr>
        <w:t> </w:t>
      </w:r>
      <w:r>
        <w:rPr/>
        <w:t>implicando</w:t>
      </w:r>
      <w:r>
        <w:rPr>
          <w:spacing w:val="-11"/>
        </w:rPr>
        <w:t> </w:t>
      </w:r>
      <w:r>
        <w:rPr/>
        <w:t>un</w:t>
      </w:r>
      <w:r>
        <w:rPr>
          <w:spacing w:val="-14"/>
        </w:rPr>
        <w:t> </w:t>
      </w:r>
      <w:r>
        <w:rPr/>
        <w:t>incremento</w:t>
      </w:r>
      <w:r>
        <w:rPr>
          <w:spacing w:val="-11"/>
        </w:rPr>
        <w:t> </w:t>
      </w:r>
      <w:r>
        <w:rPr/>
        <w:t>del</w:t>
      </w:r>
      <w:r>
        <w:rPr>
          <w:spacing w:val="-11"/>
        </w:rPr>
        <w:t> </w:t>
      </w:r>
      <w:r>
        <w:rPr/>
        <w:t>37.9%</w:t>
      </w:r>
      <w:r>
        <w:rPr>
          <w:spacing w:val="-10"/>
        </w:rPr>
        <w:t> </w:t>
      </w:r>
      <w:r>
        <w:rPr/>
        <w:t>con</w:t>
      </w:r>
      <w:r>
        <w:rPr>
          <w:spacing w:val="-14"/>
        </w:rPr>
        <w:t> </w:t>
      </w:r>
      <w:r>
        <w:rPr/>
        <w:t>respecto</w:t>
      </w:r>
      <w:r>
        <w:rPr>
          <w:spacing w:val="-13"/>
        </w:rPr>
        <w:t> </w:t>
      </w:r>
      <w:r>
        <w:rPr/>
        <w:t>al</w:t>
      </w:r>
      <w:r>
        <w:rPr>
          <w:spacing w:val="-11"/>
        </w:rPr>
        <w:t> </w:t>
      </w:r>
      <w:r>
        <w:rPr/>
        <w:t>2022.</w:t>
      </w:r>
      <w:r>
        <w:rPr>
          <w:spacing w:val="-11"/>
        </w:rPr>
        <w:t> </w:t>
      </w:r>
      <w:r>
        <w:rPr/>
        <w:t>Para</w:t>
      </w:r>
      <w:r>
        <w:rPr>
          <w:spacing w:val="-11"/>
        </w:rPr>
        <w:t> </w:t>
      </w:r>
      <w:r>
        <w:rPr/>
        <w:t>el</w:t>
      </w:r>
      <w:r>
        <w:rPr>
          <w:spacing w:val="-10"/>
        </w:rPr>
        <w:t> </w:t>
      </w:r>
      <w:r>
        <w:rPr/>
        <w:t>mediano</w:t>
      </w:r>
      <w:r>
        <w:rPr>
          <w:spacing w:val="-12"/>
        </w:rPr>
        <w:t> </w:t>
      </w:r>
      <w:r>
        <w:rPr/>
        <w:t>plazo se prevé que los precios se reduzcan gradualmente hasta alcanzar los USD$67.8 para 2027, precios similares a los observados antes de la</w:t>
      </w:r>
      <w:r>
        <w:rPr>
          <w:spacing w:val="-7"/>
        </w:rPr>
        <w:t> </w:t>
      </w:r>
      <w:r>
        <w:rPr/>
        <w:t>pandemia.</w:t>
      </w:r>
    </w:p>
    <w:p>
      <w:pPr>
        <w:pStyle w:val="BodyText"/>
        <w:spacing w:before="3"/>
        <w:rPr>
          <w:sz w:val="25"/>
        </w:rPr>
      </w:pPr>
    </w:p>
    <w:p>
      <w:pPr>
        <w:pStyle w:val="BodyText"/>
        <w:spacing w:line="276" w:lineRule="auto"/>
        <w:ind w:left="562" w:right="1693"/>
        <w:jc w:val="both"/>
      </w:pPr>
      <w:r>
        <w:rPr/>
        <w:t>Entre</w:t>
      </w:r>
      <w:r>
        <w:rPr>
          <w:spacing w:val="-11"/>
        </w:rPr>
        <w:t> </w:t>
      </w:r>
      <w:r>
        <w:rPr/>
        <w:t>los</w:t>
      </w:r>
      <w:r>
        <w:rPr>
          <w:spacing w:val="-10"/>
        </w:rPr>
        <w:t> </w:t>
      </w:r>
      <w:r>
        <w:rPr/>
        <w:t>riesgos</w:t>
      </w:r>
      <w:r>
        <w:rPr>
          <w:spacing w:val="-8"/>
        </w:rPr>
        <w:t> </w:t>
      </w:r>
      <w:r>
        <w:rPr/>
        <w:t>al</w:t>
      </w:r>
      <w:r>
        <w:rPr>
          <w:spacing w:val="-7"/>
        </w:rPr>
        <w:t> </w:t>
      </w:r>
      <w:r>
        <w:rPr/>
        <w:t>alza</w:t>
      </w:r>
      <w:r>
        <w:rPr>
          <w:spacing w:val="-8"/>
        </w:rPr>
        <w:t> </w:t>
      </w:r>
      <w:r>
        <w:rPr/>
        <w:t>del</w:t>
      </w:r>
      <w:r>
        <w:rPr>
          <w:spacing w:val="-10"/>
        </w:rPr>
        <w:t> </w:t>
      </w:r>
      <w:r>
        <w:rPr/>
        <w:t>precio</w:t>
      </w:r>
      <w:r>
        <w:rPr>
          <w:spacing w:val="-9"/>
        </w:rPr>
        <w:t> </w:t>
      </w:r>
      <w:r>
        <w:rPr/>
        <w:t>de</w:t>
      </w:r>
      <w:r>
        <w:rPr>
          <w:spacing w:val="-8"/>
        </w:rPr>
        <w:t> </w:t>
      </w:r>
      <w:r>
        <w:rPr/>
        <w:t>mediano</w:t>
      </w:r>
      <w:r>
        <w:rPr>
          <w:spacing w:val="-8"/>
        </w:rPr>
        <w:t> </w:t>
      </w:r>
      <w:r>
        <w:rPr/>
        <w:t>plazo</w:t>
      </w:r>
      <w:r>
        <w:rPr>
          <w:spacing w:val="-10"/>
        </w:rPr>
        <w:t> </w:t>
      </w:r>
      <w:r>
        <w:rPr/>
        <w:t>identificados</w:t>
      </w:r>
      <w:r>
        <w:rPr>
          <w:spacing w:val="-8"/>
        </w:rPr>
        <w:t> </w:t>
      </w:r>
      <w:r>
        <w:rPr/>
        <w:t>por</w:t>
      </w:r>
      <w:r>
        <w:rPr>
          <w:spacing w:val="-8"/>
        </w:rPr>
        <w:t> </w:t>
      </w:r>
      <w:r>
        <w:rPr/>
        <w:t>el</w:t>
      </w:r>
      <w:r>
        <w:rPr>
          <w:spacing w:val="-8"/>
        </w:rPr>
        <w:t> </w:t>
      </w:r>
      <w:r>
        <w:rPr/>
        <w:t>Banco</w:t>
      </w:r>
      <w:r>
        <w:rPr>
          <w:spacing w:val="-11"/>
        </w:rPr>
        <w:t> </w:t>
      </w:r>
      <w:r>
        <w:rPr/>
        <w:t>Mundial</w:t>
      </w:r>
      <w:r>
        <w:rPr>
          <w:spacing w:val="-8"/>
        </w:rPr>
        <w:t> </w:t>
      </w:r>
      <w:r>
        <w:rPr/>
        <w:t>se</w:t>
      </w:r>
      <w:r>
        <w:rPr>
          <w:spacing w:val="-8"/>
        </w:rPr>
        <w:t> </w:t>
      </w:r>
      <w:r>
        <w:rPr/>
        <w:t>encuentra que la guerra se prolongue por mayor tiempo o que existan mayores interrupciones de las exportaciones rusas, por ejemplo, que la Unión Europea prohíba más rápido de lo esperado las importaciones</w:t>
      </w:r>
      <w:r>
        <w:rPr>
          <w:spacing w:val="-9"/>
        </w:rPr>
        <w:t> </w:t>
      </w:r>
      <w:r>
        <w:rPr/>
        <w:t>de</w:t>
      </w:r>
      <w:r>
        <w:rPr>
          <w:spacing w:val="-11"/>
        </w:rPr>
        <w:t> </w:t>
      </w:r>
      <w:r>
        <w:rPr/>
        <w:t>Rusia.</w:t>
      </w:r>
      <w:r>
        <w:rPr>
          <w:spacing w:val="-9"/>
        </w:rPr>
        <w:t> </w:t>
      </w:r>
      <w:r>
        <w:rPr/>
        <w:t>Entre</w:t>
      </w:r>
      <w:r>
        <w:rPr>
          <w:spacing w:val="-11"/>
        </w:rPr>
        <w:t> </w:t>
      </w:r>
      <w:r>
        <w:rPr/>
        <w:t>los</w:t>
      </w:r>
      <w:r>
        <w:rPr>
          <w:spacing w:val="-9"/>
        </w:rPr>
        <w:t> </w:t>
      </w:r>
      <w:r>
        <w:rPr/>
        <w:t>riesgos</w:t>
      </w:r>
      <w:r>
        <w:rPr>
          <w:spacing w:val="-10"/>
        </w:rPr>
        <w:t> </w:t>
      </w:r>
      <w:r>
        <w:rPr/>
        <w:t>a</w:t>
      </w:r>
      <w:r>
        <w:rPr>
          <w:spacing w:val="-9"/>
        </w:rPr>
        <w:t> </w:t>
      </w:r>
      <w:r>
        <w:rPr/>
        <w:t>la</w:t>
      </w:r>
      <w:r>
        <w:rPr>
          <w:spacing w:val="-8"/>
        </w:rPr>
        <w:t> </w:t>
      </w:r>
      <w:r>
        <w:rPr/>
        <w:t>baja</w:t>
      </w:r>
      <w:r>
        <w:rPr>
          <w:spacing w:val="-12"/>
        </w:rPr>
        <w:t> </w:t>
      </w:r>
      <w:r>
        <w:rPr/>
        <w:t>se</w:t>
      </w:r>
      <w:r>
        <w:rPr>
          <w:spacing w:val="-10"/>
        </w:rPr>
        <w:t> </w:t>
      </w:r>
      <w:r>
        <w:rPr/>
        <w:t>encuentra</w:t>
      </w:r>
      <w:r>
        <w:rPr>
          <w:spacing w:val="-12"/>
        </w:rPr>
        <w:t> </w:t>
      </w:r>
      <w:r>
        <w:rPr/>
        <w:t>el</w:t>
      </w:r>
      <w:r>
        <w:rPr>
          <w:spacing w:val="-8"/>
        </w:rPr>
        <w:t> </w:t>
      </w:r>
      <w:r>
        <w:rPr/>
        <w:t>anuncio</w:t>
      </w:r>
      <w:r>
        <w:rPr>
          <w:spacing w:val="-10"/>
        </w:rPr>
        <w:t> </w:t>
      </w:r>
      <w:r>
        <w:rPr/>
        <w:t>de</w:t>
      </w:r>
      <w:r>
        <w:rPr>
          <w:spacing w:val="-11"/>
        </w:rPr>
        <w:t> </w:t>
      </w:r>
      <w:r>
        <w:rPr/>
        <w:t>Arabia</w:t>
      </w:r>
      <w:r>
        <w:rPr>
          <w:spacing w:val="-9"/>
        </w:rPr>
        <w:t> </w:t>
      </w:r>
      <w:r>
        <w:rPr/>
        <w:t>Saudita</w:t>
      </w:r>
      <w:r>
        <w:rPr>
          <w:spacing w:val="-10"/>
        </w:rPr>
        <w:t> </w:t>
      </w:r>
      <w:r>
        <w:rPr/>
        <w:t>de</w:t>
      </w:r>
      <w:r>
        <w:rPr>
          <w:spacing w:val="-9"/>
        </w:rPr>
        <w:t> </w:t>
      </w:r>
      <w:r>
        <w:rPr/>
        <w:t>hacer una mayor inversión para expandir la capacidad instalada de producción de petróleo, no obstante, se espera que este aumento sea gradual y que se observen incrementos significativos hasta</w:t>
      </w:r>
      <w:r>
        <w:rPr>
          <w:spacing w:val="-13"/>
        </w:rPr>
        <w:t> </w:t>
      </w:r>
      <w:r>
        <w:rPr/>
        <w:t>2025.</w:t>
      </w:r>
    </w:p>
    <w:p>
      <w:pPr>
        <w:pStyle w:val="BodyText"/>
        <w:spacing w:before="9"/>
        <w:rPr>
          <w:sz w:val="25"/>
        </w:rPr>
      </w:pPr>
    </w:p>
    <w:p>
      <w:pPr>
        <w:spacing w:before="1"/>
        <w:ind w:left="2965" w:right="0" w:firstLine="0"/>
        <w:jc w:val="left"/>
        <w:rPr>
          <w:b/>
          <w:sz w:val="20"/>
        </w:rPr>
      </w:pPr>
      <w:r>
        <w:rPr/>
        <w:pict>
          <v:group style="position:absolute;margin-left:313.982697pt;margin-top:52.857628pt;width:212.3pt;height:164.4pt;mso-position-horizontal-relative:page;mso-position-vertical-relative:paragraph;z-index:-280993792" coordorigin="6280,1057" coordsize="4246,3288">
            <v:rect style="position:absolute;left:6279;top:1057;width:4246;height:3288" filled="true" fillcolor="#ececec" stroked="false">
              <v:fill type="solid"/>
            </v:rect>
            <v:shape style="position:absolute;left:6692;top:1252;width:296;height:144" type="#_x0000_t202" filled="false" stroked="false">
              <v:textbox inset="0,0,0,0">
                <w:txbxContent>
                  <w:p>
                    <w:pPr>
                      <w:spacing w:line="144" w:lineRule="exact" w:before="0"/>
                      <w:ind w:left="0" w:right="0" w:firstLine="0"/>
                      <w:jc w:val="left"/>
                      <w:rPr>
                        <w:b/>
                        <w:sz w:val="13"/>
                      </w:rPr>
                    </w:pPr>
                    <w:r>
                      <w:rPr>
                        <w:b/>
                        <w:sz w:val="13"/>
                      </w:rPr>
                      <w:t>2022</w:t>
                    </w:r>
                  </w:p>
                </w:txbxContent>
              </v:textbox>
              <w10:wrap type="none"/>
            </v:shape>
            <v:shape style="position:absolute;left:7399;top:1079;width:1708;height:317" type="#_x0000_t202" filled="false" stroked="false">
              <v:textbox inset="0,0,0,0">
                <w:txbxContent>
                  <w:p>
                    <w:pPr>
                      <w:spacing w:line="144" w:lineRule="exact" w:before="0"/>
                      <w:ind w:left="628" w:right="0" w:firstLine="0"/>
                      <w:jc w:val="left"/>
                      <w:rPr>
                        <w:b/>
                        <w:sz w:val="13"/>
                      </w:rPr>
                    </w:pPr>
                    <w:r>
                      <w:rPr>
                        <w:b/>
                        <w:sz w:val="13"/>
                      </w:rPr>
                      <w:t>Proyecciones</w:t>
                    </w:r>
                  </w:p>
                  <w:p>
                    <w:pPr>
                      <w:tabs>
                        <w:tab w:pos="705" w:val="left" w:leader="none"/>
                        <w:tab w:pos="1412" w:val="left" w:leader="none"/>
                      </w:tabs>
                      <w:spacing w:before="23"/>
                      <w:ind w:left="0" w:right="0" w:firstLine="0"/>
                      <w:jc w:val="left"/>
                      <w:rPr>
                        <w:b/>
                        <w:sz w:val="13"/>
                      </w:rPr>
                    </w:pPr>
                    <w:r>
                      <w:rPr>
                        <w:b/>
                        <w:spacing w:val="3"/>
                        <w:sz w:val="13"/>
                      </w:rPr>
                      <w:t>2023</w:t>
                      <w:tab/>
                      <w:t>2024</w:t>
                      <w:tab/>
                    </w:r>
                    <w:r>
                      <w:rPr>
                        <w:b/>
                        <w:spacing w:val="4"/>
                        <w:sz w:val="13"/>
                      </w:rPr>
                      <w:t>2025</w:t>
                    </w:r>
                  </w:p>
                </w:txbxContent>
              </v:textbox>
              <w10:wrap type="none"/>
            </v:shape>
            <v:shape style="position:absolute;left:9518;top:1252;width:296;height:144" type="#_x0000_t202" filled="false" stroked="false">
              <v:textbox inset="0,0,0,0">
                <w:txbxContent>
                  <w:p>
                    <w:pPr>
                      <w:spacing w:line="144" w:lineRule="exact" w:before="0"/>
                      <w:ind w:left="0" w:right="0" w:firstLine="0"/>
                      <w:jc w:val="left"/>
                      <w:rPr>
                        <w:b/>
                        <w:sz w:val="13"/>
                      </w:rPr>
                    </w:pPr>
                    <w:r>
                      <w:rPr>
                        <w:b/>
                        <w:sz w:val="13"/>
                      </w:rPr>
                      <w:t>2026</w:t>
                    </w:r>
                  </w:p>
                </w:txbxContent>
              </v:textbox>
              <w10:wrap type="none"/>
            </v:shape>
            <v:shape style="position:absolute;left:10224;top:1252;width:296;height:144" type="#_x0000_t202" filled="false" stroked="false">
              <v:textbox inset="0,0,0,0">
                <w:txbxContent>
                  <w:p>
                    <w:pPr>
                      <w:spacing w:line="144" w:lineRule="exact" w:before="0"/>
                      <w:ind w:left="0" w:right="0" w:firstLine="0"/>
                      <w:jc w:val="left"/>
                      <w:rPr>
                        <w:b/>
                        <w:sz w:val="13"/>
                      </w:rPr>
                    </w:pPr>
                    <w:r>
                      <w:rPr>
                        <w:b/>
                        <w:sz w:val="13"/>
                      </w:rPr>
                      <w:t>2027</w:t>
                    </w:r>
                  </w:p>
                </w:txbxContent>
              </v:textbox>
              <w10:wrap type="none"/>
            </v:shape>
            <w10:wrap type="none"/>
          </v:group>
        </w:pict>
      </w:r>
      <w:r>
        <w:rPr/>
        <w:pict>
          <v:group style="position:absolute;margin-left:90.480003pt;margin-top:28.626055pt;width:441.85pt;height:195.95pt;mso-position-horizontal-relative:page;mso-position-vertical-relative:paragraph;z-index:-280987648" coordorigin="1810,573" coordsize="8837,3919">
            <v:line style="position:absolute" from="1823,577" to="10642,577" stroked="true" strokeweight=".431628pt" strokecolor="#000000">
              <v:stroke dashstyle="solid"/>
            </v:line>
            <v:line style="position:absolute" from="1818,577" to="10646,577" stroked="true" strokeweight=".431628pt" strokecolor="#000000">
              <v:stroke dashstyle="solid"/>
            </v:line>
            <v:line style="position:absolute" from="1814,577" to="1814,4487" stroked="true" strokeweight=".430221pt" strokecolor="#000000">
              <v:stroke dashstyle="solid"/>
            </v:line>
            <v:line style="position:absolute" from="1814,573" to="1814,4491" stroked="true" strokeweight=".430221pt" strokecolor="#000000">
              <v:stroke dashstyle="solid"/>
            </v:line>
            <v:line style="position:absolute" from="1823,4487" to="10642,4487" stroked="true" strokeweight=".431628pt" strokecolor="#000000">
              <v:stroke dashstyle="solid"/>
            </v:line>
            <v:line style="position:absolute" from="1818,4487" to="10646,4487" stroked="true" strokeweight=".431628pt" strokecolor="#000000">
              <v:stroke dashstyle="solid"/>
            </v:line>
            <v:line style="position:absolute" from="10642,586" to="10642,4487" stroked="true" strokeweight=".430221pt" strokecolor="#000000">
              <v:stroke dashstyle="solid"/>
            </v:line>
            <v:line style="position:absolute" from="10642,581" to="10642,4491" stroked="true" strokeweight=".430221pt" strokecolor="#000000">
              <v:stroke dashstyle="solid"/>
            </v:line>
            <v:shape style="position:absolute;left:5134;top:742;width:2223;height:144" type="#_x0000_t202" filled="false" stroked="false">
              <v:textbox inset="0,0,0,0">
                <w:txbxContent>
                  <w:p>
                    <w:pPr>
                      <w:spacing w:line="144" w:lineRule="exact" w:before="0"/>
                      <w:ind w:left="0" w:right="0" w:firstLine="0"/>
                      <w:jc w:val="left"/>
                      <w:rPr>
                        <w:b/>
                        <w:sz w:val="13"/>
                      </w:rPr>
                    </w:pPr>
                    <w:r>
                      <w:rPr>
                        <w:b/>
                        <w:sz w:val="13"/>
                      </w:rPr>
                      <w:t>Supuestos de la economía internacional</w:t>
                    </w:r>
                  </w:p>
                </w:txbxContent>
              </v:textbox>
              <w10:wrap type="none"/>
            </v:shape>
            <v:shape style="position:absolute;left:4574;top:1252;width:296;height:144" type="#_x0000_t202" filled="false" stroked="false">
              <v:textbox inset="0,0,0,0">
                <w:txbxContent>
                  <w:p>
                    <w:pPr>
                      <w:spacing w:line="144" w:lineRule="exact" w:before="0"/>
                      <w:ind w:left="0" w:right="0" w:firstLine="0"/>
                      <w:jc w:val="left"/>
                      <w:rPr>
                        <w:b/>
                        <w:sz w:val="13"/>
                      </w:rPr>
                    </w:pPr>
                    <w:r>
                      <w:rPr>
                        <w:b/>
                        <w:sz w:val="13"/>
                      </w:rPr>
                      <w:t>2019</w:t>
                    </w:r>
                  </w:p>
                </w:txbxContent>
              </v:textbox>
              <w10:wrap type="none"/>
            </v:shape>
            <v:shape style="position:absolute;left:5280;top:1252;width:296;height:144" type="#_x0000_t202" filled="false" stroked="false">
              <v:textbox inset="0,0,0,0">
                <w:txbxContent>
                  <w:p>
                    <w:pPr>
                      <w:spacing w:line="144" w:lineRule="exact" w:before="0"/>
                      <w:ind w:left="0" w:right="0" w:firstLine="0"/>
                      <w:jc w:val="left"/>
                      <w:rPr>
                        <w:b/>
                        <w:sz w:val="13"/>
                      </w:rPr>
                    </w:pPr>
                    <w:r>
                      <w:rPr>
                        <w:b/>
                        <w:sz w:val="13"/>
                      </w:rPr>
                      <w:t>2020</w:t>
                    </w:r>
                  </w:p>
                </w:txbxContent>
              </v:textbox>
              <w10:wrap type="none"/>
            </v:shape>
            <v:shape style="position:absolute;left:5986;top:1252;width:296;height:144" type="#_x0000_t202" filled="false" stroked="false">
              <v:textbox inset="0,0,0,0">
                <w:txbxContent>
                  <w:p>
                    <w:pPr>
                      <w:spacing w:line="144" w:lineRule="exact" w:before="0"/>
                      <w:ind w:left="0" w:right="0" w:firstLine="0"/>
                      <w:jc w:val="left"/>
                      <w:rPr>
                        <w:b/>
                        <w:sz w:val="13"/>
                      </w:rPr>
                    </w:pPr>
                    <w:r>
                      <w:rPr>
                        <w:b/>
                        <w:sz w:val="13"/>
                      </w:rPr>
                      <w:t>2021</w:t>
                    </w:r>
                  </w:p>
                </w:txbxContent>
              </v:textbox>
              <w10:wrap type="none"/>
            </v:shape>
            <v:shape style="position:absolute;left:1964;top:1417;width:1349;height:144" type="#_x0000_t202" filled="false" stroked="false">
              <v:textbox inset="0,0,0,0">
                <w:txbxContent>
                  <w:p>
                    <w:pPr>
                      <w:spacing w:line="144" w:lineRule="exact" w:before="0"/>
                      <w:ind w:left="0" w:right="0" w:firstLine="0"/>
                      <w:jc w:val="left"/>
                      <w:rPr>
                        <w:b/>
                        <w:sz w:val="13"/>
                      </w:rPr>
                    </w:pPr>
                    <w:r>
                      <w:rPr>
                        <w:b/>
                        <w:sz w:val="13"/>
                      </w:rPr>
                      <w:t>Crecimiento económico</w:t>
                    </w:r>
                  </w:p>
                </w:txbxContent>
              </v:textbox>
              <w10:wrap type="none"/>
            </v:shape>
            <w10:wrap type="none"/>
          </v:group>
        </w:pict>
      </w:r>
      <w:r>
        <w:rPr/>
        <w:pict>
          <v:shape style="position:absolute;margin-left:532.305481pt;margin-top:87.027573pt;width:.1pt;height:.45pt;mso-position-horizontal-relative:page;mso-position-vertical-relative:paragraph;z-index:252333056" coordorigin="10646,1741" coordsize="0,9" path="m10646,1749l10646,1741,10646,1749xe" filled="true" fillcolor="#d3d3d3" stroked="false">
            <v:path arrowok="t"/>
            <v:fill type="solid"/>
            <w10:wrap type="none"/>
          </v:shape>
        </w:pict>
      </w:r>
      <w:r>
        <w:rPr/>
        <w:pict>
          <v:shape style="position:absolute;margin-left:532.305481pt;margin-top:95.677391pt;width:.1pt;height:.45pt;mso-position-horizontal-relative:page;mso-position-vertical-relative:paragraph;z-index:252334080" coordorigin="10646,1914" coordsize="0,9" path="m10646,1922l10646,1914,10646,1922xe" filled="true" fillcolor="#d3d3d3" stroked="false">
            <v:path arrowok="t"/>
            <v:fill type="solid"/>
            <w10:wrap type="none"/>
          </v:shape>
        </w:pict>
      </w:r>
      <w:r>
        <w:rPr/>
        <w:pict>
          <v:shape style="position:absolute;margin-left:532.305481pt;margin-top:104.321449pt;width:.1pt;height:.45pt;mso-position-horizontal-relative:page;mso-position-vertical-relative:paragraph;z-index:252335104" coordorigin="10646,2086" coordsize="0,9" path="m10646,2095l10646,2086,10646,2095xe" filled="true" fillcolor="#d3d3d3" stroked="false">
            <v:path arrowok="t"/>
            <v:fill type="solid"/>
            <w10:wrap type="none"/>
          </v:shape>
        </w:pict>
      </w:r>
      <w:r>
        <w:rPr/>
        <w:pict>
          <v:shape style="position:absolute;margin-left:532.305481pt;margin-top:112.98278pt;width:.1pt;height:.45pt;mso-position-horizontal-relative:page;mso-position-vertical-relative:paragraph;z-index:252336128" coordorigin="10646,2260" coordsize="0,9" path="m10646,2268l10646,2260,10646,2268xe" filled="true" fillcolor="#d3d3d3" stroked="false">
            <v:path arrowok="t"/>
            <v:fill type="solid"/>
            <w10:wrap type="none"/>
          </v:shape>
        </w:pict>
      </w:r>
      <w:r>
        <w:rPr/>
        <w:pict>
          <v:shape style="position:absolute;margin-left:532.305481pt;margin-top:121.632599pt;width:.1pt;height:.45pt;mso-position-horizontal-relative:page;mso-position-vertical-relative:paragraph;z-index:252337152" coordorigin="10646,2433" coordsize="0,9" path="m10646,2441l10646,2433,10646,2441xe" filled="true" fillcolor="#d3d3d3" stroked="false">
            <v:path arrowok="t"/>
            <v:fill type="solid"/>
            <w10:wrap type="none"/>
          </v:shape>
        </w:pict>
      </w:r>
      <w:bookmarkStart w:name="_bookmark105" w:id="129"/>
      <w:bookmarkEnd w:id="129"/>
      <w:r>
        <w:rPr/>
      </w:r>
      <w:r>
        <w:rPr>
          <w:b/>
          <w:i/>
          <w:sz w:val="20"/>
        </w:rPr>
        <w:t>Tabla 6. </w:t>
      </w:r>
      <w:r>
        <w:rPr>
          <w:b/>
          <w:sz w:val="20"/>
        </w:rPr>
        <w:t>Supuestos de mediano plazo de la economía internacional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2"/>
        </w:rPr>
      </w:pPr>
      <w:r>
        <w:rPr/>
        <w:pict>
          <v:shape style="position:absolute;margin-left:532.305481pt;margin-top:9.322382pt;width:.1pt;height:.45pt;mso-position-horizontal-relative:page;mso-position-vertical-relative:paragraph;z-index:-251008000;mso-wrap-distance-left:0;mso-wrap-distance-right:0" coordorigin="10646,186" coordsize="0,9" path="m10646,195l10646,186,10646,195xe" filled="true" fillcolor="#d3d3d3" stroked="false">
            <v:path arrowok="t"/>
            <v:fill type="solid"/>
            <w10:wrap type="topAndBottom"/>
          </v:shape>
        </w:pict>
      </w:r>
    </w:p>
    <w:tbl>
      <w:tblPr>
        <w:tblW w:w="0" w:type="auto"/>
        <w:jc w:val="left"/>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9"/>
        <w:gridCol w:w="553"/>
        <w:gridCol w:w="261"/>
        <w:gridCol w:w="618"/>
        <w:gridCol w:w="710"/>
        <w:gridCol w:w="736"/>
        <w:gridCol w:w="706"/>
        <w:gridCol w:w="706"/>
        <w:gridCol w:w="706"/>
        <w:gridCol w:w="706"/>
        <w:gridCol w:w="601"/>
      </w:tblGrid>
      <w:tr>
        <w:trPr>
          <w:trHeight w:val="158" w:hRule="atLeast"/>
        </w:trPr>
        <w:tc>
          <w:tcPr>
            <w:tcW w:w="2389" w:type="dxa"/>
          </w:tcPr>
          <w:p>
            <w:pPr>
              <w:pStyle w:val="TableParagraph"/>
              <w:spacing w:line="138" w:lineRule="exact"/>
              <w:ind w:left="153"/>
              <w:rPr>
                <w:sz w:val="13"/>
              </w:rPr>
            </w:pPr>
            <w:r>
              <w:rPr>
                <w:sz w:val="13"/>
              </w:rPr>
              <w:t>Mundo</w:t>
            </w:r>
          </w:p>
        </w:tc>
        <w:tc>
          <w:tcPr>
            <w:tcW w:w="553" w:type="dxa"/>
          </w:tcPr>
          <w:p>
            <w:pPr>
              <w:pStyle w:val="TableParagraph"/>
              <w:spacing w:line="138" w:lineRule="exact"/>
              <w:ind w:right="35"/>
              <w:jc w:val="right"/>
              <w:rPr>
                <w:sz w:val="13"/>
              </w:rPr>
            </w:pPr>
            <w:r>
              <w:rPr>
                <w:sz w:val="13"/>
              </w:rPr>
              <w:t>2.9</w:t>
            </w:r>
          </w:p>
        </w:tc>
        <w:tc>
          <w:tcPr>
            <w:tcW w:w="879" w:type="dxa"/>
            <w:gridSpan w:val="2"/>
          </w:tcPr>
          <w:p>
            <w:pPr>
              <w:pStyle w:val="TableParagraph"/>
              <w:spacing w:line="138" w:lineRule="exact"/>
              <w:ind w:left="466"/>
              <w:rPr>
                <w:sz w:val="13"/>
              </w:rPr>
            </w:pPr>
            <w:r>
              <w:rPr>
                <w:sz w:val="13"/>
              </w:rPr>
              <w:t>-3.1</w:t>
            </w:r>
          </w:p>
        </w:tc>
        <w:tc>
          <w:tcPr>
            <w:tcW w:w="710" w:type="dxa"/>
          </w:tcPr>
          <w:p>
            <w:pPr>
              <w:pStyle w:val="TableParagraph"/>
              <w:spacing w:line="138" w:lineRule="exact"/>
              <w:ind w:right="211"/>
              <w:jc w:val="right"/>
              <w:rPr>
                <w:sz w:val="13"/>
              </w:rPr>
            </w:pPr>
            <w:r>
              <w:rPr>
                <w:sz w:val="13"/>
              </w:rPr>
              <w:t>6.1</w:t>
            </w:r>
          </w:p>
        </w:tc>
        <w:tc>
          <w:tcPr>
            <w:tcW w:w="736" w:type="dxa"/>
            <w:shd w:val="clear" w:color="auto" w:fill="ECECEC"/>
          </w:tcPr>
          <w:p>
            <w:pPr>
              <w:pStyle w:val="TableParagraph"/>
              <w:spacing w:line="138" w:lineRule="exact"/>
              <w:ind w:right="241"/>
              <w:jc w:val="right"/>
              <w:rPr>
                <w:sz w:val="13"/>
              </w:rPr>
            </w:pPr>
            <w:r>
              <w:rPr>
                <w:sz w:val="13"/>
              </w:rPr>
              <w:t>3.6</w:t>
            </w:r>
          </w:p>
        </w:tc>
        <w:tc>
          <w:tcPr>
            <w:tcW w:w="706" w:type="dxa"/>
            <w:shd w:val="clear" w:color="auto" w:fill="ECECEC"/>
          </w:tcPr>
          <w:p>
            <w:pPr>
              <w:pStyle w:val="TableParagraph"/>
              <w:spacing w:line="138" w:lineRule="exact"/>
              <w:ind w:left="219" w:right="159"/>
              <w:jc w:val="center"/>
              <w:rPr>
                <w:sz w:val="13"/>
              </w:rPr>
            </w:pPr>
            <w:r>
              <w:rPr>
                <w:sz w:val="13"/>
              </w:rPr>
              <w:t>3.6</w:t>
            </w:r>
          </w:p>
        </w:tc>
        <w:tc>
          <w:tcPr>
            <w:tcW w:w="706" w:type="dxa"/>
            <w:shd w:val="clear" w:color="auto" w:fill="ECECEC"/>
          </w:tcPr>
          <w:p>
            <w:pPr>
              <w:pStyle w:val="TableParagraph"/>
              <w:spacing w:line="138" w:lineRule="exact"/>
              <w:ind w:left="219" w:right="159"/>
              <w:jc w:val="center"/>
              <w:rPr>
                <w:sz w:val="13"/>
              </w:rPr>
            </w:pPr>
            <w:r>
              <w:rPr>
                <w:sz w:val="13"/>
              </w:rPr>
              <w:t>3.4</w:t>
            </w:r>
          </w:p>
        </w:tc>
        <w:tc>
          <w:tcPr>
            <w:tcW w:w="706" w:type="dxa"/>
            <w:shd w:val="clear" w:color="auto" w:fill="ECECEC"/>
          </w:tcPr>
          <w:p>
            <w:pPr>
              <w:pStyle w:val="TableParagraph"/>
              <w:spacing w:line="138" w:lineRule="exact"/>
              <w:ind w:left="219" w:right="158"/>
              <w:jc w:val="center"/>
              <w:rPr>
                <w:sz w:val="13"/>
              </w:rPr>
            </w:pPr>
            <w:r>
              <w:rPr>
                <w:sz w:val="13"/>
              </w:rPr>
              <w:t>3.4</w:t>
            </w:r>
          </w:p>
        </w:tc>
        <w:tc>
          <w:tcPr>
            <w:tcW w:w="706" w:type="dxa"/>
            <w:shd w:val="clear" w:color="auto" w:fill="ECECEC"/>
          </w:tcPr>
          <w:p>
            <w:pPr>
              <w:pStyle w:val="TableParagraph"/>
              <w:spacing w:line="138" w:lineRule="exact"/>
              <w:ind w:left="219" w:right="158"/>
              <w:jc w:val="center"/>
              <w:rPr>
                <w:sz w:val="13"/>
              </w:rPr>
            </w:pPr>
            <w:r>
              <w:rPr>
                <w:sz w:val="13"/>
              </w:rPr>
              <w:t>3.3</w:t>
            </w:r>
          </w:p>
        </w:tc>
        <w:tc>
          <w:tcPr>
            <w:tcW w:w="601" w:type="dxa"/>
            <w:shd w:val="clear" w:color="auto" w:fill="ECECEC"/>
          </w:tcPr>
          <w:p>
            <w:pPr>
              <w:pStyle w:val="TableParagraph"/>
              <w:spacing w:line="138" w:lineRule="exact"/>
              <w:ind w:right="135"/>
              <w:jc w:val="right"/>
              <w:rPr>
                <w:sz w:val="13"/>
              </w:rPr>
            </w:pPr>
            <w:r>
              <w:rPr>
                <w:sz w:val="13"/>
              </w:rPr>
              <w:t>3.3</w:t>
            </w:r>
          </w:p>
        </w:tc>
      </w:tr>
      <w:tr>
        <w:trPr>
          <w:trHeight w:val="172" w:hRule="atLeast"/>
        </w:trPr>
        <w:tc>
          <w:tcPr>
            <w:tcW w:w="2389" w:type="dxa"/>
          </w:tcPr>
          <w:p>
            <w:pPr>
              <w:pStyle w:val="TableParagraph"/>
              <w:spacing w:line="144" w:lineRule="exact" w:before="9"/>
              <w:ind w:left="153"/>
              <w:rPr>
                <w:sz w:val="13"/>
              </w:rPr>
            </w:pPr>
            <w:r>
              <w:rPr>
                <w:sz w:val="13"/>
              </w:rPr>
              <w:t>Economias avanzadas</w:t>
            </w:r>
          </w:p>
        </w:tc>
        <w:tc>
          <w:tcPr>
            <w:tcW w:w="553" w:type="dxa"/>
          </w:tcPr>
          <w:p>
            <w:pPr>
              <w:pStyle w:val="TableParagraph"/>
              <w:spacing w:line="144" w:lineRule="exact" w:before="9"/>
              <w:ind w:right="35"/>
              <w:jc w:val="right"/>
              <w:rPr>
                <w:sz w:val="13"/>
              </w:rPr>
            </w:pPr>
            <w:r>
              <w:rPr>
                <w:sz w:val="13"/>
              </w:rPr>
              <w:t>1.7</w:t>
            </w:r>
          </w:p>
        </w:tc>
        <w:tc>
          <w:tcPr>
            <w:tcW w:w="879" w:type="dxa"/>
            <w:gridSpan w:val="2"/>
          </w:tcPr>
          <w:p>
            <w:pPr>
              <w:pStyle w:val="TableParagraph"/>
              <w:spacing w:line="144" w:lineRule="exact" w:before="9"/>
              <w:ind w:left="466"/>
              <w:rPr>
                <w:sz w:val="13"/>
              </w:rPr>
            </w:pPr>
            <w:r>
              <w:rPr>
                <w:sz w:val="13"/>
              </w:rPr>
              <w:t>-4.5</w:t>
            </w:r>
          </w:p>
        </w:tc>
        <w:tc>
          <w:tcPr>
            <w:tcW w:w="710" w:type="dxa"/>
          </w:tcPr>
          <w:p>
            <w:pPr>
              <w:pStyle w:val="TableParagraph"/>
              <w:spacing w:line="144" w:lineRule="exact" w:before="9"/>
              <w:ind w:right="211"/>
              <w:jc w:val="right"/>
              <w:rPr>
                <w:sz w:val="13"/>
              </w:rPr>
            </w:pPr>
            <w:r>
              <w:rPr>
                <w:sz w:val="13"/>
              </w:rPr>
              <w:t>5.2</w:t>
            </w:r>
          </w:p>
        </w:tc>
        <w:tc>
          <w:tcPr>
            <w:tcW w:w="736" w:type="dxa"/>
            <w:shd w:val="clear" w:color="auto" w:fill="ECECEC"/>
          </w:tcPr>
          <w:p>
            <w:pPr>
              <w:pStyle w:val="TableParagraph"/>
              <w:spacing w:line="144" w:lineRule="exact" w:before="9"/>
              <w:ind w:right="241"/>
              <w:jc w:val="right"/>
              <w:rPr>
                <w:sz w:val="13"/>
              </w:rPr>
            </w:pPr>
            <w:r>
              <w:rPr>
                <w:sz w:val="13"/>
              </w:rPr>
              <w:t>3.3</w:t>
            </w:r>
          </w:p>
        </w:tc>
        <w:tc>
          <w:tcPr>
            <w:tcW w:w="706" w:type="dxa"/>
            <w:shd w:val="clear" w:color="auto" w:fill="ECECEC"/>
          </w:tcPr>
          <w:p>
            <w:pPr>
              <w:pStyle w:val="TableParagraph"/>
              <w:spacing w:line="144" w:lineRule="exact" w:before="9"/>
              <w:ind w:left="219" w:right="159"/>
              <w:jc w:val="center"/>
              <w:rPr>
                <w:sz w:val="13"/>
              </w:rPr>
            </w:pPr>
            <w:r>
              <w:rPr>
                <w:sz w:val="13"/>
              </w:rPr>
              <w:t>2.4</w:t>
            </w:r>
          </w:p>
        </w:tc>
        <w:tc>
          <w:tcPr>
            <w:tcW w:w="706" w:type="dxa"/>
            <w:shd w:val="clear" w:color="auto" w:fill="ECECEC"/>
          </w:tcPr>
          <w:p>
            <w:pPr>
              <w:pStyle w:val="TableParagraph"/>
              <w:spacing w:line="144" w:lineRule="exact" w:before="9"/>
              <w:ind w:left="219" w:right="159"/>
              <w:jc w:val="center"/>
              <w:rPr>
                <w:sz w:val="13"/>
              </w:rPr>
            </w:pPr>
            <w:r>
              <w:rPr>
                <w:sz w:val="13"/>
              </w:rPr>
              <w:t>1.7</w:t>
            </w:r>
          </w:p>
        </w:tc>
        <w:tc>
          <w:tcPr>
            <w:tcW w:w="706" w:type="dxa"/>
            <w:shd w:val="clear" w:color="auto" w:fill="ECECEC"/>
          </w:tcPr>
          <w:p>
            <w:pPr>
              <w:pStyle w:val="TableParagraph"/>
              <w:spacing w:line="144" w:lineRule="exact" w:before="9"/>
              <w:ind w:left="219" w:right="158"/>
              <w:jc w:val="center"/>
              <w:rPr>
                <w:sz w:val="13"/>
              </w:rPr>
            </w:pPr>
            <w:r>
              <w:rPr>
                <w:sz w:val="13"/>
              </w:rPr>
              <w:t>1.7</w:t>
            </w:r>
          </w:p>
        </w:tc>
        <w:tc>
          <w:tcPr>
            <w:tcW w:w="706" w:type="dxa"/>
            <w:shd w:val="clear" w:color="auto" w:fill="ECECEC"/>
          </w:tcPr>
          <w:p>
            <w:pPr>
              <w:pStyle w:val="TableParagraph"/>
              <w:spacing w:line="144" w:lineRule="exact" w:before="9"/>
              <w:ind w:left="219" w:right="158"/>
              <w:jc w:val="center"/>
              <w:rPr>
                <w:sz w:val="13"/>
              </w:rPr>
            </w:pPr>
            <w:r>
              <w:rPr>
                <w:sz w:val="13"/>
              </w:rPr>
              <w:t>1.6</w:t>
            </w:r>
          </w:p>
        </w:tc>
        <w:tc>
          <w:tcPr>
            <w:tcW w:w="601" w:type="dxa"/>
            <w:shd w:val="clear" w:color="auto" w:fill="ECECEC"/>
          </w:tcPr>
          <w:p>
            <w:pPr>
              <w:pStyle w:val="TableParagraph"/>
              <w:spacing w:line="144" w:lineRule="exact" w:before="9"/>
              <w:ind w:right="135"/>
              <w:jc w:val="right"/>
              <w:rPr>
                <w:sz w:val="13"/>
              </w:rPr>
            </w:pPr>
            <w:r>
              <w:rPr>
                <w:sz w:val="13"/>
              </w:rPr>
              <w:t>1.6</w:t>
            </w:r>
          </w:p>
        </w:tc>
      </w:tr>
      <w:tr>
        <w:trPr>
          <w:trHeight w:val="172" w:hRule="atLeast"/>
        </w:trPr>
        <w:tc>
          <w:tcPr>
            <w:tcW w:w="2389" w:type="dxa"/>
          </w:tcPr>
          <w:p>
            <w:pPr>
              <w:pStyle w:val="TableParagraph"/>
              <w:spacing w:line="144" w:lineRule="exact" w:before="9"/>
              <w:ind w:left="153"/>
              <w:rPr>
                <w:sz w:val="13"/>
              </w:rPr>
            </w:pPr>
            <w:r>
              <w:rPr>
                <w:sz w:val="13"/>
              </w:rPr>
              <w:t>Zona del Euro</w:t>
            </w:r>
          </w:p>
        </w:tc>
        <w:tc>
          <w:tcPr>
            <w:tcW w:w="553" w:type="dxa"/>
          </w:tcPr>
          <w:p>
            <w:pPr>
              <w:pStyle w:val="TableParagraph"/>
              <w:spacing w:line="144" w:lineRule="exact" w:before="9"/>
              <w:ind w:right="35"/>
              <w:jc w:val="right"/>
              <w:rPr>
                <w:sz w:val="13"/>
              </w:rPr>
            </w:pPr>
            <w:r>
              <w:rPr>
                <w:sz w:val="13"/>
              </w:rPr>
              <w:t>1.6</w:t>
            </w:r>
          </w:p>
        </w:tc>
        <w:tc>
          <w:tcPr>
            <w:tcW w:w="879" w:type="dxa"/>
            <w:gridSpan w:val="2"/>
          </w:tcPr>
          <w:p>
            <w:pPr>
              <w:pStyle w:val="TableParagraph"/>
              <w:spacing w:line="144" w:lineRule="exact" w:before="9"/>
              <w:ind w:left="466"/>
              <w:rPr>
                <w:sz w:val="13"/>
              </w:rPr>
            </w:pPr>
            <w:r>
              <w:rPr>
                <w:sz w:val="13"/>
              </w:rPr>
              <w:t>-6.4</w:t>
            </w:r>
          </w:p>
        </w:tc>
        <w:tc>
          <w:tcPr>
            <w:tcW w:w="710" w:type="dxa"/>
          </w:tcPr>
          <w:p>
            <w:pPr>
              <w:pStyle w:val="TableParagraph"/>
              <w:spacing w:line="144" w:lineRule="exact" w:before="9"/>
              <w:ind w:right="211"/>
              <w:jc w:val="right"/>
              <w:rPr>
                <w:sz w:val="13"/>
              </w:rPr>
            </w:pPr>
            <w:r>
              <w:rPr>
                <w:sz w:val="13"/>
              </w:rPr>
              <w:t>5.3</w:t>
            </w:r>
          </w:p>
        </w:tc>
        <w:tc>
          <w:tcPr>
            <w:tcW w:w="736" w:type="dxa"/>
            <w:shd w:val="clear" w:color="auto" w:fill="ECECEC"/>
          </w:tcPr>
          <w:p>
            <w:pPr>
              <w:pStyle w:val="TableParagraph"/>
              <w:spacing w:line="144" w:lineRule="exact" w:before="9"/>
              <w:ind w:right="241"/>
              <w:jc w:val="right"/>
              <w:rPr>
                <w:sz w:val="13"/>
              </w:rPr>
            </w:pPr>
            <w:r>
              <w:rPr>
                <w:sz w:val="13"/>
              </w:rPr>
              <w:t>2.8</w:t>
            </w:r>
          </w:p>
        </w:tc>
        <w:tc>
          <w:tcPr>
            <w:tcW w:w="706" w:type="dxa"/>
            <w:shd w:val="clear" w:color="auto" w:fill="ECECEC"/>
          </w:tcPr>
          <w:p>
            <w:pPr>
              <w:pStyle w:val="TableParagraph"/>
              <w:spacing w:line="144" w:lineRule="exact" w:before="9"/>
              <w:ind w:left="219" w:right="159"/>
              <w:jc w:val="center"/>
              <w:rPr>
                <w:sz w:val="13"/>
              </w:rPr>
            </w:pPr>
            <w:r>
              <w:rPr>
                <w:sz w:val="13"/>
              </w:rPr>
              <w:t>2.3</w:t>
            </w:r>
          </w:p>
        </w:tc>
        <w:tc>
          <w:tcPr>
            <w:tcW w:w="706" w:type="dxa"/>
            <w:shd w:val="clear" w:color="auto" w:fill="ECECEC"/>
          </w:tcPr>
          <w:p>
            <w:pPr>
              <w:pStyle w:val="TableParagraph"/>
              <w:spacing w:line="144" w:lineRule="exact" w:before="9"/>
              <w:ind w:left="219" w:right="159"/>
              <w:jc w:val="center"/>
              <w:rPr>
                <w:sz w:val="13"/>
              </w:rPr>
            </w:pPr>
            <w:r>
              <w:rPr>
                <w:sz w:val="13"/>
              </w:rPr>
              <w:t>1.8</w:t>
            </w:r>
          </w:p>
        </w:tc>
        <w:tc>
          <w:tcPr>
            <w:tcW w:w="706" w:type="dxa"/>
            <w:shd w:val="clear" w:color="auto" w:fill="ECECEC"/>
          </w:tcPr>
          <w:p>
            <w:pPr>
              <w:pStyle w:val="TableParagraph"/>
              <w:spacing w:line="144" w:lineRule="exact" w:before="9"/>
              <w:ind w:left="219" w:right="158"/>
              <w:jc w:val="center"/>
              <w:rPr>
                <w:sz w:val="13"/>
              </w:rPr>
            </w:pPr>
            <w:r>
              <w:rPr>
                <w:sz w:val="13"/>
              </w:rPr>
              <w:t>1.6</w:t>
            </w:r>
          </w:p>
        </w:tc>
        <w:tc>
          <w:tcPr>
            <w:tcW w:w="706" w:type="dxa"/>
            <w:shd w:val="clear" w:color="auto" w:fill="ECECEC"/>
          </w:tcPr>
          <w:p>
            <w:pPr>
              <w:pStyle w:val="TableParagraph"/>
              <w:spacing w:line="144" w:lineRule="exact" w:before="9"/>
              <w:ind w:left="219" w:right="158"/>
              <w:jc w:val="center"/>
              <w:rPr>
                <w:sz w:val="13"/>
              </w:rPr>
            </w:pPr>
            <w:r>
              <w:rPr>
                <w:sz w:val="13"/>
              </w:rPr>
              <w:t>1.5</w:t>
            </w:r>
          </w:p>
        </w:tc>
        <w:tc>
          <w:tcPr>
            <w:tcW w:w="601" w:type="dxa"/>
            <w:shd w:val="clear" w:color="auto" w:fill="ECECEC"/>
          </w:tcPr>
          <w:p>
            <w:pPr>
              <w:pStyle w:val="TableParagraph"/>
              <w:spacing w:line="144" w:lineRule="exact" w:before="9"/>
              <w:ind w:right="135"/>
              <w:jc w:val="right"/>
              <w:rPr>
                <w:sz w:val="13"/>
              </w:rPr>
            </w:pPr>
            <w:r>
              <w:rPr>
                <w:sz w:val="13"/>
              </w:rPr>
              <w:t>1.3</w:t>
            </w:r>
          </w:p>
        </w:tc>
      </w:tr>
      <w:tr>
        <w:trPr>
          <w:trHeight w:val="173" w:hRule="atLeast"/>
        </w:trPr>
        <w:tc>
          <w:tcPr>
            <w:tcW w:w="2389" w:type="dxa"/>
          </w:tcPr>
          <w:p>
            <w:pPr>
              <w:pStyle w:val="TableParagraph"/>
              <w:spacing w:line="144" w:lineRule="exact" w:before="9"/>
              <w:ind w:left="153"/>
              <w:rPr>
                <w:sz w:val="13"/>
              </w:rPr>
            </w:pPr>
            <w:r>
              <w:rPr>
                <w:sz w:val="13"/>
              </w:rPr>
              <w:t>Economias emergentes y en desarrollo</w:t>
            </w:r>
          </w:p>
        </w:tc>
        <w:tc>
          <w:tcPr>
            <w:tcW w:w="553" w:type="dxa"/>
          </w:tcPr>
          <w:p>
            <w:pPr>
              <w:pStyle w:val="TableParagraph"/>
              <w:spacing w:line="144" w:lineRule="exact" w:before="9"/>
              <w:ind w:right="35"/>
              <w:jc w:val="right"/>
              <w:rPr>
                <w:sz w:val="13"/>
              </w:rPr>
            </w:pPr>
            <w:r>
              <w:rPr>
                <w:sz w:val="13"/>
              </w:rPr>
              <w:t>3.7</w:t>
            </w:r>
          </w:p>
        </w:tc>
        <w:tc>
          <w:tcPr>
            <w:tcW w:w="879" w:type="dxa"/>
            <w:gridSpan w:val="2"/>
          </w:tcPr>
          <w:p>
            <w:pPr>
              <w:pStyle w:val="TableParagraph"/>
              <w:spacing w:line="144" w:lineRule="exact" w:before="9"/>
              <w:ind w:left="466"/>
              <w:rPr>
                <w:sz w:val="13"/>
              </w:rPr>
            </w:pPr>
            <w:r>
              <w:rPr>
                <w:sz w:val="13"/>
              </w:rPr>
              <w:t>-2.0</w:t>
            </w:r>
          </w:p>
        </w:tc>
        <w:tc>
          <w:tcPr>
            <w:tcW w:w="710" w:type="dxa"/>
          </w:tcPr>
          <w:p>
            <w:pPr>
              <w:pStyle w:val="TableParagraph"/>
              <w:spacing w:line="144" w:lineRule="exact" w:before="9"/>
              <w:ind w:right="211"/>
              <w:jc w:val="right"/>
              <w:rPr>
                <w:sz w:val="13"/>
              </w:rPr>
            </w:pPr>
            <w:r>
              <w:rPr>
                <w:sz w:val="13"/>
              </w:rPr>
              <w:t>6.8</w:t>
            </w:r>
          </w:p>
        </w:tc>
        <w:tc>
          <w:tcPr>
            <w:tcW w:w="736" w:type="dxa"/>
            <w:shd w:val="clear" w:color="auto" w:fill="ECECEC"/>
          </w:tcPr>
          <w:p>
            <w:pPr>
              <w:pStyle w:val="TableParagraph"/>
              <w:spacing w:line="144" w:lineRule="exact" w:before="9"/>
              <w:ind w:right="241"/>
              <w:jc w:val="right"/>
              <w:rPr>
                <w:sz w:val="13"/>
              </w:rPr>
            </w:pPr>
            <w:r>
              <w:rPr>
                <w:sz w:val="13"/>
              </w:rPr>
              <w:t>3.8</w:t>
            </w:r>
          </w:p>
        </w:tc>
        <w:tc>
          <w:tcPr>
            <w:tcW w:w="706" w:type="dxa"/>
            <w:shd w:val="clear" w:color="auto" w:fill="ECECEC"/>
          </w:tcPr>
          <w:p>
            <w:pPr>
              <w:pStyle w:val="TableParagraph"/>
              <w:spacing w:line="144" w:lineRule="exact" w:before="9"/>
              <w:ind w:left="219" w:right="159"/>
              <w:jc w:val="center"/>
              <w:rPr>
                <w:sz w:val="13"/>
              </w:rPr>
            </w:pPr>
            <w:r>
              <w:rPr>
                <w:sz w:val="13"/>
              </w:rPr>
              <w:t>4.4</w:t>
            </w:r>
          </w:p>
        </w:tc>
        <w:tc>
          <w:tcPr>
            <w:tcW w:w="706" w:type="dxa"/>
            <w:shd w:val="clear" w:color="auto" w:fill="ECECEC"/>
          </w:tcPr>
          <w:p>
            <w:pPr>
              <w:pStyle w:val="TableParagraph"/>
              <w:spacing w:line="144" w:lineRule="exact" w:before="9"/>
              <w:ind w:left="219" w:right="159"/>
              <w:jc w:val="center"/>
              <w:rPr>
                <w:sz w:val="13"/>
              </w:rPr>
            </w:pPr>
            <w:r>
              <w:rPr>
                <w:sz w:val="13"/>
              </w:rPr>
              <w:t>4.6</w:t>
            </w:r>
          </w:p>
        </w:tc>
        <w:tc>
          <w:tcPr>
            <w:tcW w:w="706" w:type="dxa"/>
            <w:shd w:val="clear" w:color="auto" w:fill="ECECEC"/>
          </w:tcPr>
          <w:p>
            <w:pPr>
              <w:pStyle w:val="TableParagraph"/>
              <w:spacing w:line="144" w:lineRule="exact" w:before="9"/>
              <w:ind w:left="219" w:right="158"/>
              <w:jc w:val="center"/>
              <w:rPr>
                <w:sz w:val="13"/>
              </w:rPr>
            </w:pPr>
            <w:r>
              <w:rPr>
                <w:sz w:val="13"/>
              </w:rPr>
              <w:t>4.5</w:t>
            </w:r>
          </w:p>
        </w:tc>
        <w:tc>
          <w:tcPr>
            <w:tcW w:w="706" w:type="dxa"/>
            <w:shd w:val="clear" w:color="auto" w:fill="ECECEC"/>
          </w:tcPr>
          <w:p>
            <w:pPr>
              <w:pStyle w:val="TableParagraph"/>
              <w:spacing w:line="144" w:lineRule="exact" w:before="9"/>
              <w:ind w:left="219" w:right="158"/>
              <w:jc w:val="center"/>
              <w:rPr>
                <w:sz w:val="13"/>
              </w:rPr>
            </w:pPr>
            <w:r>
              <w:rPr>
                <w:sz w:val="13"/>
              </w:rPr>
              <w:t>4.4</w:t>
            </w:r>
          </w:p>
        </w:tc>
        <w:tc>
          <w:tcPr>
            <w:tcW w:w="601" w:type="dxa"/>
            <w:shd w:val="clear" w:color="auto" w:fill="ECECEC"/>
          </w:tcPr>
          <w:p>
            <w:pPr>
              <w:pStyle w:val="TableParagraph"/>
              <w:spacing w:line="144" w:lineRule="exact" w:before="9"/>
              <w:ind w:right="135"/>
              <w:jc w:val="right"/>
              <w:rPr>
                <w:sz w:val="13"/>
              </w:rPr>
            </w:pPr>
            <w:r>
              <w:rPr>
                <w:sz w:val="13"/>
              </w:rPr>
              <w:t>4.3</w:t>
            </w:r>
          </w:p>
        </w:tc>
      </w:tr>
      <w:tr>
        <w:trPr>
          <w:trHeight w:val="173" w:hRule="atLeast"/>
        </w:trPr>
        <w:tc>
          <w:tcPr>
            <w:tcW w:w="2389" w:type="dxa"/>
          </w:tcPr>
          <w:p>
            <w:pPr>
              <w:pStyle w:val="TableParagraph"/>
              <w:spacing w:line="144" w:lineRule="exact" w:before="9"/>
              <w:ind w:left="153"/>
              <w:rPr>
                <w:sz w:val="13"/>
              </w:rPr>
            </w:pPr>
            <w:r>
              <w:rPr>
                <w:sz w:val="13"/>
              </w:rPr>
              <w:t>Latinoamerica y el Caribe</w:t>
            </w:r>
          </w:p>
        </w:tc>
        <w:tc>
          <w:tcPr>
            <w:tcW w:w="553" w:type="dxa"/>
          </w:tcPr>
          <w:p>
            <w:pPr>
              <w:pStyle w:val="TableParagraph"/>
              <w:spacing w:line="144" w:lineRule="exact" w:before="9"/>
              <w:ind w:right="35"/>
              <w:jc w:val="right"/>
              <w:rPr>
                <w:sz w:val="13"/>
              </w:rPr>
            </w:pPr>
            <w:r>
              <w:rPr>
                <w:sz w:val="13"/>
              </w:rPr>
              <w:t>0.1</w:t>
            </w:r>
          </w:p>
        </w:tc>
        <w:tc>
          <w:tcPr>
            <w:tcW w:w="879" w:type="dxa"/>
            <w:gridSpan w:val="2"/>
          </w:tcPr>
          <w:p>
            <w:pPr>
              <w:pStyle w:val="TableParagraph"/>
              <w:spacing w:line="144" w:lineRule="exact" w:before="9"/>
              <w:ind w:left="466"/>
              <w:rPr>
                <w:sz w:val="13"/>
              </w:rPr>
            </w:pPr>
            <w:r>
              <w:rPr>
                <w:sz w:val="13"/>
              </w:rPr>
              <w:t>-7.0</w:t>
            </w:r>
          </w:p>
        </w:tc>
        <w:tc>
          <w:tcPr>
            <w:tcW w:w="710" w:type="dxa"/>
          </w:tcPr>
          <w:p>
            <w:pPr>
              <w:pStyle w:val="TableParagraph"/>
              <w:spacing w:line="144" w:lineRule="exact" w:before="9"/>
              <w:ind w:right="211"/>
              <w:jc w:val="right"/>
              <w:rPr>
                <w:sz w:val="13"/>
              </w:rPr>
            </w:pPr>
            <w:r>
              <w:rPr>
                <w:sz w:val="13"/>
              </w:rPr>
              <w:t>6.8</w:t>
            </w:r>
          </w:p>
        </w:tc>
        <w:tc>
          <w:tcPr>
            <w:tcW w:w="736" w:type="dxa"/>
            <w:shd w:val="clear" w:color="auto" w:fill="ECECEC"/>
          </w:tcPr>
          <w:p>
            <w:pPr>
              <w:pStyle w:val="TableParagraph"/>
              <w:spacing w:line="144" w:lineRule="exact" w:before="9"/>
              <w:ind w:right="241"/>
              <w:jc w:val="right"/>
              <w:rPr>
                <w:sz w:val="13"/>
              </w:rPr>
            </w:pPr>
            <w:r>
              <w:rPr>
                <w:sz w:val="13"/>
              </w:rPr>
              <w:t>2.5</w:t>
            </w:r>
          </w:p>
        </w:tc>
        <w:tc>
          <w:tcPr>
            <w:tcW w:w="706" w:type="dxa"/>
            <w:shd w:val="clear" w:color="auto" w:fill="ECECEC"/>
          </w:tcPr>
          <w:p>
            <w:pPr>
              <w:pStyle w:val="TableParagraph"/>
              <w:spacing w:line="144" w:lineRule="exact" w:before="9"/>
              <w:ind w:left="219" w:right="159"/>
              <w:jc w:val="center"/>
              <w:rPr>
                <w:sz w:val="13"/>
              </w:rPr>
            </w:pPr>
            <w:r>
              <w:rPr>
                <w:sz w:val="13"/>
              </w:rPr>
              <w:t>2.5</w:t>
            </w:r>
          </w:p>
        </w:tc>
        <w:tc>
          <w:tcPr>
            <w:tcW w:w="706" w:type="dxa"/>
            <w:shd w:val="clear" w:color="auto" w:fill="ECECEC"/>
          </w:tcPr>
          <w:p>
            <w:pPr>
              <w:pStyle w:val="TableParagraph"/>
              <w:spacing w:line="144" w:lineRule="exact" w:before="9"/>
              <w:ind w:left="219" w:right="159"/>
              <w:jc w:val="center"/>
              <w:rPr>
                <w:sz w:val="13"/>
              </w:rPr>
            </w:pPr>
            <w:r>
              <w:rPr>
                <w:sz w:val="13"/>
              </w:rPr>
              <w:t>2.5</w:t>
            </w:r>
          </w:p>
        </w:tc>
        <w:tc>
          <w:tcPr>
            <w:tcW w:w="706" w:type="dxa"/>
            <w:shd w:val="clear" w:color="auto" w:fill="ECECEC"/>
          </w:tcPr>
          <w:p>
            <w:pPr>
              <w:pStyle w:val="TableParagraph"/>
              <w:spacing w:line="144" w:lineRule="exact" w:before="9"/>
              <w:ind w:left="219" w:right="158"/>
              <w:jc w:val="center"/>
              <w:rPr>
                <w:sz w:val="13"/>
              </w:rPr>
            </w:pPr>
            <w:r>
              <w:rPr>
                <w:sz w:val="13"/>
              </w:rPr>
              <w:t>2.4</w:t>
            </w:r>
          </w:p>
        </w:tc>
        <w:tc>
          <w:tcPr>
            <w:tcW w:w="706" w:type="dxa"/>
            <w:shd w:val="clear" w:color="auto" w:fill="ECECEC"/>
          </w:tcPr>
          <w:p>
            <w:pPr>
              <w:pStyle w:val="TableParagraph"/>
              <w:spacing w:line="144" w:lineRule="exact" w:before="9"/>
              <w:ind w:left="219" w:right="158"/>
              <w:jc w:val="center"/>
              <w:rPr>
                <w:sz w:val="13"/>
              </w:rPr>
            </w:pPr>
            <w:r>
              <w:rPr>
                <w:sz w:val="13"/>
              </w:rPr>
              <w:t>2.4</w:t>
            </w:r>
          </w:p>
        </w:tc>
        <w:tc>
          <w:tcPr>
            <w:tcW w:w="601" w:type="dxa"/>
            <w:shd w:val="clear" w:color="auto" w:fill="ECECEC"/>
          </w:tcPr>
          <w:p>
            <w:pPr>
              <w:pStyle w:val="TableParagraph"/>
              <w:spacing w:line="144" w:lineRule="exact" w:before="9"/>
              <w:ind w:right="135"/>
              <w:jc w:val="right"/>
              <w:rPr>
                <w:sz w:val="13"/>
              </w:rPr>
            </w:pPr>
            <w:r>
              <w:rPr>
                <w:sz w:val="13"/>
              </w:rPr>
              <w:t>2.4</w:t>
            </w:r>
          </w:p>
        </w:tc>
      </w:tr>
      <w:tr>
        <w:trPr>
          <w:trHeight w:val="360" w:hRule="atLeast"/>
        </w:trPr>
        <w:tc>
          <w:tcPr>
            <w:tcW w:w="2389" w:type="dxa"/>
          </w:tcPr>
          <w:p>
            <w:pPr>
              <w:pStyle w:val="TableParagraph"/>
              <w:spacing w:before="9"/>
              <w:ind w:left="153"/>
              <w:rPr>
                <w:sz w:val="13"/>
              </w:rPr>
            </w:pPr>
            <w:r>
              <w:rPr>
                <w:sz w:val="13"/>
              </w:rPr>
              <w:t>Centroaméria</w:t>
            </w:r>
          </w:p>
        </w:tc>
        <w:tc>
          <w:tcPr>
            <w:tcW w:w="553" w:type="dxa"/>
          </w:tcPr>
          <w:p>
            <w:pPr>
              <w:pStyle w:val="TableParagraph"/>
              <w:spacing w:before="9"/>
              <w:ind w:right="35"/>
              <w:jc w:val="right"/>
              <w:rPr>
                <w:sz w:val="13"/>
              </w:rPr>
            </w:pPr>
            <w:r>
              <w:rPr>
                <w:sz w:val="13"/>
              </w:rPr>
              <w:t>2.2</w:t>
            </w:r>
          </w:p>
        </w:tc>
        <w:tc>
          <w:tcPr>
            <w:tcW w:w="879" w:type="dxa"/>
            <w:gridSpan w:val="2"/>
          </w:tcPr>
          <w:p>
            <w:pPr>
              <w:pStyle w:val="TableParagraph"/>
              <w:spacing w:before="9"/>
              <w:ind w:left="466"/>
              <w:rPr>
                <w:sz w:val="13"/>
              </w:rPr>
            </w:pPr>
            <w:r>
              <w:rPr>
                <w:sz w:val="13"/>
              </w:rPr>
              <w:t>-5.2</w:t>
            </w:r>
          </w:p>
        </w:tc>
        <w:tc>
          <w:tcPr>
            <w:tcW w:w="710" w:type="dxa"/>
          </w:tcPr>
          <w:p>
            <w:pPr>
              <w:pStyle w:val="TableParagraph"/>
              <w:spacing w:before="9"/>
              <w:ind w:right="211"/>
              <w:jc w:val="right"/>
              <w:rPr>
                <w:sz w:val="13"/>
              </w:rPr>
            </w:pPr>
            <w:r>
              <w:rPr>
                <w:sz w:val="13"/>
              </w:rPr>
              <w:t>10.2</w:t>
            </w:r>
          </w:p>
        </w:tc>
        <w:tc>
          <w:tcPr>
            <w:tcW w:w="736" w:type="dxa"/>
            <w:shd w:val="clear" w:color="auto" w:fill="ECECEC"/>
          </w:tcPr>
          <w:p>
            <w:pPr>
              <w:pStyle w:val="TableParagraph"/>
              <w:spacing w:before="9"/>
              <w:ind w:right="241"/>
              <w:jc w:val="right"/>
              <w:rPr>
                <w:sz w:val="13"/>
              </w:rPr>
            </w:pPr>
            <w:r>
              <w:rPr>
                <w:sz w:val="13"/>
              </w:rPr>
              <w:t>3.7</w:t>
            </w:r>
          </w:p>
        </w:tc>
        <w:tc>
          <w:tcPr>
            <w:tcW w:w="706" w:type="dxa"/>
            <w:shd w:val="clear" w:color="auto" w:fill="ECECEC"/>
          </w:tcPr>
          <w:p>
            <w:pPr>
              <w:pStyle w:val="TableParagraph"/>
              <w:spacing w:before="9"/>
              <w:ind w:left="219" w:right="159"/>
              <w:jc w:val="center"/>
              <w:rPr>
                <w:sz w:val="13"/>
              </w:rPr>
            </w:pPr>
            <w:r>
              <w:rPr>
                <w:sz w:val="13"/>
              </w:rPr>
              <w:t>3.3</w:t>
            </w:r>
          </w:p>
        </w:tc>
        <w:tc>
          <w:tcPr>
            <w:tcW w:w="706" w:type="dxa"/>
            <w:shd w:val="clear" w:color="auto" w:fill="ECECEC"/>
          </w:tcPr>
          <w:p>
            <w:pPr>
              <w:pStyle w:val="TableParagraph"/>
              <w:spacing w:before="9"/>
              <w:ind w:left="219" w:right="159"/>
              <w:jc w:val="center"/>
              <w:rPr>
                <w:sz w:val="13"/>
              </w:rPr>
            </w:pPr>
            <w:r>
              <w:rPr>
                <w:sz w:val="13"/>
              </w:rPr>
              <w:t>3.3</w:t>
            </w:r>
          </w:p>
        </w:tc>
        <w:tc>
          <w:tcPr>
            <w:tcW w:w="706" w:type="dxa"/>
            <w:shd w:val="clear" w:color="auto" w:fill="ECECEC"/>
          </w:tcPr>
          <w:p>
            <w:pPr>
              <w:pStyle w:val="TableParagraph"/>
              <w:spacing w:before="9"/>
              <w:ind w:left="219" w:right="158"/>
              <w:jc w:val="center"/>
              <w:rPr>
                <w:sz w:val="13"/>
              </w:rPr>
            </w:pPr>
            <w:r>
              <w:rPr>
                <w:sz w:val="13"/>
              </w:rPr>
              <w:t>3.4</w:t>
            </w:r>
          </w:p>
        </w:tc>
        <w:tc>
          <w:tcPr>
            <w:tcW w:w="706" w:type="dxa"/>
            <w:shd w:val="clear" w:color="auto" w:fill="ECECEC"/>
          </w:tcPr>
          <w:p>
            <w:pPr>
              <w:pStyle w:val="TableParagraph"/>
              <w:spacing w:before="9"/>
              <w:ind w:left="219" w:right="158"/>
              <w:jc w:val="center"/>
              <w:rPr>
                <w:sz w:val="13"/>
              </w:rPr>
            </w:pPr>
            <w:r>
              <w:rPr>
                <w:sz w:val="13"/>
              </w:rPr>
              <w:t>3.4</w:t>
            </w:r>
          </w:p>
        </w:tc>
        <w:tc>
          <w:tcPr>
            <w:tcW w:w="601" w:type="dxa"/>
            <w:shd w:val="clear" w:color="auto" w:fill="ECECEC"/>
          </w:tcPr>
          <w:p>
            <w:pPr>
              <w:pStyle w:val="TableParagraph"/>
              <w:spacing w:before="9"/>
              <w:ind w:right="135"/>
              <w:jc w:val="right"/>
              <w:rPr>
                <w:sz w:val="13"/>
              </w:rPr>
            </w:pPr>
            <w:r>
              <w:rPr>
                <w:sz w:val="13"/>
              </w:rPr>
              <w:t>3.5</w:t>
            </w:r>
          </w:p>
        </w:tc>
      </w:tr>
      <w:tr>
        <w:trPr>
          <w:trHeight w:val="331" w:hRule="atLeast"/>
        </w:trPr>
        <w:tc>
          <w:tcPr>
            <w:tcW w:w="2389" w:type="dxa"/>
          </w:tcPr>
          <w:p>
            <w:pPr>
              <w:pStyle w:val="TableParagraph"/>
              <w:spacing w:line="144" w:lineRule="exact"/>
              <w:ind w:right="1852"/>
              <w:jc w:val="right"/>
              <w:rPr>
                <w:b/>
                <w:sz w:val="13"/>
              </w:rPr>
            </w:pPr>
            <w:r>
              <w:rPr>
                <w:b/>
                <w:spacing w:val="-2"/>
                <w:sz w:val="13"/>
              </w:rPr>
              <w:t>Inflación</w:t>
            </w:r>
          </w:p>
          <w:p>
            <w:pPr>
              <w:pStyle w:val="TableParagraph"/>
              <w:spacing w:line="144" w:lineRule="exact" w:before="23"/>
              <w:ind w:right="1876"/>
              <w:jc w:val="right"/>
              <w:rPr>
                <w:sz w:val="13"/>
              </w:rPr>
            </w:pPr>
            <w:r>
              <w:rPr>
                <w:spacing w:val="-4"/>
                <w:w w:val="95"/>
                <w:sz w:val="13"/>
              </w:rPr>
              <w:t>Mundo</w:t>
            </w:r>
          </w:p>
        </w:tc>
        <w:tc>
          <w:tcPr>
            <w:tcW w:w="553" w:type="dxa"/>
          </w:tcPr>
          <w:p>
            <w:pPr>
              <w:pStyle w:val="TableParagraph"/>
              <w:spacing w:before="6"/>
              <w:rPr>
                <w:b/>
                <w:sz w:val="14"/>
              </w:rPr>
            </w:pPr>
          </w:p>
          <w:p>
            <w:pPr>
              <w:pStyle w:val="TableParagraph"/>
              <w:spacing w:line="144" w:lineRule="exact"/>
              <w:ind w:right="43"/>
              <w:jc w:val="right"/>
              <w:rPr>
                <w:sz w:val="13"/>
              </w:rPr>
            </w:pPr>
            <w:r>
              <w:rPr>
                <w:sz w:val="13"/>
              </w:rPr>
              <w:t>3.85</w:t>
            </w:r>
          </w:p>
        </w:tc>
        <w:tc>
          <w:tcPr>
            <w:tcW w:w="261" w:type="dxa"/>
          </w:tcPr>
          <w:p>
            <w:pPr>
              <w:pStyle w:val="TableParagraph"/>
              <w:rPr>
                <w:sz w:val="18"/>
              </w:rPr>
            </w:pPr>
          </w:p>
        </w:tc>
        <w:tc>
          <w:tcPr>
            <w:tcW w:w="618" w:type="dxa"/>
          </w:tcPr>
          <w:p>
            <w:pPr>
              <w:pStyle w:val="TableParagraph"/>
              <w:spacing w:before="6"/>
              <w:rPr>
                <w:b/>
                <w:sz w:val="14"/>
              </w:rPr>
            </w:pPr>
          </w:p>
          <w:p>
            <w:pPr>
              <w:pStyle w:val="TableParagraph"/>
              <w:spacing w:line="144" w:lineRule="exact"/>
              <w:ind w:left="180"/>
              <w:rPr>
                <w:sz w:val="13"/>
              </w:rPr>
            </w:pPr>
            <w:r>
              <w:rPr>
                <w:sz w:val="13"/>
              </w:rPr>
              <w:t>2.81</w:t>
            </w:r>
          </w:p>
        </w:tc>
        <w:tc>
          <w:tcPr>
            <w:tcW w:w="710" w:type="dxa"/>
          </w:tcPr>
          <w:p>
            <w:pPr>
              <w:pStyle w:val="TableParagraph"/>
              <w:spacing w:before="6"/>
              <w:rPr>
                <w:b/>
                <w:sz w:val="14"/>
              </w:rPr>
            </w:pPr>
          </w:p>
          <w:p>
            <w:pPr>
              <w:pStyle w:val="TableParagraph"/>
              <w:spacing w:line="144" w:lineRule="exact"/>
              <w:ind w:right="220"/>
              <w:jc w:val="right"/>
              <w:rPr>
                <w:sz w:val="13"/>
              </w:rPr>
            </w:pPr>
            <w:r>
              <w:rPr>
                <w:sz w:val="13"/>
              </w:rPr>
              <w:t>6.40</w:t>
            </w:r>
          </w:p>
        </w:tc>
        <w:tc>
          <w:tcPr>
            <w:tcW w:w="736" w:type="dxa"/>
            <w:shd w:val="clear" w:color="auto" w:fill="ECECEC"/>
          </w:tcPr>
          <w:p>
            <w:pPr>
              <w:pStyle w:val="TableParagraph"/>
              <w:spacing w:before="6"/>
              <w:rPr>
                <w:b/>
                <w:sz w:val="14"/>
              </w:rPr>
            </w:pPr>
          </w:p>
          <w:p>
            <w:pPr>
              <w:pStyle w:val="TableParagraph"/>
              <w:spacing w:line="144" w:lineRule="exact"/>
              <w:ind w:right="241"/>
              <w:jc w:val="right"/>
              <w:rPr>
                <w:sz w:val="13"/>
              </w:rPr>
            </w:pPr>
            <w:r>
              <w:rPr>
                <w:sz w:val="13"/>
              </w:rPr>
              <w:t>6.8</w:t>
            </w:r>
          </w:p>
        </w:tc>
        <w:tc>
          <w:tcPr>
            <w:tcW w:w="706" w:type="dxa"/>
            <w:shd w:val="clear" w:color="auto" w:fill="ECECEC"/>
          </w:tcPr>
          <w:p>
            <w:pPr>
              <w:pStyle w:val="TableParagraph"/>
              <w:spacing w:before="6"/>
              <w:rPr>
                <w:b/>
                <w:sz w:val="14"/>
              </w:rPr>
            </w:pPr>
          </w:p>
          <w:p>
            <w:pPr>
              <w:pStyle w:val="TableParagraph"/>
              <w:spacing w:line="144" w:lineRule="exact"/>
              <w:ind w:left="219" w:right="159"/>
              <w:jc w:val="center"/>
              <w:rPr>
                <w:sz w:val="13"/>
              </w:rPr>
            </w:pPr>
            <w:r>
              <w:rPr>
                <w:sz w:val="13"/>
              </w:rPr>
              <w:t>4.1</w:t>
            </w:r>
          </w:p>
        </w:tc>
        <w:tc>
          <w:tcPr>
            <w:tcW w:w="706" w:type="dxa"/>
            <w:shd w:val="clear" w:color="auto" w:fill="ECECEC"/>
          </w:tcPr>
          <w:p>
            <w:pPr>
              <w:pStyle w:val="TableParagraph"/>
              <w:spacing w:before="6"/>
              <w:rPr>
                <w:b/>
                <w:sz w:val="14"/>
              </w:rPr>
            </w:pPr>
          </w:p>
          <w:p>
            <w:pPr>
              <w:pStyle w:val="TableParagraph"/>
              <w:spacing w:line="144" w:lineRule="exact"/>
              <w:ind w:left="219" w:right="159"/>
              <w:jc w:val="center"/>
              <w:rPr>
                <w:sz w:val="13"/>
              </w:rPr>
            </w:pPr>
            <w:r>
              <w:rPr>
                <w:sz w:val="13"/>
              </w:rPr>
              <w:t>3.5</w:t>
            </w:r>
          </w:p>
        </w:tc>
        <w:tc>
          <w:tcPr>
            <w:tcW w:w="706" w:type="dxa"/>
            <w:shd w:val="clear" w:color="auto" w:fill="ECECEC"/>
          </w:tcPr>
          <w:p>
            <w:pPr>
              <w:pStyle w:val="TableParagraph"/>
              <w:spacing w:before="6"/>
              <w:rPr>
                <w:b/>
                <w:sz w:val="14"/>
              </w:rPr>
            </w:pPr>
          </w:p>
          <w:p>
            <w:pPr>
              <w:pStyle w:val="TableParagraph"/>
              <w:spacing w:line="144" w:lineRule="exact"/>
              <w:ind w:left="219" w:right="158"/>
              <w:jc w:val="center"/>
              <w:rPr>
                <w:sz w:val="13"/>
              </w:rPr>
            </w:pPr>
            <w:r>
              <w:rPr>
                <w:sz w:val="13"/>
              </w:rPr>
              <w:t>3.3</w:t>
            </w:r>
          </w:p>
        </w:tc>
        <w:tc>
          <w:tcPr>
            <w:tcW w:w="706" w:type="dxa"/>
            <w:shd w:val="clear" w:color="auto" w:fill="ECECEC"/>
          </w:tcPr>
          <w:p>
            <w:pPr>
              <w:pStyle w:val="TableParagraph"/>
              <w:spacing w:before="6"/>
              <w:rPr>
                <w:b/>
                <w:sz w:val="14"/>
              </w:rPr>
            </w:pPr>
          </w:p>
          <w:p>
            <w:pPr>
              <w:pStyle w:val="TableParagraph"/>
              <w:spacing w:line="144" w:lineRule="exact"/>
              <w:ind w:left="219" w:right="158"/>
              <w:jc w:val="center"/>
              <w:rPr>
                <w:sz w:val="13"/>
              </w:rPr>
            </w:pPr>
            <w:r>
              <w:rPr>
                <w:sz w:val="13"/>
              </w:rPr>
              <w:t>3.3</w:t>
            </w:r>
          </w:p>
        </w:tc>
        <w:tc>
          <w:tcPr>
            <w:tcW w:w="601" w:type="dxa"/>
            <w:shd w:val="clear" w:color="auto" w:fill="ECECEC"/>
          </w:tcPr>
          <w:p>
            <w:pPr>
              <w:pStyle w:val="TableParagraph"/>
              <w:spacing w:before="6"/>
              <w:rPr>
                <w:b/>
                <w:sz w:val="14"/>
              </w:rPr>
            </w:pPr>
          </w:p>
          <w:p>
            <w:pPr>
              <w:pStyle w:val="TableParagraph"/>
              <w:spacing w:line="144" w:lineRule="exact"/>
              <w:ind w:right="135"/>
              <w:jc w:val="right"/>
              <w:rPr>
                <w:sz w:val="13"/>
              </w:rPr>
            </w:pPr>
            <w:r>
              <w:rPr>
                <w:sz w:val="13"/>
              </w:rPr>
              <w:t>3.2</w:t>
            </w:r>
          </w:p>
        </w:tc>
      </w:tr>
      <w:tr>
        <w:trPr>
          <w:trHeight w:val="173" w:hRule="atLeast"/>
        </w:trPr>
        <w:tc>
          <w:tcPr>
            <w:tcW w:w="2389" w:type="dxa"/>
          </w:tcPr>
          <w:p>
            <w:pPr>
              <w:pStyle w:val="TableParagraph"/>
              <w:spacing w:line="144" w:lineRule="exact" w:before="9"/>
              <w:ind w:left="153"/>
              <w:rPr>
                <w:sz w:val="13"/>
              </w:rPr>
            </w:pPr>
            <w:r>
              <w:rPr>
                <w:sz w:val="13"/>
              </w:rPr>
              <w:t>Economias avanzadas</w:t>
            </w:r>
          </w:p>
        </w:tc>
        <w:tc>
          <w:tcPr>
            <w:tcW w:w="553" w:type="dxa"/>
          </w:tcPr>
          <w:p>
            <w:pPr>
              <w:pStyle w:val="TableParagraph"/>
              <w:spacing w:line="144" w:lineRule="exact" w:before="9"/>
              <w:ind w:right="43"/>
              <w:jc w:val="right"/>
              <w:rPr>
                <w:sz w:val="13"/>
              </w:rPr>
            </w:pPr>
            <w:r>
              <w:rPr>
                <w:sz w:val="13"/>
              </w:rPr>
              <w:t>1.53</w:t>
            </w:r>
          </w:p>
        </w:tc>
        <w:tc>
          <w:tcPr>
            <w:tcW w:w="261" w:type="dxa"/>
          </w:tcPr>
          <w:p>
            <w:pPr>
              <w:pStyle w:val="TableParagraph"/>
              <w:rPr>
                <w:sz w:val="10"/>
              </w:rPr>
            </w:pPr>
          </w:p>
        </w:tc>
        <w:tc>
          <w:tcPr>
            <w:tcW w:w="618" w:type="dxa"/>
          </w:tcPr>
          <w:p>
            <w:pPr>
              <w:pStyle w:val="TableParagraph"/>
              <w:spacing w:line="144" w:lineRule="exact" w:before="9"/>
              <w:ind w:left="180"/>
              <w:rPr>
                <w:sz w:val="13"/>
              </w:rPr>
            </w:pPr>
            <w:r>
              <w:rPr>
                <w:sz w:val="13"/>
              </w:rPr>
              <w:t>0.52</w:t>
            </w:r>
          </w:p>
        </w:tc>
        <w:tc>
          <w:tcPr>
            <w:tcW w:w="710" w:type="dxa"/>
          </w:tcPr>
          <w:p>
            <w:pPr>
              <w:pStyle w:val="TableParagraph"/>
              <w:spacing w:line="144" w:lineRule="exact" w:before="9"/>
              <w:ind w:right="220"/>
              <w:jc w:val="right"/>
              <w:rPr>
                <w:sz w:val="13"/>
              </w:rPr>
            </w:pPr>
            <w:r>
              <w:rPr>
                <w:sz w:val="13"/>
              </w:rPr>
              <w:t>5.26</w:t>
            </w:r>
          </w:p>
        </w:tc>
        <w:tc>
          <w:tcPr>
            <w:tcW w:w="736" w:type="dxa"/>
            <w:shd w:val="clear" w:color="auto" w:fill="ECECEC"/>
          </w:tcPr>
          <w:p>
            <w:pPr>
              <w:pStyle w:val="TableParagraph"/>
              <w:spacing w:line="144" w:lineRule="exact" w:before="9"/>
              <w:ind w:right="241"/>
              <w:jc w:val="right"/>
              <w:rPr>
                <w:sz w:val="13"/>
              </w:rPr>
            </w:pPr>
            <w:r>
              <w:rPr>
                <w:sz w:val="13"/>
              </w:rPr>
              <w:t>4.4</w:t>
            </w:r>
          </w:p>
        </w:tc>
        <w:tc>
          <w:tcPr>
            <w:tcW w:w="706" w:type="dxa"/>
            <w:shd w:val="clear" w:color="auto" w:fill="ECECEC"/>
          </w:tcPr>
          <w:p>
            <w:pPr>
              <w:pStyle w:val="TableParagraph"/>
              <w:spacing w:line="144" w:lineRule="exact" w:before="9"/>
              <w:ind w:left="219" w:right="159"/>
              <w:jc w:val="center"/>
              <w:rPr>
                <w:sz w:val="13"/>
              </w:rPr>
            </w:pPr>
            <w:r>
              <w:rPr>
                <w:sz w:val="13"/>
              </w:rPr>
              <w:t>2.2</w:t>
            </w:r>
          </w:p>
        </w:tc>
        <w:tc>
          <w:tcPr>
            <w:tcW w:w="706" w:type="dxa"/>
            <w:shd w:val="clear" w:color="auto" w:fill="ECECEC"/>
          </w:tcPr>
          <w:p>
            <w:pPr>
              <w:pStyle w:val="TableParagraph"/>
              <w:spacing w:line="144" w:lineRule="exact" w:before="9"/>
              <w:ind w:left="219" w:right="159"/>
              <w:jc w:val="center"/>
              <w:rPr>
                <w:sz w:val="13"/>
              </w:rPr>
            </w:pPr>
            <w:r>
              <w:rPr>
                <w:sz w:val="13"/>
              </w:rPr>
              <w:t>1.9</w:t>
            </w:r>
          </w:p>
        </w:tc>
        <w:tc>
          <w:tcPr>
            <w:tcW w:w="706" w:type="dxa"/>
            <w:shd w:val="clear" w:color="auto" w:fill="ECECEC"/>
          </w:tcPr>
          <w:p>
            <w:pPr>
              <w:pStyle w:val="TableParagraph"/>
              <w:spacing w:line="144" w:lineRule="exact" w:before="9"/>
              <w:ind w:left="219" w:right="158"/>
              <w:jc w:val="center"/>
              <w:rPr>
                <w:sz w:val="13"/>
              </w:rPr>
            </w:pPr>
            <w:r>
              <w:rPr>
                <w:sz w:val="13"/>
              </w:rPr>
              <w:t>1.8</w:t>
            </w:r>
          </w:p>
        </w:tc>
        <w:tc>
          <w:tcPr>
            <w:tcW w:w="706" w:type="dxa"/>
            <w:shd w:val="clear" w:color="auto" w:fill="ECECEC"/>
          </w:tcPr>
          <w:p>
            <w:pPr>
              <w:pStyle w:val="TableParagraph"/>
              <w:spacing w:line="144" w:lineRule="exact" w:before="9"/>
              <w:ind w:left="219" w:right="158"/>
              <w:jc w:val="center"/>
              <w:rPr>
                <w:sz w:val="13"/>
              </w:rPr>
            </w:pPr>
            <w:r>
              <w:rPr>
                <w:sz w:val="13"/>
              </w:rPr>
              <w:t>1.8</w:t>
            </w:r>
          </w:p>
        </w:tc>
        <w:tc>
          <w:tcPr>
            <w:tcW w:w="601" w:type="dxa"/>
            <w:shd w:val="clear" w:color="auto" w:fill="ECECEC"/>
          </w:tcPr>
          <w:p>
            <w:pPr>
              <w:pStyle w:val="TableParagraph"/>
              <w:spacing w:line="144" w:lineRule="exact" w:before="9"/>
              <w:ind w:right="135"/>
              <w:jc w:val="right"/>
              <w:rPr>
                <w:sz w:val="13"/>
              </w:rPr>
            </w:pPr>
            <w:r>
              <w:rPr>
                <w:sz w:val="13"/>
              </w:rPr>
              <w:t>1.8</w:t>
            </w:r>
          </w:p>
        </w:tc>
      </w:tr>
      <w:tr>
        <w:trPr>
          <w:trHeight w:val="173" w:hRule="atLeast"/>
        </w:trPr>
        <w:tc>
          <w:tcPr>
            <w:tcW w:w="2389" w:type="dxa"/>
          </w:tcPr>
          <w:p>
            <w:pPr>
              <w:pStyle w:val="TableParagraph"/>
              <w:spacing w:line="144" w:lineRule="exact" w:before="9"/>
              <w:ind w:left="153"/>
              <w:rPr>
                <w:sz w:val="13"/>
              </w:rPr>
            </w:pPr>
            <w:r>
              <w:rPr>
                <w:sz w:val="13"/>
              </w:rPr>
              <w:t>Zona del Euro</w:t>
            </w:r>
          </w:p>
        </w:tc>
        <w:tc>
          <w:tcPr>
            <w:tcW w:w="553" w:type="dxa"/>
          </w:tcPr>
          <w:p>
            <w:pPr>
              <w:pStyle w:val="TableParagraph"/>
              <w:spacing w:line="144" w:lineRule="exact" w:before="9"/>
              <w:ind w:right="43"/>
              <w:jc w:val="right"/>
              <w:rPr>
                <w:sz w:val="13"/>
              </w:rPr>
            </w:pPr>
            <w:r>
              <w:rPr>
                <w:sz w:val="13"/>
              </w:rPr>
              <w:t>1.33</w:t>
            </w:r>
          </w:p>
        </w:tc>
        <w:tc>
          <w:tcPr>
            <w:tcW w:w="261" w:type="dxa"/>
          </w:tcPr>
          <w:p>
            <w:pPr>
              <w:pStyle w:val="TableParagraph"/>
              <w:spacing w:line="144" w:lineRule="exact" w:before="9"/>
              <w:ind w:left="36"/>
              <w:rPr>
                <w:sz w:val="13"/>
              </w:rPr>
            </w:pPr>
            <w:r>
              <w:rPr>
                <w:w w:val="99"/>
                <w:sz w:val="13"/>
              </w:rPr>
              <w:t>-</w:t>
            </w:r>
          </w:p>
        </w:tc>
        <w:tc>
          <w:tcPr>
            <w:tcW w:w="618" w:type="dxa"/>
          </w:tcPr>
          <w:p>
            <w:pPr>
              <w:pStyle w:val="TableParagraph"/>
              <w:spacing w:line="144" w:lineRule="exact" w:before="9"/>
              <w:ind w:left="180"/>
              <w:rPr>
                <w:sz w:val="13"/>
              </w:rPr>
            </w:pPr>
            <w:r>
              <w:rPr>
                <w:sz w:val="13"/>
              </w:rPr>
              <w:t>0.27</w:t>
            </w:r>
          </w:p>
        </w:tc>
        <w:tc>
          <w:tcPr>
            <w:tcW w:w="710" w:type="dxa"/>
          </w:tcPr>
          <w:p>
            <w:pPr>
              <w:pStyle w:val="TableParagraph"/>
              <w:spacing w:line="144" w:lineRule="exact" w:before="9"/>
              <w:ind w:right="220"/>
              <w:jc w:val="right"/>
              <w:rPr>
                <w:sz w:val="13"/>
              </w:rPr>
            </w:pPr>
            <w:r>
              <w:rPr>
                <w:sz w:val="13"/>
              </w:rPr>
              <w:t>4.96</w:t>
            </w:r>
          </w:p>
        </w:tc>
        <w:tc>
          <w:tcPr>
            <w:tcW w:w="736" w:type="dxa"/>
            <w:shd w:val="clear" w:color="auto" w:fill="ECECEC"/>
          </w:tcPr>
          <w:p>
            <w:pPr>
              <w:pStyle w:val="TableParagraph"/>
              <w:spacing w:line="144" w:lineRule="exact" w:before="9"/>
              <w:ind w:right="241"/>
              <w:jc w:val="right"/>
              <w:rPr>
                <w:sz w:val="13"/>
              </w:rPr>
            </w:pPr>
            <w:r>
              <w:rPr>
                <w:sz w:val="13"/>
              </w:rPr>
              <w:t>4.2</w:t>
            </w:r>
          </w:p>
        </w:tc>
        <w:tc>
          <w:tcPr>
            <w:tcW w:w="706" w:type="dxa"/>
            <w:shd w:val="clear" w:color="auto" w:fill="ECECEC"/>
          </w:tcPr>
          <w:p>
            <w:pPr>
              <w:pStyle w:val="TableParagraph"/>
              <w:spacing w:line="144" w:lineRule="exact" w:before="9"/>
              <w:ind w:left="219" w:right="159"/>
              <w:jc w:val="center"/>
              <w:rPr>
                <w:sz w:val="13"/>
              </w:rPr>
            </w:pPr>
            <w:r>
              <w:rPr>
                <w:sz w:val="13"/>
              </w:rPr>
              <w:t>2.1</w:t>
            </w:r>
          </w:p>
        </w:tc>
        <w:tc>
          <w:tcPr>
            <w:tcW w:w="706" w:type="dxa"/>
            <w:shd w:val="clear" w:color="auto" w:fill="ECECEC"/>
          </w:tcPr>
          <w:p>
            <w:pPr>
              <w:pStyle w:val="TableParagraph"/>
              <w:spacing w:line="144" w:lineRule="exact" w:before="9"/>
              <w:ind w:left="219" w:right="159"/>
              <w:jc w:val="center"/>
              <w:rPr>
                <w:sz w:val="13"/>
              </w:rPr>
            </w:pPr>
            <w:r>
              <w:rPr>
                <w:sz w:val="13"/>
              </w:rPr>
              <w:t>1.8</w:t>
            </w:r>
          </w:p>
        </w:tc>
        <w:tc>
          <w:tcPr>
            <w:tcW w:w="706" w:type="dxa"/>
            <w:shd w:val="clear" w:color="auto" w:fill="ECECEC"/>
          </w:tcPr>
          <w:p>
            <w:pPr>
              <w:pStyle w:val="TableParagraph"/>
              <w:spacing w:line="144" w:lineRule="exact" w:before="9"/>
              <w:ind w:left="219" w:right="158"/>
              <w:jc w:val="center"/>
              <w:rPr>
                <w:sz w:val="13"/>
              </w:rPr>
            </w:pPr>
            <w:r>
              <w:rPr>
                <w:sz w:val="13"/>
              </w:rPr>
              <w:t>1.8</w:t>
            </w:r>
          </w:p>
        </w:tc>
        <w:tc>
          <w:tcPr>
            <w:tcW w:w="706" w:type="dxa"/>
            <w:shd w:val="clear" w:color="auto" w:fill="ECECEC"/>
          </w:tcPr>
          <w:p>
            <w:pPr>
              <w:pStyle w:val="TableParagraph"/>
              <w:spacing w:line="144" w:lineRule="exact" w:before="9"/>
              <w:ind w:left="219" w:right="158"/>
              <w:jc w:val="center"/>
              <w:rPr>
                <w:sz w:val="13"/>
              </w:rPr>
            </w:pPr>
            <w:r>
              <w:rPr>
                <w:sz w:val="13"/>
              </w:rPr>
              <w:t>1.8</w:t>
            </w:r>
          </w:p>
        </w:tc>
        <w:tc>
          <w:tcPr>
            <w:tcW w:w="601" w:type="dxa"/>
            <w:shd w:val="clear" w:color="auto" w:fill="ECECEC"/>
          </w:tcPr>
          <w:p>
            <w:pPr>
              <w:pStyle w:val="TableParagraph"/>
              <w:spacing w:line="144" w:lineRule="exact" w:before="9"/>
              <w:ind w:right="135"/>
              <w:jc w:val="right"/>
              <w:rPr>
                <w:sz w:val="13"/>
              </w:rPr>
            </w:pPr>
            <w:r>
              <w:rPr>
                <w:sz w:val="13"/>
              </w:rPr>
              <w:t>1.8</w:t>
            </w:r>
          </w:p>
        </w:tc>
      </w:tr>
      <w:tr>
        <w:trPr>
          <w:trHeight w:val="172" w:hRule="atLeast"/>
        </w:trPr>
        <w:tc>
          <w:tcPr>
            <w:tcW w:w="2389" w:type="dxa"/>
          </w:tcPr>
          <w:p>
            <w:pPr>
              <w:pStyle w:val="TableParagraph"/>
              <w:spacing w:line="144" w:lineRule="exact" w:before="9"/>
              <w:ind w:left="153"/>
              <w:rPr>
                <w:sz w:val="13"/>
              </w:rPr>
            </w:pPr>
            <w:r>
              <w:rPr>
                <w:sz w:val="13"/>
              </w:rPr>
              <w:t>Economias emergentes y en desarrollo</w:t>
            </w:r>
          </w:p>
        </w:tc>
        <w:tc>
          <w:tcPr>
            <w:tcW w:w="553" w:type="dxa"/>
          </w:tcPr>
          <w:p>
            <w:pPr>
              <w:pStyle w:val="TableParagraph"/>
              <w:spacing w:line="144" w:lineRule="exact" w:before="9"/>
              <w:ind w:right="43"/>
              <w:jc w:val="right"/>
              <w:rPr>
                <w:sz w:val="13"/>
              </w:rPr>
            </w:pPr>
            <w:r>
              <w:rPr>
                <w:sz w:val="13"/>
              </w:rPr>
              <w:t>5.64</w:t>
            </w:r>
          </w:p>
        </w:tc>
        <w:tc>
          <w:tcPr>
            <w:tcW w:w="261" w:type="dxa"/>
          </w:tcPr>
          <w:p>
            <w:pPr>
              <w:pStyle w:val="TableParagraph"/>
              <w:rPr>
                <w:sz w:val="10"/>
              </w:rPr>
            </w:pPr>
          </w:p>
        </w:tc>
        <w:tc>
          <w:tcPr>
            <w:tcW w:w="618" w:type="dxa"/>
          </w:tcPr>
          <w:p>
            <w:pPr>
              <w:pStyle w:val="TableParagraph"/>
              <w:spacing w:line="144" w:lineRule="exact" w:before="9"/>
              <w:ind w:left="180"/>
              <w:rPr>
                <w:sz w:val="13"/>
              </w:rPr>
            </w:pPr>
            <w:r>
              <w:rPr>
                <w:sz w:val="13"/>
              </w:rPr>
              <w:t>4.52</w:t>
            </w:r>
          </w:p>
        </w:tc>
        <w:tc>
          <w:tcPr>
            <w:tcW w:w="710" w:type="dxa"/>
          </w:tcPr>
          <w:p>
            <w:pPr>
              <w:pStyle w:val="TableParagraph"/>
              <w:spacing w:line="144" w:lineRule="exact" w:before="9"/>
              <w:ind w:right="220"/>
              <w:jc w:val="right"/>
              <w:rPr>
                <w:sz w:val="13"/>
              </w:rPr>
            </w:pPr>
            <w:r>
              <w:rPr>
                <w:sz w:val="13"/>
              </w:rPr>
              <w:t>7.25</w:t>
            </w:r>
          </w:p>
        </w:tc>
        <w:tc>
          <w:tcPr>
            <w:tcW w:w="736" w:type="dxa"/>
            <w:shd w:val="clear" w:color="auto" w:fill="ECECEC"/>
          </w:tcPr>
          <w:p>
            <w:pPr>
              <w:pStyle w:val="TableParagraph"/>
              <w:spacing w:line="144" w:lineRule="exact" w:before="9"/>
              <w:ind w:right="241"/>
              <w:jc w:val="right"/>
              <w:rPr>
                <w:sz w:val="13"/>
              </w:rPr>
            </w:pPr>
            <w:r>
              <w:rPr>
                <w:sz w:val="13"/>
              </w:rPr>
              <w:t>8.5</w:t>
            </w:r>
          </w:p>
        </w:tc>
        <w:tc>
          <w:tcPr>
            <w:tcW w:w="706" w:type="dxa"/>
            <w:shd w:val="clear" w:color="auto" w:fill="ECECEC"/>
          </w:tcPr>
          <w:p>
            <w:pPr>
              <w:pStyle w:val="TableParagraph"/>
              <w:spacing w:line="144" w:lineRule="exact" w:before="9"/>
              <w:ind w:left="219" w:right="159"/>
              <w:jc w:val="center"/>
              <w:rPr>
                <w:sz w:val="13"/>
              </w:rPr>
            </w:pPr>
            <w:r>
              <w:rPr>
                <w:sz w:val="13"/>
              </w:rPr>
              <w:t>5.6</w:t>
            </w:r>
          </w:p>
        </w:tc>
        <w:tc>
          <w:tcPr>
            <w:tcW w:w="706" w:type="dxa"/>
            <w:shd w:val="clear" w:color="auto" w:fill="ECECEC"/>
          </w:tcPr>
          <w:p>
            <w:pPr>
              <w:pStyle w:val="TableParagraph"/>
              <w:spacing w:line="144" w:lineRule="exact" w:before="9"/>
              <w:ind w:left="219" w:right="159"/>
              <w:jc w:val="center"/>
              <w:rPr>
                <w:sz w:val="13"/>
              </w:rPr>
            </w:pPr>
            <w:r>
              <w:rPr>
                <w:sz w:val="13"/>
              </w:rPr>
              <w:t>4.7</w:t>
            </w:r>
          </w:p>
        </w:tc>
        <w:tc>
          <w:tcPr>
            <w:tcW w:w="706" w:type="dxa"/>
            <w:shd w:val="clear" w:color="auto" w:fill="ECECEC"/>
          </w:tcPr>
          <w:p>
            <w:pPr>
              <w:pStyle w:val="TableParagraph"/>
              <w:spacing w:line="144" w:lineRule="exact" w:before="9"/>
              <w:ind w:left="219" w:right="158"/>
              <w:jc w:val="center"/>
              <w:rPr>
                <w:sz w:val="13"/>
              </w:rPr>
            </w:pPr>
            <w:r>
              <w:rPr>
                <w:sz w:val="13"/>
              </w:rPr>
              <w:t>4.3</w:t>
            </w:r>
          </w:p>
        </w:tc>
        <w:tc>
          <w:tcPr>
            <w:tcW w:w="706" w:type="dxa"/>
            <w:shd w:val="clear" w:color="auto" w:fill="ECECEC"/>
          </w:tcPr>
          <w:p>
            <w:pPr>
              <w:pStyle w:val="TableParagraph"/>
              <w:spacing w:line="144" w:lineRule="exact" w:before="9"/>
              <w:ind w:left="219" w:right="158"/>
              <w:jc w:val="center"/>
              <w:rPr>
                <w:sz w:val="13"/>
              </w:rPr>
            </w:pPr>
            <w:r>
              <w:rPr>
                <w:sz w:val="13"/>
              </w:rPr>
              <w:t>4.2</w:t>
            </w:r>
          </w:p>
        </w:tc>
        <w:tc>
          <w:tcPr>
            <w:tcW w:w="601" w:type="dxa"/>
            <w:shd w:val="clear" w:color="auto" w:fill="ECECEC"/>
          </w:tcPr>
          <w:p>
            <w:pPr>
              <w:pStyle w:val="TableParagraph"/>
              <w:spacing w:line="144" w:lineRule="exact" w:before="9"/>
              <w:ind w:right="135"/>
              <w:jc w:val="right"/>
              <w:rPr>
                <w:sz w:val="13"/>
              </w:rPr>
            </w:pPr>
            <w:r>
              <w:rPr>
                <w:sz w:val="13"/>
              </w:rPr>
              <w:t>4.1</w:t>
            </w:r>
          </w:p>
        </w:tc>
      </w:tr>
      <w:tr>
        <w:trPr>
          <w:trHeight w:val="259" w:hRule="atLeast"/>
        </w:trPr>
        <w:tc>
          <w:tcPr>
            <w:tcW w:w="2389" w:type="dxa"/>
          </w:tcPr>
          <w:p>
            <w:pPr>
              <w:pStyle w:val="TableParagraph"/>
              <w:spacing w:before="9"/>
              <w:ind w:left="153"/>
              <w:rPr>
                <w:sz w:val="13"/>
              </w:rPr>
            </w:pPr>
            <w:r>
              <w:rPr>
                <w:sz w:val="13"/>
              </w:rPr>
              <w:t>Latinoamerica y el Cáribe</w:t>
            </w:r>
          </w:p>
        </w:tc>
        <w:tc>
          <w:tcPr>
            <w:tcW w:w="553" w:type="dxa"/>
          </w:tcPr>
          <w:p>
            <w:pPr>
              <w:pStyle w:val="TableParagraph"/>
              <w:spacing w:before="9"/>
              <w:ind w:right="43"/>
              <w:jc w:val="right"/>
              <w:rPr>
                <w:sz w:val="13"/>
              </w:rPr>
            </w:pPr>
            <w:r>
              <w:rPr>
                <w:sz w:val="13"/>
              </w:rPr>
              <w:t>7.73</w:t>
            </w:r>
          </w:p>
        </w:tc>
        <w:tc>
          <w:tcPr>
            <w:tcW w:w="261" w:type="dxa"/>
          </w:tcPr>
          <w:p>
            <w:pPr>
              <w:pStyle w:val="TableParagraph"/>
              <w:rPr>
                <w:sz w:val="18"/>
              </w:rPr>
            </w:pPr>
          </w:p>
        </w:tc>
        <w:tc>
          <w:tcPr>
            <w:tcW w:w="618" w:type="dxa"/>
          </w:tcPr>
          <w:p>
            <w:pPr>
              <w:pStyle w:val="TableParagraph"/>
              <w:spacing w:before="9"/>
              <w:ind w:left="180"/>
              <w:rPr>
                <w:sz w:val="13"/>
              </w:rPr>
            </w:pPr>
            <w:r>
              <w:rPr>
                <w:sz w:val="13"/>
              </w:rPr>
              <w:t>6.34</w:t>
            </w:r>
          </w:p>
        </w:tc>
        <w:tc>
          <w:tcPr>
            <w:tcW w:w="710" w:type="dxa"/>
          </w:tcPr>
          <w:p>
            <w:pPr>
              <w:pStyle w:val="TableParagraph"/>
              <w:spacing w:before="9"/>
              <w:ind w:right="220"/>
              <w:jc w:val="right"/>
              <w:rPr>
                <w:sz w:val="13"/>
              </w:rPr>
            </w:pPr>
            <w:r>
              <w:rPr>
                <w:w w:val="95"/>
                <w:sz w:val="13"/>
              </w:rPr>
              <w:t>11.56</w:t>
            </w:r>
          </w:p>
        </w:tc>
        <w:tc>
          <w:tcPr>
            <w:tcW w:w="736" w:type="dxa"/>
            <w:shd w:val="clear" w:color="auto" w:fill="ECECEC"/>
          </w:tcPr>
          <w:p>
            <w:pPr>
              <w:pStyle w:val="TableParagraph"/>
              <w:spacing w:before="9"/>
              <w:ind w:right="241"/>
              <w:jc w:val="right"/>
              <w:rPr>
                <w:sz w:val="13"/>
              </w:rPr>
            </w:pPr>
            <w:r>
              <w:rPr>
                <w:sz w:val="13"/>
              </w:rPr>
              <w:t>10.0</w:t>
            </w:r>
          </w:p>
        </w:tc>
        <w:tc>
          <w:tcPr>
            <w:tcW w:w="706" w:type="dxa"/>
            <w:shd w:val="clear" w:color="auto" w:fill="ECECEC"/>
          </w:tcPr>
          <w:p>
            <w:pPr>
              <w:pStyle w:val="TableParagraph"/>
              <w:spacing w:before="9"/>
              <w:ind w:left="219" w:right="159"/>
              <w:jc w:val="center"/>
              <w:rPr>
                <w:sz w:val="13"/>
              </w:rPr>
            </w:pPr>
            <w:r>
              <w:rPr>
                <w:sz w:val="13"/>
              </w:rPr>
              <w:t>7.1</w:t>
            </w:r>
          </w:p>
        </w:tc>
        <w:tc>
          <w:tcPr>
            <w:tcW w:w="706" w:type="dxa"/>
            <w:shd w:val="clear" w:color="auto" w:fill="ECECEC"/>
          </w:tcPr>
          <w:p>
            <w:pPr>
              <w:pStyle w:val="TableParagraph"/>
              <w:spacing w:before="9"/>
              <w:ind w:left="219" w:right="159"/>
              <w:jc w:val="center"/>
              <w:rPr>
                <w:sz w:val="13"/>
              </w:rPr>
            </w:pPr>
            <w:r>
              <w:rPr>
                <w:sz w:val="13"/>
              </w:rPr>
              <w:t>6.2</w:t>
            </w:r>
          </w:p>
        </w:tc>
        <w:tc>
          <w:tcPr>
            <w:tcW w:w="706" w:type="dxa"/>
            <w:shd w:val="clear" w:color="auto" w:fill="ECECEC"/>
          </w:tcPr>
          <w:p>
            <w:pPr>
              <w:pStyle w:val="TableParagraph"/>
              <w:spacing w:before="9"/>
              <w:ind w:left="219" w:right="158"/>
              <w:jc w:val="center"/>
              <w:rPr>
                <w:sz w:val="13"/>
              </w:rPr>
            </w:pPr>
            <w:r>
              <w:rPr>
                <w:sz w:val="13"/>
              </w:rPr>
              <w:t>5.7</w:t>
            </w:r>
          </w:p>
        </w:tc>
        <w:tc>
          <w:tcPr>
            <w:tcW w:w="706" w:type="dxa"/>
            <w:shd w:val="clear" w:color="auto" w:fill="ECECEC"/>
          </w:tcPr>
          <w:p>
            <w:pPr>
              <w:pStyle w:val="TableParagraph"/>
              <w:spacing w:before="9"/>
              <w:ind w:left="219" w:right="158"/>
              <w:jc w:val="center"/>
              <w:rPr>
                <w:sz w:val="13"/>
              </w:rPr>
            </w:pPr>
            <w:r>
              <w:rPr>
                <w:sz w:val="13"/>
              </w:rPr>
              <w:t>5.3</w:t>
            </w:r>
          </w:p>
        </w:tc>
        <w:tc>
          <w:tcPr>
            <w:tcW w:w="601" w:type="dxa"/>
            <w:shd w:val="clear" w:color="auto" w:fill="ECECEC"/>
          </w:tcPr>
          <w:p>
            <w:pPr>
              <w:pStyle w:val="TableParagraph"/>
              <w:spacing w:before="9"/>
              <w:ind w:right="135"/>
              <w:jc w:val="right"/>
              <w:rPr>
                <w:sz w:val="13"/>
              </w:rPr>
            </w:pPr>
            <w:r>
              <w:rPr>
                <w:sz w:val="13"/>
              </w:rPr>
              <w:t>4.8</w:t>
            </w:r>
          </w:p>
        </w:tc>
      </w:tr>
      <w:tr>
        <w:trPr>
          <w:trHeight w:val="274" w:hRule="atLeast"/>
        </w:trPr>
        <w:tc>
          <w:tcPr>
            <w:tcW w:w="4531" w:type="dxa"/>
            <w:gridSpan w:val="5"/>
          </w:tcPr>
          <w:p>
            <w:pPr>
              <w:pStyle w:val="TableParagraph"/>
              <w:spacing w:before="95"/>
              <w:ind w:left="50"/>
              <w:rPr>
                <w:b/>
                <w:sz w:val="13"/>
              </w:rPr>
            </w:pPr>
            <w:r>
              <w:rPr>
                <w:b/>
                <w:sz w:val="13"/>
              </w:rPr>
              <w:t>Precios del petroleo</w:t>
            </w:r>
          </w:p>
        </w:tc>
        <w:tc>
          <w:tcPr>
            <w:tcW w:w="4161" w:type="dxa"/>
            <w:gridSpan w:val="6"/>
            <w:shd w:val="clear" w:color="auto" w:fill="ECECEC"/>
          </w:tcPr>
          <w:p>
            <w:pPr>
              <w:pStyle w:val="TableParagraph"/>
              <w:rPr>
                <w:sz w:val="18"/>
              </w:rPr>
            </w:pPr>
          </w:p>
        </w:tc>
      </w:tr>
      <w:tr>
        <w:trPr>
          <w:trHeight w:val="301" w:hRule="atLeast"/>
        </w:trPr>
        <w:tc>
          <w:tcPr>
            <w:tcW w:w="2389" w:type="dxa"/>
          </w:tcPr>
          <w:p>
            <w:pPr>
              <w:pStyle w:val="TableParagraph"/>
              <w:spacing w:line="144" w:lineRule="exact"/>
              <w:ind w:left="153"/>
              <w:rPr>
                <w:sz w:val="13"/>
              </w:rPr>
            </w:pPr>
            <w:r>
              <w:rPr>
                <w:sz w:val="13"/>
              </w:rPr>
              <w:t>Promedio del barril WTI en USD$</w:t>
            </w:r>
          </w:p>
        </w:tc>
        <w:tc>
          <w:tcPr>
            <w:tcW w:w="553" w:type="dxa"/>
          </w:tcPr>
          <w:p>
            <w:pPr>
              <w:pStyle w:val="TableParagraph"/>
              <w:spacing w:line="144" w:lineRule="exact"/>
              <w:ind w:right="35"/>
              <w:jc w:val="right"/>
              <w:rPr>
                <w:sz w:val="13"/>
              </w:rPr>
            </w:pPr>
            <w:r>
              <w:rPr>
                <w:sz w:val="13"/>
              </w:rPr>
              <w:t>61.1</w:t>
            </w:r>
          </w:p>
        </w:tc>
        <w:tc>
          <w:tcPr>
            <w:tcW w:w="879" w:type="dxa"/>
            <w:gridSpan w:val="2"/>
          </w:tcPr>
          <w:p>
            <w:pPr>
              <w:pStyle w:val="TableParagraph"/>
              <w:spacing w:line="144" w:lineRule="exact"/>
              <w:ind w:left="449"/>
              <w:rPr>
                <w:sz w:val="13"/>
              </w:rPr>
            </w:pPr>
            <w:r>
              <w:rPr>
                <w:sz w:val="13"/>
              </w:rPr>
              <w:t>48.4</w:t>
            </w:r>
          </w:p>
        </w:tc>
        <w:tc>
          <w:tcPr>
            <w:tcW w:w="710" w:type="dxa"/>
          </w:tcPr>
          <w:p>
            <w:pPr>
              <w:pStyle w:val="TableParagraph"/>
              <w:spacing w:line="144" w:lineRule="exact"/>
              <w:ind w:right="211"/>
              <w:jc w:val="right"/>
              <w:rPr>
                <w:sz w:val="13"/>
              </w:rPr>
            </w:pPr>
            <w:r>
              <w:rPr>
                <w:sz w:val="13"/>
              </w:rPr>
              <w:t>75.3</w:t>
            </w:r>
          </w:p>
        </w:tc>
        <w:tc>
          <w:tcPr>
            <w:tcW w:w="736" w:type="dxa"/>
          </w:tcPr>
          <w:p>
            <w:pPr>
              <w:pStyle w:val="TableParagraph"/>
              <w:spacing w:line="144" w:lineRule="exact"/>
              <w:ind w:right="241"/>
              <w:jc w:val="right"/>
              <w:rPr>
                <w:sz w:val="13"/>
              </w:rPr>
            </w:pPr>
            <w:r>
              <w:rPr>
                <w:w w:val="95"/>
                <w:sz w:val="13"/>
              </w:rPr>
              <w:t>103.9</w:t>
            </w:r>
          </w:p>
        </w:tc>
        <w:tc>
          <w:tcPr>
            <w:tcW w:w="706" w:type="dxa"/>
          </w:tcPr>
          <w:p>
            <w:pPr>
              <w:pStyle w:val="TableParagraph"/>
              <w:spacing w:line="144" w:lineRule="exact"/>
              <w:ind w:left="218" w:right="218"/>
              <w:jc w:val="center"/>
              <w:rPr>
                <w:sz w:val="13"/>
              </w:rPr>
            </w:pPr>
            <w:r>
              <w:rPr>
                <w:sz w:val="13"/>
              </w:rPr>
              <w:t>89.6</w:t>
            </w:r>
          </w:p>
        </w:tc>
        <w:tc>
          <w:tcPr>
            <w:tcW w:w="706" w:type="dxa"/>
          </w:tcPr>
          <w:p>
            <w:pPr>
              <w:pStyle w:val="TableParagraph"/>
              <w:spacing w:line="144" w:lineRule="exact"/>
              <w:ind w:left="218" w:right="218"/>
              <w:jc w:val="center"/>
              <w:rPr>
                <w:sz w:val="13"/>
              </w:rPr>
            </w:pPr>
            <w:r>
              <w:rPr>
                <w:sz w:val="13"/>
              </w:rPr>
              <w:t>81.0</w:t>
            </w:r>
          </w:p>
        </w:tc>
        <w:tc>
          <w:tcPr>
            <w:tcW w:w="706" w:type="dxa"/>
          </w:tcPr>
          <w:p>
            <w:pPr>
              <w:pStyle w:val="TableParagraph"/>
              <w:spacing w:line="144" w:lineRule="exact"/>
              <w:ind w:left="218" w:right="218"/>
              <w:jc w:val="center"/>
              <w:rPr>
                <w:sz w:val="13"/>
              </w:rPr>
            </w:pPr>
            <w:r>
              <w:rPr>
                <w:sz w:val="13"/>
              </w:rPr>
              <w:t>74.9</w:t>
            </w:r>
          </w:p>
        </w:tc>
        <w:tc>
          <w:tcPr>
            <w:tcW w:w="706" w:type="dxa"/>
          </w:tcPr>
          <w:p>
            <w:pPr>
              <w:pStyle w:val="TableParagraph"/>
              <w:spacing w:line="144" w:lineRule="exact"/>
              <w:ind w:left="219" w:right="218"/>
              <w:jc w:val="center"/>
              <w:rPr>
                <w:sz w:val="13"/>
              </w:rPr>
            </w:pPr>
            <w:r>
              <w:rPr>
                <w:sz w:val="13"/>
              </w:rPr>
              <w:t>70.5</w:t>
            </w:r>
          </w:p>
        </w:tc>
        <w:tc>
          <w:tcPr>
            <w:tcW w:w="601" w:type="dxa"/>
          </w:tcPr>
          <w:p>
            <w:pPr>
              <w:pStyle w:val="TableParagraph"/>
              <w:spacing w:line="144" w:lineRule="exact"/>
              <w:ind w:right="135"/>
              <w:jc w:val="right"/>
              <w:rPr>
                <w:sz w:val="13"/>
              </w:rPr>
            </w:pPr>
            <w:r>
              <w:rPr>
                <w:sz w:val="13"/>
              </w:rPr>
              <w:t>67.8</w:t>
            </w:r>
          </w:p>
        </w:tc>
      </w:tr>
    </w:tbl>
    <w:p>
      <w:pPr>
        <w:tabs>
          <w:tab w:pos="3020" w:val="left" w:leader="none"/>
          <w:tab w:pos="3727" w:val="left" w:leader="none"/>
          <w:tab w:pos="4433" w:val="left" w:leader="none"/>
          <w:tab w:pos="5139" w:val="left" w:leader="none"/>
          <w:tab w:pos="5845" w:val="left" w:leader="none"/>
          <w:tab w:pos="6552" w:val="left" w:leader="none"/>
          <w:tab w:pos="7258" w:val="left" w:leader="none"/>
          <w:tab w:pos="7964" w:val="left" w:leader="none"/>
          <w:tab w:pos="8670" w:val="left" w:leader="none"/>
          <w:tab w:pos="9377" w:val="left" w:leader="none"/>
        </w:tabs>
        <w:spacing w:line="20" w:lineRule="exact"/>
        <w:ind w:left="798" w:right="0" w:firstLine="0"/>
        <w:rPr>
          <w:sz w:val="2"/>
        </w:rPr>
      </w:pPr>
      <w:r>
        <w:rPr>
          <w:sz w:val="2"/>
        </w:rPr>
        <w:pict>
          <v:group style="width:.45pt;height:.1pt;mso-position-horizontal-relative:char;mso-position-vertical-relative:line" coordorigin="0,0" coordsize="9,2">
            <v:shape style="position:absolute;left:0;top:0;width:9;height:2" coordorigin="0,0" coordsize="9,0" path="m9,0l0,0,9,0xe" filled="true" fillcolor="#d3d3d3" stroked="false">
              <v:path arrowok="t"/>
              <v:fill type="solid"/>
            </v:shape>
          </v:group>
        </w:pict>
      </w:r>
      <w:r>
        <w:rPr>
          <w:sz w:val="2"/>
        </w:rPr>
      </w:r>
      <w:r>
        <w:rPr>
          <w:sz w:val="2"/>
        </w:rPr>
        <w:tab/>
      </w:r>
      <w:r>
        <w:rPr>
          <w:sz w:val="2"/>
        </w:rPr>
        <w:pict>
          <v:group style="width:.45pt;height:.1pt;mso-position-horizontal-relative:char;mso-position-vertical-relative:line" coordorigin="0,0" coordsize="9,2">
            <v:shape style="position:absolute;left:0;top:0;width:9;height:2" coordorigin="0,0" coordsize="9,0" path="m9,0l0,0,9,0xe" filled="true" fillcolor="#d3d3d3" stroked="false">
              <v:path arrowok="t"/>
              <v:fill type="solid"/>
            </v:shape>
          </v:group>
        </w:pict>
      </w:r>
      <w:r>
        <w:rPr>
          <w:sz w:val="2"/>
        </w:rPr>
      </w:r>
      <w:r>
        <w:rPr>
          <w:sz w:val="2"/>
        </w:rPr>
        <w:tab/>
      </w:r>
      <w:r>
        <w:rPr>
          <w:sz w:val="2"/>
        </w:rPr>
        <w:pict>
          <v:group style="width:.45pt;height:.1pt;mso-position-horizontal-relative:char;mso-position-vertical-relative:line" coordorigin="0,0" coordsize="9,2">
            <v:shape style="position:absolute;left:0;top:0;width:9;height:2" coordorigin="0,0" coordsize="9,0" path="m9,0l0,0,9,0xe" filled="true" fillcolor="#d3d3d3" stroked="false">
              <v:path arrowok="t"/>
              <v:fill type="solid"/>
            </v:shape>
          </v:group>
        </w:pict>
      </w:r>
      <w:r>
        <w:rPr>
          <w:sz w:val="2"/>
        </w:rPr>
      </w:r>
      <w:r>
        <w:rPr>
          <w:sz w:val="2"/>
        </w:rPr>
        <w:tab/>
      </w:r>
      <w:r>
        <w:rPr>
          <w:sz w:val="2"/>
        </w:rPr>
        <w:pict>
          <v:group style="width:.45pt;height:.1pt;mso-position-horizontal-relative:char;mso-position-vertical-relative:line" coordorigin="0,0" coordsize="9,2">
            <v:shape style="position:absolute;left:0;top:0;width:9;height:2" coordorigin="0,0" coordsize="9,0" path="m9,0l0,0,9,0xe" filled="true" fillcolor="#d3d3d3" stroked="false">
              <v:path arrowok="t"/>
              <v:fill type="solid"/>
            </v:shape>
          </v:group>
        </w:pict>
      </w:r>
      <w:r>
        <w:rPr>
          <w:sz w:val="2"/>
        </w:rPr>
      </w:r>
      <w:r>
        <w:rPr>
          <w:sz w:val="2"/>
        </w:rPr>
        <w:tab/>
      </w:r>
      <w:r>
        <w:rPr>
          <w:sz w:val="2"/>
        </w:rPr>
        <w:pict>
          <v:group style="width:.45pt;height:.1pt;mso-position-horizontal-relative:char;mso-position-vertical-relative:line" coordorigin="0,0" coordsize="9,2">
            <v:shape style="position:absolute;left:0;top:0;width:9;height:2" coordorigin="0,0" coordsize="9,0" path="m9,0l0,0,9,0xe" filled="true" fillcolor="#d3d3d3" stroked="false">
              <v:path arrowok="t"/>
              <v:fill type="solid"/>
            </v:shape>
          </v:group>
        </w:pict>
      </w:r>
      <w:r>
        <w:rPr>
          <w:sz w:val="2"/>
        </w:rPr>
      </w:r>
      <w:r>
        <w:rPr>
          <w:sz w:val="2"/>
        </w:rPr>
        <w:tab/>
      </w:r>
      <w:r>
        <w:rPr>
          <w:sz w:val="2"/>
        </w:rPr>
        <w:pict>
          <v:group style="width:.45pt;height:.1pt;mso-position-horizontal-relative:char;mso-position-vertical-relative:line" coordorigin="0,0" coordsize="9,2">
            <v:shape style="position:absolute;left:0;top:0;width:9;height:2" coordorigin="0,0" coordsize="9,0" path="m9,0l0,0,9,0xe" filled="true" fillcolor="#d3d3d3" stroked="false">
              <v:path arrowok="t"/>
              <v:fill type="solid"/>
            </v:shape>
          </v:group>
        </w:pict>
      </w:r>
      <w:r>
        <w:rPr>
          <w:sz w:val="2"/>
        </w:rPr>
      </w:r>
      <w:r>
        <w:rPr>
          <w:sz w:val="2"/>
        </w:rPr>
        <w:tab/>
      </w:r>
      <w:r>
        <w:rPr>
          <w:sz w:val="2"/>
        </w:rPr>
        <w:pict>
          <v:group style="width:.45pt;height:.1pt;mso-position-horizontal-relative:char;mso-position-vertical-relative:line" coordorigin="0,0" coordsize="9,2">
            <v:shape style="position:absolute;left:0;top:0;width:9;height:2" coordorigin="0,0" coordsize="9,0" path="m9,0l0,0,9,0xe" filled="true" fillcolor="#d3d3d3" stroked="false">
              <v:path arrowok="t"/>
              <v:fill type="solid"/>
            </v:shape>
          </v:group>
        </w:pict>
      </w:r>
      <w:r>
        <w:rPr>
          <w:sz w:val="2"/>
        </w:rPr>
      </w:r>
      <w:r>
        <w:rPr>
          <w:sz w:val="2"/>
        </w:rPr>
        <w:tab/>
      </w:r>
      <w:r>
        <w:rPr>
          <w:sz w:val="2"/>
        </w:rPr>
        <w:pict>
          <v:group style="width:.45pt;height:.1pt;mso-position-horizontal-relative:char;mso-position-vertical-relative:line" coordorigin="0,0" coordsize="9,2">
            <v:shape style="position:absolute;left:0;top:0;width:9;height:2" coordorigin="0,0" coordsize="9,0" path="m9,0l0,0,9,0xe" filled="true" fillcolor="#d3d3d3" stroked="false">
              <v:path arrowok="t"/>
              <v:fill type="solid"/>
            </v:shape>
          </v:group>
        </w:pict>
      </w:r>
      <w:r>
        <w:rPr>
          <w:sz w:val="2"/>
        </w:rPr>
      </w:r>
      <w:r>
        <w:rPr>
          <w:sz w:val="2"/>
        </w:rPr>
        <w:tab/>
      </w:r>
      <w:r>
        <w:rPr>
          <w:sz w:val="2"/>
        </w:rPr>
        <w:pict>
          <v:group style="width:.45pt;height:.1pt;mso-position-horizontal-relative:char;mso-position-vertical-relative:line" coordorigin="0,0" coordsize="9,2">
            <v:shape style="position:absolute;left:0;top:0;width:9;height:2" coordorigin="0,0" coordsize="9,0" path="m9,0l0,0,9,0xe" filled="true" fillcolor="#d3d3d3" stroked="false">
              <v:path arrowok="t"/>
              <v:fill type="solid"/>
            </v:shape>
          </v:group>
        </w:pict>
      </w:r>
      <w:r>
        <w:rPr>
          <w:sz w:val="2"/>
        </w:rPr>
      </w:r>
      <w:r>
        <w:rPr>
          <w:sz w:val="2"/>
        </w:rPr>
        <w:tab/>
      </w:r>
      <w:r>
        <w:rPr>
          <w:sz w:val="2"/>
        </w:rPr>
        <w:pict>
          <v:group style="width:.45pt;height:.1pt;mso-position-horizontal-relative:char;mso-position-vertical-relative:line" coordorigin="0,0" coordsize="9,2">
            <v:shape style="position:absolute;left:0;top:0;width:9;height:2" coordorigin="0,0" coordsize="9,0" path="m9,0l0,0,9,0xe" filled="true" fillcolor="#d3d3d3" stroked="false">
              <v:path arrowok="t"/>
              <v:fill type="solid"/>
            </v:shape>
          </v:group>
        </w:pict>
      </w:r>
      <w:r>
        <w:rPr>
          <w:sz w:val="2"/>
        </w:rPr>
      </w:r>
      <w:r>
        <w:rPr>
          <w:sz w:val="2"/>
        </w:rPr>
        <w:tab/>
      </w:r>
      <w:r>
        <w:rPr>
          <w:sz w:val="2"/>
        </w:rPr>
        <w:pict>
          <v:group style="width:.45pt;height:.1pt;mso-position-horizontal-relative:char;mso-position-vertical-relative:line" coordorigin="0,0" coordsize="9,2">
            <v:shape style="position:absolute;left:0;top:0;width:9;height:2" coordorigin="0,0" coordsize="9,0" path="m9,0l0,0,9,0xe" filled="true" fillcolor="#d3d3d3" stroked="false">
              <v:path arrowok="t"/>
              <v:fill type="solid"/>
            </v:shape>
          </v:group>
        </w:pict>
      </w:r>
      <w:r>
        <w:rPr>
          <w:sz w:val="2"/>
        </w:rPr>
      </w:r>
      <w:r>
        <w:rPr>
          <w:spacing w:val="95"/>
          <w:sz w:val="2"/>
        </w:rPr>
        <w:t> </w:t>
      </w:r>
      <w:r>
        <w:rPr>
          <w:spacing w:val="95"/>
          <w:sz w:val="2"/>
        </w:rPr>
        <w:pict>
          <v:group style="width:.45pt;height:.45pt;mso-position-horizontal-relative:char;mso-position-vertical-relative:line" coordorigin="0,0" coordsize="9,9">
            <v:shape style="position:absolute;left:0;top:8;width:9;height:2" coordorigin="0,9" coordsize="9,0" path="m9,9l0,9,9,9xe" filled="true" fillcolor="#d3d3d3" stroked="false">
              <v:path arrowok="t"/>
              <v:fill type="solid"/>
            </v:shape>
            <v:shape style="position:absolute;left:8;top:0;width:2;height:9" coordorigin="9,0" coordsize="0,9" path="m9,9l9,0,9,9xe" filled="true" fillcolor="#d3d3d3" stroked="false">
              <v:path arrowok="t"/>
              <v:fill type="solid"/>
            </v:shape>
          </v:group>
        </w:pict>
      </w:r>
      <w:r>
        <w:rPr>
          <w:spacing w:val="95"/>
          <w:sz w:val="2"/>
        </w:rPr>
      </w:r>
    </w:p>
    <w:p>
      <w:pPr>
        <w:spacing w:before="125"/>
        <w:ind w:left="751" w:right="0" w:firstLine="0"/>
        <w:jc w:val="left"/>
        <w:rPr>
          <w:sz w:val="16"/>
        </w:rPr>
      </w:pPr>
      <w:r>
        <w:rPr/>
        <w:pict>
          <v:shape style="position:absolute;margin-left:532.305481pt;margin-top:-95.820511pt;width:.1pt;height:.45pt;mso-position-horizontal-relative:page;mso-position-vertical-relative:paragraph;z-index:252338176" coordorigin="10646,-1916" coordsize="0,9" path="m10646,-1908l10646,-1916,10646,-1908xe" filled="true" fillcolor="#d3d3d3" stroked="false">
            <v:path arrowok="t"/>
            <v:fill type="solid"/>
            <w10:wrap type="none"/>
          </v:shape>
        </w:pict>
      </w:r>
      <w:r>
        <w:rPr/>
        <w:pict>
          <v:shape style="position:absolute;margin-left:532.305481pt;margin-top:-87.159187pt;width:.1pt;height:.45pt;mso-position-horizontal-relative:page;mso-position-vertical-relative:paragraph;z-index:252339200" coordorigin="10646,-1743" coordsize="0,9" path="m10646,-1735l10646,-1743,10646,-1735xe" filled="true" fillcolor="#d3d3d3" stroked="false">
            <v:path arrowok="t"/>
            <v:fill type="solid"/>
            <w10:wrap type="none"/>
          </v:shape>
        </w:pict>
      </w:r>
      <w:r>
        <w:rPr/>
        <w:pict>
          <v:shape style="position:absolute;margin-left:532.305481pt;margin-top:-78.509369pt;width:.1pt;height:.45pt;mso-position-horizontal-relative:page;mso-position-vertical-relative:paragraph;z-index:252340224" coordorigin="10646,-1570" coordsize="0,9" path="m10646,-1562l10646,-1570,10646,-1562xe" filled="true" fillcolor="#d3d3d3" stroked="false">
            <v:path arrowok="t"/>
            <v:fill type="solid"/>
            <w10:wrap type="none"/>
          </v:shape>
        </w:pict>
      </w:r>
      <w:r>
        <w:rPr/>
        <w:pict>
          <v:shape style="position:absolute;margin-left:532.305481pt;margin-top:-69.865303pt;width:.1pt;height:.45pt;mso-position-horizontal-relative:page;mso-position-vertical-relative:paragraph;z-index:252341248" coordorigin="10646,-1397" coordsize="0,9" path="m10646,-1389l10646,-1397,10646,-1389xe" filled="true" fillcolor="#d3d3d3" stroked="false">
            <v:path arrowok="t"/>
            <v:fill type="solid"/>
            <w10:wrap type="none"/>
          </v:shape>
        </w:pict>
      </w:r>
      <w:r>
        <w:rPr/>
        <w:pict>
          <v:shape style="position:absolute;margin-left:532.305481pt;margin-top:-61.218365pt;width:.1pt;height:.45pt;mso-position-horizontal-relative:page;mso-position-vertical-relative:paragraph;z-index:252342272" coordorigin="10646,-1224" coordsize="0,9" path="m10646,-1215l10646,-1224,10646,-1215xe" filled="true" fillcolor="#d3d3d3" stroked="false">
            <v:path arrowok="t"/>
            <v:fill type="solid"/>
            <w10:wrap type="none"/>
          </v:shape>
        </w:pict>
      </w:r>
      <w:r>
        <w:rPr/>
        <w:pict>
          <v:shape style="position:absolute;margin-left:532.305481pt;margin-top:-52.556461pt;width:.1pt;height:.45pt;mso-position-horizontal-relative:page;mso-position-vertical-relative:paragraph;z-index:252343296" coordorigin="10646,-1051" coordsize="0,9" path="m10646,-1042l10646,-1051,10646,-1042xe" filled="true" fillcolor="#d3d3d3" stroked="false">
            <v:path arrowok="t"/>
            <v:fill type="solid"/>
            <w10:wrap type="none"/>
          </v:shape>
        </w:pict>
      </w:r>
      <w:r>
        <w:rPr/>
        <w:pict>
          <v:shape style="position:absolute;margin-left:532.305481pt;margin-top:-43.909523pt;width:.1pt;height:.45pt;mso-position-horizontal-relative:page;mso-position-vertical-relative:paragraph;z-index:252344320" coordorigin="10646,-878" coordsize="0,9" path="m10646,-870l10646,-878,10646,-870xe" filled="true" fillcolor="#d3d3d3" stroked="false">
            <v:path arrowok="t"/>
            <v:fill type="solid"/>
            <w10:wrap type="none"/>
          </v:shape>
        </w:pict>
      </w:r>
      <w:r>
        <w:rPr/>
        <w:pict>
          <v:shape style="position:absolute;margin-left:532.305481pt;margin-top:-35.262585pt;width:.1pt;height:.45pt;mso-position-horizontal-relative:page;mso-position-vertical-relative:paragraph;z-index:252345344" coordorigin="10646,-705" coordsize="0,9" path="m10646,-697l10646,-705,10646,-697xe" filled="true" fillcolor="#d3d3d3" stroked="false">
            <v:path arrowok="t"/>
            <v:fill type="solid"/>
            <w10:wrap type="none"/>
          </v:shape>
        </w:pict>
      </w:r>
      <w:r>
        <w:rPr/>
        <w:pict>
          <v:shape style="position:absolute;margin-left:532.305481pt;margin-top:-26.601255pt;width:.1pt;height:.45pt;mso-position-horizontal-relative:page;mso-position-vertical-relative:paragraph;z-index:252346368" coordorigin="10646,-532" coordsize="0,9" path="m10646,-523l10646,-532,10646,-523xe" filled="true" fillcolor="#d3d3d3" stroked="false">
            <v:path arrowok="t"/>
            <v:fill type="solid"/>
            <w10:wrap type="none"/>
          </v:shape>
        </w:pict>
      </w:r>
      <w:r>
        <w:rPr/>
        <w:pict>
          <v:shape style="position:absolute;margin-left:532.305481pt;margin-top:-17.954317pt;width:.1pt;height:.45pt;mso-position-horizontal-relative:page;mso-position-vertical-relative:paragraph;z-index:252347392" coordorigin="10646,-359" coordsize="0,9" path="m10646,-350l10646,-359,10646,-350xe" filled="true" fillcolor="#d3d3d3" stroked="false">
            <v:path arrowok="t"/>
            <v:fill type="solid"/>
            <w10:wrap type="none"/>
          </v:shape>
        </w:pict>
      </w:r>
      <w:r>
        <w:rPr/>
        <w:pict>
          <v:shape style="position:absolute;margin-left:532.305481pt;margin-top:-9.307377pt;width:.1pt;height:.45pt;mso-position-horizontal-relative:page;mso-position-vertical-relative:paragraph;z-index:252348416" coordorigin="10646,-186" coordsize="0,9" path="m10646,-178l10646,-186,10646,-178xe" filled="true" fillcolor="#d3d3d3" stroked="false">
            <v:path arrowok="t"/>
            <v:fill type="solid"/>
            <w10:wrap type="none"/>
          </v:shape>
        </w:pict>
      </w:r>
      <w:r>
        <w:rPr>
          <w:sz w:val="16"/>
        </w:rPr>
        <w:t>Fuente: Fondo Monetario Internacional.</w:t>
      </w:r>
    </w:p>
    <w:p>
      <w:pPr>
        <w:spacing w:after="0"/>
        <w:jc w:val="left"/>
        <w:rPr>
          <w:sz w:val="16"/>
        </w:rPr>
        <w:sectPr>
          <w:pgSz w:w="12240" w:h="15840"/>
          <w:pgMar w:header="715" w:footer="957" w:top="1240" w:bottom="1140" w:left="1140" w:right="0"/>
        </w:sectPr>
      </w:pPr>
    </w:p>
    <w:p>
      <w:pPr>
        <w:pStyle w:val="Heading2"/>
        <w:numPr>
          <w:ilvl w:val="2"/>
          <w:numId w:val="11"/>
        </w:numPr>
        <w:tabs>
          <w:tab w:pos="1694" w:val="left" w:leader="none"/>
          <w:tab w:pos="1695" w:val="left" w:leader="none"/>
        </w:tabs>
        <w:spacing w:line="240" w:lineRule="auto" w:before="167" w:after="0"/>
        <w:ind w:left="1694" w:right="0" w:hanging="721"/>
        <w:jc w:val="left"/>
      </w:pPr>
      <w:bookmarkStart w:name="_bookmark106" w:id="130"/>
      <w:bookmarkEnd w:id="130"/>
      <w:r>
        <w:rPr>
          <w:b w:val="0"/>
        </w:rPr>
      </w:r>
      <w:bookmarkStart w:name="_bookmark106" w:id="131"/>
      <w:bookmarkEnd w:id="131"/>
      <w:r>
        <w:rPr/>
        <w:t>Cont</w:t>
      </w:r>
      <w:r>
        <w:rPr/>
        <w:t>exto</w:t>
      </w:r>
      <w:r>
        <w:rPr>
          <w:spacing w:val="-1"/>
        </w:rPr>
        <w:t> </w:t>
      </w:r>
      <w:r>
        <w:rPr/>
        <w:t>nacional</w:t>
      </w:r>
    </w:p>
    <w:p>
      <w:pPr>
        <w:pStyle w:val="BodyText"/>
        <w:spacing w:before="10"/>
        <w:rPr>
          <w:b/>
          <w:sz w:val="28"/>
        </w:rPr>
      </w:pPr>
    </w:p>
    <w:p>
      <w:pPr>
        <w:pStyle w:val="Heading2"/>
        <w:numPr>
          <w:ilvl w:val="3"/>
          <w:numId w:val="11"/>
        </w:numPr>
        <w:tabs>
          <w:tab w:pos="2041" w:val="left" w:leader="none"/>
        </w:tabs>
        <w:spacing w:line="240" w:lineRule="auto" w:before="0" w:after="0"/>
        <w:ind w:left="2040" w:right="0" w:hanging="781"/>
        <w:jc w:val="left"/>
      </w:pPr>
      <w:bookmarkStart w:name="_bookmark107" w:id="132"/>
      <w:bookmarkEnd w:id="132"/>
      <w:r>
        <w:rPr/>
        <w:t>S</w:t>
      </w:r>
      <w:r>
        <w:rPr/>
        <w:t>ector</w:t>
      </w:r>
      <w:r>
        <w:rPr>
          <w:spacing w:val="-3"/>
        </w:rPr>
        <w:t> </w:t>
      </w:r>
      <w:r>
        <w:rPr/>
        <w:t>real</w:t>
      </w:r>
    </w:p>
    <w:p>
      <w:pPr>
        <w:pStyle w:val="BodyText"/>
        <w:rPr>
          <w:b/>
          <w:sz w:val="30"/>
        </w:rPr>
      </w:pPr>
    </w:p>
    <w:p>
      <w:pPr>
        <w:pStyle w:val="BodyText"/>
        <w:spacing w:line="276" w:lineRule="auto"/>
        <w:ind w:left="562" w:right="1695"/>
        <w:jc w:val="both"/>
      </w:pPr>
      <w:r>
        <w:rPr/>
        <w:t>El Fondo Monetario Internacional y el Banco Mundial prevén que el crecimiento económico de Guatemala regrese a su crecimiento potencial para 2023 entre 3.6% y 3.5% respectivamente, y se mantenga</w:t>
      </w:r>
      <w:r>
        <w:rPr>
          <w:spacing w:val="-7"/>
        </w:rPr>
        <w:t> </w:t>
      </w:r>
      <w:r>
        <w:rPr/>
        <w:t>en</w:t>
      </w:r>
      <w:r>
        <w:rPr>
          <w:spacing w:val="-6"/>
        </w:rPr>
        <w:t> </w:t>
      </w:r>
      <w:r>
        <w:rPr/>
        <w:t>esa</w:t>
      </w:r>
      <w:r>
        <w:rPr>
          <w:spacing w:val="-6"/>
        </w:rPr>
        <w:t> </w:t>
      </w:r>
      <w:r>
        <w:rPr/>
        <w:t>senda</w:t>
      </w:r>
      <w:r>
        <w:rPr>
          <w:spacing w:val="-6"/>
        </w:rPr>
        <w:t> </w:t>
      </w:r>
      <w:r>
        <w:rPr/>
        <w:t>en</w:t>
      </w:r>
      <w:r>
        <w:rPr>
          <w:spacing w:val="-6"/>
        </w:rPr>
        <w:t> </w:t>
      </w:r>
      <w:r>
        <w:rPr/>
        <w:t>el</w:t>
      </w:r>
      <w:r>
        <w:rPr>
          <w:spacing w:val="-5"/>
        </w:rPr>
        <w:t> </w:t>
      </w:r>
      <w:r>
        <w:rPr/>
        <w:t>mediano</w:t>
      </w:r>
      <w:r>
        <w:rPr>
          <w:spacing w:val="-6"/>
        </w:rPr>
        <w:t> </w:t>
      </w:r>
      <w:r>
        <w:rPr/>
        <w:t>plazo.</w:t>
      </w:r>
      <w:r>
        <w:rPr>
          <w:spacing w:val="-6"/>
        </w:rPr>
        <w:t> </w:t>
      </w:r>
      <w:r>
        <w:rPr/>
        <w:t>Por</w:t>
      </w:r>
      <w:r>
        <w:rPr>
          <w:spacing w:val="-5"/>
        </w:rPr>
        <w:t> </w:t>
      </w:r>
      <w:r>
        <w:rPr/>
        <w:t>su</w:t>
      </w:r>
      <w:r>
        <w:rPr>
          <w:spacing w:val="-6"/>
        </w:rPr>
        <w:t> </w:t>
      </w:r>
      <w:r>
        <w:rPr/>
        <w:t>parte</w:t>
      </w:r>
      <w:r>
        <w:rPr>
          <w:spacing w:val="-6"/>
        </w:rPr>
        <w:t> </w:t>
      </w:r>
      <w:r>
        <w:rPr/>
        <w:t>el</w:t>
      </w:r>
      <w:r>
        <w:rPr>
          <w:spacing w:val="-5"/>
        </w:rPr>
        <w:t> </w:t>
      </w:r>
      <w:r>
        <w:rPr/>
        <w:t>panel</w:t>
      </w:r>
      <w:r>
        <w:rPr>
          <w:spacing w:val="-5"/>
        </w:rPr>
        <w:t> </w:t>
      </w:r>
      <w:r>
        <w:rPr/>
        <w:t>de</w:t>
      </w:r>
      <w:r>
        <w:rPr>
          <w:spacing w:val="-6"/>
        </w:rPr>
        <w:t> </w:t>
      </w:r>
      <w:r>
        <w:rPr/>
        <w:t>analistas</w:t>
      </w:r>
      <w:r>
        <w:rPr>
          <w:spacing w:val="-6"/>
        </w:rPr>
        <w:t> </w:t>
      </w:r>
      <w:r>
        <w:rPr/>
        <w:t>privados</w:t>
      </w:r>
      <w:r>
        <w:rPr>
          <w:spacing w:val="-5"/>
        </w:rPr>
        <w:t> </w:t>
      </w:r>
      <w:r>
        <w:rPr/>
        <w:t>en</w:t>
      </w:r>
      <w:r>
        <w:rPr>
          <w:spacing w:val="-6"/>
        </w:rPr>
        <w:t> </w:t>
      </w:r>
      <w:r>
        <w:rPr/>
        <w:t>la</w:t>
      </w:r>
      <w:r>
        <w:rPr>
          <w:spacing w:val="-6"/>
        </w:rPr>
        <w:t> </w:t>
      </w:r>
      <w:r>
        <w:rPr/>
        <w:t>encuesta de expectativas económicas realizada en abril del 2022 estima que la actividad económica crecerá 3.7% en 2023. No obstante, las previsiones a esta fecha, tanto a nivel nacional como internacional, están</w:t>
      </w:r>
      <w:r>
        <w:rPr>
          <w:spacing w:val="-10"/>
        </w:rPr>
        <w:t> </w:t>
      </w:r>
      <w:r>
        <w:rPr/>
        <w:t>sujetas</w:t>
      </w:r>
      <w:r>
        <w:rPr>
          <w:spacing w:val="-7"/>
        </w:rPr>
        <w:t> </w:t>
      </w:r>
      <w:r>
        <w:rPr/>
        <w:t>a</w:t>
      </w:r>
      <w:r>
        <w:rPr>
          <w:spacing w:val="-11"/>
        </w:rPr>
        <w:t> </w:t>
      </w:r>
      <w:r>
        <w:rPr/>
        <w:t>riesgos</w:t>
      </w:r>
      <w:r>
        <w:rPr>
          <w:spacing w:val="-10"/>
        </w:rPr>
        <w:t> </w:t>
      </w:r>
      <w:r>
        <w:rPr/>
        <w:t>asociados</w:t>
      </w:r>
      <w:r>
        <w:rPr>
          <w:spacing w:val="-9"/>
        </w:rPr>
        <w:t> </w:t>
      </w:r>
      <w:r>
        <w:rPr/>
        <w:t>a</w:t>
      </w:r>
      <w:r>
        <w:rPr>
          <w:spacing w:val="-10"/>
        </w:rPr>
        <w:t> </w:t>
      </w:r>
      <w:r>
        <w:rPr/>
        <w:t>la</w:t>
      </w:r>
      <w:r>
        <w:rPr>
          <w:spacing w:val="-10"/>
        </w:rPr>
        <w:t> </w:t>
      </w:r>
      <w:r>
        <w:rPr/>
        <w:t>transmisión</w:t>
      </w:r>
      <w:r>
        <w:rPr>
          <w:spacing w:val="-9"/>
        </w:rPr>
        <w:t> </w:t>
      </w:r>
      <w:r>
        <w:rPr/>
        <w:t>de</w:t>
      </w:r>
      <w:r>
        <w:rPr>
          <w:spacing w:val="-11"/>
        </w:rPr>
        <w:t> </w:t>
      </w:r>
      <w:r>
        <w:rPr/>
        <w:t>la</w:t>
      </w:r>
      <w:r>
        <w:rPr>
          <w:spacing w:val="-10"/>
        </w:rPr>
        <w:t> </w:t>
      </w:r>
      <w:r>
        <w:rPr/>
        <w:t>inflación</w:t>
      </w:r>
      <w:r>
        <w:rPr>
          <w:spacing w:val="-9"/>
        </w:rPr>
        <w:t> </w:t>
      </w:r>
      <w:r>
        <w:rPr/>
        <w:t>externa</w:t>
      </w:r>
      <w:r>
        <w:rPr>
          <w:spacing w:val="-11"/>
        </w:rPr>
        <w:t> </w:t>
      </w:r>
      <w:r>
        <w:rPr/>
        <w:t>a</w:t>
      </w:r>
      <w:r>
        <w:rPr>
          <w:spacing w:val="-10"/>
        </w:rPr>
        <w:t> </w:t>
      </w:r>
      <w:r>
        <w:rPr/>
        <w:t>la</w:t>
      </w:r>
      <w:r>
        <w:rPr>
          <w:spacing w:val="-11"/>
        </w:rPr>
        <w:t> </w:t>
      </w:r>
      <w:r>
        <w:rPr/>
        <w:t>interna</w:t>
      </w:r>
      <w:r>
        <w:rPr>
          <w:spacing w:val="-11"/>
        </w:rPr>
        <w:t> </w:t>
      </w:r>
      <w:r>
        <w:rPr/>
        <w:t>que</w:t>
      </w:r>
      <w:r>
        <w:rPr>
          <w:spacing w:val="-11"/>
        </w:rPr>
        <w:t> </w:t>
      </w:r>
      <w:r>
        <w:rPr/>
        <w:t>tendría</w:t>
      </w:r>
      <w:r>
        <w:rPr>
          <w:spacing w:val="-10"/>
        </w:rPr>
        <w:t> </w:t>
      </w:r>
      <w:r>
        <w:rPr/>
        <w:t>efecto en</w:t>
      </w:r>
      <w:r>
        <w:rPr>
          <w:spacing w:val="-2"/>
        </w:rPr>
        <w:t> </w:t>
      </w:r>
      <w:r>
        <w:rPr/>
        <w:t>el</w:t>
      </w:r>
      <w:r>
        <w:rPr>
          <w:spacing w:val="-4"/>
        </w:rPr>
        <w:t> </w:t>
      </w:r>
      <w:r>
        <w:rPr/>
        <w:t>ingreso</w:t>
      </w:r>
      <w:r>
        <w:rPr>
          <w:spacing w:val="-4"/>
        </w:rPr>
        <w:t> </w:t>
      </w:r>
      <w:r>
        <w:rPr/>
        <w:t>real</w:t>
      </w:r>
      <w:r>
        <w:rPr>
          <w:spacing w:val="-3"/>
        </w:rPr>
        <w:t> </w:t>
      </w:r>
      <w:r>
        <w:rPr/>
        <w:t>de</w:t>
      </w:r>
      <w:r>
        <w:rPr>
          <w:spacing w:val="-3"/>
        </w:rPr>
        <w:t> </w:t>
      </w:r>
      <w:r>
        <w:rPr/>
        <w:t>los</w:t>
      </w:r>
      <w:r>
        <w:rPr>
          <w:spacing w:val="-2"/>
        </w:rPr>
        <w:t> </w:t>
      </w:r>
      <w:r>
        <w:rPr/>
        <w:t>hogares,</w:t>
      </w:r>
      <w:r>
        <w:rPr>
          <w:spacing w:val="-1"/>
        </w:rPr>
        <w:t> </w:t>
      </w:r>
      <w:r>
        <w:rPr/>
        <w:t>a</w:t>
      </w:r>
      <w:r>
        <w:rPr>
          <w:spacing w:val="-4"/>
        </w:rPr>
        <w:t> </w:t>
      </w:r>
      <w:r>
        <w:rPr/>
        <w:t>la</w:t>
      </w:r>
      <w:r>
        <w:rPr>
          <w:spacing w:val="-1"/>
        </w:rPr>
        <w:t> </w:t>
      </w:r>
      <w:r>
        <w:rPr/>
        <w:t>propagación</w:t>
      </w:r>
      <w:r>
        <w:rPr>
          <w:spacing w:val="-2"/>
        </w:rPr>
        <w:t> </w:t>
      </w:r>
      <w:r>
        <w:rPr/>
        <w:t>de</w:t>
      </w:r>
      <w:r>
        <w:rPr>
          <w:spacing w:val="-1"/>
        </w:rPr>
        <w:t> </w:t>
      </w:r>
      <w:r>
        <w:rPr/>
        <w:t>nuevas</w:t>
      </w:r>
      <w:r>
        <w:rPr>
          <w:spacing w:val="-2"/>
        </w:rPr>
        <w:t> </w:t>
      </w:r>
      <w:r>
        <w:rPr/>
        <w:t>cepas</w:t>
      </w:r>
      <w:r>
        <w:rPr>
          <w:spacing w:val="-1"/>
        </w:rPr>
        <w:t> </w:t>
      </w:r>
      <w:r>
        <w:rPr/>
        <w:t>y</w:t>
      </w:r>
      <w:r>
        <w:rPr>
          <w:spacing w:val="-5"/>
        </w:rPr>
        <w:t> </w:t>
      </w:r>
      <w:r>
        <w:rPr/>
        <w:t>al</w:t>
      </w:r>
      <w:r>
        <w:rPr>
          <w:spacing w:val="-3"/>
        </w:rPr>
        <w:t> </w:t>
      </w:r>
      <w:r>
        <w:rPr/>
        <w:t>endurecimiento</w:t>
      </w:r>
      <w:r>
        <w:rPr>
          <w:spacing w:val="-2"/>
        </w:rPr>
        <w:t> </w:t>
      </w:r>
      <w:r>
        <w:rPr/>
        <w:t>de</w:t>
      </w:r>
      <w:r>
        <w:rPr>
          <w:spacing w:val="-1"/>
        </w:rPr>
        <w:t> </w:t>
      </w:r>
      <w:r>
        <w:rPr/>
        <w:t>la</w:t>
      </w:r>
      <w:r>
        <w:rPr>
          <w:spacing w:val="-2"/>
        </w:rPr>
        <w:t> </w:t>
      </w:r>
      <w:r>
        <w:rPr/>
        <w:t>política monetaria</w:t>
      </w:r>
      <w:r>
        <w:rPr>
          <w:spacing w:val="-11"/>
        </w:rPr>
        <w:t> </w:t>
      </w:r>
      <w:r>
        <w:rPr/>
        <w:t>de</w:t>
      </w:r>
      <w:r>
        <w:rPr>
          <w:spacing w:val="-11"/>
        </w:rPr>
        <w:t> </w:t>
      </w:r>
      <w:r>
        <w:rPr/>
        <w:t>los</w:t>
      </w:r>
      <w:r>
        <w:rPr>
          <w:spacing w:val="-10"/>
        </w:rPr>
        <w:t> </w:t>
      </w:r>
      <w:r>
        <w:rPr/>
        <w:t>socios</w:t>
      </w:r>
      <w:r>
        <w:rPr>
          <w:spacing w:val="-9"/>
        </w:rPr>
        <w:t> </w:t>
      </w:r>
      <w:r>
        <w:rPr/>
        <w:t>comerciales</w:t>
      </w:r>
      <w:r>
        <w:rPr>
          <w:spacing w:val="-8"/>
        </w:rPr>
        <w:t> </w:t>
      </w:r>
      <w:r>
        <w:rPr/>
        <w:t>que</w:t>
      </w:r>
      <w:r>
        <w:rPr>
          <w:spacing w:val="-11"/>
        </w:rPr>
        <w:t> </w:t>
      </w:r>
      <w:r>
        <w:rPr/>
        <w:t>generaría</w:t>
      </w:r>
      <w:r>
        <w:rPr>
          <w:spacing w:val="-8"/>
        </w:rPr>
        <w:t> </w:t>
      </w:r>
      <w:r>
        <w:rPr/>
        <w:t>presiones</w:t>
      </w:r>
      <w:r>
        <w:rPr>
          <w:spacing w:val="-5"/>
        </w:rPr>
        <w:t> </w:t>
      </w:r>
      <w:r>
        <w:rPr/>
        <w:t>a</w:t>
      </w:r>
      <w:r>
        <w:rPr>
          <w:spacing w:val="-10"/>
        </w:rPr>
        <w:t> </w:t>
      </w:r>
      <w:r>
        <w:rPr/>
        <w:t>aumentar</w:t>
      </w:r>
      <w:r>
        <w:rPr>
          <w:spacing w:val="-10"/>
        </w:rPr>
        <w:t> </w:t>
      </w:r>
      <w:r>
        <w:rPr/>
        <w:t>los</w:t>
      </w:r>
      <w:r>
        <w:rPr>
          <w:spacing w:val="-10"/>
        </w:rPr>
        <w:t> </w:t>
      </w:r>
      <w:r>
        <w:rPr/>
        <w:t>costos</w:t>
      </w:r>
      <w:r>
        <w:rPr>
          <w:spacing w:val="-8"/>
        </w:rPr>
        <w:t> </w:t>
      </w:r>
      <w:r>
        <w:rPr/>
        <w:t>de</w:t>
      </w:r>
      <w:r>
        <w:rPr>
          <w:spacing w:val="-8"/>
        </w:rPr>
        <w:t> </w:t>
      </w:r>
      <w:r>
        <w:rPr/>
        <w:t>financiamiento.</w:t>
      </w:r>
    </w:p>
    <w:p>
      <w:pPr>
        <w:pStyle w:val="BodyText"/>
        <w:spacing w:before="11"/>
        <w:rPr>
          <w:sz w:val="25"/>
        </w:rPr>
      </w:pPr>
    </w:p>
    <w:p>
      <w:pPr>
        <w:spacing w:before="0"/>
        <w:ind w:left="1402" w:right="0" w:firstLine="0"/>
        <w:jc w:val="left"/>
        <w:rPr>
          <w:b/>
          <w:sz w:val="20"/>
        </w:rPr>
      </w:pPr>
      <w:r>
        <w:rPr/>
        <w:pict>
          <v:rect style="position:absolute;margin-left:228pt;margin-top:17.325945pt;width:4.560pt;height:4.440pt;mso-position-horizontal-relative:page;mso-position-vertical-relative:paragraph;z-index:252354560" filled="true" fillcolor="#ec7c30" stroked="false">
            <v:fill type="solid"/>
            <w10:wrap type="none"/>
          </v:rect>
        </w:pict>
      </w:r>
      <w:r>
        <w:rPr/>
        <w:pict>
          <v:rect style="position:absolute;margin-left:299.279999pt;margin-top:17.325945pt;width:4.440pt;height:4.440pt;mso-position-horizontal-relative:page;mso-position-vertical-relative:paragraph;z-index:-280964096" filled="true" fillcolor="#011a27" stroked="false">
            <v:fill type="solid"/>
            <w10:wrap type="none"/>
          </v:rect>
        </w:pict>
      </w:r>
      <w:r>
        <w:rPr/>
        <w:pict>
          <v:rect style="position:absolute;margin-left:330.720001pt;margin-top:17.325945pt;width:4.440pt;height:4.440pt;mso-position-horizontal-relative:page;mso-position-vertical-relative:paragraph;z-index:-280963072" filled="true" fillcolor="#5b9bd4" stroked="false">
            <v:fill type="solid"/>
            <w10:wrap type="none"/>
          </v:rect>
        </w:pict>
      </w:r>
      <w:bookmarkStart w:name="_bookmark108" w:id="133"/>
      <w:bookmarkEnd w:id="133"/>
      <w:r>
        <w:rPr/>
      </w:r>
      <w:r>
        <w:rPr>
          <w:b/>
          <w:i/>
          <w:sz w:val="20"/>
        </w:rPr>
        <w:t>Gráfico 55. </w:t>
      </w:r>
      <w:r>
        <w:rPr>
          <w:b/>
          <w:sz w:val="20"/>
        </w:rPr>
        <w:t>Proyecciones de crecimiento para Guatemala del FMI y Banco Mundial</w:t>
      </w:r>
    </w:p>
    <w:p>
      <w:pPr>
        <w:spacing w:after="0"/>
        <w:jc w:val="left"/>
        <w:rPr>
          <w:sz w:val="20"/>
        </w:rPr>
        <w:sectPr>
          <w:pgSz w:w="12240" w:h="15840"/>
          <w:pgMar w:header="715" w:footer="957" w:top="1240" w:bottom="1140" w:left="1140" w:right="0"/>
        </w:sectPr>
      </w:pPr>
    </w:p>
    <w:p>
      <w:pPr>
        <w:pStyle w:val="BodyText"/>
        <w:spacing w:before="7"/>
        <w:rPr>
          <w:b/>
          <w:sz w:val="15"/>
        </w:rPr>
      </w:pPr>
    </w:p>
    <w:p>
      <w:pPr>
        <w:spacing w:before="1"/>
        <w:ind w:left="1407" w:right="1499" w:firstLine="0"/>
        <w:jc w:val="center"/>
        <w:rPr>
          <w:sz w:val="18"/>
        </w:rPr>
      </w:pPr>
      <w:r>
        <w:rPr>
          <w:color w:val="585858"/>
          <w:sz w:val="18"/>
        </w:rPr>
        <w:t>10</w:t>
      </w:r>
    </w:p>
    <w:p>
      <w:pPr>
        <w:spacing w:line="194" w:lineRule="exact" w:before="0"/>
        <w:ind w:left="2899" w:right="0" w:firstLine="0"/>
        <w:jc w:val="center"/>
        <w:rPr>
          <w:b/>
          <w:sz w:val="18"/>
        </w:rPr>
      </w:pPr>
      <w:r>
        <w:rPr/>
        <w:pict>
          <v:group style="position:absolute;margin-left:144.839996pt;margin-top:7.322339pt;width:332.7pt;height:117.15pt;mso-position-horizontal-relative:page;mso-position-vertical-relative:paragraph;z-index:-280966144" coordorigin="2897,146" coordsize="6654,2343">
            <v:shape style="position:absolute;left:4579;top:1089;width:1008;height:759" coordorigin="4579,1090" coordsize="1008,759" path="m4766,1090l4579,1090,4579,1848,4766,1848,4766,1090m5587,1166l5400,1166,5400,1848,5587,1848,5587,1166e" filled="true" fillcolor="#ec7c30" stroked="false">
              <v:path arrowok="t"/>
              <v:fill type="solid"/>
            </v:shape>
            <v:shape style="position:absolute;left:3213;top:295;width:1011;height:1896" coordorigin="3214,295" coordsize="1011,1896" path="m3401,1848l3214,1848,3214,2191,3401,2191,3401,1848m4224,295l4037,295,4037,1848,4224,1848,4224,295e" filled="true" fillcolor="#7e7e7e" stroked="false">
              <v:path arrowok="t"/>
              <v:fill type="solid"/>
            </v:shape>
            <v:shape style="position:absolute;left:4857;top:1080;width:4299;height:768" coordorigin="4858,1080" coordsize="4299,768" path="m5045,1080l4858,1080,4858,1848,5045,1848,5045,1080m5868,1145l5681,1145,5681,1848,5868,1848,5868,1145m6689,1159l6504,1159,6504,1848,6689,1848,6689,1159m7512,1166l7325,1166,7325,1848,7512,1848,7512,1166m8335,1166l8148,1166,8148,1848,8335,1848,8335,1166m9156,1166l8969,1166,8969,1848,9156,1848,9156,1166e" filled="true" fillcolor="#011a27" stroked="false">
              <v:path arrowok="t"/>
              <v:fill type="solid"/>
            </v:shape>
            <v:shape style="position:absolute;left:5138;top:1070;width:4299;height:778" coordorigin="5138,1070" coordsize="4299,778" path="m5326,1070l5138,1070,5138,1848,5326,1848,5326,1070m6149,1166l5962,1166,5962,1848,6149,1848,6149,1166m6970,1147l6782,1147,6782,1848,6970,1848,6970,1147m7793,1147l7606,1147,7606,1848,7793,1848,7793,1147m8614,1128l8426,1128,8426,1848,8614,1848,8614,1128m9437,1128l9250,1128,9250,1848,9437,1848,9437,1128e" filled="true" fillcolor="#5b9bd4" stroked="false">
              <v:path arrowok="t"/>
              <v:fill type="solid"/>
            </v:shape>
            <v:line style="position:absolute" from="2897,1848" to="9473,1848" stroked="true" strokeweight=".72pt" strokecolor="#d9d9d9">
              <v:stroke dashstyle="solid"/>
            </v:line>
            <v:rect style="position:absolute;left:4315;top:146;width:5218;height:2321" filled="true" fillcolor="#5b9bd4" stroked="false">
              <v:fill opacity="6682f" type="solid"/>
            </v:rect>
            <v:shape style="position:absolute;left:3185;top:2289;width:307;height:200" type="#_x0000_t202" filled="false" stroked="false">
              <v:textbox inset="0,0,0,0">
                <w:txbxContent>
                  <w:p>
                    <w:pPr>
                      <w:spacing w:line="199" w:lineRule="exact" w:before="0"/>
                      <w:ind w:left="0" w:right="0" w:firstLine="0"/>
                      <w:jc w:val="left"/>
                      <w:rPr>
                        <w:b/>
                        <w:sz w:val="18"/>
                      </w:rPr>
                    </w:pPr>
                    <w:r>
                      <w:rPr>
                        <w:b/>
                        <w:color w:val="7E7E7E"/>
                        <w:sz w:val="18"/>
                      </w:rPr>
                      <w:t>-1.8</w:t>
                    </w:r>
                  </w:p>
                </w:txbxContent>
              </v:textbox>
              <w10:wrap type="none"/>
            </v:shape>
            <v:shape style="position:absolute;left:7328;top:859;width:2222;height:239" type="#_x0000_t202" filled="false" stroked="false">
              <v:textbox inset="0,0,0,0">
                <w:txbxContent>
                  <w:p>
                    <w:pPr>
                      <w:tabs>
                        <w:tab w:pos="822" w:val="left" w:leader="none"/>
                        <w:tab w:pos="1644" w:val="left" w:leader="none"/>
                      </w:tabs>
                      <w:spacing w:line="239" w:lineRule="exact" w:before="0"/>
                      <w:ind w:left="0" w:right="0" w:firstLine="0"/>
                      <w:jc w:val="left"/>
                      <w:rPr>
                        <w:b/>
                        <w:sz w:val="18"/>
                      </w:rPr>
                    </w:pPr>
                    <w:r>
                      <w:rPr>
                        <w:b/>
                        <w:color w:val="404040"/>
                        <w:sz w:val="18"/>
                      </w:rPr>
                      <w:t>3.5</w:t>
                    </w:r>
                    <w:r>
                      <w:rPr>
                        <w:b/>
                        <w:color w:val="404040"/>
                        <w:spacing w:val="8"/>
                        <w:sz w:val="18"/>
                      </w:rPr>
                      <w:t> </w:t>
                    </w:r>
                    <w:r>
                      <w:rPr>
                        <w:b/>
                        <w:color w:val="5B9BD4"/>
                        <w:position w:val="2"/>
                        <w:sz w:val="18"/>
                      </w:rPr>
                      <w:t>3.6</w:t>
                      <w:tab/>
                    </w:r>
                    <w:r>
                      <w:rPr>
                        <w:b/>
                        <w:color w:val="404040"/>
                        <w:sz w:val="18"/>
                      </w:rPr>
                      <w:t>3.5</w:t>
                    </w:r>
                    <w:r>
                      <w:rPr>
                        <w:b/>
                        <w:color w:val="404040"/>
                        <w:spacing w:val="34"/>
                        <w:sz w:val="18"/>
                      </w:rPr>
                      <w:t> </w:t>
                    </w:r>
                    <w:r>
                      <w:rPr>
                        <w:b/>
                        <w:color w:val="5B9BD4"/>
                        <w:sz w:val="18"/>
                      </w:rPr>
                      <w:t>3.7</w:t>
                      <w:tab/>
                    </w:r>
                    <w:r>
                      <w:rPr>
                        <w:b/>
                        <w:color w:val="404040"/>
                        <w:position w:val="-1"/>
                        <w:sz w:val="18"/>
                      </w:rPr>
                      <w:t>3.5</w:t>
                    </w:r>
                    <w:r>
                      <w:rPr>
                        <w:b/>
                        <w:color w:val="404040"/>
                        <w:spacing w:val="16"/>
                        <w:position w:val="-1"/>
                        <w:sz w:val="18"/>
                      </w:rPr>
                      <w:t> </w:t>
                    </w:r>
                    <w:r>
                      <w:rPr>
                        <w:b/>
                        <w:color w:val="5B9BD4"/>
                        <w:sz w:val="18"/>
                      </w:rPr>
                      <w:t>3.7</w:t>
                    </w:r>
                  </w:p>
                </w:txbxContent>
              </v:textbox>
              <w10:wrap type="none"/>
            </v:shape>
            <v:shape style="position:absolute;left:6506;top:859;width:527;height:211" type="#_x0000_t202" filled="false" stroked="false">
              <v:textbox inset="0,0,0,0">
                <w:txbxContent>
                  <w:p>
                    <w:pPr>
                      <w:spacing w:line="210" w:lineRule="exact" w:before="0"/>
                      <w:ind w:left="0" w:right="0" w:firstLine="0"/>
                      <w:jc w:val="left"/>
                      <w:rPr>
                        <w:b/>
                        <w:sz w:val="18"/>
                      </w:rPr>
                    </w:pPr>
                    <w:r>
                      <w:rPr>
                        <w:b/>
                        <w:color w:val="404040"/>
                        <w:sz w:val="18"/>
                      </w:rPr>
                      <w:t>3.5 </w:t>
                    </w:r>
                    <w:r>
                      <w:rPr>
                        <w:b/>
                        <w:color w:val="5B9BD4"/>
                        <w:position w:val="1"/>
                        <w:sz w:val="18"/>
                      </w:rPr>
                      <w:t>3.6</w:t>
                    </w:r>
                  </w:p>
                </w:txbxContent>
              </v:textbox>
              <w10:wrap type="none"/>
            </v:shape>
            <v:shape style="position:absolute;left:4576;top:781;width:1635;height:297" type="#_x0000_t202" filled="false" stroked="false">
              <v:textbox inset="0,0,0,0">
                <w:txbxContent>
                  <w:p>
                    <w:pPr>
                      <w:spacing w:line="235" w:lineRule="auto" w:before="0"/>
                      <w:ind w:left="0" w:right="0" w:firstLine="0"/>
                      <w:jc w:val="left"/>
                      <w:rPr>
                        <w:b/>
                        <w:sz w:val="18"/>
                      </w:rPr>
                    </w:pPr>
                    <w:r>
                      <w:rPr>
                        <w:rFonts w:ascii="Calibri"/>
                        <w:b/>
                        <w:color w:val="EC7C30"/>
                        <w:sz w:val="18"/>
                      </w:rPr>
                      <w:t>3.9 </w:t>
                    </w:r>
                    <w:r>
                      <w:rPr>
                        <w:b/>
                        <w:color w:val="404040"/>
                        <w:sz w:val="18"/>
                      </w:rPr>
                      <w:t>4.0 </w:t>
                    </w:r>
                    <w:r>
                      <w:rPr>
                        <w:b/>
                        <w:color w:val="5B9BD4"/>
                        <w:position w:val="1"/>
                        <w:sz w:val="18"/>
                      </w:rPr>
                      <w:t>4.0 </w:t>
                    </w:r>
                    <w:r>
                      <w:rPr>
                        <w:rFonts w:ascii="Calibri"/>
                        <w:b/>
                        <w:color w:val="EC7C30"/>
                        <w:position w:val="-7"/>
                        <w:sz w:val="18"/>
                      </w:rPr>
                      <w:t>3.5 </w:t>
                    </w:r>
                    <w:r>
                      <w:rPr>
                        <w:b/>
                        <w:color w:val="404040"/>
                        <w:position w:val="-6"/>
                        <w:sz w:val="18"/>
                      </w:rPr>
                      <w:t>3.6 </w:t>
                    </w:r>
                    <w:r>
                      <w:rPr>
                        <w:b/>
                        <w:color w:val="5B9BD4"/>
                        <w:position w:val="-8"/>
                        <w:sz w:val="18"/>
                      </w:rPr>
                      <w:t>3.5</w:t>
                    </w:r>
                  </w:p>
                </w:txbxContent>
              </v:textbox>
              <w10:wrap type="none"/>
            </v:shape>
            <w10:wrap type="none"/>
          </v:group>
        </w:pict>
      </w:r>
      <w:r>
        <w:rPr>
          <w:b/>
          <w:color w:val="7E7E7E"/>
          <w:sz w:val="18"/>
        </w:rPr>
        <w:t>8.0</w:t>
      </w:r>
    </w:p>
    <w:p>
      <w:pPr>
        <w:spacing w:line="194" w:lineRule="exact" w:before="0"/>
        <w:ind w:left="0" w:right="5" w:firstLine="0"/>
        <w:jc w:val="center"/>
        <w:rPr>
          <w:sz w:val="18"/>
        </w:rPr>
      </w:pPr>
      <w:r>
        <w:rPr>
          <w:color w:val="585858"/>
          <w:sz w:val="18"/>
        </w:rPr>
        <w:t>8</w:t>
      </w:r>
    </w:p>
    <w:p>
      <w:pPr>
        <w:pStyle w:val="BodyText"/>
        <w:spacing w:before="10"/>
        <w:rPr>
          <w:sz w:val="15"/>
        </w:rPr>
      </w:pPr>
    </w:p>
    <w:p>
      <w:pPr>
        <w:spacing w:before="0"/>
        <w:ind w:left="0" w:right="5" w:firstLine="0"/>
        <w:jc w:val="center"/>
        <w:rPr>
          <w:sz w:val="18"/>
        </w:rPr>
      </w:pPr>
      <w:r>
        <w:rPr>
          <w:color w:val="585858"/>
          <w:sz w:val="18"/>
        </w:rPr>
        <w:t>6</w:t>
      </w:r>
    </w:p>
    <w:p>
      <w:pPr>
        <w:pStyle w:val="BodyText"/>
        <w:spacing w:before="9"/>
        <w:rPr>
          <w:sz w:val="15"/>
        </w:rPr>
      </w:pPr>
    </w:p>
    <w:p>
      <w:pPr>
        <w:spacing w:before="0"/>
        <w:ind w:left="0" w:right="5" w:firstLine="0"/>
        <w:jc w:val="center"/>
        <w:rPr>
          <w:sz w:val="18"/>
        </w:rPr>
      </w:pPr>
      <w:r>
        <w:rPr>
          <w:color w:val="585858"/>
          <w:sz w:val="18"/>
        </w:rPr>
        <w:t>4</w:t>
      </w:r>
    </w:p>
    <w:p>
      <w:pPr>
        <w:pStyle w:val="BodyText"/>
        <w:spacing w:before="9"/>
        <w:rPr>
          <w:sz w:val="15"/>
        </w:rPr>
      </w:pPr>
    </w:p>
    <w:p>
      <w:pPr>
        <w:spacing w:before="1"/>
        <w:ind w:left="0" w:right="5" w:firstLine="0"/>
        <w:jc w:val="center"/>
        <w:rPr>
          <w:sz w:val="18"/>
        </w:rPr>
      </w:pPr>
      <w:r>
        <w:rPr>
          <w:color w:val="585858"/>
          <w:sz w:val="18"/>
        </w:rPr>
        <w:t>2</w:t>
      </w:r>
    </w:p>
    <w:p>
      <w:pPr>
        <w:pStyle w:val="BodyText"/>
        <w:spacing w:before="9"/>
        <w:rPr>
          <w:sz w:val="15"/>
        </w:rPr>
      </w:pPr>
    </w:p>
    <w:p>
      <w:pPr>
        <w:spacing w:before="0"/>
        <w:ind w:left="0" w:right="5" w:firstLine="0"/>
        <w:jc w:val="center"/>
        <w:rPr>
          <w:sz w:val="18"/>
        </w:rPr>
      </w:pPr>
      <w:r>
        <w:rPr>
          <w:color w:val="585858"/>
          <w:sz w:val="18"/>
        </w:rPr>
        <w:t>0</w:t>
      </w:r>
    </w:p>
    <w:p>
      <w:pPr>
        <w:pStyle w:val="BodyText"/>
        <w:spacing w:before="10"/>
        <w:rPr>
          <w:sz w:val="15"/>
        </w:rPr>
      </w:pPr>
    </w:p>
    <w:p>
      <w:pPr>
        <w:spacing w:before="0"/>
        <w:ind w:left="1407" w:right="1471" w:firstLine="0"/>
        <w:jc w:val="center"/>
        <w:rPr>
          <w:sz w:val="18"/>
        </w:rPr>
      </w:pPr>
      <w:r>
        <w:rPr>
          <w:color w:val="585858"/>
          <w:sz w:val="18"/>
        </w:rPr>
        <w:t>-2</w:t>
      </w:r>
    </w:p>
    <w:p>
      <w:pPr>
        <w:pStyle w:val="BodyText"/>
        <w:spacing w:before="9"/>
        <w:rPr>
          <w:sz w:val="15"/>
        </w:rPr>
      </w:pPr>
    </w:p>
    <w:p>
      <w:pPr>
        <w:spacing w:before="0"/>
        <w:ind w:left="1407" w:right="1471" w:firstLine="0"/>
        <w:jc w:val="center"/>
        <w:rPr>
          <w:sz w:val="18"/>
        </w:rPr>
      </w:pPr>
      <w:r>
        <w:rPr/>
        <w:pict>
          <v:shape style="position:absolute;margin-left:159.459976pt;margin-top:9.877328pt;width:12pt;height:20.05pt;mso-position-horizontal-relative:page;mso-position-vertical-relative:paragraph;z-index:252357632" type="#_x0000_t202" filled="false" stroked="false">
            <v:textbox inset="0,0,0,0" style="layout-flow:vertical;mso-layout-flow-alt:bottom-to-top">
              <w:txbxContent>
                <w:p>
                  <w:pPr>
                    <w:spacing w:before="12"/>
                    <w:ind w:left="20" w:right="0" w:firstLine="0"/>
                    <w:jc w:val="left"/>
                    <w:rPr>
                      <w:sz w:val="18"/>
                    </w:rPr>
                  </w:pPr>
                  <w:r>
                    <w:rPr>
                      <w:color w:val="585858"/>
                      <w:sz w:val="18"/>
                    </w:rPr>
                    <w:t>2020</w:t>
                  </w:r>
                </w:p>
              </w:txbxContent>
            </v:textbox>
            <w10:wrap type="none"/>
          </v:shape>
        </w:pict>
      </w:r>
      <w:r>
        <w:rPr/>
        <w:pict>
          <v:shape style="position:absolute;margin-left:200.569977pt;margin-top:9.877328pt;width:12pt;height:20.05pt;mso-position-horizontal-relative:page;mso-position-vertical-relative:paragraph;z-index:252358656" type="#_x0000_t202" filled="false" stroked="false">
            <v:textbox inset="0,0,0,0" style="layout-flow:vertical;mso-layout-flow-alt:bottom-to-top">
              <w:txbxContent>
                <w:p>
                  <w:pPr>
                    <w:spacing w:before="12"/>
                    <w:ind w:left="20" w:right="0" w:firstLine="0"/>
                    <w:jc w:val="left"/>
                    <w:rPr>
                      <w:sz w:val="18"/>
                    </w:rPr>
                  </w:pPr>
                  <w:r>
                    <w:rPr>
                      <w:color w:val="585858"/>
                      <w:sz w:val="18"/>
                    </w:rPr>
                    <w:t>2021</w:t>
                  </w:r>
                </w:p>
              </w:txbxContent>
            </v:textbox>
            <w10:wrap type="none"/>
          </v:shape>
        </w:pict>
      </w:r>
      <w:r>
        <w:rPr>
          <w:color w:val="585858"/>
          <w:sz w:val="18"/>
        </w:rPr>
        <w:t>-4</w:t>
      </w:r>
    </w:p>
    <w:p>
      <w:pPr>
        <w:tabs>
          <w:tab w:pos="1807" w:val="left" w:leader="none"/>
          <w:tab w:pos="2436" w:val="left" w:leader="none"/>
        </w:tabs>
        <w:spacing w:before="50"/>
        <w:ind w:left="382" w:right="0" w:firstLine="0"/>
        <w:jc w:val="left"/>
        <w:rPr>
          <w:sz w:val="18"/>
        </w:rPr>
      </w:pPr>
      <w:r>
        <w:rPr/>
        <w:br w:type="column"/>
      </w:r>
      <w:r>
        <w:rPr>
          <w:color w:val="585858"/>
          <w:sz w:val="18"/>
        </w:rPr>
        <w:t>Banco</w:t>
      </w:r>
      <w:r>
        <w:rPr>
          <w:color w:val="585858"/>
          <w:spacing w:val="-2"/>
          <w:sz w:val="18"/>
        </w:rPr>
        <w:t> </w:t>
      </w:r>
      <w:r>
        <w:rPr>
          <w:color w:val="585858"/>
          <w:sz w:val="18"/>
        </w:rPr>
        <w:t>Mundial</w:t>
        <w:tab/>
        <w:t>FMI</w:t>
        <w:tab/>
        <w:t>Banguat</w:t>
      </w:r>
    </w:p>
    <w:p>
      <w:pPr>
        <w:spacing w:after="0"/>
        <w:jc w:val="left"/>
        <w:rPr>
          <w:sz w:val="18"/>
        </w:rPr>
        <w:sectPr>
          <w:type w:val="continuous"/>
          <w:pgSz w:w="12240" w:h="15840"/>
          <w:pgMar w:top="1500" w:bottom="280" w:left="1140" w:right="0"/>
          <w:cols w:num="2" w:equalWidth="0">
            <w:col w:w="3126" w:space="40"/>
            <w:col w:w="7934"/>
          </w:cols>
        </w:sectPr>
      </w:pPr>
    </w:p>
    <w:p>
      <w:pPr>
        <w:pStyle w:val="BodyText"/>
        <w:rPr>
          <w:sz w:val="20"/>
        </w:rPr>
      </w:pPr>
    </w:p>
    <w:p>
      <w:pPr>
        <w:pStyle w:val="BodyText"/>
      </w:pPr>
    </w:p>
    <w:p>
      <w:pPr>
        <w:spacing w:before="0"/>
        <w:ind w:left="1711" w:right="0" w:firstLine="0"/>
        <w:jc w:val="left"/>
        <w:rPr>
          <w:sz w:val="16"/>
        </w:rPr>
      </w:pPr>
      <w:r>
        <w:rPr/>
        <w:pict>
          <v:shape style="position:absolute;margin-left:241.679977pt;margin-top:-24.606253pt;width:12pt;height:20.05pt;mso-position-horizontal-relative:page;mso-position-vertical-relative:paragraph;z-index:252359680" type="#_x0000_t202" filled="false" stroked="false">
            <v:textbox inset="0,0,0,0" style="layout-flow:vertical;mso-layout-flow-alt:bottom-to-top">
              <w:txbxContent>
                <w:p>
                  <w:pPr>
                    <w:spacing w:before="12"/>
                    <w:ind w:left="20" w:right="0" w:firstLine="0"/>
                    <w:jc w:val="left"/>
                    <w:rPr>
                      <w:sz w:val="18"/>
                    </w:rPr>
                  </w:pPr>
                  <w:r>
                    <w:rPr>
                      <w:color w:val="585858"/>
                      <w:sz w:val="18"/>
                    </w:rPr>
                    <w:t>2022</w:t>
                  </w:r>
                </w:p>
              </w:txbxContent>
            </v:textbox>
            <w10:wrap type="none"/>
          </v:shape>
        </w:pict>
      </w:r>
      <w:r>
        <w:rPr/>
        <w:pict>
          <v:shape style="position:absolute;margin-left:282.799988pt;margin-top:-24.606253pt;width:12pt;height:20.05pt;mso-position-horizontal-relative:page;mso-position-vertical-relative:paragraph;z-index:252360704" type="#_x0000_t202" filled="false" stroked="false">
            <v:textbox inset="0,0,0,0" style="layout-flow:vertical;mso-layout-flow-alt:bottom-to-top">
              <w:txbxContent>
                <w:p>
                  <w:pPr>
                    <w:spacing w:before="12"/>
                    <w:ind w:left="20" w:right="0" w:firstLine="0"/>
                    <w:jc w:val="left"/>
                    <w:rPr>
                      <w:sz w:val="18"/>
                    </w:rPr>
                  </w:pPr>
                  <w:r>
                    <w:rPr>
                      <w:color w:val="585858"/>
                      <w:sz w:val="18"/>
                    </w:rPr>
                    <w:t>2023</w:t>
                  </w:r>
                </w:p>
              </w:txbxContent>
            </v:textbox>
            <w10:wrap type="none"/>
          </v:shape>
        </w:pict>
      </w:r>
      <w:r>
        <w:rPr/>
        <w:pict>
          <v:shape style="position:absolute;margin-left:323.909973pt;margin-top:-24.606253pt;width:12pt;height:20.05pt;mso-position-horizontal-relative:page;mso-position-vertical-relative:paragraph;z-index:252361728" type="#_x0000_t202" filled="false" stroked="false">
            <v:textbox inset="0,0,0,0" style="layout-flow:vertical;mso-layout-flow-alt:bottom-to-top">
              <w:txbxContent>
                <w:p>
                  <w:pPr>
                    <w:spacing w:before="12"/>
                    <w:ind w:left="20" w:right="0" w:firstLine="0"/>
                    <w:jc w:val="left"/>
                    <w:rPr>
                      <w:sz w:val="18"/>
                    </w:rPr>
                  </w:pPr>
                  <w:r>
                    <w:rPr>
                      <w:color w:val="585858"/>
                      <w:sz w:val="18"/>
                    </w:rPr>
                    <w:t>2024</w:t>
                  </w:r>
                </w:p>
              </w:txbxContent>
            </v:textbox>
            <w10:wrap type="none"/>
          </v:shape>
        </w:pict>
      </w:r>
      <w:r>
        <w:rPr/>
        <w:pict>
          <v:shape style="position:absolute;margin-left:365.019989pt;margin-top:-24.606253pt;width:12pt;height:20.05pt;mso-position-horizontal-relative:page;mso-position-vertical-relative:paragraph;z-index:252362752" type="#_x0000_t202" filled="false" stroked="false">
            <v:textbox inset="0,0,0,0" style="layout-flow:vertical;mso-layout-flow-alt:bottom-to-top">
              <w:txbxContent>
                <w:p>
                  <w:pPr>
                    <w:spacing w:before="12"/>
                    <w:ind w:left="20" w:right="0" w:firstLine="0"/>
                    <w:jc w:val="left"/>
                    <w:rPr>
                      <w:sz w:val="18"/>
                    </w:rPr>
                  </w:pPr>
                  <w:r>
                    <w:rPr>
                      <w:color w:val="585858"/>
                      <w:sz w:val="18"/>
                    </w:rPr>
                    <w:t>2025</w:t>
                  </w:r>
                </w:p>
              </w:txbxContent>
            </v:textbox>
            <w10:wrap type="none"/>
          </v:shape>
        </w:pict>
      </w:r>
      <w:r>
        <w:rPr/>
        <w:pict>
          <v:shape style="position:absolute;margin-left:406.159973pt;margin-top:-24.606253pt;width:12pt;height:20.05pt;mso-position-horizontal-relative:page;mso-position-vertical-relative:paragraph;z-index:252363776" type="#_x0000_t202" filled="false" stroked="false">
            <v:textbox inset="0,0,0,0" style="layout-flow:vertical;mso-layout-flow-alt:bottom-to-top">
              <w:txbxContent>
                <w:p>
                  <w:pPr>
                    <w:spacing w:before="12"/>
                    <w:ind w:left="20" w:right="0" w:firstLine="0"/>
                    <w:jc w:val="left"/>
                    <w:rPr>
                      <w:sz w:val="18"/>
                    </w:rPr>
                  </w:pPr>
                  <w:r>
                    <w:rPr>
                      <w:color w:val="585858"/>
                      <w:sz w:val="18"/>
                    </w:rPr>
                    <w:t>2026</w:t>
                  </w:r>
                </w:p>
              </w:txbxContent>
            </v:textbox>
            <w10:wrap type="none"/>
          </v:shape>
        </w:pict>
      </w:r>
      <w:r>
        <w:rPr/>
        <w:pict>
          <v:shape style="position:absolute;margin-left:447.269989pt;margin-top:-24.606253pt;width:12pt;height:20.05pt;mso-position-horizontal-relative:page;mso-position-vertical-relative:paragraph;z-index:252364800" type="#_x0000_t202" filled="false" stroked="false">
            <v:textbox inset="0,0,0,0" style="layout-flow:vertical;mso-layout-flow-alt:bottom-to-top">
              <w:txbxContent>
                <w:p>
                  <w:pPr>
                    <w:spacing w:before="12"/>
                    <w:ind w:left="20" w:right="0" w:firstLine="0"/>
                    <w:jc w:val="left"/>
                    <w:rPr>
                      <w:sz w:val="18"/>
                    </w:rPr>
                  </w:pPr>
                  <w:r>
                    <w:rPr>
                      <w:color w:val="585858"/>
                      <w:sz w:val="18"/>
                    </w:rPr>
                    <w:t>2027</w:t>
                  </w:r>
                </w:p>
              </w:txbxContent>
            </v:textbox>
            <w10:wrap type="none"/>
          </v:shape>
        </w:pict>
      </w:r>
      <w:r>
        <w:rPr>
          <w:sz w:val="16"/>
        </w:rPr>
        <w:t>Fuente: FMI y Banco Mundial</w:t>
      </w:r>
    </w:p>
    <w:p>
      <w:pPr>
        <w:pStyle w:val="BodyText"/>
        <w:rPr>
          <w:sz w:val="18"/>
        </w:rPr>
      </w:pPr>
    </w:p>
    <w:p>
      <w:pPr>
        <w:pStyle w:val="BodyText"/>
        <w:spacing w:line="276" w:lineRule="auto" w:before="110"/>
        <w:ind w:left="562" w:right="1695"/>
        <w:jc w:val="both"/>
      </w:pPr>
      <w:r>
        <w:rPr/>
        <w:t>En torno al empleo se espera que continúe la recuperación de la demanda laboral por el desempeño de la actividad económica, tal y como se observó en los indicadores de empleo en 2021, y que se pueda observar que los cotizantes al Instituto Guatemalteco de Seguridad Social -IGSS- se incrementen</w:t>
      </w:r>
      <w:r>
        <w:rPr>
          <w:spacing w:val="-7"/>
        </w:rPr>
        <w:t> </w:t>
      </w:r>
      <w:r>
        <w:rPr/>
        <w:t>gradualmente</w:t>
      </w:r>
      <w:r>
        <w:rPr>
          <w:spacing w:val="-8"/>
        </w:rPr>
        <w:t> </w:t>
      </w:r>
      <w:r>
        <w:rPr/>
        <w:t>en</w:t>
      </w:r>
      <w:r>
        <w:rPr>
          <w:spacing w:val="-6"/>
        </w:rPr>
        <w:t> </w:t>
      </w:r>
      <w:r>
        <w:rPr/>
        <w:t>el</w:t>
      </w:r>
      <w:r>
        <w:rPr>
          <w:spacing w:val="-5"/>
        </w:rPr>
        <w:t> </w:t>
      </w:r>
      <w:r>
        <w:rPr/>
        <w:t>mediano</w:t>
      </w:r>
      <w:r>
        <w:rPr>
          <w:spacing w:val="-6"/>
        </w:rPr>
        <w:t> </w:t>
      </w:r>
      <w:r>
        <w:rPr/>
        <w:t>plazo.</w:t>
      </w:r>
      <w:r>
        <w:rPr>
          <w:spacing w:val="-7"/>
        </w:rPr>
        <w:t> </w:t>
      </w:r>
      <w:r>
        <w:rPr/>
        <w:t>En</w:t>
      </w:r>
      <w:r>
        <w:rPr>
          <w:spacing w:val="-7"/>
        </w:rPr>
        <w:t> </w:t>
      </w:r>
      <w:r>
        <w:rPr/>
        <w:t>lo</w:t>
      </w:r>
      <w:r>
        <w:rPr>
          <w:spacing w:val="-9"/>
        </w:rPr>
        <w:t> </w:t>
      </w:r>
      <w:r>
        <w:rPr/>
        <w:t>que</w:t>
      </w:r>
      <w:r>
        <w:rPr>
          <w:spacing w:val="-6"/>
        </w:rPr>
        <w:t> </w:t>
      </w:r>
      <w:r>
        <w:rPr/>
        <w:t>respecta</w:t>
      </w:r>
      <w:r>
        <w:rPr>
          <w:spacing w:val="-8"/>
        </w:rPr>
        <w:t> </w:t>
      </w:r>
      <w:r>
        <w:rPr/>
        <w:t>a</w:t>
      </w:r>
      <w:r>
        <w:rPr>
          <w:spacing w:val="-6"/>
        </w:rPr>
        <w:t> </w:t>
      </w:r>
      <w:r>
        <w:rPr/>
        <w:t>la</w:t>
      </w:r>
      <w:r>
        <w:rPr>
          <w:spacing w:val="-7"/>
        </w:rPr>
        <w:t> </w:t>
      </w:r>
      <w:r>
        <w:rPr/>
        <w:t>inflación</w:t>
      </w:r>
      <w:r>
        <w:rPr>
          <w:spacing w:val="-3"/>
        </w:rPr>
        <w:t> </w:t>
      </w:r>
      <w:r>
        <w:rPr/>
        <w:t>el</w:t>
      </w:r>
      <w:r>
        <w:rPr>
          <w:spacing w:val="-5"/>
        </w:rPr>
        <w:t> </w:t>
      </w:r>
      <w:r>
        <w:rPr/>
        <w:t>panel</w:t>
      </w:r>
      <w:r>
        <w:rPr>
          <w:spacing w:val="-5"/>
        </w:rPr>
        <w:t> </w:t>
      </w:r>
      <w:r>
        <w:rPr/>
        <w:t>de</w:t>
      </w:r>
      <w:r>
        <w:rPr>
          <w:spacing w:val="-6"/>
        </w:rPr>
        <w:t> </w:t>
      </w:r>
      <w:r>
        <w:rPr/>
        <w:t>analistas privados de Guatemala tiene la expectativa de que la inflación se encuentre alrededor del 4.2% en 2023,</w:t>
      </w:r>
      <w:r>
        <w:rPr>
          <w:spacing w:val="-11"/>
        </w:rPr>
        <w:t> </w:t>
      </w:r>
      <w:r>
        <w:rPr/>
        <w:t>nivel</w:t>
      </w:r>
      <w:r>
        <w:rPr>
          <w:spacing w:val="-10"/>
        </w:rPr>
        <w:t> </w:t>
      </w:r>
      <w:r>
        <w:rPr/>
        <w:t>que</w:t>
      </w:r>
      <w:r>
        <w:rPr>
          <w:spacing w:val="-11"/>
        </w:rPr>
        <w:t> </w:t>
      </w:r>
      <w:r>
        <w:rPr/>
        <w:t>se</w:t>
      </w:r>
      <w:r>
        <w:rPr>
          <w:spacing w:val="-10"/>
        </w:rPr>
        <w:t> </w:t>
      </w:r>
      <w:r>
        <w:rPr/>
        <w:t>encuentra</w:t>
      </w:r>
      <w:r>
        <w:rPr>
          <w:spacing w:val="-10"/>
        </w:rPr>
        <w:t> </w:t>
      </w:r>
      <w:r>
        <w:rPr/>
        <w:t>dentro</w:t>
      </w:r>
      <w:r>
        <w:rPr>
          <w:spacing w:val="-11"/>
        </w:rPr>
        <w:t> </w:t>
      </w:r>
      <w:r>
        <w:rPr/>
        <w:t>del</w:t>
      </w:r>
      <w:r>
        <w:rPr>
          <w:spacing w:val="-10"/>
        </w:rPr>
        <w:t> </w:t>
      </w:r>
      <w:r>
        <w:rPr/>
        <w:t>rango</w:t>
      </w:r>
      <w:r>
        <w:rPr>
          <w:spacing w:val="-11"/>
        </w:rPr>
        <w:t> </w:t>
      </w:r>
      <w:r>
        <w:rPr/>
        <w:t>meta</w:t>
      </w:r>
      <w:r>
        <w:rPr>
          <w:spacing w:val="-10"/>
        </w:rPr>
        <w:t> </w:t>
      </w:r>
      <w:r>
        <w:rPr/>
        <w:t>del</w:t>
      </w:r>
      <w:r>
        <w:rPr>
          <w:spacing w:val="-12"/>
        </w:rPr>
        <w:t> </w:t>
      </w:r>
      <w:r>
        <w:rPr/>
        <w:t>Banco</w:t>
      </w:r>
      <w:r>
        <w:rPr>
          <w:spacing w:val="-10"/>
        </w:rPr>
        <w:t> </w:t>
      </w:r>
      <w:r>
        <w:rPr/>
        <w:t>Central.</w:t>
      </w:r>
      <w:r>
        <w:rPr>
          <w:spacing w:val="23"/>
        </w:rPr>
        <w:t> </w:t>
      </w:r>
      <w:r>
        <w:rPr/>
        <w:t>Los</w:t>
      </w:r>
      <w:r>
        <w:rPr>
          <w:spacing w:val="-13"/>
        </w:rPr>
        <w:t> </w:t>
      </w:r>
      <w:r>
        <w:rPr/>
        <w:t>factores</w:t>
      </w:r>
      <w:r>
        <w:rPr>
          <w:spacing w:val="-10"/>
        </w:rPr>
        <w:t> </w:t>
      </w:r>
      <w:r>
        <w:rPr/>
        <w:t>que</w:t>
      </w:r>
      <w:r>
        <w:rPr>
          <w:spacing w:val="-11"/>
        </w:rPr>
        <w:t> </w:t>
      </w:r>
      <w:r>
        <w:rPr/>
        <w:t>más</w:t>
      </w:r>
      <w:r>
        <w:rPr>
          <w:spacing w:val="-10"/>
        </w:rPr>
        <w:t> </w:t>
      </w:r>
      <w:r>
        <w:rPr/>
        <w:t>influyen sobre</w:t>
      </w:r>
      <w:r>
        <w:rPr>
          <w:spacing w:val="-13"/>
        </w:rPr>
        <w:t> </w:t>
      </w:r>
      <w:r>
        <w:rPr/>
        <w:t>la</w:t>
      </w:r>
      <w:r>
        <w:rPr>
          <w:spacing w:val="-10"/>
        </w:rPr>
        <w:t> </w:t>
      </w:r>
      <w:r>
        <w:rPr/>
        <w:t>inflación,</w:t>
      </w:r>
      <w:r>
        <w:rPr>
          <w:spacing w:val="-11"/>
        </w:rPr>
        <w:t> </w:t>
      </w:r>
      <w:r>
        <w:rPr/>
        <w:t>según</w:t>
      </w:r>
      <w:r>
        <w:rPr>
          <w:spacing w:val="-10"/>
        </w:rPr>
        <w:t> </w:t>
      </w:r>
      <w:r>
        <w:rPr/>
        <w:t>el</w:t>
      </w:r>
      <w:r>
        <w:rPr>
          <w:spacing w:val="-12"/>
        </w:rPr>
        <w:t> </w:t>
      </w:r>
      <w:r>
        <w:rPr/>
        <w:t>panel,</w:t>
      </w:r>
      <w:r>
        <w:rPr>
          <w:spacing w:val="-11"/>
        </w:rPr>
        <w:t> </w:t>
      </w:r>
      <w:r>
        <w:rPr/>
        <w:t>son</w:t>
      </w:r>
      <w:r>
        <w:rPr>
          <w:spacing w:val="-10"/>
        </w:rPr>
        <w:t> </w:t>
      </w:r>
      <w:r>
        <w:rPr/>
        <w:t>los</w:t>
      </w:r>
      <w:r>
        <w:rPr>
          <w:spacing w:val="-9"/>
        </w:rPr>
        <w:t> </w:t>
      </w:r>
      <w:r>
        <w:rPr/>
        <w:t>precios</w:t>
      </w:r>
      <w:r>
        <w:rPr>
          <w:spacing w:val="-10"/>
        </w:rPr>
        <w:t> </w:t>
      </w:r>
      <w:r>
        <w:rPr/>
        <w:t>de</w:t>
      </w:r>
      <w:r>
        <w:rPr>
          <w:spacing w:val="-13"/>
        </w:rPr>
        <w:t> </w:t>
      </w:r>
      <w:r>
        <w:rPr/>
        <w:t>los</w:t>
      </w:r>
      <w:r>
        <w:rPr>
          <w:spacing w:val="-13"/>
        </w:rPr>
        <w:t> </w:t>
      </w:r>
      <w:r>
        <w:rPr/>
        <w:t>combustibles</w:t>
      </w:r>
      <w:r>
        <w:rPr>
          <w:spacing w:val="-9"/>
        </w:rPr>
        <w:t> </w:t>
      </w:r>
      <w:r>
        <w:rPr/>
        <w:t>y</w:t>
      </w:r>
      <w:r>
        <w:rPr>
          <w:spacing w:val="-13"/>
        </w:rPr>
        <w:t> </w:t>
      </w:r>
      <w:r>
        <w:rPr/>
        <w:t>del</w:t>
      </w:r>
      <w:r>
        <w:rPr>
          <w:spacing w:val="-10"/>
        </w:rPr>
        <w:t> </w:t>
      </w:r>
      <w:r>
        <w:rPr/>
        <w:t>petróleo,</w:t>
      </w:r>
      <w:r>
        <w:rPr>
          <w:spacing w:val="-10"/>
        </w:rPr>
        <w:t> </w:t>
      </w:r>
      <w:r>
        <w:rPr/>
        <w:t>el</w:t>
      </w:r>
      <w:r>
        <w:rPr>
          <w:spacing w:val="-10"/>
        </w:rPr>
        <w:t> </w:t>
      </w:r>
      <w:r>
        <w:rPr/>
        <w:t>tipo</w:t>
      </w:r>
      <w:r>
        <w:rPr>
          <w:spacing w:val="-11"/>
        </w:rPr>
        <w:t> </w:t>
      </w:r>
      <w:r>
        <w:rPr/>
        <w:t>de</w:t>
      </w:r>
      <w:r>
        <w:rPr>
          <w:spacing w:val="-11"/>
        </w:rPr>
        <w:t> </w:t>
      </w:r>
      <w:r>
        <w:rPr/>
        <w:t>cambio nominal, el desempeño de la política fiscal y monetaria, entre otros</w:t>
      </w:r>
      <w:r>
        <w:rPr>
          <w:spacing w:val="-8"/>
        </w:rPr>
        <w:t> </w:t>
      </w:r>
      <w:r>
        <w:rPr/>
        <w:t>factores.</w:t>
      </w:r>
    </w:p>
    <w:p>
      <w:pPr>
        <w:pStyle w:val="BodyText"/>
        <w:spacing w:before="6"/>
        <w:rPr>
          <w:sz w:val="25"/>
        </w:rPr>
      </w:pPr>
    </w:p>
    <w:p>
      <w:pPr>
        <w:pStyle w:val="Heading2"/>
        <w:spacing w:before="1"/>
        <w:ind w:left="1260"/>
      </w:pPr>
      <w:r>
        <w:rPr/>
        <w:t>5.1.2.2 </w:t>
      </w:r>
      <w:bookmarkStart w:name="_bookmark109" w:id="134"/>
      <w:bookmarkEnd w:id="134"/>
      <w:r>
        <w:rPr/>
        <w:t>S</w:t>
      </w:r>
      <w:r>
        <w:rPr/>
        <w:t>ector externo</w:t>
      </w:r>
    </w:p>
    <w:p>
      <w:pPr>
        <w:pStyle w:val="BodyText"/>
        <w:rPr>
          <w:b/>
          <w:sz w:val="30"/>
        </w:rPr>
      </w:pPr>
    </w:p>
    <w:p>
      <w:pPr>
        <w:pStyle w:val="BodyText"/>
        <w:spacing w:line="276" w:lineRule="auto"/>
        <w:ind w:left="562" w:right="1696"/>
        <w:jc w:val="both"/>
      </w:pPr>
      <w:r>
        <w:rPr/>
        <w:t>El</w:t>
      </w:r>
      <w:r>
        <w:rPr>
          <w:spacing w:val="-6"/>
        </w:rPr>
        <w:t> </w:t>
      </w:r>
      <w:r>
        <w:rPr/>
        <w:t>Banco</w:t>
      </w:r>
      <w:r>
        <w:rPr>
          <w:spacing w:val="-6"/>
        </w:rPr>
        <w:t> </w:t>
      </w:r>
      <w:r>
        <w:rPr/>
        <w:t>de</w:t>
      </w:r>
      <w:r>
        <w:rPr>
          <w:spacing w:val="-7"/>
        </w:rPr>
        <w:t> </w:t>
      </w:r>
      <w:r>
        <w:rPr/>
        <w:t>Guatemala</w:t>
      </w:r>
      <w:r>
        <w:rPr>
          <w:spacing w:val="-6"/>
        </w:rPr>
        <w:t> </w:t>
      </w:r>
      <w:r>
        <w:rPr/>
        <w:t>prevé</w:t>
      </w:r>
      <w:r>
        <w:rPr>
          <w:spacing w:val="-6"/>
        </w:rPr>
        <w:t> </w:t>
      </w:r>
      <w:r>
        <w:rPr/>
        <w:t>que</w:t>
      </w:r>
      <w:r>
        <w:rPr>
          <w:spacing w:val="-7"/>
        </w:rPr>
        <w:t> </w:t>
      </w:r>
      <w:r>
        <w:rPr/>
        <w:t>el</w:t>
      </w:r>
      <w:r>
        <w:rPr>
          <w:spacing w:val="-5"/>
        </w:rPr>
        <w:t> </w:t>
      </w:r>
      <w:r>
        <w:rPr/>
        <w:t>crecimiento</w:t>
      </w:r>
      <w:r>
        <w:rPr>
          <w:spacing w:val="-9"/>
        </w:rPr>
        <w:t> </w:t>
      </w:r>
      <w:r>
        <w:rPr/>
        <w:t>de</w:t>
      </w:r>
      <w:r>
        <w:rPr>
          <w:spacing w:val="-9"/>
        </w:rPr>
        <w:t> </w:t>
      </w:r>
      <w:r>
        <w:rPr/>
        <w:t>las</w:t>
      </w:r>
      <w:r>
        <w:rPr>
          <w:spacing w:val="-8"/>
        </w:rPr>
        <w:t> </w:t>
      </w:r>
      <w:r>
        <w:rPr/>
        <w:t>remesas</w:t>
      </w:r>
      <w:r>
        <w:rPr>
          <w:spacing w:val="-8"/>
        </w:rPr>
        <w:t> </w:t>
      </w:r>
      <w:r>
        <w:rPr/>
        <w:t>para</w:t>
      </w:r>
      <w:r>
        <w:rPr>
          <w:spacing w:val="-7"/>
        </w:rPr>
        <w:t> </w:t>
      </w:r>
      <w:r>
        <w:rPr/>
        <w:t>el</w:t>
      </w:r>
      <w:r>
        <w:rPr>
          <w:spacing w:val="-5"/>
        </w:rPr>
        <w:t> </w:t>
      </w:r>
      <w:r>
        <w:rPr/>
        <w:t>2023</w:t>
      </w:r>
      <w:r>
        <w:rPr>
          <w:spacing w:val="-9"/>
        </w:rPr>
        <w:t> </w:t>
      </w:r>
      <w:r>
        <w:rPr/>
        <w:t>se</w:t>
      </w:r>
      <w:r>
        <w:rPr>
          <w:spacing w:val="-9"/>
        </w:rPr>
        <w:t> </w:t>
      </w:r>
      <w:r>
        <w:rPr/>
        <w:t>encuentre</w:t>
      </w:r>
      <w:r>
        <w:rPr>
          <w:spacing w:val="-8"/>
        </w:rPr>
        <w:t> </w:t>
      </w:r>
      <w:r>
        <w:rPr/>
        <w:t>entre</w:t>
      </w:r>
      <w:r>
        <w:rPr>
          <w:spacing w:val="-8"/>
        </w:rPr>
        <w:t> </w:t>
      </w:r>
      <w:r>
        <w:rPr/>
        <w:t>4.5% y 7.5%, con un valor medio de 6.0%. Esto se debe a la recuperación esperada en la actividad económica de Estados Unidos y su efecto positivo en el empleo hispano. El ingreso de divisas por remesas familiares reviste una gran importancia en el país dado que esta ha representado una alta proporción del PIB en las últimas décadas y que además entre el 10% y 20% de los hogares</w:t>
      </w:r>
      <w:r>
        <w:rPr>
          <w:spacing w:val="52"/>
        </w:rPr>
        <w:t> </w:t>
      </w:r>
      <w:r>
        <w:rPr/>
        <w:t>reciben</w:t>
      </w:r>
    </w:p>
    <w:p>
      <w:pPr>
        <w:spacing w:after="0" w:line="276" w:lineRule="auto"/>
        <w:jc w:val="both"/>
        <w:sectPr>
          <w:type w:val="continuous"/>
          <w:pgSz w:w="12240" w:h="15840"/>
          <w:pgMar w:top="1500" w:bottom="280" w:left="1140" w:right="0"/>
        </w:sectPr>
      </w:pPr>
    </w:p>
    <w:p>
      <w:pPr>
        <w:pStyle w:val="BodyText"/>
        <w:spacing w:line="276" w:lineRule="auto" w:before="162"/>
        <w:ind w:left="562" w:right="1699"/>
        <w:jc w:val="both"/>
      </w:pPr>
      <w:r>
        <w:rPr/>
        <w:t>dichas remesas y que estas se destinan a la compra de productos básicos según el Banco Interamericano de Desarrollo.</w:t>
      </w:r>
    </w:p>
    <w:p>
      <w:pPr>
        <w:pStyle w:val="BodyText"/>
        <w:spacing w:before="2"/>
        <w:rPr>
          <w:sz w:val="25"/>
        </w:rPr>
      </w:pPr>
    </w:p>
    <w:p>
      <w:pPr>
        <w:pStyle w:val="BodyText"/>
        <w:spacing w:line="276" w:lineRule="auto"/>
        <w:ind w:left="562" w:right="1697"/>
        <w:jc w:val="both"/>
      </w:pPr>
      <w:r>
        <w:rPr/>
        <w:t>En lo que respecta al comercio exterior se espera que su volumen se normalice en el mediano plazo, en</w:t>
      </w:r>
      <w:r>
        <w:rPr>
          <w:spacing w:val="-11"/>
        </w:rPr>
        <w:t> </w:t>
      </w:r>
      <w:r>
        <w:rPr/>
        <w:t>el</w:t>
      </w:r>
      <w:r>
        <w:rPr>
          <w:spacing w:val="-10"/>
        </w:rPr>
        <w:t> </w:t>
      </w:r>
      <w:r>
        <w:rPr/>
        <w:t>caso</w:t>
      </w:r>
      <w:r>
        <w:rPr>
          <w:spacing w:val="-10"/>
        </w:rPr>
        <w:t> </w:t>
      </w:r>
      <w:r>
        <w:rPr/>
        <w:t>de</w:t>
      </w:r>
      <w:r>
        <w:rPr>
          <w:spacing w:val="-10"/>
        </w:rPr>
        <w:t> </w:t>
      </w:r>
      <w:r>
        <w:rPr/>
        <w:t>las</w:t>
      </w:r>
      <w:r>
        <w:rPr>
          <w:spacing w:val="-14"/>
        </w:rPr>
        <w:t> </w:t>
      </w:r>
      <w:r>
        <w:rPr/>
        <w:t>importaciones</w:t>
      </w:r>
      <w:r>
        <w:rPr>
          <w:spacing w:val="-10"/>
        </w:rPr>
        <w:t> </w:t>
      </w:r>
      <w:r>
        <w:rPr/>
        <w:t>por</w:t>
      </w:r>
      <w:r>
        <w:rPr>
          <w:spacing w:val="-10"/>
        </w:rPr>
        <w:t> </w:t>
      </w:r>
      <w:r>
        <w:rPr/>
        <w:t>el</w:t>
      </w:r>
      <w:r>
        <w:rPr>
          <w:spacing w:val="-12"/>
        </w:rPr>
        <w:t> </w:t>
      </w:r>
      <w:r>
        <w:rPr/>
        <w:t>impulso</w:t>
      </w:r>
      <w:r>
        <w:rPr>
          <w:spacing w:val="-11"/>
        </w:rPr>
        <w:t> </w:t>
      </w:r>
      <w:r>
        <w:rPr/>
        <w:t>de</w:t>
      </w:r>
      <w:r>
        <w:rPr>
          <w:spacing w:val="-13"/>
        </w:rPr>
        <w:t> </w:t>
      </w:r>
      <w:r>
        <w:rPr/>
        <w:t>la</w:t>
      </w:r>
      <w:r>
        <w:rPr>
          <w:spacing w:val="-13"/>
        </w:rPr>
        <w:t> </w:t>
      </w:r>
      <w:r>
        <w:rPr/>
        <w:t>demanda</w:t>
      </w:r>
      <w:r>
        <w:rPr>
          <w:spacing w:val="-10"/>
        </w:rPr>
        <w:t> </w:t>
      </w:r>
      <w:r>
        <w:rPr/>
        <w:t>interna</w:t>
      </w:r>
      <w:r>
        <w:rPr>
          <w:spacing w:val="-13"/>
        </w:rPr>
        <w:t> </w:t>
      </w:r>
      <w:r>
        <w:rPr/>
        <w:t>y</w:t>
      </w:r>
      <w:r>
        <w:rPr>
          <w:spacing w:val="-14"/>
        </w:rPr>
        <w:t> </w:t>
      </w:r>
      <w:r>
        <w:rPr/>
        <w:t>las</w:t>
      </w:r>
      <w:r>
        <w:rPr>
          <w:spacing w:val="-10"/>
        </w:rPr>
        <w:t> </w:t>
      </w:r>
      <w:r>
        <w:rPr/>
        <w:t>exportaciones</w:t>
      </w:r>
      <w:r>
        <w:rPr>
          <w:spacing w:val="-10"/>
        </w:rPr>
        <w:t> </w:t>
      </w:r>
      <w:r>
        <w:rPr/>
        <w:t>por</w:t>
      </w:r>
      <w:r>
        <w:rPr>
          <w:spacing w:val="-13"/>
        </w:rPr>
        <w:t> </w:t>
      </w:r>
      <w:r>
        <w:rPr/>
        <w:t>la</w:t>
      </w:r>
      <w:r>
        <w:rPr>
          <w:spacing w:val="-10"/>
        </w:rPr>
        <w:t> </w:t>
      </w:r>
      <w:r>
        <w:rPr/>
        <w:t>mejora en</w:t>
      </w:r>
      <w:r>
        <w:rPr>
          <w:spacing w:val="-9"/>
        </w:rPr>
        <w:t> </w:t>
      </w:r>
      <w:r>
        <w:rPr/>
        <w:t>la</w:t>
      </w:r>
      <w:r>
        <w:rPr>
          <w:spacing w:val="-9"/>
        </w:rPr>
        <w:t> </w:t>
      </w:r>
      <w:r>
        <w:rPr/>
        <w:t>actividad</w:t>
      </w:r>
      <w:r>
        <w:rPr>
          <w:spacing w:val="-9"/>
        </w:rPr>
        <w:t> </w:t>
      </w:r>
      <w:r>
        <w:rPr/>
        <w:t>económica</w:t>
      </w:r>
      <w:r>
        <w:rPr>
          <w:spacing w:val="-8"/>
        </w:rPr>
        <w:t> </w:t>
      </w:r>
      <w:r>
        <w:rPr/>
        <w:t>de</w:t>
      </w:r>
      <w:r>
        <w:rPr>
          <w:spacing w:val="-9"/>
        </w:rPr>
        <w:t> </w:t>
      </w:r>
      <w:r>
        <w:rPr/>
        <w:t>los</w:t>
      </w:r>
      <w:r>
        <w:rPr>
          <w:spacing w:val="-9"/>
        </w:rPr>
        <w:t> </w:t>
      </w:r>
      <w:r>
        <w:rPr/>
        <w:t>principales</w:t>
      </w:r>
      <w:r>
        <w:rPr>
          <w:spacing w:val="-9"/>
        </w:rPr>
        <w:t> </w:t>
      </w:r>
      <w:r>
        <w:rPr/>
        <w:t>socios</w:t>
      </w:r>
      <w:r>
        <w:rPr>
          <w:spacing w:val="-8"/>
        </w:rPr>
        <w:t> </w:t>
      </w:r>
      <w:r>
        <w:rPr/>
        <w:t>comerciales.</w:t>
      </w:r>
      <w:r>
        <w:rPr>
          <w:spacing w:val="-10"/>
        </w:rPr>
        <w:t> </w:t>
      </w:r>
      <w:r>
        <w:rPr/>
        <w:t>Así</w:t>
      </w:r>
      <w:r>
        <w:rPr>
          <w:spacing w:val="-8"/>
        </w:rPr>
        <w:t> </w:t>
      </w:r>
      <w:r>
        <w:rPr/>
        <w:t>mismo,</w:t>
      </w:r>
      <w:r>
        <w:rPr>
          <w:spacing w:val="-10"/>
        </w:rPr>
        <w:t> </w:t>
      </w:r>
      <w:r>
        <w:rPr/>
        <w:t>se</w:t>
      </w:r>
      <w:r>
        <w:rPr>
          <w:spacing w:val="-8"/>
        </w:rPr>
        <w:t> </w:t>
      </w:r>
      <w:r>
        <w:rPr/>
        <w:t>espera</w:t>
      </w:r>
      <w:r>
        <w:rPr>
          <w:spacing w:val="-9"/>
        </w:rPr>
        <w:t> </w:t>
      </w:r>
      <w:r>
        <w:rPr/>
        <w:t>que</w:t>
      </w:r>
      <w:r>
        <w:rPr>
          <w:spacing w:val="-12"/>
        </w:rPr>
        <w:t> </w:t>
      </w:r>
      <w:r>
        <w:rPr/>
        <w:t>los</w:t>
      </w:r>
      <w:r>
        <w:rPr>
          <w:spacing w:val="-9"/>
        </w:rPr>
        <w:t> </w:t>
      </w:r>
      <w:r>
        <w:rPr/>
        <w:t>niveles de inversión extranjera directa se mantengan en el mediano plazo. Por lo anterior se espera que los flujos</w:t>
      </w:r>
      <w:r>
        <w:rPr>
          <w:spacing w:val="-4"/>
        </w:rPr>
        <w:t> </w:t>
      </w:r>
      <w:r>
        <w:rPr/>
        <w:t>de</w:t>
      </w:r>
      <w:r>
        <w:rPr>
          <w:spacing w:val="-3"/>
        </w:rPr>
        <w:t> </w:t>
      </w:r>
      <w:r>
        <w:rPr/>
        <w:t>divisas</w:t>
      </w:r>
      <w:r>
        <w:rPr>
          <w:spacing w:val="-3"/>
        </w:rPr>
        <w:t> </w:t>
      </w:r>
      <w:r>
        <w:rPr/>
        <w:t>se</w:t>
      </w:r>
      <w:r>
        <w:rPr>
          <w:spacing w:val="-1"/>
        </w:rPr>
        <w:t> </w:t>
      </w:r>
      <w:r>
        <w:rPr/>
        <w:t>mantengan</w:t>
      </w:r>
      <w:r>
        <w:rPr>
          <w:spacing w:val="-1"/>
        </w:rPr>
        <w:t> </w:t>
      </w:r>
      <w:r>
        <w:rPr/>
        <w:t>estables</w:t>
      </w:r>
      <w:r>
        <w:rPr>
          <w:spacing w:val="-1"/>
        </w:rPr>
        <w:t> </w:t>
      </w:r>
      <w:r>
        <w:rPr/>
        <w:t>y</w:t>
      </w:r>
      <w:r>
        <w:rPr>
          <w:spacing w:val="-5"/>
        </w:rPr>
        <w:t> </w:t>
      </w:r>
      <w:r>
        <w:rPr/>
        <w:t>que</w:t>
      </w:r>
      <w:r>
        <w:rPr>
          <w:spacing w:val="-3"/>
        </w:rPr>
        <w:t> </w:t>
      </w:r>
      <w:r>
        <w:rPr/>
        <w:t>el</w:t>
      </w:r>
      <w:r>
        <w:rPr>
          <w:spacing w:val="-3"/>
        </w:rPr>
        <w:t> </w:t>
      </w:r>
      <w:r>
        <w:rPr/>
        <w:t>tipo</w:t>
      </w:r>
      <w:r>
        <w:rPr>
          <w:spacing w:val="-1"/>
        </w:rPr>
        <w:t> </w:t>
      </w:r>
      <w:r>
        <w:rPr/>
        <w:t>de</w:t>
      </w:r>
      <w:r>
        <w:rPr>
          <w:spacing w:val="-1"/>
        </w:rPr>
        <w:t> </w:t>
      </w:r>
      <w:r>
        <w:rPr/>
        <w:t>cambio</w:t>
      </w:r>
      <w:r>
        <w:rPr>
          <w:spacing w:val="-4"/>
        </w:rPr>
        <w:t> </w:t>
      </w:r>
      <w:r>
        <w:rPr/>
        <w:t>se</w:t>
      </w:r>
      <w:r>
        <w:rPr>
          <w:spacing w:val="-3"/>
        </w:rPr>
        <w:t> </w:t>
      </w:r>
      <w:r>
        <w:rPr/>
        <w:t>encuentre</w:t>
      </w:r>
      <w:r>
        <w:rPr>
          <w:spacing w:val="-4"/>
        </w:rPr>
        <w:t> </w:t>
      </w:r>
      <w:r>
        <w:rPr/>
        <w:t>alrededor</w:t>
      </w:r>
      <w:r>
        <w:rPr>
          <w:spacing w:val="-2"/>
        </w:rPr>
        <w:t> </w:t>
      </w:r>
      <w:r>
        <w:rPr/>
        <w:t>de</w:t>
      </w:r>
      <w:r>
        <w:rPr>
          <w:spacing w:val="-1"/>
        </w:rPr>
        <w:t> </w:t>
      </w:r>
      <w:r>
        <w:rPr/>
        <w:t>Q</w:t>
      </w:r>
      <w:r>
        <w:rPr>
          <w:spacing w:val="-4"/>
        </w:rPr>
        <w:t> </w:t>
      </w:r>
      <w:r>
        <w:rPr/>
        <w:t>7.85</w:t>
      </w:r>
      <w:r>
        <w:rPr>
          <w:spacing w:val="-4"/>
        </w:rPr>
        <w:t> </w:t>
      </w:r>
      <w:r>
        <w:rPr/>
        <w:t>por US$ 1.00 hasta el</w:t>
      </w:r>
      <w:r>
        <w:rPr>
          <w:spacing w:val="-5"/>
        </w:rPr>
        <w:t> </w:t>
      </w:r>
      <w:r>
        <w:rPr/>
        <w:t>2027.</w:t>
      </w:r>
    </w:p>
    <w:p>
      <w:pPr>
        <w:pStyle w:val="BodyText"/>
        <w:spacing w:before="10"/>
        <w:rPr>
          <w:sz w:val="25"/>
        </w:rPr>
      </w:pPr>
    </w:p>
    <w:p>
      <w:pPr>
        <w:pStyle w:val="Heading2"/>
        <w:ind w:left="910"/>
      </w:pPr>
      <w:bookmarkStart w:name="_bookmark110" w:id="135"/>
      <w:bookmarkEnd w:id="135"/>
      <w:r>
        <w:rPr>
          <w:b w:val="0"/>
        </w:rPr>
      </w:r>
      <w:r>
        <w:rPr/>
        <w:t>5.2 Proyecciones de mediano plazo</w:t>
      </w:r>
    </w:p>
    <w:p>
      <w:pPr>
        <w:pStyle w:val="BodyText"/>
        <w:spacing w:before="4"/>
        <w:rPr>
          <w:b/>
          <w:sz w:val="28"/>
        </w:rPr>
      </w:pPr>
    </w:p>
    <w:p>
      <w:pPr>
        <w:pStyle w:val="BodyText"/>
        <w:spacing w:line="276" w:lineRule="auto"/>
        <w:ind w:left="562" w:right="1695"/>
        <w:jc w:val="both"/>
      </w:pPr>
      <w:r>
        <w:rPr/>
        <w:t>Tomando como base los supuestos del mediano plazo del contexto internacional, el Banco de Guatemala estima que el crecimiento del producto interno bruto ronde alrededor del 2.5% a 4.5% para</w:t>
      </w:r>
      <w:r>
        <w:rPr>
          <w:spacing w:val="-8"/>
        </w:rPr>
        <w:t> </w:t>
      </w:r>
      <w:r>
        <w:rPr/>
        <w:t>2023,</w:t>
      </w:r>
      <w:r>
        <w:rPr>
          <w:spacing w:val="-9"/>
        </w:rPr>
        <w:t> </w:t>
      </w:r>
      <w:r>
        <w:rPr/>
        <w:t>siendo</w:t>
      </w:r>
      <w:r>
        <w:rPr>
          <w:spacing w:val="-8"/>
        </w:rPr>
        <w:t> </w:t>
      </w:r>
      <w:r>
        <w:rPr/>
        <w:t>su</w:t>
      </w:r>
      <w:r>
        <w:rPr>
          <w:spacing w:val="-7"/>
        </w:rPr>
        <w:t> </w:t>
      </w:r>
      <w:r>
        <w:rPr/>
        <w:t>valor</w:t>
      </w:r>
      <w:r>
        <w:rPr>
          <w:spacing w:val="-10"/>
        </w:rPr>
        <w:t> </w:t>
      </w:r>
      <w:r>
        <w:rPr/>
        <w:t>medio</w:t>
      </w:r>
      <w:r>
        <w:rPr>
          <w:spacing w:val="-6"/>
        </w:rPr>
        <w:t> </w:t>
      </w:r>
      <w:r>
        <w:rPr/>
        <w:t>de</w:t>
      </w:r>
      <w:r>
        <w:rPr>
          <w:spacing w:val="-5"/>
        </w:rPr>
        <w:t> </w:t>
      </w:r>
      <w:r>
        <w:rPr/>
        <w:t>3.5%.</w:t>
      </w:r>
      <w:r>
        <w:rPr>
          <w:spacing w:val="-9"/>
        </w:rPr>
        <w:t> </w:t>
      </w:r>
      <w:r>
        <w:rPr/>
        <w:t>Posteriormente</w:t>
      </w:r>
      <w:r>
        <w:rPr>
          <w:spacing w:val="-8"/>
        </w:rPr>
        <w:t> </w:t>
      </w:r>
      <w:r>
        <w:rPr/>
        <w:t>se</w:t>
      </w:r>
      <w:r>
        <w:rPr>
          <w:spacing w:val="-7"/>
        </w:rPr>
        <w:t> </w:t>
      </w:r>
      <w:r>
        <w:rPr/>
        <w:t>prevé</w:t>
      </w:r>
      <w:r>
        <w:rPr>
          <w:spacing w:val="-6"/>
        </w:rPr>
        <w:t> </w:t>
      </w:r>
      <w:r>
        <w:rPr/>
        <w:t>que</w:t>
      </w:r>
      <w:r>
        <w:rPr>
          <w:spacing w:val="-8"/>
        </w:rPr>
        <w:t> </w:t>
      </w:r>
      <w:r>
        <w:rPr/>
        <w:t>el</w:t>
      </w:r>
      <w:r>
        <w:rPr>
          <w:spacing w:val="-7"/>
        </w:rPr>
        <w:t> </w:t>
      </w:r>
      <w:r>
        <w:rPr/>
        <w:t>valor</w:t>
      </w:r>
      <w:r>
        <w:rPr>
          <w:spacing w:val="-7"/>
        </w:rPr>
        <w:t> </w:t>
      </w:r>
      <w:r>
        <w:rPr/>
        <w:t>medio</w:t>
      </w:r>
      <w:r>
        <w:rPr>
          <w:spacing w:val="-9"/>
        </w:rPr>
        <w:t> </w:t>
      </w:r>
      <w:r>
        <w:rPr/>
        <w:t>del</w:t>
      </w:r>
      <w:r>
        <w:rPr>
          <w:spacing w:val="-5"/>
        </w:rPr>
        <w:t> </w:t>
      </w:r>
      <w:r>
        <w:rPr/>
        <w:t>pronóstico de</w:t>
      </w:r>
      <w:r>
        <w:rPr>
          <w:spacing w:val="-3"/>
        </w:rPr>
        <w:t> </w:t>
      </w:r>
      <w:r>
        <w:rPr/>
        <w:t>2024</w:t>
      </w:r>
      <w:r>
        <w:rPr>
          <w:spacing w:val="-4"/>
        </w:rPr>
        <w:t> </w:t>
      </w:r>
      <w:r>
        <w:rPr/>
        <w:t>sea</w:t>
      </w:r>
      <w:r>
        <w:rPr>
          <w:spacing w:val="-2"/>
        </w:rPr>
        <w:t> </w:t>
      </w:r>
      <w:r>
        <w:rPr/>
        <w:t>2.6%</w:t>
      </w:r>
      <w:r>
        <w:rPr>
          <w:spacing w:val="-3"/>
        </w:rPr>
        <w:t> </w:t>
      </w:r>
      <w:r>
        <w:rPr/>
        <w:t>y</w:t>
      </w:r>
      <w:r>
        <w:rPr>
          <w:spacing w:val="-5"/>
        </w:rPr>
        <w:t> </w:t>
      </w:r>
      <w:r>
        <w:rPr/>
        <w:t>que</w:t>
      </w:r>
      <w:r>
        <w:rPr>
          <w:spacing w:val="-3"/>
        </w:rPr>
        <w:t> </w:t>
      </w:r>
      <w:r>
        <w:rPr/>
        <w:t>se</w:t>
      </w:r>
      <w:r>
        <w:rPr>
          <w:spacing w:val="-5"/>
        </w:rPr>
        <w:t> </w:t>
      </w:r>
      <w:r>
        <w:rPr/>
        <w:t>encuentre</w:t>
      </w:r>
      <w:r>
        <w:rPr>
          <w:spacing w:val="-3"/>
        </w:rPr>
        <w:t> </w:t>
      </w:r>
      <w:r>
        <w:rPr/>
        <w:t>en</w:t>
      </w:r>
      <w:r>
        <w:rPr>
          <w:spacing w:val="-2"/>
        </w:rPr>
        <w:t> </w:t>
      </w:r>
      <w:r>
        <w:rPr/>
        <w:t>2.7%</w:t>
      </w:r>
      <w:r>
        <w:rPr>
          <w:spacing w:val="-3"/>
        </w:rPr>
        <w:t> </w:t>
      </w:r>
      <w:r>
        <w:rPr/>
        <w:t>para</w:t>
      </w:r>
      <w:r>
        <w:rPr>
          <w:spacing w:val="-6"/>
        </w:rPr>
        <w:t> </w:t>
      </w:r>
      <w:r>
        <w:rPr/>
        <w:t>2027.</w:t>
      </w:r>
      <w:r>
        <w:rPr>
          <w:spacing w:val="-3"/>
        </w:rPr>
        <w:t> </w:t>
      </w:r>
      <w:r>
        <w:rPr/>
        <w:t>Esto</w:t>
      </w:r>
      <w:r>
        <w:rPr>
          <w:spacing w:val="-4"/>
        </w:rPr>
        <w:t> </w:t>
      </w:r>
      <w:r>
        <w:rPr/>
        <w:t>debido</w:t>
      </w:r>
      <w:r>
        <w:rPr>
          <w:spacing w:val="-3"/>
        </w:rPr>
        <w:t> </w:t>
      </w:r>
      <w:r>
        <w:rPr/>
        <w:t>del</w:t>
      </w:r>
      <w:r>
        <w:rPr>
          <w:spacing w:val="-3"/>
        </w:rPr>
        <w:t> </w:t>
      </w:r>
      <w:r>
        <w:rPr/>
        <w:t>avance</w:t>
      </w:r>
      <w:r>
        <w:rPr>
          <w:spacing w:val="-2"/>
        </w:rPr>
        <w:t> </w:t>
      </w:r>
      <w:r>
        <w:rPr/>
        <w:t>en</w:t>
      </w:r>
      <w:r>
        <w:rPr>
          <w:spacing w:val="-4"/>
        </w:rPr>
        <w:t> </w:t>
      </w:r>
      <w:r>
        <w:rPr/>
        <w:t>la</w:t>
      </w:r>
      <w:r>
        <w:rPr>
          <w:spacing w:val="-2"/>
        </w:rPr>
        <w:t> </w:t>
      </w:r>
      <w:r>
        <w:rPr/>
        <w:t>normalización de la demanda interna, principalmente en consumo privado real que se ha estimado tener una elasticidad de largo plazo con respecto al ingreso de 98.6%, por lo que se espera que esta tenga un crecimiento de 2.7% para 2023 e incremente gradualmente hasta 3.1% para 2027, esto además impulsado por la recepción de remesas por los hogares y que los costos de financiamiento no incrementen sustancialmente en el mercado</w:t>
      </w:r>
      <w:r>
        <w:rPr>
          <w:spacing w:val="-3"/>
        </w:rPr>
        <w:t> </w:t>
      </w:r>
      <w:r>
        <w:rPr/>
        <w:t>interno.</w:t>
      </w:r>
    </w:p>
    <w:p>
      <w:pPr>
        <w:pStyle w:val="BodyText"/>
        <w:spacing w:before="6"/>
        <w:rPr>
          <w:sz w:val="25"/>
        </w:rPr>
      </w:pPr>
    </w:p>
    <w:p>
      <w:pPr>
        <w:pStyle w:val="BodyText"/>
        <w:spacing w:line="276" w:lineRule="auto"/>
        <w:ind w:left="562" w:right="1696"/>
        <w:jc w:val="both"/>
      </w:pPr>
      <w:r>
        <w:rPr/>
        <w:t>Por</w:t>
      </w:r>
      <w:r>
        <w:rPr>
          <w:spacing w:val="-4"/>
        </w:rPr>
        <w:t> </w:t>
      </w:r>
      <w:r>
        <w:rPr/>
        <w:t>parte</w:t>
      </w:r>
      <w:r>
        <w:rPr>
          <w:spacing w:val="-4"/>
        </w:rPr>
        <w:t> </w:t>
      </w:r>
      <w:r>
        <w:rPr/>
        <w:t>del</w:t>
      </w:r>
      <w:r>
        <w:rPr>
          <w:spacing w:val="-5"/>
        </w:rPr>
        <w:t> </w:t>
      </w:r>
      <w:r>
        <w:rPr/>
        <w:t>Producto</w:t>
      </w:r>
      <w:r>
        <w:rPr>
          <w:spacing w:val="-5"/>
        </w:rPr>
        <w:t> </w:t>
      </w:r>
      <w:r>
        <w:rPr/>
        <w:t>Interno</w:t>
      </w:r>
      <w:r>
        <w:rPr>
          <w:spacing w:val="-4"/>
        </w:rPr>
        <w:t> </w:t>
      </w:r>
      <w:r>
        <w:rPr/>
        <w:t>Bruto</w:t>
      </w:r>
      <w:r>
        <w:rPr>
          <w:spacing w:val="-7"/>
        </w:rPr>
        <w:t> </w:t>
      </w:r>
      <w:r>
        <w:rPr/>
        <w:t>nominal,</w:t>
      </w:r>
      <w:r>
        <w:rPr>
          <w:spacing w:val="-6"/>
        </w:rPr>
        <w:t> </w:t>
      </w:r>
      <w:r>
        <w:rPr/>
        <w:t>estima</w:t>
      </w:r>
      <w:r>
        <w:rPr>
          <w:spacing w:val="-3"/>
        </w:rPr>
        <w:t> </w:t>
      </w:r>
      <w:r>
        <w:rPr/>
        <w:t>un</w:t>
      </w:r>
      <w:r>
        <w:rPr>
          <w:spacing w:val="-5"/>
        </w:rPr>
        <w:t> </w:t>
      </w:r>
      <w:r>
        <w:rPr/>
        <w:t>crecimiento</w:t>
      </w:r>
      <w:r>
        <w:rPr>
          <w:spacing w:val="-6"/>
        </w:rPr>
        <w:t> </w:t>
      </w:r>
      <w:r>
        <w:rPr/>
        <w:t>entre</w:t>
      </w:r>
      <w:r>
        <w:rPr>
          <w:spacing w:val="-7"/>
        </w:rPr>
        <w:t> </w:t>
      </w:r>
      <w:r>
        <w:rPr/>
        <w:t>5.4%</w:t>
      </w:r>
      <w:r>
        <w:rPr>
          <w:spacing w:val="-3"/>
        </w:rPr>
        <w:t> </w:t>
      </w:r>
      <w:r>
        <w:rPr/>
        <w:t>y</w:t>
      </w:r>
      <w:r>
        <w:rPr>
          <w:spacing w:val="-10"/>
        </w:rPr>
        <w:t> </w:t>
      </w:r>
      <w:r>
        <w:rPr/>
        <w:t>7.4%</w:t>
      </w:r>
      <w:r>
        <w:rPr>
          <w:spacing w:val="-3"/>
        </w:rPr>
        <w:t> </w:t>
      </w:r>
      <w:r>
        <w:rPr/>
        <w:t>con</w:t>
      </w:r>
      <w:r>
        <w:rPr>
          <w:spacing w:val="-7"/>
        </w:rPr>
        <w:t> </w:t>
      </w:r>
      <w:r>
        <w:rPr/>
        <w:t>un</w:t>
      </w:r>
      <w:r>
        <w:rPr>
          <w:spacing w:val="-4"/>
        </w:rPr>
        <w:t> </w:t>
      </w:r>
      <w:r>
        <w:rPr/>
        <w:t>valor medio de 6.4% para 2023 y alrededor de 5.4 para 2027. Esto debido a que el deflactor del PIB en el mediano plazo tenga un valor promedio cercano al 2.6%. No obstante, los precios de los bienes y servicios de la economía están sujetos a la incertidumbre del contexto internacional relacionada con los incrementos en los precios de materia prima de energía y de agricultura que afectarían principalmente los precios de importación y exportación y podrían transmitirse a los precios del consumo</w:t>
      </w:r>
      <w:r>
        <w:rPr>
          <w:spacing w:val="-7"/>
        </w:rPr>
        <w:t> </w:t>
      </w:r>
      <w:r>
        <w:rPr/>
        <w:t>privado.</w:t>
      </w:r>
      <w:r>
        <w:rPr>
          <w:spacing w:val="-7"/>
        </w:rPr>
        <w:t> </w:t>
      </w:r>
      <w:r>
        <w:rPr/>
        <w:t>Asimismo,</w:t>
      </w:r>
      <w:r>
        <w:rPr>
          <w:spacing w:val="-6"/>
        </w:rPr>
        <w:t> </w:t>
      </w:r>
      <w:r>
        <w:rPr/>
        <w:t>conforme</w:t>
      </w:r>
      <w:r>
        <w:rPr>
          <w:spacing w:val="-7"/>
        </w:rPr>
        <w:t> </w:t>
      </w:r>
      <w:r>
        <w:rPr/>
        <w:t>avance</w:t>
      </w:r>
      <w:r>
        <w:rPr>
          <w:spacing w:val="-7"/>
        </w:rPr>
        <w:t> </w:t>
      </w:r>
      <w:r>
        <w:rPr/>
        <w:t>la</w:t>
      </w:r>
      <w:r>
        <w:rPr>
          <w:spacing w:val="-6"/>
        </w:rPr>
        <w:t> </w:t>
      </w:r>
      <w:r>
        <w:rPr/>
        <w:t>recuperación</w:t>
      </w:r>
      <w:r>
        <w:rPr>
          <w:spacing w:val="-7"/>
        </w:rPr>
        <w:t> </w:t>
      </w:r>
      <w:r>
        <w:rPr/>
        <w:t>de</w:t>
      </w:r>
      <w:r>
        <w:rPr>
          <w:spacing w:val="-6"/>
        </w:rPr>
        <w:t> </w:t>
      </w:r>
      <w:r>
        <w:rPr/>
        <w:t>la</w:t>
      </w:r>
      <w:r>
        <w:rPr>
          <w:spacing w:val="-7"/>
        </w:rPr>
        <w:t> </w:t>
      </w:r>
      <w:r>
        <w:rPr/>
        <w:t>economía</w:t>
      </w:r>
      <w:r>
        <w:rPr>
          <w:spacing w:val="-7"/>
        </w:rPr>
        <w:t> </w:t>
      </w:r>
      <w:r>
        <w:rPr/>
        <w:t>interna,</w:t>
      </w:r>
      <w:r>
        <w:rPr>
          <w:spacing w:val="-8"/>
        </w:rPr>
        <w:t> </w:t>
      </w:r>
      <w:r>
        <w:rPr/>
        <w:t>se</w:t>
      </w:r>
      <w:r>
        <w:rPr>
          <w:spacing w:val="-7"/>
        </w:rPr>
        <w:t> </w:t>
      </w:r>
      <w:r>
        <w:rPr/>
        <w:t>espera</w:t>
      </w:r>
      <w:r>
        <w:rPr>
          <w:spacing w:val="-7"/>
        </w:rPr>
        <w:t> </w:t>
      </w:r>
      <w:r>
        <w:rPr/>
        <w:t>que la inflación se ubique en el límite inferior del rango de meta del Banco de Guatemala (3.0%) en el período de 2023 a</w:t>
      </w:r>
      <w:r>
        <w:rPr>
          <w:spacing w:val="-2"/>
        </w:rPr>
        <w:t> </w:t>
      </w:r>
      <w:r>
        <w:rPr/>
        <w:t>2026.</w:t>
      </w:r>
    </w:p>
    <w:p>
      <w:pPr>
        <w:pStyle w:val="BodyText"/>
        <w:spacing w:before="3"/>
        <w:rPr>
          <w:sz w:val="25"/>
        </w:rPr>
      </w:pPr>
    </w:p>
    <w:p>
      <w:pPr>
        <w:pStyle w:val="BodyText"/>
        <w:spacing w:line="276" w:lineRule="auto"/>
        <w:ind w:left="562" w:right="1697"/>
        <w:jc w:val="both"/>
      </w:pPr>
      <w:r>
        <w:rPr/>
        <w:t>En este contexto, se espera que el ahorro de la economía se mantenga como proporción del PIB en 2023, situándose en 19.7% y que disminuya levemente hasta 19.5% en 2027, esto se debe principalmente</w:t>
      </w:r>
      <w:r>
        <w:rPr>
          <w:spacing w:val="-7"/>
        </w:rPr>
        <w:t> </w:t>
      </w:r>
      <w:r>
        <w:rPr/>
        <w:t>al</w:t>
      </w:r>
      <w:r>
        <w:rPr>
          <w:spacing w:val="-3"/>
        </w:rPr>
        <w:t> </w:t>
      </w:r>
      <w:r>
        <w:rPr/>
        <w:t>consumo</w:t>
      </w:r>
      <w:r>
        <w:rPr>
          <w:spacing w:val="-6"/>
        </w:rPr>
        <w:t> </w:t>
      </w:r>
      <w:r>
        <w:rPr/>
        <w:t>privado</w:t>
      </w:r>
      <w:r>
        <w:rPr>
          <w:spacing w:val="-6"/>
        </w:rPr>
        <w:t> </w:t>
      </w:r>
      <w:r>
        <w:rPr/>
        <w:t>estable</w:t>
      </w:r>
      <w:r>
        <w:rPr>
          <w:spacing w:val="-6"/>
        </w:rPr>
        <w:t> </w:t>
      </w:r>
      <w:r>
        <w:rPr/>
        <w:t>derivado</w:t>
      </w:r>
      <w:r>
        <w:rPr>
          <w:spacing w:val="-7"/>
        </w:rPr>
        <w:t> </w:t>
      </w:r>
      <w:r>
        <w:rPr/>
        <w:t>de</w:t>
      </w:r>
      <w:r>
        <w:rPr>
          <w:spacing w:val="-6"/>
        </w:rPr>
        <w:t> </w:t>
      </w:r>
      <w:r>
        <w:rPr/>
        <w:t>la</w:t>
      </w:r>
      <w:r>
        <w:rPr>
          <w:spacing w:val="-6"/>
        </w:rPr>
        <w:t> </w:t>
      </w:r>
      <w:r>
        <w:rPr/>
        <w:t>hipótesis</w:t>
      </w:r>
      <w:r>
        <w:rPr>
          <w:spacing w:val="-6"/>
        </w:rPr>
        <w:t> </w:t>
      </w:r>
      <w:r>
        <w:rPr/>
        <w:t>de</w:t>
      </w:r>
      <w:r>
        <w:rPr>
          <w:spacing w:val="-6"/>
        </w:rPr>
        <w:t> </w:t>
      </w:r>
      <w:r>
        <w:rPr/>
        <w:t>la</w:t>
      </w:r>
      <w:r>
        <w:rPr>
          <w:spacing w:val="-6"/>
        </w:rPr>
        <w:t> </w:t>
      </w:r>
      <w:r>
        <w:rPr/>
        <w:t>renta</w:t>
      </w:r>
      <w:r>
        <w:rPr>
          <w:spacing w:val="-4"/>
        </w:rPr>
        <w:t> </w:t>
      </w:r>
      <w:r>
        <w:rPr/>
        <w:t>permanente</w:t>
      </w:r>
      <w:r>
        <w:rPr>
          <w:spacing w:val="-3"/>
        </w:rPr>
        <w:t> </w:t>
      </w:r>
      <w:r>
        <w:rPr/>
        <w:t>y</w:t>
      </w:r>
      <w:r>
        <w:rPr>
          <w:spacing w:val="-6"/>
        </w:rPr>
        <w:t> </w:t>
      </w:r>
      <w:r>
        <w:rPr/>
        <w:t>a</w:t>
      </w:r>
      <w:r>
        <w:rPr>
          <w:spacing w:val="-6"/>
        </w:rPr>
        <w:t> </w:t>
      </w:r>
      <w:r>
        <w:rPr/>
        <w:t>que</w:t>
      </w:r>
      <w:r>
        <w:rPr>
          <w:spacing w:val="-6"/>
        </w:rPr>
        <w:t> </w:t>
      </w:r>
      <w:r>
        <w:rPr/>
        <w:t>se espera que las remesas sigan formando una participación significativa en el ingreso disponible de la economía.</w:t>
      </w:r>
    </w:p>
    <w:p>
      <w:pPr>
        <w:pStyle w:val="BodyText"/>
        <w:spacing w:before="4"/>
        <w:rPr>
          <w:sz w:val="25"/>
        </w:rPr>
      </w:pPr>
    </w:p>
    <w:p>
      <w:pPr>
        <w:pStyle w:val="BodyText"/>
        <w:spacing w:line="276" w:lineRule="auto"/>
        <w:ind w:left="562" w:right="1697"/>
        <w:jc w:val="both"/>
      </w:pPr>
      <w:r>
        <w:rPr/>
        <w:t>Para</w:t>
      </w:r>
      <w:r>
        <w:rPr>
          <w:spacing w:val="-16"/>
        </w:rPr>
        <w:t> </w:t>
      </w:r>
      <w:r>
        <w:rPr/>
        <w:t>el</w:t>
      </w:r>
      <w:r>
        <w:rPr>
          <w:spacing w:val="-14"/>
        </w:rPr>
        <w:t> </w:t>
      </w:r>
      <w:r>
        <w:rPr/>
        <w:t>sector</w:t>
      </w:r>
      <w:r>
        <w:rPr>
          <w:spacing w:val="-13"/>
        </w:rPr>
        <w:t> </w:t>
      </w:r>
      <w:r>
        <w:rPr/>
        <w:t>externo</w:t>
      </w:r>
      <w:r>
        <w:rPr>
          <w:spacing w:val="-16"/>
        </w:rPr>
        <w:t> </w:t>
      </w:r>
      <w:r>
        <w:rPr/>
        <w:t>de</w:t>
      </w:r>
      <w:r>
        <w:rPr>
          <w:spacing w:val="-15"/>
        </w:rPr>
        <w:t> </w:t>
      </w:r>
      <w:r>
        <w:rPr/>
        <w:t>la</w:t>
      </w:r>
      <w:r>
        <w:rPr>
          <w:spacing w:val="-16"/>
        </w:rPr>
        <w:t> </w:t>
      </w:r>
      <w:r>
        <w:rPr/>
        <w:t>economía,</w:t>
      </w:r>
      <w:r>
        <w:rPr>
          <w:spacing w:val="-11"/>
        </w:rPr>
        <w:t> </w:t>
      </w:r>
      <w:r>
        <w:rPr/>
        <w:t>en</w:t>
      </w:r>
      <w:r>
        <w:rPr>
          <w:spacing w:val="-16"/>
        </w:rPr>
        <w:t> </w:t>
      </w:r>
      <w:r>
        <w:rPr/>
        <w:t>2023,</w:t>
      </w:r>
      <w:r>
        <w:rPr>
          <w:spacing w:val="-16"/>
        </w:rPr>
        <w:t> </w:t>
      </w:r>
      <w:r>
        <w:rPr/>
        <w:t>el</w:t>
      </w:r>
      <w:r>
        <w:rPr>
          <w:spacing w:val="-13"/>
        </w:rPr>
        <w:t> </w:t>
      </w:r>
      <w:r>
        <w:rPr/>
        <w:t>Banco</w:t>
      </w:r>
      <w:r>
        <w:rPr>
          <w:spacing w:val="-15"/>
        </w:rPr>
        <w:t> </w:t>
      </w:r>
      <w:r>
        <w:rPr/>
        <w:t>de</w:t>
      </w:r>
      <w:r>
        <w:rPr>
          <w:spacing w:val="-13"/>
        </w:rPr>
        <w:t> </w:t>
      </w:r>
      <w:r>
        <w:rPr/>
        <w:t>Guatemala</w:t>
      </w:r>
      <w:r>
        <w:rPr>
          <w:spacing w:val="-13"/>
        </w:rPr>
        <w:t> </w:t>
      </w:r>
      <w:r>
        <w:rPr/>
        <w:t>proyecta</w:t>
      </w:r>
      <w:r>
        <w:rPr>
          <w:spacing w:val="-13"/>
        </w:rPr>
        <w:t> </w:t>
      </w:r>
      <w:r>
        <w:rPr/>
        <w:t>que</w:t>
      </w:r>
      <w:r>
        <w:rPr>
          <w:spacing w:val="-16"/>
        </w:rPr>
        <w:t> </w:t>
      </w:r>
      <w:r>
        <w:rPr/>
        <w:t>las</w:t>
      </w:r>
      <w:r>
        <w:rPr>
          <w:spacing w:val="-15"/>
        </w:rPr>
        <w:t> </w:t>
      </w:r>
      <w:r>
        <w:rPr/>
        <w:t>importaciones FOB</w:t>
      </w:r>
      <w:r>
        <w:rPr>
          <w:spacing w:val="-2"/>
        </w:rPr>
        <w:t> </w:t>
      </w:r>
      <w:r>
        <w:rPr/>
        <w:t>tengan</w:t>
      </w:r>
      <w:r>
        <w:rPr>
          <w:spacing w:val="-1"/>
        </w:rPr>
        <w:t> </w:t>
      </w:r>
      <w:r>
        <w:rPr/>
        <w:t>un</w:t>
      </w:r>
      <w:r>
        <w:rPr>
          <w:spacing w:val="-1"/>
        </w:rPr>
        <w:t> </w:t>
      </w:r>
      <w:r>
        <w:rPr/>
        <w:t>crecimiento</w:t>
      </w:r>
      <w:r>
        <w:rPr>
          <w:spacing w:val="-3"/>
        </w:rPr>
        <w:t> </w:t>
      </w:r>
      <w:r>
        <w:rPr/>
        <w:t>entre</w:t>
      </w:r>
      <w:r>
        <w:rPr>
          <w:spacing w:val="-3"/>
        </w:rPr>
        <w:t> </w:t>
      </w:r>
      <w:r>
        <w:rPr/>
        <w:t>6.5%</w:t>
      </w:r>
      <w:r>
        <w:rPr>
          <w:spacing w:val="-1"/>
        </w:rPr>
        <w:t> </w:t>
      </w:r>
      <w:r>
        <w:rPr/>
        <w:t>y</w:t>
      </w:r>
      <w:r>
        <w:rPr>
          <w:spacing w:val="-4"/>
        </w:rPr>
        <w:t> </w:t>
      </w:r>
      <w:r>
        <w:rPr/>
        <w:t>9.5%,</w:t>
      </w:r>
      <w:r>
        <w:rPr>
          <w:spacing w:val="-3"/>
        </w:rPr>
        <w:t> </w:t>
      </w:r>
      <w:r>
        <w:rPr/>
        <w:t>con</w:t>
      </w:r>
      <w:r>
        <w:rPr>
          <w:spacing w:val="-3"/>
        </w:rPr>
        <w:t> </w:t>
      </w:r>
      <w:r>
        <w:rPr/>
        <w:t>un</w:t>
      </w:r>
      <w:r>
        <w:rPr>
          <w:spacing w:val="-4"/>
        </w:rPr>
        <w:t> </w:t>
      </w:r>
      <w:r>
        <w:rPr/>
        <w:t>valor medio</w:t>
      </w:r>
      <w:r>
        <w:rPr>
          <w:spacing w:val="-4"/>
        </w:rPr>
        <w:t> </w:t>
      </w:r>
      <w:r>
        <w:rPr/>
        <w:t>de</w:t>
      </w:r>
      <w:r>
        <w:rPr>
          <w:spacing w:val="-3"/>
        </w:rPr>
        <w:t> </w:t>
      </w:r>
      <w:r>
        <w:rPr/>
        <w:t>8.0%,</w:t>
      </w:r>
      <w:r>
        <w:rPr>
          <w:spacing w:val="-4"/>
        </w:rPr>
        <w:t> </w:t>
      </w:r>
      <w:r>
        <w:rPr/>
        <w:t>estas</w:t>
      </w:r>
      <w:r>
        <w:rPr>
          <w:spacing w:val="-2"/>
        </w:rPr>
        <w:t> </w:t>
      </w:r>
      <w:r>
        <w:rPr/>
        <w:t>aún</w:t>
      </w:r>
      <w:r>
        <w:rPr>
          <w:spacing w:val="-3"/>
        </w:rPr>
        <w:t> </w:t>
      </w:r>
      <w:r>
        <w:rPr/>
        <w:t>influenciadas por</w:t>
      </w:r>
      <w:r>
        <w:rPr>
          <w:spacing w:val="-4"/>
        </w:rPr>
        <w:t> </w:t>
      </w:r>
      <w:r>
        <w:rPr/>
        <w:t>el</w:t>
      </w:r>
      <w:r>
        <w:rPr>
          <w:spacing w:val="-3"/>
        </w:rPr>
        <w:t> </w:t>
      </w:r>
      <w:r>
        <w:rPr/>
        <w:t>precio</w:t>
      </w:r>
      <w:r>
        <w:rPr>
          <w:spacing w:val="-5"/>
        </w:rPr>
        <w:t> </w:t>
      </w:r>
      <w:r>
        <w:rPr/>
        <w:t>de</w:t>
      </w:r>
      <w:r>
        <w:rPr>
          <w:spacing w:val="-3"/>
        </w:rPr>
        <w:t> </w:t>
      </w:r>
      <w:r>
        <w:rPr/>
        <w:t>los</w:t>
      </w:r>
      <w:r>
        <w:rPr>
          <w:spacing w:val="-3"/>
        </w:rPr>
        <w:t> </w:t>
      </w:r>
      <w:r>
        <w:rPr/>
        <w:t>combustibles</w:t>
      </w:r>
      <w:r>
        <w:rPr>
          <w:spacing w:val="-6"/>
        </w:rPr>
        <w:t> </w:t>
      </w:r>
      <w:r>
        <w:rPr/>
        <w:t>y</w:t>
      </w:r>
      <w:r>
        <w:rPr>
          <w:spacing w:val="-6"/>
        </w:rPr>
        <w:t> </w:t>
      </w:r>
      <w:r>
        <w:rPr/>
        <w:t>a</w:t>
      </w:r>
      <w:r>
        <w:rPr>
          <w:spacing w:val="-3"/>
        </w:rPr>
        <w:t> </w:t>
      </w:r>
      <w:r>
        <w:rPr/>
        <w:t>un</w:t>
      </w:r>
      <w:r>
        <w:rPr>
          <w:spacing w:val="-5"/>
        </w:rPr>
        <w:t> </w:t>
      </w:r>
      <w:r>
        <w:rPr/>
        <w:t>consumo</w:t>
      </w:r>
      <w:r>
        <w:rPr>
          <w:spacing w:val="-4"/>
        </w:rPr>
        <w:t> </w:t>
      </w:r>
      <w:r>
        <w:rPr/>
        <w:t>e</w:t>
      </w:r>
      <w:r>
        <w:rPr>
          <w:spacing w:val="-4"/>
        </w:rPr>
        <w:t> </w:t>
      </w:r>
      <w:r>
        <w:rPr/>
        <w:t>inversión</w:t>
      </w:r>
      <w:r>
        <w:rPr>
          <w:spacing w:val="-4"/>
        </w:rPr>
        <w:t> </w:t>
      </w:r>
      <w:r>
        <w:rPr/>
        <w:t>privada</w:t>
      </w:r>
      <w:r>
        <w:rPr>
          <w:spacing w:val="-3"/>
        </w:rPr>
        <w:t> </w:t>
      </w:r>
      <w:r>
        <w:rPr/>
        <w:t>menos</w:t>
      </w:r>
      <w:r>
        <w:rPr>
          <w:spacing w:val="-6"/>
        </w:rPr>
        <w:t> </w:t>
      </w:r>
      <w:r>
        <w:rPr/>
        <w:t>reprimida,</w:t>
      </w:r>
      <w:r>
        <w:rPr>
          <w:spacing w:val="-3"/>
        </w:rPr>
        <w:t> </w:t>
      </w:r>
      <w:r>
        <w:rPr/>
        <w:t>para</w:t>
      </w:r>
      <w:r>
        <w:rPr>
          <w:spacing w:val="-6"/>
        </w:rPr>
        <w:t> </w:t>
      </w:r>
      <w:r>
        <w:rPr/>
        <w:t>los</w:t>
      </w:r>
      <w:r>
        <w:rPr>
          <w:spacing w:val="-7"/>
        </w:rPr>
        <w:t> </w:t>
      </w:r>
      <w:r>
        <w:rPr/>
        <w:t>años posteriores se espera que el crecimiento se mantenga estable alrededor de 6.0%. Por parte de las exportaciones</w:t>
      </w:r>
      <w:r>
        <w:rPr>
          <w:spacing w:val="-8"/>
        </w:rPr>
        <w:t> </w:t>
      </w:r>
      <w:r>
        <w:rPr/>
        <w:t>FOB</w:t>
      </w:r>
      <w:r>
        <w:rPr>
          <w:spacing w:val="-9"/>
        </w:rPr>
        <w:t> </w:t>
      </w:r>
      <w:r>
        <w:rPr/>
        <w:t>se</w:t>
      </w:r>
      <w:r>
        <w:rPr>
          <w:spacing w:val="-8"/>
        </w:rPr>
        <w:t> </w:t>
      </w:r>
      <w:r>
        <w:rPr/>
        <w:t>prevé</w:t>
      </w:r>
      <w:r>
        <w:rPr>
          <w:spacing w:val="-7"/>
        </w:rPr>
        <w:t> </w:t>
      </w:r>
      <w:r>
        <w:rPr/>
        <w:t>un</w:t>
      </w:r>
      <w:r>
        <w:rPr>
          <w:spacing w:val="-9"/>
        </w:rPr>
        <w:t> </w:t>
      </w:r>
      <w:r>
        <w:rPr/>
        <w:t>crecimiento</w:t>
      </w:r>
      <w:r>
        <w:rPr>
          <w:spacing w:val="-9"/>
        </w:rPr>
        <w:t> </w:t>
      </w:r>
      <w:r>
        <w:rPr/>
        <w:t>de</w:t>
      </w:r>
      <w:r>
        <w:rPr>
          <w:spacing w:val="-7"/>
        </w:rPr>
        <w:t> </w:t>
      </w:r>
      <w:r>
        <w:rPr/>
        <w:t>4.5%</w:t>
      </w:r>
      <w:r>
        <w:rPr>
          <w:spacing w:val="-8"/>
        </w:rPr>
        <w:t> </w:t>
      </w:r>
      <w:r>
        <w:rPr/>
        <w:t>a</w:t>
      </w:r>
      <w:r>
        <w:rPr>
          <w:spacing w:val="-10"/>
        </w:rPr>
        <w:t> </w:t>
      </w:r>
      <w:r>
        <w:rPr/>
        <w:t>7.5%</w:t>
      </w:r>
      <w:r>
        <w:rPr>
          <w:spacing w:val="-7"/>
        </w:rPr>
        <w:t> </w:t>
      </w:r>
      <w:r>
        <w:rPr/>
        <w:t>para</w:t>
      </w:r>
      <w:r>
        <w:rPr>
          <w:spacing w:val="-8"/>
        </w:rPr>
        <w:t> </w:t>
      </w:r>
      <w:r>
        <w:rPr/>
        <w:t>2023</w:t>
      </w:r>
      <w:r>
        <w:rPr>
          <w:spacing w:val="-9"/>
        </w:rPr>
        <w:t> </w:t>
      </w:r>
      <w:r>
        <w:rPr/>
        <w:t>y</w:t>
      </w:r>
      <w:r>
        <w:rPr>
          <w:spacing w:val="-7"/>
        </w:rPr>
        <w:t> </w:t>
      </w:r>
      <w:r>
        <w:rPr/>
        <w:t>se</w:t>
      </w:r>
      <w:r>
        <w:rPr>
          <w:spacing w:val="-8"/>
        </w:rPr>
        <w:t> </w:t>
      </w:r>
      <w:r>
        <w:rPr/>
        <w:t>prevé</w:t>
      </w:r>
      <w:r>
        <w:rPr>
          <w:spacing w:val="-8"/>
        </w:rPr>
        <w:t> </w:t>
      </w:r>
      <w:r>
        <w:rPr/>
        <w:t>que</w:t>
      </w:r>
      <w:r>
        <w:rPr>
          <w:spacing w:val="-7"/>
        </w:rPr>
        <w:t> </w:t>
      </w:r>
      <w:r>
        <w:rPr/>
        <w:t>podría</w:t>
      </w:r>
      <w:r>
        <w:rPr>
          <w:spacing w:val="-8"/>
        </w:rPr>
        <w:t> </w:t>
      </w:r>
      <w:r>
        <w:rPr/>
        <w:t>ubicarse en</w:t>
      </w:r>
      <w:r>
        <w:rPr>
          <w:spacing w:val="17"/>
        </w:rPr>
        <w:t> </w:t>
      </w:r>
      <w:r>
        <w:rPr/>
        <w:t>el</w:t>
      </w:r>
      <w:r>
        <w:rPr>
          <w:spacing w:val="19"/>
        </w:rPr>
        <w:t> </w:t>
      </w:r>
      <w:r>
        <w:rPr/>
        <w:t>mediano</w:t>
      </w:r>
      <w:r>
        <w:rPr>
          <w:spacing w:val="18"/>
        </w:rPr>
        <w:t> </w:t>
      </w:r>
      <w:r>
        <w:rPr/>
        <w:t>plazo</w:t>
      </w:r>
      <w:r>
        <w:rPr>
          <w:spacing w:val="19"/>
        </w:rPr>
        <w:t> </w:t>
      </w:r>
      <w:r>
        <w:rPr/>
        <w:t>en</w:t>
      </w:r>
      <w:r>
        <w:rPr>
          <w:spacing w:val="18"/>
        </w:rPr>
        <w:t> </w:t>
      </w:r>
      <w:r>
        <w:rPr/>
        <w:t>el</w:t>
      </w:r>
      <w:r>
        <w:rPr>
          <w:spacing w:val="16"/>
        </w:rPr>
        <w:t> </w:t>
      </w:r>
      <w:r>
        <w:rPr/>
        <w:t>escenario</w:t>
      </w:r>
      <w:r>
        <w:rPr>
          <w:spacing w:val="20"/>
        </w:rPr>
        <w:t> </w:t>
      </w:r>
      <w:r>
        <w:rPr/>
        <w:t>bajo,</w:t>
      </w:r>
      <w:r>
        <w:rPr>
          <w:spacing w:val="18"/>
        </w:rPr>
        <w:t> </w:t>
      </w:r>
      <w:r>
        <w:rPr/>
        <w:t>alrededor</w:t>
      </w:r>
      <w:r>
        <w:rPr>
          <w:spacing w:val="18"/>
        </w:rPr>
        <w:t> </w:t>
      </w:r>
      <w:r>
        <w:rPr/>
        <w:t>de</w:t>
      </w:r>
      <w:r>
        <w:rPr>
          <w:spacing w:val="18"/>
        </w:rPr>
        <w:t> </w:t>
      </w:r>
      <w:r>
        <w:rPr/>
        <w:t>4.0%</w:t>
      </w:r>
      <w:r>
        <w:rPr>
          <w:spacing w:val="18"/>
        </w:rPr>
        <w:t> </w:t>
      </w:r>
      <w:r>
        <w:rPr/>
        <w:t>hasta</w:t>
      </w:r>
      <w:r>
        <w:rPr>
          <w:spacing w:val="20"/>
        </w:rPr>
        <w:t> </w:t>
      </w:r>
      <w:r>
        <w:rPr/>
        <w:t>2027,</w:t>
      </w:r>
      <w:r>
        <w:rPr>
          <w:spacing w:val="18"/>
        </w:rPr>
        <w:t> </w:t>
      </w:r>
      <w:r>
        <w:rPr/>
        <w:t>estas</w:t>
      </w:r>
      <w:r>
        <w:rPr>
          <w:spacing w:val="19"/>
        </w:rPr>
        <w:t> </w:t>
      </w:r>
      <w:r>
        <w:rPr/>
        <w:t>proyecciones</w:t>
      </w:r>
      <w:r>
        <w:rPr>
          <w:spacing w:val="18"/>
        </w:rPr>
        <w:t> </w:t>
      </w:r>
      <w:r>
        <w:rPr/>
        <w:t>están</w:t>
      </w:r>
    </w:p>
    <w:p>
      <w:pPr>
        <w:spacing w:after="0" w:line="276" w:lineRule="auto"/>
        <w:jc w:val="both"/>
        <w:sectPr>
          <w:pgSz w:w="12240" w:h="15840"/>
          <w:pgMar w:header="715" w:footer="957" w:top="1240" w:bottom="1140" w:left="1140" w:right="0"/>
        </w:sectPr>
      </w:pPr>
    </w:p>
    <w:p>
      <w:pPr>
        <w:pStyle w:val="BodyText"/>
        <w:spacing w:line="276" w:lineRule="auto" w:before="162"/>
        <w:ind w:left="562" w:right="1701"/>
        <w:jc w:val="both"/>
      </w:pPr>
      <w:r>
        <w:rPr/>
        <w:t>sujetas a la recuperación de los principales socios comerciales y al comportamiento de los productos de agricultura.</w:t>
      </w:r>
    </w:p>
    <w:p>
      <w:pPr>
        <w:pStyle w:val="BodyText"/>
        <w:spacing w:before="9"/>
        <w:rPr>
          <w:sz w:val="25"/>
        </w:rPr>
      </w:pPr>
    </w:p>
    <w:p>
      <w:pPr>
        <w:spacing w:before="0" w:after="38"/>
        <w:ind w:left="3089" w:right="0" w:firstLine="0"/>
        <w:jc w:val="left"/>
        <w:rPr>
          <w:b/>
          <w:sz w:val="20"/>
        </w:rPr>
      </w:pPr>
      <w:r>
        <w:rPr/>
        <w:pict>
          <v:rect style="position:absolute;margin-left:313.982697pt;margin-top:21.517281pt;width:212.299728pt;height:24.724993pt;mso-position-horizontal-relative:page;mso-position-vertical-relative:paragraph;z-index:-280942592" filled="true" fillcolor="#ececec" stroked="false">
            <v:fill type="solid"/>
            <w10:wrap type="none"/>
          </v:rect>
        </w:pict>
      </w:r>
      <w:r>
        <w:rPr/>
        <w:pict>
          <v:rect style="position:absolute;margin-left:313.982697pt;margin-top:53.945889pt;width:212.299728pt;height:57.159pt;mso-position-horizontal-relative:page;mso-position-vertical-relative:paragraph;z-index:-280941568" filled="true" fillcolor="#ececec" stroked="false">
            <v:fill type="solid"/>
            <w10:wrap type="none"/>
          </v:rect>
        </w:pict>
      </w:r>
      <w:r>
        <w:rPr/>
        <w:pict>
          <v:shape style="position:absolute;margin-left:532.305481pt;margin-top:37.723488pt;width:.1pt;height:.45pt;mso-position-horizontal-relative:page;mso-position-vertical-relative:paragraph;z-index:252381184" coordorigin="10646,754" coordsize="0,9" path="m10646,763l10646,754,10646,763xe" filled="true" fillcolor="#d3d3d3" stroked="false">
            <v:path arrowok="t"/>
            <v:fill type="solid"/>
            <w10:wrap type="none"/>
          </v:shape>
        </w:pict>
      </w:r>
      <w:r>
        <w:rPr/>
        <w:pict>
          <v:shape style="position:absolute;margin-left:532.305481pt;margin-top:62.059792pt;width:.1pt;height:.45pt;mso-position-horizontal-relative:page;mso-position-vertical-relative:paragraph;z-index:252382208" coordorigin="10646,1241" coordsize="0,9" path="m10646,1249l10646,1241,10646,1249xe" filled="true" fillcolor="#d3d3d3" stroked="false">
            <v:path arrowok="t"/>
            <v:fill type="solid"/>
            <w10:wrap type="none"/>
          </v:shape>
        </w:pict>
      </w:r>
      <w:r>
        <w:rPr/>
        <w:pict>
          <v:shape style="position:absolute;margin-left:532.305481pt;margin-top:70.157494pt;width:.1pt;height:.45pt;mso-position-horizontal-relative:page;mso-position-vertical-relative:paragraph;z-index:252383232" coordorigin="10646,1403" coordsize="0,9" path="m10646,1411l10646,1403,10646,1411xe" filled="true" fillcolor="#d3d3d3" stroked="false">
            <v:path arrowok="t"/>
            <v:fill type="solid"/>
            <w10:wrap type="none"/>
          </v:shape>
        </w:pict>
      </w:r>
      <w:r>
        <w:rPr/>
        <w:pict>
          <v:shape style="position:absolute;margin-left:532.305481pt;margin-top:78.265999pt;width:.1pt;height:.45pt;mso-position-horizontal-relative:page;mso-position-vertical-relative:paragraph;z-index:252384256" coordorigin="10646,1565" coordsize="0,9" path="m10646,1573l10646,1565,10646,1573xe" filled="true" fillcolor="#d3d3d3" stroked="false">
            <v:path arrowok="t"/>
            <v:fill type="solid"/>
            <w10:wrap type="none"/>
          </v:shape>
        </w:pict>
      </w:r>
      <w:r>
        <w:rPr/>
        <w:pict>
          <v:shape style="position:absolute;margin-left:532.305481pt;margin-top:86.379898pt;width:.1pt;height:.45pt;mso-position-horizontal-relative:page;mso-position-vertical-relative:paragraph;z-index:252385280" coordorigin="10646,1728" coordsize="0,9" path="m10646,1736l10646,1728,10646,1736xe" filled="true" fillcolor="#d3d3d3" stroked="false">
            <v:path arrowok="t"/>
            <v:fill type="solid"/>
            <w10:wrap type="none"/>
          </v:shape>
        </w:pict>
      </w:r>
      <w:r>
        <w:rPr/>
        <w:pict>
          <v:shape style="position:absolute;margin-left:532.305481pt;margin-top:94.488396pt;width:.1pt;height:.45pt;mso-position-horizontal-relative:page;mso-position-vertical-relative:paragraph;z-index:252386304" coordorigin="10646,1890" coordsize="0,9" path="m10646,1898l10646,1890,10646,1898xe" filled="true" fillcolor="#d3d3d3" stroked="false">
            <v:path arrowok="t"/>
            <v:fill type="solid"/>
            <w10:wrap type="none"/>
          </v:shape>
        </w:pict>
      </w:r>
      <w:r>
        <w:rPr/>
        <w:pict>
          <v:shape style="position:absolute;margin-left:532.305481pt;margin-top:102.586105pt;width:.1pt;height:.45pt;mso-position-horizontal-relative:page;mso-position-vertical-relative:paragraph;z-index:252387328" coordorigin="10646,2052" coordsize="0,9" path="m10646,2060l10646,2052,10646,2060xe" filled="true" fillcolor="#d3d3d3" stroked="false">
            <v:path arrowok="t"/>
            <v:fill type="solid"/>
            <w10:wrap type="none"/>
          </v:shape>
        </w:pict>
      </w:r>
      <w:r>
        <w:rPr/>
        <w:pict>
          <v:shape style="position:absolute;margin-left:532.305481pt;margin-top:110.700005pt;width:.1pt;height:.45pt;mso-position-horizontal-relative:page;mso-position-vertical-relative:paragraph;z-index:252388352" coordorigin="10646,2214" coordsize="0,9" path="m10646,2222l10646,2214,10646,2222xe" filled="true" fillcolor="#d3d3d3" stroked="false">
            <v:path arrowok="t"/>
            <v:fill type="solid"/>
            <w10:wrap type="none"/>
          </v:shape>
        </w:pict>
      </w:r>
      <w:r>
        <w:rPr/>
        <w:pict>
          <v:shape style="position:absolute;margin-left:532.305481pt;margin-top:143.128616pt;width:.1pt;height:.45pt;mso-position-horizontal-relative:page;mso-position-vertical-relative:paragraph;z-index:252389376" coordorigin="10646,2863" coordsize="0,9" path="m10646,2871l10646,2863,10646,2871xe" filled="true" fillcolor="#d3d3d3" stroked="false">
            <v:path arrowok="t"/>
            <v:fill type="solid"/>
            <w10:wrap type="none"/>
          </v:shape>
        </w:pict>
      </w:r>
      <w:r>
        <w:rPr/>
        <w:pict>
          <v:shape style="position:absolute;margin-left:532.305481pt;margin-top:151.242508pt;width:.1pt;height:.45pt;mso-position-horizontal-relative:page;mso-position-vertical-relative:paragraph;z-index:252390400" coordorigin="10646,3025" coordsize="0,9" path="m10646,3033l10646,3025,10646,3033xe" filled="true" fillcolor="#d3d3d3" stroked="false">
            <v:path arrowok="t"/>
            <v:fill type="solid"/>
            <w10:wrap type="none"/>
          </v:shape>
        </w:pict>
      </w:r>
      <w:r>
        <w:rPr/>
        <w:pict>
          <v:shape style="position:absolute;margin-left:532.305481pt;margin-top:159.351013pt;width:.1pt;height:.45pt;mso-position-horizontal-relative:page;mso-position-vertical-relative:paragraph;z-index:252391424" coordorigin="10646,3187" coordsize="0,9" path="m10646,3195l10646,3187,10646,3195xe" filled="true" fillcolor="#d3d3d3" stroked="false">
            <v:path arrowok="t"/>
            <v:fill type="solid"/>
            <w10:wrap type="none"/>
          </v:shape>
        </w:pict>
      </w:r>
      <w:r>
        <w:rPr/>
        <w:pict>
          <v:shape style="position:absolute;margin-left:532.305481pt;margin-top:167.448715pt;width:.1pt;height:.45pt;mso-position-horizontal-relative:page;mso-position-vertical-relative:paragraph;z-index:252392448" coordorigin="10646,3349" coordsize="0,9" path="m10646,3357l10646,3349,10646,3357xe" filled="true" fillcolor="#d3d3d3" stroked="false">
            <v:path arrowok="t"/>
            <v:fill type="solid"/>
            <w10:wrap type="none"/>
          </v:shape>
        </w:pict>
      </w:r>
      <w:r>
        <w:rPr/>
        <w:pict>
          <v:shape style="position:absolute;margin-left:532.305481pt;margin-top:175.562622pt;width:.1pt;height:.45pt;mso-position-horizontal-relative:page;mso-position-vertical-relative:paragraph;z-index:252393472" coordorigin="10646,3511" coordsize="0,9" path="m10646,3519l10646,3511,10646,3519xe" filled="true" fillcolor="#d3d3d3" stroked="false">
            <v:path arrowok="t"/>
            <v:fill type="solid"/>
            <w10:wrap type="none"/>
          </v:shape>
        </w:pict>
      </w:r>
      <w:bookmarkStart w:name="_bookmark111" w:id="136"/>
      <w:bookmarkEnd w:id="136"/>
      <w:r>
        <w:rPr/>
      </w:r>
      <w:r>
        <w:rPr>
          <w:b/>
          <w:i/>
          <w:sz w:val="20"/>
        </w:rPr>
        <w:t>Tabla 7. </w:t>
      </w:r>
      <w:r>
        <w:rPr>
          <w:b/>
          <w:sz w:val="20"/>
        </w:rPr>
        <w:t>Indicadores económicos seleccionados</w:t>
      </w:r>
    </w:p>
    <w:tbl>
      <w:tblPr>
        <w:tblW w:w="0" w:type="auto"/>
        <w:jc w:val="left"/>
        <w:tblInd w:w="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0"/>
        <w:gridCol w:w="838"/>
        <w:gridCol w:w="706"/>
        <w:gridCol w:w="631"/>
        <w:gridCol w:w="881"/>
        <w:gridCol w:w="707"/>
        <w:gridCol w:w="707"/>
        <w:gridCol w:w="612"/>
        <w:gridCol w:w="706"/>
        <w:gridCol w:w="751"/>
      </w:tblGrid>
      <w:tr>
        <w:trPr>
          <w:trHeight w:val="322" w:hRule="atLeast"/>
        </w:trPr>
        <w:tc>
          <w:tcPr>
            <w:tcW w:w="2290" w:type="dxa"/>
            <w:tcBorders>
              <w:top w:val="single" w:sz="4" w:space="0" w:color="000000"/>
              <w:left w:val="single" w:sz="4" w:space="0" w:color="000000"/>
            </w:tcBorders>
          </w:tcPr>
          <w:p>
            <w:pPr>
              <w:pStyle w:val="TableParagraph"/>
              <w:rPr>
                <w:sz w:val="16"/>
              </w:rPr>
            </w:pPr>
          </w:p>
        </w:tc>
        <w:tc>
          <w:tcPr>
            <w:tcW w:w="838" w:type="dxa"/>
            <w:tcBorders>
              <w:top w:val="single" w:sz="4" w:space="0" w:color="000000"/>
            </w:tcBorders>
          </w:tcPr>
          <w:p>
            <w:pPr>
              <w:pStyle w:val="TableParagraph"/>
              <w:rPr>
                <w:sz w:val="16"/>
              </w:rPr>
            </w:pPr>
          </w:p>
        </w:tc>
        <w:tc>
          <w:tcPr>
            <w:tcW w:w="706" w:type="dxa"/>
            <w:tcBorders>
              <w:top w:val="single" w:sz="4" w:space="0" w:color="000000"/>
            </w:tcBorders>
          </w:tcPr>
          <w:p>
            <w:pPr>
              <w:pStyle w:val="TableParagraph"/>
              <w:rPr>
                <w:sz w:val="16"/>
              </w:rPr>
            </w:pPr>
          </w:p>
        </w:tc>
        <w:tc>
          <w:tcPr>
            <w:tcW w:w="3538" w:type="dxa"/>
            <w:gridSpan w:val="5"/>
            <w:tcBorders>
              <w:top w:val="single" w:sz="4" w:space="0" w:color="000000"/>
            </w:tcBorders>
          </w:tcPr>
          <w:p>
            <w:pPr>
              <w:pStyle w:val="TableParagraph"/>
              <w:spacing w:before="9"/>
              <w:rPr>
                <w:b/>
                <w:sz w:val="14"/>
              </w:rPr>
            </w:pPr>
          </w:p>
          <w:p>
            <w:pPr>
              <w:pStyle w:val="TableParagraph"/>
              <w:spacing w:line="132" w:lineRule="exact"/>
              <w:ind w:right="413"/>
              <w:jc w:val="right"/>
              <w:rPr>
                <w:b/>
                <w:sz w:val="12"/>
              </w:rPr>
            </w:pPr>
            <w:r>
              <w:rPr>
                <w:b/>
                <w:w w:val="110"/>
                <w:sz w:val="12"/>
              </w:rPr>
              <w:t>Proyecciones</w:t>
            </w:r>
          </w:p>
        </w:tc>
        <w:tc>
          <w:tcPr>
            <w:tcW w:w="706" w:type="dxa"/>
            <w:tcBorders>
              <w:top w:val="single" w:sz="4" w:space="0" w:color="000000"/>
            </w:tcBorders>
          </w:tcPr>
          <w:p>
            <w:pPr>
              <w:pStyle w:val="TableParagraph"/>
              <w:rPr>
                <w:sz w:val="16"/>
              </w:rPr>
            </w:pPr>
          </w:p>
        </w:tc>
        <w:tc>
          <w:tcPr>
            <w:tcW w:w="751" w:type="dxa"/>
            <w:tcBorders>
              <w:top w:val="single" w:sz="4" w:space="0" w:color="000000"/>
              <w:right w:val="single" w:sz="4" w:space="0" w:color="000000"/>
            </w:tcBorders>
          </w:tcPr>
          <w:p>
            <w:pPr>
              <w:pStyle w:val="TableParagraph"/>
              <w:spacing w:before="3"/>
              <w:rPr>
                <w:b/>
                <w:sz w:val="13"/>
              </w:rPr>
            </w:pPr>
          </w:p>
          <w:p>
            <w:pPr>
              <w:pStyle w:val="TableParagraph"/>
              <w:spacing w:line="20" w:lineRule="exact"/>
              <w:ind w:left="758" w:right="-87"/>
              <w:rPr>
                <w:sz w:val="2"/>
              </w:rPr>
            </w:pPr>
            <w:r>
              <w:rPr>
                <w:sz w:val="2"/>
              </w:rPr>
              <w:pict>
                <v:group style="width:.1pt;height:.45pt;mso-position-horizontal-relative:char;mso-position-vertical-relative:line" coordorigin="0,0" coordsize="2,9">
                  <v:shape style="position:absolute;left:0;top:0;width:2;height:9" coordorigin="0,0" coordsize="0,9" path="m0,8l0,0,0,8xe" filled="true" fillcolor="#d3d3d3" stroked="false">
                    <v:path arrowok="t"/>
                    <v:fill type="solid"/>
                  </v:shape>
                </v:group>
              </w:pict>
            </w:r>
            <w:r>
              <w:rPr>
                <w:sz w:val="2"/>
              </w:rPr>
            </w:r>
          </w:p>
          <w:p>
            <w:pPr>
              <w:pStyle w:val="TableParagraph"/>
              <w:spacing w:before="4"/>
              <w:rPr>
                <w:b/>
                <w:sz w:val="12"/>
              </w:rPr>
            </w:pPr>
          </w:p>
          <w:p>
            <w:pPr>
              <w:pStyle w:val="TableParagraph"/>
              <w:spacing w:line="20" w:lineRule="exact"/>
              <w:ind w:left="758" w:right="-87"/>
              <w:rPr>
                <w:sz w:val="2"/>
              </w:rPr>
            </w:pPr>
            <w:r>
              <w:rPr>
                <w:sz w:val="2"/>
              </w:rPr>
              <w:pict>
                <v:group style="width:.1pt;height:.45pt;mso-position-horizontal-relative:char;mso-position-vertical-relative:line" coordorigin="0,0" coordsize="2,9">
                  <v:shape style="position:absolute;left:0;top:0;width:2;height:9" coordorigin="0,0" coordsize="0,9" path="m0,8l0,0,0,8xe" filled="true" fillcolor="#d3d3d3" stroked="false">
                    <v:path arrowok="t"/>
                    <v:fill type="solid"/>
                  </v:shape>
                </v:group>
              </w:pict>
            </w:r>
            <w:r>
              <w:rPr>
                <w:sz w:val="2"/>
              </w:rPr>
            </w:r>
          </w:p>
        </w:tc>
      </w:tr>
      <w:tr>
        <w:trPr>
          <w:trHeight w:val="230" w:hRule="atLeast"/>
        </w:trPr>
        <w:tc>
          <w:tcPr>
            <w:tcW w:w="2290" w:type="dxa"/>
            <w:tcBorders>
              <w:left w:val="single" w:sz="4" w:space="0" w:color="000000"/>
            </w:tcBorders>
          </w:tcPr>
          <w:p>
            <w:pPr>
              <w:pStyle w:val="TableParagraph"/>
              <w:rPr>
                <w:sz w:val="16"/>
              </w:rPr>
            </w:pPr>
          </w:p>
        </w:tc>
        <w:tc>
          <w:tcPr>
            <w:tcW w:w="838" w:type="dxa"/>
          </w:tcPr>
          <w:p>
            <w:pPr>
              <w:pStyle w:val="TableParagraph"/>
              <w:spacing w:line="136" w:lineRule="exact"/>
              <w:ind w:right="86"/>
              <w:jc w:val="right"/>
              <w:rPr>
                <w:b/>
                <w:sz w:val="12"/>
              </w:rPr>
            </w:pPr>
            <w:r>
              <w:rPr>
                <w:b/>
                <w:w w:val="105"/>
                <w:sz w:val="12"/>
              </w:rPr>
              <w:t>2019</w:t>
            </w:r>
          </w:p>
        </w:tc>
        <w:tc>
          <w:tcPr>
            <w:tcW w:w="706" w:type="dxa"/>
          </w:tcPr>
          <w:p>
            <w:pPr>
              <w:pStyle w:val="TableParagraph"/>
              <w:spacing w:line="136" w:lineRule="exact"/>
              <w:ind w:right="85"/>
              <w:jc w:val="right"/>
              <w:rPr>
                <w:b/>
                <w:sz w:val="12"/>
              </w:rPr>
            </w:pPr>
            <w:r>
              <w:rPr>
                <w:b/>
                <w:w w:val="105"/>
                <w:sz w:val="12"/>
              </w:rPr>
              <w:t>2020</w:t>
            </w:r>
          </w:p>
        </w:tc>
        <w:tc>
          <w:tcPr>
            <w:tcW w:w="3538" w:type="dxa"/>
            <w:gridSpan w:val="5"/>
          </w:tcPr>
          <w:p>
            <w:pPr>
              <w:pStyle w:val="TableParagraph"/>
              <w:tabs>
                <w:tab w:pos="1049" w:val="left" w:leader="none"/>
                <w:tab w:pos="1755" w:val="left" w:leader="none"/>
                <w:tab w:pos="2461" w:val="left" w:leader="none"/>
                <w:tab w:pos="3167" w:val="left" w:leader="none"/>
              </w:tabs>
              <w:spacing w:line="136" w:lineRule="exact"/>
              <w:ind w:left="343"/>
              <w:rPr>
                <w:b/>
                <w:sz w:val="12"/>
              </w:rPr>
            </w:pPr>
            <w:r>
              <w:rPr>
                <w:b/>
                <w:spacing w:val="3"/>
                <w:w w:val="110"/>
                <w:sz w:val="12"/>
              </w:rPr>
              <w:t>2021</w:t>
              <w:tab/>
              <w:t>2022</w:t>
              <w:tab/>
              <w:t>2023</w:t>
              <w:tab/>
              <w:t>2024</w:t>
              <w:tab/>
            </w:r>
            <w:r>
              <w:rPr>
                <w:b/>
                <w:spacing w:val="4"/>
                <w:w w:val="110"/>
                <w:sz w:val="12"/>
              </w:rPr>
              <w:t>2025</w:t>
            </w:r>
          </w:p>
        </w:tc>
        <w:tc>
          <w:tcPr>
            <w:tcW w:w="706" w:type="dxa"/>
          </w:tcPr>
          <w:p>
            <w:pPr>
              <w:pStyle w:val="TableParagraph"/>
              <w:spacing w:line="136" w:lineRule="exact"/>
              <w:ind w:right="92"/>
              <w:jc w:val="right"/>
              <w:rPr>
                <w:b/>
                <w:sz w:val="12"/>
              </w:rPr>
            </w:pPr>
            <w:r>
              <w:rPr>
                <w:b/>
                <w:w w:val="105"/>
                <w:sz w:val="12"/>
              </w:rPr>
              <w:t>2026</w:t>
            </w:r>
          </w:p>
        </w:tc>
        <w:tc>
          <w:tcPr>
            <w:tcW w:w="751" w:type="dxa"/>
            <w:tcBorders>
              <w:right w:val="single" w:sz="4" w:space="0" w:color="000000"/>
            </w:tcBorders>
          </w:tcPr>
          <w:p>
            <w:pPr>
              <w:pStyle w:val="TableParagraph"/>
              <w:spacing w:line="136" w:lineRule="exact"/>
              <w:ind w:right="132"/>
              <w:jc w:val="right"/>
              <w:rPr>
                <w:b/>
                <w:sz w:val="12"/>
              </w:rPr>
            </w:pPr>
            <w:r>
              <w:rPr>
                <w:b/>
                <w:w w:val="105"/>
                <w:sz w:val="12"/>
              </w:rPr>
              <w:t>2027</w:t>
            </w:r>
          </w:p>
        </w:tc>
      </w:tr>
      <w:tr>
        <w:trPr>
          <w:trHeight w:val="243" w:hRule="atLeast"/>
        </w:trPr>
        <w:tc>
          <w:tcPr>
            <w:tcW w:w="2290" w:type="dxa"/>
            <w:tcBorders>
              <w:left w:val="single" w:sz="4" w:space="0" w:color="000000"/>
            </w:tcBorders>
          </w:tcPr>
          <w:p>
            <w:pPr>
              <w:pStyle w:val="TableParagraph"/>
              <w:spacing w:line="132" w:lineRule="exact" w:before="91"/>
              <w:ind w:left="150"/>
              <w:rPr>
                <w:b/>
                <w:sz w:val="12"/>
              </w:rPr>
            </w:pPr>
            <w:r>
              <w:rPr>
                <w:b/>
                <w:w w:val="110"/>
                <w:sz w:val="12"/>
              </w:rPr>
              <w:t>Sector real</w:t>
            </w:r>
          </w:p>
        </w:tc>
        <w:tc>
          <w:tcPr>
            <w:tcW w:w="838" w:type="dxa"/>
          </w:tcPr>
          <w:p>
            <w:pPr>
              <w:pStyle w:val="TableParagraph"/>
              <w:rPr>
                <w:sz w:val="16"/>
              </w:rPr>
            </w:pPr>
          </w:p>
        </w:tc>
        <w:tc>
          <w:tcPr>
            <w:tcW w:w="706" w:type="dxa"/>
          </w:tcPr>
          <w:p>
            <w:pPr>
              <w:pStyle w:val="TableParagraph"/>
              <w:rPr>
                <w:sz w:val="16"/>
              </w:rPr>
            </w:pPr>
          </w:p>
        </w:tc>
        <w:tc>
          <w:tcPr>
            <w:tcW w:w="3538" w:type="dxa"/>
            <w:gridSpan w:val="5"/>
          </w:tcPr>
          <w:p>
            <w:pPr>
              <w:pStyle w:val="TableParagraph"/>
              <w:spacing w:line="132" w:lineRule="exact" w:before="91"/>
              <w:ind w:left="489"/>
              <w:rPr>
                <w:sz w:val="12"/>
              </w:rPr>
            </w:pPr>
            <w:r>
              <w:rPr>
                <w:w w:val="110"/>
                <w:sz w:val="12"/>
              </w:rPr>
              <w:t>Porcentajes, a menos que se indique lo contrario</w:t>
            </w:r>
          </w:p>
        </w:tc>
        <w:tc>
          <w:tcPr>
            <w:tcW w:w="706" w:type="dxa"/>
          </w:tcPr>
          <w:p>
            <w:pPr>
              <w:pStyle w:val="TableParagraph"/>
              <w:rPr>
                <w:sz w:val="16"/>
              </w:rPr>
            </w:pPr>
          </w:p>
        </w:tc>
        <w:tc>
          <w:tcPr>
            <w:tcW w:w="751" w:type="dxa"/>
            <w:tcBorders>
              <w:right w:val="single" w:sz="4" w:space="0" w:color="000000"/>
            </w:tcBorders>
          </w:tcPr>
          <w:p>
            <w:pPr>
              <w:pStyle w:val="TableParagraph"/>
              <w:spacing w:before="4"/>
              <w:rPr>
                <w:b/>
                <w:sz w:val="6"/>
              </w:rPr>
            </w:pPr>
          </w:p>
          <w:p>
            <w:pPr>
              <w:pStyle w:val="TableParagraph"/>
              <w:spacing w:line="20" w:lineRule="exact"/>
              <w:ind w:left="758" w:right="-87"/>
              <w:rPr>
                <w:sz w:val="2"/>
              </w:rPr>
            </w:pPr>
            <w:r>
              <w:rPr>
                <w:sz w:val="2"/>
              </w:rPr>
              <w:pict>
                <v:group style="width:.1pt;height:.45pt;mso-position-horizontal-relative:char;mso-position-vertical-relative:line" coordorigin="0,0" coordsize="2,9">
                  <v:shape style="position:absolute;left:0;top:0;width:2;height:9" coordorigin="0,0" coordsize="0,9" path="m0,8l0,0,0,8xe" filled="true" fillcolor="#d3d3d3" stroked="false">
                    <v:path arrowok="t"/>
                    <v:fill type="solid"/>
                  </v:shape>
                </v:group>
              </w:pict>
            </w:r>
            <w:r>
              <w:rPr>
                <w:sz w:val="2"/>
              </w:rPr>
            </w:r>
          </w:p>
          <w:p>
            <w:pPr>
              <w:pStyle w:val="TableParagraph"/>
              <w:spacing w:before="4"/>
              <w:rPr>
                <w:b/>
                <w:sz w:val="12"/>
              </w:rPr>
            </w:pPr>
          </w:p>
          <w:p>
            <w:pPr>
              <w:pStyle w:val="TableParagraph"/>
              <w:spacing w:line="20" w:lineRule="exact"/>
              <w:ind w:left="758" w:right="-87"/>
              <w:rPr>
                <w:sz w:val="2"/>
              </w:rPr>
            </w:pPr>
            <w:r>
              <w:rPr>
                <w:sz w:val="2"/>
              </w:rPr>
              <w:pict>
                <v:group style="width:.1pt;height:.45pt;mso-position-horizontal-relative:char;mso-position-vertical-relative:line" coordorigin="0,0" coordsize="2,9">
                  <v:shape style="position:absolute;left:0;top:0;width:2;height:9" coordorigin="0,0" coordsize="0,9" path="m0,8l0,0,0,8xe" filled="true" fillcolor="#d3d3d3" stroked="false">
                    <v:path arrowok="t"/>
                    <v:fill type="solid"/>
                  </v:shape>
                </v:group>
              </w:pict>
            </w:r>
            <w:r>
              <w:rPr>
                <w:sz w:val="2"/>
              </w:rPr>
            </w:r>
          </w:p>
        </w:tc>
      </w:tr>
      <w:tr>
        <w:trPr>
          <w:trHeight w:val="150" w:hRule="atLeast"/>
        </w:trPr>
        <w:tc>
          <w:tcPr>
            <w:tcW w:w="2290" w:type="dxa"/>
            <w:tcBorders>
              <w:left w:val="single" w:sz="4" w:space="0" w:color="000000"/>
            </w:tcBorders>
          </w:tcPr>
          <w:p>
            <w:pPr>
              <w:pStyle w:val="TableParagraph"/>
              <w:spacing w:line="130" w:lineRule="exact"/>
              <w:ind w:left="150"/>
              <w:rPr>
                <w:sz w:val="12"/>
              </w:rPr>
            </w:pPr>
            <w:r>
              <w:rPr>
                <w:w w:val="110"/>
                <w:sz w:val="12"/>
              </w:rPr>
              <w:t>PIB nominal (en millones de Q.)</w:t>
            </w:r>
          </w:p>
        </w:tc>
        <w:tc>
          <w:tcPr>
            <w:tcW w:w="838" w:type="dxa"/>
          </w:tcPr>
          <w:p>
            <w:pPr>
              <w:pStyle w:val="TableParagraph"/>
              <w:spacing w:line="130" w:lineRule="exact"/>
              <w:ind w:right="116"/>
              <w:jc w:val="right"/>
              <w:rPr>
                <w:sz w:val="12"/>
              </w:rPr>
            </w:pPr>
            <w:r>
              <w:rPr>
                <w:w w:val="105"/>
                <w:sz w:val="12"/>
              </w:rPr>
              <w:t>593,957.6</w:t>
            </w:r>
          </w:p>
        </w:tc>
        <w:tc>
          <w:tcPr>
            <w:tcW w:w="706" w:type="dxa"/>
          </w:tcPr>
          <w:p>
            <w:pPr>
              <w:pStyle w:val="TableParagraph"/>
              <w:spacing w:line="130" w:lineRule="exact"/>
              <w:ind w:right="115"/>
              <w:jc w:val="right"/>
              <w:rPr>
                <w:sz w:val="12"/>
              </w:rPr>
            </w:pPr>
            <w:r>
              <w:rPr>
                <w:w w:val="105"/>
                <w:sz w:val="12"/>
              </w:rPr>
              <w:t>599,400.7</w:t>
            </w:r>
          </w:p>
        </w:tc>
        <w:tc>
          <w:tcPr>
            <w:tcW w:w="3538" w:type="dxa"/>
            <w:gridSpan w:val="5"/>
          </w:tcPr>
          <w:p>
            <w:pPr>
              <w:pStyle w:val="TableParagraph"/>
              <w:tabs>
                <w:tab w:pos="808" w:val="left" w:leader="none"/>
                <w:tab w:pos="1514" w:val="left" w:leader="none"/>
                <w:tab w:pos="2220" w:val="left" w:leader="none"/>
                <w:tab w:pos="2926" w:val="left" w:leader="none"/>
              </w:tabs>
              <w:spacing w:line="130" w:lineRule="exact"/>
              <w:ind w:left="102"/>
              <w:rPr>
                <w:sz w:val="12"/>
              </w:rPr>
            </w:pPr>
            <w:r>
              <w:rPr>
                <w:spacing w:val="-4"/>
                <w:w w:val="110"/>
                <w:sz w:val="12"/>
              </w:rPr>
              <w:t>665,048.2</w:t>
              <w:tab/>
              <w:t>709,829.8</w:t>
              <w:tab/>
              <w:t>755,122.2</w:t>
              <w:tab/>
              <w:t>801,981.8</w:t>
              <w:tab/>
              <w:t>851,908.5</w:t>
            </w:r>
          </w:p>
        </w:tc>
        <w:tc>
          <w:tcPr>
            <w:tcW w:w="706" w:type="dxa"/>
          </w:tcPr>
          <w:p>
            <w:pPr>
              <w:pStyle w:val="TableParagraph"/>
              <w:spacing w:line="130" w:lineRule="exact"/>
              <w:ind w:right="122"/>
              <w:jc w:val="right"/>
              <w:rPr>
                <w:sz w:val="12"/>
              </w:rPr>
            </w:pPr>
            <w:r>
              <w:rPr>
                <w:w w:val="105"/>
                <w:sz w:val="12"/>
              </w:rPr>
              <w:t>906,567.0</w:t>
            </w:r>
          </w:p>
        </w:tc>
        <w:tc>
          <w:tcPr>
            <w:tcW w:w="751" w:type="dxa"/>
            <w:tcBorders>
              <w:right w:val="single" w:sz="4" w:space="0" w:color="000000"/>
            </w:tcBorders>
          </w:tcPr>
          <w:p>
            <w:pPr>
              <w:pStyle w:val="TableParagraph"/>
              <w:spacing w:line="130" w:lineRule="exact"/>
              <w:ind w:right="162"/>
              <w:jc w:val="right"/>
              <w:rPr>
                <w:sz w:val="12"/>
              </w:rPr>
            </w:pPr>
            <w:r>
              <w:rPr>
                <w:w w:val="105"/>
                <w:sz w:val="12"/>
              </w:rPr>
              <w:t>964,774.1</w:t>
            </w:r>
          </w:p>
        </w:tc>
      </w:tr>
      <w:tr>
        <w:trPr>
          <w:trHeight w:val="162" w:hRule="atLeast"/>
        </w:trPr>
        <w:tc>
          <w:tcPr>
            <w:tcW w:w="2290" w:type="dxa"/>
            <w:tcBorders>
              <w:left w:val="single" w:sz="4" w:space="0" w:color="000000"/>
            </w:tcBorders>
          </w:tcPr>
          <w:p>
            <w:pPr>
              <w:pStyle w:val="TableParagraph"/>
              <w:spacing w:line="132" w:lineRule="exact" w:before="10"/>
              <w:ind w:left="150"/>
              <w:rPr>
                <w:sz w:val="12"/>
              </w:rPr>
            </w:pPr>
            <w:r>
              <w:rPr>
                <w:w w:val="110"/>
                <w:sz w:val="12"/>
              </w:rPr>
              <w:t>PIB real (en millones de Q.)</w:t>
            </w:r>
          </w:p>
        </w:tc>
        <w:tc>
          <w:tcPr>
            <w:tcW w:w="838" w:type="dxa"/>
          </w:tcPr>
          <w:p>
            <w:pPr>
              <w:pStyle w:val="TableParagraph"/>
              <w:spacing w:line="132" w:lineRule="exact" w:before="10"/>
              <w:ind w:right="116"/>
              <w:jc w:val="right"/>
              <w:rPr>
                <w:sz w:val="12"/>
              </w:rPr>
            </w:pPr>
            <w:r>
              <w:rPr>
                <w:w w:val="105"/>
                <w:sz w:val="12"/>
              </w:rPr>
              <w:t>515,273.1</w:t>
            </w:r>
          </w:p>
        </w:tc>
        <w:tc>
          <w:tcPr>
            <w:tcW w:w="706" w:type="dxa"/>
          </w:tcPr>
          <w:p>
            <w:pPr>
              <w:pStyle w:val="TableParagraph"/>
              <w:spacing w:line="132" w:lineRule="exact" w:before="10"/>
              <w:ind w:right="115"/>
              <w:jc w:val="right"/>
              <w:rPr>
                <w:sz w:val="12"/>
              </w:rPr>
            </w:pPr>
            <w:r>
              <w:rPr>
                <w:w w:val="105"/>
                <w:sz w:val="12"/>
              </w:rPr>
              <w:t>506,183.2</w:t>
            </w:r>
          </w:p>
        </w:tc>
        <w:tc>
          <w:tcPr>
            <w:tcW w:w="3538" w:type="dxa"/>
            <w:gridSpan w:val="5"/>
          </w:tcPr>
          <w:p>
            <w:pPr>
              <w:pStyle w:val="TableParagraph"/>
              <w:tabs>
                <w:tab w:pos="808" w:val="left" w:leader="none"/>
                <w:tab w:pos="1514" w:val="left" w:leader="none"/>
                <w:tab w:pos="2220" w:val="left" w:leader="none"/>
                <w:tab w:pos="2926" w:val="left" w:leader="none"/>
              </w:tabs>
              <w:spacing w:line="132" w:lineRule="exact" w:before="10"/>
              <w:ind w:left="102"/>
              <w:rPr>
                <w:sz w:val="12"/>
              </w:rPr>
            </w:pPr>
            <w:r>
              <w:rPr>
                <w:spacing w:val="-4"/>
                <w:w w:val="110"/>
                <w:sz w:val="12"/>
              </w:rPr>
              <w:t>546,580.6</w:t>
              <w:tab/>
              <w:t>563,011.5</w:t>
              <w:tab/>
              <w:t>582,516.8</w:t>
              <w:tab/>
              <w:t>603,583.0</w:t>
              <w:tab/>
              <w:t>625,430.2</w:t>
            </w:r>
          </w:p>
        </w:tc>
        <w:tc>
          <w:tcPr>
            <w:tcW w:w="706" w:type="dxa"/>
          </w:tcPr>
          <w:p>
            <w:pPr>
              <w:pStyle w:val="TableParagraph"/>
              <w:spacing w:line="132" w:lineRule="exact" w:before="10"/>
              <w:ind w:right="122"/>
              <w:jc w:val="right"/>
              <w:rPr>
                <w:sz w:val="12"/>
              </w:rPr>
            </w:pPr>
            <w:r>
              <w:rPr>
                <w:w w:val="105"/>
                <w:sz w:val="12"/>
              </w:rPr>
              <w:t>648,701.1</w:t>
            </w:r>
          </w:p>
        </w:tc>
        <w:tc>
          <w:tcPr>
            <w:tcW w:w="751" w:type="dxa"/>
            <w:tcBorders>
              <w:right w:val="single" w:sz="4" w:space="0" w:color="000000"/>
            </w:tcBorders>
          </w:tcPr>
          <w:p>
            <w:pPr>
              <w:pStyle w:val="TableParagraph"/>
              <w:spacing w:line="132" w:lineRule="exact" w:before="10"/>
              <w:ind w:right="162"/>
              <w:jc w:val="right"/>
              <w:rPr>
                <w:sz w:val="12"/>
              </w:rPr>
            </w:pPr>
            <w:r>
              <w:rPr>
                <w:w w:val="105"/>
                <w:sz w:val="12"/>
              </w:rPr>
              <w:t>672,831.4</w:t>
            </w:r>
          </w:p>
        </w:tc>
      </w:tr>
      <w:tr>
        <w:trPr>
          <w:trHeight w:val="162" w:hRule="atLeast"/>
        </w:trPr>
        <w:tc>
          <w:tcPr>
            <w:tcW w:w="2290" w:type="dxa"/>
            <w:tcBorders>
              <w:left w:val="single" w:sz="4" w:space="0" w:color="000000"/>
            </w:tcBorders>
          </w:tcPr>
          <w:p>
            <w:pPr>
              <w:pStyle w:val="TableParagraph"/>
              <w:spacing w:line="132" w:lineRule="exact" w:before="10"/>
              <w:ind w:left="150"/>
              <w:rPr>
                <w:sz w:val="12"/>
              </w:rPr>
            </w:pPr>
            <w:r>
              <w:rPr>
                <w:w w:val="110"/>
                <w:sz w:val="12"/>
              </w:rPr>
              <w:t>PIB percapita (en Q.)</w:t>
            </w:r>
          </w:p>
        </w:tc>
        <w:tc>
          <w:tcPr>
            <w:tcW w:w="838" w:type="dxa"/>
          </w:tcPr>
          <w:p>
            <w:pPr>
              <w:pStyle w:val="TableParagraph"/>
              <w:spacing w:line="132" w:lineRule="exact" w:before="10"/>
              <w:ind w:right="115"/>
              <w:jc w:val="right"/>
              <w:rPr>
                <w:sz w:val="12"/>
              </w:rPr>
            </w:pPr>
            <w:r>
              <w:rPr>
                <w:w w:val="105"/>
                <w:sz w:val="12"/>
              </w:rPr>
              <w:t>31,033.0</w:t>
            </w:r>
          </w:p>
        </w:tc>
        <w:tc>
          <w:tcPr>
            <w:tcW w:w="706" w:type="dxa"/>
          </w:tcPr>
          <w:p>
            <w:pPr>
              <w:pStyle w:val="TableParagraph"/>
              <w:spacing w:line="132" w:lineRule="exact" w:before="10"/>
              <w:ind w:right="115"/>
              <w:jc w:val="right"/>
              <w:rPr>
                <w:sz w:val="12"/>
              </w:rPr>
            </w:pPr>
            <w:r>
              <w:rPr>
                <w:w w:val="105"/>
                <w:sz w:val="12"/>
              </w:rPr>
              <w:t>35,555.2</w:t>
            </w:r>
          </w:p>
        </w:tc>
        <w:tc>
          <w:tcPr>
            <w:tcW w:w="3538" w:type="dxa"/>
            <w:gridSpan w:val="5"/>
          </w:tcPr>
          <w:p>
            <w:pPr>
              <w:pStyle w:val="TableParagraph"/>
              <w:tabs>
                <w:tab w:pos="868" w:val="left" w:leader="none"/>
                <w:tab w:pos="1574" w:val="left" w:leader="none"/>
                <w:tab w:pos="2280" w:val="left" w:leader="none"/>
                <w:tab w:pos="2987" w:val="left" w:leader="none"/>
              </w:tabs>
              <w:spacing w:line="132" w:lineRule="exact" w:before="10"/>
              <w:ind w:left="162"/>
              <w:rPr>
                <w:sz w:val="12"/>
              </w:rPr>
            </w:pPr>
            <w:r>
              <w:rPr>
                <w:spacing w:val="-4"/>
                <w:w w:val="110"/>
                <w:sz w:val="12"/>
              </w:rPr>
              <w:t>38,869.6</w:t>
              <w:tab/>
              <w:t>40,893.8</w:t>
              <w:tab/>
              <w:t>42,898.7</w:t>
              <w:tab/>
              <w:t>44,946.2</w:t>
              <w:tab/>
              <w:t>47,119.3</w:t>
            </w:r>
          </w:p>
        </w:tc>
        <w:tc>
          <w:tcPr>
            <w:tcW w:w="706" w:type="dxa"/>
          </w:tcPr>
          <w:p>
            <w:pPr>
              <w:pStyle w:val="TableParagraph"/>
              <w:spacing w:line="132" w:lineRule="exact" w:before="10"/>
              <w:ind w:right="122"/>
              <w:jc w:val="right"/>
              <w:rPr>
                <w:sz w:val="12"/>
              </w:rPr>
            </w:pPr>
            <w:r>
              <w:rPr>
                <w:w w:val="105"/>
                <w:sz w:val="12"/>
              </w:rPr>
              <w:t>49,505.7</w:t>
            </w:r>
          </w:p>
        </w:tc>
        <w:tc>
          <w:tcPr>
            <w:tcW w:w="751" w:type="dxa"/>
            <w:tcBorders>
              <w:right w:val="single" w:sz="4" w:space="0" w:color="000000"/>
            </w:tcBorders>
          </w:tcPr>
          <w:p>
            <w:pPr>
              <w:pStyle w:val="TableParagraph"/>
              <w:spacing w:line="132" w:lineRule="exact" w:before="10"/>
              <w:ind w:right="162"/>
              <w:jc w:val="right"/>
              <w:rPr>
                <w:sz w:val="12"/>
              </w:rPr>
            </w:pPr>
            <w:r>
              <w:rPr>
                <w:w w:val="105"/>
                <w:sz w:val="12"/>
              </w:rPr>
              <w:t>52,035.3</w:t>
            </w:r>
          </w:p>
        </w:tc>
      </w:tr>
      <w:tr>
        <w:trPr>
          <w:trHeight w:val="162" w:hRule="atLeast"/>
        </w:trPr>
        <w:tc>
          <w:tcPr>
            <w:tcW w:w="2290" w:type="dxa"/>
            <w:tcBorders>
              <w:left w:val="single" w:sz="4" w:space="0" w:color="000000"/>
            </w:tcBorders>
          </w:tcPr>
          <w:p>
            <w:pPr>
              <w:pStyle w:val="TableParagraph"/>
              <w:spacing w:line="132" w:lineRule="exact" w:before="10"/>
              <w:ind w:left="150"/>
              <w:rPr>
                <w:sz w:val="12"/>
              </w:rPr>
            </w:pPr>
            <w:r>
              <w:rPr>
                <w:w w:val="110"/>
                <w:sz w:val="12"/>
              </w:rPr>
              <w:t>Crecimiento del PIB nominal</w:t>
            </w:r>
          </w:p>
        </w:tc>
        <w:tc>
          <w:tcPr>
            <w:tcW w:w="838" w:type="dxa"/>
          </w:tcPr>
          <w:p>
            <w:pPr>
              <w:pStyle w:val="TableParagraph"/>
              <w:spacing w:line="132" w:lineRule="exact" w:before="10"/>
              <w:ind w:right="115"/>
              <w:jc w:val="right"/>
              <w:rPr>
                <w:sz w:val="12"/>
              </w:rPr>
            </w:pPr>
            <w:r>
              <w:rPr>
                <w:w w:val="105"/>
                <w:sz w:val="12"/>
              </w:rPr>
              <w:t>7.7</w:t>
            </w:r>
          </w:p>
        </w:tc>
        <w:tc>
          <w:tcPr>
            <w:tcW w:w="706" w:type="dxa"/>
          </w:tcPr>
          <w:p>
            <w:pPr>
              <w:pStyle w:val="TableParagraph"/>
              <w:spacing w:line="132" w:lineRule="exact" w:before="10"/>
              <w:ind w:right="115"/>
              <w:jc w:val="right"/>
              <w:rPr>
                <w:sz w:val="12"/>
              </w:rPr>
            </w:pPr>
            <w:r>
              <w:rPr>
                <w:w w:val="105"/>
                <w:sz w:val="12"/>
              </w:rPr>
              <w:t>0.9</w:t>
            </w:r>
          </w:p>
        </w:tc>
        <w:tc>
          <w:tcPr>
            <w:tcW w:w="3538" w:type="dxa"/>
            <w:gridSpan w:val="5"/>
          </w:tcPr>
          <w:p>
            <w:pPr>
              <w:pStyle w:val="TableParagraph"/>
              <w:tabs>
                <w:tab w:pos="1170" w:val="left" w:leader="none"/>
                <w:tab w:pos="1876" w:val="left" w:leader="none"/>
                <w:tab w:pos="2582" w:val="left" w:leader="none"/>
                <w:tab w:pos="3288" w:val="left" w:leader="none"/>
              </w:tabs>
              <w:spacing w:line="132" w:lineRule="exact" w:before="10"/>
              <w:ind w:left="368"/>
              <w:rPr>
                <w:sz w:val="12"/>
              </w:rPr>
            </w:pPr>
            <w:r>
              <w:rPr>
                <w:spacing w:val="-3"/>
                <w:w w:val="110"/>
                <w:sz w:val="12"/>
              </w:rPr>
              <w:t>11.0</w:t>
              <w:tab/>
            </w:r>
            <w:r>
              <w:rPr>
                <w:w w:val="110"/>
                <w:sz w:val="12"/>
              </w:rPr>
              <w:t>6.7</w:t>
              <w:tab/>
              <w:t>5.4</w:t>
              <w:tab/>
              <w:t>5.2</w:t>
              <w:tab/>
              <w:t>5.2</w:t>
            </w:r>
          </w:p>
        </w:tc>
        <w:tc>
          <w:tcPr>
            <w:tcW w:w="706" w:type="dxa"/>
          </w:tcPr>
          <w:p>
            <w:pPr>
              <w:pStyle w:val="TableParagraph"/>
              <w:spacing w:line="132" w:lineRule="exact" w:before="10"/>
              <w:ind w:right="87"/>
              <w:jc w:val="right"/>
              <w:rPr>
                <w:sz w:val="12"/>
              </w:rPr>
            </w:pPr>
            <w:r>
              <w:rPr>
                <w:w w:val="105"/>
                <w:sz w:val="12"/>
              </w:rPr>
              <w:t>5.4</w:t>
            </w:r>
          </w:p>
        </w:tc>
        <w:tc>
          <w:tcPr>
            <w:tcW w:w="751" w:type="dxa"/>
            <w:tcBorders>
              <w:right w:val="single" w:sz="4" w:space="0" w:color="000000"/>
            </w:tcBorders>
          </w:tcPr>
          <w:p>
            <w:pPr>
              <w:pStyle w:val="TableParagraph"/>
              <w:spacing w:line="132" w:lineRule="exact" w:before="10"/>
              <w:ind w:right="127"/>
              <w:jc w:val="right"/>
              <w:rPr>
                <w:sz w:val="12"/>
              </w:rPr>
            </w:pPr>
            <w:r>
              <w:rPr>
                <w:w w:val="105"/>
                <w:sz w:val="12"/>
              </w:rPr>
              <w:t>5.4</w:t>
            </w:r>
          </w:p>
        </w:tc>
      </w:tr>
      <w:tr>
        <w:trPr>
          <w:trHeight w:val="162" w:hRule="atLeast"/>
        </w:trPr>
        <w:tc>
          <w:tcPr>
            <w:tcW w:w="2290" w:type="dxa"/>
            <w:tcBorders>
              <w:left w:val="single" w:sz="4" w:space="0" w:color="000000"/>
            </w:tcBorders>
          </w:tcPr>
          <w:p>
            <w:pPr>
              <w:pStyle w:val="TableParagraph"/>
              <w:spacing w:line="132" w:lineRule="exact" w:before="10"/>
              <w:ind w:left="150"/>
              <w:rPr>
                <w:sz w:val="12"/>
              </w:rPr>
            </w:pPr>
            <w:r>
              <w:rPr>
                <w:w w:val="110"/>
                <w:sz w:val="12"/>
              </w:rPr>
              <w:t>Crecimiento del PIB (%)</w:t>
            </w:r>
          </w:p>
        </w:tc>
        <w:tc>
          <w:tcPr>
            <w:tcW w:w="838" w:type="dxa"/>
          </w:tcPr>
          <w:p>
            <w:pPr>
              <w:pStyle w:val="TableParagraph"/>
              <w:spacing w:line="132" w:lineRule="exact" w:before="10"/>
              <w:ind w:right="115"/>
              <w:jc w:val="right"/>
              <w:rPr>
                <w:sz w:val="12"/>
              </w:rPr>
            </w:pPr>
            <w:r>
              <w:rPr>
                <w:w w:val="105"/>
                <w:sz w:val="12"/>
              </w:rPr>
              <w:t>4.0</w:t>
            </w:r>
          </w:p>
        </w:tc>
        <w:tc>
          <w:tcPr>
            <w:tcW w:w="706" w:type="dxa"/>
          </w:tcPr>
          <w:p>
            <w:pPr>
              <w:pStyle w:val="TableParagraph"/>
              <w:spacing w:line="132" w:lineRule="exact" w:before="10"/>
              <w:ind w:right="115"/>
              <w:jc w:val="right"/>
              <w:rPr>
                <w:sz w:val="12"/>
              </w:rPr>
            </w:pPr>
            <w:r>
              <w:rPr>
                <w:w w:val="105"/>
                <w:sz w:val="12"/>
              </w:rPr>
              <w:t>-1.8</w:t>
            </w:r>
          </w:p>
        </w:tc>
        <w:tc>
          <w:tcPr>
            <w:tcW w:w="3538" w:type="dxa"/>
            <w:gridSpan w:val="5"/>
          </w:tcPr>
          <w:p>
            <w:pPr>
              <w:pStyle w:val="TableParagraph"/>
              <w:tabs>
                <w:tab w:pos="1135" w:val="left" w:leader="none"/>
                <w:tab w:pos="1841" w:val="left" w:leader="none"/>
                <w:tab w:pos="2547" w:val="left" w:leader="none"/>
                <w:tab w:pos="3254" w:val="left" w:leader="none"/>
              </w:tabs>
              <w:spacing w:line="132" w:lineRule="exact" w:before="10"/>
              <w:ind w:left="429"/>
              <w:rPr>
                <w:sz w:val="12"/>
              </w:rPr>
            </w:pPr>
            <w:r>
              <w:rPr>
                <w:w w:val="110"/>
                <w:sz w:val="12"/>
              </w:rPr>
              <w:t>8.0</w:t>
              <w:tab/>
              <w:t>3.0</w:t>
              <w:tab/>
              <w:t>2.5</w:t>
              <w:tab/>
              <w:t>2.6</w:t>
              <w:tab/>
              <w:t>2.6</w:t>
            </w:r>
          </w:p>
        </w:tc>
        <w:tc>
          <w:tcPr>
            <w:tcW w:w="706" w:type="dxa"/>
          </w:tcPr>
          <w:p>
            <w:pPr>
              <w:pStyle w:val="TableParagraph"/>
              <w:spacing w:line="132" w:lineRule="exact" w:before="10"/>
              <w:ind w:right="122"/>
              <w:jc w:val="right"/>
              <w:rPr>
                <w:sz w:val="12"/>
              </w:rPr>
            </w:pPr>
            <w:r>
              <w:rPr>
                <w:w w:val="105"/>
                <w:sz w:val="12"/>
              </w:rPr>
              <w:t>2.7</w:t>
            </w:r>
          </w:p>
        </w:tc>
        <w:tc>
          <w:tcPr>
            <w:tcW w:w="751" w:type="dxa"/>
            <w:tcBorders>
              <w:right w:val="single" w:sz="4" w:space="0" w:color="000000"/>
            </w:tcBorders>
          </w:tcPr>
          <w:p>
            <w:pPr>
              <w:pStyle w:val="TableParagraph"/>
              <w:spacing w:line="132" w:lineRule="exact" w:before="10"/>
              <w:ind w:right="162"/>
              <w:jc w:val="right"/>
              <w:rPr>
                <w:sz w:val="12"/>
              </w:rPr>
            </w:pPr>
            <w:r>
              <w:rPr>
                <w:w w:val="105"/>
                <w:sz w:val="12"/>
              </w:rPr>
              <w:t>2.7</w:t>
            </w:r>
          </w:p>
        </w:tc>
      </w:tr>
      <w:tr>
        <w:trPr>
          <w:trHeight w:val="162" w:hRule="atLeast"/>
        </w:trPr>
        <w:tc>
          <w:tcPr>
            <w:tcW w:w="2290" w:type="dxa"/>
            <w:tcBorders>
              <w:left w:val="single" w:sz="4" w:space="0" w:color="000000"/>
            </w:tcBorders>
          </w:tcPr>
          <w:p>
            <w:pPr>
              <w:pStyle w:val="TableParagraph"/>
              <w:spacing w:line="132" w:lineRule="exact" w:before="10"/>
              <w:ind w:left="150"/>
              <w:rPr>
                <w:sz w:val="12"/>
              </w:rPr>
            </w:pPr>
            <w:r>
              <w:rPr>
                <w:w w:val="110"/>
                <w:sz w:val="12"/>
              </w:rPr>
              <w:t>Crecimiento del consumo privado real</w:t>
            </w:r>
          </w:p>
        </w:tc>
        <w:tc>
          <w:tcPr>
            <w:tcW w:w="838" w:type="dxa"/>
          </w:tcPr>
          <w:p>
            <w:pPr>
              <w:pStyle w:val="TableParagraph"/>
              <w:spacing w:line="132" w:lineRule="exact" w:before="10"/>
              <w:ind w:right="115"/>
              <w:jc w:val="right"/>
              <w:rPr>
                <w:sz w:val="12"/>
              </w:rPr>
            </w:pPr>
            <w:r>
              <w:rPr>
                <w:w w:val="105"/>
                <w:sz w:val="12"/>
              </w:rPr>
              <w:t>4.7</w:t>
            </w:r>
          </w:p>
        </w:tc>
        <w:tc>
          <w:tcPr>
            <w:tcW w:w="706" w:type="dxa"/>
          </w:tcPr>
          <w:p>
            <w:pPr>
              <w:pStyle w:val="TableParagraph"/>
              <w:spacing w:line="132" w:lineRule="exact" w:before="10"/>
              <w:ind w:right="115"/>
              <w:jc w:val="right"/>
              <w:rPr>
                <w:sz w:val="12"/>
              </w:rPr>
            </w:pPr>
            <w:r>
              <w:rPr>
                <w:w w:val="105"/>
                <w:sz w:val="12"/>
              </w:rPr>
              <w:t>-1.4</w:t>
            </w:r>
          </w:p>
        </w:tc>
        <w:tc>
          <w:tcPr>
            <w:tcW w:w="3538" w:type="dxa"/>
            <w:gridSpan w:val="5"/>
          </w:tcPr>
          <w:p>
            <w:pPr>
              <w:pStyle w:val="TableParagraph"/>
              <w:tabs>
                <w:tab w:pos="1135" w:val="left" w:leader="none"/>
                <w:tab w:pos="1841" w:val="left" w:leader="none"/>
                <w:tab w:pos="2547" w:val="left" w:leader="none"/>
                <w:tab w:pos="3254" w:val="left" w:leader="none"/>
              </w:tabs>
              <w:spacing w:line="132" w:lineRule="exact" w:before="10"/>
              <w:ind w:left="429"/>
              <w:rPr>
                <w:sz w:val="12"/>
              </w:rPr>
            </w:pPr>
            <w:r>
              <w:rPr>
                <w:w w:val="110"/>
                <w:sz w:val="12"/>
              </w:rPr>
              <w:t>8.9</w:t>
              <w:tab/>
              <w:t>3.1</w:t>
              <w:tab/>
              <w:t>2.7</w:t>
              <w:tab/>
              <w:t>2.9</w:t>
              <w:tab/>
              <w:t>4.0</w:t>
            </w:r>
          </w:p>
        </w:tc>
        <w:tc>
          <w:tcPr>
            <w:tcW w:w="706" w:type="dxa"/>
          </w:tcPr>
          <w:p>
            <w:pPr>
              <w:pStyle w:val="TableParagraph"/>
              <w:spacing w:line="132" w:lineRule="exact" w:before="10"/>
              <w:ind w:right="122"/>
              <w:jc w:val="right"/>
              <w:rPr>
                <w:sz w:val="12"/>
              </w:rPr>
            </w:pPr>
            <w:r>
              <w:rPr>
                <w:w w:val="105"/>
                <w:sz w:val="12"/>
              </w:rPr>
              <w:t>4.1</w:t>
            </w:r>
          </w:p>
        </w:tc>
        <w:tc>
          <w:tcPr>
            <w:tcW w:w="751" w:type="dxa"/>
            <w:tcBorders>
              <w:right w:val="single" w:sz="4" w:space="0" w:color="000000"/>
            </w:tcBorders>
          </w:tcPr>
          <w:p>
            <w:pPr>
              <w:pStyle w:val="TableParagraph"/>
              <w:spacing w:line="132" w:lineRule="exact" w:before="10"/>
              <w:ind w:right="162"/>
              <w:jc w:val="right"/>
              <w:rPr>
                <w:sz w:val="12"/>
              </w:rPr>
            </w:pPr>
            <w:r>
              <w:rPr>
                <w:w w:val="105"/>
                <w:sz w:val="12"/>
              </w:rPr>
              <w:t>4.1</w:t>
            </w:r>
          </w:p>
        </w:tc>
      </w:tr>
      <w:tr>
        <w:trPr>
          <w:trHeight w:val="243" w:hRule="atLeast"/>
        </w:trPr>
        <w:tc>
          <w:tcPr>
            <w:tcW w:w="2290" w:type="dxa"/>
            <w:tcBorders>
              <w:left w:val="single" w:sz="4" w:space="0" w:color="000000"/>
            </w:tcBorders>
          </w:tcPr>
          <w:p>
            <w:pPr>
              <w:pStyle w:val="TableParagraph"/>
              <w:spacing w:before="10"/>
              <w:ind w:left="150"/>
              <w:rPr>
                <w:sz w:val="12"/>
              </w:rPr>
            </w:pPr>
            <w:r>
              <w:rPr>
                <w:w w:val="110"/>
                <w:sz w:val="12"/>
              </w:rPr>
              <w:t>Ahorro/PIB</w:t>
            </w:r>
          </w:p>
        </w:tc>
        <w:tc>
          <w:tcPr>
            <w:tcW w:w="838" w:type="dxa"/>
          </w:tcPr>
          <w:p>
            <w:pPr>
              <w:pStyle w:val="TableParagraph"/>
              <w:spacing w:before="10"/>
              <w:ind w:right="116"/>
              <w:jc w:val="right"/>
              <w:rPr>
                <w:sz w:val="12"/>
              </w:rPr>
            </w:pPr>
            <w:r>
              <w:rPr>
                <w:w w:val="105"/>
                <w:sz w:val="12"/>
              </w:rPr>
              <w:t>16.6</w:t>
            </w:r>
          </w:p>
        </w:tc>
        <w:tc>
          <w:tcPr>
            <w:tcW w:w="706" w:type="dxa"/>
          </w:tcPr>
          <w:p>
            <w:pPr>
              <w:pStyle w:val="TableParagraph"/>
              <w:spacing w:before="10"/>
              <w:ind w:right="115"/>
              <w:jc w:val="right"/>
              <w:rPr>
                <w:sz w:val="12"/>
              </w:rPr>
            </w:pPr>
            <w:r>
              <w:rPr>
                <w:w w:val="105"/>
                <w:sz w:val="12"/>
              </w:rPr>
              <w:t>18.2</w:t>
            </w:r>
          </w:p>
        </w:tc>
        <w:tc>
          <w:tcPr>
            <w:tcW w:w="3538" w:type="dxa"/>
            <w:gridSpan w:val="5"/>
          </w:tcPr>
          <w:p>
            <w:pPr>
              <w:pStyle w:val="TableParagraph"/>
              <w:tabs>
                <w:tab w:pos="1075" w:val="left" w:leader="none"/>
                <w:tab w:pos="1781" w:val="left" w:leader="none"/>
                <w:tab w:pos="2487" w:val="left" w:leader="none"/>
                <w:tab w:pos="3193" w:val="left" w:leader="none"/>
              </w:tabs>
              <w:spacing w:before="10"/>
              <w:ind w:left="368"/>
              <w:rPr>
                <w:sz w:val="12"/>
              </w:rPr>
            </w:pPr>
            <w:r>
              <w:rPr>
                <w:spacing w:val="-3"/>
                <w:w w:val="110"/>
                <w:sz w:val="12"/>
              </w:rPr>
              <w:t>19.4</w:t>
              <w:tab/>
              <w:t>19.7</w:t>
              <w:tab/>
              <w:t>19.7</w:t>
              <w:tab/>
              <w:t>19.6</w:t>
              <w:tab/>
              <w:t>19.5</w:t>
            </w:r>
          </w:p>
        </w:tc>
        <w:tc>
          <w:tcPr>
            <w:tcW w:w="706" w:type="dxa"/>
          </w:tcPr>
          <w:p>
            <w:pPr>
              <w:pStyle w:val="TableParagraph"/>
              <w:spacing w:before="10"/>
              <w:ind w:right="122"/>
              <w:jc w:val="right"/>
              <w:rPr>
                <w:sz w:val="12"/>
              </w:rPr>
            </w:pPr>
            <w:r>
              <w:rPr>
                <w:w w:val="105"/>
                <w:sz w:val="12"/>
              </w:rPr>
              <w:t>19.4</w:t>
            </w:r>
          </w:p>
        </w:tc>
        <w:tc>
          <w:tcPr>
            <w:tcW w:w="751" w:type="dxa"/>
            <w:tcBorders>
              <w:right w:val="single" w:sz="4" w:space="0" w:color="000000"/>
            </w:tcBorders>
          </w:tcPr>
          <w:p>
            <w:pPr>
              <w:pStyle w:val="TableParagraph"/>
              <w:spacing w:before="10"/>
              <w:ind w:right="162"/>
              <w:jc w:val="right"/>
              <w:rPr>
                <w:sz w:val="12"/>
              </w:rPr>
            </w:pPr>
            <w:r>
              <w:rPr>
                <w:w w:val="105"/>
                <w:sz w:val="12"/>
              </w:rPr>
              <w:t>19.5</w:t>
            </w:r>
          </w:p>
        </w:tc>
      </w:tr>
      <w:tr>
        <w:trPr>
          <w:trHeight w:val="401" w:hRule="atLeast"/>
        </w:trPr>
        <w:tc>
          <w:tcPr>
            <w:tcW w:w="2290" w:type="dxa"/>
            <w:tcBorders>
              <w:left w:val="single" w:sz="4" w:space="0" w:color="000000"/>
            </w:tcBorders>
          </w:tcPr>
          <w:p>
            <w:pPr>
              <w:pStyle w:val="TableParagraph"/>
              <w:spacing w:before="91"/>
              <w:ind w:left="150"/>
              <w:rPr>
                <w:b/>
                <w:sz w:val="12"/>
              </w:rPr>
            </w:pPr>
            <w:r>
              <w:rPr>
                <w:b/>
                <w:w w:val="110"/>
                <w:sz w:val="12"/>
              </w:rPr>
              <w:t>Indicadores del sector externo</w:t>
            </w:r>
          </w:p>
        </w:tc>
        <w:tc>
          <w:tcPr>
            <w:tcW w:w="838" w:type="dxa"/>
          </w:tcPr>
          <w:p>
            <w:pPr>
              <w:pStyle w:val="TableParagraph"/>
              <w:rPr>
                <w:sz w:val="16"/>
              </w:rPr>
            </w:pPr>
          </w:p>
        </w:tc>
        <w:tc>
          <w:tcPr>
            <w:tcW w:w="706" w:type="dxa"/>
          </w:tcPr>
          <w:p>
            <w:pPr>
              <w:pStyle w:val="TableParagraph"/>
              <w:rPr>
                <w:sz w:val="16"/>
              </w:rPr>
            </w:pPr>
          </w:p>
        </w:tc>
        <w:tc>
          <w:tcPr>
            <w:tcW w:w="3538" w:type="dxa"/>
            <w:gridSpan w:val="5"/>
          </w:tcPr>
          <w:p>
            <w:pPr>
              <w:pStyle w:val="TableParagraph"/>
              <w:spacing w:before="91"/>
              <w:ind w:left="300"/>
              <w:rPr>
                <w:sz w:val="12"/>
              </w:rPr>
            </w:pPr>
            <w:r>
              <w:rPr>
                <w:w w:val="110"/>
                <w:sz w:val="12"/>
              </w:rPr>
              <w:t>Porcentaje del PIB, a menos que se indique lo contrario</w:t>
            </w:r>
          </w:p>
        </w:tc>
        <w:tc>
          <w:tcPr>
            <w:tcW w:w="706" w:type="dxa"/>
          </w:tcPr>
          <w:p>
            <w:pPr>
              <w:pStyle w:val="TableParagraph"/>
              <w:rPr>
                <w:sz w:val="16"/>
              </w:rPr>
            </w:pPr>
          </w:p>
        </w:tc>
        <w:tc>
          <w:tcPr>
            <w:tcW w:w="751" w:type="dxa"/>
            <w:tcBorders>
              <w:right w:val="single" w:sz="4" w:space="0" w:color="000000"/>
            </w:tcBorders>
          </w:tcPr>
          <w:p>
            <w:pPr>
              <w:pStyle w:val="TableParagraph"/>
              <w:spacing w:before="4"/>
              <w:rPr>
                <w:b/>
                <w:sz w:val="6"/>
              </w:rPr>
            </w:pPr>
          </w:p>
          <w:p>
            <w:pPr>
              <w:pStyle w:val="TableParagraph"/>
              <w:spacing w:line="20" w:lineRule="exact"/>
              <w:ind w:left="758" w:right="-87"/>
              <w:rPr>
                <w:sz w:val="2"/>
              </w:rPr>
            </w:pPr>
            <w:r>
              <w:rPr>
                <w:sz w:val="2"/>
              </w:rPr>
              <w:pict>
                <v:group style="width:.1pt;height:.45pt;mso-position-horizontal-relative:char;mso-position-vertical-relative:line" coordorigin="0,0" coordsize="2,9">
                  <v:shape style="position:absolute;left:0;top:0;width:2;height:9" coordorigin="0,0" coordsize="0,9" path="m0,8l0,0,0,8xe" filled="true" fillcolor="#d3d3d3" stroked="false">
                    <v:path arrowok="t"/>
                    <v:fill type="solid"/>
                  </v:shape>
                </v:group>
              </w:pict>
            </w:r>
            <w:r>
              <w:rPr>
                <w:sz w:val="2"/>
              </w:rPr>
            </w:r>
          </w:p>
          <w:p>
            <w:pPr>
              <w:pStyle w:val="TableParagraph"/>
              <w:spacing w:before="4" w:after="1"/>
              <w:rPr>
                <w:b/>
                <w:sz w:val="12"/>
              </w:rPr>
            </w:pPr>
          </w:p>
          <w:p>
            <w:pPr>
              <w:pStyle w:val="TableParagraph"/>
              <w:spacing w:line="20" w:lineRule="exact"/>
              <w:ind w:left="758" w:right="-87"/>
              <w:rPr>
                <w:sz w:val="2"/>
              </w:rPr>
            </w:pPr>
            <w:r>
              <w:rPr>
                <w:sz w:val="2"/>
              </w:rPr>
              <w:pict>
                <v:group style="width:.1pt;height:.45pt;mso-position-horizontal-relative:char;mso-position-vertical-relative:line" coordorigin="0,0" coordsize="2,9">
                  <v:shape style="position:absolute;left:0;top:0;width:2;height:9" coordorigin="0,0" coordsize="0,9" path="m0,8l0,0,0,8xe" filled="true" fillcolor="#d3d3d3" stroked="false">
                    <v:path arrowok="t"/>
                    <v:fill type="solid"/>
                  </v:shape>
                </v:group>
              </w:pict>
            </w:r>
            <w:r>
              <w:rPr>
                <w:sz w:val="2"/>
              </w:rPr>
            </w:r>
          </w:p>
        </w:tc>
      </w:tr>
      <w:tr>
        <w:trPr>
          <w:trHeight w:val="165" w:hRule="atLeast"/>
        </w:trPr>
        <w:tc>
          <w:tcPr>
            <w:tcW w:w="2290" w:type="dxa"/>
            <w:tcBorders>
              <w:left w:val="single" w:sz="4" w:space="0" w:color="000000"/>
            </w:tcBorders>
          </w:tcPr>
          <w:p>
            <w:pPr>
              <w:pStyle w:val="TableParagraph"/>
              <w:spacing w:line="132" w:lineRule="exact" w:before="13"/>
              <w:ind w:left="150"/>
              <w:rPr>
                <w:sz w:val="12"/>
              </w:rPr>
            </w:pPr>
            <w:r>
              <w:rPr>
                <w:w w:val="110"/>
                <w:sz w:val="12"/>
              </w:rPr>
              <w:t>Cuenta corriente</w:t>
            </w:r>
          </w:p>
        </w:tc>
        <w:tc>
          <w:tcPr>
            <w:tcW w:w="838" w:type="dxa"/>
          </w:tcPr>
          <w:p>
            <w:pPr>
              <w:pStyle w:val="TableParagraph"/>
              <w:spacing w:line="132" w:lineRule="exact" w:before="13"/>
              <w:ind w:right="115"/>
              <w:jc w:val="right"/>
              <w:rPr>
                <w:sz w:val="12"/>
              </w:rPr>
            </w:pPr>
            <w:r>
              <w:rPr>
                <w:w w:val="105"/>
                <w:sz w:val="12"/>
              </w:rPr>
              <w:t>2.4</w:t>
            </w:r>
          </w:p>
        </w:tc>
        <w:tc>
          <w:tcPr>
            <w:tcW w:w="706" w:type="dxa"/>
          </w:tcPr>
          <w:p>
            <w:pPr>
              <w:pStyle w:val="TableParagraph"/>
              <w:spacing w:line="132" w:lineRule="exact" w:before="13"/>
              <w:ind w:right="115"/>
              <w:jc w:val="right"/>
              <w:rPr>
                <w:sz w:val="12"/>
              </w:rPr>
            </w:pPr>
            <w:r>
              <w:rPr>
                <w:w w:val="105"/>
                <w:sz w:val="12"/>
              </w:rPr>
              <w:t>4.9</w:t>
            </w:r>
          </w:p>
        </w:tc>
        <w:tc>
          <w:tcPr>
            <w:tcW w:w="631" w:type="dxa"/>
          </w:tcPr>
          <w:p>
            <w:pPr>
              <w:pStyle w:val="TableParagraph"/>
              <w:spacing w:line="132" w:lineRule="exact" w:before="13"/>
              <w:ind w:right="40"/>
              <w:jc w:val="right"/>
              <w:rPr>
                <w:sz w:val="12"/>
              </w:rPr>
            </w:pPr>
            <w:r>
              <w:rPr>
                <w:w w:val="105"/>
                <w:sz w:val="12"/>
              </w:rPr>
              <w:t>2.5</w:t>
            </w:r>
          </w:p>
        </w:tc>
        <w:tc>
          <w:tcPr>
            <w:tcW w:w="881" w:type="dxa"/>
            <w:shd w:val="clear" w:color="auto" w:fill="ECECEC"/>
          </w:tcPr>
          <w:p>
            <w:pPr>
              <w:pStyle w:val="TableParagraph"/>
              <w:spacing w:line="132" w:lineRule="exact" w:before="13"/>
              <w:ind w:right="215"/>
              <w:jc w:val="right"/>
              <w:rPr>
                <w:sz w:val="12"/>
              </w:rPr>
            </w:pPr>
            <w:r>
              <w:rPr>
                <w:w w:val="105"/>
                <w:sz w:val="12"/>
              </w:rPr>
              <w:t>1.2</w:t>
            </w:r>
          </w:p>
        </w:tc>
        <w:tc>
          <w:tcPr>
            <w:tcW w:w="707" w:type="dxa"/>
            <w:shd w:val="clear" w:color="auto" w:fill="ECECEC"/>
          </w:tcPr>
          <w:p>
            <w:pPr>
              <w:pStyle w:val="TableParagraph"/>
              <w:spacing w:line="132" w:lineRule="exact" w:before="13"/>
              <w:ind w:left="199" w:right="88"/>
              <w:jc w:val="center"/>
              <w:rPr>
                <w:sz w:val="12"/>
              </w:rPr>
            </w:pPr>
            <w:r>
              <w:rPr>
                <w:w w:val="110"/>
                <w:sz w:val="12"/>
              </w:rPr>
              <w:t>0.8</w:t>
            </w:r>
          </w:p>
        </w:tc>
        <w:tc>
          <w:tcPr>
            <w:tcW w:w="707" w:type="dxa"/>
            <w:shd w:val="clear" w:color="auto" w:fill="ECECEC"/>
          </w:tcPr>
          <w:p>
            <w:pPr>
              <w:pStyle w:val="TableParagraph"/>
              <w:spacing w:line="132" w:lineRule="exact" w:before="13"/>
              <w:ind w:left="199" w:right="89"/>
              <w:jc w:val="center"/>
              <w:rPr>
                <w:sz w:val="12"/>
              </w:rPr>
            </w:pPr>
            <w:r>
              <w:rPr>
                <w:w w:val="110"/>
                <w:sz w:val="12"/>
              </w:rPr>
              <w:t>0.6</w:t>
            </w:r>
          </w:p>
        </w:tc>
        <w:tc>
          <w:tcPr>
            <w:tcW w:w="612" w:type="dxa"/>
            <w:shd w:val="clear" w:color="auto" w:fill="ECECEC"/>
          </w:tcPr>
          <w:p>
            <w:pPr>
              <w:pStyle w:val="TableParagraph"/>
              <w:spacing w:line="132" w:lineRule="exact" w:before="13"/>
              <w:ind w:right="122"/>
              <w:jc w:val="right"/>
              <w:rPr>
                <w:sz w:val="12"/>
              </w:rPr>
            </w:pPr>
            <w:r>
              <w:rPr>
                <w:w w:val="105"/>
                <w:sz w:val="12"/>
              </w:rPr>
              <w:t>0.5</w:t>
            </w:r>
          </w:p>
        </w:tc>
        <w:tc>
          <w:tcPr>
            <w:tcW w:w="706" w:type="dxa"/>
            <w:shd w:val="clear" w:color="auto" w:fill="ECECEC"/>
          </w:tcPr>
          <w:p>
            <w:pPr>
              <w:pStyle w:val="TableParagraph"/>
              <w:spacing w:line="132" w:lineRule="exact" w:before="13"/>
              <w:ind w:right="122"/>
              <w:jc w:val="right"/>
              <w:rPr>
                <w:sz w:val="12"/>
              </w:rPr>
            </w:pPr>
            <w:r>
              <w:rPr>
                <w:w w:val="105"/>
                <w:sz w:val="12"/>
              </w:rPr>
              <w:t>0.4</w:t>
            </w:r>
          </w:p>
        </w:tc>
        <w:tc>
          <w:tcPr>
            <w:tcW w:w="751" w:type="dxa"/>
            <w:tcBorders>
              <w:right w:val="single" w:sz="4" w:space="0" w:color="000000"/>
            </w:tcBorders>
            <w:shd w:val="clear" w:color="auto" w:fill="ECECEC"/>
          </w:tcPr>
          <w:p>
            <w:pPr>
              <w:pStyle w:val="TableParagraph"/>
              <w:spacing w:line="132" w:lineRule="exact" w:before="13"/>
              <w:ind w:right="162"/>
              <w:jc w:val="right"/>
              <w:rPr>
                <w:sz w:val="12"/>
              </w:rPr>
            </w:pPr>
            <w:r>
              <w:rPr>
                <w:w w:val="105"/>
                <w:sz w:val="12"/>
              </w:rPr>
              <w:t>0.3</w:t>
            </w:r>
          </w:p>
        </w:tc>
      </w:tr>
      <w:tr>
        <w:trPr>
          <w:trHeight w:val="162" w:hRule="atLeast"/>
        </w:trPr>
        <w:tc>
          <w:tcPr>
            <w:tcW w:w="2290" w:type="dxa"/>
            <w:tcBorders>
              <w:left w:val="single" w:sz="4" w:space="0" w:color="000000"/>
            </w:tcBorders>
          </w:tcPr>
          <w:p>
            <w:pPr>
              <w:pStyle w:val="TableParagraph"/>
              <w:spacing w:line="132" w:lineRule="exact" w:before="10"/>
              <w:ind w:left="150"/>
              <w:rPr>
                <w:sz w:val="12"/>
              </w:rPr>
            </w:pPr>
            <w:r>
              <w:rPr>
                <w:w w:val="110"/>
                <w:sz w:val="12"/>
              </w:rPr>
              <w:t>Balanza comercial</w:t>
            </w:r>
          </w:p>
        </w:tc>
        <w:tc>
          <w:tcPr>
            <w:tcW w:w="838" w:type="dxa"/>
          </w:tcPr>
          <w:p>
            <w:pPr>
              <w:pStyle w:val="TableParagraph"/>
              <w:spacing w:line="132" w:lineRule="exact" w:before="10"/>
              <w:ind w:right="116"/>
              <w:jc w:val="right"/>
              <w:rPr>
                <w:sz w:val="12"/>
              </w:rPr>
            </w:pPr>
            <w:r>
              <w:rPr>
                <w:w w:val="105"/>
                <w:sz w:val="12"/>
              </w:rPr>
              <w:t>-10.3</w:t>
            </w:r>
          </w:p>
        </w:tc>
        <w:tc>
          <w:tcPr>
            <w:tcW w:w="706" w:type="dxa"/>
          </w:tcPr>
          <w:p>
            <w:pPr>
              <w:pStyle w:val="TableParagraph"/>
              <w:spacing w:line="132" w:lineRule="exact" w:before="10"/>
              <w:ind w:right="115"/>
              <w:jc w:val="right"/>
              <w:rPr>
                <w:sz w:val="12"/>
              </w:rPr>
            </w:pPr>
            <w:r>
              <w:rPr>
                <w:w w:val="105"/>
                <w:sz w:val="12"/>
              </w:rPr>
              <w:t>-8.5</w:t>
            </w:r>
          </w:p>
        </w:tc>
        <w:tc>
          <w:tcPr>
            <w:tcW w:w="631" w:type="dxa"/>
          </w:tcPr>
          <w:p>
            <w:pPr>
              <w:pStyle w:val="TableParagraph"/>
              <w:spacing w:line="132" w:lineRule="exact" w:before="10"/>
              <w:ind w:right="40"/>
              <w:jc w:val="right"/>
              <w:rPr>
                <w:sz w:val="12"/>
              </w:rPr>
            </w:pPr>
            <w:r>
              <w:rPr>
                <w:w w:val="105"/>
                <w:sz w:val="12"/>
              </w:rPr>
              <w:t>-14.2</w:t>
            </w:r>
          </w:p>
        </w:tc>
        <w:tc>
          <w:tcPr>
            <w:tcW w:w="881" w:type="dxa"/>
            <w:shd w:val="clear" w:color="auto" w:fill="ECECEC"/>
          </w:tcPr>
          <w:p>
            <w:pPr>
              <w:pStyle w:val="TableParagraph"/>
              <w:spacing w:line="132" w:lineRule="exact" w:before="10"/>
              <w:ind w:right="215"/>
              <w:jc w:val="right"/>
              <w:rPr>
                <w:sz w:val="12"/>
              </w:rPr>
            </w:pPr>
            <w:r>
              <w:rPr>
                <w:w w:val="105"/>
                <w:sz w:val="12"/>
              </w:rPr>
              <w:t>-15.0</w:t>
            </w:r>
          </w:p>
        </w:tc>
        <w:tc>
          <w:tcPr>
            <w:tcW w:w="707" w:type="dxa"/>
            <w:shd w:val="clear" w:color="auto" w:fill="ECECEC"/>
          </w:tcPr>
          <w:p>
            <w:pPr>
              <w:pStyle w:val="TableParagraph"/>
              <w:spacing w:line="132" w:lineRule="exact" w:before="10"/>
              <w:ind w:left="199" w:right="191"/>
              <w:jc w:val="center"/>
              <w:rPr>
                <w:sz w:val="12"/>
              </w:rPr>
            </w:pPr>
            <w:r>
              <w:rPr>
                <w:w w:val="110"/>
                <w:sz w:val="12"/>
              </w:rPr>
              <w:t>-15.4</w:t>
            </w:r>
          </w:p>
        </w:tc>
        <w:tc>
          <w:tcPr>
            <w:tcW w:w="707" w:type="dxa"/>
            <w:shd w:val="clear" w:color="auto" w:fill="ECECEC"/>
          </w:tcPr>
          <w:p>
            <w:pPr>
              <w:pStyle w:val="TableParagraph"/>
              <w:spacing w:line="132" w:lineRule="exact" w:before="10"/>
              <w:ind w:left="198" w:right="192"/>
              <w:jc w:val="center"/>
              <w:rPr>
                <w:sz w:val="12"/>
              </w:rPr>
            </w:pPr>
            <w:r>
              <w:rPr>
                <w:w w:val="110"/>
                <w:sz w:val="12"/>
              </w:rPr>
              <w:t>-15.6</w:t>
            </w:r>
          </w:p>
        </w:tc>
        <w:tc>
          <w:tcPr>
            <w:tcW w:w="612" w:type="dxa"/>
            <w:shd w:val="clear" w:color="auto" w:fill="ECECEC"/>
          </w:tcPr>
          <w:p>
            <w:pPr>
              <w:pStyle w:val="TableParagraph"/>
              <w:spacing w:line="132" w:lineRule="exact" w:before="10"/>
              <w:ind w:right="122"/>
              <w:jc w:val="right"/>
              <w:rPr>
                <w:sz w:val="12"/>
              </w:rPr>
            </w:pPr>
            <w:r>
              <w:rPr>
                <w:w w:val="105"/>
                <w:sz w:val="12"/>
              </w:rPr>
              <w:t>-15.8</w:t>
            </w:r>
          </w:p>
        </w:tc>
        <w:tc>
          <w:tcPr>
            <w:tcW w:w="706" w:type="dxa"/>
            <w:shd w:val="clear" w:color="auto" w:fill="ECECEC"/>
          </w:tcPr>
          <w:p>
            <w:pPr>
              <w:pStyle w:val="TableParagraph"/>
              <w:spacing w:line="132" w:lineRule="exact" w:before="10"/>
              <w:ind w:right="122"/>
              <w:jc w:val="right"/>
              <w:rPr>
                <w:sz w:val="12"/>
              </w:rPr>
            </w:pPr>
            <w:r>
              <w:rPr>
                <w:w w:val="105"/>
                <w:sz w:val="12"/>
              </w:rPr>
              <w:t>-16.0</w:t>
            </w:r>
          </w:p>
        </w:tc>
        <w:tc>
          <w:tcPr>
            <w:tcW w:w="751" w:type="dxa"/>
            <w:tcBorders>
              <w:right w:val="single" w:sz="4" w:space="0" w:color="000000"/>
            </w:tcBorders>
            <w:shd w:val="clear" w:color="auto" w:fill="ECECEC"/>
          </w:tcPr>
          <w:p>
            <w:pPr>
              <w:pStyle w:val="TableParagraph"/>
              <w:spacing w:line="132" w:lineRule="exact" w:before="10"/>
              <w:ind w:right="162"/>
              <w:jc w:val="right"/>
              <w:rPr>
                <w:sz w:val="12"/>
              </w:rPr>
            </w:pPr>
            <w:r>
              <w:rPr>
                <w:w w:val="105"/>
                <w:sz w:val="12"/>
              </w:rPr>
              <w:t>-16.4</w:t>
            </w:r>
          </w:p>
        </w:tc>
      </w:tr>
      <w:tr>
        <w:trPr>
          <w:trHeight w:val="162" w:hRule="atLeast"/>
        </w:trPr>
        <w:tc>
          <w:tcPr>
            <w:tcW w:w="2290" w:type="dxa"/>
            <w:tcBorders>
              <w:left w:val="single" w:sz="4" w:space="0" w:color="000000"/>
            </w:tcBorders>
          </w:tcPr>
          <w:p>
            <w:pPr>
              <w:pStyle w:val="TableParagraph"/>
              <w:spacing w:line="132" w:lineRule="exact" w:before="10"/>
              <w:ind w:left="150"/>
              <w:rPr>
                <w:sz w:val="12"/>
              </w:rPr>
            </w:pPr>
            <w:r>
              <w:rPr>
                <w:w w:val="110"/>
                <w:sz w:val="12"/>
              </w:rPr>
              <w:t>Exportaciones FOB</w:t>
            </w:r>
          </w:p>
        </w:tc>
        <w:tc>
          <w:tcPr>
            <w:tcW w:w="838" w:type="dxa"/>
          </w:tcPr>
          <w:p>
            <w:pPr>
              <w:pStyle w:val="TableParagraph"/>
              <w:spacing w:line="132" w:lineRule="exact" w:before="10"/>
              <w:ind w:right="116"/>
              <w:jc w:val="right"/>
              <w:rPr>
                <w:sz w:val="12"/>
              </w:rPr>
            </w:pPr>
            <w:r>
              <w:rPr>
                <w:w w:val="105"/>
                <w:sz w:val="12"/>
              </w:rPr>
              <w:t>12.9</w:t>
            </w:r>
          </w:p>
        </w:tc>
        <w:tc>
          <w:tcPr>
            <w:tcW w:w="706" w:type="dxa"/>
          </w:tcPr>
          <w:p>
            <w:pPr>
              <w:pStyle w:val="TableParagraph"/>
              <w:spacing w:line="132" w:lineRule="exact" w:before="10"/>
              <w:ind w:right="115"/>
              <w:jc w:val="right"/>
              <w:rPr>
                <w:sz w:val="12"/>
              </w:rPr>
            </w:pPr>
            <w:r>
              <w:rPr>
                <w:w w:val="105"/>
                <w:sz w:val="12"/>
              </w:rPr>
              <w:t>13.0</w:t>
            </w:r>
          </w:p>
        </w:tc>
        <w:tc>
          <w:tcPr>
            <w:tcW w:w="631" w:type="dxa"/>
          </w:tcPr>
          <w:p>
            <w:pPr>
              <w:pStyle w:val="TableParagraph"/>
              <w:spacing w:line="132" w:lineRule="exact" w:before="10"/>
              <w:ind w:right="40"/>
              <w:jc w:val="right"/>
              <w:rPr>
                <w:sz w:val="12"/>
              </w:rPr>
            </w:pPr>
            <w:r>
              <w:rPr>
                <w:w w:val="105"/>
                <w:sz w:val="12"/>
              </w:rPr>
              <w:t>14.4</w:t>
            </w:r>
          </w:p>
        </w:tc>
        <w:tc>
          <w:tcPr>
            <w:tcW w:w="881" w:type="dxa"/>
            <w:shd w:val="clear" w:color="auto" w:fill="ECECEC"/>
          </w:tcPr>
          <w:p>
            <w:pPr>
              <w:pStyle w:val="TableParagraph"/>
              <w:spacing w:line="132" w:lineRule="exact" w:before="10"/>
              <w:ind w:right="215"/>
              <w:jc w:val="right"/>
              <w:rPr>
                <w:sz w:val="12"/>
              </w:rPr>
            </w:pPr>
            <w:r>
              <w:rPr>
                <w:w w:val="105"/>
                <w:sz w:val="12"/>
              </w:rPr>
              <w:t>14.6</w:t>
            </w:r>
          </w:p>
        </w:tc>
        <w:tc>
          <w:tcPr>
            <w:tcW w:w="707" w:type="dxa"/>
            <w:shd w:val="clear" w:color="auto" w:fill="ECECEC"/>
          </w:tcPr>
          <w:p>
            <w:pPr>
              <w:pStyle w:val="TableParagraph"/>
              <w:spacing w:line="132" w:lineRule="exact" w:before="10"/>
              <w:ind w:left="199" w:right="148"/>
              <w:jc w:val="center"/>
              <w:rPr>
                <w:sz w:val="12"/>
              </w:rPr>
            </w:pPr>
            <w:r>
              <w:rPr>
                <w:w w:val="110"/>
                <w:sz w:val="12"/>
              </w:rPr>
              <w:t>14.4</w:t>
            </w:r>
          </w:p>
        </w:tc>
        <w:tc>
          <w:tcPr>
            <w:tcW w:w="707" w:type="dxa"/>
            <w:shd w:val="clear" w:color="auto" w:fill="ECECEC"/>
          </w:tcPr>
          <w:p>
            <w:pPr>
              <w:pStyle w:val="TableParagraph"/>
              <w:spacing w:line="132" w:lineRule="exact" w:before="10"/>
              <w:ind w:left="199" w:right="150"/>
              <w:jc w:val="center"/>
              <w:rPr>
                <w:sz w:val="12"/>
              </w:rPr>
            </w:pPr>
            <w:r>
              <w:rPr>
                <w:w w:val="110"/>
                <w:sz w:val="12"/>
              </w:rPr>
              <w:t>14.0</w:t>
            </w:r>
          </w:p>
        </w:tc>
        <w:tc>
          <w:tcPr>
            <w:tcW w:w="612" w:type="dxa"/>
            <w:shd w:val="clear" w:color="auto" w:fill="ECECEC"/>
          </w:tcPr>
          <w:p>
            <w:pPr>
              <w:pStyle w:val="TableParagraph"/>
              <w:spacing w:line="132" w:lineRule="exact" w:before="10"/>
              <w:ind w:right="122"/>
              <w:jc w:val="right"/>
              <w:rPr>
                <w:sz w:val="12"/>
              </w:rPr>
            </w:pPr>
            <w:r>
              <w:rPr>
                <w:w w:val="105"/>
                <w:sz w:val="12"/>
              </w:rPr>
              <w:t>13.7</w:t>
            </w:r>
          </w:p>
        </w:tc>
        <w:tc>
          <w:tcPr>
            <w:tcW w:w="706" w:type="dxa"/>
            <w:shd w:val="clear" w:color="auto" w:fill="ECECEC"/>
          </w:tcPr>
          <w:p>
            <w:pPr>
              <w:pStyle w:val="TableParagraph"/>
              <w:spacing w:line="132" w:lineRule="exact" w:before="10"/>
              <w:ind w:right="122"/>
              <w:jc w:val="right"/>
              <w:rPr>
                <w:sz w:val="12"/>
              </w:rPr>
            </w:pPr>
            <w:r>
              <w:rPr>
                <w:w w:val="105"/>
                <w:sz w:val="12"/>
              </w:rPr>
              <w:t>13.3</w:t>
            </w:r>
          </w:p>
        </w:tc>
        <w:tc>
          <w:tcPr>
            <w:tcW w:w="751" w:type="dxa"/>
            <w:tcBorders>
              <w:right w:val="single" w:sz="4" w:space="0" w:color="000000"/>
            </w:tcBorders>
            <w:shd w:val="clear" w:color="auto" w:fill="ECECEC"/>
          </w:tcPr>
          <w:p>
            <w:pPr>
              <w:pStyle w:val="TableParagraph"/>
              <w:spacing w:line="132" w:lineRule="exact" w:before="10"/>
              <w:ind w:right="162"/>
              <w:jc w:val="right"/>
              <w:rPr>
                <w:sz w:val="12"/>
              </w:rPr>
            </w:pPr>
            <w:r>
              <w:rPr>
                <w:w w:val="105"/>
                <w:sz w:val="12"/>
              </w:rPr>
              <w:t>13.0</w:t>
            </w:r>
          </w:p>
        </w:tc>
      </w:tr>
      <w:tr>
        <w:trPr>
          <w:trHeight w:val="162" w:hRule="atLeast"/>
        </w:trPr>
        <w:tc>
          <w:tcPr>
            <w:tcW w:w="2290" w:type="dxa"/>
            <w:tcBorders>
              <w:left w:val="single" w:sz="4" w:space="0" w:color="000000"/>
            </w:tcBorders>
          </w:tcPr>
          <w:p>
            <w:pPr>
              <w:pStyle w:val="TableParagraph"/>
              <w:spacing w:line="132" w:lineRule="exact" w:before="10"/>
              <w:ind w:left="150"/>
              <w:rPr>
                <w:sz w:val="12"/>
              </w:rPr>
            </w:pPr>
            <w:r>
              <w:rPr>
                <w:w w:val="110"/>
                <w:sz w:val="12"/>
              </w:rPr>
              <w:t>Exportaciones de servicios</w:t>
            </w:r>
          </w:p>
        </w:tc>
        <w:tc>
          <w:tcPr>
            <w:tcW w:w="838" w:type="dxa"/>
          </w:tcPr>
          <w:p>
            <w:pPr>
              <w:pStyle w:val="TableParagraph"/>
              <w:spacing w:line="132" w:lineRule="exact" w:before="10"/>
              <w:ind w:right="115"/>
              <w:jc w:val="right"/>
              <w:rPr>
                <w:sz w:val="12"/>
              </w:rPr>
            </w:pPr>
            <w:r>
              <w:rPr>
                <w:w w:val="105"/>
                <w:sz w:val="12"/>
              </w:rPr>
              <w:t>4.8</w:t>
            </w:r>
          </w:p>
        </w:tc>
        <w:tc>
          <w:tcPr>
            <w:tcW w:w="706" w:type="dxa"/>
          </w:tcPr>
          <w:p>
            <w:pPr>
              <w:pStyle w:val="TableParagraph"/>
              <w:spacing w:line="132" w:lineRule="exact" w:before="10"/>
              <w:ind w:right="115"/>
              <w:jc w:val="right"/>
              <w:rPr>
                <w:sz w:val="12"/>
              </w:rPr>
            </w:pPr>
            <w:r>
              <w:rPr>
                <w:w w:val="105"/>
                <w:sz w:val="12"/>
              </w:rPr>
              <w:t>3.3</w:t>
            </w:r>
          </w:p>
        </w:tc>
        <w:tc>
          <w:tcPr>
            <w:tcW w:w="631" w:type="dxa"/>
          </w:tcPr>
          <w:p>
            <w:pPr>
              <w:pStyle w:val="TableParagraph"/>
              <w:spacing w:line="132" w:lineRule="exact" w:before="10"/>
              <w:ind w:right="40"/>
              <w:jc w:val="right"/>
              <w:rPr>
                <w:sz w:val="12"/>
              </w:rPr>
            </w:pPr>
            <w:r>
              <w:rPr>
                <w:w w:val="105"/>
                <w:sz w:val="12"/>
              </w:rPr>
              <w:t>3.4</w:t>
            </w:r>
          </w:p>
        </w:tc>
        <w:tc>
          <w:tcPr>
            <w:tcW w:w="881" w:type="dxa"/>
            <w:shd w:val="clear" w:color="auto" w:fill="ECECEC"/>
          </w:tcPr>
          <w:p>
            <w:pPr>
              <w:pStyle w:val="TableParagraph"/>
              <w:spacing w:line="132" w:lineRule="exact" w:before="10"/>
              <w:ind w:right="215"/>
              <w:jc w:val="right"/>
              <w:rPr>
                <w:sz w:val="12"/>
              </w:rPr>
            </w:pPr>
            <w:r>
              <w:rPr>
                <w:w w:val="105"/>
                <w:sz w:val="12"/>
              </w:rPr>
              <w:t>3.3</w:t>
            </w:r>
          </w:p>
        </w:tc>
        <w:tc>
          <w:tcPr>
            <w:tcW w:w="707" w:type="dxa"/>
            <w:shd w:val="clear" w:color="auto" w:fill="ECECEC"/>
          </w:tcPr>
          <w:p>
            <w:pPr>
              <w:pStyle w:val="TableParagraph"/>
              <w:spacing w:line="132" w:lineRule="exact" w:before="10"/>
              <w:ind w:left="199" w:right="88"/>
              <w:jc w:val="center"/>
              <w:rPr>
                <w:sz w:val="12"/>
              </w:rPr>
            </w:pPr>
            <w:r>
              <w:rPr>
                <w:w w:val="110"/>
                <w:sz w:val="12"/>
              </w:rPr>
              <w:t>3.2</w:t>
            </w:r>
          </w:p>
        </w:tc>
        <w:tc>
          <w:tcPr>
            <w:tcW w:w="707" w:type="dxa"/>
            <w:shd w:val="clear" w:color="auto" w:fill="ECECEC"/>
          </w:tcPr>
          <w:p>
            <w:pPr>
              <w:pStyle w:val="TableParagraph"/>
              <w:spacing w:line="132" w:lineRule="exact" w:before="10"/>
              <w:ind w:left="199" w:right="89"/>
              <w:jc w:val="center"/>
              <w:rPr>
                <w:sz w:val="12"/>
              </w:rPr>
            </w:pPr>
            <w:r>
              <w:rPr>
                <w:w w:val="110"/>
                <w:sz w:val="12"/>
              </w:rPr>
              <w:t>3.0</w:t>
            </w:r>
          </w:p>
        </w:tc>
        <w:tc>
          <w:tcPr>
            <w:tcW w:w="612" w:type="dxa"/>
            <w:shd w:val="clear" w:color="auto" w:fill="ECECEC"/>
          </w:tcPr>
          <w:p>
            <w:pPr>
              <w:pStyle w:val="TableParagraph"/>
              <w:spacing w:line="132" w:lineRule="exact" w:before="10"/>
              <w:ind w:right="122"/>
              <w:jc w:val="right"/>
              <w:rPr>
                <w:sz w:val="12"/>
              </w:rPr>
            </w:pPr>
            <w:r>
              <w:rPr>
                <w:w w:val="105"/>
                <w:sz w:val="12"/>
              </w:rPr>
              <w:t>2.9</w:t>
            </w:r>
          </w:p>
        </w:tc>
        <w:tc>
          <w:tcPr>
            <w:tcW w:w="706" w:type="dxa"/>
            <w:shd w:val="clear" w:color="auto" w:fill="ECECEC"/>
          </w:tcPr>
          <w:p>
            <w:pPr>
              <w:pStyle w:val="TableParagraph"/>
              <w:spacing w:line="132" w:lineRule="exact" w:before="10"/>
              <w:ind w:right="122"/>
              <w:jc w:val="right"/>
              <w:rPr>
                <w:sz w:val="12"/>
              </w:rPr>
            </w:pPr>
            <w:r>
              <w:rPr>
                <w:w w:val="105"/>
                <w:sz w:val="12"/>
              </w:rPr>
              <w:t>2.8</w:t>
            </w:r>
          </w:p>
        </w:tc>
        <w:tc>
          <w:tcPr>
            <w:tcW w:w="751" w:type="dxa"/>
            <w:tcBorders>
              <w:right w:val="single" w:sz="4" w:space="0" w:color="000000"/>
            </w:tcBorders>
            <w:shd w:val="clear" w:color="auto" w:fill="ECECEC"/>
          </w:tcPr>
          <w:p>
            <w:pPr>
              <w:pStyle w:val="TableParagraph"/>
              <w:spacing w:line="132" w:lineRule="exact" w:before="10"/>
              <w:ind w:right="162"/>
              <w:jc w:val="right"/>
              <w:rPr>
                <w:sz w:val="12"/>
              </w:rPr>
            </w:pPr>
            <w:r>
              <w:rPr>
                <w:w w:val="105"/>
                <w:sz w:val="12"/>
              </w:rPr>
              <w:t>2.6</w:t>
            </w:r>
          </w:p>
        </w:tc>
      </w:tr>
      <w:tr>
        <w:trPr>
          <w:trHeight w:val="162" w:hRule="atLeast"/>
        </w:trPr>
        <w:tc>
          <w:tcPr>
            <w:tcW w:w="2290" w:type="dxa"/>
            <w:tcBorders>
              <w:left w:val="single" w:sz="4" w:space="0" w:color="000000"/>
            </w:tcBorders>
          </w:tcPr>
          <w:p>
            <w:pPr>
              <w:pStyle w:val="TableParagraph"/>
              <w:spacing w:line="132" w:lineRule="exact" w:before="10"/>
              <w:ind w:left="150"/>
              <w:rPr>
                <w:sz w:val="12"/>
              </w:rPr>
            </w:pPr>
            <w:r>
              <w:rPr>
                <w:w w:val="110"/>
                <w:sz w:val="12"/>
              </w:rPr>
              <w:t>Importaciones FOB /PIB</w:t>
            </w:r>
          </w:p>
        </w:tc>
        <w:tc>
          <w:tcPr>
            <w:tcW w:w="838" w:type="dxa"/>
          </w:tcPr>
          <w:p>
            <w:pPr>
              <w:pStyle w:val="TableParagraph"/>
              <w:spacing w:line="132" w:lineRule="exact" w:before="10"/>
              <w:ind w:right="116"/>
              <w:jc w:val="right"/>
              <w:rPr>
                <w:sz w:val="12"/>
              </w:rPr>
            </w:pPr>
            <w:r>
              <w:rPr>
                <w:w w:val="105"/>
                <w:sz w:val="12"/>
              </w:rPr>
              <w:t>23.2</w:t>
            </w:r>
          </w:p>
        </w:tc>
        <w:tc>
          <w:tcPr>
            <w:tcW w:w="706" w:type="dxa"/>
          </w:tcPr>
          <w:p>
            <w:pPr>
              <w:pStyle w:val="TableParagraph"/>
              <w:spacing w:line="132" w:lineRule="exact" w:before="10"/>
              <w:ind w:right="115"/>
              <w:jc w:val="right"/>
              <w:rPr>
                <w:sz w:val="12"/>
              </w:rPr>
            </w:pPr>
            <w:r>
              <w:rPr>
                <w:w w:val="105"/>
                <w:sz w:val="12"/>
              </w:rPr>
              <w:t>21.2</w:t>
            </w:r>
          </w:p>
        </w:tc>
        <w:tc>
          <w:tcPr>
            <w:tcW w:w="631" w:type="dxa"/>
          </w:tcPr>
          <w:p>
            <w:pPr>
              <w:pStyle w:val="TableParagraph"/>
              <w:spacing w:line="132" w:lineRule="exact" w:before="10"/>
              <w:ind w:right="40"/>
              <w:jc w:val="right"/>
              <w:rPr>
                <w:sz w:val="12"/>
              </w:rPr>
            </w:pPr>
            <w:r>
              <w:rPr>
                <w:w w:val="105"/>
                <w:sz w:val="12"/>
              </w:rPr>
              <w:t>27.1</w:t>
            </w:r>
          </w:p>
        </w:tc>
        <w:tc>
          <w:tcPr>
            <w:tcW w:w="881" w:type="dxa"/>
            <w:shd w:val="clear" w:color="auto" w:fill="ECECEC"/>
          </w:tcPr>
          <w:p>
            <w:pPr>
              <w:pStyle w:val="TableParagraph"/>
              <w:spacing w:line="132" w:lineRule="exact" w:before="10"/>
              <w:ind w:right="215"/>
              <w:jc w:val="right"/>
              <w:rPr>
                <w:sz w:val="12"/>
              </w:rPr>
            </w:pPr>
            <w:r>
              <w:rPr>
                <w:w w:val="105"/>
                <w:sz w:val="12"/>
              </w:rPr>
              <w:t>27.9</w:t>
            </w:r>
          </w:p>
        </w:tc>
        <w:tc>
          <w:tcPr>
            <w:tcW w:w="707" w:type="dxa"/>
            <w:shd w:val="clear" w:color="auto" w:fill="ECECEC"/>
          </w:tcPr>
          <w:p>
            <w:pPr>
              <w:pStyle w:val="TableParagraph"/>
              <w:spacing w:line="132" w:lineRule="exact" w:before="10"/>
              <w:ind w:left="199" w:right="148"/>
              <w:jc w:val="center"/>
              <w:rPr>
                <w:sz w:val="12"/>
              </w:rPr>
            </w:pPr>
            <w:r>
              <w:rPr>
                <w:w w:val="110"/>
                <w:sz w:val="12"/>
              </w:rPr>
              <w:t>28.0</w:t>
            </w:r>
          </w:p>
        </w:tc>
        <w:tc>
          <w:tcPr>
            <w:tcW w:w="707" w:type="dxa"/>
            <w:shd w:val="clear" w:color="auto" w:fill="ECECEC"/>
          </w:tcPr>
          <w:p>
            <w:pPr>
              <w:pStyle w:val="TableParagraph"/>
              <w:spacing w:line="132" w:lineRule="exact" w:before="10"/>
              <w:ind w:left="199" w:right="150"/>
              <w:jc w:val="center"/>
              <w:rPr>
                <w:sz w:val="12"/>
              </w:rPr>
            </w:pPr>
            <w:r>
              <w:rPr>
                <w:w w:val="110"/>
                <w:sz w:val="12"/>
              </w:rPr>
              <w:t>27.9</w:t>
            </w:r>
          </w:p>
        </w:tc>
        <w:tc>
          <w:tcPr>
            <w:tcW w:w="612" w:type="dxa"/>
            <w:shd w:val="clear" w:color="auto" w:fill="ECECEC"/>
          </w:tcPr>
          <w:p>
            <w:pPr>
              <w:pStyle w:val="TableParagraph"/>
              <w:spacing w:line="132" w:lineRule="exact" w:before="10"/>
              <w:ind w:right="122"/>
              <w:jc w:val="right"/>
              <w:rPr>
                <w:sz w:val="12"/>
              </w:rPr>
            </w:pPr>
            <w:r>
              <w:rPr>
                <w:w w:val="105"/>
                <w:sz w:val="12"/>
              </w:rPr>
              <w:t>27.7</w:t>
            </w:r>
          </w:p>
        </w:tc>
        <w:tc>
          <w:tcPr>
            <w:tcW w:w="706" w:type="dxa"/>
            <w:shd w:val="clear" w:color="auto" w:fill="ECECEC"/>
          </w:tcPr>
          <w:p>
            <w:pPr>
              <w:pStyle w:val="TableParagraph"/>
              <w:spacing w:line="132" w:lineRule="exact" w:before="10"/>
              <w:ind w:right="122"/>
              <w:jc w:val="right"/>
              <w:rPr>
                <w:sz w:val="12"/>
              </w:rPr>
            </w:pPr>
            <w:r>
              <w:rPr>
                <w:w w:val="105"/>
                <w:sz w:val="12"/>
              </w:rPr>
              <w:t>27.6</w:t>
            </w:r>
          </w:p>
        </w:tc>
        <w:tc>
          <w:tcPr>
            <w:tcW w:w="751" w:type="dxa"/>
            <w:tcBorders>
              <w:right w:val="single" w:sz="4" w:space="0" w:color="000000"/>
            </w:tcBorders>
            <w:shd w:val="clear" w:color="auto" w:fill="ECECEC"/>
          </w:tcPr>
          <w:p>
            <w:pPr>
              <w:pStyle w:val="TableParagraph"/>
              <w:spacing w:line="132" w:lineRule="exact" w:before="10"/>
              <w:ind w:right="162"/>
              <w:jc w:val="right"/>
              <w:rPr>
                <w:sz w:val="12"/>
              </w:rPr>
            </w:pPr>
            <w:r>
              <w:rPr>
                <w:w w:val="105"/>
                <w:sz w:val="12"/>
              </w:rPr>
              <w:t>27.4</w:t>
            </w:r>
          </w:p>
        </w:tc>
      </w:tr>
      <w:tr>
        <w:trPr>
          <w:trHeight w:val="162" w:hRule="atLeast"/>
        </w:trPr>
        <w:tc>
          <w:tcPr>
            <w:tcW w:w="2290" w:type="dxa"/>
            <w:tcBorders>
              <w:left w:val="single" w:sz="4" w:space="0" w:color="000000"/>
            </w:tcBorders>
          </w:tcPr>
          <w:p>
            <w:pPr>
              <w:pStyle w:val="TableParagraph"/>
              <w:spacing w:line="132" w:lineRule="exact" w:before="10"/>
              <w:ind w:left="150"/>
              <w:rPr>
                <w:sz w:val="12"/>
              </w:rPr>
            </w:pPr>
            <w:r>
              <w:rPr>
                <w:w w:val="110"/>
                <w:sz w:val="12"/>
              </w:rPr>
              <w:t>Importaciones de servicios</w:t>
            </w:r>
          </w:p>
        </w:tc>
        <w:tc>
          <w:tcPr>
            <w:tcW w:w="838" w:type="dxa"/>
          </w:tcPr>
          <w:p>
            <w:pPr>
              <w:pStyle w:val="TableParagraph"/>
              <w:spacing w:line="132" w:lineRule="exact" w:before="10"/>
              <w:ind w:right="115"/>
              <w:jc w:val="right"/>
              <w:rPr>
                <w:sz w:val="12"/>
              </w:rPr>
            </w:pPr>
            <w:r>
              <w:rPr>
                <w:w w:val="105"/>
                <w:sz w:val="12"/>
              </w:rPr>
              <w:t>4.7</w:t>
            </w:r>
          </w:p>
        </w:tc>
        <w:tc>
          <w:tcPr>
            <w:tcW w:w="706" w:type="dxa"/>
          </w:tcPr>
          <w:p>
            <w:pPr>
              <w:pStyle w:val="TableParagraph"/>
              <w:spacing w:line="132" w:lineRule="exact" w:before="10"/>
              <w:ind w:right="115"/>
              <w:jc w:val="right"/>
              <w:rPr>
                <w:sz w:val="12"/>
              </w:rPr>
            </w:pPr>
            <w:r>
              <w:rPr>
                <w:w w:val="105"/>
                <w:sz w:val="12"/>
              </w:rPr>
              <w:t>3.6</w:t>
            </w:r>
          </w:p>
        </w:tc>
        <w:tc>
          <w:tcPr>
            <w:tcW w:w="631" w:type="dxa"/>
          </w:tcPr>
          <w:p>
            <w:pPr>
              <w:pStyle w:val="TableParagraph"/>
              <w:spacing w:line="132" w:lineRule="exact" w:before="10"/>
              <w:ind w:right="40"/>
              <w:jc w:val="right"/>
              <w:rPr>
                <w:sz w:val="12"/>
              </w:rPr>
            </w:pPr>
            <w:r>
              <w:rPr>
                <w:w w:val="105"/>
                <w:sz w:val="12"/>
              </w:rPr>
              <w:t>4.9</w:t>
            </w:r>
          </w:p>
        </w:tc>
        <w:tc>
          <w:tcPr>
            <w:tcW w:w="881" w:type="dxa"/>
            <w:shd w:val="clear" w:color="auto" w:fill="ECECEC"/>
          </w:tcPr>
          <w:p>
            <w:pPr>
              <w:pStyle w:val="TableParagraph"/>
              <w:spacing w:line="132" w:lineRule="exact" w:before="10"/>
              <w:ind w:right="215"/>
              <w:jc w:val="right"/>
              <w:rPr>
                <w:sz w:val="12"/>
              </w:rPr>
            </w:pPr>
            <w:r>
              <w:rPr>
                <w:w w:val="105"/>
                <w:sz w:val="12"/>
              </w:rPr>
              <w:t>4.9</w:t>
            </w:r>
          </w:p>
        </w:tc>
        <w:tc>
          <w:tcPr>
            <w:tcW w:w="707" w:type="dxa"/>
            <w:shd w:val="clear" w:color="auto" w:fill="ECECEC"/>
          </w:tcPr>
          <w:p>
            <w:pPr>
              <w:pStyle w:val="TableParagraph"/>
              <w:spacing w:line="132" w:lineRule="exact" w:before="10"/>
              <w:ind w:left="199" w:right="88"/>
              <w:jc w:val="center"/>
              <w:rPr>
                <w:sz w:val="12"/>
              </w:rPr>
            </w:pPr>
            <w:r>
              <w:rPr>
                <w:w w:val="110"/>
                <w:sz w:val="12"/>
              </w:rPr>
              <w:t>4.9</w:t>
            </w:r>
          </w:p>
        </w:tc>
        <w:tc>
          <w:tcPr>
            <w:tcW w:w="707" w:type="dxa"/>
            <w:shd w:val="clear" w:color="auto" w:fill="ECECEC"/>
          </w:tcPr>
          <w:p>
            <w:pPr>
              <w:pStyle w:val="TableParagraph"/>
              <w:spacing w:line="132" w:lineRule="exact" w:before="10"/>
              <w:ind w:left="199" w:right="89"/>
              <w:jc w:val="center"/>
              <w:rPr>
                <w:sz w:val="12"/>
              </w:rPr>
            </w:pPr>
            <w:r>
              <w:rPr>
                <w:w w:val="110"/>
                <w:sz w:val="12"/>
              </w:rPr>
              <w:t>4.8</w:t>
            </w:r>
          </w:p>
        </w:tc>
        <w:tc>
          <w:tcPr>
            <w:tcW w:w="612" w:type="dxa"/>
            <w:shd w:val="clear" w:color="auto" w:fill="ECECEC"/>
          </w:tcPr>
          <w:p>
            <w:pPr>
              <w:pStyle w:val="TableParagraph"/>
              <w:spacing w:line="132" w:lineRule="exact" w:before="10"/>
              <w:ind w:right="122"/>
              <w:jc w:val="right"/>
              <w:rPr>
                <w:sz w:val="12"/>
              </w:rPr>
            </w:pPr>
            <w:r>
              <w:rPr>
                <w:w w:val="105"/>
                <w:sz w:val="12"/>
              </w:rPr>
              <w:t>4.7</w:t>
            </w:r>
          </w:p>
        </w:tc>
        <w:tc>
          <w:tcPr>
            <w:tcW w:w="706" w:type="dxa"/>
            <w:shd w:val="clear" w:color="auto" w:fill="ECECEC"/>
          </w:tcPr>
          <w:p>
            <w:pPr>
              <w:pStyle w:val="TableParagraph"/>
              <w:spacing w:line="132" w:lineRule="exact" w:before="10"/>
              <w:ind w:right="122"/>
              <w:jc w:val="right"/>
              <w:rPr>
                <w:sz w:val="12"/>
              </w:rPr>
            </w:pPr>
            <w:r>
              <w:rPr>
                <w:w w:val="105"/>
                <w:sz w:val="12"/>
              </w:rPr>
              <w:t>4.6</w:t>
            </w:r>
          </w:p>
        </w:tc>
        <w:tc>
          <w:tcPr>
            <w:tcW w:w="751" w:type="dxa"/>
            <w:tcBorders>
              <w:right w:val="single" w:sz="4" w:space="0" w:color="000000"/>
            </w:tcBorders>
            <w:shd w:val="clear" w:color="auto" w:fill="ECECEC"/>
          </w:tcPr>
          <w:p>
            <w:pPr>
              <w:pStyle w:val="TableParagraph"/>
              <w:spacing w:line="132" w:lineRule="exact" w:before="10"/>
              <w:ind w:right="162"/>
              <w:jc w:val="right"/>
              <w:rPr>
                <w:sz w:val="12"/>
              </w:rPr>
            </w:pPr>
            <w:r>
              <w:rPr>
                <w:w w:val="105"/>
                <w:sz w:val="12"/>
              </w:rPr>
              <w:t>4.5</w:t>
            </w:r>
          </w:p>
        </w:tc>
      </w:tr>
      <w:tr>
        <w:trPr>
          <w:trHeight w:val="162" w:hRule="atLeast"/>
        </w:trPr>
        <w:tc>
          <w:tcPr>
            <w:tcW w:w="2290" w:type="dxa"/>
            <w:tcBorders>
              <w:left w:val="single" w:sz="4" w:space="0" w:color="000000"/>
            </w:tcBorders>
          </w:tcPr>
          <w:p>
            <w:pPr>
              <w:pStyle w:val="TableParagraph"/>
              <w:spacing w:line="132" w:lineRule="exact" w:before="10"/>
              <w:ind w:left="150"/>
              <w:rPr>
                <w:sz w:val="12"/>
              </w:rPr>
            </w:pPr>
            <w:r>
              <w:rPr>
                <w:w w:val="110"/>
                <w:sz w:val="12"/>
              </w:rPr>
              <w:t>Remesas</w:t>
            </w:r>
          </w:p>
        </w:tc>
        <w:tc>
          <w:tcPr>
            <w:tcW w:w="838" w:type="dxa"/>
          </w:tcPr>
          <w:p>
            <w:pPr>
              <w:pStyle w:val="TableParagraph"/>
              <w:spacing w:line="132" w:lineRule="exact" w:before="10"/>
              <w:ind w:right="116"/>
              <w:jc w:val="right"/>
              <w:rPr>
                <w:sz w:val="12"/>
              </w:rPr>
            </w:pPr>
            <w:r>
              <w:rPr>
                <w:w w:val="105"/>
                <w:sz w:val="12"/>
              </w:rPr>
              <w:t>13.6</w:t>
            </w:r>
          </w:p>
        </w:tc>
        <w:tc>
          <w:tcPr>
            <w:tcW w:w="706" w:type="dxa"/>
          </w:tcPr>
          <w:p>
            <w:pPr>
              <w:pStyle w:val="TableParagraph"/>
              <w:spacing w:line="132" w:lineRule="exact" w:before="10"/>
              <w:ind w:right="115"/>
              <w:jc w:val="right"/>
              <w:rPr>
                <w:sz w:val="12"/>
              </w:rPr>
            </w:pPr>
            <w:r>
              <w:rPr>
                <w:w w:val="105"/>
                <w:sz w:val="12"/>
              </w:rPr>
              <w:t>14.6</w:t>
            </w:r>
          </w:p>
        </w:tc>
        <w:tc>
          <w:tcPr>
            <w:tcW w:w="631" w:type="dxa"/>
          </w:tcPr>
          <w:p>
            <w:pPr>
              <w:pStyle w:val="TableParagraph"/>
              <w:spacing w:line="132" w:lineRule="exact" w:before="10"/>
              <w:ind w:right="40"/>
              <w:jc w:val="right"/>
              <w:rPr>
                <w:sz w:val="12"/>
              </w:rPr>
            </w:pPr>
            <w:r>
              <w:rPr>
                <w:w w:val="105"/>
                <w:sz w:val="12"/>
              </w:rPr>
              <w:t>17.8</w:t>
            </w:r>
          </w:p>
        </w:tc>
        <w:tc>
          <w:tcPr>
            <w:tcW w:w="881" w:type="dxa"/>
            <w:shd w:val="clear" w:color="auto" w:fill="ECECEC"/>
          </w:tcPr>
          <w:p>
            <w:pPr>
              <w:pStyle w:val="TableParagraph"/>
              <w:spacing w:line="132" w:lineRule="exact" w:before="10"/>
              <w:ind w:right="215"/>
              <w:jc w:val="right"/>
              <w:rPr>
                <w:sz w:val="12"/>
              </w:rPr>
            </w:pPr>
            <w:r>
              <w:rPr>
                <w:w w:val="105"/>
                <w:sz w:val="12"/>
              </w:rPr>
              <w:t>18.8</w:t>
            </w:r>
          </w:p>
        </w:tc>
        <w:tc>
          <w:tcPr>
            <w:tcW w:w="707" w:type="dxa"/>
            <w:shd w:val="clear" w:color="auto" w:fill="ECECEC"/>
          </w:tcPr>
          <w:p>
            <w:pPr>
              <w:pStyle w:val="TableParagraph"/>
              <w:spacing w:line="132" w:lineRule="exact" w:before="10"/>
              <w:ind w:left="199" w:right="148"/>
              <w:jc w:val="center"/>
              <w:rPr>
                <w:sz w:val="12"/>
              </w:rPr>
            </w:pPr>
            <w:r>
              <w:rPr>
                <w:w w:val="110"/>
                <w:sz w:val="12"/>
              </w:rPr>
              <w:t>18.3</w:t>
            </w:r>
          </w:p>
        </w:tc>
        <w:tc>
          <w:tcPr>
            <w:tcW w:w="707" w:type="dxa"/>
            <w:shd w:val="clear" w:color="auto" w:fill="ECECEC"/>
          </w:tcPr>
          <w:p>
            <w:pPr>
              <w:pStyle w:val="TableParagraph"/>
              <w:spacing w:line="132" w:lineRule="exact" w:before="10"/>
              <w:ind w:left="199" w:right="150"/>
              <w:jc w:val="center"/>
              <w:rPr>
                <w:sz w:val="12"/>
              </w:rPr>
            </w:pPr>
            <w:r>
              <w:rPr>
                <w:w w:val="110"/>
                <w:sz w:val="12"/>
              </w:rPr>
              <w:t>18.0</w:t>
            </w:r>
          </w:p>
        </w:tc>
        <w:tc>
          <w:tcPr>
            <w:tcW w:w="612" w:type="dxa"/>
            <w:shd w:val="clear" w:color="auto" w:fill="ECECEC"/>
          </w:tcPr>
          <w:p>
            <w:pPr>
              <w:pStyle w:val="TableParagraph"/>
              <w:spacing w:line="132" w:lineRule="exact" w:before="10"/>
              <w:ind w:right="122"/>
              <w:jc w:val="right"/>
              <w:rPr>
                <w:sz w:val="12"/>
              </w:rPr>
            </w:pPr>
            <w:r>
              <w:rPr>
                <w:w w:val="105"/>
                <w:sz w:val="12"/>
              </w:rPr>
              <w:t>17.9</w:t>
            </w:r>
          </w:p>
        </w:tc>
        <w:tc>
          <w:tcPr>
            <w:tcW w:w="706" w:type="dxa"/>
            <w:shd w:val="clear" w:color="auto" w:fill="ECECEC"/>
          </w:tcPr>
          <w:p>
            <w:pPr>
              <w:pStyle w:val="TableParagraph"/>
              <w:spacing w:line="132" w:lineRule="exact" w:before="10"/>
              <w:ind w:right="122"/>
              <w:jc w:val="right"/>
              <w:rPr>
                <w:sz w:val="12"/>
              </w:rPr>
            </w:pPr>
            <w:r>
              <w:rPr>
                <w:w w:val="105"/>
                <w:sz w:val="12"/>
              </w:rPr>
              <w:t>17.8</w:t>
            </w:r>
          </w:p>
        </w:tc>
        <w:tc>
          <w:tcPr>
            <w:tcW w:w="751" w:type="dxa"/>
            <w:tcBorders>
              <w:right w:val="single" w:sz="4" w:space="0" w:color="000000"/>
            </w:tcBorders>
            <w:shd w:val="clear" w:color="auto" w:fill="ECECEC"/>
          </w:tcPr>
          <w:p>
            <w:pPr>
              <w:pStyle w:val="TableParagraph"/>
              <w:spacing w:line="132" w:lineRule="exact" w:before="10"/>
              <w:ind w:right="162"/>
              <w:jc w:val="right"/>
              <w:rPr>
                <w:sz w:val="12"/>
              </w:rPr>
            </w:pPr>
            <w:r>
              <w:rPr>
                <w:w w:val="105"/>
                <w:sz w:val="12"/>
              </w:rPr>
              <w:t>17.7</w:t>
            </w:r>
          </w:p>
        </w:tc>
      </w:tr>
      <w:tr>
        <w:trPr>
          <w:trHeight w:val="162" w:hRule="atLeast"/>
        </w:trPr>
        <w:tc>
          <w:tcPr>
            <w:tcW w:w="2290" w:type="dxa"/>
            <w:tcBorders>
              <w:left w:val="single" w:sz="4" w:space="0" w:color="000000"/>
            </w:tcBorders>
          </w:tcPr>
          <w:p>
            <w:pPr>
              <w:pStyle w:val="TableParagraph"/>
              <w:spacing w:line="132" w:lineRule="exact" w:before="10"/>
              <w:ind w:left="150"/>
              <w:rPr>
                <w:sz w:val="12"/>
              </w:rPr>
            </w:pPr>
            <w:r>
              <w:rPr>
                <w:w w:val="110"/>
                <w:sz w:val="12"/>
              </w:rPr>
              <w:t>Crecimiento exportaciones FOB (%)</w:t>
            </w:r>
          </w:p>
        </w:tc>
        <w:tc>
          <w:tcPr>
            <w:tcW w:w="838" w:type="dxa"/>
          </w:tcPr>
          <w:p>
            <w:pPr>
              <w:pStyle w:val="TableParagraph"/>
              <w:spacing w:line="132" w:lineRule="exact" w:before="10"/>
              <w:ind w:right="115"/>
              <w:jc w:val="right"/>
              <w:rPr>
                <w:sz w:val="12"/>
              </w:rPr>
            </w:pPr>
            <w:r>
              <w:rPr>
                <w:w w:val="105"/>
                <w:sz w:val="12"/>
              </w:rPr>
              <w:t>2.8</w:t>
            </w:r>
          </w:p>
        </w:tc>
        <w:tc>
          <w:tcPr>
            <w:tcW w:w="706" w:type="dxa"/>
          </w:tcPr>
          <w:p>
            <w:pPr>
              <w:pStyle w:val="TableParagraph"/>
              <w:spacing w:line="132" w:lineRule="exact" w:before="10"/>
              <w:ind w:right="115"/>
              <w:jc w:val="right"/>
              <w:rPr>
                <w:sz w:val="12"/>
              </w:rPr>
            </w:pPr>
            <w:r>
              <w:rPr>
                <w:w w:val="105"/>
                <w:sz w:val="12"/>
              </w:rPr>
              <w:t>2.1</w:t>
            </w:r>
          </w:p>
        </w:tc>
        <w:tc>
          <w:tcPr>
            <w:tcW w:w="631" w:type="dxa"/>
          </w:tcPr>
          <w:p>
            <w:pPr>
              <w:pStyle w:val="TableParagraph"/>
              <w:spacing w:line="132" w:lineRule="exact" w:before="10"/>
              <w:ind w:right="40"/>
              <w:jc w:val="right"/>
              <w:rPr>
                <w:sz w:val="12"/>
              </w:rPr>
            </w:pPr>
            <w:r>
              <w:rPr>
                <w:w w:val="105"/>
                <w:sz w:val="12"/>
              </w:rPr>
              <w:t>22.6</w:t>
            </w:r>
          </w:p>
        </w:tc>
        <w:tc>
          <w:tcPr>
            <w:tcW w:w="881" w:type="dxa"/>
            <w:shd w:val="clear" w:color="auto" w:fill="ECECEC"/>
          </w:tcPr>
          <w:p>
            <w:pPr>
              <w:pStyle w:val="TableParagraph"/>
              <w:spacing w:line="132" w:lineRule="exact" w:before="10"/>
              <w:ind w:right="215"/>
              <w:jc w:val="right"/>
              <w:rPr>
                <w:sz w:val="12"/>
              </w:rPr>
            </w:pPr>
            <w:r>
              <w:rPr>
                <w:w w:val="105"/>
                <w:sz w:val="12"/>
              </w:rPr>
              <w:t>8.5</w:t>
            </w:r>
          </w:p>
        </w:tc>
        <w:tc>
          <w:tcPr>
            <w:tcW w:w="707" w:type="dxa"/>
            <w:shd w:val="clear" w:color="auto" w:fill="ECECEC"/>
          </w:tcPr>
          <w:p>
            <w:pPr>
              <w:pStyle w:val="TableParagraph"/>
              <w:spacing w:line="132" w:lineRule="exact" w:before="10"/>
              <w:ind w:left="199" w:right="88"/>
              <w:jc w:val="center"/>
              <w:rPr>
                <w:sz w:val="12"/>
              </w:rPr>
            </w:pPr>
            <w:r>
              <w:rPr>
                <w:w w:val="110"/>
                <w:sz w:val="12"/>
              </w:rPr>
              <w:t>4.5</w:t>
            </w:r>
          </w:p>
        </w:tc>
        <w:tc>
          <w:tcPr>
            <w:tcW w:w="707" w:type="dxa"/>
            <w:shd w:val="clear" w:color="auto" w:fill="ECECEC"/>
          </w:tcPr>
          <w:p>
            <w:pPr>
              <w:pStyle w:val="TableParagraph"/>
              <w:spacing w:line="132" w:lineRule="exact" w:before="10"/>
              <w:ind w:left="199" w:right="89"/>
              <w:jc w:val="center"/>
              <w:rPr>
                <w:sz w:val="12"/>
              </w:rPr>
            </w:pPr>
            <w:r>
              <w:rPr>
                <w:w w:val="110"/>
                <w:sz w:val="12"/>
              </w:rPr>
              <w:t>4.0</w:t>
            </w:r>
          </w:p>
        </w:tc>
        <w:tc>
          <w:tcPr>
            <w:tcW w:w="612" w:type="dxa"/>
            <w:shd w:val="clear" w:color="auto" w:fill="ECECEC"/>
          </w:tcPr>
          <w:p>
            <w:pPr>
              <w:pStyle w:val="TableParagraph"/>
              <w:spacing w:line="132" w:lineRule="exact" w:before="10"/>
              <w:ind w:right="122"/>
              <w:jc w:val="right"/>
              <w:rPr>
                <w:sz w:val="12"/>
              </w:rPr>
            </w:pPr>
            <w:r>
              <w:rPr>
                <w:w w:val="105"/>
                <w:sz w:val="12"/>
              </w:rPr>
              <w:t>3.5</w:t>
            </w:r>
          </w:p>
        </w:tc>
        <w:tc>
          <w:tcPr>
            <w:tcW w:w="706" w:type="dxa"/>
            <w:shd w:val="clear" w:color="auto" w:fill="ECECEC"/>
          </w:tcPr>
          <w:p>
            <w:pPr>
              <w:pStyle w:val="TableParagraph"/>
              <w:spacing w:line="132" w:lineRule="exact" w:before="10"/>
              <w:ind w:right="122"/>
              <w:jc w:val="right"/>
              <w:rPr>
                <w:sz w:val="12"/>
              </w:rPr>
            </w:pPr>
            <w:r>
              <w:rPr>
                <w:w w:val="105"/>
                <w:sz w:val="12"/>
              </w:rPr>
              <w:t>4.0</w:t>
            </w:r>
          </w:p>
        </w:tc>
        <w:tc>
          <w:tcPr>
            <w:tcW w:w="751" w:type="dxa"/>
            <w:tcBorders>
              <w:right w:val="single" w:sz="4" w:space="0" w:color="000000"/>
            </w:tcBorders>
            <w:shd w:val="clear" w:color="auto" w:fill="ECECEC"/>
          </w:tcPr>
          <w:p>
            <w:pPr>
              <w:pStyle w:val="TableParagraph"/>
              <w:spacing w:line="132" w:lineRule="exact" w:before="10"/>
              <w:ind w:right="162"/>
              <w:jc w:val="right"/>
              <w:rPr>
                <w:sz w:val="12"/>
              </w:rPr>
            </w:pPr>
            <w:r>
              <w:rPr>
                <w:w w:val="105"/>
                <w:sz w:val="12"/>
              </w:rPr>
              <w:t>4.0</w:t>
            </w:r>
          </w:p>
        </w:tc>
      </w:tr>
      <w:tr>
        <w:trPr>
          <w:trHeight w:val="162" w:hRule="atLeast"/>
        </w:trPr>
        <w:tc>
          <w:tcPr>
            <w:tcW w:w="2290" w:type="dxa"/>
            <w:tcBorders>
              <w:left w:val="single" w:sz="4" w:space="0" w:color="000000"/>
            </w:tcBorders>
          </w:tcPr>
          <w:p>
            <w:pPr>
              <w:pStyle w:val="TableParagraph"/>
              <w:spacing w:line="132" w:lineRule="exact" w:before="10"/>
              <w:ind w:left="150"/>
              <w:rPr>
                <w:sz w:val="12"/>
              </w:rPr>
            </w:pPr>
            <w:r>
              <w:rPr>
                <w:w w:val="110"/>
                <w:sz w:val="12"/>
              </w:rPr>
              <w:t>Crecimiento importaciones FOB (%)</w:t>
            </w:r>
          </w:p>
        </w:tc>
        <w:tc>
          <w:tcPr>
            <w:tcW w:w="838" w:type="dxa"/>
          </w:tcPr>
          <w:p>
            <w:pPr>
              <w:pStyle w:val="TableParagraph"/>
              <w:spacing w:line="132" w:lineRule="exact" w:before="10"/>
              <w:ind w:right="115"/>
              <w:jc w:val="right"/>
              <w:rPr>
                <w:sz w:val="12"/>
              </w:rPr>
            </w:pPr>
            <w:r>
              <w:rPr>
                <w:w w:val="105"/>
                <w:sz w:val="12"/>
              </w:rPr>
              <w:t>1.5</w:t>
            </w:r>
          </w:p>
        </w:tc>
        <w:tc>
          <w:tcPr>
            <w:tcW w:w="706" w:type="dxa"/>
          </w:tcPr>
          <w:p>
            <w:pPr>
              <w:pStyle w:val="TableParagraph"/>
              <w:spacing w:line="132" w:lineRule="exact" w:before="10"/>
              <w:ind w:right="115"/>
              <w:jc w:val="right"/>
              <w:rPr>
                <w:sz w:val="12"/>
              </w:rPr>
            </w:pPr>
            <w:r>
              <w:rPr>
                <w:w w:val="105"/>
                <w:sz w:val="12"/>
              </w:rPr>
              <w:t>-8.1</w:t>
            </w:r>
          </w:p>
        </w:tc>
        <w:tc>
          <w:tcPr>
            <w:tcW w:w="631" w:type="dxa"/>
          </w:tcPr>
          <w:p>
            <w:pPr>
              <w:pStyle w:val="TableParagraph"/>
              <w:spacing w:line="132" w:lineRule="exact" w:before="10"/>
              <w:ind w:right="40"/>
              <w:jc w:val="right"/>
              <w:rPr>
                <w:sz w:val="12"/>
              </w:rPr>
            </w:pPr>
            <w:r>
              <w:rPr>
                <w:w w:val="105"/>
                <w:sz w:val="12"/>
              </w:rPr>
              <w:t>41.9</w:t>
            </w:r>
          </w:p>
        </w:tc>
        <w:tc>
          <w:tcPr>
            <w:tcW w:w="881" w:type="dxa"/>
            <w:shd w:val="clear" w:color="auto" w:fill="ECECEC"/>
          </w:tcPr>
          <w:p>
            <w:pPr>
              <w:pStyle w:val="TableParagraph"/>
              <w:spacing w:line="132" w:lineRule="exact" w:before="10"/>
              <w:ind w:right="215"/>
              <w:jc w:val="right"/>
              <w:rPr>
                <w:sz w:val="12"/>
              </w:rPr>
            </w:pPr>
            <w:r>
              <w:rPr>
                <w:w w:val="105"/>
                <w:sz w:val="12"/>
              </w:rPr>
              <w:t>10.5</w:t>
            </w:r>
          </w:p>
        </w:tc>
        <w:tc>
          <w:tcPr>
            <w:tcW w:w="707" w:type="dxa"/>
            <w:shd w:val="clear" w:color="auto" w:fill="ECECEC"/>
          </w:tcPr>
          <w:p>
            <w:pPr>
              <w:pStyle w:val="TableParagraph"/>
              <w:spacing w:line="132" w:lineRule="exact" w:before="10"/>
              <w:ind w:left="199" w:right="88"/>
              <w:jc w:val="center"/>
              <w:rPr>
                <w:sz w:val="12"/>
              </w:rPr>
            </w:pPr>
            <w:r>
              <w:rPr>
                <w:w w:val="110"/>
                <w:sz w:val="12"/>
              </w:rPr>
              <w:t>6.5</w:t>
            </w:r>
          </w:p>
        </w:tc>
        <w:tc>
          <w:tcPr>
            <w:tcW w:w="707" w:type="dxa"/>
            <w:shd w:val="clear" w:color="auto" w:fill="ECECEC"/>
          </w:tcPr>
          <w:p>
            <w:pPr>
              <w:pStyle w:val="TableParagraph"/>
              <w:spacing w:line="132" w:lineRule="exact" w:before="10"/>
              <w:ind w:left="199" w:right="89"/>
              <w:jc w:val="center"/>
              <w:rPr>
                <w:sz w:val="12"/>
              </w:rPr>
            </w:pPr>
            <w:r>
              <w:rPr>
                <w:w w:val="110"/>
                <w:sz w:val="12"/>
              </w:rPr>
              <w:t>6.0</w:t>
            </w:r>
          </w:p>
        </w:tc>
        <w:tc>
          <w:tcPr>
            <w:tcW w:w="612" w:type="dxa"/>
            <w:shd w:val="clear" w:color="auto" w:fill="ECECEC"/>
          </w:tcPr>
          <w:p>
            <w:pPr>
              <w:pStyle w:val="TableParagraph"/>
              <w:spacing w:line="132" w:lineRule="exact" w:before="10"/>
              <w:ind w:right="122"/>
              <w:jc w:val="right"/>
              <w:rPr>
                <w:sz w:val="12"/>
              </w:rPr>
            </w:pPr>
            <w:r>
              <w:rPr>
                <w:w w:val="105"/>
                <w:sz w:val="12"/>
              </w:rPr>
              <w:t>5.5</w:t>
            </w:r>
          </w:p>
        </w:tc>
        <w:tc>
          <w:tcPr>
            <w:tcW w:w="706" w:type="dxa"/>
            <w:shd w:val="clear" w:color="auto" w:fill="ECECEC"/>
          </w:tcPr>
          <w:p>
            <w:pPr>
              <w:pStyle w:val="TableParagraph"/>
              <w:spacing w:line="132" w:lineRule="exact" w:before="10"/>
              <w:ind w:right="122"/>
              <w:jc w:val="right"/>
              <w:rPr>
                <w:sz w:val="12"/>
              </w:rPr>
            </w:pPr>
            <w:r>
              <w:rPr>
                <w:w w:val="105"/>
                <w:sz w:val="12"/>
              </w:rPr>
              <w:t>6.0</w:t>
            </w:r>
          </w:p>
        </w:tc>
        <w:tc>
          <w:tcPr>
            <w:tcW w:w="751" w:type="dxa"/>
            <w:tcBorders>
              <w:right w:val="single" w:sz="4" w:space="0" w:color="000000"/>
            </w:tcBorders>
            <w:shd w:val="clear" w:color="auto" w:fill="ECECEC"/>
          </w:tcPr>
          <w:p>
            <w:pPr>
              <w:pStyle w:val="TableParagraph"/>
              <w:spacing w:line="132" w:lineRule="exact" w:before="10"/>
              <w:ind w:right="162"/>
              <w:jc w:val="right"/>
              <w:rPr>
                <w:sz w:val="12"/>
              </w:rPr>
            </w:pPr>
            <w:r>
              <w:rPr>
                <w:w w:val="105"/>
                <w:sz w:val="12"/>
              </w:rPr>
              <w:t>6.0</w:t>
            </w:r>
          </w:p>
        </w:tc>
      </w:tr>
      <w:tr>
        <w:trPr>
          <w:trHeight w:val="158" w:hRule="atLeast"/>
        </w:trPr>
        <w:tc>
          <w:tcPr>
            <w:tcW w:w="2290" w:type="dxa"/>
            <w:tcBorders>
              <w:left w:val="single" w:sz="4" w:space="0" w:color="000000"/>
            </w:tcBorders>
          </w:tcPr>
          <w:p>
            <w:pPr>
              <w:pStyle w:val="TableParagraph"/>
              <w:spacing w:line="128" w:lineRule="exact" w:before="10"/>
              <w:ind w:left="150"/>
              <w:rPr>
                <w:sz w:val="12"/>
              </w:rPr>
            </w:pPr>
            <w:r>
              <w:rPr>
                <w:w w:val="110"/>
                <w:sz w:val="12"/>
              </w:rPr>
              <w:t>Crecimiento de Remesas (%)</w:t>
            </w:r>
          </w:p>
        </w:tc>
        <w:tc>
          <w:tcPr>
            <w:tcW w:w="838" w:type="dxa"/>
          </w:tcPr>
          <w:p>
            <w:pPr>
              <w:pStyle w:val="TableParagraph"/>
              <w:spacing w:line="128" w:lineRule="exact" w:before="10"/>
              <w:ind w:right="116"/>
              <w:jc w:val="right"/>
              <w:rPr>
                <w:sz w:val="12"/>
              </w:rPr>
            </w:pPr>
            <w:r>
              <w:rPr>
                <w:w w:val="105"/>
                <w:sz w:val="12"/>
              </w:rPr>
              <w:t>13.1</w:t>
            </w:r>
          </w:p>
        </w:tc>
        <w:tc>
          <w:tcPr>
            <w:tcW w:w="706" w:type="dxa"/>
          </w:tcPr>
          <w:p>
            <w:pPr>
              <w:pStyle w:val="TableParagraph"/>
              <w:spacing w:line="128" w:lineRule="exact" w:before="10"/>
              <w:ind w:right="115"/>
              <w:jc w:val="right"/>
              <w:rPr>
                <w:sz w:val="12"/>
              </w:rPr>
            </w:pPr>
            <w:r>
              <w:rPr>
                <w:w w:val="105"/>
                <w:sz w:val="12"/>
              </w:rPr>
              <w:t>7.9</w:t>
            </w:r>
          </w:p>
        </w:tc>
        <w:tc>
          <w:tcPr>
            <w:tcW w:w="631" w:type="dxa"/>
          </w:tcPr>
          <w:p>
            <w:pPr>
              <w:pStyle w:val="TableParagraph"/>
              <w:spacing w:line="128" w:lineRule="exact" w:before="10"/>
              <w:ind w:right="40"/>
              <w:jc w:val="right"/>
              <w:rPr>
                <w:sz w:val="12"/>
              </w:rPr>
            </w:pPr>
            <w:r>
              <w:rPr>
                <w:w w:val="105"/>
                <w:sz w:val="12"/>
              </w:rPr>
              <w:t>34.9</w:t>
            </w:r>
          </w:p>
        </w:tc>
        <w:tc>
          <w:tcPr>
            <w:tcW w:w="881" w:type="dxa"/>
            <w:shd w:val="clear" w:color="auto" w:fill="ECECEC"/>
          </w:tcPr>
          <w:p>
            <w:pPr>
              <w:pStyle w:val="TableParagraph"/>
              <w:spacing w:line="128" w:lineRule="exact" w:before="10"/>
              <w:ind w:right="215"/>
              <w:jc w:val="right"/>
              <w:rPr>
                <w:sz w:val="12"/>
              </w:rPr>
            </w:pPr>
            <w:r>
              <w:rPr>
                <w:w w:val="105"/>
                <w:sz w:val="12"/>
              </w:rPr>
              <w:t>13.5</w:t>
            </w:r>
          </w:p>
        </w:tc>
        <w:tc>
          <w:tcPr>
            <w:tcW w:w="707" w:type="dxa"/>
            <w:shd w:val="clear" w:color="auto" w:fill="ECECEC"/>
          </w:tcPr>
          <w:p>
            <w:pPr>
              <w:pStyle w:val="TableParagraph"/>
              <w:spacing w:line="128" w:lineRule="exact" w:before="10"/>
              <w:ind w:left="199" w:right="88"/>
              <w:jc w:val="center"/>
              <w:rPr>
                <w:sz w:val="12"/>
              </w:rPr>
            </w:pPr>
            <w:r>
              <w:rPr>
                <w:w w:val="110"/>
                <w:sz w:val="12"/>
              </w:rPr>
              <w:t>4.5</w:t>
            </w:r>
          </w:p>
        </w:tc>
        <w:tc>
          <w:tcPr>
            <w:tcW w:w="707" w:type="dxa"/>
            <w:shd w:val="clear" w:color="auto" w:fill="ECECEC"/>
          </w:tcPr>
          <w:p>
            <w:pPr>
              <w:pStyle w:val="TableParagraph"/>
              <w:spacing w:line="128" w:lineRule="exact" w:before="10"/>
              <w:ind w:left="199" w:right="89"/>
              <w:jc w:val="center"/>
              <w:rPr>
                <w:sz w:val="12"/>
              </w:rPr>
            </w:pPr>
            <w:r>
              <w:rPr>
                <w:w w:val="110"/>
                <w:sz w:val="12"/>
              </w:rPr>
              <w:t>5.0</w:t>
            </w:r>
          </w:p>
        </w:tc>
        <w:tc>
          <w:tcPr>
            <w:tcW w:w="612" w:type="dxa"/>
            <w:shd w:val="clear" w:color="auto" w:fill="ECECEC"/>
          </w:tcPr>
          <w:p>
            <w:pPr>
              <w:pStyle w:val="TableParagraph"/>
              <w:spacing w:line="128" w:lineRule="exact" w:before="10"/>
              <w:ind w:right="122"/>
              <w:jc w:val="right"/>
              <w:rPr>
                <w:sz w:val="12"/>
              </w:rPr>
            </w:pPr>
            <w:r>
              <w:rPr>
                <w:w w:val="105"/>
                <w:sz w:val="12"/>
              </w:rPr>
              <w:t>5.5</w:t>
            </w:r>
          </w:p>
        </w:tc>
        <w:tc>
          <w:tcPr>
            <w:tcW w:w="706" w:type="dxa"/>
            <w:shd w:val="clear" w:color="auto" w:fill="ECECEC"/>
          </w:tcPr>
          <w:p>
            <w:pPr>
              <w:pStyle w:val="TableParagraph"/>
              <w:spacing w:line="128" w:lineRule="exact" w:before="10"/>
              <w:ind w:right="122"/>
              <w:jc w:val="right"/>
              <w:rPr>
                <w:sz w:val="12"/>
              </w:rPr>
            </w:pPr>
            <w:r>
              <w:rPr>
                <w:w w:val="105"/>
                <w:sz w:val="12"/>
              </w:rPr>
              <w:t>6.0</w:t>
            </w:r>
          </w:p>
        </w:tc>
        <w:tc>
          <w:tcPr>
            <w:tcW w:w="751" w:type="dxa"/>
            <w:shd w:val="clear" w:color="auto" w:fill="ECECEC"/>
          </w:tcPr>
          <w:p>
            <w:pPr>
              <w:pStyle w:val="TableParagraph"/>
              <w:spacing w:line="20" w:lineRule="exact"/>
              <w:ind w:left="758" w:right="-87"/>
              <w:rPr>
                <w:sz w:val="2"/>
              </w:rPr>
            </w:pPr>
            <w:r>
              <w:rPr>
                <w:sz w:val="2"/>
              </w:rPr>
              <w:pict>
                <v:group style="width:.1pt;height:.45pt;mso-position-horizontal-relative:char;mso-position-vertical-relative:line" coordorigin="0,0" coordsize="2,9">
                  <v:shape style="position:absolute;left:0;top:0;width:2;height:9" coordorigin="0,0" coordsize="0,9" path="m0,8l0,0,0,8xe" filled="true" fillcolor="#d3d3d3" stroked="false">
                    <v:path arrowok="t"/>
                    <v:fill type="solid"/>
                  </v:shape>
                </v:group>
              </w:pict>
            </w:r>
            <w:r>
              <w:rPr>
                <w:sz w:val="2"/>
              </w:rPr>
            </w:r>
          </w:p>
          <w:p>
            <w:pPr>
              <w:pStyle w:val="TableParagraph"/>
              <w:spacing w:line="118" w:lineRule="exact"/>
              <w:ind w:right="167"/>
              <w:jc w:val="right"/>
              <w:rPr>
                <w:sz w:val="12"/>
              </w:rPr>
            </w:pPr>
            <w:r>
              <w:rPr>
                <w:w w:val="105"/>
                <w:sz w:val="12"/>
              </w:rPr>
              <w:t>6.0</w:t>
            </w:r>
          </w:p>
        </w:tc>
      </w:tr>
      <w:tr>
        <w:trPr>
          <w:trHeight w:val="403" w:hRule="atLeast"/>
        </w:trPr>
        <w:tc>
          <w:tcPr>
            <w:tcW w:w="2290" w:type="dxa"/>
            <w:tcBorders>
              <w:left w:val="single" w:sz="4" w:space="0" w:color="000000"/>
            </w:tcBorders>
          </w:tcPr>
          <w:p>
            <w:pPr>
              <w:pStyle w:val="TableParagraph"/>
              <w:spacing w:before="3"/>
              <w:rPr>
                <w:b/>
                <w:sz w:val="15"/>
              </w:rPr>
            </w:pPr>
          </w:p>
          <w:p>
            <w:pPr>
              <w:pStyle w:val="TableParagraph"/>
              <w:ind w:left="150"/>
              <w:rPr>
                <w:b/>
                <w:sz w:val="12"/>
              </w:rPr>
            </w:pPr>
            <w:r>
              <w:rPr>
                <w:b/>
                <w:w w:val="110"/>
                <w:sz w:val="12"/>
              </w:rPr>
              <w:t>Indicadores del sector monetario</w:t>
            </w:r>
          </w:p>
        </w:tc>
        <w:tc>
          <w:tcPr>
            <w:tcW w:w="838" w:type="dxa"/>
          </w:tcPr>
          <w:p>
            <w:pPr>
              <w:pStyle w:val="TableParagraph"/>
              <w:rPr>
                <w:sz w:val="16"/>
              </w:rPr>
            </w:pPr>
          </w:p>
        </w:tc>
        <w:tc>
          <w:tcPr>
            <w:tcW w:w="706" w:type="dxa"/>
          </w:tcPr>
          <w:p>
            <w:pPr>
              <w:pStyle w:val="TableParagraph"/>
              <w:rPr>
                <w:sz w:val="16"/>
              </w:rPr>
            </w:pPr>
          </w:p>
        </w:tc>
        <w:tc>
          <w:tcPr>
            <w:tcW w:w="3538" w:type="dxa"/>
            <w:gridSpan w:val="5"/>
            <w:vMerge w:val="restart"/>
            <w:tcBorders>
              <w:bottom w:val="single" w:sz="4" w:space="0" w:color="000000"/>
            </w:tcBorders>
          </w:tcPr>
          <w:p>
            <w:pPr>
              <w:pStyle w:val="TableParagraph"/>
              <w:spacing w:before="3"/>
              <w:rPr>
                <w:b/>
                <w:sz w:val="15"/>
              </w:rPr>
            </w:pPr>
          </w:p>
          <w:p>
            <w:pPr>
              <w:pStyle w:val="TableParagraph"/>
              <w:ind w:left="300"/>
              <w:rPr>
                <w:sz w:val="12"/>
              </w:rPr>
            </w:pPr>
            <w:r>
              <w:rPr>
                <w:w w:val="110"/>
                <w:sz w:val="12"/>
              </w:rPr>
              <w:t>Porcentaje del PIB, a menos que se indique lo contrario</w:t>
            </w:r>
          </w:p>
          <w:p>
            <w:pPr>
              <w:pStyle w:val="TableParagraph"/>
              <w:spacing w:before="2"/>
              <w:rPr>
                <w:b/>
                <w:sz w:val="16"/>
              </w:rPr>
            </w:pPr>
          </w:p>
          <w:p>
            <w:pPr>
              <w:pStyle w:val="TableParagraph"/>
              <w:tabs>
                <w:tab w:pos="1135" w:val="left" w:leader="none"/>
                <w:tab w:pos="1841" w:val="left" w:leader="none"/>
                <w:tab w:pos="2547" w:val="left" w:leader="none"/>
                <w:tab w:pos="3254" w:val="left" w:leader="none"/>
              </w:tabs>
              <w:ind w:left="368"/>
              <w:rPr>
                <w:sz w:val="12"/>
              </w:rPr>
            </w:pPr>
            <w:r>
              <w:rPr>
                <w:spacing w:val="-3"/>
                <w:w w:val="110"/>
                <w:sz w:val="12"/>
              </w:rPr>
              <w:t>11.6</w:t>
              <w:tab/>
            </w:r>
            <w:r>
              <w:rPr>
                <w:w w:val="110"/>
                <w:sz w:val="12"/>
              </w:rPr>
              <w:t>8.5</w:t>
              <w:tab/>
              <w:t>8.0</w:t>
              <w:tab/>
              <w:t>7.5</w:t>
              <w:tab/>
              <w:t>7.2</w:t>
            </w:r>
          </w:p>
          <w:p>
            <w:pPr>
              <w:pStyle w:val="TableParagraph"/>
              <w:tabs>
                <w:tab w:pos="1135" w:val="left" w:leader="none"/>
                <w:tab w:pos="1841" w:val="left" w:leader="none"/>
                <w:tab w:pos="2547" w:val="left" w:leader="none"/>
                <w:tab w:pos="3254" w:val="left" w:leader="none"/>
              </w:tabs>
              <w:spacing w:before="25"/>
              <w:ind w:left="368"/>
              <w:rPr>
                <w:sz w:val="12"/>
              </w:rPr>
            </w:pPr>
            <w:r>
              <w:rPr>
                <w:spacing w:val="-3"/>
                <w:w w:val="110"/>
                <w:sz w:val="12"/>
              </w:rPr>
              <w:t>12.7</w:t>
              <w:tab/>
            </w:r>
            <w:r>
              <w:rPr>
                <w:w w:val="110"/>
                <w:sz w:val="12"/>
              </w:rPr>
              <w:t>8.0</w:t>
              <w:tab/>
              <w:t>7.0</w:t>
              <w:tab/>
              <w:t>7.2</w:t>
              <w:tab/>
              <w:t>7.9</w:t>
            </w:r>
          </w:p>
          <w:p>
            <w:pPr>
              <w:pStyle w:val="TableParagraph"/>
              <w:spacing w:before="2"/>
              <w:rPr>
                <w:b/>
                <w:sz w:val="16"/>
              </w:rPr>
            </w:pPr>
          </w:p>
          <w:p>
            <w:pPr>
              <w:pStyle w:val="TableParagraph"/>
              <w:ind w:left="291"/>
              <w:rPr>
                <w:sz w:val="12"/>
              </w:rPr>
            </w:pPr>
            <w:r>
              <w:rPr>
                <w:w w:val="110"/>
                <w:sz w:val="12"/>
              </w:rPr>
              <w:t>Cambios porcentuales, al menos que indique lo contrario</w:t>
            </w:r>
          </w:p>
          <w:p>
            <w:pPr>
              <w:pStyle w:val="TableParagraph"/>
              <w:spacing w:before="2"/>
              <w:rPr>
                <w:b/>
                <w:sz w:val="16"/>
              </w:rPr>
            </w:pPr>
          </w:p>
          <w:p>
            <w:pPr>
              <w:pStyle w:val="TableParagraph"/>
              <w:tabs>
                <w:tab w:pos="1135" w:val="left" w:leader="none"/>
                <w:tab w:pos="1841" w:val="left" w:leader="none"/>
                <w:tab w:pos="2547" w:val="left" w:leader="none"/>
                <w:tab w:pos="3254" w:val="left" w:leader="none"/>
              </w:tabs>
              <w:ind w:left="429"/>
              <w:rPr>
                <w:sz w:val="12"/>
              </w:rPr>
            </w:pPr>
            <w:r>
              <w:rPr>
                <w:w w:val="110"/>
                <w:sz w:val="12"/>
              </w:rPr>
              <w:t>3.1</w:t>
              <w:tab/>
              <w:t>3.0</w:t>
              <w:tab/>
              <w:t>3.0</w:t>
              <w:tab/>
              <w:t>4.0</w:t>
              <w:tab/>
              <w:t>4.0</w:t>
            </w:r>
          </w:p>
          <w:p>
            <w:pPr>
              <w:pStyle w:val="TableParagraph"/>
              <w:tabs>
                <w:tab w:pos="1135" w:val="left" w:leader="none"/>
                <w:tab w:pos="1841" w:val="left" w:leader="none"/>
                <w:tab w:pos="2547" w:val="left" w:leader="none"/>
                <w:tab w:pos="3254" w:val="left" w:leader="none"/>
              </w:tabs>
              <w:spacing w:before="24"/>
              <w:ind w:left="429"/>
              <w:rPr>
                <w:sz w:val="12"/>
              </w:rPr>
            </w:pPr>
            <w:r>
              <w:rPr>
                <w:w w:val="110"/>
                <w:sz w:val="12"/>
              </w:rPr>
              <w:t>2.8</w:t>
              <w:tab/>
              <w:t>3.6</w:t>
              <w:tab/>
              <w:t>2.8</w:t>
              <w:tab/>
              <w:t>2.5</w:t>
              <w:tab/>
              <w:t>2.5</w:t>
            </w:r>
          </w:p>
          <w:p>
            <w:pPr>
              <w:pStyle w:val="TableParagraph"/>
              <w:tabs>
                <w:tab w:pos="1092" w:val="left" w:leader="none"/>
                <w:tab w:pos="1841" w:val="left" w:leader="none"/>
                <w:tab w:pos="2547" w:val="left" w:leader="none"/>
                <w:tab w:pos="3254" w:val="left" w:leader="none"/>
              </w:tabs>
              <w:spacing w:before="24"/>
              <w:ind w:left="386"/>
              <w:rPr>
                <w:sz w:val="12"/>
              </w:rPr>
            </w:pPr>
            <w:r>
              <w:rPr>
                <w:w w:val="110"/>
                <w:sz w:val="12"/>
              </w:rPr>
              <w:t>-7.8</w:t>
              <w:tab/>
              <w:t>-0.9</w:t>
              <w:tab/>
              <w:t>1.0</w:t>
              <w:tab/>
              <w:t>1.0</w:t>
              <w:tab/>
              <w:t>1.0</w:t>
            </w:r>
          </w:p>
          <w:p>
            <w:pPr>
              <w:pStyle w:val="TableParagraph"/>
              <w:rPr>
                <w:b/>
                <w:sz w:val="12"/>
              </w:rPr>
            </w:pPr>
          </w:p>
          <w:p>
            <w:pPr>
              <w:pStyle w:val="TableParagraph"/>
              <w:rPr>
                <w:b/>
                <w:sz w:val="12"/>
              </w:rPr>
            </w:pPr>
          </w:p>
          <w:p>
            <w:pPr>
              <w:pStyle w:val="TableParagraph"/>
              <w:tabs>
                <w:tab w:pos="1014" w:val="left" w:leader="none"/>
                <w:tab w:pos="1721" w:val="left" w:leader="none"/>
                <w:tab w:pos="2427" w:val="left" w:leader="none"/>
                <w:tab w:pos="3133" w:val="left" w:leader="none"/>
              </w:tabs>
              <w:spacing w:before="73"/>
              <w:ind w:left="308"/>
              <w:rPr>
                <w:sz w:val="12"/>
              </w:rPr>
            </w:pPr>
            <w:r>
              <w:rPr>
                <w:spacing w:val="-3"/>
                <w:w w:val="110"/>
                <w:sz w:val="12"/>
              </w:rPr>
              <w:t>17.11</w:t>
              <w:tab/>
              <w:t>17.36</w:t>
              <w:tab/>
              <w:t>17.60</w:t>
              <w:tab/>
              <w:t>17.84</w:t>
              <w:tab/>
              <w:t>18.08</w:t>
            </w:r>
          </w:p>
        </w:tc>
        <w:tc>
          <w:tcPr>
            <w:tcW w:w="706" w:type="dxa"/>
          </w:tcPr>
          <w:p>
            <w:pPr>
              <w:pStyle w:val="TableParagraph"/>
              <w:rPr>
                <w:sz w:val="16"/>
              </w:rPr>
            </w:pPr>
          </w:p>
        </w:tc>
        <w:tc>
          <w:tcPr>
            <w:tcW w:w="751" w:type="dxa"/>
            <w:tcBorders>
              <w:right w:val="single" w:sz="4" w:space="0" w:color="000000"/>
            </w:tcBorders>
          </w:tcPr>
          <w:p>
            <w:pPr>
              <w:pStyle w:val="TableParagraph"/>
              <w:spacing w:before="8"/>
              <w:rPr>
                <w:b/>
                <w:sz w:val="13"/>
              </w:rPr>
            </w:pPr>
          </w:p>
          <w:p>
            <w:pPr>
              <w:pStyle w:val="TableParagraph"/>
              <w:spacing w:line="20" w:lineRule="exact"/>
              <w:ind w:left="758" w:right="-87"/>
              <w:rPr>
                <w:sz w:val="2"/>
              </w:rPr>
            </w:pPr>
            <w:r>
              <w:rPr>
                <w:sz w:val="2"/>
              </w:rPr>
              <w:pict>
                <v:group style="width:.1pt;height:.45pt;mso-position-horizontal-relative:char;mso-position-vertical-relative:line" coordorigin="0,0" coordsize="2,9">
                  <v:shape style="position:absolute;left:0;top:0;width:2;height:9" coordorigin="0,0" coordsize="0,9" path="m0,8l0,0,0,8xe" filled="true" fillcolor="#d3d3d3" stroked="false">
                    <v:path arrowok="t"/>
                    <v:fill type="solid"/>
                  </v:shape>
                </v:group>
              </w:pict>
            </w:r>
            <w:r>
              <w:rPr>
                <w:sz w:val="2"/>
              </w:rPr>
            </w:r>
          </w:p>
          <w:p>
            <w:pPr>
              <w:pStyle w:val="TableParagraph"/>
              <w:spacing w:before="4"/>
              <w:rPr>
                <w:b/>
                <w:sz w:val="12"/>
              </w:rPr>
            </w:pPr>
          </w:p>
          <w:p>
            <w:pPr>
              <w:pStyle w:val="TableParagraph"/>
              <w:spacing w:line="20" w:lineRule="exact"/>
              <w:ind w:left="758" w:right="-87"/>
              <w:rPr>
                <w:sz w:val="2"/>
              </w:rPr>
            </w:pPr>
            <w:r>
              <w:rPr>
                <w:sz w:val="2"/>
              </w:rPr>
              <w:pict>
                <v:group style="width:.1pt;height:.45pt;mso-position-horizontal-relative:char;mso-position-vertical-relative:line" coordorigin="0,0" coordsize="2,9">
                  <v:shape style="position:absolute;left:0;top:0;width:2;height:9" coordorigin="0,0" coordsize="0,9" path="m0,8l0,0,0,8xe" filled="true" fillcolor="#d3d3d3" stroked="false">
                    <v:path arrowok="t"/>
                    <v:fill type="solid"/>
                  </v:shape>
                </v:group>
              </w:pict>
            </w:r>
            <w:r>
              <w:rPr>
                <w:sz w:val="2"/>
              </w:rPr>
            </w:r>
          </w:p>
        </w:tc>
      </w:tr>
      <w:tr>
        <w:trPr>
          <w:trHeight w:val="476" w:hRule="atLeast"/>
        </w:trPr>
        <w:tc>
          <w:tcPr>
            <w:tcW w:w="2290" w:type="dxa"/>
            <w:tcBorders>
              <w:left w:val="single" w:sz="4" w:space="0" w:color="000000"/>
            </w:tcBorders>
          </w:tcPr>
          <w:p>
            <w:pPr>
              <w:pStyle w:val="TableParagraph"/>
              <w:spacing w:before="86"/>
              <w:ind w:left="150"/>
              <w:rPr>
                <w:sz w:val="12"/>
              </w:rPr>
            </w:pPr>
            <w:r>
              <w:rPr>
                <w:w w:val="110"/>
                <w:sz w:val="12"/>
              </w:rPr>
              <w:t>M2</w:t>
            </w:r>
          </w:p>
          <w:p>
            <w:pPr>
              <w:pStyle w:val="TableParagraph"/>
              <w:spacing w:before="24"/>
              <w:ind w:left="150"/>
              <w:rPr>
                <w:sz w:val="12"/>
              </w:rPr>
            </w:pPr>
            <w:r>
              <w:rPr>
                <w:w w:val="110"/>
                <w:sz w:val="12"/>
              </w:rPr>
              <w:t>Crédito al sector privado</w:t>
            </w:r>
          </w:p>
        </w:tc>
        <w:tc>
          <w:tcPr>
            <w:tcW w:w="838" w:type="dxa"/>
          </w:tcPr>
          <w:p>
            <w:pPr>
              <w:pStyle w:val="TableParagraph"/>
              <w:spacing w:before="86"/>
              <w:ind w:right="115"/>
              <w:jc w:val="right"/>
              <w:rPr>
                <w:sz w:val="12"/>
              </w:rPr>
            </w:pPr>
            <w:r>
              <w:rPr>
                <w:spacing w:val="-2"/>
                <w:w w:val="105"/>
                <w:sz w:val="12"/>
              </w:rPr>
              <w:t>9.8</w:t>
            </w:r>
          </w:p>
          <w:p>
            <w:pPr>
              <w:pStyle w:val="TableParagraph"/>
              <w:spacing w:before="24"/>
              <w:ind w:right="115"/>
              <w:jc w:val="right"/>
              <w:rPr>
                <w:sz w:val="12"/>
              </w:rPr>
            </w:pPr>
            <w:r>
              <w:rPr>
                <w:spacing w:val="-2"/>
                <w:w w:val="105"/>
                <w:sz w:val="12"/>
              </w:rPr>
              <w:t>5.2</w:t>
            </w:r>
          </w:p>
        </w:tc>
        <w:tc>
          <w:tcPr>
            <w:tcW w:w="706" w:type="dxa"/>
          </w:tcPr>
          <w:p>
            <w:pPr>
              <w:pStyle w:val="TableParagraph"/>
              <w:spacing w:before="86"/>
              <w:ind w:left="368"/>
              <w:rPr>
                <w:sz w:val="12"/>
              </w:rPr>
            </w:pPr>
            <w:r>
              <w:rPr>
                <w:spacing w:val="-3"/>
                <w:w w:val="110"/>
                <w:sz w:val="12"/>
              </w:rPr>
              <w:t>18.7</w:t>
            </w:r>
          </w:p>
          <w:p>
            <w:pPr>
              <w:pStyle w:val="TableParagraph"/>
              <w:spacing w:before="24"/>
              <w:ind w:left="429"/>
              <w:rPr>
                <w:sz w:val="12"/>
              </w:rPr>
            </w:pPr>
            <w:r>
              <w:rPr>
                <w:w w:val="110"/>
                <w:sz w:val="12"/>
              </w:rPr>
              <w:t>6.1</w:t>
            </w:r>
          </w:p>
        </w:tc>
        <w:tc>
          <w:tcPr>
            <w:tcW w:w="3538" w:type="dxa"/>
            <w:gridSpan w:val="5"/>
            <w:vMerge/>
            <w:tcBorders>
              <w:top w:val="nil"/>
              <w:bottom w:val="single" w:sz="4" w:space="0" w:color="000000"/>
            </w:tcBorders>
          </w:tcPr>
          <w:p>
            <w:pPr>
              <w:rPr>
                <w:sz w:val="2"/>
                <w:szCs w:val="2"/>
              </w:rPr>
            </w:pPr>
          </w:p>
        </w:tc>
        <w:tc>
          <w:tcPr>
            <w:tcW w:w="706" w:type="dxa"/>
          </w:tcPr>
          <w:p>
            <w:pPr>
              <w:pStyle w:val="TableParagraph"/>
              <w:spacing w:before="86"/>
              <w:ind w:left="422"/>
              <w:rPr>
                <w:sz w:val="12"/>
              </w:rPr>
            </w:pPr>
            <w:r>
              <w:rPr>
                <w:w w:val="110"/>
                <w:sz w:val="12"/>
              </w:rPr>
              <w:t>7.2</w:t>
            </w:r>
          </w:p>
          <w:p>
            <w:pPr>
              <w:pStyle w:val="TableParagraph"/>
              <w:spacing w:before="24"/>
              <w:ind w:left="422"/>
              <w:rPr>
                <w:sz w:val="12"/>
              </w:rPr>
            </w:pPr>
            <w:r>
              <w:rPr>
                <w:w w:val="110"/>
                <w:sz w:val="12"/>
              </w:rPr>
              <w:t>8.3</w:t>
            </w:r>
          </w:p>
        </w:tc>
        <w:tc>
          <w:tcPr>
            <w:tcW w:w="751" w:type="dxa"/>
            <w:tcBorders>
              <w:right w:val="single" w:sz="4" w:space="0" w:color="000000"/>
            </w:tcBorders>
          </w:tcPr>
          <w:p>
            <w:pPr>
              <w:pStyle w:val="TableParagraph"/>
              <w:spacing w:before="86"/>
              <w:ind w:left="422"/>
              <w:rPr>
                <w:sz w:val="12"/>
              </w:rPr>
            </w:pPr>
            <w:r>
              <w:rPr>
                <w:w w:val="110"/>
                <w:sz w:val="12"/>
              </w:rPr>
              <w:t>7.5</w:t>
            </w:r>
          </w:p>
          <w:p>
            <w:pPr>
              <w:pStyle w:val="TableParagraph"/>
              <w:spacing w:before="24"/>
              <w:ind w:left="422"/>
              <w:rPr>
                <w:sz w:val="12"/>
              </w:rPr>
            </w:pPr>
            <w:r>
              <w:rPr>
                <w:w w:val="110"/>
                <w:sz w:val="12"/>
              </w:rPr>
              <w:t>8.6</w:t>
            </w:r>
          </w:p>
        </w:tc>
      </w:tr>
      <w:tr>
        <w:trPr>
          <w:trHeight w:val="314" w:hRule="atLeast"/>
        </w:trPr>
        <w:tc>
          <w:tcPr>
            <w:tcW w:w="2290" w:type="dxa"/>
            <w:tcBorders>
              <w:left w:val="single" w:sz="4" w:space="0" w:color="000000"/>
            </w:tcBorders>
          </w:tcPr>
          <w:p>
            <w:pPr>
              <w:pStyle w:val="TableParagraph"/>
              <w:spacing w:before="86"/>
              <w:ind w:left="150"/>
              <w:rPr>
                <w:b/>
                <w:sz w:val="12"/>
              </w:rPr>
            </w:pPr>
            <w:r>
              <w:rPr>
                <w:b/>
                <w:w w:val="110"/>
                <w:sz w:val="12"/>
              </w:rPr>
              <w:t>Precios al consumidor y relativos</w:t>
            </w:r>
          </w:p>
        </w:tc>
        <w:tc>
          <w:tcPr>
            <w:tcW w:w="838" w:type="dxa"/>
          </w:tcPr>
          <w:p>
            <w:pPr>
              <w:pStyle w:val="TableParagraph"/>
              <w:rPr>
                <w:sz w:val="16"/>
              </w:rPr>
            </w:pPr>
          </w:p>
        </w:tc>
        <w:tc>
          <w:tcPr>
            <w:tcW w:w="706" w:type="dxa"/>
          </w:tcPr>
          <w:p>
            <w:pPr>
              <w:pStyle w:val="TableParagraph"/>
              <w:rPr>
                <w:sz w:val="16"/>
              </w:rPr>
            </w:pPr>
          </w:p>
        </w:tc>
        <w:tc>
          <w:tcPr>
            <w:tcW w:w="3538" w:type="dxa"/>
            <w:gridSpan w:val="5"/>
            <w:vMerge/>
            <w:tcBorders>
              <w:top w:val="nil"/>
              <w:bottom w:val="single" w:sz="4" w:space="0" w:color="000000"/>
            </w:tcBorders>
          </w:tcPr>
          <w:p>
            <w:pPr>
              <w:rPr>
                <w:sz w:val="2"/>
                <w:szCs w:val="2"/>
              </w:rPr>
            </w:pPr>
          </w:p>
        </w:tc>
        <w:tc>
          <w:tcPr>
            <w:tcW w:w="706" w:type="dxa"/>
          </w:tcPr>
          <w:p>
            <w:pPr>
              <w:pStyle w:val="TableParagraph"/>
              <w:rPr>
                <w:sz w:val="16"/>
              </w:rPr>
            </w:pPr>
          </w:p>
        </w:tc>
        <w:tc>
          <w:tcPr>
            <w:tcW w:w="751" w:type="dxa"/>
            <w:tcBorders>
              <w:right w:val="single" w:sz="4" w:space="0" w:color="000000"/>
            </w:tcBorders>
          </w:tcPr>
          <w:p>
            <w:pPr>
              <w:pStyle w:val="TableParagraph"/>
              <w:spacing w:before="11"/>
              <w:rPr>
                <w:b/>
                <w:sz w:val="5"/>
              </w:rPr>
            </w:pPr>
          </w:p>
          <w:p>
            <w:pPr>
              <w:pStyle w:val="TableParagraph"/>
              <w:spacing w:line="20" w:lineRule="exact"/>
              <w:ind w:left="758" w:right="-87"/>
              <w:rPr>
                <w:sz w:val="2"/>
              </w:rPr>
            </w:pPr>
            <w:r>
              <w:rPr>
                <w:sz w:val="2"/>
              </w:rPr>
              <w:pict>
                <v:group style="width:.1pt;height:.45pt;mso-position-horizontal-relative:char;mso-position-vertical-relative:line" coordorigin="0,0" coordsize="2,9">
                  <v:shape style="position:absolute;left:0;top:0;width:2;height:9" coordorigin="0,0" coordsize="0,9" path="m0,8l0,0,0,8xe" filled="true" fillcolor="#d3d3d3" stroked="false">
                    <v:path arrowok="t"/>
                    <v:fill type="solid"/>
                  </v:shape>
                </v:group>
              </w:pict>
            </w:r>
            <w:r>
              <w:rPr>
                <w:sz w:val="2"/>
              </w:rPr>
            </w:r>
          </w:p>
          <w:p>
            <w:pPr>
              <w:pStyle w:val="TableParagraph"/>
              <w:spacing w:before="4"/>
              <w:rPr>
                <w:b/>
                <w:sz w:val="12"/>
              </w:rPr>
            </w:pPr>
          </w:p>
          <w:p>
            <w:pPr>
              <w:pStyle w:val="TableParagraph"/>
              <w:spacing w:line="20" w:lineRule="exact"/>
              <w:ind w:left="758" w:right="-87"/>
              <w:rPr>
                <w:sz w:val="2"/>
              </w:rPr>
            </w:pPr>
            <w:r>
              <w:rPr>
                <w:sz w:val="2"/>
              </w:rPr>
              <w:pict>
                <v:group style="width:.1pt;height:.45pt;mso-position-horizontal-relative:char;mso-position-vertical-relative:line" coordorigin="0,0" coordsize="2,9">
                  <v:shape style="position:absolute;left:0;top:0;width:2;height:9" coordorigin="0,0" coordsize="0,9" path="m0,8l0,0,0,8xe" filled="true" fillcolor="#d3d3d3" stroked="false">
                    <v:path arrowok="t"/>
                    <v:fill type="solid"/>
                  </v:shape>
                </v:group>
              </w:pict>
            </w:r>
            <w:r>
              <w:rPr>
                <w:sz w:val="2"/>
              </w:rPr>
            </w:r>
          </w:p>
        </w:tc>
      </w:tr>
      <w:tr>
        <w:trPr>
          <w:trHeight w:val="638" w:hRule="atLeast"/>
        </w:trPr>
        <w:tc>
          <w:tcPr>
            <w:tcW w:w="2290" w:type="dxa"/>
            <w:tcBorders>
              <w:left w:val="single" w:sz="4" w:space="0" w:color="000000"/>
            </w:tcBorders>
          </w:tcPr>
          <w:p>
            <w:pPr>
              <w:pStyle w:val="TableParagraph"/>
              <w:spacing w:before="86"/>
              <w:ind w:left="150"/>
              <w:rPr>
                <w:sz w:val="12"/>
              </w:rPr>
            </w:pPr>
            <w:r>
              <w:rPr>
                <w:w w:val="110"/>
                <w:sz w:val="12"/>
              </w:rPr>
              <w:t>IPC</w:t>
            </w:r>
          </w:p>
          <w:p>
            <w:pPr>
              <w:pStyle w:val="TableParagraph"/>
              <w:spacing w:before="24"/>
              <w:ind w:left="150"/>
              <w:rPr>
                <w:sz w:val="12"/>
              </w:rPr>
            </w:pPr>
            <w:r>
              <w:rPr>
                <w:w w:val="110"/>
                <w:sz w:val="12"/>
              </w:rPr>
              <w:t>Deflactor PIB</w:t>
            </w:r>
          </w:p>
          <w:p>
            <w:pPr>
              <w:pStyle w:val="TableParagraph"/>
              <w:spacing w:before="24"/>
              <w:ind w:left="150"/>
              <w:rPr>
                <w:sz w:val="12"/>
              </w:rPr>
            </w:pPr>
            <w:r>
              <w:rPr>
                <w:w w:val="110"/>
                <w:sz w:val="12"/>
              </w:rPr>
              <w:t>Terminos de intercambio</w:t>
            </w:r>
          </w:p>
        </w:tc>
        <w:tc>
          <w:tcPr>
            <w:tcW w:w="838" w:type="dxa"/>
          </w:tcPr>
          <w:p>
            <w:pPr>
              <w:pStyle w:val="TableParagraph"/>
              <w:spacing w:before="86"/>
              <w:ind w:right="115"/>
              <w:jc w:val="right"/>
              <w:rPr>
                <w:sz w:val="12"/>
              </w:rPr>
            </w:pPr>
            <w:r>
              <w:rPr>
                <w:spacing w:val="-2"/>
                <w:w w:val="105"/>
                <w:sz w:val="12"/>
              </w:rPr>
              <w:t>3.4</w:t>
            </w:r>
          </w:p>
          <w:p>
            <w:pPr>
              <w:pStyle w:val="TableParagraph"/>
              <w:spacing w:before="24"/>
              <w:ind w:right="115"/>
              <w:jc w:val="right"/>
              <w:rPr>
                <w:sz w:val="12"/>
              </w:rPr>
            </w:pPr>
            <w:r>
              <w:rPr>
                <w:spacing w:val="-2"/>
                <w:w w:val="105"/>
                <w:sz w:val="12"/>
              </w:rPr>
              <w:t>3.6</w:t>
            </w:r>
          </w:p>
          <w:p>
            <w:pPr>
              <w:pStyle w:val="TableParagraph"/>
              <w:spacing w:before="24"/>
              <w:ind w:right="115"/>
              <w:jc w:val="right"/>
              <w:rPr>
                <w:sz w:val="12"/>
              </w:rPr>
            </w:pPr>
            <w:r>
              <w:rPr>
                <w:spacing w:val="-2"/>
                <w:w w:val="105"/>
                <w:sz w:val="12"/>
              </w:rPr>
              <w:t>5.7</w:t>
            </w:r>
          </w:p>
        </w:tc>
        <w:tc>
          <w:tcPr>
            <w:tcW w:w="706" w:type="dxa"/>
          </w:tcPr>
          <w:p>
            <w:pPr>
              <w:pStyle w:val="TableParagraph"/>
              <w:spacing w:before="86"/>
              <w:ind w:left="429"/>
              <w:rPr>
                <w:sz w:val="12"/>
              </w:rPr>
            </w:pPr>
            <w:r>
              <w:rPr>
                <w:w w:val="110"/>
                <w:sz w:val="12"/>
              </w:rPr>
              <w:t>4.8</w:t>
            </w:r>
          </w:p>
          <w:p>
            <w:pPr>
              <w:pStyle w:val="TableParagraph"/>
              <w:spacing w:before="24"/>
              <w:ind w:left="429"/>
              <w:rPr>
                <w:sz w:val="12"/>
              </w:rPr>
            </w:pPr>
            <w:r>
              <w:rPr>
                <w:w w:val="110"/>
                <w:sz w:val="12"/>
              </w:rPr>
              <w:t>2.7</w:t>
            </w:r>
          </w:p>
          <w:p>
            <w:pPr>
              <w:pStyle w:val="TableParagraph"/>
              <w:spacing w:before="24"/>
              <w:ind w:left="429"/>
              <w:rPr>
                <w:sz w:val="12"/>
              </w:rPr>
            </w:pPr>
            <w:r>
              <w:rPr>
                <w:w w:val="110"/>
                <w:sz w:val="12"/>
              </w:rPr>
              <w:t>6.7</w:t>
            </w:r>
          </w:p>
        </w:tc>
        <w:tc>
          <w:tcPr>
            <w:tcW w:w="3538" w:type="dxa"/>
            <w:gridSpan w:val="5"/>
            <w:vMerge/>
            <w:tcBorders>
              <w:top w:val="nil"/>
              <w:bottom w:val="single" w:sz="4" w:space="0" w:color="000000"/>
            </w:tcBorders>
          </w:tcPr>
          <w:p>
            <w:pPr>
              <w:rPr>
                <w:sz w:val="2"/>
                <w:szCs w:val="2"/>
              </w:rPr>
            </w:pPr>
          </w:p>
        </w:tc>
        <w:tc>
          <w:tcPr>
            <w:tcW w:w="706" w:type="dxa"/>
          </w:tcPr>
          <w:p>
            <w:pPr>
              <w:pStyle w:val="TableParagraph"/>
              <w:spacing w:before="86"/>
              <w:ind w:left="422"/>
              <w:rPr>
                <w:sz w:val="12"/>
              </w:rPr>
            </w:pPr>
            <w:r>
              <w:rPr>
                <w:w w:val="110"/>
                <w:sz w:val="12"/>
              </w:rPr>
              <w:t>4.0</w:t>
            </w:r>
          </w:p>
          <w:p>
            <w:pPr>
              <w:pStyle w:val="TableParagraph"/>
              <w:spacing w:before="24"/>
              <w:ind w:left="422"/>
              <w:rPr>
                <w:sz w:val="12"/>
              </w:rPr>
            </w:pPr>
            <w:r>
              <w:rPr>
                <w:w w:val="110"/>
                <w:sz w:val="12"/>
              </w:rPr>
              <w:t>2.6</w:t>
            </w:r>
          </w:p>
          <w:p>
            <w:pPr>
              <w:pStyle w:val="TableParagraph"/>
              <w:spacing w:before="24"/>
              <w:ind w:left="422"/>
              <w:rPr>
                <w:sz w:val="12"/>
              </w:rPr>
            </w:pPr>
            <w:r>
              <w:rPr>
                <w:w w:val="110"/>
                <w:sz w:val="12"/>
              </w:rPr>
              <w:t>1.0</w:t>
            </w:r>
          </w:p>
        </w:tc>
        <w:tc>
          <w:tcPr>
            <w:tcW w:w="751" w:type="dxa"/>
            <w:tcBorders>
              <w:right w:val="single" w:sz="4" w:space="0" w:color="000000"/>
            </w:tcBorders>
          </w:tcPr>
          <w:p>
            <w:pPr>
              <w:pStyle w:val="TableParagraph"/>
              <w:spacing w:before="86"/>
              <w:ind w:left="422"/>
              <w:rPr>
                <w:sz w:val="12"/>
              </w:rPr>
            </w:pPr>
            <w:r>
              <w:rPr>
                <w:w w:val="110"/>
                <w:sz w:val="12"/>
              </w:rPr>
              <w:t>4.0</w:t>
            </w:r>
          </w:p>
          <w:p>
            <w:pPr>
              <w:pStyle w:val="TableParagraph"/>
              <w:spacing w:before="24"/>
              <w:ind w:left="422"/>
              <w:rPr>
                <w:sz w:val="12"/>
              </w:rPr>
            </w:pPr>
            <w:r>
              <w:rPr>
                <w:w w:val="110"/>
                <w:sz w:val="12"/>
              </w:rPr>
              <w:t>2.6</w:t>
            </w:r>
          </w:p>
          <w:p>
            <w:pPr>
              <w:pStyle w:val="TableParagraph"/>
              <w:spacing w:before="24"/>
              <w:ind w:left="422"/>
              <w:rPr>
                <w:sz w:val="12"/>
              </w:rPr>
            </w:pPr>
            <w:r>
              <w:rPr>
                <w:w w:val="110"/>
                <w:sz w:val="12"/>
              </w:rPr>
              <w:t>1.0</w:t>
            </w:r>
          </w:p>
        </w:tc>
      </w:tr>
      <w:tr>
        <w:trPr>
          <w:trHeight w:val="553" w:hRule="atLeast"/>
        </w:trPr>
        <w:tc>
          <w:tcPr>
            <w:tcW w:w="2290" w:type="dxa"/>
            <w:tcBorders>
              <w:left w:val="single" w:sz="4" w:space="0" w:color="000000"/>
              <w:bottom w:val="single" w:sz="4" w:space="0" w:color="000000"/>
            </w:tcBorders>
          </w:tcPr>
          <w:p>
            <w:pPr>
              <w:pStyle w:val="TableParagraph"/>
              <w:spacing w:before="86"/>
              <w:ind w:left="150"/>
              <w:rPr>
                <w:b/>
                <w:sz w:val="12"/>
              </w:rPr>
            </w:pPr>
            <w:r>
              <w:rPr>
                <w:b/>
                <w:w w:val="110"/>
                <w:sz w:val="12"/>
              </w:rPr>
              <w:t>Otras partidas informativas</w:t>
            </w:r>
          </w:p>
          <w:p>
            <w:pPr>
              <w:pStyle w:val="TableParagraph"/>
              <w:spacing w:before="24"/>
              <w:ind w:left="150"/>
              <w:rPr>
                <w:sz w:val="12"/>
              </w:rPr>
            </w:pPr>
            <w:r>
              <w:rPr>
                <w:w w:val="110"/>
                <w:sz w:val="12"/>
              </w:rPr>
              <w:t>Población (en millones)</w:t>
            </w:r>
          </w:p>
        </w:tc>
        <w:tc>
          <w:tcPr>
            <w:tcW w:w="838" w:type="dxa"/>
            <w:tcBorders>
              <w:bottom w:val="single" w:sz="4" w:space="0" w:color="000000"/>
            </w:tcBorders>
          </w:tcPr>
          <w:p>
            <w:pPr>
              <w:pStyle w:val="TableParagraph"/>
              <w:rPr>
                <w:b/>
                <w:sz w:val="12"/>
              </w:rPr>
            </w:pPr>
          </w:p>
          <w:p>
            <w:pPr>
              <w:pStyle w:val="TableParagraph"/>
              <w:spacing w:before="6"/>
              <w:rPr>
                <w:b/>
                <w:sz w:val="9"/>
              </w:rPr>
            </w:pPr>
          </w:p>
          <w:p>
            <w:pPr>
              <w:pStyle w:val="TableParagraph"/>
              <w:ind w:right="115"/>
              <w:jc w:val="right"/>
              <w:rPr>
                <w:sz w:val="12"/>
              </w:rPr>
            </w:pPr>
            <w:r>
              <w:rPr>
                <w:w w:val="105"/>
                <w:sz w:val="12"/>
              </w:rPr>
              <w:t>16.60</w:t>
            </w:r>
          </w:p>
        </w:tc>
        <w:tc>
          <w:tcPr>
            <w:tcW w:w="706" w:type="dxa"/>
            <w:tcBorders>
              <w:bottom w:val="single" w:sz="4" w:space="0" w:color="000000"/>
            </w:tcBorders>
          </w:tcPr>
          <w:p>
            <w:pPr>
              <w:pStyle w:val="TableParagraph"/>
              <w:rPr>
                <w:b/>
                <w:sz w:val="12"/>
              </w:rPr>
            </w:pPr>
          </w:p>
          <w:p>
            <w:pPr>
              <w:pStyle w:val="TableParagraph"/>
              <w:spacing w:before="6"/>
              <w:rPr>
                <w:b/>
                <w:sz w:val="9"/>
              </w:rPr>
            </w:pPr>
          </w:p>
          <w:p>
            <w:pPr>
              <w:pStyle w:val="TableParagraph"/>
              <w:ind w:right="115"/>
              <w:jc w:val="right"/>
              <w:rPr>
                <w:sz w:val="12"/>
              </w:rPr>
            </w:pPr>
            <w:r>
              <w:rPr>
                <w:w w:val="105"/>
                <w:sz w:val="12"/>
              </w:rPr>
              <w:t>16.86</w:t>
            </w:r>
          </w:p>
        </w:tc>
        <w:tc>
          <w:tcPr>
            <w:tcW w:w="3538" w:type="dxa"/>
            <w:gridSpan w:val="5"/>
            <w:vMerge/>
            <w:tcBorders>
              <w:top w:val="nil"/>
              <w:bottom w:val="single" w:sz="4" w:space="0" w:color="000000"/>
            </w:tcBorders>
          </w:tcPr>
          <w:p>
            <w:pPr>
              <w:rPr>
                <w:sz w:val="2"/>
                <w:szCs w:val="2"/>
              </w:rPr>
            </w:pPr>
          </w:p>
        </w:tc>
        <w:tc>
          <w:tcPr>
            <w:tcW w:w="706" w:type="dxa"/>
            <w:tcBorders>
              <w:bottom w:val="single" w:sz="4" w:space="0" w:color="000000"/>
            </w:tcBorders>
          </w:tcPr>
          <w:p>
            <w:pPr>
              <w:pStyle w:val="TableParagraph"/>
              <w:rPr>
                <w:b/>
                <w:sz w:val="12"/>
              </w:rPr>
            </w:pPr>
          </w:p>
          <w:p>
            <w:pPr>
              <w:pStyle w:val="TableParagraph"/>
              <w:spacing w:before="6"/>
              <w:rPr>
                <w:b/>
                <w:sz w:val="9"/>
              </w:rPr>
            </w:pPr>
          </w:p>
          <w:p>
            <w:pPr>
              <w:pStyle w:val="TableParagraph"/>
              <w:ind w:right="122"/>
              <w:jc w:val="right"/>
              <w:rPr>
                <w:sz w:val="12"/>
              </w:rPr>
            </w:pPr>
            <w:r>
              <w:rPr>
                <w:w w:val="105"/>
                <w:sz w:val="12"/>
              </w:rPr>
              <w:t>18.31</w:t>
            </w:r>
          </w:p>
        </w:tc>
        <w:tc>
          <w:tcPr>
            <w:tcW w:w="751" w:type="dxa"/>
            <w:tcBorders>
              <w:bottom w:val="single" w:sz="4" w:space="0" w:color="000000"/>
              <w:right w:val="single" w:sz="4" w:space="0" w:color="000000"/>
            </w:tcBorders>
          </w:tcPr>
          <w:p>
            <w:pPr>
              <w:pStyle w:val="TableParagraph"/>
              <w:rPr>
                <w:b/>
                <w:sz w:val="12"/>
              </w:rPr>
            </w:pPr>
          </w:p>
          <w:p>
            <w:pPr>
              <w:pStyle w:val="TableParagraph"/>
              <w:spacing w:before="6"/>
              <w:rPr>
                <w:b/>
                <w:sz w:val="9"/>
              </w:rPr>
            </w:pPr>
          </w:p>
          <w:p>
            <w:pPr>
              <w:pStyle w:val="TableParagraph"/>
              <w:ind w:right="162"/>
              <w:jc w:val="right"/>
              <w:rPr>
                <w:sz w:val="12"/>
              </w:rPr>
            </w:pPr>
            <w:r>
              <w:rPr>
                <w:w w:val="105"/>
                <w:sz w:val="12"/>
              </w:rPr>
              <w:t>18.54</w:t>
            </w:r>
          </w:p>
        </w:tc>
      </w:tr>
    </w:tbl>
    <w:p>
      <w:pPr>
        <w:spacing w:before="53"/>
        <w:ind w:left="751" w:right="0" w:firstLine="0"/>
        <w:jc w:val="left"/>
        <w:rPr>
          <w:sz w:val="16"/>
        </w:rPr>
      </w:pPr>
      <w:r>
        <w:rPr/>
        <w:pict>
          <v:rect style="position:absolute;margin-left:313.982697pt;margin-top:-97.72197pt;width:212.299728pt;height:16.627288pt;mso-position-horizontal-relative:page;mso-position-vertical-relative:paragraph;z-index:-280940544" filled="true" fillcolor="#ececec" stroked="false">
            <v:fill type="solid"/>
            <w10:wrap type="none"/>
          </v:rect>
        </w:pict>
      </w:r>
      <w:r>
        <w:rPr/>
        <w:pict>
          <v:rect style="position:absolute;margin-left:313.982697pt;margin-top:-57.182159pt;width:212.299728pt;height:49.058596pt;mso-position-horizontal-relative:page;mso-position-vertical-relative:paragraph;z-index:-280939520" filled="true" fillcolor="#ececec" stroked="false">
            <v:fill type="solid"/>
            <w10:wrap type="none"/>
          </v:rect>
        </w:pict>
      </w:r>
      <w:r>
        <w:rPr/>
        <w:pict>
          <v:shape style="position:absolute;margin-left:532.305481pt;margin-top:-154.476089pt;width:.1pt;height:.45pt;mso-position-horizontal-relative:page;mso-position-vertical-relative:paragraph;z-index:252394496" coordorigin="10646,-3090" coordsize="0,9" path="m10646,-3081l10646,-3090,10646,-3081xe" filled="true" fillcolor="#d3d3d3" stroked="false">
            <v:path arrowok="t"/>
            <v:fill type="solid"/>
            <w10:wrap type="none"/>
          </v:shape>
        </w:pict>
      </w:r>
      <w:r>
        <w:rPr/>
        <w:pict>
          <v:shape style="position:absolute;margin-left:532.305481pt;margin-top:-146.362183pt;width:.1pt;height:.45pt;mso-position-horizontal-relative:page;mso-position-vertical-relative:paragraph;z-index:252395520" coordorigin="10646,-2927" coordsize="0,9" path="m10646,-2919l10646,-2927,10646,-2919xe" filled="true" fillcolor="#d3d3d3" stroked="false">
            <v:path arrowok="t"/>
            <v:fill type="solid"/>
            <w10:wrap type="none"/>
          </v:shape>
        </w:pict>
      </w:r>
      <w:r>
        <w:rPr/>
        <w:pict>
          <v:shape style="position:absolute;margin-left:532.305481pt;margin-top:-138.267181pt;width:.1pt;height:.45pt;mso-position-horizontal-relative:page;mso-position-vertical-relative:paragraph;z-index:252396544" coordorigin="10646,-2765" coordsize="0,9" path="m10646,-2757l10646,-2765,10646,-2757xe" filled="true" fillcolor="#d3d3d3" stroked="false">
            <v:path arrowok="t"/>
            <v:fill type="solid"/>
            <w10:wrap type="none"/>
          </v:shape>
        </w:pict>
      </w:r>
      <w:r>
        <w:rPr/>
        <w:pict>
          <v:shape style="position:absolute;margin-left:532.305481pt;margin-top:-97.72197pt;width:.1pt;height:.45pt;mso-position-horizontal-relative:page;mso-position-vertical-relative:paragraph;z-index:252397568" coordorigin="10646,-1954" coordsize="0,9" path="m10646,-1946l10646,-1954,10646,-1946xe" filled="true" fillcolor="#d3d3d3" stroked="false">
            <v:path arrowok="t"/>
            <v:fill type="solid"/>
            <w10:wrap type="none"/>
          </v:shape>
        </w:pict>
      </w:r>
      <w:r>
        <w:rPr/>
        <w:pict>
          <v:shape style="position:absolute;margin-left:532.305481pt;margin-top:-89.613472pt;width:.1pt;height:.45pt;mso-position-horizontal-relative:page;mso-position-vertical-relative:paragraph;z-index:252398592" coordorigin="10646,-1792" coordsize="0,9" path="m10646,-1784l10646,-1792,10646,-1784xe" filled="true" fillcolor="#d3d3d3" stroked="false">
            <v:path arrowok="t"/>
            <v:fill type="solid"/>
            <w10:wrap type="none"/>
          </v:shape>
        </w:pict>
      </w:r>
      <w:r>
        <w:rPr/>
        <w:pict>
          <v:shape style="position:absolute;margin-left:532.305481pt;margin-top:-81.499573pt;width:.1pt;height:.45pt;mso-position-horizontal-relative:page;mso-position-vertical-relative:paragraph;z-index:252399616" coordorigin="10646,-1630" coordsize="0,9" path="m10646,-1622l10646,-1630,10646,-1622xe" filled="true" fillcolor="#d3d3d3" stroked="false">
            <v:path arrowok="t"/>
            <v:fill type="solid"/>
            <w10:wrap type="none"/>
          </v:shape>
        </w:pict>
      </w:r>
      <w:r>
        <w:rPr/>
        <w:pict>
          <v:shape style="position:absolute;margin-left:532.305481pt;margin-top:-57.179462pt;width:.1pt;height:.45pt;mso-position-horizontal-relative:page;mso-position-vertical-relative:paragraph;z-index:252400640" coordorigin="10646,-1144" coordsize="0,9" path="m10646,-1135l10646,-1144,10646,-1135xe" filled="true" fillcolor="#d3d3d3" stroked="false">
            <v:path arrowok="t"/>
            <v:fill type="solid"/>
            <w10:wrap type="none"/>
          </v:shape>
        </w:pict>
      </w:r>
      <w:r>
        <w:rPr/>
        <w:pict>
          <v:shape style="position:absolute;margin-left:532.305481pt;margin-top:-49.070961pt;width:.1pt;height:.45pt;mso-position-horizontal-relative:page;mso-position-vertical-relative:paragraph;z-index:252401664" coordorigin="10646,-981" coordsize="0,9" path="m10646,-973l10646,-981,10646,-973xe" filled="true" fillcolor="#d3d3d3" stroked="false">
            <v:path arrowok="t"/>
            <v:fill type="solid"/>
            <w10:wrap type="none"/>
          </v:shape>
        </w:pict>
      </w:r>
      <w:r>
        <w:rPr/>
        <w:pict>
          <v:shape style="position:absolute;margin-left:532.305481pt;margin-top:-40.959759pt;width:.1pt;height:.45pt;mso-position-horizontal-relative:page;mso-position-vertical-relative:paragraph;z-index:252402688" coordorigin="10646,-819" coordsize="0,9" path="m10646,-811l10646,-819,10646,-811xe" filled="true" fillcolor="#d3d3d3" stroked="false">
            <v:path arrowok="t"/>
            <v:fill type="solid"/>
            <w10:wrap type="none"/>
          </v:shape>
        </w:pict>
      </w:r>
      <w:r>
        <w:rPr/>
        <w:pict>
          <v:shape style="position:absolute;margin-left:532.305481pt;margin-top:-32.862053pt;width:.1pt;height:.45pt;mso-position-horizontal-relative:page;mso-position-vertical-relative:paragraph;z-index:252403712" coordorigin="10646,-657" coordsize="0,9" path="m10646,-649l10646,-657,10646,-649xe" filled="true" fillcolor="#d3d3d3" stroked="false">
            <v:path arrowok="t"/>
            <v:fill type="solid"/>
            <w10:wrap type="none"/>
          </v:shape>
        </w:pict>
      </w:r>
      <w:r>
        <w:rPr/>
        <w:pict>
          <v:shape style="position:absolute;margin-left:532.305481pt;margin-top:-24.750313pt;width:.1pt;height:.45pt;mso-position-horizontal-relative:page;mso-position-vertical-relative:paragraph;z-index:252404736" coordorigin="10646,-495" coordsize="0,9" path="m10646,-487l10646,-495,10646,-487xe" filled="true" fillcolor="#d3d3d3" stroked="false">
            <v:path arrowok="t"/>
            <v:fill type="solid"/>
            <w10:wrap type="none"/>
          </v:shape>
        </w:pict>
      </w:r>
      <w:r>
        <w:rPr/>
        <w:pict>
          <v:shape style="position:absolute;margin-left:532.305481pt;margin-top:-16.639112pt;width:.1pt;height:.45pt;mso-position-horizontal-relative:page;mso-position-vertical-relative:paragraph;z-index:252405760" coordorigin="10646,-333" coordsize="0,9" path="m10646,-325l10646,-333,10646,-325xe" filled="true" fillcolor="#d3d3d3" stroked="false">
            <v:path arrowok="t"/>
            <v:fill type="solid"/>
            <w10:wrap type="none"/>
          </v:shape>
        </w:pict>
      </w:r>
      <w:r>
        <w:rPr/>
        <w:pict>
          <v:shape style="position:absolute;margin-left:532.305481pt;margin-top:-8.52845pt;width:.1pt;height:.45pt;mso-position-horizontal-relative:page;mso-position-vertical-relative:paragraph;z-index:252406784" coordorigin="10646,-171" coordsize="0,9" path="m10646,-162l10646,-171,10646,-162xe" filled="true" fillcolor="#d3d3d3" stroked="false">
            <v:path arrowok="t"/>
            <v:fill type="solid"/>
            <w10:wrap type="none"/>
          </v:shape>
        </w:pict>
      </w:r>
      <w:r>
        <w:rPr>
          <w:sz w:val="16"/>
        </w:rPr>
        <w:t>Fuente: Banco de Guatemala y algunas proyecciones complementarias de MINFIN.</w:t>
      </w:r>
    </w:p>
    <w:p>
      <w:pPr>
        <w:pStyle w:val="BodyText"/>
        <w:rPr>
          <w:sz w:val="18"/>
        </w:rPr>
      </w:pPr>
    </w:p>
    <w:p>
      <w:pPr>
        <w:pStyle w:val="BodyText"/>
        <w:spacing w:before="2"/>
        <w:rPr>
          <w:sz w:val="14"/>
        </w:rPr>
      </w:pPr>
    </w:p>
    <w:p>
      <w:pPr>
        <w:pStyle w:val="BodyText"/>
        <w:spacing w:line="276" w:lineRule="auto"/>
        <w:ind w:left="562" w:right="1695"/>
        <w:jc w:val="both"/>
      </w:pPr>
      <w:r>
        <w:rPr/>
        <w:t>Con los resultados de la balanza comercial de bienes y una balanza comercial de servicios aún en recuperación y también afectada por los precios de transporte internacional, además de una posible reducción</w:t>
      </w:r>
      <w:r>
        <w:rPr>
          <w:spacing w:val="-10"/>
        </w:rPr>
        <w:t> </w:t>
      </w:r>
      <w:r>
        <w:rPr/>
        <w:t>de</w:t>
      </w:r>
      <w:r>
        <w:rPr>
          <w:spacing w:val="-11"/>
        </w:rPr>
        <w:t> </w:t>
      </w:r>
      <w:r>
        <w:rPr/>
        <w:t>la</w:t>
      </w:r>
      <w:r>
        <w:rPr>
          <w:spacing w:val="-9"/>
        </w:rPr>
        <w:t> </w:t>
      </w:r>
      <w:r>
        <w:rPr/>
        <w:t>tasa</w:t>
      </w:r>
      <w:r>
        <w:rPr>
          <w:spacing w:val="-9"/>
        </w:rPr>
        <w:t> </w:t>
      </w:r>
      <w:r>
        <w:rPr/>
        <w:t>de</w:t>
      </w:r>
      <w:r>
        <w:rPr>
          <w:spacing w:val="-8"/>
        </w:rPr>
        <w:t> </w:t>
      </w:r>
      <w:r>
        <w:rPr/>
        <w:t>crecimiento</w:t>
      </w:r>
      <w:r>
        <w:rPr>
          <w:spacing w:val="-10"/>
        </w:rPr>
        <w:t> </w:t>
      </w:r>
      <w:r>
        <w:rPr/>
        <w:t>de</w:t>
      </w:r>
      <w:r>
        <w:rPr>
          <w:spacing w:val="-8"/>
        </w:rPr>
        <w:t> </w:t>
      </w:r>
      <w:r>
        <w:rPr/>
        <w:t>las</w:t>
      </w:r>
      <w:r>
        <w:rPr>
          <w:spacing w:val="-9"/>
        </w:rPr>
        <w:t> </w:t>
      </w:r>
      <w:r>
        <w:rPr/>
        <w:t>remesas</w:t>
      </w:r>
      <w:r>
        <w:rPr>
          <w:spacing w:val="-8"/>
        </w:rPr>
        <w:t> </w:t>
      </w:r>
      <w:r>
        <w:rPr/>
        <w:t>familiares,</w:t>
      </w:r>
      <w:r>
        <w:rPr>
          <w:spacing w:val="-12"/>
        </w:rPr>
        <w:t> </w:t>
      </w:r>
      <w:r>
        <w:rPr/>
        <w:t>la</w:t>
      </w:r>
      <w:r>
        <w:rPr>
          <w:spacing w:val="-5"/>
        </w:rPr>
        <w:t> </w:t>
      </w:r>
      <w:r>
        <w:rPr/>
        <w:t>cuenta</w:t>
      </w:r>
      <w:r>
        <w:rPr>
          <w:spacing w:val="-9"/>
        </w:rPr>
        <w:t> </w:t>
      </w:r>
      <w:r>
        <w:rPr/>
        <w:t>corriente</w:t>
      </w:r>
      <w:r>
        <w:rPr>
          <w:spacing w:val="-8"/>
        </w:rPr>
        <w:t> </w:t>
      </w:r>
      <w:r>
        <w:rPr/>
        <w:t>podría</w:t>
      </w:r>
      <w:r>
        <w:rPr>
          <w:spacing w:val="-11"/>
        </w:rPr>
        <w:t> </w:t>
      </w:r>
      <w:r>
        <w:rPr/>
        <w:t>retornar</w:t>
      </w:r>
      <w:r>
        <w:rPr>
          <w:spacing w:val="-10"/>
        </w:rPr>
        <w:t> </w:t>
      </w:r>
      <w:r>
        <w:rPr/>
        <w:t>a</w:t>
      </w:r>
      <w:r>
        <w:rPr>
          <w:spacing w:val="-9"/>
        </w:rPr>
        <w:t> </w:t>
      </w:r>
      <w:r>
        <w:rPr/>
        <w:t>sus niveles previos a 2016. De esa cuenta, el Banco de Guatemala prevé que la cuenta corriente con respecto</w:t>
      </w:r>
      <w:r>
        <w:rPr>
          <w:spacing w:val="-12"/>
        </w:rPr>
        <w:t> </w:t>
      </w:r>
      <w:r>
        <w:rPr/>
        <w:t>al</w:t>
      </w:r>
      <w:r>
        <w:rPr>
          <w:spacing w:val="-10"/>
        </w:rPr>
        <w:t> </w:t>
      </w:r>
      <w:r>
        <w:rPr/>
        <w:t>PIB</w:t>
      </w:r>
      <w:r>
        <w:rPr>
          <w:spacing w:val="-12"/>
        </w:rPr>
        <w:t> </w:t>
      </w:r>
      <w:r>
        <w:rPr/>
        <w:t>se</w:t>
      </w:r>
      <w:r>
        <w:rPr>
          <w:spacing w:val="-11"/>
        </w:rPr>
        <w:t> </w:t>
      </w:r>
      <w:r>
        <w:rPr/>
        <w:t>reduzca</w:t>
      </w:r>
      <w:r>
        <w:rPr>
          <w:spacing w:val="-10"/>
        </w:rPr>
        <w:t> </w:t>
      </w:r>
      <w:r>
        <w:rPr/>
        <w:t>a</w:t>
      </w:r>
      <w:r>
        <w:rPr>
          <w:spacing w:val="-13"/>
        </w:rPr>
        <w:t> </w:t>
      </w:r>
      <w:r>
        <w:rPr/>
        <w:t>0.8%</w:t>
      </w:r>
      <w:r>
        <w:rPr>
          <w:spacing w:val="-9"/>
        </w:rPr>
        <w:t> </w:t>
      </w:r>
      <w:r>
        <w:rPr/>
        <w:t>en</w:t>
      </w:r>
      <w:r>
        <w:rPr>
          <w:spacing w:val="-12"/>
        </w:rPr>
        <w:t> </w:t>
      </w:r>
      <w:r>
        <w:rPr/>
        <w:t>2023.</w:t>
      </w:r>
      <w:r>
        <w:rPr>
          <w:spacing w:val="34"/>
        </w:rPr>
        <w:t> </w:t>
      </w:r>
      <w:r>
        <w:rPr/>
        <w:t>Asimismo,</w:t>
      </w:r>
      <w:r>
        <w:rPr>
          <w:spacing w:val="-9"/>
        </w:rPr>
        <w:t> </w:t>
      </w:r>
      <w:r>
        <w:rPr/>
        <w:t>en</w:t>
      </w:r>
      <w:r>
        <w:rPr>
          <w:spacing w:val="-11"/>
        </w:rPr>
        <w:t> </w:t>
      </w:r>
      <w:r>
        <w:rPr/>
        <w:t>el</w:t>
      </w:r>
      <w:r>
        <w:rPr>
          <w:spacing w:val="-10"/>
        </w:rPr>
        <w:t> </w:t>
      </w:r>
      <w:r>
        <w:rPr/>
        <w:t>mediano</w:t>
      </w:r>
      <w:r>
        <w:rPr>
          <w:spacing w:val="-11"/>
        </w:rPr>
        <w:t> </w:t>
      </w:r>
      <w:r>
        <w:rPr/>
        <w:t>plazo</w:t>
      </w:r>
      <w:r>
        <w:rPr>
          <w:spacing w:val="-12"/>
        </w:rPr>
        <w:t> </w:t>
      </w:r>
      <w:r>
        <w:rPr/>
        <w:t>se</w:t>
      </w:r>
      <w:r>
        <w:rPr>
          <w:spacing w:val="-10"/>
        </w:rPr>
        <w:t> </w:t>
      </w:r>
      <w:r>
        <w:rPr/>
        <w:t>espera</w:t>
      </w:r>
      <w:r>
        <w:rPr>
          <w:spacing w:val="-10"/>
        </w:rPr>
        <w:t> </w:t>
      </w:r>
      <w:r>
        <w:rPr/>
        <w:t>que</w:t>
      </w:r>
      <w:r>
        <w:rPr>
          <w:spacing w:val="-13"/>
        </w:rPr>
        <w:t> </w:t>
      </w:r>
      <w:r>
        <w:rPr/>
        <w:t>los</w:t>
      </w:r>
      <w:r>
        <w:rPr>
          <w:spacing w:val="-13"/>
        </w:rPr>
        <w:t> </w:t>
      </w:r>
      <w:r>
        <w:rPr/>
        <w:t>ingresos primarios</w:t>
      </w:r>
      <w:r>
        <w:rPr>
          <w:spacing w:val="-7"/>
        </w:rPr>
        <w:t> </w:t>
      </w:r>
      <w:r>
        <w:rPr/>
        <w:t>se</w:t>
      </w:r>
      <w:r>
        <w:rPr>
          <w:spacing w:val="-6"/>
        </w:rPr>
        <w:t> </w:t>
      </w:r>
      <w:r>
        <w:rPr/>
        <w:t>mantengan</w:t>
      </w:r>
      <w:r>
        <w:rPr>
          <w:spacing w:val="-7"/>
        </w:rPr>
        <w:t> </w:t>
      </w:r>
      <w:r>
        <w:rPr/>
        <w:t>deficitarios</w:t>
      </w:r>
      <w:r>
        <w:rPr>
          <w:spacing w:val="-6"/>
        </w:rPr>
        <w:t> </w:t>
      </w:r>
      <w:r>
        <w:rPr/>
        <w:t>principalmente</w:t>
      </w:r>
      <w:r>
        <w:rPr>
          <w:spacing w:val="-7"/>
        </w:rPr>
        <w:t> </w:t>
      </w:r>
      <w:r>
        <w:rPr/>
        <w:t>por</w:t>
      </w:r>
      <w:r>
        <w:rPr>
          <w:spacing w:val="-8"/>
        </w:rPr>
        <w:t> </w:t>
      </w:r>
      <w:r>
        <w:rPr/>
        <w:t>las</w:t>
      </w:r>
      <w:r>
        <w:rPr>
          <w:spacing w:val="-5"/>
        </w:rPr>
        <w:t> </w:t>
      </w:r>
      <w:r>
        <w:rPr/>
        <w:t>rentas</w:t>
      </w:r>
      <w:r>
        <w:rPr>
          <w:spacing w:val="-6"/>
        </w:rPr>
        <w:t> </w:t>
      </w:r>
      <w:r>
        <w:rPr/>
        <w:t>de</w:t>
      </w:r>
      <w:r>
        <w:rPr>
          <w:spacing w:val="-8"/>
        </w:rPr>
        <w:t> </w:t>
      </w:r>
      <w:r>
        <w:rPr/>
        <w:t>la</w:t>
      </w:r>
      <w:r>
        <w:rPr>
          <w:spacing w:val="-7"/>
        </w:rPr>
        <w:t> </w:t>
      </w:r>
      <w:r>
        <w:rPr/>
        <w:t>inversión</w:t>
      </w:r>
      <w:r>
        <w:rPr>
          <w:spacing w:val="-6"/>
        </w:rPr>
        <w:t> </w:t>
      </w:r>
      <w:r>
        <w:rPr/>
        <w:t>directa</w:t>
      </w:r>
      <w:r>
        <w:rPr>
          <w:spacing w:val="-7"/>
        </w:rPr>
        <w:t> </w:t>
      </w:r>
      <w:r>
        <w:rPr/>
        <w:t>y</w:t>
      </w:r>
      <w:r>
        <w:rPr>
          <w:spacing w:val="-9"/>
        </w:rPr>
        <w:t> </w:t>
      </w:r>
      <w:r>
        <w:rPr/>
        <w:t>que</w:t>
      </w:r>
      <w:r>
        <w:rPr>
          <w:spacing w:val="-6"/>
        </w:rPr>
        <w:t> </w:t>
      </w:r>
      <w:r>
        <w:rPr/>
        <w:t>la</w:t>
      </w:r>
      <w:r>
        <w:rPr>
          <w:spacing w:val="-7"/>
        </w:rPr>
        <w:t> </w:t>
      </w:r>
      <w:r>
        <w:rPr/>
        <w:t>tasa de crecimiento de las remesas familiares siga moderada por lo que se espera, según estimaciones de la Dirección de Análisis y Política Fiscal, que la cuenta corriente se reduzca gradualmente hasta alcanzar valores de 0.3% con respecto al PIB para 2026 y 2027</w:t>
      </w:r>
      <w:r>
        <w:rPr>
          <w:spacing w:val="-7"/>
        </w:rPr>
        <w:t> </w:t>
      </w:r>
      <w:r>
        <w:rPr/>
        <w:t>respectivamente.</w:t>
      </w:r>
    </w:p>
    <w:p>
      <w:pPr>
        <w:pStyle w:val="BodyText"/>
        <w:spacing w:before="6"/>
        <w:rPr>
          <w:sz w:val="25"/>
        </w:rPr>
      </w:pPr>
    </w:p>
    <w:p>
      <w:pPr>
        <w:pStyle w:val="BodyText"/>
        <w:spacing w:line="276" w:lineRule="auto"/>
        <w:ind w:left="562" w:right="1692"/>
        <w:jc w:val="both"/>
      </w:pPr>
      <w:r>
        <w:rPr/>
        <w:t>De las principales variables del sector monetario, el Banco de Guatemala, prevé que los medios de pago nacionales y extranjeros tengan un crecimiento entre 8.0% a 10.0% para 2023, con un valor medio</w:t>
      </w:r>
      <w:r>
        <w:rPr>
          <w:spacing w:val="-9"/>
        </w:rPr>
        <w:t> </w:t>
      </w:r>
      <w:r>
        <w:rPr/>
        <w:t>de</w:t>
      </w:r>
      <w:r>
        <w:rPr>
          <w:spacing w:val="-8"/>
        </w:rPr>
        <w:t> </w:t>
      </w:r>
      <w:r>
        <w:rPr/>
        <w:t>8.5%,</w:t>
      </w:r>
      <w:r>
        <w:rPr>
          <w:spacing w:val="-10"/>
        </w:rPr>
        <w:t> </w:t>
      </w:r>
      <w:r>
        <w:rPr/>
        <w:t>posteriormente</w:t>
      </w:r>
      <w:r>
        <w:rPr>
          <w:spacing w:val="-10"/>
        </w:rPr>
        <w:t> </w:t>
      </w:r>
      <w:r>
        <w:rPr/>
        <w:t>se</w:t>
      </w:r>
      <w:r>
        <w:rPr>
          <w:spacing w:val="-8"/>
        </w:rPr>
        <w:t> </w:t>
      </w:r>
      <w:r>
        <w:rPr/>
        <w:t>espera</w:t>
      </w:r>
      <w:r>
        <w:rPr>
          <w:spacing w:val="-7"/>
        </w:rPr>
        <w:t> </w:t>
      </w:r>
      <w:r>
        <w:rPr/>
        <w:t>que</w:t>
      </w:r>
      <w:r>
        <w:rPr>
          <w:spacing w:val="-11"/>
        </w:rPr>
        <w:t> </w:t>
      </w:r>
      <w:r>
        <w:rPr/>
        <w:t>tengan</w:t>
      </w:r>
      <w:r>
        <w:rPr>
          <w:spacing w:val="-8"/>
        </w:rPr>
        <w:t> </w:t>
      </w:r>
      <w:r>
        <w:rPr/>
        <w:t>un</w:t>
      </w:r>
      <w:r>
        <w:rPr>
          <w:spacing w:val="-8"/>
        </w:rPr>
        <w:t> </w:t>
      </w:r>
      <w:r>
        <w:rPr/>
        <w:t>crecimiento</w:t>
      </w:r>
      <w:r>
        <w:rPr>
          <w:spacing w:val="-11"/>
        </w:rPr>
        <w:t> </w:t>
      </w:r>
      <w:r>
        <w:rPr/>
        <w:t>alrededor</w:t>
      </w:r>
      <w:r>
        <w:rPr>
          <w:spacing w:val="-10"/>
        </w:rPr>
        <w:t> </w:t>
      </w:r>
      <w:r>
        <w:rPr/>
        <w:t>de</w:t>
      </w:r>
      <w:r>
        <w:rPr>
          <w:spacing w:val="-10"/>
        </w:rPr>
        <w:t> </w:t>
      </w:r>
      <w:r>
        <w:rPr/>
        <w:t>8.1%</w:t>
      </w:r>
      <w:r>
        <w:rPr>
          <w:spacing w:val="-8"/>
        </w:rPr>
        <w:t> </w:t>
      </w:r>
      <w:r>
        <w:rPr/>
        <w:t>en</w:t>
      </w:r>
      <w:r>
        <w:rPr>
          <w:spacing w:val="-9"/>
        </w:rPr>
        <w:t> </w:t>
      </w:r>
      <w:r>
        <w:rPr/>
        <w:t>el</w:t>
      </w:r>
      <w:r>
        <w:rPr>
          <w:spacing w:val="-6"/>
        </w:rPr>
        <w:t> </w:t>
      </w:r>
      <w:r>
        <w:rPr/>
        <w:t>mediano plazo debido principalmente a la estabilización de los precios de la economía como lo muestra el deflactor del PIB. Asimismo, se espera que el crédito al sector privado muestre un crecimiento entre 7.0%</w:t>
      </w:r>
      <w:r>
        <w:rPr>
          <w:spacing w:val="15"/>
        </w:rPr>
        <w:t> </w:t>
      </w:r>
      <w:r>
        <w:rPr/>
        <w:t>a</w:t>
      </w:r>
      <w:r>
        <w:rPr>
          <w:spacing w:val="15"/>
        </w:rPr>
        <w:t> </w:t>
      </w:r>
      <w:r>
        <w:rPr/>
        <w:t>11.0%</w:t>
      </w:r>
      <w:r>
        <w:rPr>
          <w:spacing w:val="17"/>
        </w:rPr>
        <w:t> </w:t>
      </w:r>
      <w:r>
        <w:rPr/>
        <w:t>para</w:t>
      </w:r>
      <w:r>
        <w:rPr>
          <w:spacing w:val="15"/>
        </w:rPr>
        <w:t> </w:t>
      </w:r>
      <w:r>
        <w:rPr/>
        <w:t>2023</w:t>
      </w:r>
      <w:r>
        <w:rPr>
          <w:spacing w:val="14"/>
        </w:rPr>
        <w:t> </w:t>
      </w:r>
      <w:r>
        <w:rPr/>
        <w:t>y</w:t>
      </w:r>
      <w:r>
        <w:rPr>
          <w:spacing w:val="14"/>
        </w:rPr>
        <w:t> </w:t>
      </w:r>
      <w:r>
        <w:rPr/>
        <w:t>posteriormente</w:t>
      </w:r>
      <w:r>
        <w:rPr>
          <w:spacing w:val="15"/>
        </w:rPr>
        <w:t> </w:t>
      </w:r>
      <w:r>
        <w:rPr/>
        <w:t>se</w:t>
      </w:r>
      <w:r>
        <w:rPr>
          <w:spacing w:val="15"/>
        </w:rPr>
        <w:t> </w:t>
      </w:r>
      <w:r>
        <w:rPr/>
        <w:t>mantenga</w:t>
      </w:r>
      <w:r>
        <w:rPr>
          <w:spacing w:val="18"/>
        </w:rPr>
        <w:t> </w:t>
      </w:r>
      <w:r>
        <w:rPr/>
        <w:t>en</w:t>
      </w:r>
      <w:r>
        <w:rPr>
          <w:spacing w:val="16"/>
        </w:rPr>
        <w:t> </w:t>
      </w:r>
      <w:r>
        <w:rPr/>
        <w:t>promedio</w:t>
      </w:r>
      <w:r>
        <w:rPr>
          <w:spacing w:val="14"/>
        </w:rPr>
        <w:t> </w:t>
      </w:r>
      <w:r>
        <w:rPr/>
        <w:t>en</w:t>
      </w:r>
      <w:r>
        <w:rPr>
          <w:spacing w:val="15"/>
        </w:rPr>
        <w:t> </w:t>
      </w:r>
      <w:r>
        <w:rPr/>
        <w:t>7.6%</w:t>
      </w:r>
      <w:r>
        <w:rPr>
          <w:spacing w:val="15"/>
        </w:rPr>
        <w:t> </w:t>
      </w:r>
      <w:r>
        <w:rPr/>
        <w:t>hasta</w:t>
      </w:r>
      <w:r>
        <w:rPr>
          <w:spacing w:val="15"/>
        </w:rPr>
        <w:t> </w:t>
      </w:r>
      <w:r>
        <w:rPr/>
        <w:t>2027,</w:t>
      </w:r>
    </w:p>
    <w:p>
      <w:pPr>
        <w:spacing w:after="0" w:line="276" w:lineRule="auto"/>
        <w:jc w:val="both"/>
        <w:sectPr>
          <w:pgSz w:w="12240" w:h="15840"/>
          <w:pgMar w:header="715" w:footer="957" w:top="1240" w:bottom="1140" w:left="1140" w:right="0"/>
        </w:sectPr>
      </w:pPr>
    </w:p>
    <w:p>
      <w:pPr>
        <w:pStyle w:val="BodyText"/>
        <w:spacing w:line="276" w:lineRule="auto" w:before="162"/>
        <w:ind w:left="562" w:right="1699"/>
        <w:jc w:val="both"/>
      </w:pPr>
      <w:r>
        <w:rPr/>
        <w:t>respondiendo</w:t>
      </w:r>
      <w:r>
        <w:rPr>
          <w:spacing w:val="-9"/>
        </w:rPr>
        <w:t> </w:t>
      </w:r>
      <w:r>
        <w:rPr/>
        <w:t>a</w:t>
      </w:r>
      <w:r>
        <w:rPr>
          <w:spacing w:val="-10"/>
        </w:rPr>
        <w:t> </w:t>
      </w:r>
      <w:r>
        <w:rPr/>
        <w:t>la</w:t>
      </w:r>
      <w:r>
        <w:rPr>
          <w:spacing w:val="-8"/>
        </w:rPr>
        <w:t> </w:t>
      </w:r>
      <w:r>
        <w:rPr/>
        <w:t>mejora</w:t>
      </w:r>
      <w:r>
        <w:rPr>
          <w:spacing w:val="-8"/>
        </w:rPr>
        <w:t> </w:t>
      </w:r>
      <w:r>
        <w:rPr/>
        <w:t>en</w:t>
      </w:r>
      <w:r>
        <w:rPr>
          <w:spacing w:val="-11"/>
        </w:rPr>
        <w:t> </w:t>
      </w:r>
      <w:r>
        <w:rPr/>
        <w:t>la</w:t>
      </w:r>
      <w:r>
        <w:rPr>
          <w:spacing w:val="-9"/>
        </w:rPr>
        <w:t> </w:t>
      </w:r>
      <w:r>
        <w:rPr/>
        <w:t>actividad</w:t>
      </w:r>
      <w:r>
        <w:rPr>
          <w:spacing w:val="-8"/>
        </w:rPr>
        <w:t> </w:t>
      </w:r>
      <w:r>
        <w:rPr/>
        <w:t>económica.</w:t>
      </w:r>
      <w:r>
        <w:rPr>
          <w:spacing w:val="-9"/>
        </w:rPr>
        <w:t> </w:t>
      </w:r>
      <w:r>
        <w:rPr/>
        <w:t>Los</w:t>
      </w:r>
      <w:r>
        <w:rPr>
          <w:spacing w:val="-8"/>
        </w:rPr>
        <w:t> </w:t>
      </w:r>
      <w:r>
        <w:rPr/>
        <w:t>pronósticos</w:t>
      </w:r>
      <w:r>
        <w:rPr>
          <w:spacing w:val="-8"/>
        </w:rPr>
        <w:t> </w:t>
      </w:r>
      <w:r>
        <w:rPr/>
        <w:t>de</w:t>
      </w:r>
      <w:r>
        <w:rPr>
          <w:spacing w:val="-12"/>
        </w:rPr>
        <w:t> </w:t>
      </w:r>
      <w:r>
        <w:rPr/>
        <w:t>los</w:t>
      </w:r>
      <w:r>
        <w:rPr>
          <w:spacing w:val="-10"/>
        </w:rPr>
        <w:t> </w:t>
      </w:r>
      <w:r>
        <w:rPr/>
        <w:t>agregados</w:t>
      </w:r>
      <w:r>
        <w:rPr>
          <w:spacing w:val="-8"/>
        </w:rPr>
        <w:t> </w:t>
      </w:r>
      <w:r>
        <w:rPr/>
        <w:t>monetarias</w:t>
      </w:r>
      <w:r>
        <w:rPr>
          <w:spacing w:val="-10"/>
        </w:rPr>
        <w:t> </w:t>
      </w:r>
      <w:r>
        <w:rPr/>
        <w:t>del 2024 al 2027 fueron elaborados por la Dirección de Análisis y Política Fiscal. Asimismo, se prevé que la inflación en el mediano plazo se encuentre alrededor del límite inferior de la meta del 3.0% hasta 2027. Es importante mencionar que las proyecciones del escenario macroeconómico a utilizar en el Marco Fiscal de Mediano Plazo (2023-2027) corresponden al escenario bajo del Banco de Guatemala.</w:t>
      </w:r>
    </w:p>
    <w:p>
      <w:pPr>
        <w:pStyle w:val="BodyText"/>
        <w:spacing w:before="4"/>
        <w:rPr>
          <w:sz w:val="20"/>
        </w:rPr>
      </w:pPr>
    </w:p>
    <w:p>
      <w:pPr>
        <w:pStyle w:val="Heading3"/>
        <w:spacing w:before="92"/>
        <w:ind w:left="1402"/>
      </w:pPr>
      <w:r>
        <w:rPr/>
        <w:pict>
          <v:group style="position:absolute;margin-left:84.384003pt;margin-top:3.109509pt;width:441pt;height:516.1pt;mso-position-horizontal-relative:page;mso-position-vertical-relative:paragraph;z-index:-280911872" coordorigin="1688,62" coordsize="8820,10322">
            <v:shape style="position:absolute;left:1716;top:93;width:8762;height:10262" coordorigin="1716,93" coordsize="8762,10262" path="m10478,94l10384,94,10384,93,1810,93,1810,94,1716,94,1716,10355,10478,10355,10478,94e" filled="true" fillcolor="#bcd5ed" stroked="false">
              <v:path arrowok="t"/>
              <v:fill type="solid"/>
            </v:shape>
            <v:line style="position:absolute" from="4194,9174" to="4559,9174" stroked="true" strokeweight=".72pt" strokecolor="#000000">
              <v:stroke dashstyle="solid"/>
            </v:line>
            <v:shape style="position:absolute;left:1810;top:9483;width:8575;height:872" coordorigin="1810,9484" coordsize="8575,872" path="m10384,10065l1810,10065,1810,10355,10384,10355,10384,10065m10384,9484l1810,9484,1810,9774,1810,10065,10384,10065,10384,9774,10384,9484e" filled="true" fillcolor="#bcd5ed" stroked="false">
              <v:path arrowok="t"/>
              <v:fill type="solid"/>
            </v:shape>
            <v:shape style="position:absolute;left:1687;top:62;width:29;height:32" coordorigin="1688,62" coordsize="29,32" path="m1716,62l1688,62,1688,91,1688,93,1716,93,1716,91,1716,62e" filled="true" fillcolor="#000000" stroked="false">
              <v:path arrowok="t"/>
              <v:fill type="solid"/>
            </v:shape>
            <v:rect style="position:absolute;left:1716;top:62;width:8762;height:29" filled="true" fillcolor="#000000" stroked="false">
              <v:fill type="solid"/>
            </v:rect>
            <v:line style="position:absolute" from="1716,92" to="10478,92" stroked="true" strokeweight=".12pt" strokecolor="#bcd5ed">
              <v:stroke dashstyle="solid"/>
            </v:line>
            <v:shape style="position:absolute;left:10478;top:62;width:29;height:32" coordorigin="10478,62" coordsize="29,32" path="m10507,62l10478,62,10478,91,10478,93,10507,93,10507,91,10507,62e" filled="true" fillcolor="#000000" stroked="false">
              <v:path arrowok="t"/>
              <v:fill type="solid"/>
            </v:shape>
            <v:line style="position:absolute" from="1702,94" to="1702,10384" stroked="true" strokeweight="1.44pt" strokecolor="#000000">
              <v:stroke dashstyle="solid"/>
            </v:line>
            <v:rect style="position:absolute;left:1716;top:10355;width:8762;height:29" filled="true" fillcolor="#000000" stroked="false">
              <v:fill type="solid"/>
            </v:rect>
            <v:line style="position:absolute" from="10492,94" to="10492,10384" stroked="true" strokeweight="1.44pt" strokecolor="#000000">
              <v:stroke dashstyle="solid"/>
            </v:line>
            <w10:wrap type="none"/>
          </v:group>
        </w:pict>
      </w:r>
      <w:r>
        <w:rPr/>
        <w:t>Recuadro 2. Escenario medio de crecimiento económico bajo incertidumbre</w:t>
      </w:r>
    </w:p>
    <w:p>
      <w:pPr>
        <w:pStyle w:val="BodyText"/>
        <w:spacing w:before="1"/>
        <w:rPr>
          <w:b/>
          <w:sz w:val="20"/>
        </w:rPr>
      </w:pPr>
    </w:p>
    <w:p>
      <w:pPr>
        <w:pStyle w:val="BodyText"/>
        <w:spacing w:line="276" w:lineRule="auto" w:before="92"/>
        <w:ind w:left="670" w:right="1852"/>
        <w:jc w:val="both"/>
      </w:pPr>
      <w:r>
        <w:rPr/>
        <w:t>Según las perspectivas económicas del primer semestre de 2021 y después de la contracción observada en el PIB en 2020 por las medidas sanitarias para detener la propagación del COVID- 19 en el mundo y de la recuperación económica del 2021, el Banco de Guatemala prevé que el impulso</w:t>
      </w:r>
      <w:r>
        <w:rPr>
          <w:spacing w:val="-6"/>
        </w:rPr>
        <w:t> </w:t>
      </w:r>
      <w:r>
        <w:rPr/>
        <w:t>continúe</w:t>
      </w:r>
      <w:r>
        <w:rPr>
          <w:spacing w:val="-9"/>
        </w:rPr>
        <w:t> </w:t>
      </w:r>
      <w:r>
        <w:rPr/>
        <w:t>en</w:t>
      </w:r>
      <w:r>
        <w:rPr>
          <w:spacing w:val="-6"/>
        </w:rPr>
        <w:t> </w:t>
      </w:r>
      <w:r>
        <w:rPr/>
        <w:t>el</w:t>
      </w:r>
      <w:r>
        <w:rPr>
          <w:spacing w:val="-9"/>
        </w:rPr>
        <w:t> </w:t>
      </w:r>
      <w:r>
        <w:rPr/>
        <w:t>segundo</w:t>
      </w:r>
      <w:r>
        <w:rPr>
          <w:spacing w:val="-6"/>
        </w:rPr>
        <w:t> </w:t>
      </w:r>
      <w:r>
        <w:rPr/>
        <w:t>semestre</w:t>
      </w:r>
      <w:r>
        <w:rPr>
          <w:spacing w:val="-7"/>
        </w:rPr>
        <w:t> </w:t>
      </w:r>
      <w:r>
        <w:rPr/>
        <w:t>de</w:t>
      </w:r>
      <w:r>
        <w:rPr>
          <w:spacing w:val="-6"/>
        </w:rPr>
        <w:t> </w:t>
      </w:r>
      <w:r>
        <w:rPr/>
        <w:t>2022</w:t>
      </w:r>
      <w:r>
        <w:rPr>
          <w:spacing w:val="-7"/>
        </w:rPr>
        <w:t> </w:t>
      </w:r>
      <w:r>
        <w:rPr/>
        <w:t>pero</w:t>
      </w:r>
      <w:r>
        <w:rPr>
          <w:spacing w:val="-9"/>
        </w:rPr>
        <w:t> </w:t>
      </w:r>
      <w:r>
        <w:rPr/>
        <w:t>de</w:t>
      </w:r>
      <w:r>
        <w:rPr>
          <w:spacing w:val="-7"/>
        </w:rPr>
        <w:t> </w:t>
      </w:r>
      <w:r>
        <w:rPr/>
        <w:t>una</w:t>
      </w:r>
      <w:r>
        <w:rPr>
          <w:spacing w:val="-8"/>
        </w:rPr>
        <w:t> </w:t>
      </w:r>
      <w:r>
        <w:rPr/>
        <w:t>forma</w:t>
      </w:r>
      <w:r>
        <w:rPr>
          <w:spacing w:val="-7"/>
        </w:rPr>
        <w:t> </w:t>
      </w:r>
      <w:r>
        <w:rPr/>
        <w:t>más</w:t>
      </w:r>
      <w:r>
        <w:rPr>
          <w:spacing w:val="-4"/>
        </w:rPr>
        <w:t> </w:t>
      </w:r>
      <w:r>
        <w:rPr/>
        <w:t>moderada,</w:t>
      </w:r>
      <w:r>
        <w:rPr>
          <w:spacing w:val="-6"/>
        </w:rPr>
        <w:t> </w:t>
      </w:r>
      <w:r>
        <w:rPr/>
        <w:t>de</w:t>
      </w:r>
      <w:r>
        <w:rPr>
          <w:spacing w:val="-9"/>
        </w:rPr>
        <w:t> </w:t>
      </w:r>
      <w:r>
        <w:rPr/>
        <w:t>tal</w:t>
      </w:r>
      <w:r>
        <w:rPr>
          <w:spacing w:val="-5"/>
        </w:rPr>
        <w:t> </w:t>
      </w:r>
      <w:r>
        <w:rPr/>
        <w:t>manera que el crecimiento del 2022 se ubique de 3.0% a 5.0%. Para la elaboración de las proyecciones fiscales</w:t>
      </w:r>
      <w:r>
        <w:rPr>
          <w:spacing w:val="-13"/>
        </w:rPr>
        <w:t> </w:t>
      </w:r>
      <w:r>
        <w:rPr/>
        <w:t>de</w:t>
      </w:r>
      <w:r>
        <w:rPr>
          <w:spacing w:val="-13"/>
        </w:rPr>
        <w:t> </w:t>
      </w:r>
      <w:r>
        <w:rPr/>
        <w:t>mediano</w:t>
      </w:r>
      <w:r>
        <w:rPr>
          <w:spacing w:val="-10"/>
        </w:rPr>
        <w:t> </w:t>
      </w:r>
      <w:r>
        <w:rPr/>
        <w:t>plazo</w:t>
      </w:r>
      <w:r>
        <w:rPr>
          <w:spacing w:val="-13"/>
        </w:rPr>
        <w:t> </w:t>
      </w:r>
      <w:r>
        <w:rPr/>
        <w:t>se</w:t>
      </w:r>
      <w:r>
        <w:rPr>
          <w:spacing w:val="-10"/>
        </w:rPr>
        <w:t> </w:t>
      </w:r>
      <w:r>
        <w:rPr/>
        <w:t>consideró</w:t>
      </w:r>
      <w:r>
        <w:rPr>
          <w:spacing w:val="-13"/>
        </w:rPr>
        <w:t> </w:t>
      </w:r>
      <w:r>
        <w:rPr/>
        <w:t>el</w:t>
      </w:r>
      <w:r>
        <w:rPr>
          <w:spacing w:val="-10"/>
        </w:rPr>
        <w:t> </w:t>
      </w:r>
      <w:r>
        <w:rPr/>
        <w:t>escenario</w:t>
      </w:r>
      <w:r>
        <w:rPr>
          <w:spacing w:val="-13"/>
        </w:rPr>
        <w:t> </w:t>
      </w:r>
      <w:r>
        <w:rPr/>
        <w:t>bajo</w:t>
      </w:r>
      <w:r>
        <w:rPr>
          <w:spacing w:val="-11"/>
        </w:rPr>
        <w:t> </w:t>
      </w:r>
      <w:r>
        <w:rPr/>
        <w:t>de</w:t>
      </w:r>
      <w:r>
        <w:rPr>
          <w:spacing w:val="-14"/>
        </w:rPr>
        <w:t> </w:t>
      </w:r>
      <w:r>
        <w:rPr/>
        <w:t>2022-2027,</w:t>
      </w:r>
      <w:r>
        <w:rPr>
          <w:spacing w:val="-11"/>
        </w:rPr>
        <w:t> </w:t>
      </w:r>
      <w:r>
        <w:rPr/>
        <w:t>de</w:t>
      </w:r>
      <w:r>
        <w:rPr>
          <w:spacing w:val="-13"/>
        </w:rPr>
        <w:t> </w:t>
      </w:r>
      <w:r>
        <w:rPr/>
        <w:t>tal</w:t>
      </w:r>
      <w:r>
        <w:rPr>
          <w:spacing w:val="-12"/>
        </w:rPr>
        <w:t> </w:t>
      </w:r>
      <w:r>
        <w:rPr/>
        <w:t>manera</w:t>
      </w:r>
      <w:r>
        <w:rPr>
          <w:spacing w:val="-10"/>
        </w:rPr>
        <w:t> </w:t>
      </w:r>
      <w:r>
        <w:rPr/>
        <w:t>que</w:t>
      </w:r>
      <w:r>
        <w:rPr>
          <w:spacing w:val="-13"/>
        </w:rPr>
        <w:t> </w:t>
      </w:r>
      <w:r>
        <w:rPr/>
        <w:t>se</w:t>
      </w:r>
      <w:r>
        <w:rPr>
          <w:spacing w:val="-13"/>
        </w:rPr>
        <w:t> </w:t>
      </w:r>
      <w:r>
        <w:rPr/>
        <w:t>espera que el crecimiento económico este alrededor de 2.5% a 2.7% hasta</w:t>
      </w:r>
      <w:r>
        <w:rPr>
          <w:spacing w:val="-5"/>
        </w:rPr>
        <w:t> </w:t>
      </w:r>
      <w:r>
        <w:rPr/>
        <w:t>2027.</w:t>
      </w:r>
    </w:p>
    <w:p>
      <w:pPr>
        <w:pStyle w:val="BodyText"/>
        <w:spacing w:before="5"/>
        <w:rPr>
          <w:sz w:val="17"/>
        </w:rPr>
      </w:pPr>
    </w:p>
    <w:p>
      <w:pPr>
        <w:pStyle w:val="BodyText"/>
        <w:spacing w:line="276" w:lineRule="auto" w:before="92"/>
        <w:ind w:left="670" w:right="1851"/>
        <w:jc w:val="both"/>
      </w:pPr>
      <w:r>
        <w:rPr/>
        <w:t>Sin embargo, el extenso conflicto entre Rusia y Ucrania ha tenido un impacto negativo en la economía mundial por el aumento de precios de las materias prima de agricultura y de energía, lo que ha tenido repercusiones en niveles muy altos de inflación en la mayoría de las economías. Asimismo, dicha inflación disminuye el ingreso real de los hogares y ha llevado a los bancos centrales a aumentar las tasas de interés de política monetaria causando una disminución de la demanda interna de los países y una disminución de la demanda externa de los principales socios comerciales que podría afectar también el desempeño de la economía nacional en el segundo semestre. Por otro lado, el surgimiento de variantes de COVID-19 con mayor transmisibilidad, letalidad y que las vacunas actuales sean menos eficaces ante ellas, podrían llevar a los gobiernos a adoptar nuevamente medidas de contención que afectarían también el desempeño de la economía, entre otros posibles factores de riesgos. Por lo que, es importante considerar posibles factores que puedan afectar las proyecciones económicas del 2022-2027 consideradas en el escenario base del diseño de la política fiscal.</w:t>
      </w:r>
    </w:p>
    <w:p>
      <w:pPr>
        <w:pStyle w:val="BodyText"/>
        <w:spacing w:before="4"/>
        <w:rPr>
          <w:sz w:val="17"/>
        </w:rPr>
      </w:pPr>
    </w:p>
    <w:p>
      <w:pPr>
        <w:pStyle w:val="BodyText"/>
        <w:spacing w:line="276" w:lineRule="auto" w:before="91"/>
        <w:ind w:left="670" w:right="1851"/>
        <w:jc w:val="both"/>
      </w:pPr>
      <w:r>
        <w:rPr/>
        <w:t>Para medir los factores múltiples que pueden afectar las trayectorias del crecimiento económico se consideró como base una metodología trabajada con la asistencia técnica del Fondo Monetario Internacional</w:t>
      </w:r>
      <w:r>
        <w:rPr>
          <w:spacing w:val="-16"/>
        </w:rPr>
        <w:t> </w:t>
      </w:r>
      <w:r>
        <w:rPr/>
        <w:t>para</w:t>
      </w:r>
      <w:r>
        <w:rPr>
          <w:spacing w:val="-15"/>
        </w:rPr>
        <w:t> </w:t>
      </w:r>
      <w:r>
        <w:rPr/>
        <w:t>la</w:t>
      </w:r>
      <w:r>
        <w:rPr>
          <w:spacing w:val="-15"/>
        </w:rPr>
        <w:t> </w:t>
      </w:r>
      <w:r>
        <w:rPr/>
        <w:t>elaboración</w:t>
      </w:r>
      <w:r>
        <w:rPr>
          <w:spacing w:val="-16"/>
        </w:rPr>
        <w:t> </w:t>
      </w:r>
      <w:r>
        <w:rPr/>
        <w:t>de</w:t>
      </w:r>
      <w:r>
        <w:rPr>
          <w:spacing w:val="-14"/>
        </w:rPr>
        <w:t> </w:t>
      </w:r>
      <w:r>
        <w:rPr/>
        <w:t>Fanchart</w:t>
      </w:r>
      <w:r>
        <w:rPr>
          <w:spacing w:val="-14"/>
        </w:rPr>
        <w:t> </w:t>
      </w:r>
      <w:r>
        <w:rPr/>
        <w:t>y</w:t>
      </w:r>
      <w:r>
        <w:rPr>
          <w:spacing w:val="-18"/>
        </w:rPr>
        <w:t> </w:t>
      </w:r>
      <w:r>
        <w:rPr/>
        <w:t>siguiendo</w:t>
      </w:r>
      <w:r>
        <w:rPr>
          <w:spacing w:val="-16"/>
        </w:rPr>
        <w:t> </w:t>
      </w:r>
      <w:r>
        <w:rPr/>
        <w:t>de</w:t>
      </w:r>
      <w:r>
        <w:rPr>
          <w:spacing w:val="-15"/>
        </w:rPr>
        <w:t> </w:t>
      </w:r>
      <w:r>
        <w:rPr/>
        <w:t>cerca</w:t>
      </w:r>
      <w:r>
        <w:rPr>
          <w:spacing w:val="-16"/>
        </w:rPr>
        <w:t> </w:t>
      </w:r>
      <w:r>
        <w:rPr/>
        <w:t>el</w:t>
      </w:r>
      <w:r>
        <w:rPr>
          <w:spacing w:val="-15"/>
        </w:rPr>
        <w:t> </w:t>
      </w:r>
      <w:r>
        <w:rPr/>
        <w:t>trabajo</w:t>
      </w:r>
      <w:r>
        <w:rPr>
          <w:spacing w:val="-16"/>
        </w:rPr>
        <w:t> </w:t>
      </w:r>
      <w:r>
        <w:rPr/>
        <w:t>de</w:t>
      </w:r>
      <w:r>
        <w:rPr>
          <w:spacing w:val="-15"/>
        </w:rPr>
        <w:t> </w:t>
      </w:r>
      <w:r>
        <w:rPr/>
        <w:t>“</w:t>
      </w:r>
      <w:r>
        <w:rPr>
          <w:i/>
        </w:rPr>
        <w:t>Fanchart:</w:t>
      </w:r>
      <w:r>
        <w:rPr>
          <w:i/>
          <w:spacing w:val="-15"/>
        </w:rPr>
        <w:t> </w:t>
      </w:r>
      <w:r>
        <w:rPr>
          <w:i/>
        </w:rPr>
        <w:t>detalles </w:t>
      </w:r>
      <w:r>
        <w:rPr>
          <w:i/>
        </w:rPr>
        <w:t>técnicos de la nueva implementación</w:t>
      </w:r>
      <w:r>
        <w:rPr/>
        <w:t>” (Julio, 2007). El procedimiento consiste en tomar como base para cada periodo de pronósticos una distribución normal en partes como se muestra en la expresión</w:t>
      </w:r>
      <w:r>
        <w:rPr>
          <w:spacing w:val="6"/>
        </w:rPr>
        <w:t> </w:t>
      </w:r>
      <w:r>
        <w:rPr/>
        <w:t>(1),</w:t>
      </w:r>
      <w:r>
        <w:rPr>
          <w:spacing w:val="6"/>
        </w:rPr>
        <w:t> </w:t>
      </w:r>
      <w:r>
        <w:rPr/>
        <w:t>de</w:t>
      </w:r>
      <w:r>
        <w:rPr>
          <w:spacing w:val="7"/>
        </w:rPr>
        <w:t> </w:t>
      </w:r>
      <w:r>
        <w:rPr/>
        <w:t>la</w:t>
      </w:r>
      <w:r>
        <w:rPr>
          <w:spacing w:val="6"/>
        </w:rPr>
        <w:t> </w:t>
      </w:r>
      <w:r>
        <w:rPr/>
        <w:t>cual</w:t>
      </w:r>
      <w:r>
        <w:rPr>
          <w:spacing w:val="9"/>
        </w:rPr>
        <w:t> </w:t>
      </w:r>
      <w:r>
        <w:rPr>
          <w:rFonts w:ascii="Cambria Math" w:hAnsi="Cambria Math"/>
        </w:rPr>
        <w:t>μ</w:t>
      </w:r>
      <w:r>
        <w:rPr>
          <w:rFonts w:ascii="Cambria Math" w:hAnsi="Cambria Math"/>
          <w:spacing w:val="12"/>
        </w:rPr>
        <w:t> </w:t>
      </w:r>
      <w:r>
        <w:rPr/>
        <w:t>es</w:t>
      </w:r>
      <w:r>
        <w:rPr>
          <w:spacing w:val="7"/>
        </w:rPr>
        <w:t> </w:t>
      </w:r>
      <w:r>
        <w:rPr/>
        <w:t>la</w:t>
      </w:r>
      <w:r>
        <w:rPr>
          <w:spacing w:val="6"/>
        </w:rPr>
        <w:t> </w:t>
      </w:r>
      <w:r>
        <w:rPr/>
        <w:t>moda,</w:t>
      </w:r>
      <w:r>
        <w:rPr>
          <w:spacing w:val="8"/>
        </w:rPr>
        <w:t> </w:t>
      </w:r>
      <w:r>
        <w:rPr>
          <w:rFonts w:ascii="Cambria Math" w:hAnsi="Cambria Math"/>
        </w:rPr>
        <w:t>σ</w:t>
      </w:r>
      <w:r>
        <w:rPr>
          <w:rFonts w:ascii="Cambria Math" w:hAnsi="Cambria Math"/>
          <w:position w:val="-4"/>
          <w:sz w:val="16"/>
        </w:rPr>
        <w:t>1</w:t>
      </w:r>
      <w:r>
        <w:rPr>
          <w:rFonts w:ascii="Cambria Math" w:hAnsi="Cambria Math"/>
          <w:spacing w:val="33"/>
          <w:position w:val="-4"/>
          <w:sz w:val="16"/>
        </w:rPr>
        <w:t> </w:t>
      </w:r>
      <w:r>
        <w:rPr/>
        <w:t>es</w:t>
      </w:r>
      <w:r>
        <w:rPr>
          <w:spacing w:val="7"/>
        </w:rPr>
        <w:t> </w:t>
      </w:r>
      <w:r>
        <w:rPr/>
        <w:t>la</w:t>
      </w:r>
      <w:r>
        <w:rPr>
          <w:spacing w:val="6"/>
        </w:rPr>
        <w:t> </w:t>
      </w:r>
      <w:r>
        <w:rPr/>
        <w:t>deviación</w:t>
      </w:r>
      <w:r>
        <w:rPr>
          <w:spacing w:val="7"/>
        </w:rPr>
        <w:t> </w:t>
      </w:r>
      <w:r>
        <w:rPr/>
        <w:t>estándar</w:t>
      </w:r>
      <w:r>
        <w:rPr>
          <w:spacing w:val="6"/>
        </w:rPr>
        <w:t> </w:t>
      </w:r>
      <w:r>
        <w:rPr/>
        <w:t>izquierda,</w:t>
      </w:r>
      <w:r>
        <w:rPr>
          <w:spacing w:val="7"/>
        </w:rPr>
        <w:t> </w:t>
      </w:r>
      <w:r>
        <w:rPr>
          <w:rFonts w:ascii="Cambria Math" w:hAnsi="Cambria Math"/>
        </w:rPr>
        <w:t>σ</w:t>
      </w:r>
      <w:r>
        <w:rPr>
          <w:rFonts w:ascii="Cambria Math" w:hAnsi="Cambria Math"/>
          <w:position w:val="-4"/>
          <w:sz w:val="16"/>
        </w:rPr>
        <w:t>2</w:t>
      </w:r>
      <w:r>
        <w:rPr>
          <w:rFonts w:ascii="Cambria Math" w:hAnsi="Cambria Math"/>
          <w:spacing w:val="33"/>
          <w:position w:val="-4"/>
          <w:sz w:val="16"/>
        </w:rPr>
        <w:t> </w:t>
      </w:r>
      <w:r>
        <w:rPr/>
        <w:t>es</w:t>
      </w:r>
      <w:r>
        <w:rPr>
          <w:spacing w:val="7"/>
        </w:rPr>
        <w:t> </w:t>
      </w:r>
      <w:r>
        <w:rPr/>
        <w:t>la</w:t>
      </w:r>
      <w:r>
        <w:rPr>
          <w:spacing w:val="6"/>
        </w:rPr>
        <w:t> </w:t>
      </w:r>
      <w:r>
        <w:rPr/>
        <w:t>desviación</w:t>
      </w:r>
    </w:p>
    <w:p>
      <w:pPr>
        <w:pStyle w:val="BodyText"/>
        <w:spacing w:line="224" w:lineRule="exact"/>
        <w:ind w:left="670"/>
        <w:jc w:val="both"/>
      </w:pPr>
      <w:r>
        <w:rPr/>
        <w:t>estándar derecha,  </w:t>
      </w:r>
      <w:r>
        <w:rPr>
          <w:rFonts w:ascii="Cambria Math" w:hAnsi="Cambria Math" w:eastAsia="Cambria Math"/>
        </w:rPr>
        <w:t>𝑥  </w:t>
      </w:r>
      <w:r>
        <w:rPr/>
        <w:t>son los posibles valores del crecimiento económico que se pueden</w:t>
      </w:r>
      <w:r>
        <w:rPr>
          <w:spacing w:val="-15"/>
        </w:rPr>
        <w:t> </w:t>
      </w:r>
      <w:r>
        <w:rPr/>
        <w:t>encontrar</w:t>
      </w:r>
    </w:p>
    <w:p>
      <w:pPr>
        <w:pStyle w:val="BodyText"/>
        <w:spacing w:line="285" w:lineRule="auto" w:before="80"/>
        <w:ind w:left="670" w:right="1853"/>
        <w:jc w:val="both"/>
      </w:pPr>
      <w:r>
        <w:rPr>
          <w:position w:val="1"/>
        </w:rPr>
        <w:t>de </w:t>
      </w:r>
      <w:r>
        <w:rPr>
          <w:rFonts w:ascii="Cambria Math" w:hAnsi="Cambria Math" w:eastAsia="Cambria Math"/>
          <w:position w:val="1"/>
        </w:rPr>
        <w:t>−∞ ≤ 𝑥 ≤ ∞ </w:t>
      </w:r>
      <w:r>
        <w:rPr>
          <w:position w:val="1"/>
        </w:rPr>
        <w:t>y </w:t>
      </w:r>
      <w:r>
        <w:rPr>
          <w:rFonts w:ascii="Cambria Math" w:hAnsi="Cambria Math" w:eastAsia="Cambria Math"/>
          <w:position w:val="1"/>
        </w:rPr>
        <w:t>𝐶 = </w:t>
      </w:r>
      <w:r>
        <w:rPr>
          <w:rFonts w:ascii="Cambria Math" w:hAnsi="Cambria Math" w:eastAsia="Cambria Math"/>
        </w:rPr>
        <w:t>√</w:t>
      </w:r>
      <w:r>
        <w:rPr>
          <w:rFonts w:ascii="Cambria Math" w:hAnsi="Cambria Math" w:eastAsia="Cambria Math"/>
          <w:position w:val="1"/>
        </w:rPr>
        <w:t>2/𝜋(σ</w:t>
      </w:r>
      <w:r>
        <w:rPr>
          <w:rFonts w:ascii="Cambria Math" w:hAnsi="Cambria Math" w:eastAsia="Cambria Math"/>
          <w:position w:val="1"/>
          <w:vertAlign w:val="subscript"/>
        </w:rPr>
        <w:t>1</w:t>
      </w:r>
      <w:r>
        <w:rPr>
          <w:rFonts w:ascii="Cambria Math" w:hAnsi="Cambria Math" w:eastAsia="Cambria Math"/>
          <w:position w:val="1"/>
          <w:vertAlign w:val="baseline"/>
        </w:rPr>
        <w:t> + σ</w:t>
      </w:r>
      <w:r>
        <w:rPr>
          <w:rFonts w:ascii="Cambria Math" w:hAnsi="Cambria Math" w:eastAsia="Cambria Math"/>
          <w:position w:val="1"/>
          <w:vertAlign w:val="subscript"/>
        </w:rPr>
        <w:t>2</w:t>
      </w:r>
      <w:r>
        <w:rPr>
          <w:rFonts w:ascii="Cambria Math" w:hAnsi="Cambria Math" w:eastAsia="Cambria Math"/>
          <w:position w:val="1"/>
          <w:vertAlign w:val="baseline"/>
        </w:rPr>
        <w:t>)</w:t>
      </w:r>
      <w:r>
        <w:rPr>
          <w:rFonts w:ascii="Cambria Math" w:hAnsi="Cambria Math" w:eastAsia="Cambria Math"/>
          <w:position w:val="1"/>
          <w:vertAlign w:val="superscript"/>
        </w:rPr>
        <w:t>−1</w:t>
      </w:r>
      <w:r>
        <w:rPr>
          <w:rFonts w:ascii="Cambria Math" w:hAnsi="Cambria Math" w:eastAsia="Cambria Math"/>
          <w:position w:val="1"/>
          <w:vertAlign w:val="baseline"/>
        </w:rPr>
        <w:t> </w:t>
      </w:r>
      <w:r>
        <w:rPr>
          <w:position w:val="1"/>
          <w:vertAlign w:val="baseline"/>
        </w:rPr>
        <w:t>es un valor que garantiza que la expresión sea una </w:t>
      </w:r>
      <w:r>
        <w:rPr>
          <w:vertAlign w:val="baseline"/>
        </w:rPr>
        <w:t>función de probabilidades.</w:t>
      </w:r>
    </w:p>
    <w:p>
      <w:pPr>
        <w:spacing w:after="0" w:line="285" w:lineRule="auto"/>
        <w:jc w:val="both"/>
        <w:sectPr>
          <w:pgSz w:w="12240" w:h="15840"/>
          <w:pgMar w:header="715" w:footer="957" w:top="1240" w:bottom="1140" w:left="1140" w:right="0"/>
        </w:sectPr>
      </w:pPr>
    </w:p>
    <w:p>
      <w:pPr>
        <w:pStyle w:val="BodyText"/>
        <w:spacing w:before="1"/>
        <w:rPr>
          <w:sz w:val="9"/>
        </w:rPr>
      </w:pPr>
    </w:p>
    <w:p>
      <w:pPr>
        <w:spacing w:after="0"/>
        <w:rPr>
          <w:sz w:val="9"/>
        </w:rPr>
        <w:sectPr>
          <w:pgSz w:w="12240" w:h="15840"/>
          <w:pgMar w:header="715" w:footer="957" w:top="1240" w:bottom="1140" w:left="1140" w:right="0"/>
        </w:sectPr>
      </w:pPr>
    </w:p>
    <w:p>
      <w:pPr>
        <w:pStyle w:val="BodyText"/>
        <w:spacing w:before="7"/>
        <w:rPr>
          <w:sz w:val="26"/>
        </w:rPr>
      </w:pPr>
    </w:p>
    <w:p>
      <w:pPr>
        <w:pStyle w:val="BodyText"/>
        <w:spacing w:line="174" w:lineRule="exact"/>
        <w:jc w:val="right"/>
        <w:rPr>
          <w:rFonts w:ascii="Cambria Math" w:eastAsia="Cambria Math"/>
        </w:rPr>
      </w:pPr>
      <w:r>
        <w:rPr>
          <w:rFonts w:ascii="Cambria Math" w:eastAsia="Cambria Math"/>
        </w:rPr>
        <w:t>𝐶𝑒</w:t>
      </w:r>
    </w:p>
    <w:p>
      <w:pPr>
        <w:spacing w:line="117" w:lineRule="auto" w:before="173"/>
        <w:ind w:left="90" w:right="0" w:hanging="118"/>
        <w:jc w:val="left"/>
        <w:rPr>
          <w:rFonts w:ascii="Cambria Math" w:hAnsi="Cambria Math" w:eastAsia="Cambria Math"/>
          <w:sz w:val="13"/>
        </w:rPr>
      </w:pPr>
      <w:r>
        <w:rPr/>
        <w:br w:type="column"/>
      </w:r>
      <w:r>
        <w:rPr>
          <w:rFonts w:ascii="Cambria Math" w:hAnsi="Cambria Math" w:eastAsia="Cambria Math"/>
          <w:w w:val="105"/>
          <w:sz w:val="16"/>
        </w:rPr>
        <w:t>−</w:t>
      </w:r>
      <w:r>
        <w:rPr>
          <w:rFonts w:ascii="Cambria Math" w:hAnsi="Cambria Math" w:eastAsia="Cambria Math"/>
          <w:w w:val="105"/>
          <w:position w:val="9"/>
          <w:sz w:val="16"/>
          <w:u w:val="single"/>
        </w:rPr>
        <w:t> 1 </w:t>
      </w:r>
      <w:r>
        <w:rPr>
          <w:rFonts w:ascii="Cambria Math" w:hAnsi="Cambria Math" w:eastAsia="Cambria Math"/>
          <w:w w:val="105"/>
          <w:position w:val="1"/>
          <w:sz w:val="16"/>
        </w:rPr>
        <w:t>(</w:t>
      </w:r>
      <w:r>
        <w:rPr>
          <w:rFonts w:ascii="Cambria Math" w:hAnsi="Cambria Math" w:eastAsia="Cambria Math"/>
          <w:w w:val="105"/>
          <w:sz w:val="16"/>
        </w:rPr>
        <w:t>𝑥−μ</w:t>
      </w:r>
      <w:r>
        <w:rPr>
          <w:rFonts w:ascii="Cambria Math" w:hAnsi="Cambria Math" w:eastAsia="Cambria Math"/>
          <w:w w:val="105"/>
          <w:position w:val="1"/>
          <w:sz w:val="16"/>
        </w:rPr>
        <w:t>)</w:t>
      </w:r>
      <w:r>
        <w:rPr>
          <w:rFonts w:ascii="Cambria Math" w:hAnsi="Cambria Math" w:eastAsia="Cambria Math"/>
          <w:w w:val="105"/>
          <w:position w:val="6"/>
          <w:sz w:val="13"/>
        </w:rPr>
        <w:t>2 </w:t>
      </w:r>
      <w:r>
        <w:rPr>
          <w:rFonts w:ascii="Cambria Math" w:hAnsi="Cambria Math" w:eastAsia="Cambria Math"/>
          <w:w w:val="105"/>
          <w:sz w:val="16"/>
        </w:rPr>
        <w:t>2σ</w:t>
      </w:r>
      <w:r>
        <w:rPr>
          <w:rFonts w:ascii="Cambria Math" w:hAnsi="Cambria Math" w:eastAsia="Cambria Math"/>
          <w:w w:val="105"/>
          <w:position w:val="6"/>
          <w:sz w:val="13"/>
        </w:rPr>
        <w:t>2</w:t>
      </w:r>
    </w:p>
    <w:p>
      <w:pPr>
        <w:pStyle w:val="BodyText"/>
        <w:spacing w:before="1"/>
        <w:rPr>
          <w:rFonts w:ascii="Cambria Math"/>
          <w:sz w:val="26"/>
        </w:rPr>
      </w:pPr>
      <w:r>
        <w:rPr/>
        <w:br w:type="column"/>
      </w:r>
      <w:r>
        <w:rPr>
          <w:rFonts w:ascii="Cambria Math"/>
          <w:sz w:val="26"/>
        </w:rPr>
      </w:r>
    </w:p>
    <w:p>
      <w:pPr>
        <w:pStyle w:val="BodyText"/>
        <w:tabs>
          <w:tab w:pos="456" w:val="left" w:leader="none"/>
        </w:tabs>
        <w:spacing w:line="174" w:lineRule="exact"/>
        <w:ind w:left="-26"/>
        <w:rPr>
          <w:rFonts w:ascii="Cambria Math" w:hAnsi="Cambria Math" w:eastAsia="Cambria Math"/>
        </w:rPr>
      </w:pPr>
      <w:r>
        <w:rPr>
          <w:rFonts w:ascii="Cambria Math" w:hAnsi="Cambria Math" w:eastAsia="Cambria Math"/>
        </w:rPr>
        <w:t>,</w:t>
        <w:tab/>
        <w:t>𝑝𝑎𝑟𝑎 𝑥 ≤</w:t>
      </w:r>
      <w:r>
        <w:rPr>
          <w:rFonts w:ascii="Cambria Math" w:hAnsi="Cambria Math" w:eastAsia="Cambria Math"/>
          <w:spacing w:val="-15"/>
        </w:rPr>
        <w:t> </w:t>
      </w:r>
      <w:r>
        <w:rPr>
          <w:rFonts w:ascii="Cambria Math" w:hAnsi="Cambria Math" w:eastAsia="Cambria Math"/>
        </w:rPr>
        <w:t>𝜇</w:t>
      </w:r>
    </w:p>
    <w:p>
      <w:pPr>
        <w:spacing w:after="0" w:line="174" w:lineRule="exact"/>
        <w:rPr>
          <w:rFonts w:ascii="Cambria Math" w:hAnsi="Cambria Math" w:eastAsia="Cambria Math"/>
        </w:rPr>
        <w:sectPr>
          <w:type w:val="continuous"/>
          <w:pgSz w:w="12240" w:h="15840"/>
          <w:pgMar w:top="1500" w:bottom="280" w:left="1140" w:right="0"/>
          <w:cols w:num="3" w:equalWidth="0">
            <w:col w:w="4095" w:space="40"/>
            <w:col w:w="898" w:space="39"/>
            <w:col w:w="6028"/>
          </w:cols>
        </w:sectPr>
      </w:pPr>
    </w:p>
    <w:p>
      <w:pPr>
        <w:pStyle w:val="BodyText"/>
        <w:tabs>
          <w:tab w:pos="4224" w:val="left" w:leader="none"/>
          <w:tab w:pos="5031" w:val="right" w:leader="none"/>
        </w:tabs>
        <w:spacing w:line="194" w:lineRule="exact"/>
        <w:ind w:left="2035"/>
        <w:rPr>
          <w:rFonts w:ascii="Cambria Math" w:hAnsi="Cambria Math" w:eastAsia="Cambria Math"/>
          <w:sz w:val="13"/>
        </w:rPr>
      </w:pPr>
      <w:r>
        <w:rPr/>
        <w:pict>
          <v:group style="position:absolute;margin-left:84.384003pt;margin-top:70.919998pt;width:441pt;height:614.65pt;mso-position-horizontal-relative:page;mso-position-vertical-relative:page;z-index:-280910848" coordorigin="1688,1418" coordsize="8820,12293">
            <v:shape style="position:absolute;left:1716;top:1447;width:8762;height:12235" coordorigin="1716,1447" coordsize="8762,12235" path="m10478,1447l10017,1447,9148,1447,9040,1447,1918,1447,1810,1447,1716,1447,1716,13682,1810,13682,10384,13682,10478,13682,10478,1447e" filled="true" fillcolor="#bcd5ed" stroked="false">
              <v:path arrowok="t"/>
              <v:fill type="solid"/>
            </v:shape>
            <v:rect style="position:absolute;left:1716;top:1418;width:8762;height:29" filled="true" fillcolor="#000000" stroked="false">
              <v:fill type="solid"/>
            </v:rect>
            <v:line style="position:absolute" from="1716,1448" to="10478,1448" stroked="true" strokeweight=".12pt" strokecolor="#bcd5ed">
              <v:stroke dashstyle="solid"/>
            </v:line>
            <v:line style="position:absolute" from="1702,1418" to="1702,13682" stroked="true" strokeweight="1.44pt" strokecolor="#000000">
              <v:stroke dashstyle="solid"/>
            </v:line>
            <v:rect style="position:absolute;left:1687;top:13682;width:29;height:29" filled="true" fillcolor="#000000" stroked="false">
              <v:fill type="solid"/>
            </v:rect>
            <v:rect style="position:absolute;left:1716;top:13682;width:8762;height:29" filled="true" fillcolor="#000000" stroked="false">
              <v:fill type="solid"/>
            </v:rect>
            <v:line style="position:absolute" from="10492,1418" to="10492,13682" stroked="true" strokeweight="1.44pt" strokecolor="#000000">
              <v:stroke dashstyle="solid"/>
            </v:line>
            <v:rect style="position:absolute;left:10478;top:13682;width:29;height:29" filled="true" fillcolor="#000000" stroked="false">
              <v:fill type="solid"/>
            </v:rect>
            <v:rect style="position:absolute;left:1879;top:6609;width:8175;height:3401" filled="true" fillcolor="#ffffff" stroked="false">
              <v:fill type="solid"/>
            </v:rect>
            <v:shape style="position:absolute;left:3981;top:6712;width:5410;height:1942" coordorigin="3982,6713" coordsize="5410,1942" path="m3982,6713l4884,8196,5784,8503,9391,8654,9391,8520,5784,8412,4884,8141,3982,6713xe" filled="true" fillcolor="#f1f7fb" stroked="false">
              <v:path arrowok="t"/>
              <v:fill type="solid"/>
            </v:shape>
            <v:shape style="position:absolute;left:3982;top:6714;width:5408;height:1808" coordorigin="3983,6714" coordsize="5408,1808" path="m3983,6714l4883,8142,5785,8411,6688,8432,7588,8466,8490,8488,9390,8521,9390,8430,8490,8404,7588,8389,6688,8363,5785,8351,4883,8104,3983,6714xe" filled="true" fillcolor="#dae2f3" stroked="false">
              <v:path arrowok="t"/>
              <v:fill type="solid"/>
            </v:shape>
            <v:shape style="position:absolute;left:2178;top:6714;width:7212;height:2408" coordorigin="2178,6714" coordsize="7212,2408" path="m2178,7696l3080,9121,3983,6714,4883,8104,5785,8351,6688,8363,7588,8389,8490,8404,9390,8430,9390,8521,8490,8488,7588,8466,6688,8432,5785,8411,4883,8142,3983,6714,3080,9121,2178,7696xe" filled="false" stroked="true" strokeweight="2.04pt" strokecolor="#dae2f3">
              <v:path arrowok="t"/>
              <v:stroke dashstyle="solid"/>
            </v:shape>
            <v:shape style="position:absolute;left:3982;top:6714;width:5408;height:1716" coordorigin="3983,6714" coordsize="5408,1716" path="m3983,6714l4883,8104,5785,8351,6688,8363,7588,8389,8490,8404,9390,8430,9390,8360,8490,8339,7588,8332,6688,8308,5785,8300,4883,8072,3983,6714xe" filled="true" fillcolor="#dae2f3" stroked="false">
              <v:path arrowok="t"/>
              <v:fill type="solid"/>
            </v:shape>
            <v:shape style="position:absolute;left:2178;top:6714;width:7212;height:2408" coordorigin="2178,6714" coordsize="7212,2408" path="m2178,7696l3080,9121,3983,6714,4883,8072,5785,8300,6688,8308,7588,8332,8490,8339,9390,8360,9390,8430,8490,8404,7588,8389,6688,8363,5785,8351,4883,8104,3983,6714,3080,9121,2178,7696xe" filled="false" stroked="true" strokeweight="2.04pt" strokecolor="#dae2f3">
              <v:path arrowok="t"/>
              <v:stroke dashstyle="solid"/>
            </v:shape>
            <v:shape style="position:absolute;left:3982;top:6714;width:5408;height:1647" coordorigin="3983,6714" coordsize="5408,1647" path="m3983,6714l4883,8072,5785,8300,6688,8308,7588,8332,8490,8339,9390,8360,9390,8300,8490,8281,7588,8279,6688,8262,5785,8260,4883,8048,3983,6714xe" filled="true" fillcolor="#8faadc" stroked="false">
              <v:path arrowok="t"/>
              <v:fill type="solid"/>
            </v:shape>
            <v:shape style="position:absolute;left:2178;top:6714;width:7212;height:2408" coordorigin="2178,6714" coordsize="7212,2408" path="m2178,7696l3080,9121,3983,6714,4883,8048,5785,8260,6688,8262,7588,8279,8490,8281,9390,8300,9390,8360,8490,8339,7588,8332,6688,8308,5785,8300,4883,8072,3983,6714,3080,9121,2178,7696xe" filled="false" stroked="true" strokeweight="2.04pt" strokecolor="#8faadc">
              <v:path arrowok="t"/>
              <v:stroke dashstyle="solid"/>
            </v:shape>
            <v:shape style="position:absolute;left:3982;top:6714;width:5408;height:1587" coordorigin="3983,6714" coordsize="5408,1587" path="m3983,6714l4883,8048,5785,8260,6688,8262,7588,8279,8490,8281,9390,8300,9390,8245,8640,8233,7588,8233,6988,8224,5785,8224,4883,8024,3983,6714xm8490,8231l7588,8233,8640,8233,8490,8231xm6688,8219l5785,8224,6988,8224,6688,8219xe" filled="true" fillcolor="#8faadc" stroked="false">
              <v:path arrowok="t"/>
              <v:fill type="solid"/>
            </v:shape>
            <v:shape style="position:absolute;left:2178;top:6714;width:7212;height:2408" coordorigin="2178,6714" coordsize="7212,2408" path="m2178,7696l3080,9121,3983,6714,4883,8024,5785,8224,6688,8219,7588,8233,8490,8231,9390,8245,9390,8300,8490,8281,7588,8279,6688,8262,5785,8260,4883,8048,3983,6714,3080,9121,2178,7696xe" filled="false" stroked="true" strokeweight="2.04pt" strokecolor="#8faadc">
              <v:path arrowok="t"/>
              <v:stroke dashstyle="solid"/>
            </v:shape>
            <v:shape style="position:absolute;left:3982;top:6714;width:5408;height:1532" coordorigin="3983,6714" coordsize="5408,1532" path="m9390,8231l8490,8231,9390,8245,9390,8231xm9390,8219l6688,8219,7588,8233,9390,8231,9390,8219xm3983,6714l4883,8024,5785,8224,9390,8219,9390,8197,9030,8192,7588,8192,7408,8190,5785,8190,4883,8003,3983,6714xm8490,8185l7588,8192,9030,8192,8490,8185xm6688,8180l5785,8190,7408,8190,6688,8180xe" filled="true" fillcolor="#2e5496" stroked="false">
              <v:path arrowok="t"/>
              <v:fill type="solid"/>
            </v:shape>
            <v:shape style="position:absolute;left:2178;top:6714;width:7212;height:2408" coordorigin="2178,6714" coordsize="7212,2408" path="m2178,7696l3080,9121,3983,6714,4883,8003,5785,8190,6688,8180,7588,8192,8490,8185,9390,8197,9390,8245,8490,8231,7588,8233,6688,8219,5785,8224,4883,8024,3983,6714,3080,9121,2178,7696xe" filled="false" stroked="true" strokeweight="2.04pt" strokecolor="#2e5496">
              <v:path arrowok="t"/>
              <v:stroke dashstyle="solid"/>
            </v:shape>
            <v:shape style="position:absolute;left:3982;top:6714;width:5408;height:1484" coordorigin="3983,6714" coordsize="5408,1484" path="m9390,8185l8490,8185,9390,8197,9390,8185xm9390,8180l6688,8180,7588,8192,9390,8185,9390,8180xm3983,6714l4883,8003,5785,8190,6688,8180,9390,8180,9390,8156,5785,8156,4883,7984,3983,6714xm6688,8144l5785,8156,9390,8156,9390,8154,7588,8154,6688,8144xm8490,8142l7588,8154,9390,8154,9390,8149,8490,8142xe" filled="true" fillcolor="#2e5496" stroked="false">
              <v:path arrowok="t"/>
              <v:fill type="solid"/>
            </v:shape>
            <v:shape style="position:absolute;left:2178;top:6714;width:7212;height:2408" coordorigin="2178,6714" coordsize="7212,2408" path="m2178,7696l3080,9121,3983,6714,4883,7984,5785,8156,6688,8144,7588,8154,8490,8142,9390,8149,9390,8197,8490,8185,7588,8192,6688,8180,5785,8190,4883,8003,3983,6714,3080,9121,2178,7696xe" filled="false" stroked="true" strokeweight="2.04pt" strokecolor="#2e5496">
              <v:path arrowok="t"/>
              <v:stroke dashstyle="solid"/>
            </v:shape>
            <v:shape style="position:absolute;left:3982;top:6714;width:5408;height:1443" coordorigin="3983,6714" coordsize="5408,1443" path="m3983,6714l4883,7984,5785,8156,6688,8144,8310,8144,8490,8142,9390,8142,9390,8128,5785,8128,4883,7964,3983,6714xm8310,8144l6688,8144,7588,8154,8310,8144xm9390,8142l8490,8142,9390,8149,9390,8142xm6688,8111l5785,8128,9390,8128,9390,8116,7588,8116,6688,8111xm8490,8099l7588,8116,9390,8116,9390,8104,8490,8099xe" filled="true" fillcolor="#001f5f" stroked="false">
              <v:path arrowok="t"/>
              <v:fill type="solid"/>
            </v:shape>
            <v:shape style="position:absolute;left:2178;top:6714;width:7212;height:2408" coordorigin="2178,6714" coordsize="7212,2408" path="m2178,7696l3080,9121,3983,6714,4883,7964,5785,8128,6688,8111,7588,8116,8490,8099,9390,8104,9390,8149,8490,8142,7588,8154,6688,8144,5785,8156,4883,7984,3983,6714,3080,9121,2178,7696xe" filled="false" stroked="true" strokeweight="2.04pt" strokecolor="#001f5f">
              <v:path arrowok="t"/>
              <v:stroke dashstyle="solid"/>
            </v:shape>
            <v:shape style="position:absolute;left:3982;top:6714;width:5408;height:1414" coordorigin="3983,6714" coordsize="5408,1414" path="m3983,6714l4883,7964,5785,8128,6688,8111,7845,8111,8490,8099,9390,8099,9390,8096,5785,8096,4883,7945,3983,6714xm7845,8111l6688,8111,7588,8116,7845,8111xm9390,8099l8490,8099,9390,8104,9390,8099xm6688,8077l5785,8096,9390,8096,9390,8080,7588,8080,6688,8077xm8490,8058l7588,8080,9390,8080,9390,8060,8490,8058xe" filled="true" fillcolor="#001f5f" stroked="false">
              <v:path arrowok="t"/>
              <v:fill type="solid"/>
            </v:shape>
            <v:shape style="position:absolute;left:2178;top:6714;width:7212;height:2408" coordorigin="2178,6714" coordsize="7212,2408" path="m2178,7696l3080,9121,3983,6714,4883,7945,5785,8096,6688,8077,7588,8080,8490,8058,9390,8060,9390,8104,8490,8099,7588,8116,6688,8111,5785,8128,4883,7964,3983,6714,3080,9121,2178,7696xe" filled="false" stroked="true" strokeweight="2.04pt" strokecolor="#001f5f">
              <v:path arrowok="t"/>
              <v:stroke dashstyle="solid"/>
            </v:shape>
            <v:shape style="position:absolute;left:3981;top:6712;width:5410;height:1385" coordorigin="3982,6713" coordsize="5410,1385" path="m3982,6713l4884,7944,5784,8098,6686,8076,7701,8076,8039,8069,5784,8069,4884,7925,3982,6713xm7701,8076l6686,8076,7589,8078,7701,8076xm9391,8018l8489,8018,7589,8042,6686,8042,5784,8069,8039,8069,8489,8059,9391,8059,9391,8018xm9391,8059l8489,8059,9391,8062,9391,8059xe" filled="true" fillcolor="#001f5f" stroked="false">
              <v:path arrowok="t"/>
              <v:fill type="solid"/>
            </v:shape>
            <v:shape style="position:absolute;left:2179;top:6712;width:7212;height:2408" coordorigin="2179,6713" coordsize="7212,2408" path="m2179,7697l3082,9120,3982,6713,4884,7925,5784,8069,6686,8042,7589,8042,8489,8018,9391,8018,9391,8062,8489,8059,7589,8078,6686,8076,5784,8098,4884,7944,3982,6713,3082,9120,2179,7697xe" filled="false" stroked="true" strokeweight=".72pt" strokecolor="#001f5f">
              <v:path arrowok="t"/>
              <v:stroke dashstyle="solid"/>
            </v:shape>
            <v:shape style="position:absolute;left:3981;top:6712;width:5410;height:1356" coordorigin="3982,6713" coordsize="5410,1356" path="m3982,6713l4884,7925,5784,8069,6686,8042,7589,8042,7769,8038,5784,8038,4884,7906,3982,6713xm9391,7975l8489,7978,7589,8006,6686,8009,5784,8038,7769,8038,8489,8018,9391,8018,9391,7975xe" filled="true" fillcolor="#001f5f" stroked="false">
              <v:path arrowok="t"/>
              <v:fill type="solid"/>
            </v:shape>
            <v:shape style="position:absolute;left:2179;top:6712;width:7212;height:2408" coordorigin="2179,6713" coordsize="7212,2408" path="m2179,7697l3082,9120,3982,6713,4884,7906,5784,8038,6686,8009,7589,8006,8489,7978,9391,7975,9391,8018,8489,8018,7589,8042,6686,8042,5784,8069,4884,7925,3982,6713,3082,9120,2179,7697xe" filled="false" stroked="true" strokeweight=".72pt" strokecolor="#001f5f">
              <v:path arrowok="t"/>
              <v:stroke dashstyle="solid"/>
            </v:shape>
            <v:shape style="position:absolute;left:3981;top:6712;width:5410;height:1325" coordorigin="3982,6713" coordsize="5410,1325" path="m3982,6713l4884,7906,5784,8038,6686,8009,5784,8009,4884,7884,3982,6713xm9391,7932l8489,7937,7589,7970,6686,7975,5784,8009,6686,8009,7589,8006,8489,7978,9391,7975,9391,7932xe" filled="true" fillcolor="#2e5496" stroked="false">
              <v:path arrowok="t"/>
              <v:fill type="solid"/>
            </v:shape>
            <v:shape style="position:absolute;left:2179;top:6712;width:7212;height:2408" coordorigin="2179,6713" coordsize="7212,2408" path="m2179,7697l3082,9120,3982,6713,4884,7884,5784,8009,6686,7975,7589,7970,8489,7937,9391,7932,9391,7975,8489,7978,7589,8006,6686,8009,5784,8038,4884,7906,3982,6713,3082,9120,2179,7697xe" filled="false" stroked="true" strokeweight=".72pt" strokecolor="#2e5496">
              <v:path arrowok="t"/>
              <v:stroke dashstyle="solid"/>
            </v:shape>
            <v:shape style="position:absolute;left:3981;top:6712;width:5410;height:1296" coordorigin="3982,6713" coordsize="5410,1296" path="m3982,6713l4884,7884,5784,8009,6622,7978,5784,7978,4884,7865,3982,6713xm9391,7886l8489,7894,7589,7932,6686,7939,5784,7978,6622,7978,6686,7975,7589,7970,8489,7937,9391,7932,9391,7886xe" filled="true" fillcolor="#2e5496" stroked="false">
              <v:path arrowok="t"/>
              <v:fill type="solid"/>
            </v:shape>
            <v:shape style="position:absolute;left:2179;top:6712;width:7212;height:2408" coordorigin="2179,6713" coordsize="7212,2408" path="m2179,7697l3082,9120,3982,6713,4884,7865,5784,7978,6686,7939,7589,7932,8489,7894,9391,7886,9391,7932,8489,7937,7589,7970,6686,7975,5784,8009,4884,7884,3982,6713,3082,9120,2179,7697xe" filled="false" stroked="true" strokeweight=".72pt" strokecolor="#2e5496">
              <v:path arrowok="t"/>
              <v:stroke dashstyle="solid"/>
            </v:shape>
            <v:shape style="position:absolute;left:3981;top:6712;width:5410;height:1265" coordorigin="3982,6713" coordsize="5410,1265" path="m3982,6713l4884,7865,5784,7978,6574,7944,5784,7944,4884,7841,3982,6713xm9391,7836l8489,7848,7589,7891,6686,7903,5784,7944,6574,7944,6686,7939,7589,7932,8489,7894,9391,7886,9391,7836xe" filled="true" fillcolor="#8faadc" stroked="false">
              <v:path arrowok="t"/>
              <v:fill type="solid"/>
            </v:shape>
            <v:shape style="position:absolute;left:2179;top:6712;width:7212;height:2408" coordorigin="2179,6713" coordsize="7212,2408" path="m2179,7697l3082,9120,3982,6713,4884,7841,5784,7944,6686,7903,7589,7891,8489,7848,9391,7836,9391,7886,8489,7894,7589,7932,6686,7939,5784,7978,4884,7865,3982,6713,3082,9120,2179,7697xe" filled="false" stroked="true" strokeweight=".72pt" strokecolor="#8faadc">
              <v:path arrowok="t"/>
              <v:stroke dashstyle="solid"/>
            </v:shape>
            <v:shape style="position:absolute;left:3981;top:6712;width:5410;height:1232" coordorigin="3982,6713" coordsize="5410,1232" path="m3982,6713l4884,7841,5784,7944,6633,7906,5784,7906,4884,7814,3982,6713xm9391,7783l8489,7798,7589,7846,6686,7860,5784,7906,6633,7906,6686,7903,7589,7891,8489,7848,9391,7836,9391,7783xe" filled="true" fillcolor="#8faadc" stroked="false">
              <v:path arrowok="t"/>
              <v:fill type="solid"/>
            </v:shape>
            <v:shape style="position:absolute;left:2179;top:6712;width:7212;height:2408" coordorigin="2179,6713" coordsize="7212,2408" path="m2179,7697l3082,9120,3982,6713,4884,7814,5784,7906,6686,7860,7589,7846,8489,7798,9391,7783,9391,7836,8489,7848,7589,7891,6686,7903,5784,7944,4884,7841,3982,6713,3082,9120,2179,7697xe" filled="false" stroked="true" strokeweight=".72pt" strokecolor="#8faadc">
              <v:path arrowok="t"/>
              <v:stroke dashstyle="solid"/>
            </v:shape>
            <v:shape style="position:absolute;left:3981;top:6712;width:5410;height:1193" coordorigin="3982,6713" coordsize="5410,1193" path="m3982,6713l4884,7814,5784,7906,6591,7865,5784,7865,4884,7786,3982,6713xm9391,7721l8489,7740,7589,7793,6686,7812,5784,7865,6591,7865,6686,7860,7589,7846,8489,7798,9391,7783,9391,7721xe" filled="true" fillcolor="#dae2f3" stroked="false">
              <v:path arrowok="t"/>
              <v:fill type="solid"/>
            </v:shape>
            <v:shape style="position:absolute;left:2179;top:6712;width:7212;height:2408" coordorigin="2179,6713" coordsize="7212,2408" path="m2179,7697l3082,9120,3982,6713,4884,7786,5784,7865,6686,7812,7589,7793,8489,7740,9391,7721,9391,7783,8489,7798,7589,7846,6686,7860,5784,7906,4884,7814,3982,6713,3082,9120,2179,7697xe" filled="false" stroked="true" strokeweight=".72pt" strokecolor="#dae2f3">
              <v:path arrowok="t"/>
              <v:stroke dashstyle="solid"/>
            </v:shape>
            <v:shape style="position:absolute;left:3981;top:6712;width:5410;height:1152" coordorigin="3982,6713" coordsize="5410,1152" path="m3982,6713l4884,7786,5784,7865,6686,7812,6799,7810,5784,7810,4884,7747,3982,6713xm9391,7644l8489,7668,7589,7728,6686,7752,5784,7810,6799,7810,7589,7793,8489,7740,9391,7721,9391,7644xe" filled="true" fillcolor="#dae2f3" stroked="false">
              <v:path arrowok="t"/>
              <v:fill type="solid"/>
            </v:shape>
            <v:shape style="position:absolute;left:2179;top:6712;width:7212;height:2408" coordorigin="2179,6713" coordsize="7212,2408" path="m2179,7697l3082,9120,3982,6713,4884,7747,5784,7810,6686,7752,7589,7728,8489,7668,9391,7644,9391,7721,8489,7740,7589,7793,6686,7812,5784,7865,4884,7786,3982,6713,3082,9120,2179,7697xe" filled="false" stroked="true" strokeweight=".72pt" strokecolor="#dae2f3">
              <v:path arrowok="t"/>
              <v:stroke dashstyle="solid"/>
            </v:shape>
            <v:shape style="position:absolute;left:3981;top:6712;width:5410;height:1097" coordorigin="3982,6713" coordsize="5410,1097" path="m3982,6713l4884,7747,5784,7810,6686,7752,7408,7733,5784,7733,4884,7692,3982,6713xm9391,7529l8489,7560,7589,7630,6686,7663,5784,7733,7408,7733,7589,7728,8489,7668,9391,7644,9391,7529xe" filled="true" fillcolor="#f5f8fc" stroked="false">
              <v:path arrowok="t"/>
              <v:fill type="solid"/>
            </v:shape>
            <v:shape style="position:absolute;left:2179;top:6712;width:7212;height:2408" coordorigin="2179,6713" coordsize="7212,2408" path="m2179,7697l3082,9120,3982,6713,4884,7692,5784,7733,6686,7663,7589,7630,8489,7560,9391,7529,9391,7644,8489,7668,7589,7728,6686,7752,5784,7810,4884,7747,3982,6713,3082,9120,2179,7697xe" filled="false" stroked="true" strokeweight=".72pt" strokecolor="#f5f8fc">
              <v:path arrowok="t"/>
              <v:stroke dashstyle="solid"/>
            </v:shape>
            <v:shape style="position:absolute;left:0;top:15840;width:7212;height:53" coordorigin="0,15840" coordsize="7212,53" path="m2179,8686l9391,8686m2179,8686l2179,8738m3082,8686l3082,8738m3982,8686l3982,8738m4884,8686l4884,8738m5784,8686l5784,8738m6686,8686l6686,8738m7589,8686l7589,8738m8489,8686l8489,8738m9391,8686l9391,8738e" filled="false" stroked="true" strokeweight=".72pt" strokecolor="#d9d9d9">
              <v:path arrowok="t"/>
              <v:stroke dashstyle="solid"/>
            </v:shape>
            <v:shape style="position:absolute;left:2178;top:6714;width:7212;height:2408" coordorigin="2178,6714" coordsize="7212,2408" path="m2178,7696l3080,9121,3983,6714,4883,7945,5785,8068,6688,8044,7588,8044,8490,8017,9390,8017e" filled="false" stroked="true" strokeweight="2.280pt" strokecolor="#000000">
              <v:path arrowok="t"/>
              <v:stroke dashstyle="solid"/>
            </v:shape>
            <w10:wrap type="none"/>
          </v:group>
        </w:pict>
      </w:r>
      <w:r>
        <w:rPr/>
        <w:pict>
          <v:shape style="position:absolute;margin-left:278.089996pt;margin-top:-4.464072pt;width:3.9pt;height:6.5pt;mso-position-horizontal-relative:page;mso-position-vertical-relative:paragraph;z-index:-280909824" type="#_x0000_t202" filled="false" stroked="false">
            <v:textbox inset="0,0,0,0">
              <w:txbxContent>
                <w:p>
                  <w:pPr>
                    <w:spacing w:line="130" w:lineRule="exact" w:before="0"/>
                    <w:ind w:left="0" w:right="0" w:firstLine="0"/>
                    <w:jc w:val="left"/>
                    <w:rPr>
                      <w:rFonts w:ascii="Cambria Math"/>
                      <w:sz w:val="13"/>
                    </w:rPr>
                  </w:pPr>
                  <w:r>
                    <w:rPr>
                      <w:rFonts w:ascii="Cambria Math"/>
                      <w:w w:val="107"/>
                      <w:sz w:val="13"/>
                    </w:rPr>
                    <w:t>1</w:t>
                  </w:r>
                </w:p>
              </w:txbxContent>
            </v:textbox>
            <w10:wrap type="none"/>
          </v:shape>
        </w:pict>
      </w:r>
      <w:r>
        <w:rPr>
          <w:rFonts w:ascii="Cambria Math" w:hAnsi="Cambria Math" w:eastAsia="Cambria Math"/>
          <w:w w:val="110"/>
        </w:rPr>
        <w:t>𝑓𝑥</w:t>
      </w:r>
      <w:r>
        <w:rPr>
          <w:rFonts w:ascii="Cambria Math" w:hAnsi="Cambria Math" w:eastAsia="Cambria Math"/>
          <w:w w:val="110"/>
          <w:position w:val="1"/>
        </w:rPr>
        <w:t>(</w:t>
      </w:r>
      <w:r>
        <w:rPr>
          <w:rFonts w:ascii="Cambria Math" w:hAnsi="Cambria Math" w:eastAsia="Cambria Math"/>
          <w:w w:val="110"/>
        </w:rPr>
        <w:t>𝑥;</w:t>
      </w:r>
      <w:r>
        <w:rPr>
          <w:rFonts w:ascii="Cambria Math" w:hAnsi="Cambria Math" w:eastAsia="Cambria Math"/>
          <w:spacing w:val="-29"/>
          <w:w w:val="110"/>
        </w:rPr>
        <w:t> </w:t>
      </w:r>
      <w:r>
        <w:rPr>
          <w:rFonts w:ascii="Cambria Math" w:hAnsi="Cambria Math" w:eastAsia="Cambria Math"/>
          <w:w w:val="110"/>
        </w:rPr>
        <w:t>μ,</w:t>
      </w:r>
      <w:r>
        <w:rPr>
          <w:rFonts w:ascii="Cambria Math" w:hAnsi="Cambria Math" w:eastAsia="Cambria Math"/>
          <w:spacing w:val="-27"/>
          <w:w w:val="110"/>
        </w:rPr>
        <w:t> </w:t>
      </w:r>
      <w:r>
        <w:rPr>
          <w:rFonts w:ascii="Cambria Math" w:hAnsi="Cambria Math" w:eastAsia="Cambria Math"/>
          <w:w w:val="110"/>
        </w:rPr>
        <w:t>σ</w:t>
      </w:r>
      <w:r>
        <w:rPr>
          <w:rFonts w:ascii="Cambria Math" w:hAnsi="Cambria Math" w:eastAsia="Cambria Math"/>
          <w:w w:val="110"/>
          <w:vertAlign w:val="subscript"/>
        </w:rPr>
        <w:t>1</w:t>
      </w:r>
      <w:r>
        <w:rPr>
          <w:rFonts w:ascii="Cambria Math" w:hAnsi="Cambria Math" w:eastAsia="Cambria Math"/>
          <w:w w:val="110"/>
          <w:vertAlign w:val="baseline"/>
        </w:rPr>
        <w:t>,</w:t>
      </w:r>
      <w:r>
        <w:rPr>
          <w:rFonts w:ascii="Cambria Math" w:hAnsi="Cambria Math" w:eastAsia="Cambria Math"/>
          <w:spacing w:val="-29"/>
          <w:w w:val="110"/>
          <w:vertAlign w:val="baseline"/>
        </w:rPr>
        <w:t> </w:t>
      </w:r>
      <w:r>
        <w:rPr>
          <w:rFonts w:ascii="Cambria Math" w:hAnsi="Cambria Math" w:eastAsia="Cambria Math"/>
          <w:spacing w:val="3"/>
          <w:w w:val="110"/>
          <w:vertAlign w:val="baseline"/>
        </w:rPr>
        <w:t>σ</w:t>
      </w:r>
      <w:r>
        <w:rPr>
          <w:rFonts w:ascii="Cambria Math" w:hAnsi="Cambria Math" w:eastAsia="Cambria Math"/>
          <w:spacing w:val="3"/>
          <w:w w:val="110"/>
          <w:vertAlign w:val="subscript"/>
        </w:rPr>
        <w:t>2</w:t>
      </w:r>
      <w:r>
        <w:rPr>
          <w:rFonts w:ascii="Cambria Math" w:hAnsi="Cambria Math" w:eastAsia="Cambria Math"/>
          <w:spacing w:val="3"/>
          <w:w w:val="110"/>
          <w:position w:val="1"/>
          <w:vertAlign w:val="baseline"/>
        </w:rPr>
        <w:t>)</w:t>
      </w:r>
      <w:r>
        <w:rPr>
          <w:rFonts w:ascii="Cambria Math" w:hAnsi="Cambria Math" w:eastAsia="Cambria Math"/>
          <w:spacing w:val="-13"/>
          <w:w w:val="110"/>
          <w:position w:val="1"/>
          <w:vertAlign w:val="baseline"/>
        </w:rPr>
        <w:t> </w:t>
      </w:r>
      <w:r>
        <w:rPr>
          <w:rFonts w:ascii="Cambria Math" w:hAnsi="Cambria Math" w:eastAsia="Cambria Math"/>
          <w:w w:val="110"/>
          <w:vertAlign w:val="baseline"/>
        </w:rPr>
        <w:t>=</w:t>
      </w:r>
      <w:r>
        <w:rPr>
          <w:rFonts w:ascii="Cambria Math" w:hAnsi="Cambria Math" w:eastAsia="Cambria Math"/>
          <w:spacing w:val="-9"/>
          <w:w w:val="110"/>
          <w:vertAlign w:val="baseline"/>
        </w:rPr>
        <w:t> </w:t>
      </w:r>
      <w:r>
        <w:rPr>
          <w:rFonts w:ascii="Cambria Math" w:hAnsi="Cambria Math" w:eastAsia="Cambria Math"/>
          <w:w w:val="140"/>
          <w:vertAlign w:val="baseline"/>
        </w:rPr>
        <w:t>{</w:t>
        <w:tab/>
      </w:r>
      <w:r>
        <w:rPr>
          <w:rFonts w:ascii="Cambria Math" w:hAnsi="Cambria Math" w:eastAsia="Cambria Math"/>
          <w:w w:val="140"/>
          <w:position w:val="-6"/>
          <w:u w:val="single"/>
          <w:vertAlign w:val="baseline"/>
        </w:rPr>
        <w:t> </w:t>
      </w:r>
      <w:r>
        <w:rPr>
          <w:rFonts w:ascii="Cambria Math" w:hAnsi="Cambria Math" w:eastAsia="Cambria Math"/>
          <w:w w:val="110"/>
          <w:position w:val="-6"/>
          <w:sz w:val="16"/>
          <w:u w:val="single"/>
          <w:vertAlign w:val="baseline"/>
        </w:rPr>
        <w:t>1</w:t>
      </w:r>
      <w:r>
        <w:rPr>
          <w:rFonts w:ascii="Cambria Math" w:hAnsi="Cambria Math" w:eastAsia="Cambria Math"/>
          <w:w w:val="110"/>
          <w:position w:val="-6"/>
          <w:sz w:val="16"/>
          <w:vertAlign w:val="baseline"/>
        </w:rPr>
        <w:tab/>
      </w:r>
      <w:r>
        <w:rPr>
          <w:rFonts w:ascii="Cambria Math" w:hAnsi="Cambria Math" w:eastAsia="Cambria Math"/>
          <w:w w:val="110"/>
          <w:position w:val="-9"/>
          <w:sz w:val="13"/>
          <w:vertAlign w:val="baseline"/>
        </w:rPr>
        <w:t>2</w:t>
      </w:r>
    </w:p>
    <w:p>
      <w:pPr>
        <w:tabs>
          <w:tab w:pos="5528" w:val="left" w:leader="none"/>
          <w:tab w:pos="8313" w:val="left" w:leader="none"/>
        </w:tabs>
        <w:spacing w:line="378" w:lineRule="exact" w:before="0"/>
        <w:ind w:left="3845" w:right="0" w:firstLine="0"/>
        <w:jc w:val="left"/>
        <w:rPr>
          <w:sz w:val="22"/>
        </w:rPr>
      </w:pPr>
      <w:r>
        <w:rPr/>
        <w:pict>
          <v:shape style="position:absolute;margin-left:278.089996pt;margin-top:10.191211pt;width:3.9pt;height:6.5pt;mso-position-horizontal-relative:page;mso-position-vertical-relative:paragraph;z-index:-280908800" type="#_x0000_t202" filled="false" stroked="false">
            <v:textbox inset="0,0,0,0">
              <w:txbxContent>
                <w:p>
                  <w:pPr>
                    <w:spacing w:line="130" w:lineRule="exact" w:before="0"/>
                    <w:ind w:left="0" w:right="0" w:firstLine="0"/>
                    <w:jc w:val="left"/>
                    <w:rPr>
                      <w:rFonts w:ascii="Cambria Math"/>
                      <w:sz w:val="13"/>
                    </w:rPr>
                  </w:pPr>
                  <w:r>
                    <w:rPr>
                      <w:rFonts w:ascii="Cambria Math"/>
                      <w:w w:val="107"/>
                      <w:sz w:val="13"/>
                    </w:rPr>
                    <w:t>2</w:t>
                  </w:r>
                </w:p>
              </w:txbxContent>
            </v:textbox>
            <w10:wrap type="none"/>
          </v:shape>
        </w:pict>
      </w:r>
      <w:r>
        <w:rPr>
          <w:rFonts w:ascii="Cambria Math" w:hAnsi="Cambria Math" w:eastAsia="Cambria Math"/>
          <w:spacing w:val="2"/>
          <w:sz w:val="22"/>
        </w:rPr>
        <w:t>𝐶𝑒</w:t>
      </w:r>
      <w:r>
        <w:rPr>
          <w:rFonts w:ascii="Cambria Math" w:hAnsi="Cambria Math" w:eastAsia="Cambria Math"/>
          <w:spacing w:val="2"/>
          <w:position w:val="18"/>
          <w:sz w:val="16"/>
        </w:rPr>
        <w:t>−</w:t>
      </w:r>
      <w:r>
        <w:rPr>
          <w:rFonts w:ascii="Cambria Math" w:hAnsi="Cambria Math" w:eastAsia="Cambria Math"/>
          <w:spacing w:val="2"/>
          <w:position w:val="7"/>
          <w:sz w:val="16"/>
        </w:rPr>
        <w:t>2σ</w:t>
      </w:r>
      <w:r>
        <w:rPr>
          <w:rFonts w:ascii="Cambria Math" w:hAnsi="Cambria Math" w:eastAsia="Cambria Math"/>
          <w:spacing w:val="2"/>
          <w:position w:val="13"/>
          <w:sz w:val="13"/>
        </w:rPr>
        <w:t>2</w:t>
      </w:r>
      <w:r>
        <w:rPr>
          <w:rFonts w:ascii="Cambria Math" w:hAnsi="Cambria Math" w:eastAsia="Cambria Math"/>
          <w:spacing w:val="2"/>
          <w:position w:val="18"/>
          <w:sz w:val="16"/>
        </w:rPr>
        <w:t>(𝑥−μ) </w:t>
      </w:r>
      <w:r>
        <w:rPr>
          <w:rFonts w:ascii="Cambria Math" w:hAnsi="Cambria Math" w:eastAsia="Cambria Math"/>
          <w:spacing w:val="30"/>
          <w:position w:val="18"/>
          <w:sz w:val="16"/>
        </w:rPr>
        <w:t> </w:t>
      </w:r>
      <w:r>
        <w:rPr>
          <w:rFonts w:ascii="Cambria Math" w:hAnsi="Cambria Math" w:eastAsia="Cambria Math"/>
          <w:sz w:val="22"/>
        </w:rPr>
        <w:t>,</w:t>
        <w:tab/>
        <w:t>𝑝𝑎𝑟𝑎 𝑥</w:t>
      </w:r>
      <w:r>
        <w:rPr>
          <w:rFonts w:ascii="Cambria Math" w:hAnsi="Cambria Math" w:eastAsia="Cambria Math"/>
          <w:spacing w:val="25"/>
          <w:sz w:val="22"/>
        </w:rPr>
        <w:t> </w:t>
      </w:r>
      <w:r>
        <w:rPr>
          <w:rFonts w:ascii="Cambria Math" w:hAnsi="Cambria Math" w:eastAsia="Cambria Math"/>
          <w:sz w:val="22"/>
        </w:rPr>
        <w:t>&gt; </w:t>
      </w:r>
      <w:r>
        <w:rPr>
          <w:rFonts w:ascii="Cambria Math" w:hAnsi="Cambria Math" w:eastAsia="Cambria Math"/>
          <w:spacing w:val="11"/>
          <w:sz w:val="22"/>
        </w:rPr>
        <w:t> </w:t>
      </w:r>
      <w:r>
        <w:rPr>
          <w:rFonts w:ascii="Cambria Math" w:hAnsi="Cambria Math" w:eastAsia="Cambria Math"/>
          <w:sz w:val="22"/>
        </w:rPr>
        <w:t>𝜇</w:t>
        <w:tab/>
      </w:r>
      <w:r>
        <w:rPr>
          <w:position w:val="13"/>
          <w:sz w:val="22"/>
        </w:rPr>
        <w:t>(1)</w:t>
      </w:r>
    </w:p>
    <w:p>
      <w:pPr>
        <w:pStyle w:val="BodyText"/>
        <w:spacing w:line="264" w:lineRule="auto" w:before="483"/>
        <w:ind w:left="670" w:right="1852"/>
        <w:jc w:val="both"/>
      </w:pPr>
      <w:r>
        <w:rPr/>
        <w:t>Se puede observar que el caso particular </w:t>
      </w:r>
      <w:r>
        <w:rPr>
          <w:rFonts w:ascii="Cambria Math" w:hAnsi="Cambria Math" w:eastAsia="Cambria Math"/>
        </w:rPr>
        <w:t>σ</w:t>
      </w:r>
      <w:r>
        <w:rPr>
          <w:rFonts w:ascii="Cambria Math" w:hAnsi="Cambria Math" w:eastAsia="Cambria Math"/>
          <w:position w:val="-4"/>
          <w:sz w:val="16"/>
        </w:rPr>
        <w:t>1 </w:t>
      </w:r>
      <w:r>
        <w:rPr>
          <w:rFonts w:ascii="Cambria Math" w:hAnsi="Cambria Math" w:eastAsia="Cambria Math"/>
        </w:rPr>
        <w:t>= σ</w:t>
      </w:r>
      <w:r>
        <w:rPr>
          <w:rFonts w:ascii="Cambria Math" w:hAnsi="Cambria Math" w:eastAsia="Cambria Math"/>
          <w:position w:val="-4"/>
          <w:sz w:val="16"/>
        </w:rPr>
        <w:t>2 </w:t>
      </w:r>
      <w:r>
        <w:rPr/>
        <w:t>hace que la expresión sea la de una distribución normal, además la densidad queda especificada de forma completa si se conocen los valores de </w:t>
      </w:r>
      <w:r>
        <w:rPr>
          <w:rFonts w:ascii="Cambria Math" w:hAnsi="Cambria Math" w:eastAsia="Cambria Math"/>
          <w:position w:val="1"/>
        </w:rPr>
        <w:t>(</w:t>
      </w:r>
      <w:r>
        <w:rPr>
          <w:rFonts w:ascii="Cambria Math" w:hAnsi="Cambria Math" w:eastAsia="Cambria Math"/>
        </w:rPr>
        <w:t>μ, σ</w:t>
      </w:r>
      <w:r>
        <w:rPr>
          <w:rFonts w:ascii="Cambria Math" w:hAnsi="Cambria Math" w:eastAsia="Cambria Math"/>
          <w:position w:val="-4"/>
          <w:sz w:val="16"/>
        </w:rPr>
        <w:t>1</w:t>
      </w:r>
      <w:r>
        <w:rPr>
          <w:rFonts w:ascii="Cambria Math" w:hAnsi="Cambria Math" w:eastAsia="Cambria Math"/>
        </w:rPr>
        <w:t>, σ</w:t>
      </w:r>
      <w:r>
        <w:rPr>
          <w:rFonts w:ascii="Cambria Math" w:hAnsi="Cambria Math" w:eastAsia="Cambria Math"/>
          <w:position w:val="-4"/>
          <w:sz w:val="16"/>
        </w:rPr>
        <w:t>2</w:t>
      </w:r>
      <w:r>
        <w:rPr>
          <w:rFonts w:ascii="Cambria Math" w:hAnsi="Cambria Math" w:eastAsia="Cambria Math"/>
          <w:position w:val="1"/>
        </w:rPr>
        <w:t>)</w:t>
      </w:r>
      <w:r>
        <w:rPr/>
        <w:t>. No obstante, para determinar los valores de las desviaciones estándar se considera la varianza</w:t>
      </w:r>
      <w:r>
        <w:rPr>
          <w:spacing w:val="-3"/>
        </w:rPr>
        <w:t> </w:t>
      </w:r>
      <w:r>
        <w:rPr/>
        <w:t>de</w:t>
      </w:r>
      <w:r>
        <w:rPr>
          <w:spacing w:val="-5"/>
        </w:rPr>
        <w:t> </w:t>
      </w:r>
      <w:r>
        <w:rPr/>
        <w:t>la</w:t>
      </w:r>
      <w:r>
        <w:rPr>
          <w:spacing w:val="-3"/>
        </w:rPr>
        <w:t> </w:t>
      </w:r>
      <w:r>
        <w:rPr/>
        <w:t>distribución</w:t>
      </w:r>
      <w:r>
        <w:rPr>
          <w:spacing w:val="-5"/>
        </w:rPr>
        <w:t> </w:t>
      </w:r>
      <w:r>
        <w:rPr/>
        <w:t>del</w:t>
      </w:r>
      <w:r>
        <w:rPr>
          <w:spacing w:val="-4"/>
        </w:rPr>
        <w:t> </w:t>
      </w:r>
      <w:r>
        <w:rPr/>
        <w:t>error</w:t>
      </w:r>
      <w:r>
        <w:rPr>
          <w:spacing w:val="-5"/>
        </w:rPr>
        <w:t> </w:t>
      </w:r>
      <w:r>
        <w:rPr/>
        <w:t>de</w:t>
      </w:r>
      <w:r>
        <w:rPr>
          <w:spacing w:val="-2"/>
        </w:rPr>
        <w:t> </w:t>
      </w:r>
      <w:r>
        <w:rPr/>
        <w:t>pronóstico</w:t>
      </w:r>
      <w:r>
        <w:rPr>
          <w:spacing w:val="-5"/>
        </w:rPr>
        <w:t> </w:t>
      </w:r>
      <w:r>
        <w:rPr/>
        <w:t>y</w:t>
      </w:r>
      <w:r>
        <w:rPr>
          <w:spacing w:val="-6"/>
        </w:rPr>
        <w:t> </w:t>
      </w:r>
      <w:r>
        <w:rPr/>
        <w:t>el</w:t>
      </w:r>
      <w:r>
        <w:rPr>
          <w:spacing w:val="-4"/>
        </w:rPr>
        <w:t> </w:t>
      </w:r>
      <w:r>
        <w:rPr/>
        <w:t>balance</w:t>
      </w:r>
      <w:r>
        <w:rPr>
          <w:spacing w:val="-5"/>
        </w:rPr>
        <w:t> </w:t>
      </w:r>
      <w:r>
        <w:rPr/>
        <w:t>de</w:t>
      </w:r>
      <w:r>
        <w:rPr>
          <w:spacing w:val="-6"/>
        </w:rPr>
        <w:t> </w:t>
      </w:r>
      <w:r>
        <w:rPr/>
        <w:t>riesgo</w:t>
      </w:r>
      <w:r>
        <w:rPr>
          <w:spacing w:val="-3"/>
        </w:rPr>
        <w:t> </w:t>
      </w:r>
      <w:r>
        <w:rPr/>
        <w:t>para</w:t>
      </w:r>
      <w:r>
        <w:rPr>
          <w:spacing w:val="-2"/>
        </w:rPr>
        <w:t> </w:t>
      </w:r>
      <w:r>
        <w:rPr/>
        <w:t>cada</w:t>
      </w:r>
      <w:r>
        <w:rPr>
          <w:spacing w:val="-5"/>
        </w:rPr>
        <w:t> </w:t>
      </w:r>
      <w:r>
        <w:rPr/>
        <w:t>periodo</w:t>
      </w:r>
      <w:r>
        <w:rPr>
          <w:spacing w:val="-6"/>
        </w:rPr>
        <w:t> </w:t>
      </w:r>
      <w:r>
        <w:rPr>
          <w:rFonts w:ascii="Cambria Math" w:hAnsi="Cambria Math" w:eastAsia="Cambria Math"/>
        </w:rPr>
        <w:t>𝑃(𝑋</w:t>
      </w:r>
      <w:r>
        <w:rPr>
          <w:rFonts w:ascii="Cambria Math" w:hAnsi="Cambria Math" w:eastAsia="Cambria Math"/>
          <w:spacing w:val="17"/>
        </w:rPr>
        <w:t> </w:t>
      </w:r>
      <w:r>
        <w:rPr>
          <w:rFonts w:ascii="Cambria Math" w:hAnsi="Cambria Math" w:eastAsia="Cambria Math"/>
        </w:rPr>
        <w:t>≤ μ)</w:t>
      </w:r>
      <w:r>
        <w:rPr/>
        <w:t>, que es la probabilidad de que el crecimiento económico tome un valor menor a la moda.</w:t>
      </w:r>
      <w:r>
        <w:rPr>
          <w:spacing w:val="22"/>
        </w:rPr>
        <w:t> </w:t>
      </w:r>
      <w:r>
        <w:rPr/>
        <w:t>Para el valor de la moda se consideró el escenario medio del crecimiento económico </w:t>
      </w:r>
      <w:r>
        <w:rPr>
          <w:spacing w:val="2"/>
        </w:rPr>
        <w:t>del </w:t>
      </w:r>
      <w:r>
        <w:rPr/>
        <w:t>Banco </w:t>
      </w:r>
      <w:r>
        <w:rPr>
          <w:spacing w:val="-3"/>
        </w:rPr>
        <w:t>de </w:t>
      </w:r>
      <w:r>
        <w:rPr/>
        <w:t>Guatemala,</w:t>
      </w:r>
      <w:r>
        <w:rPr>
          <w:spacing w:val="-7"/>
        </w:rPr>
        <w:t> </w:t>
      </w:r>
      <w:r>
        <w:rPr/>
        <w:t>y</w:t>
      </w:r>
      <w:r>
        <w:rPr>
          <w:spacing w:val="-9"/>
        </w:rPr>
        <w:t> </w:t>
      </w:r>
      <w:r>
        <w:rPr/>
        <w:t>para</w:t>
      </w:r>
      <w:r>
        <w:rPr>
          <w:spacing w:val="-8"/>
        </w:rPr>
        <w:t> </w:t>
      </w:r>
      <w:r>
        <w:rPr/>
        <w:t>los</w:t>
      </w:r>
      <w:r>
        <w:rPr>
          <w:spacing w:val="-8"/>
        </w:rPr>
        <w:t> </w:t>
      </w:r>
      <w:r>
        <w:rPr/>
        <w:t>factores</w:t>
      </w:r>
      <w:r>
        <w:rPr>
          <w:spacing w:val="-8"/>
        </w:rPr>
        <w:t> </w:t>
      </w:r>
      <w:r>
        <w:rPr/>
        <w:t>que</w:t>
      </w:r>
      <w:r>
        <w:rPr>
          <w:spacing w:val="-8"/>
        </w:rPr>
        <w:t> </w:t>
      </w:r>
      <w:r>
        <w:rPr/>
        <w:t>se</w:t>
      </w:r>
      <w:r>
        <w:rPr>
          <w:spacing w:val="-8"/>
        </w:rPr>
        <w:t> </w:t>
      </w:r>
      <w:r>
        <w:rPr/>
        <w:t>tomaron</w:t>
      </w:r>
      <w:r>
        <w:rPr>
          <w:spacing w:val="-6"/>
        </w:rPr>
        <w:t> </w:t>
      </w:r>
      <w:r>
        <w:rPr/>
        <w:t>en</w:t>
      </w:r>
      <w:r>
        <w:rPr>
          <w:spacing w:val="-8"/>
        </w:rPr>
        <w:t> </w:t>
      </w:r>
      <w:r>
        <w:rPr/>
        <w:t>cuenta</w:t>
      </w:r>
      <w:r>
        <w:rPr>
          <w:spacing w:val="-6"/>
        </w:rPr>
        <w:t> </w:t>
      </w:r>
      <w:r>
        <w:rPr/>
        <w:t>para</w:t>
      </w:r>
      <w:r>
        <w:rPr>
          <w:spacing w:val="-7"/>
        </w:rPr>
        <w:t> </w:t>
      </w:r>
      <w:r>
        <w:rPr/>
        <w:t>definir</w:t>
      </w:r>
      <w:r>
        <w:rPr>
          <w:spacing w:val="-5"/>
        </w:rPr>
        <w:t> </w:t>
      </w:r>
      <w:r>
        <w:rPr/>
        <w:t>el</w:t>
      </w:r>
      <w:r>
        <w:rPr>
          <w:spacing w:val="-5"/>
        </w:rPr>
        <w:t> </w:t>
      </w:r>
      <w:r>
        <w:rPr/>
        <w:t>Balance</w:t>
      </w:r>
      <w:r>
        <w:rPr>
          <w:spacing w:val="-6"/>
        </w:rPr>
        <w:t> </w:t>
      </w:r>
      <w:r>
        <w:rPr/>
        <w:t>de</w:t>
      </w:r>
      <w:r>
        <w:rPr>
          <w:spacing w:val="-8"/>
        </w:rPr>
        <w:t> </w:t>
      </w:r>
      <w:r>
        <w:rPr/>
        <w:t>Riesgos</w:t>
      </w:r>
      <w:r>
        <w:rPr>
          <w:spacing w:val="-5"/>
        </w:rPr>
        <w:t> </w:t>
      </w:r>
      <w:r>
        <w:rPr/>
        <w:t>fueron</w:t>
      </w:r>
    </w:p>
    <w:p>
      <w:pPr>
        <w:pStyle w:val="BodyText"/>
        <w:spacing w:line="276" w:lineRule="auto" w:before="5"/>
        <w:ind w:left="670" w:right="1857"/>
        <w:jc w:val="both"/>
      </w:pPr>
      <w:r>
        <w:rPr/>
        <w:t>la intensificación del conflicto bélico entre Rusia y Ucrania y sus impactos sobre las materias primas, el surgimiento de variantes del COVID-19 que no puedan ser controladas a través de las vacunas actuales y que el crecimiento de los socios comerciales sea levemente menor al</w:t>
      </w:r>
      <w:r>
        <w:rPr>
          <w:spacing w:val="-28"/>
        </w:rPr>
        <w:t> </w:t>
      </w:r>
      <w:r>
        <w:rPr/>
        <w:t>previsto.</w:t>
      </w:r>
    </w:p>
    <w:p>
      <w:pPr>
        <w:spacing w:before="297"/>
        <w:ind w:left="2390" w:right="0" w:firstLine="0"/>
        <w:jc w:val="left"/>
        <w:rPr>
          <w:b/>
          <w:i/>
          <w:sz w:val="18"/>
        </w:rPr>
      </w:pPr>
      <w:bookmarkStart w:name="_bookmark112" w:id="137"/>
      <w:bookmarkEnd w:id="137"/>
      <w:r>
        <w:rPr/>
      </w:r>
      <w:r>
        <w:rPr>
          <w:b/>
          <w:i/>
          <w:sz w:val="22"/>
        </w:rPr>
        <w:t>Gráfico 56</w:t>
      </w:r>
      <w:r>
        <w:rPr>
          <w:rFonts w:ascii="Calibri" w:hAnsi="Calibri"/>
          <w:b/>
          <w:i/>
          <w:sz w:val="18"/>
        </w:rPr>
        <w:t>. </w:t>
      </w:r>
      <w:r>
        <w:rPr>
          <w:b/>
          <w:i/>
          <w:sz w:val="18"/>
        </w:rPr>
        <w:t>Fan chart de la proyección del crecimiento económico</w:t>
      </w:r>
    </w:p>
    <w:p>
      <w:pPr>
        <w:spacing w:before="228"/>
        <w:ind w:left="0" w:right="2331" w:firstLine="0"/>
        <w:jc w:val="right"/>
        <w:rPr>
          <w:sz w:val="18"/>
        </w:rPr>
      </w:pPr>
      <w:r>
        <w:rPr>
          <w:color w:val="585858"/>
          <w:spacing w:val="-1"/>
          <w:sz w:val="18"/>
        </w:rPr>
        <w:t>8.00</w:t>
      </w:r>
    </w:p>
    <w:p>
      <w:pPr>
        <w:spacing w:before="286"/>
        <w:ind w:left="0" w:right="2331" w:firstLine="0"/>
        <w:jc w:val="right"/>
        <w:rPr>
          <w:sz w:val="18"/>
        </w:rPr>
      </w:pPr>
      <w:r>
        <w:rPr>
          <w:color w:val="585858"/>
          <w:spacing w:val="-1"/>
          <w:sz w:val="18"/>
        </w:rPr>
        <w:t>6.00</w:t>
      </w:r>
    </w:p>
    <w:p>
      <w:pPr>
        <w:spacing w:before="287"/>
        <w:ind w:left="0" w:right="2331" w:firstLine="0"/>
        <w:jc w:val="right"/>
        <w:rPr>
          <w:sz w:val="18"/>
        </w:rPr>
      </w:pPr>
      <w:r>
        <w:rPr>
          <w:color w:val="585858"/>
          <w:spacing w:val="-1"/>
          <w:sz w:val="18"/>
        </w:rPr>
        <w:t>4.00</w:t>
      </w:r>
    </w:p>
    <w:p>
      <w:pPr>
        <w:spacing w:before="288"/>
        <w:ind w:left="0" w:right="2331" w:firstLine="0"/>
        <w:jc w:val="right"/>
        <w:rPr>
          <w:sz w:val="18"/>
        </w:rPr>
      </w:pPr>
      <w:r>
        <w:rPr>
          <w:color w:val="585858"/>
          <w:spacing w:val="-1"/>
          <w:sz w:val="18"/>
        </w:rPr>
        <w:t>2.00</w:t>
      </w:r>
    </w:p>
    <w:p>
      <w:pPr>
        <w:spacing w:before="287"/>
        <w:ind w:left="0" w:right="2586" w:firstLine="0"/>
        <w:jc w:val="right"/>
        <w:rPr>
          <w:sz w:val="18"/>
        </w:rPr>
      </w:pPr>
      <w:r>
        <w:rPr>
          <w:color w:val="585858"/>
          <w:sz w:val="18"/>
        </w:rPr>
        <w:t>-</w:t>
      </w:r>
    </w:p>
    <w:p>
      <w:pPr>
        <w:spacing w:before="287"/>
        <w:ind w:left="0" w:right="2212" w:firstLine="0"/>
        <w:jc w:val="right"/>
        <w:rPr>
          <w:sz w:val="18"/>
        </w:rPr>
      </w:pPr>
      <w:r>
        <w:rPr>
          <w:color w:val="585858"/>
          <w:spacing w:val="-1"/>
          <w:sz w:val="18"/>
        </w:rPr>
        <w:t>(2.00)</w:t>
      </w:r>
    </w:p>
    <w:p>
      <w:pPr>
        <w:pStyle w:val="BodyText"/>
        <w:spacing w:before="11"/>
        <w:rPr>
          <w:sz w:val="24"/>
        </w:rPr>
      </w:pPr>
    </w:p>
    <w:p>
      <w:pPr>
        <w:spacing w:before="0"/>
        <w:ind w:left="8451" w:right="0" w:firstLine="0"/>
        <w:jc w:val="left"/>
        <w:rPr>
          <w:sz w:val="18"/>
        </w:rPr>
      </w:pPr>
      <w:r>
        <w:rPr>
          <w:color w:val="585858"/>
          <w:sz w:val="18"/>
        </w:rPr>
        <w:t>(4.00)</w:t>
      </w:r>
    </w:p>
    <w:p>
      <w:pPr>
        <w:tabs>
          <w:tab w:pos="1761" w:val="left" w:leader="none"/>
          <w:tab w:pos="2662" w:val="left" w:leader="none"/>
          <w:tab w:pos="3564" w:val="left" w:leader="none"/>
          <w:tab w:pos="4465" w:val="left" w:leader="none"/>
          <w:tab w:pos="5367" w:val="left" w:leader="none"/>
          <w:tab w:pos="6269" w:val="left" w:leader="none"/>
          <w:tab w:pos="7171" w:val="left" w:leader="none"/>
          <w:tab w:pos="8072" w:val="left" w:leader="none"/>
        </w:tabs>
        <w:spacing w:before="4"/>
        <w:ind w:left="859" w:right="0" w:firstLine="0"/>
        <w:jc w:val="left"/>
        <w:rPr>
          <w:sz w:val="18"/>
        </w:rPr>
      </w:pPr>
      <w:r>
        <w:rPr>
          <w:color w:val="585858"/>
          <w:sz w:val="18"/>
        </w:rPr>
        <w:t>2019</w:t>
        <w:tab/>
        <w:t>2020</w:t>
        <w:tab/>
        <w:t>2021</w:t>
        <w:tab/>
        <w:t>2022</w:t>
        <w:tab/>
        <w:t>2023</w:t>
        <w:tab/>
        <w:t>2024</w:t>
        <w:tab/>
        <w:t>2025</w:t>
        <w:tab/>
        <w:t>2026</w:t>
        <w:tab/>
        <w:t>2027</w:t>
      </w:r>
    </w:p>
    <w:p>
      <w:pPr>
        <w:spacing w:before="155"/>
        <w:ind w:left="778" w:right="0" w:firstLine="0"/>
        <w:jc w:val="left"/>
        <w:rPr>
          <w:sz w:val="16"/>
        </w:rPr>
      </w:pPr>
      <w:r>
        <w:rPr>
          <w:sz w:val="16"/>
        </w:rPr>
        <w:t>Fuente: Dirección de Análisis y Política Fiscal</w:t>
      </w:r>
    </w:p>
    <w:p>
      <w:pPr>
        <w:pStyle w:val="BodyText"/>
        <w:spacing w:before="8"/>
        <w:rPr>
          <w:sz w:val="21"/>
        </w:rPr>
      </w:pPr>
    </w:p>
    <w:p>
      <w:pPr>
        <w:pStyle w:val="BodyText"/>
        <w:spacing w:line="276" w:lineRule="auto" w:before="92"/>
        <w:ind w:left="670" w:right="1858"/>
        <w:jc w:val="both"/>
      </w:pPr>
      <w:r>
        <w:rPr/>
        <w:t>Los resultados obtenidos muestran que existe un 50% de probabilidad de que el crecimiento económico se encuentre entre 2.6% a 3.4% para 2022, para 2023 podría ubicarse entre 1.7% y</w:t>
      </w:r>
    </w:p>
    <w:p>
      <w:pPr>
        <w:pStyle w:val="BodyText"/>
        <w:spacing w:line="276" w:lineRule="auto"/>
        <w:ind w:left="670" w:right="1855"/>
        <w:jc w:val="both"/>
      </w:pPr>
      <w:r>
        <w:rPr/>
        <w:t>3.0% en 2022, y que para el 2027 se ubique entre 1.6% a 3.4%. Asimismo, existe un 90% de probabilidad</w:t>
      </w:r>
      <w:r>
        <w:rPr>
          <w:spacing w:val="-4"/>
        </w:rPr>
        <w:t> </w:t>
      </w:r>
      <w:r>
        <w:rPr/>
        <w:t>de</w:t>
      </w:r>
      <w:r>
        <w:rPr>
          <w:spacing w:val="-6"/>
        </w:rPr>
        <w:t> </w:t>
      </w:r>
      <w:r>
        <w:rPr/>
        <w:t>que</w:t>
      </w:r>
      <w:r>
        <w:rPr>
          <w:spacing w:val="-6"/>
        </w:rPr>
        <w:t> </w:t>
      </w:r>
      <w:r>
        <w:rPr/>
        <w:t>en</w:t>
      </w:r>
      <w:r>
        <w:rPr>
          <w:spacing w:val="-6"/>
        </w:rPr>
        <w:t> </w:t>
      </w:r>
      <w:r>
        <w:rPr/>
        <w:t>el</w:t>
      </w:r>
      <w:r>
        <w:rPr>
          <w:spacing w:val="-5"/>
        </w:rPr>
        <w:t> </w:t>
      </w:r>
      <w:r>
        <w:rPr/>
        <w:t>2022</w:t>
      </w:r>
      <w:r>
        <w:rPr>
          <w:spacing w:val="-4"/>
        </w:rPr>
        <w:t> </w:t>
      </w:r>
      <w:r>
        <w:rPr/>
        <w:t>el</w:t>
      </w:r>
      <w:r>
        <w:rPr>
          <w:spacing w:val="-3"/>
        </w:rPr>
        <w:t> </w:t>
      </w:r>
      <w:r>
        <w:rPr/>
        <w:t>crecimiento</w:t>
      </w:r>
      <w:r>
        <w:rPr>
          <w:spacing w:val="-6"/>
        </w:rPr>
        <w:t> </w:t>
      </w:r>
      <w:r>
        <w:rPr/>
        <w:t>se</w:t>
      </w:r>
      <w:r>
        <w:rPr>
          <w:spacing w:val="-5"/>
        </w:rPr>
        <w:t> </w:t>
      </w:r>
      <w:r>
        <w:rPr/>
        <w:t>ubique</w:t>
      </w:r>
      <w:r>
        <w:rPr>
          <w:spacing w:val="-3"/>
        </w:rPr>
        <w:t> </w:t>
      </w:r>
      <w:r>
        <w:rPr/>
        <w:t>entre</w:t>
      </w:r>
      <w:r>
        <w:rPr>
          <w:spacing w:val="-6"/>
        </w:rPr>
        <w:t> </w:t>
      </w:r>
      <w:r>
        <w:rPr/>
        <w:t>2.0%</w:t>
      </w:r>
      <w:r>
        <w:rPr>
          <w:spacing w:val="-3"/>
        </w:rPr>
        <w:t> </w:t>
      </w:r>
      <w:r>
        <w:rPr/>
        <w:t>a</w:t>
      </w:r>
      <w:r>
        <w:rPr>
          <w:spacing w:val="-6"/>
        </w:rPr>
        <w:t> </w:t>
      </w:r>
      <w:r>
        <w:rPr/>
        <w:t>4.0%,</w:t>
      </w:r>
      <w:r>
        <w:rPr>
          <w:spacing w:val="-4"/>
        </w:rPr>
        <w:t> </w:t>
      </w:r>
      <w:r>
        <w:rPr/>
        <w:t>en</w:t>
      </w:r>
      <w:r>
        <w:rPr>
          <w:spacing w:val="-4"/>
        </w:rPr>
        <w:t> </w:t>
      </w:r>
      <w:r>
        <w:rPr/>
        <w:t>el</w:t>
      </w:r>
      <w:r>
        <w:rPr>
          <w:spacing w:val="-3"/>
        </w:rPr>
        <w:t> </w:t>
      </w:r>
      <w:r>
        <w:rPr/>
        <w:t>2023</w:t>
      </w:r>
      <w:r>
        <w:rPr>
          <w:spacing w:val="-4"/>
        </w:rPr>
        <w:t> </w:t>
      </w:r>
      <w:r>
        <w:rPr/>
        <w:t>entre</w:t>
      </w:r>
      <w:r>
        <w:rPr>
          <w:spacing w:val="-3"/>
        </w:rPr>
        <w:t> </w:t>
      </w:r>
      <w:r>
        <w:rPr/>
        <w:t>0.7% y 3.9%, y que para 2027 se ubique entre 0.1% a 4.7%. Se puede observar en el gráfico de que a partir del 2023 existe una mayor probabilidad de que el crecimiento sea menor al del escenario base, esto se debe a la respuesta de crecimiento económico ante los choques adversos anteriormente</w:t>
      </w:r>
      <w:r>
        <w:rPr>
          <w:spacing w:val="-1"/>
        </w:rPr>
        <w:t> </w:t>
      </w:r>
      <w:r>
        <w:rPr/>
        <w:t>detallados.</w:t>
      </w:r>
    </w:p>
    <w:p>
      <w:pPr>
        <w:pStyle w:val="BodyText"/>
        <w:spacing w:before="2"/>
        <w:rPr>
          <w:sz w:val="17"/>
        </w:rPr>
      </w:pPr>
    </w:p>
    <w:p>
      <w:pPr>
        <w:spacing w:before="93"/>
        <w:ind w:left="670" w:right="0" w:firstLine="0"/>
        <w:jc w:val="left"/>
        <w:rPr>
          <w:sz w:val="18"/>
        </w:rPr>
      </w:pPr>
      <w:r>
        <w:rPr>
          <w:sz w:val="18"/>
        </w:rPr>
        <w:t>Bibliografía</w:t>
      </w:r>
    </w:p>
    <w:p>
      <w:pPr>
        <w:spacing w:after="0"/>
        <w:jc w:val="left"/>
        <w:rPr>
          <w:sz w:val="18"/>
        </w:rPr>
        <w:sectPr>
          <w:type w:val="continuous"/>
          <w:pgSz w:w="12240" w:h="15840"/>
          <w:pgMar w:top="1500" w:bottom="280" w:left="1140" w:right="0"/>
        </w:sectPr>
      </w:pPr>
    </w:p>
    <w:p>
      <w:pPr>
        <w:pStyle w:val="BodyText"/>
        <w:spacing w:before="6" w:after="1"/>
        <w:rPr>
          <w:sz w:val="14"/>
        </w:rPr>
      </w:pPr>
    </w:p>
    <w:p>
      <w:pPr>
        <w:pStyle w:val="BodyText"/>
        <w:ind w:left="547"/>
        <w:rPr>
          <w:sz w:val="20"/>
        </w:rPr>
      </w:pPr>
      <w:r>
        <w:rPr>
          <w:position w:val="0"/>
          <w:sz w:val="20"/>
        </w:rPr>
        <w:pict>
          <v:shape style="width:439.55pt;height:45.15pt;mso-position-horizontal-relative:char;mso-position-vertical-relative:line" type="#_x0000_t202" filled="true" fillcolor="#bcd5ed" stroked="true" strokeweight="1.44pt" strokecolor="#000000">
            <w10:anchorlock/>
            <v:textbox inset="0,0,0,0">
              <w:txbxContent>
                <w:p>
                  <w:pPr>
                    <w:spacing w:line="276" w:lineRule="auto" w:before="0"/>
                    <w:ind w:left="813" w:right="245" w:hanging="720"/>
                    <w:jc w:val="left"/>
                    <w:rPr>
                      <w:sz w:val="18"/>
                    </w:rPr>
                  </w:pPr>
                  <w:r>
                    <w:rPr>
                      <w:sz w:val="18"/>
                    </w:rPr>
                    <w:t>Julio, J. M. (2007). The Fan Chart; The Techinal Details Of The New Implementation. </w:t>
                  </w:r>
                  <w:r>
                    <w:rPr>
                      <w:i/>
                      <w:sz w:val="18"/>
                    </w:rPr>
                    <w:t>Borradores de Economía No. </w:t>
                  </w:r>
                  <w:r>
                    <w:rPr>
                      <w:i/>
                      <w:sz w:val="18"/>
                    </w:rPr>
                    <w:t>468</w:t>
                  </w:r>
                  <w:r>
                    <w:rPr>
                      <w:sz w:val="18"/>
                    </w:rPr>
                    <w:t>.Secretaría Ejecutiva del Consejo Monetario Centroamericano. (2016). Propuesta de actualización del índice de tipo de cambio efectivo real (ITCER). </w:t>
                  </w:r>
                  <w:r>
                    <w:rPr>
                      <w:i/>
                      <w:sz w:val="18"/>
                    </w:rPr>
                    <w:t>Notas Económicas Regionales</w:t>
                  </w:r>
                  <w:r>
                    <w:rPr>
                      <w:sz w:val="18"/>
                    </w:rPr>
                    <w:t>.</w:t>
                  </w:r>
                </w:p>
              </w:txbxContent>
            </v:textbox>
            <v:fill type="solid"/>
            <v:stroke dashstyle="solid"/>
          </v:shape>
        </w:pict>
      </w:r>
      <w:r>
        <w:rPr>
          <w:position w:val="0"/>
          <w:sz w:val="20"/>
        </w:rPr>
      </w:r>
    </w:p>
    <w:p>
      <w:pPr>
        <w:pStyle w:val="BodyText"/>
        <w:spacing w:before="1"/>
        <w:rPr>
          <w:sz w:val="15"/>
        </w:rPr>
      </w:pPr>
    </w:p>
    <w:p>
      <w:pPr>
        <w:pStyle w:val="ListParagraph"/>
        <w:numPr>
          <w:ilvl w:val="0"/>
          <w:numId w:val="13"/>
        </w:numPr>
        <w:tabs>
          <w:tab w:pos="846" w:val="left" w:leader="none"/>
        </w:tabs>
        <w:spacing w:line="240" w:lineRule="auto" w:before="89" w:after="0"/>
        <w:ind w:left="845" w:right="0" w:hanging="426"/>
        <w:jc w:val="left"/>
        <w:rPr>
          <w:b/>
          <w:sz w:val="28"/>
        </w:rPr>
      </w:pPr>
      <w:bookmarkStart w:name="_bookmark113" w:id="138"/>
      <w:bookmarkEnd w:id="138"/>
      <w:r>
        <w:rPr/>
      </w:r>
      <w:bookmarkStart w:name="_bookmark113" w:id="139"/>
      <w:bookmarkEnd w:id="139"/>
      <w:r>
        <w:rPr>
          <w:b/>
          <w:sz w:val="28"/>
        </w:rPr>
        <w:t>M</w:t>
      </w:r>
      <w:r>
        <w:rPr>
          <w:b/>
          <w:sz w:val="28"/>
        </w:rPr>
        <w:t>arco Fiscal de Mediano</w:t>
      </w:r>
      <w:r>
        <w:rPr>
          <w:b/>
          <w:spacing w:val="1"/>
          <w:sz w:val="28"/>
        </w:rPr>
        <w:t> </w:t>
      </w:r>
      <w:r>
        <w:rPr>
          <w:b/>
          <w:sz w:val="28"/>
        </w:rPr>
        <w:t>Plazo</w:t>
      </w:r>
    </w:p>
    <w:p>
      <w:pPr>
        <w:pStyle w:val="BodyText"/>
        <w:spacing w:before="3"/>
        <w:rPr>
          <w:b/>
          <w:sz w:val="29"/>
        </w:rPr>
      </w:pPr>
    </w:p>
    <w:p>
      <w:pPr>
        <w:pStyle w:val="BodyText"/>
        <w:spacing w:line="276" w:lineRule="auto"/>
        <w:ind w:left="562" w:right="1696"/>
        <w:jc w:val="both"/>
      </w:pPr>
      <w:r>
        <w:rPr/>
        <w:t>En</w:t>
      </w:r>
      <w:r>
        <w:rPr>
          <w:spacing w:val="-14"/>
        </w:rPr>
        <w:t> </w:t>
      </w:r>
      <w:r>
        <w:rPr/>
        <w:t>este</w:t>
      </w:r>
      <w:r>
        <w:rPr>
          <w:spacing w:val="-15"/>
        </w:rPr>
        <w:t> </w:t>
      </w:r>
      <w:r>
        <w:rPr/>
        <w:t>apartado,</w:t>
      </w:r>
      <w:r>
        <w:rPr>
          <w:spacing w:val="-15"/>
        </w:rPr>
        <w:t> </w:t>
      </w:r>
      <w:r>
        <w:rPr/>
        <w:t>es</w:t>
      </w:r>
      <w:r>
        <w:rPr>
          <w:spacing w:val="-17"/>
        </w:rPr>
        <w:t> </w:t>
      </w:r>
      <w:r>
        <w:rPr/>
        <w:t>relevante</w:t>
      </w:r>
      <w:r>
        <w:rPr>
          <w:spacing w:val="-15"/>
        </w:rPr>
        <w:t> </w:t>
      </w:r>
      <w:r>
        <w:rPr/>
        <w:t>previamente</w:t>
      </w:r>
      <w:r>
        <w:rPr>
          <w:spacing w:val="-15"/>
        </w:rPr>
        <w:t> </w:t>
      </w:r>
      <w:r>
        <w:rPr/>
        <w:t>conocer</w:t>
      </w:r>
      <w:r>
        <w:rPr>
          <w:spacing w:val="-15"/>
        </w:rPr>
        <w:t> </w:t>
      </w:r>
      <w:r>
        <w:rPr/>
        <w:t>la</w:t>
      </w:r>
      <w:r>
        <w:rPr>
          <w:spacing w:val="-15"/>
        </w:rPr>
        <w:t> </w:t>
      </w:r>
      <w:r>
        <w:rPr/>
        <w:t>evolución</w:t>
      </w:r>
      <w:r>
        <w:rPr>
          <w:spacing w:val="-15"/>
        </w:rPr>
        <w:t> </w:t>
      </w:r>
      <w:r>
        <w:rPr/>
        <w:t>y</w:t>
      </w:r>
      <w:r>
        <w:rPr>
          <w:spacing w:val="-16"/>
        </w:rPr>
        <w:t> </w:t>
      </w:r>
      <w:r>
        <w:rPr/>
        <w:t>comportamiento</w:t>
      </w:r>
      <w:r>
        <w:rPr>
          <w:spacing w:val="-16"/>
        </w:rPr>
        <w:t> </w:t>
      </w:r>
      <w:r>
        <w:rPr/>
        <w:t>de</w:t>
      </w:r>
      <w:r>
        <w:rPr>
          <w:spacing w:val="-15"/>
        </w:rPr>
        <w:t> </w:t>
      </w:r>
      <w:r>
        <w:rPr/>
        <w:t>la</w:t>
      </w:r>
      <w:r>
        <w:rPr>
          <w:spacing w:val="-15"/>
        </w:rPr>
        <w:t> </w:t>
      </w:r>
      <w:r>
        <w:rPr/>
        <w:t>política</w:t>
      </w:r>
      <w:r>
        <w:rPr>
          <w:spacing w:val="-15"/>
        </w:rPr>
        <w:t> </w:t>
      </w:r>
      <w:r>
        <w:rPr/>
        <w:t>fiscal en</w:t>
      </w:r>
      <w:r>
        <w:rPr>
          <w:spacing w:val="-4"/>
        </w:rPr>
        <w:t> </w:t>
      </w:r>
      <w:r>
        <w:rPr/>
        <w:t>el</w:t>
      </w:r>
      <w:r>
        <w:rPr>
          <w:spacing w:val="-5"/>
        </w:rPr>
        <w:t> </w:t>
      </w:r>
      <w:r>
        <w:rPr/>
        <w:t>último</w:t>
      </w:r>
      <w:r>
        <w:rPr>
          <w:spacing w:val="-4"/>
        </w:rPr>
        <w:t> </w:t>
      </w:r>
      <w:r>
        <w:rPr/>
        <w:t>año</w:t>
      </w:r>
      <w:r>
        <w:rPr>
          <w:spacing w:val="-3"/>
        </w:rPr>
        <w:t> </w:t>
      </w:r>
      <w:r>
        <w:rPr/>
        <w:t>(2021),</w:t>
      </w:r>
      <w:r>
        <w:rPr>
          <w:spacing w:val="-6"/>
        </w:rPr>
        <w:t> </w:t>
      </w:r>
      <w:r>
        <w:rPr/>
        <w:t>para</w:t>
      </w:r>
      <w:r>
        <w:rPr>
          <w:spacing w:val="-4"/>
        </w:rPr>
        <w:t> </w:t>
      </w:r>
      <w:r>
        <w:rPr/>
        <w:t>determinar</w:t>
      </w:r>
      <w:r>
        <w:rPr>
          <w:spacing w:val="-5"/>
        </w:rPr>
        <w:t> </w:t>
      </w:r>
      <w:r>
        <w:rPr/>
        <w:t>el</w:t>
      </w:r>
      <w:r>
        <w:rPr>
          <w:spacing w:val="-5"/>
        </w:rPr>
        <w:t> </w:t>
      </w:r>
      <w:r>
        <w:rPr/>
        <w:t>comportamiento</w:t>
      </w:r>
      <w:r>
        <w:rPr>
          <w:spacing w:val="-6"/>
        </w:rPr>
        <w:t> </w:t>
      </w:r>
      <w:r>
        <w:rPr/>
        <w:t>futuro</w:t>
      </w:r>
      <w:r>
        <w:rPr>
          <w:spacing w:val="-4"/>
        </w:rPr>
        <w:t> </w:t>
      </w:r>
      <w:r>
        <w:rPr/>
        <w:t>de</w:t>
      </w:r>
      <w:r>
        <w:rPr>
          <w:spacing w:val="-4"/>
        </w:rPr>
        <w:t> </w:t>
      </w:r>
      <w:r>
        <w:rPr/>
        <w:t>las</w:t>
      </w:r>
      <w:r>
        <w:rPr>
          <w:spacing w:val="-3"/>
        </w:rPr>
        <w:t> </w:t>
      </w:r>
      <w:r>
        <w:rPr/>
        <w:t>variables</w:t>
      </w:r>
      <w:r>
        <w:rPr>
          <w:spacing w:val="-5"/>
        </w:rPr>
        <w:t> </w:t>
      </w:r>
      <w:r>
        <w:rPr/>
        <w:t>fiscales,</w:t>
      </w:r>
      <w:r>
        <w:rPr>
          <w:spacing w:val="-6"/>
        </w:rPr>
        <w:t> </w:t>
      </w:r>
      <w:r>
        <w:rPr/>
        <w:t>tomando en consideración el escenario atípico que se planteó en dicho año, derivado del efecto arrastre producido por la crisis sanitaria y económica causada por el COVID-19, así como las acciones de política</w:t>
      </w:r>
      <w:r>
        <w:rPr>
          <w:spacing w:val="-6"/>
        </w:rPr>
        <w:t> </w:t>
      </w:r>
      <w:r>
        <w:rPr/>
        <w:t>que</w:t>
      </w:r>
      <w:r>
        <w:rPr>
          <w:spacing w:val="-7"/>
        </w:rPr>
        <w:t> </w:t>
      </w:r>
      <w:r>
        <w:rPr/>
        <w:t>fue</w:t>
      </w:r>
      <w:r>
        <w:rPr>
          <w:spacing w:val="-3"/>
        </w:rPr>
        <w:t> </w:t>
      </w:r>
      <w:r>
        <w:rPr/>
        <w:t>necesario</w:t>
      </w:r>
      <w:r>
        <w:rPr>
          <w:spacing w:val="-7"/>
        </w:rPr>
        <w:t> </w:t>
      </w:r>
      <w:r>
        <w:rPr/>
        <w:t>adoptar</w:t>
      </w:r>
      <w:r>
        <w:rPr>
          <w:spacing w:val="-5"/>
        </w:rPr>
        <w:t> </w:t>
      </w:r>
      <w:r>
        <w:rPr/>
        <w:t>en</w:t>
      </w:r>
      <w:r>
        <w:rPr>
          <w:spacing w:val="-7"/>
        </w:rPr>
        <w:t> </w:t>
      </w:r>
      <w:r>
        <w:rPr/>
        <w:t>el</w:t>
      </w:r>
      <w:r>
        <w:rPr>
          <w:spacing w:val="-5"/>
        </w:rPr>
        <w:t> </w:t>
      </w:r>
      <w:r>
        <w:rPr/>
        <w:t>último</w:t>
      </w:r>
      <w:r>
        <w:rPr>
          <w:spacing w:val="-5"/>
        </w:rPr>
        <w:t> </w:t>
      </w:r>
      <w:r>
        <w:rPr/>
        <w:t>trimestre</w:t>
      </w:r>
      <w:r>
        <w:rPr>
          <w:spacing w:val="-4"/>
        </w:rPr>
        <w:t> </w:t>
      </w:r>
      <w:r>
        <w:rPr/>
        <w:t>cuando</w:t>
      </w:r>
      <w:r>
        <w:rPr>
          <w:spacing w:val="-6"/>
        </w:rPr>
        <w:t> </w:t>
      </w:r>
      <w:r>
        <w:rPr/>
        <w:t>la</w:t>
      </w:r>
      <w:r>
        <w:rPr>
          <w:spacing w:val="-7"/>
        </w:rPr>
        <w:t> </w:t>
      </w:r>
      <w:r>
        <w:rPr/>
        <w:t>problemática</w:t>
      </w:r>
      <w:r>
        <w:rPr>
          <w:spacing w:val="-5"/>
        </w:rPr>
        <w:t> </w:t>
      </w:r>
      <w:r>
        <w:rPr/>
        <w:t>por</w:t>
      </w:r>
      <w:r>
        <w:rPr>
          <w:spacing w:val="-4"/>
        </w:rPr>
        <w:t> </w:t>
      </w:r>
      <w:r>
        <w:rPr/>
        <w:t>el</w:t>
      </w:r>
      <w:r>
        <w:rPr>
          <w:spacing w:val="-5"/>
        </w:rPr>
        <w:t> </w:t>
      </w:r>
      <w:r>
        <w:rPr/>
        <w:t>incremento</w:t>
      </w:r>
      <w:r>
        <w:rPr>
          <w:spacing w:val="-7"/>
        </w:rPr>
        <w:t> </w:t>
      </w:r>
      <w:r>
        <w:rPr/>
        <w:t>de los precios internacionales empezaba a gestarse por un problema en la cadena de suministros en </w:t>
      </w:r>
      <w:r>
        <w:rPr>
          <w:spacing w:val="-3"/>
        </w:rPr>
        <w:t>el </w:t>
      </w:r>
      <w:r>
        <w:rPr/>
        <w:t>mercado</w:t>
      </w:r>
      <w:r>
        <w:rPr>
          <w:spacing w:val="-1"/>
        </w:rPr>
        <w:t> </w:t>
      </w:r>
      <w:r>
        <w:rPr/>
        <w:t>externo.</w:t>
      </w:r>
    </w:p>
    <w:p>
      <w:pPr>
        <w:pStyle w:val="BodyText"/>
        <w:spacing w:before="4"/>
        <w:rPr>
          <w:sz w:val="25"/>
        </w:rPr>
      </w:pPr>
    </w:p>
    <w:p>
      <w:pPr>
        <w:pStyle w:val="BodyText"/>
        <w:spacing w:line="276" w:lineRule="auto" w:before="1"/>
        <w:ind w:left="562" w:right="1694"/>
        <w:jc w:val="both"/>
      </w:pPr>
      <w:r>
        <w:rPr/>
        <w:t>Es importante conocer también como ha incidido el desempeño de la actividad económica en las variables fiscales, -tomando en consideración la fragilidad del proceso de recuperación económica-, en un contexto de nueva normalidad e incremento de los precios internacionales, principalmente en los ingresos tributarios y lo que la administración tributaria ha hecho para incidir en el nivel de recaudación que tiene una incidencia directa en la ejecución de gasto público, repercutiendo en conjunto sobre el resultado fiscal y el endeudamiento público.</w:t>
      </w:r>
    </w:p>
    <w:p>
      <w:pPr>
        <w:pStyle w:val="BodyText"/>
        <w:spacing w:before="2"/>
        <w:rPr>
          <w:sz w:val="25"/>
        </w:rPr>
      </w:pPr>
    </w:p>
    <w:p>
      <w:pPr>
        <w:pStyle w:val="BodyText"/>
        <w:spacing w:line="276" w:lineRule="auto"/>
        <w:ind w:left="562" w:right="1697"/>
        <w:jc w:val="both"/>
      </w:pPr>
      <w:r>
        <w:rPr/>
        <w:t>Asimismo, se define el escenario fiscal de mediano plazo, estableciendo para el efecto la determinación de los objetivos, lineamientos y estrategias de la política fiscal, para que esta sea más predecible,</w:t>
      </w:r>
      <w:r>
        <w:rPr>
          <w:spacing w:val="-4"/>
        </w:rPr>
        <w:t> </w:t>
      </w:r>
      <w:r>
        <w:rPr/>
        <w:t>más</w:t>
      </w:r>
      <w:r>
        <w:rPr>
          <w:spacing w:val="-4"/>
        </w:rPr>
        <w:t> </w:t>
      </w:r>
      <w:r>
        <w:rPr/>
        <w:t>transparente,</w:t>
      </w:r>
      <w:r>
        <w:rPr>
          <w:spacing w:val="-4"/>
        </w:rPr>
        <w:t> </w:t>
      </w:r>
      <w:r>
        <w:rPr/>
        <w:t>menos</w:t>
      </w:r>
      <w:r>
        <w:rPr>
          <w:spacing w:val="-2"/>
        </w:rPr>
        <w:t> </w:t>
      </w:r>
      <w:r>
        <w:rPr/>
        <w:t>pro</w:t>
      </w:r>
      <w:r>
        <w:rPr>
          <w:spacing w:val="-5"/>
        </w:rPr>
        <w:t> </w:t>
      </w:r>
      <w:r>
        <w:rPr/>
        <w:t>cíclica</w:t>
      </w:r>
      <w:r>
        <w:rPr>
          <w:spacing w:val="-4"/>
        </w:rPr>
        <w:t> </w:t>
      </w:r>
      <w:r>
        <w:rPr/>
        <w:t>y</w:t>
      </w:r>
      <w:r>
        <w:rPr>
          <w:spacing w:val="-7"/>
        </w:rPr>
        <w:t> </w:t>
      </w:r>
      <w:r>
        <w:rPr/>
        <w:t>más</w:t>
      </w:r>
      <w:r>
        <w:rPr>
          <w:spacing w:val="-2"/>
        </w:rPr>
        <w:t> </w:t>
      </w:r>
      <w:r>
        <w:rPr/>
        <w:t>eficiente</w:t>
      </w:r>
      <w:r>
        <w:rPr>
          <w:spacing w:val="-7"/>
        </w:rPr>
        <w:t> </w:t>
      </w:r>
      <w:r>
        <w:rPr/>
        <w:t>en</w:t>
      </w:r>
      <w:r>
        <w:rPr>
          <w:spacing w:val="-6"/>
        </w:rPr>
        <w:t> </w:t>
      </w:r>
      <w:r>
        <w:rPr/>
        <w:t>lograr</w:t>
      </w:r>
      <w:r>
        <w:rPr>
          <w:spacing w:val="-6"/>
        </w:rPr>
        <w:t> </w:t>
      </w:r>
      <w:r>
        <w:rPr/>
        <w:t>los</w:t>
      </w:r>
      <w:r>
        <w:rPr>
          <w:spacing w:val="-4"/>
        </w:rPr>
        <w:t> </w:t>
      </w:r>
      <w:r>
        <w:rPr/>
        <w:t>objetivos</w:t>
      </w:r>
      <w:r>
        <w:rPr>
          <w:spacing w:val="-4"/>
        </w:rPr>
        <w:t> </w:t>
      </w:r>
      <w:r>
        <w:rPr/>
        <w:t>prioritarios</w:t>
      </w:r>
      <w:r>
        <w:rPr>
          <w:spacing w:val="-6"/>
        </w:rPr>
        <w:t> </w:t>
      </w:r>
      <w:r>
        <w:rPr/>
        <w:t>de desarrollo sostenible. Con base en lo anterior y tomando en cuenta el escenario macroeconómico se presentan, en este apartado, las estimaciones de los principales agregados fiscales (ingresos, gasto y financiamiento) que darán el soporte financiero al Plan Nacional de Desarrollo en los próximos 5 años.</w:t>
      </w:r>
    </w:p>
    <w:p>
      <w:pPr>
        <w:pStyle w:val="BodyText"/>
        <w:spacing w:before="9"/>
        <w:rPr>
          <w:sz w:val="25"/>
        </w:rPr>
      </w:pPr>
    </w:p>
    <w:p>
      <w:pPr>
        <w:pStyle w:val="Heading2"/>
        <w:numPr>
          <w:ilvl w:val="1"/>
          <w:numId w:val="13"/>
        </w:numPr>
        <w:tabs>
          <w:tab w:pos="1129" w:val="left" w:leader="none"/>
        </w:tabs>
        <w:spacing w:line="240" w:lineRule="auto" w:before="1" w:after="0"/>
        <w:ind w:left="1128" w:right="0" w:hanging="361"/>
        <w:jc w:val="left"/>
      </w:pPr>
      <w:bookmarkStart w:name="_bookmark114" w:id="140"/>
      <w:bookmarkEnd w:id="140"/>
      <w:r>
        <w:rPr>
          <w:b w:val="0"/>
        </w:rPr>
      </w:r>
      <w:bookmarkStart w:name="_bookmark114" w:id="141"/>
      <w:bookmarkEnd w:id="141"/>
      <w:r>
        <w:rPr/>
        <w:t>D</w:t>
      </w:r>
      <w:r>
        <w:rPr/>
        <w:t>esempeño de la política fiscal en</w:t>
      </w:r>
      <w:r>
        <w:rPr>
          <w:spacing w:val="-2"/>
        </w:rPr>
        <w:t> </w:t>
      </w:r>
      <w:r>
        <w:rPr/>
        <w:t>2021</w:t>
      </w:r>
    </w:p>
    <w:p>
      <w:pPr>
        <w:pStyle w:val="BodyText"/>
        <w:spacing w:before="3"/>
        <w:rPr>
          <w:b/>
          <w:sz w:val="28"/>
        </w:rPr>
      </w:pPr>
    </w:p>
    <w:p>
      <w:pPr>
        <w:pStyle w:val="BodyText"/>
        <w:spacing w:line="276" w:lineRule="auto"/>
        <w:ind w:left="562" w:right="1696"/>
        <w:jc w:val="both"/>
      </w:pPr>
      <w:r>
        <w:rPr/>
        <w:t>El año 2021 fue el segundo año de la actual administración pública y arrancó con diversos frentes, luego de un 2020 totalmente atípico derivado de la crisis sanitaria y económica causada por el COVID-19,</w:t>
      </w:r>
      <w:r>
        <w:rPr>
          <w:spacing w:val="-10"/>
        </w:rPr>
        <w:t> </w:t>
      </w:r>
      <w:r>
        <w:rPr/>
        <w:t>que</w:t>
      </w:r>
      <w:r>
        <w:rPr>
          <w:spacing w:val="-9"/>
        </w:rPr>
        <w:t> </w:t>
      </w:r>
      <w:r>
        <w:rPr/>
        <w:t>tuvo</w:t>
      </w:r>
      <w:r>
        <w:rPr>
          <w:spacing w:val="-10"/>
        </w:rPr>
        <w:t> </w:t>
      </w:r>
      <w:r>
        <w:rPr/>
        <w:t>una</w:t>
      </w:r>
      <w:r>
        <w:rPr>
          <w:spacing w:val="-9"/>
        </w:rPr>
        <w:t> </w:t>
      </w:r>
      <w:r>
        <w:rPr/>
        <w:t>política</w:t>
      </w:r>
      <w:r>
        <w:rPr>
          <w:spacing w:val="-9"/>
        </w:rPr>
        <w:t> </w:t>
      </w:r>
      <w:r>
        <w:rPr/>
        <w:t>fiscal</w:t>
      </w:r>
      <w:r>
        <w:rPr>
          <w:spacing w:val="-9"/>
        </w:rPr>
        <w:t> </w:t>
      </w:r>
      <w:r>
        <w:rPr/>
        <w:t>y</w:t>
      </w:r>
      <w:r>
        <w:rPr>
          <w:spacing w:val="-12"/>
        </w:rPr>
        <w:t> </w:t>
      </w:r>
      <w:r>
        <w:rPr/>
        <w:t>monetaria</w:t>
      </w:r>
      <w:r>
        <w:rPr>
          <w:spacing w:val="-9"/>
        </w:rPr>
        <w:t> </w:t>
      </w:r>
      <w:r>
        <w:rPr/>
        <w:t>expansiva</w:t>
      </w:r>
      <w:r>
        <w:rPr>
          <w:spacing w:val="-9"/>
        </w:rPr>
        <w:t> </w:t>
      </w:r>
      <w:r>
        <w:rPr/>
        <w:t>sin</w:t>
      </w:r>
      <w:r>
        <w:rPr>
          <w:spacing w:val="-10"/>
        </w:rPr>
        <w:t> </w:t>
      </w:r>
      <w:r>
        <w:rPr/>
        <w:t>precedentes</w:t>
      </w:r>
      <w:r>
        <w:rPr>
          <w:spacing w:val="-10"/>
        </w:rPr>
        <w:t> </w:t>
      </w:r>
      <w:r>
        <w:rPr/>
        <w:t>que</w:t>
      </w:r>
      <w:r>
        <w:rPr>
          <w:spacing w:val="-12"/>
        </w:rPr>
        <w:t> </w:t>
      </w:r>
      <w:r>
        <w:rPr/>
        <w:t>fue</w:t>
      </w:r>
      <w:r>
        <w:rPr>
          <w:spacing w:val="-9"/>
        </w:rPr>
        <w:t> </w:t>
      </w:r>
      <w:r>
        <w:rPr/>
        <w:t>necesaria</w:t>
      </w:r>
      <w:r>
        <w:rPr>
          <w:spacing w:val="-9"/>
        </w:rPr>
        <w:t> </w:t>
      </w:r>
      <w:r>
        <w:rPr/>
        <w:t>para mitigar el impacto derivado de los efectos negativos de la pandemia y su efecto de transmisión en la economía nacional.</w:t>
      </w:r>
    </w:p>
    <w:p>
      <w:pPr>
        <w:pStyle w:val="BodyText"/>
        <w:spacing w:before="6"/>
        <w:rPr>
          <w:sz w:val="25"/>
        </w:rPr>
      </w:pPr>
    </w:p>
    <w:p>
      <w:pPr>
        <w:pStyle w:val="BodyText"/>
        <w:spacing w:line="276" w:lineRule="auto"/>
        <w:ind w:left="562" w:right="1696"/>
        <w:jc w:val="both"/>
      </w:pPr>
      <w:r>
        <w:rPr/>
        <w:t>En este sentido, además de continuar con el reto que suponía la pandemia del COVID-19 y el inicio del proceso de vacunación, tuvo entre sus principales desafíos, arrancar con un presupuesto de ingresos y egresos que no fue aprobado por segundo año consecutivo, siendo un escenario que se planteaba por primera vez en la historia democrática del país. Si bien en los últimos 22 años, el presupuesto de la nación no había sido aprobado en 7 ocasiones por parte del Congreso de la República, únicamente en 2021 se presentó el caso inédito de no contar con un presupuesto propio por segunda vez consecutiva.</w:t>
      </w:r>
    </w:p>
    <w:p>
      <w:pPr>
        <w:spacing w:after="0" w:line="276" w:lineRule="auto"/>
        <w:jc w:val="both"/>
        <w:sectPr>
          <w:pgSz w:w="12240" w:h="15840"/>
          <w:pgMar w:header="715" w:footer="957" w:top="1240" w:bottom="1140" w:left="1140" w:right="0"/>
        </w:sectPr>
      </w:pPr>
    </w:p>
    <w:p>
      <w:pPr>
        <w:pStyle w:val="BodyText"/>
        <w:rPr>
          <w:sz w:val="20"/>
        </w:rPr>
      </w:pPr>
    </w:p>
    <w:p>
      <w:pPr>
        <w:pStyle w:val="BodyText"/>
        <w:spacing w:before="4"/>
        <w:rPr>
          <w:sz w:val="19"/>
        </w:rPr>
      </w:pPr>
    </w:p>
    <w:p>
      <w:pPr>
        <w:pStyle w:val="BodyText"/>
        <w:spacing w:line="276" w:lineRule="auto"/>
        <w:ind w:left="562" w:right="1695"/>
        <w:jc w:val="both"/>
      </w:pPr>
      <w:r>
        <w:rPr/>
        <w:t>Por</w:t>
      </w:r>
      <w:r>
        <w:rPr>
          <w:spacing w:val="-8"/>
        </w:rPr>
        <w:t> </w:t>
      </w:r>
      <w:r>
        <w:rPr/>
        <w:t>lo</w:t>
      </w:r>
      <w:r>
        <w:rPr>
          <w:spacing w:val="-9"/>
        </w:rPr>
        <w:t> </w:t>
      </w:r>
      <w:r>
        <w:rPr/>
        <w:t>tanto,</w:t>
      </w:r>
      <w:r>
        <w:rPr>
          <w:spacing w:val="-9"/>
        </w:rPr>
        <w:t> </w:t>
      </w:r>
      <w:r>
        <w:rPr/>
        <w:t>inició</w:t>
      </w:r>
      <w:r>
        <w:rPr>
          <w:spacing w:val="-9"/>
        </w:rPr>
        <w:t> </w:t>
      </w:r>
      <w:r>
        <w:rPr/>
        <w:t>el</w:t>
      </w:r>
      <w:r>
        <w:rPr>
          <w:spacing w:val="-4"/>
        </w:rPr>
        <w:t> </w:t>
      </w:r>
      <w:r>
        <w:rPr/>
        <w:t>ejercicio</w:t>
      </w:r>
      <w:r>
        <w:rPr>
          <w:spacing w:val="-9"/>
        </w:rPr>
        <w:t> </w:t>
      </w:r>
      <w:r>
        <w:rPr/>
        <w:t>fiscal</w:t>
      </w:r>
      <w:r>
        <w:rPr>
          <w:spacing w:val="-8"/>
        </w:rPr>
        <w:t> </w:t>
      </w:r>
      <w:r>
        <w:rPr/>
        <w:t>con</w:t>
      </w:r>
      <w:r>
        <w:rPr>
          <w:spacing w:val="-6"/>
        </w:rPr>
        <w:t> </w:t>
      </w:r>
      <w:r>
        <w:rPr/>
        <w:t>un</w:t>
      </w:r>
      <w:r>
        <w:rPr>
          <w:spacing w:val="-6"/>
        </w:rPr>
        <w:t> </w:t>
      </w:r>
      <w:r>
        <w:rPr/>
        <w:t>presupuesto</w:t>
      </w:r>
      <w:r>
        <w:rPr>
          <w:spacing w:val="-6"/>
        </w:rPr>
        <w:t> </w:t>
      </w:r>
      <w:r>
        <w:rPr/>
        <w:t>que</w:t>
      </w:r>
      <w:r>
        <w:rPr>
          <w:spacing w:val="-6"/>
        </w:rPr>
        <w:t> </w:t>
      </w:r>
      <w:r>
        <w:rPr/>
        <w:t>no</w:t>
      </w:r>
      <w:r>
        <w:rPr>
          <w:spacing w:val="-8"/>
        </w:rPr>
        <w:t> </w:t>
      </w:r>
      <w:r>
        <w:rPr/>
        <w:t>estaba</w:t>
      </w:r>
      <w:r>
        <w:rPr>
          <w:spacing w:val="-8"/>
        </w:rPr>
        <w:t> </w:t>
      </w:r>
      <w:r>
        <w:rPr/>
        <w:t>acorde</w:t>
      </w:r>
      <w:r>
        <w:rPr>
          <w:spacing w:val="-7"/>
        </w:rPr>
        <w:t> </w:t>
      </w:r>
      <w:r>
        <w:rPr/>
        <w:t>a</w:t>
      </w:r>
      <w:r>
        <w:rPr>
          <w:spacing w:val="-8"/>
        </w:rPr>
        <w:t> </w:t>
      </w:r>
      <w:r>
        <w:rPr/>
        <w:t>las</w:t>
      </w:r>
      <w:r>
        <w:rPr>
          <w:spacing w:val="-8"/>
        </w:rPr>
        <w:t> </w:t>
      </w:r>
      <w:r>
        <w:rPr/>
        <w:t>necesidades</w:t>
      </w:r>
      <w:r>
        <w:rPr>
          <w:spacing w:val="-4"/>
        </w:rPr>
        <w:t> </w:t>
      </w:r>
      <w:r>
        <w:rPr/>
        <w:t>y</w:t>
      </w:r>
      <w:r>
        <w:rPr>
          <w:spacing w:val="-8"/>
        </w:rPr>
        <w:t> </w:t>
      </w:r>
      <w:r>
        <w:rPr/>
        <w:t>que no</w:t>
      </w:r>
      <w:r>
        <w:rPr>
          <w:spacing w:val="-10"/>
        </w:rPr>
        <w:t> </w:t>
      </w:r>
      <w:r>
        <w:rPr/>
        <w:t>se</w:t>
      </w:r>
      <w:r>
        <w:rPr>
          <w:spacing w:val="-8"/>
        </w:rPr>
        <w:t> </w:t>
      </w:r>
      <w:r>
        <w:rPr/>
        <w:t>encontraba</w:t>
      </w:r>
      <w:r>
        <w:rPr>
          <w:spacing w:val="-8"/>
        </w:rPr>
        <w:t> </w:t>
      </w:r>
      <w:r>
        <w:rPr/>
        <w:t>alineado</w:t>
      </w:r>
      <w:r>
        <w:rPr>
          <w:spacing w:val="-9"/>
        </w:rPr>
        <w:t> </w:t>
      </w:r>
      <w:r>
        <w:rPr/>
        <w:t>con</w:t>
      </w:r>
      <w:r>
        <w:rPr>
          <w:spacing w:val="-9"/>
        </w:rPr>
        <w:t> </w:t>
      </w:r>
      <w:r>
        <w:rPr/>
        <w:t>la</w:t>
      </w:r>
      <w:r>
        <w:rPr>
          <w:spacing w:val="-8"/>
        </w:rPr>
        <w:t> </w:t>
      </w:r>
      <w:r>
        <w:rPr/>
        <w:t>realidad</w:t>
      </w:r>
      <w:r>
        <w:rPr>
          <w:spacing w:val="-9"/>
        </w:rPr>
        <w:t> </w:t>
      </w:r>
      <w:r>
        <w:rPr/>
        <w:t>existente</w:t>
      </w:r>
      <w:r>
        <w:rPr>
          <w:spacing w:val="-8"/>
        </w:rPr>
        <w:t> </w:t>
      </w:r>
      <w:r>
        <w:rPr/>
        <w:t>del</w:t>
      </w:r>
      <w:r>
        <w:rPr>
          <w:spacing w:val="-10"/>
        </w:rPr>
        <w:t> </w:t>
      </w:r>
      <w:r>
        <w:rPr/>
        <w:t>país</w:t>
      </w:r>
      <w:r>
        <w:rPr>
          <w:spacing w:val="-8"/>
        </w:rPr>
        <w:t> </w:t>
      </w:r>
      <w:r>
        <w:rPr/>
        <w:t>en</w:t>
      </w:r>
      <w:r>
        <w:rPr>
          <w:spacing w:val="-8"/>
        </w:rPr>
        <w:t> </w:t>
      </w:r>
      <w:r>
        <w:rPr/>
        <w:t>ese</w:t>
      </w:r>
      <w:r>
        <w:rPr>
          <w:spacing w:val="-8"/>
        </w:rPr>
        <w:t> </w:t>
      </w:r>
      <w:r>
        <w:rPr/>
        <w:t>momento.</w:t>
      </w:r>
      <w:r>
        <w:rPr>
          <w:spacing w:val="-5"/>
        </w:rPr>
        <w:t> </w:t>
      </w:r>
      <w:r>
        <w:rPr/>
        <w:t>La</w:t>
      </w:r>
      <w:r>
        <w:rPr>
          <w:spacing w:val="-9"/>
        </w:rPr>
        <w:t> </w:t>
      </w:r>
      <w:r>
        <w:rPr/>
        <w:t>Constitución</w:t>
      </w:r>
      <w:r>
        <w:rPr>
          <w:spacing w:val="-9"/>
        </w:rPr>
        <w:t> </w:t>
      </w:r>
      <w:r>
        <w:rPr/>
        <w:t>Política de</w:t>
      </w:r>
      <w:r>
        <w:rPr>
          <w:spacing w:val="-7"/>
        </w:rPr>
        <w:t> </w:t>
      </w:r>
      <w:r>
        <w:rPr/>
        <w:t>la</w:t>
      </w:r>
      <w:r>
        <w:rPr>
          <w:spacing w:val="-6"/>
        </w:rPr>
        <w:t> </w:t>
      </w:r>
      <w:r>
        <w:rPr/>
        <w:t>República</w:t>
      </w:r>
      <w:r>
        <w:rPr>
          <w:spacing w:val="-8"/>
        </w:rPr>
        <w:t> </w:t>
      </w:r>
      <w:r>
        <w:rPr/>
        <w:t>de</w:t>
      </w:r>
      <w:r>
        <w:rPr>
          <w:spacing w:val="-6"/>
        </w:rPr>
        <w:t> </w:t>
      </w:r>
      <w:r>
        <w:rPr/>
        <w:t>Guatemala</w:t>
      </w:r>
      <w:r>
        <w:rPr>
          <w:spacing w:val="-6"/>
        </w:rPr>
        <w:t> </w:t>
      </w:r>
      <w:r>
        <w:rPr/>
        <w:t>establece</w:t>
      </w:r>
      <w:r>
        <w:rPr>
          <w:spacing w:val="-6"/>
        </w:rPr>
        <w:t> </w:t>
      </w:r>
      <w:r>
        <w:rPr/>
        <w:t>en</w:t>
      </w:r>
      <w:r>
        <w:rPr>
          <w:spacing w:val="-6"/>
        </w:rPr>
        <w:t> </w:t>
      </w:r>
      <w:r>
        <w:rPr/>
        <w:t>el</w:t>
      </w:r>
      <w:r>
        <w:rPr>
          <w:spacing w:val="-7"/>
        </w:rPr>
        <w:t> </w:t>
      </w:r>
      <w:r>
        <w:rPr/>
        <w:t>artículo</w:t>
      </w:r>
      <w:r>
        <w:rPr>
          <w:spacing w:val="-9"/>
        </w:rPr>
        <w:t> </w:t>
      </w:r>
      <w:r>
        <w:rPr/>
        <w:t>171</w:t>
      </w:r>
      <w:r>
        <w:rPr>
          <w:spacing w:val="-6"/>
        </w:rPr>
        <w:t> </w:t>
      </w:r>
      <w:r>
        <w:rPr/>
        <w:t>que</w:t>
      </w:r>
      <w:r>
        <w:rPr>
          <w:spacing w:val="-4"/>
        </w:rPr>
        <w:t> </w:t>
      </w:r>
      <w:r>
        <w:rPr/>
        <w:t>si</w:t>
      </w:r>
      <w:r>
        <w:rPr>
          <w:spacing w:val="-5"/>
        </w:rPr>
        <w:t> </w:t>
      </w:r>
      <w:r>
        <w:rPr/>
        <w:t>al</w:t>
      </w:r>
      <w:r>
        <w:rPr>
          <w:spacing w:val="-5"/>
        </w:rPr>
        <w:t> </w:t>
      </w:r>
      <w:r>
        <w:rPr/>
        <w:t>momento</w:t>
      </w:r>
      <w:r>
        <w:rPr>
          <w:spacing w:val="-6"/>
        </w:rPr>
        <w:t> </w:t>
      </w:r>
      <w:r>
        <w:rPr/>
        <w:t>de</w:t>
      </w:r>
      <w:r>
        <w:rPr>
          <w:spacing w:val="-7"/>
        </w:rPr>
        <w:t> </w:t>
      </w:r>
      <w:r>
        <w:rPr/>
        <w:t>iniciarse</w:t>
      </w:r>
      <w:r>
        <w:rPr>
          <w:spacing w:val="-6"/>
        </w:rPr>
        <w:t> </w:t>
      </w:r>
      <w:r>
        <w:rPr/>
        <w:t>un</w:t>
      </w:r>
      <w:r>
        <w:rPr>
          <w:spacing w:val="-6"/>
        </w:rPr>
        <w:t> </w:t>
      </w:r>
      <w:r>
        <w:rPr/>
        <w:t>ejercicio fiscal, el presupuesto no hubiera sido aprobado por el Congreso de la República, rige de nuevo el presupuesto en vigencia del ejercicio anterior, el cual podrá ser modificado o ajustado por este organismo.</w:t>
      </w:r>
    </w:p>
    <w:p>
      <w:pPr>
        <w:pStyle w:val="BodyText"/>
        <w:spacing w:line="276" w:lineRule="auto" w:before="160"/>
        <w:ind w:left="562" w:right="1697"/>
        <w:jc w:val="both"/>
      </w:pPr>
      <w:r>
        <w:rPr/>
        <w:t>Por lo anterior, para el ejercicio fiscal 2021 entró en vigencia el Presupuesto General de Ingresos y Egresos del Estado para el ejercicio fiscal 2019, aprobado mediante el Decreto 25-2018, más las</w:t>
      </w:r>
      <w:r>
        <w:rPr>
          <w:spacing w:val="-26"/>
        </w:rPr>
        <w:t> </w:t>
      </w:r>
      <w:r>
        <w:rPr/>
        <w:t>tres ampliaciones</w:t>
      </w:r>
      <w:r>
        <w:rPr>
          <w:spacing w:val="-11"/>
        </w:rPr>
        <w:t> </w:t>
      </w:r>
      <w:r>
        <w:rPr/>
        <w:t>presupuestarias</w:t>
      </w:r>
      <w:r>
        <w:rPr>
          <w:spacing w:val="-8"/>
        </w:rPr>
        <w:t> </w:t>
      </w:r>
      <w:r>
        <w:rPr/>
        <w:t>que</w:t>
      </w:r>
      <w:r>
        <w:rPr>
          <w:spacing w:val="-11"/>
        </w:rPr>
        <w:t> </w:t>
      </w:r>
      <w:r>
        <w:rPr/>
        <w:t>fueron</w:t>
      </w:r>
      <w:r>
        <w:rPr>
          <w:spacing w:val="-11"/>
        </w:rPr>
        <w:t> </w:t>
      </w:r>
      <w:r>
        <w:rPr/>
        <w:t>autorizadas</w:t>
      </w:r>
      <w:r>
        <w:rPr>
          <w:spacing w:val="-8"/>
        </w:rPr>
        <w:t> </w:t>
      </w:r>
      <w:r>
        <w:rPr/>
        <w:t>mediante</w:t>
      </w:r>
      <w:r>
        <w:rPr>
          <w:spacing w:val="-12"/>
        </w:rPr>
        <w:t> </w:t>
      </w:r>
      <w:r>
        <w:rPr/>
        <w:t>Decretos</w:t>
      </w:r>
      <w:r>
        <w:rPr>
          <w:spacing w:val="-8"/>
        </w:rPr>
        <w:t> </w:t>
      </w:r>
      <w:r>
        <w:rPr/>
        <w:t>12-2020,</w:t>
      </w:r>
      <w:r>
        <w:rPr>
          <w:spacing w:val="-11"/>
        </w:rPr>
        <w:t> </w:t>
      </w:r>
      <w:r>
        <w:rPr/>
        <w:t>13-2020</w:t>
      </w:r>
      <w:r>
        <w:rPr>
          <w:spacing w:val="-9"/>
        </w:rPr>
        <w:t> </w:t>
      </w:r>
      <w:r>
        <w:rPr/>
        <w:t>y</w:t>
      </w:r>
      <w:r>
        <w:rPr>
          <w:spacing w:val="-11"/>
        </w:rPr>
        <w:t> </w:t>
      </w:r>
      <w:r>
        <w:rPr/>
        <w:t>20-2020 del Organismo Legislativo, lo que ubicó finalmente el presupuesto vigente en Q107,521.0</w:t>
      </w:r>
      <w:r>
        <w:rPr>
          <w:spacing w:val="-24"/>
        </w:rPr>
        <w:t> </w:t>
      </w:r>
      <w:r>
        <w:rPr/>
        <w:t>millones.</w:t>
      </w:r>
    </w:p>
    <w:p>
      <w:pPr>
        <w:pStyle w:val="BodyText"/>
        <w:spacing w:before="9"/>
        <w:rPr>
          <w:sz w:val="25"/>
        </w:rPr>
      </w:pPr>
    </w:p>
    <w:p>
      <w:pPr>
        <w:spacing w:before="0"/>
        <w:ind w:left="2362" w:right="0" w:firstLine="0"/>
        <w:jc w:val="left"/>
        <w:rPr>
          <w:b/>
          <w:sz w:val="22"/>
        </w:rPr>
      </w:pPr>
      <w:bookmarkStart w:name="_bookmark115" w:id="142"/>
      <w:bookmarkEnd w:id="142"/>
      <w:r>
        <w:rPr/>
      </w:r>
      <w:r>
        <w:rPr>
          <w:b/>
          <w:i/>
          <w:sz w:val="20"/>
        </w:rPr>
        <w:t>Gráfico 57. </w:t>
      </w:r>
      <w:r>
        <w:rPr>
          <w:b/>
          <w:sz w:val="22"/>
        </w:rPr>
        <w:t>Determinación del Presupuesto Vigente 2021</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6"/>
        </w:rPr>
      </w:pPr>
    </w:p>
    <w:p>
      <w:pPr>
        <w:spacing w:after="0"/>
        <w:rPr>
          <w:sz w:val="26"/>
        </w:rPr>
        <w:sectPr>
          <w:pgSz w:w="12240" w:h="15840"/>
          <w:pgMar w:header="715" w:footer="957" w:top="1240" w:bottom="1140" w:left="114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8"/>
        </w:rPr>
      </w:pPr>
    </w:p>
    <w:p>
      <w:pPr>
        <w:spacing w:before="0"/>
        <w:ind w:left="3007" w:right="0" w:firstLine="0"/>
        <w:jc w:val="center"/>
        <w:rPr>
          <w:b/>
          <w:sz w:val="18"/>
        </w:rPr>
      </w:pPr>
      <w:r>
        <w:rPr>
          <w:b/>
          <w:sz w:val="18"/>
        </w:rPr>
        <w:t>Q91,382.1</w:t>
      </w:r>
    </w:p>
    <w:p>
      <w:pPr>
        <w:spacing w:before="49"/>
        <w:ind w:left="3007" w:right="0" w:firstLine="0"/>
        <w:jc w:val="center"/>
        <w:rPr>
          <w:b/>
          <w:sz w:val="18"/>
        </w:rPr>
      </w:pPr>
      <w:r>
        <w:rPr>
          <w:b/>
          <w:color w:val="C00000"/>
          <w:sz w:val="21"/>
        </w:rPr>
        <w:t>+</w:t>
      </w:r>
      <w:r>
        <w:rPr>
          <w:b/>
          <w:sz w:val="18"/>
        </w:rPr>
        <w:t>Decreto 12-2020</w:t>
      </w:r>
    </w:p>
    <w:p>
      <w:pPr>
        <w:pStyle w:val="BodyText"/>
        <w:rPr>
          <w:b/>
          <w:sz w:val="20"/>
        </w:rPr>
      </w:pPr>
      <w:r>
        <w:rPr/>
        <w:br w:type="column"/>
      </w:r>
      <w:r>
        <w:rPr>
          <w:b/>
          <w:sz w:val="20"/>
        </w:rPr>
      </w:r>
    </w:p>
    <w:p>
      <w:pPr>
        <w:pStyle w:val="BodyText"/>
        <w:rPr>
          <w:b/>
          <w:sz w:val="20"/>
        </w:rPr>
      </w:pPr>
    </w:p>
    <w:p>
      <w:pPr>
        <w:pStyle w:val="BodyText"/>
        <w:spacing w:before="6"/>
        <w:rPr>
          <w:b/>
          <w:sz w:val="18"/>
        </w:rPr>
      </w:pPr>
    </w:p>
    <w:p>
      <w:pPr>
        <w:spacing w:before="0"/>
        <w:ind w:left="402" w:right="0" w:firstLine="0"/>
        <w:jc w:val="center"/>
        <w:rPr>
          <w:b/>
          <w:sz w:val="18"/>
        </w:rPr>
      </w:pPr>
      <w:r>
        <w:rPr>
          <w:b/>
          <w:sz w:val="18"/>
        </w:rPr>
        <w:t>Q102,382.1</w:t>
      </w:r>
    </w:p>
    <w:p>
      <w:pPr>
        <w:spacing w:before="48"/>
        <w:ind w:left="399" w:right="0" w:firstLine="0"/>
        <w:jc w:val="center"/>
        <w:rPr>
          <w:b/>
          <w:sz w:val="18"/>
        </w:rPr>
      </w:pPr>
      <w:r>
        <w:rPr>
          <w:b/>
          <w:color w:val="C00000"/>
          <w:sz w:val="21"/>
        </w:rPr>
        <w:t>+</w:t>
      </w:r>
      <w:r>
        <w:rPr>
          <w:b/>
          <w:sz w:val="18"/>
        </w:rPr>
        <w:t>Decreto 13-2020</w:t>
      </w:r>
    </w:p>
    <w:p>
      <w:pPr>
        <w:spacing w:line="213" w:lineRule="auto" w:before="84"/>
        <w:ind w:left="399" w:right="0" w:firstLine="0"/>
        <w:jc w:val="center"/>
        <w:rPr>
          <w:sz w:val="18"/>
        </w:rPr>
      </w:pPr>
      <w:r>
        <w:rPr>
          <w:sz w:val="18"/>
        </w:rPr>
        <w:t>Ampliación por Q11,000 millones</w:t>
      </w:r>
    </w:p>
    <w:p>
      <w:pPr>
        <w:spacing w:line="220" w:lineRule="auto" w:before="70"/>
        <w:ind w:left="406" w:right="0" w:firstLine="0"/>
        <w:jc w:val="center"/>
        <w:rPr>
          <w:sz w:val="18"/>
        </w:rPr>
      </w:pPr>
      <w:r>
        <w:rPr>
          <w:sz w:val="18"/>
        </w:rPr>
        <w:t>La totalidad para atender Emergencia COVID-19</w:t>
      </w:r>
    </w:p>
    <w:p>
      <w:pPr>
        <w:spacing w:before="93"/>
        <w:ind w:left="321" w:right="2254" w:firstLine="0"/>
        <w:jc w:val="center"/>
        <w:rPr>
          <w:b/>
          <w:sz w:val="18"/>
        </w:rPr>
      </w:pPr>
      <w:r>
        <w:rPr/>
        <w:br w:type="column"/>
      </w:r>
      <w:r>
        <w:rPr>
          <w:b/>
          <w:sz w:val="18"/>
        </w:rPr>
        <w:t>Q107,521.0</w:t>
      </w:r>
    </w:p>
    <w:p>
      <w:pPr>
        <w:spacing w:line="216" w:lineRule="auto" w:before="68"/>
        <w:ind w:left="321" w:right="2255" w:firstLine="0"/>
        <w:jc w:val="center"/>
        <w:rPr>
          <w:sz w:val="18"/>
        </w:rPr>
      </w:pPr>
      <w:r>
        <w:rPr/>
        <w:pict>
          <v:group style="position:absolute;margin-left:94.559998pt;margin-top:-83.467529pt;width:422.2pt;height:264pt;mso-position-horizontal-relative:page;mso-position-vertical-relative:paragraph;z-index:-280906752" coordorigin="1891,-1669" coordsize="8444,5280">
            <v:shape style="position:absolute;left:1891;top:-1670;width:8444;height:5280" coordorigin="1891,-1669" coordsize="8444,5280" path="m8940,-1669l9014,-1009,8915,-990,8622,-930,8335,-866,8053,-800,7777,-730,7507,-656,7243,-580,6985,-500,6816,-445,6650,-388,6486,-330,6325,-271,6167,-210,6011,-147,5858,-83,5707,-18,5559,49,5414,117,5271,187,5131,258,5062,294,4993,331,4926,367,4859,405,4792,442,4726,480,4661,519,4596,557,4533,596,4469,636,4407,676,4345,716,4283,756,4223,797,4163,839,4104,880,4045,922,3987,965,3929,1007,3873,1050,3817,1094,3761,1138,3706,1182,3652,1226,3599,1271,3546,1317,3494,1362,3442,1408,3391,1455,3341,1502,3292,1549,3243,1596,3195,1644,3147,1692,3100,1741,3054,1790,3008,1839,2963,1889,2919,1939,2875,1989,2832,2040,2790,2091,2748,2143,2707,2195,2666,2247,2626,2299,2587,2352,2549,2406,2511,2460,2474,2514,2437,2568,2401,2623,2366,2678,2332,2734,2298,2789,2264,2846,2232,2902,2200,2959,2169,3017,2138,3075,2108,3133,2078,3191,2050,3250,2022,3309,1994,3369,1968,3429,1941,3489,1916,3550,1891,3611,1931,3557,1972,3504,2013,3451,2055,3398,2097,3346,2140,3295,2183,3243,2227,3193,2272,3142,2317,3093,2362,3043,2408,2994,2455,2946,2502,2897,2550,2850,2598,2802,2647,2756,2696,2709,2746,2663,2796,2618,2847,2572,2899,2528,2951,2483,3003,2440,3057,2396,3110,2353,3164,2311,3219,2269,3274,2227,3330,2186,3387,2145,3444,2104,3501,2064,3559,2025,3618,1986,3677,1947,3736,1909,3797,1871,3857,1834,3919,1797,3980,1760,4043,1724,4106,1689,4169,1653,4233,1619,4298,1584,4363,1550,4428,1517,4495,1484,4561,1451,4628,1419,4696,1387,4833,1325,4973,1264,5114,1205,5258,1148,5404,1093,5552,1039,5702,987,5855,937,6009,889,6166,842,6325,797,6486,754,6649,712,6815,672,7067,616,7324,563,7586,514,7853,469,8125,428,8402,391,8683,358,8970,328,9163,311,9694,311,10334,-613,8940,-1669xm9694,311l9163,311,9237,971,9694,311xe" filled="true" fillcolor="#f8d6cd" stroked="false">
              <v:path arrowok="t"/>
              <v:fill type="solid"/>
            </v:shape>
            <v:shape style="position:absolute;left:2712;top:2247;width:214;height:214" type="#_x0000_t75" stroked="false">
              <v:imagedata r:id="rId68" o:title=""/>
            </v:shape>
            <v:shape style="position:absolute;left:4084;top:1018;width:358;height:358" type="#_x0000_t75" stroked="false">
              <v:imagedata r:id="rId69" o:title=""/>
            </v:shape>
            <v:shape style="position:absolute;left:5846;top:123;width:449;height:449" coordorigin="5846,123" coordsize="449,449" path="m6071,123l6000,135,5938,167,5890,215,5858,277,5846,348,5858,419,5890,480,5938,529,6000,561,6071,572,6142,561,6203,529,6252,480,6284,419,6295,348,6284,277,6252,215,6203,167,6142,135,6071,123xe" filled="true" fillcolor="#ffc000" stroked="false">
              <v:path arrowok="t"/>
              <v:fill type="solid"/>
            </v:shape>
            <v:shape style="position:absolute;left:5846;top:123;width:449;height:449" coordorigin="5846,123" coordsize="449,449" path="m5846,348l5858,277,5890,215,5938,167,6000,135,6071,123,6142,135,6203,167,6252,215,6284,277,6295,348,6284,419,6252,480,6203,529,6142,561,6071,572,6000,561,5938,529,5890,480,5858,419,5846,348xe" filled="false" stroked="true" strokeweight=".96pt" strokecolor="#ffffff">
              <v:path arrowok="t"/>
              <v:stroke dashstyle="solid"/>
            </v:shape>
            <v:shape style="position:absolute;left:7754;top:-475;width:600;height:600" coordorigin="7754,-474" coordsize="600,600" path="m8054,-474l7986,-466,7923,-444,7867,-408,7820,-362,7785,-306,7762,-243,7754,-174,7762,-105,7785,-42,7820,13,7867,60,7923,95,7986,118,8054,126,8123,118,8186,95,8242,60,8288,13,8324,-42,8346,-105,8354,-174,8346,-243,8324,-306,8288,-362,8242,-408,8186,-444,8123,-466,8054,-474xe" filled="true" fillcolor="#4471c4" stroked="false">
              <v:path arrowok="t"/>
              <v:fill type="solid"/>
            </v:shape>
            <v:shape style="position:absolute;left:7754;top:-475;width:600;height:600" coordorigin="7754,-474" coordsize="600,600" path="m7754,-174l7762,-243,7785,-306,7820,-362,7867,-408,7923,-444,7986,-466,8054,-474,8123,-466,8186,-444,8242,-408,8288,-362,8324,-306,8346,-243,8354,-174,8346,-105,8324,-42,8288,13,8242,60,8186,95,8123,118,8054,126,7986,118,7923,95,7867,60,7820,13,7785,-42,7762,-105,7754,-174xe" filled="false" stroked="true" strokeweight=".96pt" strokecolor="#ffffff">
              <v:path arrowok="t"/>
              <v:stroke dashstyle="solid"/>
            </v:shape>
            <w10:wrap type="none"/>
          </v:group>
        </w:pict>
      </w:r>
      <w:r>
        <w:rPr>
          <w:b/>
          <w:color w:val="C00000"/>
          <w:sz w:val="21"/>
        </w:rPr>
        <w:t>+</w:t>
      </w:r>
      <w:r>
        <w:rPr>
          <w:b/>
          <w:sz w:val="18"/>
        </w:rPr>
        <w:t>Decreto 20-2020 </w:t>
      </w:r>
      <w:r>
        <w:rPr>
          <w:sz w:val="18"/>
        </w:rPr>
        <w:t>Ampliación por Q5,138.9 millones.</w:t>
      </w:r>
    </w:p>
    <w:p>
      <w:pPr>
        <w:spacing w:line="216" w:lineRule="auto" w:before="74"/>
        <w:ind w:left="472" w:right="2403" w:firstLine="0"/>
        <w:jc w:val="center"/>
        <w:rPr>
          <w:sz w:val="18"/>
        </w:rPr>
      </w:pPr>
      <w:r>
        <w:rPr>
          <w:sz w:val="18"/>
        </w:rPr>
        <w:t>Q1,360 millones</w:t>
      </w:r>
      <w:r>
        <w:rPr>
          <w:spacing w:val="-7"/>
          <w:sz w:val="18"/>
        </w:rPr>
        <w:t> </w:t>
      </w:r>
      <w:r>
        <w:rPr>
          <w:sz w:val="18"/>
        </w:rPr>
        <w:t>para COVID-19</w:t>
      </w:r>
    </w:p>
    <w:p>
      <w:pPr>
        <w:spacing w:line="216" w:lineRule="auto" w:before="71"/>
        <w:ind w:left="321" w:right="2253" w:firstLine="0"/>
        <w:jc w:val="center"/>
        <w:rPr>
          <w:sz w:val="18"/>
        </w:rPr>
      </w:pPr>
      <w:r>
        <w:rPr>
          <w:sz w:val="18"/>
        </w:rPr>
        <w:t>Q3,778.9 millones </w:t>
      </w:r>
      <w:r>
        <w:rPr>
          <w:spacing w:val="-3"/>
          <w:sz w:val="18"/>
        </w:rPr>
        <w:t>para </w:t>
      </w:r>
      <w:r>
        <w:rPr>
          <w:sz w:val="18"/>
        </w:rPr>
        <w:t>otros</w:t>
      </w:r>
      <w:r>
        <w:rPr>
          <w:spacing w:val="-4"/>
          <w:sz w:val="18"/>
        </w:rPr>
        <w:t> </w:t>
      </w:r>
      <w:r>
        <w:rPr>
          <w:sz w:val="18"/>
        </w:rPr>
        <w:t>gastos</w:t>
      </w:r>
    </w:p>
    <w:p>
      <w:pPr>
        <w:spacing w:after="0" w:line="216" w:lineRule="auto"/>
        <w:jc w:val="center"/>
        <w:rPr>
          <w:sz w:val="18"/>
        </w:rPr>
        <w:sectPr>
          <w:type w:val="continuous"/>
          <w:pgSz w:w="12240" w:h="15840"/>
          <w:pgMar w:top="1500" w:bottom="280" w:left="1140" w:right="0"/>
          <w:cols w:num="3" w:equalWidth="0">
            <w:col w:w="4379" w:space="40"/>
            <w:col w:w="2209" w:space="39"/>
            <w:col w:w="4433"/>
          </w:cols>
        </w:sectPr>
      </w:pPr>
    </w:p>
    <w:p>
      <w:pPr>
        <w:pStyle w:val="BodyText"/>
        <w:rPr>
          <w:sz w:val="20"/>
        </w:rPr>
      </w:pPr>
    </w:p>
    <w:p>
      <w:pPr>
        <w:pStyle w:val="BodyText"/>
        <w:spacing w:before="4"/>
        <w:rPr>
          <w:sz w:val="21"/>
        </w:rPr>
      </w:pPr>
    </w:p>
    <w:p>
      <w:pPr>
        <w:spacing w:before="0"/>
        <w:ind w:left="0" w:right="0" w:firstLine="0"/>
        <w:jc w:val="right"/>
        <w:rPr>
          <w:b/>
          <w:sz w:val="18"/>
        </w:rPr>
      </w:pPr>
      <w:r>
        <w:rPr>
          <w:b/>
          <w:sz w:val="18"/>
        </w:rPr>
        <w:t>Q87,715.1</w:t>
      </w:r>
    </w:p>
    <w:p>
      <w:pPr>
        <w:spacing w:before="64"/>
        <w:ind w:left="97" w:right="0" w:firstLine="16"/>
        <w:jc w:val="left"/>
        <w:rPr>
          <w:sz w:val="18"/>
        </w:rPr>
      </w:pPr>
      <w:r>
        <w:rPr/>
        <w:br w:type="column"/>
      </w:r>
      <w:r>
        <w:rPr>
          <w:sz w:val="18"/>
        </w:rPr>
        <w:t>Ampliación por Q3,667</w:t>
      </w:r>
      <w:r>
        <w:rPr>
          <w:spacing w:val="-12"/>
          <w:sz w:val="18"/>
        </w:rPr>
        <w:t> </w:t>
      </w:r>
      <w:r>
        <w:rPr>
          <w:sz w:val="18"/>
        </w:rPr>
        <w:t>millones</w:t>
      </w:r>
    </w:p>
    <w:p>
      <w:pPr>
        <w:spacing w:line="250" w:lineRule="atLeast" w:before="10"/>
        <w:ind w:left="78" w:right="6174" w:firstLine="19"/>
        <w:jc w:val="left"/>
        <w:rPr>
          <w:sz w:val="18"/>
        </w:rPr>
      </w:pPr>
      <w:r>
        <w:rPr>
          <w:sz w:val="18"/>
        </w:rPr>
        <w:t>Q2,250 millones para COVID-19 Q1,417 millones para otros</w:t>
      </w:r>
      <w:r>
        <w:rPr>
          <w:spacing w:val="-16"/>
          <w:sz w:val="18"/>
        </w:rPr>
        <w:t> </w:t>
      </w:r>
      <w:r>
        <w:rPr>
          <w:sz w:val="18"/>
        </w:rPr>
        <w:t>gastos</w:t>
      </w:r>
    </w:p>
    <w:p>
      <w:pPr>
        <w:spacing w:after="0" w:line="250" w:lineRule="atLeast"/>
        <w:jc w:val="left"/>
        <w:rPr>
          <w:sz w:val="18"/>
        </w:rPr>
        <w:sectPr>
          <w:type w:val="continuous"/>
          <w:pgSz w:w="12240" w:h="15840"/>
          <w:pgMar w:top="1500" w:bottom="280" w:left="1140" w:right="0"/>
          <w:cols w:num="2" w:equalWidth="0">
            <w:col w:w="2349" w:space="40"/>
            <w:col w:w="8711"/>
          </w:cols>
        </w:sectPr>
      </w:pPr>
    </w:p>
    <w:p>
      <w:pPr>
        <w:spacing w:line="161" w:lineRule="exact" w:before="0"/>
        <w:ind w:left="1395" w:right="0" w:firstLine="0"/>
        <w:jc w:val="left"/>
        <w:rPr>
          <w:b/>
          <w:sz w:val="18"/>
        </w:rPr>
      </w:pPr>
      <w:r>
        <w:rPr>
          <w:b/>
          <w:sz w:val="18"/>
        </w:rPr>
        <w:t>Asignado 2020</w:t>
      </w:r>
    </w:p>
    <w:p>
      <w:pPr>
        <w:spacing w:line="213" w:lineRule="auto" w:before="70"/>
        <w:ind w:left="1451" w:right="8576" w:hanging="32"/>
        <w:jc w:val="left"/>
        <w:rPr>
          <w:sz w:val="18"/>
        </w:rPr>
      </w:pPr>
      <w:r>
        <w:rPr>
          <w:sz w:val="18"/>
        </w:rPr>
        <w:t>Presupuesto en vigencia 2019</w:t>
      </w:r>
    </w:p>
    <w:p>
      <w:pPr>
        <w:spacing w:before="57"/>
        <w:ind w:left="1350" w:right="0" w:firstLine="0"/>
        <w:jc w:val="left"/>
        <w:rPr>
          <w:sz w:val="18"/>
        </w:rPr>
      </w:pPr>
      <w:r>
        <w:rPr>
          <w:sz w:val="18"/>
        </w:rPr>
        <w:t>Decreto 25-2018</w:t>
      </w:r>
    </w:p>
    <w:p>
      <w:pPr>
        <w:spacing w:before="138"/>
        <w:ind w:left="562" w:right="0" w:firstLine="0"/>
        <w:jc w:val="both"/>
        <w:rPr>
          <w:sz w:val="16"/>
        </w:rPr>
      </w:pPr>
      <w:r>
        <w:rPr>
          <w:sz w:val="16"/>
        </w:rPr>
        <w:t>Fuente: Dirección de Análisis y Política Fiscal</w:t>
      </w:r>
    </w:p>
    <w:p>
      <w:pPr>
        <w:pStyle w:val="BodyText"/>
        <w:rPr>
          <w:sz w:val="18"/>
        </w:rPr>
      </w:pPr>
    </w:p>
    <w:p>
      <w:pPr>
        <w:pStyle w:val="BodyText"/>
        <w:spacing w:line="276" w:lineRule="auto" w:before="107"/>
        <w:ind w:left="562" w:right="1696"/>
        <w:jc w:val="both"/>
      </w:pPr>
      <w:r>
        <w:rPr/>
        <w:t>De</w:t>
      </w:r>
      <w:r>
        <w:rPr>
          <w:spacing w:val="-7"/>
        </w:rPr>
        <w:t> </w:t>
      </w:r>
      <w:r>
        <w:rPr/>
        <w:t>esa</w:t>
      </w:r>
      <w:r>
        <w:rPr>
          <w:spacing w:val="-7"/>
        </w:rPr>
        <w:t> </w:t>
      </w:r>
      <w:r>
        <w:rPr/>
        <w:t>cuenta,</w:t>
      </w:r>
      <w:r>
        <w:rPr>
          <w:spacing w:val="-6"/>
        </w:rPr>
        <w:t> </w:t>
      </w:r>
      <w:r>
        <w:rPr/>
        <w:t>2021</w:t>
      </w:r>
      <w:r>
        <w:rPr>
          <w:spacing w:val="-7"/>
        </w:rPr>
        <w:t> </w:t>
      </w:r>
      <w:r>
        <w:rPr/>
        <w:t>contó</w:t>
      </w:r>
      <w:r>
        <w:rPr>
          <w:spacing w:val="-9"/>
        </w:rPr>
        <w:t> </w:t>
      </w:r>
      <w:r>
        <w:rPr/>
        <w:t>desde</w:t>
      </w:r>
      <w:r>
        <w:rPr>
          <w:spacing w:val="-6"/>
        </w:rPr>
        <w:t> </w:t>
      </w:r>
      <w:r>
        <w:rPr/>
        <w:t>un</w:t>
      </w:r>
      <w:r>
        <w:rPr>
          <w:spacing w:val="-7"/>
        </w:rPr>
        <w:t> </w:t>
      </w:r>
      <w:r>
        <w:rPr/>
        <w:t>inicio</w:t>
      </w:r>
      <w:r>
        <w:rPr>
          <w:spacing w:val="-6"/>
        </w:rPr>
        <w:t> </w:t>
      </w:r>
      <w:r>
        <w:rPr/>
        <w:t>con</w:t>
      </w:r>
      <w:r>
        <w:rPr>
          <w:spacing w:val="-7"/>
        </w:rPr>
        <w:t> </w:t>
      </w:r>
      <w:r>
        <w:rPr/>
        <w:t>un</w:t>
      </w:r>
      <w:r>
        <w:rPr>
          <w:spacing w:val="-6"/>
        </w:rPr>
        <w:t> </w:t>
      </w:r>
      <w:r>
        <w:rPr/>
        <w:t>presupuesto</w:t>
      </w:r>
      <w:r>
        <w:rPr>
          <w:spacing w:val="-7"/>
        </w:rPr>
        <w:t> </w:t>
      </w:r>
      <w:r>
        <w:rPr/>
        <w:t>voluminoso,</w:t>
      </w:r>
      <w:r>
        <w:rPr>
          <w:spacing w:val="-6"/>
        </w:rPr>
        <w:t> </w:t>
      </w:r>
      <w:r>
        <w:rPr/>
        <w:t>que,</w:t>
      </w:r>
      <w:r>
        <w:rPr>
          <w:spacing w:val="-6"/>
        </w:rPr>
        <w:t> </w:t>
      </w:r>
      <w:r>
        <w:rPr/>
        <w:t>constituía</w:t>
      </w:r>
      <w:r>
        <w:rPr>
          <w:spacing w:val="-7"/>
        </w:rPr>
        <w:t> </w:t>
      </w:r>
      <w:r>
        <w:rPr/>
        <w:t>un</w:t>
      </w:r>
      <w:r>
        <w:rPr>
          <w:spacing w:val="-6"/>
        </w:rPr>
        <w:t> </w:t>
      </w:r>
      <w:r>
        <w:rPr/>
        <w:t>desafío en términos de reestructuración y financiamiento. Por ejemplo, la autorización de ampliación por medio</w:t>
      </w:r>
      <w:r>
        <w:rPr>
          <w:spacing w:val="-4"/>
        </w:rPr>
        <w:t> </w:t>
      </w:r>
      <w:r>
        <w:rPr/>
        <w:t>del</w:t>
      </w:r>
      <w:r>
        <w:rPr>
          <w:spacing w:val="-3"/>
        </w:rPr>
        <w:t> </w:t>
      </w:r>
      <w:r>
        <w:rPr/>
        <w:t>Decreto</w:t>
      </w:r>
      <w:r>
        <w:rPr>
          <w:spacing w:val="-6"/>
        </w:rPr>
        <w:t> </w:t>
      </w:r>
      <w:r>
        <w:rPr/>
        <w:t>13-2020</w:t>
      </w:r>
      <w:r>
        <w:rPr>
          <w:spacing w:val="-4"/>
        </w:rPr>
        <w:t> </w:t>
      </w:r>
      <w:r>
        <w:rPr/>
        <w:t>corresponde</w:t>
      </w:r>
      <w:r>
        <w:rPr>
          <w:spacing w:val="-6"/>
        </w:rPr>
        <w:t> </w:t>
      </w:r>
      <w:r>
        <w:rPr/>
        <w:t>a</w:t>
      </w:r>
      <w:r>
        <w:rPr>
          <w:spacing w:val="-6"/>
        </w:rPr>
        <w:t> </w:t>
      </w:r>
      <w:r>
        <w:rPr/>
        <w:t>la</w:t>
      </w:r>
      <w:r>
        <w:rPr>
          <w:spacing w:val="-3"/>
        </w:rPr>
        <w:t> </w:t>
      </w:r>
      <w:r>
        <w:rPr/>
        <w:t>emisión,</w:t>
      </w:r>
      <w:r>
        <w:rPr>
          <w:spacing w:val="-4"/>
        </w:rPr>
        <w:t> </w:t>
      </w:r>
      <w:r>
        <w:rPr/>
        <w:t>negociación</w:t>
      </w:r>
      <w:r>
        <w:rPr>
          <w:spacing w:val="-4"/>
        </w:rPr>
        <w:t> </w:t>
      </w:r>
      <w:r>
        <w:rPr/>
        <w:t>y</w:t>
      </w:r>
      <w:r>
        <w:rPr>
          <w:spacing w:val="-6"/>
        </w:rPr>
        <w:t> </w:t>
      </w:r>
      <w:r>
        <w:rPr/>
        <w:t>colocación</w:t>
      </w:r>
      <w:r>
        <w:rPr>
          <w:spacing w:val="-4"/>
        </w:rPr>
        <w:t> </w:t>
      </w:r>
      <w:r>
        <w:rPr/>
        <w:t>de</w:t>
      </w:r>
      <w:r>
        <w:rPr>
          <w:spacing w:val="-6"/>
        </w:rPr>
        <w:t> </w:t>
      </w:r>
      <w:r>
        <w:rPr/>
        <w:t>Bonos</w:t>
      </w:r>
      <w:r>
        <w:rPr>
          <w:spacing w:val="-3"/>
        </w:rPr>
        <w:t> </w:t>
      </w:r>
      <w:r>
        <w:rPr/>
        <w:t>del</w:t>
      </w:r>
      <w:r>
        <w:rPr>
          <w:spacing w:val="-4"/>
        </w:rPr>
        <w:t> </w:t>
      </w:r>
      <w:r>
        <w:rPr/>
        <w:t>Tesoro por un valor de Q11,000.0 millones, siendo un financiamiento extraordinario amparado bajo el artículo</w:t>
      </w:r>
      <w:r>
        <w:rPr>
          <w:spacing w:val="-10"/>
        </w:rPr>
        <w:t> </w:t>
      </w:r>
      <w:r>
        <w:rPr/>
        <w:t>133</w:t>
      </w:r>
      <w:r>
        <w:rPr>
          <w:spacing w:val="-9"/>
        </w:rPr>
        <w:t> </w:t>
      </w:r>
      <w:r>
        <w:rPr/>
        <w:t>de</w:t>
      </w:r>
      <w:r>
        <w:rPr>
          <w:spacing w:val="-11"/>
        </w:rPr>
        <w:t> </w:t>
      </w:r>
      <w:r>
        <w:rPr/>
        <w:t>la</w:t>
      </w:r>
      <w:r>
        <w:rPr>
          <w:spacing w:val="-8"/>
        </w:rPr>
        <w:t> </w:t>
      </w:r>
      <w:r>
        <w:rPr/>
        <w:t>Constitución</w:t>
      </w:r>
      <w:r>
        <w:rPr>
          <w:spacing w:val="-9"/>
        </w:rPr>
        <w:t> </w:t>
      </w:r>
      <w:r>
        <w:rPr/>
        <w:t>Política</w:t>
      </w:r>
      <w:r>
        <w:rPr>
          <w:spacing w:val="-9"/>
        </w:rPr>
        <w:t> </w:t>
      </w:r>
      <w:r>
        <w:rPr/>
        <w:t>de</w:t>
      </w:r>
      <w:r>
        <w:rPr>
          <w:spacing w:val="-11"/>
        </w:rPr>
        <w:t> </w:t>
      </w:r>
      <w:r>
        <w:rPr/>
        <w:t>la</w:t>
      </w:r>
      <w:r>
        <w:rPr>
          <w:spacing w:val="-8"/>
        </w:rPr>
        <w:t> </w:t>
      </w:r>
      <w:r>
        <w:rPr/>
        <w:t>República</w:t>
      </w:r>
      <w:r>
        <w:rPr>
          <w:spacing w:val="-10"/>
        </w:rPr>
        <w:t> </w:t>
      </w:r>
      <w:r>
        <w:rPr/>
        <w:t>de</w:t>
      </w:r>
      <w:r>
        <w:rPr>
          <w:spacing w:val="-8"/>
        </w:rPr>
        <w:t> </w:t>
      </w:r>
      <w:r>
        <w:rPr/>
        <w:t>Guatemala,</w:t>
      </w:r>
      <w:r>
        <w:rPr>
          <w:spacing w:val="-5"/>
        </w:rPr>
        <w:t> </w:t>
      </w:r>
      <w:r>
        <w:rPr/>
        <w:t>el</w:t>
      </w:r>
      <w:r>
        <w:rPr>
          <w:spacing w:val="-11"/>
        </w:rPr>
        <w:t> </w:t>
      </w:r>
      <w:r>
        <w:rPr/>
        <w:t>cual</w:t>
      </w:r>
      <w:r>
        <w:rPr>
          <w:spacing w:val="-8"/>
        </w:rPr>
        <w:t> </w:t>
      </w:r>
      <w:r>
        <w:rPr/>
        <w:t>contiene</w:t>
      </w:r>
      <w:r>
        <w:rPr>
          <w:spacing w:val="-8"/>
        </w:rPr>
        <w:t> </w:t>
      </w:r>
      <w:r>
        <w:rPr/>
        <w:t>una</w:t>
      </w:r>
      <w:r>
        <w:rPr>
          <w:spacing w:val="-11"/>
        </w:rPr>
        <w:t> </w:t>
      </w:r>
      <w:r>
        <w:rPr/>
        <w:t>excepción que</w:t>
      </w:r>
      <w:r>
        <w:rPr>
          <w:spacing w:val="-3"/>
        </w:rPr>
        <w:t> </w:t>
      </w:r>
      <w:r>
        <w:rPr/>
        <w:t>en</w:t>
      </w:r>
      <w:r>
        <w:rPr>
          <w:spacing w:val="-2"/>
        </w:rPr>
        <w:t> </w:t>
      </w:r>
      <w:r>
        <w:rPr/>
        <w:t>caso</w:t>
      </w:r>
      <w:r>
        <w:rPr>
          <w:spacing w:val="-3"/>
        </w:rPr>
        <w:t> </w:t>
      </w:r>
      <w:r>
        <w:rPr/>
        <w:t>de</w:t>
      </w:r>
      <w:r>
        <w:rPr>
          <w:spacing w:val="-2"/>
        </w:rPr>
        <w:t> </w:t>
      </w:r>
      <w:r>
        <w:rPr/>
        <w:t>catástrofe</w:t>
      </w:r>
      <w:r>
        <w:rPr>
          <w:spacing w:val="-3"/>
        </w:rPr>
        <w:t> </w:t>
      </w:r>
      <w:r>
        <w:rPr/>
        <w:t>o</w:t>
      </w:r>
      <w:r>
        <w:rPr>
          <w:spacing w:val="-3"/>
        </w:rPr>
        <w:t> </w:t>
      </w:r>
      <w:r>
        <w:rPr/>
        <w:t>desastre</w:t>
      </w:r>
      <w:r>
        <w:rPr>
          <w:spacing w:val="-3"/>
        </w:rPr>
        <w:t> </w:t>
      </w:r>
      <w:r>
        <w:rPr/>
        <w:t>público,</w:t>
      </w:r>
      <w:r>
        <w:rPr>
          <w:spacing w:val="-3"/>
        </w:rPr>
        <w:t> </w:t>
      </w:r>
      <w:r>
        <w:rPr/>
        <w:t>el</w:t>
      </w:r>
      <w:r>
        <w:rPr>
          <w:spacing w:val="-3"/>
        </w:rPr>
        <w:t> </w:t>
      </w:r>
      <w:r>
        <w:rPr/>
        <w:t>Banco</w:t>
      </w:r>
      <w:r>
        <w:rPr>
          <w:spacing w:val="-5"/>
        </w:rPr>
        <w:t> </w:t>
      </w:r>
      <w:r>
        <w:rPr/>
        <w:t>de</w:t>
      </w:r>
      <w:r>
        <w:rPr>
          <w:spacing w:val="-3"/>
        </w:rPr>
        <w:t> </w:t>
      </w:r>
      <w:r>
        <w:rPr/>
        <w:t>Guatemala</w:t>
      </w:r>
      <w:r>
        <w:rPr>
          <w:spacing w:val="-1"/>
        </w:rPr>
        <w:t> </w:t>
      </w:r>
      <w:r>
        <w:rPr/>
        <w:t>puede</w:t>
      </w:r>
      <w:r>
        <w:rPr>
          <w:spacing w:val="-3"/>
        </w:rPr>
        <w:t> </w:t>
      </w:r>
      <w:r>
        <w:rPr/>
        <w:t>otorgar</w:t>
      </w:r>
      <w:r>
        <w:rPr>
          <w:spacing w:val="-1"/>
        </w:rPr>
        <w:t> </w:t>
      </w:r>
      <w:r>
        <w:rPr/>
        <w:t>financiamiento</w:t>
      </w:r>
      <w:r>
        <w:rPr>
          <w:spacing w:val="-4"/>
        </w:rPr>
        <w:t> </w:t>
      </w:r>
      <w:r>
        <w:rPr>
          <w:spacing w:val="-3"/>
        </w:rPr>
        <w:t>al </w:t>
      </w:r>
      <w:r>
        <w:rPr/>
        <w:t>Estado por medio de adquirir los valores que emitan o se negocien en el mercado primario, lo cual permitió para 2020 el financiamiento de programas económicos y sociales para contrarrestar los efectos del COVID-19, generando espacio presupuestario disponible para 2021, más no la fuente </w:t>
      </w:r>
      <w:r>
        <w:rPr>
          <w:spacing w:val="-3"/>
        </w:rPr>
        <w:t>de </w:t>
      </w:r>
      <w:r>
        <w:rPr/>
        <w:t>financiamiento.</w:t>
      </w:r>
    </w:p>
    <w:p>
      <w:pPr>
        <w:spacing w:after="0" w:line="276" w:lineRule="auto"/>
        <w:jc w:val="both"/>
        <w:sectPr>
          <w:type w:val="continuous"/>
          <w:pgSz w:w="12240" w:h="15840"/>
          <w:pgMar w:top="1500" w:bottom="280" w:left="1140" w:right="0"/>
        </w:sectPr>
      </w:pPr>
    </w:p>
    <w:p>
      <w:pPr>
        <w:pStyle w:val="BodyText"/>
        <w:spacing w:line="276" w:lineRule="auto" w:before="162"/>
        <w:ind w:left="562" w:right="1695"/>
        <w:jc w:val="both"/>
      </w:pPr>
      <w:r>
        <w:rPr/>
        <w:t>Lo anterior supuso incertidumbre en la ejecución al inicio del año, por ello el Ejecutivo anunció en enero la necesidad de hacer una readecuación del presupuesto vigente de Q107,521.5 millones, a un presupuesto</w:t>
      </w:r>
      <w:r>
        <w:rPr>
          <w:spacing w:val="-7"/>
        </w:rPr>
        <w:t> </w:t>
      </w:r>
      <w:r>
        <w:rPr/>
        <w:t>operativo</w:t>
      </w:r>
      <w:r>
        <w:rPr>
          <w:spacing w:val="-7"/>
        </w:rPr>
        <w:t> </w:t>
      </w:r>
      <w:r>
        <w:rPr/>
        <w:t>de</w:t>
      </w:r>
      <w:r>
        <w:rPr>
          <w:spacing w:val="-6"/>
        </w:rPr>
        <w:t> </w:t>
      </w:r>
      <w:r>
        <w:rPr/>
        <w:t>Q94,354.0</w:t>
      </w:r>
      <w:r>
        <w:rPr>
          <w:spacing w:val="-7"/>
        </w:rPr>
        <w:t> </w:t>
      </w:r>
      <w:r>
        <w:rPr/>
        <w:t>millones,</w:t>
      </w:r>
      <w:r>
        <w:rPr>
          <w:spacing w:val="-8"/>
        </w:rPr>
        <w:t> </w:t>
      </w:r>
      <w:r>
        <w:rPr/>
        <w:t>con</w:t>
      </w:r>
      <w:r>
        <w:rPr>
          <w:spacing w:val="-7"/>
        </w:rPr>
        <w:t> </w:t>
      </w:r>
      <w:r>
        <w:rPr/>
        <w:t>el</w:t>
      </w:r>
      <w:r>
        <w:rPr>
          <w:spacing w:val="-6"/>
        </w:rPr>
        <w:t> </w:t>
      </w:r>
      <w:r>
        <w:rPr/>
        <w:t>fin</w:t>
      </w:r>
      <w:r>
        <w:rPr>
          <w:spacing w:val="-6"/>
        </w:rPr>
        <w:t> </w:t>
      </w:r>
      <w:r>
        <w:rPr/>
        <w:t>de</w:t>
      </w:r>
      <w:r>
        <w:rPr>
          <w:spacing w:val="-7"/>
        </w:rPr>
        <w:t> </w:t>
      </w:r>
      <w:r>
        <w:rPr/>
        <w:t>eliminar</w:t>
      </w:r>
      <w:r>
        <w:rPr>
          <w:spacing w:val="-5"/>
        </w:rPr>
        <w:t> </w:t>
      </w:r>
      <w:r>
        <w:rPr/>
        <w:t>virtualmente</w:t>
      </w:r>
      <w:r>
        <w:rPr>
          <w:spacing w:val="-7"/>
        </w:rPr>
        <w:t> </w:t>
      </w:r>
      <w:r>
        <w:rPr/>
        <w:t>los</w:t>
      </w:r>
      <w:r>
        <w:rPr>
          <w:spacing w:val="-5"/>
        </w:rPr>
        <w:t> </w:t>
      </w:r>
      <w:r>
        <w:rPr/>
        <w:t>recursos</w:t>
      </w:r>
      <w:r>
        <w:rPr>
          <w:spacing w:val="-6"/>
        </w:rPr>
        <w:t> </w:t>
      </w:r>
      <w:r>
        <w:rPr/>
        <w:t>que</w:t>
      </w:r>
      <w:r>
        <w:rPr>
          <w:spacing w:val="-4"/>
        </w:rPr>
        <w:t> </w:t>
      </w:r>
      <w:r>
        <w:rPr>
          <w:spacing w:val="-3"/>
        </w:rPr>
        <w:t>no </w:t>
      </w:r>
      <w:r>
        <w:rPr/>
        <w:t>podían ser ejecutados en el 2021 por carecer de</w:t>
      </w:r>
      <w:r>
        <w:rPr>
          <w:spacing w:val="-6"/>
        </w:rPr>
        <w:t> </w:t>
      </w:r>
      <w:r>
        <w:rPr/>
        <w:t>financiamiento.</w:t>
      </w:r>
    </w:p>
    <w:p>
      <w:pPr>
        <w:pStyle w:val="BodyText"/>
        <w:spacing w:before="3"/>
        <w:rPr>
          <w:sz w:val="25"/>
        </w:rPr>
      </w:pPr>
    </w:p>
    <w:p>
      <w:pPr>
        <w:pStyle w:val="BodyText"/>
        <w:spacing w:line="276" w:lineRule="auto" w:before="1"/>
        <w:ind w:left="562" w:right="1696"/>
        <w:jc w:val="both"/>
      </w:pPr>
      <w:r>
        <w:rPr/>
        <w:t>El presupuesto operativo supuso una reducción de Q13,167.5 millones con respecto al presupuesto vigente y fue incluso menor a los Q99,700 millones, que habían sido solicitados en el Proyecto de Presupuesto para el ejercicio fiscal 2021 y que finalmente fue archivado por el Congreso de la República.</w:t>
      </w:r>
    </w:p>
    <w:p>
      <w:pPr>
        <w:pStyle w:val="BodyText"/>
        <w:spacing w:before="7"/>
        <w:rPr>
          <w:sz w:val="25"/>
        </w:rPr>
      </w:pPr>
    </w:p>
    <w:p>
      <w:pPr>
        <w:pStyle w:val="Heading3"/>
        <w:spacing w:before="1"/>
        <w:ind w:left="1395" w:right="2534"/>
        <w:jc w:val="center"/>
      </w:pPr>
      <w:bookmarkStart w:name="_bookmark116" w:id="143"/>
      <w:bookmarkEnd w:id="143"/>
      <w:r>
        <w:rPr>
          <w:b w:val="0"/>
        </w:rPr>
      </w:r>
      <w:r>
        <w:rPr>
          <w:i/>
          <w:sz w:val="20"/>
        </w:rPr>
        <w:t>Gráfico 58. </w:t>
      </w:r>
      <w:r>
        <w:rPr/>
        <w:t>Origen de los recursos para el financiamiento del presupuesto</w:t>
      </w:r>
    </w:p>
    <w:p>
      <w:pPr>
        <w:pStyle w:val="BodyText"/>
        <w:spacing w:before="32"/>
        <w:ind w:left="1395" w:right="2530"/>
        <w:jc w:val="center"/>
      </w:pPr>
      <w:r>
        <w:rPr/>
        <w:t>Cifras en millones</w:t>
      </w:r>
    </w:p>
    <w:p>
      <w:pPr>
        <w:pStyle w:val="BodyText"/>
        <w:rPr>
          <w:sz w:val="20"/>
        </w:rPr>
      </w:pPr>
    </w:p>
    <w:p>
      <w:pPr>
        <w:pStyle w:val="BodyText"/>
        <w:spacing w:before="11"/>
        <w:rPr>
          <w:sz w:val="18"/>
        </w:rPr>
      </w:pPr>
    </w:p>
    <w:p>
      <w:pPr>
        <w:spacing w:before="94"/>
        <w:ind w:left="660" w:right="0" w:firstLine="0"/>
        <w:jc w:val="left"/>
        <w:rPr>
          <w:sz w:val="16"/>
        </w:rPr>
      </w:pPr>
      <w:r>
        <w:rPr/>
        <w:pict>
          <v:group style="position:absolute;margin-left:128.520004pt;margin-top:-20.211279pt;width:338.9pt;height:207.75pt;mso-position-horizontal-relative:page;mso-position-vertical-relative:paragraph;z-index:252420096" coordorigin="2570,-404" coordsize="6778,4155">
            <v:shape style="position:absolute;left:2577;top:193;width:6771;height:3550" type="#_x0000_t75" stroked="false">
              <v:imagedata r:id="rId70" o:title=""/>
            </v:shape>
            <v:shape style="position:absolute;left:3302;top:1849;width:5321;height:1894" coordorigin="3302,1849" coordsize="5321,1894" path="m5237,1849l3302,1849,3302,3743,5237,3743,5237,1849m8623,1849l6689,1849,6689,3743,8623,3743,8623,1849e" filled="true" fillcolor="#843b0b" stroked="false">
              <v:path arrowok="t"/>
              <v:fill type="solid"/>
            </v:shape>
            <v:shape style="position:absolute;left:0;top:10527;width:5321;height:1894" coordorigin="0,10528" coordsize="5321,1894" path="m3302,1849l5237,1849,5237,3743,3302,3743,3302,1849xm6689,1849l8623,1849,8623,3743,6689,3743,6689,1849xe" filled="false" stroked="true" strokeweight=".72pt" strokecolor="#000000">
              <v:path arrowok="t"/>
              <v:stroke dashstyle="solid"/>
            </v:shape>
            <v:rect style="position:absolute;left:3302;top:1714;width:1935;height:135" filled="true" fillcolor="#ec7c30" stroked="false">
              <v:fill type="solid"/>
            </v:rect>
            <v:rect style="position:absolute;left:6688;top:1707;width:1935;height:142" filled="true" fillcolor="#ec7c30" stroked="false">
              <v:fill type="solid"/>
            </v:rect>
            <v:shape style="position:absolute;left:0;top:10520;width:5321;height:142" coordorigin="0,10521" coordsize="5321,142" path="m3302,1715l5237,1715,5237,1849,3302,1849,3302,1715xm6689,1708l8623,1708,8623,1849,6689,1849,6689,1708xe" filled="false" stroked="true" strokeweight=".72pt" strokecolor="#000000">
              <v:path arrowok="t"/>
              <v:stroke dashstyle="solid"/>
            </v:shape>
            <v:shape style="position:absolute;left:3302;top:663;width:5321;height:1052" coordorigin="3302,664" coordsize="5321,1052" path="m5237,664l3302,664,3302,1715,5237,1715,5237,664m8623,1053l6689,1053,6689,1708,8623,1708,8623,1053e" filled="true" fillcolor="#385622" stroked="false">
              <v:path arrowok="t"/>
              <v:fill type="solid"/>
            </v:shape>
            <v:shape style="position:absolute;left:0;top:10527;width:5321;height:1052" coordorigin="0,10528" coordsize="5321,1052" path="m3302,664l5237,664,5237,1715,3302,1715,3302,664xm6689,1053l8623,1053,8623,1708,6689,1708,6689,1053xe" filled="false" stroked="true" strokeweight=".72pt" strokecolor="#000000">
              <v:path arrowok="t"/>
              <v:stroke dashstyle="solid"/>
            </v:shape>
            <v:shape style="position:absolute;left:3302;top:562;width:5321;height:490" coordorigin="3302,563" coordsize="5321,490" path="m5237,563l3302,563,3302,664,5237,664,5237,563m8623,952l6689,952,6689,1053,8623,1053,8623,952e" filled="true" fillcolor="#538235" stroked="false">
              <v:path arrowok="t"/>
              <v:fill type="solid"/>
            </v:shape>
            <v:shape style="position:absolute;left:0;top:10527;width:5321;height:490" coordorigin="0,10528" coordsize="5321,490" path="m3302,563l5237,563,5237,664,3302,664,3302,563xm6689,952l8623,952,8623,1053,6689,1053,6689,952xe" filled="false" stroked="true" strokeweight=".72pt" strokecolor="#000000">
              <v:path arrowok="t"/>
              <v:stroke dashstyle="solid"/>
            </v:shape>
            <v:shape style="position:absolute;left:0;top:6978;width:6771;height:3550" coordorigin="0,6978" coordsize="6771,3550" path="m2578,3743l2578,193m2578,3743l9348,3743e" filled="false" stroked="true" strokeweight=".72pt" strokecolor="#d9d9d9">
              <v:path arrowok="t"/>
              <v:stroke dashstyle="solid"/>
            </v:shape>
            <v:shape style="position:absolute;left:3508;top:-405;width:4896;height:1035" coordorigin="3509,-404" coordsize="4896,1035" path="m5146,-404l3509,-404,3509,234,5146,234,5146,-404m8405,-8l7219,-8,7219,630,8405,630,8405,-8e" filled="true" fillcolor="#ffffff" stroked="false">
              <v:path arrowok="t"/>
              <v:fill type="solid"/>
            </v:shape>
            <v:shape style="position:absolute;left:5421;top:471;width:1464;height:639" type="#_x0000_t75" stroked="false">
              <v:imagedata r:id="rId71" o:title=""/>
            </v:shape>
            <v:shape style="position:absolute;left:5065;top:37;width:2136;height:478" coordorigin="5066,38" coordsize="2136,478" path="m7062,470l7054,515,7199,475,7085,475,7062,470xm7071,426l7062,470,7085,475,7093,430,7071,426xm7080,381l7071,426,7093,430,7085,475,7199,475,7201,474,7080,381xm5074,38l5066,83,7062,470,7071,426,5074,38xe" filled="true" fillcolor="#c00000" stroked="false">
              <v:path arrowok="t"/>
              <v:fill type="solid"/>
            </v:shape>
            <v:shape style="position:absolute;left:7230;top:2494;width:872;height:613" type="#_x0000_t202" filled="false" stroked="false">
              <v:textbox inset="0,0,0,0">
                <w:txbxContent>
                  <w:p>
                    <w:pPr>
                      <w:spacing w:line="240" w:lineRule="auto" w:before="0"/>
                      <w:ind w:left="0" w:right="18" w:hanging="3"/>
                      <w:jc w:val="center"/>
                      <w:rPr>
                        <w:sz w:val="18"/>
                      </w:rPr>
                    </w:pPr>
                    <w:r>
                      <w:rPr>
                        <w:color w:val="FFFFFF"/>
                        <w:sz w:val="18"/>
                      </w:rPr>
                      <w:t>Ingresos Tributarios; 64,027.1</w:t>
                    </w:r>
                  </w:p>
                </w:txbxContent>
              </v:textbox>
              <w10:wrap type="none"/>
            </v:shape>
            <v:shape style="position:absolute;left:3844;top:2494;width:872;height:613" type="#_x0000_t202" filled="false" stroked="false">
              <v:textbox inset="0,0,0,0">
                <w:txbxContent>
                  <w:p>
                    <w:pPr>
                      <w:spacing w:line="240" w:lineRule="auto" w:before="0"/>
                      <w:ind w:left="-1" w:right="18" w:hanging="3"/>
                      <w:jc w:val="center"/>
                      <w:rPr>
                        <w:sz w:val="18"/>
                      </w:rPr>
                    </w:pPr>
                    <w:r>
                      <w:rPr>
                        <w:color w:val="FFFFFF"/>
                        <w:sz w:val="18"/>
                      </w:rPr>
                      <w:t>Ingresos Tributarios; 64,027.7</w:t>
                    </w:r>
                  </w:p>
                </w:txbxContent>
              </v:textbox>
              <w10:wrap type="none"/>
            </v:shape>
            <v:shape style="position:absolute;left:6928;top:76;width:2247;height:1980" type="#_x0000_t202" filled="false" stroked="false">
              <v:textbox inset="0,0,0,0">
                <w:txbxContent>
                  <w:p>
                    <w:pPr>
                      <w:spacing w:line="254" w:lineRule="auto" w:before="0"/>
                      <w:ind w:left="455" w:right="916" w:firstLine="202"/>
                      <w:jc w:val="left"/>
                      <w:rPr>
                        <w:b/>
                        <w:sz w:val="20"/>
                      </w:rPr>
                    </w:pPr>
                    <w:r>
                      <w:rPr>
                        <w:b/>
                        <w:sz w:val="20"/>
                      </w:rPr>
                      <w:t>Total Q94,354.0</w:t>
                    </w:r>
                  </w:p>
                  <w:p>
                    <w:pPr>
                      <w:spacing w:before="54"/>
                      <w:ind w:left="6" w:right="0" w:firstLine="0"/>
                      <w:jc w:val="left"/>
                      <w:rPr>
                        <w:sz w:val="18"/>
                      </w:rPr>
                    </w:pPr>
                    <w:r>
                      <w:rPr>
                        <w:sz w:val="18"/>
                      </w:rPr>
                      <w:t>Saldo de Caja y Otros; 3,380.0</w:t>
                    </w:r>
                  </w:p>
                  <w:p>
                    <w:pPr>
                      <w:spacing w:line="240" w:lineRule="auto" w:before="3"/>
                      <w:rPr>
                        <w:sz w:val="21"/>
                      </w:rPr>
                    </w:pPr>
                  </w:p>
                  <w:p>
                    <w:pPr>
                      <w:spacing w:before="1"/>
                      <w:ind w:left="67" w:right="855" w:firstLine="0"/>
                      <w:jc w:val="center"/>
                      <w:rPr>
                        <w:sz w:val="18"/>
                      </w:rPr>
                    </w:pPr>
                    <w:r>
                      <w:rPr>
                        <w:color w:val="FFFFFF"/>
                        <w:sz w:val="18"/>
                      </w:rPr>
                      <w:t>Emisión de Bonos y Préstamos; 22,147.9</w:t>
                    </w:r>
                  </w:p>
                  <w:p>
                    <w:pPr>
                      <w:spacing w:line="158" w:lineRule="exact" w:before="0"/>
                      <w:ind w:left="0" w:right="749" w:firstLine="0"/>
                      <w:jc w:val="center"/>
                      <w:rPr>
                        <w:sz w:val="18"/>
                      </w:rPr>
                    </w:pPr>
                    <w:r>
                      <w:rPr>
                        <w:color w:val="FFFFFF"/>
                        <w:sz w:val="18"/>
                      </w:rPr>
                      <w:t>Ingresos No Trib.</w:t>
                    </w:r>
                    <w:r>
                      <w:rPr>
                        <w:color w:val="FFFFFF"/>
                        <w:spacing w:val="-7"/>
                        <w:sz w:val="18"/>
                      </w:rPr>
                      <w:t> </w:t>
                    </w:r>
                    <w:r>
                      <w:rPr>
                        <w:color w:val="FFFFFF"/>
                        <w:sz w:val="18"/>
                      </w:rPr>
                      <w:t>y</w:t>
                    </w:r>
                  </w:p>
                  <w:p>
                    <w:pPr>
                      <w:spacing w:line="207" w:lineRule="exact" w:before="0"/>
                      <w:ind w:left="0" w:right="754" w:firstLine="0"/>
                      <w:jc w:val="center"/>
                      <w:rPr>
                        <w:sz w:val="18"/>
                      </w:rPr>
                    </w:pPr>
                    <w:r>
                      <w:rPr>
                        <w:color w:val="FFFFFF"/>
                        <w:sz w:val="18"/>
                      </w:rPr>
                      <w:t>Donaciones;</w:t>
                    </w:r>
                    <w:r>
                      <w:rPr>
                        <w:color w:val="FFFFFF"/>
                        <w:spacing w:val="-12"/>
                        <w:sz w:val="18"/>
                      </w:rPr>
                      <w:t> </w:t>
                    </w:r>
                    <w:r>
                      <w:rPr>
                        <w:color w:val="FFFFFF"/>
                        <w:sz w:val="18"/>
                      </w:rPr>
                      <w:t>4,799.1</w:t>
                    </w:r>
                  </w:p>
                </w:txbxContent>
              </v:textbox>
              <w10:wrap type="none"/>
            </v:shape>
            <v:shape style="position:absolute;left:5706;top:556;width:918;height:466" type="#_x0000_t202" filled="false" stroked="false">
              <v:textbox inset="0,0,0,0">
                <w:txbxContent>
                  <w:p>
                    <w:pPr>
                      <w:spacing w:line="254" w:lineRule="auto" w:before="0"/>
                      <w:ind w:left="19" w:right="0" w:hanging="20"/>
                      <w:jc w:val="left"/>
                      <w:rPr>
                        <w:b/>
                        <w:sz w:val="20"/>
                      </w:rPr>
                    </w:pPr>
                    <w:r>
                      <w:rPr>
                        <w:b/>
                        <w:color w:val="C00000"/>
                        <w:w w:val="95"/>
                        <w:sz w:val="20"/>
                      </w:rPr>
                      <w:t>Reducción </w:t>
                    </w:r>
                    <w:r>
                      <w:rPr>
                        <w:b/>
                        <w:color w:val="C00000"/>
                        <w:sz w:val="20"/>
                      </w:rPr>
                      <w:t>Q13,167.5</w:t>
                    </w:r>
                  </w:p>
                </w:txbxContent>
              </v:textbox>
              <w10:wrap type="none"/>
            </v:shape>
            <v:shape style="position:absolute;left:3522;top:887;width:1511;height:1174" type="#_x0000_t202" filled="false" stroked="false">
              <v:textbox inset="0,0,0,0">
                <w:txbxContent>
                  <w:p>
                    <w:pPr>
                      <w:spacing w:line="240" w:lineRule="auto" w:before="0"/>
                      <w:ind w:left="87" w:right="101" w:firstLine="0"/>
                      <w:jc w:val="center"/>
                      <w:rPr>
                        <w:sz w:val="18"/>
                      </w:rPr>
                    </w:pPr>
                    <w:r>
                      <w:rPr>
                        <w:color w:val="FFFFFF"/>
                        <w:sz w:val="18"/>
                      </w:rPr>
                      <w:t>Emisión de Bonos y Préstamos; 35,606.6</w:t>
                    </w:r>
                  </w:p>
                  <w:p>
                    <w:pPr>
                      <w:spacing w:before="139"/>
                      <w:ind w:left="0" w:right="18" w:firstLine="4"/>
                      <w:jc w:val="center"/>
                      <w:rPr>
                        <w:sz w:val="18"/>
                      </w:rPr>
                    </w:pPr>
                    <w:r>
                      <w:rPr>
                        <w:color w:val="FFFFFF"/>
                        <w:sz w:val="18"/>
                      </w:rPr>
                      <w:t>Ingresos No Trib. y Donaciones; 4,519.7</w:t>
                    </w:r>
                  </w:p>
                </w:txbxContent>
              </v:textbox>
              <w10:wrap type="none"/>
            </v:shape>
            <v:shape style="position:absolute;left:3278;top:-319;width:2241;height:790" type="#_x0000_t202" filled="false" stroked="false">
              <v:textbox inset="0,0,0,0">
                <w:txbxContent>
                  <w:p>
                    <w:pPr>
                      <w:spacing w:line="254" w:lineRule="auto" w:before="0"/>
                      <w:ind w:left="569" w:right="696" w:firstLine="252"/>
                      <w:jc w:val="left"/>
                      <w:rPr>
                        <w:b/>
                        <w:sz w:val="20"/>
                      </w:rPr>
                    </w:pPr>
                    <w:r>
                      <w:rPr>
                        <w:b/>
                        <w:sz w:val="20"/>
                      </w:rPr>
                      <w:t>Total Q107,521.5</w:t>
                    </w:r>
                  </w:p>
                  <w:p>
                    <w:pPr>
                      <w:spacing w:before="95"/>
                      <w:ind w:left="0" w:right="0" w:firstLine="0"/>
                      <w:jc w:val="left"/>
                      <w:rPr>
                        <w:sz w:val="18"/>
                      </w:rPr>
                    </w:pPr>
                    <w:r>
                      <w:rPr>
                        <w:sz w:val="18"/>
                      </w:rPr>
                      <w:t>Saldo de Caja y Otros; 3,367.4</w:t>
                    </w:r>
                  </w:p>
                </w:txbxContent>
              </v:textbox>
              <w10:wrap type="none"/>
            </v:shape>
            <w10:wrap type="none"/>
          </v:group>
        </w:pict>
      </w:r>
      <w:r>
        <w:rPr>
          <w:color w:val="585858"/>
          <w:sz w:val="16"/>
        </w:rPr>
        <w:t>120,000.0</w:t>
      </w:r>
    </w:p>
    <w:p>
      <w:pPr>
        <w:pStyle w:val="BodyText"/>
        <w:rPr>
          <w:sz w:val="18"/>
        </w:rPr>
      </w:pPr>
    </w:p>
    <w:p>
      <w:pPr>
        <w:pStyle w:val="BodyText"/>
        <w:spacing w:before="5"/>
        <w:rPr>
          <w:sz w:val="17"/>
        </w:rPr>
      </w:pPr>
    </w:p>
    <w:p>
      <w:pPr>
        <w:spacing w:before="0"/>
        <w:ind w:left="660" w:right="0" w:firstLine="0"/>
        <w:jc w:val="left"/>
        <w:rPr>
          <w:sz w:val="16"/>
        </w:rPr>
      </w:pPr>
      <w:r>
        <w:rPr>
          <w:color w:val="585858"/>
          <w:sz w:val="16"/>
        </w:rPr>
        <w:t>100,000.0</w:t>
      </w:r>
    </w:p>
    <w:p>
      <w:pPr>
        <w:pStyle w:val="BodyText"/>
        <w:spacing w:before="3"/>
        <w:rPr>
          <w:sz w:val="27"/>
        </w:rPr>
      </w:pPr>
    </w:p>
    <w:p>
      <w:pPr>
        <w:spacing w:before="94"/>
        <w:ind w:left="741" w:right="0" w:firstLine="0"/>
        <w:jc w:val="left"/>
        <w:rPr>
          <w:sz w:val="16"/>
        </w:rPr>
      </w:pPr>
      <w:r>
        <w:rPr>
          <w:color w:val="585858"/>
          <w:sz w:val="16"/>
        </w:rPr>
        <w:t>80,000.0</w:t>
      </w:r>
    </w:p>
    <w:p>
      <w:pPr>
        <w:pStyle w:val="BodyText"/>
        <w:spacing w:before="3"/>
        <w:rPr>
          <w:sz w:val="27"/>
        </w:rPr>
      </w:pPr>
    </w:p>
    <w:p>
      <w:pPr>
        <w:spacing w:before="94"/>
        <w:ind w:left="741" w:right="0" w:firstLine="0"/>
        <w:jc w:val="left"/>
        <w:rPr>
          <w:sz w:val="16"/>
        </w:rPr>
      </w:pPr>
      <w:r>
        <w:rPr>
          <w:color w:val="585858"/>
          <w:sz w:val="16"/>
        </w:rPr>
        <w:t>60,000.0</w:t>
      </w:r>
    </w:p>
    <w:p>
      <w:pPr>
        <w:pStyle w:val="BodyText"/>
        <w:spacing w:before="4"/>
        <w:rPr>
          <w:sz w:val="27"/>
        </w:rPr>
      </w:pPr>
    </w:p>
    <w:p>
      <w:pPr>
        <w:spacing w:before="94"/>
        <w:ind w:left="741" w:right="0" w:firstLine="0"/>
        <w:jc w:val="left"/>
        <w:rPr>
          <w:sz w:val="16"/>
        </w:rPr>
      </w:pPr>
      <w:r>
        <w:rPr>
          <w:color w:val="585858"/>
          <w:sz w:val="16"/>
        </w:rPr>
        <w:t>40,000.0</w:t>
      </w:r>
    </w:p>
    <w:p>
      <w:pPr>
        <w:pStyle w:val="BodyText"/>
        <w:spacing w:before="3"/>
        <w:rPr>
          <w:sz w:val="27"/>
        </w:rPr>
      </w:pPr>
    </w:p>
    <w:p>
      <w:pPr>
        <w:spacing w:before="94"/>
        <w:ind w:left="741" w:right="0" w:firstLine="0"/>
        <w:jc w:val="left"/>
        <w:rPr>
          <w:sz w:val="16"/>
        </w:rPr>
      </w:pPr>
      <w:r>
        <w:rPr>
          <w:color w:val="585858"/>
          <w:sz w:val="16"/>
        </w:rPr>
        <w:t>20,000.0</w:t>
      </w:r>
    </w:p>
    <w:p>
      <w:pPr>
        <w:pStyle w:val="BodyText"/>
        <w:spacing w:before="3"/>
        <w:rPr>
          <w:sz w:val="27"/>
        </w:rPr>
      </w:pPr>
    </w:p>
    <w:p>
      <w:pPr>
        <w:spacing w:after="0"/>
        <w:rPr>
          <w:sz w:val="27"/>
        </w:rPr>
        <w:sectPr>
          <w:pgSz w:w="12240" w:h="15840"/>
          <w:pgMar w:header="715" w:footer="957" w:top="1240" w:bottom="1140" w:left="1140" w:right="0"/>
        </w:sectPr>
      </w:pPr>
    </w:p>
    <w:p>
      <w:pPr>
        <w:spacing w:before="94"/>
        <w:ind w:left="0" w:right="38" w:firstLine="0"/>
        <w:jc w:val="right"/>
        <w:rPr>
          <w:sz w:val="16"/>
        </w:rPr>
      </w:pPr>
      <w:r>
        <w:rPr>
          <w:color w:val="585858"/>
          <w:sz w:val="16"/>
        </w:rPr>
        <w:t>0.0</w:t>
      </w:r>
    </w:p>
    <w:p>
      <w:pPr>
        <w:pStyle w:val="BodyText"/>
        <w:spacing w:before="6"/>
        <w:rPr>
          <w:sz w:val="24"/>
        </w:rPr>
      </w:pPr>
      <w:r>
        <w:rPr/>
        <w:br w:type="column"/>
      </w:r>
      <w:r>
        <w:rPr>
          <w:sz w:val="24"/>
        </w:rPr>
      </w:r>
    </w:p>
    <w:p>
      <w:pPr>
        <w:spacing w:before="0"/>
        <w:ind w:left="1101" w:right="0" w:firstLine="0"/>
        <w:jc w:val="left"/>
        <w:rPr>
          <w:b/>
          <w:sz w:val="16"/>
        </w:rPr>
      </w:pPr>
      <w:r>
        <w:rPr>
          <w:b/>
          <w:sz w:val="16"/>
        </w:rPr>
        <w:t>2021 Vigente</w:t>
      </w:r>
    </w:p>
    <w:p>
      <w:pPr>
        <w:pStyle w:val="BodyText"/>
        <w:spacing w:before="6"/>
        <w:rPr>
          <w:b/>
          <w:sz w:val="24"/>
        </w:rPr>
      </w:pPr>
      <w:r>
        <w:rPr/>
        <w:br w:type="column"/>
      </w:r>
      <w:r>
        <w:rPr>
          <w:b/>
          <w:sz w:val="24"/>
        </w:rPr>
      </w:r>
    </w:p>
    <w:p>
      <w:pPr>
        <w:spacing w:before="0"/>
        <w:ind w:left="1101" w:right="0" w:firstLine="0"/>
        <w:jc w:val="left"/>
        <w:rPr>
          <w:b/>
          <w:sz w:val="16"/>
        </w:rPr>
      </w:pPr>
      <w:r>
        <w:rPr>
          <w:b/>
          <w:sz w:val="16"/>
        </w:rPr>
        <w:t>2021 Operativo</w:t>
      </w:r>
    </w:p>
    <w:p>
      <w:pPr>
        <w:spacing w:after="0"/>
        <w:jc w:val="left"/>
        <w:rPr>
          <w:sz w:val="16"/>
        </w:rPr>
        <w:sectPr>
          <w:type w:val="continuous"/>
          <w:pgSz w:w="12240" w:h="15840"/>
          <w:pgMar w:top="1500" w:bottom="280" w:left="1140" w:right="0"/>
          <w:cols w:num="3" w:equalWidth="0">
            <w:col w:w="1342" w:space="245"/>
            <w:col w:w="2026" w:space="1276"/>
            <w:col w:w="6211"/>
          </w:cols>
        </w:sectPr>
      </w:pPr>
    </w:p>
    <w:p>
      <w:pPr>
        <w:spacing w:before="117"/>
        <w:ind w:left="562" w:right="0" w:firstLine="0"/>
        <w:jc w:val="both"/>
        <w:rPr>
          <w:sz w:val="16"/>
        </w:rPr>
      </w:pPr>
      <w:r>
        <w:rPr>
          <w:sz w:val="16"/>
        </w:rPr>
        <w:t>Fuente: Dirección de Análisis y Política Fiscal</w:t>
      </w:r>
    </w:p>
    <w:p>
      <w:pPr>
        <w:pStyle w:val="BodyText"/>
        <w:rPr>
          <w:sz w:val="18"/>
        </w:rPr>
      </w:pPr>
    </w:p>
    <w:p>
      <w:pPr>
        <w:pStyle w:val="Heading2"/>
        <w:numPr>
          <w:ilvl w:val="1"/>
          <w:numId w:val="14"/>
        </w:numPr>
        <w:tabs>
          <w:tab w:pos="1270" w:val="left" w:leader="none"/>
        </w:tabs>
        <w:spacing w:line="240" w:lineRule="auto" w:before="115" w:after="0"/>
        <w:ind w:left="1270" w:right="0" w:hanging="432"/>
        <w:jc w:val="left"/>
      </w:pPr>
      <w:bookmarkStart w:name="_bookmark117" w:id="144"/>
      <w:bookmarkEnd w:id="144"/>
      <w:r>
        <w:rPr>
          <w:b w:val="0"/>
        </w:rPr>
      </w:r>
      <w:bookmarkStart w:name="_bookmark117" w:id="145"/>
      <w:bookmarkEnd w:id="145"/>
      <w:r>
        <w:rPr/>
        <w:t>I</w:t>
      </w:r>
      <w:r>
        <w:rPr/>
        <w:t>ngresos</w:t>
      </w:r>
      <w:r>
        <w:rPr>
          <w:spacing w:val="-2"/>
        </w:rPr>
        <w:t> </w:t>
      </w:r>
      <w:r>
        <w:rPr/>
        <w:t>Fiscales</w:t>
      </w:r>
    </w:p>
    <w:p>
      <w:pPr>
        <w:pStyle w:val="BodyText"/>
        <w:spacing w:before="3"/>
        <w:rPr>
          <w:b/>
          <w:sz w:val="28"/>
        </w:rPr>
      </w:pPr>
    </w:p>
    <w:p>
      <w:pPr>
        <w:pStyle w:val="BodyText"/>
        <w:spacing w:line="276" w:lineRule="auto" w:before="1"/>
        <w:ind w:left="562" w:right="1695"/>
        <w:jc w:val="both"/>
      </w:pPr>
      <w:r>
        <w:rPr/>
        <w:t>Luego de declarada la pandemia en 2020 y la apertura gradual de la economía nacional a partir de agosto</w:t>
      </w:r>
      <w:r>
        <w:rPr>
          <w:spacing w:val="-13"/>
        </w:rPr>
        <w:t> </w:t>
      </w:r>
      <w:r>
        <w:rPr/>
        <w:t>de</w:t>
      </w:r>
      <w:r>
        <w:rPr>
          <w:spacing w:val="-13"/>
        </w:rPr>
        <w:t> </w:t>
      </w:r>
      <w:r>
        <w:rPr/>
        <w:t>dicho</w:t>
      </w:r>
      <w:r>
        <w:rPr>
          <w:spacing w:val="-13"/>
        </w:rPr>
        <w:t> </w:t>
      </w:r>
      <w:r>
        <w:rPr/>
        <w:t>año,</w:t>
      </w:r>
      <w:r>
        <w:rPr>
          <w:spacing w:val="-15"/>
        </w:rPr>
        <w:t> </w:t>
      </w:r>
      <w:r>
        <w:rPr/>
        <w:t>el</w:t>
      </w:r>
      <w:r>
        <w:rPr>
          <w:spacing w:val="-15"/>
        </w:rPr>
        <w:t> </w:t>
      </w:r>
      <w:r>
        <w:rPr/>
        <w:t>ejercicio</w:t>
      </w:r>
      <w:r>
        <w:rPr>
          <w:spacing w:val="-12"/>
        </w:rPr>
        <w:t> </w:t>
      </w:r>
      <w:r>
        <w:rPr/>
        <w:t>fiscal</w:t>
      </w:r>
      <w:r>
        <w:rPr>
          <w:spacing w:val="-12"/>
        </w:rPr>
        <w:t> </w:t>
      </w:r>
      <w:r>
        <w:rPr/>
        <w:t>2021</w:t>
      </w:r>
      <w:r>
        <w:rPr>
          <w:spacing w:val="-13"/>
        </w:rPr>
        <w:t> </w:t>
      </w:r>
      <w:r>
        <w:rPr/>
        <w:t>se</w:t>
      </w:r>
      <w:r>
        <w:rPr>
          <w:spacing w:val="-15"/>
        </w:rPr>
        <w:t> </w:t>
      </w:r>
      <w:r>
        <w:rPr/>
        <w:t>enmarcó</w:t>
      </w:r>
      <w:r>
        <w:rPr>
          <w:spacing w:val="-15"/>
        </w:rPr>
        <w:t> </w:t>
      </w:r>
      <w:r>
        <w:rPr/>
        <w:t>como</w:t>
      </w:r>
      <w:r>
        <w:rPr>
          <w:spacing w:val="-12"/>
        </w:rPr>
        <w:t> </w:t>
      </w:r>
      <w:r>
        <w:rPr/>
        <w:t>un</w:t>
      </w:r>
      <w:r>
        <w:rPr>
          <w:spacing w:val="-13"/>
        </w:rPr>
        <w:t> </w:t>
      </w:r>
      <w:r>
        <w:rPr/>
        <w:t>año</w:t>
      </w:r>
      <w:r>
        <w:rPr>
          <w:spacing w:val="-13"/>
        </w:rPr>
        <w:t> </w:t>
      </w:r>
      <w:r>
        <w:rPr/>
        <w:t>de</w:t>
      </w:r>
      <w:r>
        <w:rPr>
          <w:spacing w:val="-13"/>
        </w:rPr>
        <w:t> </w:t>
      </w:r>
      <w:r>
        <w:rPr/>
        <w:t>recuperación</w:t>
      </w:r>
      <w:r>
        <w:rPr>
          <w:spacing w:val="-13"/>
        </w:rPr>
        <w:t> </w:t>
      </w:r>
      <w:r>
        <w:rPr/>
        <w:t>y</w:t>
      </w:r>
      <w:r>
        <w:rPr>
          <w:spacing w:val="-16"/>
        </w:rPr>
        <w:t> </w:t>
      </w:r>
      <w:r>
        <w:rPr/>
        <w:t>con</w:t>
      </w:r>
      <w:r>
        <w:rPr>
          <w:spacing w:val="-9"/>
        </w:rPr>
        <w:t> </w:t>
      </w:r>
      <w:r>
        <w:rPr/>
        <w:t>resultados importantes en materia de recaudación tributaria. Un escenario macroeconómico proporcionado por el Banco de Guatemala el 9 diciembre de 2020, estimaba una mayor dinámica para 2021, un crecimiento de la economía en torno al 3.5% ± 1%, PIB nominal de 6.2% ± 1% y un crecimiento en las importaciones de 9.5% ±</w:t>
      </w:r>
      <w:r>
        <w:rPr>
          <w:spacing w:val="-6"/>
        </w:rPr>
        <w:t> </w:t>
      </w:r>
      <w:r>
        <w:rPr/>
        <w:t>1.5%.</w:t>
      </w:r>
    </w:p>
    <w:p>
      <w:pPr>
        <w:pStyle w:val="BodyText"/>
        <w:spacing w:before="5"/>
        <w:rPr>
          <w:sz w:val="25"/>
        </w:rPr>
      </w:pPr>
    </w:p>
    <w:p>
      <w:pPr>
        <w:pStyle w:val="BodyText"/>
        <w:spacing w:line="276" w:lineRule="auto"/>
        <w:ind w:left="562" w:right="1696"/>
        <w:jc w:val="both"/>
      </w:pPr>
      <w:r>
        <w:rPr/>
        <w:t>Con ese escenario, la recaudación tributaria del primer trimestre de 2021 mostró una brecha positiva de</w:t>
      </w:r>
      <w:r>
        <w:rPr>
          <w:spacing w:val="-3"/>
        </w:rPr>
        <w:t> </w:t>
      </w:r>
      <w:r>
        <w:rPr/>
        <w:t>Q3,377.7</w:t>
      </w:r>
      <w:r>
        <w:rPr>
          <w:spacing w:val="-6"/>
        </w:rPr>
        <w:t> </w:t>
      </w:r>
      <w:r>
        <w:rPr/>
        <w:t>millones</w:t>
      </w:r>
      <w:r>
        <w:rPr>
          <w:spacing w:val="-4"/>
        </w:rPr>
        <w:t> </w:t>
      </w:r>
      <w:r>
        <w:rPr/>
        <w:t>respecto</w:t>
      </w:r>
      <w:r>
        <w:rPr>
          <w:spacing w:val="-6"/>
        </w:rPr>
        <w:t> </w:t>
      </w:r>
      <w:r>
        <w:rPr/>
        <w:t>a</w:t>
      </w:r>
      <w:r>
        <w:rPr>
          <w:spacing w:val="-2"/>
        </w:rPr>
        <w:t> </w:t>
      </w:r>
      <w:r>
        <w:rPr/>
        <w:t>lo</w:t>
      </w:r>
      <w:r>
        <w:rPr>
          <w:spacing w:val="-6"/>
        </w:rPr>
        <w:t> </w:t>
      </w:r>
      <w:r>
        <w:rPr/>
        <w:t>observado</w:t>
      </w:r>
      <w:r>
        <w:rPr>
          <w:spacing w:val="-6"/>
        </w:rPr>
        <w:t> </w:t>
      </w:r>
      <w:r>
        <w:rPr/>
        <w:t>en</w:t>
      </w:r>
      <w:r>
        <w:rPr>
          <w:spacing w:val="-2"/>
        </w:rPr>
        <w:t> </w:t>
      </w:r>
      <w:r>
        <w:rPr/>
        <w:t>2020</w:t>
      </w:r>
      <w:r>
        <w:rPr>
          <w:spacing w:val="-6"/>
        </w:rPr>
        <w:t> </w:t>
      </w:r>
      <w:r>
        <w:rPr/>
        <w:t>(23.3%),</w:t>
      </w:r>
      <w:r>
        <w:rPr>
          <w:spacing w:val="-5"/>
        </w:rPr>
        <w:t> </w:t>
      </w:r>
      <w:r>
        <w:rPr/>
        <w:t>aunque</w:t>
      </w:r>
      <w:r>
        <w:rPr>
          <w:spacing w:val="-3"/>
        </w:rPr>
        <w:t> </w:t>
      </w:r>
      <w:r>
        <w:rPr/>
        <w:t>vale</w:t>
      </w:r>
      <w:r>
        <w:rPr>
          <w:spacing w:val="-6"/>
        </w:rPr>
        <w:t> </w:t>
      </w:r>
      <w:r>
        <w:rPr/>
        <w:t>indicar</w:t>
      </w:r>
      <w:r>
        <w:rPr>
          <w:spacing w:val="-2"/>
        </w:rPr>
        <w:t> </w:t>
      </w:r>
      <w:r>
        <w:rPr/>
        <w:t>que</w:t>
      </w:r>
      <w:r>
        <w:rPr>
          <w:spacing w:val="-3"/>
        </w:rPr>
        <w:t> </w:t>
      </w:r>
      <w:r>
        <w:rPr/>
        <w:t>en</w:t>
      </w:r>
      <w:r>
        <w:rPr>
          <w:spacing w:val="-5"/>
        </w:rPr>
        <w:t> </w:t>
      </w:r>
      <w:r>
        <w:rPr/>
        <w:t>marzo</w:t>
      </w:r>
      <w:r>
        <w:rPr>
          <w:spacing w:val="-4"/>
        </w:rPr>
        <w:t> </w:t>
      </w:r>
      <w:r>
        <w:rPr/>
        <w:t>de ese año cobró vigencia la Resolución SAT 280-2020 la cual declaró días inhábiles del 24 de marzo al 14 de abril, inclusive, y fijó el 15 de abril como fecha clave para realizar la liquidación anual </w:t>
      </w:r>
      <w:r>
        <w:rPr>
          <w:spacing w:val="-3"/>
        </w:rPr>
        <w:t>del </w:t>
      </w:r>
      <w:r>
        <w:rPr/>
        <w:t>Impuesto Sobre la Renta -ISR- y el vencimiento mensual del Impuesto al Valor Agregado -IVA- asociado</w:t>
      </w:r>
      <w:r>
        <w:rPr>
          <w:spacing w:val="20"/>
        </w:rPr>
        <w:t> </w:t>
      </w:r>
      <w:r>
        <w:rPr/>
        <w:t>al</w:t>
      </w:r>
      <w:r>
        <w:rPr>
          <w:spacing w:val="24"/>
        </w:rPr>
        <w:t> </w:t>
      </w:r>
      <w:r>
        <w:rPr/>
        <w:t>consumo</w:t>
      </w:r>
      <w:r>
        <w:rPr>
          <w:spacing w:val="23"/>
        </w:rPr>
        <w:t> </w:t>
      </w:r>
      <w:r>
        <w:rPr/>
        <w:t>interno,</w:t>
      </w:r>
      <w:r>
        <w:rPr>
          <w:spacing w:val="23"/>
        </w:rPr>
        <w:t> </w:t>
      </w:r>
      <w:r>
        <w:rPr/>
        <w:t>con</w:t>
      </w:r>
      <w:r>
        <w:rPr>
          <w:spacing w:val="24"/>
        </w:rPr>
        <w:t> </w:t>
      </w:r>
      <w:r>
        <w:rPr/>
        <w:t>lo</w:t>
      </w:r>
      <w:r>
        <w:rPr>
          <w:spacing w:val="23"/>
        </w:rPr>
        <w:t> </w:t>
      </w:r>
      <w:r>
        <w:rPr/>
        <w:t>cual</w:t>
      </w:r>
      <w:r>
        <w:rPr>
          <w:spacing w:val="26"/>
        </w:rPr>
        <w:t> </w:t>
      </w:r>
      <w:r>
        <w:rPr/>
        <w:t>se</w:t>
      </w:r>
      <w:r>
        <w:rPr>
          <w:spacing w:val="21"/>
        </w:rPr>
        <w:t> </w:t>
      </w:r>
      <w:r>
        <w:rPr/>
        <w:t>dio</w:t>
      </w:r>
      <w:r>
        <w:rPr>
          <w:spacing w:val="24"/>
        </w:rPr>
        <w:t> </w:t>
      </w:r>
      <w:r>
        <w:rPr/>
        <w:t>un</w:t>
      </w:r>
      <w:r>
        <w:rPr>
          <w:spacing w:val="21"/>
        </w:rPr>
        <w:t> </w:t>
      </w:r>
      <w:r>
        <w:rPr/>
        <w:t>desfase</w:t>
      </w:r>
      <w:r>
        <w:rPr>
          <w:spacing w:val="20"/>
        </w:rPr>
        <w:t> </w:t>
      </w:r>
      <w:r>
        <w:rPr/>
        <w:t>temporal</w:t>
      </w:r>
      <w:r>
        <w:rPr>
          <w:spacing w:val="21"/>
        </w:rPr>
        <w:t> </w:t>
      </w:r>
      <w:r>
        <w:rPr/>
        <w:t>en</w:t>
      </w:r>
      <w:r>
        <w:rPr>
          <w:spacing w:val="24"/>
        </w:rPr>
        <w:t> </w:t>
      </w:r>
      <w:r>
        <w:rPr/>
        <w:t>la</w:t>
      </w:r>
      <w:r>
        <w:rPr>
          <w:spacing w:val="23"/>
        </w:rPr>
        <w:t> </w:t>
      </w:r>
      <w:r>
        <w:rPr/>
        <w:t>comparabilidad</w:t>
      </w:r>
      <w:r>
        <w:rPr>
          <w:spacing w:val="26"/>
        </w:rPr>
        <w:t> </w:t>
      </w:r>
      <w:r>
        <w:rPr/>
        <w:t>de</w:t>
      </w:r>
      <w:r>
        <w:rPr>
          <w:spacing w:val="23"/>
        </w:rPr>
        <w:t> </w:t>
      </w:r>
      <w:r>
        <w:rPr/>
        <w:t>los</w:t>
      </w:r>
    </w:p>
    <w:p>
      <w:pPr>
        <w:spacing w:after="0" w:line="276" w:lineRule="auto"/>
        <w:jc w:val="both"/>
        <w:sectPr>
          <w:type w:val="continuous"/>
          <w:pgSz w:w="12240" w:h="15840"/>
          <w:pgMar w:top="1500" w:bottom="280" w:left="1140" w:right="0"/>
        </w:sectPr>
      </w:pPr>
    </w:p>
    <w:p>
      <w:pPr>
        <w:pStyle w:val="BodyText"/>
        <w:spacing w:line="276" w:lineRule="auto" w:before="162"/>
        <w:ind w:left="562" w:right="1697"/>
        <w:jc w:val="both"/>
      </w:pPr>
      <w:r>
        <w:rPr/>
        <w:t>niveles de recaudación observados en 2021 respecto a 2020. El resultado de esta resolución fue el traslado de Q1,383.6 millones de recaudación de marzo para abril, por lo que, al hacer el ajuste a la recaudación, la brecha que, aunque positiva, se ubicó en 12.6% (Q1,994.1 millones) arriba respecto al observado en 2020.</w:t>
      </w:r>
    </w:p>
    <w:p>
      <w:pPr>
        <w:pStyle w:val="BodyText"/>
        <w:spacing w:before="3"/>
        <w:rPr>
          <w:sz w:val="25"/>
        </w:rPr>
      </w:pPr>
    </w:p>
    <w:p>
      <w:pPr>
        <w:pStyle w:val="BodyText"/>
        <w:spacing w:line="276" w:lineRule="auto" w:before="1"/>
        <w:ind w:left="562" w:right="1695"/>
        <w:jc w:val="both"/>
      </w:pPr>
      <w:r>
        <w:rPr/>
        <w:t>En este primer trimestre se observaron eventos importantes tales como la liquidación anual del Impuesto Sobre la Renta y el segundo pago trimestral del Impuesto de Solidaridad, los cuales en conjunto</w:t>
      </w:r>
      <w:r>
        <w:rPr>
          <w:spacing w:val="-17"/>
        </w:rPr>
        <w:t> </w:t>
      </w:r>
      <w:r>
        <w:rPr/>
        <w:t>superaron</w:t>
      </w:r>
      <w:r>
        <w:rPr>
          <w:spacing w:val="-16"/>
        </w:rPr>
        <w:t> </w:t>
      </w:r>
      <w:r>
        <w:rPr/>
        <w:t>la</w:t>
      </w:r>
      <w:r>
        <w:rPr>
          <w:spacing w:val="-14"/>
        </w:rPr>
        <w:t> </w:t>
      </w:r>
      <w:r>
        <w:rPr/>
        <w:t>meta</w:t>
      </w:r>
      <w:r>
        <w:rPr>
          <w:spacing w:val="-18"/>
        </w:rPr>
        <w:t> </w:t>
      </w:r>
      <w:r>
        <w:rPr/>
        <w:t>establecida</w:t>
      </w:r>
      <w:r>
        <w:rPr>
          <w:spacing w:val="-16"/>
        </w:rPr>
        <w:t> </w:t>
      </w:r>
      <w:r>
        <w:rPr/>
        <w:t>en</w:t>
      </w:r>
      <w:r>
        <w:rPr>
          <w:spacing w:val="-13"/>
        </w:rPr>
        <w:t> </w:t>
      </w:r>
      <w:r>
        <w:rPr/>
        <w:t>el</w:t>
      </w:r>
      <w:r>
        <w:rPr>
          <w:spacing w:val="-16"/>
        </w:rPr>
        <w:t> </w:t>
      </w:r>
      <w:r>
        <w:rPr/>
        <w:t>presupuesto</w:t>
      </w:r>
      <w:r>
        <w:rPr>
          <w:spacing w:val="-14"/>
        </w:rPr>
        <w:t> </w:t>
      </w:r>
      <w:r>
        <w:rPr/>
        <w:t>por</w:t>
      </w:r>
      <w:r>
        <w:rPr>
          <w:spacing w:val="-13"/>
        </w:rPr>
        <w:t> </w:t>
      </w:r>
      <w:r>
        <w:rPr/>
        <w:t>Q508.1</w:t>
      </w:r>
      <w:r>
        <w:rPr>
          <w:spacing w:val="-14"/>
        </w:rPr>
        <w:t> </w:t>
      </w:r>
      <w:r>
        <w:rPr/>
        <w:t>millones.</w:t>
      </w:r>
      <w:r>
        <w:rPr>
          <w:spacing w:val="26"/>
        </w:rPr>
        <w:t> </w:t>
      </w:r>
      <w:r>
        <w:rPr/>
        <w:t>Aunado</w:t>
      </w:r>
      <w:r>
        <w:rPr>
          <w:spacing w:val="-15"/>
        </w:rPr>
        <w:t> </w:t>
      </w:r>
      <w:r>
        <w:rPr/>
        <w:t>a</w:t>
      </w:r>
      <w:r>
        <w:rPr>
          <w:spacing w:val="-16"/>
        </w:rPr>
        <w:t> </w:t>
      </w:r>
      <w:r>
        <w:rPr/>
        <w:t>ello</w:t>
      </w:r>
      <w:r>
        <w:rPr>
          <w:spacing w:val="-16"/>
        </w:rPr>
        <w:t> </w:t>
      </w:r>
      <w:r>
        <w:rPr/>
        <w:t>también se</w:t>
      </w:r>
      <w:r>
        <w:rPr>
          <w:spacing w:val="-9"/>
        </w:rPr>
        <w:t> </w:t>
      </w:r>
      <w:r>
        <w:rPr/>
        <w:t>observó</w:t>
      </w:r>
      <w:r>
        <w:rPr>
          <w:spacing w:val="-9"/>
        </w:rPr>
        <w:t> </w:t>
      </w:r>
      <w:r>
        <w:rPr/>
        <w:t>una</w:t>
      </w:r>
      <w:r>
        <w:rPr>
          <w:spacing w:val="-8"/>
        </w:rPr>
        <w:t> </w:t>
      </w:r>
      <w:r>
        <w:rPr/>
        <w:t>mejora</w:t>
      </w:r>
      <w:r>
        <w:rPr>
          <w:spacing w:val="-8"/>
        </w:rPr>
        <w:t> </w:t>
      </w:r>
      <w:r>
        <w:rPr/>
        <w:t>en</w:t>
      </w:r>
      <w:r>
        <w:rPr>
          <w:spacing w:val="-10"/>
        </w:rPr>
        <w:t> </w:t>
      </w:r>
      <w:r>
        <w:rPr/>
        <w:t>la</w:t>
      </w:r>
      <w:r>
        <w:rPr>
          <w:spacing w:val="-11"/>
        </w:rPr>
        <w:t> </w:t>
      </w:r>
      <w:r>
        <w:rPr/>
        <w:t>recaudación</w:t>
      </w:r>
      <w:r>
        <w:rPr>
          <w:spacing w:val="-11"/>
        </w:rPr>
        <w:t> </w:t>
      </w:r>
      <w:r>
        <w:rPr/>
        <w:t>tributaria</w:t>
      </w:r>
      <w:r>
        <w:rPr>
          <w:spacing w:val="-10"/>
        </w:rPr>
        <w:t> </w:t>
      </w:r>
      <w:r>
        <w:rPr/>
        <w:t>asociada</w:t>
      </w:r>
      <w:r>
        <w:rPr>
          <w:spacing w:val="-10"/>
        </w:rPr>
        <w:t> </w:t>
      </w:r>
      <w:r>
        <w:rPr/>
        <w:t>al</w:t>
      </w:r>
      <w:r>
        <w:rPr>
          <w:spacing w:val="-10"/>
        </w:rPr>
        <w:t> </w:t>
      </w:r>
      <w:r>
        <w:rPr/>
        <w:t>comercio</w:t>
      </w:r>
      <w:r>
        <w:rPr>
          <w:spacing w:val="-11"/>
        </w:rPr>
        <w:t> </w:t>
      </w:r>
      <w:r>
        <w:rPr/>
        <w:t>exterior</w:t>
      </w:r>
      <w:r>
        <w:rPr>
          <w:spacing w:val="-8"/>
        </w:rPr>
        <w:t> </w:t>
      </w:r>
      <w:r>
        <w:rPr/>
        <w:t>por</w:t>
      </w:r>
      <w:r>
        <w:rPr>
          <w:spacing w:val="-8"/>
        </w:rPr>
        <w:t> </w:t>
      </w:r>
      <w:r>
        <w:rPr/>
        <w:t>Q358.4</w:t>
      </w:r>
      <w:r>
        <w:rPr>
          <w:spacing w:val="-9"/>
        </w:rPr>
        <w:t> </w:t>
      </w:r>
      <w:r>
        <w:rPr/>
        <w:t>millones y</w:t>
      </w:r>
      <w:r>
        <w:rPr>
          <w:spacing w:val="-17"/>
        </w:rPr>
        <w:t> </w:t>
      </w:r>
      <w:r>
        <w:rPr/>
        <w:t>una</w:t>
      </w:r>
      <w:r>
        <w:rPr>
          <w:spacing w:val="-14"/>
        </w:rPr>
        <w:t> </w:t>
      </w:r>
      <w:r>
        <w:rPr/>
        <w:t>brecha</w:t>
      </w:r>
      <w:r>
        <w:rPr>
          <w:spacing w:val="-14"/>
        </w:rPr>
        <w:t> </w:t>
      </w:r>
      <w:r>
        <w:rPr/>
        <w:t>positiva</w:t>
      </w:r>
      <w:r>
        <w:rPr>
          <w:spacing w:val="-15"/>
        </w:rPr>
        <w:t> </w:t>
      </w:r>
      <w:r>
        <w:rPr/>
        <w:t>de</w:t>
      </w:r>
      <w:r>
        <w:rPr>
          <w:spacing w:val="-14"/>
        </w:rPr>
        <w:t> </w:t>
      </w:r>
      <w:r>
        <w:rPr/>
        <w:t>Q90</w:t>
      </w:r>
      <w:r>
        <w:rPr>
          <w:spacing w:val="-14"/>
        </w:rPr>
        <w:t> </w:t>
      </w:r>
      <w:r>
        <w:rPr/>
        <w:t>millones</w:t>
      </w:r>
      <w:r>
        <w:rPr>
          <w:spacing w:val="-16"/>
        </w:rPr>
        <w:t> </w:t>
      </w:r>
      <w:r>
        <w:rPr/>
        <w:t>en</w:t>
      </w:r>
      <w:r>
        <w:rPr>
          <w:spacing w:val="-15"/>
        </w:rPr>
        <w:t> </w:t>
      </w:r>
      <w:r>
        <w:rPr/>
        <w:t>el</w:t>
      </w:r>
      <w:r>
        <w:rPr>
          <w:spacing w:val="-15"/>
        </w:rPr>
        <w:t> </w:t>
      </w:r>
      <w:r>
        <w:rPr/>
        <w:t>Impuesto</w:t>
      </w:r>
      <w:r>
        <w:rPr>
          <w:spacing w:val="-15"/>
        </w:rPr>
        <w:t> </w:t>
      </w:r>
      <w:r>
        <w:rPr/>
        <w:t>al</w:t>
      </w:r>
      <w:r>
        <w:rPr>
          <w:spacing w:val="-15"/>
        </w:rPr>
        <w:t> </w:t>
      </w:r>
      <w:r>
        <w:rPr/>
        <w:t>Valor</w:t>
      </w:r>
      <w:r>
        <w:rPr>
          <w:spacing w:val="-13"/>
        </w:rPr>
        <w:t> </w:t>
      </w:r>
      <w:r>
        <w:rPr/>
        <w:t>Agregado</w:t>
      </w:r>
      <w:r>
        <w:rPr>
          <w:spacing w:val="-16"/>
        </w:rPr>
        <w:t> </w:t>
      </w:r>
      <w:r>
        <w:rPr/>
        <w:t>asociado</w:t>
      </w:r>
      <w:r>
        <w:rPr>
          <w:spacing w:val="-17"/>
        </w:rPr>
        <w:t> </w:t>
      </w:r>
      <w:r>
        <w:rPr/>
        <w:t>al</w:t>
      </w:r>
      <w:r>
        <w:rPr>
          <w:spacing w:val="-13"/>
        </w:rPr>
        <w:t> </w:t>
      </w:r>
      <w:r>
        <w:rPr/>
        <w:t>consumo</w:t>
      </w:r>
      <w:r>
        <w:rPr>
          <w:spacing w:val="-13"/>
        </w:rPr>
        <w:t> </w:t>
      </w:r>
      <w:r>
        <w:rPr/>
        <w:t>interno. Para</w:t>
      </w:r>
      <w:r>
        <w:rPr>
          <w:spacing w:val="-11"/>
        </w:rPr>
        <w:t> </w:t>
      </w:r>
      <w:r>
        <w:rPr/>
        <w:t>abril</w:t>
      </w:r>
      <w:r>
        <w:rPr>
          <w:spacing w:val="-10"/>
        </w:rPr>
        <w:t> </w:t>
      </w:r>
      <w:r>
        <w:rPr/>
        <w:t>2021,</w:t>
      </w:r>
      <w:r>
        <w:rPr>
          <w:spacing w:val="-11"/>
        </w:rPr>
        <w:t> </w:t>
      </w:r>
      <w:r>
        <w:rPr/>
        <w:t>el</w:t>
      </w:r>
      <w:r>
        <w:rPr>
          <w:spacing w:val="-11"/>
        </w:rPr>
        <w:t> </w:t>
      </w:r>
      <w:r>
        <w:rPr/>
        <w:t>Banco</w:t>
      </w:r>
      <w:r>
        <w:rPr>
          <w:spacing w:val="-11"/>
        </w:rPr>
        <w:t> </w:t>
      </w:r>
      <w:r>
        <w:rPr/>
        <w:t>de</w:t>
      </w:r>
      <w:r>
        <w:rPr>
          <w:spacing w:val="-13"/>
        </w:rPr>
        <w:t> </w:t>
      </w:r>
      <w:r>
        <w:rPr/>
        <w:t>Guatemala</w:t>
      </w:r>
      <w:r>
        <w:rPr>
          <w:spacing w:val="-11"/>
        </w:rPr>
        <w:t> </w:t>
      </w:r>
      <w:r>
        <w:rPr/>
        <w:t>estimó</w:t>
      </w:r>
      <w:r>
        <w:rPr>
          <w:spacing w:val="-11"/>
        </w:rPr>
        <w:t> </w:t>
      </w:r>
      <w:r>
        <w:rPr/>
        <w:t>un</w:t>
      </w:r>
      <w:r>
        <w:rPr>
          <w:spacing w:val="-11"/>
        </w:rPr>
        <w:t> </w:t>
      </w:r>
      <w:r>
        <w:rPr/>
        <w:t>cambio</w:t>
      </w:r>
      <w:r>
        <w:rPr>
          <w:spacing w:val="-11"/>
        </w:rPr>
        <w:t> </w:t>
      </w:r>
      <w:r>
        <w:rPr/>
        <w:t>en</w:t>
      </w:r>
      <w:r>
        <w:rPr>
          <w:spacing w:val="-11"/>
        </w:rPr>
        <w:t> </w:t>
      </w:r>
      <w:r>
        <w:rPr/>
        <w:t>las</w:t>
      </w:r>
      <w:r>
        <w:rPr>
          <w:spacing w:val="-10"/>
        </w:rPr>
        <w:t> </w:t>
      </w:r>
      <w:r>
        <w:rPr/>
        <w:t>variables</w:t>
      </w:r>
      <w:r>
        <w:rPr>
          <w:spacing w:val="-10"/>
        </w:rPr>
        <w:t> </w:t>
      </w:r>
      <w:r>
        <w:rPr/>
        <w:t>macroeconómicas</w:t>
      </w:r>
      <w:r>
        <w:rPr>
          <w:spacing w:val="-11"/>
        </w:rPr>
        <w:t> </w:t>
      </w:r>
      <w:r>
        <w:rPr/>
        <w:t>respecto a lo observado en diciembre de 2020, un crecimiento de la economía en torno </w:t>
      </w:r>
      <w:r>
        <w:rPr>
          <w:spacing w:val="2"/>
        </w:rPr>
        <w:t>al </w:t>
      </w:r>
      <w:r>
        <w:rPr/>
        <w:t>4% ± 1%, PIB nominal</w:t>
      </w:r>
      <w:r>
        <w:rPr>
          <w:spacing w:val="-5"/>
        </w:rPr>
        <w:t> </w:t>
      </w:r>
      <w:r>
        <w:rPr/>
        <w:t>de</w:t>
      </w:r>
      <w:r>
        <w:rPr>
          <w:spacing w:val="-5"/>
        </w:rPr>
        <w:t> </w:t>
      </w:r>
      <w:r>
        <w:rPr/>
        <w:t>7.2%</w:t>
      </w:r>
      <w:r>
        <w:rPr>
          <w:spacing w:val="-7"/>
        </w:rPr>
        <w:t> </w:t>
      </w:r>
      <w:r>
        <w:rPr/>
        <w:t>±</w:t>
      </w:r>
      <w:r>
        <w:rPr>
          <w:spacing w:val="-5"/>
        </w:rPr>
        <w:t> </w:t>
      </w:r>
      <w:r>
        <w:rPr/>
        <w:t>1%</w:t>
      </w:r>
      <w:r>
        <w:rPr>
          <w:spacing w:val="-4"/>
        </w:rPr>
        <w:t> </w:t>
      </w:r>
      <w:r>
        <w:rPr/>
        <w:t>y</w:t>
      </w:r>
      <w:r>
        <w:rPr>
          <w:spacing w:val="-8"/>
        </w:rPr>
        <w:t> </w:t>
      </w:r>
      <w:r>
        <w:rPr/>
        <w:t>un</w:t>
      </w:r>
      <w:r>
        <w:rPr>
          <w:spacing w:val="-8"/>
        </w:rPr>
        <w:t> </w:t>
      </w:r>
      <w:r>
        <w:rPr/>
        <w:t>crecimiento</w:t>
      </w:r>
      <w:r>
        <w:rPr>
          <w:spacing w:val="-9"/>
        </w:rPr>
        <w:t> </w:t>
      </w:r>
      <w:r>
        <w:rPr/>
        <w:t>en</w:t>
      </w:r>
      <w:r>
        <w:rPr>
          <w:spacing w:val="-7"/>
        </w:rPr>
        <w:t> </w:t>
      </w:r>
      <w:r>
        <w:rPr/>
        <w:t>las</w:t>
      </w:r>
      <w:r>
        <w:rPr>
          <w:spacing w:val="-7"/>
        </w:rPr>
        <w:t> </w:t>
      </w:r>
      <w:r>
        <w:rPr/>
        <w:t>importaciones</w:t>
      </w:r>
      <w:r>
        <w:rPr>
          <w:spacing w:val="-5"/>
        </w:rPr>
        <w:t> </w:t>
      </w:r>
      <w:r>
        <w:rPr/>
        <w:t>de</w:t>
      </w:r>
      <w:r>
        <w:rPr>
          <w:spacing w:val="-8"/>
        </w:rPr>
        <w:t> </w:t>
      </w:r>
      <w:r>
        <w:rPr/>
        <w:t>11%</w:t>
      </w:r>
      <w:r>
        <w:rPr>
          <w:spacing w:val="-7"/>
        </w:rPr>
        <w:t> </w:t>
      </w:r>
      <w:r>
        <w:rPr/>
        <w:t>±</w:t>
      </w:r>
      <w:r>
        <w:rPr>
          <w:spacing w:val="-4"/>
        </w:rPr>
        <w:t> </w:t>
      </w:r>
      <w:r>
        <w:rPr/>
        <w:t>1.5%.</w:t>
      </w:r>
      <w:r>
        <w:rPr>
          <w:spacing w:val="42"/>
        </w:rPr>
        <w:t> </w:t>
      </w:r>
      <w:r>
        <w:rPr/>
        <w:t>Producto</w:t>
      </w:r>
      <w:r>
        <w:rPr>
          <w:spacing w:val="-8"/>
        </w:rPr>
        <w:t> </w:t>
      </w:r>
      <w:r>
        <w:rPr/>
        <w:t>de</w:t>
      </w:r>
      <w:r>
        <w:rPr>
          <w:spacing w:val="-5"/>
        </w:rPr>
        <w:t> </w:t>
      </w:r>
      <w:r>
        <w:rPr/>
        <w:t>la</w:t>
      </w:r>
      <w:r>
        <w:rPr>
          <w:spacing w:val="-6"/>
        </w:rPr>
        <w:t> </w:t>
      </w:r>
      <w:r>
        <w:rPr/>
        <w:t>mejora en el entorno económico, la recaudación tributaria vio un impulso positivo, alcanzando Q36,019.3 millones en el segundo trimestre, monto superior en Q 7,554.2 millones respecto a lo recaudado en el mismo periodo del año anterior; lo que fue equivalente a un aumento de 26.5%. Dicho aumento estuvo influenciado por la recuperación en impuestos como el de Sobre la Renta, el de Solidaridad, el del Valor Agregado, los Derechos Arancelarios a la Importación, y Derivados del Petróleo, entre otros, pero principalmente por los efectos provocados por la pandemia COVID-19 en el año 2020, que mantuvieron la economía</w:t>
      </w:r>
      <w:r>
        <w:rPr>
          <w:spacing w:val="-6"/>
        </w:rPr>
        <w:t> </w:t>
      </w:r>
      <w:r>
        <w:rPr/>
        <w:t>cerrada.</w:t>
      </w:r>
    </w:p>
    <w:p>
      <w:pPr>
        <w:pStyle w:val="BodyText"/>
        <w:spacing w:before="9"/>
        <w:rPr>
          <w:sz w:val="25"/>
        </w:rPr>
      </w:pPr>
    </w:p>
    <w:p>
      <w:pPr>
        <w:spacing w:before="0"/>
        <w:ind w:left="1395" w:right="2536" w:firstLine="0"/>
        <w:jc w:val="center"/>
        <w:rPr>
          <w:b/>
          <w:sz w:val="20"/>
        </w:rPr>
      </w:pPr>
      <w:bookmarkStart w:name="_bookmark118" w:id="146"/>
      <w:bookmarkEnd w:id="146"/>
      <w:r>
        <w:rPr/>
      </w:r>
      <w:r>
        <w:rPr>
          <w:b/>
          <w:i/>
          <w:sz w:val="20"/>
        </w:rPr>
        <w:t>Gráfico 59.</w:t>
      </w:r>
      <w:r>
        <w:rPr>
          <w:b/>
          <w:sz w:val="20"/>
        </w:rPr>
        <w:t>Recaudación Tributaria Acumulada al 30 de junio</w:t>
      </w:r>
    </w:p>
    <w:p>
      <w:pPr>
        <w:pStyle w:val="BodyText"/>
        <w:spacing w:before="27"/>
        <w:ind w:left="1395" w:right="2532"/>
        <w:jc w:val="center"/>
      </w:pPr>
      <w:r>
        <w:rPr/>
        <w:t>Millones de quetzales</w:t>
      </w:r>
    </w:p>
    <w:p>
      <w:pPr>
        <w:pStyle w:val="BodyText"/>
        <w:spacing w:before="1"/>
        <w:rPr>
          <w:sz w:val="9"/>
        </w:rPr>
      </w:pPr>
    </w:p>
    <w:p>
      <w:pPr>
        <w:spacing w:before="92"/>
        <w:ind w:left="1306" w:right="0" w:firstLine="0"/>
        <w:jc w:val="left"/>
        <w:rPr>
          <w:sz w:val="18"/>
        </w:rPr>
      </w:pPr>
      <w:r>
        <w:rPr/>
        <w:drawing>
          <wp:anchor distT="0" distB="0" distL="0" distR="0" allowOverlap="1" layoutInCell="1" locked="0" behindDoc="0" simplePos="0" relativeHeight="252421120">
            <wp:simplePos x="0" y="0"/>
            <wp:positionH relativeFrom="page">
              <wp:posOffset>1964435</wp:posOffset>
            </wp:positionH>
            <wp:positionV relativeFrom="paragraph">
              <wp:posOffset>128299</wp:posOffset>
            </wp:positionV>
            <wp:extent cx="4233672" cy="1609344"/>
            <wp:effectExtent l="0" t="0" r="0" b="0"/>
            <wp:wrapNone/>
            <wp:docPr id="31" name="image66.png"/>
            <wp:cNvGraphicFramePr>
              <a:graphicFrameLocks noChangeAspect="1"/>
            </wp:cNvGraphicFramePr>
            <a:graphic>
              <a:graphicData uri="http://schemas.openxmlformats.org/drawingml/2006/picture">
                <pic:pic>
                  <pic:nvPicPr>
                    <pic:cNvPr id="32" name="image66.png"/>
                    <pic:cNvPicPr/>
                  </pic:nvPicPr>
                  <pic:blipFill>
                    <a:blip r:embed="rId72" cstate="print"/>
                    <a:stretch>
                      <a:fillRect/>
                    </a:stretch>
                  </pic:blipFill>
                  <pic:spPr>
                    <a:xfrm>
                      <a:off x="0" y="0"/>
                      <a:ext cx="4233672" cy="1609344"/>
                    </a:xfrm>
                    <a:prstGeom prst="rect">
                      <a:avLst/>
                    </a:prstGeom>
                  </pic:spPr>
                </pic:pic>
              </a:graphicData>
            </a:graphic>
          </wp:anchor>
        </w:drawing>
      </w:r>
      <w:r>
        <w:rPr/>
        <w:pict>
          <v:shape style="position:absolute;margin-left:154.320007pt;margin-top:9.742329pt;width:334.45pt;height:127.45pt;mso-position-horizontal-relative:page;mso-position-vertical-relative:paragraph;z-index:252424192" type="#_x0000_t202" filled="false" stroked="false">
            <v:textbox inset="0,0,0,0">
              <w:txbxContent>
                <w:tbl>
                  <w:tblPr>
                    <w:tblW w:w="0" w:type="auto"/>
                    <w:jc w:val="left"/>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223"/>
                    <w:gridCol w:w="1776"/>
                    <w:gridCol w:w="223"/>
                    <w:gridCol w:w="223"/>
                    <w:gridCol w:w="1776"/>
                    <w:gridCol w:w="223"/>
                    <w:gridCol w:w="221"/>
                    <w:gridCol w:w="1779"/>
                    <w:gridCol w:w="224"/>
                  </w:tblGrid>
                  <w:tr>
                    <w:trPr>
                      <w:trHeight w:val="387" w:hRule="atLeast"/>
                    </w:trPr>
                    <w:tc>
                      <w:tcPr>
                        <w:tcW w:w="2222" w:type="dxa"/>
                        <w:gridSpan w:val="3"/>
                      </w:tcPr>
                      <w:p>
                        <w:pPr>
                          <w:pStyle w:val="TableParagraph"/>
                          <w:rPr>
                            <w:sz w:val="20"/>
                          </w:rPr>
                        </w:pPr>
                      </w:p>
                    </w:tc>
                    <w:tc>
                      <w:tcPr>
                        <w:tcW w:w="2222" w:type="dxa"/>
                        <w:gridSpan w:val="3"/>
                        <w:tcBorders>
                          <w:bottom w:val="single" w:sz="6" w:space="0" w:color="FF0000"/>
                        </w:tcBorders>
                      </w:tcPr>
                      <w:p>
                        <w:pPr>
                          <w:pStyle w:val="TableParagraph"/>
                          <w:spacing w:before="66"/>
                          <w:ind w:left="888" w:right="873"/>
                          <w:jc w:val="center"/>
                          <w:rPr>
                            <w:b/>
                            <w:sz w:val="18"/>
                          </w:rPr>
                        </w:pPr>
                        <w:r>
                          <w:rPr>
                            <w:b/>
                            <w:color w:val="FF0000"/>
                            <w:sz w:val="18"/>
                          </w:rPr>
                          <w:t>163.7</w:t>
                        </w:r>
                      </w:p>
                    </w:tc>
                    <w:tc>
                      <w:tcPr>
                        <w:tcW w:w="2224" w:type="dxa"/>
                        <w:gridSpan w:val="3"/>
                      </w:tcPr>
                      <w:p>
                        <w:pPr>
                          <w:pStyle w:val="TableParagraph"/>
                          <w:rPr>
                            <w:sz w:val="20"/>
                          </w:rPr>
                        </w:pPr>
                      </w:p>
                    </w:tc>
                  </w:tr>
                  <w:tr>
                    <w:trPr>
                      <w:trHeight w:val="398" w:hRule="atLeast"/>
                    </w:trPr>
                    <w:tc>
                      <w:tcPr>
                        <w:tcW w:w="2222" w:type="dxa"/>
                        <w:gridSpan w:val="3"/>
                      </w:tcPr>
                      <w:p>
                        <w:pPr>
                          <w:pStyle w:val="TableParagraph"/>
                          <w:rPr>
                            <w:sz w:val="20"/>
                          </w:rPr>
                        </w:pPr>
                      </w:p>
                    </w:tc>
                    <w:tc>
                      <w:tcPr>
                        <w:tcW w:w="223" w:type="dxa"/>
                        <w:tcBorders>
                          <w:right w:val="nil"/>
                        </w:tcBorders>
                      </w:tcPr>
                      <w:p>
                        <w:pPr>
                          <w:pStyle w:val="TableParagraph"/>
                          <w:rPr>
                            <w:sz w:val="20"/>
                          </w:rPr>
                        </w:pPr>
                      </w:p>
                    </w:tc>
                    <w:tc>
                      <w:tcPr>
                        <w:tcW w:w="1776" w:type="dxa"/>
                        <w:vMerge w:val="restart"/>
                        <w:tcBorders>
                          <w:top w:val="single" w:sz="6" w:space="0" w:color="FF0000"/>
                          <w:left w:val="nil"/>
                          <w:right w:val="nil"/>
                        </w:tcBorders>
                        <w:shd w:val="clear" w:color="auto" w:fill="5B9BD4"/>
                      </w:tcPr>
                      <w:p>
                        <w:pPr>
                          <w:pStyle w:val="TableParagraph"/>
                          <w:rPr>
                            <w:sz w:val="22"/>
                          </w:rPr>
                        </w:pPr>
                      </w:p>
                      <w:p>
                        <w:pPr>
                          <w:pStyle w:val="TableParagraph"/>
                          <w:rPr>
                            <w:sz w:val="22"/>
                          </w:rPr>
                        </w:pPr>
                      </w:p>
                      <w:p>
                        <w:pPr>
                          <w:pStyle w:val="TableParagraph"/>
                          <w:rPr>
                            <w:sz w:val="22"/>
                          </w:rPr>
                        </w:pPr>
                      </w:p>
                      <w:p>
                        <w:pPr>
                          <w:pStyle w:val="TableParagraph"/>
                          <w:spacing w:before="154"/>
                          <w:ind w:left="525"/>
                          <w:rPr>
                            <w:b/>
                            <w:sz w:val="21"/>
                          </w:rPr>
                        </w:pPr>
                        <w:r>
                          <w:rPr>
                            <w:b/>
                            <w:color w:val="FFFFFF"/>
                            <w:sz w:val="21"/>
                          </w:rPr>
                          <w:t>35,855.6</w:t>
                        </w:r>
                      </w:p>
                    </w:tc>
                    <w:tc>
                      <w:tcPr>
                        <w:tcW w:w="223" w:type="dxa"/>
                        <w:tcBorders>
                          <w:left w:val="nil"/>
                        </w:tcBorders>
                      </w:tcPr>
                      <w:p>
                        <w:pPr>
                          <w:pStyle w:val="TableParagraph"/>
                          <w:rPr>
                            <w:sz w:val="20"/>
                          </w:rPr>
                        </w:pPr>
                      </w:p>
                    </w:tc>
                    <w:tc>
                      <w:tcPr>
                        <w:tcW w:w="2224" w:type="dxa"/>
                        <w:gridSpan w:val="3"/>
                        <w:tcBorders>
                          <w:bottom w:val="single" w:sz="6" w:space="0" w:color="FF0000"/>
                        </w:tcBorders>
                      </w:tcPr>
                      <w:p>
                        <w:pPr>
                          <w:pStyle w:val="TableParagraph"/>
                          <w:spacing w:before="120"/>
                          <w:ind w:left="14"/>
                          <w:jc w:val="center"/>
                          <w:rPr>
                            <w:b/>
                            <w:sz w:val="18"/>
                          </w:rPr>
                        </w:pPr>
                        <w:r>
                          <w:rPr>
                            <w:b/>
                            <w:color w:val="FF0000"/>
                            <w:sz w:val="18"/>
                          </w:rPr>
                          <w:t>287.7</w:t>
                        </w:r>
                      </w:p>
                    </w:tc>
                  </w:tr>
                  <w:tr>
                    <w:trPr>
                      <w:trHeight w:val="134" w:hRule="atLeast"/>
                    </w:trPr>
                    <w:tc>
                      <w:tcPr>
                        <w:tcW w:w="2222" w:type="dxa"/>
                        <w:gridSpan w:val="3"/>
                        <w:tcBorders>
                          <w:bottom w:val="nil"/>
                        </w:tcBorders>
                      </w:tcPr>
                      <w:p>
                        <w:pPr>
                          <w:pStyle w:val="TableParagraph"/>
                          <w:spacing w:line="115" w:lineRule="exact"/>
                          <w:ind w:left="887" w:right="873"/>
                          <w:jc w:val="center"/>
                          <w:rPr>
                            <w:b/>
                            <w:sz w:val="18"/>
                          </w:rPr>
                        </w:pPr>
                        <w:r>
                          <w:rPr>
                            <w:b/>
                            <w:color w:val="FF0000"/>
                            <w:sz w:val="18"/>
                          </w:rPr>
                          <w:t>201.7</w:t>
                        </w:r>
                      </w:p>
                    </w:tc>
                    <w:tc>
                      <w:tcPr>
                        <w:tcW w:w="223" w:type="dxa"/>
                        <w:vMerge w:val="restart"/>
                        <w:tcBorders>
                          <w:right w:val="nil"/>
                        </w:tcBorders>
                      </w:tcPr>
                      <w:p>
                        <w:pPr>
                          <w:pStyle w:val="TableParagraph"/>
                          <w:rPr>
                            <w:sz w:val="20"/>
                          </w:rPr>
                        </w:pPr>
                      </w:p>
                    </w:tc>
                    <w:tc>
                      <w:tcPr>
                        <w:tcW w:w="1776" w:type="dxa"/>
                        <w:vMerge/>
                        <w:tcBorders>
                          <w:top w:val="nil"/>
                          <w:left w:val="nil"/>
                          <w:right w:val="nil"/>
                        </w:tcBorders>
                        <w:shd w:val="clear" w:color="auto" w:fill="5B9BD4"/>
                      </w:tcPr>
                      <w:p>
                        <w:pPr>
                          <w:rPr>
                            <w:sz w:val="2"/>
                            <w:szCs w:val="2"/>
                          </w:rPr>
                        </w:pPr>
                      </w:p>
                    </w:tc>
                    <w:tc>
                      <w:tcPr>
                        <w:tcW w:w="223" w:type="dxa"/>
                        <w:vMerge w:val="restart"/>
                        <w:tcBorders>
                          <w:left w:val="nil"/>
                        </w:tcBorders>
                      </w:tcPr>
                      <w:p>
                        <w:pPr>
                          <w:pStyle w:val="TableParagraph"/>
                          <w:rPr>
                            <w:sz w:val="20"/>
                          </w:rPr>
                        </w:pPr>
                      </w:p>
                    </w:tc>
                    <w:tc>
                      <w:tcPr>
                        <w:tcW w:w="221" w:type="dxa"/>
                        <w:vMerge w:val="restart"/>
                        <w:tcBorders>
                          <w:right w:val="nil"/>
                        </w:tcBorders>
                      </w:tcPr>
                      <w:p>
                        <w:pPr>
                          <w:pStyle w:val="TableParagraph"/>
                          <w:rPr>
                            <w:sz w:val="20"/>
                          </w:rPr>
                        </w:pPr>
                      </w:p>
                    </w:tc>
                    <w:tc>
                      <w:tcPr>
                        <w:tcW w:w="1779" w:type="dxa"/>
                        <w:vMerge w:val="restart"/>
                        <w:tcBorders>
                          <w:top w:val="single" w:sz="12" w:space="0" w:color="FF0000"/>
                          <w:left w:val="nil"/>
                          <w:right w:val="nil"/>
                        </w:tcBorders>
                        <w:shd w:val="clear" w:color="auto" w:fill="5B9BD4"/>
                      </w:tcPr>
                      <w:p>
                        <w:pPr>
                          <w:pStyle w:val="TableParagraph"/>
                          <w:rPr>
                            <w:sz w:val="22"/>
                          </w:rPr>
                        </w:pPr>
                      </w:p>
                      <w:p>
                        <w:pPr>
                          <w:pStyle w:val="TableParagraph"/>
                          <w:rPr>
                            <w:sz w:val="22"/>
                          </w:rPr>
                        </w:pPr>
                      </w:p>
                      <w:p>
                        <w:pPr>
                          <w:pStyle w:val="TableParagraph"/>
                          <w:spacing w:before="3"/>
                          <w:rPr>
                            <w:sz w:val="18"/>
                          </w:rPr>
                        </w:pPr>
                      </w:p>
                      <w:p>
                        <w:pPr>
                          <w:pStyle w:val="TableParagraph"/>
                          <w:spacing w:before="1"/>
                          <w:ind w:left="528"/>
                          <w:rPr>
                            <w:b/>
                            <w:sz w:val="21"/>
                          </w:rPr>
                        </w:pPr>
                        <w:r>
                          <w:rPr>
                            <w:b/>
                            <w:color w:val="FFFFFF"/>
                            <w:sz w:val="21"/>
                          </w:rPr>
                          <w:t>30,382.8</w:t>
                        </w:r>
                      </w:p>
                    </w:tc>
                    <w:tc>
                      <w:tcPr>
                        <w:tcW w:w="224" w:type="dxa"/>
                        <w:vMerge w:val="restart"/>
                        <w:tcBorders>
                          <w:left w:val="nil"/>
                        </w:tcBorders>
                      </w:tcPr>
                      <w:p>
                        <w:pPr>
                          <w:pStyle w:val="TableParagraph"/>
                          <w:rPr>
                            <w:sz w:val="20"/>
                          </w:rPr>
                        </w:pPr>
                      </w:p>
                    </w:tc>
                  </w:tr>
                  <w:tr>
                    <w:trPr>
                      <w:trHeight w:val="266" w:hRule="atLeast"/>
                    </w:trPr>
                    <w:tc>
                      <w:tcPr>
                        <w:tcW w:w="223" w:type="dxa"/>
                        <w:tcBorders>
                          <w:top w:val="nil"/>
                          <w:right w:val="nil"/>
                        </w:tcBorders>
                      </w:tcPr>
                      <w:p>
                        <w:pPr>
                          <w:pStyle w:val="TableParagraph"/>
                          <w:rPr>
                            <w:sz w:val="18"/>
                          </w:rPr>
                        </w:pPr>
                      </w:p>
                    </w:tc>
                    <w:tc>
                      <w:tcPr>
                        <w:tcW w:w="1776" w:type="dxa"/>
                        <w:vMerge w:val="restart"/>
                        <w:tcBorders>
                          <w:top w:val="single" w:sz="8" w:space="0" w:color="FF0000"/>
                          <w:left w:val="nil"/>
                          <w:right w:val="nil"/>
                        </w:tcBorders>
                        <w:shd w:val="clear" w:color="auto" w:fill="5B9BD4"/>
                      </w:tcPr>
                      <w:p>
                        <w:pPr>
                          <w:pStyle w:val="TableParagraph"/>
                          <w:rPr>
                            <w:sz w:val="22"/>
                          </w:rPr>
                        </w:pPr>
                      </w:p>
                      <w:p>
                        <w:pPr>
                          <w:pStyle w:val="TableParagraph"/>
                          <w:rPr>
                            <w:sz w:val="22"/>
                          </w:rPr>
                        </w:pPr>
                      </w:p>
                      <w:p>
                        <w:pPr>
                          <w:pStyle w:val="TableParagraph"/>
                          <w:spacing w:before="145"/>
                          <w:ind w:left="525"/>
                          <w:rPr>
                            <w:b/>
                            <w:sz w:val="21"/>
                          </w:rPr>
                        </w:pPr>
                        <w:r>
                          <w:rPr>
                            <w:b/>
                            <w:color w:val="FFFFFF"/>
                            <w:sz w:val="21"/>
                          </w:rPr>
                          <w:t>28,263.4</w:t>
                        </w:r>
                      </w:p>
                    </w:tc>
                    <w:tc>
                      <w:tcPr>
                        <w:tcW w:w="223" w:type="dxa"/>
                        <w:tcBorders>
                          <w:top w:val="nil"/>
                          <w:left w:val="nil"/>
                        </w:tcBorders>
                      </w:tcPr>
                      <w:p>
                        <w:pPr>
                          <w:pStyle w:val="TableParagraph"/>
                          <w:rPr>
                            <w:sz w:val="18"/>
                          </w:rPr>
                        </w:pPr>
                      </w:p>
                    </w:tc>
                    <w:tc>
                      <w:tcPr>
                        <w:tcW w:w="223" w:type="dxa"/>
                        <w:vMerge/>
                        <w:tcBorders>
                          <w:top w:val="nil"/>
                          <w:right w:val="nil"/>
                        </w:tcBorders>
                      </w:tcPr>
                      <w:p>
                        <w:pPr>
                          <w:rPr>
                            <w:sz w:val="2"/>
                            <w:szCs w:val="2"/>
                          </w:rPr>
                        </w:pPr>
                      </w:p>
                    </w:tc>
                    <w:tc>
                      <w:tcPr>
                        <w:tcW w:w="1776" w:type="dxa"/>
                        <w:vMerge/>
                        <w:tcBorders>
                          <w:top w:val="nil"/>
                          <w:left w:val="nil"/>
                          <w:right w:val="nil"/>
                        </w:tcBorders>
                        <w:shd w:val="clear" w:color="auto" w:fill="5B9BD4"/>
                      </w:tcPr>
                      <w:p>
                        <w:pPr>
                          <w:rPr>
                            <w:sz w:val="2"/>
                            <w:szCs w:val="2"/>
                          </w:rPr>
                        </w:pPr>
                      </w:p>
                    </w:tc>
                    <w:tc>
                      <w:tcPr>
                        <w:tcW w:w="223" w:type="dxa"/>
                        <w:vMerge/>
                        <w:tcBorders>
                          <w:top w:val="nil"/>
                          <w:left w:val="nil"/>
                        </w:tcBorders>
                      </w:tcPr>
                      <w:p>
                        <w:pPr>
                          <w:rPr>
                            <w:sz w:val="2"/>
                            <w:szCs w:val="2"/>
                          </w:rPr>
                        </w:pPr>
                      </w:p>
                    </w:tc>
                    <w:tc>
                      <w:tcPr>
                        <w:tcW w:w="221" w:type="dxa"/>
                        <w:vMerge/>
                        <w:tcBorders>
                          <w:top w:val="nil"/>
                          <w:right w:val="nil"/>
                        </w:tcBorders>
                      </w:tcPr>
                      <w:p>
                        <w:pPr>
                          <w:rPr>
                            <w:sz w:val="2"/>
                            <w:szCs w:val="2"/>
                          </w:rPr>
                        </w:pPr>
                      </w:p>
                    </w:tc>
                    <w:tc>
                      <w:tcPr>
                        <w:tcW w:w="1779" w:type="dxa"/>
                        <w:vMerge/>
                        <w:tcBorders>
                          <w:top w:val="nil"/>
                          <w:left w:val="nil"/>
                          <w:right w:val="nil"/>
                        </w:tcBorders>
                        <w:shd w:val="clear" w:color="auto" w:fill="5B9BD4"/>
                      </w:tcPr>
                      <w:p>
                        <w:pPr>
                          <w:rPr>
                            <w:sz w:val="2"/>
                            <w:szCs w:val="2"/>
                          </w:rPr>
                        </w:pPr>
                      </w:p>
                    </w:tc>
                    <w:tc>
                      <w:tcPr>
                        <w:tcW w:w="224" w:type="dxa"/>
                        <w:vMerge/>
                        <w:tcBorders>
                          <w:top w:val="nil"/>
                          <w:left w:val="nil"/>
                        </w:tcBorders>
                      </w:tcPr>
                      <w:p>
                        <w:pPr>
                          <w:rPr>
                            <w:sz w:val="2"/>
                            <w:szCs w:val="2"/>
                          </w:rPr>
                        </w:pPr>
                      </w:p>
                    </w:tc>
                  </w:tr>
                  <w:tr>
                    <w:trPr>
                      <w:trHeight w:val="407" w:hRule="atLeast"/>
                    </w:trPr>
                    <w:tc>
                      <w:tcPr>
                        <w:tcW w:w="223" w:type="dxa"/>
                        <w:tcBorders>
                          <w:right w:val="nil"/>
                        </w:tcBorders>
                      </w:tcPr>
                      <w:p>
                        <w:pPr>
                          <w:pStyle w:val="TableParagraph"/>
                          <w:rPr>
                            <w:sz w:val="20"/>
                          </w:rPr>
                        </w:pPr>
                      </w:p>
                    </w:tc>
                    <w:tc>
                      <w:tcPr>
                        <w:tcW w:w="1776" w:type="dxa"/>
                        <w:vMerge/>
                        <w:tcBorders>
                          <w:top w:val="nil"/>
                          <w:left w:val="nil"/>
                          <w:right w:val="nil"/>
                        </w:tcBorders>
                        <w:shd w:val="clear" w:color="auto" w:fill="5B9BD4"/>
                      </w:tcPr>
                      <w:p>
                        <w:pPr>
                          <w:rPr>
                            <w:sz w:val="2"/>
                            <w:szCs w:val="2"/>
                          </w:rPr>
                        </w:pPr>
                      </w:p>
                    </w:tc>
                    <w:tc>
                      <w:tcPr>
                        <w:tcW w:w="223" w:type="dxa"/>
                        <w:tcBorders>
                          <w:left w:val="nil"/>
                        </w:tcBorders>
                      </w:tcPr>
                      <w:p>
                        <w:pPr>
                          <w:pStyle w:val="TableParagraph"/>
                          <w:rPr>
                            <w:sz w:val="20"/>
                          </w:rPr>
                        </w:pPr>
                      </w:p>
                    </w:tc>
                    <w:tc>
                      <w:tcPr>
                        <w:tcW w:w="223" w:type="dxa"/>
                        <w:tcBorders>
                          <w:right w:val="nil"/>
                        </w:tcBorders>
                      </w:tcPr>
                      <w:p>
                        <w:pPr>
                          <w:pStyle w:val="TableParagraph"/>
                          <w:rPr>
                            <w:sz w:val="20"/>
                          </w:rPr>
                        </w:pPr>
                      </w:p>
                    </w:tc>
                    <w:tc>
                      <w:tcPr>
                        <w:tcW w:w="1776" w:type="dxa"/>
                        <w:vMerge/>
                        <w:tcBorders>
                          <w:top w:val="nil"/>
                          <w:left w:val="nil"/>
                          <w:right w:val="nil"/>
                        </w:tcBorders>
                        <w:shd w:val="clear" w:color="auto" w:fill="5B9BD4"/>
                      </w:tcPr>
                      <w:p>
                        <w:pPr>
                          <w:rPr>
                            <w:sz w:val="2"/>
                            <w:szCs w:val="2"/>
                          </w:rPr>
                        </w:pPr>
                      </w:p>
                    </w:tc>
                    <w:tc>
                      <w:tcPr>
                        <w:tcW w:w="223" w:type="dxa"/>
                        <w:tcBorders>
                          <w:left w:val="nil"/>
                        </w:tcBorders>
                      </w:tcPr>
                      <w:p>
                        <w:pPr>
                          <w:pStyle w:val="TableParagraph"/>
                          <w:rPr>
                            <w:sz w:val="20"/>
                          </w:rPr>
                        </w:pPr>
                      </w:p>
                    </w:tc>
                    <w:tc>
                      <w:tcPr>
                        <w:tcW w:w="221" w:type="dxa"/>
                        <w:tcBorders>
                          <w:right w:val="nil"/>
                        </w:tcBorders>
                      </w:tcPr>
                      <w:p>
                        <w:pPr>
                          <w:pStyle w:val="TableParagraph"/>
                          <w:rPr>
                            <w:sz w:val="20"/>
                          </w:rPr>
                        </w:pPr>
                      </w:p>
                    </w:tc>
                    <w:tc>
                      <w:tcPr>
                        <w:tcW w:w="1779" w:type="dxa"/>
                        <w:vMerge/>
                        <w:tcBorders>
                          <w:top w:val="nil"/>
                          <w:left w:val="nil"/>
                          <w:right w:val="nil"/>
                        </w:tcBorders>
                        <w:shd w:val="clear" w:color="auto" w:fill="5B9BD4"/>
                      </w:tcPr>
                      <w:p>
                        <w:pPr>
                          <w:rPr>
                            <w:sz w:val="2"/>
                            <w:szCs w:val="2"/>
                          </w:rPr>
                        </w:pPr>
                      </w:p>
                    </w:tc>
                    <w:tc>
                      <w:tcPr>
                        <w:tcW w:w="224" w:type="dxa"/>
                        <w:tcBorders>
                          <w:left w:val="nil"/>
                        </w:tcBorders>
                      </w:tcPr>
                      <w:p>
                        <w:pPr>
                          <w:pStyle w:val="TableParagraph"/>
                          <w:rPr>
                            <w:sz w:val="20"/>
                          </w:rPr>
                        </w:pPr>
                      </w:p>
                    </w:tc>
                  </w:tr>
                  <w:tr>
                    <w:trPr>
                      <w:trHeight w:val="407" w:hRule="atLeast"/>
                    </w:trPr>
                    <w:tc>
                      <w:tcPr>
                        <w:tcW w:w="223" w:type="dxa"/>
                        <w:tcBorders>
                          <w:right w:val="nil"/>
                        </w:tcBorders>
                      </w:tcPr>
                      <w:p>
                        <w:pPr>
                          <w:pStyle w:val="TableParagraph"/>
                          <w:rPr>
                            <w:sz w:val="20"/>
                          </w:rPr>
                        </w:pPr>
                      </w:p>
                    </w:tc>
                    <w:tc>
                      <w:tcPr>
                        <w:tcW w:w="1776" w:type="dxa"/>
                        <w:vMerge/>
                        <w:tcBorders>
                          <w:top w:val="nil"/>
                          <w:left w:val="nil"/>
                          <w:right w:val="nil"/>
                        </w:tcBorders>
                        <w:shd w:val="clear" w:color="auto" w:fill="5B9BD4"/>
                      </w:tcPr>
                      <w:p>
                        <w:pPr>
                          <w:rPr>
                            <w:sz w:val="2"/>
                            <w:szCs w:val="2"/>
                          </w:rPr>
                        </w:pPr>
                      </w:p>
                    </w:tc>
                    <w:tc>
                      <w:tcPr>
                        <w:tcW w:w="223" w:type="dxa"/>
                        <w:tcBorders>
                          <w:left w:val="nil"/>
                        </w:tcBorders>
                      </w:tcPr>
                      <w:p>
                        <w:pPr>
                          <w:pStyle w:val="TableParagraph"/>
                          <w:rPr>
                            <w:sz w:val="20"/>
                          </w:rPr>
                        </w:pPr>
                      </w:p>
                    </w:tc>
                    <w:tc>
                      <w:tcPr>
                        <w:tcW w:w="223" w:type="dxa"/>
                        <w:tcBorders>
                          <w:right w:val="nil"/>
                        </w:tcBorders>
                      </w:tcPr>
                      <w:p>
                        <w:pPr>
                          <w:pStyle w:val="TableParagraph"/>
                          <w:rPr>
                            <w:sz w:val="20"/>
                          </w:rPr>
                        </w:pPr>
                      </w:p>
                    </w:tc>
                    <w:tc>
                      <w:tcPr>
                        <w:tcW w:w="1776" w:type="dxa"/>
                        <w:vMerge/>
                        <w:tcBorders>
                          <w:top w:val="nil"/>
                          <w:left w:val="nil"/>
                          <w:right w:val="nil"/>
                        </w:tcBorders>
                        <w:shd w:val="clear" w:color="auto" w:fill="5B9BD4"/>
                      </w:tcPr>
                      <w:p>
                        <w:pPr>
                          <w:rPr>
                            <w:sz w:val="2"/>
                            <w:szCs w:val="2"/>
                          </w:rPr>
                        </w:pPr>
                      </w:p>
                    </w:tc>
                    <w:tc>
                      <w:tcPr>
                        <w:tcW w:w="223" w:type="dxa"/>
                        <w:tcBorders>
                          <w:left w:val="nil"/>
                        </w:tcBorders>
                      </w:tcPr>
                      <w:p>
                        <w:pPr>
                          <w:pStyle w:val="TableParagraph"/>
                          <w:rPr>
                            <w:sz w:val="20"/>
                          </w:rPr>
                        </w:pPr>
                      </w:p>
                    </w:tc>
                    <w:tc>
                      <w:tcPr>
                        <w:tcW w:w="221" w:type="dxa"/>
                        <w:tcBorders>
                          <w:right w:val="nil"/>
                        </w:tcBorders>
                      </w:tcPr>
                      <w:p>
                        <w:pPr>
                          <w:pStyle w:val="TableParagraph"/>
                          <w:rPr>
                            <w:sz w:val="20"/>
                          </w:rPr>
                        </w:pPr>
                      </w:p>
                    </w:tc>
                    <w:tc>
                      <w:tcPr>
                        <w:tcW w:w="1779" w:type="dxa"/>
                        <w:vMerge/>
                        <w:tcBorders>
                          <w:top w:val="nil"/>
                          <w:left w:val="nil"/>
                          <w:right w:val="nil"/>
                        </w:tcBorders>
                        <w:shd w:val="clear" w:color="auto" w:fill="5B9BD4"/>
                      </w:tcPr>
                      <w:p>
                        <w:pPr>
                          <w:rPr>
                            <w:sz w:val="2"/>
                            <w:szCs w:val="2"/>
                          </w:rPr>
                        </w:pPr>
                      </w:p>
                    </w:tc>
                    <w:tc>
                      <w:tcPr>
                        <w:tcW w:w="224" w:type="dxa"/>
                        <w:tcBorders>
                          <w:left w:val="nil"/>
                        </w:tcBorders>
                      </w:tcPr>
                      <w:p>
                        <w:pPr>
                          <w:pStyle w:val="TableParagraph"/>
                          <w:rPr>
                            <w:sz w:val="20"/>
                          </w:rPr>
                        </w:pPr>
                      </w:p>
                    </w:tc>
                  </w:tr>
                  <w:tr>
                    <w:trPr>
                      <w:trHeight w:val="407" w:hRule="atLeast"/>
                    </w:trPr>
                    <w:tc>
                      <w:tcPr>
                        <w:tcW w:w="223" w:type="dxa"/>
                        <w:tcBorders>
                          <w:right w:val="nil"/>
                        </w:tcBorders>
                      </w:tcPr>
                      <w:p>
                        <w:pPr>
                          <w:pStyle w:val="TableParagraph"/>
                          <w:rPr>
                            <w:sz w:val="20"/>
                          </w:rPr>
                        </w:pPr>
                      </w:p>
                    </w:tc>
                    <w:tc>
                      <w:tcPr>
                        <w:tcW w:w="1776" w:type="dxa"/>
                        <w:vMerge/>
                        <w:tcBorders>
                          <w:top w:val="nil"/>
                          <w:left w:val="nil"/>
                          <w:right w:val="nil"/>
                        </w:tcBorders>
                        <w:shd w:val="clear" w:color="auto" w:fill="5B9BD4"/>
                      </w:tcPr>
                      <w:p>
                        <w:pPr>
                          <w:rPr>
                            <w:sz w:val="2"/>
                            <w:szCs w:val="2"/>
                          </w:rPr>
                        </w:pPr>
                      </w:p>
                    </w:tc>
                    <w:tc>
                      <w:tcPr>
                        <w:tcW w:w="223" w:type="dxa"/>
                        <w:tcBorders>
                          <w:left w:val="nil"/>
                        </w:tcBorders>
                      </w:tcPr>
                      <w:p>
                        <w:pPr>
                          <w:pStyle w:val="TableParagraph"/>
                          <w:rPr>
                            <w:sz w:val="20"/>
                          </w:rPr>
                        </w:pPr>
                      </w:p>
                    </w:tc>
                    <w:tc>
                      <w:tcPr>
                        <w:tcW w:w="223" w:type="dxa"/>
                        <w:tcBorders>
                          <w:right w:val="nil"/>
                        </w:tcBorders>
                      </w:tcPr>
                      <w:p>
                        <w:pPr>
                          <w:pStyle w:val="TableParagraph"/>
                          <w:rPr>
                            <w:sz w:val="20"/>
                          </w:rPr>
                        </w:pPr>
                      </w:p>
                    </w:tc>
                    <w:tc>
                      <w:tcPr>
                        <w:tcW w:w="1776" w:type="dxa"/>
                        <w:vMerge/>
                        <w:tcBorders>
                          <w:top w:val="nil"/>
                          <w:left w:val="nil"/>
                          <w:right w:val="nil"/>
                        </w:tcBorders>
                        <w:shd w:val="clear" w:color="auto" w:fill="5B9BD4"/>
                      </w:tcPr>
                      <w:p>
                        <w:pPr>
                          <w:rPr>
                            <w:sz w:val="2"/>
                            <w:szCs w:val="2"/>
                          </w:rPr>
                        </w:pPr>
                      </w:p>
                    </w:tc>
                    <w:tc>
                      <w:tcPr>
                        <w:tcW w:w="223" w:type="dxa"/>
                        <w:tcBorders>
                          <w:left w:val="nil"/>
                        </w:tcBorders>
                      </w:tcPr>
                      <w:p>
                        <w:pPr>
                          <w:pStyle w:val="TableParagraph"/>
                          <w:rPr>
                            <w:sz w:val="20"/>
                          </w:rPr>
                        </w:pPr>
                      </w:p>
                    </w:tc>
                    <w:tc>
                      <w:tcPr>
                        <w:tcW w:w="221" w:type="dxa"/>
                        <w:tcBorders>
                          <w:right w:val="nil"/>
                        </w:tcBorders>
                      </w:tcPr>
                      <w:p>
                        <w:pPr>
                          <w:pStyle w:val="TableParagraph"/>
                          <w:rPr>
                            <w:sz w:val="20"/>
                          </w:rPr>
                        </w:pPr>
                      </w:p>
                    </w:tc>
                    <w:tc>
                      <w:tcPr>
                        <w:tcW w:w="1779" w:type="dxa"/>
                        <w:vMerge/>
                        <w:tcBorders>
                          <w:top w:val="nil"/>
                          <w:left w:val="nil"/>
                          <w:right w:val="nil"/>
                        </w:tcBorders>
                        <w:shd w:val="clear" w:color="auto" w:fill="5B9BD4"/>
                      </w:tcPr>
                      <w:p>
                        <w:pPr>
                          <w:rPr>
                            <w:sz w:val="2"/>
                            <w:szCs w:val="2"/>
                          </w:rPr>
                        </w:pPr>
                      </w:p>
                    </w:tc>
                    <w:tc>
                      <w:tcPr>
                        <w:tcW w:w="224" w:type="dxa"/>
                        <w:tcBorders>
                          <w:left w:val="nil"/>
                        </w:tcBorders>
                      </w:tcPr>
                      <w:p>
                        <w:pPr>
                          <w:pStyle w:val="TableParagraph"/>
                          <w:rPr>
                            <w:sz w:val="20"/>
                          </w:rPr>
                        </w:pPr>
                      </w:p>
                    </w:tc>
                  </w:tr>
                </w:tbl>
                <w:p>
                  <w:pPr>
                    <w:pStyle w:val="BodyText"/>
                  </w:pPr>
                </w:p>
              </w:txbxContent>
            </v:textbox>
            <w10:wrap type="none"/>
          </v:shape>
        </w:pict>
      </w:r>
      <w:r>
        <w:rPr>
          <w:color w:val="585858"/>
          <w:sz w:val="18"/>
        </w:rPr>
        <w:t>40,000</w:t>
      </w:r>
    </w:p>
    <w:p>
      <w:pPr>
        <w:pStyle w:val="BodyText"/>
        <w:spacing w:before="9"/>
        <w:rPr>
          <w:sz w:val="18"/>
        </w:rPr>
      </w:pPr>
    </w:p>
    <w:p>
      <w:pPr>
        <w:spacing w:before="0"/>
        <w:ind w:left="1306" w:right="0" w:firstLine="0"/>
        <w:jc w:val="left"/>
        <w:rPr>
          <w:sz w:val="18"/>
        </w:rPr>
      </w:pPr>
      <w:r>
        <w:rPr>
          <w:color w:val="585858"/>
          <w:sz w:val="18"/>
        </w:rPr>
        <w:t>35,000</w:t>
      </w:r>
    </w:p>
    <w:p>
      <w:pPr>
        <w:pStyle w:val="BodyText"/>
        <w:spacing w:before="8"/>
        <w:rPr>
          <w:sz w:val="18"/>
        </w:rPr>
      </w:pPr>
    </w:p>
    <w:p>
      <w:pPr>
        <w:spacing w:before="0"/>
        <w:ind w:left="1306" w:right="0" w:firstLine="0"/>
        <w:jc w:val="left"/>
        <w:rPr>
          <w:sz w:val="18"/>
        </w:rPr>
      </w:pPr>
      <w:r>
        <w:rPr>
          <w:color w:val="585858"/>
          <w:sz w:val="18"/>
        </w:rPr>
        <w:t>30,000</w:t>
      </w:r>
    </w:p>
    <w:p>
      <w:pPr>
        <w:pStyle w:val="BodyText"/>
        <w:spacing w:before="8"/>
        <w:rPr>
          <w:sz w:val="18"/>
        </w:rPr>
      </w:pPr>
    </w:p>
    <w:p>
      <w:pPr>
        <w:spacing w:before="0"/>
        <w:ind w:left="1306" w:right="0" w:firstLine="0"/>
        <w:jc w:val="left"/>
        <w:rPr>
          <w:sz w:val="18"/>
        </w:rPr>
      </w:pPr>
      <w:r>
        <w:rPr>
          <w:color w:val="585858"/>
          <w:sz w:val="18"/>
        </w:rPr>
        <w:t>25,000</w:t>
      </w:r>
    </w:p>
    <w:p>
      <w:pPr>
        <w:pStyle w:val="BodyText"/>
        <w:spacing w:before="9"/>
        <w:rPr>
          <w:sz w:val="18"/>
        </w:rPr>
      </w:pPr>
    </w:p>
    <w:p>
      <w:pPr>
        <w:spacing w:before="0"/>
        <w:ind w:left="1306" w:right="0" w:firstLine="0"/>
        <w:jc w:val="left"/>
        <w:rPr>
          <w:sz w:val="18"/>
        </w:rPr>
      </w:pPr>
      <w:r>
        <w:rPr>
          <w:color w:val="585858"/>
          <w:sz w:val="18"/>
        </w:rPr>
        <w:t>20,000</w:t>
      </w:r>
    </w:p>
    <w:p>
      <w:pPr>
        <w:pStyle w:val="BodyText"/>
        <w:spacing w:before="8"/>
        <w:rPr>
          <w:sz w:val="18"/>
        </w:rPr>
      </w:pPr>
    </w:p>
    <w:p>
      <w:pPr>
        <w:spacing w:before="0"/>
        <w:ind w:left="1306" w:right="0" w:firstLine="0"/>
        <w:jc w:val="left"/>
        <w:rPr>
          <w:sz w:val="18"/>
        </w:rPr>
      </w:pPr>
      <w:r>
        <w:rPr>
          <w:color w:val="585858"/>
          <w:sz w:val="18"/>
        </w:rPr>
        <w:t>15,000</w:t>
      </w:r>
    </w:p>
    <w:p>
      <w:pPr>
        <w:pStyle w:val="BodyText"/>
        <w:spacing w:before="8"/>
        <w:rPr>
          <w:sz w:val="10"/>
        </w:rPr>
      </w:pPr>
    </w:p>
    <w:p>
      <w:pPr>
        <w:spacing w:after="0"/>
        <w:rPr>
          <w:sz w:val="10"/>
        </w:rPr>
        <w:sectPr>
          <w:pgSz w:w="12240" w:h="15840"/>
          <w:pgMar w:header="715" w:footer="957" w:top="1240" w:bottom="1140" w:left="1140" w:right="0"/>
        </w:sectPr>
      </w:pPr>
    </w:p>
    <w:p>
      <w:pPr>
        <w:spacing w:before="93"/>
        <w:ind w:left="0" w:right="0" w:firstLine="0"/>
        <w:jc w:val="right"/>
        <w:rPr>
          <w:sz w:val="18"/>
        </w:rPr>
      </w:pPr>
      <w:r>
        <w:rPr>
          <w:color w:val="585858"/>
          <w:sz w:val="18"/>
        </w:rPr>
        <w:t>10,000</w:t>
      </w:r>
    </w:p>
    <w:p>
      <w:pPr>
        <w:pStyle w:val="BodyText"/>
        <w:spacing w:before="5"/>
        <w:rPr>
          <w:sz w:val="26"/>
        </w:rPr>
      </w:pPr>
      <w:r>
        <w:rPr/>
        <w:br w:type="column"/>
      </w:r>
      <w:r>
        <w:rPr>
          <w:sz w:val="26"/>
        </w:rPr>
      </w:r>
    </w:p>
    <w:p>
      <w:pPr>
        <w:spacing w:before="0"/>
        <w:ind w:left="721" w:right="0" w:firstLine="0"/>
        <w:jc w:val="left"/>
        <w:rPr>
          <w:sz w:val="18"/>
        </w:rPr>
      </w:pPr>
      <w:r>
        <w:rPr>
          <w:color w:val="585858"/>
          <w:sz w:val="18"/>
        </w:rPr>
        <w:t>Observado 20</w:t>
      </w:r>
    </w:p>
    <w:p>
      <w:pPr>
        <w:spacing w:before="134"/>
        <w:ind w:left="0" w:right="0" w:firstLine="0"/>
        <w:jc w:val="right"/>
        <w:rPr>
          <w:b/>
          <w:sz w:val="18"/>
        </w:rPr>
      </w:pPr>
      <w:r>
        <w:rPr/>
        <w:pict>
          <v:rect style="position:absolute;margin-left:218.520004pt;margin-top:9.942341pt;width:4.560pt;height:4.560pt;mso-position-horizontal-relative:page;mso-position-vertical-relative:paragraph;z-index:252422144" filled="true" fillcolor="#5b9bd4" stroked="false">
            <v:fill type="solid"/>
            <w10:wrap type="none"/>
          </v:rect>
        </w:pict>
      </w:r>
      <w:r>
        <w:rPr>
          <w:b/>
          <w:color w:val="585858"/>
          <w:sz w:val="18"/>
        </w:rPr>
        <w:t>SAT</w:t>
      </w:r>
    </w:p>
    <w:p>
      <w:pPr>
        <w:pStyle w:val="BodyText"/>
        <w:spacing w:before="5"/>
        <w:rPr>
          <w:b/>
          <w:sz w:val="26"/>
        </w:rPr>
      </w:pPr>
      <w:r>
        <w:rPr/>
        <w:br w:type="column"/>
      </w:r>
      <w:r>
        <w:rPr>
          <w:b/>
          <w:sz w:val="26"/>
        </w:rPr>
      </w:r>
    </w:p>
    <w:p>
      <w:pPr>
        <w:spacing w:before="0"/>
        <w:ind w:left="1035" w:right="0" w:firstLine="0"/>
        <w:jc w:val="left"/>
        <w:rPr>
          <w:sz w:val="18"/>
        </w:rPr>
      </w:pPr>
      <w:r>
        <w:rPr>
          <w:color w:val="585858"/>
          <w:sz w:val="18"/>
        </w:rPr>
        <w:t>Observado 21</w:t>
      </w:r>
    </w:p>
    <w:p>
      <w:pPr>
        <w:spacing w:before="134"/>
        <w:ind w:left="925" w:right="0" w:firstLine="0"/>
        <w:jc w:val="left"/>
        <w:rPr>
          <w:b/>
          <w:sz w:val="18"/>
        </w:rPr>
      </w:pPr>
      <w:r>
        <w:rPr/>
        <w:pict>
          <v:rect style="position:absolute;margin-left:284.399994pt;margin-top:9.942341pt;width:4.440pt;height:4.560pt;mso-position-horizontal-relative:page;mso-position-vertical-relative:paragraph;z-index:252423168" filled="true" fillcolor="#ff0000" stroked="false">
            <v:fill type="solid"/>
            <w10:wrap type="none"/>
          </v:rect>
        </w:pict>
      </w:r>
      <w:r>
        <w:rPr>
          <w:b/>
          <w:color w:val="585858"/>
          <w:sz w:val="18"/>
        </w:rPr>
        <w:t>No administrado por</w:t>
      </w:r>
      <w:r>
        <w:rPr>
          <w:b/>
          <w:color w:val="585858"/>
          <w:spacing w:val="-13"/>
          <w:sz w:val="18"/>
        </w:rPr>
        <w:t> </w:t>
      </w:r>
      <w:r>
        <w:rPr>
          <w:b/>
          <w:color w:val="585858"/>
          <w:sz w:val="18"/>
        </w:rPr>
        <w:t>SAT</w:t>
      </w:r>
    </w:p>
    <w:p>
      <w:pPr>
        <w:pStyle w:val="BodyText"/>
        <w:spacing w:before="5"/>
        <w:rPr>
          <w:b/>
          <w:sz w:val="26"/>
        </w:rPr>
      </w:pPr>
      <w:r>
        <w:rPr/>
        <w:br w:type="column"/>
      </w:r>
      <w:r>
        <w:rPr>
          <w:b/>
          <w:sz w:val="26"/>
        </w:rPr>
      </w:r>
    </w:p>
    <w:p>
      <w:pPr>
        <w:spacing w:before="0"/>
        <w:ind w:left="583" w:right="0" w:firstLine="0"/>
        <w:jc w:val="left"/>
        <w:rPr>
          <w:sz w:val="18"/>
        </w:rPr>
      </w:pPr>
      <w:r>
        <w:rPr>
          <w:color w:val="585858"/>
          <w:sz w:val="18"/>
        </w:rPr>
        <w:t>Meta</w:t>
      </w:r>
    </w:p>
    <w:p>
      <w:pPr>
        <w:spacing w:after="0"/>
        <w:jc w:val="left"/>
        <w:rPr>
          <w:sz w:val="18"/>
        </w:rPr>
        <w:sectPr>
          <w:type w:val="continuous"/>
          <w:pgSz w:w="12240" w:h="15840"/>
          <w:pgMar w:top="1500" w:bottom="280" w:left="1140" w:right="0"/>
          <w:cols w:num="4" w:equalWidth="0">
            <w:col w:w="1802" w:space="40"/>
            <w:col w:w="1869" w:space="39"/>
            <w:col w:w="2929" w:space="40"/>
            <w:col w:w="4381"/>
          </w:cols>
        </w:sectPr>
      </w:pPr>
    </w:p>
    <w:p>
      <w:pPr>
        <w:pStyle w:val="BodyText"/>
        <w:spacing w:before="4"/>
        <w:rPr>
          <w:sz w:val="14"/>
        </w:rPr>
      </w:pPr>
    </w:p>
    <w:p>
      <w:pPr>
        <w:spacing w:before="1"/>
        <w:ind w:left="2686" w:right="0" w:firstLine="0"/>
        <w:jc w:val="left"/>
        <w:rPr>
          <w:sz w:val="16"/>
        </w:rPr>
      </w:pPr>
      <w:r>
        <w:rPr>
          <w:sz w:val="16"/>
        </w:rPr>
        <w:t>Fuente: Dirección de Análisis y Política Fiscal.</w:t>
      </w:r>
    </w:p>
    <w:p>
      <w:pPr>
        <w:pStyle w:val="BodyText"/>
        <w:rPr>
          <w:sz w:val="18"/>
        </w:rPr>
      </w:pPr>
    </w:p>
    <w:p>
      <w:pPr>
        <w:pStyle w:val="BodyText"/>
        <w:spacing w:line="276" w:lineRule="auto" w:before="108"/>
        <w:ind w:left="562" w:right="1697"/>
        <w:jc w:val="both"/>
      </w:pPr>
      <w:r>
        <w:rPr/>
        <w:t>La Superintendencia de Administración Tributaria en 2021 implementó una serie de acciones para aumentar la recaudación tributaria. A través de la Intendencia de Recaudación aumentó el número de contribuyentes inscritos al RTU (afiliaciones al IVA e ISR), aumentó numero de emisores </w:t>
      </w:r>
      <w:r>
        <w:rPr>
          <w:spacing w:val="-3"/>
        </w:rPr>
        <w:t>de </w:t>
      </w:r>
      <w:r>
        <w:rPr/>
        <w:t>documentos tributarios electrónicos, recuperaciones por cumplimiento de control tributario, mejoras al sistema de facilidades de pago entre otras. En el ramo de aduanas también se realizaron acciones en pro de la recaudación para combatir la defraudación y contrabando mediante la realización de ajustes</w:t>
      </w:r>
      <w:r>
        <w:rPr>
          <w:spacing w:val="27"/>
        </w:rPr>
        <w:t> </w:t>
      </w:r>
      <w:r>
        <w:rPr/>
        <w:t>a</w:t>
      </w:r>
      <w:r>
        <w:rPr>
          <w:spacing w:val="25"/>
        </w:rPr>
        <w:t> </w:t>
      </w:r>
      <w:r>
        <w:rPr/>
        <w:t>través</w:t>
      </w:r>
      <w:r>
        <w:rPr>
          <w:spacing w:val="28"/>
        </w:rPr>
        <w:t> </w:t>
      </w:r>
      <w:r>
        <w:rPr/>
        <w:t>de</w:t>
      </w:r>
      <w:r>
        <w:rPr>
          <w:spacing w:val="28"/>
        </w:rPr>
        <w:t> </w:t>
      </w:r>
      <w:r>
        <w:rPr/>
        <w:t>rectificaciones,</w:t>
      </w:r>
      <w:r>
        <w:rPr>
          <w:spacing w:val="27"/>
        </w:rPr>
        <w:t> </w:t>
      </w:r>
      <w:r>
        <w:rPr/>
        <w:t>ajustes</w:t>
      </w:r>
      <w:r>
        <w:rPr>
          <w:spacing w:val="27"/>
        </w:rPr>
        <w:t> </w:t>
      </w:r>
      <w:r>
        <w:rPr/>
        <w:t>por</w:t>
      </w:r>
      <w:r>
        <w:rPr>
          <w:spacing w:val="28"/>
        </w:rPr>
        <w:t> </w:t>
      </w:r>
      <w:r>
        <w:rPr/>
        <w:t>conceptos</w:t>
      </w:r>
      <w:r>
        <w:rPr>
          <w:spacing w:val="28"/>
        </w:rPr>
        <w:t> </w:t>
      </w:r>
      <w:r>
        <w:rPr/>
        <w:t>de</w:t>
      </w:r>
      <w:r>
        <w:rPr>
          <w:spacing w:val="28"/>
        </w:rPr>
        <w:t> </w:t>
      </w:r>
      <w:r>
        <w:rPr/>
        <w:t>medidas</w:t>
      </w:r>
      <w:r>
        <w:rPr>
          <w:spacing w:val="28"/>
        </w:rPr>
        <w:t> </w:t>
      </w:r>
      <w:r>
        <w:rPr/>
        <w:t>administrativas,</w:t>
      </w:r>
      <w:r>
        <w:rPr>
          <w:spacing w:val="27"/>
        </w:rPr>
        <w:t> </w:t>
      </w:r>
      <w:r>
        <w:rPr/>
        <w:t>medidas</w:t>
      </w:r>
      <w:r>
        <w:rPr>
          <w:spacing w:val="27"/>
        </w:rPr>
        <w:t> </w:t>
      </w:r>
      <w:r>
        <w:rPr/>
        <w:t>de</w:t>
      </w:r>
    </w:p>
    <w:p>
      <w:pPr>
        <w:spacing w:after="0" w:line="276" w:lineRule="auto"/>
        <w:jc w:val="both"/>
        <w:sectPr>
          <w:type w:val="continuous"/>
          <w:pgSz w:w="12240" w:h="15840"/>
          <w:pgMar w:top="1500" w:bottom="280" w:left="1140" w:right="0"/>
        </w:sectPr>
      </w:pPr>
    </w:p>
    <w:p>
      <w:pPr>
        <w:pStyle w:val="BodyText"/>
        <w:spacing w:line="276" w:lineRule="auto" w:before="162"/>
        <w:ind w:left="562" w:right="1693"/>
        <w:jc w:val="both"/>
      </w:pPr>
      <w:r>
        <w:rPr/>
        <w:t>control en materia de riesgo, mejoras en tiempos de despacho y gestión, mayor simplificación y automatización en la transmisión de declaraciones y controles aduaneros y el establecimiento de puestos de control interinstitucional, entre otras medidas.</w:t>
      </w:r>
    </w:p>
    <w:p>
      <w:pPr>
        <w:pStyle w:val="BodyText"/>
        <w:spacing w:before="4"/>
        <w:rPr>
          <w:sz w:val="25"/>
        </w:rPr>
      </w:pPr>
    </w:p>
    <w:p>
      <w:pPr>
        <w:pStyle w:val="BodyText"/>
        <w:spacing w:line="276" w:lineRule="auto"/>
        <w:ind w:left="562" w:right="1693"/>
        <w:jc w:val="both"/>
      </w:pPr>
      <w:r>
        <w:rPr/>
        <w:t>Otros factores que influyeron en el crecimiento interanual de 26.5% en la recaudación tributaria</w:t>
      </w:r>
      <w:r>
        <w:rPr>
          <w:spacing w:val="-37"/>
        </w:rPr>
        <w:t> </w:t>
      </w:r>
      <w:r>
        <w:rPr/>
        <w:t>neta se</w:t>
      </w:r>
      <w:r>
        <w:rPr>
          <w:spacing w:val="-4"/>
        </w:rPr>
        <w:t> </w:t>
      </w:r>
      <w:r>
        <w:rPr/>
        <w:t>explican</w:t>
      </w:r>
      <w:r>
        <w:rPr>
          <w:spacing w:val="-4"/>
        </w:rPr>
        <w:t> </w:t>
      </w:r>
      <w:r>
        <w:rPr/>
        <w:t>por</w:t>
      </w:r>
      <w:r>
        <w:rPr>
          <w:spacing w:val="-3"/>
        </w:rPr>
        <w:t> </w:t>
      </w:r>
      <w:r>
        <w:rPr/>
        <w:t>el</w:t>
      </w:r>
      <w:r>
        <w:rPr>
          <w:spacing w:val="-4"/>
        </w:rPr>
        <w:t> </w:t>
      </w:r>
      <w:r>
        <w:rPr/>
        <w:t>buen</w:t>
      </w:r>
      <w:r>
        <w:rPr>
          <w:spacing w:val="-3"/>
        </w:rPr>
        <w:t> </w:t>
      </w:r>
      <w:r>
        <w:rPr/>
        <w:t>desempeño</w:t>
      </w:r>
      <w:r>
        <w:rPr>
          <w:spacing w:val="-3"/>
        </w:rPr>
        <w:t> </w:t>
      </w:r>
      <w:r>
        <w:rPr/>
        <w:t>del</w:t>
      </w:r>
      <w:r>
        <w:rPr>
          <w:spacing w:val="-4"/>
        </w:rPr>
        <w:t> </w:t>
      </w:r>
      <w:r>
        <w:rPr/>
        <w:t>Impuesto</w:t>
      </w:r>
      <w:r>
        <w:rPr>
          <w:spacing w:val="-4"/>
        </w:rPr>
        <w:t> </w:t>
      </w:r>
      <w:r>
        <w:rPr/>
        <w:t>Sobre</w:t>
      </w:r>
      <w:r>
        <w:rPr>
          <w:spacing w:val="-3"/>
        </w:rPr>
        <w:t> </w:t>
      </w:r>
      <w:r>
        <w:rPr/>
        <w:t>la</w:t>
      </w:r>
      <w:r>
        <w:rPr>
          <w:spacing w:val="-4"/>
        </w:rPr>
        <w:t> </w:t>
      </w:r>
      <w:r>
        <w:rPr/>
        <w:t>Renta</w:t>
      </w:r>
      <w:r>
        <w:rPr>
          <w:spacing w:val="-3"/>
        </w:rPr>
        <w:t> </w:t>
      </w:r>
      <w:r>
        <w:rPr/>
        <w:t>y</w:t>
      </w:r>
      <w:r>
        <w:rPr>
          <w:spacing w:val="-6"/>
        </w:rPr>
        <w:t> </w:t>
      </w:r>
      <w:r>
        <w:rPr/>
        <w:t>el</w:t>
      </w:r>
      <w:r>
        <w:rPr>
          <w:spacing w:val="-3"/>
        </w:rPr>
        <w:t> </w:t>
      </w:r>
      <w:r>
        <w:rPr/>
        <w:t>IVA</w:t>
      </w:r>
      <w:r>
        <w:rPr>
          <w:spacing w:val="-6"/>
        </w:rPr>
        <w:t> </w:t>
      </w:r>
      <w:r>
        <w:rPr/>
        <w:t>total,</w:t>
      </w:r>
      <w:r>
        <w:rPr>
          <w:spacing w:val="-4"/>
        </w:rPr>
        <w:t> </w:t>
      </w:r>
      <w:r>
        <w:rPr/>
        <w:t>sobresaliendo</w:t>
      </w:r>
      <w:r>
        <w:rPr>
          <w:spacing w:val="-6"/>
        </w:rPr>
        <w:t> </w:t>
      </w:r>
      <w:r>
        <w:rPr/>
        <w:t>en</w:t>
      </w:r>
      <w:r>
        <w:rPr>
          <w:spacing w:val="-4"/>
        </w:rPr>
        <w:t> </w:t>
      </w:r>
      <w:r>
        <w:rPr/>
        <w:t>esta comparación la recuperación de la recaudación asociada al comercio internacional la cual creció en 41.2% (Q3,085.4 millones), de los cuales el IVA de Importaciones supera lo observado a junio de 2020 en Q2,628.8 millones y los Derechos Arancelarios en Q456.7 millones, estos crecimientos se explican en gran medida a la contracción que se observó en 2020 producto de las medidas de confinamiento y cierres que realizaron los socios comerciales de Guatemala en prevención de contagios</w:t>
      </w:r>
      <w:r>
        <w:rPr>
          <w:spacing w:val="-11"/>
        </w:rPr>
        <w:t> </w:t>
      </w:r>
      <w:r>
        <w:rPr/>
        <w:t>y</w:t>
      </w:r>
      <w:r>
        <w:rPr>
          <w:spacing w:val="-13"/>
        </w:rPr>
        <w:t> </w:t>
      </w:r>
      <w:r>
        <w:rPr/>
        <w:t>a</w:t>
      </w:r>
      <w:r>
        <w:rPr>
          <w:spacing w:val="-10"/>
        </w:rPr>
        <w:t> </w:t>
      </w:r>
      <w:r>
        <w:rPr/>
        <w:t>los</w:t>
      </w:r>
      <w:r>
        <w:rPr>
          <w:spacing w:val="-10"/>
        </w:rPr>
        <w:t> </w:t>
      </w:r>
      <w:r>
        <w:rPr/>
        <w:t>efectos</w:t>
      </w:r>
      <w:r>
        <w:rPr>
          <w:spacing w:val="-10"/>
        </w:rPr>
        <w:t> </w:t>
      </w:r>
      <w:r>
        <w:rPr/>
        <w:t>del</w:t>
      </w:r>
      <w:r>
        <w:rPr>
          <w:spacing w:val="-12"/>
        </w:rPr>
        <w:t> </w:t>
      </w:r>
      <w:r>
        <w:rPr/>
        <w:t>precio</w:t>
      </w:r>
      <w:r>
        <w:rPr>
          <w:spacing w:val="-12"/>
        </w:rPr>
        <w:t> </w:t>
      </w:r>
      <w:r>
        <w:rPr/>
        <w:t>internacional</w:t>
      </w:r>
      <w:r>
        <w:rPr>
          <w:spacing w:val="-10"/>
        </w:rPr>
        <w:t> </w:t>
      </w:r>
      <w:r>
        <w:rPr/>
        <w:t>del</w:t>
      </w:r>
      <w:r>
        <w:rPr>
          <w:spacing w:val="-10"/>
        </w:rPr>
        <w:t> </w:t>
      </w:r>
      <w:r>
        <w:rPr/>
        <w:t>petróleo</w:t>
      </w:r>
      <w:r>
        <w:rPr>
          <w:spacing w:val="-11"/>
        </w:rPr>
        <w:t> </w:t>
      </w:r>
      <w:r>
        <w:rPr/>
        <w:t>que</w:t>
      </w:r>
      <w:r>
        <w:rPr>
          <w:spacing w:val="-11"/>
        </w:rPr>
        <w:t> </w:t>
      </w:r>
      <w:r>
        <w:rPr/>
        <w:t>pasó</w:t>
      </w:r>
      <w:r>
        <w:rPr>
          <w:spacing w:val="-11"/>
        </w:rPr>
        <w:t> </w:t>
      </w:r>
      <w:r>
        <w:rPr/>
        <w:t>de</w:t>
      </w:r>
      <w:r>
        <w:rPr>
          <w:spacing w:val="-11"/>
        </w:rPr>
        <w:t> </w:t>
      </w:r>
      <w:r>
        <w:rPr/>
        <w:t>US$38.31</w:t>
      </w:r>
      <w:r>
        <w:rPr>
          <w:spacing w:val="-13"/>
        </w:rPr>
        <w:t> </w:t>
      </w:r>
      <w:r>
        <w:rPr/>
        <w:t>dólares</w:t>
      </w:r>
      <w:r>
        <w:rPr>
          <w:spacing w:val="-10"/>
        </w:rPr>
        <w:t> </w:t>
      </w:r>
      <w:r>
        <w:rPr/>
        <w:t>por</w:t>
      </w:r>
      <w:r>
        <w:rPr>
          <w:spacing w:val="-10"/>
        </w:rPr>
        <w:t> </w:t>
      </w:r>
      <w:r>
        <w:rPr/>
        <w:t>barril en junio 2020 a US$71.35 dólares por barril a junio de 2021. Según el Banco de Guatemala, a este mes se observó que el valor de las importaciones de combustibles y lubricantes creció en 67.2%, el volumen en 10.6% y 51.2% el precio, y las importaciones gravadas totales crecieron en 37.8%. En 2020 se observó una caída de 9.5% respecto de</w:t>
      </w:r>
      <w:r>
        <w:rPr>
          <w:spacing w:val="-6"/>
        </w:rPr>
        <w:t> </w:t>
      </w:r>
      <w:r>
        <w:rPr/>
        <w:t>2019.</w:t>
      </w:r>
    </w:p>
    <w:p>
      <w:pPr>
        <w:pStyle w:val="BodyText"/>
        <w:spacing w:before="4"/>
        <w:rPr>
          <w:sz w:val="25"/>
        </w:rPr>
      </w:pPr>
    </w:p>
    <w:p>
      <w:pPr>
        <w:pStyle w:val="BodyText"/>
        <w:spacing w:line="276" w:lineRule="auto"/>
        <w:ind w:left="562" w:right="1693"/>
        <w:jc w:val="both"/>
      </w:pPr>
      <w:r>
        <w:rPr/>
        <w:t>A junio 2021, la brecha fiscal respecto a presupuesto fue positiva en Q5,348.8 millones, el IVA asociado</w:t>
      </w:r>
      <w:r>
        <w:rPr>
          <w:spacing w:val="-9"/>
        </w:rPr>
        <w:t> </w:t>
      </w:r>
      <w:r>
        <w:rPr/>
        <w:t>a</w:t>
      </w:r>
      <w:r>
        <w:rPr>
          <w:spacing w:val="-8"/>
        </w:rPr>
        <w:t> </w:t>
      </w:r>
      <w:r>
        <w:rPr/>
        <w:t>las</w:t>
      </w:r>
      <w:r>
        <w:rPr>
          <w:spacing w:val="-8"/>
        </w:rPr>
        <w:t> </w:t>
      </w:r>
      <w:r>
        <w:rPr/>
        <w:t>importaciones</w:t>
      </w:r>
      <w:r>
        <w:rPr>
          <w:spacing w:val="-6"/>
        </w:rPr>
        <w:t> </w:t>
      </w:r>
      <w:r>
        <w:rPr/>
        <w:t>superó</w:t>
      </w:r>
      <w:r>
        <w:rPr>
          <w:spacing w:val="-10"/>
        </w:rPr>
        <w:t> </w:t>
      </w:r>
      <w:r>
        <w:rPr/>
        <w:t>la</w:t>
      </w:r>
      <w:r>
        <w:rPr>
          <w:spacing w:val="-6"/>
        </w:rPr>
        <w:t> </w:t>
      </w:r>
      <w:r>
        <w:rPr/>
        <w:t>meta</w:t>
      </w:r>
      <w:r>
        <w:rPr>
          <w:spacing w:val="-6"/>
        </w:rPr>
        <w:t> </w:t>
      </w:r>
      <w:r>
        <w:rPr/>
        <w:t>en</w:t>
      </w:r>
      <w:r>
        <w:rPr>
          <w:spacing w:val="-6"/>
        </w:rPr>
        <w:t> </w:t>
      </w:r>
      <w:r>
        <w:rPr/>
        <w:t>Q</w:t>
      </w:r>
      <w:r>
        <w:rPr>
          <w:spacing w:val="-8"/>
        </w:rPr>
        <w:t> </w:t>
      </w:r>
      <w:r>
        <w:rPr/>
        <w:t>1,591.2</w:t>
      </w:r>
      <w:r>
        <w:rPr>
          <w:spacing w:val="-6"/>
        </w:rPr>
        <w:t> </w:t>
      </w:r>
      <w:r>
        <w:rPr/>
        <w:t>millones,</w:t>
      </w:r>
      <w:r>
        <w:rPr>
          <w:spacing w:val="-3"/>
        </w:rPr>
        <w:t> </w:t>
      </w:r>
      <w:r>
        <w:rPr/>
        <w:t>brecha</w:t>
      </w:r>
      <w:r>
        <w:rPr>
          <w:spacing w:val="-8"/>
        </w:rPr>
        <w:t> </w:t>
      </w:r>
      <w:r>
        <w:rPr/>
        <w:t>que</w:t>
      </w:r>
      <w:r>
        <w:rPr>
          <w:spacing w:val="-9"/>
        </w:rPr>
        <w:t> </w:t>
      </w:r>
      <w:r>
        <w:rPr/>
        <w:t>se</w:t>
      </w:r>
      <w:r>
        <w:rPr>
          <w:spacing w:val="-8"/>
        </w:rPr>
        <w:t> </w:t>
      </w:r>
      <w:r>
        <w:rPr/>
        <w:t>explica</w:t>
      </w:r>
      <w:r>
        <w:rPr>
          <w:spacing w:val="-8"/>
        </w:rPr>
        <w:t> </w:t>
      </w:r>
      <w:r>
        <w:rPr/>
        <w:t>por</w:t>
      </w:r>
      <w:r>
        <w:rPr>
          <w:spacing w:val="-8"/>
        </w:rPr>
        <w:t> </w:t>
      </w:r>
      <w:r>
        <w:rPr/>
        <w:t>el</w:t>
      </w:r>
      <w:r>
        <w:rPr>
          <w:spacing w:val="-7"/>
        </w:rPr>
        <w:t> </w:t>
      </w:r>
      <w:r>
        <w:rPr/>
        <w:t>valor de las importaciones gravadas y en particular debido al precio de combustibles como fuera citado anteriormente. La recaudación tributaria en las aduanas que más aportaron a la recaudación</w:t>
      </w:r>
      <w:r>
        <w:rPr>
          <w:spacing w:val="-33"/>
        </w:rPr>
        <w:t> </w:t>
      </w:r>
      <w:r>
        <w:rPr/>
        <w:t>asociada al comercio exterior, a junio fueron: Puerto Quetzal (aporta el 37.6%) que creció 50.3%, Express Aéreo (aporta el 15.4%) creció en 29.7%, Santo Tomás (aporta el 13%) creció en 32.9%, todas medidas</w:t>
      </w:r>
      <w:r>
        <w:rPr>
          <w:spacing w:val="-9"/>
        </w:rPr>
        <w:t> </w:t>
      </w:r>
      <w:r>
        <w:rPr/>
        <w:t>respecto</w:t>
      </w:r>
      <w:r>
        <w:rPr>
          <w:spacing w:val="-9"/>
        </w:rPr>
        <w:t> </w:t>
      </w:r>
      <w:r>
        <w:rPr/>
        <w:t>a</w:t>
      </w:r>
      <w:r>
        <w:rPr>
          <w:spacing w:val="-10"/>
        </w:rPr>
        <w:t> </w:t>
      </w:r>
      <w:r>
        <w:rPr/>
        <w:t>2020.</w:t>
      </w:r>
      <w:r>
        <w:rPr>
          <w:spacing w:val="36"/>
        </w:rPr>
        <w:t> </w:t>
      </w:r>
      <w:r>
        <w:rPr/>
        <w:t>A</w:t>
      </w:r>
      <w:r>
        <w:rPr>
          <w:spacing w:val="-10"/>
        </w:rPr>
        <w:t> </w:t>
      </w:r>
      <w:r>
        <w:rPr/>
        <w:t>los</w:t>
      </w:r>
      <w:r>
        <w:rPr>
          <w:spacing w:val="-8"/>
        </w:rPr>
        <w:t> </w:t>
      </w:r>
      <w:r>
        <w:rPr/>
        <w:t>resultados</w:t>
      </w:r>
      <w:r>
        <w:rPr>
          <w:spacing w:val="-8"/>
        </w:rPr>
        <w:t> </w:t>
      </w:r>
      <w:r>
        <w:rPr/>
        <w:t>anteriores</w:t>
      </w:r>
      <w:r>
        <w:rPr>
          <w:spacing w:val="-10"/>
        </w:rPr>
        <w:t> </w:t>
      </w:r>
      <w:r>
        <w:rPr/>
        <w:t>hay</w:t>
      </w:r>
      <w:r>
        <w:rPr>
          <w:spacing w:val="-11"/>
        </w:rPr>
        <w:t> </w:t>
      </w:r>
      <w:r>
        <w:rPr/>
        <w:t>que</w:t>
      </w:r>
      <w:r>
        <w:rPr>
          <w:spacing w:val="-9"/>
        </w:rPr>
        <w:t> </w:t>
      </w:r>
      <w:r>
        <w:rPr/>
        <w:t>agregar</w:t>
      </w:r>
      <w:r>
        <w:rPr>
          <w:spacing w:val="-7"/>
        </w:rPr>
        <w:t> </w:t>
      </w:r>
      <w:r>
        <w:rPr/>
        <w:t>el</w:t>
      </w:r>
      <w:r>
        <w:rPr>
          <w:spacing w:val="-7"/>
        </w:rPr>
        <w:t> </w:t>
      </w:r>
      <w:r>
        <w:rPr/>
        <w:t>movimiento</w:t>
      </w:r>
      <w:r>
        <w:rPr>
          <w:spacing w:val="-9"/>
        </w:rPr>
        <w:t> </w:t>
      </w:r>
      <w:r>
        <w:rPr/>
        <w:t>de</w:t>
      </w:r>
      <w:r>
        <w:rPr>
          <w:spacing w:val="-11"/>
        </w:rPr>
        <w:t> </w:t>
      </w:r>
      <w:r>
        <w:rPr/>
        <w:t>contenedores en</w:t>
      </w:r>
      <w:r>
        <w:rPr>
          <w:spacing w:val="-9"/>
        </w:rPr>
        <w:t> </w:t>
      </w:r>
      <w:r>
        <w:rPr/>
        <w:t>la</w:t>
      </w:r>
      <w:r>
        <w:rPr>
          <w:spacing w:val="-9"/>
        </w:rPr>
        <w:t> </w:t>
      </w:r>
      <w:r>
        <w:rPr/>
        <w:t>Empresa</w:t>
      </w:r>
      <w:r>
        <w:rPr>
          <w:spacing w:val="-11"/>
        </w:rPr>
        <w:t> </w:t>
      </w:r>
      <w:r>
        <w:rPr/>
        <w:t>Portuaria</w:t>
      </w:r>
      <w:r>
        <w:rPr>
          <w:spacing w:val="-12"/>
        </w:rPr>
        <w:t> </w:t>
      </w:r>
      <w:r>
        <w:rPr/>
        <w:t>Quetzal</w:t>
      </w:r>
      <w:r>
        <w:rPr>
          <w:spacing w:val="-6"/>
        </w:rPr>
        <w:t> </w:t>
      </w:r>
      <w:r>
        <w:rPr/>
        <w:t>-EPQ-</w:t>
      </w:r>
      <w:r>
        <w:rPr>
          <w:spacing w:val="-12"/>
        </w:rPr>
        <w:t> </w:t>
      </w:r>
      <w:r>
        <w:rPr/>
        <w:t>y</w:t>
      </w:r>
      <w:r>
        <w:rPr>
          <w:spacing w:val="-12"/>
        </w:rPr>
        <w:t> </w:t>
      </w:r>
      <w:r>
        <w:rPr/>
        <w:t>la</w:t>
      </w:r>
      <w:r>
        <w:rPr>
          <w:spacing w:val="-9"/>
        </w:rPr>
        <w:t> </w:t>
      </w:r>
      <w:r>
        <w:rPr/>
        <w:t>Terminal</w:t>
      </w:r>
      <w:r>
        <w:rPr>
          <w:spacing w:val="-7"/>
        </w:rPr>
        <w:t> </w:t>
      </w:r>
      <w:r>
        <w:rPr/>
        <w:t>de</w:t>
      </w:r>
      <w:r>
        <w:rPr>
          <w:spacing w:val="-9"/>
        </w:rPr>
        <w:t> </w:t>
      </w:r>
      <w:r>
        <w:rPr/>
        <w:t>Contenedores</w:t>
      </w:r>
      <w:r>
        <w:rPr>
          <w:spacing w:val="-9"/>
        </w:rPr>
        <w:t> </w:t>
      </w:r>
      <w:r>
        <w:rPr/>
        <w:t>Quetzal</w:t>
      </w:r>
      <w:r>
        <w:rPr>
          <w:spacing w:val="-7"/>
        </w:rPr>
        <w:t> </w:t>
      </w:r>
      <w:r>
        <w:rPr/>
        <w:t>-TCQ-,</w:t>
      </w:r>
      <w:r>
        <w:rPr>
          <w:spacing w:val="-9"/>
        </w:rPr>
        <w:t> </w:t>
      </w:r>
      <w:r>
        <w:rPr/>
        <w:t>el</w:t>
      </w:r>
      <w:r>
        <w:rPr>
          <w:spacing w:val="-8"/>
        </w:rPr>
        <w:t> </w:t>
      </w:r>
      <w:r>
        <w:rPr/>
        <w:t>cual</w:t>
      </w:r>
      <w:r>
        <w:rPr>
          <w:spacing w:val="-10"/>
        </w:rPr>
        <w:t> </w:t>
      </w:r>
      <w:r>
        <w:rPr/>
        <w:t>a</w:t>
      </w:r>
      <w:r>
        <w:rPr>
          <w:spacing w:val="-11"/>
        </w:rPr>
        <w:t> </w:t>
      </w:r>
      <w:r>
        <w:rPr/>
        <w:t>junio muestra</w:t>
      </w:r>
      <w:r>
        <w:rPr>
          <w:spacing w:val="-14"/>
        </w:rPr>
        <w:t> </w:t>
      </w:r>
      <w:r>
        <w:rPr/>
        <w:t>un</w:t>
      </w:r>
      <w:r>
        <w:rPr>
          <w:spacing w:val="-13"/>
        </w:rPr>
        <w:t> </w:t>
      </w:r>
      <w:r>
        <w:rPr/>
        <w:t>crecimiento</w:t>
      </w:r>
      <w:r>
        <w:rPr>
          <w:spacing w:val="-13"/>
        </w:rPr>
        <w:t> </w:t>
      </w:r>
      <w:r>
        <w:rPr/>
        <w:t>de</w:t>
      </w:r>
      <w:r>
        <w:rPr>
          <w:spacing w:val="-13"/>
        </w:rPr>
        <w:t> </w:t>
      </w:r>
      <w:r>
        <w:rPr/>
        <w:t>32.6%,</w:t>
      </w:r>
      <w:r>
        <w:rPr>
          <w:spacing w:val="-13"/>
        </w:rPr>
        <w:t> </w:t>
      </w:r>
      <w:r>
        <w:rPr/>
        <w:t>este</w:t>
      </w:r>
      <w:r>
        <w:rPr>
          <w:spacing w:val="-15"/>
        </w:rPr>
        <w:t> </w:t>
      </w:r>
      <w:r>
        <w:rPr/>
        <w:t>resultado</w:t>
      </w:r>
      <w:r>
        <w:rPr>
          <w:spacing w:val="-15"/>
        </w:rPr>
        <w:t> </w:t>
      </w:r>
      <w:r>
        <w:rPr/>
        <w:t>indica</w:t>
      </w:r>
      <w:r>
        <w:rPr>
          <w:spacing w:val="-15"/>
        </w:rPr>
        <w:t> </w:t>
      </w:r>
      <w:r>
        <w:rPr/>
        <w:t>que</w:t>
      </w:r>
      <w:r>
        <w:rPr>
          <w:spacing w:val="-13"/>
        </w:rPr>
        <w:t> </w:t>
      </w:r>
      <w:r>
        <w:rPr/>
        <w:t>en</w:t>
      </w:r>
      <w:r>
        <w:rPr>
          <w:spacing w:val="-13"/>
        </w:rPr>
        <w:t> </w:t>
      </w:r>
      <w:r>
        <w:rPr/>
        <w:t>2021</w:t>
      </w:r>
      <w:r>
        <w:rPr>
          <w:spacing w:val="-13"/>
        </w:rPr>
        <w:t> </w:t>
      </w:r>
      <w:r>
        <w:rPr/>
        <w:t>se</w:t>
      </w:r>
      <w:r>
        <w:rPr>
          <w:spacing w:val="-13"/>
        </w:rPr>
        <w:t> </w:t>
      </w:r>
      <w:r>
        <w:rPr/>
        <w:t>movieron</w:t>
      </w:r>
      <w:r>
        <w:rPr>
          <w:spacing w:val="-13"/>
        </w:rPr>
        <w:t> </w:t>
      </w:r>
      <w:r>
        <w:rPr/>
        <w:t>12,214</w:t>
      </w:r>
      <w:r>
        <w:rPr>
          <w:spacing w:val="-13"/>
        </w:rPr>
        <w:t> </w:t>
      </w:r>
      <w:r>
        <w:rPr/>
        <w:t>contenedores más que los reportados en junio de 2020, este resultado positivo afecta de manera directa a la recaudación</w:t>
      </w:r>
      <w:r>
        <w:rPr>
          <w:spacing w:val="-4"/>
        </w:rPr>
        <w:t> </w:t>
      </w:r>
      <w:r>
        <w:rPr/>
        <w:t>tributaria.</w:t>
      </w:r>
    </w:p>
    <w:p>
      <w:pPr>
        <w:pStyle w:val="BodyText"/>
        <w:spacing w:before="9"/>
        <w:rPr>
          <w:sz w:val="14"/>
        </w:rPr>
      </w:pPr>
    </w:p>
    <w:p>
      <w:pPr>
        <w:spacing w:after="0"/>
        <w:rPr>
          <w:sz w:val="14"/>
        </w:rPr>
        <w:sectPr>
          <w:pgSz w:w="12240" w:h="15840"/>
          <w:pgMar w:header="715" w:footer="957" w:top="1240" w:bottom="1140" w:left="1140" w:right="0"/>
        </w:sectPr>
      </w:pPr>
    </w:p>
    <w:p>
      <w:pPr>
        <w:spacing w:line="276" w:lineRule="auto" w:before="91"/>
        <w:ind w:left="855" w:right="277" w:firstLine="0"/>
        <w:jc w:val="center"/>
        <w:rPr>
          <w:b/>
          <w:sz w:val="20"/>
        </w:rPr>
      </w:pPr>
      <w:bookmarkStart w:name="_bookmark119" w:id="147"/>
      <w:bookmarkEnd w:id="147"/>
      <w:r>
        <w:rPr/>
      </w:r>
      <w:r>
        <w:rPr>
          <w:b/>
          <w:i/>
          <w:sz w:val="20"/>
        </w:rPr>
        <w:t>Gráfico 60. </w:t>
      </w:r>
      <w:r>
        <w:rPr>
          <w:b/>
          <w:sz w:val="20"/>
        </w:rPr>
        <w:t>Importaciones Gravadas y Movimiento de Contenedores</w:t>
      </w:r>
    </w:p>
    <w:p>
      <w:pPr>
        <w:pStyle w:val="Heading3"/>
        <w:spacing w:line="250" w:lineRule="exact"/>
        <w:ind w:left="855" w:right="275"/>
        <w:jc w:val="center"/>
      </w:pPr>
      <w:r>
        <w:rPr/>
        <w:t>Enero – junio 2021</w:t>
      </w:r>
    </w:p>
    <w:p>
      <w:pPr>
        <w:spacing w:before="34"/>
        <w:ind w:left="851" w:right="277" w:firstLine="0"/>
        <w:jc w:val="center"/>
        <w:rPr>
          <w:sz w:val="20"/>
        </w:rPr>
      </w:pPr>
      <w:r>
        <w:rPr>
          <w:sz w:val="20"/>
        </w:rPr>
        <w:t>Variación interanual</w:t>
      </w:r>
    </w:p>
    <w:p>
      <w:pPr>
        <w:spacing w:before="72"/>
        <w:ind w:left="601" w:right="0" w:firstLine="0"/>
        <w:jc w:val="left"/>
        <w:rPr>
          <w:sz w:val="14"/>
        </w:rPr>
      </w:pPr>
      <w:r>
        <w:rPr/>
        <w:pict>
          <v:group style="position:absolute;margin-left:105.480003pt;margin-top:6.312153pt;width:182.4pt;height:109.95pt;mso-position-horizontal-relative:page;mso-position-vertical-relative:paragraph;z-index:252453888" coordorigin="2110,126" coordsize="3648,2199">
            <v:shape style="position:absolute;left:2116;top:157;width:3634;height:2160" type="#_x0000_t75" stroked="false">
              <v:imagedata r:id="rId73" o:title=""/>
            </v:shape>
            <v:shape style="position:absolute;left:0;top:2816;width:3634;height:2160" coordorigin="0,2817" coordsize="3634,2160" path="m2117,2318l5750,2318m2117,1454l5750,1454m2117,1022l5750,1022m2117,590l5750,590m2117,158l5750,158e" filled="false" stroked="true" strokeweight=".72pt" strokecolor="#d9d9d9">
              <v:path arrowok="t"/>
              <v:stroke dashstyle="solid"/>
            </v:shape>
            <v:shape style="position:absolute;left:0;top:4976;width:3029;height:2160" coordorigin="0,4977" coordsize="3029,2160" path="m2419,158l2419,2318m3026,158l3026,2318m3631,158l3631,2318m4236,158l4236,2318m4841,158l4841,2318m5448,158l5448,2318e" filled="false" stroked="true" strokeweight=".72pt" strokecolor="#d9d9d9">
              <v:path arrowok="t"/>
              <v:stroke dashstyle="solid"/>
            </v:shape>
            <v:shape style="position:absolute;left:0;top:4976;width:3634;height:2160" coordorigin="0,4977" coordsize="3634,2160" path="m2117,158l2117,2318m2724,158l2724,2318m3329,158l3329,2318m3934,158l3934,2318m4538,158l4538,2318m5146,158l5146,2318m5750,158l5750,2318e" filled="false" stroked="true" strokeweight=".72pt" strokecolor="#d9d9d9">
              <v:path arrowok="t"/>
              <v:stroke dashstyle="solid"/>
            </v:shape>
            <v:line style="position:absolute" from="2117,1886" to="5750,1886" stroked="true" strokeweight=".72pt" strokecolor="#ff0000">
              <v:stroke dashstyle="solid"/>
            </v:line>
            <v:shape style="position:absolute;left:2294;top:1835;width:243;height:243" type="#_x0000_t75" stroked="false">
              <v:imagedata r:id="rId74" o:title=""/>
            </v:shape>
            <v:shape style="position:absolute;left:2901;top:1446;width:243;height:243" type="#_x0000_t75" stroked="false">
              <v:imagedata r:id="rId74" o:title=""/>
            </v:shape>
            <v:shape style="position:absolute;left:3506;top:896;width:243;height:243" type="#_x0000_t75" stroked="false">
              <v:imagedata r:id="rId74" o:title=""/>
            </v:shape>
            <v:shape style="position:absolute;left:4111;top:579;width:243;height:243" type="#_x0000_t75" stroked="false">
              <v:imagedata r:id="rId74" o:title=""/>
            </v:shape>
            <v:shape style="position:absolute;left:4716;top:291;width:243;height:243" type="#_x0000_t75" stroked="false">
              <v:imagedata r:id="rId74" o:title=""/>
            </v:shape>
            <v:shape style="position:absolute;left:5323;top:126;width:243;height:243" type="#_x0000_t75" stroked="false">
              <v:imagedata r:id="rId74" o:title=""/>
            </v:shape>
            <v:shape style="position:absolute;left:2337;top:167;width:3185;height:1870" type="#_x0000_t75" stroked="false">
              <v:imagedata r:id="rId75" o:title=""/>
            </v:shape>
            <v:shape style="position:absolute;left:2420;top:249;width:3027;height:1712" coordorigin="2420,250" coordsize="3027,1712" path="m2420,1961l2488,1919,2555,1877,2622,1837,2689,1796,2757,1755,2824,1713,2891,1668,2958,1621,3026,1571,3086,1521,3147,1468,3207,1411,3268,1352,3328,1292,3389,1232,3449,1175,3510,1119,3570,1068,3631,1022,3698,976,3766,935,3833,898,3900,863,3967,831,4034,799,4102,768,4169,737,4236,704,4312,666,4388,627,4463,589,4539,551,4615,514,4690,479,4766,446,4842,416,4917,390,4993,366,5068,345,5144,325,5220,307,5295,289,5371,270,5447,250e" filled="false" stroked="true" strokeweight="1.8pt" strokecolor="#000000">
              <v:path arrowok="t"/>
              <v:stroke dashstyle="dot"/>
            </v:shape>
            <v:shape style="position:absolute;left:2354;top:1895;width:123;height:123" type="#_x0000_t75" stroked="false">
              <v:imagedata r:id="rId76" o:title=""/>
            </v:shape>
            <v:shape style="position:absolute;left:2961;top:1506;width:123;height:123" type="#_x0000_t75" stroked="false">
              <v:imagedata r:id="rId76" o:title=""/>
            </v:shape>
            <v:shape style="position:absolute;left:3566;top:956;width:123;height:123" type="#_x0000_t75" stroked="false">
              <v:imagedata r:id="rId76" o:title=""/>
            </v:shape>
            <v:shape style="position:absolute;left:4171;top:639;width:123;height:123" type="#_x0000_t75" stroked="false">
              <v:imagedata r:id="rId76" o:title=""/>
            </v:shape>
            <v:shape style="position:absolute;left:4776;top:351;width:123;height:123" type="#_x0000_t75" stroked="false">
              <v:imagedata r:id="rId76" o:title=""/>
            </v:shape>
            <v:shape style="position:absolute;left:5383;top:186;width:123;height:123" type="#_x0000_t75" stroked="false">
              <v:imagedata r:id="rId76" o:title=""/>
            </v:shape>
            <v:shape style="position:absolute;left:2419;top:427;width:3029;height:1661" coordorigin="2419,427" coordsize="3029,1661" path="m2419,2087l2487,2049,2554,2017,2621,1988,2688,1959,2756,1927,2823,1890,2890,1843,2958,1785,3025,1713,3063,1663,3101,1606,3139,1542,3176,1472,3214,1398,3252,1321,3290,1242,3328,1163,3366,1083,3404,1005,3441,930,3479,859,3517,793,3555,733,3593,680,3698,572,3765,521,3833,482,3900,454,3967,436,4035,427,4102,427,4169,434,4236,448,4347,509,4402,558,4457,616,4512,678,4567,741,4622,801,4677,854,4732,897,4787,926,4842,938,4903,930,4963,907,5024,870,5085,822,5145,767,5206,707,5266,646,5327,585,5387,528,5448,478e" filled="false" stroked="true" strokeweight="1.2pt" strokecolor="#ff0000">
              <v:path arrowok="t"/>
              <v:stroke dashstyle="dash"/>
            </v:shape>
            <v:shape style="position:absolute;left:2387;top:2055;width:60;height:60" coordorigin="2387,2056" coordsize="60,60" path="m2417,2056l2406,2058,2396,2064,2390,2074,2387,2086,2390,2097,2396,2107,2406,2113,2417,2116,2429,2113,2439,2107,2445,2097,2447,2086,2445,2074,2439,2064,2429,2058,2417,2056xe" filled="true" fillcolor="#ffffff" stroked="false">
              <v:path arrowok="t"/>
              <v:fill type="solid"/>
            </v:shape>
            <v:shape style="position:absolute;left:2387;top:2055;width:60;height:60" coordorigin="2387,2056" coordsize="60,60" path="m2447,2086l2445,2097,2439,2107,2429,2113,2417,2116,2406,2113,2396,2107,2390,2097,2387,2086,2390,2074,2396,2064,2406,2058,2417,2056,2429,2058,2439,2064,2445,2074,2447,2086xe" filled="false" stroked="true" strokeweight="1.2pt" strokecolor="#ff0000">
              <v:path arrowok="t"/>
              <v:stroke dashstyle="solid"/>
            </v:shape>
            <v:shape style="position:absolute;left:2994;top:1681;width:60;height:60" coordorigin="2995,1681" coordsize="60,60" path="m3025,1681l3013,1684,3003,1690,2997,1700,2995,1711,2997,1723,3003,1733,3013,1739,3025,1741,3036,1739,3046,1733,3052,1723,3055,1711,3052,1700,3046,1690,3036,1684,3025,1681xe" filled="true" fillcolor="#ffffff" stroked="false">
              <v:path arrowok="t"/>
              <v:fill type="solid"/>
            </v:shape>
            <v:shape style="position:absolute;left:2994;top:1681;width:60;height:60" coordorigin="2995,1681" coordsize="60,60" path="m3055,1711l3052,1723,3046,1733,3036,1739,3025,1741,3013,1739,3003,1733,2997,1723,2995,1711,2997,1700,3003,1690,3013,1684,3025,1681,3036,1684,3046,1690,3052,1700,3055,1711xe" filled="false" stroked="true" strokeweight="1.2pt" strokecolor="#ff0000">
              <v:path arrowok="t"/>
              <v:stroke dashstyle="solid"/>
            </v:shape>
            <v:shape style="position:absolute;left:3599;top:606;width:60;height:60" coordorigin="3599,606" coordsize="60,60" path="m3629,606l3618,608,3608,615,3602,624,3599,636,3602,648,3608,657,3618,664,3629,666,3641,664,3651,657,3657,648,3659,636,3657,624,3651,615,3641,608,3629,606xe" filled="true" fillcolor="#ffffff" stroked="false">
              <v:path arrowok="t"/>
              <v:fill type="solid"/>
            </v:shape>
            <v:shape style="position:absolute;left:3599;top:606;width:60;height:60" coordorigin="3599,606" coordsize="60,60" path="m3659,636l3657,648,3651,657,3641,664,3629,666,3618,664,3608,657,3602,648,3599,636,3602,624,3608,615,3618,608,3629,606,3641,608,3651,615,3657,624,3659,636xe" filled="false" stroked="true" strokeweight="1.2pt" strokecolor="#ff0000">
              <v:path arrowok="t"/>
              <v:stroke dashstyle="solid"/>
            </v:shape>
            <v:shape style="position:absolute;left:4204;top:416;width:60;height:60" coordorigin="4204,417" coordsize="60,60" path="m4234,417l4223,419,4213,425,4207,435,4204,447,4207,458,4213,468,4223,474,4234,477,4246,474,4255,468,4262,458,4264,447,4262,435,4255,425,4246,419,4234,417xe" filled="true" fillcolor="#ffffff" stroked="false">
              <v:path arrowok="t"/>
              <v:fill type="solid"/>
            </v:shape>
            <v:shape style="position:absolute;left:4204;top:416;width:60;height:60" coordorigin="4204,417" coordsize="60,60" path="m4264,447l4262,458,4255,468,4246,474,4234,477,4223,474,4213,468,4207,458,4204,447,4207,435,4213,425,4223,419,4234,417,4246,419,4255,425,4262,435,4264,447xe" filled="false" stroked="true" strokeweight="1.2pt" strokecolor="#ff0000">
              <v:path arrowok="t"/>
              <v:stroke dashstyle="solid"/>
            </v:shape>
            <v:shape style="position:absolute;left:4809;top:906;width:60;height:60" coordorigin="4809,906" coordsize="60,60" path="m4839,906l4827,908,4818,915,4811,924,4809,936,4811,948,4818,957,4827,964,4839,966,4851,964,4860,957,4867,948,4869,936,4867,924,4860,915,4851,908,4839,906xe" filled="true" fillcolor="#ffffff" stroked="false">
              <v:path arrowok="t"/>
              <v:fill type="solid"/>
            </v:shape>
            <v:shape style="position:absolute;left:4809;top:906;width:60;height:60" coordorigin="4809,906" coordsize="60,60" path="m4869,936l4867,948,4860,957,4851,964,4839,966,4827,964,4818,957,4811,948,4809,936,4811,924,4818,915,4827,908,4839,906,4851,908,4860,915,4867,924,4869,936xe" filled="false" stroked="true" strokeweight="1.2pt" strokecolor="#ff0000">
              <v:path arrowok="t"/>
              <v:stroke dashstyle="solid"/>
            </v:shape>
            <v:shape style="position:absolute;left:5416;top:447;width:60;height:60" coordorigin="5416,448" coordsize="60,60" path="m5446,448l5435,450,5425,456,5419,466,5416,478,5419,489,5425,499,5435,505,5446,508,5458,505,5467,499,5474,489,5476,478,5474,466,5467,456,5458,450,5446,448xe" filled="true" fillcolor="#ffffff" stroked="false">
              <v:path arrowok="t"/>
              <v:fill type="solid"/>
            </v:shape>
            <v:shape style="position:absolute;left:5416;top:447;width:60;height:60" coordorigin="5416,448" coordsize="60,60" path="m5476,478l5474,489,5467,499,5458,505,5446,508,5435,505,5425,499,5419,489,5416,478,5419,466,5425,456,5435,450,5446,448,5458,450,5467,456,5474,466,5476,478xe" filled="false" stroked="true" strokeweight="1.2pt" strokecolor="#ff0000">
              <v:path arrowok="t"/>
              <v:stroke dashstyle="solid"/>
            </v:shape>
            <v:line style="position:absolute" from="2419,1960" to="2359,1787" stroked="true" strokeweight=".72pt" strokecolor="#a6a6a6">
              <v:stroke dashstyle="solid"/>
            </v:line>
            <v:shape style="position:absolute;left:2918;top:1393;width:108;height:178" coordorigin="2918,1394" coordsize="108,178" path="m3026,1571l3007,1394,2918,1394e" filled="false" stroked="true" strokeweight=".72pt" strokecolor="#a6a6a6">
              <v:path arrowok="t"/>
              <v:stroke dashstyle="solid"/>
            </v:shape>
            <v:shape style="position:absolute;left:5323;top:147;width:125;height:104" coordorigin="5323,148" coordsize="125,104" path="m5448,251l5412,148,5323,148e" filled="false" stroked="true" strokeweight=".72pt" strokecolor="#a6a6a6">
              <v:path arrowok="t"/>
              <v:stroke dashstyle="solid"/>
            </v:shape>
            <v:shape style="position:absolute;left:2419;top:2087;width:120;height:92" coordorigin="2419,2087" coordsize="120,92" path="m2419,2087l2448,2178,2539,2178e" filled="false" stroked="true" strokeweight=".72pt" strokecolor="#a6a6a6">
              <v:path arrowok="t"/>
              <v:stroke dashstyle="solid"/>
            </v:shape>
            <v:shape style="position:absolute;left:3026;top:1712;width:197;height:34" coordorigin="3026,1713" coordsize="197,34" path="m3026,1713l3132,1746,3223,1746e" filled="false" stroked="true" strokeweight=".72pt" strokecolor="#a6a6a6">
              <v:path arrowok="t"/>
              <v:stroke dashstyle="solid"/>
            </v:shape>
            <v:line style="position:absolute" from="5448,479" to="5498,626" stroked="true" strokeweight=".72pt" strokecolor="#a6a6a6">
              <v:stroke dashstyle="solid"/>
            </v:line>
            <v:shape style="position:absolute;left:2731;top:1892;width:288;height:418" type="#_x0000_t202" filled="false" stroked="false">
              <v:textbox inset="0,0,0,0">
                <w:txbxContent>
                  <w:p>
                    <w:pPr>
                      <w:spacing w:line="240" w:lineRule="auto" w:before="0"/>
                      <w:rPr>
                        <w:sz w:val="12"/>
                      </w:rPr>
                    </w:pPr>
                  </w:p>
                  <w:p>
                    <w:pPr>
                      <w:spacing w:before="85"/>
                      <w:ind w:left="-16" w:right="0" w:firstLine="0"/>
                      <w:jc w:val="left"/>
                      <w:rPr>
                        <w:b/>
                        <w:sz w:val="11"/>
                      </w:rPr>
                    </w:pPr>
                    <w:r>
                      <w:rPr>
                        <w:b/>
                        <w:color w:val="FF0000"/>
                        <w:sz w:val="11"/>
                      </w:rPr>
                      <w:t>7%</w:t>
                    </w:r>
                  </w:p>
                </w:txbxContent>
              </v:textbox>
              <w10:wrap type="none"/>
            </v:shape>
            <v:shape style="position:absolute;left:2426;top:1892;width:291;height:418" type="#_x0000_t202" filled="false" stroked="false">
              <v:textbox inset="0,0,0,0">
                <w:txbxContent>
                  <w:p>
                    <w:pPr>
                      <w:spacing w:line="240" w:lineRule="auto" w:before="0"/>
                      <w:rPr>
                        <w:sz w:val="12"/>
                      </w:rPr>
                    </w:pPr>
                  </w:p>
                  <w:p>
                    <w:pPr>
                      <w:spacing w:before="85"/>
                      <w:ind w:left="169" w:right="0" w:firstLine="0"/>
                      <w:jc w:val="left"/>
                      <w:rPr>
                        <w:b/>
                        <w:sz w:val="11"/>
                      </w:rPr>
                    </w:pPr>
                    <w:r>
                      <w:rPr>
                        <w:b/>
                        <w:color w:val="FF0000"/>
                        <w:sz w:val="11"/>
                      </w:rPr>
                      <w:t>-4.</w:t>
                    </w:r>
                  </w:p>
                </w:txbxContent>
              </v:textbox>
              <w10:wrap type="none"/>
            </v:shape>
            <v:shape style="position:absolute;left:3336;top:1460;width:288;height:418" type="#_x0000_t202" filled="false" stroked="false">
              <v:textbox inset="0,0,0,0">
                <w:txbxContent>
                  <w:p>
                    <w:pPr>
                      <w:spacing w:line="240" w:lineRule="auto" w:before="0"/>
                      <w:rPr>
                        <w:sz w:val="12"/>
                      </w:rPr>
                    </w:pPr>
                  </w:p>
                  <w:p>
                    <w:pPr>
                      <w:spacing w:before="87"/>
                      <w:ind w:left="26" w:right="0" w:firstLine="0"/>
                      <w:jc w:val="left"/>
                      <w:rPr>
                        <w:b/>
                        <w:sz w:val="11"/>
                      </w:rPr>
                    </w:pPr>
                    <w:r>
                      <w:rPr>
                        <w:b/>
                        <w:color w:val="FF0000"/>
                        <w:sz w:val="11"/>
                      </w:rPr>
                      <w:t>0%</w:t>
                    </w:r>
                  </w:p>
                </w:txbxContent>
              </v:textbox>
              <w10:wrap type="none"/>
            </v:shape>
            <v:shape style="position:absolute;left:3033;top:1460;width:288;height:418" type="#_x0000_t202" filled="false" stroked="false">
              <v:textbox inset="0,0,0,0">
                <w:txbxContent>
                  <w:p>
                    <w:pPr>
                      <w:spacing w:line="240" w:lineRule="auto" w:before="0"/>
                      <w:rPr>
                        <w:sz w:val="12"/>
                      </w:rPr>
                    </w:pPr>
                  </w:p>
                  <w:p>
                    <w:pPr>
                      <w:spacing w:before="87"/>
                      <w:ind w:left="0" w:right="-44" w:firstLine="0"/>
                      <w:jc w:val="right"/>
                      <w:rPr>
                        <w:b/>
                        <w:sz w:val="11"/>
                      </w:rPr>
                    </w:pPr>
                    <w:r>
                      <w:rPr>
                        <w:b/>
                        <w:color w:val="FF0000"/>
                        <w:sz w:val="11"/>
                      </w:rPr>
                      <w:t>4.</w:t>
                    </w:r>
                  </w:p>
                </w:txbxContent>
              </v:textbox>
              <w10:wrap type="none"/>
            </v:shape>
            <v:shape style="position:absolute;left:2124;top:1460;width:288;height:418" type="#_x0000_t202" filled="false" stroked="false">
              <v:textbox inset="0,0,0,0">
                <w:txbxContent>
                  <w:p>
                    <w:pPr>
                      <w:spacing w:line="240" w:lineRule="auto" w:before="0"/>
                      <w:rPr>
                        <w:sz w:val="14"/>
                      </w:rPr>
                    </w:pPr>
                  </w:p>
                  <w:p>
                    <w:pPr>
                      <w:spacing w:before="1"/>
                      <w:ind w:left="79" w:right="-116" w:firstLine="0"/>
                      <w:jc w:val="left"/>
                      <w:rPr>
                        <w:b/>
                        <w:sz w:val="12"/>
                      </w:rPr>
                    </w:pPr>
                    <w:r>
                      <w:rPr>
                        <w:b/>
                        <w:color w:val="404040"/>
                        <w:sz w:val="12"/>
                      </w:rPr>
                      <w:t>-1.7%</w:t>
                    </w:r>
                  </w:p>
                </w:txbxContent>
              </v:textbox>
              <w10:wrap type="none"/>
            </v:shape>
            <v:shape style="position:absolute;left:4848;top:1028;width:291;height:418" type="#_x0000_t202" filled="false" stroked="false">
              <v:textbox inset="0,0,0,0">
                <w:txbxContent>
                  <w:p>
                    <w:pPr>
                      <w:spacing w:line="103" w:lineRule="exact" w:before="0"/>
                      <w:ind w:left="-23" w:right="0" w:firstLine="0"/>
                      <w:jc w:val="left"/>
                      <w:rPr>
                        <w:b/>
                        <w:sz w:val="11"/>
                      </w:rPr>
                    </w:pPr>
                    <w:r>
                      <w:rPr>
                        <w:b/>
                        <w:color w:val="FF0000"/>
                        <w:sz w:val="11"/>
                      </w:rPr>
                      <w:t>9%</w:t>
                    </w:r>
                  </w:p>
                </w:txbxContent>
              </v:textbox>
              <w10:wrap type="none"/>
            </v:shape>
            <v:shape style="position:absolute;left:4545;top:1028;width:288;height:418" type="#_x0000_t202" filled="false" stroked="false">
              <v:textbox inset="0,0,0,0">
                <w:txbxContent>
                  <w:p>
                    <w:pPr>
                      <w:spacing w:line="103" w:lineRule="exact" w:before="0"/>
                      <w:ind w:left="141" w:right="0" w:firstLine="0"/>
                      <w:jc w:val="left"/>
                      <w:rPr>
                        <w:b/>
                        <w:sz w:val="11"/>
                      </w:rPr>
                    </w:pPr>
                    <w:r>
                      <w:rPr>
                        <w:b/>
                        <w:color w:val="FF0000"/>
                        <w:sz w:val="11"/>
                      </w:rPr>
                      <w:t>21.</w:t>
                    </w:r>
                  </w:p>
                </w:txbxContent>
              </v:textbox>
              <w10:wrap type="none"/>
            </v:shape>
            <v:shape style="position:absolute;left:3638;top:1028;width:288;height:418" type="#_x0000_t202" filled="false" stroked="false">
              <v:textbox inset="0,0,0,0">
                <w:txbxContent>
                  <w:p>
                    <w:pPr>
                      <w:spacing w:line="240" w:lineRule="auto" w:before="9"/>
                      <w:rPr>
                        <w:sz w:val="11"/>
                      </w:rPr>
                    </w:pPr>
                  </w:p>
                  <w:p>
                    <w:pPr>
                      <w:spacing w:before="0"/>
                      <w:ind w:left="-21" w:right="0" w:firstLine="0"/>
                      <w:jc w:val="left"/>
                      <w:rPr>
                        <w:b/>
                        <w:sz w:val="12"/>
                      </w:rPr>
                    </w:pPr>
                    <w:r>
                      <w:rPr>
                        <w:b/>
                        <w:color w:val="404040"/>
                        <w:sz w:val="12"/>
                      </w:rPr>
                      <w:t>0%</w:t>
                    </w:r>
                  </w:p>
                </w:txbxContent>
              </v:textbox>
              <w10:wrap type="none"/>
            </v:shape>
            <v:shape style="position:absolute;left:3336;top:1028;width:288;height:418" type="#_x0000_t202" filled="false" stroked="false">
              <v:textbox inset="0,0,0,0">
                <w:txbxContent>
                  <w:p>
                    <w:pPr>
                      <w:spacing w:line="240" w:lineRule="auto" w:before="9"/>
                      <w:rPr>
                        <w:sz w:val="11"/>
                      </w:rPr>
                    </w:pPr>
                  </w:p>
                  <w:p>
                    <w:pPr>
                      <w:spacing w:before="0"/>
                      <w:ind w:left="130" w:right="0" w:firstLine="0"/>
                      <w:jc w:val="left"/>
                      <w:rPr>
                        <w:b/>
                        <w:sz w:val="12"/>
                      </w:rPr>
                    </w:pPr>
                    <w:r>
                      <w:rPr>
                        <w:b/>
                        <w:color w:val="404040"/>
                        <w:sz w:val="12"/>
                      </w:rPr>
                      <w:t>20.</w:t>
                    </w:r>
                  </w:p>
                </w:txbxContent>
              </v:textbox>
              <w10:wrap type="none"/>
            </v:shape>
            <v:shape style="position:absolute;left:2426;top:1028;width:291;height:418" type="#_x0000_t202" filled="false" stroked="false">
              <v:textbox inset="0,0,0,0">
                <w:txbxContent>
                  <w:p>
                    <w:pPr>
                      <w:spacing w:line="240" w:lineRule="auto" w:before="0"/>
                      <w:rPr>
                        <w:sz w:val="12"/>
                      </w:rPr>
                    </w:pPr>
                  </w:p>
                  <w:p>
                    <w:pPr>
                      <w:spacing w:line="240" w:lineRule="auto" w:before="9"/>
                      <w:rPr>
                        <w:sz w:val="13"/>
                      </w:rPr>
                    </w:pPr>
                  </w:p>
                  <w:p>
                    <w:pPr>
                      <w:spacing w:line="120" w:lineRule="exact" w:before="1"/>
                      <w:ind w:left="160" w:right="-144" w:firstLine="0"/>
                      <w:jc w:val="left"/>
                      <w:rPr>
                        <w:b/>
                        <w:sz w:val="12"/>
                      </w:rPr>
                    </w:pPr>
                    <w:r>
                      <w:rPr>
                        <w:b/>
                        <w:color w:val="404040"/>
                        <w:sz w:val="12"/>
                      </w:rPr>
                      <w:t>7.3%</w:t>
                    </w:r>
                  </w:p>
                </w:txbxContent>
              </v:textbox>
              <w10:wrap type="none"/>
            </v:shape>
            <v:shape style="position:absolute;left:5455;top:596;width:288;height:418" type="#_x0000_t202" filled="false" stroked="false">
              <v:textbox inset="0,0,0,0">
                <w:txbxContent>
                  <w:p>
                    <w:pPr>
                      <w:spacing w:before="60"/>
                      <w:ind w:left="29" w:right="0" w:firstLine="0"/>
                      <w:jc w:val="left"/>
                      <w:rPr>
                        <w:b/>
                        <w:sz w:val="11"/>
                      </w:rPr>
                    </w:pPr>
                    <w:r>
                      <w:rPr>
                        <w:b/>
                        <w:color w:val="FF0000"/>
                        <w:sz w:val="11"/>
                      </w:rPr>
                      <w:t>6%</w:t>
                    </w:r>
                  </w:p>
                </w:txbxContent>
              </v:textbox>
              <w10:wrap type="none"/>
            </v:shape>
            <v:shape style="position:absolute;left:5152;top:596;width:288;height:418" type="#_x0000_t202" filled="false" stroked="false">
              <v:textbox inset="0,0,0,0">
                <w:txbxContent>
                  <w:p>
                    <w:pPr>
                      <w:spacing w:before="60"/>
                      <w:ind w:left="0" w:right="-44" w:firstLine="0"/>
                      <w:jc w:val="right"/>
                      <w:rPr>
                        <w:b/>
                        <w:sz w:val="11"/>
                      </w:rPr>
                    </w:pPr>
                    <w:r>
                      <w:rPr>
                        <w:b/>
                        <w:color w:val="FF0000"/>
                        <w:sz w:val="11"/>
                      </w:rPr>
                      <w:t>32.</w:t>
                    </w:r>
                  </w:p>
                </w:txbxContent>
              </v:textbox>
              <w10:wrap type="none"/>
            </v:shape>
            <v:shape style="position:absolute;left:4848;top:596;width:291;height:418" type="#_x0000_t202" filled="false" stroked="false">
              <v:textbox inset="0,0,0,0">
                <w:txbxContent>
                  <w:p>
                    <w:pPr>
                      <w:spacing w:line="100" w:lineRule="exact" w:before="0"/>
                      <w:ind w:left="-19" w:right="0" w:firstLine="0"/>
                      <w:jc w:val="left"/>
                      <w:rPr>
                        <w:b/>
                        <w:sz w:val="12"/>
                      </w:rPr>
                    </w:pPr>
                    <w:r>
                      <w:rPr>
                        <w:b/>
                        <w:color w:val="404040"/>
                        <w:sz w:val="12"/>
                      </w:rPr>
                      <w:t>0%</w:t>
                    </w:r>
                  </w:p>
                </w:txbxContent>
              </v:textbox>
              <w10:wrap type="none"/>
            </v:shape>
            <v:shape style="position:absolute;left:4545;top:596;width:288;height:418" type="#_x0000_t202" filled="false" stroked="false">
              <v:textbox inset="0,0,0,0">
                <w:txbxContent>
                  <w:p>
                    <w:pPr>
                      <w:spacing w:line="100" w:lineRule="exact" w:before="0"/>
                      <w:ind w:left="132" w:right="0" w:firstLine="0"/>
                      <w:jc w:val="left"/>
                      <w:rPr>
                        <w:b/>
                        <w:sz w:val="12"/>
                      </w:rPr>
                    </w:pPr>
                    <w:r>
                      <w:rPr>
                        <w:b/>
                        <w:color w:val="404040"/>
                        <w:sz w:val="12"/>
                      </w:rPr>
                      <w:t>34.</w:t>
                    </w:r>
                  </w:p>
                </w:txbxContent>
              </v:textbox>
              <w10:wrap type="none"/>
            </v:shape>
            <v:shape style="position:absolute;left:4243;top:596;width:288;height:418" type="#_x0000_t202" filled="false" stroked="false">
              <v:textbox inset="0,0,0,0">
                <w:txbxContent>
                  <w:p>
                    <w:pPr>
                      <w:spacing w:line="240" w:lineRule="auto" w:before="0"/>
                      <w:rPr>
                        <w:sz w:val="12"/>
                      </w:rPr>
                    </w:pPr>
                  </w:p>
                  <w:p>
                    <w:pPr>
                      <w:spacing w:line="240" w:lineRule="auto" w:before="8"/>
                      <w:rPr>
                        <w:sz w:val="9"/>
                      </w:rPr>
                    </w:pPr>
                  </w:p>
                  <w:p>
                    <w:pPr>
                      <w:spacing w:before="1"/>
                      <w:ind w:left="-20" w:right="0" w:firstLine="0"/>
                      <w:jc w:val="left"/>
                      <w:rPr>
                        <w:b/>
                        <w:sz w:val="12"/>
                      </w:rPr>
                    </w:pPr>
                    <w:r>
                      <w:rPr>
                        <w:b/>
                        <w:color w:val="404040"/>
                        <w:sz w:val="12"/>
                      </w:rPr>
                      <w:t>3%</w:t>
                    </w:r>
                  </w:p>
                </w:txbxContent>
              </v:textbox>
              <w10:wrap type="none"/>
            </v:shape>
            <v:shape style="position:absolute;left:3940;top:596;width:288;height:418" type="#_x0000_t202" filled="false" stroked="false">
              <v:textbox inset="0,0,0,0">
                <w:txbxContent>
                  <w:p>
                    <w:pPr>
                      <w:spacing w:line="240" w:lineRule="auto" w:before="0"/>
                      <w:rPr>
                        <w:sz w:val="12"/>
                      </w:rPr>
                    </w:pPr>
                  </w:p>
                  <w:p>
                    <w:pPr>
                      <w:spacing w:line="240" w:lineRule="auto" w:before="8"/>
                      <w:rPr>
                        <w:sz w:val="9"/>
                      </w:rPr>
                    </w:pPr>
                  </w:p>
                  <w:p>
                    <w:pPr>
                      <w:spacing w:before="1"/>
                      <w:ind w:left="131" w:right="0" w:firstLine="0"/>
                      <w:jc w:val="left"/>
                      <w:rPr>
                        <w:b/>
                        <w:sz w:val="12"/>
                      </w:rPr>
                    </w:pPr>
                    <w:r>
                      <w:rPr>
                        <w:b/>
                        <w:color w:val="404040"/>
                        <w:sz w:val="12"/>
                      </w:rPr>
                      <w:t>27.</w:t>
                    </w:r>
                  </w:p>
                </w:txbxContent>
              </v:textbox>
              <w10:wrap type="none"/>
            </v:shape>
            <v:shape style="position:absolute;left:4848;top:164;width:291;height:418" type="#_x0000_t202" filled="false" stroked="false">
              <v:textbox inset="0,0,0,0">
                <w:txbxContent>
                  <w:p>
                    <w:pPr>
                      <w:spacing w:line="53" w:lineRule="exact" w:before="0"/>
                      <w:ind w:left="85" w:right="-130" w:firstLine="0"/>
                      <w:jc w:val="left"/>
                      <w:rPr>
                        <w:b/>
                        <w:sz w:val="12"/>
                      </w:rPr>
                    </w:pPr>
                    <w:r>
                      <w:rPr>
                        <w:b/>
                        <w:color w:val="404040"/>
                        <w:sz w:val="12"/>
                      </w:rPr>
                      <w:t>37.8%</w:t>
                    </w:r>
                  </w:p>
                </w:txbxContent>
              </v:textbox>
              <w10:wrap type="none"/>
            </v:shape>
            <v:shape style="position:absolute;left:4243;top:164;width:288;height:418" type="#_x0000_t202" filled="false" stroked="false">
              <v:textbox inset="0,0,0,0">
                <w:txbxContent>
                  <w:p>
                    <w:pPr>
                      <w:spacing w:before="40"/>
                      <w:ind w:left="-22" w:right="0" w:firstLine="0"/>
                      <w:jc w:val="left"/>
                      <w:rPr>
                        <w:b/>
                        <w:sz w:val="11"/>
                      </w:rPr>
                    </w:pPr>
                    <w:r>
                      <w:rPr>
                        <w:b/>
                        <w:color w:val="FF0000"/>
                        <w:sz w:val="11"/>
                      </w:rPr>
                      <w:t>3%</w:t>
                    </w:r>
                  </w:p>
                </w:txbxContent>
              </v:textbox>
              <w10:wrap type="none"/>
            </v:shape>
            <v:shape style="position:absolute;left:3940;top:164;width:288;height:418" type="#_x0000_t202" filled="false" stroked="false">
              <v:textbox inset="0,0,0,0">
                <w:txbxContent>
                  <w:p>
                    <w:pPr>
                      <w:spacing w:before="40"/>
                      <w:ind w:left="141" w:right="0" w:firstLine="0"/>
                      <w:jc w:val="left"/>
                      <w:rPr>
                        <w:b/>
                        <w:sz w:val="11"/>
                      </w:rPr>
                    </w:pPr>
                    <w:r>
                      <w:rPr>
                        <w:b/>
                        <w:color w:val="FF0000"/>
                        <w:sz w:val="11"/>
                      </w:rPr>
                      <w:t>33.</w:t>
                    </w:r>
                  </w:p>
                </w:txbxContent>
              </v:textbox>
              <w10:wrap type="none"/>
            </v:shape>
            <v:shape style="position:absolute;left:3638;top:164;width:288;height:418" type="#_x0000_t202" filled="false" stroked="false">
              <v:textbox inset="0,0,0,0">
                <w:txbxContent>
                  <w:p>
                    <w:pPr>
                      <w:spacing w:line="240" w:lineRule="auto" w:before="0"/>
                      <w:rPr>
                        <w:sz w:val="12"/>
                      </w:rPr>
                    </w:pPr>
                  </w:p>
                  <w:p>
                    <w:pPr>
                      <w:spacing w:before="89"/>
                      <w:ind w:left="-23" w:right="0" w:firstLine="0"/>
                      <w:jc w:val="left"/>
                      <w:rPr>
                        <w:b/>
                        <w:sz w:val="11"/>
                      </w:rPr>
                    </w:pPr>
                    <w:r>
                      <w:rPr>
                        <w:b/>
                        <w:color w:val="FF0000"/>
                        <w:sz w:val="11"/>
                      </w:rPr>
                      <w:t>9%</w:t>
                    </w:r>
                  </w:p>
                </w:txbxContent>
              </v:textbox>
              <w10:wrap type="none"/>
            </v:shape>
            <v:shape style="position:absolute;left:3336;top:164;width:288;height:418" type="#_x0000_t202" filled="false" stroked="false">
              <v:textbox inset="0,0,0,0">
                <w:txbxContent>
                  <w:p>
                    <w:pPr>
                      <w:spacing w:line="240" w:lineRule="auto" w:before="0"/>
                      <w:rPr>
                        <w:sz w:val="12"/>
                      </w:rPr>
                    </w:pPr>
                  </w:p>
                  <w:p>
                    <w:pPr>
                      <w:spacing w:before="89"/>
                      <w:ind w:left="141" w:right="0" w:firstLine="0"/>
                      <w:jc w:val="left"/>
                      <w:rPr>
                        <w:b/>
                        <w:sz w:val="11"/>
                      </w:rPr>
                    </w:pPr>
                    <w:r>
                      <w:rPr>
                        <w:b/>
                        <w:color w:val="FF0000"/>
                        <w:sz w:val="11"/>
                      </w:rPr>
                      <w:t>28.</w:t>
                    </w:r>
                  </w:p>
                </w:txbxContent>
              </v:textbox>
              <w10:wrap type="none"/>
            </v:shape>
            <w10:wrap type="none"/>
          </v:group>
        </w:pict>
      </w:r>
      <w:r>
        <w:rPr>
          <w:color w:val="585858"/>
          <w:sz w:val="14"/>
        </w:rPr>
        <w:t>40%</w:t>
      </w:r>
    </w:p>
    <w:p>
      <w:pPr>
        <w:pStyle w:val="BodyText"/>
        <w:rPr>
          <w:sz w:val="14"/>
        </w:rPr>
      </w:pPr>
    </w:p>
    <w:p>
      <w:pPr>
        <w:spacing w:before="110"/>
        <w:ind w:left="601" w:right="0" w:firstLine="0"/>
        <w:jc w:val="left"/>
        <w:rPr>
          <w:sz w:val="14"/>
        </w:rPr>
      </w:pPr>
      <w:r>
        <w:rPr>
          <w:color w:val="585858"/>
          <w:sz w:val="14"/>
        </w:rPr>
        <w:t>30%</w:t>
      </w:r>
    </w:p>
    <w:p>
      <w:pPr>
        <w:pStyle w:val="BodyText"/>
        <w:rPr>
          <w:sz w:val="14"/>
        </w:rPr>
      </w:pPr>
    </w:p>
    <w:p>
      <w:pPr>
        <w:spacing w:before="110"/>
        <w:ind w:left="601" w:right="0" w:firstLine="0"/>
        <w:jc w:val="left"/>
        <w:rPr>
          <w:sz w:val="14"/>
        </w:rPr>
      </w:pPr>
      <w:r>
        <w:rPr>
          <w:color w:val="585858"/>
          <w:sz w:val="14"/>
        </w:rPr>
        <w:t>20%</w:t>
      </w:r>
    </w:p>
    <w:p>
      <w:pPr>
        <w:pStyle w:val="BodyText"/>
        <w:rPr>
          <w:sz w:val="14"/>
        </w:rPr>
      </w:pPr>
    </w:p>
    <w:p>
      <w:pPr>
        <w:spacing w:before="110"/>
        <w:ind w:left="601" w:right="0" w:firstLine="0"/>
        <w:jc w:val="left"/>
        <w:rPr>
          <w:sz w:val="14"/>
        </w:rPr>
      </w:pPr>
      <w:r>
        <w:rPr>
          <w:color w:val="585858"/>
          <w:sz w:val="14"/>
        </w:rPr>
        <w:t>10%</w:t>
      </w:r>
    </w:p>
    <w:p>
      <w:pPr>
        <w:pStyle w:val="BodyText"/>
        <w:rPr>
          <w:sz w:val="14"/>
        </w:rPr>
      </w:pPr>
    </w:p>
    <w:p>
      <w:pPr>
        <w:spacing w:before="110"/>
        <w:ind w:left="671" w:right="0" w:firstLine="0"/>
        <w:jc w:val="left"/>
        <w:rPr>
          <w:sz w:val="14"/>
        </w:rPr>
      </w:pPr>
      <w:r>
        <w:rPr>
          <w:color w:val="585858"/>
          <w:sz w:val="14"/>
        </w:rPr>
        <w:t>0%</w:t>
      </w:r>
    </w:p>
    <w:p>
      <w:pPr>
        <w:pStyle w:val="BodyText"/>
        <w:rPr>
          <w:sz w:val="14"/>
        </w:rPr>
      </w:pPr>
    </w:p>
    <w:p>
      <w:pPr>
        <w:spacing w:before="109"/>
        <w:ind w:left="555" w:right="0" w:firstLine="0"/>
        <w:jc w:val="left"/>
        <w:rPr>
          <w:sz w:val="14"/>
        </w:rPr>
      </w:pPr>
      <w:r>
        <w:rPr>
          <w:color w:val="585858"/>
          <w:sz w:val="14"/>
        </w:rPr>
        <w:t>-10%</w:t>
      </w:r>
    </w:p>
    <w:p>
      <w:pPr>
        <w:tabs>
          <w:tab w:pos="1773" w:val="left" w:leader="none"/>
          <w:tab w:pos="2359" w:val="left" w:leader="none"/>
          <w:tab w:pos="2976" w:val="left" w:leader="none"/>
          <w:tab w:pos="3566" w:val="left" w:leader="none"/>
          <w:tab w:pos="4195" w:val="left" w:leader="none"/>
        </w:tabs>
        <w:spacing w:before="4"/>
        <w:ind w:left="1164" w:right="0" w:firstLine="0"/>
        <w:jc w:val="left"/>
        <w:rPr>
          <w:b/>
          <w:sz w:val="14"/>
        </w:rPr>
      </w:pPr>
      <w:r>
        <w:rPr>
          <w:b/>
          <w:color w:val="585858"/>
          <w:sz w:val="14"/>
        </w:rPr>
        <w:t>Ene</w:t>
        <w:tab/>
        <w:t>Feb</w:t>
        <w:tab/>
        <w:t>Mar</w:t>
        <w:tab/>
        <w:t>Abr</w:t>
        <w:tab/>
        <w:t>May</w:t>
        <w:tab/>
      </w:r>
      <w:r>
        <w:rPr>
          <w:b/>
          <w:color w:val="585858"/>
          <w:spacing w:val="-7"/>
          <w:sz w:val="14"/>
        </w:rPr>
        <w:t>Jun</w:t>
      </w:r>
    </w:p>
    <w:p>
      <w:pPr>
        <w:tabs>
          <w:tab w:pos="1535" w:val="left" w:leader="none"/>
          <w:tab w:pos="2584" w:val="left" w:leader="none"/>
          <w:tab w:pos="3118" w:val="left" w:leader="none"/>
        </w:tabs>
        <w:spacing w:before="21"/>
        <w:ind w:left="1001" w:right="0" w:firstLine="0"/>
        <w:jc w:val="left"/>
        <w:rPr>
          <w:b/>
          <w:sz w:val="14"/>
        </w:rPr>
      </w:pPr>
      <w:r>
        <w:rPr/>
        <w:drawing>
          <wp:anchor distT="0" distB="0" distL="0" distR="0" allowOverlap="1" layoutInCell="1" locked="0" behindDoc="1" simplePos="0" relativeHeight="222451712">
            <wp:simplePos x="0" y="0"/>
            <wp:positionH relativeFrom="page">
              <wp:posOffset>1485900</wp:posOffset>
            </wp:positionH>
            <wp:positionV relativeFrom="paragraph">
              <wp:posOffset>32577</wp:posOffset>
            </wp:positionV>
            <wp:extent cx="65531" cy="65531"/>
            <wp:effectExtent l="0" t="0" r="0" b="0"/>
            <wp:wrapNone/>
            <wp:docPr id="33" name="image71.png"/>
            <wp:cNvGraphicFramePr>
              <a:graphicFrameLocks noChangeAspect="1"/>
            </wp:cNvGraphicFramePr>
            <a:graphic>
              <a:graphicData uri="http://schemas.openxmlformats.org/drawingml/2006/picture">
                <pic:pic>
                  <pic:nvPicPr>
                    <pic:cNvPr id="34" name="image71.png"/>
                    <pic:cNvPicPr/>
                  </pic:nvPicPr>
                  <pic:blipFill>
                    <a:blip r:embed="rId77" cstate="print"/>
                    <a:stretch>
                      <a:fillRect/>
                    </a:stretch>
                  </pic:blipFill>
                  <pic:spPr>
                    <a:xfrm>
                      <a:off x="0" y="0"/>
                      <a:ext cx="65531" cy="65531"/>
                    </a:xfrm>
                    <a:prstGeom prst="rect">
                      <a:avLst/>
                    </a:prstGeom>
                  </pic:spPr>
                </pic:pic>
              </a:graphicData>
            </a:graphic>
          </wp:anchor>
        </w:drawing>
      </w:r>
      <w:r>
        <w:rPr/>
        <w:pict>
          <v:group style="position:absolute;margin-left:196.679993pt;margin-top:3.045154pt;width:4.2pt;height:4.2pt;mso-position-horizontal-relative:page;mso-position-vertical-relative:paragraph;z-index:-280863744" coordorigin="3934,61" coordsize="84,84">
            <v:shape style="position:absolute;left:3945;top:72;width:60;height:60" coordorigin="3946,73" coordsize="60,60" path="m3976,73l3964,75,3954,82,3948,91,3946,103,3948,115,3954,124,3964,131,3976,133,3987,131,3997,124,4003,115,4006,103,4003,91,3997,82,3987,75,3976,73xe" filled="true" fillcolor="#ffffff" stroked="false">
              <v:path arrowok="t"/>
              <v:fill type="solid"/>
            </v:shape>
            <v:shape style="position:absolute;left:3945;top:72;width:60;height:60" coordorigin="3946,73" coordsize="60,60" path="m4006,103l4003,115,3997,124,3987,131,3976,133,3964,131,3954,124,3948,115,3946,103,3948,91,3954,82,3964,75,3976,73,3987,75,3997,82,4003,91,4006,103xe" filled="false" stroked="true" strokeweight="1.2pt" strokecolor="#ff0000">
              <v:path arrowok="t"/>
              <v:stroke dashstyle="solid"/>
            </v:shape>
            <w10:wrap type="none"/>
          </v:group>
        </w:pict>
      </w:r>
      <w:r>
        <w:rPr>
          <w:color w:val="585858"/>
          <w:w w:val="99"/>
          <w:sz w:val="14"/>
          <w:u w:val="thick" w:color="000000"/>
        </w:rPr>
        <w:t> </w:t>
      </w:r>
      <w:r>
        <w:rPr>
          <w:color w:val="585858"/>
          <w:sz w:val="14"/>
          <w:u w:val="thick" w:color="000000"/>
        </w:rPr>
        <w:tab/>
      </w:r>
      <w:r>
        <w:rPr>
          <w:color w:val="585858"/>
          <w:spacing w:val="-8"/>
          <w:sz w:val="14"/>
        </w:rPr>
        <w:t> </w:t>
      </w:r>
      <w:r>
        <w:rPr>
          <w:b/>
          <w:color w:val="585858"/>
          <w:sz w:val="14"/>
        </w:rPr>
        <w:t>Var.</w:t>
      </w:r>
      <w:r>
        <w:rPr>
          <w:b/>
          <w:color w:val="585858"/>
          <w:spacing w:val="-3"/>
          <w:sz w:val="14"/>
        </w:rPr>
        <w:t> </w:t>
      </w:r>
      <w:r>
        <w:rPr>
          <w:b/>
          <w:color w:val="585858"/>
          <w:sz w:val="14"/>
        </w:rPr>
        <w:t>Imp</w:t>
        <w:tab/>
      </w:r>
      <w:r>
        <w:rPr>
          <w:b/>
          <w:color w:val="585858"/>
          <w:sz w:val="14"/>
          <w:u w:val="thick" w:color="FF0000"/>
        </w:rPr>
        <w:t> </w:t>
        <w:tab/>
      </w:r>
      <w:r>
        <w:rPr>
          <w:b/>
          <w:color w:val="585858"/>
          <w:sz w:val="14"/>
        </w:rPr>
        <w:t>Var.</w:t>
      </w:r>
      <w:r>
        <w:rPr>
          <w:b/>
          <w:color w:val="585858"/>
          <w:spacing w:val="-2"/>
          <w:sz w:val="14"/>
        </w:rPr>
        <w:t> </w:t>
      </w:r>
      <w:r>
        <w:rPr>
          <w:b/>
          <w:color w:val="585858"/>
          <w:sz w:val="14"/>
        </w:rPr>
        <w:t>Contenedores</w:t>
      </w:r>
    </w:p>
    <w:p>
      <w:pPr>
        <w:spacing w:line="276" w:lineRule="auto" w:before="91"/>
        <w:ind w:left="715" w:right="1849" w:firstLine="0"/>
        <w:jc w:val="center"/>
        <w:rPr>
          <w:b/>
          <w:sz w:val="20"/>
        </w:rPr>
      </w:pPr>
      <w:r>
        <w:rPr/>
        <w:br w:type="column"/>
      </w:r>
      <w:bookmarkStart w:name="_bookmark120" w:id="148"/>
      <w:bookmarkEnd w:id="148"/>
      <w:r>
        <w:rPr/>
      </w:r>
      <w:r>
        <w:rPr>
          <w:b/>
          <w:i/>
          <w:sz w:val="20"/>
        </w:rPr>
        <w:t>Gráfico 61. </w:t>
      </w:r>
      <w:r>
        <w:rPr>
          <w:b/>
          <w:sz w:val="20"/>
        </w:rPr>
        <w:t>Brechas de Recaudación Tributaria acumulada</w:t>
      </w:r>
    </w:p>
    <w:p>
      <w:pPr>
        <w:pStyle w:val="Heading3"/>
        <w:spacing w:line="250" w:lineRule="exact"/>
        <w:ind w:left="715" w:right="1843"/>
        <w:jc w:val="center"/>
      </w:pPr>
      <w:r>
        <w:rPr/>
        <w:t>Enero – junio 2021</w:t>
      </w:r>
    </w:p>
    <w:p>
      <w:pPr>
        <w:spacing w:before="34"/>
        <w:ind w:left="715" w:right="1847" w:firstLine="0"/>
        <w:jc w:val="center"/>
        <w:rPr>
          <w:sz w:val="20"/>
        </w:rPr>
      </w:pPr>
      <w:r>
        <w:rPr>
          <w:sz w:val="20"/>
        </w:rPr>
        <w:t>En millones de quetzales</w:t>
      </w:r>
    </w:p>
    <w:p>
      <w:pPr>
        <w:spacing w:before="72"/>
        <w:ind w:left="533" w:right="0" w:firstLine="0"/>
        <w:jc w:val="left"/>
        <w:rPr>
          <w:b/>
          <w:sz w:val="14"/>
        </w:rPr>
      </w:pPr>
      <w:r>
        <w:rPr/>
        <w:pict>
          <v:group style="position:absolute;margin-left:329.760010pt;margin-top:7.260602pt;width:188.3pt;height:118.35pt;mso-position-horizontal-relative:page;mso-position-vertical-relative:paragraph;z-index:252431360" coordorigin="6595,145" coordsize="3766,2367">
            <v:shape style="position:absolute;left:6602;top:157;width:3752;height:2348" type="#_x0000_t75" stroked="false">
              <v:imagedata r:id="rId78" o:title=""/>
            </v:shape>
            <v:shape style="position:absolute;left:6602;top:548;width:3752;height:1565" coordorigin="6602,549" coordsize="3752,1565" path="m10313,2114l10354,2114m9686,2114l9768,2114m9062,2114l9144,2114m8438,2114l8520,2114m6602,2114l7894,2114m10313,1722l10354,1722m9686,1722l9768,1722m9062,1722l9144,1722m6602,1722l8520,1722m10313,1331l10354,1331m9686,1331l9768,1331m6602,1331l9144,1331m10313,940l10354,940m9686,940l9768,940m6602,940l9144,940m10313,549l10354,549m6602,549l9768,549e" filled="false" stroked="true" strokeweight=".72pt" strokecolor="#d9d9d9">
              <v:path arrowok="t"/>
              <v:stroke dashstyle="solid"/>
            </v:shape>
            <v:line style="position:absolute" from="6602,158" to="10354,158" stroked="true" strokeweight=".72pt" strokecolor="#d9d9d9">
              <v:stroke dashstyle="solid"/>
            </v:line>
            <v:line style="position:absolute" from="6917,158" to="6917,2505" stroked="true" strokeweight=".72pt" strokecolor="#d9d9d9">
              <v:stroke dashstyle="solid"/>
            </v:line>
            <v:shape style="position:absolute;left:7540;top:157;width:2501;height:2261" coordorigin="7541,158" coordsize="2501,2261" path="m7541,158l7541,2418m8165,158l8165,2085m8791,158l8791,1444m9415,158l9415,890m10042,158l10042,412e" filled="false" stroked="true" strokeweight=".72pt" strokecolor="#d9d9d9">
              <v:path arrowok="t"/>
              <v:stroke dashstyle="solid"/>
            </v:shape>
            <v:shape style="position:absolute;left:0;top:4976;width:3752;height:2348" coordorigin="0,4977" coordsize="3752,2348" path="m6602,158l6602,2505m7229,158l7229,2505m7853,158l7853,2505m8479,158l8479,2505m9103,158l9103,2505m9727,158l9727,2505m10354,158l10354,2505e" filled="false" stroked="true" strokeweight=".72pt" strokecolor="#d9d9d9">
              <v:path arrowok="t"/>
              <v:stroke dashstyle="solid"/>
            </v:shape>
            <v:line style="position:absolute" from="6643,2499" to="7188,2499" stroked="true" strokeweight=".6pt" strokecolor="#ff0000">
              <v:stroke dashstyle="solid"/>
            </v:line>
            <v:line style="position:absolute" from="7270,2462" to="7812,2462" stroked="true" strokeweight="4.32pt" strokecolor="#ff0000">
              <v:stroke dashstyle="solid"/>
            </v:line>
            <v:shape style="position:absolute;left:7893;top:411;width:2420;height:2093" coordorigin="7894,412" coordsize="2420,2093" path="m8438,2085l7894,2085,7894,2505,8438,2505,8438,2085m9062,1444l8520,1444,8520,2505,9062,2505,9062,1444m9686,890l9144,890,9144,2505,9686,2505,9686,890m10313,412l9768,412,9768,2505,10313,2505,10313,412e" filled="true" fillcolor="#ff0000" stroked="false">
              <v:path arrowok="t"/>
              <v:fill type="solid"/>
            </v:shape>
            <v:line style="position:absolute" from="6636,2499" to="7195,2499" stroked="true" strokeweight="1.32pt" strokecolor="#000000">
              <v:stroke dashstyle="shortdot"/>
            </v:line>
            <v:shape style="position:absolute;left:626;top:2895;width:3044;height:2093" coordorigin="626,2896" coordsize="3044,2093" path="m7270,2418l7812,2418,7812,2505,7270,2505,7270,2418xm7894,2085l8438,2085,8438,2505,7894,2505,7894,2085xm8520,1444l9062,1444,9062,2505,8520,2505,8520,1444xm9144,890l9686,890,9686,2505,9144,2505,9144,890xm9768,412l10313,412,10313,2505,9768,2505,9768,412xe" filled="false" stroked="true" strokeweight=".72pt" strokecolor="#000000">
              <v:path arrowok="t"/>
              <v:stroke dashstyle="shortdot"/>
            </v:shape>
            <v:line style="position:absolute" from="6602,2505" to="10354,2505" stroked="true" strokeweight=".72pt" strokecolor="#ff0000">
              <v:stroke dashstyle="shortdash"/>
            </v:line>
            <v:shape style="position:absolute;left:9797;top:145;width:508;height:179" type="#_x0000_t202" filled="false" stroked="false">
              <v:textbox inset="0,0,0,0">
                <w:txbxContent>
                  <w:p>
                    <w:pPr>
                      <w:spacing w:line="178" w:lineRule="exact" w:before="0"/>
                      <w:ind w:left="0" w:right="0" w:firstLine="0"/>
                      <w:jc w:val="left"/>
                      <w:rPr>
                        <w:b/>
                        <w:sz w:val="16"/>
                      </w:rPr>
                    </w:pPr>
                    <w:r>
                      <w:rPr>
                        <w:b/>
                        <w:sz w:val="16"/>
                      </w:rPr>
                      <w:t>5,348.8</w:t>
                    </w:r>
                  </w:p>
                </w:txbxContent>
              </v:textbox>
              <w10:wrap type="none"/>
            </v:shape>
            <v:shape style="position:absolute;left:9171;top:623;width:508;height:179" type="#_x0000_t202" filled="false" stroked="false">
              <v:textbox inset="0,0,0,0">
                <w:txbxContent>
                  <w:p>
                    <w:pPr>
                      <w:spacing w:line="178" w:lineRule="exact" w:before="0"/>
                      <w:ind w:left="0" w:right="0" w:firstLine="0"/>
                      <w:jc w:val="left"/>
                      <w:rPr>
                        <w:b/>
                        <w:sz w:val="16"/>
                      </w:rPr>
                    </w:pPr>
                    <w:r>
                      <w:rPr>
                        <w:b/>
                        <w:sz w:val="16"/>
                      </w:rPr>
                      <w:t>4,126.7</w:t>
                    </w:r>
                  </w:p>
                </w:txbxContent>
              </v:textbox>
              <w10:wrap type="none"/>
            </v:shape>
            <v:shape style="position:absolute;left:8580;top:1200;width:440;height:155" type="#_x0000_t202" filled="false" stroked="false">
              <v:textbox inset="0,0,0,0">
                <w:txbxContent>
                  <w:p>
                    <w:pPr>
                      <w:spacing w:line="154" w:lineRule="exact" w:before="0"/>
                      <w:ind w:left="0" w:right="0" w:firstLine="0"/>
                      <w:jc w:val="left"/>
                      <w:rPr>
                        <w:b/>
                        <w:sz w:val="14"/>
                      </w:rPr>
                    </w:pPr>
                    <w:r>
                      <w:rPr>
                        <w:b/>
                        <w:sz w:val="14"/>
                      </w:rPr>
                      <w:t>2,711.0</w:t>
                    </w:r>
                  </w:p>
                </w:txbxContent>
              </v:textbox>
              <w10:wrap type="none"/>
            </v:shape>
            <v:shape style="position:absolute;left:7955;top:1842;width:440;height:155" type="#_x0000_t202" filled="false" stroked="false">
              <v:textbox inset="0,0,0,0">
                <w:txbxContent>
                  <w:p>
                    <w:pPr>
                      <w:spacing w:line="154" w:lineRule="exact" w:before="0"/>
                      <w:ind w:left="0" w:right="0" w:firstLine="0"/>
                      <w:jc w:val="left"/>
                      <w:rPr>
                        <w:b/>
                        <w:sz w:val="14"/>
                      </w:rPr>
                    </w:pPr>
                    <w:r>
                      <w:rPr>
                        <w:b/>
                        <w:sz w:val="14"/>
                      </w:rPr>
                      <w:t>1,070.4</w:t>
                    </w:r>
                  </w:p>
                </w:txbxContent>
              </v:textbox>
              <w10:wrap type="none"/>
            </v:shape>
            <v:shape style="position:absolute;left:6794;top:2250;width:265;height:155" type="#_x0000_t202" filled="false" stroked="false">
              <v:textbox inset="0,0,0,0">
                <w:txbxContent>
                  <w:p>
                    <w:pPr>
                      <w:spacing w:line="154" w:lineRule="exact" w:before="0"/>
                      <w:ind w:left="0" w:right="0" w:firstLine="0"/>
                      <w:jc w:val="left"/>
                      <w:rPr>
                        <w:b/>
                        <w:sz w:val="14"/>
                      </w:rPr>
                    </w:pPr>
                    <w:r>
                      <w:rPr>
                        <w:b/>
                        <w:sz w:val="14"/>
                      </w:rPr>
                      <w:t>27.3</w:t>
                    </w:r>
                  </w:p>
                </w:txbxContent>
              </v:textbox>
              <w10:wrap type="none"/>
            </v:shape>
            <v:shape style="position:absolute;left:7383;top:2175;width:335;height:155" type="#_x0000_t202" filled="false" stroked="false">
              <v:textbox inset="0,0,0,0">
                <w:txbxContent>
                  <w:p>
                    <w:pPr>
                      <w:spacing w:line="154" w:lineRule="exact" w:before="0"/>
                      <w:ind w:left="0" w:right="0" w:firstLine="0"/>
                      <w:jc w:val="left"/>
                      <w:rPr>
                        <w:b/>
                        <w:sz w:val="14"/>
                      </w:rPr>
                    </w:pPr>
                    <w:r>
                      <w:rPr>
                        <w:b/>
                        <w:sz w:val="14"/>
                      </w:rPr>
                      <w:t>217.7</w:t>
                    </w:r>
                  </w:p>
                </w:txbxContent>
              </v:textbox>
              <w10:wrap type="none"/>
            </v:shape>
            <w10:wrap type="none"/>
          </v:group>
        </w:pict>
      </w:r>
      <w:r>
        <w:rPr>
          <w:b/>
          <w:color w:val="585858"/>
          <w:sz w:val="14"/>
        </w:rPr>
        <w:t>6,000</w:t>
      </w:r>
    </w:p>
    <w:p>
      <w:pPr>
        <w:pStyle w:val="BodyText"/>
        <w:rPr>
          <w:b/>
          <w:sz w:val="20"/>
        </w:rPr>
      </w:pPr>
    </w:p>
    <w:p>
      <w:pPr>
        <w:spacing w:before="0"/>
        <w:ind w:left="533" w:right="0" w:firstLine="0"/>
        <w:jc w:val="left"/>
        <w:rPr>
          <w:b/>
          <w:sz w:val="14"/>
        </w:rPr>
      </w:pPr>
      <w:r>
        <w:rPr>
          <w:b/>
          <w:color w:val="585858"/>
          <w:sz w:val="14"/>
        </w:rPr>
        <w:t>5,000</w:t>
      </w:r>
    </w:p>
    <w:p>
      <w:pPr>
        <w:pStyle w:val="BodyText"/>
        <w:rPr>
          <w:b/>
          <w:sz w:val="20"/>
        </w:rPr>
      </w:pPr>
    </w:p>
    <w:p>
      <w:pPr>
        <w:spacing w:before="0"/>
        <w:ind w:left="533" w:right="0" w:firstLine="0"/>
        <w:jc w:val="left"/>
        <w:rPr>
          <w:b/>
          <w:sz w:val="14"/>
        </w:rPr>
      </w:pPr>
      <w:r>
        <w:rPr>
          <w:b/>
          <w:color w:val="585858"/>
          <w:sz w:val="14"/>
        </w:rPr>
        <w:t>4,000</w:t>
      </w:r>
    </w:p>
    <w:p>
      <w:pPr>
        <w:pStyle w:val="BodyText"/>
        <w:rPr>
          <w:b/>
          <w:sz w:val="20"/>
        </w:rPr>
      </w:pPr>
    </w:p>
    <w:p>
      <w:pPr>
        <w:spacing w:before="1"/>
        <w:ind w:left="533" w:right="0" w:firstLine="0"/>
        <w:jc w:val="left"/>
        <w:rPr>
          <w:b/>
          <w:sz w:val="14"/>
        </w:rPr>
      </w:pPr>
      <w:r>
        <w:rPr>
          <w:b/>
          <w:color w:val="585858"/>
          <w:sz w:val="14"/>
        </w:rPr>
        <w:t>3,000</w:t>
      </w:r>
    </w:p>
    <w:p>
      <w:pPr>
        <w:pStyle w:val="BodyText"/>
        <w:rPr>
          <w:b/>
          <w:sz w:val="20"/>
        </w:rPr>
      </w:pPr>
    </w:p>
    <w:p>
      <w:pPr>
        <w:spacing w:before="0"/>
        <w:ind w:left="533" w:right="0" w:firstLine="0"/>
        <w:jc w:val="left"/>
        <w:rPr>
          <w:b/>
          <w:sz w:val="14"/>
        </w:rPr>
      </w:pPr>
      <w:r>
        <w:rPr>
          <w:b/>
          <w:color w:val="585858"/>
          <w:sz w:val="14"/>
        </w:rPr>
        <w:t>2,000</w:t>
      </w:r>
    </w:p>
    <w:p>
      <w:pPr>
        <w:pStyle w:val="BodyText"/>
        <w:rPr>
          <w:b/>
          <w:sz w:val="20"/>
        </w:rPr>
      </w:pPr>
    </w:p>
    <w:p>
      <w:pPr>
        <w:spacing w:before="0"/>
        <w:ind w:left="533" w:right="0" w:firstLine="0"/>
        <w:jc w:val="left"/>
        <w:rPr>
          <w:b/>
          <w:sz w:val="14"/>
        </w:rPr>
      </w:pPr>
      <w:r>
        <w:rPr>
          <w:b/>
          <w:color w:val="585858"/>
          <w:sz w:val="14"/>
        </w:rPr>
        <w:t>1,000</w:t>
      </w:r>
    </w:p>
    <w:p>
      <w:pPr>
        <w:pStyle w:val="BodyText"/>
        <w:rPr>
          <w:b/>
          <w:sz w:val="20"/>
        </w:rPr>
      </w:pPr>
    </w:p>
    <w:p>
      <w:pPr>
        <w:spacing w:before="0"/>
        <w:ind w:left="778" w:right="0" w:firstLine="0"/>
        <w:jc w:val="left"/>
        <w:rPr>
          <w:b/>
          <w:sz w:val="14"/>
        </w:rPr>
      </w:pPr>
      <w:r>
        <w:rPr>
          <w:b/>
          <w:color w:val="585858"/>
          <w:w w:val="99"/>
          <w:sz w:val="14"/>
        </w:rPr>
        <w:t>0</w:t>
      </w:r>
    </w:p>
    <w:p>
      <w:pPr>
        <w:tabs>
          <w:tab w:pos="1835" w:val="left" w:leader="none"/>
          <w:tab w:pos="2413" w:val="left" w:leader="none"/>
          <w:tab w:pos="3046" w:val="left" w:leader="none"/>
          <w:tab w:pos="3687" w:val="left" w:leader="none"/>
          <w:tab w:pos="4343" w:val="left" w:leader="none"/>
        </w:tabs>
        <w:spacing w:before="3"/>
        <w:ind w:left="1206" w:right="0" w:firstLine="0"/>
        <w:jc w:val="left"/>
        <w:rPr>
          <w:sz w:val="14"/>
        </w:rPr>
      </w:pPr>
      <w:r>
        <w:rPr>
          <w:color w:val="585858"/>
          <w:sz w:val="14"/>
        </w:rPr>
        <w:t>Ene</w:t>
        <w:tab/>
        <w:t>Feb</w:t>
        <w:tab/>
        <w:t>Mar*</w:t>
        <w:tab/>
        <w:t>Abr*</w:t>
        <w:tab/>
        <w:t>May</w:t>
        <w:tab/>
        <w:t>Jun</w:t>
      </w:r>
    </w:p>
    <w:p>
      <w:pPr>
        <w:spacing w:after="0"/>
        <w:jc w:val="left"/>
        <w:rPr>
          <w:sz w:val="14"/>
        </w:rPr>
        <w:sectPr>
          <w:type w:val="continuous"/>
          <w:pgSz w:w="12240" w:h="15840"/>
          <w:pgMar w:top="1500" w:bottom="280" w:left="1140" w:right="0"/>
          <w:cols w:num="2" w:equalWidth="0">
            <w:col w:w="4422" w:space="40"/>
            <w:col w:w="6638"/>
          </w:cols>
        </w:sectPr>
      </w:pPr>
    </w:p>
    <w:p>
      <w:pPr>
        <w:pStyle w:val="BodyText"/>
        <w:spacing w:before="9"/>
        <w:rPr>
          <w:sz w:val="24"/>
        </w:rPr>
      </w:pPr>
    </w:p>
    <w:p>
      <w:pPr>
        <w:spacing w:before="94"/>
        <w:ind w:left="648" w:right="0" w:firstLine="0"/>
        <w:jc w:val="left"/>
        <w:rPr>
          <w:sz w:val="16"/>
        </w:rPr>
      </w:pPr>
      <w:r>
        <w:rPr>
          <w:sz w:val="16"/>
        </w:rPr>
        <w:t>Fuente: Dirección de Análisis y Política Fiscal, con información del Banco de Guatemala y Empresa Portuaria Quetzal.</w:t>
      </w:r>
    </w:p>
    <w:p>
      <w:pPr>
        <w:spacing w:after="0"/>
        <w:jc w:val="left"/>
        <w:rPr>
          <w:sz w:val="16"/>
        </w:rPr>
        <w:sectPr>
          <w:type w:val="continuous"/>
          <w:pgSz w:w="12240" w:h="15840"/>
          <w:pgMar w:top="1500" w:bottom="280" w:left="1140" w:right="0"/>
        </w:sectPr>
      </w:pPr>
    </w:p>
    <w:p>
      <w:pPr>
        <w:pStyle w:val="BodyText"/>
        <w:spacing w:line="276" w:lineRule="auto" w:before="162"/>
        <w:ind w:left="562" w:right="1696"/>
        <w:jc w:val="both"/>
      </w:pPr>
      <w:r>
        <w:rPr/>
        <w:t>Las expectativas de crecimiento para el segundo semestre de 2021 marcó la recuperación de la economía nacional luego del efecto del confinamiento en 2020 producto de la pandemia y la reapertura gradual de la economía nacional. Las estimaciones realizadas por el Banco de Guatemala en</w:t>
      </w:r>
      <w:r>
        <w:rPr>
          <w:spacing w:val="-4"/>
        </w:rPr>
        <w:t> </w:t>
      </w:r>
      <w:r>
        <w:rPr/>
        <w:t>el</w:t>
      </w:r>
      <w:r>
        <w:rPr>
          <w:spacing w:val="-3"/>
        </w:rPr>
        <w:t> </w:t>
      </w:r>
      <w:r>
        <w:rPr/>
        <w:t>mes</w:t>
      </w:r>
      <w:r>
        <w:rPr>
          <w:spacing w:val="-3"/>
        </w:rPr>
        <w:t> </w:t>
      </w:r>
      <w:r>
        <w:rPr/>
        <w:t>de</w:t>
      </w:r>
      <w:r>
        <w:rPr>
          <w:spacing w:val="-8"/>
        </w:rPr>
        <w:t> </w:t>
      </w:r>
      <w:r>
        <w:rPr/>
        <w:t>julio</w:t>
      </w:r>
      <w:r>
        <w:rPr>
          <w:spacing w:val="-5"/>
        </w:rPr>
        <w:t> </w:t>
      </w:r>
      <w:r>
        <w:rPr/>
        <w:t>marcan</w:t>
      </w:r>
      <w:r>
        <w:rPr>
          <w:spacing w:val="-9"/>
        </w:rPr>
        <w:t> </w:t>
      </w:r>
      <w:r>
        <w:rPr/>
        <w:t>mejores</w:t>
      </w:r>
      <w:r>
        <w:rPr>
          <w:spacing w:val="-6"/>
        </w:rPr>
        <w:t> </w:t>
      </w:r>
      <w:r>
        <w:rPr/>
        <w:t>expectativas</w:t>
      </w:r>
      <w:r>
        <w:rPr>
          <w:spacing w:val="-5"/>
        </w:rPr>
        <w:t> </w:t>
      </w:r>
      <w:r>
        <w:rPr/>
        <w:t>para</w:t>
      </w:r>
      <w:r>
        <w:rPr>
          <w:spacing w:val="-3"/>
        </w:rPr>
        <w:t> </w:t>
      </w:r>
      <w:r>
        <w:rPr/>
        <w:t>2021,</w:t>
      </w:r>
      <w:r>
        <w:rPr>
          <w:spacing w:val="-4"/>
        </w:rPr>
        <w:t> </w:t>
      </w:r>
      <w:r>
        <w:rPr/>
        <w:t>situando</w:t>
      </w:r>
      <w:r>
        <w:rPr>
          <w:spacing w:val="-7"/>
        </w:rPr>
        <w:t> </w:t>
      </w:r>
      <w:r>
        <w:rPr/>
        <w:t>el</w:t>
      </w:r>
      <w:r>
        <w:rPr>
          <w:spacing w:val="-3"/>
        </w:rPr>
        <w:t> </w:t>
      </w:r>
      <w:r>
        <w:rPr/>
        <w:t>crecimiento</w:t>
      </w:r>
      <w:r>
        <w:rPr>
          <w:spacing w:val="-4"/>
        </w:rPr>
        <w:t> </w:t>
      </w:r>
      <w:r>
        <w:rPr/>
        <w:t>de</w:t>
      </w:r>
      <w:r>
        <w:rPr>
          <w:spacing w:val="-6"/>
        </w:rPr>
        <w:t> </w:t>
      </w:r>
      <w:r>
        <w:rPr/>
        <w:t>la</w:t>
      </w:r>
      <w:r>
        <w:rPr>
          <w:spacing w:val="-6"/>
        </w:rPr>
        <w:t> </w:t>
      </w:r>
      <w:r>
        <w:rPr/>
        <w:t>economía</w:t>
      </w:r>
      <w:r>
        <w:rPr>
          <w:spacing w:val="-4"/>
        </w:rPr>
        <w:t> </w:t>
      </w:r>
      <w:r>
        <w:rPr/>
        <w:t>en 5% ± 1%, inflación de 4% ± 1%, una mayor dinámica del comercio exterior en las que</w:t>
      </w:r>
      <w:r>
        <w:rPr>
          <w:spacing w:val="6"/>
        </w:rPr>
        <w:t> </w:t>
      </w:r>
      <w:r>
        <w:rPr/>
        <w:t>las importaciones pueden alcanzar el 20% ± 1.5% y las exportaciones 12% ±</w:t>
      </w:r>
      <w:r>
        <w:rPr>
          <w:spacing w:val="-6"/>
        </w:rPr>
        <w:t> </w:t>
      </w:r>
      <w:r>
        <w:rPr/>
        <w:t>1.5%.</w:t>
      </w:r>
    </w:p>
    <w:p>
      <w:pPr>
        <w:pStyle w:val="BodyText"/>
        <w:spacing w:before="2"/>
        <w:rPr>
          <w:sz w:val="25"/>
        </w:rPr>
      </w:pPr>
    </w:p>
    <w:p>
      <w:pPr>
        <w:pStyle w:val="BodyText"/>
        <w:spacing w:line="276" w:lineRule="auto"/>
        <w:ind w:left="562" w:right="1693"/>
        <w:jc w:val="both"/>
      </w:pPr>
      <w:r>
        <w:rPr/>
        <w:t>A julio la brecha fiscal siguió ampliándose respecto a lo programado en presupuesto, ubicándose en Q7,412.5 millones. En este mes se observó la liquidación del segundo pago trimestral de ISR y el tercero</w:t>
      </w:r>
      <w:r>
        <w:rPr>
          <w:spacing w:val="-14"/>
        </w:rPr>
        <w:t> </w:t>
      </w:r>
      <w:r>
        <w:rPr/>
        <w:t>del</w:t>
      </w:r>
      <w:r>
        <w:rPr>
          <w:spacing w:val="-13"/>
        </w:rPr>
        <w:t> </w:t>
      </w:r>
      <w:r>
        <w:rPr/>
        <w:t>ISO.</w:t>
      </w:r>
      <w:r>
        <w:rPr>
          <w:spacing w:val="28"/>
        </w:rPr>
        <w:t> </w:t>
      </w:r>
      <w:r>
        <w:rPr/>
        <w:t>La</w:t>
      </w:r>
      <w:r>
        <w:rPr>
          <w:spacing w:val="-13"/>
        </w:rPr>
        <w:t> </w:t>
      </w:r>
      <w:r>
        <w:rPr/>
        <w:t>brecha</w:t>
      </w:r>
      <w:r>
        <w:rPr>
          <w:spacing w:val="-14"/>
        </w:rPr>
        <w:t> </w:t>
      </w:r>
      <w:r>
        <w:rPr/>
        <w:t>positiva</w:t>
      </w:r>
      <w:r>
        <w:rPr>
          <w:spacing w:val="-13"/>
        </w:rPr>
        <w:t> </w:t>
      </w:r>
      <w:r>
        <w:rPr/>
        <w:t>de</w:t>
      </w:r>
      <w:r>
        <w:rPr>
          <w:spacing w:val="-14"/>
        </w:rPr>
        <w:t> </w:t>
      </w:r>
      <w:r>
        <w:rPr/>
        <w:t>estos</w:t>
      </w:r>
      <w:r>
        <w:rPr>
          <w:spacing w:val="-13"/>
        </w:rPr>
        <w:t> </w:t>
      </w:r>
      <w:r>
        <w:rPr/>
        <w:t>dos</w:t>
      </w:r>
      <w:r>
        <w:rPr>
          <w:spacing w:val="-14"/>
        </w:rPr>
        <w:t> </w:t>
      </w:r>
      <w:r>
        <w:rPr/>
        <w:t>impuestos</w:t>
      </w:r>
      <w:r>
        <w:rPr>
          <w:spacing w:val="-15"/>
        </w:rPr>
        <w:t> </w:t>
      </w:r>
      <w:r>
        <w:rPr/>
        <w:t>respecto</w:t>
      </w:r>
      <w:r>
        <w:rPr>
          <w:spacing w:val="-14"/>
        </w:rPr>
        <w:t> </w:t>
      </w:r>
      <w:r>
        <w:rPr/>
        <w:t>a</w:t>
      </w:r>
      <w:r>
        <w:rPr>
          <w:spacing w:val="-13"/>
        </w:rPr>
        <w:t> </w:t>
      </w:r>
      <w:r>
        <w:rPr/>
        <w:t>presupuesto</w:t>
      </w:r>
      <w:r>
        <w:rPr>
          <w:spacing w:val="-14"/>
        </w:rPr>
        <w:t> </w:t>
      </w:r>
      <w:r>
        <w:rPr/>
        <w:t>siguió</w:t>
      </w:r>
      <w:r>
        <w:rPr>
          <w:spacing w:val="-13"/>
        </w:rPr>
        <w:t> </w:t>
      </w:r>
      <w:r>
        <w:rPr/>
        <w:t>ampliándose a</w:t>
      </w:r>
      <w:r>
        <w:rPr>
          <w:spacing w:val="-4"/>
        </w:rPr>
        <w:t> </w:t>
      </w:r>
      <w:r>
        <w:rPr/>
        <w:t>Q3,290.6</w:t>
      </w:r>
      <w:r>
        <w:rPr>
          <w:spacing w:val="-4"/>
        </w:rPr>
        <w:t> </w:t>
      </w:r>
      <w:r>
        <w:rPr/>
        <w:t>millones,</w:t>
      </w:r>
      <w:r>
        <w:rPr>
          <w:spacing w:val="-4"/>
        </w:rPr>
        <w:t> </w:t>
      </w:r>
      <w:r>
        <w:rPr/>
        <w:t>luego</w:t>
      </w:r>
      <w:r>
        <w:rPr>
          <w:spacing w:val="-4"/>
        </w:rPr>
        <w:t> </w:t>
      </w:r>
      <w:r>
        <w:rPr/>
        <w:t>de</w:t>
      </w:r>
      <w:r>
        <w:rPr>
          <w:spacing w:val="-3"/>
        </w:rPr>
        <w:t> </w:t>
      </w:r>
      <w:r>
        <w:rPr/>
        <w:t>un</w:t>
      </w:r>
      <w:r>
        <w:rPr>
          <w:spacing w:val="-5"/>
        </w:rPr>
        <w:t> </w:t>
      </w:r>
      <w:r>
        <w:rPr/>
        <w:t>año</w:t>
      </w:r>
      <w:r>
        <w:rPr>
          <w:spacing w:val="-3"/>
        </w:rPr>
        <w:t> </w:t>
      </w:r>
      <w:r>
        <w:rPr/>
        <w:t>de</w:t>
      </w:r>
      <w:r>
        <w:rPr>
          <w:spacing w:val="-6"/>
        </w:rPr>
        <w:t> </w:t>
      </w:r>
      <w:r>
        <w:rPr/>
        <w:t>la</w:t>
      </w:r>
      <w:r>
        <w:rPr>
          <w:spacing w:val="-7"/>
        </w:rPr>
        <w:t> </w:t>
      </w:r>
      <w:r>
        <w:rPr/>
        <w:t>reapertura</w:t>
      </w:r>
      <w:r>
        <w:rPr>
          <w:spacing w:val="-3"/>
        </w:rPr>
        <w:t> </w:t>
      </w:r>
      <w:r>
        <w:rPr/>
        <w:t>gradual</w:t>
      </w:r>
      <w:r>
        <w:rPr>
          <w:spacing w:val="-3"/>
        </w:rPr>
        <w:t> </w:t>
      </w:r>
      <w:r>
        <w:rPr/>
        <w:t>de</w:t>
      </w:r>
      <w:r>
        <w:rPr>
          <w:spacing w:val="-4"/>
        </w:rPr>
        <w:t> </w:t>
      </w:r>
      <w:r>
        <w:rPr/>
        <w:t>la</w:t>
      </w:r>
      <w:r>
        <w:rPr>
          <w:spacing w:val="-3"/>
        </w:rPr>
        <w:t> </w:t>
      </w:r>
      <w:r>
        <w:rPr/>
        <w:t>economía</w:t>
      </w:r>
      <w:r>
        <w:rPr>
          <w:spacing w:val="-4"/>
        </w:rPr>
        <w:t> </w:t>
      </w:r>
      <w:r>
        <w:rPr/>
        <w:t>(agosto</w:t>
      </w:r>
      <w:r>
        <w:rPr>
          <w:spacing w:val="-4"/>
        </w:rPr>
        <w:t> </w:t>
      </w:r>
      <w:r>
        <w:rPr/>
        <w:t>2020)</w:t>
      </w:r>
      <w:r>
        <w:rPr>
          <w:spacing w:val="-5"/>
        </w:rPr>
        <w:t> </w:t>
      </w:r>
      <w:r>
        <w:rPr/>
        <w:t>la</w:t>
      </w:r>
      <w:r>
        <w:rPr>
          <w:spacing w:val="-7"/>
        </w:rPr>
        <w:t> </w:t>
      </w:r>
      <w:r>
        <w:rPr/>
        <w:t>nueva normalidad cobró relevancia y la recaudación marcó un incremento respecto a lo programado en presupuesto de 20.2% (Q8,441.3 millones) y con relación al año 2020, un incremento de 30.3% (Q11,692.9 millones). Ya en el último mes de este tercer trimestre, la velocidad de la recaudación era diferente a lo que reflejaban las estimaciones del BANGUAT en el ámbito del comercio internacional, la recaudación tributaria asociada al comercio exterior a esa fecha reflejaba un crecimiento de 45.7%, el Impuesto al Valor Agregado asociado al consumo interno de igual manera que el resto de impuestos generó brecha positiva de Q1,017.1 millones, los Derivados del Petróleo superaban en Q470 millones la meta y los Derechos Arancelarios a la Importación Q588.9 millones, las principales variables macroeconómicas que se pueden asociar a esta recaudación daban muestras de</w:t>
      </w:r>
      <w:r>
        <w:rPr>
          <w:spacing w:val="-4"/>
        </w:rPr>
        <w:t> </w:t>
      </w:r>
      <w:r>
        <w:rPr/>
        <w:t>recuperación,</w:t>
      </w:r>
      <w:r>
        <w:rPr>
          <w:spacing w:val="-6"/>
        </w:rPr>
        <w:t> </w:t>
      </w:r>
      <w:r>
        <w:rPr/>
        <w:t>las</w:t>
      </w:r>
      <w:r>
        <w:rPr>
          <w:spacing w:val="-5"/>
        </w:rPr>
        <w:t> </w:t>
      </w:r>
      <w:r>
        <w:rPr/>
        <w:t>remesas</w:t>
      </w:r>
      <w:r>
        <w:rPr>
          <w:spacing w:val="-3"/>
        </w:rPr>
        <w:t> </w:t>
      </w:r>
      <w:r>
        <w:rPr/>
        <w:t>familiares</w:t>
      </w:r>
      <w:r>
        <w:rPr>
          <w:spacing w:val="-3"/>
        </w:rPr>
        <w:t> </w:t>
      </w:r>
      <w:r>
        <w:rPr/>
        <w:t>acumuladas</w:t>
      </w:r>
      <w:r>
        <w:rPr>
          <w:spacing w:val="-4"/>
        </w:rPr>
        <w:t> </w:t>
      </w:r>
      <w:r>
        <w:rPr/>
        <w:t>a</w:t>
      </w:r>
      <w:r>
        <w:rPr>
          <w:spacing w:val="-6"/>
        </w:rPr>
        <w:t> </w:t>
      </w:r>
      <w:r>
        <w:rPr/>
        <w:t>septiembre</w:t>
      </w:r>
      <w:r>
        <w:rPr>
          <w:spacing w:val="-3"/>
        </w:rPr>
        <w:t> </w:t>
      </w:r>
      <w:r>
        <w:rPr/>
        <w:t>crecieron</w:t>
      </w:r>
      <w:r>
        <w:rPr>
          <w:spacing w:val="-6"/>
        </w:rPr>
        <w:t> </w:t>
      </w:r>
      <w:r>
        <w:rPr/>
        <w:t>36.6%,</w:t>
      </w:r>
      <w:r>
        <w:rPr>
          <w:spacing w:val="-6"/>
        </w:rPr>
        <w:t> </w:t>
      </w:r>
      <w:r>
        <w:rPr/>
        <w:t>el</w:t>
      </w:r>
      <w:r>
        <w:rPr>
          <w:spacing w:val="-4"/>
        </w:rPr>
        <w:t> </w:t>
      </w:r>
      <w:r>
        <w:rPr/>
        <w:t>índice</w:t>
      </w:r>
      <w:r>
        <w:rPr>
          <w:spacing w:val="-3"/>
        </w:rPr>
        <w:t> </w:t>
      </w:r>
      <w:r>
        <w:rPr/>
        <w:t>mensual de la actividad económica -IMAE- luego de crecer a dos dígitos, a septiembre retoma su comportamiento histórico, las exportaciones y las importaciones gravadas dan señales también de recuperación.</w:t>
      </w:r>
    </w:p>
    <w:p>
      <w:pPr>
        <w:pStyle w:val="BodyText"/>
        <w:rPr>
          <w:sz w:val="26"/>
        </w:rPr>
      </w:pPr>
    </w:p>
    <w:p>
      <w:pPr>
        <w:spacing w:before="0"/>
        <w:ind w:left="2842" w:right="0" w:firstLine="0"/>
        <w:jc w:val="left"/>
        <w:rPr>
          <w:b/>
          <w:sz w:val="20"/>
        </w:rPr>
      </w:pPr>
      <w:bookmarkStart w:name="_bookmark121" w:id="149"/>
      <w:bookmarkEnd w:id="149"/>
      <w:r>
        <w:rPr/>
      </w:r>
      <w:r>
        <w:rPr>
          <w:b/>
          <w:i/>
          <w:sz w:val="20"/>
        </w:rPr>
        <w:t>Gráfico 62. </w:t>
      </w:r>
      <w:r>
        <w:rPr>
          <w:b/>
          <w:sz w:val="20"/>
        </w:rPr>
        <w:t>Principales indicadores de Guatemala</w:t>
      </w:r>
    </w:p>
    <w:p>
      <w:pPr>
        <w:pStyle w:val="BodyText"/>
        <w:spacing w:before="8"/>
        <w:rPr>
          <w:b/>
          <w:sz w:val="16"/>
        </w:rPr>
      </w:pPr>
    </w:p>
    <w:p>
      <w:pPr>
        <w:spacing w:after="0"/>
        <w:rPr>
          <w:sz w:val="16"/>
        </w:rPr>
        <w:sectPr>
          <w:pgSz w:w="12240" w:h="15840"/>
          <w:pgMar w:header="715" w:footer="957" w:top="1240" w:bottom="1140" w:left="1140" w:right="0"/>
        </w:sect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spacing w:before="7"/>
        <w:rPr>
          <w:b/>
          <w:sz w:val="9"/>
        </w:rPr>
      </w:pPr>
    </w:p>
    <w:p>
      <w:pPr>
        <w:spacing w:before="0"/>
        <w:ind w:left="0" w:right="0" w:firstLine="0"/>
        <w:jc w:val="right"/>
        <w:rPr>
          <w:sz w:val="11"/>
        </w:rPr>
      </w:pPr>
      <w:r>
        <w:rPr>
          <w:color w:val="585858"/>
          <w:sz w:val="11"/>
        </w:rPr>
        <w:t>50%</w:t>
      </w:r>
    </w:p>
    <w:p>
      <w:pPr>
        <w:pStyle w:val="BodyText"/>
        <w:rPr>
          <w:sz w:val="11"/>
        </w:rPr>
      </w:pPr>
    </w:p>
    <w:p>
      <w:pPr>
        <w:spacing w:before="0"/>
        <w:ind w:left="0" w:right="0" w:firstLine="0"/>
        <w:jc w:val="right"/>
        <w:rPr>
          <w:sz w:val="11"/>
        </w:rPr>
      </w:pPr>
      <w:r>
        <w:rPr>
          <w:color w:val="585858"/>
          <w:sz w:val="11"/>
        </w:rPr>
        <w:t>45%</w:t>
      </w:r>
    </w:p>
    <w:p>
      <w:pPr>
        <w:pStyle w:val="BodyText"/>
        <w:spacing w:before="11"/>
        <w:rPr>
          <w:sz w:val="10"/>
        </w:rPr>
      </w:pPr>
    </w:p>
    <w:p>
      <w:pPr>
        <w:spacing w:before="0"/>
        <w:ind w:left="0" w:right="0" w:firstLine="0"/>
        <w:jc w:val="right"/>
        <w:rPr>
          <w:sz w:val="11"/>
        </w:rPr>
      </w:pPr>
      <w:r>
        <w:rPr>
          <w:color w:val="585858"/>
          <w:sz w:val="11"/>
        </w:rPr>
        <w:t>40%</w:t>
      </w:r>
    </w:p>
    <w:p>
      <w:pPr>
        <w:pStyle w:val="BodyText"/>
        <w:spacing w:before="11"/>
        <w:rPr>
          <w:sz w:val="10"/>
        </w:rPr>
      </w:pPr>
    </w:p>
    <w:p>
      <w:pPr>
        <w:spacing w:before="0"/>
        <w:ind w:left="0" w:right="0" w:firstLine="0"/>
        <w:jc w:val="right"/>
        <w:rPr>
          <w:sz w:val="11"/>
        </w:rPr>
      </w:pPr>
      <w:r>
        <w:rPr>
          <w:color w:val="585858"/>
          <w:sz w:val="11"/>
        </w:rPr>
        <w:t>35%</w:t>
      </w:r>
    </w:p>
    <w:p>
      <w:pPr>
        <w:pStyle w:val="BodyText"/>
        <w:spacing w:before="11"/>
        <w:rPr>
          <w:sz w:val="10"/>
        </w:rPr>
      </w:pPr>
    </w:p>
    <w:p>
      <w:pPr>
        <w:spacing w:before="0"/>
        <w:ind w:left="0" w:right="0" w:firstLine="0"/>
        <w:jc w:val="right"/>
        <w:rPr>
          <w:sz w:val="11"/>
        </w:rPr>
      </w:pPr>
      <w:r>
        <w:rPr>
          <w:color w:val="585858"/>
          <w:sz w:val="11"/>
        </w:rPr>
        <w:t>30%</w:t>
      </w:r>
    </w:p>
    <w:p>
      <w:pPr>
        <w:pStyle w:val="BodyText"/>
        <w:rPr>
          <w:sz w:val="11"/>
        </w:rPr>
      </w:pPr>
    </w:p>
    <w:p>
      <w:pPr>
        <w:spacing w:before="0"/>
        <w:ind w:left="0" w:right="0" w:firstLine="0"/>
        <w:jc w:val="right"/>
        <w:rPr>
          <w:sz w:val="11"/>
        </w:rPr>
      </w:pPr>
      <w:r>
        <w:rPr>
          <w:color w:val="585858"/>
          <w:sz w:val="11"/>
        </w:rPr>
        <w:t>25%</w:t>
      </w:r>
    </w:p>
    <w:p>
      <w:pPr>
        <w:pStyle w:val="BodyText"/>
        <w:spacing w:before="11"/>
        <w:rPr>
          <w:sz w:val="10"/>
        </w:rPr>
      </w:pPr>
    </w:p>
    <w:p>
      <w:pPr>
        <w:spacing w:before="0"/>
        <w:ind w:left="0" w:right="0" w:firstLine="0"/>
        <w:jc w:val="right"/>
        <w:rPr>
          <w:sz w:val="11"/>
        </w:rPr>
      </w:pPr>
      <w:r>
        <w:rPr>
          <w:color w:val="585858"/>
          <w:sz w:val="11"/>
        </w:rPr>
        <w:t>20%</w:t>
      </w:r>
    </w:p>
    <w:p>
      <w:pPr>
        <w:pStyle w:val="BodyText"/>
        <w:spacing w:before="11"/>
        <w:rPr>
          <w:sz w:val="10"/>
        </w:rPr>
      </w:pPr>
    </w:p>
    <w:p>
      <w:pPr>
        <w:spacing w:before="0"/>
        <w:ind w:left="0" w:right="0" w:firstLine="0"/>
        <w:jc w:val="right"/>
        <w:rPr>
          <w:sz w:val="11"/>
        </w:rPr>
      </w:pPr>
      <w:r>
        <w:rPr>
          <w:color w:val="585858"/>
          <w:sz w:val="11"/>
        </w:rPr>
        <w:t>15%</w:t>
      </w:r>
    </w:p>
    <w:p>
      <w:pPr>
        <w:pStyle w:val="BodyText"/>
        <w:spacing w:before="11"/>
        <w:rPr>
          <w:sz w:val="10"/>
        </w:rPr>
      </w:pPr>
    </w:p>
    <w:p>
      <w:pPr>
        <w:spacing w:before="0"/>
        <w:ind w:left="0" w:right="0" w:firstLine="0"/>
        <w:jc w:val="right"/>
        <w:rPr>
          <w:sz w:val="11"/>
        </w:rPr>
      </w:pPr>
      <w:r>
        <w:rPr>
          <w:color w:val="585858"/>
          <w:sz w:val="11"/>
        </w:rPr>
        <w:t>10%</w:t>
      </w:r>
    </w:p>
    <w:p>
      <w:pPr>
        <w:pStyle w:val="BodyText"/>
        <w:spacing w:before="11"/>
        <w:rPr>
          <w:sz w:val="10"/>
        </w:rPr>
      </w:pPr>
    </w:p>
    <w:p>
      <w:pPr>
        <w:spacing w:before="0"/>
        <w:ind w:left="0" w:right="0" w:firstLine="0"/>
        <w:jc w:val="right"/>
        <w:rPr>
          <w:sz w:val="11"/>
        </w:rPr>
      </w:pPr>
      <w:r>
        <w:rPr>
          <w:color w:val="585858"/>
          <w:spacing w:val="-1"/>
          <w:sz w:val="11"/>
        </w:rPr>
        <w:t>5%</w:t>
      </w:r>
    </w:p>
    <w:p>
      <w:pPr>
        <w:pStyle w:val="BodyText"/>
        <w:spacing w:before="11"/>
        <w:rPr>
          <w:sz w:val="10"/>
        </w:rPr>
      </w:pPr>
    </w:p>
    <w:p>
      <w:pPr>
        <w:spacing w:before="0"/>
        <w:ind w:left="0" w:right="0" w:firstLine="0"/>
        <w:jc w:val="right"/>
        <w:rPr>
          <w:sz w:val="11"/>
        </w:rPr>
      </w:pPr>
      <w:r>
        <w:rPr>
          <w:color w:val="585858"/>
          <w:spacing w:val="-1"/>
          <w:sz w:val="11"/>
        </w:rPr>
        <w:t>0%</w:t>
      </w:r>
    </w:p>
    <w:p>
      <w:pPr>
        <w:spacing w:before="97"/>
        <w:ind w:left="49" w:right="0" w:firstLine="0"/>
        <w:jc w:val="center"/>
        <w:rPr>
          <w:b/>
          <w:sz w:val="20"/>
        </w:rPr>
      </w:pPr>
      <w:r>
        <w:rPr/>
        <w:br w:type="column"/>
      </w:r>
      <w:r>
        <w:rPr>
          <w:b/>
          <w:sz w:val="20"/>
        </w:rPr>
        <w:t>Remesas</w:t>
      </w:r>
      <w:r>
        <w:rPr>
          <w:b/>
          <w:spacing w:val="-18"/>
          <w:sz w:val="20"/>
        </w:rPr>
        <w:t> </w:t>
      </w:r>
      <w:r>
        <w:rPr>
          <w:b/>
          <w:sz w:val="20"/>
        </w:rPr>
        <w:t>Familiares</w:t>
      </w:r>
    </w:p>
    <w:p>
      <w:pPr>
        <w:spacing w:before="32"/>
        <w:ind w:left="54" w:right="0" w:firstLine="0"/>
        <w:jc w:val="center"/>
        <w:rPr>
          <w:sz w:val="14"/>
        </w:rPr>
      </w:pPr>
      <w:r>
        <w:rPr>
          <w:sz w:val="14"/>
        </w:rPr>
        <w:t>Variación interanual</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spacing w:before="79"/>
        <w:ind w:left="0" w:right="91" w:firstLine="0"/>
        <w:jc w:val="right"/>
        <w:rPr>
          <w:sz w:val="11"/>
        </w:rPr>
      </w:pPr>
      <w:r>
        <w:rPr/>
        <w:pict>
          <v:group style="position:absolute;margin-left:98.481003pt;margin-top:8.504778pt;width:92.3pt;height:140.85pt;mso-position-horizontal-relative:page;mso-position-vertical-relative:paragraph;z-index:252465152" coordorigin="1970,170" coordsize="1846,2817">
            <v:shape style="position:absolute;left:2025;top:177;width:1743;height:2525" type="#_x0000_t75" stroked="false">
              <v:imagedata r:id="rId79" o:title=""/>
            </v:shape>
            <v:shape style="position:absolute;left:0;top:3762;width:1743;height:2273" coordorigin="0,3763" coordsize="1743,2273" path="m2026,2450l3768,2450m2026,2198l3768,2198m2026,1944l3768,1944m2026,1692l3768,1692m2026,1440l3768,1440m2026,1188l3768,1188m2026,936l3768,936m2026,681l3768,681m2026,429l3768,429m2026,177l3768,177e" filled="false" stroked="true" strokeweight=".72pt" strokecolor="#d9d9d9">
              <v:path arrowok="t"/>
              <v:stroke dashstyle="solid"/>
            </v:shape>
            <v:shape style="position:absolute;left:0;top:6035;width:1546;height:2525" coordorigin="0,6036" coordsize="1546,2525" path="m2124,177l2124,2702m2316,177l2316,2702m2510,177l2510,2702m2702,177l2702,2702m2897,177l2897,2702m3091,177l3091,2702m3283,177l3283,2702m3478,177l3478,2702m3670,177l3670,2702e" filled="false" stroked="true" strokeweight=".72pt" strokecolor="#d9d9d9">
              <v:path arrowok="t"/>
              <v:stroke dashstyle="solid"/>
            </v:shape>
            <v:shape style="position:absolute;left:0;top:6035;width:1743;height:2525" coordorigin="0,6036" coordsize="1743,2525" path="m2026,177l2026,2702m2220,177l2220,2702m2412,177l2412,2702m2606,177l2606,2702m2801,177l2801,2702m2993,177l2993,2702m3187,177l3187,2702m3382,177l3382,2702m3574,177l3574,2702m3768,177l3768,2702e" filled="false" stroked="true" strokeweight=".72pt" strokecolor="#d9d9d9">
              <v:path arrowok="t"/>
              <v:stroke dashstyle="solid"/>
            </v:shape>
            <v:shape style="position:absolute;left:1999;top:2140;width:243;height:243" type="#_x0000_t75" stroked="false">
              <v:imagedata r:id="rId80" o:title=""/>
            </v:shape>
            <v:shape style="position:absolute;left:2191;top:1941;width:243;height:243" type="#_x0000_t75" stroked="false">
              <v:imagedata r:id="rId80" o:title=""/>
            </v:shape>
            <v:shape style="position:absolute;left:2385;top:1000;width:243;height:243" type="#_x0000_t75" stroked="false">
              <v:imagedata r:id="rId80" o:title=""/>
            </v:shape>
            <v:shape style="position:absolute;left:2577;top:467;width:243;height:243" type="#_x0000_t75" stroked="false">
              <v:imagedata r:id="rId80" o:title=""/>
            </v:shape>
            <v:shape style="position:absolute;left:2772;top:402;width:243;height:243" type="#_x0000_t75" stroked="false">
              <v:imagedata r:id="rId80" o:title=""/>
            </v:shape>
            <v:shape style="position:absolute;left:2966;top:419;width:243;height:243" type="#_x0000_t75" stroked="false">
              <v:imagedata r:id="rId80" o:title=""/>
            </v:shape>
            <v:shape style="position:absolute;left:3158;top:575;width:243;height:243" type="#_x0000_t75" stroked="false">
              <v:imagedata r:id="rId80" o:title=""/>
            </v:shape>
            <v:shape style="position:absolute;left:3352;top:633;width:243;height:243" type="#_x0000_t75" stroked="false">
              <v:imagedata r:id="rId80" o:title=""/>
            </v:shape>
            <v:shape style="position:absolute;left:3544;top:731;width:243;height:243" type="#_x0000_t75" stroked="false">
              <v:imagedata r:id="rId80" o:title=""/>
            </v:shape>
            <v:shape style="position:absolute;left:2040;top:438;width:1707;height:1903" type="#_x0000_t75" stroked="false">
              <v:imagedata r:id="rId81" o:title=""/>
            </v:shape>
            <v:shape style="position:absolute;left:2122;top:522;width:1548;height:1745" coordorigin="2123,522" coordsize="1548,1745" path="m2123,2266l2166,2234,2220,2199,2273,2147,2316,2067,2348,1948,2365,1874,2381,1793,2397,1707,2413,1617,2429,1527,2445,1437,2461,1350,2478,1268,2494,1193,2510,1126,2537,1025,2565,931,2593,845,2620,768,2648,699,2676,641,2749,548,2851,529,2897,528,2945,523,3042,528,3139,576,3187,620,3235,666,3284,701,3332,722,3381,733,3429,743,3477,757,3526,779,3574,804,3622,830,3671,856e" filled="false" stroked="true" strokeweight="1.8pt" strokecolor="#000000">
              <v:path arrowok="t"/>
              <v:stroke dashstyle="dot"/>
            </v:shape>
            <v:shape style="position:absolute;left:2059;top:2200;width:123;height:123" type="#_x0000_t75" stroked="false">
              <v:imagedata r:id="rId76" o:title=""/>
            </v:shape>
            <v:shape style="position:absolute;left:2251;top:2001;width:123;height:123" type="#_x0000_t75" stroked="false">
              <v:imagedata r:id="rId76" o:title=""/>
            </v:shape>
            <v:shape style="position:absolute;left:2445;top:1060;width:123;height:123" type="#_x0000_t75" stroked="false">
              <v:imagedata r:id="rId76" o:title=""/>
            </v:shape>
            <v:shape style="position:absolute;left:2637;top:527;width:123;height:123" type="#_x0000_t75" stroked="false">
              <v:imagedata r:id="rId76" o:title=""/>
            </v:shape>
            <v:shape style="position:absolute;left:2832;top:462;width:123;height:123" type="#_x0000_t75" stroked="false">
              <v:imagedata r:id="rId76" o:title=""/>
            </v:shape>
            <v:shape style="position:absolute;left:3026;top:479;width:123;height:123" type="#_x0000_t75" stroked="false">
              <v:imagedata r:id="rId76" o:title=""/>
            </v:shape>
            <v:shape style="position:absolute;left:3218;top:635;width:123;height:123" type="#_x0000_t75" stroked="false">
              <v:imagedata r:id="rId76" o:title=""/>
            </v:shape>
            <v:shape style="position:absolute;left:3412;top:693;width:123;height:123" type="#_x0000_t75" stroked="false">
              <v:imagedata r:id="rId76" o:title=""/>
            </v:shape>
            <v:shape style="position:absolute;left:3604;top:791;width:123;height:123" type="#_x0000_t75" stroked="false">
              <v:imagedata r:id="rId76" o:title=""/>
            </v:shape>
            <v:line style="position:absolute" from="2124,2265" to="2263,2364" stroked="true" strokeweight=".72pt" strokecolor="#a6a6a6">
              <v:stroke dashstyle="solid"/>
            </v:line>
            <v:shape style="position:absolute;left:2510;top:1125;width:176;height:94" coordorigin="2510,1125" coordsize="176,94" path="m2510,1125l2594,1219,2686,1219e" filled="false" stroked="true" strokeweight=".72pt" strokecolor="#a6a6a6">
              <v:path arrowok="t"/>
              <v:stroke dashstyle="solid"/>
            </v:shape>
            <v:shape style="position:absolute;left:2529;top:426;width:173;height:166" coordorigin="2530,427" coordsize="173,166" path="m2702,592l2618,427,2530,427e" filled="false" stroked="true" strokeweight=".72pt" strokecolor="#a6a6a6">
              <v:path arrowok="t"/>
              <v:stroke dashstyle="solid"/>
            </v:shape>
            <v:line style="position:absolute" from="2893,520" to="2893,672" stroked="true" strokeweight="1.08pt" strokecolor="#a6a6a6">
              <v:stroke dashstyle="solid"/>
            </v:line>
            <v:line style="position:absolute" from="3091,544" to="2914,369" stroked="true" strokeweight=".72pt" strokecolor="#a6a6a6">
              <v:stroke dashstyle="solid"/>
            </v:line>
            <v:line style="position:absolute" from="3290,427" to="3290,708" stroked="true" strokeweight="1.44pt" strokecolor="#a6a6a6">
              <v:stroke dashstyle="solid"/>
            </v:line>
            <v:line style="position:absolute" from="3478,758" to="3478,1044" stroked="true" strokeweight=".72pt" strokecolor="#a6a6a6">
              <v:stroke dashstyle="solid"/>
            </v:line>
            <v:shape style="position:absolute;left:1969;top:2694;width:1799;height:292" type="#_x0000_t75" stroked="false">
              <v:imagedata r:id="rId82" o:title=""/>
            </v:shape>
            <v:shape style="position:absolute;left:2773;top:229;width:682;height:177" type="#_x0000_t202" filled="false" stroked="false">
              <v:textbox inset="0,0,0,0">
                <w:txbxContent>
                  <w:p>
                    <w:pPr>
                      <w:spacing w:line="230" w:lineRule="auto" w:before="0"/>
                      <w:ind w:left="0" w:right="0" w:firstLine="0"/>
                      <w:jc w:val="left"/>
                      <w:rPr>
                        <w:b/>
                        <w:sz w:val="10"/>
                      </w:rPr>
                    </w:pPr>
                    <w:r>
                      <w:rPr>
                        <w:b/>
                        <w:sz w:val="10"/>
                      </w:rPr>
                      <w:t>42.7% </w:t>
                    </w:r>
                    <w:r>
                      <w:rPr>
                        <w:b/>
                        <w:position w:val="-5"/>
                        <w:sz w:val="10"/>
                      </w:rPr>
                      <w:t>39.6%</w:t>
                    </w:r>
                  </w:p>
                </w:txbxContent>
              </v:textbox>
              <w10:wrap type="none"/>
            </v:shape>
            <v:shape style="position:absolute;left:2190;top:375;width:299;height:112" type="#_x0000_t202" filled="false" stroked="false">
              <v:textbox inset="0,0,0,0">
                <w:txbxContent>
                  <w:p>
                    <w:pPr>
                      <w:spacing w:line="111" w:lineRule="exact" w:before="0"/>
                      <w:ind w:left="0" w:right="0" w:firstLine="0"/>
                      <w:jc w:val="left"/>
                      <w:rPr>
                        <w:b/>
                        <w:sz w:val="10"/>
                      </w:rPr>
                    </w:pPr>
                    <w:r>
                      <w:rPr>
                        <w:b/>
                        <w:sz w:val="10"/>
                      </w:rPr>
                      <w:t>41.8%</w:t>
                    </w:r>
                  </w:p>
                </w:txbxContent>
              </v:textbox>
              <w10:wrap type="none"/>
            </v:shape>
            <v:shape style="position:absolute;left:3516;top:605;width:299;height:112" type="#_x0000_t202" filled="false" stroked="false">
              <v:textbox inset="0,0,0,0">
                <w:txbxContent>
                  <w:p>
                    <w:pPr>
                      <w:spacing w:line="111" w:lineRule="exact" w:before="0"/>
                      <w:ind w:left="0" w:right="0" w:firstLine="0"/>
                      <w:jc w:val="left"/>
                      <w:rPr>
                        <w:b/>
                        <w:sz w:val="10"/>
                      </w:rPr>
                    </w:pPr>
                    <w:r>
                      <w:rPr>
                        <w:b/>
                        <w:sz w:val="10"/>
                      </w:rPr>
                      <w:t>36.6%</w:t>
                    </w:r>
                  </w:p>
                </w:txbxContent>
              </v:textbox>
              <w10:wrap type="none"/>
            </v:shape>
            <v:shape style="position:absolute;left:2749;top:699;width:299;height:112" type="#_x0000_t202" filled="false" stroked="false">
              <v:textbox inset="0,0,0,0">
                <w:txbxContent>
                  <w:p>
                    <w:pPr>
                      <w:spacing w:line="111" w:lineRule="exact" w:before="0"/>
                      <w:ind w:left="0" w:right="0" w:firstLine="0"/>
                      <w:jc w:val="left"/>
                      <w:rPr>
                        <w:b/>
                        <w:sz w:val="10"/>
                      </w:rPr>
                    </w:pPr>
                    <w:r>
                      <w:rPr>
                        <w:b/>
                        <w:sz w:val="10"/>
                      </w:rPr>
                      <w:t>43.1%</w:t>
                    </w:r>
                  </w:p>
                </w:txbxContent>
              </v:textbox>
              <w10:wrap type="none"/>
            </v:shape>
            <v:shape style="position:absolute;left:3336;top:1079;width:299;height:112" type="#_x0000_t202" filled="false" stroked="false">
              <v:textbox inset="0,0,0,0">
                <w:txbxContent>
                  <w:p>
                    <w:pPr>
                      <w:spacing w:line="111" w:lineRule="exact" w:before="0"/>
                      <w:ind w:left="0" w:right="0" w:firstLine="0"/>
                      <w:jc w:val="left"/>
                      <w:rPr>
                        <w:b/>
                        <w:sz w:val="10"/>
                      </w:rPr>
                    </w:pPr>
                    <w:r>
                      <w:rPr>
                        <w:b/>
                        <w:sz w:val="10"/>
                      </w:rPr>
                      <w:t>38.5%</w:t>
                    </w:r>
                  </w:p>
                </w:txbxContent>
              </v:textbox>
              <w10:wrap type="none"/>
            </v:shape>
            <v:shape style="position:absolute;left:2741;top:1167;width:299;height:112" type="#_x0000_t202" filled="false" stroked="false">
              <v:textbox inset="0,0,0,0">
                <w:txbxContent>
                  <w:p>
                    <w:pPr>
                      <w:spacing w:line="111" w:lineRule="exact" w:before="0"/>
                      <w:ind w:left="0" w:right="0" w:firstLine="0"/>
                      <w:jc w:val="left"/>
                      <w:rPr>
                        <w:b/>
                        <w:sz w:val="10"/>
                      </w:rPr>
                    </w:pPr>
                    <w:r>
                      <w:rPr>
                        <w:b/>
                        <w:sz w:val="10"/>
                      </w:rPr>
                      <w:t>31.2%</w:t>
                    </w:r>
                  </w:p>
                </w:txbxContent>
              </v:textbox>
              <w10:wrap type="none"/>
            </v:shape>
            <v:shape style="position:absolute;left:2447;top:1995;width:299;height:112" type="#_x0000_t202" filled="false" stroked="false">
              <v:textbox inset="0,0,0,0">
                <w:txbxContent>
                  <w:p>
                    <w:pPr>
                      <w:spacing w:line="111" w:lineRule="exact" w:before="0"/>
                      <w:ind w:left="0" w:right="0" w:firstLine="0"/>
                      <w:jc w:val="left"/>
                      <w:rPr>
                        <w:b/>
                        <w:sz w:val="10"/>
                      </w:rPr>
                    </w:pPr>
                    <w:r>
                      <w:rPr>
                        <w:b/>
                        <w:sz w:val="10"/>
                      </w:rPr>
                      <w:t>12.6%</w:t>
                    </w:r>
                  </w:p>
                </w:txbxContent>
              </v:textbox>
              <w10:wrap type="none"/>
            </v:shape>
            <v:shape style="position:absolute;left:2146;top:2398;width:248;height:112" type="#_x0000_t202" filled="false" stroked="false">
              <v:textbox inset="0,0,0,0">
                <w:txbxContent>
                  <w:p>
                    <w:pPr>
                      <w:spacing w:line="111" w:lineRule="exact" w:before="0"/>
                      <w:ind w:left="0" w:right="0" w:firstLine="0"/>
                      <w:jc w:val="left"/>
                      <w:rPr>
                        <w:b/>
                        <w:sz w:val="10"/>
                      </w:rPr>
                    </w:pPr>
                    <w:r>
                      <w:rPr>
                        <w:b/>
                        <w:sz w:val="10"/>
                      </w:rPr>
                      <w:t>8.7%</w:t>
                    </w:r>
                  </w:p>
                </w:txbxContent>
              </v:textbox>
              <w10:wrap type="none"/>
            </v:shape>
            <w10:wrap type="none"/>
          </v:group>
        </w:pict>
      </w:r>
      <w:r>
        <w:rPr>
          <w:color w:val="585858"/>
          <w:sz w:val="11"/>
        </w:rPr>
        <w:t>25%</w:t>
      </w:r>
    </w:p>
    <w:p>
      <w:pPr>
        <w:pStyle w:val="BodyText"/>
        <w:rPr>
          <w:sz w:val="12"/>
        </w:rPr>
      </w:pPr>
    </w:p>
    <w:p>
      <w:pPr>
        <w:spacing w:before="103"/>
        <w:ind w:left="0" w:right="91" w:firstLine="0"/>
        <w:jc w:val="right"/>
        <w:rPr>
          <w:sz w:val="11"/>
        </w:rPr>
      </w:pPr>
      <w:r>
        <w:rPr>
          <w:color w:val="585858"/>
          <w:sz w:val="11"/>
        </w:rPr>
        <w:t>20%</w:t>
      </w:r>
    </w:p>
    <w:p>
      <w:pPr>
        <w:pStyle w:val="BodyText"/>
        <w:rPr>
          <w:sz w:val="12"/>
        </w:rPr>
      </w:pPr>
    </w:p>
    <w:p>
      <w:pPr>
        <w:spacing w:before="104"/>
        <w:ind w:left="0" w:right="91" w:firstLine="0"/>
        <w:jc w:val="right"/>
        <w:rPr>
          <w:sz w:val="11"/>
        </w:rPr>
      </w:pPr>
      <w:r>
        <w:rPr>
          <w:color w:val="585858"/>
          <w:sz w:val="11"/>
        </w:rPr>
        <w:t>15%</w:t>
      </w:r>
    </w:p>
    <w:p>
      <w:pPr>
        <w:pStyle w:val="BodyText"/>
        <w:rPr>
          <w:sz w:val="12"/>
        </w:rPr>
      </w:pPr>
    </w:p>
    <w:p>
      <w:pPr>
        <w:spacing w:before="102"/>
        <w:ind w:left="0" w:right="91" w:firstLine="0"/>
        <w:jc w:val="right"/>
        <w:rPr>
          <w:sz w:val="11"/>
        </w:rPr>
      </w:pPr>
      <w:r>
        <w:rPr>
          <w:color w:val="585858"/>
          <w:sz w:val="11"/>
        </w:rPr>
        <w:t>10%</w:t>
      </w:r>
    </w:p>
    <w:p>
      <w:pPr>
        <w:pStyle w:val="BodyText"/>
        <w:rPr>
          <w:sz w:val="12"/>
        </w:rPr>
      </w:pPr>
    </w:p>
    <w:p>
      <w:pPr>
        <w:spacing w:before="104"/>
        <w:ind w:left="0" w:right="91" w:firstLine="0"/>
        <w:jc w:val="right"/>
        <w:rPr>
          <w:sz w:val="11"/>
        </w:rPr>
      </w:pPr>
      <w:r>
        <w:rPr>
          <w:color w:val="585858"/>
          <w:sz w:val="11"/>
        </w:rPr>
        <w:t>5%</w:t>
      </w:r>
    </w:p>
    <w:p>
      <w:pPr>
        <w:spacing w:before="50"/>
        <w:ind w:left="0" w:right="0" w:firstLine="0"/>
        <w:jc w:val="right"/>
        <w:rPr>
          <w:b/>
          <w:sz w:val="10"/>
        </w:rPr>
      </w:pPr>
      <w:r>
        <w:rPr>
          <w:b/>
          <w:w w:val="100"/>
          <w:sz w:val="10"/>
        </w:rPr>
        <w:t>-</w:t>
      </w:r>
    </w:p>
    <w:p>
      <w:pPr>
        <w:spacing w:before="76"/>
        <w:ind w:left="0" w:right="91" w:firstLine="0"/>
        <w:jc w:val="right"/>
        <w:rPr>
          <w:sz w:val="11"/>
        </w:rPr>
      </w:pPr>
      <w:r>
        <w:rPr>
          <w:color w:val="585858"/>
          <w:sz w:val="11"/>
        </w:rPr>
        <w:t>0%</w:t>
      </w:r>
    </w:p>
    <w:p>
      <w:pPr>
        <w:pStyle w:val="BodyText"/>
        <w:rPr>
          <w:sz w:val="12"/>
        </w:rPr>
      </w:pPr>
    </w:p>
    <w:p>
      <w:pPr>
        <w:spacing w:before="103"/>
        <w:ind w:left="0" w:right="92" w:firstLine="0"/>
        <w:jc w:val="right"/>
        <w:rPr>
          <w:sz w:val="11"/>
        </w:rPr>
      </w:pPr>
      <w:r>
        <w:rPr>
          <w:color w:val="585858"/>
          <w:spacing w:val="-1"/>
          <w:sz w:val="11"/>
        </w:rPr>
        <w:t>-5%</w:t>
      </w:r>
    </w:p>
    <w:p>
      <w:pPr>
        <w:pStyle w:val="BodyText"/>
        <w:rPr>
          <w:sz w:val="12"/>
        </w:rPr>
      </w:pPr>
    </w:p>
    <w:p>
      <w:pPr>
        <w:spacing w:before="103"/>
        <w:ind w:left="0" w:right="91" w:firstLine="0"/>
        <w:jc w:val="right"/>
        <w:rPr>
          <w:sz w:val="11"/>
        </w:rPr>
      </w:pPr>
      <w:r>
        <w:rPr>
          <w:color w:val="585858"/>
          <w:spacing w:val="-1"/>
          <w:sz w:val="11"/>
        </w:rPr>
        <w:t>-10%</w:t>
      </w:r>
    </w:p>
    <w:p>
      <w:pPr>
        <w:spacing w:before="97"/>
        <w:ind w:left="167" w:right="0" w:firstLine="0"/>
        <w:jc w:val="left"/>
        <w:rPr>
          <w:b/>
          <w:sz w:val="20"/>
        </w:rPr>
      </w:pPr>
      <w:r>
        <w:rPr/>
        <w:br w:type="column"/>
      </w:r>
      <w:r>
        <w:rPr>
          <w:b/>
          <w:w w:val="95"/>
          <w:sz w:val="20"/>
        </w:rPr>
        <w:t>Exportaciones</w:t>
      </w:r>
    </w:p>
    <w:p>
      <w:pPr>
        <w:spacing w:before="32"/>
        <w:ind w:left="203" w:right="0" w:firstLine="0"/>
        <w:jc w:val="left"/>
        <w:rPr>
          <w:sz w:val="14"/>
        </w:rPr>
      </w:pPr>
      <w:r>
        <w:rPr>
          <w:sz w:val="14"/>
        </w:rPr>
        <w:t>Variación interanual</w:t>
      </w:r>
    </w:p>
    <w:p>
      <w:pPr>
        <w:spacing w:before="92"/>
        <w:ind w:left="686" w:right="0" w:firstLine="0"/>
        <w:jc w:val="center"/>
        <w:rPr>
          <w:b/>
          <w:sz w:val="19"/>
        </w:rPr>
      </w:pPr>
      <w:r>
        <w:rPr/>
        <w:br w:type="column"/>
      </w:r>
      <w:r>
        <w:rPr>
          <w:b/>
          <w:sz w:val="19"/>
        </w:rPr>
        <w:t>Importaciones gravadas</w:t>
      </w:r>
    </w:p>
    <w:p>
      <w:pPr>
        <w:spacing w:before="34"/>
        <w:ind w:left="686" w:right="0" w:firstLine="0"/>
        <w:jc w:val="center"/>
        <w:rPr>
          <w:sz w:val="14"/>
        </w:rPr>
      </w:pPr>
      <w:r>
        <w:rPr>
          <w:sz w:val="14"/>
        </w:rPr>
        <w:t>Variación interanual</w:t>
      </w:r>
    </w:p>
    <w:p>
      <w:pPr>
        <w:pStyle w:val="BodyText"/>
        <w:rPr>
          <w:sz w:val="14"/>
        </w:rPr>
      </w:pPr>
    </w:p>
    <w:p>
      <w:pPr>
        <w:spacing w:before="105"/>
        <w:ind w:left="591" w:right="0" w:firstLine="0"/>
        <w:jc w:val="left"/>
        <w:rPr>
          <w:sz w:val="11"/>
        </w:rPr>
      </w:pPr>
      <w:r>
        <w:rPr/>
        <w:pict>
          <v:group style="position:absolute;margin-left:223.080002pt;margin-top:8.124752pt;width:93.3pt;height:129.4pt;mso-position-horizontal-relative:page;mso-position-vertical-relative:paragraph;z-index:252488704" coordorigin="4462,162" coordsize="1866,2588">
            <v:shape style="position:absolute;left:4485;top:169;width:1798;height:2573" type="#_x0000_t75" stroked="false">
              <v:imagedata r:id="rId83" o:title=""/>
            </v:shape>
            <v:shape style="position:absolute;left:0;top:3486;width:1798;height:2573" coordorigin="0,3486" coordsize="1798,2573" path="m4486,2742l6283,2742m4486,2375l6283,2375m4486,1638l6283,1638m4486,1271l6283,1271m4486,904l6283,904m4486,537l6283,537m4486,170l6283,170e" filled="false" stroked="true" strokeweight=".72pt" strokecolor="#d9d9d9">
              <v:path arrowok="t"/>
              <v:stroke dashstyle="solid"/>
            </v:shape>
            <v:shape style="position:absolute;left:0;top:6059;width:1599;height:2573" coordorigin="0,6059" coordsize="1599,2573" path="m4586,170l4586,2742m4786,170l4786,2742m4987,170l4987,2742m5186,170l5186,2742m5386,170l5386,2742m5585,170l5585,2742m5784,170l5784,2742m5986,170l5986,2742m6185,170l6185,2742e" filled="false" stroked="true" strokeweight=".72pt" strokecolor="#d9d9d9">
              <v:path arrowok="t"/>
              <v:stroke dashstyle="solid"/>
            </v:shape>
            <v:shape style="position:absolute;left:0;top:6059;width:1798;height:2573" coordorigin="0,6059" coordsize="1798,2573" path="m4486,170l4486,2742m4687,170l4687,2742m4886,170l4886,2742m5086,170l5086,2742m5285,170l5285,2742m5486,170l5486,2742m5686,170l5686,2742m5885,170l5885,2742m6084,170l6084,2742m6283,170l6283,2742e" filled="false" stroked="true" strokeweight=".72pt" strokecolor="#d9d9d9">
              <v:path arrowok="t"/>
              <v:stroke dashstyle="solid"/>
            </v:shape>
            <v:line style="position:absolute" from="4486,2008" to="6283,2008" stroked="true" strokeweight=".72pt" strokecolor="#ff0000">
              <v:stroke dashstyle="solid"/>
            </v:line>
            <v:shape style="position:absolute;left:4461;top:1900;width:243;height:243" type="#_x0000_t75" stroked="false">
              <v:imagedata r:id="rId80" o:title=""/>
            </v:shape>
            <v:shape style="position:absolute;left:4660;top:1933;width:243;height:243" type="#_x0000_t75" stroked="false">
              <v:imagedata r:id="rId80" o:title=""/>
            </v:shape>
            <v:shape style="position:absolute;left:4862;top:1451;width:243;height:243" type="#_x0000_t75" stroked="false">
              <v:imagedata r:id="rId80" o:title=""/>
            </v:shape>
            <v:shape style="position:absolute;left:5061;top:1391;width:243;height:243" type="#_x0000_t75" stroked="false">
              <v:imagedata r:id="rId80" o:title=""/>
            </v:shape>
            <v:shape style="position:absolute;left:5260;top:1225;width:243;height:243" type="#_x0000_t75" stroked="false">
              <v:imagedata r:id="rId80" o:title=""/>
            </v:shape>
            <v:shape style="position:absolute;left:5460;top:870;width:243;height:243" type="#_x0000_t75" stroked="false">
              <v:imagedata r:id="rId80" o:title=""/>
            </v:shape>
            <v:shape style="position:absolute;left:5659;top:738;width:243;height:243" type="#_x0000_t75" stroked="false">
              <v:imagedata r:id="rId80" o:title=""/>
            </v:shape>
            <v:shape style="position:absolute;left:5860;top:654;width:243;height:243" type="#_x0000_t75" stroked="false">
              <v:imagedata r:id="rId80" o:title=""/>
            </v:shape>
            <v:shape style="position:absolute;left:6060;top:539;width:243;height:243" type="#_x0000_t75" stroked="false">
              <v:imagedata r:id="rId80" o:title=""/>
            </v:shape>
            <v:shape style="position:absolute;left:4504;top:582;width:1755;height:1579" type="#_x0000_t75" stroked="false">
              <v:imagedata r:id="rId84" o:title=""/>
            </v:shape>
            <v:shape style="position:absolute;left:4587;top:665;width:1596;height:1420" coordorigin="4588,665" coordsize="1596,1420" path="m4588,2024l4637,2044,4687,2073,4737,2085,4816,2012,4844,1945,4873,1865,4901,1780,4930,1699,4958,1628,4987,1577,5035,1537,5086,1529,5137,1530,5186,1517,5286,1452,5336,1407,5386,1349,5425,1287,5465,1211,5505,1130,5545,1055,5585,995,5635,946,5735,888,5835,840,5934,803,5984,781,6034,754,6084,725,6134,695,6184,665e" filled="false" stroked="true" strokeweight="1.8pt" strokecolor="#000000">
              <v:path arrowok="t"/>
              <v:stroke dashstyle="dot"/>
            </v:shape>
            <v:shape style="position:absolute;left:4521;top:1960;width:123;height:123" type="#_x0000_t75" stroked="false">
              <v:imagedata r:id="rId76" o:title=""/>
            </v:shape>
            <v:shape style="position:absolute;left:4720;top:1993;width:123;height:123" type="#_x0000_t75" stroked="false">
              <v:imagedata r:id="rId76" o:title=""/>
            </v:shape>
            <v:shape style="position:absolute;left:4922;top:1511;width:123;height:123" type="#_x0000_t75" stroked="false">
              <v:imagedata r:id="rId76" o:title=""/>
            </v:shape>
            <v:shape style="position:absolute;left:5121;top:1451;width:123;height:123" type="#_x0000_t75" stroked="false">
              <v:imagedata r:id="rId76" o:title=""/>
            </v:shape>
            <v:shape style="position:absolute;left:5320;top:1285;width:123;height:123" type="#_x0000_t75" stroked="false">
              <v:imagedata r:id="rId76" o:title=""/>
            </v:shape>
            <v:shape style="position:absolute;left:5520;top:930;width:123;height:123" type="#_x0000_t75" stroked="false">
              <v:imagedata r:id="rId76" o:title=""/>
            </v:shape>
            <v:shape style="position:absolute;left:5719;top:798;width:123;height:123" type="#_x0000_t75" stroked="false">
              <v:imagedata r:id="rId76" o:title=""/>
            </v:shape>
            <v:shape style="position:absolute;left:5920;top:714;width:123;height:123" type="#_x0000_t75" stroked="false">
              <v:imagedata r:id="rId76" o:title=""/>
            </v:shape>
            <v:shape style="position:absolute;left:6120;top:599;width:123;height:123" type="#_x0000_t75" stroked="false">
              <v:imagedata r:id="rId76" o:title=""/>
            </v:shape>
            <v:line style="position:absolute" from="4586,2025" to="4586,1893" stroked="true" strokeweight=".72pt" strokecolor="#a6a6a6">
              <v:stroke dashstyle="solid"/>
            </v:line>
            <v:line style="position:absolute" from="4987,1576" to="4786,1485" stroked="true" strokeweight=".72pt" strokecolor="#a6a6a6">
              <v:stroke dashstyle="solid"/>
            </v:line>
            <v:shape style="position:absolute;left:5018;top:1177;width:168;height:339" coordorigin="5018,1178" coordsize="168,339" path="m5186,1516l5107,1178,5018,1178e" filled="false" stroked="true" strokeweight=".72pt" strokecolor="#a6a6a6">
              <v:path arrowok="t"/>
              <v:stroke dashstyle="solid"/>
            </v:shape>
            <v:shape style="position:absolute;left:5385;top:1350;width:108;height:3" coordorigin="5386,1350" coordsize="108,3" path="m5386,1350l5402,1353,5494,1353e" filled="false" stroked="true" strokeweight=".72pt" strokecolor="#a6a6a6">
              <v:path arrowok="t"/>
              <v:stroke dashstyle="solid"/>
            </v:shape>
            <v:shape style="position:absolute;left:5484;top:856;width:101;height:140" coordorigin="5484,856" coordsize="101,140" path="m5585,995l5573,856,5484,856e" filled="false" stroked="true" strokeweight=".72pt" strokecolor="#a6a6a6">
              <v:path arrowok="t"/>
              <v:stroke dashstyle="solid"/>
            </v:shape>
            <v:line style="position:absolute" from="5784,863" to="5585,753" stroked="true" strokeweight=".72pt" strokecolor="#a6a6a6">
              <v:stroke dashstyle="solid"/>
            </v:line>
            <v:line style="position:absolute" from="5986,779" to="5784,609" stroked="true" strokeweight=".72pt" strokecolor="#a6a6a6">
              <v:stroke dashstyle="solid"/>
            </v:line>
            <v:shape style="position:absolute;left:5746;top:468;width:46;height:112" type="#_x0000_t202" filled="false" stroked="false">
              <v:textbox inset="0,0,0,0">
                <w:txbxContent>
                  <w:p>
                    <w:pPr>
                      <w:spacing w:line="111" w:lineRule="exact" w:before="0"/>
                      <w:ind w:left="0" w:right="0" w:firstLine="0"/>
                      <w:jc w:val="left"/>
                      <w:rPr>
                        <w:b/>
                        <w:sz w:val="10"/>
                      </w:rPr>
                    </w:pPr>
                    <w:r>
                      <w:rPr>
                        <w:b/>
                        <w:w w:val="100"/>
                        <w:sz w:val="10"/>
                      </w:rPr>
                      <w:t>.</w:t>
                    </w:r>
                  </w:p>
                </w:txbxContent>
              </v:textbox>
              <w10:wrap type="none"/>
            </v:shape>
            <v:shape style="position:absolute;left:6029;top:414;width:299;height:112" type="#_x0000_t202" filled="false" stroked="false">
              <v:textbox inset="0,0,0,0">
                <w:txbxContent>
                  <w:p>
                    <w:pPr>
                      <w:spacing w:line="111" w:lineRule="exact" w:before="0"/>
                      <w:ind w:left="0" w:right="0" w:firstLine="0"/>
                      <w:jc w:val="left"/>
                      <w:rPr>
                        <w:b/>
                        <w:sz w:val="10"/>
                      </w:rPr>
                    </w:pPr>
                    <w:r>
                      <w:rPr>
                        <w:b/>
                        <w:sz w:val="10"/>
                      </w:rPr>
                      <w:t>1 3%</w:t>
                    </w:r>
                  </w:p>
                </w:txbxContent>
              </v:textbox>
              <w10:wrap type="none"/>
            </v:shape>
            <v:shape style="position:absolute;left:5546;top:612;width:46;height:112" type="#_x0000_t202" filled="false" stroked="false">
              <v:textbox inset="0,0,0,0">
                <w:txbxContent>
                  <w:p>
                    <w:pPr>
                      <w:spacing w:line="111" w:lineRule="exact" w:before="0"/>
                      <w:ind w:left="0" w:right="0" w:firstLine="0"/>
                      <w:jc w:val="left"/>
                      <w:rPr>
                        <w:b/>
                        <w:sz w:val="10"/>
                      </w:rPr>
                    </w:pPr>
                    <w:r>
                      <w:rPr>
                        <w:b/>
                        <w:w w:val="100"/>
                        <w:sz w:val="10"/>
                      </w:rPr>
                      <w:t>.</w:t>
                    </w:r>
                  </w:p>
                </w:txbxContent>
              </v:textbox>
              <w10:wrap type="none"/>
            </v:shape>
            <v:shape style="position:absolute;left:5246;top:804;width:46;height:112" type="#_x0000_t202" filled="false" stroked="false">
              <v:textbox inset="0,0,0,0">
                <w:txbxContent>
                  <w:p>
                    <w:pPr>
                      <w:spacing w:line="111" w:lineRule="exact" w:before="0"/>
                      <w:ind w:left="0" w:right="0" w:firstLine="0"/>
                      <w:jc w:val="left"/>
                      <w:rPr>
                        <w:b/>
                        <w:sz w:val="10"/>
                      </w:rPr>
                    </w:pPr>
                    <w:r>
                      <w:rPr>
                        <w:b/>
                        <w:w w:val="100"/>
                        <w:sz w:val="10"/>
                      </w:rPr>
                      <w:t>.</w:t>
                    </w:r>
                  </w:p>
                </w:txbxContent>
              </v:textbox>
              <w10:wrap type="none"/>
            </v:shape>
            <v:shape style="position:absolute;left:4670;top:1125;width:156;height:333" type="#_x0000_t202" filled="false" stroked="false">
              <v:textbox inset="0,0,0,0">
                <w:txbxContent>
                  <w:p>
                    <w:pPr>
                      <w:spacing w:line="111" w:lineRule="exact" w:before="0"/>
                      <w:ind w:left="59" w:right="0" w:firstLine="0"/>
                      <w:jc w:val="left"/>
                      <w:rPr>
                        <w:b/>
                        <w:sz w:val="10"/>
                      </w:rPr>
                    </w:pPr>
                    <w:r>
                      <w:rPr>
                        <w:b/>
                        <w:sz w:val="10"/>
                      </w:rPr>
                      <w:t>6.</w:t>
                    </w:r>
                  </w:p>
                  <w:p>
                    <w:pPr>
                      <w:spacing w:line="240" w:lineRule="auto" w:before="2"/>
                      <w:rPr>
                        <w:b/>
                        <w:sz w:val="9"/>
                      </w:rPr>
                    </w:pPr>
                  </w:p>
                  <w:p>
                    <w:pPr>
                      <w:spacing w:before="0"/>
                      <w:ind w:left="0" w:right="0" w:firstLine="0"/>
                      <w:jc w:val="left"/>
                      <w:rPr>
                        <w:b/>
                        <w:sz w:val="10"/>
                      </w:rPr>
                    </w:pPr>
                    <w:r>
                      <w:rPr>
                        <w:b/>
                        <w:sz w:val="10"/>
                      </w:rPr>
                      <w:t>5.8</w:t>
                    </w:r>
                  </w:p>
                </w:txbxContent>
              </v:textbox>
              <w10:wrap type="none"/>
            </v:shape>
            <v:shape style="position:absolute;left:5550;top:1300;width:71;height:112" type="#_x0000_t202" filled="false" stroked="false">
              <v:textbox inset="0,0,0,0">
                <w:txbxContent>
                  <w:p>
                    <w:pPr>
                      <w:spacing w:line="111" w:lineRule="exact" w:before="0"/>
                      <w:ind w:left="0" w:right="0" w:firstLine="0"/>
                      <w:jc w:val="left"/>
                      <w:rPr>
                        <w:b/>
                        <w:sz w:val="10"/>
                      </w:rPr>
                    </w:pPr>
                    <w:r>
                      <w:rPr>
                        <w:b/>
                        <w:w w:val="100"/>
                        <w:sz w:val="10"/>
                      </w:rPr>
                      <w:t>8</w:t>
                    </w:r>
                  </w:p>
                </w:txbxContent>
              </v:textbox>
              <w10:wrap type="none"/>
            </v:shape>
            <v:shape style="position:absolute;left:4964;top:2169;width:71;height:112" type="#_x0000_t202" filled="false" stroked="false">
              <v:textbox inset="0,0,0,0">
                <w:txbxContent>
                  <w:p>
                    <w:pPr>
                      <w:spacing w:line="111" w:lineRule="exact" w:before="0"/>
                      <w:ind w:left="0" w:right="0" w:firstLine="0"/>
                      <w:jc w:val="left"/>
                      <w:rPr>
                        <w:b/>
                        <w:sz w:val="10"/>
                      </w:rPr>
                    </w:pPr>
                    <w:r>
                      <w:rPr>
                        <w:b/>
                        <w:w w:val="100"/>
                        <w:sz w:val="10"/>
                      </w:rPr>
                      <w:t>7</w:t>
                    </w:r>
                  </w:p>
                </w:txbxContent>
              </v:textbox>
              <w10:wrap type="none"/>
            </v:shape>
            <v:shape style="position:absolute;left:5092;top:2015;width:87;height:353" type="#_x0000_t202" filled="false" stroked="false">
              <v:textbox inset="0,0,0,0">
                <w:txbxContent>
                  <w:p>
                    <w:pPr>
                      <w:spacing w:line="240" w:lineRule="auto" w:before="0"/>
                      <w:rPr>
                        <w:sz w:val="13"/>
                      </w:rPr>
                    </w:pPr>
                  </w:p>
                  <w:p>
                    <w:pPr>
                      <w:spacing w:before="1"/>
                      <w:ind w:left="-78" w:right="0" w:firstLine="0"/>
                      <w:jc w:val="left"/>
                      <w:rPr>
                        <w:b/>
                        <w:sz w:val="10"/>
                      </w:rPr>
                    </w:pPr>
                    <w:r>
                      <w:rPr>
                        <w:b/>
                        <w:w w:val="100"/>
                        <w:sz w:val="10"/>
                      </w:rPr>
                      <w:t>%</w:t>
                    </w:r>
                  </w:p>
                </w:txbxContent>
              </v:textbox>
              <w10:wrap type="none"/>
            </v:shape>
            <v:shape style="position:absolute;left:4893;top:2015;width:87;height:353" type="#_x0000_t202" filled="false" stroked="false">
              <v:textbox inset="0,0,0,0">
                <w:txbxContent>
                  <w:p>
                    <w:pPr>
                      <w:spacing w:line="240" w:lineRule="auto" w:before="0"/>
                      <w:rPr>
                        <w:sz w:val="13"/>
                      </w:rPr>
                    </w:pPr>
                  </w:p>
                  <w:p>
                    <w:pPr>
                      <w:spacing w:before="1"/>
                      <w:ind w:left="-6" w:right="0" w:firstLine="0"/>
                      <w:jc w:val="left"/>
                      <w:rPr>
                        <w:b/>
                        <w:sz w:val="10"/>
                      </w:rPr>
                    </w:pPr>
                    <w:r>
                      <w:rPr>
                        <w:b/>
                        <w:sz w:val="10"/>
                      </w:rPr>
                      <w:t>0.</w:t>
                    </w:r>
                  </w:p>
                </w:txbxContent>
              </v:textbox>
              <w10:wrap type="none"/>
            </v:shape>
            <v:shape style="position:absolute;left:4792;top:2015;width:87;height:353" type="#_x0000_t202" filled="false" stroked="false">
              <v:textbox inset="0,0,0,0">
                <w:txbxContent>
                  <w:p>
                    <w:pPr>
                      <w:spacing w:line="240" w:lineRule="auto" w:before="0"/>
                      <w:rPr>
                        <w:sz w:val="13"/>
                      </w:rPr>
                    </w:pPr>
                  </w:p>
                  <w:p>
                    <w:pPr>
                      <w:spacing w:before="1"/>
                      <w:ind w:left="0" w:right="-15" w:firstLine="0"/>
                      <w:jc w:val="right"/>
                      <w:rPr>
                        <w:b/>
                        <w:sz w:val="10"/>
                      </w:rPr>
                    </w:pPr>
                    <w:r>
                      <w:rPr>
                        <w:b/>
                        <w:w w:val="100"/>
                        <w:sz w:val="10"/>
                      </w:rPr>
                      <w:t>-</w:t>
                    </w:r>
                  </w:p>
                </w:txbxContent>
              </v:textbox>
              <w10:wrap type="none"/>
            </v:shape>
            <v:shape style="position:absolute;left:4593;top:1645;width:87;height:356" type="#_x0000_t202" filled="false" stroked="false">
              <v:textbox inset="0,0,0,0">
                <w:txbxContent>
                  <w:p>
                    <w:pPr>
                      <w:spacing w:line="240" w:lineRule="auto" w:before="0"/>
                      <w:rPr>
                        <w:sz w:val="9"/>
                      </w:rPr>
                    </w:pPr>
                  </w:p>
                  <w:p>
                    <w:pPr>
                      <w:spacing w:before="0"/>
                      <w:ind w:left="-29" w:right="-44" w:firstLine="0"/>
                      <w:jc w:val="left"/>
                      <w:rPr>
                        <w:b/>
                        <w:sz w:val="10"/>
                      </w:rPr>
                    </w:pPr>
                    <w:r>
                      <w:rPr>
                        <w:b/>
                        <w:sz w:val="10"/>
                      </w:rPr>
                      <w:t>2%</w:t>
                    </w:r>
                  </w:p>
                </w:txbxContent>
              </v:textbox>
              <w10:wrap type="none"/>
            </v:shape>
            <v:shape style="position:absolute;left:4492;top:1645;width:87;height:356" type="#_x0000_t202" filled="false" stroked="false">
              <v:textbox inset="0,0,0,0">
                <w:txbxContent>
                  <w:p>
                    <w:pPr>
                      <w:spacing w:line="240" w:lineRule="auto" w:before="0"/>
                      <w:rPr>
                        <w:sz w:val="9"/>
                      </w:rPr>
                    </w:pPr>
                  </w:p>
                  <w:p>
                    <w:pPr>
                      <w:spacing w:before="0"/>
                      <w:ind w:left="-5" w:right="0" w:firstLine="0"/>
                      <w:jc w:val="left"/>
                      <w:rPr>
                        <w:b/>
                        <w:sz w:val="10"/>
                      </w:rPr>
                    </w:pPr>
                    <w:r>
                      <w:rPr>
                        <w:b/>
                        <w:sz w:val="10"/>
                      </w:rPr>
                      <w:t>0.</w:t>
                    </w:r>
                  </w:p>
                </w:txbxContent>
              </v:textbox>
              <w10:wrap type="none"/>
            </v:shape>
            <v:shape style="position:absolute;left:5592;top:1278;width:87;height:353" type="#_x0000_t202" filled="false" stroked="false">
              <v:textbox inset="0,0,0,0">
                <w:txbxContent>
                  <w:p>
                    <w:pPr>
                      <w:spacing w:before="18"/>
                      <w:ind w:left="9" w:right="-101" w:firstLine="0"/>
                      <w:jc w:val="left"/>
                      <w:rPr>
                        <w:b/>
                        <w:sz w:val="10"/>
                      </w:rPr>
                    </w:pPr>
                    <w:r>
                      <w:rPr>
                        <w:b/>
                        <w:sz w:val="10"/>
                      </w:rPr>
                      <w:t>.9%</w:t>
                    </w:r>
                  </w:p>
                </w:txbxContent>
              </v:textbox>
              <w10:wrap type="none"/>
            </v:shape>
            <v:shape style="position:absolute;left:4792;top:1278;width:87;height:353" type="#_x0000_t202" filled="false" stroked="false">
              <v:textbox inset="0,0,0,0">
                <w:txbxContent>
                  <w:p>
                    <w:pPr>
                      <w:spacing w:before="64"/>
                      <w:ind w:left="5" w:right="-29" w:firstLine="0"/>
                      <w:jc w:val="left"/>
                      <w:rPr>
                        <w:b/>
                        <w:sz w:val="10"/>
                      </w:rPr>
                    </w:pPr>
                    <w:r>
                      <w:rPr>
                        <w:b/>
                        <w:w w:val="100"/>
                        <w:sz w:val="10"/>
                      </w:rPr>
                      <w:t>%</w:t>
                    </w:r>
                  </w:p>
                </w:txbxContent>
              </v:textbox>
              <w10:wrap type="none"/>
            </v:shape>
            <v:shape style="position:absolute;left:4792;top:911;width:87;height:353" type="#_x0000_t202" filled="false" stroked="false">
              <v:textbox inset="0,0,0,0">
                <w:txbxContent>
                  <w:p>
                    <w:pPr>
                      <w:spacing w:line="240" w:lineRule="auto" w:before="0"/>
                      <w:rPr>
                        <w:sz w:val="10"/>
                      </w:rPr>
                    </w:pPr>
                  </w:p>
                  <w:p>
                    <w:pPr>
                      <w:spacing w:line="240" w:lineRule="auto" w:before="3"/>
                      <w:rPr>
                        <w:sz w:val="8"/>
                      </w:rPr>
                    </w:pPr>
                  </w:p>
                  <w:p>
                    <w:pPr>
                      <w:spacing w:before="0"/>
                      <w:ind w:left="14" w:right="-87" w:firstLine="0"/>
                      <w:jc w:val="left"/>
                      <w:rPr>
                        <w:b/>
                        <w:sz w:val="10"/>
                      </w:rPr>
                    </w:pPr>
                    <w:r>
                      <w:rPr>
                        <w:b/>
                        <w:sz w:val="10"/>
                      </w:rPr>
                      <w:t>7%</w:t>
                    </w:r>
                  </w:p>
                </w:txbxContent>
              </v:textbox>
              <w10:wrap type="none"/>
            </v:shape>
            <v:shape style="position:absolute;left:5592;top:544;width:87;height:353" type="#_x0000_t202" filled="false" stroked="false">
              <v:textbox inset="0,0,0,0">
                <w:txbxContent>
                  <w:p>
                    <w:pPr>
                      <w:spacing w:before="64"/>
                      <w:ind w:left="-19" w:right="-58" w:firstLine="0"/>
                      <w:jc w:val="left"/>
                      <w:rPr>
                        <w:b/>
                        <w:sz w:val="10"/>
                      </w:rPr>
                    </w:pPr>
                    <w:r>
                      <w:rPr>
                        <w:b/>
                        <w:sz w:val="10"/>
                      </w:rPr>
                      <w:t>6%</w:t>
                    </w:r>
                  </w:p>
                </w:txbxContent>
              </v:textbox>
              <w10:wrap type="none"/>
            </v:shape>
            <v:shape style="position:absolute;left:5392;top:544;width:87;height:353" type="#_x0000_t202" filled="false" stroked="false">
              <v:textbox inset="0,0,0,0">
                <w:txbxContent>
                  <w:p>
                    <w:pPr>
                      <w:spacing w:before="64"/>
                      <w:ind w:left="53" w:right="-72" w:firstLine="0"/>
                      <w:jc w:val="left"/>
                      <w:rPr>
                        <w:b/>
                        <w:sz w:val="10"/>
                      </w:rPr>
                    </w:pPr>
                    <w:r>
                      <w:rPr>
                        <w:b/>
                        <w:sz w:val="10"/>
                      </w:rPr>
                      <w:t>15</w:t>
                    </w:r>
                  </w:p>
                </w:txbxContent>
              </v:textbox>
              <w10:wrap type="none"/>
            </v:shape>
            <v:shape style="position:absolute;left:5292;top:544;width:87;height:353" type="#_x0000_t202" filled="false" stroked="false">
              <v:textbox inset="0,0,0,0">
                <w:txbxContent>
                  <w:p>
                    <w:pPr>
                      <w:spacing w:line="240" w:lineRule="auto" w:before="0"/>
                      <w:rPr>
                        <w:sz w:val="10"/>
                      </w:rPr>
                    </w:pPr>
                  </w:p>
                  <w:p>
                    <w:pPr>
                      <w:spacing w:line="240" w:lineRule="auto" w:before="4"/>
                      <w:rPr>
                        <w:sz w:val="12"/>
                      </w:rPr>
                    </w:pPr>
                  </w:p>
                  <w:p>
                    <w:pPr>
                      <w:spacing w:line="96" w:lineRule="exact" w:before="0"/>
                      <w:ind w:left="-19" w:right="-58" w:firstLine="0"/>
                      <w:jc w:val="left"/>
                      <w:rPr>
                        <w:b/>
                        <w:sz w:val="10"/>
                      </w:rPr>
                    </w:pPr>
                    <w:r>
                      <w:rPr>
                        <w:b/>
                        <w:sz w:val="10"/>
                      </w:rPr>
                      <w:t>8%</w:t>
                    </w:r>
                  </w:p>
                </w:txbxContent>
              </v:textbox>
              <w10:wrap type="none"/>
            </v:shape>
            <v:shape style="position:absolute;left:5092;top:544;width:87;height:353" type="#_x0000_t202" filled="false" stroked="false">
              <v:textbox inset="0,0,0,0">
                <w:txbxContent>
                  <w:p>
                    <w:pPr>
                      <w:spacing w:line="240" w:lineRule="auto" w:before="0"/>
                      <w:rPr>
                        <w:sz w:val="10"/>
                      </w:rPr>
                    </w:pPr>
                  </w:p>
                  <w:p>
                    <w:pPr>
                      <w:spacing w:line="240" w:lineRule="auto" w:before="4"/>
                      <w:rPr>
                        <w:sz w:val="12"/>
                      </w:rPr>
                    </w:pPr>
                  </w:p>
                  <w:p>
                    <w:pPr>
                      <w:spacing w:line="96" w:lineRule="exact" w:before="0"/>
                      <w:ind w:left="53" w:right="-72" w:firstLine="0"/>
                      <w:jc w:val="left"/>
                      <w:rPr>
                        <w:b/>
                        <w:sz w:val="10"/>
                      </w:rPr>
                    </w:pPr>
                    <w:r>
                      <w:rPr>
                        <w:b/>
                        <w:sz w:val="10"/>
                      </w:rPr>
                      <w:t>13</w:t>
                    </w:r>
                  </w:p>
                </w:txbxContent>
              </v:textbox>
              <w10:wrap type="none"/>
            </v:shape>
            <v:shape style="position:absolute;left:6091;top:176;width:87;height:353" type="#_x0000_t202" filled="false" stroked="false">
              <v:textbox inset="0,0,0,0">
                <w:txbxContent>
                  <w:p>
                    <w:pPr>
                      <w:spacing w:line="240" w:lineRule="auto" w:before="0"/>
                      <w:rPr>
                        <w:sz w:val="10"/>
                      </w:rPr>
                    </w:pPr>
                  </w:p>
                  <w:p>
                    <w:pPr>
                      <w:spacing w:line="240" w:lineRule="auto" w:before="4"/>
                      <w:rPr>
                        <w:sz w:val="10"/>
                      </w:rPr>
                    </w:pPr>
                  </w:p>
                  <w:p>
                    <w:pPr>
                      <w:spacing w:before="0"/>
                      <w:ind w:left="-12" w:right="0" w:firstLine="0"/>
                      <w:jc w:val="left"/>
                      <w:rPr>
                        <w:b/>
                        <w:sz w:val="10"/>
                      </w:rPr>
                    </w:pPr>
                    <w:r>
                      <w:rPr>
                        <w:b/>
                        <w:sz w:val="10"/>
                      </w:rPr>
                      <w:t>8.</w:t>
                    </w:r>
                  </w:p>
                </w:txbxContent>
              </v:textbox>
              <w10:wrap type="none"/>
            </v:shape>
            <v:shape style="position:absolute;left:5791;top:176;width:87;height:353" type="#_x0000_t202" filled="false" stroked="false">
              <v:textbox inset="0,0,0,0">
                <w:txbxContent>
                  <w:p>
                    <w:pPr>
                      <w:spacing w:line="240" w:lineRule="auto" w:before="0"/>
                      <w:rPr>
                        <w:sz w:val="10"/>
                      </w:rPr>
                    </w:pPr>
                  </w:p>
                  <w:p>
                    <w:pPr>
                      <w:spacing w:line="240" w:lineRule="auto" w:before="0"/>
                      <w:rPr>
                        <w:sz w:val="10"/>
                      </w:rPr>
                    </w:pPr>
                  </w:p>
                  <w:p>
                    <w:pPr>
                      <w:spacing w:line="65" w:lineRule="exact" w:before="58"/>
                      <w:ind w:left="-19" w:right="-58" w:firstLine="0"/>
                      <w:jc w:val="left"/>
                      <w:rPr>
                        <w:b/>
                        <w:sz w:val="10"/>
                      </w:rPr>
                    </w:pPr>
                    <w:r>
                      <w:rPr>
                        <w:b/>
                        <w:sz w:val="10"/>
                      </w:rPr>
                      <w:t>7%</w:t>
                    </w:r>
                  </w:p>
                </w:txbxContent>
              </v:textbox>
              <w10:wrap type="none"/>
            </v:shape>
            <v:shape style="position:absolute;left:5592;top:176;width:87;height:353" type="#_x0000_t202" filled="false" stroked="false">
              <v:textbox inset="0,0,0,0">
                <w:txbxContent>
                  <w:p>
                    <w:pPr>
                      <w:spacing w:line="240" w:lineRule="auto" w:before="0"/>
                      <w:rPr>
                        <w:sz w:val="10"/>
                      </w:rPr>
                    </w:pPr>
                  </w:p>
                  <w:p>
                    <w:pPr>
                      <w:spacing w:line="240" w:lineRule="auto" w:before="0"/>
                      <w:rPr>
                        <w:sz w:val="10"/>
                      </w:rPr>
                    </w:pPr>
                  </w:p>
                  <w:p>
                    <w:pPr>
                      <w:spacing w:line="65" w:lineRule="exact" w:before="58"/>
                      <w:ind w:left="53" w:right="-72" w:firstLine="0"/>
                      <w:jc w:val="left"/>
                      <w:rPr>
                        <w:b/>
                        <w:sz w:val="10"/>
                      </w:rPr>
                    </w:pPr>
                    <w:r>
                      <w:rPr>
                        <w:b/>
                        <w:sz w:val="10"/>
                      </w:rPr>
                      <w:t>16</w:t>
                    </w:r>
                  </w:p>
                </w:txbxContent>
              </v:textbox>
              <w10:wrap type="none"/>
            </v:shape>
            <w10:wrap type="none"/>
          </v:group>
        </w:pict>
      </w:r>
      <w:r>
        <w:rPr/>
        <w:pict>
          <v:group style="position:absolute;margin-left:342.359985pt;margin-top:8.244752pt;width:86.25pt;height:125.55pt;mso-position-horizontal-relative:page;mso-position-vertical-relative:paragraph;z-index:252492800" coordorigin="6847,165" coordsize="1725,2511">
            <v:shape style="position:absolute;left:6883;top:172;width:1637;height:2496" type="#_x0000_t75" stroked="false">
              <v:imagedata r:id="rId85" o:title=""/>
            </v:shape>
            <v:shape style="position:absolute;left:0;top:3563;width:1637;height:2496" coordorigin="0,3563" coordsize="1637,2496" path="m6883,2668l8520,2668m6883,2212l8520,2212m6883,1986l8520,1986m6883,1758l8520,1758m6883,1533l8520,1533m6883,1305l8520,1305m6883,1079l8520,1079m6883,851l8520,851m6883,626l8520,626m6883,398l8520,398m6883,172l8520,172e" filled="false" stroked="true" strokeweight=".72pt" strokecolor="#d9d9d9">
              <v:path arrowok="t"/>
              <v:stroke dashstyle="solid"/>
            </v:shape>
            <v:shape style="position:absolute;left:0;top:6059;width:1457;height:2496" coordorigin="0,6059" coordsize="1457,2496" path="m6972,172l6972,2668m7154,172l7154,2668m7337,172l7337,2668m7519,172l7519,2668m7702,172l7702,2668m7884,172l7884,2668m8064,172l8064,2668m8246,172l8246,2668m8429,172l8429,2668e" filled="false" stroked="true" strokeweight=".72pt" strokecolor="#d9d9d9">
              <v:path arrowok="t"/>
              <v:stroke dashstyle="solid"/>
            </v:shape>
            <v:shape style="position:absolute;left:0;top:6059;width:1637;height:2496" coordorigin="0,6059" coordsize="1637,2496" path="m6883,172l6883,2668m7063,172l7063,2668m7246,172l7246,2668m7428,172l7428,2668m7610,172l7610,2668m7793,172l7793,2668m7975,172l7975,2668m8155,172l8155,2668m8338,172l8338,2668m8520,172l8520,2668e" filled="false" stroked="true" strokeweight=".72pt" strokecolor="#d9d9d9">
              <v:path arrowok="t"/>
              <v:stroke dashstyle="solid"/>
            </v:shape>
            <v:line style="position:absolute" from="6883,2440" to="8520,2440" stroked="true" strokeweight=".72pt" strokecolor="#ff0000">
              <v:stroke dashstyle="solid"/>
            </v:line>
            <v:shape style="position:absolute;left:6847;top:2394;width:243;height:243" type="#_x0000_t75" stroked="false">
              <v:imagedata r:id="rId80" o:title=""/>
            </v:shape>
            <v:shape style="position:absolute;left:7029;top:1984;width:243;height:243" type="#_x0000_t75" stroked="false">
              <v:imagedata r:id="rId80" o:title=""/>
            </v:shape>
            <v:shape style="position:absolute;left:7212;top:1408;width:243;height:243" type="#_x0000_t75" stroked="false">
              <v:imagedata r:id="rId80" o:title=""/>
            </v:shape>
            <v:shape style="position:absolute;left:7394;top:1074;width:243;height:243" type="#_x0000_t75" stroked="false">
              <v:imagedata r:id="rId80" o:title=""/>
            </v:shape>
            <v:shape style="position:absolute;left:7576;top:772;width:243;height:243" type="#_x0000_t75" stroked="false">
              <v:imagedata r:id="rId80" o:title=""/>
            </v:shape>
            <v:shape style="position:absolute;left:7759;top:596;width:243;height:243" type="#_x0000_t75" stroked="false">
              <v:imagedata r:id="rId80" o:title=""/>
            </v:shape>
            <v:shape style="position:absolute;left:7939;top:474;width:243;height:243" type="#_x0000_t75" stroked="false">
              <v:imagedata r:id="rId80" o:title=""/>
            </v:shape>
            <v:shape style="position:absolute;left:8121;top:368;width:243;height:243" type="#_x0000_t75" stroked="false">
              <v:imagedata r:id="rId80" o:title=""/>
            </v:shape>
            <v:shape style="position:absolute;left:8304;top:340;width:243;height:243" type="#_x0000_t75" stroked="false">
              <v:imagedata r:id="rId80" o:title=""/>
            </v:shape>
            <v:shape style="position:absolute;left:6890;top:383;width:1615;height:2213" type="#_x0000_t75" stroked="false">
              <v:imagedata r:id="rId86" o:title=""/>
            </v:shape>
            <v:shape style="position:absolute;left:6973;top:466;width:1457;height:2055" coordorigin="6973,466" coordsize="1457,2055" path="m6973,2520l7004,2454,7034,2390,7064,2326,7095,2260,7125,2189,7155,2111,7178,2045,7201,1973,7224,1896,7246,1818,7269,1740,7292,1665,7315,1596,7337,1534,7374,1452,7410,1382,7447,1320,7483,1262,7519,1201,7565,1120,7610,1040,7656,964,7702,898,7747,844,7793,800,7838,761,7929,689,8020,629,8066,600,8111,571,8202,516,8293,483,8384,472,8430,466e" filled="false" stroked="true" strokeweight="1.8pt" strokecolor="#000000">
              <v:path arrowok="t"/>
              <v:stroke dashstyle="dot"/>
            </v:shape>
            <v:shape style="position:absolute;left:6907;top:2454;width:123;height:123" type="#_x0000_t75" stroked="false">
              <v:imagedata r:id="rId76" o:title=""/>
            </v:shape>
            <v:shape style="position:absolute;left:7089;top:2044;width:123;height:123" type="#_x0000_t75" stroked="false">
              <v:imagedata r:id="rId76" o:title=""/>
            </v:shape>
            <v:shape style="position:absolute;left:7272;top:1468;width:123;height:123" type="#_x0000_t75" stroked="false">
              <v:imagedata r:id="rId76" o:title=""/>
            </v:shape>
            <v:shape style="position:absolute;left:7454;top:1134;width:123;height:123" type="#_x0000_t75" stroked="false">
              <v:imagedata r:id="rId76" o:title=""/>
            </v:shape>
            <v:shape style="position:absolute;left:7636;top:832;width:123;height:123" type="#_x0000_t75" stroked="false">
              <v:imagedata r:id="rId76" o:title=""/>
            </v:shape>
            <v:shape style="position:absolute;left:7819;top:656;width:123;height:123" type="#_x0000_t75" stroked="false">
              <v:imagedata r:id="rId76" o:title=""/>
            </v:shape>
            <v:shape style="position:absolute;left:7999;top:534;width:123;height:123" type="#_x0000_t75" stroked="false">
              <v:imagedata r:id="rId76" o:title=""/>
            </v:shape>
            <v:shape style="position:absolute;left:8181;top:428;width:123;height:123" type="#_x0000_t75" stroked="false">
              <v:imagedata r:id="rId76" o:title=""/>
            </v:shape>
            <v:shape style="position:absolute;left:8364;top:400;width:123;height:123" type="#_x0000_t75" stroked="false">
              <v:imagedata r:id="rId76" o:title=""/>
            </v:shape>
            <v:shape style="position:absolute;left:6972;top:2519;width:180;height:58" coordorigin="6972,2519" coordsize="180,58" path="m6972,2519l7063,2577,7152,2577e" filled="false" stroked="true" strokeweight=".72pt" strokecolor="#a6a6a6">
              <v:path arrowok="t"/>
              <v:stroke dashstyle="solid"/>
            </v:shape>
            <v:shape style="position:absolute;left:7154;top:1912;width:214;height:197" coordorigin="7154,1912" coordsize="214,197" path="m7154,2109l7277,1912,7368,1912e" filled="false" stroked="true" strokeweight=".72pt" strokecolor="#a6a6a6">
              <v:path arrowok="t"/>
              <v:stroke dashstyle="solid"/>
            </v:shape>
            <v:line style="position:absolute" from="7337,1533" to="7133,1427" stroked="true" strokeweight=".72pt" strokecolor="#a6a6a6">
              <v:stroke dashstyle="solid"/>
            </v:line>
            <v:line style="position:absolute" from="7702,897" to="7517,791" stroked="true" strokeweight=".72pt" strokecolor="#a6a6a6">
              <v:stroke dashstyle="solid"/>
            </v:line>
            <v:line style="position:absolute" from="7884,722" to="7716,616" stroked="true" strokeweight=".72pt" strokecolor="#a6a6a6">
              <v:stroke dashstyle="solid"/>
            </v:line>
            <v:line style="position:absolute" from="8064,599" to="7937,494" stroked="true" strokeweight=".72pt" strokecolor="#a6a6a6">
              <v:stroke dashstyle="solid"/>
            </v:line>
            <v:line style="position:absolute" from="8246,494" to="8112,350" stroked="true" strokeweight=".72pt" strokecolor="#a6a6a6">
              <v:stroke dashstyle="solid"/>
            </v:line>
            <v:shape style="position:absolute;left:7008;top:218;width:1564;height:1179" type="#_x0000_t202" filled="false" stroked="false">
              <v:textbox inset="0,0,0,0">
                <w:txbxContent>
                  <w:p>
                    <w:pPr>
                      <w:spacing w:line="109" w:lineRule="exact" w:before="0"/>
                      <w:ind w:left="978" w:right="19" w:firstLine="0"/>
                      <w:jc w:val="center"/>
                      <w:rPr>
                        <w:rFonts w:ascii="Calibri"/>
                        <w:b/>
                        <w:sz w:val="10"/>
                      </w:rPr>
                    </w:pPr>
                    <w:r>
                      <w:rPr>
                        <w:rFonts w:ascii="Calibri"/>
                        <w:b/>
                        <w:color w:val="404040"/>
                        <w:position w:val="1"/>
                        <w:sz w:val="10"/>
                      </w:rPr>
                      <w:t>42.9% </w:t>
                    </w:r>
                    <w:r>
                      <w:rPr>
                        <w:rFonts w:ascii="Calibri"/>
                        <w:b/>
                        <w:color w:val="404040"/>
                        <w:sz w:val="10"/>
                      </w:rPr>
                      <w:t>43.5%</w:t>
                    </w:r>
                  </w:p>
                  <w:p>
                    <w:pPr>
                      <w:spacing w:before="16"/>
                      <w:ind w:left="311" w:right="19" w:firstLine="0"/>
                      <w:jc w:val="center"/>
                      <w:rPr>
                        <w:rFonts w:ascii="Calibri"/>
                        <w:b/>
                        <w:sz w:val="10"/>
                      </w:rPr>
                    </w:pPr>
                    <w:r>
                      <w:rPr>
                        <w:rFonts w:ascii="Calibri"/>
                        <w:b/>
                        <w:color w:val="404040"/>
                        <w:sz w:val="10"/>
                      </w:rPr>
                      <w:t>40.6%</w:t>
                    </w:r>
                  </w:p>
                  <w:p>
                    <w:pPr>
                      <w:spacing w:before="1"/>
                      <w:ind w:left="363" w:right="507" w:firstLine="0"/>
                      <w:jc w:val="center"/>
                      <w:rPr>
                        <w:rFonts w:ascii="Calibri"/>
                        <w:b/>
                        <w:sz w:val="10"/>
                      </w:rPr>
                    </w:pPr>
                    <w:r>
                      <w:rPr>
                        <w:rFonts w:ascii="Calibri"/>
                        <w:b/>
                        <w:color w:val="404040"/>
                        <w:sz w:val="10"/>
                      </w:rPr>
                      <w:t>37.8%</w:t>
                    </w:r>
                  </w:p>
                  <w:p>
                    <w:pPr>
                      <w:spacing w:before="52"/>
                      <w:ind w:left="163" w:right="708" w:firstLine="0"/>
                      <w:jc w:val="center"/>
                      <w:rPr>
                        <w:rFonts w:ascii="Calibri"/>
                        <w:b/>
                        <w:sz w:val="10"/>
                      </w:rPr>
                    </w:pPr>
                    <w:r>
                      <w:rPr>
                        <w:rFonts w:ascii="Calibri"/>
                        <w:b/>
                        <w:color w:val="404040"/>
                        <w:sz w:val="10"/>
                      </w:rPr>
                      <w:t>34.0%</w:t>
                    </w:r>
                  </w:p>
                  <w:p>
                    <w:pPr>
                      <w:spacing w:line="240" w:lineRule="auto" w:before="0"/>
                      <w:rPr>
                        <w:rFonts w:ascii="Calibri"/>
                        <w:b/>
                        <w:sz w:val="10"/>
                      </w:rPr>
                    </w:pPr>
                  </w:p>
                  <w:p>
                    <w:pPr>
                      <w:spacing w:before="78"/>
                      <w:ind w:left="200" w:right="0" w:firstLine="0"/>
                      <w:jc w:val="left"/>
                      <w:rPr>
                        <w:rFonts w:ascii="Calibri"/>
                        <w:b/>
                        <w:sz w:val="10"/>
                      </w:rPr>
                    </w:pPr>
                    <w:r>
                      <w:rPr>
                        <w:rFonts w:ascii="Calibri"/>
                        <w:b/>
                        <w:color w:val="404040"/>
                        <w:sz w:val="10"/>
                      </w:rPr>
                      <w:t>27.3%</w:t>
                    </w:r>
                  </w:p>
                  <w:p>
                    <w:pPr>
                      <w:spacing w:line="240" w:lineRule="auto" w:before="0"/>
                      <w:rPr>
                        <w:rFonts w:ascii="Calibri"/>
                        <w:b/>
                        <w:sz w:val="10"/>
                      </w:rPr>
                    </w:pPr>
                  </w:p>
                  <w:p>
                    <w:pPr>
                      <w:spacing w:line="120" w:lineRule="exact" w:before="70"/>
                      <w:ind w:left="0" w:right="0" w:firstLine="0"/>
                      <w:jc w:val="left"/>
                      <w:rPr>
                        <w:rFonts w:ascii="Calibri"/>
                        <w:b/>
                        <w:sz w:val="10"/>
                      </w:rPr>
                    </w:pPr>
                    <w:r>
                      <w:rPr>
                        <w:rFonts w:ascii="Calibri"/>
                        <w:b/>
                        <w:color w:val="404040"/>
                        <w:sz w:val="10"/>
                      </w:rPr>
                      <w:t>20.0%</w:t>
                    </w:r>
                  </w:p>
                </w:txbxContent>
              </v:textbox>
              <w10:wrap type="none"/>
            </v:shape>
            <v:shape style="position:absolute;left:7427;top:1873;width:220;height:101" type="#_x0000_t202" filled="false" stroked="false">
              <v:textbox inset="0,0,0,0">
                <w:txbxContent>
                  <w:p>
                    <w:pPr>
                      <w:spacing w:line="101" w:lineRule="exact" w:before="0"/>
                      <w:ind w:left="0" w:right="0" w:firstLine="0"/>
                      <w:jc w:val="left"/>
                      <w:rPr>
                        <w:rFonts w:ascii="Calibri"/>
                        <w:b/>
                        <w:sz w:val="10"/>
                      </w:rPr>
                    </w:pPr>
                    <w:r>
                      <w:rPr>
                        <w:rFonts w:ascii="Calibri"/>
                        <w:b/>
                        <w:color w:val="404040"/>
                        <w:sz w:val="10"/>
                      </w:rPr>
                      <w:t>7.3%</w:t>
                    </w:r>
                  </w:p>
                </w:txbxContent>
              </v:textbox>
              <w10:wrap type="none"/>
            </v:shape>
            <v:shape style="position:absolute;left:7213;top:2538;width:252;height:101" type="#_x0000_t202" filled="false" stroked="false">
              <v:textbox inset="0,0,0,0">
                <w:txbxContent>
                  <w:p>
                    <w:pPr>
                      <w:spacing w:line="101" w:lineRule="exact" w:before="0"/>
                      <w:ind w:left="0" w:right="0" w:firstLine="0"/>
                      <w:jc w:val="left"/>
                      <w:rPr>
                        <w:rFonts w:ascii="Calibri"/>
                        <w:b/>
                        <w:sz w:val="10"/>
                      </w:rPr>
                    </w:pPr>
                    <w:r>
                      <w:rPr>
                        <w:rFonts w:ascii="Calibri"/>
                        <w:b/>
                        <w:color w:val="404040"/>
                        <w:sz w:val="10"/>
                      </w:rPr>
                      <w:t>-1.7%</w:t>
                    </w:r>
                  </w:p>
                </w:txbxContent>
              </v:textbox>
              <w10:wrap type="none"/>
            </v:shape>
            <w10:wrap type="none"/>
          </v:group>
        </w:pict>
      </w:r>
      <w:r>
        <w:rPr>
          <w:color w:val="585858"/>
          <w:sz w:val="11"/>
        </w:rPr>
        <w:t>50%</w:t>
      </w:r>
    </w:p>
    <w:p>
      <w:pPr>
        <w:spacing w:before="100"/>
        <w:ind w:left="591" w:right="0" w:firstLine="0"/>
        <w:jc w:val="left"/>
        <w:rPr>
          <w:sz w:val="11"/>
        </w:rPr>
      </w:pPr>
      <w:r>
        <w:rPr>
          <w:color w:val="585858"/>
          <w:sz w:val="11"/>
        </w:rPr>
        <w:t>45%</w:t>
      </w:r>
    </w:p>
    <w:p>
      <w:pPr>
        <w:spacing w:before="101"/>
        <w:ind w:left="591" w:right="0" w:firstLine="0"/>
        <w:jc w:val="left"/>
        <w:rPr>
          <w:sz w:val="11"/>
        </w:rPr>
      </w:pPr>
      <w:r>
        <w:rPr>
          <w:color w:val="585858"/>
          <w:sz w:val="11"/>
        </w:rPr>
        <w:t>40%</w:t>
      </w:r>
    </w:p>
    <w:p>
      <w:pPr>
        <w:spacing w:before="100"/>
        <w:ind w:left="591" w:right="0" w:firstLine="0"/>
        <w:jc w:val="left"/>
        <w:rPr>
          <w:sz w:val="11"/>
        </w:rPr>
      </w:pPr>
      <w:r>
        <w:rPr>
          <w:color w:val="585858"/>
          <w:sz w:val="11"/>
        </w:rPr>
        <w:t>35%</w:t>
      </w:r>
    </w:p>
    <w:p>
      <w:pPr>
        <w:spacing w:before="100"/>
        <w:ind w:left="591" w:right="0" w:firstLine="0"/>
        <w:jc w:val="left"/>
        <w:rPr>
          <w:sz w:val="11"/>
        </w:rPr>
      </w:pPr>
      <w:r>
        <w:rPr>
          <w:color w:val="585858"/>
          <w:sz w:val="11"/>
        </w:rPr>
        <w:t>30%</w:t>
      </w:r>
    </w:p>
    <w:p>
      <w:pPr>
        <w:spacing w:before="101"/>
        <w:ind w:left="591" w:right="0" w:firstLine="0"/>
        <w:jc w:val="left"/>
        <w:rPr>
          <w:sz w:val="11"/>
        </w:rPr>
      </w:pPr>
      <w:r>
        <w:rPr>
          <w:color w:val="585858"/>
          <w:sz w:val="11"/>
        </w:rPr>
        <w:t>25%</w:t>
      </w:r>
    </w:p>
    <w:p>
      <w:pPr>
        <w:spacing w:before="101"/>
        <w:ind w:left="591" w:right="0" w:firstLine="0"/>
        <w:jc w:val="left"/>
        <w:rPr>
          <w:sz w:val="11"/>
        </w:rPr>
      </w:pPr>
      <w:r>
        <w:rPr>
          <w:color w:val="585858"/>
          <w:sz w:val="11"/>
        </w:rPr>
        <w:t>20%</w:t>
      </w:r>
    </w:p>
    <w:p>
      <w:pPr>
        <w:spacing w:before="100"/>
        <w:ind w:left="591" w:right="0" w:firstLine="0"/>
        <w:jc w:val="left"/>
        <w:rPr>
          <w:sz w:val="11"/>
        </w:rPr>
      </w:pPr>
      <w:r>
        <w:rPr>
          <w:color w:val="585858"/>
          <w:sz w:val="11"/>
        </w:rPr>
        <w:t>15%</w:t>
      </w:r>
    </w:p>
    <w:p>
      <w:pPr>
        <w:spacing w:before="100"/>
        <w:ind w:left="591" w:right="0" w:firstLine="0"/>
        <w:jc w:val="left"/>
        <w:rPr>
          <w:sz w:val="11"/>
        </w:rPr>
      </w:pPr>
      <w:r>
        <w:rPr>
          <w:color w:val="585858"/>
          <w:sz w:val="11"/>
        </w:rPr>
        <w:t>10%</w:t>
      </w:r>
    </w:p>
    <w:p>
      <w:pPr>
        <w:spacing w:before="101"/>
        <w:ind w:left="646" w:right="0" w:firstLine="0"/>
        <w:jc w:val="left"/>
        <w:rPr>
          <w:sz w:val="11"/>
        </w:rPr>
      </w:pPr>
      <w:r>
        <w:rPr>
          <w:color w:val="585858"/>
          <w:sz w:val="11"/>
        </w:rPr>
        <w:t>5%</w:t>
      </w:r>
    </w:p>
    <w:p>
      <w:pPr>
        <w:spacing w:before="100"/>
        <w:ind w:left="646" w:right="0" w:firstLine="0"/>
        <w:jc w:val="left"/>
        <w:rPr>
          <w:sz w:val="11"/>
        </w:rPr>
      </w:pPr>
      <w:r>
        <w:rPr>
          <w:color w:val="585858"/>
          <w:sz w:val="11"/>
        </w:rPr>
        <w:t>0%</w:t>
      </w:r>
    </w:p>
    <w:p>
      <w:pPr>
        <w:spacing w:before="100"/>
        <w:ind w:left="610" w:right="0" w:firstLine="0"/>
        <w:jc w:val="left"/>
        <w:rPr>
          <w:sz w:val="11"/>
        </w:rPr>
      </w:pPr>
      <w:r>
        <w:rPr/>
        <w:drawing>
          <wp:anchor distT="0" distB="0" distL="0" distR="0" allowOverlap="1" layoutInCell="1" locked="0" behindDoc="0" simplePos="0" relativeHeight="252493824">
            <wp:simplePos x="0" y="0"/>
            <wp:positionH relativeFrom="page">
              <wp:posOffset>4330572</wp:posOffset>
            </wp:positionH>
            <wp:positionV relativeFrom="paragraph">
              <wp:posOffset>162239</wp:posOffset>
            </wp:positionV>
            <wp:extent cx="1035686" cy="124205"/>
            <wp:effectExtent l="0" t="0" r="0" b="0"/>
            <wp:wrapNone/>
            <wp:docPr id="35" name="image81.png"/>
            <wp:cNvGraphicFramePr>
              <a:graphicFrameLocks noChangeAspect="1"/>
            </wp:cNvGraphicFramePr>
            <a:graphic>
              <a:graphicData uri="http://schemas.openxmlformats.org/drawingml/2006/picture">
                <pic:pic>
                  <pic:nvPicPr>
                    <pic:cNvPr id="36" name="image81.png"/>
                    <pic:cNvPicPr/>
                  </pic:nvPicPr>
                  <pic:blipFill>
                    <a:blip r:embed="rId87" cstate="print"/>
                    <a:stretch>
                      <a:fillRect/>
                    </a:stretch>
                  </pic:blipFill>
                  <pic:spPr>
                    <a:xfrm>
                      <a:off x="0" y="0"/>
                      <a:ext cx="1035686" cy="124205"/>
                    </a:xfrm>
                    <a:prstGeom prst="rect">
                      <a:avLst/>
                    </a:prstGeom>
                  </pic:spPr>
                </pic:pic>
              </a:graphicData>
            </a:graphic>
          </wp:anchor>
        </w:drawing>
      </w:r>
      <w:r>
        <w:rPr>
          <w:color w:val="585858"/>
          <w:sz w:val="11"/>
        </w:rPr>
        <w:t>-5%</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spacing w:before="7"/>
        <w:rPr>
          <w:sz w:val="12"/>
        </w:rPr>
      </w:pPr>
    </w:p>
    <w:p>
      <w:pPr>
        <w:spacing w:before="0"/>
        <w:ind w:left="117" w:right="0" w:firstLine="0"/>
        <w:jc w:val="left"/>
        <w:rPr>
          <w:sz w:val="11"/>
        </w:rPr>
      </w:pPr>
      <w:r>
        <w:rPr>
          <w:color w:val="585858"/>
          <w:spacing w:val="-1"/>
          <w:sz w:val="11"/>
        </w:rPr>
        <w:t>16.0%</w:t>
      </w:r>
    </w:p>
    <w:p>
      <w:pPr>
        <w:pStyle w:val="BodyText"/>
        <w:spacing w:before="11"/>
        <w:rPr>
          <w:sz w:val="16"/>
        </w:rPr>
      </w:pPr>
    </w:p>
    <w:p>
      <w:pPr>
        <w:spacing w:before="0"/>
        <w:ind w:left="117" w:right="0" w:firstLine="0"/>
        <w:jc w:val="left"/>
        <w:rPr>
          <w:sz w:val="11"/>
        </w:rPr>
      </w:pPr>
      <w:r>
        <w:rPr>
          <w:color w:val="585858"/>
          <w:spacing w:val="-1"/>
          <w:sz w:val="11"/>
        </w:rPr>
        <w:t>14.0%</w:t>
      </w:r>
    </w:p>
    <w:p>
      <w:pPr>
        <w:pStyle w:val="BodyText"/>
        <w:spacing w:before="10"/>
        <w:rPr>
          <w:sz w:val="16"/>
        </w:rPr>
      </w:pPr>
    </w:p>
    <w:p>
      <w:pPr>
        <w:spacing w:before="0"/>
        <w:ind w:left="117" w:right="0" w:firstLine="0"/>
        <w:jc w:val="left"/>
        <w:rPr>
          <w:sz w:val="11"/>
        </w:rPr>
      </w:pPr>
      <w:r>
        <w:rPr>
          <w:color w:val="585858"/>
          <w:spacing w:val="-1"/>
          <w:sz w:val="11"/>
        </w:rPr>
        <w:t>12.0%</w:t>
      </w:r>
    </w:p>
    <w:p>
      <w:pPr>
        <w:pStyle w:val="BodyText"/>
        <w:spacing w:before="11"/>
        <w:rPr>
          <w:sz w:val="16"/>
        </w:rPr>
      </w:pPr>
    </w:p>
    <w:p>
      <w:pPr>
        <w:spacing w:before="0"/>
        <w:ind w:left="117" w:right="0" w:firstLine="0"/>
        <w:jc w:val="left"/>
        <w:rPr>
          <w:sz w:val="11"/>
        </w:rPr>
      </w:pPr>
      <w:r>
        <w:rPr>
          <w:color w:val="585858"/>
          <w:spacing w:val="-1"/>
          <w:sz w:val="11"/>
        </w:rPr>
        <w:t>10.0%</w:t>
      </w:r>
    </w:p>
    <w:p>
      <w:pPr>
        <w:pStyle w:val="BodyText"/>
        <w:spacing w:before="10"/>
        <w:rPr>
          <w:sz w:val="16"/>
        </w:rPr>
      </w:pPr>
    </w:p>
    <w:p>
      <w:pPr>
        <w:spacing w:before="0"/>
        <w:ind w:left="172" w:right="0" w:firstLine="0"/>
        <w:jc w:val="left"/>
        <w:rPr>
          <w:sz w:val="11"/>
        </w:rPr>
      </w:pPr>
      <w:r>
        <w:rPr>
          <w:color w:val="585858"/>
          <w:spacing w:val="-1"/>
          <w:sz w:val="11"/>
        </w:rPr>
        <w:t>8.0%</w:t>
      </w:r>
    </w:p>
    <w:p>
      <w:pPr>
        <w:pStyle w:val="BodyText"/>
        <w:spacing w:before="11"/>
        <w:rPr>
          <w:sz w:val="16"/>
        </w:rPr>
      </w:pPr>
    </w:p>
    <w:p>
      <w:pPr>
        <w:spacing w:before="0"/>
        <w:ind w:left="172" w:right="0" w:firstLine="0"/>
        <w:jc w:val="left"/>
        <w:rPr>
          <w:sz w:val="11"/>
        </w:rPr>
      </w:pPr>
      <w:r>
        <w:rPr>
          <w:color w:val="585858"/>
          <w:spacing w:val="-1"/>
          <w:sz w:val="11"/>
        </w:rPr>
        <w:t>6.0%</w:t>
      </w:r>
    </w:p>
    <w:p>
      <w:pPr>
        <w:pStyle w:val="BodyText"/>
        <w:spacing w:before="11"/>
        <w:rPr>
          <w:sz w:val="16"/>
        </w:rPr>
      </w:pPr>
    </w:p>
    <w:p>
      <w:pPr>
        <w:spacing w:before="0"/>
        <w:ind w:left="172" w:right="0" w:firstLine="0"/>
        <w:jc w:val="left"/>
        <w:rPr>
          <w:sz w:val="11"/>
        </w:rPr>
      </w:pPr>
      <w:r>
        <w:rPr>
          <w:color w:val="585858"/>
          <w:spacing w:val="-1"/>
          <w:sz w:val="11"/>
        </w:rPr>
        <w:t>4.0%</w:t>
      </w:r>
    </w:p>
    <w:p>
      <w:pPr>
        <w:pStyle w:val="BodyText"/>
        <w:spacing w:before="10"/>
        <w:rPr>
          <w:sz w:val="16"/>
        </w:rPr>
      </w:pPr>
    </w:p>
    <w:p>
      <w:pPr>
        <w:spacing w:before="0"/>
        <w:ind w:left="172" w:right="0" w:firstLine="0"/>
        <w:jc w:val="left"/>
        <w:rPr>
          <w:sz w:val="11"/>
        </w:rPr>
      </w:pPr>
      <w:r>
        <w:rPr>
          <w:color w:val="585858"/>
          <w:spacing w:val="-1"/>
          <w:sz w:val="11"/>
        </w:rPr>
        <w:t>2.0%</w:t>
      </w:r>
    </w:p>
    <w:p>
      <w:pPr>
        <w:pStyle w:val="BodyText"/>
        <w:spacing w:before="11"/>
        <w:rPr>
          <w:sz w:val="16"/>
        </w:rPr>
      </w:pPr>
    </w:p>
    <w:p>
      <w:pPr>
        <w:spacing w:before="0"/>
        <w:ind w:left="172" w:right="0" w:firstLine="0"/>
        <w:jc w:val="left"/>
        <w:rPr>
          <w:sz w:val="11"/>
        </w:rPr>
      </w:pPr>
      <w:r>
        <w:rPr>
          <w:color w:val="585858"/>
          <w:spacing w:val="-1"/>
          <w:sz w:val="11"/>
        </w:rPr>
        <w:t>0.0%</w:t>
      </w:r>
    </w:p>
    <w:p>
      <w:pPr>
        <w:spacing w:before="97"/>
        <w:ind w:left="5" w:right="1467" w:firstLine="0"/>
        <w:jc w:val="center"/>
        <w:rPr>
          <w:b/>
          <w:sz w:val="20"/>
        </w:rPr>
      </w:pPr>
      <w:r>
        <w:rPr/>
        <w:br w:type="column"/>
      </w:r>
      <w:r>
        <w:rPr>
          <w:b/>
          <w:sz w:val="20"/>
        </w:rPr>
        <w:t>IMAE</w:t>
      </w:r>
    </w:p>
    <w:p>
      <w:pPr>
        <w:spacing w:before="32"/>
        <w:ind w:left="5" w:right="1474" w:firstLine="0"/>
        <w:jc w:val="center"/>
        <w:rPr>
          <w:sz w:val="14"/>
        </w:rPr>
      </w:pPr>
      <w:r>
        <w:rPr/>
        <w:pict>
          <v:group style="position:absolute;margin-left:455.640015pt;margin-top:21.505154pt;width:86.8pt;height:143pt;mso-position-horizontal-relative:page;mso-position-vertical-relative:paragraph;z-index:252503040" coordorigin="9113,430" coordsize="1736,2860">
            <v:shape style="position:absolute;left:9175;top:437;width:1647;height:2568" type="#_x0000_t75" stroked="false">
              <v:imagedata r:id="rId88" o:title=""/>
            </v:shape>
            <v:shape style="position:absolute;left:0;top:4152;width:1647;height:2247" coordorigin="0,4153" coordsize="1647,2247" path="m9175,2684l10822,2684m9175,2362l10822,2362m9175,2043l10822,2043m9175,1721l10822,1721m9175,1400l10822,1400m9175,1078l10822,1078m9175,759l10822,759m9175,437l10822,437e" filled="false" stroked="true" strokeweight=".72pt" strokecolor="#d9d9d9">
              <v:path arrowok="t"/>
              <v:stroke dashstyle="solid"/>
            </v:shape>
            <v:shape style="position:absolute;left:0;top:6398;width:1464;height:2568" coordorigin="0,6399" coordsize="1464,2568" path="m9266,437l9266,3005m9449,437l9449,3005m9631,437l9631,3005m9816,437l9816,3005m9998,437l9998,3005m10181,437l10181,3005m10363,437l10363,3005m10546,437l10546,3005m10730,437l10730,3005e" filled="false" stroked="true" strokeweight=".72pt" strokecolor="#d9d9d9">
              <v:path arrowok="t"/>
              <v:stroke dashstyle="solid"/>
            </v:shape>
            <v:shape style="position:absolute;left:0;top:6398;width:1647;height:2568" coordorigin="0,6399" coordsize="1647,2568" path="m9175,437l9175,3005m9358,437l9358,3005m9540,437l9540,3005m9722,437l9722,3005m9907,437l9907,3005m10090,437l10090,3005m10272,437l10272,3005m10454,437l10454,3005m10637,437l10637,3005m10822,437l10822,3005e" filled="false" stroked="true" strokeweight=".72pt" strokecolor="#d9d9d9">
              <v:path arrowok="t"/>
              <v:stroke dashstyle="solid"/>
            </v:shape>
            <v:shape style="position:absolute;left:9141;top:2335;width:243;height:243" type="#_x0000_t75" stroked="false">
              <v:imagedata r:id="rId80" o:title=""/>
            </v:shape>
            <v:shape style="position:absolute;left:9324;top:1946;width:243;height:243" type="#_x0000_t75" stroked="false">
              <v:imagedata r:id="rId80" o:title=""/>
            </v:shape>
            <v:shape style="position:absolute;left:9506;top:1373;width:243;height:243" type="#_x0000_t75" stroked="false">
              <v:imagedata r:id="rId80" o:title=""/>
            </v:shape>
            <v:shape style="position:absolute;left:9691;top:826;width:243;height:243" type="#_x0000_t75" stroked="false">
              <v:imagedata r:id="rId80" o:title=""/>
            </v:shape>
            <v:shape style="position:absolute;left:9873;top:547;width:243;height:243" type="#_x0000_t75" stroked="false">
              <v:imagedata r:id="rId80" o:title=""/>
            </v:shape>
            <v:shape style="position:absolute;left:10056;top:658;width:243;height:243" type="#_x0000_t75" stroked="false">
              <v:imagedata r:id="rId80" o:title=""/>
            </v:shape>
            <v:shape style="position:absolute;left:10238;top:1049;width:243;height:243" type="#_x0000_t75" stroked="false">
              <v:imagedata r:id="rId80" o:title=""/>
            </v:shape>
            <v:shape style="position:absolute;left:10420;top:1502;width:243;height:243" type="#_x0000_t75" stroked="false">
              <v:imagedata r:id="rId80" o:title=""/>
            </v:shape>
            <v:shape style="position:absolute;left:10605;top:1858;width:243;height:243" type="#_x0000_t75" stroked="false">
              <v:imagedata r:id="rId80" o:title=""/>
            </v:shape>
            <v:shape style="position:absolute;left:9182;top:583;width:1623;height:1954" type="#_x0000_t75" stroked="false">
              <v:imagedata r:id="rId89" o:title=""/>
            </v:shape>
            <v:shape style="position:absolute;left:9265;top:666;width:1464;height:1796" coordorigin="9265,667" coordsize="1464,1796" path="m9265,2462l9302,2387,9338,2314,9375,2241,9412,2161,9448,2072,9471,2009,9494,1941,9517,1869,9540,1795,9563,1720,9585,1645,9608,1571,9631,1499,9657,1417,9683,1333,9710,1248,9736,1165,9762,1087,9788,1014,9814,950,9860,853,9906,770,9951,708,10043,667,10089,687,10134,728,10180,784,10217,843,10253,917,10290,1001,10327,1088,10363,1175,10394,1248,10424,1324,10455,1403,10485,1481,10516,1556,10546,1627,10583,1704,10619,1777,10656,1846,10693,1914,10729,1984e" filled="false" stroked="true" strokeweight="1.8pt" strokecolor="#000000">
              <v:path arrowok="t"/>
              <v:stroke dashstyle="dot"/>
            </v:shape>
            <v:shape style="position:absolute;left:9201;top:2395;width:123;height:123" type="#_x0000_t75" stroked="false">
              <v:imagedata r:id="rId76" o:title=""/>
            </v:shape>
            <v:shape style="position:absolute;left:9384;top:2006;width:123;height:123" type="#_x0000_t75" stroked="false">
              <v:imagedata r:id="rId76" o:title=""/>
            </v:shape>
            <v:shape style="position:absolute;left:9566;top:1433;width:123;height:123" type="#_x0000_t75" stroked="false">
              <v:imagedata r:id="rId76" o:title=""/>
            </v:shape>
            <v:shape style="position:absolute;left:9751;top:886;width:123;height:123" type="#_x0000_t75" stroked="false">
              <v:imagedata r:id="rId76" o:title=""/>
            </v:shape>
            <v:shape style="position:absolute;left:9933;top:607;width:123;height:123" type="#_x0000_t75" stroked="false">
              <v:imagedata r:id="rId76" o:title=""/>
            </v:shape>
            <v:shape style="position:absolute;left:10116;top:718;width:123;height:123" type="#_x0000_t75" stroked="false">
              <v:imagedata r:id="rId76" o:title=""/>
            </v:shape>
            <v:shape style="position:absolute;left:10298;top:1109;width:123;height:123" type="#_x0000_t75" stroked="false">
              <v:imagedata r:id="rId76" o:title=""/>
            </v:shape>
            <v:shape style="position:absolute;left:10480;top:1562;width:123;height:123" type="#_x0000_t75" stroked="false">
              <v:imagedata r:id="rId76" o:title=""/>
            </v:shape>
            <v:shape style="position:absolute;left:10665;top:1918;width:123;height:123" type="#_x0000_t75" stroked="false">
              <v:imagedata r:id="rId76" o:title=""/>
            </v:shape>
            <v:shape style="position:absolute;left:9448;top:2071;width:135;height:12" coordorigin="9449,2072" coordsize="135,12" path="m9449,2072l9494,2084,9583,2084e" filled="false" stroked="true" strokeweight=".72pt" strokecolor="#a6a6a6">
              <v:path arrowok="t"/>
              <v:stroke dashstyle="solid"/>
            </v:shape>
            <v:line style="position:absolute" from="9631,1498" to="9427,1388" stroked="true" strokeweight=".72pt" strokecolor="#a6a6a6">
              <v:stroke dashstyle="solid"/>
            </v:line>
            <v:shape style="position:absolute;left:9700;top:914;width:116;height:36" coordorigin="9701,915" coordsize="116,36" path="m9816,951l9790,915,9701,915e" filled="false" stroked="true" strokeweight=".72pt" strokecolor="#a6a6a6">
              <v:path arrowok="t"/>
              <v:stroke dashstyle="solid"/>
            </v:shape>
            <v:shape style="position:absolute;left:10180;top:720;width:132;height:63" coordorigin="10181,721" coordsize="132,63" path="m10181,783l10222,721,10313,721e" filled="false" stroked="true" strokeweight=".72pt" strokecolor="#a6a6a6">
              <v:path arrowok="t"/>
              <v:stroke dashstyle="solid"/>
            </v:shape>
            <v:shape style="position:absolute;left:10387;top:1625;width:159;height:3" coordorigin="10387,1625" coordsize="159,3" path="m10546,1628l10476,1625,10387,1625e" filled="false" stroked="true" strokeweight=".72pt" strokecolor="#a6a6a6">
              <v:path arrowok="t"/>
              <v:stroke dashstyle="solid"/>
            </v:shape>
            <v:shape style="position:absolute;left:9112;top:2998;width:1709;height:292" type="#_x0000_t75" stroked="false">
              <v:imagedata r:id="rId90" o:title=""/>
            </v:shape>
            <v:shape style="position:absolute;left:9855;top:486;width:271;height:101" type="#_x0000_t202" filled="false" stroked="false">
              <v:textbox inset="0,0,0,0">
                <w:txbxContent>
                  <w:p>
                    <w:pPr>
                      <w:spacing w:line="101" w:lineRule="exact" w:before="0"/>
                      <w:ind w:left="0" w:right="0" w:firstLine="0"/>
                      <w:jc w:val="left"/>
                      <w:rPr>
                        <w:rFonts w:ascii="Calibri"/>
                        <w:b/>
                        <w:sz w:val="10"/>
                      </w:rPr>
                    </w:pPr>
                    <w:r>
                      <w:rPr>
                        <w:rFonts w:ascii="Calibri"/>
                        <w:b/>
                        <w:color w:val="404040"/>
                        <w:sz w:val="10"/>
                      </w:rPr>
                      <w:t>14.5%</w:t>
                    </w:r>
                  </w:p>
                </w:txbxContent>
              </v:textbox>
              <w10:wrap type="none"/>
            </v:shape>
            <v:shape style="position:absolute;left:10372;top:679;width:271;height:101" type="#_x0000_t202" filled="false" stroked="false">
              <v:textbox inset="0,0,0,0">
                <w:txbxContent>
                  <w:p>
                    <w:pPr>
                      <w:spacing w:line="101" w:lineRule="exact" w:before="0"/>
                      <w:ind w:left="0" w:right="0" w:firstLine="0"/>
                      <w:jc w:val="left"/>
                      <w:rPr>
                        <w:rFonts w:ascii="Calibri"/>
                        <w:b/>
                        <w:sz w:val="10"/>
                      </w:rPr>
                    </w:pPr>
                    <w:r>
                      <w:rPr>
                        <w:rFonts w:ascii="Calibri"/>
                        <w:b/>
                        <w:color w:val="404040"/>
                        <w:sz w:val="10"/>
                      </w:rPr>
                      <w:t>13.8%</w:t>
                    </w:r>
                  </w:p>
                </w:txbxContent>
              </v:textbox>
              <w10:wrap type="none"/>
            </v:shape>
            <v:shape style="position:absolute;left:9328;top:875;width:331;height:482" type="#_x0000_t202" filled="false" stroked="false">
              <v:textbox inset="0,0,0,0">
                <w:txbxContent>
                  <w:p>
                    <w:pPr>
                      <w:spacing w:line="102" w:lineRule="exact" w:before="0"/>
                      <w:ind w:left="60" w:right="0" w:firstLine="0"/>
                      <w:jc w:val="left"/>
                      <w:rPr>
                        <w:rFonts w:ascii="Calibri"/>
                        <w:b/>
                        <w:sz w:val="10"/>
                      </w:rPr>
                    </w:pPr>
                    <w:r>
                      <w:rPr>
                        <w:rFonts w:ascii="Calibri"/>
                        <w:b/>
                        <w:color w:val="404040"/>
                        <w:sz w:val="10"/>
                      </w:rPr>
                      <w:t>12.8%</w:t>
                    </w:r>
                  </w:p>
                  <w:p>
                    <w:pPr>
                      <w:spacing w:line="240" w:lineRule="auto" w:before="0"/>
                      <w:rPr>
                        <w:rFonts w:ascii="Calibri"/>
                        <w:b/>
                        <w:sz w:val="10"/>
                      </w:rPr>
                    </w:pPr>
                  </w:p>
                  <w:p>
                    <w:pPr>
                      <w:spacing w:line="240" w:lineRule="auto" w:before="2"/>
                      <w:rPr>
                        <w:rFonts w:ascii="Calibri"/>
                        <w:b/>
                        <w:sz w:val="11"/>
                      </w:rPr>
                    </w:pPr>
                  </w:p>
                  <w:p>
                    <w:pPr>
                      <w:spacing w:line="120" w:lineRule="exact" w:before="0"/>
                      <w:ind w:left="0" w:right="0" w:firstLine="0"/>
                      <w:jc w:val="left"/>
                      <w:rPr>
                        <w:rFonts w:ascii="Calibri"/>
                        <w:b/>
                        <w:sz w:val="10"/>
                      </w:rPr>
                    </w:pPr>
                    <w:r>
                      <w:rPr>
                        <w:rFonts w:ascii="Calibri"/>
                        <w:b/>
                        <w:color w:val="404040"/>
                        <w:sz w:val="10"/>
                      </w:rPr>
                      <w:t>9.4%</w:t>
                    </w:r>
                  </w:p>
                </w:txbxContent>
              </v:textbox>
              <w10:wrap type="none"/>
            </v:shape>
            <v:shape style="position:absolute;left:9978;top:1221;width:271;height:101" type="#_x0000_t202" filled="false" stroked="false">
              <v:textbox inset="0,0,0,0">
                <w:txbxContent>
                  <w:p>
                    <w:pPr>
                      <w:spacing w:line="101" w:lineRule="exact" w:before="0"/>
                      <w:ind w:left="0" w:right="0" w:firstLine="0"/>
                      <w:jc w:val="left"/>
                      <w:rPr>
                        <w:rFonts w:ascii="Calibri"/>
                        <w:b/>
                        <w:sz w:val="10"/>
                      </w:rPr>
                    </w:pPr>
                    <w:r>
                      <w:rPr>
                        <w:rFonts w:ascii="Calibri"/>
                        <w:b/>
                        <w:color w:val="404040"/>
                        <w:sz w:val="10"/>
                      </w:rPr>
                      <w:t>11.4%</w:t>
                    </w:r>
                  </w:p>
                </w:txbxContent>
              </v:textbox>
              <w10:wrap type="none"/>
            </v:shape>
            <v:shape style="position:absolute;left:10127;top:1586;width:220;height:101" type="#_x0000_t202" filled="false" stroked="false">
              <v:textbox inset="0,0,0,0">
                <w:txbxContent>
                  <w:p>
                    <w:pPr>
                      <w:spacing w:line="101" w:lineRule="exact" w:before="0"/>
                      <w:ind w:left="0" w:right="0" w:firstLine="0"/>
                      <w:jc w:val="left"/>
                      <w:rPr>
                        <w:rFonts w:ascii="Calibri"/>
                        <w:b/>
                        <w:sz w:val="10"/>
                      </w:rPr>
                    </w:pPr>
                    <w:r>
                      <w:rPr>
                        <w:rFonts w:ascii="Calibri"/>
                        <w:b/>
                        <w:color w:val="404040"/>
                        <w:sz w:val="10"/>
                      </w:rPr>
                      <w:t>8.6%</w:t>
                    </w:r>
                  </w:p>
                </w:txbxContent>
              </v:textbox>
              <w10:wrap type="none"/>
            </v:shape>
            <v:shape style="position:absolute;left:9644;top:2045;width:220;height:101" type="#_x0000_t202" filled="false" stroked="false">
              <v:textbox inset="0,0,0,0">
                <w:txbxContent>
                  <w:p>
                    <w:pPr>
                      <w:spacing w:line="101" w:lineRule="exact" w:before="0"/>
                      <w:ind w:left="0" w:right="0" w:firstLine="0"/>
                      <w:jc w:val="left"/>
                      <w:rPr>
                        <w:rFonts w:ascii="Calibri"/>
                        <w:b/>
                        <w:sz w:val="10"/>
                      </w:rPr>
                    </w:pPr>
                    <w:r>
                      <w:rPr>
                        <w:rFonts w:ascii="Calibri"/>
                        <w:b/>
                        <w:color w:val="404040"/>
                        <w:sz w:val="10"/>
                      </w:rPr>
                      <w:t>5.8%</w:t>
                    </w:r>
                  </w:p>
                </w:txbxContent>
              </v:textbox>
              <w10:wrap type="none"/>
            </v:shape>
            <v:shape style="position:absolute;left:10409;top:2041;width:220;height:101" type="#_x0000_t202" filled="false" stroked="false">
              <v:textbox inset="0,0,0,0">
                <w:txbxContent>
                  <w:p>
                    <w:pPr>
                      <w:spacing w:line="101" w:lineRule="exact" w:before="0"/>
                      <w:ind w:left="0" w:right="0" w:firstLine="0"/>
                      <w:jc w:val="left"/>
                      <w:rPr>
                        <w:rFonts w:ascii="Calibri"/>
                        <w:b/>
                        <w:sz w:val="10"/>
                      </w:rPr>
                    </w:pPr>
                    <w:r>
                      <w:rPr>
                        <w:rFonts w:ascii="Calibri"/>
                        <w:b/>
                        <w:color w:val="404040"/>
                        <w:sz w:val="10"/>
                      </w:rPr>
                      <w:t>6.4%</w:t>
                    </w:r>
                  </w:p>
                </w:txbxContent>
              </v:textbox>
              <w10:wrap type="none"/>
            </v:shape>
            <v:shape style="position:absolute;left:9366;top:2519;width:220;height:101" type="#_x0000_t202" filled="false" stroked="false">
              <v:textbox inset="0,0,0,0">
                <w:txbxContent>
                  <w:p>
                    <w:pPr>
                      <w:spacing w:line="101" w:lineRule="exact" w:before="0"/>
                      <w:ind w:left="0" w:right="0" w:firstLine="0"/>
                      <w:jc w:val="left"/>
                      <w:rPr>
                        <w:rFonts w:ascii="Calibri"/>
                        <w:b/>
                        <w:sz w:val="10"/>
                      </w:rPr>
                    </w:pPr>
                    <w:r>
                      <w:rPr>
                        <w:rFonts w:ascii="Calibri"/>
                        <w:b/>
                        <w:color w:val="404040"/>
                        <w:sz w:val="10"/>
                      </w:rPr>
                      <w:t>3.4%</w:t>
                    </w:r>
                  </w:p>
                </w:txbxContent>
              </v:textbox>
              <w10:wrap type="none"/>
            </v:shape>
            <w10:wrap type="none"/>
          </v:group>
        </w:pict>
      </w:r>
      <w:r>
        <w:rPr>
          <w:sz w:val="14"/>
        </w:rPr>
        <w:t>Variación de tendencia ciclo</w:t>
      </w:r>
    </w:p>
    <w:p>
      <w:pPr>
        <w:spacing w:after="0"/>
        <w:jc w:val="center"/>
        <w:rPr>
          <w:sz w:val="14"/>
        </w:rPr>
        <w:sectPr>
          <w:type w:val="continuous"/>
          <w:pgSz w:w="12240" w:h="15840"/>
          <w:pgMar w:top="1500" w:bottom="280" w:left="1140" w:right="0"/>
          <w:cols w:num="7" w:equalWidth="0">
            <w:col w:w="794" w:space="40"/>
            <w:col w:w="1754" w:space="39"/>
            <w:col w:w="722" w:space="39"/>
            <w:col w:w="1389" w:space="79"/>
            <w:col w:w="2645" w:space="40"/>
            <w:col w:w="402" w:space="39"/>
            <w:col w:w="3118"/>
          </w:cols>
        </w:sectPr>
      </w:pPr>
    </w:p>
    <w:p>
      <w:pPr>
        <w:pStyle w:val="BodyText"/>
        <w:spacing w:before="6"/>
        <w:rPr>
          <w:sz w:val="2"/>
        </w:rPr>
      </w:pPr>
    </w:p>
    <w:p>
      <w:pPr>
        <w:pStyle w:val="BodyText"/>
        <w:spacing w:line="195" w:lineRule="exact"/>
        <w:ind w:left="3293"/>
        <w:rPr>
          <w:sz w:val="19"/>
        </w:rPr>
      </w:pPr>
      <w:r>
        <w:rPr>
          <w:position w:val="-3"/>
          <w:sz w:val="19"/>
        </w:rPr>
        <w:drawing>
          <wp:inline distT="0" distB="0" distL="0" distR="0">
            <wp:extent cx="1122021" cy="123825"/>
            <wp:effectExtent l="0" t="0" r="0" b="0"/>
            <wp:docPr id="37" name="image85.png"/>
            <wp:cNvGraphicFramePr>
              <a:graphicFrameLocks noChangeAspect="1"/>
            </wp:cNvGraphicFramePr>
            <a:graphic>
              <a:graphicData uri="http://schemas.openxmlformats.org/drawingml/2006/picture">
                <pic:pic>
                  <pic:nvPicPr>
                    <pic:cNvPr id="38" name="image85.png"/>
                    <pic:cNvPicPr/>
                  </pic:nvPicPr>
                  <pic:blipFill>
                    <a:blip r:embed="rId91" cstate="print"/>
                    <a:stretch>
                      <a:fillRect/>
                    </a:stretch>
                  </pic:blipFill>
                  <pic:spPr>
                    <a:xfrm>
                      <a:off x="0" y="0"/>
                      <a:ext cx="1122021" cy="123825"/>
                    </a:xfrm>
                    <a:prstGeom prst="rect">
                      <a:avLst/>
                    </a:prstGeom>
                  </pic:spPr>
                </pic:pic>
              </a:graphicData>
            </a:graphic>
          </wp:inline>
        </w:drawing>
      </w:r>
      <w:r>
        <w:rPr>
          <w:position w:val="-3"/>
          <w:sz w:val="19"/>
        </w:rPr>
      </w:r>
    </w:p>
    <w:p>
      <w:pPr>
        <w:pStyle w:val="BodyText"/>
        <w:spacing w:before="4"/>
        <w:rPr>
          <w:sz w:val="21"/>
        </w:rPr>
      </w:pPr>
    </w:p>
    <w:p>
      <w:pPr>
        <w:spacing w:before="94"/>
        <w:ind w:left="670" w:right="0" w:firstLine="0"/>
        <w:jc w:val="left"/>
        <w:rPr>
          <w:sz w:val="16"/>
        </w:rPr>
      </w:pPr>
      <w:r>
        <w:rPr>
          <w:sz w:val="16"/>
        </w:rPr>
        <w:t>Fuente</w:t>
      </w:r>
      <w:r>
        <w:rPr>
          <w:b/>
          <w:sz w:val="16"/>
        </w:rPr>
        <w:t>: </w:t>
      </w:r>
      <w:r>
        <w:rPr>
          <w:sz w:val="16"/>
        </w:rPr>
        <w:t>Dirección de Análisis y Política Fiscal con información del Banco de Guatemala.</w:t>
      </w:r>
    </w:p>
    <w:p>
      <w:pPr>
        <w:spacing w:after="0"/>
        <w:jc w:val="left"/>
        <w:rPr>
          <w:sz w:val="16"/>
        </w:rPr>
        <w:sectPr>
          <w:type w:val="continuous"/>
          <w:pgSz w:w="12240" w:h="15840"/>
          <w:pgMar w:top="1500" w:bottom="280" w:left="1140" w:right="0"/>
        </w:sectPr>
      </w:pPr>
    </w:p>
    <w:p>
      <w:pPr>
        <w:pStyle w:val="Heading2"/>
        <w:numPr>
          <w:ilvl w:val="2"/>
          <w:numId w:val="14"/>
        </w:numPr>
        <w:tabs>
          <w:tab w:pos="1978" w:val="left" w:leader="none"/>
        </w:tabs>
        <w:spacing w:line="240" w:lineRule="auto" w:before="167" w:after="0"/>
        <w:ind w:left="1978" w:right="0" w:hanging="696"/>
        <w:jc w:val="left"/>
      </w:pPr>
      <w:bookmarkStart w:name="_bookmark122" w:id="150"/>
      <w:bookmarkEnd w:id="150"/>
      <w:r>
        <w:rPr>
          <w:b w:val="0"/>
        </w:rPr>
      </w:r>
      <w:bookmarkStart w:name="_bookmark122" w:id="151"/>
      <w:bookmarkEnd w:id="151"/>
      <w:r>
        <w:rPr/>
        <w:t>En</w:t>
      </w:r>
      <w:r>
        <w:rPr/>
        <w:t> el último trimestre la recaudación tributaria generó brecha</w:t>
      </w:r>
      <w:r>
        <w:rPr>
          <w:spacing w:val="-3"/>
        </w:rPr>
        <w:t> </w:t>
      </w:r>
      <w:r>
        <w:rPr/>
        <w:t>positiva</w:t>
      </w:r>
    </w:p>
    <w:p>
      <w:pPr>
        <w:pStyle w:val="BodyText"/>
        <w:spacing w:before="4"/>
        <w:rPr>
          <w:b/>
          <w:sz w:val="28"/>
        </w:rPr>
      </w:pPr>
    </w:p>
    <w:p>
      <w:pPr>
        <w:pStyle w:val="BodyText"/>
        <w:spacing w:line="276" w:lineRule="auto" w:before="1"/>
        <w:ind w:left="562" w:right="1698"/>
        <w:jc w:val="both"/>
      </w:pPr>
      <w:r>
        <w:rPr/>
        <w:t>En los últimos tres meses del ejercicio fiscal 2021 se observaron eventos importantes como el vencimiento</w:t>
      </w:r>
      <w:r>
        <w:rPr>
          <w:spacing w:val="-7"/>
        </w:rPr>
        <w:t> </w:t>
      </w:r>
      <w:r>
        <w:rPr/>
        <w:t>del</w:t>
      </w:r>
      <w:r>
        <w:rPr>
          <w:spacing w:val="-8"/>
        </w:rPr>
        <w:t> </w:t>
      </w:r>
      <w:r>
        <w:rPr/>
        <w:t>tercer</w:t>
      </w:r>
      <w:r>
        <w:rPr>
          <w:spacing w:val="-6"/>
        </w:rPr>
        <w:t> </w:t>
      </w:r>
      <w:r>
        <w:rPr/>
        <w:t>trimestre</w:t>
      </w:r>
      <w:r>
        <w:rPr>
          <w:spacing w:val="-7"/>
        </w:rPr>
        <w:t> </w:t>
      </w:r>
      <w:r>
        <w:rPr/>
        <w:t>del</w:t>
      </w:r>
      <w:r>
        <w:rPr>
          <w:spacing w:val="-6"/>
        </w:rPr>
        <w:t> </w:t>
      </w:r>
      <w:r>
        <w:rPr/>
        <w:t>Impuesto</w:t>
      </w:r>
      <w:r>
        <w:rPr>
          <w:spacing w:val="-7"/>
        </w:rPr>
        <w:t> </w:t>
      </w:r>
      <w:r>
        <w:rPr/>
        <w:t>Sobre</w:t>
      </w:r>
      <w:r>
        <w:rPr>
          <w:spacing w:val="-8"/>
        </w:rPr>
        <w:t> </w:t>
      </w:r>
      <w:r>
        <w:rPr/>
        <w:t>la</w:t>
      </w:r>
      <w:r>
        <w:rPr>
          <w:spacing w:val="-12"/>
        </w:rPr>
        <w:t> </w:t>
      </w:r>
      <w:r>
        <w:rPr/>
        <w:t>Renta</w:t>
      </w:r>
      <w:r>
        <w:rPr>
          <w:spacing w:val="-7"/>
        </w:rPr>
        <w:t> </w:t>
      </w:r>
      <w:r>
        <w:rPr/>
        <w:t>y</w:t>
      </w:r>
      <w:r>
        <w:rPr>
          <w:spacing w:val="-9"/>
        </w:rPr>
        <w:t> </w:t>
      </w:r>
      <w:r>
        <w:rPr/>
        <w:t>el</w:t>
      </w:r>
      <w:r>
        <w:rPr>
          <w:spacing w:val="-6"/>
        </w:rPr>
        <w:t> </w:t>
      </w:r>
      <w:r>
        <w:rPr/>
        <w:t>cuarto</w:t>
      </w:r>
      <w:r>
        <w:rPr>
          <w:spacing w:val="-7"/>
        </w:rPr>
        <w:t> </w:t>
      </w:r>
      <w:r>
        <w:rPr/>
        <w:t>pago</w:t>
      </w:r>
      <w:r>
        <w:rPr>
          <w:spacing w:val="-7"/>
        </w:rPr>
        <w:t> </w:t>
      </w:r>
      <w:r>
        <w:rPr/>
        <w:t>trimestral</w:t>
      </w:r>
      <w:r>
        <w:rPr>
          <w:spacing w:val="-8"/>
        </w:rPr>
        <w:t> </w:t>
      </w:r>
      <w:r>
        <w:rPr/>
        <w:t>del</w:t>
      </w:r>
      <w:r>
        <w:rPr>
          <w:spacing w:val="-6"/>
        </w:rPr>
        <w:t> </w:t>
      </w:r>
      <w:r>
        <w:rPr/>
        <w:t>Impuesto de Solidaridad, aunado a ello también se observó un ingreso extraordinario por concepto de venta</w:t>
      </w:r>
      <w:r>
        <w:rPr>
          <w:spacing w:val="-38"/>
        </w:rPr>
        <w:t> </w:t>
      </w:r>
      <w:r>
        <w:rPr/>
        <w:t>de activos de una empresa vinculada con el sector de comunicaciones, un pago en disputa y otras acciones administrativas que realizó la SAT, además las importaciones y exportaciones siguieron el ritmo creciente mostrado en meses</w:t>
      </w:r>
      <w:r>
        <w:rPr>
          <w:spacing w:val="-1"/>
        </w:rPr>
        <w:t> </w:t>
      </w:r>
      <w:r>
        <w:rPr/>
        <w:t>anteriores.</w:t>
      </w:r>
    </w:p>
    <w:p>
      <w:pPr>
        <w:pStyle w:val="BodyText"/>
        <w:spacing w:before="4"/>
        <w:rPr>
          <w:sz w:val="25"/>
        </w:rPr>
      </w:pPr>
    </w:p>
    <w:p>
      <w:pPr>
        <w:pStyle w:val="BodyText"/>
        <w:spacing w:line="276" w:lineRule="auto"/>
        <w:ind w:left="562" w:right="1696"/>
        <w:jc w:val="both"/>
      </w:pPr>
      <w:r>
        <w:rPr/>
        <w:t>Luego</w:t>
      </w:r>
      <w:r>
        <w:rPr>
          <w:spacing w:val="-14"/>
        </w:rPr>
        <w:t> </w:t>
      </w:r>
      <w:r>
        <w:rPr/>
        <w:t>de</w:t>
      </w:r>
      <w:r>
        <w:rPr>
          <w:spacing w:val="-14"/>
        </w:rPr>
        <w:t> </w:t>
      </w:r>
      <w:r>
        <w:rPr/>
        <w:t>los</w:t>
      </w:r>
      <w:r>
        <w:rPr>
          <w:spacing w:val="-13"/>
        </w:rPr>
        <w:t> </w:t>
      </w:r>
      <w:r>
        <w:rPr/>
        <w:t>vencimientos</w:t>
      </w:r>
      <w:r>
        <w:rPr>
          <w:spacing w:val="-16"/>
        </w:rPr>
        <w:t> </w:t>
      </w:r>
      <w:r>
        <w:rPr/>
        <w:t>del</w:t>
      </w:r>
      <w:r>
        <w:rPr>
          <w:spacing w:val="-12"/>
        </w:rPr>
        <w:t> </w:t>
      </w:r>
      <w:r>
        <w:rPr/>
        <w:t>mes</w:t>
      </w:r>
      <w:r>
        <w:rPr>
          <w:spacing w:val="-14"/>
        </w:rPr>
        <w:t> </w:t>
      </w:r>
      <w:r>
        <w:rPr/>
        <w:t>de</w:t>
      </w:r>
      <w:r>
        <w:rPr>
          <w:spacing w:val="-13"/>
        </w:rPr>
        <w:t> </w:t>
      </w:r>
      <w:r>
        <w:rPr/>
        <w:t>octubre</w:t>
      </w:r>
      <w:r>
        <w:rPr>
          <w:spacing w:val="-14"/>
        </w:rPr>
        <w:t> </w:t>
      </w:r>
      <w:r>
        <w:rPr/>
        <w:t>se</w:t>
      </w:r>
      <w:r>
        <w:rPr>
          <w:spacing w:val="-14"/>
        </w:rPr>
        <w:t> </w:t>
      </w:r>
      <w:r>
        <w:rPr/>
        <w:t>observa</w:t>
      </w:r>
      <w:r>
        <w:rPr>
          <w:spacing w:val="-13"/>
        </w:rPr>
        <w:t> </w:t>
      </w:r>
      <w:r>
        <w:rPr/>
        <w:t>que</w:t>
      </w:r>
      <w:r>
        <w:rPr>
          <w:spacing w:val="-14"/>
        </w:rPr>
        <w:t> </w:t>
      </w:r>
      <w:r>
        <w:rPr/>
        <w:t>la</w:t>
      </w:r>
      <w:r>
        <w:rPr>
          <w:spacing w:val="-13"/>
        </w:rPr>
        <w:t> </w:t>
      </w:r>
      <w:r>
        <w:rPr/>
        <w:t>brecha</w:t>
      </w:r>
      <w:r>
        <w:rPr>
          <w:spacing w:val="-11"/>
        </w:rPr>
        <w:t> </w:t>
      </w:r>
      <w:r>
        <w:rPr/>
        <w:t>positiva</w:t>
      </w:r>
      <w:r>
        <w:rPr>
          <w:spacing w:val="-14"/>
        </w:rPr>
        <w:t> </w:t>
      </w:r>
      <w:r>
        <w:rPr/>
        <w:t>sigue</w:t>
      </w:r>
      <w:r>
        <w:rPr>
          <w:spacing w:val="-13"/>
        </w:rPr>
        <w:t> </w:t>
      </w:r>
      <w:r>
        <w:rPr/>
        <w:t>siendo</w:t>
      </w:r>
      <w:r>
        <w:rPr>
          <w:spacing w:val="-16"/>
        </w:rPr>
        <w:t> </w:t>
      </w:r>
      <w:r>
        <w:rPr/>
        <w:t>creciente a pesar de que de manera mensual se observó una menor dinámica en la recaudación tributaria, el Impuesto al Valor Agregado asociado al consumo interno y el ISO no alcanzaron la meta de presupuesto, generando una brecha negativa de Q55.2 millones. Impuestos que compensaron esta merma en recaudación fueron el ISR que superó en Q914.7 millones la meta de presupuesto, para noviembre la brecha acumulada superó lo programado en Q11,444.1 millones. Impuestos que contribuyeron en mayor cuantía para generar la brecha positiva fueron: el ISR, ISO, IVA de importaciones y DAI principalmente. Impuestos que generaron brecha negativa en el año fueron los no administrados por SAT que al mes de noviembre significo Q194.4</w:t>
      </w:r>
      <w:r>
        <w:rPr>
          <w:spacing w:val="-6"/>
        </w:rPr>
        <w:t> </w:t>
      </w:r>
      <w:r>
        <w:rPr/>
        <w:t>millones.</w:t>
      </w:r>
    </w:p>
    <w:p>
      <w:pPr>
        <w:pStyle w:val="BodyText"/>
        <w:spacing w:before="5"/>
      </w:pPr>
      <w:r>
        <w:rPr/>
        <w:pict>
          <v:group style="position:absolute;margin-left:93.384003pt;margin-top:14.88479pt;width:423pt;height:364.25pt;mso-position-horizontal-relative:page;mso-position-vertical-relative:paragraph;z-index:-250803200;mso-wrap-distance-left:0;mso-wrap-distance-right:0" coordorigin="1868,298" coordsize="8460,7285">
            <v:rect style="position:absolute;left:1877;top:307;width:8440;height:452" filled="true" fillcolor="#deeaf6" stroked="false">
              <v:fill type="solid"/>
            </v:rect>
            <v:rect style="position:absolute;left:1877;top:758;width:8440;height:291" filled="true" fillcolor="#deeaf6" stroked="false">
              <v:fill type="solid"/>
            </v:rect>
            <v:rect style="position:absolute;left:1877;top:1048;width:8440;height:293" filled="true" fillcolor="#deeaf6" stroked="false">
              <v:fill type="solid"/>
            </v:rect>
            <v:rect style="position:absolute;left:1877;top:1341;width:8440;height:291" filled="true" fillcolor="#deeaf6" stroked="false">
              <v:fill type="solid"/>
            </v:rect>
            <v:rect style="position:absolute;left:1877;top:1632;width:8440;height:291" filled="true" fillcolor="#deeaf6" stroked="false">
              <v:fill type="solid"/>
            </v:rect>
            <v:rect style="position:absolute;left:1877;top:1922;width:8440;height:291" filled="true" fillcolor="#deeaf6" stroked="false">
              <v:fill type="solid"/>
            </v:rect>
            <v:rect style="position:absolute;left:1877;top:2213;width:8440;height:291" filled="true" fillcolor="#deeaf6" stroked="false">
              <v:fill type="solid"/>
            </v:rect>
            <v:rect style="position:absolute;left:1877;top:2503;width:8440;height:293" filled="true" fillcolor="#deeaf6" stroked="false">
              <v:fill type="solid"/>
            </v:rect>
            <v:rect style="position:absolute;left:1877;top:2796;width:8440;height:264" filled="true" fillcolor="#deeaf6" stroked="false">
              <v:fill type="solid"/>
            </v:rect>
            <v:rect style="position:absolute;left:1877;top:3060;width:8440;height:264" filled="true" fillcolor="#deeaf6" stroked="false">
              <v:fill type="solid"/>
            </v:rect>
            <v:rect style="position:absolute;left:1877;top:3324;width:8440;height:2854" filled="true" fillcolor="#deeaf6" stroked="false">
              <v:fill type="solid"/>
            </v:rect>
            <v:rect style="position:absolute;left:1877;top:6178;width:8440;height:212" filled="true" fillcolor="#deeaf6" stroked="false">
              <v:fill type="solid"/>
            </v:rect>
            <v:rect style="position:absolute;left:1877;top:6389;width:8440;height:291" filled="true" fillcolor="#deeaf6" stroked="false">
              <v:fill type="solid"/>
            </v:rect>
            <v:rect style="position:absolute;left:1877;top:6680;width:8440;height:291" filled="true" fillcolor="#deeaf6" stroked="false">
              <v:fill type="solid"/>
            </v:rect>
            <v:rect style="position:absolute;left:1877;top:6970;width:8440;height:293" filled="true" fillcolor="#deeaf6" stroked="false">
              <v:fill type="solid"/>
            </v:rect>
            <v:rect style="position:absolute;left:1877;top:7263;width:8440;height:310" filled="true" fillcolor="#deeaf6" stroked="false">
              <v:fill type="solid"/>
            </v:rect>
            <v:rect style="position:absolute;left:2920;top:3323;width:6351;height:2655" filled="true" fillcolor="#ffffff" stroked="false">
              <v:fill type="solid"/>
            </v:rect>
            <v:line style="position:absolute" from="3614,3805" to="9038,3805" stroked="true" strokeweight=".72pt" strokecolor="#d9d9d9">
              <v:stroke dashstyle="solid"/>
            </v:line>
            <v:shape style="position:absolute;left:3690;top:3605;width:5273;height:1596" coordorigin="3690,3605" coordsize="5273,1596" path="m3690,3689l3841,3711,3990,3780,4141,3684,4292,3694,4444,3694,4595,3699,4744,3713,4895,3713,5046,3711,5197,3701,5346,3699,5497,3739,5648,3682,5800,4116,5951,4481,6100,4642,6251,4762,6402,4865,6553,4939,6704,4983,6853,5019,7004,5040,7156,5071,7307,5141,7458,5201,7607,5074,7758,4951,7909,4831,8060,4663,8209,4486,8360,4361,8512,4246,8663,4107,8814,4003,8963,3605e" filled="false" stroked="true" strokeweight="2.280pt" strokecolor="#5b9bd4">
              <v:path arrowok="t"/>
              <v:stroke dashstyle="solid"/>
            </v:shape>
            <v:shape style="position:absolute;left:3631;top:3630;width:116;height:116" type="#_x0000_t75" stroked="false">
              <v:imagedata r:id="rId92" o:title=""/>
            </v:shape>
            <v:shape style="position:absolute;left:3783;top:3651;width:116;height:116" type="#_x0000_t75" stroked="false">
              <v:imagedata r:id="rId92" o:title=""/>
            </v:shape>
            <v:shape style="position:absolute;left:3934;top:3721;width:116;height:116" type="#_x0000_t75" stroked="false">
              <v:imagedata r:id="rId93" o:title=""/>
            </v:shape>
            <v:shape style="position:absolute;left:4085;top:3627;width:116;height:116" type="#_x0000_t75" stroked="false">
              <v:imagedata r:id="rId94" o:title=""/>
            </v:shape>
            <v:shape style="position:absolute;left:4234;top:3637;width:116;height:116" type="#_x0000_t75" stroked="false">
              <v:imagedata r:id="rId94" o:title=""/>
            </v:shape>
            <v:shape style="position:absolute;left:4385;top:3635;width:116;height:116" type="#_x0000_t75" stroked="false">
              <v:imagedata r:id="rId94" o:title=""/>
            </v:shape>
            <v:shape style="position:absolute;left:4536;top:3642;width:116;height:116" type="#_x0000_t75" stroked="false">
              <v:imagedata r:id="rId94" o:title=""/>
            </v:shape>
            <v:shape style="position:absolute;left:4687;top:3654;width:116;height:116" type="#_x0000_t75" stroked="false">
              <v:imagedata r:id="rId93" o:title=""/>
            </v:shape>
            <v:shape style="position:absolute;left:4839;top:3654;width:116;height:116" type="#_x0000_t75" stroked="false">
              <v:imagedata r:id="rId95" o:title=""/>
            </v:shape>
            <v:shape style="position:absolute;left:4987;top:3654;width:116;height:116" type="#_x0000_t75" stroked="false">
              <v:imagedata r:id="rId93" o:title=""/>
            </v:shape>
            <v:shape style="position:absolute;left:5139;top:3644;width:116;height:116" type="#_x0000_t75" stroked="false">
              <v:imagedata r:id="rId92" o:title=""/>
            </v:shape>
            <v:shape style="position:absolute;left:5290;top:3642;width:116;height:116" type="#_x0000_t75" stroked="false">
              <v:imagedata r:id="rId92" o:title=""/>
            </v:shape>
            <v:shape style="position:absolute;left:5441;top:3680;width:116;height:116" type="#_x0000_t75" stroked="false">
              <v:imagedata r:id="rId94" o:title=""/>
            </v:shape>
            <v:shape style="position:absolute;left:5592;top:3623;width:116;height:116" type="#_x0000_t75" stroked="false">
              <v:imagedata r:id="rId94" o:title=""/>
            </v:shape>
            <v:shape style="position:absolute;left:5741;top:4059;width:116;height:116" type="#_x0000_t75" stroked="false">
              <v:imagedata r:id="rId93" o:title=""/>
            </v:shape>
            <v:shape style="position:absolute;left:5892;top:4422;width:116;height:116" type="#_x0000_t75" stroked="false">
              <v:imagedata r:id="rId94" o:title=""/>
            </v:shape>
            <v:shape style="position:absolute;left:6043;top:4583;width:116;height:116" type="#_x0000_t75" stroked="false">
              <v:imagedata r:id="rId94" o:title=""/>
            </v:shape>
            <v:shape style="position:absolute;left:6195;top:4705;width:116;height:116" type="#_x0000_t75" stroked="false">
              <v:imagedata r:id="rId93" o:title=""/>
            </v:shape>
            <v:shape style="position:absolute;left:6343;top:4806;width:116;height:116" type="#_x0000_t75" stroked="false">
              <v:imagedata r:id="rId94" o:title=""/>
            </v:shape>
            <v:shape style="position:absolute;left:6495;top:4883;width:116;height:116" type="#_x0000_t75" stroked="false">
              <v:imagedata r:id="rId94" o:title=""/>
            </v:shape>
            <v:shape style="position:absolute;left:6653;top:4931;width:101;height:101" coordorigin="6653,4931" coordsize="101,101" path="m6704,4931l6653,4981,6704,5032,6754,4981,6704,4931xe" filled="true" fillcolor="#ffffff" stroked="false">
              <v:path arrowok="t"/>
              <v:fill type="solid"/>
            </v:shape>
            <v:shape style="position:absolute;left:6653;top:4931;width:101;height:101" coordorigin="6653,4931" coordsize="101,101" path="m6704,4931l6754,4981,6704,5032,6653,4981,6704,4931xe" filled="false" stroked="true" strokeweight=".72pt" strokecolor="#5b9bd4">
              <v:path arrowok="t"/>
              <v:stroke dashstyle="solid"/>
            </v:shape>
            <v:shape style="position:absolute;left:6804;top:4969;width:101;height:101" coordorigin="6805,4969" coordsize="101,101" path="m6855,4969l6805,5020,6855,5070,6905,5020,6855,4969xe" filled="true" fillcolor="#ffffff" stroked="false">
              <v:path arrowok="t"/>
              <v:fill type="solid"/>
            </v:shape>
            <v:shape style="position:absolute;left:6804;top:4969;width:101;height:101" coordorigin="6805,4969" coordsize="101,101" path="m6855,4969l6905,5020,6855,5070,6805,5020,6855,4969xe" filled="false" stroked="true" strokeweight=".72pt" strokecolor="#5b9bd4">
              <v:path arrowok="t"/>
              <v:stroke dashstyle="solid"/>
            </v:shape>
            <v:shape style="position:absolute;left:6955;top:4988;width:101;height:101" coordorigin="6956,4989" coordsize="101,101" path="m7006,4989l6956,5039,7006,5089,7057,5039,7006,4989xe" filled="true" fillcolor="#ffffff" stroked="false">
              <v:path arrowok="t"/>
              <v:fill type="solid"/>
            </v:shape>
            <v:shape style="position:absolute;left:6955;top:4988;width:101;height:101" coordorigin="6956,4989" coordsize="101,101" path="m7006,4989l7057,5039,7006,5089,6956,5039,7006,4989xe" filled="false" stroked="true" strokeweight=".72pt" strokecolor="#5b9bd4">
              <v:path arrowok="t"/>
              <v:stroke dashstyle="solid"/>
            </v:shape>
            <v:shape style="position:absolute;left:7097;top:5012;width:116;height:116" type="#_x0000_t75" stroked="false">
              <v:imagedata r:id="rId95" o:title=""/>
            </v:shape>
            <v:shape style="position:absolute;left:7248;top:5082;width:116;height:116" type="#_x0000_t75" stroked="false">
              <v:imagedata r:id="rId92" o:title=""/>
            </v:shape>
            <v:shape style="position:absolute;left:7399;top:5142;width:116;height:116" type="#_x0000_t75" stroked="false">
              <v:imagedata r:id="rId94" o:title=""/>
            </v:shape>
            <v:shape style="position:absolute;left:7551;top:5017;width:116;height:116" type="#_x0000_t75" stroked="false">
              <v:imagedata r:id="rId94" o:title=""/>
            </v:shape>
            <v:shape style="position:absolute;left:7702;top:4892;width:116;height:116" type="#_x0000_t75" stroked="false">
              <v:imagedata r:id="rId93" o:title=""/>
            </v:shape>
            <v:shape style="position:absolute;left:7851;top:4775;width:116;height:116" type="#_x0000_t75" stroked="false">
              <v:imagedata r:id="rId94" o:title=""/>
            </v:shape>
            <v:shape style="position:absolute;left:8002;top:4607;width:116;height:116" type="#_x0000_t75" stroked="false">
              <v:imagedata r:id="rId93" o:title=""/>
            </v:shape>
            <v:shape style="position:absolute;left:8153;top:4429;width:116;height:116" type="#_x0000_t75" stroked="false">
              <v:imagedata r:id="rId94" o:title=""/>
            </v:shape>
            <v:shape style="position:absolute;left:8304;top:4302;width:116;height:116" type="#_x0000_t75" stroked="false">
              <v:imagedata r:id="rId92" o:title=""/>
            </v:shape>
            <v:shape style="position:absolute;left:8455;top:4187;width:116;height:116" type="#_x0000_t75" stroked="false">
              <v:imagedata r:id="rId95" o:title=""/>
            </v:shape>
            <v:shape style="position:absolute;left:8604;top:4047;width:116;height:116" type="#_x0000_t75" stroked="false">
              <v:imagedata r:id="rId92" o:title=""/>
            </v:shape>
            <v:shape style="position:absolute;left:8755;top:3944;width:116;height:116" type="#_x0000_t75" stroked="false">
              <v:imagedata r:id="rId92" o:title=""/>
            </v:shape>
            <v:shape style="position:absolute;left:8907;top:3546;width:116;height:116" type="#_x0000_t75" stroked="false">
              <v:imagedata r:id="rId94" o:title=""/>
            </v:shape>
            <v:shape style="position:absolute;left:6765;top:5039;width:240;height:161" coordorigin="6766,5039" coordsize="240,161" path="m7006,5039l6857,5200,6766,5200e" filled="false" stroked="true" strokeweight=".72pt" strokecolor="#a6a6a6">
              <v:path arrowok="t"/>
              <v:stroke dashstyle="solid"/>
            </v:shape>
            <v:shape style="position:absolute;left:7456;top:5199;width:452;height:92" coordorigin="7457,5200" coordsize="452,92" path="m7457,5200l7817,5291,7908,5291e" filled="false" stroked="true" strokeweight=".72pt" strokecolor="#a6a6a6">
              <v:path arrowok="t"/>
              <v:stroke dashstyle="solid"/>
            </v:shape>
            <v:line style="position:absolute" from="8813,4002" to="8995,4161" stroked="true" strokeweight=".72pt" strokecolor="#a6a6a6">
              <v:stroke dashstyle="solid"/>
            </v:line>
            <v:shape style="position:absolute;left:3423;top:5575;width:5411;height:350" type="#_x0000_t75" stroked="false">
              <v:imagedata r:id="rId96" o:title=""/>
            </v:shape>
            <v:shape style="position:absolute;left:1872;top:302;width:8450;height:7276" type="#_x0000_t202" filled="false" stroked="true" strokeweight=".48pt" strokecolor="#000000">
              <v:textbox inset="0,0,0,0">
                <w:txbxContent>
                  <w:p>
                    <w:pPr>
                      <w:spacing w:line="252" w:lineRule="exact" w:before="0"/>
                      <w:ind w:left="371" w:right="371" w:firstLine="0"/>
                      <w:jc w:val="center"/>
                      <w:rPr>
                        <w:b/>
                        <w:sz w:val="22"/>
                      </w:rPr>
                    </w:pPr>
                    <w:r>
                      <w:rPr>
                        <w:b/>
                        <w:sz w:val="22"/>
                      </w:rPr>
                      <w:t>Impuestos no administrados por la SAT</w:t>
                    </w:r>
                  </w:p>
                  <w:p>
                    <w:pPr>
                      <w:spacing w:line="276" w:lineRule="auto" w:before="193"/>
                      <w:ind w:left="107" w:right="105" w:firstLine="0"/>
                      <w:jc w:val="both"/>
                      <w:rPr>
                        <w:sz w:val="22"/>
                      </w:rPr>
                    </w:pPr>
                    <w:r>
                      <w:rPr>
                        <w:sz w:val="22"/>
                      </w:rPr>
                      <w:t>Información publicada por el Instituto Guatemalteco de Turismo -INGUAT- da cuenta de la recuperación interanual en el número de visitantes no residentes acumulados a diciembre de 2021 (12%), si la comparación se realiza respecto a 2019 (año sin pandemia) se observa una caída de 74%, otro factor importante a destacar es que de conformidad a las estadísticas del INGUAT al mes de diciembre se reporta que se tuvieron 3,908 excursionistas por cruceros, versus 2020 no se registró ningún visitante por esta vía.</w:t>
                    </w:r>
                  </w:p>
                  <w:p>
                    <w:pPr>
                      <w:spacing w:line="240" w:lineRule="auto" w:before="0"/>
                      <w:rPr>
                        <w:sz w:val="26"/>
                      </w:rPr>
                    </w:pPr>
                  </w:p>
                  <w:p>
                    <w:pPr>
                      <w:spacing w:line="276" w:lineRule="auto" w:before="0"/>
                      <w:ind w:left="371" w:right="378" w:firstLine="0"/>
                      <w:jc w:val="center"/>
                      <w:rPr>
                        <w:b/>
                        <w:sz w:val="20"/>
                      </w:rPr>
                    </w:pPr>
                    <w:bookmarkStart w:name="_bookmark123" w:id="152"/>
                    <w:bookmarkEnd w:id="152"/>
                    <w:r>
                      <w:rPr/>
                    </w:r>
                    <w:r>
                      <w:rPr>
                        <w:b/>
                        <w:i/>
                        <w:sz w:val="20"/>
                      </w:rPr>
                      <w:t>Gráfico 63. </w:t>
                    </w:r>
                    <w:r>
                      <w:rPr>
                        <w:b/>
                        <w:sz w:val="20"/>
                      </w:rPr>
                      <w:t>Variación interanual acumulada del número de visitantes no residentes 2019 a diciembre 2021</w:t>
                    </w: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10"/>
                      <w:rPr>
                        <w:b/>
                        <w:sz w:val="27"/>
                      </w:rPr>
                    </w:pPr>
                  </w:p>
                  <w:p>
                    <w:pPr>
                      <w:spacing w:before="0"/>
                      <w:ind w:left="1435" w:right="0" w:firstLine="0"/>
                      <w:jc w:val="left"/>
                      <w:rPr>
                        <w:sz w:val="16"/>
                      </w:rPr>
                    </w:pPr>
                    <w:r>
                      <w:rPr>
                        <w:sz w:val="16"/>
                      </w:rPr>
                      <w:t>Fuente: Instituto Guatemalteco de Turismo.</w:t>
                    </w:r>
                  </w:p>
                </w:txbxContent>
              </v:textbox>
              <v:stroke dashstyle="solid"/>
              <w10:wrap type="none"/>
            </v:shape>
            <v:shape style="position:absolute;left:3051;top:5360;width:447;height:179" type="#_x0000_t202" filled="false" stroked="false">
              <v:textbox inset="0,0,0,0">
                <w:txbxContent>
                  <w:p>
                    <w:pPr>
                      <w:spacing w:line="178" w:lineRule="exact" w:before="0"/>
                      <w:ind w:left="0" w:right="0" w:firstLine="0"/>
                      <w:jc w:val="left"/>
                      <w:rPr>
                        <w:sz w:val="16"/>
                      </w:rPr>
                    </w:pPr>
                    <w:r>
                      <w:rPr>
                        <w:color w:val="585858"/>
                        <w:sz w:val="16"/>
                      </w:rPr>
                      <w:t>-100%</w:t>
                    </w:r>
                  </w:p>
                </w:txbxContent>
              </v:textbox>
              <w10:wrap type="none"/>
            </v:shape>
            <v:shape style="position:absolute;left:7969;top:5217;width:450;height:155" type="#_x0000_t202" filled="false" stroked="false">
              <v:textbox inset="0,0,0,0">
                <w:txbxContent>
                  <w:p>
                    <w:pPr>
                      <w:spacing w:line="154" w:lineRule="exact" w:before="0"/>
                      <w:ind w:left="0" w:right="0" w:firstLine="0"/>
                      <w:jc w:val="left"/>
                      <w:rPr>
                        <w:b/>
                        <w:sz w:val="14"/>
                      </w:rPr>
                    </w:pPr>
                    <w:r>
                      <w:rPr>
                        <w:b/>
                        <w:color w:val="006FC0"/>
                        <w:sz w:val="14"/>
                      </w:rPr>
                      <w:t>-84.7%</w:t>
                    </w:r>
                  </w:p>
                </w:txbxContent>
              </v:textbox>
              <w10:wrap type="none"/>
            </v:shape>
            <v:shape style="position:absolute;left:6277;top:5127;width:450;height:155" type="#_x0000_t202" filled="false" stroked="false">
              <v:textbox inset="0,0,0,0">
                <w:txbxContent>
                  <w:p>
                    <w:pPr>
                      <w:spacing w:line="154" w:lineRule="exact" w:before="0"/>
                      <w:ind w:left="0" w:right="0" w:firstLine="0"/>
                      <w:jc w:val="left"/>
                      <w:rPr>
                        <w:b/>
                        <w:sz w:val="14"/>
                      </w:rPr>
                    </w:pPr>
                    <w:r>
                      <w:rPr>
                        <w:b/>
                        <w:color w:val="006FC0"/>
                        <w:sz w:val="14"/>
                      </w:rPr>
                      <w:t>-75.0%</w:t>
                    </w:r>
                  </w:p>
                </w:txbxContent>
              </v:textbox>
              <w10:wrap type="none"/>
            </v:shape>
            <v:shape style="position:absolute;left:3132;top:5030;width:368;height:179" type="#_x0000_t202" filled="false" stroked="false">
              <v:textbox inset="0,0,0,0">
                <w:txbxContent>
                  <w:p>
                    <w:pPr>
                      <w:spacing w:line="178" w:lineRule="exact" w:before="0"/>
                      <w:ind w:left="0" w:right="0" w:firstLine="0"/>
                      <w:jc w:val="left"/>
                      <w:rPr>
                        <w:sz w:val="16"/>
                      </w:rPr>
                    </w:pPr>
                    <w:r>
                      <w:rPr>
                        <w:color w:val="585858"/>
                        <w:sz w:val="16"/>
                      </w:rPr>
                      <w:t>-80%</w:t>
                    </w:r>
                  </w:p>
                </w:txbxContent>
              </v:textbox>
              <w10:wrap type="none"/>
            </v:shape>
            <v:shape style="position:absolute;left:8781;top:4197;width:450;height:155" type="#_x0000_t202" filled="false" stroked="false">
              <v:textbox inset="0,0,0,0">
                <w:txbxContent>
                  <w:p>
                    <w:pPr>
                      <w:spacing w:line="154" w:lineRule="exact" w:before="0"/>
                      <w:ind w:left="0" w:right="0" w:firstLine="0"/>
                      <w:jc w:val="left"/>
                      <w:rPr>
                        <w:b/>
                        <w:sz w:val="14"/>
                      </w:rPr>
                    </w:pPr>
                    <w:r>
                      <w:rPr>
                        <w:b/>
                        <w:color w:val="006FC0"/>
                        <w:sz w:val="14"/>
                      </w:rPr>
                      <w:t>-12.0%</w:t>
                    </w:r>
                  </w:p>
                </w:txbxContent>
              </v:textbox>
              <w10:wrap type="none"/>
            </v:shape>
            <v:shape style="position:absolute;left:8826;top:3429;width:404;height:155" type="#_x0000_t202" filled="false" stroked="false">
              <v:textbox inset="0,0,0,0">
                <w:txbxContent>
                  <w:p>
                    <w:pPr>
                      <w:spacing w:line="154" w:lineRule="exact" w:before="0"/>
                      <w:ind w:left="0" w:right="0" w:firstLine="0"/>
                      <w:jc w:val="left"/>
                      <w:rPr>
                        <w:b/>
                        <w:sz w:val="14"/>
                      </w:rPr>
                    </w:pPr>
                    <w:r>
                      <w:rPr>
                        <w:b/>
                        <w:color w:val="006FC0"/>
                        <w:sz w:val="14"/>
                      </w:rPr>
                      <w:t>12.1%</w:t>
                    </w:r>
                  </w:p>
                </w:txbxContent>
              </v:textbox>
              <w10:wrap type="none"/>
            </v:shape>
            <v:shape style="position:absolute;left:5519;top:3446;width:335;height:155" type="#_x0000_t202" filled="false" stroked="false">
              <v:textbox inset="0,0,0,0">
                <w:txbxContent>
                  <w:p>
                    <w:pPr>
                      <w:spacing w:line="154" w:lineRule="exact" w:before="0"/>
                      <w:ind w:left="0" w:right="0" w:firstLine="0"/>
                      <w:jc w:val="left"/>
                      <w:rPr>
                        <w:b/>
                        <w:sz w:val="14"/>
                      </w:rPr>
                    </w:pPr>
                    <w:r>
                      <w:rPr>
                        <w:b/>
                        <w:color w:val="006FC0"/>
                        <w:sz w:val="14"/>
                      </w:rPr>
                      <w:t>7.5%</w:t>
                    </w:r>
                  </w:p>
                </w:txbxContent>
              </v:textbox>
              <w10:wrap type="none"/>
            </v:shape>
            <v:shape style="position:absolute;left:3132;top:3382;width:368;height:1497" type="#_x0000_t202" filled="false" stroked="false">
              <v:textbox inset="0,0,0,0">
                <w:txbxContent>
                  <w:p>
                    <w:pPr>
                      <w:spacing w:line="178" w:lineRule="exact" w:before="0"/>
                      <w:ind w:left="53" w:right="0" w:firstLine="0"/>
                      <w:jc w:val="left"/>
                      <w:rPr>
                        <w:sz w:val="16"/>
                      </w:rPr>
                    </w:pPr>
                    <w:r>
                      <w:rPr>
                        <w:color w:val="585858"/>
                        <w:sz w:val="16"/>
                      </w:rPr>
                      <w:t>20%</w:t>
                    </w:r>
                  </w:p>
                  <w:p>
                    <w:pPr>
                      <w:spacing w:before="145"/>
                      <w:ind w:left="0" w:right="20" w:firstLine="0"/>
                      <w:jc w:val="right"/>
                      <w:rPr>
                        <w:sz w:val="16"/>
                      </w:rPr>
                    </w:pPr>
                    <w:r>
                      <w:rPr>
                        <w:color w:val="585858"/>
                        <w:spacing w:val="-2"/>
                        <w:sz w:val="16"/>
                      </w:rPr>
                      <w:t>0%</w:t>
                    </w:r>
                  </w:p>
                  <w:p>
                    <w:pPr>
                      <w:spacing w:before="146"/>
                      <w:ind w:left="0" w:right="18" w:firstLine="0"/>
                      <w:jc w:val="right"/>
                      <w:rPr>
                        <w:sz w:val="16"/>
                      </w:rPr>
                    </w:pPr>
                    <w:r>
                      <w:rPr>
                        <w:color w:val="585858"/>
                        <w:spacing w:val="-1"/>
                        <w:sz w:val="16"/>
                      </w:rPr>
                      <w:t>-20%</w:t>
                    </w:r>
                  </w:p>
                  <w:p>
                    <w:pPr>
                      <w:spacing w:before="146"/>
                      <w:ind w:left="0" w:right="18" w:firstLine="0"/>
                      <w:jc w:val="right"/>
                      <w:rPr>
                        <w:sz w:val="16"/>
                      </w:rPr>
                    </w:pPr>
                    <w:r>
                      <w:rPr>
                        <w:color w:val="585858"/>
                        <w:spacing w:val="-1"/>
                        <w:sz w:val="16"/>
                      </w:rPr>
                      <w:t>-40%</w:t>
                    </w:r>
                  </w:p>
                  <w:p>
                    <w:pPr>
                      <w:spacing w:before="145"/>
                      <w:ind w:left="0" w:right="18" w:firstLine="0"/>
                      <w:jc w:val="right"/>
                      <w:rPr>
                        <w:sz w:val="16"/>
                      </w:rPr>
                    </w:pPr>
                    <w:r>
                      <w:rPr>
                        <w:color w:val="585858"/>
                        <w:spacing w:val="-1"/>
                        <w:sz w:val="16"/>
                      </w:rPr>
                      <w:t>-60%</w:t>
                    </w:r>
                  </w:p>
                </w:txbxContent>
              </v:textbox>
              <w10:wrap type="none"/>
            </v:shape>
            <w10:wrap type="topAndBottom"/>
          </v:group>
        </w:pict>
      </w:r>
    </w:p>
    <w:p>
      <w:pPr>
        <w:spacing w:after="0"/>
        <w:sectPr>
          <w:pgSz w:w="12240" w:h="15840"/>
          <w:pgMar w:header="715" w:footer="957" w:top="1240" w:bottom="1140" w:left="1140" w:right="0"/>
        </w:sectPr>
      </w:pPr>
    </w:p>
    <w:p>
      <w:pPr>
        <w:pStyle w:val="BodyText"/>
        <w:spacing w:before="7"/>
        <w:rPr>
          <w:sz w:val="14"/>
        </w:rPr>
      </w:pPr>
    </w:p>
    <w:p>
      <w:pPr>
        <w:pStyle w:val="BodyText"/>
        <w:ind w:left="727"/>
        <w:rPr>
          <w:sz w:val="20"/>
        </w:rPr>
      </w:pPr>
      <w:r>
        <w:rPr>
          <w:sz w:val="20"/>
        </w:rPr>
        <w:pict>
          <v:shape style="width:422.5pt;height:59.7pt;mso-position-horizontal-relative:char;mso-position-vertical-relative:line" type="#_x0000_t202" filled="true" fillcolor="#deeaf6" stroked="true" strokeweight=".48pt" strokecolor="#000000">
            <w10:anchorlock/>
            <v:textbox inset="0,0,0,0">
              <w:txbxContent>
                <w:p>
                  <w:pPr>
                    <w:pStyle w:val="BodyText"/>
                    <w:spacing w:line="276" w:lineRule="auto"/>
                    <w:ind w:left="107" w:right="108"/>
                    <w:jc w:val="both"/>
                  </w:pPr>
                  <w:r>
                    <w:rPr/>
                    <w:t>Para</w:t>
                  </w:r>
                  <w:r>
                    <w:rPr>
                      <w:spacing w:val="-14"/>
                    </w:rPr>
                    <w:t> </w:t>
                  </w:r>
                  <w:r>
                    <w:rPr/>
                    <w:t>el</w:t>
                  </w:r>
                  <w:r>
                    <w:rPr>
                      <w:spacing w:val="-12"/>
                    </w:rPr>
                    <w:t> </w:t>
                  </w:r>
                  <w:r>
                    <w:rPr/>
                    <w:t>caso</w:t>
                  </w:r>
                  <w:r>
                    <w:rPr>
                      <w:spacing w:val="-14"/>
                    </w:rPr>
                    <w:t> </w:t>
                  </w:r>
                  <w:r>
                    <w:rPr/>
                    <w:t>de</w:t>
                  </w:r>
                  <w:r>
                    <w:rPr>
                      <w:spacing w:val="-13"/>
                    </w:rPr>
                    <w:t> </w:t>
                  </w:r>
                  <w:r>
                    <w:rPr/>
                    <w:t>las</w:t>
                  </w:r>
                  <w:r>
                    <w:rPr>
                      <w:spacing w:val="-13"/>
                    </w:rPr>
                    <w:t> </w:t>
                  </w:r>
                  <w:r>
                    <w:rPr/>
                    <w:t>regalías</w:t>
                  </w:r>
                  <w:r>
                    <w:rPr>
                      <w:spacing w:val="-13"/>
                    </w:rPr>
                    <w:t> </w:t>
                  </w:r>
                  <w:r>
                    <w:rPr/>
                    <w:t>e</w:t>
                  </w:r>
                  <w:r>
                    <w:rPr>
                      <w:spacing w:val="-16"/>
                    </w:rPr>
                    <w:t> </w:t>
                  </w:r>
                  <w:r>
                    <w:rPr/>
                    <w:t>hidrocarburos</w:t>
                  </w:r>
                  <w:r>
                    <w:rPr>
                      <w:spacing w:val="-13"/>
                    </w:rPr>
                    <w:t> </w:t>
                  </w:r>
                  <w:r>
                    <w:rPr/>
                    <w:t>compartibles</w:t>
                  </w:r>
                  <w:r>
                    <w:rPr>
                      <w:spacing w:val="-15"/>
                    </w:rPr>
                    <w:t> </w:t>
                  </w:r>
                  <w:r>
                    <w:rPr/>
                    <w:t>según</w:t>
                  </w:r>
                  <w:r>
                    <w:rPr>
                      <w:spacing w:val="-14"/>
                    </w:rPr>
                    <w:t> </w:t>
                  </w:r>
                  <w:r>
                    <w:rPr/>
                    <w:t>cifras</w:t>
                  </w:r>
                  <w:r>
                    <w:rPr>
                      <w:spacing w:val="-13"/>
                    </w:rPr>
                    <w:t> </w:t>
                  </w:r>
                  <w:r>
                    <w:rPr/>
                    <w:t>del</w:t>
                  </w:r>
                  <w:r>
                    <w:rPr>
                      <w:spacing w:val="-13"/>
                    </w:rPr>
                    <w:t> </w:t>
                  </w:r>
                  <w:r>
                    <w:rPr/>
                    <w:t>Ministerio</w:t>
                  </w:r>
                  <w:r>
                    <w:rPr>
                      <w:spacing w:val="-16"/>
                    </w:rPr>
                    <w:t> </w:t>
                  </w:r>
                  <w:r>
                    <w:rPr/>
                    <w:t>de</w:t>
                  </w:r>
                  <w:r>
                    <w:rPr>
                      <w:spacing w:val="-14"/>
                    </w:rPr>
                    <w:t> </w:t>
                  </w:r>
                  <w:r>
                    <w:rPr/>
                    <w:t>Energía y Minas se observa que el volumen exportado de petróleo y sus derivados a diciembre tiene un crecimiento del 10.5% respecto a lo observado en 2020, si la comparación se realiza respecto a 2019 se observa una caída del 11.4% en el volumen</w:t>
                  </w:r>
                  <w:r>
                    <w:rPr>
                      <w:spacing w:val="-9"/>
                    </w:rPr>
                    <w:t> </w:t>
                  </w:r>
                  <w:r>
                    <w:rPr/>
                    <w:t>exportado.</w:t>
                  </w:r>
                </w:p>
              </w:txbxContent>
            </v:textbox>
            <v:fill type="solid"/>
            <v:stroke dashstyle="solid"/>
          </v:shape>
        </w:pict>
      </w:r>
      <w:r>
        <w:rPr>
          <w:sz w:val="20"/>
        </w:rPr>
      </w:r>
    </w:p>
    <w:p>
      <w:pPr>
        <w:pStyle w:val="BodyText"/>
        <w:spacing w:before="8"/>
        <w:rPr>
          <w:sz w:val="13"/>
        </w:rPr>
      </w:pPr>
    </w:p>
    <w:p>
      <w:pPr>
        <w:pStyle w:val="BodyText"/>
        <w:spacing w:line="273" w:lineRule="auto" w:before="91"/>
        <w:ind w:left="562" w:right="1696"/>
        <w:jc w:val="both"/>
      </w:pPr>
      <w:r>
        <w:rPr/>
        <w:t>La recaudación tributaria acumulada a diciembre generó una brecha positiva de Q13,991.4 millones respecto a la meta de presupuesto</w:t>
      </w:r>
      <w:r>
        <w:rPr>
          <w:position w:val="8"/>
          <w:sz w:val="14"/>
        </w:rPr>
        <w:t>2</w:t>
      </w:r>
      <w:r>
        <w:rPr/>
        <w:t>. Aspectos importantes del resultado positivo son la recuperación de los impuestos asociados al comercio exterior, la cual creció en diciembre 43.1% (Q7,144.4 millones) respecto a lo observado en 2020; el consumo interno, a través del IVA; y, el impuesto a la distribución de derivados del petróleo y el Impuesto Sobre la Renta.</w:t>
      </w:r>
    </w:p>
    <w:p>
      <w:pPr>
        <w:pStyle w:val="BodyText"/>
        <w:spacing w:before="5"/>
        <w:rPr>
          <w:sz w:val="26"/>
        </w:rPr>
      </w:pPr>
    </w:p>
    <w:p>
      <w:pPr>
        <w:spacing w:before="1"/>
        <w:ind w:left="3233" w:right="0" w:firstLine="0"/>
        <w:jc w:val="left"/>
        <w:rPr>
          <w:b/>
          <w:sz w:val="20"/>
        </w:rPr>
      </w:pPr>
      <w:r>
        <w:rPr/>
        <w:pict>
          <v:group style="position:absolute;margin-left:93.384003pt;margin-top:13.225949pt;width:423pt;height:382.8pt;mso-position-horizontal-relative:page;mso-position-vertical-relative:paragraph;z-index:-250799104;mso-wrap-distance-left:0;mso-wrap-distance-right:0" coordorigin="1868,265" coordsize="8460,7656">
            <v:rect style="position:absolute;left:1877;top:274;width:8440;height:452" filled="true" fillcolor="#deeaf6" stroked="false">
              <v:fill type="solid"/>
            </v:rect>
            <v:rect style="position:absolute;left:1877;top:725;width:8440;height:452" filled="true" fillcolor="#deeaf6" stroked="false">
              <v:fill type="solid"/>
            </v:rect>
            <v:rect style="position:absolute;left:1877;top:1177;width:8440;height:452" filled="true" fillcolor="#deeaf6" stroked="false">
              <v:fill type="solid"/>
            </v:rect>
            <v:rect style="position:absolute;left:1877;top:1628;width:8440;height:452" filled="true" fillcolor="#deeaf6" stroked="false">
              <v:fill type="solid"/>
            </v:rect>
            <v:rect style="position:absolute;left:1877;top:2079;width:8440;height:452" filled="true" fillcolor="#deeaf6" stroked="false">
              <v:fill type="solid"/>
            </v:rect>
            <v:rect style="position:absolute;left:1877;top:2530;width:8440;height:452" filled="true" fillcolor="#deeaf6" stroked="false">
              <v:fill type="solid"/>
            </v:rect>
            <v:rect style="position:absolute;left:1877;top:2981;width:8440;height:449" filled="true" fillcolor="#deeaf6" stroked="false">
              <v:fill type="solid"/>
            </v:rect>
            <v:rect style="position:absolute;left:1877;top:3430;width:8440;height:293" filled="true" fillcolor="#deeaf6" stroked="false">
              <v:fill type="solid"/>
            </v:rect>
            <v:rect style="position:absolute;left:1877;top:3723;width:8440;height:291" filled="true" fillcolor="#deeaf6" stroked="false">
              <v:fill type="solid"/>
            </v:rect>
            <v:rect style="position:absolute;left:1877;top:4014;width:8440;height:3666" filled="true" fillcolor="#deeaf6" stroked="false">
              <v:fill type="solid"/>
            </v:rect>
            <v:rect style="position:absolute;left:1877;top:7679;width:8440;height:231" filled="true" fillcolor="#deeaf6" stroked="false">
              <v:fill type="solid"/>
            </v:rect>
            <v:shape style="position:absolute;left:1985;top:4012;width:7900;height:3466" type="#_x0000_t75" stroked="false">
              <v:imagedata r:id="rId97" o:title=""/>
            </v:shape>
            <v:rect style="position:absolute;left:4037;top:5016;width:64;height:41" filled="true" fillcolor="#ffffff" stroked="false">
              <v:fill type="solid"/>
            </v:rect>
            <v:shape style="position:absolute;left:2731;top:636;width:7364;height:2686" type="#_x0000_t75" stroked="false">
              <v:imagedata r:id="rId98" o:title=""/>
            </v:shape>
            <v:shape style="position:absolute;left:1872;top:269;width:8450;height:7646" type="#_x0000_t202" filled="false" stroked="true" strokeweight=".48pt" strokecolor="#000000">
              <v:textbox inset="0,0,0,0">
                <w:txbxContent>
                  <w:p>
                    <w:pPr>
                      <w:spacing w:line="247" w:lineRule="exact" w:before="0"/>
                      <w:ind w:left="371" w:right="372" w:firstLine="0"/>
                      <w:jc w:val="center"/>
                      <w:rPr>
                        <w:sz w:val="22"/>
                      </w:rPr>
                    </w:pPr>
                    <w:r>
                      <w:rPr>
                        <w:sz w:val="22"/>
                      </w:rPr>
                      <w:t>Facilitación y simplificación sobre una base de soluciones tecnológicas</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78" w:lineRule="auto" w:before="144"/>
                      <w:ind w:left="107" w:right="0" w:firstLine="0"/>
                      <w:jc w:val="left"/>
                      <w:rPr>
                        <w:sz w:val="22"/>
                      </w:rPr>
                    </w:pPr>
                    <w:r>
                      <w:rPr>
                        <w:sz w:val="22"/>
                      </w:rPr>
                      <w:t>Acciones</w:t>
                    </w:r>
                    <w:r>
                      <w:rPr>
                        <w:spacing w:val="-13"/>
                        <w:sz w:val="22"/>
                      </w:rPr>
                      <w:t> </w:t>
                    </w:r>
                    <w:r>
                      <w:rPr>
                        <w:sz w:val="22"/>
                      </w:rPr>
                      <w:t>de</w:t>
                    </w:r>
                    <w:r>
                      <w:rPr>
                        <w:spacing w:val="-13"/>
                        <w:sz w:val="22"/>
                      </w:rPr>
                      <w:t> </w:t>
                    </w:r>
                    <w:r>
                      <w:rPr>
                        <w:sz w:val="22"/>
                      </w:rPr>
                      <w:t>mejora</w:t>
                    </w:r>
                    <w:r>
                      <w:rPr>
                        <w:spacing w:val="-13"/>
                        <w:sz w:val="22"/>
                      </w:rPr>
                      <w:t> </w:t>
                    </w:r>
                    <w:r>
                      <w:rPr>
                        <w:sz w:val="22"/>
                      </w:rPr>
                      <w:t>del</w:t>
                    </w:r>
                    <w:r>
                      <w:rPr>
                        <w:spacing w:val="-12"/>
                        <w:sz w:val="22"/>
                      </w:rPr>
                      <w:t> </w:t>
                    </w:r>
                    <w:r>
                      <w:rPr>
                        <w:sz w:val="22"/>
                      </w:rPr>
                      <w:t>control</w:t>
                    </w:r>
                    <w:r>
                      <w:rPr>
                        <w:spacing w:val="-12"/>
                        <w:sz w:val="22"/>
                      </w:rPr>
                      <w:t> </w:t>
                    </w:r>
                    <w:r>
                      <w:rPr>
                        <w:sz w:val="22"/>
                      </w:rPr>
                      <w:t>de</w:t>
                    </w:r>
                    <w:r>
                      <w:rPr>
                        <w:spacing w:val="-13"/>
                        <w:sz w:val="22"/>
                      </w:rPr>
                      <w:t> </w:t>
                    </w:r>
                    <w:r>
                      <w:rPr>
                        <w:sz w:val="22"/>
                      </w:rPr>
                      <w:t>la</w:t>
                    </w:r>
                    <w:r>
                      <w:rPr>
                        <w:spacing w:val="-13"/>
                        <w:sz w:val="22"/>
                      </w:rPr>
                      <w:t> </w:t>
                    </w:r>
                    <w:r>
                      <w:rPr>
                        <w:sz w:val="22"/>
                      </w:rPr>
                      <w:t>recaudación</w:t>
                    </w:r>
                    <w:r>
                      <w:rPr>
                        <w:spacing w:val="-13"/>
                        <w:sz w:val="22"/>
                      </w:rPr>
                      <w:t> </w:t>
                    </w:r>
                    <w:r>
                      <w:rPr>
                        <w:sz w:val="22"/>
                      </w:rPr>
                      <w:t>y</w:t>
                    </w:r>
                    <w:r>
                      <w:rPr>
                        <w:spacing w:val="-16"/>
                        <w:sz w:val="22"/>
                      </w:rPr>
                      <w:t> </w:t>
                    </w:r>
                    <w:r>
                      <w:rPr>
                        <w:sz w:val="22"/>
                      </w:rPr>
                      <w:t>del</w:t>
                    </w:r>
                    <w:r>
                      <w:rPr>
                        <w:spacing w:val="-9"/>
                        <w:sz w:val="22"/>
                      </w:rPr>
                      <w:t> </w:t>
                    </w:r>
                    <w:r>
                      <w:rPr>
                        <w:sz w:val="22"/>
                      </w:rPr>
                      <w:t>comercio</w:t>
                    </w:r>
                    <w:r>
                      <w:rPr>
                        <w:spacing w:val="-13"/>
                        <w:sz w:val="22"/>
                      </w:rPr>
                      <w:t> </w:t>
                    </w:r>
                    <w:r>
                      <w:rPr>
                        <w:sz w:val="22"/>
                      </w:rPr>
                      <w:t>exterior</w:t>
                    </w:r>
                    <w:r>
                      <w:rPr>
                        <w:spacing w:val="-13"/>
                        <w:sz w:val="22"/>
                      </w:rPr>
                      <w:t> </w:t>
                    </w:r>
                    <w:r>
                      <w:rPr>
                        <w:sz w:val="22"/>
                      </w:rPr>
                      <w:t>a</w:t>
                    </w:r>
                    <w:r>
                      <w:rPr>
                        <w:spacing w:val="-12"/>
                        <w:sz w:val="22"/>
                      </w:rPr>
                      <w:t> </w:t>
                    </w:r>
                    <w:r>
                      <w:rPr>
                        <w:sz w:val="22"/>
                      </w:rPr>
                      <w:t>través</w:t>
                    </w:r>
                    <w:r>
                      <w:rPr>
                        <w:spacing w:val="-13"/>
                        <w:sz w:val="22"/>
                      </w:rPr>
                      <w:t> </w:t>
                    </w:r>
                    <w:r>
                      <w:rPr>
                        <w:sz w:val="22"/>
                      </w:rPr>
                      <w:t>del</w:t>
                    </w:r>
                    <w:r>
                      <w:rPr>
                        <w:spacing w:val="-12"/>
                        <w:sz w:val="22"/>
                      </w:rPr>
                      <w:t> </w:t>
                    </w:r>
                    <w:r>
                      <w:rPr>
                        <w:sz w:val="22"/>
                      </w:rPr>
                      <w:t>Gobierno de Datos y el Riesgo</w:t>
                    </w:r>
                    <w:r>
                      <w:rPr>
                        <w:spacing w:val="-2"/>
                        <w:sz w:val="22"/>
                      </w:rPr>
                      <w:t> </w:t>
                    </w:r>
                    <w:r>
                      <w:rPr>
                        <w:sz w:val="22"/>
                      </w:rPr>
                      <w:t>Tributario.</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8"/>
                      <w:rPr>
                        <w:sz w:val="30"/>
                      </w:rPr>
                    </w:pPr>
                  </w:p>
                  <w:p>
                    <w:pPr>
                      <w:spacing w:before="0"/>
                      <w:ind w:left="107" w:right="0" w:firstLine="0"/>
                      <w:jc w:val="left"/>
                      <w:rPr>
                        <w:sz w:val="16"/>
                      </w:rPr>
                    </w:pPr>
                    <w:r>
                      <w:rPr>
                        <w:sz w:val="16"/>
                      </w:rPr>
                      <w:t>Fuente: Superintendencia de Administración Tributaria.</w:t>
                    </w:r>
                  </w:p>
                </w:txbxContent>
              </v:textbox>
              <v:stroke dashstyle="solid"/>
              <w10:wrap type="none"/>
            </v:shape>
            <v:shape style="position:absolute;left:4969;top:4995;width:1737;height:475" type="#_x0000_t202" filled="true" fillcolor="#ffffff" stroked="false">
              <v:textbox inset="0,0,0,0">
                <w:txbxContent>
                  <w:p>
                    <w:pPr>
                      <w:spacing w:line="268" w:lineRule="auto" w:before="52"/>
                      <w:ind w:left="167" w:right="165" w:firstLine="0"/>
                      <w:jc w:val="center"/>
                      <w:rPr>
                        <w:rFonts w:ascii="Arial" w:hAnsi="Arial"/>
                        <w:b/>
                        <w:sz w:val="10"/>
                      </w:rPr>
                    </w:pPr>
                    <w:r>
                      <w:rPr>
                        <w:rFonts w:ascii="Arial" w:hAnsi="Arial"/>
                        <w:b/>
                        <w:color w:val="136396"/>
                        <w:w w:val="110"/>
                        <w:sz w:val="10"/>
                      </w:rPr>
                      <w:t>Con Depósitos Aduaneros Temporales Marítimos (Puertos)</w:t>
                    </w:r>
                  </w:p>
                </w:txbxContent>
              </v:textbox>
              <v:fill type="solid"/>
              <w10:wrap type="none"/>
            </v:shape>
            <w10:wrap type="topAndBottom"/>
          </v:group>
        </w:pict>
      </w:r>
      <w:bookmarkStart w:name="_bookmark124" w:id="153"/>
      <w:bookmarkEnd w:id="153"/>
      <w:r>
        <w:rPr/>
      </w:r>
      <w:r>
        <w:rPr>
          <w:b/>
          <w:i/>
          <w:sz w:val="20"/>
        </w:rPr>
        <w:t>Gráfico 64. </w:t>
      </w:r>
      <w:r>
        <w:rPr>
          <w:b/>
          <w:sz w:val="20"/>
        </w:rPr>
        <w:t>Acciones realizadas por SAT</w:t>
      </w:r>
    </w:p>
    <w:p>
      <w:pPr>
        <w:pStyle w:val="BodyText"/>
        <w:rPr>
          <w:b/>
          <w:sz w:val="20"/>
        </w:rPr>
      </w:pPr>
    </w:p>
    <w:p>
      <w:pPr>
        <w:pStyle w:val="BodyText"/>
        <w:rPr>
          <w:b/>
          <w:sz w:val="23"/>
        </w:rPr>
      </w:pPr>
      <w:r>
        <w:rPr/>
        <w:pict>
          <v:shape style="position:absolute;margin-left:85.103996pt;margin-top:15.600977pt;width:144.050pt;height:.1pt;mso-position-horizontal-relative:page;mso-position-vertical-relative:paragraph;z-index:-250798080;mso-wrap-distance-left:0;mso-wrap-distance-right:0" coordorigin="1702,312" coordsize="2881,0" path="m1702,312l4582,312e" filled="false" stroked="true" strokeweight=".72pt" strokecolor="#000000">
            <v:path arrowok="t"/>
            <v:stroke dashstyle="solid"/>
            <w10:wrap type="topAndBottom"/>
          </v:shape>
        </w:pict>
      </w:r>
    </w:p>
    <w:p>
      <w:pPr>
        <w:spacing w:line="240" w:lineRule="auto" w:before="69"/>
        <w:ind w:left="562" w:right="1701" w:firstLine="0"/>
        <w:jc w:val="both"/>
        <w:rPr>
          <w:sz w:val="20"/>
        </w:rPr>
      </w:pPr>
      <w:r>
        <w:rPr>
          <w:rFonts w:ascii="Calibri" w:hAnsi="Calibri"/>
          <w:position w:val="7"/>
          <w:sz w:val="13"/>
        </w:rPr>
        <w:t>2</w:t>
      </w:r>
      <w:r>
        <w:rPr>
          <w:rFonts w:ascii="Calibri" w:hAnsi="Calibri"/>
          <w:spacing w:val="9"/>
          <w:position w:val="7"/>
          <w:sz w:val="13"/>
        </w:rPr>
        <w:t> </w:t>
      </w:r>
      <w:r>
        <w:rPr>
          <w:sz w:val="20"/>
        </w:rPr>
        <w:t>La</w:t>
      </w:r>
      <w:r>
        <w:rPr>
          <w:spacing w:val="-2"/>
          <w:sz w:val="20"/>
        </w:rPr>
        <w:t> </w:t>
      </w:r>
      <w:r>
        <w:rPr>
          <w:sz w:val="20"/>
        </w:rPr>
        <w:t>meta</w:t>
      </w:r>
      <w:r>
        <w:rPr>
          <w:spacing w:val="-5"/>
          <w:sz w:val="20"/>
        </w:rPr>
        <w:t> </w:t>
      </w:r>
      <w:r>
        <w:rPr>
          <w:sz w:val="20"/>
        </w:rPr>
        <w:t>de</w:t>
      </w:r>
      <w:r>
        <w:rPr>
          <w:spacing w:val="-4"/>
          <w:sz w:val="20"/>
        </w:rPr>
        <w:t> </w:t>
      </w:r>
      <w:r>
        <w:rPr>
          <w:sz w:val="20"/>
        </w:rPr>
        <w:t>recaudación</w:t>
      </w:r>
      <w:r>
        <w:rPr>
          <w:spacing w:val="-7"/>
          <w:sz w:val="20"/>
        </w:rPr>
        <w:t> </w:t>
      </w:r>
      <w:r>
        <w:rPr>
          <w:sz w:val="20"/>
        </w:rPr>
        <w:t>tributaria</w:t>
      </w:r>
      <w:r>
        <w:rPr>
          <w:spacing w:val="-4"/>
          <w:sz w:val="20"/>
        </w:rPr>
        <w:t> </w:t>
      </w:r>
      <w:r>
        <w:rPr>
          <w:sz w:val="20"/>
        </w:rPr>
        <w:t>anual</w:t>
      </w:r>
      <w:r>
        <w:rPr>
          <w:spacing w:val="-3"/>
          <w:sz w:val="20"/>
        </w:rPr>
        <w:t> </w:t>
      </w:r>
      <w:r>
        <w:rPr>
          <w:sz w:val="20"/>
        </w:rPr>
        <w:t>se</w:t>
      </w:r>
      <w:r>
        <w:rPr>
          <w:spacing w:val="-4"/>
          <w:sz w:val="20"/>
        </w:rPr>
        <w:t> </w:t>
      </w:r>
      <w:r>
        <w:rPr>
          <w:sz w:val="20"/>
        </w:rPr>
        <w:t>revisó</w:t>
      </w:r>
      <w:r>
        <w:rPr>
          <w:spacing w:val="-4"/>
          <w:sz w:val="20"/>
        </w:rPr>
        <w:t> </w:t>
      </w:r>
      <w:r>
        <w:rPr>
          <w:sz w:val="20"/>
        </w:rPr>
        <w:t>con</w:t>
      </w:r>
      <w:r>
        <w:rPr>
          <w:spacing w:val="-3"/>
          <w:sz w:val="20"/>
        </w:rPr>
        <w:t> </w:t>
      </w:r>
      <w:r>
        <w:rPr>
          <w:sz w:val="20"/>
        </w:rPr>
        <w:t>información</w:t>
      </w:r>
      <w:r>
        <w:rPr>
          <w:spacing w:val="-7"/>
          <w:sz w:val="20"/>
        </w:rPr>
        <w:t> </w:t>
      </w:r>
      <w:r>
        <w:rPr>
          <w:sz w:val="20"/>
        </w:rPr>
        <w:t>proporcionada</w:t>
      </w:r>
      <w:r>
        <w:rPr>
          <w:spacing w:val="-4"/>
          <w:sz w:val="20"/>
        </w:rPr>
        <w:t> </w:t>
      </w:r>
      <w:r>
        <w:rPr>
          <w:sz w:val="20"/>
        </w:rPr>
        <w:t>por</w:t>
      </w:r>
      <w:r>
        <w:rPr>
          <w:spacing w:val="-5"/>
          <w:sz w:val="20"/>
        </w:rPr>
        <w:t> </w:t>
      </w:r>
      <w:r>
        <w:rPr>
          <w:sz w:val="20"/>
        </w:rPr>
        <w:t>el</w:t>
      </w:r>
      <w:r>
        <w:rPr>
          <w:spacing w:val="-7"/>
          <w:sz w:val="20"/>
        </w:rPr>
        <w:t> </w:t>
      </w:r>
      <w:r>
        <w:rPr>
          <w:sz w:val="20"/>
        </w:rPr>
        <w:t>BANGUAT</w:t>
      </w:r>
      <w:r>
        <w:rPr>
          <w:spacing w:val="-2"/>
          <w:sz w:val="20"/>
        </w:rPr>
        <w:t> </w:t>
      </w:r>
      <w:r>
        <w:rPr>
          <w:sz w:val="20"/>
        </w:rPr>
        <w:t>respecto a</w:t>
      </w:r>
      <w:r>
        <w:rPr>
          <w:spacing w:val="-12"/>
          <w:sz w:val="20"/>
        </w:rPr>
        <w:t> </w:t>
      </w:r>
      <w:r>
        <w:rPr>
          <w:sz w:val="20"/>
        </w:rPr>
        <w:t>las</w:t>
      </w:r>
      <w:r>
        <w:rPr>
          <w:spacing w:val="-12"/>
          <w:sz w:val="20"/>
        </w:rPr>
        <w:t> </w:t>
      </w:r>
      <w:r>
        <w:rPr>
          <w:sz w:val="20"/>
        </w:rPr>
        <w:t>expectativas</w:t>
      </w:r>
      <w:r>
        <w:rPr>
          <w:spacing w:val="-10"/>
          <w:sz w:val="20"/>
        </w:rPr>
        <w:t> </w:t>
      </w:r>
      <w:r>
        <w:rPr>
          <w:sz w:val="20"/>
        </w:rPr>
        <w:t>macroeconómicas</w:t>
      </w:r>
      <w:r>
        <w:rPr>
          <w:spacing w:val="-13"/>
          <w:sz w:val="20"/>
        </w:rPr>
        <w:t> </w:t>
      </w:r>
      <w:r>
        <w:rPr>
          <w:sz w:val="20"/>
        </w:rPr>
        <w:t>de</w:t>
      </w:r>
      <w:r>
        <w:rPr>
          <w:spacing w:val="-11"/>
          <w:sz w:val="20"/>
        </w:rPr>
        <w:t> </w:t>
      </w:r>
      <w:r>
        <w:rPr>
          <w:sz w:val="20"/>
        </w:rPr>
        <w:t>cierre,</w:t>
      </w:r>
      <w:r>
        <w:rPr>
          <w:spacing w:val="-11"/>
          <w:sz w:val="20"/>
        </w:rPr>
        <w:t> </w:t>
      </w:r>
      <w:r>
        <w:rPr>
          <w:sz w:val="20"/>
        </w:rPr>
        <w:t>estimándose</w:t>
      </w:r>
      <w:r>
        <w:rPr>
          <w:spacing w:val="-12"/>
          <w:sz w:val="20"/>
        </w:rPr>
        <w:t> </w:t>
      </w:r>
      <w:r>
        <w:rPr>
          <w:sz w:val="20"/>
        </w:rPr>
        <w:t>que,</w:t>
      </w:r>
      <w:r>
        <w:rPr>
          <w:spacing w:val="-11"/>
          <w:sz w:val="20"/>
        </w:rPr>
        <w:t> </w:t>
      </w:r>
      <w:r>
        <w:rPr>
          <w:sz w:val="20"/>
        </w:rPr>
        <w:t>con</w:t>
      </w:r>
      <w:r>
        <w:rPr>
          <w:spacing w:val="-13"/>
          <w:sz w:val="20"/>
        </w:rPr>
        <w:t> </w:t>
      </w:r>
      <w:r>
        <w:rPr>
          <w:sz w:val="20"/>
        </w:rPr>
        <w:t>el</w:t>
      </w:r>
      <w:r>
        <w:rPr>
          <w:spacing w:val="-10"/>
          <w:sz w:val="20"/>
        </w:rPr>
        <w:t> </w:t>
      </w:r>
      <w:r>
        <w:rPr>
          <w:sz w:val="20"/>
        </w:rPr>
        <w:t>nuevo</w:t>
      </w:r>
      <w:r>
        <w:rPr>
          <w:spacing w:val="-11"/>
          <w:sz w:val="20"/>
        </w:rPr>
        <w:t> </w:t>
      </w:r>
      <w:r>
        <w:rPr>
          <w:sz w:val="20"/>
        </w:rPr>
        <w:t>entorno,</w:t>
      </w:r>
      <w:r>
        <w:rPr>
          <w:spacing w:val="-11"/>
          <w:sz w:val="20"/>
        </w:rPr>
        <w:t> </w:t>
      </w:r>
      <w:r>
        <w:rPr>
          <w:sz w:val="20"/>
        </w:rPr>
        <w:t>la</w:t>
      </w:r>
      <w:r>
        <w:rPr>
          <w:spacing w:val="-12"/>
          <w:sz w:val="20"/>
        </w:rPr>
        <w:t> </w:t>
      </w:r>
      <w:r>
        <w:rPr>
          <w:sz w:val="20"/>
        </w:rPr>
        <w:t>recaudación</w:t>
      </w:r>
      <w:r>
        <w:rPr>
          <w:spacing w:val="-13"/>
          <w:sz w:val="20"/>
        </w:rPr>
        <w:t> </w:t>
      </w:r>
      <w:r>
        <w:rPr>
          <w:sz w:val="20"/>
        </w:rPr>
        <w:t>observada superó el nuevo valor de la meta indicativa en 4.5%, generando una brecha positiva de Q3,204.0 millones asociadas a dichas variables. Adicionalmente, se registró un pago atípico en el régimen de rentas no domiciliados por poco más de Q1,400</w:t>
      </w:r>
      <w:r>
        <w:rPr>
          <w:spacing w:val="2"/>
          <w:sz w:val="20"/>
        </w:rPr>
        <w:t> </w:t>
      </w:r>
      <w:r>
        <w:rPr>
          <w:sz w:val="20"/>
        </w:rPr>
        <w:t>millones.</w:t>
      </w:r>
    </w:p>
    <w:p>
      <w:pPr>
        <w:spacing w:after="0" w:line="240" w:lineRule="auto"/>
        <w:jc w:val="both"/>
        <w:rPr>
          <w:sz w:val="20"/>
        </w:rPr>
        <w:sectPr>
          <w:pgSz w:w="12240" w:h="15840"/>
          <w:pgMar w:header="715" w:footer="957" w:top="1240" w:bottom="1140" w:left="1140" w:right="0"/>
        </w:sectPr>
      </w:pPr>
    </w:p>
    <w:p>
      <w:pPr>
        <w:pStyle w:val="Heading2"/>
        <w:numPr>
          <w:ilvl w:val="3"/>
          <w:numId w:val="15"/>
        </w:numPr>
        <w:tabs>
          <w:tab w:pos="1978" w:val="left" w:leader="none"/>
        </w:tabs>
        <w:spacing w:line="240" w:lineRule="auto" w:before="167" w:after="0"/>
        <w:ind w:left="1978" w:right="0" w:hanging="788"/>
        <w:jc w:val="left"/>
      </w:pPr>
      <w:bookmarkStart w:name="_bookmark125" w:id="154"/>
      <w:bookmarkEnd w:id="154"/>
      <w:r>
        <w:rPr>
          <w:b w:val="0"/>
        </w:rPr>
      </w:r>
      <w:bookmarkStart w:name="_bookmark125" w:id="155"/>
      <w:bookmarkEnd w:id="155"/>
      <w:r>
        <w:rPr/>
        <w:t>I</w:t>
      </w:r>
      <w:r>
        <w:rPr/>
        <w:t>mpuesto sobre la renta</w:t>
      </w:r>
      <w:r>
        <w:rPr>
          <w:spacing w:val="2"/>
        </w:rPr>
        <w:t> </w:t>
      </w:r>
      <w:r>
        <w:rPr/>
        <w:t>–ISR-</w:t>
      </w:r>
    </w:p>
    <w:p>
      <w:pPr>
        <w:pStyle w:val="BodyText"/>
        <w:spacing w:before="4"/>
        <w:rPr>
          <w:b/>
          <w:sz w:val="28"/>
        </w:rPr>
      </w:pPr>
    </w:p>
    <w:p>
      <w:pPr>
        <w:pStyle w:val="BodyText"/>
        <w:spacing w:line="259" w:lineRule="auto" w:before="1"/>
        <w:ind w:left="562" w:right="1696"/>
        <w:jc w:val="both"/>
      </w:pPr>
      <w:r>
        <w:rPr/>
        <w:t>El ISR luego de vencimientos importantes como la liquidación anual en marzo y los pagos trimestrales percibidos en el año, y los efectos de la pandemia, mostró recuperación del 39.0% respecto</w:t>
      </w:r>
      <w:r>
        <w:rPr>
          <w:spacing w:val="-7"/>
        </w:rPr>
        <w:t> </w:t>
      </w:r>
      <w:r>
        <w:rPr/>
        <w:t>a</w:t>
      </w:r>
      <w:r>
        <w:rPr>
          <w:spacing w:val="-6"/>
        </w:rPr>
        <w:t> </w:t>
      </w:r>
      <w:r>
        <w:rPr/>
        <w:t>lo</w:t>
      </w:r>
      <w:r>
        <w:rPr>
          <w:spacing w:val="-6"/>
        </w:rPr>
        <w:t> </w:t>
      </w:r>
      <w:r>
        <w:rPr/>
        <w:t>observado</w:t>
      </w:r>
      <w:r>
        <w:rPr>
          <w:spacing w:val="-6"/>
        </w:rPr>
        <w:t> </w:t>
      </w:r>
      <w:r>
        <w:rPr/>
        <w:t>a</w:t>
      </w:r>
      <w:r>
        <w:rPr>
          <w:spacing w:val="-6"/>
        </w:rPr>
        <w:t> </w:t>
      </w:r>
      <w:r>
        <w:rPr/>
        <w:t>finales</w:t>
      </w:r>
      <w:r>
        <w:rPr>
          <w:spacing w:val="-6"/>
        </w:rPr>
        <w:t> </w:t>
      </w:r>
      <w:r>
        <w:rPr/>
        <w:t>de</w:t>
      </w:r>
      <w:r>
        <w:rPr>
          <w:spacing w:val="-6"/>
        </w:rPr>
        <w:t> </w:t>
      </w:r>
      <w:r>
        <w:rPr/>
        <w:t>2020.</w:t>
      </w:r>
      <w:r>
        <w:rPr>
          <w:spacing w:val="-6"/>
        </w:rPr>
        <w:t> </w:t>
      </w:r>
      <w:r>
        <w:rPr/>
        <w:t>El</w:t>
      </w:r>
      <w:r>
        <w:rPr>
          <w:spacing w:val="-6"/>
        </w:rPr>
        <w:t> </w:t>
      </w:r>
      <w:r>
        <w:rPr/>
        <w:t>régimen</w:t>
      </w:r>
      <w:r>
        <w:rPr>
          <w:spacing w:val="-6"/>
        </w:rPr>
        <w:t> </w:t>
      </w:r>
      <w:r>
        <w:rPr/>
        <w:t>de</w:t>
      </w:r>
      <w:r>
        <w:rPr>
          <w:spacing w:val="-6"/>
        </w:rPr>
        <w:t> </w:t>
      </w:r>
      <w:r>
        <w:rPr/>
        <w:t>actividades</w:t>
      </w:r>
      <w:r>
        <w:rPr>
          <w:spacing w:val="-6"/>
        </w:rPr>
        <w:t> </w:t>
      </w:r>
      <w:r>
        <w:rPr/>
        <w:t>lucrativas</w:t>
      </w:r>
      <w:r>
        <w:rPr>
          <w:spacing w:val="-5"/>
        </w:rPr>
        <w:t> </w:t>
      </w:r>
      <w:r>
        <w:rPr/>
        <w:t>se</w:t>
      </w:r>
      <w:r>
        <w:rPr>
          <w:spacing w:val="-6"/>
        </w:rPr>
        <w:t> </w:t>
      </w:r>
      <w:r>
        <w:rPr/>
        <w:t>recuperó</w:t>
      </w:r>
      <w:r>
        <w:rPr>
          <w:spacing w:val="-6"/>
        </w:rPr>
        <w:t> </w:t>
      </w:r>
      <w:r>
        <w:rPr/>
        <w:t>creciendo en</w:t>
      </w:r>
      <w:r>
        <w:rPr>
          <w:spacing w:val="-6"/>
        </w:rPr>
        <w:t> </w:t>
      </w:r>
      <w:r>
        <w:rPr/>
        <w:t>35.2%</w:t>
      </w:r>
      <w:r>
        <w:rPr>
          <w:spacing w:val="-8"/>
        </w:rPr>
        <w:t> </w:t>
      </w:r>
      <w:r>
        <w:rPr/>
        <w:t>respecto</w:t>
      </w:r>
      <w:r>
        <w:rPr>
          <w:spacing w:val="-9"/>
        </w:rPr>
        <w:t> </w:t>
      </w:r>
      <w:r>
        <w:rPr/>
        <w:t>a</w:t>
      </w:r>
      <w:r>
        <w:rPr>
          <w:spacing w:val="-8"/>
        </w:rPr>
        <w:t> </w:t>
      </w:r>
      <w:r>
        <w:rPr/>
        <w:t>2020</w:t>
      </w:r>
      <w:r>
        <w:rPr>
          <w:spacing w:val="-9"/>
        </w:rPr>
        <w:t> </w:t>
      </w:r>
      <w:r>
        <w:rPr/>
        <w:t>siendo</w:t>
      </w:r>
      <w:r>
        <w:rPr>
          <w:spacing w:val="-8"/>
        </w:rPr>
        <w:t> </w:t>
      </w:r>
      <w:r>
        <w:rPr/>
        <w:t>el</w:t>
      </w:r>
      <w:r>
        <w:rPr>
          <w:spacing w:val="-7"/>
        </w:rPr>
        <w:t> </w:t>
      </w:r>
      <w:r>
        <w:rPr/>
        <w:t>régimen</w:t>
      </w:r>
      <w:r>
        <w:rPr>
          <w:spacing w:val="-6"/>
        </w:rPr>
        <w:t> </w:t>
      </w:r>
      <w:r>
        <w:rPr/>
        <w:t>sobre</w:t>
      </w:r>
      <w:r>
        <w:rPr>
          <w:spacing w:val="-8"/>
        </w:rPr>
        <w:t> </w:t>
      </w:r>
      <w:r>
        <w:rPr/>
        <w:t>renta</w:t>
      </w:r>
      <w:r>
        <w:rPr>
          <w:spacing w:val="-8"/>
        </w:rPr>
        <w:t> </w:t>
      </w:r>
      <w:r>
        <w:rPr/>
        <w:t>imponible</w:t>
      </w:r>
      <w:r>
        <w:rPr>
          <w:spacing w:val="-8"/>
        </w:rPr>
        <w:t> </w:t>
      </w:r>
      <w:r>
        <w:rPr/>
        <w:t>el</w:t>
      </w:r>
      <w:r>
        <w:rPr>
          <w:spacing w:val="-7"/>
        </w:rPr>
        <w:t> </w:t>
      </w:r>
      <w:r>
        <w:rPr/>
        <w:t>que</w:t>
      </w:r>
      <w:r>
        <w:rPr>
          <w:spacing w:val="-8"/>
        </w:rPr>
        <w:t> </w:t>
      </w:r>
      <w:r>
        <w:rPr/>
        <w:t>más</w:t>
      </w:r>
      <w:r>
        <w:rPr>
          <w:spacing w:val="-5"/>
        </w:rPr>
        <w:t> </w:t>
      </w:r>
      <w:r>
        <w:rPr/>
        <w:t>aportó</w:t>
      </w:r>
      <w:r>
        <w:rPr>
          <w:spacing w:val="-6"/>
        </w:rPr>
        <w:t> </w:t>
      </w:r>
      <w:r>
        <w:rPr/>
        <w:t>a</w:t>
      </w:r>
      <w:r>
        <w:rPr>
          <w:spacing w:val="-8"/>
        </w:rPr>
        <w:t> </w:t>
      </w:r>
      <w:r>
        <w:rPr/>
        <w:t>este</w:t>
      </w:r>
      <w:r>
        <w:rPr>
          <w:spacing w:val="-8"/>
        </w:rPr>
        <w:t> </w:t>
      </w:r>
      <w:r>
        <w:rPr/>
        <w:t>resultado, los otros regímenes: relación de dependencia, retención a no domiciliados productos financieros y otros ingresos; mostraron también resultados positivos en el orden 12.2%, 79.2%, 33.4%, respectivamente. Es importante hacer notar que si la comparación se realiza respecto al año 2019 (año sin pandemia) el ISR creció en</w:t>
      </w:r>
      <w:r>
        <w:rPr>
          <w:spacing w:val="-8"/>
        </w:rPr>
        <w:t> </w:t>
      </w:r>
      <w:r>
        <w:rPr/>
        <w:t>36.2%.</w:t>
      </w:r>
    </w:p>
    <w:p>
      <w:pPr>
        <w:pStyle w:val="BodyText"/>
        <w:spacing w:line="276" w:lineRule="auto" w:before="159"/>
        <w:ind w:left="562" w:right="1696"/>
        <w:jc w:val="both"/>
      </w:pPr>
      <w:r>
        <w:rPr/>
        <w:t>La SAT como se aprecia en el recuadro anterior, implementó mecanismos que permitieron</w:t>
      </w:r>
      <w:r>
        <w:rPr>
          <w:spacing w:val="-36"/>
        </w:rPr>
        <w:t> </w:t>
      </w:r>
      <w:r>
        <w:rPr/>
        <w:t>aumentar la</w:t>
      </w:r>
      <w:r>
        <w:rPr>
          <w:spacing w:val="-6"/>
        </w:rPr>
        <w:t> </w:t>
      </w:r>
      <w:r>
        <w:rPr/>
        <w:t>percepción</w:t>
      </w:r>
      <w:r>
        <w:rPr>
          <w:spacing w:val="-6"/>
        </w:rPr>
        <w:t> </w:t>
      </w:r>
      <w:r>
        <w:rPr/>
        <w:t>de</w:t>
      </w:r>
      <w:r>
        <w:rPr>
          <w:spacing w:val="-7"/>
        </w:rPr>
        <w:t> </w:t>
      </w:r>
      <w:r>
        <w:rPr/>
        <w:t>riesgo</w:t>
      </w:r>
      <w:r>
        <w:rPr>
          <w:spacing w:val="-6"/>
        </w:rPr>
        <w:t> </w:t>
      </w:r>
      <w:r>
        <w:rPr/>
        <w:t>de</w:t>
      </w:r>
      <w:r>
        <w:rPr>
          <w:spacing w:val="-6"/>
        </w:rPr>
        <w:t> </w:t>
      </w:r>
      <w:r>
        <w:rPr/>
        <w:t>los</w:t>
      </w:r>
      <w:r>
        <w:rPr>
          <w:spacing w:val="-4"/>
        </w:rPr>
        <w:t> </w:t>
      </w:r>
      <w:r>
        <w:rPr/>
        <w:t>contribuyentes,</w:t>
      </w:r>
      <w:r>
        <w:rPr>
          <w:spacing w:val="-3"/>
        </w:rPr>
        <w:t> </w:t>
      </w:r>
      <w:r>
        <w:rPr/>
        <w:t>y</w:t>
      </w:r>
      <w:r>
        <w:rPr>
          <w:spacing w:val="-7"/>
        </w:rPr>
        <w:t> </w:t>
      </w:r>
      <w:r>
        <w:rPr/>
        <w:t>a</w:t>
      </w:r>
      <w:r>
        <w:rPr>
          <w:spacing w:val="-6"/>
        </w:rPr>
        <w:t> </w:t>
      </w:r>
      <w:r>
        <w:rPr/>
        <w:t>su</w:t>
      </w:r>
      <w:r>
        <w:rPr>
          <w:spacing w:val="-6"/>
        </w:rPr>
        <w:t> </w:t>
      </w:r>
      <w:r>
        <w:rPr/>
        <w:t>vez</w:t>
      </w:r>
      <w:r>
        <w:rPr>
          <w:spacing w:val="-7"/>
        </w:rPr>
        <w:t> </w:t>
      </w:r>
      <w:r>
        <w:rPr/>
        <w:t>facilitó</w:t>
      </w:r>
      <w:r>
        <w:rPr>
          <w:spacing w:val="-5"/>
        </w:rPr>
        <w:t> </w:t>
      </w:r>
      <w:r>
        <w:rPr/>
        <w:t>la</w:t>
      </w:r>
      <w:r>
        <w:rPr>
          <w:spacing w:val="-6"/>
        </w:rPr>
        <w:t> </w:t>
      </w:r>
      <w:r>
        <w:rPr/>
        <w:t>suscripción</w:t>
      </w:r>
      <w:r>
        <w:rPr>
          <w:spacing w:val="-5"/>
        </w:rPr>
        <w:t> </w:t>
      </w:r>
      <w:r>
        <w:rPr/>
        <w:t>de</w:t>
      </w:r>
      <w:r>
        <w:rPr>
          <w:spacing w:val="-6"/>
        </w:rPr>
        <w:t> </w:t>
      </w:r>
      <w:r>
        <w:rPr/>
        <w:t>convenios</w:t>
      </w:r>
      <w:r>
        <w:rPr>
          <w:spacing w:val="-4"/>
        </w:rPr>
        <w:t> </w:t>
      </w:r>
      <w:r>
        <w:rPr/>
        <w:t>de</w:t>
      </w:r>
      <w:r>
        <w:rPr>
          <w:spacing w:val="-6"/>
        </w:rPr>
        <w:t> </w:t>
      </w:r>
      <w:r>
        <w:rPr/>
        <w:t>pago, mejoras en el RTU, mejoras en la gestión de fiscalización y gestión judicial que permitieron determinar resultados positivos en el</w:t>
      </w:r>
      <w:r>
        <w:rPr>
          <w:spacing w:val="-3"/>
        </w:rPr>
        <w:t> </w:t>
      </w:r>
      <w:r>
        <w:rPr/>
        <w:t>ISR.</w:t>
      </w:r>
    </w:p>
    <w:p>
      <w:pPr>
        <w:pStyle w:val="BodyText"/>
        <w:spacing w:before="10"/>
        <w:rPr>
          <w:sz w:val="25"/>
        </w:rPr>
      </w:pPr>
    </w:p>
    <w:p>
      <w:pPr>
        <w:spacing w:before="0"/>
        <w:ind w:left="1395" w:right="2531" w:firstLine="0"/>
        <w:jc w:val="center"/>
        <w:rPr>
          <w:b/>
          <w:sz w:val="20"/>
        </w:rPr>
      </w:pPr>
      <w:bookmarkStart w:name="_bookmark126" w:id="156"/>
      <w:bookmarkEnd w:id="156"/>
      <w:r>
        <w:rPr/>
      </w:r>
      <w:r>
        <w:rPr>
          <w:b/>
          <w:i/>
          <w:sz w:val="20"/>
        </w:rPr>
        <w:t>Gráfico 65..</w:t>
      </w:r>
      <w:r>
        <w:rPr>
          <w:b/>
          <w:sz w:val="20"/>
        </w:rPr>
        <w:t>Variación del ISR</w:t>
      </w:r>
    </w:p>
    <w:p>
      <w:pPr>
        <w:spacing w:after="0"/>
        <w:jc w:val="center"/>
        <w:rPr>
          <w:sz w:val="20"/>
        </w:rPr>
        <w:sectPr>
          <w:pgSz w:w="12240" w:h="15840"/>
          <w:pgMar w:header="715" w:footer="957" w:top="1240" w:bottom="1140" w:left="1140" w:right="0"/>
        </w:sectPr>
      </w:pPr>
    </w:p>
    <w:p>
      <w:pPr>
        <w:pStyle w:val="Heading3"/>
        <w:spacing w:before="32"/>
        <w:ind w:left="724" w:right="20"/>
        <w:jc w:val="center"/>
      </w:pPr>
      <w:r>
        <w:rPr/>
        <w:t>Variación del ISR de actividades lucrativas</w:t>
      </w:r>
    </w:p>
    <w:p>
      <w:pPr>
        <w:pStyle w:val="BodyText"/>
        <w:spacing w:before="35"/>
        <w:ind w:left="724" w:right="17"/>
        <w:jc w:val="center"/>
      </w:pPr>
      <w:r>
        <w:rPr/>
        <w:t>Porcentajes</w:t>
      </w:r>
    </w:p>
    <w:p>
      <w:pPr>
        <w:spacing w:line="273" w:lineRule="auto" w:before="32"/>
        <w:ind w:left="1682" w:right="2366" w:hanging="939"/>
        <w:jc w:val="left"/>
        <w:rPr>
          <w:sz w:val="22"/>
        </w:rPr>
      </w:pPr>
      <w:r>
        <w:rPr/>
        <w:br w:type="column"/>
      </w:r>
      <w:r>
        <w:rPr>
          <w:b/>
          <w:sz w:val="22"/>
        </w:rPr>
        <w:t>Variación del ISR en relación de dependencia </w:t>
      </w:r>
      <w:r>
        <w:rPr>
          <w:sz w:val="22"/>
        </w:rPr>
        <w:t>Porcentajes</w:t>
      </w:r>
    </w:p>
    <w:p>
      <w:pPr>
        <w:spacing w:after="0" w:line="273" w:lineRule="auto"/>
        <w:jc w:val="left"/>
        <w:rPr>
          <w:sz w:val="22"/>
        </w:rPr>
        <w:sectPr>
          <w:type w:val="continuous"/>
          <w:pgSz w:w="12240" w:h="15840"/>
          <w:pgMar w:top="1500" w:bottom="280" w:left="1140" w:right="0"/>
          <w:cols w:num="2" w:equalWidth="0">
            <w:col w:w="4837" w:space="84"/>
            <w:col w:w="6179"/>
          </w:cols>
        </w:sectPr>
      </w:pPr>
    </w:p>
    <w:p>
      <w:pPr>
        <w:spacing w:before="12"/>
        <w:ind w:left="0" w:right="0" w:firstLine="0"/>
        <w:jc w:val="right"/>
        <w:rPr>
          <w:sz w:val="16"/>
        </w:rPr>
      </w:pPr>
      <w:r>
        <w:rPr>
          <w:spacing w:val="-1"/>
          <w:sz w:val="16"/>
        </w:rPr>
        <w:t>40%</w:t>
      </w:r>
    </w:p>
    <w:p>
      <w:pPr>
        <w:spacing w:before="93"/>
        <w:ind w:left="0" w:right="0" w:firstLine="0"/>
        <w:jc w:val="right"/>
        <w:rPr>
          <w:sz w:val="16"/>
        </w:rPr>
      </w:pPr>
      <w:r>
        <w:rPr>
          <w:spacing w:val="-1"/>
          <w:sz w:val="16"/>
        </w:rPr>
        <w:t>35%</w:t>
      </w:r>
    </w:p>
    <w:p>
      <w:pPr>
        <w:spacing w:before="94"/>
        <w:ind w:left="0" w:right="0" w:firstLine="0"/>
        <w:jc w:val="right"/>
        <w:rPr>
          <w:sz w:val="16"/>
        </w:rPr>
      </w:pPr>
      <w:r>
        <w:rPr>
          <w:spacing w:val="-1"/>
          <w:sz w:val="16"/>
        </w:rPr>
        <w:t>30%</w:t>
      </w:r>
    </w:p>
    <w:p>
      <w:pPr>
        <w:spacing w:before="94"/>
        <w:ind w:left="0" w:right="0" w:firstLine="0"/>
        <w:jc w:val="right"/>
        <w:rPr>
          <w:sz w:val="16"/>
        </w:rPr>
      </w:pPr>
      <w:r>
        <w:rPr>
          <w:spacing w:val="-1"/>
          <w:sz w:val="16"/>
        </w:rPr>
        <w:t>25%</w:t>
      </w:r>
    </w:p>
    <w:p>
      <w:pPr>
        <w:spacing w:before="93"/>
        <w:ind w:left="0" w:right="0" w:firstLine="0"/>
        <w:jc w:val="right"/>
        <w:rPr>
          <w:sz w:val="16"/>
        </w:rPr>
      </w:pPr>
      <w:r>
        <w:rPr>
          <w:spacing w:val="-1"/>
          <w:sz w:val="16"/>
        </w:rPr>
        <w:t>20%</w:t>
      </w:r>
    </w:p>
    <w:p>
      <w:pPr>
        <w:spacing w:before="94"/>
        <w:ind w:left="0" w:right="0" w:firstLine="0"/>
        <w:jc w:val="right"/>
        <w:rPr>
          <w:sz w:val="16"/>
        </w:rPr>
      </w:pPr>
      <w:r>
        <w:rPr>
          <w:spacing w:val="-1"/>
          <w:sz w:val="16"/>
        </w:rPr>
        <w:t>15%</w:t>
      </w:r>
    </w:p>
    <w:p>
      <w:pPr>
        <w:spacing w:before="94"/>
        <w:ind w:left="0" w:right="0" w:firstLine="0"/>
        <w:jc w:val="right"/>
        <w:rPr>
          <w:sz w:val="16"/>
        </w:rPr>
      </w:pPr>
      <w:r>
        <w:rPr>
          <w:spacing w:val="-1"/>
          <w:sz w:val="16"/>
        </w:rPr>
        <w:t>10%</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9"/>
        <w:rPr>
          <w:sz w:val="25"/>
        </w:rPr>
      </w:pPr>
    </w:p>
    <w:p>
      <w:pPr>
        <w:spacing w:before="1"/>
        <w:ind w:left="190" w:right="0" w:firstLine="0"/>
        <w:jc w:val="left"/>
        <w:rPr>
          <w:b/>
          <w:sz w:val="16"/>
        </w:rPr>
      </w:pPr>
      <w:r>
        <w:rPr>
          <w:b/>
          <w:color w:val="006FC0"/>
          <w:sz w:val="16"/>
        </w:rPr>
        <w:t>19.7%</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1"/>
        <w:rPr>
          <w:b/>
          <w:sz w:val="20"/>
        </w:rPr>
      </w:pPr>
    </w:p>
    <w:p>
      <w:pPr>
        <w:spacing w:before="0"/>
        <w:ind w:left="70" w:right="0" w:firstLine="0"/>
        <w:jc w:val="left"/>
        <w:rPr>
          <w:b/>
          <w:sz w:val="16"/>
        </w:rPr>
      </w:pPr>
      <w:r>
        <w:rPr>
          <w:b/>
          <w:color w:val="006FC0"/>
          <w:sz w:val="16"/>
        </w:rPr>
        <w:t>3.5%</w:t>
      </w:r>
    </w:p>
    <w:p>
      <w:pPr>
        <w:pStyle w:val="BodyText"/>
        <w:rPr>
          <w:b/>
          <w:sz w:val="20"/>
        </w:rPr>
      </w:pPr>
      <w:r>
        <w:rPr/>
        <w:br w:type="column"/>
      </w:r>
      <w:r>
        <w:rPr>
          <w:b/>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3"/>
        </w:rPr>
      </w:pPr>
    </w:p>
    <w:p>
      <w:pPr>
        <w:spacing w:before="0"/>
        <w:ind w:left="85" w:right="0" w:firstLine="0"/>
        <w:jc w:val="left"/>
        <w:rPr>
          <w:b/>
          <w:sz w:val="16"/>
        </w:rPr>
      </w:pPr>
      <w:r>
        <w:rPr>
          <w:b/>
          <w:color w:val="006FC0"/>
          <w:sz w:val="16"/>
        </w:rPr>
        <w:t>6.6% </w:t>
      </w:r>
      <w:r>
        <w:rPr>
          <w:b/>
          <w:color w:val="006FC0"/>
          <w:position w:val="-3"/>
          <w:sz w:val="16"/>
        </w:rPr>
        <w:t>6.0%</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2"/>
        <w:rPr>
          <w:b/>
          <w:sz w:val="24"/>
        </w:rPr>
      </w:pPr>
    </w:p>
    <w:p>
      <w:pPr>
        <w:spacing w:before="0"/>
        <w:ind w:left="325" w:right="0" w:firstLine="0"/>
        <w:jc w:val="left"/>
        <w:rPr>
          <w:b/>
          <w:sz w:val="16"/>
        </w:rPr>
      </w:pPr>
      <w:r>
        <w:rPr>
          <w:b/>
          <w:color w:val="006FC0"/>
          <w:sz w:val="16"/>
        </w:rPr>
        <w:t>4.9%</w:t>
      </w:r>
    </w:p>
    <w:p>
      <w:pPr>
        <w:spacing w:before="44"/>
        <w:ind w:left="344" w:right="0" w:firstLine="0"/>
        <w:jc w:val="left"/>
        <w:rPr>
          <w:b/>
          <w:sz w:val="16"/>
        </w:rPr>
      </w:pPr>
      <w:r>
        <w:rPr/>
        <w:br w:type="column"/>
      </w:r>
      <w:r>
        <w:rPr>
          <w:b/>
          <w:color w:val="006FC0"/>
          <w:sz w:val="16"/>
        </w:rPr>
        <w:t>35.2%</w:t>
      </w:r>
    </w:p>
    <w:p>
      <w:pPr>
        <w:spacing w:before="105"/>
        <w:ind w:left="174" w:right="0" w:firstLine="0"/>
        <w:jc w:val="left"/>
        <w:rPr>
          <w:sz w:val="16"/>
        </w:rPr>
      </w:pPr>
      <w:r>
        <w:rPr/>
        <w:br w:type="column"/>
      </w:r>
      <w:r>
        <w:rPr>
          <w:spacing w:val="-1"/>
          <w:sz w:val="16"/>
        </w:rPr>
        <w:t>100%</w:t>
      </w:r>
    </w:p>
    <w:p>
      <w:pPr>
        <w:pStyle w:val="BodyText"/>
        <w:spacing w:before="5"/>
        <w:rPr>
          <w:sz w:val="16"/>
        </w:rPr>
      </w:pPr>
    </w:p>
    <w:p>
      <w:pPr>
        <w:spacing w:before="0"/>
        <w:ind w:left="253" w:right="0" w:firstLine="0"/>
        <w:jc w:val="left"/>
        <w:rPr>
          <w:sz w:val="16"/>
        </w:rPr>
      </w:pPr>
      <w:r>
        <w:rPr>
          <w:sz w:val="16"/>
        </w:rPr>
        <w:t>80%</w:t>
      </w:r>
    </w:p>
    <w:p>
      <w:pPr>
        <w:pStyle w:val="BodyText"/>
        <w:spacing w:before="4"/>
        <w:rPr>
          <w:sz w:val="16"/>
        </w:rPr>
      </w:pPr>
    </w:p>
    <w:p>
      <w:pPr>
        <w:spacing w:before="1"/>
        <w:ind w:left="253" w:right="0" w:firstLine="0"/>
        <w:jc w:val="left"/>
        <w:rPr>
          <w:sz w:val="16"/>
        </w:rPr>
      </w:pPr>
      <w:r>
        <w:rPr>
          <w:sz w:val="16"/>
        </w:rPr>
        <w:t>60%</w:t>
      </w:r>
    </w:p>
    <w:p>
      <w:pPr>
        <w:pStyle w:val="BodyText"/>
        <w:spacing w:before="4"/>
        <w:rPr>
          <w:sz w:val="16"/>
        </w:rPr>
      </w:pPr>
    </w:p>
    <w:p>
      <w:pPr>
        <w:spacing w:before="0"/>
        <w:ind w:left="253" w:right="0" w:firstLine="0"/>
        <w:jc w:val="left"/>
        <w:rPr>
          <w:sz w:val="16"/>
        </w:rPr>
      </w:pPr>
      <w:r>
        <w:rPr>
          <w:sz w:val="16"/>
        </w:rPr>
        <w:t>40%</w:t>
      </w:r>
    </w:p>
    <w:p>
      <w:pPr>
        <w:pStyle w:val="BodyText"/>
        <w:spacing w:before="5"/>
        <w:rPr>
          <w:sz w:val="16"/>
        </w:rPr>
      </w:pPr>
    </w:p>
    <w:p>
      <w:pPr>
        <w:spacing w:before="0"/>
        <w:ind w:left="253" w:right="0" w:firstLine="0"/>
        <w:jc w:val="left"/>
        <w:rPr>
          <w:sz w:val="16"/>
        </w:rPr>
      </w:pPr>
      <w:r>
        <w:rPr>
          <w:sz w:val="16"/>
        </w:rPr>
        <w:t>20%</w:t>
      </w:r>
    </w:p>
    <w:p>
      <w:pPr>
        <w:pStyle w:val="BodyText"/>
        <w:spacing w:before="5"/>
        <w:rPr>
          <w:sz w:val="17"/>
        </w:rPr>
      </w:pPr>
      <w:r>
        <w:rPr/>
        <w:br w:type="column"/>
      </w:r>
      <w:r>
        <w:rPr>
          <w:sz w:val="17"/>
        </w:rPr>
      </w:r>
    </w:p>
    <w:p>
      <w:pPr>
        <w:spacing w:before="0"/>
        <w:ind w:left="567" w:right="0" w:firstLine="0"/>
        <w:jc w:val="left"/>
        <w:rPr>
          <w:b/>
          <w:sz w:val="16"/>
        </w:rPr>
      </w:pPr>
      <w:r>
        <w:rPr>
          <w:b/>
          <w:color w:val="006FC0"/>
          <w:sz w:val="16"/>
        </w:rPr>
        <w:t>85.3%</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7"/>
        <w:rPr>
          <w:b/>
          <w:sz w:val="23"/>
        </w:rPr>
      </w:pPr>
    </w:p>
    <w:p>
      <w:pPr>
        <w:spacing w:before="0"/>
        <w:ind w:left="578" w:right="0" w:firstLine="0"/>
        <w:jc w:val="left"/>
        <w:rPr>
          <w:b/>
          <w:sz w:val="16"/>
        </w:rPr>
      </w:pPr>
      <w:r>
        <w:rPr/>
        <w:pict>
          <v:group style="position:absolute;margin-left:336.839996pt;margin-top:-74.491241pt;width:187.1pt;height:130.8pt;mso-position-horizontal-relative:page;mso-position-vertical-relative:paragraph;z-index:-280799232" coordorigin="6737,-1490" coordsize="3742,2616">
            <v:line style="position:absolute" from="6785,1121" to="6785,-1485" stroked="true" strokeweight=".48pt" strokecolor="#888888">
              <v:stroke dashstyle="solid"/>
            </v:line>
            <v:shape style="position:absolute;left:0;top:4589;width:48;height:2607" coordorigin="0,4589" coordsize="48,2607" path="m6737,1121l6785,1121m6737,749l6785,749m6737,377l6785,377m6737,5l6785,5m6737,-369l6785,-369m6737,-741l6785,-741m6737,-1113l6785,-1113m6737,-1485l6785,-1485e" filled="false" stroked="true" strokeweight=".48pt" strokecolor="#888888">
              <v:path arrowok="t"/>
              <v:stroke dashstyle="solid"/>
            </v:shape>
            <v:shape style="position:absolute;left:0;top:7195;width:3689;height:48" coordorigin="0,7196" coordsize="3689,48" path="m6785,377l10474,377m6785,377l6785,425m7195,377l7195,425m7606,377l7606,425m8014,377l8014,425m8424,377l8424,425m8834,377l8834,425m9245,377l9245,425m9655,377l9655,425m10063,377l10063,425m10474,377l10474,425e" filled="false" stroked="true" strokeweight=".48pt" strokecolor="#888888">
              <v:path arrowok="t"/>
              <v:stroke dashstyle="solid"/>
            </v:shape>
            <v:shape style="position:absolute;left:6990;top:-1226;width:3279;height:2235" coordorigin="6990,-1225" coordsize="3279,2235" path="m6990,1010l7004,931,7018,849,7032,763,7047,675,7061,584,7075,492,7089,397,7103,302,7117,206,7131,109,7145,13,7160,-83,7174,-178,7188,-271,7202,-362,7216,-452,7230,-538,7244,-621,7258,-701,7273,-777,7287,-849,7301,-915,7315,-977,7343,-1082,7372,-1161,7419,-1225,7439,-1223,7478,-1174,7517,-1076,7536,-1012,7556,-940,7575,-862,7595,-779,7614,-693,7634,-605,7653,-516,7673,-428,7693,-343,7712,-262,7732,-186,7751,-117,7771,-57,7810,33,7861,98,7920,140,7982,162,8047,171,8109,172,8168,170,8219,171,8301,167,8383,148,8465,124,8547,104,8629,97,8711,107,8793,130,8875,157,8957,181,9039,195,9121,196,9203,187,9285,175,9367,166,9449,167,9531,183,9613,210,9695,239,9777,262,9859,270,9941,261,10023,239,10104,210,10186,179,10268,152e" filled="false" stroked="true" strokeweight="1.56pt" strokecolor="#5b9bd4">
              <v:path arrowok="t"/>
              <v:stroke dashstyle="solid"/>
            </v:shape>
            <v:shape style="position:absolute;left:6936;top:953;width:111;height:111" type="#_x0000_t75" stroked="false">
              <v:imagedata r:id="rId99" o:title=""/>
            </v:shape>
            <v:shape style="position:absolute;left:7344;top:-1267;width:111;height:111" type="#_x0000_t75" stroked="false">
              <v:imagedata r:id="rId99" o:title=""/>
            </v:shape>
            <v:shape style="position:absolute;left:7754;top:-24;width:111;height:111" type="#_x0000_t75" stroked="false">
              <v:imagedata r:id="rId100" o:title=""/>
            </v:shape>
            <v:shape style="position:absolute;left:8169;top:120;width:101;height:101" coordorigin="8170,120" coordsize="101,101" path="m8220,120l8200,124,8184,135,8174,151,8170,171,8174,190,8184,206,8200,217,8220,221,8240,217,8256,206,8266,190,8270,171,8266,151,8256,135,8240,124,8220,120xe" filled="true" fillcolor="#5b9bd4" stroked="false">
              <v:path arrowok="t"/>
              <v:fill type="solid"/>
            </v:shape>
            <v:shape style="position:absolute;left:8169;top:120;width:101;height:101" coordorigin="8170,120" coordsize="101,101" path="m8270,171l8266,190,8256,206,8240,217,8220,221,8200,217,8184,206,8174,190,8170,171,8174,151,8184,135,8200,124,8220,120,8240,124,8256,135,8266,151,8270,171xe" filled="false" stroked="true" strokeweight=".48pt" strokecolor="#5b9bd4">
              <v:path arrowok="t"/>
              <v:stroke dashstyle="solid"/>
            </v:shape>
            <v:shape style="position:absolute;left:8580;top:45;width:101;height:101" coordorigin="8580,46" coordsize="101,101" path="m8630,46l8611,50,8595,61,8584,77,8580,96,8584,116,8595,132,8611,143,8630,147,8650,143,8666,132,8677,116,8681,96,8677,77,8666,61,8650,50,8630,46xe" filled="true" fillcolor="#5b9bd4" stroked="false">
              <v:path arrowok="t"/>
              <v:fill type="solid"/>
            </v:shape>
            <v:shape style="position:absolute;left:8580;top:45;width:101;height:101" coordorigin="8580,46" coordsize="101,101" path="m8681,96l8677,116,8666,132,8650,143,8630,147,8611,143,8595,132,8584,116,8580,96,8584,77,8595,61,8611,50,8630,46,8650,50,8666,61,8677,77,8681,96xe" filled="false" stroked="true" strokeweight=".48pt" strokecolor="#5b9bd4">
              <v:path arrowok="t"/>
              <v:stroke dashstyle="solid"/>
            </v:shape>
            <v:shape style="position:absolute;left:8988;top:144;width:101;height:101" coordorigin="8988,144" coordsize="101,101" path="m9038,144l9019,148,9003,159,8992,175,8988,195,8992,214,9003,230,9019,241,9038,245,9058,241,9074,230,9085,214,9089,195,9085,175,9074,159,9058,148,9038,144xe" filled="true" fillcolor="#5b9bd4" stroked="false">
              <v:path arrowok="t"/>
              <v:fill type="solid"/>
            </v:shape>
            <v:shape style="position:absolute;left:8988;top:144;width:101;height:101" coordorigin="8988,144" coordsize="101,101" path="m9089,195l9085,214,9074,230,9058,241,9038,245,9019,241,9003,230,8992,214,8988,195,8992,175,9003,159,9019,148,9038,144,9058,148,9074,159,9085,175,9089,195xe" filled="false" stroked="true" strokeweight=".48pt" strokecolor="#5b9bd4">
              <v:path arrowok="t"/>
              <v:stroke dashstyle="solid"/>
            </v:shape>
            <v:shape style="position:absolute;left:9398;top:115;width:101;height:101" coordorigin="9398,116" coordsize="101,101" path="m9449,116l9429,120,9413,130,9402,146,9398,166,9402,186,9413,202,9429,212,9449,216,9468,212,9484,202,9495,186,9499,166,9495,146,9484,130,9468,120,9449,116xe" filled="true" fillcolor="#5b9bd4" stroked="false">
              <v:path arrowok="t"/>
              <v:fill type="solid"/>
            </v:shape>
            <v:shape style="position:absolute;left:9398;top:115;width:101;height:101" coordorigin="9398,116" coordsize="101,101" path="m9499,166l9495,186,9484,202,9468,212,9449,216,9429,212,9413,202,9402,186,9398,166,9402,146,9413,130,9429,120,9449,116,9468,120,9484,130,9495,146,9499,166xe" filled="false" stroked="true" strokeweight=".48pt" strokecolor="#5b9bd4">
              <v:path arrowok="t"/>
              <v:stroke dashstyle="solid"/>
            </v:shape>
            <v:shape style="position:absolute;left:9808;top:218;width:101;height:101" coordorigin="9809,219" coordsize="101,101" path="m9859,219l9840,223,9824,234,9813,250,9809,269,9813,289,9824,305,9840,316,9859,320,9879,316,9895,305,9906,289,9910,269,9906,250,9895,234,9879,223,9859,219xe" filled="true" fillcolor="#5b9bd4" stroked="false">
              <v:path arrowok="t"/>
              <v:fill type="solid"/>
            </v:shape>
            <v:shape style="position:absolute;left:9808;top:218;width:101;height:101" coordorigin="9809,219" coordsize="101,101" path="m9910,269l9906,289,9895,305,9879,316,9859,320,9840,316,9824,305,9813,289,9809,269,9813,250,9824,234,9840,223,9859,219,9879,223,9895,234,9906,250,9910,269xe" filled="false" stroked="true" strokeweight=".48pt" strokecolor="#5b9bd4">
              <v:path arrowok="t"/>
              <v:stroke dashstyle="solid"/>
            </v:shape>
            <v:shape style="position:absolute;left:10214;top:93;width:111;height:111" type="#_x0000_t75" stroked="false">
              <v:imagedata r:id="rId100" o:title=""/>
            </v:shape>
            <v:line style="position:absolute" from="8220,171" to="8134,421" stroked="true" strokeweight=".48pt" strokecolor="#d9d9d9">
              <v:stroke dashstyle="solid"/>
            </v:line>
            <v:line style="position:absolute" from="8630,97" to="8630,-131" stroked="true" strokeweight=".48pt" strokecolor="#d9d9d9">
              <v:stroke dashstyle="solid"/>
            </v:line>
            <v:line style="position:absolute" from="9038,195" to="9120,99" stroked="true" strokeweight=".48pt" strokecolor="#d9d9d9">
              <v:stroke dashstyle="solid"/>
            </v:line>
            <v:line style="position:absolute" from="9449,166" to="9403,339" stroked="true" strokeweight=".48pt" strokecolor="#d9d9d9">
              <v:stroke dashstyle="solid"/>
            </v:line>
            <v:line style="position:absolute" from="9859,269" to="9780,173" stroked="true" strokeweight=".48pt" strokecolor="#d9d9d9">
              <v:stroke dashstyle="solid"/>
            </v:line>
            <w10:wrap type="none"/>
          </v:group>
        </w:pict>
      </w:r>
      <w:r>
        <w:rPr>
          <w:b/>
          <w:color w:val="006FC0"/>
          <w:sz w:val="16"/>
        </w:rPr>
        <w:t>18.5%</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spacing w:before="105"/>
        <w:ind w:left="653" w:right="0" w:firstLine="0"/>
        <w:jc w:val="left"/>
        <w:rPr>
          <w:b/>
          <w:sz w:val="16"/>
        </w:rPr>
      </w:pPr>
      <w:r>
        <w:rPr>
          <w:b/>
          <w:color w:val="006FC0"/>
          <w:sz w:val="16"/>
        </w:rPr>
        <w:t>15.1%</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spacing w:before="127"/>
        <w:ind w:left="45" w:right="0" w:firstLine="0"/>
        <w:jc w:val="left"/>
        <w:rPr>
          <w:b/>
          <w:sz w:val="16"/>
        </w:rPr>
      </w:pPr>
      <w:r>
        <w:rPr>
          <w:b/>
          <w:color w:val="006FC0"/>
          <w:sz w:val="16"/>
        </w:rPr>
        <w:t>9.8%</w:t>
      </w:r>
    </w:p>
    <w:p>
      <w:pPr>
        <w:pStyle w:val="BodyText"/>
        <w:rPr>
          <w:b/>
          <w:sz w:val="28"/>
        </w:rPr>
      </w:pPr>
      <w:r>
        <w:rPr/>
        <w:br w:type="column"/>
      </w:r>
      <w:r>
        <w:rPr>
          <w:b/>
          <w:sz w:val="28"/>
        </w:rPr>
      </w:r>
    </w:p>
    <w:p>
      <w:pPr>
        <w:pStyle w:val="BodyText"/>
        <w:rPr>
          <w:b/>
          <w:sz w:val="28"/>
        </w:rPr>
      </w:pPr>
    </w:p>
    <w:p>
      <w:pPr>
        <w:pStyle w:val="BodyText"/>
        <w:rPr>
          <w:b/>
          <w:sz w:val="28"/>
        </w:rPr>
      </w:pPr>
    </w:p>
    <w:p>
      <w:pPr>
        <w:pStyle w:val="BodyText"/>
        <w:rPr>
          <w:b/>
          <w:sz w:val="28"/>
        </w:rPr>
      </w:pPr>
    </w:p>
    <w:p>
      <w:pPr>
        <w:pStyle w:val="BodyText"/>
        <w:rPr>
          <w:b/>
        </w:rPr>
      </w:pPr>
    </w:p>
    <w:p>
      <w:pPr>
        <w:spacing w:before="0"/>
        <w:ind w:left="255" w:right="0" w:firstLine="0"/>
        <w:jc w:val="left"/>
        <w:rPr>
          <w:b/>
          <w:sz w:val="16"/>
        </w:rPr>
      </w:pPr>
      <w:r>
        <w:rPr>
          <w:b/>
          <w:color w:val="006FC0"/>
          <w:position w:val="-10"/>
          <w:sz w:val="16"/>
        </w:rPr>
        <w:t>5.8% </w:t>
      </w:r>
      <w:r>
        <w:rPr>
          <w:b/>
          <w:color w:val="006FC0"/>
          <w:sz w:val="16"/>
        </w:rPr>
        <w:t>12.2%</w:t>
      </w:r>
    </w:p>
    <w:p>
      <w:pPr>
        <w:spacing w:after="0"/>
        <w:jc w:val="left"/>
        <w:rPr>
          <w:sz w:val="16"/>
        </w:rPr>
        <w:sectPr>
          <w:type w:val="continuous"/>
          <w:pgSz w:w="12240" w:h="15840"/>
          <w:pgMar w:top="1500" w:bottom="280" w:left="1140" w:right="0"/>
          <w:cols w:num="11" w:equalWidth="0">
            <w:col w:w="1207" w:space="40"/>
            <w:col w:w="636" w:space="39"/>
            <w:col w:w="435" w:space="40"/>
            <w:col w:w="966" w:space="39"/>
            <w:col w:w="691" w:space="40"/>
            <w:col w:w="791" w:space="39"/>
            <w:col w:w="549" w:space="39"/>
            <w:col w:w="1024" w:space="40"/>
            <w:col w:w="1100" w:space="39"/>
            <w:col w:w="410" w:space="40"/>
            <w:col w:w="2896"/>
          </w:cols>
        </w:sectPr>
      </w:pPr>
    </w:p>
    <w:p>
      <w:pPr>
        <w:spacing w:before="44"/>
        <w:ind w:left="0" w:right="40" w:firstLine="0"/>
        <w:jc w:val="right"/>
        <w:rPr>
          <w:sz w:val="16"/>
        </w:rPr>
      </w:pPr>
      <w:r>
        <w:rPr>
          <w:spacing w:val="-3"/>
          <w:sz w:val="16"/>
        </w:rPr>
        <w:t>5%</w:t>
      </w:r>
    </w:p>
    <w:p>
      <w:pPr>
        <w:spacing w:before="93"/>
        <w:ind w:left="0" w:right="40" w:firstLine="0"/>
        <w:jc w:val="right"/>
        <w:rPr>
          <w:sz w:val="16"/>
        </w:rPr>
      </w:pPr>
      <w:r>
        <w:rPr>
          <w:spacing w:val="-3"/>
          <w:sz w:val="16"/>
        </w:rPr>
        <w:t>0%</w:t>
      </w:r>
    </w:p>
    <w:p>
      <w:pPr>
        <w:spacing w:before="94"/>
        <w:ind w:left="0" w:right="38" w:firstLine="0"/>
        <w:jc w:val="right"/>
        <w:rPr>
          <w:sz w:val="16"/>
        </w:rPr>
      </w:pPr>
      <w:r>
        <w:rPr>
          <w:spacing w:val="-1"/>
          <w:sz w:val="16"/>
        </w:rPr>
        <w:t>-5%</w:t>
      </w:r>
    </w:p>
    <w:p>
      <w:pPr>
        <w:spacing w:line="120" w:lineRule="exact" w:before="94"/>
        <w:ind w:left="0" w:right="38" w:firstLine="0"/>
        <w:jc w:val="right"/>
        <w:rPr>
          <w:sz w:val="16"/>
        </w:rPr>
      </w:pPr>
      <w:r>
        <w:rPr>
          <w:spacing w:val="-1"/>
          <w:sz w:val="16"/>
        </w:rPr>
        <w:t>-10%</w:t>
      </w:r>
    </w:p>
    <w:p>
      <w:pPr>
        <w:pStyle w:val="BodyText"/>
        <w:rPr>
          <w:sz w:val="18"/>
        </w:rPr>
      </w:pPr>
      <w:r>
        <w:rPr/>
        <w:br w:type="column"/>
      </w:r>
      <w:r>
        <w:rPr>
          <w:sz w:val="18"/>
        </w:rPr>
      </w:r>
    </w:p>
    <w:p>
      <w:pPr>
        <w:pStyle w:val="BodyText"/>
        <w:rPr>
          <w:sz w:val="18"/>
        </w:rPr>
      </w:pPr>
    </w:p>
    <w:p>
      <w:pPr>
        <w:pStyle w:val="BodyText"/>
        <w:spacing w:before="1"/>
        <w:rPr>
          <w:sz w:val="23"/>
        </w:rPr>
      </w:pPr>
    </w:p>
    <w:p>
      <w:pPr>
        <w:spacing w:before="1"/>
        <w:ind w:left="0" w:right="0" w:firstLine="0"/>
        <w:jc w:val="right"/>
        <w:rPr>
          <w:b/>
          <w:sz w:val="16"/>
        </w:rPr>
      </w:pPr>
      <w:r>
        <w:rPr>
          <w:b/>
          <w:color w:val="006FC0"/>
          <w:sz w:val="16"/>
        </w:rPr>
        <w:t>-5.3%</w:t>
      </w:r>
    </w:p>
    <w:p>
      <w:pPr>
        <w:pStyle w:val="BodyText"/>
        <w:spacing w:before="8"/>
        <w:rPr>
          <w:b/>
          <w:sz w:val="16"/>
        </w:rPr>
      </w:pPr>
      <w:r>
        <w:rPr/>
        <w:br w:type="column"/>
      </w:r>
      <w:r>
        <w:rPr>
          <w:b/>
          <w:sz w:val="16"/>
        </w:rPr>
      </w:r>
    </w:p>
    <w:p>
      <w:pPr>
        <w:spacing w:before="0"/>
        <w:ind w:left="288" w:right="0" w:firstLine="0"/>
        <w:jc w:val="left"/>
        <w:rPr>
          <w:b/>
          <w:sz w:val="16"/>
        </w:rPr>
      </w:pPr>
      <w:r>
        <w:rPr>
          <w:b/>
          <w:color w:val="006FC0"/>
          <w:sz w:val="16"/>
        </w:rPr>
        <w:t>-1.9%</w:t>
      </w:r>
    </w:p>
    <w:p>
      <w:pPr>
        <w:pStyle w:val="BodyText"/>
        <w:rPr>
          <w:b/>
          <w:sz w:val="18"/>
        </w:rPr>
      </w:pPr>
      <w:r>
        <w:rPr/>
        <w:br w:type="column"/>
      </w:r>
      <w:r>
        <w:rPr>
          <w:b/>
          <w:sz w:val="18"/>
        </w:rPr>
      </w:r>
    </w:p>
    <w:p>
      <w:pPr>
        <w:pStyle w:val="BodyText"/>
        <w:rPr>
          <w:b/>
          <w:sz w:val="18"/>
        </w:rPr>
      </w:pPr>
    </w:p>
    <w:p>
      <w:pPr>
        <w:pStyle w:val="BodyText"/>
        <w:spacing w:before="2"/>
        <w:rPr>
          <w:b/>
          <w:sz w:val="20"/>
        </w:rPr>
      </w:pPr>
    </w:p>
    <w:p>
      <w:pPr>
        <w:spacing w:before="0"/>
        <w:ind w:left="692" w:right="0" w:firstLine="0"/>
        <w:jc w:val="left"/>
        <w:rPr>
          <w:b/>
          <w:sz w:val="16"/>
        </w:rPr>
      </w:pPr>
      <w:r>
        <w:rPr>
          <w:b/>
          <w:color w:val="006FC0"/>
          <w:sz w:val="16"/>
        </w:rPr>
        <w:t>-5.1%</w:t>
      </w:r>
    </w:p>
    <w:p>
      <w:pPr>
        <w:spacing w:before="57"/>
        <w:ind w:left="0" w:right="1" w:firstLine="0"/>
        <w:jc w:val="right"/>
        <w:rPr>
          <w:sz w:val="16"/>
        </w:rPr>
      </w:pPr>
      <w:r>
        <w:rPr/>
        <w:br w:type="column"/>
      </w:r>
      <w:r>
        <w:rPr>
          <w:spacing w:val="-2"/>
          <w:sz w:val="16"/>
        </w:rPr>
        <w:t>0%</w:t>
      </w:r>
    </w:p>
    <w:p>
      <w:pPr>
        <w:pStyle w:val="BodyText"/>
        <w:spacing w:before="5"/>
        <w:rPr>
          <w:sz w:val="16"/>
        </w:rPr>
      </w:pPr>
    </w:p>
    <w:p>
      <w:pPr>
        <w:spacing w:before="0"/>
        <w:ind w:left="0" w:right="0" w:firstLine="0"/>
        <w:jc w:val="right"/>
        <w:rPr>
          <w:sz w:val="16"/>
        </w:rPr>
      </w:pPr>
      <w:r>
        <w:rPr>
          <w:spacing w:val="-1"/>
          <w:sz w:val="16"/>
        </w:rPr>
        <w:t>-20%</w:t>
      </w:r>
    </w:p>
    <w:p>
      <w:pPr>
        <w:pStyle w:val="BodyText"/>
        <w:spacing w:before="4"/>
        <w:rPr>
          <w:sz w:val="16"/>
        </w:rPr>
      </w:pPr>
    </w:p>
    <w:p>
      <w:pPr>
        <w:spacing w:before="1"/>
        <w:ind w:left="0" w:right="0" w:firstLine="0"/>
        <w:jc w:val="right"/>
        <w:rPr>
          <w:sz w:val="16"/>
        </w:rPr>
      </w:pPr>
      <w:r>
        <w:rPr>
          <w:spacing w:val="-1"/>
          <w:sz w:val="16"/>
        </w:rPr>
        <w:t>-40%</w:t>
      </w:r>
    </w:p>
    <w:p>
      <w:pPr>
        <w:pStyle w:val="BodyText"/>
        <w:rPr>
          <w:sz w:val="18"/>
        </w:rPr>
      </w:pPr>
      <w:r>
        <w:rPr/>
        <w:br w:type="column"/>
      </w:r>
      <w:r>
        <w:rPr>
          <w:sz w:val="18"/>
        </w:rPr>
      </w:r>
    </w:p>
    <w:p>
      <w:pPr>
        <w:pStyle w:val="BodyText"/>
        <w:rPr>
          <w:sz w:val="18"/>
        </w:rPr>
      </w:pPr>
    </w:p>
    <w:p>
      <w:pPr>
        <w:pStyle w:val="BodyText"/>
        <w:rPr>
          <w:sz w:val="18"/>
        </w:rPr>
      </w:pPr>
    </w:p>
    <w:p>
      <w:pPr>
        <w:spacing w:before="108"/>
        <w:ind w:left="419" w:right="0" w:firstLine="0"/>
        <w:jc w:val="left"/>
        <w:rPr>
          <w:b/>
          <w:sz w:val="16"/>
        </w:rPr>
      </w:pPr>
      <w:r>
        <w:rPr>
          <w:b/>
          <w:color w:val="006FC0"/>
          <w:sz w:val="16"/>
        </w:rPr>
        <w:t>-33.9%</w:t>
      </w:r>
    </w:p>
    <w:p>
      <w:pPr>
        <w:pStyle w:val="BodyText"/>
        <w:spacing w:before="2"/>
        <w:rPr>
          <w:b/>
          <w:sz w:val="20"/>
        </w:rPr>
      </w:pPr>
      <w:r>
        <w:rPr/>
        <w:br w:type="column"/>
      </w:r>
      <w:r>
        <w:rPr>
          <w:b/>
          <w:sz w:val="20"/>
        </w:rPr>
      </w:r>
    </w:p>
    <w:p>
      <w:pPr>
        <w:spacing w:before="0"/>
        <w:ind w:left="264" w:right="0" w:firstLine="0"/>
        <w:jc w:val="left"/>
        <w:rPr>
          <w:b/>
          <w:sz w:val="16"/>
        </w:rPr>
      </w:pPr>
      <w:r>
        <w:rPr>
          <w:b/>
          <w:color w:val="006FC0"/>
          <w:sz w:val="16"/>
        </w:rPr>
        <w:t>11.1%</w:t>
      </w:r>
    </w:p>
    <w:p>
      <w:pPr>
        <w:spacing w:before="150"/>
        <w:ind w:left="784" w:right="0" w:firstLine="0"/>
        <w:jc w:val="left"/>
        <w:rPr>
          <w:b/>
          <w:sz w:val="16"/>
        </w:rPr>
      </w:pPr>
      <w:r>
        <w:rPr/>
        <w:br w:type="column"/>
      </w:r>
      <w:r>
        <w:rPr>
          <w:b/>
          <w:color w:val="006FC0"/>
          <w:sz w:val="16"/>
        </w:rPr>
        <w:t>11.3%</w:t>
      </w:r>
    </w:p>
    <w:p>
      <w:pPr>
        <w:spacing w:after="0"/>
        <w:jc w:val="left"/>
        <w:rPr>
          <w:sz w:val="16"/>
        </w:rPr>
        <w:sectPr>
          <w:type w:val="continuous"/>
          <w:pgSz w:w="12240" w:h="15840"/>
          <w:pgMar w:top="1500" w:bottom="280" w:left="1140" w:right="0"/>
          <w:cols w:num="8" w:equalWidth="0">
            <w:col w:w="1247" w:space="456"/>
            <w:col w:w="1276" w:space="39"/>
            <w:col w:w="706" w:space="40"/>
            <w:col w:w="1111" w:space="39"/>
            <w:col w:w="597" w:space="39"/>
            <w:col w:w="918" w:space="40"/>
            <w:col w:w="710" w:space="40"/>
            <w:col w:w="3842"/>
          </w:cols>
        </w:sectPr>
      </w:pPr>
    </w:p>
    <w:p>
      <w:pPr>
        <w:spacing w:before="67"/>
        <w:ind w:left="1378" w:right="0" w:firstLine="0"/>
        <w:jc w:val="left"/>
        <w:rPr>
          <w:sz w:val="16"/>
        </w:rPr>
      </w:pPr>
      <w:r>
        <w:rPr/>
        <w:pict>
          <v:group style="position:absolute;margin-left:121.68pt;margin-top:-140.041245pt;width:180.4pt;height:139.2pt;mso-position-horizontal-relative:page;mso-position-vertical-relative:paragraph;z-index:-280800256" coordorigin="2434,-2801" coordsize="3608,2784">
            <v:line style="position:absolute" from="2482,-22" to="2482,-2796" stroked="true" strokeweight=".48pt" strokecolor="#888888">
              <v:stroke dashstyle="solid"/>
            </v:line>
            <v:shape style="position:absolute;left:0;top:3203;width:48;height:2775" coordorigin="0,3204" coordsize="48,2775" path="m2434,-22l2482,-22m2434,-300l2482,-300m2434,-576l2482,-576m2434,-854l2482,-854m2434,-1133l2482,-1133m2434,-1409l2482,-1409m2434,-1687l2482,-1687m2434,-1963l2482,-1963m2434,-2242l2482,-2242m2434,-2520l2482,-2520m2434,-2796l2482,-2796e" filled="false" stroked="true" strokeweight=".48pt" strokecolor="#888888">
              <v:path arrowok="t"/>
              <v:stroke dashstyle="solid"/>
            </v:shape>
            <v:shape style="position:absolute;left:0;top:5978;width:3555;height:48" coordorigin="0,5978" coordsize="3555,48" path="m2482,-576l6036,-576m2482,-576l2482,-528m2875,-576l2875,-528m3271,-576l3271,-528m3665,-576l3665,-528m4061,-576l4061,-528m4457,-576l4457,-528m4850,-576l4850,-528m5246,-576l5246,-528m5640,-576l5640,-528m6036,-576l6036,-528e" filled="false" stroked="true" strokeweight=".48pt" strokecolor="#888888">
              <v:path arrowok="t"/>
              <v:stroke dashstyle="solid"/>
            </v:shape>
            <v:shape style="position:absolute;left:2677;top:-2531;width:3161;height:2293" coordorigin="2677,-2531" coordsize="3161,2293" path="m2677,-1672l2710,-1596,2743,-1517,2776,-1437,2809,-1356,2842,-1275,2875,-1195,2908,-1116,2941,-1040,2974,-966,3007,-896,3039,-830,3072,-769,3116,-690,3160,-611,3204,-533,3248,-460,3292,-396,3336,-343,3423,-282,3467,-280,3503,-300,3575,-397,3611,-466,3647,-543,3683,-624,3719,-705,3755,-781,3791,-849,3827,-905,3928,-982,3994,-998,4060,-994,4126,-975,4192,-945,4258,-908,4307,-867,4356,-808,4406,-738,4455,-664,4504,-594,4554,-533,4603,-491,4653,-472,4697,-483,4740,-519,4784,-572,4828,-635,4872,-700,4916,-762,4960,-812,5004,-843,5048,-848,5073,-834,5122,-763,5171,-651,5196,-587,5221,-521,5245,-456,5270,-395,5295,-340,5344,-260,5394,-238,5418,-256,5457,-328,5484,-411,5511,-517,5525,-577,5538,-642,5552,-711,5566,-784,5579,-860,5593,-940,5606,-1023,5620,-1108,5634,-1195,5647,-1284,5661,-1374,5674,-1466,5688,-1559,5702,-1652,5715,-1745,5729,-1838,5743,-1930,5756,-2021,5770,-2111,5783,-2200,5797,-2286,5811,-2371,5824,-2452,5838,-2531e" filled="false" stroked="true" strokeweight="1.56pt" strokecolor="#5b9bd4">
              <v:path arrowok="t"/>
              <v:stroke dashstyle="solid"/>
            </v:shape>
            <v:shape style="position:absolute;left:2613;top:-1738;width:130;height:130" type="#_x0000_t75" stroked="false">
              <v:imagedata r:id="rId101" o:title=""/>
            </v:shape>
            <v:shape style="position:absolute;left:3009;top:-834;width:130;height:130" type="#_x0000_t75" stroked="false">
              <v:imagedata r:id="rId102" o:title=""/>
            </v:shape>
            <v:shape style="position:absolute;left:3402;top:-346;width:130;height:130" type="#_x0000_t75" stroked="false">
              <v:imagedata r:id="rId102" o:title=""/>
            </v:shape>
            <v:shape style="position:absolute;left:3798;top:-1009;width:130;height:130" type="#_x0000_t75" stroked="false">
              <v:imagedata r:id="rId103" o:title=""/>
            </v:shape>
            <v:shape style="position:absolute;left:4192;top:-973;width:130;height:130" type="#_x0000_t75" stroked="false">
              <v:imagedata r:id="rId104" o:title=""/>
            </v:shape>
            <v:shape style="position:absolute;left:4588;top:-538;width:130;height:130" type="#_x0000_t75" stroked="false">
              <v:imagedata r:id="rId102" o:title=""/>
            </v:shape>
            <v:shape style="position:absolute;left:4984;top:-913;width:130;height:130" type="#_x0000_t75" stroked="false">
              <v:imagedata r:id="rId104" o:title=""/>
            </v:shape>
            <v:shape style="position:absolute;left:5377;top:-361;width:130;height:130" type="#_x0000_t75" stroked="false">
              <v:imagedata r:id="rId102" o:title=""/>
            </v:shape>
            <v:shape style="position:absolute;left:5773;top:-2595;width:130;height:130" type="#_x0000_t75" stroked="false">
              <v:imagedata r:id="rId102" o:title=""/>
            </v:shape>
            <w10:wrap type="none"/>
          </v:group>
        </w:pict>
      </w:r>
      <w:r>
        <w:rPr>
          <w:sz w:val="16"/>
        </w:rPr>
        <w:t>2013 2014 2015 2016 2017 2018 2019 2020 2021</w:t>
      </w:r>
    </w:p>
    <w:p>
      <w:pPr>
        <w:spacing w:before="67"/>
        <w:ind w:left="883" w:right="0" w:firstLine="0"/>
        <w:jc w:val="left"/>
        <w:rPr>
          <w:sz w:val="16"/>
        </w:rPr>
      </w:pPr>
      <w:r>
        <w:rPr>
          <w:sz w:val="16"/>
        </w:rPr>
        <w:t>Fuente: Dirección de Análisis y Política Fiscal.</w:t>
      </w:r>
    </w:p>
    <w:p>
      <w:pPr>
        <w:pStyle w:val="BodyText"/>
        <w:rPr>
          <w:sz w:val="18"/>
        </w:rPr>
      </w:pPr>
    </w:p>
    <w:p>
      <w:pPr>
        <w:pStyle w:val="Heading2"/>
        <w:numPr>
          <w:ilvl w:val="3"/>
          <w:numId w:val="15"/>
        </w:numPr>
        <w:tabs>
          <w:tab w:pos="1978" w:val="left" w:leader="none"/>
        </w:tabs>
        <w:spacing w:line="240" w:lineRule="auto" w:before="113" w:after="0"/>
        <w:ind w:left="1978" w:right="0" w:hanging="788"/>
        <w:jc w:val="left"/>
      </w:pPr>
      <w:bookmarkStart w:name="_bookmark127" w:id="157"/>
      <w:bookmarkEnd w:id="157"/>
      <w:r>
        <w:rPr>
          <w:b w:val="0"/>
        </w:rPr>
      </w:r>
      <w:bookmarkStart w:name="_bookmark127" w:id="158"/>
      <w:bookmarkEnd w:id="158"/>
      <w:r>
        <w:rPr/>
        <w:t>I</w:t>
      </w:r>
      <w:r>
        <w:rPr/>
        <w:t>mpuesto al Valor</w:t>
      </w:r>
      <w:r>
        <w:rPr>
          <w:spacing w:val="5"/>
        </w:rPr>
        <w:t> </w:t>
      </w:r>
      <w:r>
        <w:rPr>
          <w:spacing w:val="-3"/>
        </w:rPr>
        <w:t>Agregado</w:t>
      </w:r>
    </w:p>
    <w:p>
      <w:pPr>
        <w:spacing w:line="178" w:lineRule="exact" w:before="0"/>
        <w:ind w:left="759" w:right="0" w:firstLine="0"/>
        <w:jc w:val="left"/>
        <w:rPr>
          <w:sz w:val="16"/>
        </w:rPr>
      </w:pPr>
      <w:r>
        <w:rPr/>
        <w:br w:type="column"/>
      </w:r>
      <w:r>
        <w:rPr>
          <w:sz w:val="16"/>
        </w:rPr>
        <w:t>2013 2014 2015 2016 2017 2018 2019 2020 2021</w:t>
      </w:r>
    </w:p>
    <w:p>
      <w:pPr>
        <w:spacing w:after="0" w:line="178" w:lineRule="exact"/>
        <w:jc w:val="left"/>
        <w:rPr>
          <w:sz w:val="16"/>
        </w:rPr>
        <w:sectPr>
          <w:type w:val="continuous"/>
          <w:pgSz w:w="12240" w:h="15840"/>
          <w:pgMar w:top="1500" w:bottom="280" w:left="1140" w:right="0"/>
          <w:cols w:num="2" w:equalWidth="0">
            <w:col w:w="4892" w:space="40"/>
            <w:col w:w="6168"/>
          </w:cols>
        </w:sectPr>
      </w:pPr>
    </w:p>
    <w:p>
      <w:pPr>
        <w:pStyle w:val="BodyText"/>
        <w:spacing w:before="6"/>
        <w:rPr>
          <w:sz w:val="20"/>
        </w:rPr>
      </w:pPr>
    </w:p>
    <w:p>
      <w:pPr>
        <w:pStyle w:val="BodyText"/>
        <w:spacing w:line="276" w:lineRule="auto" w:before="92"/>
        <w:ind w:left="562" w:right="1698"/>
        <w:jc w:val="both"/>
      </w:pPr>
      <w:r>
        <w:rPr/>
        <w:t>El IVA total mensual en el último trimestre de 2021 no alcanzó la meta de presupuesto y generó brecha negativa acumulada en dicho trimestre por Q208 millones, esto inclusive con recaudación proveniente</w:t>
      </w:r>
      <w:r>
        <w:rPr>
          <w:spacing w:val="-11"/>
        </w:rPr>
        <w:t> </w:t>
      </w:r>
      <w:r>
        <w:rPr/>
        <w:t>del</w:t>
      </w:r>
      <w:r>
        <w:rPr>
          <w:spacing w:val="-10"/>
        </w:rPr>
        <w:t> </w:t>
      </w:r>
      <w:r>
        <w:rPr/>
        <w:t>no</w:t>
      </w:r>
      <w:r>
        <w:rPr>
          <w:spacing w:val="-11"/>
        </w:rPr>
        <w:t> </w:t>
      </w:r>
      <w:r>
        <w:rPr/>
        <w:t>acreditamiento</w:t>
      </w:r>
      <w:r>
        <w:rPr>
          <w:spacing w:val="-11"/>
        </w:rPr>
        <w:t> </w:t>
      </w:r>
      <w:r>
        <w:rPr/>
        <w:t>al</w:t>
      </w:r>
      <w:r>
        <w:rPr>
          <w:spacing w:val="-10"/>
        </w:rPr>
        <w:t> </w:t>
      </w:r>
      <w:r>
        <w:rPr/>
        <w:t>fondo</w:t>
      </w:r>
      <w:r>
        <w:rPr>
          <w:spacing w:val="-11"/>
        </w:rPr>
        <w:t> </w:t>
      </w:r>
      <w:r>
        <w:rPr/>
        <w:t>de</w:t>
      </w:r>
      <w:r>
        <w:rPr>
          <w:spacing w:val="-13"/>
        </w:rPr>
        <w:t> </w:t>
      </w:r>
      <w:r>
        <w:rPr/>
        <w:t>crédito</w:t>
      </w:r>
      <w:r>
        <w:rPr>
          <w:spacing w:val="-11"/>
        </w:rPr>
        <w:t> </w:t>
      </w:r>
      <w:r>
        <w:rPr/>
        <w:t>fiscal</w:t>
      </w:r>
      <w:r>
        <w:rPr>
          <w:spacing w:val="-10"/>
        </w:rPr>
        <w:t> </w:t>
      </w:r>
      <w:r>
        <w:rPr/>
        <w:t>a</w:t>
      </w:r>
      <w:r>
        <w:rPr>
          <w:spacing w:val="-13"/>
        </w:rPr>
        <w:t> </w:t>
      </w:r>
      <w:r>
        <w:rPr/>
        <w:t>los</w:t>
      </w:r>
      <w:r>
        <w:rPr>
          <w:spacing w:val="-9"/>
        </w:rPr>
        <w:t> </w:t>
      </w:r>
      <w:r>
        <w:rPr/>
        <w:t>exportadores</w:t>
      </w:r>
      <w:r>
        <w:rPr>
          <w:spacing w:val="-10"/>
        </w:rPr>
        <w:t> </w:t>
      </w:r>
      <w:r>
        <w:rPr/>
        <w:t>que</w:t>
      </w:r>
      <w:r>
        <w:rPr>
          <w:spacing w:val="-13"/>
        </w:rPr>
        <w:t> </w:t>
      </w:r>
      <w:r>
        <w:rPr/>
        <w:t>acumularía</w:t>
      </w:r>
      <w:r>
        <w:rPr>
          <w:spacing w:val="-10"/>
        </w:rPr>
        <w:t> </w:t>
      </w:r>
      <w:r>
        <w:rPr/>
        <w:t>al</w:t>
      </w:r>
      <w:r>
        <w:rPr>
          <w:spacing w:val="-12"/>
        </w:rPr>
        <w:t> </w:t>
      </w:r>
      <w:r>
        <w:rPr/>
        <w:t>final del año, ingresos por aproximadamente Q837.8 millones por ese concepto. La brecha negativa de este impuesto incluyendo el no acreditamiento pasaría a ser cercana a Q1,045.8</w:t>
      </w:r>
      <w:r>
        <w:rPr>
          <w:spacing w:val="-17"/>
        </w:rPr>
        <w:t> </w:t>
      </w:r>
      <w:r>
        <w:rPr/>
        <w:t>millones.</w:t>
      </w:r>
    </w:p>
    <w:p>
      <w:pPr>
        <w:spacing w:after="0" w:line="276" w:lineRule="auto"/>
        <w:jc w:val="both"/>
        <w:sectPr>
          <w:type w:val="continuous"/>
          <w:pgSz w:w="12240" w:h="15840"/>
          <w:pgMar w:top="1500" w:bottom="280" w:left="1140" w:right="0"/>
        </w:sectPr>
      </w:pPr>
    </w:p>
    <w:p>
      <w:pPr>
        <w:spacing w:before="169"/>
        <w:ind w:left="639" w:right="1786" w:firstLine="0"/>
        <w:jc w:val="center"/>
        <w:rPr>
          <w:b/>
          <w:sz w:val="20"/>
        </w:rPr>
      </w:pPr>
      <w:bookmarkStart w:name="_bookmark128" w:id="159"/>
      <w:bookmarkEnd w:id="159"/>
      <w:r>
        <w:rPr/>
      </w:r>
      <w:r>
        <w:rPr>
          <w:b/>
          <w:i/>
          <w:sz w:val="20"/>
        </w:rPr>
        <w:t>Gráfico 66. </w:t>
      </w:r>
      <w:r>
        <w:rPr>
          <w:b/>
          <w:sz w:val="20"/>
        </w:rPr>
        <w:t>Brecha del Impuesto al Valor Agregado doméstico respecto a presupuesto</w:t>
      </w:r>
    </w:p>
    <w:p>
      <w:pPr>
        <w:pStyle w:val="BodyText"/>
        <w:spacing w:before="27"/>
        <w:ind w:left="1395" w:right="2532"/>
        <w:jc w:val="center"/>
      </w:pPr>
      <w:r>
        <w:rPr/>
        <w:t>Millones de quetzales</w:t>
      </w:r>
    </w:p>
    <w:p>
      <w:pPr>
        <w:spacing w:line="168" w:lineRule="exact" w:before="30"/>
        <w:ind w:left="639" w:right="9971" w:firstLine="0"/>
        <w:jc w:val="center"/>
        <w:rPr>
          <w:sz w:val="20"/>
        </w:rPr>
      </w:pPr>
      <w:r>
        <w:rPr/>
        <w:pict>
          <v:group style="position:absolute;margin-left:120.839996pt;margin-top:17.775949pt;width:382.35pt;height:106.1pt;mso-position-horizontal-relative:page;mso-position-vertical-relative:paragraph;z-index:-280795136" coordorigin="2417,356" coordsize="7647,2122">
            <v:line style="position:absolute" from="2417,2470" to="10063,2470" stroked="true" strokeweight=".72pt" strokecolor="#d9d9d9">
              <v:stroke dashstyle="solid"/>
            </v:line>
            <v:shape style="position:absolute;left:2416;top:1697;width:7647;height:2" coordorigin="2417,1697" coordsize="7647,0" path="m6826,1697l10063,1697m6187,1697l6293,1697m5551,1697l5657,1697m4913,1697l5018,1697m2417,1697l4382,1697e" filled="false" stroked="true" strokeweight=".72pt" strokecolor="#d9d9d9">
              <v:path arrowok="t"/>
              <v:stroke dashstyle="solid"/>
            </v:shape>
            <v:rect style="position:absolute;left:4382;top:1406;width:531;height:677" filled="true" fillcolor="#5b9bd4" stroked="false">
              <v:fill type="solid"/>
            </v:rect>
            <v:shape style="position:absolute;left:2416;top:1313;width:3240;height:2" coordorigin="2417,1313" coordsize="3240,0" path="m5551,1313l5657,1313m2417,1313l5018,1313e" filled="false" stroked="true" strokeweight=".72pt" strokecolor="#d9d9d9">
              <v:path arrowok="t"/>
              <v:stroke dashstyle="solid"/>
            </v:shape>
            <v:rect style="position:absolute;left:5018;top:1094;width:533;height:989" filled="true" fillcolor="#5b9bd4" stroked="false">
              <v:fill type="solid"/>
            </v:rect>
            <v:line style="position:absolute" from="6187,1313" to="10063,1313" stroked="true" strokeweight=".72pt" strokecolor="#d9d9d9">
              <v:stroke dashstyle="solid"/>
            </v:line>
            <v:shape style="position:absolute;left:5656;top:1135;width:1805;height:948" coordorigin="5657,1136" coordsize="1805,948" path="m6187,1136l5657,1136,5657,2084,6187,2084,6187,1136m6826,1464l6293,1464,6293,2084,6826,2084,6826,1464m7462,1832l6931,1832,6931,2084,7462,2084,7462,1832e" filled="true" fillcolor="#5b9bd4" stroked="false">
              <v:path arrowok="t"/>
              <v:fill type="solid"/>
            </v:shape>
            <v:line style="position:absolute" from="7567,2038" to="8100,2038" stroked="true" strokeweight="4.560pt" strokecolor="#5b9bd4">
              <v:stroke dashstyle="solid"/>
            </v:line>
            <v:shape style="position:absolute;left:2472;top:1814;width:7539;height:600" coordorigin="2472,1815" coordsize="7539,600" path="m3002,1815l2472,1815,2472,2084,3002,2084,3002,1815m3638,1894l3108,1894,3108,2084,3638,2084,3638,1894m8736,2084l8206,2084,8206,2235,8736,2235,8736,2084m9374,2084l8842,2084,8842,2403,9374,2403,9374,2084m10010,2084l9480,2084,9480,2415,10010,2415,10010,2084e" filled="true" fillcolor="#5b9bd4" stroked="false">
              <v:path arrowok="t"/>
              <v:fill type="solid"/>
            </v:shape>
            <v:line style="position:absolute" from="3744,2139" to="4277,2139" stroked="true" strokeweight="5.52pt" strokecolor="#5b9bd4">
              <v:stroke dashstyle="solid"/>
            </v:line>
            <v:line style="position:absolute" from="2417,2084" to="10063,2084" stroked="true" strokeweight=".72pt" strokecolor="#d9d9d9">
              <v:stroke dashstyle="solid"/>
            </v:line>
            <v:shape style="position:absolute;left:0;top:11597;width:7647;height:387" coordorigin="0,11597" coordsize="7647,387" path="m2417,927l10063,927m2417,540l10063,540e" filled="false" stroked="true" strokeweight=".72pt" strokecolor="#d9d9d9">
              <v:path arrowok="t"/>
              <v:stroke dashstyle="solid"/>
            </v:shape>
            <v:shape style="position:absolute;left:2736;top:497;width:7008;height:1241" coordorigin="2736,497" coordsize="7008,1241" path="m2736,497l3374,1205,4010,1412,4649,1289,5285,1604,5923,1366,6559,1738,7195,1676,7834,1407,8470,1515,9108,1428,9744,1611e" filled="false" stroked="true" strokeweight=".96pt" strokecolor="#ff0000">
              <v:path arrowok="t"/>
              <v:stroke dashstyle="dot"/>
            </v:shape>
            <v:shape style="position:absolute;left:2704;top:466;width:60;height:60" coordorigin="2704,467" coordsize="60,60" path="m2734,467l2723,469,2713,475,2707,485,2704,497,2707,508,2713,518,2723,524,2734,527,2746,524,2755,518,2762,508,2764,497,2762,485,2755,475,2746,469,2734,467xe" filled="true" fillcolor="#ffffff" stroked="false">
              <v:path arrowok="t"/>
              <v:fill type="solid"/>
            </v:shape>
            <v:shape style="position:absolute;left:2704;top:466;width:60;height:60" coordorigin="2704,467" coordsize="60,60" path="m2764,497l2762,508,2755,518,2746,524,2734,527,2723,524,2713,518,2707,508,2704,497,2707,485,2713,475,2723,469,2734,467,2746,469,2755,475,2762,485,2764,497xe" filled="false" stroked="true" strokeweight=".72pt" strokecolor="#ff0000">
              <v:path arrowok="t"/>
              <v:stroke dashstyle="solid"/>
            </v:shape>
            <v:shape style="position:absolute;left:3342;top:1174;width:60;height:60" coordorigin="3343,1175" coordsize="60,60" path="m3403,1205l3400,1216,3394,1226,3384,1232,3373,1235,3361,1232,3351,1226,3345,1216,3343,1205,3345,1193,3351,1183,3361,1177,3373,1175,3384,1177,3394,1183,3400,1193,3403,1205xe" filled="false" stroked="true" strokeweight=".72pt" strokecolor="#ff0000">
              <v:path arrowok="t"/>
              <v:stroke dashstyle="solid"/>
            </v:shape>
            <v:shape style="position:absolute;left:3978;top:1380;width:60;height:60" coordorigin="3979,1381" coordsize="60,60" path="m4039,1411l4036,1423,4030,1432,4020,1439,4009,1441,3997,1439,3987,1432,3981,1423,3979,1411,3981,1399,3987,1390,3997,1383,4009,1381,4020,1383,4030,1390,4036,1399,4039,1411xe" filled="false" stroked="true" strokeweight=".72pt" strokecolor="#ff0000">
              <v:path arrowok="t"/>
              <v:stroke dashstyle="solid"/>
            </v:shape>
            <v:shape style="position:absolute;left:4617;top:1258;width:60;height:60" coordorigin="4617,1259" coordsize="60,60" path="m4647,1259l4635,1261,4626,1267,4619,1277,4617,1289,4619,1300,4626,1310,4635,1316,4647,1319,4659,1316,4668,1310,4675,1300,4677,1289,4675,1277,4668,1267,4659,1261,4647,1259xe" filled="true" fillcolor="#ffffff" stroked="false">
              <v:path arrowok="t"/>
              <v:fill type="solid"/>
            </v:shape>
            <v:shape style="position:absolute;left:4617;top:1258;width:60;height:60" coordorigin="4617,1259" coordsize="60,60" path="m4677,1289l4675,1300,4668,1310,4659,1316,4647,1319,4635,1316,4626,1310,4619,1300,4617,1289,4619,1277,4626,1267,4635,1261,4647,1259,4659,1261,4668,1267,4675,1277,4677,1289xe" filled="false" stroked="true" strokeweight=".72pt" strokecolor="#ff0000">
              <v:path arrowok="t"/>
              <v:stroke dashstyle="solid"/>
            </v:shape>
            <v:shape style="position:absolute;left:5253;top:1572;width:60;height:60" coordorigin="5253,1573" coordsize="60,60" path="m5283,1573l5271,1575,5262,1582,5255,1591,5253,1603,5255,1615,5262,1624,5271,1631,5283,1633,5295,1631,5304,1624,5311,1615,5313,1603,5311,1591,5304,1582,5295,1575,5283,1573xe" filled="true" fillcolor="#ffffff" stroked="false">
              <v:path arrowok="t"/>
              <v:fill type="solid"/>
            </v:shape>
            <v:shape style="position:absolute;left:5253;top:1572;width:60;height:60" coordorigin="5253,1573" coordsize="60,60" path="m5313,1603l5311,1615,5304,1624,5295,1631,5283,1633,5271,1631,5262,1624,5255,1615,5253,1603,5255,1591,5262,1582,5271,1575,5283,1573,5295,1575,5304,1582,5311,1591,5313,1603xe" filled="false" stroked="true" strokeweight=".72pt" strokecolor="#ff0000">
              <v:path arrowok="t"/>
              <v:stroke dashstyle="solid"/>
            </v:shape>
            <v:shape style="position:absolute;left:5891;top:1335;width:60;height:60" coordorigin="5891,1335" coordsize="60,60" path="m5921,1335l5910,1338,5900,1344,5894,1354,5891,1365,5894,1377,5900,1387,5910,1393,5921,1395,5933,1393,5943,1387,5949,1377,5951,1365,5949,1354,5943,1344,5933,1338,5921,1335xe" filled="true" fillcolor="#ffffff" stroked="false">
              <v:path arrowok="t"/>
              <v:fill type="solid"/>
            </v:shape>
            <v:shape style="position:absolute;left:5891;top:1335;width:60;height:60" coordorigin="5891,1335" coordsize="60,60" path="m5951,1365l5949,1377,5943,1387,5933,1393,5921,1395,5910,1393,5900,1387,5894,1377,5891,1365,5894,1354,5900,1344,5910,1338,5921,1335,5933,1338,5943,1344,5949,1354,5951,1365xe" filled="false" stroked="true" strokeweight=".72pt" strokecolor="#ff0000">
              <v:path arrowok="t"/>
              <v:stroke dashstyle="solid"/>
            </v:shape>
            <v:shape style="position:absolute;left:6527;top:1707;width:60;height:60" coordorigin="6527,1707" coordsize="60,60" path="m6557,1707l6546,1710,6536,1716,6530,1726,6527,1737,6530,1749,6536,1759,6546,1765,6557,1767,6569,1765,6579,1759,6585,1749,6587,1737,6585,1726,6579,1716,6569,1710,6557,1707xe" filled="true" fillcolor="#ffffff" stroked="false">
              <v:path arrowok="t"/>
              <v:fill type="solid"/>
            </v:shape>
            <v:shape style="position:absolute;left:6527;top:1707;width:60;height:60" coordorigin="6527,1707" coordsize="60,60" path="m6587,1737l6585,1749,6579,1759,6569,1765,6557,1767,6546,1765,6536,1759,6530,1749,6527,1737,6530,1726,6536,1716,6546,1710,6557,1707,6569,1710,6579,1716,6585,1726,6587,1737xe" filled="false" stroked="true" strokeweight=".72pt" strokecolor="#ff0000">
              <v:path arrowok="t"/>
              <v:stroke dashstyle="solid"/>
            </v:shape>
            <v:shape style="position:absolute;left:7163;top:1644;width:60;height:60" coordorigin="7163,1645" coordsize="60,60" path="m7193,1645l7182,1647,7172,1654,7166,1663,7163,1675,7166,1687,7172,1696,7182,1703,7193,1705,7205,1703,7215,1696,7221,1687,7223,1675,7221,1663,7215,1654,7205,1647,7193,1645xe" filled="true" fillcolor="#ffffff" stroked="false">
              <v:path arrowok="t"/>
              <v:fill type="solid"/>
            </v:shape>
            <v:shape style="position:absolute;left:7163;top:1644;width:60;height:60" coordorigin="7163,1645" coordsize="60,60" path="m7223,1675l7221,1687,7215,1696,7205,1703,7193,1705,7182,1703,7172,1696,7166,1687,7163,1675,7166,1663,7172,1654,7182,1647,7193,1645,7205,1647,7215,1654,7221,1663,7223,1675xe" filled="false" stroked="true" strokeweight=".72pt" strokecolor="#ff0000">
              <v:path arrowok="t"/>
              <v:stroke dashstyle="solid"/>
            </v:shape>
            <v:shape style="position:absolute;left:7801;top:1376;width:60;height:60" coordorigin="7802,1376" coordsize="60,60" path="m7862,1406l7859,1418,7853,1427,7843,1434,7832,1436,7820,1434,7811,1427,7804,1418,7802,1406,7804,1394,7811,1385,7820,1378,7832,1376,7843,1378,7853,1385,7859,1394,7862,1406xe" filled="false" stroked="true" strokeweight=".72pt" strokecolor="#ff0000">
              <v:path arrowok="t"/>
              <v:stroke dashstyle="solid"/>
            </v:shape>
            <v:shape style="position:absolute;left:8437;top:1484;width:60;height:60" coordorigin="8438,1484" coordsize="60,60" path="m8498,1514l8495,1526,8489,1535,8479,1542,8468,1544,8456,1542,8447,1535,8440,1526,8438,1514,8440,1502,8447,1493,8456,1486,8468,1484,8479,1486,8489,1493,8495,1502,8498,1514xe" filled="false" stroked="true" strokeweight=".72pt" strokecolor="#ff0000">
              <v:path arrowok="t"/>
              <v:stroke dashstyle="solid"/>
            </v:shape>
            <v:shape style="position:absolute;left:9076;top:1397;width:60;height:60" coordorigin="9076,1398" coordsize="60,60" path="m9136,1428l9134,1439,9127,1449,9118,1455,9106,1458,9095,1455,9085,1449,9079,1439,9076,1428,9079,1416,9085,1406,9095,1400,9106,1398,9118,1400,9127,1406,9134,1416,9136,1428xe" filled="false" stroked="true" strokeweight=".72pt" strokecolor="#ff0000">
              <v:path arrowok="t"/>
              <v:stroke dashstyle="solid"/>
            </v:shape>
            <v:shape style="position:absolute;left:9712;top:1580;width:60;height:60" coordorigin="9712,1580" coordsize="60,60" path="m9742,1580l9731,1582,9721,1589,9715,1598,9712,1610,9715,1622,9721,1631,9731,1638,9742,1640,9754,1638,9763,1631,9770,1622,9772,1610,9770,1598,9763,1589,9754,1582,9742,1580xe" filled="true" fillcolor="#ffffff" stroked="false">
              <v:path arrowok="t"/>
              <v:fill type="solid"/>
            </v:shape>
            <v:shape style="position:absolute;left:9712;top:1580;width:60;height:60" coordorigin="9712,1580" coordsize="60,60" path="m9772,1610l9770,1622,9763,1631,9754,1638,9742,1640,9731,1638,9721,1631,9715,1622,9712,1610,9715,1598,9721,1589,9731,1582,9742,1580,9754,1582,9763,1589,9770,1598,9772,1610xe" filled="false" stroked="true" strokeweight=".72pt" strokecolor="#ff0000">
              <v:path arrowok="t"/>
              <v:stroke dashstyle="solid"/>
            </v:shape>
            <v:line style="position:absolute" from="4649,1407" to="4649,1306" stroked="true" strokeweight=".72pt" strokecolor="#a6a6a6">
              <v:stroke dashstyle="solid"/>
            </v:line>
            <v:line style="position:absolute" from="7195,1832" to="7195,1673" stroked="true" strokeweight=".72pt" strokecolor="#a6a6a6">
              <v:stroke dashstyle="solid"/>
            </v:line>
            <v:line style="position:absolute" from="3362,948" to="3362,1208" stroked="true" strokeweight="1.44pt" strokecolor="#ff0000">
              <v:stroke dashstyle="shortdot"/>
            </v:line>
            <v:line style="position:absolute" from="4010,1412" to="3905,1104" stroked="true" strokeweight=".24pt" strokecolor="#ff0000">
              <v:stroke dashstyle="shortdot"/>
            </v:line>
            <v:line style="position:absolute" from="4649,1289" to="4577,2115" stroked="true" strokeweight=".24pt" strokecolor="#ff0000">
              <v:stroke dashstyle="shortdot"/>
            </v:line>
            <v:line style="position:absolute" from="5285,1604" to="5052,2136" stroked="true" strokeweight=".24pt" strokecolor="#ff0000">
              <v:stroke dashstyle="shortdot"/>
            </v:line>
            <v:line style="position:absolute" from="5923,1366" to="5731,2129" stroked="true" strokeweight=".24pt" strokecolor="#ff0000">
              <v:stroke dashstyle="shortdot"/>
            </v:line>
            <v:line style="position:absolute" from="6559,1738" to="6350,2088" stroked="true" strokeweight=".24pt" strokecolor="#ff0000">
              <v:stroke dashstyle="shortdot"/>
            </v:line>
            <v:line style="position:absolute" from="7195,1676" to="6965,2026" stroked="true" strokeweight=".24pt" strokecolor="#ff0000">
              <v:stroke dashstyle="shortdot"/>
            </v:line>
            <v:shape style="position:absolute;left:7668;top:1224;width:166;height:183" coordorigin="7668,1224" coordsize="166,183" path="m7834,1407l7757,1224,7668,1224e" filled="false" stroked="true" strokeweight=".24pt" strokecolor="#ff0000">
              <v:path arrowok="t"/>
              <v:stroke dashstyle="shortdot"/>
            </v:shape>
            <v:line style="position:absolute" from="9108,1428" to="9067,1337" stroked="true" strokeweight=".24pt" strokecolor="#ff0000">
              <v:stroke dashstyle="shortdot"/>
            </v:line>
            <v:line style="position:absolute" from="6509,400" to="7013,400" stroked="true" strokeweight="4.440pt" strokecolor="#5b9bd4">
              <v:stroke dashstyle="solid"/>
            </v:line>
            <v:shape style="position:absolute;left:8548;top:367;width:60;height:60" coordorigin="8549,368" coordsize="60,60" path="m8579,368l8567,370,8558,376,8551,386,8549,398,8551,409,8558,419,8567,425,8579,428,8590,425,8600,419,8606,409,8609,398,8606,386,8600,376,8590,370,8579,368xe" filled="true" fillcolor="#ffffff" stroked="false">
              <v:path arrowok="t"/>
              <v:fill type="solid"/>
            </v:shape>
            <v:shape style="position:absolute;left:8548;top:367;width:60;height:60" coordorigin="8549,368" coordsize="60,60" path="m8609,398l8606,409,8600,419,8590,425,8579,428,8567,425,8558,419,8551,409,8549,398,8551,386,8558,376,8567,370,8579,368,8590,370,8600,376,8606,386,8609,398xe" filled="false" stroked="true" strokeweight=".72pt" strokecolor="#ff0000">
              <v:path arrowok="t"/>
              <v:stroke dashstyle="solid"/>
            </v:shape>
            <w10:wrap type="none"/>
          </v:group>
        </w:pict>
      </w:r>
      <w:r>
        <w:rPr/>
        <w:pict>
          <v:line style="position:absolute;mso-position-horizontal-relative:page;mso-position-vertical-relative:paragraph;z-index:252525568" from="120.839996pt,7.69595pt" to="503.159996pt,7.69595pt" stroked="true" strokeweight=".72pt" strokecolor="#d9d9d9">
            <v:stroke dashstyle="solid"/>
            <w10:wrap type="none"/>
          </v:line>
        </w:pict>
      </w:r>
      <w:r>
        <w:rPr>
          <w:color w:val="585858"/>
          <w:sz w:val="20"/>
        </w:rPr>
        <w:t>500.0</w:t>
      </w:r>
    </w:p>
    <w:p>
      <w:pPr>
        <w:spacing w:after="0" w:line="168" w:lineRule="exact"/>
        <w:jc w:val="center"/>
        <w:rPr>
          <w:sz w:val="20"/>
        </w:rPr>
        <w:sectPr>
          <w:pgSz w:w="12240" w:h="15840"/>
          <w:pgMar w:header="715" w:footer="957" w:top="1240" w:bottom="1140" w:left="1140" w:right="0"/>
        </w:sectPr>
      </w:pPr>
    </w:p>
    <w:p>
      <w:pPr>
        <w:pStyle w:val="BodyText"/>
        <w:spacing w:before="11"/>
        <w:rPr>
          <w:sz w:val="18"/>
        </w:rPr>
      </w:pPr>
    </w:p>
    <w:p>
      <w:pPr>
        <w:spacing w:before="0"/>
        <w:ind w:left="658" w:right="0" w:firstLine="0"/>
        <w:jc w:val="left"/>
        <w:rPr>
          <w:sz w:val="20"/>
        </w:rPr>
      </w:pPr>
      <w:r>
        <w:rPr>
          <w:color w:val="585858"/>
          <w:w w:val="95"/>
          <w:sz w:val="20"/>
        </w:rPr>
        <w:t>400.0</w:t>
      </w:r>
    </w:p>
    <w:p>
      <w:pPr>
        <w:spacing w:before="156"/>
        <w:ind w:left="658" w:right="0" w:firstLine="0"/>
        <w:jc w:val="left"/>
        <w:rPr>
          <w:sz w:val="20"/>
        </w:rPr>
      </w:pPr>
      <w:r>
        <w:rPr>
          <w:color w:val="585858"/>
          <w:w w:val="95"/>
          <w:sz w:val="20"/>
        </w:rPr>
        <w:t>300.0</w:t>
      </w:r>
    </w:p>
    <w:p>
      <w:pPr>
        <w:spacing w:line="151" w:lineRule="exact" w:before="156"/>
        <w:ind w:left="658" w:right="0" w:firstLine="0"/>
        <w:jc w:val="left"/>
        <w:rPr>
          <w:sz w:val="20"/>
        </w:rPr>
      </w:pPr>
      <w:r>
        <w:rPr>
          <w:color w:val="585858"/>
          <w:w w:val="95"/>
          <w:sz w:val="20"/>
        </w:rPr>
        <w:t>200.0</w:t>
      </w:r>
    </w:p>
    <w:p>
      <w:pPr>
        <w:spacing w:line="178" w:lineRule="exact" w:before="0"/>
        <w:ind w:left="264" w:right="0" w:firstLine="0"/>
        <w:jc w:val="left"/>
        <w:rPr>
          <w:b/>
          <w:sz w:val="16"/>
        </w:rPr>
      </w:pPr>
      <w:r>
        <w:rPr/>
        <w:br w:type="column"/>
      </w:r>
      <w:r>
        <w:rPr>
          <w:b/>
          <w:color w:val="FF0000"/>
          <w:sz w:val="16"/>
        </w:rPr>
        <w:t>411.6</w:t>
      </w:r>
    </w:p>
    <w:p>
      <w:pPr>
        <w:pStyle w:val="BodyText"/>
        <w:rPr>
          <w:b/>
          <w:sz w:val="18"/>
        </w:rPr>
      </w:pPr>
      <w:r>
        <w:rPr/>
        <w:br w:type="column"/>
      </w:r>
      <w:r>
        <w:rPr>
          <w:b/>
          <w:sz w:val="18"/>
        </w:rPr>
      </w:r>
    </w:p>
    <w:p>
      <w:pPr>
        <w:pStyle w:val="BodyText"/>
        <w:rPr>
          <w:b/>
          <w:sz w:val="18"/>
        </w:rPr>
      </w:pPr>
    </w:p>
    <w:p>
      <w:pPr>
        <w:spacing w:line="169" w:lineRule="exact" w:before="124"/>
        <w:ind w:left="210" w:right="0" w:firstLine="0"/>
        <w:jc w:val="left"/>
        <w:rPr>
          <w:b/>
          <w:sz w:val="16"/>
        </w:rPr>
      </w:pPr>
      <w:r>
        <w:rPr>
          <w:b/>
          <w:color w:val="FF0000"/>
          <w:sz w:val="16"/>
        </w:rPr>
        <w:t>227.5</w:t>
      </w:r>
    </w:p>
    <w:p>
      <w:pPr>
        <w:spacing w:line="169" w:lineRule="exact" w:before="0"/>
        <w:ind w:left="763" w:right="0" w:firstLine="0"/>
        <w:jc w:val="left"/>
        <w:rPr>
          <w:b/>
          <w:sz w:val="16"/>
        </w:rPr>
      </w:pPr>
      <w:r>
        <w:rPr>
          <w:b/>
          <w:color w:val="FF0000"/>
          <w:sz w:val="16"/>
        </w:rPr>
        <w:t>174.1</w:t>
      </w:r>
    </w:p>
    <w:p>
      <w:pPr>
        <w:pStyle w:val="BodyText"/>
        <w:rPr>
          <w:b/>
          <w:sz w:val="18"/>
        </w:rPr>
      </w:pPr>
      <w:r>
        <w:rPr/>
        <w:br w:type="column"/>
      </w:r>
      <w:r>
        <w:rPr>
          <w:b/>
          <w:sz w:val="18"/>
        </w:rPr>
      </w:r>
    </w:p>
    <w:p>
      <w:pPr>
        <w:pStyle w:val="BodyText"/>
        <w:rPr>
          <w:b/>
          <w:sz w:val="18"/>
        </w:rPr>
      </w:pPr>
    </w:p>
    <w:p>
      <w:pPr>
        <w:pStyle w:val="BodyText"/>
        <w:rPr>
          <w:b/>
          <w:sz w:val="18"/>
        </w:rPr>
      </w:pPr>
    </w:p>
    <w:p>
      <w:pPr>
        <w:pStyle w:val="BodyText"/>
        <w:spacing w:before="9"/>
        <w:rPr>
          <w:b/>
          <w:sz w:val="23"/>
        </w:rPr>
      </w:pPr>
    </w:p>
    <w:p>
      <w:pPr>
        <w:spacing w:before="0"/>
        <w:ind w:left="338" w:right="0" w:firstLine="0"/>
        <w:jc w:val="left"/>
        <w:rPr>
          <w:b/>
          <w:sz w:val="16"/>
        </w:rPr>
      </w:pPr>
      <w:r>
        <w:rPr>
          <w:b/>
          <w:color w:val="006FC0"/>
          <w:sz w:val="16"/>
        </w:rPr>
        <w:t>175.6</w:t>
      </w:r>
    </w:p>
    <w:p>
      <w:pPr>
        <w:pStyle w:val="BodyText"/>
        <w:rPr>
          <w:b/>
          <w:sz w:val="18"/>
        </w:rPr>
      </w:pPr>
      <w:r>
        <w:rPr/>
        <w:br w:type="column"/>
      </w:r>
      <w:r>
        <w:rPr>
          <w:b/>
          <w:sz w:val="18"/>
        </w:rPr>
      </w:r>
    </w:p>
    <w:p>
      <w:pPr>
        <w:pStyle w:val="BodyText"/>
        <w:rPr>
          <w:b/>
          <w:sz w:val="18"/>
        </w:rPr>
      </w:pPr>
    </w:p>
    <w:p>
      <w:pPr>
        <w:pStyle w:val="BodyText"/>
        <w:spacing w:before="9"/>
        <w:rPr>
          <w:b/>
          <w:sz w:val="21"/>
        </w:rPr>
      </w:pPr>
    </w:p>
    <w:p>
      <w:pPr>
        <w:tabs>
          <w:tab w:pos="1069" w:val="left" w:leader="none"/>
        </w:tabs>
        <w:spacing w:before="0"/>
        <w:ind w:left="151" w:right="0" w:firstLine="0"/>
        <w:jc w:val="left"/>
        <w:rPr>
          <w:b/>
          <w:sz w:val="16"/>
        </w:rPr>
      </w:pPr>
      <w:r>
        <w:rPr>
          <w:b/>
          <w:color w:val="006FC0"/>
          <w:sz w:val="16"/>
        </w:rPr>
        <w:t>256.3</w:t>
        <w:tab/>
      </w:r>
      <w:r>
        <w:rPr>
          <w:b/>
          <w:color w:val="006FC0"/>
          <w:spacing w:val="-4"/>
          <w:position w:val="1"/>
          <w:sz w:val="16"/>
        </w:rPr>
        <w:t>246.0</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spacing w:before="4"/>
        <w:rPr>
          <w:b/>
          <w:sz w:val="14"/>
        </w:rPr>
      </w:pPr>
    </w:p>
    <w:p>
      <w:pPr>
        <w:spacing w:line="148" w:lineRule="exact" w:before="0"/>
        <w:ind w:left="31" w:right="0" w:firstLine="0"/>
        <w:jc w:val="left"/>
        <w:rPr>
          <w:b/>
          <w:sz w:val="16"/>
        </w:rPr>
      </w:pPr>
      <w:r>
        <w:rPr>
          <w:b/>
          <w:color w:val="006FC0"/>
          <w:sz w:val="16"/>
        </w:rPr>
        <w:t>160.4</w:t>
      </w:r>
    </w:p>
    <w:p>
      <w:pPr>
        <w:tabs>
          <w:tab w:pos="1547" w:val="left" w:leader="none"/>
          <w:tab w:pos="2091" w:val="left" w:leader="none"/>
        </w:tabs>
        <w:spacing w:before="91"/>
        <w:ind w:left="289" w:right="0" w:firstLine="0"/>
        <w:jc w:val="left"/>
        <w:rPr>
          <w:b/>
          <w:sz w:val="18"/>
        </w:rPr>
      </w:pPr>
      <w:r>
        <w:rPr/>
        <w:br w:type="column"/>
      </w:r>
      <w:r>
        <w:rPr>
          <w:b/>
          <w:color w:val="585858"/>
          <w:sz w:val="18"/>
        </w:rPr>
        <w:t>Obs21-Pres</w:t>
        <w:tab/>
      </w:r>
      <w:r>
        <w:rPr>
          <w:b/>
          <w:color w:val="585858"/>
          <w:sz w:val="18"/>
          <w:u w:val="dotted" w:color="FF0000"/>
        </w:rPr>
        <w:t> </w:t>
        <w:tab/>
      </w:r>
      <w:r>
        <w:rPr>
          <w:b/>
          <w:color w:val="585858"/>
          <w:sz w:val="18"/>
        </w:rPr>
        <w:t>Obs21-Obs19</w:t>
      </w:r>
    </w:p>
    <w:p>
      <w:pPr>
        <w:pStyle w:val="BodyText"/>
        <w:rPr>
          <w:b/>
          <w:sz w:val="20"/>
        </w:rPr>
      </w:pPr>
    </w:p>
    <w:p>
      <w:pPr>
        <w:pStyle w:val="BodyText"/>
        <w:rPr>
          <w:b/>
          <w:sz w:val="20"/>
        </w:rPr>
      </w:pPr>
    </w:p>
    <w:p>
      <w:pPr>
        <w:pStyle w:val="BodyText"/>
        <w:spacing w:before="7"/>
        <w:rPr>
          <w:b/>
          <w:sz w:val="16"/>
        </w:rPr>
      </w:pPr>
    </w:p>
    <w:p>
      <w:pPr>
        <w:tabs>
          <w:tab w:pos="1180" w:val="left" w:leader="none"/>
          <w:tab w:pos="2104" w:val="left" w:leader="none"/>
        </w:tabs>
        <w:spacing w:line="93" w:lineRule="auto" w:before="0"/>
        <w:ind w:left="463" w:right="0" w:firstLine="0"/>
        <w:jc w:val="left"/>
        <w:rPr>
          <w:b/>
          <w:sz w:val="16"/>
        </w:rPr>
      </w:pPr>
      <w:r>
        <w:rPr>
          <w:b/>
          <w:color w:val="FF0000"/>
          <w:sz w:val="16"/>
        </w:rPr>
        <w:t>175.3</w:t>
        <w:tab/>
      </w:r>
      <w:r>
        <w:rPr>
          <w:b/>
          <w:color w:val="FF0000"/>
          <w:position w:val="-10"/>
          <w:sz w:val="16"/>
        </w:rPr>
        <w:t>147.2</w:t>
        <w:tab/>
      </w:r>
      <w:r>
        <w:rPr>
          <w:b/>
          <w:color w:val="FF0000"/>
          <w:position w:val="1"/>
          <w:sz w:val="16"/>
        </w:rPr>
        <w:t>170.1</w:t>
      </w:r>
    </w:p>
    <w:p>
      <w:pPr>
        <w:spacing w:after="0" w:line="93" w:lineRule="auto"/>
        <w:jc w:val="left"/>
        <w:rPr>
          <w:sz w:val="16"/>
        </w:rPr>
        <w:sectPr>
          <w:type w:val="continuous"/>
          <w:pgSz w:w="12240" w:h="15840"/>
          <w:pgMar w:top="1500" w:bottom="280" w:left="1140" w:right="0"/>
          <w:cols w:num="7" w:equalWidth="0">
            <w:col w:w="1108" w:space="40"/>
            <w:col w:w="630" w:space="39"/>
            <w:col w:w="1129" w:space="40"/>
            <w:col w:w="704" w:space="39"/>
            <w:col w:w="1435" w:space="40"/>
            <w:col w:w="397" w:space="39"/>
            <w:col w:w="5460"/>
          </w:cols>
        </w:sectPr>
      </w:pPr>
    </w:p>
    <w:p>
      <w:pPr>
        <w:pStyle w:val="BodyText"/>
        <w:spacing w:before="3"/>
        <w:rPr>
          <w:b/>
          <w:sz w:val="20"/>
        </w:rPr>
      </w:pPr>
    </w:p>
    <w:p>
      <w:pPr>
        <w:spacing w:before="1"/>
        <w:ind w:left="0" w:right="0" w:firstLine="0"/>
        <w:jc w:val="right"/>
        <w:rPr>
          <w:sz w:val="20"/>
        </w:rPr>
      </w:pPr>
      <w:r>
        <w:rPr>
          <w:color w:val="585858"/>
          <w:w w:val="95"/>
          <w:sz w:val="20"/>
        </w:rPr>
        <w:t>100.0</w:t>
      </w:r>
    </w:p>
    <w:p>
      <w:pPr>
        <w:spacing w:before="156"/>
        <w:ind w:left="0" w:right="0" w:firstLine="0"/>
        <w:jc w:val="right"/>
        <w:rPr>
          <w:sz w:val="20"/>
        </w:rPr>
      </w:pPr>
      <w:r>
        <w:rPr>
          <w:color w:val="585858"/>
          <w:sz w:val="20"/>
        </w:rPr>
        <w:t>0.0</w:t>
      </w:r>
    </w:p>
    <w:p>
      <w:pPr>
        <w:spacing w:before="155"/>
        <w:ind w:left="0" w:right="0" w:firstLine="0"/>
        <w:jc w:val="right"/>
        <w:rPr>
          <w:sz w:val="20"/>
        </w:rPr>
      </w:pPr>
      <w:r>
        <w:rPr>
          <w:color w:val="585858"/>
          <w:w w:val="95"/>
          <w:sz w:val="20"/>
        </w:rPr>
        <w:t>-100.0</w:t>
      </w:r>
    </w:p>
    <w:p>
      <w:pPr>
        <w:spacing w:before="157"/>
        <w:ind w:left="0" w:right="0" w:firstLine="0"/>
        <w:jc w:val="right"/>
        <w:rPr>
          <w:sz w:val="20"/>
        </w:rPr>
      </w:pPr>
      <w:r>
        <w:rPr>
          <w:color w:val="585858"/>
          <w:w w:val="95"/>
          <w:sz w:val="20"/>
        </w:rPr>
        <w:t>-200.0</w:t>
      </w:r>
    </w:p>
    <w:p>
      <w:pPr>
        <w:tabs>
          <w:tab w:pos="941" w:val="left" w:leader="none"/>
        </w:tabs>
        <w:spacing w:before="202"/>
        <w:ind w:left="304" w:right="0" w:firstLine="0"/>
        <w:jc w:val="left"/>
        <w:rPr>
          <w:b/>
          <w:sz w:val="16"/>
        </w:rPr>
      </w:pPr>
      <w:r>
        <w:rPr/>
        <w:br w:type="column"/>
      </w:r>
      <w:r>
        <w:rPr>
          <w:b/>
          <w:color w:val="006FC0"/>
          <w:sz w:val="16"/>
        </w:rPr>
        <w:t>69.5</w:t>
        <w:tab/>
      </w:r>
      <w:r>
        <w:rPr>
          <w:b/>
          <w:color w:val="006FC0"/>
          <w:spacing w:val="-5"/>
          <w:position w:val="-7"/>
          <w:sz w:val="16"/>
        </w:rPr>
        <w:t>49.3</w:t>
      </w:r>
    </w:p>
    <w:p>
      <w:pPr>
        <w:pStyle w:val="BodyText"/>
        <w:rPr>
          <w:b/>
          <w:sz w:val="18"/>
        </w:rPr>
      </w:pPr>
      <w:r>
        <w:rPr/>
        <w:br w:type="column"/>
      </w:r>
      <w:r>
        <w:rPr>
          <w:b/>
          <w:sz w:val="18"/>
        </w:rPr>
      </w:r>
    </w:p>
    <w:p>
      <w:pPr>
        <w:pStyle w:val="BodyText"/>
        <w:rPr>
          <w:b/>
          <w:sz w:val="18"/>
        </w:rPr>
      </w:pPr>
    </w:p>
    <w:p>
      <w:pPr>
        <w:pStyle w:val="BodyText"/>
        <w:rPr>
          <w:b/>
          <w:sz w:val="18"/>
        </w:rPr>
      </w:pPr>
    </w:p>
    <w:p>
      <w:pPr>
        <w:pStyle w:val="BodyText"/>
        <w:spacing w:before="8"/>
        <w:rPr>
          <w:b/>
          <w:sz w:val="23"/>
        </w:rPr>
      </w:pPr>
    </w:p>
    <w:p>
      <w:pPr>
        <w:spacing w:before="1"/>
        <w:ind w:left="287" w:right="0" w:firstLine="0"/>
        <w:jc w:val="left"/>
        <w:rPr>
          <w:b/>
          <w:sz w:val="16"/>
        </w:rPr>
      </w:pPr>
      <w:r>
        <w:rPr>
          <w:b/>
          <w:color w:val="006FC0"/>
          <w:sz w:val="16"/>
        </w:rPr>
        <w:t>-28.8</w:t>
      </w:r>
    </w:p>
    <w:p>
      <w:pPr>
        <w:pStyle w:val="BodyText"/>
        <w:rPr>
          <w:b/>
          <w:sz w:val="20"/>
        </w:rPr>
      </w:pPr>
      <w:r>
        <w:rPr/>
        <w:br w:type="column"/>
      </w:r>
      <w:r>
        <w:rPr>
          <w:b/>
          <w:sz w:val="20"/>
        </w:rPr>
      </w:r>
    </w:p>
    <w:p>
      <w:pPr>
        <w:pStyle w:val="BodyText"/>
        <w:rPr>
          <w:b/>
          <w:sz w:val="20"/>
        </w:rPr>
      </w:pPr>
    </w:p>
    <w:p>
      <w:pPr>
        <w:pStyle w:val="BodyText"/>
        <w:rPr>
          <w:b/>
          <w:sz w:val="20"/>
        </w:rPr>
      </w:pPr>
    </w:p>
    <w:p>
      <w:pPr>
        <w:tabs>
          <w:tab w:pos="1330" w:val="left" w:leader="none"/>
        </w:tabs>
        <w:spacing w:before="116"/>
        <w:ind w:left="174" w:right="0" w:firstLine="0"/>
        <w:jc w:val="left"/>
        <w:rPr>
          <w:b/>
          <w:sz w:val="16"/>
        </w:rPr>
      </w:pPr>
      <w:r>
        <w:rPr>
          <w:b/>
          <w:color w:val="FF0000"/>
          <w:position w:val="2"/>
          <w:sz w:val="16"/>
        </w:rPr>
        <w:t>206.1 </w:t>
      </w:r>
      <w:r>
        <w:rPr>
          <w:b/>
          <w:color w:val="FF0000"/>
          <w:spacing w:val="33"/>
          <w:position w:val="2"/>
          <w:sz w:val="16"/>
        </w:rPr>
        <w:t> </w:t>
      </w:r>
      <w:r>
        <w:rPr>
          <w:b/>
          <w:color w:val="FF0000"/>
          <w:sz w:val="16"/>
        </w:rPr>
        <w:t>124.2</w:t>
        <w:tab/>
      </w:r>
      <w:r>
        <w:rPr>
          <w:b/>
          <w:color w:val="FF0000"/>
          <w:spacing w:val="-4"/>
          <w:position w:val="1"/>
          <w:sz w:val="16"/>
        </w:rPr>
        <w:t>185.8</w:t>
      </w:r>
    </w:p>
    <w:p>
      <w:pPr>
        <w:spacing w:before="119"/>
        <w:ind w:left="0" w:right="0" w:firstLine="0"/>
        <w:jc w:val="right"/>
        <w:rPr>
          <w:b/>
          <w:sz w:val="16"/>
        </w:rPr>
      </w:pPr>
      <w:r>
        <w:rPr/>
        <w:br w:type="column"/>
      </w:r>
      <w:r>
        <w:rPr>
          <w:b/>
          <w:color w:val="006FC0"/>
          <w:sz w:val="16"/>
        </w:rPr>
        <w:t>65.0</w:t>
      </w:r>
    </w:p>
    <w:p>
      <w:pPr>
        <w:pStyle w:val="BodyText"/>
        <w:rPr>
          <w:b/>
          <w:sz w:val="18"/>
        </w:rPr>
      </w:pPr>
    </w:p>
    <w:p>
      <w:pPr>
        <w:pStyle w:val="BodyText"/>
        <w:spacing w:before="11"/>
        <w:rPr>
          <w:b/>
          <w:sz w:val="17"/>
        </w:rPr>
      </w:pPr>
    </w:p>
    <w:p>
      <w:pPr>
        <w:tabs>
          <w:tab w:pos="827" w:val="left" w:leader="none"/>
        </w:tabs>
        <w:spacing w:before="0"/>
        <w:ind w:left="254" w:right="0" w:firstLine="0"/>
        <w:jc w:val="left"/>
        <w:rPr>
          <w:b/>
          <w:sz w:val="16"/>
        </w:rPr>
      </w:pPr>
      <w:r>
        <w:rPr>
          <w:b/>
          <w:color w:val="FF0000"/>
          <w:position w:val="-5"/>
          <w:sz w:val="16"/>
        </w:rPr>
        <w:t>89.6</w:t>
        <w:tab/>
      </w:r>
      <w:r>
        <w:rPr>
          <w:b/>
          <w:color w:val="FF0000"/>
          <w:sz w:val="16"/>
        </w:rPr>
        <w:t>105.9</w:t>
      </w:r>
    </w:p>
    <w:p>
      <w:pPr>
        <w:pStyle w:val="BodyText"/>
        <w:rPr>
          <w:b/>
          <w:sz w:val="18"/>
        </w:rPr>
      </w:pPr>
      <w:r>
        <w:rPr/>
        <w:br w:type="column"/>
      </w:r>
      <w:r>
        <w:rPr>
          <w:b/>
          <w:sz w:val="18"/>
        </w:rPr>
      </w:r>
    </w:p>
    <w:p>
      <w:pPr>
        <w:pStyle w:val="BodyText"/>
        <w:spacing w:before="10"/>
        <w:rPr>
          <w:b/>
          <w:sz w:val="14"/>
        </w:rPr>
      </w:pPr>
    </w:p>
    <w:p>
      <w:pPr>
        <w:spacing w:before="1"/>
        <w:ind w:left="313" w:right="0" w:firstLine="0"/>
        <w:jc w:val="left"/>
        <w:rPr>
          <w:b/>
          <w:sz w:val="16"/>
        </w:rPr>
      </w:pPr>
      <w:r>
        <w:rPr>
          <w:b/>
          <w:color w:val="006FC0"/>
          <w:sz w:val="16"/>
        </w:rPr>
        <w:t>23.8</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spacing w:before="133"/>
        <w:ind w:left="286" w:right="0" w:firstLine="0"/>
        <w:jc w:val="left"/>
        <w:rPr>
          <w:b/>
          <w:sz w:val="16"/>
        </w:rPr>
      </w:pPr>
      <w:r>
        <w:rPr>
          <w:b/>
          <w:color w:val="006FC0"/>
          <w:sz w:val="16"/>
        </w:rPr>
        <w:t>-39.5</w:t>
      </w:r>
    </w:p>
    <w:p>
      <w:pPr>
        <w:spacing w:line="178" w:lineRule="exact" w:before="0"/>
        <w:ind w:left="775" w:right="0" w:firstLine="0"/>
        <w:jc w:val="left"/>
        <w:rPr>
          <w:b/>
          <w:sz w:val="16"/>
        </w:rPr>
      </w:pPr>
      <w:r>
        <w:rPr/>
        <w:br w:type="column"/>
      </w:r>
      <w:r>
        <w:rPr>
          <w:b/>
          <w:color w:val="FF0000"/>
          <w:sz w:val="16"/>
        </w:rPr>
        <w:t>122.5</w:t>
      </w:r>
    </w:p>
    <w:p>
      <w:pPr>
        <w:pStyle w:val="BodyText"/>
        <w:rPr>
          <w:b/>
          <w:sz w:val="18"/>
        </w:rPr>
      </w:pPr>
    </w:p>
    <w:p>
      <w:pPr>
        <w:pStyle w:val="BodyText"/>
        <w:rPr>
          <w:b/>
          <w:sz w:val="18"/>
        </w:rPr>
      </w:pPr>
    </w:p>
    <w:p>
      <w:pPr>
        <w:pStyle w:val="BodyText"/>
        <w:rPr>
          <w:b/>
          <w:sz w:val="18"/>
        </w:rPr>
      </w:pPr>
    </w:p>
    <w:p>
      <w:pPr>
        <w:pStyle w:val="BodyText"/>
        <w:rPr>
          <w:b/>
          <w:sz w:val="18"/>
        </w:rPr>
      </w:pPr>
    </w:p>
    <w:p>
      <w:pPr>
        <w:tabs>
          <w:tab w:pos="898" w:val="left" w:leader="none"/>
        </w:tabs>
        <w:spacing w:before="149"/>
        <w:ind w:left="260" w:right="0" w:firstLine="0"/>
        <w:jc w:val="left"/>
        <w:rPr>
          <w:b/>
          <w:sz w:val="16"/>
        </w:rPr>
      </w:pPr>
      <w:r>
        <w:rPr/>
        <w:pict>
          <v:line style="position:absolute;mso-position-horizontal-relative:page;mso-position-vertical-relative:paragraph;z-index:252523520" from="120.839996pt,25.448746pt" to="503.159996pt,25.448746pt" stroked="true" strokeweight=".72pt" strokecolor="#d9d9d9">
            <v:stroke dashstyle="solid"/>
            <w10:wrap type="none"/>
          </v:line>
        </w:pict>
      </w:r>
      <w:r>
        <w:rPr>
          <w:b/>
          <w:color w:val="006FC0"/>
          <w:position w:val="1"/>
          <w:sz w:val="16"/>
        </w:rPr>
        <w:t>-82.9</w:t>
        <w:tab/>
      </w:r>
      <w:r>
        <w:rPr>
          <w:b/>
          <w:color w:val="006FC0"/>
          <w:sz w:val="16"/>
        </w:rPr>
        <w:t>-85.6</w:t>
      </w:r>
    </w:p>
    <w:p>
      <w:pPr>
        <w:spacing w:after="0"/>
        <w:jc w:val="left"/>
        <w:rPr>
          <w:sz w:val="16"/>
        </w:rPr>
        <w:sectPr>
          <w:type w:val="continuous"/>
          <w:pgSz w:w="12240" w:h="15840"/>
          <w:pgMar w:top="1500" w:bottom="280" w:left="1140" w:right="0"/>
          <w:cols w:num="8" w:equalWidth="0">
            <w:col w:w="1109" w:space="40"/>
            <w:col w:w="1226" w:space="39"/>
            <w:col w:w="624" w:space="39"/>
            <w:col w:w="1696" w:space="40"/>
            <w:col w:w="1384" w:space="40"/>
            <w:col w:w="598" w:space="40"/>
            <w:col w:w="624" w:space="39"/>
            <w:col w:w="3562"/>
          </w:cols>
        </w:sectPr>
      </w:pPr>
    </w:p>
    <w:p>
      <w:pPr>
        <w:tabs>
          <w:tab w:pos="2098" w:val="left" w:leader="none"/>
          <w:tab w:pos="2721" w:val="left" w:leader="none"/>
          <w:tab w:pos="3368" w:val="left" w:leader="none"/>
          <w:tab w:pos="3981" w:val="left" w:leader="none"/>
          <w:tab w:pos="4657" w:val="left" w:leader="none"/>
          <w:tab w:pos="5315" w:val="left" w:leader="none"/>
          <w:tab w:pos="5902" w:val="left" w:leader="none"/>
          <w:tab w:pos="6559" w:val="left" w:leader="none"/>
          <w:tab w:pos="7202" w:val="left" w:leader="none"/>
          <w:tab w:pos="7814" w:val="left" w:leader="none"/>
          <w:tab w:pos="8476" w:val="left" w:leader="none"/>
        </w:tabs>
        <w:spacing w:line="316" w:lineRule="auto" w:before="0"/>
        <w:ind w:left="562" w:right="2361" w:firstLine="894"/>
        <w:jc w:val="left"/>
        <w:rPr>
          <w:sz w:val="18"/>
        </w:rPr>
      </w:pPr>
      <w:r>
        <w:rPr>
          <w:color w:val="585858"/>
          <w:sz w:val="18"/>
        </w:rPr>
        <w:t>Ene</w:t>
        <w:tab/>
        <w:t>Feb</w:t>
        <w:tab/>
        <w:t>Mar</w:t>
        <w:tab/>
        <w:t>Abr</w:t>
        <w:tab/>
        <w:t>May</w:t>
        <w:tab/>
        <w:t>Jun</w:t>
        <w:tab/>
        <w:t>Jul</w:t>
        <w:tab/>
        <w:t>Ago</w:t>
        <w:tab/>
        <w:t>Sep</w:t>
        <w:tab/>
        <w:t>Oct</w:t>
        <w:tab/>
        <w:t>Nov</w:t>
        <w:tab/>
      </w:r>
      <w:r>
        <w:rPr>
          <w:color w:val="585858"/>
          <w:spacing w:val="-6"/>
          <w:sz w:val="18"/>
        </w:rPr>
        <w:t>Dic </w:t>
      </w:r>
      <w:r>
        <w:rPr>
          <w:sz w:val="18"/>
        </w:rPr>
        <w:t>Fuente: Ministerio de Finanzas</w:t>
      </w:r>
      <w:r>
        <w:rPr>
          <w:spacing w:val="-6"/>
          <w:sz w:val="18"/>
        </w:rPr>
        <w:t> </w:t>
      </w:r>
      <w:r>
        <w:rPr>
          <w:sz w:val="18"/>
        </w:rPr>
        <w:t>Públicas.</w:t>
      </w:r>
    </w:p>
    <w:p>
      <w:pPr>
        <w:pStyle w:val="BodyText"/>
        <w:spacing w:before="7"/>
        <w:rPr>
          <w:sz w:val="21"/>
        </w:rPr>
      </w:pPr>
    </w:p>
    <w:p>
      <w:pPr>
        <w:pStyle w:val="BodyText"/>
        <w:spacing w:line="276" w:lineRule="auto"/>
        <w:ind w:left="562" w:right="1694"/>
        <w:jc w:val="both"/>
      </w:pPr>
      <w:r>
        <w:rPr/>
        <w:t>Del IVA asociado al consumo interno es preciso indicar que refleja un crecimiento de 14.2% (Q 2,079.2</w:t>
      </w:r>
      <w:r>
        <w:rPr>
          <w:spacing w:val="-14"/>
        </w:rPr>
        <w:t> </w:t>
      </w:r>
      <w:r>
        <w:rPr/>
        <w:t>millones)</w:t>
      </w:r>
      <w:r>
        <w:rPr>
          <w:spacing w:val="-13"/>
        </w:rPr>
        <w:t> </w:t>
      </w:r>
      <w:r>
        <w:rPr/>
        <w:t>respecto</w:t>
      </w:r>
      <w:r>
        <w:rPr>
          <w:spacing w:val="-13"/>
        </w:rPr>
        <w:t> </w:t>
      </w:r>
      <w:r>
        <w:rPr/>
        <w:t>al</w:t>
      </w:r>
      <w:r>
        <w:rPr>
          <w:spacing w:val="-11"/>
        </w:rPr>
        <w:t> </w:t>
      </w:r>
      <w:r>
        <w:rPr/>
        <w:t>año</w:t>
      </w:r>
      <w:r>
        <w:rPr>
          <w:spacing w:val="-13"/>
        </w:rPr>
        <w:t> </w:t>
      </w:r>
      <w:r>
        <w:rPr/>
        <w:t>anterior</w:t>
      </w:r>
      <w:r>
        <w:rPr>
          <w:spacing w:val="-13"/>
        </w:rPr>
        <w:t> </w:t>
      </w:r>
      <w:r>
        <w:rPr/>
        <w:t>y</w:t>
      </w:r>
      <w:r>
        <w:rPr>
          <w:spacing w:val="-14"/>
        </w:rPr>
        <w:t> </w:t>
      </w:r>
      <w:r>
        <w:rPr/>
        <w:t>crecimiento</w:t>
      </w:r>
      <w:r>
        <w:rPr>
          <w:spacing w:val="-13"/>
        </w:rPr>
        <w:t> </w:t>
      </w:r>
      <w:r>
        <w:rPr/>
        <w:t>de</w:t>
      </w:r>
      <w:r>
        <w:rPr>
          <w:spacing w:val="-12"/>
        </w:rPr>
        <w:t> </w:t>
      </w:r>
      <w:r>
        <w:rPr/>
        <w:t>5.1%</w:t>
      </w:r>
      <w:r>
        <w:rPr>
          <w:spacing w:val="-12"/>
        </w:rPr>
        <w:t> </w:t>
      </w:r>
      <w:r>
        <w:rPr/>
        <w:t>(Q809.0</w:t>
      </w:r>
      <w:r>
        <w:rPr>
          <w:spacing w:val="-12"/>
        </w:rPr>
        <w:t> </w:t>
      </w:r>
      <w:r>
        <w:rPr/>
        <w:t>millones)</w:t>
      </w:r>
      <w:r>
        <w:rPr>
          <w:spacing w:val="-14"/>
        </w:rPr>
        <w:t> </w:t>
      </w:r>
      <w:r>
        <w:rPr/>
        <w:t>respecto</w:t>
      </w:r>
      <w:r>
        <w:rPr>
          <w:spacing w:val="-11"/>
        </w:rPr>
        <w:t> </w:t>
      </w:r>
      <w:r>
        <w:rPr/>
        <w:t>a</w:t>
      </w:r>
      <w:r>
        <w:rPr>
          <w:spacing w:val="-16"/>
        </w:rPr>
        <w:t> </w:t>
      </w:r>
      <w:r>
        <w:rPr/>
        <w:t>la</w:t>
      </w:r>
      <w:r>
        <w:rPr>
          <w:spacing w:val="-10"/>
        </w:rPr>
        <w:t> </w:t>
      </w:r>
      <w:r>
        <w:rPr/>
        <w:t>meta de presupuesto. Factores que pueden determinar este comportamiento obedecen a esfuerzos que realizó la Superintendencia Intendencia de Administración Tributaria -SAT- mediante sistemas y herramientas</w:t>
      </w:r>
      <w:r>
        <w:rPr>
          <w:spacing w:val="-15"/>
        </w:rPr>
        <w:t> </w:t>
      </w:r>
      <w:r>
        <w:rPr/>
        <w:t>de</w:t>
      </w:r>
      <w:r>
        <w:rPr>
          <w:spacing w:val="-15"/>
        </w:rPr>
        <w:t> </w:t>
      </w:r>
      <w:r>
        <w:rPr/>
        <w:t>facilitación</w:t>
      </w:r>
      <w:r>
        <w:rPr>
          <w:spacing w:val="-18"/>
        </w:rPr>
        <w:t> </w:t>
      </w:r>
      <w:r>
        <w:rPr/>
        <w:t>y</w:t>
      </w:r>
      <w:r>
        <w:rPr>
          <w:spacing w:val="-16"/>
        </w:rPr>
        <w:t> </w:t>
      </w:r>
      <w:r>
        <w:rPr/>
        <w:t>control,</w:t>
      </w:r>
      <w:r>
        <w:rPr>
          <w:spacing w:val="-16"/>
        </w:rPr>
        <w:t> </w:t>
      </w:r>
      <w:r>
        <w:rPr/>
        <w:t>y</w:t>
      </w:r>
      <w:r>
        <w:rPr>
          <w:spacing w:val="-18"/>
        </w:rPr>
        <w:t> </w:t>
      </w:r>
      <w:r>
        <w:rPr/>
        <w:t>a</w:t>
      </w:r>
      <w:r>
        <w:rPr>
          <w:spacing w:val="-15"/>
        </w:rPr>
        <w:t> </w:t>
      </w:r>
      <w:r>
        <w:rPr/>
        <w:t>un</w:t>
      </w:r>
      <w:r>
        <w:rPr>
          <w:spacing w:val="-13"/>
        </w:rPr>
        <w:t> </w:t>
      </w:r>
      <w:r>
        <w:rPr/>
        <w:t>monto</w:t>
      </w:r>
      <w:r>
        <w:rPr>
          <w:spacing w:val="-16"/>
        </w:rPr>
        <w:t> </w:t>
      </w:r>
      <w:r>
        <w:rPr/>
        <w:t>de</w:t>
      </w:r>
      <w:r>
        <w:rPr>
          <w:spacing w:val="-15"/>
        </w:rPr>
        <w:t> </w:t>
      </w:r>
      <w:r>
        <w:rPr/>
        <w:t>aproximadamente</w:t>
      </w:r>
      <w:r>
        <w:rPr>
          <w:spacing w:val="-15"/>
        </w:rPr>
        <w:t> </w:t>
      </w:r>
      <w:r>
        <w:rPr/>
        <w:t>Q837.8</w:t>
      </w:r>
      <w:r>
        <w:rPr>
          <w:spacing w:val="-16"/>
        </w:rPr>
        <w:t> </w:t>
      </w:r>
      <w:r>
        <w:rPr/>
        <w:t>millones</w:t>
      </w:r>
      <w:r>
        <w:rPr>
          <w:spacing w:val="-14"/>
        </w:rPr>
        <w:t> </w:t>
      </w:r>
      <w:r>
        <w:rPr/>
        <w:t>adicionales que se registraron en este impuesto por el no aprovisionamiento al fondo de crédito fiscal a los exportadores</w:t>
      </w:r>
      <w:r>
        <w:rPr>
          <w:spacing w:val="-10"/>
        </w:rPr>
        <w:t> </w:t>
      </w:r>
      <w:r>
        <w:rPr/>
        <w:t>por</w:t>
      </w:r>
      <w:r>
        <w:rPr>
          <w:spacing w:val="-9"/>
        </w:rPr>
        <w:t> </w:t>
      </w:r>
      <w:r>
        <w:rPr/>
        <w:t>disponer</w:t>
      </w:r>
      <w:r>
        <w:rPr>
          <w:spacing w:val="-8"/>
        </w:rPr>
        <w:t> </w:t>
      </w:r>
      <w:r>
        <w:rPr/>
        <w:t>de</w:t>
      </w:r>
      <w:r>
        <w:rPr>
          <w:spacing w:val="-9"/>
        </w:rPr>
        <w:t> </w:t>
      </w:r>
      <w:r>
        <w:rPr/>
        <w:t>los</w:t>
      </w:r>
      <w:r>
        <w:rPr>
          <w:spacing w:val="-9"/>
        </w:rPr>
        <w:t> </w:t>
      </w:r>
      <w:r>
        <w:rPr/>
        <w:t>recursos</w:t>
      </w:r>
      <w:r>
        <w:rPr>
          <w:spacing w:val="-10"/>
        </w:rPr>
        <w:t> </w:t>
      </w:r>
      <w:r>
        <w:rPr/>
        <w:t>suficientes</w:t>
      </w:r>
      <w:r>
        <w:rPr>
          <w:spacing w:val="-11"/>
        </w:rPr>
        <w:t> </w:t>
      </w:r>
      <w:r>
        <w:rPr/>
        <w:t>en</w:t>
      </w:r>
      <w:r>
        <w:rPr>
          <w:spacing w:val="-12"/>
        </w:rPr>
        <w:t> </w:t>
      </w:r>
      <w:r>
        <w:rPr/>
        <w:t>la</w:t>
      </w:r>
      <w:r>
        <w:rPr>
          <w:spacing w:val="-9"/>
        </w:rPr>
        <w:t> </w:t>
      </w:r>
      <w:r>
        <w:rPr/>
        <w:t>cuenta</w:t>
      </w:r>
      <w:r>
        <w:rPr>
          <w:spacing w:val="-9"/>
        </w:rPr>
        <w:t> </w:t>
      </w:r>
      <w:r>
        <w:rPr/>
        <w:t>específica</w:t>
      </w:r>
      <w:r>
        <w:rPr>
          <w:spacing w:val="-9"/>
        </w:rPr>
        <w:t> </w:t>
      </w:r>
      <w:r>
        <w:rPr/>
        <w:t>para</w:t>
      </w:r>
      <w:r>
        <w:rPr>
          <w:spacing w:val="-9"/>
        </w:rPr>
        <w:t> </w:t>
      </w:r>
      <w:r>
        <w:rPr/>
        <w:t>poder</w:t>
      </w:r>
      <w:r>
        <w:rPr>
          <w:spacing w:val="-9"/>
        </w:rPr>
        <w:t> </w:t>
      </w:r>
      <w:r>
        <w:rPr/>
        <w:t>atender</w:t>
      </w:r>
      <w:r>
        <w:rPr>
          <w:spacing w:val="-8"/>
        </w:rPr>
        <w:t> </w:t>
      </w:r>
      <w:r>
        <w:rPr/>
        <w:t>dicho requerimiento por parte de los</w:t>
      </w:r>
      <w:r>
        <w:rPr>
          <w:spacing w:val="-3"/>
        </w:rPr>
        <w:t> </w:t>
      </w:r>
      <w:r>
        <w:rPr/>
        <w:t>exportadores.</w:t>
      </w:r>
    </w:p>
    <w:p>
      <w:pPr>
        <w:pStyle w:val="BodyText"/>
        <w:spacing w:before="10"/>
        <w:rPr>
          <w:sz w:val="25"/>
        </w:rPr>
      </w:pPr>
    </w:p>
    <w:p>
      <w:pPr>
        <w:spacing w:before="0"/>
        <w:ind w:left="2390" w:right="0" w:firstLine="0"/>
        <w:jc w:val="left"/>
        <w:rPr>
          <w:b/>
          <w:sz w:val="20"/>
        </w:rPr>
      </w:pPr>
      <w:r>
        <w:rPr/>
        <w:pict>
          <v:group style="position:absolute;margin-left:93.384003pt;margin-top:13.175931pt;width:423pt;height:285.650pt;mso-position-horizontal-relative:page;mso-position-vertical-relative:paragraph;z-index:-250793984;mso-wrap-distance-left:0;mso-wrap-distance-right:0" coordorigin="1868,264" coordsize="8460,5713">
            <v:rect style="position:absolute;left:1877;top:273;width:8440;height:311" filled="true" fillcolor="#deeaf6" stroked="false">
              <v:fill type="solid"/>
            </v:rect>
            <v:rect style="position:absolute;left:1877;top:583;width:8440;height:4940" filled="true" fillcolor="#deeaf6" stroked="false">
              <v:fill type="solid"/>
            </v:rect>
            <v:rect style="position:absolute;left:1877;top:5522;width:8440;height:214" filled="true" fillcolor="#deeaf6" stroked="false">
              <v:fill type="solid"/>
            </v:rect>
            <v:rect style="position:absolute;left:1877;top:5736;width:8440;height:231" filled="true" fillcolor="#deeaf6" stroked="false">
              <v:fill type="solid"/>
            </v:rect>
            <v:shape style="position:absolute;left:1984;top:581;width:8189;height:4741" type="#_x0000_t75" stroked="false">
              <v:imagedata r:id="rId105" o:title=""/>
            </v:shape>
            <v:shape style="position:absolute;left:1872;top:268;width:8450;height:5704" type="#_x0000_t202" filled="false" stroked="true" strokeweight=".48pt" strokecolor="#000000">
              <v:textbox inset="0,0,0,0">
                <w:txbxContent>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3"/>
                      <w:rPr>
                        <w:b/>
                        <w:sz w:val="24"/>
                      </w:rPr>
                    </w:pPr>
                  </w:p>
                  <w:p>
                    <w:pPr>
                      <w:spacing w:before="0"/>
                      <w:ind w:left="107" w:right="0" w:firstLine="0"/>
                      <w:jc w:val="left"/>
                      <w:rPr>
                        <w:sz w:val="16"/>
                      </w:rPr>
                    </w:pPr>
                    <w:r>
                      <w:rPr>
                        <w:sz w:val="16"/>
                      </w:rPr>
                      <w:t>Fuente: Superintendencia de Administración Tributaria.</w:t>
                    </w:r>
                  </w:p>
                </w:txbxContent>
              </v:textbox>
              <v:stroke dashstyle="solid"/>
              <w10:wrap type="none"/>
            </v:shape>
            <w10:wrap type="topAndBottom"/>
          </v:group>
        </w:pict>
      </w:r>
      <w:bookmarkStart w:name="_bookmark129" w:id="160"/>
      <w:bookmarkEnd w:id="160"/>
      <w:r>
        <w:rPr/>
      </w:r>
      <w:r>
        <w:rPr>
          <w:b/>
          <w:i/>
          <w:sz w:val="20"/>
        </w:rPr>
        <w:t>Gráfico 67. </w:t>
      </w:r>
      <w:r>
        <w:rPr>
          <w:b/>
          <w:sz w:val="20"/>
        </w:rPr>
        <w:t>Sistemas y herramientas de facilitación y control</w:t>
      </w:r>
    </w:p>
    <w:p>
      <w:pPr>
        <w:spacing w:after="0"/>
        <w:jc w:val="left"/>
        <w:rPr>
          <w:sz w:val="20"/>
        </w:rPr>
        <w:sectPr>
          <w:type w:val="continuous"/>
          <w:pgSz w:w="12240" w:h="15840"/>
          <w:pgMar w:top="1500" w:bottom="280" w:left="1140" w:right="0"/>
        </w:sectPr>
      </w:pPr>
    </w:p>
    <w:p>
      <w:pPr>
        <w:pStyle w:val="BodyText"/>
        <w:spacing w:line="276" w:lineRule="auto" w:before="162"/>
        <w:ind w:left="562" w:right="1697"/>
        <w:jc w:val="both"/>
      </w:pPr>
      <w:r>
        <w:rPr/>
        <w:t>La</w:t>
      </w:r>
      <w:r>
        <w:rPr>
          <w:spacing w:val="-10"/>
        </w:rPr>
        <w:t> </w:t>
      </w:r>
      <w:r>
        <w:rPr/>
        <w:t>recaudación</w:t>
      </w:r>
      <w:r>
        <w:rPr>
          <w:spacing w:val="-12"/>
        </w:rPr>
        <w:t> </w:t>
      </w:r>
      <w:r>
        <w:rPr/>
        <w:t>del</w:t>
      </w:r>
      <w:r>
        <w:rPr>
          <w:spacing w:val="-9"/>
        </w:rPr>
        <w:t> </w:t>
      </w:r>
      <w:r>
        <w:rPr/>
        <w:t>Impuesto</w:t>
      </w:r>
      <w:r>
        <w:rPr>
          <w:spacing w:val="-10"/>
        </w:rPr>
        <w:t> </w:t>
      </w:r>
      <w:r>
        <w:rPr/>
        <w:t>al</w:t>
      </w:r>
      <w:r>
        <w:rPr>
          <w:spacing w:val="-11"/>
        </w:rPr>
        <w:t> </w:t>
      </w:r>
      <w:r>
        <w:rPr/>
        <w:t>Valor</w:t>
      </w:r>
      <w:r>
        <w:rPr>
          <w:spacing w:val="-11"/>
        </w:rPr>
        <w:t> </w:t>
      </w:r>
      <w:r>
        <w:rPr/>
        <w:t>Agregado</w:t>
      </w:r>
      <w:r>
        <w:rPr>
          <w:spacing w:val="-9"/>
        </w:rPr>
        <w:t> </w:t>
      </w:r>
      <w:r>
        <w:rPr/>
        <w:t>asociado</w:t>
      </w:r>
      <w:r>
        <w:rPr>
          <w:spacing w:val="-10"/>
        </w:rPr>
        <w:t> </w:t>
      </w:r>
      <w:r>
        <w:rPr/>
        <w:t>al</w:t>
      </w:r>
      <w:r>
        <w:rPr>
          <w:spacing w:val="-11"/>
        </w:rPr>
        <w:t> </w:t>
      </w:r>
      <w:r>
        <w:rPr/>
        <w:t>comercio</w:t>
      </w:r>
      <w:r>
        <w:rPr>
          <w:spacing w:val="-12"/>
        </w:rPr>
        <w:t> </w:t>
      </w:r>
      <w:r>
        <w:rPr/>
        <w:t>exterior</w:t>
      </w:r>
      <w:r>
        <w:rPr>
          <w:spacing w:val="-11"/>
        </w:rPr>
        <w:t> </w:t>
      </w:r>
      <w:r>
        <w:rPr/>
        <w:t>se</w:t>
      </w:r>
      <w:r>
        <w:rPr>
          <w:spacing w:val="-10"/>
        </w:rPr>
        <w:t> </w:t>
      </w:r>
      <w:r>
        <w:rPr/>
        <w:t>vio</w:t>
      </w:r>
      <w:r>
        <w:rPr>
          <w:spacing w:val="-12"/>
        </w:rPr>
        <w:t> </w:t>
      </w:r>
      <w:r>
        <w:rPr/>
        <w:t>influenciada</w:t>
      </w:r>
      <w:r>
        <w:rPr>
          <w:spacing w:val="-11"/>
        </w:rPr>
        <w:t> </w:t>
      </w:r>
      <w:r>
        <w:rPr/>
        <w:t>por el</w:t>
      </w:r>
      <w:r>
        <w:rPr>
          <w:spacing w:val="-8"/>
        </w:rPr>
        <w:t> </w:t>
      </w:r>
      <w:r>
        <w:rPr/>
        <w:t>comportamiento</w:t>
      </w:r>
      <w:r>
        <w:rPr>
          <w:spacing w:val="-12"/>
        </w:rPr>
        <w:t> </w:t>
      </w:r>
      <w:r>
        <w:rPr/>
        <w:t>de</w:t>
      </w:r>
      <w:r>
        <w:rPr>
          <w:spacing w:val="-12"/>
        </w:rPr>
        <w:t> </w:t>
      </w:r>
      <w:r>
        <w:rPr/>
        <w:t>las</w:t>
      </w:r>
      <w:r>
        <w:rPr>
          <w:spacing w:val="-11"/>
        </w:rPr>
        <w:t> </w:t>
      </w:r>
      <w:r>
        <w:rPr/>
        <w:t>importaciones</w:t>
      </w:r>
      <w:r>
        <w:rPr>
          <w:spacing w:val="-11"/>
        </w:rPr>
        <w:t> </w:t>
      </w:r>
      <w:r>
        <w:rPr/>
        <w:t>de</w:t>
      </w:r>
      <w:r>
        <w:rPr>
          <w:spacing w:val="-9"/>
        </w:rPr>
        <w:t> </w:t>
      </w:r>
      <w:r>
        <w:rPr/>
        <w:t>bienes</w:t>
      </w:r>
      <w:r>
        <w:rPr>
          <w:spacing w:val="-9"/>
        </w:rPr>
        <w:t> </w:t>
      </w:r>
      <w:r>
        <w:rPr/>
        <w:t>de</w:t>
      </w:r>
      <w:r>
        <w:rPr>
          <w:spacing w:val="-9"/>
        </w:rPr>
        <w:t> </w:t>
      </w:r>
      <w:r>
        <w:rPr/>
        <w:t>consumo</w:t>
      </w:r>
      <w:r>
        <w:rPr>
          <w:spacing w:val="-10"/>
        </w:rPr>
        <w:t> </w:t>
      </w:r>
      <w:r>
        <w:rPr/>
        <w:t>acumuladas</w:t>
      </w:r>
      <w:r>
        <w:rPr>
          <w:spacing w:val="-10"/>
        </w:rPr>
        <w:t> </w:t>
      </w:r>
      <w:r>
        <w:rPr/>
        <w:t>a</w:t>
      </w:r>
      <w:r>
        <w:rPr>
          <w:spacing w:val="-9"/>
        </w:rPr>
        <w:t> </w:t>
      </w:r>
      <w:r>
        <w:rPr/>
        <w:t>diciembre</w:t>
      </w:r>
      <w:r>
        <w:rPr>
          <w:spacing w:val="-9"/>
        </w:rPr>
        <w:t> </w:t>
      </w:r>
      <w:r>
        <w:rPr/>
        <w:t>que</w:t>
      </w:r>
      <w:r>
        <w:rPr>
          <w:spacing w:val="-9"/>
        </w:rPr>
        <w:t> </w:t>
      </w:r>
      <w:r>
        <w:rPr/>
        <w:t>crecieron en 36.6% respecto a lo observado en 2020, a lo interno de los bienes de consumo se observa que los bienes no duraderos en los que se encuentran productos alimenticios, bebidas, tabacos, productos farmacéuticos</w:t>
      </w:r>
      <w:r>
        <w:rPr>
          <w:spacing w:val="-6"/>
        </w:rPr>
        <w:t> </w:t>
      </w:r>
      <w:r>
        <w:rPr/>
        <w:t>y</w:t>
      </w:r>
      <w:r>
        <w:rPr>
          <w:spacing w:val="-8"/>
        </w:rPr>
        <w:t> </w:t>
      </w:r>
      <w:r>
        <w:rPr/>
        <w:t>vestuario</w:t>
      </w:r>
      <w:r>
        <w:rPr>
          <w:spacing w:val="-9"/>
        </w:rPr>
        <w:t> </w:t>
      </w:r>
      <w:r>
        <w:rPr/>
        <w:t>entre</w:t>
      </w:r>
      <w:r>
        <w:rPr>
          <w:spacing w:val="-8"/>
        </w:rPr>
        <w:t> </w:t>
      </w:r>
      <w:r>
        <w:rPr/>
        <w:t>otros</w:t>
      </w:r>
      <w:r>
        <w:rPr>
          <w:spacing w:val="-8"/>
        </w:rPr>
        <w:t> </w:t>
      </w:r>
      <w:r>
        <w:rPr/>
        <w:t>tienen</w:t>
      </w:r>
      <w:r>
        <w:rPr>
          <w:spacing w:val="-8"/>
        </w:rPr>
        <w:t> </w:t>
      </w:r>
      <w:r>
        <w:rPr/>
        <w:t>crecimiento</w:t>
      </w:r>
      <w:r>
        <w:rPr>
          <w:spacing w:val="-6"/>
        </w:rPr>
        <w:t> </w:t>
      </w:r>
      <w:r>
        <w:rPr/>
        <w:t>de</w:t>
      </w:r>
      <w:r>
        <w:rPr>
          <w:spacing w:val="-8"/>
        </w:rPr>
        <w:t> </w:t>
      </w:r>
      <w:r>
        <w:rPr/>
        <w:t>24.5%,</w:t>
      </w:r>
      <w:r>
        <w:rPr>
          <w:spacing w:val="-6"/>
        </w:rPr>
        <w:t> </w:t>
      </w:r>
      <w:r>
        <w:rPr/>
        <w:t>y</w:t>
      </w:r>
      <w:r>
        <w:rPr>
          <w:spacing w:val="-11"/>
        </w:rPr>
        <w:t> </w:t>
      </w:r>
      <w:r>
        <w:rPr/>
        <w:t>los</w:t>
      </w:r>
      <w:r>
        <w:rPr>
          <w:spacing w:val="-8"/>
        </w:rPr>
        <w:t> </w:t>
      </w:r>
      <w:r>
        <w:rPr/>
        <w:t>bienes</w:t>
      </w:r>
      <w:r>
        <w:rPr>
          <w:spacing w:val="-8"/>
        </w:rPr>
        <w:t> </w:t>
      </w:r>
      <w:r>
        <w:rPr/>
        <w:t>de</w:t>
      </w:r>
      <w:r>
        <w:rPr>
          <w:spacing w:val="-11"/>
        </w:rPr>
        <w:t> </w:t>
      </w:r>
      <w:r>
        <w:rPr/>
        <w:t>consumo</w:t>
      </w:r>
      <w:r>
        <w:rPr>
          <w:spacing w:val="-6"/>
        </w:rPr>
        <w:t> </w:t>
      </w:r>
      <w:r>
        <w:rPr/>
        <w:t>duradero y semiduraderos, generaron incrementos interanuales de 59.2% y 52.4%, mientras las importaciones de materiales de construcción crecieron en</w:t>
      </w:r>
      <w:r>
        <w:rPr>
          <w:spacing w:val="-6"/>
        </w:rPr>
        <w:t> </w:t>
      </w:r>
      <w:r>
        <w:rPr/>
        <w:t>51.7%.</w:t>
      </w:r>
    </w:p>
    <w:p>
      <w:pPr>
        <w:pStyle w:val="BodyText"/>
        <w:spacing w:before="4"/>
        <w:rPr>
          <w:sz w:val="25"/>
        </w:rPr>
      </w:pPr>
    </w:p>
    <w:p>
      <w:pPr>
        <w:pStyle w:val="BodyText"/>
        <w:spacing w:line="276" w:lineRule="auto"/>
        <w:ind w:left="562" w:right="1694"/>
        <w:jc w:val="both"/>
      </w:pPr>
      <w:r>
        <w:rPr/>
        <w:t>En términos de productividad del Impuesto al Valor Agregado neto observado sin descontar los ingresos provenientes por el no aprovisionamiento de crédito fiscal a los exportadores muestra desaceleración a partir de 2013 hasta 2016. Luego de acciones tales como recuperación de adeudos tributarios, exoneraciones, el esfuerzo de la SAT para aumentar la percepción de riesgo de los contribuyentes y la implementación de otros mecanismos como la puesta en marcha del nuevo régimen de la factura electrónica en línea permitieron el cambio en la tendencia de la productividad. En 2020 se observa nuevamente desaceleración producto de la pandemia, y en 2021 luego de la apertura gradual de la economía se observa la recuperación en este impuesto tal como se muestra en los</w:t>
      </w:r>
      <w:r>
        <w:rPr>
          <w:spacing w:val="-4"/>
        </w:rPr>
        <w:t> </w:t>
      </w:r>
      <w:r>
        <w:rPr/>
        <w:t>gráficos</w:t>
      </w:r>
      <w:r>
        <w:rPr>
          <w:spacing w:val="-5"/>
        </w:rPr>
        <w:t> </w:t>
      </w:r>
      <w:r>
        <w:rPr/>
        <w:t>siguientes,</w:t>
      </w:r>
      <w:r>
        <w:rPr>
          <w:spacing w:val="-4"/>
        </w:rPr>
        <w:t> </w:t>
      </w:r>
      <w:r>
        <w:rPr/>
        <w:t>teniendo</w:t>
      </w:r>
      <w:r>
        <w:rPr>
          <w:spacing w:val="-3"/>
        </w:rPr>
        <w:t> </w:t>
      </w:r>
      <w:r>
        <w:rPr/>
        <w:t>en</w:t>
      </w:r>
      <w:r>
        <w:rPr>
          <w:spacing w:val="-4"/>
        </w:rPr>
        <w:t> </w:t>
      </w:r>
      <w:r>
        <w:rPr/>
        <w:t>cuenta</w:t>
      </w:r>
      <w:r>
        <w:rPr>
          <w:spacing w:val="-3"/>
        </w:rPr>
        <w:t> </w:t>
      </w:r>
      <w:r>
        <w:rPr/>
        <w:t>que</w:t>
      </w:r>
      <w:r>
        <w:rPr>
          <w:spacing w:val="-4"/>
        </w:rPr>
        <w:t> </w:t>
      </w:r>
      <w:r>
        <w:rPr/>
        <w:t>en</w:t>
      </w:r>
      <w:r>
        <w:rPr>
          <w:spacing w:val="-6"/>
        </w:rPr>
        <w:t> </w:t>
      </w:r>
      <w:r>
        <w:rPr/>
        <w:t>la</w:t>
      </w:r>
      <w:r>
        <w:rPr>
          <w:spacing w:val="-3"/>
        </w:rPr>
        <w:t> </w:t>
      </w:r>
      <w:r>
        <w:rPr/>
        <w:t>apertura</w:t>
      </w:r>
      <w:r>
        <w:rPr>
          <w:spacing w:val="-6"/>
        </w:rPr>
        <w:t> </w:t>
      </w:r>
      <w:r>
        <w:rPr/>
        <w:t>de</w:t>
      </w:r>
      <w:r>
        <w:rPr>
          <w:spacing w:val="-6"/>
        </w:rPr>
        <w:t> </w:t>
      </w:r>
      <w:r>
        <w:rPr/>
        <w:t>sus</w:t>
      </w:r>
      <w:r>
        <w:rPr>
          <w:spacing w:val="-5"/>
        </w:rPr>
        <w:t> </w:t>
      </w:r>
      <w:r>
        <w:rPr/>
        <w:t>dos</w:t>
      </w:r>
      <w:r>
        <w:rPr>
          <w:spacing w:val="-5"/>
        </w:rPr>
        <w:t> </w:t>
      </w:r>
      <w:r>
        <w:rPr/>
        <w:t>componentes</w:t>
      </w:r>
      <w:r>
        <w:rPr>
          <w:spacing w:val="-5"/>
        </w:rPr>
        <w:t> </w:t>
      </w:r>
      <w:r>
        <w:rPr/>
        <w:t>“IVA</w:t>
      </w:r>
      <w:r>
        <w:rPr>
          <w:spacing w:val="-6"/>
        </w:rPr>
        <w:t> </w:t>
      </w:r>
      <w:r>
        <w:rPr/>
        <w:t>asociado al consumo interno e IVA asociado al comercio exterior” se observa que el que tiene más dinámica es el asociado al comercio exterior esto producto del alza en los precios internacionales del petróleo que de conformidad a datos de SAT, permitió un alza en la recaudación tributaria por Q1,403.1 millones.</w:t>
      </w:r>
    </w:p>
    <w:p>
      <w:pPr>
        <w:pStyle w:val="BodyText"/>
        <w:spacing w:before="11"/>
        <w:rPr>
          <w:sz w:val="25"/>
        </w:rPr>
      </w:pPr>
    </w:p>
    <w:p>
      <w:pPr>
        <w:spacing w:before="0"/>
        <w:ind w:left="3490" w:right="0" w:firstLine="0"/>
        <w:jc w:val="left"/>
        <w:rPr>
          <w:b/>
          <w:sz w:val="20"/>
        </w:rPr>
      </w:pPr>
      <w:bookmarkStart w:name="_bookmark130" w:id="161"/>
      <w:bookmarkEnd w:id="161"/>
      <w:r>
        <w:rPr/>
      </w:r>
      <w:r>
        <w:rPr>
          <w:b/>
          <w:i/>
          <w:sz w:val="20"/>
        </w:rPr>
        <w:t>Gráfico 68. </w:t>
      </w:r>
      <w:r>
        <w:rPr>
          <w:b/>
          <w:sz w:val="20"/>
        </w:rPr>
        <w:t>Productividad del IVA</w:t>
      </w:r>
    </w:p>
    <w:p>
      <w:pPr>
        <w:spacing w:after="0"/>
        <w:jc w:val="left"/>
        <w:rPr>
          <w:sz w:val="20"/>
        </w:rPr>
        <w:sectPr>
          <w:pgSz w:w="12240" w:h="15840"/>
          <w:pgMar w:header="715" w:footer="957" w:top="1240" w:bottom="1140" w:left="1140" w:right="0"/>
        </w:sect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spacing w:before="10"/>
        <w:rPr>
          <w:b/>
          <w:sz w:val="20"/>
        </w:rPr>
      </w:pPr>
    </w:p>
    <w:p>
      <w:pPr>
        <w:spacing w:before="0"/>
        <w:ind w:left="0" w:right="0" w:firstLine="0"/>
        <w:jc w:val="right"/>
        <w:rPr>
          <w:sz w:val="14"/>
        </w:rPr>
      </w:pPr>
      <w:r>
        <w:rPr>
          <w:w w:val="95"/>
          <w:sz w:val="14"/>
        </w:rPr>
        <w:t>47%</w:t>
      </w:r>
    </w:p>
    <w:p>
      <w:pPr>
        <w:pStyle w:val="BodyText"/>
        <w:rPr>
          <w:sz w:val="14"/>
        </w:rPr>
      </w:pPr>
    </w:p>
    <w:p>
      <w:pPr>
        <w:spacing w:before="94"/>
        <w:ind w:left="0" w:right="0" w:firstLine="0"/>
        <w:jc w:val="right"/>
        <w:rPr>
          <w:sz w:val="14"/>
        </w:rPr>
      </w:pPr>
      <w:r>
        <w:rPr>
          <w:w w:val="95"/>
          <w:sz w:val="14"/>
        </w:rPr>
        <w:t>45%</w:t>
      </w:r>
    </w:p>
    <w:p>
      <w:pPr>
        <w:pStyle w:val="BodyText"/>
        <w:rPr>
          <w:sz w:val="14"/>
        </w:rPr>
      </w:pPr>
    </w:p>
    <w:p>
      <w:pPr>
        <w:spacing w:before="92"/>
        <w:ind w:left="0" w:right="0" w:firstLine="0"/>
        <w:jc w:val="right"/>
        <w:rPr>
          <w:sz w:val="14"/>
        </w:rPr>
      </w:pPr>
      <w:r>
        <w:rPr>
          <w:w w:val="95"/>
          <w:sz w:val="14"/>
        </w:rPr>
        <w:t>43%</w:t>
      </w:r>
    </w:p>
    <w:p>
      <w:pPr>
        <w:pStyle w:val="BodyText"/>
        <w:rPr>
          <w:sz w:val="14"/>
        </w:rPr>
      </w:pPr>
    </w:p>
    <w:p>
      <w:pPr>
        <w:spacing w:before="93"/>
        <w:ind w:left="0" w:right="0" w:firstLine="0"/>
        <w:jc w:val="right"/>
        <w:rPr>
          <w:sz w:val="14"/>
        </w:rPr>
      </w:pPr>
      <w:r>
        <w:rPr>
          <w:w w:val="95"/>
          <w:sz w:val="14"/>
        </w:rPr>
        <w:t>41%</w:t>
      </w:r>
    </w:p>
    <w:p>
      <w:pPr>
        <w:pStyle w:val="BodyText"/>
        <w:rPr>
          <w:sz w:val="14"/>
        </w:rPr>
      </w:pPr>
    </w:p>
    <w:p>
      <w:pPr>
        <w:spacing w:before="93"/>
        <w:ind w:left="0" w:right="0" w:firstLine="0"/>
        <w:jc w:val="right"/>
        <w:rPr>
          <w:sz w:val="14"/>
        </w:rPr>
      </w:pPr>
      <w:r>
        <w:rPr>
          <w:w w:val="95"/>
          <w:sz w:val="14"/>
        </w:rPr>
        <w:t>39%</w:t>
      </w:r>
    </w:p>
    <w:p>
      <w:pPr>
        <w:pStyle w:val="BodyText"/>
        <w:rPr>
          <w:sz w:val="14"/>
        </w:rPr>
      </w:pPr>
    </w:p>
    <w:p>
      <w:pPr>
        <w:spacing w:before="93"/>
        <w:ind w:left="0" w:right="0" w:firstLine="0"/>
        <w:jc w:val="right"/>
        <w:rPr>
          <w:sz w:val="14"/>
        </w:rPr>
      </w:pPr>
      <w:r>
        <w:rPr>
          <w:w w:val="95"/>
          <w:sz w:val="14"/>
        </w:rPr>
        <w:t>37%</w:t>
      </w:r>
    </w:p>
    <w:p>
      <w:pPr>
        <w:pStyle w:val="BodyText"/>
        <w:rPr>
          <w:sz w:val="14"/>
        </w:rPr>
      </w:pPr>
    </w:p>
    <w:p>
      <w:pPr>
        <w:spacing w:before="93"/>
        <w:ind w:left="0" w:right="0" w:firstLine="0"/>
        <w:jc w:val="right"/>
        <w:rPr>
          <w:sz w:val="14"/>
        </w:rPr>
      </w:pPr>
      <w:r>
        <w:rPr>
          <w:w w:val="95"/>
          <w:sz w:val="14"/>
        </w:rPr>
        <w:t>35%</w:t>
      </w:r>
    </w:p>
    <w:p>
      <w:pPr>
        <w:spacing w:line="273" w:lineRule="auto" w:before="32"/>
        <w:ind w:left="1314" w:right="21" w:hanging="797"/>
        <w:jc w:val="left"/>
        <w:rPr>
          <w:sz w:val="20"/>
        </w:rPr>
      </w:pPr>
      <w:r>
        <w:rPr/>
        <w:br w:type="column"/>
      </w:r>
      <w:r>
        <w:rPr>
          <w:b/>
          <w:sz w:val="22"/>
        </w:rPr>
        <w:t>Productividad de cada año IVA total </w:t>
      </w:r>
      <w:r>
        <w:rPr>
          <w:sz w:val="20"/>
        </w:rPr>
        <w:t>Porcentajes</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spacing w:before="10"/>
        <w:rPr>
          <w:sz w:val="20"/>
        </w:rPr>
      </w:pPr>
    </w:p>
    <w:p>
      <w:pPr>
        <w:spacing w:before="0"/>
        <w:ind w:left="0" w:right="0" w:firstLine="0"/>
        <w:jc w:val="right"/>
        <w:rPr>
          <w:sz w:val="14"/>
        </w:rPr>
      </w:pPr>
      <w:r>
        <w:rPr/>
        <w:pict>
          <v:group style="position:absolute;margin-left:111.480003pt;margin-top:1.820597pt;width:198pt;height:128.75pt;mso-position-horizontal-relative:page;mso-position-vertical-relative:paragraph;z-index:252555264" coordorigin="2230,36" coordsize="3960,2575">
            <v:line style="position:absolute" from="2270,2575" to="2270,87" stroked="true" strokeweight=".48pt" strokecolor="#888888">
              <v:stroke dashstyle="solid"/>
            </v:line>
            <v:shape style="position:absolute;left:0;top:4416;width:41;height:2489" coordorigin="0,4416" coordsize="41,2489" path="m2230,2575l2270,2575m2230,2160l2270,2160m2230,1745l2270,1745m2230,1330l2270,1330m2230,915l2270,915m2230,502l2270,502m2230,87l2270,87e" filled="false" stroked="true" strokeweight=".48pt" strokecolor="#888888">
              <v:path arrowok="t"/>
              <v:stroke dashstyle="solid"/>
            </v:shape>
            <v:shape style="position:absolute;left:0;top:6904;width:3884;height:36" coordorigin="0,6905" coordsize="3884,36" path="m2270,2575l6154,2575m2270,2575l2270,2611m2659,2575l2659,2611m3048,2575l3048,2611m3434,2575l3434,2611m3823,2575l3823,2611m4212,2575l4212,2611m4601,2575l4601,2611m4990,2575l4990,2611m5378,2575l5378,2611m5765,2575l5765,2611m6154,2575l6154,2611e" filled="false" stroked="true" strokeweight=".48pt" strokecolor="#888888">
              <v:path arrowok="t"/>
              <v:stroke dashstyle="solid"/>
            </v:shape>
            <v:shape style="position:absolute;left:2463;top:222;width:3497;height:1340" coordorigin="2464,222" coordsize="3497,1340" path="m2464,588l2541,622,2619,656,2697,690,2774,723,2852,755,2930,778,3008,793,3085,810,3163,839,3241,888,3289,936,3338,996,3386,1065,3435,1138,3483,1211,3532,1279,3581,1339,3629,1385,3707,1438,3785,1475,3862,1498,3940,1505,4018,1497,4083,1473,4147,1431,4212,1379,4277,1324,4341,1273,4406,1233,4484,1199,4562,1172,4639,1150,4717,1132,4795,1116,4873,1095,4950,1070,5028,1052,5106,1050,5183,1076,5254,1153,5289,1214,5325,1282,5360,1352,5395,1420,5431,1480,5466,1527,5501,1556,5537,1562,5572,1539,5618,1466,5663,1352,5686,1282,5709,1206,5732,1124,5755,1037,5778,946,5800,853,5823,759,5846,664,5869,570,5892,477,5915,388,5938,302,5960,222e" filled="false" stroked="true" strokeweight="1.56pt" strokecolor="#5b9bd4">
              <v:path arrowok="t"/>
              <v:stroke dashstyle="solid"/>
            </v:shape>
            <v:shape style="position:absolute;left:2389;top:512;width:149;height:149" type="#_x0000_t75" stroked="false">
              <v:imagedata r:id="rId106" o:title=""/>
            </v:shape>
            <v:shape style="position:absolute;left:2778;top:678;width:149;height:149" type="#_x0000_t75" stroked="false">
              <v:imagedata r:id="rId107" o:title=""/>
            </v:shape>
            <v:shape style="position:absolute;left:3167;top:812;width:149;height:149" type="#_x0000_t75" stroked="false">
              <v:imagedata r:id="rId107" o:title=""/>
            </v:shape>
            <v:shape style="position:absolute;left:3553;top:1309;width:149;height:149" type="#_x0000_t75" stroked="false">
              <v:imagedata r:id="rId107" o:title=""/>
            </v:shape>
            <v:shape style="position:absolute;left:3942;top:1422;width:149;height:149" type="#_x0000_t75" stroked="false">
              <v:imagedata r:id="rId107" o:title=""/>
            </v:shape>
            <v:shape style="position:absolute;left:4331;top:1158;width:149;height:149" type="#_x0000_t75" stroked="false">
              <v:imagedata r:id="rId106" o:title=""/>
            </v:shape>
            <v:shape style="position:absolute;left:4720;top:1040;width:149;height:149" type="#_x0000_t75" stroked="false">
              <v:imagedata r:id="rId107" o:title=""/>
            </v:shape>
            <v:shape style="position:absolute;left:5109;top:999;width:149;height:149" type="#_x0000_t75" stroked="false">
              <v:imagedata r:id="rId108" o:title=""/>
            </v:shape>
            <v:shape style="position:absolute;left:5495;top:1462;width:149;height:149" type="#_x0000_t75" stroked="false">
              <v:imagedata r:id="rId107" o:title=""/>
            </v:shape>
            <v:shape style="position:absolute;left:5884;top:147;width:149;height:149" type="#_x0000_t75" stroked="false">
              <v:imagedata r:id="rId109" o:title=""/>
            </v:shape>
            <v:shape style="position:absolute;left:5404;top:36;width:466;height:179" type="#_x0000_t202" filled="false" stroked="false">
              <v:textbox inset="0,0,0,0">
                <w:txbxContent>
                  <w:p>
                    <w:pPr>
                      <w:spacing w:line="178" w:lineRule="exact" w:before="0"/>
                      <w:ind w:left="0" w:right="0" w:firstLine="0"/>
                      <w:jc w:val="left"/>
                      <w:rPr>
                        <w:b/>
                        <w:sz w:val="16"/>
                      </w:rPr>
                    </w:pPr>
                    <w:r>
                      <w:rPr>
                        <w:b/>
                        <w:color w:val="006FC0"/>
                        <w:sz w:val="16"/>
                      </w:rPr>
                      <w:t>46.3%</w:t>
                    </w:r>
                  </w:p>
                </w:txbxContent>
              </v:textbox>
              <w10:wrap type="none"/>
            </v:shape>
            <v:shape style="position:absolute;left:2543;top:227;width:855;height:519" type="#_x0000_t202" filled="false" stroked="false">
              <v:textbox inset="0,0,0,0">
                <w:txbxContent>
                  <w:p>
                    <w:pPr>
                      <w:spacing w:line="178" w:lineRule="exact" w:before="0"/>
                      <w:ind w:left="0" w:right="0" w:firstLine="0"/>
                      <w:jc w:val="left"/>
                      <w:rPr>
                        <w:b/>
                        <w:sz w:val="16"/>
                      </w:rPr>
                    </w:pPr>
                    <w:r>
                      <w:rPr>
                        <w:b/>
                        <w:color w:val="006FC0"/>
                        <w:sz w:val="16"/>
                      </w:rPr>
                      <w:t>44.6%</w:t>
                    </w:r>
                  </w:p>
                  <w:p>
                    <w:pPr>
                      <w:spacing w:before="156"/>
                      <w:ind w:left="388" w:right="0" w:firstLine="0"/>
                      <w:jc w:val="left"/>
                      <w:rPr>
                        <w:b/>
                        <w:sz w:val="16"/>
                      </w:rPr>
                    </w:pPr>
                    <w:r>
                      <w:rPr>
                        <w:b/>
                        <w:color w:val="006FC0"/>
                        <w:sz w:val="16"/>
                      </w:rPr>
                      <w:t>43.8%</w:t>
                    </w:r>
                  </w:p>
                </w:txbxContent>
              </v:textbox>
              <w10:wrap type="none"/>
            </v:shape>
            <v:shape style="position:absolute;left:3420;top:763;width:466;height:179" type="#_x0000_t202" filled="false" stroked="false">
              <v:textbox inset="0,0,0,0">
                <w:txbxContent>
                  <w:p>
                    <w:pPr>
                      <w:spacing w:line="178" w:lineRule="exact" w:before="0"/>
                      <w:ind w:left="0" w:right="0" w:firstLine="0"/>
                      <w:jc w:val="left"/>
                      <w:rPr>
                        <w:b/>
                        <w:sz w:val="16"/>
                      </w:rPr>
                    </w:pPr>
                    <w:r>
                      <w:rPr>
                        <w:b/>
                        <w:color w:val="006FC0"/>
                        <w:sz w:val="16"/>
                      </w:rPr>
                      <w:t>43.1%</w:t>
                    </w:r>
                  </w:p>
                </w:txbxContent>
              </v:textbox>
              <w10:wrap type="none"/>
            </v:shape>
            <v:shape style="position:absolute;left:4373;top:706;width:466;height:179" type="#_x0000_t202" filled="false" stroked="false">
              <v:textbox inset="0,0,0,0">
                <w:txbxContent>
                  <w:p>
                    <w:pPr>
                      <w:spacing w:line="178" w:lineRule="exact" w:before="0"/>
                      <w:ind w:left="0" w:right="0" w:firstLine="0"/>
                      <w:jc w:val="left"/>
                      <w:rPr>
                        <w:b/>
                        <w:sz w:val="16"/>
                      </w:rPr>
                    </w:pPr>
                    <w:r>
                      <w:rPr>
                        <w:b/>
                        <w:color w:val="006FC0"/>
                        <w:sz w:val="16"/>
                      </w:rPr>
                      <w:t>42.0%</w:t>
                    </w:r>
                  </w:p>
                </w:txbxContent>
              </v:textbox>
              <w10:wrap type="none"/>
            </v:shape>
            <v:shape style="position:absolute;left:5142;top:774;width:466;height:179" type="#_x0000_t202" filled="false" stroked="false">
              <v:textbox inset="0,0,0,0">
                <w:txbxContent>
                  <w:p>
                    <w:pPr>
                      <w:spacing w:line="178" w:lineRule="exact" w:before="0"/>
                      <w:ind w:left="0" w:right="0" w:firstLine="0"/>
                      <w:jc w:val="left"/>
                      <w:rPr>
                        <w:b/>
                        <w:sz w:val="16"/>
                      </w:rPr>
                    </w:pPr>
                    <w:r>
                      <w:rPr>
                        <w:b/>
                        <w:color w:val="006FC0"/>
                        <w:sz w:val="16"/>
                      </w:rPr>
                      <w:t>42.2%</w:t>
                    </w:r>
                  </w:p>
                </w:txbxContent>
              </v:textbox>
              <w10:wrap type="none"/>
            </v:shape>
            <v:shape style="position:absolute;left:2968;top:1263;width:466;height:179" type="#_x0000_t202" filled="false" stroked="false">
              <v:textbox inset="0,0,0,0">
                <w:txbxContent>
                  <w:p>
                    <w:pPr>
                      <w:spacing w:line="178" w:lineRule="exact" w:before="0"/>
                      <w:ind w:left="0" w:right="0" w:firstLine="0"/>
                      <w:jc w:val="left"/>
                      <w:rPr>
                        <w:b/>
                        <w:sz w:val="16"/>
                      </w:rPr>
                    </w:pPr>
                    <w:r>
                      <w:rPr>
                        <w:b/>
                        <w:color w:val="006FC0"/>
                        <w:sz w:val="16"/>
                      </w:rPr>
                      <w:t>40.7%</w:t>
                    </w:r>
                  </w:p>
                </w:txbxContent>
              </v:textbox>
              <w10:wrap type="none"/>
            </v:shape>
            <v:shape style="position:absolute;left:5724;top:1282;width:466;height:179" type="#_x0000_t202" filled="false" stroked="false">
              <v:textbox inset="0,0,0,0">
                <w:txbxContent>
                  <w:p>
                    <w:pPr>
                      <w:spacing w:line="178" w:lineRule="exact" w:before="0"/>
                      <w:ind w:left="0" w:right="0" w:firstLine="0"/>
                      <w:jc w:val="left"/>
                      <w:rPr>
                        <w:b/>
                        <w:sz w:val="16"/>
                      </w:rPr>
                    </w:pPr>
                    <w:r>
                      <w:rPr>
                        <w:b/>
                        <w:color w:val="006FC0"/>
                        <w:sz w:val="16"/>
                      </w:rPr>
                      <w:t>40.0%</w:t>
                    </w:r>
                  </w:p>
                </w:txbxContent>
              </v:textbox>
              <w10:wrap type="none"/>
            </v:shape>
            <v:shape style="position:absolute;left:4305;top:1445;width:466;height:179" type="#_x0000_t202" filled="false" stroked="false">
              <v:textbox inset="0,0,0,0">
                <w:txbxContent>
                  <w:p>
                    <w:pPr>
                      <w:spacing w:line="178" w:lineRule="exact" w:before="0"/>
                      <w:ind w:left="0" w:right="0" w:firstLine="0"/>
                      <w:jc w:val="left"/>
                      <w:rPr>
                        <w:b/>
                        <w:sz w:val="16"/>
                      </w:rPr>
                    </w:pPr>
                    <w:r>
                      <w:rPr>
                        <w:b/>
                        <w:color w:val="006FC0"/>
                        <w:sz w:val="16"/>
                      </w:rPr>
                      <w:t>41.5%</w:t>
                    </w:r>
                  </w:p>
                </w:txbxContent>
              </v:textbox>
              <w10:wrap type="none"/>
            </v:shape>
            <v:shape style="position:absolute;left:3496;top:1610;width:466;height:179" type="#_x0000_t202" filled="false" stroked="false">
              <v:textbox inset="0,0,0,0">
                <w:txbxContent>
                  <w:p>
                    <w:pPr>
                      <w:spacing w:line="178" w:lineRule="exact" w:before="0"/>
                      <w:ind w:left="0" w:right="0" w:firstLine="0"/>
                      <w:jc w:val="left"/>
                      <w:rPr>
                        <w:b/>
                        <w:sz w:val="16"/>
                      </w:rPr>
                    </w:pPr>
                    <w:r>
                      <w:rPr>
                        <w:b/>
                        <w:color w:val="006FC0"/>
                        <w:sz w:val="16"/>
                      </w:rPr>
                      <w:t>40.2%</w:t>
                    </w:r>
                  </w:p>
                </w:txbxContent>
              </v:textbox>
              <w10:wrap type="none"/>
            </v:shape>
            <w10:wrap type="none"/>
          </v:group>
        </w:pict>
      </w:r>
      <w:r>
        <w:rPr>
          <w:w w:val="95"/>
          <w:sz w:val="14"/>
        </w:rPr>
        <w:t>28%</w:t>
      </w:r>
    </w:p>
    <w:p>
      <w:pPr>
        <w:pStyle w:val="BodyText"/>
        <w:spacing w:before="8"/>
        <w:rPr>
          <w:sz w:val="12"/>
        </w:rPr>
      </w:pPr>
    </w:p>
    <w:p>
      <w:pPr>
        <w:spacing w:before="1"/>
        <w:ind w:left="0" w:right="0" w:firstLine="0"/>
        <w:jc w:val="right"/>
        <w:rPr>
          <w:sz w:val="14"/>
        </w:rPr>
      </w:pPr>
      <w:r>
        <w:rPr>
          <w:w w:val="95"/>
          <w:sz w:val="14"/>
        </w:rPr>
        <w:t>26%</w:t>
      </w:r>
    </w:p>
    <w:p>
      <w:pPr>
        <w:pStyle w:val="BodyText"/>
        <w:spacing w:before="8"/>
        <w:rPr>
          <w:sz w:val="12"/>
        </w:rPr>
      </w:pPr>
    </w:p>
    <w:p>
      <w:pPr>
        <w:spacing w:before="0"/>
        <w:ind w:left="0" w:right="0" w:firstLine="0"/>
        <w:jc w:val="right"/>
        <w:rPr>
          <w:sz w:val="14"/>
        </w:rPr>
      </w:pPr>
      <w:r>
        <w:rPr>
          <w:w w:val="95"/>
          <w:sz w:val="14"/>
        </w:rPr>
        <w:t>24%</w:t>
      </w:r>
    </w:p>
    <w:p>
      <w:pPr>
        <w:pStyle w:val="BodyText"/>
        <w:spacing w:before="7"/>
        <w:rPr>
          <w:sz w:val="12"/>
        </w:rPr>
      </w:pPr>
    </w:p>
    <w:p>
      <w:pPr>
        <w:spacing w:before="1"/>
        <w:ind w:left="0" w:right="0" w:firstLine="0"/>
        <w:jc w:val="right"/>
        <w:rPr>
          <w:sz w:val="14"/>
        </w:rPr>
      </w:pPr>
      <w:r>
        <w:rPr>
          <w:w w:val="95"/>
          <w:sz w:val="14"/>
        </w:rPr>
        <w:t>22%</w:t>
      </w:r>
    </w:p>
    <w:p>
      <w:pPr>
        <w:pStyle w:val="BodyText"/>
        <w:spacing w:before="8"/>
        <w:rPr>
          <w:sz w:val="12"/>
        </w:rPr>
      </w:pPr>
    </w:p>
    <w:p>
      <w:pPr>
        <w:spacing w:before="0"/>
        <w:ind w:left="0" w:right="0" w:firstLine="0"/>
        <w:jc w:val="right"/>
        <w:rPr>
          <w:sz w:val="14"/>
        </w:rPr>
      </w:pPr>
      <w:r>
        <w:rPr>
          <w:w w:val="95"/>
          <w:sz w:val="14"/>
        </w:rPr>
        <w:t>20%</w:t>
      </w:r>
    </w:p>
    <w:p>
      <w:pPr>
        <w:pStyle w:val="BodyText"/>
        <w:spacing w:before="7"/>
        <w:rPr>
          <w:sz w:val="12"/>
        </w:rPr>
      </w:pPr>
    </w:p>
    <w:p>
      <w:pPr>
        <w:spacing w:before="1"/>
        <w:ind w:left="0" w:right="0" w:firstLine="0"/>
        <w:jc w:val="right"/>
        <w:rPr>
          <w:sz w:val="14"/>
        </w:rPr>
      </w:pPr>
      <w:r>
        <w:rPr>
          <w:w w:val="95"/>
          <w:sz w:val="14"/>
        </w:rPr>
        <w:t>18%</w:t>
      </w:r>
    </w:p>
    <w:p>
      <w:pPr>
        <w:pStyle w:val="BodyText"/>
        <w:spacing w:before="8"/>
        <w:rPr>
          <w:sz w:val="12"/>
        </w:rPr>
      </w:pPr>
    </w:p>
    <w:p>
      <w:pPr>
        <w:spacing w:before="0"/>
        <w:ind w:left="0" w:right="0" w:firstLine="0"/>
        <w:jc w:val="right"/>
        <w:rPr>
          <w:sz w:val="14"/>
        </w:rPr>
      </w:pPr>
      <w:r>
        <w:rPr>
          <w:w w:val="95"/>
          <w:sz w:val="14"/>
        </w:rPr>
        <w:t>16%</w:t>
      </w:r>
    </w:p>
    <w:p>
      <w:pPr>
        <w:pStyle w:val="BodyText"/>
        <w:spacing w:before="8"/>
        <w:rPr>
          <w:sz w:val="12"/>
        </w:rPr>
      </w:pPr>
    </w:p>
    <w:p>
      <w:pPr>
        <w:spacing w:before="0"/>
        <w:ind w:left="0" w:right="0" w:firstLine="0"/>
        <w:jc w:val="right"/>
        <w:rPr>
          <w:sz w:val="14"/>
        </w:rPr>
      </w:pPr>
      <w:r>
        <w:rPr>
          <w:w w:val="95"/>
          <w:sz w:val="14"/>
        </w:rPr>
        <w:t>14%</w:t>
      </w:r>
    </w:p>
    <w:p>
      <w:pPr>
        <w:pStyle w:val="BodyText"/>
        <w:spacing w:before="8"/>
        <w:rPr>
          <w:sz w:val="12"/>
        </w:rPr>
      </w:pPr>
    </w:p>
    <w:p>
      <w:pPr>
        <w:spacing w:before="0"/>
        <w:ind w:left="0" w:right="0" w:firstLine="0"/>
        <w:jc w:val="right"/>
        <w:rPr>
          <w:sz w:val="14"/>
        </w:rPr>
      </w:pPr>
      <w:r>
        <w:rPr/>
        <w:pict>
          <v:shape style="position:absolute;margin-left:274.353333pt;margin-top:8.575150pt;width:8.65pt;height:14pt;mso-position-horizontal-relative:page;mso-position-vertical-relative:paragraph;z-index:252564480" type="#_x0000_t202" filled="false" stroked="false">
            <v:textbox inset="0,0,0,0" style="layout-flow:vertical;mso-layout-flow-alt:bottom-to-top">
              <w:txbxContent>
                <w:p>
                  <w:pPr>
                    <w:spacing w:before="15"/>
                    <w:ind w:left="20" w:right="0" w:firstLine="0"/>
                    <w:jc w:val="left"/>
                    <w:rPr>
                      <w:sz w:val="12"/>
                    </w:rPr>
                  </w:pPr>
                  <w:r>
                    <w:rPr>
                      <w:sz w:val="12"/>
                    </w:rPr>
                    <w:t>2020</w:t>
                  </w:r>
                </w:p>
              </w:txbxContent>
            </v:textbox>
            <w10:wrap type="none"/>
          </v:shape>
        </w:pict>
      </w:r>
      <w:r>
        <w:rPr/>
        <w:pict>
          <v:shape style="position:absolute;margin-left:293.773315pt;margin-top:8.575150pt;width:8.65pt;height:14pt;mso-position-horizontal-relative:page;mso-position-vertical-relative:paragraph;z-index:252565504" type="#_x0000_t202" filled="false" stroked="false">
            <v:textbox inset="0,0,0,0" style="layout-flow:vertical;mso-layout-flow-alt:bottom-to-top">
              <w:txbxContent>
                <w:p>
                  <w:pPr>
                    <w:spacing w:before="15"/>
                    <w:ind w:left="20" w:right="0" w:firstLine="0"/>
                    <w:jc w:val="left"/>
                    <w:rPr>
                      <w:sz w:val="12"/>
                    </w:rPr>
                  </w:pPr>
                  <w:r>
                    <w:rPr>
                      <w:sz w:val="12"/>
                    </w:rPr>
                    <w:t>2021</w:t>
                  </w:r>
                </w:p>
              </w:txbxContent>
            </v:textbox>
            <w10:wrap type="none"/>
          </v:shape>
        </w:pict>
      </w:r>
      <w:r>
        <w:rPr>
          <w:w w:val="95"/>
          <w:sz w:val="14"/>
        </w:rPr>
        <w:t>12%</w:t>
      </w:r>
    </w:p>
    <w:p>
      <w:pPr>
        <w:pStyle w:val="Heading3"/>
        <w:spacing w:line="276" w:lineRule="auto" w:before="32"/>
        <w:ind w:left="-8" w:right="2124" w:firstLine="444"/>
      </w:pPr>
      <w:r>
        <w:rPr>
          <w:b w:val="0"/>
        </w:rPr>
        <w:br w:type="column"/>
      </w:r>
      <w:r>
        <w:rPr/>
        <w:t>Productividad de cada año IVA importaciones e IVA</w:t>
      </w:r>
      <w:r>
        <w:rPr>
          <w:spacing w:val="-14"/>
        </w:rPr>
        <w:t> </w:t>
      </w:r>
      <w:r>
        <w:rPr/>
        <w:t>doméstico</w:t>
      </w:r>
    </w:p>
    <w:p>
      <w:pPr>
        <w:spacing w:line="226" w:lineRule="exact" w:before="0"/>
        <w:ind w:left="1231" w:right="0" w:firstLine="0"/>
        <w:jc w:val="left"/>
        <w:rPr>
          <w:sz w:val="20"/>
        </w:rPr>
      </w:pPr>
      <w:r>
        <w:rPr>
          <w:sz w:val="20"/>
        </w:rPr>
        <w:t>Porcentajes</w:t>
      </w:r>
    </w:p>
    <w:p>
      <w:pPr>
        <w:pStyle w:val="BodyText"/>
        <w:spacing w:before="6"/>
        <w:rPr>
          <w:sz w:val="6"/>
        </w:rPr>
      </w:pPr>
    </w:p>
    <w:p>
      <w:pPr>
        <w:pStyle w:val="BodyText"/>
        <w:ind w:left="32"/>
        <w:rPr>
          <w:sz w:val="20"/>
        </w:rPr>
      </w:pPr>
      <w:r>
        <w:rPr>
          <w:sz w:val="20"/>
        </w:rPr>
        <w:pict>
          <v:group style="width:188.4pt;height:127.6pt;mso-position-horizontal-relative:char;mso-position-vertical-relative:line" coordorigin="0,0" coordsize="3768,2552">
            <v:line style="position:absolute" from="43,2510" to="43,55" stroked="true" strokeweight=".48pt" strokecolor="#888888">
              <v:stroke dashstyle="solid"/>
            </v:line>
            <v:line style="position:absolute" from="0,2510" to="43,2510" stroked="true" strokeweight=".48pt" strokecolor="#888888">
              <v:stroke dashstyle="solid"/>
            </v:line>
            <v:line style="position:absolute" from="0,2203" to="43,2203" stroked="true" strokeweight=".48pt" strokecolor="#888888">
              <v:stroke dashstyle="solid"/>
            </v:line>
            <v:line style="position:absolute" from="0,1896" to="43,1896" stroked="true" strokeweight=".48pt" strokecolor="#888888">
              <v:stroke dashstyle="solid"/>
            </v:line>
            <v:line style="position:absolute" from="0,1589" to="43,1589" stroked="true" strokeweight=".48pt" strokecolor="#888888">
              <v:stroke dashstyle="solid"/>
            </v:line>
            <v:line style="position:absolute" from="0,1282" to="43,1282" stroked="true" strokeweight=".48pt" strokecolor="#888888">
              <v:stroke dashstyle="solid"/>
            </v:line>
            <v:line style="position:absolute" from="0,977" to="43,977" stroked="true" strokeweight=".48pt" strokecolor="#888888">
              <v:stroke dashstyle="solid"/>
            </v:line>
            <v:line style="position:absolute" from="0,670" to="43,670" stroked="true" strokeweight=".48pt" strokecolor="#888888">
              <v:stroke dashstyle="solid"/>
            </v:line>
            <v:line style="position:absolute" from="0,362" to="43,362" stroked="true" strokeweight=".48pt" strokecolor="#888888">
              <v:stroke dashstyle="solid"/>
            </v:line>
            <v:line style="position:absolute" from="0,55" to="43,55" stroked="true" strokeweight=".48pt" strokecolor="#888888">
              <v:stroke dashstyle="solid"/>
            </v:line>
            <v:line style="position:absolute" from="43,2510" to="3742,2510" stroked="true" strokeweight=".48pt" strokecolor="#888888">
              <v:stroke dashstyle="solid"/>
            </v:line>
            <v:line style="position:absolute" from="43,2510" to="43,2551" stroked="true" strokeweight=".48pt" strokecolor="#888888">
              <v:stroke dashstyle="solid"/>
            </v:line>
            <v:line style="position:absolute" from="413,2510" to="413,2551" stroked="true" strokeweight=".48pt" strokecolor="#888888">
              <v:stroke dashstyle="solid"/>
            </v:line>
            <v:line style="position:absolute" from="782,2510" to="782,2551" stroked="true" strokeweight=".48pt" strokecolor="#888888">
              <v:stroke dashstyle="solid"/>
            </v:line>
            <v:line style="position:absolute" from="1152,2510" to="1152,2551" stroked="true" strokeweight=".48pt" strokecolor="#888888">
              <v:stroke dashstyle="solid"/>
            </v:line>
            <v:line style="position:absolute" from="1522,2510" to="1522,2551" stroked="true" strokeweight=".48pt" strokecolor="#888888">
              <v:stroke dashstyle="solid"/>
            </v:line>
            <v:line style="position:absolute" from="1891,2510" to="1891,2551" stroked="true" strokeweight=".48pt" strokecolor="#888888">
              <v:stroke dashstyle="solid"/>
            </v:line>
            <v:line style="position:absolute" from="2263,2510" to="2263,2551" stroked="true" strokeweight=".48pt" strokecolor="#888888">
              <v:stroke dashstyle="solid"/>
            </v:line>
            <v:line style="position:absolute" from="2633,2510" to="2633,2551" stroked="true" strokeweight=".48pt" strokecolor="#888888">
              <v:stroke dashstyle="solid"/>
            </v:line>
            <v:line style="position:absolute" from="3002,2510" to="3002,2551" stroked="true" strokeweight=".48pt" strokecolor="#888888">
              <v:stroke dashstyle="solid"/>
            </v:line>
            <v:line style="position:absolute" from="3372,2510" to="3372,2551" stroked="true" strokeweight=".48pt" strokecolor="#888888">
              <v:stroke dashstyle="solid"/>
            </v:line>
            <v:line style="position:absolute" from="3742,2510" to="3742,2551" stroked="true" strokeweight=".48pt" strokecolor="#888888">
              <v:stroke dashstyle="solid"/>
            </v:line>
            <v:shape style="position:absolute;left:226;top:1131;width:3332;height:490" coordorigin="227,1132" coordsize="3332,490" path="m227,1621l301,1597,375,1571,449,1546,523,1524,597,1506,671,1492,745,1482,819,1474,893,1469,967,1466,1041,1468,1115,1476,1189,1484,1263,1487,1337,1479,1411,1457,1485,1425,1559,1388,1633,1351,1707,1318,1781,1289,1855,1259,1929,1232,2003,1211,2077,1200,2151,1204,2225,1221,2300,1242,2374,1260,2448,1267,2522,1259,2596,1240,2670,1218,2744,1199,2818,1188,2892,1189,2966,1199,3040,1211,3114,1221,3188,1221,3262,1211,3336,1194,3410,1173,3484,1151,3558,1132e" filled="false" stroked="true" strokeweight="1.56pt" strokecolor="#5b9bd4">
              <v:path arrowok="t"/>
              <v:stroke dashstyle="solid"/>
            </v:shape>
            <v:shape style="position:absolute;left:153;top:1546;width:149;height:149" type="#_x0000_t75" stroked="false">
              <v:imagedata r:id="rId110" o:title=""/>
            </v:shape>
            <v:shape style="position:absolute;left:523;top:1429;width:149;height:149" type="#_x0000_t75" stroked="false">
              <v:imagedata r:id="rId107" o:title=""/>
            </v:shape>
            <v:shape style="position:absolute;left:892;top:1390;width:149;height:149" type="#_x0000_t75" stroked="false">
              <v:imagedata r:id="rId107" o:title=""/>
            </v:shape>
            <v:shape style="position:absolute;left:1262;top:1402;width:149;height:149" type="#_x0000_t75" stroked="false">
              <v:imagedata r:id="rId108" o:title=""/>
            </v:shape>
            <v:shape style="position:absolute;left:1632;top:1241;width:149;height:149" type="#_x0000_t75" stroked="false">
              <v:imagedata r:id="rId107" o:title=""/>
            </v:shape>
            <v:shape style="position:absolute;left:2001;top:1124;width:149;height:149" type="#_x0000_t75" stroked="false">
              <v:imagedata r:id="rId107" o:title=""/>
            </v:shape>
            <v:shape style="position:absolute;left:2373;top:1191;width:149;height:149" type="#_x0000_t75" stroked="false">
              <v:imagedata r:id="rId111" o:title=""/>
            </v:shape>
            <v:shape style="position:absolute;left:2743;top:1112;width:149;height:149" type="#_x0000_t75" stroked="false">
              <v:imagedata r:id="rId107" o:title=""/>
            </v:shape>
            <v:shape style="position:absolute;left:3112;top:1145;width:149;height:149" type="#_x0000_t75" stroked="false">
              <v:imagedata r:id="rId107" o:title=""/>
            </v:shape>
            <v:shape style="position:absolute;left:3482;top:1054;width:149;height:149" type="#_x0000_t75" stroked="false">
              <v:imagedata r:id="rId107" o:title=""/>
            </v:shape>
            <v:shape style="position:absolute;left:226;top:241;width:3332;height:1104" coordorigin="227,241" coordsize="3332,1104" path="m227,241l596,479,968,618,1338,973,1708,1218,2077,1139,2447,985,2816,1036,3186,1345,3558,462e" filled="false" stroked="true" strokeweight="1.56pt" strokecolor="#ff0000">
              <v:path arrowok="t"/>
              <v:stroke dashstyle="solid"/>
            </v:shape>
            <v:shape style="position:absolute;left:163;top:173;width:130;height:130" type="#_x0000_t75" stroked="false">
              <v:imagedata r:id="rId112" o:title=""/>
            </v:shape>
            <v:shape style="position:absolute;left:532;top:413;width:130;height:130" type="#_x0000_t75" stroked="false">
              <v:imagedata r:id="rId112" o:title=""/>
            </v:shape>
            <v:shape style="position:absolute;left:902;top:553;width:130;height:130" type="#_x0000_t75" stroked="false">
              <v:imagedata r:id="rId113" o:title=""/>
            </v:shape>
            <v:shape style="position:absolute;left:1272;top:905;width:130;height:130" type="#_x0000_t75" stroked="false">
              <v:imagedata r:id="rId114" o:title=""/>
            </v:shape>
            <v:shape style="position:absolute;left:1641;top:1150;width:130;height:130" type="#_x0000_t75" stroked="false">
              <v:imagedata r:id="rId112" o:title=""/>
            </v:shape>
            <v:shape style="position:absolute;left:2011;top:1073;width:130;height:130" type="#_x0000_t75" stroked="false">
              <v:imagedata r:id="rId115" o:title=""/>
            </v:shape>
            <v:shape style="position:absolute;left:2383;top:920;width:130;height:130" type="#_x0000_t75" stroked="false">
              <v:imagedata r:id="rId114" o:title=""/>
            </v:shape>
            <v:shape style="position:absolute;left:2752;top:970;width:130;height:130" type="#_x0000_t75" stroked="false">
              <v:imagedata r:id="rId112" o:title=""/>
            </v:shape>
            <v:shape style="position:absolute;left:3122;top:1280;width:130;height:130" type="#_x0000_t75" stroked="false">
              <v:imagedata r:id="rId113" o:title=""/>
            </v:shape>
            <v:shape style="position:absolute;left:3492;top:394;width:130;height:130" type="#_x0000_t75" stroked="false">
              <v:imagedata r:id="rId112" o:title=""/>
            </v:shape>
            <v:shape style="position:absolute;left:939;top:2325;width:384;height:111" type="#_x0000_t75" stroked="false">
              <v:imagedata r:id="rId116" o:title=""/>
            </v:shape>
            <v:shape style="position:absolute;left:2274;top:2325;width:384;height:111" type="#_x0000_t75" stroked="false">
              <v:imagedata r:id="rId117" o:title=""/>
            </v:shape>
            <v:shape style="position:absolute;left:64;top:0;width:352;height:133" type="#_x0000_t202" filled="false" stroked="false">
              <v:textbox inset="0,0,0,0">
                <w:txbxContent>
                  <w:p>
                    <w:pPr>
                      <w:spacing w:line="133" w:lineRule="exact" w:before="0"/>
                      <w:ind w:left="0" w:right="0" w:firstLine="0"/>
                      <w:jc w:val="left"/>
                      <w:rPr>
                        <w:b/>
                        <w:sz w:val="12"/>
                      </w:rPr>
                    </w:pPr>
                    <w:r>
                      <w:rPr>
                        <w:b/>
                        <w:color w:val="FF0000"/>
                        <w:sz w:val="12"/>
                      </w:rPr>
                      <w:t>26.8%</w:t>
                    </w:r>
                  </w:p>
                </w:txbxContent>
              </v:textbox>
              <w10:wrap type="none"/>
            </v:shape>
            <v:shape style="position:absolute;left:434;top:198;width:352;height:133" type="#_x0000_t202" filled="false" stroked="false">
              <v:textbox inset="0,0,0,0">
                <w:txbxContent>
                  <w:p>
                    <w:pPr>
                      <w:spacing w:line="133" w:lineRule="exact" w:before="0"/>
                      <w:ind w:left="0" w:right="0" w:firstLine="0"/>
                      <w:jc w:val="left"/>
                      <w:rPr>
                        <w:b/>
                        <w:sz w:val="12"/>
                      </w:rPr>
                    </w:pPr>
                    <w:r>
                      <w:rPr>
                        <w:b/>
                        <w:color w:val="FF0000"/>
                        <w:sz w:val="12"/>
                      </w:rPr>
                      <w:t>25.2%</w:t>
                    </w:r>
                  </w:p>
                </w:txbxContent>
              </v:textbox>
              <w10:wrap type="none"/>
            </v:shape>
            <v:shape style="position:absolute;left:3416;top:113;width:352;height:133" type="#_x0000_t202" filled="false" stroked="false">
              <v:textbox inset="0,0,0,0">
                <w:txbxContent>
                  <w:p>
                    <w:pPr>
                      <w:spacing w:line="133" w:lineRule="exact" w:before="0"/>
                      <w:ind w:left="0" w:right="0" w:firstLine="0"/>
                      <w:jc w:val="left"/>
                      <w:rPr>
                        <w:b/>
                        <w:sz w:val="12"/>
                      </w:rPr>
                    </w:pPr>
                    <w:r>
                      <w:rPr>
                        <w:b/>
                        <w:color w:val="FF0000"/>
                        <w:sz w:val="12"/>
                      </w:rPr>
                      <w:t>25.4%</w:t>
                    </w:r>
                  </w:p>
                </w:txbxContent>
              </v:textbox>
              <w10:wrap type="none"/>
            </v:shape>
            <v:shape style="position:absolute;left:805;top:338;width:352;height:133" type="#_x0000_t202" filled="false" stroked="false">
              <v:textbox inset="0,0,0,0">
                <w:txbxContent>
                  <w:p>
                    <w:pPr>
                      <w:spacing w:line="133" w:lineRule="exact" w:before="0"/>
                      <w:ind w:left="0" w:right="0" w:firstLine="0"/>
                      <w:jc w:val="left"/>
                      <w:rPr>
                        <w:b/>
                        <w:sz w:val="12"/>
                      </w:rPr>
                    </w:pPr>
                    <w:r>
                      <w:rPr>
                        <w:b/>
                        <w:color w:val="FF0000"/>
                        <w:sz w:val="12"/>
                      </w:rPr>
                      <w:t>24.3%</w:t>
                    </w:r>
                  </w:p>
                </w:txbxContent>
              </v:textbox>
              <w10:wrap type="none"/>
            </v:shape>
            <v:shape style="position:absolute;left:2265;top:584;width:352;height:133" type="#_x0000_t202" filled="false" stroked="false">
              <v:textbox inset="0,0,0,0">
                <w:txbxContent>
                  <w:p>
                    <w:pPr>
                      <w:spacing w:line="133" w:lineRule="exact" w:before="0"/>
                      <w:ind w:left="0" w:right="0" w:firstLine="0"/>
                      <w:jc w:val="left"/>
                      <w:rPr>
                        <w:b/>
                        <w:sz w:val="12"/>
                      </w:rPr>
                    </w:pPr>
                    <w:r>
                      <w:rPr>
                        <w:b/>
                        <w:color w:val="FF0000"/>
                        <w:sz w:val="12"/>
                      </w:rPr>
                      <w:t>21.9%</w:t>
                    </w:r>
                  </w:p>
                </w:txbxContent>
              </v:textbox>
              <w10:wrap type="none"/>
            </v:shape>
            <v:shape style="position:absolute;left:1175;top:691;width:352;height:133" type="#_x0000_t202" filled="false" stroked="false">
              <v:textbox inset="0,0,0,0">
                <w:txbxContent>
                  <w:p>
                    <w:pPr>
                      <w:spacing w:line="133" w:lineRule="exact" w:before="0"/>
                      <w:ind w:left="0" w:right="0" w:firstLine="0"/>
                      <w:jc w:val="left"/>
                      <w:rPr>
                        <w:b/>
                        <w:sz w:val="12"/>
                      </w:rPr>
                    </w:pPr>
                    <w:r>
                      <w:rPr>
                        <w:b/>
                        <w:color w:val="FF0000"/>
                        <w:sz w:val="12"/>
                      </w:rPr>
                      <w:t>22.0%</w:t>
                    </w:r>
                  </w:p>
                </w:txbxContent>
              </v:textbox>
              <w10:wrap type="none"/>
            </v:shape>
            <v:shape style="position:absolute;left:1544;top:859;width:722;height:210" type="#_x0000_t202" filled="false" stroked="false">
              <v:textbox inset="0,0,0,0">
                <w:txbxContent>
                  <w:p>
                    <w:pPr>
                      <w:spacing w:line="228" w:lineRule="auto" w:before="0"/>
                      <w:ind w:left="0" w:right="0" w:firstLine="0"/>
                      <w:jc w:val="left"/>
                      <w:rPr>
                        <w:b/>
                        <w:sz w:val="12"/>
                      </w:rPr>
                    </w:pPr>
                    <w:r>
                      <w:rPr>
                        <w:b/>
                        <w:color w:val="FF0000"/>
                        <w:position w:val="-7"/>
                        <w:sz w:val="12"/>
                      </w:rPr>
                      <w:t>20.4% </w:t>
                    </w:r>
                    <w:r>
                      <w:rPr>
                        <w:b/>
                        <w:color w:val="FF0000"/>
                        <w:sz w:val="12"/>
                      </w:rPr>
                      <w:t>20.9%</w:t>
                    </w:r>
                  </w:p>
                </w:txbxContent>
              </v:textbox>
              <w10:wrap type="none"/>
            </v:shape>
            <v:shape style="position:absolute;left:2654;top:755;width:682;height:341" type="#_x0000_t202" filled="false" stroked="false">
              <v:textbox inset="0,0,0,0">
                <w:txbxContent>
                  <w:p>
                    <w:pPr>
                      <w:spacing w:line="133" w:lineRule="exact" w:before="0"/>
                      <w:ind w:left="0" w:right="0" w:firstLine="0"/>
                      <w:jc w:val="left"/>
                      <w:rPr>
                        <w:b/>
                        <w:sz w:val="12"/>
                      </w:rPr>
                    </w:pPr>
                    <w:r>
                      <w:rPr>
                        <w:b/>
                        <w:color w:val="FF0000"/>
                        <w:sz w:val="12"/>
                      </w:rPr>
                      <w:t>21.6%</w:t>
                    </w:r>
                  </w:p>
                  <w:p>
                    <w:pPr>
                      <w:spacing w:before="69"/>
                      <w:ind w:left="330" w:right="0" w:firstLine="0"/>
                      <w:jc w:val="left"/>
                      <w:rPr>
                        <w:b/>
                        <w:sz w:val="12"/>
                      </w:rPr>
                    </w:pPr>
                    <w:r>
                      <w:rPr>
                        <w:b/>
                        <w:color w:val="FF0000"/>
                        <w:sz w:val="12"/>
                      </w:rPr>
                      <w:t>19.6%</w:t>
                    </w:r>
                  </w:p>
                </w:txbxContent>
              </v:textbox>
              <w10:wrap type="none"/>
            </v:shape>
            <v:shape style="position:absolute;left:3416;top:1241;width:352;height:133" type="#_x0000_t202" filled="false" stroked="false">
              <v:textbox inset="0,0,0,0">
                <w:txbxContent>
                  <w:p>
                    <w:pPr>
                      <w:spacing w:line="133" w:lineRule="exact" w:before="0"/>
                      <w:ind w:left="0" w:right="0" w:firstLine="0"/>
                      <w:jc w:val="left"/>
                      <w:rPr>
                        <w:b/>
                        <w:sz w:val="12"/>
                      </w:rPr>
                    </w:pPr>
                    <w:r>
                      <w:rPr>
                        <w:b/>
                        <w:color w:val="006FC0"/>
                        <w:sz w:val="12"/>
                      </w:rPr>
                      <w:t>21.0%</w:t>
                    </w:r>
                  </w:p>
                </w:txbxContent>
              </v:textbox>
              <w10:wrap type="none"/>
            </v:shape>
            <v:shape style="position:absolute;left:1914;top:1366;width:352;height:133" type="#_x0000_t202" filled="false" stroked="false">
              <v:textbox inset="0,0,0,0">
                <w:txbxContent>
                  <w:p>
                    <w:pPr>
                      <w:spacing w:line="133" w:lineRule="exact" w:before="0"/>
                      <w:ind w:left="0" w:right="0" w:firstLine="0"/>
                      <w:jc w:val="left"/>
                      <w:rPr>
                        <w:b/>
                        <w:sz w:val="12"/>
                      </w:rPr>
                    </w:pPr>
                    <w:r>
                      <w:rPr>
                        <w:b/>
                        <w:color w:val="006FC0"/>
                        <w:sz w:val="12"/>
                      </w:rPr>
                      <w:t>20.5%</w:t>
                    </w:r>
                  </w:p>
                </w:txbxContent>
              </v:textbox>
              <w10:wrap type="none"/>
            </v:shape>
            <v:shape style="position:absolute;left:414;top:1623;width:352;height:133" type="#_x0000_t202" filled="false" stroked="false">
              <v:textbox inset="0,0,0,0">
                <w:txbxContent>
                  <w:p>
                    <w:pPr>
                      <w:spacing w:line="133" w:lineRule="exact" w:before="0"/>
                      <w:ind w:left="0" w:right="0" w:firstLine="0"/>
                      <w:jc w:val="left"/>
                      <w:rPr>
                        <w:b/>
                        <w:sz w:val="12"/>
                      </w:rPr>
                    </w:pPr>
                    <w:r>
                      <w:rPr>
                        <w:b/>
                        <w:color w:val="006FC0"/>
                        <w:sz w:val="12"/>
                      </w:rPr>
                      <w:t>18.5%</w:t>
                    </w:r>
                  </w:p>
                </w:txbxContent>
              </v:textbox>
              <w10:wrap type="none"/>
            </v:shape>
            <v:shape style="position:absolute;left:805;top:1564;width:352;height:133" type="#_x0000_t202" filled="false" stroked="false">
              <v:textbox inset="0,0,0,0">
                <w:txbxContent>
                  <w:p>
                    <w:pPr>
                      <w:spacing w:line="133" w:lineRule="exact" w:before="0"/>
                      <w:ind w:left="0" w:right="0" w:firstLine="0"/>
                      <w:jc w:val="left"/>
                      <w:rPr>
                        <w:b/>
                        <w:sz w:val="12"/>
                      </w:rPr>
                    </w:pPr>
                    <w:r>
                      <w:rPr>
                        <w:b/>
                        <w:color w:val="006FC0"/>
                        <w:sz w:val="12"/>
                      </w:rPr>
                      <w:t>18.8%</w:t>
                    </w:r>
                  </w:p>
                </w:txbxContent>
              </v:textbox>
              <w10:wrap type="none"/>
            </v:shape>
            <v:shape style="position:absolute;left:1544;top:1485;width:352;height:133" type="#_x0000_t202" filled="false" stroked="false">
              <v:textbox inset="0,0,0,0">
                <w:txbxContent>
                  <w:p>
                    <w:pPr>
                      <w:spacing w:line="133" w:lineRule="exact" w:before="0"/>
                      <w:ind w:left="0" w:right="0" w:firstLine="0"/>
                      <w:jc w:val="left"/>
                      <w:rPr>
                        <w:b/>
                        <w:sz w:val="12"/>
                      </w:rPr>
                    </w:pPr>
                    <w:r>
                      <w:rPr>
                        <w:b/>
                        <w:color w:val="006FC0"/>
                        <w:sz w:val="12"/>
                      </w:rPr>
                      <w:t>19.8%</w:t>
                    </w:r>
                  </w:p>
                </w:txbxContent>
              </v:textbox>
              <w10:wrap type="none"/>
            </v:shape>
            <v:shape style="position:absolute;left:2305;top:1354;width:1032;height:296" type="#_x0000_t202" filled="false" stroked="false">
              <v:textbox inset="0,0,0,0">
                <w:txbxContent>
                  <w:p>
                    <w:pPr>
                      <w:spacing w:line="132" w:lineRule="exact" w:before="0"/>
                      <w:ind w:left="0" w:right="0" w:firstLine="0"/>
                      <w:jc w:val="center"/>
                      <w:rPr>
                        <w:b/>
                        <w:sz w:val="12"/>
                      </w:rPr>
                    </w:pPr>
                    <w:r>
                      <w:rPr>
                        <w:b/>
                        <w:color w:val="006FC0"/>
                        <w:sz w:val="12"/>
                      </w:rPr>
                      <w:t>20.6%</w:t>
                    </w:r>
                  </w:p>
                  <w:p>
                    <w:pPr>
                      <w:tabs>
                        <w:tab w:pos="680" w:val="left" w:leader="none"/>
                      </w:tabs>
                      <w:spacing w:line="164" w:lineRule="exact" w:before="0"/>
                      <w:ind w:left="0" w:right="18" w:firstLine="0"/>
                      <w:jc w:val="center"/>
                      <w:rPr>
                        <w:b/>
                        <w:sz w:val="12"/>
                      </w:rPr>
                    </w:pPr>
                    <w:r>
                      <w:rPr>
                        <w:b/>
                        <w:color w:val="006FC0"/>
                        <w:position w:val="-2"/>
                        <w:sz w:val="12"/>
                      </w:rPr>
                      <w:t>20.1%</w:t>
                      <w:tab/>
                    </w:r>
                    <w:r>
                      <w:rPr>
                        <w:b/>
                        <w:color w:val="006FC0"/>
                        <w:spacing w:val="-4"/>
                        <w:sz w:val="12"/>
                      </w:rPr>
                      <w:t>20.4%</w:t>
                    </w:r>
                  </w:p>
                </w:txbxContent>
              </v:textbox>
              <w10:wrap type="none"/>
            </v:shape>
            <v:shape style="position:absolute;left:1175;top:1647;width:352;height:133" type="#_x0000_t202" filled="false" stroked="false">
              <v:textbox inset="0,0,0,0">
                <w:txbxContent>
                  <w:p>
                    <w:pPr>
                      <w:spacing w:line="133" w:lineRule="exact" w:before="0"/>
                      <w:ind w:left="0" w:right="0" w:firstLine="0"/>
                      <w:jc w:val="left"/>
                      <w:rPr>
                        <w:b/>
                        <w:sz w:val="12"/>
                      </w:rPr>
                    </w:pPr>
                    <w:r>
                      <w:rPr>
                        <w:b/>
                        <w:color w:val="006FC0"/>
                        <w:sz w:val="12"/>
                      </w:rPr>
                      <w:t>18.7%</w:t>
                    </w:r>
                  </w:p>
                </w:txbxContent>
              </v:textbox>
              <w10:wrap type="none"/>
            </v:shape>
            <v:shape style="position:absolute;left:64;top:1852;width:352;height:133" type="#_x0000_t202" filled="false" stroked="false">
              <v:textbox inset="0,0,0,0">
                <w:txbxContent>
                  <w:p>
                    <w:pPr>
                      <w:spacing w:line="133" w:lineRule="exact" w:before="0"/>
                      <w:ind w:left="0" w:right="0" w:firstLine="0"/>
                      <w:jc w:val="left"/>
                      <w:rPr>
                        <w:b/>
                        <w:sz w:val="12"/>
                      </w:rPr>
                    </w:pPr>
                    <w:r>
                      <w:rPr>
                        <w:b/>
                        <w:color w:val="006FC0"/>
                        <w:sz w:val="12"/>
                      </w:rPr>
                      <w:t>17.8%</w:t>
                    </w:r>
                  </w:p>
                </w:txbxContent>
              </v:textbox>
              <w10:wrap type="none"/>
            </v:shape>
            <v:shape style="position:absolute;left:1365;top:2280;width:734;height:200" type="#_x0000_t202" filled="false" stroked="false">
              <v:textbox inset="0,0,0,0">
                <w:txbxContent>
                  <w:p>
                    <w:pPr>
                      <w:spacing w:line="199" w:lineRule="exact" w:before="0"/>
                      <w:ind w:left="0" w:right="0" w:firstLine="0"/>
                      <w:jc w:val="left"/>
                      <w:rPr>
                        <w:b/>
                        <w:sz w:val="18"/>
                      </w:rPr>
                    </w:pPr>
                    <w:r>
                      <w:rPr>
                        <w:b/>
                        <w:sz w:val="18"/>
                      </w:rPr>
                      <w:t>IVA dom</w:t>
                    </w:r>
                  </w:p>
                </w:txbxContent>
              </v:textbox>
              <w10:wrap type="none"/>
            </v:shape>
            <v:shape style="position:absolute;left:2701;top:2280;width:696;height:200" type="#_x0000_t202" filled="false" stroked="false">
              <v:textbox inset="0,0,0,0">
                <w:txbxContent>
                  <w:p>
                    <w:pPr>
                      <w:spacing w:line="199" w:lineRule="exact" w:before="0"/>
                      <w:ind w:left="0" w:right="0" w:firstLine="0"/>
                      <w:jc w:val="left"/>
                      <w:rPr>
                        <w:b/>
                        <w:sz w:val="18"/>
                      </w:rPr>
                    </w:pPr>
                    <w:r>
                      <w:rPr>
                        <w:b/>
                        <w:sz w:val="18"/>
                      </w:rPr>
                      <w:t>IVA imp</w:t>
                    </w:r>
                  </w:p>
                </w:txbxContent>
              </v:textbox>
              <w10:wrap type="none"/>
            </v:shape>
          </v:group>
        </w:pict>
      </w:r>
      <w:r>
        <w:rPr>
          <w:sz w:val="20"/>
        </w:rPr>
      </w:r>
    </w:p>
    <w:p>
      <w:pPr>
        <w:spacing w:after="0"/>
        <w:rPr>
          <w:sz w:val="20"/>
        </w:rPr>
        <w:sectPr>
          <w:type w:val="continuous"/>
          <w:pgSz w:w="12240" w:h="15840"/>
          <w:pgMar w:top="1500" w:bottom="280" w:left="1140" w:right="0"/>
          <w:cols w:num="4" w:equalWidth="0">
            <w:col w:w="1011" w:space="40"/>
            <w:col w:w="3070" w:space="410"/>
            <w:col w:w="1011" w:space="40"/>
            <w:col w:w="5518"/>
          </w:cols>
        </w:sectPr>
      </w:pPr>
    </w:p>
    <w:p>
      <w:pPr>
        <w:pStyle w:val="BodyText"/>
        <w:spacing w:before="6"/>
        <w:rPr>
          <w:sz w:val="23"/>
        </w:rPr>
      </w:pPr>
    </w:p>
    <w:p>
      <w:pPr>
        <w:spacing w:before="94"/>
        <w:ind w:left="562" w:right="0" w:firstLine="0"/>
        <w:jc w:val="left"/>
        <w:rPr>
          <w:sz w:val="16"/>
        </w:rPr>
      </w:pPr>
      <w:r>
        <w:rPr/>
        <w:pict>
          <v:shape style="position:absolute;margin-left:118.983322pt;margin-top:-14.681256pt;width:8.65pt;height:14pt;mso-position-horizontal-relative:page;mso-position-vertical-relative:paragraph;z-index:252556288" type="#_x0000_t202" filled="false" stroked="false">
            <v:textbox inset="0,0,0,0" style="layout-flow:vertical;mso-layout-flow-alt:bottom-to-top">
              <w:txbxContent>
                <w:p>
                  <w:pPr>
                    <w:spacing w:before="15"/>
                    <w:ind w:left="20" w:right="0" w:firstLine="0"/>
                    <w:jc w:val="left"/>
                    <w:rPr>
                      <w:sz w:val="12"/>
                    </w:rPr>
                  </w:pPr>
                  <w:r>
                    <w:rPr>
                      <w:sz w:val="12"/>
                    </w:rPr>
                    <w:t>2012</w:t>
                  </w:r>
                </w:p>
              </w:txbxContent>
            </v:textbox>
            <w10:wrap type="none"/>
          </v:shape>
        </w:pict>
      </w:r>
      <w:r>
        <w:rPr/>
        <w:pict>
          <v:shape style="position:absolute;margin-left:138.393326pt;margin-top:-14.681256pt;width:8.65pt;height:14pt;mso-position-horizontal-relative:page;mso-position-vertical-relative:paragraph;z-index:252557312" type="#_x0000_t202" filled="false" stroked="false">
            <v:textbox inset="0,0,0,0" style="layout-flow:vertical;mso-layout-flow-alt:bottom-to-top">
              <w:txbxContent>
                <w:p>
                  <w:pPr>
                    <w:spacing w:before="15"/>
                    <w:ind w:left="20" w:right="0" w:firstLine="0"/>
                    <w:jc w:val="left"/>
                    <w:rPr>
                      <w:sz w:val="12"/>
                    </w:rPr>
                  </w:pPr>
                  <w:r>
                    <w:rPr>
                      <w:sz w:val="12"/>
                    </w:rPr>
                    <w:t>2013</w:t>
                  </w:r>
                </w:p>
              </w:txbxContent>
            </v:textbox>
            <w10:wrap type="none"/>
          </v:shape>
        </w:pict>
      </w:r>
      <w:r>
        <w:rPr/>
        <w:pict>
          <v:shape style="position:absolute;margin-left:157.813324pt;margin-top:-14.681256pt;width:8.65pt;height:14pt;mso-position-horizontal-relative:page;mso-position-vertical-relative:paragraph;z-index:252558336" type="#_x0000_t202" filled="false" stroked="false">
            <v:textbox inset="0,0,0,0" style="layout-flow:vertical;mso-layout-flow-alt:bottom-to-top">
              <w:txbxContent>
                <w:p>
                  <w:pPr>
                    <w:spacing w:before="15"/>
                    <w:ind w:left="20" w:right="0" w:firstLine="0"/>
                    <w:jc w:val="left"/>
                    <w:rPr>
                      <w:sz w:val="12"/>
                    </w:rPr>
                  </w:pPr>
                  <w:r>
                    <w:rPr>
                      <w:sz w:val="12"/>
                    </w:rPr>
                    <w:t>2014</w:t>
                  </w:r>
                </w:p>
              </w:txbxContent>
            </v:textbox>
            <w10:wrap type="none"/>
          </v:shape>
        </w:pict>
      </w:r>
      <w:r>
        <w:rPr/>
        <w:pict>
          <v:shape style="position:absolute;margin-left:177.253326pt;margin-top:-14.681256pt;width:8.65pt;height:14pt;mso-position-horizontal-relative:page;mso-position-vertical-relative:paragraph;z-index:252559360" type="#_x0000_t202" filled="false" stroked="false">
            <v:textbox inset="0,0,0,0" style="layout-flow:vertical;mso-layout-flow-alt:bottom-to-top">
              <w:txbxContent>
                <w:p>
                  <w:pPr>
                    <w:spacing w:before="15"/>
                    <w:ind w:left="20" w:right="0" w:firstLine="0"/>
                    <w:jc w:val="left"/>
                    <w:rPr>
                      <w:sz w:val="12"/>
                    </w:rPr>
                  </w:pPr>
                  <w:r>
                    <w:rPr>
                      <w:sz w:val="12"/>
                    </w:rPr>
                    <w:t>2015</w:t>
                  </w:r>
                </w:p>
              </w:txbxContent>
            </v:textbox>
            <w10:wrap type="none"/>
          </v:shape>
        </w:pict>
      </w:r>
      <w:r>
        <w:rPr/>
        <w:pict>
          <v:shape style="position:absolute;margin-left:196.673325pt;margin-top:-14.681256pt;width:8.65pt;height:14pt;mso-position-horizontal-relative:page;mso-position-vertical-relative:paragraph;z-index:252560384" type="#_x0000_t202" filled="false" stroked="false">
            <v:textbox inset="0,0,0,0" style="layout-flow:vertical;mso-layout-flow-alt:bottom-to-top">
              <w:txbxContent>
                <w:p>
                  <w:pPr>
                    <w:spacing w:before="15"/>
                    <w:ind w:left="20" w:right="0" w:firstLine="0"/>
                    <w:jc w:val="left"/>
                    <w:rPr>
                      <w:sz w:val="12"/>
                    </w:rPr>
                  </w:pPr>
                  <w:r>
                    <w:rPr>
                      <w:sz w:val="12"/>
                    </w:rPr>
                    <w:t>2016</w:t>
                  </w:r>
                </w:p>
              </w:txbxContent>
            </v:textbox>
            <w10:wrap type="none"/>
          </v:shape>
        </w:pict>
      </w:r>
      <w:r>
        <w:rPr/>
        <w:pict>
          <v:shape style="position:absolute;margin-left:216.083313pt;margin-top:-14.681256pt;width:8.65pt;height:14pt;mso-position-horizontal-relative:page;mso-position-vertical-relative:paragraph;z-index:252561408" type="#_x0000_t202" filled="false" stroked="false">
            <v:textbox inset="0,0,0,0" style="layout-flow:vertical;mso-layout-flow-alt:bottom-to-top">
              <w:txbxContent>
                <w:p>
                  <w:pPr>
                    <w:spacing w:before="15"/>
                    <w:ind w:left="20" w:right="0" w:firstLine="0"/>
                    <w:jc w:val="left"/>
                    <w:rPr>
                      <w:sz w:val="12"/>
                    </w:rPr>
                  </w:pPr>
                  <w:r>
                    <w:rPr>
                      <w:sz w:val="12"/>
                    </w:rPr>
                    <w:t>2017</w:t>
                  </w:r>
                </w:p>
              </w:txbxContent>
            </v:textbox>
            <w10:wrap type="none"/>
          </v:shape>
        </w:pict>
      </w:r>
      <w:r>
        <w:rPr/>
        <w:pict>
          <v:shape style="position:absolute;margin-left:235.503326pt;margin-top:-14.681256pt;width:8.65pt;height:14pt;mso-position-horizontal-relative:page;mso-position-vertical-relative:paragraph;z-index:252562432" type="#_x0000_t202" filled="false" stroked="false">
            <v:textbox inset="0,0,0,0" style="layout-flow:vertical;mso-layout-flow-alt:bottom-to-top">
              <w:txbxContent>
                <w:p>
                  <w:pPr>
                    <w:spacing w:before="15"/>
                    <w:ind w:left="20" w:right="0" w:firstLine="0"/>
                    <w:jc w:val="left"/>
                    <w:rPr>
                      <w:sz w:val="12"/>
                    </w:rPr>
                  </w:pPr>
                  <w:r>
                    <w:rPr>
                      <w:sz w:val="12"/>
                    </w:rPr>
                    <w:t>2018</w:t>
                  </w:r>
                </w:p>
              </w:txbxContent>
            </v:textbox>
            <w10:wrap type="none"/>
          </v:shape>
        </w:pict>
      </w:r>
      <w:r>
        <w:rPr/>
        <w:pict>
          <v:shape style="position:absolute;margin-left:254.943314pt;margin-top:-14.681256pt;width:8.65pt;height:14pt;mso-position-horizontal-relative:page;mso-position-vertical-relative:paragraph;z-index:252563456" type="#_x0000_t202" filled="false" stroked="false">
            <v:textbox inset="0,0,0,0" style="layout-flow:vertical;mso-layout-flow-alt:bottom-to-top">
              <w:txbxContent>
                <w:p>
                  <w:pPr>
                    <w:spacing w:before="15"/>
                    <w:ind w:left="20" w:right="0" w:firstLine="0"/>
                    <w:jc w:val="left"/>
                    <w:rPr>
                      <w:sz w:val="12"/>
                    </w:rPr>
                  </w:pPr>
                  <w:r>
                    <w:rPr>
                      <w:sz w:val="12"/>
                    </w:rPr>
                    <w:t>2019</w:t>
                  </w:r>
                </w:p>
              </w:txbxContent>
            </v:textbox>
            <w10:wrap type="none"/>
          </v:shape>
        </w:pict>
      </w:r>
      <w:r>
        <w:rPr/>
        <w:pict>
          <v:shape style="position:absolute;margin-left:344.517853pt;margin-top:-15.772658pt;width:9.75pt;height:16.05pt;mso-position-horizontal-relative:page;mso-position-vertical-relative:paragraph;z-index:252566528" type="#_x0000_t202" filled="false" stroked="false">
            <v:textbox inset="0,0,0,0" style="layout-flow:vertical;mso-layout-flow-alt:bottom-to-top">
              <w:txbxContent>
                <w:p>
                  <w:pPr>
                    <w:spacing w:before="13"/>
                    <w:ind w:left="20" w:right="0" w:firstLine="0"/>
                    <w:jc w:val="left"/>
                    <w:rPr>
                      <w:sz w:val="14"/>
                    </w:rPr>
                  </w:pPr>
                  <w:r>
                    <w:rPr>
                      <w:sz w:val="14"/>
                    </w:rPr>
                    <w:t>2012</w:t>
                  </w:r>
                </w:p>
              </w:txbxContent>
            </v:textbox>
            <w10:wrap type="none"/>
          </v:shape>
        </w:pict>
      </w:r>
      <w:r>
        <w:rPr/>
        <w:pict>
          <v:shape style="position:absolute;margin-left:363.017853pt;margin-top:-15.772658pt;width:9.75pt;height:16.05pt;mso-position-horizontal-relative:page;mso-position-vertical-relative:paragraph;z-index:252567552" type="#_x0000_t202" filled="false" stroked="false">
            <v:textbox inset="0,0,0,0" style="layout-flow:vertical;mso-layout-flow-alt:bottom-to-top">
              <w:txbxContent>
                <w:p>
                  <w:pPr>
                    <w:spacing w:before="13"/>
                    <w:ind w:left="20" w:right="0" w:firstLine="0"/>
                    <w:jc w:val="left"/>
                    <w:rPr>
                      <w:sz w:val="14"/>
                    </w:rPr>
                  </w:pPr>
                  <w:r>
                    <w:rPr>
                      <w:sz w:val="14"/>
                    </w:rPr>
                    <w:t>2013</w:t>
                  </w:r>
                </w:p>
              </w:txbxContent>
            </v:textbox>
            <w10:wrap type="none"/>
          </v:shape>
        </w:pict>
      </w:r>
      <w:r>
        <w:rPr/>
        <w:pict>
          <v:shape style="position:absolute;margin-left:381.497864pt;margin-top:-15.772658pt;width:9.75pt;height:16.05pt;mso-position-horizontal-relative:page;mso-position-vertical-relative:paragraph;z-index:252568576" type="#_x0000_t202" filled="false" stroked="false">
            <v:textbox inset="0,0,0,0" style="layout-flow:vertical;mso-layout-flow-alt:bottom-to-top">
              <w:txbxContent>
                <w:p>
                  <w:pPr>
                    <w:spacing w:before="13"/>
                    <w:ind w:left="20" w:right="0" w:firstLine="0"/>
                    <w:jc w:val="left"/>
                    <w:rPr>
                      <w:sz w:val="14"/>
                    </w:rPr>
                  </w:pPr>
                  <w:r>
                    <w:rPr>
                      <w:sz w:val="14"/>
                    </w:rPr>
                    <w:t>2014</w:t>
                  </w:r>
                </w:p>
              </w:txbxContent>
            </v:textbox>
            <w10:wrap type="none"/>
          </v:shape>
        </w:pict>
      </w:r>
      <w:r>
        <w:rPr/>
        <w:pict>
          <v:shape style="position:absolute;margin-left:400.007843pt;margin-top:-15.772658pt;width:9.75pt;height:16.05pt;mso-position-horizontal-relative:page;mso-position-vertical-relative:paragraph;z-index:252569600" type="#_x0000_t202" filled="false" stroked="false">
            <v:textbox inset="0,0,0,0" style="layout-flow:vertical;mso-layout-flow-alt:bottom-to-top">
              <w:txbxContent>
                <w:p>
                  <w:pPr>
                    <w:spacing w:before="13"/>
                    <w:ind w:left="20" w:right="0" w:firstLine="0"/>
                    <w:jc w:val="left"/>
                    <w:rPr>
                      <w:sz w:val="14"/>
                    </w:rPr>
                  </w:pPr>
                  <w:r>
                    <w:rPr>
                      <w:sz w:val="14"/>
                    </w:rPr>
                    <w:t>2015</w:t>
                  </w:r>
                </w:p>
              </w:txbxContent>
            </v:textbox>
            <w10:wrap type="none"/>
          </v:shape>
        </w:pict>
      </w:r>
      <w:r>
        <w:rPr/>
        <w:pict>
          <v:shape style="position:absolute;margin-left:418.507843pt;margin-top:-15.772658pt;width:9.75pt;height:16.05pt;mso-position-horizontal-relative:page;mso-position-vertical-relative:paragraph;z-index:252570624" type="#_x0000_t202" filled="false" stroked="false">
            <v:textbox inset="0,0,0,0" style="layout-flow:vertical;mso-layout-flow-alt:bottom-to-top">
              <w:txbxContent>
                <w:p>
                  <w:pPr>
                    <w:spacing w:before="13"/>
                    <w:ind w:left="20" w:right="0" w:firstLine="0"/>
                    <w:jc w:val="left"/>
                    <w:rPr>
                      <w:sz w:val="14"/>
                    </w:rPr>
                  </w:pPr>
                  <w:r>
                    <w:rPr>
                      <w:sz w:val="14"/>
                    </w:rPr>
                    <w:t>2016</w:t>
                  </w:r>
                </w:p>
              </w:txbxContent>
            </v:textbox>
            <w10:wrap type="none"/>
          </v:shape>
        </w:pict>
      </w:r>
      <w:r>
        <w:rPr/>
        <w:pict>
          <v:shape style="position:absolute;margin-left:437.017853pt;margin-top:-15.772658pt;width:9.75pt;height:16.05pt;mso-position-horizontal-relative:page;mso-position-vertical-relative:paragraph;z-index:252571648" type="#_x0000_t202" filled="false" stroked="false">
            <v:textbox inset="0,0,0,0" style="layout-flow:vertical;mso-layout-flow-alt:bottom-to-top">
              <w:txbxContent>
                <w:p>
                  <w:pPr>
                    <w:spacing w:before="13"/>
                    <w:ind w:left="20" w:right="0" w:firstLine="0"/>
                    <w:jc w:val="left"/>
                    <w:rPr>
                      <w:sz w:val="14"/>
                    </w:rPr>
                  </w:pPr>
                  <w:r>
                    <w:rPr>
                      <w:sz w:val="14"/>
                    </w:rPr>
                    <w:t>2017</w:t>
                  </w:r>
                </w:p>
              </w:txbxContent>
            </v:textbox>
            <w10:wrap type="none"/>
          </v:shape>
        </w:pict>
      </w:r>
      <w:r>
        <w:rPr/>
        <w:pict>
          <v:shape style="position:absolute;margin-left:455.517853pt;margin-top:-15.772658pt;width:9.75pt;height:16.05pt;mso-position-horizontal-relative:page;mso-position-vertical-relative:paragraph;z-index:252572672" type="#_x0000_t202" filled="false" stroked="false">
            <v:textbox inset="0,0,0,0" style="layout-flow:vertical;mso-layout-flow-alt:bottom-to-top">
              <w:txbxContent>
                <w:p>
                  <w:pPr>
                    <w:spacing w:before="13"/>
                    <w:ind w:left="20" w:right="0" w:firstLine="0"/>
                    <w:jc w:val="left"/>
                    <w:rPr>
                      <w:sz w:val="14"/>
                    </w:rPr>
                  </w:pPr>
                  <w:r>
                    <w:rPr>
                      <w:sz w:val="14"/>
                    </w:rPr>
                    <w:t>2018</w:t>
                  </w:r>
                </w:p>
              </w:txbxContent>
            </v:textbox>
            <w10:wrap type="none"/>
          </v:shape>
        </w:pict>
      </w:r>
      <w:r>
        <w:rPr/>
        <w:pict>
          <v:shape style="position:absolute;margin-left:474.017853pt;margin-top:-15.772658pt;width:9.75pt;height:16.05pt;mso-position-horizontal-relative:page;mso-position-vertical-relative:paragraph;z-index:252573696" type="#_x0000_t202" filled="false" stroked="false">
            <v:textbox inset="0,0,0,0" style="layout-flow:vertical;mso-layout-flow-alt:bottom-to-top">
              <w:txbxContent>
                <w:p>
                  <w:pPr>
                    <w:spacing w:before="13"/>
                    <w:ind w:left="20" w:right="0" w:firstLine="0"/>
                    <w:jc w:val="left"/>
                    <w:rPr>
                      <w:sz w:val="14"/>
                    </w:rPr>
                  </w:pPr>
                  <w:r>
                    <w:rPr>
                      <w:sz w:val="14"/>
                    </w:rPr>
                    <w:t>2019</w:t>
                  </w:r>
                </w:p>
              </w:txbxContent>
            </v:textbox>
            <w10:wrap type="none"/>
          </v:shape>
        </w:pict>
      </w:r>
      <w:r>
        <w:rPr/>
        <w:pict>
          <v:shape style="position:absolute;margin-left:492.527863pt;margin-top:-15.772658pt;width:9.75pt;height:16.05pt;mso-position-horizontal-relative:page;mso-position-vertical-relative:paragraph;z-index:252574720" type="#_x0000_t202" filled="false" stroked="false">
            <v:textbox inset="0,0,0,0" style="layout-flow:vertical;mso-layout-flow-alt:bottom-to-top">
              <w:txbxContent>
                <w:p>
                  <w:pPr>
                    <w:spacing w:before="13"/>
                    <w:ind w:left="20" w:right="0" w:firstLine="0"/>
                    <w:jc w:val="left"/>
                    <w:rPr>
                      <w:sz w:val="14"/>
                    </w:rPr>
                  </w:pPr>
                  <w:r>
                    <w:rPr>
                      <w:sz w:val="14"/>
                    </w:rPr>
                    <w:t>2020</w:t>
                  </w:r>
                </w:p>
              </w:txbxContent>
            </v:textbox>
            <w10:wrap type="none"/>
          </v:shape>
        </w:pict>
      </w:r>
      <w:r>
        <w:rPr/>
        <w:pict>
          <v:shape style="position:absolute;margin-left:511.027863pt;margin-top:-15.772658pt;width:9.75pt;height:16.05pt;mso-position-horizontal-relative:page;mso-position-vertical-relative:paragraph;z-index:252575744" type="#_x0000_t202" filled="false" stroked="false">
            <v:textbox inset="0,0,0,0" style="layout-flow:vertical;mso-layout-flow-alt:bottom-to-top">
              <w:txbxContent>
                <w:p>
                  <w:pPr>
                    <w:spacing w:before="13"/>
                    <w:ind w:left="20" w:right="0" w:firstLine="0"/>
                    <w:jc w:val="left"/>
                    <w:rPr>
                      <w:sz w:val="14"/>
                    </w:rPr>
                  </w:pPr>
                  <w:r>
                    <w:rPr>
                      <w:sz w:val="14"/>
                    </w:rPr>
                    <w:t>2021</w:t>
                  </w:r>
                </w:p>
              </w:txbxContent>
            </v:textbox>
            <w10:wrap type="none"/>
          </v:shape>
        </w:pict>
      </w:r>
      <w:r>
        <w:rPr>
          <w:sz w:val="16"/>
        </w:rPr>
        <w:t>Fuente: Dirección de Análisis y Política Fiscal.</w:t>
      </w:r>
    </w:p>
    <w:p>
      <w:pPr>
        <w:pStyle w:val="BodyText"/>
        <w:rPr>
          <w:sz w:val="18"/>
        </w:rPr>
      </w:pPr>
    </w:p>
    <w:p>
      <w:pPr>
        <w:pStyle w:val="Heading2"/>
        <w:tabs>
          <w:tab w:pos="1977" w:val="left" w:leader="none"/>
        </w:tabs>
        <w:spacing w:line="278" w:lineRule="auto" w:before="114"/>
        <w:ind w:left="1694" w:right="1999" w:hanging="502"/>
      </w:pPr>
      <w:bookmarkStart w:name="_bookmark131" w:id="162"/>
      <w:bookmarkEnd w:id="162"/>
      <w:r>
        <w:rPr>
          <w:b w:val="0"/>
        </w:rPr>
      </w:r>
      <w:r>
        <w:rPr/>
        <w:t>1.1.2.</w:t>
        <w:tab/>
        <w:t>Esfuerzos administrativos y crecimiento económico logran cambiar</w:t>
      </w:r>
      <w:r>
        <w:rPr>
          <w:spacing w:val="-19"/>
        </w:rPr>
        <w:t> </w:t>
      </w:r>
      <w:r>
        <w:rPr/>
        <w:t>la tendencia decreciente de la carga</w:t>
      </w:r>
      <w:r>
        <w:rPr>
          <w:spacing w:val="-4"/>
        </w:rPr>
        <w:t> </w:t>
      </w:r>
      <w:r>
        <w:rPr/>
        <w:t>tributaria</w:t>
      </w:r>
    </w:p>
    <w:p>
      <w:pPr>
        <w:pStyle w:val="BodyText"/>
        <w:spacing w:before="4"/>
        <w:rPr>
          <w:b/>
          <w:sz w:val="24"/>
        </w:rPr>
      </w:pPr>
    </w:p>
    <w:p>
      <w:pPr>
        <w:pStyle w:val="BodyText"/>
        <w:spacing w:line="276" w:lineRule="auto" w:before="1"/>
        <w:ind w:left="562" w:right="1630"/>
      </w:pPr>
      <w:r>
        <w:rPr/>
        <w:t>Luego de la apertura gradual de la economía en agosto de 2020 se empezó a observar aumento en la recaudación tributaria, esto también producto de esfuerzos que realizó la SAT mediante la</w:t>
      </w:r>
    </w:p>
    <w:p>
      <w:pPr>
        <w:spacing w:after="0" w:line="276" w:lineRule="auto"/>
        <w:sectPr>
          <w:type w:val="continuous"/>
          <w:pgSz w:w="12240" w:h="15840"/>
          <w:pgMar w:top="1500" w:bottom="280" w:left="1140" w:right="0"/>
        </w:sectPr>
      </w:pPr>
    </w:p>
    <w:p>
      <w:pPr>
        <w:pStyle w:val="BodyText"/>
        <w:spacing w:line="276" w:lineRule="auto" w:before="162"/>
        <w:ind w:left="562" w:right="1695"/>
        <w:jc w:val="both"/>
      </w:pPr>
      <w:r>
        <w:rPr/>
        <w:t>implementación de medidas contenidas en el Plan Estratégico Institucional 2021-2025, cuyos objetivos se fundamentan en:</w:t>
      </w:r>
    </w:p>
    <w:p>
      <w:pPr>
        <w:pStyle w:val="BodyText"/>
        <w:spacing w:before="1"/>
        <w:rPr>
          <w:sz w:val="25"/>
        </w:rPr>
      </w:pPr>
    </w:p>
    <w:p>
      <w:pPr>
        <w:pStyle w:val="ListParagraph"/>
        <w:numPr>
          <w:ilvl w:val="0"/>
          <w:numId w:val="16"/>
        </w:numPr>
        <w:tabs>
          <w:tab w:pos="1281" w:val="left" w:leader="none"/>
          <w:tab w:pos="1282" w:val="left" w:leader="none"/>
        </w:tabs>
        <w:spacing w:line="273" w:lineRule="auto" w:before="0" w:after="0"/>
        <w:ind w:left="1282" w:right="1703" w:hanging="360"/>
        <w:jc w:val="left"/>
        <w:rPr>
          <w:sz w:val="22"/>
        </w:rPr>
      </w:pPr>
      <w:r>
        <w:rPr>
          <w:sz w:val="22"/>
        </w:rPr>
        <w:t>Aumentar la recaudación tributaria de manera sostenida y reducir la brecha del incumplimiento</w:t>
      </w:r>
      <w:r>
        <w:rPr>
          <w:spacing w:val="-4"/>
          <w:sz w:val="22"/>
        </w:rPr>
        <w:t> </w:t>
      </w:r>
      <w:r>
        <w:rPr>
          <w:sz w:val="22"/>
        </w:rPr>
        <w:t>tributario,</w:t>
      </w:r>
    </w:p>
    <w:p>
      <w:pPr>
        <w:pStyle w:val="ListParagraph"/>
        <w:numPr>
          <w:ilvl w:val="0"/>
          <w:numId w:val="16"/>
        </w:numPr>
        <w:tabs>
          <w:tab w:pos="1281" w:val="left" w:leader="none"/>
          <w:tab w:pos="1282" w:val="left" w:leader="none"/>
        </w:tabs>
        <w:spacing w:line="273" w:lineRule="auto" w:before="4" w:after="0"/>
        <w:ind w:left="1282" w:right="1702" w:hanging="360"/>
        <w:jc w:val="left"/>
        <w:rPr>
          <w:sz w:val="22"/>
        </w:rPr>
      </w:pPr>
      <w:r>
        <w:rPr>
          <w:sz w:val="22"/>
        </w:rPr>
        <w:t>Facilitar a los contribuyentes el cumplimiento el pago se sus obligaciones tributarias y aduaneras</w:t>
      </w:r>
    </w:p>
    <w:p>
      <w:pPr>
        <w:pStyle w:val="ListParagraph"/>
        <w:numPr>
          <w:ilvl w:val="0"/>
          <w:numId w:val="16"/>
        </w:numPr>
        <w:tabs>
          <w:tab w:pos="1281" w:val="left" w:leader="none"/>
          <w:tab w:pos="1282" w:val="left" w:leader="none"/>
        </w:tabs>
        <w:spacing w:line="240" w:lineRule="auto" w:before="2" w:after="0"/>
        <w:ind w:left="1282" w:right="0" w:hanging="361"/>
        <w:jc w:val="left"/>
        <w:rPr>
          <w:sz w:val="22"/>
        </w:rPr>
      </w:pPr>
      <w:r>
        <w:rPr>
          <w:sz w:val="22"/>
        </w:rPr>
        <w:t>Propiciar fiscalizaciones</w:t>
      </w:r>
      <w:r>
        <w:rPr>
          <w:spacing w:val="-15"/>
          <w:sz w:val="22"/>
        </w:rPr>
        <w:t> </w:t>
      </w:r>
      <w:r>
        <w:rPr>
          <w:sz w:val="22"/>
        </w:rPr>
        <w:t>asertivas</w:t>
      </w:r>
    </w:p>
    <w:p>
      <w:pPr>
        <w:pStyle w:val="ListParagraph"/>
        <w:numPr>
          <w:ilvl w:val="0"/>
          <w:numId w:val="16"/>
        </w:numPr>
        <w:tabs>
          <w:tab w:pos="1281" w:val="left" w:leader="none"/>
          <w:tab w:pos="1282" w:val="left" w:leader="none"/>
        </w:tabs>
        <w:spacing w:line="240" w:lineRule="auto" w:before="35" w:after="0"/>
        <w:ind w:left="1282" w:right="0" w:hanging="361"/>
        <w:jc w:val="left"/>
        <w:rPr>
          <w:sz w:val="22"/>
        </w:rPr>
      </w:pPr>
      <w:r>
        <w:rPr>
          <w:sz w:val="22"/>
        </w:rPr>
        <w:t>Eficientar el cobro</w:t>
      </w:r>
      <w:r>
        <w:rPr>
          <w:spacing w:val="-11"/>
          <w:sz w:val="22"/>
        </w:rPr>
        <w:t> </w:t>
      </w:r>
      <w:r>
        <w:rPr>
          <w:sz w:val="22"/>
        </w:rPr>
        <w:t>administrativo</w:t>
      </w:r>
    </w:p>
    <w:p>
      <w:pPr>
        <w:pStyle w:val="ListParagraph"/>
        <w:numPr>
          <w:ilvl w:val="0"/>
          <w:numId w:val="16"/>
        </w:numPr>
        <w:tabs>
          <w:tab w:pos="1281" w:val="left" w:leader="none"/>
          <w:tab w:pos="1282" w:val="left" w:leader="none"/>
        </w:tabs>
        <w:spacing w:line="240" w:lineRule="auto" w:before="38" w:after="0"/>
        <w:ind w:left="1282" w:right="0" w:hanging="361"/>
        <w:jc w:val="left"/>
        <w:rPr>
          <w:sz w:val="22"/>
        </w:rPr>
      </w:pPr>
      <w:r>
        <w:rPr>
          <w:sz w:val="22"/>
        </w:rPr>
        <w:t>Modernizar de manera integral el servicio aduanero</w:t>
      </w:r>
      <w:r>
        <w:rPr>
          <w:spacing w:val="-12"/>
          <w:sz w:val="22"/>
        </w:rPr>
        <w:t> </w:t>
      </w:r>
      <w:r>
        <w:rPr>
          <w:sz w:val="22"/>
        </w:rPr>
        <w:t>y</w:t>
      </w:r>
    </w:p>
    <w:p>
      <w:pPr>
        <w:pStyle w:val="ListParagraph"/>
        <w:numPr>
          <w:ilvl w:val="0"/>
          <w:numId w:val="16"/>
        </w:numPr>
        <w:tabs>
          <w:tab w:pos="1281" w:val="left" w:leader="none"/>
          <w:tab w:pos="1282" w:val="left" w:leader="none"/>
        </w:tabs>
        <w:spacing w:line="240" w:lineRule="auto" w:before="38" w:after="0"/>
        <w:ind w:left="1282" w:right="0" w:hanging="361"/>
        <w:jc w:val="left"/>
        <w:rPr>
          <w:sz w:val="22"/>
        </w:rPr>
      </w:pPr>
      <w:r>
        <w:rPr>
          <w:sz w:val="22"/>
        </w:rPr>
        <w:t>Fortalecer las capacidades de gestión y transparencia</w:t>
      </w:r>
      <w:r>
        <w:rPr>
          <w:spacing w:val="-10"/>
          <w:sz w:val="22"/>
        </w:rPr>
        <w:t> </w:t>
      </w:r>
      <w:r>
        <w:rPr>
          <w:sz w:val="22"/>
        </w:rPr>
        <w:t>institucional.</w:t>
      </w:r>
    </w:p>
    <w:p>
      <w:pPr>
        <w:pStyle w:val="BodyText"/>
        <w:spacing w:before="8"/>
        <w:rPr>
          <w:sz w:val="28"/>
        </w:rPr>
      </w:pPr>
    </w:p>
    <w:p>
      <w:pPr>
        <w:pStyle w:val="BodyText"/>
        <w:spacing w:line="276" w:lineRule="auto"/>
        <w:ind w:left="562" w:right="1693"/>
        <w:jc w:val="both"/>
      </w:pPr>
      <w:r>
        <w:rPr/>
        <w:t>Algunos</w:t>
      </w:r>
      <w:r>
        <w:rPr>
          <w:spacing w:val="-3"/>
        </w:rPr>
        <w:t> </w:t>
      </w:r>
      <w:r>
        <w:rPr/>
        <w:t>aspectos</w:t>
      </w:r>
      <w:r>
        <w:rPr>
          <w:spacing w:val="-3"/>
        </w:rPr>
        <w:t> </w:t>
      </w:r>
      <w:r>
        <w:rPr/>
        <w:t>importantes</w:t>
      </w:r>
      <w:r>
        <w:rPr>
          <w:spacing w:val="-3"/>
        </w:rPr>
        <w:t> </w:t>
      </w:r>
      <w:r>
        <w:rPr/>
        <w:t>a</w:t>
      </w:r>
      <w:r>
        <w:rPr>
          <w:spacing w:val="-3"/>
        </w:rPr>
        <w:t> </w:t>
      </w:r>
      <w:r>
        <w:rPr/>
        <w:t>destacar</w:t>
      </w:r>
      <w:r>
        <w:rPr>
          <w:spacing w:val="-2"/>
        </w:rPr>
        <w:t> </w:t>
      </w:r>
      <w:r>
        <w:rPr/>
        <w:t>en</w:t>
      </w:r>
      <w:r>
        <w:rPr>
          <w:spacing w:val="-3"/>
        </w:rPr>
        <w:t> </w:t>
      </w:r>
      <w:r>
        <w:rPr/>
        <w:t>el</w:t>
      </w:r>
      <w:r>
        <w:rPr>
          <w:spacing w:val="-3"/>
        </w:rPr>
        <w:t> </w:t>
      </w:r>
      <w:r>
        <w:rPr/>
        <w:t>desempeño de</w:t>
      </w:r>
      <w:r>
        <w:rPr>
          <w:spacing w:val="-3"/>
        </w:rPr>
        <w:t> </w:t>
      </w:r>
      <w:r>
        <w:rPr/>
        <w:t>la</w:t>
      </w:r>
      <w:r>
        <w:rPr>
          <w:spacing w:val="-2"/>
        </w:rPr>
        <w:t> </w:t>
      </w:r>
      <w:r>
        <w:rPr/>
        <w:t>SAT</w:t>
      </w:r>
      <w:r>
        <w:rPr>
          <w:spacing w:val="-2"/>
        </w:rPr>
        <w:t> </w:t>
      </w:r>
      <w:r>
        <w:rPr/>
        <w:t>y</w:t>
      </w:r>
      <w:r>
        <w:rPr>
          <w:spacing w:val="-6"/>
        </w:rPr>
        <w:t> </w:t>
      </w:r>
      <w:r>
        <w:rPr/>
        <w:t>que</w:t>
      </w:r>
      <w:r>
        <w:rPr>
          <w:spacing w:val="-3"/>
        </w:rPr>
        <w:t> </w:t>
      </w:r>
      <w:r>
        <w:rPr/>
        <w:t>tienen</w:t>
      </w:r>
      <w:r>
        <w:rPr>
          <w:spacing w:val="-2"/>
        </w:rPr>
        <w:t> </w:t>
      </w:r>
      <w:r>
        <w:rPr/>
        <w:t>impacto</w:t>
      </w:r>
      <w:r>
        <w:rPr>
          <w:spacing w:val="-4"/>
        </w:rPr>
        <w:t> </w:t>
      </w:r>
      <w:r>
        <w:rPr/>
        <w:t>directo</w:t>
      </w:r>
      <w:r>
        <w:rPr>
          <w:spacing w:val="-4"/>
        </w:rPr>
        <w:t> </w:t>
      </w:r>
      <w:r>
        <w:rPr/>
        <w:t>en la recaudación son: el avance en las etapas complementarias a la modernización del RTU digital, avances en el gobierno de datos, seguimiento del modelo de atención de factura electrónica en línea, activación de agencia virtual a distancia y las mejoras al sistema de cita previa, y a programas y acciones como la implementación de auditorías seleccionadas a través de un nuevo modelo de fiscalización mediante la segregación por sector económico, verificación de tributos internos y externos</w:t>
      </w:r>
      <w:r>
        <w:rPr>
          <w:spacing w:val="-6"/>
        </w:rPr>
        <w:t> </w:t>
      </w:r>
      <w:r>
        <w:rPr/>
        <w:t>y</w:t>
      </w:r>
      <w:r>
        <w:rPr>
          <w:spacing w:val="-9"/>
        </w:rPr>
        <w:t> </w:t>
      </w:r>
      <w:r>
        <w:rPr/>
        <w:t>a</w:t>
      </w:r>
      <w:r>
        <w:rPr>
          <w:spacing w:val="-6"/>
        </w:rPr>
        <w:t> </w:t>
      </w:r>
      <w:r>
        <w:rPr/>
        <w:t>la</w:t>
      </w:r>
      <w:r>
        <w:rPr>
          <w:spacing w:val="-6"/>
        </w:rPr>
        <w:t> </w:t>
      </w:r>
      <w:r>
        <w:rPr/>
        <w:t>verificación</w:t>
      </w:r>
      <w:r>
        <w:rPr>
          <w:spacing w:val="-10"/>
        </w:rPr>
        <w:t> </w:t>
      </w:r>
      <w:r>
        <w:rPr/>
        <w:t>de</w:t>
      </w:r>
      <w:r>
        <w:rPr>
          <w:spacing w:val="-6"/>
        </w:rPr>
        <w:t> </w:t>
      </w:r>
      <w:r>
        <w:rPr/>
        <w:t>obligaciones</w:t>
      </w:r>
      <w:r>
        <w:rPr>
          <w:spacing w:val="-5"/>
        </w:rPr>
        <w:t> </w:t>
      </w:r>
      <w:r>
        <w:rPr/>
        <w:t>formales</w:t>
      </w:r>
      <w:r>
        <w:rPr>
          <w:spacing w:val="-5"/>
        </w:rPr>
        <w:t> </w:t>
      </w:r>
      <w:r>
        <w:rPr/>
        <w:t>aunado</w:t>
      </w:r>
      <w:r>
        <w:rPr>
          <w:spacing w:val="-7"/>
        </w:rPr>
        <w:t> </w:t>
      </w:r>
      <w:r>
        <w:rPr/>
        <w:t>a</w:t>
      </w:r>
      <w:r>
        <w:rPr>
          <w:spacing w:val="-6"/>
        </w:rPr>
        <w:t> </w:t>
      </w:r>
      <w:r>
        <w:rPr/>
        <w:t>los</w:t>
      </w:r>
      <w:r>
        <w:rPr>
          <w:spacing w:val="-6"/>
        </w:rPr>
        <w:t> </w:t>
      </w:r>
      <w:r>
        <w:rPr/>
        <w:t>nuevos</w:t>
      </w:r>
      <w:r>
        <w:rPr>
          <w:spacing w:val="-5"/>
        </w:rPr>
        <w:t> </w:t>
      </w:r>
      <w:r>
        <w:rPr/>
        <w:t>proyectos</w:t>
      </w:r>
      <w:r>
        <w:rPr>
          <w:spacing w:val="-7"/>
        </w:rPr>
        <w:t> </w:t>
      </w:r>
      <w:r>
        <w:rPr/>
        <w:t>que</w:t>
      </w:r>
      <w:r>
        <w:rPr>
          <w:spacing w:val="-6"/>
        </w:rPr>
        <w:t> </w:t>
      </w:r>
      <w:r>
        <w:rPr/>
        <w:t>se</w:t>
      </w:r>
      <w:r>
        <w:rPr>
          <w:spacing w:val="-6"/>
        </w:rPr>
        <w:t> </w:t>
      </w:r>
      <w:r>
        <w:rPr/>
        <w:t>encuentra realizando SAT como el nuevo sistema de retenciones</w:t>
      </w:r>
      <w:r>
        <w:rPr>
          <w:spacing w:val="-4"/>
        </w:rPr>
        <w:t> </w:t>
      </w:r>
      <w:r>
        <w:rPr/>
        <w:t>WEB.</w:t>
      </w:r>
    </w:p>
    <w:p>
      <w:pPr>
        <w:pStyle w:val="BodyText"/>
        <w:spacing w:before="3"/>
        <w:rPr>
          <w:sz w:val="25"/>
        </w:rPr>
      </w:pPr>
    </w:p>
    <w:p>
      <w:pPr>
        <w:pStyle w:val="BodyText"/>
        <w:spacing w:line="276" w:lineRule="auto"/>
        <w:ind w:left="562" w:right="1695"/>
        <w:jc w:val="both"/>
      </w:pPr>
      <w:r>
        <w:rPr/>
        <w:t>La Superintendencia de Administración Tributaria en el ramo de aduanas, realizó esfuerzos con la implementación de acciones para combatir la defraudación y el contrabando tales como, mayor eficiencia del control aduanero, seguimiento del plan de combate al contrabando aduanero mediante la puesta en marcha de puestos de control interinstitucional (a la fecha iban 6), a la simplificación, automatización y transparencia en el ingreso y salida de la carga vía aérea, fortalecimiento de la gestión de riesgo, operativos interinstitucionales en aduanas aéreas, terrestres, marítimas, puestos fronterizos,</w:t>
      </w:r>
      <w:r>
        <w:rPr>
          <w:spacing w:val="-10"/>
        </w:rPr>
        <w:t> </w:t>
      </w:r>
      <w:r>
        <w:rPr/>
        <w:t>depósitos</w:t>
      </w:r>
      <w:r>
        <w:rPr>
          <w:spacing w:val="-9"/>
        </w:rPr>
        <w:t> </w:t>
      </w:r>
      <w:r>
        <w:rPr/>
        <w:t>aduaneros</w:t>
      </w:r>
      <w:r>
        <w:rPr>
          <w:spacing w:val="-9"/>
        </w:rPr>
        <w:t> </w:t>
      </w:r>
      <w:r>
        <w:rPr/>
        <w:t>y</w:t>
      </w:r>
      <w:r>
        <w:rPr>
          <w:spacing w:val="-10"/>
        </w:rPr>
        <w:t> </w:t>
      </w:r>
      <w:r>
        <w:rPr/>
        <w:t>zonas</w:t>
      </w:r>
      <w:r>
        <w:rPr>
          <w:spacing w:val="-10"/>
        </w:rPr>
        <w:t> </w:t>
      </w:r>
      <w:r>
        <w:rPr/>
        <w:t>francas,</w:t>
      </w:r>
      <w:r>
        <w:rPr>
          <w:spacing w:val="-9"/>
        </w:rPr>
        <w:t> </w:t>
      </w:r>
      <w:r>
        <w:rPr/>
        <w:t>fortalecimiento</w:t>
      </w:r>
      <w:r>
        <w:rPr>
          <w:spacing w:val="-7"/>
        </w:rPr>
        <w:t> </w:t>
      </w:r>
      <w:r>
        <w:rPr/>
        <w:t>del</w:t>
      </w:r>
      <w:r>
        <w:rPr>
          <w:spacing w:val="-9"/>
        </w:rPr>
        <w:t> </w:t>
      </w:r>
      <w:r>
        <w:rPr/>
        <w:t>intercambio</w:t>
      </w:r>
      <w:r>
        <w:rPr>
          <w:spacing w:val="-8"/>
        </w:rPr>
        <w:t> </w:t>
      </w:r>
      <w:r>
        <w:rPr/>
        <w:t>de</w:t>
      </w:r>
      <w:r>
        <w:rPr>
          <w:spacing w:val="-7"/>
        </w:rPr>
        <w:t> </w:t>
      </w:r>
      <w:r>
        <w:rPr/>
        <w:t>información</w:t>
      </w:r>
      <w:r>
        <w:rPr>
          <w:spacing w:val="-10"/>
        </w:rPr>
        <w:t> </w:t>
      </w:r>
      <w:r>
        <w:rPr/>
        <w:t>con otros Estados Partes, fortalecimiento de la valoración aduanera y a las mejoras en el tiempo de atención de solicitudes entre</w:t>
      </w:r>
      <w:r>
        <w:rPr>
          <w:spacing w:val="-4"/>
        </w:rPr>
        <w:t> </w:t>
      </w:r>
      <w:r>
        <w:rPr/>
        <w:t>otras.</w:t>
      </w:r>
    </w:p>
    <w:p>
      <w:pPr>
        <w:pStyle w:val="BodyText"/>
        <w:rPr>
          <w:sz w:val="18"/>
        </w:rPr>
      </w:pPr>
    </w:p>
    <w:p>
      <w:pPr>
        <w:spacing w:after="0"/>
        <w:rPr>
          <w:sz w:val="18"/>
        </w:rPr>
        <w:sectPr>
          <w:pgSz w:w="12240" w:h="15840"/>
          <w:pgMar w:header="715" w:footer="957" w:top="1240" w:bottom="1140" w:left="1140" w:right="0"/>
        </w:sectPr>
      </w:pPr>
    </w:p>
    <w:p>
      <w:pPr>
        <w:pStyle w:val="BodyText"/>
        <w:rPr>
          <w:sz w:val="18"/>
        </w:rPr>
      </w:pPr>
    </w:p>
    <w:p>
      <w:pPr>
        <w:pStyle w:val="BodyText"/>
        <w:rPr>
          <w:sz w:val="18"/>
        </w:rPr>
      </w:pPr>
    </w:p>
    <w:p>
      <w:pPr>
        <w:pStyle w:val="BodyText"/>
        <w:spacing w:before="3"/>
        <w:rPr>
          <w:sz w:val="23"/>
        </w:rPr>
      </w:pPr>
    </w:p>
    <w:p>
      <w:pPr>
        <w:spacing w:before="0"/>
        <w:ind w:left="0" w:right="0" w:firstLine="0"/>
        <w:jc w:val="right"/>
        <w:rPr>
          <w:sz w:val="16"/>
        </w:rPr>
      </w:pPr>
      <w:bookmarkStart w:name="_bookmark132" w:id="163"/>
      <w:bookmarkEnd w:id="163"/>
      <w:r>
        <w:rPr/>
      </w:r>
      <w:r>
        <w:rPr>
          <w:spacing w:val="-1"/>
          <w:sz w:val="16"/>
        </w:rPr>
        <w:t>11.8%</w:t>
      </w:r>
    </w:p>
    <w:p>
      <w:pPr>
        <w:spacing w:before="103"/>
        <w:ind w:left="0" w:right="0" w:firstLine="0"/>
        <w:jc w:val="right"/>
        <w:rPr>
          <w:sz w:val="16"/>
        </w:rPr>
      </w:pPr>
      <w:r>
        <w:rPr>
          <w:spacing w:val="-1"/>
          <w:sz w:val="16"/>
        </w:rPr>
        <w:t>11.6%</w:t>
      </w:r>
    </w:p>
    <w:p>
      <w:pPr>
        <w:spacing w:before="104"/>
        <w:ind w:left="0" w:right="0" w:firstLine="0"/>
        <w:jc w:val="right"/>
        <w:rPr>
          <w:sz w:val="16"/>
        </w:rPr>
      </w:pPr>
      <w:r>
        <w:rPr>
          <w:spacing w:val="-1"/>
          <w:sz w:val="16"/>
        </w:rPr>
        <w:t>11.4%</w:t>
      </w:r>
    </w:p>
    <w:p>
      <w:pPr>
        <w:spacing w:before="103"/>
        <w:ind w:left="0" w:right="0" w:firstLine="0"/>
        <w:jc w:val="right"/>
        <w:rPr>
          <w:sz w:val="16"/>
        </w:rPr>
      </w:pPr>
      <w:r>
        <w:rPr>
          <w:spacing w:val="-1"/>
          <w:sz w:val="16"/>
        </w:rPr>
        <w:t>11.2%</w:t>
      </w:r>
    </w:p>
    <w:p>
      <w:pPr>
        <w:spacing w:before="104"/>
        <w:ind w:left="0" w:right="0" w:firstLine="0"/>
        <w:jc w:val="right"/>
        <w:rPr>
          <w:sz w:val="16"/>
        </w:rPr>
      </w:pPr>
      <w:r>
        <w:rPr>
          <w:spacing w:val="-1"/>
          <w:sz w:val="16"/>
        </w:rPr>
        <w:t>11.0%</w:t>
      </w:r>
    </w:p>
    <w:p>
      <w:pPr>
        <w:spacing w:before="103"/>
        <w:ind w:left="0" w:right="0" w:firstLine="0"/>
        <w:jc w:val="right"/>
        <w:rPr>
          <w:sz w:val="16"/>
        </w:rPr>
      </w:pPr>
      <w:r>
        <w:rPr>
          <w:spacing w:val="-1"/>
          <w:sz w:val="16"/>
        </w:rPr>
        <w:t>10.8%</w:t>
      </w:r>
    </w:p>
    <w:p>
      <w:pPr>
        <w:spacing w:before="104"/>
        <w:ind w:left="0" w:right="0" w:firstLine="0"/>
        <w:jc w:val="right"/>
        <w:rPr>
          <w:sz w:val="16"/>
        </w:rPr>
      </w:pPr>
      <w:r>
        <w:rPr>
          <w:spacing w:val="-1"/>
          <w:sz w:val="16"/>
        </w:rPr>
        <w:t>10.6%</w:t>
      </w:r>
    </w:p>
    <w:p>
      <w:pPr>
        <w:spacing w:before="103"/>
        <w:ind w:left="0" w:right="0" w:firstLine="0"/>
        <w:jc w:val="right"/>
        <w:rPr>
          <w:sz w:val="16"/>
        </w:rPr>
      </w:pPr>
      <w:r>
        <w:rPr>
          <w:spacing w:val="-1"/>
          <w:sz w:val="16"/>
        </w:rPr>
        <w:t>10.4%</w:t>
      </w:r>
    </w:p>
    <w:p>
      <w:pPr>
        <w:spacing w:before="103"/>
        <w:ind w:left="0" w:right="0" w:firstLine="0"/>
        <w:jc w:val="right"/>
        <w:rPr>
          <w:sz w:val="16"/>
        </w:rPr>
      </w:pPr>
      <w:r>
        <w:rPr>
          <w:spacing w:val="-1"/>
          <w:sz w:val="16"/>
        </w:rPr>
        <w:t>10.2%</w:t>
      </w:r>
    </w:p>
    <w:p>
      <w:pPr>
        <w:spacing w:before="104"/>
        <w:ind w:left="0" w:right="0" w:firstLine="0"/>
        <w:jc w:val="right"/>
        <w:rPr>
          <w:sz w:val="16"/>
        </w:rPr>
      </w:pPr>
      <w:r>
        <w:rPr>
          <w:spacing w:val="-1"/>
          <w:sz w:val="16"/>
        </w:rPr>
        <w:t>10.0%</w:t>
      </w:r>
    </w:p>
    <w:p>
      <w:pPr>
        <w:spacing w:before="91"/>
        <w:ind w:left="1570" w:right="4859" w:firstLine="0"/>
        <w:jc w:val="center"/>
        <w:rPr>
          <w:b/>
          <w:sz w:val="20"/>
        </w:rPr>
      </w:pPr>
      <w:r>
        <w:rPr/>
        <w:br w:type="column"/>
      </w:r>
      <w:r>
        <w:rPr>
          <w:b/>
          <w:i/>
          <w:sz w:val="20"/>
        </w:rPr>
        <w:t>Gráfico 69. </w:t>
      </w:r>
      <w:r>
        <w:rPr>
          <w:b/>
          <w:sz w:val="20"/>
        </w:rPr>
        <w:t>Carga Tributaria</w:t>
      </w:r>
    </w:p>
    <w:p>
      <w:pPr>
        <w:pStyle w:val="BodyText"/>
        <w:spacing w:before="27"/>
        <w:ind w:left="1570" w:right="4858"/>
        <w:jc w:val="center"/>
      </w:pPr>
      <w:r>
        <w:rPr/>
        <w:t>Porcentajes</w:t>
      </w:r>
    </w:p>
    <w:p>
      <w:pPr>
        <w:pStyle w:val="BodyText"/>
        <w:spacing w:before="8"/>
        <w:rPr>
          <w:sz w:val="9"/>
        </w:rPr>
      </w:pPr>
    </w:p>
    <w:p>
      <w:pPr>
        <w:pStyle w:val="BodyText"/>
        <w:ind w:left="42"/>
        <w:rPr>
          <w:sz w:val="20"/>
        </w:rPr>
      </w:pPr>
      <w:r>
        <w:rPr>
          <w:sz w:val="20"/>
        </w:rPr>
        <w:pict>
          <v:group style="width:306.850pt;height:135.2pt;mso-position-horizontal-relative:char;mso-position-vertical-relative:line" coordorigin="0,0" coordsize="6137,2704">
            <v:line style="position:absolute" from="48,2655" to="48,68" stroked="true" strokeweight=".48pt" strokecolor="#888888">
              <v:stroke dashstyle="solid"/>
            </v:line>
            <v:line style="position:absolute" from="0,2655" to="48,2655" stroked="true" strokeweight=".48pt" strokecolor="#888888">
              <v:stroke dashstyle="solid"/>
            </v:line>
            <v:line style="position:absolute" from="0,2367" to="48,2367" stroked="true" strokeweight=".48pt" strokecolor="#888888">
              <v:stroke dashstyle="solid"/>
            </v:line>
            <v:line style="position:absolute" from="0,2079" to="48,2079" stroked="true" strokeweight=".48pt" strokecolor="#888888">
              <v:stroke dashstyle="solid"/>
            </v:line>
            <v:line style="position:absolute" from="0,1793" to="48,1793" stroked="true" strokeweight=".48pt" strokecolor="#888888">
              <v:stroke dashstyle="solid"/>
            </v:line>
            <v:line style="position:absolute" from="0,1505" to="48,1505" stroked="true" strokeweight=".48pt" strokecolor="#888888">
              <v:stroke dashstyle="solid"/>
            </v:line>
            <v:line style="position:absolute" from="0,1217" to="48,1217" stroked="true" strokeweight=".48pt" strokecolor="#888888">
              <v:stroke dashstyle="solid"/>
            </v:line>
            <v:line style="position:absolute" from="0,929" to="48,929" stroked="true" strokeweight=".48pt" strokecolor="#888888">
              <v:stroke dashstyle="solid"/>
            </v:line>
            <v:line style="position:absolute" from="0,644" to="48,644" stroked="true" strokeweight=".48pt" strokecolor="#888888">
              <v:stroke dashstyle="solid"/>
            </v:line>
            <v:line style="position:absolute" from="0,356" to="48,356" stroked="true" strokeweight=".48pt" strokecolor="#888888">
              <v:stroke dashstyle="solid"/>
            </v:line>
            <v:line style="position:absolute" from="0,68" to="48,68" stroked="true" strokeweight=".48pt" strokecolor="#888888">
              <v:stroke dashstyle="solid"/>
            </v:line>
            <v:line style="position:absolute" from="48,2655" to="6132,2655" stroked="true" strokeweight=".48pt" strokecolor="#888888">
              <v:stroke dashstyle="solid"/>
            </v:line>
            <v:line style="position:absolute" from="48,2655" to="48,2703" stroked="true" strokeweight=".48pt" strokecolor="#888888">
              <v:stroke dashstyle="solid"/>
            </v:line>
            <v:line style="position:absolute" from="655,2655" to="655,2703" stroked="true" strokeweight=".48pt" strokecolor="#888888">
              <v:stroke dashstyle="solid"/>
            </v:line>
            <v:line style="position:absolute" from="1265,2655" to="1265,2703" stroked="true" strokeweight=".48pt" strokecolor="#888888">
              <v:stroke dashstyle="solid"/>
            </v:line>
            <v:line style="position:absolute" from="1872,2655" to="1872,2703" stroked="true" strokeweight=".48pt" strokecolor="#888888">
              <v:stroke dashstyle="solid"/>
            </v:line>
            <v:line style="position:absolute" from="2482,2655" to="2482,2703" stroked="true" strokeweight=".48pt" strokecolor="#888888">
              <v:stroke dashstyle="solid"/>
            </v:line>
            <v:line style="position:absolute" from="3089,2655" to="3089,2703" stroked="true" strokeweight=".48pt" strokecolor="#888888">
              <v:stroke dashstyle="solid"/>
            </v:line>
            <v:line style="position:absolute" from="3698,2655" to="3698,2703" stroked="true" strokeweight=".48pt" strokecolor="#888888">
              <v:stroke dashstyle="solid"/>
            </v:line>
            <v:line style="position:absolute" from="4308,2655" to="4308,2703" stroked="true" strokeweight=".48pt" strokecolor="#888888">
              <v:stroke dashstyle="solid"/>
            </v:line>
            <v:line style="position:absolute" from="4915,2655" to="4915,2703" stroked="true" strokeweight=".48pt" strokecolor="#888888">
              <v:stroke dashstyle="solid"/>
            </v:line>
            <v:line style="position:absolute" from="5525,2655" to="5525,2703" stroked="true" strokeweight=".48pt" strokecolor="#888888">
              <v:stroke dashstyle="solid"/>
            </v:line>
            <v:line style="position:absolute" from="6132,2655" to="6132,2703" stroked="true" strokeweight=".48pt" strokecolor="#888888">
              <v:stroke dashstyle="solid"/>
            </v:line>
            <v:shape style="position:absolute;left:351;top:213;width:5477;height:2297" coordorigin="352,213" coordsize="5477,2297" path="m352,1286l961,1034,1568,1252,2178,2013,2785,1535,3395,1545,4002,1646,4612,1790,5219,2510,5828,213e" filled="false" stroked="true" strokeweight="1.56pt" strokecolor="#000000">
              <v:path arrowok="t"/>
              <v:stroke dashstyle="solid"/>
            </v:shape>
            <v:shape style="position:absolute;left:298;top:1230;width:111;height:111" type="#_x0000_t75" stroked="false">
              <v:imagedata r:id="rId118" o:title=""/>
            </v:shape>
            <v:shape style="position:absolute;left:905;top:978;width:111;height:111" type="#_x0000_t75" stroked="false">
              <v:imagedata r:id="rId119" o:title=""/>
            </v:shape>
            <v:shape style="position:absolute;left:1515;top:1199;width:111;height:111" type="#_x0000_t75" stroked="false">
              <v:imagedata r:id="rId118" o:title=""/>
            </v:shape>
            <v:shape style="position:absolute;left:2122;top:1957;width:111;height:111" type="#_x0000_t75" stroked="false">
              <v:imagedata r:id="rId118" o:title=""/>
            </v:shape>
            <v:shape style="position:absolute;left:2731;top:1482;width:111;height:111" type="#_x0000_t75" stroked="false">
              <v:imagedata r:id="rId118" o:title=""/>
            </v:shape>
            <v:shape style="position:absolute;left:3339;top:1489;width:111;height:111" type="#_x0000_t75" stroked="false">
              <v:imagedata r:id="rId118" o:title=""/>
            </v:shape>
            <v:shape style="position:absolute;left:3948;top:1593;width:111;height:111" type="#_x0000_t75" stroked="false">
              <v:imagedata r:id="rId120" o:title=""/>
            </v:shape>
            <v:shape style="position:absolute;left:4555;top:1737;width:111;height:111" type="#_x0000_t75" stroked="false">
              <v:imagedata r:id="rId121" o:title=""/>
            </v:shape>
            <v:shape style="position:absolute;left:5165;top:2457;width:111;height:111" type="#_x0000_t75" stroked="false">
              <v:imagedata r:id="rId118" o:title=""/>
            </v:shape>
            <v:shape style="position:absolute;left:5772;top:157;width:111;height:111" type="#_x0000_t75" stroked="false">
              <v:imagedata r:id="rId118" o:title=""/>
            </v:shape>
            <v:shape style="position:absolute;left:5546;top:0;width:466;height:179" type="#_x0000_t202" filled="false" stroked="false">
              <v:textbox inset="0,0,0,0">
                <w:txbxContent>
                  <w:p>
                    <w:pPr>
                      <w:spacing w:line="178" w:lineRule="exact" w:before="0"/>
                      <w:ind w:left="0" w:right="0" w:firstLine="0"/>
                      <w:jc w:val="left"/>
                      <w:rPr>
                        <w:b/>
                        <w:sz w:val="16"/>
                      </w:rPr>
                    </w:pPr>
                    <w:r>
                      <w:rPr>
                        <w:b/>
                        <w:sz w:val="16"/>
                      </w:rPr>
                      <w:t>11.7%</w:t>
                    </w:r>
                  </w:p>
                </w:txbxContent>
              </v:textbox>
              <w10:wrap type="none"/>
            </v:shape>
            <v:shape style="position:absolute;left:748;top:780;width:466;height:179" type="#_x0000_t202" filled="false" stroked="false">
              <v:textbox inset="0,0,0,0">
                <w:txbxContent>
                  <w:p>
                    <w:pPr>
                      <w:spacing w:line="178" w:lineRule="exact" w:before="0"/>
                      <w:ind w:left="0" w:right="0" w:firstLine="0"/>
                      <w:jc w:val="left"/>
                      <w:rPr>
                        <w:b/>
                        <w:sz w:val="16"/>
                      </w:rPr>
                    </w:pPr>
                    <w:r>
                      <w:rPr>
                        <w:b/>
                        <w:sz w:val="16"/>
                      </w:rPr>
                      <w:t>11.1%</w:t>
                    </w:r>
                  </w:p>
                </w:txbxContent>
              </v:textbox>
              <w10:wrap type="none"/>
            </v:shape>
            <v:shape style="position:absolute;left:1709;top:1073;width:466;height:179" type="#_x0000_t202" filled="false" stroked="false">
              <v:textbox inset="0,0,0,0">
                <w:txbxContent>
                  <w:p>
                    <w:pPr>
                      <w:spacing w:line="178" w:lineRule="exact" w:before="0"/>
                      <w:ind w:left="0" w:right="0" w:firstLine="0"/>
                      <w:jc w:val="left"/>
                      <w:rPr>
                        <w:b/>
                        <w:sz w:val="16"/>
                      </w:rPr>
                    </w:pPr>
                    <w:r>
                      <w:rPr>
                        <w:b/>
                        <w:sz w:val="16"/>
                      </w:rPr>
                      <w:t>11.0%</w:t>
                    </w:r>
                  </w:p>
                </w:txbxContent>
              </v:textbox>
              <w10:wrap type="none"/>
            </v:shape>
            <v:shape style="position:absolute;left:228;top:1371;width:466;height:179" type="#_x0000_t202" filled="false" stroked="false">
              <v:textbox inset="0,0,0,0">
                <w:txbxContent>
                  <w:p>
                    <w:pPr>
                      <w:spacing w:line="178" w:lineRule="exact" w:before="0"/>
                      <w:ind w:left="0" w:right="0" w:firstLine="0"/>
                      <w:jc w:val="left"/>
                      <w:rPr>
                        <w:b/>
                        <w:sz w:val="16"/>
                      </w:rPr>
                    </w:pPr>
                    <w:r>
                      <w:rPr>
                        <w:b/>
                        <w:sz w:val="16"/>
                      </w:rPr>
                      <w:t>11.0%</w:t>
                    </w:r>
                  </w:p>
                </w:txbxContent>
              </v:textbox>
              <w10:wrap type="none"/>
            </v:shape>
            <v:shape style="position:absolute;left:2609;top:1267;width:466;height:179" type="#_x0000_t202" filled="false" stroked="false">
              <v:textbox inset="0,0,0,0">
                <w:txbxContent>
                  <w:p>
                    <w:pPr>
                      <w:spacing w:line="178" w:lineRule="exact" w:before="0"/>
                      <w:ind w:left="0" w:right="0" w:firstLine="0"/>
                      <w:jc w:val="left"/>
                      <w:rPr>
                        <w:b/>
                        <w:sz w:val="16"/>
                      </w:rPr>
                    </w:pPr>
                    <w:r>
                      <w:rPr>
                        <w:b/>
                        <w:sz w:val="16"/>
                      </w:rPr>
                      <w:t>10.8%</w:t>
                    </w:r>
                  </w:p>
                </w:txbxContent>
              </v:textbox>
              <w10:wrap type="none"/>
            </v:shape>
            <v:shape style="position:absolute;left:3827;top:1410;width:466;height:179" type="#_x0000_t202" filled="false" stroked="false">
              <v:textbox inset="0,0,0,0">
                <w:txbxContent>
                  <w:p>
                    <w:pPr>
                      <w:spacing w:line="178" w:lineRule="exact" w:before="0"/>
                      <w:ind w:left="0" w:right="0" w:firstLine="0"/>
                      <w:jc w:val="left"/>
                      <w:rPr>
                        <w:b/>
                        <w:sz w:val="16"/>
                      </w:rPr>
                    </w:pPr>
                    <w:r>
                      <w:rPr>
                        <w:b/>
                        <w:sz w:val="16"/>
                      </w:rPr>
                      <w:t>10.7%</w:t>
                    </w:r>
                  </w:p>
                </w:txbxContent>
              </v:textbox>
              <w10:wrap type="none"/>
            </v:shape>
            <v:shape style="position:absolute;left:4592;top:1526;width:466;height:179" type="#_x0000_t202" filled="false" stroked="false">
              <v:textbox inset="0,0,0,0">
                <w:txbxContent>
                  <w:p>
                    <w:pPr>
                      <w:spacing w:line="178" w:lineRule="exact" w:before="0"/>
                      <w:ind w:left="0" w:right="0" w:firstLine="0"/>
                      <w:jc w:val="left"/>
                      <w:rPr>
                        <w:b/>
                        <w:sz w:val="16"/>
                      </w:rPr>
                    </w:pPr>
                    <w:r>
                      <w:rPr>
                        <w:b/>
                        <w:sz w:val="16"/>
                      </w:rPr>
                      <w:t>10.6%</w:t>
                    </w:r>
                  </w:p>
                </w:txbxContent>
              </v:textbox>
              <w10:wrap type="none"/>
            </v:shape>
            <v:shape style="position:absolute;left:3172;top:1692;width:466;height:179" type="#_x0000_t202" filled="false" stroked="false">
              <v:textbox inset="0,0,0,0">
                <w:txbxContent>
                  <w:p>
                    <w:pPr>
                      <w:spacing w:line="178" w:lineRule="exact" w:before="0"/>
                      <w:ind w:left="0" w:right="0" w:firstLine="0"/>
                      <w:jc w:val="left"/>
                      <w:rPr>
                        <w:b/>
                        <w:sz w:val="16"/>
                      </w:rPr>
                    </w:pPr>
                    <w:r>
                      <w:rPr>
                        <w:b/>
                        <w:sz w:val="16"/>
                      </w:rPr>
                      <w:t>10.8%</w:t>
                    </w:r>
                  </w:p>
                </w:txbxContent>
              </v:textbox>
              <w10:wrap type="none"/>
            </v:shape>
            <v:shape style="position:absolute;left:1955;top:2159;width:466;height:179" type="#_x0000_t202" filled="false" stroked="false">
              <v:textbox inset="0,0,0,0">
                <w:txbxContent>
                  <w:p>
                    <w:pPr>
                      <w:spacing w:line="178" w:lineRule="exact" w:before="0"/>
                      <w:ind w:left="0" w:right="0" w:firstLine="0"/>
                      <w:jc w:val="left"/>
                      <w:rPr>
                        <w:b/>
                        <w:sz w:val="16"/>
                      </w:rPr>
                    </w:pPr>
                    <w:r>
                      <w:rPr>
                        <w:b/>
                        <w:sz w:val="16"/>
                      </w:rPr>
                      <w:t>10.4%</w:t>
                    </w:r>
                  </w:p>
                </w:txbxContent>
              </v:textbox>
              <w10:wrap type="none"/>
            </v:shape>
            <v:shape style="position:absolute;left:4485;top:2388;width:466;height:179" type="#_x0000_t202" filled="false" stroked="false">
              <v:textbox inset="0,0,0,0">
                <w:txbxContent>
                  <w:p>
                    <w:pPr>
                      <w:spacing w:line="178" w:lineRule="exact" w:before="0"/>
                      <w:ind w:left="0" w:right="0" w:firstLine="0"/>
                      <w:jc w:val="left"/>
                      <w:rPr>
                        <w:b/>
                        <w:sz w:val="16"/>
                      </w:rPr>
                    </w:pPr>
                    <w:r>
                      <w:rPr>
                        <w:b/>
                        <w:sz w:val="16"/>
                      </w:rPr>
                      <w:t>10.1%</w:t>
                    </w:r>
                  </w:p>
                </w:txbxContent>
              </v:textbox>
              <w10:wrap type="none"/>
            </v:shape>
          </v:group>
        </w:pict>
      </w:r>
      <w:r>
        <w:rPr>
          <w:sz w:val="20"/>
        </w:rPr>
      </w:r>
    </w:p>
    <w:p>
      <w:pPr>
        <w:tabs>
          <w:tab w:pos="848" w:val="left" w:leader="none"/>
          <w:tab w:pos="1456" w:val="left" w:leader="none"/>
          <w:tab w:pos="2065" w:val="left" w:leader="none"/>
          <w:tab w:pos="2674" w:val="left" w:leader="none"/>
          <w:tab w:pos="3282" w:val="left" w:leader="none"/>
          <w:tab w:pos="3890" w:val="left" w:leader="none"/>
          <w:tab w:pos="4499" w:val="left" w:leader="none"/>
          <w:tab w:pos="5108" w:val="left" w:leader="none"/>
          <w:tab w:pos="5716" w:val="left" w:leader="none"/>
        </w:tabs>
        <w:spacing w:before="14"/>
        <w:ind w:left="239" w:right="0" w:firstLine="0"/>
        <w:jc w:val="left"/>
        <w:rPr>
          <w:sz w:val="16"/>
        </w:rPr>
      </w:pPr>
      <w:r>
        <w:rPr>
          <w:sz w:val="16"/>
        </w:rPr>
        <w:t>2012</w:t>
        <w:tab/>
        <w:t>2013</w:t>
        <w:tab/>
        <w:t>2014</w:t>
        <w:tab/>
        <w:t>2015</w:t>
        <w:tab/>
        <w:t>2016</w:t>
        <w:tab/>
        <w:t>2017</w:t>
        <w:tab/>
        <w:t>2018</w:t>
        <w:tab/>
        <w:t>2019</w:t>
        <w:tab/>
        <w:t>2020</w:t>
        <w:tab/>
        <w:t>2021</w:t>
      </w:r>
    </w:p>
    <w:p>
      <w:pPr>
        <w:spacing w:after="0"/>
        <w:jc w:val="left"/>
        <w:rPr>
          <w:sz w:val="16"/>
        </w:rPr>
        <w:sectPr>
          <w:type w:val="continuous"/>
          <w:pgSz w:w="12240" w:h="15840"/>
          <w:pgMar w:top="1500" w:bottom="280" w:left="1140" w:right="0"/>
          <w:cols w:num="2" w:equalWidth="0">
            <w:col w:w="2112" w:space="40"/>
            <w:col w:w="8948"/>
          </w:cols>
        </w:sectPr>
      </w:pPr>
    </w:p>
    <w:p>
      <w:pPr>
        <w:spacing w:before="42"/>
        <w:ind w:left="1681" w:right="0" w:firstLine="0"/>
        <w:jc w:val="left"/>
        <w:rPr>
          <w:sz w:val="16"/>
        </w:rPr>
      </w:pPr>
      <w:r>
        <w:rPr>
          <w:sz w:val="16"/>
        </w:rPr>
        <w:t>Fuente: Dirección de Análisis y Política Fiscal.</w:t>
      </w:r>
    </w:p>
    <w:p>
      <w:pPr>
        <w:spacing w:after="0"/>
        <w:jc w:val="left"/>
        <w:rPr>
          <w:sz w:val="16"/>
        </w:rPr>
        <w:sectPr>
          <w:type w:val="continuous"/>
          <w:pgSz w:w="12240" w:h="15840"/>
          <w:pgMar w:top="1500" w:bottom="280" w:left="1140" w:right="0"/>
        </w:sectPr>
      </w:pPr>
    </w:p>
    <w:p>
      <w:pPr>
        <w:pStyle w:val="BodyText"/>
        <w:spacing w:line="276" w:lineRule="auto" w:before="162"/>
        <w:ind w:left="562" w:right="1694"/>
        <w:jc w:val="both"/>
      </w:pPr>
      <w:r>
        <w:rPr/>
        <w:t>Los esfuerzos realizados por SAT para contener la caída en la recaudación tributaria observada en 2020 producto de la pandemia se fortalecieron para el ejercicio fiscal 2021, el impacto de esas medidas se observa a través del indicador de carga tributaria </w:t>
      </w:r>
      <w:r>
        <w:rPr>
          <w:spacing w:val="3"/>
        </w:rPr>
        <w:t>la </w:t>
      </w:r>
      <w:r>
        <w:rPr/>
        <w:t>cual paso del 10.1% del año anterior a</w:t>
      </w:r>
      <w:r>
        <w:rPr>
          <w:spacing w:val="-6"/>
        </w:rPr>
        <w:t> </w:t>
      </w:r>
      <w:r>
        <w:rPr/>
        <w:t>un</w:t>
      </w:r>
      <w:r>
        <w:rPr>
          <w:spacing w:val="-6"/>
        </w:rPr>
        <w:t> </w:t>
      </w:r>
      <w:r>
        <w:rPr/>
        <w:t>11.7%,</w:t>
      </w:r>
      <w:r>
        <w:rPr>
          <w:spacing w:val="-6"/>
        </w:rPr>
        <w:t> </w:t>
      </w:r>
      <w:r>
        <w:rPr/>
        <w:t>mayor</w:t>
      </w:r>
      <w:r>
        <w:rPr>
          <w:spacing w:val="-5"/>
        </w:rPr>
        <w:t> </w:t>
      </w:r>
      <w:r>
        <w:rPr/>
        <w:t>incluso</w:t>
      </w:r>
      <w:r>
        <w:rPr>
          <w:spacing w:val="-8"/>
        </w:rPr>
        <w:t> </w:t>
      </w:r>
      <w:r>
        <w:rPr/>
        <w:t>al</w:t>
      </w:r>
      <w:r>
        <w:rPr>
          <w:spacing w:val="-5"/>
        </w:rPr>
        <w:t> </w:t>
      </w:r>
      <w:r>
        <w:rPr/>
        <w:t>observado</w:t>
      </w:r>
      <w:r>
        <w:rPr>
          <w:spacing w:val="-8"/>
        </w:rPr>
        <w:t> </w:t>
      </w:r>
      <w:r>
        <w:rPr/>
        <w:t>en</w:t>
      </w:r>
      <w:r>
        <w:rPr>
          <w:spacing w:val="-6"/>
        </w:rPr>
        <w:t> </w:t>
      </w:r>
      <w:r>
        <w:rPr/>
        <w:t>2013,</w:t>
      </w:r>
      <w:r>
        <w:rPr>
          <w:spacing w:val="-6"/>
        </w:rPr>
        <w:t> </w:t>
      </w:r>
      <w:r>
        <w:rPr/>
        <w:t>y</w:t>
      </w:r>
      <w:r>
        <w:rPr>
          <w:spacing w:val="-8"/>
        </w:rPr>
        <w:t> </w:t>
      </w:r>
      <w:r>
        <w:rPr/>
        <w:t>lejos</w:t>
      </w:r>
      <w:r>
        <w:rPr>
          <w:spacing w:val="-6"/>
        </w:rPr>
        <w:t> </w:t>
      </w:r>
      <w:r>
        <w:rPr/>
        <w:t>del</w:t>
      </w:r>
      <w:r>
        <w:rPr>
          <w:spacing w:val="-7"/>
        </w:rPr>
        <w:t> </w:t>
      </w:r>
      <w:r>
        <w:rPr/>
        <w:t>observado</w:t>
      </w:r>
      <w:r>
        <w:rPr>
          <w:spacing w:val="-6"/>
        </w:rPr>
        <w:t> </w:t>
      </w:r>
      <w:r>
        <w:rPr/>
        <w:t>en</w:t>
      </w:r>
      <w:r>
        <w:rPr>
          <w:spacing w:val="-7"/>
        </w:rPr>
        <w:t> </w:t>
      </w:r>
      <w:r>
        <w:rPr/>
        <w:t>2015</w:t>
      </w:r>
      <w:r>
        <w:rPr>
          <w:spacing w:val="-9"/>
        </w:rPr>
        <w:t> </w:t>
      </w:r>
      <w:r>
        <w:rPr/>
        <w:t>año</w:t>
      </w:r>
      <w:r>
        <w:rPr>
          <w:spacing w:val="-6"/>
        </w:rPr>
        <w:t> </w:t>
      </w:r>
      <w:r>
        <w:rPr/>
        <w:t>en</w:t>
      </w:r>
      <w:r>
        <w:rPr>
          <w:spacing w:val="-6"/>
        </w:rPr>
        <w:t> </w:t>
      </w:r>
      <w:r>
        <w:rPr/>
        <w:t>que</w:t>
      </w:r>
      <w:r>
        <w:rPr>
          <w:spacing w:val="-5"/>
        </w:rPr>
        <w:t> </w:t>
      </w:r>
      <w:r>
        <w:rPr/>
        <w:t>se</w:t>
      </w:r>
      <w:r>
        <w:rPr>
          <w:spacing w:val="-8"/>
        </w:rPr>
        <w:t> </w:t>
      </w:r>
      <w:r>
        <w:rPr/>
        <w:t>suscitó la crisis institucional de la SAT. El resultado observado en 2021 si bien recoge el esfuerzo realizado por SAT a través de medidas administrativas el cual significó cerca de Q1,945.3 millones que se obtuvieron mediante programas realizados por las intendencias de recaudación, de fiscalización, jurídico y aduanas también tiene otros detonantes como el ingreso extraordinario por la venta de acciones una empresa vinculada al sector de las comunicaciones, el efecto del precio de los combustibles,</w:t>
      </w:r>
      <w:r>
        <w:rPr>
          <w:spacing w:val="-10"/>
        </w:rPr>
        <w:t> </w:t>
      </w:r>
      <w:r>
        <w:rPr/>
        <w:t>el</w:t>
      </w:r>
      <w:r>
        <w:rPr>
          <w:spacing w:val="-8"/>
        </w:rPr>
        <w:t> </w:t>
      </w:r>
      <w:r>
        <w:rPr/>
        <w:t>de</w:t>
      </w:r>
      <w:r>
        <w:rPr>
          <w:spacing w:val="-11"/>
        </w:rPr>
        <w:t> </w:t>
      </w:r>
      <w:r>
        <w:rPr/>
        <w:t>tipo</w:t>
      </w:r>
      <w:r>
        <w:rPr>
          <w:spacing w:val="-9"/>
        </w:rPr>
        <w:t> </w:t>
      </w:r>
      <w:r>
        <w:rPr/>
        <w:t>de</w:t>
      </w:r>
      <w:r>
        <w:rPr>
          <w:spacing w:val="-10"/>
        </w:rPr>
        <w:t> </w:t>
      </w:r>
      <w:r>
        <w:rPr/>
        <w:t>cambio,</w:t>
      </w:r>
      <w:r>
        <w:rPr>
          <w:spacing w:val="-9"/>
        </w:rPr>
        <w:t> </w:t>
      </w:r>
      <w:r>
        <w:rPr/>
        <w:t>el</w:t>
      </w:r>
      <w:r>
        <w:rPr>
          <w:spacing w:val="-7"/>
        </w:rPr>
        <w:t> </w:t>
      </w:r>
      <w:r>
        <w:rPr/>
        <w:t>de</w:t>
      </w:r>
      <w:r>
        <w:rPr>
          <w:spacing w:val="-8"/>
        </w:rPr>
        <w:t> </w:t>
      </w:r>
      <w:r>
        <w:rPr/>
        <w:t>no</w:t>
      </w:r>
      <w:r>
        <w:rPr>
          <w:spacing w:val="-9"/>
        </w:rPr>
        <w:t> </w:t>
      </w:r>
      <w:r>
        <w:rPr/>
        <w:t>acreditación</w:t>
      </w:r>
      <w:r>
        <w:rPr>
          <w:spacing w:val="-9"/>
        </w:rPr>
        <w:t> </w:t>
      </w:r>
      <w:r>
        <w:rPr/>
        <w:t>al</w:t>
      </w:r>
      <w:r>
        <w:rPr>
          <w:spacing w:val="-7"/>
        </w:rPr>
        <w:t> </w:t>
      </w:r>
      <w:r>
        <w:rPr/>
        <w:t>fondo</w:t>
      </w:r>
      <w:r>
        <w:rPr>
          <w:spacing w:val="-9"/>
        </w:rPr>
        <w:t> </w:t>
      </w:r>
      <w:r>
        <w:rPr/>
        <w:t>del</w:t>
      </w:r>
      <w:r>
        <w:rPr>
          <w:spacing w:val="-8"/>
        </w:rPr>
        <w:t> </w:t>
      </w:r>
      <w:r>
        <w:rPr/>
        <w:t>crédito</w:t>
      </w:r>
      <w:r>
        <w:rPr>
          <w:spacing w:val="-9"/>
        </w:rPr>
        <w:t> </w:t>
      </w:r>
      <w:r>
        <w:rPr/>
        <w:t>fiscal</w:t>
      </w:r>
      <w:r>
        <w:rPr>
          <w:spacing w:val="-10"/>
        </w:rPr>
        <w:t> </w:t>
      </w:r>
      <w:r>
        <w:rPr/>
        <w:t>a</w:t>
      </w:r>
      <w:r>
        <w:rPr>
          <w:spacing w:val="-8"/>
        </w:rPr>
        <w:t> </w:t>
      </w:r>
      <w:r>
        <w:rPr/>
        <w:t>los</w:t>
      </w:r>
      <w:r>
        <w:rPr>
          <w:spacing w:val="-8"/>
        </w:rPr>
        <w:t> </w:t>
      </w:r>
      <w:r>
        <w:rPr/>
        <w:t>exportadores en los meses de octubre a diciembre y otros</w:t>
      </w:r>
      <w:r>
        <w:rPr>
          <w:spacing w:val="-7"/>
        </w:rPr>
        <w:t> </w:t>
      </w:r>
      <w:r>
        <w:rPr/>
        <w:t>extraordinarios.</w:t>
      </w:r>
    </w:p>
    <w:p>
      <w:pPr>
        <w:pStyle w:val="BodyText"/>
        <w:spacing w:before="7"/>
        <w:rPr>
          <w:sz w:val="25"/>
        </w:rPr>
      </w:pPr>
    </w:p>
    <w:p>
      <w:pPr>
        <w:pStyle w:val="Heading2"/>
        <w:numPr>
          <w:ilvl w:val="1"/>
          <w:numId w:val="14"/>
        </w:numPr>
        <w:tabs>
          <w:tab w:pos="1270" w:val="left" w:leader="none"/>
        </w:tabs>
        <w:spacing w:line="240" w:lineRule="auto" w:before="1" w:after="0"/>
        <w:ind w:left="1270" w:right="0" w:hanging="432"/>
        <w:jc w:val="left"/>
      </w:pPr>
      <w:bookmarkStart w:name="_bookmark133" w:id="164"/>
      <w:bookmarkEnd w:id="164"/>
      <w:r>
        <w:rPr>
          <w:b w:val="0"/>
        </w:rPr>
      </w:r>
      <w:bookmarkStart w:name="_bookmark133" w:id="165"/>
      <w:bookmarkEnd w:id="165"/>
      <w:r>
        <w:rPr/>
        <w:t>Ej</w:t>
      </w:r>
      <w:r>
        <w:rPr/>
        <w:t>ecución del gasto público</w:t>
      </w:r>
    </w:p>
    <w:p>
      <w:pPr>
        <w:pStyle w:val="BodyText"/>
        <w:spacing w:before="6"/>
        <w:rPr>
          <w:b/>
          <w:sz w:val="28"/>
        </w:rPr>
      </w:pPr>
    </w:p>
    <w:p>
      <w:pPr>
        <w:pStyle w:val="BodyText"/>
        <w:spacing w:line="276" w:lineRule="auto" w:before="1"/>
        <w:ind w:left="562" w:right="1696"/>
        <w:jc w:val="both"/>
      </w:pPr>
      <w:r>
        <w:rPr/>
        <w:t>El</w:t>
      </w:r>
      <w:r>
        <w:rPr>
          <w:spacing w:val="-2"/>
        </w:rPr>
        <w:t> </w:t>
      </w:r>
      <w:r>
        <w:rPr/>
        <w:t>no</w:t>
      </w:r>
      <w:r>
        <w:rPr>
          <w:spacing w:val="-3"/>
        </w:rPr>
        <w:t> </w:t>
      </w:r>
      <w:r>
        <w:rPr/>
        <w:t>contar</w:t>
      </w:r>
      <w:r>
        <w:rPr>
          <w:spacing w:val="-3"/>
        </w:rPr>
        <w:t> </w:t>
      </w:r>
      <w:r>
        <w:rPr/>
        <w:t>con</w:t>
      </w:r>
      <w:r>
        <w:rPr>
          <w:spacing w:val="-4"/>
        </w:rPr>
        <w:t> </w:t>
      </w:r>
      <w:r>
        <w:rPr/>
        <w:t>un</w:t>
      </w:r>
      <w:r>
        <w:rPr>
          <w:spacing w:val="-1"/>
        </w:rPr>
        <w:t> </w:t>
      </w:r>
      <w:r>
        <w:rPr/>
        <w:t>presupuesto</w:t>
      </w:r>
      <w:r>
        <w:rPr>
          <w:spacing w:val="-4"/>
        </w:rPr>
        <w:t> </w:t>
      </w:r>
      <w:r>
        <w:rPr/>
        <w:t>aprobado</w:t>
      </w:r>
      <w:r>
        <w:rPr>
          <w:spacing w:val="-3"/>
        </w:rPr>
        <w:t> </w:t>
      </w:r>
      <w:r>
        <w:rPr/>
        <w:t>supuso</w:t>
      </w:r>
      <w:r>
        <w:rPr>
          <w:spacing w:val="-5"/>
        </w:rPr>
        <w:t> </w:t>
      </w:r>
      <w:r>
        <w:rPr/>
        <w:t>incertidumbre</w:t>
      </w:r>
      <w:r>
        <w:rPr>
          <w:spacing w:val="-1"/>
        </w:rPr>
        <w:t> </w:t>
      </w:r>
      <w:r>
        <w:rPr/>
        <w:t>desde</w:t>
      </w:r>
      <w:r>
        <w:rPr>
          <w:spacing w:val="-3"/>
        </w:rPr>
        <w:t> </w:t>
      </w:r>
      <w:r>
        <w:rPr/>
        <w:t>el</w:t>
      </w:r>
      <w:r>
        <w:rPr>
          <w:spacing w:val="-3"/>
        </w:rPr>
        <w:t> </w:t>
      </w:r>
      <w:r>
        <w:rPr/>
        <w:t>inicio</w:t>
      </w:r>
      <w:r>
        <w:rPr>
          <w:spacing w:val="-5"/>
        </w:rPr>
        <w:t> </w:t>
      </w:r>
      <w:r>
        <w:rPr/>
        <w:t>para</w:t>
      </w:r>
      <w:r>
        <w:rPr>
          <w:spacing w:val="-3"/>
        </w:rPr>
        <w:t> </w:t>
      </w:r>
      <w:r>
        <w:rPr/>
        <w:t>la</w:t>
      </w:r>
      <w:r>
        <w:rPr>
          <w:spacing w:val="-3"/>
        </w:rPr>
        <w:t> </w:t>
      </w:r>
      <w:r>
        <w:rPr/>
        <w:t>ejecución</w:t>
      </w:r>
      <w:r>
        <w:rPr>
          <w:spacing w:val="-4"/>
        </w:rPr>
        <w:t> </w:t>
      </w:r>
      <w:r>
        <w:rPr/>
        <w:t>del gasto</w:t>
      </w:r>
      <w:r>
        <w:rPr>
          <w:spacing w:val="-4"/>
        </w:rPr>
        <w:t> </w:t>
      </w:r>
      <w:r>
        <w:rPr/>
        <w:t>público,</w:t>
      </w:r>
      <w:r>
        <w:rPr>
          <w:spacing w:val="-2"/>
        </w:rPr>
        <w:t> </w:t>
      </w:r>
      <w:r>
        <w:rPr/>
        <w:t>derivado</w:t>
      </w:r>
      <w:r>
        <w:rPr>
          <w:spacing w:val="-3"/>
        </w:rPr>
        <w:t> </w:t>
      </w:r>
      <w:r>
        <w:rPr/>
        <w:t>que</w:t>
      </w:r>
      <w:r>
        <w:rPr>
          <w:spacing w:val="-4"/>
        </w:rPr>
        <w:t> </w:t>
      </w:r>
      <w:r>
        <w:rPr/>
        <w:t>la</w:t>
      </w:r>
      <w:r>
        <w:rPr>
          <w:spacing w:val="-3"/>
        </w:rPr>
        <w:t> </w:t>
      </w:r>
      <w:r>
        <w:rPr/>
        <w:t>programación</w:t>
      </w:r>
      <w:r>
        <w:rPr>
          <w:spacing w:val="-3"/>
        </w:rPr>
        <w:t> </w:t>
      </w:r>
      <w:r>
        <w:rPr/>
        <w:t>realizada</w:t>
      </w:r>
      <w:r>
        <w:rPr>
          <w:spacing w:val="-3"/>
        </w:rPr>
        <w:t> </w:t>
      </w:r>
      <w:r>
        <w:rPr/>
        <w:t>para</w:t>
      </w:r>
      <w:r>
        <w:rPr>
          <w:spacing w:val="-2"/>
        </w:rPr>
        <w:t> </w:t>
      </w:r>
      <w:r>
        <w:rPr/>
        <w:t>el</w:t>
      </w:r>
      <w:r>
        <w:rPr>
          <w:spacing w:val="-3"/>
        </w:rPr>
        <w:t> </w:t>
      </w:r>
      <w:r>
        <w:rPr/>
        <w:t>ejercicio no</w:t>
      </w:r>
      <w:r>
        <w:rPr>
          <w:spacing w:val="-4"/>
        </w:rPr>
        <w:t> </w:t>
      </w:r>
      <w:r>
        <w:rPr/>
        <w:t>se</w:t>
      </w:r>
      <w:r>
        <w:rPr>
          <w:spacing w:val="-2"/>
        </w:rPr>
        <w:t> </w:t>
      </w:r>
      <w:r>
        <w:rPr/>
        <w:t>encontraba</w:t>
      </w:r>
      <w:r>
        <w:rPr>
          <w:spacing w:val="-3"/>
        </w:rPr>
        <w:t> </w:t>
      </w:r>
      <w:r>
        <w:rPr/>
        <w:t>acorde</w:t>
      </w:r>
      <w:r>
        <w:rPr>
          <w:spacing w:val="-2"/>
        </w:rPr>
        <w:t> </w:t>
      </w:r>
      <w:r>
        <w:rPr/>
        <w:t>a</w:t>
      </w:r>
      <w:r>
        <w:rPr>
          <w:spacing w:val="-3"/>
        </w:rPr>
        <w:t> </w:t>
      </w:r>
      <w:r>
        <w:rPr>
          <w:spacing w:val="-2"/>
        </w:rPr>
        <w:t>las </w:t>
      </w:r>
      <w:r>
        <w:rPr/>
        <w:t>necesidades que fueron planteadas por las diferentes entidades en sus respectivos proyectos de presupuesto.</w:t>
      </w:r>
    </w:p>
    <w:p>
      <w:pPr>
        <w:pStyle w:val="BodyText"/>
        <w:spacing w:before="3"/>
        <w:rPr>
          <w:sz w:val="25"/>
        </w:rPr>
      </w:pPr>
    </w:p>
    <w:p>
      <w:pPr>
        <w:pStyle w:val="BodyText"/>
        <w:ind w:left="562"/>
        <w:jc w:val="both"/>
      </w:pPr>
      <w:r>
        <w:rPr/>
        <w:t>El presupuesto operativo 2021 tuvo como priorización del gobierno acciones estratégicas como:</w:t>
      </w:r>
    </w:p>
    <w:p>
      <w:pPr>
        <w:pStyle w:val="BodyText"/>
        <w:spacing w:before="5"/>
        <w:rPr>
          <w:sz w:val="28"/>
        </w:rPr>
      </w:pPr>
    </w:p>
    <w:p>
      <w:pPr>
        <w:pStyle w:val="ListParagraph"/>
        <w:numPr>
          <w:ilvl w:val="0"/>
          <w:numId w:val="17"/>
        </w:numPr>
        <w:tabs>
          <w:tab w:pos="1281" w:val="left" w:leader="none"/>
          <w:tab w:pos="1282" w:val="left" w:leader="none"/>
        </w:tabs>
        <w:spacing w:line="240" w:lineRule="auto" w:before="1" w:after="0"/>
        <w:ind w:left="1282" w:right="0" w:hanging="361"/>
        <w:jc w:val="left"/>
        <w:rPr>
          <w:sz w:val="22"/>
        </w:rPr>
      </w:pPr>
      <w:r>
        <w:rPr>
          <w:sz w:val="22"/>
        </w:rPr>
        <w:t>La reconstrucción nacional tras el paso de las tormentas</w:t>
      </w:r>
      <w:r>
        <w:rPr>
          <w:spacing w:val="-4"/>
          <w:sz w:val="22"/>
        </w:rPr>
        <w:t> </w:t>
      </w:r>
      <w:r>
        <w:rPr>
          <w:sz w:val="22"/>
        </w:rPr>
        <w:t>tropicales</w:t>
      </w:r>
    </w:p>
    <w:p>
      <w:pPr>
        <w:pStyle w:val="ListParagraph"/>
        <w:numPr>
          <w:ilvl w:val="0"/>
          <w:numId w:val="17"/>
        </w:numPr>
        <w:tabs>
          <w:tab w:pos="1281" w:val="left" w:leader="none"/>
          <w:tab w:pos="1282" w:val="left" w:leader="none"/>
        </w:tabs>
        <w:spacing w:line="240" w:lineRule="auto" w:before="21" w:after="0"/>
        <w:ind w:left="1282" w:right="0" w:hanging="361"/>
        <w:jc w:val="left"/>
        <w:rPr>
          <w:sz w:val="22"/>
        </w:rPr>
      </w:pPr>
      <w:r>
        <w:rPr>
          <w:sz w:val="22"/>
        </w:rPr>
        <w:t>La reactivación económica, atracción de inversiones y generación de</w:t>
      </w:r>
      <w:r>
        <w:rPr>
          <w:spacing w:val="-15"/>
          <w:sz w:val="22"/>
        </w:rPr>
        <w:t> </w:t>
      </w:r>
      <w:r>
        <w:rPr>
          <w:sz w:val="22"/>
        </w:rPr>
        <w:t>empleos</w:t>
      </w:r>
    </w:p>
    <w:p>
      <w:pPr>
        <w:pStyle w:val="ListParagraph"/>
        <w:numPr>
          <w:ilvl w:val="0"/>
          <w:numId w:val="17"/>
        </w:numPr>
        <w:tabs>
          <w:tab w:pos="1281" w:val="left" w:leader="none"/>
          <w:tab w:pos="1282" w:val="left" w:leader="none"/>
        </w:tabs>
        <w:spacing w:line="256" w:lineRule="auto" w:before="19" w:after="0"/>
        <w:ind w:left="1282" w:right="1703" w:hanging="360"/>
        <w:jc w:val="left"/>
        <w:rPr>
          <w:sz w:val="22"/>
        </w:rPr>
      </w:pPr>
      <w:r>
        <w:rPr>
          <w:sz w:val="22"/>
        </w:rPr>
        <w:t>La compra de la vacuna y otras acciones necesarias para atender la emergencia ocasionada por la pandemia</w:t>
      </w:r>
      <w:r>
        <w:rPr>
          <w:spacing w:val="-1"/>
          <w:sz w:val="22"/>
        </w:rPr>
        <w:t> </w:t>
      </w:r>
      <w:r>
        <w:rPr>
          <w:sz w:val="22"/>
        </w:rPr>
        <w:t>COVID-19.</w:t>
      </w:r>
    </w:p>
    <w:p>
      <w:pPr>
        <w:pStyle w:val="ListParagraph"/>
        <w:numPr>
          <w:ilvl w:val="0"/>
          <w:numId w:val="17"/>
        </w:numPr>
        <w:tabs>
          <w:tab w:pos="1281" w:val="left" w:leader="none"/>
          <w:tab w:pos="1282" w:val="left" w:leader="none"/>
        </w:tabs>
        <w:spacing w:line="240" w:lineRule="auto" w:before="21" w:after="0"/>
        <w:ind w:left="1282" w:right="0" w:hanging="361"/>
        <w:jc w:val="left"/>
        <w:rPr>
          <w:sz w:val="22"/>
        </w:rPr>
      </w:pPr>
      <w:r>
        <w:rPr>
          <w:sz w:val="22"/>
        </w:rPr>
        <w:t>Fortalecimiento del sector justicia y de las instituciones de</w:t>
      </w:r>
      <w:r>
        <w:rPr>
          <w:spacing w:val="-3"/>
          <w:sz w:val="22"/>
        </w:rPr>
        <w:t> </w:t>
      </w:r>
      <w:r>
        <w:rPr>
          <w:sz w:val="22"/>
        </w:rPr>
        <w:t>seguridad</w:t>
      </w:r>
    </w:p>
    <w:p>
      <w:pPr>
        <w:pStyle w:val="BodyText"/>
        <w:spacing w:before="3"/>
        <w:rPr>
          <w:sz w:val="36"/>
        </w:rPr>
      </w:pPr>
    </w:p>
    <w:p>
      <w:pPr>
        <w:pStyle w:val="BodyText"/>
        <w:spacing w:line="276" w:lineRule="auto" w:before="1"/>
        <w:ind w:left="562" w:right="1695"/>
        <w:jc w:val="both"/>
      </w:pPr>
      <w:r>
        <w:rPr/>
        <w:t>Algo a destacar de la ejecución del gasto público de 2021 es que de antemano se conocía que iba a mostrar</w:t>
      </w:r>
      <w:r>
        <w:rPr>
          <w:spacing w:val="-4"/>
        </w:rPr>
        <w:t> </w:t>
      </w:r>
      <w:r>
        <w:rPr/>
        <w:t>un</w:t>
      </w:r>
      <w:r>
        <w:rPr>
          <w:spacing w:val="-4"/>
        </w:rPr>
        <w:t> </w:t>
      </w:r>
      <w:r>
        <w:rPr/>
        <w:t>proceso</w:t>
      </w:r>
      <w:r>
        <w:rPr>
          <w:spacing w:val="-4"/>
        </w:rPr>
        <w:t> </w:t>
      </w:r>
      <w:r>
        <w:rPr/>
        <w:t>de</w:t>
      </w:r>
      <w:r>
        <w:rPr>
          <w:spacing w:val="-3"/>
        </w:rPr>
        <w:t> </w:t>
      </w:r>
      <w:r>
        <w:rPr/>
        <w:t>desaceleración,</w:t>
      </w:r>
      <w:r>
        <w:rPr>
          <w:spacing w:val="-7"/>
        </w:rPr>
        <w:t> </w:t>
      </w:r>
      <w:r>
        <w:rPr/>
        <w:t>lo</w:t>
      </w:r>
      <w:r>
        <w:rPr>
          <w:spacing w:val="-4"/>
        </w:rPr>
        <w:t> </w:t>
      </w:r>
      <w:r>
        <w:rPr/>
        <w:t>cual</w:t>
      </w:r>
      <w:r>
        <w:rPr>
          <w:spacing w:val="-4"/>
        </w:rPr>
        <w:t> </w:t>
      </w:r>
      <w:r>
        <w:rPr/>
        <w:t>estuvo</w:t>
      </w:r>
      <w:r>
        <w:rPr>
          <w:spacing w:val="-4"/>
        </w:rPr>
        <w:t> </w:t>
      </w:r>
      <w:r>
        <w:rPr/>
        <w:t>asociado</w:t>
      </w:r>
      <w:r>
        <w:rPr>
          <w:spacing w:val="-4"/>
        </w:rPr>
        <w:t> </w:t>
      </w:r>
      <w:r>
        <w:rPr/>
        <w:t>a</w:t>
      </w:r>
      <w:r>
        <w:rPr>
          <w:spacing w:val="-3"/>
        </w:rPr>
        <w:t> </w:t>
      </w:r>
      <w:r>
        <w:rPr/>
        <w:t>un</w:t>
      </w:r>
      <w:r>
        <w:rPr>
          <w:spacing w:val="-5"/>
        </w:rPr>
        <w:t> </w:t>
      </w:r>
      <w:r>
        <w:rPr/>
        <w:t>presupuesto</w:t>
      </w:r>
      <w:r>
        <w:rPr>
          <w:spacing w:val="-4"/>
        </w:rPr>
        <w:t> </w:t>
      </w:r>
      <w:r>
        <w:rPr/>
        <w:t>operativo</w:t>
      </w:r>
      <w:r>
        <w:rPr>
          <w:spacing w:val="-4"/>
        </w:rPr>
        <w:t> </w:t>
      </w:r>
      <w:r>
        <w:rPr/>
        <w:t>menor</w:t>
      </w:r>
      <w:r>
        <w:rPr>
          <w:spacing w:val="-4"/>
        </w:rPr>
        <w:t> </w:t>
      </w:r>
      <w:r>
        <w:rPr/>
        <w:t>que la</w:t>
      </w:r>
      <w:r>
        <w:rPr>
          <w:spacing w:val="-4"/>
        </w:rPr>
        <w:t> </w:t>
      </w:r>
      <w:r>
        <w:rPr/>
        <w:t>ejecución</w:t>
      </w:r>
      <w:r>
        <w:rPr>
          <w:spacing w:val="-4"/>
        </w:rPr>
        <w:t> </w:t>
      </w:r>
      <w:r>
        <w:rPr/>
        <w:t>observada</w:t>
      </w:r>
      <w:r>
        <w:rPr>
          <w:spacing w:val="-3"/>
        </w:rPr>
        <w:t> </w:t>
      </w:r>
      <w:r>
        <w:rPr/>
        <w:t>en</w:t>
      </w:r>
      <w:r>
        <w:rPr>
          <w:spacing w:val="-3"/>
        </w:rPr>
        <w:t> </w:t>
      </w:r>
      <w:r>
        <w:rPr/>
        <w:t>2020</w:t>
      </w:r>
      <w:r>
        <w:rPr>
          <w:spacing w:val="-1"/>
        </w:rPr>
        <w:t> </w:t>
      </w:r>
      <w:r>
        <w:rPr/>
        <w:t>(Q96,625.4</w:t>
      </w:r>
      <w:r>
        <w:rPr>
          <w:spacing w:val="-4"/>
        </w:rPr>
        <w:t> </w:t>
      </w:r>
      <w:r>
        <w:rPr/>
        <w:t>millones).</w:t>
      </w:r>
      <w:r>
        <w:rPr>
          <w:spacing w:val="-4"/>
        </w:rPr>
        <w:t> </w:t>
      </w:r>
      <w:r>
        <w:rPr/>
        <w:t>En</w:t>
      </w:r>
      <w:r>
        <w:rPr>
          <w:spacing w:val="-2"/>
        </w:rPr>
        <w:t> </w:t>
      </w:r>
      <w:r>
        <w:rPr/>
        <w:t>2020</w:t>
      </w:r>
      <w:r>
        <w:rPr>
          <w:spacing w:val="-4"/>
        </w:rPr>
        <w:t> </w:t>
      </w:r>
      <w:r>
        <w:rPr/>
        <w:t>la</w:t>
      </w:r>
      <w:r>
        <w:rPr>
          <w:spacing w:val="-3"/>
        </w:rPr>
        <w:t> </w:t>
      </w:r>
      <w:r>
        <w:rPr/>
        <w:t>ejecución</w:t>
      </w:r>
      <w:r>
        <w:rPr>
          <w:spacing w:val="-4"/>
        </w:rPr>
        <w:t> </w:t>
      </w:r>
      <w:r>
        <w:rPr/>
        <w:t>del gasto</w:t>
      </w:r>
      <w:r>
        <w:rPr>
          <w:spacing w:val="-4"/>
        </w:rPr>
        <w:t> </w:t>
      </w:r>
      <w:r>
        <w:rPr/>
        <w:t>público</w:t>
      </w:r>
      <w:r>
        <w:rPr>
          <w:spacing w:val="-1"/>
        </w:rPr>
        <w:t> </w:t>
      </w:r>
      <w:r>
        <w:rPr/>
        <w:t>estuvo asociada</w:t>
      </w:r>
      <w:r>
        <w:rPr>
          <w:spacing w:val="-8"/>
        </w:rPr>
        <w:t> </w:t>
      </w:r>
      <w:r>
        <w:rPr/>
        <w:t>en</w:t>
      </w:r>
      <w:r>
        <w:rPr>
          <w:spacing w:val="-9"/>
        </w:rPr>
        <w:t> </w:t>
      </w:r>
      <w:r>
        <w:rPr/>
        <w:t>gran</w:t>
      </w:r>
      <w:r>
        <w:rPr>
          <w:spacing w:val="-7"/>
        </w:rPr>
        <w:t> </w:t>
      </w:r>
      <w:r>
        <w:rPr/>
        <w:t>medida</w:t>
      </w:r>
      <w:r>
        <w:rPr>
          <w:spacing w:val="-8"/>
        </w:rPr>
        <w:t> </w:t>
      </w:r>
      <w:r>
        <w:rPr/>
        <w:t>a</w:t>
      </w:r>
      <w:r>
        <w:rPr>
          <w:spacing w:val="-6"/>
        </w:rPr>
        <w:t> </w:t>
      </w:r>
      <w:r>
        <w:rPr/>
        <w:t>la</w:t>
      </w:r>
      <w:r>
        <w:rPr>
          <w:spacing w:val="-8"/>
        </w:rPr>
        <w:t> </w:t>
      </w:r>
      <w:r>
        <w:rPr/>
        <w:t>crisis</w:t>
      </w:r>
      <w:r>
        <w:rPr>
          <w:spacing w:val="-7"/>
        </w:rPr>
        <w:t> </w:t>
      </w:r>
      <w:r>
        <w:rPr/>
        <w:t>sanitaria</w:t>
      </w:r>
      <w:r>
        <w:rPr>
          <w:spacing w:val="-8"/>
        </w:rPr>
        <w:t> </w:t>
      </w:r>
      <w:r>
        <w:rPr/>
        <w:t>y</w:t>
      </w:r>
      <w:r>
        <w:rPr>
          <w:spacing w:val="-10"/>
        </w:rPr>
        <w:t> </w:t>
      </w:r>
      <w:r>
        <w:rPr/>
        <w:t>económica</w:t>
      </w:r>
      <w:r>
        <w:rPr>
          <w:spacing w:val="-8"/>
        </w:rPr>
        <w:t> </w:t>
      </w:r>
      <w:r>
        <w:rPr/>
        <w:t>del</w:t>
      </w:r>
      <w:r>
        <w:rPr>
          <w:spacing w:val="-7"/>
        </w:rPr>
        <w:t> </w:t>
      </w:r>
      <w:r>
        <w:rPr/>
        <w:t>COVID-19,</w:t>
      </w:r>
      <w:r>
        <w:rPr>
          <w:spacing w:val="-8"/>
        </w:rPr>
        <w:t> </w:t>
      </w:r>
      <w:r>
        <w:rPr/>
        <w:t>en</w:t>
      </w:r>
      <w:r>
        <w:rPr>
          <w:spacing w:val="-8"/>
        </w:rPr>
        <w:t> </w:t>
      </w:r>
      <w:r>
        <w:rPr/>
        <w:t>2021</w:t>
      </w:r>
      <w:r>
        <w:rPr>
          <w:spacing w:val="-7"/>
        </w:rPr>
        <w:t> </w:t>
      </w:r>
      <w:r>
        <w:rPr/>
        <w:t>si</w:t>
      </w:r>
      <w:r>
        <w:rPr>
          <w:spacing w:val="-7"/>
        </w:rPr>
        <w:t> </w:t>
      </w:r>
      <w:r>
        <w:rPr/>
        <w:t>bien</w:t>
      </w:r>
      <w:r>
        <w:rPr>
          <w:spacing w:val="-7"/>
        </w:rPr>
        <w:t> </w:t>
      </w:r>
      <w:r>
        <w:rPr/>
        <w:t>hubo</w:t>
      </w:r>
      <w:r>
        <w:rPr>
          <w:spacing w:val="-9"/>
        </w:rPr>
        <w:t> </w:t>
      </w:r>
      <w:r>
        <w:rPr/>
        <w:t>gastos destinados a la atención del COVID-19, estos fueron significativamente menores, con un enfoque prioritario en el proceso de vacunación, kits de medicamentos y atención a hospitales y centros temporales de atención al</w:t>
      </w:r>
      <w:r>
        <w:rPr>
          <w:spacing w:val="-2"/>
        </w:rPr>
        <w:t> </w:t>
      </w:r>
      <w:r>
        <w:rPr/>
        <w:t>COVID-19.</w:t>
      </w:r>
    </w:p>
    <w:p>
      <w:pPr>
        <w:pStyle w:val="BodyText"/>
        <w:spacing w:before="3"/>
        <w:rPr>
          <w:sz w:val="25"/>
        </w:rPr>
      </w:pPr>
    </w:p>
    <w:p>
      <w:pPr>
        <w:pStyle w:val="BodyText"/>
        <w:spacing w:line="276" w:lineRule="auto" w:before="1"/>
        <w:ind w:left="562" w:right="1695"/>
        <w:jc w:val="both"/>
      </w:pPr>
      <w:r>
        <w:rPr/>
        <w:t>La ejecución del gasto público total en los primeros meses del año, se encontraba con un buen dinamismo. Al cierre del primer cuatrimestre el gasto público estaba creciendo de forma interanual en 11.3% (equivalente a Q2,637.2 millones), siendo el crecimiento observado ampliamente superior al reportado en 2020, cuando el gasto se estaba contrayendo en 2.0%, dado que estaba en proceso la arquitectura de los programas que darían atención al COVID-19.</w:t>
      </w:r>
    </w:p>
    <w:p>
      <w:pPr>
        <w:pStyle w:val="BodyText"/>
        <w:spacing w:before="3"/>
        <w:rPr>
          <w:sz w:val="25"/>
        </w:rPr>
      </w:pPr>
    </w:p>
    <w:p>
      <w:pPr>
        <w:pStyle w:val="BodyText"/>
        <w:spacing w:line="276" w:lineRule="auto"/>
        <w:ind w:left="562" w:right="1696"/>
        <w:jc w:val="both"/>
      </w:pPr>
      <w:r>
        <w:rPr/>
        <w:t>Después del primer cuatrimestre del año, la dinámica del gasto público empieza a desacelerarse, no obstante, en mayo el crecimiento observado es aún superior al reportado en 2020, cuando el gasto estaba creciendo en 4.2%, dado que aún no se encontraban en plena ejecución los programas que</w:t>
      </w:r>
    </w:p>
    <w:p>
      <w:pPr>
        <w:spacing w:after="0" w:line="276" w:lineRule="auto"/>
        <w:jc w:val="both"/>
        <w:sectPr>
          <w:pgSz w:w="12240" w:h="15840"/>
          <w:pgMar w:header="715" w:footer="957" w:top="1240" w:bottom="1140" w:left="1140" w:right="0"/>
        </w:sectPr>
      </w:pPr>
    </w:p>
    <w:p>
      <w:pPr>
        <w:pStyle w:val="BodyText"/>
        <w:spacing w:line="276" w:lineRule="auto" w:before="162"/>
        <w:ind w:left="562" w:right="1696"/>
        <w:jc w:val="both"/>
      </w:pPr>
      <w:r>
        <w:rPr/>
        <w:t>darían atención al COVID-19. A partir de ahí conforme avanzaron los meses el desempeño de la ejecución del gasto público fue cayendo hasta llegar al -3.7% de contracción observada al cierre del ejercicio</w:t>
      </w:r>
      <w:r>
        <w:rPr>
          <w:spacing w:val="-9"/>
        </w:rPr>
        <w:t> </w:t>
      </w:r>
      <w:r>
        <w:rPr/>
        <w:t>fiscal.</w:t>
      </w:r>
      <w:r>
        <w:rPr>
          <w:spacing w:val="-6"/>
        </w:rPr>
        <w:t> </w:t>
      </w:r>
      <w:r>
        <w:rPr/>
        <w:t>De</w:t>
      </w:r>
      <w:r>
        <w:rPr>
          <w:spacing w:val="-7"/>
        </w:rPr>
        <w:t> </w:t>
      </w:r>
      <w:r>
        <w:rPr/>
        <w:t>no</w:t>
      </w:r>
      <w:r>
        <w:rPr>
          <w:spacing w:val="-8"/>
        </w:rPr>
        <w:t> </w:t>
      </w:r>
      <w:r>
        <w:rPr/>
        <w:t>haberse</w:t>
      </w:r>
      <w:r>
        <w:rPr>
          <w:spacing w:val="-7"/>
        </w:rPr>
        <w:t> </w:t>
      </w:r>
      <w:r>
        <w:rPr/>
        <w:t>tenido</w:t>
      </w:r>
      <w:r>
        <w:rPr>
          <w:spacing w:val="-6"/>
        </w:rPr>
        <w:t> </w:t>
      </w:r>
      <w:r>
        <w:rPr/>
        <w:t>gasto</w:t>
      </w:r>
      <w:r>
        <w:rPr>
          <w:spacing w:val="-9"/>
        </w:rPr>
        <w:t> </w:t>
      </w:r>
      <w:r>
        <w:rPr/>
        <w:t>por</w:t>
      </w:r>
      <w:r>
        <w:rPr>
          <w:spacing w:val="-8"/>
        </w:rPr>
        <w:t> </w:t>
      </w:r>
      <w:r>
        <w:rPr/>
        <w:t>COVID-19</w:t>
      </w:r>
      <w:r>
        <w:rPr>
          <w:spacing w:val="-6"/>
        </w:rPr>
        <w:t> </w:t>
      </w:r>
      <w:r>
        <w:rPr/>
        <w:t>en</w:t>
      </w:r>
      <w:r>
        <w:rPr>
          <w:spacing w:val="-6"/>
        </w:rPr>
        <w:t> </w:t>
      </w:r>
      <w:r>
        <w:rPr/>
        <w:t>2020</w:t>
      </w:r>
      <w:r>
        <w:rPr>
          <w:spacing w:val="-6"/>
        </w:rPr>
        <w:t> </w:t>
      </w:r>
      <w:r>
        <w:rPr/>
        <w:t>y</w:t>
      </w:r>
      <w:r>
        <w:rPr>
          <w:spacing w:val="-9"/>
        </w:rPr>
        <w:t> </w:t>
      </w:r>
      <w:r>
        <w:rPr/>
        <w:t>2021,</w:t>
      </w:r>
      <w:r>
        <w:rPr>
          <w:spacing w:val="-6"/>
        </w:rPr>
        <w:t> </w:t>
      </w:r>
      <w:r>
        <w:rPr/>
        <w:t>se</w:t>
      </w:r>
      <w:r>
        <w:rPr>
          <w:spacing w:val="-6"/>
        </w:rPr>
        <w:t> </w:t>
      </w:r>
      <w:r>
        <w:rPr/>
        <w:t>hubiera</w:t>
      </w:r>
      <w:r>
        <w:rPr>
          <w:spacing w:val="-6"/>
        </w:rPr>
        <w:t> </w:t>
      </w:r>
      <w:r>
        <w:rPr/>
        <w:t>dado</w:t>
      </w:r>
      <w:r>
        <w:rPr>
          <w:spacing w:val="-6"/>
        </w:rPr>
        <w:t> </w:t>
      </w:r>
      <w:r>
        <w:rPr/>
        <w:t>más</w:t>
      </w:r>
      <w:r>
        <w:rPr>
          <w:spacing w:val="-5"/>
        </w:rPr>
        <w:t> </w:t>
      </w:r>
      <w:r>
        <w:rPr/>
        <w:t>bien un</w:t>
      </w:r>
      <w:r>
        <w:rPr>
          <w:spacing w:val="-7"/>
        </w:rPr>
        <w:t> </w:t>
      </w:r>
      <w:r>
        <w:rPr/>
        <w:t>crecimiento</w:t>
      </w:r>
      <w:r>
        <w:rPr>
          <w:spacing w:val="-8"/>
        </w:rPr>
        <w:t> </w:t>
      </w:r>
      <w:r>
        <w:rPr/>
        <w:t>interanual</w:t>
      </w:r>
      <w:r>
        <w:rPr>
          <w:spacing w:val="-6"/>
        </w:rPr>
        <w:t> </w:t>
      </w:r>
      <w:r>
        <w:rPr/>
        <w:t>del</w:t>
      </w:r>
      <w:r>
        <w:rPr>
          <w:spacing w:val="-5"/>
        </w:rPr>
        <w:t> </w:t>
      </w:r>
      <w:r>
        <w:rPr/>
        <w:t>gasto</w:t>
      </w:r>
      <w:r>
        <w:rPr>
          <w:spacing w:val="-9"/>
        </w:rPr>
        <w:t> </w:t>
      </w:r>
      <w:r>
        <w:rPr/>
        <w:t>del</w:t>
      </w:r>
      <w:r>
        <w:rPr>
          <w:spacing w:val="-8"/>
        </w:rPr>
        <w:t> </w:t>
      </w:r>
      <w:r>
        <w:rPr/>
        <w:t>8.6%</w:t>
      </w:r>
      <w:r>
        <w:rPr>
          <w:spacing w:val="-7"/>
        </w:rPr>
        <w:t> </w:t>
      </w:r>
      <w:r>
        <w:rPr/>
        <w:t>en</w:t>
      </w:r>
      <w:r>
        <w:rPr>
          <w:spacing w:val="-8"/>
        </w:rPr>
        <w:t> </w:t>
      </w:r>
      <w:r>
        <w:rPr/>
        <w:t>2021,</w:t>
      </w:r>
      <w:r>
        <w:rPr>
          <w:spacing w:val="-11"/>
        </w:rPr>
        <w:t> </w:t>
      </w:r>
      <w:r>
        <w:rPr/>
        <w:t>mientras</w:t>
      </w:r>
      <w:r>
        <w:rPr>
          <w:spacing w:val="-8"/>
        </w:rPr>
        <w:t> </w:t>
      </w:r>
      <w:r>
        <w:rPr/>
        <w:t>que</w:t>
      </w:r>
      <w:r>
        <w:rPr>
          <w:spacing w:val="-8"/>
        </w:rPr>
        <w:t> </w:t>
      </w:r>
      <w:r>
        <w:rPr/>
        <w:t>en</w:t>
      </w:r>
      <w:r>
        <w:rPr>
          <w:spacing w:val="-9"/>
        </w:rPr>
        <w:t> </w:t>
      </w:r>
      <w:r>
        <w:rPr/>
        <w:t>2020</w:t>
      </w:r>
      <w:r>
        <w:rPr>
          <w:spacing w:val="-6"/>
        </w:rPr>
        <w:t> </w:t>
      </w:r>
      <w:r>
        <w:rPr/>
        <w:t>el</w:t>
      </w:r>
      <w:r>
        <w:rPr>
          <w:spacing w:val="-8"/>
        </w:rPr>
        <w:t> </w:t>
      </w:r>
      <w:r>
        <w:rPr/>
        <w:t>crecimiento</w:t>
      </w:r>
      <w:r>
        <w:rPr>
          <w:spacing w:val="-6"/>
        </w:rPr>
        <w:t> </w:t>
      </w:r>
      <w:r>
        <w:rPr/>
        <w:t>interanual del gasto público hubiera sido únicamente de</w:t>
      </w:r>
      <w:r>
        <w:rPr>
          <w:spacing w:val="-2"/>
        </w:rPr>
        <w:t> </w:t>
      </w:r>
      <w:r>
        <w:rPr/>
        <w:t>0.3%.</w:t>
      </w:r>
    </w:p>
    <w:p>
      <w:pPr>
        <w:pStyle w:val="BodyText"/>
        <w:spacing w:before="3"/>
        <w:rPr>
          <w:sz w:val="25"/>
        </w:rPr>
      </w:pPr>
    </w:p>
    <w:p>
      <w:pPr>
        <w:pStyle w:val="BodyText"/>
        <w:spacing w:line="276" w:lineRule="auto"/>
        <w:ind w:left="562" w:right="1692"/>
        <w:jc w:val="both"/>
      </w:pPr>
      <w:r>
        <w:rPr/>
        <w:t>Por</w:t>
      </w:r>
      <w:r>
        <w:rPr>
          <w:spacing w:val="-6"/>
        </w:rPr>
        <w:t> </w:t>
      </w:r>
      <w:r>
        <w:rPr/>
        <w:t>lo</w:t>
      </w:r>
      <w:r>
        <w:rPr>
          <w:spacing w:val="-6"/>
        </w:rPr>
        <w:t> </w:t>
      </w:r>
      <w:r>
        <w:rPr/>
        <w:t>anterior,</w:t>
      </w:r>
      <w:r>
        <w:rPr>
          <w:spacing w:val="-6"/>
        </w:rPr>
        <w:t> </w:t>
      </w:r>
      <w:r>
        <w:rPr/>
        <w:t>el</w:t>
      </w:r>
      <w:r>
        <w:rPr>
          <w:spacing w:val="-4"/>
        </w:rPr>
        <w:t> </w:t>
      </w:r>
      <w:r>
        <w:rPr/>
        <w:t>cierre</w:t>
      </w:r>
      <w:r>
        <w:rPr>
          <w:spacing w:val="-6"/>
        </w:rPr>
        <w:t> </w:t>
      </w:r>
      <w:r>
        <w:rPr/>
        <w:t>de</w:t>
      </w:r>
      <w:r>
        <w:rPr>
          <w:spacing w:val="-8"/>
        </w:rPr>
        <w:t> </w:t>
      </w:r>
      <w:r>
        <w:rPr/>
        <w:t>2021,</w:t>
      </w:r>
      <w:r>
        <w:rPr>
          <w:spacing w:val="-6"/>
        </w:rPr>
        <w:t> </w:t>
      </w:r>
      <w:r>
        <w:rPr/>
        <w:t>la</w:t>
      </w:r>
      <w:r>
        <w:rPr>
          <w:spacing w:val="-5"/>
        </w:rPr>
        <w:t> </w:t>
      </w:r>
      <w:r>
        <w:rPr/>
        <w:t>ejecución</w:t>
      </w:r>
      <w:r>
        <w:rPr>
          <w:spacing w:val="-6"/>
        </w:rPr>
        <w:t> </w:t>
      </w:r>
      <w:r>
        <w:rPr/>
        <w:t>de</w:t>
      </w:r>
      <w:r>
        <w:rPr>
          <w:spacing w:val="-6"/>
        </w:rPr>
        <w:t> </w:t>
      </w:r>
      <w:r>
        <w:rPr/>
        <w:t>gasto</w:t>
      </w:r>
      <w:r>
        <w:rPr>
          <w:spacing w:val="-5"/>
        </w:rPr>
        <w:t> </w:t>
      </w:r>
      <w:r>
        <w:rPr/>
        <w:t>público</w:t>
      </w:r>
      <w:r>
        <w:rPr>
          <w:spacing w:val="-6"/>
        </w:rPr>
        <w:t> </w:t>
      </w:r>
      <w:r>
        <w:rPr/>
        <w:t>sin</w:t>
      </w:r>
      <w:r>
        <w:rPr>
          <w:spacing w:val="-4"/>
        </w:rPr>
        <w:t> </w:t>
      </w:r>
      <w:r>
        <w:rPr/>
        <w:t>incluir</w:t>
      </w:r>
      <w:r>
        <w:rPr>
          <w:spacing w:val="-5"/>
        </w:rPr>
        <w:t> </w:t>
      </w:r>
      <w:r>
        <w:rPr/>
        <w:t>amortizaciones</w:t>
      </w:r>
      <w:r>
        <w:rPr>
          <w:spacing w:val="-5"/>
        </w:rPr>
        <w:t> </w:t>
      </w:r>
      <w:r>
        <w:rPr/>
        <w:t>de</w:t>
      </w:r>
      <w:r>
        <w:rPr>
          <w:spacing w:val="-6"/>
        </w:rPr>
        <w:t> </w:t>
      </w:r>
      <w:r>
        <w:rPr/>
        <w:t>la</w:t>
      </w:r>
      <w:r>
        <w:rPr>
          <w:spacing w:val="-6"/>
        </w:rPr>
        <w:t> </w:t>
      </w:r>
      <w:r>
        <w:rPr/>
        <w:t>deuda pública, se ubicó en Q90,065.8 millones, equivalente a una ejecución interanual menor en Q3,463.2 millones.</w:t>
      </w:r>
    </w:p>
    <w:p>
      <w:pPr>
        <w:pStyle w:val="BodyText"/>
        <w:rPr>
          <w:sz w:val="18"/>
        </w:rPr>
      </w:pPr>
    </w:p>
    <w:p>
      <w:pPr>
        <w:spacing w:before="91"/>
        <w:ind w:left="1395" w:right="2532" w:firstLine="0"/>
        <w:jc w:val="center"/>
        <w:rPr>
          <w:b/>
          <w:sz w:val="20"/>
        </w:rPr>
      </w:pPr>
      <w:bookmarkStart w:name="_bookmark134" w:id="166"/>
      <w:bookmarkEnd w:id="166"/>
      <w:r>
        <w:rPr/>
      </w:r>
      <w:r>
        <w:rPr>
          <w:b/>
          <w:i/>
          <w:sz w:val="20"/>
        </w:rPr>
        <w:t>Gráfico 70 </w:t>
      </w:r>
      <w:r>
        <w:rPr>
          <w:b/>
          <w:sz w:val="20"/>
        </w:rPr>
        <w:t>Ritmo de ejecución del gasto público</w:t>
      </w:r>
    </w:p>
    <w:p>
      <w:pPr>
        <w:spacing w:before="29"/>
        <w:ind w:left="1395" w:right="2532" w:firstLine="0"/>
        <w:jc w:val="center"/>
        <w:rPr>
          <w:sz w:val="18"/>
        </w:rPr>
      </w:pPr>
      <w:r>
        <w:rPr>
          <w:sz w:val="18"/>
        </w:rPr>
        <w:t>Variación interanual (%)</w:t>
      </w:r>
    </w:p>
    <w:p>
      <w:pPr>
        <w:spacing w:before="44"/>
        <w:ind w:left="891" w:right="0" w:firstLine="0"/>
        <w:jc w:val="left"/>
        <w:rPr>
          <w:sz w:val="14"/>
        </w:rPr>
      </w:pPr>
      <w:r>
        <w:rPr/>
        <w:pict>
          <v:group style="position:absolute;margin-left:119.400002pt;margin-top:6.195173pt;width:397pt;height:175.6pt;mso-position-horizontal-relative:page;mso-position-vertical-relative:paragraph;z-index:252633088" coordorigin="2388,124" coordsize="7940,3512">
            <v:shape style="position:absolute;left:2395;top:131;width:7925;height:3497" type="#_x0000_t75" stroked="false">
              <v:imagedata r:id="rId122" o:title=""/>
            </v:shape>
            <v:line style="position:absolute" from="2395,3628" to="10320,3628" stroked="true" strokeweight=".72pt" strokecolor="#d9d9d9">
              <v:stroke dashstyle="solid"/>
            </v:line>
            <v:shape style="position:absolute;left:2395;top:1628;width:7925;height:1500" coordorigin="2395,1629" coordsize="7925,1500" path="m8309,3129l10320,3129m2395,3129l8064,3129m10138,2130l10320,2130m5261,2130l9895,2130m4651,2130l5016,2130m3432,2130l4406,2130m2395,2130l3187,2130m4651,1629l10320,1629m2395,1629l4406,1629e" filled="false" stroked="true" strokeweight=".72pt" strokecolor="#d9d9d9">
              <v:path arrowok="t"/>
              <v:stroke dashstyle="solid"/>
            </v:shape>
            <v:shape style="position:absolute;left:0;top:7549;width:7925;height:999" coordorigin="0,7550" coordsize="7925,999" path="m2395,1130l10320,1130m2395,630l10320,630m2395,131l10320,131e" filled="false" stroked="true" strokeweight=".72pt" strokecolor="#d9d9d9">
              <v:path arrowok="t"/>
              <v:stroke dashstyle="solid"/>
            </v:shape>
            <v:shape style="position:absolute;left:0;top:11046;width:7925;height:3497" coordorigin="0,11046" coordsize="7925,3497" path="m2395,131l2395,3628m3005,131l3005,3628m3614,131l3614,3628m4224,131l4224,3628m4834,131l4834,3628m5443,131l5443,3628m6053,131l6053,3628m6662,131l6662,3628m7272,131l7272,3628m7882,131l7882,3628m8491,131l8491,3628m9101,131l9101,3628m9710,131l9710,3628m10320,131l10320,3628e" filled="false" stroked="true" strokeweight=".72pt" strokecolor="#d9d9d9">
              <v:path arrowok="t"/>
              <v:stroke dashstyle="solid"/>
            </v:shape>
            <v:shape style="position:absolute;left:9806;top:1746;width:405;height:1017" type="#_x0000_t75" stroked="false">
              <v:imagedata r:id="rId123" o:title=""/>
            </v:shape>
            <v:shape style="position:absolute;left:2488;top:1470;width:7113;height:1862" type="#_x0000_t75" stroked="false">
              <v:imagedata r:id="rId124" o:title=""/>
            </v:shape>
            <v:rect style="position:absolute;left:9895;top:1775;width:243;height:855" filled="true" fillcolor="#ffff00" stroked="false">
              <v:fill type="solid"/>
            </v:rect>
            <v:rect style="position:absolute;left:9895;top:1775;width:243;height:855" filled="false" stroked="true" strokeweight=".48pt" strokecolor="#000000">
              <v:stroke dashstyle="solid"/>
            </v:rect>
            <v:shape style="position:absolute;left:2577;top:1499;width:2684;height:1131" coordorigin="2578,1499" coordsize="2684,1131" path="m2822,2258l2578,2258,2578,2630,2822,2630,2822,2258m3432,2018l3187,2018,3187,2630,3432,2630,3432,2018m4042,2435l3797,2435,3797,2630,4042,2630,4042,2435m4651,1499l4406,1499,4406,2630,4651,2630,4651,1499m5261,1991l5016,1991,5016,2630,5261,2630,5261,1991e" filled="true" fillcolor="#ffc000" stroked="false">
              <v:path arrowok="t"/>
              <v:fill type="solid"/>
            </v:shape>
            <v:line style="position:absolute" from="5626,2610" to="5870,2610" stroked="true" strokeweight="1.92pt" strokecolor="#ffc000">
              <v:stroke dashstyle="solid"/>
            </v:line>
            <v:shape style="position:absolute;left:6235;top:2480;width:3293;height:718" coordorigin="6235,2481" coordsize="3293,718" path="m6480,2481l6235,2481,6235,2630,6480,2630,6480,2481m7090,2630l6845,2630,6845,2771,7090,2771,7090,2630m7699,2630l7454,2630,7454,3064,7699,3064,7699,2630m8309,2630l8064,2630,8064,3198,8309,3198,8309,2630m8918,2630l8676,2630,8676,2966,8918,2966,8918,2630m9528,2630l9286,2630,9286,2999,9528,2999,9528,2630e" filled="true" fillcolor="#ffc000" stroked="false">
              <v:path arrowok="t"/>
              <v:fill type="solid"/>
            </v:shape>
            <v:shape style="position:absolute;left:0;top:10287;width:6951;height:1700" coordorigin="0,10288" coordsize="6951,1700" path="m2578,2258l2822,2258,2822,2630,2578,2630,2578,2258xm3187,2018l3432,2018,3432,2630,3187,2630,3187,2018xm3797,2435l4042,2435,4042,2630,3797,2630,3797,2435xm4406,1499l4651,1499,4651,2630,4406,2630,4406,1499xm5016,1991l5261,1991,5261,2630,5016,2630,5016,1991xm5626,2591l5870,2591,5870,2630,5626,2630,5626,2591xm6235,2481l6480,2481,6480,2630,6235,2630,6235,2481xm6845,2771l7090,2771,7090,2630,6845,2630,6845,2771xm7454,3064l7699,3064,7699,2630,7454,2630,7454,3064xm8064,3198l8309,3198,8309,2630,8064,2630,8064,3198xm8676,2966l8918,2966,8918,2630,8676,2630,8676,2966xm9286,2999l9528,2999,9528,2630,9286,2630,9286,2999xe" filled="false" stroked="true" strokeweight=".48pt" strokecolor="#000000">
              <v:path arrowok="t"/>
              <v:stroke dashstyle="solid"/>
            </v:shape>
            <v:shape style="position:absolute;left:0;top:11046;width:7925;height:41" coordorigin="0,11046" coordsize="7925,41" path="m2395,2630l10320,2630m2395,2630l2395,2670m3005,2630l3005,2670m3614,2630l3614,2670m4224,2630l4224,2670m4834,2630l4834,2670m5443,2630l5443,2670m6053,2630l6053,2670m6662,2630l6662,2670m7272,2630l7272,2670m7882,2630l7882,2670m8491,2630l8491,2670m9101,2630l9101,2670m9710,2630l9710,2670m10320,2630l10320,2670e" filled="false" stroked="true" strokeweight=".72pt" strokecolor="#d9d9d9">
              <v:path arrowok="t"/>
              <v:stroke dashstyle="solid"/>
            </v:shape>
            <v:shape style="position:absolute;left:2570;top:491;width:6950;height:1334" type="#_x0000_t75" stroked="false">
              <v:imagedata r:id="rId125" o:title=""/>
            </v:shape>
            <v:shape style="position:absolute;left:9350;top:858;width:794;height:1870" type="#_x0000_t75" stroked="false">
              <v:imagedata r:id="rId126" o:title=""/>
            </v:shape>
            <v:shape style="position:absolute;left:2642;top:858;width:6893;height:2097" type="#_x0000_t75" stroked="false">
              <v:imagedata r:id="rId127" o:title=""/>
            </v:shape>
            <v:shape style="position:absolute;left:2700;top:561;width:6706;height:1090" coordorigin="2700,561" coordsize="6706,1090" path="m2700,561l2768,598,2835,637,2903,678,2971,719,3039,759,3106,795,3174,827,3242,853,3310,871,3386,882,3462,886,3538,884,3614,876,3691,864,3767,848,3843,830,3919,811,3987,788,4055,757,4122,721,4190,682,4258,644,4326,610,4393,583,4461,565,4529,561,4597,572,4664,596,4732,630,4800,671,4867,716,4935,762,5003,805,5071,842,5138,871,5215,893,5291,909,5367,921,5443,930,5519,938,5596,948,5672,962,5748,981,5824,1006,5900,1037,5977,1071,6053,1107,6129,1142,6205,1176,6281,1206,6358,1231,6434,1250,6510,1267,6586,1281,6662,1292,6739,1301,6815,1309,6891,1315,6967,1321,7043,1324,7120,1325,7196,1323,7272,1321,7348,1317,7424,1314,7501,1311,7577,1311,7653,1310,7729,1308,7805,1306,7882,1304,7958,1304,8034,1306,8110,1311,8186,1321,8263,1334,8339,1352,8415,1373,8491,1396,8567,1420,8644,1445,8720,1469,8796,1491,8876,1512,8963,1535,9051,1558,9139,1581,9222,1603,9296,1622,9359,1638,9406,1650e" filled="false" stroked="true" strokeweight="4.560pt" strokecolor="#5b9bd4">
              <v:path arrowok="t"/>
              <v:stroke dashstyle="dot"/>
            </v:shape>
            <v:line style="position:absolute" from="9407,915" to="10016,2600" stroked="true" strokeweight="1.56pt" strokecolor="#7e7e7e">
              <v:stroke dashstyle="dot"/>
            </v:line>
            <v:shape style="position:absolute;left:2698;top:914;width:6708;height:1913" coordorigin="2699,915" coordsize="6708,1913" path="m2699,2148l3311,2619,3920,2391,4530,2828,5140,2208,5749,1724,6359,1606,6968,1376,7578,1143,8188,1162,8797,1083,9407,915e" filled="false" stroked="true" strokeweight="1.56pt" strokecolor="#7e7e7e">
              <v:path arrowok="t"/>
              <v:stroke dashstyle="solid"/>
            </v:shape>
            <v:line style="position:absolute" from="3919,2435" to="3919,2214" stroked="true" strokeweight=".72pt" strokecolor="#a6a6a6">
              <v:stroke dashstyle="solid"/>
            </v:line>
            <v:line style="position:absolute" from="2700,2147" to="2659,1998" stroked="true" strokeweight=".72pt" strokecolor="#a6a6a6">
              <v:stroke dashstyle="solid"/>
            </v:line>
            <v:line style="position:absolute" from="10015,2598" to="10015,2706" stroked="true" strokeweight=".72pt" strokecolor="#a6a6a6">
              <v:stroke dashstyle="solid"/>
            </v:line>
            <v:shape style="position:absolute;left:2556;top:242;width:304;height:179" type="#_x0000_t202" filled="false" stroked="false">
              <v:textbox inset="0,0,0,0">
                <w:txbxContent>
                  <w:p>
                    <w:pPr>
                      <w:spacing w:line="178" w:lineRule="exact" w:before="0"/>
                      <w:ind w:left="0" w:right="0" w:firstLine="0"/>
                      <w:jc w:val="left"/>
                      <w:rPr>
                        <w:b/>
                        <w:sz w:val="16"/>
                      </w:rPr>
                    </w:pPr>
                    <w:r>
                      <w:rPr>
                        <w:b/>
                        <w:color w:val="2D75B6"/>
                        <w:sz w:val="16"/>
                      </w:rPr>
                      <w:t>20.7</w:t>
                    </w:r>
                  </w:p>
                </w:txbxContent>
              </v:textbox>
              <w10:wrap type="none"/>
            </v:shape>
            <v:shape style="position:absolute;left:4385;top:242;width:304;height:179" type="#_x0000_t202" filled="false" stroked="false">
              <v:textbox inset="0,0,0,0">
                <w:txbxContent>
                  <w:p>
                    <w:pPr>
                      <w:spacing w:line="178" w:lineRule="exact" w:before="0"/>
                      <w:ind w:left="0" w:right="0" w:firstLine="0"/>
                      <w:jc w:val="left"/>
                      <w:rPr>
                        <w:b/>
                        <w:sz w:val="16"/>
                      </w:rPr>
                    </w:pPr>
                    <w:r>
                      <w:rPr>
                        <w:b/>
                        <w:color w:val="2D75B6"/>
                        <w:sz w:val="16"/>
                      </w:rPr>
                      <w:t>20.7</w:t>
                    </w:r>
                  </w:p>
                </w:txbxContent>
              </v:textbox>
              <w10:wrap type="none"/>
            </v:shape>
            <v:shape style="position:absolute;left:3166;top:552;width:304;height:179" type="#_x0000_t202" filled="false" stroked="false">
              <v:textbox inset="0,0,0,0">
                <w:txbxContent>
                  <w:p>
                    <w:pPr>
                      <w:spacing w:line="178" w:lineRule="exact" w:before="0"/>
                      <w:ind w:left="0" w:right="0" w:firstLine="0"/>
                      <w:jc w:val="left"/>
                      <w:rPr>
                        <w:b/>
                        <w:sz w:val="16"/>
                      </w:rPr>
                    </w:pPr>
                    <w:r>
                      <w:rPr>
                        <w:b/>
                        <w:color w:val="2D75B6"/>
                        <w:sz w:val="16"/>
                      </w:rPr>
                      <w:t>17.6</w:t>
                    </w:r>
                  </w:p>
                </w:txbxContent>
              </v:textbox>
              <w10:wrap type="none"/>
            </v:shape>
            <v:shape style="position:absolute;left:3776;top:492;width:304;height:179" type="#_x0000_t202" filled="false" stroked="false">
              <v:textbox inset="0,0,0,0">
                <w:txbxContent>
                  <w:p>
                    <w:pPr>
                      <w:spacing w:line="178" w:lineRule="exact" w:before="0"/>
                      <w:ind w:left="0" w:right="0" w:firstLine="0"/>
                      <w:jc w:val="left"/>
                      <w:rPr>
                        <w:b/>
                        <w:sz w:val="16"/>
                      </w:rPr>
                    </w:pPr>
                    <w:r>
                      <w:rPr>
                        <w:b/>
                        <w:color w:val="2D75B6"/>
                        <w:sz w:val="16"/>
                      </w:rPr>
                      <w:t>18.2</w:t>
                    </w:r>
                  </w:p>
                </w:txbxContent>
              </v:textbox>
              <w10:wrap type="none"/>
            </v:shape>
            <v:shape style="position:absolute;left:4995;top:552;width:304;height:179" type="#_x0000_t202" filled="false" stroked="false">
              <v:textbox inset="0,0,0,0">
                <w:txbxContent>
                  <w:p>
                    <w:pPr>
                      <w:spacing w:line="178" w:lineRule="exact" w:before="0"/>
                      <w:ind w:left="0" w:right="0" w:firstLine="0"/>
                      <w:jc w:val="left"/>
                      <w:rPr>
                        <w:b/>
                        <w:sz w:val="16"/>
                      </w:rPr>
                    </w:pPr>
                    <w:r>
                      <w:rPr>
                        <w:b/>
                        <w:color w:val="2D75B6"/>
                        <w:sz w:val="16"/>
                      </w:rPr>
                      <w:t>17.6</w:t>
                    </w:r>
                  </w:p>
                </w:txbxContent>
              </v:textbox>
              <w10:wrap type="none"/>
            </v:shape>
            <v:shape style="position:absolute;left:5605;top:662;width:304;height:179" type="#_x0000_t202" filled="false" stroked="false">
              <v:textbox inset="0,0,0,0">
                <w:txbxContent>
                  <w:p>
                    <w:pPr>
                      <w:spacing w:line="178" w:lineRule="exact" w:before="0"/>
                      <w:ind w:left="0" w:right="0" w:firstLine="0"/>
                      <w:jc w:val="left"/>
                      <w:rPr>
                        <w:b/>
                        <w:sz w:val="16"/>
                      </w:rPr>
                    </w:pPr>
                    <w:r>
                      <w:rPr>
                        <w:b/>
                        <w:color w:val="2D75B6"/>
                        <w:sz w:val="16"/>
                      </w:rPr>
                      <w:t>16.5</w:t>
                    </w:r>
                  </w:p>
                </w:txbxContent>
              </v:textbox>
              <w10:wrap type="none"/>
            </v:shape>
            <v:shape style="position:absolute;left:6215;top:912;width:304;height:179" type="#_x0000_t202" filled="false" stroked="false">
              <v:textbox inset="0,0,0,0">
                <w:txbxContent>
                  <w:p>
                    <w:pPr>
                      <w:spacing w:line="178" w:lineRule="exact" w:before="0"/>
                      <w:ind w:left="0" w:right="0" w:firstLine="0"/>
                      <w:jc w:val="left"/>
                      <w:rPr>
                        <w:b/>
                        <w:sz w:val="16"/>
                      </w:rPr>
                    </w:pPr>
                    <w:r>
                      <w:rPr>
                        <w:b/>
                        <w:color w:val="2D75B6"/>
                        <w:sz w:val="16"/>
                      </w:rPr>
                      <w:t>14.0</w:t>
                    </w:r>
                  </w:p>
                </w:txbxContent>
              </v:textbox>
              <w10:wrap type="none"/>
            </v:shape>
            <v:shape style="position:absolute;left:7434;top:825;width:304;height:179" type="#_x0000_t202" filled="false" stroked="false">
              <v:textbox inset="0,0,0,0">
                <w:txbxContent>
                  <w:p>
                    <w:pPr>
                      <w:spacing w:line="178" w:lineRule="exact" w:before="0"/>
                      <w:ind w:left="0" w:right="0" w:firstLine="0"/>
                      <w:jc w:val="left"/>
                      <w:rPr>
                        <w:b/>
                        <w:sz w:val="16"/>
                      </w:rPr>
                    </w:pPr>
                    <w:r>
                      <w:rPr>
                        <w:b/>
                        <w:color w:val="3A3838"/>
                        <w:sz w:val="16"/>
                      </w:rPr>
                      <w:t>14.9</w:t>
                    </w:r>
                  </w:p>
                </w:txbxContent>
              </v:textbox>
              <w10:wrap type="none"/>
            </v:shape>
            <v:shape style="position:absolute;left:8044;top:844;width:304;height:179" type="#_x0000_t202" filled="false" stroked="false">
              <v:textbox inset="0,0,0,0">
                <w:txbxContent>
                  <w:p>
                    <w:pPr>
                      <w:spacing w:line="178" w:lineRule="exact" w:before="0"/>
                      <w:ind w:left="0" w:right="0" w:firstLine="0"/>
                      <w:jc w:val="left"/>
                      <w:rPr>
                        <w:b/>
                        <w:sz w:val="16"/>
                      </w:rPr>
                    </w:pPr>
                    <w:r>
                      <w:rPr>
                        <w:b/>
                        <w:color w:val="3A3838"/>
                        <w:sz w:val="16"/>
                      </w:rPr>
                      <w:t>14.7</w:t>
                    </w:r>
                  </w:p>
                </w:txbxContent>
              </v:textbox>
              <w10:wrap type="none"/>
            </v:shape>
            <v:shape style="position:absolute;left:9264;top:717;width:304;height:179" type="#_x0000_t202" filled="false" stroked="false">
              <v:textbox inset="0,0,0,0">
                <w:txbxContent>
                  <w:p>
                    <w:pPr>
                      <w:spacing w:line="178" w:lineRule="exact" w:before="0"/>
                      <w:ind w:left="0" w:right="0" w:firstLine="0"/>
                      <w:jc w:val="left"/>
                      <w:rPr>
                        <w:b/>
                        <w:sz w:val="16"/>
                      </w:rPr>
                    </w:pPr>
                    <w:r>
                      <w:rPr>
                        <w:b/>
                        <w:color w:val="3A3838"/>
                        <w:sz w:val="16"/>
                      </w:rPr>
                      <w:t>17.2</w:t>
                    </w:r>
                  </w:p>
                </w:txbxContent>
              </v:textbox>
              <w10:wrap type="none"/>
            </v:shape>
            <v:shape style="position:absolute;left:6825;top:1002;width:304;height:179" type="#_x0000_t202" filled="false" stroked="false">
              <v:textbox inset="0,0,0,0">
                <w:txbxContent>
                  <w:p>
                    <w:pPr>
                      <w:spacing w:line="178" w:lineRule="exact" w:before="0"/>
                      <w:ind w:left="0" w:right="0" w:firstLine="0"/>
                      <w:jc w:val="left"/>
                      <w:rPr>
                        <w:b/>
                        <w:sz w:val="16"/>
                      </w:rPr>
                    </w:pPr>
                    <w:r>
                      <w:rPr>
                        <w:b/>
                        <w:color w:val="2D75B6"/>
                        <w:sz w:val="16"/>
                      </w:rPr>
                      <w:t>13.1</w:t>
                    </w:r>
                  </w:p>
                </w:txbxContent>
              </v:textbox>
              <w10:wrap type="none"/>
            </v:shape>
            <v:shape style="position:absolute;left:4385;top:1231;width:304;height:179" type="#_x0000_t202" filled="false" stroked="false">
              <v:textbox inset="0,0,0,0">
                <w:txbxContent>
                  <w:p>
                    <w:pPr>
                      <w:spacing w:line="178" w:lineRule="exact" w:before="0"/>
                      <w:ind w:left="0" w:right="0" w:firstLine="0"/>
                      <w:jc w:val="left"/>
                      <w:rPr>
                        <w:b/>
                        <w:sz w:val="16"/>
                      </w:rPr>
                    </w:pPr>
                    <w:r>
                      <w:rPr>
                        <w:b/>
                        <w:color w:val="7E5F00"/>
                        <w:sz w:val="16"/>
                      </w:rPr>
                      <w:t>11.3</w:t>
                    </w:r>
                  </w:p>
                </w:txbxContent>
              </v:textbox>
              <w10:wrap type="none"/>
            </v:shape>
            <v:shape style="position:absolute;left:8654;top:855;width:326;height:496" type="#_x0000_t202" filled="false" stroked="false">
              <v:textbox inset="0,0,0,0">
                <w:txbxContent>
                  <w:p>
                    <w:pPr>
                      <w:spacing w:line="178" w:lineRule="exact" w:before="0"/>
                      <w:ind w:left="21" w:right="0" w:firstLine="0"/>
                      <w:jc w:val="left"/>
                      <w:rPr>
                        <w:b/>
                        <w:sz w:val="16"/>
                      </w:rPr>
                    </w:pPr>
                    <w:r>
                      <w:rPr>
                        <w:b/>
                        <w:color w:val="3A3838"/>
                        <w:sz w:val="16"/>
                      </w:rPr>
                      <w:t>15.5</w:t>
                    </w:r>
                  </w:p>
                  <w:p>
                    <w:pPr>
                      <w:spacing w:before="133"/>
                      <w:ind w:left="0" w:right="0" w:firstLine="0"/>
                      <w:jc w:val="left"/>
                      <w:rPr>
                        <w:b/>
                        <w:sz w:val="16"/>
                      </w:rPr>
                    </w:pPr>
                    <w:r>
                      <w:rPr>
                        <w:b/>
                        <w:color w:val="2D75B6"/>
                        <w:sz w:val="16"/>
                      </w:rPr>
                      <w:t>11.4</w:t>
                    </w:r>
                  </w:p>
                </w:txbxContent>
              </v:textbox>
              <w10:wrap type="none"/>
            </v:shape>
            <v:shape style="position:absolute;left:5646;top:1405;width:223;height:179" type="#_x0000_t202" filled="false" stroked="false">
              <v:textbox inset="0,0,0,0">
                <w:txbxContent>
                  <w:p>
                    <w:pPr>
                      <w:spacing w:line="178" w:lineRule="exact" w:before="0"/>
                      <w:ind w:left="0" w:right="0" w:firstLine="0"/>
                      <w:jc w:val="left"/>
                      <w:rPr>
                        <w:b/>
                        <w:sz w:val="16"/>
                      </w:rPr>
                    </w:pPr>
                    <w:r>
                      <w:rPr>
                        <w:b/>
                        <w:color w:val="3A3838"/>
                        <w:sz w:val="16"/>
                      </w:rPr>
                      <w:t>9.1</w:t>
                    </w:r>
                  </w:p>
                </w:txbxContent>
              </v:textbox>
              <w10:wrap type="none"/>
            </v:shape>
            <v:shape style="position:absolute;left:6904;top:1459;width:304;height:179" type="#_x0000_t202" filled="false" stroked="false">
              <v:textbox inset="0,0,0,0">
                <w:txbxContent>
                  <w:p>
                    <w:pPr>
                      <w:spacing w:line="178" w:lineRule="exact" w:before="0"/>
                      <w:ind w:left="0" w:right="0" w:firstLine="0"/>
                      <w:jc w:val="left"/>
                      <w:rPr>
                        <w:b/>
                        <w:sz w:val="16"/>
                      </w:rPr>
                    </w:pPr>
                    <w:r>
                      <w:rPr>
                        <w:b/>
                        <w:color w:val="3A3838"/>
                        <w:sz w:val="16"/>
                      </w:rPr>
                      <w:t>12.5</w:t>
                    </w:r>
                  </w:p>
                </w:txbxContent>
              </v:textbox>
              <w10:wrap type="none"/>
            </v:shape>
            <v:shape style="position:absolute;left:7414;top:1392;width:304;height:179" type="#_x0000_t202" filled="false" stroked="false">
              <v:textbox inset="0,0,0,0">
                <w:txbxContent>
                  <w:p>
                    <w:pPr>
                      <w:spacing w:line="178" w:lineRule="exact" w:before="0"/>
                      <w:ind w:left="0" w:right="0" w:firstLine="0"/>
                      <w:jc w:val="left"/>
                      <w:rPr>
                        <w:b/>
                        <w:sz w:val="16"/>
                      </w:rPr>
                    </w:pPr>
                    <w:r>
                      <w:rPr>
                        <w:b/>
                        <w:color w:val="2D75B6"/>
                        <w:sz w:val="16"/>
                      </w:rPr>
                      <w:t>13.2</w:t>
                    </w:r>
                  </w:p>
                </w:txbxContent>
              </v:textbox>
              <w10:wrap type="none"/>
            </v:shape>
            <v:shape style="position:absolute;left:8084;top:1422;width:304;height:179" type="#_x0000_t202" filled="false" stroked="false">
              <v:textbox inset="0,0,0,0">
                <w:txbxContent>
                  <w:p>
                    <w:pPr>
                      <w:spacing w:line="178" w:lineRule="exact" w:before="0"/>
                      <w:ind w:left="0" w:right="0" w:firstLine="0"/>
                      <w:jc w:val="left"/>
                      <w:rPr>
                        <w:b/>
                        <w:sz w:val="16"/>
                      </w:rPr>
                    </w:pPr>
                    <w:r>
                      <w:rPr>
                        <w:b/>
                        <w:color w:val="2D75B6"/>
                        <w:sz w:val="16"/>
                      </w:rPr>
                      <w:t>13.1</w:t>
                    </w:r>
                  </w:p>
                </w:txbxContent>
              </v:textbox>
              <w10:wrap type="none"/>
            </v:shape>
            <v:shape style="position:absolute;left:9304;top:1332;width:223;height:179" type="#_x0000_t202" filled="false" stroked="false">
              <v:textbox inset="0,0,0,0">
                <w:txbxContent>
                  <w:p>
                    <w:pPr>
                      <w:spacing w:line="178" w:lineRule="exact" w:before="0"/>
                      <w:ind w:left="0" w:right="0" w:firstLine="0"/>
                      <w:jc w:val="left"/>
                      <w:rPr>
                        <w:b/>
                        <w:sz w:val="16"/>
                      </w:rPr>
                    </w:pPr>
                    <w:r>
                      <w:rPr>
                        <w:b/>
                        <w:color w:val="2D75B6"/>
                        <w:sz w:val="16"/>
                      </w:rPr>
                      <w:t>9.8</w:t>
                    </w:r>
                  </w:p>
                </w:txbxContent>
              </v:textbox>
              <w10:wrap type="none"/>
            </v:shape>
            <v:shape style="position:absolute;left:9914;top:1507;width:223;height:179" type="#_x0000_t202" filled="false" stroked="false">
              <v:textbox inset="0,0,0,0">
                <w:txbxContent>
                  <w:p>
                    <w:pPr>
                      <w:spacing w:line="178" w:lineRule="exact" w:before="0"/>
                      <w:ind w:left="0" w:right="0" w:firstLine="0"/>
                      <w:jc w:val="left"/>
                      <w:rPr>
                        <w:b/>
                        <w:sz w:val="16"/>
                      </w:rPr>
                    </w:pPr>
                    <w:r>
                      <w:rPr>
                        <w:b/>
                        <w:color w:val="7E5F00"/>
                        <w:sz w:val="16"/>
                      </w:rPr>
                      <w:t>8.6</w:t>
                    </w:r>
                  </w:p>
                </w:txbxContent>
              </v:textbox>
              <w10:wrap type="none"/>
            </v:shape>
            <v:shape style="position:absolute;left:2557;top:1790;width:263;height:379" type="#_x0000_t202" filled="false" stroked="false">
              <v:textbox inset="0,0,0,0">
                <w:txbxContent>
                  <w:p>
                    <w:pPr>
                      <w:spacing w:line="178" w:lineRule="exact" w:before="0"/>
                      <w:ind w:left="0" w:right="0" w:firstLine="0"/>
                      <w:jc w:val="left"/>
                      <w:rPr>
                        <w:b/>
                        <w:sz w:val="16"/>
                      </w:rPr>
                    </w:pPr>
                    <w:r>
                      <w:rPr>
                        <w:b/>
                        <w:color w:val="3A3838"/>
                        <w:sz w:val="16"/>
                      </w:rPr>
                      <w:t>4.8</w:t>
                    </w:r>
                  </w:p>
                  <w:p>
                    <w:pPr>
                      <w:spacing w:before="16"/>
                      <w:ind w:left="39" w:right="0" w:firstLine="0"/>
                      <w:jc w:val="left"/>
                      <w:rPr>
                        <w:b/>
                        <w:sz w:val="16"/>
                      </w:rPr>
                    </w:pPr>
                    <w:r>
                      <w:rPr>
                        <w:b/>
                        <w:color w:val="7E5F00"/>
                        <w:sz w:val="16"/>
                      </w:rPr>
                      <w:t>3.7</w:t>
                    </w:r>
                  </w:p>
                </w:txbxContent>
              </v:textbox>
              <w10:wrap type="none"/>
            </v:shape>
            <v:shape style="position:absolute;left:3206;top:1749;width:223;height:179" type="#_x0000_t202" filled="false" stroked="false">
              <v:textbox inset="0,0,0,0">
                <w:txbxContent>
                  <w:p>
                    <w:pPr>
                      <w:spacing w:line="178" w:lineRule="exact" w:before="0"/>
                      <w:ind w:left="0" w:right="0" w:firstLine="0"/>
                      <w:jc w:val="left"/>
                      <w:rPr>
                        <w:b/>
                        <w:sz w:val="16"/>
                      </w:rPr>
                    </w:pPr>
                    <w:r>
                      <w:rPr>
                        <w:b/>
                        <w:color w:val="7E5F00"/>
                        <w:sz w:val="16"/>
                      </w:rPr>
                      <w:t>6.1</w:t>
                    </w:r>
                  </w:p>
                </w:txbxContent>
              </v:textbox>
              <w10:wrap type="none"/>
            </v:shape>
            <v:shape style="position:absolute;left:5036;top:1723;width:223;height:179" type="#_x0000_t202" filled="false" stroked="false">
              <v:textbox inset="0,0,0,0">
                <w:txbxContent>
                  <w:p>
                    <w:pPr>
                      <w:spacing w:line="178" w:lineRule="exact" w:before="0"/>
                      <w:ind w:left="0" w:right="0" w:firstLine="0"/>
                      <w:jc w:val="left"/>
                      <w:rPr>
                        <w:b/>
                        <w:sz w:val="16"/>
                      </w:rPr>
                    </w:pPr>
                    <w:r>
                      <w:rPr>
                        <w:b/>
                        <w:color w:val="7E5F00"/>
                        <w:sz w:val="16"/>
                      </w:rPr>
                      <w:t>6.4</w:t>
                    </w:r>
                  </w:p>
                </w:txbxContent>
              </v:textbox>
              <w10:wrap type="none"/>
            </v:shape>
            <v:shape style="position:absolute;left:6235;top:1609;width:304;height:179" type="#_x0000_t202" filled="false" stroked="false">
              <v:textbox inset="0,0,0,0">
                <w:txbxContent>
                  <w:p>
                    <w:pPr>
                      <w:spacing w:line="178" w:lineRule="exact" w:before="0"/>
                      <w:ind w:left="0" w:right="0" w:firstLine="0"/>
                      <w:jc w:val="left"/>
                      <w:rPr>
                        <w:b/>
                        <w:sz w:val="16"/>
                      </w:rPr>
                    </w:pPr>
                    <w:r>
                      <w:rPr>
                        <w:b/>
                        <w:color w:val="3A3838"/>
                        <w:sz w:val="16"/>
                      </w:rPr>
                      <w:t>10.2</w:t>
                    </w:r>
                  </w:p>
                </w:txbxContent>
              </v:textbox>
              <w10:wrap type="none"/>
            </v:shape>
            <v:shape style="position:absolute;left:3817;top:2006;width:223;height:344" type="#_x0000_t202" filled="false" stroked="false">
              <v:textbox inset="0,0,0,0">
                <w:txbxContent>
                  <w:p>
                    <w:pPr>
                      <w:spacing w:line="169" w:lineRule="exact" w:before="0"/>
                      <w:ind w:left="0" w:right="0" w:firstLine="0"/>
                      <w:jc w:val="left"/>
                      <w:rPr>
                        <w:b/>
                        <w:sz w:val="16"/>
                      </w:rPr>
                    </w:pPr>
                    <w:r>
                      <w:rPr>
                        <w:b/>
                        <w:color w:val="7E5F00"/>
                        <w:sz w:val="16"/>
                      </w:rPr>
                      <w:t>2.0</w:t>
                    </w:r>
                  </w:p>
                  <w:p>
                    <w:pPr>
                      <w:spacing w:line="175" w:lineRule="exact" w:before="0"/>
                      <w:ind w:left="0" w:right="0" w:firstLine="0"/>
                      <w:jc w:val="left"/>
                      <w:rPr>
                        <w:b/>
                        <w:sz w:val="16"/>
                      </w:rPr>
                    </w:pPr>
                    <w:r>
                      <w:rPr>
                        <w:b/>
                        <w:color w:val="3A3838"/>
                        <w:sz w:val="16"/>
                      </w:rPr>
                      <w:t>2.4</w:t>
                    </w:r>
                  </w:p>
                </w:txbxContent>
              </v:textbox>
              <w10:wrap type="none"/>
            </v:shape>
            <v:shape style="position:absolute;left:3206;top:2342;width:223;height:179" type="#_x0000_t202" filled="false" stroked="false">
              <v:textbox inset="0,0,0,0">
                <w:txbxContent>
                  <w:p>
                    <w:pPr>
                      <w:spacing w:line="178" w:lineRule="exact" w:before="0"/>
                      <w:ind w:left="0" w:right="0" w:firstLine="0"/>
                      <w:jc w:val="left"/>
                      <w:rPr>
                        <w:b/>
                        <w:sz w:val="16"/>
                      </w:rPr>
                    </w:pPr>
                    <w:r>
                      <w:rPr>
                        <w:b/>
                        <w:color w:val="3A3838"/>
                        <w:sz w:val="16"/>
                      </w:rPr>
                      <w:t>0.1</w:t>
                    </w:r>
                  </w:p>
                </w:txbxContent>
              </v:textbox>
              <w10:wrap type="none"/>
            </v:shape>
            <v:shape style="position:absolute;left:5036;top:2289;width:223;height:179" type="#_x0000_t202" filled="false" stroked="false">
              <v:textbox inset="0,0,0,0">
                <w:txbxContent>
                  <w:p>
                    <w:pPr>
                      <w:spacing w:line="178" w:lineRule="exact" w:before="0"/>
                      <w:ind w:left="0" w:right="0" w:firstLine="0"/>
                      <w:jc w:val="left"/>
                      <w:rPr>
                        <w:b/>
                        <w:sz w:val="16"/>
                      </w:rPr>
                    </w:pPr>
                    <w:r>
                      <w:rPr>
                        <w:b/>
                        <w:color w:val="3A3838"/>
                        <w:sz w:val="16"/>
                      </w:rPr>
                      <w:t>4.2</w:t>
                    </w:r>
                  </w:p>
                </w:txbxContent>
              </v:textbox>
              <w10:wrap type="none"/>
            </v:shape>
            <v:shape style="position:absolute;left:5646;top:2323;width:223;height:179" type="#_x0000_t202" filled="false" stroked="false">
              <v:textbox inset="0,0,0,0">
                <w:txbxContent>
                  <w:p>
                    <w:pPr>
                      <w:spacing w:line="178" w:lineRule="exact" w:before="0"/>
                      <w:ind w:left="0" w:right="0" w:firstLine="0"/>
                      <w:jc w:val="left"/>
                      <w:rPr>
                        <w:b/>
                        <w:sz w:val="16"/>
                      </w:rPr>
                    </w:pPr>
                    <w:r>
                      <w:rPr>
                        <w:b/>
                        <w:color w:val="7E5F00"/>
                        <w:sz w:val="16"/>
                      </w:rPr>
                      <w:t>0.4</w:t>
                    </w:r>
                  </w:p>
                </w:txbxContent>
              </v:textbox>
              <w10:wrap type="none"/>
            </v:shape>
            <v:shape style="position:absolute;left:6255;top:2212;width:223;height:179" type="#_x0000_t202" filled="false" stroked="false">
              <v:textbox inset="0,0,0,0">
                <w:txbxContent>
                  <w:p>
                    <w:pPr>
                      <w:spacing w:line="178" w:lineRule="exact" w:before="0"/>
                      <w:ind w:left="0" w:right="0" w:firstLine="0"/>
                      <w:jc w:val="left"/>
                      <w:rPr>
                        <w:b/>
                        <w:sz w:val="16"/>
                      </w:rPr>
                    </w:pPr>
                    <w:r>
                      <w:rPr>
                        <w:b/>
                        <w:color w:val="7E5F00"/>
                        <w:sz w:val="16"/>
                      </w:rPr>
                      <w:t>1.5</w:t>
                    </w:r>
                  </w:p>
                </w:txbxContent>
              </v:textbox>
              <w10:wrap type="none"/>
            </v:shape>
            <v:shape style="position:absolute;left:4380;top:2890;width:276;height:179" type="#_x0000_t202" filled="false" stroked="false">
              <v:textbox inset="0,0,0,0">
                <w:txbxContent>
                  <w:p>
                    <w:pPr>
                      <w:spacing w:line="178" w:lineRule="exact" w:before="0"/>
                      <w:ind w:left="0" w:right="0" w:firstLine="0"/>
                      <w:jc w:val="left"/>
                      <w:rPr>
                        <w:b/>
                        <w:sz w:val="16"/>
                      </w:rPr>
                    </w:pPr>
                    <w:r>
                      <w:rPr>
                        <w:b/>
                        <w:color w:val="3A3838"/>
                        <w:sz w:val="16"/>
                      </w:rPr>
                      <w:t>-2.0</w:t>
                    </w:r>
                  </w:p>
                </w:txbxContent>
              </v:textbox>
              <w10:wrap type="none"/>
            </v:shape>
            <v:shape style="position:absolute;left:6839;top:2867;width:276;height:179" type="#_x0000_t202" filled="false" stroked="false">
              <v:textbox inset="0,0,0,0">
                <w:txbxContent>
                  <w:p>
                    <w:pPr>
                      <w:spacing w:line="178" w:lineRule="exact" w:before="0"/>
                      <w:ind w:left="0" w:right="0" w:firstLine="0"/>
                      <w:jc w:val="left"/>
                      <w:rPr>
                        <w:b/>
                        <w:sz w:val="16"/>
                      </w:rPr>
                    </w:pPr>
                    <w:r>
                      <w:rPr>
                        <w:b/>
                        <w:color w:val="7E5F00"/>
                        <w:sz w:val="16"/>
                      </w:rPr>
                      <w:t>-1.4</w:t>
                    </w:r>
                  </w:p>
                </w:txbxContent>
              </v:textbox>
              <w10:wrap type="none"/>
            </v:shape>
            <v:shape style="position:absolute;left:9914;top:2742;width:223;height:179" type="#_x0000_t202" filled="false" stroked="false">
              <v:textbox inset="0,0,0,0">
                <w:txbxContent>
                  <w:p>
                    <w:pPr>
                      <w:spacing w:line="178" w:lineRule="exact" w:before="0"/>
                      <w:ind w:left="0" w:right="0" w:firstLine="0"/>
                      <w:jc w:val="left"/>
                      <w:rPr>
                        <w:b/>
                        <w:sz w:val="16"/>
                      </w:rPr>
                    </w:pPr>
                    <w:r>
                      <w:rPr>
                        <w:b/>
                        <w:color w:val="3A3838"/>
                        <w:sz w:val="16"/>
                      </w:rPr>
                      <w:t>0.3</w:t>
                    </w:r>
                  </w:p>
                </w:txbxContent>
              </v:textbox>
              <w10:wrap type="none"/>
            </v:shape>
            <v:shape style="position:absolute;left:7449;top:3160;width:276;height:179" type="#_x0000_t202" filled="false" stroked="false">
              <v:textbox inset="0,0,0,0">
                <w:txbxContent>
                  <w:p>
                    <w:pPr>
                      <w:spacing w:line="178" w:lineRule="exact" w:before="0"/>
                      <w:ind w:left="0" w:right="0" w:firstLine="0"/>
                      <w:jc w:val="left"/>
                      <w:rPr>
                        <w:b/>
                        <w:sz w:val="16"/>
                      </w:rPr>
                    </w:pPr>
                    <w:r>
                      <w:rPr>
                        <w:b/>
                        <w:color w:val="7E5F00"/>
                        <w:sz w:val="16"/>
                      </w:rPr>
                      <w:t>-4.3</w:t>
                    </w:r>
                  </w:p>
                </w:txbxContent>
              </v:textbox>
              <w10:wrap type="none"/>
            </v:shape>
            <v:shape style="position:absolute;left:8668;top:3061;width:276;height:179" type="#_x0000_t202" filled="false" stroked="false">
              <v:textbox inset="0,0,0,0">
                <w:txbxContent>
                  <w:p>
                    <w:pPr>
                      <w:spacing w:line="178" w:lineRule="exact" w:before="0"/>
                      <w:ind w:left="0" w:right="0" w:firstLine="0"/>
                      <w:jc w:val="left"/>
                      <w:rPr>
                        <w:b/>
                        <w:sz w:val="16"/>
                      </w:rPr>
                    </w:pPr>
                    <w:r>
                      <w:rPr>
                        <w:b/>
                        <w:color w:val="7E5F00"/>
                        <w:sz w:val="16"/>
                      </w:rPr>
                      <w:t>-3.4</w:t>
                    </w:r>
                  </w:p>
                </w:txbxContent>
              </v:textbox>
              <w10:wrap type="none"/>
            </v:shape>
            <v:shape style="position:absolute;left:9278;top:3096;width:276;height:179" type="#_x0000_t202" filled="false" stroked="false">
              <v:textbox inset="0,0,0,0">
                <w:txbxContent>
                  <w:p>
                    <w:pPr>
                      <w:spacing w:line="178" w:lineRule="exact" w:before="0"/>
                      <w:ind w:left="0" w:right="0" w:firstLine="0"/>
                      <w:jc w:val="left"/>
                      <w:rPr>
                        <w:b/>
                        <w:sz w:val="16"/>
                      </w:rPr>
                    </w:pPr>
                    <w:r>
                      <w:rPr>
                        <w:b/>
                        <w:color w:val="7E5F00"/>
                        <w:sz w:val="16"/>
                      </w:rPr>
                      <w:t>-3.7</w:t>
                    </w:r>
                  </w:p>
                </w:txbxContent>
              </v:textbox>
              <w10:wrap type="none"/>
            </v:shape>
            <v:shape style="position:absolute;left:8059;top:3295;width:276;height:179" type="#_x0000_t202" filled="false" stroked="false">
              <v:textbox inset="0,0,0,0">
                <w:txbxContent>
                  <w:p>
                    <w:pPr>
                      <w:spacing w:line="178" w:lineRule="exact" w:before="0"/>
                      <w:ind w:left="0" w:right="0" w:firstLine="0"/>
                      <w:jc w:val="left"/>
                      <w:rPr>
                        <w:b/>
                        <w:sz w:val="16"/>
                      </w:rPr>
                    </w:pPr>
                    <w:r>
                      <w:rPr>
                        <w:b/>
                        <w:color w:val="7E5F00"/>
                        <w:sz w:val="16"/>
                      </w:rPr>
                      <w:t>-5.7</w:t>
                    </w:r>
                  </w:p>
                </w:txbxContent>
              </v:textbox>
              <w10:wrap type="none"/>
            </v:shape>
            <w10:wrap type="none"/>
          </v:group>
        </w:pict>
      </w:r>
      <w:r>
        <w:rPr>
          <w:color w:val="585858"/>
          <w:sz w:val="14"/>
        </w:rPr>
        <w:t>25.0</w:t>
      </w:r>
    </w:p>
    <w:p>
      <w:pPr>
        <w:pStyle w:val="BodyText"/>
        <w:spacing w:before="3"/>
        <w:rPr>
          <w:sz w:val="21"/>
        </w:rPr>
      </w:pPr>
    </w:p>
    <w:p>
      <w:pPr>
        <w:spacing w:before="94"/>
        <w:ind w:left="891" w:right="0" w:firstLine="0"/>
        <w:jc w:val="left"/>
        <w:rPr>
          <w:sz w:val="14"/>
        </w:rPr>
      </w:pPr>
      <w:r>
        <w:rPr>
          <w:color w:val="585858"/>
          <w:sz w:val="14"/>
        </w:rPr>
        <w:t>20.0</w:t>
      </w:r>
    </w:p>
    <w:p>
      <w:pPr>
        <w:pStyle w:val="BodyText"/>
        <w:spacing w:before="4"/>
        <w:rPr>
          <w:sz w:val="21"/>
        </w:rPr>
      </w:pPr>
    </w:p>
    <w:p>
      <w:pPr>
        <w:spacing w:before="94"/>
        <w:ind w:left="891" w:right="0" w:firstLine="0"/>
        <w:jc w:val="left"/>
        <w:rPr>
          <w:sz w:val="14"/>
        </w:rPr>
      </w:pPr>
      <w:r>
        <w:rPr>
          <w:color w:val="585858"/>
          <w:sz w:val="14"/>
        </w:rPr>
        <w:t>15.0</w:t>
      </w:r>
    </w:p>
    <w:p>
      <w:pPr>
        <w:pStyle w:val="BodyText"/>
        <w:spacing w:before="3"/>
        <w:rPr>
          <w:sz w:val="21"/>
        </w:rPr>
      </w:pPr>
    </w:p>
    <w:p>
      <w:pPr>
        <w:spacing w:before="94"/>
        <w:ind w:left="891" w:right="0" w:firstLine="0"/>
        <w:jc w:val="left"/>
        <w:rPr>
          <w:sz w:val="14"/>
        </w:rPr>
      </w:pPr>
      <w:r>
        <w:rPr>
          <w:color w:val="585858"/>
          <w:sz w:val="14"/>
        </w:rPr>
        <w:t>10.0</w:t>
      </w:r>
    </w:p>
    <w:p>
      <w:pPr>
        <w:pStyle w:val="BodyText"/>
        <w:rPr>
          <w:sz w:val="14"/>
        </w:rPr>
      </w:pPr>
    </w:p>
    <w:p>
      <w:pPr>
        <w:pStyle w:val="BodyText"/>
        <w:spacing w:before="5"/>
        <w:rPr>
          <w:sz w:val="15"/>
        </w:rPr>
      </w:pPr>
    </w:p>
    <w:p>
      <w:pPr>
        <w:spacing w:before="0"/>
        <w:ind w:left="961" w:right="0" w:firstLine="0"/>
        <w:jc w:val="left"/>
        <w:rPr>
          <w:sz w:val="14"/>
        </w:rPr>
      </w:pPr>
      <w:r>
        <w:rPr>
          <w:color w:val="585858"/>
          <w:sz w:val="14"/>
        </w:rPr>
        <w:t>5.0</w:t>
      </w:r>
    </w:p>
    <w:p>
      <w:pPr>
        <w:pStyle w:val="BodyText"/>
        <w:spacing w:before="4"/>
        <w:rPr>
          <w:sz w:val="21"/>
        </w:rPr>
      </w:pPr>
    </w:p>
    <w:p>
      <w:pPr>
        <w:spacing w:before="94"/>
        <w:ind w:left="961" w:right="0" w:firstLine="0"/>
        <w:jc w:val="left"/>
        <w:rPr>
          <w:sz w:val="14"/>
        </w:rPr>
      </w:pPr>
      <w:r>
        <w:rPr>
          <w:color w:val="585858"/>
          <w:sz w:val="14"/>
        </w:rPr>
        <w:t>0.0</w:t>
      </w:r>
    </w:p>
    <w:p>
      <w:pPr>
        <w:pStyle w:val="BodyText"/>
        <w:spacing w:before="3"/>
        <w:rPr>
          <w:sz w:val="21"/>
        </w:rPr>
      </w:pPr>
    </w:p>
    <w:p>
      <w:pPr>
        <w:spacing w:before="94"/>
        <w:ind w:left="914" w:right="0" w:firstLine="0"/>
        <w:jc w:val="left"/>
        <w:rPr>
          <w:sz w:val="14"/>
        </w:rPr>
      </w:pPr>
      <w:r>
        <w:rPr>
          <w:color w:val="585858"/>
          <w:sz w:val="14"/>
        </w:rPr>
        <w:t>-5.0</w:t>
      </w:r>
    </w:p>
    <w:p>
      <w:pPr>
        <w:pStyle w:val="BodyText"/>
        <w:spacing w:before="4"/>
        <w:rPr>
          <w:sz w:val="21"/>
        </w:rPr>
      </w:pPr>
    </w:p>
    <w:p>
      <w:pPr>
        <w:spacing w:before="93"/>
        <w:ind w:left="844" w:right="0" w:firstLine="0"/>
        <w:jc w:val="left"/>
        <w:rPr>
          <w:sz w:val="14"/>
        </w:rPr>
      </w:pPr>
      <w:r>
        <w:rPr/>
        <w:drawing>
          <wp:anchor distT="0" distB="0" distL="0" distR="0" allowOverlap="1" layoutInCell="1" locked="0" behindDoc="0" simplePos="0" relativeHeight="908">
            <wp:simplePos x="0" y="0"/>
            <wp:positionH relativeFrom="page">
              <wp:posOffset>1545589</wp:posOffset>
            </wp:positionH>
            <wp:positionV relativeFrom="paragraph">
              <wp:posOffset>203773</wp:posOffset>
            </wp:positionV>
            <wp:extent cx="179567" cy="166687"/>
            <wp:effectExtent l="0" t="0" r="0" b="0"/>
            <wp:wrapTopAndBottom/>
            <wp:docPr id="39" name="image122.png"/>
            <wp:cNvGraphicFramePr>
              <a:graphicFrameLocks noChangeAspect="1"/>
            </wp:cNvGraphicFramePr>
            <a:graphic>
              <a:graphicData uri="http://schemas.openxmlformats.org/drawingml/2006/picture">
                <pic:pic>
                  <pic:nvPicPr>
                    <pic:cNvPr id="40" name="image122.png"/>
                    <pic:cNvPicPr/>
                  </pic:nvPicPr>
                  <pic:blipFill>
                    <a:blip r:embed="rId128" cstate="print"/>
                    <a:stretch>
                      <a:fillRect/>
                    </a:stretch>
                  </pic:blipFill>
                  <pic:spPr>
                    <a:xfrm>
                      <a:off x="0" y="0"/>
                      <a:ext cx="179567" cy="166687"/>
                    </a:xfrm>
                    <a:prstGeom prst="rect">
                      <a:avLst/>
                    </a:prstGeom>
                  </pic:spPr>
                </pic:pic>
              </a:graphicData>
            </a:graphic>
          </wp:anchor>
        </w:drawing>
      </w:r>
      <w:r>
        <w:rPr/>
        <w:drawing>
          <wp:anchor distT="0" distB="0" distL="0" distR="0" allowOverlap="1" layoutInCell="1" locked="0" behindDoc="0" simplePos="0" relativeHeight="909">
            <wp:simplePos x="0" y="0"/>
            <wp:positionH relativeFrom="page">
              <wp:posOffset>1886966</wp:posOffset>
            </wp:positionH>
            <wp:positionV relativeFrom="paragraph">
              <wp:posOffset>205043</wp:posOffset>
            </wp:positionV>
            <wp:extent cx="224111" cy="210026"/>
            <wp:effectExtent l="0" t="0" r="0" b="0"/>
            <wp:wrapTopAndBottom/>
            <wp:docPr id="41" name="image123.png"/>
            <wp:cNvGraphicFramePr>
              <a:graphicFrameLocks noChangeAspect="1"/>
            </wp:cNvGraphicFramePr>
            <a:graphic>
              <a:graphicData uri="http://schemas.openxmlformats.org/drawingml/2006/picture">
                <pic:pic>
                  <pic:nvPicPr>
                    <pic:cNvPr id="42" name="image123.png"/>
                    <pic:cNvPicPr/>
                  </pic:nvPicPr>
                  <pic:blipFill>
                    <a:blip r:embed="rId129" cstate="print"/>
                    <a:stretch>
                      <a:fillRect/>
                    </a:stretch>
                  </pic:blipFill>
                  <pic:spPr>
                    <a:xfrm>
                      <a:off x="0" y="0"/>
                      <a:ext cx="224111" cy="210026"/>
                    </a:xfrm>
                    <a:prstGeom prst="rect">
                      <a:avLst/>
                    </a:prstGeom>
                  </pic:spPr>
                </pic:pic>
              </a:graphicData>
            </a:graphic>
          </wp:anchor>
        </w:drawing>
      </w:r>
      <w:r>
        <w:rPr/>
        <w:drawing>
          <wp:anchor distT="0" distB="0" distL="0" distR="0" allowOverlap="1" layoutInCell="1" locked="0" behindDoc="0" simplePos="0" relativeHeight="910">
            <wp:simplePos x="0" y="0"/>
            <wp:positionH relativeFrom="page">
              <wp:posOffset>2305685</wp:posOffset>
            </wp:positionH>
            <wp:positionV relativeFrom="paragraph">
              <wp:posOffset>204027</wp:posOffset>
            </wp:positionV>
            <wp:extent cx="194136" cy="180975"/>
            <wp:effectExtent l="0" t="0" r="0" b="0"/>
            <wp:wrapTopAndBottom/>
            <wp:docPr id="43" name="image124.png"/>
            <wp:cNvGraphicFramePr>
              <a:graphicFrameLocks noChangeAspect="1"/>
            </wp:cNvGraphicFramePr>
            <a:graphic>
              <a:graphicData uri="http://schemas.openxmlformats.org/drawingml/2006/picture">
                <pic:pic>
                  <pic:nvPicPr>
                    <pic:cNvPr id="44" name="image124.png"/>
                    <pic:cNvPicPr/>
                  </pic:nvPicPr>
                  <pic:blipFill>
                    <a:blip r:embed="rId130" cstate="print"/>
                    <a:stretch>
                      <a:fillRect/>
                    </a:stretch>
                  </pic:blipFill>
                  <pic:spPr>
                    <a:xfrm>
                      <a:off x="0" y="0"/>
                      <a:ext cx="194136" cy="180975"/>
                    </a:xfrm>
                    <a:prstGeom prst="rect">
                      <a:avLst/>
                    </a:prstGeom>
                  </pic:spPr>
                </pic:pic>
              </a:graphicData>
            </a:graphic>
          </wp:anchor>
        </w:drawing>
      </w:r>
      <w:r>
        <w:rPr/>
        <w:drawing>
          <wp:anchor distT="0" distB="0" distL="0" distR="0" allowOverlap="1" layoutInCell="1" locked="0" behindDoc="0" simplePos="0" relativeHeight="911">
            <wp:simplePos x="0" y="0"/>
            <wp:positionH relativeFrom="page">
              <wp:posOffset>2743961</wp:posOffset>
            </wp:positionH>
            <wp:positionV relativeFrom="paragraph">
              <wp:posOffset>185866</wp:posOffset>
            </wp:positionV>
            <wp:extent cx="151092" cy="168021"/>
            <wp:effectExtent l="0" t="0" r="0" b="0"/>
            <wp:wrapTopAndBottom/>
            <wp:docPr id="45" name="image125.png"/>
            <wp:cNvGraphicFramePr>
              <a:graphicFrameLocks noChangeAspect="1"/>
            </wp:cNvGraphicFramePr>
            <a:graphic>
              <a:graphicData uri="http://schemas.openxmlformats.org/drawingml/2006/picture">
                <pic:pic>
                  <pic:nvPicPr>
                    <pic:cNvPr id="46" name="image125.png"/>
                    <pic:cNvPicPr/>
                  </pic:nvPicPr>
                  <pic:blipFill>
                    <a:blip r:embed="rId131" cstate="print"/>
                    <a:stretch>
                      <a:fillRect/>
                    </a:stretch>
                  </pic:blipFill>
                  <pic:spPr>
                    <a:xfrm>
                      <a:off x="0" y="0"/>
                      <a:ext cx="151092" cy="168021"/>
                    </a:xfrm>
                    <a:prstGeom prst="rect">
                      <a:avLst/>
                    </a:prstGeom>
                  </pic:spPr>
                </pic:pic>
              </a:graphicData>
            </a:graphic>
          </wp:anchor>
        </w:drawing>
      </w:r>
      <w:r>
        <w:rPr/>
        <w:drawing>
          <wp:anchor distT="0" distB="0" distL="0" distR="0" allowOverlap="1" layoutInCell="1" locked="0" behindDoc="0" simplePos="0" relativeHeight="912">
            <wp:simplePos x="0" y="0"/>
            <wp:positionH relativeFrom="page">
              <wp:posOffset>3097276</wp:posOffset>
            </wp:positionH>
            <wp:positionV relativeFrom="paragraph">
              <wp:posOffset>204408</wp:posOffset>
            </wp:positionV>
            <wp:extent cx="179119" cy="165163"/>
            <wp:effectExtent l="0" t="0" r="0" b="0"/>
            <wp:wrapTopAndBottom/>
            <wp:docPr id="47" name="image126.png"/>
            <wp:cNvGraphicFramePr>
              <a:graphicFrameLocks noChangeAspect="1"/>
            </wp:cNvGraphicFramePr>
            <a:graphic>
              <a:graphicData uri="http://schemas.openxmlformats.org/drawingml/2006/picture">
                <pic:pic>
                  <pic:nvPicPr>
                    <pic:cNvPr id="48" name="image126.png"/>
                    <pic:cNvPicPr/>
                  </pic:nvPicPr>
                  <pic:blipFill>
                    <a:blip r:embed="rId132" cstate="print"/>
                    <a:stretch>
                      <a:fillRect/>
                    </a:stretch>
                  </pic:blipFill>
                  <pic:spPr>
                    <a:xfrm>
                      <a:off x="0" y="0"/>
                      <a:ext cx="179119" cy="165163"/>
                    </a:xfrm>
                    <a:prstGeom prst="rect">
                      <a:avLst/>
                    </a:prstGeom>
                  </pic:spPr>
                </pic:pic>
              </a:graphicData>
            </a:graphic>
          </wp:anchor>
        </w:drawing>
      </w:r>
      <w:r>
        <w:rPr/>
        <w:drawing>
          <wp:anchor distT="0" distB="0" distL="0" distR="0" allowOverlap="1" layoutInCell="1" locked="0" behindDoc="0" simplePos="0" relativeHeight="913">
            <wp:simplePos x="0" y="0"/>
            <wp:positionH relativeFrom="page">
              <wp:posOffset>3500120</wp:posOffset>
            </wp:positionH>
            <wp:positionV relativeFrom="paragraph">
              <wp:posOffset>204535</wp:posOffset>
            </wp:positionV>
            <wp:extent cx="163029" cy="152400"/>
            <wp:effectExtent l="0" t="0" r="0" b="0"/>
            <wp:wrapTopAndBottom/>
            <wp:docPr id="49" name="image127.png"/>
            <wp:cNvGraphicFramePr>
              <a:graphicFrameLocks noChangeAspect="1"/>
            </wp:cNvGraphicFramePr>
            <a:graphic>
              <a:graphicData uri="http://schemas.openxmlformats.org/drawingml/2006/picture">
                <pic:pic>
                  <pic:nvPicPr>
                    <pic:cNvPr id="50" name="image127.png"/>
                    <pic:cNvPicPr/>
                  </pic:nvPicPr>
                  <pic:blipFill>
                    <a:blip r:embed="rId133" cstate="print"/>
                    <a:stretch>
                      <a:fillRect/>
                    </a:stretch>
                  </pic:blipFill>
                  <pic:spPr>
                    <a:xfrm>
                      <a:off x="0" y="0"/>
                      <a:ext cx="163029" cy="152400"/>
                    </a:xfrm>
                    <a:prstGeom prst="rect">
                      <a:avLst/>
                    </a:prstGeom>
                  </pic:spPr>
                </pic:pic>
              </a:graphicData>
            </a:graphic>
          </wp:anchor>
        </w:drawing>
      </w:r>
      <w:r>
        <w:rPr/>
        <w:drawing>
          <wp:anchor distT="0" distB="0" distL="0" distR="0" allowOverlap="1" layoutInCell="1" locked="0" behindDoc="0" simplePos="0" relativeHeight="914">
            <wp:simplePos x="0" y="0"/>
            <wp:positionH relativeFrom="page">
              <wp:posOffset>3901185</wp:posOffset>
            </wp:positionH>
            <wp:positionV relativeFrom="paragraph">
              <wp:posOffset>203900</wp:posOffset>
            </wp:positionV>
            <wp:extent cx="147984" cy="138112"/>
            <wp:effectExtent l="0" t="0" r="0" b="0"/>
            <wp:wrapTopAndBottom/>
            <wp:docPr id="51" name="image128.png"/>
            <wp:cNvGraphicFramePr>
              <a:graphicFrameLocks noChangeAspect="1"/>
            </wp:cNvGraphicFramePr>
            <a:graphic>
              <a:graphicData uri="http://schemas.openxmlformats.org/drawingml/2006/picture">
                <pic:pic>
                  <pic:nvPicPr>
                    <pic:cNvPr id="52" name="image128.png"/>
                    <pic:cNvPicPr/>
                  </pic:nvPicPr>
                  <pic:blipFill>
                    <a:blip r:embed="rId134" cstate="print"/>
                    <a:stretch>
                      <a:fillRect/>
                    </a:stretch>
                  </pic:blipFill>
                  <pic:spPr>
                    <a:xfrm>
                      <a:off x="0" y="0"/>
                      <a:ext cx="147984" cy="138112"/>
                    </a:xfrm>
                    <a:prstGeom prst="rect">
                      <a:avLst/>
                    </a:prstGeom>
                  </pic:spPr>
                </pic:pic>
              </a:graphicData>
            </a:graphic>
          </wp:anchor>
        </w:drawing>
      </w:r>
      <w:r>
        <w:rPr/>
        <w:drawing>
          <wp:anchor distT="0" distB="0" distL="0" distR="0" allowOverlap="1" layoutInCell="1" locked="0" behindDoc="0" simplePos="0" relativeHeight="915">
            <wp:simplePos x="0" y="0"/>
            <wp:positionH relativeFrom="page">
              <wp:posOffset>4243578</wp:posOffset>
            </wp:positionH>
            <wp:positionV relativeFrom="paragraph">
              <wp:posOffset>204408</wp:posOffset>
            </wp:positionV>
            <wp:extent cx="193017" cy="200025"/>
            <wp:effectExtent l="0" t="0" r="0" b="0"/>
            <wp:wrapTopAndBottom/>
            <wp:docPr id="53" name="image129.png"/>
            <wp:cNvGraphicFramePr>
              <a:graphicFrameLocks noChangeAspect="1"/>
            </wp:cNvGraphicFramePr>
            <a:graphic>
              <a:graphicData uri="http://schemas.openxmlformats.org/drawingml/2006/picture">
                <pic:pic>
                  <pic:nvPicPr>
                    <pic:cNvPr id="54" name="image129.png"/>
                    <pic:cNvPicPr/>
                  </pic:nvPicPr>
                  <pic:blipFill>
                    <a:blip r:embed="rId135" cstate="print"/>
                    <a:stretch>
                      <a:fillRect/>
                    </a:stretch>
                  </pic:blipFill>
                  <pic:spPr>
                    <a:xfrm>
                      <a:off x="0" y="0"/>
                      <a:ext cx="193017" cy="200025"/>
                    </a:xfrm>
                    <a:prstGeom prst="rect">
                      <a:avLst/>
                    </a:prstGeom>
                  </pic:spPr>
                </pic:pic>
              </a:graphicData>
            </a:graphic>
          </wp:anchor>
        </w:drawing>
      </w:r>
      <w:r>
        <w:rPr/>
        <w:drawing>
          <wp:anchor distT="0" distB="0" distL="0" distR="0" allowOverlap="1" layoutInCell="1" locked="0" behindDoc="0" simplePos="0" relativeHeight="916">
            <wp:simplePos x="0" y="0"/>
            <wp:positionH relativeFrom="page">
              <wp:posOffset>4989321</wp:posOffset>
            </wp:positionH>
            <wp:positionV relativeFrom="paragraph">
              <wp:posOffset>202503</wp:posOffset>
            </wp:positionV>
            <wp:extent cx="222757" cy="209550"/>
            <wp:effectExtent l="0" t="0" r="0" b="0"/>
            <wp:wrapTopAndBottom/>
            <wp:docPr id="55" name="image130.png"/>
            <wp:cNvGraphicFramePr>
              <a:graphicFrameLocks noChangeAspect="1"/>
            </wp:cNvGraphicFramePr>
            <a:graphic>
              <a:graphicData uri="http://schemas.openxmlformats.org/drawingml/2006/picture">
                <pic:pic>
                  <pic:nvPicPr>
                    <pic:cNvPr id="56" name="image130.png"/>
                    <pic:cNvPicPr/>
                  </pic:nvPicPr>
                  <pic:blipFill>
                    <a:blip r:embed="rId136" cstate="print"/>
                    <a:stretch>
                      <a:fillRect/>
                    </a:stretch>
                  </pic:blipFill>
                  <pic:spPr>
                    <a:xfrm>
                      <a:off x="0" y="0"/>
                      <a:ext cx="222757" cy="209550"/>
                    </a:xfrm>
                    <a:prstGeom prst="rect">
                      <a:avLst/>
                    </a:prstGeom>
                  </pic:spPr>
                </pic:pic>
              </a:graphicData>
            </a:graphic>
          </wp:anchor>
        </w:drawing>
      </w:r>
      <w:r>
        <w:rPr>
          <w:color w:val="585858"/>
          <w:sz w:val="14"/>
        </w:rPr>
        <w:t>-10.0</w:t>
      </w:r>
    </w:p>
    <w:p>
      <w:pPr>
        <w:tabs>
          <w:tab w:pos="5292" w:val="left" w:leader="none"/>
          <w:tab w:pos="6785" w:val="left" w:leader="none"/>
        </w:tabs>
        <w:spacing w:before="55"/>
        <w:ind w:left="3799" w:right="0" w:firstLine="0"/>
        <w:jc w:val="left"/>
        <w:rPr>
          <w:b/>
          <w:sz w:val="18"/>
        </w:rPr>
      </w:pPr>
      <w:r>
        <w:rPr>
          <w:b/>
          <w:color w:val="585858"/>
          <w:sz w:val="18"/>
        </w:rPr>
        <w:t>2021</w:t>
        <w:tab/>
        <w:t>2019</w:t>
        <w:tab/>
        <w:t>2020</w:t>
      </w:r>
    </w:p>
    <w:p>
      <w:pPr>
        <w:spacing w:line="276" w:lineRule="auto" w:before="67"/>
        <w:ind w:left="562" w:right="7443" w:firstLine="0"/>
        <w:jc w:val="left"/>
        <w:rPr>
          <w:sz w:val="16"/>
        </w:rPr>
      </w:pPr>
      <w:r>
        <w:rPr/>
        <w:pict>
          <v:group style="position:absolute;margin-left:355.48999pt;margin-top:-31.331261pt;width:37.950pt;height:27.35pt;mso-position-horizontal-relative:page;mso-position-vertical-relative:paragraph;z-index:-280685568" coordorigin="7110,-627" coordsize="759,547">
            <v:shape style="position:absolute;left:7109;top:-627;width:489;height:478" type="#_x0000_t75" stroked="false">
              <v:imagedata r:id="rId137" o:title=""/>
            </v:shape>
            <v:line style="position:absolute" from="7364,-96" to="7868,-96" stroked="true" strokeweight="1.56pt" strokecolor="#7e7e7e">
              <v:stroke dashstyle="solid"/>
            </v:line>
            <w10:wrap type="none"/>
          </v:group>
        </w:pict>
      </w:r>
      <w:r>
        <w:rPr/>
        <w:drawing>
          <wp:anchor distT="0" distB="0" distL="0" distR="0" allowOverlap="1" layoutInCell="1" locked="0" behindDoc="0" simplePos="0" relativeHeight="252635136">
            <wp:simplePos x="0" y="0"/>
            <wp:positionH relativeFrom="page">
              <wp:posOffset>5282184</wp:posOffset>
            </wp:positionH>
            <wp:positionV relativeFrom="paragraph">
              <wp:posOffset>-398288</wp:posOffset>
            </wp:positionV>
            <wp:extent cx="317500" cy="302260"/>
            <wp:effectExtent l="0" t="0" r="0" b="0"/>
            <wp:wrapNone/>
            <wp:docPr id="57" name="image132.png"/>
            <wp:cNvGraphicFramePr>
              <a:graphicFrameLocks noChangeAspect="1"/>
            </wp:cNvGraphicFramePr>
            <a:graphic>
              <a:graphicData uri="http://schemas.openxmlformats.org/drawingml/2006/picture">
                <pic:pic>
                  <pic:nvPicPr>
                    <pic:cNvPr id="58" name="image132.png"/>
                    <pic:cNvPicPr/>
                  </pic:nvPicPr>
                  <pic:blipFill>
                    <a:blip r:embed="rId138" cstate="print"/>
                    <a:stretch>
                      <a:fillRect/>
                    </a:stretch>
                  </pic:blipFill>
                  <pic:spPr>
                    <a:xfrm>
                      <a:off x="0" y="0"/>
                      <a:ext cx="317500" cy="302260"/>
                    </a:xfrm>
                    <a:prstGeom prst="rect">
                      <a:avLst/>
                    </a:prstGeom>
                  </pic:spPr>
                </pic:pic>
              </a:graphicData>
            </a:graphic>
          </wp:anchor>
        </w:drawing>
      </w:r>
      <w:r>
        <w:rPr/>
        <w:drawing>
          <wp:anchor distT="0" distB="0" distL="0" distR="0" allowOverlap="1" layoutInCell="1" locked="0" behindDoc="0" simplePos="0" relativeHeight="252636160">
            <wp:simplePos x="0" y="0"/>
            <wp:positionH relativeFrom="page">
              <wp:posOffset>5688838</wp:posOffset>
            </wp:positionH>
            <wp:positionV relativeFrom="paragraph">
              <wp:posOffset>-408701</wp:posOffset>
            </wp:positionV>
            <wp:extent cx="676143" cy="410463"/>
            <wp:effectExtent l="0" t="0" r="0" b="0"/>
            <wp:wrapNone/>
            <wp:docPr id="59" name="image133.png"/>
            <wp:cNvGraphicFramePr>
              <a:graphicFrameLocks noChangeAspect="1"/>
            </wp:cNvGraphicFramePr>
            <a:graphic>
              <a:graphicData uri="http://schemas.openxmlformats.org/drawingml/2006/picture">
                <pic:pic>
                  <pic:nvPicPr>
                    <pic:cNvPr id="60" name="image133.png"/>
                    <pic:cNvPicPr/>
                  </pic:nvPicPr>
                  <pic:blipFill>
                    <a:blip r:embed="rId139" cstate="print"/>
                    <a:stretch>
                      <a:fillRect/>
                    </a:stretch>
                  </pic:blipFill>
                  <pic:spPr>
                    <a:xfrm>
                      <a:off x="0" y="0"/>
                      <a:ext cx="676143" cy="410463"/>
                    </a:xfrm>
                    <a:prstGeom prst="rect">
                      <a:avLst/>
                    </a:prstGeom>
                  </pic:spPr>
                </pic:pic>
              </a:graphicData>
            </a:graphic>
          </wp:anchor>
        </w:drawing>
      </w:r>
      <w:r>
        <w:rPr/>
        <w:pict>
          <v:group style="position:absolute;margin-left:218.759995pt;margin-top:-7.371261pt;width:25.7pt;height:5.05pt;mso-position-horizontal-relative:page;mso-position-vertical-relative:paragraph;z-index:252637184" coordorigin="4375,-147" coordsize="514,101">
            <v:line style="position:absolute" from="4380,-97" to="4884,-97" stroked="true" strokeweight="4.560pt" strokecolor="#ffc000">
              <v:stroke dashstyle="solid"/>
            </v:line>
            <v:rect style="position:absolute;left:4380;top:-143;width:504;height:92" filled="false" stroked="true" strokeweight=".48pt" strokecolor="#000000">
              <v:stroke dashstyle="solid"/>
            </v:rect>
            <w10:wrap type="none"/>
          </v:group>
        </w:pict>
      </w:r>
      <w:r>
        <w:rPr/>
        <w:pict>
          <v:line style="position:absolute;mso-position-horizontal-relative:page;mso-position-vertical-relative:paragraph;z-index:-280681472" from="293.579987pt,-4.791261pt" to="318.779987pt,-4.791261pt" stroked="true" strokeweight="3.48pt" strokecolor="#5b9bd4">
            <v:stroke dashstyle="dot"/>
            <w10:wrap type="none"/>
          </v:line>
        </w:pict>
      </w:r>
      <w:r>
        <w:rPr>
          <w:sz w:val="16"/>
        </w:rPr>
        <w:t>*No incluye amortizaciones de la deuda pública Fuente: Dirección de Análisis y Política Fiscal</w:t>
      </w:r>
    </w:p>
    <w:p>
      <w:pPr>
        <w:pStyle w:val="BodyText"/>
        <w:spacing w:before="2"/>
        <w:rPr>
          <w:sz w:val="17"/>
        </w:rPr>
      </w:pPr>
    </w:p>
    <w:p>
      <w:pPr>
        <w:pStyle w:val="BodyText"/>
        <w:spacing w:line="276" w:lineRule="auto" w:before="91"/>
        <w:ind w:left="562" w:right="1696"/>
        <w:jc w:val="both"/>
      </w:pPr>
      <w:r>
        <w:rPr/>
        <w:t>A nivel de los rubros por cuenta económica del gasto, se puede observar que el rubro de bienes y servicios</w:t>
      </w:r>
      <w:r>
        <w:rPr>
          <w:spacing w:val="-9"/>
        </w:rPr>
        <w:t> </w:t>
      </w:r>
      <w:r>
        <w:rPr/>
        <w:t>reporta</w:t>
      </w:r>
      <w:r>
        <w:rPr>
          <w:spacing w:val="-9"/>
        </w:rPr>
        <w:t> </w:t>
      </w:r>
      <w:r>
        <w:rPr/>
        <w:t>el</w:t>
      </w:r>
      <w:r>
        <w:rPr>
          <w:spacing w:val="-8"/>
        </w:rPr>
        <w:t> </w:t>
      </w:r>
      <w:r>
        <w:rPr/>
        <w:t>mayor</w:t>
      </w:r>
      <w:r>
        <w:rPr>
          <w:spacing w:val="-6"/>
        </w:rPr>
        <w:t> </w:t>
      </w:r>
      <w:r>
        <w:rPr/>
        <w:t>crecimiento</w:t>
      </w:r>
      <w:r>
        <w:rPr>
          <w:spacing w:val="-10"/>
        </w:rPr>
        <w:t> </w:t>
      </w:r>
      <w:r>
        <w:rPr/>
        <w:t>interanual,</w:t>
      </w:r>
      <w:r>
        <w:rPr>
          <w:spacing w:val="-9"/>
        </w:rPr>
        <w:t> </w:t>
      </w:r>
      <w:r>
        <w:rPr/>
        <w:t>siendo</w:t>
      </w:r>
      <w:r>
        <w:rPr>
          <w:spacing w:val="-7"/>
        </w:rPr>
        <w:t> </w:t>
      </w:r>
      <w:r>
        <w:rPr/>
        <w:t>de</w:t>
      </w:r>
      <w:r>
        <w:rPr>
          <w:spacing w:val="-9"/>
        </w:rPr>
        <w:t> </w:t>
      </w:r>
      <w:r>
        <w:rPr/>
        <w:t>37.7%,</w:t>
      </w:r>
      <w:r>
        <w:rPr>
          <w:spacing w:val="-10"/>
        </w:rPr>
        <w:t> </w:t>
      </w:r>
      <w:r>
        <w:rPr/>
        <w:t>equivalente</w:t>
      </w:r>
      <w:r>
        <w:rPr>
          <w:spacing w:val="-8"/>
        </w:rPr>
        <w:t> </w:t>
      </w:r>
      <w:r>
        <w:rPr/>
        <w:t>a</w:t>
      </w:r>
      <w:r>
        <w:rPr>
          <w:spacing w:val="-9"/>
        </w:rPr>
        <w:t> </w:t>
      </w:r>
      <w:r>
        <w:rPr/>
        <w:t>Q3,765.8</w:t>
      </w:r>
      <w:r>
        <w:rPr>
          <w:spacing w:val="-7"/>
        </w:rPr>
        <w:t> </w:t>
      </w:r>
      <w:r>
        <w:rPr/>
        <w:t>millones, siendo el Ministerio de Salud Pública y Asistencia Social la entidad con el mayor crecimiento en dicho rubro (Q2,414.0 millones), lo cual se encuentra asociado a que en este rubro se registra la compra de la vacuna contra el COVID-19, de los Q1,500 millones que se asignaron para este fin, se tuvo una ejecución de Q1,015.3 millones, siendo el nivel de ejecución de 67.7%. Asimismo, los elementos y compuestos químicos reportan una ejecución mayor en Q364.7 millones y los servicios médico-sanitarios reportan un aumento de Q341.9 millones que además de las retribuciones por servicios profesionales y técnicos incluye pruebas de laboratorio, que contiene las asociadas al COVID-19.</w:t>
      </w:r>
    </w:p>
    <w:p>
      <w:pPr>
        <w:pStyle w:val="BodyText"/>
        <w:spacing w:before="3"/>
        <w:rPr>
          <w:sz w:val="25"/>
        </w:rPr>
      </w:pPr>
    </w:p>
    <w:p>
      <w:pPr>
        <w:pStyle w:val="BodyText"/>
        <w:spacing w:line="276" w:lineRule="auto"/>
        <w:ind w:left="562" w:right="1698"/>
        <w:jc w:val="both"/>
      </w:pPr>
      <w:r>
        <w:rPr/>
        <w:t>Por su parte, el Ministerio de Comunicaciones, aumentó su ejecución en este rubro en Q947.3 millones, explicado por el mantenimiento y reparación de obras que aumento en Q661.3 millones, </w:t>
      </w:r>
      <w:r>
        <w:rPr>
          <w:spacing w:val="-3"/>
        </w:rPr>
        <w:t>el </w:t>
      </w:r>
      <w:r>
        <w:rPr/>
        <w:t>mantenimiento y reparación de edificios que aumento en Q129.0 millones y el arrendamiento de maquinaria y equipo de construcción que aumento en Q83.7 millones.</w:t>
      </w:r>
    </w:p>
    <w:p>
      <w:pPr>
        <w:spacing w:after="0" w:line="276" w:lineRule="auto"/>
        <w:jc w:val="both"/>
        <w:sectPr>
          <w:pgSz w:w="12240" w:h="15840"/>
          <w:pgMar w:header="715" w:footer="957" w:top="1240" w:bottom="1140" w:left="1140" w:right="0"/>
        </w:sectPr>
      </w:pPr>
    </w:p>
    <w:p>
      <w:pPr>
        <w:pStyle w:val="BodyText"/>
        <w:spacing w:line="276" w:lineRule="auto" w:before="162"/>
        <w:ind w:left="562" w:right="1696"/>
        <w:jc w:val="both"/>
      </w:pPr>
      <w:r>
        <w:rPr/>
        <w:t>En lo que respecta a las Obligaciones del Estado, reportan un incremento de Q383.8 millones, que corresponde en su mayoría al rubro de comisiones a receptores fiscales y recaudadores, en el cual se explica por las comisiones que recibe la Superintendencia de Administración Tributaria (SAT).</w:t>
      </w:r>
    </w:p>
    <w:p>
      <w:pPr>
        <w:pStyle w:val="BodyText"/>
        <w:spacing w:before="4"/>
        <w:rPr>
          <w:sz w:val="25"/>
        </w:rPr>
      </w:pPr>
    </w:p>
    <w:p>
      <w:pPr>
        <w:pStyle w:val="BodyText"/>
        <w:spacing w:line="276" w:lineRule="auto"/>
        <w:ind w:left="562" w:right="1694"/>
        <w:jc w:val="both"/>
      </w:pPr>
      <w:r>
        <w:rPr/>
        <w:t>Respecto a los intereses de la deuda pública, dicho rubro aumentó en Q1,214.5 millones a lo observado</w:t>
      </w:r>
      <w:r>
        <w:rPr>
          <w:spacing w:val="-6"/>
        </w:rPr>
        <w:t> </w:t>
      </w:r>
      <w:r>
        <w:rPr/>
        <w:t>en</w:t>
      </w:r>
      <w:r>
        <w:rPr>
          <w:spacing w:val="-5"/>
        </w:rPr>
        <w:t> </w:t>
      </w:r>
      <w:r>
        <w:rPr/>
        <w:t>2020,</w:t>
      </w:r>
      <w:r>
        <w:rPr>
          <w:spacing w:val="-4"/>
        </w:rPr>
        <w:t> </w:t>
      </w:r>
      <w:r>
        <w:rPr/>
        <w:t>de</w:t>
      </w:r>
      <w:r>
        <w:rPr>
          <w:spacing w:val="-5"/>
        </w:rPr>
        <w:t> </w:t>
      </w:r>
      <w:r>
        <w:rPr/>
        <w:t>los</w:t>
      </w:r>
      <w:r>
        <w:rPr>
          <w:spacing w:val="-6"/>
        </w:rPr>
        <w:t> </w:t>
      </w:r>
      <w:r>
        <w:rPr/>
        <w:t>cuales</w:t>
      </w:r>
      <w:r>
        <w:rPr>
          <w:spacing w:val="-5"/>
        </w:rPr>
        <w:t> </w:t>
      </w:r>
      <w:r>
        <w:rPr/>
        <w:t>se</w:t>
      </w:r>
      <w:r>
        <w:rPr>
          <w:spacing w:val="-6"/>
        </w:rPr>
        <w:t> </w:t>
      </w:r>
      <w:r>
        <w:rPr/>
        <w:t>dio</w:t>
      </w:r>
      <w:r>
        <w:rPr>
          <w:spacing w:val="-5"/>
        </w:rPr>
        <w:t> </w:t>
      </w:r>
      <w:r>
        <w:rPr/>
        <w:t>un</w:t>
      </w:r>
      <w:r>
        <w:rPr>
          <w:spacing w:val="-5"/>
        </w:rPr>
        <w:t> </w:t>
      </w:r>
      <w:r>
        <w:rPr/>
        <w:t>aumento</w:t>
      </w:r>
      <w:r>
        <w:rPr>
          <w:spacing w:val="-6"/>
        </w:rPr>
        <w:t> </w:t>
      </w:r>
      <w:r>
        <w:rPr/>
        <w:t>en</w:t>
      </w:r>
      <w:r>
        <w:rPr>
          <w:spacing w:val="-7"/>
        </w:rPr>
        <w:t> </w:t>
      </w:r>
      <w:r>
        <w:rPr/>
        <w:t>los</w:t>
      </w:r>
      <w:r>
        <w:rPr>
          <w:spacing w:val="-6"/>
        </w:rPr>
        <w:t> </w:t>
      </w:r>
      <w:r>
        <w:rPr/>
        <w:t>intereses</w:t>
      </w:r>
      <w:r>
        <w:rPr>
          <w:spacing w:val="-4"/>
        </w:rPr>
        <w:t> </w:t>
      </w:r>
      <w:r>
        <w:rPr/>
        <w:t>de</w:t>
      </w:r>
      <w:r>
        <w:rPr>
          <w:spacing w:val="-6"/>
        </w:rPr>
        <w:t> </w:t>
      </w:r>
      <w:r>
        <w:rPr/>
        <w:t>la</w:t>
      </w:r>
      <w:r>
        <w:rPr>
          <w:spacing w:val="-5"/>
        </w:rPr>
        <w:t> </w:t>
      </w:r>
      <w:r>
        <w:rPr/>
        <w:t>deuda</w:t>
      </w:r>
      <w:r>
        <w:rPr>
          <w:spacing w:val="-5"/>
        </w:rPr>
        <w:t> </w:t>
      </w:r>
      <w:r>
        <w:rPr/>
        <w:t>interna</w:t>
      </w:r>
      <w:r>
        <w:rPr>
          <w:spacing w:val="-6"/>
        </w:rPr>
        <w:t> </w:t>
      </w:r>
      <w:r>
        <w:rPr/>
        <w:t>por</w:t>
      </w:r>
      <w:r>
        <w:rPr>
          <w:spacing w:val="-2"/>
        </w:rPr>
        <w:t> </w:t>
      </w:r>
      <w:r>
        <w:rPr/>
        <w:t>Q1,170.8 millones,</w:t>
      </w:r>
      <w:r>
        <w:rPr>
          <w:spacing w:val="-11"/>
        </w:rPr>
        <w:t> </w:t>
      </w:r>
      <w:r>
        <w:rPr/>
        <w:t>por</w:t>
      </w:r>
      <w:r>
        <w:rPr>
          <w:spacing w:val="-10"/>
        </w:rPr>
        <w:t> </w:t>
      </w:r>
      <w:r>
        <w:rPr/>
        <w:t>la</w:t>
      </w:r>
      <w:r>
        <w:rPr>
          <w:spacing w:val="-10"/>
        </w:rPr>
        <w:t> </w:t>
      </w:r>
      <w:r>
        <w:rPr/>
        <w:t>mayor</w:t>
      </w:r>
      <w:r>
        <w:rPr>
          <w:spacing w:val="-8"/>
        </w:rPr>
        <w:t> </w:t>
      </w:r>
      <w:r>
        <w:rPr/>
        <w:t>colocación</w:t>
      </w:r>
      <w:r>
        <w:rPr>
          <w:spacing w:val="-11"/>
        </w:rPr>
        <w:t> </w:t>
      </w:r>
      <w:r>
        <w:rPr/>
        <w:t>de</w:t>
      </w:r>
      <w:r>
        <w:rPr>
          <w:spacing w:val="-7"/>
        </w:rPr>
        <w:t> </w:t>
      </w:r>
      <w:r>
        <w:rPr/>
        <w:t>Bonos</w:t>
      </w:r>
      <w:r>
        <w:rPr>
          <w:spacing w:val="-11"/>
        </w:rPr>
        <w:t> </w:t>
      </w:r>
      <w:r>
        <w:rPr/>
        <w:t>del</w:t>
      </w:r>
      <w:r>
        <w:rPr>
          <w:spacing w:val="-10"/>
        </w:rPr>
        <w:t> </w:t>
      </w:r>
      <w:r>
        <w:rPr/>
        <w:t>Tesoro.</w:t>
      </w:r>
      <w:r>
        <w:rPr>
          <w:spacing w:val="-8"/>
        </w:rPr>
        <w:t> </w:t>
      </w:r>
      <w:r>
        <w:rPr/>
        <w:t>Por</w:t>
      </w:r>
      <w:r>
        <w:rPr>
          <w:spacing w:val="-11"/>
        </w:rPr>
        <w:t> </w:t>
      </w:r>
      <w:r>
        <w:rPr/>
        <w:t>su</w:t>
      </w:r>
      <w:r>
        <w:rPr>
          <w:spacing w:val="-11"/>
        </w:rPr>
        <w:t> </w:t>
      </w:r>
      <w:r>
        <w:rPr/>
        <w:t>parte,</w:t>
      </w:r>
      <w:r>
        <w:rPr>
          <w:spacing w:val="-9"/>
        </w:rPr>
        <w:t> </w:t>
      </w:r>
      <w:r>
        <w:rPr/>
        <w:t>los</w:t>
      </w:r>
      <w:r>
        <w:rPr>
          <w:spacing w:val="-13"/>
        </w:rPr>
        <w:t> </w:t>
      </w:r>
      <w:r>
        <w:rPr/>
        <w:t>intereses</w:t>
      </w:r>
      <w:r>
        <w:rPr>
          <w:spacing w:val="-13"/>
        </w:rPr>
        <w:t> </w:t>
      </w:r>
      <w:r>
        <w:rPr/>
        <w:t>de</w:t>
      </w:r>
      <w:r>
        <w:rPr>
          <w:spacing w:val="-10"/>
        </w:rPr>
        <w:t> </w:t>
      </w:r>
      <w:r>
        <w:rPr/>
        <w:t>la</w:t>
      </w:r>
      <w:r>
        <w:rPr>
          <w:spacing w:val="-10"/>
        </w:rPr>
        <w:t> </w:t>
      </w:r>
      <w:r>
        <w:rPr/>
        <w:t>deuda</w:t>
      </w:r>
      <w:r>
        <w:rPr>
          <w:spacing w:val="-8"/>
        </w:rPr>
        <w:t> </w:t>
      </w:r>
      <w:r>
        <w:rPr/>
        <w:t>externa aumentaron en forma moderada en Q43.7 millones, principalmente por la colocación de Eurobonos, para final de año el tipo de cambio promedio mostró una apreciación lo que genera una disminución en el pago de intereses en moneda</w:t>
      </w:r>
      <w:r>
        <w:rPr>
          <w:spacing w:val="-7"/>
        </w:rPr>
        <w:t> </w:t>
      </w:r>
      <w:r>
        <w:rPr/>
        <w:t>extranjera.</w:t>
      </w:r>
    </w:p>
    <w:p>
      <w:pPr>
        <w:pStyle w:val="BodyText"/>
        <w:spacing w:before="2"/>
        <w:rPr>
          <w:sz w:val="25"/>
        </w:rPr>
      </w:pPr>
    </w:p>
    <w:p>
      <w:pPr>
        <w:pStyle w:val="BodyText"/>
        <w:spacing w:line="276" w:lineRule="auto"/>
        <w:ind w:left="562" w:right="1697"/>
        <w:jc w:val="both"/>
      </w:pPr>
      <w:r>
        <w:rPr/>
        <w:t>Las</w:t>
      </w:r>
      <w:r>
        <w:rPr>
          <w:spacing w:val="-4"/>
        </w:rPr>
        <w:t> </w:t>
      </w:r>
      <w:r>
        <w:rPr/>
        <w:t>remuneraciones,</w:t>
      </w:r>
      <w:r>
        <w:rPr>
          <w:spacing w:val="-6"/>
        </w:rPr>
        <w:t> </w:t>
      </w:r>
      <w:r>
        <w:rPr/>
        <w:t>crecieron</w:t>
      </w:r>
      <w:r>
        <w:rPr>
          <w:spacing w:val="-5"/>
        </w:rPr>
        <w:t> </w:t>
      </w:r>
      <w:r>
        <w:rPr/>
        <w:t>(3.6%),</w:t>
      </w:r>
      <w:r>
        <w:rPr>
          <w:spacing w:val="-4"/>
        </w:rPr>
        <w:t> </w:t>
      </w:r>
      <w:r>
        <w:rPr/>
        <w:t>menor</w:t>
      </w:r>
      <w:r>
        <w:rPr>
          <w:spacing w:val="-4"/>
        </w:rPr>
        <w:t> </w:t>
      </w:r>
      <w:r>
        <w:rPr/>
        <w:t>al</w:t>
      </w:r>
      <w:r>
        <w:rPr>
          <w:spacing w:val="-5"/>
        </w:rPr>
        <w:t> </w:t>
      </w:r>
      <w:r>
        <w:rPr/>
        <w:t>crecimiento</w:t>
      </w:r>
      <w:r>
        <w:rPr>
          <w:spacing w:val="-5"/>
        </w:rPr>
        <w:t> </w:t>
      </w:r>
      <w:r>
        <w:rPr/>
        <w:t>observado</w:t>
      </w:r>
      <w:r>
        <w:rPr>
          <w:spacing w:val="-3"/>
        </w:rPr>
        <w:t> </w:t>
      </w:r>
      <w:r>
        <w:rPr/>
        <w:t>durante</w:t>
      </w:r>
      <w:r>
        <w:rPr>
          <w:spacing w:val="-3"/>
        </w:rPr>
        <w:t> </w:t>
      </w:r>
      <w:r>
        <w:rPr/>
        <w:t>2020</w:t>
      </w:r>
      <w:r>
        <w:rPr>
          <w:spacing w:val="-5"/>
        </w:rPr>
        <w:t> </w:t>
      </w:r>
      <w:r>
        <w:rPr/>
        <w:t>(6.3%),</w:t>
      </w:r>
      <w:r>
        <w:rPr>
          <w:spacing w:val="-4"/>
        </w:rPr>
        <w:t> </w:t>
      </w:r>
      <w:r>
        <w:rPr/>
        <w:t>esto</w:t>
      </w:r>
      <w:r>
        <w:rPr>
          <w:spacing w:val="-5"/>
        </w:rPr>
        <w:t> </w:t>
      </w:r>
      <w:r>
        <w:rPr/>
        <w:t>se explica porque en años anteriores se dieron mejoras salariales, mientras que en 2021 ya se encontraban aplicadas dichas mejoras, principalmente en el Ministerio de Educación al magisterio nacional, en el Ministerio de Salud Pública y Asistencia Social y en el Ministerio de Gobernación, por ello los pactos colectivos negociados anteriormente no tuvieron mayor efecto en 2021. A finales del 2021 al menos dos entidades del Ejecutivo otorgaron bonos únicos de apoyo económico o de dignificación</w:t>
      </w:r>
      <w:r>
        <w:rPr>
          <w:spacing w:val="-17"/>
        </w:rPr>
        <w:t> </w:t>
      </w:r>
      <w:r>
        <w:rPr/>
        <w:t>a</w:t>
      </w:r>
      <w:r>
        <w:rPr>
          <w:spacing w:val="-13"/>
        </w:rPr>
        <w:t> </w:t>
      </w:r>
      <w:r>
        <w:rPr/>
        <w:t>sus</w:t>
      </w:r>
      <w:r>
        <w:rPr>
          <w:spacing w:val="-16"/>
        </w:rPr>
        <w:t> </w:t>
      </w:r>
      <w:r>
        <w:rPr/>
        <w:t>funcionarios,</w:t>
      </w:r>
      <w:r>
        <w:rPr>
          <w:spacing w:val="-13"/>
        </w:rPr>
        <w:t> </w:t>
      </w:r>
      <w:r>
        <w:rPr/>
        <w:t>siendo</w:t>
      </w:r>
      <w:r>
        <w:rPr>
          <w:spacing w:val="-13"/>
        </w:rPr>
        <w:t> </w:t>
      </w:r>
      <w:r>
        <w:rPr/>
        <w:t>el</w:t>
      </w:r>
      <w:r>
        <w:rPr>
          <w:spacing w:val="-13"/>
        </w:rPr>
        <w:t> </w:t>
      </w:r>
      <w:r>
        <w:rPr/>
        <w:t>caso</w:t>
      </w:r>
      <w:r>
        <w:rPr>
          <w:spacing w:val="-13"/>
        </w:rPr>
        <w:t> </w:t>
      </w:r>
      <w:r>
        <w:rPr/>
        <w:t>del</w:t>
      </w:r>
      <w:r>
        <w:rPr>
          <w:spacing w:val="-13"/>
        </w:rPr>
        <w:t> </w:t>
      </w:r>
      <w:r>
        <w:rPr/>
        <w:t>Ministerio</w:t>
      </w:r>
      <w:r>
        <w:rPr>
          <w:spacing w:val="-13"/>
        </w:rPr>
        <w:t> </w:t>
      </w:r>
      <w:r>
        <w:rPr/>
        <w:t>de</w:t>
      </w:r>
      <w:r>
        <w:rPr>
          <w:spacing w:val="-14"/>
        </w:rPr>
        <w:t> </w:t>
      </w:r>
      <w:r>
        <w:rPr/>
        <w:t>Gobernación</w:t>
      </w:r>
      <w:r>
        <w:rPr>
          <w:spacing w:val="-13"/>
        </w:rPr>
        <w:t> </w:t>
      </w:r>
      <w:r>
        <w:rPr/>
        <w:t>con</w:t>
      </w:r>
      <w:r>
        <w:rPr>
          <w:spacing w:val="-13"/>
        </w:rPr>
        <w:t> </w:t>
      </w:r>
      <w:r>
        <w:rPr/>
        <w:t>un</w:t>
      </w:r>
      <w:r>
        <w:rPr>
          <w:spacing w:val="-14"/>
        </w:rPr>
        <w:t> </w:t>
      </w:r>
      <w:r>
        <w:rPr/>
        <w:t>bono</w:t>
      </w:r>
      <w:r>
        <w:rPr>
          <w:spacing w:val="-13"/>
        </w:rPr>
        <w:t> </w:t>
      </w:r>
      <w:r>
        <w:rPr/>
        <w:t>de</w:t>
      </w:r>
      <w:r>
        <w:rPr>
          <w:spacing w:val="-14"/>
        </w:rPr>
        <w:t> </w:t>
      </w:r>
      <w:r>
        <w:rPr/>
        <w:t>Q4,500 a la Policía Nacional Civil (PNC), Q3,500 para personal administrativo y Q2,500 para personal penitenciario, mientras que en el Ministerio de Salud Pública y Asistencia Social el bono fue </w:t>
      </w:r>
      <w:r>
        <w:rPr>
          <w:spacing w:val="-3"/>
        </w:rPr>
        <w:t>de </w:t>
      </w:r>
      <w:r>
        <w:rPr/>
        <w:t>Q2,000.</w:t>
      </w:r>
    </w:p>
    <w:p>
      <w:pPr>
        <w:pStyle w:val="BodyText"/>
        <w:spacing w:before="6"/>
        <w:rPr>
          <w:sz w:val="25"/>
        </w:rPr>
      </w:pPr>
    </w:p>
    <w:p>
      <w:pPr>
        <w:pStyle w:val="BodyText"/>
        <w:spacing w:line="276" w:lineRule="auto"/>
        <w:ind w:left="562" w:right="1695"/>
        <w:jc w:val="both"/>
      </w:pPr>
      <w:r>
        <w:rPr/>
        <w:t>Es importante señalar que la inversión real directa, tuvo un crecimiento de 27.1% (equivalente a Q793.6</w:t>
      </w:r>
      <w:r>
        <w:rPr>
          <w:spacing w:val="-5"/>
        </w:rPr>
        <w:t> </w:t>
      </w:r>
      <w:r>
        <w:rPr/>
        <w:t>millones),</w:t>
      </w:r>
      <w:r>
        <w:rPr>
          <w:spacing w:val="-6"/>
        </w:rPr>
        <w:t> </w:t>
      </w:r>
      <w:r>
        <w:rPr/>
        <w:t>lo</w:t>
      </w:r>
      <w:r>
        <w:rPr>
          <w:spacing w:val="-6"/>
        </w:rPr>
        <w:t> </w:t>
      </w:r>
      <w:r>
        <w:rPr/>
        <w:t>cual</w:t>
      </w:r>
      <w:r>
        <w:rPr>
          <w:spacing w:val="-4"/>
        </w:rPr>
        <w:t> </w:t>
      </w:r>
      <w:r>
        <w:rPr/>
        <w:t>es</w:t>
      </w:r>
      <w:r>
        <w:rPr>
          <w:spacing w:val="-3"/>
        </w:rPr>
        <w:t> </w:t>
      </w:r>
      <w:r>
        <w:rPr/>
        <w:t>relevante</w:t>
      </w:r>
      <w:r>
        <w:rPr>
          <w:spacing w:val="-6"/>
        </w:rPr>
        <w:t> </w:t>
      </w:r>
      <w:r>
        <w:rPr/>
        <w:t>tomando</w:t>
      </w:r>
      <w:r>
        <w:rPr>
          <w:spacing w:val="-3"/>
        </w:rPr>
        <w:t> </w:t>
      </w:r>
      <w:r>
        <w:rPr/>
        <w:t>en</w:t>
      </w:r>
      <w:r>
        <w:rPr>
          <w:spacing w:val="-7"/>
        </w:rPr>
        <w:t> </w:t>
      </w:r>
      <w:r>
        <w:rPr/>
        <w:t>consideración</w:t>
      </w:r>
      <w:r>
        <w:rPr>
          <w:spacing w:val="-6"/>
        </w:rPr>
        <w:t> </w:t>
      </w:r>
      <w:r>
        <w:rPr/>
        <w:t>que</w:t>
      </w:r>
      <w:r>
        <w:rPr>
          <w:spacing w:val="-6"/>
        </w:rPr>
        <w:t> </w:t>
      </w:r>
      <w:r>
        <w:rPr/>
        <w:t>se</w:t>
      </w:r>
      <w:r>
        <w:rPr>
          <w:spacing w:val="-5"/>
        </w:rPr>
        <w:t> </w:t>
      </w:r>
      <w:r>
        <w:rPr/>
        <w:t>observa</w:t>
      </w:r>
      <w:r>
        <w:rPr>
          <w:spacing w:val="-4"/>
        </w:rPr>
        <w:t> </w:t>
      </w:r>
      <w:r>
        <w:rPr/>
        <w:t>una</w:t>
      </w:r>
      <w:r>
        <w:rPr>
          <w:spacing w:val="-3"/>
        </w:rPr>
        <w:t> </w:t>
      </w:r>
      <w:r>
        <w:rPr/>
        <w:t>recuperación</w:t>
      </w:r>
      <w:r>
        <w:rPr>
          <w:spacing w:val="-4"/>
        </w:rPr>
        <w:t> </w:t>
      </w:r>
      <w:r>
        <w:rPr/>
        <w:t>de dicho</w:t>
      </w:r>
      <w:r>
        <w:rPr>
          <w:spacing w:val="-8"/>
        </w:rPr>
        <w:t> </w:t>
      </w:r>
      <w:r>
        <w:rPr/>
        <w:t>rubro</w:t>
      </w:r>
      <w:r>
        <w:rPr>
          <w:spacing w:val="-9"/>
        </w:rPr>
        <w:t> </w:t>
      </w:r>
      <w:r>
        <w:rPr/>
        <w:t>en</w:t>
      </w:r>
      <w:r>
        <w:rPr>
          <w:spacing w:val="-8"/>
        </w:rPr>
        <w:t> </w:t>
      </w:r>
      <w:r>
        <w:rPr/>
        <w:t>2021,</w:t>
      </w:r>
      <w:r>
        <w:rPr>
          <w:spacing w:val="-9"/>
        </w:rPr>
        <w:t> </w:t>
      </w:r>
      <w:r>
        <w:rPr/>
        <w:t>luego</w:t>
      </w:r>
      <w:r>
        <w:rPr>
          <w:spacing w:val="-9"/>
        </w:rPr>
        <w:t> </w:t>
      </w:r>
      <w:r>
        <w:rPr/>
        <w:t>que</w:t>
      </w:r>
      <w:r>
        <w:rPr>
          <w:spacing w:val="-6"/>
        </w:rPr>
        <w:t> </w:t>
      </w:r>
      <w:r>
        <w:rPr/>
        <w:t>en</w:t>
      </w:r>
      <w:r>
        <w:rPr>
          <w:spacing w:val="-6"/>
        </w:rPr>
        <w:t> </w:t>
      </w:r>
      <w:r>
        <w:rPr/>
        <w:t>2020</w:t>
      </w:r>
      <w:r>
        <w:rPr>
          <w:spacing w:val="-9"/>
        </w:rPr>
        <w:t> </w:t>
      </w:r>
      <w:r>
        <w:rPr/>
        <w:t>este</w:t>
      </w:r>
      <w:r>
        <w:rPr>
          <w:spacing w:val="-8"/>
        </w:rPr>
        <w:t> </w:t>
      </w:r>
      <w:r>
        <w:rPr/>
        <w:t>rubro</w:t>
      </w:r>
      <w:r>
        <w:rPr>
          <w:spacing w:val="-8"/>
        </w:rPr>
        <w:t> </w:t>
      </w:r>
      <w:r>
        <w:rPr/>
        <w:t>fue</w:t>
      </w:r>
      <w:r>
        <w:rPr>
          <w:spacing w:val="-11"/>
        </w:rPr>
        <w:t> </w:t>
      </w:r>
      <w:r>
        <w:rPr/>
        <w:t>castigado</w:t>
      </w:r>
      <w:r>
        <w:rPr>
          <w:spacing w:val="-8"/>
        </w:rPr>
        <w:t> </w:t>
      </w:r>
      <w:r>
        <w:rPr/>
        <w:t>dado</w:t>
      </w:r>
      <w:r>
        <w:rPr>
          <w:spacing w:val="-8"/>
        </w:rPr>
        <w:t> </w:t>
      </w:r>
      <w:r>
        <w:rPr/>
        <w:t>que</w:t>
      </w:r>
      <w:r>
        <w:rPr>
          <w:spacing w:val="-8"/>
        </w:rPr>
        <w:t> </w:t>
      </w:r>
      <w:r>
        <w:rPr/>
        <w:t>se</w:t>
      </w:r>
      <w:r>
        <w:rPr>
          <w:spacing w:val="-8"/>
        </w:rPr>
        <w:t> </w:t>
      </w:r>
      <w:r>
        <w:rPr/>
        <w:t>priorizaron</w:t>
      </w:r>
      <w:r>
        <w:rPr>
          <w:spacing w:val="-6"/>
        </w:rPr>
        <w:t> </w:t>
      </w:r>
      <w:r>
        <w:rPr/>
        <w:t>otros</w:t>
      </w:r>
      <w:r>
        <w:rPr>
          <w:spacing w:val="-6"/>
        </w:rPr>
        <w:t> </w:t>
      </w:r>
      <w:r>
        <w:rPr/>
        <w:t>gastos, principalmente</w:t>
      </w:r>
      <w:r>
        <w:rPr>
          <w:spacing w:val="-16"/>
        </w:rPr>
        <w:t> </w:t>
      </w:r>
      <w:r>
        <w:rPr/>
        <w:t>los</w:t>
      </w:r>
      <w:r>
        <w:rPr>
          <w:spacing w:val="-13"/>
        </w:rPr>
        <w:t> </w:t>
      </w:r>
      <w:r>
        <w:rPr/>
        <w:t>relacionados</w:t>
      </w:r>
      <w:r>
        <w:rPr>
          <w:spacing w:val="-13"/>
        </w:rPr>
        <w:t> </w:t>
      </w:r>
      <w:r>
        <w:rPr/>
        <w:t>a</w:t>
      </w:r>
      <w:r>
        <w:rPr>
          <w:spacing w:val="-13"/>
        </w:rPr>
        <w:t> </w:t>
      </w:r>
      <w:r>
        <w:rPr/>
        <w:t>la</w:t>
      </w:r>
      <w:r>
        <w:rPr>
          <w:spacing w:val="-13"/>
        </w:rPr>
        <w:t> </w:t>
      </w:r>
      <w:r>
        <w:rPr/>
        <w:t>pandemia</w:t>
      </w:r>
      <w:r>
        <w:rPr>
          <w:spacing w:val="-13"/>
        </w:rPr>
        <w:t> </w:t>
      </w:r>
      <w:r>
        <w:rPr/>
        <w:t>COVID-19</w:t>
      </w:r>
      <w:r>
        <w:rPr>
          <w:spacing w:val="-14"/>
        </w:rPr>
        <w:t> </w:t>
      </w:r>
      <w:r>
        <w:rPr/>
        <w:t>así</w:t>
      </w:r>
      <w:r>
        <w:rPr>
          <w:spacing w:val="-12"/>
        </w:rPr>
        <w:t> </w:t>
      </w:r>
      <w:r>
        <w:rPr/>
        <w:t>como</w:t>
      </w:r>
      <w:r>
        <w:rPr>
          <w:spacing w:val="-13"/>
        </w:rPr>
        <w:t> </w:t>
      </w:r>
      <w:r>
        <w:rPr/>
        <w:t>por</w:t>
      </w:r>
      <w:r>
        <w:rPr>
          <w:spacing w:val="-13"/>
        </w:rPr>
        <w:t> </w:t>
      </w:r>
      <w:r>
        <w:rPr/>
        <w:t>las</w:t>
      </w:r>
      <w:r>
        <w:rPr>
          <w:spacing w:val="-13"/>
        </w:rPr>
        <w:t> </w:t>
      </w:r>
      <w:r>
        <w:rPr/>
        <w:t>medidas</w:t>
      </w:r>
      <w:r>
        <w:rPr>
          <w:spacing w:val="-13"/>
        </w:rPr>
        <w:t> </w:t>
      </w:r>
      <w:r>
        <w:rPr/>
        <w:t>de</w:t>
      </w:r>
      <w:r>
        <w:rPr>
          <w:spacing w:val="-14"/>
        </w:rPr>
        <w:t> </w:t>
      </w:r>
      <w:r>
        <w:rPr/>
        <w:t>confinamiento y</w:t>
      </w:r>
      <w:r>
        <w:rPr>
          <w:spacing w:val="-10"/>
        </w:rPr>
        <w:t> </w:t>
      </w:r>
      <w:r>
        <w:rPr/>
        <w:t>distanciamiento</w:t>
      </w:r>
      <w:r>
        <w:rPr>
          <w:spacing w:val="-10"/>
        </w:rPr>
        <w:t> </w:t>
      </w:r>
      <w:r>
        <w:rPr/>
        <w:t>social</w:t>
      </w:r>
      <w:r>
        <w:rPr>
          <w:spacing w:val="-9"/>
        </w:rPr>
        <w:t> </w:t>
      </w:r>
      <w:r>
        <w:rPr/>
        <w:t>que</w:t>
      </w:r>
      <w:r>
        <w:rPr>
          <w:spacing w:val="-7"/>
        </w:rPr>
        <w:t> </w:t>
      </w:r>
      <w:r>
        <w:rPr/>
        <w:t>se</w:t>
      </w:r>
      <w:r>
        <w:rPr>
          <w:spacing w:val="-9"/>
        </w:rPr>
        <w:t> </w:t>
      </w:r>
      <w:r>
        <w:rPr/>
        <w:t>establecieron</w:t>
      </w:r>
      <w:r>
        <w:rPr>
          <w:spacing w:val="-9"/>
        </w:rPr>
        <w:t> </w:t>
      </w:r>
      <w:r>
        <w:rPr/>
        <w:t>en</w:t>
      </w:r>
      <w:r>
        <w:rPr>
          <w:spacing w:val="-9"/>
        </w:rPr>
        <w:t> </w:t>
      </w:r>
      <w:r>
        <w:rPr/>
        <w:t>varios</w:t>
      </w:r>
      <w:r>
        <w:rPr>
          <w:spacing w:val="-9"/>
        </w:rPr>
        <w:t> </w:t>
      </w:r>
      <w:r>
        <w:rPr/>
        <w:t>meses</w:t>
      </w:r>
      <w:r>
        <w:rPr>
          <w:spacing w:val="-6"/>
        </w:rPr>
        <w:t> </w:t>
      </w:r>
      <w:r>
        <w:rPr/>
        <w:t>del</w:t>
      </w:r>
      <w:r>
        <w:rPr>
          <w:spacing w:val="-8"/>
        </w:rPr>
        <w:t> </w:t>
      </w:r>
      <w:r>
        <w:rPr/>
        <w:t>año</w:t>
      </w:r>
      <w:r>
        <w:rPr>
          <w:spacing w:val="-7"/>
        </w:rPr>
        <w:t> </w:t>
      </w:r>
      <w:r>
        <w:rPr/>
        <w:t>que</w:t>
      </w:r>
      <w:r>
        <w:rPr>
          <w:spacing w:val="-7"/>
        </w:rPr>
        <w:t> </w:t>
      </w:r>
      <w:r>
        <w:rPr/>
        <w:t>dificultaron</w:t>
      </w:r>
      <w:r>
        <w:rPr>
          <w:spacing w:val="-7"/>
        </w:rPr>
        <w:t> </w:t>
      </w:r>
      <w:r>
        <w:rPr/>
        <w:t>la</w:t>
      </w:r>
      <w:r>
        <w:rPr>
          <w:spacing w:val="-7"/>
        </w:rPr>
        <w:t> </w:t>
      </w:r>
      <w:r>
        <w:rPr/>
        <w:t>ejecución</w:t>
      </w:r>
      <w:r>
        <w:rPr>
          <w:spacing w:val="-9"/>
        </w:rPr>
        <w:t> </w:t>
      </w:r>
      <w:r>
        <w:rPr/>
        <w:t>de obras. Las entidades que suman a este aumento son: el Ministerio de Comunicaciones con Q659.4 millones</w:t>
      </w:r>
      <w:r>
        <w:rPr>
          <w:spacing w:val="-9"/>
        </w:rPr>
        <w:t> </w:t>
      </w:r>
      <w:r>
        <w:rPr/>
        <w:t>y</w:t>
      </w:r>
      <w:r>
        <w:rPr>
          <w:spacing w:val="-12"/>
        </w:rPr>
        <w:t> </w:t>
      </w:r>
      <w:r>
        <w:rPr/>
        <w:t>el</w:t>
      </w:r>
      <w:r>
        <w:rPr>
          <w:spacing w:val="-9"/>
        </w:rPr>
        <w:t> </w:t>
      </w:r>
      <w:r>
        <w:rPr/>
        <w:t>Ministerio</w:t>
      </w:r>
      <w:r>
        <w:rPr>
          <w:spacing w:val="-10"/>
        </w:rPr>
        <w:t> </w:t>
      </w:r>
      <w:r>
        <w:rPr/>
        <w:t>de</w:t>
      </w:r>
      <w:r>
        <w:rPr>
          <w:spacing w:val="-11"/>
        </w:rPr>
        <w:t> </w:t>
      </w:r>
      <w:r>
        <w:rPr/>
        <w:t>Desarrollo</w:t>
      </w:r>
      <w:r>
        <w:rPr>
          <w:spacing w:val="-10"/>
        </w:rPr>
        <w:t> </w:t>
      </w:r>
      <w:r>
        <w:rPr/>
        <w:t>Social</w:t>
      </w:r>
      <w:r>
        <w:rPr>
          <w:spacing w:val="-11"/>
        </w:rPr>
        <w:t> </w:t>
      </w:r>
      <w:r>
        <w:rPr/>
        <w:t>con</w:t>
      </w:r>
      <w:r>
        <w:rPr>
          <w:spacing w:val="-10"/>
        </w:rPr>
        <w:t> </w:t>
      </w:r>
      <w:r>
        <w:rPr/>
        <w:t>Q100.2</w:t>
      </w:r>
      <w:r>
        <w:rPr>
          <w:spacing w:val="-10"/>
        </w:rPr>
        <w:t> </w:t>
      </w:r>
      <w:r>
        <w:rPr/>
        <w:t>millones,</w:t>
      </w:r>
      <w:r>
        <w:rPr>
          <w:spacing w:val="-9"/>
        </w:rPr>
        <w:t> </w:t>
      </w:r>
      <w:r>
        <w:rPr/>
        <w:t>que</w:t>
      </w:r>
      <w:r>
        <w:rPr>
          <w:spacing w:val="-9"/>
        </w:rPr>
        <w:t> </w:t>
      </w:r>
      <w:r>
        <w:rPr/>
        <w:t>se</w:t>
      </w:r>
      <w:r>
        <w:rPr>
          <w:spacing w:val="-10"/>
        </w:rPr>
        <w:t> </w:t>
      </w:r>
      <w:r>
        <w:rPr/>
        <w:t>explica</w:t>
      </w:r>
      <w:r>
        <w:rPr>
          <w:spacing w:val="-11"/>
        </w:rPr>
        <w:t> </w:t>
      </w:r>
      <w:r>
        <w:rPr/>
        <w:t>por</w:t>
      </w:r>
      <w:r>
        <w:rPr>
          <w:spacing w:val="-11"/>
        </w:rPr>
        <w:t> </w:t>
      </w:r>
      <w:r>
        <w:rPr/>
        <w:t>la</w:t>
      </w:r>
      <w:r>
        <w:rPr>
          <w:spacing w:val="-9"/>
        </w:rPr>
        <w:t> </w:t>
      </w:r>
      <w:r>
        <w:rPr/>
        <w:t>construcción de caminos, puentes y demás obras que son de aprovechamiento general. Asimismo, también se observó un incremento en los bienes nacionales de uso no común asociado a las obras relacionadas con escuelas y</w:t>
      </w:r>
      <w:r>
        <w:rPr>
          <w:spacing w:val="-3"/>
        </w:rPr>
        <w:t> </w:t>
      </w:r>
      <w:r>
        <w:rPr/>
        <w:t>hospitales.</w:t>
      </w:r>
    </w:p>
    <w:p>
      <w:pPr>
        <w:pStyle w:val="BodyText"/>
        <w:spacing w:before="2"/>
        <w:rPr>
          <w:sz w:val="25"/>
        </w:rPr>
      </w:pPr>
    </w:p>
    <w:p>
      <w:pPr>
        <w:pStyle w:val="BodyText"/>
        <w:spacing w:line="276" w:lineRule="auto" w:before="1"/>
        <w:ind w:left="562" w:right="1700"/>
        <w:jc w:val="both"/>
      </w:pPr>
      <w:r>
        <w:rPr/>
        <w:t>En</w:t>
      </w:r>
      <w:r>
        <w:rPr>
          <w:spacing w:val="-15"/>
        </w:rPr>
        <w:t> </w:t>
      </w:r>
      <w:r>
        <w:rPr/>
        <w:t>lo</w:t>
      </w:r>
      <w:r>
        <w:rPr>
          <w:spacing w:val="-13"/>
        </w:rPr>
        <w:t> </w:t>
      </w:r>
      <w:r>
        <w:rPr/>
        <w:t>referente</w:t>
      </w:r>
      <w:r>
        <w:rPr>
          <w:spacing w:val="-15"/>
        </w:rPr>
        <w:t> </w:t>
      </w:r>
      <w:r>
        <w:rPr/>
        <w:t>a</w:t>
      </w:r>
      <w:r>
        <w:rPr>
          <w:spacing w:val="-14"/>
        </w:rPr>
        <w:t> </w:t>
      </w:r>
      <w:r>
        <w:rPr/>
        <w:t>las</w:t>
      </w:r>
      <w:r>
        <w:rPr>
          <w:spacing w:val="-13"/>
        </w:rPr>
        <w:t> </w:t>
      </w:r>
      <w:r>
        <w:rPr/>
        <w:t>prestaciones</w:t>
      </w:r>
      <w:r>
        <w:rPr>
          <w:spacing w:val="-13"/>
        </w:rPr>
        <w:t> </w:t>
      </w:r>
      <w:r>
        <w:rPr/>
        <w:t>a</w:t>
      </w:r>
      <w:r>
        <w:rPr>
          <w:spacing w:val="-16"/>
        </w:rPr>
        <w:t> </w:t>
      </w:r>
      <w:r>
        <w:rPr/>
        <w:t>la</w:t>
      </w:r>
      <w:r>
        <w:rPr>
          <w:spacing w:val="-15"/>
        </w:rPr>
        <w:t> </w:t>
      </w:r>
      <w:r>
        <w:rPr/>
        <w:t>seguridad</w:t>
      </w:r>
      <w:r>
        <w:rPr>
          <w:spacing w:val="-13"/>
        </w:rPr>
        <w:t> </w:t>
      </w:r>
      <w:r>
        <w:rPr/>
        <w:t>social,</w:t>
      </w:r>
      <w:r>
        <w:rPr>
          <w:spacing w:val="-14"/>
        </w:rPr>
        <w:t> </w:t>
      </w:r>
      <w:r>
        <w:rPr/>
        <w:t>que</w:t>
      </w:r>
      <w:r>
        <w:rPr>
          <w:spacing w:val="-13"/>
        </w:rPr>
        <w:t> </w:t>
      </w:r>
      <w:r>
        <w:rPr/>
        <w:t>incluye</w:t>
      </w:r>
      <w:r>
        <w:rPr>
          <w:spacing w:val="-13"/>
        </w:rPr>
        <w:t> </w:t>
      </w:r>
      <w:r>
        <w:rPr/>
        <w:t>el</w:t>
      </w:r>
      <w:r>
        <w:rPr>
          <w:spacing w:val="-13"/>
        </w:rPr>
        <w:t> </w:t>
      </w:r>
      <w:r>
        <w:rPr/>
        <w:t>pago</w:t>
      </w:r>
      <w:r>
        <w:rPr>
          <w:spacing w:val="-13"/>
        </w:rPr>
        <w:t> </w:t>
      </w:r>
      <w:r>
        <w:rPr/>
        <w:t>de</w:t>
      </w:r>
      <w:r>
        <w:rPr>
          <w:spacing w:val="-13"/>
        </w:rPr>
        <w:t> </w:t>
      </w:r>
      <w:r>
        <w:rPr/>
        <w:t>pensiones</w:t>
      </w:r>
      <w:r>
        <w:rPr>
          <w:spacing w:val="-14"/>
        </w:rPr>
        <w:t> </w:t>
      </w:r>
      <w:r>
        <w:rPr/>
        <w:t>y</w:t>
      </w:r>
      <w:r>
        <w:rPr>
          <w:spacing w:val="-18"/>
        </w:rPr>
        <w:t> </w:t>
      </w:r>
      <w:r>
        <w:rPr/>
        <w:t>jubilaciones a los trabajadores del Estado, dan cuenta de un leve aumento de Q160.2 millones respecto a lo observado en 2020. En cuanto a las transferencias de capital, estas reportan un crecimiento de 1.2% (equivalente a Q139.0 millones), las municipalidades reportaron un aumento en su transferencia por Q167.6 millones, mientras que la transferencia hacia los Consejos de Desarrollo Urbano y Rural se mantuvo en el mismo nivel.</w:t>
      </w:r>
    </w:p>
    <w:p>
      <w:pPr>
        <w:pStyle w:val="BodyText"/>
        <w:spacing w:before="5"/>
        <w:rPr>
          <w:sz w:val="25"/>
        </w:rPr>
      </w:pPr>
    </w:p>
    <w:p>
      <w:pPr>
        <w:pStyle w:val="BodyText"/>
        <w:spacing w:line="276" w:lineRule="auto"/>
        <w:ind w:left="562" w:right="1697"/>
        <w:jc w:val="both"/>
      </w:pPr>
      <w:r>
        <w:rPr/>
        <w:t>En cuanto al rubro de la inversión financiera, este tuvo una contracción de 92.6% (equivalente a Q3,085.2 millones) esto debido a que en el 2020 en este rubro se registró la concesión de préstamos en condiciones blandas para la atención del COVID-19. Durante 2021 el gasto más importante registrado en dicho rubro corresponde a un aporte de capital por Q213.9 millones de carácter no</w:t>
      </w:r>
    </w:p>
    <w:p>
      <w:pPr>
        <w:spacing w:after="0" w:line="276" w:lineRule="auto"/>
        <w:jc w:val="both"/>
        <w:sectPr>
          <w:pgSz w:w="12240" w:h="15840"/>
          <w:pgMar w:header="715" w:footer="957" w:top="1240" w:bottom="1140" w:left="1140" w:right="0"/>
        </w:sectPr>
      </w:pPr>
    </w:p>
    <w:p>
      <w:pPr>
        <w:pStyle w:val="BodyText"/>
        <w:spacing w:line="276" w:lineRule="auto" w:before="162"/>
        <w:ind w:left="562" w:right="1704"/>
        <w:jc w:val="both"/>
      </w:pPr>
      <w:r>
        <w:rPr/>
        <w:t>reintegrable mediante la compra de acciones y/o participaciones al Banco de Desarrollo Rural (Banrural).</w:t>
      </w:r>
    </w:p>
    <w:p>
      <w:pPr>
        <w:pStyle w:val="BodyText"/>
        <w:spacing w:before="2"/>
        <w:rPr>
          <w:sz w:val="25"/>
        </w:rPr>
      </w:pPr>
    </w:p>
    <w:p>
      <w:pPr>
        <w:pStyle w:val="BodyText"/>
        <w:spacing w:line="276" w:lineRule="auto"/>
        <w:ind w:left="562" w:right="1695"/>
        <w:jc w:val="both"/>
      </w:pPr>
      <w:r>
        <w:rPr/>
        <w:t>Respecto a las transferencias corrientes, este fue el rubro que tuvo la mayor contracción en 2021, siendo la disminución de Q7,460.7 millones, derivado que durante 2020 las transferencias otorgadas a personas individuales y al sector privado derivadas del COVID-19 (Bono Familia y Fondo de Protección</w:t>
      </w:r>
      <w:r>
        <w:rPr>
          <w:spacing w:val="-12"/>
        </w:rPr>
        <w:t> </w:t>
      </w:r>
      <w:r>
        <w:rPr/>
        <w:t>de</w:t>
      </w:r>
      <w:r>
        <w:rPr>
          <w:spacing w:val="-11"/>
        </w:rPr>
        <w:t> </w:t>
      </w:r>
      <w:r>
        <w:rPr/>
        <w:t>Empleo)</w:t>
      </w:r>
      <w:r>
        <w:rPr>
          <w:spacing w:val="-11"/>
        </w:rPr>
        <w:t> </w:t>
      </w:r>
      <w:r>
        <w:rPr/>
        <w:t>se</w:t>
      </w:r>
      <w:r>
        <w:rPr>
          <w:spacing w:val="-13"/>
        </w:rPr>
        <w:t> </w:t>
      </w:r>
      <w:r>
        <w:rPr/>
        <w:t>registraron</w:t>
      </w:r>
      <w:r>
        <w:rPr>
          <w:spacing w:val="-12"/>
        </w:rPr>
        <w:t> </w:t>
      </w:r>
      <w:r>
        <w:rPr/>
        <w:t>en</w:t>
      </w:r>
      <w:r>
        <w:rPr>
          <w:spacing w:val="-11"/>
        </w:rPr>
        <w:t> </w:t>
      </w:r>
      <w:r>
        <w:rPr/>
        <w:t>dicho</w:t>
      </w:r>
      <w:r>
        <w:rPr>
          <w:spacing w:val="-10"/>
        </w:rPr>
        <w:t> </w:t>
      </w:r>
      <w:r>
        <w:rPr/>
        <w:t>rubro.</w:t>
      </w:r>
      <w:r>
        <w:rPr>
          <w:spacing w:val="-12"/>
        </w:rPr>
        <w:t> </w:t>
      </w:r>
      <w:r>
        <w:rPr/>
        <w:t>En</w:t>
      </w:r>
      <w:r>
        <w:rPr>
          <w:spacing w:val="-14"/>
        </w:rPr>
        <w:t> </w:t>
      </w:r>
      <w:r>
        <w:rPr/>
        <w:t>lo</w:t>
      </w:r>
      <w:r>
        <w:rPr>
          <w:spacing w:val="-12"/>
        </w:rPr>
        <w:t> </w:t>
      </w:r>
      <w:r>
        <w:rPr/>
        <w:t>que</w:t>
      </w:r>
      <w:r>
        <w:rPr>
          <w:spacing w:val="-13"/>
        </w:rPr>
        <w:t> </w:t>
      </w:r>
      <w:r>
        <w:rPr/>
        <w:t>respecta</w:t>
      </w:r>
      <w:r>
        <w:rPr>
          <w:spacing w:val="-10"/>
        </w:rPr>
        <w:t> </w:t>
      </w:r>
      <w:r>
        <w:rPr/>
        <w:t>a</w:t>
      </w:r>
      <w:r>
        <w:rPr>
          <w:spacing w:val="-14"/>
        </w:rPr>
        <w:t> </w:t>
      </w:r>
      <w:r>
        <w:rPr/>
        <w:t>las</w:t>
      </w:r>
      <w:r>
        <w:rPr>
          <w:spacing w:val="-10"/>
        </w:rPr>
        <w:t> </w:t>
      </w:r>
      <w:r>
        <w:rPr/>
        <w:t>transferencias</w:t>
      </w:r>
      <w:r>
        <w:rPr>
          <w:spacing w:val="-13"/>
        </w:rPr>
        <w:t> </w:t>
      </w:r>
      <w:r>
        <w:rPr/>
        <w:t>corrientes al</w:t>
      </w:r>
      <w:r>
        <w:rPr>
          <w:spacing w:val="-11"/>
        </w:rPr>
        <w:t> </w:t>
      </w:r>
      <w:r>
        <w:rPr/>
        <w:t>sector</w:t>
      </w:r>
      <w:r>
        <w:rPr>
          <w:spacing w:val="-14"/>
        </w:rPr>
        <w:t> </w:t>
      </w:r>
      <w:r>
        <w:rPr/>
        <w:t>público,</w:t>
      </w:r>
      <w:r>
        <w:rPr>
          <w:spacing w:val="-12"/>
        </w:rPr>
        <w:t> </w:t>
      </w:r>
      <w:r>
        <w:rPr/>
        <w:t>reportan</w:t>
      </w:r>
      <w:r>
        <w:rPr>
          <w:spacing w:val="-13"/>
        </w:rPr>
        <w:t> </w:t>
      </w:r>
      <w:r>
        <w:rPr/>
        <w:t>un</w:t>
      </w:r>
      <w:r>
        <w:rPr>
          <w:spacing w:val="-12"/>
        </w:rPr>
        <w:t> </w:t>
      </w:r>
      <w:r>
        <w:rPr/>
        <w:t>crecimiento</w:t>
      </w:r>
      <w:r>
        <w:rPr>
          <w:spacing w:val="-13"/>
        </w:rPr>
        <w:t> </w:t>
      </w:r>
      <w:r>
        <w:rPr/>
        <w:t>interanual</w:t>
      </w:r>
      <w:r>
        <w:rPr>
          <w:spacing w:val="-13"/>
        </w:rPr>
        <w:t> </w:t>
      </w:r>
      <w:r>
        <w:rPr/>
        <w:t>de</w:t>
      </w:r>
      <w:r>
        <w:rPr>
          <w:spacing w:val="-14"/>
        </w:rPr>
        <w:t> </w:t>
      </w:r>
      <w:r>
        <w:rPr/>
        <w:t>5.2%,</w:t>
      </w:r>
      <w:r>
        <w:rPr>
          <w:spacing w:val="-13"/>
        </w:rPr>
        <w:t> </w:t>
      </w:r>
      <w:r>
        <w:rPr/>
        <w:t>como</w:t>
      </w:r>
      <w:r>
        <w:rPr>
          <w:spacing w:val="-12"/>
        </w:rPr>
        <w:t> </w:t>
      </w:r>
      <w:r>
        <w:rPr/>
        <w:t>resultado</w:t>
      </w:r>
      <w:r>
        <w:rPr>
          <w:spacing w:val="-11"/>
        </w:rPr>
        <w:t> </w:t>
      </w:r>
      <w:r>
        <w:rPr/>
        <w:t>del</w:t>
      </w:r>
      <w:r>
        <w:rPr>
          <w:spacing w:val="-12"/>
        </w:rPr>
        <w:t> </w:t>
      </w:r>
      <w:r>
        <w:rPr/>
        <w:t>desempeño</w:t>
      </w:r>
      <w:r>
        <w:rPr>
          <w:spacing w:val="-12"/>
        </w:rPr>
        <w:t> </w:t>
      </w:r>
      <w:r>
        <w:rPr/>
        <w:t>positivo mostrado por la recaudación tributaria, con una mayor disponibilidad de recursos para las entidades que por mandato legal reciben transferencias a su presupuesto provenientes de la recaudación tributaria. Asimismo, el Ministerio de Gobernación realizó una transferencia hacia el Instituto Guatemalteco de Migración por Q313.3 millones, esto debido a que por medio del Decreto 44-2016 se creó el Instituto Guatemalteco de Migración (IGM) como una dependencia descentralizada del Organismo Ejecutivo sustituyendo a la Dirección General de Migración (DGM), la gradualidad de esta transición considera un período máximo de dos años luego de aprobado el plan de transición y nombrado</w:t>
      </w:r>
      <w:r>
        <w:rPr>
          <w:spacing w:val="-4"/>
        </w:rPr>
        <w:t> </w:t>
      </w:r>
      <w:r>
        <w:rPr/>
        <w:t>un</w:t>
      </w:r>
      <w:r>
        <w:rPr>
          <w:spacing w:val="-5"/>
        </w:rPr>
        <w:t> </w:t>
      </w:r>
      <w:r>
        <w:rPr/>
        <w:t>Director,</w:t>
      </w:r>
      <w:r>
        <w:rPr>
          <w:spacing w:val="-4"/>
        </w:rPr>
        <w:t> </w:t>
      </w:r>
      <w:r>
        <w:rPr/>
        <w:t>quedando</w:t>
      </w:r>
      <w:r>
        <w:rPr>
          <w:spacing w:val="-7"/>
        </w:rPr>
        <w:t> </w:t>
      </w:r>
      <w:r>
        <w:rPr/>
        <w:t>el</w:t>
      </w:r>
      <w:r>
        <w:rPr>
          <w:spacing w:val="-5"/>
        </w:rPr>
        <w:t> </w:t>
      </w:r>
      <w:r>
        <w:rPr/>
        <w:t>Ministerio</w:t>
      </w:r>
      <w:r>
        <w:rPr>
          <w:spacing w:val="-7"/>
        </w:rPr>
        <w:t> </w:t>
      </w:r>
      <w:r>
        <w:rPr/>
        <w:t>de</w:t>
      </w:r>
      <w:r>
        <w:rPr>
          <w:spacing w:val="-6"/>
        </w:rPr>
        <w:t> </w:t>
      </w:r>
      <w:r>
        <w:rPr/>
        <w:t>Gobernación</w:t>
      </w:r>
      <w:r>
        <w:rPr>
          <w:spacing w:val="-7"/>
        </w:rPr>
        <w:t> </w:t>
      </w:r>
      <w:r>
        <w:rPr/>
        <w:t>a</w:t>
      </w:r>
      <w:r>
        <w:rPr>
          <w:spacing w:val="-6"/>
        </w:rPr>
        <w:t> </w:t>
      </w:r>
      <w:r>
        <w:rPr/>
        <w:t>cargo</w:t>
      </w:r>
      <w:r>
        <w:rPr>
          <w:spacing w:val="-5"/>
        </w:rPr>
        <w:t> </w:t>
      </w:r>
      <w:r>
        <w:rPr/>
        <w:t>de</w:t>
      </w:r>
      <w:r>
        <w:rPr>
          <w:spacing w:val="-4"/>
        </w:rPr>
        <w:t> </w:t>
      </w:r>
      <w:r>
        <w:rPr/>
        <w:t>trasladar</w:t>
      </w:r>
      <w:r>
        <w:rPr>
          <w:spacing w:val="-3"/>
        </w:rPr>
        <w:t> </w:t>
      </w:r>
      <w:r>
        <w:rPr/>
        <w:t>los</w:t>
      </w:r>
      <w:r>
        <w:rPr>
          <w:spacing w:val="-7"/>
        </w:rPr>
        <w:t> </w:t>
      </w:r>
      <w:r>
        <w:rPr/>
        <w:t>fondos</w:t>
      </w:r>
      <w:r>
        <w:rPr>
          <w:spacing w:val="-3"/>
        </w:rPr>
        <w:t> </w:t>
      </w:r>
      <w:r>
        <w:rPr/>
        <w:t>que</w:t>
      </w:r>
      <w:r>
        <w:rPr>
          <w:spacing w:val="-4"/>
        </w:rPr>
        <w:t> </w:t>
      </w:r>
      <w:r>
        <w:rPr/>
        <w:t>le fueron asignados para la DGM al</w:t>
      </w:r>
      <w:r>
        <w:rPr>
          <w:spacing w:val="-2"/>
        </w:rPr>
        <w:t> </w:t>
      </w:r>
      <w:r>
        <w:rPr/>
        <w:t>IGM.</w:t>
      </w:r>
    </w:p>
    <w:p>
      <w:pPr>
        <w:pStyle w:val="BodyText"/>
        <w:spacing w:before="6"/>
        <w:rPr>
          <w:sz w:val="25"/>
        </w:rPr>
      </w:pPr>
    </w:p>
    <w:p>
      <w:pPr>
        <w:pStyle w:val="BodyText"/>
        <w:spacing w:line="276" w:lineRule="auto"/>
        <w:ind w:left="562" w:right="1697"/>
        <w:jc w:val="both"/>
      </w:pPr>
      <w:r>
        <w:rPr/>
        <w:t>El grado de ejecución presupuestaria, a nivel institucional, se ubicó en Q93,005.7 millones, equivalente</w:t>
      </w:r>
      <w:r>
        <w:rPr>
          <w:spacing w:val="-9"/>
        </w:rPr>
        <w:t> </w:t>
      </w:r>
      <w:r>
        <w:rPr/>
        <w:t>a</w:t>
      </w:r>
      <w:r>
        <w:rPr>
          <w:spacing w:val="-6"/>
        </w:rPr>
        <w:t> </w:t>
      </w:r>
      <w:r>
        <w:rPr/>
        <w:t>un</w:t>
      </w:r>
      <w:r>
        <w:rPr>
          <w:spacing w:val="-6"/>
        </w:rPr>
        <w:t> </w:t>
      </w:r>
      <w:r>
        <w:rPr/>
        <w:t>grado</w:t>
      </w:r>
      <w:r>
        <w:rPr>
          <w:spacing w:val="-7"/>
        </w:rPr>
        <w:t> </w:t>
      </w:r>
      <w:r>
        <w:rPr/>
        <w:t>de</w:t>
      </w:r>
      <w:r>
        <w:rPr>
          <w:spacing w:val="-8"/>
        </w:rPr>
        <w:t> </w:t>
      </w:r>
      <w:r>
        <w:rPr/>
        <w:t>ejecución</w:t>
      </w:r>
      <w:r>
        <w:rPr>
          <w:spacing w:val="-6"/>
        </w:rPr>
        <w:t> </w:t>
      </w:r>
      <w:r>
        <w:rPr/>
        <w:t>de</w:t>
      </w:r>
      <w:r>
        <w:rPr>
          <w:spacing w:val="-7"/>
        </w:rPr>
        <w:t> </w:t>
      </w:r>
      <w:r>
        <w:rPr/>
        <w:t>86.5%,</w:t>
      </w:r>
      <w:r>
        <w:rPr>
          <w:spacing w:val="-6"/>
        </w:rPr>
        <w:t> </w:t>
      </w:r>
      <w:r>
        <w:rPr/>
        <w:t>aunque</w:t>
      </w:r>
      <w:r>
        <w:rPr>
          <w:spacing w:val="-8"/>
        </w:rPr>
        <w:t> </w:t>
      </w:r>
      <w:r>
        <w:rPr/>
        <w:t>es</w:t>
      </w:r>
      <w:r>
        <w:rPr>
          <w:spacing w:val="-7"/>
        </w:rPr>
        <w:t> </w:t>
      </w:r>
      <w:r>
        <w:rPr/>
        <w:t>importante</w:t>
      </w:r>
      <w:r>
        <w:rPr>
          <w:spacing w:val="-8"/>
        </w:rPr>
        <w:t> </w:t>
      </w:r>
      <w:r>
        <w:rPr/>
        <w:t>considerar</w:t>
      </w:r>
      <w:r>
        <w:rPr>
          <w:spacing w:val="-5"/>
        </w:rPr>
        <w:t> </w:t>
      </w:r>
      <w:r>
        <w:rPr/>
        <w:t>que</w:t>
      </w:r>
      <w:r>
        <w:rPr>
          <w:spacing w:val="-9"/>
        </w:rPr>
        <w:t> </w:t>
      </w:r>
      <w:r>
        <w:rPr/>
        <w:t>este</w:t>
      </w:r>
      <w:r>
        <w:rPr>
          <w:spacing w:val="-6"/>
        </w:rPr>
        <w:t> </w:t>
      </w:r>
      <w:r>
        <w:rPr/>
        <w:t>corresponde a</w:t>
      </w:r>
      <w:r>
        <w:rPr>
          <w:spacing w:val="-14"/>
        </w:rPr>
        <w:t> </w:t>
      </w:r>
      <w:r>
        <w:rPr/>
        <w:t>un</w:t>
      </w:r>
      <w:r>
        <w:rPr>
          <w:spacing w:val="-13"/>
        </w:rPr>
        <w:t> </w:t>
      </w:r>
      <w:r>
        <w:rPr/>
        <w:t>presupuesto</w:t>
      </w:r>
      <w:r>
        <w:rPr>
          <w:spacing w:val="-14"/>
        </w:rPr>
        <w:t> </w:t>
      </w:r>
      <w:r>
        <w:rPr/>
        <w:t>totalmente</w:t>
      </w:r>
      <w:r>
        <w:rPr>
          <w:spacing w:val="-15"/>
        </w:rPr>
        <w:t> </w:t>
      </w:r>
      <w:r>
        <w:rPr/>
        <w:t>atípico</w:t>
      </w:r>
      <w:r>
        <w:rPr>
          <w:spacing w:val="-14"/>
        </w:rPr>
        <w:t> </w:t>
      </w:r>
      <w:r>
        <w:rPr/>
        <w:t>e</w:t>
      </w:r>
      <w:r>
        <w:rPr>
          <w:spacing w:val="-15"/>
        </w:rPr>
        <w:t> </w:t>
      </w:r>
      <w:r>
        <w:rPr/>
        <w:t>inflado</w:t>
      </w:r>
      <w:r>
        <w:rPr>
          <w:spacing w:val="-13"/>
        </w:rPr>
        <w:t> </w:t>
      </w:r>
      <w:r>
        <w:rPr/>
        <w:t>virtualmente</w:t>
      </w:r>
      <w:r>
        <w:rPr>
          <w:spacing w:val="-14"/>
        </w:rPr>
        <w:t> </w:t>
      </w:r>
      <w:r>
        <w:rPr/>
        <w:t>derivado</w:t>
      </w:r>
      <w:r>
        <w:rPr>
          <w:spacing w:val="-13"/>
        </w:rPr>
        <w:t> </w:t>
      </w:r>
      <w:r>
        <w:rPr/>
        <w:t>de</w:t>
      </w:r>
      <w:r>
        <w:rPr>
          <w:spacing w:val="-14"/>
        </w:rPr>
        <w:t> </w:t>
      </w:r>
      <w:r>
        <w:rPr/>
        <w:t>las</w:t>
      </w:r>
      <w:r>
        <w:rPr>
          <w:spacing w:val="-13"/>
        </w:rPr>
        <w:t> </w:t>
      </w:r>
      <w:r>
        <w:rPr/>
        <w:t>necesidades</w:t>
      </w:r>
      <w:r>
        <w:rPr>
          <w:spacing w:val="-14"/>
        </w:rPr>
        <w:t> </w:t>
      </w:r>
      <w:r>
        <w:rPr/>
        <w:t>que</w:t>
      </w:r>
      <w:r>
        <w:rPr>
          <w:spacing w:val="-15"/>
        </w:rPr>
        <w:t> </w:t>
      </w:r>
      <w:r>
        <w:rPr/>
        <w:t>se</w:t>
      </w:r>
      <w:r>
        <w:rPr>
          <w:spacing w:val="-15"/>
        </w:rPr>
        <w:t> </w:t>
      </w:r>
      <w:r>
        <w:rPr/>
        <w:t>tuvieron en 2020 y que no correspondían a la realidad y necesidades de 2021. Por ello, el Gobierno utilizó en paralelo un presupuesto ajustado para 2021 de Q94,354.0 millones, el cual fue definido por la no aprobación del presupuesto y para darle certeza a las entidades respecto a su espacio presupuestario real de ejecución, con ello el grado de ejecución se ubicó en 98.6%, siendo el más alto alcanzado en más</w:t>
      </w:r>
      <w:r>
        <w:rPr>
          <w:spacing w:val="-5"/>
        </w:rPr>
        <w:t> </w:t>
      </w:r>
      <w:r>
        <w:rPr/>
        <w:t>de</w:t>
      </w:r>
      <w:r>
        <w:rPr>
          <w:spacing w:val="-6"/>
        </w:rPr>
        <w:t> </w:t>
      </w:r>
      <w:r>
        <w:rPr/>
        <w:t>20</w:t>
      </w:r>
      <w:r>
        <w:rPr>
          <w:spacing w:val="-5"/>
        </w:rPr>
        <w:t> </w:t>
      </w:r>
      <w:r>
        <w:rPr/>
        <w:t>años.</w:t>
      </w:r>
      <w:r>
        <w:rPr>
          <w:spacing w:val="-6"/>
        </w:rPr>
        <w:t> </w:t>
      </w:r>
      <w:r>
        <w:rPr/>
        <w:t>No</w:t>
      </w:r>
      <w:r>
        <w:rPr>
          <w:spacing w:val="-6"/>
        </w:rPr>
        <w:t> </w:t>
      </w:r>
      <w:r>
        <w:rPr/>
        <w:t>obstante,</w:t>
      </w:r>
      <w:r>
        <w:rPr>
          <w:spacing w:val="-5"/>
        </w:rPr>
        <w:t> </w:t>
      </w:r>
      <w:r>
        <w:rPr/>
        <w:t>es</w:t>
      </w:r>
      <w:r>
        <w:rPr>
          <w:spacing w:val="-5"/>
        </w:rPr>
        <w:t> </w:t>
      </w:r>
      <w:r>
        <w:rPr/>
        <w:t>importante</w:t>
      </w:r>
      <w:r>
        <w:rPr>
          <w:spacing w:val="-6"/>
        </w:rPr>
        <w:t> </w:t>
      </w:r>
      <w:r>
        <w:rPr/>
        <w:t>considerar</w:t>
      </w:r>
      <w:r>
        <w:rPr>
          <w:spacing w:val="-7"/>
        </w:rPr>
        <w:t> </w:t>
      </w:r>
      <w:r>
        <w:rPr/>
        <w:t>que,</w:t>
      </w:r>
      <w:r>
        <w:rPr>
          <w:spacing w:val="-6"/>
        </w:rPr>
        <w:t> </w:t>
      </w:r>
      <w:r>
        <w:rPr/>
        <w:t>en</w:t>
      </w:r>
      <w:r>
        <w:rPr>
          <w:spacing w:val="-7"/>
        </w:rPr>
        <w:t> </w:t>
      </w:r>
      <w:r>
        <w:rPr/>
        <w:t>rigor</w:t>
      </w:r>
      <w:r>
        <w:rPr>
          <w:spacing w:val="-5"/>
        </w:rPr>
        <w:t> </w:t>
      </w:r>
      <w:r>
        <w:rPr/>
        <w:t>técnico,</w:t>
      </w:r>
      <w:r>
        <w:rPr>
          <w:spacing w:val="-8"/>
        </w:rPr>
        <w:t> </w:t>
      </w:r>
      <w:r>
        <w:rPr/>
        <w:t>legal</w:t>
      </w:r>
      <w:r>
        <w:rPr>
          <w:spacing w:val="-6"/>
        </w:rPr>
        <w:t> </w:t>
      </w:r>
      <w:r>
        <w:rPr/>
        <w:t>y</w:t>
      </w:r>
      <w:r>
        <w:rPr>
          <w:spacing w:val="-9"/>
        </w:rPr>
        <w:t> </w:t>
      </w:r>
      <w:r>
        <w:rPr/>
        <w:t>para</w:t>
      </w:r>
      <w:r>
        <w:rPr>
          <w:spacing w:val="-5"/>
        </w:rPr>
        <w:t> </w:t>
      </w:r>
      <w:r>
        <w:rPr/>
        <w:t>los</w:t>
      </w:r>
      <w:r>
        <w:rPr>
          <w:spacing w:val="-8"/>
        </w:rPr>
        <w:t> </w:t>
      </w:r>
      <w:r>
        <w:rPr/>
        <w:t>registros oficiales, el porcentaje de ejecución presupuestaria computado es el</w:t>
      </w:r>
      <w:r>
        <w:rPr>
          <w:spacing w:val="-10"/>
        </w:rPr>
        <w:t> </w:t>
      </w:r>
      <w:r>
        <w:rPr/>
        <w:t>86.5%.</w:t>
      </w:r>
    </w:p>
    <w:p>
      <w:pPr>
        <w:pStyle w:val="BodyText"/>
        <w:spacing w:before="3"/>
        <w:rPr>
          <w:sz w:val="25"/>
        </w:rPr>
      </w:pPr>
    </w:p>
    <w:p>
      <w:pPr>
        <w:pStyle w:val="BodyText"/>
        <w:spacing w:line="276" w:lineRule="auto"/>
        <w:ind w:left="562" w:right="1697"/>
        <w:jc w:val="both"/>
      </w:pPr>
      <w:r>
        <w:rPr/>
        <w:t>También es importante señalar que el grado de ejecución presupuestaria, muestra</w:t>
      </w:r>
      <w:r>
        <w:rPr>
          <w:spacing w:val="-41"/>
        </w:rPr>
        <w:t> </w:t>
      </w:r>
      <w:r>
        <w:rPr/>
        <w:t>una alta dispersión entre</w:t>
      </w:r>
      <w:r>
        <w:rPr>
          <w:spacing w:val="-16"/>
        </w:rPr>
        <w:t> </w:t>
      </w:r>
      <w:r>
        <w:rPr/>
        <w:t>las</w:t>
      </w:r>
      <w:r>
        <w:rPr>
          <w:spacing w:val="-15"/>
        </w:rPr>
        <w:t> </w:t>
      </w:r>
      <w:r>
        <w:rPr/>
        <w:t>diferentes</w:t>
      </w:r>
      <w:r>
        <w:rPr>
          <w:spacing w:val="-15"/>
        </w:rPr>
        <w:t> </w:t>
      </w:r>
      <w:r>
        <w:rPr/>
        <w:t>entidades,</w:t>
      </w:r>
      <w:r>
        <w:rPr>
          <w:spacing w:val="-14"/>
        </w:rPr>
        <w:t> </w:t>
      </w:r>
      <w:r>
        <w:rPr/>
        <w:t>la</w:t>
      </w:r>
      <w:r>
        <w:rPr>
          <w:spacing w:val="-16"/>
        </w:rPr>
        <w:t> </w:t>
      </w:r>
      <w:r>
        <w:rPr/>
        <w:t>cual</w:t>
      </w:r>
      <w:r>
        <w:rPr>
          <w:spacing w:val="-15"/>
        </w:rPr>
        <w:t> </w:t>
      </w:r>
      <w:r>
        <w:rPr/>
        <w:t>está</w:t>
      </w:r>
      <w:r>
        <w:rPr>
          <w:spacing w:val="-15"/>
        </w:rPr>
        <w:t> </w:t>
      </w:r>
      <w:r>
        <w:rPr/>
        <w:t>asociada</w:t>
      </w:r>
      <w:r>
        <w:rPr>
          <w:spacing w:val="-15"/>
        </w:rPr>
        <w:t> </w:t>
      </w:r>
      <w:r>
        <w:rPr/>
        <w:t>a</w:t>
      </w:r>
      <w:r>
        <w:rPr>
          <w:spacing w:val="-15"/>
        </w:rPr>
        <w:t> </w:t>
      </w:r>
      <w:r>
        <w:rPr/>
        <w:t>la</w:t>
      </w:r>
      <w:r>
        <w:rPr>
          <w:spacing w:val="-16"/>
        </w:rPr>
        <w:t> </w:t>
      </w:r>
      <w:r>
        <w:rPr/>
        <w:t>capacidad</w:t>
      </w:r>
      <w:r>
        <w:rPr>
          <w:spacing w:val="-15"/>
        </w:rPr>
        <w:t> </w:t>
      </w:r>
      <w:r>
        <w:rPr/>
        <w:t>real</w:t>
      </w:r>
      <w:r>
        <w:rPr>
          <w:spacing w:val="-15"/>
        </w:rPr>
        <w:t> </w:t>
      </w:r>
      <w:r>
        <w:rPr/>
        <w:t>de</w:t>
      </w:r>
      <w:r>
        <w:rPr>
          <w:spacing w:val="-15"/>
        </w:rPr>
        <w:t> </w:t>
      </w:r>
      <w:r>
        <w:rPr/>
        <w:t>ejecución</w:t>
      </w:r>
      <w:r>
        <w:rPr>
          <w:spacing w:val="-16"/>
        </w:rPr>
        <w:t> </w:t>
      </w:r>
      <w:r>
        <w:rPr/>
        <w:t>de</w:t>
      </w:r>
      <w:r>
        <w:rPr>
          <w:spacing w:val="-16"/>
        </w:rPr>
        <w:t> </w:t>
      </w:r>
      <w:r>
        <w:rPr/>
        <w:t>cada</w:t>
      </w:r>
      <w:r>
        <w:rPr>
          <w:spacing w:val="-15"/>
        </w:rPr>
        <w:t> </w:t>
      </w:r>
      <w:r>
        <w:rPr/>
        <w:t>institución, de</w:t>
      </w:r>
      <w:r>
        <w:rPr>
          <w:spacing w:val="-7"/>
        </w:rPr>
        <w:t> </w:t>
      </w:r>
      <w:r>
        <w:rPr/>
        <w:t>las</w:t>
      </w:r>
      <w:r>
        <w:rPr>
          <w:spacing w:val="-9"/>
        </w:rPr>
        <w:t> </w:t>
      </w:r>
      <w:r>
        <w:rPr/>
        <w:t>fuentes</w:t>
      </w:r>
      <w:r>
        <w:rPr>
          <w:spacing w:val="-8"/>
        </w:rPr>
        <w:t> </w:t>
      </w:r>
      <w:r>
        <w:rPr/>
        <w:t>de</w:t>
      </w:r>
      <w:r>
        <w:rPr>
          <w:spacing w:val="-9"/>
        </w:rPr>
        <w:t> </w:t>
      </w:r>
      <w:r>
        <w:rPr/>
        <w:t>financiamiento</w:t>
      </w:r>
      <w:r>
        <w:rPr>
          <w:spacing w:val="-9"/>
        </w:rPr>
        <w:t> </w:t>
      </w:r>
      <w:r>
        <w:rPr/>
        <w:t>disponibles,</w:t>
      </w:r>
      <w:r>
        <w:rPr>
          <w:spacing w:val="-7"/>
        </w:rPr>
        <w:t> </w:t>
      </w:r>
      <w:r>
        <w:rPr/>
        <w:t>de</w:t>
      </w:r>
      <w:r>
        <w:rPr>
          <w:spacing w:val="-7"/>
        </w:rPr>
        <w:t> </w:t>
      </w:r>
      <w:r>
        <w:rPr/>
        <w:t>la</w:t>
      </w:r>
      <w:r>
        <w:rPr>
          <w:spacing w:val="-8"/>
        </w:rPr>
        <w:t> </w:t>
      </w:r>
      <w:r>
        <w:rPr/>
        <w:t>reprogramación</w:t>
      </w:r>
      <w:r>
        <w:rPr>
          <w:spacing w:val="-7"/>
        </w:rPr>
        <w:t> </w:t>
      </w:r>
      <w:r>
        <w:rPr/>
        <w:t>que</w:t>
      </w:r>
      <w:r>
        <w:rPr>
          <w:spacing w:val="-9"/>
        </w:rPr>
        <w:t> </w:t>
      </w:r>
      <w:r>
        <w:rPr/>
        <w:t>pudieran</w:t>
      </w:r>
      <w:r>
        <w:rPr>
          <w:spacing w:val="-6"/>
        </w:rPr>
        <w:t> </w:t>
      </w:r>
      <w:r>
        <w:rPr/>
        <w:t>haber</w:t>
      </w:r>
      <w:r>
        <w:rPr>
          <w:spacing w:val="-9"/>
        </w:rPr>
        <w:t> </w:t>
      </w:r>
      <w:r>
        <w:rPr/>
        <w:t>hecho</w:t>
      </w:r>
      <w:r>
        <w:rPr>
          <w:spacing w:val="-6"/>
        </w:rPr>
        <w:t> </w:t>
      </w:r>
      <w:r>
        <w:rPr/>
        <w:t>durante el</w:t>
      </w:r>
      <w:r>
        <w:rPr>
          <w:spacing w:val="-7"/>
        </w:rPr>
        <w:t> </w:t>
      </w:r>
      <w:r>
        <w:rPr/>
        <w:t>año</w:t>
      </w:r>
      <w:r>
        <w:rPr>
          <w:spacing w:val="-9"/>
        </w:rPr>
        <w:t> </w:t>
      </w:r>
      <w:r>
        <w:rPr/>
        <w:t>por</w:t>
      </w:r>
      <w:r>
        <w:rPr>
          <w:spacing w:val="-8"/>
        </w:rPr>
        <w:t> </w:t>
      </w:r>
      <w:r>
        <w:rPr/>
        <w:t>la</w:t>
      </w:r>
      <w:r>
        <w:rPr>
          <w:spacing w:val="-8"/>
        </w:rPr>
        <w:t> </w:t>
      </w:r>
      <w:r>
        <w:rPr/>
        <w:t>no</w:t>
      </w:r>
      <w:r>
        <w:rPr>
          <w:spacing w:val="-11"/>
        </w:rPr>
        <w:t> </w:t>
      </w:r>
      <w:r>
        <w:rPr/>
        <w:t>aprobación</w:t>
      </w:r>
      <w:r>
        <w:rPr>
          <w:spacing w:val="-11"/>
        </w:rPr>
        <w:t> </w:t>
      </w:r>
      <w:r>
        <w:rPr/>
        <w:t>del</w:t>
      </w:r>
      <w:r>
        <w:rPr>
          <w:spacing w:val="-7"/>
        </w:rPr>
        <w:t> </w:t>
      </w:r>
      <w:r>
        <w:rPr/>
        <w:t>proyecto</w:t>
      </w:r>
      <w:r>
        <w:rPr>
          <w:spacing w:val="-11"/>
        </w:rPr>
        <w:t> </w:t>
      </w:r>
      <w:r>
        <w:rPr/>
        <w:t>de</w:t>
      </w:r>
      <w:r>
        <w:rPr>
          <w:spacing w:val="-8"/>
        </w:rPr>
        <w:t> </w:t>
      </w:r>
      <w:r>
        <w:rPr/>
        <w:t>presupuesto</w:t>
      </w:r>
      <w:r>
        <w:rPr>
          <w:spacing w:val="-11"/>
        </w:rPr>
        <w:t> </w:t>
      </w:r>
      <w:r>
        <w:rPr/>
        <w:t>2021</w:t>
      </w:r>
      <w:r>
        <w:rPr>
          <w:spacing w:val="-9"/>
        </w:rPr>
        <w:t> </w:t>
      </w:r>
      <w:r>
        <w:rPr/>
        <w:t>y</w:t>
      </w:r>
      <w:r>
        <w:rPr>
          <w:spacing w:val="-11"/>
        </w:rPr>
        <w:t> </w:t>
      </w:r>
      <w:r>
        <w:rPr/>
        <w:t>de</w:t>
      </w:r>
      <w:r>
        <w:rPr>
          <w:spacing w:val="-8"/>
        </w:rPr>
        <w:t> </w:t>
      </w:r>
      <w:r>
        <w:rPr/>
        <w:t>variables</w:t>
      </w:r>
      <w:r>
        <w:rPr>
          <w:spacing w:val="-8"/>
        </w:rPr>
        <w:t> </w:t>
      </w:r>
      <w:r>
        <w:rPr/>
        <w:t>exógenas</w:t>
      </w:r>
      <w:r>
        <w:rPr>
          <w:spacing w:val="-8"/>
        </w:rPr>
        <w:t> </w:t>
      </w:r>
      <w:r>
        <w:rPr/>
        <w:t>como</w:t>
      </w:r>
      <w:r>
        <w:rPr>
          <w:spacing w:val="-9"/>
        </w:rPr>
        <w:t> </w:t>
      </w:r>
      <w:r>
        <w:rPr/>
        <w:t>rigideces legales o</w:t>
      </w:r>
      <w:r>
        <w:rPr>
          <w:spacing w:val="-3"/>
        </w:rPr>
        <w:t> </w:t>
      </w:r>
      <w:r>
        <w:rPr/>
        <w:t>institucionales.</w:t>
      </w:r>
    </w:p>
    <w:p>
      <w:pPr>
        <w:pStyle w:val="BodyText"/>
        <w:spacing w:before="3"/>
        <w:rPr>
          <w:sz w:val="25"/>
        </w:rPr>
      </w:pPr>
    </w:p>
    <w:p>
      <w:pPr>
        <w:pStyle w:val="BodyText"/>
        <w:spacing w:line="276" w:lineRule="auto"/>
        <w:ind w:left="562" w:right="1695"/>
        <w:jc w:val="both"/>
      </w:pPr>
      <w:r>
        <w:rPr/>
        <w:t>Otro aspecto de especial relevancia el Ministerio de Salud Pública y Asistencia Social por la importancia que tuvo la compra de la vacuna, el proceso de vacunación en la población contra </w:t>
      </w:r>
      <w:r>
        <w:rPr>
          <w:spacing w:val="-3"/>
        </w:rPr>
        <w:t>el  </w:t>
      </w:r>
      <w:r>
        <w:rPr/>
        <w:t>COVID-19, el abastecimiento de laboratorios con materiales y equipo para la atención de la emergencia, kits de tratamiento COVID-19, y otras acciones necesarias. Otra entidad importante fue el Ministerio de Comunicaciones, Infraestructura y Vivienda, después de ser la entidad con la caída más</w:t>
      </w:r>
      <w:r>
        <w:rPr>
          <w:spacing w:val="-9"/>
        </w:rPr>
        <w:t> </w:t>
      </w:r>
      <w:r>
        <w:rPr/>
        <w:t>fuerte</w:t>
      </w:r>
      <w:r>
        <w:rPr>
          <w:spacing w:val="-8"/>
        </w:rPr>
        <w:t> </w:t>
      </w:r>
      <w:r>
        <w:rPr/>
        <w:t>en</w:t>
      </w:r>
      <w:r>
        <w:rPr>
          <w:spacing w:val="-9"/>
        </w:rPr>
        <w:t> </w:t>
      </w:r>
      <w:r>
        <w:rPr/>
        <w:t>términos</w:t>
      </w:r>
      <w:r>
        <w:rPr>
          <w:spacing w:val="-10"/>
        </w:rPr>
        <w:t> </w:t>
      </w:r>
      <w:r>
        <w:rPr/>
        <w:t>absolutos</w:t>
      </w:r>
      <w:r>
        <w:rPr>
          <w:spacing w:val="-8"/>
        </w:rPr>
        <w:t> </w:t>
      </w:r>
      <w:r>
        <w:rPr/>
        <w:t>durante</w:t>
      </w:r>
      <w:r>
        <w:rPr>
          <w:spacing w:val="-8"/>
        </w:rPr>
        <w:t> </w:t>
      </w:r>
      <w:r>
        <w:rPr/>
        <w:t>2020,</w:t>
      </w:r>
      <w:r>
        <w:rPr>
          <w:spacing w:val="-9"/>
        </w:rPr>
        <w:t> </w:t>
      </w:r>
      <w:r>
        <w:rPr/>
        <w:t>fue</w:t>
      </w:r>
      <w:r>
        <w:rPr>
          <w:spacing w:val="-7"/>
        </w:rPr>
        <w:t> </w:t>
      </w:r>
      <w:r>
        <w:rPr/>
        <w:t>la</w:t>
      </w:r>
      <w:r>
        <w:rPr>
          <w:spacing w:val="-9"/>
        </w:rPr>
        <w:t> </w:t>
      </w:r>
      <w:r>
        <w:rPr/>
        <w:t>segunda</w:t>
      </w:r>
      <w:r>
        <w:rPr>
          <w:spacing w:val="-8"/>
        </w:rPr>
        <w:t> </w:t>
      </w:r>
      <w:r>
        <w:rPr/>
        <w:t>que</w:t>
      </w:r>
      <w:r>
        <w:rPr>
          <w:spacing w:val="-9"/>
        </w:rPr>
        <w:t> </w:t>
      </w:r>
      <w:r>
        <w:rPr/>
        <w:t>reportó</w:t>
      </w:r>
      <w:r>
        <w:rPr>
          <w:spacing w:val="-8"/>
        </w:rPr>
        <w:t> </w:t>
      </w:r>
      <w:r>
        <w:rPr/>
        <w:t>el</w:t>
      </w:r>
      <w:r>
        <w:rPr>
          <w:spacing w:val="-9"/>
        </w:rPr>
        <w:t> </w:t>
      </w:r>
      <w:r>
        <w:rPr/>
        <w:t>mayor</w:t>
      </w:r>
      <w:r>
        <w:rPr>
          <w:spacing w:val="-8"/>
        </w:rPr>
        <w:t> </w:t>
      </w:r>
      <w:r>
        <w:rPr/>
        <w:t>aumento</w:t>
      </w:r>
      <w:r>
        <w:rPr>
          <w:spacing w:val="-9"/>
        </w:rPr>
        <w:t> </w:t>
      </w:r>
      <w:r>
        <w:rPr/>
        <w:t>en</w:t>
      </w:r>
      <w:r>
        <w:rPr>
          <w:spacing w:val="-8"/>
        </w:rPr>
        <w:t> </w:t>
      </w:r>
      <w:r>
        <w:rPr/>
        <w:t>2021 con</w:t>
      </w:r>
      <w:r>
        <w:rPr>
          <w:spacing w:val="-7"/>
        </w:rPr>
        <w:t> </w:t>
      </w:r>
      <w:r>
        <w:rPr/>
        <w:t>Q1,611.5</w:t>
      </w:r>
      <w:r>
        <w:rPr>
          <w:spacing w:val="-7"/>
        </w:rPr>
        <w:t> </w:t>
      </w:r>
      <w:r>
        <w:rPr/>
        <w:t>millones,</w:t>
      </w:r>
      <w:r>
        <w:rPr>
          <w:spacing w:val="-10"/>
        </w:rPr>
        <w:t> </w:t>
      </w:r>
      <w:r>
        <w:rPr/>
        <w:t>solo</w:t>
      </w:r>
      <w:r>
        <w:rPr>
          <w:spacing w:val="-6"/>
        </w:rPr>
        <w:t> </w:t>
      </w:r>
      <w:r>
        <w:rPr/>
        <w:t>por</w:t>
      </w:r>
      <w:r>
        <w:rPr>
          <w:spacing w:val="-9"/>
        </w:rPr>
        <w:t> </w:t>
      </w:r>
      <w:r>
        <w:rPr/>
        <w:t>detrás</w:t>
      </w:r>
      <w:r>
        <w:rPr>
          <w:spacing w:val="-7"/>
        </w:rPr>
        <w:t> </w:t>
      </w:r>
      <w:r>
        <w:rPr/>
        <w:t>del</w:t>
      </w:r>
      <w:r>
        <w:rPr>
          <w:spacing w:val="-8"/>
        </w:rPr>
        <w:t> </w:t>
      </w:r>
      <w:r>
        <w:rPr/>
        <w:t>Ministerio</w:t>
      </w:r>
      <w:r>
        <w:rPr>
          <w:spacing w:val="-10"/>
        </w:rPr>
        <w:t> </w:t>
      </w:r>
      <w:r>
        <w:rPr/>
        <w:t>de</w:t>
      </w:r>
      <w:r>
        <w:rPr>
          <w:spacing w:val="-7"/>
        </w:rPr>
        <w:t> </w:t>
      </w:r>
      <w:r>
        <w:rPr/>
        <w:t>Salud</w:t>
      </w:r>
      <w:r>
        <w:rPr>
          <w:spacing w:val="-6"/>
        </w:rPr>
        <w:t> </w:t>
      </w:r>
      <w:r>
        <w:rPr/>
        <w:t>Pública</w:t>
      </w:r>
      <w:r>
        <w:rPr>
          <w:spacing w:val="-7"/>
        </w:rPr>
        <w:t> </w:t>
      </w:r>
      <w:r>
        <w:rPr/>
        <w:t>y</w:t>
      </w:r>
      <w:r>
        <w:rPr>
          <w:spacing w:val="-10"/>
        </w:rPr>
        <w:t> </w:t>
      </w:r>
      <w:r>
        <w:rPr/>
        <w:t>Asistencia</w:t>
      </w:r>
      <w:r>
        <w:rPr>
          <w:spacing w:val="-7"/>
        </w:rPr>
        <w:t> </w:t>
      </w:r>
      <w:r>
        <w:rPr/>
        <w:t>Social,</w:t>
      </w:r>
      <w:r>
        <w:rPr>
          <w:spacing w:val="-9"/>
        </w:rPr>
        <w:t> </w:t>
      </w:r>
      <w:r>
        <w:rPr/>
        <w:t>lo</w:t>
      </w:r>
      <w:r>
        <w:rPr>
          <w:spacing w:val="-7"/>
        </w:rPr>
        <w:t> </w:t>
      </w:r>
      <w:r>
        <w:rPr/>
        <w:t>cual</w:t>
      </w:r>
      <w:r>
        <w:rPr>
          <w:spacing w:val="-10"/>
        </w:rPr>
        <w:t> </w:t>
      </w:r>
      <w:r>
        <w:rPr/>
        <w:t>se encuentra</w:t>
      </w:r>
      <w:r>
        <w:rPr>
          <w:spacing w:val="-10"/>
        </w:rPr>
        <w:t> </w:t>
      </w:r>
      <w:r>
        <w:rPr/>
        <w:t>asociado</w:t>
      </w:r>
      <w:r>
        <w:rPr>
          <w:spacing w:val="-11"/>
        </w:rPr>
        <w:t> </w:t>
      </w:r>
      <w:r>
        <w:rPr/>
        <w:t>a</w:t>
      </w:r>
      <w:r>
        <w:rPr>
          <w:spacing w:val="-10"/>
        </w:rPr>
        <w:t> </w:t>
      </w:r>
      <w:r>
        <w:rPr/>
        <w:t>la</w:t>
      </w:r>
      <w:r>
        <w:rPr>
          <w:spacing w:val="-9"/>
        </w:rPr>
        <w:t> </w:t>
      </w:r>
      <w:r>
        <w:rPr/>
        <w:t>recuperación</w:t>
      </w:r>
      <w:r>
        <w:rPr>
          <w:spacing w:val="-11"/>
        </w:rPr>
        <w:t> </w:t>
      </w:r>
      <w:r>
        <w:rPr/>
        <w:t>que</w:t>
      </w:r>
      <w:r>
        <w:rPr>
          <w:spacing w:val="-10"/>
        </w:rPr>
        <w:t> </w:t>
      </w:r>
      <w:r>
        <w:rPr/>
        <w:t>tuvo</w:t>
      </w:r>
      <w:r>
        <w:rPr>
          <w:spacing w:val="-11"/>
        </w:rPr>
        <w:t> </w:t>
      </w:r>
      <w:r>
        <w:rPr/>
        <w:t>la</w:t>
      </w:r>
      <w:r>
        <w:rPr>
          <w:spacing w:val="-9"/>
        </w:rPr>
        <w:t> </w:t>
      </w:r>
      <w:r>
        <w:rPr/>
        <w:t>inversión</w:t>
      </w:r>
      <w:r>
        <w:rPr>
          <w:spacing w:val="-11"/>
        </w:rPr>
        <w:t> </w:t>
      </w:r>
      <w:r>
        <w:rPr/>
        <w:t>real</w:t>
      </w:r>
      <w:r>
        <w:rPr>
          <w:spacing w:val="-10"/>
        </w:rPr>
        <w:t> </w:t>
      </w:r>
      <w:r>
        <w:rPr/>
        <w:t>directa,</w:t>
      </w:r>
      <w:r>
        <w:rPr>
          <w:spacing w:val="-9"/>
        </w:rPr>
        <w:t> </w:t>
      </w:r>
      <w:r>
        <w:rPr/>
        <w:t>aunque</w:t>
      </w:r>
      <w:r>
        <w:rPr>
          <w:spacing w:val="-11"/>
        </w:rPr>
        <w:t> </w:t>
      </w:r>
      <w:r>
        <w:rPr/>
        <w:t>aún</w:t>
      </w:r>
      <w:r>
        <w:rPr>
          <w:spacing w:val="-13"/>
        </w:rPr>
        <w:t> </w:t>
      </w:r>
      <w:r>
        <w:rPr/>
        <w:t>no</w:t>
      </w:r>
      <w:r>
        <w:rPr>
          <w:spacing w:val="-11"/>
        </w:rPr>
        <w:t> </w:t>
      </w:r>
      <w:r>
        <w:rPr/>
        <w:t>logra</w:t>
      </w:r>
      <w:r>
        <w:rPr>
          <w:spacing w:val="-9"/>
        </w:rPr>
        <w:t> </w:t>
      </w:r>
      <w:r>
        <w:rPr/>
        <w:t>recuperar el nivel de ejecución que tuvo previo a la</w:t>
      </w:r>
      <w:r>
        <w:rPr>
          <w:spacing w:val="-2"/>
        </w:rPr>
        <w:t> </w:t>
      </w:r>
      <w:r>
        <w:rPr/>
        <w:t>pandemia.</w:t>
      </w:r>
    </w:p>
    <w:p>
      <w:pPr>
        <w:spacing w:after="0" w:line="276" w:lineRule="auto"/>
        <w:jc w:val="both"/>
        <w:sectPr>
          <w:pgSz w:w="12240" w:h="15840"/>
          <w:pgMar w:header="715" w:footer="957" w:top="1240" w:bottom="1140" w:left="1140" w:right="0"/>
        </w:sectPr>
      </w:pPr>
    </w:p>
    <w:p>
      <w:pPr>
        <w:pStyle w:val="BodyText"/>
        <w:spacing w:line="276" w:lineRule="auto" w:before="162"/>
        <w:ind w:left="562" w:right="1697"/>
        <w:jc w:val="both"/>
      </w:pPr>
      <w:r>
        <w:rPr/>
        <w:t>Entre las entidades cuyo nivel de ejecución estuvo por arriba de la ejecución total son: Ministerio de la Defensa Nacional (99.2%), Servicio de la Deuda Pública (99.1%), Relaciones Exteriores</w:t>
      </w:r>
      <w:r>
        <w:rPr>
          <w:spacing w:val="-39"/>
        </w:rPr>
        <w:t> </w:t>
      </w:r>
      <w:r>
        <w:rPr/>
        <w:t>(98.1%), la</w:t>
      </w:r>
      <w:r>
        <w:rPr>
          <w:spacing w:val="41"/>
        </w:rPr>
        <w:t> </w:t>
      </w:r>
      <w:r>
        <w:rPr/>
        <w:t>PGN</w:t>
      </w:r>
      <w:r>
        <w:rPr>
          <w:spacing w:val="41"/>
        </w:rPr>
        <w:t> </w:t>
      </w:r>
      <w:r>
        <w:rPr/>
        <w:t>(96.8%),</w:t>
      </w:r>
      <w:r>
        <w:rPr>
          <w:spacing w:val="42"/>
        </w:rPr>
        <w:t> </w:t>
      </w:r>
      <w:r>
        <w:rPr/>
        <w:t>Educación</w:t>
      </w:r>
      <w:r>
        <w:rPr>
          <w:spacing w:val="42"/>
        </w:rPr>
        <w:t> </w:t>
      </w:r>
      <w:r>
        <w:rPr/>
        <w:t>(96.1%),</w:t>
      </w:r>
      <w:r>
        <w:rPr>
          <w:spacing w:val="39"/>
        </w:rPr>
        <w:t> </w:t>
      </w:r>
      <w:r>
        <w:rPr/>
        <w:t>Trabajo</w:t>
      </w:r>
      <w:r>
        <w:rPr>
          <w:spacing w:val="42"/>
        </w:rPr>
        <w:t> </w:t>
      </w:r>
      <w:r>
        <w:rPr/>
        <w:t>(95.4%),</w:t>
      </w:r>
      <w:r>
        <w:rPr>
          <w:spacing w:val="41"/>
        </w:rPr>
        <w:t> </w:t>
      </w:r>
      <w:r>
        <w:rPr/>
        <w:t>Desarrollo</w:t>
      </w:r>
      <w:r>
        <w:rPr>
          <w:spacing w:val="42"/>
        </w:rPr>
        <w:t> </w:t>
      </w:r>
      <w:r>
        <w:rPr/>
        <w:t>Social</w:t>
      </w:r>
      <w:r>
        <w:rPr>
          <w:spacing w:val="40"/>
        </w:rPr>
        <w:t> </w:t>
      </w:r>
      <w:r>
        <w:rPr/>
        <w:t>(95.3%),</w:t>
      </w:r>
      <w:r>
        <w:rPr>
          <w:spacing w:val="42"/>
        </w:rPr>
        <w:t> </w:t>
      </w:r>
      <w:r>
        <w:rPr/>
        <w:t>Ambiente</w:t>
      </w:r>
      <w:r>
        <w:rPr>
          <w:spacing w:val="42"/>
        </w:rPr>
        <w:t> </w:t>
      </w:r>
      <w:r>
        <w:rPr/>
        <w:t>y</w:t>
      </w:r>
    </w:p>
    <w:p>
      <w:pPr>
        <w:pStyle w:val="BodyText"/>
        <w:spacing w:line="252" w:lineRule="exact"/>
        <w:ind w:left="562"/>
        <w:jc w:val="both"/>
      </w:pPr>
      <w:r>
        <w:rPr/>
        <w:t>Recursos</w:t>
      </w:r>
      <w:r>
        <w:rPr>
          <w:spacing w:val="-11"/>
        </w:rPr>
        <w:t> </w:t>
      </w:r>
      <w:r>
        <w:rPr/>
        <w:t>Naturales</w:t>
      </w:r>
      <w:r>
        <w:rPr>
          <w:spacing w:val="-10"/>
        </w:rPr>
        <w:t> </w:t>
      </w:r>
      <w:r>
        <w:rPr/>
        <w:t>(95.2%),</w:t>
      </w:r>
      <w:r>
        <w:rPr>
          <w:spacing w:val="-11"/>
        </w:rPr>
        <w:t> </w:t>
      </w:r>
      <w:r>
        <w:rPr/>
        <w:t>Finanzas</w:t>
      </w:r>
      <w:r>
        <w:rPr>
          <w:spacing w:val="-11"/>
        </w:rPr>
        <w:t> </w:t>
      </w:r>
      <w:r>
        <w:rPr/>
        <w:t>Públicas</w:t>
      </w:r>
      <w:r>
        <w:rPr>
          <w:spacing w:val="-12"/>
        </w:rPr>
        <w:t> </w:t>
      </w:r>
      <w:r>
        <w:rPr/>
        <w:t>(95.1%),</w:t>
      </w:r>
      <w:r>
        <w:rPr>
          <w:spacing w:val="-11"/>
        </w:rPr>
        <w:t> </w:t>
      </w:r>
      <w:r>
        <w:rPr/>
        <w:t>Gobernación</w:t>
      </w:r>
      <w:r>
        <w:rPr>
          <w:spacing w:val="-13"/>
        </w:rPr>
        <w:t> </w:t>
      </w:r>
      <w:r>
        <w:rPr/>
        <w:t>(94.1%),</w:t>
      </w:r>
      <w:r>
        <w:rPr>
          <w:spacing w:val="-12"/>
        </w:rPr>
        <w:t> </w:t>
      </w:r>
      <w:r>
        <w:rPr/>
        <w:t>Presidencia</w:t>
      </w:r>
      <w:r>
        <w:rPr>
          <w:spacing w:val="-10"/>
        </w:rPr>
        <w:t> </w:t>
      </w:r>
      <w:r>
        <w:rPr/>
        <w:t>(93.2%),</w:t>
      </w:r>
    </w:p>
    <w:p>
      <w:pPr>
        <w:pStyle w:val="BodyText"/>
        <w:spacing w:before="40"/>
        <w:ind w:left="562"/>
      </w:pPr>
      <w:r>
        <w:rPr/>
        <w:t>Energía (93.2%),  Agricultura (92.2%), Secretarías (92.1%), Economía  (91.1%)  y</w:t>
      </w:r>
      <w:r>
        <w:rPr>
          <w:spacing w:val="-16"/>
        </w:rPr>
        <w:t> </w:t>
      </w:r>
      <w:r>
        <w:rPr/>
        <w:t>Comunicaciones</w:t>
      </w:r>
    </w:p>
    <w:p>
      <w:pPr>
        <w:pStyle w:val="BodyText"/>
        <w:spacing w:before="37"/>
        <w:ind w:left="562"/>
      </w:pPr>
      <w:r>
        <w:rPr/>
        <w:t>(90.5%).</w:t>
      </w:r>
    </w:p>
    <w:p>
      <w:pPr>
        <w:pStyle w:val="BodyText"/>
        <w:spacing w:before="6"/>
        <w:rPr>
          <w:sz w:val="28"/>
        </w:rPr>
      </w:pPr>
    </w:p>
    <w:p>
      <w:pPr>
        <w:pStyle w:val="BodyText"/>
        <w:spacing w:line="276" w:lineRule="auto"/>
        <w:ind w:left="562" w:right="1696"/>
        <w:jc w:val="both"/>
      </w:pPr>
      <w:r>
        <w:rPr/>
        <w:t>En el caso del Ministerio de Educación resaltó el programa de apoyo para el consumo adecuado de alimentos que reporta un nivel de ejecución de 99.7%, esto a pesar de la suspensión de clases en los centros educativos públicos, siendo relevante dado que muchos niños dependen de la alimentación escolar</w:t>
      </w:r>
      <w:r>
        <w:rPr>
          <w:spacing w:val="-3"/>
        </w:rPr>
        <w:t> </w:t>
      </w:r>
      <w:r>
        <w:rPr/>
        <w:t>para</w:t>
      </w:r>
      <w:r>
        <w:rPr>
          <w:spacing w:val="-3"/>
        </w:rPr>
        <w:t> </w:t>
      </w:r>
      <w:r>
        <w:rPr/>
        <w:t>su</w:t>
      </w:r>
      <w:r>
        <w:rPr>
          <w:spacing w:val="-3"/>
        </w:rPr>
        <w:t> </w:t>
      </w:r>
      <w:r>
        <w:rPr/>
        <w:t>subsistencia</w:t>
      </w:r>
      <w:r>
        <w:rPr>
          <w:spacing w:val="-6"/>
        </w:rPr>
        <w:t> </w:t>
      </w:r>
      <w:r>
        <w:rPr/>
        <w:t>y</w:t>
      </w:r>
      <w:r>
        <w:rPr>
          <w:spacing w:val="-6"/>
        </w:rPr>
        <w:t> </w:t>
      </w:r>
      <w:r>
        <w:rPr/>
        <w:t>con</w:t>
      </w:r>
      <w:r>
        <w:rPr>
          <w:spacing w:val="-2"/>
        </w:rPr>
        <w:t> </w:t>
      </w:r>
      <w:r>
        <w:rPr/>
        <w:t>el</w:t>
      </w:r>
      <w:r>
        <w:rPr>
          <w:spacing w:val="-1"/>
        </w:rPr>
        <w:t> </w:t>
      </w:r>
      <w:r>
        <w:rPr/>
        <w:t>cierre</w:t>
      </w:r>
      <w:r>
        <w:rPr>
          <w:spacing w:val="-3"/>
        </w:rPr>
        <w:t> </w:t>
      </w:r>
      <w:r>
        <w:rPr/>
        <w:t>de</w:t>
      </w:r>
      <w:r>
        <w:rPr>
          <w:spacing w:val="-2"/>
        </w:rPr>
        <w:t> </w:t>
      </w:r>
      <w:r>
        <w:rPr/>
        <w:t>las</w:t>
      </w:r>
      <w:r>
        <w:rPr>
          <w:spacing w:val="-3"/>
        </w:rPr>
        <w:t> </w:t>
      </w:r>
      <w:r>
        <w:rPr/>
        <w:t>escuelas,</w:t>
      </w:r>
      <w:r>
        <w:rPr>
          <w:spacing w:val="-4"/>
        </w:rPr>
        <w:t> </w:t>
      </w:r>
      <w:r>
        <w:rPr/>
        <w:t>medida</w:t>
      </w:r>
      <w:r>
        <w:rPr>
          <w:spacing w:val="-2"/>
        </w:rPr>
        <w:t> </w:t>
      </w:r>
      <w:r>
        <w:rPr/>
        <w:t>que</w:t>
      </w:r>
      <w:r>
        <w:rPr>
          <w:spacing w:val="-3"/>
        </w:rPr>
        <w:t> </w:t>
      </w:r>
      <w:r>
        <w:rPr/>
        <w:t>estuvo</w:t>
      </w:r>
      <w:r>
        <w:rPr>
          <w:spacing w:val="-2"/>
        </w:rPr>
        <w:t> </w:t>
      </w:r>
      <w:r>
        <w:rPr/>
        <w:t>vigente</w:t>
      </w:r>
      <w:r>
        <w:rPr>
          <w:spacing w:val="-2"/>
        </w:rPr>
        <w:t> </w:t>
      </w:r>
      <w:r>
        <w:rPr/>
        <w:t>en</w:t>
      </w:r>
      <w:r>
        <w:rPr>
          <w:spacing w:val="-3"/>
        </w:rPr>
        <w:t> </w:t>
      </w:r>
      <w:r>
        <w:rPr/>
        <w:t>2021</w:t>
      </w:r>
      <w:r>
        <w:rPr>
          <w:spacing w:val="-4"/>
        </w:rPr>
        <w:t> </w:t>
      </w:r>
      <w:r>
        <w:rPr/>
        <w:t>por</w:t>
      </w:r>
      <w:r>
        <w:rPr>
          <w:spacing w:val="-2"/>
        </w:rPr>
        <w:t> </w:t>
      </w:r>
      <w:r>
        <w:rPr/>
        <w:t>la pandemia COVID-19, su nutrición podía verse</w:t>
      </w:r>
      <w:r>
        <w:rPr>
          <w:spacing w:val="-2"/>
        </w:rPr>
        <w:t> </w:t>
      </w:r>
      <w:r>
        <w:rPr/>
        <w:t>comprometida.</w:t>
      </w:r>
    </w:p>
    <w:p>
      <w:pPr>
        <w:pStyle w:val="BodyText"/>
        <w:spacing w:before="6"/>
        <w:rPr>
          <w:sz w:val="25"/>
        </w:rPr>
      </w:pPr>
    </w:p>
    <w:p>
      <w:pPr>
        <w:pStyle w:val="BodyText"/>
        <w:spacing w:line="276" w:lineRule="auto"/>
        <w:ind w:left="562" w:right="1697"/>
        <w:jc w:val="both"/>
      </w:pPr>
      <w:r>
        <w:rPr/>
        <w:t>Los</w:t>
      </w:r>
      <w:r>
        <w:rPr>
          <w:spacing w:val="-15"/>
        </w:rPr>
        <w:t> </w:t>
      </w:r>
      <w:r>
        <w:rPr/>
        <w:t>Ministerios</w:t>
      </w:r>
      <w:r>
        <w:rPr>
          <w:spacing w:val="-14"/>
        </w:rPr>
        <w:t> </w:t>
      </w:r>
      <w:r>
        <w:rPr/>
        <w:t>de</w:t>
      </w:r>
      <w:r>
        <w:rPr>
          <w:spacing w:val="-14"/>
        </w:rPr>
        <w:t> </w:t>
      </w:r>
      <w:r>
        <w:rPr/>
        <w:t>Economía</w:t>
      </w:r>
      <w:r>
        <w:rPr>
          <w:spacing w:val="-14"/>
        </w:rPr>
        <w:t> </w:t>
      </w:r>
      <w:r>
        <w:rPr/>
        <w:t>y</w:t>
      </w:r>
      <w:r>
        <w:rPr>
          <w:spacing w:val="13"/>
        </w:rPr>
        <w:t> </w:t>
      </w:r>
      <w:r>
        <w:rPr/>
        <w:t>de</w:t>
      </w:r>
      <w:r>
        <w:rPr>
          <w:spacing w:val="-15"/>
        </w:rPr>
        <w:t> </w:t>
      </w:r>
      <w:r>
        <w:rPr/>
        <w:t>Desarrollo</w:t>
      </w:r>
      <w:r>
        <w:rPr>
          <w:spacing w:val="-14"/>
        </w:rPr>
        <w:t> </w:t>
      </w:r>
      <w:r>
        <w:rPr/>
        <w:t>Social,</w:t>
      </w:r>
      <w:r>
        <w:rPr>
          <w:spacing w:val="-17"/>
        </w:rPr>
        <w:t> </w:t>
      </w:r>
      <w:r>
        <w:rPr/>
        <w:t>fueron</w:t>
      </w:r>
      <w:r>
        <w:rPr>
          <w:spacing w:val="-16"/>
        </w:rPr>
        <w:t> </w:t>
      </w:r>
      <w:r>
        <w:rPr/>
        <w:t>las</w:t>
      </w:r>
      <w:r>
        <w:rPr>
          <w:spacing w:val="-14"/>
        </w:rPr>
        <w:t> </w:t>
      </w:r>
      <w:r>
        <w:rPr/>
        <w:t>entidades</w:t>
      </w:r>
      <w:r>
        <w:rPr>
          <w:spacing w:val="-14"/>
        </w:rPr>
        <w:t> </w:t>
      </w:r>
      <w:r>
        <w:rPr/>
        <w:t>que</w:t>
      </w:r>
      <w:r>
        <w:rPr>
          <w:spacing w:val="-14"/>
        </w:rPr>
        <w:t> </w:t>
      </w:r>
      <w:r>
        <w:rPr/>
        <w:t>reportaron</w:t>
      </w:r>
      <w:r>
        <w:rPr>
          <w:spacing w:val="-16"/>
        </w:rPr>
        <w:t> </w:t>
      </w:r>
      <w:r>
        <w:rPr/>
        <w:t>las</w:t>
      </w:r>
      <w:r>
        <w:rPr>
          <w:spacing w:val="-14"/>
        </w:rPr>
        <w:t> </w:t>
      </w:r>
      <w:r>
        <w:rPr/>
        <w:t>mayores variaciones interanuales negativas (90.5% y 85.2%, respectivamente), derivado que en 2020 estas entidades tuvieron a su cargo los programas sociales y económicos en atención al COVID-19, mientras que en 2021 esos programas ya no se encontraban vigentes por haber cumplido los fines para los cuales fueron diseñados, por ello se observa una caída grande en su ejecución. Ambas entidades tuvieron ajustes a sus presupuestos, para eliminar virtualmente el presupuesto asignado a COVID-19 y por ello se percibe que su nivel de ejecución es alto. El resto de entidades se encuentra por debajo de la ejecución institucional total. Resalta el caso del Ministerio de Salud Pública y Asistencia Social (85.8%) y Cultura y Deportes</w:t>
      </w:r>
      <w:r>
        <w:rPr>
          <w:spacing w:val="-11"/>
        </w:rPr>
        <w:t> </w:t>
      </w:r>
      <w:r>
        <w:rPr/>
        <w:t>(85.5%).</w:t>
      </w:r>
    </w:p>
    <w:p>
      <w:pPr>
        <w:pStyle w:val="BodyText"/>
        <w:spacing w:before="3"/>
        <w:rPr>
          <w:sz w:val="25"/>
        </w:rPr>
      </w:pPr>
    </w:p>
    <w:p>
      <w:pPr>
        <w:pStyle w:val="BodyText"/>
        <w:spacing w:line="276" w:lineRule="auto"/>
        <w:ind w:left="562" w:right="1696"/>
        <w:jc w:val="both"/>
      </w:pPr>
      <w:r>
        <w:rPr/>
        <w:t>El Ministerio de Salud Pública tuvo una modificación en su presupuesto por Q3,422.2 millones, explicada</w:t>
      </w:r>
      <w:r>
        <w:rPr>
          <w:spacing w:val="-6"/>
        </w:rPr>
        <w:t> </w:t>
      </w:r>
      <w:r>
        <w:rPr/>
        <w:t>en</w:t>
      </w:r>
      <w:r>
        <w:rPr>
          <w:spacing w:val="-8"/>
        </w:rPr>
        <w:t> </w:t>
      </w:r>
      <w:r>
        <w:rPr/>
        <w:t>buena</w:t>
      </w:r>
      <w:r>
        <w:rPr>
          <w:spacing w:val="-5"/>
        </w:rPr>
        <w:t> </w:t>
      </w:r>
      <w:r>
        <w:rPr/>
        <w:t>medida</w:t>
      </w:r>
      <w:r>
        <w:rPr>
          <w:spacing w:val="-8"/>
        </w:rPr>
        <w:t> </w:t>
      </w:r>
      <w:r>
        <w:rPr/>
        <w:t>por</w:t>
      </w:r>
      <w:r>
        <w:rPr>
          <w:spacing w:val="-4"/>
        </w:rPr>
        <w:t> </w:t>
      </w:r>
      <w:r>
        <w:rPr/>
        <w:t>el</w:t>
      </w:r>
      <w:r>
        <w:rPr>
          <w:spacing w:val="-5"/>
        </w:rPr>
        <w:t> </w:t>
      </w:r>
      <w:r>
        <w:rPr/>
        <w:t>Decreto</w:t>
      </w:r>
      <w:r>
        <w:rPr>
          <w:spacing w:val="-5"/>
        </w:rPr>
        <w:t> </w:t>
      </w:r>
      <w:r>
        <w:rPr/>
        <w:t>11-2021</w:t>
      </w:r>
      <w:r>
        <w:rPr>
          <w:spacing w:val="-6"/>
        </w:rPr>
        <w:t> </w:t>
      </w:r>
      <w:r>
        <w:rPr/>
        <w:t>“Ley</w:t>
      </w:r>
      <w:r>
        <w:rPr>
          <w:spacing w:val="-8"/>
        </w:rPr>
        <w:t> </w:t>
      </w:r>
      <w:r>
        <w:rPr/>
        <w:t>de</w:t>
      </w:r>
      <w:r>
        <w:rPr>
          <w:spacing w:val="-6"/>
        </w:rPr>
        <w:t> </w:t>
      </w:r>
      <w:r>
        <w:rPr/>
        <w:t>Emergencia</w:t>
      </w:r>
      <w:r>
        <w:rPr>
          <w:spacing w:val="-6"/>
        </w:rPr>
        <w:t> </w:t>
      </w:r>
      <w:r>
        <w:rPr/>
        <w:t>Nacional</w:t>
      </w:r>
      <w:r>
        <w:rPr>
          <w:spacing w:val="-9"/>
        </w:rPr>
        <w:t> </w:t>
      </w:r>
      <w:r>
        <w:rPr/>
        <w:t>para</w:t>
      </w:r>
      <w:r>
        <w:rPr>
          <w:spacing w:val="-8"/>
        </w:rPr>
        <w:t> </w:t>
      </w:r>
      <w:r>
        <w:rPr/>
        <w:t>la</w:t>
      </w:r>
      <w:r>
        <w:rPr>
          <w:spacing w:val="-7"/>
        </w:rPr>
        <w:t> </w:t>
      </w:r>
      <w:r>
        <w:rPr/>
        <w:t>atención</w:t>
      </w:r>
      <w:r>
        <w:rPr>
          <w:spacing w:val="-6"/>
        </w:rPr>
        <w:t> </w:t>
      </w:r>
      <w:r>
        <w:rPr/>
        <w:t>de la pandemia COVID-19” el cual fue aprobado en septiembre por Q1,895.3 millones, creando un mecanismo temporal para la adquisición extraordinaria de medicamentos, suministros y servicios destinados a la atención de pacientes, de este decreto únicamente se logró una ejecución 55.5%, empezando la ejecución de recursos hasta el mes de</w:t>
      </w:r>
      <w:r>
        <w:rPr>
          <w:spacing w:val="-5"/>
        </w:rPr>
        <w:t> </w:t>
      </w:r>
      <w:r>
        <w:rPr/>
        <w:t>noviembre.</w:t>
      </w:r>
    </w:p>
    <w:p>
      <w:pPr>
        <w:pStyle w:val="BodyText"/>
        <w:spacing w:line="276" w:lineRule="auto" w:before="160"/>
        <w:ind w:left="562" w:right="1695"/>
        <w:jc w:val="both"/>
      </w:pPr>
      <w:r>
        <w:rPr/>
        <w:t>Por su parte, resaltan las Obligaciones del Estado a cargo del Tesoro por su bajo nivel de ejecución, el cual se debe a las asignaciones inmovilizadas, es decir, el presupuesto de esta entidad aumentó virtualmente y su grado de ejecución disminuyó hasta ubicarse en 73.7%, siendo la entidad que reporta el menor nivel de ejecución del 2021.</w:t>
      </w:r>
    </w:p>
    <w:p>
      <w:pPr>
        <w:pStyle w:val="BodyText"/>
        <w:spacing w:before="9"/>
        <w:rPr>
          <w:sz w:val="27"/>
        </w:rPr>
      </w:pPr>
    </w:p>
    <w:p>
      <w:pPr>
        <w:pStyle w:val="BodyText"/>
        <w:spacing w:line="276" w:lineRule="auto"/>
        <w:ind w:left="562" w:right="1696"/>
        <w:jc w:val="both"/>
      </w:pPr>
      <w:r>
        <w:rPr/>
        <w:t>Derivado que en el Acuerdo Gubernativo de Presupuesto 03-2021 establece que el presupuesto vigente de 2021 de Q107,521.4 millones, incluye asignaciones presupuestarias que no cuentan con respaldo financiero, en virtud que cumplieron los fines establecidos en la normativa legal correspondiente, varias entidades del Ejecutivo propusieron débitos y créditos como parte del reordenamiento del Presupuesto de Egresos del Estado, siendo necesario inmovilizar las mismas trasladando</w:t>
      </w:r>
      <w:r>
        <w:rPr>
          <w:spacing w:val="-9"/>
        </w:rPr>
        <w:t> </w:t>
      </w:r>
      <w:r>
        <w:rPr/>
        <w:t>el</w:t>
      </w:r>
      <w:r>
        <w:rPr>
          <w:spacing w:val="-9"/>
        </w:rPr>
        <w:t> </w:t>
      </w:r>
      <w:r>
        <w:rPr/>
        <w:t>espacio</w:t>
      </w:r>
      <w:r>
        <w:rPr>
          <w:spacing w:val="-9"/>
        </w:rPr>
        <w:t> </w:t>
      </w:r>
      <w:r>
        <w:rPr/>
        <w:t>presupuestario</w:t>
      </w:r>
      <w:r>
        <w:rPr>
          <w:spacing w:val="-10"/>
        </w:rPr>
        <w:t> </w:t>
      </w:r>
      <w:r>
        <w:rPr/>
        <w:t>a</w:t>
      </w:r>
      <w:r>
        <w:rPr>
          <w:spacing w:val="-8"/>
        </w:rPr>
        <w:t> </w:t>
      </w:r>
      <w:r>
        <w:rPr/>
        <w:t>las</w:t>
      </w:r>
      <w:r>
        <w:rPr>
          <w:spacing w:val="-7"/>
        </w:rPr>
        <w:t> </w:t>
      </w:r>
      <w:r>
        <w:rPr/>
        <w:t>Obligaciones</w:t>
      </w:r>
      <w:r>
        <w:rPr>
          <w:spacing w:val="-6"/>
        </w:rPr>
        <w:t> </w:t>
      </w:r>
      <w:r>
        <w:rPr/>
        <w:t>del</w:t>
      </w:r>
      <w:r>
        <w:rPr>
          <w:spacing w:val="-7"/>
        </w:rPr>
        <w:t> </w:t>
      </w:r>
      <w:r>
        <w:rPr/>
        <w:t>Estado</w:t>
      </w:r>
      <w:r>
        <w:rPr>
          <w:spacing w:val="-9"/>
        </w:rPr>
        <w:t> </w:t>
      </w:r>
      <w:r>
        <w:rPr/>
        <w:t>a</w:t>
      </w:r>
      <w:r>
        <w:rPr>
          <w:spacing w:val="-8"/>
        </w:rPr>
        <w:t> </w:t>
      </w:r>
      <w:r>
        <w:rPr/>
        <w:t>cargo</w:t>
      </w:r>
      <w:r>
        <w:rPr>
          <w:spacing w:val="-7"/>
        </w:rPr>
        <w:t> </w:t>
      </w:r>
      <w:r>
        <w:rPr/>
        <w:t>del</w:t>
      </w:r>
      <w:r>
        <w:rPr>
          <w:spacing w:val="-10"/>
        </w:rPr>
        <w:t> </w:t>
      </w:r>
      <w:r>
        <w:rPr/>
        <w:t>Tesoro.</w:t>
      </w:r>
      <w:r>
        <w:rPr>
          <w:spacing w:val="-10"/>
        </w:rPr>
        <w:t> </w:t>
      </w:r>
      <w:r>
        <w:rPr/>
        <w:t>Asimismo,</w:t>
      </w:r>
      <w:r>
        <w:rPr>
          <w:spacing w:val="-7"/>
        </w:rPr>
        <w:t> </w:t>
      </w:r>
      <w:r>
        <w:rPr/>
        <w:t>se incluyeron créditos para algunas entidades en el marco de la Política General de Gobierno; así como asignaciones en previsión en las Obligaciones del Estado a cargo del</w:t>
      </w:r>
      <w:r>
        <w:rPr>
          <w:spacing w:val="-6"/>
        </w:rPr>
        <w:t> </w:t>
      </w:r>
      <w:r>
        <w:rPr/>
        <w:t>Tesoro.</w:t>
      </w:r>
    </w:p>
    <w:p>
      <w:pPr>
        <w:spacing w:after="0" w:line="276" w:lineRule="auto"/>
        <w:jc w:val="both"/>
        <w:sectPr>
          <w:pgSz w:w="12240" w:h="15840"/>
          <w:pgMar w:header="715" w:footer="957" w:top="1240" w:bottom="1140" w:left="1140" w:right="0"/>
        </w:sectPr>
      </w:pPr>
    </w:p>
    <w:p>
      <w:pPr>
        <w:spacing w:before="169"/>
        <w:ind w:left="2460" w:right="0" w:firstLine="0"/>
        <w:jc w:val="left"/>
        <w:rPr>
          <w:b/>
          <w:i/>
          <w:sz w:val="20"/>
        </w:rPr>
      </w:pPr>
      <w:bookmarkStart w:name="_bookmark135" w:id="167"/>
      <w:bookmarkEnd w:id="167"/>
      <w:r>
        <w:rPr/>
      </w:r>
      <w:r>
        <w:rPr>
          <w:b/>
          <w:i/>
          <w:sz w:val="20"/>
        </w:rPr>
        <w:t>Tabla 8. Ejecución de programas de entidades seleccionadas</w:t>
      </w:r>
    </w:p>
    <w:p>
      <w:pPr>
        <w:spacing w:line="276" w:lineRule="auto" w:before="29" w:after="4"/>
        <w:ind w:left="3255" w:right="4376" w:firstLine="494"/>
        <w:jc w:val="left"/>
        <w:rPr>
          <w:sz w:val="18"/>
        </w:rPr>
      </w:pPr>
      <w:r>
        <w:rPr>
          <w:sz w:val="18"/>
        </w:rPr>
        <w:t>Al 31 de diciembre de 2020 y 2021 Millones de quetzales y porcentaje de ejecución</w:t>
      </w:r>
    </w:p>
    <w:tbl>
      <w:tblPr>
        <w:tblW w:w="0" w:type="auto"/>
        <w:jc w:val="left"/>
        <w:tblInd w:w="6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20"/>
        <w:gridCol w:w="1230"/>
        <w:gridCol w:w="1224"/>
        <w:gridCol w:w="1011"/>
        <w:gridCol w:w="1006"/>
      </w:tblGrid>
      <w:tr>
        <w:trPr>
          <w:trHeight w:val="211" w:hRule="atLeast"/>
        </w:trPr>
        <w:tc>
          <w:tcPr>
            <w:tcW w:w="4120" w:type="dxa"/>
            <w:vMerge w:val="restart"/>
            <w:tcBorders>
              <w:left w:val="single" w:sz="12" w:space="0" w:color="000000"/>
              <w:bottom w:val="single" w:sz="12" w:space="0" w:color="000000"/>
              <w:right w:val="single" w:sz="12" w:space="0" w:color="000000"/>
            </w:tcBorders>
            <w:shd w:val="clear" w:color="auto" w:fill="1F3763"/>
          </w:tcPr>
          <w:p>
            <w:pPr>
              <w:pStyle w:val="TableParagraph"/>
              <w:rPr>
                <w:sz w:val="21"/>
              </w:rPr>
            </w:pPr>
          </w:p>
          <w:p>
            <w:pPr>
              <w:pStyle w:val="TableParagraph"/>
              <w:spacing w:before="1"/>
              <w:ind w:left="1379"/>
              <w:rPr>
                <w:b/>
                <w:sz w:val="16"/>
              </w:rPr>
            </w:pPr>
            <w:r>
              <w:rPr>
                <w:b/>
                <w:color w:val="FFFFFF"/>
                <w:sz w:val="16"/>
              </w:rPr>
              <w:t>Entidad y Programa</w:t>
            </w:r>
          </w:p>
        </w:tc>
        <w:tc>
          <w:tcPr>
            <w:tcW w:w="1230" w:type="dxa"/>
            <w:vMerge w:val="restart"/>
            <w:tcBorders>
              <w:left w:val="single" w:sz="12" w:space="0" w:color="000000"/>
              <w:bottom w:val="single" w:sz="12" w:space="0" w:color="000000"/>
            </w:tcBorders>
            <w:shd w:val="clear" w:color="auto" w:fill="1F3763"/>
          </w:tcPr>
          <w:p>
            <w:pPr>
              <w:pStyle w:val="TableParagraph"/>
              <w:rPr>
                <w:sz w:val="21"/>
              </w:rPr>
            </w:pPr>
          </w:p>
          <w:p>
            <w:pPr>
              <w:pStyle w:val="TableParagraph"/>
              <w:spacing w:before="1"/>
              <w:ind w:left="70"/>
              <w:rPr>
                <w:b/>
                <w:sz w:val="16"/>
              </w:rPr>
            </w:pPr>
            <w:r>
              <w:rPr>
                <w:b/>
                <w:color w:val="FFFFFF"/>
                <w:sz w:val="16"/>
              </w:rPr>
              <w:t>Ejecutado 2020</w:t>
            </w:r>
          </w:p>
        </w:tc>
        <w:tc>
          <w:tcPr>
            <w:tcW w:w="1224" w:type="dxa"/>
            <w:vMerge w:val="restart"/>
            <w:tcBorders>
              <w:bottom w:val="single" w:sz="12" w:space="0" w:color="000000"/>
            </w:tcBorders>
            <w:shd w:val="clear" w:color="auto" w:fill="1F3763"/>
          </w:tcPr>
          <w:p>
            <w:pPr>
              <w:pStyle w:val="TableParagraph"/>
              <w:rPr>
                <w:sz w:val="21"/>
              </w:rPr>
            </w:pPr>
          </w:p>
          <w:p>
            <w:pPr>
              <w:pStyle w:val="TableParagraph"/>
              <w:spacing w:before="1"/>
              <w:ind w:left="72"/>
              <w:rPr>
                <w:b/>
                <w:sz w:val="16"/>
              </w:rPr>
            </w:pPr>
            <w:r>
              <w:rPr>
                <w:b/>
                <w:color w:val="FFFFFF"/>
                <w:sz w:val="16"/>
              </w:rPr>
              <w:t>Ejecutado 2021</w:t>
            </w:r>
          </w:p>
        </w:tc>
        <w:tc>
          <w:tcPr>
            <w:tcW w:w="2017" w:type="dxa"/>
            <w:gridSpan w:val="2"/>
            <w:tcBorders>
              <w:right w:val="nil"/>
            </w:tcBorders>
            <w:shd w:val="clear" w:color="auto" w:fill="1F3763"/>
          </w:tcPr>
          <w:p>
            <w:pPr>
              <w:pStyle w:val="TableParagraph"/>
              <w:spacing w:line="163" w:lineRule="exact" w:before="29"/>
              <w:ind w:left="689"/>
              <w:rPr>
                <w:b/>
                <w:sz w:val="16"/>
              </w:rPr>
            </w:pPr>
            <w:r>
              <w:rPr>
                <w:b/>
                <w:color w:val="FFFFFF"/>
                <w:sz w:val="16"/>
              </w:rPr>
              <w:t>Variación</w:t>
            </w:r>
          </w:p>
        </w:tc>
      </w:tr>
      <w:tr>
        <w:trPr>
          <w:trHeight w:val="411" w:hRule="atLeast"/>
        </w:trPr>
        <w:tc>
          <w:tcPr>
            <w:tcW w:w="4120" w:type="dxa"/>
            <w:vMerge/>
            <w:tcBorders>
              <w:top w:val="nil"/>
              <w:left w:val="single" w:sz="12" w:space="0" w:color="000000"/>
              <w:bottom w:val="single" w:sz="12" w:space="0" w:color="000000"/>
              <w:right w:val="single" w:sz="12" w:space="0" w:color="000000"/>
            </w:tcBorders>
            <w:shd w:val="clear" w:color="auto" w:fill="1F3763"/>
          </w:tcPr>
          <w:p>
            <w:pPr>
              <w:rPr>
                <w:sz w:val="2"/>
                <w:szCs w:val="2"/>
              </w:rPr>
            </w:pPr>
          </w:p>
        </w:tc>
        <w:tc>
          <w:tcPr>
            <w:tcW w:w="1230" w:type="dxa"/>
            <w:vMerge/>
            <w:tcBorders>
              <w:top w:val="nil"/>
              <w:left w:val="single" w:sz="12" w:space="0" w:color="000000"/>
              <w:bottom w:val="single" w:sz="12" w:space="0" w:color="000000"/>
            </w:tcBorders>
            <w:shd w:val="clear" w:color="auto" w:fill="1F3763"/>
          </w:tcPr>
          <w:p>
            <w:pPr>
              <w:rPr>
                <w:sz w:val="2"/>
                <w:szCs w:val="2"/>
              </w:rPr>
            </w:pPr>
          </w:p>
        </w:tc>
        <w:tc>
          <w:tcPr>
            <w:tcW w:w="1224" w:type="dxa"/>
            <w:vMerge/>
            <w:tcBorders>
              <w:top w:val="nil"/>
              <w:bottom w:val="single" w:sz="12" w:space="0" w:color="000000"/>
            </w:tcBorders>
            <w:shd w:val="clear" w:color="auto" w:fill="1F3763"/>
          </w:tcPr>
          <w:p>
            <w:pPr>
              <w:rPr>
                <w:sz w:val="2"/>
                <w:szCs w:val="2"/>
              </w:rPr>
            </w:pPr>
          </w:p>
        </w:tc>
        <w:tc>
          <w:tcPr>
            <w:tcW w:w="1011" w:type="dxa"/>
            <w:tcBorders>
              <w:bottom w:val="single" w:sz="12" w:space="0" w:color="000000"/>
            </w:tcBorders>
            <w:shd w:val="clear" w:color="auto" w:fill="1F3763"/>
          </w:tcPr>
          <w:p>
            <w:pPr>
              <w:pStyle w:val="TableParagraph"/>
              <w:spacing w:before="117"/>
              <w:ind w:left="200"/>
              <w:rPr>
                <w:b/>
                <w:sz w:val="16"/>
              </w:rPr>
            </w:pPr>
            <w:r>
              <w:rPr>
                <w:b/>
                <w:color w:val="FFFFFF"/>
                <w:sz w:val="16"/>
              </w:rPr>
              <w:t>Absoluta</w:t>
            </w:r>
          </w:p>
        </w:tc>
        <w:tc>
          <w:tcPr>
            <w:tcW w:w="1006" w:type="dxa"/>
            <w:tcBorders>
              <w:bottom w:val="single" w:sz="12" w:space="0" w:color="000000"/>
              <w:right w:val="single" w:sz="12" w:space="0" w:color="000000"/>
            </w:tcBorders>
            <w:shd w:val="clear" w:color="auto" w:fill="1F3763"/>
          </w:tcPr>
          <w:p>
            <w:pPr>
              <w:pStyle w:val="TableParagraph"/>
              <w:spacing w:before="117"/>
              <w:ind w:left="221"/>
              <w:rPr>
                <w:b/>
                <w:sz w:val="16"/>
              </w:rPr>
            </w:pPr>
            <w:r>
              <w:rPr>
                <w:b/>
                <w:color w:val="FFFFFF"/>
                <w:sz w:val="16"/>
              </w:rPr>
              <w:t>Relativa</w:t>
            </w:r>
          </w:p>
        </w:tc>
      </w:tr>
      <w:tr>
        <w:trPr>
          <w:trHeight w:val="323" w:hRule="atLeast"/>
        </w:trPr>
        <w:tc>
          <w:tcPr>
            <w:tcW w:w="4120" w:type="dxa"/>
            <w:tcBorders>
              <w:top w:val="single" w:sz="12" w:space="0" w:color="000000"/>
              <w:left w:val="single" w:sz="12" w:space="0" w:color="000000"/>
              <w:right w:val="single" w:sz="12" w:space="0" w:color="000000"/>
            </w:tcBorders>
            <w:shd w:val="clear" w:color="auto" w:fill="B4C5E7"/>
          </w:tcPr>
          <w:p>
            <w:pPr>
              <w:pStyle w:val="TableParagraph"/>
              <w:spacing w:before="69"/>
              <w:ind w:left="27"/>
              <w:rPr>
                <w:b/>
                <w:sz w:val="16"/>
              </w:rPr>
            </w:pPr>
            <w:r>
              <w:rPr>
                <w:b/>
                <w:sz w:val="16"/>
              </w:rPr>
              <w:t>Ministerio de Educación</w:t>
            </w:r>
          </w:p>
        </w:tc>
        <w:tc>
          <w:tcPr>
            <w:tcW w:w="1230" w:type="dxa"/>
            <w:tcBorders>
              <w:top w:val="single" w:sz="12" w:space="0" w:color="000000"/>
              <w:left w:val="single" w:sz="12" w:space="0" w:color="000000"/>
            </w:tcBorders>
            <w:shd w:val="clear" w:color="auto" w:fill="B4C5E7"/>
          </w:tcPr>
          <w:p>
            <w:pPr>
              <w:pStyle w:val="TableParagraph"/>
              <w:spacing w:before="69"/>
              <w:ind w:right="14"/>
              <w:jc w:val="right"/>
              <w:rPr>
                <w:b/>
                <w:sz w:val="16"/>
              </w:rPr>
            </w:pPr>
            <w:r>
              <w:rPr>
                <w:b/>
                <w:sz w:val="16"/>
              </w:rPr>
              <w:t>16,732.7</w:t>
            </w:r>
          </w:p>
        </w:tc>
        <w:tc>
          <w:tcPr>
            <w:tcW w:w="1224" w:type="dxa"/>
            <w:tcBorders>
              <w:top w:val="single" w:sz="12" w:space="0" w:color="000000"/>
            </w:tcBorders>
            <w:shd w:val="clear" w:color="auto" w:fill="B4C5E7"/>
          </w:tcPr>
          <w:p>
            <w:pPr>
              <w:pStyle w:val="TableParagraph"/>
              <w:spacing w:before="69"/>
              <w:ind w:right="13"/>
              <w:jc w:val="right"/>
              <w:rPr>
                <w:b/>
                <w:sz w:val="16"/>
              </w:rPr>
            </w:pPr>
            <w:r>
              <w:rPr>
                <w:b/>
                <w:sz w:val="16"/>
              </w:rPr>
              <w:t>17,300.2</w:t>
            </w:r>
          </w:p>
        </w:tc>
        <w:tc>
          <w:tcPr>
            <w:tcW w:w="1011" w:type="dxa"/>
            <w:tcBorders>
              <w:top w:val="single" w:sz="12" w:space="0" w:color="000000"/>
            </w:tcBorders>
            <w:shd w:val="clear" w:color="auto" w:fill="B4C5E7"/>
          </w:tcPr>
          <w:p>
            <w:pPr>
              <w:pStyle w:val="TableParagraph"/>
              <w:spacing w:before="69"/>
              <w:ind w:right="12"/>
              <w:jc w:val="right"/>
              <w:rPr>
                <w:b/>
                <w:sz w:val="16"/>
              </w:rPr>
            </w:pPr>
            <w:r>
              <w:rPr>
                <w:b/>
                <w:sz w:val="16"/>
              </w:rPr>
              <w:t>567.5</w:t>
            </w:r>
          </w:p>
        </w:tc>
        <w:tc>
          <w:tcPr>
            <w:tcW w:w="1006" w:type="dxa"/>
            <w:tcBorders>
              <w:top w:val="single" w:sz="12" w:space="0" w:color="000000"/>
              <w:right w:val="single" w:sz="12" w:space="0" w:color="000000"/>
            </w:tcBorders>
            <w:shd w:val="clear" w:color="auto" w:fill="B4C5E7"/>
          </w:tcPr>
          <w:p>
            <w:pPr>
              <w:pStyle w:val="TableParagraph"/>
              <w:spacing w:before="69"/>
              <w:ind w:right="-15"/>
              <w:jc w:val="right"/>
              <w:rPr>
                <w:b/>
                <w:sz w:val="16"/>
              </w:rPr>
            </w:pPr>
            <w:r>
              <w:rPr>
                <w:b/>
                <w:w w:val="95"/>
                <w:sz w:val="16"/>
              </w:rPr>
              <w:t>3.4%</w:t>
            </w:r>
          </w:p>
        </w:tc>
      </w:tr>
      <w:tr>
        <w:trPr>
          <w:trHeight w:val="268" w:hRule="atLeast"/>
        </w:trPr>
        <w:tc>
          <w:tcPr>
            <w:tcW w:w="4120" w:type="dxa"/>
            <w:tcBorders>
              <w:left w:val="single" w:sz="12" w:space="0" w:color="000000"/>
              <w:bottom w:val="nil"/>
              <w:right w:val="single" w:sz="12" w:space="0" w:color="000000"/>
            </w:tcBorders>
          </w:tcPr>
          <w:p>
            <w:pPr>
              <w:pStyle w:val="TableParagraph"/>
              <w:spacing w:before="29"/>
              <w:ind w:left="27"/>
              <w:rPr>
                <w:sz w:val="16"/>
              </w:rPr>
            </w:pPr>
            <w:r>
              <w:rPr>
                <w:sz w:val="16"/>
              </w:rPr>
              <w:t>Educación escolar preprimaria</w:t>
            </w:r>
          </w:p>
        </w:tc>
        <w:tc>
          <w:tcPr>
            <w:tcW w:w="1230" w:type="dxa"/>
            <w:tcBorders>
              <w:left w:val="single" w:sz="12" w:space="0" w:color="000000"/>
              <w:bottom w:val="nil"/>
            </w:tcBorders>
          </w:tcPr>
          <w:p>
            <w:pPr>
              <w:pStyle w:val="TableParagraph"/>
              <w:spacing w:before="29"/>
              <w:ind w:right="1"/>
              <w:jc w:val="right"/>
              <w:rPr>
                <w:sz w:val="16"/>
              </w:rPr>
            </w:pPr>
            <w:r>
              <w:rPr>
                <w:sz w:val="16"/>
              </w:rPr>
              <w:t>2,273.4</w:t>
            </w:r>
          </w:p>
        </w:tc>
        <w:tc>
          <w:tcPr>
            <w:tcW w:w="1224" w:type="dxa"/>
            <w:tcBorders>
              <w:bottom w:val="nil"/>
            </w:tcBorders>
          </w:tcPr>
          <w:p>
            <w:pPr>
              <w:pStyle w:val="TableParagraph"/>
              <w:spacing w:before="29"/>
              <w:ind w:right="1"/>
              <w:jc w:val="right"/>
              <w:rPr>
                <w:sz w:val="16"/>
              </w:rPr>
            </w:pPr>
            <w:r>
              <w:rPr>
                <w:sz w:val="16"/>
              </w:rPr>
              <w:t>2,308.0</w:t>
            </w:r>
          </w:p>
        </w:tc>
        <w:tc>
          <w:tcPr>
            <w:tcW w:w="1011" w:type="dxa"/>
            <w:tcBorders>
              <w:bottom w:val="nil"/>
            </w:tcBorders>
          </w:tcPr>
          <w:p>
            <w:pPr>
              <w:pStyle w:val="TableParagraph"/>
              <w:spacing w:before="29"/>
              <w:ind w:right="1"/>
              <w:jc w:val="right"/>
              <w:rPr>
                <w:sz w:val="16"/>
              </w:rPr>
            </w:pPr>
            <w:r>
              <w:rPr>
                <w:sz w:val="16"/>
              </w:rPr>
              <w:t>34.7</w:t>
            </w:r>
          </w:p>
        </w:tc>
        <w:tc>
          <w:tcPr>
            <w:tcW w:w="1006" w:type="dxa"/>
            <w:tcBorders>
              <w:bottom w:val="nil"/>
              <w:right w:val="single" w:sz="12" w:space="0" w:color="000000"/>
            </w:tcBorders>
          </w:tcPr>
          <w:p>
            <w:pPr>
              <w:pStyle w:val="TableParagraph"/>
              <w:spacing w:before="29"/>
              <w:ind w:right="1"/>
              <w:jc w:val="right"/>
              <w:rPr>
                <w:sz w:val="16"/>
              </w:rPr>
            </w:pPr>
            <w:r>
              <w:rPr>
                <w:sz w:val="16"/>
              </w:rPr>
              <w:t>1.5%</w:t>
            </w:r>
          </w:p>
        </w:tc>
      </w:tr>
      <w:tr>
        <w:trPr>
          <w:trHeight w:val="282" w:hRule="atLeast"/>
        </w:trPr>
        <w:tc>
          <w:tcPr>
            <w:tcW w:w="4120" w:type="dxa"/>
            <w:tcBorders>
              <w:top w:val="nil"/>
              <w:left w:val="single" w:sz="12" w:space="0" w:color="000000"/>
              <w:bottom w:val="nil"/>
              <w:right w:val="single" w:sz="12" w:space="0" w:color="000000"/>
            </w:tcBorders>
          </w:tcPr>
          <w:p>
            <w:pPr>
              <w:pStyle w:val="TableParagraph"/>
              <w:spacing w:before="48"/>
              <w:ind w:left="27"/>
              <w:rPr>
                <w:sz w:val="16"/>
              </w:rPr>
            </w:pPr>
            <w:r>
              <w:rPr>
                <w:sz w:val="16"/>
              </w:rPr>
              <w:t>Educación escolar de primaria</w:t>
            </w:r>
          </w:p>
        </w:tc>
        <w:tc>
          <w:tcPr>
            <w:tcW w:w="1230" w:type="dxa"/>
            <w:tcBorders>
              <w:top w:val="nil"/>
              <w:left w:val="single" w:sz="12" w:space="0" w:color="000000"/>
              <w:bottom w:val="nil"/>
            </w:tcBorders>
          </w:tcPr>
          <w:p>
            <w:pPr>
              <w:pStyle w:val="TableParagraph"/>
              <w:spacing w:before="48"/>
              <w:ind w:right="1"/>
              <w:jc w:val="right"/>
              <w:rPr>
                <w:sz w:val="16"/>
              </w:rPr>
            </w:pPr>
            <w:r>
              <w:rPr>
                <w:sz w:val="16"/>
              </w:rPr>
              <w:t>9,265.6</w:t>
            </w:r>
          </w:p>
        </w:tc>
        <w:tc>
          <w:tcPr>
            <w:tcW w:w="1224" w:type="dxa"/>
            <w:tcBorders>
              <w:top w:val="nil"/>
              <w:bottom w:val="nil"/>
            </w:tcBorders>
          </w:tcPr>
          <w:p>
            <w:pPr>
              <w:pStyle w:val="TableParagraph"/>
              <w:spacing w:before="48"/>
              <w:ind w:right="1"/>
              <w:jc w:val="right"/>
              <w:rPr>
                <w:sz w:val="16"/>
              </w:rPr>
            </w:pPr>
            <w:r>
              <w:rPr>
                <w:sz w:val="16"/>
              </w:rPr>
              <w:t>9,730.8</w:t>
            </w:r>
          </w:p>
        </w:tc>
        <w:tc>
          <w:tcPr>
            <w:tcW w:w="1011" w:type="dxa"/>
            <w:tcBorders>
              <w:top w:val="nil"/>
              <w:bottom w:val="nil"/>
            </w:tcBorders>
          </w:tcPr>
          <w:p>
            <w:pPr>
              <w:pStyle w:val="TableParagraph"/>
              <w:spacing w:before="48"/>
              <w:ind w:right="1"/>
              <w:jc w:val="right"/>
              <w:rPr>
                <w:sz w:val="16"/>
              </w:rPr>
            </w:pPr>
            <w:r>
              <w:rPr>
                <w:sz w:val="16"/>
              </w:rPr>
              <w:t>465.2</w:t>
            </w:r>
          </w:p>
        </w:tc>
        <w:tc>
          <w:tcPr>
            <w:tcW w:w="1006" w:type="dxa"/>
            <w:tcBorders>
              <w:top w:val="nil"/>
              <w:bottom w:val="nil"/>
              <w:right w:val="single" w:sz="12" w:space="0" w:color="000000"/>
            </w:tcBorders>
          </w:tcPr>
          <w:p>
            <w:pPr>
              <w:pStyle w:val="TableParagraph"/>
              <w:spacing w:before="48"/>
              <w:ind w:right="1"/>
              <w:jc w:val="right"/>
              <w:rPr>
                <w:sz w:val="16"/>
              </w:rPr>
            </w:pPr>
            <w:r>
              <w:rPr>
                <w:sz w:val="16"/>
              </w:rPr>
              <w:t>5.0%</w:t>
            </w:r>
          </w:p>
        </w:tc>
      </w:tr>
      <w:tr>
        <w:trPr>
          <w:trHeight w:val="266" w:hRule="atLeast"/>
        </w:trPr>
        <w:tc>
          <w:tcPr>
            <w:tcW w:w="4120" w:type="dxa"/>
            <w:tcBorders>
              <w:top w:val="nil"/>
              <w:left w:val="single" w:sz="12" w:space="0" w:color="000000"/>
              <w:bottom w:val="nil"/>
              <w:right w:val="single" w:sz="12" w:space="0" w:color="000000"/>
            </w:tcBorders>
          </w:tcPr>
          <w:p>
            <w:pPr>
              <w:pStyle w:val="TableParagraph"/>
              <w:spacing w:before="43"/>
              <w:ind w:left="27"/>
              <w:rPr>
                <w:sz w:val="16"/>
              </w:rPr>
            </w:pPr>
            <w:r>
              <w:rPr>
                <w:sz w:val="16"/>
              </w:rPr>
              <w:t>Educación escolar básica</w:t>
            </w:r>
          </w:p>
        </w:tc>
        <w:tc>
          <w:tcPr>
            <w:tcW w:w="1230" w:type="dxa"/>
            <w:tcBorders>
              <w:top w:val="nil"/>
              <w:left w:val="single" w:sz="12" w:space="0" w:color="000000"/>
              <w:bottom w:val="nil"/>
            </w:tcBorders>
          </w:tcPr>
          <w:p>
            <w:pPr>
              <w:pStyle w:val="TableParagraph"/>
              <w:spacing w:before="43"/>
              <w:ind w:right="1"/>
              <w:jc w:val="right"/>
              <w:rPr>
                <w:sz w:val="16"/>
              </w:rPr>
            </w:pPr>
            <w:r>
              <w:rPr>
                <w:sz w:val="16"/>
              </w:rPr>
              <w:t>1,047.7</w:t>
            </w:r>
          </w:p>
        </w:tc>
        <w:tc>
          <w:tcPr>
            <w:tcW w:w="1224" w:type="dxa"/>
            <w:tcBorders>
              <w:top w:val="nil"/>
              <w:bottom w:val="nil"/>
            </w:tcBorders>
          </w:tcPr>
          <w:p>
            <w:pPr>
              <w:pStyle w:val="TableParagraph"/>
              <w:spacing w:before="43"/>
              <w:ind w:right="1"/>
              <w:jc w:val="right"/>
              <w:rPr>
                <w:sz w:val="16"/>
              </w:rPr>
            </w:pPr>
            <w:r>
              <w:rPr>
                <w:sz w:val="16"/>
              </w:rPr>
              <w:t>1,117.6</w:t>
            </w:r>
          </w:p>
        </w:tc>
        <w:tc>
          <w:tcPr>
            <w:tcW w:w="1011" w:type="dxa"/>
            <w:tcBorders>
              <w:top w:val="nil"/>
              <w:bottom w:val="nil"/>
            </w:tcBorders>
          </w:tcPr>
          <w:p>
            <w:pPr>
              <w:pStyle w:val="TableParagraph"/>
              <w:spacing w:before="43"/>
              <w:ind w:right="1"/>
              <w:jc w:val="right"/>
              <w:rPr>
                <w:sz w:val="16"/>
              </w:rPr>
            </w:pPr>
            <w:r>
              <w:rPr>
                <w:sz w:val="16"/>
              </w:rPr>
              <w:t>69.8</w:t>
            </w:r>
          </w:p>
        </w:tc>
        <w:tc>
          <w:tcPr>
            <w:tcW w:w="1006" w:type="dxa"/>
            <w:tcBorders>
              <w:top w:val="nil"/>
              <w:bottom w:val="nil"/>
              <w:right w:val="single" w:sz="12" w:space="0" w:color="000000"/>
            </w:tcBorders>
          </w:tcPr>
          <w:p>
            <w:pPr>
              <w:pStyle w:val="TableParagraph"/>
              <w:spacing w:before="43"/>
              <w:ind w:right="1"/>
              <w:jc w:val="right"/>
              <w:rPr>
                <w:sz w:val="16"/>
              </w:rPr>
            </w:pPr>
            <w:r>
              <w:rPr>
                <w:sz w:val="16"/>
              </w:rPr>
              <w:t>6.7%</w:t>
            </w:r>
          </w:p>
        </w:tc>
      </w:tr>
      <w:tr>
        <w:trPr>
          <w:trHeight w:val="260" w:hRule="atLeast"/>
        </w:trPr>
        <w:tc>
          <w:tcPr>
            <w:tcW w:w="4120" w:type="dxa"/>
            <w:tcBorders>
              <w:top w:val="nil"/>
              <w:left w:val="single" w:sz="12" w:space="0" w:color="000000"/>
              <w:bottom w:val="nil"/>
              <w:right w:val="single" w:sz="12" w:space="0" w:color="000000"/>
            </w:tcBorders>
          </w:tcPr>
          <w:p>
            <w:pPr>
              <w:pStyle w:val="TableParagraph"/>
              <w:spacing w:before="32"/>
              <w:ind w:left="27"/>
              <w:rPr>
                <w:sz w:val="16"/>
              </w:rPr>
            </w:pPr>
            <w:r>
              <w:rPr>
                <w:sz w:val="16"/>
              </w:rPr>
              <w:t>Educación escolar diversificada</w:t>
            </w:r>
          </w:p>
        </w:tc>
        <w:tc>
          <w:tcPr>
            <w:tcW w:w="1230" w:type="dxa"/>
            <w:tcBorders>
              <w:top w:val="nil"/>
              <w:left w:val="single" w:sz="12" w:space="0" w:color="000000"/>
              <w:bottom w:val="nil"/>
            </w:tcBorders>
          </w:tcPr>
          <w:p>
            <w:pPr>
              <w:pStyle w:val="TableParagraph"/>
              <w:spacing w:before="32"/>
              <w:ind w:right="2"/>
              <w:jc w:val="right"/>
              <w:rPr>
                <w:sz w:val="16"/>
              </w:rPr>
            </w:pPr>
            <w:r>
              <w:rPr>
                <w:sz w:val="16"/>
              </w:rPr>
              <w:t>457.8</w:t>
            </w:r>
          </w:p>
        </w:tc>
        <w:tc>
          <w:tcPr>
            <w:tcW w:w="1224" w:type="dxa"/>
            <w:tcBorders>
              <w:top w:val="nil"/>
              <w:bottom w:val="nil"/>
            </w:tcBorders>
          </w:tcPr>
          <w:p>
            <w:pPr>
              <w:pStyle w:val="TableParagraph"/>
              <w:spacing w:before="32"/>
              <w:ind w:right="1"/>
              <w:jc w:val="right"/>
              <w:rPr>
                <w:sz w:val="16"/>
              </w:rPr>
            </w:pPr>
            <w:r>
              <w:rPr>
                <w:sz w:val="16"/>
              </w:rPr>
              <w:t>463.2</w:t>
            </w:r>
          </w:p>
        </w:tc>
        <w:tc>
          <w:tcPr>
            <w:tcW w:w="1011" w:type="dxa"/>
            <w:tcBorders>
              <w:top w:val="nil"/>
              <w:bottom w:val="nil"/>
            </w:tcBorders>
          </w:tcPr>
          <w:p>
            <w:pPr>
              <w:pStyle w:val="TableParagraph"/>
              <w:spacing w:before="32"/>
              <w:ind w:right="1"/>
              <w:jc w:val="right"/>
              <w:rPr>
                <w:sz w:val="16"/>
              </w:rPr>
            </w:pPr>
            <w:r>
              <w:rPr>
                <w:sz w:val="16"/>
              </w:rPr>
              <w:t>5.4</w:t>
            </w:r>
          </w:p>
        </w:tc>
        <w:tc>
          <w:tcPr>
            <w:tcW w:w="1006" w:type="dxa"/>
            <w:tcBorders>
              <w:top w:val="nil"/>
              <w:bottom w:val="nil"/>
              <w:right w:val="single" w:sz="12" w:space="0" w:color="000000"/>
            </w:tcBorders>
          </w:tcPr>
          <w:p>
            <w:pPr>
              <w:pStyle w:val="TableParagraph"/>
              <w:spacing w:before="32"/>
              <w:ind w:right="1"/>
              <w:jc w:val="right"/>
              <w:rPr>
                <w:sz w:val="16"/>
              </w:rPr>
            </w:pPr>
            <w:r>
              <w:rPr>
                <w:sz w:val="16"/>
              </w:rPr>
              <w:t>1.2%</w:t>
            </w:r>
          </w:p>
        </w:tc>
      </w:tr>
      <w:tr>
        <w:trPr>
          <w:trHeight w:val="276" w:hRule="atLeast"/>
        </w:trPr>
        <w:tc>
          <w:tcPr>
            <w:tcW w:w="4120" w:type="dxa"/>
            <w:tcBorders>
              <w:top w:val="nil"/>
              <w:left w:val="single" w:sz="12" w:space="0" w:color="000000"/>
              <w:bottom w:val="nil"/>
              <w:right w:val="single" w:sz="12" w:space="0" w:color="000000"/>
            </w:tcBorders>
          </w:tcPr>
          <w:p>
            <w:pPr>
              <w:pStyle w:val="TableParagraph"/>
              <w:spacing w:before="37"/>
              <w:ind w:left="27"/>
              <w:rPr>
                <w:sz w:val="16"/>
              </w:rPr>
            </w:pPr>
            <w:r>
              <w:rPr>
                <w:sz w:val="16"/>
              </w:rPr>
              <w:t>Apoyo para el consumo adecuado de alimentos</w:t>
            </w:r>
          </w:p>
        </w:tc>
        <w:tc>
          <w:tcPr>
            <w:tcW w:w="1230" w:type="dxa"/>
            <w:tcBorders>
              <w:top w:val="nil"/>
              <w:left w:val="single" w:sz="12" w:space="0" w:color="000000"/>
              <w:bottom w:val="nil"/>
            </w:tcBorders>
          </w:tcPr>
          <w:p>
            <w:pPr>
              <w:pStyle w:val="TableParagraph"/>
              <w:spacing w:before="37"/>
              <w:ind w:right="1"/>
              <w:jc w:val="right"/>
              <w:rPr>
                <w:sz w:val="16"/>
              </w:rPr>
            </w:pPr>
            <w:r>
              <w:rPr>
                <w:sz w:val="16"/>
              </w:rPr>
              <w:t>1,996.9</w:t>
            </w:r>
          </w:p>
        </w:tc>
        <w:tc>
          <w:tcPr>
            <w:tcW w:w="1224" w:type="dxa"/>
            <w:tcBorders>
              <w:top w:val="nil"/>
              <w:bottom w:val="nil"/>
            </w:tcBorders>
          </w:tcPr>
          <w:p>
            <w:pPr>
              <w:pStyle w:val="TableParagraph"/>
              <w:spacing w:before="37"/>
              <w:ind w:right="1"/>
              <w:jc w:val="right"/>
              <w:rPr>
                <w:sz w:val="16"/>
              </w:rPr>
            </w:pPr>
            <w:r>
              <w:rPr>
                <w:sz w:val="16"/>
              </w:rPr>
              <w:t>1,901.3</w:t>
            </w:r>
          </w:p>
        </w:tc>
        <w:tc>
          <w:tcPr>
            <w:tcW w:w="1011" w:type="dxa"/>
            <w:tcBorders>
              <w:top w:val="nil"/>
              <w:bottom w:val="nil"/>
            </w:tcBorders>
          </w:tcPr>
          <w:p>
            <w:pPr>
              <w:pStyle w:val="TableParagraph"/>
              <w:spacing w:before="37"/>
              <w:ind w:right="1"/>
              <w:jc w:val="right"/>
              <w:rPr>
                <w:sz w:val="16"/>
              </w:rPr>
            </w:pPr>
            <w:r>
              <w:rPr>
                <w:w w:val="95"/>
                <w:sz w:val="16"/>
              </w:rPr>
              <w:t>-95.6</w:t>
            </w:r>
          </w:p>
        </w:tc>
        <w:tc>
          <w:tcPr>
            <w:tcW w:w="1006" w:type="dxa"/>
            <w:tcBorders>
              <w:top w:val="nil"/>
              <w:bottom w:val="nil"/>
              <w:right w:val="single" w:sz="12" w:space="0" w:color="000000"/>
            </w:tcBorders>
          </w:tcPr>
          <w:p>
            <w:pPr>
              <w:pStyle w:val="TableParagraph"/>
              <w:spacing w:before="37"/>
              <w:ind w:right="1"/>
              <w:jc w:val="right"/>
              <w:rPr>
                <w:sz w:val="16"/>
              </w:rPr>
            </w:pPr>
            <w:r>
              <w:rPr>
                <w:w w:val="95"/>
                <w:sz w:val="16"/>
              </w:rPr>
              <w:t>-4.8%</w:t>
            </w:r>
          </w:p>
        </w:tc>
      </w:tr>
      <w:tr>
        <w:trPr>
          <w:trHeight w:val="269" w:hRule="atLeast"/>
        </w:trPr>
        <w:tc>
          <w:tcPr>
            <w:tcW w:w="4120" w:type="dxa"/>
            <w:tcBorders>
              <w:top w:val="nil"/>
              <w:left w:val="single" w:sz="12" w:space="0" w:color="000000"/>
              <w:right w:val="single" w:sz="12" w:space="0" w:color="000000"/>
            </w:tcBorders>
          </w:tcPr>
          <w:p>
            <w:pPr>
              <w:pStyle w:val="TableParagraph"/>
              <w:spacing w:before="48"/>
              <w:ind w:left="27"/>
              <w:rPr>
                <w:sz w:val="16"/>
              </w:rPr>
            </w:pPr>
            <w:r>
              <w:rPr>
                <w:sz w:val="16"/>
              </w:rPr>
              <w:t>Otros programas</w:t>
            </w:r>
          </w:p>
        </w:tc>
        <w:tc>
          <w:tcPr>
            <w:tcW w:w="1230" w:type="dxa"/>
            <w:tcBorders>
              <w:top w:val="nil"/>
              <w:left w:val="single" w:sz="12" w:space="0" w:color="000000"/>
            </w:tcBorders>
          </w:tcPr>
          <w:p>
            <w:pPr>
              <w:pStyle w:val="TableParagraph"/>
              <w:spacing w:before="48"/>
              <w:ind w:right="1"/>
              <w:jc w:val="right"/>
              <w:rPr>
                <w:sz w:val="16"/>
              </w:rPr>
            </w:pPr>
            <w:r>
              <w:rPr>
                <w:sz w:val="16"/>
              </w:rPr>
              <w:t>1,691.3</w:t>
            </w:r>
          </w:p>
        </w:tc>
        <w:tc>
          <w:tcPr>
            <w:tcW w:w="1224" w:type="dxa"/>
            <w:tcBorders>
              <w:top w:val="nil"/>
            </w:tcBorders>
          </w:tcPr>
          <w:p>
            <w:pPr>
              <w:pStyle w:val="TableParagraph"/>
              <w:spacing w:before="48"/>
              <w:ind w:right="1"/>
              <w:jc w:val="right"/>
              <w:rPr>
                <w:sz w:val="16"/>
              </w:rPr>
            </w:pPr>
            <w:r>
              <w:rPr>
                <w:sz w:val="16"/>
              </w:rPr>
              <w:t>1,779.3</w:t>
            </w:r>
          </w:p>
        </w:tc>
        <w:tc>
          <w:tcPr>
            <w:tcW w:w="1011" w:type="dxa"/>
            <w:tcBorders>
              <w:top w:val="nil"/>
            </w:tcBorders>
          </w:tcPr>
          <w:p>
            <w:pPr>
              <w:pStyle w:val="TableParagraph"/>
              <w:spacing w:before="48"/>
              <w:ind w:right="1"/>
              <w:jc w:val="right"/>
              <w:rPr>
                <w:sz w:val="16"/>
              </w:rPr>
            </w:pPr>
            <w:r>
              <w:rPr>
                <w:sz w:val="16"/>
              </w:rPr>
              <w:t>88.0</w:t>
            </w:r>
          </w:p>
        </w:tc>
        <w:tc>
          <w:tcPr>
            <w:tcW w:w="1006" w:type="dxa"/>
            <w:tcBorders>
              <w:top w:val="nil"/>
              <w:right w:val="single" w:sz="12" w:space="0" w:color="000000"/>
            </w:tcBorders>
          </w:tcPr>
          <w:p>
            <w:pPr>
              <w:pStyle w:val="TableParagraph"/>
              <w:spacing w:before="48"/>
              <w:ind w:right="1"/>
              <w:jc w:val="right"/>
              <w:rPr>
                <w:sz w:val="16"/>
              </w:rPr>
            </w:pPr>
            <w:r>
              <w:rPr>
                <w:sz w:val="16"/>
              </w:rPr>
              <w:t>5.2%</w:t>
            </w:r>
          </w:p>
        </w:tc>
      </w:tr>
      <w:tr>
        <w:trPr>
          <w:trHeight w:val="325" w:hRule="atLeast"/>
        </w:trPr>
        <w:tc>
          <w:tcPr>
            <w:tcW w:w="4120" w:type="dxa"/>
            <w:tcBorders>
              <w:left w:val="single" w:sz="12" w:space="0" w:color="000000"/>
              <w:right w:val="single" w:sz="12" w:space="0" w:color="000000"/>
            </w:tcBorders>
            <w:shd w:val="clear" w:color="auto" w:fill="B4C5E7"/>
          </w:tcPr>
          <w:p>
            <w:pPr>
              <w:pStyle w:val="TableParagraph"/>
              <w:spacing w:before="72"/>
              <w:ind w:left="27"/>
              <w:rPr>
                <w:b/>
                <w:sz w:val="16"/>
              </w:rPr>
            </w:pPr>
            <w:r>
              <w:rPr>
                <w:b/>
                <w:sz w:val="16"/>
              </w:rPr>
              <w:t>Ministerio de Salud Pública y Asistencia Social</w:t>
            </w:r>
          </w:p>
        </w:tc>
        <w:tc>
          <w:tcPr>
            <w:tcW w:w="1230" w:type="dxa"/>
            <w:tcBorders>
              <w:left w:val="single" w:sz="12" w:space="0" w:color="000000"/>
            </w:tcBorders>
            <w:shd w:val="clear" w:color="auto" w:fill="B4C5E7"/>
          </w:tcPr>
          <w:p>
            <w:pPr>
              <w:pStyle w:val="TableParagraph"/>
              <w:spacing w:before="72"/>
              <w:ind w:right="13"/>
              <w:jc w:val="right"/>
              <w:rPr>
                <w:b/>
                <w:sz w:val="16"/>
              </w:rPr>
            </w:pPr>
            <w:r>
              <w:rPr>
                <w:b/>
                <w:sz w:val="16"/>
              </w:rPr>
              <w:t>8,618.9</w:t>
            </w:r>
          </w:p>
        </w:tc>
        <w:tc>
          <w:tcPr>
            <w:tcW w:w="1224" w:type="dxa"/>
            <w:shd w:val="clear" w:color="auto" w:fill="B4C5E7"/>
          </w:tcPr>
          <w:p>
            <w:pPr>
              <w:pStyle w:val="TableParagraph"/>
              <w:spacing w:before="72"/>
              <w:ind w:right="13"/>
              <w:jc w:val="right"/>
              <w:rPr>
                <w:b/>
                <w:sz w:val="16"/>
              </w:rPr>
            </w:pPr>
            <w:r>
              <w:rPr>
                <w:b/>
                <w:sz w:val="16"/>
              </w:rPr>
              <w:t>11,369.5</w:t>
            </w:r>
          </w:p>
        </w:tc>
        <w:tc>
          <w:tcPr>
            <w:tcW w:w="1011" w:type="dxa"/>
            <w:shd w:val="clear" w:color="auto" w:fill="B4C5E7"/>
          </w:tcPr>
          <w:p>
            <w:pPr>
              <w:pStyle w:val="TableParagraph"/>
              <w:spacing w:before="72"/>
              <w:ind w:right="13"/>
              <w:jc w:val="right"/>
              <w:rPr>
                <w:b/>
                <w:sz w:val="16"/>
              </w:rPr>
            </w:pPr>
            <w:r>
              <w:rPr>
                <w:b/>
                <w:sz w:val="16"/>
              </w:rPr>
              <w:t>2,750.6</w:t>
            </w:r>
          </w:p>
        </w:tc>
        <w:tc>
          <w:tcPr>
            <w:tcW w:w="1006" w:type="dxa"/>
            <w:tcBorders>
              <w:right w:val="single" w:sz="12" w:space="0" w:color="000000"/>
            </w:tcBorders>
            <w:shd w:val="clear" w:color="auto" w:fill="B4C5E7"/>
          </w:tcPr>
          <w:p>
            <w:pPr>
              <w:pStyle w:val="TableParagraph"/>
              <w:spacing w:before="72"/>
              <w:ind w:right="-15"/>
              <w:jc w:val="right"/>
              <w:rPr>
                <w:b/>
                <w:sz w:val="16"/>
              </w:rPr>
            </w:pPr>
            <w:r>
              <w:rPr>
                <w:b/>
                <w:sz w:val="16"/>
              </w:rPr>
              <w:t>31.9%</w:t>
            </w:r>
          </w:p>
        </w:tc>
      </w:tr>
      <w:tr>
        <w:trPr>
          <w:trHeight w:val="273" w:hRule="atLeast"/>
        </w:trPr>
        <w:tc>
          <w:tcPr>
            <w:tcW w:w="4120" w:type="dxa"/>
            <w:tcBorders>
              <w:left w:val="single" w:sz="12" w:space="0" w:color="000000"/>
              <w:bottom w:val="nil"/>
              <w:right w:val="single" w:sz="12" w:space="0" w:color="000000"/>
            </w:tcBorders>
          </w:tcPr>
          <w:p>
            <w:pPr>
              <w:pStyle w:val="TableParagraph"/>
              <w:spacing w:before="40"/>
              <w:ind w:left="27"/>
              <w:rPr>
                <w:sz w:val="16"/>
              </w:rPr>
            </w:pPr>
            <w:r>
              <w:rPr>
                <w:sz w:val="16"/>
              </w:rPr>
              <w:t>Servicios de formación del recurso humano</w:t>
            </w:r>
          </w:p>
        </w:tc>
        <w:tc>
          <w:tcPr>
            <w:tcW w:w="1230" w:type="dxa"/>
            <w:tcBorders>
              <w:left w:val="single" w:sz="12" w:space="0" w:color="000000"/>
              <w:bottom w:val="nil"/>
            </w:tcBorders>
          </w:tcPr>
          <w:p>
            <w:pPr>
              <w:pStyle w:val="TableParagraph"/>
              <w:spacing w:before="40"/>
              <w:ind w:right="2"/>
              <w:jc w:val="right"/>
              <w:rPr>
                <w:sz w:val="16"/>
              </w:rPr>
            </w:pPr>
            <w:r>
              <w:rPr>
                <w:sz w:val="16"/>
              </w:rPr>
              <w:t>382.3</w:t>
            </w:r>
          </w:p>
        </w:tc>
        <w:tc>
          <w:tcPr>
            <w:tcW w:w="1224" w:type="dxa"/>
            <w:tcBorders>
              <w:bottom w:val="nil"/>
            </w:tcBorders>
          </w:tcPr>
          <w:p>
            <w:pPr>
              <w:pStyle w:val="TableParagraph"/>
              <w:spacing w:before="40"/>
              <w:ind w:right="1"/>
              <w:jc w:val="right"/>
              <w:rPr>
                <w:sz w:val="16"/>
              </w:rPr>
            </w:pPr>
            <w:r>
              <w:rPr>
                <w:sz w:val="16"/>
              </w:rPr>
              <w:t>407.4</w:t>
            </w:r>
          </w:p>
        </w:tc>
        <w:tc>
          <w:tcPr>
            <w:tcW w:w="1011" w:type="dxa"/>
            <w:tcBorders>
              <w:bottom w:val="nil"/>
            </w:tcBorders>
          </w:tcPr>
          <w:p>
            <w:pPr>
              <w:pStyle w:val="TableParagraph"/>
              <w:spacing w:before="40"/>
              <w:ind w:right="1"/>
              <w:jc w:val="right"/>
              <w:rPr>
                <w:sz w:val="16"/>
              </w:rPr>
            </w:pPr>
            <w:r>
              <w:rPr>
                <w:sz w:val="16"/>
              </w:rPr>
              <w:t>25.1</w:t>
            </w:r>
          </w:p>
        </w:tc>
        <w:tc>
          <w:tcPr>
            <w:tcW w:w="1006" w:type="dxa"/>
            <w:tcBorders>
              <w:bottom w:val="nil"/>
              <w:right w:val="single" w:sz="12" w:space="0" w:color="000000"/>
            </w:tcBorders>
          </w:tcPr>
          <w:p>
            <w:pPr>
              <w:pStyle w:val="TableParagraph"/>
              <w:spacing w:before="40"/>
              <w:ind w:right="1"/>
              <w:jc w:val="right"/>
              <w:rPr>
                <w:sz w:val="16"/>
              </w:rPr>
            </w:pPr>
            <w:r>
              <w:rPr>
                <w:sz w:val="16"/>
              </w:rPr>
              <w:t>6.6%</w:t>
            </w:r>
          </w:p>
        </w:tc>
      </w:tr>
      <w:tr>
        <w:trPr>
          <w:trHeight w:val="282" w:hRule="atLeast"/>
        </w:trPr>
        <w:tc>
          <w:tcPr>
            <w:tcW w:w="4120" w:type="dxa"/>
            <w:tcBorders>
              <w:top w:val="nil"/>
              <w:left w:val="single" w:sz="12" w:space="0" w:color="000000"/>
              <w:bottom w:val="nil"/>
              <w:right w:val="single" w:sz="12" w:space="0" w:color="000000"/>
            </w:tcBorders>
          </w:tcPr>
          <w:p>
            <w:pPr>
              <w:pStyle w:val="TableParagraph"/>
              <w:spacing w:before="43"/>
              <w:ind w:left="27"/>
              <w:rPr>
                <w:sz w:val="16"/>
              </w:rPr>
            </w:pPr>
            <w:r>
              <w:rPr>
                <w:sz w:val="16"/>
              </w:rPr>
              <w:t>Fomento de la salud y medicina preventiva</w:t>
            </w:r>
          </w:p>
        </w:tc>
        <w:tc>
          <w:tcPr>
            <w:tcW w:w="1230" w:type="dxa"/>
            <w:tcBorders>
              <w:top w:val="nil"/>
              <w:left w:val="single" w:sz="12" w:space="0" w:color="000000"/>
              <w:bottom w:val="nil"/>
            </w:tcBorders>
          </w:tcPr>
          <w:p>
            <w:pPr>
              <w:pStyle w:val="TableParagraph"/>
              <w:spacing w:before="43"/>
              <w:ind w:right="1"/>
              <w:jc w:val="right"/>
              <w:rPr>
                <w:sz w:val="16"/>
              </w:rPr>
            </w:pPr>
            <w:r>
              <w:rPr>
                <w:sz w:val="16"/>
              </w:rPr>
              <w:t>1,362.2</w:t>
            </w:r>
          </w:p>
        </w:tc>
        <w:tc>
          <w:tcPr>
            <w:tcW w:w="1224" w:type="dxa"/>
            <w:tcBorders>
              <w:top w:val="nil"/>
              <w:bottom w:val="nil"/>
            </w:tcBorders>
          </w:tcPr>
          <w:p>
            <w:pPr>
              <w:pStyle w:val="TableParagraph"/>
              <w:spacing w:before="43"/>
              <w:ind w:right="1"/>
              <w:jc w:val="right"/>
              <w:rPr>
                <w:sz w:val="16"/>
              </w:rPr>
            </w:pPr>
            <w:r>
              <w:rPr>
                <w:sz w:val="16"/>
              </w:rPr>
              <w:t>1,461.0</w:t>
            </w:r>
          </w:p>
        </w:tc>
        <w:tc>
          <w:tcPr>
            <w:tcW w:w="1011" w:type="dxa"/>
            <w:tcBorders>
              <w:top w:val="nil"/>
              <w:bottom w:val="nil"/>
            </w:tcBorders>
          </w:tcPr>
          <w:p>
            <w:pPr>
              <w:pStyle w:val="TableParagraph"/>
              <w:spacing w:before="43"/>
              <w:ind w:right="1"/>
              <w:jc w:val="right"/>
              <w:rPr>
                <w:sz w:val="16"/>
              </w:rPr>
            </w:pPr>
            <w:r>
              <w:rPr>
                <w:sz w:val="16"/>
              </w:rPr>
              <w:t>98.7</w:t>
            </w:r>
          </w:p>
        </w:tc>
        <w:tc>
          <w:tcPr>
            <w:tcW w:w="1006" w:type="dxa"/>
            <w:tcBorders>
              <w:top w:val="nil"/>
              <w:bottom w:val="nil"/>
              <w:right w:val="single" w:sz="12" w:space="0" w:color="000000"/>
            </w:tcBorders>
          </w:tcPr>
          <w:p>
            <w:pPr>
              <w:pStyle w:val="TableParagraph"/>
              <w:spacing w:before="43"/>
              <w:ind w:right="1"/>
              <w:jc w:val="right"/>
              <w:rPr>
                <w:sz w:val="16"/>
              </w:rPr>
            </w:pPr>
            <w:r>
              <w:rPr>
                <w:sz w:val="16"/>
              </w:rPr>
              <w:t>7.2%</w:t>
            </w:r>
          </w:p>
        </w:tc>
      </w:tr>
      <w:tr>
        <w:trPr>
          <w:trHeight w:val="297" w:hRule="atLeast"/>
        </w:trPr>
        <w:tc>
          <w:tcPr>
            <w:tcW w:w="4120" w:type="dxa"/>
            <w:tcBorders>
              <w:top w:val="nil"/>
              <w:left w:val="single" w:sz="12" w:space="0" w:color="000000"/>
              <w:bottom w:val="nil"/>
              <w:right w:val="single" w:sz="12" w:space="0" w:color="000000"/>
            </w:tcBorders>
          </w:tcPr>
          <w:p>
            <w:pPr>
              <w:pStyle w:val="TableParagraph"/>
              <w:spacing w:before="48"/>
              <w:ind w:left="27"/>
              <w:rPr>
                <w:sz w:val="16"/>
              </w:rPr>
            </w:pPr>
            <w:r>
              <w:rPr>
                <w:sz w:val="16"/>
              </w:rPr>
              <w:t>Recuperación de la Salud</w:t>
            </w:r>
          </w:p>
        </w:tc>
        <w:tc>
          <w:tcPr>
            <w:tcW w:w="1230" w:type="dxa"/>
            <w:tcBorders>
              <w:top w:val="nil"/>
              <w:left w:val="single" w:sz="12" w:space="0" w:color="000000"/>
              <w:bottom w:val="nil"/>
            </w:tcBorders>
          </w:tcPr>
          <w:p>
            <w:pPr>
              <w:pStyle w:val="TableParagraph"/>
              <w:spacing w:before="48"/>
              <w:ind w:right="1"/>
              <w:jc w:val="right"/>
              <w:rPr>
                <w:sz w:val="16"/>
              </w:rPr>
            </w:pPr>
            <w:r>
              <w:rPr>
                <w:sz w:val="16"/>
              </w:rPr>
              <w:t>3,370.9</w:t>
            </w:r>
          </w:p>
        </w:tc>
        <w:tc>
          <w:tcPr>
            <w:tcW w:w="1224" w:type="dxa"/>
            <w:tcBorders>
              <w:top w:val="nil"/>
              <w:bottom w:val="nil"/>
            </w:tcBorders>
          </w:tcPr>
          <w:p>
            <w:pPr>
              <w:pStyle w:val="TableParagraph"/>
              <w:spacing w:before="48"/>
              <w:ind w:right="1"/>
              <w:jc w:val="right"/>
              <w:rPr>
                <w:sz w:val="16"/>
              </w:rPr>
            </w:pPr>
            <w:r>
              <w:rPr>
                <w:sz w:val="16"/>
              </w:rPr>
              <w:t>4,006.3</w:t>
            </w:r>
          </w:p>
        </w:tc>
        <w:tc>
          <w:tcPr>
            <w:tcW w:w="1011" w:type="dxa"/>
            <w:tcBorders>
              <w:top w:val="nil"/>
              <w:bottom w:val="nil"/>
            </w:tcBorders>
          </w:tcPr>
          <w:p>
            <w:pPr>
              <w:pStyle w:val="TableParagraph"/>
              <w:spacing w:before="48"/>
              <w:ind w:right="1"/>
              <w:jc w:val="right"/>
              <w:rPr>
                <w:sz w:val="16"/>
              </w:rPr>
            </w:pPr>
            <w:r>
              <w:rPr>
                <w:sz w:val="16"/>
              </w:rPr>
              <w:t>635.4</w:t>
            </w:r>
          </w:p>
        </w:tc>
        <w:tc>
          <w:tcPr>
            <w:tcW w:w="1006" w:type="dxa"/>
            <w:tcBorders>
              <w:top w:val="nil"/>
              <w:bottom w:val="nil"/>
              <w:right w:val="single" w:sz="12" w:space="0" w:color="000000"/>
            </w:tcBorders>
          </w:tcPr>
          <w:p>
            <w:pPr>
              <w:pStyle w:val="TableParagraph"/>
              <w:spacing w:before="48"/>
              <w:ind w:right="1"/>
              <w:jc w:val="right"/>
              <w:rPr>
                <w:sz w:val="16"/>
              </w:rPr>
            </w:pPr>
            <w:r>
              <w:rPr>
                <w:sz w:val="16"/>
              </w:rPr>
              <w:t>18.8%</w:t>
            </w:r>
          </w:p>
        </w:tc>
      </w:tr>
      <w:tr>
        <w:trPr>
          <w:trHeight w:val="532" w:hRule="atLeast"/>
        </w:trPr>
        <w:tc>
          <w:tcPr>
            <w:tcW w:w="4120" w:type="dxa"/>
            <w:tcBorders>
              <w:top w:val="nil"/>
              <w:left w:val="single" w:sz="12" w:space="0" w:color="000000"/>
              <w:bottom w:val="nil"/>
              <w:right w:val="single" w:sz="12" w:space="0" w:color="000000"/>
            </w:tcBorders>
          </w:tcPr>
          <w:p>
            <w:pPr>
              <w:pStyle w:val="TableParagraph"/>
              <w:spacing w:line="278" w:lineRule="auto" w:before="58"/>
              <w:ind w:left="27" w:right="58"/>
              <w:rPr>
                <w:sz w:val="16"/>
              </w:rPr>
            </w:pPr>
            <w:r>
              <w:rPr>
                <w:sz w:val="16"/>
              </w:rPr>
              <w:t>Prevención </w:t>
            </w:r>
            <w:r>
              <w:rPr>
                <w:spacing w:val="-3"/>
                <w:sz w:val="16"/>
              </w:rPr>
              <w:t>de </w:t>
            </w:r>
            <w:r>
              <w:rPr>
                <w:spacing w:val="-7"/>
                <w:sz w:val="16"/>
              </w:rPr>
              <w:t>la </w:t>
            </w:r>
            <w:r>
              <w:rPr>
                <w:spacing w:val="-5"/>
                <w:sz w:val="16"/>
              </w:rPr>
              <w:t>mortalidad </w:t>
            </w:r>
            <w:r>
              <w:rPr>
                <w:spacing w:val="-3"/>
                <w:sz w:val="16"/>
              </w:rPr>
              <w:t>de </w:t>
            </w:r>
            <w:r>
              <w:rPr>
                <w:spacing w:val="-7"/>
                <w:sz w:val="16"/>
              </w:rPr>
              <w:t>la </w:t>
            </w:r>
            <w:r>
              <w:rPr>
                <w:spacing w:val="-5"/>
                <w:sz w:val="16"/>
              </w:rPr>
              <w:t>niñez </w:t>
            </w:r>
            <w:r>
              <w:rPr>
                <w:sz w:val="16"/>
              </w:rPr>
              <w:t>y </w:t>
            </w:r>
            <w:r>
              <w:rPr>
                <w:spacing w:val="-3"/>
                <w:sz w:val="16"/>
              </w:rPr>
              <w:t>de </w:t>
            </w:r>
            <w:r>
              <w:rPr>
                <w:spacing w:val="-7"/>
                <w:sz w:val="16"/>
              </w:rPr>
              <w:t>la </w:t>
            </w:r>
            <w:r>
              <w:rPr>
                <w:spacing w:val="-4"/>
                <w:sz w:val="16"/>
              </w:rPr>
              <w:t>desnutrición </w:t>
            </w:r>
            <w:r>
              <w:rPr>
                <w:spacing w:val="-3"/>
                <w:sz w:val="16"/>
              </w:rPr>
              <w:t>crónica</w:t>
            </w:r>
          </w:p>
        </w:tc>
        <w:tc>
          <w:tcPr>
            <w:tcW w:w="1230" w:type="dxa"/>
            <w:tcBorders>
              <w:top w:val="nil"/>
              <w:left w:val="single" w:sz="12" w:space="0" w:color="000000"/>
              <w:bottom w:val="nil"/>
            </w:tcBorders>
          </w:tcPr>
          <w:p>
            <w:pPr>
              <w:pStyle w:val="TableParagraph"/>
              <w:spacing w:before="4"/>
              <w:rPr>
                <w:sz w:val="14"/>
              </w:rPr>
            </w:pPr>
          </w:p>
          <w:p>
            <w:pPr>
              <w:pStyle w:val="TableParagraph"/>
              <w:ind w:right="2"/>
              <w:jc w:val="right"/>
              <w:rPr>
                <w:sz w:val="16"/>
              </w:rPr>
            </w:pPr>
            <w:r>
              <w:rPr>
                <w:sz w:val="16"/>
              </w:rPr>
              <w:t>743.6</w:t>
            </w:r>
          </w:p>
        </w:tc>
        <w:tc>
          <w:tcPr>
            <w:tcW w:w="1224" w:type="dxa"/>
            <w:tcBorders>
              <w:top w:val="nil"/>
              <w:bottom w:val="nil"/>
            </w:tcBorders>
          </w:tcPr>
          <w:p>
            <w:pPr>
              <w:pStyle w:val="TableParagraph"/>
              <w:spacing w:before="4"/>
              <w:rPr>
                <w:sz w:val="14"/>
              </w:rPr>
            </w:pPr>
          </w:p>
          <w:p>
            <w:pPr>
              <w:pStyle w:val="TableParagraph"/>
              <w:ind w:right="1"/>
              <w:jc w:val="right"/>
              <w:rPr>
                <w:sz w:val="16"/>
              </w:rPr>
            </w:pPr>
            <w:r>
              <w:rPr>
                <w:sz w:val="16"/>
              </w:rPr>
              <w:t>827.4</w:t>
            </w:r>
          </w:p>
        </w:tc>
        <w:tc>
          <w:tcPr>
            <w:tcW w:w="1011" w:type="dxa"/>
            <w:tcBorders>
              <w:top w:val="nil"/>
              <w:bottom w:val="nil"/>
            </w:tcBorders>
          </w:tcPr>
          <w:p>
            <w:pPr>
              <w:pStyle w:val="TableParagraph"/>
              <w:spacing w:before="4"/>
              <w:rPr>
                <w:sz w:val="14"/>
              </w:rPr>
            </w:pPr>
          </w:p>
          <w:p>
            <w:pPr>
              <w:pStyle w:val="TableParagraph"/>
              <w:ind w:right="1"/>
              <w:jc w:val="right"/>
              <w:rPr>
                <w:sz w:val="16"/>
              </w:rPr>
            </w:pPr>
            <w:r>
              <w:rPr>
                <w:sz w:val="16"/>
              </w:rPr>
              <w:t>83.9</w:t>
            </w:r>
          </w:p>
        </w:tc>
        <w:tc>
          <w:tcPr>
            <w:tcW w:w="1006" w:type="dxa"/>
            <w:tcBorders>
              <w:top w:val="nil"/>
              <w:bottom w:val="nil"/>
              <w:right w:val="single" w:sz="12" w:space="0" w:color="000000"/>
            </w:tcBorders>
          </w:tcPr>
          <w:p>
            <w:pPr>
              <w:pStyle w:val="TableParagraph"/>
              <w:spacing w:before="4"/>
              <w:rPr>
                <w:sz w:val="14"/>
              </w:rPr>
            </w:pPr>
          </w:p>
          <w:p>
            <w:pPr>
              <w:pStyle w:val="TableParagraph"/>
              <w:ind w:right="1"/>
              <w:jc w:val="right"/>
              <w:rPr>
                <w:sz w:val="16"/>
              </w:rPr>
            </w:pPr>
            <w:r>
              <w:rPr>
                <w:sz w:val="16"/>
              </w:rPr>
              <w:t>11.3%</w:t>
            </w:r>
          </w:p>
        </w:tc>
      </w:tr>
      <w:tr>
        <w:trPr>
          <w:trHeight w:val="356" w:hRule="atLeast"/>
        </w:trPr>
        <w:tc>
          <w:tcPr>
            <w:tcW w:w="4120" w:type="dxa"/>
            <w:tcBorders>
              <w:top w:val="nil"/>
              <w:left w:val="single" w:sz="12" w:space="0" w:color="000000"/>
              <w:bottom w:val="nil"/>
              <w:right w:val="single" w:sz="12" w:space="0" w:color="000000"/>
            </w:tcBorders>
          </w:tcPr>
          <w:p>
            <w:pPr>
              <w:pStyle w:val="TableParagraph"/>
              <w:spacing w:before="69"/>
              <w:ind w:left="27"/>
              <w:rPr>
                <w:sz w:val="16"/>
              </w:rPr>
            </w:pPr>
            <w:r>
              <w:rPr>
                <w:sz w:val="16"/>
              </w:rPr>
              <w:t>Prevención de la mortalidad materna y neonatal</w:t>
            </w:r>
          </w:p>
        </w:tc>
        <w:tc>
          <w:tcPr>
            <w:tcW w:w="1230" w:type="dxa"/>
            <w:tcBorders>
              <w:top w:val="nil"/>
              <w:left w:val="single" w:sz="12" w:space="0" w:color="000000"/>
              <w:bottom w:val="nil"/>
            </w:tcBorders>
          </w:tcPr>
          <w:p>
            <w:pPr>
              <w:pStyle w:val="TableParagraph"/>
              <w:spacing w:before="69"/>
              <w:ind w:right="2"/>
              <w:jc w:val="right"/>
              <w:rPr>
                <w:sz w:val="16"/>
              </w:rPr>
            </w:pPr>
            <w:r>
              <w:rPr>
                <w:sz w:val="16"/>
              </w:rPr>
              <w:t>354.0</w:t>
            </w:r>
          </w:p>
        </w:tc>
        <w:tc>
          <w:tcPr>
            <w:tcW w:w="1224" w:type="dxa"/>
            <w:tcBorders>
              <w:top w:val="nil"/>
              <w:bottom w:val="nil"/>
            </w:tcBorders>
          </w:tcPr>
          <w:p>
            <w:pPr>
              <w:pStyle w:val="TableParagraph"/>
              <w:spacing w:before="69"/>
              <w:ind w:right="1"/>
              <w:jc w:val="right"/>
              <w:rPr>
                <w:sz w:val="16"/>
              </w:rPr>
            </w:pPr>
            <w:r>
              <w:rPr>
                <w:sz w:val="16"/>
              </w:rPr>
              <w:t>438.3</w:t>
            </w:r>
          </w:p>
        </w:tc>
        <w:tc>
          <w:tcPr>
            <w:tcW w:w="1011" w:type="dxa"/>
            <w:tcBorders>
              <w:top w:val="nil"/>
              <w:bottom w:val="nil"/>
            </w:tcBorders>
          </w:tcPr>
          <w:p>
            <w:pPr>
              <w:pStyle w:val="TableParagraph"/>
              <w:spacing w:before="69"/>
              <w:ind w:right="1"/>
              <w:jc w:val="right"/>
              <w:rPr>
                <w:sz w:val="16"/>
              </w:rPr>
            </w:pPr>
            <w:r>
              <w:rPr>
                <w:sz w:val="16"/>
              </w:rPr>
              <w:t>84.2</w:t>
            </w:r>
          </w:p>
        </w:tc>
        <w:tc>
          <w:tcPr>
            <w:tcW w:w="1006" w:type="dxa"/>
            <w:tcBorders>
              <w:top w:val="nil"/>
              <w:bottom w:val="nil"/>
              <w:right w:val="single" w:sz="12" w:space="0" w:color="000000"/>
            </w:tcBorders>
          </w:tcPr>
          <w:p>
            <w:pPr>
              <w:pStyle w:val="TableParagraph"/>
              <w:spacing w:before="69"/>
              <w:ind w:right="1"/>
              <w:jc w:val="right"/>
              <w:rPr>
                <w:sz w:val="16"/>
              </w:rPr>
            </w:pPr>
            <w:r>
              <w:rPr>
                <w:sz w:val="16"/>
              </w:rPr>
              <w:t>23.8%</w:t>
            </w:r>
          </w:p>
        </w:tc>
      </w:tr>
      <w:tr>
        <w:trPr>
          <w:trHeight w:val="580" w:hRule="atLeast"/>
        </w:trPr>
        <w:tc>
          <w:tcPr>
            <w:tcW w:w="4120" w:type="dxa"/>
            <w:tcBorders>
              <w:top w:val="nil"/>
              <w:left w:val="single" w:sz="12" w:space="0" w:color="000000"/>
              <w:bottom w:val="nil"/>
              <w:right w:val="single" w:sz="12" w:space="0" w:color="000000"/>
            </w:tcBorders>
          </w:tcPr>
          <w:p>
            <w:pPr>
              <w:pStyle w:val="TableParagraph"/>
              <w:spacing w:line="278" w:lineRule="auto" w:before="96"/>
              <w:ind w:left="27" w:right="58"/>
              <w:rPr>
                <w:sz w:val="16"/>
              </w:rPr>
            </w:pPr>
            <w:r>
              <w:rPr>
                <w:sz w:val="16"/>
              </w:rPr>
              <w:t>Atención por desastres naturales y calamidades públicas (Intervenciones para la atención de la emergencia COVID-19)</w:t>
            </w:r>
          </w:p>
        </w:tc>
        <w:tc>
          <w:tcPr>
            <w:tcW w:w="1230" w:type="dxa"/>
            <w:tcBorders>
              <w:top w:val="nil"/>
              <w:left w:val="single" w:sz="12" w:space="0" w:color="000000"/>
              <w:bottom w:val="nil"/>
            </w:tcBorders>
          </w:tcPr>
          <w:p>
            <w:pPr>
              <w:pStyle w:val="TableParagraph"/>
              <w:spacing w:before="7"/>
              <w:rPr>
                <w:sz w:val="17"/>
              </w:rPr>
            </w:pPr>
          </w:p>
          <w:p>
            <w:pPr>
              <w:pStyle w:val="TableParagraph"/>
              <w:ind w:right="1"/>
              <w:jc w:val="right"/>
              <w:rPr>
                <w:sz w:val="16"/>
              </w:rPr>
            </w:pPr>
            <w:r>
              <w:rPr>
                <w:sz w:val="16"/>
              </w:rPr>
              <w:t>1,223.2</w:t>
            </w:r>
          </w:p>
        </w:tc>
        <w:tc>
          <w:tcPr>
            <w:tcW w:w="1224" w:type="dxa"/>
            <w:tcBorders>
              <w:top w:val="nil"/>
              <w:bottom w:val="nil"/>
            </w:tcBorders>
          </w:tcPr>
          <w:p>
            <w:pPr>
              <w:pStyle w:val="TableParagraph"/>
              <w:spacing w:before="7"/>
              <w:rPr>
                <w:sz w:val="17"/>
              </w:rPr>
            </w:pPr>
          </w:p>
          <w:p>
            <w:pPr>
              <w:pStyle w:val="TableParagraph"/>
              <w:ind w:right="1"/>
              <w:jc w:val="right"/>
              <w:rPr>
                <w:sz w:val="16"/>
              </w:rPr>
            </w:pPr>
            <w:r>
              <w:rPr>
                <w:sz w:val="16"/>
              </w:rPr>
              <w:t>2,988.2</w:t>
            </w:r>
          </w:p>
        </w:tc>
        <w:tc>
          <w:tcPr>
            <w:tcW w:w="1011" w:type="dxa"/>
            <w:tcBorders>
              <w:top w:val="nil"/>
              <w:bottom w:val="nil"/>
            </w:tcBorders>
          </w:tcPr>
          <w:p>
            <w:pPr>
              <w:pStyle w:val="TableParagraph"/>
              <w:spacing w:before="7"/>
              <w:rPr>
                <w:sz w:val="17"/>
              </w:rPr>
            </w:pPr>
          </w:p>
          <w:p>
            <w:pPr>
              <w:pStyle w:val="TableParagraph"/>
              <w:ind w:right="1"/>
              <w:jc w:val="right"/>
              <w:rPr>
                <w:sz w:val="16"/>
              </w:rPr>
            </w:pPr>
            <w:r>
              <w:rPr>
                <w:sz w:val="16"/>
              </w:rPr>
              <w:t>1,765.0</w:t>
            </w:r>
          </w:p>
        </w:tc>
        <w:tc>
          <w:tcPr>
            <w:tcW w:w="1006" w:type="dxa"/>
            <w:tcBorders>
              <w:top w:val="nil"/>
              <w:bottom w:val="nil"/>
              <w:right w:val="single" w:sz="12" w:space="0" w:color="000000"/>
            </w:tcBorders>
          </w:tcPr>
          <w:p>
            <w:pPr>
              <w:pStyle w:val="TableParagraph"/>
              <w:spacing w:before="7"/>
              <w:rPr>
                <w:sz w:val="17"/>
              </w:rPr>
            </w:pPr>
          </w:p>
          <w:p>
            <w:pPr>
              <w:pStyle w:val="TableParagraph"/>
              <w:ind w:right="1"/>
              <w:jc w:val="right"/>
              <w:rPr>
                <w:sz w:val="16"/>
              </w:rPr>
            </w:pPr>
            <w:r>
              <w:rPr>
                <w:sz w:val="16"/>
              </w:rPr>
              <w:t>144.3%</w:t>
            </w:r>
          </w:p>
        </w:tc>
      </w:tr>
      <w:tr>
        <w:trPr>
          <w:trHeight w:val="301" w:hRule="atLeast"/>
        </w:trPr>
        <w:tc>
          <w:tcPr>
            <w:tcW w:w="4120" w:type="dxa"/>
            <w:tcBorders>
              <w:top w:val="nil"/>
              <w:left w:val="single" w:sz="12" w:space="0" w:color="000000"/>
              <w:right w:val="single" w:sz="12" w:space="0" w:color="000000"/>
            </w:tcBorders>
          </w:tcPr>
          <w:p>
            <w:pPr>
              <w:pStyle w:val="TableParagraph"/>
              <w:spacing w:before="80"/>
              <w:ind w:left="27"/>
              <w:rPr>
                <w:sz w:val="16"/>
              </w:rPr>
            </w:pPr>
            <w:r>
              <w:rPr>
                <w:sz w:val="16"/>
              </w:rPr>
              <w:t>Otros programas</w:t>
            </w:r>
          </w:p>
        </w:tc>
        <w:tc>
          <w:tcPr>
            <w:tcW w:w="1230" w:type="dxa"/>
            <w:tcBorders>
              <w:top w:val="nil"/>
              <w:left w:val="single" w:sz="12" w:space="0" w:color="000000"/>
            </w:tcBorders>
          </w:tcPr>
          <w:p>
            <w:pPr>
              <w:pStyle w:val="TableParagraph"/>
              <w:spacing w:before="80"/>
              <w:ind w:right="1"/>
              <w:jc w:val="right"/>
              <w:rPr>
                <w:sz w:val="16"/>
              </w:rPr>
            </w:pPr>
            <w:r>
              <w:rPr>
                <w:sz w:val="16"/>
              </w:rPr>
              <w:t>1,182.7</w:t>
            </w:r>
          </w:p>
        </w:tc>
        <w:tc>
          <w:tcPr>
            <w:tcW w:w="1224" w:type="dxa"/>
            <w:tcBorders>
              <w:top w:val="nil"/>
            </w:tcBorders>
          </w:tcPr>
          <w:p>
            <w:pPr>
              <w:pStyle w:val="TableParagraph"/>
              <w:spacing w:before="80"/>
              <w:ind w:right="1"/>
              <w:jc w:val="right"/>
              <w:rPr>
                <w:sz w:val="16"/>
              </w:rPr>
            </w:pPr>
            <w:r>
              <w:rPr>
                <w:sz w:val="16"/>
              </w:rPr>
              <w:t>1,240.9</w:t>
            </w:r>
          </w:p>
        </w:tc>
        <w:tc>
          <w:tcPr>
            <w:tcW w:w="1011" w:type="dxa"/>
            <w:tcBorders>
              <w:top w:val="nil"/>
            </w:tcBorders>
          </w:tcPr>
          <w:p>
            <w:pPr>
              <w:pStyle w:val="TableParagraph"/>
              <w:spacing w:before="80"/>
              <w:ind w:right="1"/>
              <w:jc w:val="right"/>
              <w:rPr>
                <w:sz w:val="16"/>
              </w:rPr>
            </w:pPr>
            <w:r>
              <w:rPr>
                <w:sz w:val="16"/>
              </w:rPr>
              <w:t>58.2</w:t>
            </w:r>
          </w:p>
        </w:tc>
        <w:tc>
          <w:tcPr>
            <w:tcW w:w="1006" w:type="dxa"/>
            <w:tcBorders>
              <w:top w:val="nil"/>
              <w:right w:val="single" w:sz="12" w:space="0" w:color="000000"/>
            </w:tcBorders>
          </w:tcPr>
          <w:p>
            <w:pPr>
              <w:pStyle w:val="TableParagraph"/>
              <w:spacing w:before="80"/>
              <w:ind w:right="1"/>
              <w:jc w:val="right"/>
              <w:rPr>
                <w:sz w:val="16"/>
              </w:rPr>
            </w:pPr>
            <w:r>
              <w:rPr>
                <w:sz w:val="16"/>
              </w:rPr>
              <w:t>4.9%</w:t>
            </w:r>
          </w:p>
        </w:tc>
      </w:tr>
      <w:tr>
        <w:trPr>
          <w:trHeight w:val="325" w:hRule="atLeast"/>
        </w:trPr>
        <w:tc>
          <w:tcPr>
            <w:tcW w:w="4120" w:type="dxa"/>
            <w:tcBorders>
              <w:left w:val="single" w:sz="12" w:space="0" w:color="000000"/>
              <w:right w:val="single" w:sz="12" w:space="0" w:color="000000"/>
            </w:tcBorders>
            <w:shd w:val="clear" w:color="auto" w:fill="B4C5E7"/>
          </w:tcPr>
          <w:p>
            <w:pPr>
              <w:pStyle w:val="TableParagraph"/>
              <w:spacing w:before="72"/>
              <w:ind w:left="27"/>
              <w:rPr>
                <w:b/>
                <w:sz w:val="16"/>
              </w:rPr>
            </w:pPr>
            <w:r>
              <w:rPr>
                <w:b/>
                <w:sz w:val="16"/>
              </w:rPr>
              <w:t>Ministerio de Economía</w:t>
            </w:r>
          </w:p>
        </w:tc>
        <w:tc>
          <w:tcPr>
            <w:tcW w:w="1230" w:type="dxa"/>
            <w:tcBorders>
              <w:left w:val="single" w:sz="12" w:space="0" w:color="000000"/>
            </w:tcBorders>
            <w:shd w:val="clear" w:color="auto" w:fill="B4C5E7"/>
          </w:tcPr>
          <w:p>
            <w:pPr>
              <w:pStyle w:val="TableParagraph"/>
              <w:spacing w:before="72"/>
              <w:ind w:right="13"/>
              <w:jc w:val="right"/>
              <w:rPr>
                <w:b/>
                <w:sz w:val="16"/>
              </w:rPr>
            </w:pPr>
            <w:r>
              <w:rPr>
                <w:b/>
                <w:sz w:val="16"/>
              </w:rPr>
              <w:t>3,408.9</w:t>
            </w:r>
          </w:p>
        </w:tc>
        <w:tc>
          <w:tcPr>
            <w:tcW w:w="1224" w:type="dxa"/>
            <w:shd w:val="clear" w:color="auto" w:fill="B4C5E7"/>
          </w:tcPr>
          <w:p>
            <w:pPr>
              <w:pStyle w:val="TableParagraph"/>
              <w:spacing w:before="72"/>
              <w:ind w:right="12"/>
              <w:jc w:val="right"/>
              <w:rPr>
                <w:b/>
                <w:sz w:val="16"/>
              </w:rPr>
            </w:pPr>
            <w:r>
              <w:rPr>
                <w:b/>
                <w:sz w:val="16"/>
              </w:rPr>
              <w:t>325.0</w:t>
            </w:r>
          </w:p>
        </w:tc>
        <w:tc>
          <w:tcPr>
            <w:tcW w:w="1011" w:type="dxa"/>
            <w:shd w:val="clear" w:color="auto" w:fill="B4C5E7"/>
          </w:tcPr>
          <w:p>
            <w:pPr>
              <w:pStyle w:val="TableParagraph"/>
              <w:spacing w:before="72"/>
              <w:ind w:right="13"/>
              <w:jc w:val="right"/>
              <w:rPr>
                <w:b/>
                <w:sz w:val="16"/>
              </w:rPr>
            </w:pPr>
            <w:r>
              <w:rPr>
                <w:b/>
                <w:w w:val="95"/>
                <w:sz w:val="16"/>
              </w:rPr>
              <w:t>-3,083.9</w:t>
            </w:r>
          </w:p>
        </w:tc>
        <w:tc>
          <w:tcPr>
            <w:tcW w:w="1006" w:type="dxa"/>
            <w:tcBorders>
              <w:right w:val="single" w:sz="12" w:space="0" w:color="000000"/>
            </w:tcBorders>
            <w:shd w:val="clear" w:color="auto" w:fill="B4C5E7"/>
          </w:tcPr>
          <w:p>
            <w:pPr>
              <w:pStyle w:val="TableParagraph"/>
              <w:spacing w:before="72"/>
              <w:ind w:right="-15"/>
              <w:jc w:val="right"/>
              <w:rPr>
                <w:b/>
                <w:sz w:val="16"/>
              </w:rPr>
            </w:pPr>
            <w:r>
              <w:rPr>
                <w:b/>
                <w:sz w:val="16"/>
              </w:rPr>
              <w:t>-90.5%</w:t>
            </w:r>
          </w:p>
        </w:tc>
      </w:tr>
      <w:tr>
        <w:trPr>
          <w:trHeight w:val="247" w:hRule="atLeast"/>
        </w:trPr>
        <w:tc>
          <w:tcPr>
            <w:tcW w:w="4120" w:type="dxa"/>
            <w:tcBorders>
              <w:left w:val="single" w:sz="12" w:space="0" w:color="000000"/>
              <w:bottom w:val="nil"/>
              <w:right w:val="single" w:sz="12" w:space="0" w:color="000000"/>
            </w:tcBorders>
          </w:tcPr>
          <w:p>
            <w:pPr>
              <w:pStyle w:val="TableParagraph"/>
              <w:spacing w:before="29"/>
              <w:ind w:left="27"/>
              <w:rPr>
                <w:sz w:val="16"/>
              </w:rPr>
            </w:pPr>
            <w:r>
              <w:rPr>
                <w:sz w:val="16"/>
              </w:rPr>
              <w:t>Promoción de la inversión y competencia</w:t>
            </w:r>
          </w:p>
        </w:tc>
        <w:tc>
          <w:tcPr>
            <w:tcW w:w="1230" w:type="dxa"/>
            <w:tcBorders>
              <w:left w:val="single" w:sz="12" w:space="0" w:color="000000"/>
              <w:bottom w:val="nil"/>
            </w:tcBorders>
          </w:tcPr>
          <w:p>
            <w:pPr>
              <w:pStyle w:val="TableParagraph"/>
              <w:spacing w:before="29"/>
              <w:ind w:right="1"/>
              <w:jc w:val="right"/>
              <w:rPr>
                <w:sz w:val="16"/>
              </w:rPr>
            </w:pPr>
            <w:r>
              <w:rPr>
                <w:sz w:val="16"/>
              </w:rPr>
              <w:t>21.2</w:t>
            </w:r>
          </w:p>
        </w:tc>
        <w:tc>
          <w:tcPr>
            <w:tcW w:w="1224" w:type="dxa"/>
            <w:tcBorders>
              <w:bottom w:val="nil"/>
            </w:tcBorders>
          </w:tcPr>
          <w:p>
            <w:pPr>
              <w:pStyle w:val="TableParagraph"/>
              <w:spacing w:before="29"/>
              <w:ind w:right="1"/>
              <w:jc w:val="right"/>
              <w:rPr>
                <w:sz w:val="16"/>
              </w:rPr>
            </w:pPr>
            <w:r>
              <w:rPr>
                <w:sz w:val="16"/>
              </w:rPr>
              <w:t>23.9</w:t>
            </w:r>
          </w:p>
        </w:tc>
        <w:tc>
          <w:tcPr>
            <w:tcW w:w="1011" w:type="dxa"/>
            <w:tcBorders>
              <w:bottom w:val="nil"/>
            </w:tcBorders>
          </w:tcPr>
          <w:p>
            <w:pPr>
              <w:pStyle w:val="TableParagraph"/>
              <w:spacing w:before="29"/>
              <w:ind w:right="1"/>
              <w:jc w:val="right"/>
              <w:rPr>
                <w:sz w:val="16"/>
              </w:rPr>
            </w:pPr>
            <w:r>
              <w:rPr>
                <w:sz w:val="16"/>
              </w:rPr>
              <w:t>2.8</w:t>
            </w:r>
          </w:p>
        </w:tc>
        <w:tc>
          <w:tcPr>
            <w:tcW w:w="1006" w:type="dxa"/>
            <w:tcBorders>
              <w:bottom w:val="nil"/>
              <w:right w:val="single" w:sz="12" w:space="0" w:color="000000"/>
            </w:tcBorders>
          </w:tcPr>
          <w:p>
            <w:pPr>
              <w:pStyle w:val="TableParagraph"/>
              <w:spacing w:before="29"/>
              <w:ind w:right="1"/>
              <w:jc w:val="right"/>
              <w:rPr>
                <w:sz w:val="16"/>
              </w:rPr>
            </w:pPr>
            <w:r>
              <w:rPr>
                <w:sz w:val="16"/>
              </w:rPr>
              <w:t>13.2%</w:t>
            </w:r>
          </w:p>
        </w:tc>
      </w:tr>
      <w:tr>
        <w:trPr>
          <w:trHeight w:val="228" w:hRule="atLeast"/>
        </w:trPr>
        <w:tc>
          <w:tcPr>
            <w:tcW w:w="4120" w:type="dxa"/>
            <w:tcBorders>
              <w:top w:val="nil"/>
              <w:left w:val="single" w:sz="12" w:space="0" w:color="000000"/>
              <w:bottom w:val="nil"/>
              <w:right w:val="single" w:sz="12" w:space="0" w:color="000000"/>
            </w:tcBorders>
          </w:tcPr>
          <w:p>
            <w:pPr>
              <w:pStyle w:val="TableParagraph"/>
              <w:spacing w:line="182" w:lineRule="exact" w:before="26"/>
              <w:ind w:left="27"/>
              <w:rPr>
                <w:sz w:val="16"/>
              </w:rPr>
            </w:pPr>
            <w:r>
              <w:rPr>
                <w:sz w:val="16"/>
              </w:rPr>
              <w:t>Gestión de la integración económica y comercio exterior</w:t>
            </w:r>
          </w:p>
        </w:tc>
        <w:tc>
          <w:tcPr>
            <w:tcW w:w="1230" w:type="dxa"/>
            <w:tcBorders>
              <w:top w:val="nil"/>
              <w:left w:val="single" w:sz="12" w:space="0" w:color="000000"/>
              <w:bottom w:val="nil"/>
            </w:tcBorders>
          </w:tcPr>
          <w:p>
            <w:pPr>
              <w:pStyle w:val="TableParagraph"/>
              <w:spacing w:line="182" w:lineRule="exact" w:before="26"/>
              <w:ind w:right="2"/>
              <w:jc w:val="right"/>
              <w:rPr>
                <w:sz w:val="16"/>
              </w:rPr>
            </w:pPr>
            <w:r>
              <w:rPr>
                <w:sz w:val="16"/>
              </w:rPr>
              <w:t>331.5</w:t>
            </w:r>
          </w:p>
        </w:tc>
        <w:tc>
          <w:tcPr>
            <w:tcW w:w="1224" w:type="dxa"/>
            <w:tcBorders>
              <w:top w:val="nil"/>
              <w:bottom w:val="nil"/>
            </w:tcBorders>
          </w:tcPr>
          <w:p>
            <w:pPr>
              <w:pStyle w:val="TableParagraph"/>
              <w:spacing w:line="182" w:lineRule="exact" w:before="26"/>
              <w:ind w:right="1"/>
              <w:jc w:val="right"/>
              <w:rPr>
                <w:sz w:val="16"/>
              </w:rPr>
            </w:pPr>
            <w:r>
              <w:rPr>
                <w:sz w:val="16"/>
              </w:rPr>
              <w:t>43.0</w:t>
            </w:r>
          </w:p>
        </w:tc>
        <w:tc>
          <w:tcPr>
            <w:tcW w:w="1011" w:type="dxa"/>
            <w:tcBorders>
              <w:top w:val="nil"/>
              <w:bottom w:val="nil"/>
            </w:tcBorders>
          </w:tcPr>
          <w:p>
            <w:pPr>
              <w:pStyle w:val="TableParagraph"/>
              <w:spacing w:line="182" w:lineRule="exact" w:before="26"/>
              <w:ind w:right="1"/>
              <w:jc w:val="right"/>
              <w:rPr>
                <w:sz w:val="16"/>
              </w:rPr>
            </w:pPr>
            <w:r>
              <w:rPr>
                <w:sz w:val="16"/>
              </w:rPr>
              <w:t>-288.5</w:t>
            </w:r>
          </w:p>
        </w:tc>
        <w:tc>
          <w:tcPr>
            <w:tcW w:w="1006" w:type="dxa"/>
            <w:tcBorders>
              <w:top w:val="nil"/>
              <w:bottom w:val="nil"/>
              <w:right w:val="single" w:sz="12" w:space="0" w:color="000000"/>
            </w:tcBorders>
          </w:tcPr>
          <w:p>
            <w:pPr>
              <w:pStyle w:val="TableParagraph"/>
              <w:spacing w:line="182" w:lineRule="exact" w:before="26"/>
              <w:ind w:right="1"/>
              <w:jc w:val="right"/>
              <w:rPr>
                <w:sz w:val="16"/>
              </w:rPr>
            </w:pPr>
            <w:r>
              <w:rPr>
                <w:sz w:val="16"/>
              </w:rPr>
              <w:t>-87.0%</w:t>
            </w:r>
          </w:p>
        </w:tc>
      </w:tr>
      <w:tr>
        <w:trPr>
          <w:trHeight w:val="212" w:hRule="atLeast"/>
        </w:trPr>
        <w:tc>
          <w:tcPr>
            <w:tcW w:w="4120" w:type="dxa"/>
            <w:tcBorders>
              <w:top w:val="nil"/>
              <w:left w:val="single" w:sz="12" w:space="0" w:color="000000"/>
              <w:bottom w:val="nil"/>
              <w:right w:val="single" w:sz="12" w:space="0" w:color="000000"/>
            </w:tcBorders>
          </w:tcPr>
          <w:p>
            <w:pPr>
              <w:pStyle w:val="TableParagraph"/>
              <w:spacing w:line="182" w:lineRule="exact" w:before="11"/>
              <w:ind w:left="27"/>
              <w:rPr>
                <w:sz w:val="16"/>
              </w:rPr>
            </w:pPr>
            <w:r>
              <w:rPr>
                <w:sz w:val="16"/>
              </w:rPr>
              <w:t>Desarrollo de la micro, pequeña y mediana empresa</w:t>
            </w:r>
          </w:p>
        </w:tc>
        <w:tc>
          <w:tcPr>
            <w:tcW w:w="1230" w:type="dxa"/>
            <w:tcBorders>
              <w:top w:val="nil"/>
              <w:left w:val="single" w:sz="12" w:space="0" w:color="000000"/>
              <w:bottom w:val="nil"/>
            </w:tcBorders>
          </w:tcPr>
          <w:p>
            <w:pPr>
              <w:pStyle w:val="TableParagraph"/>
              <w:spacing w:line="182" w:lineRule="exact" w:before="11"/>
              <w:ind w:right="2"/>
              <w:jc w:val="right"/>
              <w:rPr>
                <w:sz w:val="16"/>
              </w:rPr>
            </w:pPr>
            <w:r>
              <w:rPr>
                <w:sz w:val="16"/>
              </w:rPr>
              <w:t>480.7</w:t>
            </w:r>
          </w:p>
        </w:tc>
        <w:tc>
          <w:tcPr>
            <w:tcW w:w="1224" w:type="dxa"/>
            <w:tcBorders>
              <w:top w:val="nil"/>
              <w:bottom w:val="nil"/>
            </w:tcBorders>
          </w:tcPr>
          <w:p>
            <w:pPr>
              <w:pStyle w:val="TableParagraph"/>
              <w:spacing w:line="182" w:lineRule="exact" w:before="11"/>
              <w:ind w:right="1"/>
              <w:jc w:val="right"/>
              <w:rPr>
                <w:sz w:val="16"/>
              </w:rPr>
            </w:pPr>
            <w:r>
              <w:rPr>
                <w:sz w:val="16"/>
              </w:rPr>
              <w:t>56.6</w:t>
            </w:r>
          </w:p>
        </w:tc>
        <w:tc>
          <w:tcPr>
            <w:tcW w:w="1011" w:type="dxa"/>
            <w:tcBorders>
              <w:top w:val="nil"/>
              <w:bottom w:val="nil"/>
            </w:tcBorders>
          </w:tcPr>
          <w:p>
            <w:pPr>
              <w:pStyle w:val="TableParagraph"/>
              <w:spacing w:line="182" w:lineRule="exact" w:before="11"/>
              <w:ind w:right="1"/>
              <w:jc w:val="right"/>
              <w:rPr>
                <w:sz w:val="16"/>
              </w:rPr>
            </w:pPr>
            <w:r>
              <w:rPr>
                <w:sz w:val="16"/>
              </w:rPr>
              <w:t>-424.1</w:t>
            </w:r>
          </w:p>
        </w:tc>
        <w:tc>
          <w:tcPr>
            <w:tcW w:w="1006" w:type="dxa"/>
            <w:tcBorders>
              <w:top w:val="nil"/>
              <w:bottom w:val="nil"/>
              <w:right w:val="single" w:sz="12" w:space="0" w:color="000000"/>
            </w:tcBorders>
          </w:tcPr>
          <w:p>
            <w:pPr>
              <w:pStyle w:val="TableParagraph"/>
              <w:spacing w:line="182" w:lineRule="exact" w:before="11"/>
              <w:ind w:right="1"/>
              <w:jc w:val="right"/>
              <w:rPr>
                <w:sz w:val="16"/>
              </w:rPr>
            </w:pPr>
            <w:r>
              <w:rPr>
                <w:sz w:val="16"/>
              </w:rPr>
              <w:t>-88.2%</w:t>
            </w:r>
          </w:p>
        </w:tc>
      </w:tr>
      <w:tr>
        <w:trPr>
          <w:trHeight w:val="425" w:hRule="atLeast"/>
        </w:trPr>
        <w:tc>
          <w:tcPr>
            <w:tcW w:w="4120" w:type="dxa"/>
            <w:tcBorders>
              <w:top w:val="nil"/>
              <w:left w:val="single" w:sz="12" w:space="0" w:color="000000"/>
              <w:bottom w:val="nil"/>
              <w:right w:val="single" w:sz="12" w:space="0" w:color="000000"/>
            </w:tcBorders>
          </w:tcPr>
          <w:p>
            <w:pPr>
              <w:pStyle w:val="TableParagraph"/>
              <w:spacing w:before="11"/>
              <w:ind w:left="27"/>
              <w:rPr>
                <w:sz w:val="16"/>
              </w:rPr>
            </w:pPr>
            <w:r>
              <w:rPr>
                <w:sz w:val="16"/>
              </w:rPr>
              <w:t>Asistencia y Protección al Consumidor y Supervisión del</w:t>
            </w:r>
          </w:p>
          <w:p>
            <w:pPr>
              <w:pStyle w:val="TableParagraph"/>
              <w:spacing w:line="182" w:lineRule="exact" w:before="29"/>
              <w:ind w:left="27"/>
              <w:rPr>
                <w:sz w:val="16"/>
              </w:rPr>
            </w:pPr>
            <w:r>
              <w:rPr>
                <w:sz w:val="16"/>
              </w:rPr>
              <w:t>Comercio Interno</w:t>
            </w:r>
          </w:p>
        </w:tc>
        <w:tc>
          <w:tcPr>
            <w:tcW w:w="1230" w:type="dxa"/>
            <w:tcBorders>
              <w:top w:val="nil"/>
              <w:left w:val="single" w:sz="12" w:space="0" w:color="000000"/>
              <w:bottom w:val="nil"/>
            </w:tcBorders>
          </w:tcPr>
          <w:p>
            <w:pPr>
              <w:pStyle w:val="TableParagraph"/>
              <w:spacing w:before="117"/>
              <w:ind w:right="1"/>
              <w:jc w:val="right"/>
              <w:rPr>
                <w:sz w:val="16"/>
              </w:rPr>
            </w:pPr>
            <w:r>
              <w:rPr>
                <w:sz w:val="16"/>
              </w:rPr>
              <w:t>22.1</w:t>
            </w:r>
          </w:p>
        </w:tc>
        <w:tc>
          <w:tcPr>
            <w:tcW w:w="1224" w:type="dxa"/>
            <w:tcBorders>
              <w:top w:val="nil"/>
              <w:bottom w:val="nil"/>
            </w:tcBorders>
          </w:tcPr>
          <w:p>
            <w:pPr>
              <w:pStyle w:val="TableParagraph"/>
              <w:spacing w:before="117"/>
              <w:ind w:right="1"/>
              <w:jc w:val="right"/>
              <w:rPr>
                <w:sz w:val="16"/>
              </w:rPr>
            </w:pPr>
            <w:r>
              <w:rPr>
                <w:sz w:val="16"/>
              </w:rPr>
              <w:t>22.5</w:t>
            </w:r>
          </w:p>
        </w:tc>
        <w:tc>
          <w:tcPr>
            <w:tcW w:w="1011" w:type="dxa"/>
            <w:tcBorders>
              <w:top w:val="nil"/>
              <w:bottom w:val="nil"/>
            </w:tcBorders>
          </w:tcPr>
          <w:p>
            <w:pPr>
              <w:pStyle w:val="TableParagraph"/>
              <w:spacing w:before="117"/>
              <w:ind w:right="1"/>
              <w:jc w:val="right"/>
              <w:rPr>
                <w:sz w:val="16"/>
              </w:rPr>
            </w:pPr>
            <w:r>
              <w:rPr>
                <w:sz w:val="16"/>
              </w:rPr>
              <w:t>0.4</w:t>
            </w:r>
          </w:p>
        </w:tc>
        <w:tc>
          <w:tcPr>
            <w:tcW w:w="1006" w:type="dxa"/>
            <w:tcBorders>
              <w:top w:val="nil"/>
              <w:bottom w:val="nil"/>
              <w:right w:val="single" w:sz="12" w:space="0" w:color="000000"/>
            </w:tcBorders>
          </w:tcPr>
          <w:p>
            <w:pPr>
              <w:pStyle w:val="TableParagraph"/>
              <w:spacing w:before="117"/>
              <w:ind w:right="1"/>
              <w:jc w:val="right"/>
              <w:rPr>
                <w:sz w:val="16"/>
              </w:rPr>
            </w:pPr>
            <w:r>
              <w:rPr>
                <w:sz w:val="16"/>
              </w:rPr>
              <w:t>1.9%</w:t>
            </w:r>
          </w:p>
        </w:tc>
      </w:tr>
      <w:tr>
        <w:trPr>
          <w:trHeight w:val="452" w:hRule="atLeast"/>
        </w:trPr>
        <w:tc>
          <w:tcPr>
            <w:tcW w:w="4120" w:type="dxa"/>
            <w:tcBorders>
              <w:top w:val="nil"/>
              <w:left w:val="single" w:sz="12" w:space="0" w:color="000000"/>
              <w:bottom w:val="nil"/>
              <w:right w:val="single" w:sz="12" w:space="0" w:color="000000"/>
            </w:tcBorders>
          </w:tcPr>
          <w:p>
            <w:pPr>
              <w:pStyle w:val="TableParagraph"/>
              <w:spacing w:before="11"/>
              <w:ind w:left="27"/>
              <w:rPr>
                <w:sz w:val="16"/>
              </w:rPr>
            </w:pPr>
            <w:r>
              <w:rPr>
                <w:sz w:val="16"/>
              </w:rPr>
              <w:t>Atención por desastres naturales y calamidades públicas</w:t>
            </w:r>
          </w:p>
          <w:p>
            <w:pPr>
              <w:pStyle w:val="TableParagraph"/>
              <w:spacing w:before="29"/>
              <w:ind w:left="27"/>
              <w:rPr>
                <w:sz w:val="16"/>
              </w:rPr>
            </w:pPr>
            <w:r>
              <w:rPr>
                <w:sz w:val="16"/>
              </w:rPr>
              <w:t>(Intervenciones para la atención de la emergencia COVID-19)</w:t>
            </w:r>
          </w:p>
        </w:tc>
        <w:tc>
          <w:tcPr>
            <w:tcW w:w="1230" w:type="dxa"/>
            <w:tcBorders>
              <w:top w:val="nil"/>
              <w:left w:val="single" w:sz="12" w:space="0" w:color="000000"/>
              <w:bottom w:val="nil"/>
            </w:tcBorders>
          </w:tcPr>
          <w:p>
            <w:pPr>
              <w:pStyle w:val="TableParagraph"/>
              <w:spacing w:before="117"/>
              <w:ind w:right="1"/>
              <w:jc w:val="right"/>
              <w:rPr>
                <w:sz w:val="16"/>
              </w:rPr>
            </w:pPr>
            <w:r>
              <w:rPr>
                <w:sz w:val="16"/>
              </w:rPr>
              <w:t>2,400.8</w:t>
            </w:r>
          </w:p>
        </w:tc>
        <w:tc>
          <w:tcPr>
            <w:tcW w:w="1224" w:type="dxa"/>
            <w:tcBorders>
              <w:top w:val="nil"/>
              <w:bottom w:val="nil"/>
            </w:tcBorders>
          </w:tcPr>
          <w:p>
            <w:pPr>
              <w:pStyle w:val="TableParagraph"/>
              <w:spacing w:before="117"/>
              <w:ind w:right="6"/>
              <w:jc w:val="right"/>
              <w:rPr>
                <w:sz w:val="16"/>
              </w:rPr>
            </w:pPr>
            <w:r>
              <w:rPr>
                <w:w w:val="99"/>
                <w:sz w:val="16"/>
              </w:rPr>
              <w:t>-</w:t>
            </w:r>
          </w:p>
        </w:tc>
        <w:tc>
          <w:tcPr>
            <w:tcW w:w="1011" w:type="dxa"/>
            <w:tcBorders>
              <w:top w:val="nil"/>
              <w:bottom w:val="nil"/>
            </w:tcBorders>
          </w:tcPr>
          <w:p>
            <w:pPr>
              <w:pStyle w:val="TableParagraph"/>
              <w:spacing w:before="117"/>
              <w:ind w:right="6"/>
              <w:jc w:val="right"/>
              <w:rPr>
                <w:sz w:val="16"/>
              </w:rPr>
            </w:pPr>
            <w:r>
              <w:rPr>
                <w:w w:val="99"/>
                <w:sz w:val="16"/>
              </w:rPr>
              <w:t>-</w:t>
            </w:r>
          </w:p>
        </w:tc>
        <w:tc>
          <w:tcPr>
            <w:tcW w:w="1006" w:type="dxa"/>
            <w:tcBorders>
              <w:top w:val="nil"/>
              <w:bottom w:val="nil"/>
              <w:right w:val="single" w:sz="12" w:space="0" w:color="000000"/>
            </w:tcBorders>
          </w:tcPr>
          <w:p>
            <w:pPr>
              <w:pStyle w:val="TableParagraph"/>
              <w:spacing w:before="117"/>
              <w:ind w:right="-15"/>
              <w:jc w:val="right"/>
              <w:rPr>
                <w:sz w:val="16"/>
              </w:rPr>
            </w:pPr>
            <w:r>
              <w:rPr>
                <w:w w:val="99"/>
                <w:sz w:val="16"/>
              </w:rPr>
              <w:t>-</w:t>
            </w:r>
          </w:p>
        </w:tc>
      </w:tr>
      <w:tr>
        <w:trPr>
          <w:trHeight w:val="291" w:hRule="atLeast"/>
        </w:trPr>
        <w:tc>
          <w:tcPr>
            <w:tcW w:w="4120" w:type="dxa"/>
            <w:tcBorders>
              <w:top w:val="nil"/>
              <w:left w:val="single" w:sz="12" w:space="0" w:color="000000"/>
              <w:right w:val="single" w:sz="12" w:space="0" w:color="000000"/>
            </w:tcBorders>
          </w:tcPr>
          <w:p>
            <w:pPr>
              <w:pStyle w:val="TableParagraph"/>
              <w:spacing w:before="37"/>
              <w:ind w:left="27"/>
              <w:rPr>
                <w:sz w:val="16"/>
              </w:rPr>
            </w:pPr>
            <w:r>
              <w:rPr>
                <w:sz w:val="16"/>
              </w:rPr>
              <w:t>Otros programas</w:t>
            </w:r>
          </w:p>
        </w:tc>
        <w:tc>
          <w:tcPr>
            <w:tcW w:w="1230" w:type="dxa"/>
            <w:tcBorders>
              <w:top w:val="nil"/>
              <w:left w:val="single" w:sz="12" w:space="0" w:color="000000"/>
            </w:tcBorders>
          </w:tcPr>
          <w:p>
            <w:pPr>
              <w:pStyle w:val="TableParagraph"/>
              <w:spacing w:before="37"/>
              <w:ind w:right="2"/>
              <w:jc w:val="right"/>
              <w:rPr>
                <w:sz w:val="16"/>
              </w:rPr>
            </w:pPr>
            <w:r>
              <w:rPr>
                <w:sz w:val="16"/>
              </w:rPr>
              <w:t>152.7</w:t>
            </w:r>
          </w:p>
        </w:tc>
        <w:tc>
          <w:tcPr>
            <w:tcW w:w="1224" w:type="dxa"/>
            <w:tcBorders>
              <w:top w:val="nil"/>
            </w:tcBorders>
          </w:tcPr>
          <w:p>
            <w:pPr>
              <w:pStyle w:val="TableParagraph"/>
              <w:spacing w:before="37"/>
              <w:ind w:right="1"/>
              <w:jc w:val="right"/>
              <w:rPr>
                <w:sz w:val="16"/>
              </w:rPr>
            </w:pPr>
            <w:r>
              <w:rPr>
                <w:sz w:val="16"/>
              </w:rPr>
              <w:t>178.9</w:t>
            </w:r>
          </w:p>
        </w:tc>
        <w:tc>
          <w:tcPr>
            <w:tcW w:w="1011" w:type="dxa"/>
            <w:tcBorders>
              <w:top w:val="nil"/>
            </w:tcBorders>
          </w:tcPr>
          <w:p>
            <w:pPr>
              <w:pStyle w:val="TableParagraph"/>
              <w:spacing w:before="37"/>
              <w:ind w:right="1"/>
              <w:jc w:val="right"/>
              <w:rPr>
                <w:sz w:val="16"/>
              </w:rPr>
            </w:pPr>
            <w:r>
              <w:rPr>
                <w:sz w:val="16"/>
              </w:rPr>
              <w:t>26.3</w:t>
            </w:r>
          </w:p>
        </w:tc>
        <w:tc>
          <w:tcPr>
            <w:tcW w:w="1006" w:type="dxa"/>
            <w:tcBorders>
              <w:top w:val="nil"/>
              <w:right w:val="single" w:sz="12" w:space="0" w:color="000000"/>
            </w:tcBorders>
          </w:tcPr>
          <w:p>
            <w:pPr>
              <w:pStyle w:val="TableParagraph"/>
              <w:spacing w:before="37"/>
              <w:ind w:right="1"/>
              <w:jc w:val="right"/>
              <w:rPr>
                <w:sz w:val="16"/>
              </w:rPr>
            </w:pPr>
            <w:r>
              <w:rPr>
                <w:sz w:val="16"/>
              </w:rPr>
              <w:t>17.2%</w:t>
            </w:r>
          </w:p>
        </w:tc>
      </w:tr>
      <w:tr>
        <w:trPr>
          <w:trHeight w:val="357" w:hRule="atLeast"/>
        </w:trPr>
        <w:tc>
          <w:tcPr>
            <w:tcW w:w="4120" w:type="dxa"/>
            <w:tcBorders>
              <w:left w:val="single" w:sz="12" w:space="0" w:color="000000"/>
              <w:right w:val="single" w:sz="12" w:space="0" w:color="000000"/>
            </w:tcBorders>
            <w:shd w:val="clear" w:color="auto" w:fill="B4C5E7"/>
          </w:tcPr>
          <w:p>
            <w:pPr>
              <w:pStyle w:val="TableParagraph"/>
              <w:spacing w:before="93"/>
              <w:ind w:left="27"/>
              <w:rPr>
                <w:b/>
                <w:sz w:val="16"/>
              </w:rPr>
            </w:pPr>
            <w:r>
              <w:rPr>
                <w:b/>
                <w:sz w:val="16"/>
              </w:rPr>
              <w:t>Ministerio de Agricultura, Ganadería y Alimentación</w:t>
            </w:r>
          </w:p>
        </w:tc>
        <w:tc>
          <w:tcPr>
            <w:tcW w:w="1230" w:type="dxa"/>
            <w:tcBorders>
              <w:left w:val="single" w:sz="12" w:space="0" w:color="000000"/>
            </w:tcBorders>
            <w:shd w:val="clear" w:color="auto" w:fill="B4C5E7"/>
          </w:tcPr>
          <w:p>
            <w:pPr>
              <w:pStyle w:val="TableParagraph"/>
              <w:spacing w:before="93"/>
              <w:ind w:right="13"/>
              <w:jc w:val="right"/>
              <w:rPr>
                <w:b/>
                <w:sz w:val="16"/>
              </w:rPr>
            </w:pPr>
            <w:r>
              <w:rPr>
                <w:b/>
                <w:sz w:val="16"/>
              </w:rPr>
              <w:t>1,122.4</w:t>
            </w:r>
          </w:p>
        </w:tc>
        <w:tc>
          <w:tcPr>
            <w:tcW w:w="1224" w:type="dxa"/>
            <w:shd w:val="clear" w:color="auto" w:fill="B4C5E7"/>
          </w:tcPr>
          <w:p>
            <w:pPr>
              <w:pStyle w:val="TableParagraph"/>
              <w:spacing w:before="93"/>
              <w:ind w:right="13"/>
              <w:jc w:val="right"/>
              <w:rPr>
                <w:b/>
                <w:sz w:val="16"/>
              </w:rPr>
            </w:pPr>
            <w:r>
              <w:rPr>
                <w:b/>
                <w:sz w:val="16"/>
              </w:rPr>
              <w:t>1,123.9</w:t>
            </w:r>
          </w:p>
        </w:tc>
        <w:tc>
          <w:tcPr>
            <w:tcW w:w="1011" w:type="dxa"/>
            <w:shd w:val="clear" w:color="auto" w:fill="B4C5E7"/>
          </w:tcPr>
          <w:p>
            <w:pPr>
              <w:pStyle w:val="TableParagraph"/>
              <w:spacing w:before="93"/>
              <w:ind w:right="12"/>
              <w:jc w:val="right"/>
              <w:rPr>
                <w:b/>
                <w:sz w:val="16"/>
              </w:rPr>
            </w:pPr>
            <w:r>
              <w:rPr>
                <w:b/>
                <w:sz w:val="16"/>
              </w:rPr>
              <w:t>1.5</w:t>
            </w:r>
          </w:p>
        </w:tc>
        <w:tc>
          <w:tcPr>
            <w:tcW w:w="1006" w:type="dxa"/>
            <w:tcBorders>
              <w:right w:val="single" w:sz="12" w:space="0" w:color="000000"/>
            </w:tcBorders>
            <w:shd w:val="clear" w:color="auto" w:fill="B4C5E7"/>
          </w:tcPr>
          <w:p>
            <w:pPr>
              <w:pStyle w:val="TableParagraph"/>
              <w:spacing w:before="93"/>
              <w:ind w:right="-15"/>
              <w:jc w:val="right"/>
              <w:rPr>
                <w:b/>
                <w:sz w:val="16"/>
              </w:rPr>
            </w:pPr>
            <w:r>
              <w:rPr>
                <w:b/>
                <w:w w:val="95"/>
                <w:sz w:val="16"/>
              </w:rPr>
              <w:t>0.1%</w:t>
            </w:r>
          </w:p>
        </w:tc>
      </w:tr>
      <w:tr>
        <w:trPr>
          <w:trHeight w:val="1343" w:hRule="atLeast"/>
        </w:trPr>
        <w:tc>
          <w:tcPr>
            <w:tcW w:w="4120" w:type="dxa"/>
            <w:tcBorders>
              <w:left w:val="single" w:sz="12" w:space="0" w:color="000000"/>
              <w:bottom w:val="nil"/>
              <w:right w:val="single" w:sz="12" w:space="0" w:color="000000"/>
            </w:tcBorders>
          </w:tcPr>
          <w:p>
            <w:pPr>
              <w:pStyle w:val="TableParagraph"/>
              <w:spacing w:before="29"/>
              <w:ind w:left="27"/>
              <w:rPr>
                <w:sz w:val="16"/>
              </w:rPr>
            </w:pPr>
            <w:r>
              <w:rPr>
                <w:sz w:val="16"/>
              </w:rPr>
              <w:t>Apoyo a la Agricultura Familiar</w:t>
            </w:r>
          </w:p>
          <w:p>
            <w:pPr>
              <w:pStyle w:val="TableParagraph"/>
              <w:spacing w:before="50"/>
              <w:ind w:left="27"/>
              <w:rPr>
                <w:sz w:val="16"/>
              </w:rPr>
            </w:pPr>
            <w:r>
              <w:rPr>
                <w:sz w:val="16"/>
              </w:rPr>
              <w:t>Desarrollo Sostenible de los Recursos Naturales</w:t>
            </w:r>
          </w:p>
          <w:p>
            <w:pPr>
              <w:pStyle w:val="TableParagraph"/>
              <w:spacing w:line="278" w:lineRule="auto" w:before="29"/>
              <w:ind w:left="27"/>
              <w:rPr>
                <w:sz w:val="16"/>
              </w:rPr>
            </w:pPr>
            <w:r>
              <w:rPr>
                <w:spacing w:val="-4"/>
                <w:sz w:val="16"/>
              </w:rPr>
              <w:t>Apoyo </w:t>
            </w:r>
            <w:r>
              <w:rPr>
                <w:sz w:val="16"/>
              </w:rPr>
              <w:t>a </w:t>
            </w:r>
            <w:r>
              <w:rPr>
                <w:spacing w:val="-7"/>
                <w:sz w:val="16"/>
              </w:rPr>
              <w:t>la </w:t>
            </w:r>
            <w:r>
              <w:rPr>
                <w:spacing w:val="-5"/>
                <w:sz w:val="16"/>
              </w:rPr>
              <w:t>productividad </w:t>
            </w:r>
            <w:r>
              <w:rPr>
                <w:sz w:val="16"/>
              </w:rPr>
              <w:t>y </w:t>
            </w:r>
            <w:r>
              <w:rPr>
                <w:spacing w:val="-5"/>
                <w:sz w:val="16"/>
              </w:rPr>
              <w:t>competitividad </w:t>
            </w:r>
            <w:r>
              <w:rPr>
                <w:spacing w:val="-3"/>
                <w:sz w:val="16"/>
              </w:rPr>
              <w:t>agropecuaria </w:t>
            </w:r>
            <w:r>
              <w:rPr>
                <w:sz w:val="16"/>
              </w:rPr>
              <w:t>e </w:t>
            </w:r>
            <w:r>
              <w:rPr>
                <w:spacing w:val="-7"/>
                <w:sz w:val="16"/>
              </w:rPr>
              <w:t>hidrobiológica</w:t>
            </w:r>
          </w:p>
          <w:p>
            <w:pPr>
              <w:pStyle w:val="TableParagraph"/>
              <w:spacing w:line="183" w:lineRule="exact"/>
              <w:ind w:left="27"/>
              <w:rPr>
                <w:sz w:val="16"/>
              </w:rPr>
            </w:pPr>
            <w:r>
              <w:rPr>
                <w:sz w:val="16"/>
              </w:rPr>
              <w:t>Atención por desastres naturales y calamidades públicas</w:t>
            </w:r>
          </w:p>
          <w:p>
            <w:pPr>
              <w:pStyle w:val="TableParagraph"/>
              <w:spacing w:before="29"/>
              <w:ind w:left="27"/>
              <w:rPr>
                <w:sz w:val="16"/>
              </w:rPr>
            </w:pPr>
            <w:r>
              <w:rPr>
                <w:sz w:val="16"/>
              </w:rPr>
              <w:t>(Intervenciones para la atención de la emergencia COVID-19)</w:t>
            </w:r>
          </w:p>
        </w:tc>
        <w:tc>
          <w:tcPr>
            <w:tcW w:w="1230" w:type="dxa"/>
            <w:tcBorders>
              <w:left w:val="single" w:sz="12" w:space="0" w:color="000000"/>
              <w:bottom w:val="nil"/>
            </w:tcBorders>
          </w:tcPr>
          <w:p>
            <w:pPr>
              <w:pStyle w:val="TableParagraph"/>
              <w:spacing w:before="29"/>
              <w:ind w:left="857"/>
              <w:rPr>
                <w:sz w:val="16"/>
              </w:rPr>
            </w:pPr>
            <w:r>
              <w:rPr>
                <w:spacing w:val="-4"/>
                <w:sz w:val="16"/>
              </w:rPr>
              <w:t>332.4</w:t>
            </w:r>
          </w:p>
          <w:p>
            <w:pPr>
              <w:pStyle w:val="TableParagraph"/>
              <w:spacing w:before="50"/>
              <w:ind w:left="932"/>
              <w:rPr>
                <w:sz w:val="16"/>
              </w:rPr>
            </w:pPr>
            <w:r>
              <w:rPr>
                <w:spacing w:val="-3"/>
                <w:sz w:val="16"/>
              </w:rPr>
              <w:t>30.5</w:t>
            </w:r>
          </w:p>
          <w:p>
            <w:pPr>
              <w:pStyle w:val="TableParagraph"/>
              <w:spacing w:before="136"/>
              <w:ind w:left="857"/>
              <w:rPr>
                <w:sz w:val="16"/>
              </w:rPr>
            </w:pPr>
            <w:r>
              <w:rPr>
                <w:spacing w:val="-4"/>
                <w:sz w:val="16"/>
              </w:rPr>
              <w:t>126.5</w:t>
            </w:r>
          </w:p>
          <w:p>
            <w:pPr>
              <w:pStyle w:val="TableParagraph"/>
              <w:rPr>
                <w:sz w:val="21"/>
              </w:rPr>
            </w:pPr>
          </w:p>
          <w:p>
            <w:pPr>
              <w:pStyle w:val="TableParagraph"/>
              <w:ind w:left="857"/>
              <w:rPr>
                <w:sz w:val="16"/>
              </w:rPr>
            </w:pPr>
            <w:r>
              <w:rPr>
                <w:spacing w:val="-4"/>
                <w:sz w:val="16"/>
              </w:rPr>
              <w:t>254.7</w:t>
            </w:r>
          </w:p>
        </w:tc>
        <w:tc>
          <w:tcPr>
            <w:tcW w:w="1224" w:type="dxa"/>
            <w:tcBorders>
              <w:bottom w:val="nil"/>
            </w:tcBorders>
          </w:tcPr>
          <w:p>
            <w:pPr>
              <w:pStyle w:val="TableParagraph"/>
              <w:spacing w:before="29"/>
              <w:ind w:left="859"/>
              <w:rPr>
                <w:sz w:val="16"/>
              </w:rPr>
            </w:pPr>
            <w:r>
              <w:rPr>
                <w:spacing w:val="-4"/>
                <w:sz w:val="16"/>
              </w:rPr>
              <w:t>433.5</w:t>
            </w:r>
          </w:p>
          <w:p>
            <w:pPr>
              <w:pStyle w:val="TableParagraph"/>
              <w:spacing w:before="50"/>
              <w:ind w:left="934"/>
              <w:rPr>
                <w:sz w:val="16"/>
              </w:rPr>
            </w:pPr>
            <w:r>
              <w:rPr>
                <w:spacing w:val="-3"/>
                <w:sz w:val="16"/>
              </w:rPr>
              <w:t>37.6</w:t>
            </w:r>
          </w:p>
          <w:p>
            <w:pPr>
              <w:pStyle w:val="TableParagraph"/>
              <w:spacing w:before="136"/>
              <w:ind w:left="859"/>
              <w:rPr>
                <w:sz w:val="16"/>
              </w:rPr>
            </w:pPr>
            <w:r>
              <w:rPr>
                <w:spacing w:val="-4"/>
                <w:sz w:val="16"/>
              </w:rPr>
              <w:t>161.8</w:t>
            </w:r>
          </w:p>
          <w:p>
            <w:pPr>
              <w:pStyle w:val="TableParagraph"/>
              <w:rPr>
                <w:sz w:val="21"/>
              </w:rPr>
            </w:pPr>
          </w:p>
          <w:p>
            <w:pPr>
              <w:pStyle w:val="TableParagraph"/>
              <w:ind w:left="859"/>
              <w:rPr>
                <w:sz w:val="16"/>
              </w:rPr>
            </w:pPr>
            <w:r>
              <w:rPr>
                <w:spacing w:val="-4"/>
                <w:sz w:val="16"/>
              </w:rPr>
              <w:t>113.3</w:t>
            </w:r>
          </w:p>
        </w:tc>
        <w:tc>
          <w:tcPr>
            <w:tcW w:w="1011" w:type="dxa"/>
            <w:tcBorders>
              <w:bottom w:val="nil"/>
            </w:tcBorders>
          </w:tcPr>
          <w:p>
            <w:pPr>
              <w:pStyle w:val="TableParagraph"/>
              <w:spacing w:before="29"/>
              <w:ind w:right="1"/>
              <w:jc w:val="right"/>
              <w:rPr>
                <w:sz w:val="16"/>
              </w:rPr>
            </w:pPr>
            <w:r>
              <w:rPr>
                <w:spacing w:val="-4"/>
                <w:sz w:val="16"/>
              </w:rPr>
              <w:t>101.1</w:t>
            </w:r>
          </w:p>
          <w:p>
            <w:pPr>
              <w:pStyle w:val="TableParagraph"/>
              <w:spacing w:before="50"/>
              <w:ind w:right="1"/>
              <w:jc w:val="right"/>
              <w:rPr>
                <w:sz w:val="16"/>
              </w:rPr>
            </w:pPr>
            <w:r>
              <w:rPr>
                <w:spacing w:val="-2"/>
                <w:sz w:val="16"/>
              </w:rPr>
              <w:t>7.1</w:t>
            </w:r>
          </w:p>
          <w:p>
            <w:pPr>
              <w:pStyle w:val="TableParagraph"/>
              <w:spacing w:before="136"/>
              <w:ind w:right="1"/>
              <w:jc w:val="right"/>
              <w:rPr>
                <w:sz w:val="16"/>
              </w:rPr>
            </w:pPr>
            <w:r>
              <w:rPr>
                <w:spacing w:val="-3"/>
                <w:sz w:val="16"/>
              </w:rPr>
              <w:t>35.3</w:t>
            </w:r>
          </w:p>
          <w:p>
            <w:pPr>
              <w:pStyle w:val="TableParagraph"/>
              <w:rPr>
                <w:sz w:val="21"/>
              </w:rPr>
            </w:pPr>
          </w:p>
          <w:p>
            <w:pPr>
              <w:pStyle w:val="TableParagraph"/>
              <w:ind w:right="1"/>
              <w:jc w:val="right"/>
              <w:rPr>
                <w:sz w:val="16"/>
              </w:rPr>
            </w:pPr>
            <w:r>
              <w:rPr>
                <w:spacing w:val="-3"/>
                <w:sz w:val="16"/>
              </w:rPr>
              <w:t>-141.3</w:t>
            </w:r>
          </w:p>
        </w:tc>
        <w:tc>
          <w:tcPr>
            <w:tcW w:w="1006" w:type="dxa"/>
            <w:tcBorders>
              <w:bottom w:val="nil"/>
              <w:right w:val="single" w:sz="12" w:space="0" w:color="000000"/>
            </w:tcBorders>
          </w:tcPr>
          <w:p>
            <w:pPr>
              <w:pStyle w:val="TableParagraph"/>
              <w:spacing w:before="29"/>
              <w:ind w:left="583"/>
              <w:rPr>
                <w:sz w:val="16"/>
              </w:rPr>
            </w:pPr>
            <w:r>
              <w:rPr>
                <w:spacing w:val="-4"/>
                <w:sz w:val="16"/>
              </w:rPr>
              <w:t>30.4%</w:t>
            </w:r>
          </w:p>
          <w:p>
            <w:pPr>
              <w:pStyle w:val="TableParagraph"/>
              <w:spacing w:before="50"/>
              <w:ind w:left="583"/>
              <w:rPr>
                <w:sz w:val="16"/>
              </w:rPr>
            </w:pPr>
            <w:r>
              <w:rPr>
                <w:spacing w:val="-4"/>
                <w:sz w:val="16"/>
              </w:rPr>
              <w:t>23.3%</w:t>
            </w:r>
          </w:p>
          <w:p>
            <w:pPr>
              <w:pStyle w:val="TableParagraph"/>
              <w:spacing w:before="136"/>
              <w:ind w:left="583"/>
              <w:rPr>
                <w:sz w:val="16"/>
              </w:rPr>
            </w:pPr>
            <w:r>
              <w:rPr>
                <w:spacing w:val="-4"/>
                <w:sz w:val="16"/>
              </w:rPr>
              <w:t>27.9%</w:t>
            </w:r>
          </w:p>
          <w:p>
            <w:pPr>
              <w:pStyle w:val="TableParagraph"/>
              <w:rPr>
                <w:sz w:val="21"/>
              </w:rPr>
            </w:pPr>
          </w:p>
          <w:p>
            <w:pPr>
              <w:pStyle w:val="TableParagraph"/>
              <w:ind w:right="-15"/>
              <w:jc w:val="right"/>
              <w:rPr>
                <w:sz w:val="16"/>
              </w:rPr>
            </w:pPr>
            <w:r>
              <w:rPr>
                <w:w w:val="99"/>
                <w:sz w:val="16"/>
              </w:rPr>
              <w:t>-</w:t>
            </w:r>
          </w:p>
        </w:tc>
      </w:tr>
      <w:tr>
        <w:trPr>
          <w:trHeight w:val="280" w:hRule="atLeast"/>
        </w:trPr>
        <w:tc>
          <w:tcPr>
            <w:tcW w:w="4120" w:type="dxa"/>
            <w:tcBorders>
              <w:top w:val="nil"/>
              <w:left w:val="single" w:sz="12" w:space="0" w:color="000000"/>
              <w:right w:val="single" w:sz="12" w:space="0" w:color="000000"/>
            </w:tcBorders>
          </w:tcPr>
          <w:p>
            <w:pPr>
              <w:pStyle w:val="TableParagraph"/>
              <w:spacing w:before="37"/>
              <w:ind w:left="27"/>
              <w:rPr>
                <w:sz w:val="16"/>
              </w:rPr>
            </w:pPr>
            <w:r>
              <w:rPr>
                <w:sz w:val="16"/>
              </w:rPr>
              <w:t>Otros programas</w:t>
            </w:r>
          </w:p>
        </w:tc>
        <w:tc>
          <w:tcPr>
            <w:tcW w:w="1230" w:type="dxa"/>
            <w:tcBorders>
              <w:top w:val="nil"/>
              <w:left w:val="single" w:sz="12" w:space="0" w:color="000000"/>
            </w:tcBorders>
          </w:tcPr>
          <w:p>
            <w:pPr>
              <w:pStyle w:val="TableParagraph"/>
              <w:spacing w:before="37"/>
              <w:ind w:right="2"/>
              <w:jc w:val="right"/>
              <w:rPr>
                <w:sz w:val="16"/>
              </w:rPr>
            </w:pPr>
            <w:r>
              <w:rPr>
                <w:sz w:val="16"/>
              </w:rPr>
              <w:t>377.2</w:t>
            </w:r>
          </w:p>
        </w:tc>
        <w:tc>
          <w:tcPr>
            <w:tcW w:w="1224" w:type="dxa"/>
            <w:tcBorders>
              <w:top w:val="nil"/>
            </w:tcBorders>
          </w:tcPr>
          <w:p>
            <w:pPr>
              <w:pStyle w:val="TableParagraph"/>
              <w:spacing w:before="37"/>
              <w:ind w:right="1"/>
              <w:jc w:val="right"/>
              <w:rPr>
                <w:sz w:val="16"/>
              </w:rPr>
            </w:pPr>
            <w:r>
              <w:rPr>
                <w:sz w:val="16"/>
              </w:rPr>
              <w:t>377.7</w:t>
            </w:r>
          </w:p>
        </w:tc>
        <w:tc>
          <w:tcPr>
            <w:tcW w:w="1011" w:type="dxa"/>
            <w:tcBorders>
              <w:top w:val="nil"/>
            </w:tcBorders>
          </w:tcPr>
          <w:p>
            <w:pPr>
              <w:pStyle w:val="TableParagraph"/>
              <w:spacing w:before="37"/>
              <w:ind w:right="1"/>
              <w:jc w:val="right"/>
              <w:rPr>
                <w:sz w:val="16"/>
              </w:rPr>
            </w:pPr>
            <w:r>
              <w:rPr>
                <w:sz w:val="16"/>
              </w:rPr>
              <w:t>0.5</w:t>
            </w:r>
          </w:p>
        </w:tc>
        <w:tc>
          <w:tcPr>
            <w:tcW w:w="1006" w:type="dxa"/>
            <w:tcBorders>
              <w:top w:val="nil"/>
              <w:right w:val="single" w:sz="12" w:space="0" w:color="000000"/>
            </w:tcBorders>
          </w:tcPr>
          <w:p>
            <w:pPr>
              <w:pStyle w:val="TableParagraph"/>
              <w:spacing w:before="37"/>
              <w:ind w:right="1"/>
              <w:jc w:val="right"/>
              <w:rPr>
                <w:sz w:val="16"/>
              </w:rPr>
            </w:pPr>
            <w:r>
              <w:rPr>
                <w:sz w:val="16"/>
              </w:rPr>
              <w:t>0.1%</w:t>
            </w:r>
          </w:p>
        </w:tc>
      </w:tr>
      <w:tr>
        <w:trPr>
          <w:trHeight w:val="336" w:hRule="atLeast"/>
        </w:trPr>
        <w:tc>
          <w:tcPr>
            <w:tcW w:w="4120" w:type="dxa"/>
            <w:tcBorders>
              <w:left w:val="single" w:sz="12" w:space="0" w:color="000000"/>
              <w:right w:val="single" w:sz="12" w:space="0" w:color="000000"/>
            </w:tcBorders>
            <w:shd w:val="clear" w:color="auto" w:fill="B4C5E7"/>
          </w:tcPr>
          <w:p>
            <w:pPr>
              <w:pStyle w:val="TableParagraph"/>
              <w:spacing w:before="82"/>
              <w:ind w:left="27"/>
              <w:rPr>
                <w:b/>
                <w:sz w:val="16"/>
              </w:rPr>
            </w:pPr>
            <w:r>
              <w:rPr>
                <w:b/>
                <w:sz w:val="16"/>
              </w:rPr>
              <w:t>Ministerio de Desarrollo Social</w:t>
            </w:r>
          </w:p>
        </w:tc>
        <w:tc>
          <w:tcPr>
            <w:tcW w:w="1230" w:type="dxa"/>
            <w:tcBorders>
              <w:left w:val="single" w:sz="12" w:space="0" w:color="000000"/>
            </w:tcBorders>
            <w:shd w:val="clear" w:color="auto" w:fill="B4C5E7"/>
          </w:tcPr>
          <w:p>
            <w:pPr>
              <w:pStyle w:val="TableParagraph"/>
              <w:spacing w:before="82"/>
              <w:ind w:right="13"/>
              <w:jc w:val="right"/>
              <w:rPr>
                <w:b/>
                <w:sz w:val="16"/>
              </w:rPr>
            </w:pPr>
            <w:r>
              <w:rPr>
                <w:b/>
                <w:sz w:val="16"/>
              </w:rPr>
              <w:t>7,082.8</w:t>
            </w:r>
          </w:p>
        </w:tc>
        <w:tc>
          <w:tcPr>
            <w:tcW w:w="1224" w:type="dxa"/>
            <w:shd w:val="clear" w:color="auto" w:fill="B4C5E7"/>
          </w:tcPr>
          <w:p>
            <w:pPr>
              <w:pStyle w:val="TableParagraph"/>
              <w:spacing w:before="82"/>
              <w:ind w:right="13"/>
              <w:jc w:val="right"/>
              <w:rPr>
                <w:b/>
                <w:sz w:val="16"/>
              </w:rPr>
            </w:pPr>
            <w:r>
              <w:rPr>
                <w:b/>
                <w:sz w:val="16"/>
              </w:rPr>
              <w:t>1,057.3</w:t>
            </w:r>
          </w:p>
        </w:tc>
        <w:tc>
          <w:tcPr>
            <w:tcW w:w="1011" w:type="dxa"/>
            <w:shd w:val="clear" w:color="auto" w:fill="B4C5E7"/>
          </w:tcPr>
          <w:p>
            <w:pPr>
              <w:pStyle w:val="TableParagraph"/>
              <w:spacing w:before="82"/>
              <w:ind w:right="13"/>
              <w:jc w:val="right"/>
              <w:rPr>
                <w:b/>
                <w:sz w:val="16"/>
              </w:rPr>
            </w:pPr>
            <w:r>
              <w:rPr>
                <w:b/>
                <w:w w:val="95"/>
                <w:sz w:val="16"/>
              </w:rPr>
              <w:t>-6,025.5</w:t>
            </w:r>
          </w:p>
        </w:tc>
        <w:tc>
          <w:tcPr>
            <w:tcW w:w="1006" w:type="dxa"/>
            <w:tcBorders>
              <w:right w:val="single" w:sz="12" w:space="0" w:color="000000"/>
            </w:tcBorders>
            <w:shd w:val="clear" w:color="auto" w:fill="B4C5E7"/>
          </w:tcPr>
          <w:p>
            <w:pPr>
              <w:pStyle w:val="TableParagraph"/>
              <w:spacing w:before="82"/>
              <w:ind w:right="-15"/>
              <w:jc w:val="right"/>
              <w:rPr>
                <w:b/>
                <w:sz w:val="16"/>
              </w:rPr>
            </w:pPr>
            <w:r>
              <w:rPr>
                <w:b/>
                <w:sz w:val="16"/>
              </w:rPr>
              <w:t>-85.1%</w:t>
            </w:r>
          </w:p>
        </w:tc>
      </w:tr>
      <w:tr>
        <w:trPr>
          <w:trHeight w:val="268" w:hRule="atLeast"/>
        </w:trPr>
        <w:tc>
          <w:tcPr>
            <w:tcW w:w="4120" w:type="dxa"/>
            <w:tcBorders>
              <w:left w:val="single" w:sz="12" w:space="0" w:color="000000"/>
              <w:bottom w:val="nil"/>
              <w:right w:val="single" w:sz="12" w:space="0" w:color="000000"/>
            </w:tcBorders>
          </w:tcPr>
          <w:p>
            <w:pPr>
              <w:pStyle w:val="TableParagraph"/>
              <w:spacing w:before="29"/>
              <w:ind w:left="27"/>
              <w:rPr>
                <w:sz w:val="16"/>
              </w:rPr>
            </w:pPr>
            <w:r>
              <w:rPr>
                <w:sz w:val="16"/>
              </w:rPr>
              <w:t>Apoyo para el consumo adecuado de alimentos</w:t>
            </w:r>
          </w:p>
        </w:tc>
        <w:tc>
          <w:tcPr>
            <w:tcW w:w="1230" w:type="dxa"/>
            <w:tcBorders>
              <w:left w:val="single" w:sz="12" w:space="0" w:color="000000"/>
              <w:bottom w:val="nil"/>
            </w:tcBorders>
          </w:tcPr>
          <w:p>
            <w:pPr>
              <w:pStyle w:val="TableParagraph"/>
              <w:spacing w:before="29"/>
              <w:ind w:right="1"/>
              <w:jc w:val="right"/>
              <w:rPr>
                <w:sz w:val="16"/>
              </w:rPr>
            </w:pPr>
            <w:r>
              <w:rPr>
                <w:sz w:val="16"/>
              </w:rPr>
              <w:t>86.0</w:t>
            </w:r>
          </w:p>
        </w:tc>
        <w:tc>
          <w:tcPr>
            <w:tcW w:w="1224" w:type="dxa"/>
            <w:tcBorders>
              <w:bottom w:val="nil"/>
            </w:tcBorders>
          </w:tcPr>
          <w:p>
            <w:pPr>
              <w:pStyle w:val="TableParagraph"/>
              <w:spacing w:before="29"/>
              <w:ind w:right="1"/>
              <w:jc w:val="right"/>
              <w:rPr>
                <w:sz w:val="16"/>
              </w:rPr>
            </w:pPr>
            <w:r>
              <w:rPr>
                <w:sz w:val="16"/>
              </w:rPr>
              <w:t>172.8</w:t>
            </w:r>
          </w:p>
        </w:tc>
        <w:tc>
          <w:tcPr>
            <w:tcW w:w="1011" w:type="dxa"/>
            <w:tcBorders>
              <w:bottom w:val="nil"/>
            </w:tcBorders>
          </w:tcPr>
          <w:p>
            <w:pPr>
              <w:pStyle w:val="TableParagraph"/>
              <w:spacing w:before="29"/>
              <w:ind w:right="1"/>
              <w:jc w:val="right"/>
              <w:rPr>
                <w:sz w:val="16"/>
              </w:rPr>
            </w:pPr>
            <w:r>
              <w:rPr>
                <w:sz w:val="16"/>
              </w:rPr>
              <w:t>86.8</w:t>
            </w:r>
          </w:p>
        </w:tc>
        <w:tc>
          <w:tcPr>
            <w:tcW w:w="1006" w:type="dxa"/>
            <w:tcBorders>
              <w:bottom w:val="nil"/>
              <w:right w:val="single" w:sz="12" w:space="0" w:color="000000"/>
            </w:tcBorders>
          </w:tcPr>
          <w:p>
            <w:pPr>
              <w:pStyle w:val="TableParagraph"/>
              <w:spacing w:before="29"/>
              <w:ind w:right="1"/>
              <w:jc w:val="right"/>
              <w:rPr>
                <w:sz w:val="16"/>
              </w:rPr>
            </w:pPr>
            <w:r>
              <w:rPr>
                <w:sz w:val="16"/>
              </w:rPr>
              <w:t>100.9%</w:t>
            </w:r>
          </w:p>
        </w:tc>
      </w:tr>
      <w:tr>
        <w:trPr>
          <w:trHeight w:val="298" w:hRule="atLeast"/>
        </w:trPr>
        <w:tc>
          <w:tcPr>
            <w:tcW w:w="4120" w:type="dxa"/>
            <w:tcBorders>
              <w:top w:val="nil"/>
              <w:left w:val="single" w:sz="12" w:space="0" w:color="000000"/>
              <w:bottom w:val="nil"/>
              <w:right w:val="single" w:sz="12" w:space="0" w:color="000000"/>
            </w:tcBorders>
          </w:tcPr>
          <w:p>
            <w:pPr>
              <w:pStyle w:val="TableParagraph"/>
              <w:spacing w:before="48"/>
              <w:ind w:left="27"/>
              <w:rPr>
                <w:sz w:val="16"/>
              </w:rPr>
            </w:pPr>
            <w:r>
              <w:rPr>
                <w:sz w:val="16"/>
              </w:rPr>
              <w:t>Dotaciones, servicios e infraestructura para el desarrollo social</w:t>
            </w:r>
          </w:p>
        </w:tc>
        <w:tc>
          <w:tcPr>
            <w:tcW w:w="1230" w:type="dxa"/>
            <w:tcBorders>
              <w:top w:val="nil"/>
              <w:left w:val="single" w:sz="12" w:space="0" w:color="000000"/>
              <w:bottom w:val="nil"/>
            </w:tcBorders>
          </w:tcPr>
          <w:p>
            <w:pPr>
              <w:pStyle w:val="TableParagraph"/>
              <w:spacing w:before="48"/>
              <w:ind w:right="1"/>
              <w:jc w:val="right"/>
              <w:rPr>
                <w:sz w:val="16"/>
              </w:rPr>
            </w:pPr>
            <w:r>
              <w:rPr>
                <w:sz w:val="16"/>
              </w:rPr>
              <w:t>86.0</w:t>
            </w:r>
          </w:p>
        </w:tc>
        <w:tc>
          <w:tcPr>
            <w:tcW w:w="1224" w:type="dxa"/>
            <w:tcBorders>
              <w:top w:val="nil"/>
              <w:bottom w:val="nil"/>
            </w:tcBorders>
          </w:tcPr>
          <w:p>
            <w:pPr>
              <w:pStyle w:val="TableParagraph"/>
              <w:spacing w:before="48"/>
              <w:ind w:right="1"/>
              <w:jc w:val="right"/>
              <w:rPr>
                <w:sz w:val="16"/>
              </w:rPr>
            </w:pPr>
            <w:r>
              <w:rPr>
                <w:sz w:val="16"/>
              </w:rPr>
              <w:t>195.3</w:t>
            </w:r>
          </w:p>
        </w:tc>
        <w:tc>
          <w:tcPr>
            <w:tcW w:w="1011" w:type="dxa"/>
            <w:tcBorders>
              <w:top w:val="nil"/>
              <w:bottom w:val="nil"/>
            </w:tcBorders>
          </w:tcPr>
          <w:p>
            <w:pPr>
              <w:pStyle w:val="TableParagraph"/>
              <w:spacing w:before="48"/>
              <w:ind w:right="1"/>
              <w:jc w:val="right"/>
              <w:rPr>
                <w:sz w:val="16"/>
              </w:rPr>
            </w:pPr>
            <w:r>
              <w:rPr>
                <w:sz w:val="16"/>
              </w:rPr>
              <w:t>109.2</w:t>
            </w:r>
          </w:p>
        </w:tc>
        <w:tc>
          <w:tcPr>
            <w:tcW w:w="1006" w:type="dxa"/>
            <w:tcBorders>
              <w:top w:val="nil"/>
              <w:bottom w:val="nil"/>
              <w:right w:val="single" w:sz="12" w:space="0" w:color="000000"/>
            </w:tcBorders>
          </w:tcPr>
          <w:p>
            <w:pPr>
              <w:pStyle w:val="TableParagraph"/>
              <w:spacing w:before="48"/>
              <w:ind w:right="1"/>
              <w:jc w:val="right"/>
              <w:rPr>
                <w:sz w:val="16"/>
              </w:rPr>
            </w:pPr>
            <w:r>
              <w:rPr>
                <w:sz w:val="16"/>
              </w:rPr>
              <w:t>127.0%</w:t>
            </w:r>
          </w:p>
        </w:tc>
      </w:tr>
      <w:tr>
        <w:trPr>
          <w:trHeight w:val="287" w:hRule="atLeast"/>
        </w:trPr>
        <w:tc>
          <w:tcPr>
            <w:tcW w:w="4120" w:type="dxa"/>
            <w:tcBorders>
              <w:top w:val="nil"/>
              <w:left w:val="single" w:sz="12" w:space="0" w:color="000000"/>
              <w:bottom w:val="nil"/>
              <w:right w:val="single" w:sz="12" w:space="0" w:color="000000"/>
            </w:tcBorders>
          </w:tcPr>
          <w:p>
            <w:pPr>
              <w:pStyle w:val="TableParagraph"/>
              <w:spacing w:before="59"/>
              <w:ind w:left="27"/>
              <w:rPr>
                <w:sz w:val="16"/>
              </w:rPr>
            </w:pPr>
            <w:r>
              <w:rPr>
                <w:sz w:val="16"/>
              </w:rPr>
              <w:t>Transferencias monetarias en salud y educación</w:t>
            </w:r>
          </w:p>
        </w:tc>
        <w:tc>
          <w:tcPr>
            <w:tcW w:w="1230" w:type="dxa"/>
            <w:tcBorders>
              <w:top w:val="nil"/>
              <w:left w:val="single" w:sz="12" w:space="0" w:color="000000"/>
              <w:bottom w:val="nil"/>
            </w:tcBorders>
          </w:tcPr>
          <w:p>
            <w:pPr>
              <w:pStyle w:val="TableParagraph"/>
              <w:spacing w:before="59"/>
              <w:ind w:right="2"/>
              <w:jc w:val="right"/>
              <w:rPr>
                <w:sz w:val="16"/>
              </w:rPr>
            </w:pPr>
            <w:r>
              <w:rPr>
                <w:sz w:val="16"/>
              </w:rPr>
              <w:t>384.4</w:t>
            </w:r>
          </w:p>
        </w:tc>
        <w:tc>
          <w:tcPr>
            <w:tcW w:w="1224" w:type="dxa"/>
            <w:tcBorders>
              <w:top w:val="nil"/>
              <w:bottom w:val="nil"/>
            </w:tcBorders>
          </w:tcPr>
          <w:p>
            <w:pPr>
              <w:pStyle w:val="TableParagraph"/>
              <w:spacing w:before="59"/>
              <w:ind w:right="1"/>
              <w:jc w:val="right"/>
              <w:rPr>
                <w:sz w:val="16"/>
              </w:rPr>
            </w:pPr>
            <w:r>
              <w:rPr>
                <w:sz w:val="16"/>
              </w:rPr>
              <w:t>349.6</w:t>
            </w:r>
          </w:p>
        </w:tc>
        <w:tc>
          <w:tcPr>
            <w:tcW w:w="1011" w:type="dxa"/>
            <w:tcBorders>
              <w:top w:val="nil"/>
              <w:bottom w:val="nil"/>
            </w:tcBorders>
          </w:tcPr>
          <w:p>
            <w:pPr>
              <w:pStyle w:val="TableParagraph"/>
              <w:spacing w:before="59"/>
              <w:ind w:right="1"/>
              <w:jc w:val="right"/>
              <w:rPr>
                <w:sz w:val="16"/>
              </w:rPr>
            </w:pPr>
            <w:r>
              <w:rPr>
                <w:w w:val="95"/>
                <w:sz w:val="16"/>
              </w:rPr>
              <w:t>-34.9</w:t>
            </w:r>
          </w:p>
        </w:tc>
        <w:tc>
          <w:tcPr>
            <w:tcW w:w="1006" w:type="dxa"/>
            <w:tcBorders>
              <w:top w:val="nil"/>
              <w:bottom w:val="nil"/>
              <w:right w:val="single" w:sz="12" w:space="0" w:color="000000"/>
            </w:tcBorders>
          </w:tcPr>
          <w:p>
            <w:pPr>
              <w:pStyle w:val="TableParagraph"/>
              <w:spacing w:before="59"/>
              <w:ind w:right="1"/>
              <w:jc w:val="right"/>
              <w:rPr>
                <w:sz w:val="16"/>
              </w:rPr>
            </w:pPr>
            <w:r>
              <w:rPr>
                <w:w w:val="95"/>
                <w:sz w:val="16"/>
              </w:rPr>
              <w:t>-9.1%</w:t>
            </w:r>
          </w:p>
        </w:tc>
      </w:tr>
      <w:tr>
        <w:trPr>
          <w:trHeight w:val="473" w:hRule="atLeast"/>
        </w:trPr>
        <w:tc>
          <w:tcPr>
            <w:tcW w:w="4120" w:type="dxa"/>
            <w:tcBorders>
              <w:top w:val="nil"/>
              <w:left w:val="single" w:sz="12" w:space="0" w:color="000000"/>
              <w:bottom w:val="nil"/>
              <w:right w:val="single" w:sz="12" w:space="0" w:color="000000"/>
            </w:tcBorders>
          </w:tcPr>
          <w:p>
            <w:pPr>
              <w:pStyle w:val="TableParagraph"/>
              <w:spacing w:line="210" w:lineRule="atLeast" w:before="11"/>
              <w:ind w:left="27" w:right="58"/>
              <w:rPr>
                <w:sz w:val="16"/>
              </w:rPr>
            </w:pPr>
            <w:r>
              <w:rPr>
                <w:sz w:val="16"/>
              </w:rPr>
              <w:t>Atención por desastres naturales y calamidades públicas (Intervenciones para la atención de la emergencia COVID-19)</w:t>
            </w:r>
          </w:p>
        </w:tc>
        <w:tc>
          <w:tcPr>
            <w:tcW w:w="1230" w:type="dxa"/>
            <w:tcBorders>
              <w:top w:val="nil"/>
              <w:left w:val="single" w:sz="12" w:space="0" w:color="000000"/>
              <w:bottom w:val="nil"/>
            </w:tcBorders>
          </w:tcPr>
          <w:p>
            <w:pPr>
              <w:pStyle w:val="TableParagraph"/>
              <w:spacing w:before="144"/>
              <w:ind w:right="1"/>
              <w:jc w:val="right"/>
              <w:rPr>
                <w:sz w:val="16"/>
              </w:rPr>
            </w:pPr>
            <w:r>
              <w:rPr>
                <w:sz w:val="16"/>
              </w:rPr>
              <w:t>6,412.5</w:t>
            </w:r>
          </w:p>
        </w:tc>
        <w:tc>
          <w:tcPr>
            <w:tcW w:w="1224" w:type="dxa"/>
            <w:tcBorders>
              <w:top w:val="nil"/>
              <w:bottom w:val="nil"/>
            </w:tcBorders>
          </w:tcPr>
          <w:p>
            <w:pPr>
              <w:pStyle w:val="TableParagraph"/>
              <w:spacing w:before="144"/>
              <w:ind w:right="1"/>
              <w:jc w:val="right"/>
              <w:rPr>
                <w:sz w:val="16"/>
              </w:rPr>
            </w:pPr>
            <w:r>
              <w:rPr>
                <w:sz w:val="16"/>
              </w:rPr>
              <w:t>104.7</w:t>
            </w:r>
          </w:p>
        </w:tc>
        <w:tc>
          <w:tcPr>
            <w:tcW w:w="1011" w:type="dxa"/>
            <w:tcBorders>
              <w:top w:val="nil"/>
              <w:bottom w:val="nil"/>
            </w:tcBorders>
          </w:tcPr>
          <w:p>
            <w:pPr>
              <w:pStyle w:val="TableParagraph"/>
              <w:spacing w:before="144"/>
              <w:ind w:right="1"/>
              <w:jc w:val="right"/>
              <w:rPr>
                <w:sz w:val="16"/>
              </w:rPr>
            </w:pPr>
            <w:r>
              <w:rPr>
                <w:sz w:val="16"/>
              </w:rPr>
              <w:t>-6,307.8</w:t>
            </w:r>
          </w:p>
        </w:tc>
        <w:tc>
          <w:tcPr>
            <w:tcW w:w="1006" w:type="dxa"/>
            <w:tcBorders>
              <w:top w:val="nil"/>
              <w:bottom w:val="nil"/>
              <w:right w:val="single" w:sz="12" w:space="0" w:color="000000"/>
            </w:tcBorders>
          </w:tcPr>
          <w:p>
            <w:pPr>
              <w:pStyle w:val="TableParagraph"/>
              <w:spacing w:before="144"/>
              <w:ind w:right="1"/>
              <w:jc w:val="right"/>
              <w:rPr>
                <w:sz w:val="16"/>
              </w:rPr>
            </w:pPr>
            <w:r>
              <w:rPr>
                <w:sz w:val="16"/>
              </w:rPr>
              <w:t>-98.4%</w:t>
            </w:r>
          </w:p>
        </w:tc>
      </w:tr>
      <w:tr>
        <w:trPr>
          <w:trHeight w:val="262" w:hRule="atLeast"/>
        </w:trPr>
        <w:tc>
          <w:tcPr>
            <w:tcW w:w="4120" w:type="dxa"/>
            <w:tcBorders>
              <w:top w:val="nil"/>
              <w:left w:val="single" w:sz="12" w:space="0" w:color="000000"/>
              <w:bottom w:val="single" w:sz="12" w:space="0" w:color="000000"/>
              <w:right w:val="single" w:sz="12" w:space="0" w:color="000000"/>
            </w:tcBorders>
          </w:tcPr>
          <w:p>
            <w:pPr>
              <w:pStyle w:val="TableParagraph"/>
              <w:spacing w:before="32"/>
              <w:ind w:left="27"/>
              <w:rPr>
                <w:sz w:val="16"/>
              </w:rPr>
            </w:pPr>
            <w:r>
              <w:rPr>
                <w:sz w:val="16"/>
              </w:rPr>
              <w:t>Otros programas</w:t>
            </w:r>
          </w:p>
        </w:tc>
        <w:tc>
          <w:tcPr>
            <w:tcW w:w="1230" w:type="dxa"/>
            <w:tcBorders>
              <w:top w:val="nil"/>
              <w:left w:val="single" w:sz="12" w:space="0" w:color="000000"/>
              <w:bottom w:val="single" w:sz="12" w:space="0" w:color="000000"/>
            </w:tcBorders>
          </w:tcPr>
          <w:p>
            <w:pPr>
              <w:pStyle w:val="TableParagraph"/>
              <w:spacing w:before="32"/>
              <w:ind w:right="2"/>
              <w:jc w:val="right"/>
              <w:rPr>
                <w:sz w:val="16"/>
              </w:rPr>
            </w:pPr>
            <w:r>
              <w:rPr>
                <w:sz w:val="16"/>
              </w:rPr>
              <w:t>113.8</w:t>
            </w:r>
          </w:p>
        </w:tc>
        <w:tc>
          <w:tcPr>
            <w:tcW w:w="1224" w:type="dxa"/>
            <w:tcBorders>
              <w:top w:val="nil"/>
              <w:bottom w:val="single" w:sz="12" w:space="0" w:color="000000"/>
            </w:tcBorders>
          </w:tcPr>
          <w:p>
            <w:pPr>
              <w:pStyle w:val="TableParagraph"/>
              <w:spacing w:before="32"/>
              <w:ind w:right="1"/>
              <w:jc w:val="right"/>
              <w:rPr>
                <w:sz w:val="16"/>
              </w:rPr>
            </w:pPr>
            <w:r>
              <w:rPr>
                <w:sz w:val="16"/>
              </w:rPr>
              <w:t>235.0</w:t>
            </w:r>
          </w:p>
        </w:tc>
        <w:tc>
          <w:tcPr>
            <w:tcW w:w="1011" w:type="dxa"/>
            <w:tcBorders>
              <w:top w:val="nil"/>
              <w:bottom w:val="single" w:sz="12" w:space="0" w:color="000000"/>
            </w:tcBorders>
          </w:tcPr>
          <w:p>
            <w:pPr>
              <w:pStyle w:val="TableParagraph"/>
              <w:spacing w:before="32"/>
              <w:ind w:right="1"/>
              <w:jc w:val="right"/>
              <w:rPr>
                <w:sz w:val="16"/>
              </w:rPr>
            </w:pPr>
            <w:r>
              <w:rPr>
                <w:sz w:val="16"/>
              </w:rPr>
              <w:t>121.2</w:t>
            </w:r>
          </w:p>
        </w:tc>
        <w:tc>
          <w:tcPr>
            <w:tcW w:w="1006" w:type="dxa"/>
            <w:tcBorders>
              <w:top w:val="nil"/>
              <w:bottom w:val="single" w:sz="12" w:space="0" w:color="000000"/>
              <w:right w:val="single" w:sz="12" w:space="0" w:color="000000"/>
            </w:tcBorders>
          </w:tcPr>
          <w:p>
            <w:pPr>
              <w:pStyle w:val="TableParagraph"/>
              <w:spacing w:before="32"/>
              <w:ind w:right="1"/>
              <w:jc w:val="right"/>
              <w:rPr>
                <w:sz w:val="16"/>
              </w:rPr>
            </w:pPr>
            <w:r>
              <w:rPr>
                <w:sz w:val="16"/>
              </w:rPr>
              <w:t>106.5%</w:t>
            </w:r>
          </w:p>
        </w:tc>
      </w:tr>
    </w:tbl>
    <w:p>
      <w:pPr>
        <w:spacing w:before="42"/>
        <w:ind w:left="643" w:right="0" w:firstLine="0"/>
        <w:jc w:val="left"/>
        <w:rPr>
          <w:sz w:val="16"/>
        </w:rPr>
      </w:pPr>
      <w:r>
        <w:rPr>
          <w:sz w:val="16"/>
        </w:rPr>
        <w:t>Fuente: Dirección de Análisis y Política Fiscal</w:t>
      </w:r>
    </w:p>
    <w:p>
      <w:pPr>
        <w:spacing w:after="0"/>
        <w:jc w:val="left"/>
        <w:rPr>
          <w:sz w:val="16"/>
        </w:rPr>
        <w:sectPr>
          <w:pgSz w:w="12240" w:h="15840"/>
          <w:pgMar w:header="715" w:footer="957" w:top="1240" w:bottom="1140" w:left="1140" w:right="0"/>
        </w:sectPr>
      </w:pPr>
    </w:p>
    <w:p>
      <w:pPr>
        <w:pStyle w:val="BodyText"/>
        <w:spacing w:line="276" w:lineRule="auto" w:before="162"/>
        <w:ind w:left="562" w:right="1695"/>
        <w:jc w:val="both"/>
      </w:pPr>
      <w:r>
        <w:rPr/>
        <w:t>A nivel de cada entidad de gobierno, se evaluó el grado de ejecución presupuestaria con respecto al comportamiento</w:t>
      </w:r>
      <w:r>
        <w:rPr>
          <w:spacing w:val="-11"/>
        </w:rPr>
        <w:t> </w:t>
      </w:r>
      <w:r>
        <w:rPr/>
        <w:t>histórico,</w:t>
      </w:r>
      <w:r>
        <w:rPr>
          <w:spacing w:val="-9"/>
        </w:rPr>
        <w:t> </w:t>
      </w:r>
      <w:r>
        <w:rPr/>
        <w:t>siendo</w:t>
      </w:r>
      <w:r>
        <w:rPr>
          <w:spacing w:val="-11"/>
        </w:rPr>
        <w:t> </w:t>
      </w:r>
      <w:r>
        <w:rPr/>
        <w:t>este</w:t>
      </w:r>
      <w:r>
        <w:rPr>
          <w:spacing w:val="-10"/>
        </w:rPr>
        <w:t> </w:t>
      </w:r>
      <w:r>
        <w:rPr/>
        <w:t>el</w:t>
      </w:r>
      <w:r>
        <w:rPr>
          <w:spacing w:val="-10"/>
        </w:rPr>
        <w:t> </w:t>
      </w:r>
      <w:r>
        <w:rPr/>
        <w:t>promedio</w:t>
      </w:r>
      <w:r>
        <w:rPr>
          <w:spacing w:val="-11"/>
        </w:rPr>
        <w:t> </w:t>
      </w:r>
      <w:r>
        <w:rPr/>
        <w:t>de</w:t>
      </w:r>
      <w:r>
        <w:rPr>
          <w:spacing w:val="-11"/>
        </w:rPr>
        <w:t> </w:t>
      </w:r>
      <w:r>
        <w:rPr/>
        <w:t>los</w:t>
      </w:r>
      <w:r>
        <w:rPr>
          <w:spacing w:val="-8"/>
        </w:rPr>
        <w:t> </w:t>
      </w:r>
      <w:r>
        <w:rPr/>
        <w:t>últimos</w:t>
      </w:r>
      <w:r>
        <w:rPr>
          <w:spacing w:val="-8"/>
        </w:rPr>
        <w:t> </w:t>
      </w:r>
      <w:r>
        <w:rPr/>
        <w:t>5</w:t>
      </w:r>
      <w:r>
        <w:rPr>
          <w:spacing w:val="-11"/>
        </w:rPr>
        <w:t> </w:t>
      </w:r>
      <w:r>
        <w:rPr/>
        <w:t>años</w:t>
      </w:r>
      <w:r>
        <w:rPr>
          <w:spacing w:val="-10"/>
        </w:rPr>
        <w:t> </w:t>
      </w:r>
      <w:r>
        <w:rPr/>
        <w:t>(período</w:t>
      </w:r>
      <w:r>
        <w:rPr>
          <w:spacing w:val="-9"/>
        </w:rPr>
        <w:t> </w:t>
      </w:r>
      <w:r>
        <w:rPr/>
        <w:t>2016-2020),</w:t>
      </w:r>
      <w:r>
        <w:rPr>
          <w:spacing w:val="-9"/>
        </w:rPr>
        <w:t> </w:t>
      </w:r>
      <w:r>
        <w:rPr/>
        <w:t>el</w:t>
      </w:r>
      <w:r>
        <w:rPr>
          <w:spacing w:val="-10"/>
        </w:rPr>
        <w:t> </w:t>
      </w:r>
      <w:r>
        <w:rPr/>
        <w:t>cual muestra que, en 2021 únicamente tres entidades no superaron su nivel promedio siendo las Obligaciones del Estado a cargo del Tesoro, por los motivos que se expusieron anteriormente, la Presidencia y Salud</w:t>
      </w:r>
      <w:r>
        <w:rPr>
          <w:spacing w:val="-6"/>
        </w:rPr>
        <w:t> </w:t>
      </w:r>
      <w:r>
        <w:rPr/>
        <w:t>Pública.</w:t>
      </w:r>
    </w:p>
    <w:p>
      <w:pPr>
        <w:pStyle w:val="BodyText"/>
        <w:spacing w:before="3"/>
        <w:rPr>
          <w:sz w:val="25"/>
        </w:rPr>
      </w:pPr>
    </w:p>
    <w:p>
      <w:pPr>
        <w:pStyle w:val="BodyText"/>
        <w:spacing w:line="276" w:lineRule="auto"/>
        <w:ind w:left="562" w:right="1696"/>
        <w:jc w:val="both"/>
      </w:pPr>
      <w:r>
        <w:rPr/>
        <w:t>El resto de entidades (16) se encuentran por arriba de su ejecución promedio, resalta el caso del Ministerio de Cultura y Deportes, Comunicaciones, Infraestructura y Vivienda y Desarrollo Social ubicándose varios puntos porcentuales por arriba.</w:t>
      </w:r>
    </w:p>
    <w:p>
      <w:pPr>
        <w:pStyle w:val="BodyText"/>
        <w:spacing w:before="10"/>
        <w:rPr>
          <w:sz w:val="25"/>
        </w:rPr>
      </w:pPr>
    </w:p>
    <w:p>
      <w:pPr>
        <w:spacing w:before="0"/>
        <w:ind w:left="1395" w:right="2534" w:firstLine="0"/>
        <w:jc w:val="center"/>
        <w:rPr>
          <w:b/>
          <w:sz w:val="20"/>
        </w:rPr>
      </w:pPr>
      <w:bookmarkStart w:name="_bookmark136" w:id="168"/>
      <w:bookmarkEnd w:id="168"/>
      <w:r>
        <w:rPr/>
      </w:r>
      <w:r>
        <w:rPr>
          <w:b/>
          <w:i/>
          <w:sz w:val="20"/>
        </w:rPr>
        <w:t>Gráfico 71 </w:t>
      </w:r>
      <w:r>
        <w:rPr>
          <w:b/>
          <w:sz w:val="20"/>
        </w:rPr>
        <w:t>Grado de Ejecución Presupuestaria Institucional</w:t>
      </w:r>
    </w:p>
    <w:p>
      <w:pPr>
        <w:spacing w:before="27"/>
        <w:ind w:left="1395" w:right="2531" w:firstLine="0"/>
        <w:jc w:val="center"/>
        <w:rPr>
          <w:sz w:val="18"/>
        </w:rPr>
      </w:pPr>
      <w:r>
        <w:rPr>
          <w:sz w:val="18"/>
        </w:rPr>
        <w:t>Promedio 2016-2020 y ejecución 2021*</w:t>
      </w:r>
    </w:p>
    <w:p>
      <w:pPr>
        <w:pStyle w:val="BodyText"/>
        <w:rPr>
          <w:sz w:val="20"/>
        </w:rPr>
      </w:pPr>
    </w:p>
    <w:p>
      <w:pPr>
        <w:pStyle w:val="BodyText"/>
        <w:spacing w:before="1"/>
        <w:rPr>
          <w:sz w:val="21"/>
        </w:rPr>
      </w:pPr>
    </w:p>
    <w:p>
      <w:pPr>
        <w:spacing w:before="94"/>
        <w:ind w:left="0" w:right="9940" w:firstLine="0"/>
        <w:jc w:val="right"/>
        <w:rPr>
          <w:sz w:val="14"/>
        </w:rPr>
      </w:pPr>
      <w:r>
        <w:rPr/>
        <w:pict>
          <v:group style="position:absolute;margin-left:120.839996pt;margin-top:-4.394983pt;width:397.2pt;height:155.450pt;mso-position-horizontal-relative:page;mso-position-vertical-relative:paragraph;z-index:252643328" coordorigin="2417,-88" coordsize="7944,3109">
            <v:rect style="position:absolute;left:2484;top:1000;width:286;height:2012" filled="true" fillcolor="#1f4e79" stroked="false">
              <v:fill type="solid"/>
            </v:rect>
            <v:rect style="position:absolute;left:2484;top:1000;width:286;height:2012" filled="false" stroked="true" strokeweight=".96pt" strokecolor="#000000">
              <v:stroke dashstyle="solid"/>
            </v:rect>
            <v:rect style="position:absolute;left:2901;top:827;width:286;height:2184" filled="true" fillcolor="#1f4e79" stroked="false">
              <v:fill type="solid"/>
            </v:rect>
            <v:rect style="position:absolute;left:2901;top:827;width:286;height:2184" filled="false" stroked="true" strokeweight=".96pt" strokecolor="#000000">
              <v:stroke dashstyle="solid"/>
            </v:rect>
            <v:rect style="position:absolute;left:3319;top:724;width:286;height:2288" filled="true" fillcolor="#1f4e79" stroked="false">
              <v:fill type="solid"/>
            </v:rect>
            <v:rect style="position:absolute;left:3319;top:724;width:286;height:2288" filled="false" stroked="true" strokeweight=".96pt" strokecolor="#000000">
              <v:stroke dashstyle="solid"/>
            </v:rect>
            <v:rect style="position:absolute;left:3736;top:592;width:286;height:2420" filled="true" fillcolor="#1f4e79" stroked="false">
              <v:fill type="solid"/>
            </v:rect>
            <v:rect style="position:absolute;left:3736;top:592;width:286;height:2420" filled="false" stroked="true" strokeweight=".96pt" strokecolor="#000000">
              <v:stroke dashstyle="solid"/>
            </v:rect>
            <v:rect style="position:absolute;left:4154;top:577;width:286;height:2434" filled="true" fillcolor="#1f4e79" stroked="false">
              <v:fill type="solid"/>
            </v:rect>
            <v:rect style="position:absolute;left:4154;top:577;width:286;height:2434" filled="false" stroked="true" strokeweight=".96pt" strokecolor="#000000">
              <v:stroke dashstyle="solid"/>
            </v:rect>
            <v:rect style="position:absolute;left:4572;top:525;width:286;height:2487" filled="true" fillcolor="#1f4e79" stroked="false">
              <v:fill type="solid"/>
            </v:rect>
            <v:rect style="position:absolute;left:4572;top:525;width:286;height:2487" filled="false" stroked="true" strokeweight=".96pt" strokecolor="#000000">
              <v:stroke dashstyle="solid"/>
            </v:rect>
            <v:rect style="position:absolute;left:4989;top:491;width:286;height:2520" filled="true" fillcolor="#1f4e79" stroked="false">
              <v:fill type="solid"/>
            </v:rect>
            <v:rect style="position:absolute;left:4989;top:491;width:286;height:2520" filled="false" stroked="true" strokeweight=".96pt" strokecolor="#000000">
              <v:stroke dashstyle="solid"/>
            </v:rect>
            <v:rect style="position:absolute;left:5407;top:477;width:286;height:2535" filled="true" fillcolor="#1f4e79" stroked="false">
              <v:fill type="solid"/>
            </v:rect>
            <v:rect style="position:absolute;left:5407;top:477;width:286;height:2535" filled="false" stroked="true" strokeweight=".96pt" strokecolor="#000000">
              <v:stroke dashstyle="solid"/>
            </v:rect>
            <v:rect style="position:absolute;left:5824;top:462;width:286;height:2549" filled="true" fillcolor="#1f4e79" stroked="false">
              <v:fill type="solid"/>
            </v:rect>
            <v:rect style="position:absolute;left:5824;top:462;width:286;height:2549" filled="false" stroked="true" strokeweight=".96pt" strokecolor="#000000">
              <v:stroke dashstyle="solid"/>
            </v:rect>
            <v:rect style="position:absolute;left:6242;top:448;width:286;height:2564" filled="true" fillcolor="#1f4e79" stroked="false">
              <v:fill type="solid"/>
            </v:rect>
            <v:rect style="position:absolute;left:6242;top:448;width:286;height:2564" filled="false" stroked="true" strokeweight=".96pt" strokecolor="#000000">
              <v:stroke dashstyle="solid"/>
            </v:rect>
            <v:rect style="position:absolute;left:6660;top:448;width:286;height:2564" filled="true" fillcolor="#1f4e79" stroked="false">
              <v:fill type="solid"/>
            </v:rect>
            <v:rect style="position:absolute;left:6660;top:448;width:286;height:2564" filled="false" stroked="true" strokeweight=".96pt" strokecolor="#000000">
              <v:stroke dashstyle="solid"/>
            </v:rect>
            <v:rect style="position:absolute;left:7077;top:397;width:286;height:2614" filled="true" fillcolor="#1f4e79" stroked="false">
              <v:fill type="solid"/>
            </v:rect>
            <v:rect style="position:absolute;left:7077;top:397;width:286;height:2614" filled="false" stroked="true" strokeweight=".96pt" strokecolor="#000000">
              <v:stroke dashstyle="solid"/>
            </v:rect>
            <v:rect style="position:absolute;left:7495;top:357;width:286;height:2655" filled="true" fillcolor="#1f4e79" stroked="false">
              <v:fill type="solid"/>
            </v:rect>
            <v:rect style="position:absolute;left:7495;top:357;width:286;height:2655" filled="false" stroked="true" strokeweight=".96pt" strokecolor="#000000">
              <v:stroke dashstyle="solid"/>
            </v:rect>
            <v:rect style="position:absolute;left:7912;top:349;width:286;height:2662" filled="true" fillcolor="#1f4e79" stroked="false">
              <v:fill type="solid"/>
            </v:rect>
            <v:rect style="position:absolute;left:7912;top:349;width:286;height:2662" filled="false" stroked="true" strokeweight=".96pt" strokecolor="#000000">
              <v:stroke dashstyle="solid"/>
            </v:rect>
            <v:rect style="position:absolute;left:8330;top:340;width:286;height:2672" filled="true" fillcolor="#1f4e79" stroked="false">
              <v:fill type="solid"/>
            </v:rect>
            <v:rect style="position:absolute;left:8330;top:340;width:286;height:2672" filled="false" stroked="true" strokeweight=".96pt" strokecolor="#000000">
              <v:stroke dashstyle="solid"/>
            </v:rect>
            <v:rect style="position:absolute;left:8748;top:340;width:286;height:2672" filled="true" fillcolor="#1f4e79" stroked="false">
              <v:fill type="solid"/>
            </v:rect>
            <v:rect style="position:absolute;left:8748;top:340;width:286;height:2672" filled="false" stroked="true" strokeweight=".96pt" strokecolor="#000000">
              <v:stroke dashstyle="solid"/>
            </v:rect>
            <v:rect style="position:absolute;left:9165;top:323;width:286;height:2688" filled="true" fillcolor="#1f4e79" stroked="false">
              <v:fill type="solid"/>
            </v:rect>
            <v:rect style="position:absolute;left:9165;top:323;width:286;height:2688" filled="false" stroked="true" strokeweight=".96pt" strokecolor="#000000">
              <v:stroke dashstyle="solid"/>
            </v:rect>
            <v:rect style="position:absolute;left:9583;top:261;width:286;height:2751" filled="true" fillcolor="#1f4e79" stroked="false">
              <v:fill type="solid"/>
            </v:rect>
            <v:rect style="position:absolute;left:9583;top:261;width:286;height:2751" filled="false" stroked="true" strokeweight=".96pt" strokecolor="#000000">
              <v:stroke dashstyle="solid"/>
            </v:rect>
            <v:rect style="position:absolute;left:10000;top:256;width:286;height:2756" filled="true" fillcolor="#1f4e79" stroked="false">
              <v:fill type="solid"/>
            </v:rect>
            <v:rect style="position:absolute;left:10000;top:256;width:286;height:2756" filled="false" stroked="true" strokeweight=".96pt" strokecolor="#000000">
              <v:stroke dashstyle="solid"/>
            </v:rect>
            <v:line style="position:absolute" from="2417,3012" to="10354,3012" stroked="true" strokeweight=".72pt" strokecolor="#d9d9d9">
              <v:stroke dashstyle="solid"/>
            </v:line>
            <v:line style="position:absolute" from="2604,219" to="10166,219" stroked="true" strokeweight="2.280pt" strokecolor="#ec7c30">
              <v:stroke dashstyle="dash"/>
            </v:line>
            <v:line style="position:absolute" from="2604,562" to="10166,562" stroked="true" strokeweight="2.280pt" strokecolor="#ffc000">
              <v:stroke dashstyle="dash"/>
            </v:line>
            <v:shape style="position:absolute;left:2526;top:494;width:195;height:195" type="#_x0000_t75" stroked="false">
              <v:imagedata r:id="rId140" o:title=""/>
            </v:shape>
            <v:shape style="position:absolute;left:2944;top:350;width:195;height:195" type="#_x0000_t75" stroked="false">
              <v:imagedata r:id="rId141" o:title=""/>
            </v:shape>
            <v:shape style="position:absolute;left:3361;top:213;width:195;height:195" type="#_x0000_t75" stroked="false">
              <v:imagedata r:id="rId140" o:title=""/>
            </v:shape>
            <v:shape style="position:absolute;left:3781;top:222;width:195;height:195" type="#_x0000_t75" stroked="false">
              <v:imagedata r:id="rId142" o:title=""/>
            </v:shape>
            <v:shape style="position:absolute;left:4199;top:302;width:195;height:195" type="#_x0000_t75" stroked="false">
              <v:imagedata r:id="rId140" o:title=""/>
            </v:shape>
            <v:shape style="position:absolute;left:4617;top:306;width:195;height:195" type="#_x0000_t75" stroked="false">
              <v:imagedata r:id="rId140" o:title=""/>
            </v:shape>
            <v:shape style="position:absolute;left:5034;top:218;width:195;height:195" type="#_x0000_t75" stroked="false">
              <v:imagedata r:id="rId140" o:title=""/>
            </v:shape>
            <v:shape style="position:absolute;left:5452;top:249;width:195;height:195" type="#_x0000_t75" stroked="false">
              <v:imagedata r:id="rId140" o:title=""/>
            </v:shape>
            <v:shape style="position:absolute;left:5869;top:333;width:195;height:195" type="#_x0000_t75" stroked="false">
              <v:imagedata r:id="rId140" o:title=""/>
            </v:shape>
            <v:shape style="position:absolute;left:6287;top:482;width:195;height:195" type="#_x0000_t75" stroked="false">
              <v:imagedata r:id="rId140" o:title=""/>
            </v:shape>
            <v:shape style="position:absolute;left:6705;top:275;width:195;height:195" type="#_x0000_t75" stroked="false">
              <v:imagedata r:id="rId140" o:title=""/>
            </v:shape>
            <v:shape style="position:absolute;left:7122;top:170;width:195;height:195" type="#_x0000_t75" stroked="false">
              <v:imagedata r:id="rId143" o:title=""/>
            </v:shape>
            <v:shape style="position:absolute;left:7540;top:210;width:195;height:195" type="#_x0000_t75" stroked="false">
              <v:imagedata r:id="rId140" o:title=""/>
            </v:shape>
            <v:shape style="position:absolute;left:7957;top:273;width:195;height:195" type="#_x0000_t75" stroked="false">
              <v:imagedata r:id="rId140" o:title=""/>
            </v:shape>
            <v:shape style="position:absolute;left:8375;top:827;width:195;height:195" type="#_x0000_t75" stroked="false">
              <v:imagedata r:id="rId140" o:title=""/>
            </v:shape>
            <v:shape style="position:absolute;left:8793;top:191;width:195;height:195" type="#_x0000_t75" stroked="false">
              <v:imagedata r:id="rId140" o:title=""/>
            </v:shape>
            <v:shape style="position:absolute;left:9210;top:136;width:195;height:195" type="#_x0000_t75" stroked="false">
              <v:imagedata r:id="rId140" o:title=""/>
            </v:shape>
            <v:shape style="position:absolute;left:9628;top:105;width:195;height:195" type="#_x0000_t75" stroked="false">
              <v:imagedata r:id="rId140" o:title=""/>
            </v:shape>
            <v:shape style="position:absolute;left:10045;top:105;width:195;height:195" type="#_x0000_t75" stroked="false">
              <v:imagedata r:id="rId140" o:title=""/>
            </v:shape>
            <v:shape style="position:absolute;left:6804;top:23;width:99;height:197" coordorigin="6804,24" coordsize="99,197" path="m6804,220l6811,24,6902,24e" filled="false" stroked="true" strokeweight=".48pt" strokecolor="#000000">
              <v:path arrowok="t"/>
              <v:stroke dashstyle="solid"/>
            </v:shape>
            <v:line style="position:absolute" from="2626,564" to="4349,228" stroked="true" strokeweight=".48pt" strokecolor="#000000">
              <v:stroke dashstyle="solid"/>
            </v:line>
            <v:shape style="position:absolute;left:2957;top:-38;width:2804;height:200" type="#_x0000_t202" filled="false" stroked="false">
              <v:textbox inset="0,0,0,0">
                <w:txbxContent>
                  <w:p>
                    <w:pPr>
                      <w:spacing w:line="199" w:lineRule="exact" w:before="0"/>
                      <w:ind w:left="0" w:right="0" w:firstLine="0"/>
                      <w:jc w:val="left"/>
                      <w:rPr>
                        <w:b/>
                        <w:sz w:val="18"/>
                      </w:rPr>
                    </w:pPr>
                    <w:r>
                      <w:rPr>
                        <w:b/>
                        <w:color w:val="BE9000"/>
                        <w:sz w:val="18"/>
                      </w:rPr>
                      <w:t>Ejecución Institucional 2021; 86.5%</w:t>
                    </w:r>
                  </w:p>
                </w:txbxContent>
              </v:textbox>
              <w10:wrap type="none"/>
            </v:shape>
            <v:shape style="position:absolute;left:7104;top:-88;width:3256;height:234" type="#_x0000_t202" filled="false" stroked="false">
              <v:textbox inset="0,0,0,0">
                <w:txbxContent>
                  <w:p>
                    <w:pPr>
                      <w:spacing w:line="234" w:lineRule="exact" w:before="0"/>
                      <w:ind w:left="0" w:right="0" w:firstLine="0"/>
                      <w:jc w:val="left"/>
                      <w:rPr>
                        <w:b/>
                        <w:sz w:val="21"/>
                      </w:rPr>
                    </w:pPr>
                    <w:r>
                      <w:rPr>
                        <w:b/>
                        <w:color w:val="C55A11"/>
                        <w:sz w:val="21"/>
                      </w:rPr>
                      <w:t>Presupuesto Operativo 2021; 98.6%</w:t>
                    </w:r>
                  </w:p>
                </w:txbxContent>
              </v:textbox>
              <w10:wrap type="none"/>
            </v:shape>
            <w10:wrap type="none"/>
          </v:group>
        </w:pict>
      </w:r>
      <w:r>
        <w:rPr>
          <w:color w:val="585858"/>
          <w:w w:val="95"/>
          <w:sz w:val="14"/>
        </w:rPr>
        <w:t>100.0%</w:t>
      </w:r>
    </w:p>
    <w:p>
      <w:pPr>
        <w:spacing w:before="122"/>
        <w:ind w:left="0" w:right="9940" w:firstLine="0"/>
        <w:jc w:val="right"/>
        <w:rPr>
          <w:sz w:val="14"/>
        </w:rPr>
      </w:pPr>
      <w:r>
        <w:rPr>
          <w:color w:val="585858"/>
          <w:w w:val="95"/>
          <w:sz w:val="14"/>
        </w:rPr>
        <w:t>90.0%</w:t>
      </w:r>
    </w:p>
    <w:p>
      <w:pPr>
        <w:spacing w:before="122"/>
        <w:ind w:left="0" w:right="9940" w:firstLine="0"/>
        <w:jc w:val="right"/>
        <w:rPr>
          <w:sz w:val="14"/>
        </w:rPr>
      </w:pPr>
      <w:r>
        <w:rPr>
          <w:color w:val="585858"/>
          <w:w w:val="95"/>
          <w:sz w:val="14"/>
        </w:rPr>
        <w:t>80.0%</w:t>
      </w:r>
    </w:p>
    <w:p>
      <w:pPr>
        <w:spacing w:before="122"/>
        <w:ind w:left="0" w:right="9940" w:firstLine="0"/>
        <w:jc w:val="right"/>
        <w:rPr>
          <w:sz w:val="14"/>
        </w:rPr>
      </w:pPr>
      <w:r>
        <w:rPr>
          <w:color w:val="585858"/>
          <w:w w:val="95"/>
          <w:sz w:val="14"/>
        </w:rPr>
        <w:t>70.0%</w:t>
      </w:r>
    </w:p>
    <w:p>
      <w:pPr>
        <w:spacing w:before="122"/>
        <w:ind w:left="0" w:right="9940" w:firstLine="0"/>
        <w:jc w:val="right"/>
        <w:rPr>
          <w:sz w:val="14"/>
        </w:rPr>
      </w:pPr>
      <w:r>
        <w:rPr/>
        <w:pict>
          <v:shape style="position:absolute;margin-left:292.184509pt;margin-top:16.985857pt;width:13.05pt;height:29.6pt;mso-position-horizontal-relative:page;mso-position-vertical-relative:paragraph;z-index:252655616" type="#_x0000_t202" filled="false" stroked="false">
            <v:textbox inset="0,0,0,0" style="layout-flow:vertical;mso-layout-flow-alt:bottom-to-top">
              <w:txbxContent>
                <w:p>
                  <w:pPr>
                    <w:spacing w:before="10"/>
                    <w:ind w:left="20" w:right="0" w:firstLine="0"/>
                    <w:jc w:val="left"/>
                    <w:rPr>
                      <w:b/>
                      <w:sz w:val="20"/>
                    </w:rPr>
                  </w:pPr>
                  <w:r>
                    <w:rPr>
                      <w:b/>
                      <w:color w:val="FFFFFF"/>
                      <w:sz w:val="20"/>
                    </w:rPr>
                    <w:t>90.1%</w:t>
                  </w:r>
                </w:p>
              </w:txbxContent>
            </v:textbox>
            <w10:wrap type="none"/>
          </v:shape>
        </w:pict>
      </w:r>
      <w:r>
        <w:rPr/>
        <w:pict>
          <v:shape style="position:absolute;margin-left:313.064514pt;margin-top:16.645857pt;width:13.05pt;height:29.6pt;mso-position-horizontal-relative:page;mso-position-vertical-relative:paragraph;z-index:252656640" type="#_x0000_t202" filled="false" stroked="false">
            <v:textbox inset="0,0,0,0" style="layout-flow:vertical;mso-layout-flow-alt:bottom-to-top">
              <w:txbxContent>
                <w:p>
                  <w:pPr>
                    <w:spacing w:before="10"/>
                    <w:ind w:left="20" w:right="0" w:firstLine="0"/>
                    <w:jc w:val="left"/>
                    <w:rPr>
                      <w:b/>
                      <w:sz w:val="20"/>
                    </w:rPr>
                  </w:pPr>
                  <w:r>
                    <w:rPr>
                      <w:b/>
                      <w:color w:val="FFFFFF"/>
                      <w:sz w:val="20"/>
                    </w:rPr>
                    <w:t>90.5%</w:t>
                  </w:r>
                </w:p>
              </w:txbxContent>
            </v:textbox>
            <w10:wrap type="none"/>
          </v:shape>
        </w:pict>
      </w:r>
      <w:r>
        <w:rPr/>
        <w:pict>
          <v:shape style="position:absolute;margin-left:333.944519pt;margin-top:16.625856pt;width:13.05pt;height:29.6pt;mso-position-horizontal-relative:page;mso-position-vertical-relative:paragraph;z-index:252657664" type="#_x0000_t202" filled="false" stroked="false">
            <v:textbox inset="0,0,0,0" style="layout-flow:vertical;mso-layout-flow-alt:bottom-to-top">
              <w:txbxContent>
                <w:p>
                  <w:pPr>
                    <w:spacing w:before="10"/>
                    <w:ind w:left="20" w:right="0" w:firstLine="0"/>
                    <w:jc w:val="left"/>
                    <w:rPr>
                      <w:b/>
                      <w:sz w:val="20"/>
                    </w:rPr>
                  </w:pPr>
                  <w:r>
                    <w:rPr>
                      <w:b/>
                      <w:color w:val="FFFFFF"/>
                      <w:sz w:val="20"/>
                    </w:rPr>
                    <w:t>90.6%</w:t>
                  </w:r>
                </w:p>
              </w:txbxContent>
            </v:textbox>
            <w10:wrap type="none"/>
          </v:shape>
        </w:pict>
      </w:r>
      <w:r>
        <w:rPr/>
        <w:pict>
          <v:shape style="position:absolute;margin-left:354.854523pt;margin-top:15.395856pt;width:13.05pt;height:29.6pt;mso-position-horizontal-relative:page;mso-position-vertical-relative:paragraph;z-index:252658688" type="#_x0000_t202" filled="false" stroked="false">
            <v:textbox inset="0,0,0,0" style="layout-flow:vertical;mso-layout-flow-alt:bottom-to-top">
              <w:txbxContent>
                <w:p>
                  <w:pPr>
                    <w:spacing w:before="10"/>
                    <w:ind w:left="20" w:right="0" w:firstLine="0"/>
                    <w:jc w:val="left"/>
                    <w:rPr>
                      <w:b/>
                      <w:sz w:val="20"/>
                    </w:rPr>
                  </w:pPr>
                  <w:r>
                    <w:rPr>
                      <w:b/>
                      <w:color w:val="FFFFFF"/>
                      <w:sz w:val="20"/>
                    </w:rPr>
                    <w:t>92.3%</w:t>
                  </w:r>
                </w:p>
              </w:txbxContent>
            </v:textbox>
            <w10:wrap type="none"/>
          </v:shape>
        </w:pict>
      </w:r>
      <w:r>
        <w:rPr/>
        <w:pict>
          <v:shape style="position:absolute;margin-left:375.734497pt;margin-top:14.385856pt;width:13.05pt;height:29.6pt;mso-position-horizontal-relative:page;mso-position-vertical-relative:paragraph;z-index:252659712" type="#_x0000_t202" filled="false" stroked="false">
            <v:textbox inset="0,0,0,0" style="layout-flow:vertical;mso-layout-flow-alt:bottom-to-top">
              <w:txbxContent>
                <w:p>
                  <w:pPr>
                    <w:spacing w:before="10"/>
                    <w:ind w:left="20" w:right="0" w:firstLine="0"/>
                    <w:jc w:val="left"/>
                    <w:rPr>
                      <w:b/>
                      <w:sz w:val="20"/>
                    </w:rPr>
                  </w:pPr>
                  <w:r>
                    <w:rPr>
                      <w:b/>
                      <w:color w:val="FFFFFF"/>
                      <w:sz w:val="20"/>
                    </w:rPr>
                    <w:t>93.7%</w:t>
                  </w:r>
                </w:p>
              </w:txbxContent>
            </v:textbox>
            <w10:wrap type="none"/>
          </v:shape>
        </w:pict>
      </w:r>
      <w:r>
        <w:rPr/>
        <w:pict>
          <v:shape style="position:absolute;margin-left:396.614502pt;margin-top:13.935856pt;width:54.85pt;height:29.85pt;mso-position-horizontal-relative:page;mso-position-vertical-relative:paragraph;z-index:252660736" type="#_x0000_t202" filled="false" stroked="false">
            <v:textbox inset="0,0,0,0" style="layout-flow:vertical;mso-layout-flow-alt:bottom-to-top">
              <w:txbxContent>
                <w:p>
                  <w:pPr>
                    <w:spacing w:before="10"/>
                    <w:ind w:left="20" w:right="0" w:firstLine="0"/>
                    <w:jc w:val="left"/>
                    <w:rPr>
                      <w:b/>
                      <w:sz w:val="20"/>
                    </w:rPr>
                  </w:pPr>
                  <w:r>
                    <w:rPr>
                      <w:b/>
                      <w:color w:val="FFFFFF"/>
                      <w:sz w:val="20"/>
                    </w:rPr>
                    <w:t>94.0%</w:t>
                  </w:r>
                </w:p>
                <w:p>
                  <w:pPr>
                    <w:spacing w:before="188"/>
                    <w:ind w:left="24" w:right="0" w:firstLine="0"/>
                    <w:jc w:val="left"/>
                    <w:rPr>
                      <w:b/>
                      <w:sz w:val="20"/>
                    </w:rPr>
                  </w:pPr>
                  <w:r>
                    <w:rPr>
                      <w:b/>
                      <w:color w:val="FFFFFF"/>
                      <w:sz w:val="20"/>
                    </w:rPr>
                    <w:t>94.3%</w:t>
                  </w:r>
                </w:p>
                <w:p>
                  <w:pPr>
                    <w:spacing w:before="188"/>
                    <w:ind w:left="25" w:right="0" w:firstLine="0"/>
                    <w:jc w:val="left"/>
                    <w:rPr>
                      <w:b/>
                      <w:sz w:val="20"/>
                    </w:rPr>
                  </w:pPr>
                  <w:r>
                    <w:rPr>
                      <w:b/>
                      <w:color w:val="FFFFFF"/>
                      <w:sz w:val="20"/>
                    </w:rPr>
                    <w:t>94.4%</w:t>
                  </w:r>
                </w:p>
              </w:txbxContent>
            </v:textbox>
            <w10:wrap type="none"/>
          </v:shape>
        </w:pict>
      </w:r>
      <w:r>
        <w:rPr/>
        <w:pict>
          <v:shape style="position:absolute;margin-left:459.274506pt;margin-top:13.505857pt;width:13.05pt;height:29.6pt;mso-position-horizontal-relative:page;mso-position-vertical-relative:paragraph;z-index:252661760" type="#_x0000_t202" filled="false" stroked="false">
            <v:textbox inset="0,0,0,0" style="layout-flow:vertical;mso-layout-flow-alt:bottom-to-top">
              <w:txbxContent>
                <w:p>
                  <w:pPr>
                    <w:spacing w:before="10"/>
                    <w:ind w:left="20" w:right="0" w:firstLine="0"/>
                    <w:jc w:val="left"/>
                    <w:rPr>
                      <w:b/>
                      <w:sz w:val="20"/>
                    </w:rPr>
                  </w:pPr>
                  <w:r>
                    <w:rPr>
                      <w:b/>
                      <w:color w:val="FFFFFF"/>
                      <w:sz w:val="20"/>
                    </w:rPr>
                    <w:t>95.0%</w:t>
                  </w:r>
                </w:p>
              </w:txbxContent>
            </v:textbox>
            <w10:wrap type="none"/>
          </v:shape>
        </w:pict>
      </w:r>
      <w:r>
        <w:rPr/>
        <w:pict>
          <v:shape style="position:absolute;margin-left:480.15451pt;margin-top:11.945856pt;width:13.05pt;height:29.6pt;mso-position-horizontal-relative:page;mso-position-vertical-relative:paragraph;z-index:252662784" type="#_x0000_t202" filled="false" stroked="false">
            <v:textbox inset="0,0,0,0" style="layout-flow:vertical;mso-layout-flow-alt:bottom-to-top">
              <w:txbxContent>
                <w:p>
                  <w:pPr>
                    <w:spacing w:before="10"/>
                    <w:ind w:left="20" w:right="0" w:firstLine="0"/>
                    <w:jc w:val="left"/>
                    <w:rPr>
                      <w:b/>
                      <w:sz w:val="20"/>
                    </w:rPr>
                  </w:pPr>
                  <w:r>
                    <w:rPr>
                      <w:b/>
                      <w:color w:val="FFFFFF"/>
                      <w:sz w:val="20"/>
                    </w:rPr>
                    <w:t>97.2%</w:t>
                  </w:r>
                </w:p>
              </w:txbxContent>
            </v:textbox>
            <w10:wrap type="none"/>
          </v:shape>
        </w:pict>
      </w:r>
      <w:r>
        <w:rPr/>
        <w:pict>
          <v:shape style="position:absolute;margin-left:501.013123pt;margin-top:11.82936pt;width:13.1pt;height:29.6pt;mso-position-horizontal-relative:page;mso-position-vertical-relative:paragraph;z-index:252663808" type="#_x0000_t202" filled="false" stroked="false">
            <v:textbox inset="0,0,0,0" style="layout-flow:vertical;mso-layout-flow-alt:bottom-to-top">
              <w:txbxContent>
                <w:p>
                  <w:pPr>
                    <w:spacing w:before="11"/>
                    <w:ind w:left="20" w:right="0" w:firstLine="0"/>
                    <w:jc w:val="left"/>
                    <w:rPr>
                      <w:b/>
                      <w:sz w:val="20"/>
                    </w:rPr>
                  </w:pPr>
                  <w:r>
                    <w:rPr>
                      <w:b/>
                      <w:color w:val="FFFFFF"/>
                      <w:sz w:val="20"/>
                    </w:rPr>
                    <w:t>97.3%</w:t>
                  </w:r>
                </w:p>
              </w:txbxContent>
            </v:textbox>
            <w10:wrap type="none"/>
          </v:shape>
        </w:pict>
      </w:r>
      <w:r>
        <w:rPr>
          <w:color w:val="585858"/>
          <w:w w:val="95"/>
          <w:sz w:val="14"/>
        </w:rPr>
        <w:t>60.0%</w:t>
      </w:r>
    </w:p>
    <w:p>
      <w:pPr>
        <w:spacing w:before="122"/>
        <w:ind w:left="0" w:right="9940" w:firstLine="0"/>
        <w:jc w:val="right"/>
        <w:rPr>
          <w:sz w:val="14"/>
        </w:rPr>
      </w:pPr>
      <w:r>
        <w:rPr/>
        <w:pict>
          <v:shape style="position:absolute;margin-left:125.104515pt;margin-top:16.226152pt;width:13.05pt;height:29.65pt;mso-position-horizontal-relative:page;mso-position-vertical-relative:paragraph;z-index:252648448" type="#_x0000_t202" filled="false" stroked="false">
            <v:textbox inset="0,0,0,0" style="layout-flow:vertical;mso-layout-flow-alt:bottom-to-top">
              <w:txbxContent>
                <w:p>
                  <w:pPr>
                    <w:spacing w:before="10"/>
                    <w:ind w:left="20" w:right="0" w:firstLine="0"/>
                    <w:jc w:val="left"/>
                    <w:rPr>
                      <w:b/>
                      <w:sz w:val="20"/>
                    </w:rPr>
                  </w:pPr>
                  <w:r>
                    <w:rPr>
                      <w:b/>
                      <w:color w:val="FFFFFF"/>
                      <w:sz w:val="20"/>
                    </w:rPr>
                    <w:t>71.0%</w:t>
                  </w:r>
                </w:p>
              </w:txbxContent>
            </v:textbox>
            <w10:wrap type="none"/>
          </v:shape>
        </w:pict>
      </w:r>
      <w:r>
        <w:rPr/>
        <w:pict>
          <v:shape style="position:absolute;margin-left:145.984512pt;margin-top:11.965853pt;width:13.05pt;height:29.6pt;mso-position-horizontal-relative:page;mso-position-vertical-relative:paragraph;z-index:252649472" type="#_x0000_t202" filled="false" stroked="false">
            <v:textbox inset="0,0,0,0" style="layout-flow:vertical;mso-layout-flow-alt:bottom-to-top">
              <w:txbxContent>
                <w:p>
                  <w:pPr>
                    <w:spacing w:before="10"/>
                    <w:ind w:left="20" w:right="0" w:firstLine="0"/>
                    <w:jc w:val="left"/>
                    <w:rPr>
                      <w:b/>
                      <w:sz w:val="20"/>
                    </w:rPr>
                  </w:pPr>
                  <w:r>
                    <w:rPr>
                      <w:b/>
                      <w:color w:val="FFFFFF"/>
                      <w:sz w:val="20"/>
                    </w:rPr>
                    <w:t>77.1%</w:t>
                  </w:r>
                </w:p>
              </w:txbxContent>
            </v:textbox>
            <w10:wrap type="none"/>
          </v:shape>
        </w:pict>
      </w:r>
      <w:r>
        <w:rPr/>
        <w:pict>
          <v:shape style="position:absolute;margin-left:166.864517pt;margin-top:9.395852pt;width:13.05pt;height:29.6pt;mso-position-horizontal-relative:page;mso-position-vertical-relative:paragraph;z-index:252650496" type="#_x0000_t202" filled="false" stroked="false">
            <v:textbox inset="0,0,0,0" style="layout-flow:vertical;mso-layout-flow-alt:bottom-to-top">
              <w:txbxContent>
                <w:p>
                  <w:pPr>
                    <w:spacing w:before="10"/>
                    <w:ind w:left="20" w:right="0" w:firstLine="0"/>
                    <w:jc w:val="left"/>
                    <w:rPr>
                      <w:b/>
                      <w:sz w:val="20"/>
                    </w:rPr>
                  </w:pPr>
                  <w:r>
                    <w:rPr>
                      <w:b/>
                      <w:color w:val="FFFFFF"/>
                      <w:sz w:val="20"/>
                    </w:rPr>
                    <w:t>80.8%</w:t>
                  </w:r>
                </w:p>
              </w:txbxContent>
            </v:textbox>
            <w10:wrap type="none"/>
          </v:shape>
        </w:pict>
      </w:r>
      <w:r>
        <w:rPr/>
        <w:pict>
          <v:shape style="position:absolute;margin-left:187.764511pt;margin-top:6.105853pt;width:13.05pt;height:29.6pt;mso-position-horizontal-relative:page;mso-position-vertical-relative:paragraph;z-index:252651520" type="#_x0000_t202" filled="false" stroked="false">
            <v:textbox inset="0,0,0,0" style="layout-flow:vertical;mso-layout-flow-alt:bottom-to-top">
              <w:txbxContent>
                <w:p>
                  <w:pPr>
                    <w:spacing w:before="10"/>
                    <w:ind w:left="20" w:right="0" w:firstLine="0"/>
                    <w:jc w:val="left"/>
                    <w:rPr>
                      <w:b/>
                      <w:sz w:val="20"/>
                    </w:rPr>
                  </w:pPr>
                  <w:r>
                    <w:rPr>
                      <w:b/>
                      <w:color w:val="FFFFFF"/>
                      <w:sz w:val="20"/>
                    </w:rPr>
                    <w:t>85.4%</w:t>
                  </w:r>
                </w:p>
              </w:txbxContent>
            </v:textbox>
            <w10:wrap type="none"/>
          </v:shape>
        </w:pict>
      </w:r>
      <w:r>
        <w:rPr/>
        <w:pict>
          <v:shape style="position:absolute;margin-left:208.644516pt;margin-top:5.705853pt;width:13.05pt;height:29.6pt;mso-position-horizontal-relative:page;mso-position-vertical-relative:paragraph;z-index:252652544" type="#_x0000_t202" filled="false" stroked="false">
            <v:textbox inset="0,0,0,0" style="layout-flow:vertical;mso-layout-flow-alt:bottom-to-top">
              <w:txbxContent>
                <w:p>
                  <w:pPr>
                    <w:spacing w:before="10"/>
                    <w:ind w:left="20" w:right="0" w:firstLine="0"/>
                    <w:jc w:val="left"/>
                    <w:rPr>
                      <w:b/>
                      <w:sz w:val="20"/>
                    </w:rPr>
                  </w:pPr>
                  <w:r>
                    <w:rPr>
                      <w:b/>
                      <w:color w:val="FFFFFF"/>
                      <w:sz w:val="20"/>
                    </w:rPr>
                    <w:t>86.0%</w:t>
                  </w:r>
                </w:p>
              </w:txbxContent>
            </v:textbox>
            <w10:wrap type="none"/>
          </v:shape>
        </w:pict>
      </w:r>
      <w:r>
        <w:rPr/>
        <w:pict>
          <v:shape style="position:absolute;margin-left:229.524506pt;margin-top:3.565852pt;width:33.950pt;height:30.4pt;mso-position-horizontal-relative:page;mso-position-vertical-relative:paragraph;z-index:252653568" type="#_x0000_t202" filled="false" stroked="false">
            <v:textbox inset="0,0,0,0" style="layout-flow:vertical;mso-layout-flow-alt:bottom-to-top">
              <w:txbxContent>
                <w:p>
                  <w:pPr>
                    <w:spacing w:before="10"/>
                    <w:ind w:left="20" w:right="0" w:firstLine="0"/>
                    <w:jc w:val="left"/>
                    <w:rPr>
                      <w:b/>
                      <w:sz w:val="20"/>
                    </w:rPr>
                  </w:pPr>
                  <w:r>
                    <w:rPr>
                      <w:b/>
                      <w:color w:val="FFFFFF"/>
                      <w:sz w:val="20"/>
                    </w:rPr>
                    <w:t>87.8%</w:t>
                  </w:r>
                </w:p>
                <w:p>
                  <w:pPr>
                    <w:spacing w:before="188"/>
                    <w:ind w:left="36" w:right="0" w:firstLine="0"/>
                    <w:jc w:val="left"/>
                    <w:rPr>
                      <w:b/>
                      <w:sz w:val="20"/>
                    </w:rPr>
                  </w:pPr>
                  <w:r>
                    <w:rPr>
                      <w:b/>
                      <w:color w:val="FFFFFF"/>
                      <w:sz w:val="20"/>
                    </w:rPr>
                    <w:t>89.0%</w:t>
                  </w:r>
                </w:p>
              </w:txbxContent>
            </v:textbox>
            <w10:wrap type="none"/>
          </v:shape>
        </w:pict>
      </w:r>
      <w:r>
        <w:rPr/>
        <w:pict>
          <v:shape style="position:absolute;margin-left:271.304504pt;margin-top:3.205853pt;width:13.05pt;height:29.6pt;mso-position-horizontal-relative:page;mso-position-vertical-relative:paragraph;z-index:252654592" type="#_x0000_t202" filled="false" stroked="false">
            <v:textbox inset="0,0,0,0" style="layout-flow:vertical;mso-layout-flow-alt:bottom-to-top">
              <w:txbxContent>
                <w:p>
                  <w:pPr>
                    <w:spacing w:before="10"/>
                    <w:ind w:left="20" w:right="0" w:firstLine="0"/>
                    <w:jc w:val="left"/>
                    <w:rPr>
                      <w:b/>
                      <w:sz w:val="20"/>
                    </w:rPr>
                  </w:pPr>
                  <w:r>
                    <w:rPr>
                      <w:b/>
                      <w:color w:val="FFFFFF"/>
                      <w:sz w:val="20"/>
                    </w:rPr>
                    <w:t>89.5%</w:t>
                  </w:r>
                </w:p>
              </w:txbxContent>
            </v:textbox>
            <w10:wrap type="none"/>
          </v:shape>
        </w:pict>
      </w:r>
      <w:r>
        <w:rPr>
          <w:color w:val="585858"/>
          <w:w w:val="95"/>
          <w:sz w:val="14"/>
        </w:rPr>
        <w:t>50.0%</w:t>
      </w:r>
    </w:p>
    <w:p>
      <w:pPr>
        <w:spacing w:before="122"/>
        <w:ind w:left="0" w:right="9940" w:firstLine="0"/>
        <w:jc w:val="right"/>
        <w:rPr>
          <w:sz w:val="14"/>
        </w:rPr>
      </w:pPr>
      <w:r>
        <w:rPr>
          <w:color w:val="585858"/>
          <w:w w:val="95"/>
          <w:sz w:val="14"/>
        </w:rPr>
        <w:t>40.0%</w:t>
      </w:r>
    </w:p>
    <w:p>
      <w:pPr>
        <w:spacing w:before="123"/>
        <w:ind w:left="0" w:right="9940" w:firstLine="0"/>
        <w:jc w:val="right"/>
        <w:rPr>
          <w:sz w:val="14"/>
        </w:rPr>
      </w:pPr>
      <w:r>
        <w:rPr>
          <w:color w:val="585858"/>
          <w:w w:val="95"/>
          <w:sz w:val="14"/>
        </w:rPr>
        <w:t>30.0%</w:t>
      </w:r>
    </w:p>
    <w:p>
      <w:pPr>
        <w:spacing w:before="122"/>
        <w:ind w:left="0" w:right="9940" w:firstLine="0"/>
        <w:jc w:val="right"/>
        <w:rPr>
          <w:sz w:val="14"/>
        </w:rPr>
      </w:pPr>
      <w:r>
        <w:rPr>
          <w:color w:val="585858"/>
          <w:w w:val="95"/>
          <w:sz w:val="14"/>
        </w:rPr>
        <w:t>20.0%</w:t>
      </w:r>
    </w:p>
    <w:p>
      <w:pPr>
        <w:spacing w:before="122"/>
        <w:ind w:left="0" w:right="9940" w:firstLine="0"/>
        <w:jc w:val="right"/>
        <w:rPr>
          <w:sz w:val="14"/>
        </w:rPr>
      </w:pPr>
      <w:r>
        <w:rPr>
          <w:color w:val="585858"/>
          <w:w w:val="95"/>
          <w:sz w:val="14"/>
        </w:rPr>
        <w:t>10.0%</w:t>
      </w:r>
    </w:p>
    <w:p>
      <w:pPr>
        <w:spacing w:before="122"/>
        <w:ind w:left="0" w:right="9939" w:firstLine="0"/>
        <w:jc w:val="right"/>
        <w:rPr>
          <w:sz w:val="14"/>
        </w:rPr>
      </w:pPr>
      <w:r>
        <w:rPr/>
        <w:drawing>
          <wp:anchor distT="0" distB="0" distL="0" distR="0" allowOverlap="1" layoutInCell="1" locked="0" behindDoc="0" simplePos="0" relativeHeight="958">
            <wp:simplePos x="0" y="0"/>
            <wp:positionH relativeFrom="page">
              <wp:posOffset>1456816</wp:posOffset>
            </wp:positionH>
            <wp:positionV relativeFrom="paragraph">
              <wp:posOffset>203900</wp:posOffset>
            </wp:positionV>
            <wp:extent cx="2891435" cy="476250"/>
            <wp:effectExtent l="0" t="0" r="0" b="0"/>
            <wp:wrapTopAndBottom/>
            <wp:docPr id="61" name="image138.png"/>
            <wp:cNvGraphicFramePr>
              <a:graphicFrameLocks noChangeAspect="1"/>
            </wp:cNvGraphicFramePr>
            <a:graphic>
              <a:graphicData uri="http://schemas.openxmlformats.org/drawingml/2006/picture">
                <pic:pic>
                  <pic:nvPicPr>
                    <pic:cNvPr id="62" name="image138.png"/>
                    <pic:cNvPicPr/>
                  </pic:nvPicPr>
                  <pic:blipFill>
                    <a:blip r:embed="rId144" cstate="print"/>
                    <a:stretch>
                      <a:fillRect/>
                    </a:stretch>
                  </pic:blipFill>
                  <pic:spPr>
                    <a:xfrm>
                      <a:off x="0" y="0"/>
                      <a:ext cx="2891435" cy="476250"/>
                    </a:xfrm>
                    <a:prstGeom prst="rect">
                      <a:avLst/>
                    </a:prstGeom>
                  </pic:spPr>
                </pic:pic>
              </a:graphicData>
            </a:graphic>
          </wp:anchor>
        </w:drawing>
      </w:r>
      <w:r>
        <w:rPr/>
        <w:drawing>
          <wp:anchor distT="0" distB="0" distL="0" distR="0" allowOverlap="1" layoutInCell="1" locked="0" behindDoc="0" simplePos="0" relativeHeight="959">
            <wp:simplePos x="0" y="0"/>
            <wp:positionH relativeFrom="page">
              <wp:posOffset>4440301</wp:posOffset>
            </wp:positionH>
            <wp:positionV relativeFrom="paragraph">
              <wp:posOffset>200217</wp:posOffset>
            </wp:positionV>
            <wp:extent cx="2008919" cy="585787"/>
            <wp:effectExtent l="0" t="0" r="0" b="0"/>
            <wp:wrapTopAndBottom/>
            <wp:docPr id="63" name="image139.png"/>
            <wp:cNvGraphicFramePr>
              <a:graphicFrameLocks noChangeAspect="1"/>
            </wp:cNvGraphicFramePr>
            <a:graphic>
              <a:graphicData uri="http://schemas.openxmlformats.org/drawingml/2006/picture">
                <pic:pic>
                  <pic:nvPicPr>
                    <pic:cNvPr id="64" name="image139.png"/>
                    <pic:cNvPicPr/>
                  </pic:nvPicPr>
                  <pic:blipFill>
                    <a:blip r:embed="rId145" cstate="print"/>
                    <a:stretch>
                      <a:fillRect/>
                    </a:stretch>
                  </pic:blipFill>
                  <pic:spPr>
                    <a:xfrm>
                      <a:off x="0" y="0"/>
                      <a:ext cx="2008919" cy="585787"/>
                    </a:xfrm>
                    <a:prstGeom prst="rect">
                      <a:avLst/>
                    </a:prstGeom>
                  </pic:spPr>
                </pic:pic>
              </a:graphicData>
            </a:graphic>
          </wp:anchor>
        </w:drawing>
      </w:r>
      <w:r>
        <w:rPr>
          <w:color w:val="585858"/>
          <w:w w:val="95"/>
          <w:sz w:val="14"/>
        </w:rPr>
        <w:t>0.0%</w:t>
      </w:r>
    </w:p>
    <w:p>
      <w:pPr>
        <w:tabs>
          <w:tab w:pos="3054" w:val="left" w:leader="none"/>
          <w:tab w:pos="5777" w:val="left" w:leader="none"/>
          <w:tab w:pos="6820" w:val="left" w:leader="none"/>
        </w:tabs>
        <w:spacing w:before="1"/>
        <w:ind w:left="1671" w:right="0" w:firstLine="0"/>
        <w:jc w:val="left"/>
        <w:rPr>
          <w:sz w:val="18"/>
        </w:rPr>
      </w:pPr>
      <w:r>
        <w:rPr>
          <w:color w:val="585858"/>
          <w:sz w:val="18"/>
        </w:rPr>
        <w:t>Promedio</w:t>
        <w:tab/>
        <w:t>Presupuesto</w:t>
      </w:r>
      <w:r>
        <w:rPr>
          <w:color w:val="585858"/>
          <w:spacing w:val="-4"/>
          <w:sz w:val="18"/>
        </w:rPr>
        <w:t> </w:t>
      </w:r>
      <w:r>
        <w:rPr>
          <w:color w:val="585858"/>
          <w:sz w:val="18"/>
        </w:rPr>
        <w:t>Operativo</w:t>
      </w:r>
      <w:r>
        <w:rPr>
          <w:color w:val="585858"/>
          <w:spacing w:val="-4"/>
          <w:sz w:val="18"/>
        </w:rPr>
        <w:t> </w:t>
      </w:r>
      <w:r>
        <w:rPr>
          <w:color w:val="585858"/>
          <w:sz w:val="18"/>
        </w:rPr>
        <w:t>2021</w:t>
        <w:tab/>
        <w:t>2021</w:t>
        <w:tab/>
        <w:t>Ejecución Institucional</w:t>
      </w:r>
      <w:r>
        <w:rPr>
          <w:color w:val="585858"/>
          <w:spacing w:val="-1"/>
          <w:sz w:val="18"/>
        </w:rPr>
        <w:t> </w:t>
      </w:r>
      <w:r>
        <w:rPr>
          <w:color w:val="585858"/>
          <w:sz w:val="18"/>
        </w:rPr>
        <w:t>2021</w:t>
      </w:r>
    </w:p>
    <w:p>
      <w:pPr>
        <w:spacing w:line="276" w:lineRule="auto" w:before="56"/>
        <w:ind w:left="562" w:right="5039" w:firstLine="0"/>
        <w:jc w:val="left"/>
        <w:rPr>
          <w:sz w:val="16"/>
        </w:rPr>
      </w:pPr>
      <w:r>
        <w:rPr/>
        <w:pict>
          <v:group style="position:absolute;margin-left:112.080002pt;margin-top:-7.561265pt;width:26.2pt;height:5.4pt;mso-position-horizontal-relative:page;mso-position-vertical-relative:paragraph;z-index:252644352" coordorigin="2242,-151" coordsize="524,108">
            <v:line style="position:absolute" from="2251,-97" to="2755,-97" stroked="true" strokeweight="4.440pt" strokecolor="#1f4e79">
              <v:stroke dashstyle="solid"/>
            </v:line>
            <v:rect style="position:absolute;left:2251;top:-142;width:504;height:89" filled="false" stroked="true" strokeweight=".96pt" strokecolor="#000000">
              <v:stroke dashstyle="solid"/>
            </v:rect>
            <w10:wrap type="none"/>
          </v:group>
        </w:pict>
      </w:r>
      <w:r>
        <w:rPr/>
        <w:pict>
          <v:line style="position:absolute;mso-position-horizontal-relative:page;mso-position-vertical-relative:paragraph;z-index:-280674304" from="181.740005pt,-4.861265pt" to="206.940005pt,-4.861265pt" stroked="true" strokeweight="2.280pt" strokecolor="#ec7c30">
            <v:stroke dashstyle="dash"/>
            <w10:wrap type="none"/>
          </v:line>
        </w:pict>
      </w:r>
      <w:r>
        <w:rPr/>
        <w:drawing>
          <wp:anchor distT="0" distB="0" distL="0" distR="0" allowOverlap="1" layoutInCell="1" locked="0" behindDoc="1" simplePos="0" relativeHeight="222643200">
            <wp:simplePos x="0" y="0"/>
            <wp:positionH relativeFrom="page">
              <wp:posOffset>4158996</wp:posOffset>
            </wp:positionH>
            <wp:positionV relativeFrom="paragraph">
              <wp:posOffset>-99076</wp:posOffset>
            </wp:positionV>
            <wp:extent cx="73152" cy="73151"/>
            <wp:effectExtent l="0" t="0" r="0" b="0"/>
            <wp:wrapNone/>
            <wp:docPr id="65" name="image140.png"/>
            <wp:cNvGraphicFramePr>
              <a:graphicFrameLocks noChangeAspect="1"/>
            </wp:cNvGraphicFramePr>
            <a:graphic>
              <a:graphicData uri="http://schemas.openxmlformats.org/drawingml/2006/picture">
                <pic:pic>
                  <pic:nvPicPr>
                    <pic:cNvPr id="66" name="image140.png"/>
                    <pic:cNvPicPr/>
                  </pic:nvPicPr>
                  <pic:blipFill>
                    <a:blip r:embed="rId146" cstate="print"/>
                    <a:stretch>
                      <a:fillRect/>
                    </a:stretch>
                  </pic:blipFill>
                  <pic:spPr>
                    <a:xfrm>
                      <a:off x="0" y="0"/>
                      <a:ext cx="73152" cy="73151"/>
                    </a:xfrm>
                    <a:prstGeom prst="rect">
                      <a:avLst/>
                    </a:prstGeom>
                  </pic:spPr>
                </pic:pic>
              </a:graphicData>
            </a:graphic>
          </wp:anchor>
        </w:drawing>
      </w:r>
      <w:r>
        <w:rPr/>
        <w:pict>
          <v:line style="position:absolute;mso-position-horizontal-relative:page;mso-position-vertical-relative:paragraph;z-index:-280672256" from="370.019989pt,-4.861265pt" to="395.219989pt,-4.861265pt" stroked="true" strokeweight="2.280pt" strokecolor="#ffc000">
            <v:stroke dashstyle="dash"/>
            <w10:wrap type="none"/>
          </v:line>
        </w:pict>
      </w:r>
      <w:r>
        <w:rPr>
          <w:sz w:val="16"/>
        </w:rPr>
        <w:t>*Considera grado de Ejecución del Presupuesto Operativo Q94,354.0 millones Fuente: Dirección de Análisis y Política Fiscal</w:t>
      </w:r>
    </w:p>
    <w:p>
      <w:pPr>
        <w:pStyle w:val="BodyText"/>
        <w:spacing w:before="4"/>
        <w:rPr>
          <w:sz w:val="25"/>
        </w:rPr>
      </w:pPr>
    </w:p>
    <w:p>
      <w:pPr>
        <w:pStyle w:val="Heading2"/>
        <w:numPr>
          <w:ilvl w:val="2"/>
          <w:numId w:val="18"/>
        </w:numPr>
        <w:tabs>
          <w:tab w:pos="1978" w:val="left" w:leader="none"/>
        </w:tabs>
        <w:spacing w:line="276" w:lineRule="auto" w:before="1" w:after="0"/>
        <w:ind w:left="1786" w:right="1697" w:hanging="504"/>
        <w:jc w:val="left"/>
      </w:pPr>
      <w:bookmarkStart w:name="_bookmark137" w:id="169"/>
      <w:bookmarkEnd w:id="169"/>
      <w:r>
        <w:rPr>
          <w:b w:val="0"/>
        </w:rPr>
      </w:r>
      <w:bookmarkStart w:name="_bookmark137" w:id="170"/>
      <w:bookmarkEnd w:id="170"/>
      <w:r>
        <w:rPr/>
        <w:t>Ej</w:t>
      </w:r>
      <w:r>
        <w:rPr/>
        <w:t>ecución del gasto público relacionado a Desastres Naturales y Calamidades</w:t>
      </w:r>
      <w:r>
        <w:rPr>
          <w:spacing w:val="1"/>
        </w:rPr>
        <w:t> </w:t>
      </w:r>
      <w:r>
        <w:rPr/>
        <w:t>Públicas</w:t>
      </w:r>
    </w:p>
    <w:p>
      <w:pPr>
        <w:pStyle w:val="BodyText"/>
        <w:spacing w:before="7"/>
        <w:rPr>
          <w:b/>
          <w:sz w:val="27"/>
        </w:rPr>
      </w:pPr>
    </w:p>
    <w:p>
      <w:pPr>
        <w:pStyle w:val="Heading2"/>
        <w:numPr>
          <w:ilvl w:val="3"/>
          <w:numId w:val="18"/>
        </w:numPr>
        <w:tabs>
          <w:tab w:pos="2685" w:val="left" w:leader="none"/>
          <w:tab w:pos="2686" w:val="left" w:leader="none"/>
        </w:tabs>
        <w:spacing w:line="240" w:lineRule="auto" w:before="0" w:after="0"/>
        <w:ind w:left="2686" w:right="0" w:hanging="1044"/>
        <w:jc w:val="left"/>
      </w:pPr>
      <w:bookmarkStart w:name="_bookmark138" w:id="171"/>
      <w:bookmarkEnd w:id="171"/>
      <w:r>
        <w:rPr>
          <w:b w:val="0"/>
        </w:rPr>
      </w:r>
      <w:bookmarkStart w:name="_bookmark138" w:id="172"/>
      <w:bookmarkEnd w:id="172"/>
      <w:r>
        <w:rPr/>
        <w:t>E</w:t>
      </w:r>
      <w:r>
        <w:rPr/>
        <w:t>mergencia Sanitaria por</w:t>
      </w:r>
      <w:r>
        <w:rPr>
          <w:spacing w:val="-2"/>
        </w:rPr>
        <w:t> </w:t>
      </w:r>
      <w:r>
        <w:rPr/>
        <w:t>COVID-19</w:t>
      </w:r>
    </w:p>
    <w:p>
      <w:pPr>
        <w:pStyle w:val="BodyText"/>
        <w:spacing w:before="7"/>
        <w:rPr>
          <w:b/>
          <w:sz w:val="30"/>
        </w:rPr>
      </w:pPr>
    </w:p>
    <w:p>
      <w:pPr>
        <w:pStyle w:val="BodyText"/>
        <w:spacing w:line="276" w:lineRule="auto"/>
        <w:ind w:left="562" w:right="1693"/>
        <w:jc w:val="both"/>
      </w:pPr>
      <w:r>
        <w:rPr/>
        <w:t>El seguimiento de la ejecución del gasto relacionado a la pandemia COVID-19, se da por medio del programa 94 “Atención por Desastres Naturales y Calamidades Públicas” y por medio de dos subprogramas,</w:t>
      </w:r>
      <w:r>
        <w:rPr>
          <w:spacing w:val="-7"/>
        </w:rPr>
        <w:t> </w:t>
      </w:r>
      <w:r>
        <w:rPr/>
        <w:t>el</w:t>
      </w:r>
      <w:r>
        <w:rPr>
          <w:spacing w:val="-9"/>
        </w:rPr>
        <w:t> </w:t>
      </w:r>
      <w:r>
        <w:rPr/>
        <w:t>subprograma</w:t>
      </w:r>
      <w:r>
        <w:rPr>
          <w:spacing w:val="-7"/>
        </w:rPr>
        <w:t> </w:t>
      </w:r>
      <w:r>
        <w:rPr/>
        <w:t>09</w:t>
      </w:r>
      <w:r>
        <w:rPr>
          <w:spacing w:val="-7"/>
        </w:rPr>
        <w:t> </w:t>
      </w:r>
      <w:r>
        <w:rPr/>
        <w:t>“Estado</w:t>
      </w:r>
      <w:r>
        <w:rPr>
          <w:spacing w:val="-7"/>
        </w:rPr>
        <w:t> </w:t>
      </w:r>
      <w:r>
        <w:rPr/>
        <w:t>de</w:t>
      </w:r>
      <w:r>
        <w:rPr>
          <w:spacing w:val="-9"/>
        </w:rPr>
        <w:t> </w:t>
      </w:r>
      <w:r>
        <w:rPr/>
        <w:t>Calamidad</w:t>
      </w:r>
      <w:r>
        <w:rPr>
          <w:spacing w:val="-7"/>
        </w:rPr>
        <w:t> </w:t>
      </w:r>
      <w:r>
        <w:rPr/>
        <w:t>Pública</w:t>
      </w:r>
      <w:r>
        <w:rPr>
          <w:spacing w:val="-9"/>
        </w:rPr>
        <w:t> </w:t>
      </w:r>
      <w:r>
        <w:rPr/>
        <w:t>por</w:t>
      </w:r>
      <w:r>
        <w:rPr>
          <w:spacing w:val="-6"/>
        </w:rPr>
        <w:t> </w:t>
      </w:r>
      <w:r>
        <w:rPr/>
        <w:t>Emergencia</w:t>
      </w:r>
      <w:r>
        <w:rPr>
          <w:spacing w:val="-8"/>
        </w:rPr>
        <w:t> </w:t>
      </w:r>
      <w:r>
        <w:rPr/>
        <w:t>COVID-19</w:t>
      </w:r>
      <w:r>
        <w:rPr>
          <w:spacing w:val="-7"/>
        </w:rPr>
        <w:t> </w:t>
      </w:r>
      <w:r>
        <w:rPr/>
        <w:t>(DG</w:t>
      </w:r>
      <w:r>
        <w:rPr>
          <w:spacing w:val="-8"/>
        </w:rPr>
        <w:t> </w:t>
      </w:r>
      <w:r>
        <w:rPr/>
        <w:t>5- 2020)” y el subprograma 13 “Ley de Emergencia Nacional para la atención de la pandemia COVID- 19”.</w:t>
      </w:r>
    </w:p>
    <w:p>
      <w:pPr>
        <w:pStyle w:val="BodyText"/>
        <w:spacing w:before="6"/>
        <w:rPr>
          <w:sz w:val="25"/>
        </w:rPr>
      </w:pPr>
    </w:p>
    <w:p>
      <w:pPr>
        <w:pStyle w:val="BodyText"/>
        <w:spacing w:line="276" w:lineRule="auto"/>
        <w:ind w:left="562" w:right="1697"/>
        <w:jc w:val="both"/>
      </w:pPr>
      <w:r>
        <w:rPr/>
        <w:t>En</w:t>
      </w:r>
      <w:r>
        <w:rPr>
          <w:spacing w:val="-8"/>
        </w:rPr>
        <w:t> </w:t>
      </w:r>
      <w:r>
        <w:rPr/>
        <w:t>septiembre</w:t>
      </w:r>
      <w:r>
        <w:rPr>
          <w:spacing w:val="-8"/>
        </w:rPr>
        <w:t> </w:t>
      </w:r>
      <w:r>
        <w:rPr/>
        <w:t>fue</w:t>
      </w:r>
      <w:r>
        <w:rPr>
          <w:spacing w:val="-7"/>
        </w:rPr>
        <w:t> </w:t>
      </w:r>
      <w:r>
        <w:rPr/>
        <w:t>publicado</w:t>
      </w:r>
      <w:r>
        <w:rPr>
          <w:spacing w:val="-6"/>
        </w:rPr>
        <w:t> </w:t>
      </w:r>
      <w:r>
        <w:rPr/>
        <w:t>el</w:t>
      </w:r>
      <w:r>
        <w:rPr>
          <w:spacing w:val="-5"/>
        </w:rPr>
        <w:t> </w:t>
      </w:r>
      <w:r>
        <w:rPr/>
        <w:t>Decreto</w:t>
      </w:r>
      <w:r>
        <w:rPr>
          <w:spacing w:val="-7"/>
        </w:rPr>
        <w:t> </w:t>
      </w:r>
      <w:r>
        <w:rPr/>
        <w:t>11-2021</w:t>
      </w:r>
      <w:r>
        <w:rPr>
          <w:spacing w:val="-6"/>
        </w:rPr>
        <w:t> </w:t>
      </w:r>
      <w:r>
        <w:rPr/>
        <w:t>“Ley</w:t>
      </w:r>
      <w:r>
        <w:rPr>
          <w:spacing w:val="-9"/>
        </w:rPr>
        <w:t> </w:t>
      </w:r>
      <w:r>
        <w:rPr/>
        <w:t>de</w:t>
      </w:r>
      <w:r>
        <w:rPr>
          <w:spacing w:val="-6"/>
        </w:rPr>
        <w:t> </w:t>
      </w:r>
      <w:r>
        <w:rPr/>
        <w:t>Emergencia</w:t>
      </w:r>
      <w:r>
        <w:rPr>
          <w:spacing w:val="-5"/>
        </w:rPr>
        <w:t> </w:t>
      </w:r>
      <w:r>
        <w:rPr/>
        <w:t>Nacional</w:t>
      </w:r>
      <w:r>
        <w:rPr>
          <w:spacing w:val="-6"/>
        </w:rPr>
        <w:t> </w:t>
      </w:r>
      <w:r>
        <w:rPr/>
        <w:t>para</w:t>
      </w:r>
      <w:r>
        <w:rPr>
          <w:spacing w:val="-6"/>
        </w:rPr>
        <w:t> </w:t>
      </w:r>
      <w:r>
        <w:rPr/>
        <w:t>la</w:t>
      </w:r>
      <w:r>
        <w:rPr>
          <w:spacing w:val="-7"/>
        </w:rPr>
        <w:t> </w:t>
      </w:r>
      <w:r>
        <w:rPr/>
        <w:t>atención</w:t>
      </w:r>
      <w:r>
        <w:rPr>
          <w:spacing w:val="-9"/>
        </w:rPr>
        <w:t> </w:t>
      </w:r>
      <w:r>
        <w:rPr/>
        <w:t>de</w:t>
      </w:r>
      <w:r>
        <w:rPr>
          <w:spacing w:val="-8"/>
        </w:rPr>
        <w:t> </w:t>
      </w:r>
      <w:r>
        <w:rPr/>
        <w:t>la pandemia</w:t>
      </w:r>
      <w:r>
        <w:rPr>
          <w:spacing w:val="17"/>
        </w:rPr>
        <w:t> </w:t>
      </w:r>
      <w:r>
        <w:rPr/>
        <w:t>COVID-19”</w:t>
      </w:r>
      <w:r>
        <w:rPr>
          <w:spacing w:val="18"/>
        </w:rPr>
        <w:t> </w:t>
      </w:r>
      <w:r>
        <w:rPr/>
        <w:t>considerando</w:t>
      </w:r>
      <w:r>
        <w:rPr>
          <w:spacing w:val="17"/>
        </w:rPr>
        <w:t> </w:t>
      </w:r>
      <w:r>
        <w:rPr/>
        <w:t>la</w:t>
      </w:r>
      <w:r>
        <w:rPr>
          <w:spacing w:val="18"/>
        </w:rPr>
        <w:t> </w:t>
      </w:r>
      <w:r>
        <w:rPr/>
        <w:t>necesidad</w:t>
      </w:r>
      <w:r>
        <w:rPr>
          <w:spacing w:val="17"/>
        </w:rPr>
        <w:t> </w:t>
      </w:r>
      <w:r>
        <w:rPr/>
        <w:t>de</w:t>
      </w:r>
      <w:r>
        <w:rPr>
          <w:spacing w:val="16"/>
        </w:rPr>
        <w:t> </w:t>
      </w:r>
      <w:r>
        <w:rPr/>
        <w:t>crear</w:t>
      </w:r>
      <w:r>
        <w:rPr>
          <w:spacing w:val="17"/>
        </w:rPr>
        <w:t> </w:t>
      </w:r>
      <w:r>
        <w:rPr/>
        <w:t>un</w:t>
      </w:r>
      <w:r>
        <w:rPr>
          <w:spacing w:val="18"/>
        </w:rPr>
        <w:t> </w:t>
      </w:r>
      <w:r>
        <w:rPr/>
        <w:t>mecanismo</w:t>
      </w:r>
      <w:r>
        <w:rPr>
          <w:spacing w:val="17"/>
        </w:rPr>
        <w:t> </w:t>
      </w:r>
      <w:r>
        <w:rPr/>
        <w:t>temporal</w:t>
      </w:r>
      <w:r>
        <w:rPr>
          <w:spacing w:val="19"/>
        </w:rPr>
        <w:t> </w:t>
      </w:r>
      <w:r>
        <w:rPr/>
        <w:t>de</w:t>
      </w:r>
      <w:r>
        <w:rPr>
          <w:spacing w:val="17"/>
        </w:rPr>
        <w:t> </w:t>
      </w:r>
      <w:r>
        <w:rPr/>
        <w:t>adquisición</w:t>
      </w:r>
    </w:p>
    <w:p>
      <w:pPr>
        <w:spacing w:after="0" w:line="276" w:lineRule="auto"/>
        <w:jc w:val="both"/>
        <w:sectPr>
          <w:pgSz w:w="12240" w:h="15840"/>
          <w:pgMar w:header="715" w:footer="957" w:top="1240" w:bottom="1140" w:left="1140" w:right="0"/>
        </w:sectPr>
      </w:pPr>
    </w:p>
    <w:p>
      <w:pPr>
        <w:pStyle w:val="BodyText"/>
        <w:spacing w:line="276" w:lineRule="auto" w:before="162"/>
        <w:ind w:left="562" w:right="1701"/>
        <w:jc w:val="both"/>
      </w:pPr>
      <w:r>
        <w:rPr/>
        <w:t>extraordinaria</w:t>
      </w:r>
      <w:r>
        <w:rPr>
          <w:spacing w:val="-9"/>
        </w:rPr>
        <w:t> </w:t>
      </w:r>
      <w:r>
        <w:rPr/>
        <w:t>de</w:t>
      </w:r>
      <w:r>
        <w:rPr>
          <w:spacing w:val="-7"/>
        </w:rPr>
        <w:t> </w:t>
      </w:r>
      <w:r>
        <w:rPr/>
        <w:t>medicamentos,</w:t>
      </w:r>
      <w:r>
        <w:rPr>
          <w:spacing w:val="-9"/>
        </w:rPr>
        <w:t> </w:t>
      </w:r>
      <w:r>
        <w:rPr/>
        <w:t>suministros,</w:t>
      </w:r>
      <w:r>
        <w:rPr>
          <w:spacing w:val="-9"/>
        </w:rPr>
        <w:t> </w:t>
      </w:r>
      <w:r>
        <w:rPr/>
        <w:t>material</w:t>
      </w:r>
      <w:r>
        <w:rPr>
          <w:spacing w:val="-11"/>
        </w:rPr>
        <w:t> </w:t>
      </w:r>
      <w:r>
        <w:rPr/>
        <w:t>quirúrgico</w:t>
      </w:r>
      <w:r>
        <w:rPr>
          <w:spacing w:val="-9"/>
        </w:rPr>
        <w:t> </w:t>
      </w:r>
      <w:r>
        <w:rPr/>
        <w:t>y</w:t>
      </w:r>
      <w:r>
        <w:rPr>
          <w:spacing w:val="-10"/>
        </w:rPr>
        <w:t> </w:t>
      </w:r>
      <w:r>
        <w:rPr/>
        <w:t>servicios</w:t>
      </w:r>
      <w:r>
        <w:rPr>
          <w:spacing w:val="-9"/>
        </w:rPr>
        <w:t> </w:t>
      </w:r>
      <w:r>
        <w:rPr/>
        <w:t>destinados</w:t>
      </w:r>
      <w:r>
        <w:rPr>
          <w:spacing w:val="-9"/>
        </w:rPr>
        <w:t> </w:t>
      </w:r>
      <w:r>
        <w:rPr/>
        <w:t>a</w:t>
      </w:r>
      <w:r>
        <w:rPr>
          <w:spacing w:val="-9"/>
        </w:rPr>
        <w:t> </w:t>
      </w:r>
      <w:r>
        <w:rPr/>
        <w:t>la</w:t>
      </w:r>
      <w:r>
        <w:rPr>
          <w:spacing w:val="-9"/>
        </w:rPr>
        <w:t> </w:t>
      </w:r>
      <w:r>
        <w:rPr/>
        <w:t>atención de</w:t>
      </w:r>
      <w:r>
        <w:rPr>
          <w:spacing w:val="-1"/>
        </w:rPr>
        <w:t> </w:t>
      </w:r>
      <w:r>
        <w:rPr/>
        <w:t>pacientes.</w:t>
      </w:r>
    </w:p>
    <w:p>
      <w:pPr>
        <w:pStyle w:val="BodyText"/>
        <w:spacing w:before="2"/>
        <w:rPr>
          <w:sz w:val="25"/>
        </w:rPr>
      </w:pPr>
    </w:p>
    <w:p>
      <w:pPr>
        <w:pStyle w:val="BodyText"/>
        <w:spacing w:line="276" w:lineRule="auto"/>
        <w:ind w:left="562" w:right="1696"/>
        <w:jc w:val="both"/>
      </w:pPr>
      <w:r>
        <w:rPr/>
        <w:t>Dentro del sistema se creó el subprograma 13 “Ley de Emergencia Nacional para la Atención de la Pandemia COVID-19”, estando concentrada la ejecución en intervenciones de prevención y recuperación para la pandemia COVID-19 y en la entrega de kits de tratamiento contra el COVID- 19.</w:t>
      </w:r>
    </w:p>
    <w:p>
      <w:pPr>
        <w:pStyle w:val="BodyText"/>
        <w:spacing w:before="6"/>
        <w:rPr>
          <w:sz w:val="25"/>
        </w:rPr>
      </w:pPr>
    </w:p>
    <w:p>
      <w:pPr>
        <w:pStyle w:val="BodyText"/>
        <w:spacing w:line="276" w:lineRule="auto"/>
        <w:ind w:left="562" w:right="1697"/>
        <w:jc w:val="both"/>
      </w:pPr>
      <w:r>
        <w:rPr/>
        <w:t>Durante el 2021, se dieron gastos en un monto menor, pero aun importantes a nivel de cuatro entidades, siendo el caso de Ministerio de Salud Pública y Asistencia Social por Q2,988.2 millones, Ministerio de Agricultura, Ganadería y Alimentación por Q113.3 millones, Ministerio de Desarrollo Social</w:t>
      </w:r>
      <w:r>
        <w:rPr>
          <w:spacing w:val="-10"/>
        </w:rPr>
        <w:t> </w:t>
      </w:r>
      <w:r>
        <w:rPr/>
        <w:t>por</w:t>
      </w:r>
      <w:r>
        <w:rPr>
          <w:spacing w:val="-11"/>
        </w:rPr>
        <w:t> </w:t>
      </w:r>
      <w:r>
        <w:rPr/>
        <w:t>Q103.0</w:t>
      </w:r>
      <w:r>
        <w:rPr>
          <w:spacing w:val="-10"/>
        </w:rPr>
        <w:t> </w:t>
      </w:r>
      <w:r>
        <w:rPr/>
        <w:t>millones</w:t>
      </w:r>
      <w:r>
        <w:rPr>
          <w:spacing w:val="-11"/>
        </w:rPr>
        <w:t> </w:t>
      </w:r>
      <w:r>
        <w:rPr/>
        <w:t>y</w:t>
      </w:r>
      <w:r>
        <w:rPr>
          <w:spacing w:val="-13"/>
        </w:rPr>
        <w:t> </w:t>
      </w:r>
      <w:r>
        <w:rPr/>
        <w:t>Secretarías</w:t>
      </w:r>
      <w:r>
        <w:rPr>
          <w:spacing w:val="-11"/>
        </w:rPr>
        <w:t> </w:t>
      </w:r>
      <w:r>
        <w:rPr/>
        <w:t>y</w:t>
      </w:r>
      <w:r>
        <w:rPr>
          <w:spacing w:val="-12"/>
        </w:rPr>
        <w:t> </w:t>
      </w:r>
      <w:r>
        <w:rPr/>
        <w:t>otras</w:t>
      </w:r>
      <w:r>
        <w:rPr>
          <w:spacing w:val="-11"/>
        </w:rPr>
        <w:t> </w:t>
      </w:r>
      <w:r>
        <w:rPr/>
        <w:t>Dependencias</w:t>
      </w:r>
      <w:r>
        <w:rPr>
          <w:spacing w:val="-11"/>
        </w:rPr>
        <w:t> </w:t>
      </w:r>
      <w:r>
        <w:rPr/>
        <w:t>del</w:t>
      </w:r>
      <w:r>
        <w:rPr>
          <w:spacing w:val="-10"/>
        </w:rPr>
        <w:t> </w:t>
      </w:r>
      <w:r>
        <w:rPr/>
        <w:t>Ejecutivo</w:t>
      </w:r>
      <w:r>
        <w:rPr>
          <w:spacing w:val="-10"/>
        </w:rPr>
        <w:t> </w:t>
      </w:r>
      <w:r>
        <w:rPr/>
        <w:t>por</w:t>
      </w:r>
      <w:r>
        <w:rPr>
          <w:spacing w:val="-9"/>
        </w:rPr>
        <w:t> </w:t>
      </w:r>
      <w:r>
        <w:rPr/>
        <w:t>Q13.7</w:t>
      </w:r>
      <w:r>
        <w:rPr>
          <w:spacing w:val="-10"/>
        </w:rPr>
        <w:t> </w:t>
      </w:r>
      <w:r>
        <w:rPr/>
        <w:t>millones,</w:t>
      </w:r>
      <w:r>
        <w:rPr>
          <w:spacing w:val="-13"/>
        </w:rPr>
        <w:t> </w:t>
      </w:r>
      <w:r>
        <w:rPr/>
        <w:t>que totalizan intervenciones por Q3,218.2</w:t>
      </w:r>
      <w:r>
        <w:rPr>
          <w:spacing w:val="-3"/>
        </w:rPr>
        <w:t> </w:t>
      </w:r>
      <w:r>
        <w:rPr/>
        <w:t>millones.</w:t>
      </w:r>
    </w:p>
    <w:p>
      <w:pPr>
        <w:pStyle w:val="BodyText"/>
        <w:spacing w:before="3"/>
        <w:rPr>
          <w:sz w:val="25"/>
        </w:rPr>
      </w:pPr>
    </w:p>
    <w:p>
      <w:pPr>
        <w:pStyle w:val="BodyText"/>
        <w:spacing w:line="276" w:lineRule="auto"/>
        <w:ind w:left="562" w:right="1695"/>
        <w:jc w:val="both"/>
      </w:pPr>
      <w:r>
        <w:rPr/>
        <w:t>Dentro</w:t>
      </w:r>
      <w:r>
        <w:rPr>
          <w:spacing w:val="-6"/>
        </w:rPr>
        <w:t> </w:t>
      </w:r>
      <w:r>
        <w:rPr/>
        <w:t>de</w:t>
      </w:r>
      <w:r>
        <w:rPr>
          <w:spacing w:val="-6"/>
        </w:rPr>
        <w:t> </w:t>
      </w:r>
      <w:r>
        <w:rPr/>
        <w:t>los</w:t>
      </w:r>
      <w:r>
        <w:rPr>
          <w:spacing w:val="-6"/>
        </w:rPr>
        <w:t> </w:t>
      </w:r>
      <w:r>
        <w:rPr/>
        <w:t>gastos,</w:t>
      </w:r>
      <w:r>
        <w:rPr>
          <w:spacing w:val="-6"/>
        </w:rPr>
        <w:t> </w:t>
      </w:r>
      <w:r>
        <w:rPr/>
        <w:t>resalta</w:t>
      </w:r>
      <w:r>
        <w:rPr>
          <w:spacing w:val="-3"/>
        </w:rPr>
        <w:t> </w:t>
      </w:r>
      <w:r>
        <w:rPr/>
        <w:t>la</w:t>
      </w:r>
      <w:r>
        <w:rPr>
          <w:spacing w:val="-6"/>
        </w:rPr>
        <w:t> </w:t>
      </w:r>
      <w:r>
        <w:rPr/>
        <w:t>ejecución</w:t>
      </w:r>
      <w:r>
        <w:rPr>
          <w:spacing w:val="-6"/>
        </w:rPr>
        <w:t> </w:t>
      </w:r>
      <w:r>
        <w:rPr/>
        <w:t>relacionada</w:t>
      </w:r>
      <w:r>
        <w:rPr>
          <w:spacing w:val="-6"/>
        </w:rPr>
        <w:t> </w:t>
      </w:r>
      <w:r>
        <w:rPr/>
        <w:t>al</w:t>
      </w:r>
      <w:r>
        <w:rPr>
          <w:spacing w:val="-3"/>
        </w:rPr>
        <w:t> </w:t>
      </w:r>
      <w:r>
        <w:rPr/>
        <w:t>esquema</w:t>
      </w:r>
      <w:r>
        <w:rPr>
          <w:spacing w:val="-3"/>
        </w:rPr>
        <w:t> </w:t>
      </w:r>
      <w:r>
        <w:rPr/>
        <w:t>de</w:t>
      </w:r>
      <w:r>
        <w:rPr>
          <w:spacing w:val="-3"/>
        </w:rPr>
        <w:t> </w:t>
      </w:r>
      <w:r>
        <w:rPr/>
        <w:t>vacunación</w:t>
      </w:r>
      <w:r>
        <w:rPr>
          <w:spacing w:val="-5"/>
        </w:rPr>
        <w:t> </w:t>
      </w:r>
      <w:r>
        <w:rPr/>
        <w:t>contra</w:t>
      </w:r>
      <w:r>
        <w:rPr>
          <w:spacing w:val="-3"/>
        </w:rPr>
        <w:t> </w:t>
      </w:r>
      <w:r>
        <w:rPr/>
        <w:t>el</w:t>
      </w:r>
      <w:r>
        <w:rPr>
          <w:spacing w:val="-3"/>
        </w:rPr>
        <w:t> </w:t>
      </w:r>
      <w:r>
        <w:rPr/>
        <w:t>COVID-19 (Q1,015.3 millones), el cual representa el 31.5% de la ejecución del gasto total COVID-19 del</w:t>
      </w:r>
      <w:r>
        <w:rPr>
          <w:spacing w:val="-32"/>
        </w:rPr>
        <w:t> </w:t>
      </w:r>
      <w:r>
        <w:rPr/>
        <w:t>2021, dentro</w:t>
      </w:r>
      <w:r>
        <w:rPr>
          <w:spacing w:val="-6"/>
        </w:rPr>
        <w:t> </w:t>
      </w:r>
      <w:r>
        <w:rPr/>
        <w:t>del</w:t>
      </w:r>
      <w:r>
        <w:rPr>
          <w:spacing w:val="-6"/>
        </w:rPr>
        <w:t> </w:t>
      </w:r>
      <w:r>
        <w:rPr/>
        <w:t>Ministerio</w:t>
      </w:r>
      <w:r>
        <w:rPr>
          <w:spacing w:val="-6"/>
        </w:rPr>
        <w:t> </w:t>
      </w:r>
      <w:r>
        <w:rPr/>
        <w:t>de</w:t>
      </w:r>
      <w:r>
        <w:rPr>
          <w:spacing w:val="-5"/>
        </w:rPr>
        <w:t> </w:t>
      </w:r>
      <w:r>
        <w:rPr/>
        <w:t>Salud</w:t>
      </w:r>
      <w:r>
        <w:rPr>
          <w:spacing w:val="-5"/>
        </w:rPr>
        <w:t> </w:t>
      </w:r>
      <w:r>
        <w:rPr/>
        <w:t>Pública</w:t>
      </w:r>
      <w:r>
        <w:rPr>
          <w:spacing w:val="-7"/>
        </w:rPr>
        <w:t> </w:t>
      </w:r>
      <w:r>
        <w:rPr/>
        <w:t>también</w:t>
      </w:r>
      <w:r>
        <w:rPr>
          <w:spacing w:val="-6"/>
        </w:rPr>
        <w:t> </w:t>
      </w:r>
      <w:r>
        <w:rPr/>
        <w:t>se</w:t>
      </w:r>
      <w:r>
        <w:rPr>
          <w:spacing w:val="-6"/>
        </w:rPr>
        <w:t> </w:t>
      </w:r>
      <w:r>
        <w:rPr/>
        <w:t>han</w:t>
      </w:r>
      <w:r>
        <w:rPr>
          <w:spacing w:val="-9"/>
        </w:rPr>
        <w:t> </w:t>
      </w:r>
      <w:r>
        <w:rPr/>
        <w:t>dado</w:t>
      </w:r>
      <w:r>
        <w:rPr>
          <w:spacing w:val="-4"/>
        </w:rPr>
        <w:t> </w:t>
      </w:r>
      <w:r>
        <w:rPr/>
        <w:t>otras</w:t>
      </w:r>
      <w:r>
        <w:rPr>
          <w:spacing w:val="-6"/>
        </w:rPr>
        <w:t> </w:t>
      </w:r>
      <w:r>
        <w:rPr/>
        <w:t>intervenciones</w:t>
      </w:r>
      <w:r>
        <w:rPr>
          <w:spacing w:val="-6"/>
        </w:rPr>
        <w:t> </w:t>
      </w:r>
      <w:r>
        <w:rPr/>
        <w:t>como</w:t>
      </w:r>
      <w:r>
        <w:rPr>
          <w:spacing w:val="-5"/>
        </w:rPr>
        <w:t> </w:t>
      </w:r>
      <w:r>
        <w:rPr/>
        <w:t>la</w:t>
      </w:r>
      <w:r>
        <w:rPr>
          <w:spacing w:val="-4"/>
        </w:rPr>
        <w:t> </w:t>
      </w:r>
      <w:r>
        <w:rPr/>
        <w:t>atención</w:t>
      </w:r>
      <w:r>
        <w:rPr>
          <w:spacing w:val="-7"/>
        </w:rPr>
        <w:t> </w:t>
      </w:r>
      <w:r>
        <w:rPr/>
        <w:t>de la emergencia COVID-19 (Q850.0 millones), laboratorios beneficiados con materiales y equipo de atención de la emergencia COVID-19 (Q71.3 millones), prevención, recuperación y kits de tratamiento COVID-19 (Q1,051.5</w:t>
      </w:r>
      <w:r>
        <w:rPr>
          <w:spacing w:val="-1"/>
        </w:rPr>
        <w:t> </w:t>
      </w:r>
      <w:r>
        <w:rPr/>
        <w:t>millones).</w:t>
      </w:r>
    </w:p>
    <w:p>
      <w:pPr>
        <w:pStyle w:val="BodyText"/>
        <w:spacing w:before="2"/>
        <w:rPr>
          <w:sz w:val="25"/>
        </w:rPr>
      </w:pPr>
    </w:p>
    <w:p>
      <w:pPr>
        <w:pStyle w:val="BodyText"/>
        <w:spacing w:line="276" w:lineRule="auto"/>
        <w:ind w:left="562" w:right="1697"/>
        <w:jc w:val="both"/>
      </w:pPr>
      <w:r>
        <w:rPr/>
        <w:t>Derivado de los esfuerzos antes mencionados, al cierre del ejercicio fiscal, de acuerdo al tablero de seguimiento de COVID-19 del MSPAS, se han administrado alrededor de 11.5 millones de dosis,</w:t>
      </w:r>
      <w:r>
        <w:rPr>
          <w:spacing w:val="-36"/>
        </w:rPr>
        <w:t> </w:t>
      </w:r>
      <w:r>
        <w:rPr/>
        <w:t>de las cuales 6.6 millones corresponden a primera dosis, 4.8 millones corresponden a segunda dosis (esquema</w:t>
      </w:r>
      <w:r>
        <w:rPr>
          <w:spacing w:val="-6"/>
        </w:rPr>
        <w:t> </w:t>
      </w:r>
      <w:r>
        <w:rPr/>
        <w:t>completo),</w:t>
      </w:r>
      <w:r>
        <w:rPr>
          <w:spacing w:val="-6"/>
        </w:rPr>
        <w:t> </w:t>
      </w:r>
      <w:r>
        <w:rPr/>
        <w:t>mientras</w:t>
      </w:r>
      <w:r>
        <w:rPr>
          <w:spacing w:val="-5"/>
        </w:rPr>
        <w:t> </w:t>
      </w:r>
      <w:r>
        <w:rPr/>
        <w:t>que</w:t>
      </w:r>
      <w:r>
        <w:rPr>
          <w:spacing w:val="-6"/>
        </w:rPr>
        <w:t> </w:t>
      </w:r>
      <w:r>
        <w:rPr/>
        <w:t>de</w:t>
      </w:r>
      <w:r>
        <w:rPr>
          <w:spacing w:val="-6"/>
        </w:rPr>
        <w:t> </w:t>
      </w:r>
      <w:r>
        <w:rPr/>
        <w:t>dosis</w:t>
      </w:r>
      <w:r>
        <w:rPr>
          <w:spacing w:val="-6"/>
        </w:rPr>
        <w:t> </w:t>
      </w:r>
      <w:r>
        <w:rPr/>
        <w:t>de</w:t>
      </w:r>
      <w:r>
        <w:rPr>
          <w:spacing w:val="-8"/>
        </w:rPr>
        <w:t> </w:t>
      </w:r>
      <w:r>
        <w:rPr/>
        <w:t>refuerzo</w:t>
      </w:r>
      <w:r>
        <w:rPr>
          <w:spacing w:val="-9"/>
        </w:rPr>
        <w:t> </w:t>
      </w:r>
      <w:r>
        <w:rPr/>
        <w:t>fueron</w:t>
      </w:r>
      <w:r>
        <w:rPr>
          <w:spacing w:val="-7"/>
        </w:rPr>
        <w:t> </w:t>
      </w:r>
      <w:r>
        <w:rPr/>
        <w:t>aplicadas</w:t>
      </w:r>
      <w:r>
        <w:rPr>
          <w:spacing w:val="-5"/>
        </w:rPr>
        <w:t> </w:t>
      </w:r>
      <w:r>
        <w:rPr/>
        <w:t>99,125.</w:t>
      </w:r>
      <w:r>
        <w:rPr>
          <w:spacing w:val="-6"/>
        </w:rPr>
        <w:t> </w:t>
      </w:r>
      <w:r>
        <w:rPr/>
        <w:t>De</w:t>
      </w:r>
      <w:r>
        <w:rPr>
          <w:spacing w:val="-6"/>
        </w:rPr>
        <w:t> </w:t>
      </w:r>
      <w:r>
        <w:rPr/>
        <w:t>la</w:t>
      </w:r>
      <w:r>
        <w:rPr>
          <w:spacing w:val="-6"/>
        </w:rPr>
        <w:t> </w:t>
      </w:r>
      <w:r>
        <w:rPr/>
        <w:t>primera</w:t>
      </w:r>
      <w:r>
        <w:rPr>
          <w:spacing w:val="-6"/>
        </w:rPr>
        <w:t> </w:t>
      </w:r>
      <w:r>
        <w:rPr/>
        <w:t>dosis, el 40.2% corresponde a Moderna, 26.5% a Astrazeneca, 21.2% a Sputnik y 12.1% a Pfizer, lo cual corresponde a donaciones y compras hechas por el gobierno de Guatemala. Esto es relevante dado que</w:t>
      </w:r>
      <w:r>
        <w:rPr>
          <w:spacing w:val="-8"/>
        </w:rPr>
        <w:t> </w:t>
      </w:r>
      <w:r>
        <w:rPr/>
        <w:t>en</w:t>
      </w:r>
      <w:r>
        <w:rPr>
          <w:spacing w:val="-8"/>
        </w:rPr>
        <w:t> </w:t>
      </w:r>
      <w:r>
        <w:rPr/>
        <w:t>la</w:t>
      </w:r>
      <w:r>
        <w:rPr>
          <w:spacing w:val="-7"/>
        </w:rPr>
        <w:t> </w:t>
      </w:r>
      <w:r>
        <w:rPr/>
        <w:t>vacunación</w:t>
      </w:r>
      <w:r>
        <w:rPr>
          <w:spacing w:val="-9"/>
        </w:rPr>
        <w:t> </w:t>
      </w:r>
      <w:r>
        <w:rPr/>
        <w:t>se</w:t>
      </w:r>
      <w:r>
        <w:rPr>
          <w:spacing w:val="-9"/>
        </w:rPr>
        <w:t> </w:t>
      </w:r>
      <w:r>
        <w:rPr/>
        <w:t>reflejan</w:t>
      </w:r>
      <w:r>
        <w:rPr>
          <w:spacing w:val="-10"/>
        </w:rPr>
        <w:t> </w:t>
      </w:r>
      <w:r>
        <w:rPr/>
        <w:t>los</w:t>
      </w:r>
      <w:r>
        <w:rPr>
          <w:spacing w:val="-7"/>
        </w:rPr>
        <w:t> </w:t>
      </w:r>
      <w:r>
        <w:rPr/>
        <w:t>esfuerzos</w:t>
      </w:r>
      <w:r>
        <w:rPr>
          <w:spacing w:val="-8"/>
        </w:rPr>
        <w:t> </w:t>
      </w:r>
      <w:r>
        <w:rPr/>
        <w:t>del</w:t>
      </w:r>
      <w:r>
        <w:rPr>
          <w:spacing w:val="-7"/>
        </w:rPr>
        <w:t> </w:t>
      </w:r>
      <w:r>
        <w:rPr/>
        <w:t>gobierno</w:t>
      </w:r>
      <w:r>
        <w:rPr>
          <w:spacing w:val="-9"/>
        </w:rPr>
        <w:t> </w:t>
      </w:r>
      <w:r>
        <w:rPr/>
        <w:t>por</w:t>
      </w:r>
      <w:r>
        <w:rPr>
          <w:spacing w:val="-9"/>
        </w:rPr>
        <w:t> </w:t>
      </w:r>
      <w:r>
        <w:rPr/>
        <w:t>asegurar</w:t>
      </w:r>
      <w:r>
        <w:rPr>
          <w:spacing w:val="-8"/>
        </w:rPr>
        <w:t> </w:t>
      </w:r>
      <w:r>
        <w:rPr/>
        <w:t>la</w:t>
      </w:r>
      <w:r>
        <w:rPr>
          <w:spacing w:val="-9"/>
        </w:rPr>
        <w:t> </w:t>
      </w:r>
      <w:r>
        <w:rPr/>
        <w:t>salud</w:t>
      </w:r>
      <w:r>
        <w:rPr>
          <w:spacing w:val="-9"/>
        </w:rPr>
        <w:t> </w:t>
      </w:r>
      <w:r>
        <w:rPr/>
        <w:t>de</w:t>
      </w:r>
      <w:r>
        <w:rPr>
          <w:spacing w:val="-10"/>
        </w:rPr>
        <w:t> </w:t>
      </w:r>
      <w:r>
        <w:rPr/>
        <w:t>los</w:t>
      </w:r>
      <w:r>
        <w:rPr>
          <w:spacing w:val="-8"/>
        </w:rPr>
        <w:t> </w:t>
      </w:r>
      <w:r>
        <w:rPr/>
        <w:t>guatemaltecos ante los efectos de la pandemia</w:t>
      </w:r>
      <w:r>
        <w:rPr>
          <w:spacing w:val="-9"/>
        </w:rPr>
        <w:t> </w:t>
      </w:r>
      <w:r>
        <w:rPr/>
        <w:t>COVID-19.</w:t>
      </w:r>
    </w:p>
    <w:p>
      <w:pPr>
        <w:pStyle w:val="BodyText"/>
        <w:spacing w:before="4"/>
        <w:rPr>
          <w:sz w:val="25"/>
        </w:rPr>
      </w:pPr>
    </w:p>
    <w:p>
      <w:pPr>
        <w:pStyle w:val="BodyText"/>
        <w:spacing w:line="276" w:lineRule="auto"/>
        <w:ind w:left="562" w:right="1695"/>
        <w:jc w:val="both"/>
      </w:pPr>
      <w:r>
        <w:rPr/>
        <w:t>Al</w:t>
      </w:r>
      <w:r>
        <w:rPr>
          <w:spacing w:val="-11"/>
        </w:rPr>
        <w:t> </w:t>
      </w:r>
      <w:r>
        <w:rPr/>
        <w:t>analizar</w:t>
      </w:r>
      <w:r>
        <w:rPr>
          <w:spacing w:val="-12"/>
        </w:rPr>
        <w:t> </w:t>
      </w:r>
      <w:r>
        <w:rPr/>
        <w:t>las</w:t>
      </w:r>
      <w:r>
        <w:rPr>
          <w:spacing w:val="-11"/>
        </w:rPr>
        <w:t> </w:t>
      </w:r>
      <w:r>
        <w:rPr/>
        <w:t>cifras</w:t>
      </w:r>
      <w:r>
        <w:rPr>
          <w:spacing w:val="-10"/>
        </w:rPr>
        <w:t> </w:t>
      </w:r>
      <w:r>
        <w:rPr/>
        <w:t>de</w:t>
      </w:r>
      <w:r>
        <w:rPr>
          <w:spacing w:val="-10"/>
        </w:rPr>
        <w:t> </w:t>
      </w:r>
      <w:r>
        <w:rPr/>
        <w:t>personas</w:t>
      </w:r>
      <w:r>
        <w:rPr>
          <w:spacing w:val="-11"/>
        </w:rPr>
        <w:t> </w:t>
      </w:r>
      <w:r>
        <w:rPr/>
        <w:t>vacunadas</w:t>
      </w:r>
      <w:r>
        <w:rPr>
          <w:spacing w:val="-13"/>
        </w:rPr>
        <w:t> </w:t>
      </w:r>
      <w:r>
        <w:rPr/>
        <w:t>por</w:t>
      </w:r>
      <w:r>
        <w:rPr>
          <w:spacing w:val="-10"/>
        </w:rPr>
        <w:t> </w:t>
      </w:r>
      <w:r>
        <w:rPr/>
        <w:t>grupo</w:t>
      </w:r>
      <w:r>
        <w:rPr>
          <w:spacing w:val="-14"/>
        </w:rPr>
        <w:t> </w:t>
      </w:r>
      <w:r>
        <w:rPr/>
        <w:t>etario</w:t>
      </w:r>
      <w:r>
        <w:rPr>
          <w:spacing w:val="-13"/>
        </w:rPr>
        <w:t> </w:t>
      </w:r>
      <w:r>
        <w:rPr/>
        <w:t>resalta</w:t>
      </w:r>
      <w:r>
        <w:rPr>
          <w:spacing w:val="-10"/>
        </w:rPr>
        <w:t> </w:t>
      </w:r>
      <w:r>
        <w:rPr/>
        <w:t>que</w:t>
      </w:r>
      <w:r>
        <w:rPr>
          <w:spacing w:val="-11"/>
        </w:rPr>
        <w:t> </w:t>
      </w:r>
      <w:r>
        <w:rPr/>
        <w:t>el</w:t>
      </w:r>
      <w:r>
        <w:rPr>
          <w:spacing w:val="-10"/>
        </w:rPr>
        <w:t> </w:t>
      </w:r>
      <w:r>
        <w:rPr/>
        <w:t>mayor</w:t>
      </w:r>
      <w:r>
        <w:rPr>
          <w:spacing w:val="-10"/>
        </w:rPr>
        <w:t> </w:t>
      </w:r>
      <w:r>
        <w:rPr/>
        <w:t>grupo</w:t>
      </w:r>
      <w:r>
        <w:rPr>
          <w:spacing w:val="-12"/>
        </w:rPr>
        <w:t> </w:t>
      </w:r>
      <w:r>
        <w:rPr/>
        <w:t>de</w:t>
      </w:r>
      <w:r>
        <w:rPr>
          <w:spacing w:val="-11"/>
        </w:rPr>
        <w:t> </w:t>
      </w:r>
      <w:r>
        <w:rPr/>
        <w:t>vacunados tanto</w:t>
      </w:r>
      <w:r>
        <w:rPr>
          <w:spacing w:val="-9"/>
        </w:rPr>
        <w:t> </w:t>
      </w:r>
      <w:r>
        <w:rPr/>
        <w:t>de</w:t>
      </w:r>
      <w:r>
        <w:rPr>
          <w:spacing w:val="-8"/>
        </w:rPr>
        <w:t> </w:t>
      </w:r>
      <w:r>
        <w:rPr/>
        <w:t>primera</w:t>
      </w:r>
      <w:r>
        <w:rPr>
          <w:spacing w:val="-8"/>
        </w:rPr>
        <w:t> </w:t>
      </w:r>
      <w:r>
        <w:rPr/>
        <w:t>dosis</w:t>
      </w:r>
      <w:r>
        <w:rPr>
          <w:spacing w:val="-8"/>
        </w:rPr>
        <w:t> </w:t>
      </w:r>
      <w:r>
        <w:rPr/>
        <w:t>como</w:t>
      </w:r>
      <w:r>
        <w:rPr>
          <w:spacing w:val="-9"/>
        </w:rPr>
        <w:t> </w:t>
      </w:r>
      <w:r>
        <w:rPr/>
        <w:t>esquema</w:t>
      </w:r>
      <w:r>
        <w:rPr>
          <w:spacing w:val="-7"/>
        </w:rPr>
        <w:t> </w:t>
      </w:r>
      <w:r>
        <w:rPr/>
        <w:t>completo</w:t>
      </w:r>
      <w:r>
        <w:rPr>
          <w:spacing w:val="-11"/>
        </w:rPr>
        <w:t> </w:t>
      </w:r>
      <w:r>
        <w:rPr/>
        <w:t>se</w:t>
      </w:r>
      <w:r>
        <w:rPr>
          <w:spacing w:val="-8"/>
        </w:rPr>
        <w:t> </w:t>
      </w:r>
      <w:r>
        <w:rPr/>
        <w:t>encuentra</w:t>
      </w:r>
      <w:r>
        <w:rPr>
          <w:spacing w:val="-8"/>
        </w:rPr>
        <w:t> </w:t>
      </w:r>
      <w:r>
        <w:rPr/>
        <w:t>en</w:t>
      </w:r>
      <w:r>
        <w:rPr>
          <w:spacing w:val="-10"/>
        </w:rPr>
        <w:t> </w:t>
      </w:r>
      <w:r>
        <w:rPr/>
        <w:t>los</w:t>
      </w:r>
      <w:r>
        <w:rPr>
          <w:spacing w:val="-8"/>
        </w:rPr>
        <w:t> </w:t>
      </w:r>
      <w:r>
        <w:rPr/>
        <w:t>mayores</w:t>
      </w:r>
      <w:r>
        <w:rPr>
          <w:spacing w:val="-7"/>
        </w:rPr>
        <w:t> </w:t>
      </w:r>
      <w:r>
        <w:rPr/>
        <w:t>de</w:t>
      </w:r>
      <w:r>
        <w:rPr>
          <w:spacing w:val="-11"/>
        </w:rPr>
        <w:t> </w:t>
      </w:r>
      <w:r>
        <w:rPr/>
        <w:t>60</w:t>
      </w:r>
      <w:r>
        <w:rPr>
          <w:spacing w:val="-11"/>
        </w:rPr>
        <w:t> </w:t>
      </w:r>
      <w:r>
        <w:rPr/>
        <w:t>años,</w:t>
      </w:r>
      <w:r>
        <w:rPr>
          <w:spacing w:val="-9"/>
        </w:rPr>
        <w:t> </w:t>
      </w:r>
      <w:r>
        <w:rPr/>
        <w:t>mientras</w:t>
      </w:r>
      <w:r>
        <w:rPr>
          <w:spacing w:val="-10"/>
        </w:rPr>
        <w:t> </w:t>
      </w:r>
      <w:r>
        <w:rPr/>
        <w:t>que los menos vacunados son los de 12 a 17 años, aunque es importante tener en cuenta que </w:t>
      </w:r>
      <w:r>
        <w:rPr>
          <w:spacing w:val="3"/>
        </w:rPr>
        <w:t>el </w:t>
      </w:r>
      <w:r>
        <w:rPr/>
        <w:t>Decreto 11-2021 que posibilito la vacunación de este grupo etario fue publicado en septiembre</w:t>
      </w:r>
      <w:r>
        <w:rPr>
          <w:spacing w:val="-14"/>
        </w:rPr>
        <w:t> </w:t>
      </w:r>
      <w:r>
        <w:rPr/>
        <w:t>2021.</w:t>
      </w:r>
    </w:p>
    <w:p>
      <w:pPr>
        <w:pStyle w:val="BodyText"/>
        <w:spacing w:before="6"/>
        <w:rPr>
          <w:sz w:val="25"/>
        </w:rPr>
      </w:pPr>
    </w:p>
    <w:p>
      <w:pPr>
        <w:pStyle w:val="BodyText"/>
        <w:spacing w:line="276" w:lineRule="auto"/>
        <w:ind w:left="562" w:right="1699"/>
        <w:jc w:val="both"/>
      </w:pPr>
      <w:r>
        <w:rPr/>
        <w:t>Resalta que en diciembre del 2021 se inició con la dosis de refuerzo, para los grupos de 18 años o más, siendo los requerimientos de su aplicación contar con el esquema completo (2da dosis) y haber transcurrido 3 meses después de la aplicación de la segunda dosis, se reportaron avances, principalmente en los trabajadores y estudiantes del sector salud con atención directa a pacientes, cuerpos de socorro y personal que se considera especialmente expuesto.</w:t>
      </w:r>
    </w:p>
    <w:p>
      <w:pPr>
        <w:spacing w:after="0" w:line="276" w:lineRule="auto"/>
        <w:jc w:val="both"/>
        <w:sectPr>
          <w:pgSz w:w="12240" w:h="15840"/>
          <w:pgMar w:header="715" w:footer="957" w:top="1240" w:bottom="1140" w:left="1140" w:right="0"/>
        </w:sectPr>
      </w:pPr>
    </w:p>
    <w:p>
      <w:pPr>
        <w:spacing w:line="276" w:lineRule="auto" w:before="169"/>
        <w:ind w:left="793" w:right="3" w:firstLine="0"/>
        <w:jc w:val="center"/>
        <w:rPr>
          <w:b/>
          <w:sz w:val="20"/>
        </w:rPr>
      </w:pPr>
      <w:bookmarkStart w:name="_bookmark139" w:id="173"/>
      <w:bookmarkEnd w:id="173"/>
      <w:r>
        <w:rPr/>
      </w:r>
      <w:r>
        <w:rPr>
          <w:b/>
          <w:i/>
          <w:sz w:val="20"/>
        </w:rPr>
        <w:t>Gráfico 72. </w:t>
      </w:r>
      <w:r>
        <w:rPr>
          <w:b/>
          <w:sz w:val="20"/>
        </w:rPr>
        <w:t>Cantidad de dosis aplicadas y tipo de vacuna</w:t>
      </w:r>
    </w:p>
    <w:p>
      <w:pPr>
        <w:spacing w:line="201" w:lineRule="exact" w:before="0"/>
        <w:ind w:left="797" w:right="3" w:firstLine="0"/>
        <w:jc w:val="center"/>
        <w:rPr>
          <w:sz w:val="18"/>
        </w:rPr>
      </w:pPr>
      <w:r>
        <w:rPr>
          <w:sz w:val="18"/>
        </w:rPr>
        <w:t>Cifras en millones y porcentajes</w:t>
      </w:r>
    </w:p>
    <w:p>
      <w:pPr>
        <w:spacing w:line="276" w:lineRule="auto" w:before="169"/>
        <w:ind w:left="2174" w:right="1537" w:hanging="1741"/>
        <w:jc w:val="left"/>
        <w:rPr>
          <w:b/>
          <w:i/>
          <w:sz w:val="20"/>
        </w:rPr>
      </w:pPr>
      <w:r>
        <w:rPr/>
        <w:br w:type="column"/>
      </w:r>
      <w:bookmarkStart w:name="_bookmark140" w:id="174"/>
      <w:bookmarkEnd w:id="174"/>
      <w:r>
        <w:rPr/>
      </w:r>
      <w:r>
        <w:rPr>
          <w:b/>
          <w:i/>
          <w:sz w:val="20"/>
        </w:rPr>
        <w:t>Gráfico 73. Porcentaje de vacunados por grupo </w:t>
      </w:r>
      <w:r>
        <w:rPr>
          <w:b/>
          <w:i/>
          <w:sz w:val="20"/>
        </w:rPr>
        <w:t>etario</w:t>
      </w:r>
    </w:p>
    <w:p>
      <w:pPr>
        <w:spacing w:line="285" w:lineRule="auto" w:before="0"/>
        <w:ind w:left="955" w:right="3141" w:firstLine="698"/>
        <w:jc w:val="left"/>
        <w:rPr>
          <w:sz w:val="18"/>
        </w:rPr>
      </w:pPr>
      <w:r>
        <w:rPr/>
        <w:pict>
          <v:rect style="position:absolute;margin-left:336.600006pt;margin-top:15.582344pt;width:4.440pt;height:4.440pt;mso-position-horizontal-relative:page;mso-position-vertical-relative:paragraph;z-index:252666880" filled="true" fillcolor="#5b9bd4" stroked="false">
            <v:fill type="solid"/>
            <w10:wrap type="none"/>
          </v:rect>
        </w:pict>
      </w:r>
      <w:r>
        <w:rPr>
          <w:sz w:val="18"/>
        </w:rPr>
        <w:t>Cifras en porcentajes Primera Dosis</w:t>
      </w:r>
    </w:p>
    <w:p>
      <w:pPr>
        <w:spacing w:line="139" w:lineRule="exact" w:before="0"/>
        <w:ind w:left="955" w:right="0" w:firstLine="0"/>
        <w:jc w:val="left"/>
        <w:rPr>
          <w:sz w:val="18"/>
        </w:rPr>
      </w:pPr>
      <w:r>
        <w:rPr/>
        <w:pict>
          <v:rect style="position:absolute;margin-left:336.600006pt;margin-top:1.751436pt;width:4.440pt;height:4.440pt;mso-position-horizontal-relative:page;mso-position-vertical-relative:paragraph;z-index:252667904" filled="true" fillcolor="#a4a4a4" stroked="false">
            <v:fill type="solid"/>
            <w10:wrap type="none"/>
          </v:rect>
        </w:pict>
      </w:r>
      <w:r>
        <w:rPr>
          <w:sz w:val="18"/>
        </w:rPr>
        <w:t>Esquema Completo</w:t>
      </w:r>
    </w:p>
    <w:p>
      <w:pPr>
        <w:spacing w:after="0" w:line="139" w:lineRule="exact"/>
        <w:jc w:val="left"/>
        <w:rPr>
          <w:sz w:val="18"/>
        </w:rPr>
        <w:sectPr>
          <w:pgSz w:w="12240" w:h="15840"/>
          <w:pgMar w:header="715" w:footer="957" w:top="1240" w:bottom="1140" w:left="1140" w:right="0"/>
          <w:cols w:num="2" w:equalWidth="0">
            <w:col w:w="4726" w:space="40"/>
            <w:col w:w="6334"/>
          </w:cols>
        </w:sectPr>
      </w:pPr>
    </w:p>
    <w:p>
      <w:pPr>
        <w:pStyle w:val="BodyText"/>
        <w:rPr>
          <w:sz w:val="20"/>
        </w:rPr>
      </w:pPr>
    </w:p>
    <w:p>
      <w:pPr>
        <w:pStyle w:val="BodyText"/>
        <w:rPr>
          <w:sz w:val="28"/>
        </w:rPr>
      </w:pPr>
    </w:p>
    <w:p>
      <w:pPr>
        <w:spacing w:line="152" w:lineRule="exact" w:before="0"/>
        <w:ind w:left="1133" w:right="0" w:firstLine="0"/>
        <w:jc w:val="left"/>
        <w:rPr>
          <w:b/>
          <w:sz w:val="18"/>
        </w:rPr>
      </w:pPr>
      <w:r>
        <w:rPr>
          <w:b/>
          <w:color w:val="FFFFFF"/>
          <w:spacing w:val="-2"/>
          <w:sz w:val="18"/>
        </w:rPr>
        <w:t>Esquema</w:t>
      </w:r>
    </w:p>
    <w:p>
      <w:pPr>
        <w:pStyle w:val="BodyText"/>
        <w:rPr>
          <w:b/>
          <w:sz w:val="20"/>
        </w:rPr>
      </w:pPr>
      <w:r>
        <w:rPr/>
        <w:br w:type="column"/>
      </w:r>
      <w:r>
        <w:rPr>
          <w:b/>
          <w:sz w:val="20"/>
        </w:rPr>
      </w:r>
    </w:p>
    <w:p>
      <w:pPr>
        <w:pStyle w:val="BodyText"/>
        <w:spacing w:before="9"/>
        <w:rPr>
          <w:b/>
          <w:sz w:val="26"/>
        </w:rPr>
      </w:pPr>
    </w:p>
    <w:p>
      <w:pPr>
        <w:spacing w:line="166" w:lineRule="exact" w:before="0"/>
        <w:ind w:left="673" w:right="0" w:firstLine="0"/>
        <w:jc w:val="left"/>
        <w:rPr>
          <w:b/>
          <w:sz w:val="18"/>
        </w:rPr>
      </w:pPr>
      <w:r>
        <w:rPr>
          <w:b/>
          <w:color w:val="FFFFFF"/>
          <w:sz w:val="18"/>
        </w:rPr>
        <w:t>Primera</w:t>
      </w:r>
    </w:p>
    <w:p>
      <w:pPr>
        <w:spacing w:before="39"/>
        <w:ind w:left="1133" w:right="0" w:firstLine="0"/>
        <w:jc w:val="left"/>
        <w:rPr>
          <w:sz w:val="18"/>
        </w:rPr>
      </w:pPr>
      <w:r>
        <w:rPr/>
        <w:br w:type="column"/>
      </w:r>
      <w:r>
        <w:rPr>
          <w:sz w:val="18"/>
        </w:rPr>
        <w:t>Dosis de </w:t>
      </w:r>
      <w:r>
        <w:rPr>
          <w:spacing w:val="-3"/>
          <w:sz w:val="18"/>
        </w:rPr>
        <w:t>Refuerzo</w:t>
      </w:r>
    </w:p>
    <w:p>
      <w:pPr>
        <w:spacing w:before="171"/>
        <w:ind w:left="0" w:right="347" w:firstLine="0"/>
        <w:jc w:val="right"/>
        <w:rPr>
          <w:b/>
          <w:sz w:val="14"/>
        </w:rPr>
      </w:pPr>
      <w:r>
        <w:rPr/>
        <w:pict>
          <v:group style="position:absolute;margin-left:108.866951pt;margin-top:-32.836102pt;width:177.6pt;height:130.9pt;mso-position-horizontal-relative:page;mso-position-vertical-relative:paragraph;z-index:-280654848" coordorigin="2177,-657" coordsize="3552,2618">
            <v:line style="position:absolute" from="3941,-553" to="4872,-188" stroked="true" strokeweight=".72pt" strokecolor="#a6a6a6">
              <v:stroke dashstyle="solid"/>
            </v:line>
            <v:rect style="position:absolute;left:4873;top:-190;width:840;height:677" filled="true" fillcolor="#a4a4a4" stroked="false">
              <v:fill type="solid"/>
            </v:rect>
            <v:rect style="position:absolute;left:4873;top:-190;width:840;height:677" filled="false" stroked="true" strokeweight="1.56pt" strokecolor="#ffffff">
              <v:stroke dashstyle="solid"/>
            </v:rect>
            <v:rect style="position:absolute;left:4873;top:487;width:840;height:447" filled="true" fillcolor="#ffc000" stroked="false">
              <v:fill type="solid"/>
            </v:rect>
            <v:rect style="position:absolute;left:4873;top:487;width:840;height:447" filled="false" stroked="true" strokeweight="1.56pt" strokecolor="#ffffff">
              <v:stroke dashstyle="solid"/>
            </v:rect>
            <v:rect style="position:absolute;left:4873;top:933;width:840;height:356" filled="true" fillcolor="#4471c4" stroked="false">
              <v:fill type="solid"/>
            </v:rect>
            <v:rect style="position:absolute;left:4873;top:933;width:840;height:356" filled="false" stroked="true" strokeweight="1.56pt" strokecolor="#ffffff">
              <v:stroke dashstyle="solid"/>
            </v:rect>
            <v:line style="position:absolute" from="3941,1857" to="4872,1492" stroked="true" strokeweight=".72pt" strokecolor="#a6a6a6">
              <v:stroke dashstyle="solid"/>
            </v:line>
            <v:rect style="position:absolute;left:4873;top:1288;width:840;height:204" filled="true" fillcolor="#6fac46" stroked="false">
              <v:fill type="solid"/>
            </v:rect>
            <v:rect style="position:absolute;left:4873;top:1288;width:840;height:204" filled="false" stroked="true" strokeweight="1.56pt" strokecolor="#ffffff">
              <v:stroke dashstyle="solid"/>
            </v:rect>
            <v:shape style="position:absolute;left:3094;top:651;width:376;height:1256" coordorigin="3095,652" coordsize="376,1256" path="m3470,652l3095,1889,3112,1894,3129,1899,3145,1903,3162,1908,3470,652xe" filled="true" fillcolor="#5b9bd4" stroked="false">
              <v:path arrowok="t"/>
              <v:fill type="solid"/>
            </v:shape>
            <v:shape style="position:absolute;left:2177;top:-604;width:1294;height:2493" coordorigin="2177,-604" coordsize="1294,2493" path="m3162,-604l3085,-582,3010,-556,2937,-526,2866,-491,2798,-452,2733,-410,2670,-363,2610,-313,2554,-259,2500,-203,2450,-143,2404,-79,2362,-13,2323,55,2289,127,2259,200,2233,276,2213,350,2198,423,2187,497,2180,570,2177,643,2179,715,2184,787,2194,858,2207,929,2225,998,2246,1066,2270,1132,2298,1198,2330,1261,2365,1323,2404,1382,2445,1440,2490,1495,2538,1548,2589,1598,2643,1645,2700,1690,2759,1732,2821,1770,2886,1805,2953,1837,3023,1865,3095,1889,3470,652,3162,-604xe" filled="true" fillcolor="#ec7c30" stroked="false">
              <v:path arrowok="t"/>
              <v:fill type="solid"/>
            </v:shape>
            <v:shape style="position:absolute;left:3162;top:-642;width:1602;height:2586" coordorigin="3162,-641" coordsize="1602,2586" path="m3458,-641l3385,-638,3311,-631,3237,-620,3162,-604,3470,652,3162,1908,3239,1924,3316,1935,3393,1942,3470,1945,3548,1942,3625,1935,3702,1924,3778,1908,3852,1887,3923,1863,3992,1835,4058,1804,4122,1769,4184,1730,4243,1689,4299,1644,4353,1597,4404,1547,4451,1494,4496,1439,4538,1382,4576,1322,4611,1260,4643,1197,4671,1132,4696,1065,4717,997,4734,927,4747,857,4757,785,4762,713,4763,640,4761,566,4753,492,4742,418,4726,344,4706,271,4682,200,4654,131,4622,64,4587,0,4549,-62,4508,-121,4463,-177,4416,-231,4365,-281,4313,-329,4258,-374,4200,-415,4141,-454,4079,-489,4015,-520,3950,-549,3884,-573,3815,-594,3746,-611,3675,-625,3604,-634,3532,-640,3458,-641xe" filled="true" fillcolor="#245e91" stroked="false">
              <v:path arrowok="t"/>
              <v:fill type="solid"/>
            </v:shape>
            <v:shape style="position:absolute;left:3162;top:-642;width:1602;height:2586" coordorigin="3162,-641" coordsize="1602,2586" path="m3162,-604l3237,-620,3311,-631,3385,-638,3458,-641,3532,-640,3604,-634,3675,-625,3746,-611,3815,-594,3884,-573,3950,-549,4015,-520,4079,-489,4141,-454,4200,-415,4258,-374,4313,-329,4365,-281,4416,-231,4463,-177,4508,-121,4549,-62,4587,0,4622,64,4654,131,4682,200,4706,271,4726,344,4742,418,4753,492,4761,566,4763,640,4762,713,4757,785,4747,857,4734,927,4717,997,4696,1065,4671,1132,4643,1197,4611,1260,4576,1322,4538,1382,4496,1439,4451,1494,4404,1547,4353,1597,4299,1644,4243,1689,4184,1730,4122,1769,4058,1804,3992,1835,3923,1863,3852,1887,3778,1908,3702,1924,3625,1935,3548,1942,3470,1945,3393,1942,3316,1935,3239,1924,3162,1908,3470,652,3162,-604xe" filled="false" stroked="true" strokeweight="1.56pt" strokecolor="#ffffff">
              <v:path arrowok="t"/>
              <v:stroke dashstyle="solid"/>
            </v:shape>
            <w10:wrap type="none"/>
          </v:group>
        </w:pict>
      </w:r>
      <w:r>
        <w:rPr>
          <w:b/>
          <w:color w:val="C00000"/>
          <w:w w:val="95"/>
          <w:sz w:val="14"/>
        </w:rPr>
        <w:t>1.09</w:t>
      </w:r>
    </w:p>
    <w:p>
      <w:pPr>
        <w:spacing w:line="59" w:lineRule="exact" w:before="67"/>
        <w:ind w:left="1251" w:right="926" w:firstLine="0"/>
        <w:jc w:val="center"/>
        <w:rPr>
          <w:b/>
          <w:sz w:val="14"/>
        </w:rPr>
      </w:pPr>
      <w:r>
        <w:rPr>
          <w:b/>
          <w:color w:val="C00000"/>
          <w:sz w:val="14"/>
        </w:rPr>
        <w:t>0.64</w:t>
      </w:r>
    </w:p>
    <w:p>
      <w:pPr>
        <w:pStyle w:val="BodyText"/>
        <w:spacing w:before="8"/>
        <w:rPr>
          <w:b/>
          <w:sz w:val="19"/>
        </w:rPr>
      </w:pPr>
      <w:r>
        <w:rPr/>
        <w:br w:type="column"/>
      </w:r>
      <w:r>
        <w:rPr>
          <w:b/>
          <w:sz w:val="19"/>
        </w:rPr>
      </w:r>
    </w:p>
    <w:p>
      <w:pPr>
        <w:spacing w:before="1"/>
        <w:ind w:left="-18" w:right="0" w:firstLine="0"/>
        <w:jc w:val="left"/>
        <w:rPr>
          <w:b/>
          <w:sz w:val="14"/>
        </w:rPr>
      </w:pPr>
      <w:r>
        <w:rPr>
          <w:b/>
          <w:color w:val="C00000"/>
          <w:sz w:val="14"/>
        </w:rPr>
        <w:t>1.13</w:t>
      </w:r>
    </w:p>
    <w:p>
      <w:pPr>
        <w:spacing w:line="132" w:lineRule="exact" w:before="0"/>
        <w:ind w:left="904" w:right="0" w:firstLine="0"/>
        <w:jc w:val="left"/>
        <w:rPr>
          <w:b/>
          <w:sz w:val="14"/>
        </w:rPr>
      </w:pPr>
      <w:r>
        <w:rPr/>
        <w:br w:type="column"/>
      </w:r>
      <w:r>
        <w:rPr>
          <w:b/>
          <w:color w:val="C00000"/>
          <w:sz w:val="14"/>
        </w:rPr>
        <w:t>1.2</w:t>
      </w:r>
    </w:p>
    <w:p>
      <w:pPr>
        <w:spacing w:line="144" w:lineRule="exact" w:before="0"/>
        <w:ind w:left="291" w:right="0" w:firstLine="0"/>
        <w:jc w:val="left"/>
        <w:rPr>
          <w:b/>
          <w:sz w:val="14"/>
        </w:rPr>
      </w:pPr>
      <w:r>
        <w:rPr/>
        <w:pict>
          <v:group style="position:absolute;margin-left:310.200012pt;margin-top:-2.002509pt;width:209.55pt;height:95.55pt;mso-position-horizontal-relative:page;mso-position-vertical-relative:paragraph;z-index:-280653824" coordorigin="6204,-40" coordsize="4191,1911">
            <v:shape style="position:absolute;left:6255;top:884;width:4140;height:987" type="#_x0000_t75" stroked="false">
              <v:imagedata r:id="rId147" o:title=""/>
            </v:shape>
            <v:shape style="position:absolute;left:6225;top:19;width:4169;height:1466" type="#_x0000_t75" stroked="false">
              <v:imagedata r:id="rId148" o:title=""/>
            </v:shape>
            <v:shape style="position:absolute;left:6840;top:-41;width:3555;height:811" type="#_x0000_t75" stroked="false">
              <v:imagedata r:id="rId149" o:title=""/>
            </v:shape>
            <v:shape style="position:absolute;left:6266;top:896;width:4054;height:960" coordorigin="6266,896" coordsize="4054,960" path="m6739,1374l6266,1374,6266,1856,6739,1856,6739,1374m7337,1158l6864,1158,6864,1856,7337,1856,7337,1158m7932,1081l7459,1081,7459,1856,7932,1856,7932,1081m8530,992l8057,992,8057,1856,8530,1856,8530,992m9127,942l8652,942,8652,1856,9127,1856,9127,942m9722,896l9250,896,9250,1856,9722,1856,9722,896m10320,1076l9845,1076,9845,1856,10320,1856,10320,1076e" filled="true" fillcolor="#5b9bd4" stroked="false">
              <v:path arrowok="t"/>
              <v:fill type="solid"/>
            </v:shape>
            <v:shape style="position:absolute;left:6864;top:60;width:3456;height:1097" coordorigin="6864,61" coordsize="3456,1097" path="m7337,702l6864,702,6864,1158,7337,1158,7337,702m7932,505l7459,505,7459,1081,7932,1081,7932,505m8530,301l8057,301,8057,992,8530,992,8530,301m9127,176l8652,176,8652,942,9127,942,9127,176m9722,61l9250,61,9250,896,9722,896,9722,61m10320,390l9845,390,9845,1076,10320,1076,10320,390e" filled="true" fillcolor="#a4a4a4" stroked="false">
              <v:path arrowok="t"/>
              <v:fill type="solid"/>
            </v:shape>
            <v:line style="position:absolute" from="6864,698" to="7337,698" stroked="true" strokeweight=".36pt" strokecolor="#c00000">
              <v:stroke dashstyle="solid"/>
            </v:line>
            <v:line style="position:absolute" from="7459,496" to="7932,496" stroked="true" strokeweight=".84pt" strokecolor="#c00000">
              <v:stroke dashstyle="solid"/>
            </v:line>
            <v:line style="position:absolute" from="8057,294" to="8530,294" stroked="true" strokeweight=".72pt" strokecolor="#c00000">
              <v:stroke dashstyle="solid"/>
            </v:line>
            <v:shape style="position:absolute;left:8652;top:52;width:1668;height:329" coordorigin="8652,52" coordsize="1668,329" path="m8652,168l9127,168m9250,52l9722,52m9845,381l10320,381e" filled="false" stroked="true" strokeweight=".84pt" strokecolor="#c00000">
              <v:path arrowok="t"/>
              <v:stroke dashstyle="solid"/>
            </v:shape>
            <v:line style="position:absolute" from="6204,1856" to="10380,1856" stroked="true" strokeweight=".72pt" strokecolor="#d9d9d9">
              <v:stroke dashstyle="solid"/>
            </v:line>
            <v:rect style="position:absolute;left:6732;top:-26;width:89;height:89" filled="true" fillcolor="#c00000" stroked="false">
              <v:fill type="solid"/>
            </v:rect>
            <w10:wrap type="none"/>
          </v:group>
        </w:pict>
      </w:r>
      <w:r>
        <w:rPr>
          <w:b/>
          <w:color w:val="C00000"/>
          <w:sz w:val="14"/>
        </w:rPr>
        <w:t>1.15</w:t>
      </w:r>
    </w:p>
    <w:p>
      <w:pPr>
        <w:pStyle w:val="BodyText"/>
        <w:rPr>
          <w:b/>
          <w:sz w:val="14"/>
        </w:rPr>
      </w:pPr>
    </w:p>
    <w:p>
      <w:pPr>
        <w:tabs>
          <w:tab w:pos="835" w:val="left" w:leader="none"/>
        </w:tabs>
        <w:spacing w:line="93" w:lineRule="auto" w:before="123"/>
        <w:ind w:left="238" w:right="0" w:firstLine="0"/>
        <w:jc w:val="left"/>
        <w:rPr>
          <w:b/>
          <w:sz w:val="14"/>
        </w:rPr>
      </w:pPr>
      <w:r>
        <w:rPr>
          <w:b/>
          <w:color w:val="404040"/>
          <w:position w:val="-7"/>
          <w:sz w:val="14"/>
        </w:rPr>
        <w:t>54.24</w:t>
        <w:tab/>
      </w:r>
      <w:r>
        <w:rPr>
          <w:b/>
          <w:color w:val="404040"/>
          <w:spacing w:val="-4"/>
          <w:sz w:val="14"/>
        </w:rPr>
        <w:t>59.11</w:t>
      </w:r>
    </w:p>
    <w:p>
      <w:pPr>
        <w:pStyle w:val="BodyText"/>
        <w:rPr>
          <w:b/>
          <w:sz w:val="14"/>
        </w:rPr>
      </w:pPr>
      <w:r>
        <w:rPr/>
        <w:br w:type="column"/>
      </w:r>
      <w:r>
        <w:rPr>
          <w:b/>
          <w:sz w:val="14"/>
        </w:rPr>
      </w:r>
    </w:p>
    <w:p>
      <w:pPr>
        <w:pStyle w:val="BodyText"/>
        <w:spacing w:before="4"/>
        <w:rPr>
          <w:b/>
          <w:sz w:val="13"/>
        </w:rPr>
      </w:pPr>
    </w:p>
    <w:p>
      <w:pPr>
        <w:spacing w:before="0"/>
        <w:ind w:left="275" w:right="0" w:firstLine="0"/>
        <w:jc w:val="left"/>
        <w:rPr>
          <w:b/>
          <w:sz w:val="14"/>
        </w:rPr>
      </w:pPr>
      <w:r>
        <w:rPr/>
        <w:pict>
          <v:group style="position:absolute;margin-left:492.23999pt;margin-top:10.305137pt;width:23.8pt;height:73pt;mso-position-horizontal-relative:page;mso-position-vertical-relative:paragraph;z-index:252679168" coordorigin="9845,206" coordsize="476,1460">
            <v:shape style="position:absolute;left:9844;top:928;width:476;height:737" type="#_x0000_t202" filled="false" stroked="false">
              <v:textbox inset="0,0,0,0">
                <w:txbxContent>
                  <w:p>
                    <w:pPr>
                      <w:spacing w:line="240" w:lineRule="auto" w:before="0"/>
                      <w:rPr>
                        <w:sz w:val="14"/>
                      </w:rPr>
                    </w:pPr>
                  </w:p>
                  <w:p>
                    <w:pPr>
                      <w:spacing w:before="113"/>
                      <w:ind w:left="82" w:right="0" w:firstLine="0"/>
                      <w:jc w:val="left"/>
                      <w:rPr>
                        <w:b/>
                        <w:sz w:val="14"/>
                      </w:rPr>
                    </w:pPr>
                    <w:r>
                      <w:rPr>
                        <w:b/>
                        <w:color w:val="1F3863"/>
                        <w:sz w:val="14"/>
                      </w:rPr>
                      <w:t>55.27</w:t>
                    </w:r>
                  </w:p>
                </w:txbxContent>
              </v:textbox>
              <w10:wrap type="none"/>
            </v:shape>
            <v:shape style="position:absolute;left:9844;top:206;width:476;height:723" type="#_x0000_t202" filled="false" stroked="false">
              <v:textbox inset="0,0,0,0">
                <w:txbxContent>
                  <w:p>
                    <w:pPr>
                      <w:spacing w:line="240" w:lineRule="auto" w:before="0"/>
                      <w:rPr>
                        <w:sz w:val="14"/>
                      </w:rPr>
                    </w:pPr>
                  </w:p>
                  <w:p>
                    <w:pPr>
                      <w:spacing w:before="101"/>
                      <w:ind w:left="82" w:right="0" w:firstLine="0"/>
                      <w:jc w:val="left"/>
                      <w:rPr>
                        <w:b/>
                        <w:sz w:val="14"/>
                      </w:rPr>
                    </w:pPr>
                    <w:r>
                      <w:rPr>
                        <w:b/>
                        <w:color w:val="404040"/>
                        <w:sz w:val="14"/>
                      </w:rPr>
                      <w:t>48.77</w:t>
                    </w:r>
                  </w:p>
                </w:txbxContent>
              </v:textbox>
              <w10:wrap type="none"/>
            </v:shape>
            <w10:wrap type="none"/>
          </v:group>
        </w:pict>
      </w:r>
      <w:r>
        <w:rPr>
          <w:b/>
          <w:color w:val="C00000"/>
          <w:sz w:val="14"/>
        </w:rPr>
        <w:t>1.13</w:t>
      </w:r>
    </w:p>
    <w:p>
      <w:pPr>
        <w:spacing w:after="0"/>
        <w:jc w:val="left"/>
        <w:rPr>
          <w:sz w:val="14"/>
        </w:rPr>
        <w:sectPr>
          <w:type w:val="continuous"/>
          <w:pgSz w:w="12240" w:h="15840"/>
          <w:pgMar w:top="1500" w:bottom="280" w:left="1140" w:right="0"/>
          <w:cols w:num="6" w:equalWidth="0">
            <w:col w:w="1834" w:space="40"/>
            <w:col w:w="1346" w:space="1366"/>
            <w:col w:w="2462" w:space="40"/>
            <w:col w:w="228" w:space="39"/>
            <w:col w:w="1150" w:space="40"/>
            <w:col w:w="2555"/>
          </w:cols>
        </w:sectPr>
      </w:pPr>
    </w:p>
    <w:p>
      <w:pPr>
        <w:spacing w:before="54"/>
        <w:ind w:left="760" w:right="38" w:firstLine="0"/>
        <w:jc w:val="center"/>
        <w:rPr>
          <w:b/>
          <w:sz w:val="18"/>
        </w:rPr>
      </w:pPr>
      <w:r>
        <w:rPr>
          <w:b/>
          <w:color w:val="FFFFFF"/>
          <w:sz w:val="18"/>
        </w:rPr>
        <w:t>Completo; 4,754,420</w:t>
      </w:r>
    </w:p>
    <w:p>
      <w:pPr>
        <w:pStyle w:val="BodyText"/>
        <w:rPr>
          <w:b/>
          <w:sz w:val="20"/>
        </w:rPr>
      </w:pPr>
    </w:p>
    <w:p>
      <w:pPr>
        <w:pStyle w:val="BodyText"/>
        <w:rPr>
          <w:b/>
          <w:sz w:val="20"/>
        </w:rPr>
      </w:pPr>
    </w:p>
    <w:p>
      <w:pPr>
        <w:pStyle w:val="BodyText"/>
        <w:rPr>
          <w:b/>
          <w:sz w:val="20"/>
        </w:rPr>
      </w:pPr>
    </w:p>
    <w:p>
      <w:pPr>
        <w:pStyle w:val="BodyText"/>
        <w:spacing w:before="2"/>
        <w:rPr>
          <w:b/>
          <w:sz w:val="17"/>
        </w:rPr>
      </w:pPr>
    </w:p>
    <w:p>
      <w:pPr>
        <w:spacing w:before="0"/>
        <w:ind w:left="760" w:right="0" w:firstLine="0"/>
        <w:jc w:val="center"/>
        <w:rPr>
          <w:b/>
          <w:sz w:val="18"/>
        </w:rPr>
      </w:pPr>
      <w:r>
        <w:rPr>
          <w:b/>
          <w:sz w:val="18"/>
        </w:rPr>
        <w:t>Dosis de Refuerzo ; 99,125</w:t>
      </w:r>
    </w:p>
    <w:p>
      <w:pPr>
        <w:spacing w:before="40"/>
        <w:ind w:left="214" w:right="-16" w:firstLine="127"/>
        <w:jc w:val="left"/>
        <w:rPr>
          <w:b/>
          <w:sz w:val="18"/>
        </w:rPr>
      </w:pPr>
      <w:r>
        <w:rPr/>
        <w:br w:type="column"/>
      </w:r>
      <w:r>
        <w:rPr>
          <w:b/>
          <w:color w:val="FFFFFF"/>
          <w:sz w:val="18"/>
        </w:rPr>
        <w:t>Dosis; 6,608,603</w:t>
      </w:r>
    </w:p>
    <w:p>
      <w:pPr>
        <w:spacing w:before="91"/>
        <w:ind w:left="0" w:right="0" w:firstLine="0"/>
        <w:jc w:val="right"/>
        <w:rPr>
          <w:b/>
          <w:sz w:val="14"/>
        </w:rPr>
      </w:pPr>
      <w:r>
        <w:rPr/>
        <w:br w:type="column"/>
      </w:r>
      <w:r>
        <w:rPr>
          <w:b/>
          <w:w w:val="95"/>
          <w:sz w:val="14"/>
        </w:rPr>
        <w:t>a;</w:t>
      </w:r>
    </w:p>
    <w:p>
      <w:pPr>
        <w:pStyle w:val="BodyText"/>
        <w:rPr>
          <w:b/>
          <w:sz w:val="14"/>
        </w:rPr>
      </w:pPr>
    </w:p>
    <w:p>
      <w:pPr>
        <w:pStyle w:val="BodyText"/>
        <w:rPr>
          <w:b/>
          <w:sz w:val="14"/>
        </w:rPr>
      </w:pPr>
    </w:p>
    <w:p>
      <w:pPr>
        <w:pStyle w:val="BodyText"/>
        <w:rPr>
          <w:b/>
          <w:sz w:val="14"/>
        </w:rPr>
      </w:pPr>
    </w:p>
    <w:p>
      <w:pPr>
        <w:pStyle w:val="BodyText"/>
        <w:rPr>
          <w:b/>
          <w:sz w:val="14"/>
        </w:rPr>
      </w:pPr>
    </w:p>
    <w:p>
      <w:pPr>
        <w:spacing w:before="109"/>
        <w:ind w:left="738" w:right="0" w:firstLine="0"/>
        <w:jc w:val="left"/>
        <w:rPr>
          <w:b/>
          <w:sz w:val="14"/>
        </w:rPr>
      </w:pPr>
      <w:r>
        <w:rPr/>
        <w:pict>
          <v:group style="position:absolute;margin-left:243.660004pt;margin-top:-77.184837pt;width:42pt;height:84.15pt;mso-position-horizontal-relative:page;mso-position-vertical-relative:paragraph;z-index:252684288" coordorigin="4873,-1544" coordsize="840,1683">
            <v:shape style="position:absolute;left:4873;top:-66;width:840;height:204" type="#_x0000_t202" filled="false" stroked="false">
              <v:textbox inset="0,0,0,0">
                <w:txbxContent>
                  <w:p>
                    <w:pPr>
                      <w:spacing w:before="11"/>
                      <w:ind w:left="295" w:right="0" w:firstLine="0"/>
                      <w:jc w:val="left"/>
                      <w:rPr>
                        <w:b/>
                        <w:sz w:val="14"/>
                      </w:rPr>
                    </w:pPr>
                    <w:r>
                      <w:rPr>
                        <w:b/>
                        <w:sz w:val="14"/>
                      </w:rPr>
                      <w:t>Pfizer;</w:t>
                    </w:r>
                  </w:p>
                </w:txbxContent>
              </v:textbox>
              <w10:wrap type="none"/>
            </v:shape>
            <v:shape style="position:absolute;left:4873;top:-421;width:840;height:356" type="#_x0000_t202" filled="false" stroked="false">
              <v:textbox inset="0,0,0,0">
                <w:txbxContent>
                  <w:p>
                    <w:pPr>
                      <w:spacing w:line="242" w:lineRule="auto" w:before="16"/>
                      <w:ind w:left="270" w:right="-10" w:firstLine="24"/>
                      <w:jc w:val="left"/>
                      <w:rPr>
                        <w:b/>
                        <w:sz w:val="14"/>
                      </w:rPr>
                    </w:pPr>
                    <w:r>
                      <w:rPr>
                        <w:b/>
                        <w:sz w:val="14"/>
                      </w:rPr>
                      <w:t>Sputnik; 1,401,135</w:t>
                    </w:r>
                  </w:p>
                </w:txbxContent>
              </v:textbox>
              <w10:wrap type="none"/>
            </v:shape>
            <v:shape style="position:absolute;left:4873;top:-867;width:840;height:447" type="#_x0000_t202" filled="false" stroked="false">
              <v:textbox inset="0,0,0,0">
                <w:txbxContent>
                  <w:p>
                    <w:pPr>
                      <w:spacing w:line="242" w:lineRule="auto" w:before="61"/>
                      <w:ind w:left="269" w:right="-9" w:hanging="106"/>
                      <w:jc w:val="left"/>
                      <w:rPr>
                        <w:b/>
                        <w:sz w:val="14"/>
                      </w:rPr>
                    </w:pPr>
                    <w:r>
                      <w:rPr>
                        <w:b/>
                        <w:sz w:val="14"/>
                      </w:rPr>
                      <w:t>Astrazenec 1,750,874</w:t>
                    </w:r>
                  </w:p>
                </w:txbxContent>
              </v:textbox>
              <w10:wrap type="none"/>
            </v:shape>
            <v:shape style="position:absolute;left:4873;top:-1544;width:840;height:677" type="#_x0000_t202" filled="false" stroked="false">
              <v:textbox inset="0,0,0,0">
                <w:txbxContent>
                  <w:p>
                    <w:pPr>
                      <w:spacing w:line="240" w:lineRule="auto" w:before="9"/>
                      <w:rPr>
                        <w:sz w:val="16"/>
                      </w:rPr>
                    </w:pPr>
                  </w:p>
                  <w:p>
                    <w:pPr>
                      <w:spacing w:line="242" w:lineRule="auto" w:before="0"/>
                      <w:ind w:left="270" w:right="-15" w:hanging="17"/>
                      <w:jc w:val="left"/>
                      <w:rPr>
                        <w:b/>
                        <w:sz w:val="14"/>
                      </w:rPr>
                    </w:pPr>
                    <w:r>
                      <w:rPr>
                        <w:b/>
                        <w:w w:val="95"/>
                        <w:sz w:val="14"/>
                      </w:rPr>
                      <w:t>Moderna; </w:t>
                    </w:r>
                    <w:r>
                      <w:rPr>
                        <w:b/>
                        <w:sz w:val="14"/>
                      </w:rPr>
                      <w:t>2,658,776</w:t>
                    </w:r>
                  </w:p>
                </w:txbxContent>
              </v:textbox>
              <w10:wrap type="none"/>
            </v:shape>
            <w10:wrap type="none"/>
          </v:group>
        </w:pict>
      </w:r>
      <w:r>
        <w:rPr>
          <w:b/>
          <w:sz w:val="14"/>
        </w:rPr>
        <w:t>797,818</w:t>
      </w:r>
    </w:p>
    <w:p>
      <w:pPr>
        <w:pStyle w:val="BodyText"/>
        <w:rPr>
          <w:b/>
          <w:sz w:val="14"/>
        </w:rPr>
      </w:pPr>
      <w:r>
        <w:rPr/>
        <w:br w:type="column"/>
      </w:r>
      <w:r>
        <w:rPr>
          <w:b/>
          <w:sz w:val="14"/>
        </w:rPr>
      </w: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spacing w:before="4"/>
        <w:rPr>
          <w:b/>
          <w:sz w:val="20"/>
        </w:rPr>
      </w:pPr>
    </w:p>
    <w:p>
      <w:pPr>
        <w:spacing w:before="1"/>
        <w:ind w:left="495" w:right="0" w:firstLine="0"/>
        <w:jc w:val="left"/>
        <w:rPr>
          <w:sz w:val="14"/>
        </w:rPr>
      </w:pPr>
      <w:r>
        <w:rPr>
          <w:w w:val="95"/>
          <w:sz w:val="14"/>
        </w:rPr>
        <w:t>12-17</w:t>
      </w:r>
    </w:p>
    <w:p>
      <w:pPr>
        <w:spacing w:before="0"/>
        <w:ind w:left="530" w:right="0" w:firstLine="0"/>
        <w:jc w:val="left"/>
        <w:rPr>
          <w:sz w:val="14"/>
        </w:rPr>
      </w:pPr>
      <w:r>
        <w:rPr>
          <w:sz w:val="14"/>
        </w:rPr>
        <w:t>años</w:t>
      </w:r>
    </w:p>
    <w:p>
      <w:pPr>
        <w:pStyle w:val="BodyText"/>
        <w:rPr>
          <w:sz w:val="14"/>
        </w:rPr>
      </w:pPr>
      <w:r>
        <w:rPr/>
        <w:br w:type="column"/>
      </w:r>
      <w:r>
        <w:rPr>
          <w:sz w:val="14"/>
        </w:rPr>
      </w:r>
    </w:p>
    <w:p>
      <w:pPr>
        <w:spacing w:before="115"/>
        <w:ind w:left="236" w:right="0" w:firstLine="0"/>
        <w:jc w:val="left"/>
        <w:rPr>
          <w:b/>
          <w:sz w:val="14"/>
        </w:rPr>
      </w:pPr>
      <w:r>
        <w:rPr>
          <w:b/>
          <w:color w:val="404040"/>
          <w:sz w:val="14"/>
        </w:rPr>
        <w:t>32.23</w:t>
      </w:r>
    </w:p>
    <w:p>
      <w:pPr>
        <w:pStyle w:val="BodyText"/>
        <w:rPr>
          <w:b/>
          <w:sz w:val="14"/>
        </w:rPr>
      </w:pPr>
    </w:p>
    <w:p>
      <w:pPr>
        <w:pStyle w:val="BodyText"/>
        <w:rPr>
          <w:b/>
          <w:sz w:val="14"/>
        </w:rPr>
      </w:pPr>
    </w:p>
    <w:p>
      <w:pPr>
        <w:spacing w:before="94"/>
        <w:ind w:left="236" w:right="0" w:firstLine="0"/>
        <w:jc w:val="left"/>
        <w:rPr>
          <w:b/>
          <w:sz w:val="14"/>
        </w:rPr>
      </w:pPr>
      <w:r>
        <w:rPr/>
        <w:pict>
          <v:group style="position:absolute;margin-left:313.320007pt;margin-top:-10.984849pt;width:23.65pt;height:36.85pt;mso-position-horizontal-relative:page;mso-position-vertical-relative:paragraph;z-index:252676096" coordorigin="6266,-220" coordsize="473,737">
            <v:shape style="position:absolute;left:6266;top:41;width:473;height:476" type="#_x0000_t202" filled="false" stroked="false">
              <v:textbox inset="0,0,0,0">
                <w:txbxContent>
                  <w:p>
                    <w:pPr>
                      <w:spacing w:line="240" w:lineRule="auto" w:before="11"/>
                      <w:rPr>
                        <w:sz w:val="13"/>
                      </w:rPr>
                    </w:pPr>
                  </w:p>
                  <w:p>
                    <w:pPr>
                      <w:spacing w:before="0"/>
                      <w:ind w:left="80" w:right="0" w:firstLine="0"/>
                      <w:jc w:val="left"/>
                      <w:rPr>
                        <w:b/>
                        <w:sz w:val="14"/>
                      </w:rPr>
                    </w:pPr>
                    <w:r>
                      <w:rPr>
                        <w:b/>
                        <w:color w:val="1F3863"/>
                        <w:sz w:val="14"/>
                      </w:rPr>
                      <w:t>34.24</w:t>
                    </w:r>
                  </w:p>
                </w:txbxContent>
              </v:textbox>
              <w10:wrap type="none"/>
            </v:shape>
            <v:shape style="position:absolute;left:6266;top:-220;width:473;height:262" type="#_x0000_t202" filled="true" fillcolor="#a4a4a4" stroked="false">
              <v:textbox inset="0,0,0,0">
                <w:txbxContent>
                  <w:p>
                    <w:pPr>
                      <w:spacing w:before="68"/>
                      <w:ind w:left="80" w:right="0" w:firstLine="0"/>
                      <w:jc w:val="left"/>
                      <w:rPr>
                        <w:b/>
                        <w:sz w:val="14"/>
                      </w:rPr>
                    </w:pPr>
                    <w:r>
                      <w:rPr>
                        <w:b/>
                        <w:color w:val="404040"/>
                        <w:sz w:val="14"/>
                      </w:rPr>
                      <w:t>15.95</w:t>
                    </w:r>
                  </w:p>
                </w:txbxContent>
              </v:textbox>
              <v:fill type="solid"/>
              <w10:wrap type="none"/>
            </v:shape>
            <w10:wrap type="none"/>
          </v:group>
        </w:pict>
      </w:r>
      <w:r>
        <w:rPr>
          <w:b/>
          <w:color w:val="1F3863"/>
          <w:sz w:val="14"/>
        </w:rPr>
        <w:t>49.60</w:t>
      </w:r>
    </w:p>
    <w:p>
      <w:pPr>
        <w:pStyle w:val="BodyText"/>
        <w:rPr>
          <w:b/>
          <w:sz w:val="14"/>
        </w:rPr>
      </w:pPr>
    </w:p>
    <w:p>
      <w:pPr>
        <w:pStyle w:val="BodyText"/>
        <w:spacing w:before="2"/>
        <w:rPr>
          <w:b/>
          <w:sz w:val="16"/>
        </w:rPr>
      </w:pPr>
    </w:p>
    <w:p>
      <w:pPr>
        <w:spacing w:before="1"/>
        <w:ind w:left="230" w:right="0" w:firstLine="0"/>
        <w:jc w:val="left"/>
        <w:rPr>
          <w:sz w:val="14"/>
        </w:rPr>
      </w:pPr>
      <w:r>
        <w:rPr>
          <w:w w:val="95"/>
          <w:sz w:val="14"/>
        </w:rPr>
        <w:t>18-29</w:t>
      </w:r>
    </w:p>
    <w:p>
      <w:pPr>
        <w:spacing w:before="0"/>
        <w:ind w:left="265" w:right="0" w:firstLine="0"/>
        <w:jc w:val="left"/>
        <w:rPr>
          <w:sz w:val="14"/>
        </w:rPr>
      </w:pPr>
      <w:r>
        <w:rPr>
          <w:sz w:val="14"/>
        </w:rPr>
        <w:t>años</w:t>
      </w:r>
    </w:p>
    <w:p>
      <w:pPr>
        <w:pStyle w:val="BodyText"/>
        <w:rPr>
          <w:sz w:val="12"/>
        </w:rPr>
      </w:pPr>
      <w:r>
        <w:rPr/>
        <w:br w:type="column"/>
      </w:r>
      <w:r>
        <w:rPr>
          <w:sz w:val="12"/>
        </w:rPr>
      </w:r>
    </w:p>
    <w:p>
      <w:pPr>
        <w:spacing w:before="1"/>
        <w:ind w:left="236" w:right="0" w:firstLine="0"/>
        <w:jc w:val="left"/>
        <w:rPr>
          <w:b/>
          <w:sz w:val="14"/>
        </w:rPr>
      </w:pPr>
      <w:r>
        <w:rPr>
          <w:b/>
          <w:color w:val="404040"/>
          <w:sz w:val="14"/>
        </w:rPr>
        <w:t>40.88</w:t>
      </w:r>
    </w:p>
    <w:p>
      <w:pPr>
        <w:pStyle w:val="BodyText"/>
        <w:rPr>
          <w:b/>
          <w:sz w:val="14"/>
        </w:rPr>
      </w:pPr>
    </w:p>
    <w:p>
      <w:pPr>
        <w:pStyle w:val="BodyText"/>
        <w:rPr>
          <w:b/>
          <w:sz w:val="14"/>
        </w:rPr>
      </w:pPr>
    </w:p>
    <w:p>
      <w:pPr>
        <w:pStyle w:val="BodyText"/>
        <w:spacing w:before="9"/>
        <w:rPr>
          <w:b/>
          <w:sz w:val="16"/>
        </w:rPr>
      </w:pPr>
    </w:p>
    <w:p>
      <w:pPr>
        <w:spacing w:before="0"/>
        <w:ind w:left="236" w:right="0" w:firstLine="0"/>
        <w:jc w:val="left"/>
        <w:rPr>
          <w:b/>
          <w:sz w:val="14"/>
        </w:rPr>
      </w:pPr>
      <w:r>
        <w:rPr>
          <w:b/>
          <w:color w:val="1F3863"/>
          <w:sz w:val="14"/>
        </w:rPr>
        <w:t>55.00</w:t>
      </w:r>
    </w:p>
    <w:p>
      <w:pPr>
        <w:pStyle w:val="BodyText"/>
        <w:rPr>
          <w:b/>
          <w:sz w:val="14"/>
        </w:rPr>
      </w:pPr>
    </w:p>
    <w:p>
      <w:pPr>
        <w:pStyle w:val="BodyText"/>
        <w:spacing w:before="6"/>
        <w:rPr>
          <w:b/>
          <w:sz w:val="19"/>
        </w:rPr>
      </w:pPr>
    </w:p>
    <w:p>
      <w:pPr>
        <w:spacing w:before="0"/>
        <w:ind w:left="230" w:right="0" w:firstLine="0"/>
        <w:jc w:val="left"/>
        <w:rPr>
          <w:sz w:val="14"/>
        </w:rPr>
      </w:pPr>
      <w:r>
        <w:rPr>
          <w:w w:val="95"/>
          <w:sz w:val="14"/>
        </w:rPr>
        <w:t>30-39</w:t>
      </w:r>
    </w:p>
    <w:p>
      <w:pPr>
        <w:spacing w:before="1"/>
        <w:ind w:left="265" w:right="0" w:firstLine="0"/>
        <w:jc w:val="left"/>
        <w:rPr>
          <w:sz w:val="14"/>
        </w:rPr>
      </w:pPr>
      <w:r>
        <w:rPr>
          <w:sz w:val="14"/>
        </w:rPr>
        <w:t>años</w:t>
      </w:r>
    </w:p>
    <w:p>
      <w:pPr>
        <w:spacing w:line="154" w:lineRule="exact" w:before="0"/>
        <w:ind w:left="236" w:right="0" w:firstLine="0"/>
        <w:jc w:val="left"/>
        <w:rPr>
          <w:b/>
          <w:sz w:val="14"/>
        </w:rPr>
      </w:pPr>
      <w:r>
        <w:rPr/>
        <w:br w:type="column"/>
      </w:r>
      <w:r>
        <w:rPr>
          <w:b/>
          <w:color w:val="404040"/>
          <w:sz w:val="14"/>
        </w:rPr>
        <w:t>48.95</w:t>
      </w:r>
    </w:p>
    <w:p>
      <w:pPr>
        <w:pStyle w:val="BodyText"/>
        <w:rPr>
          <w:b/>
          <w:sz w:val="14"/>
        </w:rPr>
      </w:pPr>
    </w:p>
    <w:p>
      <w:pPr>
        <w:pStyle w:val="BodyText"/>
        <w:rPr>
          <w:b/>
          <w:sz w:val="14"/>
        </w:rPr>
      </w:pPr>
    </w:p>
    <w:p>
      <w:pPr>
        <w:pStyle w:val="BodyText"/>
        <w:rPr>
          <w:b/>
          <w:sz w:val="14"/>
        </w:rPr>
      </w:pPr>
    </w:p>
    <w:p>
      <w:pPr>
        <w:pStyle w:val="BodyText"/>
        <w:spacing w:before="7"/>
        <w:rPr>
          <w:b/>
          <w:sz w:val="11"/>
        </w:rPr>
      </w:pPr>
    </w:p>
    <w:p>
      <w:pPr>
        <w:spacing w:before="0"/>
        <w:ind w:left="236" w:right="0" w:firstLine="0"/>
        <w:jc w:val="left"/>
        <w:rPr>
          <w:b/>
          <w:sz w:val="14"/>
        </w:rPr>
      </w:pPr>
      <w:r>
        <w:rPr>
          <w:b/>
          <w:color w:val="1F3863"/>
          <w:sz w:val="14"/>
        </w:rPr>
        <w:t>61.30</w:t>
      </w:r>
    </w:p>
    <w:p>
      <w:pPr>
        <w:pStyle w:val="BodyText"/>
        <w:rPr>
          <w:b/>
          <w:sz w:val="14"/>
        </w:rPr>
      </w:pPr>
    </w:p>
    <w:p>
      <w:pPr>
        <w:pStyle w:val="BodyText"/>
        <w:rPr>
          <w:b/>
          <w:sz w:val="14"/>
        </w:rPr>
      </w:pPr>
    </w:p>
    <w:p>
      <w:pPr>
        <w:spacing w:before="108"/>
        <w:ind w:left="230" w:right="0" w:firstLine="0"/>
        <w:jc w:val="left"/>
        <w:rPr>
          <w:sz w:val="14"/>
        </w:rPr>
      </w:pPr>
      <w:r>
        <w:rPr>
          <w:w w:val="95"/>
          <w:sz w:val="14"/>
        </w:rPr>
        <w:t>40-49</w:t>
      </w:r>
    </w:p>
    <w:p>
      <w:pPr>
        <w:spacing w:before="1"/>
        <w:ind w:left="265" w:right="0" w:firstLine="0"/>
        <w:jc w:val="left"/>
        <w:rPr>
          <w:sz w:val="14"/>
        </w:rPr>
      </w:pPr>
      <w:r>
        <w:rPr>
          <w:sz w:val="14"/>
        </w:rPr>
        <w:t>años</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spacing w:before="101"/>
        <w:ind w:left="236" w:right="0" w:firstLine="0"/>
        <w:jc w:val="left"/>
        <w:rPr>
          <w:b/>
          <w:sz w:val="14"/>
        </w:rPr>
      </w:pPr>
      <w:r>
        <w:rPr>
          <w:b/>
          <w:color w:val="1F3863"/>
          <w:sz w:val="14"/>
        </w:rPr>
        <w:t>64.89</w:t>
      </w:r>
    </w:p>
    <w:p>
      <w:pPr>
        <w:pStyle w:val="BodyText"/>
        <w:rPr>
          <w:b/>
          <w:sz w:val="14"/>
        </w:rPr>
      </w:pPr>
    </w:p>
    <w:p>
      <w:pPr>
        <w:pStyle w:val="BodyText"/>
        <w:rPr>
          <w:b/>
          <w:sz w:val="14"/>
        </w:rPr>
      </w:pPr>
    </w:p>
    <w:p>
      <w:pPr>
        <w:pStyle w:val="BodyText"/>
        <w:spacing w:before="7"/>
        <w:rPr>
          <w:b/>
          <w:sz w:val="11"/>
        </w:rPr>
      </w:pPr>
    </w:p>
    <w:p>
      <w:pPr>
        <w:spacing w:before="0"/>
        <w:ind w:left="230" w:right="0" w:firstLine="0"/>
        <w:jc w:val="left"/>
        <w:rPr>
          <w:sz w:val="14"/>
        </w:rPr>
      </w:pPr>
      <w:r>
        <w:rPr>
          <w:w w:val="95"/>
          <w:sz w:val="14"/>
        </w:rPr>
        <w:t>50-59</w:t>
      </w:r>
    </w:p>
    <w:p>
      <w:pPr>
        <w:spacing w:before="1"/>
        <w:ind w:left="265" w:right="0" w:firstLine="0"/>
        <w:jc w:val="left"/>
        <w:rPr>
          <w:sz w:val="14"/>
        </w:rPr>
      </w:pPr>
      <w:r>
        <w:rPr>
          <w:sz w:val="14"/>
        </w:rPr>
        <w:t>años</w:t>
      </w:r>
    </w:p>
    <w:p>
      <w:pPr>
        <w:pStyle w:val="BodyText"/>
        <w:rPr>
          <w:sz w:val="14"/>
        </w:rPr>
      </w:pPr>
      <w:r>
        <w:rPr/>
        <w:br w:type="column"/>
      </w:r>
      <w:r>
        <w:rPr>
          <w:sz w:val="14"/>
        </w:rPr>
      </w:r>
    </w:p>
    <w:p>
      <w:pPr>
        <w:pStyle w:val="BodyText"/>
        <w:rPr>
          <w:sz w:val="14"/>
        </w:rPr>
      </w:pPr>
    </w:p>
    <w:p>
      <w:pPr>
        <w:pStyle w:val="BodyText"/>
        <w:rPr>
          <w:sz w:val="14"/>
        </w:rPr>
      </w:pPr>
    </w:p>
    <w:p>
      <w:pPr>
        <w:pStyle w:val="BodyText"/>
        <w:spacing w:before="9"/>
        <w:rPr>
          <w:sz w:val="20"/>
        </w:rPr>
      </w:pPr>
    </w:p>
    <w:p>
      <w:pPr>
        <w:spacing w:before="0"/>
        <w:ind w:left="236" w:right="0" w:firstLine="0"/>
        <w:jc w:val="left"/>
        <w:rPr>
          <w:b/>
          <w:sz w:val="14"/>
        </w:rPr>
      </w:pPr>
      <w:r>
        <w:rPr>
          <w:b/>
          <w:color w:val="1F3863"/>
          <w:sz w:val="14"/>
        </w:rPr>
        <w:t>68.13</w:t>
      </w:r>
    </w:p>
    <w:p>
      <w:pPr>
        <w:pStyle w:val="BodyText"/>
        <w:rPr>
          <w:b/>
          <w:sz w:val="14"/>
        </w:rPr>
      </w:pPr>
    </w:p>
    <w:p>
      <w:pPr>
        <w:pStyle w:val="BodyText"/>
        <w:rPr>
          <w:b/>
          <w:sz w:val="14"/>
        </w:rPr>
      </w:pPr>
    </w:p>
    <w:p>
      <w:pPr>
        <w:pStyle w:val="BodyText"/>
        <w:spacing w:before="7"/>
        <w:rPr>
          <w:b/>
          <w:sz w:val="13"/>
        </w:rPr>
      </w:pPr>
    </w:p>
    <w:p>
      <w:pPr>
        <w:spacing w:before="0"/>
        <w:ind w:left="187" w:right="0" w:firstLine="0"/>
        <w:jc w:val="left"/>
        <w:rPr>
          <w:sz w:val="14"/>
        </w:rPr>
      </w:pPr>
      <w:r>
        <w:rPr>
          <w:sz w:val="14"/>
        </w:rPr>
        <w:t>60 a</w:t>
      </w:r>
      <w:r>
        <w:rPr>
          <w:spacing w:val="-4"/>
          <w:sz w:val="14"/>
        </w:rPr>
        <w:t> </w:t>
      </w:r>
      <w:r>
        <w:rPr>
          <w:spacing w:val="-8"/>
          <w:sz w:val="14"/>
        </w:rPr>
        <w:t>69</w:t>
      </w:r>
    </w:p>
    <w:p>
      <w:pPr>
        <w:spacing w:before="1"/>
        <w:ind w:left="265" w:right="0" w:firstLine="0"/>
        <w:jc w:val="left"/>
        <w:rPr>
          <w:sz w:val="14"/>
        </w:rPr>
      </w:pPr>
      <w:r>
        <w:rPr>
          <w:sz w:val="14"/>
        </w:rPr>
        <w:t>años</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
        <w:rPr>
          <w:sz w:val="20"/>
        </w:rPr>
      </w:pPr>
    </w:p>
    <w:p>
      <w:pPr>
        <w:spacing w:before="1"/>
        <w:ind w:left="237" w:right="1867" w:hanging="156"/>
        <w:jc w:val="left"/>
        <w:rPr>
          <w:sz w:val="14"/>
        </w:rPr>
      </w:pPr>
      <w:r>
        <w:rPr>
          <w:sz w:val="14"/>
        </w:rPr>
        <w:t>70 años y más</w:t>
      </w:r>
    </w:p>
    <w:p>
      <w:pPr>
        <w:spacing w:after="0"/>
        <w:jc w:val="left"/>
        <w:rPr>
          <w:sz w:val="14"/>
        </w:rPr>
        <w:sectPr>
          <w:type w:val="continuous"/>
          <w:pgSz w:w="12240" w:h="15840"/>
          <w:pgMar w:top="1500" w:bottom="280" w:left="1140" w:right="0"/>
          <w:cols w:num="10" w:equalWidth="0">
            <w:col w:w="2247" w:space="40"/>
            <w:col w:w="938" w:space="39"/>
            <w:col w:w="1403" w:space="39"/>
            <w:col w:w="822" w:space="39"/>
            <w:col w:w="557" w:space="40"/>
            <w:col w:w="557" w:space="40"/>
            <w:col w:w="557" w:space="39"/>
            <w:col w:w="557" w:space="40"/>
            <w:col w:w="601" w:space="40"/>
            <w:col w:w="2505"/>
          </w:cols>
        </w:sectPr>
      </w:pPr>
    </w:p>
    <w:p>
      <w:pPr>
        <w:tabs>
          <w:tab w:pos="5064" w:val="left" w:leader="none"/>
        </w:tabs>
        <w:spacing w:before="121"/>
        <w:ind w:left="670" w:right="0" w:firstLine="0"/>
        <w:jc w:val="left"/>
        <w:rPr>
          <w:sz w:val="16"/>
        </w:rPr>
      </w:pPr>
      <w:r>
        <w:rPr>
          <w:sz w:val="16"/>
        </w:rPr>
        <w:t>Fuente: Ministerio de Salud Pública y</w:t>
      </w:r>
      <w:r>
        <w:rPr>
          <w:spacing w:val="-24"/>
          <w:sz w:val="16"/>
        </w:rPr>
        <w:t> </w:t>
      </w:r>
      <w:r>
        <w:rPr>
          <w:sz w:val="16"/>
        </w:rPr>
        <w:t>Asistencia</w:t>
      </w:r>
      <w:r>
        <w:rPr>
          <w:spacing w:val="-1"/>
          <w:sz w:val="16"/>
        </w:rPr>
        <w:t> </w:t>
      </w:r>
      <w:r>
        <w:rPr>
          <w:sz w:val="16"/>
        </w:rPr>
        <w:t>Social</w:t>
        <w:tab/>
        <w:t>Fuente: Ministerio de Salud Pública y Asistencia</w:t>
      </w:r>
      <w:r>
        <w:rPr>
          <w:spacing w:val="-11"/>
          <w:sz w:val="16"/>
        </w:rPr>
        <w:t> </w:t>
      </w:r>
      <w:r>
        <w:rPr>
          <w:sz w:val="16"/>
        </w:rPr>
        <w:t>Social</w:t>
      </w:r>
    </w:p>
    <w:p>
      <w:pPr>
        <w:pStyle w:val="BodyText"/>
        <w:spacing w:before="10"/>
        <w:rPr>
          <w:sz w:val="21"/>
        </w:rPr>
      </w:pPr>
    </w:p>
    <w:p>
      <w:pPr>
        <w:pStyle w:val="BodyText"/>
        <w:spacing w:line="276" w:lineRule="auto" w:before="92"/>
        <w:ind w:left="562" w:right="1696"/>
        <w:jc w:val="both"/>
      </w:pPr>
      <w:r>
        <w:rPr/>
        <w:t>En</w:t>
      </w:r>
      <w:r>
        <w:rPr>
          <w:spacing w:val="-11"/>
        </w:rPr>
        <w:t> </w:t>
      </w:r>
      <w:r>
        <w:rPr/>
        <w:t>el</w:t>
      </w:r>
      <w:r>
        <w:rPr>
          <w:spacing w:val="-11"/>
        </w:rPr>
        <w:t> </w:t>
      </w:r>
      <w:r>
        <w:rPr/>
        <w:t>caso</w:t>
      </w:r>
      <w:r>
        <w:rPr>
          <w:spacing w:val="-11"/>
        </w:rPr>
        <w:t> </w:t>
      </w:r>
      <w:r>
        <w:rPr/>
        <w:t>del</w:t>
      </w:r>
      <w:r>
        <w:rPr>
          <w:spacing w:val="-11"/>
        </w:rPr>
        <w:t> </w:t>
      </w:r>
      <w:r>
        <w:rPr/>
        <w:t>Ministerio</w:t>
      </w:r>
      <w:r>
        <w:rPr>
          <w:spacing w:val="-11"/>
        </w:rPr>
        <w:t> </w:t>
      </w:r>
      <w:r>
        <w:rPr/>
        <w:t>de</w:t>
      </w:r>
      <w:r>
        <w:rPr>
          <w:spacing w:val="-12"/>
        </w:rPr>
        <w:t> </w:t>
      </w:r>
      <w:r>
        <w:rPr/>
        <w:t>Desarrollo</w:t>
      </w:r>
      <w:r>
        <w:rPr>
          <w:spacing w:val="-12"/>
        </w:rPr>
        <w:t> </w:t>
      </w:r>
      <w:r>
        <w:rPr/>
        <w:t>Social</w:t>
      </w:r>
      <w:r>
        <w:rPr>
          <w:spacing w:val="-9"/>
        </w:rPr>
        <w:t> </w:t>
      </w:r>
      <w:r>
        <w:rPr/>
        <w:t>y</w:t>
      </w:r>
      <w:r>
        <w:rPr>
          <w:spacing w:val="-12"/>
        </w:rPr>
        <w:t> </w:t>
      </w:r>
      <w:r>
        <w:rPr/>
        <w:t>Ministerio</w:t>
      </w:r>
      <w:r>
        <w:rPr>
          <w:spacing w:val="-12"/>
        </w:rPr>
        <w:t> </w:t>
      </w:r>
      <w:r>
        <w:rPr/>
        <w:t>de</w:t>
      </w:r>
      <w:r>
        <w:rPr>
          <w:spacing w:val="-10"/>
        </w:rPr>
        <w:t> </w:t>
      </w:r>
      <w:r>
        <w:rPr/>
        <w:t>Agricultura,</w:t>
      </w:r>
      <w:r>
        <w:rPr>
          <w:spacing w:val="-9"/>
        </w:rPr>
        <w:t> </w:t>
      </w:r>
      <w:r>
        <w:rPr/>
        <w:t>Ganadería</w:t>
      </w:r>
      <w:r>
        <w:rPr>
          <w:spacing w:val="-9"/>
        </w:rPr>
        <w:t> </w:t>
      </w:r>
      <w:r>
        <w:rPr/>
        <w:t>y</w:t>
      </w:r>
      <w:r>
        <w:rPr>
          <w:spacing w:val="-13"/>
        </w:rPr>
        <w:t> </w:t>
      </w:r>
      <w:r>
        <w:rPr/>
        <w:t>Alimentación la</w:t>
      </w:r>
      <w:r>
        <w:rPr>
          <w:spacing w:val="-15"/>
        </w:rPr>
        <w:t> </w:t>
      </w:r>
      <w:r>
        <w:rPr/>
        <w:t>ejecución</w:t>
      </w:r>
      <w:r>
        <w:rPr>
          <w:spacing w:val="-14"/>
        </w:rPr>
        <w:t> </w:t>
      </w:r>
      <w:r>
        <w:rPr/>
        <w:t>reportada</w:t>
      </w:r>
      <w:r>
        <w:rPr>
          <w:spacing w:val="-13"/>
        </w:rPr>
        <w:t> </w:t>
      </w:r>
      <w:r>
        <w:rPr/>
        <w:t>corresponde</w:t>
      </w:r>
      <w:r>
        <w:rPr>
          <w:spacing w:val="-16"/>
        </w:rPr>
        <w:t> </w:t>
      </w:r>
      <w:r>
        <w:rPr/>
        <w:t>a</w:t>
      </w:r>
      <w:r>
        <w:rPr>
          <w:spacing w:val="-14"/>
        </w:rPr>
        <w:t> </w:t>
      </w:r>
      <w:r>
        <w:rPr/>
        <w:t>la</w:t>
      </w:r>
      <w:r>
        <w:rPr>
          <w:spacing w:val="-16"/>
        </w:rPr>
        <w:t> </w:t>
      </w:r>
      <w:r>
        <w:rPr/>
        <w:t>regularización</w:t>
      </w:r>
      <w:r>
        <w:rPr>
          <w:spacing w:val="-14"/>
        </w:rPr>
        <w:t> </w:t>
      </w:r>
      <w:r>
        <w:rPr/>
        <w:t>del</w:t>
      </w:r>
      <w:r>
        <w:rPr>
          <w:spacing w:val="-14"/>
        </w:rPr>
        <w:t> </w:t>
      </w:r>
      <w:r>
        <w:rPr/>
        <w:t>anticipo</w:t>
      </w:r>
      <w:r>
        <w:rPr>
          <w:spacing w:val="-14"/>
        </w:rPr>
        <w:t> </w:t>
      </w:r>
      <w:r>
        <w:rPr/>
        <w:t>dado</w:t>
      </w:r>
      <w:r>
        <w:rPr>
          <w:spacing w:val="-16"/>
        </w:rPr>
        <w:t> </w:t>
      </w:r>
      <w:r>
        <w:rPr/>
        <w:t>en</w:t>
      </w:r>
      <w:r>
        <w:rPr>
          <w:spacing w:val="-14"/>
        </w:rPr>
        <w:t> </w:t>
      </w:r>
      <w:r>
        <w:rPr/>
        <w:t>2020</w:t>
      </w:r>
      <w:r>
        <w:rPr>
          <w:spacing w:val="-14"/>
        </w:rPr>
        <w:t> </w:t>
      </w:r>
      <w:r>
        <w:rPr/>
        <w:t>al</w:t>
      </w:r>
      <w:r>
        <w:rPr>
          <w:spacing w:val="-16"/>
        </w:rPr>
        <w:t> </w:t>
      </w:r>
      <w:r>
        <w:rPr/>
        <w:t>Programa</w:t>
      </w:r>
      <w:r>
        <w:rPr>
          <w:spacing w:val="-14"/>
        </w:rPr>
        <w:t> </w:t>
      </w:r>
      <w:r>
        <w:rPr/>
        <w:t>Mundial de Alimentos (PMA), que consistió en cupones canjeables y entregas en especie de la actividad dotación alimentaria. Adicionalmente, Desarrollo Social reporta una ejecución pequeña en otras intervenciones realizadas para la atención de la emergencia</w:t>
      </w:r>
      <w:r>
        <w:rPr>
          <w:spacing w:val="-8"/>
        </w:rPr>
        <w:t> </w:t>
      </w:r>
      <w:r>
        <w:rPr/>
        <w:t>COVID-19.</w:t>
      </w:r>
    </w:p>
    <w:p>
      <w:pPr>
        <w:pStyle w:val="BodyText"/>
        <w:spacing w:before="3"/>
        <w:rPr>
          <w:sz w:val="25"/>
        </w:rPr>
      </w:pPr>
    </w:p>
    <w:p>
      <w:pPr>
        <w:pStyle w:val="BodyText"/>
        <w:spacing w:line="276" w:lineRule="auto"/>
        <w:ind w:left="562" w:right="1697"/>
        <w:jc w:val="both"/>
      </w:pPr>
      <w:r>
        <w:rPr/>
        <w:t>Por</w:t>
      </w:r>
      <w:r>
        <w:rPr>
          <w:spacing w:val="-9"/>
        </w:rPr>
        <w:t> </w:t>
      </w:r>
      <w:r>
        <w:rPr/>
        <w:t>último,</w:t>
      </w:r>
      <w:r>
        <w:rPr>
          <w:spacing w:val="-10"/>
        </w:rPr>
        <w:t> </w:t>
      </w:r>
      <w:r>
        <w:rPr/>
        <w:t>la</w:t>
      </w:r>
      <w:r>
        <w:rPr>
          <w:spacing w:val="-9"/>
        </w:rPr>
        <w:t> </w:t>
      </w:r>
      <w:r>
        <w:rPr/>
        <w:t>Secretaría</w:t>
      </w:r>
      <w:r>
        <w:rPr>
          <w:spacing w:val="-9"/>
        </w:rPr>
        <w:t> </w:t>
      </w:r>
      <w:r>
        <w:rPr/>
        <w:t>de</w:t>
      </w:r>
      <w:r>
        <w:rPr>
          <w:spacing w:val="-13"/>
        </w:rPr>
        <w:t> </w:t>
      </w:r>
      <w:r>
        <w:rPr/>
        <w:t>Comunicación</w:t>
      </w:r>
      <w:r>
        <w:rPr>
          <w:spacing w:val="-10"/>
        </w:rPr>
        <w:t> </w:t>
      </w:r>
      <w:r>
        <w:rPr/>
        <w:t>Social</w:t>
      </w:r>
      <w:r>
        <w:rPr>
          <w:spacing w:val="-11"/>
        </w:rPr>
        <w:t> </w:t>
      </w:r>
      <w:r>
        <w:rPr/>
        <w:t>reporta</w:t>
      </w:r>
      <w:r>
        <w:rPr>
          <w:spacing w:val="-9"/>
        </w:rPr>
        <w:t> </w:t>
      </w:r>
      <w:r>
        <w:rPr/>
        <w:t>una</w:t>
      </w:r>
      <w:r>
        <w:rPr>
          <w:spacing w:val="-8"/>
        </w:rPr>
        <w:t> </w:t>
      </w:r>
      <w:r>
        <w:rPr/>
        <w:t>ejecución</w:t>
      </w:r>
      <w:r>
        <w:rPr>
          <w:spacing w:val="-10"/>
        </w:rPr>
        <w:t> </w:t>
      </w:r>
      <w:r>
        <w:rPr/>
        <w:t>de</w:t>
      </w:r>
      <w:r>
        <w:rPr>
          <w:spacing w:val="-9"/>
        </w:rPr>
        <w:t> </w:t>
      </w:r>
      <w:r>
        <w:rPr/>
        <w:t>Q13.7</w:t>
      </w:r>
      <w:r>
        <w:rPr>
          <w:spacing w:val="-10"/>
        </w:rPr>
        <w:t> </w:t>
      </w:r>
      <w:r>
        <w:rPr/>
        <w:t>millones,</w:t>
      </w:r>
      <w:r>
        <w:rPr>
          <w:spacing w:val="-9"/>
        </w:rPr>
        <w:t> </w:t>
      </w:r>
      <w:r>
        <w:rPr/>
        <w:t>los</w:t>
      </w:r>
      <w:r>
        <w:rPr>
          <w:spacing w:val="-8"/>
        </w:rPr>
        <w:t> </w:t>
      </w:r>
      <w:r>
        <w:rPr/>
        <w:t>cuales corresponden a divulgación de las acciones del gobierno para informar a la población a través de medios digitales y medios de comunicación no</w:t>
      </w:r>
      <w:r>
        <w:rPr>
          <w:spacing w:val="-6"/>
        </w:rPr>
        <w:t> </w:t>
      </w:r>
      <w:r>
        <w:rPr/>
        <w:t>gubernamentales.</w:t>
      </w:r>
    </w:p>
    <w:p>
      <w:pPr>
        <w:pStyle w:val="BodyText"/>
        <w:spacing w:before="4"/>
        <w:rPr>
          <w:sz w:val="25"/>
        </w:rPr>
      </w:pPr>
    </w:p>
    <w:p>
      <w:pPr>
        <w:pStyle w:val="BodyText"/>
        <w:spacing w:line="276" w:lineRule="auto"/>
        <w:ind w:left="562" w:right="1696"/>
        <w:jc w:val="both"/>
      </w:pPr>
      <w:r>
        <w:rPr/>
        <w:t>Es importante recordar que en 2020 las intervenciones por COVID-19 alcanzaron los Q13,520.2 millones, ejecución que estaba siendo impulsada por tres programas principalmente, Bono Familia, Fondo para Capital de Trabajo y Fondo de Protección de Empleo, mientras que en 2021 estos programas</w:t>
      </w:r>
      <w:r>
        <w:rPr>
          <w:spacing w:val="-15"/>
        </w:rPr>
        <w:t> </w:t>
      </w:r>
      <w:r>
        <w:rPr/>
        <w:t>no</w:t>
      </w:r>
      <w:r>
        <w:rPr>
          <w:spacing w:val="-17"/>
        </w:rPr>
        <w:t> </w:t>
      </w:r>
      <w:r>
        <w:rPr/>
        <w:t>estuvieron</w:t>
      </w:r>
      <w:r>
        <w:rPr>
          <w:spacing w:val="-17"/>
        </w:rPr>
        <w:t> </w:t>
      </w:r>
      <w:r>
        <w:rPr/>
        <w:t>vigentes</w:t>
      </w:r>
      <w:r>
        <w:rPr>
          <w:spacing w:val="-14"/>
        </w:rPr>
        <w:t> </w:t>
      </w:r>
      <w:r>
        <w:rPr/>
        <w:t>dado</w:t>
      </w:r>
      <w:r>
        <w:rPr>
          <w:spacing w:val="-16"/>
        </w:rPr>
        <w:t> </w:t>
      </w:r>
      <w:r>
        <w:rPr/>
        <w:t>que</w:t>
      </w:r>
      <w:r>
        <w:rPr>
          <w:spacing w:val="-16"/>
        </w:rPr>
        <w:t> </w:t>
      </w:r>
      <w:r>
        <w:rPr/>
        <w:t>cumplieron</w:t>
      </w:r>
      <w:r>
        <w:rPr>
          <w:spacing w:val="-17"/>
        </w:rPr>
        <w:t> </w:t>
      </w:r>
      <w:r>
        <w:rPr/>
        <w:t>los</w:t>
      </w:r>
      <w:r>
        <w:rPr>
          <w:spacing w:val="-16"/>
        </w:rPr>
        <w:t> </w:t>
      </w:r>
      <w:r>
        <w:rPr/>
        <w:t>objetivos</w:t>
      </w:r>
      <w:r>
        <w:rPr>
          <w:spacing w:val="-15"/>
        </w:rPr>
        <w:t> </w:t>
      </w:r>
      <w:r>
        <w:rPr/>
        <w:t>para</w:t>
      </w:r>
      <w:r>
        <w:rPr>
          <w:spacing w:val="-14"/>
        </w:rPr>
        <w:t> </w:t>
      </w:r>
      <w:r>
        <w:rPr/>
        <w:t>los</w:t>
      </w:r>
      <w:r>
        <w:rPr>
          <w:spacing w:val="-16"/>
        </w:rPr>
        <w:t> </w:t>
      </w:r>
      <w:r>
        <w:rPr/>
        <w:t>cuales</w:t>
      </w:r>
      <w:r>
        <w:rPr>
          <w:spacing w:val="-14"/>
        </w:rPr>
        <w:t> </w:t>
      </w:r>
      <w:r>
        <w:rPr/>
        <w:t>fueron</w:t>
      </w:r>
      <w:r>
        <w:rPr>
          <w:spacing w:val="-14"/>
        </w:rPr>
        <w:t> </w:t>
      </w:r>
      <w:r>
        <w:rPr/>
        <w:t>diseñados.</w:t>
      </w:r>
    </w:p>
    <w:p>
      <w:pPr>
        <w:pStyle w:val="BodyText"/>
        <w:spacing w:before="11"/>
        <w:rPr>
          <w:sz w:val="17"/>
        </w:rPr>
      </w:pPr>
    </w:p>
    <w:p>
      <w:pPr>
        <w:spacing w:after="0"/>
        <w:rPr>
          <w:sz w:val="17"/>
        </w:rPr>
        <w:sectPr>
          <w:type w:val="continuous"/>
          <w:pgSz w:w="12240" w:h="15840"/>
          <w:pgMar w:top="1500" w:bottom="280" w:left="1140" w:right="0"/>
        </w:sectPr>
      </w:pPr>
    </w:p>
    <w:p>
      <w:pPr>
        <w:spacing w:line="276" w:lineRule="auto" w:before="91"/>
        <w:ind w:left="766" w:right="3" w:firstLine="0"/>
        <w:jc w:val="center"/>
        <w:rPr>
          <w:b/>
          <w:sz w:val="20"/>
        </w:rPr>
      </w:pPr>
      <w:bookmarkStart w:name="_bookmark141" w:id="175"/>
      <w:bookmarkEnd w:id="175"/>
      <w:r>
        <w:rPr/>
      </w:r>
      <w:r>
        <w:rPr>
          <w:b/>
          <w:i/>
          <w:sz w:val="20"/>
        </w:rPr>
        <w:t>Gráfico 74. </w:t>
      </w:r>
      <w:r>
        <w:rPr>
          <w:b/>
          <w:sz w:val="20"/>
        </w:rPr>
        <w:t>Ejecución 2020 de los programas en atención al COVID-19</w:t>
      </w:r>
    </w:p>
    <w:p>
      <w:pPr>
        <w:spacing w:line="203" w:lineRule="exact" w:before="0"/>
        <w:ind w:left="771" w:right="3" w:firstLine="0"/>
        <w:jc w:val="center"/>
        <w:rPr>
          <w:sz w:val="18"/>
        </w:rPr>
      </w:pPr>
      <w:r>
        <w:rPr>
          <w:sz w:val="18"/>
        </w:rPr>
        <w:t>Millones de quetzales</w:t>
      </w:r>
    </w:p>
    <w:p>
      <w:pPr>
        <w:spacing w:line="264" w:lineRule="auto" w:before="114"/>
        <w:ind w:left="1001" w:right="1961" w:hanging="168"/>
        <w:jc w:val="left"/>
        <w:rPr>
          <w:b/>
          <w:sz w:val="18"/>
        </w:rPr>
      </w:pPr>
      <w:r>
        <w:rPr>
          <w:b/>
          <w:sz w:val="18"/>
        </w:rPr>
        <w:t>Total de intervenciones Q13,520.2 millones</w:t>
      </w:r>
    </w:p>
    <w:p>
      <w:pPr>
        <w:spacing w:line="276" w:lineRule="auto" w:before="91"/>
        <w:ind w:left="412" w:right="1958" w:firstLine="0"/>
        <w:jc w:val="center"/>
        <w:rPr>
          <w:b/>
          <w:sz w:val="20"/>
        </w:rPr>
      </w:pPr>
      <w:r>
        <w:rPr/>
        <w:br w:type="column"/>
      </w:r>
      <w:bookmarkStart w:name="_bookmark142" w:id="176"/>
      <w:bookmarkEnd w:id="176"/>
      <w:r>
        <w:rPr/>
      </w:r>
      <w:r>
        <w:rPr>
          <w:b/>
          <w:i/>
          <w:sz w:val="20"/>
        </w:rPr>
        <w:t>Gráfico 75. </w:t>
      </w:r>
      <w:r>
        <w:rPr>
          <w:b/>
          <w:sz w:val="20"/>
        </w:rPr>
        <w:t>Ejecución 2021 de los programas en atención al COVID-19</w:t>
      </w:r>
    </w:p>
    <w:p>
      <w:pPr>
        <w:spacing w:line="203" w:lineRule="exact" w:before="0"/>
        <w:ind w:left="412" w:right="1952" w:firstLine="0"/>
        <w:jc w:val="center"/>
        <w:rPr>
          <w:sz w:val="18"/>
        </w:rPr>
      </w:pPr>
      <w:r>
        <w:rPr>
          <w:sz w:val="18"/>
        </w:rPr>
        <w:t>Millones de quetzales</w:t>
      </w:r>
    </w:p>
    <w:p>
      <w:pPr>
        <w:spacing w:line="264" w:lineRule="auto" w:before="114"/>
        <w:ind w:left="649" w:right="4209" w:hanging="212"/>
        <w:jc w:val="left"/>
        <w:rPr>
          <w:b/>
          <w:sz w:val="18"/>
        </w:rPr>
      </w:pPr>
      <w:r>
        <w:rPr>
          <w:b/>
          <w:sz w:val="18"/>
        </w:rPr>
        <w:t>Total de intervenciones Q3,218.2 millones</w:t>
      </w:r>
    </w:p>
    <w:p>
      <w:pPr>
        <w:spacing w:after="0" w:line="264" w:lineRule="auto"/>
        <w:jc w:val="left"/>
        <w:rPr>
          <w:sz w:val="18"/>
        </w:rPr>
        <w:sectPr>
          <w:type w:val="continuous"/>
          <w:pgSz w:w="12240" w:h="15840"/>
          <w:pgMar w:top="1500" w:bottom="280" w:left="1140" w:right="0"/>
          <w:cols w:num="2" w:equalWidth="0">
            <w:col w:w="4604" w:space="40"/>
            <w:col w:w="6456"/>
          </w:cols>
        </w:sectPr>
      </w:pPr>
    </w:p>
    <w:p>
      <w:pPr>
        <w:pStyle w:val="BodyText"/>
        <w:spacing w:before="5"/>
        <w:rPr>
          <w:b/>
        </w:rPr>
      </w:pPr>
    </w:p>
    <w:p>
      <w:pPr>
        <w:spacing w:after="0"/>
        <w:sectPr>
          <w:type w:val="continuous"/>
          <w:pgSz w:w="12240" w:h="15840"/>
          <w:pgMar w:top="1500" w:bottom="280" w:left="1140" w:right="0"/>
        </w:sectPr>
      </w:pPr>
    </w:p>
    <w:p>
      <w:pPr>
        <w:spacing w:before="109"/>
        <w:ind w:left="2093" w:right="-13" w:firstLine="158"/>
        <w:jc w:val="left"/>
        <w:rPr>
          <w:sz w:val="16"/>
        </w:rPr>
      </w:pPr>
      <w:r>
        <w:rPr/>
        <w:pict>
          <v:group style="position:absolute;margin-left:114.120003pt;margin-top:-3.77925pt;width:109.45pt;height:109.45pt;mso-position-horizontal-relative:page;mso-position-vertical-relative:paragraph;z-index:-280650752" coordorigin="2282,-76" coordsize="2189,2189">
            <v:shape style="position:absolute;left:3315;top:957;width:1093;height:771" type="#_x0000_t75" stroked="false">
              <v:imagedata r:id="rId150" o:title=""/>
            </v:shape>
            <v:shape style="position:absolute;left:3285;top:927;width:950;height:1025" type="#_x0000_t75" stroked="false">
              <v:imagedata r:id="rId151" o:title=""/>
            </v:shape>
            <v:shape style="position:absolute;left:3098;top:927;width:919;height:1185" type="#_x0000_t75" stroked="false">
              <v:imagedata r:id="rId152" o:title=""/>
            </v:shape>
            <v:shape style="position:absolute;left:2282;top:-62;width:1188;height:2157" type="#_x0000_t75" stroked="false">
              <v:imagedata r:id="rId153" o:title=""/>
            </v:shape>
            <v:shape style="position:absolute;left:3120;top:-76;width:1137;height:1188" type="#_x0000_t75" stroked="false">
              <v:imagedata r:id="rId154" o:title=""/>
            </v:shape>
            <v:shape style="position:absolute;left:3285;top:305;width:1185;height:1065" type="#_x0000_t75" stroked="false">
              <v:imagedata r:id="rId155" o:title=""/>
            </v:shape>
            <v:shape style="position:absolute;left:3384;top:1026;width:968;height:646" coordorigin="3385,1027" coordsize="968,646" path="m3385,1027l4151,1672,4196,1614,4237,1554,4273,1490,4305,1424,4331,1356,4353,1286,3385,1027xe" filled="true" fillcolor="#5b9bd4" stroked="false">
              <v:path arrowok="t"/>
              <v:fill type="solid"/>
            </v:shape>
            <v:shape style="position:absolute;left:3384;top:1026;width:968;height:646" coordorigin="3385,1027" coordsize="968,646" path="m4353,1286l4331,1356,4305,1424,4273,1490,4237,1554,4196,1614,4151,1672,3385,1027,4353,1286xe" filled="false" stroked="true" strokeweight="1.56pt" strokecolor="#ffffff">
              <v:path arrowok="t"/>
              <v:stroke dashstyle="solid"/>
            </v:shape>
            <v:shape style="position:absolute;left:3384;top:1026;width:767;height:839" coordorigin="3385,1027" coordsize="767,839" path="m3385,1027l3932,1866,3992,1824,4049,1777,4102,1727,4151,1672,3385,1027xe" filled="true" fillcolor="#ec7c30" stroked="false">
              <v:path arrowok="t"/>
              <v:fill type="solid"/>
            </v:shape>
            <v:shape style="position:absolute;left:3384;top:1026;width:767;height:839" coordorigin="3385,1027" coordsize="767,839" path="m4151,1672l4102,1727,4049,1777,3992,1824,3932,1866,3385,1027,4151,1672xe" filled="false" stroked="true" strokeweight="1.56pt" strokecolor="#ffffff">
              <v:path arrowok="t"/>
              <v:stroke dashstyle="solid"/>
            </v:shape>
            <v:shape style="position:absolute;left:3198;top:1026;width:735;height:1002" coordorigin="3198,1027" coordsize="735,1002" path="m3385,1027l3198,2011,3275,2023,3351,2028,3428,2028,3504,2022,3579,2010,3654,1992,3726,1969,3797,1940,3866,1906,3932,1866,3385,1027xe" filled="true" fillcolor="#a4a4a4" stroked="false">
              <v:path arrowok="t"/>
              <v:fill type="solid"/>
            </v:shape>
            <v:shape style="position:absolute;left:3198;top:1026;width:735;height:1002" coordorigin="3198,1027" coordsize="735,1002" path="m3932,1866l3866,1906,3797,1940,3726,1969,3654,1992,3579,2010,3504,2022,3428,2028,3351,2028,3275,2023,3198,2011,3385,1027,3932,1866xe" filled="false" stroked="true" strokeweight="1.56pt" strokecolor="#ffffff">
              <v:path arrowok="t"/>
              <v:stroke dashstyle="solid"/>
            </v:shape>
            <v:shape style="position:absolute;left:2383;top:38;width:1002;height:1973" coordorigin="2383,39" coordsize="1002,1973" path="m3219,39l3143,55,3069,76,2997,103,2928,135,2862,172,2799,214,2740,260,2684,311,2632,365,2585,424,2542,486,2503,551,2470,619,2441,690,2418,764,2400,840,2389,914,2383,988,2383,1060,2388,1132,2398,1203,2413,1272,2433,1340,2457,1406,2486,1470,2519,1532,2557,1591,2598,1647,2643,1701,2692,1751,2745,1798,2800,1841,2859,1880,2922,1916,2987,1947,3055,1973,3125,1995,3198,2011,3385,1027,3219,39xe" filled="true" fillcolor="#4471c4" stroked="false">
              <v:path arrowok="t"/>
              <v:fill type="solid"/>
            </v:shape>
            <v:shape style="position:absolute;left:2383;top:38;width:1002;height:1973" coordorigin="2383,39" coordsize="1002,1973" path="m3198,2011l3125,1995,3055,1973,2987,1947,2922,1916,2859,1880,2800,1841,2745,1798,2692,1751,2643,1701,2598,1647,2557,1591,2519,1532,2486,1470,2457,1406,2433,1340,2413,1272,2398,1203,2388,1132,2383,1060,2383,988,2389,914,2400,840,2418,764,2441,690,2470,619,2503,551,2542,486,2585,424,2632,365,2684,311,2740,260,2799,214,2862,172,2928,135,2997,103,3069,76,3143,55,3219,39,3385,1027,3198,2011xe" filled="false" stroked="true" strokeweight="1.56pt" strokecolor="#ffffff">
              <v:path arrowok="t"/>
              <v:stroke dashstyle="solid"/>
            </v:shape>
            <v:shape style="position:absolute;left:3219;top:25;width:953;height:1002" coordorigin="3219,25" coordsize="953,1002" path="m3374,25l3297,29,3219,39,3385,1027,4172,407,4121,347,4067,293,4008,243,3947,197,3882,157,3815,122,3746,92,3674,68,3601,49,3526,35,3451,27,3374,25xe" filled="true" fillcolor="#6fac46" stroked="false">
              <v:path arrowok="t"/>
              <v:fill type="solid"/>
            </v:shape>
            <v:shape style="position:absolute;left:3219;top:25;width:953;height:1002" coordorigin="3219,25" coordsize="953,1002" path="m3219,39l3297,29,3374,25,3451,27,3526,35,3601,49,3674,68,3746,92,3815,122,3882,157,3947,197,4008,243,4067,293,4121,347,4172,407,3385,1027,3219,39xe" filled="false" stroked="true" strokeweight="1.56pt" strokecolor="#ffffff">
              <v:path arrowok="t"/>
              <v:stroke dashstyle="solid"/>
            </v:shape>
            <v:shape style="position:absolute;left:3384;top:406;width:1002;height:880" coordorigin="3385,407" coordsize="1002,880" path="m4172,407l3385,1027,4353,1286,4370,1209,4381,1132,4386,1055,4386,978,4379,901,4366,825,4348,750,4324,677,4294,606,4259,537,4218,470,4172,407xe" filled="true" fillcolor="#245e91" stroked="false">
              <v:path arrowok="t"/>
              <v:fill type="solid"/>
            </v:shape>
            <v:shape style="position:absolute;left:3384;top:406;width:1002;height:880" coordorigin="3385,407" coordsize="1002,880" path="m4172,407l4218,470,4259,537,4294,606,4324,677,4348,750,4366,825,4379,901,4386,978,4386,1055,4381,1132,4370,1209,4353,1286,3385,1027,4172,407xe" filled="false" stroked="true" strokeweight="1.56pt" strokecolor="#ffffff">
              <v:path arrowok="t"/>
              <v:stroke dashstyle="solid"/>
            </v:shape>
            <v:shape style="position:absolute;left:4048;top:1777;width:2;height:144" coordorigin="4049,1777" coordsize="0,144" path="m4049,1777l4049,1832,4049,1921e" filled="false" stroked="true" strokeweight=".72pt" strokecolor="#a6a6a6">
              <v:path arrowok="t"/>
              <v:stroke dashstyle="solid"/>
            </v:shape>
            <w10:wrap type="none"/>
          </v:group>
        </w:pict>
      </w:r>
      <w:r>
        <w:rPr>
          <w:sz w:val="16"/>
        </w:rPr>
        <w:t>Fondo Cap. Trabajo; 2,300.0</w:t>
      </w:r>
    </w:p>
    <w:p>
      <w:pPr>
        <w:pStyle w:val="BodyText"/>
        <w:rPr>
          <w:sz w:val="18"/>
        </w:rPr>
      </w:pPr>
      <w:r>
        <w:rPr/>
        <w:br w:type="column"/>
      </w:r>
      <w:r>
        <w:rPr>
          <w:sz w:val="18"/>
        </w:rPr>
      </w:r>
    </w:p>
    <w:p>
      <w:pPr>
        <w:pStyle w:val="BodyText"/>
        <w:rPr>
          <w:sz w:val="18"/>
        </w:rPr>
      </w:pPr>
    </w:p>
    <w:p>
      <w:pPr>
        <w:pStyle w:val="BodyText"/>
        <w:rPr>
          <w:sz w:val="18"/>
        </w:rPr>
      </w:pPr>
    </w:p>
    <w:p>
      <w:pPr>
        <w:spacing w:before="0"/>
        <w:ind w:left="97" w:right="0" w:firstLine="0"/>
        <w:jc w:val="left"/>
        <w:rPr>
          <w:sz w:val="16"/>
        </w:rPr>
      </w:pPr>
      <w:r>
        <w:rPr/>
        <w:pict>
          <v:shape style="position:absolute;margin-left:458.829987pt;margin-top:-17.7134pt;width:5.65pt;height:7.75pt;mso-position-horizontal-relative:page;mso-position-vertical-relative:paragraph;z-index:252685312" type="#_x0000_t202" filled="false" stroked="false">
            <v:textbox inset="0,0,0,0">
              <w:txbxContent>
                <w:p>
                  <w:pPr>
                    <w:spacing w:line="154" w:lineRule="exact" w:before="0"/>
                    <w:ind w:left="0" w:right="0" w:firstLine="0"/>
                    <w:jc w:val="left"/>
                    <w:rPr>
                      <w:sz w:val="14"/>
                    </w:rPr>
                  </w:pPr>
                  <w:r>
                    <w:rPr>
                      <w:w w:val="99"/>
                      <w:sz w:val="14"/>
                    </w:rPr>
                    <w:t>C</w:t>
                  </w:r>
                </w:p>
              </w:txbxContent>
            </v:textbox>
            <w10:wrap type="none"/>
          </v:shape>
        </w:pict>
      </w:r>
      <w:r>
        <w:rPr>
          <w:sz w:val="16"/>
        </w:rPr>
        <w:t>Fondo Protección</w:t>
      </w:r>
    </w:p>
    <w:p>
      <w:pPr>
        <w:spacing w:line="242" w:lineRule="auto" w:before="94"/>
        <w:ind w:left="706" w:right="327" w:firstLine="72"/>
        <w:jc w:val="left"/>
        <w:rPr>
          <w:sz w:val="14"/>
        </w:rPr>
      </w:pPr>
      <w:r>
        <w:rPr/>
        <w:br w:type="column"/>
      </w:r>
      <w:r>
        <w:rPr>
          <w:sz w:val="14"/>
        </w:rPr>
        <w:t>Divulgacion de información; 13.7</w:t>
      </w:r>
    </w:p>
    <w:p>
      <w:pPr>
        <w:pStyle w:val="BodyText"/>
        <w:rPr>
          <w:sz w:val="14"/>
        </w:rPr>
      </w:pPr>
    </w:p>
    <w:p>
      <w:pPr>
        <w:spacing w:line="128" w:lineRule="exact" w:before="103"/>
        <w:ind w:left="0" w:right="0" w:firstLine="0"/>
        <w:jc w:val="right"/>
        <w:rPr>
          <w:sz w:val="18"/>
        </w:rPr>
      </w:pPr>
      <w:r>
        <w:rPr/>
        <w:pict>
          <v:group style="position:absolute;margin-left:341.279999pt;margin-top:-32.333656pt;width:127.3pt;height:114pt;mso-position-horizontal-relative:page;mso-position-vertical-relative:paragraph;z-index:-280649728" coordorigin="6826,-647" coordsize="2546,2280">
            <v:shape style="position:absolute;left:6825;top:308;width:660;height:381" type="#_x0000_t75" stroked="false">
              <v:imagedata r:id="rId156" o:title=""/>
            </v:shape>
            <v:shape style="position:absolute;left:6835;top:293;width:679;height:276" type="#_x0000_t75" stroked="false">
              <v:imagedata r:id="rId157" o:title=""/>
            </v:shape>
            <v:shape style="position:absolute;left:6840;top:-119;width:1205;height:1221" type="#_x0000_t75" stroked="false">
              <v:imagedata r:id="rId158" o:title=""/>
            </v:shape>
            <v:shape style="position:absolute;left:8152;top:-647;width:1219;height:878" type="#_x0000_t75" stroked="false">
              <v:imagedata r:id="rId159" o:title=""/>
            </v:shape>
            <v:shape style="position:absolute;left:8152;top:73;width:1219;height:814" type="#_x0000_t75" stroked="false">
              <v:imagedata r:id="rId160" o:title=""/>
            </v:shape>
            <v:shape style="position:absolute;left:8152;top:728;width:1219;height:905" type="#_x0000_t75" stroked="false">
              <v:imagedata r:id="rId161" o:title=""/>
            </v:shape>
            <v:line style="position:absolute" from="7138,-6" to="8196,-604" stroked="true" strokeweight=".72pt" strokecolor="#a6a6a6">
              <v:stroke dashstyle="solid"/>
            </v:line>
            <v:line style="position:absolute" from="7138,918" to="8196,1518" stroked="true" strokeweight=".72pt" strokecolor="#a6a6a6">
              <v:stroke dashstyle="solid"/>
            </v:line>
            <v:shape style="position:absolute;left:6869;top:352;width:531;height:223" coordorigin="6870,352" coordsize="531,223" path="m6880,352l6872,408,6870,464,6873,520,6883,575,7400,457,6880,352xe" filled="true" fillcolor="#5b9bd4" stroked="false">
              <v:path arrowok="t"/>
              <v:fill type="solid"/>
            </v:shape>
            <v:shape style="position:absolute;left:6869;top:352;width:531;height:223" coordorigin="6870,352" coordsize="531,223" path="m6883,575l6873,520,6870,464,6872,408,6880,352,7400,457,6883,575xe" filled="false" stroked="true" strokeweight=".24pt" strokecolor="#ffffff">
              <v:path arrowok="t"/>
              <v:stroke dashstyle="solid"/>
            </v:shape>
            <v:shape style="position:absolute;left:6880;top:338;width:521;height:119" coordorigin="6880,338" coordsize="521,119" path="m6883,338l6881,348,6880,352,7400,457,6883,338xe" filled="true" fillcolor="#ec7c30" stroked="false">
              <v:path arrowok="t"/>
              <v:fill type="solid"/>
            </v:shape>
            <v:shape style="position:absolute;left:6880;top:338;width:521;height:119" coordorigin="6880,338" coordsize="521,119" path="m6880,352l6881,348,6882,343,6883,338,7400,457,6880,352xe" filled="false" stroked="true" strokeweight=".24pt" strokecolor="#ffffff">
              <v:path arrowok="t"/>
              <v:stroke dashstyle="solid"/>
            </v:shape>
            <v:line style="position:absolute" from="6883,338" to="7400,457" stroked="true" strokeweight=".24pt" strokecolor="#ffffff">
              <v:stroke dashstyle="solid"/>
            </v:line>
            <v:rect style="position:absolute;left:8196;top:-604;width:1061;height:720" filled="true" fillcolor="#c55a11" stroked="false">
              <v:fill type="solid"/>
            </v:rect>
            <v:rect style="position:absolute;left:8196;top:-604;width:1061;height:720" filled="false" stroked="true" strokeweight=".24pt" strokecolor="#ffffff">
              <v:stroke dashstyle="solid"/>
            </v:rect>
            <v:rect style="position:absolute;left:8196;top:116;width:1061;height:656" filled="true" fillcolor="#4471c4" stroked="false">
              <v:fill type="solid"/>
            </v:rect>
            <v:rect style="position:absolute;left:8196;top:116;width:1061;height:656" filled="false" stroked="true" strokeweight=".24pt" strokecolor="#ffffff">
              <v:stroke dashstyle="solid"/>
            </v:rect>
            <v:rect style="position:absolute;left:8196;top:771;width:1061;height:747" filled="true" fillcolor="#6fac46" stroked="false">
              <v:fill type="solid"/>
            </v:rect>
            <v:rect style="position:absolute;left:8196;top:771;width:1061;height:747" filled="false" stroked="true" strokeweight=".24pt" strokecolor="#ffffff">
              <v:stroke dashstyle="solid"/>
            </v:rect>
            <v:shape style="position:absolute;left:6883;top:-74;width:1048;height:1061" coordorigin="6883,-74" coordsize="1048,1061" path="m7377,-74l7308,-66,7241,-50,7178,-25,7118,7,7063,47,7013,94,6970,146,6933,205,6904,269,6883,338,7400,457,6883,575,6905,647,6937,715,6977,776,7025,832,7080,880,7142,920,7210,952,7282,974,7353,985,7424,987,7493,979,7559,963,7623,938,7682,906,7738,866,7787,820,7831,767,7868,708,7897,644,7918,575,7929,504,7931,433,7923,364,7907,298,7882,234,7850,174,7810,119,7763,70,7710,26,7652,-11,7587,-40,7518,-61,7447,-72,7377,-74xe" filled="true" fillcolor="#ffc000" stroked="false">
              <v:path arrowok="t"/>
              <v:fill type="solid"/>
            </v:shape>
            <v:shape style="position:absolute;left:6883;top:-74;width:1048;height:1061" coordorigin="6883,-74" coordsize="1048,1061" path="m6883,338l6904,269,6933,205,6970,146,7013,94,7063,47,7118,7,7178,-25,7241,-50,7308,-66,7377,-74,7447,-72,7518,-61,7587,-40,7652,-11,7710,26,7763,70,7810,119,7850,174,7882,234,7907,298,7923,364,7931,433,7929,504,7918,575,7897,644,7868,708,7831,767,7787,820,7738,866,7682,906,7623,938,7559,963,7493,979,7424,987,7353,985,7282,974,7210,952,7142,920,7080,880,7025,832,6977,776,6937,715,6905,647,6883,575,7400,457,6883,338xe" filled="false" stroked="true" strokeweight=".24pt" strokecolor="#000000">
              <v:path arrowok="t"/>
              <v:stroke dashstyle="solid"/>
            </v:shape>
            <v:shape style="position:absolute;left:6880;top:-35;width:2;height:380" coordorigin="6881,-35" coordsize="0,380" path="m6881,344l6881,54,6881,-35e" filled="false" stroked="true" strokeweight=".72pt" strokecolor="#a6a6a6">
              <v:path arrowok="t"/>
              <v:stroke dashstyle="solid"/>
            </v:shape>
            <w10:wrap type="none"/>
          </v:group>
        </w:pict>
      </w:r>
      <w:r>
        <w:rPr>
          <w:sz w:val="18"/>
        </w:rPr>
        <w:t>Salud</w:t>
      </w:r>
    </w:p>
    <w:p>
      <w:pPr>
        <w:spacing w:line="242" w:lineRule="auto" w:before="97"/>
        <w:ind w:left="1560" w:right="2395" w:firstLine="29"/>
        <w:jc w:val="left"/>
        <w:rPr>
          <w:sz w:val="14"/>
        </w:rPr>
      </w:pPr>
      <w:r>
        <w:rPr/>
        <w:br w:type="column"/>
      </w:r>
      <w:r>
        <w:rPr>
          <w:sz w:val="14"/>
        </w:rPr>
        <w:t>Vacuna </w:t>
      </w:r>
      <w:r>
        <w:rPr>
          <w:w w:val="95"/>
          <w:sz w:val="14"/>
        </w:rPr>
        <w:t>OVID-19; </w:t>
      </w:r>
      <w:r>
        <w:rPr>
          <w:sz w:val="14"/>
        </w:rPr>
        <w:t>1,015.3</w:t>
      </w:r>
    </w:p>
    <w:p>
      <w:pPr>
        <w:spacing w:after="0" w:line="242" w:lineRule="auto"/>
        <w:jc w:val="left"/>
        <w:rPr>
          <w:sz w:val="14"/>
        </w:rPr>
        <w:sectPr>
          <w:type w:val="continuous"/>
          <w:pgSz w:w="12240" w:h="15840"/>
          <w:pgMar w:top="1500" w:bottom="280" w:left="1140" w:right="0"/>
          <w:cols w:num="4" w:equalWidth="0">
            <w:col w:w="3162" w:space="40"/>
            <w:col w:w="1231" w:space="39"/>
            <w:col w:w="2057" w:space="40"/>
            <w:col w:w="4531"/>
          </w:cols>
        </w:sectPr>
      </w:pPr>
    </w:p>
    <w:p>
      <w:pPr>
        <w:spacing w:before="47"/>
        <w:ind w:left="0" w:right="0" w:firstLine="0"/>
        <w:jc w:val="right"/>
        <w:rPr>
          <w:sz w:val="16"/>
        </w:rPr>
      </w:pPr>
      <w:r>
        <w:rPr>
          <w:sz w:val="16"/>
        </w:rPr>
        <w:t>Bono…</w:t>
      </w:r>
    </w:p>
    <w:p>
      <w:pPr>
        <w:pStyle w:val="BodyText"/>
        <w:rPr>
          <w:sz w:val="18"/>
        </w:rPr>
      </w:pPr>
      <w:r>
        <w:rPr/>
        <w:br w:type="column"/>
      </w:r>
      <w:r>
        <w:rPr>
          <w:sz w:val="18"/>
        </w:rPr>
      </w:r>
    </w:p>
    <w:p>
      <w:pPr>
        <w:pStyle w:val="BodyText"/>
        <w:rPr>
          <w:sz w:val="18"/>
        </w:rPr>
      </w:pPr>
    </w:p>
    <w:p>
      <w:pPr>
        <w:pStyle w:val="BodyText"/>
        <w:rPr>
          <w:sz w:val="18"/>
        </w:rPr>
      </w:pPr>
    </w:p>
    <w:p>
      <w:pPr>
        <w:spacing w:before="117"/>
        <w:ind w:left="70" w:right="-15" w:firstLine="202"/>
        <w:jc w:val="left"/>
        <w:rPr>
          <w:sz w:val="16"/>
        </w:rPr>
      </w:pPr>
      <w:r>
        <w:rPr>
          <w:sz w:val="16"/>
        </w:rPr>
        <w:t>Otras actividad…</w:t>
      </w:r>
    </w:p>
    <w:p>
      <w:pPr>
        <w:tabs>
          <w:tab w:pos="2204" w:val="left" w:leader="none"/>
        </w:tabs>
        <w:spacing w:line="230" w:lineRule="auto" w:before="0"/>
        <w:ind w:left="478" w:right="0" w:firstLine="0"/>
        <w:jc w:val="left"/>
        <w:rPr>
          <w:sz w:val="12"/>
        </w:rPr>
      </w:pPr>
      <w:r>
        <w:rPr/>
        <w:br w:type="column"/>
      </w:r>
      <w:r>
        <w:rPr>
          <w:sz w:val="16"/>
        </w:rPr>
        <w:t>Empleo; 2,000.0</w:t>
        <w:tab/>
      </w:r>
      <w:r>
        <w:rPr>
          <w:spacing w:val="-3"/>
          <w:position w:val="-4"/>
          <w:sz w:val="12"/>
        </w:rPr>
        <w:t>Regularización</w:t>
      </w:r>
    </w:p>
    <w:p>
      <w:pPr>
        <w:spacing w:line="135" w:lineRule="exact" w:before="0"/>
        <w:ind w:left="0" w:right="60" w:firstLine="0"/>
        <w:jc w:val="right"/>
        <w:rPr>
          <w:sz w:val="12"/>
        </w:rPr>
      </w:pPr>
      <w:r>
        <w:rPr>
          <w:sz w:val="12"/>
        </w:rPr>
        <w:t>PMA;</w:t>
      </w:r>
      <w:r>
        <w:rPr>
          <w:spacing w:val="-1"/>
          <w:sz w:val="12"/>
        </w:rPr>
        <w:t> </w:t>
      </w:r>
      <w:r>
        <w:rPr>
          <w:sz w:val="12"/>
        </w:rPr>
        <w:t>216.3</w:t>
      </w:r>
    </w:p>
    <w:p>
      <w:pPr>
        <w:pStyle w:val="BodyText"/>
        <w:spacing w:before="7"/>
        <w:rPr>
          <w:sz w:val="17"/>
        </w:rPr>
      </w:pPr>
    </w:p>
    <w:p>
      <w:pPr>
        <w:spacing w:before="0"/>
        <w:ind w:left="663" w:right="1479" w:hanging="399"/>
        <w:jc w:val="left"/>
        <w:rPr>
          <w:sz w:val="16"/>
        </w:rPr>
      </w:pPr>
      <w:r>
        <w:rPr>
          <w:sz w:val="16"/>
        </w:rPr>
        <w:t>Insumos médicos; 942.5</w:t>
      </w:r>
    </w:p>
    <w:p>
      <w:pPr>
        <w:spacing w:before="148"/>
        <w:ind w:left="-30" w:right="1991" w:firstLine="60"/>
        <w:jc w:val="left"/>
        <w:rPr>
          <w:sz w:val="16"/>
        </w:rPr>
      </w:pPr>
      <w:r>
        <w:rPr>
          <w:sz w:val="16"/>
        </w:rPr>
        <w:t>Tarifa Social Energía; 630.0</w:t>
      </w:r>
    </w:p>
    <w:p>
      <w:pPr>
        <w:spacing w:before="78"/>
        <w:ind w:left="235" w:right="-15" w:hanging="24"/>
        <w:jc w:val="left"/>
        <w:rPr>
          <w:sz w:val="18"/>
        </w:rPr>
      </w:pPr>
      <w:r>
        <w:rPr/>
        <w:br w:type="column"/>
      </w:r>
      <w:r>
        <w:rPr>
          <w:sz w:val="18"/>
        </w:rPr>
        <w:t>Pública; 2,988.1</w:t>
      </w:r>
    </w:p>
    <w:p>
      <w:pPr>
        <w:spacing w:line="242" w:lineRule="auto" w:before="33"/>
        <w:ind w:left="1487" w:right="2309" w:hanging="10"/>
        <w:jc w:val="left"/>
        <w:rPr>
          <w:sz w:val="14"/>
        </w:rPr>
      </w:pPr>
      <w:r>
        <w:rPr/>
        <w:br w:type="column"/>
      </w:r>
      <w:r>
        <w:rPr>
          <w:sz w:val="14"/>
        </w:rPr>
        <w:t>ateriales y ipos; 921.3</w:t>
      </w:r>
    </w:p>
    <w:p>
      <w:pPr>
        <w:pStyle w:val="BodyText"/>
        <w:rPr>
          <w:sz w:val="18"/>
        </w:rPr>
      </w:pPr>
    </w:p>
    <w:p>
      <w:pPr>
        <w:spacing w:line="242" w:lineRule="auto" w:before="1"/>
        <w:ind w:left="1522" w:right="2101" w:hanging="20"/>
        <w:jc w:val="left"/>
        <w:rPr>
          <w:sz w:val="14"/>
        </w:rPr>
      </w:pPr>
      <w:r>
        <w:rPr/>
        <w:pict>
          <v:group style="position:absolute;margin-left:409.799988pt;margin-top:-33.974842pt;width:53.05pt;height:70.1pt;mso-position-horizontal-relative:page;mso-position-vertical-relative:paragraph;z-index:252673024" coordorigin="8196,-679" coordsize="1061,1402">
            <v:shape style="position:absolute;left:8196;top:-25;width:1061;height:747" type="#_x0000_t202" filled="false" stroked="false">
              <v:textbox inset="0,0,0,0">
                <w:txbxContent>
                  <w:p>
                    <w:pPr>
                      <w:spacing w:line="482" w:lineRule="auto" w:before="25"/>
                      <w:ind w:left="952" w:right="-72" w:hanging="104"/>
                      <w:jc w:val="left"/>
                      <w:rPr>
                        <w:sz w:val="14"/>
                      </w:rPr>
                    </w:pPr>
                    <w:r>
                      <w:rPr>
                        <w:sz w:val="14"/>
                      </w:rPr>
                      <w:t>Inter tr</w:t>
                    </w:r>
                  </w:p>
                </w:txbxContent>
              </v:textbox>
              <w10:wrap type="none"/>
            </v:shape>
            <v:shape style="position:absolute;left:8196;top:-680;width:1061;height:656" type="#_x0000_t202" filled="false" stroked="false">
              <v:textbox inset="0,0,0,0">
                <w:txbxContent>
                  <w:p>
                    <w:pPr>
                      <w:spacing w:line="240" w:lineRule="auto" w:before="9"/>
                      <w:rPr>
                        <w:sz w:val="12"/>
                      </w:rPr>
                    </w:pPr>
                  </w:p>
                  <w:p>
                    <w:pPr>
                      <w:spacing w:before="0"/>
                      <w:ind w:left="957" w:right="-29" w:firstLine="0"/>
                      <w:jc w:val="left"/>
                      <w:rPr>
                        <w:sz w:val="14"/>
                      </w:rPr>
                    </w:pPr>
                    <w:r>
                      <w:rPr>
                        <w:w w:val="99"/>
                        <w:sz w:val="14"/>
                      </w:rPr>
                      <w:t>M</w:t>
                    </w:r>
                  </w:p>
                  <w:p>
                    <w:pPr>
                      <w:spacing w:before="2"/>
                      <w:ind w:left="893" w:right="-44" w:firstLine="0"/>
                      <w:jc w:val="left"/>
                      <w:rPr>
                        <w:sz w:val="14"/>
                      </w:rPr>
                    </w:pPr>
                    <w:r>
                      <w:rPr>
                        <w:sz w:val="14"/>
                      </w:rPr>
                      <w:t>equ</w:t>
                    </w:r>
                  </w:p>
                </w:txbxContent>
              </v:textbox>
              <w10:wrap type="none"/>
            </v:shape>
            <w10:wrap type="none"/>
          </v:group>
        </w:pict>
      </w:r>
      <w:r>
        <w:rPr>
          <w:sz w:val="14"/>
        </w:rPr>
        <w:t>venciones </w:t>
      </w:r>
      <w:r>
        <w:rPr>
          <w:spacing w:val="-12"/>
          <w:sz w:val="14"/>
        </w:rPr>
        <w:t>y </w:t>
      </w:r>
      <w:r>
        <w:rPr>
          <w:sz w:val="14"/>
        </w:rPr>
        <w:t>kits</w:t>
      </w:r>
      <w:r>
        <w:rPr>
          <w:spacing w:val="2"/>
          <w:sz w:val="14"/>
        </w:rPr>
        <w:t> </w:t>
      </w:r>
      <w:r>
        <w:rPr>
          <w:sz w:val="14"/>
        </w:rPr>
        <w:t>de</w:t>
      </w:r>
    </w:p>
    <w:p>
      <w:pPr>
        <w:spacing w:before="0"/>
        <w:ind w:left="1498" w:right="2354" w:hanging="68"/>
        <w:jc w:val="left"/>
        <w:rPr>
          <w:sz w:val="14"/>
        </w:rPr>
      </w:pPr>
      <w:r>
        <w:rPr>
          <w:spacing w:val="-1"/>
          <w:sz w:val="14"/>
        </w:rPr>
        <w:t>atamientos; </w:t>
      </w:r>
      <w:r>
        <w:rPr>
          <w:sz w:val="14"/>
        </w:rPr>
        <w:t>1,051.5</w:t>
      </w:r>
    </w:p>
    <w:p>
      <w:pPr>
        <w:spacing w:after="0"/>
        <w:jc w:val="left"/>
        <w:rPr>
          <w:sz w:val="14"/>
        </w:rPr>
        <w:sectPr>
          <w:type w:val="continuous"/>
          <w:pgSz w:w="12240" w:h="15840"/>
          <w:pgMar w:top="1500" w:bottom="280" w:left="1140" w:right="0"/>
          <w:cols w:num="5" w:equalWidth="0">
            <w:col w:w="1951" w:space="40"/>
            <w:col w:w="822" w:space="39"/>
            <w:col w:w="2923" w:space="40"/>
            <w:col w:w="806" w:space="40"/>
            <w:col w:w="4439"/>
          </w:cols>
        </w:sectPr>
      </w:pPr>
    </w:p>
    <w:p>
      <w:pPr>
        <w:pStyle w:val="BodyText"/>
        <w:spacing w:before="1"/>
        <w:rPr>
          <w:sz w:val="13"/>
        </w:rPr>
      </w:pPr>
    </w:p>
    <w:p>
      <w:pPr>
        <w:spacing w:before="93"/>
        <w:ind w:left="562" w:right="0" w:firstLine="0"/>
        <w:jc w:val="left"/>
        <w:rPr>
          <w:sz w:val="18"/>
        </w:rPr>
      </w:pPr>
      <w:r>
        <w:rPr>
          <w:sz w:val="18"/>
        </w:rPr>
        <w:t>Fuente: Dirección de Análisis y Política Fiscal</w:t>
      </w:r>
    </w:p>
    <w:p>
      <w:pPr>
        <w:spacing w:after="0"/>
        <w:jc w:val="left"/>
        <w:rPr>
          <w:sz w:val="18"/>
        </w:rPr>
        <w:sectPr>
          <w:type w:val="continuous"/>
          <w:pgSz w:w="12240" w:h="15840"/>
          <w:pgMar w:top="1500" w:bottom="280" w:left="1140" w:right="0"/>
        </w:sectPr>
      </w:pPr>
    </w:p>
    <w:p>
      <w:pPr>
        <w:spacing w:before="178"/>
        <w:ind w:left="2400" w:right="0" w:firstLine="0"/>
        <w:jc w:val="left"/>
        <w:rPr>
          <w:b/>
          <w:sz w:val="20"/>
        </w:rPr>
      </w:pPr>
      <w:r>
        <w:rPr/>
        <w:pict>
          <v:group style="position:absolute;margin-left:93.384003pt;margin-top:70.919998pt;width:423pt;height:648.6pt;mso-position-horizontal-relative:page;mso-position-vertical-relative:page;z-index:-280633344" coordorigin="1868,1418" coordsize="8460,12972">
            <v:rect style="position:absolute;left:1877;top:1428;width:8440;height:264" filled="true" fillcolor="#deeaf6" stroked="false">
              <v:fill type="solid"/>
            </v:rect>
            <v:line style="position:absolute" from="1877,1423" to="10317,1423" stroked="true" strokeweight=".48pt" strokecolor="#000000">
              <v:stroke dashstyle="solid"/>
            </v:line>
            <v:shape style="position:absolute;left:1877;top:1691;width:8440;height:12698" coordorigin="1877,1692" coordsize="8440,12698" path="m10317,12273l1877,12273,1877,12537,1877,12804,1877,13068,1877,13332,1877,13596,1877,13596,1877,13860,1877,14126,1877,14390,10317,14390,10317,14126,10317,13860,10317,13596,10317,13596,10317,13332,10317,13068,10317,12804,10317,12537,10317,12273m10317,12009l1877,12009,1877,12273,10317,12273,10317,12009m10317,11745l1877,11745,1877,12009,10317,12009,10317,11745m10317,10950l1877,10950,1877,11214,1877,11481,1877,11745,10317,11745,10317,11481,10317,11214,10317,10950m10317,9892l1877,9892,1877,10158,1877,10422,1877,10686,1877,10950,10317,10950,10317,10686,10317,10422,10317,10158,10317,9892m10317,7513l1877,7513,1877,7777,1877,8041,1877,8305,1877,8569,1877,8569,1877,8836,1877,9100,1877,9364,1877,9628,1877,9892,10317,9892,10317,9628,10317,9364,10317,9100,10317,8836,10317,8569,10317,8569,10317,8305,10317,8041,10317,7777,10317,7513m10317,6191l1877,6191,1877,6455,1877,6719,1877,6983,1877,7247,1877,7513,10317,7513,10317,7247,10317,6983,10317,6719,10317,6455,10317,6191m10317,5132l1877,5132,1877,5396,1877,5660,1877,5924,1877,6191,10317,6191,10317,5924,10317,5660,10317,5396,10317,5132m10317,1692l1877,1692,1877,1956,1877,2223,1877,2487,1877,2751,1877,3015,1877,3279,1877,3545,1877,3809,1877,4073,1877,4337,1877,4601,1877,4868,1877,5132,10317,5132,10317,4868,10317,4601,10317,4337,10317,4073,10317,3809,10317,3545,10317,3279,10317,3015,10317,2751,10317,2487,10317,2223,10317,1956,10317,1692e" filled="true" fillcolor="#deeaf6" stroked="false">
              <v:path arrowok="t"/>
              <v:fill type="solid"/>
            </v:shape>
            <v:line style="position:absolute" from="1872,1418" to="1872,14390" stroked="true" strokeweight=".48pt" strokecolor="#000000">
              <v:stroke dashstyle="solid"/>
            </v:line>
            <v:line style="position:absolute" from="10322,1418" to="10322,14390" stroked="true" strokeweight=".48pt" strokecolor="#000000">
              <v:stroke dashstyle="solid"/>
            </v:line>
            <w10:wrap type="none"/>
          </v:group>
        </w:pict>
      </w:r>
      <w:r>
        <w:rPr>
          <w:b/>
          <w:sz w:val="20"/>
        </w:rPr>
        <w:t>Decretos aprobados para la atención del COVID-19 en 2021</w:t>
      </w:r>
    </w:p>
    <w:p>
      <w:pPr>
        <w:pStyle w:val="BodyText"/>
        <w:spacing w:before="7"/>
        <w:rPr>
          <w:b/>
          <w:sz w:val="17"/>
        </w:rPr>
      </w:pPr>
    </w:p>
    <w:p>
      <w:pPr>
        <w:spacing w:line="276" w:lineRule="auto" w:before="91"/>
        <w:ind w:left="845" w:right="2025" w:firstLine="0"/>
        <w:jc w:val="both"/>
        <w:rPr>
          <w:sz w:val="20"/>
        </w:rPr>
      </w:pPr>
      <w:r>
        <w:rPr>
          <w:sz w:val="20"/>
        </w:rPr>
        <w:t>Durante 2021 se continuó dando atención oportuna al COVID-19, en enero fue aprobado el </w:t>
      </w:r>
      <w:r>
        <w:rPr>
          <w:b/>
          <w:sz w:val="20"/>
        </w:rPr>
        <w:t>Decreto 01-2021</w:t>
      </w:r>
      <w:r>
        <w:rPr>
          <w:b/>
          <w:spacing w:val="-9"/>
          <w:sz w:val="20"/>
        </w:rPr>
        <w:t> </w:t>
      </w:r>
      <w:r>
        <w:rPr>
          <w:b/>
          <w:sz w:val="20"/>
        </w:rPr>
        <w:t>“Ley</w:t>
      </w:r>
      <w:r>
        <w:rPr>
          <w:b/>
          <w:spacing w:val="-6"/>
          <w:sz w:val="20"/>
        </w:rPr>
        <w:t> </w:t>
      </w:r>
      <w:r>
        <w:rPr>
          <w:b/>
          <w:sz w:val="20"/>
        </w:rPr>
        <w:t>para</w:t>
      </w:r>
      <w:r>
        <w:rPr>
          <w:b/>
          <w:spacing w:val="-8"/>
          <w:sz w:val="20"/>
        </w:rPr>
        <w:t> </w:t>
      </w:r>
      <w:r>
        <w:rPr>
          <w:b/>
          <w:sz w:val="20"/>
        </w:rPr>
        <w:t>el</w:t>
      </w:r>
      <w:r>
        <w:rPr>
          <w:b/>
          <w:spacing w:val="-7"/>
          <w:sz w:val="20"/>
        </w:rPr>
        <w:t> </w:t>
      </w:r>
      <w:r>
        <w:rPr>
          <w:b/>
          <w:sz w:val="20"/>
        </w:rPr>
        <w:t>financiamiento</w:t>
      </w:r>
      <w:r>
        <w:rPr>
          <w:b/>
          <w:spacing w:val="-6"/>
          <w:sz w:val="20"/>
        </w:rPr>
        <w:t> </w:t>
      </w:r>
      <w:r>
        <w:rPr>
          <w:b/>
          <w:sz w:val="20"/>
        </w:rPr>
        <w:t>y</w:t>
      </w:r>
      <w:r>
        <w:rPr>
          <w:b/>
          <w:spacing w:val="-7"/>
          <w:sz w:val="20"/>
        </w:rPr>
        <w:t> </w:t>
      </w:r>
      <w:r>
        <w:rPr>
          <w:b/>
          <w:sz w:val="20"/>
        </w:rPr>
        <w:t>adquisición</w:t>
      </w:r>
      <w:r>
        <w:rPr>
          <w:b/>
          <w:spacing w:val="-8"/>
          <w:sz w:val="20"/>
        </w:rPr>
        <w:t> </w:t>
      </w:r>
      <w:r>
        <w:rPr>
          <w:b/>
          <w:sz w:val="20"/>
        </w:rPr>
        <w:t>de</w:t>
      </w:r>
      <w:r>
        <w:rPr>
          <w:b/>
          <w:spacing w:val="-7"/>
          <w:sz w:val="20"/>
        </w:rPr>
        <w:t> </w:t>
      </w:r>
      <w:r>
        <w:rPr>
          <w:b/>
          <w:sz w:val="20"/>
        </w:rPr>
        <w:t>vacunas</w:t>
      </w:r>
      <w:r>
        <w:rPr>
          <w:b/>
          <w:spacing w:val="-9"/>
          <w:sz w:val="20"/>
        </w:rPr>
        <w:t> </w:t>
      </w:r>
      <w:r>
        <w:rPr>
          <w:b/>
          <w:sz w:val="20"/>
        </w:rPr>
        <w:t>contra</w:t>
      </w:r>
      <w:r>
        <w:rPr>
          <w:b/>
          <w:spacing w:val="-7"/>
          <w:sz w:val="20"/>
        </w:rPr>
        <w:t> </w:t>
      </w:r>
      <w:r>
        <w:rPr>
          <w:b/>
          <w:sz w:val="20"/>
        </w:rPr>
        <w:t>el</w:t>
      </w:r>
      <w:r>
        <w:rPr>
          <w:b/>
          <w:spacing w:val="-7"/>
          <w:sz w:val="20"/>
        </w:rPr>
        <w:t> </w:t>
      </w:r>
      <w:r>
        <w:rPr>
          <w:b/>
          <w:sz w:val="20"/>
        </w:rPr>
        <w:t>coronavirus</w:t>
      </w:r>
      <w:r>
        <w:rPr>
          <w:b/>
          <w:spacing w:val="-9"/>
          <w:sz w:val="20"/>
        </w:rPr>
        <w:t> </w:t>
      </w:r>
      <w:r>
        <w:rPr>
          <w:b/>
          <w:sz w:val="20"/>
        </w:rPr>
        <w:t>COVID-19”, </w:t>
      </w:r>
      <w:r>
        <w:rPr>
          <w:sz w:val="20"/>
        </w:rPr>
        <w:t>considerando</w:t>
      </w:r>
      <w:r>
        <w:rPr>
          <w:spacing w:val="-14"/>
          <w:sz w:val="20"/>
        </w:rPr>
        <w:t> </w:t>
      </w:r>
      <w:r>
        <w:rPr>
          <w:sz w:val="20"/>
        </w:rPr>
        <w:t>que</w:t>
      </w:r>
      <w:r>
        <w:rPr>
          <w:spacing w:val="-14"/>
          <w:sz w:val="20"/>
        </w:rPr>
        <w:t> </w:t>
      </w:r>
      <w:r>
        <w:rPr>
          <w:sz w:val="20"/>
        </w:rPr>
        <w:t>el</w:t>
      </w:r>
      <w:r>
        <w:rPr>
          <w:spacing w:val="-14"/>
          <w:sz w:val="20"/>
        </w:rPr>
        <w:t> </w:t>
      </w:r>
      <w:r>
        <w:rPr>
          <w:sz w:val="20"/>
        </w:rPr>
        <w:t>Proyecto</w:t>
      </w:r>
      <w:r>
        <w:rPr>
          <w:spacing w:val="-14"/>
          <w:sz w:val="20"/>
        </w:rPr>
        <w:t> </w:t>
      </w:r>
      <w:r>
        <w:rPr>
          <w:sz w:val="20"/>
        </w:rPr>
        <w:t>de</w:t>
      </w:r>
      <w:r>
        <w:rPr>
          <w:spacing w:val="-14"/>
          <w:sz w:val="20"/>
        </w:rPr>
        <w:t> </w:t>
      </w:r>
      <w:r>
        <w:rPr>
          <w:sz w:val="20"/>
        </w:rPr>
        <w:t>Presupuesto</w:t>
      </w:r>
      <w:r>
        <w:rPr>
          <w:spacing w:val="-14"/>
          <w:sz w:val="20"/>
        </w:rPr>
        <w:t> </w:t>
      </w:r>
      <w:r>
        <w:rPr>
          <w:sz w:val="20"/>
        </w:rPr>
        <w:t>2021</w:t>
      </w:r>
      <w:r>
        <w:rPr>
          <w:spacing w:val="-14"/>
          <w:sz w:val="20"/>
        </w:rPr>
        <w:t> </w:t>
      </w:r>
      <w:r>
        <w:rPr>
          <w:sz w:val="20"/>
        </w:rPr>
        <w:t>no</w:t>
      </w:r>
      <w:r>
        <w:rPr>
          <w:spacing w:val="-13"/>
          <w:sz w:val="20"/>
        </w:rPr>
        <w:t> </w:t>
      </w:r>
      <w:r>
        <w:rPr>
          <w:sz w:val="20"/>
        </w:rPr>
        <w:t>fue</w:t>
      </w:r>
      <w:r>
        <w:rPr>
          <w:spacing w:val="-15"/>
          <w:sz w:val="20"/>
        </w:rPr>
        <w:t> </w:t>
      </w:r>
      <w:r>
        <w:rPr>
          <w:sz w:val="20"/>
        </w:rPr>
        <w:t>aprobado</w:t>
      </w:r>
      <w:r>
        <w:rPr>
          <w:spacing w:val="-15"/>
          <w:sz w:val="20"/>
        </w:rPr>
        <w:t> </w:t>
      </w:r>
      <w:r>
        <w:rPr>
          <w:sz w:val="20"/>
        </w:rPr>
        <w:t>y</w:t>
      </w:r>
      <w:r>
        <w:rPr>
          <w:spacing w:val="-18"/>
          <w:sz w:val="20"/>
        </w:rPr>
        <w:t> </w:t>
      </w:r>
      <w:r>
        <w:rPr>
          <w:sz w:val="20"/>
        </w:rPr>
        <w:t>no</w:t>
      </w:r>
      <w:r>
        <w:rPr>
          <w:spacing w:val="-13"/>
          <w:sz w:val="20"/>
        </w:rPr>
        <w:t> </w:t>
      </w:r>
      <w:r>
        <w:rPr>
          <w:sz w:val="20"/>
        </w:rPr>
        <w:t>se</w:t>
      </w:r>
      <w:r>
        <w:rPr>
          <w:spacing w:val="-15"/>
          <w:sz w:val="20"/>
        </w:rPr>
        <w:t> </w:t>
      </w:r>
      <w:r>
        <w:rPr>
          <w:sz w:val="20"/>
        </w:rPr>
        <w:t>disponían</w:t>
      </w:r>
      <w:r>
        <w:rPr>
          <w:spacing w:val="-15"/>
          <w:sz w:val="20"/>
        </w:rPr>
        <w:t> </w:t>
      </w:r>
      <w:r>
        <w:rPr>
          <w:sz w:val="20"/>
        </w:rPr>
        <w:t>de</w:t>
      </w:r>
      <w:r>
        <w:rPr>
          <w:spacing w:val="-14"/>
          <w:sz w:val="20"/>
        </w:rPr>
        <w:t> </w:t>
      </w:r>
      <w:r>
        <w:rPr>
          <w:sz w:val="20"/>
        </w:rPr>
        <w:t>los</w:t>
      </w:r>
      <w:r>
        <w:rPr>
          <w:spacing w:val="-15"/>
          <w:sz w:val="20"/>
        </w:rPr>
        <w:t> </w:t>
      </w:r>
      <w:r>
        <w:rPr>
          <w:sz w:val="20"/>
        </w:rPr>
        <w:t>mecanismos legales</w:t>
      </w:r>
      <w:r>
        <w:rPr>
          <w:spacing w:val="-3"/>
          <w:sz w:val="20"/>
        </w:rPr>
        <w:t> </w:t>
      </w:r>
      <w:r>
        <w:rPr>
          <w:sz w:val="20"/>
        </w:rPr>
        <w:t>y</w:t>
      </w:r>
      <w:r>
        <w:rPr>
          <w:spacing w:val="-8"/>
          <w:sz w:val="20"/>
        </w:rPr>
        <w:t> </w:t>
      </w:r>
      <w:r>
        <w:rPr>
          <w:sz w:val="20"/>
        </w:rPr>
        <w:t>recursos</w:t>
      </w:r>
      <w:r>
        <w:rPr>
          <w:spacing w:val="-5"/>
          <w:sz w:val="20"/>
        </w:rPr>
        <w:t> </w:t>
      </w:r>
      <w:r>
        <w:rPr>
          <w:sz w:val="20"/>
        </w:rPr>
        <w:t>para</w:t>
      </w:r>
      <w:r>
        <w:rPr>
          <w:spacing w:val="-3"/>
          <w:sz w:val="20"/>
        </w:rPr>
        <w:t> </w:t>
      </w:r>
      <w:r>
        <w:rPr>
          <w:sz w:val="20"/>
        </w:rPr>
        <w:t>el</w:t>
      </w:r>
      <w:r>
        <w:rPr>
          <w:spacing w:val="-4"/>
          <w:sz w:val="20"/>
        </w:rPr>
        <w:t> </w:t>
      </w:r>
      <w:r>
        <w:rPr>
          <w:sz w:val="20"/>
        </w:rPr>
        <w:t>financiamiento,</w:t>
      </w:r>
      <w:r>
        <w:rPr>
          <w:spacing w:val="-4"/>
          <w:sz w:val="20"/>
        </w:rPr>
        <w:t> </w:t>
      </w:r>
      <w:r>
        <w:rPr>
          <w:sz w:val="20"/>
        </w:rPr>
        <w:t>adquisición</w:t>
      </w:r>
      <w:r>
        <w:rPr>
          <w:spacing w:val="-3"/>
          <w:sz w:val="20"/>
        </w:rPr>
        <w:t> </w:t>
      </w:r>
      <w:r>
        <w:rPr>
          <w:sz w:val="20"/>
        </w:rPr>
        <w:t>y</w:t>
      </w:r>
      <w:r>
        <w:rPr>
          <w:spacing w:val="-7"/>
          <w:sz w:val="20"/>
        </w:rPr>
        <w:t> </w:t>
      </w:r>
      <w:r>
        <w:rPr>
          <w:sz w:val="20"/>
        </w:rPr>
        <w:t>distribución</w:t>
      </w:r>
      <w:r>
        <w:rPr>
          <w:spacing w:val="-6"/>
          <w:sz w:val="20"/>
        </w:rPr>
        <w:t> </w:t>
      </w:r>
      <w:r>
        <w:rPr>
          <w:sz w:val="20"/>
        </w:rPr>
        <w:t>de</w:t>
      </w:r>
      <w:r>
        <w:rPr>
          <w:spacing w:val="-4"/>
          <w:sz w:val="20"/>
        </w:rPr>
        <w:t> </w:t>
      </w:r>
      <w:r>
        <w:rPr>
          <w:sz w:val="20"/>
        </w:rPr>
        <w:t>la</w:t>
      </w:r>
      <w:r>
        <w:rPr>
          <w:spacing w:val="-3"/>
          <w:sz w:val="20"/>
        </w:rPr>
        <w:t> </w:t>
      </w:r>
      <w:r>
        <w:rPr>
          <w:sz w:val="20"/>
        </w:rPr>
        <w:t>vacuna.</w:t>
      </w:r>
      <w:r>
        <w:rPr>
          <w:spacing w:val="-4"/>
          <w:sz w:val="20"/>
        </w:rPr>
        <w:t> </w:t>
      </w:r>
      <w:r>
        <w:rPr>
          <w:sz w:val="20"/>
        </w:rPr>
        <w:t>Por</w:t>
      </w:r>
      <w:r>
        <w:rPr>
          <w:spacing w:val="-6"/>
          <w:sz w:val="20"/>
        </w:rPr>
        <w:t> </w:t>
      </w:r>
      <w:r>
        <w:rPr>
          <w:sz w:val="20"/>
        </w:rPr>
        <w:t>ello,</w:t>
      </w:r>
      <w:r>
        <w:rPr>
          <w:spacing w:val="-4"/>
          <w:sz w:val="20"/>
        </w:rPr>
        <w:t> </w:t>
      </w:r>
      <w:r>
        <w:rPr>
          <w:sz w:val="20"/>
        </w:rPr>
        <w:t>este</w:t>
      </w:r>
      <w:r>
        <w:rPr>
          <w:spacing w:val="-4"/>
          <w:sz w:val="20"/>
        </w:rPr>
        <w:t> </w:t>
      </w:r>
      <w:r>
        <w:rPr>
          <w:sz w:val="20"/>
        </w:rPr>
        <w:t>decreto contemplo la readecuación del presupuesto hasta por el monto de Q1,500 millones con el objetivo de incrementar el presupuesto de egresos del Ministerio de Salud Pública y Asistencia Social para la adquisición de la vacuna contra el COVID-19 y de esta forma el Estado cumpliera su objetivo de garantizar la vacunación</w:t>
      </w:r>
      <w:r>
        <w:rPr>
          <w:spacing w:val="3"/>
          <w:sz w:val="20"/>
        </w:rPr>
        <w:t> </w:t>
      </w:r>
      <w:r>
        <w:rPr>
          <w:sz w:val="20"/>
        </w:rPr>
        <w:t>gratuita.</w:t>
      </w:r>
    </w:p>
    <w:p>
      <w:pPr>
        <w:pStyle w:val="BodyText"/>
        <w:spacing w:before="2"/>
        <w:rPr>
          <w:sz w:val="15"/>
        </w:rPr>
      </w:pPr>
    </w:p>
    <w:p>
      <w:pPr>
        <w:spacing w:line="276" w:lineRule="auto" w:before="91"/>
        <w:ind w:left="845" w:right="2034" w:firstLine="0"/>
        <w:jc w:val="both"/>
        <w:rPr>
          <w:sz w:val="20"/>
        </w:rPr>
      </w:pPr>
      <w:r>
        <w:rPr>
          <w:sz w:val="20"/>
        </w:rPr>
        <w:t>Adicionalmente, el Ministerio de Salud Pública y Asistencia Social y el Instituto Guatemalteco de Seguridad Social (IGSS), quedaron autorizados para la compra de las vacunas y del equipo y servicios necesarios para su conservación y movilización en forma directa del fabricante, quedando exentos del cumplimiento de los requerimientos de la Ley de Contrataciones del Estado y su reglamento.</w:t>
      </w:r>
    </w:p>
    <w:p>
      <w:pPr>
        <w:pStyle w:val="BodyText"/>
        <w:spacing w:before="1"/>
        <w:rPr>
          <w:sz w:val="15"/>
        </w:rPr>
      </w:pPr>
    </w:p>
    <w:p>
      <w:pPr>
        <w:spacing w:line="278" w:lineRule="auto" w:before="91"/>
        <w:ind w:left="845" w:right="2032" w:firstLine="0"/>
        <w:jc w:val="both"/>
        <w:rPr>
          <w:b/>
          <w:sz w:val="20"/>
        </w:rPr>
      </w:pPr>
      <w:r>
        <w:rPr>
          <w:sz w:val="20"/>
        </w:rPr>
        <w:t>En julio se aprobó el </w:t>
      </w:r>
      <w:r>
        <w:rPr>
          <w:b/>
          <w:sz w:val="20"/>
        </w:rPr>
        <w:t>Decreto 08-2021 “Ley de Exención de Responsabilidad y Creación del Mecanismo de Compensación por el Uso de Vacunas Contra la COVID-19 que posean Autorización de Uso de Emergencia por la Pandemia del Virus SARS-CoV-2”.</w:t>
      </w:r>
    </w:p>
    <w:p>
      <w:pPr>
        <w:pStyle w:val="BodyText"/>
        <w:spacing w:before="7"/>
        <w:rPr>
          <w:b/>
          <w:sz w:val="14"/>
        </w:rPr>
      </w:pPr>
    </w:p>
    <w:p>
      <w:pPr>
        <w:spacing w:line="276" w:lineRule="auto" w:before="90"/>
        <w:ind w:left="845" w:right="2032" w:firstLine="0"/>
        <w:jc w:val="both"/>
        <w:rPr>
          <w:sz w:val="20"/>
        </w:rPr>
      </w:pPr>
      <w:r>
        <w:rPr>
          <w:sz w:val="20"/>
        </w:rPr>
        <w:t>En este decreto el Estado de Guatemala asume la responsabilidad y define el mecanismo de compensación a las personas afectadas, con reacción adversa seria, como parte del proceso de inmunización con vacunas adquiridas por compra o donación en los siguientes 24 meses de la aprobación del decreto. El decreto contempla tres formas de compensación:</w:t>
      </w:r>
    </w:p>
    <w:p>
      <w:pPr>
        <w:pStyle w:val="BodyText"/>
        <w:spacing w:before="2"/>
        <w:rPr>
          <w:sz w:val="15"/>
        </w:rPr>
      </w:pPr>
    </w:p>
    <w:p>
      <w:pPr>
        <w:pStyle w:val="ListParagraph"/>
        <w:numPr>
          <w:ilvl w:val="0"/>
          <w:numId w:val="19"/>
        </w:numPr>
        <w:tabs>
          <w:tab w:pos="1212" w:val="left" w:leader="none"/>
        </w:tabs>
        <w:spacing w:line="276" w:lineRule="auto" w:before="91" w:after="0"/>
        <w:ind w:left="1243" w:right="2029" w:hanging="248"/>
        <w:jc w:val="both"/>
        <w:rPr>
          <w:sz w:val="20"/>
        </w:rPr>
      </w:pPr>
      <w:r>
        <w:rPr>
          <w:sz w:val="20"/>
        </w:rPr>
        <w:t>Si la persona es hospitalizada será compensada con su hospitalización garantizándole cuidados y medicamentos necesarios y económicamente por cada día de internamiento y los subsiguientes de recuperación y rehabilitación por el monto que establezca el salario</w:t>
      </w:r>
      <w:r>
        <w:rPr>
          <w:spacing w:val="-6"/>
          <w:sz w:val="20"/>
        </w:rPr>
        <w:t> </w:t>
      </w:r>
      <w:r>
        <w:rPr>
          <w:sz w:val="20"/>
        </w:rPr>
        <w:t>mínimo.</w:t>
      </w:r>
    </w:p>
    <w:p>
      <w:pPr>
        <w:pStyle w:val="ListParagraph"/>
        <w:numPr>
          <w:ilvl w:val="0"/>
          <w:numId w:val="19"/>
        </w:numPr>
        <w:tabs>
          <w:tab w:pos="1270" w:val="left" w:leader="none"/>
        </w:tabs>
        <w:spacing w:line="276" w:lineRule="auto" w:before="1" w:after="0"/>
        <w:ind w:left="1243" w:right="2039" w:hanging="248"/>
        <w:jc w:val="both"/>
        <w:rPr>
          <w:sz w:val="20"/>
        </w:rPr>
      </w:pPr>
      <w:r>
        <w:rPr>
          <w:sz w:val="20"/>
        </w:rPr>
        <w:t>Si la persona sufre discapacidad o incapacidad persistente o significativa, será compensada económicamente por un pago total equivalente a diez salarios mínimos</w:t>
      </w:r>
      <w:r>
        <w:rPr>
          <w:spacing w:val="-5"/>
          <w:sz w:val="20"/>
        </w:rPr>
        <w:t> </w:t>
      </w:r>
      <w:r>
        <w:rPr>
          <w:sz w:val="20"/>
        </w:rPr>
        <w:t>mensuales.</w:t>
      </w:r>
    </w:p>
    <w:p>
      <w:pPr>
        <w:pStyle w:val="ListParagraph"/>
        <w:numPr>
          <w:ilvl w:val="0"/>
          <w:numId w:val="19"/>
        </w:numPr>
        <w:tabs>
          <w:tab w:pos="1270" w:val="left" w:leader="none"/>
        </w:tabs>
        <w:spacing w:line="276" w:lineRule="auto" w:before="0" w:after="0"/>
        <w:ind w:left="1243" w:right="2034" w:hanging="248"/>
        <w:jc w:val="both"/>
        <w:rPr>
          <w:sz w:val="20"/>
        </w:rPr>
      </w:pPr>
      <w:r>
        <w:rPr>
          <w:sz w:val="20"/>
        </w:rPr>
        <w:t>Si la persona muere, será compensada económicamente la persona reclamante por un pago total equivalente a quince salarios mínimos mensuales.</w:t>
      </w:r>
    </w:p>
    <w:p>
      <w:pPr>
        <w:spacing w:line="278" w:lineRule="auto" w:before="0"/>
        <w:ind w:left="845" w:right="2028" w:firstLine="0"/>
        <w:jc w:val="both"/>
        <w:rPr>
          <w:sz w:val="20"/>
        </w:rPr>
      </w:pPr>
      <w:r>
        <w:rPr>
          <w:sz w:val="20"/>
        </w:rPr>
        <w:t>Para las tres formas de compensación se aplica el salario mínimo de actividades no agrícolas. En caso el afectado sea beneficiario del seguro social, se le aplicará la legislación específica del IGSS.</w:t>
      </w:r>
    </w:p>
    <w:p>
      <w:pPr>
        <w:pStyle w:val="BodyText"/>
        <w:spacing w:before="7"/>
        <w:rPr>
          <w:sz w:val="14"/>
        </w:rPr>
      </w:pPr>
    </w:p>
    <w:p>
      <w:pPr>
        <w:spacing w:line="276" w:lineRule="auto" w:before="91"/>
        <w:ind w:left="845" w:right="2032" w:firstLine="0"/>
        <w:jc w:val="both"/>
        <w:rPr>
          <w:sz w:val="20"/>
        </w:rPr>
      </w:pPr>
      <w:r>
        <w:rPr>
          <w:sz w:val="20"/>
        </w:rPr>
        <w:t>Derivado de este decreto se creó el Fondo de Compensación Económica vacuna COVID-19 con una asignación de Q20 millones en el Ministerio de Salud Pública y Asistencia Social para atender a los reclamantes y se autorizó al Ministerio de Finanzas Públicas para realizar las readecuaciones presupuestarias necesarias para el Fondo.</w:t>
      </w:r>
    </w:p>
    <w:p>
      <w:pPr>
        <w:pStyle w:val="BodyText"/>
        <w:spacing w:before="1"/>
        <w:rPr>
          <w:sz w:val="15"/>
        </w:rPr>
      </w:pPr>
    </w:p>
    <w:p>
      <w:pPr>
        <w:spacing w:line="276" w:lineRule="auto" w:before="91"/>
        <w:ind w:left="845" w:right="2030" w:firstLine="0"/>
        <w:jc w:val="both"/>
        <w:rPr>
          <w:sz w:val="20"/>
        </w:rPr>
      </w:pPr>
      <w:r>
        <w:rPr>
          <w:sz w:val="20"/>
        </w:rPr>
        <w:t>El</w:t>
      </w:r>
      <w:r>
        <w:rPr>
          <w:spacing w:val="-12"/>
          <w:sz w:val="20"/>
        </w:rPr>
        <w:t> </w:t>
      </w:r>
      <w:r>
        <w:rPr>
          <w:sz w:val="20"/>
        </w:rPr>
        <w:t>Presidente</w:t>
      </w:r>
      <w:r>
        <w:rPr>
          <w:spacing w:val="-10"/>
          <w:sz w:val="20"/>
        </w:rPr>
        <w:t> </w:t>
      </w:r>
      <w:r>
        <w:rPr>
          <w:sz w:val="20"/>
        </w:rPr>
        <w:t>de</w:t>
      </w:r>
      <w:r>
        <w:rPr>
          <w:spacing w:val="-11"/>
          <w:sz w:val="20"/>
        </w:rPr>
        <w:t> </w:t>
      </w:r>
      <w:r>
        <w:rPr>
          <w:sz w:val="20"/>
        </w:rPr>
        <w:t>la</w:t>
      </w:r>
      <w:r>
        <w:rPr>
          <w:spacing w:val="-10"/>
          <w:sz w:val="20"/>
        </w:rPr>
        <w:t> </w:t>
      </w:r>
      <w:r>
        <w:rPr>
          <w:sz w:val="20"/>
        </w:rPr>
        <w:t>República</w:t>
      </w:r>
      <w:r>
        <w:rPr>
          <w:spacing w:val="-7"/>
          <w:sz w:val="20"/>
        </w:rPr>
        <w:t> </w:t>
      </w:r>
      <w:r>
        <w:rPr>
          <w:sz w:val="20"/>
        </w:rPr>
        <w:t>por</w:t>
      </w:r>
      <w:r>
        <w:rPr>
          <w:spacing w:val="-10"/>
          <w:sz w:val="20"/>
        </w:rPr>
        <w:t> </w:t>
      </w:r>
      <w:r>
        <w:rPr>
          <w:sz w:val="20"/>
        </w:rPr>
        <w:t>medio</w:t>
      </w:r>
      <w:r>
        <w:rPr>
          <w:spacing w:val="-11"/>
          <w:sz w:val="20"/>
        </w:rPr>
        <w:t> </w:t>
      </w:r>
      <w:r>
        <w:rPr>
          <w:sz w:val="20"/>
        </w:rPr>
        <w:t>del</w:t>
      </w:r>
      <w:r>
        <w:rPr>
          <w:spacing w:val="-10"/>
          <w:sz w:val="20"/>
        </w:rPr>
        <w:t> </w:t>
      </w:r>
      <w:r>
        <w:rPr>
          <w:sz w:val="20"/>
        </w:rPr>
        <w:t>Decreto</w:t>
      </w:r>
      <w:r>
        <w:rPr>
          <w:spacing w:val="-10"/>
          <w:sz w:val="20"/>
        </w:rPr>
        <w:t> </w:t>
      </w:r>
      <w:r>
        <w:rPr>
          <w:sz w:val="20"/>
        </w:rPr>
        <w:t>Gubernativo</w:t>
      </w:r>
      <w:r>
        <w:rPr>
          <w:spacing w:val="-10"/>
          <w:sz w:val="20"/>
        </w:rPr>
        <w:t> </w:t>
      </w:r>
      <w:r>
        <w:rPr>
          <w:sz w:val="20"/>
        </w:rPr>
        <w:t>06-2021</w:t>
      </w:r>
      <w:r>
        <w:rPr>
          <w:spacing w:val="-11"/>
          <w:sz w:val="20"/>
        </w:rPr>
        <w:t> </w:t>
      </w:r>
      <w:r>
        <w:rPr>
          <w:sz w:val="20"/>
        </w:rPr>
        <w:t>y</w:t>
      </w:r>
      <w:r>
        <w:rPr>
          <w:spacing w:val="-14"/>
          <w:sz w:val="20"/>
        </w:rPr>
        <w:t> </w:t>
      </w:r>
      <w:r>
        <w:rPr>
          <w:sz w:val="20"/>
        </w:rPr>
        <w:t>08-2021</w:t>
      </w:r>
      <w:r>
        <w:rPr>
          <w:spacing w:val="-10"/>
          <w:sz w:val="20"/>
        </w:rPr>
        <w:t> </w:t>
      </w:r>
      <w:r>
        <w:rPr>
          <w:sz w:val="20"/>
        </w:rPr>
        <w:t>de</w:t>
      </w:r>
      <w:r>
        <w:rPr>
          <w:spacing w:val="-11"/>
          <w:sz w:val="20"/>
        </w:rPr>
        <w:t> </w:t>
      </w:r>
      <w:r>
        <w:rPr>
          <w:sz w:val="20"/>
        </w:rPr>
        <w:t>fecha</w:t>
      </w:r>
      <w:r>
        <w:rPr>
          <w:spacing w:val="-10"/>
          <w:sz w:val="20"/>
        </w:rPr>
        <w:t> </w:t>
      </w:r>
      <w:r>
        <w:rPr>
          <w:sz w:val="20"/>
        </w:rPr>
        <w:t>de</w:t>
      </w:r>
      <w:r>
        <w:rPr>
          <w:spacing w:val="-11"/>
          <w:sz w:val="20"/>
        </w:rPr>
        <w:t> </w:t>
      </w:r>
      <w:r>
        <w:rPr>
          <w:sz w:val="20"/>
        </w:rPr>
        <w:t>agosto y septiembre, respectivamente, intentó reforzar la lucha contra el COVID-19 declarando el Estado de Calamidad Pública en todo el territorio nacional, con plazo de 30 días. Ambos fueron improbados por el Congreso de la República, por medio de los Decretos 09-2021 y</w:t>
      </w:r>
      <w:r>
        <w:rPr>
          <w:spacing w:val="-6"/>
          <w:sz w:val="20"/>
        </w:rPr>
        <w:t> </w:t>
      </w:r>
      <w:r>
        <w:rPr>
          <w:sz w:val="20"/>
        </w:rPr>
        <w:t>10-2021.</w:t>
      </w:r>
    </w:p>
    <w:p>
      <w:pPr>
        <w:pStyle w:val="BodyText"/>
        <w:spacing w:before="1"/>
        <w:rPr>
          <w:sz w:val="15"/>
        </w:rPr>
      </w:pPr>
    </w:p>
    <w:p>
      <w:pPr>
        <w:spacing w:line="276" w:lineRule="auto" w:before="91"/>
        <w:ind w:left="845" w:right="2031" w:firstLine="0"/>
        <w:jc w:val="both"/>
        <w:rPr>
          <w:sz w:val="20"/>
        </w:rPr>
      </w:pPr>
      <w:r>
        <w:rPr>
          <w:sz w:val="20"/>
        </w:rPr>
        <w:t>No obstante, en septiembre fue publicado el </w:t>
      </w:r>
      <w:r>
        <w:rPr>
          <w:b/>
          <w:sz w:val="20"/>
        </w:rPr>
        <w:t>Decreto 11-2021 “Ley de Emergencia Nacional para la atención</w:t>
      </w:r>
      <w:r>
        <w:rPr>
          <w:b/>
          <w:spacing w:val="-9"/>
          <w:sz w:val="20"/>
        </w:rPr>
        <w:t> </w:t>
      </w:r>
      <w:r>
        <w:rPr>
          <w:b/>
          <w:sz w:val="20"/>
        </w:rPr>
        <w:t>de</w:t>
      </w:r>
      <w:r>
        <w:rPr>
          <w:b/>
          <w:spacing w:val="-8"/>
          <w:sz w:val="20"/>
        </w:rPr>
        <w:t> </w:t>
      </w:r>
      <w:r>
        <w:rPr>
          <w:b/>
          <w:sz w:val="20"/>
        </w:rPr>
        <w:t>la</w:t>
      </w:r>
      <w:r>
        <w:rPr>
          <w:b/>
          <w:spacing w:val="-7"/>
          <w:sz w:val="20"/>
        </w:rPr>
        <w:t> </w:t>
      </w:r>
      <w:r>
        <w:rPr>
          <w:b/>
          <w:sz w:val="20"/>
        </w:rPr>
        <w:t>pandemia</w:t>
      </w:r>
      <w:r>
        <w:rPr>
          <w:b/>
          <w:spacing w:val="-7"/>
          <w:sz w:val="20"/>
        </w:rPr>
        <w:t> </w:t>
      </w:r>
      <w:r>
        <w:rPr>
          <w:b/>
          <w:sz w:val="20"/>
        </w:rPr>
        <w:t>COVID-19”</w:t>
      </w:r>
      <w:r>
        <w:rPr>
          <w:b/>
          <w:spacing w:val="-8"/>
          <w:sz w:val="20"/>
        </w:rPr>
        <w:t> </w:t>
      </w:r>
      <w:r>
        <w:rPr>
          <w:sz w:val="20"/>
        </w:rPr>
        <w:t>considerando</w:t>
      </w:r>
      <w:r>
        <w:rPr>
          <w:spacing w:val="-7"/>
          <w:sz w:val="20"/>
        </w:rPr>
        <w:t> </w:t>
      </w:r>
      <w:r>
        <w:rPr>
          <w:sz w:val="20"/>
        </w:rPr>
        <w:t>que</w:t>
      </w:r>
      <w:r>
        <w:rPr>
          <w:spacing w:val="-7"/>
          <w:sz w:val="20"/>
        </w:rPr>
        <w:t> </w:t>
      </w:r>
      <w:r>
        <w:rPr>
          <w:sz w:val="20"/>
        </w:rPr>
        <w:t>es</w:t>
      </w:r>
      <w:r>
        <w:rPr>
          <w:spacing w:val="-11"/>
          <w:sz w:val="20"/>
        </w:rPr>
        <w:t> </w:t>
      </w:r>
      <w:r>
        <w:rPr>
          <w:sz w:val="20"/>
        </w:rPr>
        <w:t>necesario</w:t>
      </w:r>
      <w:r>
        <w:rPr>
          <w:spacing w:val="-8"/>
          <w:sz w:val="20"/>
        </w:rPr>
        <w:t> </w:t>
      </w:r>
      <w:r>
        <w:rPr>
          <w:sz w:val="20"/>
        </w:rPr>
        <w:t>crear</w:t>
      </w:r>
      <w:r>
        <w:rPr>
          <w:spacing w:val="-7"/>
          <w:sz w:val="20"/>
        </w:rPr>
        <w:t> </w:t>
      </w:r>
      <w:r>
        <w:rPr>
          <w:sz w:val="20"/>
        </w:rPr>
        <w:t>un</w:t>
      </w:r>
      <w:r>
        <w:rPr>
          <w:spacing w:val="-7"/>
          <w:sz w:val="20"/>
        </w:rPr>
        <w:t> </w:t>
      </w:r>
      <w:r>
        <w:rPr>
          <w:sz w:val="20"/>
        </w:rPr>
        <w:t>mecanismo</w:t>
      </w:r>
      <w:r>
        <w:rPr>
          <w:spacing w:val="-7"/>
          <w:sz w:val="20"/>
        </w:rPr>
        <w:t> </w:t>
      </w:r>
      <w:r>
        <w:rPr>
          <w:sz w:val="20"/>
        </w:rPr>
        <w:t>temporal</w:t>
      </w:r>
      <w:r>
        <w:rPr>
          <w:spacing w:val="-9"/>
          <w:sz w:val="20"/>
        </w:rPr>
        <w:t> </w:t>
      </w:r>
      <w:r>
        <w:rPr>
          <w:sz w:val="20"/>
        </w:rPr>
        <w:t>de adquisición temporal extraordinaria de medicamentos, suministros, material quirúrgico y servicios destinados a la atención de pacientes. Dentro del decreto se contempla que las adquisiciones</w:t>
      </w:r>
      <w:r>
        <w:rPr>
          <w:spacing w:val="-29"/>
          <w:sz w:val="20"/>
        </w:rPr>
        <w:t> </w:t>
      </w:r>
      <w:r>
        <w:rPr>
          <w:sz w:val="20"/>
        </w:rPr>
        <w:t>realizadas</w:t>
      </w:r>
    </w:p>
    <w:p>
      <w:pPr>
        <w:spacing w:after="0" w:line="276" w:lineRule="auto"/>
        <w:jc w:val="both"/>
        <w:rPr>
          <w:sz w:val="20"/>
        </w:rPr>
        <w:sectPr>
          <w:pgSz w:w="12240" w:h="15840"/>
          <w:pgMar w:header="715" w:footer="957" w:top="1240" w:bottom="1140" w:left="1140" w:right="0"/>
        </w:sectPr>
      </w:pPr>
    </w:p>
    <w:p>
      <w:pPr>
        <w:spacing w:line="276" w:lineRule="auto" w:before="164"/>
        <w:ind w:left="845" w:right="2029" w:firstLine="0"/>
        <w:jc w:val="both"/>
        <w:rPr>
          <w:sz w:val="20"/>
        </w:rPr>
      </w:pPr>
      <w:r>
        <w:rPr/>
        <w:pict>
          <v:group style="position:absolute;margin-left:93.384003pt;margin-top:8.415959pt;width:423pt;height:437.95pt;mso-position-horizontal-relative:page;mso-position-vertical-relative:paragraph;z-index:-280632320" coordorigin="1868,168" coordsize="8460,8759">
            <v:rect style="position:absolute;left:1877;top:168;width:8440;height:264" filled="true" fillcolor="#deeaf6" stroked="false">
              <v:fill type="solid"/>
            </v:rect>
            <v:line style="position:absolute" from="1872,168" to="1872,432" stroked="true" strokeweight=".48pt" strokecolor="#000000">
              <v:stroke dashstyle="solid"/>
            </v:line>
            <v:line style="position:absolute" from="10322,168" to="10322,432" stroked="true" strokeweight=".48pt" strokecolor="#000000">
              <v:stroke dashstyle="solid"/>
            </v:line>
            <v:rect style="position:absolute;left:1877;top:432;width:8440;height:265" filled="true" fillcolor="#deeaf6" stroked="false">
              <v:fill type="solid"/>
            </v:rect>
            <v:line style="position:absolute" from="1872,432" to="1872,697" stroked="true" strokeweight=".48pt" strokecolor="#000000">
              <v:stroke dashstyle="solid"/>
            </v:line>
            <v:line style="position:absolute" from="10322,432" to="10322,697" stroked="true" strokeweight=".48pt" strokecolor="#000000">
              <v:stroke dashstyle="solid"/>
            </v:line>
            <v:rect style="position:absolute;left:1877;top:696;width:8440;height:264" filled="true" fillcolor="#deeaf6" stroked="false">
              <v:fill type="solid"/>
            </v:rect>
            <v:line style="position:absolute" from="1872,697" to="1872,961" stroked="true" strokeweight=".48pt" strokecolor="#000000">
              <v:stroke dashstyle="solid"/>
            </v:line>
            <v:line style="position:absolute" from="10322,697" to="10322,961" stroked="true" strokeweight=".48pt" strokecolor="#000000">
              <v:stroke dashstyle="solid"/>
            </v:line>
            <v:rect style="position:absolute;left:1877;top:960;width:8440;height:267" filled="true" fillcolor="#deeaf6" stroked="false">
              <v:fill type="solid"/>
            </v:rect>
            <v:line style="position:absolute" from="1872,961" to="1872,1227" stroked="true" strokeweight=".48pt" strokecolor="#000000">
              <v:stroke dashstyle="solid"/>
            </v:line>
            <v:line style="position:absolute" from="10322,961" to="10322,1227" stroked="true" strokeweight=".48pt" strokecolor="#000000">
              <v:stroke dashstyle="solid"/>
            </v:line>
            <v:rect style="position:absolute;left:1877;top:1227;width:8440;height:264" filled="true" fillcolor="#deeaf6" stroked="false">
              <v:fill type="solid"/>
            </v:rect>
            <v:line style="position:absolute" from="1872,1227" to="1872,1491" stroked="true" strokeweight=".48pt" strokecolor="#000000">
              <v:stroke dashstyle="solid"/>
            </v:line>
            <v:line style="position:absolute" from="10322,1227" to="10322,1491" stroked="true" strokeweight=".48pt" strokecolor="#000000">
              <v:stroke dashstyle="solid"/>
            </v:line>
            <v:rect style="position:absolute;left:1877;top:1491;width:8440;height:264" filled="true" fillcolor="#deeaf6" stroked="false">
              <v:fill type="solid"/>
            </v:rect>
            <v:line style="position:absolute" from="1872,1491" to="1872,1755" stroked="true" strokeweight=".48pt" strokecolor="#000000">
              <v:stroke dashstyle="solid"/>
            </v:line>
            <v:line style="position:absolute" from="10322,1491" to="10322,1755" stroked="true" strokeweight=".48pt" strokecolor="#000000">
              <v:stroke dashstyle="solid"/>
            </v:line>
            <v:rect style="position:absolute;left:1877;top:1755;width:8440;height:264" filled="true" fillcolor="#deeaf6" stroked="false">
              <v:fill type="solid"/>
            </v:rect>
            <v:line style="position:absolute" from="1872,1755" to="1872,2019" stroked="true" strokeweight=".48pt" strokecolor="#000000">
              <v:stroke dashstyle="solid"/>
            </v:line>
            <v:line style="position:absolute" from="10322,1755" to="10322,2019" stroked="true" strokeweight=".48pt" strokecolor="#000000">
              <v:stroke dashstyle="solid"/>
            </v:line>
            <v:rect style="position:absolute;left:1877;top:2019;width:8440;height:264" filled="true" fillcolor="#deeaf6" stroked="false">
              <v:fill type="solid"/>
            </v:rect>
            <v:line style="position:absolute" from="1872,2019" to="1872,2283" stroked="true" strokeweight=".48pt" strokecolor="#000000">
              <v:stroke dashstyle="solid"/>
            </v:line>
            <v:line style="position:absolute" from="10322,2019" to="10322,2283" stroked="true" strokeweight=".48pt" strokecolor="#000000">
              <v:stroke dashstyle="solid"/>
            </v:line>
            <v:rect style="position:absolute;left:1877;top:2283;width:8440;height:267" filled="true" fillcolor="#deeaf6" stroked="false">
              <v:fill type="solid"/>
            </v:rect>
            <v:line style="position:absolute" from="1872,2283" to="1872,2550" stroked="true" strokeweight=".48pt" strokecolor="#000000">
              <v:stroke dashstyle="solid"/>
            </v:line>
            <v:line style="position:absolute" from="10322,2283" to="10322,2550" stroked="true" strokeweight=".48pt" strokecolor="#000000">
              <v:stroke dashstyle="solid"/>
            </v:line>
            <v:rect style="position:absolute;left:1877;top:2549;width:8440;height:264" filled="true" fillcolor="#deeaf6" stroked="false">
              <v:fill type="solid"/>
            </v:rect>
            <v:line style="position:absolute" from="1872,2550" to="1872,2814" stroked="true" strokeweight=".48pt" strokecolor="#000000">
              <v:stroke dashstyle="solid"/>
            </v:line>
            <v:line style="position:absolute" from="10322,2550" to="10322,2814" stroked="true" strokeweight=".48pt" strokecolor="#000000">
              <v:stroke dashstyle="solid"/>
            </v:line>
            <v:rect style="position:absolute;left:1877;top:2813;width:8440;height:264" filled="true" fillcolor="#deeaf6" stroked="false">
              <v:fill type="solid"/>
            </v:rect>
            <v:line style="position:absolute" from="1872,2814" to="1872,3078" stroked="true" strokeweight=".48pt" strokecolor="#000000">
              <v:stroke dashstyle="solid"/>
            </v:line>
            <v:line style="position:absolute" from="10322,2814" to="10322,3078" stroked="true" strokeweight=".48pt" strokecolor="#000000">
              <v:stroke dashstyle="solid"/>
            </v:line>
            <v:rect style="position:absolute;left:1877;top:3077;width:8440;height:264" filled="true" fillcolor="#deeaf6" stroked="false">
              <v:fill type="solid"/>
            </v:rect>
            <v:line style="position:absolute" from="1872,3078" to="1872,3342" stroked="true" strokeweight=".48pt" strokecolor="#000000">
              <v:stroke dashstyle="solid"/>
            </v:line>
            <v:line style="position:absolute" from="10322,3078" to="10322,3342" stroked="true" strokeweight=".48pt" strokecolor="#000000">
              <v:stroke dashstyle="solid"/>
            </v:line>
            <v:rect style="position:absolute;left:1877;top:3341;width:8440;height:264" filled="true" fillcolor="#deeaf6" stroked="false">
              <v:fill type="solid"/>
            </v:rect>
            <v:line style="position:absolute" from="1872,3342" to="1872,3606" stroked="true" strokeweight=".48pt" strokecolor="#000000">
              <v:stroke dashstyle="solid"/>
            </v:line>
            <v:line style="position:absolute" from="10322,3342" to="10322,3606" stroked="true" strokeweight=".48pt" strokecolor="#000000">
              <v:stroke dashstyle="solid"/>
            </v:line>
            <v:rect style="position:absolute;left:1877;top:3605;width:8440;height:267" filled="true" fillcolor="#deeaf6" stroked="false">
              <v:fill type="solid"/>
            </v:rect>
            <v:line style="position:absolute" from="1872,3606" to="1872,3872" stroked="true" strokeweight=".48pt" strokecolor="#000000">
              <v:stroke dashstyle="solid"/>
            </v:line>
            <v:line style="position:absolute" from="10322,3606" to="10322,3872" stroked="true" strokeweight=".48pt" strokecolor="#000000">
              <v:stroke dashstyle="solid"/>
            </v:line>
            <v:rect style="position:absolute;left:1877;top:3872;width:8440;height:265" filled="true" fillcolor="#deeaf6" stroked="false">
              <v:fill type="solid"/>
            </v:rect>
            <v:line style="position:absolute" from="1872,3872" to="1872,4137" stroked="true" strokeweight=".48pt" strokecolor="#000000">
              <v:stroke dashstyle="solid"/>
            </v:line>
            <v:line style="position:absolute" from="10322,3872" to="10322,4137" stroked="true" strokeweight=".48pt" strokecolor="#000000">
              <v:stroke dashstyle="solid"/>
            </v:line>
            <v:rect style="position:absolute;left:1877;top:4136;width:8440;height:264" filled="true" fillcolor="#deeaf6" stroked="false">
              <v:fill type="solid"/>
            </v:rect>
            <v:line style="position:absolute" from="1872,4137" to="1872,4401" stroked="true" strokeweight=".48pt" strokecolor="#000000">
              <v:stroke dashstyle="solid"/>
            </v:line>
            <v:line style="position:absolute" from="10322,4137" to="10322,4401" stroked="true" strokeweight=".48pt" strokecolor="#000000">
              <v:stroke dashstyle="solid"/>
            </v:line>
            <v:rect style="position:absolute;left:1877;top:4400;width:8440;height:264" filled="true" fillcolor="#deeaf6" stroked="false">
              <v:fill type="solid"/>
            </v:rect>
            <v:line style="position:absolute" from="1872,4401" to="1872,4665" stroked="true" strokeweight=".48pt" strokecolor="#000000">
              <v:stroke dashstyle="solid"/>
            </v:line>
            <v:line style="position:absolute" from="10322,4401" to="10322,4665" stroked="true" strokeweight=".48pt" strokecolor="#000000">
              <v:stroke dashstyle="solid"/>
            </v:line>
            <v:rect style="position:absolute;left:1877;top:4664;width:8440;height:264" filled="true" fillcolor="#deeaf6" stroked="false">
              <v:fill type="solid"/>
            </v:rect>
            <v:line style="position:absolute" from="1872,4665" to="1872,4929" stroked="true" strokeweight=".48pt" strokecolor="#000000">
              <v:stroke dashstyle="solid"/>
            </v:line>
            <v:line style="position:absolute" from="10322,4665" to="10322,4929" stroked="true" strokeweight=".48pt" strokecolor="#000000">
              <v:stroke dashstyle="solid"/>
            </v:line>
            <v:rect style="position:absolute;left:1877;top:4928;width:8440;height:267" filled="true" fillcolor="#deeaf6" stroked="false">
              <v:fill type="solid"/>
            </v:rect>
            <v:line style="position:absolute" from="1872,4929" to="1872,5195" stroked="true" strokeweight=".48pt" strokecolor="#000000">
              <v:stroke dashstyle="solid"/>
            </v:line>
            <v:line style="position:absolute" from="10322,4929" to="10322,5195" stroked="true" strokeweight=".48pt" strokecolor="#000000">
              <v:stroke dashstyle="solid"/>
            </v:line>
            <v:rect style="position:absolute;left:1877;top:5194;width:8440;height:264" filled="true" fillcolor="#deeaf6" stroked="false">
              <v:fill type="solid"/>
            </v:rect>
            <v:line style="position:absolute" from="1872,5195" to="1872,5459" stroked="true" strokeweight=".48pt" strokecolor="#000000">
              <v:stroke dashstyle="solid"/>
            </v:line>
            <v:line style="position:absolute" from="10322,5195" to="10322,5459" stroked="true" strokeweight=".48pt" strokecolor="#000000">
              <v:stroke dashstyle="solid"/>
            </v:line>
            <v:rect style="position:absolute;left:1877;top:5458;width:8440;height:264" filled="true" fillcolor="#deeaf6" stroked="false">
              <v:fill type="solid"/>
            </v:rect>
            <v:line style="position:absolute" from="1872,5459" to="1872,5723" stroked="true" strokeweight=".48pt" strokecolor="#000000">
              <v:stroke dashstyle="solid"/>
            </v:line>
            <v:line style="position:absolute" from="10322,5459" to="10322,5723" stroked="true" strokeweight=".48pt" strokecolor="#000000">
              <v:stroke dashstyle="solid"/>
            </v:line>
            <v:rect style="position:absolute;left:1877;top:5722;width:8440;height:264" filled="true" fillcolor="#deeaf6" stroked="false">
              <v:fill type="solid"/>
            </v:rect>
            <v:line style="position:absolute" from="1872,5723" to="1872,5987" stroked="true" strokeweight=".48pt" strokecolor="#000000">
              <v:stroke dashstyle="solid"/>
            </v:line>
            <v:line style="position:absolute" from="10322,5723" to="10322,5987" stroked="true" strokeweight=".48pt" strokecolor="#000000">
              <v:stroke dashstyle="solid"/>
            </v:line>
            <v:rect style="position:absolute;left:1877;top:5986;width:8440;height:264" filled="true" fillcolor="#deeaf6" stroked="false">
              <v:fill type="solid"/>
            </v:rect>
            <v:line style="position:absolute" from="1872,5987" to="1872,6251" stroked="true" strokeweight=".48pt" strokecolor="#000000">
              <v:stroke dashstyle="solid"/>
            </v:line>
            <v:line style="position:absolute" from="10322,5987" to="10322,6251" stroked="true" strokeweight=".48pt" strokecolor="#000000">
              <v:stroke dashstyle="solid"/>
            </v:line>
            <v:rect style="position:absolute;left:1877;top:6250;width:8440;height:267" filled="true" fillcolor="#deeaf6" stroked="false">
              <v:fill type="solid"/>
            </v:rect>
            <v:line style="position:absolute" from="1872,6251" to="1872,6517" stroked="true" strokeweight=".48pt" strokecolor="#000000">
              <v:stroke dashstyle="solid"/>
            </v:line>
            <v:line style="position:absolute" from="10322,6251" to="10322,6517" stroked="true" strokeweight=".48pt" strokecolor="#000000">
              <v:stroke dashstyle="solid"/>
            </v:line>
            <v:rect style="position:absolute;left:1877;top:6517;width:8440;height:264" filled="true" fillcolor="#deeaf6" stroked="false">
              <v:fill type="solid"/>
            </v:rect>
            <v:line style="position:absolute" from="1872,6517" to="1872,6781" stroked="true" strokeweight=".48pt" strokecolor="#000000">
              <v:stroke dashstyle="solid"/>
            </v:line>
            <v:line style="position:absolute" from="10322,6517" to="10322,6781" stroked="true" strokeweight=".48pt" strokecolor="#000000">
              <v:stroke dashstyle="solid"/>
            </v:line>
            <v:rect style="position:absolute;left:1877;top:6781;width:8440;height:264" filled="true" fillcolor="#deeaf6" stroked="false">
              <v:fill type="solid"/>
            </v:rect>
            <v:line style="position:absolute" from="1872,6781" to="1872,7045" stroked="true" strokeweight=".48pt" strokecolor="#000000">
              <v:stroke dashstyle="solid"/>
            </v:line>
            <v:line style="position:absolute" from="10322,6781" to="10322,7045" stroked="true" strokeweight=".48pt" strokecolor="#000000">
              <v:stroke dashstyle="solid"/>
            </v:line>
            <v:rect style="position:absolute;left:1877;top:7045;width:8440;height:264" filled="true" fillcolor="#deeaf6" stroked="false">
              <v:fill type="solid"/>
            </v:rect>
            <v:line style="position:absolute" from="1872,7045" to="1872,7309" stroked="true" strokeweight=".48pt" strokecolor="#000000">
              <v:stroke dashstyle="solid"/>
            </v:line>
            <v:line style="position:absolute" from="10322,7045" to="10322,7309" stroked="true" strokeweight=".48pt" strokecolor="#000000">
              <v:stroke dashstyle="solid"/>
            </v:line>
            <v:rect style="position:absolute;left:1877;top:7309;width:8440;height:265" filled="true" fillcolor="#deeaf6" stroked="false">
              <v:fill type="solid"/>
            </v:rect>
            <v:line style="position:absolute" from="1872,7309" to="1872,7574" stroked="true" strokeweight=".48pt" strokecolor="#000000">
              <v:stroke dashstyle="solid"/>
            </v:line>
            <v:line style="position:absolute" from="10322,7309" to="10322,7574" stroked="true" strokeweight=".48pt" strokecolor="#000000">
              <v:stroke dashstyle="solid"/>
            </v:line>
            <v:rect style="position:absolute;left:1877;top:7573;width:8440;height:267" filled="true" fillcolor="#deeaf6" stroked="false">
              <v:fill type="solid"/>
            </v:rect>
            <v:line style="position:absolute" from="1872,7574" to="1872,7840" stroked="true" strokeweight=".48pt" strokecolor="#000000">
              <v:stroke dashstyle="solid"/>
            </v:line>
            <v:line style="position:absolute" from="10322,7574" to="10322,7840" stroked="true" strokeweight=".48pt" strokecolor="#000000">
              <v:stroke dashstyle="solid"/>
            </v:line>
            <v:rect style="position:absolute;left:1877;top:7840;width:8440;height:264" filled="true" fillcolor="#deeaf6" stroked="false">
              <v:fill type="solid"/>
            </v:rect>
            <v:line style="position:absolute" from="1872,7840" to="1872,8104" stroked="true" strokeweight=".48pt" strokecolor="#000000">
              <v:stroke dashstyle="solid"/>
            </v:line>
            <v:line style="position:absolute" from="10322,7840" to="10322,8104" stroked="true" strokeweight=".48pt" strokecolor="#000000">
              <v:stroke dashstyle="solid"/>
            </v:line>
            <v:rect style="position:absolute;left:1877;top:8104;width:8440;height:264" filled="true" fillcolor="#deeaf6" stroked="false">
              <v:fill type="solid"/>
            </v:rect>
            <v:line style="position:absolute" from="1872,8104" to="1872,8368" stroked="true" strokeweight=".48pt" strokecolor="#000000">
              <v:stroke dashstyle="solid"/>
            </v:line>
            <v:line style="position:absolute" from="10322,8104" to="10322,8368" stroked="true" strokeweight=".48pt" strokecolor="#000000">
              <v:stroke dashstyle="solid"/>
            </v:line>
            <v:rect style="position:absolute;left:1877;top:8368;width:8440;height:264" filled="true" fillcolor="#deeaf6" stroked="false">
              <v:fill type="solid"/>
            </v:rect>
            <v:line style="position:absolute" from="1872,8368" to="1872,8632" stroked="true" strokeweight=".48pt" strokecolor="#000000">
              <v:stroke dashstyle="solid"/>
            </v:line>
            <v:line style="position:absolute" from="10322,8368" to="10322,8632" stroked="true" strokeweight=".48pt" strokecolor="#000000">
              <v:stroke dashstyle="solid"/>
            </v:line>
            <v:rect style="position:absolute;left:1877;top:8632;width:8440;height:286" filled="true" fillcolor="#deeaf6" stroked="false">
              <v:fill type="solid"/>
            </v:rect>
            <v:line style="position:absolute" from="1877,8923" to="10317,8923" stroked="true" strokeweight=".48pt" strokecolor="#000000">
              <v:stroke dashstyle="solid"/>
            </v:line>
            <v:line style="position:absolute" from="1872,8632" to="1872,8927" stroked="true" strokeweight=".48pt" strokecolor="#000000">
              <v:stroke dashstyle="solid"/>
            </v:line>
            <v:line style="position:absolute" from="10322,8632" to="10322,8927" stroked="true" strokeweight=".48pt" strokecolor="#000000">
              <v:stroke dashstyle="solid"/>
            </v:line>
            <w10:wrap type="none"/>
          </v:group>
        </w:pict>
      </w:r>
      <w:r>
        <w:rPr>
          <w:sz w:val="20"/>
        </w:rPr>
        <w:t>deben publicarse y gestionarse en el sistema Guatecompras, además las compras que se realicen al amparo de la ley sean ágiles y cuenten con los mejores precios, quedando exentas del pago de IVA,</w:t>
      </w:r>
      <w:r>
        <w:rPr>
          <w:spacing w:val="-36"/>
          <w:sz w:val="20"/>
        </w:rPr>
        <w:t> </w:t>
      </w:r>
      <w:r>
        <w:rPr>
          <w:sz w:val="20"/>
        </w:rPr>
        <w:t>las importaciones de los insumos de salud que se adquieran de convenios con agencias del Sistema de Naciones</w:t>
      </w:r>
      <w:r>
        <w:rPr>
          <w:spacing w:val="-2"/>
          <w:sz w:val="20"/>
        </w:rPr>
        <w:t> </w:t>
      </w:r>
      <w:r>
        <w:rPr>
          <w:sz w:val="20"/>
        </w:rPr>
        <w:t>Unidas.</w:t>
      </w:r>
    </w:p>
    <w:p>
      <w:pPr>
        <w:pStyle w:val="BodyText"/>
        <w:spacing w:before="1"/>
        <w:rPr>
          <w:sz w:val="15"/>
        </w:rPr>
      </w:pPr>
    </w:p>
    <w:p>
      <w:pPr>
        <w:spacing w:line="276" w:lineRule="auto" w:before="91"/>
        <w:ind w:left="845" w:right="1704" w:firstLine="0"/>
        <w:jc w:val="left"/>
        <w:rPr>
          <w:sz w:val="20"/>
        </w:rPr>
      </w:pPr>
      <w:r>
        <w:rPr>
          <w:sz w:val="20"/>
        </w:rPr>
        <w:t>Asimismo, el decreto contemplaba un beneficio monetario único por Q2 mil a todo el personal del Ministerio de Salud Pública y Asistencia Social.</w:t>
      </w:r>
    </w:p>
    <w:p>
      <w:pPr>
        <w:pStyle w:val="BodyText"/>
        <w:rPr>
          <w:sz w:val="15"/>
        </w:rPr>
      </w:pPr>
    </w:p>
    <w:p>
      <w:pPr>
        <w:spacing w:line="276" w:lineRule="auto" w:before="91"/>
        <w:ind w:left="845" w:right="2033" w:firstLine="0"/>
        <w:jc w:val="both"/>
        <w:rPr>
          <w:sz w:val="20"/>
        </w:rPr>
      </w:pPr>
      <w:r>
        <w:rPr>
          <w:sz w:val="20"/>
        </w:rPr>
        <w:t>Dentro del portal del Ministerio de Finanzas Publicas se creó un tablero de control para el seguimiento de las adquisiciones realizadas al amparo de esta ley. Adicionalmente, se creó el subprograma 13 “Ley de</w:t>
      </w:r>
      <w:r>
        <w:rPr>
          <w:spacing w:val="-14"/>
          <w:sz w:val="20"/>
        </w:rPr>
        <w:t> </w:t>
      </w:r>
      <w:r>
        <w:rPr>
          <w:sz w:val="20"/>
        </w:rPr>
        <w:t>Emergencia</w:t>
      </w:r>
      <w:r>
        <w:rPr>
          <w:spacing w:val="-14"/>
          <w:sz w:val="20"/>
        </w:rPr>
        <w:t> </w:t>
      </w:r>
      <w:r>
        <w:rPr>
          <w:sz w:val="20"/>
        </w:rPr>
        <w:t>Nacional</w:t>
      </w:r>
      <w:r>
        <w:rPr>
          <w:spacing w:val="-14"/>
          <w:sz w:val="20"/>
        </w:rPr>
        <w:t> </w:t>
      </w:r>
      <w:r>
        <w:rPr>
          <w:sz w:val="20"/>
        </w:rPr>
        <w:t>para</w:t>
      </w:r>
      <w:r>
        <w:rPr>
          <w:spacing w:val="-13"/>
          <w:sz w:val="20"/>
        </w:rPr>
        <w:t> </w:t>
      </w:r>
      <w:r>
        <w:rPr>
          <w:sz w:val="20"/>
        </w:rPr>
        <w:t>la</w:t>
      </w:r>
      <w:r>
        <w:rPr>
          <w:spacing w:val="-14"/>
          <w:sz w:val="20"/>
        </w:rPr>
        <w:t> </w:t>
      </w:r>
      <w:r>
        <w:rPr>
          <w:sz w:val="20"/>
        </w:rPr>
        <w:t>Atención</w:t>
      </w:r>
      <w:r>
        <w:rPr>
          <w:spacing w:val="-15"/>
          <w:sz w:val="20"/>
        </w:rPr>
        <w:t> </w:t>
      </w:r>
      <w:r>
        <w:rPr>
          <w:sz w:val="20"/>
        </w:rPr>
        <w:t>de</w:t>
      </w:r>
      <w:r>
        <w:rPr>
          <w:spacing w:val="-13"/>
          <w:sz w:val="20"/>
        </w:rPr>
        <w:t> </w:t>
      </w:r>
      <w:r>
        <w:rPr>
          <w:sz w:val="20"/>
        </w:rPr>
        <w:t>la</w:t>
      </w:r>
      <w:r>
        <w:rPr>
          <w:spacing w:val="-14"/>
          <w:sz w:val="20"/>
        </w:rPr>
        <w:t> </w:t>
      </w:r>
      <w:r>
        <w:rPr>
          <w:sz w:val="20"/>
        </w:rPr>
        <w:t>Pandemia</w:t>
      </w:r>
      <w:r>
        <w:rPr>
          <w:spacing w:val="-12"/>
          <w:sz w:val="20"/>
        </w:rPr>
        <w:t> </w:t>
      </w:r>
      <w:r>
        <w:rPr>
          <w:sz w:val="20"/>
        </w:rPr>
        <w:t>COVID-19”</w:t>
      </w:r>
      <w:r>
        <w:rPr>
          <w:spacing w:val="-14"/>
          <w:sz w:val="20"/>
        </w:rPr>
        <w:t> </w:t>
      </w:r>
      <w:r>
        <w:rPr>
          <w:sz w:val="20"/>
        </w:rPr>
        <w:t>el</w:t>
      </w:r>
      <w:r>
        <w:rPr>
          <w:spacing w:val="-13"/>
          <w:sz w:val="20"/>
        </w:rPr>
        <w:t> </w:t>
      </w:r>
      <w:r>
        <w:rPr>
          <w:sz w:val="20"/>
        </w:rPr>
        <w:t>cual</w:t>
      </w:r>
      <w:r>
        <w:rPr>
          <w:spacing w:val="-12"/>
          <w:sz w:val="20"/>
        </w:rPr>
        <w:t> </w:t>
      </w:r>
      <w:r>
        <w:rPr>
          <w:sz w:val="20"/>
        </w:rPr>
        <w:t>cuenta</w:t>
      </w:r>
      <w:r>
        <w:rPr>
          <w:spacing w:val="-14"/>
          <w:sz w:val="20"/>
        </w:rPr>
        <w:t> </w:t>
      </w:r>
      <w:r>
        <w:rPr>
          <w:sz w:val="20"/>
        </w:rPr>
        <w:t>con</w:t>
      </w:r>
      <w:r>
        <w:rPr>
          <w:spacing w:val="-13"/>
          <w:sz w:val="20"/>
        </w:rPr>
        <w:t> </w:t>
      </w:r>
      <w:r>
        <w:rPr>
          <w:sz w:val="20"/>
        </w:rPr>
        <w:t>un</w:t>
      </w:r>
      <w:r>
        <w:rPr>
          <w:spacing w:val="-13"/>
          <w:sz w:val="20"/>
        </w:rPr>
        <w:t> </w:t>
      </w:r>
      <w:r>
        <w:rPr>
          <w:sz w:val="20"/>
        </w:rPr>
        <w:t>presupuesto de Q1,878.0 millones, estando asignado en su totalidad en el Ministerio de Salud Pública y Asistencia Social.</w:t>
      </w:r>
    </w:p>
    <w:p>
      <w:pPr>
        <w:pStyle w:val="BodyText"/>
        <w:spacing w:before="3"/>
        <w:rPr>
          <w:sz w:val="15"/>
        </w:rPr>
      </w:pPr>
    </w:p>
    <w:p>
      <w:pPr>
        <w:spacing w:line="276" w:lineRule="auto" w:before="91"/>
        <w:ind w:left="845" w:right="2030" w:firstLine="0"/>
        <w:jc w:val="both"/>
        <w:rPr>
          <w:sz w:val="20"/>
        </w:rPr>
      </w:pPr>
      <w:r>
        <w:rPr>
          <w:sz w:val="20"/>
        </w:rPr>
        <w:t>Por su parte, se declararon exentas de todos los impuestos de importación y del IVA y derechos arancelarios todas las donaciones vinculadas directamente con la prevención y atención de la enfermedad COVID-19. El Ministerio de Finanzas quedó facultado a reprogramar y ajustar las fuentes de</w:t>
      </w:r>
      <w:r>
        <w:rPr>
          <w:spacing w:val="-7"/>
          <w:sz w:val="20"/>
        </w:rPr>
        <w:t> </w:t>
      </w:r>
      <w:r>
        <w:rPr>
          <w:sz w:val="20"/>
        </w:rPr>
        <w:t>financiamiento</w:t>
      </w:r>
      <w:r>
        <w:rPr>
          <w:spacing w:val="-6"/>
          <w:sz w:val="20"/>
        </w:rPr>
        <w:t> </w:t>
      </w:r>
      <w:r>
        <w:rPr>
          <w:sz w:val="20"/>
        </w:rPr>
        <w:t>que</w:t>
      </w:r>
      <w:r>
        <w:rPr>
          <w:spacing w:val="-6"/>
          <w:sz w:val="20"/>
        </w:rPr>
        <w:t> </w:t>
      </w:r>
      <w:r>
        <w:rPr>
          <w:sz w:val="20"/>
        </w:rPr>
        <w:t>se</w:t>
      </w:r>
      <w:r>
        <w:rPr>
          <w:spacing w:val="-7"/>
          <w:sz w:val="20"/>
        </w:rPr>
        <w:t> </w:t>
      </w:r>
      <w:r>
        <w:rPr>
          <w:sz w:val="20"/>
        </w:rPr>
        <w:t>identifiquen</w:t>
      </w:r>
      <w:r>
        <w:rPr>
          <w:spacing w:val="-8"/>
          <w:sz w:val="20"/>
        </w:rPr>
        <w:t> </w:t>
      </w:r>
      <w:r>
        <w:rPr>
          <w:sz w:val="20"/>
        </w:rPr>
        <w:t>dentro</w:t>
      </w:r>
      <w:r>
        <w:rPr>
          <w:spacing w:val="-6"/>
          <w:sz w:val="20"/>
        </w:rPr>
        <w:t> </w:t>
      </w:r>
      <w:r>
        <w:rPr>
          <w:sz w:val="20"/>
        </w:rPr>
        <w:t>del</w:t>
      </w:r>
      <w:r>
        <w:rPr>
          <w:spacing w:val="-8"/>
          <w:sz w:val="20"/>
        </w:rPr>
        <w:t> </w:t>
      </w:r>
      <w:r>
        <w:rPr>
          <w:sz w:val="20"/>
        </w:rPr>
        <w:t>presupuesto</w:t>
      </w:r>
      <w:r>
        <w:rPr>
          <w:spacing w:val="-6"/>
          <w:sz w:val="20"/>
        </w:rPr>
        <w:t> </w:t>
      </w:r>
      <w:r>
        <w:rPr>
          <w:sz w:val="20"/>
        </w:rPr>
        <w:t>con</w:t>
      </w:r>
      <w:r>
        <w:rPr>
          <w:spacing w:val="-8"/>
          <w:sz w:val="20"/>
        </w:rPr>
        <w:t> </w:t>
      </w:r>
      <w:r>
        <w:rPr>
          <w:sz w:val="20"/>
        </w:rPr>
        <w:t>el</w:t>
      </w:r>
      <w:r>
        <w:rPr>
          <w:spacing w:val="-7"/>
          <w:sz w:val="20"/>
        </w:rPr>
        <w:t> </w:t>
      </w:r>
      <w:r>
        <w:rPr>
          <w:sz w:val="20"/>
        </w:rPr>
        <w:t>objeto</w:t>
      </w:r>
      <w:r>
        <w:rPr>
          <w:spacing w:val="-9"/>
          <w:sz w:val="20"/>
        </w:rPr>
        <w:t> </w:t>
      </w:r>
      <w:r>
        <w:rPr>
          <w:sz w:val="20"/>
        </w:rPr>
        <w:t>de</w:t>
      </w:r>
      <w:r>
        <w:rPr>
          <w:spacing w:val="-6"/>
          <w:sz w:val="20"/>
        </w:rPr>
        <w:t> </w:t>
      </w:r>
      <w:r>
        <w:rPr>
          <w:sz w:val="20"/>
        </w:rPr>
        <w:t>viabilizar</w:t>
      </w:r>
      <w:r>
        <w:rPr>
          <w:spacing w:val="-6"/>
          <w:sz w:val="20"/>
        </w:rPr>
        <w:t> </w:t>
      </w:r>
      <w:r>
        <w:rPr>
          <w:sz w:val="20"/>
        </w:rPr>
        <w:t>la</w:t>
      </w:r>
      <w:r>
        <w:rPr>
          <w:spacing w:val="-8"/>
          <w:sz w:val="20"/>
        </w:rPr>
        <w:t> </w:t>
      </w:r>
      <w:r>
        <w:rPr>
          <w:sz w:val="20"/>
        </w:rPr>
        <w:t>readecuación presupuestaria por Q1,878.0 millones, con el objetivo de incrementar el presupuesto del Ministerio de Salud Pública y Asistencia Social. Adicionalmente, se faculto a que puedan realizarse reuniones semanales extraordinarias para someter a consideración del Comité de Programación de la Ejecución Presupuestaria (COPEP) los requerimientos de cuota financiera que permitan dar cumplimiento a las erogaciones</w:t>
      </w:r>
      <w:r>
        <w:rPr>
          <w:spacing w:val="-2"/>
          <w:sz w:val="20"/>
        </w:rPr>
        <w:t> </w:t>
      </w:r>
      <w:r>
        <w:rPr>
          <w:sz w:val="20"/>
        </w:rPr>
        <w:t>aprobadas.</w:t>
      </w:r>
    </w:p>
    <w:p>
      <w:pPr>
        <w:pStyle w:val="BodyText"/>
        <w:spacing w:before="1"/>
        <w:rPr>
          <w:sz w:val="15"/>
        </w:rPr>
      </w:pPr>
    </w:p>
    <w:p>
      <w:pPr>
        <w:spacing w:line="276" w:lineRule="auto" w:before="91"/>
        <w:ind w:left="845" w:right="2030" w:firstLine="0"/>
        <w:jc w:val="both"/>
        <w:rPr>
          <w:sz w:val="20"/>
        </w:rPr>
      </w:pPr>
      <w:r>
        <w:rPr>
          <w:sz w:val="20"/>
        </w:rPr>
        <w:t>Entre otras acciones relevantes aprobadas por el Decreto 11-2021 se encuentra la actualización de las disposiciones emitidas relacionadas a los aforos, cordones sanitarios, pruebas de diagnóstico con el fin de buscar la reducción de contagios, revisar medidas alternativas de trabajo presencial, programar y desarrollar</w:t>
      </w:r>
      <w:r>
        <w:rPr>
          <w:spacing w:val="-3"/>
          <w:sz w:val="20"/>
        </w:rPr>
        <w:t> </w:t>
      </w:r>
      <w:r>
        <w:rPr>
          <w:sz w:val="20"/>
        </w:rPr>
        <w:t>el</w:t>
      </w:r>
      <w:r>
        <w:rPr>
          <w:spacing w:val="-4"/>
          <w:sz w:val="20"/>
        </w:rPr>
        <w:t> </w:t>
      </w:r>
      <w:r>
        <w:rPr>
          <w:sz w:val="20"/>
        </w:rPr>
        <w:t>proceso</w:t>
      </w:r>
      <w:r>
        <w:rPr>
          <w:spacing w:val="-2"/>
          <w:sz w:val="20"/>
        </w:rPr>
        <w:t> </w:t>
      </w:r>
      <w:r>
        <w:rPr>
          <w:sz w:val="20"/>
        </w:rPr>
        <w:t>de</w:t>
      </w:r>
      <w:r>
        <w:rPr>
          <w:spacing w:val="-4"/>
          <w:sz w:val="20"/>
        </w:rPr>
        <w:t> </w:t>
      </w:r>
      <w:r>
        <w:rPr>
          <w:sz w:val="20"/>
        </w:rPr>
        <w:t>vacunación</w:t>
      </w:r>
      <w:r>
        <w:rPr>
          <w:spacing w:val="-3"/>
          <w:sz w:val="20"/>
        </w:rPr>
        <w:t> </w:t>
      </w:r>
      <w:r>
        <w:rPr>
          <w:sz w:val="20"/>
        </w:rPr>
        <w:t>en</w:t>
      </w:r>
      <w:r>
        <w:rPr>
          <w:spacing w:val="-2"/>
          <w:sz w:val="20"/>
        </w:rPr>
        <w:t> </w:t>
      </w:r>
      <w:r>
        <w:rPr>
          <w:sz w:val="20"/>
        </w:rPr>
        <w:t>menores</w:t>
      </w:r>
      <w:r>
        <w:rPr>
          <w:spacing w:val="-3"/>
          <w:sz w:val="20"/>
        </w:rPr>
        <w:t> </w:t>
      </w:r>
      <w:r>
        <w:rPr>
          <w:sz w:val="20"/>
        </w:rPr>
        <w:t>de</w:t>
      </w:r>
      <w:r>
        <w:rPr>
          <w:spacing w:val="-2"/>
          <w:sz w:val="20"/>
        </w:rPr>
        <w:t> </w:t>
      </w:r>
      <w:r>
        <w:rPr>
          <w:sz w:val="20"/>
        </w:rPr>
        <w:t>edad</w:t>
      </w:r>
      <w:r>
        <w:rPr>
          <w:spacing w:val="-2"/>
          <w:sz w:val="20"/>
        </w:rPr>
        <w:t> </w:t>
      </w:r>
      <w:r>
        <w:rPr>
          <w:sz w:val="20"/>
        </w:rPr>
        <w:t>comprendidos</w:t>
      </w:r>
      <w:r>
        <w:rPr>
          <w:spacing w:val="-3"/>
          <w:sz w:val="20"/>
        </w:rPr>
        <w:t> </w:t>
      </w:r>
      <w:r>
        <w:rPr>
          <w:sz w:val="20"/>
        </w:rPr>
        <w:t>entre</w:t>
      </w:r>
      <w:r>
        <w:rPr>
          <w:spacing w:val="-3"/>
          <w:sz w:val="20"/>
        </w:rPr>
        <w:t> </w:t>
      </w:r>
      <w:r>
        <w:rPr>
          <w:sz w:val="20"/>
        </w:rPr>
        <w:t>los</w:t>
      </w:r>
      <w:r>
        <w:rPr>
          <w:spacing w:val="-3"/>
          <w:sz w:val="20"/>
        </w:rPr>
        <w:t> </w:t>
      </w:r>
      <w:r>
        <w:rPr>
          <w:sz w:val="20"/>
        </w:rPr>
        <w:t>12</w:t>
      </w:r>
      <w:r>
        <w:rPr>
          <w:spacing w:val="-1"/>
          <w:sz w:val="20"/>
        </w:rPr>
        <w:t> </w:t>
      </w:r>
      <w:r>
        <w:rPr>
          <w:sz w:val="20"/>
        </w:rPr>
        <w:t>a</w:t>
      </w:r>
      <w:r>
        <w:rPr>
          <w:spacing w:val="-5"/>
          <w:sz w:val="20"/>
        </w:rPr>
        <w:t> </w:t>
      </w:r>
      <w:r>
        <w:rPr>
          <w:sz w:val="20"/>
        </w:rPr>
        <w:t>17</w:t>
      </w:r>
      <w:r>
        <w:rPr>
          <w:spacing w:val="-1"/>
          <w:sz w:val="20"/>
        </w:rPr>
        <w:t> </w:t>
      </w:r>
      <w:r>
        <w:rPr>
          <w:sz w:val="20"/>
        </w:rPr>
        <w:t>años,</w:t>
      </w:r>
      <w:r>
        <w:rPr>
          <w:spacing w:val="-3"/>
          <w:sz w:val="20"/>
        </w:rPr>
        <w:t> </w:t>
      </w:r>
      <w:r>
        <w:rPr>
          <w:sz w:val="20"/>
        </w:rPr>
        <w:t>facultar al MSPAS e IGSS a suscribir convenios de cooperación a título gratuito con farmacias y entidades afines para ampliar el sistema de vacunación, incrementar las becas estudiantiles a todo estudiante que presta sus servicios para atender la emergencia del COVID-19 (siendo equivalente al monto del</w:t>
      </w:r>
      <w:r>
        <w:rPr>
          <w:spacing w:val="-31"/>
          <w:sz w:val="20"/>
        </w:rPr>
        <w:t> </w:t>
      </w:r>
      <w:r>
        <w:rPr>
          <w:sz w:val="20"/>
        </w:rPr>
        <w:t>salario mínimo), permiso laboral a los trabajadores para que asistan a los centros de vacunación autorizados, entre</w:t>
      </w:r>
      <w:r>
        <w:rPr>
          <w:spacing w:val="-1"/>
          <w:sz w:val="20"/>
        </w:rPr>
        <w:t> </w:t>
      </w:r>
      <w:r>
        <w:rPr>
          <w:sz w:val="20"/>
        </w:rPr>
        <w:t>otros.</w:t>
      </w:r>
    </w:p>
    <w:p>
      <w:pPr>
        <w:pStyle w:val="BodyText"/>
        <w:spacing w:before="7"/>
      </w:pPr>
    </w:p>
    <w:p>
      <w:pPr>
        <w:pStyle w:val="Heading2"/>
        <w:numPr>
          <w:ilvl w:val="3"/>
          <w:numId w:val="18"/>
        </w:numPr>
        <w:tabs>
          <w:tab w:pos="2685" w:val="left" w:leader="none"/>
          <w:tab w:pos="2686" w:val="left" w:leader="none"/>
        </w:tabs>
        <w:spacing w:line="240" w:lineRule="auto" w:before="90" w:after="0"/>
        <w:ind w:left="2686" w:right="0" w:hanging="1044"/>
        <w:jc w:val="left"/>
      </w:pPr>
      <w:bookmarkStart w:name="_bookmark143" w:id="177"/>
      <w:bookmarkEnd w:id="177"/>
      <w:r>
        <w:rPr>
          <w:b w:val="0"/>
        </w:rPr>
      </w:r>
      <w:bookmarkStart w:name="_bookmark143" w:id="178"/>
      <w:bookmarkEnd w:id="178"/>
      <w:r>
        <w:rPr/>
        <w:t>E</w:t>
      </w:r>
      <w:r>
        <w:rPr/>
        <w:t>mergencia por ETA e</w:t>
      </w:r>
      <w:r>
        <w:rPr>
          <w:spacing w:val="-3"/>
        </w:rPr>
        <w:t> </w:t>
      </w:r>
      <w:r>
        <w:rPr/>
        <w:t>IOTA</w:t>
      </w:r>
    </w:p>
    <w:p>
      <w:pPr>
        <w:pStyle w:val="BodyText"/>
        <w:spacing w:before="10"/>
        <w:rPr>
          <w:b/>
          <w:sz w:val="30"/>
        </w:rPr>
      </w:pPr>
    </w:p>
    <w:p>
      <w:pPr>
        <w:pStyle w:val="BodyText"/>
        <w:spacing w:line="276" w:lineRule="auto"/>
        <w:ind w:left="562" w:right="1697"/>
        <w:jc w:val="both"/>
      </w:pPr>
      <w:r>
        <w:rPr/>
        <w:t>A finales de 2020, el país fue azotado por dos tormentas tropicales identificadas como ETA e</w:t>
      </w:r>
      <w:r>
        <w:rPr>
          <w:spacing w:val="-36"/>
        </w:rPr>
        <w:t> </w:t>
      </w:r>
      <w:r>
        <w:rPr/>
        <w:t>IOTA, a pesar que las trayectorias de ETA e IOTA no tocaron el territorio de Guatemala, en la zona de influencia acontecieron intensas tormentas y vientos que tuvieron efectos adversos en la población debido a las inundaciones, deslizamientos y flujos de lodo. El impacto económico ascendió a Q 5,597.0 millones, equivalente a 0.9% del PIB, de los cuales Q4,528.8 millones correspondieron a daños y pérdidas de privados y Q1,068.3 millones al sector</w:t>
      </w:r>
      <w:r>
        <w:rPr>
          <w:spacing w:val="-9"/>
        </w:rPr>
        <w:t> </w:t>
      </w:r>
      <w:r>
        <w:rPr/>
        <w:t>público.</w:t>
      </w:r>
    </w:p>
    <w:p>
      <w:pPr>
        <w:pStyle w:val="BodyText"/>
        <w:spacing w:before="3"/>
        <w:rPr>
          <w:sz w:val="25"/>
        </w:rPr>
      </w:pPr>
    </w:p>
    <w:p>
      <w:pPr>
        <w:pStyle w:val="BodyText"/>
        <w:spacing w:line="276" w:lineRule="auto"/>
        <w:ind w:left="562" w:right="1696"/>
        <w:jc w:val="both"/>
      </w:pPr>
      <w:r>
        <w:rPr/>
        <w:t>En respuesta, el Gobierno de Guatemala agrego un subprograma al programa 94 “Atención por desastres</w:t>
      </w:r>
      <w:r>
        <w:rPr>
          <w:spacing w:val="-12"/>
        </w:rPr>
        <w:t> </w:t>
      </w:r>
      <w:r>
        <w:rPr/>
        <w:t>naturales</w:t>
      </w:r>
      <w:r>
        <w:rPr>
          <w:spacing w:val="-13"/>
        </w:rPr>
        <w:t> </w:t>
      </w:r>
      <w:r>
        <w:rPr/>
        <w:t>y</w:t>
      </w:r>
      <w:r>
        <w:rPr>
          <w:spacing w:val="-15"/>
        </w:rPr>
        <w:t> </w:t>
      </w:r>
      <w:r>
        <w:rPr/>
        <w:t>Calamidades</w:t>
      </w:r>
      <w:r>
        <w:rPr>
          <w:spacing w:val="-11"/>
        </w:rPr>
        <w:t> </w:t>
      </w:r>
      <w:r>
        <w:rPr/>
        <w:t>Públicas”</w:t>
      </w:r>
      <w:r>
        <w:rPr>
          <w:spacing w:val="-12"/>
        </w:rPr>
        <w:t> </w:t>
      </w:r>
      <w:r>
        <w:rPr/>
        <w:t>siendo</w:t>
      </w:r>
      <w:r>
        <w:rPr>
          <w:spacing w:val="-12"/>
        </w:rPr>
        <w:t> </w:t>
      </w:r>
      <w:r>
        <w:rPr/>
        <w:t>el</w:t>
      </w:r>
      <w:r>
        <w:rPr>
          <w:spacing w:val="-11"/>
        </w:rPr>
        <w:t> </w:t>
      </w:r>
      <w:r>
        <w:rPr/>
        <w:t>subprograma</w:t>
      </w:r>
      <w:r>
        <w:rPr>
          <w:spacing w:val="-12"/>
        </w:rPr>
        <w:t> </w:t>
      </w:r>
      <w:r>
        <w:rPr/>
        <w:t>11</w:t>
      </w:r>
      <w:r>
        <w:rPr>
          <w:spacing w:val="-12"/>
        </w:rPr>
        <w:t> </w:t>
      </w:r>
      <w:r>
        <w:rPr/>
        <w:t>“Estado</w:t>
      </w:r>
      <w:r>
        <w:rPr>
          <w:spacing w:val="-13"/>
        </w:rPr>
        <w:t> </w:t>
      </w:r>
      <w:r>
        <w:rPr/>
        <w:t>de</w:t>
      </w:r>
      <w:r>
        <w:rPr>
          <w:spacing w:val="-11"/>
        </w:rPr>
        <w:t> </w:t>
      </w:r>
      <w:r>
        <w:rPr/>
        <w:t>Calamidad</w:t>
      </w:r>
      <w:r>
        <w:rPr>
          <w:spacing w:val="-13"/>
        </w:rPr>
        <w:t> </w:t>
      </w:r>
      <w:r>
        <w:rPr/>
        <w:t>Pública por Depresión Tropical ETA”, el cual lleva registro de las intervenciones realizadas para la atención de daños provocados por la depresión</w:t>
      </w:r>
      <w:r>
        <w:rPr>
          <w:spacing w:val="-5"/>
        </w:rPr>
        <w:t> </w:t>
      </w:r>
      <w:r>
        <w:rPr/>
        <w:t>tropical.</w:t>
      </w:r>
    </w:p>
    <w:p>
      <w:pPr>
        <w:spacing w:after="0" w:line="276" w:lineRule="auto"/>
        <w:jc w:val="both"/>
        <w:sectPr>
          <w:pgSz w:w="12240" w:h="15840"/>
          <w:pgMar w:header="715" w:footer="957" w:top="1240" w:bottom="1140" w:left="1140" w:right="0"/>
        </w:sectPr>
      </w:pPr>
    </w:p>
    <w:p>
      <w:pPr>
        <w:pStyle w:val="BodyText"/>
        <w:spacing w:line="276" w:lineRule="auto" w:before="162"/>
        <w:ind w:left="562" w:right="1694"/>
        <w:jc w:val="both"/>
      </w:pPr>
      <w:r>
        <w:rPr/>
        <w:t>En 2020 este subprograma registró una ejecución de Q86.7 millones, siendo la mayoría de intervenciones por parte del Ministerio de Comunicaciones, Infraestructura y Vivienda para la atención de los daños provocados, seguido del Ministerio de Desarrollo Social con dotación y raciones de alimentos y materiales de construcción y enseres. Otras intervenciones de menor cuantía estuvieron a cargo del Registro Nacional de las Personas (RENAP) con la reposición de</w:t>
      </w:r>
      <w:r>
        <w:rPr>
          <w:spacing w:val="-33"/>
        </w:rPr>
        <w:t> </w:t>
      </w:r>
      <w:r>
        <w:rPr/>
        <w:t>documentos de identificación y registro de las personas afectadas y en el Ministerio de Agricultura, Ganadería y Alimentación con insumos agropecuarios en apoyo a la recuperación de la producción</w:t>
      </w:r>
      <w:r>
        <w:rPr>
          <w:spacing w:val="-16"/>
        </w:rPr>
        <w:t> </w:t>
      </w:r>
      <w:r>
        <w:rPr/>
        <w:t>agrícola.</w:t>
      </w:r>
    </w:p>
    <w:p>
      <w:pPr>
        <w:pStyle w:val="BodyText"/>
        <w:spacing w:before="4"/>
        <w:rPr>
          <w:sz w:val="25"/>
        </w:rPr>
      </w:pPr>
    </w:p>
    <w:p>
      <w:pPr>
        <w:pStyle w:val="BodyText"/>
        <w:spacing w:line="276" w:lineRule="auto"/>
        <w:ind w:left="562" w:right="1699"/>
        <w:jc w:val="both"/>
      </w:pPr>
      <w:r>
        <w:rPr/>
        <w:t>Para 2021, la asignación del presupuesto fue de Q572.5 millones, para la atención de la emergencia, con una ejecución de Q521.6 millones al final del ejercicio, siendo equivalente a un grado de ejecución de 91.1%. En el Ministerio de Comunicaciones, Infraestructura y Vivienda se reporta la mayor ejecución con Q518.1 millones, que corresponde al mantenimiento y reparación de carreteras y caminos que fueron dañados por las tormentas tropicales, y en menor medida al subsidio para la construcción de viviendas otorgado a familias afectadas. En lo que respecta al Ministerio de Cultura y Deportes reporta intervenciones por Q1.8 millones para la atención de los daños provocados. Por último, el Ministerio de Desarrollo Social, reporta una ejecución de Q1.7 millones, el cual corresponde a raciones de alimentos y al mantenimiento y reparación de bienes.</w:t>
      </w:r>
    </w:p>
    <w:p>
      <w:pPr>
        <w:pStyle w:val="BodyText"/>
        <w:spacing w:before="2"/>
        <w:rPr>
          <w:sz w:val="28"/>
        </w:rPr>
      </w:pPr>
    </w:p>
    <w:p>
      <w:pPr>
        <w:spacing w:before="1"/>
        <w:ind w:left="1395" w:right="2542" w:firstLine="0"/>
        <w:jc w:val="center"/>
        <w:rPr>
          <w:b/>
          <w:sz w:val="20"/>
        </w:rPr>
      </w:pPr>
      <w:bookmarkStart w:name="_bookmark144" w:id="179"/>
      <w:bookmarkEnd w:id="179"/>
      <w:r>
        <w:rPr/>
      </w:r>
      <w:r>
        <w:rPr>
          <w:b/>
          <w:i/>
          <w:sz w:val="20"/>
        </w:rPr>
        <w:t>Tabla 9. </w:t>
      </w:r>
      <w:r>
        <w:rPr>
          <w:b/>
          <w:sz w:val="20"/>
        </w:rPr>
        <w:t>Seguimiento de Programas en atención a la Depresión Tropical ETA</w:t>
      </w:r>
    </w:p>
    <w:p>
      <w:pPr>
        <w:spacing w:before="29" w:after="38"/>
        <w:ind w:left="1395" w:right="2535" w:firstLine="0"/>
        <w:jc w:val="center"/>
        <w:rPr>
          <w:sz w:val="20"/>
        </w:rPr>
      </w:pPr>
      <w:r>
        <w:rPr>
          <w:sz w:val="20"/>
        </w:rPr>
        <w:t>Millones de quetzales y porcentajes</w:t>
      </w:r>
    </w:p>
    <w:tbl>
      <w:tblPr>
        <w:tblW w:w="0" w:type="auto"/>
        <w:jc w:val="left"/>
        <w:tblInd w:w="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669"/>
        <w:gridCol w:w="1419"/>
        <w:gridCol w:w="1135"/>
        <w:gridCol w:w="1416"/>
      </w:tblGrid>
      <w:tr>
        <w:trPr>
          <w:trHeight w:val="260" w:hRule="atLeast"/>
        </w:trPr>
        <w:tc>
          <w:tcPr>
            <w:tcW w:w="4669" w:type="dxa"/>
            <w:vMerge w:val="restart"/>
            <w:shd w:val="clear" w:color="auto" w:fill="808080"/>
          </w:tcPr>
          <w:p>
            <w:pPr>
              <w:pStyle w:val="TableParagraph"/>
              <w:rPr>
                <w:sz w:val="24"/>
              </w:rPr>
            </w:pPr>
          </w:p>
          <w:p>
            <w:pPr>
              <w:pStyle w:val="TableParagraph"/>
              <w:ind w:left="1814" w:right="1794"/>
              <w:jc w:val="center"/>
              <w:rPr>
                <w:b/>
                <w:sz w:val="20"/>
              </w:rPr>
            </w:pPr>
            <w:r>
              <w:rPr>
                <w:b/>
                <w:sz w:val="20"/>
              </w:rPr>
              <w:t>Actividades</w:t>
            </w:r>
          </w:p>
        </w:tc>
        <w:tc>
          <w:tcPr>
            <w:tcW w:w="2554" w:type="dxa"/>
            <w:gridSpan w:val="2"/>
            <w:tcBorders>
              <w:bottom w:val="single" w:sz="4" w:space="0" w:color="000000"/>
              <w:right w:val="single" w:sz="4" w:space="0" w:color="000000"/>
            </w:tcBorders>
            <w:shd w:val="clear" w:color="auto" w:fill="808080"/>
          </w:tcPr>
          <w:p>
            <w:pPr>
              <w:pStyle w:val="TableParagraph"/>
              <w:spacing w:before="2"/>
              <w:ind w:left="1058" w:right="1040"/>
              <w:jc w:val="center"/>
              <w:rPr>
                <w:b/>
                <w:sz w:val="20"/>
              </w:rPr>
            </w:pPr>
            <w:r>
              <w:rPr>
                <w:b/>
                <w:sz w:val="20"/>
              </w:rPr>
              <w:t>2021</w:t>
            </w:r>
          </w:p>
        </w:tc>
        <w:tc>
          <w:tcPr>
            <w:tcW w:w="1416" w:type="dxa"/>
            <w:vMerge w:val="restart"/>
            <w:tcBorders>
              <w:left w:val="single" w:sz="4" w:space="0" w:color="000000"/>
            </w:tcBorders>
            <w:shd w:val="clear" w:color="auto" w:fill="808080"/>
          </w:tcPr>
          <w:p>
            <w:pPr>
              <w:pStyle w:val="TableParagraph"/>
              <w:spacing w:line="276" w:lineRule="auto" w:before="144"/>
              <w:ind w:left="290" w:firstLine="196"/>
              <w:rPr>
                <w:b/>
                <w:sz w:val="20"/>
              </w:rPr>
            </w:pPr>
            <w:r>
              <w:rPr>
                <w:b/>
                <w:sz w:val="20"/>
              </w:rPr>
              <w:t>% de </w:t>
            </w:r>
            <w:r>
              <w:rPr>
                <w:b/>
                <w:w w:val="95"/>
                <w:sz w:val="20"/>
              </w:rPr>
              <w:t>Ejecución</w:t>
            </w:r>
          </w:p>
        </w:tc>
      </w:tr>
      <w:tr>
        <w:trPr>
          <w:trHeight w:val="531" w:hRule="atLeast"/>
        </w:trPr>
        <w:tc>
          <w:tcPr>
            <w:tcW w:w="4669" w:type="dxa"/>
            <w:vMerge/>
            <w:tcBorders>
              <w:top w:val="nil"/>
            </w:tcBorders>
            <w:shd w:val="clear" w:color="auto" w:fill="808080"/>
          </w:tcPr>
          <w:p>
            <w:pPr>
              <w:rPr>
                <w:sz w:val="2"/>
                <w:szCs w:val="2"/>
              </w:rPr>
            </w:pPr>
          </w:p>
        </w:tc>
        <w:tc>
          <w:tcPr>
            <w:tcW w:w="1419" w:type="dxa"/>
            <w:tcBorders>
              <w:top w:val="single" w:sz="4" w:space="0" w:color="000000"/>
              <w:right w:val="single" w:sz="4" w:space="0" w:color="000000"/>
            </w:tcBorders>
            <w:shd w:val="clear" w:color="auto" w:fill="808080"/>
          </w:tcPr>
          <w:p>
            <w:pPr>
              <w:pStyle w:val="TableParagraph"/>
              <w:spacing w:before="5"/>
              <w:ind w:left="165" w:right="154"/>
              <w:jc w:val="center"/>
              <w:rPr>
                <w:b/>
                <w:sz w:val="20"/>
              </w:rPr>
            </w:pPr>
            <w:r>
              <w:rPr>
                <w:b/>
                <w:sz w:val="20"/>
              </w:rPr>
              <w:t>Presupuesto</w:t>
            </w:r>
          </w:p>
          <w:p>
            <w:pPr>
              <w:pStyle w:val="TableParagraph"/>
              <w:spacing w:before="34"/>
              <w:ind w:left="165" w:right="153"/>
              <w:jc w:val="center"/>
              <w:rPr>
                <w:b/>
                <w:sz w:val="20"/>
              </w:rPr>
            </w:pPr>
            <w:r>
              <w:rPr>
                <w:b/>
                <w:sz w:val="20"/>
              </w:rPr>
              <w:t>Vigente</w:t>
            </w:r>
          </w:p>
        </w:tc>
        <w:tc>
          <w:tcPr>
            <w:tcW w:w="1135" w:type="dxa"/>
            <w:tcBorders>
              <w:top w:val="single" w:sz="4" w:space="0" w:color="000000"/>
              <w:left w:val="single" w:sz="4" w:space="0" w:color="000000"/>
              <w:right w:val="single" w:sz="4" w:space="0" w:color="000000"/>
            </w:tcBorders>
            <w:shd w:val="clear" w:color="auto" w:fill="808080"/>
          </w:tcPr>
          <w:p>
            <w:pPr>
              <w:pStyle w:val="TableParagraph"/>
              <w:spacing w:before="137"/>
              <w:ind w:left="128" w:right="111"/>
              <w:jc w:val="center"/>
              <w:rPr>
                <w:b/>
                <w:sz w:val="20"/>
              </w:rPr>
            </w:pPr>
            <w:r>
              <w:rPr>
                <w:b/>
                <w:sz w:val="20"/>
              </w:rPr>
              <w:t>Ejecución</w:t>
            </w:r>
          </w:p>
        </w:tc>
        <w:tc>
          <w:tcPr>
            <w:tcW w:w="1416" w:type="dxa"/>
            <w:vMerge/>
            <w:tcBorders>
              <w:top w:val="nil"/>
              <w:left w:val="single" w:sz="4" w:space="0" w:color="000000"/>
            </w:tcBorders>
            <w:shd w:val="clear" w:color="auto" w:fill="808080"/>
          </w:tcPr>
          <w:p>
            <w:pPr>
              <w:rPr>
                <w:sz w:val="2"/>
                <w:szCs w:val="2"/>
              </w:rPr>
            </w:pPr>
          </w:p>
        </w:tc>
      </w:tr>
      <w:tr>
        <w:trPr>
          <w:trHeight w:val="265" w:hRule="atLeast"/>
        </w:trPr>
        <w:tc>
          <w:tcPr>
            <w:tcW w:w="4669" w:type="dxa"/>
            <w:tcBorders>
              <w:bottom w:val="nil"/>
            </w:tcBorders>
          </w:tcPr>
          <w:p>
            <w:pPr>
              <w:pStyle w:val="TableParagraph"/>
              <w:spacing w:before="2"/>
              <w:ind w:left="1813" w:right="1794"/>
              <w:jc w:val="center"/>
              <w:rPr>
                <w:b/>
                <w:sz w:val="20"/>
              </w:rPr>
            </w:pPr>
            <w:r>
              <w:rPr>
                <w:b/>
                <w:sz w:val="20"/>
              </w:rPr>
              <w:t>Total</w:t>
            </w:r>
          </w:p>
        </w:tc>
        <w:tc>
          <w:tcPr>
            <w:tcW w:w="1419" w:type="dxa"/>
            <w:tcBorders>
              <w:bottom w:val="nil"/>
              <w:right w:val="single" w:sz="4" w:space="0" w:color="000000"/>
            </w:tcBorders>
          </w:tcPr>
          <w:p>
            <w:pPr>
              <w:pStyle w:val="TableParagraph"/>
              <w:spacing w:before="2"/>
              <w:ind w:left="165" w:right="149"/>
              <w:jc w:val="center"/>
              <w:rPr>
                <w:b/>
                <w:sz w:val="20"/>
              </w:rPr>
            </w:pPr>
            <w:r>
              <w:rPr>
                <w:b/>
                <w:sz w:val="20"/>
              </w:rPr>
              <w:t>572.5</w:t>
            </w:r>
          </w:p>
        </w:tc>
        <w:tc>
          <w:tcPr>
            <w:tcW w:w="1135" w:type="dxa"/>
            <w:tcBorders>
              <w:left w:val="single" w:sz="4" w:space="0" w:color="000000"/>
              <w:bottom w:val="nil"/>
              <w:right w:val="single" w:sz="4" w:space="0" w:color="000000"/>
            </w:tcBorders>
          </w:tcPr>
          <w:p>
            <w:pPr>
              <w:pStyle w:val="TableParagraph"/>
              <w:spacing w:before="2"/>
              <w:ind w:left="128" w:right="108"/>
              <w:jc w:val="center"/>
              <w:rPr>
                <w:b/>
                <w:sz w:val="20"/>
              </w:rPr>
            </w:pPr>
            <w:r>
              <w:rPr>
                <w:b/>
                <w:sz w:val="20"/>
              </w:rPr>
              <w:t>521.6</w:t>
            </w:r>
          </w:p>
        </w:tc>
        <w:tc>
          <w:tcPr>
            <w:tcW w:w="1416" w:type="dxa"/>
            <w:tcBorders>
              <w:left w:val="single" w:sz="4" w:space="0" w:color="000000"/>
              <w:bottom w:val="nil"/>
            </w:tcBorders>
          </w:tcPr>
          <w:p>
            <w:pPr>
              <w:pStyle w:val="TableParagraph"/>
              <w:spacing w:before="2"/>
              <w:ind w:left="467" w:right="442"/>
              <w:jc w:val="center"/>
              <w:rPr>
                <w:b/>
                <w:sz w:val="20"/>
              </w:rPr>
            </w:pPr>
            <w:r>
              <w:rPr>
                <w:b/>
                <w:sz w:val="20"/>
              </w:rPr>
              <w:t>91.1</w:t>
            </w:r>
          </w:p>
        </w:tc>
      </w:tr>
      <w:tr>
        <w:trPr>
          <w:trHeight w:val="528" w:hRule="atLeast"/>
        </w:trPr>
        <w:tc>
          <w:tcPr>
            <w:tcW w:w="4669" w:type="dxa"/>
            <w:tcBorders>
              <w:top w:val="nil"/>
              <w:bottom w:val="nil"/>
            </w:tcBorders>
            <w:shd w:val="clear" w:color="auto" w:fill="DBDBDB"/>
          </w:tcPr>
          <w:p>
            <w:pPr>
              <w:pStyle w:val="TableParagraph"/>
              <w:ind w:left="71"/>
              <w:rPr>
                <w:b/>
                <w:sz w:val="20"/>
              </w:rPr>
            </w:pPr>
            <w:r>
              <w:rPr>
                <w:b/>
                <w:sz w:val="20"/>
              </w:rPr>
              <w:t>Ministerio de Comunicaciones, Infraestructura y</w:t>
            </w:r>
          </w:p>
          <w:p>
            <w:pPr>
              <w:pStyle w:val="TableParagraph"/>
              <w:spacing w:before="35"/>
              <w:ind w:left="71"/>
              <w:rPr>
                <w:b/>
                <w:sz w:val="20"/>
              </w:rPr>
            </w:pPr>
            <w:r>
              <w:rPr>
                <w:b/>
                <w:sz w:val="20"/>
              </w:rPr>
              <w:t>Vivienda</w:t>
            </w:r>
          </w:p>
        </w:tc>
        <w:tc>
          <w:tcPr>
            <w:tcW w:w="1419" w:type="dxa"/>
            <w:tcBorders>
              <w:top w:val="nil"/>
              <w:bottom w:val="nil"/>
              <w:right w:val="single" w:sz="4" w:space="0" w:color="000000"/>
            </w:tcBorders>
            <w:shd w:val="clear" w:color="auto" w:fill="DBDBDB"/>
          </w:tcPr>
          <w:p>
            <w:pPr>
              <w:pStyle w:val="TableParagraph"/>
              <w:spacing w:before="132"/>
              <w:ind w:left="165" w:right="149"/>
              <w:jc w:val="center"/>
              <w:rPr>
                <w:b/>
                <w:sz w:val="20"/>
              </w:rPr>
            </w:pPr>
            <w:r>
              <w:rPr>
                <w:b/>
                <w:sz w:val="20"/>
              </w:rPr>
              <w:t>569.0</w:t>
            </w:r>
          </w:p>
        </w:tc>
        <w:tc>
          <w:tcPr>
            <w:tcW w:w="1135" w:type="dxa"/>
            <w:tcBorders>
              <w:top w:val="nil"/>
              <w:left w:val="single" w:sz="4" w:space="0" w:color="000000"/>
              <w:bottom w:val="nil"/>
              <w:right w:val="single" w:sz="4" w:space="0" w:color="000000"/>
            </w:tcBorders>
            <w:shd w:val="clear" w:color="auto" w:fill="DBDBDB"/>
          </w:tcPr>
          <w:p>
            <w:pPr>
              <w:pStyle w:val="TableParagraph"/>
              <w:spacing w:before="132"/>
              <w:ind w:left="128" w:right="108"/>
              <w:jc w:val="center"/>
              <w:rPr>
                <w:b/>
                <w:sz w:val="20"/>
              </w:rPr>
            </w:pPr>
            <w:r>
              <w:rPr>
                <w:b/>
                <w:sz w:val="20"/>
              </w:rPr>
              <w:t>518.1</w:t>
            </w:r>
          </w:p>
        </w:tc>
        <w:tc>
          <w:tcPr>
            <w:tcW w:w="1416" w:type="dxa"/>
            <w:tcBorders>
              <w:top w:val="nil"/>
              <w:left w:val="single" w:sz="4" w:space="0" w:color="000000"/>
              <w:bottom w:val="nil"/>
            </w:tcBorders>
            <w:shd w:val="clear" w:color="auto" w:fill="DBDBDB"/>
          </w:tcPr>
          <w:p>
            <w:pPr>
              <w:pStyle w:val="TableParagraph"/>
              <w:spacing w:before="132"/>
              <w:ind w:left="467" w:right="442"/>
              <w:jc w:val="center"/>
              <w:rPr>
                <w:b/>
                <w:sz w:val="20"/>
              </w:rPr>
            </w:pPr>
            <w:r>
              <w:rPr>
                <w:b/>
                <w:sz w:val="20"/>
              </w:rPr>
              <w:t>91.1</w:t>
            </w:r>
          </w:p>
        </w:tc>
      </w:tr>
      <w:tr>
        <w:trPr>
          <w:trHeight w:val="1588" w:hRule="atLeast"/>
        </w:trPr>
        <w:tc>
          <w:tcPr>
            <w:tcW w:w="4669" w:type="dxa"/>
            <w:tcBorders>
              <w:top w:val="nil"/>
              <w:bottom w:val="nil"/>
            </w:tcBorders>
          </w:tcPr>
          <w:p>
            <w:pPr>
              <w:pStyle w:val="TableParagraph"/>
              <w:spacing w:line="276" w:lineRule="auto"/>
              <w:ind w:left="270" w:right="48" w:firstLine="9"/>
              <w:jc w:val="both"/>
              <w:rPr>
                <w:sz w:val="20"/>
              </w:rPr>
            </w:pPr>
            <w:r>
              <w:rPr>
                <w:sz w:val="20"/>
              </w:rPr>
              <w:t>Intervenciones realizadas para la atención de daños provocados por Depresión Tropical ETA (Mantenimiento y reparación de  bienes  nacionales de uso común)</w:t>
            </w:r>
          </w:p>
          <w:p>
            <w:pPr>
              <w:pStyle w:val="TableParagraph"/>
              <w:ind w:left="280"/>
              <w:jc w:val="both"/>
              <w:rPr>
                <w:sz w:val="20"/>
              </w:rPr>
            </w:pPr>
            <w:r>
              <w:rPr>
                <w:sz w:val="20"/>
              </w:rPr>
              <w:t>Familias beneficiadas con subsidio para</w:t>
            </w:r>
          </w:p>
          <w:p>
            <w:pPr>
              <w:pStyle w:val="TableParagraph"/>
              <w:spacing w:before="30"/>
              <w:ind w:left="270"/>
              <w:jc w:val="both"/>
              <w:rPr>
                <w:sz w:val="20"/>
              </w:rPr>
            </w:pPr>
            <w:r>
              <w:rPr>
                <w:sz w:val="20"/>
              </w:rPr>
              <w:t>construcción de vivienda por atención de daños</w:t>
            </w:r>
          </w:p>
        </w:tc>
        <w:tc>
          <w:tcPr>
            <w:tcW w:w="1419" w:type="dxa"/>
            <w:tcBorders>
              <w:top w:val="nil"/>
              <w:bottom w:val="nil"/>
              <w:right w:val="single" w:sz="4" w:space="0" w:color="000000"/>
            </w:tcBorders>
          </w:tcPr>
          <w:p>
            <w:pPr>
              <w:pStyle w:val="TableParagraph"/>
              <w:rPr>
                <w:sz w:val="22"/>
              </w:rPr>
            </w:pPr>
          </w:p>
          <w:p>
            <w:pPr>
              <w:pStyle w:val="TableParagraph"/>
              <w:spacing w:before="141"/>
              <w:ind w:left="165" w:right="149"/>
              <w:jc w:val="center"/>
              <w:rPr>
                <w:sz w:val="20"/>
              </w:rPr>
            </w:pPr>
            <w:r>
              <w:rPr>
                <w:sz w:val="20"/>
              </w:rPr>
              <w:t>543.2</w:t>
            </w:r>
          </w:p>
          <w:p>
            <w:pPr>
              <w:pStyle w:val="TableParagraph"/>
              <w:rPr>
                <w:sz w:val="22"/>
              </w:rPr>
            </w:pPr>
          </w:p>
          <w:p>
            <w:pPr>
              <w:pStyle w:val="TableParagraph"/>
              <w:spacing w:before="10"/>
              <w:rPr>
                <w:sz w:val="26"/>
              </w:rPr>
            </w:pPr>
          </w:p>
          <w:p>
            <w:pPr>
              <w:pStyle w:val="TableParagraph"/>
              <w:ind w:left="165" w:right="149"/>
              <w:jc w:val="center"/>
              <w:rPr>
                <w:sz w:val="20"/>
              </w:rPr>
            </w:pPr>
            <w:r>
              <w:rPr>
                <w:sz w:val="20"/>
              </w:rPr>
              <w:t>25.8</w:t>
            </w:r>
          </w:p>
        </w:tc>
        <w:tc>
          <w:tcPr>
            <w:tcW w:w="1135" w:type="dxa"/>
            <w:tcBorders>
              <w:top w:val="nil"/>
              <w:left w:val="single" w:sz="4" w:space="0" w:color="000000"/>
              <w:bottom w:val="nil"/>
              <w:right w:val="single" w:sz="4" w:space="0" w:color="000000"/>
            </w:tcBorders>
          </w:tcPr>
          <w:p>
            <w:pPr>
              <w:pStyle w:val="TableParagraph"/>
              <w:rPr>
                <w:sz w:val="22"/>
              </w:rPr>
            </w:pPr>
          </w:p>
          <w:p>
            <w:pPr>
              <w:pStyle w:val="TableParagraph"/>
              <w:spacing w:before="141"/>
              <w:ind w:left="128" w:right="108"/>
              <w:jc w:val="center"/>
              <w:rPr>
                <w:sz w:val="20"/>
              </w:rPr>
            </w:pPr>
            <w:r>
              <w:rPr>
                <w:sz w:val="20"/>
              </w:rPr>
              <w:t>516.0</w:t>
            </w:r>
          </w:p>
          <w:p>
            <w:pPr>
              <w:pStyle w:val="TableParagraph"/>
              <w:rPr>
                <w:sz w:val="22"/>
              </w:rPr>
            </w:pPr>
          </w:p>
          <w:p>
            <w:pPr>
              <w:pStyle w:val="TableParagraph"/>
              <w:spacing w:before="10"/>
              <w:rPr>
                <w:sz w:val="26"/>
              </w:rPr>
            </w:pPr>
          </w:p>
          <w:p>
            <w:pPr>
              <w:pStyle w:val="TableParagraph"/>
              <w:ind w:left="128" w:right="107"/>
              <w:jc w:val="center"/>
              <w:rPr>
                <w:sz w:val="20"/>
              </w:rPr>
            </w:pPr>
            <w:r>
              <w:rPr>
                <w:sz w:val="20"/>
              </w:rPr>
              <w:t>2.1</w:t>
            </w:r>
          </w:p>
        </w:tc>
        <w:tc>
          <w:tcPr>
            <w:tcW w:w="1416" w:type="dxa"/>
            <w:tcBorders>
              <w:top w:val="nil"/>
              <w:left w:val="single" w:sz="4" w:space="0" w:color="000000"/>
              <w:bottom w:val="nil"/>
            </w:tcBorders>
          </w:tcPr>
          <w:p>
            <w:pPr>
              <w:pStyle w:val="TableParagraph"/>
              <w:rPr>
                <w:sz w:val="22"/>
              </w:rPr>
            </w:pPr>
          </w:p>
          <w:p>
            <w:pPr>
              <w:pStyle w:val="TableParagraph"/>
              <w:spacing w:before="141"/>
              <w:ind w:left="467" w:right="442"/>
              <w:jc w:val="center"/>
              <w:rPr>
                <w:sz w:val="20"/>
              </w:rPr>
            </w:pPr>
            <w:r>
              <w:rPr>
                <w:sz w:val="20"/>
              </w:rPr>
              <w:t>95.0</w:t>
            </w:r>
          </w:p>
          <w:p>
            <w:pPr>
              <w:pStyle w:val="TableParagraph"/>
              <w:rPr>
                <w:sz w:val="22"/>
              </w:rPr>
            </w:pPr>
          </w:p>
          <w:p>
            <w:pPr>
              <w:pStyle w:val="TableParagraph"/>
              <w:spacing w:before="10"/>
              <w:rPr>
                <w:sz w:val="26"/>
              </w:rPr>
            </w:pPr>
          </w:p>
          <w:p>
            <w:pPr>
              <w:pStyle w:val="TableParagraph"/>
              <w:ind w:left="467" w:right="442"/>
              <w:jc w:val="center"/>
              <w:rPr>
                <w:sz w:val="20"/>
              </w:rPr>
            </w:pPr>
            <w:r>
              <w:rPr>
                <w:sz w:val="20"/>
              </w:rPr>
              <w:t>8.1</w:t>
            </w:r>
          </w:p>
        </w:tc>
      </w:tr>
      <w:tr>
        <w:trPr>
          <w:trHeight w:val="264" w:hRule="atLeast"/>
        </w:trPr>
        <w:tc>
          <w:tcPr>
            <w:tcW w:w="4669" w:type="dxa"/>
            <w:tcBorders>
              <w:top w:val="nil"/>
              <w:bottom w:val="nil"/>
            </w:tcBorders>
            <w:shd w:val="clear" w:color="auto" w:fill="DBDBDB"/>
          </w:tcPr>
          <w:p>
            <w:pPr>
              <w:pStyle w:val="TableParagraph"/>
              <w:ind w:left="71"/>
              <w:rPr>
                <w:b/>
                <w:sz w:val="20"/>
              </w:rPr>
            </w:pPr>
            <w:r>
              <w:rPr>
                <w:b/>
                <w:sz w:val="20"/>
              </w:rPr>
              <w:t>Ministerio de Cultura y Deportes</w:t>
            </w:r>
          </w:p>
        </w:tc>
        <w:tc>
          <w:tcPr>
            <w:tcW w:w="1419" w:type="dxa"/>
            <w:tcBorders>
              <w:top w:val="nil"/>
              <w:bottom w:val="nil"/>
              <w:right w:val="single" w:sz="4" w:space="0" w:color="000000"/>
            </w:tcBorders>
            <w:shd w:val="clear" w:color="auto" w:fill="DBDBDB"/>
          </w:tcPr>
          <w:p>
            <w:pPr>
              <w:pStyle w:val="TableParagraph"/>
              <w:ind w:left="165" w:right="149"/>
              <w:jc w:val="center"/>
              <w:rPr>
                <w:b/>
                <w:sz w:val="20"/>
              </w:rPr>
            </w:pPr>
            <w:r>
              <w:rPr>
                <w:b/>
                <w:sz w:val="20"/>
              </w:rPr>
              <w:t>1.8</w:t>
            </w:r>
          </w:p>
        </w:tc>
        <w:tc>
          <w:tcPr>
            <w:tcW w:w="1135" w:type="dxa"/>
            <w:tcBorders>
              <w:top w:val="nil"/>
              <w:left w:val="single" w:sz="4" w:space="0" w:color="000000"/>
              <w:bottom w:val="nil"/>
              <w:right w:val="single" w:sz="4" w:space="0" w:color="000000"/>
            </w:tcBorders>
            <w:shd w:val="clear" w:color="auto" w:fill="DBDBDB"/>
          </w:tcPr>
          <w:p>
            <w:pPr>
              <w:pStyle w:val="TableParagraph"/>
              <w:ind w:left="128" w:right="107"/>
              <w:jc w:val="center"/>
              <w:rPr>
                <w:b/>
                <w:sz w:val="20"/>
              </w:rPr>
            </w:pPr>
            <w:r>
              <w:rPr>
                <w:b/>
                <w:sz w:val="20"/>
              </w:rPr>
              <w:t>1.8</w:t>
            </w:r>
          </w:p>
        </w:tc>
        <w:tc>
          <w:tcPr>
            <w:tcW w:w="1416" w:type="dxa"/>
            <w:tcBorders>
              <w:top w:val="nil"/>
              <w:left w:val="single" w:sz="4" w:space="0" w:color="000000"/>
              <w:bottom w:val="nil"/>
            </w:tcBorders>
            <w:shd w:val="clear" w:color="auto" w:fill="DBDBDB"/>
          </w:tcPr>
          <w:p>
            <w:pPr>
              <w:pStyle w:val="TableParagraph"/>
              <w:ind w:left="467" w:right="443"/>
              <w:jc w:val="center"/>
              <w:rPr>
                <w:b/>
                <w:sz w:val="20"/>
              </w:rPr>
            </w:pPr>
            <w:r>
              <w:rPr>
                <w:b/>
                <w:sz w:val="20"/>
              </w:rPr>
              <w:t>100.0</w:t>
            </w:r>
          </w:p>
        </w:tc>
      </w:tr>
      <w:tr>
        <w:trPr>
          <w:trHeight w:val="528" w:hRule="atLeast"/>
        </w:trPr>
        <w:tc>
          <w:tcPr>
            <w:tcW w:w="4669" w:type="dxa"/>
            <w:tcBorders>
              <w:top w:val="nil"/>
              <w:bottom w:val="nil"/>
            </w:tcBorders>
          </w:tcPr>
          <w:p>
            <w:pPr>
              <w:pStyle w:val="TableParagraph"/>
              <w:spacing w:line="226" w:lineRule="exact"/>
              <w:ind w:left="280"/>
              <w:rPr>
                <w:sz w:val="20"/>
              </w:rPr>
            </w:pPr>
            <w:r>
              <w:rPr>
                <w:sz w:val="20"/>
              </w:rPr>
              <w:t>Intervenciones realizadas para la atención de daños</w:t>
            </w:r>
          </w:p>
          <w:p>
            <w:pPr>
              <w:pStyle w:val="TableParagraph"/>
              <w:spacing w:before="34"/>
              <w:ind w:left="270"/>
              <w:rPr>
                <w:sz w:val="20"/>
              </w:rPr>
            </w:pPr>
            <w:r>
              <w:rPr>
                <w:sz w:val="20"/>
              </w:rPr>
              <w:t>provocados por Depresión Tropical ETA</w:t>
            </w:r>
          </w:p>
        </w:tc>
        <w:tc>
          <w:tcPr>
            <w:tcW w:w="1419" w:type="dxa"/>
            <w:tcBorders>
              <w:top w:val="nil"/>
              <w:bottom w:val="nil"/>
              <w:right w:val="single" w:sz="4" w:space="0" w:color="000000"/>
            </w:tcBorders>
          </w:tcPr>
          <w:p>
            <w:pPr>
              <w:pStyle w:val="TableParagraph"/>
              <w:spacing w:before="127"/>
              <w:ind w:left="165" w:right="149"/>
              <w:jc w:val="center"/>
              <w:rPr>
                <w:sz w:val="20"/>
              </w:rPr>
            </w:pPr>
            <w:r>
              <w:rPr>
                <w:sz w:val="20"/>
              </w:rPr>
              <w:t>1.8</w:t>
            </w:r>
          </w:p>
        </w:tc>
        <w:tc>
          <w:tcPr>
            <w:tcW w:w="1135" w:type="dxa"/>
            <w:tcBorders>
              <w:top w:val="nil"/>
              <w:left w:val="single" w:sz="4" w:space="0" w:color="000000"/>
              <w:bottom w:val="nil"/>
              <w:right w:val="single" w:sz="4" w:space="0" w:color="000000"/>
            </w:tcBorders>
          </w:tcPr>
          <w:p>
            <w:pPr>
              <w:pStyle w:val="TableParagraph"/>
              <w:spacing w:before="127"/>
              <w:ind w:left="128" w:right="107"/>
              <w:jc w:val="center"/>
              <w:rPr>
                <w:sz w:val="20"/>
              </w:rPr>
            </w:pPr>
            <w:r>
              <w:rPr>
                <w:sz w:val="20"/>
              </w:rPr>
              <w:t>1.8</w:t>
            </w:r>
          </w:p>
        </w:tc>
        <w:tc>
          <w:tcPr>
            <w:tcW w:w="1416" w:type="dxa"/>
            <w:tcBorders>
              <w:top w:val="nil"/>
              <w:left w:val="single" w:sz="4" w:space="0" w:color="000000"/>
              <w:bottom w:val="nil"/>
            </w:tcBorders>
          </w:tcPr>
          <w:p>
            <w:pPr>
              <w:pStyle w:val="TableParagraph"/>
              <w:spacing w:before="127"/>
              <w:ind w:left="467" w:right="443"/>
              <w:jc w:val="center"/>
              <w:rPr>
                <w:sz w:val="20"/>
              </w:rPr>
            </w:pPr>
            <w:r>
              <w:rPr>
                <w:sz w:val="20"/>
              </w:rPr>
              <w:t>100.0</w:t>
            </w:r>
          </w:p>
        </w:tc>
      </w:tr>
      <w:tr>
        <w:trPr>
          <w:trHeight w:val="263" w:hRule="atLeast"/>
        </w:trPr>
        <w:tc>
          <w:tcPr>
            <w:tcW w:w="4669" w:type="dxa"/>
            <w:tcBorders>
              <w:top w:val="nil"/>
              <w:bottom w:val="nil"/>
            </w:tcBorders>
            <w:shd w:val="clear" w:color="auto" w:fill="DBDBDB"/>
          </w:tcPr>
          <w:p>
            <w:pPr>
              <w:pStyle w:val="TableParagraph"/>
              <w:ind w:left="71"/>
              <w:rPr>
                <w:b/>
                <w:sz w:val="20"/>
              </w:rPr>
            </w:pPr>
            <w:r>
              <w:rPr>
                <w:b/>
                <w:sz w:val="20"/>
              </w:rPr>
              <w:t>Ministerio de Desarrollo Social</w:t>
            </w:r>
          </w:p>
        </w:tc>
        <w:tc>
          <w:tcPr>
            <w:tcW w:w="1419" w:type="dxa"/>
            <w:tcBorders>
              <w:top w:val="nil"/>
              <w:bottom w:val="nil"/>
              <w:right w:val="single" w:sz="4" w:space="0" w:color="000000"/>
            </w:tcBorders>
            <w:shd w:val="clear" w:color="auto" w:fill="DBDBDB"/>
          </w:tcPr>
          <w:p>
            <w:pPr>
              <w:pStyle w:val="TableParagraph"/>
              <w:ind w:left="165" w:right="149"/>
              <w:jc w:val="center"/>
              <w:rPr>
                <w:b/>
                <w:sz w:val="20"/>
              </w:rPr>
            </w:pPr>
            <w:r>
              <w:rPr>
                <w:b/>
                <w:sz w:val="20"/>
              </w:rPr>
              <w:t>1.7</w:t>
            </w:r>
          </w:p>
        </w:tc>
        <w:tc>
          <w:tcPr>
            <w:tcW w:w="1135" w:type="dxa"/>
            <w:tcBorders>
              <w:top w:val="nil"/>
              <w:left w:val="single" w:sz="4" w:space="0" w:color="000000"/>
              <w:bottom w:val="nil"/>
              <w:right w:val="single" w:sz="4" w:space="0" w:color="000000"/>
            </w:tcBorders>
            <w:shd w:val="clear" w:color="auto" w:fill="DBDBDB"/>
          </w:tcPr>
          <w:p>
            <w:pPr>
              <w:pStyle w:val="TableParagraph"/>
              <w:ind w:left="128" w:right="107"/>
              <w:jc w:val="center"/>
              <w:rPr>
                <w:b/>
                <w:sz w:val="20"/>
              </w:rPr>
            </w:pPr>
            <w:r>
              <w:rPr>
                <w:b/>
                <w:sz w:val="20"/>
              </w:rPr>
              <w:t>1.7</w:t>
            </w:r>
          </w:p>
        </w:tc>
        <w:tc>
          <w:tcPr>
            <w:tcW w:w="1416" w:type="dxa"/>
            <w:tcBorders>
              <w:top w:val="nil"/>
              <w:left w:val="single" w:sz="4" w:space="0" w:color="000000"/>
              <w:bottom w:val="nil"/>
            </w:tcBorders>
            <w:shd w:val="clear" w:color="auto" w:fill="DBDBDB"/>
          </w:tcPr>
          <w:p>
            <w:pPr>
              <w:pStyle w:val="TableParagraph"/>
              <w:ind w:left="467" w:right="443"/>
              <w:jc w:val="center"/>
              <w:rPr>
                <w:b/>
                <w:sz w:val="20"/>
              </w:rPr>
            </w:pPr>
            <w:r>
              <w:rPr>
                <w:b/>
                <w:sz w:val="20"/>
              </w:rPr>
              <w:t>100.0</w:t>
            </w:r>
          </w:p>
        </w:tc>
      </w:tr>
      <w:tr>
        <w:trPr>
          <w:trHeight w:val="1852" w:hRule="atLeast"/>
        </w:trPr>
        <w:tc>
          <w:tcPr>
            <w:tcW w:w="4669" w:type="dxa"/>
            <w:tcBorders>
              <w:top w:val="nil"/>
            </w:tcBorders>
          </w:tcPr>
          <w:p>
            <w:pPr>
              <w:pStyle w:val="TableParagraph"/>
              <w:spacing w:line="276" w:lineRule="auto"/>
              <w:ind w:left="270" w:right="48" w:firstLine="9"/>
              <w:jc w:val="both"/>
              <w:rPr>
                <w:sz w:val="20"/>
              </w:rPr>
            </w:pPr>
            <w:r>
              <w:rPr>
                <w:sz w:val="20"/>
              </w:rPr>
              <w:t>Intervenciones realizadas para la atención de daños provocados por Depresión Tropical ETA (Mantenimiento y reparación de  bienes  nacionales de uso común)</w:t>
            </w:r>
          </w:p>
          <w:p>
            <w:pPr>
              <w:pStyle w:val="TableParagraph"/>
              <w:spacing w:line="276" w:lineRule="auto"/>
              <w:ind w:left="270" w:right="48" w:firstLine="9"/>
              <w:jc w:val="both"/>
              <w:rPr>
                <w:sz w:val="20"/>
              </w:rPr>
            </w:pPr>
            <w:r>
              <w:rPr>
                <w:sz w:val="20"/>
              </w:rPr>
              <w:t>Raciones de alimentos para personas atendidas por   la</w:t>
            </w:r>
            <w:r>
              <w:rPr>
                <w:spacing w:val="17"/>
                <w:sz w:val="20"/>
              </w:rPr>
              <w:t> </w:t>
            </w:r>
            <w:r>
              <w:rPr>
                <w:sz w:val="20"/>
              </w:rPr>
              <w:t>emergencia</w:t>
            </w:r>
            <w:r>
              <w:rPr>
                <w:spacing w:val="18"/>
                <w:sz w:val="20"/>
              </w:rPr>
              <w:t> </w:t>
            </w:r>
            <w:r>
              <w:rPr>
                <w:sz w:val="20"/>
              </w:rPr>
              <w:t>causada</w:t>
            </w:r>
            <w:r>
              <w:rPr>
                <w:spacing w:val="19"/>
                <w:sz w:val="20"/>
              </w:rPr>
              <w:t> </w:t>
            </w:r>
            <w:r>
              <w:rPr>
                <w:sz w:val="20"/>
              </w:rPr>
              <w:t>por</w:t>
            </w:r>
            <w:r>
              <w:rPr>
                <w:spacing w:val="18"/>
                <w:sz w:val="20"/>
              </w:rPr>
              <w:t> </w:t>
            </w:r>
            <w:r>
              <w:rPr>
                <w:sz w:val="20"/>
              </w:rPr>
              <w:t>la</w:t>
            </w:r>
            <w:r>
              <w:rPr>
                <w:spacing w:val="18"/>
                <w:sz w:val="20"/>
              </w:rPr>
              <w:t> </w:t>
            </w:r>
            <w:r>
              <w:rPr>
                <w:sz w:val="20"/>
              </w:rPr>
              <w:t>Depresión</w:t>
            </w:r>
            <w:r>
              <w:rPr>
                <w:spacing w:val="16"/>
                <w:sz w:val="20"/>
              </w:rPr>
              <w:t> </w:t>
            </w:r>
            <w:r>
              <w:rPr>
                <w:sz w:val="20"/>
              </w:rPr>
              <w:t>Tropical</w:t>
            </w:r>
          </w:p>
          <w:p>
            <w:pPr>
              <w:pStyle w:val="TableParagraph"/>
              <w:ind w:left="270"/>
              <w:rPr>
                <w:sz w:val="20"/>
              </w:rPr>
            </w:pPr>
            <w:r>
              <w:rPr>
                <w:sz w:val="20"/>
              </w:rPr>
              <w:t>ETA</w:t>
            </w:r>
          </w:p>
        </w:tc>
        <w:tc>
          <w:tcPr>
            <w:tcW w:w="1419" w:type="dxa"/>
            <w:tcBorders>
              <w:top w:val="nil"/>
              <w:right w:val="single" w:sz="4" w:space="0" w:color="000000"/>
            </w:tcBorders>
          </w:tcPr>
          <w:p>
            <w:pPr>
              <w:pStyle w:val="TableParagraph"/>
              <w:rPr>
                <w:sz w:val="22"/>
              </w:rPr>
            </w:pPr>
          </w:p>
          <w:p>
            <w:pPr>
              <w:pStyle w:val="TableParagraph"/>
              <w:spacing w:before="141"/>
              <w:ind w:left="165" w:right="149"/>
              <w:jc w:val="center"/>
              <w:rPr>
                <w:sz w:val="20"/>
              </w:rPr>
            </w:pPr>
            <w:r>
              <w:rPr>
                <w:sz w:val="20"/>
              </w:rPr>
              <w:t>0.6</w:t>
            </w:r>
          </w:p>
          <w:p>
            <w:pPr>
              <w:pStyle w:val="TableParagraph"/>
              <w:rPr>
                <w:sz w:val="22"/>
              </w:rPr>
            </w:pPr>
          </w:p>
          <w:p>
            <w:pPr>
              <w:pStyle w:val="TableParagraph"/>
              <w:rPr>
                <w:sz w:val="22"/>
              </w:rPr>
            </w:pPr>
          </w:p>
          <w:p>
            <w:pPr>
              <w:pStyle w:val="TableParagraph"/>
              <w:spacing w:before="188"/>
              <w:ind w:left="165" w:right="149"/>
              <w:jc w:val="center"/>
              <w:rPr>
                <w:sz w:val="20"/>
              </w:rPr>
            </w:pPr>
            <w:r>
              <w:rPr>
                <w:sz w:val="20"/>
              </w:rPr>
              <w:t>1.1</w:t>
            </w:r>
          </w:p>
        </w:tc>
        <w:tc>
          <w:tcPr>
            <w:tcW w:w="1135" w:type="dxa"/>
            <w:tcBorders>
              <w:top w:val="nil"/>
              <w:left w:val="single" w:sz="4" w:space="0" w:color="000000"/>
              <w:right w:val="single" w:sz="4" w:space="0" w:color="000000"/>
            </w:tcBorders>
          </w:tcPr>
          <w:p>
            <w:pPr>
              <w:pStyle w:val="TableParagraph"/>
              <w:rPr>
                <w:sz w:val="22"/>
              </w:rPr>
            </w:pPr>
          </w:p>
          <w:p>
            <w:pPr>
              <w:pStyle w:val="TableParagraph"/>
              <w:spacing w:before="141"/>
              <w:ind w:left="128" w:right="107"/>
              <w:jc w:val="center"/>
              <w:rPr>
                <w:sz w:val="20"/>
              </w:rPr>
            </w:pPr>
            <w:r>
              <w:rPr>
                <w:sz w:val="20"/>
              </w:rPr>
              <w:t>0.6</w:t>
            </w:r>
          </w:p>
          <w:p>
            <w:pPr>
              <w:pStyle w:val="TableParagraph"/>
              <w:rPr>
                <w:sz w:val="22"/>
              </w:rPr>
            </w:pPr>
          </w:p>
          <w:p>
            <w:pPr>
              <w:pStyle w:val="TableParagraph"/>
              <w:rPr>
                <w:sz w:val="22"/>
              </w:rPr>
            </w:pPr>
          </w:p>
          <w:p>
            <w:pPr>
              <w:pStyle w:val="TableParagraph"/>
              <w:spacing w:before="188"/>
              <w:ind w:left="128" w:right="107"/>
              <w:jc w:val="center"/>
              <w:rPr>
                <w:sz w:val="20"/>
              </w:rPr>
            </w:pPr>
            <w:r>
              <w:rPr>
                <w:sz w:val="20"/>
              </w:rPr>
              <w:t>1.1</w:t>
            </w:r>
          </w:p>
        </w:tc>
        <w:tc>
          <w:tcPr>
            <w:tcW w:w="1416" w:type="dxa"/>
            <w:tcBorders>
              <w:top w:val="nil"/>
              <w:left w:val="single" w:sz="4" w:space="0" w:color="000000"/>
            </w:tcBorders>
          </w:tcPr>
          <w:p>
            <w:pPr>
              <w:pStyle w:val="TableParagraph"/>
              <w:rPr>
                <w:sz w:val="22"/>
              </w:rPr>
            </w:pPr>
          </w:p>
          <w:p>
            <w:pPr>
              <w:pStyle w:val="TableParagraph"/>
              <w:spacing w:before="141"/>
              <w:ind w:left="487"/>
              <w:rPr>
                <w:sz w:val="20"/>
              </w:rPr>
            </w:pPr>
            <w:r>
              <w:rPr>
                <w:sz w:val="20"/>
              </w:rPr>
              <w:t>100.0</w:t>
            </w:r>
          </w:p>
          <w:p>
            <w:pPr>
              <w:pStyle w:val="TableParagraph"/>
              <w:rPr>
                <w:sz w:val="22"/>
              </w:rPr>
            </w:pPr>
          </w:p>
          <w:p>
            <w:pPr>
              <w:pStyle w:val="TableParagraph"/>
              <w:rPr>
                <w:sz w:val="22"/>
              </w:rPr>
            </w:pPr>
          </w:p>
          <w:p>
            <w:pPr>
              <w:pStyle w:val="TableParagraph"/>
              <w:spacing w:before="188"/>
              <w:ind w:left="487"/>
              <w:rPr>
                <w:sz w:val="20"/>
              </w:rPr>
            </w:pPr>
            <w:r>
              <w:rPr>
                <w:sz w:val="20"/>
              </w:rPr>
              <w:t>100.0</w:t>
            </w:r>
          </w:p>
        </w:tc>
      </w:tr>
    </w:tbl>
    <w:p>
      <w:pPr>
        <w:spacing w:before="0"/>
        <w:ind w:left="562" w:right="0" w:firstLine="0"/>
        <w:jc w:val="both"/>
        <w:rPr>
          <w:sz w:val="16"/>
        </w:rPr>
      </w:pPr>
      <w:r>
        <w:rPr>
          <w:sz w:val="16"/>
        </w:rPr>
        <w:t>Fuente: Dirección de Análisis y Política Fiscal</w:t>
      </w:r>
    </w:p>
    <w:p>
      <w:pPr>
        <w:spacing w:after="0"/>
        <w:jc w:val="both"/>
        <w:rPr>
          <w:sz w:val="16"/>
        </w:rPr>
        <w:sectPr>
          <w:pgSz w:w="12240" w:h="15840"/>
          <w:pgMar w:header="715" w:footer="957" w:top="1240" w:bottom="1140" w:left="1140" w:right="0"/>
        </w:sectPr>
      </w:pPr>
    </w:p>
    <w:p>
      <w:pPr>
        <w:pStyle w:val="Heading2"/>
        <w:numPr>
          <w:ilvl w:val="1"/>
          <w:numId w:val="14"/>
        </w:numPr>
        <w:tabs>
          <w:tab w:pos="1270" w:val="left" w:leader="none"/>
        </w:tabs>
        <w:spacing w:line="240" w:lineRule="auto" w:before="167" w:after="0"/>
        <w:ind w:left="1270" w:right="0" w:hanging="432"/>
        <w:jc w:val="both"/>
      </w:pPr>
      <w:bookmarkStart w:name="_bookmark145" w:id="180"/>
      <w:bookmarkEnd w:id="180"/>
      <w:r>
        <w:rPr>
          <w:b w:val="0"/>
        </w:rPr>
      </w:r>
      <w:bookmarkStart w:name="_bookmark145" w:id="181"/>
      <w:bookmarkEnd w:id="181"/>
      <w:r>
        <w:rPr/>
        <w:t>D</w:t>
      </w:r>
      <w:r>
        <w:rPr/>
        <w:t>éficit Fiscal y su</w:t>
      </w:r>
      <w:r>
        <w:rPr>
          <w:spacing w:val="-1"/>
        </w:rPr>
        <w:t> </w:t>
      </w:r>
      <w:r>
        <w:rPr/>
        <w:t>financiamiento</w:t>
      </w:r>
    </w:p>
    <w:p>
      <w:pPr>
        <w:pStyle w:val="BodyText"/>
        <w:spacing w:before="8"/>
        <w:rPr>
          <w:b/>
          <w:sz w:val="30"/>
        </w:rPr>
      </w:pPr>
    </w:p>
    <w:p>
      <w:pPr>
        <w:pStyle w:val="BodyText"/>
        <w:spacing w:line="276" w:lineRule="auto"/>
        <w:ind w:left="562" w:right="1695"/>
        <w:jc w:val="both"/>
      </w:pPr>
      <w:r>
        <w:rPr/>
        <w:t>Desde</w:t>
      </w:r>
      <w:r>
        <w:rPr>
          <w:spacing w:val="-3"/>
        </w:rPr>
        <w:t> </w:t>
      </w:r>
      <w:r>
        <w:rPr/>
        <w:t>el</w:t>
      </w:r>
      <w:r>
        <w:rPr>
          <w:spacing w:val="-3"/>
        </w:rPr>
        <w:t> </w:t>
      </w:r>
      <w:r>
        <w:rPr/>
        <w:t>primer</w:t>
      </w:r>
      <w:r>
        <w:rPr>
          <w:spacing w:val="-3"/>
        </w:rPr>
        <w:t> </w:t>
      </w:r>
      <w:r>
        <w:rPr/>
        <w:t>mes</w:t>
      </w:r>
      <w:r>
        <w:rPr>
          <w:spacing w:val="-3"/>
        </w:rPr>
        <w:t> </w:t>
      </w:r>
      <w:r>
        <w:rPr/>
        <w:t>del</w:t>
      </w:r>
      <w:r>
        <w:rPr>
          <w:spacing w:val="-4"/>
        </w:rPr>
        <w:t> </w:t>
      </w:r>
      <w:r>
        <w:rPr/>
        <w:t>2021,</w:t>
      </w:r>
      <w:r>
        <w:rPr>
          <w:spacing w:val="-3"/>
        </w:rPr>
        <w:t> </w:t>
      </w:r>
      <w:r>
        <w:rPr/>
        <w:t>se</w:t>
      </w:r>
      <w:r>
        <w:rPr>
          <w:spacing w:val="-3"/>
        </w:rPr>
        <w:t> </w:t>
      </w:r>
      <w:r>
        <w:rPr/>
        <w:t>observó</w:t>
      </w:r>
      <w:r>
        <w:rPr>
          <w:spacing w:val="-4"/>
        </w:rPr>
        <w:t> </w:t>
      </w:r>
      <w:r>
        <w:rPr/>
        <w:t>un</w:t>
      </w:r>
      <w:r>
        <w:rPr>
          <w:spacing w:val="-4"/>
        </w:rPr>
        <w:t> </w:t>
      </w:r>
      <w:r>
        <w:rPr/>
        <w:t>comportamiento</w:t>
      </w:r>
      <w:r>
        <w:rPr>
          <w:spacing w:val="-4"/>
        </w:rPr>
        <w:t> </w:t>
      </w:r>
      <w:r>
        <w:rPr/>
        <w:t>acelerado</w:t>
      </w:r>
      <w:r>
        <w:rPr>
          <w:spacing w:val="-3"/>
        </w:rPr>
        <w:t> </w:t>
      </w:r>
      <w:r>
        <w:rPr/>
        <w:t>en</w:t>
      </w:r>
      <w:r>
        <w:rPr>
          <w:spacing w:val="-3"/>
        </w:rPr>
        <w:t> </w:t>
      </w:r>
      <w:r>
        <w:rPr/>
        <w:t>la</w:t>
      </w:r>
      <w:r>
        <w:rPr>
          <w:spacing w:val="-3"/>
        </w:rPr>
        <w:t> </w:t>
      </w:r>
      <w:r>
        <w:rPr/>
        <w:t>recaudación</w:t>
      </w:r>
      <w:r>
        <w:rPr>
          <w:spacing w:val="-4"/>
        </w:rPr>
        <w:t> </w:t>
      </w:r>
      <w:r>
        <w:rPr/>
        <w:t>tributaria. A partir de enero se empezó a reportar una brecha positiva en la recaudación tributaria respecto a la meta establecida, brecha que continúo ampliándose y reflejándose a lo largo del año debido a una mejora</w:t>
      </w:r>
      <w:r>
        <w:rPr>
          <w:spacing w:val="-11"/>
        </w:rPr>
        <w:t> </w:t>
      </w:r>
      <w:r>
        <w:rPr/>
        <w:t>en</w:t>
      </w:r>
      <w:r>
        <w:rPr>
          <w:spacing w:val="-11"/>
        </w:rPr>
        <w:t> </w:t>
      </w:r>
      <w:r>
        <w:rPr/>
        <w:t>las</w:t>
      </w:r>
      <w:r>
        <w:rPr>
          <w:spacing w:val="-10"/>
        </w:rPr>
        <w:t> </w:t>
      </w:r>
      <w:r>
        <w:rPr/>
        <w:t>acciones</w:t>
      </w:r>
      <w:r>
        <w:rPr>
          <w:spacing w:val="-8"/>
        </w:rPr>
        <w:t> </w:t>
      </w:r>
      <w:r>
        <w:rPr/>
        <w:t>de</w:t>
      </w:r>
      <w:r>
        <w:rPr>
          <w:spacing w:val="-8"/>
        </w:rPr>
        <w:t> </w:t>
      </w:r>
      <w:r>
        <w:rPr/>
        <w:t>fiscalización</w:t>
      </w:r>
      <w:r>
        <w:rPr>
          <w:spacing w:val="-9"/>
        </w:rPr>
        <w:t> </w:t>
      </w:r>
      <w:r>
        <w:rPr/>
        <w:t>por</w:t>
      </w:r>
      <w:r>
        <w:rPr>
          <w:spacing w:val="-8"/>
        </w:rPr>
        <w:t> </w:t>
      </w:r>
      <w:r>
        <w:rPr/>
        <w:t>parte</w:t>
      </w:r>
      <w:r>
        <w:rPr>
          <w:spacing w:val="-8"/>
        </w:rPr>
        <w:t> </w:t>
      </w:r>
      <w:r>
        <w:rPr/>
        <w:t>de</w:t>
      </w:r>
      <w:r>
        <w:rPr>
          <w:spacing w:val="-11"/>
        </w:rPr>
        <w:t> </w:t>
      </w:r>
      <w:r>
        <w:rPr/>
        <w:t>la</w:t>
      </w:r>
      <w:r>
        <w:rPr>
          <w:spacing w:val="-10"/>
        </w:rPr>
        <w:t> </w:t>
      </w:r>
      <w:r>
        <w:rPr/>
        <w:t>Administración</w:t>
      </w:r>
      <w:r>
        <w:rPr>
          <w:spacing w:val="-11"/>
        </w:rPr>
        <w:t> </w:t>
      </w:r>
      <w:r>
        <w:rPr/>
        <w:t>Tributaria.</w:t>
      </w:r>
      <w:r>
        <w:rPr>
          <w:spacing w:val="-13"/>
        </w:rPr>
        <w:t> </w:t>
      </w:r>
      <w:r>
        <w:rPr/>
        <w:t>De</w:t>
      </w:r>
      <w:r>
        <w:rPr>
          <w:spacing w:val="-8"/>
        </w:rPr>
        <w:t> </w:t>
      </w:r>
      <w:r>
        <w:rPr/>
        <w:t>esa</w:t>
      </w:r>
      <w:r>
        <w:rPr>
          <w:spacing w:val="-10"/>
        </w:rPr>
        <w:t> </w:t>
      </w:r>
      <w:r>
        <w:rPr/>
        <w:t>cuenta,</w:t>
      </w:r>
      <w:r>
        <w:rPr>
          <w:spacing w:val="-10"/>
        </w:rPr>
        <w:t> </w:t>
      </w:r>
      <w:r>
        <w:rPr/>
        <w:t>dada la</w:t>
      </w:r>
      <w:r>
        <w:rPr>
          <w:spacing w:val="-9"/>
        </w:rPr>
        <w:t> </w:t>
      </w:r>
      <w:r>
        <w:rPr/>
        <w:t>dinámica</w:t>
      </w:r>
      <w:r>
        <w:rPr>
          <w:spacing w:val="-10"/>
        </w:rPr>
        <w:t> </w:t>
      </w:r>
      <w:r>
        <w:rPr/>
        <w:t>entre</w:t>
      </w:r>
      <w:r>
        <w:rPr>
          <w:spacing w:val="-11"/>
        </w:rPr>
        <w:t> </w:t>
      </w:r>
      <w:r>
        <w:rPr/>
        <w:t>los</w:t>
      </w:r>
      <w:r>
        <w:rPr>
          <w:spacing w:val="-11"/>
        </w:rPr>
        <w:t> </w:t>
      </w:r>
      <w:r>
        <w:rPr/>
        <w:t>ingresos</w:t>
      </w:r>
      <w:r>
        <w:rPr>
          <w:spacing w:val="-9"/>
        </w:rPr>
        <w:t> </w:t>
      </w:r>
      <w:r>
        <w:rPr/>
        <w:t>y</w:t>
      </w:r>
      <w:r>
        <w:rPr>
          <w:spacing w:val="-11"/>
        </w:rPr>
        <w:t> </w:t>
      </w:r>
      <w:r>
        <w:rPr/>
        <w:t>los</w:t>
      </w:r>
      <w:r>
        <w:rPr>
          <w:spacing w:val="-8"/>
        </w:rPr>
        <w:t> </w:t>
      </w:r>
      <w:r>
        <w:rPr/>
        <w:t>gastos,</w:t>
      </w:r>
      <w:r>
        <w:rPr>
          <w:spacing w:val="-12"/>
        </w:rPr>
        <w:t> </w:t>
      </w:r>
      <w:r>
        <w:rPr/>
        <w:t>el</w:t>
      </w:r>
      <w:r>
        <w:rPr>
          <w:spacing w:val="-10"/>
        </w:rPr>
        <w:t> </w:t>
      </w:r>
      <w:r>
        <w:rPr/>
        <w:t>déficit</w:t>
      </w:r>
      <w:r>
        <w:rPr>
          <w:spacing w:val="-11"/>
        </w:rPr>
        <w:t> </w:t>
      </w:r>
      <w:r>
        <w:rPr/>
        <w:t>fiscal</w:t>
      </w:r>
      <w:r>
        <w:rPr>
          <w:spacing w:val="-10"/>
        </w:rPr>
        <w:t> </w:t>
      </w:r>
      <w:r>
        <w:rPr/>
        <w:t>se</w:t>
      </w:r>
      <w:r>
        <w:rPr>
          <w:spacing w:val="-10"/>
        </w:rPr>
        <w:t> </w:t>
      </w:r>
      <w:r>
        <w:rPr/>
        <w:t>ubicó</w:t>
      </w:r>
      <w:r>
        <w:rPr>
          <w:spacing w:val="-12"/>
        </w:rPr>
        <w:t> </w:t>
      </w:r>
      <w:r>
        <w:rPr/>
        <w:t>en</w:t>
      </w:r>
      <w:r>
        <w:rPr>
          <w:spacing w:val="-11"/>
        </w:rPr>
        <w:t> </w:t>
      </w:r>
      <w:r>
        <w:rPr/>
        <w:t>Q7,770.8</w:t>
      </w:r>
      <w:r>
        <w:rPr>
          <w:spacing w:val="-11"/>
        </w:rPr>
        <w:t> </w:t>
      </w:r>
      <w:r>
        <w:rPr/>
        <w:t>millones,</w:t>
      </w:r>
      <w:r>
        <w:rPr>
          <w:spacing w:val="-12"/>
        </w:rPr>
        <w:t> </w:t>
      </w:r>
      <w:r>
        <w:rPr/>
        <w:t>equivalente al 1.2% del</w:t>
      </w:r>
      <w:r>
        <w:rPr>
          <w:spacing w:val="1"/>
        </w:rPr>
        <w:t> </w:t>
      </w:r>
      <w:r>
        <w:rPr/>
        <w:t>PIB.</w:t>
      </w:r>
    </w:p>
    <w:p>
      <w:pPr>
        <w:pStyle w:val="BodyText"/>
        <w:spacing w:before="4"/>
        <w:rPr>
          <w:sz w:val="25"/>
        </w:rPr>
      </w:pPr>
    </w:p>
    <w:p>
      <w:pPr>
        <w:pStyle w:val="BodyText"/>
        <w:spacing w:line="276" w:lineRule="auto" w:before="1"/>
        <w:ind w:left="562" w:right="1696"/>
        <w:jc w:val="both"/>
      </w:pPr>
      <w:r>
        <w:rPr/>
        <w:t>Este déficit fiscal es el más bajo desde 2016, cuando se ubicó en una décima por debajo respecto al PIB (1.1%). Con esto se busca retornar el déficit fiscal a los niveles previos a la crisis, logrando la consolidación fiscal para preservar el espacio fiscal para reactivar la economía o para afrontar otro shock externo en el futuro.</w:t>
      </w:r>
    </w:p>
    <w:p>
      <w:pPr>
        <w:pStyle w:val="BodyText"/>
        <w:spacing w:before="3"/>
        <w:rPr>
          <w:sz w:val="25"/>
        </w:rPr>
      </w:pPr>
    </w:p>
    <w:p>
      <w:pPr>
        <w:pStyle w:val="BodyText"/>
        <w:spacing w:line="276" w:lineRule="auto"/>
        <w:ind w:left="562" w:right="1695"/>
        <w:jc w:val="both"/>
      </w:pPr>
      <w:r>
        <w:rPr/>
        <w:t>El nivel de déficit observado en 2021, estuvo por debajo de lo programado en el presupuesto para dicho año, el cual se estimaba en 5.4% del PIB, aunque tomando en consideración el presupuesto operativo,</w:t>
      </w:r>
      <w:r>
        <w:rPr>
          <w:spacing w:val="-12"/>
        </w:rPr>
        <w:t> </w:t>
      </w:r>
      <w:r>
        <w:rPr/>
        <w:t>el</w:t>
      </w:r>
      <w:r>
        <w:rPr>
          <w:spacing w:val="-10"/>
        </w:rPr>
        <w:t> </w:t>
      </w:r>
      <w:r>
        <w:rPr/>
        <w:t>déficit</w:t>
      </w:r>
      <w:r>
        <w:rPr>
          <w:spacing w:val="-10"/>
        </w:rPr>
        <w:t> </w:t>
      </w:r>
      <w:r>
        <w:rPr/>
        <w:t>fiscal</w:t>
      </w:r>
      <w:r>
        <w:rPr>
          <w:spacing w:val="-10"/>
        </w:rPr>
        <w:t> </w:t>
      </w:r>
      <w:r>
        <w:rPr/>
        <w:t>se</w:t>
      </w:r>
      <w:r>
        <w:rPr>
          <w:spacing w:val="-12"/>
        </w:rPr>
        <w:t> </w:t>
      </w:r>
      <w:r>
        <w:rPr/>
        <w:t>estimaba</w:t>
      </w:r>
      <w:r>
        <w:rPr>
          <w:spacing w:val="-10"/>
        </w:rPr>
        <w:t> </w:t>
      </w:r>
      <w:r>
        <w:rPr/>
        <w:t>en</w:t>
      </w:r>
      <w:r>
        <w:rPr>
          <w:spacing w:val="-10"/>
        </w:rPr>
        <w:t> </w:t>
      </w:r>
      <w:r>
        <w:rPr/>
        <w:t>3.3%,</w:t>
      </w:r>
      <w:r>
        <w:rPr>
          <w:spacing w:val="-9"/>
        </w:rPr>
        <w:t> </w:t>
      </w:r>
      <w:r>
        <w:rPr/>
        <w:t>-luego</w:t>
      </w:r>
      <w:r>
        <w:rPr>
          <w:spacing w:val="-11"/>
        </w:rPr>
        <w:t> </w:t>
      </w:r>
      <w:r>
        <w:rPr/>
        <w:t>que</w:t>
      </w:r>
      <w:r>
        <w:rPr>
          <w:spacing w:val="-12"/>
        </w:rPr>
        <w:t> </w:t>
      </w:r>
      <w:r>
        <w:rPr/>
        <w:t>en</w:t>
      </w:r>
      <w:r>
        <w:rPr>
          <w:spacing w:val="-10"/>
        </w:rPr>
        <w:t> </w:t>
      </w:r>
      <w:r>
        <w:rPr/>
        <w:t>2020</w:t>
      </w:r>
      <w:r>
        <w:rPr>
          <w:spacing w:val="-11"/>
        </w:rPr>
        <w:t> </w:t>
      </w:r>
      <w:r>
        <w:rPr/>
        <w:t>el</w:t>
      </w:r>
      <w:r>
        <w:rPr>
          <w:spacing w:val="-9"/>
        </w:rPr>
        <w:t> </w:t>
      </w:r>
      <w:r>
        <w:rPr/>
        <w:t>déficit</w:t>
      </w:r>
      <w:r>
        <w:rPr>
          <w:spacing w:val="-10"/>
        </w:rPr>
        <w:t> </w:t>
      </w:r>
      <w:r>
        <w:rPr/>
        <w:t>fiscal</w:t>
      </w:r>
      <w:r>
        <w:rPr>
          <w:spacing w:val="-10"/>
        </w:rPr>
        <w:t> </w:t>
      </w:r>
      <w:r>
        <w:rPr/>
        <w:t>había</w:t>
      </w:r>
      <w:r>
        <w:rPr>
          <w:spacing w:val="-10"/>
        </w:rPr>
        <w:t> </w:t>
      </w:r>
      <w:r>
        <w:rPr/>
        <w:t>sido</w:t>
      </w:r>
      <w:r>
        <w:rPr>
          <w:spacing w:val="-11"/>
        </w:rPr>
        <w:t> </w:t>
      </w:r>
      <w:r>
        <w:rPr/>
        <w:t>de</w:t>
      </w:r>
      <w:r>
        <w:rPr>
          <w:spacing w:val="-11"/>
        </w:rPr>
        <w:t> </w:t>
      </w:r>
      <w:r>
        <w:rPr/>
        <w:t>4.9% por el impulso del gasto público el cual debía ser de carácter temporal para resguardar la prudencia fiscal</w:t>
      </w:r>
      <w:r>
        <w:rPr>
          <w:spacing w:val="-5"/>
        </w:rPr>
        <w:t> </w:t>
      </w:r>
      <w:r>
        <w:rPr/>
        <w:t>que</w:t>
      </w:r>
      <w:r>
        <w:rPr>
          <w:spacing w:val="-5"/>
        </w:rPr>
        <w:t> </w:t>
      </w:r>
      <w:r>
        <w:rPr/>
        <w:t>ha</w:t>
      </w:r>
      <w:r>
        <w:rPr>
          <w:spacing w:val="-5"/>
        </w:rPr>
        <w:t> </w:t>
      </w:r>
      <w:r>
        <w:rPr/>
        <w:t>caracterizado</w:t>
      </w:r>
      <w:r>
        <w:rPr>
          <w:spacing w:val="-7"/>
        </w:rPr>
        <w:t> </w:t>
      </w:r>
      <w:r>
        <w:rPr/>
        <w:t>al</w:t>
      </w:r>
      <w:r>
        <w:rPr>
          <w:spacing w:val="-5"/>
        </w:rPr>
        <w:t> </w:t>
      </w:r>
      <w:r>
        <w:rPr/>
        <w:t>país-,</w:t>
      </w:r>
      <w:r>
        <w:rPr>
          <w:spacing w:val="-5"/>
        </w:rPr>
        <w:t> </w:t>
      </w:r>
      <w:r>
        <w:rPr/>
        <w:t>al</w:t>
      </w:r>
      <w:r>
        <w:rPr>
          <w:spacing w:val="-4"/>
        </w:rPr>
        <w:t> </w:t>
      </w:r>
      <w:r>
        <w:rPr/>
        <w:t>final</w:t>
      </w:r>
      <w:r>
        <w:rPr>
          <w:spacing w:val="-4"/>
        </w:rPr>
        <w:t> </w:t>
      </w:r>
      <w:r>
        <w:rPr/>
        <w:t>del</w:t>
      </w:r>
      <w:r>
        <w:rPr>
          <w:spacing w:val="-5"/>
        </w:rPr>
        <w:t> </w:t>
      </w:r>
      <w:r>
        <w:rPr/>
        <w:t>2021</w:t>
      </w:r>
      <w:r>
        <w:rPr>
          <w:spacing w:val="-5"/>
        </w:rPr>
        <w:t> </w:t>
      </w:r>
      <w:r>
        <w:rPr/>
        <w:t>se</w:t>
      </w:r>
      <w:r>
        <w:rPr>
          <w:spacing w:val="-7"/>
        </w:rPr>
        <w:t> </w:t>
      </w:r>
      <w:r>
        <w:rPr/>
        <w:t>ubicó</w:t>
      </w:r>
      <w:r>
        <w:rPr>
          <w:spacing w:val="-5"/>
        </w:rPr>
        <w:t> </w:t>
      </w:r>
      <w:r>
        <w:rPr/>
        <w:t>muy</w:t>
      </w:r>
      <w:r>
        <w:rPr>
          <w:spacing w:val="-8"/>
        </w:rPr>
        <w:t> </w:t>
      </w:r>
      <w:r>
        <w:rPr/>
        <w:t>por</w:t>
      </w:r>
      <w:r>
        <w:rPr>
          <w:spacing w:val="-5"/>
        </w:rPr>
        <w:t> </w:t>
      </w:r>
      <w:r>
        <w:rPr/>
        <w:t>debajo</w:t>
      </w:r>
      <w:r>
        <w:rPr>
          <w:spacing w:val="-5"/>
        </w:rPr>
        <w:t> </w:t>
      </w:r>
      <w:r>
        <w:rPr/>
        <w:t>de</w:t>
      </w:r>
      <w:r>
        <w:rPr>
          <w:spacing w:val="-5"/>
        </w:rPr>
        <w:t> </w:t>
      </w:r>
      <w:r>
        <w:rPr/>
        <w:t>lo</w:t>
      </w:r>
      <w:r>
        <w:rPr>
          <w:spacing w:val="-8"/>
        </w:rPr>
        <w:t> </w:t>
      </w:r>
      <w:r>
        <w:rPr/>
        <w:t>presupuestado.</w:t>
      </w:r>
      <w:r>
        <w:rPr>
          <w:spacing w:val="-2"/>
        </w:rPr>
        <w:t> </w:t>
      </w:r>
      <w:r>
        <w:rPr/>
        <w:t>El déficit fiscal resultante se financió principalmente</w:t>
      </w:r>
      <w:r>
        <w:rPr>
          <w:spacing w:val="-5"/>
        </w:rPr>
        <w:t> </w:t>
      </w:r>
      <w:r>
        <w:rPr/>
        <w:t>con:</w:t>
      </w:r>
    </w:p>
    <w:p>
      <w:pPr>
        <w:pStyle w:val="BodyText"/>
        <w:spacing w:before="1"/>
        <w:rPr>
          <w:sz w:val="25"/>
        </w:rPr>
      </w:pPr>
    </w:p>
    <w:p>
      <w:pPr>
        <w:pStyle w:val="ListParagraph"/>
        <w:numPr>
          <w:ilvl w:val="0"/>
          <w:numId w:val="20"/>
        </w:numPr>
        <w:tabs>
          <w:tab w:pos="1282" w:val="left" w:leader="none"/>
        </w:tabs>
        <w:spacing w:line="276" w:lineRule="auto" w:before="0" w:after="0"/>
        <w:ind w:left="1282" w:right="1703" w:hanging="360"/>
        <w:jc w:val="both"/>
        <w:rPr>
          <w:sz w:val="22"/>
        </w:rPr>
      </w:pPr>
      <w:r>
        <w:rPr>
          <w:sz w:val="22"/>
        </w:rPr>
        <w:t>El financiamiento del déficit fiscal recayó en la emisión y colocación de Bonos del Tesoro para el ejercicio fiscal 2021, de la cual se realizó en un 68.4% en el mercado interno y el 31.6% en el mercado internacional de capitales mediante la colocación de un</w:t>
      </w:r>
      <w:r>
        <w:rPr>
          <w:spacing w:val="-15"/>
          <w:sz w:val="22"/>
        </w:rPr>
        <w:t> </w:t>
      </w:r>
      <w:r>
        <w:rPr>
          <w:sz w:val="22"/>
        </w:rPr>
        <w:t>Eurobono.</w:t>
      </w:r>
    </w:p>
    <w:p>
      <w:pPr>
        <w:pStyle w:val="ListParagraph"/>
        <w:numPr>
          <w:ilvl w:val="0"/>
          <w:numId w:val="20"/>
        </w:numPr>
        <w:tabs>
          <w:tab w:pos="1282" w:val="left" w:leader="none"/>
        </w:tabs>
        <w:spacing w:line="276" w:lineRule="auto" w:before="0" w:after="0"/>
        <w:ind w:left="1282" w:right="1697" w:hanging="360"/>
        <w:jc w:val="both"/>
        <w:rPr>
          <w:sz w:val="22"/>
        </w:rPr>
      </w:pPr>
      <w:r>
        <w:rPr>
          <w:sz w:val="22"/>
        </w:rPr>
        <w:t>Respecto a las colocaciones internas, es importante indicar que el monto demandado por los inversionistas superó ampliamente las colocaciones, lo adjudicado fue de Q16,746.3 millones.</w:t>
      </w:r>
    </w:p>
    <w:p>
      <w:pPr>
        <w:pStyle w:val="ListParagraph"/>
        <w:numPr>
          <w:ilvl w:val="0"/>
          <w:numId w:val="20"/>
        </w:numPr>
        <w:tabs>
          <w:tab w:pos="1282" w:val="left" w:leader="none"/>
        </w:tabs>
        <w:spacing w:line="276" w:lineRule="auto" w:before="0" w:after="0"/>
        <w:ind w:left="1282" w:right="1696" w:hanging="360"/>
        <w:jc w:val="both"/>
        <w:rPr>
          <w:sz w:val="22"/>
        </w:rPr>
      </w:pPr>
      <w:r>
        <w:rPr>
          <w:sz w:val="22"/>
        </w:rPr>
        <w:t>Respecto a los pequeños inversionistas, por primera vez se colocó la totalidad del cupo establecido para este grupo (Q100 millones), este es un mecanismo de financiamiento y diversificación de la deuda que se viene utilizando desde 2017. El haber completado la totalidad del cupo por primera vez demuestra el éxito de la estrategia de democratización de la deuda pública, fomentando el ahorro y la inversión, y a la vez dinamiza el mercado de valores, los montos de inversión van desde un mínimo de Q10,000 hasta un máximo de Q500,000.</w:t>
      </w:r>
    </w:p>
    <w:p>
      <w:pPr>
        <w:pStyle w:val="ListParagraph"/>
        <w:numPr>
          <w:ilvl w:val="0"/>
          <w:numId w:val="20"/>
        </w:numPr>
        <w:tabs>
          <w:tab w:pos="1282" w:val="left" w:leader="none"/>
        </w:tabs>
        <w:spacing w:line="266" w:lineRule="exact" w:before="0" w:after="0"/>
        <w:ind w:left="1282" w:right="0" w:hanging="361"/>
        <w:jc w:val="both"/>
        <w:rPr>
          <w:sz w:val="22"/>
        </w:rPr>
      </w:pPr>
      <w:r>
        <w:rPr>
          <w:sz w:val="22"/>
        </w:rPr>
        <w:t>Se adjudicaron US$1,000 millones en el mercado internacional de capitales, en dos</w:t>
      </w:r>
      <w:r>
        <w:rPr>
          <w:spacing w:val="-16"/>
          <w:sz w:val="22"/>
        </w:rPr>
        <w:t> </w:t>
      </w:r>
      <w:r>
        <w:rPr>
          <w:sz w:val="22"/>
        </w:rPr>
        <w:t>tramos:</w:t>
      </w:r>
    </w:p>
    <w:p>
      <w:pPr>
        <w:pStyle w:val="ListParagraph"/>
        <w:numPr>
          <w:ilvl w:val="1"/>
          <w:numId w:val="20"/>
        </w:numPr>
        <w:tabs>
          <w:tab w:pos="2002" w:val="left" w:leader="none"/>
        </w:tabs>
        <w:spacing w:line="240" w:lineRule="auto" w:before="34" w:after="0"/>
        <w:ind w:left="2002" w:right="0" w:hanging="360"/>
        <w:jc w:val="both"/>
        <w:rPr>
          <w:sz w:val="22"/>
        </w:rPr>
      </w:pPr>
      <w:r>
        <w:rPr>
          <w:sz w:val="22"/>
        </w:rPr>
        <w:t>Primer Tramo: US$500 millones a 12 años plazo, con una tasa de cupón de</w:t>
      </w:r>
      <w:r>
        <w:rPr>
          <w:spacing w:val="-24"/>
          <w:sz w:val="22"/>
        </w:rPr>
        <w:t> </w:t>
      </w:r>
      <w:r>
        <w:rPr>
          <w:sz w:val="22"/>
        </w:rPr>
        <w:t>3.70%</w:t>
      </w:r>
    </w:p>
    <w:p>
      <w:pPr>
        <w:pStyle w:val="ListParagraph"/>
        <w:numPr>
          <w:ilvl w:val="1"/>
          <w:numId w:val="20"/>
        </w:numPr>
        <w:tabs>
          <w:tab w:pos="2002" w:val="left" w:leader="none"/>
        </w:tabs>
        <w:spacing w:line="240" w:lineRule="auto" w:before="20" w:after="0"/>
        <w:ind w:left="2002" w:right="0" w:hanging="360"/>
        <w:jc w:val="both"/>
        <w:rPr>
          <w:sz w:val="22"/>
        </w:rPr>
      </w:pPr>
      <w:r>
        <w:rPr>
          <w:sz w:val="22"/>
        </w:rPr>
        <w:t>Segundo</w:t>
      </w:r>
      <w:r>
        <w:rPr>
          <w:spacing w:val="-4"/>
          <w:sz w:val="22"/>
        </w:rPr>
        <w:t> </w:t>
      </w:r>
      <w:r>
        <w:rPr>
          <w:sz w:val="22"/>
        </w:rPr>
        <w:t>Tramo:</w:t>
      </w:r>
      <w:r>
        <w:rPr>
          <w:spacing w:val="-2"/>
          <w:sz w:val="22"/>
        </w:rPr>
        <w:t> </w:t>
      </w:r>
      <w:r>
        <w:rPr>
          <w:sz w:val="22"/>
        </w:rPr>
        <w:t>US$500</w:t>
      </w:r>
      <w:r>
        <w:rPr>
          <w:spacing w:val="-4"/>
          <w:sz w:val="22"/>
        </w:rPr>
        <w:t> </w:t>
      </w:r>
      <w:r>
        <w:rPr>
          <w:sz w:val="22"/>
        </w:rPr>
        <w:t>millones</w:t>
      </w:r>
      <w:r>
        <w:rPr>
          <w:spacing w:val="-2"/>
          <w:sz w:val="22"/>
        </w:rPr>
        <w:t> </w:t>
      </w:r>
      <w:r>
        <w:rPr>
          <w:sz w:val="22"/>
        </w:rPr>
        <w:t>a</w:t>
      </w:r>
      <w:r>
        <w:rPr>
          <w:spacing w:val="-3"/>
          <w:sz w:val="22"/>
        </w:rPr>
        <w:t> </w:t>
      </w:r>
      <w:r>
        <w:rPr>
          <w:sz w:val="22"/>
        </w:rPr>
        <w:t>20</w:t>
      </w:r>
      <w:r>
        <w:rPr>
          <w:spacing w:val="-3"/>
          <w:sz w:val="22"/>
        </w:rPr>
        <w:t> </w:t>
      </w:r>
      <w:r>
        <w:rPr>
          <w:sz w:val="22"/>
        </w:rPr>
        <w:t>años</w:t>
      </w:r>
      <w:r>
        <w:rPr>
          <w:spacing w:val="-3"/>
          <w:sz w:val="22"/>
        </w:rPr>
        <w:t> </w:t>
      </w:r>
      <w:r>
        <w:rPr>
          <w:sz w:val="22"/>
        </w:rPr>
        <w:t>plazo,</w:t>
      </w:r>
      <w:r>
        <w:rPr>
          <w:spacing w:val="-3"/>
          <w:sz w:val="22"/>
        </w:rPr>
        <w:t> </w:t>
      </w:r>
      <w:r>
        <w:rPr>
          <w:sz w:val="22"/>
        </w:rPr>
        <w:t>con</w:t>
      </w:r>
      <w:r>
        <w:rPr>
          <w:spacing w:val="-4"/>
          <w:sz w:val="22"/>
        </w:rPr>
        <w:t> </w:t>
      </w:r>
      <w:r>
        <w:rPr>
          <w:sz w:val="22"/>
        </w:rPr>
        <w:t>una</w:t>
      </w:r>
      <w:r>
        <w:rPr>
          <w:spacing w:val="-2"/>
          <w:sz w:val="22"/>
        </w:rPr>
        <w:t> </w:t>
      </w:r>
      <w:r>
        <w:rPr>
          <w:sz w:val="22"/>
        </w:rPr>
        <w:t>tasa</w:t>
      </w:r>
      <w:r>
        <w:rPr>
          <w:spacing w:val="-3"/>
          <w:sz w:val="22"/>
        </w:rPr>
        <w:t> </w:t>
      </w:r>
      <w:r>
        <w:rPr>
          <w:sz w:val="22"/>
        </w:rPr>
        <w:t>de</w:t>
      </w:r>
      <w:r>
        <w:rPr>
          <w:spacing w:val="-2"/>
          <w:sz w:val="22"/>
        </w:rPr>
        <w:t> </w:t>
      </w:r>
      <w:r>
        <w:rPr>
          <w:sz w:val="22"/>
        </w:rPr>
        <w:t>cupón</w:t>
      </w:r>
      <w:r>
        <w:rPr>
          <w:spacing w:val="-4"/>
          <w:sz w:val="22"/>
        </w:rPr>
        <w:t> </w:t>
      </w:r>
      <w:r>
        <w:rPr>
          <w:sz w:val="22"/>
        </w:rPr>
        <w:t>de</w:t>
      </w:r>
      <w:r>
        <w:rPr>
          <w:spacing w:val="-2"/>
          <w:sz w:val="22"/>
        </w:rPr>
        <w:t> </w:t>
      </w:r>
      <w:r>
        <w:rPr>
          <w:sz w:val="22"/>
        </w:rPr>
        <w:t>4.65%</w:t>
      </w:r>
    </w:p>
    <w:p>
      <w:pPr>
        <w:pStyle w:val="BodyText"/>
        <w:spacing w:before="1"/>
        <w:rPr>
          <w:sz w:val="27"/>
        </w:rPr>
      </w:pPr>
    </w:p>
    <w:p>
      <w:pPr>
        <w:pStyle w:val="BodyText"/>
        <w:spacing w:line="276" w:lineRule="auto"/>
        <w:ind w:left="1270" w:right="1697"/>
        <w:jc w:val="both"/>
      </w:pPr>
      <w:r>
        <w:rPr/>
        <w:t>El evento tuvo una demanda de US$6,417.2 millones, superando en 6.4 veces el monto adjudicado. Esto demuestra la confianza que tienen los inversionistas en los títulos de deuda que emite el Estado de Guatemala, siendo esta la décimo primera emisión que se realiza en el mercado internacional de capitales, desde 1997.</w:t>
      </w:r>
    </w:p>
    <w:p>
      <w:pPr>
        <w:spacing w:after="0" w:line="276" w:lineRule="auto"/>
        <w:jc w:val="both"/>
        <w:sectPr>
          <w:pgSz w:w="12240" w:h="15840"/>
          <w:pgMar w:header="715" w:footer="957" w:top="1240" w:bottom="1140" w:left="1140" w:right="0"/>
        </w:sectPr>
      </w:pPr>
    </w:p>
    <w:p>
      <w:pPr>
        <w:pStyle w:val="BodyText"/>
        <w:spacing w:line="276" w:lineRule="auto" w:before="162"/>
        <w:ind w:left="562" w:right="1702"/>
        <w:jc w:val="both"/>
      </w:pPr>
      <w:r>
        <w:rPr/>
        <w:t>Los desembolsos de préstamos externos al cierre de 2021, se mostraron escasos con un nivel de Q443.7 millones, siendo negativos, derivado que las amortizaciones fueron de Q2,939.9 millones.</w:t>
      </w:r>
    </w:p>
    <w:p>
      <w:pPr>
        <w:pStyle w:val="BodyText"/>
        <w:spacing w:before="7"/>
        <w:rPr>
          <w:sz w:val="25"/>
        </w:rPr>
      </w:pPr>
    </w:p>
    <w:p>
      <w:pPr>
        <w:spacing w:before="0"/>
        <w:ind w:left="1395" w:right="2532" w:firstLine="0"/>
        <w:jc w:val="center"/>
        <w:rPr>
          <w:b/>
          <w:sz w:val="22"/>
        </w:rPr>
      </w:pPr>
      <w:bookmarkStart w:name="_bookmark146" w:id="182"/>
      <w:bookmarkEnd w:id="182"/>
      <w:r>
        <w:rPr/>
      </w:r>
      <w:r>
        <w:rPr>
          <w:b/>
          <w:i/>
          <w:sz w:val="20"/>
        </w:rPr>
        <w:t>Gráfico 76.  </w:t>
      </w:r>
      <w:r>
        <w:rPr>
          <w:b/>
          <w:sz w:val="22"/>
        </w:rPr>
        <w:t>Resultado fiscal</w:t>
      </w:r>
    </w:p>
    <w:p>
      <w:pPr>
        <w:spacing w:before="36"/>
        <w:ind w:left="1395" w:right="2532" w:firstLine="0"/>
        <w:jc w:val="center"/>
        <w:rPr>
          <w:sz w:val="18"/>
        </w:rPr>
      </w:pPr>
      <w:r>
        <w:rPr>
          <w:sz w:val="18"/>
        </w:rPr>
        <w:t>2010 – 2021</w:t>
      </w:r>
    </w:p>
    <w:p>
      <w:pPr>
        <w:spacing w:before="31"/>
        <w:ind w:left="1395" w:right="2528" w:firstLine="0"/>
        <w:jc w:val="center"/>
        <w:rPr>
          <w:sz w:val="18"/>
        </w:rPr>
      </w:pPr>
      <w:r>
        <w:rPr/>
        <w:pict>
          <v:group style="position:absolute;margin-left:115.529999pt;margin-top:41.852352pt;width:393.4pt;height:114.5pt;mso-position-horizontal-relative:page;mso-position-vertical-relative:paragraph;z-index:-280621056" coordorigin="2311,837" coordsize="7868,2290">
            <v:line style="position:absolute" from="9320,1011" to="10004,2953" stroked="true" strokeweight="1.56pt" strokecolor="#c00000">
              <v:stroke dashstyle="dash"/>
            </v:line>
            <v:shape style="position:absolute;left:2487;top:1011;width:6833;height:1973" coordorigin="2488,1011" coordsize="6833,1973" path="m2488,1861l3169,2105,3853,2307,4537,2437,5221,2564,5903,2797,6587,2984,7271,2842,7952,2585,8636,2401,9320,1011e" filled="false" stroked="true" strokeweight="1.56pt" strokecolor="#1f3863">
              <v:path arrowok="t"/>
              <v:stroke dashstyle="solid"/>
            </v:shape>
            <v:shape style="position:absolute;left:2310;top:1684;width:351;height:351" type="#_x0000_t75" stroked="false">
              <v:imagedata r:id="rId162" o:title=""/>
            </v:shape>
            <v:shape style="position:absolute;left:2994;top:1931;width:351;height:351" type="#_x0000_t75" stroked="false">
              <v:imagedata r:id="rId163" o:title=""/>
            </v:shape>
            <v:shape style="position:absolute;left:3678;top:2130;width:351;height:351" type="#_x0000_t75" stroked="false">
              <v:imagedata r:id="rId163" o:title=""/>
            </v:shape>
            <v:shape style="position:absolute;left:4360;top:2262;width:351;height:351" type="#_x0000_t75" stroked="false">
              <v:imagedata r:id="rId163" o:title=""/>
            </v:shape>
            <v:shape style="position:absolute;left:5044;top:2387;width:351;height:351" type="#_x0000_t75" stroked="false">
              <v:imagedata r:id="rId164" o:title=""/>
            </v:shape>
            <v:shape style="position:absolute;left:5728;top:2620;width:351;height:351" type="#_x0000_t75" stroked="false">
              <v:imagedata r:id="rId164" o:title=""/>
            </v:shape>
            <v:shape style="position:absolute;left:7093;top:2665;width:351;height:351" type="#_x0000_t75" stroked="false">
              <v:imagedata r:id="rId165" o:title=""/>
            </v:shape>
            <v:shape style="position:absolute;left:7777;top:2409;width:351;height:351" type="#_x0000_t75" stroked="false">
              <v:imagedata r:id="rId163" o:title=""/>
            </v:shape>
            <v:shape style="position:absolute;left:8461;top:2224;width:351;height:351" type="#_x0000_t75" stroked="false">
              <v:imagedata r:id="rId163" o:title=""/>
            </v:shape>
            <v:shape style="position:absolute;left:9143;top:837;width:351;height:351" type="#_x0000_t75" stroked="false">
              <v:imagedata r:id="rId166" o:title=""/>
            </v:shape>
            <v:shape style="position:absolute;left:9828;top:2776;width:351;height:351" type="#_x0000_t75" stroked="false">
              <v:imagedata r:id="rId167" o:title=""/>
            </v:shape>
            <v:shape style="position:absolute;left:9194;top:906;width:271;height:221" type="#_x0000_t202" filled="false" stroked="false">
              <v:textbox inset="0,0,0,0">
                <w:txbxContent>
                  <w:p>
                    <w:pPr>
                      <w:spacing w:line="221" w:lineRule="exact" w:before="0"/>
                      <w:ind w:left="0" w:right="0" w:firstLine="0"/>
                      <w:jc w:val="left"/>
                      <w:rPr>
                        <w:b/>
                        <w:sz w:val="20"/>
                      </w:rPr>
                    </w:pPr>
                    <w:r>
                      <w:rPr>
                        <w:b/>
                        <w:color w:val="1F3863"/>
                        <w:sz w:val="20"/>
                      </w:rPr>
                      <w:t>4.9</w:t>
                    </w:r>
                  </w:p>
                </w:txbxContent>
              </v:textbox>
              <w10:wrap type="none"/>
            </v:shape>
            <v:shape style="position:absolute;left:2359;top:1755;width:271;height:221" type="#_x0000_t202" filled="false" stroked="false">
              <v:textbox inset="0,0,0,0">
                <w:txbxContent>
                  <w:p>
                    <w:pPr>
                      <w:spacing w:line="221" w:lineRule="exact" w:before="0"/>
                      <w:ind w:left="0" w:right="0" w:firstLine="0"/>
                      <w:jc w:val="left"/>
                      <w:rPr>
                        <w:b/>
                        <w:sz w:val="20"/>
                      </w:rPr>
                    </w:pPr>
                    <w:r>
                      <w:rPr>
                        <w:b/>
                        <w:color w:val="1F3863"/>
                        <w:sz w:val="20"/>
                      </w:rPr>
                      <w:t>3.3</w:t>
                    </w:r>
                  </w:p>
                </w:txbxContent>
              </v:textbox>
              <w10:wrap type="none"/>
            </v:shape>
            <v:shape style="position:absolute;left:3043;top:2001;width:271;height:221" type="#_x0000_t202" filled="false" stroked="false">
              <v:textbox inset="0,0,0,0">
                <w:txbxContent>
                  <w:p>
                    <w:pPr>
                      <w:spacing w:line="221" w:lineRule="exact" w:before="0"/>
                      <w:ind w:left="0" w:right="0" w:firstLine="0"/>
                      <w:jc w:val="left"/>
                      <w:rPr>
                        <w:b/>
                        <w:sz w:val="20"/>
                      </w:rPr>
                    </w:pPr>
                    <w:r>
                      <w:rPr>
                        <w:b/>
                        <w:color w:val="1F3863"/>
                        <w:sz w:val="20"/>
                      </w:rPr>
                      <w:t>2.8</w:t>
                    </w:r>
                  </w:p>
                </w:txbxContent>
              </v:textbox>
              <w10:wrap type="none"/>
            </v:shape>
            <v:shape style="position:absolute;left:3726;top:2202;width:271;height:221" type="#_x0000_t202" filled="false" stroked="false">
              <v:textbox inset="0,0,0,0">
                <w:txbxContent>
                  <w:p>
                    <w:pPr>
                      <w:spacing w:line="221" w:lineRule="exact" w:before="0"/>
                      <w:ind w:left="0" w:right="0" w:firstLine="0"/>
                      <w:jc w:val="left"/>
                      <w:rPr>
                        <w:b/>
                        <w:sz w:val="20"/>
                      </w:rPr>
                    </w:pPr>
                    <w:r>
                      <w:rPr>
                        <w:b/>
                        <w:color w:val="1F3863"/>
                        <w:sz w:val="20"/>
                      </w:rPr>
                      <w:t>2.4</w:t>
                    </w:r>
                  </w:p>
                </w:txbxContent>
              </v:textbox>
              <w10:wrap type="none"/>
            </v:shape>
            <v:shape style="position:absolute;left:4410;top:2332;width:271;height:221" type="#_x0000_t202" filled="false" stroked="false">
              <v:textbox inset="0,0,0,0">
                <w:txbxContent>
                  <w:p>
                    <w:pPr>
                      <w:spacing w:line="221" w:lineRule="exact" w:before="0"/>
                      <w:ind w:left="0" w:right="0" w:firstLine="0"/>
                      <w:jc w:val="left"/>
                      <w:rPr>
                        <w:b/>
                        <w:sz w:val="20"/>
                      </w:rPr>
                    </w:pPr>
                    <w:r>
                      <w:rPr>
                        <w:b/>
                        <w:color w:val="1F3863"/>
                        <w:sz w:val="20"/>
                      </w:rPr>
                      <w:t>2.2</w:t>
                    </w:r>
                  </w:p>
                </w:txbxContent>
              </v:textbox>
              <w10:wrap type="none"/>
            </v:shape>
            <v:shape style="position:absolute;left:5093;top:2458;width:271;height:221" type="#_x0000_t202" filled="false" stroked="false">
              <v:textbox inset="0,0,0,0">
                <w:txbxContent>
                  <w:p>
                    <w:pPr>
                      <w:spacing w:line="221" w:lineRule="exact" w:before="0"/>
                      <w:ind w:left="0" w:right="0" w:firstLine="0"/>
                      <w:jc w:val="left"/>
                      <w:rPr>
                        <w:b/>
                        <w:sz w:val="20"/>
                      </w:rPr>
                    </w:pPr>
                    <w:r>
                      <w:rPr>
                        <w:b/>
                        <w:color w:val="1F3863"/>
                        <w:sz w:val="20"/>
                      </w:rPr>
                      <w:t>1.9</w:t>
                    </w:r>
                  </w:p>
                </w:txbxContent>
              </v:textbox>
              <w10:wrap type="none"/>
            </v:shape>
            <v:shape style="position:absolute;left:8513;top:2295;width:271;height:221" type="#_x0000_t202" filled="false" stroked="false">
              <v:textbox inset="0,0,0,0">
                <w:txbxContent>
                  <w:p>
                    <w:pPr>
                      <w:spacing w:line="221" w:lineRule="exact" w:before="0"/>
                      <w:ind w:left="0" w:right="0" w:firstLine="0"/>
                      <w:jc w:val="left"/>
                      <w:rPr>
                        <w:b/>
                        <w:sz w:val="20"/>
                      </w:rPr>
                    </w:pPr>
                    <w:r>
                      <w:rPr>
                        <w:b/>
                        <w:color w:val="1F3863"/>
                        <w:sz w:val="20"/>
                      </w:rPr>
                      <w:t>2.2</w:t>
                    </w:r>
                  </w:p>
                </w:txbxContent>
              </v:textbox>
              <w10:wrap type="none"/>
            </v:shape>
            <v:shape style="position:absolute;left:7827;top:2479;width:271;height:221" type="#_x0000_t202" filled="false" stroked="false">
              <v:textbox inset="0,0,0,0">
                <w:txbxContent>
                  <w:p>
                    <w:pPr>
                      <w:spacing w:line="221" w:lineRule="exact" w:before="0"/>
                      <w:ind w:left="0" w:right="0" w:firstLine="0"/>
                      <w:jc w:val="left"/>
                      <w:rPr>
                        <w:b/>
                        <w:sz w:val="20"/>
                      </w:rPr>
                    </w:pPr>
                    <w:r>
                      <w:rPr>
                        <w:b/>
                        <w:color w:val="1F3863"/>
                        <w:sz w:val="20"/>
                      </w:rPr>
                      <w:t>1.9</w:t>
                    </w:r>
                  </w:p>
                </w:txbxContent>
              </v:textbox>
              <w10:wrap type="none"/>
            </v:shape>
            <v:shape style="position:absolute;left:5777;top:2691;width:271;height:221" type="#_x0000_t202" filled="false" stroked="false">
              <v:textbox inset="0,0,0,0">
                <w:txbxContent>
                  <w:p>
                    <w:pPr>
                      <w:spacing w:line="221" w:lineRule="exact" w:before="0"/>
                      <w:ind w:left="0" w:right="0" w:firstLine="0"/>
                      <w:jc w:val="left"/>
                      <w:rPr>
                        <w:b/>
                        <w:sz w:val="20"/>
                      </w:rPr>
                    </w:pPr>
                    <w:r>
                      <w:rPr>
                        <w:b/>
                        <w:color w:val="1F3863"/>
                        <w:sz w:val="20"/>
                      </w:rPr>
                      <w:t>1.5</w:t>
                    </w:r>
                  </w:p>
                </w:txbxContent>
              </v:textbox>
              <w10:wrap type="none"/>
            </v:shape>
            <v:shape style="position:absolute;left:7144;top:2736;width:271;height:221" type="#_x0000_t202" filled="false" stroked="false">
              <v:textbox inset="0,0,0,0">
                <w:txbxContent>
                  <w:p>
                    <w:pPr>
                      <w:spacing w:line="221" w:lineRule="exact" w:before="0"/>
                      <w:ind w:left="0" w:right="0" w:firstLine="0"/>
                      <w:jc w:val="left"/>
                      <w:rPr>
                        <w:b/>
                        <w:sz w:val="20"/>
                      </w:rPr>
                    </w:pPr>
                    <w:r>
                      <w:rPr>
                        <w:b/>
                        <w:color w:val="1F3863"/>
                        <w:sz w:val="20"/>
                      </w:rPr>
                      <w:t>1.4</w:t>
                    </w:r>
                  </w:p>
                </w:txbxContent>
              </v:textbox>
              <w10:wrap type="none"/>
            </v:shape>
            <w10:wrap type="none"/>
          </v:group>
        </w:pict>
      </w:r>
      <w:r>
        <w:rPr>
          <w:sz w:val="18"/>
        </w:rPr>
        <w:t>-Porcentajes del PIB-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p>
    <w:tbl>
      <w:tblPr>
        <w:tblW w:w="0" w:type="auto"/>
        <w:jc w:val="left"/>
        <w:tblInd w:w="1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3"/>
        <w:gridCol w:w="683"/>
        <w:gridCol w:w="683"/>
        <w:gridCol w:w="683"/>
        <w:gridCol w:w="683"/>
        <w:gridCol w:w="683"/>
        <w:gridCol w:w="683"/>
        <w:gridCol w:w="683"/>
        <w:gridCol w:w="683"/>
        <w:gridCol w:w="683"/>
        <w:gridCol w:w="683"/>
        <w:gridCol w:w="680"/>
      </w:tblGrid>
      <w:tr>
        <w:trPr>
          <w:trHeight w:val="702" w:hRule="atLeast"/>
        </w:trPr>
        <w:tc>
          <w:tcPr>
            <w:tcW w:w="4098" w:type="dxa"/>
            <w:gridSpan w:val="6"/>
            <w:tcBorders>
              <w:bottom w:val="single" w:sz="6" w:space="0" w:color="D9D9D9"/>
            </w:tcBorders>
          </w:tcPr>
          <w:p>
            <w:pPr>
              <w:pStyle w:val="TableParagraph"/>
              <w:rPr>
                <w:sz w:val="20"/>
              </w:rPr>
            </w:pPr>
          </w:p>
        </w:tc>
        <w:tc>
          <w:tcPr>
            <w:tcW w:w="683" w:type="dxa"/>
            <w:tcBorders>
              <w:bottom w:val="single" w:sz="6" w:space="0" w:color="D9D9D9"/>
            </w:tcBorders>
          </w:tcPr>
          <w:p>
            <w:pPr>
              <w:pStyle w:val="TableParagraph"/>
              <w:spacing w:before="21"/>
              <w:ind w:left="139" w:right="138"/>
              <w:jc w:val="center"/>
              <w:rPr>
                <w:b/>
                <w:sz w:val="20"/>
              </w:rPr>
            </w:pPr>
            <w:r>
              <w:rPr>
                <w:b/>
                <w:color w:val="1F3863"/>
                <w:sz w:val="20"/>
              </w:rPr>
              <w:t>1.1</w:t>
            </w:r>
          </w:p>
        </w:tc>
        <w:tc>
          <w:tcPr>
            <w:tcW w:w="683" w:type="dxa"/>
            <w:tcBorders>
              <w:bottom w:val="single" w:sz="6" w:space="0" w:color="D9D9D9"/>
            </w:tcBorders>
          </w:tcPr>
          <w:p>
            <w:pPr>
              <w:pStyle w:val="TableParagraph"/>
              <w:rPr>
                <w:sz w:val="20"/>
              </w:rPr>
            </w:pPr>
          </w:p>
        </w:tc>
        <w:tc>
          <w:tcPr>
            <w:tcW w:w="683" w:type="dxa"/>
            <w:tcBorders>
              <w:bottom w:val="single" w:sz="6" w:space="0" w:color="D9D9D9"/>
            </w:tcBorders>
          </w:tcPr>
          <w:p>
            <w:pPr>
              <w:pStyle w:val="TableParagraph"/>
              <w:rPr>
                <w:sz w:val="20"/>
              </w:rPr>
            </w:pPr>
          </w:p>
        </w:tc>
        <w:tc>
          <w:tcPr>
            <w:tcW w:w="683" w:type="dxa"/>
            <w:tcBorders>
              <w:bottom w:val="single" w:sz="6" w:space="0" w:color="D9D9D9"/>
            </w:tcBorders>
          </w:tcPr>
          <w:p>
            <w:pPr>
              <w:pStyle w:val="TableParagraph"/>
              <w:rPr>
                <w:sz w:val="20"/>
              </w:rPr>
            </w:pPr>
          </w:p>
        </w:tc>
        <w:tc>
          <w:tcPr>
            <w:tcW w:w="683" w:type="dxa"/>
            <w:tcBorders>
              <w:bottom w:val="single" w:sz="6" w:space="0" w:color="D9D9D9"/>
            </w:tcBorders>
          </w:tcPr>
          <w:p>
            <w:pPr>
              <w:pStyle w:val="TableParagraph"/>
              <w:rPr>
                <w:sz w:val="20"/>
              </w:rPr>
            </w:pPr>
          </w:p>
        </w:tc>
        <w:tc>
          <w:tcPr>
            <w:tcW w:w="680" w:type="dxa"/>
            <w:tcBorders>
              <w:bottom w:val="single" w:sz="6" w:space="0" w:color="D9D9D9"/>
            </w:tcBorders>
          </w:tcPr>
          <w:p>
            <w:pPr>
              <w:pStyle w:val="TableParagraph"/>
              <w:spacing w:line="221" w:lineRule="exact"/>
              <w:ind w:left="142" w:right="133"/>
              <w:jc w:val="center"/>
              <w:rPr>
                <w:b/>
                <w:sz w:val="20"/>
              </w:rPr>
            </w:pPr>
            <w:r>
              <w:rPr>
                <w:b/>
                <w:color w:val="1F3863"/>
                <w:sz w:val="20"/>
              </w:rPr>
              <w:t>1.2</w:t>
            </w:r>
          </w:p>
        </w:tc>
      </w:tr>
      <w:tr>
        <w:trPr>
          <w:trHeight w:val="300" w:hRule="atLeast"/>
        </w:trPr>
        <w:tc>
          <w:tcPr>
            <w:tcW w:w="683" w:type="dxa"/>
            <w:tcBorders>
              <w:top w:val="single" w:sz="6" w:space="0" w:color="D9D9D9"/>
            </w:tcBorders>
          </w:tcPr>
          <w:p>
            <w:pPr>
              <w:pStyle w:val="TableParagraph"/>
              <w:spacing w:line="187" w:lineRule="exact" w:before="93"/>
              <w:ind w:left="161"/>
              <w:rPr>
                <w:sz w:val="18"/>
              </w:rPr>
            </w:pPr>
            <w:r>
              <w:rPr>
                <w:sz w:val="18"/>
              </w:rPr>
              <w:t>2010</w:t>
            </w:r>
          </w:p>
        </w:tc>
        <w:tc>
          <w:tcPr>
            <w:tcW w:w="683" w:type="dxa"/>
            <w:tcBorders>
              <w:top w:val="single" w:sz="6" w:space="0" w:color="D9D9D9"/>
            </w:tcBorders>
          </w:tcPr>
          <w:p>
            <w:pPr>
              <w:pStyle w:val="TableParagraph"/>
              <w:spacing w:line="187" w:lineRule="exact" w:before="93"/>
              <w:ind w:left="161"/>
              <w:rPr>
                <w:sz w:val="18"/>
              </w:rPr>
            </w:pPr>
            <w:r>
              <w:rPr>
                <w:sz w:val="18"/>
              </w:rPr>
              <w:t>2011</w:t>
            </w:r>
          </w:p>
        </w:tc>
        <w:tc>
          <w:tcPr>
            <w:tcW w:w="683" w:type="dxa"/>
            <w:tcBorders>
              <w:top w:val="single" w:sz="6" w:space="0" w:color="D9D9D9"/>
            </w:tcBorders>
          </w:tcPr>
          <w:p>
            <w:pPr>
              <w:pStyle w:val="TableParagraph"/>
              <w:spacing w:line="187" w:lineRule="exact" w:before="93"/>
              <w:ind w:left="162"/>
              <w:rPr>
                <w:sz w:val="18"/>
              </w:rPr>
            </w:pPr>
            <w:r>
              <w:rPr>
                <w:sz w:val="18"/>
              </w:rPr>
              <w:t>2012</w:t>
            </w:r>
          </w:p>
        </w:tc>
        <w:tc>
          <w:tcPr>
            <w:tcW w:w="683" w:type="dxa"/>
            <w:tcBorders>
              <w:top w:val="single" w:sz="6" w:space="0" w:color="D9D9D9"/>
            </w:tcBorders>
          </w:tcPr>
          <w:p>
            <w:pPr>
              <w:pStyle w:val="TableParagraph"/>
              <w:spacing w:line="187" w:lineRule="exact" w:before="93"/>
              <w:ind w:left="162"/>
              <w:rPr>
                <w:sz w:val="18"/>
              </w:rPr>
            </w:pPr>
            <w:r>
              <w:rPr>
                <w:sz w:val="18"/>
              </w:rPr>
              <w:t>2013</w:t>
            </w:r>
          </w:p>
        </w:tc>
        <w:tc>
          <w:tcPr>
            <w:tcW w:w="683" w:type="dxa"/>
            <w:tcBorders>
              <w:top w:val="single" w:sz="6" w:space="0" w:color="D9D9D9"/>
            </w:tcBorders>
          </w:tcPr>
          <w:p>
            <w:pPr>
              <w:pStyle w:val="TableParagraph"/>
              <w:spacing w:line="187" w:lineRule="exact" w:before="93"/>
              <w:ind w:left="163"/>
              <w:rPr>
                <w:sz w:val="18"/>
              </w:rPr>
            </w:pPr>
            <w:r>
              <w:rPr>
                <w:sz w:val="18"/>
              </w:rPr>
              <w:t>2014</w:t>
            </w:r>
          </w:p>
        </w:tc>
        <w:tc>
          <w:tcPr>
            <w:tcW w:w="683" w:type="dxa"/>
            <w:tcBorders>
              <w:top w:val="single" w:sz="6" w:space="0" w:color="D9D9D9"/>
            </w:tcBorders>
          </w:tcPr>
          <w:p>
            <w:pPr>
              <w:pStyle w:val="TableParagraph"/>
              <w:spacing w:line="187" w:lineRule="exact" w:before="93"/>
              <w:ind w:left="163"/>
              <w:rPr>
                <w:sz w:val="18"/>
              </w:rPr>
            </w:pPr>
            <w:r>
              <w:rPr>
                <w:sz w:val="18"/>
              </w:rPr>
              <w:t>2015</w:t>
            </w:r>
          </w:p>
        </w:tc>
        <w:tc>
          <w:tcPr>
            <w:tcW w:w="683" w:type="dxa"/>
            <w:tcBorders>
              <w:top w:val="single" w:sz="6" w:space="0" w:color="D9D9D9"/>
            </w:tcBorders>
          </w:tcPr>
          <w:p>
            <w:pPr>
              <w:pStyle w:val="TableParagraph"/>
              <w:spacing w:line="187" w:lineRule="exact" w:before="93"/>
              <w:ind w:left="144" w:right="138"/>
              <w:jc w:val="center"/>
              <w:rPr>
                <w:sz w:val="18"/>
              </w:rPr>
            </w:pPr>
            <w:r>
              <w:rPr>
                <w:sz w:val="18"/>
              </w:rPr>
              <w:t>2016</w:t>
            </w:r>
          </w:p>
        </w:tc>
        <w:tc>
          <w:tcPr>
            <w:tcW w:w="683" w:type="dxa"/>
            <w:tcBorders>
              <w:top w:val="single" w:sz="6" w:space="0" w:color="D9D9D9"/>
            </w:tcBorders>
          </w:tcPr>
          <w:p>
            <w:pPr>
              <w:pStyle w:val="TableParagraph"/>
              <w:spacing w:line="187" w:lineRule="exact" w:before="93"/>
              <w:ind w:left="165"/>
              <w:rPr>
                <w:sz w:val="18"/>
              </w:rPr>
            </w:pPr>
            <w:r>
              <w:rPr>
                <w:sz w:val="18"/>
              </w:rPr>
              <w:t>2017</w:t>
            </w:r>
          </w:p>
        </w:tc>
        <w:tc>
          <w:tcPr>
            <w:tcW w:w="683" w:type="dxa"/>
            <w:tcBorders>
              <w:top w:val="single" w:sz="6" w:space="0" w:color="D9D9D9"/>
            </w:tcBorders>
          </w:tcPr>
          <w:p>
            <w:pPr>
              <w:pStyle w:val="TableParagraph"/>
              <w:spacing w:line="187" w:lineRule="exact" w:before="93"/>
              <w:ind w:left="165"/>
              <w:rPr>
                <w:sz w:val="18"/>
              </w:rPr>
            </w:pPr>
            <w:r>
              <w:rPr>
                <w:sz w:val="18"/>
              </w:rPr>
              <w:t>2018</w:t>
            </w:r>
          </w:p>
        </w:tc>
        <w:tc>
          <w:tcPr>
            <w:tcW w:w="683" w:type="dxa"/>
            <w:tcBorders>
              <w:top w:val="single" w:sz="6" w:space="0" w:color="D9D9D9"/>
            </w:tcBorders>
          </w:tcPr>
          <w:p>
            <w:pPr>
              <w:pStyle w:val="TableParagraph"/>
              <w:spacing w:line="187" w:lineRule="exact" w:before="93"/>
              <w:ind w:left="165"/>
              <w:rPr>
                <w:sz w:val="18"/>
              </w:rPr>
            </w:pPr>
            <w:r>
              <w:rPr>
                <w:sz w:val="18"/>
              </w:rPr>
              <w:t>2019</w:t>
            </w:r>
          </w:p>
        </w:tc>
        <w:tc>
          <w:tcPr>
            <w:tcW w:w="683" w:type="dxa"/>
            <w:tcBorders>
              <w:top w:val="single" w:sz="6" w:space="0" w:color="D9D9D9"/>
            </w:tcBorders>
          </w:tcPr>
          <w:p>
            <w:pPr>
              <w:pStyle w:val="TableParagraph"/>
              <w:spacing w:line="187" w:lineRule="exact" w:before="93"/>
              <w:ind w:left="166"/>
              <w:rPr>
                <w:sz w:val="18"/>
              </w:rPr>
            </w:pPr>
            <w:r>
              <w:rPr>
                <w:sz w:val="18"/>
              </w:rPr>
              <w:t>2020</w:t>
            </w:r>
          </w:p>
        </w:tc>
        <w:tc>
          <w:tcPr>
            <w:tcW w:w="680" w:type="dxa"/>
            <w:tcBorders>
              <w:top w:val="single" w:sz="6" w:space="0" w:color="D9D9D9"/>
            </w:tcBorders>
          </w:tcPr>
          <w:p>
            <w:pPr>
              <w:pStyle w:val="TableParagraph"/>
              <w:spacing w:line="187" w:lineRule="exact" w:before="93"/>
              <w:ind w:left="147" w:right="133"/>
              <w:jc w:val="center"/>
              <w:rPr>
                <w:sz w:val="18"/>
              </w:rPr>
            </w:pPr>
            <w:r>
              <w:rPr>
                <w:sz w:val="18"/>
              </w:rPr>
              <w:t>2021</w:t>
            </w:r>
          </w:p>
        </w:tc>
      </w:tr>
    </w:tbl>
    <w:p>
      <w:pPr>
        <w:pStyle w:val="BodyText"/>
        <w:spacing w:before="3"/>
        <w:rPr>
          <w:sz w:val="23"/>
        </w:rPr>
      </w:pPr>
    </w:p>
    <w:p>
      <w:pPr>
        <w:spacing w:before="1"/>
        <w:ind w:left="1128" w:right="0" w:firstLine="0"/>
        <w:jc w:val="left"/>
        <w:rPr>
          <w:sz w:val="16"/>
        </w:rPr>
      </w:pPr>
      <w:r>
        <w:rPr/>
        <w:drawing>
          <wp:anchor distT="0" distB="0" distL="0" distR="0" allowOverlap="1" layoutInCell="1" locked="0" behindDoc="1" simplePos="0" relativeHeight="222696448">
            <wp:simplePos x="0" y="0"/>
            <wp:positionH relativeFrom="page">
              <wp:posOffset>4070222</wp:posOffset>
            </wp:positionH>
            <wp:positionV relativeFrom="paragraph">
              <wp:posOffset>-842407</wp:posOffset>
            </wp:positionV>
            <wp:extent cx="223456" cy="223456"/>
            <wp:effectExtent l="0" t="0" r="0" b="0"/>
            <wp:wrapNone/>
            <wp:docPr id="67" name="image162.png"/>
            <wp:cNvGraphicFramePr>
              <a:graphicFrameLocks noChangeAspect="1"/>
            </wp:cNvGraphicFramePr>
            <a:graphic>
              <a:graphicData uri="http://schemas.openxmlformats.org/drawingml/2006/picture">
                <pic:pic>
                  <pic:nvPicPr>
                    <pic:cNvPr id="68" name="image162.png"/>
                    <pic:cNvPicPr/>
                  </pic:nvPicPr>
                  <pic:blipFill>
                    <a:blip r:embed="rId168" cstate="print"/>
                    <a:stretch>
                      <a:fillRect/>
                    </a:stretch>
                  </pic:blipFill>
                  <pic:spPr>
                    <a:xfrm>
                      <a:off x="0" y="0"/>
                      <a:ext cx="223456" cy="223456"/>
                    </a:xfrm>
                    <a:prstGeom prst="rect">
                      <a:avLst/>
                    </a:prstGeom>
                  </pic:spPr>
                </pic:pic>
              </a:graphicData>
            </a:graphic>
          </wp:anchor>
        </w:drawing>
      </w:r>
      <w:r>
        <w:rPr>
          <w:sz w:val="16"/>
        </w:rPr>
        <w:t>Fuente: Dirección de Análisis y Política Fiscal</w:t>
      </w:r>
    </w:p>
    <w:p>
      <w:pPr>
        <w:pStyle w:val="BodyText"/>
        <w:rPr>
          <w:sz w:val="18"/>
        </w:rPr>
      </w:pPr>
    </w:p>
    <w:p>
      <w:pPr>
        <w:pStyle w:val="Heading2"/>
        <w:numPr>
          <w:ilvl w:val="1"/>
          <w:numId w:val="14"/>
        </w:numPr>
        <w:tabs>
          <w:tab w:pos="1270" w:val="left" w:leader="none"/>
        </w:tabs>
        <w:spacing w:line="240" w:lineRule="auto" w:before="112" w:after="0"/>
        <w:ind w:left="1270" w:right="0" w:hanging="432"/>
        <w:jc w:val="left"/>
      </w:pPr>
      <w:bookmarkStart w:name="_bookmark147" w:id="183"/>
      <w:bookmarkEnd w:id="183"/>
      <w:r>
        <w:rPr>
          <w:b w:val="0"/>
        </w:rPr>
      </w:r>
      <w:bookmarkStart w:name="_bookmark147" w:id="184"/>
      <w:bookmarkEnd w:id="184"/>
      <w:r>
        <w:rPr/>
        <w:t>R</w:t>
      </w:r>
      <w:r>
        <w:rPr/>
        <w:t>esultado del sector público no financiero</w:t>
      </w:r>
      <w:r>
        <w:rPr>
          <w:spacing w:val="-4"/>
        </w:rPr>
        <w:t> </w:t>
      </w:r>
      <w:r>
        <w:rPr/>
        <w:t>consolidado</w:t>
      </w:r>
    </w:p>
    <w:p>
      <w:pPr>
        <w:pStyle w:val="BodyText"/>
        <w:spacing w:before="6"/>
        <w:rPr>
          <w:b/>
          <w:sz w:val="28"/>
        </w:rPr>
      </w:pPr>
    </w:p>
    <w:p>
      <w:pPr>
        <w:pStyle w:val="BodyText"/>
        <w:spacing w:line="276" w:lineRule="auto" w:before="1"/>
        <w:ind w:left="562" w:right="1695"/>
        <w:jc w:val="both"/>
      </w:pPr>
      <w:r>
        <w:rPr/>
        <w:t>El sector público no financiero -SPNF- considera las entidades de la Administración Central (Presidencia, Ministerios, Secretarías, Obligaciones del Estado, Servicio de la deuda Pública y la Procuraduría General de la Nación, el Organismo Judicial, el Congreso de la República, todos los órganos de control jurídico-administrativo y político), las entidades descentralizadas y autónomas, las entidades de seguridad social, las municipalidades, mancomunidades y las empresas públicas nacionales y municipales. Se excluye de esta clasificación a las empresas públicas financieras como BANGUAT, SIB, CHN y CORFINA.</w:t>
      </w:r>
    </w:p>
    <w:p>
      <w:pPr>
        <w:pStyle w:val="BodyText"/>
        <w:spacing w:before="1"/>
        <w:rPr>
          <w:sz w:val="25"/>
        </w:rPr>
      </w:pPr>
    </w:p>
    <w:p>
      <w:pPr>
        <w:pStyle w:val="BodyText"/>
        <w:spacing w:line="276" w:lineRule="auto" w:before="1"/>
        <w:ind w:left="562" w:right="1695"/>
        <w:jc w:val="both"/>
      </w:pPr>
      <w:r>
        <w:rPr/>
        <w:t>Es importante resaltar que la información que se presenta a continuación corresponde a cifras consolidadas, esto con la finalidad de presentar al SPNF como una sola unidad económica. Para efectos de consolidación se eliminan las operaciones reciprocas que se producen entre las diferentes entidades que conforman el SPNF, principalmente transferencias, algunos servicios, traslado de utilidades, intereses de deuda entre entidades, entre otros rubros.</w:t>
      </w:r>
    </w:p>
    <w:p>
      <w:pPr>
        <w:pStyle w:val="BodyText"/>
        <w:spacing w:before="5"/>
        <w:rPr>
          <w:sz w:val="25"/>
        </w:rPr>
      </w:pPr>
    </w:p>
    <w:p>
      <w:pPr>
        <w:pStyle w:val="BodyText"/>
        <w:spacing w:line="276" w:lineRule="auto"/>
        <w:ind w:left="562" w:right="1693"/>
        <w:jc w:val="both"/>
      </w:pPr>
      <w:r>
        <w:rPr/>
        <w:t>Para 2021, los ingresos totales a nivel del Sector Público no Financiero se sitúan en torno al 16.6% del PIB y siendo la recaudación tributaria la principal fuente de financiamiento con el 72.4% sobre los ingresos totales consolidados seguido de los ingresos no tributarios (que contine a las contribuciones sociales) con el 27.4% y los ingresos de capital son el restante 0.2%.</w:t>
      </w:r>
    </w:p>
    <w:p>
      <w:pPr>
        <w:pStyle w:val="BodyText"/>
        <w:spacing w:before="3"/>
        <w:rPr>
          <w:sz w:val="25"/>
        </w:rPr>
      </w:pPr>
    </w:p>
    <w:p>
      <w:pPr>
        <w:pStyle w:val="BodyText"/>
        <w:spacing w:line="276" w:lineRule="auto" w:before="1"/>
        <w:ind w:left="562" w:right="1695"/>
        <w:jc w:val="both"/>
      </w:pPr>
      <w:r>
        <w:rPr/>
        <w:t>Los ingresos tributarios a nivel del SPNF contiene adicionalmente a los impuestos que recaudan la Superintendencia de Administración Tributaria – SAT – lo recaudados por entidades como el INGUAT por impuestos hoteleros y las municipalidades (principalmente por IUSI). Estos se elevan</w:t>
      </w:r>
    </w:p>
    <w:p>
      <w:pPr>
        <w:spacing w:after="0" w:line="276" w:lineRule="auto"/>
        <w:jc w:val="both"/>
        <w:sectPr>
          <w:pgSz w:w="12240" w:h="15840"/>
          <w:pgMar w:header="715" w:footer="957" w:top="1240" w:bottom="1140" w:left="1140" w:right="0"/>
        </w:sectPr>
      </w:pPr>
    </w:p>
    <w:p>
      <w:pPr>
        <w:pStyle w:val="BodyText"/>
        <w:spacing w:line="276" w:lineRule="auto" w:before="162"/>
        <w:ind w:left="562" w:right="1694"/>
        <w:jc w:val="both"/>
      </w:pPr>
      <w:r>
        <w:rPr/>
        <w:t>al 12% del PIB para el 2021 y en términos interanuales, es un aumento de 1.7 puntos porcentuales respecto</w:t>
      </w:r>
      <w:r>
        <w:rPr>
          <w:spacing w:val="-4"/>
        </w:rPr>
        <w:t> </w:t>
      </w:r>
      <w:r>
        <w:rPr/>
        <w:t>a</w:t>
      </w:r>
      <w:r>
        <w:rPr>
          <w:spacing w:val="-2"/>
        </w:rPr>
        <w:t> </w:t>
      </w:r>
      <w:r>
        <w:rPr/>
        <w:t>lo</w:t>
      </w:r>
      <w:r>
        <w:rPr>
          <w:spacing w:val="-3"/>
        </w:rPr>
        <w:t> </w:t>
      </w:r>
      <w:r>
        <w:rPr/>
        <w:t>observado</w:t>
      </w:r>
      <w:r>
        <w:rPr>
          <w:spacing w:val="-3"/>
        </w:rPr>
        <w:t> </w:t>
      </w:r>
      <w:r>
        <w:rPr/>
        <w:t>en</w:t>
      </w:r>
      <w:r>
        <w:rPr>
          <w:spacing w:val="-4"/>
        </w:rPr>
        <w:t> </w:t>
      </w:r>
      <w:r>
        <w:rPr/>
        <w:t>2020</w:t>
      </w:r>
      <w:r>
        <w:rPr>
          <w:spacing w:val="-3"/>
        </w:rPr>
        <w:t> </w:t>
      </w:r>
      <w:r>
        <w:rPr/>
        <w:t>que</w:t>
      </w:r>
      <w:r>
        <w:rPr>
          <w:spacing w:val="-3"/>
        </w:rPr>
        <w:t> </w:t>
      </w:r>
      <w:r>
        <w:rPr/>
        <w:t>fue</w:t>
      </w:r>
      <w:r>
        <w:rPr>
          <w:spacing w:val="-2"/>
        </w:rPr>
        <w:t> </w:t>
      </w:r>
      <w:r>
        <w:rPr/>
        <w:t>de</w:t>
      </w:r>
      <w:r>
        <w:rPr>
          <w:spacing w:val="-2"/>
        </w:rPr>
        <w:t> </w:t>
      </w:r>
      <w:r>
        <w:rPr/>
        <w:t>10.3%</w:t>
      </w:r>
      <w:r>
        <w:rPr>
          <w:spacing w:val="-2"/>
        </w:rPr>
        <w:t> </w:t>
      </w:r>
      <w:r>
        <w:rPr/>
        <w:t>del</w:t>
      </w:r>
      <w:r>
        <w:rPr>
          <w:spacing w:val="-3"/>
        </w:rPr>
        <w:t> </w:t>
      </w:r>
      <w:r>
        <w:rPr/>
        <w:t>PIB.</w:t>
      </w:r>
      <w:r>
        <w:rPr>
          <w:spacing w:val="-3"/>
        </w:rPr>
        <w:t> </w:t>
      </w:r>
      <w:r>
        <w:rPr/>
        <w:t>El</w:t>
      </w:r>
      <w:r>
        <w:rPr>
          <w:spacing w:val="-2"/>
        </w:rPr>
        <w:t> </w:t>
      </w:r>
      <w:r>
        <w:rPr/>
        <w:t>buen</w:t>
      </w:r>
      <w:r>
        <w:rPr>
          <w:spacing w:val="-3"/>
        </w:rPr>
        <w:t> </w:t>
      </w:r>
      <w:r>
        <w:rPr/>
        <w:t>comportamiento</w:t>
      </w:r>
      <w:r>
        <w:rPr>
          <w:spacing w:val="-3"/>
        </w:rPr>
        <w:t> </w:t>
      </w:r>
      <w:r>
        <w:rPr/>
        <w:t>observado</w:t>
      </w:r>
      <w:r>
        <w:rPr>
          <w:spacing w:val="-2"/>
        </w:rPr>
        <w:t> </w:t>
      </w:r>
      <w:r>
        <w:rPr/>
        <w:t>en</w:t>
      </w:r>
      <w:r>
        <w:rPr>
          <w:spacing w:val="-2"/>
        </w:rPr>
        <w:t> </w:t>
      </w:r>
      <w:r>
        <w:rPr/>
        <w:t>la recaudación</w:t>
      </w:r>
      <w:r>
        <w:rPr>
          <w:spacing w:val="-12"/>
        </w:rPr>
        <w:t> </w:t>
      </w:r>
      <w:r>
        <w:rPr/>
        <w:t>durante</w:t>
      </w:r>
      <w:r>
        <w:rPr>
          <w:spacing w:val="-8"/>
        </w:rPr>
        <w:t> </w:t>
      </w:r>
      <w:r>
        <w:rPr/>
        <w:t>el</w:t>
      </w:r>
      <w:r>
        <w:rPr>
          <w:spacing w:val="-8"/>
        </w:rPr>
        <w:t> </w:t>
      </w:r>
      <w:r>
        <w:rPr/>
        <w:t>año</w:t>
      </w:r>
      <w:r>
        <w:rPr>
          <w:spacing w:val="-13"/>
        </w:rPr>
        <w:t> </w:t>
      </w:r>
      <w:r>
        <w:rPr/>
        <w:t>es</w:t>
      </w:r>
      <w:r>
        <w:rPr>
          <w:spacing w:val="-8"/>
        </w:rPr>
        <w:t> </w:t>
      </w:r>
      <w:r>
        <w:rPr/>
        <w:t>explicado</w:t>
      </w:r>
      <w:r>
        <w:rPr>
          <w:spacing w:val="-8"/>
        </w:rPr>
        <w:t> </w:t>
      </w:r>
      <w:r>
        <w:rPr/>
        <w:t>por</w:t>
      </w:r>
      <w:r>
        <w:rPr>
          <w:spacing w:val="-9"/>
        </w:rPr>
        <w:t> </w:t>
      </w:r>
      <w:r>
        <w:rPr/>
        <w:t>medidas</w:t>
      </w:r>
      <w:r>
        <w:rPr>
          <w:spacing w:val="-10"/>
        </w:rPr>
        <w:t> </w:t>
      </w:r>
      <w:r>
        <w:rPr/>
        <w:t>implementadas</w:t>
      </w:r>
      <w:r>
        <w:rPr>
          <w:spacing w:val="-8"/>
        </w:rPr>
        <w:t> </w:t>
      </w:r>
      <w:r>
        <w:rPr/>
        <w:t>por</w:t>
      </w:r>
      <w:r>
        <w:rPr>
          <w:spacing w:val="-9"/>
        </w:rPr>
        <w:t> </w:t>
      </w:r>
      <w:r>
        <w:rPr/>
        <w:t>la</w:t>
      </w:r>
      <w:r>
        <w:rPr>
          <w:spacing w:val="-8"/>
        </w:rPr>
        <w:t> </w:t>
      </w:r>
      <w:r>
        <w:rPr/>
        <w:t>SAT</w:t>
      </w:r>
      <w:r>
        <w:rPr>
          <w:spacing w:val="-7"/>
        </w:rPr>
        <w:t> </w:t>
      </w:r>
      <w:r>
        <w:rPr/>
        <w:t>y</w:t>
      </w:r>
      <w:r>
        <w:rPr>
          <w:spacing w:val="-12"/>
        </w:rPr>
        <w:t> </w:t>
      </w:r>
      <w:r>
        <w:rPr/>
        <w:t>al</w:t>
      </w:r>
      <w:r>
        <w:rPr>
          <w:spacing w:val="-10"/>
        </w:rPr>
        <w:t> </w:t>
      </w:r>
      <w:r>
        <w:rPr/>
        <w:t>comportamiento de las principales variables macroeconómicas. Los impuestos directos se situaron en torno al 4.5% del PIB siendo un incremento de 0.7 puntos porcentuales respecto a lo observado en el año previo y los impuestos indirectos recaudaron 7.5% del PIB con un aumento de 1 puntos</w:t>
      </w:r>
      <w:r>
        <w:rPr>
          <w:spacing w:val="-11"/>
        </w:rPr>
        <w:t> </w:t>
      </w:r>
      <w:r>
        <w:rPr/>
        <w:t>porcentuales.</w:t>
      </w:r>
    </w:p>
    <w:p>
      <w:pPr>
        <w:pStyle w:val="BodyText"/>
        <w:spacing w:before="2"/>
        <w:rPr>
          <w:sz w:val="25"/>
        </w:rPr>
      </w:pPr>
    </w:p>
    <w:p>
      <w:pPr>
        <w:pStyle w:val="BodyText"/>
        <w:spacing w:line="276" w:lineRule="auto"/>
        <w:ind w:left="562" w:right="1696"/>
        <w:jc w:val="both"/>
      </w:pPr>
      <w:r>
        <w:rPr/>
        <w:t>En lo que respecta a los ingresos no tributarios, estos equivalen al 4.5% del PIB siendo un aumento de</w:t>
      </w:r>
      <w:r>
        <w:rPr>
          <w:spacing w:val="-4"/>
        </w:rPr>
        <w:t> </w:t>
      </w:r>
      <w:r>
        <w:rPr/>
        <w:t>0.2</w:t>
      </w:r>
      <w:r>
        <w:rPr>
          <w:spacing w:val="-5"/>
        </w:rPr>
        <w:t> </w:t>
      </w:r>
      <w:r>
        <w:rPr/>
        <w:t>puntos</w:t>
      </w:r>
      <w:r>
        <w:rPr>
          <w:spacing w:val="-3"/>
        </w:rPr>
        <w:t> </w:t>
      </w:r>
      <w:r>
        <w:rPr/>
        <w:t>porcentuales</w:t>
      </w:r>
      <w:r>
        <w:rPr>
          <w:spacing w:val="-9"/>
        </w:rPr>
        <w:t> </w:t>
      </w:r>
      <w:r>
        <w:rPr/>
        <w:t>respecto</w:t>
      </w:r>
      <w:r>
        <w:rPr>
          <w:spacing w:val="-4"/>
        </w:rPr>
        <w:t> </w:t>
      </w:r>
      <w:r>
        <w:rPr/>
        <w:t>a</w:t>
      </w:r>
      <w:r>
        <w:rPr>
          <w:spacing w:val="-7"/>
        </w:rPr>
        <w:t> </w:t>
      </w:r>
      <w:r>
        <w:rPr/>
        <w:t>lo</w:t>
      </w:r>
      <w:r>
        <w:rPr>
          <w:spacing w:val="-4"/>
        </w:rPr>
        <w:t> </w:t>
      </w:r>
      <w:r>
        <w:rPr/>
        <w:t>observado</w:t>
      </w:r>
      <w:r>
        <w:rPr>
          <w:spacing w:val="-7"/>
        </w:rPr>
        <w:t> </w:t>
      </w:r>
      <w:r>
        <w:rPr/>
        <w:t>en</w:t>
      </w:r>
      <w:r>
        <w:rPr>
          <w:spacing w:val="-6"/>
        </w:rPr>
        <w:t> </w:t>
      </w:r>
      <w:r>
        <w:rPr/>
        <w:t>2020.</w:t>
      </w:r>
      <w:r>
        <w:rPr>
          <w:spacing w:val="-5"/>
        </w:rPr>
        <w:t> </w:t>
      </w:r>
      <w:r>
        <w:rPr/>
        <w:t>En</w:t>
      </w:r>
      <w:r>
        <w:rPr>
          <w:spacing w:val="-4"/>
        </w:rPr>
        <w:t> </w:t>
      </w:r>
      <w:r>
        <w:rPr/>
        <w:t>esta</w:t>
      </w:r>
      <w:r>
        <w:rPr>
          <w:spacing w:val="-4"/>
        </w:rPr>
        <w:t> </w:t>
      </w:r>
      <w:r>
        <w:rPr/>
        <w:t>cuenta,</w:t>
      </w:r>
      <w:r>
        <w:rPr>
          <w:spacing w:val="-4"/>
        </w:rPr>
        <w:t> </w:t>
      </w:r>
      <w:r>
        <w:rPr/>
        <w:t>las</w:t>
      </w:r>
      <w:r>
        <w:rPr>
          <w:spacing w:val="-4"/>
        </w:rPr>
        <w:t> </w:t>
      </w:r>
      <w:r>
        <w:rPr/>
        <w:t>más</w:t>
      </w:r>
      <w:r>
        <w:rPr>
          <w:spacing w:val="-4"/>
        </w:rPr>
        <w:t> </w:t>
      </w:r>
      <w:r>
        <w:rPr/>
        <w:t>significativa</w:t>
      </w:r>
      <w:r>
        <w:rPr>
          <w:spacing w:val="-3"/>
        </w:rPr>
        <w:t> </w:t>
      </w:r>
      <w:r>
        <w:rPr/>
        <w:t>son las contribuciones a la seguridad social las cuales se sitúan en 2.3% del PIB mientras que el resto de los otros ingresos se observaron en los ingresos por operaciones con el 0.8% del PIB, las tasas en el 0.5% del PIB, las rentas de la propiedad con el 0.4%, las ventas y servicios de la administración pública el 0.2% y el restante en</w:t>
      </w:r>
      <w:r>
        <w:rPr>
          <w:spacing w:val="-7"/>
        </w:rPr>
        <w:t> </w:t>
      </w:r>
      <w:r>
        <w:rPr/>
        <w:t>0.31%.</w:t>
      </w:r>
    </w:p>
    <w:p>
      <w:pPr>
        <w:pStyle w:val="BodyText"/>
        <w:spacing w:before="5"/>
        <w:rPr>
          <w:sz w:val="25"/>
        </w:rPr>
      </w:pPr>
    </w:p>
    <w:p>
      <w:pPr>
        <w:pStyle w:val="BodyText"/>
        <w:spacing w:line="276" w:lineRule="auto" w:before="1"/>
        <w:ind w:left="562" w:right="1697"/>
        <w:jc w:val="both"/>
      </w:pPr>
      <w:r>
        <w:rPr/>
        <w:t>En materia de gasto público, a nivel del SPNF consolidado para 2021, este se encuentra en torno al 17% del PIB siendo una disminución de 1.5 puntos porcentuales respecto al 18.5% observado en el año previo. Cabe resaltar que en buena medida el gasto público de 2020 fue influenciado por las intervenciones que realizó el gobierno para atenuar el impacto de la Pandemia del Covid-19, especialmente por el bono familia y el bono a la protección n del  empleo,  los  cuales  no  estuvieron vigentes durante el 2021, además de que por segundo año consecutivo y por primera vez en la historia, el presupuesto no fue aprobado lo que tuvo una repercusión en el dinamismo de la ejecución durante los primeros meses del año</w:t>
      </w:r>
      <w:r>
        <w:rPr>
          <w:spacing w:val="-2"/>
        </w:rPr>
        <w:t> </w:t>
      </w:r>
      <w:r>
        <w:rPr/>
        <w:t>2021.</w:t>
      </w:r>
    </w:p>
    <w:p>
      <w:pPr>
        <w:pStyle w:val="BodyText"/>
        <w:spacing w:before="3"/>
        <w:rPr>
          <w:sz w:val="25"/>
        </w:rPr>
      </w:pPr>
    </w:p>
    <w:p>
      <w:pPr>
        <w:pStyle w:val="BodyText"/>
        <w:spacing w:line="276" w:lineRule="auto"/>
        <w:ind w:left="562" w:right="1697"/>
        <w:jc w:val="both"/>
      </w:pPr>
      <w:r>
        <w:rPr/>
        <w:t>Los</w:t>
      </w:r>
      <w:r>
        <w:rPr>
          <w:spacing w:val="-12"/>
        </w:rPr>
        <w:t> </w:t>
      </w:r>
      <w:r>
        <w:rPr/>
        <w:t>gastos</w:t>
      </w:r>
      <w:r>
        <w:rPr>
          <w:spacing w:val="-13"/>
        </w:rPr>
        <w:t> </w:t>
      </w:r>
      <w:r>
        <w:rPr/>
        <w:t>corrientes</w:t>
      </w:r>
      <w:r>
        <w:rPr>
          <w:spacing w:val="-11"/>
        </w:rPr>
        <w:t> </w:t>
      </w:r>
      <w:r>
        <w:rPr/>
        <w:t>durante</w:t>
      </w:r>
      <w:r>
        <w:rPr>
          <w:spacing w:val="-10"/>
        </w:rPr>
        <w:t> </w:t>
      </w:r>
      <w:r>
        <w:rPr/>
        <w:t>el</w:t>
      </w:r>
      <w:r>
        <w:rPr>
          <w:spacing w:val="-11"/>
        </w:rPr>
        <w:t> </w:t>
      </w:r>
      <w:r>
        <w:rPr/>
        <w:t>2021</w:t>
      </w:r>
      <w:r>
        <w:rPr>
          <w:spacing w:val="-11"/>
        </w:rPr>
        <w:t> </w:t>
      </w:r>
      <w:r>
        <w:rPr/>
        <w:t>equivalen</w:t>
      </w:r>
      <w:r>
        <w:rPr>
          <w:spacing w:val="-12"/>
        </w:rPr>
        <w:t> </w:t>
      </w:r>
      <w:r>
        <w:rPr/>
        <w:t>al</w:t>
      </w:r>
      <w:r>
        <w:rPr>
          <w:spacing w:val="-10"/>
        </w:rPr>
        <w:t> </w:t>
      </w:r>
      <w:r>
        <w:rPr/>
        <w:t>14.6%</w:t>
      </w:r>
      <w:r>
        <w:rPr>
          <w:spacing w:val="-11"/>
        </w:rPr>
        <w:t> </w:t>
      </w:r>
      <w:r>
        <w:rPr/>
        <w:t>del</w:t>
      </w:r>
      <w:r>
        <w:rPr>
          <w:spacing w:val="-10"/>
        </w:rPr>
        <w:t> </w:t>
      </w:r>
      <w:r>
        <w:rPr/>
        <w:t>PIB</w:t>
      </w:r>
      <w:r>
        <w:rPr>
          <w:spacing w:val="-13"/>
        </w:rPr>
        <w:t> </w:t>
      </w:r>
      <w:r>
        <w:rPr/>
        <w:t>siendo</w:t>
      </w:r>
      <w:r>
        <w:rPr>
          <w:spacing w:val="-10"/>
        </w:rPr>
        <w:t> </w:t>
      </w:r>
      <w:r>
        <w:rPr/>
        <w:t>una</w:t>
      </w:r>
      <w:r>
        <w:rPr>
          <w:spacing w:val="-11"/>
        </w:rPr>
        <w:t> </w:t>
      </w:r>
      <w:r>
        <w:rPr/>
        <w:t>disminución</w:t>
      </w:r>
      <w:r>
        <w:rPr>
          <w:spacing w:val="-13"/>
        </w:rPr>
        <w:t> </w:t>
      </w:r>
      <w:r>
        <w:rPr/>
        <w:t>en</w:t>
      </w:r>
      <w:r>
        <w:rPr>
          <w:spacing w:val="-14"/>
        </w:rPr>
        <w:t> </w:t>
      </w:r>
      <w:r>
        <w:rPr/>
        <w:t>términos interanuales de 1.6 puntos porcentuales. En este grupo, las transferencias corrientes fueron los que experimentaron</w:t>
      </w:r>
      <w:r>
        <w:rPr>
          <w:spacing w:val="-12"/>
        </w:rPr>
        <w:t> </w:t>
      </w:r>
      <w:r>
        <w:rPr/>
        <w:t>una</w:t>
      </w:r>
      <w:r>
        <w:rPr>
          <w:spacing w:val="-11"/>
        </w:rPr>
        <w:t> </w:t>
      </w:r>
      <w:r>
        <w:rPr/>
        <w:t>mayor</w:t>
      </w:r>
      <w:r>
        <w:rPr>
          <w:spacing w:val="-8"/>
        </w:rPr>
        <w:t> </w:t>
      </w:r>
      <w:r>
        <w:rPr/>
        <w:t>reducción,</w:t>
      </w:r>
      <w:r>
        <w:rPr>
          <w:spacing w:val="-9"/>
        </w:rPr>
        <w:t> </w:t>
      </w:r>
      <w:r>
        <w:rPr/>
        <w:t>alcanzando</w:t>
      </w:r>
      <w:r>
        <w:rPr>
          <w:spacing w:val="-10"/>
        </w:rPr>
        <w:t> </w:t>
      </w:r>
      <w:r>
        <w:rPr/>
        <w:t>el</w:t>
      </w:r>
      <w:r>
        <w:rPr>
          <w:spacing w:val="-10"/>
        </w:rPr>
        <w:t> </w:t>
      </w:r>
      <w:r>
        <w:rPr/>
        <w:t>equivalente</w:t>
      </w:r>
      <w:r>
        <w:rPr>
          <w:spacing w:val="-10"/>
        </w:rPr>
        <w:t> </w:t>
      </w:r>
      <w:r>
        <w:rPr/>
        <w:t>al</w:t>
      </w:r>
      <w:r>
        <w:rPr>
          <w:spacing w:val="-10"/>
        </w:rPr>
        <w:t> </w:t>
      </w:r>
      <w:r>
        <w:rPr/>
        <w:t>0.7%</w:t>
      </w:r>
      <w:r>
        <w:rPr>
          <w:spacing w:val="-11"/>
        </w:rPr>
        <w:t> </w:t>
      </w:r>
      <w:r>
        <w:rPr/>
        <w:t>del</w:t>
      </w:r>
      <w:r>
        <w:rPr>
          <w:spacing w:val="-10"/>
        </w:rPr>
        <w:t> </w:t>
      </w:r>
      <w:r>
        <w:rPr/>
        <w:t>PIB</w:t>
      </w:r>
      <w:r>
        <w:rPr>
          <w:spacing w:val="-9"/>
        </w:rPr>
        <w:t> </w:t>
      </w:r>
      <w:r>
        <w:rPr/>
        <w:t>con</w:t>
      </w:r>
      <w:r>
        <w:rPr>
          <w:spacing w:val="-10"/>
        </w:rPr>
        <w:t> </w:t>
      </w:r>
      <w:r>
        <w:rPr/>
        <w:t>una</w:t>
      </w:r>
      <w:r>
        <w:rPr>
          <w:spacing w:val="-11"/>
        </w:rPr>
        <w:t> </w:t>
      </w:r>
      <w:r>
        <w:rPr/>
        <w:t>contracción de 1.4 puntos porcentuales respecto al 2.1% del PIB observado en</w:t>
      </w:r>
      <w:r>
        <w:rPr>
          <w:spacing w:val="-7"/>
        </w:rPr>
        <w:t> </w:t>
      </w:r>
      <w:r>
        <w:rPr/>
        <w:t>2020.</w:t>
      </w:r>
    </w:p>
    <w:p>
      <w:pPr>
        <w:pStyle w:val="BodyText"/>
        <w:spacing w:before="4"/>
        <w:rPr>
          <w:sz w:val="25"/>
        </w:rPr>
      </w:pPr>
    </w:p>
    <w:p>
      <w:pPr>
        <w:pStyle w:val="BodyText"/>
        <w:spacing w:line="276" w:lineRule="auto"/>
        <w:ind w:left="562" w:right="1696"/>
        <w:jc w:val="both"/>
      </w:pPr>
      <w:r>
        <w:rPr/>
        <w:t>El gasto de capital se incrementó en 2021, alcanzando el 2.4% del PIB y siendo superior por 0.2 puntos porcentuales respecto al 2.2% del PIB que se observó en el año previo. El gasto realizado en inversión</w:t>
      </w:r>
      <w:r>
        <w:rPr>
          <w:spacing w:val="-10"/>
        </w:rPr>
        <w:t> </w:t>
      </w:r>
      <w:r>
        <w:rPr/>
        <w:t>real</w:t>
      </w:r>
      <w:r>
        <w:rPr>
          <w:spacing w:val="-8"/>
        </w:rPr>
        <w:t> </w:t>
      </w:r>
      <w:r>
        <w:rPr/>
        <w:t>directa</w:t>
      </w:r>
      <w:r>
        <w:rPr>
          <w:spacing w:val="-11"/>
        </w:rPr>
        <w:t> </w:t>
      </w:r>
      <w:r>
        <w:rPr/>
        <w:t>fue</w:t>
      </w:r>
      <w:r>
        <w:rPr>
          <w:spacing w:val="-11"/>
        </w:rPr>
        <w:t> </w:t>
      </w:r>
      <w:r>
        <w:rPr/>
        <w:t>la</w:t>
      </w:r>
      <w:r>
        <w:rPr>
          <w:spacing w:val="-13"/>
        </w:rPr>
        <w:t> </w:t>
      </w:r>
      <w:r>
        <w:rPr/>
        <w:t>cuenta</w:t>
      </w:r>
      <w:r>
        <w:rPr>
          <w:spacing w:val="-8"/>
        </w:rPr>
        <w:t> </w:t>
      </w:r>
      <w:r>
        <w:rPr/>
        <w:t>de</w:t>
      </w:r>
      <w:r>
        <w:rPr>
          <w:spacing w:val="-11"/>
        </w:rPr>
        <w:t> </w:t>
      </w:r>
      <w:r>
        <w:rPr/>
        <w:t>capital</w:t>
      </w:r>
      <w:r>
        <w:rPr>
          <w:spacing w:val="-10"/>
        </w:rPr>
        <w:t> </w:t>
      </w:r>
      <w:r>
        <w:rPr/>
        <w:t>que</w:t>
      </w:r>
      <w:r>
        <w:rPr>
          <w:spacing w:val="-11"/>
        </w:rPr>
        <w:t> </w:t>
      </w:r>
      <w:r>
        <w:rPr/>
        <w:t>tuvo</w:t>
      </w:r>
      <w:r>
        <w:rPr>
          <w:spacing w:val="-9"/>
        </w:rPr>
        <w:t> </w:t>
      </w:r>
      <w:r>
        <w:rPr/>
        <w:t>mayor</w:t>
      </w:r>
      <w:r>
        <w:rPr>
          <w:spacing w:val="-9"/>
        </w:rPr>
        <w:t> </w:t>
      </w:r>
      <w:r>
        <w:rPr/>
        <w:t>incremento,</w:t>
      </w:r>
      <w:r>
        <w:rPr>
          <w:spacing w:val="-9"/>
        </w:rPr>
        <w:t> </w:t>
      </w:r>
      <w:r>
        <w:rPr/>
        <w:t>situándose</w:t>
      </w:r>
      <w:r>
        <w:rPr>
          <w:spacing w:val="-8"/>
        </w:rPr>
        <w:t> </w:t>
      </w:r>
      <w:r>
        <w:rPr/>
        <w:t>en</w:t>
      </w:r>
      <w:r>
        <w:rPr>
          <w:spacing w:val="-10"/>
        </w:rPr>
        <w:t> </w:t>
      </w:r>
      <w:r>
        <w:rPr/>
        <w:t>2.1%</w:t>
      </w:r>
      <w:r>
        <w:rPr>
          <w:spacing w:val="-10"/>
        </w:rPr>
        <w:t> </w:t>
      </w:r>
      <w:r>
        <w:rPr/>
        <w:t>del</w:t>
      </w:r>
      <w:r>
        <w:rPr>
          <w:spacing w:val="-8"/>
        </w:rPr>
        <w:t> </w:t>
      </w:r>
      <w:r>
        <w:rPr/>
        <w:t>PIB con un incremento de 0.1 puntos porcentuales respecto al 2.0% del PIB que se produjo en</w:t>
      </w:r>
      <w:r>
        <w:rPr>
          <w:spacing w:val="-15"/>
        </w:rPr>
        <w:t> </w:t>
      </w:r>
      <w:r>
        <w:rPr/>
        <w:t>2020.</w:t>
      </w:r>
    </w:p>
    <w:p>
      <w:pPr>
        <w:pStyle w:val="BodyText"/>
        <w:spacing w:before="3"/>
        <w:rPr>
          <w:sz w:val="25"/>
        </w:rPr>
      </w:pPr>
    </w:p>
    <w:p>
      <w:pPr>
        <w:pStyle w:val="BodyText"/>
        <w:spacing w:line="276" w:lineRule="auto"/>
        <w:ind w:left="562" w:right="1700"/>
        <w:jc w:val="both"/>
      </w:pPr>
      <w:r>
        <w:rPr/>
        <w:t>El</w:t>
      </w:r>
      <w:r>
        <w:rPr>
          <w:spacing w:val="-9"/>
        </w:rPr>
        <w:t> </w:t>
      </w:r>
      <w:r>
        <w:rPr/>
        <w:t>resultado</w:t>
      </w:r>
      <w:r>
        <w:rPr>
          <w:spacing w:val="-8"/>
        </w:rPr>
        <w:t> </w:t>
      </w:r>
      <w:r>
        <w:rPr/>
        <w:t>presupuestal</w:t>
      </w:r>
      <w:r>
        <w:rPr>
          <w:spacing w:val="-8"/>
        </w:rPr>
        <w:t> </w:t>
      </w:r>
      <w:r>
        <w:rPr/>
        <w:t>del</w:t>
      </w:r>
      <w:r>
        <w:rPr>
          <w:spacing w:val="-8"/>
        </w:rPr>
        <w:t> </w:t>
      </w:r>
      <w:r>
        <w:rPr/>
        <w:t>SPNF</w:t>
      </w:r>
      <w:r>
        <w:rPr>
          <w:spacing w:val="-10"/>
        </w:rPr>
        <w:t> </w:t>
      </w:r>
      <w:r>
        <w:rPr/>
        <w:t>fue</w:t>
      </w:r>
      <w:r>
        <w:rPr>
          <w:spacing w:val="-8"/>
        </w:rPr>
        <w:t> </w:t>
      </w:r>
      <w:r>
        <w:rPr/>
        <w:t>deficitario</w:t>
      </w:r>
      <w:r>
        <w:rPr>
          <w:spacing w:val="-10"/>
        </w:rPr>
        <w:t> </w:t>
      </w:r>
      <w:r>
        <w:rPr/>
        <w:t>durante</w:t>
      </w:r>
      <w:r>
        <w:rPr>
          <w:spacing w:val="-8"/>
        </w:rPr>
        <w:t> </w:t>
      </w:r>
      <w:r>
        <w:rPr/>
        <w:t>el</w:t>
      </w:r>
      <w:r>
        <w:rPr>
          <w:spacing w:val="-9"/>
        </w:rPr>
        <w:t> </w:t>
      </w:r>
      <w:r>
        <w:rPr/>
        <w:t>2021,</w:t>
      </w:r>
      <w:r>
        <w:rPr>
          <w:spacing w:val="-9"/>
        </w:rPr>
        <w:t> </w:t>
      </w:r>
      <w:r>
        <w:rPr/>
        <w:t>equivalente</w:t>
      </w:r>
      <w:r>
        <w:rPr>
          <w:spacing w:val="-9"/>
        </w:rPr>
        <w:t> </w:t>
      </w:r>
      <w:r>
        <w:rPr/>
        <w:t>al</w:t>
      </w:r>
      <w:r>
        <w:rPr>
          <w:spacing w:val="-7"/>
        </w:rPr>
        <w:t> </w:t>
      </w:r>
      <w:r>
        <w:rPr/>
        <w:t>0.4%</w:t>
      </w:r>
      <w:r>
        <w:rPr>
          <w:spacing w:val="-9"/>
        </w:rPr>
        <w:t> </w:t>
      </w:r>
      <w:r>
        <w:rPr/>
        <w:t>del</w:t>
      </w:r>
      <w:r>
        <w:rPr>
          <w:spacing w:val="-8"/>
        </w:rPr>
        <w:t> </w:t>
      </w:r>
      <w:r>
        <w:rPr/>
        <w:t>PIB</w:t>
      </w:r>
      <w:r>
        <w:rPr>
          <w:spacing w:val="-8"/>
        </w:rPr>
        <w:t> </w:t>
      </w:r>
      <w:r>
        <w:rPr/>
        <w:t>y</w:t>
      </w:r>
      <w:r>
        <w:rPr>
          <w:spacing w:val="-11"/>
        </w:rPr>
        <w:t> </w:t>
      </w:r>
      <w:r>
        <w:rPr/>
        <w:t>que cabe</w:t>
      </w:r>
      <w:r>
        <w:rPr>
          <w:spacing w:val="-4"/>
        </w:rPr>
        <w:t> </w:t>
      </w:r>
      <w:r>
        <w:rPr/>
        <w:t>resaltar,</w:t>
      </w:r>
      <w:r>
        <w:rPr>
          <w:spacing w:val="-4"/>
        </w:rPr>
        <w:t> </w:t>
      </w:r>
      <w:r>
        <w:rPr/>
        <w:t>es</w:t>
      </w:r>
      <w:r>
        <w:rPr>
          <w:spacing w:val="-3"/>
        </w:rPr>
        <w:t> </w:t>
      </w:r>
      <w:r>
        <w:rPr/>
        <w:t>una</w:t>
      </w:r>
      <w:r>
        <w:rPr>
          <w:spacing w:val="-3"/>
        </w:rPr>
        <w:t> </w:t>
      </w:r>
      <w:r>
        <w:rPr/>
        <w:t>mejora</w:t>
      </w:r>
      <w:r>
        <w:rPr>
          <w:spacing w:val="-6"/>
        </w:rPr>
        <w:t> </w:t>
      </w:r>
      <w:r>
        <w:rPr/>
        <w:t>en</w:t>
      </w:r>
      <w:r>
        <w:rPr>
          <w:spacing w:val="-3"/>
        </w:rPr>
        <w:t> </w:t>
      </w:r>
      <w:r>
        <w:rPr/>
        <w:t>términos</w:t>
      </w:r>
      <w:r>
        <w:rPr>
          <w:spacing w:val="-3"/>
        </w:rPr>
        <w:t> </w:t>
      </w:r>
      <w:r>
        <w:rPr/>
        <w:t>financieros</w:t>
      </w:r>
      <w:r>
        <w:rPr>
          <w:spacing w:val="-4"/>
        </w:rPr>
        <w:t> </w:t>
      </w:r>
      <w:r>
        <w:rPr/>
        <w:t>respecto</w:t>
      </w:r>
      <w:r>
        <w:rPr>
          <w:spacing w:val="-6"/>
        </w:rPr>
        <w:t> </w:t>
      </w:r>
      <w:r>
        <w:rPr/>
        <w:t>a</w:t>
      </w:r>
      <w:r>
        <w:rPr>
          <w:spacing w:val="-3"/>
        </w:rPr>
        <w:t> </w:t>
      </w:r>
      <w:r>
        <w:rPr/>
        <w:t>la</w:t>
      </w:r>
      <w:r>
        <w:rPr>
          <w:spacing w:val="-3"/>
        </w:rPr>
        <w:t> </w:t>
      </w:r>
      <w:r>
        <w:rPr/>
        <w:t>situación</w:t>
      </w:r>
      <w:r>
        <w:rPr>
          <w:spacing w:val="-4"/>
        </w:rPr>
        <w:t> </w:t>
      </w:r>
      <w:r>
        <w:rPr/>
        <w:t>financiera</w:t>
      </w:r>
      <w:r>
        <w:rPr>
          <w:spacing w:val="-3"/>
        </w:rPr>
        <w:t> </w:t>
      </w:r>
      <w:r>
        <w:rPr/>
        <w:t>del</w:t>
      </w:r>
      <w:r>
        <w:rPr>
          <w:spacing w:val="-3"/>
        </w:rPr>
        <w:t> </w:t>
      </w:r>
      <w:r>
        <w:rPr/>
        <w:t>año</w:t>
      </w:r>
      <w:r>
        <w:rPr>
          <w:spacing w:val="-4"/>
        </w:rPr>
        <w:t> </w:t>
      </w:r>
      <w:r>
        <w:rPr/>
        <w:t>previo, el cual se había situado en un déficit de 3.8% del</w:t>
      </w:r>
      <w:r>
        <w:rPr>
          <w:spacing w:val="-3"/>
        </w:rPr>
        <w:t> </w:t>
      </w:r>
      <w:r>
        <w:rPr/>
        <w:t>PIB.</w:t>
      </w:r>
    </w:p>
    <w:p>
      <w:pPr>
        <w:spacing w:after="0" w:line="276" w:lineRule="auto"/>
        <w:jc w:val="both"/>
        <w:sectPr>
          <w:pgSz w:w="12240" w:h="15840"/>
          <w:pgMar w:header="715" w:footer="957" w:top="1240" w:bottom="1140" w:left="1140" w:right="0"/>
        </w:sectPr>
      </w:pPr>
    </w:p>
    <w:p>
      <w:pPr>
        <w:pStyle w:val="Heading3"/>
        <w:spacing w:before="167"/>
        <w:ind w:left="639" w:right="1776"/>
        <w:jc w:val="center"/>
      </w:pPr>
      <w:bookmarkStart w:name="_bookmark148" w:id="185"/>
      <w:bookmarkEnd w:id="185"/>
      <w:r>
        <w:rPr>
          <w:b w:val="0"/>
        </w:rPr>
      </w:r>
      <w:r>
        <w:rPr>
          <w:i/>
          <w:sz w:val="20"/>
        </w:rPr>
        <w:t>Tabla 10. </w:t>
      </w:r>
      <w:r>
        <w:rPr/>
        <w:t>Sector Público No Financiero, Cuenta Económica Consolidada (% del PIB)</w:t>
      </w:r>
    </w:p>
    <w:p>
      <w:pPr>
        <w:pStyle w:val="BodyText"/>
        <w:spacing w:before="33" w:after="44"/>
        <w:ind w:left="1395" w:right="2533"/>
        <w:jc w:val="center"/>
      </w:pPr>
      <w:r>
        <w:rPr/>
        <w:t>2019-2021</w:t>
      </w:r>
    </w:p>
    <w:tbl>
      <w:tblPr>
        <w:tblW w:w="0" w:type="auto"/>
        <w:jc w:val="left"/>
        <w:tblInd w:w="1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97"/>
        <w:gridCol w:w="1162"/>
        <w:gridCol w:w="1162"/>
        <w:gridCol w:w="1163"/>
      </w:tblGrid>
      <w:tr>
        <w:trPr>
          <w:trHeight w:val="807" w:hRule="atLeast"/>
        </w:trPr>
        <w:tc>
          <w:tcPr>
            <w:tcW w:w="3697" w:type="dxa"/>
            <w:shd w:val="clear" w:color="auto" w:fill="BCD5ED"/>
          </w:tcPr>
          <w:p>
            <w:pPr>
              <w:pStyle w:val="TableParagraph"/>
              <w:spacing w:before="9"/>
              <w:rPr>
                <w:sz w:val="24"/>
              </w:rPr>
            </w:pPr>
          </w:p>
          <w:p>
            <w:pPr>
              <w:pStyle w:val="TableParagraph"/>
              <w:ind w:left="1370" w:right="1356"/>
              <w:jc w:val="center"/>
              <w:rPr>
                <w:b/>
                <w:sz w:val="18"/>
              </w:rPr>
            </w:pPr>
            <w:r>
              <w:rPr>
                <w:b/>
                <w:sz w:val="18"/>
              </w:rPr>
              <w:t>Descripción</w:t>
            </w:r>
          </w:p>
        </w:tc>
        <w:tc>
          <w:tcPr>
            <w:tcW w:w="1162" w:type="dxa"/>
            <w:shd w:val="clear" w:color="auto" w:fill="BCD5ED"/>
          </w:tcPr>
          <w:p>
            <w:pPr>
              <w:pStyle w:val="TableParagraph"/>
              <w:spacing w:before="9"/>
              <w:rPr>
                <w:sz w:val="24"/>
              </w:rPr>
            </w:pPr>
          </w:p>
          <w:p>
            <w:pPr>
              <w:pStyle w:val="TableParagraph"/>
              <w:ind w:left="358" w:right="340"/>
              <w:jc w:val="center"/>
              <w:rPr>
                <w:b/>
                <w:sz w:val="18"/>
              </w:rPr>
            </w:pPr>
            <w:r>
              <w:rPr>
                <w:b/>
                <w:sz w:val="18"/>
              </w:rPr>
              <w:t>2019</w:t>
            </w:r>
          </w:p>
        </w:tc>
        <w:tc>
          <w:tcPr>
            <w:tcW w:w="1162" w:type="dxa"/>
            <w:shd w:val="clear" w:color="auto" w:fill="BCD5ED"/>
          </w:tcPr>
          <w:p>
            <w:pPr>
              <w:pStyle w:val="TableParagraph"/>
              <w:spacing w:before="9"/>
              <w:rPr>
                <w:sz w:val="24"/>
              </w:rPr>
            </w:pPr>
          </w:p>
          <w:p>
            <w:pPr>
              <w:pStyle w:val="TableParagraph"/>
              <w:ind w:left="358" w:right="340"/>
              <w:jc w:val="center"/>
              <w:rPr>
                <w:b/>
                <w:sz w:val="18"/>
              </w:rPr>
            </w:pPr>
            <w:r>
              <w:rPr>
                <w:b/>
                <w:sz w:val="18"/>
              </w:rPr>
              <w:t>2020</w:t>
            </w:r>
          </w:p>
        </w:tc>
        <w:tc>
          <w:tcPr>
            <w:tcW w:w="1163" w:type="dxa"/>
            <w:shd w:val="clear" w:color="auto" w:fill="BCD5ED"/>
          </w:tcPr>
          <w:p>
            <w:pPr>
              <w:pStyle w:val="TableParagraph"/>
              <w:spacing w:before="9"/>
              <w:rPr>
                <w:sz w:val="24"/>
              </w:rPr>
            </w:pPr>
          </w:p>
          <w:p>
            <w:pPr>
              <w:pStyle w:val="TableParagraph"/>
              <w:ind w:left="358" w:right="341"/>
              <w:jc w:val="center"/>
              <w:rPr>
                <w:b/>
                <w:sz w:val="18"/>
              </w:rPr>
            </w:pPr>
            <w:r>
              <w:rPr>
                <w:b/>
                <w:sz w:val="18"/>
              </w:rPr>
              <w:t>2021</w:t>
            </w:r>
          </w:p>
        </w:tc>
      </w:tr>
      <w:tr>
        <w:trPr>
          <w:trHeight w:val="4233" w:hRule="atLeast"/>
        </w:trPr>
        <w:tc>
          <w:tcPr>
            <w:tcW w:w="3697" w:type="dxa"/>
          </w:tcPr>
          <w:p>
            <w:pPr>
              <w:pStyle w:val="TableParagraph"/>
              <w:spacing w:before="28"/>
              <w:ind w:left="69"/>
              <w:rPr>
                <w:b/>
                <w:sz w:val="16"/>
              </w:rPr>
            </w:pPr>
            <w:r>
              <w:rPr>
                <w:b/>
                <w:sz w:val="16"/>
              </w:rPr>
              <w:t>Ingresos Totales</w:t>
            </w:r>
          </w:p>
          <w:p>
            <w:pPr>
              <w:pStyle w:val="TableParagraph"/>
              <w:spacing w:line="343" w:lineRule="auto" w:before="77"/>
              <w:ind w:left="388" w:right="1793" w:hanging="159"/>
              <w:rPr>
                <w:sz w:val="16"/>
              </w:rPr>
            </w:pPr>
            <w:r>
              <w:rPr>
                <w:sz w:val="16"/>
              </w:rPr>
              <w:t>Ingresos Corrientes Ingresos Tributarios Ingresos No tributarios</w:t>
            </w:r>
          </w:p>
          <w:p>
            <w:pPr>
              <w:pStyle w:val="TableParagraph"/>
              <w:spacing w:line="348" w:lineRule="auto" w:before="3"/>
              <w:ind w:left="710" w:right="574"/>
              <w:rPr>
                <w:sz w:val="16"/>
              </w:rPr>
            </w:pPr>
            <w:r>
              <w:rPr>
                <w:sz w:val="16"/>
              </w:rPr>
              <w:t>Contribuciones a la Seguridad Social Otros</w:t>
            </w:r>
          </w:p>
          <w:p>
            <w:pPr>
              <w:pStyle w:val="TableParagraph"/>
              <w:spacing w:line="181" w:lineRule="exact"/>
              <w:ind w:left="230"/>
              <w:rPr>
                <w:sz w:val="16"/>
              </w:rPr>
            </w:pPr>
            <w:r>
              <w:rPr>
                <w:sz w:val="16"/>
              </w:rPr>
              <w:t>Ingresos de Capital</w:t>
            </w:r>
          </w:p>
          <w:p>
            <w:pPr>
              <w:pStyle w:val="TableParagraph"/>
              <w:spacing w:before="82"/>
              <w:ind w:left="69"/>
              <w:rPr>
                <w:b/>
                <w:sz w:val="16"/>
              </w:rPr>
            </w:pPr>
            <w:r>
              <w:rPr>
                <w:b/>
                <w:sz w:val="16"/>
              </w:rPr>
              <w:t>Gastos Totales</w:t>
            </w:r>
          </w:p>
          <w:p>
            <w:pPr>
              <w:pStyle w:val="TableParagraph"/>
              <w:spacing w:line="345" w:lineRule="auto" w:before="78"/>
              <w:ind w:left="549" w:right="1906" w:hanging="320"/>
              <w:rPr>
                <w:sz w:val="16"/>
              </w:rPr>
            </w:pPr>
            <w:r>
              <w:rPr>
                <w:sz w:val="16"/>
              </w:rPr>
              <w:t>Gastos Corrientes Gasto de</w:t>
            </w:r>
            <w:r>
              <w:rPr>
                <w:spacing w:val="-7"/>
                <w:sz w:val="16"/>
              </w:rPr>
              <w:t> </w:t>
            </w:r>
            <w:r>
              <w:rPr>
                <w:sz w:val="16"/>
              </w:rPr>
              <w:t>Consumo</w:t>
            </w:r>
          </w:p>
          <w:p>
            <w:pPr>
              <w:pStyle w:val="TableParagraph"/>
              <w:spacing w:before="1"/>
              <w:ind w:left="549"/>
              <w:rPr>
                <w:sz w:val="16"/>
              </w:rPr>
            </w:pPr>
            <w:r>
              <w:rPr>
                <w:sz w:val="16"/>
              </w:rPr>
              <w:t>Gastos de Operación</w:t>
            </w:r>
          </w:p>
          <w:p>
            <w:pPr>
              <w:pStyle w:val="TableParagraph"/>
              <w:spacing w:line="343" w:lineRule="auto" w:before="80"/>
              <w:ind w:left="549" w:right="913"/>
              <w:rPr>
                <w:sz w:val="16"/>
              </w:rPr>
            </w:pPr>
            <w:r>
              <w:rPr>
                <w:sz w:val="16"/>
              </w:rPr>
              <w:t>Prestaciones a la Seguridad Social Intereses de Deuda Pública</w:t>
            </w:r>
          </w:p>
          <w:p>
            <w:pPr>
              <w:pStyle w:val="TableParagraph"/>
              <w:spacing w:line="343" w:lineRule="auto" w:before="2"/>
              <w:ind w:left="230" w:right="1632" w:firstLine="319"/>
              <w:rPr>
                <w:sz w:val="16"/>
              </w:rPr>
            </w:pPr>
            <w:r>
              <w:rPr>
                <w:sz w:val="16"/>
              </w:rPr>
              <w:t>Otros Gasto Corrientes Gastos de Capital</w:t>
            </w:r>
          </w:p>
          <w:p>
            <w:pPr>
              <w:pStyle w:val="TableParagraph"/>
              <w:spacing w:before="6"/>
              <w:ind w:left="69"/>
              <w:rPr>
                <w:b/>
                <w:sz w:val="16"/>
              </w:rPr>
            </w:pPr>
            <w:r>
              <w:rPr>
                <w:b/>
                <w:sz w:val="16"/>
              </w:rPr>
              <w:t>Balance Presupuestal</w:t>
            </w:r>
          </w:p>
        </w:tc>
        <w:tc>
          <w:tcPr>
            <w:tcW w:w="1162" w:type="dxa"/>
          </w:tcPr>
          <w:p>
            <w:pPr>
              <w:pStyle w:val="TableParagraph"/>
              <w:spacing w:before="20"/>
              <w:ind w:left="359" w:right="340"/>
              <w:jc w:val="center"/>
              <w:rPr>
                <w:rFonts w:ascii="Calibri"/>
                <w:b/>
                <w:sz w:val="16"/>
              </w:rPr>
            </w:pPr>
            <w:r>
              <w:rPr>
                <w:rFonts w:ascii="Calibri"/>
                <w:b/>
                <w:sz w:val="16"/>
              </w:rPr>
              <w:t>15.4%</w:t>
            </w:r>
          </w:p>
          <w:p>
            <w:pPr>
              <w:pStyle w:val="TableParagraph"/>
              <w:spacing w:before="68"/>
              <w:ind w:left="359" w:right="339"/>
              <w:jc w:val="center"/>
              <w:rPr>
                <w:rFonts w:ascii="Calibri"/>
                <w:sz w:val="16"/>
              </w:rPr>
            </w:pPr>
            <w:r>
              <w:rPr>
                <w:rFonts w:ascii="Calibri"/>
                <w:sz w:val="16"/>
              </w:rPr>
              <w:t>15.4%</w:t>
            </w:r>
          </w:p>
          <w:p>
            <w:pPr>
              <w:pStyle w:val="TableParagraph"/>
              <w:spacing w:before="69"/>
              <w:ind w:left="359" w:right="339"/>
              <w:jc w:val="center"/>
              <w:rPr>
                <w:rFonts w:ascii="Calibri"/>
                <w:sz w:val="16"/>
              </w:rPr>
            </w:pPr>
            <w:r>
              <w:rPr>
                <w:rFonts w:ascii="Calibri"/>
                <w:sz w:val="16"/>
              </w:rPr>
              <w:t>10.8%</w:t>
            </w:r>
          </w:p>
          <w:p>
            <w:pPr>
              <w:pStyle w:val="TableParagraph"/>
              <w:spacing w:before="71"/>
              <w:ind w:left="359" w:right="340"/>
              <w:jc w:val="center"/>
              <w:rPr>
                <w:rFonts w:ascii="Calibri"/>
                <w:sz w:val="16"/>
              </w:rPr>
            </w:pPr>
            <w:r>
              <w:rPr>
                <w:rFonts w:ascii="Calibri"/>
                <w:sz w:val="16"/>
              </w:rPr>
              <w:t>4.6%</w:t>
            </w:r>
          </w:p>
          <w:p>
            <w:pPr>
              <w:pStyle w:val="TableParagraph"/>
              <w:spacing w:before="69"/>
              <w:ind w:left="359" w:right="340"/>
              <w:jc w:val="center"/>
              <w:rPr>
                <w:rFonts w:ascii="Calibri"/>
                <w:sz w:val="16"/>
              </w:rPr>
            </w:pPr>
            <w:r>
              <w:rPr>
                <w:rFonts w:ascii="Calibri"/>
                <w:sz w:val="16"/>
              </w:rPr>
              <w:t>2.3%</w:t>
            </w:r>
          </w:p>
          <w:p>
            <w:pPr>
              <w:pStyle w:val="TableParagraph"/>
              <w:spacing w:before="69"/>
              <w:ind w:left="359" w:right="340"/>
              <w:jc w:val="center"/>
              <w:rPr>
                <w:rFonts w:ascii="Calibri"/>
                <w:sz w:val="16"/>
              </w:rPr>
            </w:pPr>
            <w:r>
              <w:rPr>
                <w:rFonts w:ascii="Calibri"/>
                <w:sz w:val="16"/>
              </w:rPr>
              <w:t>2.3%</w:t>
            </w:r>
          </w:p>
          <w:p>
            <w:pPr>
              <w:pStyle w:val="TableParagraph"/>
              <w:spacing w:before="68"/>
              <w:ind w:left="359" w:right="340"/>
              <w:jc w:val="center"/>
              <w:rPr>
                <w:rFonts w:ascii="Calibri"/>
                <w:sz w:val="16"/>
              </w:rPr>
            </w:pPr>
            <w:r>
              <w:rPr>
                <w:rFonts w:ascii="Calibri"/>
                <w:sz w:val="16"/>
              </w:rPr>
              <w:t>0.0%</w:t>
            </w:r>
          </w:p>
          <w:p>
            <w:pPr>
              <w:pStyle w:val="TableParagraph"/>
              <w:spacing w:before="69"/>
              <w:ind w:left="359" w:right="340"/>
              <w:jc w:val="center"/>
              <w:rPr>
                <w:rFonts w:ascii="Calibri"/>
                <w:b/>
                <w:sz w:val="16"/>
              </w:rPr>
            </w:pPr>
            <w:r>
              <w:rPr>
                <w:rFonts w:ascii="Calibri"/>
                <w:b/>
                <w:sz w:val="16"/>
              </w:rPr>
              <w:t>17.2%</w:t>
            </w:r>
          </w:p>
          <w:p>
            <w:pPr>
              <w:pStyle w:val="TableParagraph"/>
              <w:spacing w:before="71"/>
              <w:ind w:left="359" w:right="339"/>
              <w:jc w:val="center"/>
              <w:rPr>
                <w:rFonts w:ascii="Calibri"/>
                <w:sz w:val="16"/>
              </w:rPr>
            </w:pPr>
            <w:r>
              <w:rPr>
                <w:rFonts w:ascii="Calibri"/>
                <w:sz w:val="16"/>
              </w:rPr>
              <w:t>14.5%</w:t>
            </w:r>
          </w:p>
          <w:p>
            <w:pPr>
              <w:pStyle w:val="TableParagraph"/>
              <w:spacing w:before="69"/>
              <w:ind w:left="359" w:right="339"/>
              <w:jc w:val="center"/>
              <w:rPr>
                <w:rFonts w:ascii="Calibri"/>
                <w:sz w:val="16"/>
              </w:rPr>
            </w:pPr>
            <w:r>
              <w:rPr>
                <w:rFonts w:ascii="Calibri"/>
                <w:sz w:val="16"/>
              </w:rPr>
              <w:t>10.0%</w:t>
            </w:r>
          </w:p>
          <w:p>
            <w:pPr>
              <w:pStyle w:val="TableParagraph"/>
              <w:spacing w:before="69"/>
              <w:ind w:left="359" w:right="340"/>
              <w:jc w:val="center"/>
              <w:rPr>
                <w:rFonts w:ascii="Calibri"/>
                <w:sz w:val="16"/>
              </w:rPr>
            </w:pPr>
            <w:r>
              <w:rPr>
                <w:rFonts w:ascii="Calibri"/>
                <w:sz w:val="16"/>
              </w:rPr>
              <w:t>0.7%</w:t>
            </w:r>
          </w:p>
          <w:p>
            <w:pPr>
              <w:pStyle w:val="TableParagraph"/>
              <w:spacing w:before="69"/>
              <w:ind w:left="359" w:right="340"/>
              <w:jc w:val="center"/>
              <w:rPr>
                <w:rFonts w:ascii="Calibri"/>
                <w:sz w:val="16"/>
              </w:rPr>
            </w:pPr>
            <w:r>
              <w:rPr>
                <w:rFonts w:ascii="Calibri"/>
                <w:sz w:val="16"/>
              </w:rPr>
              <w:t>1.6%</w:t>
            </w:r>
          </w:p>
          <w:p>
            <w:pPr>
              <w:pStyle w:val="TableParagraph"/>
              <w:spacing w:before="68"/>
              <w:ind w:left="359" w:right="340"/>
              <w:jc w:val="center"/>
              <w:rPr>
                <w:rFonts w:ascii="Calibri"/>
                <w:sz w:val="16"/>
              </w:rPr>
            </w:pPr>
            <w:r>
              <w:rPr>
                <w:rFonts w:ascii="Calibri"/>
                <w:sz w:val="16"/>
              </w:rPr>
              <w:t>1.4%</w:t>
            </w:r>
          </w:p>
          <w:p>
            <w:pPr>
              <w:pStyle w:val="TableParagraph"/>
              <w:spacing w:before="69"/>
              <w:ind w:left="359" w:right="340"/>
              <w:jc w:val="center"/>
              <w:rPr>
                <w:rFonts w:ascii="Calibri"/>
                <w:sz w:val="16"/>
              </w:rPr>
            </w:pPr>
            <w:r>
              <w:rPr>
                <w:rFonts w:ascii="Calibri"/>
                <w:sz w:val="16"/>
              </w:rPr>
              <w:t>0.7%</w:t>
            </w:r>
          </w:p>
          <w:p>
            <w:pPr>
              <w:pStyle w:val="TableParagraph"/>
              <w:spacing w:before="71"/>
              <w:ind w:left="359" w:right="340"/>
              <w:jc w:val="center"/>
              <w:rPr>
                <w:rFonts w:ascii="Calibri"/>
                <w:sz w:val="16"/>
              </w:rPr>
            </w:pPr>
            <w:r>
              <w:rPr>
                <w:rFonts w:ascii="Calibri"/>
                <w:sz w:val="16"/>
              </w:rPr>
              <w:t>2.7%</w:t>
            </w:r>
          </w:p>
          <w:p>
            <w:pPr>
              <w:pStyle w:val="TableParagraph"/>
              <w:spacing w:before="69"/>
              <w:ind w:left="359" w:right="339"/>
              <w:jc w:val="center"/>
              <w:rPr>
                <w:rFonts w:ascii="Calibri"/>
                <w:b/>
                <w:sz w:val="16"/>
              </w:rPr>
            </w:pPr>
            <w:r>
              <w:rPr>
                <w:rFonts w:ascii="Calibri"/>
                <w:b/>
                <w:sz w:val="16"/>
              </w:rPr>
              <w:t>-1.8%</w:t>
            </w:r>
          </w:p>
        </w:tc>
        <w:tc>
          <w:tcPr>
            <w:tcW w:w="1162" w:type="dxa"/>
          </w:tcPr>
          <w:p>
            <w:pPr>
              <w:pStyle w:val="TableParagraph"/>
              <w:spacing w:before="20"/>
              <w:ind w:left="359" w:right="340"/>
              <w:jc w:val="center"/>
              <w:rPr>
                <w:rFonts w:ascii="Calibri"/>
                <w:b/>
                <w:sz w:val="16"/>
              </w:rPr>
            </w:pPr>
            <w:r>
              <w:rPr>
                <w:rFonts w:ascii="Calibri"/>
                <w:b/>
                <w:sz w:val="16"/>
              </w:rPr>
              <w:t>14.7%</w:t>
            </w:r>
          </w:p>
          <w:p>
            <w:pPr>
              <w:pStyle w:val="TableParagraph"/>
              <w:spacing w:before="68"/>
              <w:ind w:left="359" w:right="339"/>
              <w:jc w:val="center"/>
              <w:rPr>
                <w:rFonts w:ascii="Calibri"/>
                <w:sz w:val="16"/>
              </w:rPr>
            </w:pPr>
            <w:r>
              <w:rPr>
                <w:rFonts w:ascii="Calibri"/>
                <w:sz w:val="16"/>
              </w:rPr>
              <w:t>14.7%</w:t>
            </w:r>
          </w:p>
          <w:p>
            <w:pPr>
              <w:pStyle w:val="TableParagraph"/>
              <w:spacing w:before="69"/>
              <w:ind w:left="359" w:right="339"/>
              <w:jc w:val="center"/>
              <w:rPr>
                <w:rFonts w:ascii="Calibri"/>
                <w:sz w:val="16"/>
              </w:rPr>
            </w:pPr>
            <w:r>
              <w:rPr>
                <w:rFonts w:ascii="Calibri"/>
                <w:sz w:val="16"/>
              </w:rPr>
              <w:t>10.3%</w:t>
            </w:r>
          </w:p>
          <w:p>
            <w:pPr>
              <w:pStyle w:val="TableParagraph"/>
              <w:spacing w:before="71"/>
              <w:ind w:left="359" w:right="340"/>
              <w:jc w:val="center"/>
              <w:rPr>
                <w:rFonts w:ascii="Calibri"/>
                <w:sz w:val="16"/>
              </w:rPr>
            </w:pPr>
            <w:r>
              <w:rPr>
                <w:rFonts w:ascii="Calibri"/>
                <w:sz w:val="16"/>
              </w:rPr>
              <w:t>4.4%</w:t>
            </w:r>
          </w:p>
          <w:p>
            <w:pPr>
              <w:pStyle w:val="TableParagraph"/>
              <w:spacing w:before="69"/>
              <w:ind w:left="359" w:right="340"/>
              <w:jc w:val="center"/>
              <w:rPr>
                <w:rFonts w:ascii="Calibri"/>
                <w:sz w:val="16"/>
              </w:rPr>
            </w:pPr>
            <w:r>
              <w:rPr>
                <w:rFonts w:ascii="Calibri"/>
                <w:sz w:val="16"/>
              </w:rPr>
              <w:t>2.2%</w:t>
            </w:r>
          </w:p>
          <w:p>
            <w:pPr>
              <w:pStyle w:val="TableParagraph"/>
              <w:spacing w:before="69"/>
              <w:ind w:left="359" w:right="340"/>
              <w:jc w:val="center"/>
              <w:rPr>
                <w:rFonts w:ascii="Calibri"/>
                <w:sz w:val="16"/>
              </w:rPr>
            </w:pPr>
            <w:r>
              <w:rPr>
                <w:rFonts w:ascii="Calibri"/>
                <w:sz w:val="16"/>
              </w:rPr>
              <w:t>2.2%</w:t>
            </w:r>
          </w:p>
          <w:p>
            <w:pPr>
              <w:pStyle w:val="TableParagraph"/>
              <w:spacing w:before="68"/>
              <w:ind w:left="359" w:right="340"/>
              <w:jc w:val="center"/>
              <w:rPr>
                <w:rFonts w:ascii="Calibri"/>
                <w:sz w:val="16"/>
              </w:rPr>
            </w:pPr>
            <w:r>
              <w:rPr>
                <w:rFonts w:ascii="Calibri"/>
                <w:sz w:val="16"/>
              </w:rPr>
              <w:t>0.0%</w:t>
            </w:r>
          </w:p>
          <w:p>
            <w:pPr>
              <w:pStyle w:val="TableParagraph"/>
              <w:spacing w:before="69"/>
              <w:ind w:left="359" w:right="340"/>
              <w:jc w:val="center"/>
              <w:rPr>
                <w:rFonts w:ascii="Calibri"/>
                <w:b/>
                <w:sz w:val="16"/>
              </w:rPr>
            </w:pPr>
            <w:r>
              <w:rPr>
                <w:rFonts w:ascii="Calibri"/>
                <w:b/>
                <w:sz w:val="16"/>
              </w:rPr>
              <w:t>18.5%</w:t>
            </w:r>
          </w:p>
          <w:p>
            <w:pPr>
              <w:pStyle w:val="TableParagraph"/>
              <w:spacing w:before="71"/>
              <w:ind w:left="359" w:right="339"/>
              <w:jc w:val="center"/>
              <w:rPr>
                <w:rFonts w:ascii="Calibri"/>
                <w:sz w:val="16"/>
              </w:rPr>
            </w:pPr>
            <w:r>
              <w:rPr>
                <w:rFonts w:ascii="Calibri"/>
                <w:sz w:val="16"/>
              </w:rPr>
              <w:t>16.2%</w:t>
            </w:r>
          </w:p>
          <w:p>
            <w:pPr>
              <w:pStyle w:val="TableParagraph"/>
              <w:spacing w:before="69"/>
              <w:ind w:left="359" w:right="339"/>
              <w:jc w:val="center"/>
              <w:rPr>
                <w:rFonts w:ascii="Calibri"/>
                <w:sz w:val="16"/>
              </w:rPr>
            </w:pPr>
            <w:r>
              <w:rPr>
                <w:rFonts w:ascii="Calibri"/>
                <w:sz w:val="16"/>
              </w:rPr>
              <w:t>10.2%</w:t>
            </w:r>
          </w:p>
          <w:p>
            <w:pPr>
              <w:pStyle w:val="TableParagraph"/>
              <w:spacing w:before="69"/>
              <w:ind w:left="359" w:right="340"/>
              <w:jc w:val="center"/>
              <w:rPr>
                <w:rFonts w:ascii="Calibri"/>
                <w:sz w:val="16"/>
              </w:rPr>
            </w:pPr>
            <w:r>
              <w:rPr>
                <w:rFonts w:ascii="Calibri"/>
                <w:sz w:val="16"/>
              </w:rPr>
              <w:t>0.7%</w:t>
            </w:r>
          </w:p>
          <w:p>
            <w:pPr>
              <w:pStyle w:val="TableParagraph"/>
              <w:spacing w:before="69"/>
              <w:ind w:left="359" w:right="340"/>
              <w:jc w:val="center"/>
              <w:rPr>
                <w:rFonts w:ascii="Calibri"/>
                <w:sz w:val="16"/>
              </w:rPr>
            </w:pPr>
            <w:r>
              <w:rPr>
                <w:rFonts w:ascii="Calibri"/>
                <w:sz w:val="16"/>
              </w:rPr>
              <w:t>1.7%</w:t>
            </w:r>
          </w:p>
          <w:p>
            <w:pPr>
              <w:pStyle w:val="TableParagraph"/>
              <w:spacing w:before="68"/>
              <w:ind w:left="359" w:right="340"/>
              <w:jc w:val="center"/>
              <w:rPr>
                <w:rFonts w:ascii="Calibri"/>
                <w:sz w:val="16"/>
              </w:rPr>
            </w:pPr>
            <w:r>
              <w:rPr>
                <w:rFonts w:ascii="Calibri"/>
                <w:sz w:val="16"/>
              </w:rPr>
              <w:t>1.5%</w:t>
            </w:r>
          </w:p>
          <w:p>
            <w:pPr>
              <w:pStyle w:val="TableParagraph"/>
              <w:spacing w:before="69"/>
              <w:ind w:left="359" w:right="340"/>
              <w:jc w:val="center"/>
              <w:rPr>
                <w:rFonts w:ascii="Calibri"/>
                <w:sz w:val="16"/>
              </w:rPr>
            </w:pPr>
            <w:r>
              <w:rPr>
                <w:rFonts w:ascii="Calibri"/>
                <w:sz w:val="16"/>
              </w:rPr>
              <w:t>2.1%</w:t>
            </w:r>
          </w:p>
          <w:p>
            <w:pPr>
              <w:pStyle w:val="TableParagraph"/>
              <w:spacing w:before="71"/>
              <w:ind w:left="359" w:right="340"/>
              <w:jc w:val="center"/>
              <w:rPr>
                <w:rFonts w:ascii="Calibri"/>
                <w:sz w:val="16"/>
              </w:rPr>
            </w:pPr>
            <w:r>
              <w:rPr>
                <w:rFonts w:ascii="Calibri"/>
                <w:sz w:val="16"/>
              </w:rPr>
              <w:t>2.2%</w:t>
            </w:r>
          </w:p>
          <w:p>
            <w:pPr>
              <w:pStyle w:val="TableParagraph"/>
              <w:spacing w:before="69"/>
              <w:ind w:left="359" w:right="339"/>
              <w:jc w:val="center"/>
              <w:rPr>
                <w:rFonts w:ascii="Calibri"/>
                <w:b/>
                <w:sz w:val="16"/>
              </w:rPr>
            </w:pPr>
            <w:r>
              <w:rPr>
                <w:rFonts w:ascii="Calibri"/>
                <w:b/>
                <w:sz w:val="16"/>
              </w:rPr>
              <w:t>-3.8%</w:t>
            </w:r>
          </w:p>
        </w:tc>
        <w:tc>
          <w:tcPr>
            <w:tcW w:w="1163" w:type="dxa"/>
            <w:tcBorders>
              <w:right w:val="single" w:sz="8" w:space="0" w:color="41709C"/>
            </w:tcBorders>
          </w:tcPr>
          <w:p>
            <w:pPr>
              <w:pStyle w:val="TableParagraph"/>
              <w:spacing w:before="20"/>
              <w:ind w:left="359" w:right="341"/>
              <w:jc w:val="center"/>
              <w:rPr>
                <w:rFonts w:ascii="Calibri"/>
                <w:b/>
                <w:sz w:val="16"/>
              </w:rPr>
            </w:pPr>
            <w:r>
              <w:rPr>
                <w:rFonts w:ascii="Calibri"/>
                <w:b/>
                <w:sz w:val="16"/>
              </w:rPr>
              <w:t>16.6%</w:t>
            </w:r>
          </w:p>
          <w:p>
            <w:pPr>
              <w:pStyle w:val="TableParagraph"/>
              <w:spacing w:before="68"/>
              <w:ind w:left="359" w:right="341"/>
              <w:jc w:val="center"/>
              <w:rPr>
                <w:rFonts w:ascii="Calibri"/>
                <w:sz w:val="16"/>
              </w:rPr>
            </w:pPr>
            <w:r>
              <w:rPr>
                <w:rFonts w:ascii="Calibri"/>
                <w:sz w:val="16"/>
              </w:rPr>
              <w:t>16.5%</w:t>
            </w:r>
          </w:p>
          <w:p>
            <w:pPr>
              <w:pStyle w:val="TableParagraph"/>
              <w:spacing w:before="69"/>
              <w:ind w:left="359" w:right="341"/>
              <w:jc w:val="center"/>
              <w:rPr>
                <w:rFonts w:ascii="Calibri"/>
                <w:sz w:val="16"/>
              </w:rPr>
            </w:pPr>
            <w:r>
              <w:rPr>
                <w:rFonts w:ascii="Calibri"/>
                <w:sz w:val="16"/>
              </w:rPr>
              <w:t>12.0%</w:t>
            </w:r>
          </w:p>
          <w:p>
            <w:pPr>
              <w:pStyle w:val="TableParagraph"/>
              <w:spacing w:before="71"/>
              <w:ind w:left="359" w:right="341"/>
              <w:jc w:val="center"/>
              <w:rPr>
                <w:rFonts w:ascii="Calibri"/>
                <w:sz w:val="16"/>
              </w:rPr>
            </w:pPr>
            <w:r>
              <w:rPr>
                <w:rFonts w:ascii="Calibri"/>
                <w:sz w:val="16"/>
              </w:rPr>
              <w:t>4.5%</w:t>
            </w:r>
          </w:p>
          <w:p>
            <w:pPr>
              <w:pStyle w:val="TableParagraph"/>
              <w:spacing w:before="69"/>
              <w:ind w:left="359" w:right="341"/>
              <w:jc w:val="center"/>
              <w:rPr>
                <w:rFonts w:ascii="Calibri"/>
                <w:sz w:val="16"/>
              </w:rPr>
            </w:pPr>
            <w:r>
              <w:rPr>
                <w:rFonts w:ascii="Calibri"/>
                <w:sz w:val="16"/>
              </w:rPr>
              <w:t>2.3%</w:t>
            </w:r>
          </w:p>
          <w:p>
            <w:pPr>
              <w:pStyle w:val="TableParagraph"/>
              <w:spacing w:before="69"/>
              <w:ind w:left="359" w:right="341"/>
              <w:jc w:val="center"/>
              <w:rPr>
                <w:rFonts w:ascii="Calibri"/>
                <w:sz w:val="16"/>
              </w:rPr>
            </w:pPr>
            <w:r>
              <w:rPr>
                <w:rFonts w:ascii="Calibri"/>
                <w:sz w:val="16"/>
              </w:rPr>
              <w:t>2.3%</w:t>
            </w:r>
          </w:p>
          <w:p>
            <w:pPr>
              <w:pStyle w:val="TableParagraph"/>
              <w:spacing w:before="68"/>
              <w:ind w:left="359" w:right="341"/>
              <w:jc w:val="center"/>
              <w:rPr>
                <w:rFonts w:ascii="Calibri"/>
                <w:sz w:val="16"/>
              </w:rPr>
            </w:pPr>
            <w:r>
              <w:rPr>
                <w:rFonts w:ascii="Calibri"/>
                <w:sz w:val="16"/>
              </w:rPr>
              <w:t>0.0%</w:t>
            </w:r>
          </w:p>
          <w:p>
            <w:pPr>
              <w:pStyle w:val="TableParagraph"/>
              <w:spacing w:before="69"/>
              <w:ind w:left="359" w:right="341"/>
              <w:jc w:val="center"/>
              <w:rPr>
                <w:rFonts w:ascii="Calibri"/>
                <w:b/>
                <w:sz w:val="16"/>
              </w:rPr>
            </w:pPr>
            <w:r>
              <w:rPr>
                <w:rFonts w:ascii="Calibri"/>
                <w:b/>
                <w:sz w:val="16"/>
              </w:rPr>
              <w:t>17.0%</w:t>
            </w:r>
          </w:p>
          <w:p>
            <w:pPr>
              <w:pStyle w:val="TableParagraph"/>
              <w:spacing w:before="71"/>
              <w:ind w:left="359" w:right="341"/>
              <w:jc w:val="center"/>
              <w:rPr>
                <w:rFonts w:ascii="Calibri"/>
                <w:sz w:val="16"/>
              </w:rPr>
            </w:pPr>
            <w:r>
              <w:rPr>
                <w:rFonts w:ascii="Calibri"/>
                <w:sz w:val="16"/>
              </w:rPr>
              <w:t>14.6%</w:t>
            </w:r>
          </w:p>
          <w:p>
            <w:pPr>
              <w:pStyle w:val="TableParagraph"/>
              <w:spacing w:before="69"/>
              <w:ind w:left="359" w:right="341"/>
              <w:jc w:val="center"/>
              <w:rPr>
                <w:rFonts w:ascii="Calibri"/>
                <w:sz w:val="16"/>
              </w:rPr>
            </w:pPr>
            <w:r>
              <w:rPr>
                <w:rFonts w:ascii="Calibri"/>
                <w:sz w:val="16"/>
              </w:rPr>
              <w:t>10.2%</w:t>
            </w:r>
          </w:p>
          <w:p>
            <w:pPr>
              <w:pStyle w:val="TableParagraph"/>
              <w:spacing w:before="69"/>
              <w:ind w:left="359" w:right="341"/>
              <w:jc w:val="center"/>
              <w:rPr>
                <w:rFonts w:ascii="Calibri"/>
                <w:sz w:val="16"/>
              </w:rPr>
            </w:pPr>
            <w:r>
              <w:rPr>
                <w:rFonts w:ascii="Calibri"/>
                <w:sz w:val="16"/>
              </w:rPr>
              <w:t>0.6%</w:t>
            </w:r>
          </w:p>
          <w:p>
            <w:pPr>
              <w:pStyle w:val="TableParagraph"/>
              <w:spacing w:before="69"/>
              <w:ind w:left="359" w:right="341"/>
              <w:jc w:val="center"/>
              <w:rPr>
                <w:rFonts w:ascii="Calibri"/>
                <w:sz w:val="16"/>
              </w:rPr>
            </w:pPr>
            <w:r>
              <w:rPr>
                <w:rFonts w:ascii="Calibri"/>
                <w:sz w:val="16"/>
              </w:rPr>
              <w:t>1.6%</w:t>
            </w:r>
          </w:p>
          <w:p>
            <w:pPr>
              <w:pStyle w:val="TableParagraph"/>
              <w:spacing w:before="68"/>
              <w:ind w:left="359" w:right="341"/>
              <w:jc w:val="center"/>
              <w:rPr>
                <w:rFonts w:ascii="Calibri"/>
                <w:sz w:val="16"/>
              </w:rPr>
            </w:pPr>
            <w:r>
              <w:rPr>
                <w:rFonts w:ascii="Calibri"/>
                <w:sz w:val="16"/>
              </w:rPr>
              <w:t>1.6%</w:t>
            </w:r>
          </w:p>
          <w:p>
            <w:pPr>
              <w:pStyle w:val="TableParagraph"/>
              <w:spacing w:before="69"/>
              <w:ind w:left="359" w:right="341"/>
              <w:jc w:val="center"/>
              <w:rPr>
                <w:rFonts w:ascii="Calibri"/>
                <w:sz w:val="16"/>
              </w:rPr>
            </w:pPr>
            <w:r>
              <w:rPr>
                <w:rFonts w:ascii="Calibri"/>
                <w:sz w:val="16"/>
              </w:rPr>
              <w:t>0.7%</w:t>
            </w:r>
          </w:p>
          <w:p>
            <w:pPr>
              <w:pStyle w:val="TableParagraph"/>
              <w:spacing w:before="71"/>
              <w:ind w:left="359" w:right="341"/>
              <w:jc w:val="center"/>
              <w:rPr>
                <w:rFonts w:ascii="Calibri"/>
                <w:sz w:val="16"/>
              </w:rPr>
            </w:pPr>
            <w:r>
              <w:rPr>
                <w:rFonts w:ascii="Calibri"/>
                <w:sz w:val="16"/>
              </w:rPr>
              <w:t>2.4%</w:t>
            </w:r>
          </w:p>
          <w:p>
            <w:pPr>
              <w:pStyle w:val="TableParagraph"/>
              <w:spacing w:before="69"/>
              <w:ind w:left="359" w:right="341"/>
              <w:jc w:val="center"/>
              <w:rPr>
                <w:rFonts w:ascii="Calibri"/>
                <w:b/>
                <w:sz w:val="16"/>
              </w:rPr>
            </w:pPr>
            <w:r>
              <w:rPr>
                <w:rFonts w:ascii="Calibri"/>
                <w:b/>
                <w:sz w:val="16"/>
              </w:rPr>
              <w:t>-0.4%</w:t>
            </w:r>
          </w:p>
        </w:tc>
      </w:tr>
      <w:tr>
        <w:trPr>
          <w:trHeight w:val="2382" w:hRule="atLeast"/>
        </w:trPr>
        <w:tc>
          <w:tcPr>
            <w:tcW w:w="3697" w:type="dxa"/>
          </w:tcPr>
          <w:p>
            <w:pPr>
              <w:pStyle w:val="TableParagraph"/>
              <w:spacing w:before="25"/>
              <w:ind w:left="230"/>
              <w:rPr>
                <w:b/>
                <w:sz w:val="16"/>
              </w:rPr>
            </w:pPr>
            <w:r>
              <w:rPr>
                <w:b/>
                <w:sz w:val="16"/>
              </w:rPr>
              <w:t>Financiamiento Externo Neto</w:t>
            </w:r>
          </w:p>
          <w:p>
            <w:pPr>
              <w:pStyle w:val="TableParagraph"/>
              <w:spacing w:before="80"/>
              <w:ind w:left="388"/>
              <w:rPr>
                <w:sz w:val="16"/>
              </w:rPr>
            </w:pPr>
            <w:r>
              <w:rPr>
                <w:sz w:val="16"/>
              </w:rPr>
              <w:t>Préstamos Netos</w:t>
            </w:r>
          </w:p>
          <w:p>
            <w:pPr>
              <w:pStyle w:val="TableParagraph"/>
              <w:spacing w:before="80"/>
              <w:ind w:left="388"/>
              <w:rPr>
                <w:sz w:val="16"/>
              </w:rPr>
            </w:pPr>
            <w:r>
              <w:rPr>
                <w:sz w:val="16"/>
              </w:rPr>
              <w:t>Negociación Neta de Eurobonos</w:t>
            </w:r>
          </w:p>
          <w:p>
            <w:pPr>
              <w:pStyle w:val="TableParagraph"/>
              <w:spacing w:before="83"/>
              <w:ind w:right="1463"/>
              <w:jc w:val="right"/>
              <w:rPr>
                <w:b/>
                <w:sz w:val="16"/>
              </w:rPr>
            </w:pPr>
            <w:r>
              <w:rPr>
                <w:b/>
                <w:sz w:val="16"/>
              </w:rPr>
              <w:t>Financiamiento Interno</w:t>
            </w:r>
            <w:r>
              <w:rPr>
                <w:b/>
                <w:spacing w:val="-15"/>
                <w:sz w:val="16"/>
              </w:rPr>
              <w:t> </w:t>
            </w:r>
            <w:r>
              <w:rPr>
                <w:b/>
                <w:sz w:val="16"/>
              </w:rPr>
              <w:t>Neto</w:t>
            </w:r>
          </w:p>
          <w:p>
            <w:pPr>
              <w:pStyle w:val="TableParagraph"/>
              <w:spacing w:before="77"/>
              <w:ind w:right="1494"/>
              <w:jc w:val="right"/>
              <w:rPr>
                <w:sz w:val="16"/>
              </w:rPr>
            </w:pPr>
            <w:r>
              <w:rPr>
                <w:sz w:val="16"/>
              </w:rPr>
              <w:t>Negociación Neta de</w:t>
            </w:r>
            <w:r>
              <w:rPr>
                <w:spacing w:val="-13"/>
                <w:sz w:val="16"/>
              </w:rPr>
              <w:t> </w:t>
            </w:r>
            <w:r>
              <w:rPr>
                <w:sz w:val="16"/>
              </w:rPr>
              <w:t>Bonos</w:t>
            </w:r>
          </w:p>
          <w:p>
            <w:pPr>
              <w:pStyle w:val="TableParagraph"/>
              <w:spacing w:line="345" w:lineRule="auto" w:before="80"/>
              <w:ind w:left="388" w:right="114"/>
              <w:rPr>
                <w:sz w:val="16"/>
              </w:rPr>
            </w:pPr>
            <w:r>
              <w:rPr>
                <w:sz w:val="16"/>
              </w:rPr>
              <w:t>Prestamos netos con el sector financiero nacional Amortización (costo de la política monetaria) Otros flujos de financiamiento</w:t>
            </w:r>
          </w:p>
          <w:p>
            <w:pPr>
              <w:pStyle w:val="TableParagraph"/>
              <w:spacing w:before="3"/>
              <w:ind w:left="230"/>
              <w:rPr>
                <w:b/>
                <w:sz w:val="16"/>
              </w:rPr>
            </w:pPr>
            <w:r>
              <w:rPr>
                <w:b/>
                <w:sz w:val="16"/>
              </w:rPr>
              <w:t>Variación de Caja (+) disminución (-) aumento</w:t>
            </w:r>
          </w:p>
        </w:tc>
        <w:tc>
          <w:tcPr>
            <w:tcW w:w="1162" w:type="dxa"/>
          </w:tcPr>
          <w:p>
            <w:pPr>
              <w:pStyle w:val="TableParagraph"/>
              <w:spacing w:before="20"/>
              <w:ind w:left="359" w:right="340"/>
              <w:jc w:val="center"/>
              <w:rPr>
                <w:rFonts w:ascii="Calibri"/>
                <w:b/>
                <w:sz w:val="16"/>
              </w:rPr>
            </w:pPr>
            <w:r>
              <w:rPr>
                <w:rFonts w:ascii="Calibri"/>
                <w:b/>
                <w:sz w:val="16"/>
              </w:rPr>
              <w:t>0.8%</w:t>
            </w:r>
          </w:p>
          <w:p>
            <w:pPr>
              <w:pStyle w:val="TableParagraph"/>
              <w:spacing w:before="68"/>
              <w:ind w:left="359" w:right="339"/>
              <w:jc w:val="center"/>
              <w:rPr>
                <w:rFonts w:ascii="Calibri"/>
                <w:sz w:val="16"/>
              </w:rPr>
            </w:pPr>
            <w:r>
              <w:rPr>
                <w:rFonts w:ascii="Calibri"/>
                <w:sz w:val="16"/>
              </w:rPr>
              <w:t>-0.4%</w:t>
            </w:r>
          </w:p>
          <w:p>
            <w:pPr>
              <w:pStyle w:val="TableParagraph"/>
              <w:spacing w:before="69"/>
              <w:ind w:left="359" w:right="340"/>
              <w:jc w:val="center"/>
              <w:rPr>
                <w:rFonts w:ascii="Calibri"/>
                <w:sz w:val="16"/>
              </w:rPr>
            </w:pPr>
            <w:r>
              <w:rPr>
                <w:rFonts w:ascii="Calibri"/>
                <w:sz w:val="16"/>
              </w:rPr>
              <w:t>1.2%</w:t>
            </w:r>
          </w:p>
          <w:p>
            <w:pPr>
              <w:pStyle w:val="TableParagraph"/>
              <w:spacing w:before="69"/>
              <w:ind w:left="359" w:right="340"/>
              <w:jc w:val="center"/>
              <w:rPr>
                <w:rFonts w:ascii="Calibri"/>
                <w:b/>
                <w:sz w:val="16"/>
              </w:rPr>
            </w:pPr>
            <w:r>
              <w:rPr>
                <w:rFonts w:ascii="Calibri"/>
                <w:b/>
                <w:sz w:val="16"/>
              </w:rPr>
              <w:t>1.2%</w:t>
            </w:r>
          </w:p>
          <w:p>
            <w:pPr>
              <w:pStyle w:val="TableParagraph"/>
              <w:spacing w:before="69"/>
              <w:ind w:left="359" w:right="340"/>
              <w:jc w:val="center"/>
              <w:rPr>
                <w:rFonts w:ascii="Calibri"/>
                <w:sz w:val="16"/>
              </w:rPr>
            </w:pPr>
            <w:r>
              <w:rPr>
                <w:rFonts w:ascii="Calibri"/>
                <w:sz w:val="16"/>
              </w:rPr>
              <w:t>1.2%</w:t>
            </w:r>
          </w:p>
          <w:p>
            <w:pPr>
              <w:pStyle w:val="TableParagraph"/>
              <w:spacing w:before="71"/>
              <w:ind w:left="359" w:right="340"/>
              <w:jc w:val="center"/>
              <w:rPr>
                <w:rFonts w:ascii="Calibri"/>
                <w:sz w:val="16"/>
              </w:rPr>
            </w:pPr>
            <w:r>
              <w:rPr>
                <w:rFonts w:ascii="Calibri"/>
                <w:sz w:val="16"/>
              </w:rPr>
              <w:t>0.0%</w:t>
            </w:r>
          </w:p>
          <w:p>
            <w:pPr>
              <w:pStyle w:val="TableParagraph"/>
              <w:spacing w:before="69"/>
              <w:ind w:left="359" w:right="340"/>
              <w:jc w:val="center"/>
              <w:rPr>
                <w:rFonts w:ascii="Calibri"/>
                <w:sz w:val="16"/>
              </w:rPr>
            </w:pPr>
            <w:r>
              <w:rPr>
                <w:rFonts w:ascii="Calibri"/>
                <w:sz w:val="16"/>
              </w:rPr>
              <w:t>0.0%</w:t>
            </w:r>
          </w:p>
          <w:p>
            <w:pPr>
              <w:pStyle w:val="TableParagraph"/>
              <w:spacing w:before="68"/>
              <w:ind w:left="359" w:right="340"/>
              <w:jc w:val="center"/>
              <w:rPr>
                <w:rFonts w:ascii="Calibri"/>
                <w:sz w:val="16"/>
              </w:rPr>
            </w:pPr>
            <w:r>
              <w:rPr>
                <w:rFonts w:ascii="Calibri"/>
                <w:sz w:val="16"/>
              </w:rPr>
              <w:t>0.1%</w:t>
            </w:r>
          </w:p>
          <w:p>
            <w:pPr>
              <w:pStyle w:val="TableParagraph"/>
              <w:spacing w:before="69"/>
              <w:ind w:left="359" w:right="339"/>
              <w:jc w:val="center"/>
              <w:rPr>
                <w:rFonts w:ascii="Calibri"/>
                <w:b/>
                <w:sz w:val="16"/>
              </w:rPr>
            </w:pPr>
            <w:r>
              <w:rPr>
                <w:rFonts w:ascii="Calibri"/>
                <w:b/>
                <w:sz w:val="16"/>
              </w:rPr>
              <w:t>-0.3%</w:t>
            </w:r>
          </w:p>
        </w:tc>
        <w:tc>
          <w:tcPr>
            <w:tcW w:w="1162" w:type="dxa"/>
          </w:tcPr>
          <w:p>
            <w:pPr>
              <w:pStyle w:val="TableParagraph"/>
              <w:spacing w:before="20"/>
              <w:ind w:left="359" w:right="340"/>
              <w:jc w:val="center"/>
              <w:rPr>
                <w:rFonts w:ascii="Calibri"/>
                <w:b/>
                <w:sz w:val="16"/>
              </w:rPr>
            </w:pPr>
            <w:r>
              <w:rPr>
                <w:rFonts w:ascii="Calibri"/>
                <w:b/>
                <w:sz w:val="16"/>
              </w:rPr>
              <w:t>1.4%</w:t>
            </w:r>
          </w:p>
          <w:p>
            <w:pPr>
              <w:pStyle w:val="TableParagraph"/>
              <w:spacing w:before="68"/>
              <w:ind w:left="359" w:right="340"/>
              <w:jc w:val="center"/>
              <w:rPr>
                <w:rFonts w:ascii="Calibri"/>
                <w:sz w:val="16"/>
              </w:rPr>
            </w:pPr>
            <w:r>
              <w:rPr>
                <w:rFonts w:ascii="Calibri"/>
                <w:sz w:val="16"/>
              </w:rPr>
              <w:t>0.2%</w:t>
            </w:r>
          </w:p>
          <w:p>
            <w:pPr>
              <w:pStyle w:val="TableParagraph"/>
              <w:spacing w:before="69"/>
              <w:ind w:left="359" w:right="340"/>
              <w:jc w:val="center"/>
              <w:rPr>
                <w:rFonts w:ascii="Calibri"/>
                <w:sz w:val="16"/>
              </w:rPr>
            </w:pPr>
            <w:r>
              <w:rPr>
                <w:rFonts w:ascii="Calibri"/>
                <w:sz w:val="16"/>
              </w:rPr>
              <w:t>1.2%</w:t>
            </w:r>
          </w:p>
          <w:p>
            <w:pPr>
              <w:pStyle w:val="TableParagraph"/>
              <w:spacing w:before="69"/>
              <w:ind w:left="359" w:right="340"/>
              <w:jc w:val="center"/>
              <w:rPr>
                <w:rFonts w:ascii="Calibri"/>
                <w:b/>
                <w:sz w:val="16"/>
              </w:rPr>
            </w:pPr>
            <w:r>
              <w:rPr>
                <w:rFonts w:ascii="Calibri"/>
                <w:b/>
                <w:sz w:val="16"/>
              </w:rPr>
              <w:t>4.1%</w:t>
            </w:r>
          </w:p>
          <w:p>
            <w:pPr>
              <w:pStyle w:val="TableParagraph"/>
              <w:spacing w:before="69"/>
              <w:ind w:left="359" w:right="340"/>
              <w:jc w:val="center"/>
              <w:rPr>
                <w:rFonts w:ascii="Calibri"/>
                <w:sz w:val="16"/>
              </w:rPr>
            </w:pPr>
            <w:r>
              <w:rPr>
                <w:rFonts w:ascii="Calibri"/>
                <w:sz w:val="16"/>
              </w:rPr>
              <w:t>3.8%</w:t>
            </w:r>
          </w:p>
          <w:p>
            <w:pPr>
              <w:pStyle w:val="TableParagraph"/>
              <w:spacing w:before="71"/>
              <w:ind w:left="359" w:right="340"/>
              <w:jc w:val="center"/>
              <w:rPr>
                <w:rFonts w:ascii="Calibri"/>
                <w:sz w:val="16"/>
              </w:rPr>
            </w:pPr>
            <w:r>
              <w:rPr>
                <w:rFonts w:ascii="Calibri"/>
                <w:sz w:val="16"/>
              </w:rPr>
              <w:t>0.1%</w:t>
            </w:r>
          </w:p>
          <w:p>
            <w:pPr>
              <w:pStyle w:val="TableParagraph"/>
              <w:spacing w:before="69"/>
              <w:ind w:left="359" w:right="340"/>
              <w:jc w:val="center"/>
              <w:rPr>
                <w:rFonts w:ascii="Calibri"/>
                <w:sz w:val="16"/>
              </w:rPr>
            </w:pPr>
            <w:r>
              <w:rPr>
                <w:rFonts w:ascii="Calibri"/>
                <w:sz w:val="16"/>
              </w:rPr>
              <w:t>0.0%</w:t>
            </w:r>
          </w:p>
          <w:p>
            <w:pPr>
              <w:pStyle w:val="TableParagraph"/>
              <w:spacing w:before="68"/>
              <w:ind w:left="359" w:right="340"/>
              <w:jc w:val="center"/>
              <w:rPr>
                <w:rFonts w:ascii="Calibri"/>
                <w:sz w:val="16"/>
              </w:rPr>
            </w:pPr>
            <w:r>
              <w:rPr>
                <w:rFonts w:ascii="Calibri"/>
                <w:sz w:val="16"/>
              </w:rPr>
              <w:t>0.3%</w:t>
            </w:r>
          </w:p>
          <w:p>
            <w:pPr>
              <w:pStyle w:val="TableParagraph"/>
              <w:spacing w:before="69"/>
              <w:ind w:left="359" w:right="339"/>
              <w:jc w:val="center"/>
              <w:rPr>
                <w:rFonts w:ascii="Calibri"/>
                <w:b/>
                <w:sz w:val="16"/>
              </w:rPr>
            </w:pPr>
            <w:r>
              <w:rPr>
                <w:rFonts w:ascii="Calibri"/>
                <w:b/>
                <w:sz w:val="16"/>
              </w:rPr>
              <w:t>-1.7%</w:t>
            </w:r>
          </w:p>
        </w:tc>
        <w:tc>
          <w:tcPr>
            <w:tcW w:w="1163" w:type="dxa"/>
          </w:tcPr>
          <w:p>
            <w:pPr>
              <w:pStyle w:val="TableParagraph"/>
              <w:spacing w:before="20"/>
              <w:ind w:left="359" w:right="341"/>
              <w:jc w:val="center"/>
              <w:rPr>
                <w:rFonts w:ascii="Calibri"/>
                <w:b/>
                <w:sz w:val="16"/>
              </w:rPr>
            </w:pPr>
            <w:r>
              <w:rPr>
                <w:rFonts w:ascii="Calibri"/>
                <w:b/>
                <w:sz w:val="16"/>
              </w:rPr>
              <w:t>0.3%</w:t>
            </w:r>
          </w:p>
          <w:p>
            <w:pPr>
              <w:pStyle w:val="TableParagraph"/>
              <w:spacing w:before="68"/>
              <w:ind w:left="359" w:right="341"/>
              <w:jc w:val="center"/>
              <w:rPr>
                <w:rFonts w:ascii="Calibri"/>
                <w:sz w:val="16"/>
              </w:rPr>
            </w:pPr>
            <w:r>
              <w:rPr>
                <w:rFonts w:ascii="Calibri"/>
                <w:sz w:val="16"/>
              </w:rPr>
              <w:t>-0.4%</w:t>
            </w:r>
          </w:p>
          <w:p>
            <w:pPr>
              <w:pStyle w:val="TableParagraph"/>
              <w:spacing w:before="69"/>
              <w:ind w:left="359" w:right="341"/>
              <w:jc w:val="center"/>
              <w:rPr>
                <w:rFonts w:ascii="Calibri"/>
                <w:sz w:val="16"/>
              </w:rPr>
            </w:pPr>
            <w:r>
              <w:rPr>
                <w:rFonts w:ascii="Calibri"/>
                <w:sz w:val="16"/>
              </w:rPr>
              <w:t>0.6%</w:t>
            </w:r>
          </w:p>
          <w:p>
            <w:pPr>
              <w:pStyle w:val="TableParagraph"/>
              <w:spacing w:before="69"/>
              <w:ind w:left="359" w:right="341"/>
              <w:jc w:val="center"/>
              <w:rPr>
                <w:rFonts w:ascii="Calibri"/>
                <w:b/>
                <w:sz w:val="16"/>
              </w:rPr>
            </w:pPr>
            <w:r>
              <w:rPr>
                <w:rFonts w:ascii="Calibri"/>
                <w:b/>
                <w:sz w:val="16"/>
              </w:rPr>
              <w:t>2.8%</w:t>
            </w:r>
          </w:p>
          <w:p>
            <w:pPr>
              <w:pStyle w:val="TableParagraph"/>
              <w:spacing w:before="69"/>
              <w:ind w:left="359" w:right="341"/>
              <w:jc w:val="center"/>
              <w:rPr>
                <w:rFonts w:ascii="Calibri"/>
                <w:sz w:val="16"/>
              </w:rPr>
            </w:pPr>
            <w:r>
              <w:rPr>
                <w:rFonts w:ascii="Calibri"/>
                <w:sz w:val="16"/>
              </w:rPr>
              <w:t>2.2%</w:t>
            </w:r>
          </w:p>
          <w:p>
            <w:pPr>
              <w:pStyle w:val="TableParagraph"/>
              <w:spacing w:before="71"/>
              <w:ind w:left="359" w:right="341"/>
              <w:jc w:val="center"/>
              <w:rPr>
                <w:rFonts w:ascii="Calibri"/>
                <w:sz w:val="16"/>
              </w:rPr>
            </w:pPr>
            <w:r>
              <w:rPr>
                <w:rFonts w:ascii="Calibri"/>
                <w:sz w:val="16"/>
              </w:rPr>
              <w:t>0.1%</w:t>
            </w:r>
          </w:p>
          <w:p>
            <w:pPr>
              <w:pStyle w:val="TableParagraph"/>
              <w:spacing w:before="69"/>
              <w:ind w:left="359" w:right="341"/>
              <w:jc w:val="center"/>
              <w:rPr>
                <w:rFonts w:ascii="Calibri"/>
                <w:sz w:val="16"/>
              </w:rPr>
            </w:pPr>
            <w:r>
              <w:rPr>
                <w:rFonts w:ascii="Calibri"/>
                <w:sz w:val="16"/>
              </w:rPr>
              <w:t>0.0%</w:t>
            </w:r>
          </w:p>
          <w:p>
            <w:pPr>
              <w:pStyle w:val="TableParagraph"/>
              <w:spacing w:before="68"/>
              <w:ind w:left="359" w:right="341"/>
              <w:jc w:val="center"/>
              <w:rPr>
                <w:rFonts w:ascii="Calibri"/>
                <w:sz w:val="16"/>
              </w:rPr>
            </w:pPr>
            <w:r>
              <w:rPr>
                <w:rFonts w:ascii="Calibri"/>
                <w:sz w:val="16"/>
              </w:rPr>
              <w:t>0.5%</w:t>
            </w:r>
          </w:p>
          <w:p>
            <w:pPr>
              <w:pStyle w:val="TableParagraph"/>
              <w:spacing w:before="69"/>
              <w:ind w:left="359" w:right="341"/>
              <w:jc w:val="center"/>
              <w:rPr>
                <w:rFonts w:ascii="Calibri"/>
                <w:b/>
                <w:sz w:val="16"/>
              </w:rPr>
            </w:pPr>
            <w:r>
              <w:rPr>
                <w:rFonts w:ascii="Calibri"/>
                <w:b/>
                <w:sz w:val="16"/>
              </w:rPr>
              <w:t>-2.7%</w:t>
            </w:r>
          </w:p>
        </w:tc>
      </w:tr>
    </w:tbl>
    <w:p>
      <w:pPr>
        <w:spacing w:before="0"/>
        <w:ind w:left="1555" w:right="0" w:firstLine="0"/>
        <w:jc w:val="left"/>
        <w:rPr>
          <w:sz w:val="16"/>
        </w:rPr>
      </w:pPr>
      <w:r>
        <w:rPr>
          <w:sz w:val="16"/>
        </w:rPr>
        <w:t>Fuente: Dirección de Análisis y Política Fiscal</w:t>
      </w:r>
    </w:p>
    <w:p>
      <w:pPr>
        <w:pStyle w:val="BodyText"/>
        <w:rPr>
          <w:sz w:val="18"/>
        </w:rPr>
      </w:pPr>
    </w:p>
    <w:p>
      <w:pPr>
        <w:pStyle w:val="Heading2"/>
        <w:numPr>
          <w:ilvl w:val="1"/>
          <w:numId w:val="13"/>
        </w:numPr>
        <w:tabs>
          <w:tab w:pos="990" w:val="left" w:leader="none"/>
        </w:tabs>
        <w:spacing w:line="240" w:lineRule="auto" w:before="139" w:after="0"/>
        <w:ind w:left="989" w:right="0" w:hanging="361"/>
        <w:jc w:val="left"/>
      </w:pPr>
      <w:bookmarkStart w:name="_bookmark149" w:id="186"/>
      <w:bookmarkEnd w:id="186"/>
      <w:r>
        <w:rPr>
          <w:b w:val="0"/>
        </w:rPr>
      </w:r>
      <w:bookmarkStart w:name="_bookmark149" w:id="187"/>
      <w:bookmarkEnd w:id="187"/>
      <w:r>
        <w:rPr/>
        <w:t>D</w:t>
      </w:r>
      <w:r>
        <w:rPr/>
        <w:t>esempeño de la política fiscal a junio de 2022 y perspectivas de</w:t>
      </w:r>
      <w:r>
        <w:rPr>
          <w:spacing w:val="-6"/>
        </w:rPr>
        <w:t> </w:t>
      </w:r>
      <w:r>
        <w:rPr/>
        <w:t>cierre</w:t>
      </w:r>
    </w:p>
    <w:p>
      <w:pPr>
        <w:pStyle w:val="BodyText"/>
        <w:spacing w:before="3"/>
        <w:rPr>
          <w:b/>
          <w:sz w:val="31"/>
        </w:rPr>
      </w:pPr>
    </w:p>
    <w:p>
      <w:pPr>
        <w:pStyle w:val="Heading2"/>
        <w:numPr>
          <w:ilvl w:val="2"/>
          <w:numId w:val="13"/>
        </w:numPr>
        <w:tabs>
          <w:tab w:pos="1354" w:val="left" w:leader="none"/>
        </w:tabs>
        <w:spacing w:line="240" w:lineRule="auto" w:before="0" w:after="0"/>
        <w:ind w:left="1354" w:right="0" w:hanging="433"/>
        <w:jc w:val="left"/>
      </w:pPr>
      <w:bookmarkStart w:name="_bookmark150" w:id="188"/>
      <w:bookmarkEnd w:id="188"/>
      <w:r>
        <w:rPr/>
        <w:t>I</w:t>
      </w:r>
      <w:r>
        <w:rPr/>
        <w:t>ngresos</w:t>
      </w:r>
      <w:r>
        <w:rPr>
          <w:spacing w:val="-2"/>
        </w:rPr>
        <w:t> </w:t>
      </w:r>
      <w:r>
        <w:rPr/>
        <w:t>fiscales</w:t>
      </w:r>
    </w:p>
    <w:p>
      <w:pPr>
        <w:pStyle w:val="BodyText"/>
        <w:spacing w:before="4"/>
        <w:rPr>
          <w:b/>
          <w:sz w:val="28"/>
        </w:rPr>
      </w:pPr>
    </w:p>
    <w:p>
      <w:pPr>
        <w:pStyle w:val="BodyText"/>
        <w:spacing w:line="276" w:lineRule="auto"/>
        <w:ind w:left="562" w:right="1697"/>
        <w:jc w:val="both"/>
      </w:pPr>
      <w:r>
        <w:rPr/>
        <w:t>En</w:t>
      </w:r>
      <w:r>
        <w:rPr>
          <w:spacing w:val="-8"/>
        </w:rPr>
        <w:t> </w:t>
      </w:r>
      <w:r>
        <w:rPr/>
        <w:t>el</w:t>
      </w:r>
      <w:r>
        <w:rPr>
          <w:spacing w:val="-6"/>
        </w:rPr>
        <w:t> </w:t>
      </w:r>
      <w:r>
        <w:rPr/>
        <w:t>primer</w:t>
      </w:r>
      <w:r>
        <w:rPr>
          <w:spacing w:val="-6"/>
        </w:rPr>
        <w:t> </w:t>
      </w:r>
      <w:r>
        <w:rPr/>
        <w:t>semestre</w:t>
      </w:r>
      <w:r>
        <w:rPr>
          <w:spacing w:val="-6"/>
        </w:rPr>
        <w:t> </w:t>
      </w:r>
      <w:r>
        <w:rPr/>
        <w:t>del</w:t>
      </w:r>
      <w:r>
        <w:rPr>
          <w:spacing w:val="-6"/>
        </w:rPr>
        <w:t> </w:t>
      </w:r>
      <w:r>
        <w:rPr/>
        <w:t>2022</w:t>
      </w:r>
      <w:r>
        <w:rPr>
          <w:spacing w:val="-7"/>
        </w:rPr>
        <w:t> </w:t>
      </w:r>
      <w:r>
        <w:rPr/>
        <w:t>la</w:t>
      </w:r>
      <w:r>
        <w:rPr>
          <w:spacing w:val="-6"/>
        </w:rPr>
        <w:t> </w:t>
      </w:r>
      <w:r>
        <w:rPr/>
        <w:t>recaudación</w:t>
      </w:r>
      <w:r>
        <w:rPr>
          <w:spacing w:val="-4"/>
        </w:rPr>
        <w:t> </w:t>
      </w:r>
      <w:r>
        <w:rPr/>
        <w:t>tributaria</w:t>
      </w:r>
      <w:r>
        <w:rPr>
          <w:spacing w:val="-7"/>
        </w:rPr>
        <w:t> </w:t>
      </w:r>
      <w:r>
        <w:rPr/>
        <w:t>continúa</w:t>
      </w:r>
      <w:r>
        <w:rPr>
          <w:spacing w:val="-6"/>
        </w:rPr>
        <w:t> </w:t>
      </w:r>
      <w:r>
        <w:rPr/>
        <w:t>superando</w:t>
      </w:r>
      <w:r>
        <w:rPr>
          <w:spacing w:val="-7"/>
        </w:rPr>
        <w:t> </w:t>
      </w:r>
      <w:r>
        <w:rPr/>
        <w:t>la</w:t>
      </w:r>
      <w:r>
        <w:rPr>
          <w:spacing w:val="-7"/>
        </w:rPr>
        <w:t> </w:t>
      </w:r>
      <w:r>
        <w:rPr/>
        <w:t>meta,</w:t>
      </w:r>
      <w:r>
        <w:rPr>
          <w:spacing w:val="-7"/>
        </w:rPr>
        <w:t> </w:t>
      </w:r>
      <w:r>
        <w:rPr/>
        <w:t>principalmente, por una dinámica positiva en el Impuesto Sobre la Renta (ISR), Impuesto de Solidaridad (ISO), e Impuesto al Valor Agregado (IVA), en particular, el asociado al comercio</w:t>
      </w:r>
      <w:r>
        <w:rPr>
          <w:spacing w:val="-8"/>
        </w:rPr>
        <w:t> </w:t>
      </w:r>
      <w:r>
        <w:rPr/>
        <w:t>exterior.</w:t>
      </w:r>
    </w:p>
    <w:p>
      <w:pPr>
        <w:pStyle w:val="BodyText"/>
        <w:spacing w:before="4"/>
        <w:rPr>
          <w:sz w:val="25"/>
        </w:rPr>
      </w:pPr>
    </w:p>
    <w:p>
      <w:pPr>
        <w:pStyle w:val="BodyText"/>
        <w:spacing w:line="276" w:lineRule="auto" w:before="1"/>
        <w:ind w:left="562" w:right="1702"/>
        <w:jc w:val="both"/>
      </w:pPr>
      <w:r>
        <w:rPr/>
        <w:t>La evolución de la recaudación tributaria total neta de junio fue de Q6,204.4 millones, superior en Q926.2 millones respecto a lo establecido en la meta que se situaba en Q5,278.2 millones.</w:t>
      </w:r>
    </w:p>
    <w:p>
      <w:pPr>
        <w:pStyle w:val="BodyText"/>
        <w:spacing w:before="4"/>
        <w:rPr>
          <w:sz w:val="25"/>
        </w:rPr>
      </w:pPr>
    </w:p>
    <w:p>
      <w:pPr>
        <w:pStyle w:val="BodyText"/>
        <w:spacing w:line="276" w:lineRule="auto"/>
        <w:ind w:left="562" w:right="1696"/>
        <w:jc w:val="both"/>
      </w:pPr>
      <w:r>
        <w:rPr/>
        <w:t>La recaudación tributaria total neta acumulada a junio reflejó una brecha positiva acumulada de Q5,491.8 millones respecto a la meta, siendo los impuestos que contribuyeron en mayor cuantía el ISR, IVA total, ISO, Derechos Arancelarios a la Importación (DAI), Circulación de Vehículos e</w:t>
      </w:r>
    </w:p>
    <w:p>
      <w:pPr>
        <w:spacing w:after="0" w:line="276" w:lineRule="auto"/>
        <w:jc w:val="both"/>
        <w:sectPr>
          <w:pgSz w:w="12240" w:h="15840"/>
          <w:pgMar w:header="715" w:footer="957" w:top="1240" w:bottom="1140" w:left="1140" w:right="0"/>
        </w:sectPr>
      </w:pPr>
    </w:p>
    <w:p>
      <w:pPr>
        <w:pStyle w:val="BodyText"/>
        <w:spacing w:line="276" w:lineRule="auto" w:before="162"/>
        <w:ind w:left="562" w:right="1704"/>
      </w:pPr>
      <w:r>
        <w:rPr/>
        <w:t>IPRIMA. Los impuestos que mantienen una brecha negativa acumulada son el de Derivados del Petróleo (Q8.5 millones) y el de Tabacos (Q6.3 millones).</w:t>
      </w:r>
    </w:p>
    <w:p>
      <w:pPr>
        <w:pStyle w:val="BodyText"/>
        <w:spacing w:before="10"/>
        <w:rPr>
          <w:sz w:val="17"/>
        </w:rPr>
      </w:pPr>
    </w:p>
    <w:p>
      <w:pPr>
        <w:spacing w:after="0"/>
        <w:rPr>
          <w:sz w:val="17"/>
        </w:rPr>
        <w:sectPr>
          <w:pgSz w:w="12240" w:h="15840"/>
          <w:pgMar w:header="715" w:footer="957" w:top="1240" w:bottom="1140" w:left="1140" w:right="0"/>
        </w:sectPr>
      </w:pPr>
    </w:p>
    <w:p>
      <w:pPr>
        <w:pStyle w:val="BodyText"/>
        <w:rPr>
          <w:sz w:val="14"/>
        </w:rPr>
      </w:pPr>
    </w:p>
    <w:p>
      <w:pPr>
        <w:pStyle w:val="BodyText"/>
        <w:rPr>
          <w:sz w:val="14"/>
        </w:rPr>
      </w:pPr>
    </w:p>
    <w:p>
      <w:pPr>
        <w:pStyle w:val="BodyText"/>
        <w:rPr>
          <w:sz w:val="14"/>
        </w:rPr>
      </w:pPr>
    </w:p>
    <w:p>
      <w:pPr>
        <w:pStyle w:val="BodyText"/>
        <w:spacing w:before="5"/>
        <w:rPr>
          <w:sz w:val="13"/>
        </w:rPr>
      </w:pPr>
    </w:p>
    <w:p>
      <w:pPr>
        <w:spacing w:before="0"/>
        <w:ind w:left="0" w:right="0" w:firstLine="0"/>
        <w:jc w:val="right"/>
        <w:rPr>
          <w:sz w:val="14"/>
        </w:rPr>
      </w:pPr>
      <w:bookmarkStart w:name="_bookmark151" w:id="189"/>
      <w:bookmarkEnd w:id="189"/>
      <w:r>
        <w:rPr/>
      </w:r>
      <w:r>
        <w:rPr>
          <w:color w:val="585858"/>
          <w:w w:val="95"/>
          <w:sz w:val="14"/>
        </w:rPr>
        <w:t>45,000</w:t>
      </w:r>
    </w:p>
    <w:p>
      <w:pPr>
        <w:spacing w:before="74"/>
        <w:ind w:left="0" w:right="0" w:firstLine="0"/>
        <w:jc w:val="right"/>
        <w:rPr>
          <w:sz w:val="14"/>
        </w:rPr>
      </w:pPr>
      <w:r>
        <w:rPr>
          <w:color w:val="585858"/>
          <w:w w:val="95"/>
          <w:sz w:val="14"/>
        </w:rPr>
        <w:t>40,000</w:t>
      </w:r>
    </w:p>
    <w:p>
      <w:pPr>
        <w:spacing w:before="74"/>
        <w:ind w:left="0" w:right="0" w:firstLine="0"/>
        <w:jc w:val="right"/>
        <w:rPr>
          <w:sz w:val="14"/>
        </w:rPr>
      </w:pPr>
      <w:r>
        <w:rPr>
          <w:color w:val="585858"/>
          <w:w w:val="95"/>
          <w:sz w:val="14"/>
        </w:rPr>
        <w:t>35,000</w:t>
      </w:r>
    </w:p>
    <w:p>
      <w:pPr>
        <w:spacing w:before="75"/>
        <w:ind w:left="0" w:right="0" w:firstLine="0"/>
        <w:jc w:val="right"/>
        <w:rPr>
          <w:sz w:val="14"/>
        </w:rPr>
      </w:pPr>
      <w:r>
        <w:rPr>
          <w:color w:val="585858"/>
          <w:w w:val="95"/>
          <w:sz w:val="14"/>
        </w:rPr>
        <w:t>30,000</w:t>
      </w:r>
    </w:p>
    <w:p>
      <w:pPr>
        <w:spacing w:before="74"/>
        <w:ind w:left="0" w:right="0" w:firstLine="0"/>
        <w:jc w:val="right"/>
        <w:rPr>
          <w:sz w:val="14"/>
        </w:rPr>
      </w:pPr>
      <w:r>
        <w:rPr>
          <w:color w:val="585858"/>
          <w:w w:val="95"/>
          <w:sz w:val="14"/>
        </w:rPr>
        <w:t>25,000</w:t>
      </w:r>
    </w:p>
    <w:p>
      <w:pPr>
        <w:spacing w:before="74"/>
        <w:ind w:left="0" w:right="0" w:firstLine="0"/>
        <w:jc w:val="right"/>
        <w:rPr>
          <w:sz w:val="14"/>
        </w:rPr>
      </w:pPr>
      <w:r>
        <w:rPr>
          <w:color w:val="585858"/>
          <w:w w:val="95"/>
          <w:sz w:val="14"/>
        </w:rPr>
        <w:t>20,000</w:t>
      </w:r>
    </w:p>
    <w:p>
      <w:pPr>
        <w:spacing w:before="74"/>
        <w:ind w:left="0" w:right="0" w:firstLine="0"/>
        <w:jc w:val="right"/>
        <w:rPr>
          <w:sz w:val="14"/>
        </w:rPr>
      </w:pPr>
      <w:r>
        <w:rPr>
          <w:color w:val="585858"/>
          <w:w w:val="95"/>
          <w:sz w:val="14"/>
        </w:rPr>
        <w:t>15,000</w:t>
      </w:r>
    </w:p>
    <w:p>
      <w:pPr>
        <w:spacing w:before="75"/>
        <w:ind w:left="0" w:right="0" w:firstLine="0"/>
        <w:jc w:val="right"/>
        <w:rPr>
          <w:sz w:val="14"/>
        </w:rPr>
      </w:pPr>
      <w:r>
        <w:rPr>
          <w:color w:val="585858"/>
          <w:w w:val="95"/>
          <w:sz w:val="14"/>
        </w:rPr>
        <w:t>10,000</w:t>
      </w:r>
    </w:p>
    <w:p>
      <w:pPr>
        <w:spacing w:before="74"/>
        <w:ind w:left="0" w:right="0" w:firstLine="0"/>
        <w:jc w:val="right"/>
        <w:rPr>
          <w:sz w:val="14"/>
        </w:rPr>
      </w:pPr>
      <w:r>
        <w:rPr>
          <w:color w:val="585858"/>
          <w:w w:val="95"/>
          <w:sz w:val="14"/>
        </w:rPr>
        <w:t>5,000</w:t>
      </w:r>
    </w:p>
    <w:p>
      <w:pPr>
        <w:spacing w:before="74"/>
        <w:ind w:left="0" w:right="0" w:firstLine="0"/>
        <w:jc w:val="right"/>
        <w:rPr>
          <w:sz w:val="14"/>
        </w:rPr>
      </w:pPr>
      <w:r>
        <w:rPr>
          <w:color w:val="585858"/>
          <w:w w:val="99"/>
          <w:sz w:val="14"/>
        </w:rPr>
        <w:t>0</w:t>
      </w:r>
    </w:p>
    <w:p>
      <w:pPr>
        <w:spacing w:before="91"/>
        <w:ind w:left="0" w:right="2752" w:firstLine="0"/>
        <w:jc w:val="center"/>
        <w:rPr>
          <w:b/>
          <w:sz w:val="20"/>
        </w:rPr>
      </w:pPr>
      <w:r>
        <w:rPr/>
        <w:br w:type="column"/>
      </w:r>
      <w:r>
        <w:rPr>
          <w:b/>
          <w:i/>
          <w:sz w:val="20"/>
        </w:rPr>
        <w:t>Gráfico 77. </w:t>
      </w:r>
      <w:r>
        <w:rPr>
          <w:b/>
          <w:sz w:val="20"/>
        </w:rPr>
        <w:t>Cumplimiento de recaudación acumulada respecto a presupuesto</w:t>
      </w:r>
    </w:p>
    <w:p>
      <w:pPr>
        <w:pStyle w:val="BodyText"/>
        <w:spacing w:before="30"/>
        <w:ind w:right="2743"/>
        <w:jc w:val="center"/>
      </w:pPr>
      <w:r>
        <w:rPr/>
        <w:t>En millones de quetzales</w:t>
      </w:r>
    </w:p>
    <w:p>
      <w:pPr>
        <w:pStyle w:val="BodyText"/>
        <w:spacing w:before="9"/>
        <w:rPr>
          <w:sz w:val="6"/>
        </w:rPr>
      </w:pPr>
    </w:p>
    <w:p>
      <w:pPr>
        <w:pStyle w:val="BodyText"/>
        <w:ind w:left="70"/>
        <w:rPr>
          <w:sz w:val="20"/>
        </w:rPr>
      </w:pPr>
      <w:r>
        <w:rPr>
          <w:sz w:val="20"/>
        </w:rPr>
        <w:pict>
          <v:group style="width:356.55pt;height:108.65pt;mso-position-horizontal-relative:char;mso-position-vertical-relative:line" coordorigin="0,0" coordsize="7131,2173">
            <v:line style="position:absolute" from="6994,1923" to="7130,1923" stroked="true" strokeweight=".72pt" strokecolor="#d9d9d9">
              <v:stroke dashstyle="solid"/>
            </v:line>
            <v:line style="position:absolute" from="5806,1923" to="6079,1923" stroked="true" strokeweight=".72pt" strokecolor="#d9d9d9">
              <v:stroke dashstyle="solid"/>
            </v:line>
            <v:line style="position:absolute" from="4618,1923" to="4891,1923" stroked="true" strokeweight=".72pt" strokecolor="#d9d9d9">
              <v:stroke dashstyle="solid"/>
            </v:line>
            <v:line style="position:absolute" from="3430,1923" to="3703,1923" stroked="true" strokeweight=".72pt" strokecolor="#d9d9d9">
              <v:stroke dashstyle="solid"/>
            </v:line>
            <v:line style="position:absolute" from="2239,1923" to="2515,1923" stroked="true" strokeweight=".72pt" strokecolor="#d9d9d9">
              <v:stroke dashstyle="solid"/>
            </v:line>
            <v:line style="position:absolute" from="1051,1923" to="1327,1923" stroked="true" strokeweight=".72pt" strokecolor="#d9d9d9">
              <v:stroke dashstyle="solid"/>
            </v:line>
            <v:line style="position:absolute" from="0,1923" to="137,1923" stroked="true" strokeweight=".72pt" strokecolor="#d9d9d9">
              <v:stroke dashstyle="solid"/>
            </v:line>
            <v:line style="position:absolute" from="6994,1687" to="7130,1687" stroked="true" strokeweight=".72pt" strokecolor="#d9d9d9">
              <v:stroke dashstyle="solid"/>
            </v:line>
            <v:line style="position:absolute" from="5806,1687" to="6079,1687" stroked="true" strokeweight=".72pt" strokecolor="#d9d9d9">
              <v:stroke dashstyle="solid"/>
            </v:line>
            <v:line style="position:absolute" from="4618,1687" to="4891,1687" stroked="true" strokeweight=".72pt" strokecolor="#d9d9d9">
              <v:stroke dashstyle="solid"/>
            </v:line>
            <v:line style="position:absolute" from="3430,1687" to="3703,1687" stroked="true" strokeweight=".72pt" strokecolor="#d9d9d9">
              <v:stroke dashstyle="solid"/>
            </v:line>
            <v:line style="position:absolute" from="2239,1687" to="2515,1687" stroked="true" strokeweight=".72pt" strokecolor="#d9d9d9">
              <v:stroke dashstyle="solid"/>
            </v:line>
            <v:line style="position:absolute" from="0,1687" to="1327,1687" stroked="true" strokeweight=".72pt" strokecolor="#d9d9d9">
              <v:stroke dashstyle="solid"/>
            </v:line>
            <v:line style="position:absolute" from="6994,1452" to="7130,1452" stroked="true" strokeweight=".72pt" strokecolor="#d9d9d9">
              <v:stroke dashstyle="solid"/>
            </v:line>
            <v:line style="position:absolute" from="5806,1452" to="6079,1452" stroked="true" strokeweight=".72pt" strokecolor="#d9d9d9">
              <v:stroke dashstyle="solid"/>
            </v:line>
            <v:line style="position:absolute" from="4618,1452" to="4891,1452" stroked="true" strokeweight=".72pt" strokecolor="#d9d9d9">
              <v:stroke dashstyle="solid"/>
            </v:line>
            <v:line style="position:absolute" from="3430,1452" to="3703,1452" stroked="true" strokeweight=".72pt" strokecolor="#d9d9d9">
              <v:stroke dashstyle="solid"/>
            </v:line>
            <v:line style="position:absolute" from="0,1452" to="2515,1452" stroked="true" strokeweight=".72pt" strokecolor="#d9d9d9">
              <v:stroke dashstyle="solid"/>
            </v:line>
            <v:line style="position:absolute" from="6994,1217" to="7130,1217" stroked="true" strokeweight=".72pt" strokecolor="#d9d9d9">
              <v:stroke dashstyle="solid"/>
            </v:line>
            <v:line style="position:absolute" from="5806,1217" to="6079,1217" stroked="true" strokeweight=".72pt" strokecolor="#d9d9d9">
              <v:stroke dashstyle="solid"/>
            </v:line>
            <v:line style="position:absolute" from="4618,1217" to="4891,1217" stroked="true" strokeweight=".72pt" strokecolor="#d9d9d9">
              <v:stroke dashstyle="solid"/>
            </v:line>
            <v:line style="position:absolute" from="0,1217" to="3703,1217" stroked="true" strokeweight=".72pt" strokecolor="#d9d9d9">
              <v:stroke dashstyle="solid"/>
            </v:line>
            <v:line style="position:absolute" from="6994,982" to="7130,982" stroked="true" strokeweight=".72pt" strokecolor="#d9d9d9">
              <v:stroke dashstyle="solid"/>
            </v:line>
            <v:line style="position:absolute" from="5806,982" to="6079,982" stroked="true" strokeweight=".72pt" strokecolor="#d9d9d9">
              <v:stroke dashstyle="solid"/>
            </v:line>
            <v:line style="position:absolute" from="4618,982" to="4891,982" stroked="true" strokeweight=".72pt" strokecolor="#d9d9d9">
              <v:stroke dashstyle="solid"/>
            </v:line>
            <v:line style="position:absolute" from="0,982" to="3703,982" stroked="true" strokeweight=".72pt" strokecolor="#d9d9d9">
              <v:stroke dashstyle="solid"/>
            </v:line>
            <v:line style="position:absolute" from="6994,747" to="7130,747" stroked="true" strokeweight=".72pt" strokecolor="#d9d9d9">
              <v:stroke dashstyle="solid"/>
            </v:line>
            <v:line style="position:absolute" from="5806,747" to="6079,747" stroked="true" strokeweight=".72pt" strokecolor="#d9d9d9">
              <v:stroke dashstyle="solid"/>
            </v:line>
            <v:line style="position:absolute" from="0,747" to="4891,747" stroked="true" strokeweight=".72pt" strokecolor="#d9d9d9">
              <v:stroke dashstyle="solid"/>
            </v:line>
            <v:line style="position:absolute" from="6994,511" to="7130,511" stroked="true" strokeweight=".72pt" strokecolor="#d9d9d9">
              <v:stroke dashstyle="solid"/>
            </v:line>
            <v:line style="position:absolute" from="0,511" to="6079,511" stroked="true" strokeweight=".72pt" strokecolor="#d9d9d9">
              <v:stroke dashstyle="solid"/>
            </v:line>
            <v:shape style="position:absolute;left:52;top:403;width:7010;height:1769" type="#_x0000_t75" stroked="false">
              <v:imagedata r:id="rId169" o:title=""/>
            </v:shape>
            <v:rect style="position:absolute;left:1327;top:1596;width:912;height:562" filled="true" fillcolor="#5b9bd4" stroked="false">
              <v:fill type="solid"/>
            </v:rect>
            <v:rect style="position:absolute;left:2515;top:1298;width:915;height:860" filled="true" fillcolor="#5b9bd4" stroked="false">
              <v:fill type="solid"/>
            </v:rect>
            <v:rect style="position:absolute;left:3703;top:931;width:915;height:1227" filled="true" fillcolor="#5b9bd4" stroked="false">
              <v:fill type="solid"/>
            </v:rect>
            <v:rect style="position:absolute;left:4891;top:674;width:915;height:1484" filled="true" fillcolor="#5b9bd4" stroked="false">
              <v:fill type="solid"/>
            </v:rect>
            <v:rect style="position:absolute;left:6079;top:427;width:915;height:1731" filled="true" fillcolor="#5b9bd4" stroked="false">
              <v:fill type="solid"/>
            </v:rect>
            <v:line style="position:absolute" from="0,2158" to="7130,2158" stroked="true" strokeweight=".72pt" strokecolor="#d9d9d9">
              <v:stroke dashstyle="solid"/>
            </v:line>
            <v:line style="position:absolute" from="0,276" to="7130,276" stroked="true" strokeweight=".72pt" strokecolor="#d9d9d9">
              <v:stroke dashstyle="solid"/>
            </v:line>
            <v:shape style="position:absolute;left:594;top:169;width:5943;height:1623" coordorigin="594,169" coordsize="5943,1623" path="m594,1792l1784,1547,2972,1187,4160,753,5348,460,6536,169e" filled="false" stroked="true" strokeweight="2.280pt" strokecolor="#ff0000">
              <v:path arrowok="t"/>
              <v:stroke dashstyle="solid"/>
            </v:shape>
            <v:shape style="position:absolute;left:538;top:1735;width:116;height:116" type="#_x0000_t75" stroked="false">
              <v:imagedata r:id="rId170" o:title=""/>
            </v:shape>
            <v:shape style="position:absolute;left:1726;top:1488;width:116;height:116" type="#_x0000_t75" stroked="false">
              <v:imagedata r:id="rId170" o:title=""/>
            </v:shape>
            <v:shape style="position:absolute;left:2921;top:1137;width:101;height:101" coordorigin="2921,1138" coordsize="101,101" path="m2972,1138l2952,1142,2936,1152,2925,1168,2921,1188,2925,1208,2936,1224,2952,1235,2972,1238,2991,1235,3007,1224,3018,1208,3022,1188,3018,1168,3007,1152,2991,1142,2972,1138xe" filled="true" fillcolor="#ffffff" stroked="false">
              <v:path arrowok="t"/>
              <v:fill type="solid"/>
            </v:shape>
            <v:shape style="position:absolute;left:2921;top:1137;width:101;height:101" coordorigin="2921,1138" coordsize="101,101" path="m3022,1188l3018,1208,3007,1224,2991,1235,2972,1238,2952,1235,2936,1224,2925,1208,2921,1188,2925,1168,2936,1152,2952,1142,2972,1138,2991,1142,3007,1152,3018,1168,3022,1188xe" filled="false" stroked="true" strokeweight=".72pt" strokecolor="#ec7c30">
              <v:path arrowok="t"/>
              <v:stroke dashstyle="solid"/>
            </v:shape>
            <v:shape style="position:absolute;left:4102;top:696;width:116;height:116" type="#_x0000_t75" stroked="false">
              <v:imagedata r:id="rId171" o:title=""/>
            </v:shape>
            <v:shape style="position:absolute;left:5290;top:403;width:116;height:116" type="#_x0000_t75" stroked="false">
              <v:imagedata r:id="rId172" o:title=""/>
            </v:shape>
            <v:line style="position:absolute" from="0,41" to="7130,41" stroked="true" strokeweight=".72pt" strokecolor="#d9d9d9">
              <v:stroke dashstyle="solid"/>
            </v:line>
            <v:shape style="position:absolute;left:6480;top:110;width:116;height:116" type="#_x0000_t75" stroked="false">
              <v:imagedata r:id="rId170" o:title=""/>
            </v:shape>
            <v:shape style="position:absolute;left:2767;top:1049;width:204;height:140" coordorigin="2767,1049" coordsize="204,140" path="m2971,1188l2856,1049,2767,1049e" filled="false" stroked="true" strokeweight=".72pt" strokecolor="#a6a6a6">
              <v:path arrowok="t"/>
              <v:stroke dashstyle="solid"/>
            </v:shape>
            <v:shape style="position:absolute;left:3758;top:648;width:401;height:106" coordorigin="3758,648" coordsize="401,106" path="m4159,754l3847,648,3758,648e" filled="false" stroked="true" strokeweight=".72pt" strokecolor="#a6a6a6">
              <v:path arrowok="t"/>
              <v:stroke dashstyle="solid"/>
            </v:shape>
            <v:shape style="position:absolute;left:5246;top:357;width:101;height:104" coordorigin="5246,358" coordsize="101,104" path="m5347,461l5335,358,5246,358e" filled="false" stroked="true" strokeweight=".72pt" strokecolor="#a6a6a6">
              <v:path arrowok="t"/>
              <v:stroke dashstyle="solid"/>
            </v:shape>
            <v:shape style="position:absolute;left:5888;top:0;width:587;height:179" type="#_x0000_t202" filled="false" stroked="false">
              <v:textbox inset="0,0,0,0">
                <w:txbxContent>
                  <w:p>
                    <w:pPr>
                      <w:spacing w:line="178" w:lineRule="exact" w:before="0"/>
                      <w:ind w:left="0" w:right="0" w:firstLine="0"/>
                      <w:jc w:val="left"/>
                      <w:rPr>
                        <w:b/>
                        <w:sz w:val="16"/>
                      </w:rPr>
                    </w:pPr>
                    <w:r>
                      <w:rPr>
                        <w:b/>
                        <w:color w:val="FF0000"/>
                        <w:sz w:val="16"/>
                      </w:rPr>
                      <w:t>42,287.0</w:t>
                    </w:r>
                  </w:p>
                </w:txbxContent>
              </v:textbox>
              <w10:wrap type="none"/>
            </v:shape>
            <v:shape style="position:absolute;left:4623;top:271;width:587;height:179" type="#_x0000_t202" filled="false" stroked="false">
              <v:textbox inset="0,0,0,0">
                <w:txbxContent>
                  <w:p>
                    <w:pPr>
                      <w:spacing w:line="178" w:lineRule="exact" w:before="0"/>
                      <w:ind w:left="0" w:right="0" w:firstLine="0"/>
                      <w:jc w:val="left"/>
                      <w:rPr>
                        <w:b/>
                        <w:sz w:val="16"/>
                      </w:rPr>
                    </w:pPr>
                    <w:r>
                      <w:rPr>
                        <w:b/>
                        <w:color w:val="FF0000"/>
                        <w:sz w:val="16"/>
                      </w:rPr>
                      <w:t>36,082.7</w:t>
                    </w:r>
                  </w:p>
                </w:txbxContent>
              </v:textbox>
              <w10:wrap type="none"/>
            </v:shape>
            <v:shape style="position:absolute;left:3134;top:563;width:587;height:179" type="#_x0000_t202" filled="false" stroked="false">
              <v:textbox inset="0,0,0,0">
                <w:txbxContent>
                  <w:p>
                    <w:pPr>
                      <w:spacing w:line="178" w:lineRule="exact" w:before="0"/>
                      <w:ind w:left="0" w:right="0" w:firstLine="0"/>
                      <w:jc w:val="left"/>
                      <w:rPr>
                        <w:b/>
                        <w:sz w:val="16"/>
                      </w:rPr>
                    </w:pPr>
                    <w:r>
                      <w:rPr>
                        <w:b/>
                        <w:color w:val="FF0000"/>
                        <w:sz w:val="16"/>
                      </w:rPr>
                      <w:t>29,882.0</w:t>
                    </w:r>
                  </w:p>
                </w:txbxContent>
              </v:textbox>
              <w10:wrap type="none"/>
            </v:shape>
            <v:shape style="position:absolute;left:2143;top:963;width:587;height:179" type="#_x0000_t202" filled="false" stroked="false">
              <v:textbox inset="0,0,0,0">
                <w:txbxContent>
                  <w:p>
                    <w:pPr>
                      <w:spacing w:line="178" w:lineRule="exact" w:before="0"/>
                      <w:ind w:left="0" w:right="0" w:firstLine="0"/>
                      <w:jc w:val="left"/>
                      <w:rPr>
                        <w:b/>
                        <w:sz w:val="16"/>
                      </w:rPr>
                    </w:pPr>
                    <w:r>
                      <w:rPr>
                        <w:b/>
                        <w:color w:val="FF0000"/>
                        <w:sz w:val="16"/>
                      </w:rPr>
                      <w:t>20,643.0</w:t>
                    </w:r>
                  </w:p>
                </w:txbxContent>
              </v:textbox>
              <w10:wrap type="none"/>
            </v:shape>
            <v:shape style="position:absolute;left:1165;top:1273;width:587;height:179" type="#_x0000_t202" filled="false" stroked="false">
              <v:textbox inset="0,0,0,0">
                <w:txbxContent>
                  <w:p>
                    <w:pPr>
                      <w:spacing w:line="178" w:lineRule="exact" w:before="0"/>
                      <w:ind w:left="0" w:right="0" w:firstLine="0"/>
                      <w:jc w:val="left"/>
                      <w:rPr>
                        <w:b/>
                        <w:sz w:val="16"/>
                      </w:rPr>
                    </w:pPr>
                    <w:r>
                      <w:rPr>
                        <w:b/>
                        <w:color w:val="FF0000"/>
                        <w:sz w:val="16"/>
                      </w:rPr>
                      <w:t>12,993.5</w:t>
                    </w:r>
                  </w:p>
                </w:txbxContent>
              </v:textbox>
              <w10:wrap type="none"/>
            </v:shape>
            <v:shape style="position:absolute;left:93;top:1518;width:508;height:179" type="#_x0000_t202" filled="false" stroked="false">
              <v:textbox inset="0,0,0,0">
                <w:txbxContent>
                  <w:p>
                    <w:pPr>
                      <w:spacing w:line="178" w:lineRule="exact" w:before="0"/>
                      <w:ind w:left="0" w:right="0" w:firstLine="0"/>
                      <w:jc w:val="left"/>
                      <w:rPr>
                        <w:b/>
                        <w:sz w:val="16"/>
                      </w:rPr>
                    </w:pPr>
                    <w:r>
                      <w:rPr>
                        <w:b/>
                        <w:color w:val="FF0000"/>
                        <w:sz w:val="16"/>
                      </w:rPr>
                      <w:t>7,765.9</w:t>
                    </w:r>
                  </w:p>
                </w:txbxContent>
              </v:textbox>
              <w10:wrap type="none"/>
            </v:shape>
            <v:shape style="position:absolute;left:3703;top:981;width:915;height:1169"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5"/>
                      <w:rPr>
                        <w:sz w:val="24"/>
                      </w:rPr>
                    </w:pPr>
                  </w:p>
                  <w:p>
                    <w:pPr>
                      <w:spacing w:before="0"/>
                      <w:ind w:left="173" w:right="0" w:firstLine="0"/>
                      <w:jc w:val="left"/>
                      <w:rPr>
                        <w:b/>
                        <w:sz w:val="16"/>
                      </w:rPr>
                    </w:pPr>
                    <w:r>
                      <w:rPr>
                        <w:b/>
                        <w:color w:val="FFFFFF"/>
                        <w:sz w:val="16"/>
                      </w:rPr>
                      <w:t>26,082.4</w:t>
                    </w:r>
                  </w:p>
                </w:txbxContent>
              </v:textbox>
              <w10:wrap type="none"/>
            </v:shape>
            <v:shape style="position:absolute;left:4891;top:674;width:915;height:1484"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2"/>
                      <w:rPr>
                        <w:sz w:val="15"/>
                      </w:rPr>
                    </w:pPr>
                  </w:p>
                  <w:p>
                    <w:pPr>
                      <w:spacing w:before="0"/>
                      <w:ind w:left="174" w:right="0" w:firstLine="0"/>
                      <w:jc w:val="left"/>
                      <w:rPr>
                        <w:b/>
                        <w:sz w:val="16"/>
                      </w:rPr>
                    </w:pPr>
                    <w:r>
                      <w:rPr>
                        <w:b/>
                        <w:color w:val="FFFFFF"/>
                        <w:sz w:val="16"/>
                      </w:rPr>
                      <w:t>31,517.1</w:t>
                    </w:r>
                  </w:p>
                </w:txbxContent>
              </v:textbox>
              <w10:wrap type="none"/>
            </v:shape>
            <v:shape style="position:absolute;left:6079;top:427;width:915;height:1731"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7"/>
                      <w:rPr>
                        <w:sz w:val="18"/>
                      </w:rPr>
                    </w:pPr>
                  </w:p>
                  <w:p>
                    <w:pPr>
                      <w:spacing w:before="0"/>
                      <w:ind w:left="175" w:right="0" w:firstLine="0"/>
                      <w:jc w:val="left"/>
                      <w:rPr>
                        <w:b/>
                        <w:sz w:val="16"/>
                      </w:rPr>
                    </w:pPr>
                    <w:r>
                      <w:rPr>
                        <w:b/>
                        <w:color w:val="FFFFFF"/>
                        <w:sz w:val="16"/>
                      </w:rPr>
                      <w:t>36,795.2</w:t>
                    </w:r>
                  </w:p>
                </w:txbxContent>
              </v:textbox>
              <w10:wrap type="none"/>
            </v:shape>
            <v:shape style="position:absolute;left:136;top:1819;width:915;height:339" type="#_x0000_t202" filled="true" fillcolor="#5b9bd4" stroked="false">
              <v:textbox inset="0,0,0,0">
                <w:txbxContent>
                  <w:p>
                    <w:pPr>
                      <w:spacing w:before="64"/>
                      <w:ind w:left="215" w:right="0" w:firstLine="0"/>
                      <w:jc w:val="left"/>
                      <w:rPr>
                        <w:b/>
                        <w:sz w:val="16"/>
                      </w:rPr>
                    </w:pPr>
                    <w:r>
                      <w:rPr>
                        <w:b/>
                        <w:color w:val="FFFFFF"/>
                        <w:sz w:val="16"/>
                      </w:rPr>
                      <w:t>7,222.4</w:t>
                    </w:r>
                  </w:p>
                </w:txbxContent>
              </v:textbox>
              <v:fill type="solid"/>
              <w10:wrap type="none"/>
            </v:shape>
            <v:shape style="position:absolute;left:1327;top:1596;width:912;height:562" type="#_x0000_t202" filled="false" stroked="false">
              <v:textbox inset="0,0,0,0">
                <w:txbxContent>
                  <w:p>
                    <w:pPr>
                      <w:spacing w:line="240" w:lineRule="auto" w:before="0"/>
                      <w:rPr>
                        <w:sz w:val="25"/>
                      </w:rPr>
                    </w:pPr>
                  </w:p>
                  <w:p>
                    <w:pPr>
                      <w:spacing w:before="0"/>
                      <w:ind w:left="172" w:right="0" w:firstLine="0"/>
                      <w:jc w:val="left"/>
                      <w:rPr>
                        <w:b/>
                        <w:sz w:val="16"/>
                      </w:rPr>
                    </w:pPr>
                    <w:r>
                      <w:rPr>
                        <w:b/>
                        <w:color w:val="FFFFFF"/>
                        <w:sz w:val="16"/>
                      </w:rPr>
                      <w:t>11,942.7</w:t>
                    </w:r>
                  </w:p>
                </w:txbxContent>
              </v:textbox>
              <w10:wrap type="none"/>
            </v:shape>
            <v:shape style="position:absolute;left:2515;top:1298;width:915;height:860" type="#_x0000_t202" filled="false" stroked="false">
              <v:textbox inset="0,0,0,0">
                <w:txbxContent>
                  <w:p>
                    <w:pPr>
                      <w:spacing w:line="240" w:lineRule="auto" w:before="0"/>
                      <w:rPr>
                        <w:sz w:val="18"/>
                      </w:rPr>
                    </w:pPr>
                  </w:p>
                  <w:p>
                    <w:pPr>
                      <w:spacing w:line="240" w:lineRule="auto" w:before="0"/>
                      <w:rPr>
                        <w:sz w:val="18"/>
                      </w:rPr>
                    </w:pPr>
                  </w:p>
                  <w:p>
                    <w:pPr>
                      <w:spacing w:line="240" w:lineRule="auto" w:before="10"/>
                      <w:rPr>
                        <w:sz w:val="14"/>
                      </w:rPr>
                    </w:pPr>
                  </w:p>
                  <w:p>
                    <w:pPr>
                      <w:spacing w:before="0"/>
                      <w:ind w:left="173" w:right="0" w:firstLine="0"/>
                      <w:jc w:val="left"/>
                      <w:rPr>
                        <w:b/>
                        <w:sz w:val="16"/>
                      </w:rPr>
                    </w:pPr>
                    <w:r>
                      <w:rPr>
                        <w:b/>
                        <w:color w:val="FFFFFF"/>
                        <w:sz w:val="16"/>
                      </w:rPr>
                      <w:t>18,268.2</w:t>
                    </w:r>
                  </w:p>
                </w:txbxContent>
              </v:textbox>
              <w10:wrap type="none"/>
            </v:shape>
          </v:group>
        </w:pict>
      </w:r>
      <w:r>
        <w:rPr>
          <w:sz w:val="20"/>
        </w:rPr>
      </w:r>
    </w:p>
    <w:p>
      <w:pPr>
        <w:tabs>
          <w:tab w:pos="1747" w:val="left" w:leader="none"/>
          <w:tab w:pos="2911" w:val="left" w:leader="none"/>
          <w:tab w:pos="4124" w:val="left" w:leader="none"/>
          <w:tab w:pos="5273" w:val="left" w:leader="none"/>
          <w:tab w:pos="6501" w:val="left" w:leader="none"/>
        </w:tabs>
        <w:spacing w:line="204" w:lineRule="exact" w:before="65"/>
        <w:ind w:left="548" w:right="0" w:firstLine="0"/>
        <w:jc w:val="left"/>
        <w:rPr>
          <w:sz w:val="18"/>
        </w:rPr>
      </w:pPr>
      <w:r>
        <w:rPr>
          <w:color w:val="585858"/>
          <w:sz w:val="18"/>
        </w:rPr>
        <w:t>ene</w:t>
        <w:tab/>
        <w:t>feb</w:t>
        <w:tab/>
        <w:t>mar</w:t>
        <w:tab/>
        <w:t>abr</w:t>
        <w:tab/>
        <w:t>may</w:t>
        <w:tab/>
        <w:t>jun</w:t>
      </w:r>
    </w:p>
    <w:p>
      <w:pPr>
        <w:tabs>
          <w:tab w:pos="1395" w:val="left" w:leader="none"/>
        </w:tabs>
        <w:spacing w:line="204" w:lineRule="exact" w:before="0"/>
        <w:ind w:left="0" w:right="2691" w:firstLine="0"/>
        <w:jc w:val="center"/>
        <w:rPr>
          <w:b/>
          <w:sz w:val="18"/>
        </w:rPr>
      </w:pPr>
      <w:r>
        <w:rPr/>
        <w:pict>
          <v:line style="position:absolute;mso-position-horizontal-relative:page;mso-position-vertical-relative:paragraph;z-index:252713984" from="230.160004pt,5.362776pt" to="249.360004pt,5.362776pt" stroked="true" strokeweight="4.440pt" strokecolor="#5b9bd4">
            <v:stroke dashstyle="solid"/>
            <w10:wrap type="none"/>
          </v:line>
        </w:pict>
      </w:r>
      <w:r>
        <w:rPr/>
        <w:drawing>
          <wp:anchor distT="0" distB="0" distL="0" distR="0" allowOverlap="1" layoutInCell="1" locked="0" behindDoc="1" simplePos="0" relativeHeight="222711808">
            <wp:simplePos x="0" y="0"/>
            <wp:positionH relativeFrom="page">
              <wp:posOffset>3809238</wp:posOffset>
            </wp:positionH>
            <wp:positionV relativeFrom="paragraph">
              <wp:posOffset>30769</wp:posOffset>
            </wp:positionV>
            <wp:extent cx="243839" cy="73151"/>
            <wp:effectExtent l="0" t="0" r="0" b="0"/>
            <wp:wrapNone/>
            <wp:docPr id="69" name="image167.png"/>
            <wp:cNvGraphicFramePr>
              <a:graphicFrameLocks noChangeAspect="1"/>
            </wp:cNvGraphicFramePr>
            <a:graphic>
              <a:graphicData uri="http://schemas.openxmlformats.org/drawingml/2006/picture">
                <pic:pic>
                  <pic:nvPicPr>
                    <pic:cNvPr id="70" name="image167.png"/>
                    <pic:cNvPicPr/>
                  </pic:nvPicPr>
                  <pic:blipFill>
                    <a:blip r:embed="rId173" cstate="print"/>
                    <a:stretch>
                      <a:fillRect/>
                    </a:stretch>
                  </pic:blipFill>
                  <pic:spPr>
                    <a:xfrm>
                      <a:off x="0" y="0"/>
                      <a:ext cx="243839" cy="73151"/>
                    </a:xfrm>
                    <a:prstGeom prst="rect">
                      <a:avLst/>
                    </a:prstGeom>
                  </pic:spPr>
                </pic:pic>
              </a:graphicData>
            </a:graphic>
          </wp:anchor>
        </w:drawing>
      </w:r>
      <w:r>
        <w:rPr>
          <w:b/>
          <w:color w:val="585858"/>
          <w:sz w:val="18"/>
        </w:rPr>
        <w:t>Meta</w:t>
        <w:tab/>
        <w:t>Observado</w:t>
      </w:r>
    </w:p>
    <w:p>
      <w:pPr>
        <w:spacing w:after="0" w:line="204" w:lineRule="exact"/>
        <w:jc w:val="center"/>
        <w:rPr>
          <w:sz w:val="18"/>
        </w:rPr>
        <w:sectPr>
          <w:type w:val="continuous"/>
          <w:pgSz w:w="12240" w:h="15840"/>
          <w:pgMar w:top="1500" w:bottom="280" w:left="1140" w:right="0"/>
          <w:cols w:num="2" w:equalWidth="0">
            <w:col w:w="1569" w:space="40"/>
            <w:col w:w="9491"/>
          </w:cols>
        </w:sectPr>
      </w:pPr>
    </w:p>
    <w:p>
      <w:pPr>
        <w:spacing w:before="51"/>
        <w:ind w:left="562" w:right="0" w:firstLine="0"/>
        <w:jc w:val="left"/>
        <w:rPr>
          <w:sz w:val="16"/>
        </w:rPr>
      </w:pPr>
      <w:r>
        <w:rPr>
          <w:sz w:val="16"/>
        </w:rPr>
        <w:t>Fuente: Dirección de Análisis y Política Fiscal.</w:t>
      </w:r>
    </w:p>
    <w:p>
      <w:pPr>
        <w:pStyle w:val="BodyText"/>
        <w:rPr>
          <w:sz w:val="18"/>
        </w:rPr>
      </w:pPr>
    </w:p>
    <w:p>
      <w:pPr>
        <w:spacing w:before="115"/>
        <w:ind w:left="1395" w:right="2537" w:firstLine="0"/>
        <w:jc w:val="center"/>
        <w:rPr>
          <w:b/>
          <w:sz w:val="20"/>
        </w:rPr>
      </w:pPr>
      <w:bookmarkStart w:name="_bookmark152" w:id="190"/>
      <w:bookmarkEnd w:id="190"/>
      <w:r>
        <w:rPr/>
      </w:r>
      <w:r>
        <w:rPr>
          <w:b/>
          <w:i/>
          <w:sz w:val="20"/>
        </w:rPr>
        <w:t>Gráfico 78. </w:t>
      </w:r>
      <w:r>
        <w:rPr>
          <w:b/>
          <w:sz w:val="20"/>
        </w:rPr>
        <w:t>Variación de la recaudación tributaria neta acumulada de junio</w:t>
      </w:r>
    </w:p>
    <w:p>
      <w:pPr>
        <w:pStyle w:val="BodyText"/>
        <w:spacing w:before="29"/>
        <w:ind w:left="1395" w:right="2532"/>
        <w:jc w:val="center"/>
      </w:pPr>
      <w:r>
        <w:rPr/>
        <w:t>Millones de quetzales</w:t>
      </w:r>
    </w:p>
    <w:p>
      <w:pPr>
        <w:tabs>
          <w:tab w:pos="6909" w:val="left" w:leader="none"/>
        </w:tabs>
        <w:spacing w:line="202" w:lineRule="exact" w:before="118"/>
        <w:ind w:left="4962" w:right="0" w:firstLine="0"/>
        <w:jc w:val="left"/>
        <w:rPr>
          <w:b/>
          <w:sz w:val="18"/>
        </w:rPr>
      </w:pPr>
      <w:r>
        <w:rPr/>
        <w:drawing>
          <wp:anchor distT="0" distB="0" distL="0" distR="0" allowOverlap="1" layoutInCell="1" locked="0" behindDoc="0" simplePos="0" relativeHeight="252733440">
            <wp:simplePos x="0" y="0"/>
            <wp:positionH relativeFrom="page">
              <wp:posOffset>3605021</wp:posOffset>
            </wp:positionH>
            <wp:positionV relativeFrom="paragraph">
              <wp:posOffset>105185</wp:posOffset>
            </wp:positionV>
            <wp:extent cx="243839" cy="79248"/>
            <wp:effectExtent l="0" t="0" r="0" b="0"/>
            <wp:wrapNone/>
            <wp:docPr id="71" name="image168.png"/>
            <wp:cNvGraphicFramePr>
              <a:graphicFrameLocks noChangeAspect="1"/>
            </wp:cNvGraphicFramePr>
            <a:graphic>
              <a:graphicData uri="http://schemas.openxmlformats.org/drawingml/2006/picture">
                <pic:pic>
                  <pic:nvPicPr>
                    <pic:cNvPr id="72" name="image168.png"/>
                    <pic:cNvPicPr/>
                  </pic:nvPicPr>
                  <pic:blipFill>
                    <a:blip r:embed="rId174" cstate="print"/>
                    <a:stretch>
                      <a:fillRect/>
                    </a:stretch>
                  </pic:blipFill>
                  <pic:spPr>
                    <a:xfrm>
                      <a:off x="0" y="0"/>
                      <a:ext cx="243839" cy="79248"/>
                    </a:xfrm>
                    <a:prstGeom prst="rect">
                      <a:avLst/>
                    </a:prstGeom>
                  </pic:spPr>
                </pic:pic>
              </a:graphicData>
            </a:graphic>
          </wp:anchor>
        </w:drawing>
      </w:r>
      <w:r>
        <w:rPr/>
        <w:drawing>
          <wp:anchor distT="0" distB="0" distL="0" distR="0" allowOverlap="1" layoutInCell="1" locked="0" behindDoc="1" simplePos="0" relativeHeight="222731264">
            <wp:simplePos x="0" y="0"/>
            <wp:positionH relativeFrom="page">
              <wp:posOffset>4840985</wp:posOffset>
            </wp:positionH>
            <wp:positionV relativeFrom="paragraph">
              <wp:posOffset>105185</wp:posOffset>
            </wp:positionV>
            <wp:extent cx="243839" cy="79248"/>
            <wp:effectExtent l="0" t="0" r="0" b="0"/>
            <wp:wrapNone/>
            <wp:docPr id="73" name="image169.png"/>
            <wp:cNvGraphicFramePr>
              <a:graphicFrameLocks noChangeAspect="1"/>
            </wp:cNvGraphicFramePr>
            <a:graphic>
              <a:graphicData uri="http://schemas.openxmlformats.org/drawingml/2006/picture">
                <pic:pic>
                  <pic:nvPicPr>
                    <pic:cNvPr id="74" name="image169.png"/>
                    <pic:cNvPicPr/>
                  </pic:nvPicPr>
                  <pic:blipFill>
                    <a:blip r:embed="rId175" cstate="print"/>
                    <a:stretch>
                      <a:fillRect/>
                    </a:stretch>
                  </pic:blipFill>
                  <pic:spPr>
                    <a:xfrm>
                      <a:off x="0" y="0"/>
                      <a:ext cx="243839" cy="79248"/>
                    </a:xfrm>
                    <a:prstGeom prst="rect">
                      <a:avLst/>
                    </a:prstGeom>
                  </pic:spPr>
                </pic:pic>
              </a:graphicData>
            </a:graphic>
          </wp:anchor>
        </w:drawing>
      </w:r>
      <w:r>
        <w:rPr>
          <w:b/>
          <w:color w:val="585858"/>
          <w:sz w:val="18"/>
        </w:rPr>
        <w:t>2022-2021</w:t>
        <w:tab/>
        <w:t>2022-Pres</w:t>
      </w:r>
    </w:p>
    <w:p>
      <w:pPr>
        <w:spacing w:line="133" w:lineRule="exact" w:before="0"/>
        <w:ind w:left="1676" w:right="0" w:firstLine="0"/>
        <w:jc w:val="left"/>
        <w:rPr>
          <w:b/>
          <w:sz w:val="12"/>
        </w:rPr>
      </w:pPr>
      <w:r>
        <w:rPr/>
        <w:pict>
          <v:group style="position:absolute;margin-left:159pt;margin-top:3.084575pt;width:332.5pt;height:107.4pt;mso-position-horizontal-relative:page;mso-position-vertical-relative:paragraph;z-index:252732416" coordorigin="3180,62" coordsize="6650,2148">
            <v:shape style="position:absolute;left:3187;top:68;width:6562;height:2134" type="#_x0000_t75" stroked="false">
              <v:imagedata r:id="rId176" o:title=""/>
            </v:shape>
            <v:shape style="position:absolute;left:0;top:6769;width:6562;height:2134" coordorigin="0,6770" coordsize="6562,2134" path="m3187,2202l9749,2202m3187,1936l9749,1936m3187,1670l9749,1670m3187,1403l9749,1403m3187,1134l9749,1134m3187,868l9749,868m3187,602l9749,602m3187,335l9749,335m3187,69l9749,69e" filled="false" stroked="true" strokeweight=".72pt" strokecolor="#d9d9d9">
              <v:path arrowok="t"/>
              <v:stroke dashstyle="solid"/>
            </v:shape>
            <v:shape style="position:absolute;left:0;top:8903;width:6562;height:2134" coordorigin="0,8903" coordsize="6562,2134" path="m3187,69l3187,2202m4282,69l4282,2202m5374,69l5374,2202m6468,69l6468,2202m7562,69l7562,2202m8654,69l8654,2202m9749,69l9749,2202e" filled="false" stroked="true" strokeweight=".72pt" strokecolor="#d9d9d9">
              <v:path arrowok="t"/>
              <v:stroke dashstyle="solid"/>
            </v:shape>
            <v:shape style="position:absolute;left:3735;top:456;width:5468;height:1509" coordorigin="3736,456" coordsize="5468,1509" path="m3736,456l3788,515,3840,574,3892,636,3944,698,3996,762,4048,826,4100,890,4152,955,4204,1019,4256,1082,4308,1145,4360,1206,4412,1266,4465,1324,4517,1380,4569,1434,4621,1485,4673,1533,4725,1577,4777,1618,4829,1655,4902,1701,4975,1741,5048,1775,5121,1804,5194,1828,5266,1849,5339,1865,5412,1879,5485,1890,5558,1899,5631,1906,5704,1912,5777,1917,5850,1922,5922,1927,6001,1934,6079,1942,6157,1949,6235,1956,6313,1962,6391,1965,6469,1965,6547,1962,6625,1955,6704,1942,6782,1924,6860,1899,6938,1867,7016,1826,7115,1754,7165,1707,7215,1653,7264,1595,7314,1532,7364,1466,7414,1397,7463,1327,7513,1257,7563,1186,7612,1117,7662,1050,7712,986,7761,925,7811,870,7861,820,7911,776,7960,741,8060,695,8109,687,8161,689,8266,720,8370,782,8422,823,8474,869,8526,921,8578,976,8630,1035,8682,1097,8734,1161,8786,1226,8838,1292,8890,1358,8942,1424,8995,1487,9047,1549,9099,1608,9151,1664,9203,1715e" filled="false" stroked="true" strokeweight="1.8pt" strokecolor="#5b9bd4">
              <v:path arrowok="t"/>
              <v:stroke dashstyle="solid"/>
            </v:shape>
            <v:shape style="position:absolute;left:3672;top:394;width:125;height:125" type="#_x0000_t75" stroked="false">
              <v:imagedata r:id="rId177" o:title=""/>
            </v:shape>
            <v:shape style="position:absolute;left:4767;top:1592;width:125;height:125" type="#_x0000_t75" stroked="false">
              <v:imagedata r:id="rId178" o:title=""/>
            </v:shape>
            <v:shape style="position:absolute;left:5859;top:1865;width:125;height:125" type="#_x0000_t75" stroked="false">
              <v:imagedata r:id="rId179" o:title=""/>
            </v:shape>
            <v:shape style="position:absolute;left:6953;top:1765;width:125;height:125" type="#_x0000_t75" stroked="false">
              <v:imagedata r:id="rId180" o:title=""/>
            </v:shape>
            <v:shape style="position:absolute;left:8047;top:625;width:125;height:125" type="#_x0000_t75" stroked="false">
              <v:imagedata r:id="rId180" o:title=""/>
            </v:shape>
            <v:shape style="position:absolute;left:9139;top:1652;width:125;height:125" type="#_x0000_t75" stroked="false">
              <v:imagedata r:id="rId178" o:title=""/>
            </v:shape>
            <v:shape style="position:absolute;left:3735;top:307;width:5468;height:1676" coordorigin="3736,308" coordsize="5468,1676" path="m3736,308l3785,368,3835,430,3885,494,3934,559,3984,625,4034,691,4083,758,4133,825,4183,892,4233,958,4282,1023,4332,1088,4382,1151,4431,1213,4481,1272,4531,1330,4581,1385,4630,1438,4680,1488,4730,1534,4779,1577,4829,1616,4902,1667,4975,1712,5048,1750,5121,1783,5194,1811,5266,1835,5339,1855,5412,1872,5485,1886,5558,1898,5631,1908,5704,1916,5777,1925,5850,1933,5922,1942,6001,1952,6079,1960,6157,1968,6235,1975,6313,1980,6391,1982,6469,1983,6547,1981,6625,1975,6704,1967,6782,1955,6860,1938,6938,1918,7016,1893,7077,1868,7137,1835,7198,1797,7259,1753,7320,1705,7380,1654,7441,1601,7502,1547,7563,1493,7623,1440,7684,1389,7745,1340,7806,1296,7866,1257,7927,1224,7988,1198,8049,1181,8109,1172,8174,1173,8238,1181,8302,1197,8367,1220,8431,1249,8495,1283,8560,1321,8624,1362,8688,1406,8753,1452,8817,1499,8881,1546,8946,1593,9010,1638,9074,1682,9138,1722,9203,1759e" filled="false" stroked="true" strokeweight="1.8pt" strokecolor="#ff0000">
              <v:path arrowok="t"/>
              <v:stroke dashstyle="solid"/>
            </v:shape>
            <v:shape style="position:absolute;left:3672;top:245;width:125;height:125" type="#_x0000_t75" stroked="false">
              <v:imagedata r:id="rId181" o:title=""/>
            </v:shape>
            <v:shape style="position:absolute;left:4767;top:1551;width:125;height:125" type="#_x0000_t75" stroked="false">
              <v:imagedata r:id="rId181" o:title=""/>
            </v:shape>
            <v:shape style="position:absolute;left:5859;top:1877;width:125;height:125" type="#_x0000_t75" stroked="false">
              <v:imagedata r:id="rId182" o:title=""/>
            </v:shape>
            <v:shape style="position:absolute;left:6953;top:1829;width:125;height:125" type="#_x0000_t75" stroked="false">
              <v:imagedata r:id="rId182" o:title=""/>
            </v:shape>
            <v:shape style="position:absolute;left:8047;top:1109;width:125;height:125" type="#_x0000_t75" stroked="false">
              <v:imagedata r:id="rId182" o:title=""/>
            </v:shape>
            <v:shape style="position:absolute;left:9139;top:1695;width:125;height:125" type="#_x0000_t75" stroked="false">
              <v:imagedata r:id="rId183" o:title=""/>
            </v:shape>
            <v:line style="position:absolute" from="3734,458" to="3492,890" stroked="true" strokeweight=".72pt" strokecolor="#006fc0">
              <v:stroke dashstyle="shortdash"/>
            </v:line>
            <v:shape style="position:absolute;left:4024;top:1655;width:804;height:123" coordorigin="4025,1655" coordsize="804,123" path="m4829,1655l4116,1778,4025,1778e" filled="false" stroked="true" strokeweight=".72pt" strokecolor="#006fc0">
              <v:path arrowok="t"/>
              <v:stroke dashstyle="shortdash"/>
            </v:shape>
            <v:shape style="position:absolute;left:4850;top:1928;width:1071;height:176" coordorigin="4850,1929" coordsize="1071,176" path="m5921,1929l4939,2104,4850,2104e" filled="false" stroked="true" strokeweight=".72pt" strokecolor="#006fc0">
              <v:path arrowok="t"/>
              <v:stroke dashstyle="shortdash"/>
            </v:shape>
            <v:shape style="position:absolute;left:6511;top:1439;width:504;height:389" coordorigin="6511,1439" coordsize="504,389" path="m7015,1828l6600,1439,6511,1439e" filled="false" stroked="true" strokeweight=".72pt" strokecolor="#006fc0">
              <v:path arrowok="t"/>
              <v:stroke dashstyle="shortdash"/>
            </v:shape>
            <v:shape style="position:absolute;left:3734;top:256;width:204;height:53" coordorigin="3734,256" coordsize="204,53" path="m3734,309l3850,256,3938,256e" filled="false" stroked="true" strokeweight=".72pt" strokecolor="#ff0000">
              <v:path arrowok="t"/>
              <v:stroke dashstyle="shortdot"/>
            </v:shape>
            <v:line style="position:absolute" from="5921,1941" to="5844,1835" stroked="true" strokeweight=".72pt" strokecolor="#ff0000">
              <v:stroke dashstyle="shortdot"/>
            </v:line>
            <v:shape style="position:absolute;left:7015;top:1892;width:147;height:149" coordorigin="7015,1893" coordsize="147,149" path="m7015,1893l7070,2042,7162,2042e" filled="false" stroked="true" strokeweight=".72pt" strokecolor="#ff0000">
              <v:path arrowok="t"/>
              <v:stroke dashstyle="shortdot"/>
            </v:shape>
            <v:line style="position:absolute" from="8110,1173" to="7882,1324" stroked="true" strokeweight=".72pt" strokecolor="#ff0000">
              <v:stroke dashstyle="shortdot"/>
            </v:line>
            <v:line style="position:absolute" from="9202,1758" to="9569,1235" stroked="true" strokeweight=".72pt" strokecolor="#ff0000">
              <v:stroke dashstyle="shortdot"/>
            </v:line>
            <v:shape style="position:absolute;left:4000;top:126;width:469;height:270" type="#_x0000_t202" filled="false" stroked="false">
              <v:textbox inset="0,0,0,0">
                <w:txbxContent>
                  <w:p>
                    <w:pPr>
                      <w:spacing w:line="237" w:lineRule="auto" w:before="0"/>
                      <w:ind w:left="43" w:right="-1" w:hanging="44"/>
                      <w:jc w:val="left"/>
                      <w:rPr>
                        <w:b/>
                        <w:sz w:val="12"/>
                      </w:rPr>
                    </w:pPr>
                    <w:r>
                      <w:rPr>
                        <w:b/>
                        <w:color w:val="FF0000"/>
                        <w:sz w:val="12"/>
                      </w:rPr>
                      <w:t>IVA imp 3,049.5</w:t>
                    </w:r>
                  </w:p>
                </w:txbxContent>
              </v:textbox>
              <w10:wrap type="none"/>
            </v:shape>
            <v:shape style="position:absolute;left:3267;top:926;width:469;height:270" type="#_x0000_t202" filled="false" stroked="false">
              <v:textbox inset="0,0,0,0">
                <w:txbxContent>
                  <w:p>
                    <w:pPr>
                      <w:spacing w:line="237" w:lineRule="auto" w:before="0"/>
                      <w:ind w:left="43" w:right="-1" w:hanging="44"/>
                      <w:jc w:val="left"/>
                      <w:rPr>
                        <w:b/>
                        <w:sz w:val="12"/>
                      </w:rPr>
                    </w:pPr>
                    <w:r>
                      <w:rPr>
                        <w:b/>
                        <w:color w:val="006FC0"/>
                        <w:sz w:val="12"/>
                      </w:rPr>
                      <w:t>IVA imp 2,771.8</w:t>
                    </w:r>
                  </w:p>
                </w:txbxContent>
              </v:textbox>
              <w10:wrap type="none"/>
            </v:shape>
            <v:shape style="position:absolute;left:9332;top:935;width:497;height:270" type="#_x0000_t202" filled="false" stroked="false">
              <v:textbox inset="0,0,0,0">
                <w:txbxContent>
                  <w:p>
                    <w:pPr>
                      <w:spacing w:line="237" w:lineRule="auto" w:before="0"/>
                      <w:ind w:left="103" w:right="1" w:hanging="104"/>
                      <w:jc w:val="left"/>
                      <w:rPr>
                        <w:b/>
                        <w:sz w:val="12"/>
                      </w:rPr>
                    </w:pPr>
                    <w:r>
                      <w:rPr>
                        <w:b/>
                        <w:color w:val="FF0000"/>
                        <w:sz w:val="12"/>
                      </w:rPr>
                      <w:t>IVA dom 334.3</w:t>
                    </w:r>
                  </w:p>
                </w:txbxContent>
              </v:textbox>
              <w10:wrap type="none"/>
            </v:shape>
            <v:shape style="position:absolute;left:8654;top:1936;width:1095;height:267" type="#_x0000_t202" filled="false" stroked="true" strokeweight=".72pt" strokecolor="#d9d9d9">
              <v:textbox inset="0,0,0,0">
                <w:txbxContent>
                  <w:p>
                    <w:pPr>
                      <w:spacing w:before="24"/>
                      <w:ind w:left="96" w:right="0" w:firstLine="0"/>
                      <w:jc w:val="left"/>
                      <w:rPr>
                        <w:b/>
                        <w:sz w:val="12"/>
                      </w:rPr>
                    </w:pPr>
                    <w:r>
                      <w:rPr>
                        <w:b/>
                        <w:color w:val="006FC0"/>
                        <w:sz w:val="12"/>
                      </w:rPr>
                      <w:t>412.8</w:t>
                    </w:r>
                  </w:p>
                </w:txbxContent>
              </v:textbox>
              <v:stroke dashstyle="solid"/>
              <w10:wrap type="none"/>
            </v:shape>
            <v:shape style="position:absolute;left:6468;top:1936;width:1095;height:267" type="#_x0000_t202" filled="false" stroked="true" strokeweight=".72pt" strokecolor="#d9d9d9">
              <v:textbox inset="0,0,0,0">
                <w:txbxContent>
                  <w:p>
                    <w:pPr>
                      <w:spacing w:line="101" w:lineRule="exact" w:before="0"/>
                      <w:ind w:left="747" w:right="0" w:firstLine="0"/>
                      <w:jc w:val="left"/>
                      <w:rPr>
                        <w:b/>
                        <w:sz w:val="12"/>
                      </w:rPr>
                    </w:pPr>
                    <w:r>
                      <w:rPr>
                        <w:b/>
                        <w:color w:val="FF0000"/>
                        <w:sz w:val="12"/>
                      </w:rPr>
                      <w:t>ISO</w:t>
                    </w:r>
                  </w:p>
                  <w:p>
                    <w:pPr>
                      <w:spacing w:line="137" w:lineRule="exact" w:before="0"/>
                      <w:ind w:left="745" w:right="0" w:firstLine="0"/>
                      <w:jc w:val="left"/>
                      <w:rPr>
                        <w:b/>
                        <w:sz w:val="12"/>
                      </w:rPr>
                    </w:pPr>
                    <w:r>
                      <w:rPr>
                        <w:b/>
                        <w:color w:val="FF0000"/>
                        <w:sz w:val="12"/>
                      </w:rPr>
                      <w:t>83.2</w:t>
                    </w:r>
                  </w:p>
                </w:txbxContent>
              </v:textbox>
              <v:stroke dashstyle="solid"/>
              <w10:wrap type="none"/>
            </v:shape>
            <v:shape style="position:absolute;left:4281;top:1936;width:1092;height:267" type="#_x0000_t202" filled="false" stroked="true" strokeweight=".72pt" strokecolor="#d9d9d9">
              <v:textbox inset="0,0,0,0">
                <w:txbxContent>
                  <w:p>
                    <w:pPr>
                      <w:spacing w:line="136" w:lineRule="exact" w:before="28"/>
                      <w:ind w:left="181" w:right="384" w:hanging="104"/>
                      <w:jc w:val="left"/>
                      <w:rPr>
                        <w:b/>
                        <w:sz w:val="12"/>
                      </w:rPr>
                    </w:pPr>
                    <w:r>
                      <w:rPr>
                        <w:b/>
                        <w:color w:val="006FC0"/>
                        <w:sz w:val="12"/>
                      </w:rPr>
                      <w:t>Petróleo 14.8</w:t>
                    </w:r>
                  </w:p>
                </w:txbxContent>
              </v:textbox>
              <v:stroke dashstyle="solid"/>
              <w10:wrap type="none"/>
            </v:shape>
            <v:shape style="position:absolute;left:8654;top:1669;width:1095;height:267" type="#_x0000_t202" filled="false" stroked="true" strokeweight=".72pt" strokecolor="#d9d9d9">
              <v:textbox inset="0,0,0,0">
                <w:txbxContent>
                  <w:p>
                    <w:pPr>
                      <w:spacing w:line="240" w:lineRule="auto" w:before="4"/>
                      <w:rPr>
                        <w:sz w:val="13"/>
                      </w:rPr>
                    </w:pPr>
                  </w:p>
                  <w:p>
                    <w:pPr>
                      <w:spacing w:line="98" w:lineRule="exact" w:before="1"/>
                      <w:ind w:left="-7" w:right="0" w:firstLine="0"/>
                      <w:jc w:val="left"/>
                      <w:rPr>
                        <w:b/>
                        <w:sz w:val="12"/>
                      </w:rPr>
                    </w:pPr>
                    <w:r>
                      <w:rPr>
                        <w:b/>
                        <w:color w:val="006FC0"/>
                        <w:sz w:val="12"/>
                      </w:rPr>
                      <w:t>IVA dom</w:t>
                    </w:r>
                  </w:p>
                </w:txbxContent>
              </v:textbox>
              <v:stroke dashstyle="solid"/>
              <w10:wrap type="none"/>
            </v:shape>
            <v:shape style="position:absolute;left:5373;top:1669;width:1095;height:267" type="#_x0000_t202" filled="false" stroked="true" strokeweight=".72pt" strokecolor="#d9d9d9">
              <v:textbox inset="0,0,0,0">
                <w:txbxContent>
                  <w:p>
                    <w:pPr>
                      <w:spacing w:line="129" w:lineRule="exact" w:before="0"/>
                      <w:ind w:left="138" w:right="287" w:firstLine="0"/>
                      <w:jc w:val="center"/>
                      <w:rPr>
                        <w:b/>
                        <w:sz w:val="12"/>
                      </w:rPr>
                    </w:pPr>
                    <w:r>
                      <w:rPr>
                        <w:b/>
                        <w:color w:val="FF0000"/>
                        <w:sz w:val="12"/>
                      </w:rPr>
                      <w:t>-8.5</w:t>
                    </w:r>
                  </w:p>
                </w:txbxContent>
              </v:textbox>
              <v:stroke dashstyle="solid"/>
              <w10:wrap type="none"/>
            </v:shape>
            <v:shape style="position:absolute;left:3187;top:1669;width:1095;height:267" type="#_x0000_t202" filled="false" stroked="true" strokeweight=".72pt" strokecolor="#d9d9d9">
              <v:textbox inset="0,0,0,0">
                <w:txbxContent>
                  <w:p>
                    <w:pPr>
                      <w:spacing w:line="103" w:lineRule="exact" w:before="0"/>
                      <w:ind w:left="209" w:right="287" w:firstLine="0"/>
                      <w:jc w:val="center"/>
                      <w:rPr>
                        <w:b/>
                        <w:sz w:val="12"/>
                      </w:rPr>
                    </w:pPr>
                    <w:r>
                      <w:rPr>
                        <w:b/>
                        <w:color w:val="006FC0"/>
                        <w:sz w:val="12"/>
                      </w:rPr>
                      <w:t>Los demás</w:t>
                    </w:r>
                  </w:p>
                  <w:p>
                    <w:pPr>
                      <w:spacing w:line="137" w:lineRule="exact" w:before="0"/>
                      <w:ind w:left="208" w:right="287" w:firstLine="0"/>
                      <w:jc w:val="center"/>
                      <w:rPr>
                        <w:b/>
                        <w:sz w:val="12"/>
                      </w:rPr>
                    </w:pPr>
                    <w:r>
                      <w:rPr>
                        <w:b/>
                        <w:color w:val="006FC0"/>
                        <w:sz w:val="12"/>
                      </w:rPr>
                      <w:t>525.0</w:t>
                    </w:r>
                  </w:p>
                </w:txbxContent>
              </v:textbox>
              <v:stroke dashstyle="solid"/>
              <w10:wrap type="none"/>
            </v:shape>
            <v:shape style="position:absolute;left:7562;top:1403;width:1092;height:267" type="#_x0000_t202" filled="false" stroked="true" strokeweight=".72pt" strokecolor="#d9d9d9">
              <v:textbox inset="0,0,0,0">
                <w:txbxContent>
                  <w:p>
                    <w:pPr>
                      <w:spacing w:line="84" w:lineRule="exact" w:before="0"/>
                      <w:ind w:left="215" w:right="0" w:firstLine="0"/>
                      <w:jc w:val="left"/>
                      <w:rPr>
                        <w:b/>
                        <w:sz w:val="12"/>
                      </w:rPr>
                    </w:pPr>
                    <w:r>
                      <w:rPr>
                        <w:b/>
                        <w:color w:val="FF0000"/>
                        <w:sz w:val="12"/>
                      </w:rPr>
                      <w:t>ISR</w:t>
                    </w:r>
                  </w:p>
                  <w:p>
                    <w:pPr>
                      <w:spacing w:line="137" w:lineRule="exact" w:before="0"/>
                      <w:ind w:left="133" w:right="0" w:firstLine="0"/>
                      <w:jc w:val="left"/>
                      <w:rPr>
                        <w:b/>
                        <w:sz w:val="12"/>
                      </w:rPr>
                    </w:pPr>
                    <w:r>
                      <w:rPr>
                        <w:b/>
                        <w:color w:val="FF0000"/>
                        <w:sz w:val="12"/>
                      </w:rPr>
                      <w:t>1,432.0</w:t>
                    </w:r>
                  </w:p>
                </w:txbxContent>
              </v:textbox>
              <v:stroke dashstyle="solid"/>
              <w10:wrap type="none"/>
            </v:shape>
            <v:shape style="position:absolute;left:6181;top:1444;width:292;height:133" type="#_x0000_t202" filled="false" stroked="false">
              <v:textbox inset="0,0,0,0">
                <w:txbxContent>
                  <w:p>
                    <w:pPr>
                      <w:spacing w:line="133" w:lineRule="exact" w:before="0"/>
                      <w:ind w:left="0" w:right="0" w:firstLine="0"/>
                      <w:jc w:val="left"/>
                      <w:rPr>
                        <w:b/>
                        <w:sz w:val="12"/>
                      </w:rPr>
                    </w:pPr>
                    <w:r>
                      <w:rPr>
                        <w:b/>
                        <w:color w:val="006FC0"/>
                        <w:sz w:val="12"/>
                      </w:rPr>
                      <w:t>203.9</w:t>
                    </w:r>
                  </w:p>
                </w:txbxContent>
              </v:textbox>
              <w10:wrap type="none"/>
            </v:shape>
            <v:shape style="position:absolute;left:5636;top:1536;width:440;height:133" type="#_x0000_t202" filled="false" stroked="false">
              <v:textbox inset="0,0,0,0">
                <w:txbxContent>
                  <w:p>
                    <w:pPr>
                      <w:spacing w:line="133" w:lineRule="exact" w:before="0"/>
                      <w:ind w:left="0" w:right="0" w:firstLine="0"/>
                      <w:jc w:val="left"/>
                      <w:rPr>
                        <w:b/>
                        <w:sz w:val="12"/>
                      </w:rPr>
                    </w:pPr>
                    <w:r>
                      <w:rPr>
                        <w:b/>
                        <w:color w:val="FF0000"/>
                        <w:sz w:val="12"/>
                      </w:rPr>
                      <w:t>Petróleo</w:t>
                    </w:r>
                  </w:p>
                </w:txbxContent>
              </v:textbox>
              <w10:wrap type="none"/>
            </v:shape>
            <v:shape style="position:absolute;left:4281;top:1403;width:1092;height:267" type="#_x0000_t202" filled="false" stroked="true" strokeweight=".72pt" strokecolor="#d9d9d9">
              <v:textbox inset="0,0,0,0">
                <w:txbxContent>
                  <w:p>
                    <w:pPr>
                      <w:spacing w:line="98" w:lineRule="exact" w:before="0"/>
                      <w:ind w:left="392" w:right="374" w:firstLine="0"/>
                      <w:jc w:val="center"/>
                      <w:rPr>
                        <w:b/>
                        <w:sz w:val="12"/>
                      </w:rPr>
                    </w:pPr>
                    <w:r>
                      <w:rPr>
                        <w:b/>
                        <w:color w:val="FF0000"/>
                        <w:sz w:val="12"/>
                      </w:rPr>
                      <w:t>601.3</w:t>
                    </w:r>
                  </w:p>
                </w:txbxContent>
              </v:textbox>
              <v:stroke dashstyle="solid"/>
              <w10:wrap type="none"/>
            </v:shape>
            <v:shape style="position:absolute;left:5373;top:1134;width:1095;height:269" type="#_x0000_t202" filled="false" stroked="true" strokeweight=".72pt" strokecolor="#d9d9d9">
              <v:textbox inset="0,0,0,0">
                <w:txbxContent>
                  <w:p>
                    <w:pPr>
                      <w:spacing w:line="240" w:lineRule="auto" w:before="0"/>
                      <w:rPr>
                        <w:sz w:val="14"/>
                      </w:rPr>
                    </w:pPr>
                  </w:p>
                  <w:p>
                    <w:pPr>
                      <w:spacing w:line="93" w:lineRule="exact" w:before="0"/>
                      <w:ind w:left="0" w:right="40" w:firstLine="0"/>
                      <w:jc w:val="right"/>
                      <w:rPr>
                        <w:b/>
                        <w:sz w:val="12"/>
                      </w:rPr>
                    </w:pPr>
                    <w:r>
                      <w:rPr>
                        <w:b/>
                        <w:color w:val="006FC0"/>
                        <w:sz w:val="12"/>
                      </w:rPr>
                      <w:t>ISO</w:t>
                    </w:r>
                  </w:p>
                </w:txbxContent>
              </v:textbox>
              <v:stroke dashstyle="solid"/>
              <w10:wrap type="none"/>
            </v:shape>
            <v:shape style="position:absolute;left:4281;top:1134;width:1092;height:269" type="#_x0000_t202" filled="false" stroked="true" strokeweight=".72pt" strokecolor="#d9d9d9">
              <v:textbox inset="0,0,0,0">
                <w:txbxContent>
                  <w:p>
                    <w:pPr>
                      <w:spacing w:before="92"/>
                      <w:ind w:left="277" w:right="0" w:firstLine="0"/>
                      <w:jc w:val="left"/>
                      <w:rPr>
                        <w:b/>
                        <w:sz w:val="12"/>
                      </w:rPr>
                    </w:pPr>
                    <w:r>
                      <w:rPr>
                        <w:b/>
                        <w:color w:val="FF0000"/>
                        <w:sz w:val="12"/>
                      </w:rPr>
                      <w:t>Los demás</w:t>
                    </w:r>
                  </w:p>
                </w:txbxContent>
              </v:textbox>
              <v:stroke dashstyle="solid"/>
              <w10:wrap type="none"/>
            </v:shape>
            <v:shape style="position:absolute;left:6468;top:601;width:1095;height:267" type="#_x0000_t202" filled="false" stroked="true" strokeweight=".72pt" strokecolor="#d9d9d9">
              <v:textbox inset="0,0,0,0">
                <w:txbxContent>
                  <w:p>
                    <w:pPr>
                      <w:spacing w:line="124" w:lineRule="exact" w:before="0"/>
                      <w:ind w:left="371" w:right="0" w:firstLine="0"/>
                      <w:jc w:val="left"/>
                      <w:rPr>
                        <w:sz w:val="12"/>
                      </w:rPr>
                    </w:pPr>
                    <w:r>
                      <w:rPr>
                        <w:b/>
                        <w:color w:val="006FC0"/>
                        <w:sz w:val="12"/>
                      </w:rPr>
                      <w:t>ISR,     </w:t>
                    </w:r>
                    <w:r>
                      <w:rPr>
                        <w:color w:val="006FC0"/>
                        <w:sz w:val="12"/>
                        <w:u w:val="dotted" w:color="006FC0"/>
                      </w:rPr>
                      <w:t>  </w:t>
                    </w:r>
                  </w:p>
                  <w:p>
                    <w:pPr>
                      <w:spacing w:line="128" w:lineRule="exact" w:before="0"/>
                      <w:ind w:left="321" w:right="0" w:firstLine="0"/>
                      <w:jc w:val="left"/>
                      <w:rPr>
                        <w:b/>
                        <w:sz w:val="12"/>
                      </w:rPr>
                    </w:pPr>
                    <w:r>
                      <w:rPr>
                        <w:b/>
                        <w:color w:val="006FC0"/>
                        <w:sz w:val="12"/>
                      </w:rPr>
                      <w:t>2,339.5</w:t>
                    </w:r>
                  </w:p>
                </w:txbxContent>
              </v:textbox>
              <v:stroke dashstyle="solid"/>
              <w10:wrap type="none"/>
            </v:shape>
            <w10:wrap type="none"/>
          </v:group>
        </w:pict>
      </w:r>
      <w:r>
        <w:rPr>
          <w:b/>
          <w:color w:val="585858"/>
          <w:sz w:val="12"/>
        </w:rPr>
        <w:t>3,500</w:t>
      </w:r>
    </w:p>
    <w:p>
      <w:pPr>
        <w:pStyle w:val="BodyText"/>
        <w:spacing w:before="2"/>
        <w:rPr>
          <w:b/>
          <w:sz w:val="11"/>
        </w:rPr>
      </w:pPr>
    </w:p>
    <w:p>
      <w:pPr>
        <w:spacing w:before="0"/>
        <w:ind w:left="0" w:right="9150" w:firstLine="0"/>
        <w:jc w:val="right"/>
        <w:rPr>
          <w:b/>
          <w:sz w:val="12"/>
        </w:rPr>
      </w:pPr>
      <w:r>
        <w:rPr>
          <w:b/>
          <w:color w:val="585858"/>
          <w:sz w:val="12"/>
        </w:rPr>
        <w:t>3,000</w:t>
      </w:r>
    </w:p>
    <w:p>
      <w:pPr>
        <w:pStyle w:val="BodyText"/>
        <w:spacing w:before="3"/>
        <w:rPr>
          <w:b/>
          <w:sz w:val="11"/>
        </w:rPr>
      </w:pPr>
    </w:p>
    <w:p>
      <w:pPr>
        <w:spacing w:before="0"/>
        <w:ind w:left="0" w:right="9150" w:firstLine="0"/>
        <w:jc w:val="right"/>
        <w:rPr>
          <w:b/>
          <w:sz w:val="12"/>
        </w:rPr>
      </w:pPr>
      <w:r>
        <w:rPr>
          <w:b/>
          <w:color w:val="585858"/>
          <w:sz w:val="12"/>
        </w:rPr>
        <w:t>2,500</w:t>
      </w:r>
    </w:p>
    <w:p>
      <w:pPr>
        <w:pStyle w:val="BodyText"/>
        <w:spacing w:before="2"/>
        <w:rPr>
          <w:b/>
          <w:sz w:val="11"/>
        </w:rPr>
      </w:pPr>
    </w:p>
    <w:p>
      <w:pPr>
        <w:spacing w:before="0"/>
        <w:ind w:left="0" w:right="9150" w:firstLine="0"/>
        <w:jc w:val="right"/>
        <w:rPr>
          <w:b/>
          <w:sz w:val="12"/>
        </w:rPr>
      </w:pPr>
      <w:r>
        <w:rPr>
          <w:b/>
          <w:color w:val="585858"/>
          <w:sz w:val="12"/>
        </w:rPr>
        <w:t>2,000</w:t>
      </w:r>
    </w:p>
    <w:p>
      <w:pPr>
        <w:pStyle w:val="BodyText"/>
        <w:spacing w:before="3"/>
        <w:rPr>
          <w:b/>
          <w:sz w:val="11"/>
        </w:rPr>
      </w:pPr>
    </w:p>
    <w:p>
      <w:pPr>
        <w:spacing w:before="0"/>
        <w:ind w:left="0" w:right="9150" w:firstLine="0"/>
        <w:jc w:val="right"/>
        <w:rPr>
          <w:b/>
          <w:sz w:val="12"/>
        </w:rPr>
      </w:pPr>
      <w:r>
        <w:rPr>
          <w:b/>
          <w:color w:val="585858"/>
          <w:sz w:val="12"/>
        </w:rPr>
        <w:t>1,500</w:t>
      </w:r>
    </w:p>
    <w:p>
      <w:pPr>
        <w:pStyle w:val="BodyText"/>
        <w:spacing w:before="2"/>
        <w:rPr>
          <w:b/>
          <w:sz w:val="11"/>
        </w:rPr>
      </w:pPr>
    </w:p>
    <w:p>
      <w:pPr>
        <w:spacing w:before="1"/>
        <w:ind w:left="0" w:right="9150" w:firstLine="0"/>
        <w:jc w:val="right"/>
        <w:rPr>
          <w:b/>
          <w:sz w:val="12"/>
        </w:rPr>
      </w:pPr>
      <w:r>
        <w:rPr>
          <w:b/>
          <w:color w:val="585858"/>
          <w:sz w:val="12"/>
        </w:rPr>
        <w:t>1,000</w:t>
      </w:r>
    </w:p>
    <w:p>
      <w:pPr>
        <w:pStyle w:val="BodyText"/>
        <w:spacing w:before="2"/>
        <w:rPr>
          <w:b/>
          <w:sz w:val="11"/>
        </w:rPr>
      </w:pPr>
    </w:p>
    <w:p>
      <w:pPr>
        <w:spacing w:before="0"/>
        <w:ind w:left="0" w:right="9153" w:firstLine="0"/>
        <w:jc w:val="right"/>
        <w:rPr>
          <w:b/>
          <w:sz w:val="12"/>
        </w:rPr>
      </w:pPr>
      <w:r>
        <w:rPr>
          <w:b/>
          <w:color w:val="585858"/>
          <w:sz w:val="12"/>
        </w:rPr>
        <w:t>500</w:t>
      </w:r>
    </w:p>
    <w:p>
      <w:pPr>
        <w:pStyle w:val="BodyText"/>
        <w:spacing w:before="2"/>
        <w:rPr>
          <w:b/>
          <w:sz w:val="11"/>
        </w:rPr>
      </w:pPr>
    </w:p>
    <w:p>
      <w:pPr>
        <w:spacing w:before="0"/>
        <w:ind w:left="0" w:right="9153" w:firstLine="0"/>
        <w:jc w:val="right"/>
        <w:rPr>
          <w:b/>
          <w:sz w:val="12"/>
        </w:rPr>
      </w:pPr>
      <w:r>
        <w:rPr>
          <w:b/>
          <w:color w:val="585858"/>
          <w:sz w:val="12"/>
        </w:rPr>
        <w:t>0</w:t>
      </w:r>
    </w:p>
    <w:p>
      <w:pPr>
        <w:pStyle w:val="BodyText"/>
        <w:spacing w:before="3"/>
        <w:rPr>
          <w:b/>
          <w:sz w:val="11"/>
        </w:rPr>
      </w:pPr>
    </w:p>
    <w:p>
      <w:pPr>
        <w:spacing w:before="0"/>
        <w:ind w:left="0" w:right="9151" w:firstLine="0"/>
        <w:jc w:val="right"/>
        <w:rPr>
          <w:b/>
          <w:sz w:val="12"/>
        </w:rPr>
      </w:pPr>
      <w:r>
        <w:rPr>
          <w:b/>
          <w:color w:val="585858"/>
          <w:sz w:val="12"/>
        </w:rPr>
        <w:t>-500</w:t>
      </w:r>
    </w:p>
    <w:p>
      <w:pPr>
        <w:spacing w:before="42"/>
        <w:ind w:left="1978" w:right="0" w:firstLine="0"/>
        <w:jc w:val="left"/>
        <w:rPr>
          <w:sz w:val="16"/>
        </w:rPr>
      </w:pPr>
      <w:r>
        <w:rPr>
          <w:sz w:val="16"/>
        </w:rPr>
        <w:t>Fuente: Dirección de Análisis y Política Fiscal.</w:t>
      </w:r>
    </w:p>
    <w:p>
      <w:pPr>
        <w:pStyle w:val="BodyText"/>
        <w:spacing w:before="5"/>
        <w:rPr>
          <w:sz w:val="19"/>
        </w:rPr>
      </w:pPr>
    </w:p>
    <w:p>
      <w:pPr>
        <w:pStyle w:val="BodyText"/>
        <w:spacing w:line="276" w:lineRule="auto" w:before="91"/>
        <w:ind w:left="562" w:right="1695"/>
        <w:jc w:val="both"/>
      </w:pPr>
      <w:r>
        <w:rPr/>
        <w:t>El ritmo de crecimiento de la recaudación asociada al comercio exterior observada en 2021 </w:t>
      </w:r>
      <w:r>
        <w:rPr>
          <w:spacing w:val="-3"/>
        </w:rPr>
        <w:t>se </w:t>
      </w:r>
      <w:r>
        <w:rPr/>
        <w:t>mantiene</w:t>
      </w:r>
      <w:r>
        <w:rPr>
          <w:spacing w:val="-4"/>
        </w:rPr>
        <w:t> </w:t>
      </w:r>
      <w:r>
        <w:rPr/>
        <w:t>alta</w:t>
      </w:r>
      <w:r>
        <w:rPr>
          <w:spacing w:val="-3"/>
        </w:rPr>
        <w:t> </w:t>
      </w:r>
      <w:r>
        <w:rPr/>
        <w:t>para</w:t>
      </w:r>
      <w:r>
        <w:rPr>
          <w:spacing w:val="-4"/>
        </w:rPr>
        <w:t> </w:t>
      </w:r>
      <w:r>
        <w:rPr/>
        <w:t>el</w:t>
      </w:r>
      <w:r>
        <w:rPr>
          <w:spacing w:val="-3"/>
        </w:rPr>
        <w:t> </w:t>
      </w:r>
      <w:r>
        <w:rPr/>
        <w:t>presente</w:t>
      </w:r>
      <w:r>
        <w:rPr>
          <w:spacing w:val="-4"/>
        </w:rPr>
        <w:t> </w:t>
      </w:r>
      <w:r>
        <w:rPr/>
        <w:t>ejercicio,</w:t>
      </w:r>
      <w:r>
        <w:rPr>
          <w:spacing w:val="-4"/>
        </w:rPr>
        <w:t> </w:t>
      </w:r>
      <w:r>
        <w:rPr/>
        <w:t>generándose</w:t>
      </w:r>
      <w:r>
        <w:rPr>
          <w:spacing w:val="-3"/>
        </w:rPr>
        <w:t> </w:t>
      </w:r>
      <w:r>
        <w:rPr/>
        <w:t>una</w:t>
      </w:r>
      <w:r>
        <w:rPr>
          <w:spacing w:val="-4"/>
        </w:rPr>
        <w:t> </w:t>
      </w:r>
      <w:r>
        <w:rPr/>
        <w:t>brecha</w:t>
      </w:r>
      <w:r>
        <w:rPr>
          <w:spacing w:val="-3"/>
        </w:rPr>
        <w:t> </w:t>
      </w:r>
      <w:r>
        <w:rPr/>
        <w:t>positiva</w:t>
      </w:r>
      <w:r>
        <w:rPr>
          <w:spacing w:val="-4"/>
        </w:rPr>
        <w:t> </w:t>
      </w:r>
      <w:r>
        <w:rPr/>
        <w:t>acumulada</w:t>
      </w:r>
      <w:r>
        <w:rPr>
          <w:spacing w:val="-3"/>
        </w:rPr>
        <w:t> </w:t>
      </w:r>
      <w:r>
        <w:rPr/>
        <w:t>a</w:t>
      </w:r>
      <w:r>
        <w:rPr>
          <w:spacing w:val="-6"/>
        </w:rPr>
        <w:t> </w:t>
      </w:r>
      <w:r>
        <w:rPr/>
        <w:t>junio</w:t>
      </w:r>
      <w:r>
        <w:rPr>
          <w:spacing w:val="-5"/>
        </w:rPr>
        <w:t> </w:t>
      </w:r>
      <w:r>
        <w:rPr/>
        <w:t>respecto a</w:t>
      </w:r>
      <w:r>
        <w:rPr>
          <w:spacing w:val="-8"/>
        </w:rPr>
        <w:t> </w:t>
      </w:r>
      <w:r>
        <w:rPr/>
        <w:t>la</w:t>
      </w:r>
      <w:r>
        <w:rPr>
          <w:spacing w:val="-8"/>
        </w:rPr>
        <w:t> </w:t>
      </w:r>
      <w:r>
        <w:rPr/>
        <w:t>meta</w:t>
      </w:r>
      <w:r>
        <w:rPr>
          <w:spacing w:val="-11"/>
        </w:rPr>
        <w:t> </w:t>
      </w:r>
      <w:r>
        <w:rPr/>
        <w:t>de</w:t>
      </w:r>
      <w:r>
        <w:rPr>
          <w:spacing w:val="-10"/>
        </w:rPr>
        <w:t> </w:t>
      </w:r>
      <w:r>
        <w:rPr/>
        <w:t>Q3,296.1</w:t>
      </w:r>
      <w:r>
        <w:rPr>
          <w:spacing w:val="-11"/>
        </w:rPr>
        <w:t> </w:t>
      </w:r>
      <w:r>
        <w:rPr/>
        <w:t>millones,</w:t>
      </w:r>
      <w:r>
        <w:rPr>
          <w:spacing w:val="-9"/>
        </w:rPr>
        <w:t> </w:t>
      </w:r>
      <w:r>
        <w:rPr/>
        <w:t>y</w:t>
      </w:r>
      <w:r>
        <w:rPr>
          <w:spacing w:val="-11"/>
        </w:rPr>
        <w:t> </w:t>
      </w:r>
      <w:r>
        <w:rPr/>
        <w:t>con</w:t>
      </w:r>
      <w:r>
        <w:rPr>
          <w:spacing w:val="-10"/>
        </w:rPr>
        <w:t> </w:t>
      </w:r>
      <w:r>
        <w:rPr/>
        <w:t>relación</w:t>
      </w:r>
      <w:r>
        <w:rPr>
          <w:spacing w:val="-11"/>
        </w:rPr>
        <w:t> </w:t>
      </w:r>
      <w:r>
        <w:rPr/>
        <w:t>a</w:t>
      </w:r>
      <w:r>
        <w:rPr>
          <w:spacing w:val="-11"/>
        </w:rPr>
        <w:t> </w:t>
      </w:r>
      <w:r>
        <w:rPr/>
        <w:t>lo</w:t>
      </w:r>
      <w:r>
        <w:rPr>
          <w:spacing w:val="-11"/>
        </w:rPr>
        <w:t> </w:t>
      </w:r>
      <w:r>
        <w:rPr/>
        <w:t>observado</w:t>
      </w:r>
      <w:r>
        <w:rPr>
          <w:spacing w:val="-7"/>
        </w:rPr>
        <w:t> </w:t>
      </w:r>
      <w:r>
        <w:rPr/>
        <w:t>en</w:t>
      </w:r>
      <w:r>
        <w:rPr>
          <w:spacing w:val="-11"/>
        </w:rPr>
        <w:t> </w:t>
      </w:r>
      <w:r>
        <w:rPr/>
        <w:t>2021</w:t>
      </w:r>
      <w:r>
        <w:rPr>
          <w:spacing w:val="-11"/>
        </w:rPr>
        <w:t> </w:t>
      </w:r>
      <w:r>
        <w:rPr/>
        <w:t>de</w:t>
      </w:r>
      <w:r>
        <w:rPr>
          <w:spacing w:val="-11"/>
        </w:rPr>
        <w:t> </w:t>
      </w:r>
      <w:r>
        <w:rPr/>
        <w:t>Q2,987.9</w:t>
      </w:r>
      <w:r>
        <w:rPr>
          <w:spacing w:val="-10"/>
        </w:rPr>
        <w:t> </w:t>
      </w:r>
      <w:r>
        <w:rPr/>
        <w:t>millones,</w:t>
      </w:r>
      <w:r>
        <w:rPr>
          <w:spacing w:val="-11"/>
        </w:rPr>
        <w:t> </w:t>
      </w:r>
      <w:r>
        <w:rPr/>
        <w:t>es</w:t>
      </w:r>
      <w:r>
        <w:rPr>
          <w:spacing w:val="-10"/>
        </w:rPr>
        <w:t> </w:t>
      </w:r>
      <w:r>
        <w:rPr/>
        <w:t>decir, 28.2%</w:t>
      </w:r>
      <w:r>
        <w:rPr>
          <w:spacing w:val="-11"/>
        </w:rPr>
        <w:t> </w:t>
      </w:r>
      <w:r>
        <w:rPr/>
        <w:t>más</w:t>
      </w:r>
      <w:r>
        <w:rPr>
          <w:spacing w:val="-10"/>
        </w:rPr>
        <w:t> </w:t>
      </w:r>
      <w:r>
        <w:rPr/>
        <w:t>de</w:t>
      </w:r>
      <w:r>
        <w:rPr>
          <w:spacing w:val="-11"/>
        </w:rPr>
        <w:t> </w:t>
      </w:r>
      <w:r>
        <w:rPr/>
        <w:t>forma</w:t>
      </w:r>
      <w:r>
        <w:rPr>
          <w:spacing w:val="-11"/>
        </w:rPr>
        <w:t> </w:t>
      </w:r>
      <w:r>
        <w:rPr/>
        <w:t>interanual.</w:t>
      </w:r>
      <w:r>
        <w:rPr>
          <w:spacing w:val="34"/>
        </w:rPr>
        <w:t> </w:t>
      </w:r>
      <w:r>
        <w:rPr/>
        <w:t>Este</w:t>
      </w:r>
      <w:r>
        <w:rPr>
          <w:spacing w:val="33"/>
        </w:rPr>
        <w:t> </w:t>
      </w:r>
      <w:r>
        <w:rPr/>
        <w:t>resultado</w:t>
      </w:r>
      <w:r>
        <w:rPr>
          <w:spacing w:val="-11"/>
        </w:rPr>
        <w:t> </w:t>
      </w:r>
      <w:r>
        <w:rPr/>
        <w:t>combina,</w:t>
      </w:r>
      <w:r>
        <w:rPr>
          <w:spacing w:val="-10"/>
        </w:rPr>
        <w:t> </w:t>
      </w:r>
      <w:r>
        <w:rPr/>
        <w:t>por</w:t>
      </w:r>
      <w:r>
        <w:rPr>
          <w:spacing w:val="-11"/>
        </w:rPr>
        <w:t> </w:t>
      </w:r>
      <w:r>
        <w:rPr/>
        <w:t>una</w:t>
      </w:r>
      <w:r>
        <w:rPr>
          <w:spacing w:val="-10"/>
        </w:rPr>
        <w:t> </w:t>
      </w:r>
      <w:r>
        <w:rPr/>
        <w:t>parte</w:t>
      </w:r>
      <w:r>
        <w:rPr>
          <w:spacing w:val="-10"/>
        </w:rPr>
        <w:t> </w:t>
      </w:r>
      <w:r>
        <w:rPr/>
        <w:t>el</w:t>
      </w:r>
      <w:r>
        <w:rPr>
          <w:spacing w:val="-10"/>
        </w:rPr>
        <w:t> </w:t>
      </w:r>
      <w:r>
        <w:rPr/>
        <w:t>seguimiento</w:t>
      </w:r>
      <w:r>
        <w:rPr>
          <w:spacing w:val="-12"/>
        </w:rPr>
        <w:t> </w:t>
      </w:r>
      <w:r>
        <w:rPr/>
        <w:t>de</w:t>
      </w:r>
      <w:r>
        <w:rPr>
          <w:spacing w:val="-13"/>
        </w:rPr>
        <w:t> </w:t>
      </w:r>
      <w:r>
        <w:rPr/>
        <w:t>las</w:t>
      </w:r>
      <w:r>
        <w:rPr>
          <w:spacing w:val="-10"/>
        </w:rPr>
        <w:t> </w:t>
      </w:r>
      <w:r>
        <w:rPr/>
        <w:t>medidas implementadas en 2021 en el ramo de aduanas, en donde se continúan implementando acciones para combatir</w:t>
      </w:r>
      <w:r>
        <w:rPr>
          <w:spacing w:val="-3"/>
        </w:rPr>
        <w:t> </w:t>
      </w:r>
      <w:r>
        <w:rPr/>
        <w:t>la</w:t>
      </w:r>
      <w:r>
        <w:rPr>
          <w:spacing w:val="-3"/>
        </w:rPr>
        <w:t> </w:t>
      </w:r>
      <w:r>
        <w:rPr/>
        <w:t>defraudación</w:t>
      </w:r>
      <w:r>
        <w:rPr>
          <w:spacing w:val="-4"/>
        </w:rPr>
        <w:t> </w:t>
      </w:r>
      <w:r>
        <w:rPr/>
        <w:t>y</w:t>
      </w:r>
      <w:r>
        <w:rPr>
          <w:spacing w:val="-4"/>
        </w:rPr>
        <w:t> </w:t>
      </w:r>
      <w:r>
        <w:rPr/>
        <w:t>el</w:t>
      </w:r>
      <w:r>
        <w:rPr>
          <w:spacing w:val="-3"/>
        </w:rPr>
        <w:t> </w:t>
      </w:r>
      <w:r>
        <w:rPr/>
        <w:t>contrabando</w:t>
      </w:r>
      <w:r>
        <w:rPr>
          <w:spacing w:val="-3"/>
        </w:rPr>
        <w:t> </w:t>
      </w:r>
      <w:r>
        <w:rPr/>
        <w:t>que</w:t>
      </w:r>
      <w:r>
        <w:rPr>
          <w:spacing w:val="-2"/>
        </w:rPr>
        <w:t> </w:t>
      </w:r>
      <w:r>
        <w:rPr/>
        <w:t>redundaron</w:t>
      </w:r>
      <w:r>
        <w:rPr>
          <w:spacing w:val="-4"/>
        </w:rPr>
        <w:t> </w:t>
      </w:r>
      <w:r>
        <w:rPr/>
        <w:t>en</w:t>
      </w:r>
      <w:r>
        <w:rPr>
          <w:spacing w:val="-3"/>
        </w:rPr>
        <w:t> </w:t>
      </w:r>
      <w:r>
        <w:rPr/>
        <w:t>mayor</w:t>
      </w:r>
      <w:r>
        <w:rPr>
          <w:spacing w:val="-3"/>
        </w:rPr>
        <w:t> </w:t>
      </w:r>
      <w:r>
        <w:rPr/>
        <w:t>eficiencia</w:t>
      </w:r>
      <w:r>
        <w:rPr>
          <w:spacing w:val="-3"/>
        </w:rPr>
        <w:t> </w:t>
      </w:r>
      <w:r>
        <w:rPr/>
        <w:t>del</w:t>
      </w:r>
      <w:r>
        <w:rPr>
          <w:spacing w:val="-3"/>
        </w:rPr>
        <w:t> </w:t>
      </w:r>
      <w:r>
        <w:rPr/>
        <w:t>control</w:t>
      </w:r>
      <w:r>
        <w:rPr>
          <w:spacing w:val="-2"/>
        </w:rPr>
        <w:t> </w:t>
      </w:r>
      <w:r>
        <w:rPr/>
        <w:t>aduanero, seguimiento del plan de combate al contrabando aduanero puesta en marcha a través de puestos de control interinstitucional (a la fecha van 6), a la simplificación, automatización y transparencia en el ingreso y salida de la carga vía aérea, fortalecimiento de la gestión de riesgo, operativos interinstitucionales</w:t>
      </w:r>
      <w:r>
        <w:rPr>
          <w:spacing w:val="-10"/>
        </w:rPr>
        <w:t> </w:t>
      </w:r>
      <w:r>
        <w:rPr/>
        <w:t>en</w:t>
      </w:r>
      <w:r>
        <w:rPr>
          <w:spacing w:val="-7"/>
        </w:rPr>
        <w:t> </w:t>
      </w:r>
      <w:r>
        <w:rPr/>
        <w:t>aduanas</w:t>
      </w:r>
      <w:r>
        <w:rPr>
          <w:spacing w:val="-7"/>
        </w:rPr>
        <w:t> </w:t>
      </w:r>
      <w:r>
        <w:rPr/>
        <w:t>aéreas,</w:t>
      </w:r>
      <w:r>
        <w:rPr>
          <w:spacing w:val="-8"/>
        </w:rPr>
        <w:t> </w:t>
      </w:r>
      <w:r>
        <w:rPr/>
        <w:t>terrestres,</w:t>
      </w:r>
      <w:r>
        <w:rPr>
          <w:spacing w:val="-7"/>
        </w:rPr>
        <w:t> </w:t>
      </w:r>
      <w:r>
        <w:rPr/>
        <w:t>marítimas,</w:t>
      </w:r>
      <w:r>
        <w:rPr>
          <w:spacing w:val="-8"/>
        </w:rPr>
        <w:t> </w:t>
      </w:r>
      <w:r>
        <w:rPr/>
        <w:t>puestos</w:t>
      </w:r>
      <w:r>
        <w:rPr>
          <w:spacing w:val="-9"/>
        </w:rPr>
        <w:t> </w:t>
      </w:r>
      <w:r>
        <w:rPr/>
        <w:t>fronterizos,</w:t>
      </w:r>
      <w:r>
        <w:rPr>
          <w:spacing w:val="-7"/>
        </w:rPr>
        <w:t> </w:t>
      </w:r>
      <w:r>
        <w:rPr/>
        <w:t>depósitos</w:t>
      </w:r>
      <w:r>
        <w:rPr>
          <w:spacing w:val="-6"/>
        </w:rPr>
        <w:t> </w:t>
      </w:r>
      <w:r>
        <w:rPr/>
        <w:t>aduaneros y</w:t>
      </w:r>
      <w:r>
        <w:rPr>
          <w:spacing w:val="-15"/>
        </w:rPr>
        <w:t> </w:t>
      </w:r>
      <w:r>
        <w:rPr/>
        <w:t>zonas</w:t>
      </w:r>
      <w:r>
        <w:rPr>
          <w:spacing w:val="-11"/>
        </w:rPr>
        <w:t> </w:t>
      </w:r>
      <w:r>
        <w:rPr/>
        <w:t>francas,</w:t>
      </w:r>
      <w:r>
        <w:rPr>
          <w:spacing w:val="-11"/>
        </w:rPr>
        <w:t> </w:t>
      </w:r>
      <w:r>
        <w:rPr/>
        <w:t>puesta</w:t>
      </w:r>
      <w:r>
        <w:rPr>
          <w:spacing w:val="-15"/>
        </w:rPr>
        <w:t> </w:t>
      </w:r>
      <w:r>
        <w:rPr/>
        <w:t>en</w:t>
      </w:r>
      <w:r>
        <w:rPr>
          <w:spacing w:val="-14"/>
        </w:rPr>
        <w:t> </w:t>
      </w:r>
      <w:r>
        <w:rPr/>
        <w:t>marcha</w:t>
      </w:r>
      <w:r>
        <w:rPr>
          <w:spacing w:val="-11"/>
        </w:rPr>
        <w:t> </w:t>
      </w:r>
      <w:r>
        <w:rPr/>
        <w:t>del</w:t>
      </w:r>
      <w:r>
        <w:rPr>
          <w:spacing w:val="-12"/>
        </w:rPr>
        <w:t> </w:t>
      </w:r>
      <w:r>
        <w:rPr/>
        <w:t>sistema</w:t>
      </w:r>
      <w:r>
        <w:rPr>
          <w:spacing w:val="-11"/>
        </w:rPr>
        <w:t> </w:t>
      </w:r>
      <w:r>
        <w:rPr/>
        <w:t>de</w:t>
      </w:r>
      <w:r>
        <w:rPr>
          <w:spacing w:val="-14"/>
        </w:rPr>
        <w:t> </w:t>
      </w:r>
      <w:r>
        <w:rPr/>
        <w:t>etiquetas</w:t>
      </w:r>
      <w:r>
        <w:rPr>
          <w:spacing w:val="-14"/>
        </w:rPr>
        <w:t> </w:t>
      </w:r>
      <w:r>
        <w:rPr/>
        <w:t>de</w:t>
      </w:r>
      <w:r>
        <w:rPr>
          <w:spacing w:val="-14"/>
        </w:rPr>
        <w:t> </w:t>
      </w:r>
      <w:r>
        <w:rPr/>
        <w:t>radiofrecuencia</w:t>
      </w:r>
      <w:r>
        <w:rPr>
          <w:spacing w:val="-8"/>
        </w:rPr>
        <w:t> </w:t>
      </w:r>
      <w:r>
        <w:rPr/>
        <w:t>-RFID-,</w:t>
      </w:r>
      <w:r>
        <w:rPr>
          <w:spacing w:val="-13"/>
        </w:rPr>
        <w:t> </w:t>
      </w:r>
      <w:r>
        <w:rPr/>
        <w:t>fortalecimiento del intercambio de información con otros Estados Parte, fortalecimiento de la valoración aduanera y a las mejoras en el tiempo de atención de solicitudes entre otras, y en segundo lugar, también por el efecto del precio de los combustibles y otros productos importados, que siguen una tendencia alcista en sus precios y que impacta en el mismo sentido en la recaudación aduanera asociada con las importaciones.</w:t>
      </w:r>
    </w:p>
    <w:p>
      <w:pPr>
        <w:spacing w:after="0" w:line="276" w:lineRule="auto"/>
        <w:jc w:val="both"/>
        <w:sectPr>
          <w:type w:val="continuous"/>
          <w:pgSz w:w="12240" w:h="15840"/>
          <w:pgMar w:top="1500" w:bottom="280" w:left="1140" w:right="0"/>
        </w:sectPr>
      </w:pPr>
    </w:p>
    <w:p>
      <w:pPr>
        <w:pStyle w:val="BodyText"/>
        <w:ind w:left="604"/>
        <w:rPr>
          <w:sz w:val="20"/>
        </w:rPr>
      </w:pPr>
      <w:r>
        <w:rPr>
          <w:position w:val="0"/>
          <w:sz w:val="20"/>
        </w:rPr>
        <w:pict>
          <v:shape style="width:447.85pt;height:203.3pt;mso-position-horizontal-relative:char;mso-position-vertical-relative:line" type="#_x0000_t202" filled="true" fillcolor="#5b9bd4" stroked="true" strokeweight=".96pt" strokecolor="#41709c">
            <w10:anchorlock/>
            <v:textbox inset="0,0,0,0">
              <w:txbxContent>
                <w:p>
                  <w:pPr>
                    <w:spacing w:before="69"/>
                    <w:ind w:left="144" w:right="0" w:firstLine="0"/>
                    <w:jc w:val="both"/>
                    <w:rPr>
                      <w:b/>
                      <w:sz w:val="17"/>
                    </w:rPr>
                  </w:pPr>
                  <w:r>
                    <w:rPr>
                      <w:b/>
                      <w:sz w:val="17"/>
                      <w:u w:val="single"/>
                    </w:rPr>
                    <w:t>Importaciones al Territorio Aduanero (gravadas con impuestos)</w:t>
                  </w:r>
                </w:p>
                <w:p>
                  <w:pPr>
                    <w:spacing w:line="259" w:lineRule="auto" w:before="13"/>
                    <w:ind w:left="144" w:right="144" w:firstLine="0"/>
                    <w:jc w:val="both"/>
                    <w:rPr>
                      <w:sz w:val="17"/>
                    </w:rPr>
                  </w:pPr>
                  <w:r>
                    <w:rPr>
                      <w:sz w:val="17"/>
                    </w:rPr>
                    <w:t>Destaca</w:t>
                  </w:r>
                  <w:r>
                    <w:rPr>
                      <w:spacing w:val="-4"/>
                      <w:sz w:val="17"/>
                    </w:rPr>
                    <w:t> </w:t>
                  </w:r>
                  <w:r>
                    <w:rPr>
                      <w:sz w:val="17"/>
                    </w:rPr>
                    <w:t>que</w:t>
                  </w:r>
                  <w:r>
                    <w:rPr>
                      <w:spacing w:val="-4"/>
                      <w:sz w:val="17"/>
                    </w:rPr>
                    <w:t> </w:t>
                  </w:r>
                  <w:r>
                    <w:rPr>
                      <w:sz w:val="17"/>
                    </w:rPr>
                    <w:t>el</w:t>
                  </w:r>
                  <w:r>
                    <w:rPr>
                      <w:spacing w:val="-2"/>
                      <w:sz w:val="17"/>
                    </w:rPr>
                    <w:t> </w:t>
                  </w:r>
                  <w:r>
                    <w:rPr>
                      <w:sz w:val="17"/>
                    </w:rPr>
                    <w:t>valor</w:t>
                  </w:r>
                  <w:r>
                    <w:rPr>
                      <w:spacing w:val="-3"/>
                      <w:sz w:val="17"/>
                    </w:rPr>
                    <w:t> </w:t>
                  </w:r>
                  <w:r>
                    <w:rPr>
                      <w:sz w:val="17"/>
                    </w:rPr>
                    <w:t>de</w:t>
                  </w:r>
                  <w:r>
                    <w:rPr>
                      <w:spacing w:val="-4"/>
                      <w:sz w:val="17"/>
                    </w:rPr>
                    <w:t> </w:t>
                  </w:r>
                  <w:r>
                    <w:rPr>
                      <w:sz w:val="17"/>
                    </w:rPr>
                    <w:t>las</w:t>
                  </w:r>
                  <w:r>
                    <w:rPr>
                      <w:spacing w:val="-4"/>
                      <w:sz w:val="17"/>
                    </w:rPr>
                    <w:t> </w:t>
                  </w:r>
                  <w:r>
                    <w:rPr>
                      <w:sz w:val="17"/>
                    </w:rPr>
                    <w:t>importaciones</w:t>
                  </w:r>
                  <w:r>
                    <w:rPr>
                      <w:spacing w:val="1"/>
                      <w:sz w:val="17"/>
                    </w:rPr>
                    <w:t> </w:t>
                  </w:r>
                  <w:r>
                    <w:rPr>
                      <w:sz w:val="17"/>
                    </w:rPr>
                    <w:t>al</w:t>
                  </w:r>
                  <w:r>
                    <w:rPr>
                      <w:spacing w:val="-5"/>
                      <w:sz w:val="17"/>
                    </w:rPr>
                    <w:t> </w:t>
                  </w:r>
                  <w:r>
                    <w:rPr>
                      <w:sz w:val="17"/>
                    </w:rPr>
                    <w:t>territorio</w:t>
                  </w:r>
                  <w:r>
                    <w:rPr>
                      <w:spacing w:val="-5"/>
                      <w:sz w:val="17"/>
                    </w:rPr>
                    <w:t> </w:t>
                  </w:r>
                  <w:r>
                    <w:rPr>
                      <w:sz w:val="17"/>
                    </w:rPr>
                    <w:t>aduanero</w:t>
                  </w:r>
                  <w:r>
                    <w:rPr>
                      <w:spacing w:val="-4"/>
                      <w:sz w:val="17"/>
                    </w:rPr>
                    <w:t> </w:t>
                  </w:r>
                  <w:r>
                    <w:rPr>
                      <w:sz w:val="17"/>
                    </w:rPr>
                    <w:t>a</w:t>
                  </w:r>
                  <w:r>
                    <w:rPr>
                      <w:spacing w:val="-4"/>
                      <w:sz w:val="17"/>
                    </w:rPr>
                    <w:t> </w:t>
                  </w:r>
                  <w:r>
                    <w:rPr>
                      <w:sz w:val="17"/>
                    </w:rPr>
                    <w:t>junio,</w:t>
                  </w:r>
                  <w:r>
                    <w:rPr>
                      <w:spacing w:val="-4"/>
                      <w:sz w:val="17"/>
                    </w:rPr>
                    <w:t> </w:t>
                  </w:r>
                  <w:r>
                    <w:rPr>
                      <w:sz w:val="17"/>
                    </w:rPr>
                    <w:t>último</w:t>
                  </w:r>
                  <w:r>
                    <w:rPr>
                      <w:spacing w:val="-4"/>
                      <w:sz w:val="17"/>
                    </w:rPr>
                    <w:t> </w:t>
                  </w:r>
                  <w:r>
                    <w:rPr>
                      <w:sz w:val="17"/>
                    </w:rPr>
                    <w:t>dato</w:t>
                  </w:r>
                  <w:r>
                    <w:rPr>
                      <w:spacing w:val="-4"/>
                      <w:sz w:val="17"/>
                    </w:rPr>
                    <w:t> </w:t>
                  </w:r>
                  <w:r>
                    <w:rPr>
                      <w:sz w:val="17"/>
                    </w:rPr>
                    <w:t>disponible</w:t>
                  </w:r>
                  <w:r>
                    <w:rPr>
                      <w:spacing w:val="-3"/>
                      <w:sz w:val="17"/>
                    </w:rPr>
                    <w:t> </w:t>
                  </w:r>
                  <w:r>
                    <w:rPr>
                      <w:sz w:val="17"/>
                    </w:rPr>
                    <w:t>en</w:t>
                  </w:r>
                  <w:r>
                    <w:rPr>
                      <w:spacing w:val="-4"/>
                      <w:sz w:val="17"/>
                    </w:rPr>
                    <w:t> </w:t>
                  </w:r>
                  <w:r>
                    <w:rPr>
                      <w:sz w:val="17"/>
                    </w:rPr>
                    <w:t>el</w:t>
                  </w:r>
                  <w:r>
                    <w:rPr>
                      <w:spacing w:val="-4"/>
                      <w:sz w:val="17"/>
                    </w:rPr>
                    <w:t> </w:t>
                  </w:r>
                  <w:r>
                    <w:rPr>
                      <w:sz w:val="17"/>
                    </w:rPr>
                    <w:t>Banco</w:t>
                  </w:r>
                  <w:r>
                    <w:rPr>
                      <w:spacing w:val="-4"/>
                      <w:sz w:val="17"/>
                    </w:rPr>
                    <w:t> </w:t>
                  </w:r>
                  <w:r>
                    <w:rPr>
                      <w:sz w:val="17"/>
                    </w:rPr>
                    <w:t>de</w:t>
                  </w:r>
                  <w:r>
                    <w:rPr>
                      <w:spacing w:val="-4"/>
                      <w:sz w:val="17"/>
                    </w:rPr>
                    <w:t> </w:t>
                  </w:r>
                  <w:r>
                    <w:rPr>
                      <w:sz w:val="17"/>
                    </w:rPr>
                    <w:t>Guatemala,</w:t>
                  </w:r>
                  <w:r>
                    <w:rPr>
                      <w:spacing w:val="-4"/>
                      <w:sz w:val="17"/>
                    </w:rPr>
                    <w:t> </w:t>
                  </w:r>
                  <w:r>
                    <w:rPr>
                      <w:sz w:val="17"/>
                    </w:rPr>
                    <w:t>tiene un crecimiento de 31.7% respecto a lo observado en 2021 (ligeramente superior a lo observado en mayo, 31.3%), siendo los combustibles y lubricantes los que mayor crecimiento reflejaron (60.8%), en volumen se observa un crecimiento de 4.5% y en precio 53.9% respecto a 2021. Sobresale también que las materias primas y productos intermedios crecieron en 42.2%, y los bienes</w:t>
                  </w:r>
                  <w:r>
                    <w:rPr>
                      <w:spacing w:val="-10"/>
                      <w:sz w:val="17"/>
                    </w:rPr>
                    <w:t> </w:t>
                  </w:r>
                  <w:r>
                    <w:rPr>
                      <w:sz w:val="17"/>
                    </w:rPr>
                    <w:t>de</w:t>
                  </w:r>
                  <w:r>
                    <w:rPr>
                      <w:spacing w:val="-11"/>
                      <w:sz w:val="17"/>
                    </w:rPr>
                    <w:t> </w:t>
                  </w:r>
                  <w:r>
                    <w:rPr>
                      <w:sz w:val="17"/>
                    </w:rPr>
                    <w:t>consumo</w:t>
                  </w:r>
                  <w:r>
                    <w:rPr>
                      <w:spacing w:val="-11"/>
                      <w:sz w:val="17"/>
                    </w:rPr>
                    <w:t> </w:t>
                  </w:r>
                  <w:r>
                    <w:rPr>
                      <w:sz w:val="17"/>
                    </w:rPr>
                    <w:t>19.5%</w:t>
                  </w:r>
                  <w:r>
                    <w:rPr>
                      <w:spacing w:val="-10"/>
                      <w:sz w:val="17"/>
                    </w:rPr>
                    <w:t> </w:t>
                  </w:r>
                  <w:r>
                    <w:rPr>
                      <w:sz w:val="17"/>
                    </w:rPr>
                    <w:t>monto</w:t>
                  </w:r>
                  <w:r>
                    <w:rPr>
                      <w:spacing w:val="-11"/>
                      <w:sz w:val="17"/>
                    </w:rPr>
                    <w:t> </w:t>
                  </w:r>
                  <w:r>
                    <w:rPr>
                      <w:sz w:val="17"/>
                    </w:rPr>
                    <w:t>menor</w:t>
                  </w:r>
                  <w:r>
                    <w:rPr>
                      <w:spacing w:val="-9"/>
                      <w:sz w:val="17"/>
                    </w:rPr>
                    <w:t> </w:t>
                  </w:r>
                  <w:r>
                    <w:rPr>
                      <w:sz w:val="17"/>
                    </w:rPr>
                    <w:t>al</w:t>
                  </w:r>
                  <w:r>
                    <w:rPr>
                      <w:spacing w:val="-9"/>
                      <w:sz w:val="17"/>
                    </w:rPr>
                    <w:t> </w:t>
                  </w:r>
                  <w:r>
                    <w:rPr>
                      <w:sz w:val="17"/>
                    </w:rPr>
                    <w:t>observado</w:t>
                  </w:r>
                  <w:r>
                    <w:rPr>
                      <w:spacing w:val="-11"/>
                      <w:sz w:val="17"/>
                    </w:rPr>
                    <w:t> </w:t>
                  </w:r>
                  <w:r>
                    <w:rPr>
                      <w:sz w:val="17"/>
                    </w:rPr>
                    <w:t>en</w:t>
                  </w:r>
                  <w:r>
                    <w:rPr>
                      <w:spacing w:val="-12"/>
                      <w:sz w:val="17"/>
                    </w:rPr>
                    <w:t> </w:t>
                  </w:r>
                  <w:r>
                    <w:rPr>
                      <w:sz w:val="17"/>
                    </w:rPr>
                    <w:t>mayo</w:t>
                  </w:r>
                  <w:r>
                    <w:rPr>
                      <w:spacing w:val="-11"/>
                      <w:sz w:val="17"/>
                    </w:rPr>
                    <w:t> </w:t>
                  </w:r>
                  <w:r>
                    <w:rPr>
                      <w:sz w:val="17"/>
                    </w:rPr>
                    <w:t>(20.7%)</w:t>
                  </w:r>
                  <w:r>
                    <w:rPr>
                      <w:spacing w:val="-13"/>
                      <w:sz w:val="17"/>
                    </w:rPr>
                    <w:t> </w:t>
                  </w:r>
                  <w:r>
                    <w:rPr>
                      <w:sz w:val="17"/>
                    </w:rPr>
                    <w:t>sobresale</w:t>
                  </w:r>
                  <w:r>
                    <w:rPr>
                      <w:spacing w:val="-14"/>
                      <w:sz w:val="17"/>
                    </w:rPr>
                    <w:t> </w:t>
                  </w:r>
                  <w:r>
                    <w:rPr>
                      <w:sz w:val="17"/>
                    </w:rPr>
                    <w:t>que</w:t>
                  </w:r>
                  <w:r>
                    <w:rPr>
                      <w:spacing w:val="-11"/>
                      <w:sz w:val="17"/>
                    </w:rPr>
                    <w:t> </w:t>
                  </w:r>
                  <w:r>
                    <w:rPr>
                      <w:sz w:val="17"/>
                    </w:rPr>
                    <w:t>los</w:t>
                  </w:r>
                  <w:r>
                    <w:rPr>
                      <w:spacing w:val="-12"/>
                      <w:sz w:val="17"/>
                    </w:rPr>
                    <w:t> </w:t>
                  </w:r>
                  <w:r>
                    <w:rPr>
                      <w:sz w:val="17"/>
                    </w:rPr>
                    <w:t>bienes</w:t>
                  </w:r>
                  <w:r>
                    <w:rPr>
                      <w:spacing w:val="-9"/>
                      <w:sz w:val="17"/>
                    </w:rPr>
                    <w:t> </w:t>
                  </w:r>
                  <w:r>
                    <w:rPr>
                      <w:sz w:val="17"/>
                    </w:rPr>
                    <w:t>de</w:t>
                  </w:r>
                  <w:r>
                    <w:rPr>
                      <w:spacing w:val="-11"/>
                      <w:sz w:val="17"/>
                    </w:rPr>
                    <w:t> </w:t>
                  </w:r>
                  <w:r>
                    <w:rPr>
                      <w:sz w:val="17"/>
                    </w:rPr>
                    <w:t>consumo</w:t>
                  </w:r>
                  <w:r>
                    <w:rPr>
                      <w:spacing w:val="-11"/>
                      <w:sz w:val="17"/>
                    </w:rPr>
                    <w:t> </w:t>
                  </w:r>
                  <w:r>
                    <w:rPr>
                      <w:sz w:val="17"/>
                    </w:rPr>
                    <w:t>no</w:t>
                  </w:r>
                  <w:r>
                    <w:rPr>
                      <w:spacing w:val="-12"/>
                      <w:sz w:val="17"/>
                    </w:rPr>
                    <w:t> </w:t>
                  </w:r>
                  <w:r>
                    <w:rPr>
                      <w:sz w:val="17"/>
                    </w:rPr>
                    <w:t>duraderos</w:t>
                  </w:r>
                  <w:r>
                    <w:rPr>
                      <w:spacing w:val="-9"/>
                      <w:sz w:val="17"/>
                    </w:rPr>
                    <w:t> </w:t>
                  </w:r>
                  <w:r>
                    <w:rPr>
                      <w:sz w:val="17"/>
                    </w:rPr>
                    <w:t>fueron los que mayor crecimiento reflejaron 25.7% (aquí se encuentran alimentos, industria farmacéutica, productos de industrias cosmética y química y productos de consumo recreativo como puede ser el alcohol y el</w:t>
                  </w:r>
                  <w:r>
                    <w:rPr>
                      <w:spacing w:val="-14"/>
                      <w:sz w:val="17"/>
                    </w:rPr>
                    <w:t> </w:t>
                  </w:r>
                  <w:r>
                    <w:rPr>
                      <w:sz w:val="17"/>
                    </w:rPr>
                    <w:t>tabaco).</w:t>
                  </w:r>
                </w:p>
                <w:p>
                  <w:pPr>
                    <w:pStyle w:val="BodyText"/>
                    <w:spacing w:before="1"/>
                    <w:rPr>
                      <w:sz w:val="14"/>
                    </w:rPr>
                  </w:pPr>
                </w:p>
                <w:p>
                  <w:pPr>
                    <w:spacing w:line="194" w:lineRule="exact" w:before="0"/>
                    <w:ind w:left="144" w:right="0" w:firstLine="0"/>
                    <w:jc w:val="both"/>
                    <w:rPr>
                      <w:b/>
                      <w:sz w:val="17"/>
                    </w:rPr>
                  </w:pPr>
                  <w:r>
                    <w:rPr>
                      <w:b/>
                      <w:sz w:val="17"/>
                      <w:u w:val="single"/>
                    </w:rPr>
                    <w:t>Principales Importaciones en el régimen de Zona Franca</w:t>
                  </w:r>
                </w:p>
                <w:p>
                  <w:pPr>
                    <w:spacing w:line="259" w:lineRule="auto" w:before="0"/>
                    <w:ind w:left="144" w:right="140" w:firstLine="0"/>
                    <w:jc w:val="both"/>
                    <w:rPr>
                      <w:sz w:val="17"/>
                    </w:rPr>
                  </w:pPr>
                  <w:r>
                    <w:rPr>
                      <w:sz w:val="17"/>
                    </w:rPr>
                    <w:t>El valor del total de las importaciones realizadas bajo este régimen refleja un crecimiento interanual a junio de 65.4%, monto menor al observado en mayo (66.1%) explicado principalmente por los combustibles y lubricantes que crecen en 100.8%, llamando</w:t>
                  </w:r>
                  <w:r>
                    <w:rPr>
                      <w:spacing w:val="-13"/>
                      <w:sz w:val="17"/>
                    </w:rPr>
                    <w:t> </w:t>
                  </w:r>
                  <w:r>
                    <w:rPr>
                      <w:sz w:val="17"/>
                    </w:rPr>
                    <w:t>la</w:t>
                  </w:r>
                  <w:r>
                    <w:rPr>
                      <w:spacing w:val="-10"/>
                      <w:sz w:val="17"/>
                    </w:rPr>
                    <w:t> </w:t>
                  </w:r>
                  <w:r>
                    <w:rPr>
                      <w:sz w:val="17"/>
                    </w:rPr>
                    <w:t>atención</w:t>
                  </w:r>
                  <w:r>
                    <w:rPr>
                      <w:spacing w:val="-14"/>
                      <w:sz w:val="17"/>
                    </w:rPr>
                    <w:t> </w:t>
                  </w:r>
                  <w:r>
                    <w:rPr>
                      <w:sz w:val="17"/>
                    </w:rPr>
                    <w:t>que,</w:t>
                  </w:r>
                  <w:r>
                    <w:rPr>
                      <w:spacing w:val="-11"/>
                      <w:sz w:val="17"/>
                    </w:rPr>
                    <w:t> </w:t>
                  </w:r>
                  <w:r>
                    <w:rPr>
                      <w:sz w:val="17"/>
                    </w:rPr>
                    <w:t>aún</w:t>
                  </w:r>
                  <w:r>
                    <w:rPr>
                      <w:spacing w:val="-14"/>
                      <w:sz w:val="17"/>
                    </w:rPr>
                    <w:t> </w:t>
                  </w:r>
                  <w:r>
                    <w:rPr>
                      <w:sz w:val="17"/>
                    </w:rPr>
                    <w:t>con</w:t>
                  </w:r>
                  <w:r>
                    <w:rPr>
                      <w:spacing w:val="-13"/>
                      <w:sz w:val="17"/>
                    </w:rPr>
                    <w:t> </w:t>
                  </w:r>
                  <w:r>
                    <w:rPr>
                      <w:sz w:val="17"/>
                    </w:rPr>
                    <w:t>la</w:t>
                  </w:r>
                  <w:r>
                    <w:rPr>
                      <w:spacing w:val="-12"/>
                      <w:sz w:val="17"/>
                    </w:rPr>
                    <w:t> </w:t>
                  </w:r>
                  <w:r>
                    <w:rPr>
                      <w:sz w:val="17"/>
                    </w:rPr>
                    <w:t>oscilación</w:t>
                  </w:r>
                  <w:r>
                    <w:rPr>
                      <w:spacing w:val="-12"/>
                      <w:sz w:val="17"/>
                    </w:rPr>
                    <w:t> </w:t>
                  </w:r>
                  <w:r>
                    <w:rPr>
                      <w:sz w:val="17"/>
                    </w:rPr>
                    <w:t>en</w:t>
                  </w:r>
                  <w:r>
                    <w:rPr>
                      <w:spacing w:val="-13"/>
                      <w:sz w:val="17"/>
                    </w:rPr>
                    <w:t> </w:t>
                  </w:r>
                  <w:r>
                    <w:rPr>
                      <w:sz w:val="17"/>
                    </w:rPr>
                    <w:t>el</w:t>
                  </w:r>
                  <w:r>
                    <w:rPr>
                      <w:spacing w:val="-11"/>
                      <w:sz w:val="17"/>
                    </w:rPr>
                    <w:t> </w:t>
                  </w:r>
                  <w:r>
                    <w:rPr>
                      <w:sz w:val="17"/>
                    </w:rPr>
                    <w:t>incremento</w:t>
                  </w:r>
                  <w:r>
                    <w:rPr>
                      <w:spacing w:val="-12"/>
                      <w:sz w:val="17"/>
                    </w:rPr>
                    <w:t> </w:t>
                  </w:r>
                  <w:r>
                    <w:rPr>
                      <w:sz w:val="17"/>
                    </w:rPr>
                    <w:t>de</w:t>
                  </w:r>
                  <w:r>
                    <w:rPr>
                      <w:spacing w:val="-13"/>
                      <w:sz w:val="17"/>
                    </w:rPr>
                    <w:t> </w:t>
                  </w:r>
                  <w:r>
                    <w:rPr>
                      <w:sz w:val="17"/>
                    </w:rPr>
                    <w:t>precio</w:t>
                  </w:r>
                  <w:r>
                    <w:rPr>
                      <w:spacing w:val="-12"/>
                      <w:sz w:val="17"/>
                    </w:rPr>
                    <w:t> </w:t>
                  </w:r>
                  <w:r>
                    <w:rPr>
                      <w:sz w:val="17"/>
                    </w:rPr>
                    <w:t>en</w:t>
                  </w:r>
                  <w:r>
                    <w:rPr>
                      <w:spacing w:val="-13"/>
                      <w:sz w:val="17"/>
                    </w:rPr>
                    <w:t> </w:t>
                  </w:r>
                  <w:r>
                    <w:rPr>
                      <w:sz w:val="17"/>
                    </w:rPr>
                    <w:t>los</w:t>
                  </w:r>
                  <w:r>
                    <w:rPr>
                      <w:spacing w:val="-10"/>
                      <w:sz w:val="17"/>
                    </w:rPr>
                    <w:t> </w:t>
                  </w:r>
                  <w:r>
                    <w:rPr>
                      <w:sz w:val="17"/>
                    </w:rPr>
                    <w:t>combustibles,</w:t>
                  </w:r>
                  <w:r>
                    <w:rPr>
                      <w:spacing w:val="-11"/>
                      <w:sz w:val="17"/>
                    </w:rPr>
                    <w:t> </w:t>
                  </w:r>
                  <w:r>
                    <w:rPr>
                      <w:sz w:val="17"/>
                    </w:rPr>
                    <w:t>el</w:t>
                  </w:r>
                  <w:r>
                    <w:rPr>
                      <w:spacing w:val="-12"/>
                      <w:sz w:val="17"/>
                    </w:rPr>
                    <w:t> </w:t>
                  </w:r>
                  <w:r>
                    <w:rPr>
                      <w:sz w:val="17"/>
                    </w:rPr>
                    <w:t>almacenamiento</w:t>
                  </w:r>
                  <w:r>
                    <w:rPr>
                      <w:spacing w:val="-13"/>
                      <w:sz w:val="17"/>
                    </w:rPr>
                    <w:t> </w:t>
                  </w:r>
                  <w:r>
                    <w:rPr>
                      <w:sz w:val="17"/>
                    </w:rPr>
                    <w:t>en</w:t>
                  </w:r>
                  <w:r>
                    <w:rPr>
                      <w:spacing w:val="-12"/>
                      <w:sz w:val="17"/>
                    </w:rPr>
                    <w:t> </w:t>
                  </w:r>
                  <w:r>
                    <w:rPr>
                      <w:sz w:val="17"/>
                    </w:rPr>
                    <w:t>los</w:t>
                  </w:r>
                  <w:r>
                    <w:rPr>
                      <w:spacing w:val="-11"/>
                      <w:sz w:val="17"/>
                    </w:rPr>
                    <w:t> </w:t>
                  </w:r>
                  <w:r>
                    <w:rPr>
                      <w:sz w:val="17"/>
                    </w:rPr>
                    <w:t>recintos de estos regímenes sugiere un incremento significativo del consumo. Seguido por los bienes de consumo que crecen 33.9% y las materias primas y productos intermedios para la industria que crece en 33.2%, las importaciones de materiales de construcción y bienes de capital mostraron caída respecto a lo que se venía</w:t>
                  </w:r>
                  <w:r>
                    <w:rPr>
                      <w:spacing w:val="-14"/>
                      <w:sz w:val="17"/>
                    </w:rPr>
                    <w:t> </w:t>
                  </w:r>
                  <w:r>
                    <w:rPr>
                      <w:sz w:val="17"/>
                    </w:rPr>
                    <w:t>observado</w:t>
                  </w:r>
                </w:p>
                <w:p>
                  <w:pPr>
                    <w:spacing w:line="256" w:lineRule="auto" w:before="160"/>
                    <w:ind w:left="144" w:right="147" w:firstLine="0"/>
                    <w:jc w:val="both"/>
                    <w:rPr>
                      <w:sz w:val="17"/>
                    </w:rPr>
                  </w:pPr>
                  <w:r>
                    <w:rPr>
                      <w:sz w:val="17"/>
                    </w:rPr>
                    <w:t>Destaca en las importaciones de estos dos regímenes el comportamiento del volumen de las importaciones de Combustibles y Lubricantes que en territorio aduanero crecen en 4.5% mientras que en las importaciones de Zona Franca crecen en 25.9%.</w:t>
                  </w:r>
                </w:p>
              </w:txbxContent>
            </v:textbox>
            <v:fill opacity="19789f" type="solid"/>
            <v:stroke dashstyle="solid"/>
          </v:shape>
        </w:pict>
      </w:r>
      <w:r>
        <w:rPr>
          <w:position w:val="0"/>
          <w:sz w:val="20"/>
        </w:rPr>
      </w:r>
    </w:p>
    <w:p>
      <w:pPr>
        <w:pStyle w:val="BodyText"/>
        <w:spacing w:before="9"/>
        <w:rPr>
          <w:sz w:val="28"/>
        </w:rPr>
      </w:pPr>
    </w:p>
    <w:p>
      <w:pPr>
        <w:pStyle w:val="Heading2"/>
        <w:numPr>
          <w:ilvl w:val="2"/>
          <w:numId w:val="21"/>
        </w:numPr>
        <w:tabs>
          <w:tab w:pos="1978" w:val="left" w:leader="none"/>
        </w:tabs>
        <w:spacing w:line="240" w:lineRule="auto" w:before="90" w:after="0"/>
        <w:ind w:left="1978" w:right="0" w:hanging="696"/>
        <w:jc w:val="left"/>
      </w:pPr>
      <w:bookmarkStart w:name="_bookmark153" w:id="191"/>
      <w:bookmarkEnd w:id="191"/>
      <w:r>
        <w:rPr>
          <w:b w:val="0"/>
        </w:rPr>
      </w:r>
      <w:bookmarkStart w:name="_bookmark153" w:id="192"/>
      <w:bookmarkEnd w:id="192"/>
      <w:r>
        <w:rPr/>
        <w:t>El</w:t>
      </w:r>
      <w:r>
        <w:rPr/>
        <w:t> Impuesto Sobre la Renta -ISR- y el</w:t>
      </w:r>
      <w:r>
        <w:rPr>
          <w:spacing w:val="-5"/>
        </w:rPr>
        <w:t> </w:t>
      </w:r>
      <w:r>
        <w:rPr/>
        <w:t>ISO</w:t>
      </w:r>
    </w:p>
    <w:p>
      <w:pPr>
        <w:pStyle w:val="BodyText"/>
        <w:spacing w:before="6"/>
        <w:rPr>
          <w:b/>
          <w:sz w:val="28"/>
        </w:rPr>
      </w:pPr>
    </w:p>
    <w:p>
      <w:pPr>
        <w:pStyle w:val="BodyText"/>
        <w:spacing w:line="276" w:lineRule="auto"/>
        <w:ind w:left="562" w:right="1701"/>
        <w:jc w:val="both"/>
      </w:pPr>
      <w:r>
        <w:rPr/>
        <w:t>En junio se recaudó por estos dos impuestos Q1,422 millones de un estimado de Q1,404.3 millones, lo que generó una brecha positiva de Q17.7 millones.</w:t>
      </w:r>
    </w:p>
    <w:p>
      <w:pPr>
        <w:pStyle w:val="BodyText"/>
        <w:spacing w:before="2"/>
        <w:rPr>
          <w:sz w:val="25"/>
        </w:rPr>
      </w:pPr>
    </w:p>
    <w:p>
      <w:pPr>
        <w:pStyle w:val="BodyText"/>
        <w:spacing w:line="276" w:lineRule="auto"/>
        <w:ind w:left="562" w:right="1696"/>
        <w:jc w:val="both"/>
      </w:pPr>
      <w:r>
        <w:rPr/>
        <w:pict>
          <v:group style="position:absolute;margin-left:79.800003pt;margin-top:78.379524pt;width:456.25pt;height:288.25pt;mso-position-horizontal-relative:page;mso-position-vertical-relative:paragraph;z-index:-250562560;mso-wrap-distance-left:0;mso-wrap-distance-right:0" coordorigin="1596,1568" coordsize="9125,5765">
            <v:rect style="position:absolute;left:1605;top:1577;width:9106;height:5746" filled="true" fillcolor="#5b9bd4" stroked="false">
              <v:fill opacity="19789f" type="solid"/>
            </v:rect>
            <v:rect style="position:absolute;left:2088;top:4234;width:8140;height:2654" filled="true" fillcolor="#ffffff" stroked="false">
              <v:fill type="solid"/>
            </v:rect>
            <v:line style="position:absolute" from="5911,4319" to="5911,6710" stroked="true" strokeweight=".432944pt" strokecolor="#d9d9d9">
              <v:stroke dashstyle="solid"/>
            </v:line>
            <v:line style="position:absolute" from="6371,4319" to="6371,6606" stroked="true" strokeweight=".432944pt" strokecolor="#d9d9d9">
              <v:stroke dashstyle="solid"/>
            </v:line>
            <v:line style="position:absolute" from="6371,6700" to="6371,6710" stroked="true" strokeweight=".432944pt" strokecolor="#d9d9d9">
              <v:stroke dashstyle="solid"/>
            </v:line>
            <v:line style="position:absolute" from="6831,4319" to="6831,6606" stroked="true" strokeweight=".432944pt" strokecolor="#d9d9d9">
              <v:stroke dashstyle="solid"/>
            </v:line>
            <v:line style="position:absolute" from="6831,6700" to="6831,6710" stroked="true" strokeweight=".432944pt" strokecolor="#d9d9d9">
              <v:stroke dashstyle="solid"/>
            </v:line>
            <v:line style="position:absolute" from="7290,4319" to="7290,6606" stroked="true" strokeweight=".432944pt" strokecolor="#d9d9d9">
              <v:stroke dashstyle="solid"/>
            </v:line>
            <v:line style="position:absolute" from="7290,6700" to="7290,6710" stroked="true" strokeweight=".432944pt" strokecolor="#d9d9d9">
              <v:stroke dashstyle="solid"/>
            </v:line>
            <v:line style="position:absolute" from="8210,4319" to="8210,4329" stroked="true" strokeweight=".432944pt" strokecolor="#d9d9d9">
              <v:stroke dashstyle="solid"/>
            </v:line>
            <v:line style="position:absolute" from="8210,4424" to="8210,4443" stroked="true" strokeweight=".432944pt" strokecolor="#d9d9d9">
              <v:stroke dashstyle="solid"/>
            </v:line>
            <v:line style="position:absolute" from="8210,4537" to="8210,4557" stroked="true" strokeweight=".432944pt" strokecolor="#d9d9d9">
              <v:stroke dashstyle="solid"/>
            </v:line>
            <v:line style="position:absolute" from="8210,4651" to="8210,4671" stroked="true" strokeweight=".432944pt" strokecolor="#d9d9d9">
              <v:stroke dashstyle="solid"/>
            </v:line>
            <v:line style="position:absolute" from="8210,4765" to="8210,4784" stroked="true" strokeweight=".432944pt" strokecolor="#d9d9d9">
              <v:stroke dashstyle="solid"/>
            </v:line>
            <v:line style="position:absolute" from="8210,4879" to="8210,4898" stroked="true" strokeweight=".432944pt" strokecolor="#d9d9d9">
              <v:stroke dashstyle="solid"/>
            </v:line>
            <v:line style="position:absolute" from="8210,4993" to="8210,5012" stroked="true" strokeweight=".432944pt" strokecolor="#d9d9d9">
              <v:stroke dashstyle="solid"/>
            </v:line>
            <v:line style="position:absolute" from="8210,5107" to="8210,5126" stroked="true" strokeweight=".432944pt" strokecolor="#d9d9d9">
              <v:stroke dashstyle="solid"/>
            </v:line>
            <v:line style="position:absolute" from="8210,5221" to="8210,5240" stroked="true" strokeweight=".432944pt" strokecolor="#d9d9d9">
              <v:stroke dashstyle="solid"/>
            </v:line>
            <v:line style="position:absolute" from="8210,5335" to="8210,5353" stroked="true" strokeweight=".432944pt" strokecolor="#d9d9d9">
              <v:stroke dashstyle="solid"/>
            </v:line>
            <v:line style="position:absolute" from="8210,5449" to="8210,5467" stroked="true" strokeweight=".432944pt" strokecolor="#d9d9d9">
              <v:stroke dashstyle="solid"/>
            </v:line>
            <v:line style="position:absolute" from="8210,5562" to="8210,5581" stroked="true" strokeweight=".432944pt" strokecolor="#d9d9d9">
              <v:stroke dashstyle="solid"/>
            </v:line>
            <v:line style="position:absolute" from="8210,5676" to="8210,5695" stroked="true" strokeweight=".432944pt" strokecolor="#d9d9d9">
              <v:stroke dashstyle="solid"/>
            </v:line>
            <v:line style="position:absolute" from="8210,5790" to="8210,5809" stroked="true" strokeweight=".432944pt" strokecolor="#d9d9d9">
              <v:stroke dashstyle="solid"/>
            </v:line>
            <v:line style="position:absolute" from="8210,5904" to="8210,6710" stroked="true" strokeweight=".432944pt" strokecolor="#d9d9d9">
              <v:stroke dashstyle="solid"/>
            </v:line>
            <v:line style="position:absolute" from="8670,4319" to="8670,4329" stroked="true" strokeweight=".432944pt" strokecolor="#d9d9d9">
              <v:stroke dashstyle="solid"/>
            </v:line>
            <v:line style="position:absolute" from="8670,4424" to="8670,4443" stroked="true" strokeweight=".432944pt" strokecolor="#d9d9d9">
              <v:stroke dashstyle="solid"/>
            </v:line>
            <v:line style="position:absolute" from="8670,4537" to="8670,4557" stroked="true" strokeweight=".432944pt" strokecolor="#d9d9d9">
              <v:stroke dashstyle="solid"/>
            </v:line>
            <v:line style="position:absolute" from="8670,4651" to="8670,4671" stroked="true" strokeweight=".432944pt" strokecolor="#d9d9d9">
              <v:stroke dashstyle="solid"/>
            </v:line>
            <v:line style="position:absolute" from="8670,4765" to="8670,4784" stroked="true" strokeweight=".432944pt" strokecolor="#d9d9d9">
              <v:stroke dashstyle="solid"/>
            </v:line>
            <v:line style="position:absolute" from="8670,4879" to="8670,4898" stroked="true" strokeweight=".432944pt" strokecolor="#d9d9d9">
              <v:stroke dashstyle="solid"/>
            </v:line>
            <v:line style="position:absolute" from="8670,4993" to="8670,5012" stroked="true" strokeweight=".432944pt" strokecolor="#d9d9d9">
              <v:stroke dashstyle="solid"/>
            </v:line>
            <v:line style="position:absolute" from="8670,5107" to="8670,5126" stroked="true" strokeweight=".432944pt" strokecolor="#d9d9d9">
              <v:stroke dashstyle="solid"/>
            </v:line>
            <v:line style="position:absolute" from="8670,5221" to="8670,5240" stroked="true" strokeweight=".432944pt" strokecolor="#d9d9d9">
              <v:stroke dashstyle="solid"/>
            </v:line>
            <v:line style="position:absolute" from="8670,5335" to="8670,5353" stroked="true" strokeweight=".432944pt" strokecolor="#d9d9d9">
              <v:stroke dashstyle="solid"/>
            </v:line>
            <v:line style="position:absolute" from="8670,5449" to="8670,5467" stroked="true" strokeweight=".432944pt" strokecolor="#d9d9d9">
              <v:stroke dashstyle="solid"/>
            </v:line>
            <v:line style="position:absolute" from="8670,5562" to="8670,6710" stroked="true" strokeweight=".432944pt" strokecolor="#d9d9d9">
              <v:stroke dashstyle="solid"/>
            </v:line>
            <v:line style="position:absolute" from="9130,4319" to="9130,4329" stroked="true" strokeweight=".432944pt" strokecolor="#d9d9d9">
              <v:stroke dashstyle="solid"/>
            </v:line>
            <v:line style="position:absolute" from="9130,4424" to="9130,4443" stroked="true" strokeweight=".432944pt" strokecolor="#d9d9d9">
              <v:stroke dashstyle="solid"/>
            </v:line>
            <v:line style="position:absolute" from="9130,4537" to="9130,4557" stroked="true" strokeweight=".432944pt" strokecolor="#d9d9d9">
              <v:stroke dashstyle="solid"/>
            </v:line>
            <v:line style="position:absolute" from="9130,4651" to="9130,4671" stroked="true" strokeweight=".432944pt" strokecolor="#d9d9d9">
              <v:stroke dashstyle="solid"/>
            </v:line>
            <v:line style="position:absolute" from="9130,4765" to="9130,4784" stroked="true" strokeweight=".432944pt" strokecolor="#d9d9d9">
              <v:stroke dashstyle="solid"/>
            </v:line>
            <v:line style="position:absolute" from="9130,4879" to="9130,4898" stroked="true" strokeweight=".432944pt" strokecolor="#d9d9d9">
              <v:stroke dashstyle="solid"/>
            </v:line>
            <v:line style="position:absolute" from="9130,4993" to="9130,5012" stroked="true" strokeweight=".432944pt" strokecolor="#d9d9d9">
              <v:stroke dashstyle="solid"/>
            </v:line>
            <v:line style="position:absolute" from="9130,5107" to="9130,6710" stroked="true" strokeweight=".432944pt" strokecolor="#d9d9d9">
              <v:stroke dashstyle="solid"/>
            </v:line>
            <v:line style="position:absolute" from="9588,4319" to="9588,6710" stroked="true" strokeweight=".432944pt" strokecolor="#d9d9d9">
              <v:stroke dashstyle="solid"/>
            </v:line>
            <v:line style="position:absolute" from="10048,4319" to="10048,6710" stroked="true" strokeweight=".432944pt" strokecolor="#d9d9d9">
              <v:stroke dashstyle="solid"/>
            </v:line>
            <v:line style="position:absolute" from="6266,6653" to="7750,6653" stroked="true" strokeweight="4.736397pt" strokecolor="#ff0000">
              <v:stroke dashstyle="solid"/>
            </v:line>
            <v:line style="position:absolute" from="7333,6539" to="7750,6539" stroked="true" strokeweight="4.736397pt" strokecolor="#ff0000">
              <v:stroke dashstyle="solid"/>
            </v:line>
            <v:line style="position:absolute" from="7554,6425" to="7750,6425" stroked="true" strokeweight="4.782381pt" strokecolor="#ff0000">
              <v:stroke dashstyle="solid"/>
            </v:line>
            <v:rect style="position:absolute;left:7749;top:6264;width:100;height:95" filled="true" fillcolor="#4471c4" stroked="false">
              <v:fill type="solid"/>
            </v:rect>
            <v:line style="position:absolute" from="7750,6198" to="7944,6198" stroked="true" strokeweight="4.736397pt" strokecolor="#4471c4">
              <v:stroke dashstyle="solid"/>
            </v:line>
            <v:line style="position:absolute" from="7750,6084" to="7952,6084" stroked="true" strokeweight="4.734864pt" strokecolor="#4471c4">
              <v:stroke dashstyle="solid"/>
            </v:line>
            <v:line style="position:absolute" from="7750,5970" to="8212,5970" stroked="true" strokeweight="4.736397pt" strokecolor="#4471c4">
              <v:stroke dashstyle="solid"/>
            </v:line>
            <v:line style="position:absolute" from="7750,5857" to="8366,5857" stroked="true" strokeweight="4.736397pt" strokecolor="#4471c4">
              <v:stroke dashstyle="solid"/>
            </v:line>
            <v:line style="position:absolute" from="7750,5743" to="8395,5743" stroked="true" strokeweight="4.736397pt" strokecolor="#4471c4">
              <v:stroke dashstyle="solid"/>
            </v:line>
            <v:line style="position:absolute" from="7750,5629" to="8621,5629" stroked="true" strokeweight="4.736397pt" strokecolor="#4471c4">
              <v:stroke dashstyle="solid"/>
            </v:line>
            <v:line style="position:absolute" from="7750,5515" to="8682,5515" stroked="true" strokeweight="4.736397pt" strokecolor="#4471c4">
              <v:stroke dashstyle="solid"/>
            </v:line>
            <v:line style="position:absolute" from="7750,5401" to="8933,5401" stroked="true" strokeweight="4.782381pt" strokecolor="#4471c4">
              <v:stroke dashstyle="solid"/>
            </v:line>
            <v:line style="position:absolute" from="7750,5287" to="9074,5287" stroked="true" strokeweight="4.736397pt" strokecolor="#4471c4">
              <v:stroke dashstyle="solid"/>
            </v:line>
            <v:line style="position:absolute" from="7750,5173" to="9081,5173" stroked="true" strokeweight="4.736397pt" strokecolor="#4471c4">
              <v:stroke dashstyle="solid"/>
            </v:line>
            <v:line style="position:absolute" from="7750,5059" to="9139,5059" stroked="true" strokeweight="4.736397pt" strokecolor="#4471c4">
              <v:stroke dashstyle="solid"/>
            </v:line>
            <v:line style="position:absolute" from="7750,4945" to="9180,4945" stroked="true" strokeweight="4.736397pt" strokecolor="#4471c4">
              <v:stroke dashstyle="solid"/>
            </v:line>
            <v:line style="position:absolute" from="7750,4832" to="9231,4832" stroked="true" strokeweight="4.782381pt" strokecolor="#4471c4">
              <v:stroke dashstyle="solid"/>
            </v:line>
            <v:line style="position:absolute" from="7750,4718" to="9250,4718" stroked="true" strokeweight="4.736397pt" strokecolor="#4471c4">
              <v:stroke dashstyle="solid"/>
            </v:line>
            <v:line style="position:absolute" from="7750,4604" to="9411,4604" stroked="true" strokeweight="4.736397pt" strokecolor="#4471c4">
              <v:stroke dashstyle="solid"/>
            </v:line>
            <v:line style="position:absolute" from="7750,4490" to="9494,4490" stroked="true" strokeweight="4.736397pt" strokecolor="#4471c4">
              <v:stroke dashstyle="solid"/>
            </v:line>
            <v:line style="position:absolute" from="7750,4376" to="9526,4376" stroked="true" strokeweight="4.782381pt" strokecolor="#4471c4">
              <v:stroke dashstyle="solid"/>
            </v:line>
            <v:line style="position:absolute" from="7750,6710" to="7750,4319" stroked="true" strokeweight=".432944pt" strokecolor="#d9d9d9">
              <v:stroke dashstyle="solid"/>
            </v:line>
            <v:shape style="position:absolute;left:1605;top:1577;width:9106;height:5746" type="#_x0000_t202" filled="false" stroked="true" strokeweight=".96pt" strokecolor="#41709c">
              <v:textbox inset="0,0,0,0">
                <w:txbxContent>
                  <w:p>
                    <w:pPr>
                      <w:spacing w:line="195" w:lineRule="exact" w:before="70"/>
                      <w:ind w:left="144" w:right="0" w:firstLine="0"/>
                      <w:jc w:val="both"/>
                      <w:rPr>
                        <w:b/>
                        <w:sz w:val="17"/>
                      </w:rPr>
                    </w:pPr>
                    <w:r>
                      <w:rPr>
                        <w:b/>
                        <w:sz w:val="17"/>
                        <w:u w:val="single"/>
                      </w:rPr>
                      <w:t>ISR por actividad económica</w:t>
                    </w:r>
                  </w:p>
                  <w:p>
                    <w:pPr>
                      <w:spacing w:line="259" w:lineRule="auto" w:before="0"/>
                      <w:ind w:left="144" w:right="136" w:firstLine="0"/>
                      <w:jc w:val="both"/>
                      <w:rPr>
                        <w:sz w:val="17"/>
                      </w:rPr>
                    </w:pPr>
                    <w:r>
                      <w:rPr>
                        <w:sz w:val="17"/>
                      </w:rPr>
                      <w:t>A</w:t>
                    </w:r>
                    <w:r>
                      <w:rPr>
                        <w:spacing w:val="-7"/>
                        <w:sz w:val="17"/>
                      </w:rPr>
                      <w:t> </w:t>
                    </w:r>
                    <w:r>
                      <w:rPr>
                        <w:sz w:val="17"/>
                      </w:rPr>
                      <w:t>junio</w:t>
                    </w:r>
                    <w:r>
                      <w:rPr>
                        <w:spacing w:val="-8"/>
                        <w:sz w:val="17"/>
                      </w:rPr>
                      <w:t> </w:t>
                    </w:r>
                    <w:r>
                      <w:rPr>
                        <w:sz w:val="17"/>
                      </w:rPr>
                      <w:t>la</w:t>
                    </w:r>
                    <w:r>
                      <w:rPr>
                        <w:spacing w:val="-7"/>
                        <w:sz w:val="17"/>
                      </w:rPr>
                      <w:t> </w:t>
                    </w:r>
                    <w:r>
                      <w:rPr>
                        <w:sz w:val="17"/>
                      </w:rPr>
                      <w:t>recaudación</w:t>
                    </w:r>
                    <w:r>
                      <w:rPr>
                        <w:spacing w:val="-10"/>
                        <w:sz w:val="17"/>
                      </w:rPr>
                      <w:t> </w:t>
                    </w:r>
                    <w:r>
                      <w:rPr>
                        <w:sz w:val="17"/>
                      </w:rPr>
                      <w:t>por</w:t>
                    </w:r>
                    <w:r>
                      <w:rPr>
                        <w:spacing w:val="-5"/>
                        <w:sz w:val="17"/>
                      </w:rPr>
                      <w:t> </w:t>
                    </w:r>
                    <w:r>
                      <w:rPr>
                        <w:sz w:val="17"/>
                      </w:rPr>
                      <w:t>ISR</w:t>
                    </w:r>
                    <w:r>
                      <w:rPr>
                        <w:spacing w:val="-8"/>
                        <w:sz w:val="17"/>
                      </w:rPr>
                      <w:t> </w:t>
                    </w:r>
                    <w:r>
                      <w:rPr>
                        <w:sz w:val="17"/>
                      </w:rPr>
                      <w:t>con</w:t>
                    </w:r>
                    <w:r>
                      <w:rPr>
                        <w:spacing w:val="-9"/>
                        <w:sz w:val="17"/>
                      </w:rPr>
                      <w:t> </w:t>
                    </w:r>
                    <w:r>
                      <w:rPr>
                        <w:sz w:val="17"/>
                      </w:rPr>
                      <w:t>apertura</w:t>
                    </w:r>
                    <w:r>
                      <w:rPr>
                        <w:spacing w:val="-8"/>
                        <w:sz w:val="17"/>
                      </w:rPr>
                      <w:t> </w:t>
                    </w:r>
                    <w:r>
                      <w:rPr>
                        <w:sz w:val="17"/>
                      </w:rPr>
                      <w:t>por</w:t>
                    </w:r>
                    <w:r>
                      <w:rPr>
                        <w:spacing w:val="-7"/>
                        <w:sz w:val="17"/>
                      </w:rPr>
                      <w:t> </w:t>
                    </w:r>
                    <w:r>
                      <w:rPr>
                        <w:sz w:val="17"/>
                      </w:rPr>
                      <w:t>actividad</w:t>
                    </w:r>
                    <w:r>
                      <w:rPr>
                        <w:spacing w:val="-8"/>
                        <w:sz w:val="17"/>
                      </w:rPr>
                      <w:t> </w:t>
                    </w:r>
                    <w:r>
                      <w:rPr>
                        <w:sz w:val="17"/>
                      </w:rPr>
                      <w:t>económica</w:t>
                    </w:r>
                    <w:r>
                      <w:rPr>
                        <w:spacing w:val="-8"/>
                        <w:sz w:val="17"/>
                      </w:rPr>
                      <w:t> </w:t>
                    </w:r>
                    <w:r>
                      <w:rPr>
                        <w:sz w:val="17"/>
                      </w:rPr>
                      <w:t>publicada</w:t>
                    </w:r>
                    <w:r>
                      <w:rPr>
                        <w:spacing w:val="-7"/>
                        <w:sz w:val="17"/>
                      </w:rPr>
                      <w:t> </w:t>
                    </w:r>
                    <w:r>
                      <w:rPr>
                        <w:sz w:val="17"/>
                      </w:rPr>
                      <w:t>por</w:t>
                    </w:r>
                    <w:r>
                      <w:rPr>
                        <w:spacing w:val="-8"/>
                        <w:sz w:val="17"/>
                      </w:rPr>
                      <w:t> </w:t>
                    </w:r>
                    <w:r>
                      <w:rPr>
                        <w:sz w:val="17"/>
                      </w:rPr>
                      <w:t>SAT</w:t>
                    </w:r>
                    <w:r>
                      <w:rPr>
                        <w:spacing w:val="-6"/>
                        <w:sz w:val="17"/>
                      </w:rPr>
                      <w:t> </w:t>
                    </w:r>
                    <w:r>
                      <w:rPr>
                        <w:sz w:val="17"/>
                      </w:rPr>
                      <w:t>da</w:t>
                    </w:r>
                    <w:r>
                      <w:rPr>
                        <w:spacing w:val="-8"/>
                        <w:sz w:val="17"/>
                      </w:rPr>
                      <w:t> </w:t>
                    </w:r>
                    <w:r>
                      <w:rPr>
                        <w:sz w:val="17"/>
                      </w:rPr>
                      <w:t>cuenta</w:t>
                    </w:r>
                    <w:r>
                      <w:rPr>
                        <w:spacing w:val="-6"/>
                        <w:sz w:val="17"/>
                      </w:rPr>
                      <w:t> </w:t>
                    </w:r>
                    <w:r>
                      <w:rPr>
                        <w:sz w:val="17"/>
                      </w:rPr>
                      <w:t>que</w:t>
                    </w:r>
                    <w:r>
                      <w:rPr>
                        <w:spacing w:val="-7"/>
                        <w:sz w:val="17"/>
                      </w:rPr>
                      <w:t> </w:t>
                    </w:r>
                    <w:r>
                      <w:rPr>
                        <w:sz w:val="17"/>
                      </w:rPr>
                      <w:t>el</w:t>
                    </w:r>
                    <w:r>
                      <w:rPr>
                        <w:spacing w:val="-8"/>
                        <w:sz w:val="17"/>
                      </w:rPr>
                      <w:t> </w:t>
                    </w:r>
                    <w:r>
                      <w:rPr>
                        <w:sz w:val="17"/>
                      </w:rPr>
                      <w:t>82.4%</w:t>
                    </w:r>
                    <w:r>
                      <w:rPr>
                        <w:spacing w:val="-8"/>
                        <w:sz w:val="17"/>
                      </w:rPr>
                      <w:t> </w:t>
                    </w:r>
                    <w:r>
                      <w:rPr>
                        <w:sz w:val="17"/>
                      </w:rPr>
                      <w:t>de</w:t>
                    </w:r>
                    <w:r>
                      <w:rPr>
                        <w:spacing w:val="-8"/>
                        <w:sz w:val="17"/>
                      </w:rPr>
                      <w:t> </w:t>
                    </w:r>
                    <w:r>
                      <w:rPr>
                        <w:sz w:val="17"/>
                      </w:rPr>
                      <w:t>la</w:t>
                    </w:r>
                    <w:r>
                      <w:rPr>
                        <w:spacing w:val="-7"/>
                        <w:sz w:val="17"/>
                      </w:rPr>
                      <w:t> </w:t>
                    </w:r>
                    <w:r>
                      <w:rPr>
                        <w:sz w:val="17"/>
                      </w:rPr>
                      <w:t>recaudación tributaria de este impuesto esta explicada por 8 actividades Económicas de 21 que tiene determinadas</w:t>
                    </w:r>
                    <w:r>
                      <w:rPr>
                        <w:spacing w:val="-15"/>
                        <w:sz w:val="17"/>
                      </w:rPr>
                      <w:t> </w:t>
                    </w:r>
                    <w:r>
                      <w:rPr>
                        <w:sz w:val="17"/>
                      </w:rPr>
                      <w:t>SAT.</w:t>
                    </w:r>
                  </w:p>
                  <w:p>
                    <w:pPr>
                      <w:spacing w:line="259" w:lineRule="auto" w:before="158"/>
                      <w:ind w:left="144" w:right="141" w:firstLine="0"/>
                      <w:jc w:val="both"/>
                      <w:rPr>
                        <w:sz w:val="17"/>
                      </w:rPr>
                    </w:pPr>
                    <w:r>
                      <w:rPr>
                        <w:sz w:val="17"/>
                      </w:rPr>
                      <w:t>Sobresale que de estas 8 actividades la que más aporta es la relacionada a Comercio al por Mayor y al por Menor; Reparación </w:t>
                    </w:r>
                    <w:r>
                      <w:rPr>
                        <w:spacing w:val="4"/>
                        <w:sz w:val="17"/>
                      </w:rPr>
                      <w:t>de </w:t>
                    </w:r>
                    <w:r>
                      <w:rPr>
                        <w:sz w:val="17"/>
                      </w:rPr>
                      <w:t>Vehículos</w:t>
                    </w:r>
                    <w:r>
                      <w:rPr>
                        <w:spacing w:val="-3"/>
                        <w:sz w:val="17"/>
                      </w:rPr>
                      <w:t> </w:t>
                    </w:r>
                    <w:r>
                      <w:rPr>
                        <w:sz w:val="17"/>
                      </w:rPr>
                      <w:t>Automotores</w:t>
                    </w:r>
                    <w:r>
                      <w:rPr>
                        <w:spacing w:val="-2"/>
                        <w:sz w:val="17"/>
                      </w:rPr>
                      <w:t> </w:t>
                    </w:r>
                    <w:r>
                      <w:rPr>
                        <w:sz w:val="17"/>
                      </w:rPr>
                      <w:t>y</w:t>
                    </w:r>
                    <w:r>
                      <w:rPr>
                        <w:spacing w:val="-6"/>
                        <w:sz w:val="17"/>
                      </w:rPr>
                      <w:t> </w:t>
                    </w:r>
                    <w:r>
                      <w:rPr>
                        <w:sz w:val="17"/>
                      </w:rPr>
                      <w:t>Motocicletas</w:t>
                    </w:r>
                    <w:r>
                      <w:rPr>
                        <w:spacing w:val="-5"/>
                        <w:sz w:val="17"/>
                      </w:rPr>
                      <w:t> </w:t>
                    </w:r>
                    <w:r>
                      <w:rPr>
                        <w:sz w:val="17"/>
                      </w:rPr>
                      <w:t>en</w:t>
                    </w:r>
                    <w:r>
                      <w:rPr>
                        <w:spacing w:val="-4"/>
                        <w:sz w:val="17"/>
                      </w:rPr>
                      <w:t> </w:t>
                    </w:r>
                    <w:r>
                      <w:rPr>
                        <w:sz w:val="17"/>
                      </w:rPr>
                      <w:t>23.7%,</w:t>
                    </w:r>
                    <w:r>
                      <w:rPr>
                        <w:spacing w:val="-5"/>
                        <w:sz w:val="17"/>
                      </w:rPr>
                      <w:t> </w:t>
                    </w:r>
                    <w:r>
                      <w:rPr>
                        <w:sz w:val="17"/>
                      </w:rPr>
                      <w:t>seguida</w:t>
                    </w:r>
                    <w:r>
                      <w:rPr>
                        <w:spacing w:val="-3"/>
                        <w:sz w:val="17"/>
                      </w:rPr>
                      <w:t> </w:t>
                    </w:r>
                    <w:r>
                      <w:rPr>
                        <w:sz w:val="17"/>
                      </w:rPr>
                      <w:t>por</w:t>
                    </w:r>
                    <w:r>
                      <w:rPr>
                        <w:spacing w:val="-4"/>
                        <w:sz w:val="17"/>
                      </w:rPr>
                      <w:t> </w:t>
                    </w:r>
                    <w:r>
                      <w:rPr>
                        <w:sz w:val="17"/>
                      </w:rPr>
                      <w:t>las</w:t>
                    </w:r>
                    <w:r>
                      <w:rPr>
                        <w:spacing w:val="-4"/>
                        <w:sz w:val="17"/>
                      </w:rPr>
                      <w:t> </w:t>
                    </w:r>
                    <w:r>
                      <w:rPr>
                        <w:sz w:val="17"/>
                      </w:rPr>
                      <w:t>Industrias</w:t>
                    </w:r>
                    <w:r>
                      <w:rPr>
                        <w:spacing w:val="-4"/>
                        <w:sz w:val="17"/>
                      </w:rPr>
                      <w:t> </w:t>
                    </w:r>
                    <w:r>
                      <w:rPr>
                        <w:sz w:val="17"/>
                      </w:rPr>
                      <w:t>Manufactureras</w:t>
                    </w:r>
                    <w:r>
                      <w:rPr>
                        <w:spacing w:val="-5"/>
                        <w:sz w:val="17"/>
                      </w:rPr>
                      <w:t> </w:t>
                    </w:r>
                    <w:r>
                      <w:rPr>
                        <w:sz w:val="17"/>
                      </w:rPr>
                      <w:t>que</w:t>
                    </w:r>
                    <w:r>
                      <w:rPr>
                        <w:spacing w:val="-5"/>
                        <w:sz w:val="17"/>
                      </w:rPr>
                      <w:t> </w:t>
                    </w:r>
                    <w:r>
                      <w:rPr>
                        <w:sz w:val="17"/>
                      </w:rPr>
                      <w:t>aportan</w:t>
                    </w:r>
                    <w:r>
                      <w:rPr>
                        <w:spacing w:val="-6"/>
                        <w:sz w:val="17"/>
                      </w:rPr>
                      <w:t> </w:t>
                    </w:r>
                    <w:r>
                      <w:rPr>
                        <w:sz w:val="17"/>
                      </w:rPr>
                      <w:t>18.1%</w:t>
                    </w:r>
                    <w:r>
                      <w:rPr>
                        <w:spacing w:val="-6"/>
                        <w:sz w:val="17"/>
                      </w:rPr>
                      <w:t> </w:t>
                    </w:r>
                    <w:r>
                      <w:rPr>
                        <w:sz w:val="17"/>
                      </w:rPr>
                      <w:t>y</w:t>
                    </w:r>
                    <w:r>
                      <w:rPr>
                        <w:spacing w:val="-6"/>
                        <w:sz w:val="17"/>
                      </w:rPr>
                      <w:t> </w:t>
                    </w:r>
                    <w:r>
                      <w:rPr>
                        <w:sz w:val="17"/>
                      </w:rPr>
                      <w:t>las</w:t>
                    </w:r>
                    <w:r>
                      <w:rPr>
                        <w:spacing w:val="-2"/>
                        <w:sz w:val="17"/>
                      </w:rPr>
                      <w:t> </w:t>
                    </w:r>
                    <w:r>
                      <w:rPr>
                        <w:sz w:val="17"/>
                      </w:rPr>
                      <w:t>Actividades Financieras y de Seguros</w:t>
                    </w:r>
                    <w:r>
                      <w:rPr>
                        <w:spacing w:val="-5"/>
                        <w:sz w:val="17"/>
                      </w:rPr>
                      <w:t> </w:t>
                    </w:r>
                    <w:r>
                      <w:rPr>
                        <w:sz w:val="17"/>
                      </w:rPr>
                      <w:t>14.2%.</w:t>
                    </w:r>
                  </w:p>
                  <w:p>
                    <w:pPr>
                      <w:spacing w:line="259" w:lineRule="auto" w:before="161"/>
                      <w:ind w:left="144" w:right="138" w:firstLine="0"/>
                      <w:jc w:val="both"/>
                      <w:rPr>
                        <w:sz w:val="17"/>
                      </w:rPr>
                    </w:pPr>
                    <w:r>
                      <w:rPr>
                        <w:sz w:val="17"/>
                      </w:rPr>
                      <w:t>De la variación interanual de las 21 actividades económicas de la recaudación del ISR destaca que las Actividades de Organizaciones y Órganos Extraterritoriales, Suministro de Agua; Evacuación de Aguas Residuales, Gestión de Desechos y Descontaminación y Actividades profesionales, científicas y técnicas reflejaron una caída respecto a lo observado en 2021, vale indicar que estas actividades en conjunto aportan el 3.1% de la recaudación tributaria del ISR.</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before="110"/>
                      <w:ind w:left="226" w:right="0" w:firstLine="0"/>
                      <w:jc w:val="both"/>
                      <w:rPr>
                        <w:sz w:val="16"/>
                      </w:rPr>
                    </w:pPr>
                    <w:r>
                      <w:rPr>
                        <w:sz w:val="16"/>
                      </w:rPr>
                      <w:t>Fuente: Dirección de Análisis y Política Fiscal.</w:t>
                    </w:r>
                  </w:p>
                </w:txbxContent>
              </v:textbox>
              <v:stroke dashstyle="solid"/>
              <w10:wrap type="none"/>
            </v:shape>
            <v:shape style="position:absolute;left:9996;top:6767;width:126;height:69" type="#_x0000_t202" filled="false" stroked="false">
              <v:textbox inset="0,0,0,0">
                <w:txbxContent>
                  <w:p>
                    <w:pPr>
                      <w:spacing w:line="69" w:lineRule="exact" w:before="0"/>
                      <w:ind w:left="0" w:right="0" w:firstLine="0"/>
                      <w:jc w:val="left"/>
                      <w:rPr>
                        <w:rFonts w:ascii="Calibri"/>
                        <w:sz w:val="7"/>
                      </w:rPr>
                    </w:pPr>
                    <w:r>
                      <w:rPr>
                        <w:rFonts w:ascii="Calibri"/>
                        <w:color w:val="585858"/>
                        <w:w w:val="150"/>
                        <w:sz w:val="7"/>
                      </w:rPr>
                      <w:t>50</w:t>
                    </w:r>
                  </w:p>
                </w:txbxContent>
              </v:textbox>
              <w10:wrap type="none"/>
            </v:shape>
            <v:shape style="position:absolute;left:9536;top:6767;width:126;height:69" type="#_x0000_t202" filled="false" stroked="false">
              <v:textbox inset="0,0,0,0">
                <w:txbxContent>
                  <w:p>
                    <w:pPr>
                      <w:spacing w:line="69" w:lineRule="exact" w:before="0"/>
                      <w:ind w:left="0" w:right="0" w:firstLine="0"/>
                      <w:jc w:val="left"/>
                      <w:rPr>
                        <w:rFonts w:ascii="Calibri"/>
                        <w:sz w:val="7"/>
                      </w:rPr>
                    </w:pPr>
                    <w:r>
                      <w:rPr>
                        <w:rFonts w:ascii="Calibri"/>
                        <w:color w:val="585858"/>
                        <w:w w:val="150"/>
                        <w:sz w:val="7"/>
                      </w:rPr>
                      <w:t>40</w:t>
                    </w:r>
                  </w:p>
                </w:txbxContent>
              </v:textbox>
              <w10:wrap type="none"/>
            </v:shape>
            <v:shape style="position:absolute;left:9077;top:6767;width:126;height:69" type="#_x0000_t202" filled="false" stroked="false">
              <v:textbox inset="0,0,0,0">
                <w:txbxContent>
                  <w:p>
                    <w:pPr>
                      <w:spacing w:line="69" w:lineRule="exact" w:before="0"/>
                      <w:ind w:left="0" w:right="0" w:firstLine="0"/>
                      <w:jc w:val="left"/>
                      <w:rPr>
                        <w:rFonts w:ascii="Calibri"/>
                        <w:sz w:val="7"/>
                      </w:rPr>
                    </w:pPr>
                    <w:r>
                      <w:rPr>
                        <w:rFonts w:ascii="Calibri"/>
                        <w:color w:val="585858"/>
                        <w:w w:val="150"/>
                        <w:sz w:val="7"/>
                      </w:rPr>
                      <w:t>30</w:t>
                    </w:r>
                  </w:p>
                </w:txbxContent>
              </v:textbox>
              <w10:wrap type="none"/>
            </v:shape>
            <v:shape style="position:absolute;left:8617;top:6767;width:126;height:69" type="#_x0000_t202" filled="false" stroked="false">
              <v:textbox inset="0,0,0,0">
                <w:txbxContent>
                  <w:p>
                    <w:pPr>
                      <w:spacing w:line="69" w:lineRule="exact" w:before="0"/>
                      <w:ind w:left="0" w:right="0" w:firstLine="0"/>
                      <w:jc w:val="left"/>
                      <w:rPr>
                        <w:rFonts w:ascii="Calibri"/>
                        <w:sz w:val="7"/>
                      </w:rPr>
                    </w:pPr>
                    <w:r>
                      <w:rPr>
                        <w:rFonts w:ascii="Calibri"/>
                        <w:color w:val="585858"/>
                        <w:w w:val="150"/>
                        <w:sz w:val="7"/>
                      </w:rPr>
                      <w:t>20</w:t>
                    </w:r>
                  </w:p>
                </w:txbxContent>
              </v:textbox>
              <w10:wrap type="none"/>
            </v:shape>
            <v:shape style="position:absolute;left:8157;top:6767;width:126;height:69" type="#_x0000_t202" filled="false" stroked="false">
              <v:textbox inset="0,0,0,0">
                <w:txbxContent>
                  <w:p>
                    <w:pPr>
                      <w:spacing w:line="69" w:lineRule="exact" w:before="0"/>
                      <w:ind w:left="0" w:right="0" w:firstLine="0"/>
                      <w:jc w:val="left"/>
                      <w:rPr>
                        <w:rFonts w:ascii="Calibri"/>
                        <w:sz w:val="7"/>
                      </w:rPr>
                    </w:pPr>
                    <w:r>
                      <w:rPr>
                        <w:rFonts w:ascii="Calibri"/>
                        <w:color w:val="585858"/>
                        <w:w w:val="150"/>
                        <w:sz w:val="7"/>
                      </w:rPr>
                      <w:t>10</w:t>
                    </w:r>
                  </w:p>
                </w:txbxContent>
              </v:textbox>
              <w10:wrap type="none"/>
            </v:shape>
            <v:shape style="position:absolute;left:7724;top:6767;width:73;height:69" type="#_x0000_t202" filled="false" stroked="false">
              <v:textbox inset="0,0,0,0">
                <w:txbxContent>
                  <w:p>
                    <w:pPr>
                      <w:spacing w:line="69" w:lineRule="exact" w:before="0"/>
                      <w:ind w:left="0" w:right="0" w:firstLine="0"/>
                      <w:jc w:val="left"/>
                      <w:rPr>
                        <w:rFonts w:ascii="Calibri"/>
                        <w:sz w:val="7"/>
                      </w:rPr>
                    </w:pPr>
                    <w:r>
                      <w:rPr>
                        <w:rFonts w:ascii="Calibri"/>
                        <w:color w:val="585858"/>
                        <w:w w:val="148"/>
                        <w:sz w:val="7"/>
                      </w:rPr>
                      <w:t>0</w:t>
                    </w:r>
                  </w:p>
                </w:txbxContent>
              </v:textbox>
              <w10:wrap type="none"/>
            </v:shape>
            <v:shape style="position:absolute;left:7222;top:6767;width:158;height:69" type="#_x0000_t202" filled="false" stroked="false">
              <v:textbox inset="0,0,0,0">
                <w:txbxContent>
                  <w:p>
                    <w:pPr>
                      <w:spacing w:line="69" w:lineRule="exact" w:before="0"/>
                      <w:ind w:left="0" w:right="0" w:firstLine="0"/>
                      <w:jc w:val="left"/>
                      <w:rPr>
                        <w:rFonts w:ascii="Calibri"/>
                        <w:sz w:val="7"/>
                      </w:rPr>
                    </w:pPr>
                    <w:r>
                      <w:rPr>
                        <w:rFonts w:ascii="Calibri"/>
                        <w:color w:val="585858"/>
                        <w:w w:val="150"/>
                        <w:sz w:val="7"/>
                      </w:rPr>
                      <w:t>-10</w:t>
                    </w:r>
                  </w:p>
                </w:txbxContent>
              </v:textbox>
              <w10:wrap type="none"/>
            </v:shape>
            <v:shape style="position:absolute;left:6762;top:6767;width:158;height:69" type="#_x0000_t202" filled="false" stroked="false">
              <v:textbox inset="0,0,0,0">
                <w:txbxContent>
                  <w:p>
                    <w:pPr>
                      <w:spacing w:line="69" w:lineRule="exact" w:before="0"/>
                      <w:ind w:left="0" w:right="0" w:firstLine="0"/>
                      <w:jc w:val="left"/>
                      <w:rPr>
                        <w:rFonts w:ascii="Calibri"/>
                        <w:sz w:val="7"/>
                      </w:rPr>
                    </w:pPr>
                    <w:r>
                      <w:rPr>
                        <w:rFonts w:ascii="Calibri"/>
                        <w:color w:val="585858"/>
                        <w:w w:val="150"/>
                        <w:sz w:val="7"/>
                      </w:rPr>
                      <w:t>-20</w:t>
                    </w:r>
                  </w:p>
                </w:txbxContent>
              </v:textbox>
              <w10:wrap type="none"/>
            </v:shape>
            <v:shape style="position:absolute;left:6302;top:6767;width:158;height:69" type="#_x0000_t202" filled="false" stroked="false">
              <v:textbox inset="0,0,0,0">
                <w:txbxContent>
                  <w:p>
                    <w:pPr>
                      <w:spacing w:line="69" w:lineRule="exact" w:before="0"/>
                      <w:ind w:left="0" w:right="0" w:firstLine="0"/>
                      <w:jc w:val="left"/>
                      <w:rPr>
                        <w:rFonts w:ascii="Calibri"/>
                        <w:sz w:val="7"/>
                      </w:rPr>
                    </w:pPr>
                    <w:r>
                      <w:rPr>
                        <w:rFonts w:ascii="Calibri"/>
                        <w:color w:val="585858"/>
                        <w:w w:val="150"/>
                        <w:sz w:val="7"/>
                      </w:rPr>
                      <w:t>-30</w:t>
                    </w:r>
                  </w:p>
                </w:txbxContent>
              </v:textbox>
              <w10:wrap type="none"/>
            </v:shape>
            <v:shape style="position:absolute;left:7098;top:6511;width:185;height:69" type="#_x0000_t202" filled="false" stroked="false">
              <v:textbox inset="0,0,0,0">
                <w:txbxContent>
                  <w:p>
                    <w:pPr>
                      <w:spacing w:line="69" w:lineRule="exact" w:before="0"/>
                      <w:ind w:left="0" w:right="0" w:firstLine="0"/>
                      <w:jc w:val="left"/>
                      <w:rPr>
                        <w:rFonts w:ascii="Calibri"/>
                        <w:b/>
                        <w:sz w:val="7"/>
                      </w:rPr>
                    </w:pPr>
                    <w:r>
                      <w:rPr>
                        <w:rFonts w:ascii="Calibri"/>
                        <w:b/>
                        <w:color w:val="FF0000"/>
                        <w:w w:val="150"/>
                        <w:sz w:val="7"/>
                      </w:rPr>
                      <w:t>-9.1</w:t>
                    </w:r>
                  </w:p>
                </w:txbxContent>
              </v:textbox>
              <w10:wrap type="none"/>
            </v:shape>
            <v:shape style="position:absolute;left:7320;top:6397;width:185;height:70" type="#_x0000_t202" filled="false" stroked="false">
              <v:textbox inset="0,0,0,0">
                <w:txbxContent>
                  <w:p>
                    <w:pPr>
                      <w:spacing w:line="69" w:lineRule="exact" w:before="0"/>
                      <w:ind w:left="0" w:right="0" w:firstLine="0"/>
                      <w:jc w:val="left"/>
                      <w:rPr>
                        <w:rFonts w:ascii="Calibri"/>
                        <w:b/>
                        <w:sz w:val="7"/>
                      </w:rPr>
                    </w:pPr>
                    <w:r>
                      <w:rPr>
                        <w:rFonts w:ascii="Calibri"/>
                        <w:b/>
                        <w:color w:val="FF0000"/>
                        <w:w w:val="150"/>
                        <w:sz w:val="7"/>
                      </w:rPr>
                      <w:t>-4.3</w:t>
                    </w:r>
                  </w:p>
                </w:txbxContent>
              </v:textbox>
              <w10:wrap type="none"/>
            </v:shape>
            <v:shape style="position:absolute;left:7918;top:6055;width:257;height:297" type="#_x0000_t202" filled="false" stroked="false">
              <v:textbox inset="0,0,0,0">
                <w:txbxContent>
                  <w:p>
                    <w:pPr>
                      <w:spacing w:line="71" w:lineRule="exact" w:before="0"/>
                      <w:ind w:left="103" w:right="0" w:firstLine="0"/>
                      <w:jc w:val="left"/>
                      <w:rPr>
                        <w:rFonts w:ascii="Calibri"/>
                        <w:b/>
                        <w:sz w:val="7"/>
                      </w:rPr>
                    </w:pPr>
                    <w:r>
                      <w:rPr>
                        <w:rFonts w:ascii="Calibri"/>
                        <w:b/>
                        <w:color w:val="006FC0"/>
                        <w:w w:val="150"/>
                        <w:sz w:val="7"/>
                      </w:rPr>
                      <w:t>4.4</w:t>
                    </w:r>
                  </w:p>
                  <w:p>
                    <w:pPr>
                      <w:spacing w:before="28"/>
                      <w:ind w:left="93" w:right="0" w:firstLine="0"/>
                      <w:jc w:val="left"/>
                      <w:rPr>
                        <w:rFonts w:ascii="Calibri"/>
                        <w:b/>
                        <w:sz w:val="7"/>
                      </w:rPr>
                    </w:pPr>
                    <w:r>
                      <w:rPr>
                        <w:rFonts w:ascii="Calibri"/>
                        <w:b/>
                        <w:color w:val="006FC0"/>
                        <w:w w:val="150"/>
                        <w:sz w:val="7"/>
                      </w:rPr>
                      <w:t>4.2</w:t>
                    </w:r>
                  </w:p>
                  <w:p>
                    <w:pPr>
                      <w:spacing w:line="84" w:lineRule="exact" w:before="29"/>
                      <w:ind w:left="0" w:right="0" w:firstLine="0"/>
                      <w:jc w:val="left"/>
                      <w:rPr>
                        <w:rFonts w:ascii="Calibri"/>
                        <w:b/>
                        <w:sz w:val="7"/>
                      </w:rPr>
                    </w:pPr>
                    <w:r>
                      <w:rPr>
                        <w:rFonts w:ascii="Calibri"/>
                        <w:b/>
                        <w:color w:val="006FC0"/>
                        <w:w w:val="150"/>
                        <w:sz w:val="7"/>
                      </w:rPr>
                      <w:t>2.2</w:t>
                    </w:r>
                  </w:p>
                </w:txbxContent>
              </v:textbox>
              <w10:wrap type="none"/>
            </v:shape>
            <v:shape style="position:absolute;left:8281;top:5714;width:389;height:297" type="#_x0000_t202" filled="false" stroked="false">
              <v:textbox inset="0,0,0,0">
                <w:txbxContent>
                  <w:p>
                    <w:pPr>
                      <w:spacing w:line="71" w:lineRule="exact" w:before="0"/>
                      <w:ind w:left="182" w:right="0" w:firstLine="0"/>
                      <w:jc w:val="left"/>
                      <w:rPr>
                        <w:rFonts w:ascii="Calibri"/>
                        <w:b/>
                        <w:sz w:val="7"/>
                      </w:rPr>
                    </w:pPr>
                    <w:r>
                      <w:rPr>
                        <w:rFonts w:ascii="Calibri"/>
                        <w:b/>
                        <w:color w:val="006FC0"/>
                        <w:w w:val="150"/>
                        <w:sz w:val="7"/>
                      </w:rPr>
                      <w:t>14.0</w:t>
                    </w:r>
                  </w:p>
                  <w:p>
                    <w:pPr>
                      <w:spacing w:before="28"/>
                      <w:ind w:left="153" w:right="0" w:firstLine="0"/>
                      <w:jc w:val="left"/>
                      <w:rPr>
                        <w:rFonts w:ascii="Calibri"/>
                        <w:b/>
                        <w:sz w:val="7"/>
                      </w:rPr>
                    </w:pPr>
                    <w:r>
                      <w:rPr>
                        <w:rFonts w:ascii="Calibri"/>
                        <w:b/>
                        <w:color w:val="006FC0"/>
                        <w:w w:val="150"/>
                        <w:sz w:val="7"/>
                      </w:rPr>
                      <w:t>13.4</w:t>
                    </w:r>
                  </w:p>
                  <w:p>
                    <w:pPr>
                      <w:spacing w:line="84" w:lineRule="exact" w:before="29"/>
                      <w:ind w:left="0" w:right="0" w:firstLine="0"/>
                      <w:jc w:val="left"/>
                      <w:rPr>
                        <w:rFonts w:ascii="Calibri"/>
                        <w:b/>
                        <w:sz w:val="7"/>
                      </w:rPr>
                    </w:pPr>
                    <w:r>
                      <w:rPr>
                        <w:rFonts w:ascii="Calibri"/>
                        <w:b/>
                        <w:color w:val="006FC0"/>
                        <w:w w:val="150"/>
                        <w:sz w:val="7"/>
                      </w:rPr>
                      <w:t>10.1</w:t>
                    </w:r>
                  </w:p>
                </w:txbxContent>
              </v:textbox>
              <w10:wrap type="none"/>
            </v:shape>
            <v:shape style="position:absolute;left:8690;top:5486;width:267;height:183" type="#_x0000_t202" filled="false" stroked="false">
              <v:textbox inset="0,0,0,0">
                <w:txbxContent>
                  <w:p>
                    <w:pPr>
                      <w:spacing w:line="71" w:lineRule="exact" w:before="0"/>
                      <w:ind w:left="60" w:right="0" w:firstLine="0"/>
                      <w:jc w:val="left"/>
                      <w:rPr>
                        <w:rFonts w:ascii="Calibri"/>
                        <w:b/>
                        <w:sz w:val="7"/>
                      </w:rPr>
                    </w:pPr>
                    <w:r>
                      <w:rPr>
                        <w:rFonts w:ascii="Calibri"/>
                        <w:b/>
                        <w:color w:val="006FC0"/>
                        <w:w w:val="150"/>
                        <w:sz w:val="7"/>
                      </w:rPr>
                      <w:t>20.3</w:t>
                    </w:r>
                  </w:p>
                  <w:p>
                    <w:pPr>
                      <w:spacing w:line="84" w:lineRule="exact" w:before="28"/>
                      <w:ind w:left="0" w:right="0" w:firstLine="0"/>
                      <w:jc w:val="left"/>
                      <w:rPr>
                        <w:rFonts w:ascii="Calibri"/>
                        <w:b/>
                        <w:sz w:val="7"/>
                      </w:rPr>
                    </w:pPr>
                    <w:r>
                      <w:rPr>
                        <w:rFonts w:ascii="Calibri"/>
                        <w:b/>
                        <w:color w:val="006FC0"/>
                        <w:w w:val="150"/>
                        <w:sz w:val="7"/>
                      </w:rPr>
                      <w:t>19.0</w:t>
                    </w:r>
                  </w:p>
                </w:txbxContent>
              </v:textbox>
              <w10:wrap type="none"/>
            </v:shape>
            <v:shape style="position:absolute;left:9002;top:4347;width:799;height:1094" type="#_x0000_t202" filled="false" stroked="false">
              <v:textbox inset="0,0,0,0">
                <w:txbxContent>
                  <w:p>
                    <w:pPr>
                      <w:spacing w:line="71" w:lineRule="exact" w:before="0"/>
                      <w:ind w:left="592" w:right="0" w:firstLine="0"/>
                      <w:jc w:val="left"/>
                      <w:rPr>
                        <w:rFonts w:ascii="Calibri"/>
                        <w:b/>
                        <w:sz w:val="7"/>
                      </w:rPr>
                    </w:pPr>
                    <w:r>
                      <w:rPr>
                        <w:rFonts w:ascii="Calibri"/>
                        <w:b/>
                        <w:color w:val="006FC0"/>
                        <w:w w:val="150"/>
                        <w:sz w:val="7"/>
                      </w:rPr>
                      <w:t>38.6</w:t>
                    </w:r>
                  </w:p>
                  <w:p>
                    <w:pPr>
                      <w:spacing w:before="28"/>
                      <w:ind w:left="560" w:right="0" w:firstLine="0"/>
                      <w:jc w:val="left"/>
                      <w:rPr>
                        <w:rFonts w:ascii="Calibri"/>
                        <w:b/>
                        <w:sz w:val="7"/>
                      </w:rPr>
                    </w:pPr>
                    <w:r>
                      <w:rPr>
                        <w:rFonts w:ascii="Calibri"/>
                        <w:b/>
                        <w:color w:val="006FC0"/>
                        <w:w w:val="150"/>
                        <w:sz w:val="7"/>
                      </w:rPr>
                      <w:t>37.9</w:t>
                    </w:r>
                  </w:p>
                  <w:p>
                    <w:pPr>
                      <w:spacing w:before="29"/>
                      <w:ind w:left="478" w:right="0" w:firstLine="0"/>
                      <w:jc w:val="left"/>
                      <w:rPr>
                        <w:rFonts w:ascii="Calibri"/>
                        <w:b/>
                        <w:sz w:val="7"/>
                      </w:rPr>
                    </w:pPr>
                    <w:r>
                      <w:rPr>
                        <w:rFonts w:ascii="Calibri"/>
                        <w:b/>
                        <w:color w:val="006FC0"/>
                        <w:w w:val="150"/>
                        <w:sz w:val="7"/>
                      </w:rPr>
                      <w:t>36.1</w:t>
                    </w:r>
                  </w:p>
                  <w:p>
                    <w:pPr>
                      <w:spacing w:before="28"/>
                      <w:ind w:left="317" w:right="0" w:firstLine="0"/>
                      <w:jc w:val="left"/>
                      <w:rPr>
                        <w:rFonts w:ascii="Calibri"/>
                        <w:b/>
                        <w:sz w:val="7"/>
                      </w:rPr>
                    </w:pPr>
                    <w:r>
                      <w:rPr>
                        <w:rFonts w:ascii="Calibri"/>
                        <w:b/>
                        <w:color w:val="006FC0"/>
                        <w:w w:val="150"/>
                        <w:sz w:val="7"/>
                      </w:rPr>
                      <w:t>32.6</w:t>
                    </w:r>
                  </w:p>
                  <w:p>
                    <w:pPr>
                      <w:spacing w:before="28"/>
                      <w:ind w:left="297" w:right="0" w:firstLine="0"/>
                      <w:jc w:val="left"/>
                      <w:rPr>
                        <w:rFonts w:ascii="Calibri"/>
                        <w:b/>
                        <w:sz w:val="7"/>
                      </w:rPr>
                    </w:pPr>
                    <w:r>
                      <w:rPr>
                        <w:rFonts w:ascii="Calibri"/>
                        <w:b/>
                        <w:color w:val="006FC0"/>
                        <w:w w:val="150"/>
                        <w:sz w:val="7"/>
                      </w:rPr>
                      <w:t>32.2</w:t>
                    </w:r>
                  </w:p>
                  <w:p>
                    <w:pPr>
                      <w:spacing w:before="29"/>
                      <w:ind w:left="246" w:right="0" w:firstLine="0"/>
                      <w:jc w:val="left"/>
                      <w:rPr>
                        <w:rFonts w:ascii="Calibri"/>
                        <w:b/>
                        <w:sz w:val="7"/>
                      </w:rPr>
                    </w:pPr>
                    <w:r>
                      <w:rPr>
                        <w:rFonts w:ascii="Calibri"/>
                        <w:b/>
                        <w:color w:val="006FC0"/>
                        <w:w w:val="150"/>
                        <w:sz w:val="7"/>
                      </w:rPr>
                      <w:t>31.1</w:t>
                    </w:r>
                  </w:p>
                  <w:p>
                    <w:pPr>
                      <w:spacing w:before="28"/>
                      <w:ind w:left="206" w:right="0" w:firstLine="0"/>
                      <w:jc w:val="left"/>
                      <w:rPr>
                        <w:rFonts w:ascii="Calibri"/>
                        <w:b/>
                        <w:sz w:val="7"/>
                      </w:rPr>
                    </w:pPr>
                    <w:r>
                      <w:rPr>
                        <w:rFonts w:ascii="Calibri"/>
                        <w:b/>
                        <w:color w:val="006FC0"/>
                        <w:w w:val="150"/>
                        <w:sz w:val="7"/>
                      </w:rPr>
                      <w:t>30.2</w:t>
                    </w:r>
                  </w:p>
                  <w:p>
                    <w:pPr>
                      <w:spacing w:before="29"/>
                      <w:ind w:left="148" w:right="0" w:firstLine="0"/>
                      <w:jc w:val="left"/>
                      <w:rPr>
                        <w:rFonts w:ascii="Calibri"/>
                        <w:b/>
                        <w:sz w:val="7"/>
                      </w:rPr>
                    </w:pPr>
                    <w:r>
                      <w:rPr>
                        <w:rFonts w:ascii="Calibri"/>
                        <w:b/>
                        <w:color w:val="006FC0"/>
                        <w:w w:val="150"/>
                        <w:sz w:val="7"/>
                      </w:rPr>
                      <w:t>29.0</w:t>
                    </w:r>
                  </w:p>
                  <w:p>
                    <w:pPr>
                      <w:spacing w:before="28"/>
                      <w:ind w:left="140" w:right="0" w:firstLine="0"/>
                      <w:jc w:val="left"/>
                      <w:rPr>
                        <w:rFonts w:ascii="Calibri"/>
                        <w:b/>
                        <w:sz w:val="7"/>
                      </w:rPr>
                    </w:pPr>
                    <w:r>
                      <w:rPr>
                        <w:rFonts w:ascii="Calibri"/>
                        <w:b/>
                        <w:color w:val="006FC0"/>
                        <w:w w:val="150"/>
                        <w:sz w:val="7"/>
                      </w:rPr>
                      <w:t>28.8</w:t>
                    </w:r>
                  </w:p>
                  <w:p>
                    <w:pPr>
                      <w:spacing w:line="84" w:lineRule="exact" w:before="29"/>
                      <w:ind w:left="0" w:right="0" w:firstLine="0"/>
                      <w:jc w:val="left"/>
                      <w:rPr>
                        <w:rFonts w:ascii="Calibri"/>
                        <w:b/>
                        <w:sz w:val="7"/>
                      </w:rPr>
                    </w:pPr>
                    <w:r>
                      <w:rPr>
                        <w:rFonts w:ascii="Calibri"/>
                        <w:b/>
                        <w:color w:val="006FC0"/>
                        <w:w w:val="150"/>
                        <w:sz w:val="7"/>
                      </w:rPr>
                      <w:t>25.7</w:t>
                    </w:r>
                  </w:p>
                </w:txbxContent>
              </v:textbox>
              <w10:wrap type="none"/>
            </v:shape>
            <v:shape style="position:absolute;left:2163;top:4343;width:4055;height:2494" type="#_x0000_t202" filled="false" stroked="false">
              <v:textbox inset="0,0,0,0">
                <w:txbxContent>
                  <w:p>
                    <w:pPr>
                      <w:spacing w:line="71" w:lineRule="exact" w:before="0"/>
                      <w:ind w:left="0" w:right="402" w:firstLine="0"/>
                      <w:jc w:val="right"/>
                      <w:rPr>
                        <w:rFonts w:ascii="Calibri"/>
                        <w:b/>
                        <w:sz w:val="7"/>
                      </w:rPr>
                    </w:pPr>
                    <w:r>
                      <w:rPr>
                        <w:rFonts w:ascii="Calibri"/>
                        <w:b/>
                        <w:color w:val="585858"/>
                        <w:w w:val="150"/>
                        <w:sz w:val="7"/>
                      </w:rPr>
                      <w:t>Actividades</w:t>
                    </w:r>
                    <w:r>
                      <w:rPr>
                        <w:rFonts w:ascii="Calibri"/>
                        <w:b/>
                        <w:color w:val="585858"/>
                        <w:spacing w:val="-7"/>
                        <w:w w:val="150"/>
                        <w:sz w:val="7"/>
                      </w:rPr>
                      <w:t> </w:t>
                    </w:r>
                    <w:r>
                      <w:rPr>
                        <w:rFonts w:ascii="Calibri"/>
                        <w:b/>
                        <w:color w:val="585858"/>
                        <w:w w:val="150"/>
                        <w:sz w:val="7"/>
                      </w:rPr>
                      <w:t>de</w:t>
                    </w:r>
                    <w:r>
                      <w:rPr>
                        <w:rFonts w:ascii="Calibri"/>
                        <w:b/>
                        <w:color w:val="585858"/>
                        <w:spacing w:val="-8"/>
                        <w:w w:val="150"/>
                        <w:sz w:val="7"/>
                      </w:rPr>
                      <w:t> </w:t>
                    </w:r>
                    <w:r>
                      <w:rPr>
                        <w:rFonts w:ascii="Calibri"/>
                        <w:b/>
                        <w:color w:val="585858"/>
                        <w:w w:val="150"/>
                        <w:sz w:val="7"/>
                      </w:rPr>
                      <w:t>alojamiento</w:t>
                    </w:r>
                    <w:r>
                      <w:rPr>
                        <w:rFonts w:ascii="Calibri"/>
                        <w:b/>
                        <w:color w:val="585858"/>
                        <w:spacing w:val="-7"/>
                        <w:w w:val="150"/>
                        <w:sz w:val="7"/>
                      </w:rPr>
                      <w:t> </w:t>
                    </w:r>
                    <w:r>
                      <w:rPr>
                        <w:rFonts w:ascii="Calibri"/>
                        <w:b/>
                        <w:color w:val="585858"/>
                        <w:w w:val="150"/>
                        <w:sz w:val="7"/>
                      </w:rPr>
                      <w:t>y</w:t>
                    </w:r>
                    <w:r>
                      <w:rPr>
                        <w:rFonts w:ascii="Calibri"/>
                        <w:b/>
                        <w:color w:val="585858"/>
                        <w:spacing w:val="-6"/>
                        <w:w w:val="150"/>
                        <w:sz w:val="7"/>
                      </w:rPr>
                      <w:t> </w:t>
                    </w:r>
                    <w:r>
                      <w:rPr>
                        <w:rFonts w:ascii="Calibri"/>
                        <w:b/>
                        <w:color w:val="585858"/>
                        <w:w w:val="150"/>
                        <w:sz w:val="7"/>
                      </w:rPr>
                      <w:t>de</w:t>
                    </w:r>
                    <w:r>
                      <w:rPr>
                        <w:rFonts w:ascii="Calibri"/>
                        <w:b/>
                        <w:color w:val="585858"/>
                        <w:spacing w:val="-7"/>
                        <w:w w:val="150"/>
                        <w:sz w:val="7"/>
                      </w:rPr>
                      <w:t> </w:t>
                    </w:r>
                    <w:r>
                      <w:rPr>
                        <w:rFonts w:ascii="Calibri"/>
                        <w:b/>
                        <w:color w:val="585858"/>
                        <w:w w:val="150"/>
                        <w:sz w:val="7"/>
                      </w:rPr>
                      <w:t>servicio</w:t>
                    </w:r>
                    <w:r>
                      <w:rPr>
                        <w:rFonts w:ascii="Calibri"/>
                        <w:b/>
                        <w:color w:val="585858"/>
                        <w:spacing w:val="-7"/>
                        <w:w w:val="150"/>
                        <w:sz w:val="7"/>
                      </w:rPr>
                      <w:t> </w:t>
                    </w:r>
                    <w:r>
                      <w:rPr>
                        <w:rFonts w:ascii="Calibri"/>
                        <w:b/>
                        <w:color w:val="585858"/>
                        <w:w w:val="150"/>
                        <w:sz w:val="7"/>
                      </w:rPr>
                      <w:t>de</w:t>
                    </w:r>
                    <w:r>
                      <w:rPr>
                        <w:rFonts w:ascii="Calibri"/>
                        <w:b/>
                        <w:color w:val="585858"/>
                        <w:spacing w:val="-6"/>
                        <w:w w:val="150"/>
                        <w:sz w:val="7"/>
                      </w:rPr>
                      <w:t> </w:t>
                    </w:r>
                    <w:r>
                      <w:rPr>
                        <w:rFonts w:ascii="Calibri"/>
                        <w:b/>
                        <w:color w:val="585858"/>
                        <w:w w:val="150"/>
                        <w:sz w:val="7"/>
                      </w:rPr>
                      <w:t>comidas</w:t>
                    </w:r>
                  </w:p>
                  <w:p>
                    <w:pPr>
                      <w:spacing w:line="319" w:lineRule="auto" w:before="28"/>
                      <w:ind w:left="1271" w:right="401" w:firstLine="1084"/>
                      <w:jc w:val="right"/>
                      <w:rPr>
                        <w:rFonts w:ascii="Calibri" w:hAnsi="Calibri"/>
                        <w:b/>
                        <w:sz w:val="7"/>
                      </w:rPr>
                    </w:pPr>
                    <w:r>
                      <w:rPr>
                        <w:rFonts w:ascii="Calibri" w:hAnsi="Calibri"/>
                        <w:b/>
                        <w:color w:val="585858"/>
                        <w:w w:val="150"/>
                        <w:sz w:val="7"/>
                      </w:rPr>
                      <w:t>Transporte</w:t>
                    </w:r>
                    <w:r>
                      <w:rPr>
                        <w:rFonts w:ascii="Calibri" w:hAnsi="Calibri"/>
                        <w:b/>
                        <w:color w:val="585858"/>
                        <w:spacing w:val="-12"/>
                        <w:w w:val="150"/>
                        <w:sz w:val="7"/>
                      </w:rPr>
                      <w:t> </w:t>
                    </w:r>
                    <w:r>
                      <w:rPr>
                        <w:rFonts w:ascii="Calibri" w:hAnsi="Calibri"/>
                        <w:b/>
                        <w:color w:val="585858"/>
                        <w:w w:val="150"/>
                        <w:sz w:val="7"/>
                      </w:rPr>
                      <w:t>y</w:t>
                    </w:r>
                    <w:r>
                      <w:rPr>
                        <w:rFonts w:ascii="Calibri" w:hAnsi="Calibri"/>
                        <w:b/>
                        <w:color w:val="585858"/>
                        <w:spacing w:val="-12"/>
                        <w:w w:val="150"/>
                        <w:sz w:val="7"/>
                      </w:rPr>
                      <w:t> </w:t>
                    </w:r>
                    <w:r>
                      <w:rPr>
                        <w:rFonts w:ascii="Calibri" w:hAnsi="Calibri"/>
                        <w:b/>
                        <w:color w:val="585858"/>
                        <w:w w:val="150"/>
                        <w:sz w:val="7"/>
                      </w:rPr>
                      <w:t>almacenamiento</w:t>
                    </w:r>
                    <w:r>
                      <w:rPr>
                        <w:rFonts w:ascii="Calibri" w:hAnsi="Calibri"/>
                        <w:b/>
                        <w:color w:val="585858"/>
                        <w:w w:val="148"/>
                        <w:sz w:val="7"/>
                      </w:rPr>
                      <w:t> </w:t>
                    </w:r>
                    <w:r>
                      <w:rPr>
                        <w:rFonts w:ascii="Calibri" w:hAnsi="Calibri"/>
                        <w:b/>
                        <w:color w:val="585858"/>
                        <w:w w:val="150"/>
                        <w:sz w:val="7"/>
                      </w:rPr>
                      <w:t>Actividades</w:t>
                    </w:r>
                    <w:r>
                      <w:rPr>
                        <w:rFonts w:ascii="Calibri" w:hAnsi="Calibri"/>
                        <w:b/>
                        <w:color w:val="585858"/>
                        <w:spacing w:val="-8"/>
                        <w:w w:val="150"/>
                        <w:sz w:val="7"/>
                      </w:rPr>
                      <w:t> </w:t>
                    </w:r>
                    <w:r>
                      <w:rPr>
                        <w:rFonts w:ascii="Calibri" w:hAnsi="Calibri"/>
                        <w:b/>
                        <w:color w:val="585858"/>
                        <w:w w:val="150"/>
                        <w:sz w:val="7"/>
                      </w:rPr>
                      <w:t>de</w:t>
                    </w:r>
                    <w:r>
                      <w:rPr>
                        <w:rFonts w:ascii="Calibri" w:hAnsi="Calibri"/>
                        <w:b/>
                        <w:color w:val="585858"/>
                        <w:spacing w:val="-7"/>
                        <w:w w:val="150"/>
                        <w:sz w:val="7"/>
                      </w:rPr>
                      <w:t> </w:t>
                    </w:r>
                    <w:r>
                      <w:rPr>
                        <w:rFonts w:ascii="Calibri" w:hAnsi="Calibri"/>
                        <w:b/>
                        <w:color w:val="585858"/>
                        <w:w w:val="150"/>
                        <w:sz w:val="7"/>
                      </w:rPr>
                      <w:t>servicios</w:t>
                    </w:r>
                    <w:r>
                      <w:rPr>
                        <w:rFonts w:ascii="Calibri" w:hAnsi="Calibri"/>
                        <w:b/>
                        <w:color w:val="585858"/>
                        <w:spacing w:val="-7"/>
                        <w:w w:val="150"/>
                        <w:sz w:val="7"/>
                      </w:rPr>
                      <w:t> </w:t>
                    </w:r>
                    <w:r>
                      <w:rPr>
                        <w:rFonts w:ascii="Calibri" w:hAnsi="Calibri"/>
                        <w:b/>
                        <w:color w:val="585858"/>
                        <w:w w:val="150"/>
                        <w:sz w:val="7"/>
                      </w:rPr>
                      <w:t>administrativos</w:t>
                    </w:r>
                    <w:r>
                      <w:rPr>
                        <w:rFonts w:ascii="Calibri" w:hAnsi="Calibri"/>
                        <w:b/>
                        <w:color w:val="585858"/>
                        <w:spacing w:val="-7"/>
                        <w:w w:val="150"/>
                        <w:sz w:val="7"/>
                      </w:rPr>
                      <w:t> </w:t>
                    </w:r>
                    <w:r>
                      <w:rPr>
                        <w:rFonts w:ascii="Calibri" w:hAnsi="Calibri"/>
                        <w:b/>
                        <w:color w:val="585858"/>
                        <w:w w:val="150"/>
                        <w:sz w:val="7"/>
                      </w:rPr>
                      <w:t>y</w:t>
                    </w:r>
                    <w:r>
                      <w:rPr>
                        <w:rFonts w:ascii="Calibri" w:hAnsi="Calibri"/>
                        <w:b/>
                        <w:color w:val="585858"/>
                        <w:spacing w:val="-8"/>
                        <w:w w:val="150"/>
                        <w:sz w:val="7"/>
                      </w:rPr>
                      <w:t> </w:t>
                    </w:r>
                    <w:r>
                      <w:rPr>
                        <w:rFonts w:ascii="Calibri" w:hAnsi="Calibri"/>
                        <w:b/>
                        <w:color w:val="585858"/>
                        <w:w w:val="150"/>
                        <w:sz w:val="7"/>
                      </w:rPr>
                      <w:t>de</w:t>
                    </w:r>
                    <w:r>
                      <w:rPr>
                        <w:rFonts w:ascii="Calibri" w:hAnsi="Calibri"/>
                        <w:b/>
                        <w:color w:val="585858"/>
                        <w:spacing w:val="-6"/>
                        <w:w w:val="150"/>
                        <w:sz w:val="7"/>
                      </w:rPr>
                      <w:t> </w:t>
                    </w:r>
                    <w:r>
                      <w:rPr>
                        <w:rFonts w:ascii="Calibri" w:hAnsi="Calibri"/>
                        <w:b/>
                        <w:color w:val="585858"/>
                        <w:w w:val="150"/>
                        <w:sz w:val="7"/>
                      </w:rPr>
                      <w:t>apoyo</w:t>
                    </w:r>
                    <w:r>
                      <w:rPr>
                        <w:rFonts w:ascii="Calibri" w:hAnsi="Calibri"/>
                        <w:b/>
                        <w:color w:val="585858"/>
                        <w:w w:val="148"/>
                        <w:sz w:val="7"/>
                      </w:rPr>
                      <w:t> </w:t>
                    </w:r>
                    <w:r>
                      <w:rPr>
                        <w:rFonts w:ascii="Calibri" w:hAnsi="Calibri"/>
                        <w:b/>
                        <w:color w:val="585858"/>
                        <w:w w:val="150"/>
                        <w:sz w:val="7"/>
                      </w:rPr>
                      <w:t>Actividades</w:t>
                    </w:r>
                    <w:r>
                      <w:rPr>
                        <w:rFonts w:ascii="Calibri" w:hAnsi="Calibri"/>
                        <w:b/>
                        <w:color w:val="585858"/>
                        <w:spacing w:val="-10"/>
                        <w:w w:val="150"/>
                        <w:sz w:val="7"/>
                      </w:rPr>
                      <w:t> </w:t>
                    </w:r>
                    <w:r>
                      <w:rPr>
                        <w:rFonts w:ascii="Calibri" w:hAnsi="Calibri"/>
                        <w:b/>
                        <w:color w:val="585858"/>
                        <w:w w:val="150"/>
                        <w:sz w:val="7"/>
                      </w:rPr>
                      <w:t>artísticas,</w:t>
                    </w:r>
                    <w:r>
                      <w:rPr>
                        <w:rFonts w:ascii="Calibri" w:hAnsi="Calibri"/>
                        <w:b/>
                        <w:color w:val="585858"/>
                        <w:spacing w:val="-9"/>
                        <w:w w:val="150"/>
                        <w:sz w:val="7"/>
                      </w:rPr>
                      <w:t> </w:t>
                    </w:r>
                    <w:r>
                      <w:rPr>
                        <w:rFonts w:ascii="Calibri" w:hAnsi="Calibri"/>
                        <w:b/>
                        <w:color w:val="585858"/>
                        <w:w w:val="150"/>
                        <w:sz w:val="7"/>
                      </w:rPr>
                      <w:t>de</w:t>
                    </w:r>
                    <w:r>
                      <w:rPr>
                        <w:rFonts w:ascii="Calibri" w:hAnsi="Calibri"/>
                        <w:b/>
                        <w:color w:val="585858"/>
                        <w:spacing w:val="-9"/>
                        <w:w w:val="150"/>
                        <w:sz w:val="7"/>
                      </w:rPr>
                      <w:t> </w:t>
                    </w:r>
                    <w:r>
                      <w:rPr>
                        <w:rFonts w:ascii="Calibri" w:hAnsi="Calibri"/>
                        <w:b/>
                        <w:color w:val="585858"/>
                        <w:w w:val="150"/>
                        <w:sz w:val="7"/>
                      </w:rPr>
                      <w:t>entretenimiento</w:t>
                    </w:r>
                    <w:r>
                      <w:rPr>
                        <w:rFonts w:ascii="Calibri" w:hAnsi="Calibri"/>
                        <w:b/>
                        <w:color w:val="585858"/>
                        <w:spacing w:val="-9"/>
                        <w:w w:val="150"/>
                        <w:sz w:val="7"/>
                      </w:rPr>
                      <w:t> </w:t>
                    </w:r>
                    <w:r>
                      <w:rPr>
                        <w:rFonts w:ascii="Calibri" w:hAnsi="Calibri"/>
                        <w:b/>
                        <w:color w:val="585858"/>
                        <w:w w:val="150"/>
                        <w:sz w:val="7"/>
                      </w:rPr>
                      <w:t>y</w:t>
                    </w:r>
                    <w:r>
                      <w:rPr>
                        <w:rFonts w:ascii="Calibri" w:hAnsi="Calibri"/>
                        <w:b/>
                        <w:color w:val="585858"/>
                        <w:spacing w:val="-10"/>
                        <w:w w:val="150"/>
                        <w:sz w:val="7"/>
                      </w:rPr>
                      <w:t> </w:t>
                    </w:r>
                    <w:r>
                      <w:rPr>
                        <w:rFonts w:ascii="Calibri" w:hAnsi="Calibri"/>
                        <w:b/>
                        <w:color w:val="585858"/>
                        <w:w w:val="150"/>
                        <w:sz w:val="7"/>
                      </w:rPr>
                      <w:t>recreativas</w:t>
                    </w:r>
                  </w:p>
                  <w:p>
                    <w:pPr>
                      <w:spacing w:line="319" w:lineRule="auto" w:before="1"/>
                      <w:ind w:left="278" w:right="0" w:firstLine="560"/>
                      <w:jc w:val="left"/>
                      <w:rPr>
                        <w:rFonts w:ascii="Calibri" w:hAnsi="Calibri"/>
                        <w:b/>
                        <w:sz w:val="7"/>
                      </w:rPr>
                    </w:pPr>
                    <w:r>
                      <w:rPr>
                        <w:rFonts w:ascii="Calibri" w:hAnsi="Calibri"/>
                        <w:b/>
                        <w:color w:val="585858"/>
                        <w:w w:val="150"/>
                        <w:sz w:val="7"/>
                      </w:rPr>
                      <w:t>Actividades de atención de la salud humana y de asistencia social Comercio</w:t>
                    </w:r>
                    <w:r>
                      <w:rPr>
                        <w:rFonts w:ascii="Calibri" w:hAnsi="Calibri"/>
                        <w:b/>
                        <w:color w:val="585858"/>
                        <w:spacing w:val="-6"/>
                        <w:w w:val="150"/>
                        <w:sz w:val="7"/>
                      </w:rPr>
                      <w:t> </w:t>
                    </w:r>
                    <w:r>
                      <w:rPr>
                        <w:rFonts w:ascii="Calibri" w:hAnsi="Calibri"/>
                        <w:b/>
                        <w:color w:val="585858"/>
                        <w:w w:val="150"/>
                        <w:sz w:val="7"/>
                      </w:rPr>
                      <w:t>al</w:t>
                    </w:r>
                    <w:r>
                      <w:rPr>
                        <w:rFonts w:ascii="Calibri" w:hAnsi="Calibri"/>
                        <w:b/>
                        <w:color w:val="585858"/>
                        <w:spacing w:val="-6"/>
                        <w:w w:val="150"/>
                        <w:sz w:val="7"/>
                      </w:rPr>
                      <w:t> </w:t>
                    </w:r>
                    <w:r>
                      <w:rPr>
                        <w:rFonts w:ascii="Calibri" w:hAnsi="Calibri"/>
                        <w:b/>
                        <w:color w:val="585858"/>
                        <w:w w:val="150"/>
                        <w:sz w:val="7"/>
                      </w:rPr>
                      <w:t>por</w:t>
                    </w:r>
                    <w:r>
                      <w:rPr>
                        <w:rFonts w:ascii="Calibri" w:hAnsi="Calibri"/>
                        <w:b/>
                        <w:color w:val="585858"/>
                        <w:spacing w:val="-6"/>
                        <w:w w:val="150"/>
                        <w:sz w:val="7"/>
                      </w:rPr>
                      <w:t> </w:t>
                    </w:r>
                    <w:r>
                      <w:rPr>
                        <w:rFonts w:ascii="Calibri" w:hAnsi="Calibri"/>
                        <w:b/>
                        <w:color w:val="585858"/>
                        <w:w w:val="150"/>
                        <w:sz w:val="7"/>
                      </w:rPr>
                      <w:t>mayor</w:t>
                    </w:r>
                    <w:r>
                      <w:rPr>
                        <w:rFonts w:ascii="Calibri" w:hAnsi="Calibri"/>
                        <w:b/>
                        <w:color w:val="585858"/>
                        <w:spacing w:val="-5"/>
                        <w:w w:val="150"/>
                        <w:sz w:val="7"/>
                      </w:rPr>
                      <w:t> </w:t>
                    </w:r>
                    <w:r>
                      <w:rPr>
                        <w:rFonts w:ascii="Calibri" w:hAnsi="Calibri"/>
                        <w:b/>
                        <w:color w:val="585858"/>
                        <w:w w:val="150"/>
                        <w:sz w:val="7"/>
                      </w:rPr>
                      <w:t>y</w:t>
                    </w:r>
                    <w:r>
                      <w:rPr>
                        <w:rFonts w:ascii="Calibri" w:hAnsi="Calibri"/>
                        <w:b/>
                        <w:color w:val="585858"/>
                        <w:spacing w:val="-7"/>
                        <w:w w:val="150"/>
                        <w:sz w:val="7"/>
                      </w:rPr>
                      <w:t> </w:t>
                    </w:r>
                    <w:r>
                      <w:rPr>
                        <w:rFonts w:ascii="Calibri" w:hAnsi="Calibri"/>
                        <w:b/>
                        <w:color w:val="585858"/>
                        <w:w w:val="150"/>
                        <w:sz w:val="7"/>
                      </w:rPr>
                      <w:t>al</w:t>
                    </w:r>
                    <w:r>
                      <w:rPr>
                        <w:rFonts w:ascii="Calibri" w:hAnsi="Calibri"/>
                        <w:b/>
                        <w:color w:val="585858"/>
                        <w:spacing w:val="-5"/>
                        <w:w w:val="150"/>
                        <w:sz w:val="7"/>
                      </w:rPr>
                      <w:t> </w:t>
                    </w:r>
                    <w:r>
                      <w:rPr>
                        <w:rFonts w:ascii="Calibri" w:hAnsi="Calibri"/>
                        <w:b/>
                        <w:color w:val="585858"/>
                        <w:w w:val="150"/>
                        <w:sz w:val="7"/>
                      </w:rPr>
                      <w:t>por</w:t>
                    </w:r>
                    <w:r>
                      <w:rPr>
                        <w:rFonts w:ascii="Calibri" w:hAnsi="Calibri"/>
                        <w:b/>
                        <w:color w:val="585858"/>
                        <w:spacing w:val="-5"/>
                        <w:w w:val="150"/>
                        <w:sz w:val="7"/>
                      </w:rPr>
                      <w:t> </w:t>
                    </w:r>
                    <w:r>
                      <w:rPr>
                        <w:rFonts w:ascii="Calibri" w:hAnsi="Calibri"/>
                        <w:b/>
                        <w:color w:val="585858"/>
                        <w:w w:val="150"/>
                        <w:sz w:val="7"/>
                      </w:rPr>
                      <w:t>menor;</w:t>
                    </w:r>
                    <w:r>
                      <w:rPr>
                        <w:rFonts w:ascii="Calibri" w:hAnsi="Calibri"/>
                        <w:b/>
                        <w:color w:val="585858"/>
                        <w:spacing w:val="-5"/>
                        <w:w w:val="150"/>
                        <w:sz w:val="7"/>
                      </w:rPr>
                      <w:t> </w:t>
                    </w:r>
                    <w:r>
                      <w:rPr>
                        <w:rFonts w:ascii="Calibri" w:hAnsi="Calibri"/>
                        <w:b/>
                        <w:color w:val="585858"/>
                        <w:w w:val="150"/>
                        <w:sz w:val="7"/>
                      </w:rPr>
                      <w:t>reparación</w:t>
                    </w:r>
                    <w:r>
                      <w:rPr>
                        <w:rFonts w:ascii="Calibri" w:hAnsi="Calibri"/>
                        <w:b/>
                        <w:color w:val="585858"/>
                        <w:spacing w:val="-6"/>
                        <w:w w:val="150"/>
                        <w:sz w:val="7"/>
                      </w:rPr>
                      <w:t> </w:t>
                    </w:r>
                    <w:r>
                      <w:rPr>
                        <w:rFonts w:ascii="Calibri" w:hAnsi="Calibri"/>
                        <w:b/>
                        <w:color w:val="585858"/>
                        <w:w w:val="150"/>
                        <w:sz w:val="7"/>
                      </w:rPr>
                      <w:t>de</w:t>
                    </w:r>
                    <w:r>
                      <w:rPr>
                        <w:rFonts w:ascii="Calibri" w:hAnsi="Calibri"/>
                        <w:b/>
                        <w:color w:val="585858"/>
                        <w:spacing w:val="-6"/>
                        <w:w w:val="150"/>
                        <w:sz w:val="7"/>
                      </w:rPr>
                      <w:t> </w:t>
                    </w:r>
                    <w:r>
                      <w:rPr>
                        <w:rFonts w:ascii="Calibri" w:hAnsi="Calibri"/>
                        <w:b/>
                        <w:color w:val="585858"/>
                        <w:w w:val="150"/>
                        <w:sz w:val="7"/>
                      </w:rPr>
                      <w:t>vehículos</w:t>
                    </w:r>
                    <w:r>
                      <w:rPr>
                        <w:rFonts w:ascii="Calibri" w:hAnsi="Calibri"/>
                        <w:b/>
                        <w:color w:val="585858"/>
                        <w:spacing w:val="-7"/>
                        <w:w w:val="150"/>
                        <w:sz w:val="7"/>
                      </w:rPr>
                      <w:t> </w:t>
                    </w:r>
                    <w:r>
                      <w:rPr>
                        <w:rFonts w:ascii="Calibri" w:hAnsi="Calibri"/>
                        <w:b/>
                        <w:color w:val="585858"/>
                        <w:w w:val="150"/>
                        <w:sz w:val="7"/>
                      </w:rPr>
                      <w:t>automotores</w:t>
                    </w:r>
                    <w:r>
                      <w:rPr>
                        <w:rFonts w:ascii="Calibri" w:hAnsi="Calibri"/>
                        <w:b/>
                        <w:color w:val="585858"/>
                        <w:spacing w:val="-5"/>
                        <w:w w:val="150"/>
                        <w:sz w:val="7"/>
                      </w:rPr>
                      <w:t> </w:t>
                    </w:r>
                    <w:r>
                      <w:rPr>
                        <w:rFonts w:ascii="Calibri" w:hAnsi="Calibri"/>
                        <w:b/>
                        <w:color w:val="585858"/>
                        <w:w w:val="150"/>
                        <w:sz w:val="7"/>
                      </w:rPr>
                      <w:t>y…</w:t>
                    </w:r>
                  </w:p>
                  <w:p>
                    <w:pPr>
                      <w:spacing w:before="0"/>
                      <w:ind w:left="0" w:right="402" w:firstLine="0"/>
                      <w:jc w:val="right"/>
                      <w:rPr>
                        <w:rFonts w:ascii="Calibri"/>
                        <w:b/>
                        <w:sz w:val="7"/>
                      </w:rPr>
                    </w:pPr>
                    <w:r>
                      <w:rPr>
                        <w:rFonts w:ascii="Calibri"/>
                        <w:b/>
                        <w:color w:val="585858"/>
                        <w:w w:val="150"/>
                        <w:sz w:val="7"/>
                      </w:rPr>
                      <w:t>Suministro</w:t>
                    </w:r>
                    <w:r>
                      <w:rPr>
                        <w:rFonts w:ascii="Calibri"/>
                        <w:b/>
                        <w:color w:val="585858"/>
                        <w:spacing w:val="-7"/>
                        <w:w w:val="150"/>
                        <w:sz w:val="7"/>
                      </w:rPr>
                      <w:t> </w:t>
                    </w:r>
                    <w:r>
                      <w:rPr>
                        <w:rFonts w:ascii="Calibri"/>
                        <w:b/>
                        <w:color w:val="585858"/>
                        <w:w w:val="150"/>
                        <w:sz w:val="7"/>
                      </w:rPr>
                      <w:t>de</w:t>
                    </w:r>
                    <w:r>
                      <w:rPr>
                        <w:rFonts w:ascii="Calibri"/>
                        <w:b/>
                        <w:color w:val="585858"/>
                        <w:spacing w:val="-7"/>
                        <w:w w:val="150"/>
                        <w:sz w:val="7"/>
                      </w:rPr>
                      <w:t> </w:t>
                    </w:r>
                    <w:r>
                      <w:rPr>
                        <w:rFonts w:ascii="Calibri"/>
                        <w:b/>
                        <w:color w:val="585858"/>
                        <w:w w:val="150"/>
                        <w:sz w:val="7"/>
                      </w:rPr>
                      <w:t>electricidad,</w:t>
                    </w:r>
                    <w:r>
                      <w:rPr>
                        <w:rFonts w:ascii="Calibri"/>
                        <w:b/>
                        <w:color w:val="585858"/>
                        <w:spacing w:val="-7"/>
                        <w:w w:val="150"/>
                        <w:sz w:val="7"/>
                      </w:rPr>
                      <w:t> </w:t>
                    </w:r>
                    <w:r>
                      <w:rPr>
                        <w:rFonts w:ascii="Calibri"/>
                        <w:b/>
                        <w:color w:val="585858"/>
                        <w:w w:val="150"/>
                        <w:sz w:val="7"/>
                      </w:rPr>
                      <w:t>gas,</w:t>
                    </w:r>
                    <w:r>
                      <w:rPr>
                        <w:rFonts w:ascii="Calibri"/>
                        <w:b/>
                        <w:color w:val="585858"/>
                        <w:spacing w:val="-8"/>
                        <w:w w:val="150"/>
                        <w:sz w:val="7"/>
                      </w:rPr>
                      <w:t> </w:t>
                    </w:r>
                    <w:r>
                      <w:rPr>
                        <w:rFonts w:ascii="Calibri"/>
                        <w:b/>
                        <w:color w:val="585858"/>
                        <w:w w:val="150"/>
                        <w:sz w:val="7"/>
                      </w:rPr>
                      <w:t>vapor</w:t>
                    </w:r>
                    <w:r>
                      <w:rPr>
                        <w:rFonts w:ascii="Calibri"/>
                        <w:b/>
                        <w:color w:val="585858"/>
                        <w:spacing w:val="-8"/>
                        <w:w w:val="150"/>
                        <w:sz w:val="7"/>
                      </w:rPr>
                      <w:t> </w:t>
                    </w:r>
                    <w:r>
                      <w:rPr>
                        <w:rFonts w:ascii="Calibri"/>
                        <w:b/>
                        <w:color w:val="585858"/>
                        <w:w w:val="150"/>
                        <w:sz w:val="7"/>
                      </w:rPr>
                      <w:t>y</w:t>
                    </w:r>
                    <w:r>
                      <w:rPr>
                        <w:rFonts w:ascii="Calibri"/>
                        <w:b/>
                        <w:color w:val="585858"/>
                        <w:spacing w:val="-7"/>
                        <w:w w:val="150"/>
                        <w:sz w:val="7"/>
                      </w:rPr>
                      <w:t> </w:t>
                    </w:r>
                    <w:r>
                      <w:rPr>
                        <w:rFonts w:ascii="Calibri"/>
                        <w:b/>
                        <w:color w:val="585858"/>
                        <w:w w:val="150"/>
                        <w:sz w:val="7"/>
                      </w:rPr>
                      <w:t>aire</w:t>
                    </w:r>
                    <w:r>
                      <w:rPr>
                        <w:rFonts w:ascii="Calibri"/>
                        <w:b/>
                        <w:color w:val="585858"/>
                        <w:spacing w:val="-7"/>
                        <w:w w:val="150"/>
                        <w:sz w:val="7"/>
                      </w:rPr>
                      <w:t> </w:t>
                    </w:r>
                    <w:r>
                      <w:rPr>
                        <w:rFonts w:ascii="Calibri"/>
                        <w:b/>
                        <w:color w:val="585858"/>
                        <w:w w:val="150"/>
                        <w:sz w:val="7"/>
                      </w:rPr>
                      <w:t>acondicionado</w:t>
                    </w:r>
                  </w:p>
                  <w:p>
                    <w:pPr>
                      <w:spacing w:line="319" w:lineRule="auto" w:before="29"/>
                      <w:ind w:left="1829" w:right="401" w:firstLine="266"/>
                      <w:jc w:val="right"/>
                      <w:rPr>
                        <w:rFonts w:ascii="Calibri" w:hAnsi="Calibri"/>
                        <w:b/>
                        <w:sz w:val="7"/>
                      </w:rPr>
                    </w:pPr>
                    <w:r>
                      <w:rPr>
                        <w:rFonts w:ascii="Calibri" w:hAnsi="Calibri"/>
                        <w:b/>
                        <w:color w:val="585858"/>
                        <w:w w:val="150"/>
                        <w:sz w:val="7"/>
                      </w:rPr>
                      <w:t>Actividades</w:t>
                    </w:r>
                    <w:r>
                      <w:rPr>
                        <w:rFonts w:ascii="Calibri" w:hAnsi="Calibri"/>
                        <w:b/>
                        <w:color w:val="585858"/>
                        <w:spacing w:val="-9"/>
                        <w:w w:val="150"/>
                        <w:sz w:val="7"/>
                      </w:rPr>
                      <w:t> </w:t>
                    </w:r>
                    <w:r>
                      <w:rPr>
                        <w:rFonts w:ascii="Calibri" w:hAnsi="Calibri"/>
                        <w:b/>
                        <w:color w:val="585858"/>
                        <w:w w:val="150"/>
                        <w:sz w:val="7"/>
                      </w:rPr>
                      <w:t>financieras</w:t>
                    </w:r>
                    <w:r>
                      <w:rPr>
                        <w:rFonts w:ascii="Calibri" w:hAnsi="Calibri"/>
                        <w:b/>
                        <w:color w:val="585858"/>
                        <w:spacing w:val="-8"/>
                        <w:w w:val="150"/>
                        <w:sz w:val="7"/>
                      </w:rPr>
                      <w:t> </w:t>
                    </w:r>
                    <w:r>
                      <w:rPr>
                        <w:rFonts w:ascii="Calibri" w:hAnsi="Calibri"/>
                        <w:b/>
                        <w:color w:val="585858"/>
                        <w:w w:val="150"/>
                        <w:sz w:val="7"/>
                      </w:rPr>
                      <w:t>y</w:t>
                    </w:r>
                    <w:r>
                      <w:rPr>
                        <w:rFonts w:ascii="Calibri" w:hAnsi="Calibri"/>
                        <w:b/>
                        <w:color w:val="585858"/>
                        <w:spacing w:val="-7"/>
                        <w:w w:val="150"/>
                        <w:sz w:val="7"/>
                      </w:rPr>
                      <w:t> </w:t>
                    </w:r>
                    <w:r>
                      <w:rPr>
                        <w:rFonts w:ascii="Calibri" w:hAnsi="Calibri"/>
                        <w:b/>
                        <w:color w:val="585858"/>
                        <w:w w:val="150"/>
                        <w:sz w:val="7"/>
                      </w:rPr>
                      <w:t>de</w:t>
                    </w:r>
                    <w:r>
                      <w:rPr>
                        <w:rFonts w:ascii="Calibri" w:hAnsi="Calibri"/>
                        <w:b/>
                        <w:color w:val="585858"/>
                        <w:spacing w:val="-8"/>
                        <w:w w:val="150"/>
                        <w:sz w:val="7"/>
                      </w:rPr>
                      <w:t> </w:t>
                    </w:r>
                    <w:r>
                      <w:rPr>
                        <w:rFonts w:ascii="Calibri" w:hAnsi="Calibri"/>
                        <w:b/>
                        <w:color w:val="585858"/>
                        <w:w w:val="150"/>
                        <w:sz w:val="7"/>
                      </w:rPr>
                      <w:t>seguros</w:t>
                    </w:r>
                    <w:r>
                      <w:rPr>
                        <w:rFonts w:ascii="Calibri" w:hAnsi="Calibri"/>
                        <w:b/>
                        <w:color w:val="585858"/>
                        <w:w w:val="148"/>
                        <w:sz w:val="7"/>
                      </w:rPr>
                      <w:t> </w:t>
                    </w:r>
                    <w:r>
                      <w:rPr>
                        <w:rFonts w:ascii="Calibri" w:hAnsi="Calibri"/>
                        <w:b/>
                        <w:color w:val="585858"/>
                        <w:w w:val="150"/>
                        <w:sz w:val="7"/>
                      </w:rPr>
                      <w:t>Agricultura,</w:t>
                    </w:r>
                    <w:r>
                      <w:rPr>
                        <w:rFonts w:ascii="Calibri" w:hAnsi="Calibri"/>
                        <w:b/>
                        <w:color w:val="585858"/>
                        <w:spacing w:val="-10"/>
                        <w:w w:val="150"/>
                        <w:sz w:val="7"/>
                      </w:rPr>
                      <w:t> </w:t>
                    </w:r>
                    <w:r>
                      <w:rPr>
                        <w:rFonts w:ascii="Calibri" w:hAnsi="Calibri"/>
                        <w:b/>
                        <w:color w:val="585858"/>
                        <w:w w:val="150"/>
                        <w:sz w:val="7"/>
                      </w:rPr>
                      <w:t>ganadería,</w:t>
                    </w:r>
                    <w:r>
                      <w:rPr>
                        <w:rFonts w:ascii="Calibri" w:hAnsi="Calibri"/>
                        <w:b/>
                        <w:color w:val="585858"/>
                        <w:spacing w:val="-9"/>
                        <w:w w:val="150"/>
                        <w:sz w:val="7"/>
                      </w:rPr>
                      <w:t> </w:t>
                    </w:r>
                    <w:r>
                      <w:rPr>
                        <w:rFonts w:ascii="Calibri" w:hAnsi="Calibri"/>
                        <w:b/>
                        <w:color w:val="585858"/>
                        <w:w w:val="150"/>
                        <w:sz w:val="7"/>
                      </w:rPr>
                      <w:t>silvicultura</w:t>
                    </w:r>
                    <w:r>
                      <w:rPr>
                        <w:rFonts w:ascii="Calibri" w:hAnsi="Calibri"/>
                        <w:b/>
                        <w:color w:val="585858"/>
                        <w:spacing w:val="-10"/>
                        <w:w w:val="150"/>
                        <w:sz w:val="7"/>
                      </w:rPr>
                      <w:t> </w:t>
                    </w:r>
                    <w:r>
                      <w:rPr>
                        <w:rFonts w:ascii="Calibri" w:hAnsi="Calibri"/>
                        <w:b/>
                        <w:color w:val="585858"/>
                        <w:w w:val="150"/>
                        <w:sz w:val="7"/>
                      </w:rPr>
                      <w:t>y</w:t>
                    </w:r>
                    <w:r>
                      <w:rPr>
                        <w:rFonts w:ascii="Calibri" w:hAnsi="Calibri"/>
                        <w:b/>
                        <w:color w:val="585858"/>
                        <w:spacing w:val="-9"/>
                        <w:w w:val="150"/>
                        <w:sz w:val="7"/>
                      </w:rPr>
                      <w:t> </w:t>
                    </w:r>
                    <w:r>
                      <w:rPr>
                        <w:rFonts w:ascii="Calibri" w:hAnsi="Calibri"/>
                        <w:b/>
                        <w:color w:val="585858"/>
                        <w:w w:val="150"/>
                        <w:sz w:val="7"/>
                      </w:rPr>
                      <w:t>pesca</w:t>
                    </w:r>
                  </w:p>
                  <w:p>
                    <w:pPr>
                      <w:spacing w:before="0"/>
                      <w:ind w:left="0" w:right="401" w:firstLine="0"/>
                      <w:jc w:val="right"/>
                      <w:rPr>
                        <w:rFonts w:ascii="Calibri"/>
                        <w:b/>
                        <w:sz w:val="7"/>
                      </w:rPr>
                    </w:pPr>
                    <w:r>
                      <w:rPr>
                        <w:rFonts w:ascii="Calibri"/>
                        <w:b/>
                        <w:color w:val="585858"/>
                        <w:w w:val="145"/>
                        <w:sz w:val="7"/>
                      </w:rPr>
                      <w:t>Actividades</w:t>
                    </w:r>
                    <w:r>
                      <w:rPr>
                        <w:rFonts w:ascii="Calibri"/>
                        <w:b/>
                        <w:color w:val="585858"/>
                        <w:spacing w:val="12"/>
                        <w:w w:val="145"/>
                        <w:sz w:val="7"/>
                      </w:rPr>
                      <w:t> </w:t>
                    </w:r>
                    <w:r>
                      <w:rPr>
                        <w:rFonts w:ascii="Calibri"/>
                        <w:b/>
                        <w:color w:val="585858"/>
                        <w:w w:val="145"/>
                        <w:sz w:val="7"/>
                      </w:rPr>
                      <w:t>inmobiliarias</w:t>
                    </w:r>
                  </w:p>
                  <w:p>
                    <w:pPr>
                      <w:spacing w:line="319" w:lineRule="auto" w:before="29"/>
                      <w:ind w:left="0" w:right="400" w:firstLine="3090"/>
                      <w:jc w:val="right"/>
                      <w:rPr>
                        <w:rFonts w:ascii="Calibri" w:hAnsi="Calibri"/>
                        <w:b/>
                        <w:sz w:val="7"/>
                      </w:rPr>
                    </w:pPr>
                    <w:r>
                      <w:rPr>
                        <w:rFonts w:ascii="Calibri" w:hAnsi="Calibri"/>
                        <w:b/>
                        <w:color w:val="585858"/>
                        <w:spacing w:val="-1"/>
                        <w:w w:val="150"/>
                        <w:sz w:val="7"/>
                      </w:rPr>
                      <w:t>Construcción</w:t>
                    </w:r>
                    <w:r>
                      <w:rPr>
                        <w:rFonts w:ascii="Calibri" w:hAnsi="Calibri"/>
                        <w:b/>
                        <w:color w:val="585858"/>
                        <w:w w:val="148"/>
                        <w:sz w:val="7"/>
                      </w:rPr>
                      <w:t> </w:t>
                    </w:r>
                    <w:r>
                      <w:rPr>
                        <w:rFonts w:ascii="Calibri" w:hAnsi="Calibri"/>
                        <w:b/>
                        <w:color w:val="585858"/>
                        <w:spacing w:val="-1"/>
                        <w:w w:val="148"/>
                        <w:sz w:val="7"/>
                      </w:rPr>
                      <w:t>                                                                                                            </w:t>
                    </w:r>
                    <w:r>
                      <w:rPr>
                        <w:rFonts w:ascii="Calibri" w:hAnsi="Calibri"/>
                        <w:b/>
                        <w:color w:val="585858"/>
                        <w:w w:val="150"/>
                        <w:sz w:val="7"/>
                      </w:rPr>
                      <w:t>Administración</w:t>
                    </w:r>
                    <w:r>
                      <w:rPr>
                        <w:rFonts w:ascii="Calibri" w:hAnsi="Calibri"/>
                        <w:b/>
                        <w:color w:val="585858"/>
                        <w:spacing w:val="-8"/>
                        <w:w w:val="150"/>
                        <w:sz w:val="7"/>
                      </w:rPr>
                      <w:t> </w:t>
                    </w:r>
                    <w:r>
                      <w:rPr>
                        <w:rFonts w:ascii="Calibri" w:hAnsi="Calibri"/>
                        <w:b/>
                        <w:color w:val="585858"/>
                        <w:w w:val="150"/>
                        <w:sz w:val="7"/>
                      </w:rPr>
                      <w:t>pública</w:t>
                    </w:r>
                    <w:r>
                      <w:rPr>
                        <w:rFonts w:ascii="Calibri" w:hAnsi="Calibri"/>
                        <w:b/>
                        <w:color w:val="585858"/>
                        <w:spacing w:val="-7"/>
                        <w:w w:val="150"/>
                        <w:sz w:val="7"/>
                      </w:rPr>
                      <w:t> </w:t>
                    </w:r>
                    <w:r>
                      <w:rPr>
                        <w:rFonts w:ascii="Calibri" w:hAnsi="Calibri"/>
                        <w:b/>
                        <w:color w:val="585858"/>
                        <w:w w:val="150"/>
                        <w:sz w:val="7"/>
                      </w:rPr>
                      <w:t>y</w:t>
                    </w:r>
                    <w:r>
                      <w:rPr>
                        <w:rFonts w:ascii="Calibri" w:hAnsi="Calibri"/>
                        <w:b/>
                        <w:color w:val="585858"/>
                        <w:spacing w:val="-9"/>
                        <w:w w:val="150"/>
                        <w:sz w:val="7"/>
                      </w:rPr>
                      <w:t> </w:t>
                    </w:r>
                    <w:r>
                      <w:rPr>
                        <w:rFonts w:ascii="Calibri" w:hAnsi="Calibri"/>
                        <w:b/>
                        <w:color w:val="585858"/>
                        <w:w w:val="150"/>
                        <w:sz w:val="7"/>
                      </w:rPr>
                      <w:t>defensa;</w:t>
                    </w:r>
                    <w:r>
                      <w:rPr>
                        <w:rFonts w:ascii="Calibri" w:hAnsi="Calibri"/>
                        <w:b/>
                        <w:color w:val="585858"/>
                        <w:spacing w:val="-6"/>
                        <w:w w:val="150"/>
                        <w:sz w:val="7"/>
                      </w:rPr>
                      <w:t> </w:t>
                    </w:r>
                    <w:r>
                      <w:rPr>
                        <w:rFonts w:ascii="Calibri" w:hAnsi="Calibri"/>
                        <w:b/>
                        <w:color w:val="585858"/>
                        <w:w w:val="150"/>
                        <w:sz w:val="7"/>
                      </w:rPr>
                      <w:t>planes</w:t>
                    </w:r>
                    <w:r>
                      <w:rPr>
                        <w:rFonts w:ascii="Calibri" w:hAnsi="Calibri"/>
                        <w:b/>
                        <w:color w:val="585858"/>
                        <w:spacing w:val="-8"/>
                        <w:w w:val="150"/>
                        <w:sz w:val="7"/>
                      </w:rPr>
                      <w:t> </w:t>
                    </w:r>
                    <w:r>
                      <w:rPr>
                        <w:rFonts w:ascii="Calibri" w:hAnsi="Calibri"/>
                        <w:b/>
                        <w:color w:val="585858"/>
                        <w:w w:val="150"/>
                        <w:sz w:val="7"/>
                      </w:rPr>
                      <w:t>de</w:t>
                    </w:r>
                    <w:r>
                      <w:rPr>
                        <w:rFonts w:ascii="Calibri" w:hAnsi="Calibri"/>
                        <w:b/>
                        <w:color w:val="585858"/>
                        <w:spacing w:val="-7"/>
                        <w:w w:val="150"/>
                        <w:sz w:val="7"/>
                      </w:rPr>
                      <w:t> </w:t>
                    </w:r>
                    <w:r>
                      <w:rPr>
                        <w:rFonts w:ascii="Calibri" w:hAnsi="Calibri"/>
                        <w:b/>
                        <w:color w:val="585858"/>
                        <w:w w:val="150"/>
                        <w:sz w:val="7"/>
                      </w:rPr>
                      <w:t>seguridad</w:t>
                    </w:r>
                    <w:r>
                      <w:rPr>
                        <w:rFonts w:ascii="Calibri" w:hAnsi="Calibri"/>
                        <w:b/>
                        <w:color w:val="585858"/>
                        <w:spacing w:val="-8"/>
                        <w:w w:val="150"/>
                        <w:sz w:val="7"/>
                      </w:rPr>
                      <w:t> </w:t>
                    </w:r>
                    <w:r>
                      <w:rPr>
                        <w:rFonts w:ascii="Calibri" w:hAnsi="Calibri"/>
                        <w:b/>
                        <w:color w:val="585858"/>
                        <w:w w:val="150"/>
                        <w:sz w:val="7"/>
                      </w:rPr>
                      <w:t>social</w:t>
                    </w:r>
                    <w:r>
                      <w:rPr>
                        <w:rFonts w:ascii="Calibri" w:hAnsi="Calibri"/>
                        <w:b/>
                        <w:color w:val="585858"/>
                        <w:spacing w:val="-7"/>
                        <w:w w:val="150"/>
                        <w:sz w:val="7"/>
                      </w:rPr>
                      <w:t> </w:t>
                    </w:r>
                    <w:r>
                      <w:rPr>
                        <w:rFonts w:ascii="Calibri" w:hAnsi="Calibri"/>
                        <w:b/>
                        <w:color w:val="585858"/>
                        <w:w w:val="150"/>
                        <w:sz w:val="7"/>
                      </w:rPr>
                      <w:t>de</w:t>
                    </w:r>
                    <w:r>
                      <w:rPr>
                        <w:rFonts w:ascii="Calibri" w:hAnsi="Calibri"/>
                        <w:b/>
                        <w:color w:val="585858"/>
                        <w:spacing w:val="-7"/>
                        <w:w w:val="150"/>
                        <w:sz w:val="7"/>
                      </w:rPr>
                      <w:t> </w:t>
                    </w:r>
                    <w:r>
                      <w:rPr>
                        <w:rFonts w:ascii="Calibri" w:hAnsi="Calibri"/>
                        <w:b/>
                        <w:color w:val="585858"/>
                        <w:w w:val="150"/>
                        <w:sz w:val="7"/>
                      </w:rPr>
                      <w:t>afiliación</w:t>
                    </w:r>
                    <w:r>
                      <w:rPr>
                        <w:rFonts w:ascii="Calibri" w:hAnsi="Calibri"/>
                        <w:b/>
                        <w:color w:val="585858"/>
                        <w:spacing w:val="-7"/>
                        <w:w w:val="150"/>
                        <w:sz w:val="7"/>
                      </w:rPr>
                      <w:t> </w:t>
                    </w:r>
                    <w:r>
                      <w:rPr>
                        <w:rFonts w:ascii="Calibri" w:hAnsi="Calibri"/>
                        <w:b/>
                        <w:color w:val="585858"/>
                        <w:w w:val="150"/>
                        <w:sz w:val="7"/>
                      </w:rPr>
                      <w:t>obligatoria</w:t>
                    </w:r>
                  </w:p>
                  <w:p>
                    <w:pPr>
                      <w:spacing w:line="319" w:lineRule="auto" w:before="0"/>
                      <w:ind w:left="2514" w:right="400" w:hanging="176"/>
                      <w:jc w:val="right"/>
                      <w:rPr>
                        <w:rFonts w:ascii="Calibri" w:hAnsi="Calibri"/>
                        <w:b/>
                        <w:sz w:val="7"/>
                      </w:rPr>
                    </w:pPr>
                    <w:r>
                      <w:rPr>
                        <w:rFonts w:ascii="Calibri" w:hAnsi="Calibri"/>
                        <w:b/>
                        <w:color w:val="585858"/>
                        <w:w w:val="150"/>
                        <w:sz w:val="7"/>
                      </w:rPr>
                      <w:t>Información</w:t>
                    </w:r>
                    <w:r>
                      <w:rPr>
                        <w:rFonts w:ascii="Calibri" w:hAnsi="Calibri"/>
                        <w:b/>
                        <w:color w:val="585858"/>
                        <w:spacing w:val="-15"/>
                        <w:w w:val="150"/>
                        <w:sz w:val="7"/>
                      </w:rPr>
                      <w:t> </w:t>
                    </w:r>
                    <w:r>
                      <w:rPr>
                        <w:rFonts w:ascii="Calibri" w:hAnsi="Calibri"/>
                        <w:b/>
                        <w:color w:val="585858"/>
                        <w:w w:val="150"/>
                        <w:sz w:val="7"/>
                      </w:rPr>
                      <w:t>y</w:t>
                    </w:r>
                    <w:r>
                      <w:rPr>
                        <w:rFonts w:ascii="Calibri" w:hAnsi="Calibri"/>
                        <w:b/>
                        <w:color w:val="585858"/>
                        <w:spacing w:val="-14"/>
                        <w:w w:val="150"/>
                        <w:sz w:val="7"/>
                      </w:rPr>
                      <w:t> </w:t>
                    </w:r>
                    <w:r>
                      <w:rPr>
                        <w:rFonts w:ascii="Calibri" w:hAnsi="Calibri"/>
                        <w:b/>
                        <w:color w:val="585858"/>
                        <w:w w:val="150"/>
                        <w:sz w:val="7"/>
                      </w:rPr>
                      <w:t>comunicaciones</w:t>
                    </w:r>
                    <w:r>
                      <w:rPr>
                        <w:rFonts w:ascii="Calibri" w:hAnsi="Calibri"/>
                        <w:b/>
                        <w:color w:val="585858"/>
                        <w:w w:val="148"/>
                        <w:sz w:val="7"/>
                      </w:rPr>
                      <w:t> </w:t>
                    </w:r>
                    <w:r>
                      <w:rPr>
                        <w:rFonts w:ascii="Calibri" w:hAnsi="Calibri"/>
                        <w:b/>
                        <w:color w:val="585858"/>
                        <w:w w:val="145"/>
                        <w:sz w:val="7"/>
                      </w:rPr>
                      <w:t>Industrias</w:t>
                    </w:r>
                    <w:r>
                      <w:rPr>
                        <w:rFonts w:ascii="Calibri" w:hAnsi="Calibri"/>
                        <w:b/>
                        <w:color w:val="585858"/>
                        <w:spacing w:val="16"/>
                        <w:w w:val="145"/>
                        <w:sz w:val="7"/>
                      </w:rPr>
                      <w:t> </w:t>
                    </w:r>
                    <w:r>
                      <w:rPr>
                        <w:rFonts w:ascii="Calibri" w:hAnsi="Calibri"/>
                        <w:b/>
                        <w:color w:val="585858"/>
                        <w:w w:val="145"/>
                        <w:sz w:val="7"/>
                      </w:rPr>
                      <w:t>manufactureras</w:t>
                    </w:r>
                  </w:p>
                  <w:p>
                    <w:pPr>
                      <w:spacing w:line="319" w:lineRule="auto" w:before="0"/>
                      <w:ind w:left="2269" w:right="400" w:firstLine="926"/>
                      <w:jc w:val="right"/>
                      <w:rPr>
                        <w:rFonts w:ascii="Calibri" w:hAnsi="Calibri"/>
                        <w:b/>
                        <w:sz w:val="7"/>
                      </w:rPr>
                    </w:pPr>
                    <w:r>
                      <w:rPr>
                        <w:rFonts w:ascii="Calibri" w:hAnsi="Calibri"/>
                        <w:b/>
                        <w:color w:val="585858"/>
                        <w:spacing w:val="-1"/>
                        <w:w w:val="145"/>
                        <w:sz w:val="7"/>
                      </w:rPr>
                      <w:t>Enseñanza </w:t>
                    </w:r>
                    <w:r>
                      <w:rPr>
                        <w:rFonts w:ascii="Calibri" w:hAnsi="Calibri"/>
                        <w:b/>
                        <w:color w:val="585858"/>
                        <w:w w:val="150"/>
                        <w:sz w:val="7"/>
                      </w:rPr>
                      <w:t>Otras actividades</w:t>
                    </w:r>
                    <w:r>
                      <w:rPr>
                        <w:rFonts w:ascii="Calibri" w:hAnsi="Calibri"/>
                        <w:b/>
                        <w:color w:val="585858"/>
                        <w:spacing w:val="-17"/>
                        <w:w w:val="150"/>
                        <w:sz w:val="7"/>
                      </w:rPr>
                      <w:t> </w:t>
                    </w:r>
                    <w:r>
                      <w:rPr>
                        <w:rFonts w:ascii="Calibri" w:hAnsi="Calibri"/>
                        <w:b/>
                        <w:color w:val="585858"/>
                        <w:w w:val="150"/>
                        <w:sz w:val="7"/>
                      </w:rPr>
                      <w:t>de</w:t>
                    </w:r>
                    <w:r>
                      <w:rPr>
                        <w:rFonts w:ascii="Calibri" w:hAnsi="Calibri"/>
                        <w:b/>
                        <w:color w:val="585858"/>
                        <w:spacing w:val="-9"/>
                        <w:w w:val="150"/>
                        <w:sz w:val="7"/>
                      </w:rPr>
                      <w:t> </w:t>
                    </w:r>
                    <w:r>
                      <w:rPr>
                        <w:rFonts w:ascii="Calibri" w:hAnsi="Calibri"/>
                        <w:b/>
                        <w:color w:val="585858"/>
                        <w:w w:val="150"/>
                        <w:sz w:val="7"/>
                      </w:rPr>
                      <w:t>servicios</w:t>
                    </w:r>
                    <w:r>
                      <w:rPr>
                        <w:rFonts w:ascii="Calibri" w:hAnsi="Calibri"/>
                        <w:b/>
                        <w:color w:val="585858"/>
                        <w:w w:val="148"/>
                        <w:sz w:val="7"/>
                      </w:rPr>
                      <w:t> </w:t>
                    </w:r>
                    <w:r>
                      <w:rPr>
                        <w:rFonts w:ascii="Calibri" w:hAnsi="Calibri"/>
                        <w:b/>
                        <w:color w:val="585858"/>
                        <w:w w:val="150"/>
                        <w:sz w:val="7"/>
                      </w:rPr>
                      <w:t>Explotación</w:t>
                    </w:r>
                    <w:r>
                      <w:rPr>
                        <w:rFonts w:ascii="Calibri" w:hAnsi="Calibri"/>
                        <w:b/>
                        <w:color w:val="585858"/>
                        <w:spacing w:val="-7"/>
                        <w:w w:val="150"/>
                        <w:sz w:val="7"/>
                      </w:rPr>
                      <w:t> </w:t>
                    </w:r>
                    <w:r>
                      <w:rPr>
                        <w:rFonts w:ascii="Calibri" w:hAnsi="Calibri"/>
                        <w:b/>
                        <w:color w:val="585858"/>
                        <w:w w:val="150"/>
                        <w:sz w:val="7"/>
                      </w:rPr>
                      <w:t>de</w:t>
                    </w:r>
                    <w:r>
                      <w:rPr>
                        <w:rFonts w:ascii="Calibri" w:hAnsi="Calibri"/>
                        <w:b/>
                        <w:color w:val="585858"/>
                        <w:spacing w:val="-7"/>
                        <w:w w:val="150"/>
                        <w:sz w:val="7"/>
                      </w:rPr>
                      <w:t> </w:t>
                    </w:r>
                    <w:r>
                      <w:rPr>
                        <w:rFonts w:ascii="Calibri" w:hAnsi="Calibri"/>
                        <w:b/>
                        <w:color w:val="585858"/>
                        <w:w w:val="150"/>
                        <w:sz w:val="7"/>
                      </w:rPr>
                      <w:t>minas</w:t>
                    </w:r>
                    <w:r>
                      <w:rPr>
                        <w:rFonts w:ascii="Calibri" w:hAnsi="Calibri"/>
                        <w:b/>
                        <w:color w:val="585858"/>
                        <w:spacing w:val="-7"/>
                        <w:w w:val="150"/>
                        <w:sz w:val="7"/>
                      </w:rPr>
                      <w:t> </w:t>
                    </w:r>
                    <w:r>
                      <w:rPr>
                        <w:rFonts w:ascii="Calibri" w:hAnsi="Calibri"/>
                        <w:b/>
                        <w:color w:val="585858"/>
                        <w:w w:val="150"/>
                        <w:sz w:val="7"/>
                      </w:rPr>
                      <w:t>y</w:t>
                    </w:r>
                    <w:r>
                      <w:rPr>
                        <w:rFonts w:ascii="Calibri" w:hAnsi="Calibri"/>
                        <w:b/>
                        <w:color w:val="585858"/>
                        <w:spacing w:val="-7"/>
                        <w:w w:val="150"/>
                        <w:sz w:val="7"/>
                      </w:rPr>
                      <w:t> </w:t>
                    </w:r>
                    <w:r>
                      <w:rPr>
                        <w:rFonts w:ascii="Calibri" w:hAnsi="Calibri"/>
                        <w:b/>
                        <w:color w:val="585858"/>
                        <w:w w:val="150"/>
                        <w:sz w:val="7"/>
                      </w:rPr>
                      <w:t>canteras</w:t>
                    </w:r>
                  </w:p>
                  <w:p>
                    <w:pPr>
                      <w:spacing w:before="1"/>
                      <w:ind w:left="0" w:right="329" w:firstLine="0"/>
                      <w:jc w:val="right"/>
                      <w:rPr>
                        <w:rFonts w:ascii="Calibri" w:hAnsi="Calibri"/>
                        <w:b/>
                        <w:sz w:val="7"/>
                      </w:rPr>
                    </w:pPr>
                    <w:r>
                      <w:rPr>
                        <w:rFonts w:ascii="Calibri" w:hAnsi="Calibri"/>
                        <w:b/>
                        <w:color w:val="585858"/>
                        <w:w w:val="150"/>
                        <w:sz w:val="7"/>
                      </w:rPr>
                      <w:t>Actividades</w:t>
                    </w:r>
                    <w:r>
                      <w:rPr>
                        <w:rFonts w:ascii="Calibri" w:hAnsi="Calibri"/>
                        <w:b/>
                        <w:color w:val="585858"/>
                        <w:spacing w:val="-7"/>
                        <w:w w:val="150"/>
                        <w:sz w:val="7"/>
                      </w:rPr>
                      <w:t> </w:t>
                    </w:r>
                    <w:r>
                      <w:rPr>
                        <w:rFonts w:ascii="Calibri" w:hAnsi="Calibri"/>
                        <w:b/>
                        <w:color w:val="585858"/>
                        <w:w w:val="150"/>
                        <w:sz w:val="7"/>
                      </w:rPr>
                      <w:t>de</w:t>
                    </w:r>
                    <w:r>
                      <w:rPr>
                        <w:rFonts w:ascii="Calibri" w:hAnsi="Calibri"/>
                        <w:b/>
                        <w:color w:val="585858"/>
                        <w:spacing w:val="-8"/>
                        <w:w w:val="150"/>
                        <w:sz w:val="7"/>
                      </w:rPr>
                      <w:t> </w:t>
                    </w:r>
                    <w:r>
                      <w:rPr>
                        <w:rFonts w:ascii="Calibri" w:hAnsi="Calibri"/>
                        <w:b/>
                        <w:color w:val="585858"/>
                        <w:w w:val="150"/>
                        <w:sz w:val="7"/>
                      </w:rPr>
                      <w:t>los</w:t>
                    </w:r>
                    <w:r>
                      <w:rPr>
                        <w:rFonts w:ascii="Calibri" w:hAnsi="Calibri"/>
                        <w:b/>
                        <w:color w:val="585858"/>
                        <w:spacing w:val="-7"/>
                        <w:w w:val="150"/>
                        <w:sz w:val="7"/>
                      </w:rPr>
                      <w:t> </w:t>
                    </w:r>
                    <w:r>
                      <w:rPr>
                        <w:rFonts w:ascii="Calibri" w:hAnsi="Calibri"/>
                        <w:b/>
                        <w:color w:val="585858"/>
                        <w:w w:val="150"/>
                        <w:sz w:val="7"/>
                      </w:rPr>
                      <w:t>hogares</w:t>
                    </w:r>
                    <w:r>
                      <w:rPr>
                        <w:rFonts w:ascii="Calibri" w:hAnsi="Calibri"/>
                        <w:b/>
                        <w:color w:val="585858"/>
                        <w:spacing w:val="-8"/>
                        <w:w w:val="150"/>
                        <w:sz w:val="7"/>
                      </w:rPr>
                      <w:t> </w:t>
                    </w:r>
                    <w:r>
                      <w:rPr>
                        <w:rFonts w:ascii="Calibri" w:hAnsi="Calibri"/>
                        <w:b/>
                        <w:color w:val="585858"/>
                        <w:w w:val="150"/>
                        <w:sz w:val="7"/>
                      </w:rPr>
                      <w:t>como</w:t>
                    </w:r>
                    <w:r>
                      <w:rPr>
                        <w:rFonts w:ascii="Calibri" w:hAnsi="Calibri"/>
                        <w:b/>
                        <w:color w:val="585858"/>
                        <w:spacing w:val="-6"/>
                        <w:w w:val="150"/>
                        <w:sz w:val="7"/>
                      </w:rPr>
                      <w:t> </w:t>
                    </w:r>
                    <w:r>
                      <w:rPr>
                        <w:rFonts w:ascii="Calibri" w:hAnsi="Calibri"/>
                        <w:b/>
                        <w:color w:val="585858"/>
                        <w:w w:val="150"/>
                        <w:sz w:val="7"/>
                      </w:rPr>
                      <w:t>empleadores;</w:t>
                    </w:r>
                    <w:r>
                      <w:rPr>
                        <w:rFonts w:ascii="Calibri" w:hAnsi="Calibri"/>
                        <w:b/>
                        <w:color w:val="585858"/>
                        <w:spacing w:val="-8"/>
                        <w:w w:val="150"/>
                        <w:sz w:val="7"/>
                      </w:rPr>
                      <w:t> </w:t>
                    </w:r>
                    <w:r>
                      <w:rPr>
                        <w:rFonts w:ascii="Calibri" w:hAnsi="Calibri"/>
                        <w:b/>
                        <w:color w:val="585858"/>
                        <w:w w:val="150"/>
                        <w:sz w:val="7"/>
                      </w:rPr>
                      <w:t>actividades</w:t>
                    </w:r>
                    <w:r>
                      <w:rPr>
                        <w:rFonts w:ascii="Calibri" w:hAnsi="Calibri"/>
                        <w:b/>
                        <w:color w:val="585858"/>
                        <w:spacing w:val="-7"/>
                        <w:w w:val="150"/>
                        <w:sz w:val="7"/>
                      </w:rPr>
                      <w:t> </w:t>
                    </w:r>
                    <w:r>
                      <w:rPr>
                        <w:rFonts w:ascii="Calibri" w:hAnsi="Calibri"/>
                        <w:b/>
                        <w:color w:val="585858"/>
                        <w:w w:val="150"/>
                        <w:sz w:val="7"/>
                      </w:rPr>
                      <w:t>no</w:t>
                    </w:r>
                    <w:r>
                      <w:rPr>
                        <w:rFonts w:ascii="Calibri" w:hAnsi="Calibri"/>
                        <w:b/>
                        <w:color w:val="585858"/>
                        <w:spacing w:val="-6"/>
                        <w:w w:val="150"/>
                        <w:sz w:val="7"/>
                      </w:rPr>
                      <w:t> </w:t>
                    </w:r>
                    <w:r>
                      <w:rPr>
                        <w:rFonts w:ascii="Calibri" w:hAnsi="Calibri"/>
                        <w:b/>
                        <w:color w:val="585858"/>
                        <w:w w:val="150"/>
                        <w:sz w:val="7"/>
                      </w:rPr>
                      <w:t>diferenciadas</w:t>
                    </w:r>
                    <w:r>
                      <w:rPr>
                        <w:rFonts w:ascii="Calibri" w:hAnsi="Calibri"/>
                        <w:b/>
                        <w:color w:val="585858"/>
                        <w:spacing w:val="-8"/>
                        <w:w w:val="150"/>
                        <w:sz w:val="7"/>
                      </w:rPr>
                      <w:t> </w:t>
                    </w:r>
                    <w:r>
                      <w:rPr>
                        <w:rFonts w:ascii="Calibri" w:hAnsi="Calibri"/>
                        <w:b/>
                        <w:color w:val="585858"/>
                        <w:w w:val="150"/>
                        <w:sz w:val="7"/>
                      </w:rPr>
                      <w:t>de</w:t>
                    </w:r>
                    <w:r>
                      <w:rPr>
                        <w:rFonts w:ascii="Calibri" w:hAnsi="Calibri"/>
                        <w:b/>
                        <w:color w:val="585858"/>
                        <w:spacing w:val="-7"/>
                        <w:w w:val="150"/>
                        <w:sz w:val="7"/>
                      </w:rPr>
                      <w:t> </w:t>
                    </w:r>
                    <w:r>
                      <w:rPr>
                        <w:rFonts w:ascii="Calibri" w:hAnsi="Calibri"/>
                        <w:b/>
                        <w:color w:val="585858"/>
                        <w:w w:val="150"/>
                        <w:sz w:val="7"/>
                      </w:rPr>
                      <w:t>los…</w:t>
                    </w:r>
                  </w:p>
                  <w:p>
                    <w:pPr>
                      <w:spacing w:line="319" w:lineRule="auto" w:before="29"/>
                      <w:ind w:left="427" w:right="0" w:firstLine="1189"/>
                      <w:jc w:val="left"/>
                      <w:rPr>
                        <w:rFonts w:ascii="Calibri" w:hAnsi="Calibri"/>
                        <w:b/>
                        <w:sz w:val="7"/>
                      </w:rPr>
                    </w:pPr>
                    <w:r>
                      <w:rPr>
                        <w:rFonts w:ascii="Calibri" w:hAnsi="Calibri"/>
                        <w:b/>
                        <w:color w:val="585858"/>
                        <w:w w:val="150"/>
                        <w:sz w:val="7"/>
                      </w:rPr>
                      <w:t>Actividades profesionales, científicas y técnicas Suministro</w:t>
                    </w:r>
                    <w:r>
                      <w:rPr>
                        <w:rFonts w:ascii="Calibri" w:hAnsi="Calibri"/>
                        <w:b/>
                        <w:color w:val="585858"/>
                        <w:spacing w:val="-6"/>
                        <w:w w:val="150"/>
                        <w:sz w:val="7"/>
                      </w:rPr>
                      <w:t> </w:t>
                    </w:r>
                    <w:r>
                      <w:rPr>
                        <w:rFonts w:ascii="Calibri" w:hAnsi="Calibri"/>
                        <w:b/>
                        <w:color w:val="585858"/>
                        <w:w w:val="150"/>
                        <w:sz w:val="7"/>
                      </w:rPr>
                      <w:t>de</w:t>
                    </w:r>
                    <w:r>
                      <w:rPr>
                        <w:rFonts w:ascii="Calibri" w:hAnsi="Calibri"/>
                        <w:b/>
                        <w:color w:val="585858"/>
                        <w:spacing w:val="-6"/>
                        <w:w w:val="150"/>
                        <w:sz w:val="7"/>
                      </w:rPr>
                      <w:t> </w:t>
                    </w:r>
                    <w:r>
                      <w:rPr>
                        <w:rFonts w:ascii="Calibri" w:hAnsi="Calibri"/>
                        <w:b/>
                        <w:color w:val="585858"/>
                        <w:w w:val="150"/>
                        <w:sz w:val="7"/>
                      </w:rPr>
                      <w:t>agua;</w:t>
                    </w:r>
                    <w:r>
                      <w:rPr>
                        <w:rFonts w:ascii="Calibri" w:hAnsi="Calibri"/>
                        <w:b/>
                        <w:color w:val="585858"/>
                        <w:spacing w:val="-7"/>
                        <w:w w:val="150"/>
                        <w:sz w:val="7"/>
                      </w:rPr>
                      <w:t> </w:t>
                    </w:r>
                    <w:r>
                      <w:rPr>
                        <w:rFonts w:ascii="Calibri" w:hAnsi="Calibri"/>
                        <w:b/>
                        <w:color w:val="585858"/>
                        <w:w w:val="150"/>
                        <w:sz w:val="7"/>
                      </w:rPr>
                      <w:t>evacuación</w:t>
                    </w:r>
                    <w:r>
                      <w:rPr>
                        <w:rFonts w:ascii="Calibri" w:hAnsi="Calibri"/>
                        <w:b/>
                        <w:color w:val="585858"/>
                        <w:spacing w:val="-6"/>
                        <w:w w:val="150"/>
                        <w:sz w:val="7"/>
                      </w:rPr>
                      <w:t> </w:t>
                    </w:r>
                    <w:r>
                      <w:rPr>
                        <w:rFonts w:ascii="Calibri" w:hAnsi="Calibri"/>
                        <w:b/>
                        <w:color w:val="585858"/>
                        <w:w w:val="150"/>
                        <w:sz w:val="7"/>
                      </w:rPr>
                      <w:t>de</w:t>
                    </w:r>
                    <w:r>
                      <w:rPr>
                        <w:rFonts w:ascii="Calibri" w:hAnsi="Calibri"/>
                        <w:b/>
                        <w:color w:val="585858"/>
                        <w:spacing w:val="-7"/>
                        <w:w w:val="150"/>
                        <w:sz w:val="7"/>
                      </w:rPr>
                      <w:t> </w:t>
                    </w:r>
                    <w:r>
                      <w:rPr>
                        <w:rFonts w:ascii="Calibri" w:hAnsi="Calibri"/>
                        <w:b/>
                        <w:color w:val="585858"/>
                        <w:w w:val="150"/>
                        <w:sz w:val="7"/>
                      </w:rPr>
                      <w:t>aguas</w:t>
                    </w:r>
                    <w:r>
                      <w:rPr>
                        <w:rFonts w:ascii="Calibri" w:hAnsi="Calibri"/>
                        <w:b/>
                        <w:color w:val="585858"/>
                        <w:spacing w:val="-6"/>
                        <w:w w:val="150"/>
                        <w:sz w:val="7"/>
                      </w:rPr>
                      <w:t> </w:t>
                    </w:r>
                    <w:r>
                      <w:rPr>
                        <w:rFonts w:ascii="Calibri" w:hAnsi="Calibri"/>
                        <w:b/>
                        <w:color w:val="585858"/>
                        <w:w w:val="150"/>
                        <w:sz w:val="7"/>
                      </w:rPr>
                      <w:t>residuales,</w:t>
                    </w:r>
                    <w:r>
                      <w:rPr>
                        <w:rFonts w:ascii="Calibri" w:hAnsi="Calibri"/>
                        <w:b/>
                        <w:color w:val="585858"/>
                        <w:spacing w:val="-6"/>
                        <w:w w:val="150"/>
                        <w:sz w:val="7"/>
                      </w:rPr>
                      <w:t> </w:t>
                    </w:r>
                    <w:r>
                      <w:rPr>
                        <w:rFonts w:ascii="Calibri" w:hAnsi="Calibri"/>
                        <w:b/>
                        <w:color w:val="585858"/>
                        <w:w w:val="150"/>
                        <w:sz w:val="7"/>
                      </w:rPr>
                      <w:t>gestión</w:t>
                    </w:r>
                    <w:r>
                      <w:rPr>
                        <w:rFonts w:ascii="Calibri" w:hAnsi="Calibri"/>
                        <w:b/>
                        <w:color w:val="585858"/>
                        <w:spacing w:val="-7"/>
                        <w:w w:val="150"/>
                        <w:sz w:val="7"/>
                      </w:rPr>
                      <w:t> </w:t>
                    </w:r>
                    <w:r>
                      <w:rPr>
                        <w:rFonts w:ascii="Calibri" w:hAnsi="Calibri"/>
                        <w:b/>
                        <w:color w:val="585858"/>
                        <w:w w:val="150"/>
                        <w:sz w:val="7"/>
                      </w:rPr>
                      <w:t>de</w:t>
                    </w:r>
                    <w:r>
                      <w:rPr>
                        <w:rFonts w:ascii="Calibri" w:hAnsi="Calibri"/>
                        <w:b/>
                        <w:color w:val="585858"/>
                        <w:spacing w:val="-5"/>
                        <w:w w:val="150"/>
                        <w:sz w:val="7"/>
                      </w:rPr>
                      <w:t> </w:t>
                    </w:r>
                    <w:r>
                      <w:rPr>
                        <w:rFonts w:ascii="Calibri" w:hAnsi="Calibri"/>
                        <w:b/>
                        <w:color w:val="585858"/>
                        <w:w w:val="150"/>
                        <w:sz w:val="7"/>
                      </w:rPr>
                      <w:t>desechos</w:t>
                    </w:r>
                    <w:r>
                      <w:rPr>
                        <w:rFonts w:ascii="Calibri" w:hAnsi="Calibri"/>
                        <w:b/>
                        <w:color w:val="585858"/>
                        <w:spacing w:val="-7"/>
                        <w:w w:val="150"/>
                        <w:sz w:val="7"/>
                      </w:rPr>
                      <w:t> </w:t>
                    </w:r>
                    <w:r>
                      <w:rPr>
                        <w:rFonts w:ascii="Calibri" w:hAnsi="Calibri"/>
                        <w:b/>
                        <w:color w:val="585858"/>
                        <w:w w:val="150"/>
                        <w:sz w:val="7"/>
                      </w:rPr>
                      <w:t>y…</w:t>
                    </w:r>
                  </w:p>
                  <w:p>
                    <w:pPr>
                      <w:spacing w:before="4"/>
                      <w:ind w:left="1152" w:right="0" w:firstLine="0"/>
                      <w:jc w:val="left"/>
                      <w:rPr>
                        <w:rFonts w:ascii="Calibri" w:hAnsi="Calibri"/>
                        <w:b/>
                        <w:sz w:val="7"/>
                      </w:rPr>
                    </w:pPr>
                    <w:r>
                      <w:rPr>
                        <w:rFonts w:ascii="Calibri" w:hAnsi="Calibri"/>
                        <w:b/>
                        <w:color w:val="585858"/>
                        <w:w w:val="150"/>
                        <w:sz w:val="7"/>
                      </w:rPr>
                      <w:t>Actividades de organizaciones y órganos extraterritoriales </w:t>
                    </w:r>
                    <w:r>
                      <w:rPr>
                        <w:rFonts w:ascii="Calibri" w:hAnsi="Calibri"/>
                        <w:b/>
                        <w:color w:val="FF0000"/>
                        <w:w w:val="150"/>
                        <w:sz w:val="7"/>
                      </w:rPr>
                      <w:t>-32.3</w:t>
                    </w:r>
                  </w:p>
                  <w:p>
                    <w:pPr>
                      <w:spacing w:line="240" w:lineRule="auto" w:before="8"/>
                      <w:rPr>
                        <w:rFonts w:ascii="Calibri"/>
                        <w:b/>
                        <w:sz w:val="4"/>
                      </w:rPr>
                    </w:pPr>
                  </w:p>
                  <w:p>
                    <w:pPr>
                      <w:spacing w:line="84" w:lineRule="exact" w:before="0"/>
                      <w:ind w:left="0" w:right="235" w:firstLine="0"/>
                      <w:jc w:val="right"/>
                      <w:rPr>
                        <w:rFonts w:ascii="Calibri"/>
                        <w:sz w:val="7"/>
                      </w:rPr>
                    </w:pPr>
                    <w:r>
                      <w:rPr>
                        <w:rFonts w:ascii="Calibri"/>
                        <w:color w:val="585858"/>
                        <w:w w:val="145"/>
                        <w:sz w:val="7"/>
                      </w:rPr>
                      <w:t>-40</w:t>
                    </w:r>
                  </w:p>
                </w:txbxContent>
              </v:textbox>
              <w10:wrap type="none"/>
            </v:shape>
            <w10:wrap type="topAndBottom"/>
          </v:group>
        </w:pict>
      </w:r>
      <w:r>
        <w:rPr/>
        <w:t>De manera acumulada estos dos impuestos superaron por Q1,515.2 millones la meta, determinada principalmente por el ISR que contribuyó de manera positiva con Q1,432.0 millones. Aspectos relevantes</w:t>
      </w:r>
      <w:r>
        <w:rPr>
          <w:spacing w:val="-6"/>
        </w:rPr>
        <w:t> </w:t>
      </w:r>
      <w:r>
        <w:rPr/>
        <w:t>que</w:t>
      </w:r>
      <w:r>
        <w:rPr>
          <w:spacing w:val="-6"/>
        </w:rPr>
        <w:t> </w:t>
      </w:r>
      <w:r>
        <w:rPr/>
        <w:t>contribuyeron</w:t>
      </w:r>
      <w:r>
        <w:rPr>
          <w:spacing w:val="-5"/>
        </w:rPr>
        <w:t> </w:t>
      </w:r>
      <w:r>
        <w:rPr/>
        <w:t>con</w:t>
      </w:r>
      <w:r>
        <w:rPr>
          <w:spacing w:val="-6"/>
        </w:rPr>
        <w:t> </w:t>
      </w:r>
      <w:r>
        <w:rPr/>
        <w:t>el</w:t>
      </w:r>
      <w:r>
        <w:rPr>
          <w:spacing w:val="-5"/>
        </w:rPr>
        <w:t> </w:t>
      </w:r>
      <w:r>
        <w:rPr/>
        <w:t>desempeño</w:t>
      </w:r>
      <w:r>
        <w:rPr>
          <w:spacing w:val="-7"/>
        </w:rPr>
        <w:t> </w:t>
      </w:r>
      <w:r>
        <w:rPr/>
        <w:t>del</w:t>
      </w:r>
      <w:r>
        <w:rPr>
          <w:spacing w:val="-5"/>
        </w:rPr>
        <w:t> </w:t>
      </w:r>
      <w:r>
        <w:rPr/>
        <w:t>ISR</w:t>
      </w:r>
      <w:r>
        <w:rPr>
          <w:spacing w:val="-8"/>
        </w:rPr>
        <w:t> </w:t>
      </w:r>
      <w:r>
        <w:rPr/>
        <w:t>son</w:t>
      </w:r>
      <w:r>
        <w:rPr>
          <w:spacing w:val="-6"/>
        </w:rPr>
        <w:t> </w:t>
      </w:r>
      <w:r>
        <w:rPr/>
        <w:t>las</w:t>
      </w:r>
      <w:r>
        <w:rPr>
          <w:spacing w:val="-5"/>
        </w:rPr>
        <w:t> </w:t>
      </w:r>
      <w:r>
        <w:rPr/>
        <w:t>medidas</w:t>
      </w:r>
      <w:r>
        <w:rPr>
          <w:spacing w:val="-7"/>
        </w:rPr>
        <w:t> </w:t>
      </w:r>
      <w:r>
        <w:rPr/>
        <w:t>que</w:t>
      </w:r>
      <w:r>
        <w:rPr>
          <w:spacing w:val="-6"/>
        </w:rPr>
        <w:t> </w:t>
      </w:r>
      <w:r>
        <w:rPr/>
        <w:t>ha</w:t>
      </w:r>
      <w:r>
        <w:rPr>
          <w:spacing w:val="-6"/>
        </w:rPr>
        <w:t> </w:t>
      </w:r>
      <w:r>
        <w:rPr/>
        <w:t>venido</w:t>
      </w:r>
      <w:r>
        <w:rPr>
          <w:spacing w:val="-6"/>
        </w:rPr>
        <w:t> </w:t>
      </w:r>
      <w:r>
        <w:rPr/>
        <w:t>desarrollando la</w:t>
      </w:r>
      <w:r>
        <w:rPr>
          <w:spacing w:val="-8"/>
        </w:rPr>
        <w:t> </w:t>
      </w:r>
      <w:r>
        <w:rPr/>
        <w:t>SAT</w:t>
      </w:r>
      <w:r>
        <w:rPr>
          <w:spacing w:val="-8"/>
        </w:rPr>
        <w:t> </w:t>
      </w:r>
      <w:r>
        <w:rPr/>
        <w:t>mediante</w:t>
      </w:r>
      <w:r>
        <w:rPr>
          <w:spacing w:val="-9"/>
        </w:rPr>
        <w:t> </w:t>
      </w:r>
      <w:r>
        <w:rPr/>
        <w:t>fiscalización</w:t>
      </w:r>
      <w:r>
        <w:rPr>
          <w:spacing w:val="-7"/>
        </w:rPr>
        <w:t> </w:t>
      </w:r>
      <w:r>
        <w:rPr/>
        <w:t>por</w:t>
      </w:r>
      <w:r>
        <w:rPr>
          <w:spacing w:val="-7"/>
        </w:rPr>
        <w:t> </w:t>
      </w:r>
      <w:r>
        <w:rPr/>
        <w:t>sector</w:t>
      </w:r>
      <w:r>
        <w:rPr>
          <w:spacing w:val="-9"/>
        </w:rPr>
        <w:t> </w:t>
      </w:r>
      <w:r>
        <w:rPr/>
        <w:t>económico</w:t>
      </w:r>
      <w:r>
        <w:rPr>
          <w:spacing w:val="-7"/>
        </w:rPr>
        <w:t> </w:t>
      </w:r>
      <w:r>
        <w:rPr/>
        <w:t>y</w:t>
      </w:r>
      <w:r>
        <w:rPr>
          <w:spacing w:val="-10"/>
        </w:rPr>
        <w:t> </w:t>
      </w:r>
      <w:r>
        <w:rPr/>
        <w:t>la</w:t>
      </w:r>
      <w:r>
        <w:rPr>
          <w:spacing w:val="-8"/>
        </w:rPr>
        <w:t> </w:t>
      </w:r>
      <w:r>
        <w:rPr/>
        <w:t>inclusión</w:t>
      </w:r>
      <w:r>
        <w:rPr>
          <w:spacing w:val="-4"/>
        </w:rPr>
        <w:t> </w:t>
      </w:r>
      <w:r>
        <w:rPr/>
        <w:t>de</w:t>
      </w:r>
      <w:r>
        <w:rPr>
          <w:spacing w:val="-7"/>
        </w:rPr>
        <w:t> </w:t>
      </w:r>
      <w:r>
        <w:rPr/>
        <w:t>nuevos</w:t>
      </w:r>
      <w:r>
        <w:rPr>
          <w:spacing w:val="-7"/>
        </w:rPr>
        <w:t> </w:t>
      </w:r>
      <w:r>
        <w:rPr/>
        <w:t>anexos</w:t>
      </w:r>
      <w:r>
        <w:rPr>
          <w:spacing w:val="-6"/>
        </w:rPr>
        <w:t> </w:t>
      </w:r>
      <w:r>
        <w:rPr/>
        <w:t>al</w:t>
      </w:r>
      <w:r>
        <w:rPr>
          <w:spacing w:val="-9"/>
        </w:rPr>
        <w:t> </w:t>
      </w:r>
      <w:r>
        <w:rPr/>
        <w:t>formulario</w:t>
      </w:r>
      <w:r>
        <w:rPr>
          <w:spacing w:val="-10"/>
        </w:rPr>
        <w:t> </w:t>
      </w:r>
      <w:r>
        <w:rPr/>
        <w:t>de declaración.</w:t>
      </w:r>
    </w:p>
    <w:p>
      <w:pPr>
        <w:spacing w:after="0" w:line="276" w:lineRule="auto"/>
        <w:jc w:val="both"/>
        <w:sectPr>
          <w:pgSz w:w="12240" w:h="15840"/>
          <w:pgMar w:header="715" w:footer="957" w:top="1240" w:bottom="1140" w:left="1140" w:right="0"/>
        </w:sectPr>
      </w:pPr>
    </w:p>
    <w:p>
      <w:pPr>
        <w:pStyle w:val="Heading2"/>
        <w:numPr>
          <w:ilvl w:val="2"/>
          <w:numId w:val="21"/>
        </w:numPr>
        <w:tabs>
          <w:tab w:pos="1978" w:val="left" w:leader="none"/>
        </w:tabs>
        <w:spacing w:line="240" w:lineRule="auto" w:before="167" w:after="0"/>
        <w:ind w:left="1978" w:right="0" w:hanging="696"/>
        <w:jc w:val="left"/>
      </w:pPr>
      <w:bookmarkStart w:name="_bookmark154" w:id="193"/>
      <w:bookmarkEnd w:id="193"/>
      <w:r>
        <w:rPr>
          <w:b w:val="0"/>
        </w:rPr>
      </w:r>
      <w:bookmarkStart w:name="_bookmark154" w:id="194"/>
      <w:bookmarkEnd w:id="194"/>
      <w:r>
        <w:rPr/>
        <w:t>El</w:t>
      </w:r>
      <w:r>
        <w:rPr/>
        <w:t> Impuesto al Valor</w:t>
      </w:r>
      <w:r>
        <w:rPr>
          <w:spacing w:val="-3"/>
        </w:rPr>
        <w:t> </w:t>
      </w:r>
      <w:r>
        <w:rPr/>
        <w:t>Agregado</w:t>
      </w:r>
    </w:p>
    <w:p>
      <w:pPr>
        <w:pStyle w:val="BodyText"/>
        <w:spacing w:before="9"/>
        <w:rPr>
          <w:b/>
          <w:sz w:val="23"/>
        </w:rPr>
      </w:pPr>
    </w:p>
    <w:p>
      <w:pPr>
        <w:pStyle w:val="BodyText"/>
        <w:spacing w:line="276" w:lineRule="auto"/>
        <w:ind w:left="562" w:right="1700"/>
        <w:jc w:val="both"/>
      </w:pPr>
      <w:r>
        <w:rPr/>
        <w:t>Este</w:t>
      </w:r>
      <w:r>
        <w:rPr>
          <w:spacing w:val="-9"/>
        </w:rPr>
        <w:t> </w:t>
      </w:r>
      <w:r>
        <w:rPr/>
        <w:t>impuesto,</w:t>
      </w:r>
      <w:r>
        <w:rPr>
          <w:spacing w:val="-7"/>
        </w:rPr>
        <w:t> </w:t>
      </w:r>
      <w:r>
        <w:rPr/>
        <w:t>en</w:t>
      </w:r>
      <w:r>
        <w:rPr>
          <w:spacing w:val="-10"/>
        </w:rPr>
        <w:t> </w:t>
      </w:r>
      <w:r>
        <w:rPr/>
        <w:t>junio,</w:t>
      </w:r>
      <w:r>
        <w:rPr>
          <w:spacing w:val="-6"/>
        </w:rPr>
        <w:t> </w:t>
      </w:r>
      <w:r>
        <w:rPr/>
        <w:t>generó</w:t>
      </w:r>
      <w:r>
        <w:rPr>
          <w:spacing w:val="-10"/>
        </w:rPr>
        <w:t> </w:t>
      </w:r>
      <w:r>
        <w:rPr/>
        <w:t>una</w:t>
      </w:r>
      <w:r>
        <w:rPr>
          <w:spacing w:val="-9"/>
        </w:rPr>
        <w:t> </w:t>
      </w:r>
      <w:r>
        <w:rPr/>
        <w:t>brecha</w:t>
      </w:r>
      <w:r>
        <w:rPr>
          <w:spacing w:val="-6"/>
        </w:rPr>
        <w:t> </w:t>
      </w:r>
      <w:r>
        <w:rPr/>
        <w:t>positiva</w:t>
      </w:r>
      <w:r>
        <w:rPr>
          <w:spacing w:val="-7"/>
        </w:rPr>
        <w:t> </w:t>
      </w:r>
      <w:r>
        <w:rPr/>
        <w:t>de</w:t>
      </w:r>
      <w:r>
        <w:rPr>
          <w:spacing w:val="-9"/>
        </w:rPr>
        <w:t> </w:t>
      </w:r>
      <w:r>
        <w:rPr/>
        <w:t>Q769.7</w:t>
      </w:r>
      <w:r>
        <w:rPr>
          <w:spacing w:val="-6"/>
        </w:rPr>
        <w:t> </w:t>
      </w:r>
      <w:r>
        <w:rPr/>
        <w:t>millones,</w:t>
      </w:r>
      <w:r>
        <w:rPr>
          <w:spacing w:val="-10"/>
        </w:rPr>
        <w:t> </w:t>
      </w:r>
      <w:r>
        <w:rPr/>
        <w:t>explicado</w:t>
      </w:r>
      <w:r>
        <w:rPr>
          <w:spacing w:val="-10"/>
        </w:rPr>
        <w:t> </w:t>
      </w:r>
      <w:r>
        <w:rPr/>
        <w:t>en</w:t>
      </w:r>
      <w:r>
        <w:rPr>
          <w:spacing w:val="-8"/>
        </w:rPr>
        <w:t> </w:t>
      </w:r>
      <w:r>
        <w:rPr/>
        <w:t>su</w:t>
      </w:r>
      <w:r>
        <w:rPr>
          <w:spacing w:val="-9"/>
        </w:rPr>
        <w:t> </w:t>
      </w:r>
      <w:r>
        <w:rPr/>
        <w:t>mayoría</w:t>
      </w:r>
      <w:r>
        <w:rPr>
          <w:spacing w:val="-7"/>
        </w:rPr>
        <w:t> </w:t>
      </w:r>
      <w:r>
        <w:rPr/>
        <w:t>por el IVA asociado al comercio exterior, el cual mantiene la dinámica observa en 2021, principalmente como reflejo al aumento de precios en los</w:t>
      </w:r>
      <w:r>
        <w:rPr>
          <w:spacing w:val="-12"/>
        </w:rPr>
        <w:t> </w:t>
      </w:r>
      <w:r>
        <w:rPr/>
        <w:t>combustibles.</w:t>
      </w:r>
    </w:p>
    <w:p>
      <w:pPr>
        <w:pStyle w:val="BodyText"/>
        <w:spacing w:before="4"/>
        <w:rPr>
          <w:sz w:val="25"/>
        </w:rPr>
      </w:pPr>
    </w:p>
    <w:p>
      <w:pPr>
        <w:pStyle w:val="BodyText"/>
        <w:spacing w:line="276" w:lineRule="auto"/>
        <w:ind w:left="562" w:right="1702"/>
        <w:jc w:val="both"/>
      </w:pPr>
      <w:r>
        <w:rPr/>
        <w:t>Como referencia del crecimiento en el IVA de importaciones, se asume el aumento en el precio del barril de petróleo consecuencia del conflicto armado entre Rusia y Ucrania. En junio 2021 el precio del barril era de US$71.35 dólares y en 2022 se ubicó en US$114.34 dólares, según la U.S. Energy Information Administration.</w:t>
      </w:r>
    </w:p>
    <w:p>
      <w:pPr>
        <w:pStyle w:val="BodyText"/>
        <w:spacing w:before="3"/>
        <w:rPr>
          <w:sz w:val="25"/>
        </w:rPr>
      </w:pPr>
    </w:p>
    <w:p>
      <w:pPr>
        <w:pStyle w:val="BodyText"/>
        <w:spacing w:line="276" w:lineRule="auto"/>
        <w:ind w:left="562" w:right="1698"/>
        <w:jc w:val="both"/>
      </w:pPr>
      <w:r>
        <w:rPr/>
        <w:t>De manera acumulada, el IVA total generó una brecha positiva de Q3,383.9 millones respecto a la meta de presupuesto y Q3,184.6 millones respecto a lo observado en 2021, destaca que el IVA asociado al comercio exterior mantiene el mayor aporte, reflejando crecimientos de 34.8% respecto a la meta de presupuesto y 30.6% respecto a lo observado en 2021.</w:t>
      </w:r>
    </w:p>
    <w:p>
      <w:pPr>
        <w:pStyle w:val="BodyText"/>
        <w:spacing w:before="9"/>
        <w:rPr>
          <w:sz w:val="25"/>
        </w:rPr>
      </w:pPr>
    </w:p>
    <w:p>
      <w:pPr>
        <w:spacing w:before="0"/>
        <w:ind w:left="2993" w:right="0" w:firstLine="0"/>
        <w:jc w:val="left"/>
        <w:rPr>
          <w:b/>
          <w:sz w:val="22"/>
        </w:rPr>
      </w:pPr>
      <w:bookmarkStart w:name="_bookmark155" w:id="195"/>
      <w:bookmarkEnd w:id="195"/>
      <w:r>
        <w:rPr/>
      </w:r>
      <w:r>
        <w:rPr>
          <w:b/>
          <w:i/>
          <w:sz w:val="20"/>
        </w:rPr>
        <w:t>Gráfico 79. </w:t>
      </w:r>
      <w:r>
        <w:rPr>
          <w:b/>
          <w:sz w:val="22"/>
        </w:rPr>
        <w:t>IVA doméstico e importaciones</w:t>
      </w:r>
    </w:p>
    <w:p>
      <w:pPr>
        <w:spacing w:after="0"/>
        <w:jc w:val="left"/>
        <w:rPr>
          <w:sz w:val="22"/>
        </w:rPr>
        <w:sectPr>
          <w:pgSz w:w="12240" w:h="15840"/>
          <w:pgMar w:header="715" w:footer="957" w:top="1240" w:bottom="1140" w:left="1140" w:right="0"/>
        </w:sect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spacing w:before="3"/>
        <w:rPr>
          <w:b/>
          <w:sz w:val="10"/>
        </w:rPr>
      </w:pPr>
    </w:p>
    <w:p>
      <w:pPr>
        <w:spacing w:before="0"/>
        <w:ind w:left="0" w:right="38" w:firstLine="0"/>
        <w:jc w:val="right"/>
        <w:rPr>
          <w:sz w:val="10"/>
        </w:rPr>
      </w:pPr>
      <w:r>
        <w:rPr>
          <w:color w:val="585858"/>
          <w:spacing w:val="-1"/>
          <w:sz w:val="10"/>
        </w:rPr>
        <w:t>1,800</w:t>
      </w:r>
    </w:p>
    <w:p>
      <w:pPr>
        <w:pStyle w:val="BodyText"/>
        <w:rPr>
          <w:sz w:val="10"/>
        </w:rPr>
      </w:pPr>
    </w:p>
    <w:p>
      <w:pPr>
        <w:pStyle w:val="BodyText"/>
        <w:spacing w:before="5"/>
        <w:rPr>
          <w:sz w:val="8"/>
        </w:rPr>
      </w:pPr>
    </w:p>
    <w:p>
      <w:pPr>
        <w:spacing w:before="0"/>
        <w:ind w:left="0" w:right="38" w:firstLine="0"/>
        <w:jc w:val="right"/>
        <w:rPr>
          <w:sz w:val="10"/>
        </w:rPr>
      </w:pPr>
      <w:r>
        <w:rPr>
          <w:color w:val="585858"/>
          <w:spacing w:val="-1"/>
          <w:sz w:val="10"/>
        </w:rPr>
        <w:t>1,700</w:t>
      </w:r>
    </w:p>
    <w:p>
      <w:pPr>
        <w:pStyle w:val="BodyText"/>
        <w:rPr>
          <w:sz w:val="10"/>
        </w:rPr>
      </w:pPr>
    </w:p>
    <w:p>
      <w:pPr>
        <w:pStyle w:val="BodyText"/>
        <w:spacing w:before="4"/>
        <w:rPr>
          <w:sz w:val="8"/>
        </w:rPr>
      </w:pPr>
    </w:p>
    <w:p>
      <w:pPr>
        <w:spacing w:before="0"/>
        <w:ind w:left="0" w:right="38" w:firstLine="0"/>
        <w:jc w:val="right"/>
        <w:rPr>
          <w:sz w:val="10"/>
        </w:rPr>
      </w:pPr>
      <w:r>
        <w:rPr>
          <w:color w:val="585858"/>
          <w:spacing w:val="-1"/>
          <w:sz w:val="10"/>
        </w:rPr>
        <w:t>1,600</w:t>
      </w:r>
    </w:p>
    <w:p>
      <w:pPr>
        <w:pStyle w:val="BodyText"/>
        <w:rPr>
          <w:sz w:val="10"/>
        </w:rPr>
      </w:pPr>
    </w:p>
    <w:p>
      <w:pPr>
        <w:pStyle w:val="BodyText"/>
        <w:spacing w:before="4"/>
        <w:rPr>
          <w:sz w:val="8"/>
        </w:rPr>
      </w:pPr>
    </w:p>
    <w:p>
      <w:pPr>
        <w:spacing w:before="1"/>
        <w:ind w:left="0" w:right="38" w:firstLine="0"/>
        <w:jc w:val="right"/>
        <w:rPr>
          <w:sz w:val="10"/>
        </w:rPr>
      </w:pPr>
      <w:r>
        <w:rPr>
          <w:color w:val="585858"/>
          <w:spacing w:val="-1"/>
          <w:sz w:val="10"/>
        </w:rPr>
        <w:t>1,500</w:t>
      </w:r>
    </w:p>
    <w:p>
      <w:pPr>
        <w:pStyle w:val="BodyText"/>
        <w:rPr>
          <w:sz w:val="10"/>
        </w:rPr>
      </w:pPr>
    </w:p>
    <w:p>
      <w:pPr>
        <w:pStyle w:val="BodyText"/>
        <w:spacing w:before="4"/>
        <w:rPr>
          <w:sz w:val="8"/>
        </w:rPr>
      </w:pPr>
    </w:p>
    <w:p>
      <w:pPr>
        <w:spacing w:before="1"/>
        <w:ind w:left="0" w:right="38" w:firstLine="0"/>
        <w:jc w:val="right"/>
        <w:rPr>
          <w:sz w:val="10"/>
        </w:rPr>
      </w:pPr>
      <w:r>
        <w:rPr>
          <w:color w:val="585858"/>
          <w:spacing w:val="-1"/>
          <w:sz w:val="10"/>
        </w:rPr>
        <w:t>1,400</w:t>
      </w:r>
    </w:p>
    <w:p>
      <w:pPr>
        <w:pStyle w:val="BodyText"/>
        <w:rPr>
          <w:sz w:val="10"/>
        </w:rPr>
      </w:pPr>
    </w:p>
    <w:p>
      <w:pPr>
        <w:pStyle w:val="BodyText"/>
        <w:spacing w:before="4"/>
        <w:rPr>
          <w:sz w:val="8"/>
        </w:rPr>
      </w:pPr>
    </w:p>
    <w:p>
      <w:pPr>
        <w:spacing w:before="0"/>
        <w:ind w:left="0" w:right="38" w:firstLine="0"/>
        <w:jc w:val="right"/>
        <w:rPr>
          <w:sz w:val="10"/>
        </w:rPr>
      </w:pPr>
      <w:r>
        <w:rPr>
          <w:color w:val="585858"/>
          <w:spacing w:val="-1"/>
          <w:sz w:val="10"/>
        </w:rPr>
        <w:t>1,300</w:t>
      </w:r>
    </w:p>
    <w:p>
      <w:pPr>
        <w:pStyle w:val="BodyText"/>
        <w:rPr>
          <w:sz w:val="10"/>
        </w:rPr>
      </w:pPr>
    </w:p>
    <w:p>
      <w:pPr>
        <w:pStyle w:val="BodyText"/>
        <w:spacing w:before="4"/>
        <w:rPr>
          <w:sz w:val="8"/>
        </w:rPr>
      </w:pPr>
    </w:p>
    <w:p>
      <w:pPr>
        <w:spacing w:before="1"/>
        <w:ind w:left="0" w:right="38" w:firstLine="0"/>
        <w:jc w:val="right"/>
        <w:rPr>
          <w:sz w:val="10"/>
        </w:rPr>
      </w:pPr>
      <w:r>
        <w:rPr>
          <w:color w:val="585858"/>
          <w:spacing w:val="-1"/>
          <w:sz w:val="10"/>
        </w:rPr>
        <w:t>1,200</w:t>
      </w:r>
    </w:p>
    <w:p>
      <w:pPr>
        <w:pStyle w:val="BodyText"/>
        <w:rPr>
          <w:sz w:val="10"/>
        </w:rPr>
      </w:pPr>
    </w:p>
    <w:p>
      <w:pPr>
        <w:pStyle w:val="BodyText"/>
        <w:spacing w:before="4"/>
        <w:rPr>
          <w:sz w:val="8"/>
        </w:rPr>
      </w:pPr>
    </w:p>
    <w:p>
      <w:pPr>
        <w:spacing w:before="0"/>
        <w:ind w:left="0" w:right="38" w:firstLine="0"/>
        <w:jc w:val="right"/>
        <w:rPr>
          <w:sz w:val="10"/>
        </w:rPr>
      </w:pPr>
      <w:r>
        <w:rPr>
          <w:color w:val="585858"/>
          <w:spacing w:val="-1"/>
          <w:sz w:val="10"/>
        </w:rPr>
        <w:t>1,100</w:t>
      </w:r>
    </w:p>
    <w:p>
      <w:pPr>
        <w:pStyle w:val="BodyText"/>
        <w:spacing w:before="2"/>
        <w:rPr>
          <w:sz w:val="15"/>
        </w:rPr>
      </w:pPr>
      <w:r>
        <w:rPr/>
        <w:br w:type="column"/>
      </w:r>
      <w:r>
        <w:rPr>
          <w:sz w:val="15"/>
        </w:rPr>
      </w:r>
    </w:p>
    <w:p>
      <w:pPr>
        <w:spacing w:before="0"/>
        <w:ind w:left="657" w:right="23" w:firstLine="220"/>
        <w:jc w:val="left"/>
        <w:rPr>
          <w:b/>
          <w:sz w:val="16"/>
        </w:rPr>
      </w:pPr>
      <w:r>
        <w:rPr>
          <w:b/>
          <w:sz w:val="16"/>
        </w:rPr>
        <w:t>IVA doméstico Millones de quetzales</w:t>
      </w:r>
    </w:p>
    <w:p>
      <w:pPr>
        <w:pStyle w:val="BodyText"/>
        <w:rPr>
          <w:b/>
          <w:sz w:val="18"/>
        </w:rPr>
      </w:pPr>
      <w:r>
        <w:rPr/>
        <w:br w:type="column"/>
      </w:r>
      <w:r>
        <w:rPr>
          <w:b/>
          <w:sz w:val="18"/>
        </w:rPr>
      </w:r>
    </w:p>
    <w:p>
      <w:pPr>
        <w:pStyle w:val="BodyText"/>
        <w:rPr>
          <w:b/>
          <w:sz w:val="18"/>
        </w:rPr>
      </w:pPr>
    </w:p>
    <w:p>
      <w:pPr>
        <w:spacing w:before="147"/>
        <w:ind w:left="657" w:right="0" w:firstLine="0"/>
        <w:jc w:val="left"/>
        <w:rPr>
          <w:sz w:val="16"/>
        </w:rPr>
      </w:pPr>
      <w:r>
        <w:rPr/>
        <w:pict>
          <v:group style="position:absolute;margin-left:105pt;margin-top:10.958736pt;width:203.4pt;height:131.3pt;mso-position-horizontal-relative:page;mso-position-vertical-relative:paragraph;z-index:252768256" coordorigin="2100,219" coordsize="4068,2626">
            <v:shape style="position:absolute;left:2107;top:226;width:4054;height:2612" type="#_x0000_t75" stroked="false">
              <v:imagedata r:id="rId184" o:title=""/>
            </v:shape>
            <v:shape style="position:absolute;left:0;top:6843;width:4054;height:2285" coordorigin="0,6843" coordsize="4054,2285" path="m2107,2511l6161,2511m2107,2185l6161,2185m2107,1858l6161,1858m2107,1532l6161,1532m2107,1206l6161,1206m2107,879l6161,879m2107,553l6161,553m2107,226l6161,226e" filled="false" stroked="true" strokeweight=".72pt" strokecolor="#d9d9d9">
              <v:path arrowok="t"/>
              <v:stroke dashstyle="solid"/>
            </v:shape>
            <v:shape style="position:absolute;left:0;top:9127;width:4054;height:2612" coordorigin="0,9128" coordsize="4054,2612" path="m2107,226l2107,2838m2784,226l2784,2838m3458,226l3458,2838m4135,226l4135,2838m4810,226l4810,2838m5486,226l5486,2838m6161,226l6161,2838e" filled="false" stroked="true" strokeweight=".72pt" strokecolor="#d9d9d9">
              <v:path arrowok="t"/>
              <v:stroke dashstyle="solid"/>
            </v:shape>
            <v:line style="position:absolute" from="2107,2838" to="6161,2838" stroked="true" strokeweight=".72pt" strokecolor="#d9d9d9">
              <v:stroke dashstyle="solid"/>
            </v:line>
            <v:shape style="position:absolute;left:2299;top:543;width:286;height:286" type="#_x0000_t75" stroked="false">
              <v:imagedata r:id="rId185" o:title=""/>
            </v:shape>
            <v:shape style="position:absolute;left:2973;top:1735;width:286;height:286" type="#_x0000_t75" stroked="false">
              <v:imagedata r:id="rId185" o:title=""/>
            </v:shape>
            <v:shape style="position:absolute;left:3650;top:1786;width:286;height:286" type="#_x0000_t75" stroked="false">
              <v:imagedata r:id="rId185" o:title=""/>
            </v:shape>
            <v:shape style="position:absolute;left:4324;top:1387;width:286;height:286" type="#_x0000_t75" stroked="false">
              <v:imagedata r:id="rId185" o:title=""/>
            </v:shape>
            <v:shape style="position:absolute;left:5001;top:1392;width:286;height:286" type="#_x0000_t75" stroked="false">
              <v:imagedata r:id="rId185" o:title=""/>
            </v:shape>
            <v:shape style="position:absolute;left:5676;top:1474;width:286;height:286" type="#_x0000_t75" stroked="false">
              <v:imagedata r:id="rId185" o:title=""/>
            </v:shape>
            <v:shape style="position:absolute;left:2444;top:493;width:3380;height:1417" coordorigin="2444,494" coordsize="3380,1417" path="m2444,494l2482,567,2519,643,2557,721,2595,801,2632,883,2670,965,2707,1047,2745,1128,2782,1209,2820,1287,2857,1363,2895,1436,2932,1505,2970,1569,3008,1629,3045,1683,3083,1730,3188,1829,3255,1869,3323,1895,3391,1908,3458,1910,3526,1903,3593,1890,3661,1872,3728,1852,3796,1831,3857,1806,3919,1770,3980,1725,4042,1674,4103,1620,4165,1565,4226,1511,4288,1462,4349,1419,4411,1385,4472,1362,4540,1353,4607,1356,4675,1370,4742,1390,4810,1414,4877,1439,4945,1462,5013,1479,5080,1488,5148,1485,5215,1471,5283,1449,5351,1421,5418,1388,5486,1351,5553,1312,5621,1272,5688,1233,5756,1196,5824,1161e" filled="false" stroked="true" strokeweight="1.56pt" strokecolor="#c00000">
              <v:path arrowok="t"/>
              <v:stroke dashstyle="solid"/>
            </v:shape>
            <v:shape style="position:absolute;left:2380;top:431;width:130;height:130" type="#_x0000_t75" stroked="false">
              <v:imagedata r:id="rId186" o:title=""/>
            </v:shape>
            <v:shape style="position:absolute;left:3054;top:1707;width:130;height:130" type="#_x0000_t75" stroked="false">
              <v:imagedata r:id="rId187" o:title=""/>
            </v:shape>
            <v:shape style="position:absolute;left:3731;top:1767;width:130;height:130" type="#_x0000_t75" stroked="false">
              <v:imagedata r:id="rId188" o:title=""/>
            </v:shape>
            <v:shape style="position:absolute;left:4405;top:1297;width:130;height:130" type="#_x0000_t75" stroked="false">
              <v:imagedata r:id="rId187" o:title=""/>
            </v:shape>
            <v:shape style="position:absolute;left:5082;top:1419;width:130;height:130" type="#_x0000_t75" stroked="false">
              <v:imagedata r:id="rId189" o:title=""/>
            </v:shape>
            <v:shape style="position:absolute;left:5757;top:1098;width:130;height:130" type="#_x0000_t75" stroked="false">
              <v:imagedata r:id="rId189" o:title=""/>
            </v:shape>
            <v:shape style="position:absolute;left:2344;top:588;width:3571;height:1512" type="#_x0000_t75" stroked="false">
              <v:imagedata r:id="rId190" o:title=""/>
            </v:shape>
            <v:shape style="position:absolute;left:2444;top:688;width:3380;height:1320" coordorigin="2444,688" coordsize="3380,1320" path="m2444,688l2484,760,2524,836,2564,914,2603,994,2643,1074,2683,1156,2723,1237,2762,1317,2802,1396,2842,1472,2882,1545,2921,1615,2961,1680,3001,1740,3041,1794,3080,1842,3188,1936,3255,1973,3323,1996,3391,2007,3458,2007,3526,2000,3593,1987,3661,1970,3728,1952,3796,1933,3864,1910,3931,1876,3999,1834,4066,1787,4134,1737,4202,1687,4269,1639,4337,1596,4404,1560,4472,1535,4547,1517,4622,1507,4697,1504,4772,1505,4847,1511,4922,1518,4998,1526,5073,1534,5148,1540,5223,1546,5298,1553,5373,1562,5448,1571,5523,1581,5598,1591,5673,1601,5749,1611,5824,1620e" filled="false" stroked="true" strokeweight="1.56pt" strokecolor="#000000">
              <v:path arrowok="t"/>
              <v:stroke dashstyle="dot"/>
            </v:shape>
            <v:shape style="position:absolute;left:2378;top:622;width:127;height:127" type="#_x0000_t75" stroked="false">
              <v:imagedata r:id="rId191" o:title=""/>
            </v:shape>
            <v:shape style="position:absolute;left:3052;top:1815;width:127;height:127" type="#_x0000_t75" stroked="false">
              <v:imagedata r:id="rId191" o:title=""/>
            </v:shape>
            <v:shape style="position:absolute;left:3729;top:1865;width:127;height:127" type="#_x0000_t75" stroked="false">
              <v:imagedata r:id="rId191" o:title=""/>
            </v:shape>
            <v:shape style="position:absolute;left:5080;top:1472;width:127;height:127" type="#_x0000_t75" stroked="false">
              <v:imagedata r:id="rId191" o:title=""/>
            </v:shape>
            <v:shape style="position:absolute;left:4404;top:1467;width:127;height:127" type="#_x0000_t75" stroked="false">
              <v:imagedata r:id="rId191" o:title=""/>
            </v:shape>
            <v:shape style="position:absolute;left:5755;top:1553;width:127;height:127" type="#_x0000_t75" stroked="false">
              <v:imagedata r:id="rId191" o:title=""/>
            </v:shape>
            <v:line style="position:absolute" from="3120,1772" to="3202,1489" stroked="true" strokeweight=".72pt" strokecolor="#a6a6a6">
              <v:stroke dashstyle="solid"/>
            </v:line>
            <v:line style="position:absolute" from="2446,690" to="2326,951" stroked="true" strokeweight=".72pt" strokecolor="#a6a6a6">
              <v:stroke dashstyle="solid"/>
            </v:line>
            <v:shape style="position:absolute;left:3553;top:2089;width:508;height:179" type="#_x0000_t202" filled="false" stroked="false">
              <v:textbox inset="0,0,0,0">
                <w:txbxContent>
                  <w:p>
                    <w:pPr>
                      <w:spacing w:line="178" w:lineRule="exact" w:before="0"/>
                      <w:ind w:left="0" w:right="0" w:firstLine="0"/>
                      <w:jc w:val="left"/>
                      <w:rPr>
                        <w:b/>
                        <w:sz w:val="16"/>
                      </w:rPr>
                    </w:pPr>
                    <w:r>
                      <w:rPr>
                        <w:b/>
                        <w:sz w:val="16"/>
                      </w:rPr>
                      <w:t>1,277.3</w:t>
                    </w:r>
                  </w:p>
                </w:txbxContent>
              </v:textbox>
              <w10:wrap type="none"/>
            </v:shape>
            <v:shape style="position:absolute;left:5486;top:1858;width:675;height:327" type="#_x0000_t202" filled="false" stroked="true" strokeweight=".72pt" strokecolor="#d9d9d9">
              <v:textbox inset="0,0,0,0">
                <w:txbxContent>
                  <w:p>
                    <w:pPr>
                      <w:spacing w:line="89" w:lineRule="exact" w:before="0"/>
                      <w:ind w:left="87" w:right="0" w:firstLine="0"/>
                      <w:jc w:val="left"/>
                      <w:rPr>
                        <w:b/>
                        <w:sz w:val="16"/>
                      </w:rPr>
                    </w:pPr>
                    <w:r>
                      <w:rPr>
                        <w:b/>
                        <w:sz w:val="16"/>
                      </w:rPr>
                      <w:t>1,373.1</w:t>
                    </w:r>
                  </w:p>
                </w:txbxContent>
              </v:textbox>
              <v:stroke dashstyle="solid"/>
              <w10:wrap type="none"/>
            </v:shape>
            <v:shape style="position:absolute;left:2784;top:1858;width:675;height:327" type="#_x0000_t202" filled="false" stroked="true" strokeweight=".72pt" strokecolor="#d9d9d9">
              <v:textbox inset="0,0,0,0">
                <w:txbxContent>
                  <w:p>
                    <w:pPr>
                      <w:spacing w:line="240" w:lineRule="auto" w:before="6"/>
                      <w:rPr>
                        <w:sz w:val="14"/>
                      </w:rPr>
                    </w:pPr>
                  </w:p>
                  <w:p>
                    <w:pPr>
                      <w:spacing w:line="145" w:lineRule="exact" w:before="0"/>
                      <w:ind w:left="86" w:right="0" w:firstLine="0"/>
                      <w:jc w:val="left"/>
                      <w:rPr>
                        <w:b/>
                        <w:sz w:val="16"/>
                      </w:rPr>
                    </w:pPr>
                    <w:r>
                      <w:rPr>
                        <w:b/>
                        <w:sz w:val="16"/>
                      </w:rPr>
                      <w:t>1,292.9</w:t>
                    </w:r>
                  </w:p>
                </w:txbxContent>
              </v:textbox>
              <v:stroke dashstyle="solid"/>
              <w10:wrap type="none"/>
            </v:shape>
            <v:shape style="position:absolute;left:4809;top:1531;width:677;height:327" type="#_x0000_t202" filled="false" stroked="true" strokeweight=".72pt" strokecolor="#d9d9d9">
              <v:textbox inset="0,0,0,0">
                <w:txbxContent>
                  <w:p>
                    <w:pPr>
                      <w:spacing w:line="160" w:lineRule="exact" w:before="151"/>
                      <w:ind w:left="88" w:right="0" w:firstLine="0"/>
                      <w:jc w:val="left"/>
                      <w:rPr>
                        <w:b/>
                        <w:sz w:val="16"/>
                      </w:rPr>
                    </w:pPr>
                    <w:r>
                      <w:rPr>
                        <w:b/>
                        <w:sz w:val="16"/>
                      </w:rPr>
                      <w:t>1,397.6</w:t>
                    </w:r>
                  </w:p>
                </w:txbxContent>
              </v:textbox>
              <v:stroke dashstyle="solid"/>
              <w10:wrap type="none"/>
            </v:shape>
            <v:shape style="position:absolute;left:4135;top:1531;width:675;height:327" type="#_x0000_t202" filled="false" stroked="true" strokeweight=".72pt" strokecolor="#d9d9d9">
              <v:textbox inset="0,0,0,0">
                <w:txbxContent>
                  <w:p>
                    <w:pPr>
                      <w:spacing w:line="166" w:lineRule="exact" w:before="146"/>
                      <w:ind w:left="90" w:right="0" w:firstLine="0"/>
                      <w:jc w:val="left"/>
                      <w:rPr>
                        <w:b/>
                        <w:sz w:val="16"/>
                      </w:rPr>
                    </w:pPr>
                    <w:r>
                      <w:rPr>
                        <w:b/>
                        <w:sz w:val="16"/>
                      </w:rPr>
                      <w:t>1,399.3</w:t>
                    </w:r>
                  </w:p>
                </w:txbxContent>
              </v:textbox>
              <v:stroke dashstyle="solid"/>
              <w10:wrap type="none"/>
            </v:shape>
            <v:shape style="position:absolute;left:3458;top:1531;width:677;height:327" type="#_x0000_t202" filled="false" stroked="true" strokeweight=".72pt" strokecolor="#d9d9d9">
              <v:textbox inset="0,0,0,0">
                <w:txbxContent>
                  <w:p>
                    <w:pPr>
                      <w:spacing w:line="143" w:lineRule="exact" w:before="0"/>
                      <w:ind w:left="87" w:right="0" w:firstLine="0"/>
                      <w:jc w:val="left"/>
                      <w:rPr>
                        <w:b/>
                        <w:sz w:val="16"/>
                      </w:rPr>
                    </w:pPr>
                    <w:r>
                      <w:rPr>
                        <w:b/>
                        <w:color w:val="FF0000"/>
                        <w:sz w:val="16"/>
                      </w:rPr>
                      <w:t>1,308.4</w:t>
                    </w:r>
                  </w:p>
                </w:txbxContent>
              </v:textbox>
              <v:stroke dashstyle="solid"/>
              <w10:wrap type="none"/>
            </v:shape>
            <v:shape style="position:absolute;left:4809;top:1205;width:677;height:327" type="#_x0000_t202" filled="false" stroked="true" strokeweight=".72pt" strokecolor="#d9d9d9">
              <v:textbox inset="0,0,0,0">
                <w:txbxContent>
                  <w:p>
                    <w:pPr>
                      <w:spacing w:line="123" w:lineRule="exact" w:before="0"/>
                      <w:ind w:left="88" w:right="0" w:firstLine="0"/>
                      <w:jc w:val="left"/>
                      <w:rPr>
                        <w:b/>
                        <w:sz w:val="16"/>
                      </w:rPr>
                    </w:pPr>
                    <w:r>
                      <w:rPr>
                        <w:b/>
                        <w:color w:val="FF0000"/>
                        <w:sz w:val="16"/>
                      </w:rPr>
                      <w:t>1,414.4</w:t>
                    </w:r>
                  </w:p>
                </w:txbxContent>
              </v:textbox>
              <v:stroke dashstyle="solid"/>
              <w10:wrap type="none"/>
            </v:shape>
            <v:shape style="position:absolute;left:2784;top:1205;width:675;height:327" type="#_x0000_t202" filled="false" stroked="true" strokeweight=".72pt" strokecolor="#d9d9d9">
              <v:textbox inset="0,0,0,0">
                <w:txbxContent>
                  <w:p>
                    <w:pPr>
                      <w:spacing w:before="63"/>
                      <w:ind w:left="166" w:right="0" w:firstLine="0"/>
                      <w:jc w:val="left"/>
                      <w:rPr>
                        <w:b/>
                        <w:sz w:val="16"/>
                      </w:rPr>
                    </w:pPr>
                    <w:r>
                      <w:rPr>
                        <w:b/>
                        <w:color w:val="FF0000"/>
                        <w:sz w:val="16"/>
                      </w:rPr>
                      <w:t>1,326.7</w:t>
                    </w:r>
                  </w:p>
                </w:txbxContent>
              </v:textbox>
              <v:stroke dashstyle="solid"/>
              <w10:wrap type="none"/>
            </v:shape>
            <v:shape style="position:absolute;left:5486;top:879;width:675;height:327" type="#_x0000_t202" filled="false" stroked="true" strokeweight=".72pt" strokecolor="#d9d9d9">
              <v:textbox inset="0,0,0,0">
                <w:txbxContent>
                  <w:p>
                    <w:pPr>
                      <w:spacing w:line="126" w:lineRule="exact" w:before="0"/>
                      <w:ind w:left="87" w:right="0" w:firstLine="0"/>
                      <w:jc w:val="left"/>
                      <w:rPr>
                        <w:b/>
                        <w:sz w:val="16"/>
                      </w:rPr>
                    </w:pPr>
                    <w:r>
                      <w:rPr>
                        <w:b/>
                        <w:color w:val="FF0000"/>
                        <w:sz w:val="16"/>
                      </w:rPr>
                      <w:t>1,513.5</w:t>
                    </w:r>
                  </w:p>
                </w:txbxContent>
              </v:textbox>
              <v:stroke dashstyle="solid"/>
              <w10:wrap type="none"/>
            </v:shape>
            <v:shape style="position:absolute;left:4135;top:879;width:675;height:327" type="#_x0000_t202" filled="false" stroked="true" strokeweight=".72pt" strokecolor="#d9d9d9">
              <v:textbox inset="0,0,0,0">
                <w:txbxContent>
                  <w:p>
                    <w:pPr>
                      <w:spacing w:line="170" w:lineRule="exact" w:before="142"/>
                      <w:ind w:left="86" w:right="0" w:firstLine="0"/>
                      <w:jc w:val="left"/>
                      <w:rPr>
                        <w:b/>
                        <w:sz w:val="16"/>
                      </w:rPr>
                    </w:pPr>
                    <w:r>
                      <w:rPr>
                        <w:b/>
                        <w:color w:val="FF0000"/>
                        <w:sz w:val="16"/>
                      </w:rPr>
                      <w:t>1,451.9</w:t>
                    </w:r>
                  </w:p>
                </w:txbxContent>
              </v:textbox>
              <v:stroke dashstyle="solid"/>
              <w10:wrap type="none"/>
            </v:shape>
            <v:shape style="position:absolute;left:2107;top:879;width:677;height:327" type="#_x0000_t202" filled="false" stroked="true" strokeweight=".72pt" strokecolor="#d9d9d9">
              <v:textbox inset="0,0,0,0">
                <w:txbxContent>
                  <w:p>
                    <w:pPr>
                      <w:spacing w:before="96"/>
                      <w:ind w:left="-33" w:right="0" w:firstLine="0"/>
                      <w:jc w:val="left"/>
                      <w:rPr>
                        <w:b/>
                        <w:sz w:val="16"/>
                      </w:rPr>
                    </w:pPr>
                    <w:r>
                      <w:rPr>
                        <w:b/>
                        <w:sz w:val="16"/>
                      </w:rPr>
                      <w:t>1,658.3</w:t>
                    </w:r>
                  </w:p>
                </w:txbxContent>
              </v:textbox>
              <v:stroke dashstyle="solid"/>
              <w10:wrap type="none"/>
            </v:shape>
            <v:shape style="position:absolute;left:2784;top:226;width:675;height:327" type="#_x0000_t202" filled="false" stroked="true" strokeweight=".72pt" strokecolor="#d9d9d9">
              <v:textbox inset="0,0,0,0">
                <w:txbxContent>
                  <w:p>
                    <w:pPr>
                      <w:spacing w:before="33"/>
                      <w:ind w:left="15" w:right="0" w:firstLine="0"/>
                      <w:jc w:val="left"/>
                      <w:rPr>
                        <w:b/>
                        <w:sz w:val="16"/>
                      </w:rPr>
                    </w:pPr>
                    <w:r>
                      <w:rPr>
                        <w:b/>
                        <w:color w:val="FF0000"/>
                        <w:sz w:val="16"/>
                      </w:rPr>
                      <w:t>7.9</w:t>
                    </w:r>
                  </w:p>
                </w:txbxContent>
              </v:textbox>
              <v:stroke dashstyle="solid"/>
              <w10:wrap type="none"/>
            </v:shape>
            <v:shape style="position:absolute;left:2107;top:226;width:677;height:327" type="#_x0000_t202" filled="false" stroked="true" strokeweight=".72pt" strokecolor="#d9d9d9">
              <v:textbox inset="0,0,0,0">
                <w:txbxContent>
                  <w:p>
                    <w:pPr>
                      <w:spacing w:before="33"/>
                      <w:ind w:left="407" w:right="-44" w:firstLine="0"/>
                      <w:jc w:val="left"/>
                      <w:rPr>
                        <w:b/>
                        <w:sz w:val="16"/>
                      </w:rPr>
                    </w:pPr>
                    <w:r>
                      <w:rPr>
                        <w:b/>
                        <w:color w:val="FF0000"/>
                        <w:sz w:val="16"/>
                      </w:rPr>
                      <w:t>1,71</w:t>
                    </w:r>
                  </w:p>
                </w:txbxContent>
              </v:textbox>
              <v:stroke dashstyle="solid"/>
              <w10:wrap type="none"/>
            </v:shape>
            <w10:wrap type="none"/>
          </v:group>
        </w:pict>
      </w:r>
      <w:r>
        <w:rPr>
          <w:sz w:val="16"/>
        </w:rPr>
        <w:t>2,200</w:t>
      </w:r>
    </w:p>
    <w:p>
      <w:pPr>
        <w:pStyle w:val="BodyText"/>
        <w:spacing w:before="5"/>
        <w:rPr>
          <w:sz w:val="19"/>
        </w:rPr>
      </w:pPr>
    </w:p>
    <w:p>
      <w:pPr>
        <w:spacing w:before="0"/>
        <w:ind w:left="657" w:right="0" w:firstLine="0"/>
        <w:jc w:val="left"/>
        <w:rPr>
          <w:sz w:val="16"/>
        </w:rPr>
      </w:pPr>
      <w:r>
        <w:rPr>
          <w:sz w:val="16"/>
        </w:rPr>
        <w:t>2,000</w:t>
      </w:r>
    </w:p>
    <w:p>
      <w:pPr>
        <w:pStyle w:val="BodyText"/>
        <w:spacing w:before="5"/>
        <w:rPr>
          <w:sz w:val="19"/>
        </w:rPr>
      </w:pPr>
    </w:p>
    <w:p>
      <w:pPr>
        <w:spacing w:before="0"/>
        <w:ind w:left="657" w:right="0" w:firstLine="0"/>
        <w:jc w:val="left"/>
        <w:rPr>
          <w:sz w:val="16"/>
        </w:rPr>
      </w:pPr>
      <w:r>
        <w:rPr>
          <w:sz w:val="16"/>
        </w:rPr>
        <w:t>1,800</w:t>
      </w:r>
    </w:p>
    <w:p>
      <w:pPr>
        <w:pStyle w:val="BodyText"/>
        <w:spacing w:before="6"/>
        <w:rPr>
          <w:sz w:val="19"/>
        </w:rPr>
      </w:pPr>
    </w:p>
    <w:p>
      <w:pPr>
        <w:spacing w:before="0"/>
        <w:ind w:left="657" w:right="0" w:firstLine="0"/>
        <w:jc w:val="left"/>
        <w:rPr>
          <w:sz w:val="16"/>
        </w:rPr>
      </w:pPr>
      <w:r>
        <w:rPr>
          <w:sz w:val="16"/>
        </w:rPr>
        <w:t>1,600</w:t>
      </w:r>
    </w:p>
    <w:p>
      <w:pPr>
        <w:pStyle w:val="BodyText"/>
        <w:spacing w:before="5"/>
        <w:rPr>
          <w:sz w:val="19"/>
        </w:rPr>
      </w:pPr>
    </w:p>
    <w:p>
      <w:pPr>
        <w:spacing w:before="0"/>
        <w:ind w:left="657" w:right="0" w:firstLine="0"/>
        <w:jc w:val="left"/>
        <w:rPr>
          <w:sz w:val="16"/>
        </w:rPr>
      </w:pPr>
      <w:r>
        <w:rPr>
          <w:sz w:val="16"/>
        </w:rPr>
        <w:t>1,400</w:t>
      </w:r>
    </w:p>
    <w:p>
      <w:pPr>
        <w:pStyle w:val="BodyText"/>
        <w:spacing w:before="6"/>
        <w:rPr>
          <w:sz w:val="19"/>
        </w:rPr>
      </w:pPr>
    </w:p>
    <w:p>
      <w:pPr>
        <w:spacing w:before="0"/>
        <w:ind w:left="657" w:right="0" w:firstLine="0"/>
        <w:jc w:val="left"/>
        <w:rPr>
          <w:sz w:val="16"/>
        </w:rPr>
      </w:pPr>
      <w:r>
        <w:rPr>
          <w:sz w:val="16"/>
        </w:rPr>
        <w:t>1,200</w:t>
      </w:r>
    </w:p>
    <w:p>
      <w:pPr>
        <w:pStyle w:val="BodyText"/>
        <w:spacing w:before="5"/>
        <w:rPr>
          <w:sz w:val="19"/>
        </w:rPr>
      </w:pPr>
    </w:p>
    <w:p>
      <w:pPr>
        <w:spacing w:before="1"/>
        <w:ind w:left="657" w:right="0" w:firstLine="0"/>
        <w:jc w:val="left"/>
        <w:rPr>
          <w:sz w:val="16"/>
        </w:rPr>
      </w:pPr>
      <w:r>
        <w:rPr>
          <w:sz w:val="16"/>
        </w:rPr>
        <w:t>1,000</w:t>
      </w:r>
    </w:p>
    <w:p>
      <w:pPr>
        <w:spacing w:before="69"/>
        <w:ind w:left="657" w:right="-17" w:firstLine="76"/>
        <w:jc w:val="left"/>
        <w:rPr>
          <w:b/>
          <w:sz w:val="16"/>
        </w:rPr>
      </w:pPr>
      <w:r>
        <w:rPr/>
        <w:br w:type="column"/>
      </w:r>
      <w:r>
        <w:rPr>
          <w:b/>
          <w:sz w:val="16"/>
        </w:rPr>
        <w:t>IVA importaciones Millones de quetzales</w:t>
      </w:r>
    </w:p>
    <w:p>
      <w:pPr>
        <w:pStyle w:val="BodyText"/>
        <w:rPr>
          <w:b/>
          <w:sz w:val="18"/>
        </w:rPr>
      </w:pPr>
      <w:r>
        <w:rPr/>
        <w:br w:type="column"/>
      </w:r>
      <w:r>
        <w:rPr>
          <w:b/>
          <w:sz w:val="18"/>
        </w:rPr>
      </w:r>
    </w:p>
    <w:p>
      <w:pPr>
        <w:pStyle w:val="BodyText"/>
        <w:spacing w:before="10"/>
        <w:rPr>
          <w:b/>
          <w:sz w:val="24"/>
        </w:rPr>
      </w:pPr>
    </w:p>
    <w:p>
      <w:pPr>
        <w:spacing w:before="0"/>
        <w:ind w:left="98" w:right="0" w:firstLine="0"/>
        <w:jc w:val="left"/>
        <w:rPr>
          <w:b/>
          <w:sz w:val="16"/>
        </w:rPr>
      </w:pPr>
      <w:r>
        <w:rPr/>
        <w:pict>
          <v:group style="position:absolute;margin-left:334.679993pt;margin-top:7.968761pt;width:184.7pt;height:123.15pt;mso-position-horizontal-relative:page;mso-position-vertical-relative:paragraph;z-index:252781568" coordorigin="6694,159" coordsize="3694,2463">
            <v:shape style="position:absolute;left:6700;top:166;width:3680;height:2448" type="#_x0000_t75" stroked="false">
              <v:imagedata r:id="rId192" o:title=""/>
            </v:shape>
            <v:shape style="position:absolute;left:0;top:7008;width:3680;height:2040" coordorigin="0,7009" coordsize="3680,2040" path="m6701,2207l10380,2207m6701,1799l10380,1799m6701,1391l10380,1391m6701,983l10380,983m6701,575l10380,575m6701,167l10380,167e" filled="false" stroked="true" strokeweight=".72pt" strokecolor="#d9d9d9">
              <v:path arrowok="t"/>
              <v:stroke dashstyle="solid"/>
            </v:shape>
            <v:shape style="position:absolute;left:0;top:9048;width:3680;height:2448" coordorigin="0,9049" coordsize="3680,2448" path="m6701,167l6701,2615m7315,167l7315,2615m7927,167l7927,2615m8542,167l8542,2615m9154,167l9154,2615m9766,167l9766,2615m10380,167l10380,2615e" filled="false" stroked="true" strokeweight=".72pt" strokecolor="#d9d9d9">
              <v:path arrowok="t"/>
              <v:stroke dashstyle="solid"/>
            </v:shape>
            <v:line style="position:absolute" from="6701,2615" to="10380,2615" stroked="true" strokeweight=".72pt" strokecolor="#d9d9d9">
              <v:stroke dashstyle="solid"/>
            </v:line>
            <v:shape style="position:absolute;left:6861;top:1692;width:286;height:286" type="#_x0000_t75" stroked="false">
              <v:imagedata r:id="rId193" o:title=""/>
            </v:shape>
            <v:shape style="position:absolute;left:7473;top:1796;width:286;height:286" type="#_x0000_t75" stroked="false">
              <v:imagedata r:id="rId193" o:title=""/>
            </v:shape>
            <v:shape style="position:absolute;left:8088;top:1486;width:286;height:286" type="#_x0000_t75" stroked="false">
              <v:imagedata r:id="rId193" o:title=""/>
            </v:shape>
            <v:shape style="position:absolute;left:8700;top:1464;width:286;height:286" type="#_x0000_t75" stroked="false">
              <v:imagedata r:id="rId193" o:title=""/>
            </v:shape>
            <v:shape style="position:absolute;left:9314;top:1260;width:286;height:286" type="#_x0000_t75" stroked="false">
              <v:imagedata r:id="rId193" o:title=""/>
            </v:shape>
            <v:shape style="position:absolute;left:9926;top:1457;width:286;height:286" type="#_x0000_t75" stroked="false">
              <v:imagedata r:id="rId193" o:title=""/>
            </v:shape>
            <v:shape style="position:absolute;left:7006;top:302;width:3068;height:815" coordorigin="7007,303" coordsize="3068,815" path="m7007,1052l7075,1058,7143,1070,7211,1085,7279,1100,7348,1111,7416,1117,7484,1114,7552,1099,7620,1068,7715,988,7762,931,7809,867,7856,797,7903,725,7951,653,7998,582,8045,517,8092,458,8139,409,8234,350,8289,344,8345,357,8401,385,8457,425,8513,473,8568,524,8624,574,8680,620,8736,658,8791,683,8847,691,8909,682,8970,659,9031,624,9092,582,9154,534,9215,485,9277,437,9338,394,9399,358,9461,333,9537,315,9614,305,9691,303,9767,305,9844,310,9921,315,9997,319,10074,320e" filled="false" stroked="true" strokeweight="1.56pt" strokecolor="#c00000">
              <v:path arrowok="t"/>
              <v:stroke dashstyle="solid"/>
            </v:shape>
            <v:shape style="position:absolute;left:6952;top:995;width:111;height:111" type="#_x0000_t75" stroked="false">
              <v:imagedata r:id="rId194" o:title=""/>
            </v:shape>
            <v:shape style="position:absolute;left:7564;top:1012;width:111;height:111" type="#_x0000_t75" stroked="false">
              <v:imagedata r:id="rId195" o:title=""/>
            </v:shape>
            <v:shape style="position:absolute;left:8179;top:295;width:111;height:111" type="#_x0000_t75" stroked="false">
              <v:imagedata r:id="rId196" o:title=""/>
            </v:shape>
            <v:shape style="position:absolute;left:8791;top:635;width:111;height:111" type="#_x0000_t75" stroked="false">
              <v:imagedata r:id="rId194" o:title=""/>
            </v:shape>
            <v:shape style="position:absolute;left:9405;top:278;width:111;height:111" type="#_x0000_t75" stroked="false">
              <v:imagedata r:id="rId197" o:title=""/>
            </v:shape>
            <v:shape style="position:absolute;left:10017;top:263;width:111;height:111" type="#_x0000_t75" stroked="false">
              <v:imagedata r:id="rId195" o:title=""/>
            </v:shape>
            <v:shape style="position:absolute;left:6907;top:1306;width:3259;height:737" type="#_x0000_t75" stroked="false">
              <v:imagedata r:id="rId198" o:title=""/>
            </v:shape>
            <v:shape style="position:absolute;left:7006;top:1407;width:3068;height:543" coordorigin="7007,1407" coordsize="3068,543" path="m7007,1840l7083,1855,7160,1875,7237,1896,7313,1917,7390,1934,7467,1946,7544,1950,7620,1943,7688,1925,7757,1896,7825,1860,7893,1818,7961,1774,8029,1730,8097,1690,8165,1657,8234,1633,8310,1618,8387,1611,8464,1612,8540,1615,8617,1620,8694,1622,8770,1620,8847,1611,8924,1591,9001,1563,9077,1530,9154,1495,9230,1462,9307,1434,9384,1415,9461,1407,9537,1413,9614,1428,9691,1452,9767,1481,9844,1513,9921,1545,9997,1577,10074,1604e" filled="false" stroked="true" strokeweight="1.56pt" strokecolor="#000000">
              <v:path arrowok="t"/>
              <v:stroke dashstyle="solid"/>
            </v:shape>
            <v:shape style="position:absolute;left:6940;top:1772;width:127;height:127" type="#_x0000_t75" stroked="false">
              <v:imagedata r:id="rId199" o:title=""/>
            </v:shape>
            <v:shape style="position:absolute;left:7552;top:1875;width:127;height:127" type="#_x0000_t75" stroked="false">
              <v:imagedata r:id="rId199" o:title=""/>
            </v:shape>
            <v:shape style="position:absolute;left:8167;top:1565;width:127;height:127" type="#_x0000_t75" stroked="false">
              <v:imagedata r:id="rId199" o:title=""/>
            </v:shape>
            <v:shape style="position:absolute;left:9393;top:1340;width:127;height:127" type="#_x0000_t75" stroked="false">
              <v:imagedata r:id="rId199" o:title=""/>
            </v:shape>
            <v:shape style="position:absolute;left:8779;top:1544;width:127;height:127" type="#_x0000_t75" stroked="false">
              <v:imagedata r:id="rId199" o:title=""/>
            </v:shape>
            <v:shape style="position:absolute;left:10005;top:1537;width:127;height:127" type="#_x0000_t75" stroked="false">
              <v:imagedata r:id="rId199" o:title=""/>
            </v:shape>
            <v:line style="position:absolute" from="7620,1069" to="7560,644" stroked="true" strokeweight=".72pt" strokecolor="#a6a6a6">
              <v:stroke dashstyle="solid"/>
            </v:line>
            <v:shape style="position:absolute;left:9765;top:1798;width:615;height:408" type="#_x0000_t202" filled="false" stroked="true" strokeweight=".72pt" strokecolor="#d9d9d9">
              <v:textbox inset="0,0,0,0">
                <w:txbxContent>
                  <w:p>
                    <w:pPr>
                      <w:spacing w:line="133" w:lineRule="exact" w:before="0"/>
                      <w:ind w:left="58" w:right="0" w:firstLine="0"/>
                      <w:jc w:val="left"/>
                      <w:rPr>
                        <w:b/>
                        <w:sz w:val="16"/>
                      </w:rPr>
                    </w:pPr>
                    <w:r>
                      <w:rPr>
                        <w:b/>
                        <w:sz w:val="16"/>
                      </w:rPr>
                      <w:t>1,495.7</w:t>
                    </w:r>
                  </w:p>
                </w:txbxContent>
              </v:textbox>
              <v:stroke dashstyle="solid"/>
              <w10:wrap type="none"/>
            </v:shape>
            <v:shape style="position:absolute;left:8541;top:1798;width:612;height:408" type="#_x0000_t202" filled="false" stroked="true" strokeweight=".72pt" strokecolor="#d9d9d9">
              <v:textbox inset="0,0,0,0">
                <w:txbxContent>
                  <w:p>
                    <w:pPr>
                      <w:spacing w:line="140" w:lineRule="exact" w:before="0"/>
                      <w:ind w:left="56" w:right="0" w:firstLine="0"/>
                      <w:jc w:val="left"/>
                      <w:rPr>
                        <w:b/>
                        <w:sz w:val="16"/>
                      </w:rPr>
                    </w:pPr>
                    <w:r>
                      <w:rPr>
                        <w:b/>
                        <w:sz w:val="16"/>
                      </w:rPr>
                      <w:t>1,492.3</w:t>
                    </w:r>
                  </w:p>
                </w:txbxContent>
              </v:textbox>
              <v:stroke dashstyle="solid"/>
              <w10:wrap type="none"/>
            </v:shape>
            <v:shape style="position:absolute;left:7927;top:1798;width:615;height:408" type="#_x0000_t202" filled="false" stroked="true" strokeweight=".72pt" strokecolor="#d9d9d9">
              <v:textbox inset="0,0,0,0">
                <w:txbxContent>
                  <w:p>
                    <w:pPr>
                      <w:spacing w:line="162" w:lineRule="exact" w:before="0"/>
                      <w:ind w:left="57" w:right="0" w:firstLine="0"/>
                      <w:jc w:val="left"/>
                      <w:rPr>
                        <w:b/>
                        <w:sz w:val="16"/>
                      </w:rPr>
                    </w:pPr>
                    <w:r>
                      <w:rPr>
                        <w:b/>
                        <w:sz w:val="16"/>
                      </w:rPr>
                      <w:t>1,481.5</w:t>
                    </w:r>
                  </w:p>
                </w:txbxContent>
              </v:textbox>
              <v:stroke dashstyle="solid"/>
              <w10:wrap type="none"/>
            </v:shape>
            <v:shape style="position:absolute;left:7315;top:1798;width:612;height:408" type="#_x0000_t202" filled="false" stroked="true" strokeweight=".72pt" strokecolor="#d9d9d9">
              <v:textbox inset="0,0,0,0">
                <w:txbxContent>
                  <w:p>
                    <w:pPr>
                      <w:spacing w:line="240" w:lineRule="auto" w:before="11"/>
                      <w:rPr>
                        <w:sz w:val="24"/>
                      </w:rPr>
                    </w:pPr>
                  </w:p>
                  <w:p>
                    <w:pPr>
                      <w:spacing w:line="107" w:lineRule="exact" w:before="0"/>
                      <w:ind w:left="56" w:right="0" w:firstLine="0"/>
                      <w:jc w:val="left"/>
                      <w:rPr>
                        <w:b/>
                        <w:sz w:val="16"/>
                      </w:rPr>
                    </w:pPr>
                    <w:r>
                      <w:rPr>
                        <w:b/>
                        <w:sz w:val="16"/>
                      </w:rPr>
                      <w:t>1,329.8</w:t>
                    </w:r>
                  </w:p>
                </w:txbxContent>
              </v:textbox>
              <v:stroke dashstyle="solid"/>
              <w10:wrap type="none"/>
            </v:shape>
            <v:shape style="position:absolute;left:6700;top:1798;width:615;height:408" type="#_x0000_t202" filled="false" stroked="true" strokeweight=".72pt" strokecolor="#d9d9d9">
              <v:textbox inset="0,0,0,0">
                <w:txbxContent>
                  <w:p>
                    <w:pPr>
                      <w:spacing w:line="240" w:lineRule="auto" w:before="11"/>
                      <w:rPr>
                        <w:sz w:val="15"/>
                      </w:rPr>
                    </w:pPr>
                  </w:p>
                  <w:p>
                    <w:pPr>
                      <w:spacing w:before="0"/>
                      <w:ind w:left="57" w:right="0" w:firstLine="0"/>
                      <w:jc w:val="left"/>
                      <w:rPr>
                        <w:b/>
                        <w:sz w:val="16"/>
                      </w:rPr>
                    </w:pPr>
                    <w:r>
                      <w:rPr>
                        <w:b/>
                        <w:sz w:val="16"/>
                      </w:rPr>
                      <w:t>1,380.4</w:t>
                    </w:r>
                  </w:p>
                </w:txbxContent>
              </v:textbox>
              <v:stroke dashstyle="solid"/>
              <w10:wrap type="none"/>
            </v:shape>
            <v:shape style="position:absolute;left:9153;top:1390;width:612;height:408" type="#_x0000_t202" filled="false" stroked="true" strokeweight=".72pt" strokecolor="#d9d9d9">
              <v:textbox inset="0,0,0,0">
                <w:txbxContent>
                  <w:p>
                    <w:pPr>
                      <w:spacing w:before="160"/>
                      <w:ind w:left="57" w:right="0" w:firstLine="0"/>
                      <w:jc w:val="left"/>
                      <w:rPr>
                        <w:b/>
                        <w:sz w:val="16"/>
                      </w:rPr>
                    </w:pPr>
                    <w:r>
                      <w:rPr>
                        <w:b/>
                        <w:sz w:val="16"/>
                      </w:rPr>
                      <w:t>1,591.9</w:t>
                    </w:r>
                  </w:p>
                </w:txbxContent>
              </v:textbox>
              <v:stroke dashstyle="solid"/>
              <w10:wrap type="none"/>
            </v:shape>
            <v:shape style="position:absolute;left:6700;top:574;width:615;height:408" type="#_x0000_t202" filled="false" stroked="true" strokeweight=".72pt" strokecolor="#d9d9d9">
              <v:textbox inset="0,0,0,0">
                <w:txbxContent>
                  <w:p>
                    <w:pPr>
                      <w:spacing w:before="147"/>
                      <w:ind w:left="57" w:right="0" w:firstLine="0"/>
                      <w:jc w:val="left"/>
                      <w:rPr>
                        <w:b/>
                        <w:sz w:val="16"/>
                      </w:rPr>
                    </w:pPr>
                    <w:r>
                      <w:rPr>
                        <w:b/>
                        <w:color w:val="C00000"/>
                        <w:sz w:val="16"/>
                      </w:rPr>
                      <w:t>1,766.2</w:t>
                    </w:r>
                  </w:p>
                </w:txbxContent>
              </v:textbox>
              <v:stroke dashstyle="solid"/>
              <w10:wrap type="none"/>
            </v:shape>
            <v:shape style="position:absolute;left:8541;top:166;width:612;height:408" type="#_x0000_t202" filled="false" stroked="true" strokeweight=".72pt" strokecolor="#d9d9d9">
              <v:textbox inset="0,0,0,0">
                <w:txbxContent>
                  <w:p>
                    <w:pPr>
                      <w:spacing w:line="240" w:lineRule="auto" w:before="10"/>
                      <w:rPr>
                        <w:sz w:val="16"/>
                      </w:rPr>
                    </w:pPr>
                  </w:p>
                  <w:p>
                    <w:pPr>
                      <w:spacing w:before="1"/>
                      <w:ind w:left="56" w:right="0" w:firstLine="0"/>
                      <w:jc w:val="left"/>
                      <w:rPr>
                        <w:b/>
                        <w:sz w:val="16"/>
                      </w:rPr>
                    </w:pPr>
                    <w:r>
                      <w:rPr>
                        <w:b/>
                        <w:color w:val="C00000"/>
                        <w:sz w:val="16"/>
                      </w:rPr>
                      <w:t>1,942.9</w:t>
                    </w:r>
                  </w:p>
                </w:txbxContent>
              </v:textbox>
              <v:stroke dashstyle="solid"/>
              <w10:wrap type="none"/>
            </v:shape>
            <v:shape style="position:absolute;left:7927;top:166;width:615;height:408" type="#_x0000_t202" filled="false" stroked="true" strokeweight=".72pt" strokecolor="#d9d9d9">
              <v:textbox inset="0,0,0,0">
                <w:txbxContent>
                  <w:p>
                    <w:pPr>
                      <w:spacing w:line="96" w:lineRule="exact" w:before="0"/>
                      <w:ind w:left="57" w:right="0" w:firstLine="0"/>
                      <w:jc w:val="left"/>
                      <w:rPr>
                        <w:b/>
                        <w:sz w:val="16"/>
                      </w:rPr>
                    </w:pPr>
                    <w:r>
                      <w:rPr>
                        <w:b/>
                        <w:color w:val="C00000"/>
                        <w:sz w:val="16"/>
                      </w:rPr>
                      <w:t>2,110.3</w:t>
                    </w:r>
                  </w:p>
                </w:txbxContent>
              </v:textbox>
              <v:stroke dashstyle="solid"/>
              <w10:wrap type="none"/>
            </v:shape>
            <v:shape style="position:absolute;left:7315;top:166;width:612;height:408" type="#_x0000_t202" filled="false" stroked="true" strokeweight=".72pt" strokecolor="#d9d9d9">
              <v:textbox inset="0,0,0,0">
                <w:txbxContent>
                  <w:p>
                    <w:pPr>
                      <w:spacing w:line="240" w:lineRule="auto" w:before="3"/>
                      <w:rPr>
                        <w:sz w:val="22"/>
                      </w:rPr>
                    </w:pPr>
                  </w:p>
                  <w:p>
                    <w:pPr>
                      <w:spacing w:line="137" w:lineRule="exact" w:before="0"/>
                      <w:ind w:left="-4" w:right="0" w:firstLine="0"/>
                      <w:jc w:val="left"/>
                      <w:rPr>
                        <w:b/>
                        <w:sz w:val="16"/>
                      </w:rPr>
                    </w:pPr>
                    <w:r>
                      <w:rPr>
                        <w:b/>
                        <w:color w:val="C00000"/>
                        <w:sz w:val="16"/>
                      </w:rPr>
                      <w:t>1,758.1</w:t>
                    </w:r>
                  </w:p>
                </w:txbxContent>
              </v:textbox>
              <v:stroke dashstyle="solid"/>
              <w10:wrap type="none"/>
            </v:shape>
            <w10:wrap type="none"/>
          </v:group>
        </w:pict>
      </w:r>
      <w:r>
        <w:rPr>
          <w:b/>
          <w:color w:val="C00000"/>
          <w:sz w:val="16"/>
        </w:rPr>
        <w:t>2,118.6 </w:t>
      </w:r>
      <w:r>
        <w:rPr>
          <w:b/>
          <w:color w:val="C00000"/>
          <w:position w:val="1"/>
          <w:sz w:val="16"/>
        </w:rPr>
        <w:t>2,125.1</w:t>
      </w:r>
    </w:p>
    <w:p>
      <w:pPr>
        <w:spacing w:after="0"/>
        <w:jc w:val="left"/>
        <w:rPr>
          <w:sz w:val="16"/>
        </w:rPr>
        <w:sectPr>
          <w:type w:val="continuous"/>
          <w:pgSz w:w="12240" w:h="15840"/>
          <w:pgMar w:top="1500" w:bottom="280" w:left="1140" w:right="0"/>
          <w:cols w:num="5" w:equalWidth="0">
            <w:col w:w="924" w:space="355"/>
            <w:col w:w="2158" w:space="971"/>
            <w:col w:w="1059" w:space="355"/>
            <w:col w:w="2118" w:space="40"/>
            <w:col w:w="3120"/>
          </w:cols>
        </w:sectPr>
      </w:pPr>
    </w:p>
    <w:p>
      <w:pPr>
        <w:spacing w:line="113" w:lineRule="exact" w:before="0"/>
        <w:ind w:left="0" w:right="0" w:firstLine="0"/>
        <w:jc w:val="right"/>
        <w:rPr>
          <w:sz w:val="10"/>
        </w:rPr>
      </w:pPr>
      <w:r>
        <w:rPr>
          <w:color w:val="585858"/>
          <w:sz w:val="10"/>
        </w:rPr>
        <w:t>1,000</w:t>
      </w:r>
    </w:p>
    <w:p>
      <w:pPr>
        <w:tabs>
          <w:tab w:pos="938" w:val="left" w:leader="none"/>
          <w:tab w:pos="1600" w:val="left" w:leader="none"/>
          <w:tab w:pos="2285" w:val="left" w:leader="none"/>
          <w:tab w:pos="2938" w:val="left" w:leader="none"/>
          <w:tab w:pos="3650" w:val="left" w:leader="none"/>
        </w:tabs>
        <w:spacing w:before="148"/>
        <w:ind w:left="191" w:right="0" w:firstLine="0"/>
        <w:jc w:val="left"/>
        <w:rPr>
          <w:sz w:val="16"/>
        </w:rPr>
      </w:pPr>
      <w:r>
        <w:rPr/>
        <w:br w:type="column"/>
      </w:r>
      <w:r>
        <w:rPr>
          <w:color w:val="585858"/>
          <w:sz w:val="16"/>
        </w:rPr>
        <w:t>Enero</w:t>
        <w:tab/>
        <w:t>Feb</w:t>
        <w:tab/>
        <w:t>Mar</w:t>
        <w:tab/>
        <w:t>Abr</w:t>
        <w:tab/>
        <w:t>May</w:t>
        <w:tab/>
        <w:t>Jun</w:t>
      </w:r>
    </w:p>
    <w:p>
      <w:pPr>
        <w:tabs>
          <w:tab w:pos="2928" w:val="left" w:leader="none"/>
        </w:tabs>
        <w:spacing w:before="58"/>
        <w:ind w:left="1186" w:right="0" w:firstLine="0"/>
        <w:jc w:val="left"/>
        <w:rPr>
          <w:b/>
          <w:sz w:val="16"/>
        </w:rPr>
      </w:pPr>
      <w:r>
        <w:rPr/>
        <w:pict>
          <v:group style="position:absolute;margin-left:134.460007pt;margin-top:5.518751pt;width:25.2pt;height:4.45pt;mso-position-horizontal-relative:page;mso-position-vertical-relative:paragraph;z-index:252769280" coordorigin="2689,110" coordsize="504,89">
            <v:line style="position:absolute" from="2689,157" to="3193,157" stroked="true" strokeweight="1.56pt" strokecolor="#c00000">
              <v:stroke dashstyle="solid"/>
            </v:line>
            <v:shape style="position:absolute;left:2899;top:115;width:80;height:80" coordorigin="2899,115" coordsize="80,80" path="m2939,115l2923,118,2911,127,2902,139,2899,155,2902,170,2911,183,2923,191,2939,194,2954,191,2967,183,2975,170,2978,155,2975,139,2967,127,2954,118,2939,115xe" filled="true" fillcolor="#ffffff" stroked="false">
              <v:path arrowok="t"/>
              <v:fill type="solid"/>
            </v:shape>
            <v:shape style="position:absolute;left:2899;top:115;width:80;height:80" coordorigin="2899,115" coordsize="80,80" path="m2978,155l2975,170,2967,183,2954,191,2939,194,2923,191,2911,183,2902,170,2899,155,2902,139,2911,127,2923,118,2939,115,2954,118,2967,127,2975,139,2978,155xe" filled="false" stroked="true" strokeweight=".48pt" strokecolor="#5b9bd4">
              <v:path arrowok="t"/>
              <v:stroke dashstyle="solid"/>
            </v:shape>
            <w10:wrap type="none"/>
          </v:group>
        </w:pict>
      </w:r>
      <w:r>
        <w:rPr/>
        <w:pict>
          <v:group style="position:absolute;margin-left:221.580002pt;margin-top:5.638751pt;width:25.2pt;height:4.350pt;mso-position-horizontal-relative:page;mso-position-vertical-relative:paragraph;z-index:-280549376" coordorigin="4432,113" coordsize="504,87">
            <v:shape style="position:absolute;left:4431;top:157;width:504;height:2" coordorigin="4432,157" coordsize="504,0" path="m4721,157l4936,157m4432,157l4644,157e" filled="false" stroked="true" strokeweight="1.56pt" strokecolor="#000000">
              <v:path arrowok="t"/>
              <v:stroke dashstyle="dot"/>
            </v:shape>
            <v:rect style="position:absolute;left:4644;top:117;width:77;height:77" filled="false" stroked="true" strokeweight=".48pt" strokecolor="#ffffff">
              <v:stroke dashstyle="solid"/>
            </v:rect>
            <v:shape style="position:absolute;left:-77;top:5939;width:77;height:77" coordorigin="-77,5940" coordsize="77,77" path="m4721,194l4644,118m4682,118l4682,194m4644,194l4721,118e" filled="false" stroked="true" strokeweight=".48pt" strokecolor="#000000">
              <v:path arrowok="t"/>
              <v:stroke dashstyle="solid"/>
            </v:shape>
            <w10:wrap type="none"/>
          </v:group>
        </w:pict>
      </w:r>
      <w:r>
        <w:rPr>
          <w:b/>
          <w:color w:val="585858"/>
          <w:sz w:val="16"/>
        </w:rPr>
        <w:t>Obs</w:t>
        <w:tab/>
        <w:t>Meta</w:t>
      </w:r>
    </w:p>
    <w:p>
      <w:pPr>
        <w:tabs>
          <w:tab w:pos="1341" w:val="left" w:leader="none"/>
          <w:tab w:pos="1941" w:val="left" w:leader="none"/>
          <w:tab w:pos="2563" w:val="left" w:leader="none"/>
          <w:tab w:pos="3154" w:val="left" w:leader="none"/>
          <w:tab w:pos="3803" w:val="left" w:leader="none"/>
        </w:tabs>
        <w:spacing w:before="3"/>
        <w:ind w:left="657" w:right="0" w:firstLine="0"/>
        <w:jc w:val="left"/>
        <w:rPr>
          <w:sz w:val="16"/>
        </w:rPr>
      </w:pPr>
      <w:r>
        <w:rPr/>
        <w:br w:type="column"/>
      </w:r>
      <w:r>
        <w:rPr>
          <w:sz w:val="16"/>
        </w:rPr>
        <w:t>Enero</w:t>
        <w:tab/>
        <w:t>Feb</w:t>
        <w:tab/>
        <w:t>Mar</w:t>
        <w:tab/>
        <w:t>Abr</w:t>
        <w:tab/>
        <w:t>May</w:t>
        <w:tab/>
        <w:t>Jun</w:t>
      </w:r>
    </w:p>
    <w:p>
      <w:pPr>
        <w:pStyle w:val="BodyText"/>
        <w:spacing w:before="5"/>
        <w:rPr>
          <w:sz w:val="20"/>
        </w:rPr>
      </w:pPr>
    </w:p>
    <w:p>
      <w:pPr>
        <w:tabs>
          <w:tab w:pos="3050" w:val="left" w:leader="none"/>
        </w:tabs>
        <w:spacing w:before="0"/>
        <w:ind w:left="1409" w:right="0" w:firstLine="0"/>
        <w:jc w:val="left"/>
        <w:rPr>
          <w:sz w:val="16"/>
        </w:rPr>
      </w:pPr>
      <w:r>
        <w:rPr/>
        <w:pict>
          <v:group style="position:absolute;margin-left:357.179993pt;margin-top:2.598765pt;width:19.2pt;height:4.45pt;mso-position-horizontal-relative:page;mso-position-vertical-relative:paragraph;z-index:252782592" coordorigin="7144,52" coordsize="384,89">
            <v:line style="position:absolute" from="7144,99" to="7528,99" stroked="true" strokeweight="1.56pt" strokecolor="#c00000">
              <v:stroke dashstyle="solid"/>
            </v:line>
            <v:shape style="position:absolute;left:7293;top:56;width:80;height:80" coordorigin="7294,57" coordsize="80,80" path="m7333,57l7318,60,7305,68,7297,81,7294,96,7297,112,7305,124,7318,133,7333,136,7349,133,7361,124,7370,112,7373,96,7370,81,7361,68,7349,60,7333,57xe" filled="true" fillcolor="#ffffff" stroked="false">
              <v:path arrowok="t"/>
              <v:fill type="solid"/>
            </v:shape>
            <v:shape style="position:absolute;left:7293;top:56;width:80;height:80" coordorigin="7294,57" coordsize="80,80" path="m7373,96l7370,112,7361,124,7349,133,7333,136,7318,133,7305,124,7297,112,7294,96,7297,81,7305,68,7318,60,7333,57,7349,60,7361,68,7370,81,7373,96xe" filled="false" stroked="true" strokeweight=".48pt" strokecolor="#5b9bd4">
              <v:path arrowok="t"/>
              <v:stroke dashstyle="solid"/>
            </v:shape>
            <w10:wrap type="none"/>
          </v:group>
        </w:pict>
      </w:r>
      <w:r>
        <w:rPr/>
        <w:pict>
          <v:group style="position:absolute;margin-left:439.26001pt;margin-top:2.718765pt;width:19.2pt;height:4.350pt;mso-position-horizontal-relative:page;mso-position-vertical-relative:paragraph;z-index:-280536064" coordorigin="8785,54" coordsize="384,87">
            <v:shape style="position:absolute;left:8785;top:98;width:384;height:2" coordorigin="8785,99" coordsize="384,0" path="m9014,99l9169,99m8785,99l8938,99e" filled="false" stroked="true" strokeweight="1.56pt" strokecolor="#000000">
              <v:path arrowok="t"/>
              <v:stroke dashstyle="solid"/>
            </v:shape>
            <v:rect style="position:absolute;left:8937;top:59;width:77;height:77" filled="false" stroked="true" strokeweight=".48pt" strokecolor="#ffffff">
              <v:stroke dashstyle="shortdot"/>
            </v:rect>
            <v:shape style="position:absolute;left:-77;top:5850;width:77;height:77" coordorigin="-77,5850" coordsize="77,77" path="m9014,136l8938,59m8976,59l8976,136m8938,136l9014,59e" filled="false" stroked="true" strokeweight=".48pt" strokecolor="#000000">
              <v:path arrowok="t"/>
              <v:stroke dashstyle="shortdot"/>
            </v:shape>
            <w10:wrap type="none"/>
          </v:group>
        </w:pict>
      </w:r>
      <w:r>
        <w:rPr>
          <w:sz w:val="16"/>
        </w:rPr>
        <w:t>Obs</w:t>
        <w:tab/>
        <w:t>Meta</w:t>
      </w:r>
    </w:p>
    <w:p>
      <w:pPr>
        <w:spacing w:after="0"/>
        <w:jc w:val="left"/>
        <w:rPr>
          <w:sz w:val="16"/>
        </w:rPr>
        <w:sectPr>
          <w:type w:val="continuous"/>
          <w:pgSz w:w="12240" w:h="15840"/>
          <w:pgMar w:top="1500" w:bottom="280" w:left="1140" w:right="0"/>
          <w:cols w:num="3" w:equalWidth="0">
            <w:col w:w="884" w:space="40"/>
            <w:col w:w="3913" w:space="184"/>
            <w:col w:w="6079"/>
          </w:cols>
        </w:sectPr>
      </w:pPr>
    </w:p>
    <w:p>
      <w:pPr>
        <w:spacing w:before="116"/>
        <w:ind w:left="562" w:right="0" w:firstLine="0"/>
        <w:jc w:val="both"/>
        <w:rPr>
          <w:i/>
          <w:sz w:val="16"/>
        </w:rPr>
      </w:pPr>
      <w:r>
        <w:rPr>
          <w:i/>
          <w:sz w:val="16"/>
        </w:rPr>
        <w:t>Fuente: Dirección de Análisis y Política Fiscal</w:t>
      </w:r>
    </w:p>
    <w:p>
      <w:pPr>
        <w:pStyle w:val="BodyText"/>
        <w:spacing w:before="3"/>
        <w:rPr>
          <w:i/>
          <w:sz w:val="16"/>
        </w:rPr>
      </w:pPr>
    </w:p>
    <w:p>
      <w:pPr>
        <w:pStyle w:val="BodyText"/>
        <w:spacing w:line="276" w:lineRule="auto"/>
        <w:ind w:left="562" w:right="1697"/>
        <w:jc w:val="both"/>
      </w:pPr>
      <w:r>
        <w:rPr/>
        <w:t>Según información de la Superintendencia de Administración Tributaria -SAT-, a junio el 89.4% de la recaudación tributaria proveniente de aduanas se focaliza en 6 aduanas siendo estas la Aduana Puerto</w:t>
      </w:r>
      <w:r>
        <w:rPr>
          <w:spacing w:val="-15"/>
        </w:rPr>
        <w:t> </w:t>
      </w:r>
      <w:r>
        <w:rPr/>
        <w:t>Quetzal</w:t>
      </w:r>
      <w:r>
        <w:rPr>
          <w:spacing w:val="-15"/>
        </w:rPr>
        <w:t> </w:t>
      </w:r>
      <w:r>
        <w:rPr/>
        <w:t>(41.2%),</w:t>
      </w:r>
      <w:r>
        <w:rPr>
          <w:spacing w:val="-14"/>
        </w:rPr>
        <w:t> </w:t>
      </w:r>
      <w:r>
        <w:rPr/>
        <w:t>Santo</w:t>
      </w:r>
      <w:r>
        <w:rPr>
          <w:spacing w:val="-17"/>
        </w:rPr>
        <w:t> </w:t>
      </w:r>
      <w:r>
        <w:rPr/>
        <w:t>Tomás</w:t>
      </w:r>
      <w:r>
        <w:rPr>
          <w:spacing w:val="-16"/>
        </w:rPr>
        <w:t> </w:t>
      </w:r>
      <w:r>
        <w:rPr/>
        <w:t>(12.5%),</w:t>
      </w:r>
      <w:r>
        <w:rPr>
          <w:spacing w:val="-15"/>
        </w:rPr>
        <w:t> </w:t>
      </w:r>
      <w:r>
        <w:rPr/>
        <w:t>Express</w:t>
      </w:r>
      <w:r>
        <w:rPr>
          <w:spacing w:val="-14"/>
        </w:rPr>
        <w:t> </w:t>
      </w:r>
      <w:r>
        <w:rPr/>
        <w:t>Aéreo</w:t>
      </w:r>
      <w:r>
        <w:rPr>
          <w:spacing w:val="-16"/>
        </w:rPr>
        <w:t> </w:t>
      </w:r>
      <w:r>
        <w:rPr/>
        <w:t>(12.4%),</w:t>
      </w:r>
      <w:r>
        <w:rPr>
          <w:spacing w:val="-14"/>
        </w:rPr>
        <w:t> </w:t>
      </w:r>
      <w:r>
        <w:rPr/>
        <w:t>Puerto</w:t>
      </w:r>
      <w:r>
        <w:rPr>
          <w:spacing w:val="-14"/>
        </w:rPr>
        <w:t> </w:t>
      </w:r>
      <w:r>
        <w:rPr/>
        <w:t>Barrios</w:t>
      </w:r>
      <w:r>
        <w:rPr>
          <w:spacing w:val="-16"/>
        </w:rPr>
        <w:t> </w:t>
      </w:r>
      <w:r>
        <w:rPr/>
        <w:t>(8.2%),</w:t>
      </w:r>
      <w:r>
        <w:rPr>
          <w:spacing w:val="-17"/>
        </w:rPr>
        <w:t> </w:t>
      </w:r>
      <w:r>
        <w:rPr/>
        <w:t>Tecún Umán II (7.9%) y Aduana Central (7.1%), este grupo de aduanas aportan a la recaudación de impuestos asociados al comercio exterior en términos brutos (Q13,046.3 millones) respecto a lo observado en 2021, el resto de aduanas a pesar que algunas tuvieron crecimientos importantes respecto a 2021 su aporte a la recaudación asociada al comercio exterior es</w:t>
      </w:r>
      <w:r>
        <w:rPr>
          <w:spacing w:val="-12"/>
        </w:rPr>
        <w:t> </w:t>
      </w:r>
      <w:r>
        <w:rPr/>
        <w:t>menor.</w:t>
      </w:r>
    </w:p>
    <w:p>
      <w:pPr>
        <w:spacing w:after="0" w:line="276" w:lineRule="auto"/>
        <w:jc w:val="both"/>
        <w:sectPr>
          <w:type w:val="continuous"/>
          <w:pgSz w:w="12240" w:h="15840"/>
          <w:pgMar w:top="1500" w:bottom="280" w:left="1140" w:right="0"/>
        </w:sectPr>
      </w:pPr>
    </w:p>
    <w:p>
      <w:pPr>
        <w:pStyle w:val="Heading3"/>
        <w:spacing w:line="276" w:lineRule="auto" w:before="167"/>
        <w:ind w:left="639" w:right="1779"/>
        <w:jc w:val="center"/>
      </w:pPr>
      <w:bookmarkStart w:name="_bookmark156" w:id="196"/>
      <w:bookmarkEnd w:id="196"/>
      <w:r>
        <w:rPr>
          <w:b w:val="0"/>
        </w:rPr>
      </w:r>
      <w:r>
        <w:rPr>
          <w:i/>
          <w:sz w:val="20"/>
        </w:rPr>
        <w:t>Gráfico 80. </w:t>
      </w:r>
      <w:r>
        <w:rPr/>
        <w:t>Variación Interanual de impuestos asociados al comercio exterior (términos brutos)</w:t>
      </w:r>
    </w:p>
    <w:p>
      <w:pPr>
        <w:pStyle w:val="BodyText"/>
        <w:spacing w:line="248" w:lineRule="exact"/>
        <w:ind w:left="1395" w:right="2531"/>
        <w:jc w:val="center"/>
      </w:pPr>
      <w:r>
        <w:rPr/>
        <w:pict>
          <v:group style="position:absolute;margin-left:173.062103pt;margin-top:14.704408pt;width:266.5pt;height:251.8pt;mso-position-horizontal-relative:page;mso-position-vertical-relative:paragraph;z-index:-250512384;mso-wrap-distance-left:0;mso-wrap-distance-right:0" coordorigin="3461,294" coordsize="5330,5036">
            <v:shape style="position:absolute;left:3461;top:294;width:5330;height:5030" type="#_x0000_t75" stroked="false">
              <v:imagedata r:id="rId200" o:title=""/>
            </v:shape>
            <v:line style="position:absolute" from="7423,3916" to="7472,3916" stroked="true" strokeweight="2.239804pt" strokecolor="#fefefe">
              <v:stroke dashstyle="shortdot"/>
            </v:line>
            <v:shape style="position:absolute;left:7066;top:4501;width:39;height:36" type="#_x0000_t75" stroked="false">
              <v:imagedata r:id="rId201" o:title=""/>
            </v:shape>
            <v:shape style="position:absolute;left:6313;top:976;width:691;height:649" type="#_x0000_t75" stroked="false">
              <v:imagedata r:id="rId202" o:title=""/>
            </v:shape>
            <v:shape style="position:absolute;left:7492;top:4199;width:39;height:36" type="#_x0000_t75" stroked="false">
              <v:imagedata r:id="rId201" o:title=""/>
            </v:shape>
            <v:shape style="position:absolute;left:7478;top:766;width:66;height:62" type="#_x0000_t75" stroked="false">
              <v:imagedata r:id="rId203" o:title=""/>
            </v:shape>
            <v:shape style="position:absolute;left:5184;top:1074;width:51;height:49" type="#_x0000_t75" stroked="false">
              <v:imagedata r:id="rId204" o:title=""/>
            </v:shape>
            <v:shape style="position:absolute;left:3690;top:3889;width:55;height:53" type="#_x0000_t75" stroked="false">
              <v:imagedata r:id="rId205" o:title=""/>
            </v:shape>
            <v:shape style="position:absolute;left:4170;top:2573;width:74;height:68" type="#_x0000_t75" stroked="false">
              <v:imagedata r:id="rId206" o:title=""/>
            </v:shape>
            <v:shape style="position:absolute;left:5234;top:3570;width:920;height:1008" type="#_x0000_t75" stroked="false">
              <v:imagedata r:id="rId207" o:title=""/>
            </v:shape>
            <v:shape style="position:absolute;left:5028;top:4820;width:142;height:356" type="#_x0000_t75" stroked="false">
              <v:imagedata r:id="rId208" o:title=""/>
            </v:shape>
            <v:shape style="position:absolute;left:6658;top:4917;width:286;height:93" coordorigin="6658,4917" coordsize="286,93" path="m6660,4917l6658,4925,6666,4927,6668,4919,6660,4917xm6677,4921l6675,4929,6683,4931,6685,4923,6677,4921xm6693,4925l6691,4933,6699,4935,6701,4927,6693,4925xm6710,4929l6708,4937,6716,4939,6718,4931,6710,4929xm6726,4933l6724,4941,6732,4943,6734,4935,6726,4933xm6743,4937l6741,4945,6749,4947,6751,4939,6743,4937xm6759,4941l6757,4949,6765,4951,6767,4943,6759,4941xm6776,4945l6773,4953,6782,4954,6784,4947,6776,4945xm6792,4949l6790,4956,6798,4958,6800,4951,6792,4949xm6809,4953l6807,4960,6815,4962,6817,4955,6809,4953xm6825,4957l6823,4964,6831,4966,6833,4959,6825,4957xm6842,4961l6840,4968,6848,4970,6850,4963,6842,4961xm6858,4965l6856,4972,6864,4974,6866,4967,6858,4965xm6898,4977l6876,5009,6935,4981,6898,4981,6898,4977xm6891,4973l6889,4980,6892,4981,6893,4981,6895,4981,6898,4977,6896,4973,6894,4973,6893,4973,6894,4973,6891,4973xm6935,4973l6898,4973,6898,4981,6935,4981,6944,4977,6935,4973xm6875,4969l6872,4976,6881,4978,6883,4971,6875,4969xm6876,4945l6898,4977,6898,4973,6935,4973,6876,4945xm6894,4973l6893,4973,6894,4973,6894,4973xm6895,4973l6894,4973,6894,4973,6896,4973,6895,4973xe" filled="true" fillcolor="#ff0000" stroked="false">
              <v:path arrowok="t"/>
              <v:fill type="solid"/>
            </v:shape>
            <v:shape style="position:absolute;left:6338;top:5181;width:381;height:66" coordorigin="6339,5182" coordsize="381,66" path="m6347,5239l6339,5239,6339,5247,6348,5247,6347,5239xm6364,5237l6356,5238,6356,5246,6365,5245,6364,5237xm6381,5236l6373,5236,6373,5244,6382,5244,6381,5236xm6398,5234l6390,5235,6390,5243,6399,5242,6398,5234xm6415,5233l6406,5233,6407,5241,6416,5241,6415,5233xm6432,5231l6423,5232,6424,5240,6433,5239,6432,5231xm6449,5230l6440,5230,6441,5238,6450,5238,6449,5230xm6466,5228l6457,5229,6458,5237,6467,5236,6466,5228xm6483,5227l6474,5227,6475,5235,6484,5235,6483,5227xm6500,5225l6491,5226,6492,5234,6501,5233,6500,5225xm6517,5224l6508,5224,6509,5232,6517,5231,6517,5224xm6534,5222l6525,5223,6526,5231,6534,5230,6534,5222xm6551,5221l6542,5221,6543,5229,6551,5228,6551,5221xm6567,5219l6559,5220,6560,5228,6568,5227,6567,5219xm6584,5217l6576,5218,6577,5226,6585,5225,6584,5217xm6601,5216l6593,5217,6594,5225,6602,5224,6601,5216xm6618,5214l6610,5215,6611,5223,6619,5222,6618,5214xm6635,5213l6627,5214,6628,5222,6636,5221,6635,5213xm6651,5182l6674,5214,6651,5246,6719,5214,6651,5182xm6652,5211l6644,5212,6645,5220,6653,5219,6652,5211xm6670,5210l6668,5210,6661,5211,6661,5219,6669,5218,6670,5218,6670,5210xm6670,5218l6669,5218,6670,5218,6670,5218xe" filled="true" fillcolor="#ff0000" stroked="false">
              <v:path arrowok="t"/>
              <v:fill type="solid"/>
            </v:shape>
            <v:shape style="position:absolute;left:6978;top:4716;width:961;height:191" coordorigin="6978,4716" coordsize="961,191" path="m6980,4716l6978,4724,6987,4725,6988,4717,6980,4716xm6997,4719l6995,4727,7004,4728,7005,4720,6997,4719xm7013,4722l7012,4730,7020,4731,7022,4723,7013,4722xm7030,4725l7029,4732,7037,4734,7039,4726,7030,4725xm7047,4727l7045,4735,7054,4737,7055,4729,7047,4727xm7064,4730l7062,4738,7071,4740,7072,4732,7064,4730xm7080,4733l7079,4741,7087,4742,7089,4735,7080,4733xm7097,4736l7096,4744,7104,4745,7106,4737,7097,4736xm7114,4739l7113,4747,7121,4748,7122,4740,7114,4739xm7131,4742l7129,4750,7138,4751,7139,4743,7131,4742xm7147,4745l7146,4752,7154,4754,7156,4746,7147,4745xm7164,4747l7163,4755,7171,4757,7173,4749,7164,4747xm7181,4750l7179,4758,7188,4760,7189,4752,7181,4750xm7198,4753l7196,4761,7205,4762,7206,4755,7198,4753xm7215,4756l7213,4764,7221,4765,7223,4757,7215,4756xm7231,4759l7230,4767,7238,4768,7240,4760,7231,4759xm7248,4762l7246,4770,7255,4771,7256,4763,7248,4762xm7265,4764l7263,4772,7272,4774,7273,4766,7265,4764xm7282,4767l7280,4775,7288,4777,7290,4769,7282,4767xm7298,4770l7297,4778,7305,4779,7307,4772,7298,4770xm7315,4773l7314,4781,7322,4782,7323,4774,7315,4773xm7332,4776l7330,4784,7339,4785,7340,4777,7332,4776xm7348,4779l7347,4787,7355,4788,7357,4780,7348,4779xm7365,4782l7364,4789,7372,4791,7374,4783,7365,4782xm7382,4784l7380,4792,7389,4794,7390,4786,7382,4784xm7399,4787l7397,4795,7406,4797,7407,4789,7399,4787xm7416,4790l7414,4798,7422,4799,7424,4792,7416,4790xm7432,4793l7431,4801,7439,4802,7441,4794,7432,4793xm7449,4796l7448,4804,7456,4805,7457,4797,7449,4796xm7466,4799l7464,4807,7473,4808,7474,4800,7466,4799xm7483,4802l7481,4809,7489,4811,7491,4803,7483,4802xm7499,4804l7498,4812,7506,4814,7508,4806,7499,4804xm7516,4807l7515,4815,7523,4817,7524,4809,7516,4807xm7533,4810l7531,4818,7540,4819,7541,4812,7533,4810xm7550,4813l7548,4821,7556,4822,7558,4814,7550,4813xm7566,4816l7565,4824,7573,4825,7575,4817,7566,4816xm7583,4819l7581,4827,7590,4828,7591,4820,7583,4819xm7600,4822l7598,4829,7607,4831,7608,4823,7600,4822xm7617,4824l7615,4832,7623,4834,7625,4826,7617,4824xm7633,4827l7632,4835,7640,4837,7642,4829,7633,4827xm7650,4830l7649,4838,7657,4839,7658,4831,7650,4830xm7667,4833l7665,4841,7674,4842,7675,4834,7667,4833xm7684,4836l7682,4844,7690,4845,7692,4837,7684,4836xm7700,4839l7699,4846,7707,4848,7709,4840,7700,4839xm7717,4841l7716,4849,7724,4851,7725,4843,7717,4841xm7734,4844l7732,4852,7741,4854,7742,4846,7734,4844xm7751,4847l7749,4855,7757,4856,7759,4849,7751,4847xm7767,4850l7766,4858,7774,4859,7776,4851,7767,4850xm7784,4853l7783,4861,7791,4862,7792,4854,7784,4853xm7801,4856l7799,4864,7808,4865,7809,4857,7801,4856xm7818,4859l7816,4866,7824,4868,7826,4860,7818,4859xm7834,4861l7833,4869,7841,4871,7843,4863,7834,4861xm7851,4864l7850,4872,7858,4874,7859,4866,7851,4864xm7892,4877l7871,4907,7931,4879,7892,4879,7892,4877xm7885,4870l7883,4878,7889,4879,7891,4879,7892,4877,7892,4872,7891,4871,7890,4871,7889,4871,7889,4871,7885,4870xm7931,4871l7892,4871,7892,4872,7894,4875,7892,4877,7892,4879,7931,4879,7939,4875,7931,4871xm7868,4867l7866,4875,7875,4876,7876,4869,7868,4867xm7871,4843l7892,4872,7892,4871,7931,4871,7871,4843xm7889,4871l7889,4871,7890,4871,7889,4871xm7891,4871l7889,4871,7890,4871,7891,4871,7891,4871xe" filled="true" fillcolor="#ff0000" stroked="false">
              <v:path arrowok="t"/>
              <v:fill type="solid"/>
            </v:shape>
            <v:shape style="position:absolute;left:7936;top:2519;width:218;height:391" type="#_x0000_t75" stroked="false">
              <v:imagedata r:id="rId209" o:title=""/>
            </v:shape>
            <v:shape style="position:absolute;left:8212;top:2473;width:156;height:337" type="#_x0000_t75" stroked="false">
              <v:imagedata r:id="rId210" o:title=""/>
            </v:shape>
            <v:shape style="position:absolute;left:8339;top:3110;width:68;height:226" coordorigin="8339,3111" coordsize="68,226" path="m8369,3111l8360,3111,8361,3119,8369,3119,8369,3111xm8369,3127l8361,3127,8361,3135,8370,3135,8369,3127xm8370,3143l8362,3143,8362,3151,8371,3151,8370,3143xm8371,3159l8363,3159,8363,3167,8372,3167,8371,3159xm8372,3175l8364,3175,8364,3183,8372,3183,8372,3175xm8373,3191l8364,3191,8365,3199,8373,3199,8373,3191xm8374,3207l8365,3207,8366,3215,8374,3215,8374,3207xm8375,3223l8366,3223,8367,3231,8375,3231,8375,3223xm8376,3239l8367,3239,8367,3247,8376,3247,8376,3239xm8376,3255l8368,3255,8368,3263,8377,3263,8376,3255xm8339,3274l8377,3336,8396,3294,8370,3294,8370,3291,8339,3274xm8370,3291l8370,3294,8374,3294,8374,3294,8370,3291xm8407,3271l8378,3291,8379,3294,8370,3294,8396,3294,8407,3271xm8378,3287l8370,3287,8370,3291,8374,3294,8378,3291,8378,3287xm8378,3291l8374,3294,8379,3294,8378,3291xm8377,3271l8369,3271,8369,3279,8378,3279,8377,3271xe" filled="true" fillcolor="#ff0000" stroked="false">
              <v:path arrowok="t"/>
              <v:fill type="solid"/>
            </v:shape>
            <v:shape style="position:absolute;left:7447;top:3871;width:264;height:64" coordorigin="7447,3871" coordsize="264,64" path="m7456,3910l7447,3911,7448,3919,7457,3918,7456,3910xm7473,3909l7464,3910,7465,3918,7473,3917,7473,3909xm7490,3909l7481,3909,7482,3917,7490,3917,7490,3909xm7507,3908l7499,3908,7499,3916,7507,3916,7507,3908xm7524,3907l7515,3907,7516,3915,7524,3915,7524,3907xm7541,3906l7532,3906,7533,3914,7541,3914,7541,3906xm7558,3905l7549,3905,7550,3913,7558,3913,7558,3905xm7575,3904l7566,3904,7567,3912,7575,3912,7575,3904xm7592,3903l7583,3904,7584,3912,7592,3911,7592,3903xm7609,3902l7600,3903,7601,3911,7609,3910,7609,3902xm7626,3901l7617,3902,7618,3910,7626,3909,7626,3901xm7642,3871l7665,3903,7642,3935,7711,3903,7642,3871xm7643,3900l7634,3901,7635,3909,7643,3908,7643,3900xm7660,3899l7651,3900,7652,3908,7660,3907,7660,3899xe" filled="true" fillcolor="#ff0000" stroked="false">
              <v:path arrowok="t"/>
              <v:fill type="solid"/>
            </v:shape>
            <v:shape style="position:absolute;left:7083;top:4515;width:326;height:155" type="#_x0000_t75" stroked="false">
              <v:imagedata r:id="rId211" o:title=""/>
            </v:shape>
            <v:shape style="position:absolute;left:6657;top:1296;width:506;height:171" coordorigin="6658,1296" coordsize="506,171" path="m6660,1296l6658,1304,6666,1306,6669,1299,6660,1296xm6677,1301l6674,1309,6682,1311,6685,1304,6677,1301xm6693,1306l6690,1314,6698,1316,6701,1308,6693,1306xm6709,1311l6707,1318,6715,1321,6717,1313,6709,1311xm6725,1316l6723,1323,6731,1326,6733,1318,6725,1316xm6742,1320l6739,1328,6747,1330,6750,1323,6742,1320xm6758,1325l6755,1333,6763,1335,6766,1328,6758,1325xm6774,1330l6771,1338,6780,1340,6782,1332,6774,1330xm6790,1335l6788,1342,6796,1345,6798,1337,6790,1335xm6807,1340l6804,1347,6812,1350,6815,1342,6807,1340xm6823,1344l6820,1352,6828,1355,6831,1347,6823,1344xm6839,1349l6836,1357,6845,1359,6847,1352,6839,1349xm6855,1354l6853,1362,6861,1364,6863,1357,6855,1354xm6871,1359l6869,1367,6877,1369,6880,1361,6871,1359xm6888,1364l6885,1371,6893,1374,6896,1366,6888,1364xm6904,1369l6901,1376,6909,1379,6912,1371,6904,1369xm6920,1373l6918,1381,6926,1384,6928,1376,6920,1373xm6936,1378l6934,1386,6942,1388,6945,1381,6936,1378xm6953,1383l6950,1391,6958,1393,6961,1386,6953,1383xm6969,1388l6966,1396,6974,1398,6977,1390,6969,1388xm6985,1393l6983,1400,6991,1403,6993,1395,6985,1393xm7001,1398l6999,1405,7007,1408,7009,1400,7001,1398xm7018,1402l7015,1410,7023,1412,7026,1405,7018,1402xm7034,1407l7031,1415,7039,1417,7042,1410,7034,1407xm7050,1412l7047,1420,7056,1422,7058,1414,7050,1412xm7066,1417l7064,1424,7072,1427,7074,1419,7066,1417xm7082,1422l7080,1429,7088,1432,7091,1424,7082,1422xm7118,1434l7095,1466,7155,1438,7118,1438,7118,1434xm7115,1430l7114,1430,7114,1438,7115,1438,7118,1434,7115,1430xm7154,1430l7118,1430,7118,1438,7155,1438,7163,1434,7154,1430xm7099,1426l7096,1434,7104,1437,7107,1429,7099,1426xm7095,1402l7118,1434,7118,1430,7154,1430,7095,1402xe" filled="true" fillcolor="#ff0000" stroked="false">
              <v:path arrowok="t"/>
              <v:fill type="solid"/>
            </v:shape>
            <v:shape style="position:absolute;left:7509;top:4213;width:348;height:174" type="#_x0000_t75" stroked="false">
              <v:imagedata r:id="rId212" o:title=""/>
            </v:shape>
            <v:shape style="position:absolute;left:7508;top:795;width:195;height:269" type="#_x0000_t75" stroked="false">
              <v:imagedata r:id="rId213" o:title=""/>
            </v:shape>
            <v:shape style="position:absolute;left:4298;top:611;width:914;height:492" coordorigin="4299,612" coordsize="914,492" path="m5205,1092l5201,1099,5208,1103,5212,1096,5205,1092xm5190,1084l5186,1091,5193,1095,5197,1088,5190,1084xm5175,1076l5171,1083,5178,1087,5182,1080,5175,1076xm5160,1068l5156,1075,5163,1079,5168,1072,5160,1068xm5145,1060l5141,1067,5149,1071,5153,1064,5145,1060xm5131,1052l5126,1059,5134,1063,5138,1056,5131,1052xm5116,1045l5112,1051,5119,1055,5123,1049,5116,1045xm5101,1037l5097,1044,5104,1048,5108,1041,5101,1037xm5086,1029l5082,1036,5089,1040,5094,1033,5086,1029xm5071,1021l5067,1028,5074,1032,5079,1025,5071,1021xm5056,1013l5052,1020,5060,1024,5064,1017,5056,1013xm5042,1005l5037,1012,5045,1016,5049,1009,5042,1005xm5027,997l5023,1004,5030,1008,5034,1001,5027,997xm5012,990l5008,996,5015,1000,5019,993,5012,990xm4997,982l4993,989,5000,993,5005,986,4997,982xm4982,974l4978,981,4985,985,4990,978,4982,974xm4967,966l4963,973,4971,977,4975,970,4967,966xm4953,958l4948,965,4956,969,4960,962,4953,958xm4938,950l4934,957,4941,961,4945,954,4938,950xm4923,942l4919,949,4926,953,4930,946,4923,942xm4908,934l4904,941,4911,945,4916,938,4908,934xm4893,927l4889,934,4897,938,4901,931,4893,927xm4878,919l4874,926,4882,930,4886,923,4878,919xm4864,911l4859,918,4867,922,4871,915,4864,911xm4849,903l4845,910,4852,914,4856,907,4849,903xm4834,895l4830,902,4837,906,4841,899,4834,895xm4819,887l4815,894,4822,898,4827,891,4819,887xm4804,879l4800,886,4808,890,4812,883,4804,879xm4790,872l4785,879,4793,883,4797,876,4790,872xm4775,864l4770,871,4778,875,4782,868,4775,864xm4760,856l4756,863,4763,867,4767,860,4760,856xm4745,848l4741,855,4748,859,4752,852,4745,848xm4730,840l4726,847,4733,851,4738,844,4730,840xm4715,832l4711,839,4719,843,4723,836,4715,832xm4701,824l4696,831,4704,835,4708,828,4701,824xm4686,817l4682,824,4689,828,4693,820,4686,817xm4671,809l4667,816,4674,820,4678,813,4671,809xm4656,801l4652,808,4659,812,4663,805,4656,801xm4641,793l4637,800,4645,804,4649,797,4641,793xm4626,785l4622,792,4630,796,4634,789,4626,785xm4612,777l4607,784,4615,788,4619,781,4612,777xm4597,769l4593,776,4600,780,4604,773,4597,769xm4582,762l4578,769,4585,772,4589,765,4582,762xm4567,754l4563,761,4570,765,4574,758,4567,754xm4552,746l4548,753,4556,757,4560,750,4552,746xm4537,738l4533,745,4541,749,4545,742,4537,738xm4523,730l4518,737,4526,741,4530,734,4523,730xm4508,722l4504,729,4511,733,4515,726,4508,722xm4493,714l4489,721,4496,725,4500,718,4493,714xm4478,707l4474,713,4481,717,4486,710,4478,707xm4463,699l4459,706,4467,710,4471,703,4463,699xm4448,691l4444,698,4452,702,4456,695,4448,691xm4434,683l4429,690,4437,694,4441,687,4434,683xm4419,675l4415,682,4422,686,4426,679,4419,675xm4404,667l4400,674,4407,678,4411,671,4404,667xm4389,659l4385,666,4392,670,4397,663,4389,659xm4374,652l4370,658,4378,662,4382,655,4374,652xm4367,612l4299,644,4367,676,4347,647,4344,647,4344,639,4347,639,4367,612xm4360,644l4355,651,4363,655,4367,648,4360,644xm4344,644l4344,647,4347,647,4344,644xm4350,639l4347,639,4344,644,4347,647,4350,647,4350,639xm4347,639l4344,639,4344,644,4347,639xe" filled="true" fillcolor="#ff0000" stroked="false">
              <v:path arrowok="t"/>
              <v:fill type="solid"/>
            </v:shape>
            <v:shape style="position:absolute;left:3713;top:3671;width:238;height:246" type="#_x0000_t75" stroked="false">
              <v:imagedata r:id="rId214" o:title=""/>
            </v:shape>
            <v:shape style="position:absolute;left:3670;top:4236;width:108;height:315" type="#_x0000_t75" stroked="false">
              <v:imagedata r:id="rId215" o:title=""/>
            </v:shape>
            <v:shape style="position:absolute;left:3656;top:3070;width:68;height:363" coordorigin="3656,3070" coordsize="68,363" path="m3721,3424l3712,3425,3713,3433,3722,3432,3721,3424xm3719,3408l3711,3409,3712,3417,3720,3416,3719,3408xm3718,3392l3709,3393,3710,3401,3719,3400,3718,3392xm3716,3376l3708,3377,3709,3385,3717,3384,3716,3376xm3715,3360l3707,3361,3707,3369,3716,3368,3715,3360xm3714,3344l3705,3345,3706,3353,3714,3352,3714,3344xm3712,3328l3704,3329,3704,3337,3713,3336,3712,3328xm3711,3313l3702,3313,3703,3321,3711,3320,3711,3313xm3709,3297l3701,3297,3702,3305,3710,3305,3709,3297xm3708,3281l3699,3281,3700,3289,3709,3289,3708,3281xm3706,3265l3698,3265,3699,3273,3707,3273,3706,3265xm3705,3249l3697,3249,3697,3257,3706,3257,3705,3249xm3704,3233l3695,3233,3696,3241,3704,3241,3704,3233xm3702,3217l3694,3217,3694,3225,3703,3225,3702,3217xm3701,3201l3692,3202,3693,3209,3701,3209,3701,3201xm3699,3185l3691,3186,3691,3194,3700,3193,3699,3185xm3698,3169l3689,3170,3690,3178,3699,3177,3698,3169xm3696,3153l3688,3154,3689,3162,3697,3161,3696,3153xm3695,3137l3686,3138,3687,3146,3696,3145,3695,3137xm3685,3070l3656,3137,3687,3114,3684,3114,3684,3113,3693,3112,3712,3112,3685,3070xm3712,3112l3693,3112,3693,3113,3690,3113,3724,3131,3712,3112xm3693,3121l3685,3122,3686,3130,3694,3129,3693,3121xm3688,3113l3684,3113,3684,3114,3687,3114,3688,3113xm3687,3114l3684,3114,3687,3114,3687,3114xm3688,3113l3687,3114,3690,3113,3688,3113xm3693,3112l3688,3113,3690,3113,3693,3113,3693,3112xe" filled="true" fillcolor="#ff0000" stroked="false">
              <v:path arrowok="t"/>
              <v:fill type="solid"/>
            </v:shape>
            <v:shape style="position:absolute;left:3950;top:2361;width:261;height:250" type="#_x0000_t75" stroked="false">
              <v:imagedata r:id="rId216" o:title=""/>
            </v:shape>
            <v:shape style="position:absolute;left:3926;top:545;width:358;height:214" type="#_x0000_t202" filled="false" stroked="false">
              <v:textbox inset="0,0,0,0">
                <w:txbxContent>
                  <w:p>
                    <w:pPr>
                      <w:spacing w:line="96" w:lineRule="exact" w:before="0"/>
                      <w:ind w:left="0" w:right="0" w:firstLine="0"/>
                      <w:jc w:val="left"/>
                      <w:rPr>
                        <w:rFonts w:ascii="Calibri"/>
                        <w:b/>
                        <w:sz w:val="9"/>
                      </w:rPr>
                    </w:pPr>
                    <w:r>
                      <w:rPr>
                        <w:rFonts w:ascii="Calibri"/>
                        <w:b/>
                        <w:color w:val="404040"/>
                        <w:w w:val="115"/>
                        <w:sz w:val="9"/>
                      </w:rPr>
                      <w:t>El Ceibo</w:t>
                    </w:r>
                  </w:p>
                  <w:p>
                    <w:pPr>
                      <w:spacing w:before="8"/>
                      <w:ind w:left="61" w:right="0" w:firstLine="0"/>
                      <w:jc w:val="left"/>
                      <w:rPr>
                        <w:rFonts w:ascii="Calibri"/>
                        <w:b/>
                        <w:sz w:val="9"/>
                      </w:rPr>
                    </w:pPr>
                    <w:r>
                      <w:rPr>
                        <w:rFonts w:ascii="Calibri"/>
                        <w:b/>
                        <w:color w:val="404040"/>
                        <w:w w:val="115"/>
                        <w:sz w:val="9"/>
                      </w:rPr>
                      <w:t>-14.2</w:t>
                    </w:r>
                  </w:p>
                </w:txbxContent>
              </v:textbox>
              <w10:wrap type="none"/>
            </v:shape>
            <v:shape style="position:absolute;left:7737;top:933;width:860;height:214" type="#_x0000_t202" filled="false" stroked="false">
              <v:textbox inset="0,0,0,0">
                <w:txbxContent>
                  <w:p>
                    <w:pPr>
                      <w:spacing w:line="96" w:lineRule="exact" w:before="0"/>
                      <w:ind w:left="-1" w:right="18" w:firstLine="0"/>
                      <w:jc w:val="center"/>
                      <w:rPr>
                        <w:rFonts w:ascii="Calibri"/>
                        <w:b/>
                        <w:sz w:val="9"/>
                      </w:rPr>
                    </w:pPr>
                    <w:r>
                      <w:rPr>
                        <w:rFonts w:ascii="Calibri"/>
                        <w:b/>
                        <w:color w:val="404040"/>
                        <w:w w:val="115"/>
                        <w:sz w:val="9"/>
                      </w:rPr>
                      <w:t>Melchor de</w:t>
                    </w:r>
                    <w:r>
                      <w:rPr>
                        <w:rFonts w:ascii="Calibri"/>
                        <w:b/>
                        <w:color w:val="404040"/>
                        <w:spacing w:val="-10"/>
                        <w:w w:val="115"/>
                        <w:sz w:val="9"/>
                      </w:rPr>
                      <w:t> </w:t>
                    </w:r>
                    <w:r>
                      <w:rPr>
                        <w:rFonts w:ascii="Calibri"/>
                        <w:b/>
                        <w:color w:val="404040"/>
                        <w:spacing w:val="-3"/>
                        <w:w w:val="115"/>
                        <w:sz w:val="9"/>
                      </w:rPr>
                      <w:t>Mencos</w:t>
                    </w:r>
                  </w:p>
                  <w:p>
                    <w:pPr>
                      <w:spacing w:before="8"/>
                      <w:ind w:left="3" w:right="18" w:firstLine="0"/>
                      <w:jc w:val="center"/>
                      <w:rPr>
                        <w:rFonts w:ascii="Calibri"/>
                        <w:b/>
                        <w:sz w:val="9"/>
                      </w:rPr>
                    </w:pPr>
                    <w:r>
                      <w:rPr>
                        <w:rFonts w:ascii="Calibri"/>
                        <w:b/>
                        <w:color w:val="404040"/>
                        <w:w w:val="115"/>
                        <w:sz w:val="9"/>
                      </w:rPr>
                      <w:t>37.8</w:t>
                    </w:r>
                  </w:p>
                </w:txbxContent>
              </v:textbox>
              <w10:wrap type="none"/>
            </v:shape>
            <v:shape style="position:absolute;left:7197;top:1335;width:255;height:215" type="#_x0000_t202" filled="false" stroked="false">
              <v:textbox inset="0,0,0,0">
                <w:txbxContent>
                  <w:p>
                    <w:pPr>
                      <w:spacing w:line="96" w:lineRule="exact" w:before="0"/>
                      <w:ind w:left="17" w:right="0" w:firstLine="0"/>
                      <w:jc w:val="left"/>
                      <w:rPr>
                        <w:rFonts w:ascii="Calibri"/>
                        <w:b/>
                        <w:sz w:val="9"/>
                      </w:rPr>
                    </w:pPr>
                    <w:r>
                      <w:rPr>
                        <w:rFonts w:ascii="Calibri"/>
                        <w:b/>
                        <w:color w:val="404040"/>
                        <w:w w:val="115"/>
                        <w:sz w:val="9"/>
                      </w:rPr>
                      <w:t>Tikal</w:t>
                    </w:r>
                  </w:p>
                  <w:p>
                    <w:pPr>
                      <w:spacing w:before="8"/>
                      <w:ind w:left="0" w:right="0" w:firstLine="0"/>
                      <w:jc w:val="left"/>
                      <w:rPr>
                        <w:rFonts w:ascii="Calibri"/>
                        <w:b/>
                        <w:sz w:val="9"/>
                      </w:rPr>
                    </w:pPr>
                    <w:r>
                      <w:rPr>
                        <w:rFonts w:ascii="Calibri"/>
                        <w:b/>
                        <w:color w:val="404040"/>
                        <w:w w:val="115"/>
                        <w:sz w:val="9"/>
                      </w:rPr>
                      <w:t>441.9</w:t>
                    </w:r>
                  </w:p>
                </w:txbxContent>
              </v:textbox>
              <w10:wrap type="none"/>
            </v:shape>
            <v:shape style="position:absolute;left:3737;top:2130;width:444;height:214" type="#_x0000_t202" filled="false" stroked="false">
              <v:textbox inset="0,0,0,0">
                <w:txbxContent>
                  <w:p>
                    <w:pPr>
                      <w:spacing w:line="96" w:lineRule="exact" w:before="0"/>
                      <w:ind w:left="0" w:right="18" w:firstLine="0"/>
                      <w:jc w:val="center"/>
                      <w:rPr>
                        <w:rFonts w:ascii="Calibri"/>
                        <w:b/>
                        <w:sz w:val="9"/>
                      </w:rPr>
                    </w:pPr>
                    <w:r>
                      <w:rPr>
                        <w:rFonts w:ascii="Calibri"/>
                        <w:b/>
                        <w:color w:val="404040"/>
                        <w:w w:val="115"/>
                        <w:sz w:val="9"/>
                      </w:rPr>
                      <w:t>La </w:t>
                    </w:r>
                    <w:r>
                      <w:rPr>
                        <w:rFonts w:ascii="Calibri"/>
                        <w:b/>
                        <w:color w:val="404040"/>
                        <w:spacing w:val="-4"/>
                        <w:w w:val="115"/>
                        <w:sz w:val="9"/>
                      </w:rPr>
                      <w:t>Mesilla</w:t>
                    </w:r>
                  </w:p>
                  <w:p>
                    <w:pPr>
                      <w:spacing w:before="8"/>
                      <w:ind w:left="0" w:right="17" w:firstLine="0"/>
                      <w:jc w:val="center"/>
                      <w:rPr>
                        <w:rFonts w:ascii="Calibri"/>
                        <w:b/>
                        <w:sz w:val="9"/>
                      </w:rPr>
                    </w:pPr>
                    <w:r>
                      <w:rPr>
                        <w:rFonts w:ascii="Calibri"/>
                        <w:b/>
                        <w:color w:val="404040"/>
                        <w:w w:val="115"/>
                        <w:sz w:val="9"/>
                      </w:rPr>
                      <w:t>-27.8</w:t>
                    </w:r>
                  </w:p>
                </w:txbxContent>
              </v:textbox>
              <w10:wrap type="none"/>
            </v:shape>
            <v:shape style="position:absolute;left:7911;top:2242;width:632;height:214" type="#_x0000_t202" filled="false" stroked="false">
              <v:textbox inset="0,0,0,0">
                <w:txbxContent>
                  <w:p>
                    <w:pPr>
                      <w:spacing w:line="96" w:lineRule="exact" w:before="0"/>
                      <w:ind w:left="0" w:right="18" w:firstLine="0"/>
                      <w:jc w:val="center"/>
                      <w:rPr>
                        <w:rFonts w:ascii="Calibri"/>
                        <w:b/>
                        <w:sz w:val="9"/>
                      </w:rPr>
                    </w:pPr>
                    <w:r>
                      <w:rPr>
                        <w:rFonts w:ascii="Calibri"/>
                        <w:b/>
                        <w:color w:val="404040"/>
                        <w:w w:val="115"/>
                        <w:sz w:val="9"/>
                      </w:rPr>
                      <w:t>Puerto </w:t>
                    </w:r>
                    <w:r>
                      <w:rPr>
                        <w:rFonts w:ascii="Calibri"/>
                        <w:b/>
                        <w:color w:val="404040"/>
                        <w:spacing w:val="-3"/>
                        <w:w w:val="115"/>
                        <w:sz w:val="9"/>
                      </w:rPr>
                      <w:t>Barrios</w:t>
                    </w:r>
                  </w:p>
                  <w:p>
                    <w:pPr>
                      <w:spacing w:before="8"/>
                      <w:ind w:left="0" w:right="15" w:firstLine="0"/>
                      <w:jc w:val="center"/>
                      <w:rPr>
                        <w:rFonts w:ascii="Calibri"/>
                        <w:b/>
                        <w:sz w:val="9"/>
                      </w:rPr>
                    </w:pPr>
                    <w:r>
                      <w:rPr>
                        <w:rFonts w:ascii="Calibri"/>
                        <w:b/>
                        <w:color w:val="404040"/>
                        <w:w w:val="115"/>
                        <w:sz w:val="9"/>
                      </w:rPr>
                      <w:t>37.5</w:t>
                    </w:r>
                  </w:p>
                </w:txbxContent>
              </v:textbox>
              <w10:wrap type="none"/>
            </v:shape>
            <v:shape style="position:absolute;left:7356;top:2454;width:566;height:214" type="#_x0000_t202" filled="false" stroked="false">
              <v:textbox inset="0,0,0,0">
                <w:txbxContent>
                  <w:p>
                    <w:pPr>
                      <w:spacing w:line="96" w:lineRule="exact" w:before="0"/>
                      <w:ind w:left="0" w:right="18" w:firstLine="0"/>
                      <w:jc w:val="center"/>
                      <w:rPr>
                        <w:rFonts w:ascii="Calibri" w:hAnsi="Calibri"/>
                        <w:b/>
                        <w:sz w:val="9"/>
                      </w:rPr>
                    </w:pPr>
                    <w:r>
                      <w:rPr>
                        <w:rFonts w:ascii="Calibri" w:hAnsi="Calibri"/>
                        <w:b/>
                        <w:color w:val="404040"/>
                        <w:w w:val="115"/>
                        <w:sz w:val="9"/>
                      </w:rPr>
                      <w:t>Santo </w:t>
                    </w:r>
                    <w:r>
                      <w:rPr>
                        <w:rFonts w:ascii="Calibri" w:hAnsi="Calibri"/>
                        <w:b/>
                        <w:color w:val="404040"/>
                        <w:spacing w:val="-4"/>
                        <w:w w:val="115"/>
                        <w:sz w:val="9"/>
                      </w:rPr>
                      <w:t>Tomás</w:t>
                    </w:r>
                  </w:p>
                  <w:p>
                    <w:pPr>
                      <w:spacing w:before="8"/>
                      <w:ind w:left="0" w:right="16" w:firstLine="0"/>
                      <w:jc w:val="center"/>
                      <w:rPr>
                        <w:rFonts w:ascii="Calibri"/>
                        <w:b/>
                        <w:sz w:val="9"/>
                      </w:rPr>
                    </w:pPr>
                    <w:r>
                      <w:rPr>
                        <w:rFonts w:ascii="Calibri"/>
                        <w:b/>
                        <w:color w:val="404040"/>
                        <w:w w:val="115"/>
                        <w:sz w:val="9"/>
                      </w:rPr>
                      <w:t>31.0</w:t>
                    </w:r>
                  </w:p>
                </w:txbxContent>
              </v:textbox>
              <w10:wrap type="none"/>
            </v:shape>
            <v:shape style="position:absolute;left:3469;top:2838;width:449;height:214" type="#_x0000_t202" filled="false" stroked="false">
              <v:textbox inset="0,0,0,0">
                <w:txbxContent>
                  <w:p>
                    <w:pPr>
                      <w:spacing w:line="96" w:lineRule="exact" w:before="0"/>
                      <w:ind w:left="0" w:right="18" w:firstLine="0"/>
                      <w:jc w:val="center"/>
                      <w:rPr>
                        <w:rFonts w:ascii="Calibri"/>
                        <w:b/>
                        <w:sz w:val="9"/>
                      </w:rPr>
                    </w:pPr>
                    <w:r>
                      <w:rPr>
                        <w:rFonts w:ascii="Calibri"/>
                        <w:b/>
                        <w:color w:val="404040"/>
                        <w:w w:val="115"/>
                        <w:sz w:val="9"/>
                      </w:rPr>
                      <w:t>El </w:t>
                    </w:r>
                    <w:r>
                      <w:rPr>
                        <w:rFonts w:ascii="Calibri"/>
                        <w:b/>
                        <w:color w:val="404040"/>
                        <w:spacing w:val="-4"/>
                        <w:w w:val="115"/>
                        <w:sz w:val="9"/>
                      </w:rPr>
                      <w:t>Carmen</w:t>
                    </w:r>
                  </w:p>
                  <w:p>
                    <w:pPr>
                      <w:spacing w:before="8"/>
                      <w:ind w:left="0" w:right="16" w:firstLine="0"/>
                      <w:jc w:val="center"/>
                      <w:rPr>
                        <w:rFonts w:ascii="Calibri"/>
                        <w:b/>
                        <w:sz w:val="9"/>
                      </w:rPr>
                    </w:pPr>
                    <w:r>
                      <w:rPr>
                        <w:rFonts w:ascii="Calibri"/>
                        <w:b/>
                        <w:color w:val="404040"/>
                        <w:w w:val="115"/>
                        <w:sz w:val="9"/>
                      </w:rPr>
                      <w:t>2.5</w:t>
                    </w:r>
                  </w:p>
                </w:txbxContent>
              </v:textbox>
              <w10:wrap type="none"/>
            </v:shape>
            <v:shape style="position:absolute;left:3984;top:3605;width:631;height:214" type="#_x0000_t202" filled="false" stroked="false">
              <v:textbox inset="0,0,0,0">
                <w:txbxContent>
                  <w:p>
                    <w:pPr>
                      <w:spacing w:line="96" w:lineRule="exact" w:before="0"/>
                      <w:ind w:left="0" w:right="18" w:firstLine="0"/>
                      <w:jc w:val="center"/>
                      <w:rPr>
                        <w:rFonts w:ascii="Calibri" w:hAnsi="Calibri"/>
                        <w:b/>
                        <w:sz w:val="9"/>
                      </w:rPr>
                    </w:pPr>
                    <w:r>
                      <w:rPr>
                        <w:rFonts w:ascii="Calibri" w:hAnsi="Calibri"/>
                        <w:b/>
                        <w:color w:val="404040"/>
                        <w:w w:val="115"/>
                        <w:sz w:val="9"/>
                      </w:rPr>
                      <w:t>Tecún Umán </w:t>
                    </w:r>
                    <w:r>
                      <w:rPr>
                        <w:rFonts w:ascii="Calibri" w:hAnsi="Calibri"/>
                        <w:b/>
                        <w:color w:val="404040"/>
                        <w:spacing w:val="-7"/>
                        <w:w w:val="115"/>
                        <w:sz w:val="9"/>
                      </w:rPr>
                      <w:t>II</w:t>
                    </w:r>
                  </w:p>
                  <w:p>
                    <w:pPr>
                      <w:spacing w:before="8"/>
                      <w:ind w:left="0" w:right="17" w:firstLine="0"/>
                      <w:jc w:val="center"/>
                      <w:rPr>
                        <w:rFonts w:ascii="Calibri"/>
                        <w:b/>
                        <w:sz w:val="9"/>
                      </w:rPr>
                    </w:pPr>
                    <w:r>
                      <w:rPr>
                        <w:rFonts w:ascii="Calibri"/>
                        <w:b/>
                        <w:color w:val="404040"/>
                        <w:w w:val="115"/>
                        <w:sz w:val="9"/>
                      </w:rPr>
                      <w:t>31.3</w:t>
                    </w:r>
                  </w:p>
                </w:txbxContent>
              </v:textbox>
              <w10:wrap type="none"/>
            </v:shape>
            <v:shape style="position:absolute;left:5030;top:3505;width:441;height:688" type="#_x0000_t202" filled="false" stroked="false">
              <v:textbox inset="0,0,0,0">
                <w:txbxContent>
                  <w:p>
                    <w:pPr>
                      <w:spacing w:line="96" w:lineRule="exact" w:before="0"/>
                      <w:ind w:left="13" w:right="0" w:firstLine="0"/>
                      <w:jc w:val="left"/>
                      <w:rPr>
                        <w:rFonts w:ascii="Calibri" w:hAnsi="Calibri"/>
                        <w:b/>
                        <w:sz w:val="9"/>
                      </w:rPr>
                    </w:pPr>
                    <w:r>
                      <w:rPr>
                        <w:rFonts w:ascii="Calibri" w:hAnsi="Calibri"/>
                        <w:b/>
                        <w:color w:val="404040"/>
                        <w:w w:val="115"/>
                        <w:sz w:val="9"/>
                      </w:rPr>
                      <w:t>Vehículos</w:t>
                    </w:r>
                  </w:p>
                  <w:p>
                    <w:pPr>
                      <w:spacing w:before="8"/>
                      <w:ind w:left="110" w:right="0" w:firstLine="0"/>
                      <w:jc w:val="left"/>
                      <w:rPr>
                        <w:rFonts w:ascii="Calibri"/>
                        <w:b/>
                        <w:sz w:val="9"/>
                      </w:rPr>
                    </w:pPr>
                    <w:r>
                      <w:rPr>
                        <w:rFonts w:ascii="Calibri"/>
                        <w:b/>
                        <w:color w:val="404040"/>
                        <w:w w:val="115"/>
                        <w:sz w:val="9"/>
                      </w:rPr>
                      <w:t>-35.4</w:t>
                    </w:r>
                  </w:p>
                  <w:p>
                    <w:pPr>
                      <w:spacing w:line="240" w:lineRule="auto" w:before="0"/>
                      <w:rPr>
                        <w:rFonts w:ascii="Calibri"/>
                        <w:b/>
                        <w:sz w:val="10"/>
                      </w:rPr>
                    </w:pPr>
                  </w:p>
                  <w:p>
                    <w:pPr>
                      <w:spacing w:line="240" w:lineRule="auto" w:before="1"/>
                      <w:rPr>
                        <w:rFonts w:ascii="Calibri"/>
                        <w:b/>
                        <w:sz w:val="10"/>
                      </w:rPr>
                    </w:pPr>
                  </w:p>
                  <w:p>
                    <w:pPr>
                      <w:spacing w:line="256" w:lineRule="auto" w:before="0"/>
                      <w:ind w:left="62" w:right="123" w:hanging="63"/>
                      <w:jc w:val="left"/>
                      <w:rPr>
                        <w:rFonts w:ascii="Calibri"/>
                        <w:b/>
                        <w:sz w:val="9"/>
                      </w:rPr>
                    </w:pPr>
                    <w:r>
                      <w:rPr>
                        <w:rFonts w:ascii="Calibri"/>
                        <w:b/>
                        <w:color w:val="404040"/>
                        <w:w w:val="110"/>
                        <w:sz w:val="9"/>
                      </w:rPr>
                      <w:t>Central </w:t>
                    </w:r>
                    <w:r>
                      <w:rPr>
                        <w:rFonts w:ascii="Calibri"/>
                        <w:b/>
                        <w:color w:val="404040"/>
                        <w:w w:val="115"/>
                        <w:sz w:val="9"/>
                      </w:rPr>
                      <w:t>23.1</w:t>
                    </w:r>
                  </w:p>
                </w:txbxContent>
              </v:textbox>
              <w10:wrap type="none"/>
            </v:shape>
            <v:shape style="position:absolute;left:6186;top:3882;width:681;height:214" type="#_x0000_t202" filled="false" stroked="false">
              <v:textbox inset="0,0,0,0">
                <w:txbxContent>
                  <w:p>
                    <w:pPr>
                      <w:spacing w:line="96" w:lineRule="exact" w:before="0"/>
                      <w:ind w:left="0" w:right="18" w:firstLine="0"/>
                      <w:jc w:val="center"/>
                      <w:rPr>
                        <w:rFonts w:ascii="Calibri"/>
                        <w:b/>
                        <w:sz w:val="9"/>
                      </w:rPr>
                    </w:pPr>
                    <w:r>
                      <w:rPr>
                        <w:rFonts w:ascii="Calibri"/>
                        <w:b/>
                        <w:color w:val="404040"/>
                        <w:w w:val="115"/>
                        <w:sz w:val="9"/>
                      </w:rPr>
                      <w:t>Fardos </w:t>
                    </w:r>
                    <w:r>
                      <w:rPr>
                        <w:rFonts w:ascii="Calibri"/>
                        <w:b/>
                        <w:color w:val="404040"/>
                        <w:spacing w:val="-3"/>
                        <w:w w:val="115"/>
                        <w:sz w:val="9"/>
                      </w:rPr>
                      <w:t>Postales</w:t>
                    </w:r>
                  </w:p>
                  <w:p>
                    <w:pPr>
                      <w:spacing w:before="8"/>
                      <w:ind w:left="0" w:right="16" w:firstLine="0"/>
                      <w:jc w:val="center"/>
                      <w:rPr>
                        <w:rFonts w:ascii="Calibri"/>
                        <w:b/>
                        <w:sz w:val="9"/>
                      </w:rPr>
                    </w:pPr>
                    <w:r>
                      <w:rPr>
                        <w:rFonts w:ascii="Calibri"/>
                        <w:b/>
                        <w:color w:val="404040"/>
                        <w:w w:val="115"/>
                        <w:sz w:val="9"/>
                      </w:rPr>
                      <w:t>0.0</w:t>
                    </w:r>
                  </w:p>
                </w:txbxContent>
              </v:textbox>
              <w10:wrap type="none"/>
            </v:shape>
            <v:shape style="position:absolute;left:7744;top:3371;width:1033;height:707" type="#_x0000_t202" filled="false" stroked="false">
              <v:textbox inset="0,0,0,0">
                <w:txbxContent>
                  <w:p>
                    <w:pPr>
                      <w:spacing w:line="96" w:lineRule="exact" w:before="0"/>
                      <w:ind w:left="232" w:right="0" w:firstLine="0"/>
                      <w:jc w:val="center"/>
                      <w:rPr>
                        <w:rFonts w:ascii="Calibri"/>
                        <w:b/>
                        <w:sz w:val="9"/>
                      </w:rPr>
                    </w:pPr>
                    <w:r>
                      <w:rPr>
                        <w:rFonts w:ascii="Calibri"/>
                        <w:b/>
                        <w:color w:val="404040"/>
                        <w:w w:val="115"/>
                        <w:sz w:val="9"/>
                      </w:rPr>
                      <w:t>Aduana Integrada</w:t>
                    </w:r>
                  </w:p>
                  <w:p>
                    <w:pPr>
                      <w:spacing w:line="256" w:lineRule="auto" w:before="8"/>
                      <w:ind w:left="453" w:right="219" w:firstLine="0"/>
                      <w:jc w:val="center"/>
                      <w:rPr>
                        <w:rFonts w:ascii="Calibri"/>
                        <w:b/>
                        <w:sz w:val="9"/>
                      </w:rPr>
                    </w:pPr>
                    <w:r>
                      <w:rPr>
                        <w:rFonts w:ascii="Calibri"/>
                        <w:b/>
                        <w:color w:val="404040"/>
                        <w:w w:val="115"/>
                        <w:sz w:val="9"/>
                      </w:rPr>
                      <w:t>Corinto 44.6</w:t>
                    </w:r>
                  </w:p>
                  <w:p>
                    <w:pPr>
                      <w:spacing w:line="256" w:lineRule="auto" w:before="22"/>
                      <w:ind w:left="0" w:right="32" w:firstLine="0"/>
                      <w:jc w:val="center"/>
                      <w:rPr>
                        <w:rFonts w:ascii="Calibri"/>
                        <w:b/>
                        <w:sz w:val="9"/>
                      </w:rPr>
                    </w:pPr>
                    <w:r>
                      <w:rPr>
                        <w:rFonts w:ascii="Calibri"/>
                        <w:b/>
                        <w:color w:val="404040"/>
                        <w:w w:val="115"/>
                        <w:sz w:val="9"/>
                      </w:rPr>
                      <w:t>Aduana Integrada </w:t>
                    </w:r>
                    <w:r>
                      <w:rPr>
                        <w:rFonts w:ascii="Calibri"/>
                        <w:b/>
                        <w:color w:val="404040"/>
                        <w:spacing w:val="-4"/>
                        <w:w w:val="115"/>
                        <w:sz w:val="9"/>
                      </w:rPr>
                      <w:t>Agua </w:t>
                    </w:r>
                    <w:r>
                      <w:rPr>
                        <w:rFonts w:ascii="Calibri"/>
                        <w:b/>
                        <w:color w:val="404040"/>
                        <w:w w:val="115"/>
                        <w:sz w:val="9"/>
                      </w:rPr>
                      <w:t>Caliente</w:t>
                    </w:r>
                  </w:p>
                  <w:p>
                    <w:pPr>
                      <w:spacing w:before="0"/>
                      <w:ind w:left="188" w:right="219" w:firstLine="0"/>
                      <w:jc w:val="center"/>
                      <w:rPr>
                        <w:rFonts w:ascii="Calibri"/>
                        <w:b/>
                        <w:sz w:val="9"/>
                      </w:rPr>
                    </w:pPr>
                    <w:r>
                      <w:rPr>
                        <w:rFonts w:ascii="Calibri"/>
                        <w:b/>
                        <w:color w:val="404040"/>
                        <w:w w:val="115"/>
                        <w:sz w:val="9"/>
                      </w:rPr>
                      <w:t>-12.1</w:t>
                    </w:r>
                  </w:p>
                </w:txbxContent>
              </v:textbox>
              <w10:wrap type="none"/>
            </v:shape>
            <v:shape style="position:absolute;left:3470;top:4586;width:603;height:214" type="#_x0000_t202" filled="false" stroked="false">
              <v:textbox inset="0,0,0,0">
                <w:txbxContent>
                  <w:p>
                    <w:pPr>
                      <w:spacing w:line="96" w:lineRule="exact" w:before="0"/>
                      <w:ind w:left="0" w:right="18" w:firstLine="0"/>
                      <w:jc w:val="center"/>
                      <w:rPr>
                        <w:rFonts w:ascii="Calibri" w:hAnsi="Calibri"/>
                        <w:b/>
                        <w:sz w:val="9"/>
                      </w:rPr>
                    </w:pPr>
                    <w:r>
                      <w:rPr>
                        <w:rFonts w:ascii="Calibri" w:hAnsi="Calibri"/>
                        <w:b/>
                        <w:color w:val="404040"/>
                        <w:w w:val="115"/>
                        <w:sz w:val="9"/>
                      </w:rPr>
                      <w:t>Tecún Umán </w:t>
                    </w:r>
                    <w:r>
                      <w:rPr>
                        <w:rFonts w:ascii="Calibri" w:hAnsi="Calibri"/>
                        <w:b/>
                        <w:color w:val="404040"/>
                        <w:spacing w:val="-14"/>
                        <w:w w:val="115"/>
                        <w:sz w:val="9"/>
                      </w:rPr>
                      <w:t>I</w:t>
                    </w:r>
                  </w:p>
                  <w:p>
                    <w:pPr>
                      <w:spacing w:before="8"/>
                      <w:ind w:left="0" w:right="17" w:firstLine="0"/>
                      <w:jc w:val="center"/>
                      <w:rPr>
                        <w:rFonts w:ascii="Calibri"/>
                        <w:b/>
                        <w:sz w:val="9"/>
                      </w:rPr>
                    </w:pPr>
                    <w:r>
                      <w:rPr>
                        <w:rFonts w:ascii="Calibri"/>
                        <w:b/>
                        <w:color w:val="404040"/>
                        <w:w w:val="115"/>
                        <w:sz w:val="9"/>
                      </w:rPr>
                      <w:t>3.4</w:t>
                    </w:r>
                  </w:p>
                </w:txbxContent>
              </v:textbox>
              <w10:wrap type="none"/>
            </v:shape>
            <v:shape style="position:absolute;left:4379;top:4448;width:841;height:214" type="#_x0000_t202" filled="false" stroked="false">
              <v:textbox inset="0,0,0,0">
                <w:txbxContent>
                  <w:p>
                    <w:pPr>
                      <w:spacing w:line="96" w:lineRule="exact" w:before="0"/>
                      <w:ind w:left="0" w:right="18" w:firstLine="0"/>
                      <w:jc w:val="center"/>
                      <w:rPr>
                        <w:rFonts w:ascii="Calibri" w:hAnsi="Calibri"/>
                        <w:b/>
                        <w:sz w:val="9"/>
                      </w:rPr>
                    </w:pPr>
                    <w:r>
                      <w:rPr>
                        <w:rFonts w:ascii="Calibri" w:hAnsi="Calibri"/>
                        <w:b/>
                        <w:color w:val="404040"/>
                        <w:w w:val="115"/>
                        <w:sz w:val="9"/>
                      </w:rPr>
                      <w:t>Central de </w:t>
                    </w:r>
                    <w:r>
                      <w:rPr>
                        <w:rFonts w:ascii="Calibri" w:hAnsi="Calibri"/>
                        <w:b/>
                        <w:color w:val="404040"/>
                        <w:spacing w:val="-3"/>
                        <w:w w:val="115"/>
                        <w:sz w:val="9"/>
                      </w:rPr>
                      <w:t>Aviación</w:t>
                    </w:r>
                  </w:p>
                  <w:p>
                    <w:pPr>
                      <w:spacing w:before="8"/>
                      <w:ind w:left="0" w:right="18" w:firstLine="0"/>
                      <w:jc w:val="center"/>
                      <w:rPr>
                        <w:rFonts w:ascii="Calibri"/>
                        <w:b/>
                        <w:sz w:val="9"/>
                      </w:rPr>
                    </w:pPr>
                    <w:r>
                      <w:rPr>
                        <w:rFonts w:ascii="Calibri"/>
                        <w:b/>
                        <w:color w:val="404040"/>
                        <w:w w:val="115"/>
                        <w:sz w:val="9"/>
                      </w:rPr>
                      <w:t>26.6</w:t>
                    </w:r>
                  </w:p>
                </w:txbxContent>
              </v:textbox>
              <w10:wrap type="none"/>
            </v:shape>
            <v:shape style="position:absolute;left:6145;top:4327;width:620;height:214" type="#_x0000_t202" filled="false" stroked="false">
              <v:textbox inset="0,0,0,0">
                <w:txbxContent>
                  <w:p>
                    <w:pPr>
                      <w:spacing w:line="96" w:lineRule="exact" w:before="0"/>
                      <w:ind w:left="-1" w:right="18" w:firstLine="0"/>
                      <w:jc w:val="center"/>
                      <w:rPr>
                        <w:rFonts w:ascii="Calibri" w:hAnsi="Calibri"/>
                        <w:b/>
                        <w:sz w:val="9"/>
                      </w:rPr>
                    </w:pPr>
                    <w:r>
                      <w:rPr>
                        <w:rFonts w:ascii="Calibri" w:hAnsi="Calibri"/>
                        <w:b/>
                        <w:color w:val="404040"/>
                        <w:w w:val="115"/>
                        <w:sz w:val="9"/>
                      </w:rPr>
                      <w:t>Express</w:t>
                    </w:r>
                    <w:r>
                      <w:rPr>
                        <w:rFonts w:ascii="Calibri" w:hAnsi="Calibri"/>
                        <w:b/>
                        <w:color w:val="404040"/>
                        <w:spacing w:val="-5"/>
                        <w:w w:val="115"/>
                        <w:sz w:val="9"/>
                      </w:rPr>
                      <w:t> </w:t>
                    </w:r>
                    <w:r>
                      <w:rPr>
                        <w:rFonts w:ascii="Calibri" w:hAnsi="Calibri"/>
                        <w:b/>
                        <w:color w:val="404040"/>
                        <w:spacing w:val="-4"/>
                        <w:w w:val="115"/>
                        <w:sz w:val="9"/>
                      </w:rPr>
                      <w:t>Aéreo</w:t>
                    </w:r>
                  </w:p>
                  <w:p>
                    <w:pPr>
                      <w:spacing w:before="8"/>
                      <w:ind w:left="1" w:right="18" w:firstLine="0"/>
                      <w:jc w:val="center"/>
                      <w:rPr>
                        <w:rFonts w:ascii="Calibri"/>
                        <w:b/>
                        <w:sz w:val="9"/>
                      </w:rPr>
                    </w:pPr>
                    <w:r>
                      <w:rPr>
                        <w:rFonts w:ascii="Calibri"/>
                        <w:b/>
                        <w:color w:val="404040"/>
                        <w:w w:val="115"/>
                        <w:sz w:val="9"/>
                      </w:rPr>
                      <w:t>12.8</w:t>
                    </w:r>
                  </w:p>
                </w:txbxContent>
              </v:textbox>
              <w10:wrap type="none"/>
            </v:shape>
            <v:shape style="position:absolute;left:7892;top:4199;width:879;height:332" type="#_x0000_t202" filled="false" stroked="false">
              <v:textbox inset="0,0,0,0">
                <w:txbxContent>
                  <w:p>
                    <w:pPr>
                      <w:spacing w:line="96" w:lineRule="exact" w:before="0"/>
                      <w:ind w:left="0" w:right="18" w:firstLine="0"/>
                      <w:jc w:val="center"/>
                      <w:rPr>
                        <w:rFonts w:ascii="Calibri"/>
                        <w:b/>
                        <w:sz w:val="9"/>
                      </w:rPr>
                    </w:pPr>
                    <w:r>
                      <w:rPr>
                        <w:rFonts w:ascii="Calibri"/>
                        <w:b/>
                        <w:color w:val="404040"/>
                        <w:w w:val="115"/>
                        <w:sz w:val="9"/>
                      </w:rPr>
                      <w:t>Aduana Integrada </w:t>
                    </w:r>
                    <w:r>
                      <w:rPr>
                        <w:rFonts w:ascii="Calibri"/>
                        <w:b/>
                        <w:color w:val="404040"/>
                        <w:spacing w:val="-6"/>
                        <w:w w:val="115"/>
                        <w:sz w:val="9"/>
                      </w:rPr>
                      <w:t>El</w:t>
                    </w:r>
                  </w:p>
                  <w:p>
                    <w:pPr>
                      <w:spacing w:line="256" w:lineRule="auto" w:before="8"/>
                      <w:ind w:left="259" w:right="278" w:firstLine="0"/>
                      <w:jc w:val="center"/>
                      <w:rPr>
                        <w:rFonts w:ascii="Calibri"/>
                        <w:b/>
                        <w:sz w:val="9"/>
                      </w:rPr>
                    </w:pPr>
                    <w:r>
                      <w:rPr>
                        <w:rFonts w:ascii="Calibri"/>
                        <w:b/>
                        <w:color w:val="404040"/>
                        <w:w w:val="115"/>
                        <w:sz w:val="9"/>
                      </w:rPr>
                      <w:t>Florido</w:t>
                    </w:r>
                    <w:r>
                      <w:rPr>
                        <w:rFonts w:ascii="Calibri"/>
                        <w:b/>
                        <w:color w:val="404040"/>
                        <w:w w:val="113"/>
                        <w:sz w:val="9"/>
                      </w:rPr>
                      <w:t> </w:t>
                    </w:r>
                    <w:r>
                      <w:rPr>
                        <w:rFonts w:ascii="Calibri"/>
                        <w:b/>
                        <w:color w:val="404040"/>
                        <w:w w:val="115"/>
                        <w:sz w:val="9"/>
                      </w:rPr>
                      <w:t>20.4</w:t>
                    </w:r>
                  </w:p>
                </w:txbxContent>
              </v:textbox>
              <w10:wrap type="none"/>
            </v:shape>
            <v:shape style="position:absolute;left:7444;top:4540;width:418;height:214" type="#_x0000_t202" filled="false" stroked="false">
              <v:textbox inset="0,0,0,0">
                <w:txbxContent>
                  <w:p>
                    <w:pPr>
                      <w:spacing w:line="96" w:lineRule="exact" w:before="0"/>
                      <w:ind w:left="0" w:right="18" w:firstLine="0"/>
                      <w:jc w:val="center"/>
                      <w:rPr>
                        <w:rFonts w:ascii="Calibri"/>
                        <w:b/>
                        <w:sz w:val="9"/>
                      </w:rPr>
                    </w:pPr>
                    <w:r>
                      <w:rPr>
                        <w:rFonts w:ascii="Calibri"/>
                        <w:b/>
                        <w:color w:val="404040"/>
                        <w:w w:val="115"/>
                        <w:sz w:val="9"/>
                      </w:rPr>
                      <w:t>La </w:t>
                    </w:r>
                    <w:r>
                      <w:rPr>
                        <w:rFonts w:ascii="Calibri"/>
                        <w:b/>
                        <w:color w:val="404040"/>
                        <w:spacing w:val="-4"/>
                        <w:w w:val="115"/>
                        <w:sz w:val="9"/>
                      </w:rPr>
                      <w:t>Ermita</w:t>
                    </w:r>
                  </w:p>
                  <w:p>
                    <w:pPr>
                      <w:spacing w:before="8"/>
                      <w:ind w:left="0" w:right="17" w:firstLine="0"/>
                      <w:jc w:val="center"/>
                      <w:rPr>
                        <w:rFonts w:ascii="Calibri"/>
                        <w:b/>
                        <w:sz w:val="9"/>
                      </w:rPr>
                    </w:pPr>
                    <w:r>
                      <w:rPr>
                        <w:rFonts w:ascii="Calibri"/>
                        <w:b/>
                        <w:color w:val="404040"/>
                        <w:w w:val="115"/>
                        <w:sz w:val="9"/>
                      </w:rPr>
                      <w:t>20.9</w:t>
                    </w:r>
                  </w:p>
                </w:txbxContent>
              </v:textbox>
              <w10:wrap type="none"/>
            </v:shape>
            <v:shape style="position:absolute;left:7974;top:4777;width:574;height:214" type="#_x0000_t202" filled="false" stroked="false">
              <v:textbox inset="0,0,0,0">
                <w:txbxContent>
                  <w:p>
                    <w:pPr>
                      <w:spacing w:line="96" w:lineRule="exact" w:before="0"/>
                      <w:ind w:left="-1" w:right="18" w:firstLine="0"/>
                      <w:jc w:val="center"/>
                      <w:rPr>
                        <w:rFonts w:ascii="Calibri" w:hAnsi="Calibri"/>
                        <w:b/>
                        <w:sz w:val="9"/>
                      </w:rPr>
                    </w:pPr>
                    <w:r>
                      <w:rPr>
                        <w:rFonts w:ascii="Calibri" w:hAnsi="Calibri"/>
                        <w:b/>
                        <w:color w:val="404040"/>
                        <w:w w:val="115"/>
                        <w:sz w:val="9"/>
                      </w:rPr>
                      <w:t>San</w:t>
                    </w:r>
                    <w:r>
                      <w:rPr>
                        <w:rFonts w:ascii="Calibri" w:hAnsi="Calibri"/>
                        <w:b/>
                        <w:color w:val="404040"/>
                        <w:spacing w:val="1"/>
                        <w:w w:val="115"/>
                        <w:sz w:val="9"/>
                      </w:rPr>
                      <w:t> </w:t>
                    </w:r>
                    <w:r>
                      <w:rPr>
                        <w:rFonts w:ascii="Calibri" w:hAnsi="Calibri"/>
                        <w:b/>
                        <w:color w:val="404040"/>
                        <w:spacing w:val="-3"/>
                        <w:w w:val="115"/>
                        <w:sz w:val="9"/>
                      </w:rPr>
                      <w:t>Cristóbal</w:t>
                    </w:r>
                  </w:p>
                  <w:p>
                    <w:pPr>
                      <w:spacing w:before="8"/>
                      <w:ind w:left="0" w:right="18" w:firstLine="0"/>
                      <w:jc w:val="center"/>
                      <w:rPr>
                        <w:rFonts w:ascii="Calibri"/>
                        <w:b/>
                        <w:sz w:val="9"/>
                      </w:rPr>
                    </w:pPr>
                    <w:r>
                      <w:rPr>
                        <w:rFonts w:ascii="Calibri"/>
                        <w:b/>
                        <w:color w:val="404040"/>
                        <w:w w:val="115"/>
                        <w:sz w:val="9"/>
                      </w:rPr>
                      <w:t>21.3</w:t>
                    </w:r>
                  </w:p>
                </w:txbxContent>
              </v:textbox>
              <w10:wrap type="none"/>
            </v:shape>
            <v:shape style="position:absolute;left:4357;top:5046;width:658;height:214" type="#_x0000_t202" filled="false" stroked="false">
              <v:textbox inset="0,0,0,0">
                <w:txbxContent>
                  <w:p>
                    <w:pPr>
                      <w:spacing w:line="96" w:lineRule="exact" w:before="0"/>
                      <w:ind w:left="0" w:right="18" w:firstLine="0"/>
                      <w:jc w:val="center"/>
                      <w:rPr>
                        <w:rFonts w:ascii="Calibri"/>
                        <w:b/>
                        <w:sz w:val="9"/>
                      </w:rPr>
                    </w:pPr>
                    <w:r>
                      <w:rPr>
                        <w:rFonts w:ascii="Calibri"/>
                        <w:b/>
                        <w:color w:val="404040"/>
                        <w:w w:val="115"/>
                        <w:sz w:val="9"/>
                      </w:rPr>
                      <w:t>Puerto </w:t>
                    </w:r>
                    <w:r>
                      <w:rPr>
                        <w:rFonts w:ascii="Calibri"/>
                        <w:b/>
                        <w:color w:val="404040"/>
                        <w:spacing w:val="-3"/>
                        <w:w w:val="115"/>
                        <w:sz w:val="9"/>
                      </w:rPr>
                      <w:t>Quetzal</w:t>
                    </w:r>
                  </w:p>
                  <w:p>
                    <w:pPr>
                      <w:spacing w:before="8"/>
                      <w:ind w:left="0" w:right="18" w:firstLine="0"/>
                      <w:jc w:val="center"/>
                      <w:rPr>
                        <w:rFonts w:ascii="Calibri"/>
                        <w:b/>
                        <w:sz w:val="9"/>
                      </w:rPr>
                    </w:pPr>
                    <w:r>
                      <w:rPr>
                        <w:rFonts w:ascii="Calibri"/>
                        <w:b/>
                        <w:color w:val="404040"/>
                        <w:w w:val="115"/>
                        <w:sz w:val="9"/>
                      </w:rPr>
                      <w:t>32.1</w:t>
                    </w:r>
                  </w:p>
                </w:txbxContent>
              </v:textbox>
              <w10:wrap type="none"/>
            </v:shape>
            <v:shape style="position:absolute;left:6755;top:4879;width:805;height:451" type="#_x0000_t202" filled="false" stroked="false">
              <v:textbox inset="0,0,0,0">
                <w:txbxContent>
                  <w:p>
                    <w:pPr>
                      <w:spacing w:line="96" w:lineRule="exact" w:before="0"/>
                      <w:ind w:left="170" w:right="18" w:firstLine="0"/>
                      <w:jc w:val="center"/>
                      <w:rPr>
                        <w:rFonts w:ascii="Calibri"/>
                        <w:b/>
                        <w:sz w:val="9"/>
                      </w:rPr>
                    </w:pPr>
                    <w:r>
                      <w:rPr>
                        <w:rFonts w:ascii="Calibri"/>
                        <w:b/>
                        <w:color w:val="404040"/>
                        <w:w w:val="115"/>
                        <w:sz w:val="9"/>
                      </w:rPr>
                      <w:t>Valle Nuevo</w:t>
                    </w:r>
                  </w:p>
                  <w:p>
                    <w:pPr>
                      <w:spacing w:before="8"/>
                      <w:ind w:left="172" w:right="18" w:firstLine="0"/>
                      <w:jc w:val="center"/>
                      <w:rPr>
                        <w:rFonts w:ascii="Calibri"/>
                        <w:b/>
                        <w:sz w:val="9"/>
                      </w:rPr>
                    </w:pPr>
                    <w:r>
                      <w:rPr>
                        <w:rFonts w:ascii="Calibri"/>
                        <w:b/>
                        <w:color w:val="404040"/>
                        <w:w w:val="115"/>
                        <w:sz w:val="9"/>
                      </w:rPr>
                      <w:t>25.9</w:t>
                    </w:r>
                  </w:p>
                  <w:p>
                    <w:pPr>
                      <w:spacing w:line="256" w:lineRule="auto" w:before="9"/>
                      <w:ind w:left="0" w:right="18" w:firstLine="0"/>
                      <w:jc w:val="center"/>
                      <w:rPr>
                        <w:rFonts w:ascii="Calibri"/>
                        <w:b/>
                        <w:sz w:val="9"/>
                      </w:rPr>
                    </w:pPr>
                    <w:r>
                      <w:rPr>
                        <w:rFonts w:ascii="Calibri"/>
                        <w:b/>
                        <w:color w:val="404040"/>
                        <w:w w:val="115"/>
                        <w:sz w:val="9"/>
                      </w:rPr>
                      <w:t>Pedro de </w:t>
                    </w:r>
                    <w:r>
                      <w:rPr>
                        <w:rFonts w:ascii="Calibri"/>
                        <w:b/>
                        <w:color w:val="404040"/>
                        <w:spacing w:val="-3"/>
                        <w:w w:val="115"/>
                        <w:sz w:val="9"/>
                      </w:rPr>
                      <w:t>Alvarado </w:t>
                    </w:r>
                    <w:r>
                      <w:rPr>
                        <w:rFonts w:ascii="Calibri"/>
                        <w:b/>
                        <w:color w:val="404040"/>
                        <w:w w:val="115"/>
                        <w:sz w:val="9"/>
                      </w:rPr>
                      <w:t>30.7</w:t>
                    </w:r>
                  </w:p>
                </w:txbxContent>
              </v:textbox>
              <w10:wrap type="none"/>
            </v:shape>
            <w10:wrap type="topAndBottom"/>
          </v:group>
        </w:pict>
      </w:r>
      <w:r>
        <w:rPr/>
        <w:t>Porcentajes (2022/2021)</w:t>
      </w:r>
    </w:p>
    <w:p>
      <w:pPr>
        <w:spacing w:before="41"/>
        <w:ind w:left="1978" w:right="0" w:firstLine="0"/>
        <w:jc w:val="left"/>
        <w:rPr>
          <w:sz w:val="16"/>
        </w:rPr>
      </w:pPr>
      <w:r>
        <w:rPr>
          <w:sz w:val="16"/>
        </w:rPr>
        <w:t>Fuente: Dirección de Análisis y Política Fiscal.</w:t>
      </w:r>
    </w:p>
    <w:p>
      <w:pPr>
        <w:pStyle w:val="BodyText"/>
        <w:spacing w:before="11"/>
        <w:rPr>
          <w:sz w:val="20"/>
        </w:rPr>
      </w:pPr>
    </w:p>
    <w:p>
      <w:pPr>
        <w:pStyle w:val="Heading2"/>
        <w:numPr>
          <w:ilvl w:val="2"/>
          <w:numId w:val="21"/>
        </w:numPr>
        <w:tabs>
          <w:tab w:pos="1978" w:val="left" w:leader="none"/>
        </w:tabs>
        <w:spacing w:line="240" w:lineRule="auto" w:before="0" w:after="0"/>
        <w:ind w:left="1978" w:right="0" w:hanging="696"/>
        <w:jc w:val="left"/>
      </w:pPr>
      <w:bookmarkStart w:name="_bookmark157" w:id="197"/>
      <w:bookmarkEnd w:id="197"/>
      <w:r>
        <w:rPr>
          <w:b w:val="0"/>
        </w:rPr>
      </w:r>
      <w:bookmarkStart w:name="_bookmark157" w:id="198"/>
      <w:bookmarkEnd w:id="198"/>
      <w:r>
        <w:rPr/>
        <w:t>E</w:t>
      </w:r>
      <w:r>
        <w:rPr/>
        <w:t>structura de la recaudación tributaria acumulada a junio</w:t>
      </w:r>
      <w:r>
        <w:rPr>
          <w:spacing w:val="1"/>
        </w:rPr>
        <w:t> </w:t>
      </w:r>
      <w:r>
        <w:rPr/>
        <w:t>2022</w:t>
      </w:r>
    </w:p>
    <w:p>
      <w:pPr>
        <w:pStyle w:val="BodyText"/>
        <w:spacing w:before="6"/>
        <w:rPr>
          <w:b/>
          <w:sz w:val="28"/>
        </w:rPr>
      </w:pPr>
    </w:p>
    <w:p>
      <w:pPr>
        <w:pStyle w:val="BodyText"/>
        <w:spacing w:line="276" w:lineRule="auto"/>
        <w:ind w:left="562" w:right="1697"/>
        <w:jc w:val="both"/>
      </w:pPr>
      <w:r>
        <w:rPr/>
        <w:t>El</w:t>
      </w:r>
      <w:r>
        <w:rPr>
          <w:spacing w:val="-10"/>
        </w:rPr>
        <w:t> </w:t>
      </w:r>
      <w:r>
        <w:rPr/>
        <w:t>resultado</w:t>
      </w:r>
      <w:r>
        <w:rPr>
          <w:spacing w:val="-11"/>
        </w:rPr>
        <w:t> </w:t>
      </w:r>
      <w:r>
        <w:rPr/>
        <w:t>de</w:t>
      </w:r>
      <w:r>
        <w:rPr>
          <w:spacing w:val="-11"/>
        </w:rPr>
        <w:t> </w:t>
      </w:r>
      <w:r>
        <w:rPr/>
        <w:t>la</w:t>
      </w:r>
      <w:r>
        <w:rPr>
          <w:spacing w:val="-10"/>
        </w:rPr>
        <w:t> </w:t>
      </w:r>
      <w:r>
        <w:rPr/>
        <w:t>recaudación</w:t>
      </w:r>
      <w:r>
        <w:rPr>
          <w:spacing w:val="-9"/>
        </w:rPr>
        <w:t> </w:t>
      </w:r>
      <w:r>
        <w:rPr/>
        <w:t>tributaria</w:t>
      </w:r>
      <w:r>
        <w:rPr>
          <w:spacing w:val="-10"/>
        </w:rPr>
        <w:t> </w:t>
      </w:r>
      <w:r>
        <w:rPr/>
        <w:t>2022</w:t>
      </w:r>
      <w:r>
        <w:rPr>
          <w:spacing w:val="-11"/>
        </w:rPr>
        <w:t> </w:t>
      </w:r>
      <w:r>
        <w:rPr/>
        <w:t>a</w:t>
      </w:r>
      <w:r>
        <w:rPr>
          <w:spacing w:val="-13"/>
        </w:rPr>
        <w:t> </w:t>
      </w:r>
      <w:r>
        <w:rPr/>
        <w:t>junio</w:t>
      </w:r>
      <w:r>
        <w:rPr>
          <w:spacing w:val="-11"/>
        </w:rPr>
        <w:t> </w:t>
      </w:r>
      <w:r>
        <w:rPr/>
        <w:t>está</w:t>
      </w:r>
      <w:r>
        <w:rPr>
          <w:spacing w:val="-10"/>
        </w:rPr>
        <w:t> </w:t>
      </w:r>
      <w:r>
        <w:rPr/>
        <w:t>explicado</w:t>
      </w:r>
      <w:r>
        <w:rPr>
          <w:spacing w:val="-11"/>
        </w:rPr>
        <w:t> </w:t>
      </w:r>
      <w:r>
        <w:rPr/>
        <w:t>principalmente</w:t>
      </w:r>
      <w:r>
        <w:rPr>
          <w:spacing w:val="-11"/>
        </w:rPr>
        <w:t> </w:t>
      </w:r>
      <w:r>
        <w:rPr/>
        <w:t>por</w:t>
      </w:r>
      <w:r>
        <w:rPr>
          <w:spacing w:val="-10"/>
        </w:rPr>
        <w:t> </w:t>
      </w:r>
      <w:r>
        <w:rPr/>
        <w:t>el</w:t>
      </w:r>
      <w:r>
        <w:rPr>
          <w:spacing w:val="-10"/>
        </w:rPr>
        <w:t> </w:t>
      </w:r>
      <w:r>
        <w:rPr/>
        <w:t>desempeño positivo en impuestos como el ISR, el ISO, el IVA. cuya recaudación agrupa al 85.1% del total de ingresos</w:t>
      </w:r>
      <w:r>
        <w:rPr>
          <w:spacing w:val="-3"/>
        </w:rPr>
        <w:t> </w:t>
      </w:r>
      <w:r>
        <w:rPr/>
        <w:t>tributarios.</w:t>
      </w:r>
    </w:p>
    <w:p>
      <w:pPr>
        <w:pStyle w:val="BodyText"/>
        <w:spacing w:before="9"/>
        <w:rPr>
          <w:sz w:val="25"/>
        </w:rPr>
      </w:pPr>
    </w:p>
    <w:p>
      <w:pPr>
        <w:spacing w:before="0"/>
        <w:ind w:left="1395" w:right="2534" w:firstLine="0"/>
        <w:jc w:val="center"/>
        <w:rPr>
          <w:b/>
          <w:sz w:val="20"/>
        </w:rPr>
      </w:pPr>
      <w:bookmarkStart w:name="_bookmark158" w:id="199"/>
      <w:bookmarkEnd w:id="199"/>
      <w:r>
        <w:rPr/>
      </w:r>
      <w:r>
        <w:rPr>
          <w:b/>
          <w:i/>
          <w:sz w:val="20"/>
        </w:rPr>
        <w:t>Gráfico 81. </w:t>
      </w:r>
      <w:r>
        <w:rPr>
          <w:b/>
          <w:sz w:val="20"/>
        </w:rPr>
        <w:t>Aporte por impuesto a la recaudación</w:t>
      </w:r>
    </w:p>
    <w:p>
      <w:pPr>
        <w:pStyle w:val="Heading3"/>
        <w:spacing w:before="34"/>
        <w:ind w:left="1395" w:right="2528"/>
        <w:jc w:val="center"/>
      </w:pPr>
      <w:r>
        <w:rPr/>
        <w:t>Tributaria acumulada a junio 2022</w:t>
      </w:r>
    </w:p>
    <w:p>
      <w:pPr>
        <w:spacing w:after="0"/>
        <w:jc w:val="center"/>
        <w:sectPr>
          <w:pgSz w:w="12240" w:h="15840"/>
          <w:pgMar w:header="715" w:footer="957" w:top="1240" w:bottom="1140" w:left="1140" w:right="0"/>
        </w:sect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spacing w:before="7"/>
        <w:rPr>
          <w:b/>
          <w:sz w:val="11"/>
        </w:rPr>
      </w:pPr>
    </w:p>
    <w:p>
      <w:pPr>
        <w:spacing w:before="1"/>
        <w:ind w:left="1918" w:right="3" w:firstLine="0"/>
        <w:jc w:val="center"/>
        <w:rPr>
          <w:b/>
          <w:sz w:val="12"/>
        </w:rPr>
      </w:pPr>
      <w:r>
        <w:rPr>
          <w:b/>
          <w:color w:val="404040"/>
          <w:sz w:val="12"/>
        </w:rPr>
        <w:t>Derivados </w:t>
      </w:r>
      <w:r>
        <w:rPr>
          <w:b/>
          <w:color w:val="404040"/>
          <w:spacing w:val="-7"/>
          <w:sz w:val="12"/>
        </w:rPr>
        <w:t>del </w:t>
      </w:r>
      <w:r>
        <w:rPr>
          <w:b/>
          <w:color w:val="404040"/>
          <w:sz w:val="12"/>
        </w:rPr>
        <w:t>Petróleo 4.8%</w:t>
      </w:r>
    </w:p>
    <w:p>
      <w:pPr>
        <w:spacing w:before="90"/>
        <w:ind w:left="1915" w:right="69" w:firstLine="0"/>
        <w:jc w:val="center"/>
        <w:rPr>
          <w:b/>
          <w:sz w:val="12"/>
        </w:rPr>
      </w:pPr>
      <w:r>
        <w:rPr>
          <w:b/>
          <w:color w:val="404040"/>
          <w:sz w:val="12"/>
        </w:rPr>
        <w:t>Impuesto </w:t>
      </w:r>
      <w:r>
        <w:rPr>
          <w:b/>
          <w:color w:val="404040"/>
          <w:spacing w:val="-6"/>
          <w:sz w:val="12"/>
        </w:rPr>
        <w:t>de </w:t>
      </w:r>
      <w:r>
        <w:rPr>
          <w:b/>
          <w:color w:val="404040"/>
          <w:sz w:val="12"/>
        </w:rPr>
        <w:t>Solidaridad 6.7%</w:t>
      </w:r>
    </w:p>
    <w:p>
      <w:pPr>
        <w:pStyle w:val="BodyText"/>
        <w:spacing w:before="3"/>
        <w:rPr>
          <w:b/>
          <w:sz w:val="10"/>
        </w:rPr>
      </w:pPr>
      <w:r>
        <w:rPr/>
        <w:br w:type="column"/>
      </w:r>
      <w:r>
        <w:rPr>
          <w:b/>
          <w:sz w:val="10"/>
        </w:rPr>
      </w:r>
    </w:p>
    <w:p>
      <w:pPr>
        <w:spacing w:before="0"/>
        <w:ind w:left="-13" w:right="556" w:firstLine="91"/>
        <w:jc w:val="left"/>
        <w:rPr>
          <w:b/>
          <w:sz w:val="12"/>
        </w:rPr>
      </w:pPr>
      <w:r>
        <w:rPr>
          <w:b/>
          <w:color w:val="404040"/>
          <w:sz w:val="12"/>
        </w:rPr>
        <w:t>Derechos Arancelarios</w:t>
      </w:r>
    </w:p>
    <w:p>
      <w:pPr>
        <w:tabs>
          <w:tab w:pos="1294" w:val="left" w:leader="none"/>
        </w:tabs>
        <w:spacing w:line="157" w:lineRule="exact" w:before="3"/>
        <w:ind w:left="177" w:right="0" w:firstLine="0"/>
        <w:jc w:val="left"/>
        <w:rPr>
          <w:b/>
          <w:sz w:val="12"/>
        </w:rPr>
      </w:pPr>
      <w:r>
        <w:rPr/>
        <w:pict>
          <v:group style="position:absolute;margin-left:172.804718pt;margin-top:-1.74843pt;width:269.8pt;height:155.65pt;mso-position-horizontal-relative:page;mso-position-vertical-relative:paragraph;z-index:-280514560" coordorigin="3456,-35" coordsize="5396,3113">
            <v:shape style="position:absolute;left:3456;top:503;width:5396;height:2447" type="#_x0000_t75" stroked="false">
              <v:imagedata r:id="rId217" o:title=""/>
            </v:shape>
            <v:line style="position:absolute" from="8293,301" to="8293,848" stroked="true" strokeweight="3pt" strokecolor="#a6a6a6">
              <v:stroke dashstyle="solid"/>
            </v:line>
            <v:shape style="position:absolute;left:7248;top:2873;width:627;height:197" coordorigin="7248,2874" coordsize="627,197" path="m7248,2874l7783,3071,7874,3071e" filled="false" stroked="true" strokeweight=".72pt" strokecolor="#a6a6a6">
              <v:path arrowok="t"/>
              <v:stroke dashstyle="solid"/>
            </v:shape>
            <v:shape style="position:absolute;left:3758;top:2345;width:2;height:384" coordorigin="3758,2346" coordsize="0,384" path="m3758,2346l3758,2641,3758,2730e" filled="false" stroked="true" strokeweight=".72pt" strokecolor="#a6a6a6">
              <v:path arrowok="t"/>
              <v:stroke dashstyle="solid"/>
            </v:shape>
            <v:shape style="position:absolute;left:3804;top:401;width:540;height:401" coordorigin="3804,402" coordsize="540,401" path="m4344,803l3893,402,3804,402e" filled="false" stroked="true" strokeweight=".72pt" strokecolor="#a6a6a6">
              <v:path arrowok="t"/>
              <v:stroke dashstyle="solid"/>
            </v:shape>
            <v:shape style="position:absolute;left:4468;top:-28;width:423;height:687" coordorigin="4469,-28" coordsize="423,687" path="m4891,659l4560,-28,4469,-28e" filled="false" stroked="true" strokeweight=".72pt" strokecolor="#a6a6a6">
              <v:path arrowok="t"/>
              <v:stroke dashstyle="solid"/>
            </v:shape>
            <v:shape style="position:absolute;left:5296;top:296;width:2;height:300" coordorigin="5297,296" coordsize="0,300" path="m5297,596l5297,387,5297,296e" filled="false" stroked="true" strokeweight=".72pt" strokecolor="#a6a6a6">
              <v:path arrowok="t"/>
              <v:stroke dashstyle="solid"/>
            </v:shape>
            <v:shape style="position:absolute;left:5510;top:-14;width:329;height:588" coordorigin="5510,-13" coordsize="329,588" path="m5510,575l5748,-13,5839,-13e" filled="false" stroked="true" strokeweight=".72pt" strokecolor="#a6a6a6">
              <v:path arrowok="t"/>
              <v:stroke dashstyle="solid"/>
            </v:shape>
            <v:shape style="position:absolute;left:5865;top:185;width:492;height:368" coordorigin="5866,186" coordsize="492,368" path="m5866,553l6266,186,6358,186e" filled="false" stroked="true" strokeweight=".72pt" strokecolor="#a6a6a6">
              <v:path arrowok="t"/>
              <v:stroke dashstyle="solid"/>
            </v:shape>
            <w10:wrap type="none"/>
          </v:group>
        </w:pict>
      </w:r>
      <w:r>
        <w:rPr>
          <w:b/>
          <w:color w:val="404040"/>
          <w:position w:val="2"/>
          <w:sz w:val="12"/>
        </w:rPr>
        <w:t>4.1%</w:t>
        <w:tab/>
      </w:r>
      <w:r>
        <w:rPr>
          <w:b/>
          <w:color w:val="404040"/>
          <w:spacing w:val="-4"/>
          <w:sz w:val="12"/>
        </w:rPr>
        <w:t>IPRIMA</w:t>
      </w:r>
    </w:p>
    <w:p>
      <w:pPr>
        <w:spacing w:line="137" w:lineRule="exact" w:before="0"/>
        <w:ind w:left="0" w:right="87" w:firstLine="0"/>
        <w:jc w:val="right"/>
        <w:rPr>
          <w:b/>
          <w:sz w:val="12"/>
        </w:rPr>
      </w:pPr>
      <w:r>
        <w:rPr>
          <w:b/>
          <w:color w:val="404040"/>
          <w:sz w:val="12"/>
        </w:rPr>
        <w:t>1.5%</w:t>
      </w:r>
    </w:p>
    <w:p>
      <w:pPr>
        <w:pStyle w:val="BodyText"/>
        <w:spacing w:before="7"/>
        <w:rPr>
          <w:b/>
          <w:sz w:val="11"/>
        </w:rPr>
      </w:pPr>
      <w:r>
        <w:rPr/>
        <w:br w:type="column"/>
      </w:r>
      <w:r>
        <w:rPr>
          <w:b/>
          <w:sz w:val="11"/>
        </w:rPr>
      </w:r>
    </w:p>
    <w:p>
      <w:pPr>
        <w:spacing w:before="1"/>
        <w:ind w:left="285" w:right="-17" w:hanging="70"/>
        <w:jc w:val="left"/>
        <w:rPr>
          <w:b/>
          <w:sz w:val="12"/>
        </w:rPr>
      </w:pPr>
      <w:r>
        <w:rPr>
          <w:b/>
          <w:color w:val="404040"/>
          <w:sz w:val="12"/>
        </w:rPr>
        <w:t>Bebidas 1.3%</w:t>
      </w:r>
    </w:p>
    <w:p>
      <w:pPr>
        <w:pStyle w:val="BodyText"/>
        <w:rPr>
          <w:b/>
          <w:sz w:val="12"/>
        </w:rPr>
      </w:pPr>
      <w:r>
        <w:rPr/>
        <w:br w:type="column"/>
      </w:r>
      <w:r>
        <w:rPr>
          <w:b/>
          <w:sz w:val="12"/>
        </w:rPr>
      </w:r>
    </w:p>
    <w:p>
      <w:pPr>
        <w:pStyle w:val="BodyText"/>
        <w:rPr>
          <w:b/>
          <w:sz w:val="12"/>
        </w:rPr>
      </w:pPr>
    </w:p>
    <w:p>
      <w:pPr>
        <w:pStyle w:val="BodyText"/>
        <w:spacing w:before="11"/>
        <w:rPr>
          <w:b/>
          <w:sz w:val="16"/>
        </w:rPr>
      </w:pPr>
    </w:p>
    <w:p>
      <w:pPr>
        <w:spacing w:before="0"/>
        <w:ind w:left="275" w:right="0" w:hanging="135"/>
        <w:jc w:val="left"/>
        <w:rPr>
          <w:b/>
          <w:sz w:val="12"/>
        </w:rPr>
      </w:pPr>
      <w:r>
        <w:rPr>
          <w:b/>
          <w:color w:val="404040"/>
          <w:sz w:val="12"/>
        </w:rPr>
        <w:t>Los </w:t>
      </w:r>
      <w:r>
        <w:rPr>
          <w:b/>
          <w:color w:val="404040"/>
          <w:spacing w:val="-5"/>
          <w:sz w:val="12"/>
        </w:rPr>
        <w:t>demás </w:t>
      </w:r>
      <w:r>
        <w:rPr>
          <w:b/>
          <w:color w:val="404040"/>
          <w:sz w:val="12"/>
        </w:rPr>
        <w:t>3.3%</w:t>
      </w:r>
    </w:p>
    <w:p>
      <w:pPr>
        <w:pStyle w:val="BodyText"/>
        <w:rPr>
          <w:b/>
          <w:sz w:val="12"/>
        </w:rPr>
      </w:pPr>
      <w:r>
        <w:rPr/>
        <w:br w:type="column"/>
      </w:r>
      <w:r>
        <w:rPr>
          <w:b/>
          <w:sz w:val="12"/>
        </w:rPr>
      </w:r>
    </w:p>
    <w:p>
      <w:pPr>
        <w:pStyle w:val="BodyText"/>
        <w:rPr>
          <w:b/>
          <w:sz w:val="12"/>
        </w:rPr>
      </w:pPr>
    </w:p>
    <w:p>
      <w:pPr>
        <w:pStyle w:val="BodyText"/>
        <w:spacing w:before="5"/>
        <w:rPr>
          <w:b/>
          <w:sz w:val="15"/>
        </w:rPr>
      </w:pPr>
    </w:p>
    <w:p>
      <w:pPr>
        <w:spacing w:before="1"/>
        <w:ind w:left="1332" w:right="3373" w:hanging="216"/>
        <w:jc w:val="left"/>
        <w:rPr>
          <w:b/>
          <w:sz w:val="12"/>
        </w:rPr>
      </w:pPr>
      <w:r>
        <w:rPr>
          <w:b/>
          <w:color w:val="404040"/>
          <w:sz w:val="12"/>
        </w:rPr>
        <w:t>Sobre la Renta 29.7%</w:t>
      </w:r>
    </w:p>
    <w:p>
      <w:pPr>
        <w:spacing w:after="0"/>
        <w:jc w:val="left"/>
        <w:rPr>
          <w:sz w:val="12"/>
        </w:rPr>
        <w:sectPr>
          <w:type w:val="continuous"/>
          <w:pgSz w:w="12240" w:h="15840"/>
          <w:pgMar w:top="1500" w:bottom="280" w:left="1140" w:right="0"/>
          <w:cols w:num="5" w:equalWidth="0">
            <w:col w:w="2619" w:space="40"/>
            <w:col w:w="1747" w:space="39"/>
            <w:col w:w="625" w:space="39"/>
            <w:col w:w="682" w:space="40"/>
            <w:col w:w="5269"/>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4"/>
        </w:rPr>
      </w:pPr>
    </w:p>
    <w:p>
      <w:pPr>
        <w:spacing w:after="0"/>
        <w:rPr>
          <w:sz w:val="24"/>
        </w:rPr>
        <w:sectPr>
          <w:type w:val="continuous"/>
          <w:pgSz w:w="12240" w:h="15840"/>
          <w:pgMar w:top="1500" w:bottom="280" w:left="1140" w:right="0"/>
        </w:sectPr>
      </w:pPr>
    </w:p>
    <w:p>
      <w:pPr>
        <w:spacing w:before="95"/>
        <w:ind w:left="2168" w:right="872" w:hanging="226"/>
        <w:jc w:val="left"/>
        <w:rPr>
          <w:b/>
          <w:sz w:val="12"/>
        </w:rPr>
      </w:pPr>
      <w:r>
        <w:rPr>
          <w:b/>
          <w:color w:val="404040"/>
          <w:sz w:val="12"/>
        </w:rPr>
        <w:t>IVA Doméstico 20.7%</w:t>
      </w:r>
    </w:p>
    <w:p>
      <w:pPr>
        <w:pStyle w:val="BodyText"/>
        <w:rPr>
          <w:b/>
          <w:sz w:val="12"/>
        </w:rPr>
      </w:pPr>
    </w:p>
    <w:p>
      <w:pPr>
        <w:pStyle w:val="BodyText"/>
        <w:rPr>
          <w:b/>
          <w:sz w:val="12"/>
        </w:rPr>
      </w:pPr>
    </w:p>
    <w:p>
      <w:pPr>
        <w:pStyle w:val="BodyText"/>
        <w:spacing w:before="3"/>
        <w:rPr>
          <w:b/>
          <w:sz w:val="10"/>
        </w:rPr>
      </w:pPr>
    </w:p>
    <w:p>
      <w:pPr>
        <w:spacing w:before="0"/>
        <w:ind w:left="562" w:right="0" w:firstLine="0"/>
        <w:jc w:val="left"/>
        <w:rPr>
          <w:sz w:val="16"/>
        </w:rPr>
      </w:pPr>
      <w:r>
        <w:rPr>
          <w:sz w:val="16"/>
        </w:rPr>
        <w:t>Fuente: Dirección de Análisis y Política Fiscal.</w:t>
      </w:r>
    </w:p>
    <w:p>
      <w:pPr>
        <w:pStyle w:val="BodyText"/>
        <w:rPr>
          <w:sz w:val="12"/>
        </w:rPr>
      </w:pPr>
      <w:r>
        <w:rPr/>
        <w:br w:type="column"/>
      </w:r>
      <w:r>
        <w:rPr>
          <w:sz w:val="12"/>
        </w:rPr>
      </w:r>
    </w:p>
    <w:p>
      <w:pPr>
        <w:pStyle w:val="BodyText"/>
        <w:rPr>
          <w:sz w:val="16"/>
        </w:rPr>
      </w:pPr>
    </w:p>
    <w:p>
      <w:pPr>
        <w:spacing w:before="1"/>
        <w:ind w:left="890" w:right="3033" w:hanging="329"/>
        <w:jc w:val="left"/>
        <w:rPr>
          <w:b/>
          <w:sz w:val="12"/>
        </w:rPr>
      </w:pPr>
      <w:r>
        <w:rPr>
          <w:b/>
          <w:color w:val="404040"/>
          <w:sz w:val="12"/>
        </w:rPr>
        <w:t>IVA Importaciones 28.0%</w:t>
      </w:r>
    </w:p>
    <w:p>
      <w:pPr>
        <w:spacing w:after="0"/>
        <w:jc w:val="left"/>
        <w:rPr>
          <w:sz w:val="12"/>
        </w:rPr>
        <w:sectPr>
          <w:type w:val="continuous"/>
          <w:pgSz w:w="12240" w:h="15840"/>
          <w:pgMar w:top="1500" w:bottom="280" w:left="1140" w:right="0"/>
          <w:cols w:num="2" w:equalWidth="0">
            <w:col w:w="3618" w:space="2588"/>
            <w:col w:w="4894"/>
          </w:cols>
        </w:sectPr>
      </w:pPr>
    </w:p>
    <w:p>
      <w:pPr>
        <w:pStyle w:val="BodyText"/>
        <w:spacing w:line="276" w:lineRule="auto" w:before="162"/>
        <w:ind w:left="562" w:right="1697"/>
        <w:jc w:val="both"/>
      </w:pPr>
      <w:r>
        <w:rPr/>
        <w:t>En cuanto a la recaudación por actividad económica al mes de junio, se observa que las actividades económicas que más aportan a la recaudación tributaria acumulada son comercio al por mayor y al por menor; reparación de vehículos automotores y motocicletas (40.8%) industrias manufactureras (20.7%)</w:t>
      </w:r>
      <w:r>
        <w:rPr>
          <w:spacing w:val="-5"/>
        </w:rPr>
        <w:t> </w:t>
      </w:r>
      <w:r>
        <w:rPr/>
        <w:t>y</w:t>
      </w:r>
      <w:r>
        <w:rPr>
          <w:spacing w:val="-8"/>
        </w:rPr>
        <w:t> </w:t>
      </w:r>
      <w:r>
        <w:rPr/>
        <w:t>actividades</w:t>
      </w:r>
      <w:r>
        <w:rPr>
          <w:spacing w:val="-5"/>
        </w:rPr>
        <w:t> </w:t>
      </w:r>
      <w:r>
        <w:rPr/>
        <w:t>financieras</w:t>
      </w:r>
      <w:r>
        <w:rPr>
          <w:spacing w:val="-5"/>
        </w:rPr>
        <w:t> </w:t>
      </w:r>
      <w:r>
        <w:rPr/>
        <w:t>y</w:t>
      </w:r>
      <w:r>
        <w:rPr>
          <w:spacing w:val="-8"/>
        </w:rPr>
        <w:t> </w:t>
      </w:r>
      <w:r>
        <w:rPr/>
        <w:t>de</w:t>
      </w:r>
      <w:r>
        <w:rPr>
          <w:spacing w:val="-6"/>
        </w:rPr>
        <w:t> </w:t>
      </w:r>
      <w:r>
        <w:rPr/>
        <w:t>seguros</w:t>
      </w:r>
      <w:r>
        <w:rPr>
          <w:spacing w:val="-7"/>
        </w:rPr>
        <w:t> </w:t>
      </w:r>
      <w:r>
        <w:rPr/>
        <w:t>(7.8%),</w:t>
      </w:r>
      <w:r>
        <w:rPr>
          <w:spacing w:val="-9"/>
        </w:rPr>
        <w:t> </w:t>
      </w:r>
      <w:r>
        <w:rPr/>
        <w:t>que</w:t>
      </w:r>
      <w:r>
        <w:rPr>
          <w:spacing w:val="-5"/>
        </w:rPr>
        <w:t> </w:t>
      </w:r>
      <w:r>
        <w:rPr/>
        <w:t>en</w:t>
      </w:r>
      <w:r>
        <w:rPr>
          <w:spacing w:val="-6"/>
        </w:rPr>
        <w:t> </w:t>
      </w:r>
      <w:r>
        <w:rPr/>
        <w:t>su</w:t>
      </w:r>
      <w:r>
        <w:rPr>
          <w:spacing w:val="-7"/>
        </w:rPr>
        <w:t> </w:t>
      </w:r>
      <w:r>
        <w:rPr/>
        <w:t>conjunto</w:t>
      </w:r>
      <w:r>
        <w:rPr>
          <w:spacing w:val="-9"/>
        </w:rPr>
        <w:t> </w:t>
      </w:r>
      <w:r>
        <w:rPr/>
        <w:t>representan</w:t>
      </w:r>
      <w:r>
        <w:rPr>
          <w:spacing w:val="-5"/>
        </w:rPr>
        <w:t> </w:t>
      </w:r>
      <w:r>
        <w:rPr/>
        <w:t>el</w:t>
      </w:r>
      <w:r>
        <w:rPr>
          <w:spacing w:val="-5"/>
        </w:rPr>
        <w:t> </w:t>
      </w:r>
      <w:r>
        <w:rPr/>
        <w:t>69.3%</w:t>
      </w:r>
      <w:r>
        <w:rPr>
          <w:spacing w:val="-4"/>
        </w:rPr>
        <w:t> </w:t>
      </w:r>
      <w:r>
        <w:rPr/>
        <w:t>de</w:t>
      </w:r>
      <w:r>
        <w:rPr>
          <w:spacing w:val="-8"/>
        </w:rPr>
        <w:t> </w:t>
      </w:r>
      <w:r>
        <w:rPr/>
        <w:t>la recaudación tributaria acumulada. Vale indicar que estas actividades crecen en 19.4%, 16.5% y 24.1%, respectivamente, medidos respecto a la recaudación observada a junio de</w:t>
      </w:r>
      <w:r>
        <w:rPr>
          <w:spacing w:val="-16"/>
        </w:rPr>
        <w:t> </w:t>
      </w:r>
      <w:r>
        <w:rPr/>
        <w:t>2021.</w:t>
      </w:r>
    </w:p>
    <w:p>
      <w:pPr>
        <w:pStyle w:val="BodyText"/>
        <w:spacing w:before="7"/>
        <w:rPr>
          <w:sz w:val="25"/>
        </w:rPr>
      </w:pPr>
    </w:p>
    <w:p>
      <w:pPr>
        <w:pStyle w:val="Heading3"/>
        <w:ind w:left="639" w:right="1775"/>
        <w:jc w:val="center"/>
      </w:pPr>
      <w:bookmarkStart w:name="_bookmark159" w:id="200"/>
      <w:bookmarkEnd w:id="200"/>
      <w:r>
        <w:rPr>
          <w:b w:val="0"/>
        </w:rPr>
      </w:r>
      <w:r>
        <w:rPr>
          <w:i/>
          <w:sz w:val="20"/>
        </w:rPr>
        <w:t>Gráfico 82. </w:t>
      </w:r>
      <w:r>
        <w:rPr/>
        <w:t>Variación Interanual de recaudación tributaria por actividad económica</w:t>
      </w:r>
    </w:p>
    <w:p>
      <w:pPr>
        <w:pStyle w:val="BodyText"/>
        <w:spacing w:before="35"/>
        <w:ind w:left="1395" w:right="2531"/>
        <w:jc w:val="center"/>
      </w:pPr>
      <w:r>
        <w:rPr/>
        <w:t>Porcentajes (2022/2021)</w:t>
      </w:r>
    </w:p>
    <w:p>
      <w:pPr>
        <w:spacing w:line="307" w:lineRule="auto" w:before="154"/>
        <w:ind w:left="1052" w:right="6521" w:firstLine="462"/>
        <w:jc w:val="right"/>
        <w:rPr>
          <w:b/>
          <w:sz w:val="14"/>
        </w:rPr>
      </w:pPr>
      <w:r>
        <w:rPr/>
        <w:pict>
          <v:group style="position:absolute;margin-left:291.839996pt;margin-top:6.865141pt;width:219.4pt;height:217.2pt;mso-position-horizontal-relative:page;mso-position-vertical-relative:paragraph;z-index:252806144" coordorigin="5837,137" coordsize="4388,4344">
            <v:shape style="position:absolute;left:5836;top:137;width:4388;height:4344" type="#_x0000_t75" stroked="false">
              <v:imagedata r:id="rId218" o:title=""/>
            </v:shape>
            <v:shape style="position:absolute;left:6568;top:137;width:2194;height:4344" coordorigin="6569,137" coordsize="2194,4344" path="m6569,4457l6569,4481m7301,4457l7301,4481m8762,137l8762,161m8762,320l8762,368m8762,526l8762,574m8762,735l8762,781m8762,941l8762,989e" filled="false" stroked="true" strokeweight=".72pt" strokecolor="#d9d9d9">
              <v:path arrowok="t"/>
              <v:stroke dashstyle="solid"/>
            </v:shape>
            <w10:wrap type="none"/>
          </v:group>
        </w:pict>
      </w:r>
      <w:r>
        <w:rPr/>
        <w:pict>
          <v:shape style="position:absolute;margin-left:291.480011pt;margin-top:6.505142pt;width:220.45pt;height:217.95pt;mso-position-horizontal-relative:page;mso-position-vertical-relative:paragraph;z-index:252807168" type="#_x0000_t202" filled="false" stroked="false">
            <v:textbox inset="0,0,0,0">
              <w:txbxContent>
                <w:tbl>
                  <w:tblPr>
                    <w:tblW w:w="0" w:type="auto"/>
                    <w:jc w:val="left"/>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42"/>
                    <w:gridCol w:w="291"/>
                    <w:gridCol w:w="733"/>
                    <w:gridCol w:w="255"/>
                    <w:gridCol w:w="205"/>
                    <w:gridCol w:w="272"/>
                    <w:gridCol w:w="142"/>
                    <w:gridCol w:w="236"/>
                    <w:gridCol w:w="116"/>
                    <w:gridCol w:w="111"/>
                    <w:gridCol w:w="130"/>
                    <w:gridCol w:w="149"/>
                    <w:gridCol w:w="132"/>
                    <w:gridCol w:w="254"/>
                    <w:gridCol w:w="196"/>
                    <w:gridCol w:w="729"/>
                  </w:tblGrid>
                  <w:tr>
                    <w:trPr>
                      <w:trHeight w:val="191" w:hRule="atLeast"/>
                    </w:trPr>
                    <w:tc>
                      <w:tcPr>
                        <w:tcW w:w="733" w:type="dxa"/>
                        <w:gridSpan w:val="2"/>
                      </w:tcPr>
                      <w:p>
                        <w:pPr>
                          <w:pStyle w:val="TableParagraph"/>
                          <w:rPr>
                            <w:sz w:val="12"/>
                          </w:rPr>
                        </w:pPr>
                      </w:p>
                    </w:tc>
                    <w:tc>
                      <w:tcPr>
                        <w:tcW w:w="733" w:type="dxa"/>
                      </w:tcPr>
                      <w:p>
                        <w:pPr>
                          <w:pStyle w:val="TableParagraph"/>
                          <w:rPr>
                            <w:sz w:val="12"/>
                          </w:rPr>
                        </w:pPr>
                      </w:p>
                    </w:tc>
                    <w:tc>
                      <w:tcPr>
                        <w:tcW w:w="732" w:type="dxa"/>
                        <w:gridSpan w:val="3"/>
                      </w:tcPr>
                      <w:p>
                        <w:pPr>
                          <w:pStyle w:val="TableParagraph"/>
                          <w:rPr>
                            <w:sz w:val="12"/>
                          </w:rPr>
                        </w:pPr>
                      </w:p>
                    </w:tc>
                    <w:tc>
                      <w:tcPr>
                        <w:tcW w:w="1466" w:type="dxa"/>
                        <w:gridSpan w:val="9"/>
                        <w:shd w:val="clear" w:color="auto" w:fill="5B9BD4"/>
                      </w:tcPr>
                      <w:p>
                        <w:pPr>
                          <w:pStyle w:val="TableParagraph"/>
                          <w:rPr>
                            <w:sz w:val="12"/>
                          </w:rPr>
                        </w:pPr>
                      </w:p>
                    </w:tc>
                    <w:tc>
                      <w:tcPr>
                        <w:tcW w:w="729" w:type="dxa"/>
                      </w:tcPr>
                      <w:p>
                        <w:pPr>
                          <w:pStyle w:val="TableParagraph"/>
                          <w:spacing w:line="167" w:lineRule="exact" w:before="4"/>
                          <w:ind w:left="108"/>
                          <w:rPr>
                            <w:b/>
                            <w:sz w:val="16"/>
                          </w:rPr>
                        </w:pPr>
                        <w:r>
                          <w:rPr>
                            <w:b/>
                            <w:color w:val="006FC0"/>
                            <w:sz w:val="16"/>
                          </w:rPr>
                          <w:t>39.9</w:t>
                        </w:r>
                      </w:p>
                    </w:tc>
                  </w:tr>
                  <w:tr>
                    <w:trPr>
                      <w:trHeight w:val="191" w:hRule="atLeast"/>
                    </w:trPr>
                    <w:tc>
                      <w:tcPr>
                        <w:tcW w:w="733" w:type="dxa"/>
                        <w:gridSpan w:val="2"/>
                      </w:tcPr>
                      <w:p>
                        <w:pPr>
                          <w:pStyle w:val="TableParagraph"/>
                          <w:rPr>
                            <w:sz w:val="12"/>
                          </w:rPr>
                        </w:pPr>
                      </w:p>
                    </w:tc>
                    <w:tc>
                      <w:tcPr>
                        <w:tcW w:w="733" w:type="dxa"/>
                      </w:tcPr>
                      <w:p>
                        <w:pPr>
                          <w:pStyle w:val="TableParagraph"/>
                          <w:rPr>
                            <w:sz w:val="12"/>
                          </w:rPr>
                        </w:pPr>
                      </w:p>
                    </w:tc>
                    <w:tc>
                      <w:tcPr>
                        <w:tcW w:w="732" w:type="dxa"/>
                        <w:gridSpan w:val="3"/>
                      </w:tcPr>
                      <w:p>
                        <w:pPr>
                          <w:pStyle w:val="TableParagraph"/>
                          <w:rPr>
                            <w:sz w:val="12"/>
                          </w:rPr>
                        </w:pPr>
                      </w:p>
                    </w:tc>
                    <w:tc>
                      <w:tcPr>
                        <w:tcW w:w="1270" w:type="dxa"/>
                        <w:gridSpan w:val="8"/>
                        <w:tcBorders>
                          <w:right w:val="nil"/>
                        </w:tcBorders>
                        <w:shd w:val="clear" w:color="auto" w:fill="5B9BD4"/>
                      </w:tcPr>
                      <w:p>
                        <w:pPr>
                          <w:pStyle w:val="TableParagraph"/>
                          <w:rPr>
                            <w:sz w:val="12"/>
                          </w:rPr>
                        </w:pPr>
                      </w:p>
                    </w:tc>
                    <w:tc>
                      <w:tcPr>
                        <w:tcW w:w="196" w:type="dxa"/>
                        <w:tcBorders>
                          <w:left w:val="nil"/>
                        </w:tcBorders>
                      </w:tcPr>
                      <w:p>
                        <w:pPr>
                          <w:pStyle w:val="TableParagraph"/>
                          <w:spacing w:line="167" w:lineRule="exact" w:before="4"/>
                          <w:ind w:left="117" w:right="-15"/>
                          <w:rPr>
                            <w:b/>
                            <w:sz w:val="16"/>
                          </w:rPr>
                        </w:pPr>
                        <w:r>
                          <w:rPr>
                            <w:b/>
                            <w:color w:val="006FC0"/>
                            <w:w w:val="100"/>
                            <w:sz w:val="16"/>
                          </w:rPr>
                          <w:t>3</w:t>
                        </w:r>
                      </w:p>
                    </w:tc>
                    <w:tc>
                      <w:tcPr>
                        <w:tcW w:w="729" w:type="dxa"/>
                      </w:tcPr>
                      <w:p>
                        <w:pPr>
                          <w:pStyle w:val="TableParagraph"/>
                          <w:spacing w:line="167" w:lineRule="exact" w:before="4"/>
                          <w:ind w:left="-5"/>
                          <w:rPr>
                            <w:b/>
                            <w:sz w:val="16"/>
                          </w:rPr>
                        </w:pPr>
                        <w:r>
                          <w:rPr>
                            <w:b/>
                            <w:color w:val="006FC0"/>
                            <w:sz w:val="16"/>
                          </w:rPr>
                          <w:t>4.6</w:t>
                        </w:r>
                      </w:p>
                    </w:tc>
                  </w:tr>
                  <w:tr>
                    <w:trPr>
                      <w:trHeight w:val="191" w:hRule="atLeast"/>
                    </w:trPr>
                    <w:tc>
                      <w:tcPr>
                        <w:tcW w:w="733" w:type="dxa"/>
                        <w:gridSpan w:val="2"/>
                      </w:tcPr>
                      <w:p>
                        <w:pPr>
                          <w:pStyle w:val="TableParagraph"/>
                          <w:rPr>
                            <w:sz w:val="12"/>
                          </w:rPr>
                        </w:pPr>
                      </w:p>
                    </w:tc>
                    <w:tc>
                      <w:tcPr>
                        <w:tcW w:w="733" w:type="dxa"/>
                      </w:tcPr>
                      <w:p>
                        <w:pPr>
                          <w:pStyle w:val="TableParagraph"/>
                          <w:rPr>
                            <w:sz w:val="12"/>
                          </w:rPr>
                        </w:pPr>
                      </w:p>
                    </w:tc>
                    <w:tc>
                      <w:tcPr>
                        <w:tcW w:w="732" w:type="dxa"/>
                        <w:gridSpan w:val="3"/>
                      </w:tcPr>
                      <w:p>
                        <w:pPr>
                          <w:pStyle w:val="TableParagraph"/>
                          <w:rPr>
                            <w:sz w:val="12"/>
                          </w:rPr>
                        </w:pPr>
                      </w:p>
                    </w:tc>
                    <w:tc>
                      <w:tcPr>
                        <w:tcW w:w="1016" w:type="dxa"/>
                        <w:gridSpan w:val="7"/>
                        <w:tcBorders>
                          <w:right w:val="nil"/>
                        </w:tcBorders>
                        <w:shd w:val="clear" w:color="auto" w:fill="5B9BD4"/>
                      </w:tcPr>
                      <w:p>
                        <w:pPr>
                          <w:pStyle w:val="TableParagraph"/>
                          <w:rPr>
                            <w:sz w:val="12"/>
                          </w:rPr>
                        </w:pPr>
                      </w:p>
                    </w:tc>
                    <w:tc>
                      <w:tcPr>
                        <w:tcW w:w="450" w:type="dxa"/>
                        <w:gridSpan w:val="2"/>
                        <w:tcBorders>
                          <w:left w:val="nil"/>
                        </w:tcBorders>
                      </w:tcPr>
                      <w:p>
                        <w:pPr>
                          <w:pStyle w:val="TableParagraph"/>
                          <w:spacing w:line="166" w:lineRule="exact" w:before="5"/>
                          <w:ind w:left="119"/>
                          <w:rPr>
                            <w:b/>
                            <w:sz w:val="16"/>
                          </w:rPr>
                        </w:pPr>
                        <w:r>
                          <w:rPr>
                            <w:b/>
                            <w:color w:val="006FC0"/>
                            <w:sz w:val="16"/>
                          </w:rPr>
                          <w:t>27.7</w:t>
                        </w:r>
                      </w:p>
                    </w:tc>
                    <w:tc>
                      <w:tcPr>
                        <w:tcW w:w="729" w:type="dxa"/>
                      </w:tcPr>
                      <w:p>
                        <w:pPr>
                          <w:pStyle w:val="TableParagraph"/>
                          <w:rPr>
                            <w:sz w:val="12"/>
                          </w:rPr>
                        </w:pPr>
                      </w:p>
                    </w:tc>
                  </w:tr>
                  <w:tr>
                    <w:trPr>
                      <w:trHeight w:val="193" w:hRule="atLeast"/>
                    </w:trPr>
                    <w:tc>
                      <w:tcPr>
                        <w:tcW w:w="733" w:type="dxa"/>
                        <w:gridSpan w:val="2"/>
                      </w:tcPr>
                      <w:p>
                        <w:pPr>
                          <w:pStyle w:val="TableParagraph"/>
                          <w:rPr>
                            <w:sz w:val="12"/>
                          </w:rPr>
                        </w:pPr>
                      </w:p>
                    </w:tc>
                    <w:tc>
                      <w:tcPr>
                        <w:tcW w:w="733" w:type="dxa"/>
                      </w:tcPr>
                      <w:p>
                        <w:pPr>
                          <w:pStyle w:val="TableParagraph"/>
                          <w:rPr>
                            <w:sz w:val="12"/>
                          </w:rPr>
                        </w:pPr>
                      </w:p>
                    </w:tc>
                    <w:tc>
                      <w:tcPr>
                        <w:tcW w:w="732" w:type="dxa"/>
                        <w:gridSpan w:val="3"/>
                      </w:tcPr>
                      <w:p>
                        <w:pPr>
                          <w:pStyle w:val="TableParagraph"/>
                          <w:rPr>
                            <w:sz w:val="12"/>
                          </w:rPr>
                        </w:pPr>
                      </w:p>
                    </w:tc>
                    <w:tc>
                      <w:tcPr>
                        <w:tcW w:w="884" w:type="dxa"/>
                        <w:gridSpan w:val="6"/>
                        <w:tcBorders>
                          <w:right w:val="nil"/>
                        </w:tcBorders>
                        <w:shd w:val="clear" w:color="auto" w:fill="5B9BD4"/>
                      </w:tcPr>
                      <w:p>
                        <w:pPr>
                          <w:pStyle w:val="TableParagraph"/>
                          <w:rPr>
                            <w:sz w:val="12"/>
                          </w:rPr>
                        </w:pPr>
                      </w:p>
                    </w:tc>
                    <w:tc>
                      <w:tcPr>
                        <w:tcW w:w="582" w:type="dxa"/>
                        <w:gridSpan w:val="3"/>
                        <w:tcBorders>
                          <w:left w:val="nil"/>
                        </w:tcBorders>
                      </w:tcPr>
                      <w:p>
                        <w:pPr>
                          <w:pStyle w:val="TableParagraph"/>
                          <w:spacing w:line="169" w:lineRule="exact" w:before="5"/>
                          <w:ind w:left="135"/>
                          <w:rPr>
                            <w:b/>
                            <w:sz w:val="16"/>
                          </w:rPr>
                        </w:pPr>
                        <w:r>
                          <w:rPr>
                            <w:b/>
                            <w:color w:val="006FC0"/>
                            <w:sz w:val="16"/>
                          </w:rPr>
                          <w:t>24.5</w:t>
                        </w:r>
                      </w:p>
                    </w:tc>
                    <w:tc>
                      <w:tcPr>
                        <w:tcW w:w="729" w:type="dxa"/>
                      </w:tcPr>
                      <w:p>
                        <w:pPr>
                          <w:pStyle w:val="TableParagraph"/>
                          <w:rPr>
                            <w:sz w:val="12"/>
                          </w:rPr>
                        </w:pPr>
                      </w:p>
                    </w:tc>
                  </w:tr>
                  <w:tr>
                    <w:trPr>
                      <w:trHeight w:val="191" w:hRule="atLeast"/>
                    </w:trPr>
                    <w:tc>
                      <w:tcPr>
                        <w:tcW w:w="733" w:type="dxa"/>
                        <w:gridSpan w:val="2"/>
                      </w:tcPr>
                      <w:p>
                        <w:pPr>
                          <w:pStyle w:val="TableParagraph"/>
                          <w:rPr>
                            <w:sz w:val="12"/>
                          </w:rPr>
                        </w:pPr>
                      </w:p>
                    </w:tc>
                    <w:tc>
                      <w:tcPr>
                        <w:tcW w:w="733" w:type="dxa"/>
                      </w:tcPr>
                      <w:p>
                        <w:pPr>
                          <w:pStyle w:val="TableParagraph"/>
                          <w:rPr>
                            <w:sz w:val="12"/>
                          </w:rPr>
                        </w:pPr>
                      </w:p>
                    </w:tc>
                    <w:tc>
                      <w:tcPr>
                        <w:tcW w:w="732" w:type="dxa"/>
                        <w:gridSpan w:val="3"/>
                      </w:tcPr>
                      <w:p>
                        <w:pPr>
                          <w:pStyle w:val="TableParagraph"/>
                          <w:rPr>
                            <w:sz w:val="12"/>
                          </w:rPr>
                        </w:pPr>
                      </w:p>
                    </w:tc>
                    <w:tc>
                      <w:tcPr>
                        <w:tcW w:w="884" w:type="dxa"/>
                        <w:gridSpan w:val="6"/>
                        <w:tcBorders>
                          <w:right w:val="nil"/>
                        </w:tcBorders>
                        <w:shd w:val="clear" w:color="auto" w:fill="5B9BD4"/>
                      </w:tcPr>
                      <w:p>
                        <w:pPr>
                          <w:pStyle w:val="TableParagraph"/>
                          <w:rPr>
                            <w:sz w:val="12"/>
                          </w:rPr>
                        </w:pPr>
                      </w:p>
                    </w:tc>
                    <w:tc>
                      <w:tcPr>
                        <w:tcW w:w="582" w:type="dxa"/>
                        <w:gridSpan w:val="3"/>
                        <w:tcBorders>
                          <w:left w:val="nil"/>
                        </w:tcBorders>
                      </w:tcPr>
                      <w:p>
                        <w:pPr>
                          <w:pStyle w:val="TableParagraph"/>
                          <w:spacing w:line="168" w:lineRule="exact" w:before="3"/>
                          <w:ind w:left="119"/>
                          <w:rPr>
                            <w:b/>
                            <w:sz w:val="16"/>
                          </w:rPr>
                        </w:pPr>
                        <w:r>
                          <w:rPr>
                            <w:b/>
                            <w:color w:val="006FC0"/>
                            <w:sz w:val="16"/>
                          </w:rPr>
                          <w:t>24.1</w:t>
                        </w:r>
                      </w:p>
                    </w:tc>
                    <w:tc>
                      <w:tcPr>
                        <w:tcW w:w="729" w:type="dxa"/>
                      </w:tcPr>
                      <w:p>
                        <w:pPr>
                          <w:pStyle w:val="TableParagraph"/>
                          <w:rPr>
                            <w:sz w:val="12"/>
                          </w:rPr>
                        </w:pPr>
                      </w:p>
                    </w:tc>
                  </w:tr>
                  <w:tr>
                    <w:trPr>
                      <w:trHeight w:val="191" w:hRule="atLeast"/>
                    </w:trPr>
                    <w:tc>
                      <w:tcPr>
                        <w:tcW w:w="733" w:type="dxa"/>
                        <w:gridSpan w:val="2"/>
                      </w:tcPr>
                      <w:p>
                        <w:pPr>
                          <w:pStyle w:val="TableParagraph"/>
                          <w:rPr>
                            <w:sz w:val="12"/>
                          </w:rPr>
                        </w:pPr>
                      </w:p>
                    </w:tc>
                    <w:tc>
                      <w:tcPr>
                        <w:tcW w:w="733" w:type="dxa"/>
                      </w:tcPr>
                      <w:p>
                        <w:pPr>
                          <w:pStyle w:val="TableParagraph"/>
                          <w:rPr>
                            <w:sz w:val="12"/>
                          </w:rPr>
                        </w:pPr>
                      </w:p>
                    </w:tc>
                    <w:tc>
                      <w:tcPr>
                        <w:tcW w:w="732" w:type="dxa"/>
                        <w:gridSpan w:val="3"/>
                      </w:tcPr>
                      <w:p>
                        <w:pPr>
                          <w:pStyle w:val="TableParagraph"/>
                          <w:rPr>
                            <w:sz w:val="12"/>
                          </w:rPr>
                        </w:pPr>
                      </w:p>
                    </w:tc>
                    <w:tc>
                      <w:tcPr>
                        <w:tcW w:w="735" w:type="dxa"/>
                        <w:gridSpan w:val="5"/>
                        <w:tcBorders>
                          <w:right w:val="nil"/>
                        </w:tcBorders>
                        <w:shd w:val="clear" w:color="auto" w:fill="5B9BD4"/>
                      </w:tcPr>
                      <w:p>
                        <w:pPr>
                          <w:pStyle w:val="TableParagraph"/>
                          <w:rPr>
                            <w:sz w:val="12"/>
                          </w:rPr>
                        </w:pPr>
                      </w:p>
                    </w:tc>
                    <w:tc>
                      <w:tcPr>
                        <w:tcW w:w="731" w:type="dxa"/>
                        <w:gridSpan w:val="4"/>
                        <w:tcBorders>
                          <w:left w:val="nil"/>
                        </w:tcBorders>
                      </w:tcPr>
                      <w:p>
                        <w:pPr>
                          <w:pStyle w:val="TableParagraph"/>
                          <w:spacing w:line="168" w:lineRule="exact" w:before="3"/>
                          <w:ind w:left="182"/>
                          <w:rPr>
                            <w:b/>
                            <w:sz w:val="16"/>
                          </w:rPr>
                        </w:pPr>
                        <w:r>
                          <w:rPr>
                            <w:b/>
                            <w:color w:val="006FC0"/>
                            <w:sz w:val="16"/>
                          </w:rPr>
                          <w:t>21.8</w:t>
                        </w:r>
                      </w:p>
                    </w:tc>
                    <w:tc>
                      <w:tcPr>
                        <w:tcW w:w="729" w:type="dxa"/>
                      </w:tcPr>
                      <w:p>
                        <w:pPr>
                          <w:pStyle w:val="TableParagraph"/>
                          <w:rPr>
                            <w:sz w:val="12"/>
                          </w:rPr>
                        </w:pPr>
                      </w:p>
                    </w:tc>
                  </w:tr>
                  <w:tr>
                    <w:trPr>
                      <w:trHeight w:val="191" w:hRule="atLeast"/>
                    </w:trPr>
                    <w:tc>
                      <w:tcPr>
                        <w:tcW w:w="733" w:type="dxa"/>
                        <w:gridSpan w:val="2"/>
                      </w:tcPr>
                      <w:p>
                        <w:pPr>
                          <w:pStyle w:val="TableParagraph"/>
                          <w:rPr>
                            <w:sz w:val="12"/>
                          </w:rPr>
                        </w:pPr>
                      </w:p>
                    </w:tc>
                    <w:tc>
                      <w:tcPr>
                        <w:tcW w:w="733" w:type="dxa"/>
                      </w:tcPr>
                      <w:p>
                        <w:pPr>
                          <w:pStyle w:val="TableParagraph"/>
                          <w:rPr>
                            <w:sz w:val="12"/>
                          </w:rPr>
                        </w:pPr>
                      </w:p>
                    </w:tc>
                    <w:tc>
                      <w:tcPr>
                        <w:tcW w:w="732" w:type="dxa"/>
                        <w:gridSpan w:val="3"/>
                      </w:tcPr>
                      <w:p>
                        <w:pPr>
                          <w:pStyle w:val="TableParagraph"/>
                          <w:rPr>
                            <w:sz w:val="12"/>
                          </w:rPr>
                        </w:pPr>
                      </w:p>
                    </w:tc>
                    <w:tc>
                      <w:tcPr>
                        <w:tcW w:w="735" w:type="dxa"/>
                        <w:gridSpan w:val="5"/>
                        <w:tcBorders>
                          <w:right w:val="nil"/>
                        </w:tcBorders>
                        <w:shd w:val="clear" w:color="auto" w:fill="5B9BD4"/>
                      </w:tcPr>
                      <w:p>
                        <w:pPr>
                          <w:pStyle w:val="TableParagraph"/>
                          <w:rPr>
                            <w:sz w:val="12"/>
                          </w:rPr>
                        </w:pPr>
                      </w:p>
                    </w:tc>
                    <w:tc>
                      <w:tcPr>
                        <w:tcW w:w="731" w:type="dxa"/>
                        <w:gridSpan w:val="4"/>
                        <w:tcBorders>
                          <w:left w:val="nil"/>
                        </w:tcBorders>
                      </w:tcPr>
                      <w:p>
                        <w:pPr>
                          <w:pStyle w:val="TableParagraph"/>
                          <w:spacing w:line="167" w:lineRule="exact" w:before="4"/>
                          <w:ind w:left="176"/>
                          <w:rPr>
                            <w:b/>
                            <w:sz w:val="16"/>
                          </w:rPr>
                        </w:pPr>
                        <w:r>
                          <w:rPr>
                            <w:b/>
                            <w:color w:val="006FC0"/>
                            <w:sz w:val="16"/>
                          </w:rPr>
                          <w:t>21.6</w:t>
                        </w:r>
                      </w:p>
                    </w:tc>
                    <w:tc>
                      <w:tcPr>
                        <w:tcW w:w="729" w:type="dxa"/>
                      </w:tcPr>
                      <w:p>
                        <w:pPr>
                          <w:pStyle w:val="TableParagraph"/>
                          <w:rPr>
                            <w:sz w:val="12"/>
                          </w:rPr>
                        </w:pPr>
                      </w:p>
                    </w:tc>
                  </w:tr>
                  <w:tr>
                    <w:trPr>
                      <w:trHeight w:val="191" w:hRule="atLeast"/>
                    </w:trPr>
                    <w:tc>
                      <w:tcPr>
                        <w:tcW w:w="733" w:type="dxa"/>
                        <w:gridSpan w:val="2"/>
                      </w:tcPr>
                      <w:p>
                        <w:pPr>
                          <w:pStyle w:val="TableParagraph"/>
                          <w:rPr>
                            <w:sz w:val="12"/>
                          </w:rPr>
                        </w:pPr>
                      </w:p>
                    </w:tc>
                    <w:tc>
                      <w:tcPr>
                        <w:tcW w:w="733" w:type="dxa"/>
                      </w:tcPr>
                      <w:p>
                        <w:pPr>
                          <w:pStyle w:val="TableParagraph"/>
                          <w:rPr>
                            <w:sz w:val="12"/>
                          </w:rPr>
                        </w:pPr>
                      </w:p>
                    </w:tc>
                    <w:tc>
                      <w:tcPr>
                        <w:tcW w:w="732" w:type="dxa"/>
                        <w:gridSpan w:val="3"/>
                      </w:tcPr>
                      <w:p>
                        <w:pPr>
                          <w:pStyle w:val="TableParagraph"/>
                          <w:rPr>
                            <w:sz w:val="12"/>
                          </w:rPr>
                        </w:pPr>
                      </w:p>
                    </w:tc>
                    <w:tc>
                      <w:tcPr>
                        <w:tcW w:w="735" w:type="dxa"/>
                        <w:gridSpan w:val="5"/>
                        <w:tcBorders>
                          <w:right w:val="nil"/>
                        </w:tcBorders>
                        <w:shd w:val="clear" w:color="auto" w:fill="5B9BD4"/>
                      </w:tcPr>
                      <w:p>
                        <w:pPr>
                          <w:pStyle w:val="TableParagraph"/>
                          <w:rPr>
                            <w:sz w:val="12"/>
                          </w:rPr>
                        </w:pPr>
                      </w:p>
                    </w:tc>
                    <w:tc>
                      <w:tcPr>
                        <w:tcW w:w="731" w:type="dxa"/>
                        <w:gridSpan w:val="4"/>
                        <w:tcBorders>
                          <w:left w:val="nil"/>
                        </w:tcBorders>
                      </w:tcPr>
                      <w:p>
                        <w:pPr>
                          <w:pStyle w:val="TableParagraph"/>
                          <w:spacing w:line="167" w:lineRule="exact" w:before="4"/>
                          <w:ind w:left="130"/>
                          <w:rPr>
                            <w:b/>
                            <w:sz w:val="16"/>
                          </w:rPr>
                        </w:pPr>
                        <w:r>
                          <w:rPr>
                            <w:b/>
                            <w:color w:val="006FC0"/>
                            <w:sz w:val="16"/>
                          </w:rPr>
                          <w:t>20.3</w:t>
                        </w:r>
                      </w:p>
                    </w:tc>
                    <w:tc>
                      <w:tcPr>
                        <w:tcW w:w="729" w:type="dxa"/>
                      </w:tcPr>
                      <w:p>
                        <w:pPr>
                          <w:pStyle w:val="TableParagraph"/>
                          <w:rPr>
                            <w:sz w:val="12"/>
                          </w:rPr>
                        </w:pPr>
                      </w:p>
                    </w:tc>
                  </w:tr>
                  <w:tr>
                    <w:trPr>
                      <w:trHeight w:val="191" w:hRule="atLeast"/>
                    </w:trPr>
                    <w:tc>
                      <w:tcPr>
                        <w:tcW w:w="733" w:type="dxa"/>
                        <w:gridSpan w:val="2"/>
                      </w:tcPr>
                      <w:p>
                        <w:pPr>
                          <w:pStyle w:val="TableParagraph"/>
                          <w:rPr>
                            <w:sz w:val="12"/>
                          </w:rPr>
                        </w:pPr>
                      </w:p>
                    </w:tc>
                    <w:tc>
                      <w:tcPr>
                        <w:tcW w:w="733" w:type="dxa"/>
                      </w:tcPr>
                      <w:p>
                        <w:pPr>
                          <w:pStyle w:val="TableParagraph"/>
                          <w:rPr>
                            <w:sz w:val="12"/>
                          </w:rPr>
                        </w:pPr>
                      </w:p>
                    </w:tc>
                    <w:tc>
                      <w:tcPr>
                        <w:tcW w:w="732" w:type="dxa"/>
                        <w:gridSpan w:val="3"/>
                      </w:tcPr>
                      <w:p>
                        <w:pPr>
                          <w:pStyle w:val="TableParagraph"/>
                          <w:rPr>
                            <w:sz w:val="12"/>
                          </w:rPr>
                        </w:pPr>
                      </w:p>
                    </w:tc>
                    <w:tc>
                      <w:tcPr>
                        <w:tcW w:w="735" w:type="dxa"/>
                        <w:gridSpan w:val="5"/>
                        <w:shd w:val="clear" w:color="auto" w:fill="5B9BD4"/>
                      </w:tcPr>
                      <w:p>
                        <w:pPr>
                          <w:pStyle w:val="TableParagraph"/>
                          <w:rPr>
                            <w:sz w:val="12"/>
                          </w:rPr>
                        </w:pPr>
                      </w:p>
                    </w:tc>
                    <w:tc>
                      <w:tcPr>
                        <w:tcW w:w="731" w:type="dxa"/>
                        <w:gridSpan w:val="4"/>
                      </w:tcPr>
                      <w:p>
                        <w:pPr>
                          <w:pStyle w:val="TableParagraph"/>
                          <w:spacing w:line="166" w:lineRule="exact" w:before="5"/>
                          <w:ind w:left="108"/>
                          <w:rPr>
                            <w:b/>
                            <w:sz w:val="16"/>
                          </w:rPr>
                        </w:pPr>
                        <w:r>
                          <w:rPr>
                            <w:b/>
                            <w:color w:val="006FC0"/>
                            <w:sz w:val="16"/>
                          </w:rPr>
                          <w:t>19.9</w:t>
                        </w:r>
                      </w:p>
                    </w:tc>
                    <w:tc>
                      <w:tcPr>
                        <w:tcW w:w="729" w:type="dxa"/>
                      </w:tcPr>
                      <w:p>
                        <w:pPr>
                          <w:pStyle w:val="TableParagraph"/>
                          <w:rPr>
                            <w:sz w:val="12"/>
                          </w:rPr>
                        </w:pPr>
                      </w:p>
                    </w:tc>
                  </w:tr>
                  <w:tr>
                    <w:trPr>
                      <w:trHeight w:val="193" w:hRule="atLeast"/>
                    </w:trPr>
                    <w:tc>
                      <w:tcPr>
                        <w:tcW w:w="733" w:type="dxa"/>
                        <w:gridSpan w:val="2"/>
                      </w:tcPr>
                      <w:p>
                        <w:pPr>
                          <w:pStyle w:val="TableParagraph"/>
                          <w:rPr>
                            <w:sz w:val="12"/>
                          </w:rPr>
                        </w:pPr>
                      </w:p>
                    </w:tc>
                    <w:tc>
                      <w:tcPr>
                        <w:tcW w:w="733" w:type="dxa"/>
                      </w:tcPr>
                      <w:p>
                        <w:pPr>
                          <w:pStyle w:val="TableParagraph"/>
                          <w:rPr>
                            <w:sz w:val="12"/>
                          </w:rPr>
                        </w:pPr>
                      </w:p>
                    </w:tc>
                    <w:tc>
                      <w:tcPr>
                        <w:tcW w:w="732" w:type="dxa"/>
                        <w:gridSpan w:val="3"/>
                      </w:tcPr>
                      <w:p>
                        <w:pPr>
                          <w:pStyle w:val="TableParagraph"/>
                          <w:rPr>
                            <w:sz w:val="12"/>
                          </w:rPr>
                        </w:pPr>
                      </w:p>
                    </w:tc>
                    <w:tc>
                      <w:tcPr>
                        <w:tcW w:w="735" w:type="dxa"/>
                        <w:gridSpan w:val="5"/>
                        <w:shd w:val="clear" w:color="auto" w:fill="5B9BD4"/>
                      </w:tcPr>
                      <w:p>
                        <w:pPr>
                          <w:pStyle w:val="TableParagraph"/>
                          <w:rPr>
                            <w:sz w:val="12"/>
                          </w:rPr>
                        </w:pPr>
                      </w:p>
                    </w:tc>
                    <w:tc>
                      <w:tcPr>
                        <w:tcW w:w="731" w:type="dxa"/>
                        <w:gridSpan w:val="4"/>
                      </w:tcPr>
                      <w:p>
                        <w:pPr>
                          <w:pStyle w:val="TableParagraph"/>
                          <w:spacing w:line="168" w:lineRule="exact" w:before="5"/>
                          <w:ind w:left="89"/>
                          <w:rPr>
                            <w:b/>
                            <w:sz w:val="16"/>
                          </w:rPr>
                        </w:pPr>
                        <w:r>
                          <w:rPr>
                            <w:b/>
                            <w:color w:val="006FC0"/>
                            <w:sz w:val="16"/>
                          </w:rPr>
                          <w:t>19.4</w:t>
                        </w:r>
                      </w:p>
                    </w:tc>
                    <w:tc>
                      <w:tcPr>
                        <w:tcW w:w="729" w:type="dxa"/>
                      </w:tcPr>
                      <w:p>
                        <w:pPr>
                          <w:pStyle w:val="TableParagraph"/>
                          <w:rPr>
                            <w:sz w:val="12"/>
                          </w:rPr>
                        </w:pPr>
                      </w:p>
                    </w:tc>
                  </w:tr>
                  <w:tr>
                    <w:trPr>
                      <w:trHeight w:val="191" w:hRule="atLeast"/>
                    </w:trPr>
                    <w:tc>
                      <w:tcPr>
                        <w:tcW w:w="733" w:type="dxa"/>
                        <w:gridSpan w:val="2"/>
                      </w:tcPr>
                      <w:p>
                        <w:pPr>
                          <w:pStyle w:val="TableParagraph"/>
                          <w:rPr>
                            <w:sz w:val="12"/>
                          </w:rPr>
                        </w:pPr>
                      </w:p>
                    </w:tc>
                    <w:tc>
                      <w:tcPr>
                        <w:tcW w:w="733" w:type="dxa"/>
                      </w:tcPr>
                      <w:p>
                        <w:pPr>
                          <w:pStyle w:val="TableParagraph"/>
                          <w:rPr>
                            <w:sz w:val="12"/>
                          </w:rPr>
                        </w:pPr>
                      </w:p>
                    </w:tc>
                    <w:tc>
                      <w:tcPr>
                        <w:tcW w:w="732" w:type="dxa"/>
                        <w:gridSpan w:val="3"/>
                      </w:tcPr>
                      <w:p>
                        <w:pPr>
                          <w:pStyle w:val="TableParagraph"/>
                          <w:rPr>
                            <w:sz w:val="12"/>
                          </w:rPr>
                        </w:pPr>
                      </w:p>
                    </w:tc>
                    <w:tc>
                      <w:tcPr>
                        <w:tcW w:w="605" w:type="dxa"/>
                        <w:gridSpan w:val="4"/>
                        <w:tcBorders>
                          <w:right w:val="nil"/>
                        </w:tcBorders>
                        <w:shd w:val="clear" w:color="auto" w:fill="5B9BD4"/>
                      </w:tcPr>
                      <w:p>
                        <w:pPr>
                          <w:pStyle w:val="TableParagraph"/>
                          <w:rPr>
                            <w:sz w:val="12"/>
                          </w:rPr>
                        </w:pPr>
                      </w:p>
                    </w:tc>
                    <w:tc>
                      <w:tcPr>
                        <w:tcW w:w="130" w:type="dxa"/>
                        <w:tcBorders>
                          <w:left w:val="nil"/>
                        </w:tcBorders>
                      </w:tcPr>
                      <w:p>
                        <w:pPr>
                          <w:pStyle w:val="TableParagraph"/>
                          <w:rPr>
                            <w:sz w:val="12"/>
                          </w:rPr>
                        </w:pPr>
                      </w:p>
                    </w:tc>
                    <w:tc>
                      <w:tcPr>
                        <w:tcW w:w="731" w:type="dxa"/>
                        <w:gridSpan w:val="4"/>
                      </w:tcPr>
                      <w:p>
                        <w:pPr>
                          <w:pStyle w:val="TableParagraph"/>
                          <w:spacing w:line="168" w:lineRule="exact" w:before="3"/>
                          <w:ind w:left="-19"/>
                          <w:rPr>
                            <w:b/>
                            <w:sz w:val="16"/>
                          </w:rPr>
                        </w:pPr>
                        <w:r>
                          <w:rPr>
                            <w:b/>
                            <w:color w:val="006FC0"/>
                            <w:sz w:val="16"/>
                          </w:rPr>
                          <w:t>16.5</w:t>
                        </w:r>
                      </w:p>
                    </w:tc>
                    <w:tc>
                      <w:tcPr>
                        <w:tcW w:w="729" w:type="dxa"/>
                      </w:tcPr>
                      <w:p>
                        <w:pPr>
                          <w:pStyle w:val="TableParagraph"/>
                          <w:rPr>
                            <w:sz w:val="12"/>
                          </w:rPr>
                        </w:pPr>
                      </w:p>
                    </w:tc>
                  </w:tr>
                  <w:tr>
                    <w:trPr>
                      <w:trHeight w:val="191" w:hRule="atLeast"/>
                    </w:trPr>
                    <w:tc>
                      <w:tcPr>
                        <w:tcW w:w="733" w:type="dxa"/>
                        <w:gridSpan w:val="2"/>
                      </w:tcPr>
                      <w:p>
                        <w:pPr>
                          <w:pStyle w:val="TableParagraph"/>
                          <w:rPr>
                            <w:sz w:val="12"/>
                          </w:rPr>
                        </w:pPr>
                      </w:p>
                    </w:tc>
                    <w:tc>
                      <w:tcPr>
                        <w:tcW w:w="733" w:type="dxa"/>
                      </w:tcPr>
                      <w:p>
                        <w:pPr>
                          <w:pStyle w:val="TableParagraph"/>
                          <w:rPr>
                            <w:sz w:val="12"/>
                          </w:rPr>
                        </w:pPr>
                      </w:p>
                    </w:tc>
                    <w:tc>
                      <w:tcPr>
                        <w:tcW w:w="732" w:type="dxa"/>
                        <w:gridSpan w:val="3"/>
                      </w:tcPr>
                      <w:p>
                        <w:pPr>
                          <w:pStyle w:val="TableParagraph"/>
                          <w:rPr>
                            <w:sz w:val="12"/>
                          </w:rPr>
                        </w:pPr>
                      </w:p>
                    </w:tc>
                    <w:tc>
                      <w:tcPr>
                        <w:tcW w:w="494" w:type="dxa"/>
                        <w:gridSpan w:val="3"/>
                        <w:tcBorders>
                          <w:right w:val="nil"/>
                        </w:tcBorders>
                        <w:shd w:val="clear" w:color="auto" w:fill="5B9BD4"/>
                      </w:tcPr>
                      <w:p>
                        <w:pPr>
                          <w:pStyle w:val="TableParagraph"/>
                          <w:rPr>
                            <w:sz w:val="12"/>
                          </w:rPr>
                        </w:pPr>
                      </w:p>
                    </w:tc>
                    <w:tc>
                      <w:tcPr>
                        <w:tcW w:w="241" w:type="dxa"/>
                        <w:gridSpan w:val="2"/>
                        <w:tcBorders>
                          <w:left w:val="nil"/>
                        </w:tcBorders>
                      </w:tcPr>
                      <w:p>
                        <w:pPr>
                          <w:pStyle w:val="TableParagraph"/>
                          <w:spacing w:line="167" w:lineRule="exact" w:before="4"/>
                          <w:ind w:left="118"/>
                          <w:rPr>
                            <w:b/>
                            <w:sz w:val="16"/>
                          </w:rPr>
                        </w:pPr>
                        <w:r>
                          <w:rPr>
                            <w:b/>
                            <w:color w:val="006FC0"/>
                            <w:w w:val="100"/>
                            <w:sz w:val="16"/>
                          </w:rPr>
                          <w:t>1</w:t>
                        </w:r>
                      </w:p>
                    </w:tc>
                    <w:tc>
                      <w:tcPr>
                        <w:tcW w:w="731" w:type="dxa"/>
                        <w:gridSpan w:val="4"/>
                      </w:tcPr>
                      <w:p>
                        <w:pPr>
                          <w:pStyle w:val="TableParagraph"/>
                          <w:spacing w:line="167" w:lineRule="exact" w:before="4"/>
                          <w:ind w:left="-49"/>
                          <w:rPr>
                            <w:b/>
                            <w:sz w:val="16"/>
                          </w:rPr>
                        </w:pPr>
                        <w:r>
                          <w:rPr>
                            <w:b/>
                            <w:color w:val="006FC0"/>
                            <w:sz w:val="16"/>
                          </w:rPr>
                          <w:t>3.4</w:t>
                        </w:r>
                      </w:p>
                    </w:tc>
                    <w:tc>
                      <w:tcPr>
                        <w:tcW w:w="729" w:type="dxa"/>
                      </w:tcPr>
                      <w:p>
                        <w:pPr>
                          <w:pStyle w:val="TableParagraph"/>
                          <w:rPr>
                            <w:sz w:val="12"/>
                          </w:rPr>
                        </w:pPr>
                      </w:p>
                    </w:tc>
                  </w:tr>
                  <w:tr>
                    <w:trPr>
                      <w:trHeight w:val="191" w:hRule="atLeast"/>
                    </w:trPr>
                    <w:tc>
                      <w:tcPr>
                        <w:tcW w:w="733" w:type="dxa"/>
                        <w:gridSpan w:val="2"/>
                      </w:tcPr>
                      <w:p>
                        <w:pPr>
                          <w:pStyle w:val="TableParagraph"/>
                          <w:rPr>
                            <w:sz w:val="12"/>
                          </w:rPr>
                        </w:pPr>
                      </w:p>
                    </w:tc>
                    <w:tc>
                      <w:tcPr>
                        <w:tcW w:w="733" w:type="dxa"/>
                      </w:tcPr>
                      <w:p>
                        <w:pPr>
                          <w:pStyle w:val="TableParagraph"/>
                          <w:rPr>
                            <w:sz w:val="12"/>
                          </w:rPr>
                        </w:pPr>
                      </w:p>
                    </w:tc>
                    <w:tc>
                      <w:tcPr>
                        <w:tcW w:w="732" w:type="dxa"/>
                        <w:gridSpan w:val="3"/>
                      </w:tcPr>
                      <w:p>
                        <w:pPr>
                          <w:pStyle w:val="TableParagraph"/>
                          <w:rPr>
                            <w:sz w:val="12"/>
                          </w:rPr>
                        </w:pPr>
                      </w:p>
                    </w:tc>
                    <w:tc>
                      <w:tcPr>
                        <w:tcW w:w="378" w:type="dxa"/>
                        <w:gridSpan w:val="2"/>
                        <w:tcBorders>
                          <w:right w:val="nil"/>
                        </w:tcBorders>
                        <w:shd w:val="clear" w:color="auto" w:fill="5B9BD4"/>
                      </w:tcPr>
                      <w:p>
                        <w:pPr>
                          <w:pStyle w:val="TableParagraph"/>
                          <w:rPr>
                            <w:sz w:val="12"/>
                          </w:rPr>
                        </w:pPr>
                      </w:p>
                    </w:tc>
                    <w:tc>
                      <w:tcPr>
                        <w:tcW w:w="357" w:type="dxa"/>
                        <w:gridSpan w:val="3"/>
                        <w:tcBorders>
                          <w:left w:val="nil"/>
                        </w:tcBorders>
                      </w:tcPr>
                      <w:p>
                        <w:pPr>
                          <w:pStyle w:val="TableParagraph"/>
                          <w:spacing w:line="167" w:lineRule="exact" w:before="4"/>
                          <w:ind w:left="118"/>
                          <w:rPr>
                            <w:b/>
                            <w:sz w:val="16"/>
                          </w:rPr>
                        </w:pPr>
                        <w:r>
                          <w:rPr>
                            <w:b/>
                            <w:color w:val="006FC0"/>
                            <w:sz w:val="16"/>
                          </w:rPr>
                          <w:t>10.</w:t>
                        </w:r>
                      </w:p>
                    </w:tc>
                    <w:tc>
                      <w:tcPr>
                        <w:tcW w:w="731" w:type="dxa"/>
                        <w:gridSpan w:val="4"/>
                      </w:tcPr>
                      <w:p>
                        <w:pPr>
                          <w:pStyle w:val="TableParagraph"/>
                          <w:spacing w:line="167" w:lineRule="exact" w:before="4"/>
                          <w:ind w:left="-43"/>
                          <w:rPr>
                            <w:b/>
                            <w:sz w:val="16"/>
                          </w:rPr>
                        </w:pPr>
                        <w:r>
                          <w:rPr>
                            <w:b/>
                            <w:color w:val="006FC0"/>
                            <w:w w:val="100"/>
                            <w:sz w:val="16"/>
                          </w:rPr>
                          <w:t>3</w:t>
                        </w:r>
                      </w:p>
                    </w:tc>
                    <w:tc>
                      <w:tcPr>
                        <w:tcW w:w="729" w:type="dxa"/>
                      </w:tcPr>
                      <w:p>
                        <w:pPr>
                          <w:pStyle w:val="TableParagraph"/>
                          <w:rPr>
                            <w:sz w:val="12"/>
                          </w:rPr>
                        </w:pPr>
                      </w:p>
                    </w:tc>
                  </w:tr>
                  <w:tr>
                    <w:trPr>
                      <w:trHeight w:val="191" w:hRule="atLeast"/>
                    </w:trPr>
                    <w:tc>
                      <w:tcPr>
                        <w:tcW w:w="733" w:type="dxa"/>
                        <w:gridSpan w:val="2"/>
                      </w:tcPr>
                      <w:p>
                        <w:pPr>
                          <w:pStyle w:val="TableParagraph"/>
                          <w:rPr>
                            <w:sz w:val="12"/>
                          </w:rPr>
                        </w:pPr>
                      </w:p>
                    </w:tc>
                    <w:tc>
                      <w:tcPr>
                        <w:tcW w:w="733" w:type="dxa"/>
                      </w:tcPr>
                      <w:p>
                        <w:pPr>
                          <w:pStyle w:val="TableParagraph"/>
                          <w:rPr>
                            <w:sz w:val="12"/>
                          </w:rPr>
                        </w:pPr>
                      </w:p>
                    </w:tc>
                    <w:tc>
                      <w:tcPr>
                        <w:tcW w:w="732" w:type="dxa"/>
                        <w:gridSpan w:val="3"/>
                      </w:tcPr>
                      <w:p>
                        <w:pPr>
                          <w:pStyle w:val="TableParagraph"/>
                          <w:rPr>
                            <w:sz w:val="12"/>
                          </w:rPr>
                        </w:pPr>
                      </w:p>
                    </w:tc>
                    <w:tc>
                      <w:tcPr>
                        <w:tcW w:w="142" w:type="dxa"/>
                        <w:tcBorders>
                          <w:right w:val="nil"/>
                        </w:tcBorders>
                        <w:shd w:val="clear" w:color="auto" w:fill="5B9BD4"/>
                      </w:tcPr>
                      <w:p>
                        <w:pPr>
                          <w:pStyle w:val="TableParagraph"/>
                          <w:rPr>
                            <w:sz w:val="12"/>
                          </w:rPr>
                        </w:pPr>
                      </w:p>
                    </w:tc>
                    <w:tc>
                      <w:tcPr>
                        <w:tcW w:w="593" w:type="dxa"/>
                        <w:gridSpan w:val="4"/>
                        <w:tcBorders>
                          <w:left w:val="nil"/>
                        </w:tcBorders>
                      </w:tcPr>
                      <w:p>
                        <w:pPr>
                          <w:pStyle w:val="TableParagraph"/>
                          <w:spacing w:line="166" w:lineRule="exact" w:before="5"/>
                          <w:ind w:left="148"/>
                          <w:rPr>
                            <w:b/>
                            <w:sz w:val="16"/>
                          </w:rPr>
                        </w:pPr>
                        <w:r>
                          <w:rPr>
                            <w:b/>
                            <w:color w:val="006FC0"/>
                            <w:sz w:val="16"/>
                          </w:rPr>
                          <w:t>4.6</w:t>
                        </w:r>
                      </w:p>
                    </w:tc>
                    <w:tc>
                      <w:tcPr>
                        <w:tcW w:w="731" w:type="dxa"/>
                        <w:gridSpan w:val="4"/>
                      </w:tcPr>
                      <w:p>
                        <w:pPr>
                          <w:pStyle w:val="TableParagraph"/>
                          <w:rPr>
                            <w:sz w:val="12"/>
                          </w:rPr>
                        </w:pPr>
                      </w:p>
                    </w:tc>
                    <w:tc>
                      <w:tcPr>
                        <w:tcW w:w="729" w:type="dxa"/>
                      </w:tcPr>
                      <w:p>
                        <w:pPr>
                          <w:pStyle w:val="TableParagraph"/>
                          <w:rPr>
                            <w:sz w:val="12"/>
                          </w:rPr>
                        </w:pPr>
                      </w:p>
                    </w:tc>
                  </w:tr>
                  <w:tr>
                    <w:trPr>
                      <w:trHeight w:val="191" w:hRule="atLeast"/>
                    </w:trPr>
                    <w:tc>
                      <w:tcPr>
                        <w:tcW w:w="733" w:type="dxa"/>
                        <w:gridSpan w:val="2"/>
                      </w:tcPr>
                      <w:p>
                        <w:pPr>
                          <w:pStyle w:val="TableParagraph"/>
                          <w:rPr>
                            <w:sz w:val="12"/>
                          </w:rPr>
                        </w:pPr>
                      </w:p>
                    </w:tc>
                    <w:tc>
                      <w:tcPr>
                        <w:tcW w:w="733" w:type="dxa"/>
                      </w:tcPr>
                      <w:p>
                        <w:pPr>
                          <w:pStyle w:val="TableParagraph"/>
                          <w:rPr>
                            <w:sz w:val="12"/>
                          </w:rPr>
                        </w:pPr>
                      </w:p>
                    </w:tc>
                    <w:tc>
                      <w:tcPr>
                        <w:tcW w:w="732" w:type="dxa"/>
                        <w:gridSpan w:val="3"/>
                      </w:tcPr>
                      <w:p>
                        <w:pPr>
                          <w:pStyle w:val="TableParagraph"/>
                          <w:rPr>
                            <w:sz w:val="12"/>
                          </w:rPr>
                        </w:pPr>
                      </w:p>
                    </w:tc>
                    <w:tc>
                      <w:tcPr>
                        <w:tcW w:w="142" w:type="dxa"/>
                        <w:tcBorders>
                          <w:right w:val="nil"/>
                        </w:tcBorders>
                        <w:shd w:val="clear" w:color="auto" w:fill="5B9BD4"/>
                      </w:tcPr>
                      <w:p>
                        <w:pPr>
                          <w:pStyle w:val="TableParagraph"/>
                          <w:rPr>
                            <w:sz w:val="12"/>
                          </w:rPr>
                        </w:pPr>
                      </w:p>
                    </w:tc>
                    <w:tc>
                      <w:tcPr>
                        <w:tcW w:w="593" w:type="dxa"/>
                        <w:gridSpan w:val="4"/>
                        <w:tcBorders>
                          <w:left w:val="nil"/>
                        </w:tcBorders>
                      </w:tcPr>
                      <w:p>
                        <w:pPr>
                          <w:pStyle w:val="TableParagraph"/>
                          <w:spacing w:line="166" w:lineRule="exact" w:before="5"/>
                          <w:ind w:left="145"/>
                          <w:rPr>
                            <w:b/>
                            <w:sz w:val="16"/>
                          </w:rPr>
                        </w:pPr>
                        <w:r>
                          <w:rPr>
                            <w:b/>
                            <w:color w:val="006FC0"/>
                            <w:sz w:val="16"/>
                          </w:rPr>
                          <w:t>4.5</w:t>
                        </w:r>
                      </w:p>
                    </w:tc>
                    <w:tc>
                      <w:tcPr>
                        <w:tcW w:w="731" w:type="dxa"/>
                        <w:gridSpan w:val="4"/>
                      </w:tcPr>
                      <w:p>
                        <w:pPr>
                          <w:pStyle w:val="TableParagraph"/>
                          <w:rPr>
                            <w:sz w:val="12"/>
                          </w:rPr>
                        </w:pPr>
                      </w:p>
                    </w:tc>
                    <w:tc>
                      <w:tcPr>
                        <w:tcW w:w="729" w:type="dxa"/>
                      </w:tcPr>
                      <w:p>
                        <w:pPr>
                          <w:pStyle w:val="TableParagraph"/>
                          <w:rPr>
                            <w:sz w:val="12"/>
                          </w:rPr>
                        </w:pPr>
                      </w:p>
                    </w:tc>
                  </w:tr>
                  <w:tr>
                    <w:trPr>
                      <w:trHeight w:val="193" w:hRule="atLeast"/>
                    </w:trPr>
                    <w:tc>
                      <w:tcPr>
                        <w:tcW w:w="733" w:type="dxa"/>
                        <w:gridSpan w:val="2"/>
                      </w:tcPr>
                      <w:p>
                        <w:pPr>
                          <w:pStyle w:val="TableParagraph"/>
                          <w:rPr>
                            <w:sz w:val="12"/>
                          </w:rPr>
                        </w:pPr>
                      </w:p>
                    </w:tc>
                    <w:tc>
                      <w:tcPr>
                        <w:tcW w:w="733" w:type="dxa"/>
                      </w:tcPr>
                      <w:p>
                        <w:pPr>
                          <w:pStyle w:val="TableParagraph"/>
                          <w:rPr>
                            <w:sz w:val="12"/>
                          </w:rPr>
                        </w:pPr>
                      </w:p>
                    </w:tc>
                    <w:tc>
                      <w:tcPr>
                        <w:tcW w:w="732" w:type="dxa"/>
                        <w:gridSpan w:val="3"/>
                      </w:tcPr>
                      <w:p>
                        <w:pPr>
                          <w:pStyle w:val="TableParagraph"/>
                          <w:rPr>
                            <w:sz w:val="12"/>
                          </w:rPr>
                        </w:pPr>
                      </w:p>
                    </w:tc>
                    <w:tc>
                      <w:tcPr>
                        <w:tcW w:w="142" w:type="dxa"/>
                        <w:tcBorders>
                          <w:right w:val="nil"/>
                        </w:tcBorders>
                        <w:shd w:val="clear" w:color="auto" w:fill="5B9BD4"/>
                      </w:tcPr>
                      <w:p>
                        <w:pPr>
                          <w:pStyle w:val="TableParagraph"/>
                          <w:rPr>
                            <w:sz w:val="12"/>
                          </w:rPr>
                        </w:pPr>
                      </w:p>
                    </w:tc>
                    <w:tc>
                      <w:tcPr>
                        <w:tcW w:w="593" w:type="dxa"/>
                        <w:gridSpan w:val="4"/>
                        <w:tcBorders>
                          <w:left w:val="nil"/>
                        </w:tcBorders>
                      </w:tcPr>
                      <w:p>
                        <w:pPr>
                          <w:pStyle w:val="TableParagraph"/>
                          <w:spacing w:line="168" w:lineRule="exact" w:before="5"/>
                          <w:ind w:left="121"/>
                          <w:rPr>
                            <w:b/>
                            <w:sz w:val="16"/>
                          </w:rPr>
                        </w:pPr>
                        <w:r>
                          <w:rPr>
                            <w:b/>
                            <w:color w:val="006FC0"/>
                            <w:sz w:val="16"/>
                          </w:rPr>
                          <w:t>3.9</w:t>
                        </w:r>
                      </w:p>
                    </w:tc>
                    <w:tc>
                      <w:tcPr>
                        <w:tcW w:w="731" w:type="dxa"/>
                        <w:gridSpan w:val="4"/>
                      </w:tcPr>
                      <w:p>
                        <w:pPr>
                          <w:pStyle w:val="TableParagraph"/>
                          <w:rPr>
                            <w:sz w:val="12"/>
                          </w:rPr>
                        </w:pPr>
                      </w:p>
                    </w:tc>
                    <w:tc>
                      <w:tcPr>
                        <w:tcW w:w="729" w:type="dxa"/>
                      </w:tcPr>
                      <w:p>
                        <w:pPr>
                          <w:pStyle w:val="TableParagraph"/>
                          <w:rPr>
                            <w:sz w:val="12"/>
                          </w:rPr>
                        </w:pPr>
                      </w:p>
                    </w:tc>
                  </w:tr>
                  <w:tr>
                    <w:trPr>
                      <w:trHeight w:val="191" w:hRule="atLeast"/>
                    </w:trPr>
                    <w:tc>
                      <w:tcPr>
                        <w:tcW w:w="733" w:type="dxa"/>
                        <w:gridSpan w:val="2"/>
                      </w:tcPr>
                      <w:p>
                        <w:pPr>
                          <w:pStyle w:val="TableParagraph"/>
                          <w:rPr>
                            <w:sz w:val="12"/>
                          </w:rPr>
                        </w:pPr>
                      </w:p>
                    </w:tc>
                    <w:tc>
                      <w:tcPr>
                        <w:tcW w:w="733" w:type="dxa"/>
                      </w:tcPr>
                      <w:p>
                        <w:pPr>
                          <w:pStyle w:val="TableParagraph"/>
                          <w:rPr>
                            <w:sz w:val="12"/>
                          </w:rPr>
                        </w:pPr>
                      </w:p>
                    </w:tc>
                    <w:tc>
                      <w:tcPr>
                        <w:tcW w:w="732" w:type="dxa"/>
                        <w:gridSpan w:val="3"/>
                        <w:tcBorders>
                          <w:right w:val="single" w:sz="6" w:space="0" w:color="5B9BD4"/>
                        </w:tcBorders>
                      </w:tcPr>
                      <w:p>
                        <w:pPr>
                          <w:pStyle w:val="TableParagraph"/>
                          <w:rPr>
                            <w:sz w:val="12"/>
                          </w:rPr>
                        </w:pPr>
                      </w:p>
                    </w:tc>
                    <w:tc>
                      <w:tcPr>
                        <w:tcW w:w="735" w:type="dxa"/>
                        <w:gridSpan w:val="5"/>
                        <w:tcBorders>
                          <w:left w:val="single" w:sz="6" w:space="0" w:color="5B9BD4"/>
                        </w:tcBorders>
                      </w:tcPr>
                      <w:p>
                        <w:pPr>
                          <w:pStyle w:val="TableParagraph"/>
                          <w:spacing w:line="168" w:lineRule="exact" w:before="3"/>
                          <w:ind w:left="221"/>
                          <w:rPr>
                            <w:b/>
                            <w:sz w:val="16"/>
                          </w:rPr>
                        </w:pPr>
                        <w:r>
                          <w:rPr>
                            <w:b/>
                            <w:color w:val="006FC0"/>
                            <w:sz w:val="16"/>
                          </w:rPr>
                          <w:t>2.9</w:t>
                        </w:r>
                      </w:p>
                    </w:tc>
                    <w:tc>
                      <w:tcPr>
                        <w:tcW w:w="731" w:type="dxa"/>
                        <w:gridSpan w:val="4"/>
                      </w:tcPr>
                      <w:p>
                        <w:pPr>
                          <w:pStyle w:val="TableParagraph"/>
                          <w:rPr>
                            <w:sz w:val="12"/>
                          </w:rPr>
                        </w:pPr>
                      </w:p>
                    </w:tc>
                    <w:tc>
                      <w:tcPr>
                        <w:tcW w:w="729" w:type="dxa"/>
                      </w:tcPr>
                      <w:p>
                        <w:pPr>
                          <w:pStyle w:val="TableParagraph"/>
                          <w:rPr>
                            <w:sz w:val="12"/>
                          </w:rPr>
                        </w:pPr>
                      </w:p>
                    </w:tc>
                  </w:tr>
                  <w:tr>
                    <w:trPr>
                      <w:trHeight w:val="191" w:hRule="atLeast"/>
                    </w:trPr>
                    <w:tc>
                      <w:tcPr>
                        <w:tcW w:w="733" w:type="dxa"/>
                        <w:gridSpan w:val="2"/>
                      </w:tcPr>
                      <w:p>
                        <w:pPr>
                          <w:pStyle w:val="TableParagraph"/>
                          <w:rPr>
                            <w:sz w:val="12"/>
                          </w:rPr>
                        </w:pPr>
                      </w:p>
                    </w:tc>
                    <w:tc>
                      <w:tcPr>
                        <w:tcW w:w="733" w:type="dxa"/>
                      </w:tcPr>
                      <w:p>
                        <w:pPr>
                          <w:pStyle w:val="TableParagraph"/>
                          <w:rPr>
                            <w:sz w:val="12"/>
                          </w:rPr>
                        </w:pPr>
                      </w:p>
                    </w:tc>
                    <w:tc>
                      <w:tcPr>
                        <w:tcW w:w="732" w:type="dxa"/>
                        <w:gridSpan w:val="3"/>
                        <w:tcBorders>
                          <w:right w:val="single" w:sz="6" w:space="0" w:color="5B9BD4"/>
                        </w:tcBorders>
                      </w:tcPr>
                      <w:p>
                        <w:pPr>
                          <w:pStyle w:val="TableParagraph"/>
                          <w:spacing w:line="167" w:lineRule="exact" w:before="4"/>
                          <w:ind w:left="222"/>
                          <w:rPr>
                            <w:b/>
                            <w:sz w:val="16"/>
                          </w:rPr>
                        </w:pPr>
                        <w:r>
                          <w:rPr>
                            <w:b/>
                            <w:color w:val="006FC0"/>
                            <w:sz w:val="16"/>
                          </w:rPr>
                          <w:t>-3.6</w:t>
                        </w:r>
                      </w:p>
                    </w:tc>
                    <w:tc>
                      <w:tcPr>
                        <w:tcW w:w="735" w:type="dxa"/>
                        <w:gridSpan w:val="5"/>
                        <w:tcBorders>
                          <w:left w:val="single" w:sz="6" w:space="0" w:color="5B9BD4"/>
                        </w:tcBorders>
                      </w:tcPr>
                      <w:p>
                        <w:pPr>
                          <w:pStyle w:val="TableParagraph"/>
                          <w:rPr>
                            <w:sz w:val="12"/>
                          </w:rPr>
                        </w:pPr>
                      </w:p>
                    </w:tc>
                    <w:tc>
                      <w:tcPr>
                        <w:tcW w:w="731" w:type="dxa"/>
                        <w:gridSpan w:val="4"/>
                      </w:tcPr>
                      <w:p>
                        <w:pPr>
                          <w:pStyle w:val="TableParagraph"/>
                          <w:rPr>
                            <w:sz w:val="12"/>
                          </w:rPr>
                        </w:pPr>
                      </w:p>
                    </w:tc>
                    <w:tc>
                      <w:tcPr>
                        <w:tcW w:w="729" w:type="dxa"/>
                      </w:tcPr>
                      <w:p>
                        <w:pPr>
                          <w:pStyle w:val="TableParagraph"/>
                          <w:rPr>
                            <w:sz w:val="12"/>
                          </w:rPr>
                        </w:pPr>
                      </w:p>
                    </w:tc>
                  </w:tr>
                  <w:tr>
                    <w:trPr>
                      <w:trHeight w:val="191" w:hRule="atLeast"/>
                    </w:trPr>
                    <w:tc>
                      <w:tcPr>
                        <w:tcW w:w="733" w:type="dxa"/>
                        <w:gridSpan w:val="2"/>
                      </w:tcPr>
                      <w:p>
                        <w:pPr>
                          <w:pStyle w:val="TableParagraph"/>
                          <w:rPr>
                            <w:sz w:val="12"/>
                          </w:rPr>
                        </w:pPr>
                      </w:p>
                    </w:tc>
                    <w:tc>
                      <w:tcPr>
                        <w:tcW w:w="733" w:type="dxa"/>
                      </w:tcPr>
                      <w:p>
                        <w:pPr>
                          <w:pStyle w:val="TableParagraph"/>
                          <w:rPr>
                            <w:sz w:val="12"/>
                          </w:rPr>
                        </w:pPr>
                      </w:p>
                    </w:tc>
                    <w:tc>
                      <w:tcPr>
                        <w:tcW w:w="460" w:type="dxa"/>
                        <w:gridSpan w:val="2"/>
                        <w:tcBorders>
                          <w:right w:val="nil"/>
                        </w:tcBorders>
                      </w:tcPr>
                      <w:p>
                        <w:pPr>
                          <w:pStyle w:val="TableParagraph"/>
                          <w:spacing w:line="167" w:lineRule="exact" w:before="4"/>
                          <w:ind w:left="82"/>
                          <w:rPr>
                            <w:b/>
                            <w:sz w:val="16"/>
                          </w:rPr>
                        </w:pPr>
                        <w:r>
                          <w:rPr>
                            <w:b/>
                            <w:color w:val="FF0000"/>
                            <w:sz w:val="16"/>
                          </w:rPr>
                          <w:t>-7.4</w:t>
                        </w:r>
                      </w:p>
                    </w:tc>
                    <w:tc>
                      <w:tcPr>
                        <w:tcW w:w="272" w:type="dxa"/>
                        <w:tcBorders>
                          <w:left w:val="nil"/>
                        </w:tcBorders>
                        <w:shd w:val="clear" w:color="auto" w:fill="FF0000"/>
                      </w:tcPr>
                      <w:p>
                        <w:pPr>
                          <w:pStyle w:val="TableParagraph"/>
                          <w:rPr>
                            <w:sz w:val="12"/>
                          </w:rPr>
                        </w:pPr>
                      </w:p>
                    </w:tc>
                    <w:tc>
                      <w:tcPr>
                        <w:tcW w:w="735" w:type="dxa"/>
                        <w:gridSpan w:val="5"/>
                      </w:tcPr>
                      <w:p>
                        <w:pPr>
                          <w:pStyle w:val="TableParagraph"/>
                          <w:rPr>
                            <w:sz w:val="12"/>
                          </w:rPr>
                        </w:pPr>
                      </w:p>
                    </w:tc>
                    <w:tc>
                      <w:tcPr>
                        <w:tcW w:w="731" w:type="dxa"/>
                        <w:gridSpan w:val="4"/>
                      </w:tcPr>
                      <w:p>
                        <w:pPr>
                          <w:pStyle w:val="TableParagraph"/>
                          <w:rPr>
                            <w:sz w:val="12"/>
                          </w:rPr>
                        </w:pPr>
                      </w:p>
                    </w:tc>
                    <w:tc>
                      <w:tcPr>
                        <w:tcW w:w="729" w:type="dxa"/>
                      </w:tcPr>
                      <w:p>
                        <w:pPr>
                          <w:pStyle w:val="TableParagraph"/>
                          <w:rPr>
                            <w:sz w:val="12"/>
                          </w:rPr>
                        </w:pPr>
                      </w:p>
                    </w:tc>
                  </w:tr>
                  <w:tr>
                    <w:trPr>
                      <w:trHeight w:val="191" w:hRule="atLeast"/>
                    </w:trPr>
                    <w:tc>
                      <w:tcPr>
                        <w:tcW w:w="733" w:type="dxa"/>
                        <w:gridSpan w:val="2"/>
                      </w:tcPr>
                      <w:p>
                        <w:pPr>
                          <w:pStyle w:val="TableParagraph"/>
                          <w:rPr>
                            <w:sz w:val="12"/>
                          </w:rPr>
                        </w:pPr>
                      </w:p>
                    </w:tc>
                    <w:tc>
                      <w:tcPr>
                        <w:tcW w:w="733" w:type="dxa"/>
                      </w:tcPr>
                      <w:p>
                        <w:pPr>
                          <w:pStyle w:val="TableParagraph"/>
                          <w:spacing w:line="166" w:lineRule="exact" w:before="5"/>
                          <w:ind w:right="-29"/>
                          <w:jc w:val="right"/>
                          <w:rPr>
                            <w:b/>
                            <w:sz w:val="16"/>
                          </w:rPr>
                        </w:pPr>
                        <w:r>
                          <w:rPr>
                            <w:b/>
                            <w:color w:val="FF0000"/>
                            <w:sz w:val="16"/>
                          </w:rPr>
                          <w:t>-13</w:t>
                        </w:r>
                      </w:p>
                    </w:tc>
                    <w:tc>
                      <w:tcPr>
                        <w:tcW w:w="255" w:type="dxa"/>
                        <w:tcBorders>
                          <w:right w:val="nil"/>
                        </w:tcBorders>
                      </w:tcPr>
                      <w:p>
                        <w:pPr>
                          <w:pStyle w:val="TableParagraph"/>
                          <w:spacing w:line="166" w:lineRule="exact" w:before="5"/>
                          <w:ind w:left="12"/>
                          <w:rPr>
                            <w:b/>
                            <w:sz w:val="16"/>
                          </w:rPr>
                        </w:pPr>
                        <w:r>
                          <w:rPr>
                            <w:b/>
                            <w:color w:val="FF0000"/>
                            <w:sz w:val="16"/>
                          </w:rPr>
                          <w:t>.0</w:t>
                        </w:r>
                      </w:p>
                    </w:tc>
                    <w:tc>
                      <w:tcPr>
                        <w:tcW w:w="477" w:type="dxa"/>
                        <w:gridSpan w:val="2"/>
                        <w:tcBorders>
                          <w:left w:val="nil"/>
                        </w:tcBorders>
                        <w:shd w:val="clear" w:color="auto" w:fill="FF0000"/>
                      </w:tcPr>
                      <w:p>
                        <w:pPr>
                          <w:pStyle w:val="TableParagraph"/>
                          <w:rPr>
                            <w:sz w:val="12"/>
                          </w:rPr>
                        </w:pPr>
                      </w:p>
                    </w:tc>
                    <w:tc>
                      <w:tcPr>
                        <w:tcW w:w="735" w:type="dxa"/>
                        <w:gridSpan w:val="5"/>
                      </w:tcPr>
                      <w:p>
                        <w:pPr>
                          <w:pStyle w:val="TableParagraph"/>
                          <w:rPr>
                            <w:sz w:val="12"/>
                          </w:rPr>
                        </w:pPr>
                      </w:p>
                    </w:tc>
                    <w:tc>
                      <w:tcPr>
                        <w:tcW w:w="731" w:type="dxa"/>
                        <w:gridSpan w:val="4"/>
                      </w:tcPr>
                      <w:p>
                        <w:pPr>
                          <w:pStyle w:val="TableParagraph"/>
                          <w:rPr>
                            <w:sz w:val="12"/>
                          </w:rPr>
                        </w:pPr>
                      </w:p>
                    </w:tc>
                    <w:tc>
                      <w:tcPr>
                        <w:tcW w:w="729" w:type="dxa"/>
                      </w:tcPr>
                      <w:p>
                        <w:pPr>
                          <w:pStyle w:val="TableParagraph"/>
                          <w:rPr>
                            <w:sz w:val="12"/>
                          </w:rPr>
                        </w:pPr>
                      </w:p>
                    </w:tc>
                  </w:tr>
                  <w:tr>
                    <w:trPr>
                      <w:trHeight w:val="193" w:hRule="atLeast"/>
                    </w:trPr>
                    <w:tc>
                      <w:tcPr>
                        <w:tcW w:w="442" w:type="dxa"/>
                        <w:tcBorders>
                          <w:right w:val="nil"/>
                        </w:tcBorders>
                      </w:tcPr>
                      <w:p>
                        <w:pPr>
                          <w:pStyle w:val="TableParagraph"/>
                          <w:spacing w:line="168" w:lineRule="exact"/>
                          <w:ind w:left="42"/>
                          <w:rPr>
                            <w:b/>
                            <w:sz w:val="16"/>
                          </w:rPr>
                        </w:pPr>
                        <w:r>
                          <w:rPr>
                            <w:b/>
                            <w:color w:val="FF0000"/>
                            <w:sz w:val="16"/>
                          </w:rPr>
                          <w:t>-47.9</w:t>
                        </w:r>
                      </w:p>
                    </w:tc>
                    <w:tc>
                      <w:tcPr>
                        <w:tcW w:w="1756" w:type="dxa"/>
                        <w:gridSpan w:val="5"/>
                        <w:tcBorders>
                          <w:left w:val="nil"/>
                        </w:tcBorders>
                        <w:shd w:val="clear" w:color="auto" w:fill="FF0000"/>
                      </w:tcPr>
                      <w:p>
                        <w:pPr>
                          <w:pStyle w:val="TableParagraph"/>
                          <w:rPr>
                            <w:sz w:val="12"/>
                          </w:rPr>
                        </w:pPr>
                      </w:p>
                    </w:tc>
                    <w:tc>
                      <w:tcPr>
                        <w:tcW w:w="735" w:type="dxa"/>
                        <w:gridSpan w:val="5"/>
                      </w:tcPr>
                      <w:p>
                        <w:pPr>
                          <w:pStyle w:val="TableParagraph"/>
                          <w:rPr>
                            <w:sz w:val="12"/>
                          </w:rPr>
                        </w:pPr>
                      </w:p>
                    </w:tc>
                    <w:tc>
                      <w:tcPr>
                        <w:tcW w:w="731" w:type="dxa"/>
                        <w:gridSpan w:val="4"/>
                      </w:tcPr>
                      <w:p>
                        <w:pPr>
                          <w:pStyle w:val="TableParagraph"/>
                          <w:rPr>
                            <w:sz w:val="12"/>
                          </w:rPr>
                        </w:pPr>
                      </w:p>
                    </w:tc>
                    <w:tc>
                      <w:tcPr>
                        <w:tcW w:w="729" w:type="dxa"/>
                      </w:tcPr>
                      <w:p>
                        <w:pPr>
                          <w:pStyle w:val="TableParagraph"/>
                          <w:rPr>
                            <w:sz w:val="12"/>
                          </w:rPr>
                        </w:pPr>
                      </w:p>
                    </w:tc>
                  </w:tr>
                </w:tbl>
                <w:p>
                  <w:pPr>
                    <w:pStyle w:val="BodyText"/>
                  </w:pPr>
                </w:p>
              </w:txbxContent>
            </v:textbox>
            <w10:wrap type="none"/>
          </v:shape>
        </w:pict>
      </w:r>
      <w:r>
        <w:rPr>
          <w:b/>
          <w:color w:val="585858"/>
          <w:sz w:val="14"/>
        </w:rPr>
        <w:t>Actividades de servicios administrativos y</w:t>
      </w:r>
      <w:r>
        <w:rPr>
          <w:b/>
          <w:color w:val="585858"/>
          <w:spacing w:val="-18"/>
          <w:sz w:val="14"/>
        </w:rPr>
        <w:t> </w:t>
      </w:r>
      <w:r>
        <w:rPr>
          <w:b/>
          <w:color w:val="585858"/>
          <w:sz w:val="14"/>
        </w:rPr>
        <w:t>de</w:t>
      </w:r>
      <w:r>
        <w:rPr>
          <w:b/>
          <w:color w:val="585858"/>
          <w:spacing w:val="-2"/>
          <w:sz w:val="14"/>
        </w:rPr>
        <w:t> </w:t>
      </w:r>
      <w:r>
        <w:rPr>
          <w:b/>
          <w:color w:val="585858"/>
          <w:sz w:val="14"/>
        </w:rPr>
        <w:t>apoyo</w:t>
      </w:r>
      <w:r>
        <w:rPr>
          <w:b/>
          <w:color w:val="585858"/>
          <w:w w:val="99"/>
          <w:sz w:val="14"/>
        </w:rPr>
        <w:t> </w:t>
      </w:r>
      <w:r>
        <w:rPr>
          <w:b/>
          <w:color w:val="585858"/>
          <w:sz w:val="14"/>
        </w:rPr>
        <w:t>Actividades artísticas, de entretenimiento</w:t>
      </w:r>
      <w:r>
        <w:rPr>
          <w:b/>
          <w:color w:val="585858"/>
          <w:spacing w:val="-20"/>
          <w:sz w:val="14"/>
        </w:rPr>
        <w:t> </w:t>
      </w:r>
      <w:r>
        <w:rPr>
          <w:b/>
          <w:color w:val="585858"/>
          <w:sz w:val="14"/>
        </w:rPr>
        <w:t>y</w:t>
      </w:r>
      <w:r>
        <w:rPr>
          <w:b/>
          <w:color w:val="585858"/>
          <w:spacing w:val="-4"/>
          <w:sz w:val="14"/>
        </w:rPr>
        <w:t> </w:t>
      </w:r>
      <w:r>
        <w:rPr>
          <w:b/>
          <w:color w:val="585858"/>
          <w:sz w:val="14"/>
        </w:rPr>
        <w:t>recreativas</w:t>
      </w:r>
      <w:r>
        <w:rPr>
          <w:b/>
          <w:color w:val="585858"/>
          <w:w w:val="99"/>
          <w:sz w:val="14"/>
        </w:rPr>
        <w:t> </w:t>
      </w:r>
      <w:r>
        <w:rPr>
          <w:b/>
          <w:color w:val="585858"/>
          <w:sz w:val="14"/>
        </w:rPr>
        <w:t>Suministro de electricidad, gas, vapor y</w:t>
      </w:r>
      <w:r>
        <w:rPr>
          <w:b/>
          <w:color w:val="585858"/>
          <w:spacing w:val="-20"/>
          <w:sz w:val="14"/>
        </w:rPr>
        <w:t> </w:t>
      </w:r>
      <w:r>
        <w:rPr>
          <w:b/>
          <w:color w:val="585858"/>
          <w:sz w:val="14"/>
        </w:rPr>
        <w:t>aire</w:t>
      </w:r>
      <w:r>
        <w:rPr>
          <w:b/>
          <w:color w:val="585858"/>
          <w:spacing w:val="-1"/>
          <w:sz w:val="14"/>
        </w:rPr>
        <w:t> </w:t>
      </w:r>
      <w:r>
        <w:rPr>
          <w:b/>
          <w:color w:val="585858"/>
          <w:sz w:val="14"/>
        </w:rPr>
        <w:t>acondicionado</w:t>
      </w:r>
      <w:r>
        <w:rPr>
          <w:b/>
          <w:color w:val="585858"/>
          <w:w w:val="99"/>
          <w:sz w:val="14"/>
        </w:rPr>
        <w:t> </w:t>
      </w:r>
      <w:r>
        <w:rPr>
          <w:b/>
          <w:color w:val="585858"/>
          <w:sz w:val="14"/>
        </w:rPr>
        <w:t>Actividades de alojamiento y de servicio de</w:t>
      </w:r>
      <w:r>
        <w:rPr>
          <w:b/>
          <w:color w:val="585858"/>
          <w:spacing w:val="-22"/>
          <w:sz w:val="14"/>
        </w:rPr>
        <w:t> </w:t>
      </w:r>
      <w:r>
        <w:rPr>
          <w:b/>
          <w:color w:val="585858"/>
          <w:sz w:val="14"/>
        </w:rPr>
        <w:t>comidas</w:t>
      </w:r>
    </w:p>
    <w:p>
      <w:pPr>
        <w:spacing w:line="309" w:lineRule="auto" w:before="3"/>
        <w:ind w:left="705" w:right="6521" w:firstLine="1712"/>
        <w:jc w:val="right"/>
        <w:rPr>
          <w:b/>
          <w:sz w:val="14"/>
        </w:rPr>
      </w:pPr>
      <w:r>
        <w:rPr>
          <w:b/>
          <w:color w:val="585858"/>
          <w:sz w:val="14"/>
        </w:rPr>
        <w:t>Actividades financieras y</w:t>
      </w:r>
      <w:r>
        <w:rPr>
          <w:b/>
          <w:color w:val="585858"/>
          <w:spacing w:val="-13"/>
          <w:sz w:val="14"/>
        </w:rPr>
        <w:t> </w:t>
      </w:r>
      <w:r>
        <w:rPr>
          <w:b/>
          <w:color w:val="585858"/>
          <w:sz w:val="14"/>
        </w:rPr>
        <w:t>de</w:t>
      </w:r>
      <w:r>
        <w:rPr>
          <w:b/>
          <w:color w:val="585858"/>
          <w:spacing w:val="-2"/>
          <w:sz w:val="14"/>
        </w:rPr>
        <w:t> </w:t>
      </w:r>
      <w:r>
        <w:rPr>
          <w:b/>
          <w:color w:val="585858"/>
          <w:sz w:val="14"/>
        </w:rPr>
        <w:t>seguros</w:t>
      </w:r>
      <w:r>
        <w:rPr>
          <w:b/>
          <w:color w:val="585858"/>
          <w:w w:val="99"/>
          <w:sz w:val="14"/>
        </w:rPr>
        <w:t> </w:t>
      </w:r>
      <w:r>
        <w:rPr>
          <w:b/>
          <w:color w:val="585858"/>
          <w:sz w:val="14"/>
        </w:rPr>
        <w:t>Actividades</w:t>
      </w:r>
      <w:r>
        <w:rPr>
          <w:b/>
          <w:color w:val="585858"/>
          <w:spacing w:val="-3"/>
          <w:sz w:val="14"/>
        </w:rPr>
        <w:t> </w:t>
      </w:r>
      <w:r>
        <w:rPr>
          <w:b/>
          <w:color w:val="585858"/>
          <w:sz w:val="14"/>
        </w:rPr>
        <w:t>de</w:t>
      </w:r>
      <w:r>
        <w:rPr>
          <w:b/>
          <w:color w:val="585858"/>
          <w:spacing w:val="-4"/>
          <w:sz w:val="14"/>
        </w:rPr>
        <w:t> </w:t>
      </w:r>
      <w:r>
        <w:rPr>
          <w:b/>
          <w:color w:val="585858"/>
          <w:sz w:val="14"/>
        </w:rPr>
        <w:t>atención</w:t>
      </w:r>
      <w:r>
        <w:rPr>
          <w:b/>
          <w:color w:val="585858"/>
          <w:spacing w:val="-2"/>
          <w:sz w:val="14"/>
        </w:rPr>
        <w:t> </w:t>
      </w:r>
      <w:r>
        <w:rPr>
          <w:b/>
          <w:color w:val="585858"/>
          <w:sz w:val="14"/>
        </w:rPr>
        <w:t>de</w:t>
      </w:r>
      <w:r>
        <w:rPr>
          <w:b/>
          <w:color w:val="585858"/>
          <w:spacing w:val="-4"/>
          <w:sz w:val="14"/>
        </w:rPr>
        <w:t> </w:t>
      </w:r>
      <w:r>
        <w:rPr>
          <w:b/>
          <w:color w:val="585858"/>
          <w:sz w:val="14"/>
        </w:rPr>
        <w:t>la</w:t>
      </w:r>
      <w:r>
        <w:rPr>
          <w:b/>
          <w:color w:val="585858"/>
          <w:spacing w:val="-3"/>
          <w:sz w:val="14"/>
        </w:rPr>
        <w:t> </w:t>
      </w:r>
      <w:r>
        <w:rPr>
          <w:b/>
          <w:color w:val="585858"/>
          <w:sz w:val="14"/>
        </w:rPr>
        <w:t>salud</w:t>
      </w:r>
      <w:r>
        <w:rPr>
          <w:b/>
          <w:color w:val="585858"/>
          <w:spacing w:val="-2"/>
          <w:sz w:val="14"/>
        </w:rPr>
        <w:t> </w:t>
      </w:r>
      <w:r>
        <w:rPr>
          <w:b/>
          <w:color w:val="585858"/>
          <w:sz w:val="14"/>
        </w:rPr>
        <w:t>humana</w:t>
      </w:r>
      <w:r>
        <w:rPr>
          <w:b/>
          <w:color w:val="585858"/>
          <w:spacing w:val="-2"/>
          <w:sz w:val="14"/>
        </w:rPr>
        <w:t> </w:t>
      </w:r>
      <w:r>
        <w:rPr>
          <w:b/>
          <w:color w:val="585858"/>
          <w:sz w:val="14"/>
        </w:rPr>
        <w:t>y</w:t>
      </w:r>
      <w:r>
        <w:rPr>
          <w:b/>
          <w:color w:val="585858"/>
          <w:spacing w:val="-3"/>
          <w:sz w:val="14"/>
        </w:rPr>
        <w:t> </w:t>
      </w:r>
      <w:r>
        <w:rPr>
          <w:b/>
          <w:color w:val="585858"/>
          <w:sz w:val="14"/>
        </w:rPr>
        <w:t>de</w:t>
      </w:r>
      <w:r>
        <w:rPr>
          <w:b/>
          <w:color w:val="585858"/>
          <w:spacing w:val="-4"/>
          <w:sz w:val="14"/>
        </w:rPr>
        <w:t> </w:t>
      </w:r>
      <w:r>
        <w:rPr>
          <w:b/>
          <w:color w:val="585858"/>
          <w:sz w:val="14"/>
        </w:rPr>
        <w:t>asistencia</w:t>
      </w:r>
      <w:r>
        <w:rPr>
          <w:b/>
          <w:color w:val="585858"/>
          <w:spacing w:val="-2"/>
          <w:sz w:val="14"/>
        </w:rPr>
        <w:t> </w:t>
      </w:r>
      <w:r>
        <w:rPr>
          <w:b/>
          <w:color w:val="585858"/>
          <w:sz w:val="14"/>
        </w:rPr>
        <w:t>social</w:t>
      </w:r>
    </w:p>
    <w:p>
      <w:pPr>
        <w:spacing w:line="307" w:lineRule="auto" w:before="0"/>
        <w:ind w:left="2783" w:right="6520" w:firstLine="267"/>
        <w:jc w:val="right"/>
        <w:rPr>
          <w:b/>
          <w:sz w:val="14"/>
        </w:rPr>
      </w:pPr>
      <w:r>
        <w:rPr>
          <w:b/>
          <w:color w:val="585858"/>
          <w:sz w:val="14"/>
        </w:rPr>
        <w:t>Actividades</w:t>
      </w:r>
      <w:r>
        <w:rPr>
          <w:b/>
          <w:color w:val="585858"/>
          <w:spacing w:val="-9"/>
          <w:sz w:val="14"/>
        </w:rPr>
        <w:t> </w:t>
      </w:r>
      <w:r>
        <w:rPr>
          <w:b/>
          <w:color w:val="585858"/>
          <w:sz w:val="14"/>
        </w:rPr>
        <w:t>inmobiliarias</w:t>
      </w:r>
      <w:r>
        <w:rPr>
          <w:b/>
          <w:color w:val="585858"/>
          <w:w w:val="99"/>
          <w:sz w:val="14"/>
        </w:rPr>
        <w:t> </w:t>
      </w:r>
      <w:r>
        <w:rPr>
          <w:b/>
          <w:color w:val="585858"/>
          <w:sz w:val="14"/>
        </w:rPr>
        <w:t>Transporte y</w:t>
      </w:r>
      <w:r>
        <w:rPr>
          <w:b/>
          <w:color w:val="585858"/>
          <w:spacing w:val="-13"/>
          <w:sz w:val="14"/>
        </w:rPr>
        <w:t> </w:t>
      </w:r>
      <w:r>
        <w:rPr>
          <w:b/>
          <w:color w:val="585858"/>
          <w:sz w:val="14"/>
        </w:rPr>
        <w:t>almacenamiento</w:t>
      </w:r>
    </w:p>
    <w:p>
      <w:pPr>
        <w:spacing w:line="307" w:lineRule="auto" w:before="0"/>
        <w:ind w:left="768" w:right="5880" w:hanging="2"/>
        <w:jc w:val="left"/>
        <w:rPr>
          <w:b/>
          <w:sz w:val="14"/>
        </w:rPr>
      </w:pPr>
      <w:r>
        <w:rPr>
          <w:b/>
          <w:color w:val="585858"/>
          <w:sz w:val="14"/>
        </w:rPr>
        <w:t>Administración pública y defensa; planes de seguridad social de… Comercio al por mayor y al por menor; reparación de vehículos…</w:t>
      </w:r>
    </w:p>
    <w:p>
      <w:pPr>
        <w:spacing w:before="1"/>
        <w:ind w:left="0" w:right="6518" w:firstLine="0"/>
        <w:jc w:val="right"/>
        <w:rPr>
          <w:b/>
          <w:sz w:val="14"/>
        </w:rPr>
      </w:pPr>
      <w:r>
        <w:rPr>
          <w:b/>
          <w:color w:val="585858"/>
          <w:sz w:val="14"/>
        </w:rPr>
        <w:t>Industrias</w:t>
      </w:r>
      <w:r>
        <w:rPr>
          <w:b/>
          <w:color w:val="585858"/>
          <w:spacing w:val="-10"/>
          <w:sz w:val="14"/>
        </w:rPr>
        <w:t> </w:t>
      </w:r>
      <w:r>
        <w:rPr>
          <w:b/>
          <w:color w:val="585858"/>
          <w:sz w:val="14"/>
        </w:rPr>
        <w:t>manufactureras</w:t>
      </w:r>
    </w:p>
    <w:p>
      <w:pPr>
        <w:spacing w:line="307" w:lineRule="auto" w:before="46"/>
        <w:ind w:left="3778" w:right="6519" w:firstLine="155"/>
        <w:jc w:val="right"/>
        <w:rPr>
          <w:b/>
          <w:sz w:val="14"/>
        </w:rPr>
      </w:pPr>
      <w:r>
        <w:rPr>
          <w:b/>
          <w:color w:val="585858"/>
          <w:spacing w:val="-1"/>
          <w:sz w:val="14"/>
        </w:rPr>
        <w:t>Enseñanza Construcción</w:t>
      </w:r>
    </w:p>
    <w:p>
      <w:pPr>
        <w:spacing w:line="307" w:lineRule="auto" w:before="2"/>
        <w:ind w:left="826" w:right="5880" w:firstLine="1925"/>
        <w:jc w:val="left"/>
        <w:rPr>
          <w:b/>
          <w:sz w:val="14"/>
        </w:rPr>
      </w:pPr>
      <w:r>
        <w:rPr>
          <w:b/>
          <w:color w:val="585858"/>
          <w:sz w:val="14"/>
        </w:rPr>
        <w:t>Información y comunicaciones Suministro de agua; evacuación de aguas residuales, gestión de…</w:t>
      </w:r>
    </w:p>
    <w:p>
      <w:pPr>
        <w:spacing w:line="309" w:lineRule="auto" w:before="1"/>
        <w:ind w:left="2650" w:right="6520" w:hanging="661"/>
        <w:jc w:val="right"/>
        <w:rPr>
          <w:b/>
          <w:sz w:val="14"/>
        </w:rPr>
      </w:pPr>
      <w:r>
        <w:rPr>
          <w:b/>
          <w:color w:val="585858"/>
          <w:sz w:val="14"/>
        </w:rPr>
        <w:t>Agricultura, ganadería, silvicultura</w:t>
      </w:r>
      <w:r>
        <w:rPr>
          <w:b/>
          <w:color w:val="585858"/>
          <w:spacing w:val="-18"/>
          <w:sz w:val="14"/>
        </w:rPr>
        <w:t> </w:t>
      </w:r>
      <w:r>
        <w:rPr>
          <w:b/>
          <w:color w:val="585858"/>
          <w:sz w:val="14"/>
        </w:rPr>
        <w:t>y</w:t>
      </w:r>
      <w:r>
        <w:rPr>
          <w:b/>
          <w:color w:val="585858"/>
          <w:spacing w:val="-4"/>
          <w:sz w:val="14"/>
        </w:rPr>
        <w:t> </w:t>
      </w:r>
      <w:r>
        <w:rPr>
          <w:b/>
          <w:color w:val="585858"/>
          <w:sz w:val="14"/>
        </w:rPr>
        <w:t>pesca</w:t>
      </w:r>
      <w:r>
        <w:rPr>
          <w:b/>
          <w:color w:val="585858"/>
          <w:w w:val="99"/>
          <w:sz w:val="14"/>
        </w:rPr>
        <w:t> </w:t>
      </w:r>
      <w:r>
        <w:rPr>
          <w:b/>
          <w:color w:val="585858"/>
          <w:sz w:val="14"/>
        </w:rPr>
        <w:t>Explotación de minas</w:t>
      </w:r>
      <w:r>
        <w:rPr>
          <w:b/>
          <w:color w:val="585858"/>
          <w:spacing w:val="-10"/>
          <w:sz w:val="14"/>
        </w:rPr>
        <w:t> </w:t>
      </w:r>
      <w:r>
        <w:rPr>
          <w:b/>
          <w:color w:val="585858"/>
          <w:sz w:val="14"/>
        </w:rPr>
        <w:t>y</w:t>
      </w:r>
      <w:r>
        <w:rPr>
          <w:b/>
          <w:color w:val="585858"/>
          <w:spacing w:val="-3"/>
          <w:sz w:val="14"/>
        </w:rPr>
        <w:t> </w:t>
      </w:r>
      <w:r>
        <w:rPr>
          <w:b/>
          <w:color w:val="585858"/>
          <w:sz w:val="14"/>
        </w:rPr>
        <w:t>canteras</w:t>
      </w:r>
      <w:r>
        <w:rPr>
          <w:b/>
          <w:color w:val="585858"/>
          <w:w w:val="99"/>
          <w:sz w:val="14"/>
        </w:rPr>
        <w:t> </w:t>
      </w:r>
      <w:r>
        <w:rPr>
          <w:b/>
          <w:color w:val="585858"/>
          <w:sz w:val="14"/>
        </w:rPr>
        <w:t>Otras actividades de</w:t>
      </w:r>
      <w:r>
        <w:rPr>
          <w:b/>
          <w:color w:val="585858"/>
          <w:spacing w:val="-12"/>
          <w:sz w:val="14"/>
        </w:rPr>
        <w:t> </w:t>
      </w:r>
      <w:r>
        <w:rPr>
          <w:b/>
          <w:color w:val="585858"/>
          <w:sz w:val="14"/>
        </w:rPr>
        <w:t>servicios</w:t>
      </w:r>
    </w:p>
    <w:p>
      <w:pPr>
        <w:spacing w:line="309" w:lineRule="auto" w:before="0"/>
        <w:ind w:left="1776" w:right="5880" w:hanging="849"/>
        <w:jc w:val="left"/>
        <w:rPr>
          <w:b/>
          <w:sz w:val="14"/>
        </w:rPr>
      </w:pPr>
      <w:r>
        <w:rPr>
          <w:b/>
          <w:color w:val="585858"/>
          <w:sz w:val="14"/>
        </w:rPr>
        <w:t>Actividades de los hogares como empleadores; actividades</w:t>
      </w:r>
      <w:r>
        <w:rPr>
          <w:b/>
          <w:color w:val="585858"/>
          <w:spacing w:val="-24"/>
          <w:sz w:val="14"/>
        </w:rPr>
        <w:t> </w:t>
      </w:r>
      <w:r>
        <w:rPr>
          <w:b/>
          <w:color w:val="585858"/>
          <w:sz w:val="14"/>
        </w:rPr>
        <w:t>no… Actividades profesionales, científicas y</w:t>
      </w:r>
      <w:r>
        <w:rPr>
          <w:b/>
          <w:color w:val="585858"/>
          <w:spacing w:val="-10"/>
          <w:sz w:val="14"/>
        </w:rPr>
        <w:t> </w:t>
      </w:r>
      <w:r>
        <w:rPr>
          <w:b/>
          <w:color w:val="585858"/>
          <w:sz w:val="14"/>
        </w:rPr>
        <w:t>técnicas</w:t>
      </w:r>
    </w:p>
    <w:p>
      <w:pPr>
        <w:spacing w:line="159" w:lineRule="exact" w:before="0"/>
        <w:ind w:left="1107" w:right="0" w:firstLine="0"/>
        <w:jc w:val="left"/>
        <w:rPr>
          <w:b/>
          <w:sz w:val="14"/>
        </w:rPr>
      </w:pPr>
      <w:r>
        <w:rPr>
          <w:b/>
          <w:color w:val="585858"/>
          <w:sz w:val="14"/>
        </w:rPr>
        <w:t>Actividades de organizaciones y órganos</w:t>
      </w:r>
      <w:r>
        <w:rPr>
          <w:b/>
          <w:color w:val="585858"/>
          <w:spacing w:val="-23"/>
          <w:sz w:val="14"/>
        </w:rPr>
        <w:t> </w:t>
      </w:r>
      <w:r>
        <w:rPr>
          <w:b/>
          <w:color w:val="585858"/>
          <w:sz w:val="14"/>
        </w:rPr>
        <w:t>extraterritoriales</w:t>
      </w:r>
    </w:p>
    <w:p>
      <w:pPr>
        <w:tabs>
          <w:tab w:pos="5323" w:val="left" w:leader="none"/>
          <w:tab w:pos="6055" w:val="left" w:leader="none"/>
          <w:tab w:pos="6852" w:val="left" w:leader="none"/>
          <w:tab w:pos="7544" w:val="left" w:leader="none"/>
          <w:tab w:pos="8275" w:val="left" w:leader="none"/>
          <w:tab w:pos="9006" w:val="left" w:leader="none"/>
        </w:tabs>
        <w:spacing w:before="114"/>
        <w:ind w:left="4592" w:right="0" w:firstLine="0"/>
        <w:jc w:val="left"/>
        <w:rPr>
          <w:sz w:val="16"/>
        </w:rPr>
      </w:pPr>
      <w:r>
        <w:rPr>
          <w:color w:val="585858"/>
          <w:sz w:val="16"/>
        </w:rPr>
        <w:t>-60</w:t>
        <w:tab/>
        <w:t>-40</w:t>
        <w:tab/>
        <w:t>-20</w:t>
        <w:tab/>
        <w:t>0</w:t>
        <w:tab/>
        <w:t>20</w:t>
        <w:tab/>
        <w:t>40</w:t>
        <w:tab/>
        <w:t>60</w:t>
      </w:r>
    </w:p>
    <w:p>
      <w:pPr>
        <w:pStyle w:val="BodyText"/>
        <w:spacing w:before="9"/>
        <w:rPr>
          <w:sz w:val="17"/>
        </w:rPr>
      </w:pPr>
    </w:p>
    <w:p>
      <w:pPr>
        <w:spacing w:before="94"/>
        <w:ind w:left="684" w:right="0" w:firstLine="0"/>
        <w:jc w:val="left"/>
        <w:rPr>
          <w:sz w:val="16"/>
        </w:rPr>
      </w:pPr>
      <w:r>
        <w:rPr>
          <w:sz w:val="16"/>
        </w:rPr>
        <w:t>Fuente: Dirección de Análisis y Política Fiscal.</w:t>
      </w:r>
    </w:p>
    <w:p>
      <w:pPr>
        <w:pStyle w:val="BodyText"/>
        <w:rPr>
          <w:sz w:val="18"/>
        </w:rPr>
      </w:pPr>
    </w:p>
    <w:p>
      <w:pPr>
        <w:pStyle w:val="Heading2"/>
        <w:numPr>
          <w:ilvl w:val="2"/>
          <w:numId w:val="13"/>
        </w:numPr>
        <w:tabs>
          <w:tab w:pos="1354" w:val="left" w:leader="none"/>
        </w:tabs>
        <w:spacing w:line="240" w:lineRule="auto" w:before="116" w:after="0"/>
        <w:ind w:left="1354" w:right="0" w:hanging="433"/>
        <w:jc w:val="left"/>
      </w:pPr>
      <w:bookmarkStart w:name="_bookmark160" w:id="201"/>
      <w:bookmarkEnd w:id="201"/>
      <w:r>
        <w:rPr>
          <w:b w:val="0"/>
        </w:rPr>
      </w:r>
      <w:bookmarkStart w:name="_bookmark160" w:id="202"/>
      <w:bookmarkEnd w:id="202"/>
      <w:r>
        <w:rPr/>
        <w:t>Ej</w:t>
      </w:r>
      <w:r>
        <w:rPr/>
        <w:t>ecución del Gasto</w:t>
      </w:r>
      <w:r>
        <w:rPr>
          <w:spacing w:val="1"/>
        </w:rPr>
        <w:t> </w:t>
      </w:r>
      <w:r>
        <w:rPr/>
        <w:t>Público</w:t>
      </w:r>
    </w:p>
    <w:p>
      <w:pPr>
        <w:pStyle w:val="BodyText"/>
        <w:spacing w:before="3"/>
        <w:rPr>
          <w:b/>
          <w:sz w:val="28"/>
        </w:rPr>
      </w:pPr>
    </w:p>
    <w:p>
      <w:pPr>
        <w:pStyle w:val="BodyText"/>
        <w:spacing w:line="276" w:lineRule="auto"/>
        <w:ind w:left="562" w:right="1694"/>
        <w:jc w:val="both"/>
      </w:pPr>
      <w:r>
        <w:rPr/>
        <w:t>En lo que respecta a la dinámica de la ejecución del gasto, en enero inició con un dinamismo que no se</w:t>
      </w:r>
      <w:r>
        <w:rPr>
          <w:spacing w:val="-4"/>
        </w:rPr>
        <w:t> </w:t>
      </w:r>
      <w:r>
        <w:rPr/>
        <w:t>había</w:t>
      </w:r>
      <w:r>
        <w:rPr>
          <w:spacing w:val="-4"/>
        </w:rPr>
        <w:t> </w:t>
      </w:r>
      <w:r>
        <w:rPr/>
        <w:t>observado</w:t>
      </w:r>
      <w:r>
        <w:rPr>
          <w:spacing w:val="-4"/>
        </w:rPr>
        <w:t> </w:t>
      </w:r>
      <w:r>
        <w:rPr/>
        <w:t>en</w:t>
      </w:r>
      <w:r>
        <w:rPr>
          <w:spacing w:val="-3"/>
        </w:rPr>
        <w:t> </w:t>
      </w:r>
      <w:r>
        <w:rPr/>
        <w:t>años</w:t>
      </w:r>
      <w:r>
        <w:rPr>
          <w:spacing w:val="-7"/>
        </w:rPr>
        <w:t> </w:t>
      </w:r>
      <w:r>
        <w:rPr/>
        <w:t>anteriores,</w:t>
      </w:r>
      <w:r>
        <w:rPr>
          <w:spacing w:val="-4"/>
        </w:rPr>
        <w:t> </w:t>
      </w:r>
      <w:r>
        <w:rPr/>
        <w:t>se</w:t>
      </w:r>
      <w:r>
        <w:rPr>
          <w:spacing w:val="-6"/>
        </w:rPr>
        <w:t> </w:t>
      </w:r>
      <w:r>
        <w:rPr/>
        <w:t>espera</w:t>
      </w:r>
      <w:r>
        <w:rPr>
          <w:spacing w:val="-4"/>
        </w:rPr>
        <w:t> </w:t>
      </w:r>
      <w:r>
        <w:rPr/>
        <w:t>que</w:t>
      </w:r>
      <w:r>
        <w:rPr>
          <w:spacing w:val="-4"/>
        </w:rPr>
        <w:t> </w:t>
      </w:r>
      <w:r>
        <w:rPr/>
        <w:t>el</w:t>
      </w:r>
      <w:r>
        <w:rPr>
          <w:spacing w:val="-5"/>
        </w:rPr>
        <w:t> </w:t>
      </w:r>
      <w:r>
        <w:rPr/>
        <w:t>comportamiento</w:t>
      </w:r>
      <w:r>
        <w:rPr>
          <w:spacing w:val="-5"/>
        </w:rPr>
        <w:t> </w:t>
      </w:r>
      <w:r>
        <w:rPr/>
        <w:t>positivo</w:t>
      </w:r>
      <w:r>
        <w:rPr>
          <w:spacing w:val="-5"/>
        </w:rPr>
        <w:t> </w:t>
      </w:r>
      <w:r>
        <w:rPr/>
        <w:t>del</w:t>
      </w:r>
      <w:r>
        <w:rPr>
          <w:spacing w:val="-3"/>
        </w:rPr>
        <w:t> </w:t>
      </w:r>
      <w:r>
        <w:rPr/>
        <w:t>gasto</w:t>
      </w:r>
      <w:r>
        <w:rPr>
          <w:spacing w:val="-5"/>
        </w:rPr>
        <w:t> </w:t>
      </w:r>
      <w:r>
        <w:rPr/>
        <w:t>público</w:t>
      </w:r>
      <w:r>
        <w:rPr>
          <w:spacing w:val="-7"/>
        </w:rPr>
        <w:t> </w:t>
      </w:r>
      <w:r>
        <w:rPr/>
        <w:t>se refleje</w:t>
      </w:r>
      <w:r>
        <w:rPr>
          <w:spacing w:val="-8"/>
        </w:rPr>
        <w:t> </w:t>
      </w:r>
      <w:r>
        <w:rPr/>
        <w:t>a</w:t>
      </w:r>
      <w:r>
        <w:rPr>
          <w:spacing w:val="-11"/>
        </w:rPr>
        <w:t> </w:t>
      </w:r>
      <w:r>
        <w:rPr/>
        <w:t>lo</w:t>
      </w:r>
      <w:r>
        <w:rPr>
          <w:spacing w:val="-11"/>
        </w:rPr>
        <w:t> </w:t>
      </w:r>
      <w:r>
        <w:rPr/>
        <w:t>largo</w:t>
      </w:r>
      <w:r>
        <w:rPr>
          <w:spacing w:val="-9"/>
        </w:rPr>
        <w:t> </w:t>
      </w:r>
      <w:r>
        <w:rPr/>
        <w:t>del</w:t>
      </w:r>
      <w:r>
        <w:rPr>
          <w:spacing w:val="-9"/>
        </w:rPr>
        <w:t> </w:t>
      </w:r>
      <w:r>
        <w:rPr/>
        <w:t>año,</w:t>
      </w:r>
      <w:r>
        <w:rPr>
          <w:spacing w:val="-11"/>
        </w:rPr>
        <w:t> </w:t>
      </w:r>
      <w:r>
        <w:rPr/>
        <w:t>dado</w:t>
      </w:r>
      <w:r>
        <w:rPr>
          <w:spacing w:val="-9"/>
        </w:rPr>
        <w:t> </w:t>
      </w:r>
      <w:r>
        <w:rPr/>
        <w:t>que</w:t>
      </w:r>
      <w:r>
        <w:rPr>
          <w:spacing w:val="-11"/>
        </w:rPr>
        <w:t> </w:t>
      </w:r>
      <w:r>
        <w:rPr/>
        <w:t>el</w:t>
      </w:r>
      <w:r>
        <w:rPr>
          <w:spacing w:val="-10"/>
        </w:rPr>
        <w:t> </w:t>
      </w:r>
      <w:r>
        <w:rPr/>
        <w:t>2022</w:t>
      </w:r>
      <w:r>
        <w:rPr>
          <w:spacing w:val="-10"/>
        </w:rPr>
        <w:t> </w:t>
      </w:r>
      <w:r>
        <w:rPr/>
        <w:t>arrancó</w:t>
      </w:r>
      <w:r>
        <w:rPr>
          <w:spacing w:val="-9"/>
        </w:rPr>
        <w:t> </w:t>
      </w:r>
      <w:r>
        <w:rPr/>
        <w:t>con</w:t>
      </w:r>
      <w:r>
        <w:rPr>
          <w:spacing w:val="-13"/>
        </w:rPr>
        <w:t> </w:t>
      </w:r>
      <w:r>
        <w:rPr/>
        <w:t>la</w:t>
      </w:r>
      <w:r>
        <w:rPr>
          <w:spacing w:val="-8"/>
        </w:rPr>
        <w:t> </w:t>
      </w:r>
      <w:r>
        <w:rPr/>
        <w:t>particularidad</w:t>
      </w:r>
      <w:r>
        <w:rPr>
          <w:spacing w:val="-7"/>
        </w:rPr>
        <w:t> </w:t>
      </w:r>
      <w:r>
        <w:rPr/>
        <w:t>de</w:t>
      </w:r>
      <w:r>
        <w:rPr>
          <w:spacing w:val="-8"/>
        </w:rPr>
        <w:t> </w:t>
      </w:r>
      <w:r>
        <w:rPr/>
        <w:t>contar</w:t>
      </w:r>
      <w:r>
        <w:rPr>
          <w:spacing w:val="-8"/>
        </w:rPr>
        <w:t> </w:t>
      </w:r>
      <w:r>
        <w:rPr/>
        <w:t>con</w:t>
      </w:r>
      <w:r>
        <w:rPr>
          <w:spacing w:val="-9"/>
        </w:rPr>
        <w:t> </w:t>
      </w:r>
      <w:r>
        <w:rPr/>
        <w:t>un</w:t>
      </w:r>
      <w:r>
        <w:rPr>
          <w:spacing w:val="-9"/>
        </w:rPr>
        <w:t> </w:t>
      </w:r>
      <w:r>
        <w:rPr/>
        <w:t>Presupuesto aprobado luego de dos años de no contar con un presupuesto propio. Esto es bastante favorable para la política fiscal y el manejo de la misma, dado que las entidades cuentan con un presupuesto que </w:t>
      </w:r>
      <w:r>
        <w:rPr>
          <w:spacing w:val="-3"/>
        </w:rPr>
        <w:t>es </w:t>
      </w:r>
      <w:r>
        <w:rPr/>
        <w:t>congruente con su planificación y los objetivos propuestos para el ejercicio fiscal. El presupuesto aprobado alcanza los Q106,229.5</w:t>
      </w:r>
      <w:r>
        <w:rPr>
          <w:spacing w:val="-1"/>
        </w:rPr>
        <w:t> </w:t>
      </w:r>
      <w:r>
        <w:rPr/>
        <w:t>millones.</w:t>
      </w:r>
    </w:p>
    <w:p>
      <w:pPr>
        <w:pStyle w:val="BodyText"/>
        <w:spacing w:before="5"/>
        <w:rPr>
          <w:sz w:val="25"/>
        </w:rPr>
      </w:pPr>
    </w:p>
    <w:p>
      <w:pPr>
        <w:pStyle w:val="BodyText"/>
        <w:spacing w:line="276" w:lineRule="auto"/>
        <w:ind w:left="562" w:right="1695"/>
        <w:jc w:val="both"/>
      </w:pPr>
      <w:r>
        <w:rPr/>
        <w:t>Con</w:t>
      </w:r>
      <w:r>
        <w:rPr>
          <w:spacing w:val="-7"/>
        </w:rPr>
        <w:t> </w:t>
      </w:r>
      <w:r>
        <w:rPr/>
        <w:t>el</w:t>
      </w:r>
      <w:r>
        <w:rPr>
          <w:spacing w:val="-8"/>
        </w:rPr>
        <w:t> </w:t>
      </w:r>
      <w:r>
        <w:rPr/>
        <w:t>escenario</w:t>
      </w:r>
      <w:r>
        <w:rPr>
          <w:spacing w:val="-7"/>
        </w:rPr>
        <w:t> </w:t>
      </w:r>
      <w:r>
        <w:rPr/>
        <w:t>planteado,</w:t>
      </w:r>
      <w:r>
        <w:rPr>
          <w:spacing w:val="-9"/>
        </w:rPr>
        <w:t> </w:t>
      </w:r>
      <w:r>
        <w:rPr/>
        <w:t>el</w:t>
      </w:r>
      <w:r>
        <w:rPr>
          <w:spacing w:val="-6"/>
        </w:rPr>
        <w:t> </w:t>
      </w:r>
      <w:r>
        <w:rPr/>
        <w:t>gasto</w:t>
      </w:r>
      <w:r>
        <w:rPr>
          <w:spacing w:val="-7"/>
        </w:rPr>
        <w:t> </w:t>
      </w:r>
      <w:r>
        <w:rPr/>
        <w:t>público</w:t>
      </w:r>
      <w:r>
        <w:rPr>
          <w:spacing w:val="-9"/>
        </w:rPr>
        <w:t> </w:t>
      </w:r>
      <w:r>
        <w:rPr/>
        <w:t>registró</w:t>
      </w:r>
      <w:r>
        <w:rPr>
          <w:spacing w:val="-6"/>
        </w:rPr>
        <w:t> </w:t>
      </w:r>
      <w:r>
        <w:rPr/>
        <w:t>un</w:t>
      </w:r>
      <w:r>
        <w:rPr>
          <w:spacing w:val="-10"/>
        </w:rPr>
        <w:t> </w:t>
      </w:r>
      <w:r>
        <w:rPr/>
        <w:t>crecimiento</w:t>
      </w:r>
      <w:r>
        <w:rPr>
          <w:spacing w:val="-7"/>
        </w:rPr>
        <w:t> </w:t>
      </w:r>
      <w:r>
        <w:rPr/>
        <w:t>interanual</w:t>
      </w:r>
      <w:r>
        <w:rPr>
          <w:spacing w:val="-7"/>
        </w:rPr>
        <w:t> </w:t>
      </w:r>
      <w:r>
        <w:rPr/>
        <w:t>dinámico</w:t>
      </w:r>
      <w:r>
        <w:rPr>
          <w:spacing w:val="-7"/>
        </w:rPr>
        <w:t> </w:t>
      </w:r>
      <w:r>
        <w:rPr/>
        <w:t>hasta</w:t>
      </w:r>
      <w:r>
        <w:rPr>
          <w:spacing w:val="-7"/>
        </w:rPr>
        <w:t> </w:t>
      </w:r>
      <w:r>
        <w:rPr/>
        <w:t>el</w:t>
      </w:r>
      <w:r>
        <w:rPr>
          <w:spacing w:val="-6"/>
        </w:rPr>
        <w:t> </w:t>
      </w:r>
      <w:r>
        <w:rPr/>
        <w:t>mes de</w:t>
      </w:r>
      <w:r>
        <w:rPr>
          <w:spacing w:val="-6"/>
        </w:rPr>
        <w:t> </w:t>
      </w:r>
      <w:r>
        <w:rPr/>
        <w:t>marzo,</w:t>
      </w:r>
      <w:r>
        <w:rPr>
          <w:spacing w:val="-6"/>
        </w:rPr>
        <w:t> </w:t>
      </w:r>
      <w:r>
        <w:rPr/>
        <w:t>pero</w:t>
      </w:r>
      <w:r>
        <w:rPr>
          <w:spacing w:val="-6"/>
        </w:rPr>
        <w:t> </w:t>
      </w:r>
      <w:r>
        <w:rPr/>
        <w:t>en</w:t>
      </w:r>
      <w:r>
        <w:rPr>
          <w:spacing w:val="-6"/>
        </w:rPr>
        <w:t> </w:t>
      </w:r>
      <w:r>
        <w:rPr/>
        <w:t>abril</w:t>
      </w:r>
      <w:r>
        <w:rPr>
          <w:spacing w:val="-8"/>
        </w:rPr>
        <w:t> </w:t>
      </w:r>
      <w:r>
        <w:rPr/>
        <w:t>se</w:t>
      </w:r>
      <w:r>
        <w:rPr>
          <w:spacing w:val="-6"/>
        </w:rPr>
        <w:t> </w:t>
      </w:r>
      <w:r>
        <w:rPr/>
        <w:t>observa</w:t>
      </w:r>
      <w:r>
        <w:rPr>
          <w:spacing w:val="-6"/>
        </w:rPr>
        <w:t> </w:t>
      </w:r>
      <w:r>
        <w:rPr/>
        <w:t>una</w:t>
      </w:r>
      <w:r>
        <w:rPr>
          <w:spacing w:val="-8"/>
        </w:rPr>
        <w:t> </w:t>
      </w:r>
      <w:r>
        <w:rPr/>
        <w:t>desaceleración</w:t>
      </w:r>
      <w:r>
        <w:rPr>
          <w:spacing w:val="-9"/>
        </w:rPr>
        <w:t> </w:t>
      </w:r>
      <w:r>
        <w:rPr/>
        <w:t>importante</w:t>
      </w:r>
      <w:r>
        <w:rPr>
          <w:spacing w:val="-8"/>
        </w:rPr>
        <w:t> </w:t>
      </w:r>
      <w:r>
        <w:rPr/>
        <w:t>en</w:t>
      </w:r>
      <w:r>
        <w:rPr>
          <w:spacing w:val="-6"/>
        </w:rPr>
        <w:t> </w:t>
      </w:r>
      <w:r>
        <w:rPr/>
        <w:t>su</w:t>
      </w:r>
      <w:r>
        <w:rPr>
          <w:spacing w:val="-8"/>
        </w:rPr>
        <w:t> </w:t>
      </w:r>
      <w:r>
        <w:rPr/>
        <w:t>ritmo</w:t>
      </w:r>
      <w:r>
        <w:rPr>
          <w:spacing w:val="-6"/>
        </w:rPr>
        <w:t> </w:t>
      </w:r>
      <w:r>
        <w:rPr/>
        <w:t>respecto</w:t>
      </w:r>
      <w:r>
        <w:rPr>
          <w:spacing w:val="-6"/>
        </w:rPr>
        <w:t> </w:t>
      </w:r>
      <w:r>
        <w:rPr/>
        <w:t>a</w:t>
      </w:r>
      <w:r>
        <w:rPr>
          <w:spacing w:val="-8"/>
        </w:rPr>
        <w:t> </w:t>
      </w:r>
      <w:r>
        <w:rPr/>
        <w:t>lo</w:t>
      </w:r>
      <w:r>
        <w:rPr>
          <w:spacing w:val="-6"/>
        </w:rPr>
        <w:t> </w:t>
      </w:r>
      <w:r>
        <w:rPr/>
        <w:t>observado en los meses previos, que nuevamente empieza a repuntar con un crecimiento interanual de 14.8% a junio (equivalente a Q6,110.3 millones), siendo superior al reportado a igual fecha de 2021, cuando se ubicó en</w:t>
      </w:r>
      <w:r>
        <w:rPr>
          <w:spacing w:val="-1"/>
        </w:rPr>
        <w:t> </w:t>
      </w:r>
      <w:r>
        <w:rPr/>
        <w:t>0.3%.</w:t>
      </w:r>
    </w:p>
    <w:p>
      <w:pPr>
        <w:spacing w:after="0" w:line="276" w:lineRule="auto"/>
        <w:jc w:val="both"/>
        <w:sectPr>
          <w:pgSz w:w="12240" w:h="15840"/>
          <w:pgMar w:header="715" w:footer="957" w:top="1240" w:bottom="1140" w:left="1140" w:right="0"/>
        </w:sectPr>
      </w:pPr>
    </w:p>
    <w:p>
      <w:pPr>
        <w:spacing w:before="167"/>
        <w:ind w:left="1395" w:right="2529" w:firstLine="0"/>
        <w:jc w:val="center"/>
        <w:rPr>
          <w:b/>
          <w:sz w:val="22"/>
        </w:rPr>
      </w:pPr>
      <w:bookmarkStart w:name="_bookmark161" w:id="203"/>
      <w:bookmarkEnd w:id="203"/>
      <w:r>
        <w:rPr/>
      </w:r>
      <w:r>
        <w:rPr>
          <w:b/>
          <w:i/>
          <w:sz w:val="20"/>
        </w:rPr>
        <w:t>Gráfico 83. </w:t>
      </w:r>
      <w:r>
        <w:rPr>
          <w:b/>
          <w:sz w:val="22"/>
        </w:rPr>
        <w:t>Ritmo de ejecución del gasto</w:t>
      </w:r>
    </w:p>
    <w:p>
      <w:pPr>
        <w:pStyle w:val="BodyText"/>
        <w:spacing w:before="71"/>
        <w:ind w:left="1393" w:right="2542"/>
        <w:jc w:val="center"/>
      </w:pPr>
      <w:r>
        <w:rPr/>
        <w:t>Variación Interanual*</w:t>
      </w:r>
    </w:p>
    <w:p>
      <w:pPr>
        <w:spacing w:before="134"/>
        <w:ind w:left="1081" w:right="0" w:firstLine="0"/>
        <w:jc w:val="left"/>
        <w:rPr>
          <w:sz w:val="16"/>
        </w:rPr>
      </w:pPr>
      <w:r>
        <w:rPr/>
        <w:pict>
          <v:group style="position:absolute;margin-left:131.520004pt;margin-top:7.284214pt;width:363.6pt;height:147.35pt;mso-position-horizontal-relative:page;mso-position-vertical-relative:paragraph;z-index:252837888" coordorigin="2630,146" coordsize="7272,2947">
            <v:shape style="position:absolute;left:2637;top:233;width:7258;height:2852" type="#_x0000_t75" stroked="false">
              <v:imagedata r:id="rId219" o:title=""/>
            </v:shape>
            <v:shape style="position:absolute;left:0;top:13370;width:7258;height:476" coordorigin="0,13371" coordsize="7258,476" path="m2638,3085l9895,3085m2638,2609l9895,2609e" filled="false" stroked="true" strokeweight=".72pt" strokecolor="#d9d9d9">
              <v:path arrowok="t"/>
              <v:stroke dashstyle="solid"/>
            </v:shape>
            <v:shape style="position:absolute;left:2637;top:708;width:7258;height:951" coordorigin="2638,709" coordsize="7258,951" path="m6118,1659l9895,1659m5513,1659l5810,1659m4908,1659l5206,1659m4303,1659l4601,1659m3698,1659l3996,1659m3094,1659l3391,1659m2638,1659l2786,1659m6118,1184l9895,1184m5513,1184l5810,1184m4908,1184l5206,1184m4303,1184l4601,1184m3698,1184l3996,1184m2638,1184l3391,1184m4303,709l9895,709m3698,709l3996,709m2638,709l3391,709e" filled="false" stroked="true" strokeweight=".72pt" strokecolor="#d9d9d9">
              <v:path arrowok="t"/>
              <v:stroke dashstyle="solid"/>
            </v:shape>
            <v:line style="position:absolute" from="2638,233" to="9895,233" stroked="true" strokeweight=".72pt" strokecolor="#d9d9d9">
              <v:stroke dashstyle="solid"/>
            </v:line>
            <v:shape style="position:absolute;left:0;top:13846;width:4839;height:2852" coordorigin="0,13846" coordsize="4839,2852" path="m2638,233l2638,3085m3242,233l3242,3085m3847,233l3847,3085m4452,233l4452,3085m5057,233l5057,3085m5662,233l5662,3085m6266,233l6266,3085m6871,233l6871,3085m7476,233l7476,3085e" filled="false" stroked="true" strokeweight=".72pt" strokecolor="#d9d9d9">
              <v:path arrowok="t"/>
              <v:stroke dashstyle="solid"/>
            </v:shape>
            <v:shape style="position:absolute;left:8080;top:233;width:2;height:2852" coordorigin="8081,233" coordsize="0,2852" path="m8081,233l8081,1337m8081,1436l8081,3085e" filled="false" stroked="true" strokeweight=".72pt" strokecolor="#d9d9d9">
              <v:path arrowok="t"/>
              <v:stroke dashstyle="solid"/>
            </v:shape>
            <v:shape style="position:absolute;left:6048;top:13846;width:1210;height:2852" coordorigin="6048,13846" coordsize="1210,2852" path="m8686,233l8686,3085m9290,233l9290,3085m9895,233l9895,3085e" filled="false" stroked="true" strokeweight=".72pt" strokecolor="#d9d9d9">
              <v:path arrowok="t"/>
              <v:stroke dashstyle="solid"/>
            </v:shape>
            <v:shape style="position:absolute;left:2786;top:389;width:3332;height:1745" coordorigin="2786,389" coordsize="3332,1745" path="m3094,1385l2786,1385,2786,2134,3094,2134,3094,1385m3698,634l3391,634,3391,2134,3698,2134,3698,634m4303,389l3996,389,3996,2134,4303,2134,4303,389m4908,1033l4601,1033,4601,2134,4908,2134,4908,1033m5513,831l5206,831,5206,2134,5513,2134,5513,831m6118,733l5810,733,5810,2134,6118,2134,6118,733e" filled="true" fillcolor="#1f4e79" stroked="false">
              <v:path arrowok="t"/>
              <v:fill type="solid"/>
            </v:shape>
            <v:shape style="position:absolute;left:0;top:13846;width:7258;height:53" coordorigin="0,13846" coordsize="7258,53" path="m2638,2134l9895,2134m2638,2134l2638,2187m9895,2134l9895,2187e" filled="false" stroked="true" strokeweight=".72pt" strokecolor="#d9d9d9">
              <v:path arrowok="t"/>
              <v:stroke dashstyle="solid"/>
            </v:shape>
            <v:shape style="position:absolute;left:2874;top:1043;width:6783;height:1734" type="#_x0000_t75" stroked="false">
              <v:imagedata r:id="rId220" o:title=""/>
            </v:shape>
            <v:shape style="position:absolute;left:4006;top:145;width:304;height:179" type="#_x0000_t202" filled="false" stroked="false">
              <v:textbox inset="0,0,0,0">
                <w:txbxContent>
                  <w:p>
                    <w:pPr>
                      <w:spacing w:line="178" w:lineRule="exact" w:before="0"/>
                      <w:ind w:left="0" w:right="0" w:firstLine="0"/>
                      <w:jc w:val="left"/>
                      <w:rPr>
                        <w:b/>
                        <w:sz w:val="16"/>
                      </w:rPr>
                    </w:pPr>
                    <w:r>
                      <w:rPr>
                        <w:b/>
                        <w:color w:val="1F3863"/>
                        <w:sz w:val="16"/>
                      </w:rPr>
                      <w:t>18.4</w:t>
                    </w:r>
                  </w:p>
                </w:txbxContent>
              </v:textbox>
              <w10:wrap type="none"/>
            </v:shape>
            <v:shape style="position:absolute;left:3401;top:404;width:304;height:179" type="#_x0000_t202" filled="false" stroked="false">
              <v:textbox inset="0,0,0,0">
                <w:txbxContent>
                  <w:p>
                    <w:pPr>
                      <w:spacing w:line="178" w:lineRule="exact" w:before="0"/>
                      <w:ind w:left="0" w:right="0" w:firstLine="0"/>
                      <w:jc w:val="left"/>
                      <w:rPr>
                        <w:b/>
                        <w:sz w:val="16"/>
                      </w:rPr>
                    </w:pPr>
                    <w:r>
                      <w:rPr>
                        <w:b/>
                        <w:color w:val="1F3863"/>
                        <w:sz w:val="16"/>
                      </w:rPr>
                      <w:t>15.8</w:t>
                    </w:r>
                  </w:p>
                </w:txbxContent>
              </v:textbox>
              <w10:wrap type="none"/>
            </v:shape>
            <v:shape style="position:absolute;left:4611;top:764;width:304;height:179" type="#_x0000_t202" filled="false" stroked="false">
              <v:textbox inset="0,0,0,0">
                <w:txbxContent>
                  <w:p>
                    <w:pPr>
                      <w:spacing w:line="178" w:lineRule="exact" w:before="0"/>
                      <w:ind w:left="0" w:right="0" w:firstLine="0"/>
                      <w:jc w:val="left"/>
                      <w:rPr>
                        <w:b/>
                        <w:sz w:val="16"/>
                      </w:rPr>
                    </w:pPr>
                    <w:r>
                      <w:rPr>
                        <w:b/>
                        <w:color w:val="1F3863"/>
                        <w:sz w:val="16"/>
                      </w:rPr>
                      <w:t>11.6</w:t>
                    </w:r>
                  </w:p>
                </w:txbxContent>
              </v:textbox>
              <w10:wrap type="none"/>
            </v:shape>
            <v:shape style="position:absolute;left:2815;top:1209;width:223;height:179" type="#_x0000_t202" filled="false" stroked="false">
              <v:textbox inset="0,0,0,0">
                <w:txbxContent>
                  <w:p>
                    <w:pPr>
                      <w:spacing w:line="178" w:lineRule="exact" w:before="0"/>
                      <w:ind w:left="0" w:right="0" w:firstLine="0"/>
                      <w:jc w:val="left"/>
                      <w:rPr>
                        <w:b/>
                        <w:sz w:val="16"/>
                      </w:rPr>
                    </w:pPr>
                    <w:r>
                      <w:rPr>
                        <w:b/>
                        <w:color w:val="1F3863"/>
                        <w:sz w:val="16"/>
                      </w:rPr>
                      <w:t>7.9</w:t>
                    </w:r>
                  </w:p>
                </w:txbxContent>
              </v:textbox>
              <w10:wrap type="none"/>
            </v:shape>
            <v:shape style="position:absolute;left:4611;top:1266;width:304;height:179" type="#_x0000_t202" filled="false" stroked="false">
              <v:textbox inset="0,0,0,0">
                <w:txbxContent>
                  <w:p>
                    <w:pPr>
                      <w:spacing w:line="178" w:lineRule="exact" w:before="0"/>
                      <w:ind w:left="0" w:right="0" w:firstLine="0"/>
                      <w:jc w:val="left"/>
                      <w:rPr>
                        <w:b/>
                        <w:sz w:val="16"/>
                      </w:rPr>
                    </w:pPr>
                    <w:r>
                      <w:rPr>
                        <w:b/>
                        <w:color w:val="FFFFFF"/>
                        <w:sz w:val="16"/>
                      </w:rPr>
                      <w:t>10.8</w:t>
                    </w:r>
                  </w:p>
                </w:txbxContent>
              </v:textbox>
              <w10:wrap type="none"/>
            </v:shape>
            <v:shape style="position:absolute;left:8311;top:1270;width:420;height:221" type="#_x0000_t202" filled="false" stroked="false">
              <v:textbox inset="0,0,0,0">
                <w:txbxContent>
                  <w:p>
                    <w:pPr>
                      <w:spacing w:line="221" w:lineRule="exact" w:before="0"/>
                      <w:ind w:left="0" w:right="0" w:firstLine="0"/>
                      <w:jc w:val="left"/>
                      <w:rPr>
                        <w:sz w:val="20"/>
                      </w:rPr>
                    </w:pPr>
                    <w:r>
                      <w:rPr>
                        <w:color w:val="585858"/>
                        <w:sz w:val="20"/>
                      </w:rPr>
                      <w:t>2022</w:t>
                    </w:r>
                  </w:p>
                </w:txbxContent>
              </v:textbox>
              <w10:wrap type="none"/>
            </v:shape>
            <v:shape style="position:absolute;left:9290;top:2609;width:605;height:476" type="#_x0000_t202" filled="false" stroked="true" strokeweight=".72pt" strokecolor="#d9d9d9">
              <v:textbox inset="0,0,0,0">
                <w:txbxContent>
                  <w:p>
                    <w:pPr>
                      <w:spacing w:before="24"/>
                      <w:ind w:left="167" w:right="0" w:firstLine="0"/>
                      <w:jc w:val="left"/>
                      <w:rPr>
                        <w:b/>
                        <w:sz w:val="16"/>
                      </w:rPr>
                    </w:pPr>
                    <w:r>
                      <w:rPr>
                        <w:b/>
                        <w:color w:val="385622"/>
                        <w:sz w:val="16"/>
                      </w:rPr>
                      <w:t>-3.7</w:t>
                    </w:r>
                  </w:p>
                </w:txbxContent>
              </v:textbox>
              <v:stroke dashstyle="solid"/>
              <w10:wrap type="none"/>
            </v:shape>
            <v:shape style="position:absolute;left:8685;top:2609;width:605;height:476" type="#_x0000_t202" filled="false" stroked="true" strokeweight=".72pt" strokecolor="#d9d9d9">
              <v:textbox inset="0,0,0,0">
                <w:txbxContent>
                  <w:p>
                    <w:pPr>
                      <w:spacing w:line="173" w:lineRule="exact" w:before="0"/>
                      <w:ind w:left="168" w:right="0" w:firstLine="0"/>
                      <w:jc w:val="left"/>
                      <w:rPr>
                        <w:b/>
                        <w:sz w:val="16"/>
                      </w:rPr>
                    </w:pPr>
                    <w:r>
                      <w:rPr>
                        <w:b/>
                        <w:color w:val="385622"/>
                        <w:sz w:val="16"/>
                      </w:rPr>
                      <w:t>-3.4</w:t>
                    </w:r>
                  </w:p>
                </w:txbxContent>
              </v:textbox>
              <v:stroke dashstyle="solid"/>
              <w10:wrap type="none"/>
            </v:shape>
            <v:shape style="position:absolute;left:8080;top:2609;width:605;height:476" type="#_x0000_t202" filled="false" stroked="true" strokeweight=".72pt" strokecolor="#d9d9d9">
              <v:textbox inset="0,0,0,0">
                <w:txbxContent>
                  <w:p>
                    <w:pPr>
                      <w:spacing w:line="240" w:lineRule="auto" w:before="10"/>
                      <w:rPr>
                        <w:sz w:val="15"/>
                      </w:rPr>
                    </w:pPr>
                  </w:p>
                  <w:p>
                    <w:pPr>
                      <w:spacing w:before="0"/>
                      <w:ind w:left="147" w:right="0" w:firstLine="0"/>
                      <w:jc w:val="left"/>
                      <w:rPr>
                        <w:b/>
                        <w:sz w:val="16"/>
                      </w:rPr>
                    </w:pPr>
                    <w:r>
                      <w:rPr>
                        <w:b/>
                        <w:color w:val="385622"/>
                        <w:sz w:val="16"/>
                      </w:rPr>
                      <w:t>-5.6</w:t>
                    </w:r>
                  </w:p>
                </w:txbxContent>
              </v:textbox>
              <v:stroke dashstyle="solid"/>
              <w10:wrap type="none"/>
            </v:shape>
            <v:shape style="position:absolute;left:7476;top:2609;width:605;height:476" type="#_x0000_t202" filled="false" stroked="true" strokeweight=".72pt" strokecolor="#d9d9d9">
              <v:textbox inset="0,0,0,0">
                <w:txbxContent>
                  <w:p>
                    <w:pPr>
                      <w:spacing w:before="82"/>
                      <w:ind w:left="167" w:right="0" w:firstLine="0"/>
                      <w:jc w:val="left"/>
                      <w:rPr>
                        <w:b/>
                        <w:sz w:val="16"/>
                      </w:rPr>
                    </w:pPr>
                    <w:r>
                      <w:rPr>
                        <w:b/>
                        <w:color w:val="385622"/>
                        <w:sz w:val="16"/>
                      </w:rPr>
                      <w:t>-4.4</w:t>
                    </w:r>
                  </w:p>
                </w:txbxContent>
              </v:textbox>
              <v:stroke dashstyle="solid"/>
              <w10:wrap type="none"/>
            </v:shape>
            <v:shape style="position:absolute;left:6871;top:2134;width:605;height:476" type="#_x0000_t202" filled="false" stroked="true" strokeweight=".72pt" strokecolor="#d9d9d9">
              <v:textbox inset="0,0,0,0">
                <w:txbxContent>
                  <w:p>
                    <w:pPr>
                      <w:spacing w:line="240" w:lineRule="auto" w:before="1"/>
                      <w:rPr>
                        <w:sz w:val="24"/>
                      </w:rPr>
                    </w:pPr>
                  </w:p>
                  <w:p>
                    <w:pPr>
                      <w:spacing w:line="183" w:lineRule="exact" w:before="1"/>
                      <w:ind w:left="166" w:right="0" w:firstLine="0"/>
                      <w:jc w:val="left"/>
                      <w:rPr>
                        <w:b/>
                        <w:sz w:val="16"/>
                      </w:rPr>
                    </w:pPr>
                    <w:r>
                      <w:rPr>
                        <w:b/>
                        <w:color w:val="385622"/>
                        <w:sz w:val="16"/>
                      </w:rPr>
                      <w:t>-1.4</w:t>
                    </w:r>
                  </w:p>
                </w:txbxContent>
              </v:textbox>
              <v:stroke dashstyle="solid"/>
              <w10:wrap type="none"/>
            </v:shape>
            <v:shape style="position:absolute;left:6266;top:2134;width:605;height:476" type="#_x0000_t202" filled="false" stroked="true" strokeweight=".72pt" strokecolor="#d9d9d9">
              <v:textbox inset="0,0,0,0">
                <w:txbxContent>
                  <w:p>
                    <w:pPr>
                      <w:spacing w:before="27"/>
                      <w:ind w:left="193" w:right="0" w:firstLine="0"/>
                      <w:jc w:val="left"/>
                      <w:rPr>
                        <w:b/>
                        <w:sz w:val="16"/>
                      </w:rPr>
                    </w:pPr>
                    <w:r>
                      <w:rPr>
                        <w:b/>
                        <w:color w:val="385622"/>
                        <w:sz w:val="16"/>
                      </w:rPr>
                      <w:t>1.2</w:t>
                    </w:r>
                  </w:p>
                </w:txbxContent>
              </v:textbox>
              <v:stroke dashstyle="solid"/>
              <w10:wrap type="none"/>
            </v:shape>
            <v:shape style="position:absolute;left:5661;top:2134;width:605;height:476" type="#_x0000_t202" filled="false" stroked="true" strokeweight=".72pt" strokecolor="#d9d9d9">
              <v:textbox inset="0,0,0,0">
                <w:txbxContent>
                  <w:p>
                    <w:pPr>
                      <w:spacing w:before="117"/>
                      <w:ind w:left="193" w:right="0" w:firstLine="0"/>
                      <w:jc w:val="left"/>
                      <w:rPr>
                        <w:b/>
                        <w:sz w:val="16"/>
                      </w:rPr>
                    </w:pPr>
                    <w:r>
                      <w:rPr>
                        <w:b/>
                        <w:color w:val="385622"/>
                        <w:sz w:val="16"/>
                      </w:rPr>
                      <w:t>0.3</w:t>
                    </w:r>
                  </w:p>
                </w:txbxContent>
              </v:textbox>
              <v:stroke dashstyle="solid"/>
              <w10:wrap type="none"/>
            </v:shape>
            <v:shape style="position:absolute;left:3847;top:2134;width:605;height:476" type="#_x0000_t202" filled="false" stroked="true" strokeweight=".72pt" strokecolor="#d9d9d9">
              <v:textbox inset="0,0,0,0">
                <w:txbxContent>
                  <w:p>
                    <w:pPr>
                      <w:spacing w:before="26"/>
                      <w:ind w:left="174" w:right="0" w:firstLine="0"/>
                      <w:jc w:val="left"/>
                      <w:rPr>
                        <w:b/>
                        <w:sz w:val="16"/>
                      </w:rPr>
                    </w:pPr>
                    <w:r>
                      <w:rPr>
                        <w:b/>
                        <w:color w:val="385622"/>
                        <w:sz w:val="16"/>
                      </w:rPr>
                      <w:t>1.7</w:t>
                    </w:r>
                  </w:p>
                </w:txbxContent>
              </v:textbox>
              <v:stroke dashstyle="solid"/>
              <w10:wrap type="none"/>
            </v:shape>
            <v:shape style="position:absolute;left:9290;top:1183;width:605;height:476" type="#_x0000_t202" filled="false" stroked="true" strokeweight=".72pt" strokecolor="#d9d9d9">
              <v:textbox inset="0,0,0,0">
                <w:txbxContent>
                  <w:p>
                    <w:pPr>
                      <w:spacing w:before="70"/>
                      <w:ind w:left="57" w:right="0" w:firstLine="0"/>
                      <w:jc w:val="left"/>
                      <w:rPr>
                        <w:sz w:val="20"/>
                      </w:rPr>
                    </w:pPr>
                    <w:r>
                      <w:rPr>
                        <w:color w:val="585858"/>
                        <w:sz w:val="20"/>
                      </w:rPr>
                      <w:t>2021</w:t>
                    </w:r>
                  </w:p>
                </w:txbxContent>
              </v:textbox>
              <v:stroke dashstyle="solid"/>
              <w10:wrap type="none"/>
            </v:shape>
            <v:shape style="position:absolute;left:5661;top:233;width:605;height:476" type="#_x0000_t202" filled="false" stroked="true" strokeweight=".72pt" strokecolor="#d9d9d9">
              <v:textbox inset="0,0,0,0">
                <w:txbxContent>
                  <w:p>
                    <w:pPr>
                      <w:spacing w:line="240" w:lineRule="auto" w:before="10"/>
                      <w:rPr>
                        <w:sz w:val="18"/>
                      </w:rPr>
                    </w:pPr>
                  </w:p>
                  <w:p>
                    <w:pPr>
                      <w:spacing w:before="1"/>
                      <w:ind w:left="152" w:right="0" w:firstLine="0"/>
                      <w:jc w:val="left"/>
                      <w:rPr>
                        <w:b/>
                        <w:sz w:val="16"/>
                      </w:rPr>
                    </w:pPr>
                    <w:r>
                      <w:rPr>
                        <w:b/>
                        <w:color w:val="1F3863"/>
                        <w:sz w:val="16"/>
                      </w:rPr>
                      <w:t>14.8</w:t>
                    </w:r>
                  </w:p>
                </w:txbxContent>
              </v:textbox>
              <v:stroke dashstyle="solid"/>
              <w10:wrap type="none"/>
            </v:shape>
            <v:shape style="position:absolute;left:5056;top:233;width:605;height:476" type="#_x0000_t202" filled="false" stroked="true" strokeweight=".72pt" strokecolor="#d9d9d9">
              <v:textbox inset="0,0,0,0">
                <w:txbxContent>
                  <w:p>
                    <w:pPr>
                      <w:spacing w:line="240" w:lineRule="auto" w:before="0"/>
                      <w:rPr>
                        <w:sz w:val="18"/>
                      </w:rPr>
                    </w:pPr>
                  </w:p>
                  <w:p>
                    <w:pPr>
                      <w:spacing w:line="144" w:lineRule="exact" w:before="110"/>
                      <w:ind w:left="152" w:right="0" w:firstLine="0"/>
                      <w:jc w:val="left"/>
                      <w:rPr>
                        <w:b/>
                        <w:sz w:val="16"/>
                      </w:rPr>
                    </w:pPr>
                    <w:r>
                      <w:rPr>
                        <w:b/>
                        <w:color w:val="1F3863"/>
                        <w:sz w:val="16"/>
                      </w:rPr>
                      <w:t>13.7</w:t>
                    </w:r>
                  </w:p>
                </w:txbxContent>
              </v:textbox>
              <v:stroke dashstyle="solid"/>
              <w10:wrap type="none"/>
            </v:shape>
            <v:shape style="position:absolute;left:2786;top:1385;width:308;height:749" type="#_x0000_t202" filled="false" stroked="false">
              <v:textbox inset="0,0,0,0">
                <w:txbxContent>
                  <w:p>
                    <w:pPr>
                      <w:spacing w:before="157"/>
                      <w:ind w:left="50" w:right="0" w:firstLine="0"/>
                      <w:jc w:val="left"/>
                      <w:rPr>
                        <w:b/>
                        <w:sz w:val="16"/>
                      </w:rPr>
                    </w:pPr>
                    <w:r>
                      <w:rPr>
                        <w:b/>
                        <w:color w:val="FFFFFF"/>
                        <w:sz w:val="16"/>
                      </w:rPr>
                      <w:t>3.1</w:t>
                    </w:r>
                  </w:p>
                </w:txbxContent>
              </v:textbox>
              <w10:wrap type="none"/>
            </v:shape>
            <v:shape style="position:absolute;left:5205;top:830;width:308;height:1304"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3"/>
                      <w:rPr>
                        <w:sz w:val="20"/>
                      </w:rPr>
                    </w:pPr>
                  </w:p>
                  <w:p>
                    <w:pPr>
                      <w:spacing w:before="1"/>
                      <w:ind w:left="51" w:right="0" w:firstLine="0"/>
                      <w:jc w:val="left"/>
                      <w:rPr>
                        <w:b/>
                        <w:sz w:val="16"/>
                      </w:rPr>
                    </w:pPr>
                    <w:r>
                      <w:rPr>
                        <w:b/>
                        <w:color w:val="385622"/>
                        <w:sz w:val="16"/>
                      </w:rPr>
                      <w:t>6.3</w:t>
                    </w:r>
                  </w:p>
                </w:txbxContent>
              </v:textbox>
              <w10:wrap type="none"/>
            </v:shape>
            <v:shape style="position:absolute;left:3391;top:634;width:308;height:1500"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23"/>
                      </w:rPr>
                    </w:pPr>
                  </w:p>
                  <w:p>
                    <w:pPr>
                      <w:spacing w:before="0"/>
                      <w:ind w:left="32" w:right="0" w:firstLine="0"/>
                      <w:jc w:val="left"/>
                      <w:rPr>
                        <w:b/>
                        <w:sz w:val="16"/>
                      </w:rPr>
                    </w:pPr>
                    <w:r>
                      <w:rPr>
                        <w:b/>
                        <w:color w:val="FFFFFF"/>
                        <w:sz w:val="16"/>
                      </w:rPr>
                      <w:t>5.6</w:t>
                    </w:r>
                  </w:p>
                </w:txbxContent>
              </v:textbox>
              <w10:wrap type="none"/>
            </v:shape>
            <w10:wrap type="none"/>
          </v:group>
        </w:pict>
      </w:r>
      <w:r>
        <w:rPr>
          <w:color w:val="585858"/>
          <w:sz w:val="16"/>
        </w:rPr>
        <w:t>20.0</w:t>
      </w:r>
    </w:p>
    <w:p>
      <w:pPr>
        <w:pStyle w:val="BodyText"/>
        <w:spacing w:before="1"/>
        <w:rPr>
          <w:sz w:val="17"/>
        </w:rPr>
      </w:pPr>
    </w:p>
    <w:p>
      <w:pPr>
        <w:spacing w:before="94"/>
        <w:ind w:left="1081" w:right="0" w:firstLine="0"/>
        <w:jc w:val="left"/>
        <w:rPr>
          <w:sz w:val="16"/>
        </w:rPr>
      </w:pPr>
      <w:r>
        <w:rPr>
          <w:color w:val="585858"/>
          <w:sz w:val="16"/>
        </w:rPr>
        <w:t>15.0</w:t>
      </w:r>
    </w:p>
    <w:p>
      <w:pPr>
        <w:pStyle w:val="BodyText"/>
        <w:spacing w:before="4"/>
        <w:rPr>
          <w:sz w:val="25"/>
        </w:rPr>
      </w:pPr>
    </w:p>
    <w:p>
      <w:pPr>
        <w:spacing w:before="0"/>
        <w:ind w:left="1081" w:right="0" w:firstLine="0"/>
        <w:jc w:val="left"/>
        <w:rPr>
          <w:sz w:val="16"/>
        </w:rPr>
      </w:pPr>
      <w:r>
        <w:rPr>
          <w:color w:val="585858"/>
          <w:sz w:val="16"/>
        </w:rPr>
        <w:t>10.0</w:t>
      </w:r>
    </w:p>
    <w:p>
      <w:pPr>
        <w:pStyle w:val="BodyText"/>
        <w:spacing w:before="4"/>
        <w:rPr>
          <w:sz w:val="25"/>
        </w:rPr>
      </w:pPr>
    </w:p>
    <w:p>
      <w:pPr>
        <w:spacing w:before="0"/>
        <w:ind w:left="1161" w:right="0" w:firstLine="0"/>
        <w:jc w:val="left"/>
        <w:rPr>
          <w:sz w:val="16"/>
        </w:rPr>
      </w:pPr>
      <w:r>
        <w:rPr>
          <w:color w:val="585858"/>
          <w:sz w:val="16"/>
        </w:rPr>
        <w:t>5.0</w:t>
      </w:r>
    </w:p>
    <w:p>
      <w:pPr>
        <w:pStyle w:val="BodyText"/>
        <w:spacing w:before="1"/>
        <w:rPr>
          <w:sz w:val="17"/>
        </w:rPr>
      </w:pPr>
    </w:p>
    <w:p>
      <w:pPr>
        <w:spacing w:before="95"/>
        <w:ind w:left="1161" w:right="0" w:firstLine="0"/>
        <w:jc w:val="left"/>
        <w:rPr>
          <w:sz w:val="16"/>
        </w:rPr>
      </w:pPr>
      <w:r>
        <w:rPr>
          <w:color w:val="585858"/>
          <w:sz w:val="16"/>
        </w:rPr>
        <w:t>0.0</w:t>
      </w:r>
    </w:p>
    <w:p>
      <w:pPr>
        <w:pStyle w:val="BodyText"/>
        <w:spacing w:before="3"/>
        <w:rPr>
          <w:sz w:val="25"/>
        </w:rPr>
      </w:pPr>
    </w:p>
    <w:p>
      <w:pPr>
        <w:spacing w:before="0"/>
        <w:ind w:left="1107" w:right="0" w:firstLine="0"/>
        <w:jc w:val="left"/>
        <w:rPr>
          <w:sz w:val="16"/>
        </w:rPr>
      </w:pPr>
      <w:r>
        <w:rPr>
          <w:color w:val="585858"/>
          <w:sz w:val="16"/>
        </w:rPr>
        <w:t>-5.0</w:t>
      </w:r>
    </w:p>
    <w:p>
      <w:pPr>
        <w:pStyle w:val="BodyText"/>
        <w:spacing w:before="2"/>
        <w:rPr>
          <w:sz w:val="17"/>
        </w:rPr>
      </w:pPr>
    </w:p>
    <w:p>
      <w:pPr>
        <w:spacing w:before="94"/>
        <w:ind w:left="1027" w:right="0" w:firstLine="0"/>
        <w:jc w:val="left"/>
        <w:rPr>
          <w:sz w:val="16"/>
        </w:rPr>
      </w:pPr>
      <w:r>
        <w:rPr/>
        <w:drawing>
          <wp:anchor distT="0" distB="0" distL="0" distR="0" allowOverlap="1" layoutInCell="1" locked="0" behindDoc="0" simplePos="0" relativeHeight="1123">
            <wp:simplePos x="0" y="0"/>
            <wp:positionH relativeFrom="page">
              <wp:posOffset>1649095</wp:posOffset>
            </wp:positionH>
            <wp:positionV relativeFrom="paragraph">
              <wp:posOffset>238490</wp:posOffset>
            </wp:positionV>
            <wp:extent cx="232121" cy="214693"/>
            <wp:effectExtent l="0" t="0" r="0" b="0"/>
            <wp:wrapTopAndBottom/>
            <wp:docPr id="75" name="image215.png"/>
            <wp:cNvGraphicFramePr>
              <a:graphicFrameLocks noChangeAspect="1"/>
            </wp:cNvGraphicFramePr>
            <a:graphic>
              <a:graphicData uri="http://schemas.openxmlformats.org/drawingml/2006/picture">
                <pic:pic>
                  <pic:nvPicPr>
                    <pic:cNvPr id="76" name="image215.png"/>
                    <pic:cNvPicPr/>
                  </pic:nvPicPr>
                  <pic:blipFill>
                    <a:blip r:embed="rId221" cstate="print"/>
                    <a:stretch>
                      <a:fillRect/>
                    </a:stretch>
                  </pic:blipFill>
                  <pic:spPr>
                    <a:xfrm>
                      <a:off x="0" y="0"/>
                      <a:ext cx="232121" cy="214693"/>
                    </a:xfrm>
                    <a:prstGeom prst="rect">
                      <a:avLst/>
                    </a:prstGeom>
                  </pic:spPr>
                </pic:pic>
              </a:graphicData>
            </a:graphic>
          </wp:anchor>
        </w:drawing>
      </w:r>
      <w:r>
        <w:rPr/>
        <w:pict>
          <v:shape style="position:absolute;margin-left:155.470001pt;margin-top:18.798767pt;width:23pt;height:21.6pt;mso-position-horizontal-relative:page;mso-position-vertical-relative:paragraph;z-index:-250507264;mso-wrap-distance-left:0;mso-wrap-distance-right:0" coordorigin="3109,376" coordsize="460,432" path="m3153,720l3129,720,3132,724,3191,782,3196,788,3199,790,3199,794,3199,796,3198,800,3191,806,3194,808,3224,778,3210,778,3207,774,3203,770,3176,744,3182,738,3171,738,3153,720xm3228,770l3223,776,3220,778,3224,778,3230,772,3228,770xm3188,698l3186,700,3190,706,3192,710,3192,712,3192,716,3190,720,3187,724,3171,738,3182,738,3192,728,3195,726,3197,724,3199,724,3201,722,3213,722,3188,698xm3213,722l3204,722,3206,724,3208,724,3211,726,3215,730,3217,726,3213,722xm3172,662l3109,724,3112,726,3117,722,3119,720,3153,720,3138,706,3161,682,3165,680,3168,678,3171,676,3187,676,3172,662xm3266,640l3249,640,3242,644,3235,650,3228,658,3224,666,3225,680,3225,688,3230,698,3249,716,3259,722,3279,722,3287,718,3294,712,3301,706,3276,706,3267,704,3258,704,3249,700,3241,690,3243,688,3237,688,3233,682,3231,676,3231,666,3233,662,3236,658,3239,656,3241,654,3245,654,3248,652,3280,652,3273,644,3266,640xm3295,666l3292,666,3295,674,3296,680,3296,684,3295,690,3293,694,3289,698,3283,702,3276,706,3301,706,3304,698,3303,690,3303,680,3300,672,3295,666xm3280,652l3248,652,3251,654,3257,656,3260,658,3264,660,3237,688,3243,688,3280,652xm3187,676l3174,676,3180,678,3184,680,3189,682,3192,680,3187,676xm3270,596l3248,596,3250,598,3253,600,3257,604,3323,668,3329,668,3334,666,3343,662,3347,658,3351,656,3329,656,3295,622,3296,618,3291,618,3270,596xm3349,596l3326,596,3333,602,3340,608,3348,616,3353,624,3354,632,3354,638,3353,644,3349,648,3347,650,3344,652,3341,654,3337,654,3334,656,3351,656,3358,648,3361,640,3362,628,3362,616,3358,604,3349,596xm3330,580l3311,580,3304,582,3291,594,3289,604,3291,618,3296,618,3296,616,3296,612,3297,610,3298,606,3300,604,3302,602,3306,598,3312,596,3349,596,3339,586,3330,580xm3368,562l3347,562,3348,564,3352,568,3359,574,3381,596,3384,600,3386,602,3387,602,3388,604,3388,606,3387,610,3386,612,3383,616,3385,618,3410,592,3399,592,3397,590,3394,588,3368,562xm3250,576l3247,578,3237,602,3240,604,3241,602,3243,600,3244,598,3246,598,3248,596,3270,596,3250,576xm3412,586l3409,588,3405,592,3410,592,3414,588,3412,586xm3346,540l3343,542,3333,566,3336,568,3338,564,3340,562,3368,562,3364,558,3362,552,3358,552,3346,540xm3427,480l3410,480,3403,482,3397,488,3389,496,3385,506,3386,514,3386,526,3391,536,3410,556,3420,560,3440,560,3449,558,3456,550,3462,544,3428,544,3419,542,3411,538,3402,530,3406,526,3399,526,3394,520,3392,516,3392,504,3394,500,3397,496,3400,494,3403,494,3406,492,3440,492,3442,490,3435,484,3427,480xm3373,522l3365,522,3362,524,3355,530,3355,540,3358,552,3362,552,3361,548,3361,542,3361,540,3363,540,3365,538,3374,538,3375,536,3377,534,3377,532,3377,528,3377,526,3373,522xm3456,504l3453,506,3456,512,3457,516,3457,520,3457,524,3456,528,3454,532,3450,536,3445,542,3437,544,3462,544,3465,536,3464,528,3464,520,3461,512,3456,504xm3440,492l3413,492,3418,494,3421,496,3425,500,3399,526,3406,526,3440,492xm3464,462l3442,462,3444,464,3447,466,3451,468,3457,476,3479,498,3483,500,3485,504,3486,506,3487,508,3486,512,3484,514,3481,518,3483,520,3509,494,3499,494,3498,492,3495,492,3492,490,3464,462xm3510,488l3508,490,3505,492,3503,492,3501,494,3509,494,3512,490,3510,488xm3444,442l3441,444,3431,468,3434,470,3436,466,3437,464,3440,464,3442,462,3464,462,3462,460,3460,454,3457,454,3444,442xm3516,376l3506,380,3498,388,3493,392,3490,398,3488,406,3486,412,3486,418,3492,434,3496,440,3501,446,3508,454,3516,458,3527,460,3538,460,3549,458,3558,448,3543,448,3524,444,3515,438,3507,430,3502,424,3498,420,3496,414,3495,410,3494,406,3496,398,3497,396,3500,394,3504,390,3510,388,3552,388,3547,382,3538,378,3528,378,3516,376xm3472,424l3461,424,3454,432,3453,442,3457,454,3460,454,3459,448,3459,446,3459,444,3460,442,3461,440,3470,440,3472,438,3475,436,3476,434,3476,430,3475,428,3472,424xm3552,388l3517,388,3527,390,3537,396,3555,414,3560,422,3560,426,3561,434,3559,438,3550,448,3558,448,3562,444,3566,438,3569,424,3569,416,3566,408,3563,402,3559,394,3554,390,3552,388xe" filled="true" fillcolor="#585858" stroked="false">
            <v:path arrowok="t"/>
            <v:fill type="solid"/>
            <w10:wrap type="topAndBottom"/>
          </v:shape>
        </w:pict>
      </w:r>
      <w:r>
        <w:rPr/>
        <w:drawing>
          <wp:anchor distT="0" distB="0" distL="0" distR="0" allowOverlap="1" layoutInCell="1" locked="0" behindDoc="0" simplePos="0" relativeHeight="1125">
            <wp:simplePos x="0" y="0"/>
            <wp:positionH relativeFrom="page">
              <wp:posOffset>2399029</wp:posOffset>
            </wp:positionH>
            <wp:positionV relativeFrom="paragraph">
              <wp:posOffset>238998</wp:posOffset>
            </wp:positionV>
            <wp:extent cx="250611" cy="233362"/>
            <wp:effectExtent l="0" t="0" r="0" b="0"/>
            <wp:wrapTopAndBottom/>
            <wp:docPr id="77" name="image216.png"/>
            <wp:cNvGraphicFramePr>
              <a:graphicFrameLocks noChangeAspect="1"/>
            </wp:cNvGraphicFramePr>
            <a:graphic>
              <a:graphicData uri="http://schemas.openxmlformats.org/drawingml/2006/picture">
                <pic:pic>
                  <pic:nvPicPr>
                    <pic:cNvPr id="78" name="image216.png"/>
                    <pic:cNvPicPr/>
                  </pic:nvPicPr>
                  <pic:blipFill>
                    <a:blip r:embed="rId222" cstate="print"/>
                    <a:stretch>
                      <a:fillRect/>
                    </a:stretch>
                  </pic:blipFill>
                  <pic:spPr>
                    <a:xfrm>
                      <a:off x="0" y="0"/>
                      <a:ext cx="250611" cy="233362"/>
                    </a:xfrm>
                    <a:prstGeom prst="rect">
                      <a:avLst/>
                    </a:prstGeom>
                  </pic:spPr>
                </pic:pic>
              </a:graphicData>
            </a:graphic>
          </wp:anchor>
        </w:drawing>
      </w:r>
      <w:r>
        <w:rPr/>
        <w:drawing>
          <wp:anchor distT="0" distB="0" distL="0" distR="0" allowOverlap="1" layoutInCell="1" locked="0" behindDoc="0" simplePos="0" relativeHeight="1126">
            <wp:simplePos x="0" y="0"/>
            <wp:positionH relativeFrom="page">
              <wp:posOffset>2849245</wp:posOffset>
            </wp:positionH>
            <wp:positionV relativeFrom="paragraph">
              <wp:posOffset>215884</wp:posOffset>
            </wp:positionV>
            <wp:extent cx="196099" cy="218598"/>
            <wp:effectExtent l="0" t="0" r="0" b="0"/>
            <wp:wrapTopAndBottom/>
            <wp:docPr id="79" name="image217.png"/>
            <wp:cNvGraphicFramePr>
              <a:graphicFrameLocks noChangeAspect="1"/>
            </wp:cNvGraphicFramePr>
            <a:graphic>
              <a:graphicData uri="http://schemas.openxmlformats.org/drawingml/2006/picture">
                <pic:pic>
                  <pic:nvPicPr>
                    <pic:cNvPr id="80" name="image217.png"/>
                    <pic:cNvPicPr/>
                  </pic:nvPicPr>
                  <pic:blipFill>
                    <a:blip r:embed="rId223" cstate="print"/>
                    <a:stretch>
                      <a:fillRect/>
                    </a:stretch>
                  </pic:blipFill>
                  <pic:spPr>
                    <a:xfrm>
                      <a:off x="0" y="0"/>
                      <a:ext cx="196099" cy="218598"/>
                    </a:xfrm>
                    <a:prstGeom prst="rect">
                      <a:avLst/>
                    </a:prstGeom>
                  </pic:spPr>
                </pic:pic>
              </a:graphicData>
            </a:graphic>
          </wp:anchor>
        </w:drawing>
      </w:r>
      <w:r>
        <w:rPr/>
        <w:drawing>
          <wp:anchor distT="0" distB="0" distL="0" distR="0" allowOverlap="1" layoutInCell="1" locked="0" behindDoc="0" simplePos="0" relativeHeight="1127">
            <wp:simplePos x="0" y="0"/>
            <wp:positionH relativeFrom="page">
              <wp:posOffset>3189604</wp:posOffset>
            </wp:positionH>
            <wp:positionV relativeFrom="paragraph">
              <wp:posOffset>239506</wp:posOffset>
            </wp:positionV>
            <wp:extent cx="226970" cy="209550"/>
            <wp:effectExtent l="0" t="0" r="0" b="0"/>
            <wp:wrapTopAndBottom/>
            <wp:docPr id="81" name="image218.png"/>
            <wp:cNvGraphicFramePr>
              <a:graphicFrameLocks noChangeAspect="1"/>
            </wp:cNvGraphicFramePr>
            <a:graphic>
              <a:graphicData uri="http://schemas.openxmlformats.org/drawingml/2006/picture">
                <pic:pic>
                  <pic:nvPicPr>
                    <pic:cNvPr id="82" name="image218.png"/>
                    <pic:cNvPicPr/>
                  </pic:nvPicPr>
                  <pic:blipFill>
                    <a:blip r:embed="rId224" cstate="print"/>
                    <a:stretch>
                      <a:fillRect/>
                    </a:stretch>
                  </pic:blipFill>
                  <pic:spPr>
                    <a:xfrm>
                      <a:off x="0" y="0"/>
                      <a:ext cx="226970" cy="209550"/>
                    </a:xfrm>
                    <a:prstGeom prst="rect">
                      <a:avLst/>
                    </a:prstGeom>
                  </pic:spPr>
                </pic:pic>
              </a:graphicData>
            </a:graphic>
          </wp:anchor>
        </w:drawing>
      </w:r>
      <w:r>
        <w:rPr/>
        <w:drawing>
          <wp:anchor distT="0" distB="0" distL="0" distR="0" allowOverlap="1" layoutInCell="1" locked="0" behindDoc="0" simplePos="0" relativeHeight="1128">
            <wp:simplePos x="0" y="0"/>
            <wp:positionH relativeFrom="page">
              <wp:posOffset>3593846</wp:posOffset>
            </wp:positionH>
            <wp:positionV relativeFrom="paragraph">
              <wp:posOffset>238363</wp:posOffset>
            </wp:positionV>
            <wp:extent cx="208322" cy="195262"/>
            <wp:effectExtent l="0" t="0" r="0" b="0"/>
            <wp:wrapTopAndBottom/>
            <wp:docPr id="83" name="image219.png"/>
            <wp:cNvGraphicFramePr>
              <a:graphicFrameLocks noChangeAspect="1"/>
            </wp:cNvGraphicFramePr>
            <a:graphic>
              <a:graphicData uri="http://schemas.openxmlformats.org/drawingml/2006/picture">
                <pic:pic>
                  <pic:nvPicPr>
                    <pic:cNvPr id="84" name="image219.png"/>
                    <pic:cNvPicPr/>
                  </pic:nvPicPr>
                  <pic:blipFill>
                    <a:blip r:embed="rId225" cstate="print"/>
                    <a:stretch>
                      <a:fillRect/>
                    </a:stretch>
                  </pic:blipFill>
                  <pic:spPr>
                    <a:xfrm>
                      <a:off x="0" y="0"/>
                      <a:ext cx="208322" cy="195262"/>
                    </a:xfrm>
                    <a:prstGeom prst="rect">
                      <a:avLst/>
                    </a:prstGeom>
                  </pic:spPr>
                </pic:pic>
              </a:graphicData>
            </a:graphic>
          </wp:anchor>
        </w:drawing>
      </w:r>
      <w:r>
        <w:rPr/>
        <w:drawing>
          <wp:anchor distT="0" distB="0" distL="0" distR="0" allowOverlap="1" layoutInCell="1" locked="0" behindDoc="0" simplePos="0" relativeHeight="1129">
            <wp:simplePos x="0" y="0"/>
            <wp:positionH relativeFrom="page">
              <wp:posOffset>3995928</wp:posOffset>
            </wp:positionH>
            <wp:positionV relativeFrom="paragraph">
              <wp:posOffset>239506</wp:posOffset>
            </wp:positionV>
            <wp:extent cx="190030" cy="176212"/>
            <wp:effectExtent l="0" t="0" r="0" b="0"/>
            <wp:wrapTopAndBottom/>
            <wp:docPr id="85" name="image220.png"/>
            <wp:cNvGraphicFramePr>
              <a:graphicFrameLocks noChangeAspect="1"/>
            </wp:cNvGraphicFramePr>
            <a:graphic>
              <a:graphicData uri="http://schemas.openxmlformats.org/drawingml/2006/picture">
                <pic:pic>
                  <pic:nvPicPr>
                    <pic:cNvPr id="86" name="image220.png"/>
                    <pic:cNvPicPr/>
                  </pic:nvPicPr>
                  <pic:blipFill>
                    <a:blip r:embed="rId226" cstate="print"/>
                    <a:stretch>
                      <a:fillRect/>
                    </a:stretch>
                  </pic:blipFill>
                  <pic:spPr>
                    <a:xfrm>
                      <a:off x="0" y="0"/>
                      <a:ext cx="190030" cy="176212"/>
                    </a:xfrm>
                    <a:prstGeom prst="rect">
                      <a:avLst/>
                    </a:prstGeom>
                  </pic:spPr>
                </pic:pic>
              </a:graphicData>
            </a:graphic>
          </wp:anchor>
        </w:drawing>
      </w:r>
      <w:r>
        <w:rPr/>
        <w:drawing>
          <wp:anchor distT="0" distB="0" distL="0" distR="0" allowOverlap="1" layoutInCell="1" locked="0" behindDoc="0" simplePos="0" relativeHeight="1130">
            <wp:simplePos x="0" y="0"/>
            <wp:positionH relativeFrom="page">
              <wp:posOffset>4322698</wp:posOffset>
            </wp:positionH>
            <wp:positionV relativeFrom="paragraph">
              <wp:posOffset>236966</wp:posOffset>
            </wp:positionV>
            <wp:extent cx="634634" cy="390525"/>
            <wp:effectExtent l="0" t="0" r="0" b="0"/>
            <wp:wrapTopAndBottom/>
            <wp:docPr id="87" name="image221.png"/>
            <wp:cNvGraphicFramePr>
              <a:graphicFrameLocks noChangeAspect="1"/>
            </wp:cNvGraphicFramePr>
            <a:graphic>
              <a:graphicData uri="http://schemas.openxmlformats.org/drawingml/2006/picture">
                <pic:pic>
                  <pic:nvPicPr>
                    <pic:cNvPr id="88" name="image221.png"/>
                    <pic:cNvPicPr/>
                  </pic:nvPicPr>
                  <pic:blipFill>
                    <a:blip r:embed="rId227" cstate="print"/>
                    <a:stretch>
                      <a:fillRect/>
                    </a:stretch>
                  </pic:blipFill>
                  <pic:spPr>
                    <a:xfrm>
                      <a:off x="0" y="0"/>
                      <a:ext cx="634634" cy="390525"/>
                    </a:xfrm>
                    <a:prstGeom prst="rect">
                      <a:avLst/>
                    </a:prstGeom>
                  </pic:spPr>
                </pic:pic>
              </a:graphicData>
            </a:graphic>
          </wp:anchor>
        </w:drawing>
      </w:r>
      <w:r>
        <w:rPr/>
        <w:drawing>
          <wp:anchor distT="0" distB="0" distL="0" distR="0" allowOverlap="1" layoutInCell="1" locked="0" behindDoc="0" simplePos="0" relativeHeight="1131">
            <wp:simplePos x="0" y="0"/>
            <wp:positionH relativeFrom="page">
              <wp:posOffset>5054346</wp:posOffset>
            </wp:positionH>
            <wp:positionV relativeFrom="paragraph">
              <wp:posOffset>236077</wp:posOffset>
            </wp:positionV>
            <wp:extent cx="1059522" cy="390525"/>
            <wp:effectExtent l="0" t="0" r="0" b="0"/>
            <wp:wrapTopAndBottom/>
            <wp:docPr id="89" name="image222.png"/>
            <wp:cNvGraphicFramePr>
              <a:graphicFrameLocks noChangeAspect="1"/>
            </wp:cNvGraphicFramePr>
            <a:graphic>
              <a:graphicData uri="http://schemas.openxmlformats.org/drawingml/2006/picture">
                <pic:pic>
                  <pic:nvPicPr>
                    <pic:cNvPr id="90" name="image222.png"/>
                    <pic:cNvPicPr/>
                  </pic:nvPicPr>
                  <pic:blipFill>
                    <a:blip r:embed="rId228" cstate="print"/>
                    <a:stretch>
                      <a:fillRect/>
                    </a:stretch>
                  </pic:blipFill>
                  <pic:spPr>
                    <a:xfrm>
                      <a:off x="0" y="0"/>
                      <a:ext cx="1059522" cy="390525"/>
                    </a:xfrm>
                    <a:prstGeom prst="rect">
                      <a:avLst/>
                    </a:prstGeom>
                  </pic:spPr>
                </pic:pic>
              </a:graphicData>
            </a:graphic>
          </wp:anchor>
        </w:drawing>
      </w:r>
      <w:r>
        <w:rPr>
          <w:color w:val="585858"/>
          <w:sz w:val="16"/>
        </w:rPr>
        <w:t>-10.0</w:t>
      </w:r>
    </w:p>
    <w:p>
      <w:pPr>
        <w:pStyle w:val="BodyText"/>
        <w:spacing w:before="2"/>
        <w:rPr>
          <w:sz w:val="14"/>
        </w:rPr>
      </w:pPr>
    </w:p>
    <w:p>
      <w:pPr>
        <w:spacing w:line="276" w:lineRule="auto" w:before="0"/>
        <w:ind w:left="998" w:right="7104" w:firstLine="0"/>
        <w:jc w:val="left"/>
        <w:rPr>
          <w:sz w:val="16"/>
        </w:rPr>
      </w:pPr>
      <w:r>
        <w:rPr>
          <w:sz w:val="16"/>
        </w:rPr>
        <w:t>*Incluye amortizaciones de la deuda pública Fuente: Dirección de Análisis y Política Fiscal</w:t>
      </w:r>
    </w:p>
    <w:p>
      <w:pPr>
        <w:pStyle w:val="BodyText"/>
        <w:spacing w:before="11"/>
        <w:rPr>
          <w:sz w:val="16"/>
        </w:rPr>
      </w:pPr>
    </w:p>
    <w:p>
      <w:pPr>
        <w:pStyle w:val="BodyText"/>
        <w:spacing w:line="276" w:lineRule="auto" w:before="91"/>
        <w:ind w:left="562" w:right="1693"/>
        <w:jc w:val="both"/>
      </w:pPr>
      <w:r>
        <w:rPr/>
        <w:t>La ejecución del gasto público a junio sin incluir las amortizaciones de la deuda pública se ubicó en Q46,088.0 millones con un crecimiento interanual de 15.5% (equivalente a Q6,187.8 millones). Se espera</w:t>
      </w:r>
      <w:r>
        <w:rPr>
          <w:spacing w:val="-4"/>
        </w:rPr>
        <w:t> </w:t>
      </w:r>
      <w:r>
        <w:rPr/>
        <w:t>que</w:t>
      </w:r>
      <w:r>
        <w:rPr>
          <w:spacing w:val="-3"/>
        </w:rPr>
        <w:t> </w:t>
      </w:r>
      <w:r>
        <w:rPr/>
        <w:t>el</w:t>
      </w:r>
      <w:r>
        <w:rPr>
          <w:spacing w:val="-4"/>
        </w:rPr>
        <w:t> </w:t>
      </w:r>
      <w:r>
        <w:rPr/>
        <w:t>gasto</w:t>
      </w:r>
      <w:r>
        <w:rPr>
          <w:spacing w:val="-4"/>
        </w:rPr>
        <w:t> </w:t>
      </w:r>
      <w:r>
        <w:rPr/>
        <w:t>se</w:t>
      </w:r>
      <w:r>
        <w:rPr>
          <w:spacing w:val="-4"/>
        </w:rPr>
        <w:t> </w:t>
      </w:r>
      <w:r>
        <w:rPr/>
        <w:t>mantenga</w:t>
      </w:r>
      <w:r>
        <w:rPr>
          <w:spacing w:val="-3"/>
        </w:rPr>
        <w:t> </w:t>
      </w:r>
      <w:r>
        <w:rPr/>
        <w:t>dinámico</w:t>
      </w:r>
      <w:r>
        <w:rPr>
          <w:spacing w:val="-7"/>
        </w:rPr>
        <w:t> </w:t>
      </w:r>
      <w:r>
        <w:rPr/>
        <w:t>en</w:t>
      </w:r>
      <w:r>
        <w:rPr>
          <w:spacing w:val="-5"/>
        </w:rPr>
        <w:t> </w:t>
      </w:r>
      <w:r>
        <w:rPr/>
        <w:t>el</w:t>
      </w:r>
      <w:r>
        <w:rPr>
          <w:spacing w:val="-5"/>
        </w:rPr>
        <w:t> </w:t>
      </w:r>
      <w:r>
        <w:rPr/>
        <w:t>segundo</w:t>
      </w:r>
      <w:r>
        <w:rPr>
          <w:spacing w:val="-5"/>
        </w:rPr>
        <w:t> </w:t>
      </w:r>
      <w:r>
        <w:rPr/>
        <w:t>semestre</w:t>
      </w:r>
      <w:r>
        <w:rPr>
          <w:spacing w:val="-3"/>
        </w:rPr>
        <w:t> </w:t>
      </w:r>
      <w:r>
        <w:rPr/>
        <w:t>del</w:t>
      </w:r>
      <w:r>
        <w:rPr>
          <w:spacing w:val="-6"/>
        </w:rPr>
        <w:t> </w:t>
      </w:r>
      <w:r>
        <w:rPr/>
        <w:t>año</w:t>
      </w:r>
      <w:r>
        <w:rPr>
          <w:spacing w:val="-4"/>
        </w:rPr>
        <w:t> </w:t>
      </w:r>
      <w:r>
        <w:rPr/>
        <w:t>como</w:t>
      </w:r>
      <w:r>
        <w:rPr>
          <w:spacing w:val="-4"/>
        </w:rPr>
        <w:t> </w:t>
      </w:r>
      <w:r>
        <w:rPr/>
        <w:t>parte</w:t>
      </w:r>
      <w:r>
        <w:rPr>
          <w:spacing w:val="-7"/>
        </w:rPr>
        <w:t> </w:t>
      </w:r>
      <w:r>
        <w:rPr/>
        <w:t>de</w:t>
      </w:r>
      <w:r>
        <w:rPr>
          <w:spacing w:val="-6"/>
        </w:rPr>
        <w:t> </w:t>
      </w:r>
      <w:r>
        <w:rPr/>
        <w:t>la</w:t>
      </w:r>
      <w:r>
        <w:rPr>
          <w:spacing w:val="-7"/>
        </w:rPr>
        <w:t> </w:t>
      </w:r>
      <w:r>
        <w:rPr/>
        <w:t>ejecución del paquete de medidas de alivio temporal ante el incremento de los precios, aprobadas como apoyo al</w:t>
      </w:r>
      <w:r>
        <w:rPr>
          <w:spacing w:val="-4"/>
        </w:rPr>
        <w:t> </w:t>
      </w:r>
      <w:r>
        <w:rPr/>
        <w:t>bolsillo</w:t>
      </w:r>
      <w:r>
        <w:rPr>
          <w:spacing w:val="-4"/>
        </w:rPr>
        <w:t> </w:t>
      </w:r>
      <w:r>
        <w:rPr/>
        <w:t>de</w:t>
      </w:r>
      <w:r>
        <w:rPr>
          <w:spacing w:val="-7"/>
        </w:rPr>
        <w:t> </w:t>
      </w:r>
      <w:r>
        <w:rPr/>
        <w:t>los</w:t>
      </w:r>
      <w:r>
        <w:rPr>
          <w:spacing w:val="-3"/>
        </w:rPr>
        <w:t> </w:t>
      </w:r>
      <w:r>
        <w:rPr/>
        <w:t>guatemaltecos,</w:t>
      </w:r>
      <w:r>
        <w:rPr>
          <w:spacing w:val="-3"/>
        </w:rPr>
        <w:t> </w:t>
      </w:r>
      <w:r>
        <w:rPr/>
        <w:t>algunas</w:t>
      </w:r>
      <w:r>
        <w:rPr>
          <w:spacing w:val="-4"/>
        </w:rPr>
        <w:t> </w:t>
      </w:r>
      <w:r>
        <w:rPr/>
        <w:t>ampliaciones</w:t>
      </w:r>
      <w:r>
        <w:rPr>
          <w:spacing w:val="-3"/>
        </w:rPr>
        <w:t> </w:t>
      </w:r>
      <w:r>
        <w:rPr/>
        <w:t>presupuestarias</w:t>
      </w:r>
      <w:r>
        <w:rPr>
          <w:spacing w:val="-3"/>
        </w:rPr>
        <w:t> </w:t>
      </w:r>
      <w:r>
        <w:rPr/>
        <w:t>ya</w:t>
      </w:r>
      <w:r>
        <w:rPr>
          <w:spacing w:val="-4"/>
        </w:rPr>
        <w:t> </w:t>
      </w:r>
      <w:r>
        <w:rPr/>
        <w:t>se</w:t>
      </w:r>
      <w:r>
        <w:rPr>
          <w:spacing w:val="-3"/>
        </w:rPr>
        <w:t> </w:t>
      </w:r>
      <w:r>
        <w:rPr/>
        <w:t>encuentran</w:t>
      </w:r>
      <w:r>
        <w:rPr>
          <w:spacing w:val="-5"/>
        </w:rPr>
        <w:t> </w:t>
      </w:r>
      <w:r>
        <w:rPr/>
        <w:t>computadas, aunque aún no reportan ejecución. Entre estas medidas destacadas se encuentra: subsidio al </w:t>
      </w:r>
      <w:r>
        <w:rPr>
          <w:spacing w:val="-3"/>
        </w:rPr>
        <w:t>gas </w:t>
      </w:r>
      <w:r>
        <w:rPr/>
        <w:t>propano, subsidio al diésel, gasolina regular y superior, ampliación de la tarifa social de energía eléctrica y proyectos de infraestructura vial</w:t>
      </w:r>
      <w:r>
        <w:rPr>
          <w:spacing w:val="-5"/>
        </w:rPr>
        <w:t> </w:t>
      </w:r>
      <w:r>
        <w:rPr/>
        <w:t>estratégica.</w:t>
      </w:r>
    </w:p>
    <w:p>
      <w:pPr>
        <w:pStyle w:val="BodyText"/>
        <w:spacing w:before="4"/>
        <w:rPr>
          <w:sz w:val="25"/>
        </w:rPr>
      </w:pPr>
    </w:p>
    <w:p>
      <w:pPr>
        <w:pStyle w:val="BodyText"/>
        <w:spacing w:line="276" w:lineRule="auto"/>
        <w:ind w:left="562" w:right="1697"/>
        <w:jc w:val="both"/>
      </w:pPr>
      <w:r>
        <w:rPr/>
        <w:t>A</w:t>
      </w:r>
      <w:r>
        <w:rPr>
          <w:spacing w:val="-6"/>
        </w:rPr>
        <w:t> </w:t>
      </w:r>
      <w:r>
        <w:rPr/>
        <w:t>nivel</w:t>
      </w:r>
      <w:r>
        <w:rPr>
          <w:spacing w:val="-3"/>
        </w:rPr>
        <w:t> </w:t>
      </w:r>
      <w:r>
        <w:rPr/>
        <w:t>de</w:t>
      </w:r>
      <w:r>
        <w:rPr>
          <w:spacing w:val="-4"/>
        </w:rPr>
        <w:t> </w:t>
      </w:r>
      <w:r>
        <w:rPr/>
        <w:t>rubro</w:t>
      </w:r>
      <w:r>
        <w:rPr>
          <w:spacing w:val="-6"/>
        </w:rPr>
        <w:t> </w:t>
      </w:r>
      <w:r>
        <w:rPr/>
        <w:t>de</w:t>
      </w:r>
      <w:r>
        <w:rPr>
          <w:spacing w:val="-6"/>
        </w:rPr>
        <w:t> </w:t>
      </w:r>
      <w:r>
        <w:rPr/>
        <w:t>cuenta</w:t>
      </w:r>
      <w:r>
        <w:rPr>
          <w:spacing w:val="-7"/>
        </w:rPr>
        <w:t> </w:t>
      </w:r>
      <w:r>
        <w:rPr/>
        <w:t>económica,</w:t>
      </w:r>
      <w:r>
        <w:rPr>
          <w:spacing w:val="-6"/>
        </w:rPr>
        <w:t> </w:t>
      </w:r>
      <w:r>
        <w:rPr/>
        <w:t>el</w:t>
      </w:r>
      <w:r>
        <w:rPr>
          <w:spacing w:val="-4"/>
        </w:rPr>
        <w:t> </w:t>
      </w:r>
      <w:r>
        <w:rPr/>
        <w:t>mayor</w:t>
      </w:r>
      <w:r>
        <w:rPr>
          <w:spacing w:val="-3"/>
        </w:rPr>
        <w:t> </w:t>
      </w:r>
      <w:r>
        <w:rPr/>
        <w:t>crecimiento</w:t>
      </w:r>
      <w:r>
        <w:rPr>
          <w:spacing w:val="-4"/>
        </w:rPr>
        <w:t> </w:t>
      </w:r>
      <w:r>
        <w:rPr/>
        <w:t>absoluto</w:t>
      </w:r>
      <w:r>
        <w:rPr>
          <w:spacing w:val="-7"/>
        </w:rPr>
        <w:t> </w:t>
      </w:r>
      <w:r>
        <w:rPr/>
        <w:t>se</w:t>
      </w:r>
      <w:r>
        <w:rPr>
          <w:spacing w:val="-6"/>
        </w:rPr>
        <w:t> </w:t>
      </w:r>
      <w:r>
        <w:rPr/>
        <w:t>reporta</w:t>
      </w:r>
      <w:r>
        <w:rPr>
          <w:spacing w:val="-6"/>
        </w:rPr>
        <w:t> </w:t>
      </w:r>
      <w:r>
        <w:rPr/>
        <w:t>en</w:t>
      </w:r>
      <w:r>
        <w:rPr>
          <w:spacing w:val="-4"/>
        </w:rPr>
        <w:t> </w:t>
      </w:r>
      <w:r>
        <w:rPr/>
        <w:t>las</w:t>
      </w:r>
      <w:r>
        <w:rPr>
          <w:spacing w:val="-5"/>
        </w:rPr>
        <w:t> </w:t>
      </w:r>
      <w:r>
        <w:rPr/>
        <w:t>transferencias corrientes. Estas reportan un crecimiento de 49.4%, equivalente a Q3,442.9 millones. Siendo explicadas en buena medida por las transferencias al sector privado, las cuales se encuentran creciendo</w:t>
      </w:r>
      <w:r>
        <w:rPr>
          <w:spacing w:val="-7"/>
        </w:rPr>
        <w:t> </w:t>
      </w:r>
      <w:r>
        <w:rPr/>
        <w:t>en</w:t>
      </w:r>
      <w:r>
        <w:rPr>
          <w:spacing w:val="-7"/>
        </w:rPr>
        <w:t> </w:t>
      </w:r>
      <w:r>
        <w:rPr/>
        <w:t>un</w:t>
      </w:r>
      <w:r>
        <w:rPr>
          <w:spacing w:val="-7"/>
        </w:rPr>
        <w:t> </w:t>
      </w:r>
      <w:r>
        <w:rPr/>
        <w:t>112.5%,</w:t>
      </w:r>
      <w:r>
        <w:rPr>
          <w:spacing w:val="-7"/>
        </w:rPr>
        <w:t> </w:t>
      </w:r>
      <w:r>
        <w:rPr/>
        <w:t>equivalente</w:t>
      </w:r>
      <w:r>
        <w:rPr>
          <w:spacing w:val="-7"/>
        </w:rPr>
        <w:t> </w:t>
      </w:r>
      <w:r>
        <w:rPr/>
        <w:t>a</w:t>
      </w:r>
      <w:r>
        <w:rPr>
          <w:spacing w:val="-7"/>
        </w:rPr>
        <w:t> </w:t>
      </w:r>
      <w:r>
        <w:rPr/>
        <w:t>Q2,301.1</w:t>
      </w:r>
      <w:r>
        <w:rPr>
          <w:spacing w:val="-6"/>
        </w:rPr>
        <w:t> </w:t>
      </w:r>
      <w:r>
        <w:rPr/>
        <w:t>millones,</w:t>
      </w:r>
      <w:r>
        <w:rPr>
          <w:spacing w:val="-7"/>
        </w:rPr>
        <w:t> </w:t>
      </w:r>
      <w:r>
        <w:rPr/>
        <w:t>debido</w:t>
      </w:r>
      <w:r>
        <w:rPr>
          <w:spacing w:val="-7"/>
        </w:rPr>
        <w:t> </w:t>
      </w:r>
      <w:r>
        <w:rPr/>
        <w:t>principalmente</w:t>
      </w:r>
      <w:r>
        <w:rPr>
          <w:spacing w:val="-7"/>
        </w:rPr>
        <w:t> </w:t>
      </w:r>
      <w:r>
        <w:rPr/>
        <w:t>por</w:t>
      </w:r>
      <w:r>
        <w:rPr>
          <w:spacing w:val="-6"/>
        </w:rPr>
        <w:t> </w:t>
      </w:r>
      <w:r>
        <w:rPr/>
        <w:t>los</w:t>
      </w:r>
      <w:r>
        <w:rPr>
          <w:spacing w:val="-7"/>
        </w:rPr>
        <w:t> </w:t>
      </w:r>
      <w:r>
        <w:rPr/>
        <w:t>aportes</w:t>
      </w:r>
      <w:r>
        <w:rPr>
          <w:spacing w:val="-6"/>
        </w:rPr>
        <w:t> </w:t>
      </w:r>
      <w:r>
        <w:rPr/>
        <w:t>que realizan dos Ministerios, siendo el Ministerio de Educación hacia instituciones sin fines de lucro, las cuales aumentaron Q679.0 millones, destinadas principalmente a las Organizaciones de Padres </w:t>
      </w:r>
      <w:r>
        <w:rPr>
          <w:spacing w:val="-3"/>
        </w:rPr>
        <w:t>de </w:t>
      </w:r>
      <w:r>
        <w:rPr/>
        <w:t>Familia y Consejos Educativos dirigidas al programa de apoyo para el consumo adecuado de alimentos (alimentación</w:t>
      </w:r>
      <w:r>
        <w:rPr>
          <w:spacing w:val="-1"/>
        </w:rPr>
        <w:t> </w:t>
      </w:r>
      <w:r>
        <w:rPr/>
        <w:t>escolar).</w:t>
      </w:r>
    </w:p>
    <w:p>
      <w:pPr>
        <w:pStyle w:val="BodyText"/>
        <w:spacing w:before="4"/>
        <w:rPr>
          <w:sz w:val="25"/>
        </w:rPr>
      </w:pPr>
    </w:p>
    <w:p>
      <w:pPr>
        <w:pStyle w:val="BodyText"/>
        <w:spacing w:line="276" w:lineRule="auto"/>
        <w:ind w:left="562" w:right="1697"/>
        <w:jc w:val="both"/>
      </w:pPr>
      <w:r>
        <w:rPr/>
        <w:t>Asimismo, resaltan las transferencias que realizó el Ministerio de Energía y Minas hacia empresas privadas por concepto del subsidio al gas propano y a la gasolina regular y diésel por Q1,413.6 millones, mientras que en 2021 no se reportaba ningún gasto por este concepto. Estos subsidios corresponden</w:t>
      </w:r>
      <w:r>
        <w:rPr>
          <w:spacing w:val="-6"/>
        </w:rPr>
        <w:t> </w:t>
      </w:r>
      <w:r>
        <w:rPr/>
        <w:t>a</w:t>
      </w:r>
      <w:r>
        <w:rPr>
          <w:spacing w:val="-7"/>
        </w:rPr>
        <w:t> </w:t>
      </w:r>
      <w:r>
        <w:rPr/>
        <w:t>las</w:t>
      </w:r>
      <w:r>
        <w:rPr>
          <w:spacing w:val="-4"/>
        </w:rPr>
        <w:t> </w:t>
      </w:r>
      <w:r>
        <w:rPr/>
        <w:t>medidas</w:t>
      </w:r>
      <w:r>
        <w:rPr>
          <w:spacing w:val="-7"/>
        </w:rPr>
        <w:t> </w:t>
      </w:r>
      <w:r>
        <w:rPr/>
        <w:t>temporales</w:t>
      </w:r>
      <w:r>
        <w:rPr>
          <w:spacing w:val="-6"/>
        </w:rPr>
        <w:t> </w:t>
      </w:r>
      <w:r>
        <w:rPr/>
        <w:t>de</w:t>
      </w:r>
      <w:r>
        <w:rPr>
          <w:spacing w:val="-5"/>
        </w:rPr>
        <w:t> </w:t>
      </w:r>
      <w:r>
        <w:rPr/>
        <w:t>alivio</w:t>
      </w:r>
      <w:r>
        <w:rPr>
          <w:spacing w:val="-5"/>
        </w:rPr>
        <w:t> </w:t>
      </w:r>
      <w:r>
        <w:rPr/>
        <w:t>económico</w:t>
      </w:r>
      <w:r>
        <w:rPr>
          <w:spacing w:val="-5"/>
        </w:rPr>
        <w:t> </w:t>
      </w:r>
      <w:r>
        <w:rPr/>
        <w:t>que</w:t>
      </w:r>
      <w:r>
        <w:rPr>
          <w:spacing w:val="-6"/>
        </w:rPr>
        <w:t> </w:t>
      </w:r>
      <w:r>
        <w:rPr/>
        <w:t>fueron</w:t>
      </w:r>
      <w:r>
        <w:rPr>
          <w:spacing w:val="-5"/>
        </w:rPr>
        <w:t> </w:t>
      </w:r>
      <w:r>
        <w:rPr/>
        <w:t>adoptadas</w:t>
      </w:r>
      <w:r>
        <w:rPr>
          <w:spacing w:val="-7"/>
        </w:rPr>
        <w:t> </w:t>
      </w:r>
      <w:r>
        <w:rPr/>
        <w:t>y</w:t>
      </w:r>
      <w:r>
        <w:rPr>
          <w:spacing w:val="-8"/>
        </w:rPr>
        <w:t> </w:t>
      </w:r>
      <w:r>
        <w:rPr/>
        <w:t>aprobadas</w:t>
      </w:r>
      <w:r>
        <w:rPr>
          <w:spacing w:val="-6"/>
        </w:rPr>
        <w:t> </w:t>
      </w:r>
      <w:r>
        <w:rPr/>
        <w:t>por</w:t>
      </w:r>
      <w:r>
        <w:rPr>
          <w:spacing w:val="-4"/>
        </w:rPr>
        <w:t> </w:t>
      </w:r>
      <w:r>
        <w:rPr/>
        <w:t>el Congreso de la República ante el incremento de los precios internacionales del petróleo y sus derivados producto de la guerra entre Rusia y</w:t>
      </w:r>
      <w:r>
        <w:rPr>
          <w:spacing w:val="-7"/>
        </w:rPr>
        <w:t> </w:t>
      </w:r>
      <w:r>
        <w:rPr/>
        <w:t>Ucrania.</w:t>
      </w:r>
    </w:p>
    <w:p>
      <w:pPr>
        <w:spacing w:after="0" w:line="276" w:lineRule="auto"/>
        <w:jc w:val="both"/>
        <w:sectPr>
          <w:pgSz w:w="12240" w:h="15840"/>
          <w:pgMar w:header="715" w:footer="957" w:top="1240" w:bottom="1140" w:left="1140" w:right="0"/>
        </w:sectPr>
      </w:pPr>
    </w:p>
    <w:p>
      <w:pPr>
        <w:pStyle w:val="BodyText"/>
        <w:spacing w:line="276" w:lineRule="auto" w:before="162"/>
        <w:ind w:left="562" w:right="1695"/>
        <w:jc w:val="both"/>
      </w:pPr>
      <w:r>
        <w:rPr/>
        <w:t>Es importante considerar que el subsidio a los combustibles está próximo a concluir, por lo cual las autoridades podrían tomar la decisión de ampliarlo, aunque tomando en consideración el escenario internacional de una posible reducción de la actividad económica mundial por el endurecimiento de la política monetaria en muchos países, así como ante un aumento en la producción de petróleo por parte de la OPEP, el monto del subsidio podría disminuir, ante una menor volatilidad en los precios internacionales y también tomando en consideración una menor disponibilidad de recursos de caja.</w:t>
      </w:r>
    </w:p>
    <w:p>
      <w:pPr>
        <w:pStyle w:val="BodyText"/>
        <w:spacing w:before="2"/>
        <w:rPr>
          <w:sz w:val="25"/>
        </w:rPr>
      </w:pPr>
    </w:p>
    <w:p>
      <w:pPr>
        <w:pStyle w:val="BodyText"/>
        <w:spacing w:line="276" w:lineRule="auto"/>
        <w:ind w:left="562" w:right="1696"/>
        <w:jc w:val="both"/>
      </w:pPr>
      <w:r>
        <w:rPr/>
        <w:t>Por su parte, el subsidio del gas propano se amplió en junio por medio del Decreto 33-2022 el cual contiene reformas al Decreto 17-2022 “Ley de Apoyo Social Temporal a los Consumidores de Gas Propano”,</w:t>
      </w:r>
      <w:r>
        <w:rPr>
          <w:spacing w:val="-11"/>
        </w:rPr>
        <w:t> </w:t>
      </w:r>
      <w:r>
        <w:rPr/>
        <w:t>por</w:t>
      </w:r>
      <w:r>
        <w:rPr>
          <w:spacing w:val="-11"/>
        </w:rPr>
        <w:t> </w:t>
      </w:r>
      <w:r>
        <w:rPr/>
        <w:t>lo</w:t>
      </w:r>
      <w:r>
        <w:rPr>
          <w:spacing w:val="-11"/>
        </w:rPr>
        <w:t> </w:t>
      </w:r>
      <w:r>
        <w:rPr/>
        <w:t>tanto,</w:t>
      </w:r>
      <w:r>
        <w:rPr>
          <w:spacing w:val="-12"/>
        </w:rPr>
        <w:t> </w:t>
      </w:r>
      <w:r>
        <w:rPr/>
        <w:t>el</w:t>
      </w:r>
      <w:r>
        <w:rPr>
          <w:spacing w:val="-12"/>
        </w:rPr>
        <w:t> </w:t>
      </w:r>
      <w:r>
        <w:rPr/>
        <w:t>apoyo</w:t>
      </w:r>
      <w:r>
        <w:rPr>
          <w:spacing w:val="-12"/>
        </w:rPr>
        <w:t> </w:t>
      </w:r>
      <w:r>
        <w:rPr/>
        <w:t>será</w:t>
      </w:r>
      <w:r>
        <w:rPr>
          <w:spacing w:val="-10"/>
        </w:rPr>
        <w:t> </w:t>
      </w:r>
      <w:r>
        <w:rPr/>
        <w:t>otorgado</w:t>
      </w:r>
      <w:r>
        <w:rPr>
          <w:spacing w:val="-11"/>
        </w:rPr>
        <w:t> </w:t>
      </w:r>
      <w:r>
        <w:rPr/>
        <w:t>por</w:t>
      </w:r>
      <w:r>
        <w:rPr>
          <w:spacing w:val="-13"/>
        </w:rPr>
        <w:t> </w:t>
      </w:r>
      <w:r>
        <w:rPr/>
        <w:t>dos</w:t>
      </w:r>
      <w:r>
        <w:rPr>
          <w:spacing w:val="-14"/>
        </w:rPr>
        <w:t> </w:t>
      </w:r>
      <w:r>
        <w:rPr/>
        <w:t>meses</w:t>
      </w:r>
      <w:r>
        <w:rPr>
          <w:spacing w:val="-10"/>
        </w:rPr>
        <w:t> </w:t>
      </w:r>
      <w:r>
        <w:rPr/>
        <w:t>más,</w:t>
      </w:r>
      <w:r>
        <w:rPr>
          <w:spacing w:val="-12"/>
        </w:rPr>
        <w:t> </w:t>
      </w:r>
      <w:r>
        <w:rPr/>
        <w:t>ampliando</w:t>
      </w:r>
      <w:r>
        <w:rPr>
          <w:spacing w:val="-10"/>
        </w:rPr>
        <w:t> </w:t>
      </w:r>
      <w:r>
        <w:rPr/>
        <w:t>el</w:t>
      </w:r>
      <w:r>
        <w:rPr>
          <w:spacing w:val="-11"/>
        </w:rPr>
        <w:t> </w:t>
      </w:r>
      <w:r>
        <w:rPr/>
        <w:t>presupuesto</w:t>
      </w:r>
      <w:r>
        <w:rPr>
          <w:spacing w:val="-13"/>
        </w:rPr>
        <w:t> </w:t>
      </w:r>
      <w:r>
        <w:rPr/>
        <w:t>en</w:t>
      </w:r>
      <w:r>
        <w:rPr>
          <w:spacing w:val="-11"/>
        </w:rPr>
        <w:t> </w:t>
      </w:r>
      <w:r>
        <w:rPr/>
        <w:t>Q70.0 millones, adicionales a lo aprobado anteriormente (Q150.0</w:t>
      </w:r>
      <w:r>
        <w:rPr>
          <w:spacing w:val="-10"/>
        </w:rPr>
        <w:t> </w:t>
      </w:r>
      <w:r>
        <w:rPr/>
        <w:t>millones).</w:t>
      </w:r>
    </w:p>
    <w:p>
      <w:pPr>
        <w:pStyle w:val="BodyText"/>
        <w:spacing w:before="4"/>
        <w:rPr>
          <w:sz w:val="25"/>
        </w:rPr>
      </w:pPr>
    </w:p>
    <w:p>
      <w:pPr>
        <w:pStyle w:val="BodyText"/>
        <w:spacing w:line="276" w:lineRule="auto"/>
        <w:ind w:left="562" w:right="1699"/>
        <w:jc w:val="both"/>
      </w:pPr>
      <w:r>
        <w:rPr/>
        <w:t>Derivado</w:t>
      </w:r>
      <w:r>
        <w:rPr>
          <w:spacing w:val="-3"/>
        </w:rPr>
        <w:t> </w:t>
      </w:r>
      <w:r>
        <w:rPr/>
        <w:t>de</w:t>
      </w:r>
      <w:r>
        <w:rPr>
          <w:spacing w:val="-6"/>
        </w:rPr>
        <w:t> </w:t>
      </w:r>
      <w:r>
        <w:rPr/>
        <w:t>esto,</w:t>
      </w:r>
      <w:r>
        <w:rPr>
          <w:spacing w:val="-6"/>
        </w:rPr>
        <w:t> </w:t>
      </w:r>
      <w:r>
        <w:rPr/>
        <w:t>las</w:t>
      </w:r>
      <w:r>
        <w:rPr>
          <w:spacing w:val="-5"/>
        </w:rPr>
        <w:t> </w:t>
      </w:r>
      <w:r>
        <w:rPr/>
        <w:t>transferencias</w:t>
      </w:r>
      <w:r>
        <w:rPr>
          <w:spacing w:val="-3"/>
        </w:rPr>
        <w:t> </w:t>
      </w:r>
      <w:r>
        <w:rPr/>
        <w:t>corrientes</w:t>
      </w:r>
      <w:r>
        <w:rPr>
          <w:spacing w:val="-5"/>
        </w:rPr>
        <w:t> </w:t>
      </w:r>
      <w:r>
        <w:rPr/>
        <w:t>al</w:t>
      </w:r>
      <w:r>
        <w:rPr>
          <w:spacing w:val="-5"/>
        </w:rPr>
        <w:t> </w:t>
      </w:r>
      <w:r>
        <w:rPr/>
        <w:t>sector</w:t>
      </w:r>
      <w:r>
        <w:rPr>
          <w:spacing w:val="-5"/>
        </w:rPr>
        <w:t> </w:t>
      </w:r>
      <w:r>
        <w:rPr/>
        <w:t>privado</w:t>
      </w:r>
      <w:r>
        <w:rPr>
          <w:spacing w:val="-3"/>
        </w:rPr>
        <w:t> </w:t>
      </w:r>
      <w:r>
        <w:rPr/>
        <w:t>sería</w:t>
      </w:r>
      <w:r>
        <w:rPr>
          <w:spacing w:val="-2"/>
        </w:rPr>
        <w:t> </w:t>
      </w:r>
      <w:r>
        <w:rPr/>
        <w:t>el</w:t>
      </w:r>
      <w:r>
        <w:rPr>
          <w:spacing w:val="-3"/>
        </w:rPr>
        <w:t> </w:t>
      </w:r>
      <w:r>
        <w:rPr/>
        <w:t>rubro</w:t>
      </w:r>
      <w:r>
        <w:rPr>
          <w:spacing w:val="-6"/>
        </w:rPr>
        <w:t> </w:t>
      </w:r>
      <w:r>
        <w:rPr/>
        <w:t>del</w:t>
      </w:r>
      <w:r>
        <w:rPr>
          <w:spacing w:val="-3"/>
        </w:rPr>
        <w:t> </w:t>
      </w:r>
      <w:r>
        <w:rPr/>
        <w:t>gasto</w:t>
      </w:r>
      <w:r>
        <w:rPr>
          <w:spacing w:val="-6"/>
        </w:rPr>
        <w:t> </w:t>
      </w:r>
      <w:r>
        <w:rPr/>
        <w:t>que</w:t>
      </w:r>
      <w:r>
        <w:rPr>
          <w:spacing w:val="-6"/>
        </w:rPr>
        <w:t> </w:t>
      </w:r>
      <w:r>
        <w:rPr/>
        <w:t>tendría</w:t>
      </w:r>
      <w:r>
        <w:rPr>
          <w:spacing w:val="-3"/>
        </w:rPr>
        <w:t> </w:t>
      </w:r>
      <w:r>
        <w:rPr/>
        <w:t>el mayor crecimiento interanual, con el riesgo de que dicho apoyo a la economía familiar de los guatemaltecos continué si las condiciones internacionales y financieras del gobierno así lo</w:t>
      </w:r>
      <w:r>
        <w:rPr>
          <w:spacing w:val="-31"/>
        </w:rPr>
        <w:t> </w:t>
      </w:r>
      <w:r>
        <w:rPr/>
        <w:t>ameritan.</w:t>
      </w:r>
    </w:p>
    <w:p>
      <w:pPr>
        <w:pStyle w:val="BodyText"/>
        <w:spacing w:before="4"/>
        <w:rPr>
          <w:sz w:val="25"/>
        </w:rPr>
      </w:pPr>
    </w:p>
    <w:p>
      <w:pPr>
        <w:pStyle w:val="BodyText"/>
        <w:spacing w:line="276" w:lineRule="auto"/>
        <w:ind w:left="562" w:right="1695"/>
        <w:jc w:val="both"/>
      </w:pPr>
      <w:r>
        <w:rPr/>
        <w:t>Del</w:t>
      </w:r>
      <w:r>
        <w:rPr>
          <w:spacing w:val="-11"/>
        </w:rPr>
        <w:t> </w:t>
      </w:r>
      <w:r>
        <w:rPr/>
        <w:t>lado</w:t>
      </w:r>
      <w:r>
        <w:rPr>
          <w:spacing w:val="-10"/>
        </w:rPr>
        <w:t> </w:t>
      </w:r>
      <w:r>
        <w:rPr/>
        <w:t>de</w:t>
      </w:r>
      <w:r>
        <w:rPr>
          <w:spacing w:val="-10"/>
        </w:rPr>
        <w:t> </w:t>
      </w:r>
      <w:r>
        <w:rPr/>
        <w:t>las</w:t>
      </w:r>
      <w:r>
        <w:rPr>
          <w:spacing w:val="-13"/>
        </w:rPr>
        <w:t> </w:t>
      </w:r>
      <w:r>
        <w:rPr/>
        <w:t>transferencias</w:t>
      </w:r>
      <w:r>
        <w:rPr>
          <w:spacing w:val="-10"/>
        </w:rPr>
        <w:t> </w:t>
      </w:r>
      <w:r>
        <w:rPr/>
        <w:t>hacia</w:t>
      </w:r>
      <w:r>
        <w:rPr>
          <w:spacing w:val="-10"/>
        </w:rPr>
        <w:t> </w:t>
      </w:r>
      <w:r>
        <w:rPr/>
        <w:t>el</w:t>
      </w:r>
      <w:r>
        <w:rPr>
          <w:spacing w:val="-10"/>
        </w:rPr>
        <w:t> </w:t>
      </w:r>
      <w:r>
        <w:rPr/>
        <w:t>sector</w:t>
      </w:r>
      <w:r>
        <w:rPr>
          <w:spacing w:val="-10"/>
        </w:rPr>
        <w:t> </w:t>
      </w:r>
      <w:r>
        <w:rPr/>
        <w:t>público,</w:t>
      </w:r>
      <w:r>
        <w:rPr>
          <w:spacing w:val="-10"/>
        </w:rPr>
        <w:t> </w:t>
      </w:r>
      <w:r>
        <w:rPr/>
        <w:t>se</w:t>
      </w:r>
      <w:r>
        <w:rPr>
          <w:spacing w:val="-10"/>
        </w:rPr>
        <w:t> </w:t>
      </w:r>
      <w:r>
        <w:rPr/>
        <w:t>reporta</w:t>
      </w:r>
      <w:r>
        <w:rPr>
          <w:spacing w:val="-10"/>
        </w:rPr>
        <w:t> </w:t>
      </w:r>
      <w:r>
        <w:rPr/>
        <w:t>un</w:t>
      </w:r>
      <w:r>
        <w:rPr>
          <w:spacing w:val="-11"/>
        </w:rPr>
        <w:t> </w:t>
      </w:r>
      <w:r>
        <w:rPr/>
        <w:t>crecimiento</w:t>
      </w:r>
      <w:r>
        <w:rPr>
          <w:spacing w:val="-11"/>
        </w:rPr>
        <w:t> </w:t>
      </w:r>
      <w:r>
        <w:rPr/>
        <w:t>de</w:t>
      </w:r>
      <w:r>
        <w:rPr>
          <w:spacing w:val="-10"/>
        </w:rPr>
        <w:t> </w:t>
      </w:r>
      <w:r>
        <w:rPr/>
        <w:t>23.4%,</w:t>
      </w:r>
      <w:r>
        <w:rPr>
          <w:spacing w:val="-11"/>
        </w:rPr>
        <w:t> </w:t>
      </w:r>
      <w:r>
        <w:rPr/>
        <w:t>equivalente a Q1,143.0 millones. Se reporta un crecimiento importante en el aporte que recibe el Ministerio Público (Q620.0 millones), Organismo Judicial (Q232.2 millones), Tribunal Supremo Electoral (Q202.0 millones), dentro del Presupuesto Aprobado se considera aparte del aporte institucional y el aporte de deuda política, Q500 millones para el financiamiento de las Elecciones Generales del próximo año, por lo tanto las transferencias hacia el TSE crecerían de forma importante en este ejercicio, y Congreso de la República (Q95.6 millones) e INDE (Q60</w:t>
      </w:r>
      <w:r>
        <w:rPr>
          <w:spacing w:val="-13"/>
        </w:rPr>
        <w:t> </w:t>
      </w:r>
      <w:r>
        <w:rPr/>
        <w:t>millones).</w:t>
      </w:r>
    </w:p>
    <w:p>
      <w:pPr>
        <w:pStyle w:val="BodyText"/>
        <w:spacing w:before="4"/>
        <w:rPr>
          <w:sz w:val="25"/>
        </w:rPr>
      </w:pPr>
    </w:p>
    <w:p>
      <w:pPr>
        <w:pStyle w:val="BodyText"/>
        <w:spacing w:line="276" w:lineRule="auto"/>
        <w:ind w:left="562" w:right="1699"/>
        <w:jc w:val="both"/>
      </w:pPr>
      <w:r>
        <w:rPr/>
        <w:t>En el rubro de las transferencias de capital se reporta un aumento de Q1,049.8 millones, con un crecimiento interanual de 21.1%, explicado por el alza en las transferencias que corresponden a las municipalidades, las cuales aumentaron en Q602.6 millones, mientras que las transferencias a los Consejos de Desarrollo Urbano y Rural aumentaron Q230.6 millones.</w:t>
      </w:r>
    </w:p>
    <w:p>
      <w:pPr>
        <w:pStyle w:val="BodyText"/>
        <w:spacing w:before="4"/>
        <w:rPr>
          <w:sz w:val="25"/>
        </w:rPr>
      </w:pPr>
    </w:p>
    <w:p>
      <w:pPr>
        <w:pStyle w:val="BodyText"/>
        <w:spacing w:line="276" w:lineRule="auto"/>
        <w:ind w:left="562" w:right="1697"/>
        <w:jc w:val="both"/>
      </w:pPr>
      <w:r>
        <w:rPr/>
        <w:t>Por</w:t>
      </w:r>
      <w:r>
        <w:rPr>
          <w:spacing w:val="-4"/>
        </w:rPr>
        <w:t> </w:t>
      </w:r>
      <w:r>
        <w:rPr/>
        <w:t>su</w:t>
      </w:r>
      <w:r>
        <w:rPr>
          <w:spacing w:val="-7"/>
        </w:rPr>
        <w:t> </w:t>
      </w:r>
      <w:r>
        <w:rPr/>
        <w:t>parte,</w:t>
      </w:r>
      <w:r>
        <w:rPr>
          <w:spacing w:val="-4"/>
        </w:rPr>
        <w:t> </w:t>
      </w:r>
      <w:r>
        <w:rPr/>
        <w:t>las</w:t>
      </w:r>
      <w:r>
        <w:rPr>
          <w:spacing w:val="-6"/>
        </w:rPr>
        <w:t> </w:t>
      </w:r>
      <w:r>
        <w:rPr/>
        <w:t>remuneraciones</w:t>
      </w:r>
      <w:r>
        <w:rPr>
          <w:spacing w:val="-6"/>
        </w:rPr>
        <w:t> </w:t>
      </w:r>
      <w:r>
        <w:rPr/>
        <w:t>reportan</w:t>
      </w:r>
      <w:r>
        <w:rPr>
          <w:spacing w:val="-4"/>
        </w:rPr>
        <w:t> </w:t>
      </w:r>
      <w:r>
        <w:rPr/>
        <w:t>un</w:t>
      </w:r>
      <w:r>
        <w:rPr>
          <w:spacing w:val="-5"/>
        </w:rPr>
        <w:t> </w:t>
      </w:r>
      <w:r>
        <w:rPr/>
        <w:t>aumento</w:t>
      </w:r>
      <w:r>
        <w:rPr>
          <w:spacing w:val="-7"/>
        </w:rPr>
        <w:t> </w:t>
      </w:r>
      <w:r>
        <w:rPr/>
        <w:t>de</w:t>
      </w:r>
      <w:r>
        <w:rPr>
          <w:spacing w:val="-4"/>
        </w:rPr>
        <w:t> </w:t>
      </w:r>
      <w:r>
        <w:rPr/>
        <w:t>Q670.0</w:t>
      </w:r>
      <w:r>
        <w:rPr>
          <w:spacing w:val="-2"/>
        </w:rPr>
        <w:t> </w:t>
      </w:r>
      <w:r>
        <w:rPr/>
        <w:t>millones</w:t>
      </w:r>
      <w:r>
        <w:rPr>
          <w:spacing w:val="-7"/>
        </w:rPr>
        <w:t> </w:t>
      </w:r>
      <w:r>
        <w:rPr/>
        <w:t>(crecimiento</w:t>
      </w:r>
      <w:r>
        <w:rPr>
          <w:spacing w:val="-7"/>
        </w:rPr>
        <w:t> </w:t>
      </w:r>
      <w:r>
        <w:rPr/>
        <w:t>interanual</w:t>
      </w:r>
      <w:r>
        <w:rPr>
          <w:spacing w:val="-4"/>
        </w:rPr>
        <w:t> </w:t>
      </w:r>
      <w:r>
        <w:rPr/>
        <w:t>de 5.1%). El cual se concentra en el Ministerio de Educación, específicamente en el complemento específicos</w:t>
      </w:r>
      <w:r>
        <w:rPr>
          <w:spacing w:val="-11"/>
        </w:rPr>
        <w:t> </w:t>
      </w:r>
      <w:r>
        <w:rPr/>
        <w:t>al</w:t>
      </w:r>
      <w:r>
        <w:rPr>
          <w:spacing w:val="-11"/>
        </w:rPr>
        <w:t> </w:t>
      </w:r>
      <w:r>
        <w:rPr/>
        <w:t>personal</w:t>
      </w:r>
      <w:r>
        <w:rPr>
          <w:spacing w:val="-11"/>
        </w:rPr>
        <w:t> </w:t>
      </w:r>
      <w:r>
        <w:rPr/>
        <w:t>permanente</w:t>
      </w:r>
      <w:r>
        <w:rPr>
          <w:spacing w:val="-9"/>
        </w:rPr>
        <w:t> </w:t>
      </w:r>
      <w:r>
        <w:rPr/>
        <w:t>con</w:t>
      </w:r>
      <w:r>
        <w:rPr>
          <w:spacing w:val="-9"/>
        </w:rPr>
        <w:t> </w:t>
      </w:r>
      <w:r>
        <w:rPr/>
        <w:t>un</w:t>
      </w:r>
      <w:r>
        <w:rPr>
          <w:spacing w:val="-12"/>
        </w:rPr>
        <w:t> </w:t>
      </w:r>
      <w:r>
        <w:rPr/>
        <w:t>aumento</w:t>
      </w:r>
      <w:r>
        <w:rPr>
          <w:spacing w:val="-12"/>
        </w:rPr>
        <w:t> </w:t>
      </w:r>
      <w:r>
        <w:rPr/>
        <w:t>de</w:t>
      </w:r>
      <w:r>
        <w:rPr>
          <w:spacing w:val="-11"/>
        </w:rPr>
        <w:t> </w:t>
      </w:r>
      <w:r>
        <w:rPr/>
        <w:t>Q267.2</w:t>
      </w:r>
      <w:r>
        <w:rPr>
          <w:spacing w:val="-10"/>
        </w:rPr>
        <w:t> </w:t>
      </w:r>
      <w:r>
        <w:rPr/>
        <w:t>millones</w:t>
      </w:r>
      <w:r>
        <w:rPr>
          <w:spacing w:val="-9"/>
        </w:rPr>
        <w:t> </w:t>
      </w:r>
      <w:r>
        <w:rPr/>
        <w:t>y</w:t>
      </w:r>
      <w:r>
        <w:rPr>
          <w:spacing w:val="-12"/>
        </w:rPr>
        <w:t> </w:t>
      </w:r>
      <w:r>
        <w:rPr/>
        <w:t>los</w:t>
      </w:r>
      <w:r>
        <w:rPr>
          <w:spacing w:val="-9"/>
        </w:rPr>
        <w:t> </w:t>
      </w:r>
      <w:r>
        <w:rPr/>
        <w:t>derechos</w:t>
      </w:r>
      <w:r>
        <w:rPr>
          <w:spacing w:val="-10"/>
        </w:rPr>
        <w:t> </w:t>
      </w:r>
      <w:r>
        <w:rPr/>
        <w:t>escalafonarios con</w:t>
      </w:r>
      <w:r>
        <w:rPr>
          <w:spacing w:val="-3"/>
        </w:rPr>
        <w:t> </w:t>
      </w:r>
      <w:r>
        <w:rPr/>
        <w:t>un</w:t>
      </w:r>
      <w:r>
        <w:rPr>
          <w:spacing w:val="-5"/>
        </w:rPr>
        <w:t> </w:t>
      </w:r>
      <w:r>
        <w:rPr/>
        <w:t>aumento</w:t>
      </w:r>
      <w:r>
        <w:rPr>
          <w:spacing w:val="-6"/>
        </w:rPr>
        <w:t> </w:t>
      </w:r>
      <w:r>
        <w:rPr/>
        <w:t>de</w:t>
      </w:r>
      <w:r>
        <w:rPr>
          <w:spacing w:val="-2"/>
        </w:rPr>
        <w:t> </w:t>
      </w:r>
      <w:r>
        <w:rPr/>
        <w:t>Q121.3</w:t>
      </w:r>
      <w:r>
        <w:rPr>
          <w:spacing w:val="-5"/>
        </w:rPr>
        <w:t> </w:t>
      </w:r>
      <w:r>
        <w:rPr/>
        <w:t>millones,</w:t>
      </w:r>
      <w:r>
        <w:rPr>
          <w:spacing w:val="-6"/>
        </w:rPr>
        <w:t> </w:t>
      </w:r>
      <w:r>
        <w:rPr/>
        <w:t>dichos</w:t>
      </w:r>
      <w:r>
        <w:rPr>
          <w:spacing w:val="-4"/>
        </w:rPr>
        <w:t> </w:t>
      </w:r>
      <w:r>
        <w:rPr/>
        <w:t>aumentos</w:t>
      </w:r>
      <w:r>
        <w:rPr>
          <w:spacing w:val="-8"/>
        </w:rPr>
        <w:t> </w:t>
      </w:r>
      <w:r>
        <w:rPr/>
        <w:t>responden</w:t>
      </w:r>
      <w:r>
        <w:rPr>
          <w:spacing w:val="-5"/>
        </w:rPr>
        <w:t> </w:t>
      </w:r>
      <w:r>
        <w:rPr/>
        <w:t>al</w:t>
      </w:r>
      <w:r>
        <w:rPr>
          <w:spacing w:val="-4"/>
        </w:rPr>
        <w:t> </w:t>
      </w:r>
      <w:r>
        <w:rPr/>
        <w:t>pacto</w:t>
      </w:r>
      <w:r>
        <w:rPr>
          <w:spacing w:val="-6"/>
        </w:rPr>
        <w:t> </w:t>
      </w:r>
      <w:r>
        <w:rPr/>
        <w:t>colectivo</w:t>
      </w:r>
      <w:r>
        <w:rPr>
          <w:spacing w:val="-3"/>
        </w:rPr>
        <w:t> </w:t>
      </w:r>
      <w:r>
        <w:rPr/>
        <w:t>negociado</w:t>
      </w:r>
      <w:r>
        <w:rPr>
          <w:spacing w:val="-5"/>
        </w:rPr>
        <w:t> </w:t>
      </w:r>
      <w:r>
        <w:rPr/>
        <w:t>con</w:t>
      </w:r>
      <w:r>
        <w:rPr>
          <w:spacing w:val="-6"/>
        </w:rPr>
        <w:t> </w:t>
      </w:r>
      <w:r>
        <w:rPr/>
        <w:t>el magisterio. Por el lado de las Obligaciones del Tesoro, se reporta un aumento de Q101.5 millones correspondientes al aporte patronal que se realiza al</w:t>
      </w:r>
      <w:r>
        <w:rPr>
          <w:spacing w:val="-5"/>
        </w:rPr>
        <w:t> </w:t>
      </w:r>
      <w:r>
        <w:rPr/>
        <w:t>IGSS.</w:t>
      </w:r>
    </w:p>
    <w:p>
      <w:pPr>
        <w:pStyle w:val="BodyText"/>
        <w:spacing w:before="4"/>
        <w:rPr>
          <w:sz w:val="25"/>
        </w:rPr>
      </w:pPr>
    </w:p>
    <w:p>
      <w:pPr>
        <w:pStyle w:val="BodyText"/>
        <w:spacing w:line="276" w:lineRule="auto"/>
        <w:ind w:left="562" w:right="1697"/>
        <w:jc w:val="both"/>
      </w:pPr>
      <w:r>
        <w:rPr/>
        <w:t>En</w:t>
      </w:r>
      <w:r>
        <w:rPr>
          <w:spacing w:val="-5"/>
        </w:rPr>
        <w:t> </w:t>
      </w:r>
      <w:r>
        <w:rPr/>
        <w:t>la</w:t>
      </w:r>
      <w:r>
        <w:rPr>
          <w:spacing w:val="-7"/>
        </w:rPr>
        <w:t> </w:t>
      </w:r>
      <w:r>
        <w:rPr/>
        <w:t>inversión</w:t>
      </w:r>
      <w:r>
        <w:rPr>
          <w:spacing w:val="-4"/>
        </w:rPr>
        <w:t> </w:t>
      </w:r>
      <w:r>
        <w:rPr/>
        <w:t>real</w:t>
      </w:r>
      <w:r>
        <w:rPr>
          <w:spacing w:val="-4"/>
        </w:rPr>
        <w:t> </w:t>
      </w:r>
      <w:r>
        <w:rPr/>
        <w:t>directa</w:t>
      </w:r>
      <w:r>
        <w:rPr>
          <w:spacing w:val="-4"/>
        </w:rPr>
        <w:t> </w:t>
      </w:r>
      <w:r>
        <w:rPr/>
        <w:t>se</w:t>
      </w:r>
      <w:r>
        <w:rPr>
          <w:spacing w:val="-7"/>
        </w:rPr>
        <w:t> </w:t>
      </w:r>
      <w:r>
        <w:rPr/>
        <w:t>reporta</w:t>
      </w:r>
      <w:r>
        <w:rPr>
          <w:spacing w:val="-6"/>
        </w:rPr>
        <w:t> </w:t>
      </w:r>
      <w:r>
        <w:rPr/>
        <w:t>un</w:t>
      </w:r>
      <w:r>
        <w:rPr>
          <w:spacing w:val="-7"/>
        </w:rPr>
        <w:t> </w:t>
      </w:r>
      <w:r>
        <w:rPr/>
        <w:t>aumento</w:t>
      </w:r>
      <w:r>
        <w:rPr>
          <w:spacing w:val="-4"/>
        </w:rPr>
        <w:t> </w:t>
      </w:r>
      <w:r>
        <w:rPr/>
        <w:t>de</w:t>
      </w:r>
      <w:r>
        <w:rPr>
          <w:spacing w:val="-4"/>
        </w:rPr>
        <w:t> </w:t>
      </w:r>
      <w:r>
        <w:rPr/>
        <w:t>Q318.5</w:t>
      </w:r>
      <w:r>
        <w:rPr>
          <w:spacing w:val="-5"/>
        </w:rPr>
        <w:t> </w:t>
      </w:r>
      <w:r>
        <w:rPr/>
        <w:t>millones</w:t>
      </w:r>
      <w:r>
        <w:rPr>
          <w:spacing w:val="-5"/>
        </w:rPr>
        <w:t> </w:t>
      </w:r>
      <w:r>
        <w:rPr/>
        <w:t>y</w:t>
      </w:r>
      <w:r>
        <w:rPr>
          <w:spacing w:val="-7"/>
        </w:rPr>
        <w:t> </w:t>
      </w:r>
      <w:r>
        <w:rPr/>
        <w:t>un</w:t>
      </w:r>
      <w:r>
        <w:rPr>
          <w:spacing w:val="-4"/>
        </w:rPr>
        <w:t> </w:t>
      </w:r>
      <w:r>
        <w:rPr/>
        <w:t>crecimiento</w:t>
      </w:r>
      <w:r>
        <w:rPr>
          <w:spacing w:val="-7"/>
        </w:rPr>
        <w:t> </w:t>
      </w:r>
      <w:r>
        <w:rPr/>
        <w:t>interanual</w:t>
      </w:r>
      <w:r>
        <w:rPr>
          <w:spacing w:val="-5"/>
        </w:rPr>
        <w:t> </w:t>
      </w:r>
      <w:r>
        <w:rPr/>
        <w:t>de Q22.3%, la entidad que más suma en este aumento es el Ministerio de Comunicaciones, Infraestructura y Vivienda con Q97.5 millones, que corresponde en su mayoría a la construcción de bienes</w:t>
      </w:r>
      <w:r>
        <w:rPr>
          <w:spacing w:val="-15"/>
        </w:rPr>
        <w:t> </w:t>
      </w:r>
      <w:r>
        <w:rPr/>
        <w:t>nacionales</w:t>
      </w:r>
      <w:r>
        <w:rPr>
          <w:spacing w:val="-16"/>
        </w:rPr>
        <w:t> </w:t>
      </w:r>
      <w:r>
        <w:rPr/>
        <w:t>de</w:t>
      </w:r>
      <w:r>
        <w:rPr>
          <w:spacing w:val="-14"/>
        </w:rPr>
        <w:t> </w:t>
      </w:r>
      <w:r>
        <w:rPr/>
        <w:t>uso</w:t>
      </w:r>
      <w:r>
        <w:rPr>
          <w:spacing w:val="-14"/>
        </w:rPr>
        <w:t> </w:t>
      </w:r>
      <w:r>
        <w:rPr/>
        <w:t>no</w:t>
      </w:r>
      <w:r>
        <w:rPr>
          <w:spacing w:val="-19"/>
        </w:rPr>
        <w:t> </w:t>
      </w:r>
      <w:r>
        <w:rPr/>
        <w:t>común</w:t>
      </w:r>
      <w:r>
        <w:rPr>
          <w:spacing w:val="-14"/>
        </w:rPr>
        <w:t> </w:t>
      </w:r>
      <w:r>
        <w:rPr/>
        <w:t>entre</w:t>
      </w:r>
      <w:r>
        <w:rPr>
          <w:spacing w:val="-14"/>
        </w:rPr>
        <w:t> </w:t>
      </w:r>
      <w:r>
        <w:rPr/>
        <w:t>las</w:t>
      </w:r>
      <w:r>
        <w:rPr>
          <w:spacing w:val="-15"/>
        </w:rPr>
        <w:t> </w:t>
      </w:r>
      <w:r>
        <w:rPr/>
        <w:t>que</w:t>
      </w:r>
      <w:r>
        <w:rPr>
          <w:spacing w:val="-14"/>
        </w:rPr>
        <w:t> </w:t>
      </w:r>
      <w:r>
        <w:rPr/>
        <w:t>se</w:t>
      </w:r>
      <w:r>
        <w:rPr>
          <w:spacing w:val="-14"/>
        </w:rPr>
        <w:t> </w:t>
      </w:r>
      <w:r>
        <w:rPr/>
        <w:t>encuentra</w:t>
      </w:r>
      <w:r>
        <w:rPr>
          <w:spacing w:val="-14"/>
        </w:rPr>
        <w:t> </w:t>
      </w:r>
      <w:r>
        <w:rPr/>
        <w:t>escuelas,</w:t>
      </w:r>
      <w:r>
        <w:rPr>
          <w:spacing w:val="-14"/>
        </w:rPr>
        <w:t> </w:t>
      </w:r>
      <w:r>
        <w:rPr/>
        <w:t>hospitales,</w:t>
      </w:r>
      <w:r>
        <w:rPr>
          <w:spacing w:val="-17"/>
        </w:rPr>
        <w:t> </w:t>
      </w:r>
      <w:r>
        <w:rPr/>
        <w:t>viviendas,</w:t>
      </w:r>
      <w:r>
        <w:rPr>
          <w:spacing w:val="-14"/>
        </w:rPr>
        <w:t> </w:t>
      </w:r>
      <w:r>
        <w:rPr/>
        <w:t>edificios para oficinas, entre otros. Por su parte, el Ministerio de Desarrollo Social reporta un aumento </w:t>
      </w:r>
      <w:r>
        <w:rPr>
          <w:spacing w:val="-3"/>
        </w:rPr>
        <w:t>de </w:t>
      </w:r>
      <w:r>
        <w:rPr/>
        <w:t>Q70.4</w:t>
      </w:r>
      <w:r>
        <w:rPr>
          <w:spacing w:val="-7"/>
        </w:rPr>
        <w:t> </w:t>
      </w:r>
      <w:r>
        <w:rPr/>
        <w:t>millones,</w:t>
      </w:r>
      <w:r>
        <w:rPr>
          <w:spacing w:val="-6"/>
        </w:rPr>
        <w:t> </w:t>
      </w:r>
      <w:r>
        <w:rPr/>
        <w:t>explicado</w:t>
      </w:r>
      <w:r>
        <w:rPr>
          <w:spacing w:val="-9"/>
        </w:rPr>
        <w:t> </w:t>
      </w:r>
      <w:r>
        <w:rPr/>
        <w:t>principalmente</w:t>
      </w:r>
      <w:r>
        <w:rPr>
          <w:spacing w:val="-7"/>
        </w:rPr>
        <w:t> </w:t>
      </w:r>
      <w:r>
        <w:rPr/>
        <w:t>por</w:t>
      </w:r>
      <w:r>
        <w:rPr>
          <w:spacing w:val="-8"/>
        </w:rPr>
        <w:t> </w:t>
      </w:r>
      <w:r>
        <w:rPr/>
        <w:t>el</w:t>
      </w:r>
      <w:r>
        <w:rPr>
          <w:spacing w:val="-7"/>
        </w:rPr>
        <w:t> </w:t>
      </w:r>
      <w:r>
        <w:rPr/>
        <w:t>rubro</w:t>
      </w:r>
      <w:r>
        <w:rPr>
          <w:spacing w:val="-5"/>
        </w:rPr>
        <w:t> </w:t>
      </w:r>
      <w:r>
        <w:rPr/>
        <w:t>de</w:t>
      </w:r>
      <w:r>
        <w:rPr>
          <w:spacing w:val="-7"/>
        </w:rPr>
        <w:t> </w:t>
      </w:r>
      <w:r>
        <w:rPr/>
        <w:t>construcciones</w:t>
      </w:r>
      <w:r>
        <w:rPr>
          <w:spacing w:val="-6"/>
        </w:rPr>
        <w:t> </w:t>
      </w:r>
      <w:r>
        <w:rPr/>
        <w:t>de</w:t>
      </w:r>
      <w:r>
        <w:rPr>
          <w:spacing w:val="-8"/>
        </w:rPr>
        <w:t> </w:t>
      </w:r>
      <w:r>
        <w:rPr/>
        <w:t>bienes</w:t>
      </w:r>
      <w:r>
        <w:rPr>
          <w:spacing w:val="-8"/>
        </w:rPr>
        <w:t> </w:t>
      </w:r>
      <w:r>
        <w:rPr/>
        <w:t>nacionales</w:t>
      </w:r>
      <w:r>
        <w:rPr>
          <w:spacing w:val="-6"/>
        </w:rPr>
        <w:t> </w:t>
      </w:r>
      <w:r>
        <w:rPr/>
        <w:t>de</w:t>
      </w:r>
      <w:r>
        <w:rPr>
          <w:spacing w:val="-6"/>
        </w:rPr>
        <w:t> </w:t>
      </w:r>
      <w:r>
        <w:rPr/>
        <w:t>uso común</w:t>
      </w:r>
      <w:r>
        <w:rPr>
          <w:spacing w:val="-5"/>
        </w:rPr>
        <w:t> </w:t>
      </w:r>
      <w:r>
        <w:rPr/>
        <w:t>entre</w:t>
      </w:r>
      <w:r>
        <w:rPr>
          <w:spacing w:val="-6"/>
        </w:rPr>
        <w:t> </w:t>
      </w:r>
      <w:r>
        <w:rPr/>
        <w:t>las</w:t>
      </w:r>
      <w:r>
        <w:rPr>
          <w:spacing w:val="-4"/>
        </w:rPr>
        <w:t> </w:t>
      </w:r>
      <w:r>
        <w:rPr/>
        <w:t>que</w:t>
      </w:r>
      <w:r>
        <w:rPr>
          <w:spacing w:val="-6"/>
        </w:rPr>
        <w:t> </w:t>
      </w:r>
      <w:r>
        <w:rPr/>
        <w:t>se</w:t>
      </w:r>
      <w:r>
        <w:rPr>
          <w:spacing w:val="-6"/>
        </w:rPr>
        <w:t> </w:t>
      </w:r>
      <w:r>
        <w:rPr/>
        <w:t>encuentra</w:t>
      </w:r>
      <w:r>
        <w:rPr>
          <w:spacing w:val="-4"/>
        </w:rPr>
        <w:t> </w:t>
      </w:r>
      <w:r>
        <w:rPr/>
        <w:t>el</w:t>
      </w:r>
      <w:r>
        <w:rPr>
          <w:spacing w:val="-3"/>
        </w:rPr>
        <w:t> </w:t>
      </w:r>
      <w:r>
        <w:rPr/>
        <w:t>mejoramiento</w:t>
      </w:r>
      <w:r>
        <w:rPr>
          <w:spacing w:val="-5"/>
        </w:rPr>
        <w:t> </w:t>
      </w:r>
      <w:r>
        <w:rPr/>
        <w:t>de</w:t>
      </w:r>
      <w:r>
        <w:rPr>
          <w:spacing w:val="-6"/>
        </w:rPr>
        <w:t> </w:t>
      </w:r>
      <w:r>
        <w:rPr/>
        <w:t>calles</w:t>
      </w:r>
      <w:r>
        <w:rPr>
          <w:spacing w:val="-4"/>
        </w:rPr>
        <w:t> </w:t>
      </w:r>
      <w:r>
        <w:rPr/>
        <w:t>pavimentadas,</w:t>
      </w:r>
      <w:r>
        <w:rPr>
          <w:spacing w:val="-3"/>
        </w:rPr>
        <w:t> </w:t>
      </w:r>
      <w:r>
        <w:rPr/>
        <w:t>mejoramiento</w:t>
      </w:r>
      <w:r>
        <w:rPr>
          <w:spacing w:val="-4"/>
        </w:rPr>
        <w:t> </w:t>
      </w:r>
      <w:r>
        <w:rPr/>
        <w:t>de</w:t>
      </w:r>
      <w:r>
        <w:rPr>
          <w:spacing w:val="-4"/>
        </w:rPr>
        <w:t> </w:t>
      </w:r>
      <w:r>
        <w:rPr/>
        <w:t>caminos rurales</w:t>
      </w:r>
      <w:r>
        <w:rPr>
          <w:spacing w:val="10"/>
        </w:rPr>
        <w:t> </w:t>
      </w:r>
      <w:r>
        <w:rPr/>
        <w:t>y</w:t>
      </w:r>
      <w:r>
        <w:rPr>
          <w:spacing w:val="7"/>
        </w:rPr>
        <w:t> </w:t>
      </w:r>
      <w:r>
        <w:rPr/>
        <w:t>sistemas</w:t>
      </w:r>
      <w:r>
        <w:rPr>
          <w:spacing w:val="10"/>
        </w:rPr>
        <w:t> </w:t>
      </w:r>
      <w:r>
        <w:rPr/>
        <w:t>de</w:t>
      </w:r>
      <w:r>
        <w:rPr>
          <w:spacing w:val="10"/>
        </w:rPr>
        <w:t> </w:t>
      </w:r>
      <w:r>
        <w:rPr/>
        <w:t>tratamiento</w:t>
      </w:r>
      <w:r>
        <w:rPr>
          <w:spacing w:val="9"/>
        </w:rPr>
        <w:t> </w:t>
      </w:r>
      <w:r>
        <w:rPr/>
        <w:t>de</w:t>
      </w:r>
      <w:r>
        <w:rPr>
          <w:spacing w:val="10"/>
        </w:rPr>
        <w:t> </w:t>
      </w:r>
      <w:r>
        <w:rPr/>
        <w:t>aguas</w:t>
      </w:r>
      <w:r>
        <w:rPr>
          <w:spacing w:val="11"/>
        </w:rPr>
        <w:t> </w:t>
      </w:r>
      <w:r>
        <w:rPr/>
        <w:t>residuales.</w:t>
      </w:r>
      <w:r>
        <w:rPr>
          <w:spacing w:val="9"/>
        </w:rPr>
        <w:t> </w:t>
      </w:r>
      <w:r>
        <w:rPr/>
        <w:t>El</w:t>
      </w:r>
      <w:r>
        <w:rPr>
          <w:spacing w:val="10"/>
        </w:rPr>
        <w:t> </w:t>
      </w:r>
      <w:r>
        <w:rPr/>
        <w:t>Ministerio</w:t>
      </w:r>
      <w:r>
        <w:rPr>
          <w:spacing w:val="9"/>
        </w:rPr>
        <w:t> </w:t>
      </w:r>
      <w:r>
        <w:rPr/>
        <w:t>de</w:t>
      </w:r>
      <w:r>
        <w:rPr>
          <w:spacing w:val="10"/>
        </w:rPr>
        <w:t> </w:t>
      </w:r>
      <w:r>
        <w:rPr/>
        <w:t>Educación,</w:t>
      </w:r>
      <w:r>
        <w:rPr>
          <w:spacing w:val="9"/>
        </w:rPr>
        <w:t> </w:t>
      </w:r>
      <w:r>
        <w:rPr/>
        <w:t>el</w:t>
      </w:r>
      <w:r>
        <w:rPr>
          <w:spacing w:val="11"/>
        </w:rPr>
        <w:t> </w:t>
      </w:r>
      <w:r>
        <w:rPr/>
        <w:t>Ministerio</w:t>
      </w:r>
      <w:r>
        <w:rPr>
          <w:spacing w:val="8"/>
        </w:rPr>
        <w:t> </w:t>
      </w:r>
      <w:r>
        <w:rPr/>
        <w:t>de</w:t>
      </w:r>
    </w:p>
    <w:p>
      <w:pPr>
        <w:spacing w:after="0" w:line="276" w:lineRule="auto"/>
        <w:jc w:val="both"/>
        <w:sectPr>
          <w:pgSz w:w="12240" w:h="15840"/>
          <w:pgMar w:header="715" w:footer="957" w:top="1240" w:bottom="1140" w:left="1140" w:right="0"/>
        </w:sectPr>
      </w:pPr>
    </w:p>
    <w:p>
      <w:pPr>
        <w:pStyle w:val="BodyText"/>
        <w:spacing w:line="276" w:lineRule="auto" w:before="162"/>
        <w:ind w:left="562" w:right="1703"/>
        <w:jc w:val="both"/>
      </w:pPr>
      <w:r>
        <w:rPr/>
        <w:t>Salud Pública y Asistencia Social y el Ministerio de la Defensa Nacional también reportan una inversión mayor por Q99.4 millones.</w:t>
      </w:r>
    </w:p>
    <w:p>
      <w:pPr>
        <w:pStyle w:val="BodyText"/>
        <w:spacing w:before="2"/>
        <w:rPr>
          <w:sz w:val="25"/>
        </w:rPr>
      </w:pPr>
    </w:p>
    <w:p>
      <w:pPr>
        <w:pStyle w:val="BodyText"/>
        <w:spacing w:line="276" w:lineRule="auto"/>
        <w:ind w:left="562" w:right="1694"/>
        <w:jc w:val="both"/>
      </w:pPr>
      <w:r>
        <w:rPr/>
        <w:t>Resalta que dentro del Ministerio de Comunicaciones, Infraestructura y Vivienda aún no se reporta ejecución</w:t>
      </w:r>
      <w:r>
        <w:rPr>
          <w:spacing w:val="-5"/>
        </w:rPr>
        <w:t> </w:t>
      </w:r>
      <w:r>
        <w:rPr/>
        <w:t>correspondiente</w:t>
      </w:r>
      <w:r>
        <w:rPr>
          <w:spacing w:val="-6"/>
        </w:rPr>
        <w:t> </w:t>
      </w:r>
      <w:r>
        <w:rPr/>
        <w:t>al</w:t>
      </w:r>
      <w:r>
        <w:rPr>
          <w:spacing w:val="-3"/>
        </w:rPr>
        <w:t> </w:t>
      </w:r>
      <w:r>
        <w:rPr/>
        <w:t>Decreto</w:t>
      </w:r>
      <w:r>
        <w:rPr>
          <w:spacing w:val="-6"/>
        </w:rPr>
        <w:t> </w:t>
      </w:r>
      <w:r>
        <w:rPr/>
        <w:t>21-2022</w:t>
      </w:r>
      <w:r>
        <w:rPr>
          <w:spacing w:val="-4"/>
        </w:rPr>
        <w:t> </w:t>
      </w:r>
      <w:r>
        <w:rPr/>
        <w:t>“Ley</w:t>
      </w:r>
      <w:r>
        <w:rPr>
          <w:spacing w:val="-6"/>
        </w:rPr>
        <w:t> </w:t>
      </w:r>
      <w:r>
        <w:rPr/>
        <w:t>para</w:t>
      </w:r>
      <w:r>
        <w:rPr>
          <w:spacing w:val="-3"/>
        </w:rPr>
        <w:t> </w:t>
      </w:r>
      <w:r>
        <w:rPr/>
        <w:t>fortalecer</w:t>
      </w:r>
      <w:r>
        <w:rPr>
          <w:spacing w:val="-5"/>
        </w:rPr>
        <w:t> </w:t>
      </w:r>
      <w:r>
        <w:rPr/>
        <w:t>el</w:t>
      </w:r>
      <w:r>
        <w:rPr>
          <w:spacing w:val="-3"/>
        </w:rPr>
        <w:t> </w:t>
      </w:r>
      <w:r>
        <w:rPr/>
        <w:t>mantenimiento</w:t>
      </w:r>
      <w:r>
        <w:rPr>
          <w:spacing w:val="-4"/>
        </w:rPr>
        <w:t> </w:t>
      </w:r>
      <w:r>
        <w:rPr/>
        <w:t>y</w:t>
      </w:r>
      <w:r>
        <w:rPr>
          <w:spacing w:val="-6"/>
        </w:rPr>
        <w:t> </w:t>
      </w:r>
      <w:r>
        <w:rPr/>
        <w:t>Construcción de</w:t>
      </w:r>
      <w:r>
        <w:rPr>
          <w:spacing w:val="-4"/>
        </w:rPr>
        <w:t> </w:t>
      </w:r>
      <w:r>
        <w:rPr/>
        <w:t>Infraestructura</w:t>
      </w:r>
      <w:r>
        <w:rPr>
          <w:spacing w:val="-3"/>
        </w:rPr>
        <w:t> </w:t>
      </w:r>
      <w:r>
        <w:rPr/>
        <w:t>Estratégica”,</w:t>
      </w:r>
      <w:r>
        <w:rPr>
          <w:spacing w:val="-3"/>
        </w:rPr>
        <w:t> </w:t>
      </w:r>
      <w:r>
        <w:rPr/>
        <w:t>el</w:t>
      </w:r>
      <w:r>
        <w:rPr>
          <w:spacing w:val="-3"/>
        </w:rPr>
        <w:t> </w:t>
      </w:r>
      <w:r>
        <w:rPr/>
        <w:t>cual</w:t>
      </w:r>
      <w:r>
        <w:rPr>
          <w:spacing w:val="-4"/>
        </w:rPr>
        <w:t> </w:t>
      </w:r>
      <w:r>
        <w:rPr/>
        <w:t>durante</w:t>
      </w:r>
      <w:r>
        <w:rPr>
          <w:spacing w:val="-6"/>
        </w:rPr>
        <w:t> </w:t>
      </w:r>
      <w:r>
        <w:rPr/>
        <w:t>junio</w:t>
      </w:r>
      <w:r>
        <w:rPr>
          <w:spacing w:val="-6"/>
        </w:rPr>
        <w:t> </w:t>
      </w:r>
      <w:r>
        <w:rPr/>
        <w:t>fue</w:t>
      </w:r>
      <w:r>
        <w:rPr>
          <w:spacing w:val="-3"/>
        </w:rPr>
        <w:t> </w:t>
      </w:r>
      <w:r>
        <w:rPr/>
        <w:t>modificado</w:t>
      </w:r>
      <w:r>
        <w:rPr>
          <w:spacing w:val="-4"/>
        </w:rPr>
        <w:t> </w:t>
      </w:r>
      <w:r>
        <w:rPr/>
        <w:t>por</w:t>
      </w:r>
      <w:r>
        <w:rPr>
          <w:spacing w:val="-3"/>
        </w:rPr>
        <w:t> </w:t>
      </w:r>
      <w:r>
        <w:rPr/>
        <w:t>medio</w:t>
      </w:r>
      <w:r>
        <w:rPr>
          <w:spacing w:val="-5"/>
        </w:rPr>
        <w:t> </w:t>
      </w:r>
      <w:r>
        <w:rPr/>
        <w:t>del</w:t>
      </w:r>
      <w:r>
        <w:rPr>
          <w:spacing w:val="-5"/>
        </w:rPr>
        <w:t> </w:t>
      </w:r>
      <w:r>
        <w:rPr/>
        <w:t>Decreto</w:t>
      </w:r>
      <w:r>
        <w:rPr>
          <w:spacing w:val="-4"/>
        </w:rPr>
        <w:t> </w:t>
      </w:r>
      <w:r>
        <w:rPr/>
        <w:t>36-2022, ante la necesidad de reorientar recursos de dicho decreto hasta por un monto de Q400 millones para destinarlos al fortalecimiento del Fondo Emergente, lo que permitirá mitigar los daños ocasionados por los fenómenos naturales que han afectado al país, por ello el presupuesto que se había destinado a</w:t>
      </w:r>
      <w:r>
        <w:rPr>
          <w:spacing w:val="-10"/>
        </w:rPr>
        <w:t> </w:t>
      </w:r>
      <w:r>
        <w:rPr/>
        <w:t>la</w:t>
      </w:r>
      <w:r>
        <w:rPr>
          <w:spacing w:val="-11"/>
        </w:rPr>
        <w:t> </w:t>
      </w:r>
      <w:r>
        <w:rPr/>
        <w:t>infraestructura</w:t>
      </w:r>
      <w:r>
        <w:rPr>
          <w:spacing w:val="-9"/>
        </w:rPr>
        <w:t> </w:t>
      </w:r>
      <w:r>
        <w:rPr/>
        <w:t>estratégica</w:t>
      </w:r>
      <w:r>
        <w:rPr>
          <w:spacing w:val="-7"/>
        </w:rPr>
        <w:t> </w:t>
      </w:r>
      <w:r>
        <w:rPr/>
        <w:t>desciende</w:t>
      </w:r>
      <w:r>
        <w:rPr>
          <w:spacing w:val="-11"/>
        </w:rPr>
        <w:t> </w:t>
      </w:r>
      <w:r>
        <w:rPr/>
        <w:t>hasta</w:t>
      </w:r>
      <w:r>
        <w:rPr>
          <w:spacing w:val="-9"/>
        </w:rPr>
        <w:t> </w:t>
      </w:r>
      <w:r>
        <w:rPr/>
        <w:t>ubicarse</w:t>
      </w:r>
      <w:r>
        <w:rPr>
          <w:spacing w:val="-11"/>
        </w:rPr>
        <w:t> </w:t>
      </w:r>
      <w:r>
        <w:rPr/>
        <w:t>en</w:t>
      </w:r>
      <w:r>
        <w:rPr>
          <w:spacing w:val="-9"/>
        </w:rPr>
        <w:t> </w:t>
      </w:r>
      <w:r>
        <w:rPr/>
        <w:t>Q2,791.2</w:t>
      </w:r>
      <w:r>
        <w:rPr>
          <w:spacing w:val="-10"/>
        </w:rPr>
        <w:t> </w:t>
      </w:r>
      <w:r>
        <w:rPr/>
        <w:t>millones.</w:t>
      </w:r>
      <w:r>
        <w:rPr>
          <w:spacing w:val="-9"/>
        </w:rPr>
        <w:t> </w:t>
      </w:r>
      <w:r>
        <w:rPr/>
        <w:t>Es</w:t>
      </w:r>
      <w:r>
        <w:rPr>
          <w:spacing w:val="-12"/>
        </w:rPr>
        <w:t> </w:t>
      </w:r>
      <w:r>
        <w:rPr/>
        <w:t>importante</w:t>
      </w:r>
      <w:r>
        <w:rPr>
          <w:spacing w:val="-11"/>
        </w:rPr>
        <w:t> </w:t>
      </w:r>
      <w:r>
        <w:rPr/>
        <w:t>destacar que esta modificación presupuestaria aún no se refleja en el SICOIN al 30 de junio del presente año, se espera que esto se regularice durante</w:t>
      </w:r>
      <w:r>
        <w:rPr>
          <w:spacing w:val="-5"/>
        </w:rPr>
        <w:t> </w:t>
      </w:r>
      <w:r>
        <w:rPr/>
        <w:t>julio.</w:t>
      </w:r>
    </w:p>
    <w:p>
      <w:pPr>
        <w:pStyle w:val="BodyText"/>
        <w:spacing w:before="6"/>
        <w:rPr>
          <w:sz w:val="25"/>
        </w:rPr>
      </w:pPr>
    </w:p>
    <w:p>
      <w:pPr>
        <w:pStyle w:val="BodyText"/>
        <w:spacing w:line="276" w:lineRule="auto"/>
        <w:ind w:left="562" w:right="1697"/>
        <w:jc w:val="both"/>
      </w:pPr>
      <w:r>
        <w:rPr/>
        <w:t>En</w:t>
      </w:r>
      <w:r>
        <w:rPr>
          <w:spacing w:val="-4"/>
        </w:rPr>
        <w:t> </w:t>
      </w:r>
      <w:r>
        <w:rPr/>
        <w:t>lo</w:t>
      </w:r>
      <w:r>
        <w:rPr>
          <w:spacing w:val="-4"/>
        </w:rPr>
        <w:t> </w:t>
      </w:r>
      <w:r>
        <w:rPr/>
        <w:t>que</w:t>
      </w:r>
      <w:r>
        <w:rPr>
          <w:spacing w:val="-3"/>
        </w:rPr>
        <w:t> </w:t>
      </w:r>
      <w:r>
        <w:rPr/>
        <w:t>respecta</w:t>
      </w:r>
      <w:r>
        <w:rPr>
          <w:spacing w:val="-2"/>
        </w:rPr>
        <w:t> </w:t>
      </w:r>
      <w:r>
        <w:rPr/>
        <w:t>a</w:t>
      </w:r>
      <w:r>
        <w:rPr>
          <w:spacing w:val="-6"/>
        </w:rPr>
        <w:t> </w:t>
      </w:r>
      <w:r>
        <w:rPr/>
        <w:t>los</w:t>
      </w:r>
      <w:r>
        <w:rPr>
          <w:spacing w:val="-3"/>
        </w:rPr>
        <w:t> </w:t>
      </w:r>
      <w:r>
        <w:rPr/>
        <w:t>intereses</w:t>
      </w:r>
      <w:r>
        <w:rPr>
          <w:spacing w:val="-2"/>
        </w:rPr>
        <w:t> </w:t>
      </w:r>
      <w:r>
        <w:rPr/>
        <w:t>de</w:t>
      </w:r>
      <w:r>
        <w:rPr>
          <w:spacing w:val="-3"/>
        </w:rPr>
        <w:t> </w:t>
      </w:r>
      <w:r>
        <w:rPr/>
        <w:t>la</w:t>
      </w:r>
      <w:r>
        <w:rPr>
          <w:spacing w:val="-3"/>
        </w:rPr>
        <w:t> </w:t>
      </w:r>
      <w:r>
        <w:rPr/>
        <w:t>deuda</w:t>
      </w:r>
      <w:r>
        <w:rPr>
          <w:spacing w:val="-2"/>
        </w:rPr>
        <w:t> </w:t>
      </w:r>
      <w:r>
        <w:rPr/>
        <w:t>pública,</w:t>
      </w:r>
      <w:r>
        <w:rPr>
          <w:spacing w:val="-2"/>
        </w:rPr>
        <w:t> </w:t>
      </w:r>
      <w:r>
        <w:rPr/>
        <w:t>estos</w:t>
      </w:r>
      <w:r>
        <w:rPr>
          <w:spacing w:val="-3"/>
        </w:rPr>
        <w:t> </w:t>
      </w:r>
      <w:r>
        <w:rPr/>
        <w:t>reportan</w:t>
      </w:r>
      <w:r>
        <w:rPr>
          <w:spacing w:val="-2"/>
        </w:rPr>
        <w:t> </w:t>
      </w:r>
      <w:r>
        <w:rPr/>
        <w:t>una</w:t>
      </w:r>
      <w:r>
        <w:rPr>
          <w:spacing w:val="-3"/>
        </w:rPr>
        <w:t> </w:t>
      </w:r>
      <w:r>
        <w:rPr/>
        <w:t>ejecución</w:t>
      </w:r>
      <w:r>
        <w:rPr>
          <w:spacing w:val="-4"/>
        </w:rPr>
        <w:t> </w:t>
      </w:r>
      <w:r>
        <w:rPr/>
        <w:t>mayor</w:t>
      </w:r>
      <w:r>
        <w:rPr>
          <w:spacing w:val="-3"/>
        </w:rPr>
        <w:t> </w:t>
      </w:r>
      <w:r>
        <w:rPr/>
        <w:t>en</w:t>
      </w:r>
      <w:r>
        <w:rPr>
          <w:spacing w:val="-2"/>
        </w:rPr>
        <w:t> </w:t>
      </w:r>
      <w:r>
        <w:rPr/>
        <w:t>Q303.5 millones, siendo el crecimiento de</w:t>
      </w:r>
      <w:r>
        <w:rPr>
          <w:spacing w:val="-3"/>
        </w:rPr>
        <w:t> </w:t>
      </w:r>
      <w:r>
        <w:rPr/>
        <w:t>5.4%.</w:t>
      </w:r>
    </w:p>
    <w:p>
      <w:pPr>
        <w:pStyle w:val="BodyText"/>
        <w:spacing w:before="2"/>
        <w:rPr>
          <w:sz w:val="25"/>
        </w:rPr>
      </w:pPr>
    </w:p>
    <w:p>
      <w:pPr>
        <w:pStyle w:val="BodyText"/>
        <w:spacing w:line="276" w:lineRule="auto"/>
        <w:ind w:left="562" w:right="1697"/>
        <w:jc w:val="both"/>
      </w:pPr>
      <w:r>
        <w:rPr/>
        <w:t>Los bienes y servicios reportan una ejecución mayor en Q257.9 millones (equivalente a un crecimiento interanual de 4.8%), explicado por un aumento de Q155.5 millones en el Ministerio de Gobernación,</w:t>
      </w:r>
      <w:r>
        <w:rPr>
          <w:spacing w:val="-14"/>
        </w:rPr>
        <w:t> </w:t>
      </w:r>
      <w:r>
        <w:rPr/>
        <w:t>entre</w:t>
      </w:r>
      <w:r>
        <w:rPr>
          <w:spacing w:val="-13"/>
        </w:rPr>
        <w:t> </w:t>
      </w:r>
      <w:r>
        <w:rPr/>
        <w:t>los</w:t>
      </w:r>
      <w:r>
        <w:rPr>
          <w:spacing w:val="-14"/>
        </w:rPr>
        <w:t> </w:t>
      </w:r>
      <w:r>
        <w:rPr/>
        <w:t>que</w:t>
      </w:r>
      <w:r>
        <w:rPr>
          <w:spacing w:val="-15"/>
        </w:rPr>
        <w:t> </w:t>
      </w:r>
      <w:r>
        <w:rPr/>
        <w:t>resaltan</w:t>
      </w:r>
      <w:r>
        <w:rPr>
          <w:spacing w:val="-16"/>
        </w:rPr>
        <w:t> </w:t>
      </w:r>
      <w:r>
        <w:rPr/>
        <w:t>los</w:t>
      </w:r>
      <w:r>
        <w:rPr>
          <w:spacing w:val="-13"/>
        </w:rPr>
        <w:t> </w:t>
      </w:r>
      <w:r>
        <w:rPr/>
        <w:t>combustibles</w:t>
      </w:r>
      <w:r>
        <w:rPr>
          <w:spacing w:val="-14"/>
        </w:rPr>
        <w:t> </w:t>
      </w:r>
      <w:r>
        <w:rPr/>
        <w:t>y</w:t>
      </w:r>
      <w:r>
        <w:rPr>
          <w:spacing w:val="-16"/>
        </w:rPr>
        <w:t> </w:t>
      </w:r>
      <w:r>
        <w:rPr/>
        <w:t>lubricantes</w:t>
      </w:r>
      <w:r>
        <w:rPr>
          <w:spacing w:val="-15"/>
        </w:rPr>
        <w:t> </w:t>
      </w:r>
      <w:r>
        <w:rPr/>
        <w:t>con</w:t>
      </w:r>
      <w:r>
        <w:rPr>
          <w:spacing w:val="-16"/>
        </w:rPr>
        <w:t> </w:t>
      </w:r>
      <w:r>
        <w:rPr/>
        <w:t>un</w:t>
      </w:r>
      <w:r>
        <w:rPr>
          <w:spacing w:val="-13"/>
        </w:rPr>
        <w:t> </w:t>
      </w:r>
      <w:r>
        <w:rPr/>
        <w:t>aumento</w:t>
      </w:r>
      <w:r>
        <w:rPr>
          <w:spacing w:val="-18"/>
        </w:rPr>
        <w:t> </w:t>
      </w:r>
      <w:r>
        <w:rPr/>
        <w:t>de</w:t>
      </w:r>
      <w:r>
        <w:rPr>
          <w:spacing w:val="-14"/>
        </w:rPr>
        <w:t> </w:t>
      </w:r>
      <w:r>
        <w:rPr/>
        <w:t>Q71.4</w:t>
      </w:r>
      <w:r>
        <w:rPr>
          <w:spacing w:val="-13"/>
        </w:rPr>
        <w:t> </w:t>
      </w:r>
      <w:r>
        <w:rPr/>
        <w:t>millones, otros servicios con Q56.4 millones y prendas para vestir con Q27.7 millones. En el Ministerio de Educación</w:t>
      </w:r>
      <w:r>
        <w:rPr>
          <w:spacing w:val="-7"/>
        </w:rPr>
        <w:t> </w:t>
      </w:r>
      <w:r>
        <w:rPr/>
        <w:t>se</w:t>
      </w:r>
      <w:r>
        <w:rPr>
          <w:spacing w:val="-6"/>
        </w:rPr>
        <w:t> </w:t>
      </w:r>
      <w:r>
        <w:rPr/>
        <w:t>reporta</w:t>
      </w:r>
      <w:r>
        <w:rPr>
          <w:spacing w:val="-6"/>
        </w:rPr>
        <w:t> </w:t>
      </w:r>
      <w:r>
        <w:rPr/>
        <w:t>un</w:t>
      </w:r>
      <w:r>
        <w:rPr>
          <w:spacing w:val="-6"/>
        </w:rPr>
        <w:t> </w:t>
      </w:r>
      <w:r>
        <w:rPr/>
        <w:t>aumento</w:t>
      </w:r>
      <w:r>
        <w:rPr>
          <w:spacing w:val="-6"/>
        </w:rPr>
        <w:t> </w:t>
      </w:r>
      <w:r>
        <w:rPr/>
        <w:t>de</w:t>
      </w:r>
      <w:r>
        <w:rPr>
          <w:spacing w:val="-7"/>
        </w:rPr>
        <w:t> </w:t>
      </w:r>
      <w:r>
        <w:rPr/>
        <w:t>Q123.2</w:t>
      </w:r>
      <w:r>
        <w:rPr>
          <w:spacing w:val="-5"/>
        </w:rPr>
        <w:t> </w:t>
      </w:r>
      <w:r>
        <w:rPr/>
        <w:t>millones</w:t>
      </w:r>
      <w:r>
        <w:rPr>
          <w:spacing w:val="-6"/>
        </w:rPr>
        <w:t> </w:t>
      </w:r>
      <w:r>
        <w:rPr/>
        <w:t>en</w:t>
      </w:r>
      <w:r>
        <w:rPr>
          <w:spacing w:val="-6"/>
        </w:rPr>
        <w:t> </w:t>
      </w:r>
      <w:r>
        <w:rPr/>
        <w:t>los</w:t>
      </w:r>
      <w:r>
        <w:rPr>
          <w:spacing w:val="-5"/>
        </w:rPr>
        <w:t> </w:t>
      </w:r>
      <w:r>
        <w:rPr/>
        <w:t>bienes</w:t>
      </w:r>
      <w:r>
        <w:rPr>
          <w:spacing w:val="-6"/>
        </w:rPr>
        <w:t> </w:t>
      </w:r>
      <w:r>
        <w:rPr/>
        <w:t>y</w:t>
      </w:r>
      <w:r>
        <w:rPr>
          <w:spacing w:val="-9"/>
        </w:rPr>
        <w:t> </w:t>
      </w:r>
      <w:r>
        <w:rPr/>
        <w:t>servicios</w:t>
      </w:r>
      <w:r>
        <w:rPr>
          <w:spacing w:val="-5"/>
        </w:rPr>
        <w:t> </w:t>
      </w:r>
      <w:r>
        <w:rPr/>
        <w:t>(equivalente</w:t>
      </w:r>
      <w:r>
        <w:rPr>
          <w:spacing w:val="-6"/>
        </w:rPr>
        <w:t> </w:t>
      </w:r>
      <w:r>
        <w:rPr/>
        <w:t>a</w:t>
      </w:r>
      <w:r>
        <w:rPr>
          <w:spacing w:val="-6"/>
        </w:rPr>
        <w:t> </w:t>
      </w:r>
      <w:r>
        <w:rPr/>
        <w:t>95.6%) por un aumento de Q42.2 millones en las primas y gastos de seguros y fianzas (seguro escolar) y Q29.5 millones en los útiles deportivos y</w:t>
      </w:r>
      <w:r>
        <w:rPr>
          <w:spacing w:val="-8"/>
        </w:rPr>
        <w:t> </w:t>
      </w:r>
      <w:r>
        <w:rPr/>
        <w:t>recreativos.</w:t>
      </w:r>
    </w:p>
    <w:p>
      <w:pPr>
        <w:pStyle w:val="BodyText"/>
        <w:spacing w:before="4"/>
        <w:rPr>
          <w:sz w:val="25"/>
        </w:rPr>
      </w:pPr>
    </w:p>
    <w:p>
      <w:pPr>
        <w:pStyle w:val="BodyText"/>
        <w:spacing w:line="276" w:lineRule="auto"/>
        <w:ind w:left="562" w:right="1693"/>
        <w:jc w:val="both"/>
      </w:pPr>
      <w:r>
        <w:rPr/>
        <w:t>Mientras que en el Ministerio de Salud Pública y Asistencia Social el aumento en los bienes y servicios es de Q93.1 millones (equivalente a 3.6%), explicado por los servicios médico-sanitarios con</w:t>
      </w:r>
      <w:r>
        <w:rPr>
          <w:spacing w:val="-10"/>
        </w:rPr>
        <w:t> </w:t>
      </w:r>
      <w:r>
        <w:rPr/>
        <w:t>un</w:t>
      </w:r>
      <w:r>
        <w:rPr>
          <w:spacing w:val="-10"/>
        </w:rPr>
        <w:t> </w:t>
      </w:r>
      <w:r>
        <w:rPr/>
        <w:t>aumento</w:t>
      </w:r>
      <w:r>
        <w:rPr>
          <w:spacing w:val="-10"/>
        </w:rPr>
        <w:t> </w:t>
      </w:r>
      <w:r>
        <w:rPr/>
        <w:t>de</w:t>
      </w:r>
      <w:r>
        <w:rPr>
          <w:spacing w:val="-11"/>
        </w:rPr>
        <w:t> </w:t>
      </w:r>
      <w:r>
        <w:rPr/>
        <w:t>Q125.0</w:t>
      </w:r>
      <w:r>
        <w:rPr>
          <w:spacing w:val="-12"/>
        </w:rPr>
        <w:t> </w:t>
      </w:r>
      <w:r>
        <w:rPr/>
        <w:t>millones,</w:t>
      </w:r>
      <w:r>
        <w:rPr>
          <w:spacing w:val="-12"/>
        </w:rPr>
        <w:t> </w:t>
      </w:r>
      <w:r>
        <w:rPr/>
        <w:t>los</w:t>
      </w:r>
      <w:r>
        <w:rPr>
          <w:spacing w:val="-9"/>
        </w:rPr>
        <w:t> </w:t>
      </w:r>
      <w:r>
        <w:rPr/>
        <w:t>elementos</w:t>
      </w:r>
      <w:r>
        <w:rPr>
          <w:spacing w:val="-10"/>
        </w:rPr>
        <w:t> </w:t>
      </w:r>
      <w:r>
        <w:rPr/>
        <w:t>y</w:t>
      </w:r>
      <w:r>
        <w:rPr>
          <w:spacing w:val="-12"/>
        </w:rPr>
        <w:t> </w:t>
      </w:r>
      <w:r>
        <w:rPr/>
        <w:t>compuestos</w:t>
      </w:r>
      <w:r>
        <w:rPr>
          <w:spacing w:val="-9"/>
        </w:rPr>
        <w:t> </w:t>
      </w:r>
      <w:r>
        <w:rPr/>
        <w:t>químicos</w:t>
      </w:r>
      <w:r>
        <w:rPr>
          <w:spacing w:val="-10"/>
        </w:rPr>
        <w:t> </w:t>
      </w:r>
      <w:r>
        <w:rPr/>
        <w:t>con</w:t>
      </w:r>
      <w:r>
        <w:rPr>
          <w:spacing w:val="-10"/>
        </w:rPr>
        <w:t> </w:t>
      </w:r>
      <w:r>
        <w:rPr/>
        <w:t>Q71.2</w:t>
      </w:r>
      <w:r>
        <w:rPr>
          <w:spacing w:val="-10"/>
        </w:rPr>
        <w:t> </w:t>
      </w:r>
      <w:r>
        <w:rPr/>
        <w:t>millones,</w:t>
      </w:r>
      <w:r>
        <w:rPr>
          <w:spacing w:val="-10"/>
        </w:rPr>
        <w:t> </w:t>
      </w:r>
      <w:r>
        <w:rPr/>
        <w:t>otros estudios o servicios con Q49.3 millones y los útiles menores, suministros e instrumental médico- quirúrgico con Q48.9 millones. Por su parte, resalta que los productos medicinales y farmacéuticos reportan</w:t>
      </w:r>
      <w:r>
        <w:rPr>
          <w:spacing w:val="-4"/>
        </w:rPr>
        <w:t> </w:t>
      </w:r>
      <w:r>
        <w:rPr/>
        <w:t>una</w:t>
      </w:r>
      <w:r>
        <w:rPr>
          <w:spacing w:val="-2"/>
        </w:rPr>
        <w:t> </w:t>
      </w:r>
      <w:r>
        <w:rPr/>
        <w:t>disminución</w:t>
      </w:r>
      <w:r>
        <w:rPr>
          <w:spacing w:val="-4"/>
        </w:rPr>
        <w:t> </w:t>
      </w:r>
      <w:r>
        <w:rPr/>
        <w:t>de</w:t>
      </w:r>
      <w:r>
        <w:rPr>
          <w:spacing w:val="-2"/>
        </w:rPr>
        <w:t> </w:t>
      </w:r>
      <w:r>
        <w:rPr/>
        <w:t>Q317.8</w:t>
      </w:r>
      <w:r>
        <w:rPr>
          <w:spacing w:val="-4"/>
        </w:rPr>
        <w:t> </w:t>
      </w:r>
      <w:r>
        <w:rPr/>
        <w:t>millones,</w:t>
      </w:r>
      <w:r>
        <w:rPr>
          <w:spacing w:val="-3"/>
        </w:rPr>
        <w:t> </w:t>
      </w:r>
      <w:r>
        <w:rPr/>
        <w:t>dado</w:t>
      </w:r>
      <w:r>
        <w:rPr>
          <w:spacing w:val="-4"/>
        </w:rPr>
        <w:t> </w:t>
      </w:r>
      <w:r>
        <w:rPr/>
        <w:t>que</w:t>
      </w:r>
      <w:r>
        <w:rPr>
          <w:spacing w:val="-2"/>
        </w:rPr>
        <w:t> </w:t>
      </w:r>
      <w:r>
        <w:rPr/>
        <w:t>en</w:t>
      </w:r>
      <w:r>
        <w:rPr>
          <w:spacing w:val="-3"/>
        </w:rPr>
        <w:t> </w:t>
      </w:r>
      <w:r>
        <w:rPr/>
        <w:t>2021</w:t>
      </w:r>
      <w:r>
        <w:rPr>
          <w:spacing w:val="-3"/>
        </w:rPr>
        <w:t> </w:t>
      </w:r>
      <w:r>
        <w:rPr/>
        <w:t>las</w:t>
      </w:r>
      <w:r>
        <w:rPr>
          <w:spacing w:val="-3"/>
        </w:rPr>
        <w:t> </w:t>
      </w:r>
      <w:r>
        <w:rPr/>
        <w:t>compras</w:t>
      </w:r>
      <w:r>
        <w:rPr>
          <w:spacing w:val="-2"/>
        </w:rPr>
        <w:t> </w:t>
      </w:r>
      <w:r>
        <w:rPr/>
        <w:t>por</w:t>
      </w:r>
      <w:r>
        <w:rPr>
          <w:spacing w:val="-3"/>
        </w:rPr>
        <w:t> </w:t>
      </w:r>
      <w:r>
        <w:rPr/>
        <w:t>la</w:t>
      </w:r>
      <w:r>
        <w:rPr>
          <w:spacing w:val="-2"/>
        </w:rPr>
        <w:t> </w:t>
      </w:r>
      <w:r>
        <w:rPr/>
        <w:t>vacuna</w:t>
      </w:r>
      <w:r>
        <w:rPr>
          <w:spacing w:val="-3"/>
        </w:rPr>
        <w:t> </w:t>
      </w:r>
      <w:r>
        <w:rPr/>
        <w:t>contra</w:t>
      </w:r>
      <w:r>
        <w:rPr>
          <w:spacing w:val="-2"/>
        </w:rPr>
        <w:t> </w:t>
      </w:r>
      <w:r>
        <w:rPr/>
        <w:t>el COVID-19 eran mayores mientras que en este ejercicio las compras por este concepto han ido disminuyendo. Adicionalmente, el presupuesto para la vacuna COVID-19 tuvo un recorte de Q600 millones</w:t>
      </w:r>
      <w:r>
        <w:rPr>
          <w:spacing w:val="-4"/>
        </w:rPr>
        <w:t> </w:t>
      </w:r>
      <w:r>
        <w:rPr/>
        <w:t>que</w:t>
      </w:r>
      <w:r>
        <w:rPr>
          <w:spacing w:val="-3"/>
        </w:rPr>
        <w:t> </w:t>
      </w:r>
      <w:r>
        <w:rPr/>
        <w:t>serían</w:t>
      </w:r>
      <w:r>
        <w:rPr>
          <w:spacing w:val="-3"/>
        </w:rPr>
        <w:t> </w:t>
      </w:r>
      <w:r>
        <w:rPr/>
        <w:t>reorientados</w:t>
      </w:r>
      <w:r>
        <w:rPr>
          <w:spacing w:val="-4"/>
        </w:rPr>
        <w:t> </w:t>
      </w:r>
      <w:r>
        <w:rPr/>
        <w:t>al</w:t>
      </w:r>
      <w:r>
        <w:rPr>
          <w:spacing w:val="-3"/>
        </w:rPr>
        <w:t> </w:t>
      </w:r>
      <w:r>
        <w:rPr/>
        <w:t>Fondo</w:t>
      </w:r>
      <w:r>
        <w:rPr>
          <w:spacing w:val="-4"/>
        </w:rPr>
        <w:t> </w:t>
      </w:r>
      <w:r>
        <w:rPr/>
        <w:t>Emergente,</w:t>
      </w:r>
      <w:r>
        <w:rPr>
          <w:spacing w:val="-6"/>
        </w:rPr>
        <w:t> </w:t>
      </w:r>
      <w:r>
        <w:rPr/>
        <w:t>modificación</w:t>
      </w:r>
      <w:r>
        <w:rPr>
          <w:spacing w:val="-4"/>
        </w:rPr>
        <w:t> </w:t>
      </w:r>
      <w:r>
        <w:rPr/>
        <w:t>que</w:t>
      </w:r>
      <w:r>
        <w:rPr>
          <w:spacing w:val="-3"/>
        </w:rPr>
        <w:t> </w:t>
      </w:r>
      <w:r>
        <w:rPr/>
        <w:t>en</w:t>
      </w:r>
      <w:r>
        <w:rPr>
          <w:spacing w:val="-6"/>
        </w:rPr>
        <w:t> </w:t>
      </w:r>
      <w:r>
        <w:rPr/>
        <w:t>junio</w:t>
      </w:r>
      <w:r>
        <w:rPr>
          <w:spacing w:val="-4"/>
        </w:rPr>
        <w:t> </w:t>
      </w:r>
      <w:r>
        <w:rPr/>
        <w:t>aún</w:t>
      </w:r>
      <w:r>
        <w:rPr>
          <w:spacing w:val="-4"/>
        </w:rPr>
        <w:t> </w:t>
      </w:r>
      <w:r>
        <w:rPr/>
        <w:t>no</w:t>
      </w:r>
      <w:r>
        <w:rPr>
          <w:spacing w:val="-5"/>
        </w:rPr>
        <w:t> </w:t>
      </w:r>
      <w:r>
        <w:rPr/>
        <w:t>se</w:t>
      </w:r>
      <w:r>
        <w:rPr>
          <w:spacing w:val="-6"/>
        </w:rPr>
        <w:t> </w:t>
      </w:r>
      <w:r>
        <w:rPr/>
        <w:t>refleja</w:t>
      </w:r>
      <w:r>
        <w:rPr>
          <w:spacing w:val="-3"/>
        </w:rPr>
        <w:t> en </w:t>
      </w:r>
      <w:r>
        <w:rPr/>
        <w:t>los registros de</w:t>
      </w:r>
      <w:r>
        <w:rPr>
          <w:spacing w:val="-5"/>
        </w:rPr>
        <w:t> </w:t>
      </w:r>
      <w:r>
        <w:rPr/>
        <w:t>SICOIN.</w:t>
      </w:r>
    </w:p>
    <w:p>
      <w:pPr>
        <w:pStyle w:val="BodyText"/>
        <w:spacing w:before="5"/>
        <w:rPr>
          <w:sz w:val="25"/>
        </w:rPr>
      </w:pPr>
    </w:p>
    <w:p>
      <w:pPr>
        <w:pStyle w:val="BodyText"/>
        <w:spacing w:line="276" w:lineRule="auto"/>
        <w:ind w:left="562" w:right="1703"/>
        <w:jc w:val="both"/>
      </w:pPr>
      <w:r>
        <w:rPr/>
        <w:t>Por último, las prestaciones a la seguridad social reportan un crecimiento interanual de 3.8%, equivalente a Q95.4 millones.</w:t>
      </w:r>
    </w:p>
    <w:p>
      <w:pPr>
        <w:pStyle w:val="BodyText"/>
        <w:spacing w:before="3"/>
        <w:rPr>
          <w:sz w:val="25"/>
        </w:rPr>
      </w:pPr>
    </w:p>
    <w:p>
      <w:pPr>
        <w:pStyle w:val="BodyText"/>
        <w:spacing w:line="276" w:lineRule="auto"/>
        <w:ind w:left="562" w:right="1697"/>
        <w:jc w:val="both"/>
      </w:pPr>
      <w:r>
        <w:rPr/>
        <w:t>Al eliminar el gasto relacionado a la pandemia del COVID-19, tanto en 2022 como en 2021, la ejecución del gasto público a junio sin incluir las amortizaciones de la deuda pública se ubicaría en Q45,394.4 millones, con un crecimiento interanual de 17.4% (equivalente a Q6,712.7 millones). Mientras</w:t>
      </w:r>
      <w:r>
        <w:rPr>
          <w:spacing w:val="-9"/>
        </w:rPr>
        <w:t> </w:t>
      </w:r>
      <w:r>
        <w:rPr/>
        <w:t>que</w:t>
      </w:r>
      <w:r>
        <w:rPr>
          <w:spacing w:val="-8"/>
        </w:rPr>
        <w:t> </w:t>
      </w:r>
      <w:r>
        <w:rPr/>
        <w:t>en</w:t>
      </w:r>
      <w:r>
        <w:rPr>
          <w:spacing w:val="-8"/>
        </w:rPr>
        <w:t> </w:t>
      </w:r>
      <w:r>
        <w:rPr/>
        <w:t>2021</w:t>
      </w:r>
      <w:r>
        <w:rPr>
          <w:spacing w:val="-11"/>
        </w:rPr>
        <w:t> </w:t>
      </w:r>
      <w:r>
        <w:rPr/>
        <w:t>el</w:t>
      </w:r>
      <w:r>
        <w:rPr>
          <w:spacing w:val="-7"/>
        </w:rPr>
        <w:t> </w:t>
      </w:r>
      <w:r>
        <w:rPr/>
        <w:t>gasto</w:t>
      </w:r>
      <w:r>
        <w:rPr>
          <w:spacing w:val="-9"/>
        </w:rPr>
        <w:t> </w:t>
      </w:r>
      <w:r>
        <w:rPr/>
        <w:t>público</w:t>
      </w:r>
      <w:r>
        <w:rPr>
          <w:spacing w:val="-9"/>
        </w:rPr>
        <w:t> </w:t>
      </w:r>
      <w:r>
        <w:rPr/>
        <w:t>hubiera</w:t>
      </w:r>
      <w:r>
        <w:rPr>
          <w:spacing w:val="-8"/>
        </w:rPr>
        <w:t> </w:t>
      </w:r>
      <w:r>
        <w:rPr/>
        <w:t>tenido</w:t>
      </w:r>
      <w:r>
        <w:rPr>
          <w:spacing w:val="-9"/>
        </w:rPr>
        <w:t> </w:t>
      </w:r>
      <w:r>
        <w:rPr/>
        <w:t>una</w:t>
      </w:r>
      <w:r>
        <w:rPr>
          <w:spacing w:val="-9"/>
        </w:rPr>
        <w:t> </w:t>
      </w:r>
      <w:r>
        <w:rPr/>
        <w:t>variación</w:t>
      </w:r>
      <w:r>
        <w:rPr>
          <w:spacing w:val="-11"/>
        </w:rPr>
        <w:t> </w:t>
      </w:r>
      <w:r>
        <w:rPr/>
        <w:t>interanual</w:t>
      </w:r>
      <w:r>
        <w:rPr>
          <w:spacing w:val="-7"/>
        </w:rPr>
        <w:t> </w:t>
      </w:r>
      <w:r>
        <w:rPr/>
        <w:t>de</w:t>
      </w:r>
      <w:r>
        <w:rPr>
          <w:spacing w:val="-8"/>
        </w:rPr>
        <w:t> </w:t>
      </w:r>
      <w:r>
        <w:rPr/>
        <w:t>8.2%,</w:t>
      </w:r>
      <w:r>
        <w:rPr>
          <w:spacing w:val="-9"/>
        </w:rPr>
        <w:t> </w:t>
      </w:r>
      <w:r>
        <w:rPr/>
        <w:t>es</w:t>
      </w:r>
      <w:r>
        <w:rPr>
          <w:spacing w:val="-10"/>
        </w:rPr>
        <w:t> </w:t>
      </w:r>
      <w:r>
        <w:rPr/>
        <w:t>importante tomar</w:t>
      </w:r>
      <w:r>
        <w:rPr>
          <w:spacing w:val="-4"/>
        </w:rPr>
        <w:t> </w:t>
      </w:r>
      <w:r>
        <w:rPr/>
        <w:t>en</w:t>
      </w:r>
      <w:r>
        <w:rPr>
          <w:spacing w:val="-3"/>
        </w:rPr>
        <w:t> </w:t>
      </w:r>
      <w:r>
        <w:rPr/>
        <w:t>consideración</w:t>
      </w:r>
      <w:r>
        <w:rPr>
          <w:spacing w:val="-4"/>
        </w:rPr>
        <w:t> </w:t>
      </w:r>
      <w:r>
        <w:rPr/>
        <w:t>que</w:t>
      </w:r>
      <w:r>
        <w:rPr>
          <w:spacing w:val="-5"/>
        </w:rPr>
        <w:t> </w:t>
      </w:r>
      <w:r>
        <w:rPr/>
        <w:t>en</w:t>
      </w:r>
      <w:r>
        <w:rPr>
          <w:spacing w:val="-4"/>
        </w:rPr>
        <w:t> </w:t>
      </w:r>
      <w:r>
        <w:rPr/>
        <w:t>2021</w:t>
      </w:r>
      <w:r>
        <w:rPr>
          <w:spacing w:val="-4"/>
        </w:rPr>
        <w:t> </w:t>
      </w:r>
      <w:r>
        <w:rPr/>
        <w:t>el</w:t>
      </w:r>
      <w:r>
        <w:rPr>
          <w:spacing w:val="-3"/>
        </w:rPr>
        <w:t> </w:t>
      </w:r>
      <w:r>
        <w:rPr/>
        <w:t>gasto</w:t>
      </w:r>
      <w:r>
        <w:rPr>
          <w:spacing w:val="-4"/>
        </w:rPr>
        <w:t> </w:t>
      </w:r>
      <w:r>
        <w:rPr/>
        <w:t>vinculado</w:t>
      </w:r>
      <w:r>
        <w:rPr>
          <w:spacing w:val="-6"/>
        </w:rPr>
        <w:t> </w:t>
      </w:r>
      <w:r>
        <w:rPr/>
        <w:t>a</w:t>
      </w:r>
      <w:r>
        <w:rPr>
          <w:spacing w:val="-3"/>
        </w:rPr>
        <w:t> </w:t>
      </w:r>
      <w:r>
        <w:rPr/>
        <w:t>COVID-19</w:t>
      </w:r>
      <w:r>
        <w:rPr>
          <w:spacing w:val="-4"/>
        </w:rPr>
        <w:t> </w:t>
      </w:r>
      <w:r>
        <w:rPr/>
        <w:t>fue</w:t>
      </w:r>
      <w:r>
        <w:rPr>
          <w:spacing w:val="-3"/>
        </w:rPr>
        <w:t> </w:t>
      </w:r>
      <w:r>
        <w:rPr/>
        <w:t>importante</w:t>
      </w:r>
      <w:r>
        <w:rPr>
          <w:spacing w:val="-3"/>
        </w:rPr>
        <w:t> </w:t>
      </w:r>
      <w:r>
        <w:rPr/>
        <w:t>por</w:t>
      </w:r>
      <w:r>
        <w:rPr>
          <w:spacing w:val="-3"/>
        </w:rPr>
        <w:t> </w:t>
      </w:r>
      <w:r>
        <w:rPr/>
        <w:t>los</w:t>
      </w:r>
      <w:r>
        <w:rPr>
          <w:spacing w:val="-3"/>
        </w:rPr>
        <w:t> </w:t>
      </w:r>
      <w:r>
        <w:rPr/>
        <w:t>procesos relacionados a la compra de la vacuna, mientras que en 2022 estos gastos han sido</w:t>
      </w:r>
      <w:r>
        <w:rPr>
          <w:spacing w:val="-13"/>
        </w:rPr>
        <w:t> </w:t>
      </w:r>
      <w:r>
        <w:rPr/>
        <w:t>menores.</w:t>
      </w:r>
    </w:p>
    <w:p>
      <w:pPr>
        <w:spacing w:after="0" w:line="276" w:lineRule="auto"/>
        <w:jc w:val="both"/>
        <w:sectPr>
          <w:pgSz w:w="12240" w:h="15840"/>
          <w:pgMar w:header="715" w:footer="957" w:top="1240" w:bottom="1140" w:left="1140" w:right="0"/>
        </w:sectPr>
      </w:pPr>
    </w:p>
    <w:p>
      <w:pPr>
        <w:pStyle w:val="BodyText"/>
        <w:spacing w:line="276" w:lineRule="auto" w:before="162"/>
        <w:ind w:left="562" w:right="1698"/>
        <w:jc w:val="both"/>
      </w:pPr>
      <w:r>
        <w:rPr/>
        <w:t>En cuanto al gasto total, el cual incluye amortizaciones de la deuda pública, se situó en Q47,518.8 millones, con un grado de ejecución de 42.3% y una variación interanual de 14.8%. Este grado de ejecución</w:t>
      </w:r>
      <w:r>
        <w:rPr>
          <w:spacing w:val="-13"/>
        </w:rPr>
        <w:t> </w:t>
      </w:r>
      <w:r>
        <w:rPr/>
        <w:t>se</w:t>
      </w:r>
      <w:r>
        <w:rPr>
          <w:spacing w:val="-15"/>
        </w:rPr>
        <w:t> </w:t>
      </w:r>
      <w:r>
        <w:rPr/>
        <w:t>encuentra</w:t>
      </w:r>
      <w:r>
        <w:rPr>
          <w:spacing w:val="-15"/>
        </w:rPr>
        <w:t> </w:t>
      </w:r>
      <w:r>
        <w:rPr/>
        <w:t>por</w:t>
      </w:r>
      <w:r>
        <w:rPr>
          <w:spacing w:val="-14"/>
        </w:rPr>
        <w:t> </w:t>
      </w:r>
      <w:r>
        <w:rPr/>
        <w:t>arriba</w:t>
      </w:r>
      <w:r>
        <w:rPr>
          <w:spacing w:val="-13"/>
        </w:rPr>
        <w:t> </w:t>
      </w:r>
      <w:r>
        <w:rPr/>
        <w:t>de</w:t>
      </w:r>
      <w:r>
        <w:rPr>
          <w:spacing w:val="-15"/>
        </w:rPr>
        <w:t> </w:t>
      </w:r>
      <w:r>
        <w:rPr/>
        <w:t>la</w:t>
      </w:r>
      <w:r>
        <w:rPr>
          <w:spacing w:val="-15"/>
        </w:rPr>
        <w:t> </w:t>
      </w:r>
      <w:r>
        <w:rPr/>
        <w:t>ejecución</w:t>
      </w:r>
      <w:r>
        <w:rPr>
          <w:spacing w:val="-13"/>
        </w:rPr>
        <w:t> </w:t>
      </w:r>
      <w:r>
        <w:rPr/>
        <w:t>promedio</w:t>
      </w:r>
      <w:r>
        <w:rPr>
          <w:spacing w:val="-12"/>
        </w:rPr>
        <w:t> </w:t>
      </w:r>
      <w:r>
        <w:rPr/>
        <w:t>de</w:t>
      </w:r>
      <w:r>
        <w:rPr>
          <w:spacing w:val="-15"/>
        </w:rPr>
        <w:t> </w:t>
      </w:r>
      <w:r>
        <w:rPr/>
        <w:t>los</w:t>
      </w:r>
      <w:r>
        <w:rPr>
          <w:spacing w:val="-15"/>
        </w:rPr>
        <w:t> </w:t>
      </w:r>
      <w:r>
        <w:rPr/>
        <w:t>últimos</w:t>
      </w:r>
      <w:r>
        <w:rPr>
          <w:spacing w:val="-13"/>
        </w:rPr>
        <w:t> </w:t>
      </w:r>
      <w:r>
        <w:rPr/>
        <w:t>5</w:t>
      </w:r>
      <w:r>
        <w:rPr>
          <w:spacing w:val="-12"/>
        </w:rPr>
        <w:t> </w:t>
      </w:r>
      <w:r>
        <w:rPr/>
        <w:t>años</w:t>
      </w:r>
      <w:r>
        <w:rPr>
          <w:spacing w:val="-13"/>
        </w:rPr>
        <w:t> </w:t>
      </w:r>
      <w:r>
        <w:rPr/>
        <w:t>(40.3%)</w:t>
      </w:r>
      <w:r>
        <w:rPr>
          <w:spacing w:val="-13"/>
        </w:rPr>
        <w:t> </w:t>
      </w:r>
      <w:r>
        <w:rPr/>
        <w:t>y</w:t>
      </w:r>
      <w:r>
        <w:rPr>
          <w:spacing w:val="-16"/>
        </w:rPr>
        <w:t> </w:t>
      </w:r>
      <w:r>
        <w:rPr/>
        <w:t>es</w:t>
      </w:r>
      <w:r>
        <w:rPr>
          <w:spacing w:val="-12"/>
        </w:rPr>
        <w:t> </w:t>
      </w:r>
      <w:r>
        <w:rPr/>
        <w:t>superior a la reportada en cada uno de los años anteriores, a excepción de 2019 cuando la ejecución fue de 42.9%.</w:t>
      </w:r>
    </w:p>
    <w:p>
      <w:pPr>
        <w:pStyle w:val="BodyText"/>
        <w:spacing w:before="3"/>
        <w:rPr>
          <w:sz w:val="25"/>
        </w:rPr>
      </w:pPr>
    </w:p>
    <w:p>
      <w:pPr>
        <w:pStyle w:val="BodyText"/>
        <w:spacing w:line="276" w:lineRule="auto"/>
        <w:ind w:left="562" w:right="1695"/>
        <w:jc w:val="both"/>
      </w:pPr>
      <w:r>
        <w:rPr/>
        <w:t>A nivel del gasto público por entidades, las que muestran el mayor nivel de ejecución son: Energía</w:t>
      </w:r>
      <w:r>
        <w:rPr>
          <w:spacing w:val="-34"/>
        </w:rPr>
        <w:t> </w:t>
      </w:r>
      <w:r>
        <w:rPr/>
        <w:t>y Minas (55.5%), PGN (47.7%), Deuda Pública (47.7%), Presidencia (46.1%), Educación (45.9%), Defensa (44.1%), Relaciones Exteriores (44.0%), Trabajo (44.0%) y Obligaciones del Estado (42.9%), todas estas entidades se encuentran por arriba de la ejecución institucional total</w:t>
      </w:r>
      <w:r>
        <w:rPr>
          <w:spacing w:val="-26"/>
        </w:rPr>
        <w:t> </w:t>
      </w:r>
      <w:r>
        <w:rPr/>
        <w:t>(42.3%).</w:t>
      </w:r>
    </w:p>
    <w:p>
      <w:pPr>
        <w:pStyle w:val="BodyText"/>
        <w:spacing w:before="3"/>
        <w:rPr>
          <w:sz w:val="25"/>
        </w:rPr>
      </w:pPr>
    </w:p>
    <w:p>
      <w:pPr>
        <w:pStyle w:val="BodyText"/>
        <w:spacing w:line="276" w:lineRule="auto"/>
        <w:ind w:left="562" w:right="1755"/>
        <w:jc w:val="both"/>
      </w:pPr>
      <w:r>
        <w:rPr/>
        <w:t>Es relevante el caso del Ministerio de Energía y Minas, cuyo presupuesto y nivel de ejecución se ha ido ampliando y se espera que continúe siendo alto dado que es la entidad que concentra el subsidio a las empresas que distribuyen gas propano y gasolina superior, regular y diésel.</w:t>
      </w:r>
    </w:p>
    <w:p>
      <w:pPr>
        <w:pStyle w:val="BodyText"/>
        <w:spacing w:line="276" w:lineRule="auto" w:before="162"/>
        <w:ind w:left="562" w:right="1693"/>
        <w:jc w:val="both"/>
      </w:pPr>
      <w:r>
        <w:rPr/>
        <w:t>Por su parte, el resto de las entidades se encuentran por debajo de la ejecución total, el caso más destacado es el de Ambiente y Recursos Naturales (31.5%), Economía (29.2%) y Comunicaciones (28.4%). En lo que respecta al Ministerio de Comunicaciones, Infraestructura y Vivienda, su bajo grado de ejecución se debe a que su presupuesto tuvo un aumento correspondiente al Decreto 21- 2022 “Ley para fortalecer el Mantenimiento y Construcción de Infraestructura Estratégica”, el cual aún no reporta ejecución. En los próximos meses, a medida que se dinamice la ejecución de los recursos,</w:t>
      </w:r>
      <w:r>
        <w:rPr>
          <w:spacing w:val="-4"/>
        </w:rPr>
        <w:t> </w:t>
      </w:r>
      <w:r>
        <w:rPr/>
        <w:t>se</w:t>
      </w:r>
      <w:r>
        <w:rPr>
          <w:spacing w:val="-5"/>
        </w:rPr>
        <w:t> </w:t>
      </w:r>
      <w:r>
        <w:rPr/>
        <w:t>esperaría</w:t>
      </w:r>
      <w:r>
        <w:rPr>
          <w:spacing w:val="-3"/>
        </w:rPr>
        <w:t> </w:t>
      </w:r>
      <w:r>
        <w:rPr/>
        <w:t>un</w:t>
      </w:r>
      <w:r>
        <w:rPr>
          <w:spacing w:val="-6"/>
        </w:rPr>
        <w:t> </w:t>
      </w:r>
      <w:r>
        <w:rPr/>
        <w:t>incremento</w:t>
      </w:r>
      <w:r>
        <w:rPr>
          <w:spacing w:val="-4"/>
        </w:rPr>
        <w:t> </w:t>
      </w:r>
      <w:r>
        <w:rPr/>
        <w:t>en</w:t>
      </w:r>
      <w:r>
        <w:rPr>
          <w:spacing w:val="-4"/>
        </w:rPr>
        <w:t> </w:t>
      </w:r>
      <w:r>
        <w:rPr/>
        <w:t>el</w:t>
      </w:r>
      <w:r>
        <w:rPr>
          <w:spacing w:val="-3"/>
        </w:rPr>
        <w:t> </w:t>
      </w:r>
      <w:r>
        <w:rPr/>
        <w:t>rubro</w:t>
      </w:r>
      <w:r>
        <w:rPr>
          <w:spacing w:val="-7"/>
        </w:rPr>
        <w:t> </w:t>
      </w:r>
      <w:r>
        <w:rPr/>
        <w:t>de</w:t>
      </w:r>
      <w:r>
        <w:rPr>
          <w:spacing w:val="-6"/>
        </w:rPr>
        <w:t> </w:t>
      </w:r>
      <w:r>
        <w:rPr/>
        <w:t>la</w:t>
      </w:r>
      <w:r>
        <w:rPr>
          <w:spacing w:val="-6"/>
        </w:rPr>
        <w:t> </w:t>
      </w:r>
      <w:r>
        <w:rPr/>
        <w:t>inversión</w:t>
      </w:r>
      <w:r>
        <w:rPr>
          <w:spacing w:val="-6"/>
        </w:rPr>
        <w:t> </w:t>
      </w:r>
      <w:r>
        <w:rPr/>
        <w:t>real</w:t>
      </w:r>
      <w:r>
        <w:rPr>
          <w:spacing w:val="-5"/>
        </w:rPr>
        <w:t> </w:t>
      </w:r>
      <w:r>
        <w:rPr/>
        <w:t>directa</w:t>
      </w:r>
      <w:r>
        <w:rPr>
          <w:spacing w:val="-3"/>
        </w:rPr>
        <w:t> </w:t>
      </w:r>
      <w:r>
        <w:rPr/>
        <w:t>y</w:t>
      </w:r>
      <w:r>
        <w:rPr>
          <w:spacing w:val="-6"/>
        </w:rPr>
        <w:t> </w:t>
      </w:r>
      <w:r>
        <w:rPr/>
        <w:t>el</w:t>
      </w:r>
      <w:r>
        <w:rPr>
          <w:spacing w:val="-5"/>
        </w:rPr>
        <w:t> </w:t>
      </w:r>
      <w:r>
        <w:rPr/>
        <w:t>nivel</w:t>
      </w:r>
      <w:r>
        <w:rPr>
          <w:spacing w:val="-4"/>
        </w:rPr>
        <w:t> </w:t>
      </w:r>
      <w:r>
        <w:rPr/>
        <w:t>de</w:t>
      </w:r>
      <w:r>
        <w:rPr>
          <w:spacing w:val="-3"/>
        </w:rPr>
        <w:t> </w:t>
      </w:r>
      <w:r>
        <w:rPr/>
        <w:t>ejecución</w:t>
      </w:r>
      <w:r>
        <w:rPr>
          <w:spacing w:val="-4"/>
        </w:rPr>
        <w:t> </w:t>
      </w:r>
      <w:r>
        <w:rPr/>
        <w:t>de este</w:t>
      </w:r>
      <w:r>
        <w:rPr>
          <w:spacing w:val="-3"/>
        </w:rPr>
        <w:t> </w:t>
      </w:r>
      <w:r>
        <w:rPr/>
        <w:t>Ministerio.</w:t>
      </w:r>
    </w:p>
    <w:p>
      <w:pPr>
        <w:pStyle w:val="BodyText"/>
        <w:spacing w:before="4"/>
        <w:rPr>
          <w:sz w:val="25"/>
        </w:rPr>
      </w:pPr>
    </w:p>
    <w:p>
      <w:pPr>
        <w:pStyle w:val="BodyText"/>
        <w:spacing w:line="276" w:lineRule="auto"/>
        <w:ind w:left="562" w:right="1698"/>
        <w:jc w:val="both"/>
      </w:pPr>
      <w:r>
        <w:rPr/>
        <w:t>Es importante indicar que durante el año se han aprobado diferentes decretos que pretenden mitigar el efecto económico sobre la población, dado que existen factores externos que han impulsado los precios con un efecto negativo sobre los bolsillos de los guatemaltecos, entre estos destacan las tensiones geopolíticas por la guerra entre Rusia y Ucrania, que ha generado problemas</w:t>
      </w:r>
      <w:r>
        <w:rPr>
          <w:spacing w:val="-37"/>
        </w:rPr>
        <w:t> </w:t>
      </w:r>
      <w:r>
        <w:rPr/>
        <w:t>especulativos con presiones y volatilidad en los precios internacionales de algunos commodities, así como efectos rezagados del COVID-19, como la crisis de contenedores en los principales</w:t>
      </w:r>
      <w:r>
        <w:rPr>
          <w:spacing w:val="-10"/>
        </w:rPr>
        <w:t> </w:t>
      </w:r>
      <w:r>
        <w:rPr/>
        <w:t>puertos.</w:t>
      </w:r>
    </w:p>
    <w:p>
      <w:pPr>
        <w:spacing w:after="0" w:line="276" w:lineRule="auto"/>
        <w:jc w:val="both"/>
        <w:sectPr>
          <w:pgSz w:w="12240" w:h="15840"/>
          <w:pgMar w:header="715" w:footer="957" w:top="1240" w:bottom="1140" w:left="1140" w:right="0"/>
        </w:sectPr>
      </w:pPr>
    </w:p>
    <w:p>
      <w:pPr>
        <w:spacing w:line="273" w:lineRule="auto" w:before="178"/>
        <w:ind w:left="4539" w:right="1704" w:hanging="3510"/>
        <w:jc w:val="left"/>
        <w:rPr>
          <w:b/>
          <w:sz w:val="20"/>
        </w:rPr>
      </w:pPr>
      <w:r>
        <w:rPr/>
        <w:pict>
          <v:group style="position:absolute;margin-left:93.384003pt;margin-top:70.919998pt;width:423pt;height:630.1pt;mso-position-horizontal-relative:page;mso-position-vertical-relative:page;z-index:-280480768" coordorigin="1868,1418" coordsize="8460,12602">
            <v:rect style="position:absolute;left:1877;top:1428;width:8440;height:264" filled="true" fillcolor="#deeaf6" stroked="false">
              <v:fill type="solid"/>
            </v:rect>
            <v:line style="position:absolute" from="1877,1423" to="10317,1423" stroked="true" strokeweight=".48pt" strokecolor="#000000">
              <v:stroke dashstyle="solid"/>
            </v:line>
            <v:shape style="position:absolute;left:1877;top:1691;width:8440;height:12329" coordorigin="1877,1692" coordsize="8440,12329" path="m10317,12962l1877,12962,1877,13226,1877,13492,1877,13756,1877,13756,1877,14020,10317,14020,10317,13756,10317,13756,10317,13492,10317,13226,10317,12962m10317,12434l1877,12434,1877,12698,1877,12962,10317,12962,10317,12698,10317,12434m10317,11903l1877,11903,1877,12170,1877,12434,10317,12434,10317,12170,10317,11903m10317,11639l1877,11639,1877,11903,10317,11903,10317,11639m10317,10847l1877,10847,1877,11111,1877,11375,1877,11639,10317,11639,10317,11375,10317,11111,10317,10847m10317,8994l1877,8994,1877,9258,1877,9525,1877,9789,1877,10053,1877,10317,1877,10581,1877,10847,10317,10847,10317,10581,10317,10317,10317,10053,10317,9789,10317,9525,10317,9258,10317,8994m10317,8202l1877,8202,1877,8466,1877,8466,1877,8730,1877,8994,10317,8994,10317,8730,10317,8466,10317,8466,10317,8202m10317,6613l1877,6613,1877,6879,1877,7143,1877,7407,1877,7671,1877,7935,1877,8202,10317,8202,10317,7935,10317,7671,10317,7407,10317,7143,10317,6879,10317,6613m10317,5026l1877,5026,1877,5291,1877,5557,1877,5821,1877,6085,1877,6349,1877,6613,10317,6613,10317,6349,10317,6085,10317,5821,10317,5557,10317,5291,10317,5026m10317,1692l1877,1692,1877,2117,1877,2381,1877,2645,1877,2912,1877,3176,1877,3440,1877,3704,1877,3968,1877,4234,1877,4498,1877,4762,1877,5026,10317,5026,10317,4762,10317,4498,10317,4234,10317,3968,10317,3704,10317,3440,10317,3176,10317,2912,10317,2645,10317,2381,10317,2117,10317,1692e" filled="true" fillcolor="#deeaf6" stroked="false">
              <v:path arrowok="t"/>
              <v:fill type="solid"/>
            </v:shape>
            <v:line style="position:absolute" from="1872,1418" to="1872,14020" stroked="true" strokeweight=".48pt" strokecolor="#000000">
              <v:stroke dashstyle="solid"/>
            </v:line>
            <v:line style="position:absolute" from="10322,1418" to="10322,14020" stroked="true" strokeweight=".48pt" strokecolor="#000000">
              <v:stroke dashstyle="solid"/>
            </v:line>
            <w10:wrap type="none"/>
          </v:group>
        </w:pict>
      </w:r>
      <w:r>
        <w:rPr>
          <w:b/>
          <w:sz w:val="20"/>
        </w:rPr>
        <w:t>Decretos aprobados, ampliaciones y otras acciones para mitigar el efecto económico sobre la población</w:t>
      </w:r>
    </w:p>
    <w:p>
      <w:pPr>
        <w:spacing w:line="276" w:lineRule="auto" w:before="160"/>
        <w:ind w:left="845" w:right="2027" w:firstLine="0"/>
        <w:jc w:val="both"/>
        <w:rPr>
          <w:sz w:val="20"/>
        </w:rPr>
      </w:pPr>
      <w:r>
        <w:rPr>
          <w:sz w:val="20"/>
        </w:rPr>
        <w:t>El</w:t>
      </w:r>
      <w:r>
        <w:rPr>
          <w:spacing w:val="-15"/>
          <w:sz w:val="20"/>
        </w:rPr>
        <w:t> </w:t>
      </w:r>
      <w:r>
        <w:rPr>
          <w:sz w:val="20"/>
        </w:rPr>
        <w:t>gobierno</w:t>
      </w:r>
      <w:r>
        <w:rPr>
          <w:spacing w:val="-14"/>
          <w:sz w:val="20"/>
        </w:rPr>
        <w:t> </w:t>
      </w:r>
      <w:r>
        <w:rPr>
          <w:sz w:val="20"/>
        </w:rPr>
        <w:t>ha</w:t>
      </w:r>
      <w:r>
        <w:rPr>
          <w:spacing w:val="-15"/>
          <w:sz w:val="20"/>
        </w:rPr>
        <w:t> </w:t>
      </w:r>
      <w:r>
        <w:rPr>
          <w:sz w:val="20"/>
        </w:rPr>
        <w:t>adoptado</w:t>
      </w:r>
      <w:r>
        <w:rPr>
          <w:spacing w:val="-14"/>
          <w:sz w:val="20"/>
        </w:rPr>
        <w:t> </w:t>
      </w:r>
      <w:r>
        <w:rPr>
          <w:sz w:val="20"/>
        </w:rPr>
        <w:t>una</w:t>
      </w:r>
      <w:r>
        <w:rPr>
          <w:spacing w:val="-14"/>
          <w:sz w:val="20"/>
        </w:rPr>
        <w:t> </w:t>
      </w:r>
      <w:r>
        <w:rPr>
          <w:sz w:val="20"/>
        </w:rPr>
        <w:t>serie</w:t>
      </w:r>
      <w:r>
        <w:rPr>
          <w:spacing w:val="-15"/>
          <w:sz w:val="20"/>
        </w:rPr>
        <w:t> </w:t>
      </w:r>
      <w:r>
        <w:rPr>
          <w:sz w:val="20"/>
        </w:rPr>
        <w:t>de</w:t>
      </w:r>
      <w:r>
        <w:rPr>
          <w:spacing w:val="-15"/>
          <w:sz w:val="20"/>
        </w:rPr>
        <w:t> </w:t>
      </w:r>
      <w:r>
        <w:rPr>
          <w:sz w:val="20"/>
        </w:rPr>
        <w:t>medidas</w:t>
      </w:r>
      <w:r>
        <w:rPr>
          <w:spacing w:val="-15"/>
          <w:sz w:val="20"/>
        </w:rPr>
        <w:t> </w:t>
      </w:r>
      <w:r>
        <w:rPr>
          <w:sz w:val="20"/>
        </w:rPr>
        <w:t>que</w:t>
      </w:r>
      <w:r>
        <w:rPr>
          <w:spacing w:val="-14"/>
          <w:sz w:val="20"/>
        </w:rPr>
        <w:t> </w:t>
      </w:r>
      <w:r>
        <w:rPr>
          <w:sz w:val="20"/>
        </w:rPr>
        <w:t>se</w:t>
      </w:r>
      <w:r>
        <w:rPr>
          <w:spacing w:val="-12"/>
          <w:sz w:val="20"/>
        </w:rPr>
        <w:t> </w:t>
      </w:r>
      <w:r>
        <w:rPr>
          <w:sz w:val="20"/>
        </w:rPr>
        <w:t>han</w:t>
      </w:r>
      <w:r>
        <w:rPr>
          <w:spacing w:val="-13"/>
          <w:sz w:val="20"/>
        </w:rPr>
        <w:t> </w:t>
      </w:r>
      <w:r>
        <w:rPr>
          <w:sz w:val="20"/>
        </w:rPr>
        <w:t>materializado</w:t>
      </w:r>
      <w:r>
        <w:rPr>
          <w:spacing w:val="-14"/>
          <w:sz w:val="20"/>
        </w:rPr>
        <w:t> </w:t>
      </w:r>
      <w:r>
        <w:rPr>
          <w:sz w:val="20"/>
        </w:rPr>
        <w:t>en</w:t>
      </w:r>
      <w:r>
        <w:rPr>
          <w:spacing w:val="-16"/>
          <w:sz w:val="20"/>
        </w:rPr>
        <w:t> </w:t>
      </w:r>
      <w:r>
        <w:rPr>
          <w:sz w:val="20"/>
        </w:rPr>
        <w:t>ampliaciones</w:t>
      </w:r>
      <w:r>
        <w:rPr>
          <w:spacing w:val="-14"/>
          <w:sz w:val="20"/>
        </w:rPr>
        <w:t> </w:t>
      </w:r>
      <w:r>
        <w:rPr>
          <w:sz w:val="20"/>
        </w:rPr>
        <w:t>presupuestarias, la primera fue la aprobación del </w:t>
      </w:r>
      <w:r>
        <w:rPr>
          <w:b/>
          <w:sz w:val="20"/>
        </w:rPr>
        <w:t>Decreto 17-2022 “Ley de Apoyo Social Temporal a los Consumidores</w:t>
      </w:r>
      <w:r>
        <w:rPr>
          <w:b/>
          <w:spacing w:val="-6"/>
          <w:sz w:val="20"/>
        </w:rPr>
        <w:t> </w:t>
      </w:r>
      <w:r>
        <w:rPr>
          <w:b/>
          <w:sz w:val="20"/>
        </w:rPr>
        <w:t>de</w:t>
      </w:r>
      <w:r>
        <w:rPr>
          <w:b/>
          <w:spacing w:val="-2"/>
          <w:sz w:val="20"/>
        </w:rPr>
        <w:t> </w:t>
      </w:r>
      <w:r>
        <w:rPr>
          <w:b/>
          <w:sz w:val="20"/>
        </w:rPr>
        <w:t>Gas</w:t>
      </w:r>
      <w:r>
        <w:rPr>
          <w:b/>
          <w:spacing w:val="-6"/>
          <w:sz w:val="20"/>
        </w:rPr>
        <w:t> </w:t>
      </w:r>
      <w:r>
        <w:rPr>
          <w:b/>
          <w:sz w:val="20"/>
        </w:rPr>
        <w:t>Propano” </w:t>
      </w:r>
      <w:r>
        <w:rPr>
          <w:sz w:val="20"/>
        </w:rPr>
        <w:t>siendo</w:t>
      </w:r>
      <w:r>
        <w:rPr>
          <w:spacing w:val="-4"/>
          <w:sz w:val="20"/>
        </w:rPr>
        <w:t> </w:t>
      </w:r>
      <w:r>
        <w:rPr>
          <w:sz w:val="20"/>
        </w:rPr>
        <w:t>un</w:t>
      </w:r>
      <w:r>
        <w:rPr>
          <w:spacing w:val="-6"/>
          <w:sz w:val="20"/>
        </w:rPr>
        <w:t> </w:t>
      </w:r>
      <w:r>
        <w:rPr>
          <w:sz w:val="20"/>
        </w:rPr>
        <w:t>apoyo</w:t>
      </w:r>
      <w:r>
        <w:rPr>
          <w:spacing w:val="-3"/>
          <w:sz w:val="20"/>
        </w:rPr>
        <w:t> </w:t>
      </w:r>
      <w:r>
        <w:rPr>
          <w:sz w:val="20"/>
        </w:rPr>
        <w:t>social</w:t>
      </w:r>
      <w:r>
        <w:rPr>
          <w:spacing w:val="-5"/>
          <w:sz w:val="20"/>
        </w:rPr>
        <w:t> </w:t>
      </w:r>
      <w:r>
        <w:rPr>
          <w:sz w:val="20"/>
        </w:rPr>
        <w:t>temporal</w:t>
      </w:r>
      <w:r>
        <w:rPr>
          <w:spacing w:val="-4"/>
          <w:sz w:val="20"/>
        </w:rPr>
        <w:t> </w:t>
      </w:r>
      <w:r>
        <w:rPr>
          <w:sz w:val="20"/>
        </w:rPr>
        <w:t>de</w:t>
      </w:r>
      <w:r>
        <w:rPr>
          <w:spacing w:val="-4"/>
          <w:sz w:val="20"/>
        </w:rPr>
        <w:t> </w:t>
      </w:r>
      <w:r>
        <w:rPr>
          <w:sz w:val="20"/>
        </w:rPr>
        <w:t>los</w:t>
      </w:r>
      <w:r>
        <w:rPr>
          <w:spacing w:val="-4"/>
          <w:sz w:val="20"/>
        </w:rPr>
        <w:t> </w:t>
      </w:r>
      <w:r>
        <w:rPr>
          <w:sz w:val="20"/>
        </w:rPr>
        <w:t>cilindros</w:t>
      </w:r>
      <w:r>
        <w:rPr>
          <w:spacing w:val="-5"/>
          <w:sz w:val="20"/>
        </w:rPr>
        <w:t> </w:t>
      </w:r>
      <w:r>
        <w:rPr>
          <w:sz w:val="20"/>
        </w:rPr>
        <w:t>de</w:t>
      </w:r>
      <w:r>
        <w:rPr>
          <w:spacing w:val="-4"/>
          <w:sz w:val="20"/>
        </w:rPr>
        <w:t> </w:t>
      </w:r>
      <w:r>
        <w:rPr>
          <w:sz w:val="20"/>
        </w:rPr>
        <w:t>gas</w:t>
      </w:r>
      <w:r>
        <w:rPr>
          <w:spacing w:val="-4"/>
          <w:sz w:val="20"/>
        </w:rPr>
        <w:t> </w:t>
      </w:r>
      <w:r>
        <w:rPr>
          <w:sz w:val="20"/>
        </w:rPr>
        <w:t>propano</w:t>
      </w:r>
      <w:r>
        <w:rPr>
          <w:spacing w:val="-3"/>
          <w:sz w:val="20"/>
        </w:rPr>
        <w:t> </w:t>
      </w:r>
      <w:r>
        <w:rPr>
          <w:sz w:val="20"/>
        </w:rPr>
        <w:t>con capacidad de 10, 20, 25 y 35 libras, con el objetivo de beneficiar a la población guatemalteca que consume dicho producto, siendo otorgado durante 3</w:t>
      </w:r>
      <w:r>
        <w:rPr>
          <w:spacing w:val="4"/>
          <w:sz w:val="20"/>
        </w:rPr>
        <w:t> </w:t>
      </w:r>
      <w:r>
        <w:rPr>
          <w:sz w:val="20"/>
        </w:rPr>
        <w:t>meses.</w:t>
      </w:r>
    </w:p>
    <w:p>
      <w:pPr>
        <w:pStyle w:val="BodyText"/>
        <w:spacing w:before="1"/>
        <w:rPr>
          <w:sz w:val="15"/>
        </w:rPr>
      </w:pPr>
    </w:p>
    <w:p>
      <w:pPr>
        <w:spacing w:line="276" w:lineRule="auto" w:before="91"/>
        <w:ind w:left="845" w:right="2029" w:firstLine="0"/>
        <w:jc w:val="both"/>
        <w:rPr>
          <w:sz w:val="20"/>
        </w:rPr>
      </w:pPr>
      <w:r>
        <w:rPr>
          <w:sz w:val="20"/>
        </w:rPr>
        <w:t>Este decreto constituye una extensión del Decreto 15-2021 que tuvo el mismo fin y estuvo vigente por 3 meses. En junio nuevamente fue ampliado el subsidio por medio del </w:t>
      </w:r>
      <w:r>
        <w:rPr>
          <w:b/>
          <w:sz w:val="20"/>
        </w:rPr>
        <w:t>Decreto 33-2022 que contiene reformas a la “Ley de Apoyo Social Temporal a los Consumidores de Gas Propano” </w:t>
      </w:r>
      <w:r>
        <w:rPr>
          <w:sz w:val="20"/>
        </w:rPr>
        <w:t>otorgándose por</w:t>
      </w:r>
      <w:r>
        <w:rPr>
          <w:spacing w:val="-11"/>
          <w:sz w:val="20"/>
        </w:rPr>
        <w:t> </w:t>
      </w:r>
      <w:r>
        <w:rPr>
          <w:sz w:val="20"/>
        </w:rPr>
        <w:t>un</w:t>
      </w:r>
      <w:r>
        <w:rPr>
          <w:spacing w:val="-13"/>
          <w:sz w:val="20"/>
        </w:rPr>
        <w:t> </w:t>
      </w:r>
      <w:r>
        <w:rPr>
          <w:sz w:val="20"/>
        </w:rPr>
        <w:t>período</w:t>
      </w:r>
      <w:r>
        <w:rPr>
          <w:spacing w:val="-10"/>
          <w:sz w:val="20"/>
        </w:rPr>
        <w:t> </w:t>
      </w:r>
      <w:r>
        <w:rPr>
          <w:sz w:val="20"/>
        </w:rPr>
        <w:t>de</w:t>
      </w:r>
      <w:r>
        <w:rPr>
          <w:spacing w:val="-13"/>
          <w:sz w:val="20"/>
        </w:rPr>
        <w:t> </w:t>
      </w:r>
      <w:r>
        <w:rPr>
          <w:sz w:val="20"/>
        </w:rPr>
        <w:t>2</w:t>
      </w:r>
      <w:r>
        <w:rPr>
          <w:spacing w:val="-11"/>
          <w:sz w:val="20"/>
        </w:rPr>
        <w:t> </w:t>
      </w:r>
      <w:r>
        <w:rPr>
          <w:sz w:val="20"/>
        </w:rPr>
        <w:t>meses</w:t>
      </w:r>
      <w:r>
        <w:rPr>
          <w:spacing w:val="-10"/>
          <w:sz w:val="20"/>
        </w:rPr>
        <w:t> </w:t>
      </w:r>
      <w:r>
        <w:rPr>
          <w:sz w:val="20"/>
        </w:rPr>
        <w:t>más</w:t>
      </w:r>
      <w:r>
        <w:rPr>
          <w:spacing w:val="-9"/>
          <w:sz w:val="20"/>
        </w:rPr>
        <w:t> </w:t>
      </w:r>
      <w:r>
        <w:rPr>
          <w:sz w:val="20"/>
        </w:rPr>
        <w:t>con</w:t>
      </w:r>
      <w:r>
        <w:rPr>
          <w:spacing w:val="-13"/>
          <w:sz w:val="20"/>
        </w:rPr>
        <w:t> </w:t>
      </w:r>
      <w:r>
        <w:rPr>
          <w:sz w:val="20"/>
        </w:rPr>
        <w:t>un</w:t>
      </w:r>
      <w:r>
        <w:rPr>
          <w:spacing w:val="-9"/>
          <w:sz w:val="20"/>
        </w:rPr>
        <w:t> </w:t>
      </w:r>
      <w:r>
        <w:rPr>
          <w:sz w:val="20"/>
        </w:rPr>
        <w:t>costo</w:t>
      </w:r>
      <w:r>
        <w:rPr>
          <w:spacing w:val="-11"/>
          <w:sz w:val="20"/>
        </w:rPr>
        <w:t> </w:t>
      </w:r>
      <w:r>
        <w:rPr>
          <w:sz w:val="20"/>
        </w:rPr>
        <w:t>de</w:t>
      </w:r>
      <w:r>
        <w:rPr>
          <w:spacing w:val="-10"/>
          <w:sz w:val="20"/>
        </w:rPr>
        <w:t> </w:t>
      </w:r>
      <w:r>
        <w:rPr>
          <w:sz w:val="20"/>
        </w:rPr>
        <w:t>Q70</w:t>
      </w:r>
      <w:r>
        <w:rPr>
          <w:spacing w:val="-8"/>
          <w:sz w:val="20"/>
        </w:rPr>
        <w:t> </w:t>
      </w:r>
      <w:r>
        <w:rPr>
          <w:sz w:val="20"/>
        </w:rPr>
        <w:t>millones</w:t>
      </w:r>
      <w:r>
        <w:rPr>
          <w:spacing w:val="-10"/>
          <w:sz w:val="20"/>
        </w:rPr>
        <w:t> </w:t>
      </w:r>
      <w:r>
        <w:rPr>
          <w:sz w:val="20"/>
        </w:rPr>
        <w:t>adicionales</w:t>
      </w:r>
      <w:r>
        <w:rPr>
          <w:spacing w:val="-11"/>
          <w:sz w:val="20"/>
        </w:rPr>
        <w:t> </w:t>
      </w:r>
      <w:r>
        <w:rPr>
          <w:sz w:val="20"/>
        </w:rPr>
        <w:t>a</w:t>
      </w:r>
      <w:r>
        <w:rPr>
          <w:spacing w:val="-11"/>
          <w:sz w:val="20"/>
        </w:rPr>
        <w:t> </w:t>
      </w:r>
      <w:r>
        <w:rPr>
          <w:sz w:val="20"/>
        </w:rPr>
        <w:t>los</w:t>
      </w:r>
      <w:r>
        <w:rPr>
          <w:spacing w:val="-11"/>
          <w:sz w:val="20"/>
        </w:rPr>
        <w:t> </w:t>
      </w:r>
      <w:r>
        <w:rPr>
          <w:sz w:val="20"/>
        </w:rPr>
        <w:t>Q150</w:t>
      </w:r>
      <w:r>
        <w:rPr>
          <w:spacing w:val="-8"/>
          <w:sz w:val="20"/>
        </w:rPr>
        <w:t> </w:t>
      </w:r>
      <w:r>
        <w:rPr>
          <w:sz w:val="20"/>
        </w:rPr>
        <w:t>millones</w:t>
      </w:r>
      <w:r>
        <w:rPr>
          <w:spacing w:val="-11"/>
          <w:sz w:val="20"/>
        </w:rPr>
        <w:t> </w:t>
      </w:r>
      <w:r>
        <w:rPr>
          <w:sz w:val="20"/>
        </w:rPr>
        <w:t>aprobados anteriormente.</w:t>
      </w:r>
    </w:p>
    <w:p>
      <w:pPr>
        <w:pStyle w:val="BodyText"/>
        <w:spacing w:before="1"/>
        <w:rPr>
          <w:sz w:val="15"/>
        </w:rPr>
      </w:pPr>
    </w:p>
    <w:p>
      <w:pPr>
        <w:spacing w:line="278" w:lineRule="auto" w:before="91"/>
        <w:ind w:left="845" w:right="1970" w:firstLine="0"/>
        <w:jc w:val="left"/>
        <w:rPr>
          <w:sz w:val="20"/>
        </w:rPr>
      </w:pPr>
      <w:r>
        <w:rPr>
          <w:sz w:val="20"/>
        </w:rPr>
        <w:t>En total, esta medida de apoyo social a los consumidores de gas propano estaría vigente por un período de 8 meses (incluye los 3 decretos aprobados).</w:t>
      </w:r>
    </w:p>
    <w:p>
      <w:pPr>
        <w:pStyle w:val="BodyText"/>
        <w:spacing w:before="9"/>
        <w:rPr>
          <w:sz w:val="14"/>
        </w:rPr>
      </w:pPr>
    </w:p>
    <w:p>
      <w:pPr>
        <w:spacing w:line="276" w:lineRule="auto" w:before="91"/>
        <w:ind w:left="845" w:right="1704" w:firstLine="0"/>
        <w:jc w:val="left"/>
        <w:rPr>
          <w:sz w:val="20"/>
        </w:rPr>
      </w:pPr>
      <w:r>
        <w:rPr>
          <w:sz w:val="20"/>
        </w:rPr>
        <w:t>El</w:t>
      </w:r>
      <w:r>
        <w:rPr>
          <w:spacing w:val="-13"/>
          <w:sz w:val="20"/>
        </w:rPr>
        <w:t> </w:t>
      </w:r>
      <w:r>
        <w:rPr>
          <w:sz w:val="20"/>
        </w:rPr>
        <w:t>Ministerio</w:t>
      </w:r>
      <w:r>
        <w:rPr>
          <w:spacing w:val="-11"/>
          <w:sz w:val="20"/>
        </w:rPr>
        <w:t> </w:t>
      </w:r>
      <w:r>
        <w:rPr>
          <w:sz w:val="20"/>
        </w:rPr>
        <w:t>de</w:t>
      </w:r>
      <w:r>
        <w:rPr>
          <w:spacing w:val="-12"/>
          <w:sz w:val="20"/>
        </w:rPr>
        <w:t> </w:t>
      </w:r>
      <w:r>
        <w:rPr>
          <w:sz w:val="20"/>
        </w:rPr>
        <w:t>Energía</w:t>
      </w:r>
      <w:r>
        <w:rPr>
          <w:spacing w:val="-9"/>
          <w:sz w:val="20"/>
        </w:rPr>
        <w:t> </w:t>
      </w:r>
      <w:r>
        <w:rPr>
          <w:sz w:val="20"/>
        </w:rPr>
        <w:t>y</w:t>
      </w:r>
      <w:r>
        <w:rPr>
          <w:spacing w:val="-13"/>
          <w:sz w:val="20"/>
        </w:rPr>
        <w:t> </w:t>
      </w:r>
      <w:r>
        <w:rPr>
          <w:sz w:val="20"/>
        </w:rPr>
        <w:t>Minas,</w:t>
      </w:r>
      <w:r>
        <w:rPr>
          <w:spacing w:val="-12"/>
          <w:sz w:val="20"/>
        </w:rPr>
        <w:t> </w:t>
      </w:r>
      <w:r>
        <w:rPr>
          <w:sz w:val="20"/>
        </w:rPr>
        <w:t>en</w:t>
      </w:r>
      <w:r>
        <w:rPr>
          <w:spacing w:val="-12"/>
          <w:sz w:val="20"/>
        </w:rPr>
        <w:t> </w:t>
      </w:r>
      <w:r>
        <w:rPr>
          <w:sz w:val="20"/>
        </w:rPr>
        <w:t>coordinación</w:t>
      </w:r>
      <w:r>
        <w:rPr>
          <w:spacing w:val="-13"/>
          <w:sz w:val="20"/>
        </w:rPr>
        <w:t> </w:t>
      </w:r>
      <w:r>
        <w:rPr>
          <w:sz w:val="20"/>
        </w:rPr>
        <w:t>con</w:t>
      </w:r>
      <w:r>
        <w:rPr>
          <w:spacing w:val="-14"/>
          <w:sz w:val="20"/>
        </w:rPr>
        <w:t> </w:t>
      </w:r>
      <w:r>
        <w:rPr>
          <w:sz w:val="20"/>
        </w:rPr>
        <w:t>el</w:t>
      </w:r>
      <w:r>
        <w:rPr>
          <w:spacing w:val="-11"/>
          <w:sz w:val="20"/>
        </w:rPr>
        <w:t> </w:t>
      </w:r>
      <w:r>
        <w:rPr>
          <w:sz w:val="20"/>
        </w:rPr>
        <w:t>Ministerio</w:t>
      </w:r>
      <w:r>
        <w:rPr>
          <w:spacing w:val="-11"/>
          <w:sz w:val="20"/>
        </w:rPr>
        <w:t> </w:t>
      </w:r>
      <w:r>
        <w:rPr>
          <w:sz w:val="20"/>
        </w:rPr>
        <w:t>de</w:t>
      </w:r>
      <w:r>
        <w:rPr>
          <w:spacing w:val="-12"/>
          <w:sz w:val="20"/>
        </w:rPr>
        <w:t> </w:t>
      </w:r>
      <w:r>
        <w:rPr>
          <w:sz w:val="20"/>
        </w:rPr>
        <w:t>Economía,</w:t>
      </w:r>
      <w:r>
        <w:rPr>
          <w:spacing w:val="-9"/>
          <w:sz w:val="20"/>
        </w:rPr>
        <w:t> </w:t>
      </w:r>
      <w:r>
        <w:rPr>
          <w:sz w:val="20"/>
        </w:rPr>
        <w:t>verifican</w:t>
      </w:r>
      <w:r>
        <w:rPr>
          <w:spacing w:val="-11"/>
          <w:sz w:val="20"/>
        </w:rPr>
        <w:t> </w:t>
      </w:r>
      <w:r>
        <w:rPr>
          <w:sz w:val="20"/>
        </w:rPr>
        <w:t>la</w:t>
      </w:r>
      <w:r>
        <w:rPr>
          <w:spacing w:val="-11"/>
          <w:sz w:val="20"/>
        </w:rPr>
        <w:t> </w:t>
      </w:r>
      <w:r>
        <w:rPr>
          <w:sz w:val="20"/>
        </w:rPr>
        <w:t>adecuada implementación del apoyo social</w:t>
      </w:r>
      <w:r>
        <w:rPr>
          <w:spacing w:val="-1"/>
          <w:sz w:val="20"/>
        </w:rPr>
        <w:t> </w:t>
      </w:r>
      <w:r>
        <w:rPr>
          <w:sz w:val="20"/>
        </w:rPr>
        <w:t>temporal.</w:t>
      </w:r>
    </w:p>
    <w:p>
      <w:pPr>
        <w:pStyle w:val="BodyText"/>
        <w:spacing w:before="2"/>
        <w:rPr>
          <w:sz w:val="15"/>
        </w:rPr>
      </w:pPr>
    </w:p>
    <w:p>
      <w:pPr>
        <w:spacing w:before="91"/>
        <w:ind w:left="845" w:right="0" w:firstLine="0"/>
        <w:jc w:val="left"/>
        <w:rPr>
          <w:sz w:val="20"/>
        </w:rPr>
      </w:pPr>
      <w:r>
        <w:rPr>
          <w:sz w:val="20"/>
        </w:rPr>
        <w:t>Para el financiamiento de esta medida se hace uso de recursos disponibles en caja y bancos.</w:t>
      </w:r>
    </w:p>
    <w:p>
      <w:pPr>
        <w:pStyle w:val="BodyText"/>
        <w:rPr>
          <w:sz w:val="18"/>
        </w:rPr>
      </w:pPr>
    </w:p>
    <w:p>
      <w:pPr>
        <w:spacing w:line="276" w:lineRule="auto" w:before="91"/>
        <w:ind w:left="845" w:right="2031" w:firstLine="0"/>
        <w:jc w:val="both"/>
        <w:rPr>
          <w:sz w:val="20"/>
        </w:rPr>
      </w:pPr>
      <w:r>
        <w:rPr>
          <w:sz w:val="20"/>
        </w:rPr>
        <w:t>La</w:t>
      </w:r>
      <w:r>
        <w:rPr>
          <w:spacing w:val="-5"/>
          <w:sz w:val="20"/>
        </w:rPr>
        <w:t> </w:t>
      </w:r>
      <w:r>
        <w:rPr>
          <w:sz w:val="20"/>
        </w:rPr>
        <w:t>segunda</w:t>
      </w:r>
      <w:r>
        <w:rPr>
          <w:spacing w:val="-4"/>
          <w:sz w:val="20"/>
        </w:rPr>
        <w:t> </w:t>
      </w:r>
      <w:r>
        <w:rPr>
          <w:sz w:val="20"/>
        </w:rPr>
        <w:t>medida</w:t>
      </w:r>
      <w:r>
        <w:rPr>
          <w:spacing w:val="-6"/>
          <w:sz w:val="20"/>
        </w:rPr>
        <w:t> </w:t>
      </w:r>
      <w:r>
        <w:rPr>
          <w:sz w:val="20"/>
        </w:rPr>
        <w:t>adoptada</w:t>
      </w:r>
      <w:r>
        <w:rPr>
          <w:spacing w:val="-6"/>
          <w:sz w:val="20"/>
        </w:rPr>
        <w:t> </w:t>
      </w:r>
      <w:r>
        <w:rPr>
          <w:sz w:val="20"/>
        </w:rPr>
        <w:t>fue</w:t>
      </w:r>
      <w:r>
        <w:rPr>
          <w:spacing w:val="-6"/>
          <w:sz w:val="20"/>
        </w:rPr>
        <w:t> </w:t>
      </w:r>
      <w:r>
        <w:rPr>
          <w:sz w:val="20"/>
        </w:rPr>
        <w:t>la</w:t>
      </w:r>
      <w:r>
        <w:rPr>
          <w:spacing w:val="-7"/>
          <w:sz w:val="20"/>
        </w:rPr>
        <w:t> </w:t>
      </w:r>
      <w:r>
        <w:rPr>
          <w:sz w:val="20"/>
        </w:rPr>
        <w:t>aprobación</w:t>
      </w:r>
      <w:r>
        <w:rPr>
          <w:spacing w:val="-8"/>
          <w:sz w:val="20"/>
        </w:rPr>
        <w:t> </w:t>
      </w:r>
      <w:r>
        <w:rPr>
          <w:sz w:val="20"/>
        </w:rPr>
        <w:t>del</w:t>
      </w:r>
      <w:r>
        <w:rPr>
          <w:spacing w:val="-6"/>
          <w:sz w:val="20"/>
        </w:rPr>
        <w:t> </w:t>
      </w:r>
      <w:r>
        <w:rPr>
          <w:b/>
          <w:sz w:val="20"/>
        </w:rPr>
        <w:t>Decreto</w:t>
      </w:r>
      <w:r>
        <w:rPr>
          <w:b/>
          <w:spacing w:val="-3"/>
          <w:sz w:val="20"/>
        </w:rPr>
        <w:t> </w:t>
      </w:r>
      <w:r>
        <w:rPr>
          <w:b/>
          <w:sz w:val="20"/>
        </w:rPr>
        <w:t>20-2022</w:t>
      </w:r>
      <w:r>
        <w:rPr>
          <w:b/>
          <w:spacing w:val="-6"/>
          <w:sz w:val="20"/>
        </w:rPr>
        <w:t> </w:t>
      </w:r>
      <w:r>
        <w:rPr>
          <w:b/>
          <w:sz w:val="20"/>
        </w:rPr>
        <w:t>“Ley</w:t>
      </w:r>
      <w:r>
        <w:rPr>
          <w:b/>
          <w:spacing w:val="-5"/>
          <w:sz w:val="20"/>
        </w:rPr>
        <w:t> </w:t>
      </w:r>
      <w:r>
        <w:rPr>
          <w:b/>
          <w:sz w:val="20"/>
        </w:rPr>
        <w:t>de</w:t>
      </w:r>
      <w:r>
        <w:rPr>
          <w:b/>
          <w:spacing w:val="-7"/>
          <w:sz w:val="20"/>
        </w:rPr>
        <w:t> </w:t>
      </w:r>
      <w:r>
        <w:rPr>
          <w:b/>
          <w:sz w:val="20"/>
        </w:rPr>
        <w:t>Apoyo</w:t>
      </w:r>
      <w:r>
        <w:rPr>
          <w:b/>
          <w:spacing w:val="-6"/>
          <w:sz w:val="20"/>
        </w:rPr>
        <w:t> </w:t>
      </w:r>
      <w:r>
        <w:rPr>
          <w:b/>
          <w:sz w:val="20"/>
        </w:rPr>
        <w:t>Social</w:t>
      </w:r>
      <w:r>
        <w:rPr>
          <w:b/>
          <w:spacing w:val="-7"/>
          <w:sz w:val="20"/>
        </w:rPr>
        <w:t> </w:t>
      </w:r>
      <w:r>
        <w:rPr>
          <w:b/>
          <w:sz w:val="20"/>
        </w:rPr>
        <w:t>Temporal a los Consumidores de Diésel y Gasolina Regular” </w:t>
      </w:r>
      <w:r>
        <w:rPr>
          <w:sz w:val="20"/>
        </w:rPr>
        <w:t>el cual es un apoyo social temporal, siendo otorgado</w:t>
      </w:r>
      <w:r>
        <w:rPr>
          <w:spacing w:val="-6"/>
          <w:sz w:val="20"/>
        </w:rPr>
        <w:t> </w:t>
      </w:r>
      <w:r>
        <w:rPr>
          <w:sz w:val="20"/>
        </w:rPr>
        <w:t>durante</w:t>
      </w:r>
      <w:r>
        <w:rPr>
          <w:spacing w:val="-7"/>
          <w:sz w:val="20"/>
        </w:rPr>
        <w:t> </w:t>
      </w:r>
      <w:r>
        <w:rPr>
          <w:sz w:val="20"/>
        </w:rPr>
        <w:t>2</w:t>
      </w:r>
      <w:r>
        <w:rPr>
          <w:spacing w:val="-5"/>
          <w:sz w:val="20"/>
        </w:rPr>
        <w:t> </w:t>
      </w:r>
      <w:r>
        <w:rPr>
          <w:sz w:val="20"/>
        </w:rPr>
        <w:t>meses,</w:t>
      </w:r>
      <w:r>
        <w:rPr>
          <w:spacing w:val="-6"/>
          <w:sz w:val="20"/>
        </w:rPr>
        <w:t> </w:t>
      </w:r>
      <w:r>
        <w:rPr>
          <w:sz w:val="20"/>
        </w:rPr>
        <w:t>el</w:t>
      </w:r>
      <w:r>
        <w:rPr>
          <w:spacing w:val="-6"/>
          <w:sz w:val="20"/>
        </w:rPr>
        <w:t> </w:t>
      </w:r>
      <w:r>
        <w:rPr>
          <w:sz w:val="20"/>
        </w:rPr>
        <w:t>monto</w:t>
      </w:r>
      <w:r>
        <w:rPr>
          <w:spacing w:val="-6"/>
          <w:sz w:val="20"/>
        </w:rPr>
        <w:t> </w:t>
      </w:r>
      <w:r>
        <w:rPr>
          <w:sz w:val="20"/>
        </w:rPr>
        <w:t>de</w:t>
      </w:r>
      <w:r>
        <w:rPr>
          <w:spacing w:val="-6"/>
          <w:sz w:val="20"/>
        </w:rPr>
        <w:t> </w:t>
      </w:r>
      <w:r>
        <w:rPr>
          <w:sz w:val="20"/>
        </w:rPr>
        <w:t>dicho</w:t>
      </w:r>
      <w:r>
        <w:rPr>
          <w:spacing w:val="-2"/>
          <w:sz w:val="20"/>
        </w:rPr>
        <w:t> </w:t>
      </w:r>
      <w:r>
        <w:rPr>
          <w:sz w:val="20"/>
        </w:rPr>
        <w:t>fue</w:t>
      </w:r>
      <w:r>
        <w:rPr>
          <w:spacing w:val="-6"/>
          <w:sz w:val="20"/>
        </w:rPr>
        <w:t> </w:t>
      </w:r>
      <w:r>
        <w:rPr>
          <w:sz w:val="20"/>
        </w:rPr>
        <w:t>de</w:t>
      </w:r>
      <w:r>
        <w:rPr>
          <w:spacing w:val="-5"/>
          <w:sz w:val="20"/>
        </w:rPr>
        <w:t> </w:t>
      </w:r>
      <w:r>
        <w:rPr>
          <w:sz w:val="20"/>
        </w:rPr>
        <w:t>Q5.00</w:t>
      </w:r>
      <w:r>
        <w:rPr>
          <w:spacing w:val="-6"/>
          <w:sz w:val="20"/>
        </w:rPr>
        <w:t> </w:t>
      </w:r>
      <w:r>
        <w:rPr>
          <w:sz w:val="20"/>
        </w:rPr>
        <w:t>por</w:t>
      </w:r>
      <w:r>
        <w:rPr>
          <w:spacing w:val="-6"/>
          <w:sz w:val="20"/>
        </w:rPr>
        <w:t> </w:t>
      </w:r>
      <w:r>
        <w:rPr>
          <w:sz w:val="20"/>
        </w:rPr>
        <w:t>cada</w:t>
      </w:r>
      <w:r>
        <w:rPr>
          <w:spacing w:val="-8"/>
          <w:sz w:val="20"/>
        </w:rPr>
        <w:t> </w:t>
      </w:r>
      <w:r>
        <w:rPr>
          <w:sz w:val="20"/>
        </w:rPr>
        <w:t>galón</w:t>
      </w:r>
      <w:r>
        <w:rPr>
          <w:spacing w:val="-8"/>
          <w:sz w:val="20"/>
        </w:rPr>
        <w:t> </w:t>
      </w:r>
      <w:r>
        <w:rPr>
          <w:sz w:val="20"/>
        </w:rPr>
        <w:t>de</w:t>
      </w:r>
      <w:r>
        <w:rPr>
          <w:spacing w:val="-5"/>
          <w:sz w:val="20"/>
        </w:rPr>
        <w:t> </w:t>
      </w:r>
      <w:r>
        <w:rPr>
          <w:sz w:val="20"/>
        </w:rPr>
        <w:t>diésel</w:t>
      </w:r>
      <w:r>
        <w:rPr>
          <w:spacing w:val="-7"/>
          <w:sz w:val="20"/>
        </w:rPr>
        <w:t> </w:t>
      </w:r>
      <w:r>
        <w:rPr>
          <w:sz w:val="20"/>
        </w:rPr>
        <w:t>y</w:t>
      </w:r>
      <w:r>
        <w:rPr>
          <w:spacing w:val="-9"/>
          <w:sz w:val="20"/>
        </w:rPr>
        <w:t> </w:t>
      </w:r>
      <w:r>
        <w:rPr>
          <w:sz w:val="20"/>
        </w:rPr>
        <w:t>de</w:t>
      </w:r>
      <w:r>
        <w:rPr>
          <w:spacing w:val="-6"/>
          <w:sz w:val="20"/>
        </w:rPr>
        <w:t> </w:t>
      </w:r>
      <w:r>
        <w:rPr>
          <w:sz w:val="20"/>
        </w:rPr>
        <w:t>Q2.50</w:t>
      </w:r>
      <w:r>
        <w:rPr>
          <w:spacing w:val="-7"/>
          <w:sz w:val="20"/>
        </w:rPr>
        <w:t> </w:t>
      </w:r>
      <w:r>
        <w:rPr>
          <w:sz w:val="20"/>
        </w:rPr>
        <w:t>por</w:t>
      </w:r>
      <w:r>
        <w:rPr>
          <w:spacing w:val="-8"/>
          <w:sz w:val="20"/>
        </w:rPr>
        <w:t> </w:t>
      </w:r>
      <w:r>
        <w:rPr>
          <w:sz w:val="20"/>
        </w:rPr>
        <w:t>cada galón de gasolina</w:t>
      </w:r>
      <w:r>
        <w:rPr>
          <w:spacing w:val="-2"/>
          <w:sz w:val="20"/>
        </w:rPr>
        <w:t> </w:t>
      </w:r>
      <w:r>
        <w:rPr>
          <w:sz w:val="20"/>
        </w:rPr>
        <w:t>regular.</w:t>
      </w:r>
    </w:p>
    <w:p>
      <w:pPr>
        <w:pStyle w:val="BodyText"/>
        <w:spacing w:before="1"/>
        <w:rPr>
          <w:sz w:val="15"/>
        </w:rPr>
      </w:pPr>
    </w:p>
    <w:p>
      <w:pPr>
        <w:spacing w:line="276" w:lineRule="auto" w:before="91"/>
        <w:ind w:left="845" w:right="1999" w:firstLine="0"/>
        <w:jc w:val="left"/>
        <w:rPr>
          <w:sz w:val="20"/>
        </w:rPr>
      </w:pPr>
      <w:r>
        <w:rPr>
          <w:sz w:val="20"/>
        </w:rPr>
        <w:t>Para el financiamiento de esta medida fue necesaria la ampliación del Presupuesto por el monto de Q745.0 millones, para lo cual se hizo uso de recursos disponibles en caja y bancos.</w:t>
      </w:r>
    </w:p>
    <w:p>
      <w:pPr>
        <w:pStyle w:val="BodyText"/>
        <w:spacing w:before="2"/>
        <w:rPr>
          <w:sz w:val="15"/>
        </w:rPr>
      </w:pPr>
    </w:p>
    <w:p>
      <w:pPr>
        <w:spacing w:line="276" w:lineRule="auto" w:before="91"/>
        <w:ind w:left="845" w:right="2028" w:firstLine="0"/>
        <w:jc w:val="both"/>
        <w:rPr>
          <w:sz w:val="20"/>
        </w:rPr>
      </w:pPr>
      <w:r>
        <w:rPr>
          <w:sz w:val="20"/>
        </w:rPr>
        <w:t>No obstante, en mayo fue aprobado el </w:t>
      </w:r>
      <w:r>
        <w:rPr>
          <w:b/>
          <w:sz w:val="20"/>
        </w:rPr>
        <w:t>Decreto 28-2022 “Reformas a la Ley de Apoyo Social Temporal a los Consumidores de Diésel y Gasolina Regular Decreto 20-2022” </w:t>
      </w:r>
      <w:r>
        <w:rPr>
          <w:sz w:val="20"/>
        </w:rPr>
        <w:t>con este decreto se amplió los beneficiarios, ya que se cubre a consumidores de diésel y de gasolinas regular y superior, siendo el apoyo otorgado por dos meses más (en total la medida estaría vigente por cuatro meses para consumidores de gasolina regular y diésel, mientras que para consumidores de gasolina superior únicamente por dos meses). A partir del 31 de mayo el apoyo social aumentó pasando a ser de Q7.00 por cada galón de diésel, de Q5.00 por cada galón de gasolina regular y de Q5.00 por cada galón de gasolina superior.</w:t>
      </w:r>
    </w:p>
    <w:p>
      <w:pPr>
        <w:pStyle w:val="BodyText"/>
        <w:spacing w:before="11"/>
        <w:rPr>
          <w:sz w:val="14"/>
        </w:rPr>
      </w:pPr>
    </w:p>
    <w:p>
      <w:pPr>
        <w:spacing w:line="276" w:lineRule="auto" w:before="91"/>
        <w:ind w:left="845" w:right="2036" w:firstLine="0"/>
        <w:jc w:val="both"/>
        <w:rPr>
          <w:sz w:val="20"/>
        </w:rPr>
      </w:pPr>
      <w:r>
        <w:rPr>
          <w:sz w:val="20"/>
        </w:rPr>
        <w:t>Derivado de lo anterior, el presupuesto fue ampliado por un monto de Q2,260 millones (incluye los Q745 millones del decreto 20-2022), siendo la medida financiada con disminución de caja y bancos</w:t>
      </w:r>
      <w:r>
        <w:rPr>
          <w:spacing w:val="-27"/>
          <w:sz w:val="20"/>
        </w:rPr>
        <w:t> </w:t>
      </w:r>
      <w:r>
        <w:rPr>
          <w:sz w:val="20"/>
        </w:rPr>
        <w:t>de recursos del</w:t>
      </w:r>
      <w:r>
        <w:rPr>
          <w:spacing w:val="-2"/>
          <w:sz w:val="20"/>
        </w:rPr>
        <w:t> </w:t>
      </w:r>
      <w:r>
        <w:rPr>
          <w:sz w:val="20"/>
        </w:rPr>
        <w:t>tesoro.</w:t>
      </w:r>
    </w:p>
    <w:p>
      <w:pPr>
        <w:pStyle w:val="BodyText"/>
        <w:spacing w:before="2"/>
        <w:rPr>
          <w:sz w:val="15"/>
        </w:rPr>
      </w:pPr>
    </w:p>
    <w:p>
      <w:pPr>
        <w:spacing w:line="276" w:lineRule="auto" w:before="91"/>
        <w:ind w:left="845" w:right="2026" w:firstLine="0"/>
        <w:jc w:val="both"/>
        <w:rPr>
          <w:sz w:val="20"/>
        </w:rPr>
      </w:pPr>
      <w:r>
        <w:rPr>
          <w:sz w:val="20"/>
        </w:rPr>
        <w:t>El 04 de agosto concluiría el subsidio a los combustibles, por lo cual las autoridades podrían tomar la decisión de ampliarlo, si se toman en cuenta los nuevos elementos del entorno internacional sobre la posibilidad de una reducción de la actividad económica mundial apoyada por el alza de las tasas de interés, así como un aumento en la producción de petróleo, los precios de los combustibles podrían</w:t>
      </w:r>
    </w:p>
    <w:p>
      <w:pPr>
        <w:spacing w:after="0" w:line="276" w:lineRule="auto"/>
        <w:jc w:val="both"/>
        <w:rPr>
          <w:sz w:val="20"/>
        </w:rPr>
        <w:sectPr>
          <w:pgSz w:w="12240" w:h="15840"/>
          <w:pgMar w:header="715" w:footer="957" w:top="1240" w:bottom="1140" w:left="1140" w:right="0"/>
        </w:sectPr>
      </w:pPr>
    </w:p>
    <w:p>
      <w:pPr>
        <w:spacing w:line="276" w:lineRule="auto" w:before="164"/>
        <w:ind w:left="845" w:right="1970" w:firstLine="0"/>
        <w:jc w:val="left"/>
        <w:rPr>
          <w:sz w:val="20"/>
        </w:rPr>
      </w:pPr>
      <w:r>
        <w:rPr/>
        <w:pict>
          <v:group style="position:absolute;margin-left:93.384003pt;margin-top:70.919998pt;width:423pt;height:643.2pt;mso-position-horizontal-relative:page;mso-position-vertical-relative:page;z-index:-280479744" coordorigin="1868,1418" coordsize="8460,12864">
            <v:rect style="position:absolute;left:1877;top:1418;width:8440;height:264" filled="true" fillcolor="#deeaf6" stroked="false">
              <v:fill type="solid"/>
            </v:rect>
            <v:line style="position:absolute" from="1872,1418" to="1872,1682" stroked="true" strokeweight=".48pt" strokecolor="#000000">
              <v:stroke dashstyle="solid"/>
            </v:line>
            <v:line style="position:absolute" from="10322,1418" to="10322,1682" stroked="true" strokeweight=".48pt" strokecolor="#000000">
              <v:stroke dashstyle="solid"/>
            </v:line>
            <v:rect style="position:absolute;left:1877;top:1682;width:8440;height:265" filled="true" fillcolor="#deeaf6" stroked="false">
              <v:fill type="solid"/>
            </v:rect>
            <v:line style="position:absolute" from="1872,1682" to="1872,1947" stroked="true" strokeweight=".48pt" strokecolor="#000000">
              <v:stroke dashstyle="solid"/>
            </v:line>
            <v:line style="position:absolute" from="10322,1682" to="10322,1947" stroked="true" strokeweight=".48pt" strokecolor="#000000">
              <v:stroke dashstyle="solid"/>
            </v:line>
            <v:rect style="position:absolute;left:1877;top:1946;width:8440;height:264" filled="true" fillcolor="#deeaf6" stroked="false">
              <v:fill type="solid"/>
            </v:rect>
            <v:line style="position:absolute" from="1872,1947" to="1872,2211" stroked="true" strokeweight=".48pt" strokecolor="#000000">
              <v:stroke dashstyle="solid"/>
            </v:line>
            <v:line style="position:absolute" from="10322,1947" to="10322,2211" stroked="true" strokeweight=".48pt" strokecolor="#000000">
              <v:stroke dashstyle="solid"/>
            </v:line>
            <v:rect style="position:absolute;left:1877;top:2210;width:8440;height:267" filled="true" fillcolor="#deeaf6" stroked="false">
              <v:fill type="solid"/>
            </v:rect>
            <v:line style="position:absolute" from="1872,2211" to="1872,2477" stroked="true" strokeweight=".48pt" strokecolor="#000000">
              <v:stroke dashstyle="solid"/>
            </v:line>
            <v:line style="position:absolute" from="10322,2211" to="10322,2477" stroked="true" strokeweight=".48pt" strokecolor="#000000">
              <v:stroke dashstyle="solid"/>
            </v:line>
            <v:rect style="position:absolute;left:1877;top:2477;width:8440;height:264" filled="true" fillcolor="#deeaf6" stroked="false">
              <v:fill type="solid"/>
            </v:rect>
            <v:line style="position:absolute" from="1872,2477" to="1872,2741" stroked="true" strokeweight=".48pt" strokecolor="#000000">
              <v:stroke dashstyle="solid"/>
            </v:line>
            <v:line style="position:absolute" from="10322,2477" to="10322,2741" stroked="true" strokeweight=".48pt" strokecolor="#000000">
              <v:stroke dashstyle="solid"/>
            </v:line>
            <v:rect style="position:absolute;left:1877;top:2741;width:8440;height:264" filled="true" fillcolor="#deeaf6" stroked="false">
              <v:fill type="solid"/>
            </v:rect>
            <v:line style="position:absolute" from="1872,2741" to="1872,3005" stroked="true" strokeweight=".48pt" strokecolor="#000000">
              <v:stroke dashstyle="solid"/>
            </v:line>
            <v:line style="position:absolute" from="10322,2741" to="10322,3005" stroked="true" strokeweight=".48pt" strokecolor="#000000">
              <v:stroke dashstyle="solid"/>
            </v:line>
            <v:rect style="position:absolute;left:1877;top:3005;width:8440;height:264" filled="true" fillcolor="#deeaf6" stroked="false">
              <v:fill type="solid"/>
            </v:rect>
            <v:line style="position:absolute" from="1872,3005" to="1872,3269" stroked="true" strokeweight=".48pt" strokecolor="#000000">
              <v:stroke dashstyle="solid"/>
            </v:line>
            <v:line style="position:absolute" from="10322,3005" to="10322,3269" stroked="true" strokeweight=".48pt" strokecolor="#000000">
              <v:stroke dashstyle="solid"/>
            </v:line>
            <v:rect style="position:absolute;left:1877;top:3269;width:8440;height:264" filled="true" fillcolor="#deeaf6" stroked="false">
              <v:fill type="solid"/>
            </v:rect>
            <v:line style="position:absolute" from="1872,3269" to="1872,3533" stroked="true" strokeweight=".48pt" strokecolor="#000000">
              <v:stroke dashstyle="solid"/>
            </v:line>
            <v:line style="position:absolute" from="10322,3269" to="10322,3533" stroked="true" strokeweight=".48pt" strokecolor="#000000">
              <v:stroke dashstyle="solid"/>
            </v:line>
            <v:rect style="position:absolute;left:1877;top:3533;width:8440;height:267" filled="true" fillcolor="#deeaf6" stroked="false">
              <v:fill type="solid"/>
            </v:rect>
            <v:line style="position:absolute" from="1872,3533" to="1872,3800" stroked="true" strokeweight=".48pt" strokecolor="#000000">
              <v:stroke dashstyle="solid"/>
            </v:line>
            <v:line style="position:absolute" from="10322,3533" to="10322,3800" stroked="true" strokeweight=".48pt" strokecolor="#000000">
              <v:stroke dashstyle="solid"/>
            </v:line>
            <v:rect style="position:absolute;left:1877;top:3799;width:8440;height:264" filled="true" fillcolor="#deeaf6" stroked="false">
              <v:fill type="solid"/>
            </v:rect>
            <v:line style="position:absolute" from="1872,3800" to="1872,4064" stroked="true" strokeweight=".48pt" strokecolor="#000000">
              <v:stroke dashstyle="solid"/>
            </v:line>
            <v:line style="position:absolute" from="10322,3800" to="10322,4064" stroked="true" strokeweight=".48pt" strokecolor="#000000">
              <v:stroke dashstyle="solid"/>
            </v:line>
            <v:rect style="position:absolute;left:1877;top:4063;width:8440;height:264" filled="true" fillcolor="#deeaf6" stroked="false">
              <v:fill type="solid"/>
            </v:rect>
            <v:line style="position:absolute" from="1872,4064" to="1872,4328" stroked="true" strokeweight=".48pt" strokecolor="#000000">
              <v:stroke dashstyle="solid"/>
            </v:line>
            <v:line style="position:absolute" from="10322,4064" to="10322,4328" stroked="true" strokeweight=".48pt" strokecolor="#000000">
              <v:stroke dashstyle="solid"/>
            </v:line>
            <v:rect style="position:absolute;left:1877;top:4327;width:8440;height:264" filled="true" fillcolor="#deeaf6" stroked="false">
              <v:fill type="solid"/>
            </v:rect>
            <v:line style="position:absolute" from="1872,4328" to="1872,4592" stroked="true" strokeweight=".48pt" strokecolor="#000000">
              <v:stroke dashstyle="solid"/>
            </v:line>
            <v:line style="position:absolute" from="10322,4328" to="10322,4592" stroked="true" strokeweight=".48pt" strokecolor="#000000">
              <v:stroke dashstyle="solid"/>
            </v:line>
            <v:rect style="position:absolute;left:1877;top:4591;width:8440;height:264" filled="true" fillcolor="#deeaf6" stroked="false">
              <v:fill type="solid"/>
            </v:rect>
            <v:line style="position:absolute" from="1872,4592" to="1872,4856" stroked="true" strokeweight=".48pt" strokecolor="#000000">
              <v:stroke dashstyle="solid"/>
            </v:line>
            <v:line style="position:absolute" from="10322,4592" to="10322,4856" stroked="true" strokeweight=".48pt" strokecolor="#000000">
              <v:stroke dashstyle="solid"/>
            </v:line>
            <v:rect style="position:absolute;left:1877;top:4855;width:8440;height:267" filled="true" fillcolor="#deeaf6" stroked="false">
              <v:fill type="solid"/>
            </v:rect>
            <v:line style="position:absolute" from="1872,4856" to="1872,5122" stroked="true" strokeweight=".48pt" strokecolor="#000000">
              <v:stroke dashstyle="solid"/>
            </v:line>
            <v:line style="position:absolute" from="10322,4856" to="10322,5122" stroked="true" strokeweight=".48pt" strokecolor="#000000">
              <v:stroke dashstyle="solid"/>
            </v:line>
            <v:rect style="position:absolute;left:1877;top:5122;width:8440;height:265" filled="true" fillcolor="#deeaf6" stroked="false">
              <v:fill type="solid"/>
            </v:rect>
            <v:line style="position:absolute" from="1872,5122" to="1872,5387" stroked="true" strokeweight=".48pt" strokecolor="#000000">
              <v:stroke dashstyle="solid"/>
            </v:line>
            <v:line style="position:absolute" from="10322,5122" to="10322,5387" stroked="true" strokeweight=".48pt" strokecolor="#000000">
              <v:stroke dashstyle="solid"/>
            </v:line>
            <v:rect style="position:absolute;left:1877;top:5386;width:8440;height:264" filled="true" fillcolor="#deeaf6" stroked="false">
              <v:fill type="solid"/>
            </v:rect>
            <v:line style="position:absolute" from="1872,5387" to="1872,5651" stroked="true" strokeweight=".48pt" strokecolor="#000000">
              <v:stroke dashstyle="solid"/>
            </v:line>
            <v:line style="position:absolute" from="10322,5387" to="10322,5651" stroked="true" strokeweight=".48pt" strokecolor="#000000">
              <v:stroke dashstyle="solid"/>
            </v:line>
            <v:rect style="position:absolute;left:1877;top:5650;width:8440;height:264" filled="true" fillcolor="#deeaf6" stroked="false">
              <v:fill type="solid"/>
            </v:rect>
            <v:line style="position:absolute" from="1872,5651" to="1872,5915" stroked="true" strokeweight=".48pt" strokecolor="#000000">
              <v:stroke dashstyle="solid"/>
            </v:line>
            <v:line style="position:absolute" from="10322,5651" to="10322,5915" stroked="true" strokeweight=".48pt" strokecolor="#000000">
              <v:stroke dashstyle="solid"/>
            </v:line>
            <v:rect style="position:absolute;left:1877;top:5914;width:8440;height:264" filled="true" fillcolor="#deeaf6" stroked="false">
              <v:fill type="solid"/>
            </v:rect>
            <v:line style="position:absolute" from="1872,5915" to="1872,6179" stroked="true" strokeweight=".48pt" strokecolor="#000000">
              <v:stroke dashstyle="solid"/>
            </v:line>
            <v:line style="position:absolute" from="10322,5915" to="10322,6179" stroked="true" strokeweight=".48pt" strokecolor="#000000">
              <v:stroke dashstyle="solid"/>
            </v:line>
            <v:rect style="position:absolute;left:1877;top:6178;width:8440;height:267" filled="true" fillcolor="#deeaf6" stroked="false">
              <v:fill type="solid"/>
            </v:rect>
            <v:line style="position:absolute" from="1872,6179" to="1872,6445" stroked="true" strokeweight=".48pt" strokecolor="#000000">
              <v:stroke dashstyle="solid"/>
            </v:line>
            <v:line style="position:absolute" from="10322,6179" to="10322,6445" stroked="true" strokeweight=".48pt" strokecolor="#000000">
              <v:stroke dashstyle="solid"/>
            </v:line>
            <v:rect style="position:absolute;left:1877;top:6445;width:8440;height:264" filled="true" fillcolor="#deeaf6" stroked="false">
              <v:fill type="solid"/>
            </v:rect>
            <v:line style="position:absolute" from="1872,6445" to="1872,6709" stroked="true" strokeweight=".48pt" strokecolor="#000000">
              <v:stroke dashstyle="solid"/>
            </v:line>
            <v:line style="position:absolute" from="10322,6445" to="10322,6709" stroked="true" strokeweight=".48pt" strokecolor="#000000">
              <v:stroke dashstyle="solid"/>
            </v:line>
            <v:rect style="position:absolute;left:1877;top:6709;width:8440;height:264" filled="true" fillcolor="#deeaf6" stroked="false">
              <v:fill type="solid"/>
            </v:rect>
            <v:line style="position:absolute" from="1872,6709" to="1872,6973" stroked="true" strokeweight=".48pt" strokecolor="#000000">
              <v:stroke dashstyle="solid"/>
            </v:line>
            <v:line style="position:absolute" from="10322,6709" to="10322,6973" stroked="true" strokeweight=".48pt" strokecolor="#000000">
              <v:stroke dashstyle="solid"/>
            </v:line>
            <v:rect style="position:absolute;left:1877;top:6973;width:8440;height:264" filled="true" fillcolor="#deeaf6" stroked="false">
              <v:fill type="solid"/>
            </v:rect>
            <v:line style="position:absolute" from="1872,6973" to="1872,7237" stroked="true" strokeweight=".48pt" strokecolor="#000000">
              <v:stroke dashstyle="solid"/>
            </v:line>
            <v:line style="position:absolute" from="10322,6973" to="10322,7237" stroked="true" strokeweight=".48pt" strokecolor="#000000">
              <v:stroke dashstyle="solid"/>
            </v:line>
            <v:rect style="position:absolute;left:1877;top:7237;width:8440;height:264" filled="true" fillcolor="#deeaf6" stroked="false">
              <v:fill type="solid"/>
            </v:rect>
            <v:line style="position:absolute" from="1872,7237" to="1872,7501" stroked="true" strokeweight=".48pt" strokecolor="#000000">
              <v:stroke dashstyle="solid"/>
            </v:line>
            <v:line style="position:absolute" from="10322,7237" to="10322,7501" stroked="true" strokeweight=".48pt" strokecolor="#000000">
              <v:stroke dashstyle="solid"/>
            </v:line>
            <v:rect style="position:absolute;left:1877;top:7501;width:8440;height:267" filled="true" fillcolor="#deeaf6" stroked="false">
              <v:fill type="solid"/>
            </v:rect>
            <v:line style="position:absolute" from="1872,7501" to="1872,7767" stroked="true" strokeweight=".48pt" strokecolor="#000000">
              <v:stroke dashstyle="solid"/>
            </v:line>
            <v:line style="position:absolute" from="10322,7501" to="10322,7767" stroked="true" strokeweight=".48pt" strokecolor="#000000">
              <v:stroke dashstyle="solid"/>
            </v:line>
            <v:rect style="position:absolute;left:1877;top:7767;width:8440;height:264" filled="true" fillcolor="#deeaf6" stroked="false">
              <v:fill type="solid"/>
            </v:rect>
            <v:line style="position:absolute" from="1872,7767" to="1872,8031" stroked="true" strokeweight=".48pt" strokecolor="#000000">
              <v:stroke dashstyle="solid"/>
            </v:line>
            <v:line style="position:absolute" from="10322,7767" to="10322,8031" stroked="true" strokeweight=".48pt" strokecolor="#000000">
              <v:stroke dashstyle="solid"/>
            </v:line>
            <v:rect style="position:absolute;left:1877;top:8031;width:8440;height:264" filled="true" fillcolor="#deeaf6" stroked="false">
              <v:fill type="solid"/>
            </v:rect>
            <v:line style="position:absolute" from="1872,8031" to="1872,8295" stroked="true" strokeweight=".48pt" strokecolor="#000000">
              <v:stroke dashstyle="solid"/>
            </v:line>
            <v:line style="position:absolute" from="10322,8031" to="10322,8295" stroked="true" strokeweight=".48pt" strokecolor="#000000">
              <v:stroke dashstyle="solid"/>
            </v:line>
            <v:rect style="position:absolute;left:1877;top:8295;width:8440;height:264" filled="true" fillcolor="#deeaf6" stroked="false">
              <v:fill type="solid"/>
            </v:rect>
            <v:line style="position:absolute" from="1872,8295" to="1872,8559" stroked="true" strokeweight=".48pt" strokecolor="#000000">
              <v:stroke dashstyle="solid"/>
            </v:line>
            <v:line style="position:absolute" from="10322,8295" to="10322,8559" stroked="true" strokeweight=".48pt" strokecolor="#000000">
              <v:stroke dashstyle="solid"/>
            </v:line>
            <v:rect style="position:absolute;left:1877;top:8559;width:8440;height:265" filled="true" fillcolor="#deeaf6" stroked="false">
              <v:fill type="solid"/>
            </v:rect>
            <v:line style="position:absolute" from="1872,8559" to="1872,8824" stroked="true" strokeweight=".48pt" strokecolor="#000000">
              <v:stroke dashstyle="solid"/>
            </v:line>
            <v:line style="position:absolute" from="10322,8559" to="10322,8824" stroked="true" strokeweight=".48pt" strokecolor="#000000">
              <v:stroke dashstyle="solid"/>
            </v:line>
            <v:rect style="position:absolute;left:1877;top:8823;width:8440;height:425" filled="true" fillcolor="#deeaf6" stroked="false">
              <v:fill type="solid"/>
            </v:rect>
            <v:line style="position:absolute" from="1872,8824" to="1872,9249" stroked="true" strokeweight=".48pt" strokecolor="#000000">
              <v:stroke dashstyle="solid"/>
            </v:line>
            <v:line style="position:absolute" from="10322,8824" to="10322,9249" stroked="true" strokeweight=".48pt" strokecolor="#000000">
              <v:stroke dashstyle="solid"/>
            </v:line>
            <v:rect style="position:absolute;left:1877;top:9248;width:8440;height:264" filled="true" fillcolor="#deeaf6" stroked="false">
              <v:fill type="solid"/>
            </v:rect>
            <v:line style="position:absolute" from="1872,9249" to="1872,9513" stroked="true" strokeweight=".48pt" strokecolor="#000000">
              <v:stroke dashstyle="solid"/>
            </v:line>
            <v:line style="position:absolute" from="10322,9249" to="10322,9513" stroked="true" strokeweight=".48pt" strokecolor="#000000">
              <v:stroke dashstyle="solid"/>
            </v:line>
            <v:rect style="position:absolute;left:1877;top:9512;width:8440;height:425" filled="true" fillcolor="#deeaf6" stroked="false">
              <v:fill type="solid"/>
            </v:rect>
            <v:line style="position:absolute" from="1872,9513" to="1872,9937" stroked="true" strokeweight=".48pt" strokecolor="#000000">
              <v:stroke dashstyle="solid"/>
            </v:line>
            <v:line style="position:absolute" from="10322,9513" to="10322,9937" stroked="true" strokeweight=".48pt" strokecolor="#000000">
              <v:stroke dashstyle="solid"/>
            </v:line>
            <v:rect style="position:absolute;left:1877;top:9937;width:8440;height:267" filled="true" fillcolor="#deeaf6" stroked="false">
              <v:fill type="solid"/>
            </v:rect>
            <v:line style="position:absolute" from="1872,9937" to="1872,10204" stroked="true" strokeweight=".48pt" strokecolor="#000000">
              <v:stroke dashstyle="solid"/>
            </v:line>
            <v:line style="position:absolute" from="10322,9937" to="10322,10204" stroked="true" strokeweight=".48pt" strokecolor="#000000">
              <v:stroke dashstyle="solid"/>
            </v:line>
            <v:rect style="position:absolute;left:1877;top:10203;width:8440;height:264" filled="true" fillcolor="#deeaf6" stroked="false">
              <v:fill type="solid"/>
            </v:rect>
            <v:line style="position:absolute" from="1872,10204" to="1872,10468" stroked="true" strokeweight=".48pt" strokecolor="#000000">
              <v:stroke dashstyle="solid"/>
            </v:line>
            <v:line style="position:absolute" from="10322,10204" to="10322,10468" stroked="true" strokeweight=".48pt" strokecolor="#000000">
              <v:stroke dashstyle="solid"/>
            </v:line>
            <v:rect style="position:absolute;left:1877;top:10467;width:8440;height:264" filled="true" fillcolor="#deeaf6" stroked="false">
              <v:fill type="solid"/>
            </v:rect>
            <v:line style="position:absolute" from="1872,10468" to="1872,10732" stroked="true" strokeweight=".48pt" strokecolor="#000000">
              <v:stroke dashstyle="solid"/>
            </v:line>
            <v:line style="position:absolute" from="10322,10468" to="10322,10732" stroked="true" strokeweight=".48pt" strokecolor="#000000">
              <v:stroke dashstyle="solid"/>
            </v:line>
            <v:rect style="position:absolute;left:1877;top:10731;width:8440;height:264" filled="true" fillcolor="#deeaf6" stroked="false">
              <v:fill type="solid"/>
            </v:rect>
            <v:line style="position:absolute" from="1872,10732" to="1872,10996" stroked="true" strokeweight=".48pt" strokecolor="#000000">
              <v:stroke dashstyle="solid"/>
            </v:line>
            <v:line style="position:absolute" from="10322,10732" to="10322,10996" stroked="true" strokeweight=".48pt" strokecolor="#000000">
              <v:stroke dashstyle="solid"/>
            </v:line>
            <v:rect style="position:absolute;left:1877;top:10995;width:8440;height:425" filled="true" fillcolor="#deeaf6" stroked="false">
              <v:fill type="solid"/>
            </v:rect>
            <v:line style="position:absolute" from="1872,10996" to="1872,11421" stroked="true" strokeweight=".48pt" strokecolor="#000000">
              <v:stroke dashstyle="solid"/>
            </v:line>
            <v:line style="position:absolute" from="10322,10996" to="10322,11421" stroked="true" strokeweight=".48pt" strokecolor="#000000">
              <v:stroke dashstyle="solid"/>
            </v:line>
            <v:rect style="position:absolute;left:1877;top:11420;width:8440;height:264" filled="true" fillcolor="#deeaf6" stroked="false">
              <v:fill type="solid"/>
            </v:rect>
            <v:line style="position:absolute" from="1872,11421" to="1872,11685" stroked="true" strokeweight=".48pt" strokecolor="#000000">
              <v:stroke dashstyle="solid"/>
            </v:line>
            <v:line style="position:absolute" from="10322,11421" to="10322,11685" stroked="true" strokeweight=".48pt" strokecolor="#000000">
              <v:stroke dashstyle="solid"/>
            </v:line>
            <v:rect style="position:absolute;left:1877;top:11684;width:8440;height:264" filled="true" fillcolor="#deeaf6" stroked="false">
              <v:fill type="solid"/>
            </v:rect>
            <v:line style="position:absolute" from="1872,11685" to="1872,11949" stroked="true" strokeweight=".48pt" strokecolor="#000000">
              <v:stroke dashstyle="solid"/>
            </v:line>
            <v:line style="position:absolute" from="10322,11685" to="10322,11949" stroked="true" strokeweight=".48pt" strokecolor="#000000">
              <v:stroke dashstyle="solid"/>
            </v:line>
            <v:rect style="position:absolute;left:1877;top:11948;width:8440;height:426" filled="true" fillcolor="#deeaf6" stroked="false">
              <v:fill type="solid"/>
            </v:rect>
            <v:line style="position:absolute" from="1872,11949" to="1872,12374" stroked="true" strokeweight=".48pt" strokecolor="#000000">
              <v:stroke dashstyle="solid"/>
            </v:line>
            <v:line style="position:absolute" from="10322,11949" to="10322,12374" stroked="true" strokeweight=".48pt" strokecolor="#000000">
              <v:stroke dashstyle="solid"/>
            </v:line>
            <v:rect style="position:absolute;left:1877;top:12374;width:8440;height:264" filled="true" fillcolor="#deeaf6" stroked="false">
              <v:fill type="solid"/>
            </v:rect>
            <v:line style="position:absolute" from="1872,12374" to="1872,12638" stroked="true" strokeweight=".48pt" strokecolor="#000000">
              <v:stroke dashstyle="solid"/>
            </v:line>
            <v:line style="position:absolute" from="10322,12374" to="10322,12638" stroked="true" strokeweight=".48pt" strokecolor="#000000">
              <v:stroke dashstyle="solid"/>
            </v:line>
            <v:rect style="position:absolute;left:1877;top:12638;width:8440;height:267" filled="true" fillcolor="#deeaf6" stroked="false">
              <v:fill type="solid"/>
            </v:rect>
            <v:line style="position:absolute" from="1872,12638" to="1872,12904" stroked="true" strokeweight=".48pt" strokecolor="#000000">
              <v:stroke dashstyle="solid"/>
            </v:line>
            <v:line style="position:absolute" from="10322,12638" to="10322,12904" stroked="true" strokeweight=".48pt" strokecolor="#000000">
              <v:stroke dashstyle="solid"/>
            </v:line>
            <v:rect style="position:absolute;left:1877;top:12904;width:8440;height:425" filled="true" fillcolor="#deeaf6" stroked="false">
              <v:fill type="solid"/>
            </v:rect>
            <v:line style="position:absolute" from="1872,12904" to="1872,13329" stroked="true" strokeweight=".48pt" strokecolor="#000000">
              <v:stroke dashstyle="solid"/>
            </v:line>
            <v:line style="position:absolute" from="10322,12904" to="10322,13329" stroked="true" strokeweight=".48pt" strokecolor="#000000">
              <v:stroke dashstyle="solid"/>
            </v:line>
            <v:rect style="position:absolute;left:1877;top:13329;width:8440;height:423" filled="true" fillcolor="#deeaf6" stroked="false">
              <v:fill type="solid"/>
            </v:rect>
            <v:line style="position:absolute" from="1872,13329" to="1872,13752" stroked="true" strokeweight=".48pt" strokecolor="#000000">
              <v:stroke dashstyle="solid"/>
            </v:line>
            <v:line style="position:absolute" from="10322,13329" to="10322,13752" stroked="true" strokeweight=".48pt" strokecolor="#000000">
              <v:stroke dashstyle="solid"/>
            </v:line>
            <v:rect style="position:absolute;left:1877;top:13751;width:8440;height:267" filled="true" fillcolor="#deeaf6" stroked="false">
              <v:fill type="solid"/>
            </v:rect>
            <v:line style="position:absolute" from="1872,13752" to="1872,14018" stroked="true" strokeweight=".48pt" strokecolor="#000000">
              <v:stroke dashstyle="solid"/>
            </v:line>
            <v:line style="position:absolute" from="10322,13752" to="10322,14018" stroked="true" strokeweight=".48pt" strokecolor="#000000">
              <v:stroke dashstyle="solid"/>
            </v:line>
            <v:rect style="position:absolute;left:1877;top:14017;width:8440;height:264" filled="true" fillcolor="#deeaf6" stroked="false">
              <v:fill type="solid"/>
            </v:rect>
            <v:line style="position:absolute" from="1872,14018" to="1872,14282" stroked="true" strokeweight=".48pt" strokecolor="#000000">
              <v:stroke dashstyle="solid"/>
            </v:line>
            <v:line style="position:absolute" from="10322,14018" to="10322,14282" stroked="true" strokeweight=".48pt" strokecolor="#000000">
              <v:stroke dashstyle="solid"/>
            </v:line>
            <w10:wrap type="none"/>
          </v:group>
        </w:pict>
      </w:r>
      <w:r>
        <w:rPr>
          <w:sz w:val="20"/>
        </w:rPr>
        <w:t>disminuir ante una menor demanda y una mayor oferta, por ello se podría pensar en disminuir el monto del subsidio.</w:t>
      </w:r>
    </w:p>
    <w:p>
      <w:pPr>
        <w:pStyle w:val="BodyText"/>
        <w:rPr>
          <w:sz w:val="15"/>
        </w:rPr>
      </w:pPr>
    </w:p>
    <w:p>
      <w:pPr>
        <w:spacing w:line="276" w:lineRule="auto" w:before="91"/>
        <w:ind w:left="845" w:right="2034" w:firstLine="0"/>
        <w:jc w:val="both"/>
        <w:rPr>
          <w:sz w:val="20"/>
        </w:rPr>
      </w:pPr>
      <w:r>
        <w:rPr>
          <w:sz w:val="20"/>
        </w:rPr>
        <w:t>El Ministerio de Energía y Minas, en coordinación con el Ministerio de Economía (por medio de la Dirección</w:t>
      </w:r>
      <w:r>
        <w:rPr>
          <w:spacing w:val="-14"/>
          <w:sz w:val="20"/>
        </w:rPr>
        <w:t> </w:t>
      </w:r>
      <w:r>
        <w:rPr>
          <w:sz w:val="20"/>
        </w:rPr>
        <w:t>de</w:t>
      </w:r>
      <w:r>
        <w:rPr>
          <w:spacing w:val="-9"/>
          <w:sz w:val="20"/>
        </w:rPr>
        <w:t> </w:t>
      </w:r>
      <w:r>
        <w:rPr>
          <w:sz w:val="20"/>
        </w:rPr>
        <w:t>Atención</w:t>
      </w:r>
      <w:r>
        <w:rPr>
          <w:spacing w:val="-11"/>
          <w:sz w:val="20"/>
        </w:rPr>
        <w:t> </w:t>
      </w:r>
      <w:r>
        <w:rPr>
          <w:sz w:val="20"/>
        </w:rPr>
        <w:t>y</w:t>
      </w:r>
      <w:r>
        <w:rPr>
          <w:spacing w:val="-10"/>
          <w:sz w:val="20"/>
        </w:rPr>
        <w:t> </w:t>
      </w:r>
      <w:r>
        <w:rPr>
          <w:sz w:val="20"/>
        </w:rPr>
        <w:t>Asistencia</w:t>
      </w:r>
      <w:r>
        <w:rPr>
          <w:spacing w:val="-12"/>
          <w:sz w:val="20"/>
        </w:rPr>
        <w:t> </w:t>
      </w:r>
      <w:r>
        <w:rPr>
          <w:sz w:val="20"/>
        </w:rPr>
        <w:t>al</w:t>
      </w:r>
      <w:r>
        <w:rPr>
          <w:spacing w:val="-9"/>
          <w:sz w:val="20"/>
        </w:rPr>
        <w:t> </w:t>
      </w:r>
      <w:r>
        <w:rPr>
          <w:sz w:val="20"/>
        </w:rPr>
        <w:t>Consumidor</w:t>
      </w:r>
      <w:r>
        <w:rPr>
          <w:spacing w:val="-9"/>
          <w:sz w:val="20"/>
        </w:rPr>
        <w:t> </w:t>
      </w:r>
      <w:r>
        <w:rPr>
          <w:sz w:val="20"/>
        </w:rPr>
        <w:t>–DIACO-),</w:t>
      </w:r>
      <w:r>
        <w:rPr>
          <w:spacing w:val="-11"/>
          <w:sz w:val="20"/>
        </w:rPr>
        <w:t> </w:t>
      </w:r>
      <w:r>
        <w:rPr>
          <w:sz w:val="20"/>
        </w:rPr>
        <w:t>verifica</w:t>
      </w:r>
      <w:r>
        <w:rPr>
          <w:spacing w:val="-12"/>
          <w:sz w:val="20"/>
        </w:rPr>
        <w:t> </w:t>
      </w:r>
      <w:r>
        <w:rPr>
          <w:sz w:val="20"/>
        </w:rPr>
        <w:t>la</w:t>
      </w:r>
      <w:r>
        <w:rPr>
          <w:spacing w:val="-9"/>
          <w:sz w:val="20"/>
        </w:rPr>
        <w:t> </w:t>
      </w:r>
      <w:r>
        <w:rPr>
          <w:sz w:val="20"/>
        </w:rPr>
        <w:t>adecuada</w:t>
      </w:r>
      <w:r>
        <w:rPr>
          <w:spacing w:val="-11"/>
          <w:sz w:val="20"/>
        </w:rPr>
        <w:t> </w:t>
      </w:r>
      <w:r>
        <w:rPr>
          <w:sz w:val="20"/>
        </w:rPr>
        <w:t>implementación</w:t>
      </w:r>
      <w:r>
        <w:rPr>
          <w:spacing w:val="-14"/>
          <w:sz w:val="20"/>
        </w:rPr>
        <w:t> </w:t>
      </w:r>
      <w:r>
        <w:rPr>
          <w:sz w:val="20"/>
        </w:rPr>
        <w:t>del apoyo social temporal.</w:t>
      </w:r>
    </w:p>
    <w:p>
      <w:pPr>
        <w:pStyle w:val="BodyText"/>
        <w:spacing w:before="1"/>
        <w:rPr>
          <w:sz w:val="15"/>
        </w:rPr>
      </w:pPr>
    </w:p>
    <w:p>
      <w:pPr>
        <w:spacing w:line="276" w:lineRule="auto" w:before="91"/>
        <w:ind w:left="845" w:right="2030" w:firstLine="0"/>
        <w:jc w:val="both"/>
        <w:rPr>
          <w:sz w:val="20"/>
        </w:rPr>
      </w:pPr>
      <w:r>
        <w:rPr>
          <w:sz w:val="20"/>
        </w:rPr>
        <w:t>La tercera medida adoptada fue la aprobación del </w:t>
      </w:r>
      <w:r>
        <w:rPr>
          <w:b/>
          <w:sz w:val="20"/>
        </w:rPr>
        <w:t>Decreto 21-2022 “Ley para fortalecer el Mantenimiento y Construcción de Infraestructura Estratégica” </w:t>
      </w:r>
      <w:r>
        <w:rPr>
          <w:sz w:val="20"/>
        </w:rPr>
        <w:t>siendo el objeto fortalecer el mantenimiento y construcción de infraestructura estratégica, así como la recuperación de la red vial.</w:t>
      </w:r>
    </w:p>
    <w:p>
      <w:pPr>
        <w:pStyle w:val="BodyText"/>
        <w:spacing w:before="2"/>
        <w:rPr>
          <w:sz w:val="15"/>
        </w:rPr>
      </w:pPr>
    </w:p>
    <w:p>
      <w:pPr>
        <w:spacing w:line="276" w:lineRule="auto" w:before="91"/>
        <w:ind w:left="845" w:right="2034" w:firstLine="0"/>
        <w:jc w:val="both"/>
        <w:rPr>
          <w:sz w:val="20"/>
        </w:rPr>
      </w:pPr>
      <w:r>
        <w:rPr>
          <w:sz w:val="20"/>
        </w:rPr>
        <w:t>Estos proyectos se consideran positivos, dado que, ante una posible desaceleración mundial y posiblemente nacional por la incertidumbre internacional, los proyectos de infraestructura generan un efecto multiplicador, permiten el desarrollo económico del país y la mejora de condiciones de vida de la población.</w:t>
      </w:r>
    </w:p>
    <w:p>
      <w:pPr>
        <w:pStyle w:val="BodyText"/>
        <w:spacing w:before="1"/>
        <w:rPr>
          <w:sz w:val="15"/>
        </w:rPr>
      </w:pPr>
    </w:p>
    <w:p>
      <w:pPr>
        <w:spacing w:line="276" w:lineRule="auto" w:before="91"/>
        <w:ind w:left="845" w:right="2029" w:firstLine="0"/>
        <w:jc w:val="both"/>
        <w:rPr>
          <w:sz w:val="20"/>
        </w:rPr>
      </w:pPr>
      <w:r>
        <w:rPr>
          <w:sz w:val="20"/>
        </w:rPr>
        <w:t>Esta</w:t>
      </w:r>
      <w:r>
        <w:rPr>
          <w:spacing w:val="-6"/>
          <w:sz w:val="20"/>
        </w:rPr>
        <w:t> </w:t>
      </w:r>
      <w:r>
        <w:rPr>
          <w:sz w:val="20"/>
        </w:rPr>
        <w:t>medida</w:t>
      </w:r>
      <w:r>
        <w:rPr>
          <w:spacing w:val="-7"/>
          <w:sz w:val="20"/>
        </w:rPr>
        <w:t> </w:t>
      </w:r>
      <w:r>
        <w:rPr>
          <w:sz w:val="20"/>
        </w:rPr>
        <w:t>requirió</w:t>
      </w:r>
      <w:r>
        <w:rPr>
          <w:spacing w:val="-6"/>
          <w:sz w:val="20"/>
        </w:rPr>
        <w:t> </w:t>
      </w:r>
      <w:r>
        <w:rPr>
          <w:sz w:val="20"/>
        </w:rPr>
        <w:t>la</w:t>
      </w:r>
      <w:r>
        <w:rPr>
          <w:spacing w:val="-8"/>
          <w:sz w:val="20"/>
        </w:rPr>
        <w:t> </w:t>
      </w:r>
      <w:r>
        <w:rPr>
          <w:sz w:val="20"/>
        </w:rPr>
        <w:t>ampliación</w:t>
      </w:r>
      <w:r>
        <w:rPr>
          <w:spacing w:val="-9"/>
          <w:sz w:val="20"/>
        </w:rPr>
        <w:t> </w:t>
      </w:r>
      <w:r>
        <w:rPr>
          <w:sz w:val="20"/>
        </w:rPr>
        <w:t>del</w:t>
      </w:r>
      <w:r>
        <w:rPr>
          <w:spacing w:val="-8"/>
          <w:sz w:val="20"/>
        </w:rPr>
        <w:t> </w:t>
      </w:r>
      <w:r>
        <w:rPr>
          <w:sz w:val="20"/>
        </w:rPr>
        <w:t>presupuesto</w:t>
      </w:r>
      <w:r>
        <w:rPr>
          <w:spacing w:val="-7"/>
          <w:sz w:val="20"/>
        </w:rPr>
        <w:t> </w:t>
      </w:r>
      <w:r>
        <w:rPr>
          <w:sz w:val="20"/>
        </w:rPr>
        <w:t>por</w:t>
      </w:r>
      <w:r>
        <w:rPr>
          <w:spacing w:val="-7"/>
          <w:sz w:val="20"/>
        </w:rPr>
        <w:t> </w:t>
      </w:r>
      <w:r>
        <w:rPr>
          <w:sz w:val="20"/>
        </w:rPr>
        <w:t>Q3,191.2</w:t>
      </w:r>
      <w:r>
        <w:rPr>
          <w:spacing w:val="-7"/>
          <w:sz w:val="20"/>
        </w:rPr>
        <w:t> </w:t>
      </w:r>
      <w:r>
        <w:rPr>
          <w:sz w:val="20"/>
        </w:rPr>
        <w:t>millones,</w:t>
      </w:r>
      <w:r>
        <w:rPr>
          <w:spacing w:val="-7"/>
          <w:sz w:val="20"/>
        </w:rPr>
        <w:t> </w:t>
      </w:r>
      <w:r>
        <w:rPr>
          <w:sz w:val="20"/>
        </w:rPr>
        <w:t>siendo</w:t>
      </w:r>
      <w:r>
        <w:rPr>
          <w:spacing w:val="-7"/>
          <w:sz w:val="20"/>
        </w:rPr>
        <w:t> </w:t>
      </w:r>
      <w:r>
        <w:rPr>
          <w:sz w:val="20"/>
        </w:rPr>
        <w:t>financiada</w:t>
      </w:r>
      <w:r>
        <w:rPr>
          <w:spacing w:val="-7"/>
          <w:sz w:val="20"/>
        </w:rPr>
        <w:t> </w:t>
      </w:r>
      <w:r>
        <w:rPr>
          <w:sz w:val="20"/>
        </w:rPr>
        <w:t>por</w:t>
      </w:r>
      <w:r>
        <w:rPr>
          <w:spacing w:val="-1"/>
          <w:sz w:val="20"/>
        </w:rPr>
        <w:t> </w:t>
      </w:r>
      <w:r>
        <w:rPr>
          <w:sz w:val="20"/>
        </w:rPr>
        <w:t>el</w:t>
      </w:r>
      <w:r>
        <w:rPr>
          <w:spacing w:val="-8"/>
          <w:sz w:val="20"/>
        </w:rPr>
        <w:t> </w:t>
      </w:r>
      <w:r>
        <w:rPr>
          <w:sz w:val="20"/>
        </w:rPr>
        <w:t>uso de recursos disponibles en caja y bancos. No obstante, en junio el Decreto 21-2022 sufrió modificaciones, por medio del </w:t>
      </w:r>
      <w:r>
        <w:rPr>
          <w:b/>
          <w:sz w:val="20"/>
        </w:rPr>
        <w:t>Decreto 36-2022</w:t>
      </w:r>
      <w:r>
        <w:rPr>
          <w:sz w:val="20"/>
        </w:rPr>
        <w:t>, ante la necesidad de reorientar recursos de dicho decreto</w:t>
      </w:r>
      <w:r>
        <w:rPr>
          <w:spacing w:val="-4"/>
          <w:sz w:val="20"/>
        </w:rPr>
        <w:t> </w:t>
      </w:r>
      <w:r>
        <w:rPr>
          <w:sz w:val="20"/>
        </w:rPr>
        <w:t>hasta</w:t>
      </w:r>
      <w:r>
        <w:rPr>
          <w:spacing w:val="-5"/>
          <w:sz w:val="20"/>
        </w:rPr>
        <w:t> </w:t>
      </w:r>
      <w:r>
        <w:rPr>
          <w:sz w:val="20"/>
        </w:rPr>
        <w:t>por</w:t>
      </w:r>
      <w:r>
        <w:rPr>
          <w:spacing w:val="-4"/>
          <w:sz w:val="20"/>
        </w:rPr>
        <w:t> </w:t>
      </w:r>
      <w:r>
        <w:rPr>
          <w:sz w:val="20"/>
        </w:rPr>
        <w:t>un</w:t>
      </w:r>
      <w:r>
        <w:rPr>
          <w:spacing w:val="-4"/>
          <w:sz w:val="20"/>
        </w:rPr>
        <w:t> </w:t>
      </w:r>
      <w:r>
        <w:rPr>
          <w:sz w:val="20"/>
        </w:rPr>
        <w:t>monto</w:t>
      </w:r>
      <w:r>
        <w:rPr>
          <w:spacing w:val="-4"/>
          <w:sz w:val="20"/>
        </w:rPr>
        <w:t> </w:t>
      </w:r>
      <w:r>
        <w:rPr>
          <w:sz w:val="20"/>
        </w:rPr>
        <w:t>de</w:t>
      </w:r>
      <w:r>
        <w:rPr>
          <w:spacing w:val="-3"/>
          <w:sz w:val="20"/>
        </w:rPr>
        <w:t> </w:t>
      </w:r>
      <w:r>
        <w:rPr>
          <w:sz w:val="20"/>
        </w:rPr>
        <w:t>Q400</w:t>
      </w:r>
      <w:r>
        <w:rPr>
          <w:spacing w:val="-3"/>
          <w:sz w:val="20"/>
        </w:rPr>
        <w:t> </w:t>
      </w:r>
      <w:r>
        <w:rPr>
          <w:sz w:val="20"/>
        </w:rPr>
        <w:t>millones</w:t>
      </w:r>
      <w:r>
        <w:rPr>
          <w:spacing w:val="-5"/>
          <w:sz w:val="20"/>
        </w:rPr>
        <w:t> </w:t>
      </w:r>
      <w:r>
        <w:rPr>
          <w:sz w:val="20"/>
        </w:rPr>
        <w:t>para</w:t>
      </w:r>
      <w:r>
        <w:rPr>
          <w:spacing w:val="-4"/>
          <w:sz w:val="20"/>
        </w:rPr>
        <w:t> </w:t>
      </w:r>
      <w:r>
        <w:rPr>
          <w:sz w:val="20"/>
        </w:rPr>
        <w:t>destinarlos</w:t>
      </w:r>
      <w:r>
        <w:rPr>
          <w:spacing w:val="-6"/>
          <w:sz w:val="20"/>
        </w:rPr>
        <w:t> </w:t>
      </w:r>
      <w:r>
        <w:rPr>
          <w:spacing w:val="2"/>
          <w:sz w:val="20"/>
        </w:rPr>
        <w:t>al</w:t>
      </w:r>
      <w:r>
        <w:rPr>
          <w:spacing w:val="-5"/>
          <w:sz w:val="20"/>
        </w:rPr>
        <w:t> </w:t>
      </w:r>
      <w:r>
        <w:rPr>
          <w:sz w:val="20"/>
        </w:rPr>
        <w:t>fortalecimiento</w:t>
      </w:r>
      <w:r>
        <w:rPr>
          <w:spacing w:val="-4"/>
          <w:sz w:val="20"/>
        </w:rPr>
        <w:t> </w:t>
      </w:r>
      <w:r>
        <w:rPr>
          <w:sz w:val="20"/>
        </w:rPr>
        <w:t>del</w:t>
      </w:r>
      <w:r>
        <w:rPr>
          <w:spacing w:val="-5"/>
          <w:sz w:val="20"/>
        </w:rPr>
        <w:t> </w:t>
      </w:r>
      <w:r>
        <w:rPr>
          <w:sz w:val="20"/>
        </w:rPr>
        <w:t>Fondo</w:t>
      </w:r>
      <w:r>
        <w:rPr>
          <w:spacing w:val="-1"/>
          <w:sz w:val="20"/>
        </w:rPr>
        <w:t> </w:t>
      </w:r>
      <w:r>
        <w:rPr>
          <w:sz w:val="20"/>
        </w:rPr>
        <w:t>Emergente, lo cual permitirá mitigar los daños ocasionados por los fenómenos naturales que han afectado al país, por ello el presupuesto del Decreto 21-2022 descendería hasta ubicarse en Q2,791.2</w:t>
      </w:r>
      <w:r>
        <w:rPr>
          <w:spacing w:val="-12"/>
          <w:sz w:val="20"/>
        </w:rPr>
        <w:t> </w:t>
      </w:r>
      <w:r>
        <w:rPr>
          <w:sz w:val="20"/>
        </w:rPr>
        <w:t>millones.</w:t>
      </w:r>
    </w:p>
    <w:p>
      <w:pPr>
        <w:pStyle w:val="BodyText"/>
        <w:rPr>
          <w:sz w:val="15"/>
        </w:rPr>
      </w:pPr>
    </w:p>
    <w:p>
      <w:pPr>
        <w:spacing w:line="276" w:lineRule="auto" w:before="91"/>
        <w:ind w:left="845" w:right="2031" w:firstLine="0"/>
        <w:jc w:val="both"/>
        <w:rPr>
          <w:sz w:val="20"/>
        </w:rPr>
      </w:pPr>
      <w:r>
        <w:rPr>
          <w:sz w:val="20"/>
        </w:rPr>
        <w:t>La cuarta medida fue la aprobación del </w:t>
      </w:r>
      <w:r>
        <w:rPr>
          <w:b/>
          <w:sz w:val="20"/>
        </w:rPr>
        <w:t>Decreto 25-2022 “Ley de Fortalecimiento al Aporte Social de la Tarifa Eléctrica” </w:t>
      </w:r>
      <w:r>
        <w:rPr>
          <w:sz w:val="20"/>
        </w:rPr>
        <w:t>garantizando recursos de abril a diciembre del 2022, siendo el apoyo social temporal enfocado en usuarios regulados de distribución final de energía eléctrica que consuman mensualmente entre 89 kWh hasta 100 kWh al mes pagando Q1.00 por kWh. Anteriormente, la tarifa social únicamente aplicaba a rangos de consumo de 1 a 88 kWh, con el nuevo rango de consumo se incorporarían alrededor de 173,176 de hogares beneficiados por la tarifa social.</w:t>
      </w:r>
    </w:p>
    <w:p>
      <w:pPr>
        <w:spacing w:line="273" w:lineRule="auto" w:before="161"/>
        <w:ind w:left="845" w:right="2036" w:firstLine="0"/>
        <w:jc w:val="both"/>
        <w:rPr>
          <w:sz w:val="20"/>
        </w:rPr>
      </w:pPr>
      <w:r>
        <w:rPr>
          <w:sz w:val="20"/>
        </w:rPr>
        <w:t>La</w:t>
      </w:r>
      <w:r>
        <w:rPr>
          <w:spacing w:val="-12"/>
          <w:sz w:val="20"/>
        </w:rPr>
        <w:t> </w:t>
      </w:r>
      <w:r>
        <w:rPr>
          <w:sz w:val="20"/>
        </w:rPr>
        <w:t>medida</w:t>
      </w:r>
      <w:r>
        <w:rPr>
          <w:spacing w:val="-14"/>
          <w:sz w:val="20"/>
        </w:rPr>
        <w:t> </w:t>
      </w:r>
      <w:r>
        <w:rPr>
          <w:sz w:val="20"/>
        </w:rPr>
        <w:t>cuenta</w:t>
      </w:r>
      <w:r>
        <w:rPr>
          <w:spacing w:val="-14"/>
          <w:sz w:val="20"/>
        </w:rPr>
        <w:t> </w:t>
      </w:r>
      <w:r>
        <w:rPr>
          <w:sz w:val="20"/>
        </w:rPr>
        <w:t>con</w:t>
      </w:r>
      <w:r>
        <w:rPr>
          <w:spacing w:val="-13"/>
          <w:sz w:val="20"/>
        </w:rPr>
        <w:t> </w:t>
      </w:r>
      <w:r>
        <w:rPr>
          <w:sz w:val="20"/>
        </w:rPr>
        <w:t>un</w:t>
      </w:r>
      <w:r>
        <w:rPr>
          <w:spacing w:val="-15"/>
          <w:sz w:val="20"/>
        </w:rPr>
        <w:t> </w:t>
      </w:r>
      <w:r>
        <w:rPr>
          <w:sz w:val="20"/>
        </w:rPr>
        <w:t>presupuesto</w:t>
      </w:r>
      <w:r>
        <w:rPr>
          <w:spacing w:val="-14"/>
          <w:sz w:val="20"/>
        </w:rPr>
        <w:t> </w:t>
      </w:r>
      <w:r>
        <w:rPr>
          <w:sz w:val="20"/>
        </w:rPr>
        <w:t>de</w:t>
      </w:r>
      <w:r>
        <w:rPr>
          <w:spacing w:val="-14"/>
          <w:sz w:val="20"/>
        </w:rPr>
        <w:t> </w:t>
      </w:r>
      <w:r>
        <w:rPr>
          <w:sz w:val="20"/>
        </w:rPr>
        <w:t>Q90.0</w:t>
      </w:r>
      <w:r>
        <w:rPr>
          <w:spacing w:val="-13"/>
          <w:sz w:val="20"/>
        </w:rPr>
        <w:t> </w:t>
      </w:r>
      <w:r>
        <w:rPr>
          <w:sz w:val="20"/>
        </w:rPr>
        <w:t>millones,</w:t>
      </w:r>
      <w:r>
        <w:rPr>
          <w:spacing w:val="-14"/>
          <w:sz w:val="20"/>
        </w:rPr>
        <w:t> </w:t>
      </w:r>
      <w:r>
        <w:rPr>
          <w:sz w:val="20"/>
        </w:rPr>
        <w:t>que</w:t>
      </w:r>
      <w:r>
        <w:rPr>
          <w:spacing w:val="-11"/>
          <w:sz w:val="20"/>
        </w:rPr>
        <w:t> </w:t>
      </w:r>
      <w:r>
        <w:rPr>
          <w:sz w:val="20"/>
        </w:rPr>
        <w:t>estaría</w:t>
      </w:r>
      <w:r>
        <w:rPr>
          <w:spacing w:val="-14"/>
          <w:sz w:val="20"/>
        </w:rPr>
        <w:t> </w:t>
      </w:r>
      <w:r>
        <w:rPr>
          <w:sz w:val="20"/>
        </w:rPr>
        <w:t>siendo</w:t>
      </w:r>
      <w:r>
        <w:rPr>
          <w:spacing w:val="-13"/>
          <w:sz w:val="20"/>
        </w:rPr>
        <w:t> </w:t>
      </w:r>
      <w:r>
        <w:rPr>
          <w:sz w:val="20"/>
        </w:rPr>
        <w:t>financiado</w:t>
      </w:r>
      <w:r>
        <w:rPr>
          <w:spacing w:val="-13"/>
          <w:sz w:val="20"/>
        </w:rPr>
        <w:t> </w:t>
      </w:r>
      <w:r>
        <w:rPr>
          <w:sz w:val="20"/>
        </w:rPr>
        <w:t>por</w:t>
      </w:r>
      <w:r>
        <w:rPr>
          <w:spacing w:val="-13"/>
          <w:sz w:val="20"/>
        </w:rPr>
        <w:t> </w:t>
      </w:r>
      <w:r>
        <w:rPr>
          <w:sz w:val="20"/>
        </w:rPr>
        <w:t>caja</w:t>
      </w:r>
      <w:r>
        <w:rPr>
          <w:spacing w:val="-14"/>
          <w:sz w:val="20"/>
        </w:rPr>
        <w:t> </w:t>
      </w:r>
      <w:r>
        <w:rPr>
          <w:sz w:val="20"/>
        </w:rPr>
        <w:t>y</w:t>
      </w:r>
      <w:r>
        <w:rPr>
          <w:spacing w:val="-18"/>
          <w:sz w:val="20"/>
        </w:rPr>
        <w:t> </w:t>
      </w:r>
      <w:r>
        <w:rPr>
          <w:sz w:val="20"/>
        </w:rPr>
        <w:t>bancos destinado al Instituto Nacional de Electrificación</w:t>
      </w:r>
      <w:r>
        <w:rPr>
          <w:spacing w:val="1"/>
          <w:sz w:val="20"/>
        </w:rPr>
        <w:t> </w:t>
      </w:r>
      <w:r>
        <w:rPr>
          <w:sz w:val="20"/>
        </w:rPr>
        <w:t>(INDE).</w:t>
      </w:r>
    </w:p>
    <w:p>
      <w:pPr>
        <w:spacing w:line="276" w:lineRule="auto" w:before="165"/>
        <w:ind w:left="845" w:right="2028" w:firstLine="0"/>
        <w:jc w:val="both"/>
        <w:rPr>
          <w:sz w:val="20"/>
        </w:rPr>
      </w:pPr>
      <w:r>
        <w:rPr>
          <w:sz w:val="20"/>
        </w:rPr>
        <w:t>Asimismo, a junio se ha dado una ampliación y ejecución de Q342.0 millones para los </w:t>
      </w:r>
      <w:r>
        <w:rPr>
          <w:b/>
          <w:sz w:val="20"/>
        </w:rPr>
        <w:t>Consejos Departamentales de Desarrollo</w:t>
      </w:r>
      <w:r>
        <w:rPr>
          <w:sz w:val="20"/>
        </w:rPr>
        <w:t>, que corresponde a la posibilidad de gestionar ampliaciones presupuestarias (Artículo 119 del Decreto 16-2021) por recursos extraordinarios que habían sido asignados previamente en el Decreto 20-2020 en el marco de reactivación económica por la pandemia COVID-19.</w:t>
      </w:r>
    </w:p>
    <w:p>
      <w:pPr>
        <w:spacing w:line="273" w:lineRule="auto" w:before="160"/>
        <w:ind w:left="845" w:right="2031" w:firstLine="0"/>
        <w:jc w:val="both"/>
        <w:rPr>
          <w:sz w:val="20"/>
        </w:rPr>
      </w:pPr>
      <w:r>
        <w:rPr>
          <w:sz w:val="20"/>
        </w:rPr>
        <w:t>Por último, se está implementando dentro del MAGA el </w:t>
      </w:r>
      <w:r>
        <w:rPr>
          <w:b/>
          <w:sz w:val="20"/>
        </w:rPr>
        <w:t>programa de estipendio por acciones</w:t>
      </w:r>
      <w:r>
        <w:rPr>
          <w:sz w:val="20"/>
        </w:rPr>
        <w:t>, esta iniciativa busca restaurar las unidades productivas de familias agricultoras de infra subsistencia y subsistencia, afectadas por las tormentas tropicales Eta e Iota en 2020.</w:t>
      </w:r>
    </w:p>
    <w:p>
      <w:pPr>
        <w:spacing w:line="276" w:lineRule="auto" w:before="167"/>
        <w:ind w:left="845" w:right="2030" w:firstLine="0"/>
        <w:jc w:val="both"/>
        <w:rPr>
          <w:sz w:val="20"/>
        </w:rPr>
      </w:pPr>
      <w:r>
        <w:rPr>
          <w:sz w:val="20"/>
        </w:rPr>
        <w:t>Las familias beneficiadas realizan diversos trabajos, que luego de verificación por parte del MAGA recibirán el beneficio económico por Q1,000, con un presupuesto de Q93.1 millones. Esta medida no requiere ampliación presupuestaria, se da por medio de readecuaciones presupuestarias.</w:t>
      </w:r>
    </w:p>
    <w:p>
      <w:pPr>
        <w:spacing w:before="164"/>
        <w:ind w:left="845" w:right="0" w:firstLine="0"/>
        <w:jc w:val="both"/>
        <w:rPr>
          <w:b/>
          <w:sz w:val="20"/>
        </w:rPr>
      </w:pPr>
      <w:r>
        <w:rPr>
          <w:b/>
          <w:sz w:val="20"/>
        </w:rPr>
        <w:t>Ejecución de las medidas a junio</w:t>
      </w:r>
    </w:p>
    <w:p>
      <w:pPr>
        <w:spacing w:line="278" w:lineRule="auto" w:before="190"/>
        <w:ind w:left="845" w:right="2029" w:firstLine="0"/>
        <w:jc w:val="both"/>
        <w:rPr>
          <w:sz w:val="20"/>
        </w:rPr>
      </w:pPr>
      <w:r>
        <w:rPr>
          <w:sz w:val="20"/>
        </w:rPr>
        <w:t>Respecto a la ejecución de estas medidas, se han ejecutado Q1,807.6 millones, con un grado de ejecución del 29.5%, de las cuales Q1,196.3 millones corresponden al subsidio a los consumidores de</w:t>
      </w:r>
    </w:p>
    <w:p>
      <w:pPr>
        <w:spacing w:after="0" w:line="278" w:lineRule="auto"/>
        <w:jc w:val="both"/>
        <w:rPr>
          <w:sz w:val="20"/>
        </w:rPr>
        <w:sectPr>
          <w:pgSz w:w="12240" w:h="15840"/>
          <w:pgMar w:header="715" w:footer="957" w:top="1240" w:bottom="1140" w:left="11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tbl>
      <w:tblPr>
        <w:tblW w:w="0" w:type="auto"/>
        <w:jc w:val="left"/>
        <w:tblInd w:w="14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96"/>
        <w:gridCol w:w="1068"/>
        <w:gridCol w:w="1348"/>
        <w:gridCol w:w="774"/>
        <w:gridCol w:w="787"/>
        <w:gridCol w:w="727"/>
      </w:tblGrid>
      <w:tr>
        <w:trPr>
          <w:trHeight w:val="527" w:hRule="atLeast"/>
        </w:trPr>
        <w:tc>
          <w:tcPr>
            <w:tcW w:w="2396" w:type="dxa"/>
            <w:tcBorders>
              <w:left w:val="single" w:sz="12" w:space="0" w:color="000000"/>
              <w:bottom w:val="single" w:sz="12" w:space="0" w:color="000000"/>
            </w:tcBorders>
            <w:shd w:val="clear" w:color="auto" w:fill="1F3763"/>
          </w:tcPr>
          <w:p>
            <w:pPr>
              <w:pStyle w:val="TableParagraph"/>
              <w:spacing w:before="4"/>
              <w:rPr>
                <w:sz w:val="17"/>
              </w:rPr>
            </w:pPr>
          </w:p>
          <w:p>
            <w:pPr>
              <w:pStyle w:val="TableParagraph"/>
              <w:ind w:right="535"/>
              <w:jc w:val="right"/>
              <w:rPr>
                <w:b/>
                <w:sz w:val="12"/>
              </w:rPr>
            </w:pPr>
            <w:r>
              <w:rPr>
                <w:b/>
                <w:color w:val="FFFFFF"/>
                <w:sz w:val="12"/>
              </w:rPr>
              <w:t>D e c re to /  A c t iv ida d</w:t>
            </w:r>
          </w:p>
        </w:tc>
        <w:tc>
          <w:tcPr>
            <w:tcW w:w="1068" w:type="dxa"/>
            <w:tcBorders>
              <w:bottom w:val="single" w:sz="12" w:space="0" w:color="000000"/>
            </w:tcBorders>
            <w:shd w:val="clear" w:color="auto" w:fill="1F3763"/>
          </w:tcPr>
          <w:p>
            <w:pPr>
              <w:pStyle w:val="TableParagraph"/>
              <w:spacing w:before="4"/>
              <w:rPr>
                <w:sz w:val="17"/>
              </w:rPr>
            </w:pPr>
          </w:p>
          <w:p>
            <w:pPr>
              <w:pStyle w:val="TableParagraph"/>
              <w:ind w:left="52" w:right="86"/>
              <w:jc w:val="center"/>
              <w:rPr>
                <w:b/>
                <w:sz w:val="12"/>
              </w:rPr>
            </w:pPr>
            <w:r>
              <w:rPr>
                <w:b/>
                <w:color w:val="FFFFFF"/>
                <w:sz w:val="12"/>
              </w:rPr>
              <w:t>A m plia c io ne s</w:t>
            </w:r>
          </w:p>
        </w:tc>
        <w:tc>
          <w:tcPr>
            <w:tcW w:w="1348" w:type="dxa"/>
            <w:tcBorders>
              <w:bottom w:val="single" w:sz="12" w:space="0" w:color="000000"/>
            </w:tcBorders>
            <w:shd w:val="clear" w:color="auto" w:fill="1F3763"/>
          </w:tcPr>
          <w:p>
            <w:pPr>
              <w:pStyle w:val="TableParagraph"/>
              <w:spacing w:line="283" w:lineRule="auto" w:before="118"/>
              <w:ind w:left="118" w:right="125" w:hanging="14"/>
              <w:rPr>
                <w:b/>
                <w:sz w:val="12"/>
              </w:rPr>
            </w:pPr>
            <w:r>
              <w:rPr>
                <w:b/>
                <w:color w:val="FFFFFF"/>
                <w:sz w:val="12"/>
              </w:rPr>
              <w:t>R e a de c ua c io ne s P re s upue s ta ria s</w:t>
            </w:r>
          </w:p>
        </w:tc>
        <w:tc>
          <w:tcPr>
            <w:tcW w:w="774" w:type="dxa"/>
            <w:tcBorders>
              <w:bottom w:val="single" w:sz="12" w:space="0" w:color="000000"/>
            </w:tcBorders>
            <w:shd w:val="clear" w:color="auto" w:fill="1F3763"/>
          </w:tcPr>
          <w:p>
            <w:pPr>
              <w:pStyle w:val="TableParagraph"/>
              <w:spacing w:before="4"/>
              <w:rPr>
                <w:sz w:val="17"/>
              </w:rPr>
            </w:pPr>
          </w:p>
          <w:p>
            <w:pPr>
              <w:pStyle w:val="TableParagraph"/>
              <w:ind w:right="145"/>
              <w:jc w:val="right"/>
              <w:rPr>
                <w:b/>
                <w:sz w:val="12"/>
              </w:rPr>
            </w:pPr>
            <w:r>
              <w:rPr>
                <w:b/>
                <w:color w:val="FFFFFF"/>
                <w:sz w:val="12"/>
              </w:rPr>
              <w:t>Vig e nte</w:t>
            </w:r>
          </w:p>
        </w:tc>
        <w:tc>
          <w:tcPr>
            <w:tcW w:w="787" w:type="dxa"/>
            <w:tcBorders>
              <w:bottom w:val="single" w:sz="12" w:space="0" w:color="000000"/>
            </w:tcBorders>
            <w:shd w:val="clear" w:color="auto" w:fill="1F3763"/>
          </w:tcPr>
          <w:p>
            <w:pPr>
              <w:pStyle w:val="TableParagraph"/>
              <w:spacing w:line="283" w:lineRule="auto" w:before="118"/>
              <w:ind w:left="159" w:right="24" w:hanging="108"/>
              <w:rPr>
                <w:b/>
                <w:sz w:val="12"/>
              </w:rPr>
            </w:pPr>
            <w:r>
              <w:rPr>
                <w:b/>
                <w:color w:val="FFFFFF"/>
                <w:sz w:val="12"/>
              </w:rPr>
              <w:t>E je c uc ió n a ju nio</w:t>
            </w:r>
          </w:p>
        </w:tc>
        <w:tc>
          <w:tcPr>
            <w:tcW w:w="727" w:type="dxa"/>
            <w:tcBorders>
              <w:bottom w:val="single" w:sz="12" w:space="0" w:color="000000"/>
              <w:right w:val="single" w:sz="12" w:space="0" w:color="000000"/>
            </w:tcBorders>
            <w:shd w:val="clear" w:color="auto" w:fill="1F3763"/>
          </w:tcPr>
          <w:p>
            <w:pPr>
              <w:pStyle w:val="TableParagraph"/>
              <w:spacing w:line="283" w:lineRule="auto" w:before="37"/>
              <w:ind w:left="66" w:right="83" w:firstLine="146"/>
              <w:rPr>
                <w:b/>
                <w:sz w:val="12"/>
              </w:rPr>
            </w:pPr>
            <w:r>
              <w:rPr>
                <w:b/>
                <w:color w:val="FFFFFF"/>
                <w:sz w:val="12"/>
              </w:rPr>
              <w:t>%  </w:t>
            </w:r>
            <w:r>
              <w:rPr>
                <w:b/>
                <w:color w:val="FFFFFF"/>
                <w:spacing w:val="6"/>
                <w:sz w:val="12"/>
              </w:rPr>
              <w:t>de </w:t>
            </w:r>
            <w:r>
              <w:rPr>
                <w:b/>
                <w:color w:val="FFFFFF"/>
                <w:sz w:val="12"/>
              </w:rPr>
              <w:t>E</w:t>
            </w:r>
            <w:r>
              <w:rPr>
                <w:b/>
                <w:color w:val="FFFFFF"/>
                <w:spacing w:val="-18"/>
                <w:sz w:val="12"/>
              </w:rPr>
              <w:t> </w:t>
            </w:r>
            <w:r>
              <w:rPr>
                <w:b/>
                <w:color w:val="FFFFFF"/>
                <w:sz w:val="12"/>
              </w:rPr>
              <w:t>je</w:t>
            </w:r>
            <w:r>
              <w:rPr>
                <w:b/>
                <w:color w:val="FFFFFF"/>
                <w:spacing w:val="-4"/>
                <w:sz w:val="12"/>
              </w:rPr>
              <w:t> </w:t>
            </w:r>
            <w:r>
              <w:rPr>
                <w:b/>
                <w:color w:val="FFFFFF"/>
                <w:sz w:val="12"/>
              </w:rPr>
              <w:t>c</w:t>
            </w:r>
            <w:r>
              <w:rPr>
                <w:b/>
                <w:color w:val="FFFFFF"/>
                <w:spacing w:val="-4"/>
                <w:sz w:val="12"/>
              </w:rPr>
              <w:t> </w:t>
            </w:r>
            <w:r>
              <w:rPr>
                <w:b/>
                <w:color w:val="FFFFFF"/>
                <w:spacing w:val="6"/>
                <w:sz w:val="12"/>
              </w:rPr>
              <w:t>uc</w:t>
            </w:r>
            <w:r>
              <w:rPr>
                <w:b/>
                <w:color w:val="FFFFFF"/>
                <w:spacing w:val="-3"/>
                <w:sz w:val="12"/>
              </w:rPr>
              <w:t> </w:t>
            </w:r>
            <w:r>
              <w:rPr>
                <w:b/>
                <w:color w:val="FFFFFF"/>
                <w:spacing w:val="-4"/>
                <w:sz w:val="12"/>
              </w:rPr>
              <w:t>ió</w:t>
            </w:r>
          </w:p>
          <w:p>
            <w:pPr>
              <w:pStyle w:val="TableParagraph"/>
              <w:ind w:left="319"/>
              <w:rPr>
                <w:b/>
                <w:sz w:val="12"/>
              </w:rPr>
            </w:pPr>
            <w:r>
              <w:rPr>
                <w:b/>
                <w:color w:val="FFFFFF"/>
                <w:w w:val="100"/>
                <w:sz w:val="12"/>
              </w:rPr>
              <w:t>n</w:t>
            </w:r>
          </w:p>
        </w:tc>
      </w:tr>
      <w:tr>
        <w:trPr>
          <w:trHeight w:val="255" w:hRule="atLeast"/>
        </w:trPr>
        <w:tc>
          <w:tcPr>
            <w:tcW w:w="2396" w:type="dxa"/>
            <w:tcBorders>
              <w:top w:val="single" w:sz="12" w:space="0" w:color="000000"/>
              <w:left w:val="single" w:sz="12" w:space="0" w:color="000000"/>
              <w:bottom w:val="single" w:sz="12" w:space="0" w:color="000000"/>
            </w:tcBorders>
            <w:shd w:val="clear" w:color="auto" w:fill="DEEAF6"/>
          </w:tcPr>
          <w:p>
            <w:pPr>
              <w:pStyle w:val="TableParagraph"/>
              <w:rPr>
                <w:sz w:val="16"/>
              </w:rPr>
            </w:pPr>
          </w:p>
        </w:tc>
        <w:tc>
          <w:tcPr>
            <w:tcW w:w="1068" w:type="dxa"/>
            <w:tcBorders>
              <w:top w:val="single" w:sz="12" w:space="0" w:color="000000"/>
              <w:bottom w:val="single" w:sz="12" w:space="0" w:color="000000"/>
            </w:tcBorders>
            <w:shd w:val="clear" w:color="auto" w:fill="DEEAF6"/>
          </w:tcPr>
          <w:p>
            <w:pPr>
              <w:pStyle w:val="TableParagraph"/>
              <w:spacing w:before="63"/>
              <w:ind w:left="52" w:right="58"/>
              <w:jc w:val="center"/>
              <w:rPr>
                <w:b/>
                <w:sz w:val="12"/>
              </w:rPr>
            </w:pPr>
            <w:r>
              <w:rPr>
                <w:b/>
                <w:sz w:val="12"/>
              </w:rPr>
              <w:t>6 ,0 3 3 .7</w:t>
            </w:r>
          </w:p>
        </w:tc>
        <w:tc>
          <w:tcPr>
            <w:tcW w:w="1348" w:type="dxa"/>
            <w:tcBorders>
              <w:top w:val="single" w:sz="12" w:space="0" w:color="000000"/>
              <w:bottom w:val="single" w:sz="12" w:space="0" w:color="000000"/>
            </w:tcBorders>
            <w:shd w:val="clear" w:color="auto" w:fill="DEEAF6"/>
          </w:tcPr>
          <w:p>
            <w:pPr>
              <w:pStyle w:val="TableParagraph"/>
              <w:spacing w:before="63"/>
              <w:ind w:left="493" w:right="499"/>
              <w:jc w:val="center"/>
              <w:rPr>
                <w:b/>
                <w:sz w:val="12"/>
              </w:rPr>
            </w:pPr>
            <w:r>
              <w:rPr>
                <w:b/>
                <w:sz w:val="12"/>
              </w:rPr>
              <w:t>0 .0</w:t>
            </w:r>
          </w:p>
        </w:tc>
        <w:tc>
          <w:tcPr>
            <w:tcW w:w="774" w:type="dxa"/>
            <w:tcBorders>
              <w:top w:val="single" w:sz="12" w:space="0" w:color="000000"/>
              <w:bottom w:val="single" w:sz="12" w:space="0" w:color="000000"/>
            </w:tcBorders>
            <w:shd w:val="clear" w:color="auto" w:fill="DEEAF6"/>
          </w:tcPr>
          <w:p>
            <w:pPr>
              <w:pStyle w:val="TableParagraph"/>
              <w:spacing w:before="63"/>
              <w:ind w:right="165"/>
              <w:jc w:val="right"/>
              <w:rPr>
                <w:b/>
                <w:sz w:val="12"/>
              </w:rPr>
            </w:pPr>
            <w:r>
              <w:rPr>
                <w:b/>
                <w:sz w:val="12"/>
              </w:rPr>
              <w:t>6 ,12 6 .8</w:t>
            </w:r>
          </w:p>
        </w:tc>
        <w:tc>
          <w:tcPr>
            <w:tcW w:w="787" w:type="dxa"/>
            <w:tcBorders>
              <w:top w:val="single" w:sz="12" w:space="0" w:color="000000"/>
              <w:bottom w:val="single" w:sz="12" w:space="0" w:color="000000"/>
            </w:tcBorders>
            <w:shd w:val="clear" w:color="auto" w:fill="DEEAF6"/>
          </w:tcPr>
          <w:p>
            <w:pPr>
              <w:pStyle w:val="TableParagraph"/>
              <w:spacing w:before="63"/>
              <w:ind w:right="178"/>
              <w:jc w:val="right"/>
              <w:rPr>
                <w:b/>
                <w:sz w:val="12"/>
              </w:rPr>
            </w:pPr>
            <w:r>
              <w:rPr>
                <w:b/>
                <w:sz w:val="12"/>
              </w:rPr>
              <w:t>1,8 0 7 .6</w:t>
            </w:r>
          </w:p>
        </w:tc>
        <w:tc>
          <w:tcPr>
            <w:tcW w:w="727" w:type="dxa"/>
            <w:tcBorders>
              <w:top w:val="single" w:sz="12" w:space="0" w:color="000000"/>
              <w:bottom w:val="single" w:sz="12" w:space="0" w:color="000000"/>
              <w:right w:val="single" w:sz="12" w:space="0" w:color="000000"/>
            </w:tcBorders>
            <w:shd w:val="clear" w:color="auto" w:fill="DEEAF6"/>
          </w:tcPr>
          <w:p>
            <w:pPr>
              <w:pStyle w:val="TableParagraph"/>
              <w:spacing w:before="63"/>
              <w:ind w:left="142" w:right="102"/>
              <w:jc w:val="center"/>
              <w:rPr>
                <w:b/>
                <w:sz w:val="12"/>
              </w:rPr>
            </w:pPr>
            <w:r>
              <w:rPr>
                <w:b/>
                <w:sz w:val="12"/>
              </w:rPr>
              <w:t>2 9 .5 %</w:t>
            </w:r>
          </w:p>
        </w:tc>
      </w:tr>
      <w:tr>
        <w:trPr>
          <w:trHeight w:val="255" w:hRule="atLeast"/>
        </w:trPr>
        <w:tc>
          <w:tcPr>
            <w:tcW w:w="2396" w:type="dxa"/>
            <w:tcBorders>
              <w:top w:val="single" w:sz="12" w:space="0" w:color="000000"/>
              <w:left w:val="single" w:sz="12" w:space="0" w:color="000000"/>
              <w:bottom w:val="single" w:sz="12" w:space="0" w:color="000000"/>
            </w:tcBorders>
            <w:shd w:val="clear" w:color="auto" w:fill="D9E0F1"/>
          </w:tcPr>
          <w:p>
            <w:pPr>
              <w:pStyle w:val="TableParagraph"/>
              <w:spacing w:before="63"/>
              <w:ind w:left="38"/>
              <w:rPr>
                <w:b/>
                <w:sz w:val="12"/>
              </w:rPr>
            </w:pPr>
            <w:r>
              <w:rPr>
                <w:b/>
                <w:sz w:val="12"/>
              </w:rPr>
              <w:t>D e c re to 17 - 2 0 2 2 *</w:t>
            </w:r>
          </w:p>
        </w:tc>
        <w:tc>
          <w:tcPr>
            <w:tcW w:w="1068" w:type="dxa"/>
            <w:tcBorders>
              <w:top w:val="single" w:sz="12" w:space="0" w:color="000000"/>
              <w:bottom w:val="single" w:sz="12" w:space="0" w:color="000000"/>
            </w:tcBorders>
            <w:shd w:val="clear" w:color="auto" w:fill="D9E0F1"/>
          </w:tcPr>
          <w:p>
            <w:pPr>
              <w:pStyle w:val="TableParagraph"/>
              <w:spacing w:before="63"/>
              <w:ind w:left="52" w:right="71"/>
              <w:jc w:val="center"/>
              <w:rPr>
                <w:b/>
                <w:sz w:val="12"/>
              </w:rPr>
            </w:pPr>
            <w:r>
              <w:rPr>
                <w:b/>
                <w:sz w:val="12"/>
              </w:rPr>
              <w:t>15 0 .0</w:t>
            </w:r>
          </w:p>
        </w:tc>
        <w:tc>
          <w:tcPr>
            <w:tcW w:w="1348" w:type="dxa"/>
            <w:tcBorders>
              <w:top w:val="single" w:sz="12" w:space="0" w:color="000000"/>
              <w:bottom w:val="single" w:sz="12" w:space="0" w:color="000000"/>
            </w:tcBorders>
            <w:shd w:val="clear" w:color="auto" w:fill="D9E0F1"/>
          </w:tcPr>
          <w:p>
            <w:pPr>
              <w:pStyle w:val="TableParagraph"/>
              <w:spacing w:before="63"/>
              <w:ind w:left="493" w:right="499"/>
              <w:jc w:val="center"/>
              <w:rPr>
                <w:b/>
                <w:sz w:val="12"/>
              </w:rPr>
            </w:pPr>
            <w:r>
              <w:rPr>
                <w:b/>
                <w:sz w:val="12"/>
              </w:rPr>
              <w:t>0 .0</w:t>
            </w:r>
          </w:p>
        </w:tc>
        <w:tc>
          <w:tcPr>
            <w:tcW w:w="774" w:type="dxa"/>
            <w:tcBorders>
              <w:top w:val="single" w:sz="12" w:space="0" w:color="000000"/>
              <w:bottom w:val="single" w:sz="12" w:space="0" w:color="000000"/>
            </w:tcBorders>
            <w:shd w:val="clear" w:color="auto" w:fill="D9E0F1"/>
          </w:tcPr>
          <w:p>
            <w:pPr>
              <w:pStyle w:val="TableParagraph"/>
              <w:spacing w:before="63"/>
              <w:ind w:left="212"/>
              <w:rPr>
                <w:b/>
                <w:sz w:val="12"/>
              </w:rPr>
            </w:pPr>
            <w:r>
              <w:rPr>
                <w:b/>
                <w:sz w:val="12"/>
              </w:rPr>
              <w:t>15 0 .0</w:t>
            </w:r>
          </w:p>
        </w:tc>
        <w:tc>
          <w:tcPr>
            <w:tcW w:w="787" w:type="dxa"/>
            <w:tcBorders>
              <w:top w:val="single" w:sz="12" w:space="0" w:color="000000"/>
              <w:bottom w:val="single" w:sz="12" w:space="0" w:color="000000"/>
            </w:tcBorders>
            <w:shd w:val="clear" w:color="auto" w:fill="D9E0F1"/>
          </w:tcPr>
          <w:p>
            <w:pPr>
              <w:pStyle w:val="TableParagraph"/>
              <w:spacing w:before="63"/>
              <w:ind w:right="217"/>
              <w:jc w:val="right"/>
              <w:rPr>
                <w:b/>
                <w:sz w:val="12"/>
              </w:rPr>
            </w:pPr>
            <w:r>
              <w:rPr>
                <w:b/>
                <w:sz w:val="12"/>
              </w:rPr>
              <w:t>12 8 .1</w:t>
            </w:r>
          </w:p>
        </w:tc>
        <w:tc>
          <w:tcPr>
            <w:tcW w:w="727" w:type="dxa"/>
            <w:tcBorders>
              <w:top w:val="single" w:sz="12" w:space="0" w:color="000000"/>
              <w:bottom w:val="single" w:sz="12" w:space="0" w:color="000000"/>
              <w:right w:val="single" w:sz="12" w:space="0" w:color="000000"/>
            </w:tcBorders>
            <w:shd w:val="clear" w:color="auto" w:fill="D9E0F1"/>
          </w:tcPr>
          <w:p>
            <w:pPr>
              <w:pStyle w:val="TableParagraph"/>
              <w:spacing w:before="63"/>
              <w:ind w:left="142" w:right="102"/>
              <w:jc w:val="center"/>
              <w:rPr>
                <w:b/>
                <w:sz w:val="12"/>
              </w:rPr>
            </w:pPr>
            <w:r>
              <w:rPr>
                <w:b/>
                <w:sz w:val="12"/>
              </w:rPr>
              <w:t>8 5 .4 %</w:t>
            </w:r>
          </w:p>
        </w:tc>
      </w:tr>
      <w:tr>
        <w:trPr>
          <w:trHeight w:val="472" w:hRule="atLeast"/>
        </w:trPr>
        <w:tc>
          <w:tcPr>
            <w:tcW w:w="2396" w:type="dxa"/>
            <w:tcBorders>
              <w:top w:val="single" w:sz="12" w:space="0" w:color="000000"/>
              <w:left w:val="single" w:sz="12" w:space="0" w:color="000000"/>
              <w:bottom w:val="single" w:sz="12" w:space="0" w:color="000000"/>
            </w:tcBorders>
            <w:shd w:val="clear" w:color="auto" w:fill="DEEAF6"/>
          </w:tcPr>
          <w:p>
            <w:pPr>
              <w:pStyle w:val="TableParagraph"/>
              <w:spacing w:line="283" w:lineRule="auto" w:before="90"/>
              <w:ind w:left="278" w:right="22"/>
              <w:rPr>
                <w:sz w:val="12"/>
              </w:rPr>
            </w:pPr>
            <w:r>
              <w:rPr>
                <w:sz w:val="12"/>
              </w:rPr>
              <w:t>MEM -Le y de Apo yo So cial Tempo ra l a lo s Co ns umido re s de Gas P ro pano</w:t>
            </w:r>
          </w:p>
        </w:tc>
        <w:tc>
          <w:tcPr>
            <w:tcW w:w="1068" w:type="dxa"/>
            <w:tcBorders>
              <w:top w:val="single" w:sz="12" w:space="0" w:color="000000"/>
              <w:bottom w:val="single" w:sz="12" w:space="0" w:color="000000"/>
            </w:tcBorders>
            <w:shd w:val="clear" w:color="auto" w:fill="DEEAF6"/>
          </w:tcPr>
          <w:p>
            <w:pPr>
              <w:pStyle w:val="TableParagraph"/>
              <w:spacing w:before="11"/>
              <w:rPr>
                <w:sz w:val="14"/>
              </w:rPr>
            </w:pPr>
          </w:p>
          <w:p>
            <w:pPr>
              <w:pStyle w:val="TableParagraph"/>
              <w:ind w:left="52" w:right="20"/>
              <w:jc w:val="center"/>
              <w:rPr>
                <w:sz w:val="12"/>
              </w:rPr>
            </w:pPr>
            <w:r>
              <w:rPr>
                <w:sz w:val="12"/>
              </w:rPr>
              <w:t>150.0</w:t>
            </w:r>
          </w:p>
        </w:tc>
        <w:tc>
          <w:tcPr>
            <w:tcW w:w="1348" w:type="dxa"/>
            <w:tcBorders>
              <w:top w:val="single" w:sz="12" w:space="0" w:color="000000"/>
              <w:bottom w:val="single" w:sz="12" w:space="0" w:color="000000"/>
            </w:tcBorders>
            <w:shd w:val="clear" w:color="auto" w:fill="DEEAF6"/>
          </w:tcPr>
          <w:p>
            <w:pPr>
              <w:pStyle w:val="TableParagraph"/>
              <w:spacing w:before="11"/>
              <w:rPr>
                <w:sz w:val="14"/>
              </w:rPr>
            </w:pPr>
          </w:p>
          <w:p>
            <w:pPr>
              <w:pStyle w:val="TableParagraph"/>
              <w:ind w:left="517" w:right="499"/>
              <w:jc w:val="center"/>
              <w:rPr>
                <w:sz w:val="12"/>
              </w:rPr>
            </w:pPr>
            <w:r>
              <w:rPr>
                <w:sz w:val="12"/>
              </w:rPr>
              <w:t>0.0</w:t>
            </w:r>
          </w:p>
        </w:tc>
        <w:tc>
          <w:tcPr>
            <w:tcW w:w="774" w:type="dxa"/>
            <w:tcBorders>
              <w:top w:val="single" w:sz="12" w:space="0" w:color="000000"/>
              <w:bottom w:val="single" w:sz="12" w:space="0" w:color="000000"/>
            </w:tcBorders>
            <w:shd w:val="clear" w:color="auto" w:fill="DEEAF6"/>
          </w:tcPr>
          <w:p>
            <w:pPr>
              <w:pStyle w:val="TableParagraph"/>
              <w:spacing w:before="11"/>
              <w:rPr>
                <w:sz w:val="14"/>
              </w:rPr>
            </w:pPr>
          </w:p>
          <w:p>
            <w:pPr>
              <w:pStyle w:val="TableParagraph"/>
              <w:ind w:left="265"/>
              <w:rPr>
                <w:sz w:val="12"/>
              </w:rPr>
            </w:pPr>
            <w:r>
              <w:rPr>
                <w:sz w:val="12"/>
              </w:rPr>
              <w:t>150.0</w:t>
            </w:r>
          </w:p>
        </w:tc>
        <w:tc>
          <w:tcPr>
            <w:tcW w:w="787" w:type="dxa"/>
            <w:tcBorders>
              <w:top w:val="single" w:sz="12" w:space="0" w:color="000000"/>
              <w:bottom w:val="single" w:sz="12" w:space="0" w:color="000000"/>
            </w:tcBorders>
            <w:shd w:val="clear" w:color="auto" w:fill="DEEAF6"/>
          </w:tcPr>
          <w:p>
            <w:pPr>
              <w:pStyle w:val="TableParagraph"/>
              <w:spacing w:before="11"/>
              <w:rPr>
                <w:sz w:val="14"/>
              </w:rPr>
            </w:pPr>
          </w:p>
          <w:p>
            <w:pPr>
              <w:pStyle w:val="TableParagraph"/>
              <w:ind w:right="230"/>
              <w:jc w:val="right"/>
              <w:rPr>
                <w:sz w:val="12"/>
              </w:rPr>
            </w:pPr>
            <w:r>
              <w:rPr>
                <w:sz w:val="12"/>
              </w:rPr>
              <w:t>128.1</w:t>
            </w:r>
          </w:p>
        </w:tc>
        <w:tc>
          <w:tcPr>
            <w:tcW w:w="727" w:type="dxa"/>
            <w:tcBorders>
              <w:top w:val="single" w:sz="12" w:space="0" w:color="000000"/>
              <w:bottom w:val="single" w:sz="12" w:space="0" w:color="000000"/>
              <w:right w:val="single" w:sz="12" w:space="0" w:color="000000"/>
            </w:tcBorders>
            <w:shd w:val="clear" w:color="auto" w:fill="DEEAF6"/>
          </w:tcPr>
          <w:p>
            <w:pPr>
              <w:pStyle w:val="TableParagraph"/>
              <w:spacing w:before="11"/>
              <w:rPr>
                <w:sz w:val="14"/>
              </w:rPr>
            </w:pPr>
          </w:p>
          <w:p>
            <w:pPr>
              <w:pStyle w:val="TableParagraph"/>
              <w:ind w:left="142" w:right="95"/>
              <w:jc w:val="center"/>
              <w:rPr>
                <w:sz w:val="12"/>
              </w:rPr>
            </w:pPr>
            <w:r>
              <w:rPr>
                <w:sz w:val="12"/>
              </w:rPr>
              <w:t>85.4%</w:t>
            </w:r>
          </w:p>
        </w:tc>
      </w:tr>
      <w:tr>
        <w:trPr>
          <w:trHeight w:val="255" w:hRule="atLeast"/>
        </w:trPr>
        <w:tc>
          <w:tcPr>
            <w:tcW w:w="2396" w:type="dxa"/>
            <w:tcBorders>
              <w:top w:val="single" w:sz="12" w:space="0" w:color="000000"/>
              <w:left w:val="single" w:sz="12" w:space="0" w:color="000000"/>
              <w:bottom w:val="single" w:sz="12" w:space="0" w:color="000000"/>
            </w:tcBorders>
            <w:shd w:val="clear" w:color="auto" w:fill="D9E0F1"/>
          </w:tcPr>
          <w:p>
            <w:pPr>
              <w:pStyle w:val="TableParagraph"/>
              <w:spacing w:before="63"/>
              <w:ind w:left="38"/>
              <w:rPr>
                <w:b/>
                <w:sz w:val="12"/>
              </w:rPr>
            </w:pPr>
            <w:r>
              <w:rPr>
                <w:b/>
                <w:sz w:val="12"/>
              </w:rPr>
              <w:t>D e c re to 2 0 - 2 0 2 2 y 2 8 - 2 0 2 2</w:t>
            </w:r>
          </w:p>
        </w:tc>
        <w:tc>
          <w:tcPr>
            <w:tcW w:w="1068" w:type="dxa"/>
            <w:tcBorders>
              <w:top w:val="single" w:sz="12" w:space="0" w:color="000000"/>
              <w:bottom w:val="single" w:sz="12" w:space="0" w:color="000000"/>
            </w:tcBorders>
            <w:shd w:val="clear" w:color="auto" w:fill="D9E0F1"/>
          </w:tcPr>
          <w:p>
            <w:pPr>
              <w:pStyle w:val="TableParagraph"/>
              <w:spacing w:before="63"/>
              <w:ind w:left="52" w:right="58"/>
              <w:jc w:val="center"/>
              <w:rPr>
                <w:b/>
                <w:sz w:val="12"/>
              </w:rPr>
            </w:pPr>
            <w:r>
              <w:rPr>
                <w:b/>
                <w:sz w:val="12"/>
              </w:rPr>
              <w:t>2 ,2 6 0 .0</w:t>
            </w:r>
          </w:p>
        </w:tc>
        <w:tc>
          <w:tcPr>
            <w:tcW w:w="1348" w:type="dxa"/>
            <w:tcBorders>
              <w:top w:val="single" w:sz="12" w:space="0" w:color="000000"/>
              <w:bottom w:val="single" w:sz="12" w:space="0" w:color="000000"/>
            </w:tcBorders>
            <w:shd w:val="clear" w:color="auto" w:fill="D9E0F1"/>
          </w:tcPr>
          <w:p>
            <w:pPr>
              <w:pStyle w:val="TableParagraph"/>
              <w:spacing w:before="63"/>
              <w:ind w:left="493" w:right="499"/>
              <w:jc w:val="center"/>
              <w:rPr>
                <w:b/>
                <w:sz w:val="12"/>
              </w:rPr>
            </w:pPr>
            <w:r>
              <w:rPr>
                <w:b/>
                <w:sz w:val="12"/>
              </w:rPr>
              <w:t>0 .0</w:t>
            </w:r>
          </w:p>
        </w:tc>
        <w:tc>
          <w:tcPr>
            <w:tcW w:w="774" w:type="dxa"/>
            <w:tcBorders>
              <w:top w:val="single" w:sz="12" w:space="0" w:color="000000"/>
              <w:bottom w:val="single" w:sz="12" w:space="0" w:color="000000"/>
            </w:tcBorders>
            <w:shd w:val="clear" w:color="auto" w:fill="D9E0F1"/>
          </w:tcPr>
          <w:p>
            <w:pPr>
              <w:pStyle w:val="TableParagraph"/>
              <w:spacing w:before="63"/>
              <w:ind w:right="152"/>
              <w:jc w:val="right"/>
              <w:rPr>
                <w:b/>
                <w:sz w:val="12"/>
              </w:rPr>
            </w:pPr>
            <w:r>
              <w:rPr>
                <w:b/>
                <w:sz w:val="12"/>
              </w:rPr>
              <w:t>2 ,2 6 0 .0</w:t>
            </w:r>
          </w:p>
        </w:tc>
        <w:tc>
          <w:tcPr>
            <w:tcW w:w="787" w:type="dxa"/>
            <w:tcBorders>
              <w:top w:val="single" w:sz="12" w:space="0" w:color="000000"/>
              <w:bottom w:val="single" w:sz="12" w:space="0" w:color="000000"/>
            </w:tcBorders>
            <w:shd w:val="clear" w:color="auto" w:fill="D9E0F1"/>
          </w:tcPr>
          <w:p>
            <w:pPr>
              <w:pStyle w:val="TableParagraph"/>
              <w:spacing w:before="63"/>
              <w:ind w:right="191"/>
              <w:jc w:val="right"/>
              <w:rPr>
                <w:b/>
                <w:sz w:val="12"/>
              </w:rPr>
            </w:pPr>
            <w:r>
              <w:rPr>
                <w:b/>
                <w:sz w:val="12"/>
              </w:rPr>
              <w:t>1,19 6 .3</w:t>
            </w:r>
          </w:p>
        </w:tc>
        <w:tc>
          <w:tcPr>
            <w:tcW w:w="727" w:type="dxa"/>
            <w:tcBorders>
              <w:top w:val="single" w:sz="12" w:space="0" w:color="000000"/>
              <w:bottom w:val="single" w:sz="12" w:space="0" w:color="000000"/>
              <w:right w:val="single" w:sz="12" w:space="0" w:color="000000"/>
            </w:tcBorders>
            <w:shd w:val="clear" w:color="auto" w:fill="D9E0F1"/>
          </w:tcPr>
          <w:p>
            <w:pPr>
              <w:pStyle w:val="TableParagraph"/>
              <w:spacing w:before="63"/>
              <w:ind w:left="142" w:right="102"/>
              <w:jc w:val="center"/>
              <w:rPr>
                <w:b/>
                <w:sz w:val="12"/>
              </w:rPr>
            </w:pPr>
            <w:r>
              <w:rPr>
                <w:b/>
                <w:sz w:val="12"/>
              </w:rPr>
              <w:t>5 2 .9 %</w:t>
            </w:r>
          </w:p>
        </w:tc>
      </w:tr>
      <w:tr>
        <w:trPr>
          <w:trHeight w:val="703" w:hRule="atLeast"/>
        </w:trPr>
        <w:tc>
          <w:tcPr>
            <w:tcW w:w="2396" w:type="dxa"/>
            <w:tcBorders>
              <w:top w:val="single" w:sz="12" w:space="0" w:color="000000"/>
              <w:left w:val="single" w:sz="12" w:space="0" w:color="000000"/>
              <w:bottom w:val="single" w:sz="12" w:space="0" w:color="000000"/>
            </w:tcBorders>
            <w:shd w:val="clear" w:color="auto" w:fill="DEEAF6"/>
          </w:tcPr>
          <w:p>
            <w:pPr>
              <w:pStyle w:val="TableParagraph"/>
              <w:spacing w:before="4"/>
              <w:rPr>
                <w:sz w:val="11"/>
              </w:rPr>
            </w:pPr>
          </w:p>
          <w:p>
            <w:pPr>
              <w:pStyle w:val="TableParagraph"/>
              <w:spacing w:line="283" w:lineRule="auto"/>
              <w:ind w:left="278" w:right="176"/>
              <w:rPr>
                <w:sz w:val="12"/>
              </w:rPr>
            </w:pPr>
            <w:r>
              <w:rPr>
                <w:spacing w:val="6"/>
                <w:sz w:val="12"/>
              </w:rPr>
              <w:t>MEM </w:t>
            </w:r>
            <w:r>
              <w:rPr>
                <w:sz w:val="12"/>
              </w:rPr>
              <w:t>- </w:t>
            </w:r>
            <w:r>
              <w:rPr>
                <w:spacing w:val="2"/>
                <w:sz w:val="12"/>
              </w:rPr>
              <w:t>Ley </w:t>
            </w:r>
            <w:r>
              <w:rPr>
                <w:spacing w:val="3"/>
                <w:sz w:val="12"/>
              </w:rPr>
              <w:t>de </w:t>
            </w:r>
            <w:r>
              <w:rPr>
                <w:spacing w:val="4"/>
                <w:sz w:val="12"/>
              </w:rPr>
              <w:t>Apo </w:t>
            </w:r>
            <w:r>
              <w:rPr>
                <w:spacing w:val="-4"/>
                <w:sz w:val="12"/>
              </w:rPr>
              <w:t>yo </w:t>
            </w:r>
            <w:r>
              <w:rPr>
                <w:spacing w:val="6"/>
                <w:sz w:val="12"/>
              </w:rPr>
              <w:t>So </w:t>
            </w:r>
            <w:r>
              <w:rPr>
                <w:spacing w:val="4"/>
                <w:sz w:val="12"/>
              </w:rPr>
              <w:t>cial </w:t>
            </w:r>
            <w:r>
              <w:rPr>
                <w:spacing w:val="7"/>
                <w:sz w:val="12"/>
              </w:rPr>
              <w:t>Tempo </w:t>
            </w:r>
            <w:r>
              <w:rPr>
                <w:sz w:val="12"/>
              </w:rPr>
              <w:t>ra l a </w:t>
            </w:r>
            <w:r>
              <w:rPr>
                <w:spacing w:val="-4"/>
                <w:sz w:val="12"/>
              </w:rPr>
              <w:t>lo </w:t>
            </w:r>
            <w:r>
              <w:rPr>
                <w:sz w:val="12"/>
              </w:rPr>
              <w:t>s </w:t>
            </w:r>
            <w:r>
              <w:rPr>
                <w:spacing w:val="6"/>
                <w:sz w:val="12"/>
              </w:rPr>
              <w:t>Co </w:t>
            </w:r>
            <w:r>
              <w:rPr>
                <w:spacing w:val="3"/>
                <w:sz w:val="12"/>
              </w:rPr>
              <w:t>ns umido </w:t>
            </w:r>
            <w:r>
              <w:rPr>
                <w:sz w:val="12"/>
              </w:rPr>
              <w:t>re s </w:t>
            </w:r>
            <w:r>
              <w:rPr>
                <w:spacing w:val="3"/>
                <w:sz w:val="12"/>
              </w:rPr>
              <w:t>de Diés</w:t>
            </w:r>
            <w:r>
              <w:rPr>
                <w:spacing w:val="-11"/>
                <w:sz w:val="12"/>
              </w:rPr>
              <w:t> </w:t>
            </w:r>
            <w:r>
              <w:rPr>
                <w:spacing w:val="2"/>
                <w:sz w:val="12"/>
              </w:rPr>
              <w:t>el,</w:t>
            </w:r>
            <w:r>
              <w:rPr>
                <w:spacing w:val="-7"/>
                <w:sz w:val="12"/>
              </w:rPr>
              <w:t> </w:t>
            </w:r>
            <w:r>
              <w:rPr>
                <w:spacing w:val="6"/>
                <w:sz w:val="12"/>
              </w:rPr>
              <w:t>Gas</w:t>
            </w:r>
            <w:r>
              <w:rPr>
                <w:spacing w:val="-11"/>
                <w:sz w:val="12"/>
              </w:rPr>
              <w:t> </w:t>
            </w:r>
            <w:r>
              <w:rPr>
                <w:sz w:val="12"/>
              </w:rPr>
              <w:t>o</w:t>
            </w:r>
            <w:r>
              <w:rPr>
                <w:spacing w:val="-11"/>
                <w:sz w:val="12"/>
              </w:rPr>
              <w:t> </w:t>
            </w:r>
            <w:r>
              <w:rPr>
                <w:sz w:val="12"/>
              </w:rPr>
              <w:t>lina</w:t>
            </w:r>
            <w:r>
              <w:rPr>
                <w:spacing w:val="9"/>
                <w:sz w:val="12"/>
              </w:rPr>
              <w:t> </w:t>
            </w:r>
            <w:r>
              <w:rPr>
                <w:spacing w:val="6"/>
                <w:sz w:val="12"/>
              </w:rPr>
              <w:t>Regular</w:t>
            </w:r>
            <w:r>
              <w:rPr>
                <w:spacing w:val="-4"/>
                <w:sz w:val="12"/>
              </w:rPr>
              <w:t> </w:t>
            </w:r>
            <w:r>
              <w:rPr>
                <w:sz w:val="12"/>
              </w:rPr>
              <w:t>y</w:t>
            </w:r>
            <w:r>
              <w:rPr>
                <w:spacing w:val="-11"/>
                <w:sz w:val="12"/>
              </w:rPr>
              <w:t> </w:t>
            </w:r>
            <w:r>
              <w:rPr>
                <w:spacing w:val="6"/>
                <w:sz w:val="12"/>
              </w:rPr>
              <w:t>Supe</w:t>
            </w:r>
            <w:r>
              <w:rPr>
                <w:spacing w:val="-17"/>
                <w:sz w:val="12"/>
              </w:rPr>
              <w:t> </w:t>
            </w:r>
            <w:r>
              <w:rPr>
                <w:spacing w:val="-3"/>
                <w:sz w:val="12"/>
              </w:rPr>
              <w:t>rio</w:t>
            </w:r>
            <w:r>
              <w:rPr>
                <w:spacing w:val="-11"/>
                <w:sz w:val="12"/>
              </w:rPr>
              <w:t> </w:t>
            </w:r>
            <w:r>
              <w:rPr>
                <w:sz w:val="12"/>
              </w:rPr>
              <w:t>r</w:t>
            </w:r>
          </w:p>
        </w:tc>
        <w:tc>
          <w:tcPr>
            <w:tcW w:w="1068" w:type="dxa"/>
            <w:tcBorders>
              <w:top w:val="single" w:sz="12" w:space="0" w:color="000000"/>
              <w:bottom w:val="single" w:sz="12" w:space="0" w:color="000000"/>
            </w:tcBorders>
            <w:shd w:val="clear" w:color="auto" w:fill="DEEAF6"/>
          </w:tcPr>
          <w:p>
            <w:pPr>
              <w:pStyle w:val="TableParagraph"/>
              <w:rPr>
                <w:sz w:val="14"/>
              </w:rPr>
            </w:pPr>
          </w:p>
          <w:p>
            <w:pPr>
              <w:pStyle w:val="TableParagraph"/>
              <w:spacing w:before="6"/>
              <w:rPr>
                <w:sz w:val="11"/>
              </w:rPr>
            </w:pPr>
          </w:p>
          <w:p>
            <w:pPr>
              <w:pStyle w:val="TableParagraph"/>
              <w:ind w:left="52" w:right="34"/>
              <w:jc w:val="center"/>
              <w:rPr>
                <w:sz w:val="12"/>
              </w:rPr>
            </w:pPr>
            <w:r>
              <w:rPr>
                <w:sz w:val="12"/>
              </w:rPr>
              <w:t>2,260.0</w:t>
            </w:r>
          </w:p>
        </w:tc>
        <w:tc>
          <w:tcPr>
            <w:tcW w:w="1348" w:type="dxa"/>
            <w:tcBorders>
              <w:top w:val="single" w:sz="12" w:space="0" w:color="000000"/>
              <w:bottom w:val="single" w:sz="12" w:space="0" w:color="000000"/>
            </w:tcBorders>
            <w:shd w:val="clear" w:color="auto" w:fill="DEEAF6"/>
          </w:tcPr>
          <w:p>
            <w:pPr>
              <w:pStyle w:val="TableParagraph"/>
              <w:rPr>
                <w:sz w:val="14"/>
              </w:rPr>
            </w:pPr>
          </w:p>
          <w:p>
            <w:pPr>
              <w:pStyle w:val="TableParagraph"/>
              <w:spacing w:before="6"/>
              <w:rPr>
                <w:sz w:val="11"/>
              </w:rPr>
            </w:pPr>
          </w:p>
          <w:p>
            <w:pPr>
              <w:pStyle w:val="TableParagraph"/>
              <w:ind w:left="517" w:right="499"/>
              <w:jc w:val="center"/>
              <w:rPr>
                <w:sz w:val="12"/>
              </w:rPr>
            </w:pPr>
            <w:r>
              <w:rPr>
                <w:sz w:val="12"/>
              </w:rPr>
              <w:t>0.0</w:t>
            </w:r>
          </w:p>
        </w:tc>
        <w:tc>
          <w:tcPr>
            <w:tcW w:w="774" w:type="dxa"/>
            <w:tcBorders>
              <w:top w:val="single" w:sz="12" w:space="0" w:color="000000"/>
              <w:bottom w:val="single" w:sz="12" w:space="0" w:color="000000"/>
            </w:tcBorders>
            <w:shd w:val="clear" w:color="auto" w:fill="DEEAF6"/>
          </w:tcPr>
          <w:p>
            <w:pPr>
              <w:pStyle w:val="TableParagraph"/>
              <w:rPr>
                <w:sz w:val="14"/>
              </w:rPr>
            </w:pPr>
          </w:p>
          <w:p>
            <w:pPr>
              <w:pStyle w:val="TableParagraph"/>
              <w:spacing w:before="6"/>
              <w:rPr>
                <w:sz w:val="11"/>
              </w:rPr>
            </w:pPr>
          </w:p>
          <w:p>
            <w:pPr>
              <w:pStyle w:val="TableParagraph"/>
              <w:ind w:right="178"/>
              <w:jc w:val="right"/>
              <w:rPr>
                <w:sz w:val="12"/>
              </w:rPr>
            </w:pPr>
            <w:r>
              <w:rPr>
                <w:sz w:val="12"/>
              </w:rPr>
              <w:t>2,260.0</w:t>
            </w:r>
          </w:p>
        </w:tc>
        <w:tc>
          <w:tcPr>
            <w:tcW w:w="787" w:type="dxa"/>
            <w:tcBorders>
              <w:top w:val="single" w:sz="12" w:space="0" w:color="000000"/>
              <w:bottom w:val="single" w:sz="12" w:space="0" w:color="000000"/>
            </w:tcBorders>
            <w:shd w:val="clear" w:color="auto" w:fill="DEEAF6"/>
          </w:tcPr>
          <w:p>
            <w:pPr>
              <w:pStyle w:val="TableParagraph"/>
              <w:rPr>
                <w:sz w:val="14"/>
              </w:rPr>
            </w:pPr>
          </w:p>
          <w:p>
            <w:pPr>
              <w:pStyle w:val="TableParagraph"/>
              <w:spacing w:before="6"/>
              <w:rPr>
                <w:sz w:val="11"/>
              </w:rPr>
            </w:pPr>
          </w:p>
          <w:p>
            <w:pPr>
              <w:pStyle w:val="TableParagraph"/>
              <w:ind w:right="204"/>
              <w:jc w:val="right"/>
              <w:rPr>
                <w:sz w:val="12"/>
              </w:rPr>
            </w:pPr>
            <w:r>
              <w:rPr>
                <w:sz w:val="12"/>
              </w:rPr>
              <w:t>1,196.3</w:t>
            </w:r>
          </w:p>
        </w:tc>
        <w:tc>
          <w:tcPr>
            <w:tcW w:w="727" w:type="dxa"/>
            <w:tcBorders>
              <w:top w:val="single" w:sz="12" w:space="0" w:color="000000"/>
              <w:bottom w:val="single" w:sz="12" w:space="0" w:color="000000"/>
              <w:right w:val="single" w:sz="12" w:space="0" w:color="000000"/>
            </w:tcBorders>
            <w:shd w:val="clear" w:color="auto" w:fill="DEEAF6"/>
          </w:tcPr>
          <w:p>
            <w:pPr>
              <w:pStyle w:val="TableParagraph"/>
              <w:rPr>
                <w:sz w:val="14"/>
              </w:rPr>
            </w:pPr>
          </w:p>
          <w:p>
            <w:pPr>
              <w:pStyle w:val="TableParagraph"/>
              <w:spacing w:before="6"/>
              <w:rPr>
                <w:sz w:val="11"/>
              </w:rPr>
            </w:pPr>
          </w:p>
          <w:p>
            <w:pPr>
              <w:pStyle w:val="TableParagraph"/>
              <w:ind w:left="142" w:right="95"/>
              <w:jc w:val="center"/>
              <w:rPr>
                <w:sz w:val="12"/>
              </w:rPr>
            </w:pPr>
            <w:r>
              <w:rPr>
                <w:sz w:val="12"/>
              </w:rPr>
              <w:t>52.9%</w:t>
            </w:r>
          </w:p>
        </w:tc>
      </w:tr>
      <w:tr>
        <w:trPr>
          <w:trHeight w:val="255" w:hRule="atLeast"/>
        </w:trPr>
        <w:tc>
          <w:tcPr>
            <w:tcW w:w="2396" w:type="dxa"/>
            <w:tcBorders>
              <w:top w:val="single" w:sz="12" w:space="0" w:color="000000"/>
              <w:left w:val="single" w:sz="12" w:space="0" w:color="000000"/>
              <w:bottom w:val="single" w:sz="12" w:space="0" w:color="000000"/>
            </w:tcBorders>
            <w:shd w:val="clear" w:color="auto" w:fill="D9E0F1"/>
          </w:tcPr>
          <w:p>
            <w:pPr>
              <w:pStyle w:val="TableParagraph"/>
              <w:spacing w:before="63"/>
              <w:ind w:left="38"/>
              <w:rPr>
                <w:b/>
                <w:sz w:val="12"/>
              </w:rPr>
            </w:pPr>
            <w:r>
              <w:rPr>
                <w:b/>
                <w:sz w:val="12"/>
              </w:rPr>
              <w:t>D e c re to 2 5 - 2 0 2 2</w:t>
            </w:r>
          </w:p>
        </w:tc>
        <w:tc>
          <w:tcPr>
            <w:tcW w:w="1068" w:type="dxa"/>
            <w:tcBorders>
              <w:top w:val="single" w:sz="12" w:space="0" w:color="000000"/>
              <w:bottom w:val="single" w:sz="12" w:space="0" w:color="000000"/>
            </w:tcBorders>
            <w:shd w:val="clear" w:color="auto" w:fill="D9E0F1"/>
          </w:tcPr>
          <w:p>
            <w:pPr>
              <w:pStyle w:val="TableParagraph"/>
              <w:spacing w:before="63"/>
              <w:ind w:left="52" w:right="71"/>
              <w:jc w:val="center"/>
              <w:rPr>
                <w:b/>
                <w:sz w:val="12"/>
              </w:rPr>
            </w:pPr>
            <w:r>
              <w:rPr>
                <w:b/>
                <w:sz w:val="12"/>
              </w:rPr>
              <w:t>9 0 .0</w:t>
            </w:r>
          </w:p>
        </w:tc>
        <w:tc>
          <w:tcPr>
            <w:tcW w:w="1348" w:type="dxa"/>
            <w:tcBorders>
              <w:top w:val="single" w:sz="12" w:space="0" w:color="000000"/>
              <w:bottom w:val="single" w:sz="12" w:space="0" w:color="000000"/>
            </w:tcBorders>
            <w:shd w:val="clear" w:color="auto" w:fill="D9E0F1"/>
          </w:tcPr>
          <w:p>
            <w:pPr>
              <w:pStyle w:val="TableParagraph"/>
              <w:spacing w:before="63"/>
              <w:ind w:left="493" w:right="499"/>
              <w:jc w:val="center"/>
              <w:rPr>
                <w:b/>
                <w:sz w:val="12"/>
              </w:rPr>
            </w:pPr>
            <w:r>
              <w:rPr>
                <w:b/>
                <w:sz w:val="12"/>
              </w:rPr>
              <w:t>0 .0</w:t>
            </w:r>
          </w:p>
        </w:tc>
        <w:tc>
          <w:tcPr>
            <w:tcW w:w="774" w:type="dxa"/>
            <w:tcBorders>
              <w:top w:val="single" w:sz="12" w:space="0" w:color="000000"/>
              <w:bottom w:val="single" w:sz="12" w:space="0" w:color="000000"/>
            </w:tcBorders>
            <w:shd w:val="clear" w:color="auto" w:fill="D9E0F1"/>
          </w:tcPr>
          <w:p>
            <w:pPr>
              <w:pStyle w:val="TableParagraph"/>
              <w:spacing w:before="63"/>
              <w:ind w:left="239"/>
              <w:rPr>
                <w:b/>
                <w:sz w:val="12"/>
              </w:rPr>
            </w:pPr>
            <w:r>
              <w:rPr>
                <w:b/>
                <w:sz w:val="12"/>
              </w:rPr>
              <w:t>9 0 .0</w:t>
            </w:r>
          </w:p>
        </w:tc>
        <w:tc>
          <w:tcPr>
            <w:tcW w:w="787" w:type="dxa"/>
            <w:tcBorders>
              <w:top w:val="single" w:sz="12" w:space="0" w:color="000000"/>
              <w:bottom w:val="single" w:sz="12" w:space="0" w:color="000000"/>
            </w:tcBorders>
            <w:shd w:val="clear" w:color="auto" w:fill="D9E0F1"/>
          </w:tcPr>
          <w:p>
            <w:pPr>
              <w:pStyle w:val="TableParagraph"/>
              <w:spacing w:before="63"/>
              <w:ind w:right="257"/>
              <w:jc w:val="right"/>
              <w:rPr>
                <w:b/>
                <w:sz w:val="12"/>
              </w:rPr>
            </w:pPr>
            <w:r>
              <w:rPr>
                <w:b/>
                <w:sz w:val="12"/>
              </w:rPr>
              <w:t>9 0 .0</w:t>
            </w:r>
          </w:p>
        </w:tc>
        <w:tc>
          <w:tcPr>
            <w:tcW w:w="727" w:type="dxa"/>
            <w:tcBorders>
              <w:top w:val="single" w:sz="12" w:space="0" w:color="000000"/>
              <w:bottom w:val="single" w:sz="12" w:space="0" w:color="000000"/>
              <w:right w:val="single" w:sz="12" w:space="0" w:color="000000"/>
            </w:tcBorders>
            <w:shd w:val="clear" w:color="auto" w:fill="D9E0F1"/>
          </w:tcPr>
          <w:p>
            <w:pPr>
              <w:pStyle w:val="TableParagraph"/>
              <w:spacing w:before="63"/>
              <w:ind w:left="129" w:right="102"/>
              <w:jc w:val="center"/>
              <w:rPr>
                <w:b/>
                <w:sz w:val="12"/>
              </w:rPr>
            </w:pPr>
            <w:r>
              <w:rPr>
                <w:b/>
                <w:sz w:val="12"/>
              </w:rPr>
              <w:t>10 0 %</w:t>
            </w:r>
          </w:p>
        </w:tc>
      </w:tr>
      <w:tr>
        <w:trPr>
          <w:trHeight w:val="540" w:hRule="atLeast"/>
        </w:trPr>
        <w:tc>
          <w:tcPr>
            <w:tcW w:w="2396" w:type="dxa"/>
            <w:tcBorders>
              <w:top w:val="single" w:sz="12" w:space="0" w:color="000000"/>
              <w:left w:val="single" w:sz="12" w:space="0" w:color="000000"/>
              <w:bottom w:val="single" w:sz="12" w:space="0" w:color="000000"/>
            </w:tcBorders>
            <w:shd w:val="clear" w:color="auto" w:fill="DEEAF6"/>
          </w:tcPr>
          <w:p>
            <w:pPr>
              <w:pStyle w:val="TableParagraph"/>
              <w:spacing w:before="4"/>
              <w:rPr>
                <w:sz w:val="11"/>
              </w:rPr>
            </w:pPr>
          </w:p>
          <w:p>
            <w:pPr>
              <w:pStyle w:val="TableParagraph"/>
              <w:spacing w:line="283" w:lineRule="auto"/>
              <w:ind w:left="278" w:right="233"/>
              <w:rPr>
                <w:sz w:val="12"/>
              </w:rPr>
            </w:pPr>
            <w:r>
              <w:rPr>
                <w:sz w:val="12"/>
              </w:rPr>
              <w:t>INDE- Ley de Fo rta lecimiento al Apo rte So cial de la Ta rifa Eléctric a</w:t>
            </w:r>
          </w:p>
        </w:tc>
        <w:tc>
          <w:tcPr>
            <w:tcW w:w="1068" w:type="dxa"/>
            <w:tcBorders>
              <w:top w:val="single" w:sz="12" w:space="0" w:color="000000"/>
              <w:bottom w:val="single" w:sz="12" w:space="0" w:color="000000"/>
            </w:tcBorders>
            <w:shd w:val="clear" w:color="auto" w:fill="DEEAF6"/>
          </w:tcPr>
          <w:p>
            <w:pPr>
              <w:pStyle w:val="TableParagraph"/>
              <w:spacing w:before="5"/>
              <w:rPr>
                <w:sz w:val="18"/>
              </w:rPr>
            </w:pPr>
          </w:p>
          <w:p>
            <w:pPr>
              <w:pStyle w:val="TableParagraph"/>
              <w:ind w:left="52" w:right="34"/>
              <w:jc w:val="center"/>
              <w:rPr>
                <w:sz w:val="12"/>
              </w:rPr>
            </w:pPr>
            <w:r>
              <w:rPr>
                <w:sz w:val="12"/>
              </w:rPr>
              <w:t>90.0</w:t>
            </w:r>
          </w:p>
        </w:tc>
        <w:tc>
          <w:tcPr>
            <w:tcW w:w="1348" w:type="dxa"/>
            <w:tcBorders>
              <w:top w:val="single" w:sz="12" w:space="0" w:color="000000"/>
              <w:bottom w:val="single" w:sz="12" w:space="0" w:color="000000"/>
            </w:tcBorders>
            <w:shd w:val="clear" w:color="auto" w:fill="DEEAF6"/>
          </w:tcPr>
          <w:p>
            <w:pPr>
              <w:pStyle w:val="TableParagraph"/>
              <w:spacing w:before="5"/>
              <w:rPr>
                <w:sz w:val="18"/>
              </w:rPr>
            </w:pPr>
          </w:p>
          <w:p>
            <w:pPr>
              <w:pStyle w:val="TableParagraph"/>
              <w:ind w:left="517" w:right="499"/>
              <w:jc w:val="center"/>
              <w:rPr>
                <w:sz w:val="12"/>
              </w:rPr>
            </w:pPr>
            <w:r>
              <w:rPr>
                <w:sz w:val="12"/>
              </w:rPr>
              <w:t>0.0</w:t>
            </w:r>
          </w:p>
        </w:tc>
        <w:tc>
          <w:tcPr>
            <w:tcW w:w="774" w:type="dxa"/>
            <w:tcBorders>
              <w:top w:val="single" w:sz="12" w:space="0" w:color="000000"/>
              <w:bottom w:val="single" w:sz="12" w:space="0" w:color="000000"/>
            </w:tcBorders>
            <w:shd w:val="clear" w:color="auto" w:fill="DEEAF6"/>
          </w:tcPr>
          <w:p>
            <w:pPr>
              <w:pStyle w:val="TableParagraph"/>
              <w:spacing w:before="5"/>
              <w:rPr>
                <w:sz w:val="18"/>
              </w:rPr>
            </w:pPr>
          </w:p>
          <w:p>
            <w:pPr>
              <w:pStyle w:val="TableParagraph"/>
              <w:ind w:left="264" w:right="245"/>
              <w:jc w:val="center"/>
              <w:rPr>
                <w:sz w:val="12"/>
              </w:rPr>
            </w:pPr>
            <w:r>
              <w:rPr>
                <w:sz w:val="12"/>
              </w:rPr>
              <w:t>90.0</w:t>
            </w:r>
          </w:p>
        </w:tc>
        <w:tc>
          <w:tcPr>
            <w:tcW w:w="787" w:type="dxa"/>
            <w:tcBorders>
              <w:top w:val="single" w:sz="12" w:space="0" w:color="000000"/>
              <w:bottom w:val="single" w:sz="12" w:space="0" w:color="000000"/>
            </w:tcBorders>
            <w:shd w:val="clear" w:color="auto" w:fill="DEEAF6"/>
          </w:tcPr>
          <w:p>
            <w:pPr>
              <w:pStyle w:val="TableParagraph"/>
              <w:spacing w:before="5"/>
              <w:rPr>
                <w:sz w:val="18"/>
              </w:rPr>
            </w:pPr>
          </w:p>
          <w:p>
            <w:pPr>
              <w:pStyle w:val="TableParagraph"/>
              <w:ind w:right="257"/>
              <w:jc w:val="right"/>
              <w:rPr>
                <w:sz w:val="12"/>
              </w:rPr>
            </w:pPr>
            <w:r>
              <w:rPr>
                <w:sz w:val="12"/>
              </w:rPr>
              <w:t>90.0</w:t>
            </w:r>
          </w:p>
        </w:tc>
        <w:tc>
          <w:tcPr>
            <w:tcW w:w="727" w:type="dxa"/>
            <w:tcBorders>
              <w:top w:val="single" w:sz="12" w:space="0" w:color="000000"/>
              <w:bottom w:val="single" w:sz="12" w:space="0" w:color="000000"/>
              <w:right w:val="single" w:sz="12" w:space="0" w:color="000000"/>
            </w:tcBorders>
            <w:shd w:val="clear" w:color="auto" w:fill="DEEAF6"/>
          </w:tcPr>
          <w:p>
            <w:pPr>
              <w:pStyle w:val="TableParagraph"/>
              <w:spacing w:before="5"/>
              <w:rPr>
                <w:sz w:val="18"/>
              </w:rPr>
            </w:pPr>
          </w:p>
          <w:p>
            <w:pPr>
              <w:pStyle w:val="TableParagraph"/>
              <w:ind w:left="142" w:right="95"/>
              <w:jc w:val="center"/>
              <w:rPr>
                <w:sz w:val="12"/>
              </w:rPr>
            </w:pPr>
            <w:r>
              <w:rPr>
                <w:sz w:val="12"/>
              </w:rPr>
              <w:t>100%</w:t>
            </w:r>
          </w:p>
        </w:tc>
      </w:tr>
      <w:tr>
        <w:trPr>
          <w:trHeight w:val="540" w:hRule="atLeast"/>
        </w:trPr>
        <w:tc>
          <w:tcPr>
            <w:tcW w:w="2396" w:type="dxa"/>
            <w:tcBorders>
              <w:top w:val="single" w:sz="12" w:space="0" w:color="000000"/>
              <w:left w:val="single" w:sz="12" w:space="0" w:color="000000"/>
              <w:bottom w:val="single" w:sz="12" w:space="0" w:color="000000"/>
            </w:tcBorders>
            <w:shd w:val="clear" w:color="auto" w:fill="D9E0F1"/>
          </w:tcPr>
          <w:p>
            <w:pPr>
              <w:pStyle w:val="TableParagraph"/>
              <w:spacing w:before="49"/>
              <w:ind w:left="38"/>
              <w:rPr>
                <w:b/>
                <w:sz w:val="12"/>
              </w:rPr>
            </w:pPr>
            <w:r>
              <w:rPr>
                <w:b/>
                <w:sz w:val="12"/>
              </w:rPr>
              <w:t>D e c re to 16 - 2 0 2 1 Le y de</w:t>
            </w:r>
          </w:p>
          <w:p>
            <w:pPr>
              <w:pStyle w:val="TableParagraph"/>
              <w:spacing w:line="164" w:lineRule="exact" w:before="6"/>
              <w:ind w:left="38" w:right="195"/>
              <w:rPr>
                <w:b/>
                <w:sz w:val="12"/>
              </w:rPr>
            </w:pPr>
            <w:r>
              <w:rPr>
                <w:b/>
                <w:sz w:val="12"/>
              </w:rPr>
              <w:t>P re s upue s to Ge ne ra l E je rc ic io 2022 </w:t>
            </w:r>
          </w:p>
        </w:tc>
        <w:tc>
          <w:tcPr>
            <w:tcW w:w="1068" w:type="dxa"/>
            <w:tcBorders>
              <w:top w:val="single" w:sz="12" w:space="0" w:color="000000"/>
              <w:bottom w:val="single" w:sz="12" w:space="0" w:color="000000"/>
            </w:tcBorders>
            <w:shd w:val="clear" w:color="auto" w:fill="D9E0F1"/>
          </w:tcPr>
          <w:p>
            <w:pPr>
              <w:pStyle w:val="TableParagraph"/>
              <w:spacing w:before="5"/>
              <w:rPr>
                <w:sz w:val="18"/>
              </w:rPr>
            </w:pPr>
          </w:p>
          <w:p>
            <w:pPr>
              <w:pStyle w:val="TableParagraph"/>
              <w:ind w:left="52" w:right="71"/>
              <w:jc w:val="center"/>
              <w:rPr>
                <w:b/>
                <w:sz w:val="12"/>
              </w:rPr>
            </w:pPr>
            <w:r>
              <w:rPr>
                <w:b/>
                <w:sz w:val="12"/>
              </w:rPr>
              <w:t>3 4 2 .5</w:t>
            </w:r>
          </w:p>
        </w:tc>
        <w:tc>
          <w:tcPr>
            <w:tcW w:w="1348" w:type="dxa"/>
            <w:tcBorders>
              <w:top w:val="single" w:sz="12" w:space="0" w:color="000000"/>
              <w:bottom w:val="single" w:sz="12" w:space="0" w:color="000000"/>
            </w:tcBorders>
            <w:shd w:val="clear" w:color="auto" w:fill="D9E0F1"/>
          </w:tcPr>
          <w:p>
            <w:pPr>
              <w:pStyle w:val="TableParagraph"/>
              <w:spacing w:before="5"/>
              <w:rPr>
                <w:sz w:val="18"/>
              </w:rPr>
            </w:pPr>
          </w:p>
          <w:p>
            <w:pPr>
              <w:pStyle w:val="TableParagraph"/>
              <w:ind w:left="493" w:right="499"/>
              <w:jc w:val="center"/>
              <w:rPr>
                <w:b/>
                <w:sz w:val="12"/>
              </w:rPr>
            </w:pPr>
            <w:r>
              <w:rPr>
                <w:b/>
                <w:sz w:val="12"/>
              </w:rPr>
              <w:t>0 .0</w:t>
            </w:r>
          </w:p>
        </w:tc>
        <w:tc>
          <w:tcPr>
            <w:tcW w:w="774" w:type="dxa"/>
            <w:tcBorders>
              <w:top w:val="single" w:sz="12" w:space="0" w:color="000000"/>
              <w:bottom w:val="single" w:sz="12" w:space="0" w:color="000000"/>
            </w:tcBorders>
            <w:shd w:val="clear" w:color="auto" w:fill="D9E0F1"/>
          </w:tcPr>
          <w:p>
            <w:pPr>
              <w:pStyle w:val="TableParagraph"/>
              <w:spacing w:before="5"/>
              <w:rPr>
                <w:sz w:val="18"/>
              </w:rPr>
            </w:pPr>
          </w:p>
          <w:p>
            <w:pPr>
              <w:pStyle w:val="TableParagraph"/>
              <w:ind w:left="198"/>
              <w:rPr>
                <w:b/>
                <w:sz w:val="12"/>
              </w:rPr>
            </w:pPr>
            <w:r>
              <w:rPr>
                <w:b/>
                <w:sz w:val="12"/>
              </w:rPr>
              <w:t>3 4 2 .5</w:t>
            </w:r>
          </w:p>
        </w:tc>
        <w:tc>
          <w:tcPr>
            <w:tcW w:w="787" w:type="dxa"/>
            <w:tcBorders>
              <w:top w:val="single" w:sz="12" w:space="0" w:color="000000"/>
              <w:bottom w:val="single" w:sz="12" w:space="0" w:color="000000"/>
            </w:tcBorders>
            <w:shd w:val="clear" w:color="auto" w:fill="D9E0F1"/>
          </w:tcPr>
          <w:p>
            <w:pPr>
              <w:pStyle w:val="TableParagraph"/>
              <w:spacing w:before="5"/>
              <w:rPr>
                <w:sz w:val="18"/>
              </w:rPr>
            </w:pPr>
          </w:p>
          <w:p>
            <w:pPr>
              <w:pStyle w:val="TableParagraph"/>
              <w:ind w:right="218"/>
              <w:jc w:val="right"/>
              <w:rPr>
                <w:b/>
                <w:sz w:val="12"/>
              </w:rPr>
            </w:pPr>
            <w:r>
              <w:rPr>
                <w:b/>
                <w:sz w:val="12"/>
              </w:rPr>
              <w:t>3 4 2 .5</w:t>
            </w:r>
          </w:p>
        </w:tc>
        <w:tc>
          <w:tcPr>
            <w:tcW w:w="727" w:type="dxa"/>
            <w:tcBorders>
              <w:top w:val="single" w:sz="12" w:space="0" w:color="000000"/>
              <w:bottom w:val="single" w:sz="12" w:space="0" w:color="000000"/>
              <w:right w:val="single" w:sz="12" w:space="0" w:color="000000"/>
            </w:tcBorders>
            <w:shd w:val="clear" w:color="auto" w:fill="D9E0F1"/>
          </w:tcPr>
          <w:p>
            <w:pPr>
              <w:pStyle w:val="TableParagraph"/>
              <w:spacing w:before="5"/>
              <w:rPr>
                <w:sz w:val="18"/>
              </w:rPr>
            </w:pPr>
          </w:p>
          <w:p>
            <w:pPr>
              <w:pStyle w:val="TableParagraph"/>
              <w:ind w:left="129" w:right="102"/>
              <w:jc w:val="center"/>
              <w:rPr>
                <w:b/>
                <w:sz w:val="12"/>
              </w:rPr>
            </w:pPr>
            <w:r>
              <w:rPr>
                <w:b/>
                <w:sz w:val="12"/>
              </w:rPr>
              <w:t>10 0 %</w:t>
            </w:r>
          </w:p>
        </w:tc>
      </w:tr>
      <w:tr>
        <w:trPr>
          <w:trHeight w:val="309" w:hRule="atLeast"/>
        </w:trPr>
        <w:tc>
          <w:tcPr>
            <w:tcW w:w="2396" w:type="dxa"/>
            <w:tcBorders>
              <w:top w:val="single" w:sz="12" w:space="0" w:color="000000"/>
              <w:left w:val="single" w:sz="12" w:space="0" w:color="000000"/>
              <w:bottom w:val="single" w:sz="12" w:space="0" w:color="000000"/>
            </w:tcBorders>
            <w:shd w:val="clear" w:color="auto" w:fill="DEEAF6"/>
          </w:tcPr>
          <w:p>
            <w:pPr>
              <w:pStyle w:val="TableParagraph"/>
              <w:spacing w:before="8"/>
              <w:ind w:left="278"/>
              <w:rPr>
                <w:sz w:val="12"/>
              </w:rPr>
            </w:pPr>
            <w:r>
              <w:rPr>
                <w:sz w:val="12"/>
              </w:rPr>
              <w:t>Co ns ejo s Depa rta mentales de</w:t>
            </w:r>
          </w:p>
          <w:p>
            <w:pPr>
              <w:pStyle w:val="TableParagraph"/>
              <w:spacing w:line="118" w:lineRule="exact" w:before="26"/>
              <w:ind w:left="278"/>
              <w:rPr>
                <w:sz w:val="12"/>
              </w:rPr>
            </w:pPr>
            <w:r>
              <w:rPr>
                <w:sz w:val="12"/>
              </w:rPr>
              <w:t>Des a rro llo</w:t>
            </w:r>
          </w:p>
        </w:tc>
        <w:tc>
          <w:tcPr>
            <w:tcW w:w="1068" w:type="dxa"/>
            <w:tcBorders>
              <w:top w:val="single" w:sz="12" w:space="0" w:color="000000"/>
              <w:bottom w:val="single" w:sz="12" w:space="0" w:color="000000"/>
            </w:tcBorders>
            <w:shd w:val="clear" w:color="auto" w:fill="DEEAF6"/>
          </w:tcPr>
          <w:p>
            <w:pPr>
              <w:pStyle w:val="TableParagraph"/>
              <w:spacing w:before="90"/>
              <w:ind w:left="52" w:right="47"/>
              <w:jc w:val="center"/>
              <w:rPr>
                <w:sz w:val="12"/>
              </w:rPr>
            </w:pPr>
            <w:r>
              <w:rPr>
                <w:sz w:val="12"/>
              </w:rPr>
              <w:t>342.5</w:t>
            </w:r>
          </w:p>
        </w:tc>
        <w:tc>
          <w:tcPr>
            <w:tcW w:w="1348" w:type="dxa"/>
            <w:tcBorders>
              <w:top w:val="single" w:sz="12" w:space="0" w:color="000000"/>
              <w:bottom w:val="single" w:sz="12" w:space="0" w:color="000000"/>
            </w:tcBorders>
            <w:shd w:val="clear" w:color="auto" w:fill="DEEAF6"/>
          </w:tcPr>
          <w:p>
            <w:pPr>
              <w:pStyle w:val="TableParagraph"/>
              <w:spacing w:before="90"/>
              <w:ind w:left="517" w:right="499"/>
              <w:jc w:val="center"/>
              <w:rPr>
                <w:sz w:val="12"/>
              </w:rPr>
            </w:pPr>
            <w:r>
              <w:rPr>
                <w:sz w:val="12"/>
              </w:rPr>
              <w:t>0.0</w:t>
            </w:r>
          </w:p>
        </w:tc>
        <w:tc>
          <w:tcPr>
            <w:tcW w:w="774" w:type="dxa"/>
            <w:tcBorders>
              <w:top w:val="single" w:sz="12" w:space="0" w:color="000000"/>
              <w:bottom w:val="single" w:sz="12" w:space="0" w:color="000000"/>
            </w:tcBorders>
            <w:shd w:val="clear" w:color="auto" w:fill="DEEAF6"/>
          </w:tcPr>
          <w:p>
            <w:pPr>
              <w:pStyle w:val="TableParagraph"/>
              <w:spacing w:before="90"/>
              <w:ind w:left="239"/>
              <w:rPr>
                <w:sz w:val="12"/>
              </w:rPr>
            </w:pPr>
            <w:r>
              <w:rPr>
                <w:sz w:val="12"/>
              </w:rPr>
              <w:t>342.5</w:t>
            </w:r>
          </w:p>
        </w:tc>
        <w:tc>
          <w:tcPr>
            <w:tcW w:w="787" w:type="dxa"/>
            <w:tcBorders>
              <w:top w:val="single" w:sz="12" w:space="0" w:color="000000"/>
              <w:bottom w:val="single" w:sz="12" w:space="0" w:color="000000"/>
            </w:tcBorders>
            <w:shd w:val="clear" w:color="auto" w:fill="DEEAF6"/>
          </w:tcPr>
          <w:p>
            <w:pPr>
              <w:pStyle w:val="TableParagraph"/>
              <w:spacing w:before="90"/>
              <w:ind w:right="232"/>
              <w:jc w:val="right"/>
              <w:rPr>
                <w:sz w:val="12"/>
              </w:rPr>
            </w:pPr>
            <w:r>
              <w:rPr>
                <w:sz w:val="12"/>
              </w:rPr>
              <w:t>342.5</w:t>
            </w:r>
          </w:p>
        </w:tc>
        <w:tc>
          <w:tcPr>
            <w:tcW w:w="727" w:type="dxa"/>
            <w:tcBorders>
              <w:top w:val="single" w:sz="12" w:space="0" w:color="000000"/>
              <w:bottom w:val="single" w:sz="12" w:space="0" w:color="000000"/>
              <w:right w:val="single" w:sz="12" w:space="0" w:color="000000"/>
            </w:tcBorders>
            <w:shd w:val="clear" w:color="auto" w:fill="DEEAF6"/>
          </w:tcPr>
          <w:p>
            <w:pPr>
              <w:pStyle w:val="TableParagraph"/>
              <w:spacing w:before="90"/>
              <w:ind w:left="129" w:right="102"/>
              <w:jc w:val="center"/>
              <w:rPr>
                <w:b/>
                <w:sz w:val="12"/>
              </w:rPr>
            </w:pPr>
            <w:r>
              <w:rPr>
                <w:b/>
                <w:sz w:val="12"/>
              </w:rPr>
              <w:t>10 0 %</w:t>
            </w:r>
          </w:p>
        </w:tc>
      </w:tr>
      <w:tr>
        <w:trPr>
          <w:trHeight w:val="255" w:hRule="atLeast"/>
        </w:trPr>
        <w:tc>
          <w:tcPr>
            <w:tcW w:w="2396" w:type="dxa"/>
            <w:tcBorders>
              <w:top w:val="single" w:sz="12" w:space="0" w:color="000000"/>
              <w:left w:val="single" w:sz="12" w:space="0" w:color="000000"/>
              <w:bottom w:val="single" w:sz="12" w:space="0" w:color="000000"/>
            </w:tcBorders>
            <w:shd w:val="clear" w:color="auto" w:fill="D9E0F1"/>
          </w:tcPr>
          <w:p>
            <w:pPr>
              <w:pStyle w:val="TableParagraph"/>
              <w:spacing w:before="63"/>
              <w:ind w:left="38"/>
              <w:rPr>
                <w:b/>
                <w:sz w:val="12"/>
              </w:rPr>
            </w:pPr>
            <w:r>
              <w:rPr>
                <w:b/>
                <w:sz w:val="12"/>
              </w:rPr>
              <w:t>D e c re to 2 1- 2 0 2 2 *</w:t>
            </w:r>
          </w:p>
        </w:tc>
        <w:tc>
          <w:tcPr>
            <w:tcW w:w="1068" w:type="dxa"/>
            <w:tcBorders>
              <w:top w:val="single" w:sz="12" w:space="0" w:color="000000"/>
              <w:bottom w:val="single" w:sz="12" w:space="0" w:color="000000"/>
            </w:tcBorders>
            <w:shd w:val="clear" w:color="auto" w:fill="D9E0F1"/>
          </w:tcPr>
          <w:p>
            <w:pPr>
              <w:pStyle w:val="TableParagraph"/>
              <w:spacing w:before="63"/>
              <w:ind w:left="52" w:right="58"/>
              <w:jc w:val="center"/>
              <w:rPr>
                <w:b/>
                <w:sz w:val="12"/>
              </w:rPr>
            </w:pPr>
            <w:r>
              <w:rPr>
                <w:b/>
                <w:sz w:val="12"/>
              </w:rPr>
              <w:t>3 ,19 1.2</w:t>
            </w:r>
          </w:p>
        </w:tc>
        <w:tc>
          <w:tcPr>
            <w:tcW w:w="1348" w:type="dxa"/>
            <w:tcBorders>
              <w:top w:val="single" w:sz="12" w:space="0" w:color="000000"/>
              <w:bottom w:val="single" w:sz="12" w:space="0" w:color="000000"/>
            </w:tcBorders>
            <w:shd w:val="clear" w:color="auto" w:fill="D9E0F1"/>
          </w:tcPr>
          <w:p>
            <w:pPr>
              <w:pStyle w:val="TableParagraph"/>
              <w:spacing w:before="63"/>
              <w:ind w:left="493" w:right="499"/>
              <w:jc w:val="center"/>
              <w:rPr>
                <w:b/>
                <w:sz w:val="12"/>
              </w:rPr>
            </w:pPr>
            <w:r>
              <w:rPr>
                <w:b/>
                <w:sz w:val="12"/>
              </w:rPr>
              <w:t>0 .0</w:t>
            </w:r>
          </w:p>
        </w:tc>
        <w:tc>
          <w:tcPr>
            <w:tcW w:w="774" w:type="dxa"/>
            <w:tcBorders>
              <w:top w:val="single" w:sz="12" w:space="0" w:color="000000"/>
              <w:bottom w:val="single" w:sz="12" w:space="0" w:color="000000"/>
            </w:tcBorders>
            <w:shd w:val="clear" w:color="auto" w:fill="D9E0F1"/>
          </w:tcPr>
          <w:p>
            <w:pPr>
              <w:pStyle w:val="TableParagraph"/>
              <w:spacing w:before="63"/>
              <w:ind w:right="178"/>
              <w:jc w:val="right"/>
              <w:rPr>
                <w:b/>
                <w:sz w:val="12"/>
              </w:rPr>
            </w:pPr>
            <w:r>
              <w:rPr>
                <w:b/>
                <w:sz w:val="12"/>
              </w:rPr>
              <w:t>3 ,19 1.2</w:t>
            </w:r>
          </w:p>
        </w:tc>
        <w:tc>
          <w:tcPr>
            <w:tcW w:w="787" w:type="dxa"/>
            <w:tcBorders>
              <w:top w:val="single" w:sz="12" w:space="0" w:color="000000"/>
              <w:bottom w:val="single" w:sz="12" w:space="0" w:color="000000"/>
            </w:tcBorders>
            <w:shd w:val="clear" w:color="auto" w:fill="D9E0F1"/>
          </w:tcPr>
          <w:p>
            <w:pPr>
              <w:pStyle w:val="TableParagraph"/>
              <w:spacing w:before="63"/>
              <w:ind w:left="273" w:right="278"/>
              <w:jc w:val="center"/>
              <w:rPr>
                <w:b/>
                <w:sz w:val="12"/>
              </w:rPr>
            </w:pPr>
            <w:r>
              <w:rPr>
                <w:b/>
                <w:sz w:val="12"/>
              </w:rPr>
              <w:t>0 .0</w:t>
            </w:r>
          </w:p>
        </w:tc>
        <w:tc>
          <w:tcPr>
            <w:tcW w:w="727" w:type="dxa"/>
            <w:tcBorders>
              <w:top w:val="single" w:sz="12" w:space="0" w:color="000000"/>
              <w:bottom w:val="single" w:sz="12" w:space="0" w:color="000000"/>
              <w:right w:val="single" w:sz="12" w:space="0" w:color="000000"/>
            </w:tcBorders>
            <w:shd w:val="clear" w:color="auto" w:fill="D9E0F1"/>
          </w:tcPr>
          <w:p>
            <w:pPr>
              <w:pStyle w:val="TableParagraph"/>
              <w:spacing w:before="63"/>
              <w:ind w:left="142" w:right="102"/>
              <w:jc w:val="center"/>
              <w:rPr>
                <w:b/>
                <w:sz w:val="12"/>
              </w:rPr>
            </w:pPr>
            <w:r>
              <w:rPr>
                <w:b/>
                <w:sz w:val="12"/>
              </w:rPr>
              <w:t>0 .0 %</w:t>
            </w:r>
          </w:p>
        </w:tc>
      </w:tr>
      <w:tr>
        <w:trPr>
          <w:trHeight w:val="472" w:hRule="atLeast"/>
        </w:trPr>
        <w:tc>
          <w:tcPr>
            <w:tcW w:w="2396" w:type="dxa"/>
            <w:tcBorders>
              <w:top w:val="single" w:sz="12" w:space="0" w:color="000000"/>
              <w:left w:val="single" w:sz="12" w:space="0" w:color="000000"/>
              <w:bottom w:val="single" w:sz="12" w:space="0" w:color="000000"/>
            </w:tcBorders>
            <w:shd w:val="clear" w:color="auto" w:fill="DEEAF6"/>
          </w:tcPr>
          <w:p>
            <w:pPr>
              <w:pStyle w:val="TableParagraph"/>
              <w:spacing w:before="8"/>
              <w:ind w:left="278"/>
              <w:rPr>
                <w:sz w:val="12"/>
              </w:rPr>
            </w:pPr>
            <w:r>
              <w:rPr>
                <w:sz w:val="12"/>
              </w:rPr>
              <w:t>CIV-Le y pa ra fo rta lecer el</w:t>
            </w:r>
          </w:p>
          <w:p>
            <w:pPr>
              <w:pStyle w:val="TableParagraph"/>
              <w:spacing w:line="160" w:lineRule="atLeast" w:before="4"/>
              <w:ind w:left="278" w:right="195"/>
              <w:rPr>
                <w:sz w:val="12"/>
              </w:rPr>
            </w:pPr>
            <w:r>
              <w:rPr>
                <w:sz w:val="12"/>
              </w:rPr>
              <w:t>Mantenimiento y Co ns truc ció n de Infra es truc tura Es tra tégica</w:t>
            </w:r>
          </w:p>
        </w:tc>
        <w:tc>
          <w:tcPr>
            <w:tcW w:w="1068" w:type="dxa"/>
            <w:tcBorders>
              <w:top w:val="single" w:sz="12" w:space="0" w:color="000000"/>
              <w:bottom w:val="single" w:sz="12" w:space="0" w:color="000000"/>
            </w:tcBorders>
            <w:shd w:val="clear" w:color="auto" w:fill="DEEAF6"/>
          </w:tcPr>
          <w:p>
            <w:pPr>
              <w:pStyle w:val="TableParagraph"/>
              <w:spacing w:before="10"/>
              <w:rPr>
                <w:sz w:val="14"/>
              </w:rPr>
            </w:pPr>
          </w:p>
          <w:p>
            <w:pPr>
              <w:pStyle w:val="TableParagraph"/>
              <w:spacing w:before="1"/>
              <w:ind w:left="52" w:right="34"/>
              <w:jc w:val="center"/>
              <w:rPr>
                <w:sz w:val="12"/>
              </w:rPr>
            </w:pPr>
            <w:r>
              <w:rPr>
                <w:sz w:val="12"/>
              </w:rPr>
              <w:t>3,191.2</w:t>
            </w:r>
          </w:p>
        </w:tc>
        <w:tc>
          <w:tcPr>
            <w:tcW w:w="1348" w:type="dxa"/>
            <w:tcBorders>
              <w:top w:val="single" w:sz="12" w:space="0" w:color="000000"/>
              <w:bottom w:val="single" w:sz="12" w:space="0" w:color="000000"/>
            </w:tcBorders>
            <w:shd w:val="clear" w:color="auto" w:fill="DEEAF6"/>
          </w:tcPr>
          <w:p>
            <w:pPr>
              <w:pStyle w:val="TableParagraph"/>
              <w:spacing w:before="10"/>
              <w:rPr>
                <w:sz w:val="14"/>
              </w:rPr>
            </w:pPr>
          </w:p>
          <w:p>
            <w:pPr>
              <w:pStyle w:val="TableParagraph"/>
              <w:spacing w:before="1"/>
              <w:ind w:left="517" w:right="499"/>
              <w:jc w:val="center"/>
              <w:rPr>
                <w:sz w:val="12"/>
              </w:rPr>
            </w:pPr>
            <w:r>
              <w:rPr>
                <w:sz w:val="12"/>
              </w:rPr>
              <w:t>0.0</w:t>
            </w:r>
          </w:p>
        </w:tc>
        <w:tc>
          <w:tcPr>
            <w:tcW w:w="774" w:type="dxa"/>
            <w:tcBorders>
              <w:top w:val="single" w:sz="12" w:space="0" w:color="000000"/>
              <w:bottom w:val="single" w:sz="12" w:space="0" w:color="000000"/>
            </w:tcBorders>
            <w:shd w:val="clear" w:color="auto" w:fill="DEEAF6"/>
          </w:tcPr>
          <w:p>
            <w:pPr>
              <w:pStyle w:val="TableParagraph"/>
              <w:spacing w:before="10"/>
              <w:rPr>
                <w:sz w:val="14"/>
              </w:rPr>
            </w:pPr>
          </w:p>
          <w:p>
            <w:pPr>
              <w:pStyle w:val="TableParagraph"/>
              <w:spacing w:before="1"/>
              <w:ind w:left="225"/>
              <w:rPr>
                <w:sz w:val="12"/>
              </w:rPr>
            </w:pPr>
            <w:r>
              <w:rPr>
                <w:sz w:val="12"/>
              </w:rPr>
              <w:t>3,191.2</w:t>
            </w:r>
          </w:p>
        </w:tc>
        <w:tc>
          <w:tcPr>
            <w:tcW w:w="787" w:type="dxa"/>
            <w:tcBorders>
              <w:top w:val="single" w:sz="12" w:space="0" w:color="000000"/>
              <w:bottom w:val="single" w:sz="12" w:space="0" w:color="000000"/>
            </w:tcBorders>
            <w:shd w:val="clear" w:color="auto" w:fill="DEEAF6"/>
          </w:tcPr>
          <w:p>
            <w:pPr>
              <w:pStyle w:val="TableParagraph"/>
              <w:spacing w:before="10"/>
              <w:rPr>
                <w:sz w:val="14"/>
              </w:rPr>
            </w:pPr>
          </w:p>
          <w:p>
            <w:pPr>
              <w:pStyle w:val="TableParagraph"/>
              <w:spacing w:before="1"/>
              <w:ind w:left="273" w:right="254"/>
              <w:jc w:val="center"/>
              <w:rPr>
                <w:sz w:val="12"/>
              </w:rPr>
            </w:pPr>
            <w:r>
              <w:rPr>
                <w:sz w:val="12"/>
              </w:rPr>
              <w:t>0.0</w:t>
            </w:r>
          </w:p>
        </w:tc>
        <w:tc>
          <w:tcPr>
            <w:tcW w:w="727" w:type="dxa"/>
            <w:tcBorders>
              <w:top w:val="single" w:sz="12" w:space="0" w:color="000000"/>
              <w:bottom w:val="single" w:sz="12" w:space="0" w:color="000000"/>
              <w:right w:val="single" w:sz="12" w:space="0" w:color="000000"/>
            </w:tcBorders>
            <w:shd w:val="clear" w:color="auto" w:fill="DEEAF6"/>
          </w:tcPr>
          <w:p>
            <w:pPr>
              <w:pStyle w:val="TableParagraph"/>
              <w:spacing w:before="10"/>
              <w:rPr>
                <w:sz w:val="14"/>
              </w:rPr>
            </w:pPr>
          </w:p>
          <w:p>
            <w:pPr>
              <w:pStyle w:val="TableParagraph"/>
              <w:spacing w:before="1"/>
              <w:ind w:left="142" w:right="81"/>
              <w:jc w:val="center"/>
              <w:rPr>
                <w:sz w:val="12"/>
              </w:rPr>
            </w:pPr>
            <w:r>
              <w:rPr>
                <w:sz w:val="12"/>
              </w:rPr>
              <w:t>0.0%</w:t>
            </w:r>
          </w:p>
        </w:tc>
      </w:tr>
      <w:tr>
        <w:trPr>
          <w:trHeight w:val="255" w:hRule="atLeast"/>
        </w:trPr>
        <w:tc>
          <w:tcPr>
            <w:tcW w:w="2396" w:type="dxa"/>
            <w:tcBorders>
              <w:top w:val="single" w:sz="12" w:space="0" w:color="000000"/>
              <w:left w:val="single" w:sz="12" w:space="0" w:color="000000"/>
              <w:bottom w:val="single" w:sz="12" w:space="0" w:color="000000"/>
            </w:tcBorders>
            <w:shd w:val="clear" w:color="auto" w:fill="D9E0F1"/>
          </w:tcPr>
          <w:p>
            <w:pPr>
              <w:pStyle w:val="TableParagraph"/>
              <w:spacing w:before="63"/>
              <w:ind w:left="38"/>
              <w:rPr>
                <w:b/>
                <w:sz w:val="12"/>
              </w:rPr>
            </w:pPr>
            <w:r>
              <w:rPr>
                <w:b/>
                <w:sz w:val="12"/>
              </w:rPr>
              <w:t>Otra s re a de c ua c io ne s</w:t>
            </w:r>
          </w:p>
        </w:tc>
        <w:tc>
          <w:tcPr>
            <w:tcW w:w="1068" w:type="dxa"/>
            <w:tcBorders>
              <w:top w:val="single" w:sz="12" w:space="0" w:color="000000"/>
              <w:bottom w:val="single" w:sz="12" w:space="0" w:color="000000"/>
            </w:tcBorders>
            <w:shd w:val="clear" w:color="auto" w:fill="D9E0F1"/>
          </w:tcPr>
          <w:p>
            <w:pPr>
              <w:pStyle w:val="TableParagraph"/>
              <w:rPr>
                <w:sz w:val="16"/>
              </w:rPr>
            </w:pPr>
          </w:p>
        </w:tc>
        <w:tc>
          <w:tcPr>
            <w:tcW w:w="1348" w:type="dxa"/>
            <w:tcBorders>
              <w:top w:val="single" w:sz="12" w:space="0" w:color="000000"/>
              <w:bottom w:val="single" w:sz="12" w:space="0" w:color="000000"/>
            </w:tcBorders>
            <w:shd w:val="clear" w:color="auto" w:fill="D9E0F1"/>
          </w:tcPr>
          <w:p>
            <w:pPr>
              <w:pStyle w:val="TableParagraph"/>
              <w:spacing w:before="63"/>
              <w:ind w:left="493" w:right="499"/>
              <w:jc w:val="center"/>
              <w:rPr>
                <w:b/>
                <w:sz w:val="12"/>
              </w:rPr>
            </w:pPr>
            <w:r>
              <w:rPr>
                <w:b/>
                <w:sz w:val="12"/>
              </w:rPr>
              <w:t>0 .0</w:t>
            </w:r>
          </w:p>
        </w:tc>
        <w:tc>
          <w:tcPr>
            <w:tcW w:w="774" w:type="dxa"/>
            <w:tcBorders>
              <w:top w:val="single" w:sz="12" w:space="0" w:color="000000"/>
              <w:bottom w:val="single" w:sz="12" w:space="0" w:color="000000"/>
            </w:tcBorders>
            <w:shd w:val="clear" w:color="auto" w:fill="D9E0F1"/>
          </w:tcPr>
          <w:p>
            <w:pPr>
              <w:pStyle w:val="TableParagraph"/>
              <w:spacing w:before="63"/>
              <w:ind w:left="252"/>
              <w:rPr>
                <w:b/>
                <w:sz w:val="12"/>
              </w:rPr>
            </w:pPr>
            <w:r>
              <w:rPr>
                <w:b/>
                <w:sz w:val="12"/>
              </w:rPr>
              <w:t>9 3 .1</w:t>
            </w:r>
          </w:p>
        </w:tc>
        <w:tc>
          <w:tcPr>
            <w:tcW w:w="787" w:type="dxa"/>
            <w:tcBorders>
              <w:top w:val="single" w:sz="12" w:space="0" w:color="000000"/>
              <w:bottom w:val="single" w:sz="12" w:space="0" w:color="000000"/>
            </w:tcBorders>
            <w:shd w:val="clear" w:color="auto" w:fill="D9E0F1"/>
          </w:tcPr>
          <w:p>
            <w:pPr>
              <w:pStyle w:val="TableParagraph"/>
              <w:spacing w:before="63"/>
              <w:ind w:right="257"/>
              <w:jc w:val="right"/>
              <w:rPr>
                <w:b/>
                <w:sz w:val="12"/>
              </w:rPr>
            </w:pPr>
            <w:r>
              <w:rPr>
                <w:b/>
                <w:sz w:val="12"/>
              </w:rPr>
              <w:t>5 0 .8</w:t>
            </w:r>
          </w:p>
        </w:tc>
        <w:tc>
          <w:tcPr>
            <w:tcW w:w="727" w:type="dxa"/>
            <w:tcBorders>
              <w:top w:val="single" w:sz="12" w:space="0" w:color="000000"/>
              <w:bottom w:val="single" w:sz="12" w:space="0" w:color="000000"/>
              <w:right w:val="single" w:sz="12" w:space="0" w:color="000000"/>
            </w:tcBorders>
            <w:shd w:val="clear" w:color="auto" w:fill="D9E0F1"/>
          </w:tcPr>
          <w:p>
            <w:pPr>
              <w:pStyle w:val="TableParagraph"/>
              <w:spacing w:before="63"/>
              <w:ind w:left="142" w:right="102"/>
              <w:jc w:val="center"/>
              <w:rPr>
                <w:b/>
                <w:sz w:val="12"/>
              </w:rPr>
            </w:pPr>
            <w:r>
              <w:rPr>
                <w:b/>
                <w:sz w:val="12"/>
              </w:rPr>
              <w:t>5 4 .5 %</w:t>
            </w:r>
          </w:p>
        </w:tc>
      </w:tr>
      <w:tr>
        <w:trPr>
          <w:trHeight w:val="473" w:hRule="atLeast"/>
        </w:trPr>
        <w:tc>
          <w:tcPr>
            <w:tcW w:w="2396" w:type="dxa"/>
            <w:tcBorders>
              <w:top w:val="single" w:sz="12" w:space="0" w:color="000000"/>
              <w:left w:val="single" w:sz="12" w:space="0" w:color="000000"/>
              <w:bottom w:val="single" w:sz="6" w:space="0" w:color="D3D3D3"/>
            </w:tcBorders>
            <w:shd w:val="clear" w:color="auto" w:fill="DEEAF6"/>
          </w:tcPr>
          <w:p>
            <w:pPr>
              <w:pStyle w:val="TableParagraph"/>
              <w:spacing w:before="9"/>
              <w:ind w:left="278"/>
              <w:rPr>
                <w:sz w:val="12"/>
              </w:rPr>
            </w:pPr>
            <w:r>
              <w:rPr>
                <w:spacing w:val="6"/>
                <w:sz w:val="12"/>
              </w:rPr>
              <w:t>MAGA- </w:t>
            </w:r>
            <w:r>
              <w:rPr>
                <w:spacing w:val="3"/>
                <w:sz w:val="12"/>
              </w:rPr>
              <w:t>Es </w:t>
            </w:r>
            <w:r>
              <w:rPr>
                <w:spacing w:val="2"/>
                <w:sz w:val="12"/>
              </w:rPr>
              <w:t>tipendio </w:t>
            </w:r>
            <w:r>
              <w:rPr>
                <w:sz w:val="12"/>
              </w:rPr>
              <w:t>s </w:t>
            </w:r>
            <w:r>
              <w:rPr>
                <w:spacing w:val="3"/>
                <w:sz w:val="12"/>
              </w:rPr>
              <w:t>po</w:t>
            </w:r>
            <w:r>
              <w:rPr>
                <w:spacing w:val="-21"/>
                <w:sz w:val="12"/>
              </w:rPr>
              <w:t> </w:t>
            </w:r>
            <w:r>
              <w:rPr>
                <w:sz w:val="12"/>
              </w:rPr>
              <w:t>r</w:t>
            </w:r>
          </w:p>
          <w:p>
            <w:pPr>
              <w:pStyle w:val="TableParagraph"/>
              <w:spacing w:line="160" w:lineRule="atLeast" w:before="3"/>
              <w:ind w:left="278" w:right="372"/>
              <w:rPr>
                <w:sz w:val="12"/>
              </w:rPr>
            </w:pPr>
            <w:r>
              <w:rPr>
                <w:spacing w:val="5"/>
                <w:sz w:val="12"/>
              </w:rPr>
              <w:t>implementació </w:t>
            </w:r>
            <w:r>
              <w:rPr>
                <w:sz w:val="12"/>
              </w:rPr>
              <w:t>n </w:t>
            </w:r>
            <w:r>
              <w:rPr>
                <w:spacing w:val="3"/>
                <w:sz w:val="12"/>
              </w:rPr>
              <w:t>de </w:t>
            </w:r>
            <w:r>
              <w:rPr>
                <w:sz w:val="12"/>
              </w:rPr>
              <w:t>prá </w:t>
            </w:r>
            <w:r>
              <w:rPr>
                <w:spacing w:val="6"/>
                <w:sz w:val="12"/>
              </w:rPr>
              <w:t>cticas </w:t>
            </w:r>
            <w:r>
              <w:rPr>
                <w:spacing w:val="3"/>
                <w:sz w:val="12"/>
              </w:rPr>
              <w:t>de </w:t>
            </w:r>
            <w:r>
              <w:rPr>
                <w:spacing w:val="6"/>
                <w:sz w:val="12"/>
              </w:rPr>
              <w:t>co</w:t>
            </w:r>
            <w:r>
              <w:rPr>
                <w:spacing w:val="-11"/>
                <w:sz w:val="12"/>
              </w:rPr>
              <w:t> </w:t>
            </w:r>
            <w:r>
              <w:rPr>
                <w:spacing w:val="3"/>
                <w:sz w:val="12"/>
              </w:rPr>
              <w:t>ns</w:t>
            </w:r>
            <w:r>
              <w:rPr>
                <w:spacing w:val="-11"/>
                <w:sz w:val="12"/>
              </w:rPr>
              <w:t> </w:t>
            </w:r>
            <w:r>
              <w:rPr>
                <w:sz w:val="12"/>
              </w:rPr>
              <w:t>e</w:t>
            </w:r>
            <w:r>
              <w:rPr>
                <w:spacing w:val="-17"/>
                <w:sz w:val="12"/>
              </w:rPr>
              <w:t> </w:t>
            </w:r>
            <w:r>
              <w:rPr>
                <w:sz w:val="12"/>
              </w:rPr>
              <w:t>rva</w:t>
            </w:r>
            <w:r>
              <w:rPr>
                <w:spacing w:val="-16"/>
                <w:sz w:val="12"/>
              </w:rPr>
              <w:t> </w:t>
            </w:r>
            <w:r>
              <w:rPr>
                <w:spacing w:val="2"/>
                <w:sz w:val="12"/>
              </w:rPr>
              <w:t>ció</w:t>
            </w:r>
            <w:r>
              <w:rPr>
                <w:spacing w:val="-11"/>
                <w:sz w:val="12"/>
              </w:rPr>
              <w:t> </w:t>
            </w:r>
            <w:r>
              <w:rPr>
                <w:sz w:val="12"/>
              </w:rPr>
              <w:t>n</w:t>
            </w:r>
            <w:r>
              <w:rPr>
                <w:spacing w:val="2"/>
                <w:sz w:val="12"/>
              </w:rPr>
              <w:t> </w:t>
            </w:r>
            <w:r>
              <w:rPr>
                <w:spacing w:val="3"/>
                <w:sz w:val="12"/>
              </w:rPr>
              <w:t>de</w:t>
            </w:r>
            <w:r>
              <w:rPr>
                <w:spacing w:val="10"/>
                <w:sz w:val="12"/>
              </w:rPr>
              <w:t> </w:t>
            </w:r>
            <w:r>
              <w:rPr>
                <w:sz w:val="12"/>
              </w:rPr>
              <w:t>s</w:t>
            </w:r>
            <w:r>
              <w:rPr>
                <w:spacing w:val="-11"/>
                <w:sz w:val="12"/>
              </w:rPr>
              <w:t> </w:t>
            </w:r>
            <w:r>
              <w:rPr>
                <w:spacing w:val="3"/>
                <w:sz w:val="12"/>
              </w:rPr>
              <w:t>uelo</w:t>
            </w:r>
            <w:r>
              <w:rPr>
                <w:spacing w:val="-10"/>
                <w:sz w:val="12"/>
              </w:rPr>
              <w:t> </w:t>
            </w:r>
            <w:r>
              <w:rPr>
                <w:sz w:val="12"/>
              </w:rPr>
              <w:t>s</w:t>
            </w:r>
          </w:p>
        </w:tc>
        <w:tc>
          <w:tcPr>
            <w:tcW w:w="1068" w:type="dxa"/>
            <w:tcBorders>
              <w:top w:val="single" w:sz="12" w:space="0" w:color="000000"/>
              <w:bottom w:val="single" w:sz="6" w:space="0" w:color="D3D3D3"/>
            </w:tcBorders>
            <w:shd w:val="clear" w:color="auto" w:fill="DEEAF6"/>
          </w:tcPr>
          <w:p>
            <w:pPr>
              <w:pStyle w:val="TableParagraph"/>
              <w:rPr>
                <w:sz w:val="16"/>
              </w:rPr>
            </w:pPr>
          </w:p>
        </w:tc>
        <w:tc>
          <w:tcPr>
            <w:tcW w:w="1348" w:type="dxa"/>
            <w:tcBorders>
              <w:top w:val="single" w:sz="12" w:space="0" w:color="000000"/>
              <w:bottom w:val="single" w:sz="6" w:space="0" w:color="D3D3D3"/>
            </w:tcBorders>
            <w:shd w:val="clear" w:color="auto" w:fill="DEEAF6"/>
          </w:tcPr>
          <w:p>
            <w:pPr>
              <w:pStyle w:val="TableParagraph"/>
              <w:spacing w:before="11"/>
              <w:rPr>
                <w:sz w:val="14"/>
              </w:rPr>
            </w:pPr>
          </w:p>
          <w:p>
            <w:pPr>
              <w:pStyle w:val="TableParagraph"/>
              <w:ind w:left="544" w:right="486"/>
              <w:jc w:val="center"/>
              <w:rPr>
                <w:sz w:val="12"/>
              </w:rPr>
            </w:pPr>
            <w:r>
              <w:rPr>
                <w:sz w:val="12"/>
              </w:rPr>
              <w:t>93.1</w:t>
            </w:r>
          </w:p>
        </w:tc>
        <w:tc>
          <w:tcPr>
            <w:tcW w:w="774" w:type="dxa"/>
            <w:tcBorders>
              <w:top w:val="single" w:sz="12" w:space="0" w:color="000000"/>
              <w:bottom w:val="single" w:sz="6" w:space="0" w:color="D3D3D3"/>
            </w:tcBorders>
            <w:shd w:val="clear" w:color="auto" w:fill="DEEAF6"/>
          </w:tcPr>
          <w:p>
            <w:pPr>
              <w:pStyle w:val="TableParagraph"/>
              <w:spacing w:before="11"/>
              <w:rPr>
                <w:sz w:val="14"/>
              </w:rPr>
            </w:pPr>
          </w:p>
          <w:p>
            <w:pPr>
              <w:pStyle w:val="TableParagraph"/>
              <w:ind w:left="292"/>
              <w:rPr>
                <w:sz w:val="12"/>
              </w:rPr>
            </w:pPr>
            <w:r>
              <w:rPr>
                <w:sz w:val="12"/>
              </w:rPr>
              <w:t>93.1</w:t>
            </w:r>
          </w:p>
        </w:tc>
        <w:tc>
          <w:tcPr>
            <w:tcW w:w="787" w:type="dxa"/>
            <w:tcBorders>
              <w:top w:val="single" w:sz="12" w:space="0" w:color="000000"/>
              <w:bottom w:val="single" w:sz="6" w:space="0" w:color="D3D3D3"/>
            </w:tcBorders>
            <w:shd w:val="clear" w:color="auto" w:fill="DEEAF6"/>
          </w:tcPr>
          <w:p>
            <w:pPr>
              <w:pStyle w:val="TableParagraph"/>
              <w:spacing w:before="11"/>
              <w:rPr>
                <w:sz w:val="14"/>
              </w:rPr>
            </w:pPr>
          </w:p>
          <w:p>
            <w:pPr>
              <w:pStyle w:val="TableParagraph"/>
              <w:ind w:right="257"/>
              <w:jc w:val="right"/>
              <w:rPr>
                <w:sz w:val="12"/>
              </w:rPr>
            </w:pPr>
            <w:r>
              <w:rPr>
                <w:sz w:val="12"/>
              </w:rPr>
              <w:t>50.8</w:t>
            </w:r>
          </w:p>
        </w:tc>
        <w:tc>
          <w:tcPr>
            <w:tcW w:w="727" w:type="dxa"/>
            <w:tcBorders>
              <w:top w:val="single" w:sz="12" w:space="0" w:color="000000"/>
              <w:bottom w:val="single" w:sz="6" w:space="0" w:color="D3D3D3"/>
              <w:right w:val="single" w:sz="12" w:space="0" w:color="000000"/>
            </w:tcBorders>
            <w:shd w:val="clear" w:color="auto" w:fill="DEEAF6"/>
          </w:tcPr>
          <w:p>
            <w:pPr>
              <w:pStyle w:val="TableParagraph"/>
              <w:spacing w:before="11"/>
              <w:rPr>
                <w:sz w:val="14"/>
              </w:rPr>
            </w:pPr>
          </w:p>
          <w:p>
            <w:pPr>
              <w:pStyle w:val="TableParagraph"/>
              <w:ind w:left="142" w:right="95"/>
              <w:jc w:val="center"/>
              <w:rPr>
                <w:sz w:val="12"/>
              </w:rPr>
            </w:pPr>
            <w:r>
              <w:rPr>
                <w:sz w:val="12"/>
              </w:rPr>
              <w:t>54.5%</w:t>
            </w:r>
          </w:p>
        </w:tc>
      </w:tr>
      <w:tr>
        <w:trPr>
          <w:trHeight w:val="255" w:hRule="atLeast"/>
        </w:trPr>
        <w:tc>
          <w:tcPr>
            <w:tcW w:w="2396" w:type="dxa"/>
            <w:tcBorders>
              <w:top w:val="single" w:sz="6" w:space="0" w:color="D3D3D3"/>
              <w:left w:val="single" w:sz="12" w:space="0" w:color="000000"/>
              <w:bottom w:val="single" w:sz="12" w:space="0" w:color="000000"/>
            </w:tcBorders>
            <w:shd w:val="clear" w:color="auto" w:fill="DEEAF6"/>
          </w:tcPr>
          <w:p>
            <w:pPr>
              <w:pStyle w:val="TableParagraph"/>
              <w:spacing w:before="63"/>
              <w:ind w:right="541"/>
              <w:jc w:val="right"/>
              <w:rPr>
                <w:sz w:val="12"/>
              </w:rPr>
            </w:pPr>
            <w:r>
              <w:rPr>
                <w:sz w:val="12"/>
              </w:rPr>
              <w:t>Otro s pro gra mas del MAGA</w:t>
            </w:r>
          </w:p>
        </w:tc>
        <w:tc>
          <w:tcPr>
            <w:tcW w:w="1068" w:type="dxa"/>
            <w:tcBorders>
              <w:top w:val="single" w:sz="6" w:space="0" w:color="D3D3D3"/>
              <w:bottom w:val="single" w:sz="12" w:space="0" w:color="000000"/>
            </w:tcBorders>
            <w:shd w:val="clear" w:color="auto" w:fill="DEEAF6"/>
          </w:tcPr>
          <w:p>
            <w:pPr>
              <w:pStyle w:val="TableParagraph"/>
              <w:rPr>
                <w:sz w:val="16"/>
              </w:rPr>
            </w:pPr>
          </w:p>
        </w:tc>
        <w:tc>
          <w:tcPr>
            <w:tcW w:w="1348" w:type="dxa"/>
            <w:tcBorders>
              <w:top w:val="single" w:sz="6" w:space="0" w:color="D3D3D3"/>
              <w:bottom w:val="single" w:sz="12" w:space="0" w:color="000000"/>
            </w:tcBorders>
            <w:shd w:val="clear" w:color="auto" w:fill="DEEAF6"/>
          </w:tcPr>
          <w:p>
            <w:pPr>
              <w:pStyle w:val="TableParagraph"/>
              <w:spacing w:before="63"/>
              <w:ind w:left="544" w:right="499"/>
              <w:jc w:val="center"/>
              <w:rPr>
                <w:sz w:val="12"/>
              </w:rPr>
            </w:pPr>
            <w:r>
              <w:rPr>
                <w:sz w:val="12"/>
              </w:rPr>
              <w:t>-93.1</w:t>
            </w:r>
          </w:p>
        </w:tc>
        <w:tc>
          <w:tcPr>
            <w:tcW w:w="774" w:type="dxa"/>
            <w:tcBorders>
              <w:top w:val="single" w:sz="6" w:space="0" w:color="D3D3D3"/>
              <w:bottom w:val="single" w:sz="12" w:space="0" w:color="000000"/>
            </w:tcBorders>
            <w:shd w:val="clear" w:color="auto" w:fill="DEEAF6"/>
          </w:tcPr>
          <w:p>
            <w:pPr>
              <w:pStyle w:val="TableParagraph"/>
              <w:rPr>
                <w:sz w:val="16"/>
              </w:rPr>
            </w:pPr>
          </w:p>
        </w:tc>
        <w:tc>
          <w:tcPr>
            <w:tcW w:w="787" w:type="dxa"/>
            <w:tcBorders>
              <w:top w:val="single" w:sz="6" w:space="0" w:color="D3D3D3"/>
              <w:bottom w:val="single" w:sz="12" w:space="0" w:color="000000"/>
            </w:tcBorders>
            <w:shd w:val="clear" w:color="auto" w:fill="DEEAF6"/>
          </w:tcPr>
          <w:p>
            <w:pPr>
              <w:pStyle w:val="TableParagraph"/>
              <w:rPr>
                <w:sz w:val="16"/>
              </w:rPr>
            </w:pPr>
          </w:p>
        </w:tc>
        <w:tc>
          <w:tcPr>
            <w:tcW w:w="727" w:type="dxa"/>
            <w:tcBorders>
              <w:top w:val="single" w:sz="6" w:space="0" w:color="D3D3D3"/>
              <w:bottom w:val="single" w:sz="12" w:space="0" w:color="000000"/>
              <w:right w:val="single" w:sz="12" w:space="0" w:color="000000"/>
            </w:tcBorders>
            <w:shd w:val="clear" w:color="auto" w:fill="DEEAF6"/>
          </w:tcPr>
          <w:p>
            <w:pPr>
              <w:pStyle w:val="TableParagraph"/>
              <w:rPr>
                <w:sz w:val="16"/>
              </w:rPr>
            </w:pPr>
          </w:p>
        </w:tc>
      </w:tr>
    </w:tbl>
    <w:p>
      <w:pPr>
        <w:pStyle w:val="BodyText"/>
        <w:rPr>
          <w:sz w:val="20"/>
        </w:rPr>
      </w:pPr>
    </w:p>
    <w:p>
      <w:pPr>
        <w:pStyle w:val="BodyText"/>
        <w:rPr>
          <w:sz w:val="20"/>
        </w:rPr>
      </w:pPr>
    </w:p>
    <w:p>
      <w:pPr>
        <w:pStyle w:val="BodyText"/>
        <w:rPr>
          <w:sz w:val="20"/>
        </w:rPr>
      </w:pPr>
    </w:p>
    <w:p>
      <w:pPr>
        <w:pStyle w:val="Heading2"/>
        <w:numPr>
          <w:ilvl w:val="2"/>
          <w:numId w:val="22"/>
        </w:numPr>
        <w:tabs>
          <w:tab w:pos="1978" w:val="left" w:leader="none"/>
        </w:tabs>
        <w:spacing w:line="276" w:lineRule="auto" w:before="229" w:after="0"/>
        <w:ind w:left="1786" w:right="2337" w:hanging="504"/>
        <w:jc w:val="left"/>
      </w:pPr>
      <w:r>
        <w:rPr/>
        <w:pict>
          <v:group style="position:absolute;margin-left:93.384003pt;margin-top:-478.056885pt;width:423pt;height:481.55pt;mso-position-horizontal-relative:page;mso-position-vertical-relative:paragraph;z-index:-280476672" coordorigin="1868,-9561" coordsize="8460,9631">
            <v:rect style="position:absolute;left:1877;top:-9562;width:8440;height:264" filled="true" fillcolor="#deeaf6" stroked="false">
              <v:fill type="solid"/>
            </v:rect>
            <v:line style="position:absolute" from="1872,-9561" to="1872,-9297" stroked="true" strokeweight=".48pt" strokecolor="#000000">
              <v:stroke dashstyle="solid"/>
            </v:line>
            <v:line style="position:absolute" from="10322,-9561" to="10322,-9297" stroked="true" strokeweight=".48pt" strokecolor="#000000">
              <v:stroke dashstyle="solid"/>
            </v:line>
            <v:rect style="position:absolute;left:1877;top:-9298;width:8440;height:265" filled="true" fillcolor="#deeaf6" stroked="false">
              <v:fill type="solid"/>
            </v:rect>
            <v:line style="position:absolute" from="1872,-9297" to="1872,-9033" stroked="true" strokeweight=".48pt" strokecolor="#000000">
              <v:stroke dashstyle="solid"/>
            </v:line>
            <v:line style="position:absolute" from="10322,-9297" to="10322,-9033" stroked="true" strokeweight=".48pt" strokecolor="#000000">
              <v:stroke dashstyle="solid"/>
            </v:line>
            <v:rect style="position:absolute;left:1877;top:-9033;width:8440;height:264" filled="true" fillcolor="#deeaf6" stroked="false">
              <v:fill type="solid"/>
            </v:rect>
            <v:line style="position:absolute" from="1872,-9033" to="1872,-8769" stroked="true" strokeweight=".48pt" strokecolor="#000000">
              <v:stroke dashstyle="solid"/>
            </v:line>
            <v:line style="position:absolute" from="10322,-9033" to="10322,-8769" stroked="true" strokeweight=".48pt" strokecolor="#000000">
              <v:stroke dashstyle="solid"/>
            </v:line>
            <v:rect style="position:absolute;left:1877;top:-8769;width:8440;height:425" filled="true" fillcolor="#deeaf6" stroked="false">
              <v:fill type="solid"/>
            </v:rect>
            <v:line style="position:absolute" from="1872,-8769" to="1872,-8344" stroked="true" strokeweight=".48pt" strokecolor="#000000">
              <v:stroke dashstyle="solid"/>
            </v:line>
            <v:line style="position:absolute" from="10322,-8769" to="10322,-8344" stroked="true" strokeweight=".48pt" strokecolor="#000000">
              <v:stroke dashstyle="solid"/>
            </v:line>
            <v:rect style="position:absolute;left:1877;top:-8344;width:8440;height:264" filled="true" fillcolor="#deeaf6" stroked="false">
              <v:fill type="solid"/>
            </v:rect>
            <v:line style="position:absolute" from="1872,-8344" to="1872,-8080" stroked="true" strokeweight=".48pt" strokecolor="#000000">
              <v:stroke dashstyle="solid"/>
            </v:line>
            <v:line style="position:absolute" from="10322,-8344" to="10322,-8080" stroked="true" strokeweight=".48pt" strokecolor="#000000">
              <v:stroke dashstyle="solid"/>
            </v:line>
            <v:rect style="position:absolute;left:1877;top:-8080;width:8440;height:425" filled="true" fillcolor="#deeaf6" stroked="false">
              <v:fill type="solid"/>
            </v:rect>
            <v:line style="position:absolute" from="1872,-8080" to="1872,-7655" stroked="true" strokeweight=".48pt" strokecolor="#000000">
              <v:stroke dashstyle="solid"/>
            </v:line>
            <v:line style="position:absolute" from="10322,-8080" to="10322,-7655" stroked="true" strokeweight=".48pt" strokecolor="#000000">
              <v:stroke dashstyle="solid"/>
            </v:line>
            <v:rect style="position:absolute;left:1877;top:-7656;width:8440;height:267" filled="true" fillcolor="#deeaf6" stroked="false">
              <v:fill type="solid"/>
            </v:rect>
            <v:line style="position:absolute" from="1872,-7655" to="1872,-7389" stroked="true" strokeweight=".48pt" strokecolor="#000000">
              <v:stroke dashstyle="solid"/>
            </v:line>
            <v:line style="position:absolute" from="10322,-7655" to="10322,-7389" stroked="true" strokeweight=".48pt" strokecolor="#000000">
              <v:stroke dashstyle="solid"/>
            </v:line>
            <v:rect style="position:absolute;left:1877;top:-7389;width:8440;height:423" filled="true" fillcolor="#deeaf6" stroked="false">
              <v:fill type="solid"/>
            </v:rect>
            <v:line style="position:absolute" from="1872,-7389" to="1872,-6966" stroked="true" strokeweight=".48pt" strokecolor="#000000">
              <v:stroke dashstyle="solid"/>
            </v:line>
            <v:line style="position:absolute" from="10322,-7389" to="10322,-6966" stroked="true" strokeweight=".48pt" strokecolor="#000000">
              <v:stroke dashstyle="solid"/>
            </v:line>
            <v:rect style="position:absolute;left:1877;top:-6967;width:8440;height:6477" filled="true" fillcolor="#deeaf6" stroked="false">
              <v:fill type="solid"/>
            </v:rect>
            <v:line style="position:absolute" from="1872,-6966" to="1872,-490" stroked="true" strokeweight=".48pt" strokecolor="#000000">
              <v:stroke dashstyle="solid"/>
            </v:line>
            <v:line style="position:absolute" from="10322,-6966" to="10322,-490" stroked="true" strokeweight=".48pt" strokecolor="#000000">
              <v:stroke dashstyle="solid"/>
            </v:line>
            <v:rect style="position:absolute;left:1877;top:-491;width:8440;height:161" filled="true" fillcolor="#deeaf6" stroked="false">
              <v:fill type="solid"/>
            </v:rect>
            <v:line style="position:absolute" from="1872,-490" to="1872,-329" stroked="true" strokeweight=".48pt" strokecolor="#000000">
              <v:stroke dashstyle="solid"/>
            </v:line>
            <v:line style="position:absolute" from="10322,-490" to="10322,-329" stroked="true" strokeweight=".48pt" strokecolor="#000000">
              <v:stroke dashstyle="solid"/>
            </v:line>
            <v:rect style="position:absolute;left:1877;top:-330;width:8440;height:159" filled="true" fillcolor="#deeaf6" stroked="false">
              <v:fill type="solid"/>
            </v:rect>
            <v:line style="position:absolute" from="1872,-329" to="1872,-171" stroked="true" strokeweight=".48pt" strokecolor="#000000">
              <v:stroke dashstyle="solid"/>
            </v:line>
            <v:line style="position:absolute" from="10322,-329" to="10322,-171" stroked="true" strokeweight=".48pt" strokecolor="#000000">
              <v:stroke dashstyle="solid"/>
            </v:line>
            <v:rect style="position:absolute;left:1877;top:-171;width:8440;height:231" filled="true" fillcolor="#deeaf6" stroked="false">
              <v:fill type="solid"/>
            </v:rect>
            <v:line style="position:absolute" from="1877,64" to="10317,64" stroked="true" strokeweight=".48pt" strokecolor="#000000">
              <v:stroke dashstyle="solid"/>
            </v:line>
            <v:line style="position:absolute" from="1872,-171" to="1872,69" stroked="true" strokeweight=".48pt" strokecolor="#000000">
              <v:stroke dashstyle="solid"/>
            </v:line>
            <v:line style="position:absolute" from="10322,-171" to="10322,69" stroked="true" strokeweight=".48pt" strokecolor="#000000">
              <v:stroke dashstyle="solid"/>
            </v:line>
            <v:shape style="position:absolute;left:1985;top:-9557;width:8243;height:2391" type="#_x0000_t202" filled="false" stroked="false">
              <v:textbox inset="0,0,0,0">
                <w:txbxContent>
                  <w:p>
                    <w:pPr>
                      <w:spacing w:line="276" w:lineRule="auto" w:before="0"/>
                      <w:ind w:left="0" w:right="18" w:firstLine="0"/>
                      <w:jc w:val="both"/>
                      <w:rPr>
                        <w:sz w:val="20"/>
                      </w:rPr>
                    </w:pPr>
                    <w:r>
                      <w:rPr>
                        <w:sz w:val="20"/>
                      </w:rPr>
                      <w:t>diésel, gasolina regular y superior, Q128.1 millones corresponden al subsidio del gas propano, Q90 millones corresponden al aporte social a la tarifa eléctrica, Q50.8 millones corresponden a los estipendios</w:t>
                    </w:r>
                    <w:r>
                      <w:rPr>
                        <w:spacing w:val="-4"/>
                        <w:sz w:val="20"/>
                      </w:rPr>
                      <w:t> </w:t>
                    </w:r>
                    <w:r>
                      <w:rPr>
                        <w:sz w:val="20"/>
                      </w:rPr>
                      <w:t>dados</w:t>
                    </w:r>
                    <w:r>
                      <w:rPr>
                        <w:spacing w:val="-4"/>
                        <w:sz w:val="20"/>
                      </w:rPr>
                      <w:t> </w:t>
                    </w:r>
                    <w:r>
                      <w:rPr>
                        <w:sz w:val="20"/>
                      </w:rPr>
                      <w:t>por</w:t>
                    </w:r>
                    <w:r>
                      <w:rPr>
                        <w:spacing w:val="-4"/>
                        <w:sz w:val="20"/>
                      </w:rPr>
                      <w:t> </w:t>
                    </w:r>
                    <w:r>
                      <w:rPr>
                        <w:sz w:val="20"/>
                      </w:rPr>
                      <w:t>MAGA</w:t>
                    </w:r>
                    <w:r>
                      <w:rPr>
                        <w:spacing w:val="-3"/>
                        <w:sz w:val="20"/>
                      </w:rPr>
                      <w:t> </w:t>
                    </w:r>
                    <w:r>
                      <w:rPr>
                        <w:sz w:val="20"/>
                      </w:rPr>
                      <w:t>en</w:t>
                    </w:r>
                    <w:r>
                      <w:rPr>
                        <w:spacing w:val="-4"/>
                        <w:sz w:val="20"/>
                      </w:rPr>
                      <w:t> </w:t>
                    </w:r>
                    <w:r>
                      <w:rPr>
                        <w:sz w:val="20"/>
                      </w:rPr>
                      <w:t>apoyo</w:t>
                    </w:r>
                    <w:r>
                      <w:rPr>
                        <w:spacing w:val="-1"/>
                        <w:sz w:val="20"/>
                      </w:rPr>
                      <w:t> </w:t>
                    </w:r>
                    <w:r>
                      <w:rPr>
                        <w:sz w:val="20"/>
                      </w:rPr>
                      <w:t>a</w:t>
                    </w:r>
                    <w:r>
                      <w:rPr>
                        <w:spacing w:val="-3"/>
                        <w:sz w:val="20"/>
                      </w:rPr>
                      <w:t> </w:t>
                    </w:r>
                    <w:r>
                      <w:rPr>
                        <w:sz w:val="20"/>
                      </w:rPr>
                      <w:t>la</w:t>
                    </w:r>
                    <w:r>
                      <w:rPr>
                        <w:spacing w:val="-3"/>
                        <w:sz w:val="20"/>
                      </w:rPr>
                      <w:t> </w:t>
                    </w:r>
                    <w:r>
                      <w:rPr>
                        <w:sz w:val="20"/>
                      </w:rPr>
                      <w:t>agricultura</w:t>
                    </w:r>
                    <w:r>
                      <w:rPr>
                        <w:spacing w:val="-2"/>
                        <w:sz w:val="20"/>
                      </w:rPr>
                      <w:t> </w:t>
                    </w:r>
                    <w:r>
                      <w:rPr>
                        <w:sz w:val="20"/>
                      </w:rPr>
                      <w:t>familiar</w:t>
                    </w:r>
                    <w:r>
                      <w:rPr>
                        <w:spacing w:val="-2"/>
                        <w:sz w:val="20"/>
                      </w:rPr>
                      <w:t> </w:t>
                    </w:r>
                    <w:r>
                      <w:rPr>
                        <w:sz w:val="20"/>
                      </w:rPr>
                      <w:t>para</w:t>
                    </w:r>
                    <w:r>
                      <w:rPr>
                        <w:spacing w:val="-5"/>
                        <w:sz w:val="20"/>
                      </w:rPr>
                      <w:t> </w:t>
                    </w:r>
                    <w:r>
                      <w:rPr>
                        <w:sz w:val="20"/>
                      </w:rPr>
                      <w:t>fortalecer</w:t>
                    </w:r>
                    <w:r>
                      <w:rPr>
                        <w:spacing w:val="-1"/>
                        <w:sz w:val="20"/>
                      </w:rPr>
                      <w:t> </w:t>
                    </w:r>
                    <w:r>
                      <w:rPr>
                        <w:sz w:val="20"/>
                      </w:rPr>
                      <w:t>la</w:t>
                    </w:r>
                    <w:r>
                      <w:rPr>
                        <w:spacing w:val="-3"/>
                        <w:sz w:val="20"/>
                      </w:rPr>
                      <w:t> </w:t>
                    </w:r>
                    <w:r>
                      <w:rPr>
                        <w:sz w:val="20"/>
                      </w:rPr>
                      <w:t>economía</w:t>
                    </w:r>
                    <w:r>
                      <w:rPr>
                        <w:spacing w:val="-1"/>
                        <w:sz w:val="20"/>
                      </w:rPr>
                      <w:t> </w:t>
                    </w:r>
                    <w:r>
                      <w:rPr>
                        <w:sz w:val="20"/>
                      </w:rPr>
                      <w:t>campesina y Q342 millones para los Consejos Departamentales de</w:t>
                    </w:r>
                    <w:r>
                      <w:rPr>
                        <w:spacing w:val="-7"/>
                        <w:sz w:val="20"/>
                      </w:rPr>
                      <w:t> </w:t>
                    </w:r>
                    <w:r>
                      <w:rPr>
                        <w:sz w:val="20"/>
                      </w:rPr>
                      <w:t>Desarrollo.</w:t>
                    </w:r>
                  </w:p>
                  <w:p>
                    <w:pPr>
                      <w:spacing w:line="273" w:lineRule="auto" w:before="150"/>
                      <w:ind w:left="0" w:right="27" w:firstLine="0"/>
                      <w:jc w:val="both"/>
                      <w:rPr>
                        <w:sz w:val="20"/>
                      </w:rPr>
                    </w:pPr>
                    <w:r>
                      <w:rPr>
                        <w:sz w:val="20"/>
                      </w:rPr>
                      <w:t>De las otras medidas como el fortalecimiento al mantenimiento y construcción de infraestructura estratégica, aún no se reporta ejecución.</w:t>
                    </w:r>
                  </w:p>
                  <w:p>
                    <w:pPr>
                      <w:spacing w:before="169"/>
                      <w:ind w:left="975" w:right="993" w:firstLine="0"/>
                      <w:jc w:val="center"/>
                      <w:rPr>
                        <w:b/>
                        <w:sz w:val="20"/>
                      </w:rPr>
                    </w:pPr>
                    <w:r>
                      <w:rPr>
                        <w:b/>
                        <w:sz w:val="20"/>
                      </w:rPr>
                      <w:t>Principales Acciones por Decreto y Entidad Responsable a junio del 2022</w:t>
                    </w:r>
                  </w:p>
                  <w:p>
                    <w:pPr>
                      <w:spacing w:before="29"/>
                      <w:ind w:left="974" w:right="993" w:firstLine="0"/>
                      <w:jc w:val="center"/>
                      <w:rPr>
                        <w:sz w:val="20"/>
                      </w:rPr>
                    </w:pPr>
                    <w:r>
                      <w:rPr>
                        <w:sz w:val="20"/>
                      </w:rPr>
                      <w:t>Cifras en millones de quetzales y porcentajes</w:t>
                    </w:r>
                  </w:p>
                </w:txbxContent>
              </v:textbox>
              <w10:wrap type="none"/>
            </v:shape>
            <v:shape style="position:absolute;left:1985;top:-490;width:8240;height:500" type="#_x0000_t202" filled="false" stroked="false">
              <v:textbox inset="0,0,0,0">
                <w:txbxContent>
                  <w:p>
                    <w:pPr>
                      <w:spacing w:line="280" w:lineRule="auto" w:before="0"/>
                      <w:ind w:left="0" w:right="-1" w:firstLine="0"/>
                      <w:jc w:val="left"/>
                      <w:rPr>
                        <w:sz w:val="12"/>
                      </w:rPr>
                    </w:pPr>
                    <w:r>
                      <w:rPr>
                        <w:sz w:val="12"/>
                      </w:rPr>
                      <w:t>**En el SICOIN aún no considera las modificaciones presupuestarias relacionadas con los Decretos 36-2022 que considera el fortalecimiento del Fondo Emergente Estado de Calamidad, así como la ampliación del subsidio al gas propano por Q70 millones del Decreto 33-2022 (No considera el Decreto 15-2021)</w:t>
                    </w:r>
                  </w:p>
                  <w:p>
                    <w:pPr>
                      <w:spacing w:line="181" w:lineRule="exact" w:before="0"/>
                      <w:ind w:left="0" w:right="0" w:firstLine="0"/>
                      <w:jc w:val="left"/>
                      <w:rPr>
                        <w:sz w:val="16"/>
                      </w:rPr>
                    </w:pPr>
                    <w:r>
                      <w:rPr>
                        <w:sz w:val="16"/>
                      </w:rPr>
                      <w:t>Fuente: SICOIN</w:t>
                    </w:r>
                  </w:p>
                </w:txbxContent>
              </v:textbox>
              <w10:wrap type="none"/>
            </v:shape>
            <w10:wrap type="none"/>
          </v:group>
        </w:pict>
      </w:r>
      <w:bookmarkStart w:name="_bookmark162" w:id="204"/>
      <w:bookmarkEnd w:id="204"/>
      <w:r>
        <w:rPr>
          <w:b w:val="0"/>
        </w:rPr>
      </w:r>
      <w:bookmarkStart w:name="_bookmark162" w:id="205"/>
      <w:bookmarkEnd w:id="205"/>
      <w:r>
        <w:rPr/>
        <w:t>Ej</w:t>
      </w:r>
      <w:r>
        <w:rPr/>
        <w:t>ecución de gastos relacionados a emergencias y calamidades</w:t>
      </w:r>
      <w:r>
        <w:rPr>
          <w:spacing w:val="-16"/>
        </w:rPr>
        <w:t> </w:t>
      </w:r>
      <w:r>
        <w:rPr/>
        <w:t>por emergencia sanitaria</w:t>
      </w:r>
      <w:r>
        <w:rPr>
          <w:spacing w:val="-1"/>
        </w:rPr>
        <w:t> </w:t>
      </w:r>
      <w:r>
        <w:rPr/>
        <w:t>COVID-19</w:t>
      </w:r>
    </w:p>
    <w:p>
      <w:pPr>
        <w:pStyle w:val="BodyText"/>
        <w:rPr>
          <w:b/>
          <w:sz w:val="25"/>
        </w:rPr>
      </w:pPr>
    </w:p>
    <w:p>
      <w:pPr>
        <w:pStyle w:val="BodyText"/>
        <w:spacing w:line="276" w:lineRule="auto"/>
        <w:ind w:left="562" w:right="1695"/>
        <w:jc w:val="both"/>
      </w:pPr>
      <w:r>
        <w:rPr/>
        <w:t>También se le da seguimiento a la ejecución del gasto relacionado a la pandemia COVID-19, dado que fue creado el programa específico para su seguimiento. Hasta junio se han ejecutado Q693.5 millones, correspondientes casi en su totalidad al Ministerio de Salud Pública y Asistencia Social y en una menor medida al Ministerio de Desarrollo Social.</w:t>
      </w:r>
    </w:p>
    <w:p>
      <w:pPr>
        <w:pStyle w:val="BodyText"/>
        <w:spacing w:before="3"/>
        <w:rPr>
          <w:sz w:val="25"/>
        </w:rPr>
      </w:pPr>
    </w:p>
    <w:p>
      <w:pPr>
        <w:pStyle w:val="BodyText"/>
        <w:spacing w:line="276" w:lineRule="auto"/>
        <w:ind w:left="562" w:right="1698"/>
        <w:jc w:val="both"/>
      </w:pPr>
      <w:r>
        <w:rPr/>
        <w:t>Dentro de los gastos, se encuentran la vacuna COVID-19 con Q134.4 millones y los servicios de prevención y tratamiento de COVID-19 con Q558.0 millones.</w:t>
      </w:r>
    </w:p>
    <w:p>
      <w:pPr>
        <w:spacing w:after="0" w:line="276" w:lineRule="auto"/>
        <w:jc w:val="both"/>
        <w:sectPr>
          <w:pgSz w:w="12240" w:h="15840"/>
          <w:pgMar w:header="715" w:footer="957" w:top="1240" w:bottom="1140" w:left="1140" w:right="0"/>
        </w:sectPr>
      </w:pPr>
    </w:p>
    <w:p>
      <w:pPr>
        <w:pStyle w:val="BodyText"/>
        <w:spacing w:line="276" w:lineRule="auto" w:before="162"/>
        <w:ind w:left="562" w:right="1695"/>
        <w:jc w:val="both"/>
      </w:pPr>
      <w:r>
        <w:rPr/>
        <w:t>Durante junio se aprobó el Decreto 36-2022 “Reformas a los Decretos 16-2021 Ley del Presupuesto General de Ingresos y Egresos del Estado para el 2022 y Decreto 21-2022 Ley para Fortalecer el Mantenimiento y Construcción de Infraestructura Estratégica”, con el objeto de fortalecer la conformación del Fondo Emergente, para lo cual el Ministerio de Salud Pública y Asistencia Social tuvo que poner a disposición hasta Q600 millones que correspondían a la adquisición de vacunas contra el virus COVID-19. Por lo cual, el presupuesto para la vacuna contra el COVID-19 experimentó una disminución.</w:t>
      </w:r>
    </w:p>
    <w:p>
      <w:pPr>
        <w:pStyle w:val="BodyText"/>
        <w:spacing w:before="4"/>
        <w:rPr>
          <w:sz w:val="25"/>
        </w:rPr>
      </w:pPr>
    </w:p>
    <w:p>
      <w:pPr>
        <w:pStyle w:val="BodyText"/>
        <w:spacing w:line="276" w:lineRule="auto"/>
        <w:ind w:left="562" w:right="1703"/>
        <w:jc w:val="both"/>
      </w:pPr>
      <w:r>
        <w:rPr/>
        <w:t>Por su parte, el Ministerio de Desarrollo Social cuenta con un presupuesto de Q3.9 millones por intervenciones diversas por COVID-19, de las cuales se reporta una ejecución de Q1.2 millones.</w:t>
      </w:r>
    </w:p>
    <w:p>
      <w:pPr>
        <w:pStyle w:val="BodyText"/>
        <w:spacing w:before="7"/>
        <w:rPr>
          <w:sz w:val="25"/>
        </w:rPr>
      </w:pPr>
    </w:p>
    <w:p>
      <w:pPr>
        <w:pStyle w:val="Heading3"/>
        <w:spacing w:line="276" w:lineRule="auto"/>
        <w:ind w:left="639" w:right="1777"/>
        <w:jc w:val="center"/>
      </w:pPr>
      <w:bookmarkStart w:name="_bookmark163" w:id="206"/>
      <w:bookmarkEnd w:id="206"/>
      <w:r>
        <w:rPr>
          <w:b w:val="0"/>
        </w:rPr>
      </w:r>
      <w:r>
        <w:rPr>
          <w:i/>
          <w:sz w:val="20"/>
        </w:rPr>
        <w:t>Gráfico 84. </w:t>
      </w:r>
      <w:r>
        <w:rPr/>
        <w:t>Ejecución de actividades relacionadas a la atención de la emergencia</w:t>
      </w:r>
      <w:r>
        <w:rPr>
          <w:spacing w:val="-20"/>
        </w:rPr>
        <w:t> </w:t>
      </w:r>
      <w:r>
        <w:rPr/>
        <w:t>COVID-19 por mes y</w:t>
      </w:r>
      <w:r>
        <w:rPr>
          <w:spacing w:val="-1"/>
        </w:rPr>
        <w:t> </w:t>
      </w:r>
      <w:r>
        <w:rPr/>
        <w:t>entidad</w:t>
      </w:r>
    </w:p>
    <w:p>
      <w:pPr>
        <w:spacing w:line="229" w:lineRule="exact" w:before="0"/>
        <w:ind w:left="1395" w:right="2532" w:firstLine="0"/>
        <w:jc w:val="center"/>
        <w:rPr>
          <w:sz w:val="20"/>
        </w:rPr>
      </w:pPr>
      <w:r>
        <w:rPr>
          <w:sz w:val="20"/>
        </w:rPr>
        <w:t>Al 30 de junio</w:t>
      </w:r>
      <w:r>
        <w:rPr>
          <w:spacing w:val="-3"/>
          <w:sz w:val="20"/>
        </w:rPr>
        <w:t> </w:t>
      </w:r>
      <w:r>
        <w:rPr>
          <w:sz w:val="20"/>
        </w:rPr>
        <w:t>2022</w:t>
      </w:r>
    </w:p>
    <w:p>
      <w:pPr>
        <w:tabs>
          <w:tab w:pos="2638" w:val="left" w:leader="none"/>
        </w:tabs>
        <w:spacing w:line="439" w:lineRule="auto" w:before="34"/>
        <w:ind w:left="1275" w:right="4249" w:firstLine="1833"/>
        <w:jc w:val="left"/>
        <w:rPr>
          <w:sz w:val="20"/>
        </w:rPr>
      </w:pPr>
      <w:r>
        <w:rPr/>
        <w:pict>
          <v:group style="position:absolute;margin-left:112.800003pt;margin-top:25.745934pt;width:6.6pt;height:6.5pt;mso-position-horizontal-relative:page;mso-position-vertical-relative:paragraph;z-index:252850176" coordorigin="2256,515" coordsize="132,130">
            <v:shape style="position:absolute;left:2271;top:530;width:101;height:99" type="#_x0000_t75" stroked="false">
              <v:imagedata r:id="rId229" o:title=""/>
            </v:shape>
            <v:rect style="position:absolute;left:2271;top:530;width:101;height:99" filled="false" stroked="true" strokeweight="1.56pt" strokecolor="#000000">
              <v:stroke dashstyle="solid"/>
            </v:rect>
            <w10:wrap type="none"/>
          </v:group>
        </w:pict>
      </w:r>
      <w:r>
        <w:rPr/>
        <w:pict>
          <v:group style="position:absolute;margin-left:181.080002pt;margin-top:25.745934pt;width:6.5pt;height:6.5pt;mso-position-horizontal-relative:page;mso-position-vertical-relative:paragraph;z-index:-280468480" coordorigin="3622,515" coordsize="130,130">
            <v:shape style="position:absolute;left:3637;top:530;width:99;height:99" type="#_x0000_t75" stroked="false">
              <v:imagedata r:id="rId230" o:title=""/>
            </v:shape>
            <v:rect style="position:absolute;left:3637;top:530;width:99;height:99" filled="false" stroked="true" strokeweight="1.56pt" strokecolor="#000000">
              <v:stroke dashstyle="solid"/>
            </v:rect>
            <w10:wrap type="none"/>
          </v:group>
        </w:pict>
      </w:r>
      <w:r>
        <w:rPr/>
        <w:pict>
          <v:shape style="position:absolute;margin-left:268.609985pt;margin-top:38.635933pt;width:269.95pt;height:152.3pt;mso-position-horizontal-relative:page;mso-position-vertical-relative:paragraph;z-index:252852224"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3"/>
                    <w:gridCol w:w="1287"/>
                    <w:gridCol w:w="1018"/>
                    <w:gridCol w:w="995"/>
                  </w:tblGrid>
                  <w:tr>
                    <w:trPr>
                      <w:trHeight w:val="489" w:hRule="atLeast"/>
                    </w:trPr>
                    <w:tc>
                      <w:tcPr>
                        <w:tcW w:w="2083" w:type="dxa"/>
                        <w:tcBorders>
                          <w:top w:val="nil"/>
                          <w:left w:val="nil"/>
                          <w:bottom w:val="nil"/>
                          <w:right w:val="nil"/>
                        </w:tcBorders>
                        <w:shd w:val="clear" w:color="auto" w:fill="000000"/>
                      </w:tcPr>
                      <w:p>
                        <w:pPr>
                          <w:pStyle w:val="TableParagraph"/>
                          <w:spacing w:before="127"/>
                          <w:ind w:left="614"/>
                          <w:rPr>
                            <w:b/>
                            <w:sz w:val="18"/>
                          </w:rPr>
                        </w:pPr>
                        <w:r>
                          <w:rPr>
                            <w:b/>
                            <w:color w:val="FFFFFF"/>
                            <w:sz w:val="18"/>
                          </w:rPr>
                          <w:t>Actividades</w:t>
                        </w:r>
                      </w:p>
                    </w:tc>
                    <w:tc>
                      <w:tcPr>
                        <w:tcW w:w="1287" w:type="dxa"/>
                        <w:tcBorders>
                          <w:top w:val="nil"/>
                          <w:left w:val="nil"/>
                          <w:bottom w:val="nil"/>
                          <w:right w:val="nil"/>
                        </w:tcBorders>
                        <w:shd w:val="clear" w:color="auto" w:fill="000000"/>
                      </w:tcPr>
                      <w:p>
                        <w:pPr>
                          <w:pStyle w:val="TableParagraph"/>
                          <w:spacing w:before="9"/>
                          <w:ind w:left="191" w:right="116"/>
                          <w:jc w:val="center"/>
                          <w:rPr>
                            <w:b/>
                            <w:sz w:val="18"/>
                          </w:rPr>
                        </w:pPr>
                        <w:r>
                          <w:rPr>
                            <w:b/>
                            <w:color w:val="FFFFFF"/>
                            <w:sz w:val="18"/>
                          </w:rPr>
                          <w:t>Presupuesto</w:t>
                        </w:r>
                      </w:p>
                      <w:p>
                        <w:pPr>
                          <w:pStyle w:val="TableParagraph"/>
                          <w:spacing w:before="31"/>
                          <w:ind w:left="186" w:right="116"/>
                          <w:jc w:val="center"/>
                          <w:rPr>
                            <w:b/>
                            <w:sz w:val="18"/>
                          </w:rPr>
                        </w:pPr>
                        <w:r>
                          <w:rPr>
                            <w:b/>
                            <w:color w:val="FFFFFF"/>
                            <w:sz w:val="18"/>
                          </w:rPr>
                          <w:t>Vigente</w:t>
                        </w:r>
                      </w:p>
                    </w:tc>
                    <w:tc>
                      <w:tcPr>
                        <w:tcW w:w="1018" w:type="dxa"/>
                        <w:tcBorders>
                          <w:top w:val="nil"/>
                          <w:left w:val="nil"/>
                          <w:bottom w:val="nil"/>
                          <w:right w:val="nil"/>
                        </w:tcBorders>
                        <w:shd w:val="clear" w:color="auto" w:fill="000000"/>
                      </w:tcPr>
                      <w:p>
                        <w:pPr>
                          <w:pStyle w:val="TableParagraph"/>
                          <w:spacing w:before="127"/>
                          <w:ind w:left="126" w:right="92"/>
                          <w:jc w:val="center"/>
                          <w:rPr>
                            <w:b/>
                            <w:sz w:val="18"/>
                          </w:rPr>
                        </w:pPr>
                        <w:r>
                          <w:rPr>
                            <w:b/>
                            <w:color w:val="FFFFFF"/>
                            <w:sz w:val="18"/>
                          </w:rPr>
                          <w:t>Ejecución</w:t>
                        </w:r>
                      </w:p>
                    </w:tc>
                    <w:tc>
                      <w:tcPr>
                        <w:tcW w:w="995" w:type="dxa"/>
                        <w:tcBorders>
                          <w:top w:val="nil"/>
                          <w:left w:val="nil"/>
                          <w:bottom w:val="nil"/>
                          <w:right w:val="nil"/>
                        </w:tcBorders>
                        <w:shd w:val="clear" w:color="auto" w:fill="000000"/>
                      </w:tcPr>
                      <w:p>
                        <w:pPr>
                          <w:pStyle w:val="TableParagraph"/>
                          <w:spacing w:before="9"/>
                          <w:ind w:left="100" w:right="92"/>
                          <w:jc w:val="center"/>
                          <w:rPr>
                            <w:b/>
                            <w:sz w:val="18"/>
                          </w:rPr>
                        </w:pPr>
                        <w:r>
                          <w:rPr>
                            <w:b/>
                            <w:color w:val="FFFFFF"/>
                            <w:sz w:val="18"/>
                          </w:rPr>
                          <w:t>% de</w:t>
                        </w:r>
                      </w:p>
                      <w:p>
                        <w:pPr>
                          <w:pStyle w:val="TableParagraph"/>
                          <w:spacing w:before="31"/>
                          <w:ind w:left="102" w:right="92"/>
                          <w:jc w:val="center"/>
                          <w:rPr>
                            <w:b/>
                            <w:sz w:val="18"/>
                          </w:rPr>
                        </w:pPr>
                        <w:r>
                          <w:rPr>
                            <w:b/>
                            <w:color w:val="FFFFFF"/>
                            <w:sz w:val="18"/>
                          </w:rPr>
                          <w:t>Ejecución</w:t>
                        </w:r>
                      </w:p>
                    </w:tc>
                  </w:tr>
                  <w:tr>
                    <w:trPr>
                      <w:trHeight w:val="232" w:hRule="atLeast"/>
                    </w:trPr>
                    <w:tc>
                      <w:tcPr>
                        <w:tcW w:w="2083" w:type="dxa"/>
                        <w:tcBorders>
                          <w:left w:val="single" w:sz="4" w:space="0" w:color="666666"/>
                          <w:bottom w:val="single" w:sz="4" w:space="0" w:color="666666"/>
                          <w:right w:val="nil"/>
                        </w:tcBorders>
                      </w:tcPr>
                      <w:p>
                        <w:pPr>
                          <w:pStyle w:val="TableParagraph"/>
                          <w:spacing w:line="197" w:lineRule="exact"/>
                          <w:ind w:left="850" w:right="807"/>
                          <w:jc w:val="center"/>
                          <w:rPr>
                            <w:sz w:val="18"/>
                          </w:rPr>
                        </w:pPr>
                        <w:r>
                          <w:rPr>
                            <w:color w:val="0D0D0D"/>
                            <w:sz w:val="18"/>
                          </w:rPr>
                          <w:t>Total</w:t>
                        </w:r>
                      </w:p>
                    </w:tc>
                    <w:tc>
                      <w:tcPr>
                        <w:tcW w:w="1287" w:type="dxa"/>
                        <w:tcBorders>
                          <w:left w:val="nil"/>
                          <w:bottom w:val="single" w:sz="4" w:space="0" w:color="666666"/>
                          <w:right w:val="nil"/>
                        </w:tcBorders>
                      </w:tcPr>
                      <w:p>
                        <w:pPr>
                          <w:pStyle w:val="TableParagraph"/>
                          <w:spacing w:line="202" w:lineRule="exact"/>
                          <w:ind w:left="191" w:right="116"/>
                          <w:jc w:val="center"/>
                          <w:rPr>
                            <w:b/>
                            <w:sz w:val="18"/>
                          </w:rPr>
                        </w:pPr>
                        <w:r>
                          <w:rPr>
                            <w:b/>
                            <w:color w:val="0D0D0D"/>
                            <w:sz w:val="18"/>
                          </w:rPr>
                          <w:t>2,579.8</w:t>
                        </w:r>
                      </w:p>
                    </w:tc>
                    <w:tc>
                      <w:tcPr>
                        <w:tcW w:w="1018" w:type="dxa"/>
                        <w:tcBorders>
                          <w:left w:val="nil"/>
                          <w:bottom w:val="single" w:sz="4" w:space="0" w:color="666666"/>
                          <w:right w:val="nil"/>
                        </w:tcBorders>
                      </w:tcPr>
                      <w:p>
                        <w:pPr>
                          <w:pStyle w:val="TableParagraph"/>
                          <w:spacing w:line="202" w:lineRule="exact"/>
                          <w:ind w:left="126" w:right="89"/>
                          <w:jc w:val="center"/>
                          <w:rPr>
                            <w:b/>
                            <w:sz w:val="18"/>
                          </w:rPr>
                        </w:pPr>
                        <w:r>
                          <w:rPr>
                            <w:b/>
                            <w:color w:val="0D0D0D"/>
                            <w:sz w:val="18"/>
                          </w:rPr>
                          <w:t>693.6</w:t>
                        </w:r>
                      </w:p>
                    </w:tc>
                    <w:tc>
                      <w:tcPr>
                        <w:tcW w:w="995" w:type="dxa"/>
                        <w:tcBorders>
                          <w:left w:val="nil"/>
                          <w:bottom w:val="single" w:sz="4" w:space="0" w:color="666666"/>
                          <w:right w:val="single" w:sz="4" w:space="0" w:color="666666"/>
                        </w:tcBorders>
                      </w:tcPr>
                      <w:p>
                        <w:pPr>
                          <w:pStyle w:val="TableParagraph"/>
                          <w:spacing w:line="202" w:lineRule="exact"/>
                          <w:ind w:left="345"/>
                          <w:rPr>
                            <w:b/>
                            <w:sz w:val="18"/>
                          </w:rPr>
                        </w:pPr>
                        <w:r>
                          <w:rPr>
                            <w:b/>
                            <w:color w:val="0D0D0D"/>
                            <w:sz w:val="18"/>
                          </w:rPr>
                          <w:t>26.9</w:t>
                        </w:r>
                      </w:p>
                    </w:tc>
                  </w:tr>
                  <w:tr>
                    <w:trPr>
                      <w:trHeight w:val="714" w:hRule="atLeast"/>
                    </w:trPr>
                    <w:tc>
                      <w:tcPr>
                        <w:tcW w:w="2083" w:type="dxa"/>
                        <w:tcBorders>
                          <w:top w:val="single" w:sz="4" w:space="0" w:color="666666"/>
                          <w:left w:val="single" w:sz="4" w:space="0" w:color="666666"/>
                          <w:bottom w:val="single" w:sz="4" w:space="0" w:color="666666"/>
                          <w:right w:val="nil"/>
                        </w:tcBorders>
                        <w:shd w:val="clear" w:color="auto" w:fill="D9D9D9"/>
                      </w:tcPr>
                      <w:p>
                        <w:pPr>
                          <w:pStyle w:val="TableParagraph"/>
                          <w:spacing w:line="276" w:lineRule="auto"/>
                          <w:ind w:left="107" w:right="481"/>
                          <w:rPr>
                            <w:sz w:val="18"/>
                          </w:rPr>
                        </w:pPr>
                        <w:r>
                          <w:rPr>
                            <w:color w:val="0D0D0D"/>
                            <w:sz w:val="18"/>
                          </w:rPr>
                          <w:t>Ministerio de Salud Pública y Asistencia</w:t>
                        </w:r>
                      </w:p>
                      <w:p>
                        <w:pPr>
                          <w:pStyle w:val="TableParagraph"/>
                          <w:spacing w:line="206" w:lineRule="exact"/>
                          <w:ind w:left="107"/>
                          <w:rPr>
                            <w:sz w:val="18"/>
                          </w:rPr>
                        </w:pPr>
                        <w:r>
                          <w:rPr>
                            <w:color w:val="0D0D0D"/>
                            <w:sz w:val="18"/>
                          </w:rPr>
                          <w:t>Social</w:t>
                        </w:r>
                      </w:p>
                    </w:tc>
                    <w:tc>
                      <w:tcPr>
                        <w:tcW w:w="1287" w:type="dxa"/>
                        <w:tcBorders>
                          <w:top w:val="single" w:sz="4" w:space="0" w:color="666666"/>
                          <w:left w:val="nil"/>
                          <w:bottom w:val="single" w:sz="4" w:space="0" w:color="666666"/>
                          <w:right w:val="nil"/>
                        </w:tcBorders>
                        <w:shd w:val="clear" w:color="auto" w:fill="D9D9D9"/>
                      </w:tcPr>
                      <w:p>
                        <w:pPr>
                          <w:pStyle w:val="TableParagraph"/>
                          <w:spacing w:before="4"/>
                          <w:rPr>
                            <w:sz w:val="20"/>
                          </w:rPr>
                        </w:pPr>
                      </w:p>
                      <w:p>
                        <w:pPr>
                          <w:pStyle w:val="TableParagraph"/>
                          <w:spacing w:before="1"/>
                          <w:ind w:left="191" w:right="116"/>
                          <w:jc w:val="center"/>
                          <w:rPr>
                            <w:sz w:val="18"/>
                          </w:rPr>
                        </w:pPr>
                        <w:r>
                          <w:rPr>
                            <w:color w:val="0D0D0D"/>
                            <w:sz w:val="18"/>
                          </w:rPr>
                          <w:t>2,575.9</w:t>
                        </w:r>
                      </w:p>
                    </w:tc>
                    <w:tc>
                      <w:tcPr>
                        <w:tcW w:w="1018" w:type="dxa"/>
                        <w:tcBorders>
                          <w:top w:val="single" w:sz="4" w:space="0" w:color="666666"/>
                          <w:left w:val="nil"/>
                          <w:bottom w:val="single" w:sz="4" w:space="0" w:color="666666"/>
                          <w:right w:val="nil"/>
                        </w:tcBorders>
                        <w:shd w:val="clear" w:color="auto" w:fill="D9D9D9"/>
                      </w:tcPr>
                      <w:p>
                        <w:pPr>
                          <w:pStyle w:val="TableParagraph"/>
                          <w:spacing w:before="4"/>
                          <w:rPr>
                            <w:sz w:val="20"/>
                          </w:rPr>
                        </w:pPr>
                      </w:p>
                      <w:p>
                        <w:pPr>
                          <w:pStyle w:val="TableParagraph"/>
                          <w:spacing w:before="1"/>
                          <w:ind w:left="126" w:right="89"/>
                          <w:jc w:val="center"/>
                          <w:rPr>
                            <w:sz w:val="18"/>
                          </w:rPr>
                        </w:pPr>
                        <w:r>
                          <w:rPr>
                            <w:color w:val="0D0D0D"/>
                            <w:sz w:val="18"/>
                          </w:rPr>
                          <w:t>692.4</w:t>
                        </w:r>
                      </w:p>
                    </w:tc>
                    <w:tc>
                      <w:tcPr>
                        <w:tcW w:w="995" w:type="dxa"/>
                        <w:tcBorders>
                          <w:top w:val="single" w:sz="4" w:space="0" w:color="666666"/>
                          <w:left w:val="nil"/>
                          <w:bottom w:val="single" w:sz="4" w:space="0" w:color="666666"/>
                          <w:right w:val="single" w:sz="4" w:space="0" w:color="666666"/>
                        </w:tcBorders>
                        <w:shd w:val="clear" w:color="auto" w:fill="D9D9D9"/>
                      </w:tcPr>
                      <w:p>
                        <w:pPr>
                          <w:pStyle w:val="TableParagraph"/>
                          <w:spacing w:before="4"/>
                          <w:rPr>
                            <w:sz w:val="20"/>
                          </w:rPr>
                        </w:pPr>
                      </w:p>
                      <w:p>
                        <w:pPr>
                          <w:pStyle w:val="TableParagraph"/>
                          <w:spacing w:before="1"/>
                          <w:ind w:left="345"/>
                          <w:rPr>
                            <w:sz w:val="18"/>
                          </w:rPr>
                        </w:pPr>
                        <w:r>
                          <w:rPr>
                            <w:color w:val="0D0D0D"/>
                            <w:sz w:val="18"/>
                          </w:rPr>
                          <w:t>26.9</w:t>
                        </w:r>
                      </w:p>
                    </w:tc>
                  </w:tr>
                  <w:tr>
                    <w:trPr>
                      <w:trHeight w:val="371" w:hRule="atLeast"/>
                    </w:trPr>
                    <w:tc>
                      <w:tcPr>
                        <w:tcW w:w="2083" w:type="dxa"/>
                        <w:tcBorders>
                          <w:top w:val="single" w:sz="4" w:space="0" w:color="666666"/>
                          <w:left w:val="single" w:sz="4" w:space="0" w:color="666666"/>
                          <w:bottom w:val="single" w:sz="4" w:space="0" w:color="666666"/>
                          <w:right w:val="nil"/>
                        </w:tcBorders>
                      </w:tcPr>
                      <w:p>
                        <w:pPr>
                          <w:pStyle w:val="TableParagraph"/>
                          <w:spacing w:line="157" w:lineRule="exact"/>
                          <w:ind w:left="107"/>
                          <w:rPr>
                            <w:sz w:val="14"/>
                          </w:rPr>
                        </w:pPr>
                        <w:r>
                          <w:rPr>
                            <w:color w:val="0D0D0D"/>
                            <w:sz w:val="14"/>
                          </w:rPr>
                          <w:t>Gestión para la compra de la</w:t>
                        </w:r>
                      </w:p>
                      <w:p>
                        <w:pPr>
                          <w:pStyle w:val="TableParagraph"/>
                          <w:spacing w:before="24"/>
                          <w:ind w:left="107"/>
                          <w:rPr>
                            <w:sz w:val="14"/>
                          </w:rPr>
                        </w:pPr>
                        <w:r>
                          <w:rPr>
                            <w:color w:val="0D0D0D"/>
                            <w:sz w:val="14"/>
                          </w:rPr>
                          <w:t>Vacuna COVID-19</w:t>
                        </w:r>
                      </w:p>
                    </w:tc>
                    <w:tc>
                      <w:tcPr>
                        <w:tcW w:w="1287" w:type="dxa"/>
                        <w:tcBorders>
                          <w:top w:val="single" w:sz="4" w:space="0" w:color="666666"/>
                          <w:left w:val="nil"/>
                          <w:bottom w:val="single" w:sz="4" w:space="0" w:color="666666"/>
                          <w:right w:val="nil"/>
                        </w:tcBorders>
                      </w:tcPr>
                      <w:p>
                        <w:pPr>
                          <w:pStyle w:val="TableParagraph"/>
                          <w:spacing w:before="90"/>
                          <w:ind w:left="191" w:right="116"/>
                          <w:jc w:val="center"/>
                          <w:rPr>
                            <w:sz w:val="14"/>
                          </w:rPr>
                        </w:pPr>
                        <w:r>
                          <w:rPr>
                            <w:color w:val="0D0D0D"/>
                            <w:sz w:val="14"/>
                          </w:rPr>
                          <w:t>1,038.9</w:t>
                        </w:r>
                      </w:p>
                    </w:tc>
                    <w:tc>
                      <w:tcPr>
                        <w:tcW w:w="1018" w:type="dxa"/>
                        <w:tcBorders>
                          <w:top w:val="single" w:sz="4" w:space="0" w:color="666666"/>
                          <w:left w:val="nil"/>
                          <w:bottom w:val="single" w:sz="4" w:space="0" w:color="666666"/>
                          <w:right w:val="nil"/>
                        </w:tcBorders>
                      </w:tcPr>
                      <w:p>
                        <w:pPr>
                          <w:pStyle w:val="TableParagraph"/>
                          <w:spacing w:before="90"/>
                          <w:ind w:left="126" w:right="90"/>
                          <w:jc w:val="center"/>
                          <w:rPr>
                            <w:sz w:val="14"/>
                          </w:rPr>
                        </w:pPr>
                        <w:r>
                          <w:rPr>
                            <w:color w:val="0D0D0D"/>
                            <w:sz w:val="14"/>
                          </w:rPr>
                          <w:t>134.4</w:t>
                        </w:r>
                      </w:p>
                    </w:tc>
                    <w:tc>
                      <w:tcPr>
                        <w:tcW w:w="995" w:type="dxa"/>
                        <w:tcBorders>
                          <w:top w:val="single" w:sz="4" w:space="0" w:color="666666"/>
                          <w:left w:val="nil"/>
                          <w:bottom w:val="single" w:sz="4" w:space="0" w:color="666666"/>
                          <w:right w:val="single" w:sz="4" w:space="0" w:color="666666"/>
                        </w:tcBorders>
                      </w:tcPr>
                      <w:p>
                        <w:pPr>
                          <w:pStyle w:val="TableParagraph"/>
                          <w:spacing w:before="90"/>
                          <w:ind w:left="379"/>
                          <w:rPr>
                            <w:sz w:val="14"/>
                          </w:rPr>
                        </w:pPr>
                        <w:r>
                          <w:rPr>
                            <w:color w:val="0D0D0D"/>
                            <w:sz w:val="14"/>
                          </w:rPr>
                          <w:t>12.9</w:t>
                        </w:r>
                      </w:p>
                    </w:tc>
                  </w:tr>
                  <w:tr>
                    <w:trPr>
                      <w:trHeight w:val="369" w:hRule="atLeast"/>
                    </w:trPr>
                    <w:tc>
                      <w:tcPr>
                        <w:tcW w:w="2083" w:type="dxa"/>
                        <w:tcBorders>
                          <w:top w:val="single" w:sz="4" w:space="0" w:color="666666"/>
                          <w:left w:val="single" w:sz="4" w:space="0" w:color="666666"/>
                          <w:bottom w:val="single" w:sz="4" w:space="0" w:color="666666"/>
                          <w:right w:val="nil"/>
                        </w:tcBorders>
                      </w:tcPr>
                      <w:p>
                        <w:pPr>
                          <w:pStyle w:val="TableParagraph"/>
                          <w:spacing w:line="157" w:lineRule="exact"/>
                          <w:ind w:left="107"/>
                          <w:rPr>
                            <w:sz w:val="14"/>
                          </w:rPr>
                        </w:pPr>
                        <w:r>
                          <w:rPr>
                            <w:color w:val="0D0D0D"/>
                            <w:sz w:val="14"/>
                          </w:rPr>
                          <w:t>Prevención y tratamiento de</w:t>
                        </w:r>
                      </w:p>
                      <w:p>
                        <w:pPr>
                          <w:pStyle w:val="TableParagraph"/>
                          <w:spacing w:before="24"/>
                          <w:ind w:left="107"/>
                          <w:rPr>
                            <w:sz w:val="14"/>
                          </w:rPr>
                        </w:pPr>
                        <w:r>
                          <w:rPr>
                            <w:color w:val="0D0D0D"/>
                            <w:sz w:val="14"/>
                          </w:rPr>
                          <w:t>COVID-19</w:t>
                        </w:r>
                      </w:p>
                    </w:tc>
                    <w:tc>
                      <w:tcPr>
                        <w:tcW w:w="1287" w:type="dxa"/>
                        <w:tcBorders>
                          <w:top w:val="single" w:sz="4" w:space="0" w:color="666666"/>
                          <w:left w:val="nil"/>
                          <w:bottom w:val="single" w:sz="4" w:space="0" w:color="666666"/>
                          <w:right w:val="nil"/>
                        </w:tcBorders>
                      </w:tcPr>
                      <w:p>
                        <w:pPr>
                          <w:pStyle w:val="TableParagraph"/>
                          <w:spacing w:before="87"/>
                          <w:ind w:left="191" w:right="116"/>
                          <w:jc w:val="center"/>
                          <w:rPr>
                            <w:sz w:val="14"/>
                          </w:rPr>
                        </w:pPr>
                        <w:r>
                          <w:rPr>
                            <w:color w:val="0D0D0D"/>
                            <w:sz w:val="14"/>
                          </w:rPr>
                          <w:t>1,537.0</w:t>
                        </w:r>
                      </w:p>
                    </w:tc>
                    <w:tc>
                      <w:tcPr>
                        <w:tcW w:w="1018" w:type="dxa"/>
                        <w:tcBorders>
                          <w:top w:val="single" w:sz="4" w:space="0" w:color="666666"/>
                          <w:left w:val="nil"/>
                          <w:bottom w:val="single" w:sz="4" w:space="0" w:color="666666"/>
                          <w:right w:val="nil"/>
                        </w:tcBorders>
                      </w:tcPr>
                      <w:p>
                        <w:pPr>
                          <w:pStyle w:val="TableParagraph"/>
                          <w:spacing w:before="87"/>
                          <w:ind w:left="126" w:right="89"/>
                          <w:jc w:val="center"/>
                          <w:rPr>
                            <w:sz w:val="14"/>
                          </w:rPr>
                        </w:pPr>
                        <w:r>
                          <w:rPr>
                            <w:color w:val="0D0D0D"/>
                            <w:sz w:val="14"/>
                          </w:rPr>
                          <w:t>558.0</w:t>
                        </w:r>
                      </w:p>
                    </w:tc>
                    <w:tc>
                      <w:tcPr>
                        <w:tcW w:w="995" w:type="dxa"/>
                        <w:tcBorders>
                          <w:top w:val="single" w:sz="4" w:space="0" w:color="666666"/>
                          <w:left w:val="nil"/>
                          <w:bottom w:val="single" w:sz="4" w:space="0" w:color="666666"/>
                          <w:right w:val="single" w:sz="4" w:space="0" w:color="666666"/>
                        </w:tcBorders>
                      </w:tcPr>
                      <w:p>
                        <w:pPr>
                          <w:pStyle w:val="TableParagraph"/>
                          <w:spacing w:before="87"/>
                          <w:ind w:left="379"/>
                          <w:rPr>
                            <w:sz w:val="14"/>
                          </w:rPr>
                        </w:pPr>
                        <w:r>
                          <w:rPr>
                            <w:color w:val="0D0D0D"/>
                            <w:sz w:val="14"/>
                          </w:rPr>
                          <w:t>36.3</w:t>
                        </w:r>
                      </w:p>
                    </w:tc>
                  </w:tr>
                  <w:tr>
                    <w:trPr>
                      <w:trHeight w:val="477" w:hRule="atLeast"/>
                    </w:trPr>
                    <w:tc>
                      <w:tcPr>
                        <w:tcW w:w="2083" w:type="dxa"/>
                        <w:tcBorders>
                          <w:top w:val="single" w:sz="4" w:space="0" w:color="666666"/>
                          <w:left w:val="single" w:sz="4" w:space="0" w:color="666666"/>
                          <w:bottom w:val="single" w:sz="4" w:space="0" w:color="666666"/>
                          <w:right w:val="nil"/>
                        </w:tcBorders>
                        <w:shd w:val="clear" w:color="auto" w:fill="CCCCCC"/>
                      </w:tcPr>
                      <w:p>
                        <w:pPr>
                          <w:pStyle w:val="TableParagraph"/>
                          <w:spacing w:line="202" w:lineRule="exact"/>
                          <w:ind w:left="107"/>
                          <w:rPr>
                            <w:sz w:val="18"/>
                          </w:rPr>
                        </w:pPr>
                        <w:r>
                          <w:rPr>
                            <w:color w:val="0D0D0D"/>
                            <w:sz w:val="18"/>
                          </w:rPr>
                          <w:t>Ministerio de Desarrollo</w:t>
                        </w:r>
                      </w:p>
                      <w:p>
                        <w:pPr>
                          <w:pStyle w:val="TableParagraph"/>
                          <w:spacing w:before="31"/>
                          <w:ind w:left="107"/>
                          <w:rPr>
                            <w:sz w:val="18"/>
                          </w:rPr>
                        </w:pPr>
                        <w:r>
                          <w:rPr>
                            <w:color w:val="0D0D0D"/>
                            <w:sz w:val="18"/>
                          </w:rPr>
                          <w:t>Social</w:t>
                        </w:r>
                      </w:p>
                    </w:tc>
                    <w:tc>
                      <w:tcPr>
                        <w:tcW w:w="1287" w:type="dxa"/>
                        <w:tcBorders>
                          <w:top w:val="single" w:sz="4" w:space="0" w:color="666666"/>
                          <w:left w:val="nil"/>
                          <w:bottom w:val="single" w:sz="4" w:space="0" w:color="666666"/>
                          <w:right w:val="nil"/>
                        </w:tcBorders>
                        <w:shd w:val="clear" w:color="auto" w:fill="CCCCCC"/>
                      </w:tcPr>
                      <w:p>
                        <w:pPr>
                          <w:pStyle w:val="TableParagraph"/>
                          <w:spacing w:before="120"/>
                          <w:ind w:left="189" w:right="116"/>
                          <w:jc w:val="center"/>
                          <w:rPr>
                            <w:b/>
                            <w:sz w:val="18"/>
                          </w:rPr>
                        </w:pPr>
                        <w:r>
                          <w:rPr>
                            <w:b/>
                            <w:color w:val="0D0D0D"/>
                            <w:sz w:val="18"/>
                          </w:rPr>
                          <w:t>3.9</w:t>
                        </w:r>
                      </w:p>
                    </w:tc>
                    <w:tc>
                      <w:tcPr>
                        <w:tcW w:w="1018" w:type="dxa"/>
                        <w:tcBorders>
                          <w:top w:val="single" w:sz="4" w:space="0" w:color="666666"/>
                          <w:left w:val="nil"/>
                          <w:bottom w:val="single" w:sz="4" w:space="0" w:color="666666"/>
                          <w:right w:val="nil"/>
                        </w:tcBorders>
                        <w:shd w:val="clear" w:color="auto" w:fill="CCCCCC"/>
                      </w:tcPr>
                      <w:p>
                        <w:pPr>
                          <w:pStyle w:val="TableParagraph"/>
                          <w:spacing w:before="120"/>
                          <w:ind w:left="126" w:right="87"/>
                          <w:jc w:val="center"/>
                          <w:rPr>
                            <w:b/>
                            <w:sz w:val="18"/>
                          </w:rPr>
                        </w:pPr>
                        <w:r>
                          <w:rPr>
                            <w:b/>
                            <w:color w:val="0D0D0D"/>
                            <w:sz w:val="18"/>
                          </w:rPr>
                          <w:t>1.2</w:t>
                        </w:r>
                      </w:p>
                    </w:tc>
                    <w:tc>
                      <w:tcPr>
                        <w:tcW w:w="995" w:type="dxa"/>
                        <w:tcBorders>
                          <w:top w:val="single" w:sz="4" w:space="0" w:color="666666"/>
                          <w:left w:val="nil"/>
                          <w:bottom w:val="single" w:sz="4" w:space="0" w:color="666666"/>
                          <w:right w:val="single" w:sz="4" w:space="0" w:color="666666"/>
                        </w:tcBorders>
                        <w:shd w:val="clear" w:color="auto" w:fill="CCCCCC"/>
                      </w:tcPr>
                      <w:p>
                        <w:pPr>
                          <w:pStyle w:val="TableParagraph"/>
                          <w:spacing w:before="120"/>
                          <w:ind w:left="345"/>
                          <w:rPr>
                            <w:b/>
                            <w:sz w:val="18"/>
                          </w:rPr>
                        </w:pPr>
                        <w:r>
                          <w:rPr>
                            <w:b/>
                            <w:color w:val="0D0D0D"/>
                            <w:sz w:val="18"/>
                          </w:rPr>
                          <w:t>30.1</w:t>
                        </w:r>
                      </w:p>
                    </w:tc>
                  </w:tr>
                  <w:tr>
                    <w:trPr>
                      <w:trHeight w:val="321" w:hRule="atLeast"/>
                    </w:trPr>
                    <w:tc>
                      <w:tcPr>
                        <w:tcW w:w="2083" w:type="dxa"/>
                        <w:tcBorders>
                          <w:top w:val="single" w:sz="4" w:space="0" w:color="666666"/>
                          <w:left w:val="single" w:sz="4" w:space="0" w:color="666666"/>
                          <w:bottom w:val="single" w:sz="4" w:space="0" w:color="666666"/>
                          <w:right w:val="nil"/>
                        </w:tcBorders>
                      </w:tcPr>
                      <w:p>
                        <w:pPr>
                          <w:pStyle w:val="TableParagraph"/>
                          <w:spacing w:before="63"/>
                          <w:ind w:left="107"/>
                          <w:rPr>
                            <w:sz w:val="14"/>
                          </w:rPr>
                        </w:pPr>
                        <w:r>
                          <w:rPr>
                            <w:color w:val="0D0D0D"/>
                            <w:sz w:val="14"/>
                          </w:rPr>
                          <w:t>Intervenciones varias</w:t>
                        </w:r>
                      </w:p>
                    </w:tc>
                    <w:tc>
                      <w:tcPr>
                        <w:tcW w:w="1287" w:type="dxa"/>
                        <w:tcBorders>
                          <w:top w:val="single" w:sz="4" w:space="0" w:color="666666"/>
                          <w:left w:val="nil"/>
                          <w:bottom w:val="single" w:sz="4" w:space="0" w:color="666666"/>
                          <w:right w:val="nil"/>
                        </w:tcBorders>
                      </w:tcPr>
                      <w:p>
                        <w:pPr>
                          <w:pStyle w:val="TableParagraph"/>
                          <w:spacing w:before="63"/>
                          <w:ind w:left="190" w:right="116"/>
                          <w:jc w:val="center"/>
                          <w:rPr>
                            <w:sz w:val="14"/>
                          </w:rPr>
                        </w:pPr>
                        <w:r>
                          <w:rPr>
                            <w:color w:val="0D0D0D"/>
                            <w:sz w:val="14"/>
                          </w:rPr>
                          <w:t>3.9</w:t>
                        </w:r>
                      </w:p>
                    </w:tc>
                    <w:tc>
                      <w:tcPr>
                        <w:tcW w:w="1018" w:type="dxa"/>
                        <w:tcBorders>
                          <w:top w:val="single" w:sz="4" w:space="0" w:color="666666"/>
                          <w:left w:val="nil"/>
                          <w:bottom w:val="single" w:sz="4" w:space="0" w:color="666666"/>
                          <w:right w:val="nil"/>
                        </w:tcBorders>
                      </w:tcPr>
                      <w:p>
                        <w:pPr>
                          <w:pStyle w:val="TableParagraph"/>
                          <w:spacing w:before="63"/>
                          <w:ind w:left="126" w:right="91"/>
                          <w:jc w:val="center"/>
                          <w:rPr>
                            <w:sz w:val="14"/>
                          </w:rPr>
                        </w:pPr>
                        <w:r>
                          <w:rPr>
                            <w:color w:val="0D0D0D"/>
                            <w:sz w:val="14"/>
                          </w:rPr>
                          <w:t>1.2</w:t>
                        </w:r>
                      </w:p>
                    </w:tc>
                    <w:tc>
                      <w:tcPr>
                        <w:tcW w:w="995" w:type="dxa"/>
                        <w:tcBorders>
                          <w:top w:val="single" w:sz="4" w:space="0" w:color="666666"/>
                          <w:left w:val="nil"/>
                          <w:bottom w:val="single" w:sz="4" w:space="0" w:color="666666"/>
                          <w:right w:val="single" w:sz="4" w:space="0" w:color="666666"/>
                        </w:tcBorders>
                      </w:tcPr>
                      <w:p>
                        <w:pPr>
                          <w:pStyle w:val="TableParagraph"/>
                          <w:spacing w:before="63"/>
                          <w:ind w:left="379"/>
                          <w:rPr>
                            <w:sz w:val="14"/>
                          </w:rPr>
                        </w:pPr>
                        <w:r>
                          <w:rPr>
                            <w:color w:val="0D0D0D"/>
                            <w:sz w:val="14"/>
                          </w:rPr>
                          <w:t>30.1</w:t>
                        </w:r>
                      </w:p>
                    </w:tc>
                  </w:tr>
                </w:tbl>
                <w:p>
                  <w:pPr>
                    <w:pStyle w:val="BodyText"/>
                  </w:pPr>
                </w:p>
              </w:txbxContent>
            </v:textbox>
            <w10:wrap type="none"/>
          </v:shape>
        </w:pict>
      </w:r>
      <w:r>
        <w:rPr>
          <w:sz w:val="20"/>
        </w:rPr>
        <w:t>(Cifras en millones de quetzales y</w:t>
      </w:r>
      <w:r>
        <w:rPr>
          <w:spacing w:val="-16"/>
          <w:sz w:val="20"/>
        </w:rPr>
        <w:t> </w:t>
      </w:r>
      <w:r>
        <w:rPr>
          <w:sz w:val="20"/>
        </w:rPr>
        <w:t>porcentajes) Presupuesto</w:t>
        <w:tab/>
        <w:t>Ejecución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spacing w:after="0"/>
        <w:rPr>
          <w:sz w:val="23"/>
        </w:rPr>
        <w:sectPr>
          <w:pgSz w:w="12240" w:h="15840"/>
          <w:pgMar w:header="715" w:footer="957" w:top="1240" w:bottom="1140" w:left="1140" w:right="0"/>
        </w:sectPr>
      </w:pPr>
    </w:p>
    <w:p>
      <w:pPr>
        <w:tabs>
          <w:tab w:pos="1873" w:val="left" w:leader="none"/>
        </w:tabs>
        <w:spacing w:before="93"/>
        <w:ind w:left="516" w:right="0" w:firstLine="0"/>
        <w:jc w:val="left"/>
        <w:rPr>
          <w:sz w:val="14"/>
        </w:rPr>
      </w:pPr>
      <w:r>
        <w:rPr/>
        <w:pict>
          <v:group style="position:absolute;margin-left:80.082581pt;margin-top:-123.592003pt;width:182.4pt;height:129.9pt;mso-position-horizontal-relative:page;mso-position-vertical-relative:paragraph;z-index:-280470528" coordorigin="1602,-2472" coordsize="3648,2598">
            <v:shape style="position:absolute;left:1601;top:-2472;width:3648;height:2598" type="#_x0000_t75" stroked="false">
              <v:imagedata r:id="rId231" o:title=""/>
            </v:shape>
            <v:shape style="position:absolute;left:0;top:5336;width:3536;height:1858" coordorigin="0,5337" coordsize="3536,1858" path="m1613,-603l5148,-603m1613,-1222l5148,-1222m1613,-1842l5148,-1842m1613,-2461l5148,-2461e" filled="false" stroked="true" strokeweight=".72pt" strokecolor="#d9d9d9">
              <v:path arrowok="t"/>
              <v:stroke dashstyle="solid"/>
            </v:shape>
            <v:shape style="position:absolute;left:0;top:7194;width:3536;height:2475" coordorigin="0,7194" coordsize="3536,2475" path="m1613,-2461l1613,14m2791,-2461l2791,14m3970,-2461l3970,14m5148,-2461l5148,14e" filled="false" stroked="true" strokeweight=".72pt" strokecolor="#d9d9d9">
              <v:path arrowok="t"/>
              <v:stroke dashstyle="solid"/>
            </v:shape>
            <v:shape style="position:absolute;left:1736;top:-1272;width:466;height:1287" type="#_x0000_t75" stroked="false">
              <v:imagedata r:id="rId232" o:title=""/>
            </v:shape>
            <v:shape style="position:absolute;left:2914;top:-1889;width:466;height:1904" type="#_x0000_t75" stroked="false">
              <v:imagedata r:id="rId233" o:title=""/>
            </v:shape>
            <v:shape style="position:absolute;left:4093;top:9;width:466;height:5" type="#_x0000_t75" stroked="false">
              <v:imagedata r:id="rId234" o:title=""/>
            </v:shape>
            <v:shape style="position:absolute;left:0;top:6577;width:1644;height:1904" coordorigin="0,6578" coordsize="1644,1904" path="m1736,-1272l2202,-1272,2202,15,1736,15,1736,-1272xm2915,-1888l3380,-1888,3380,15,2915,15,2915,-1888xe" filled="false" stroked="true" strokeweight="1.56pt" strokecolor="#000000">
              <v:path arrowok="t"/>
              <v:stroke dashstyle="solid"/>
            </v:shape>
            <v:line style="position:absolute" from="4078,12" to="4574,12" stroked="true" strokeweight="1.8pt" strokecolor="#000000">
              <v:stroke dashstyle="solid"/>
            </v:line>
            <v:shape style="position:absolute;left:3380;top:-677;width:466;height:692" type="#_x0000_t75" stroked="false">
              <v:imagedata r:id="rId235" o:title=""/>
            </v:shape>
            <v:shape style="position:absolute;left:2202;top:-151;width:466;height:166" type="#_x0000_t75" stroked="false">
              <v:imagedata r:id="rId236" o:title=""/>
            </v:shape>
            <v:shape style="position:absolute;left:4558;top:12;width:466;height:3" type="#_x0000_t75" stroked="false">
              <v:imagedata r:id="rId237" o:title=""/>
            </v:shape>
            <v:shape style="position:absolute;left:0;top:6668;width:1644;height:692" coordorigin="0,6669" coordsize="1644,692" path="m2202,-151l2668,-151,2668,15,2202,15,2202,-151xm3380,-676l3846,-676,3846,15,3380,15,3380,-676xe" filled="false" stroked="true" strokeweight="1.56pt" strokecolor="#000000">
              <v:path arrowok="t"/>
              <v:stroke dashstyle="solid"/>
            </v:shape>
            <v:line style="position:absolute" from="4543,14" to="5040,14" stroked="true" strokeweight="1.68pt" strokecolor="#000000">
              <v:stroke dashstyle="solid"/>
            </v:line>
            <v:line style="position:absolute" from="1613,14" to="5148,14" stroked="true" strokeweight=".72pt" strokecolor="#d9d9d9">
              <v:stroke dashstyle="solid"/>
            </v:line>
            <v:shape style="position:absolute;left:3976;top:-597;width:1164;height:592" type="#_x0000_t202" filled="false" stroked="false">
              <v:textbox inset="0,0,0,0">
                <w:txbxContent>
                  <w:p>
                    <w:pPr>
                      <w:spacing w:line="240" w:lineRule="auto" w:before="3"/>
                      <w:rPr>
                        <w:sz w:val="25"/>
                      </w:rPr>
                    </w:pPr>
                  </w:p>
                  <w:p>
                    <w:pPr>
                      <w:tabs>
                        <w:tab w:pos="689" w:val="left" w:leader="none"/>
                      </w:tabs>
                      <w:spacing w:before="0"/>
                      <w:ind w:left="223" w:right="0" w:firstLine="0"/>
                      <w:jc w:val="left"/>
                      <w:rPr>
                        <w:b/>
                        <w:sz w:val="20"/>
                      </w:rPr>
                    </w:pPr>
                    <w:r>
                      <w:rPr>
                        <w:b/>
                        <w:color w:val="385622"/>
                        <w:sz w:val="20"/>
                      </w:rPr>
                      <w:t>3.9</w:t>
                      <w:tab/>
                    </w:r>
                    <w:r>
                      <w:rPr>
                        <w:b/>
                        <w:color w:val="0D0D0D"/>
                        <w:sz w:val="20"/>
                      </w:rPr>
                      <w:t>1.2</w:t>
                    </w:r>
                  </w:p>
                </w:txbxContent>
              </v:textbox>
              <w10:wrap type="none"/>
            </v:shape>
            <v:shape style="position:absolute;left:2217;top:-597;width:567;height:430" type="#_x0000_t202" filled="false" stroked="false">
              <v:textbox inset="0,0,0,0">
                <w:txbxContent>
                  <w:p>
                    <w:pPr>
                      <w:spacing w:before="125"/>
                      <w:ind w:left="-10" w:right="0" w:firstLine="0"/>
                      <w:jc w:val="left"/>
                      <w:rPr>
                        <w:b/>
                        <w:sz w:val="20"/>
                      </w:rPr>
                    </w:pPr>
                    <w:r>
                      <w:rPr>
                        <w:b/>
                        <w:color w:val="0D0D0D"/>
                        <w:sz w:val="20"/>
                      </w:rPr>
                      <w:t>134.4</w:t>
                    </w:r>
                  </w:p>
                </w:txbxContent>
              </v:textbox>
              <w10:wrap type="none"/>
            </v:shape>
            <v:shape style="position:absolute;left:3396;top:-1216;width:567;height:605" type="#_x0000_t202" filled="false" stroked="false">
              <v:textbox inset="0,0,0,0">
                <w:txbxContent>
                  <w:p>
                    <w:pPr>
                      <w:spacing w:line="240" w:lineRule="auto" w:before="2"/>
                      <w:rPr>
                        <w:sz w:val="19"/>
                      </w:rPr>
                    </w:pPr>
                  </w:p>
                  <w:p>
                    <w:pPr>
                      <w:spacing w:before="0"/>
                      <w:ind w:left="-10" w:right="0" w:firstLine="0"/>
                      <w:jc w:val="left"/>
                      <w:rPr>
                        <w:b/>
                        <w:sz w:val="20"/>
                      </w:rPr>
                    </w:pPr>
                    <w:r>
                      <w:rPr>
                        <w:b/>
                        <w:color w:val="0D0D0D"/>
                        <w:sz w:val="20"/>
                      </w:rPr>
                      <w:t>558.0</w:t>
                    </w:r>
                  </w:p>
                </w:txbxContent>
              </v:textbox>
              <w10:wrap type="none"/>
            </v:shape>
            <v:shape style="position:absolute;left:1620;top:-1835;width:1164;height:605" type="#_x0000_t202" filled="false" stroked="false">
              <v:textbox inset="0,0,0,0">
                <w:txbxContent>
                  <w:p>
                    <w:pPr>
                      <w:spacing w:line="240" w:lineRule="auto" w:before="2"/>
                      <w:rPr>
                        <w:sz w:val="21"/>
                      </w:rPr>
                    </w:pPr>
                  </w:p>
                  <w:p>
                    <w:pPr>
                      <w:spacing w:before="1"/>
                      <w:ind w:left="48" w:right="0" w:firstLine="0"/>
                      <w:jc w:val="left"/>
                      <w:rPr>
                        <w:b/>
                        <w:sz w:val="20"/>
                      </w:rPr>
                    </w:pPr>
                    <w:r>
                      <w:rPr>
                        <w:b/>
                        <w:color w:val="385622"/>
                        <w:sz w:val="20"/>
                      </w:rPr>
                      <w:t>1,038.9</w:t>
                    </w:r>
                  </w:p>
                </w:txbxContent>
              </v:textbox>
              <w10:wrap type="none"/>
            </v:shape>
            <v:shape style="position:absolute;left:2798;top:-2454;width:1164;height:605" type="#_x0000_t202" filled="false" stroked="false">
              <v:textbox inset="0,0,0,0">
                <w:txbxContent>
                  <w:p>
                    <w:pPr>
                      <w:spacing w:line="240" w:lineRule="auto" w:before="5"/>
                      <w:rPr>
                        <w:sz w:val="21"/>
                      </w:rPr>
                    </w:pPr>
                  </w:p>
                  <w:p>
                    <w:pPr>
                      <w:spacing w:before="1"/>
                      <w:ind w:left="47" w:right="0" w:firstLine="0"/>
                      <w:jc w:val="left"/>
                      <w:rPr>
                        <w:b/>
                        <w:sz w:val="20"/>
                      </w:rPr>
                    </w:pPr>
                    <w:r>
                      <w:rPr>
                        <w:b/>
                        <w:color w:val="385622"/>
                        <w:sz w:val="20"/>
                      </w:rPr>
                      <w:t>1,537.0</w:t>
                    </w:r>
                  </w:p>
                </w:txbxContent>
              </v:textbox>
              <w10:wrap type="none"/>
            </v:shape>
            <w10:wrap type="none"/>
          </v:group>
        </w:pict>
      </w:r>
      <w:r>
        <w:rPr>
          <w:sz w:val="14"/>
        </w:rPr>
        <w:t>Vacuna</w:t>
      </w:r>
      <w:r>
        <w:rPr>
          <w:spacing w:val="-2"/>
          <w:sz w:val="14"/>
        </w:rPr>
        <w:t> </w:t>
      </w:r>
      <w:r>
        <w:rPr>
          <w:sz w:val="14"/>
        </w:rPr>
        <w:t>COVID-19</w:t>
        <w:tab/>
        <w:t>Prevención</w:t>
      </w:r>
      <w:r>
        <w:rPr>
          <w:spacing w:val="-2"/>
          <w:sz w:val="14"/>
        </w:rPr>
        <w:t> </w:t>
      </w:r>
      <w:r>
        <w:rPr>
          <w:sz w:val="14"/>
        </w:rPr>
        <w:t>y</w:t>
      </w:r>
    </w:p>
    <w:p>
      <w:pPr>
        <w:spacing w:before="1"/>
        <w:ind w:left="1926" w:right="0" w:hanging="88"/>
        <w:jc w:val="left"/>
        <w:rPr>
          <w:sz w:val="14"/>
        </w:rPr>
      </w:pPr>
      <w:r>
        <w:rPr>
          <w:sz w:val="14"/>
        </w:rPr>
        <w:t>tratamiento </w:t>
      </w:r>
      <w:r>
        <w:rPr>
          <w:spacing w:val="-9"/>
          <w:sz w:val="14"/>
        </w:rPr>
        <w:t>de </w:t>
      </w:r>
      <w:r>
        <w:rPr>
          <w:sz w:val="14"/>
        </w:rPr>
        <w:t>COVID-19</w:t>
      </w:r>
    </w:p>
    <w:p>
      <w:pPr>
        <w:pStyle w:val="BodyText"/>
        <w:spacing w:before="5"/>
        <w:rPr>
          <w:sz w:val="12"/>
        </w:rPr>
      </w:pPr>
    </w:p>
    <w:p>
      <w:pPr>
        <w:spacing w:before="0"/>
        <w:ind w:left="490" w:right="0" w:firstLine="0"/>
        <w:jc w:val="left"/>
        <w:rPr>
          <w:sz w:val="16"/>
        </w:rPr>
      </w:pPr>
      <w:r>
        <w:rPr>
          <w:sz w:val="16"/>
        </w:rPr>
        <w:t>Fuente: SICOIN y SIGES</w:t>
      </w:r>
    </w:p>
    <w:p>
      <w:pPr>
        <w:spacing w:before="93"/>
        <w:ind w:left="141" w:right="0" w:firstLine="0"/>
        <w:jc w:val="left"/>
        <w:rPr>
          <w:sz w:val="14"/>
        </w:rPr>
      </w:pPr>
      <w:r>
        <w:rPr/>
        <w:br w:type="column"/>
      </w:r>
      <w:r>
        <w:rPr>
          <w:sz w:val="14"/>
        </w:rPr>
        <w:t>Intervenciones varias</w:t>
      </w:r>
    </w:p>
    <w:p>
      <w:pPr>
        <w:spacing w:after="0"/>
        <w:jc w:val="left"/>
        <w:rPr>
          <w:sz w:val="14"/>
        </w:rPr>
        <w:sectPr>
          <w:type w:val="continuous"/>
          <w:pgSz w:w="12240" w:h="15840"/>
          <w:pgMar w:top="1500" w:bottom="280" w:left="1140" w:right="0"/>
          <w:cols w:num="2" w:equalWidth="0">
            <w:col w:w="2642" w:space="40"/>
            <w:col w:w="8418"/>
          </w:cols>
        </w:sectPr>
      </w:pPr>
    </w:p>
    <w:p>
      <w:pPr>
        <w:pStyle w:val="BodyText"/>
        <w:spacing w:before="4"/>
        <w:rPr>
          <w:sz w:val="27"/>
        </w:rPr>
      </w:pPr>
    </w:p>
    <w:p>
      <w:pPr>
        <w:pStyle w:val="BodyText"/>
        <w:spacing w:line="276" w:lineRule="auto" w:before="91"/>
        <w:ind w:left="562" w:right="1698"/>
        <w:jc w:val="both"/>
      </w:pPr>
      <w:r>
        <w:rPr/>
        <w:t>Derivado</w:t>
      </w:r>
      <w:r>
        <w:rPr>
          <w:spacing w:val="-3"/>
        </w:rPr>
        <w:t> </w:t>
      </w:r>
      <w:r>
        <w:rPr/>
        <w:t>de</w:t>
      </w:r>
      <w:r>
        <w:rPr>
          <w:spacing w:val="-6"/>
        </w:rPr>
        <w:t> </w:t>
      </w:r>
      <w:r>
        <w:rPr/>
        <w:t>los</w:t>
      </w:r>
      <w:r>
        <w:rPr>
          <w:spacing w:val="-5"/>
        </w:rPr>
        <w:t> </w:t>
      </w:r>
      <w:r>
        <w:rPr/>
        <w:t>esfuerzos</w:t>
      </w:r>
      <w:r>
        <w:rPr>
          <w:spacing w:val="-4"/>
        </w:rPr>
        <w:t> </w:t>
      </w:r>
      <w:r>
        <w:rPr/>
        <w:t>antes</w:t>
      </w:r>
      <w:r>
        <w:rPr>
          <w:spacing w:val="-5"/>
        </w:rPr>
        <w:t> </w:t>
      </w:r>
      <w:r>
        <w:rPr/>
        <w:t>mencionados,</w:t>
      </w:r>
      <w:r>
        <w:rPr>
          <w:spacing w:val="-5"/>
        </w:rPr>
        <w:t> </w:t>
      </w:r>
      <w:r>
        <w:rPr/>
        <w:t>al</w:t>
      </w:r>
      <w:r>
        <w:rPr>
          <w:spacing w:val="-4"/>
        </w:rPr>
        <w:t> </w:t>
      </w:r>
      <w:r>
        <w:rPr/>
        <w:t>cierre</w:t>
      </w:r>
      <w:r>
        <w:rPr>
          <w:spacing w:val="-6"/>
        </w:rPr>
        <w:t> </w:t>
      </w:r>
      <w:r>
        <w:rPr/>
        <w:t>de</w:t>
      </w:r>
      <w:r>
        <w:rPr>
          <w:spacing w:val="-6"/>
        </w:rPr>
        <w:t> </w:t>
      </w:r>
      <w:r>
        <w:rPr/>
        <w:t>junio</w:t>
      </w:r>
      <w:r>
        <w:rPr>
          <w:spacing w:val="-5"/>
        </w:rPr>
        <w:t> </w:t>
      </w:r>
      <w:r>
        <w:rPr/>
        <w:t>de</w:t>
      </w:r>
      <w:r>
        <w:rPr>
          <w:spacing w:val="-6"/>
        </w:rPr>
        <w:t> </w:t>
      </w:r>
      <w:r>
        <w:rPr/>
        <w:t>acuerdo</w:t>
      </w:r>
      <w:r>
        <w:rPr>
          <w:spacing w:val="-6"/>
        </w:rPr>
        <w:t> </w:t>
      </w:r>
      <w:r>
        <w:rPr/>
        <w:t>al</w:t>
      </w:r>
      <w:r>
        <w:rPr>
          <w:spacing w:val="-4"/>
        </w:rPr>
        <w:t> </w:t>
      </w:r>
      <w:r>
        <w:rPr/>
        <w:t>tablero</w:t>
      </w:r>
      <w:r>
        <w:rPr>
          <w:spacing w:val="-4"/>
        </w:rPr>
        <w:t> </w:t>
      </w:r>
      <w:r>
        <w:rPr/>
        <w:t>de</w:t>
      </w:r>
      <w:r>
        <w:rPr>
          <w:spacing w:val="-6"/>
        </w:rPr>
        <w:t> </w:t>
      </w:r>
      <w:r>
        <w:rPr/>
        <w:t>seguimiento de</w:t>
      </w:r>
      <w:r>
        <w:rPr>
          <w:spacing w:val="-9"/>
        </w:rPr>
        <w:t> </w:t>
      </w:r>
      <w:r>
        <w:rPr/>
        <w:t>COVID-19</w:t>
      </w:r>
      <w:r>
        <w:rPr>
          <w:spacing w:val="-9"/>
        </w:rPr>
        <w:t> </w:t>
      </w:r>
      <w:r>
        <w:rPr/>
        <w:t>del</w:t>
      </w:r>
      <w:r>
        <w:rPr>
          <w:spacing w:val="-7"/>
        </w:rPr>
        <w:t> </w:t>
      </w:r>
      <w:r>
        <w:rPr/>
        <w:t>MSPAS,</w:t>
      </w:r>
      <w:r>
        <w:rPr>
          <w:spacing w:val="-9"/>
        </w:rPr>
        <w:t> </w:t>
      </w:r>
      <w:r>
        <w:rPr/>
        <w:t>se</w:t>
      </w:r>
      <w:r>
        <w:rPr>
          <w:spacing w:val="-8"/>
        </w:rPr>
        <w:t> </w:t>
      </w:r>
      <w:r>
        <w:rPr/>
        <w:t>han</w:t>
      </w:r>
      <w:r>
        <w:rPr>
          <w:spacing w:val="-9"/>
        </w:rPr>
        <w:t> </w:t>
      </w:r>
      <w:r>
        <w:rPr/>
        <w:t>administrado</w:t>
      </w:r>
      <w:r>
        <w:rPr>
          <w:spacing w:val="-10"/>
        </w:rPr>
        <w:t> </w:t>
      </w:r>
      <w:r>
        <w:rPr/>
        <w:t>alrededor</w:t>
      </w:r>
      <w:r>
        <w:rPr>
          <w:spacing w:val="-8"/>
        </w:rPr>
        <w:t> </w:t>
      </w:r>
      <w:r>
        <w:rPr/>
        <w:t>de</w:t>
      </w:r>
      <w:r>
        <w:rPr>
          <w:spacing w:val="-8"/>
        </w:rPr>
        <w:t> </w:t>
      </w:r>
      <w:r>
        <w:rPr/>
        <w:t>18.0</w:t>
      </w:r>
      <w:r>
        <w:rPr>
          <w:spacing w:val="-9"/>
        </w:rPr>
        <w:t> </w:t>
      </w:r>
      <w:r>
        <w:rPr/>
        <w:t>millones</w:t>
      </w:r>
      <w:r>
        <w:rPr>
          <w:spacing w:val="-8"/>
        </w:rPr>
        <w:t> </w:t>
      </w:r>
      <w:r>
        <w:rPr/>
        <w:t>de</w:t>
      </w:r>
      <w:r>
        <w:rPr>
          <w:spacing w:val="-9"/>
        </w:rPr>
        <w:t> </w:t>
      </w:r>
      <w:r>
        <w:rPr/>
        <w:t>dosis,</w:t>
      </w:r>
      <w:r>
        <w:rPr>
          <w:spacing w:val="-9"/>
        </w:rPr>
        <w:t> </w:t>
      </w:r>
      <w:r>
        <w:rPr/>
        <w:t>de</w:t>
      </w:r>
      <w:r>
        <w:rPr>
          <w:spacing w:val="-8"/>
        </w:rPr>
        <w:t> </w:t>
      </w:r>
      <w:r>
        <w:rPr/>
        <w:t>las</w:t>
      </w:r>
      <w:r>
        <w:rPr>
          <w:spacing w:val="-10"/>
        </w:rPr>
        <w:t> </w:t>
      </w:r>
      <w:r>
        <w:rPr/>
        <w:t>cuales</w:t>
      </w:r>
      <w:r>
        <w:rPr>
          <w:spacing w:val="-8"/>
        </w:rPr>
        <w:t> </w:t>
      </w:r>
      <w:r>
        <w:rPr/>
        <w:t>8.3 millones corresponden a primera dosis, 6.3 millones corresponden a segunda dosis, 3.1 millones corresponden a la dosis de refuerzo. Por su parte, ha iniciado la vacunación con segunda dosis de refuerzo (cuarta dosis), de las cuales hay 196,308 personas</w:t>
      </w:r>
      <w:r>
        <w:rPr>
          <w:spacing w:val="-11"/>
        </w:rPr>
        <w:t> </w:t>
      </w:r>
      <w:r>
        <w:rPr/>
        <w:t>vacunadas</w:t>
      </w:r>
    </w:p>
    <w:p>
      <w:pPr>
        <w:pStyle w:val="BodyText"/>
        <w:spacing w:before="3"/>
        <w:rPr>
          <w:sz w:val="25"/>
        </w:rPr>
      </w:pPr>
    </w:p>
    <w:p>
      <w:pPr>
        <w:pStyle w:val="BodyText"/>
        <w:spacing w:line="278" w:lineRule="auto"/>
        <w:ind w:left="562" w:right="1699"/>
        <w:jc w:val="both"/>
      </w:pPr>
      <w:r>
        <w:rPr/>
        <w:t>De la primera dosis, el 42.5% corresponde a Moderna, 24.5% a Astrazeneca, 18.9% a Sputnik y 14.1% a Pfizer, lo cual corresponde a donaciones y compras hechas por el gobierno de Guatemala.</w:t>
      </w:r>
    </w:p>
    <w:p>
      <w:pPr>
        <w:pStyle w:val="BodyText"/>
        <w:rPr>
          <w:sz w:val="25"/>
        </w:rPr>
      </w:pPr>
    </w:p>
    <w:p>
      <w:pPr>
        <w:pStyle w:val="BodyText"/>
        <w:spacing w:line="276" w:lineRule="auto"/>
        <w:ind w:left="562" w:right="1703"/>
        <w:jc w:val="both"/>
      </w:pPr>
      <w:r>
        <w:rPr/>
        <w:t>Esto es relevante dado que en la vacunación se reflejan los esfuerzos del gobierno por asegurar la salud de los guatemaltecos ante los efectos de la pandemia COVID-19.</w:t>
      </w:r>
    </w:p>
    <w:p>
      <w:pPr>
        <w:pStyle w:val="BodyText"/>
        <w:spacing w:before="4"/>
        <w:rPr>
          <w:sz w:val="25"/>
        </w:rPr>
      </w:pPr>
    </w:p>
    <w:p>
      <w:pPr>
        <w:pStyle w:val="BodyText"/>
        <w:spacing w:line="276" w:lineRule="auto"/>
        <w:ind w:left="562" w:right="1700"/>
        <w:jc w:val="both"/>
      </w:pPr>
      <w:r>
        <w:rPr/>
        <w:t>Resalta que en junio continúo ampliándose el número de personas vacunadas de los 6 a 11 años alcanzando al 22.74% de este grupo etario, mientras que el grupo de 12 a 17 años continúo aplicándose la dosis de refuerzo. Según los lineamientos establecidos en el Programa de</w:t>
      </w:r>
    </w:p>
    <w:p>
      <w:pPr>
        <w:spacing w:after="0" w:line="276" w:lineRule="auto"/>
        <w:jc w:val="both"/>
        <w:sectPr>
          <w:type w:val="continuous"/>
          <w:pgSz w:w="12240" w:h="15840"/>
          <w:pgMar w:top="1500" w:bottom="280" w:left="1140" w:right="0"/>
        </w:sectPr>
      </w:pPr>
    </w:p>
    <w:p>
      <w:pPr>
        <w:pStyle w:val="BodyText"/>
        <w:spacing w:line="276" w:lineRule="auto" w:before="162"/>
        <w:ind w:left="562" w:right="1697"/>
        <w:jc w:val="both"/>
      </w:pPr>
      <w:r>
        <w:rPr/>
        <w:t>Inmunizaciones la cuarta dosis (2da. dosis de refuerzo) se encuentra habilitada exclusivamente para el personal sanitario, personas de 50 años en adelante sin excepciones y población de 12 años o más con enfermedades crónicas o con inmunosupresión, siendo 4 meses el período de intervalo entre la tercera y cuarta dosis.</w:t>
      </w:r>
    </w:p>
    <w:p>
      <w:pPr>
        <w:pStyle w:val="BodyText"/>
        <w:spacing w:before="3"/>
        <w:rPr>
          <w:sz w:val="25"/>
        </w:rPr>
      </w:pPr>
    </w:p>
    <w:p>
      <w:pPr>
        <w:pStyle w:val="BodyText"/>
        <w:spacing w:line="276" w:lineRule="auto" w:before="1"/>
        <w:ind w:left="562" w:right="1696"/>
        <w:jc w:val="both"/>
      </w:pPr>
      <w:r>
        <w:rPr/>
        <w:t>Al</w:t>
      </w:r>
      <w:r>
        <w:rPr>
          <w:spacing w:val="-11"/>
        </w:rPr>
        <w:t> </w:t>
      </w:r>
      <w:r>
        <w:rPr/>
        <w:t>analizar</w:t>
      </w:r>
      <w:r>
        <w:rPr>
          <w:spacing w:val="-13"/>
        </w:rPr>
        <w:t> </w:t>
      </w:r>
      <w:r>
        <w:rPr/>
        <w:t>las</w:t>
      </w:r>
      <w:r>
        <w:rPr>
          <w:spacing w:val="-10"/>
        </w:rPr>
        <w:t> </w:t>
      </w:r>
      <w:r>
        <w:rPr/>
        <w:t>cifras</w:t>
      </w:r>
      <w:r>
        <w:rPr>
          <w:spacing w:val="-11"/>
        </w:rPr>
        <w:t> </w:t>
      </w:r>
      <w:r>
        <w:rPr/>
        <w:t>de</w:t>
      </w:r>
      <w:r>
        <w:rPr>
          <w:spacing w:val="-10"/>
        </w:rPr>
        <w:t> </w:t>
      </w:r>
      <w:r>
        <w:rPr/>
        <w:t>personas</w:t>
      </w:r>
      <w:r>
        <w:rPr>
          <w:spacing w:val="-11"/>
        </w:rPr>
        <w:t> </w:t>
      </w:r>
      <w:r>
        <w:rPr/>
        <w:t>vacunadas</w:t>
      </w:r>
      <w:r>
        <w:rPr>
          <w:spacing w:val="-13"/>
        </w:rPr>
        <w:t> </w:t>
      </w:r>
      <w:r>
        <w:rPr/>
        <w:t>por</w:t>
      </w:r>
      <w:r>
        <w:rPr>
          <w:spacing w:val="-11"/>
        </w:rPr>
        <w:t> </w:t>
      </w:r>
      <w:r>
        <w:rPr/>
        <w:t>grupo</w:t>
      </w:r>
      <w:r>
        <w:rPr>
          <w:spacing w:val="-13"/>
        </w:rPr>
        <w:t> </w:t>
      </w:r>
      <w:r>
        <w:rPr/>
        <w:t>etario</w:t>
      </w:r>
      <w:r>
        <w:rPr>
          <w:spacing w:val="-14"/>
        </w:rPr>
        <w:t> </w:t>
      </w:r>
      <w:r>
        <w:rPr/>
        <w:t>resalta</w:t>
      </w:r>
      <w:r>
        <w:rPr>
          <w:spacing w:val="-10"/>
        </w:rPr>
        <w:t> </w:t>
      </w:r>
      <w:r>
        <w:rPr/>
        <w:t>que</w:t>
      </w:r>
      <w:r>
        <w:rPr>
          <w:spacing w:val="-11"/>
        </w:rPr>
        <w:t> </w:t>
      </w:r>
      <w:r>
        <w:rPr/>
        <w:t>el</w:t>
      </w:r>
      <w:r>
        <w:rPr>
          <w:spacing w:val="-10"/>
        </w:rPr>
        <w:t> </w:t>
      </w:r>
      <w:r>
        <w:rPr/>
        <w:t>mayor</w:t>
      </w:r>
      <w:r>
        <w:rPr>
          <w:spacing w:val="-11"/>
        </w:rPr>
        <w:t> </w:t>
      </w:r>
      <w:r>
        <w:rPr/>
        <w:t>grupo</w:t>
      </w:r>
      <w:r>
        <w:rPr>
          <w:spacing w:val="-11"/>
        </w:rPr>
        <w:t> </w:t>
      </w:r>
      <w:r>
        <w:rPr/>
        <w:t>de</w:t>
      </w:r>
      <w:r>
        <w:rPr>
          <w:spacing w:val="-12"/>
        </w:rPr>
        <w:t> </w:t>
      </w:r>
      <w:r>
        <w:rPr/>
        <w:t>vacunados de</w:t>
      </w:r>
      <w:r>
        <w:rPr>
          <w:spacing w:val="-7"/>
        </w:rPr>
        <w:t> </w:t>
      </w:r>
      <w:r>
        <w:rPr/>
        <w:t>primera,</w:t>
      </w:r>
      <w:r>
        <w:rPr>
          <w:spacing w:val="-8"/>
        </w:rPr>
        <w:t> </w:t>
      </w:r>
      <w:r>
        <w:rPr/>
        <w:t>segunda</w:t>
      </w:r>
      <w:r>
        <w:rPr>
          <w:spacing w:val="-9"/>
        </w:rPr>
        <w:t> </w:t>
      </w:r>
      <w:r>
        <w:rPr/>
        <w:t>dosis</w:t>
      </w:r>
      <w:r>
        <w:rPr>
          <w:spacing w:val="-8"/>
        </w:rPr>
        <w:t> </w:t>
      </w:r>
      <w:r>
        <w:rPr/>
        <w:t>y</w:t>
      </w:r>
      <w:r>
        <w:rPr>
          <w:spacing w:val="-10"/>
        </w:rPr>
        <w:t> </w:t>
      </w:r>
      <w:r>
        <w:rPr/>
        <w:t>refuerzo</w:t>
      </w:r>
      <w:r>
        <w:rPr>
          <w:spacing w:val="-6"/>
        </w:rPr>
        <w:t> </w:t>
      </w:r>
      <w:r>
        <w:rPr/>
        <w:t>se</w:t>
      </w:r>
      <w:r>
        <w:rPr>
          <w:spacing w:val="-9"/>
        </w:rPr>
        <w:t> </w:t>
      </w:r>
      <w:r>
        <w:rPr/>
        <w:t>encuentra</w:t>
      </w:r>
      <w:r>
        <w:rPr>
          <w:spacing w:val="-6"/>
        </w:rPr>
        <w:t> </w:t>
      </w:r>
      <w:r>
        <w:rPr/>
        <w:t>en</w:t>
      </w:r>
      <w:r>
        <w:rPr>
          <w:spacing w:val="-10"/>
        </w:rPr>
        <w:t> </w:t>
      </w:r>
      <w:r>
        <w:rPr/>
        <w:t>los</w:t>
      </w:r>
      <w:r>
        <w:rPr>
          <w:spacing w:val="-6"/>
        </w:rPr>
        <w:t> </w:t>
      </w:r>
      <w:r>
        <w:rPr/>
        <w:t>mayores</w:t>
      </w:r>
      <w:r>
        <w:rPr>
          <w:spacing w:val="-6"/>
        </w:rPr>
        <w:t> </w:t>
      </w:r>
      <w:r>
        <w:rPr/>
        <w:t>de</w:t>
      </w:r>
      <w:r>
        <w:rPr>
          <w:spacing w:val="-8"/>
        </w:rPr>
        <w:t> </w:t>
      </w:r>
      <w:r>
        <w:rPr/>
        <w:t>60</w:t>
      </w:r>
      <w:r>
        <w:rPr>
          <w:spacing w:val="-9"/>
        </w:rPr>
        <w:t> </w:t>
      </w:r>
      <w:r>
        <w:rPr/>
        <w:t>años,</w:t>
      </w:r>
      <w:r>
        <w:rPr>
          <w:spacing w:val="-7"/>
        </w:rPr>
        <w:t> </w:t>
      </w:r>
      <w:r>
        <w:rPr/>
        <w:t>mientras</w:t>
      </w:r>
      <w:r>
        <w:rPr>
          <w:spacing w:val="-6"/>
        </w:rPr>
        <w:t> </w:t>
      </w:r>
      <w:r>
        <w:rPr/>
        <w:t>que</w:t>
      </w:r>
      <w:r>
        <w:rPr>
          <w:spacing w:val="-9"/>
        </w:rPr>
        <w:t> </w:t>
      </w:r>
      <w:r>
        <w:rPr/>
        <w:t>los</w:t>
      </w:r>
      <w:r>
        <w:rPr>
          <w:spacing w:val="-8"/>
        </w:rPr>
        <w:t> </w:t>
      </w:r>
      <w:r>
        <w:rPr/>
        <w:t>menos vacunados son los de 6 a 11 años, derivado que fue el último grupo en contar con autorización para iniciar</w:t>
      </w:r>
      <w:r>
        <w:rPr>
          <w:spacing w:val="-11"/>
        </w:rPr>
        <w:t> </w:t>
      </w:r>
      <w:r>
        <w:rPr/>
        <w:t>su</w:t>
      </w:r>
      <w:r>
        <w:rPr>
          <w:spacing w:val="-11"/>
        </w:rPr>
        <w:t> </w:t>
      </w:r>
      <w:r>
        <w:rPr/>
        <w:t>proceso</w:t>
      </w:r>
      <w:r>
        <w:rPr>
          <w:spacing w:val="-11"/>
        </w:rPr>
        <w:t> </w:t>
      </w:r>
      <w:r>
        <w:rPr/>
        <w:t>de</w:t>
      </w:r>
      <w:r>
        <w:rPr>
          <w:spacing w:val="-11"/>
        </w:rPr>
        <w:t> </w:t>
      </w:r>
      <w:r>
        <w:rPr/>
        <w:t>vacunación,</w:t>
      </w:r>
      <w:r>
        <w:rPr>
          <w:spacing w:val="-12"/>
        </w:rPr>
        <w:t> </w:t>
      </w:r>
      <w:r>
        <w:rPr/>
        <w:t>por</w:t>
      </w:r>
      <w:r>
        <w:rPr>
          <w:spacing w:val="-11"/>
        </w:rPr>
        <w:t> </w:t>
      </w:r>
      <w:r>
        <w:rPr/>
        <w:t>medio</w:t>
      </w:r>
      <w:r>
        <w:rPr>
          <w:spacing w:val="-12"/>
        </w:rPr>
        <w:t> </w:t>
      </w:r>
      <w:r>
        <w:rPr/>
        <w:t>del</w:t>
      </w:r>
      <w:r>
        <w:rPr>
          <w:spacing w:val="-10"/>
        </w:rPr>
        <w:t> </w:t>
      </w:r>
      <w:r>
        <w:rPr/>
        <w:t>Acuerdo</w:t>
      </w:r>
      <w:r>
        <w:rPr>
          <w:spacing w:val="-12"/>
        </w:rPr>
        <w:t> </w:t>
      </w:r>
      <w:r>
        <w:rPr/>
        <w:t>Ministerial</w:t>
      </w:r>
      <w:r>
        <w:rPr>
          <w:spacing w:val="-11"/>
        </w:rPr>
        <w:t> </w:t>
      </w:r>
      <w:r>
        <w:rPr/>
        <w:t>94-2022,</w:t>
      </w:r>
      <w:r>
        <w:rPr>
          <w:spacing w:val="-12"/>
        </w:rPr>
        <w:t> </w:t>
      </w:r>
      <w:r>
        <w:rPr/>
        <w:t>donde</w:t>
      </w:r>
      <w:r>
        <w:rPr>
          <w:spacing w:val="-10"/>
        </w:rPr>
        <w:t> </w:t>
      </w:r>
      <w:r>
        <w:rPr/>
        <w:t>se</w:t>
      </w:r>
      <w:r>
        <w:rPr>
          <w:spacing w:val="-11"/>
        </w:rPr>
        <w:t> </w:t>
      </w:r>
      <w:r>
        <w:rPr/>
        <w:t>emite</w:t>
      </w:r>
      <w:r>
        <w:rPr>
          <w:spacing w:val="-11"/>
        </w:rPr>
        <w:t> </w:t>
      </w:r>
      <w:r>
        <w:rPr/>
        <w:t>la</w:t>
      </w:r>
      <w:r>
        <w:rPr>
          <w:spacing w:val="-11"/>
        </w:rPr>
        <w:t> </w:t>
      </w:r>
      <w:r>
        <w:rPr/>
        <w:t>sexta adenda al plan nacional de vacunación contra la COVID-19. El mismo Acuerdo Ministerial autoriza la dosis de refuerzo para los de 12 a 17</w:t>
      </w:r>
      <w:r>
        <w:rPr>
          <w:spacing w:val="-9"/>
        </w:rPr>
        <w:t> </w:t>
      </w:r>
      <w:r>
        <w:rPr/>
        <w:t>años.</w:t>
      </w:r>
    </w:p>
    <w:p>
      <w:pPr>
        <w:pStyle w:val="BodyText"/>
        <w:spacing w:before="9"/>
        <w:rPr>
          <w:sz w:val="17"/>
        </w:rPr>
      </w:pPr>
    </w:p>
    <w:p>
      <w:pPr>
        <w:spacing w:after="0"/>
        <w:rPr>
          <w:sz w:val="17"/>
        </w:rPr>
        <w:sectPr>
          <w:pgSz w:w="12240" w:h="15840"/>
          <w:pgMar w:header="715" w:footer="957" w:top="1240" w:bottom="1140" w:left="1140" w:right="0"/>
        </w:sectPr>
      </w:pPr>
    </w:p>
    <w:p>
      <w:pPr>
        <w:spacing w:line="278" w:lineRule="auto" w:before="91"/>
        <w:ind w:left="754" w:right="3" w:firstLine="0"/>
        <w:jc w:val="center"/>
        <w:rPr>
          <w:b/>
          <w:sz w:val="20"/>
        </w:rPr>
      </w:pPr>
      <w:bookmarkStart w:name="_bookmark164" w:id="207"/>
      <w:bookmarkEnd w:id="207"/>
      <w:r>
        <w:rPr/>
      </w:r>
      <w:r>
        <w:rPr>
          <w:b/>
          <w:i/>
          <w:sz w:val="20"/>
        </w:rPr>
        <w:t>Gráfico 85. </w:t>
      </w:r>
      <w:r>
        <w:rPr>
          <w:b/>
          <w:sz w:val="20"/>
        </w:rPr>
        <w:t>Cantidad de dosis aplicadas y tipo de vacuna</w:t>
      </w:r>
    </w:p>
    <w:p>
      <w:pPr>
        <w:spacing w:line="199" w:lineRule="exact" w:before="0"/>
        <w:ind w:left="759" w:right="3" w:firstLine="0"/>
        <w:jc w:val="center"/>
        <w:rPr>
          <w:sz w:val="18"/>
        </w:rPr>
      </w:pPr>
      <w:r>
        <w:rPr>
          <w:sz w:val="18"/>
        </w:rPr>
        <w:t>Cifras en millones y porcentajes</w:t>
      </w:r>
    </w:p>
    <w:p>
      <w:pPr>
        <w:spacing w:line="278" w:lineRule="auto" w:before="91"/>
        <w:ind w:left="385" w:right="1931" w:firstLine="0"/>
        <w:jc w:val="center"/>
        <w:rPr>
          <w:b/>
          <w:sz w:val="20"/>
        </w:rPr>
      </w:pPr>
      <w:r>
        <w:rPr/>
        <w:br w:type="column"/>
      </w:r>
      <w:bookmarkStart w:name="_bookmark165" w:id="208"/>
      <w:bookmarkEnd w:id="208"/>
      <w:r>
        <w:rPr/>
      </w:r>
      <w:r>
        <w:rPr>
          <w:b/>
          <w:i/>
          <w:sz w:val="20"/>
        </w:rPr>
        <w:t>Gráfico 86. </w:t>
      </w:r>
      <w:r>
        <w:rPr>
          <w:b/>
          <w:sz w:val="20"/>
        </w:rPr>
        <w:t>Porcentaje de vacunados por grupo etario</w:t>
      </w:r>
    </w:p>
    <w:p>
      <w:pPr>
        <w:spacing w:line="199" w:lineRule="exact" w:before="0"/>
        <w:ind w:left="385" w:right="1924" w:firstLine="0"/>
        <w:jc w:val="center"/>
        <w:rPr>
          <w:sz w:val="18"/>
        </w:rPr>
      </w:pPr>
      <w:r>
        <w:rPr>
          <w:sz w:val="18"/>
        </w:rPr>
        <w:t>Cifras en porcentajes</w:t>
      </w:r>
    </w:p>
    <w:p>
      <w:pPr>
        <w:spacing w:after="0" w:line="199" w:lineRule="exact"/>
        <w:jc w:val="center"/>
        <w:rPr>
          <w:sz w:val="18"/>
        </w:rPr>
        <w:sectPr>
          <w:type w:val="continuous"/>
          <w:pgSz w:w="12240" w:h="15840"/>
          <w:pgMar w:top="1500" w:bottom="280" w:left="1140" w:right="0"/>
          <w:cols w:num="2" w:equalWidth="0">
            <w:col w:w="4687" w:space="40"/>
            <w:col w:w="6373"/>
          </w:cols>
        </w:sectPr>
      </w:pPr>
    </w:p>
    <w:p>
      <w:pPr>
        <w:pStyle w:val="BodyText"/>
        <w:spacing w:before="4"/>
        <w:rPr>
          <w:sz w:val="10"/>
        </w:rPr>
      </w:pPr>
    </w:p>
    <w:p>
      <w:pPr>
        <w:spacing w:after="0"/>
        <w:rPr>
          <w:sz w:val="10"/>
        </w:rPr>
        <w:sectPr>
          <w:type w:val="continuous"/>
          <w:pgSz w:w="12240" w:h="15840"/>
          <w:pgMar w:top="1500" w:bottom="280" w:left="1140" w:right="0"/>
        </w:sectPr>
      </w:pPr>
    </w:p>
    <w:p>
      <w:pPr>
        <w:pStyle w:val="BodyText"/>
        <w:rPr>
          <w:sz w:val="14"/>
        </w:rPr>
      </w:pPr>
    </w:p>
    <w:p>
      <w:pPr>
        <w:pStyle w:val="BodyText"/>
        <w:spacing w:before="4"/>
        <w:rPr>
          <w:sz w:val="14"/>
        </w:rPr>
      </w:pPr>
    </w:p>
    <w:p>
      <w:pPr>
        <w:spacing w:line="242" w:lineRule="auto" w:before="0"/>
        <w:ind w:left="1130" w:right="18" w:firstLine="146"/>
        <w:jc w:val="left"/>
        <w:rPr>
          <w:b/>
          <w:sz w:val="14"/>
        </w:rPr>
      </w:pPr>
      <w:r>
        <w:rPr>
          <w:b/>
          <w:sz w:val="14"/>
        </w:rPr>
        <w:t>2da Dosis de refuerzo; 196,308</w:t>
      </w:r>
    </w:p>
    <w:p>
      <w:pPr>
        <w:tabs>
          <w:tab w:pos="3117" w:val="left" w:leader="none"/>
        </w:tabs>
        <w:spacing w:before="94"/>
        <w:ind w:left="1130" w:right="0" w:firstLine="0"/>
        <w:jc w:val="left"/>
        <w:rPr>
          <w:sz w:val="16"/>
        </w:rPr>
      </w:pPr>
      <w:r>
        <w:rPr/>
        <w:br w:type="column"/>
      </w:r>
      <w:r>
        <w:rPr>
          <w:color w:val="585858"/>
          <w:sz w:val="16"/>
        </w:rPr>
        <w:t>Primera</w:t>
      </w:r>
      <w:r>
        <w:rPr>
          <w:color w:val="585858"/>
          <w:spacing w:val="-4"/>
          <w:sz w:val="16"/>
        </w:rPr>
        <w:t> </w:t>
      </w:r>
      <w:r>
        <w:rPr>
          <w:color w:val="585858"/>
          <w:sz w:val="16"/>
        </w:rPr>
        <w:t>Dosis</w:t>
        <w:tab/>
        <w:t>Segunda</w:t>
      </w:r>
      <w:r>
        <w:rPr>
          <w:color w:val="585858"/>
          <w:spacing w:val="-2"/>
          <w:sz w:val="16"/>
        </w:rPr>
        <w:t> </w:t>
      </w:r>
      <w:r>
        <w:rPr>
          <w:color w:val="585858"/>
          <w:sz w:val="16"/>
        </w:rPr>
        <w:t>Dosis</w:t>
      </w:r>
    </w:p>
    <w:p>
      <w:pPr>
        <w:tabs>
          <w:tab w:pos="3117" w:val="left" w:leader="none"/>
        </w:tabs>
        <w:spacing w:before="13"/>
        <w:ind w:left="1130" w:right="0" w:firstLine="0"/>
        <w:jc w:val="left"/>
        <w:rPr>
          <w:sz w:val="16"/>
        </w:rPr>
      </w:pPr>
      <w:r>
        <w:rPr/>
        <w:pict>
          <v:group style="position:absolute;margin-left:338.160004pt;margin-top:-6.591249pt;width:4.7pt;height:4.8pt;mso-position-horizontal-relative:page;mso-position-vertical-relative:paragraph;z-index:252890112" coordorigin="6763,-132" coordsize="94,96">
            <v:rect style="position:absolute;left:6770;top:-125;width:80;height:82" filled="true" fillcolor="#5b9bd4" stroked="false">
              <v:fill type="solid"/>
            </v:rect>
            <v:rect style="position:absolute;left:6770;top:-125;width:80;height:82" filled="false" stroked="true" strokeweight=".72pt" strokecolor="#000000">
              <v:stroke dashstyle="solid"/>
            </v:rect>
            <w10:wrap type="none"/>
          </v:group>
        </w:pict>
      </w:r>
      <w:r>
        <w:rPr/>
        <w:pict>
          <v:group style="position:absolute;margin-left:437.519989pt;margin-top:-6.591249pt;width:4.7pt;height:4.8pt;mso-position-horizontal-relative:page;mso-position-vertical-relative:paragraph;z-index:-280428544" coordorigin="8750,-132" coordsize="94,96">
            <v:rect style="position:absolute;left:8757;top:-125;width:80;height:82" filled="true" fillcolor="#a4a4a4" stroked="false">
              <v:fill type="solid"/>
            </v:rect>
            <v:rect style="position:absolute;left:8757;top:-125;width:80;height:82" filled="false" stroked="true" strokeweight=".72pt" strokecolor="#000000">
              <v:stroke dashstyle="solid"/>
            </v:rect>
            <w10:wrap type="none"/>
          </v:group>
        </w:pict>
      </w:r>
      <w:r>
        <w:rPr/>
        <w:pict>
          <v:group style="position:absolute;margin-left:338.160004pt;margin-top:3.248751pt;width:4.7pt;height:4.8pt;mso-position-horizontal-relative:page;mso-position-vertical-relative:paragraph;z-index:252892160" coordorigin="6763,65" coordsize="94,96">
            <v:rect style="position:absolute;left:6770;top:72;width:80;height:82" filled="true" fillcolor="#4471c4" stroked="false">
              <v:fill type="solid"/>
            </v:rect>
            <v:rect style="position:absolute;left:6770;top:72;width:80;height:82" filled="false" stroked="true" strokeweight=".72pt" strokecolor="#000000">
              <v:stroke dashstyle="solid"/>
            </v:rect>
            <w10:wrap type="none"/>
          </v:group>
        </w:pict>
      </w:r>
      <w:r>
        <w:rPr/>
        <w:pict>
          <v:group style="position:absolute;margin-left:437.519989pt;margin-top:3.248751pt;width:4.7pt;height:4.8pt;mso-position-horizontal-relative:page;mso-position-vertical-relative:paragraph;z-index:-280426496" coordorigin="8750,65" coordsize="94,96">
            <v:rect style="position:absolute;left:8757;top:72;width:80;height:82" filled="true" fillcolor="#c00000" stroked="false">
              <v:fill type="solid"/>
            </v:rect>
            <v:rect style="position:absolute;left:8757;top:72;width:80;height:82" filled="false" stroked="true" strokeweight=".72pt" strokecolor="#000000">
              <v:stroke dashstyle="solid"/>
            </v:rect>
            <w10:wrap type="none"/>
          </v:group>
        </w:pict>
      </w:r>
      <w:r>
        <w:rPr>
          <w:color w:val="585858"/>
          <w:sz w:val="16"/>
        </w:rPr>
        <w:t>Refuerzo</w:t>
        <w:tab/>
        <w:t>2da de</w:t>
      </w:r>
      <w:r>
        <w:rPr>
          <w:color w:val="585858"/>
          <w:spacing w:val="-2"/>
          <w:sz w:val="16"/>
        </w:rPr>
        <w:t> </w:t>
      </w:r>
      <w:r>
        <w:rPr>
          <w:color w:val="585858"/>
          <w:sz w:val="16"/>
        </w:rPr>
        <w:t>Refuerzo</w:t>
      </w:r>
    </w:p>
    <w:p>
      <w:pPr>
        <w:spacing w:after="0"/>
        <w:jc w:val="left"/>
        <w:rPr>
          <w:sz w:val="16"/>
        </w:rPr>
        <w:sectPr>
          <w:type w:val="continuous"/>
          <w:pgSz w:w="12240" w:h="15840"/>
          <w:pgMar w:top="1500" w:bottom="280" w:left="1140" w:right="0"/>
          <w:cols w:num="2" w:equalWidth="0">
            <w:col w:w="2210" w:space="2402"/>
            <w:col w:w="6488"/>
          </w:cols>
        </w:sectPr>
      </w:pPr>
    </w:p>
    <w:p>
      <w:pPr>
        <w:pStyle w:val="BodyText"/>
        <w:spacing w:before="3"/>
        <w:rPr>
          <w:sz w:val="5"/>
        </w:rPr>
      </w:pPr>
    </w:p>
    <w:p>
      <w:pPr>
        <w:tabs>
          <w:tab w:pos="5200" w:val="left" w:leader="none"/>
        </w:tabs>
        <w:spacing w:line="240" w:lineRule="auto"/>
        <w:ind w:left="669" w:right="0" w:firstLine="0"/>
        <w:rPr>
          <w:sz w:val="20"/>
        </w:rPr>
      </w:pPr>
      <w:r>
        <w:rPr>
          <w:position w:val="26"/>
          <w:sz w:val="20"/>
        </w:rPr>
        <w:pict>
          <v:group style="width:208.1pt;height:127.5pt;mso-position-horizontal-relative:char;mso-position-vertical-relative:line" coordorigin="0,0" coordsize="4162,2550">
            <v:line style="position:absolute" from="1448,142" to="3500,545" stroked="true" strokeweight=".72pt" strokecolor="#a6a6a6">
              <v:stroke dashstyle="solid"/>
            </v:line>
            <v:shape style="position:absolute;left:0;top:718;width:1357;height:1824" coordorigin="0,719" coordsize="1357,1824" path="m165,719l128,788,95,860,67,933,44,1008,25,1084,12,1161,3,1238,0,1317,2,1395,9,1474,20,1550,36,1624,56,1696,81,1766,109,1834,142,1900,178,1963,217,2023,260,2081,306,2136,356,2188,408,2237,463,2283,521,2326,581,2365,643,2401,707,2432,774,2461,842,2485,912,2505,983,2521,1056,2533,1129,2540,1204,2543,1280,2541,1356,2534,1212,1330,165,719xe" filled="true" fillcolor="#c5dfb4" stroked="false">
              <v:path arrowok="t"/>
              <v:fill type="solid"/>
            </v:shape>
            <v:shape style="position:absolute;left:165;top:117;width:1109;height:1213" coordorigin="165,118" coordsize="1109,1213" path="m1194,118l1115,122,1037,130,961,144,885,163,812,186,740,214,670,246,602,283,537,323,474,369,414,418,357,470,304,527,254,588,208,651,165,719,1212,1330,1274,119,1194,118xe" filled="true" fillcolor="#538235" stroked="false">
              <v:path arrowok="t"/>
              <v:fill type="solid"/>
            </v:shape>
            <v:shape style="position:absolute;left:165;top:117;width:1109;height:1213" coordorigin="165,118" coordsize="1109,1213" path="m165,719l208,651,254,588,304,527,357,470,414,418,474,369,537,323,602,283,670,246,740,214,812,186,885,163,961,144,1037,130,1115,122,1194,118,1274,119,1212,1330,165,719xe" filled="false" stroked="true" strokeweight="1.56pt" strokecolor="#ffffff">
              <v:path arrowok="t"/>
              <v:stroke dashstyle="solid"/>
            </v:shape>
            <v:shape style="position:absolute;left:1212;top:119;width:144;height:1211" coordorigin="1212,119" coordsize="144,1211" path="m1274,119l1212,1330,1356,126,1336,124,1315,122,1294,120,1274,119xe" filled="true" fillcolor="#a4a4a4" stroked="false">
              <v:path arrowok="t"/>
              <v:fill type="solid"/>
            </v:shape>
            <v:shape style="position:absolute;left:1212;top:119;width:144;height:1211" coordorigin="1212,119" coordsize="144,1211" path="m1274,119l1294,120,1315,122,1336,124,1356,126,1212,1330,1274,119xe" filled="false" stroked="true" strokeweight="1.56pt" strokecolor="#ffffff">
              <v:path arrowok="t"/>
              <v:stroke dashstyle="solid"/>
            </v:shape>
            <v:line style="position:absolute" from="1356,126" to="1212,1330" stroked="true" strokeweight="1.56pt" strokecolor="#ffffff">
              <v:stroke dashstyle="solid"/>
            </v:line>
            <v:line style="position:absolute" from="1448,2520" to="3500,2114" stroked="true" strokeweight=".72pt" strokecolor="#a6a6a6">
              <v:stroke dashstyle="solid"/>
            </v:line>
            <v:shape style="position:absolute;left:2546;top:665;width:896;height:1466" coordorigin="2546,665" coordsize="896,1466" path="m2902,665l2841,709,2786,759,2736,812,2692,870,2653,931,2619,996,2592,1063,2571,1132,2556,1204,2548,1277,2546,1351,2552,1425,2565,1501,2584,1574,2610,1644,2642,1711,2680,1774,2723,1832,2771,1887,2824,1936,2880,1981,2941,2020,3005,2054,3072,2082,3142,2104,3214,2120,3289,2128,3364,2130,3441,2125,3346,1330,2902,665xe" filled="true" fillcolor="#4471c4" stroked="false">
              <v:path arrowok="t"/>
              <v:fill type="solid"/>
            </v:shape>
            <v:shape style="position:absolute;left:2546;top:665;width:896;height:1466" coordorigin="2546,665" coordsize="896,1466" path="m3441,2125l3364,2130,3289,2128,3214,2120,3142,2104,3072,2082,3005,2054,2941,2020,2880,1981,2824,1936,2771,1887,2723,1832,2680,1774,2642,1711,2610,1644,2584,1574,2565,1501,2552,1425,2546,1351,2548,1277,2556,1204,2571,1132,2592,1063,2619,996,2653,931,2692,870,2736,812,2786,759,2841,709,2902,665,3346,1330,3441,2125xe" filled="false" stroked="true" strokeweight="1.56pt" strokecolor="#ffffff">
              <v:path arrowok="t"/>
              <v:stroke dashstyle="solid"/>
            </v:shape>
            <v:shape style="position:absolute;left:2901;top:530;width:1095;height:800" coordorigin="2902,531" coordsize="1095,800" path="m3312,531l3241,537,3171,549,3101,568,3033,594,2966,626,2902,665,3346,1330,3996,863,3949,804,3898,751,3843,703,3784,660,3723,624,3658,593,3592,569,3524,550,3454,537,3383,531,3312,531xe" filled="true" fillcolor="#bcd6ed" stroked="false">
              <v:path arrowok="t"/>
              <v:fill type="solid"/>
            </v:shape>
            <v:shape style="position:absolute;left:2901;top:530;width:1095;height:800" coordorigin="2902,531" coordsize="1095,800" path="m2902,665l2966,626,3033,594,3101,568,3171,549,3241,537,3312,531,3383,531,3454,537,3524,550,3592,569,3658,593,3723,624,3784,660,3843,703,3898,751,3949,804,3996,863,3346,1330,2902,665xe" filled="false" stroked="true" strokeweight="1.56pt" strokecolor="#ffffff">
              <v:path arrowok="t"/>
              <v:stroke dashstyle="solid"/>
            </v:shape>
            <v:shape style="position:absolute;left:3346;top:863;width:801;height:896" coordorigin="3346,863" coordsize="801,896" path="m3996,863l3346,1330,4022,1759,4059,1694,4089,1627,4113,1558,4131,1487,4142,1416,4146,1343,4144,1271,4136,1200,4121,1129,4099,1059,4071,992,4037,926,3996,863xe" filled="true" fillcolor="#245e91" stroked="false">
              <v:path arrowok="t"/>
              <v:fill type="solid"/>
            </v:shape>
            <v:shape style="position:absolute;left:3346;top:863;width:801;height:896" coordorigin="3346,863" coordsize="801,896" path="m3996,863l4037,926,4071,992,4099,1059,4121,1129,4136,1200,4144,1271,4146,1343,4142,1416,4131,1487,4113,1558,4089,1627,4059,1694,4022,1759,3346,1330,3996,863xe" filled="false" stroked="true" strokeweight="1.56pt" strokecolor="#ffffff">
              <v:path arrowok="t"/>
              <v:stroke dashstyle="solid"/>
            </v:shape>
            <v:shape style="position:absolute;left:3346;top:1330;width:676;height:795" coordorigin="3346,1330" coordsize="676,795" path="m3346,1330l3441,2125,3520,2111,3596,2090,3669,2062,3739,2027,3805,1986,3867,1938,3924,1884,3976,1824,4022,1759,3346,1330xe" filled="true" fillcolor="#2d75b6" stroked="false">
              <v:path arrowok="t"/>
              <v:fill type="solid"/>
            </v:shape>
            <v:shape style="position:absolute;left:3346;top:1330;width:676;height:795" coordorigin="3346,1330" coordsize="676,795" path="m4022,1759l3976,1824,3924,1884,3867,1938,3805,1986,3739,2027,3669,2062,3596,2090,3520,2111,3441,2125,3346,1330,4022,1759xe" filled="false" stroked="true" strokeweight="1.56pt" strokecolor="#ffffff">
              <v:path arrowok="t"/>
              <v:stroke dashstyle="solid"/>
            </v:shape>
            <v:shape style="position:absolute;left:1212;top:126;width:1213;height:2408" coordorigin="1212,126" coordsize="1213,2408" path="m1356,126l1212,1330,1356,2534,1431,2523,1505,2507,1576,2487,1646,2462,1714,2434,1779,2402,1843,2366,1904,2326,1962,2283,2017,2237,2070,2187,2119,2135,2166,2079,2209,2021,2248,1961,2284,1897,2316,1832,2345,1764,2369,1694,2389,1623,2405,1549,2416,1474,2423,1398,2425,1322,2422,1247,2415,1173,2403,1101,2387,1029,2367,959,2343,891,2315,825,2283,761,2247,698,2208,638,2165,581,2119,526,2070,474,2018,424,1963,378,1905,335,1845,295,1782,259,1716,227,1648,198,1578,174,1506,154,1432,138,1356,126xe" filled="true" fillcolor="#385622" stroked="false">
              <v:path arrowok="t"/>
              <v:fill type="solid"/>
            </v:shape>
            <v:shape style="position:absolute;left:1212;top:126;width:1213;height:2408" coordorigin="1212,126" coordsize="1213,2408" path="m1356,126l1432,138,1506,154,1578,174,1648,198,1716,227,1782,259,1845,295,1905,335,1963,378,2018,424,2070,474,2119,526,2165,581,2208,638,2247,698,2283,761,2315,825,2343,891,2367,959,2387,1029,2403,1101,2415,1173,2422,1247,2425,1322,2423,1398,2416,1474,2405,1549,2389,1623,2369,1694,2345,1764,2316,1832,2284,1897,2248,1961,2209,2021,2166,2079,2119,2135,2070,2187,2017,2237,1962,2283,1904,2326,1843,2366,1779,2402,1714,2434,1646,2462,1576,2487,1505,2507,1431,2523,1356,2534,1212,1330,1356,126xe" filled="false" stroked="true" strokeweight="1.56pt" strokecolor="#ffffff">
              <v:path arrowok="t"/>
              <v:stroke dashstyle="solid"/>
            </v:shape>
            <v:shape style="position:absolute;left:1315;top:0;width:2;height:123" coordorigin="1316,0" coordsize="0,123" path="m1316,122l1316,91,1316,0e" filled="false" stroked="true" strokeweight=".72pt" strokecolor="#a6a6a6">
              <v:path arrowok="t"/>
              <v:stroke dashstyle="solid"/>
            </v:shape>
            <v:line style="position:absolute" from="1357,127" to="1561,12" stroked="true" strokeweight=".72pt" strokecolor="#a6a6a6">
              <v:stroke dashstyle="solid"/>
            </v:line>
            <v:shape style="position:absolute;left:3773;top:2006;width:2;height:152" coordorigin="3773,2006" coordsize="0,152" path="m3773,2006l3773,2069,3773,2158e" filled="false" stroked="true" strokeweight=".72pt" strokecolor="#a6a6a6">
              <v:path arrowok="t"/>
              <v:stroke dashstyle="solid"/>
            </v:shape>
            <v:shape style="position:absolute;left:560;top:370;width:602;height:479" type="#_x0000_t202" filled="false" stroked="false">
              <v:textbox inset="0,0,0,0">
                <w:txbxContent>
                  <w:p>
                    <w:pPr>
                      <w:spacing w:line="242" w:lineRule="auto" w:before="0"/>
                      <w:ind w:left="0" w:right="0" w:firstLine="43"/>
                      <w:jc w:val="left"/>
                      <w:rPr>
                        <w:b/>
                        <w:sz w:val="14"/>
                      </w:rPr>
                    </w:pPr>
                    <w:r>
                      <w:rPr>
                        <w:b/>
                        <w:color w:val="FFFFFF"/>
                        <w:sz w:val="14"/>
                      </w:rPr>
                      <w:t>Dosis de </w:t>
                    </w:r>
                    <w:r>
                      <w:rPr>
                        <w:b/>
                        <w:color w:val="FFFFFF"/>
                        <w:w w:val="95"/>
                        <w:sz w:val="14"/>
                      </w:rPr>
                      <w:t>Refuerzo; </w:t>
                    </w:r>
                    <w:r>
                      <w:rPr>
                        <w:b/>
                        <w:color w:val="FFFFFF"/>
                        <w:sz w:val="14"/>
                      </w:rPr>
                      <w:t>3,128,246</w:t>
                    </w:r>
                  </w:p>
                </w:txbxContent>
              </v:textbox>
              <w10:wrap type="none"/>
            </v:shape>
            <v:shape style="position:absolute;left:3127;top:750;width:844;height:155" type="#_x0000_t202" filled="false" stroked="false">
              <v:textbox inset="0,0,0,0">
                <w:txbxContent>
                  <w:p>
                    <w:pPr>
                      <w:spacing w:line="154" w:lineRule="exact" w:before="0"/>
                      <w:ind w:left="0" w:right="0" w:firstLine="0"/>
                      <w:jc w:val="left"/>
                      <w:rPr>
                        <w:sz w:val="14"/>
                      </w:rPr>
                    </w:pPr>
                    <w:r>
                      <w:rPr>
                        <w:sz w:val="14"/>
                      </w:rPr>
                      <w:t>Astrazeneca…</w:t>
                    </w:r>
                  </w:p>
                </w:txbxContent>
              </v:textbox>
              <w10:wrap type="none"/>
            </v:shape>
            <v:shape style="position:absolute;left:1379;top:1178;width:915;height:318" type="#_x0000_t202" filled="false" stroked="false">
              <v:textbox inset="0,0,0,0">
                <w:txbxContent>
                  <w:p>
                    <w:pPr>
                      <w:spacing w:line="242" w:lineRule="auto" w:before="0"/>
                      <w:ind w:left="168" w:right="-4" w:hanging="168"/>
                      <w:jc w:val="left"/>
                      <w:rPr>
                        <w:b/>
                        <w:sz w:val="14"/>
                      </w:rPr>
                    </w:pPr>
                    <w:r>
                      <w:rPr>
                        <w:b/>
                        <w:color w:val="FFFFFF"/>
                        <w:sz w:val="14"/>
                      </w:rPr>
                      <w:t>Primera Dosis; 8,312,407</w:t>
                    </w:r>
                  </w:p>
                </w:txbxContent>
              </v:textbox>
              <w10:wrap type="none"/>
            </v:shape>
            <v:shape style="position:absolute;left:3528;top:1102;width:580;height:318" type="#_x0000_t202" filled="false" stroked="false">
              <v:textbox inset="0,0,0,0">
                <w:txbxContent>
                  <w:p>
                    <w:pPr>
                      <w:spacing w:line="242" w:lineRule="auto" w:before="0"/>
                      <w:ind w:left="0" w:right="0" w:firstLine="48"/>
                      <w:jc w:val="left"/>
                      <w:rPr>
                        <w:sz w:val="14"/>
                      </w:rPr>
                    </w:pPr>
                    <w:r>
                      <w:rPr>
                        <w:sz w:val="14"/>
                      </w:rPr>
                      <w:t>Sputnik; 1,572,907</w:t>
                    </w:r>
                  </w:p>
                </w:txbxContent>
              </v:textbox>
              <w10:wrap type="none"/>
            </v:shape>
            <v:shape style="position:absolute;left:312;top:1577;width:674;height:318" type="#_x0000_t202" filled="false" stroked="false">
              <v:textbox inset="0,0,0,0">
                <w:txbxContent>
                  <w:p>
                    <w:pPr>
                      <w:spacing w:line="242" w:lineRule="auto" w:before="0"/>
                      <w:ind w:left="48" w:right="0" w:hanging="48"/>
                      <w:jc w:val="left"/>
                      <w:rPr>
                        <w:b/>
                        <w:sz w:val="14"/>
                      </w:rPr>
                    </w:pPr>
                    <w:r>
                      <w:rPr>
                        <w:b/>
                        <w:sz w:val="14"/>
                      </w:rPr>
                      <w:t>2da Dosis ; 6,350,977</w:t>
                    </w:r>
                  </w:p>
                </w:txbxContent>
              </v:textbox>
              <w10:wrap type="none"/>
            </v:shape>
            <v:shape style="position:absolute;left:2700;top:1360;width:580;height:318" type="#_x0000_t202" filled="false" stroked="false">
              <v:textbox inset="0,0,0,0">
                <w:txbxContent>
                  <w:p>
                    <w:pPr>
                      <w:spacing w:line="244" w:lineRule="auto" w:before="0"/>
                      <w:ind w:left="0" w:right="0" w:firstLine="9"/>
                      <w:jc w:val="left"/>
                      <w:rPr>
                        <w:sz w:val="14"/>
                      </w:rPr>
                    </w:pPr>
                    <w:r>
                      <w:rPr>
                        <w:sz w:val="14"/>
                      </w:rPr>
                      <w:t>Moderna; 3,534,058</w:t>
                    </w:r>
                  </w:p>
                </w:txbxContent>
              </v:textbox>
              <w10:wrap type="none"/>
            </v:shape>
            <v:shape style="position:absolute;left:3393;top:2164;width:580;height:318" type="#_x0000_t202" filled="false" stroked="false">
              <v:textbox inset="0,0,0,0">
                <w:txbxContent>
                  <w:p>
                    <w:pPr>
                      <w:spacing w:line="242" w:lineRule="auto" w:before="0"/>
                      <w:ind w:left="0" w:right="0" w:firstLine="96"/>
                      <w:jc w:val="left"/>
                      <w:rPr>
                        <w:sz w:val="14"/>
                      </w:rPr>
                    </w:pPr>
                    <w:r>
                      <w:rPr>
                        <w:sz w:val="14"/>
                      </w:rPr>
                      <w:t>Pfizer; 1,171,791</w:t>
                    </w:r>
                  </w:p>
                </w:txbxContent>
              </v:textbox>
              <w10:wrap type="none"/>
            </v:shape>
          </v:group>
        </w:pict>
      </w:r>
      <w:r>
        <w:rPr>
          <w:position w:val="26"/>
          <w:sz w:val="20"/>
        </w:rPr>
      </w:r>
      <w:r>
        <w:rPr>
          <w:position w:val="26"/>
          <w:sz w:val="20"/>
        </w:rPr>
        <w:tab/>
      </w:r>
      <w:r>
        <w:rPr>
          <w:sz w:val="20"/>
        </w:rPr>
        <w:pict>
          <v:group style="width:199.6pt;height:140.2pt;mso-position-horizontal-relative:char;mso-position-vertical-relative:line" coordorigin="0,0" coordsize="3992,2804">
            <v:line style="position:absolute" from="7,94" to="7,2796" stroked="true" strokeweight=".72pt" strokecolor="#d9d9d9">
              <v:stroke dashstyle="solid"/>
            </v:line>
            <v:line style="position:absolute" from="504,94" to="504,2796" stroked="true" strokeweight=".72pt" strokecolor="#d9d9d9">
              <v:stroke dashstyle="solid"/>
            </v:line>
            <v:rect style="position:absolute;left:64;top:2489;width:384;height:308" filled="true" fillcolor="#5b9bd4" stroked="false">
              <v:fill type="solid"/>
            </v:rect>
            <v:line style="position:absolute" from="1003,94" to="1003,2796" stroked="true" strokeweight=".72pt" strokecolor="#d9d9d9">
              <v:stroke dashstyle="solid"/>
            </v:line>
            <v:rect style="position:absolute;left:561;top:2121;width:384;height:675" filled="true" fillcolor="#5b9bd4" stroked="false">
              <v:fill type="solid"/>
            </v:rect>
            <v:rect style="position:absolute;left:64;top:2489;width:384;height:308" filled="false" stroked="true" strokeweight=".72pt" strokecolor="#000000">
              <v:stroke dashstyle="solid"/>
            </v:rect>
            <v:rect style="position:absolute;left:561;top:2121;width:384;height:675" filled="false" stroked="true" strokeweight=".72pt" strokecolor="#000000">
              <v:stroke dashstyle="solid"/>
            </v:rect>
            <v:line style="position:absolute" from="1500,94" to="1500,2796" stroked="true" strokeweight=".72pt" strokecolor="#d9d9d9">
              <v:stroke dashstyle="solid"/>
            </v:line>
            <v:rect style="position:absolute;left:1058;top:1982;width:384;height:814" filled="false" stroked="true" strokeweight=".72pt" strokecolor="#000000">
              <v:stroke dashstyle="solid"/>
            </v:rect>
            <v:line style="position:absolute" from="1997,94" to="1997,2796" stroked="true" strokeweight=".72pt" strokecolor="#d9d9d9">
              <v:stroke dashstyle="solid"/>
            </v:line>
            <v:rect style="position:absolute;left:1557;top:1944;width:382;height:852" filled="false" stroked="true" strokeweight=".72pt" strokecolor="#000000">
              <v:stroke dashstyle="solid"/>
            </v:rect>
            <v:line style="position:absolute" from="2494,94" to="2494,2796" stroked="true" strokeweight=".72pt" strokecolor="#d9d9d9">
              <v:stroke dashstyle="solid"/>
            </v:line>
            <v:rect style="position:absolute;left:2054;top:1872;width:382;height:924" filled="false" stroked="true" strokeweight=".72pt" strokecolor="#000000">
              <v:stroke dashstyle="solid"/>
            </v:rect>
            <v:line style="position:absolute" from="2990,94" to="2990,2796" stroked="true" strokeweight=".72pt" strokecolor="#d9d9d9">
              <v:stroke dashstyle="solid"/>
            </v:line>
            <v:rect style="position:absolute;left:2551;top:1836;width:382;height:960" filled="false" stroked="true" strokeweight=".72pt" strokecolor="#000000">
              <v:stroke dashstyle="solid"/>
            </v:rect>
            <v:line style="position:absolute" from="3487,94" to="3487,2796" stroked="true" strokeweight=".72pt" strokecolor="#d9d9d9">
              <v:stroke dashstyle="solid"/>
            </v:line>
            <v:rect style="position:absolute;left:3048;top:1797;width:382;height:999" filled="false" stroked="true" strokeweight=".72pt" strokecolor="#000000">
              <v:stroke dashstyle="solid"/>
            </v:rect>
            <v:line style="position:absolute" from="3984,94" to="3984,2796" stroked="true" strokeweight=".72pt" strokecolor="#d9d9d9">
              <v:stroke dashstyle="solid"/>
            </v:line>
            <v:rect style="position:absolute;left:3544;top:1992;width:382;height:804" filled="false" stroked="true" strokeweight=".72pt" strokecolor="#000000">
              <v:stroke dashstyle="solid"/>
            </v:rect>
            <v:rect style="position:absolute;left:561;top:1629;width:384;height:492" filled="true" fillcolor="#a4a4a4" stroked="false">
              <v:fill type="solid"/>
            </v:rect>
            <v:rect style="position:absolute;left:561;top:1629;width:384;height:492" filled="false" stroked="true" strokeweight=".72pt" strokecolor="#000000">
              <v:stroke dashstyle="solid"/>
            </v:rect>
            <v:rect style="position:absolute;left:1058;top:1365;width:384;height:617" filled="false" stroked="true" strokeweight=".72pt" strokecolor="#000000">
              <v:stroke dashstyle="solid"/>
            </v:rect>
            <v:rect style="position:absolute;left:1557;top:1241;width:382;height:704" filled="false" stroked="true" strokeweight=".72pt" strokecolor="#000000">
              <v:stroke dashstyle="solid"/>
            </v:rect>
            <v:rect style="position:absolute;left:2054;top:1075;width:382;height:797" filled="false" stroked="true" strokeweight=".72pt" strokecolor="#000000">
              <v:stroke dashstyle="solid"/>
            </v:rect>
            <v:rect style="position:absolute;left:2551;top:989;width:382;height:848" filled="false" stroked="true" strokeweight=".72pt" strokecolor="#000000">
              <v:stroke dashstyle="solid"/>
            </v:rect>
            <v:rect style="position:absolute;left:3048;top:895;width:382;height:903" filled="false" stroked="true" strokeweight=".72pt" strokecolor="#000000">
              <v:stroke dashstyle="solid"/>
            </v:rect>
            <v:rect style="position:absolute;left:3544;top:1265;width:382;height:728" filled="false" stroked="true" strokeweight=".72pt" strokecolor="#000000">
              <v:stroke dashstyle="solid"/>
            </v:rect>
            <v:rect style="position:absolute;left:561;top:1538;width:384;height:92" filled="true" fillcolor="#4471c4" stroked="false">
              <v:fill type="solid"/>
            </v:rect>
            <v:rect style="position:absolute;left:561;top:1538;width:384;height:92" filled="false" stroked="true" strokeweight=".72pt" strokecolor="#000000">
              <v:stroke dashstyle="solid"/>
            </v:rect>
            <v:rect style="position:absolute;left:1058;top:1097;width:384;height:269" filled="false" stroked="true" strokeweight=".72pt" strokecolor="#000000">
              <v:stroke dashstyle="solid"/>
            </v:rect>
            <v:rect style="position:absolute;left:1557;top:873;width:382;height:368" filled="false" stroked="true" strokeweight=".72pt" strokecolor="#000000">
              <v:stroke dashstyle="solid"/>
            </v:rect>
            <v:rect style="position:absolute;left:2054;top:624;width:382;height:452" filled="false" stroked="true" strokeweight=".72pt" strokecolor="#000000">
              <v:stroke dashstyle="solid"/>
            </v:rect>
            <v:rect style="position:absolute;left:2551;top:468;width:382;height:521" filled="false" stroked="true" strokeweight=".72pt" strokecolor="#000000">
              <v:stroke dashstyle="solid"/>
            </v:rect>
            <v:rect style="position:absolute;left:3048;top:295;width:382;height:600" filled="false" stroked="true" strokeweight=".72pt" strokecolor="#000000">
              <v:stroke dashstyle="solid"/>
            </v:rect>
            <v:rect style="position:absolute;left:3544;top:758;width:382;height:507" filled="false" stroked="true" strokeweight=".72pt" strokecolor="#000000">
              <v:stroke dashstyle="solid"/>
            </v:rect>
            <v:line style="position:absolute" from="1058,1093" to="1442,1093" stroked="true" strokeweight=".36pt" strokecolor="#c00000">
              <v:stroke dashstyle="solid"/>
            </v:line>
            <v:line style="position:absolute" from="1558,867" to="1939,867" stroked="true" strokeweight=".72pt" strokecolor="#c00000">
              <v:stroke dashstyle="solid"/>
            </v:line>
            <v:rect style="position:absolute;left:2054;top:602;width:382;height:22" filled="true" fillcolor="#c00000" stroked="false">
              <v:fill type="solid"/>
            </v:rect>
            <v:rect style="position:absolute;left:2551;top:417;width:382;height:51" filled="true" fillcolor="#c00000" stroked="false">
              <v:fill type="solid"/>
            </v:rect>
            <v:rect style="position:absolute;left:3048;top:213;width:382;height:82" filled="true" fillcolor="#c00000" stroked="false">
              <v:fill type="solid"/>
            </v:rect>
            <v:rect style="position:absolute;left:3544;top:677;width:382;height:82" filled="true" fillcolor="#c00000" stroked="false">
              <v:fill type="solid"/>
            </v:rect>
            <v:rect style="position:absolute;left:1051;top:1082;width:399;height:22" filled="true" fillcolor="#000000" stroked="false">
              <v:fill type="solid"/>
            </v:rect>
            <v:line style="position:absolute" from="1550,867" to="1946,867" stroked="true" strokeweight="1.44pt" strokecolor="#000000">
              <v:stroke dashstyle="solid"/>
            </v:line>
            <v:rect style="position:absolute;left:2047;top:595;width:396;height:36" filled="true" fillcolor="#000000" stroked="false">
              <v:fill type="solid"/>
            </v:rect>
            <v:rect style="position:absolute;left:2551;top:417;width:382;height:51" filled="false" stroked="true" strokeweight=".72pt" strokecolor="#000000">
              <v:stroke dashstyle="solid"/>
            </v:rect>
            <v:rect style="position:absolute;left:3048;top:213;width:382;height:82" filled="false" stroked="true" strokeweight=".72pt" strokecolor="#000000">
              <v:stroke dashstyle="solid"/>
            </v:rect>
            <v:rect style="position:absolute;left:3544;top:677;width:382;height:82" filled="false" stroked="true" strokeweight=".72pt" strokecolor="#000000">
              <v:stroke dashstyle="solid"/>
            </v:rect>
            <v:line style="position:absolute" from="7,2796" to="3984,2796" stroked="true" strokeweight=".72pt" strokecolor="#d9d9d9">
              <v:stroke dashstyle="solid"/>
            </v:line>
            <v:shape style="position:absolute;left:3118;top:0;width:265;height:155" type="#_x0000_t202" filled="false" stroked="false">
              <v:textbox inset="0,0,0,0">
                <w:txbxContent>
                  <w:p>
                    <w:pPr>
                      <w:spacing w:line="154" w:lineRule="exact" w:before="0"/>
                      <w:ind w:left="0" w:right="0" w:firstLine="0"/>
                      <w:jc w:val="left"/>
                      <w:rPr>
                        <w:b/>
                        <w:sz w:val="14"/>
                      </w:rPr>
                    </w:pPr>
                    <w:r>
                      <w:rPr>
                        <w:b/>
                        <w:color w:val="FF0000"/>
                        <w:sz w:val="14"/>
                      </w:rPr>
                      <w:t>6.09</w:t>
                    </w:r>
                  </w:p>
                </w:txbxContent>
              </v:textbox>
              <w10:wrap type="none"/>
            </v:shape>
            <v:shape style="position:absolute;left:2620;top:249;width:265;height:155" type="#_x0000_t202" filled="false" stroked="false">
              <v:textbox inset="0,0,0,0">
                <w:txbxContent>
                  <w:p>
                    <w:pPr>
                      <w:spacing w:line="154" w:lineRule="exact" w:before="0"/>
                      <w:ind w:left="0" w:right="0" w:firstLine="0"/>
                      <w:jc w:val="left"/>
                      <w:rPr>
                        <w:b/>
                        <w:sz w:val="14"/>
                      </w:rPr>
                    </w:pPr>
                    <w:r>
                      <w:rPr>
                        <w:b/>
                        <w:color w:val="FF0000"/>
                        <w:sz w:val="14"/>
                      </w:rPr>
                      <w:t>3.88</w:t>
                    </w:r>
                  </w:p>
                </w:txbxContent>
              </v:textbox>
              <w10:wrap type="none"/>
            </v:shape>
            <v:shape style="position:absolute;left:2103;top:399;width:265;height:155" type="#_x0000_t202" filled="false" stroked="false">
              <v:textbox inset="0,0,0,0">
                <w:txbxContent>
                  <w:p>
                    <w:pPr>
                      <w:spacing w:line="154" w:lineRule="exact" w:before="0"/>
                      <w:ind w:left="0" w:right="0" w:firstLine="0"/>
                      <w:jc w:val="left"/>
                      <w:rPr>
                        <w:b/>
                        <w:sz w:val="14"/>
                      </w:rPr>
                    </w:pPr>
                    <w:r>
                      <w:rPr>
                        <w:b/>
                        <w:color w:val="FF0000"/>
                        <w:sz w:val="14"/>
                      </w:rPr>
                      <w:t>1.57</w:t>
                    </w:r>
                  </w:p>
                </w:txbxContent>
              </v:textbox>
              <w10:wrap type="none"/>
            </v:shape>
            <v:shape style="position:absolute;left:3614;top:523;width:265;height:155" type="#_x0000_t202" filled="false" stroked="false">
              <v:textbox inset="0,0,0,0">
                <w:txbxContent>
                  <w:p>
                    <w:pPr>
                      <w:spacing w:line="154" w:lineRule="exact" w:before="0"/>
                      <w:ind w:left="0" w:right="0" w:firstLine="0"/>
                      <w:jc w:val="left"/>
                      <w:rPr>
                        <w:b/>
                        <w:sz w:val="14"/>
                      </w:rPr>
                    </w:pPr>
                    <w:r>
                      <w:rPr>
                        <w:b/>
                        <w:color w:val="FF0000"/>
                        <w:sz w:val="14"/>
                      </w:rPr>
                      <w:t>6.03</w:t>
                    </w:r>
                  </w:p>
                </w:txbxContent>
              </v:textbox>
              <w10:wrap type="none"/>
            </v:shape>
            <v:shape style="position:absolute;left:1626;top:653;width:265;height:155" type="#_x0000_t202" filled="false" stroked="false">
              <v:textbox inset="0,0,0,0">
                <w:txbxContent>
                  <w:p>
                    <w:pPr>
                      <w:spacing w:line="154" w:lineRule="exact" w:before="0"/>
                      <w:ind w:left="0" w:right="0" w:firstLine="0"/>
                      <w:jc w:val="left"/>
                      <w:rPr>
                        <w:b/>
                        <w:sz w:val="14"/>
                      </w:rPr>
                    </w:pPr>
                    <w:r>
                      <w:rPr>
                        <w:b/>
                        <w:color w:val="FF0000"/>
                        <w:sz w:val="14"/>
                      </w:rPr>
                      <w:t>1.05</w:t>
                    </w:r>
                  </w:p>
                </w:txbxContent>
              </v:textbox>
              <w10:wrap type="none"/>
            </v:shape>
            <v:shape style="position:absolute;left:1129;top:878;width:265;height:155" type="#_x0000_t202" filled="false" stroked="false">
              <v:textbox inset="0,0,0,0">
                <w:txbxContent>
                  <w:p>
                    <w:pPr>
                      <w:spacing w:line="154" w:lineRule="exact" w:before="0"/>
                      <w:ind w:left="0" w:right="0" w:firstLine="0"/>
                      <w:jc w:val="left"/>
                      <w:rPr>
                        <w:b/>
                        <w:sz w:val="14"/>
                      </w:rPr>
                    </w:pPr>
                    <w:r>
                      <w:rPr>
                        <w:b/>
                        <w:color w:val="FF0000"/>
                        <w:sz w:val="14"/>
                      </w:rPr>
                      <w:t>0.56</w:t>
                    </w:r>
                  </w:p>
                </w:txbxContent>
              </v:textbox>
              <w10:wrap type="none"/>
            </v:shape>
            <v:shape style="position:absolute;left:596;top:1390;width:335;height:567" type="#_x0000_t202" filled="false" stroked="false">
              <v:textbox inset="0,0,0,0">
                <w:txbxContent>
                  <w:p>
                    <w:pPr>
                      <w:spacing w:line="154" w:lineRule="exact" w:before="0"/>
                      <w:ind w:left="36" w:right="0" w:firstLine="0"/>
                      <w:jc w:val="left"/>
                      <w:rPr>
                        <w:b/>
                        <w:sz w:val="14"/>
                      </w:rPr>
                    </w:pPr>
                    <w:r>
                      <w:rPr>
                        <w:b/>
                        <w:color w:val="1F3863"/>
                        <w:sz w:val="14"/>
                      </w:rPr>
                      <w:t>6.85</w:t>
                    </w:r>
                  </w:p>
                  <w:p>
                    <w:pPr>
                      <w:spacing w:line="240" w:lineRule="auto" w:before="0"/>
                      <w:rPr>
                        <w:b/>
                        <w:sz w:val="14"/>
                      </w:rPr>
                    </w:pPr>
                  </w:p>
                  <w:p>
                    <w:pPr>
                      <w:spacing w:before="90"/>
                      <w:ind w:left="0" w:right="0" w:firstLine="0"/>
                      <w:jc w:val="left"/>
                      <w:rPr>
                        <w:b/>
                        <w:sz w:val="14"/>
                      </w:rPr>
                    </w:pPr>
                    <w:r>
                      <w:rPr>
                        <w:b/>
                        <w:color w:val="FFFFFF"/>
                        <w:sz w:val="14"/>
                      </w:rPr>
                      <w:t>36.45</w:t>
                    </w:r>
                  </w:p>
                </w:txbxContent>
              </v:textbox>
              <w10:wrap type="none"/>
            </v:shape>
            <v:shape style="position:absolute;left:596;top:2385;width:335;height:155" type="#_x0000_t202" filled="false" stroked="false">
              <v:textbox inset="0,0,0,0">
                <w:txbxContent>
                  <w:p>
                    <w:pPr>
                      <w:spacing w:line="154" w:lineRule="exact" w:before="0"/>
                      <w:ind w:left="0" w:right="0" w:firstLine="0"/>
                      <w:jc w:val="left"/>
                      <w:rPr>
                        <w:b/>
                        <w:sz w:val="14"/>
                      </w:rPr>
                    </w:pPr>
                    <w:r>
                      <w:rPr>
                        <w:b/>
                        <w:color w:val="FFFFFF"/>
                        <w:sz w:val="14"/>
                      </w:rPr>
                      <w:t>49.87</w:t>
                    </w:r>
                  </w:p>
                </w:txbxContent>
              </v:textbox>
              <w10:wrap type="none"/>
            </v:shape>
            <v:shape style="position:absolute;left:3494;top:1985;width:454;height:804" type="#_x0000_t202" filled="true" fillcolor="#5b9bd4" stroked="false">
              <v:textbox inset="0,0,0,0">
                <w:txbxContent>
                  <w:p>
                    <w:pPr>
                      <w:spacing w:line="240" w:lineRule="auto" w:before="0"/>
                      <w:rPr>
                        <w:sz w:val="14"/>
                      </w:rPr>
                    </w:pPr>
                  </w:p>
                  <w:p>
                    <w:pPr>
                      <w:spacing w:line="240" w:lineRule="auto" w:before="7"/>
                      <w:rPr>
                        <w:sz w:val="14"/>
                      </w:rPr>
                    </w:pPr>
                  </w:p>
                  <w:p>
                    <w:pPr>
                      <w:spacing w:before="0"/>
                      <w:ind w:left="84" w:right="0" w:firstLine="0"/>
                      <w:jc w:val="left"/>
                      <w:rPr>
                        <w:b/>
                        <w:sz w:val="14"/>
                      </w:rPr>
                    </w:pPr>
                    <w:r>
                      <w:rPr>
                        <w:b/>
                        <w:color w:val="FFFFFF"/>
                        <w:sz w:val="14"/>
                      </w:rPr>
                      <w:t>59.42</w:t>
                    </w:r>
                  </w:p>
                </w:txbxContent>
              </v:textbox>
              <v:fill type="solid"/>
              <w10:wrap type="none"/>
            </v:shape>
            <v:shape style="position:absolute;left:1507;top:1977;width:483;height:812" type="#_x0000_t202" filled="true" fillcolor="#5b9bd4" stroked="false">
              <v:textbox inset="0,0,0,0">
                <w:txbxContent>
                  <w:p>
                    <w:pPr>
                      <w:spacing w:line="240" w:lineRule="auto" w:before="0"/>
                      <w:rPr>
                        <w:sz w:val="14"/>
                      </w:rPr>
                    </w:pPr>
                  </w:p>
                  <w:p>
                    <w:pPr>
                      <w:spacing w:line="240" w:lineRule="auto" w:before="0"/>
                      <w:rPr>
                        <w:sz w:val="13"/>
                      </w:rPr>
                    </w:pPr>
                  </w:p>
                  <w:p>
                    <w:pPr>
                      <w:spacing w:before="1"/>
                      <w:ind w:left="83" w:right="0" w:firstLine="0"/>
                      <w:jc w:val="left"/>
                      <w:rPr>
                        <w:b/>
                        <w:sz w:val="14"/>
                      </w:rPr>
                    </w:pPr>
                    <w:r>
                      <w:rPr>
                        <w:b/>
                        <w:color w:val="FFFFFF"/>
                        <w:sz w:val="14"/>
                      </w:rPr>
                      <w:t>63.11</w:t>
                    </w:r>
                  </w:p>
                </w:txbxContent>
              </v:textbox>
              <v:fill type="solid"/>
              <w10:wrap type="none"/>
            </v:shape>
            <v:shape style="position:absolute;left:1038;top:1977;width:455;height:812" type="#_x0000_t202" filled="true" fillcolor="#5b9bd4" stroked="false">
              <v:textbox inset="0,0,0,0">
                <w:txbxContent>
                  <w:p>
                    <w:pPr>
                      <w:spacing w:line="240" w:lineRule="auto" w:before="0"/>
                      <w:rPr>
                        <w:sz w:val="14"/>
                      </w:rPr>
                    </w:pPr>
                  </w:p>
                  <w:p>
                    <w:pPr>
                      <w:spacing w:line="240" w:lineRule="auto" w:before="9"/>
                      <w:rPr>
                        <w:sz w:val="14"/>
                      </w:rPr>
                    </w:pPr>
                  </w:p>
                  <w:p>
                    <w:pPr>
                      <w:spacing w:before="0"/>
                      <w:ind w:left="55" w:right="0" w:firstLine="0"/>
                      <w:jc w:val="left"/>
                      <w:rPr>
                        <w:b/>
                        <w:sz w:val="14"/>
                      </w:rPr>
                    </w:pPr>
                    <w:r>
                      <w:rPr>
                        <w:b/>
                        <w:color w:val="FFFFFF"/>
                        <w:sz w:val="14"/>
                      </w:rPr>
                      <w:t>60.13</w:t>
                    </w:r>
                  </w:p>
                </w:txbxContent>
              </v:textbox>
              <v:fill type="solid"/>
              <w10:wrap type="none"/>
            </v:shape>
            <v:shape style="position:absolute;left:2997;top:1838;width:483;height:951" type="#_x0000_t202" filled="true" fillcolor="#5b9bd4" stroked="false">
              <v:textbox inset="0,0,0,0">
                <w:txbxContent>
                  <w:p>
                    <w:pPr>
                      <w:spacing w:line="240" w:lineRule="auto" w:before="0"/>
                      <w:rPr>
                        <w:sz w:val="14"/>
                      </w:rPr>
                    </w:pPr>
                  </w:p>
                  <w:p>
                    <w:pPr>
                      <w:spacing w:line="240" w:lineRule="auto" w:before="11"/>
                      <w:rPr>
                        <w:sz w:val="18"/>
                      </w:rPr>
                    </w:pPr>
                  </w:p>
                  <w:p>
                    <w:pPr>
                      <w:spacing w:before="0"/>
                      <w:ind w:left="84" w:right="0" w:firstLine="0"/>
                      <w:jc w:val="left"/>
                      <w:rPr>
                        <w:b/>
                        <w:sz w:val="14"/>
                      </w:rPr>
                    </w:pPr>
                    <w:r>
                      <w:rPr>
                        <w:b/>
                        <w:color w:val="FFFFFF"/>
                        <w:sz w:val="14"/>
                      </w:rPr>
                      <w:t>73.82</w:t>
                    </w:r>
                  </w:p>
                </w:txbxContent>
              </v:textbox>
              <v:fill type="solid"/>
              <w10:wrap type="none"/>
            </v:shape>
            <v:shape style="position:absolute;left:2500;top:1838;width:483;height:951" type="#_x0000_t202" filled="true" fillcolor="#5b9bd4" stroked="false">
              <v:textbox inset="0,0,0,0">
                <w:txbxContent>
                  <w:p>
                    <w:pPr>
                      <w:spacing w:line="240" w:lineRule="auto" w:before="0"/>
                      <w:rPr>
                        <w:sz w:val="14"/>
                      </w:rPr>
                    </w:pPr>
                  </w:p>
                  <w:p>
                    <w:pPr>
                      <w:spacing w:line="240" w:lineRule="auto" w:before="6"/>
                      <w:rPr>
                        <w:sz w:val="20"/>
                      </w:rPr>
                    </w:pPr>
                  </w:p>
                  <w:p>
                    <w:pPr>
                      <w:spacing w:before="1"/>
                      <w:ind w:left="83" w:right="0" w:firstLine="0"/>
                      <w:jc w:val="left"/>
                      <w:rPr>
                        <w:b/>
                        <w:sz w:val="14"/>
                      </w:rPr>
                    </w:pPr>
                    <w:r>
                      <w:rPr>
                        <w:b/>
                        <w:color w:val="FFFFFF"/>
                        <w:sz w:val="14"/>
                      </w:rPr>
                      <w:t>71.02</w:t>
                    </w:r>
                  </w:p>
                </w:txbxContent>
              </v:textbox>
              <v:fill type="solid"/>
              <w10:wrap type="none"/>
            </v:shape>
            <v:shape style="position:absolute;left:2004;top:1838;width:483;height:951" type="#_x0000_t202" filled="true" fillcolor="#5b9bd4" stroked="false">
              <v:textbox inset="0,0,0,0">
                <w:txbxContent>
                  <w:p>
                    <w:pPr>
                      <w:spacing w:line="240" w:lineRule="auto" w:before="0"/>
                      <w:rPr>
                        <w:sz w:val="14"/>
                      </w:rPr>
                    </w:pPr>
                  </w:p>
                  <w:p>
                    <w:pPr>
                      <w:spacing w:line="240" w:lineRule="auto" w:before="0"/>
                      <w:rPr>
                        <w:sz w:val="14"/>
                      </w:rPr>
                    </w:pPr>
                  </w:p>
                  <w:p>
                    <w:pPr>
                      <w:spacing w:before="93"/>
                      <w:ind w:left="83" w:right="0" w:firstLine="0"/>
                      <w:jc w:val="left"/>
                      <w:rPr>
                        <w:b/>
                        <w:sz w:val="14"/>
                      </w:rPr>
                    </w:pPr>
                    <w:r>
                      <w:rPr>
                        <w:b/>
                        <w:color w:val="FFFFFF"/>
                        <w:sz w:val="14"/>
                      </w:rPr>
                      <w:t>68.45</w:t>
                    </w:r>
                  </w:p>
                </w:txbxContent>
              </v:textbox>
              <v:fill type="solid"/>
              <w10:wrap type="none"/>
            </v:shape>
            <v:shape style="position:absolute;left:1038;top:1373;width:455;height:591" type="#_x0000_t202" filled="true" fillcolor="#a4a4a4" stroked="false">
              <v:textbox inset="0,0,0,0">
                <w:txbxContent>
                  <w:p>
                    <w:pPr>
                      <w:spacing w:line="240" w:lineRule="auto" w:before="3"/>
                      <w:rPr>
                        <w:sz w:val="19"/>
                      </w:rPr>
                    </w:pPr>
                  </w:p>
                  <w:p>
                    <w:pPr>
                      <w:spacing w:before="0"/>
                      <w:ind w:left="55" w:right="0" w:firstLine="0"/>
                      <w:jc w:val="left"/>
                      <w:rPr>
                        <w:b/>
                        <w:sz w:val="14"/>
                      </w:rPr>
                    </w:pPr>
                    <w:r>
                      <w:rPr>
                        <w:b/>
                        <w:color w:val="FFFFFF"/>
                        <w:sz w:val="14"/>
                      </w:rPr>
                      <w:t>45.71</w:t>
                    </w:r>
                  </w:p>
                </w:txbxContent>
              </v:textbox>
              <v:fill type="solid"/>
              <w10:wrap type="none"/>
            </v:shape>
            <v:shape style="position:absolute;left:3494;top:1260;width:454;height:711" type="#_x0000_t202" filled="true" fillcolor="#a4a4a4" stroked="false">
              <v:textbox inset="0,0,0,0">
                <w:txbxContent>
                  <w:p>
                    <w:pPr>
                      <w:spacing w:line="240" w:lineRule="auto" w:before="0"/>
                      <w:rPr>
                        <w:sz w:val="14"/>
                      </w:rPr>
                    </w:pPr>
                  </w:p>
                  <w:p>
                    <w:pPr>
                      <w:spacing w:line="240" w:lineRule="auto" w:before="0"/>
                      <w:rPr>
                        <w:sz w:val="11"/>
                      </w:rPr>
                    </w:pPr>
                  </w:p>
                  <w:p>
                    <w:pPr>
                      <w:spacing w:before="0"/>
                      <w:ind w:left="84" w:right="0" w:firstLine="0"/>
                      <w:jc w:val="left"/>
                      <w:rPr>
                        <w:b/>
                        <w:sz w:val="14"/>
                      </w:rPr>
                    </w:pPr>
                    <w:r>
                      <w:rPr>
                        <w:b/>
                        <w:color w:val="FFFFFF"/>
                        <w:sz w:val="14"/>
                      </w:rPr>
                      <w:t>54.01</w:t>
                    </w:r>
                  </w:p>
                </w:txbxContent>
              </v:textbox>
              <v:fill type="solid"/>
              <w10:wrap type="none"/>
            </v:shape>
            <v:shape style="position:absolute;left:1507;top:1260;width:483;height:704" type="#_x0000_t202" filled="true" fillcolor="#a4a4a4" stroked="false">
              <v:textbox inset="0,0,0,0">
                <w:txbxContent>
                  <w:p>
                    <w:pPr>
                      <w:spacing w:line="240" w:lineRule="auto" w:before="0"/>
                      <w:rPr>
                        <w:sz w:val="14"/>
                      </w:rPr>
                    </w:pPr>
                  </w:p>
                  <w:p>
                    <w:pPr>
                      <w:spacing w:before="90"/>
                      <w:ind w:left="119" w:right="0" w:firstLine="0"/>
                      <w:jc w:val="left"/>
                      <w:rPr>
                        <w:b/>
                        <w:sz w:val="14"/>
                      </w:rPr>
                    </w:pPr>
                    <w:r>
                      <w:rPr>
                        <w:b/>
                        <w:color w:val="FFFFFF"/>
                        <w:sz w:val="14"/>
                      </w:rPr>
                      <w:t>52.1</w:t>
                    </w:r>
                  </w:p>
                </w:txbxContent>
              </v:textbox>
              <v:fill type="solid"/>
              <w10:wrap type="none"/>
            </v:shape>
            <v:shape style="position:absolute;left:2004;top:1091;width:483;height:732" type="#_x0000_t202" filled="true" fillcolor="#a4a4a4" stroked="false">
              <v:textbox inset="0,0,0,0">
                <w:txbxContent>
                  <w:p>
                    <w:pPr>
                      <w:spacing w:line="240" w:lineRule="auto" w:before="0"/>
                      <w:rPr>
                        <w:sz w:val="14"/>
                      </w:rPr>
                    </w:pPr>
                  </w:p>
                  <w:p>
                    <w:pPr>
                      <w:spacing w:line="240" w:lineRule="auto" w:before="1"/>
                      <w:rPr>
                        <w:sz w:val="12"/>
                      </w:rPr>
                    </w:pPr>
                  </w:p>
                  <w:p>
                    <w:pPr>
                      <w:spacing w:before="1"/>
                      <w:ind w:left="83" w:right="0" w:firstLine="0"/>
                      <w:jc w:val="left"/>
                      <w:rPr>
                        <w:b/>
                        <w:sz w:val="14"/>
                      </w:rPr>
                    </w:pPr>
                    <w:r>
                      <w:rPr>
                        <w:b/>
                        <w:color w:val="FFFFFF"/>
                        <w:sz w:val="14"/>
                      </w:rPr>
                      <w:t>58.96</w:t>
                    </w:r>
                  </w:p>
                </w:txbxContent>
              </v:textbox>
              <v:fill type="solid"/>
              <w10:wrap type="none"/>
            </v:shape>
            <v:shape style="position:absolute;left:1038;top:1095;width:455;height:264" type="#_x0000_t202" filled="true" fillcolor="#4471c4" stroked="false">
              <v:textbox inset="0,0,0,0">
                <w:txbxContent>
                  <w:p>
                    <w:pPr>
                      <w:spacing w:before="55"/>
                      <w:ind w:left="144" w:right="0" w:firstLine="0"/>
                      <w:jc w:val="left"/>
                      <w:rPr>
                        <w:b/>
                        <w:sz w:val="14"/>
                      </w:rPr>
                    </w:pPr>
                    <w:r>
                      <w:rPr>
                        <w:b/>
                        <w:color w:val="1F3863"/>
                        <w:sz w:val="14"/>
                      </w:rPr>
                      <w:t>20</w:t>
                    </w:r>
                  </w:p>
                </w:txbxContent>
              </v:textbox>
              <v:fill type="solid"/>
              <w10:wrap type="none"/>
            </v:shape>
            <v:shape style="position:absolute;left:2500;top:996;width:483;height:828" type="#_x0000_t202" filled="true" fillcolor="#a4a4a4" stroked="false">
              <v:textbox inset="0,0,0,0">
                <w:txbxContent>
                  <w:p>
                    <w:pPr>
                      <w:spacing w:line="240" w:lineRule="auto" w:before="0"/>
                      <w:rPr>
                        <w:sz w:val="14"/>
                      </w:rPr>
                    </w:pPr>
                  </w:p>
                  <w:p>
                    <w:pPr>
                      <w:spacing w:line="240" w:lineRule="auto" w:before="2"/>
                      <w:rPr>
                        <w:sz w:val="15"/>
                      </w:rPr>
                    </w:pPr>
                  </w:p>
                  <w:p>
                    <w:pPr>
                      <w:spacing w:before="0"/>
                      <w:ind w:left="83" w:right="0" w:firstLine="0"/>
                      <w:jc w:val="left"/>
                      <w:rPr>
                        <w:b/>
                        <w:sz w:val="14"/>
                      </w:rPr>
                    </w:pPr>
                    <w:r>
                      <w:rPr>
                        <w:b/>
                        <w:color w:val="FFFFFF"/>
                        <w:sz w:val="14"/>
                      </w:rPr>
                      <w:t>62.83</w:t>
                    </w:r>
                  </w:p>
                </w:txbxContent>
              </v:textbox>
              <v:fill type="solid"/>
              <w10:wrap type="none"/>
            </v:shape>
            <v:shape style="position:absolute;left:2997;top:888;width:483;height:936" type="#_x0000_t202" filled="true" fillcolor="#a4a4a4" stroked="false">
              <v:textbox inset="0,0,0,0">
                <w:txbxContent>
                  <w:p>
                    <w:pPr>
                      <w:spacing w:line="240" w:lineRule="auto" w:before="0"/>
                      <w:rPr>
                        <w:sz w:val="14"/>
                      </w:rPr>
                    </w:pPr>
                  </w:p>
                  <w:p>
                    <w:pPr>
                      <w:spacing w:line="240" w:lineRule="auto" w:before="10"/>
                      <w:rPr>
                        <w:sz w:val="18"/>
                      </w:rPr>
                    </w:pPr>
                  </w:p>
                  <w:p>
                    <w:pPr>
                      <w:spacing w:before="0"/>
                      <w:ind w:left="84" w:right="0" w:firstLine="0"/>
                      <w:jc w:val="left"/>
                      <w:rPr>
                        <w:b/>
                        <w:sz w:val="14"/>
                      </w:rPr>
                    </w:pPr>
                    <w:r>
                      <w:rPr>
                        <w:b/>
                        <w:color w:val="FFFFFF"/>
                        <w:sz w:val="14"/>
                      </w:rPr>
                      <w:t>66.85</w:t>
                    </w:r>
                  </w:p>
                </w:txbxContent>
              </v:textbox>
              <v:fill type="solid"/>
              <w10:wrap type="none"/>
            </v:shape>
            <v:shape style="position:absolute;left:1507;top:895;width:483;height:351" type="#_x0000_t202" filled="true" fillcolor="#4471c4" stroked="false">
              <v:textbox inset="0,0,0,0">
                <w:txbxContent>
                  <w:p>
                    <w:pPr>
                      <w:spacing w:before="81"/>
                      <w:ind w:left="83" w:right="0" w:firstLine="0"/>
                      <w:jc w:val="left"/>
                      <w:rPr>
                        <w:b/>
                        <w:sz w:val="14"/>
                      </w:rPr>
                    </w:pPr>
                    <w:r>
                      <w:rPr>
                        <w:b/>
                        <w:color w:val="1F3863"/>
                        <w:sz w:val="14"/>
                      </w:rPr>
                      <w:t>27.05</w:t>
                    </w:r>
                  </w:p>
                </w:txbxContent>
              </v:textbox>
              <v:fill type="solid"/>
              <w10:wrap type="none"/>
            </v:shape>
            <v:shape style="position:absolute;left:3494;top:765;width:454;height:480" type="#_x0000_t202" filled="true" fillcolor="#4471c4" stroked="false">
              <v:textbox inset="0,0,0,0">
                <w:txbxContent>
                  <w:p>
                    <w:pPr>
                      <w:spacing w:line="240" w:lineRule="auto" w:before="3"/>
                      <w:rPr>
                        <w:sz w:val="14"/>
                      </w:rPr>
                    </w:pPr>
                  </w:p>
                  <w:p>
                    <w:pPr>
                      <w:spacing w:before="1"/>
                      <w:ind w:left="84" w:right="0" w:firstLine="0"/>
                      <w:jc w:val="left"/>
                      <w:rPr>
                        <w:b/>
                        <w:sz w:val="14"/>
                      </w:rPr>
                    </w:pPr>
                    <w:r>
                      <w:rPr>
                        <w:b/>
                        <w:color w:val="1F3863"/>
                        <w:sz w:val="14"/>
                      </w:rPr>
                      <w:t>37.44</w:t>
                    </w:r>
                  </w:p>
                </w:txbxContent>
              </v:textbox>
              <v:fill type="solid"/>
              <w10:wrap type="none"/>
            </v:shape>
            <v:shape style="position:absolute;left:2004;top:631;width:483;height:446" type="#_x0000_t202" filled="true" fillcolor="#4471c4" stroked="false">
              <v:textbox inset="0,0,0,0">
                <w:txbxContent>
                  <w:p>
                    <w:pPr>
                      <w:spacing w:line="240" w:lineRule="auto" w:before="11"/>
                      <w:rPr>
                        <w:sz w:val="11"/>
                      </w:rPr>
                    </w:pPr>
                  </w:p>
                  <w:p>
                    <w:pPr>
                      <w:spacing w:before="0"/>
                      <w:ind w:left="83" w:right="0" w:firstLine="0"/>
                      <w:jc w:val="left"/>
                      <w:rPr>
                        <w:b/>
                        <w:sz w:val="14"/>
                      </w:rPr>
                    </w:pPr>
                    <w:r>
                      <w:rPr>
                        <w:b/>
                        <w:color w:val="1F3863"/>
                        <w:sz w:val="14"/>
                      </w:rPr>
                      <w:t>33.37</w:t>
                    </w:r>
                  </w:p>
                </w:txbxContent>
              </v:textbox>
              <v:fill type="solid"/>
              <w10:wrap type="none"/>
            </v:shape>
            <v:shape style="position:absolute;left:2500;top:475;width:483;height:507" type="#_x0000_t202" filled="true" fillcolor="#4471c4" stroked="false">
              <v:textbox inset="0,0,0,0">
                <w:txbxContent>
                  <w:p>
                    <w:pPr>
                      <w:spacing w:line="240" w:lineRule="auto" w:before="0"/>
                      <w:rPr>
                        <w:sz w:val="15"/>
                      </w:rPr>
                    </w:pPr>
                  </w:p>
                  <w:p>
                    <w:pPr>
                      <w:spacing w:before="0"/>
                      <w:ind w:left="83" w:right="0" w:firstLine="0"/>
                      <w:jc w:val="left"/>
                      <w:rPr>
                        <w:b/>
                        <w:sz w:val="14"/>
                      </w:rPr>
                    </w:pPr>
                    <w:r>
                      <w:rPr>
                        <w:b/>
                        <w:color w:val="1F3863"/>
                        <w:sz w:val="14"/>
                      </w:rPr>
                      <w:t>38.43</w:t>
                    </w:r>
                  </w:p>
                </w:txbxContent>
              </v:textbox>
              <v:fill type="solid"/>
              <w10:wrap type="none"/>
            </v:shape>
            <v:shape style="position:absolute;left:2997;top:302;width:483;height:572" type="#_x0000_t202" filled="true" fillcolor="#4471c4" stroked="false">
              <v:textbox inset="0,0,0,0">
                <w:txbxContent>
                  <w:p>
                    <w:pPr>
                      <w:spacing w:line="240" w:lineRule="auto" w:before="5"/>
                      <w:rPr>
                        <w:sz w:val="18"/>
                      </w:rPr>
                    </w:pPr>
                  </w:p>
                  <w:p>
                    <w:pPr>
                      <w:spacing w:before="0"/>
                      <w:ind w:left="120" w:right="0" w:firstLine="0"/>
                      <w:jc w:val="left"/>
                      <w:rPr>
                        <w:b/>
                        <w:sz w:val="14"/>
                      </w:rPr>
                    </w:pPr>
                    <w:r>
                      <w:rPr>
                        <w:b/>
                        <w:color w:val="1F3863"/>
                        <w:sz w:val="14"/>
                      </w:rPr>
                      <w:t>44.5</w:t>
                    </w:r>
                  </w:p>
                </w:txbxContent>
              </v:textbox>
              <v:fill type="solid"/>
              <w10:wrap type="none"/>
            </v:shape>
            <v:shape style="position:absolute;left:64;top:2489;width:384;height:308" type="#_x0000_t202" filled="false" stroked="false">
              <v:textbox inset="0,0,0,0">
                <w:txbxContent>
                  <w:p>
                    <w:pPr>
                      <w:spacing w:before="73"/>
                      <w:ind w:left="34" w:right="0" w:firstLine="0"/>
                      <w:jc w:val="left"/>
                      <w:rPr>
                        <w:b/>
                        <w:sz w:val="14"/>
                      </w:rPr>
                    </w:pPr>
                    <w:r>
                      <w:rPr>
                        <w:b/>
                        <w:color w:val="FFFFFF"/>
                        <w:sz w:val="14"/>
                      </w:rPr>
                      <w:t>22.74</w:t>
                    </w:r>
                  </w:p>
                </w:txbxContent>
              </v:textbox>
              <w10:wrap type="none"/>
            </v:shape>
          </v:group>
        </w:pict>
      </w:r>
      <w:r>
        <w:rPr>
          <w:sz w:val="20"/>
        </w:rPr>
      </w:r>
    </w:p>
    <w:p>
      <w:pPr>
        <w:spacing w:after="0" w:line="240" w:lineRule="auto"/>
        <w:rPr>
          <w:sz w:val="20"/>
        </w:rPr>
        <w:sectPr>
          <w:type w:val="continuous"/>
          <w:pgSz w:w="12240" w:h="15840"/>
          <w:pgMar w:top="1500" w:bottom="280" w:left="1140" w:right="0"/>
        </w:sectPr>
      </w:pPr>
    </w:p>
    <w:p>
      <w:pPr>
        <w:spacing w:before="47"/>
        <w:ind w:left="5296" w:right="0" w:firstLine="0"/>
        <w:jc w:val="left"/>
        <w:rPr>
          <w:b/>
          <w:sz w:val="11"/>
        </w:rPr>
      </w:pPr>
      <w:r>
        <w:rPr>
          <w:b/>
          <w:color w:val="585858"/>
          <w:w w:val="105"/>
          <w:sz w:val="11"/>
        </w:rPr>
        <w:t>0 6 A</w:t>
      </w:r>
    </w:p>
    <w:p>
      <w:pPr>
        <w:spacing w:before="8"/>
        <w:ind w:left="5376" w:right="0" w:firstLine="0"/>
        <w:jc w:val="left"/>
        <w:rPr>
          <w:b/>
          <w:sz w:val="11"/>
        </w:rPr>
      </w:pPr>
      <w:r>
        <w:rPr>
          <w:b/>
          <w:color w:val="585858"/>
          <w:w w:val="105"/>
          <w:sz w:val="11"/>
        </w:rPr>
        <w:t>11</w:t>
      </w:r>
      <w:r>
        <w:rPr>
          <w:b/>
          <w:color w:val="585858"/>
          <w:sz w:val="11"/>
        </w:rPr>
        <w:t> </w:t>
      </w:r>
    </w:p>
    <w:p>
      <w:pPr>
        <w:spacing w:before="47"/>
        <w:ind w:left="158" w:right="0" w:firstLine="0"/>
        <w:jc w:val="left"/>
        <w:rPr>
          <w:b/>
          <w:sz w:val="11"/>
        </w:rPr>
      </w:pPr>
      <w:r>
        <w:rPr/>
        <w:br w:type="column"/>
      </w:r>
      <w:r>
        <w:rPr>
          <w:b/>
          <w:color w:val="585858"/>
          <w:w w:val="105"/>
          <w:sz w:val="11"/>
        </w:rPr>
        <w:t>1 2 A</w:t>
      </w:r>
    </w:p>
    <w:p>
      <w:pPr>
        <w:spacing w:before="8"/>
        <w:ind w:left="237" w:right="0" w:firstLine="0"/>
        <w:jc w:val="left"/>
        <w:rPr>
          <w:b/>
          <w:sz w:val="11"/>
        </w:rPr>
      </w:pPr>
      <w:r>
        <w:rPr>
          <w:b/>
          <w:color w:val="585858"/>
          <w:w w:val="105"/>
          <w:sz w:val="11"/>
        </w:rPr>
        <w:t>17</w:t>
      </w:r>
      <w:r>
        <w:rPr>
          <w:b/>
          <w:color w:val="585858"/>
          <w:sz w:val="11"/>
        </w:rPr>
        <w:t> </w:t>
      </w:r>
    </w:p>
    <w:p>
      <w:pPr>
        <w:spacing w:before="47"/>
        <w:ind w:left="158" w:right="0" w:firstLine="0"/>
        <w:jc w:val="left"/>
        <w:rPr>
          <w:b/>
          <w:sz w:val="11"/>
        </w:rPr>
      </w:pPr>
      <w:r>
        <w:rPr/>
        <w:br w:type="column"/>
      </w:r>
      <w:r>
        <w:rPr>
          <w:b/>
          <w:color w:val="585858"/>
          <w:w w:val="105"/>
          <w:sz w:val="11"/>
        </w:rPr>
        <w:t>1 8 A</w:t>
      </w:r>
    </w:p>
    <w:p>
      <w:pPr>
        <w:spacing w:before="8"/>
        <w:ind w:left="237" w:right="0" w:firstLine="0"/>
        <w:jc w:val="left"/>
        <w:rPr>
          <w:b/>
          <w:sz w:val="11"/>
        </w:rPr>
      </w:pPr>
      <w:r>
        <w:rPr>
          <w:b/>
          <w:color w:val="585858"/>
          <w:w w:val="105"/>
          <w:sz w:val="11"/>
        </w:rPr>
        <w:t>29</w:t>
      </w:r>
      <w:r>
        <w:rPr>
          <w:b/>
          <w:color w:val="585858"/>
          <w:sz w:val="11"/>
        </w:rPr>
        <w:t> </w:t>
      </w:r>
    </w:p>
    <w:p>
      <w:pPr>
        <w:pStyle w:val="ListParagraph"/>
        <w:numPr>
          <w:ilvl w:val="0"/>
          <w:numId w:val="23"/>
        </w:numPr>
        <w:tabs>
          <w:tab w:pos="240" w:val="left" w:leader="none"/>
        </w:tabs>
        <w:spacing w:line="240" w:lineRule="auto" w:before="47" w:after="0"/>
        <w:ind w:left="239" w:right="0" w:hanging="82"/>
        <w:jc w:val="left"/>
        <w:rPr>
          <w:b/>
          <w:sz w:val="11"/>
        </w:rPr>
      </w:pPr>
      <w:r>
        <w:rPr>
          <w:b/>
          <w:color w:val="585858"/>
          <w:w w:val="104"/>
          <w:sz w:val="11"/>
        </w:rPr>
        <w:br w:type="column"/>
      </w:r>
      <w:r>
        <w:rPr>
          <w:b/>
          <w:color w:val="585858"/>
          <w:w w:val="105"/>
          <w:sz w:val="11"/>
        </w:rPr>
        <w:t>0</w:t>
      </w:r>
      <w:r>
        <w:rPr>
          <w:b/>
          <w:color w:val="585858"/>
          <w:spacing w:val="18"/>
          <w:w w:val="105"/>
          <w:sz w:val="11"/>
        </w:rPr>
        <w:t> </w:t>
      </w:r>
      <w:r>
        <w:rPr>
          <w:b/>
          <w:color w:val="585858"/>
          <w:spacing w:val="-20"/>
          <w:w w:val="105"/>
          <w:sz w:val="11"/>
        </w:rPr>
        <w:t>A</w:t>
      </w:r>
    </w:p>
    <w:p>
      <w:pPr>
        <w:spacing w:before="8"/>
        <w:ind w:left="237" w:right="0" w:firstLine="0"/>
        <w:jc w:val="left"/>
        <w:rPr>
          <w:b/>
          <w:sz w:val="11"/>
        </w:rPr>
      </w:pPr>
      <w:r>
        <w:rPr>
          <w:b/>
          <w:color w:val="585858"/>
          <w:w w:val="105"/>
          <w:sz w:val="11"/>
        </w:rPr>
        <w:t>39</w:t>
      </w:r>
      <w:r>
        <w:rPr>
          <w:b/>
          <w:color w:val="585858"/>
          <w:sz w:val="11"/>
        </w:rPr>
        <w:t> </w:t>
      </w:r>
    </w:p>
    <w:p>
      <w:pPr>
        <w:pStyle w:val="ListParagraph"/>
        <w:numPr>
          <w:ilvl w:val="0"/>
          <w:numId w:val="23"/>
        </w:numPr>
        <w:tabs>
          <w:tab w:pos="241" w:val="left" w:leader="none"/>
        </w:tabs>
        <w:spacing w:line="240" w:lineRule="auto" w:before="47" w:after="0"/>
        <w:ind w:left="240" w:right="0" w:hanging="83"/>
        <w:jc w:val="left"/>
        <w:rPr>
          <w:b/>
          <w:sz w:val="11"/>
        </w:rPr>
      </w:pPr>
      <w:r>
        <w:rPr>
          <w:b/>
          <w:color w:val="585858"/>
          <w:w w:val="104"/>
          <w:sz w:val="11"/>
        </w:rPr>
        <w:br w:type="column"/>
      </w:r>
      <w:r>
        <w:rPr>
          <w:b/>
          <w:color w:val="585858"/>
          <w:w w:val="105"/>
          <w:sz w:val="11"/>
        </w:rPr>
        <w:t>0</w:t>
      </w:r>
      <w:r>
        <w:rPr>
          <w:b/>
          <w:color w:val="585858"/>
          <w:spacing w:val="18"/>
          <w:w w:val="105"/>
          <w:sz w:val="11"/>
        </w:rPr>
        <w:t> </w:t>
      </w:r>
      <w:r>
        <w:rPr>
          <w:b/>
          <w:color w:val="585858"/>
          <w:spacing w:val="-19"/>
          <w:w w:val="105"/>
          <w:sz w:val="11"/>
        </w:rPr>
        <w:t>A</w:t>
      </w:r>
    </w:p>
    <w:p>
      <w:pPr>
        <w:spacing w:before="8"/>
        <w:ind w:left="237" w:right="0" w:firstLine="0"/>
        <w:jc w:val="left"/>
        <w:rPr>
          <w:b/>
          <w:sz w:val="11"/>
        </w:rPr>
      </w:pPr>
      <w:r>
        <w:rPr>
          <w:b/>
          <w:color w:val="585858"/>
          <w:w w:val="105"/>
          <w:sz w:val="11"/>
        </w:rPr>
        <w:t>49</w:t>
      </w:r>
      <w:r>
        <w:rPr>
          <w:b/>
          <w:color w:val="585858"/>
          <w:sz w:val="11"/>
        </w:rPr>
        <w:t> </w:t>
      </w:r>
    </w:p>
    <w:p>
      <w:pPr>
        <w:pStyle w:val="ListParagraph"/>
        <w:numPr>
          <w:ilvl w:val="0"/>
          <w:numId w:val="23"/>
        </w:numPr>
        <w:tabs>
          <w:tab w:pos="240" w:val="left" w:leader="none"/>
        </w:tabs>
        <w:spacing w:line="240" w:lineRule="auto" w:before="47" w:after="0"/>
        <w:ind w:left="239" w:right="0" w:hanging="82"/>
        <w:jc w:val="left"/>
        <w:rPr>
          <w:b/>
          <w:sz w:val="11"/>
        </w:rPr>
      </w:pPr>
      <w:r>
        <w:rPr>
          <w:b/>
          <w:color w:val="585858"/>
          <w:w w:val="104"/>
          <w:sz w:val="11"/>
        </w:rPr>
        <w:br w:type="column"/>
      </w:r>
      <w:r>
        <w:rPr>
          <w:b/>
          <w:color w:val="585858"/>
          <w:w w:val="105"/>
          <w:sz w:val="11"/>
        </w:rPr>
        <w:t>0</w:t>
      </w:r>
      <w:r>
        <w:rPr>
          <w:b/>
          <w:color w:val="585858"/>
          <w:spacing w:val="19"/>
          <w:w w:val="105"/>
          <w:sz w:val="11"/>
        </w:rPr>
        <w:t> </w:t>
      </w:r>
      <w:r>
        <w:rPr>
          <w:b/>
          <w:color w:val="585858"/>
          <w:spacing w:val="-20"/>
          <w:w w:val="105"/>
          <w:sz w:val="11"/>
        </w:rPr>
        <w:t>A</w:t>
      </w:r>
    </w:p>
    <w:p>
      <w:pPr>
        <w:spacing w:before="8"/>
        <w:ind w:left="237" w:right="0" w:firstLine="0"/>
        <w:jc w:val="left"/>
        <w:rPr>
          <w:b/>
          <w:sz w:val="11"/>
        </w:rPr>
      </w:pPr>
      <w:r>
        <w:rPr>
          <w:b/>
          <w:color w:val="585858"/>
          <w:w w:val="105"/>
          <w:sz w:val="11"/>
        </w:rPr>
        <w:t>59</w:t>
      </w:r>
      <w:r>
        <w:rPr>
          <w:b/>
          <w:color w:val="585858"/>
          <w:sz w:val="11"/>
        </w:rPr>
        <w:t> </w:t>
      </w:r>
    </w:p>
    <w:p>
      <w:pPr>
        <w:pStyle w:val="ListParagraph"/>
        <w:numPr>
          <w:ilvl w:val="0"/>
          <w:numId w:val="23"/>
        </w:numPr>
        <w:tabs>
          <w:tab w:pos="240" w:val="left" w:leader="none"/>
        </w:tabs>
        <w:spacing w:line="240" w:lineRule="auto" w:before="47" w:after="0"/>
        <w:ind w:left="239" w:right="0" w:hanging="82"/>
        <w:jc w:val="left"/>
        <w:rPr>
          <w:b/>
          <w:sz w:val="11"/>
        </w:rPr>
      </w:pPr>
      <w:r>
        <w:rPr>
          <w:b/>
          <w:color w:val="585858"/>
          <w:w w:val="104"/>
          <w:sz w:val="11"/>
        </w:rPr>
        <w:br w:type="column"/>
      </w:r>
      <w:r>
        <w:rPr>
          <w:b/>
          <w:color w:val="585858"/>
          <w:w w:val="105"/>
          <w:sz w:val="11"/>
        </w:rPr>
        <w:t>0</w:t>
      </w:r>
      <w:r>
        <w:rPr>
          <w:b/>
          <w:color w:val="585858"/>
          <w:spacing w:val="18"/>
          <w:w w:val="105"/>
          <w:sz w:val="11"/>
        </w:rPr>
        <w:t> </w:t>
      </w:r>
      <w:r>
        <w:rPr>
          <w:b/>
          <w:color w:val="585858"/>
          <w:spacing w:val="-20"/>
          <w:w w:val="105"/>
          <w:sz w:val="11"/>
        </w:rPr>
        <w:t>A</w:t>
      </w:r>
    </w:p>
    <w:p>
      <w:pPr>
        <w:spacing w:before="8"/>
        <w:ind w:left="237" w:right="0" w:firstLine="0"/>
        <w:jc w:val="left"/>
        <w:rPr>
          <w:b/>
          <w:sz w:val="11"/>
        </w:rPr>
      </w:pPr>
      <w:r>
        <w:rPr>
          <w:b/>
          <w:color w:val="585858"/>
          <w:w w:val="105"/>
          <w:sz w:val="11"/>
        </w:rPr>
        <w:t>69</w:t>
      </w:r>
      <w:r>
        <w:rPr>
          <w:b/>
          <w:color w:val="585858"/>
          <w:sz w:val="11"/>
        </w:rPr>
        <w:t> </w:t>
      </w:r>
    </w:p>
    <w:p>
      <w:pPr>
        <w:spacing w:before="47"/>
        <w:ind w:left="84" w:right="1925" w:firstLine="0"/>
        <w:jc w:val="center"/>
        <w:rPr>
          <w:b/>
          <w:sz w:val="11"/>
        </w:rPr>
      </w:pPr>
      <w:r>
        <w:rPr/>
        <w:br w:type="column"/>
      </w:r>
      <w:r>
        <w:rPr>
          <w:b/>
          <w:color w:val="585858"/>
          <w:w w:val="105"/>
          <w:sz w:val="11"/>
        </w:rPr>
        <w:t>70</w:t>
      </w:r>
      <w:r>
        <w:rPr>
          <w:b/>
          <w:color w:val="585858"/>
          <w:sz w:val="11"/>
        </w:rPr>
        <w:t> </w:t>
      </w:r>
    </w:p>
    <w:p>
      <w:pPr>
        <w:spacing w:before="8"/>
        <w:ind w:left="84" w:right="1950" w:firstLine="0"/>
        <w:jc w:val="center"/>
        <w:rPr>
          <w:b/>
          <w:sz w:val="11"/>
        </w:rPr>
      </w:pPr>
      <w:r>
        <w:rPr>
          <w:b/>
          <w:color w:val="585858"/>
          <w:w w:val="105"/>
          <w:sz w:val="11"/>
        </w:rPr>
        <w:t>A Ñ O S</w:t>
      </w:r>
    </w:p>
    <w:p>
      <w:pPr>
        <w:spacing w:after="0"/>
        <w:jc w:val="center"/>
        <w:rPr>
          <w:sz w:val="11"/>
        </w:rPr>
        <w:sectPr>
          <w:type w:val="continuous"/>
          <w:pgSz w:w="12240" w:h="15840"/>
          <w:pgMar w:top="1500" w:bottom="280" w:left="1140" w:right="0"/>
          <w:cols w:num="8" w:equalWidth="0">
            <w:col w:w="5596" w:space="40"/>
            <w:col w:w="457" w:space="39"/>
            <w:col w:w="458" w:space="40"/>
            <w:col w:w="457" w:space="39"/>
            <w:col w:w="458" w:space="40"/>
            <w:col w:w="458" w:space="39"/>
            <w:col w:w="457" w:space="39"/>
            <w:col w:w="2483"/>
          </w:cols>
        </w:sectPr>
      </w:pPr>
    </w:p>
    <w:p>
      <w:pPr>
        <w:spacing w:before="5"/>
        <w:ind w:left="0" w:right="0" w:firstLine="0"/>
        <w:jc w:val="right"/>
        <w:rPr>
          <w:b/>
          <w:sz w:val="11"/>
        </w:rPr>
      </w:pPr>
      <w:r>
        <w:rPr>
          <w:b/>
          <w:color w:val="585858"/>
          <w:w w:val="105"/>
          <w:sz w:val="11"/>
        </w:rPr>
        <w:t>A Ñ O S</w:t>
      </w:r>
    </w:p>
    <w:p>
      <w:pPr>
        <w:spacing w:before="5"/>
        <w:ind w:left="64" w:right="0" w:firstLine="0"/>
        <w:jc w:val="left"/>
        <w:rPr>
          <w:b/>
          <w:sz w:val="11"/>
        </w:rPr>
      </w:pPr>
      <w:r>
        <w:rPr/>
        <w:br w:type="column"/>
      </w:r>
      <w:r>
        <w:rPr>
          <w:b/>
          <w:color w:val="585858"/>
          <w:w w:val="105"/>
          <w:sz w:val="11"/>
        </w:rPr>
        <w:t>A Ñ O </w:t>
      </w:r>
      <w:r>
        <w:rPr>
          <w:b/>
          <w:color w:val="585858"/>
          <w:spacing w:val="-19"/>
          <w:w w:val="105"/>
          <w:sz w:val="11"/>
        </w:rPr>
        <w:t>S</w:t>
      </w:r>
    </w:p>
    <w:p>
      <w:pPr>
        <w:spacing w:before="5"/>
        <w:ind w:left="64" w:right="0" w:firstLine="0"/>
        <w:jc w:val="left"/>
        <w:rPr>
          <w:b/>
          <w:sz w:val="11"/>
        </w:rPr>
      </w:pPr>
      <w:r>
        <w:rPr/>
        <w:br w:type="column"/>
      </w:r>
      <w:r>
        <w:rPr>
          <w:b/>
          <w:color w:val="585858"/>
          <w:w w:val="105"/>
          <w:sz w:val="11"/>
        </w:rPr>
        <w:t>A Ñ O </w:t>
      </w:r>
      <w:r>
        <w:rPr>
          <w:b/>
          <w:color w:val="585858"/>
          <w:spacing w:val="-19"/>
          <w:w w:val="105"/>
          <w:sz w:val="11"/>
        </w:rPr>
        <w:t>S</w:t>
      </w:r>
    </w:p>
    <w:p>
      <w:pPr>
        <w:spacing w:before="5"/>
        <w:ind w:left="64" w:right="0" w:firstLine="0"/>
        <w:jc w:val="left"/>
        <w:rPr>
          <w:b/>
          <w:sz w:val="11"/>
        </w:rPr>
      </w:pPr>
      <w:r>
        <w:rPr/>
        <w:br w:type="column"/>
      </w:r>
      <w:r>
        <w:rPr>
          <w:b/>
          <w:color w:val="585858"/>
          <w:w w:val="105"/>
          <w:sz w:val="11"/>
        </w:rPr>
        <w:t>A Ñ O </w:t>
      </w:r>
      <w:r>
        <w:rPr>
          <w:b/>
          <w:color w:val="585858"/>
          <w:spacing w:val="-19"/>
          <w:w w:val="105"/>
          <w:sz w:val="11"/>
        </w:rPr>
        <w:t>S</w:t>
      </w:r>
    </w:p>
    <w:p>
      <w:pPr>
        <w:spacing w:before="5"/>
        <w:ind w:left="64" w:right="0" w:firstLine="0"/>
        <w:jc w:val="left"/>
        <w:rPr>
          <w:b/>
          <w:sz w:val="11"/>
        </w:rPr>
      </w:pPr>
      <w:r>
        <w:rPr/>
        <w:br w:type="column"/>
      </w:r>
      <w:r>
        <w:rPr>
          <w:b/>
          <w:color w:val="585858"/>
          <w:w w:val="105"/>
          <w:sz w:val="11"/>
        </w:rPr>
        <w:t>A Ñ O </w:t>
      </w:r>
      <w:r>
        <w:rPr>
          <w:b/>
          <w:color w:val="585858"/>
          <w:spacing w:val="-19"/>
          <w:w w:val="105"/>
          <w:sz w:val="11"/>
        </w:rPr>
        <w:t>S</w:t>
      </w:r>
    </w:p>
    <w:p>
      <w:pPr>
        <w:spacing w:before="5"/>
        <w:ind w:left="64" w:right="0" w:firstLine="0"/>
        <w:jc w:val="left"/>
        <w:rPr>
          <w:b/>
          <w:sz w:val="11"/>
        </w:rPr>
      </w:pPr>
      <w:r>
        <w:rPr/>
        <w:br w:type="column"/>
      </w:r>
      <w:r>
        <w:rPr>
          <w:b/>
          <w:color w:val="585858"/>
          <w:w w:val="105"/>
          <w:sz w:val="11"/>
        </w:rPr>
        <w:t>A Ñ O </w:t>
      </w:r>
      <w:r>
        <w:rPr>
          <w:b/>
          <w:color w:val="585858"/>
          <w:spacing w:val="-19"/>
          <w:w w:val="105"/>
          <w:sz w:val="11"/>
        </w:rPr>
        <w:t>S</w:t>
      </w:r>
    </w:p>
    <w:p>
      <w:pPr>
        <w:spacing w:before="5"/>
        <w:ind w:left="64" w:right="0" w:firstLine="0"/>
        <w:jc w:val="left"/>
        <w:rPr>
          <w:b/>
          <w:sz w:val="11"/>
        </w:rPr>
      </w:pPr>
      <w:r>
        <w:rPr/>
        <w:br w:type="column"/>
      </w:r>
      <w:r>
        <w:rPr>
          <w:b/>
          <w:color w:val="585858"/>
          <w:w w:val="105"/>
          <w:sz w:val="11"/>
        </w:rPr>
        <w:t>A Ñ O S Y M Á S</w:t>
      </w:r>
    </w:p>
    <w:p>
      <w:pPr>
        <w:spacing w:after="0"/>
        <w:jc w:val="left"/>
        <w:rPr>
          <w:sz w:val="11"/>
        </w:rPr>
        <w:sectPr>
          <w:type w:val="continuous"/>
          <w:pgSz w:w="12240" w:h="15840"/>
          <w:pgMar w:top="1500" w:bottom="280" w:left="1140" w:right="0"/>
          <w:cols w:num="7" w:equalWidth="0">
            <w:col w:w="5642" w:space="40"/>
            <w:col w:w="457" w:space="39"/>
            <w:col w:w="458" w:space="40"/>
            <w:col w:w="457" w:space="39"/>
            <w:col w:w="458" w:space="40"/>
            <w:col w:w="458" w:space="39"/>
            <w:col w:w="2933"/>
          </w:cols>
        </w:sectPr>
      </w:pPr>
    </w:p>
    <w:p>
      <w:pPr>
        <w:pStyle w:val="BodyText"/>
        <w:spacing w:before="2"/>
        <w:rPr>
          <w:b/>
          <w:sz w:val="17"/>
        </w:rPr>
      </w:pPr>
    </w:p>
    <w:p>
      <w:pPr>
        <w:spacing w:before="0"/>
        <w:ind w:left="670" w:right="0" w:firstLine="0"/>
        <w:jc w:val="left"/>
        <w:rPr>
          <w:sz w:val="16"/>
        </w:rPr>
      </w:pPr>
      <w:r>
        <w:rPr>
          <w:sz w:val="16"/>
        </w:rPr>
        <w:t>Fuente: Ministerio de Salud Pública y Asistencia Social</w:t>
      </w:r>
    </w:p>
    <w:p>
      <w:pPr>
        <w:pStyle w:val="BodyText"/>
        <w:spacing w:before="5"/>
        <w:rPr>
          <w:sz w:val="14"/>
        </w:rPr>
      </w:pPr>
      <w:r>
        <w:rPr/>
        <w:br w:type="column"/>
      </w:r>
      <w:r>
        <w:rPr>
          <w:sz w:val="14"/>
        </w:rPr>
      </w:r>
    </w:p>
    <w:p>
      <w:pPr>
        <w:spacing w:before="1"/>
        <w:ind w:left="670" w:right="0" w:firstLine="0"/>
        <w:jc w:val="left"/>
        <w:rPr>
          <w:sz w:val="16"/>
        </w:rPr>
      </w:pPr>
      <w:r>
        <w:rPr>
          <w:sz w:val="16"/>
        </w:rPr>
        <w:t>Fuente: Ministerio de Salud Pública y Asistencia Social</w:t>
      </w:r>
    </w:p>
    <w:p>
      <w:pPr>
        <w:spacing w:after="0"/>
        <w:jc w:val="left"/>
        <w:rPr>
          <w:sz w:val="16"/>
        </w:rPr>
        <w:sectPr>
          <w:type w:val="continuous"/>
          <w:pgSz w:w="12240" w:h="15840"/>
          <w:pgMar w:top="1500" w:bottom="280" w:left="1140" w:right="0"/>
          <w:cols w:num="2" w:equalWidth="0">
            <w:col w:w="4278" w:space="43"/>
            <w:col w:w="6779"/>
          </w:cols>
        </w:sectPr>
      </w:pPr>
    </w:p>
    <w:p>
      <w:pPr>
        <w:pStyle w:val="BodyText"/>
        <w:spacing w:before="5"/>
        <w:rPr>
          <w:sz w:val="19"/>
        </w:rPr>
      </w:pPr>
    </w:p>
    <w:p>
      <w:pPr>
        <w:pStyle w:val="BodyText"/>
        <w:spacing w:line="276" w:lineRule="auto" w:before="91"/>
        <w:ind w:left="562" w:right="1696"/>
        <w:jc w:val="both"/>
      </w:pPr>
      <w:r>
        <w:rPr/>
        <w:t>El 18 de julio del 2022 se publicó el Acuerdo Ministerial 193-2022 del Ministerio de Salud Pública y Asistencia Social que reforma el 158-2022 que contiene el sistema de alertas sanitarias y disposiciones sanitarias para la apertura de la nueva normalidad.</w:t>
      </w:r>
    </w:p>
    <w:p>
      <w:pPr>
        <w:pStyle w:val="BodyText"/>
        <w:spacing w:before="4"/>
        <w:rPr>
          <w:sz w:val="25"/>
        </w:rPr>
      </w:pPr>
    </w:p>
    <w:p>
      <w:pPr>
        <w:pStyle w:val="BodyText"/>
        <w:spacing w:line="276" w:lineRule="auto"/>
        <w:ind w:left="562" w:right="1703"/>
        <w:jc w:val="both"/>
      </w:pPr>
      <w:r>
        <w:rPr/>
        <w:t>En el mismo, se establece que para la apertura de todas las actividades económicas los habitantes de la República de Guatemala, deben cumplir con las siguientes disposiciones sanitarias obligatorias:</w:t>
      </w:r>
    </w:p>
    <w:p>
      <w:pPr>
        <w:pStyle w:val="BodyText"/>
        <w:spacing w:before="3"/>
        <w:rPr>
          <w:sz w:val="25"/>
        </w:rPr>
      </w:pPr>
    </w:p>
    <w:p>
      <w:pPr>
        <w:pStyle w:val="ListParagraph"/>
        <w:numPr>
          <w:ilvl w:val="1"/>
          <w:numId w:val="23"/>
        </w:numPr>
        <w:tabs>
          <w:tab w:pos="1282" w:val="left" w:leader="none"/>
        </w:tabs>
        <w:spacing w:line="240" w:lineRule="auto" w:before="0" w:after="0"/>
        <w:ind w:left="1282" w:right="0" w:hanging="361"/>
        <w:jc w:val="both"/>
        <w:rPr>
          <w:sz w:val="22"/>
        </w:rPr>
      </w:pPr>
      <w:r>
        <w:rPr>
          <w:sz w:val="22"/>
        </w:rPr>
        <w:t>Se mantiene la higiene obligatoria de</w:t>
      </w:r>
      <w:r>
        <w:rPr>
          <w:spacing w:val="-7"/>
          <w:sz w:val="22"/>
        </w:rPr>
        <w:t> </w:t>
      </w:r>
      <w:r>
        <w:rPr>
          <w:sz w:val="22"/>
        </w:rPr>
        <w:t>manos</w:t>
      </w:r>
    </w:p>
    <w:p>
      <w:pPr>
        <w:pStyle w:val="ListParagraph"/>
        <w:numPr>
          <w:ilvl w:val="1"/>
          <w:numId w:val="23"/>
        </w:numPr>
        <w:tabs>
          <w:tab w:pos="1282" w:val="left" w:leader="none"/>
        </w:tabs>
        <w:spacing w:line="276" w:lineRule="auto" w:before="38" w:after="0"/>
        <w:ind w:left="1282" w:right="1697" w:hanging="360"/>
        <w:jc w:val="both"/>
        <w:rPr>
          <w:sz w:val="22"/>
        </w:rPr>
      </w:pPr>
      <w:r>
        <w:rPr>
          <w:sz w:val="22"/>
        </w:rPr>
        <w:t>Distanciamiento físico mínimo de 1.5 metros entre personas, en alerta color rojo, tanto en espacios abiertos como en espacios cerrados. Se recomienda mantener el distanciamiento en alerta color naranja en espacios cerrados. La referida obligación exceptúa en alertas color amarillo y</w:t>
      </w:r>
      <w:r>
        <w:rPr>
          <w:spacing w:val="-4"/>
          <w:sz w:val="22"/>
        </w:rPr>
        <w:t> </w:t>
      </w:r>
      <w:r>
        <w:rPr>
          <w:sz w:val="22"/>
        </w:rPr>
        <w:t>verde</w:t>
      </w:r>
    </w:p>
    <w:p>
      <w:pPr>
        <w:pStyle w:val="ListParagraph"/>
        <w:numPr>
          <w:ilvl w:val="1"/>
          <w:numId w:val="23"/>
        </w:numPr>
        <w:tabs>
          <w:tab w:pos="1282" w:val="left" w:leader="none"/>
        </w:tabs>
        <w:spacing w:line="265" w:lineRule="exact" w:before="0" w:after="0"/>
        <w:ind w:left="1282" w:right="0" w:hanging="361"/>
        <w:jc w:val="both"/>
        <w:rPr>
          <w:sz w:val="22"/>
        </w:rPr>
      </w:pPr>
      <w:r>
        <w:rPr>
          <w:sz w:val="22"/>
        </w:rPr>
        <w:t>Uso obligatorio y adecuado de mascarilla o tapabocas, en los siguientes</w:t>
      </w:r>
      <w:r>
        <w:rPr>
          <w:spacing w:val="-13"/>
          <w:sz w:val="22"/>
        </w:rPr>
        <w:t> </w:t>
      </w:r>
      <w:r>
        <w:rPr>
          <w:sz w:val="22"/>
        </w:rPr>
        <w:t>lugares:</w:t>
      </w:r>
    </w:p>
    <w:p>
      <w:pPr>
        <w:spacing w:after="0" w:line="265" w:lineRule="exact"/>
        <w:jc w:val="both"/>
        <w:rPr>
          <w:sz w:val="22"/>
        </w:rPr>
        <w:sectPr>
          <w:type w:val="continuous"/>
          <w:pgSz w:w="12240" w:h="15840"/>
          <w:pgMar w:top="1500" w:bottom="280" w:left="1140" w:right="0"/>
        </w:sectPr>
      </w:pPr>
    </w:p>
    <w:p>
      <w:pPr>
        <w:pStyle w:val="ListParagraph"/>
        <w:numPr>
          <w:ilvl w:val="2"/>
          <w:numId w:val="23"/>
        </w:numPr>
        <w:tabs>
          <w:tab w:pos="2001" w:val="left" w:leader="none"/>
          <w:tab w:pos="2002" w:val="left" w:leader="none"/>
        </w:tabs>
        <w:spacing w:line="256" w:lineRule="auto" w:before="162" w:after="0"/>
        <w:ind w:left="2002" w:right="1702" w:hanging="360"/>
        <w:jc w:val="left"/>
        <w:rPr>
          <w:sz w:val="22"/>
        </w:rPr>
      </w:pPr>
      <w:r>
        <w:rPr>
          <w:sz w:val="22"/>
        </w:rPr>
        <w:t>Hospitales públicos y privados, centros de salud, puestos de hisopado y de vacunación, clínicas médicas y</w:t>
      </w:r>
      <w:r>
        <w:rPr>
          <w:spacing w:val="-4"/>
          <w:sz w:val="22"/>
        </w:rPr>
        <w:t> </w:t>
      </w:r>
      <w:r>
        <w:rPr>
          <w:sz w:val="22"/>
        </w:rPr>
        <w:t>laboratorios</w:t>
      </w:r>
    </w:p>
    <w:p>
      <w:pPr>
        <w:pStyle w:val="ListParagraph"/>
        <w:numPr>
          <w:ilvl w:val="2"/>
          <w:numId w:val="23"/>
        </w:numPr>
        <w:tabs>
          <w:tab w:pos="2001" w:val="left" w:leader="none"/>
          <w:tab w:pos="2002" w:val="left" w:leader="none"/>
        </w:tabs>
        <w:spacing w:line="240" w:lineRule="auto" w:before="21" w:after="0"/>
        <w:ind w:left="2002" w:right="0" w:hanging="360"/>
        <w:jc w:val="left"/>
        <w:rPr>
          <w:sz w:val="22"/>
        </w:rPr>
      </w:pPr>
      <w:r>
        <w:rPr>
          <w:sz w:val="22"/>
        </w:rPr>
        <w:t>Centros de cuidado y atención de personas de la tercera</w:t>
      </w:r>
      <w:r>
        <w:rPr>
          <w:spacing w:val="-7"/>
          <w:sz w:val="22"/>
        </w:rPr>
        <w:t> </w:t>
      </w:r>
      <w:r>
        <w:rPr>
          <w:sz w:val="22"/>
        </w:rPr>
        <w:t>edad</w:t>
      </w:r>
    </w:p>
    <w:p>
      <w:pPr>
        <w:pStyle w:val="ListParagraph"/>
        <w:numPr>
          <w:ilvl w:val="2"/>
          <w:numId w:val="23"/>
        </w:numPr>
        <w:tabs>
          <w:tab w:pos="2001" w:val="left" w:leader="none"/>
          <w:tab w:pos="2002" w:val="left" w:leader="none"/>
        </w:tabs>
        <w:spacing w:line="240" w:lineRule="auto" w:before="19" w:after="0"/>
        <w:ind w:left="2002" w:right="0" w:hanging="360"/>
        <w:jc w:val="left"/>
        <w:rPr>
          <w:sz w:val="22"/>
        </w:rPr>
      </w:pPr>
      <w:r>
        <w:rPr>
          <w:sz w:val="22"/>
        </w:rPr>
        <w:t>Centros de detención y de</w:t>
      </w:r>
      <w:r>
        <w:rPr>
          <w:spacing w:val="-6"/>
          <w:sz w:val="22"/>
        </w:rPr>
        <w:t> </w:t>
      </w:r>
      <w:r>
        <w:rPr>
          <w:sz w:val="22"/>
        </w:rPr>
        <w:t>arresto</w:t>
      </w:r>
    </w:p>
    <w:p>
      <w:pPr>
        <w:pStyle w:val="ListParagraph"/>
        <w:numPr>
          <w:ilvl w:val="2"/>
          <w:numId w:val="23"/>
        </w:numPr>
        <w:tabs>
          <w:tab w:pos="2001" w:val="left" w:leader="none"/>
          <w:tab w:pos="2002" w:val="left" w:leader="none"/>
        </w:tabs>
        <w:spacing w:line="240" w:lineRule="auto" w:before="22" w:after="0"/>
        <w:ind w:left="2002" w:right="0" w:hanging="360"/>
        <w:jc w:val="left"/>
        <w:rPr>
          <w:sz w:val="22"/>
        </w:rPr>
      </w:pPr>
      <w:r>
        <w:rPr>
          <w:sz w:val="22"/>
        </w:rPr>
        <w:t>Transporte urbano y</w:t>
      </w:r>
      <w:r>
        <w:rPr>
          <w:spacing w:val="-6"/>
          <w:sz w:val="22"/>
        </w:rPr>
        <w:t> </w:t>
      </w:r>
      <w:r>
        <w:rPr>
          <w:sz w:val="22"/>
        </w:rPr>
        <w:t>extraurbano</w:t>
      </w:r>
    </w:p>
    <w:p>
      <w:pPr>
        <w:pStyle w:val="BodyText"/>
        <w:spacing w:before="10"/>
        <w:rPr>
          <w:sz w:val="26"/>
        </w:rPr>
      </w:pPr>
    </w:p>
    <w:p>
      <w:pPr>
        <w:pStyle w:val="BodyText"/>
        <w:spacing w:line="276" w:lineRule="auto"/>
        <w:ind w:left="562" w:right="1702"/>
        <w:jc w:val="both"/>
      </w:pPr>
      <w:r>
        <w:rPr/>
        <w:t>De la referida obligación se exceptúan los menores de 2 años y las personas que por su condición médica tenga una contraindicación.</w:t>
      </w:r>
    </w:p>
    <w:p>
      <w:pPr>
        <w:pStyle w:val="BodyText"/>
        <w:spacing w:before="4"/>
        <w:rPr>
          <w:sz w:val="25"/>
        </w:rPr>
      </w:pPr>
    </w:p>
    <w:p>
      <w:pPr>
        <w:pStyle w:val="BodyText"/>
        <w:spacing w:line="276" w:lineRule="auto"/>
        <w:ind w:left="562" w:right="1702"/>
        <w:jc w:val="both"/>
      </w:pPr>
      <w:r>
        <w:rPr/>
        <w:t>Mientras que es altamente recomendable mantener el uso de mascarilla o tapaboca en los demás lugares distintos de los anteriormente expuestos, independientemente del color de alerta,</w:t>
      </w:r>
    </w:p>
    <w:p>
      <w:pPr>
        <w:pStyle w:val="BodyText"/>
        <w:spacing w:before="2"/>
        <w:rPr>
          <w:sz w:val="25"/>
        </w:rPr>
      </w:pPr>
    </w:p>
    <w:p>
      <w:pPr>
        <w:pStyle w:val="BodyText"/>
        <w:spacing w:line="276" w:lineRule="auto"/>
        <w:ind w:left="562" w:right="1697"/>
        <w:jc w:val="both"/>
      </w:pPr>
      <w:r>
        <w:rPr/>
        <w:t>Con</w:t>
      </w:r>
      <w:r>
        <w:rPr>
          <w:spacing w:val="-5"/>
        </w:rPr>
        <w:t> </w:t>
      </w:r>
      <w:r>
        <w:rPr/>
        <w:t>estas</w:t>
      </w:r>
      <w:r>
        <w:rPr>
          <w:spacing w:val="-3"/>
        </w:rPr>
        <w:t> </w:t>
      </w:r>
      <w:r>
        <w:rPr/>
        <w:t>disposiciones</w:t>
      </w:r>
      <w:r>
        <w:rPr>
          <w:spacing w:val="-3"/>
        </w:rPr>
        <w:t> </w:t>
      </w:r>
      <w:r>
        <w:rPr/>
        <w:t>el</w:t>
      </w:r>
      <w:r>
        <w:rPr>
          <w:spacing w:val="-6"/>
        </w:rPr>
        <w:t> </w:t>
      </w:r>
      <w:r>
        <w:rPr/>
        <w:t>país</w:t>
      </w:r>
      <w:r>
        <w:rPr>
          <w:spacing w:val="-6"/>
        </w:rPr>
        <w:t> </w:t>
      </w:r>
      <w:r>
        <w:rPr/>
        <w:t>entró</w:t>
      </w:r>
      <w:r>
        <w:rPr>
          <w:spacing w:val="-4"/>
        </w:rPr>
        <w:t> </w:t>
      </w:r>
      <w:r>
        <w:rPr/>
        <w:t>en</w:t>
      </w:r>
      <w:r>
        <w:rPr>
          <w:spacing w:val="-6"/>
        </w:rPr>
        <w:t> </w:t>
      </w:r>
      <w:r>
        <w:rPr/>
        <w:t>una</w:t>
      </w:r>
      <w:r>
        <w:rPr>
          <w:spacing w:val="-4"/>
        </w:rPr>
        <w:t> </w:t>
      </w:r>
      <w:r>
        <w:rPr/>
        <w:t>nueva</w:t>
      </w:r>
      <w:r>
        <w:rPr>
          <w:spacing w:val="-3"/>
        </w:rPr>
        <w:t> </w:t>
      </w:r>
      <w:r>
        <w:rPr/>
        <w:t>etapa</w:t>
      </w:r>
      <w:r>
        <w:rPr>
          <w:spacing w:val="-3"/>
        </w:rPr>
        <w:t> </w:t>
      </w:r>
      <w:r>
        <w:rPr/>
        <w:t>de</w:t>
      </w:r>
      <w:r>
        <w:rPr>
          <w:spacing w:val="-3"/>
        </w:rPr>
        <w:t> </w:t>
      </w:r>
      <w:r>
        <w:rPr/>
        <w:t>relajamiento</w:t>
      </w:r>
      <w:r>
        <w:rPr>
          <w:spacing w:val="-5"/>
        </w:rPr>
        <w:t> </w:t>
      </w:r>
      <w:r>
        <w:rPr/>
        <w:t>de</w:t>
      </w:r>
      <w:r>
        <w:rPr>
          <w:spacing w:val="-3"/>
        </w:rPr>
        <w:t> </w:t>
      </w:r>
      <w:r>
        <w:rPr/>
        <w:t>medidas</w:t>
      </w:r>
      <w:r>
        <w:rPr>
          <w:spacing w:val="-3"/>
        </w:rPr>
        <w:t> </w:t>
      </w:r>
      <w:r>
        <w:rPr/>
        <w:t>por</w:t>
      </w:r>
      <w:r>
        <w:rPr>
          <w:spacing w:val="-2"/>
        </w:rPr>
        <w:t> </w:t>
      </w:r>
      <w:r>
        <w:rPr/>
        <w:t>COVID-19, donde</w:t>
      </w:r>
      <w:r>
        <w:rPr>
          <w:spacing w:val="-11"/>
        </w:rPr>
        <w:t> </w:t>
      </w:r>
      <w:r>
        <w:rPr/>
        <w:t>mantener</w:t>
      </w:r>
      <w:r>
        <w:rPr>
          <w:spacing w:val="-13"/>
        </w:rPr>
        <w:t> </w:t>
      </w:r>
      <w:r>
        <w:rPr/>
        <w:t>las</w:t>
      </w:r>
      <w:r>
        <w:rPr>
          <w:spacing w:val="-9"/>
        </w:rPr>
        <w:t> </w:t>
      </w:r>
      <w:r>
        <w:rPr/>
        <w:t>medidas</w:t>
      </w:r>
      <w:r>
        <w:rPr>
          <w:spacing w:val="-10"/>
        </w:rPr>
        <w:t> </w:t>
      </w:r>
      <w:r>
        <w:rPr/>
        <w:t>de</w:t>
      </w:r>
      <w:r>
        <w:rPr>
          <w:spacing w:val="-10"/>
        </w:rPr>
        <w:t> </w:t>
      </w:r>
      <w:r>
        <w:rPr/>
        <w:t>precaución</w:t>
      </w:r>
      <w:r>
        <w:rPr>
          <w:spacing w:val="-11"/>
        </w:rPr>
        <w:t> </w:t>
      </w:r>
      <w:r>
        <w:rPr/>
        <w:t>(como</w:t>
      </w:r>
      <w:r>
        <w:rPr>
          <w:spacing w:val="-10"/>
        </w:rPr>
        <w:t> </w:t>
      </w:r>
      <w:r>
        <w:rPr/>
        <w:t>mascarilla)</w:t>
      </w:r>
      <w:r>
        <w:rPr>
          <w:spacing w:val="-10"/>
        </w:rPr>
        <w:t> </w:t>
      </w:r>
      <w:r>
        <w:rPr/>
        <w:t>son</w:t>
      </w:r>
      <w:r>
        <w:rPr>
          <w:spacing w:val="-11"/>
        </w:rPr>
        <w:t> </w:t>
      </w:r>
      <w:r>
        <w:rPr/>
        <w:t>una</w:t>
      </w:r>
      <w:r>
        <w:rPr>
          <w:spacing w:val="-10"/>
        </w:rPr>
        <w:t> </w:t>
      </w:r>
      <w:r>
        <w:rPr/>
        <w:t>sugerencia</w:t>
      </w:r>
      <w:r>
        <w:rPr>
          <w:spacing w:val="-10"/>
        </w:rPr>
        <w:t> </w:t>
      </w:r>
      <w:r>
        <w:rPr/>
        <w:t>y</w:t>
      </w:r>
      <w:r>
        <w:rPr>
          <w:spacing w:val="-12"/>
        </w:rPr>
        <w:t> </w:t>
      </w:r>
      <w:r>
        <w:rPr/>
        <w:t>no</w:t>
      </w:r>
      <w:r>
        <w:rPr>
          <w:spacing w:val="-11"/>
        </w:rPr>
        <w:t> </w:t>
      </w:r>
      <w:r>
        <w:rPr/>
        <w:t>una</w:t>
      </w:r>
      <w:r>
        <w:rPr>
          <w:spacing w:val="-10"/>
        </w:rPr>
        <w:t> </w:t>
      </w:r>
      <w:r>
        <w:rPr/>
        <w:t>obligación (a</w:t>
      </w:r>
      <w:r>
        <w:rPr>
          <w:spacing w:val="-10"/>
        </w:rPr>
        <w:t> </w:t>
      </w:r>
      <w:r>
        <w:rPr/>
        <w:t>excepción</w:t>
      </w:r>
      <w:r>
        <w:rPr>
          <w:spacing w:val="-11"/>
        </w:rPr>
        <w:t> </w:t>
      </w:r>
      <w:r>
        <w:rPr/>
        <w:t>de</w:t>
      </w:r>
      <w:r>
        <w:rPr>
          <w:spacing w:val="-9"/>
        </w:rPr>
        <w:t> </w:t>
      </w:r>
      <w:r>
        <w:rPr/>
        <w:t>municipios</w:t>
      </w:r>
      <w:r>
        <w:rPr>
          <w:spacing w:val="-12"/>
        </w:rPr>
        <w:t> </w:t>
      </w:r>
      <w:r>
        <w:rPr/>
        <w:t>en</w:t>
      </w:r>
      <w:r>
        <w:rPr>
          <w:spacing w:val="-8"/>
        </w:rPr>
        <w:t> </w:t>
      </w:r>
      <w:r>
        <w:rPr/>
        <w:t>color</w:t>
      </w:r>
      <w:r>
        <w:rPr>
          <w:spacing w:val="-11"/>
        </w:rPr>
        <w:t> </w:t>
      </w:r>
      <w:r>
        <w:rPr/>
        <w:t>rojo</w:t>
      </w:r>
      <w:r>
        <w:rPr>
          <w:spacing w:val="-7"/>
        </w:rPr>
        <w:t> </w:t>
      </w:r>
      <w:r>
        <w:rPr/>
        <w:t>y</w:t>
      </w:r>
      <w:r>
        <w:rPr>
          <w:spacing w:val="-11"/>
        </w:rPr>
        <w:t> </w:t>
      </w:r>
      <w:r>
        <w:rPr/>
        <w:t>los</w:t>
      </w:r>
      <w:r>
        <w:rPr>
          <w:spacing w:val="-10"/>
        </w:rPr>
        <w:t> </w:t>
      </w:r>
      <w:r>
        <w:rPr/>
        <w:t>lugares</w:t>
      </w:r>
      <w:r>
        <w:rPr>
          <w:spacing w:val="-10"/>
        </w:rPr>
        <w:t> </w:t>
      </w:r>
      <w:r>
        <w:rPr/>
        <w:t>listados),</w:t>
      </w:r>
      <w:r>
        <w:rPr>
          <w:spacing w:val="-11"/>
        </w:rPr>
        <w:t> </w:t>
      </w:r>
      <w:r>
        <w:rPr/>
        <w:t>con</w:t>
      </w:r>
      <w:r>
        <w:rPr>
          <w:spacing w:val="-9"/>
        </w:rPr>
        <w:t> </w:t>
      </w:r>
      <w:r>
        <w:rPr/>
        <w:t>un</w:t>
      </w:r>
      <w:r>
        <w:rPr>
          <w:spacing w:val="-12"/>
        </w:rPr>
        <w:t> </w:t>
      </w:r>
      <w:r>
        <w:rPr/>
        <w:t>retorno</w:t>
      </w:r>
      <w:r>
        <w:rPr>
          <w:spacing w:val="-11"/>
        </w:rPr>
        <w:t> </w:t>
      </w:r>
      <w:r>
        <w:rPr/>
        <w:t>gradual</w:t>
      </w:r>
      <w:r>
        <w:rPr>
          <w:spacing w:val="-10"/>
        </w:rPr>
        <w:t> </w:t>
      </w:r>
      <w:r>
        <w:rPr/>
        <w:t>hacia</w:t>
      </w:r>
      <w:r>
        <w:rPr>
          <w:spacing w:val="-11"/>
        </w:rPr>
        <w:t> </w:t>
      </w:r>
      <w:r>
        <w:rPr/>
        <w:t>la</w:t>
      </w:r>
      <w:r>
        <w:rPr>
          <w:spacing w:val="-9"/>
        </w:rPr>
        <w:t> </w:t>
      </w:r>
      <w:r>
        <w:rPr/>
        <w:t>nueva normalidad, siguiendo la experiencia internacional derivado que el proceso de vacunación, el acceso a</w:t>
      </w:r>
      <w:r>
        <w:rPr>
          <w:spacing w:val="-9"/>
        </w:rPr>
        <w:t> </w:t>
      </w:r>
      <w:r>
        <w:rPr/>
        <w:t>pruebas</w:t>
      </w:r>
      <w:r>
        <w:rPr>
          <w:spacing w:val="-8"/>
        </w:rPr>
        <w:t> </w:t>
      </w:r>
      <w:r>
        <w:rPr/>
        <w:t>y</w:t>
      </w:r>
      <w:r>
        <w:rPr>
          <w:spacing w:val="-11"/>
        </w:rPr>
        <w:t> </w:t>
      </w:r>
      <w:r>
        <w:rPr/>
        <w:t>kits</w:t>
      </w:r>
      <w:r>
        <w:rPr>
          <w:spacing w:val="-8"/>
        </w:rPr>
        <w:t> </w:t>
      </w:r>
      <w:r>
        <w:rPr/>
        <w:t>de</w:t>
      </w:r>
      <w:r>
        <w:rPr>
          <w:spacing w:val="-8"/>
        </w:rPr>
        <w:t> </w:t>
      </w:r>
      <w:r>
        <w:rPr/>
        <w:t>medicamentos</w:t>
      </w:r>
      <w:r>
        <w:rPr>
          <w:spacing w:val="-9"/>
        </w:rPr>
        <w:t> </w:t>
      </w:r>
      <w:r>
        <w:rPr/>
        <w:t>se</w:t>
      </w:r>
      <w:r>
        <w:rPr>
          <w:spacing w:val="-8"/>
        </w:rPr>
        <w:t> </w:t>
      </w:r>
      <w:r>
        <w:rPr/>
        <w:t>encuentra</w:t>
      </w:r>
      <w:r>
        <w:rPr>
          <w:spacing w:val="-8"/>
        </w:rPr>
        <w:t> </w:t>
      </w:r>
      <w:r>
        <w:rPr/>
        <w:t>avanzado</w:t>
      </w:r>
      <w:r>
        <w:rPr>
          <w:spacing w:val="-9"/>
        </w:rPr>
        <w:t> </w:t>
      </w:r>
      <w:r>
        <w:rPr/>
        <w:t>y</w:t>
      </w:r>
      <w:r>
        <w:rPr>
          <w:spacing w:val="-11"/>
        </w:rPr>
        <w:t> </w:t>
      </w:r>
      <w:r>
        <w:rPr/>
        <w:t>los</w:t>
      </w:r>
      <w:r>
        <w:rPr>
          <w:spacing w:val="-8"/>
        </w:rPr>
        <w:t> </w:t>
      </w:r>
      <w:r>
        <w:rPr/>
        <w:t>síntomas</w:t>
      </w:r>
      <w:r>
        <w:rPr>
          <w:spacing w:val="-9"/>
        </w:rPr>
        <w:t> </w:t>
      </w:r>
      <w:r>
        <w:rPr/>
        <w:t>que</w:t>
      </w:r>
      <w:r>
        <w:rPr>
          <w:spacing w:val="-8"/>
        </w:rPr>
        <w:t> </w:t>
      </w:r>
      <w:r>
        <w:rPr/>
        <w:t>se</w:t>
      </w:r>
      <w:r>
        <w:rPr>
          <w:spacing w:val="-8"/>
        </w:rPr>
        <w:t> </w:t>
      </w:r>
      <w:r>
        <w:rPr/>
        <w:t>presentan</w:t>
      </w:r>
      <w:r>
        <w:rPr>
          <w:spacing w:val="-8"/>
        </w:rPr>
        <w:t> </w:t>
      </w:r>
      <w:r>
        <w:rPr/>
        <w:t>actualmente por COVID-19 tienden a ser</w:t>
      </w:r>
      <w:r>
        <w:rPr>
          <w:spacing w:val="-1"/>
        </w:rPr>
        <w:t> </w:t>
      </w:r>
      <w:r>
        <w:rPr/>
        <w:t>leves.</w:t>
      </w:r>
    </w:p>
    <w:p>
      <w:pPr>
        <w:pStyle w:val="BodyText"/>
        <w:spacing w:before="10"/>
        <w:rPr>
          <w:sz w:val="25"/>
        </w:rPr>
      </w:pPr>
    </w:p>
    <w:p>
      <w:pPr>
        <w:pStyle w:val="Heading2"/>
        <w:numPr>
          <w:ilvl w:val="2"/>
          <w:numId w:val="22"/>
        </w:numPr>
        <w:tabs>
          <w:tab w:pos="1978" w:val="left" w:leader="none"/>
        </w:tabs>
        <w:spacing w:line="240" w:lineRule="auto" w:before="1" w:after="0"/>
        <w:ind w:left="1978" w:right="0" w:hanging="696"/>
        <w:jc w:val="left"/>
      </w:pPr>
      <w:bookmarkStart w:name="_bookmark166" w:id="209"/>
      <w:bookmarkEnd w:id="209"/>
      <w:r>
        <w:rPr>
          <w:b w:val="0"/>
        </w:rPr>
      </w:r>
      <w:bookmarkStart w:name="_bookmark166" w:id="210"/>
      <w:bookmarkEnd w:id="210"/>
      <w:r>
        <w:rPr/>
        <w:t>ETA</w:t>
      </w:r>
      <w:r>
        <w:rPr/>
        <w:t> e</w:t>
      </w:r>
      <w:r>
        <w:rPr>
          <w:spacing w:val="-4"/>
        </w:rPr>
        <w:t> </w:t>
      </w:r>
      <w:r>
        <w:rPr/>
        <w:t>IOTA</w:t>
      </w:r>
    </w:p>
    <w:p>
      <w:pPr>
        <w:pStyle w:val="BodyText"/>
        <w:spacing w:before="3"/>
        <w:rPr>
          <w:b/>
          <w:sz w:val="28"/>
        </w:rPr>
      </w:pPr>
    </w:p>
    <w:p>
      <w:pPr>
        <w:pStyle w:val="BodyText"/>
        <w:spacing w:line="276" w:lineRule="auto"/>
        <w:ind w:left="562" w:right="1696"/>
        <w:jc w:val="both"/>
      </w:pPr>
      <w:r>
        <w:rPr/>
        <w:t>La ejecución del gasto relacionado al Estado de Calamidad Pública por la depresión tropical ETA por medio del subprograma 11 “Estado de Calamidad Pública por Depresión Tropical ETA (DG 20- 2020</w:t>
      </w:r>
      <w:r>
        <w:rPr>
          <w:spacing w:val="-6"/>
        </w:rPr>
        <w:t> </w:t>
      </w:r>
      <w:r>
        <w:rPr/>
        <w:t>y</w:t>
      </w:r>
      <w:r>
        <w:rPr>
          <w:spacing w:val="-8"/>
        </w:rPr>
        <w:t> </w:t>
      </w:r>
      <w:r>
        <w:rPr/>
        <w:t>21-2020)”,</w:t>
      </w:r>
      <w:r>
        <w:rPr>
          <w:spacing w:val="-6"/>
        </w:rPr>
        <w:t> </w:t>
      </w:r>
      <w:r>
        <w:rPr/>
        <w:t>durante</w:t>
      </w:r>
      <w:r>
        <w:rPr>
          <w:spacing w:val="-7"/>
        </w:rPr>
        <w:t> </w:t>
      </w:r>
      <w:r>
        <w:rPr/>
        <w:t>el</w:t>
      </w:r>
      <w:r>
        <w:rPr>
          <w:spacing w:val="-5"/>
        </w:rPr>
        <w:t> </w:t>
      </w:r>
      <w:r>
        <w:rPr/>
        <w:t>año</w:t>
      </w:r>
      <w:r>
        <w:rPr>
          <w:spacing w:val="-5"/>
        </w:rPr>
        <w:t> </w:t>
      </w:r>
      <w:r>
        <w:rPr/>
        <w:t>se</w:t>
      </w:r>
      <w:r>
        <w:rPr>
          <w:spacing w:val="-6"/>
        </w:rPr>
        <w:t> </w:t>
      </w:r>
      <w:r>
        <w:rPr/>
        <w:t>han</w:t>
      </w:r>
      <w:r>
        <w:rPr>
          <w:spacing w:val="-5"/>
        </w:rPr>
        <w:t> </w:t>
      </w:r>
      <w:r>
        <w:rPr/>
        <w:t>ejecutado</w:t>
      </w:r>
      <w:r>
        <w:rPr>
          <w:spacing w:val="-5"/>
        </w:rPr>
        <w:t> </w:t>
      </w:r>
      <w:r>
        <w:rPr/>
        <w:t>Q285.3</w:t>
      </w:r>
      <w:r>
        <w:rPr>
          <w:spacing w:val="-6"/>
        </w:rPr>
        <w:t> </w:t>
      </w:r>
      <w:r>
        <w:rPr/>
        <w:t>millones,</w:t>
      </w:r>
      <w:r>
        <w:rPr>
          <w:spacing w:val="-5"/>
        </w:rPr>
        <w:t> </w:t>
      </w:r>
      <w:r>
        <w:rPr/>
        <w:t>correspondientes</w:t>
      </w:r>
      <w:r>
        <w:rPr>
          <w:spacing w:val="-5"/>
        </w:rPr>
        <w:t> </w:t>
      </w:r>
      <w:r>
        <w:rPr/>
        <w:t>en</w:t>
      </w:r>
      <w:r>
        <w:rPr>
          <w:spacing w:val="-5"/>
        </w:rPr>
        <w:t> </w:t>
      </w:r>
      <w:r>
        <w:rPr/>
        <w:t>su</w:t>
      </w:r>
      <w:r>
        <w:rPr>
          <w:spacing w:val="-6"/>
        </w:rPr>
        <w:t> </w:t>
      </w:r>
      <w:r>
        <w:rPr/>
        <w:t>totalidad al Ministerio de Comunicaciones, Infraestructura y Vivienda, por mantenimiento y reparación </w:t>
      </w:r>
      <w:r>
        <w:rPr>
          <w:spacing w:val="-3"/>
        </w:rPr>
        <w:t>de </w:t>
      </w:r>
      <w:r>
        <w:rPr/>
        <w:t>bienes nacionales como carreteras, caminos y puentes, arrendamiento de maquinaria y equipo de construcción y arrendamiento de medios de</w:t>
      </w:r>
      <w:r>
        <w:rPr>
          <w:spacing w:val="-6"/>
        </w:rPr>
        <w:t> </w:t>
      </w:r>
      <w:r>
        <w:rPr/>
        <w:t>transporte.</w:t>
      </w:r>
    </w:p>
    <w:p>
      <w:pPr>
        <w:pStyle w:val="BodyText"/>
        <w:spacing w:before="5"/>
        <w:rPr>
          <w:sz w:val="25"/>
        </w:rPr>
      </w:pPr>
    </w:p>
    <w:p>
      <w:pPr>
        <w:pStyle w:val="BodyText"/>
        <w:spacing w:line="276" w:lineRule="auto"/>
        <w:ind w:left="562" w:right="1702"/>
        <w:jc w:val="both"/>
      </w:pPr>
      <w:r>
        <w:rPr/>
        <w:t>Resalta que este subprograma no contaba con presupuesto inicial y debido a reprogramaciones que se han llevado a cabo cuenta con un presupuesto vigente a junio de Q533.0 millones.</w:t>
      </w:r>
    </w:p>
    <w:p>
      <w:pPr>
        <w:pStyle w:val="BodyText"/>
        <w:spacing w:before="10"/>
        <w:rPr>
          <w:sz w:val="25"/>
        </w:rPr>
      </w:pPr>
    </w:p>
    <w:p>
      <w:pPr>
        <w:pStyle w:val="Heading2"/>
        <w:numPr>
          <w:ilvl w:val="2"/>
          <w:numId w:val="13"/>
        </w:numPr>
        <w:tabs>
          <w:tab w:pos="1354" w:val="left" w:leader="none"/>
        </w:tabs>
        <w:spacing w:line="240" w:lineRule="auto" w:before="0" w:after="0"/>
        <w:ind w:left="1354" w:right="0" w:hanging="433"/>
        <w:jc w:val="left"/>
      </w:pPr>
      <w:bookmarkStart w:name="_bookmark167" w:id="211"/>
      <w:bookmarkEnd w:id="211"/>
      <w:r>
        <w:rPr>
          <w:b w:val="0"/>
        </w:rPr>
      </w:r>
      <w:bookmarkStart w:name="_bookmark167" w:id="212"/>
      <w:bookmarkEnd w:id="212"/>
      <w:r>
        <w:rPr/>
        <w:t>D</w:t>
      </w:r>
      <w:r>
        <w:rPr/>
        <w:t>éficit fiscal y</w:t>
      </w:r>
      <w:r>
        <w:rPr>
          <w:spacing w:val="-1"/>
        </w:rPr>
        <w:t> </w:t>
      </w:r>
      <w:r>
        <w:rPr/>
        <w:t>financiamiento</w:t>
      </w:r>
    </w:p>
    <w:p>
      <w:pPr>
        <w:pStyle w:val="BodyText"/>
        <w:spacing w:before="4"/>
        <w:rPr>
          <w:b/>
          <w:sz w:val="28"/>
        </w:rPr>
      </w:pPr>
    </w:p>
    <w:p>
      <w:pPr>
        <w:pStyle w:val="BodyText"/>
        <w:spacing w:line="276" w:lineRule="auto"/>
        <w:ind w:left="562" w:right="1696"/>
        <w:jc w:val="both"/>
      </w:pPr>
      <w:r>
        <w:rPr/>
        <w:t>Al</w:t>
      </w:r>
      <w:r>
        <w:rPr>
          <w:spacing w:val="-12"/>
        </w:rPr>
        <w:t> </w:t>
      </w:r>
      <w:r>
        <w:rPr/>
        <w:t>cierre</w:t>
      </w:r>
      <w:r>
        <w:rPr>
          <w:spacing w:val="-13"/>
        </w:rPr>
        <w:t> </w:t>
      </w:r>
      <w:r>
        <w:rPr/>
        <w:t>de</w:t>
      </w:r>
      <w:r>
        <w:rPr>
          <w:spacing w:val="-15"/>
        </w:rPr>
        <w:t> </w:t>
      </w:r>
      <w:r>
        <w:rPr/>
        <w:t>junio</w:t>
      </w:r>
      <w:r>
        <w:rPr>
          <w:spacing w:val="-13"/>
        </w:rPr>
        <w:t> </w:t>
      </w:r>
      <w:r>
        <w:rPr/>
        <w:t>se</w:t>
      </w:r>
      <w:r>
        <w:rPr>
          <w:spacing w:val="-13"/>
        </w:rPr>
        <w:t> </w:t>
      </w:r>
      <w:r>
        <w:rPr/>
        <w:t>observó</w:t>
      </w:r>
      <w:r>
        <w:rPr>
          <w:spacing w:val="-13"/>
        </w:rPr>
        <w:t> </w:t>
      </w:r>
      <w:r>
        <w:rPr/>
        <w:t>un</w:t>
      </w:r>
      <w:r>
        <w:rPr>
          <w:spacing w:val="-12"/>
        </w:rPr>
        <w:t> </w:t>
      </w:r>
      <w:r>
        <w:rPr/>
        <w:t>déficit</w:t>
      </w:r>
      <w:r>
        <w:rPr>
          <w:spacing w:val="-12"/>
        </w:rPr>
        <w:t> </w:t>
      </w:r>
      <w:r>
        <w:rPr/>
        <w:t>fiscal</w:t>
      </w:r>
      <w:r>
        <w:rPr>
          <w:spacing w:val="-11"/>
        </w:rPr>
        <w:t> </w:t>
      </w:r>
      <w:r>
        <w:rPr/>
        <w:t>que</w:t>
      </w:r>
      <w:r>
        <w:rPr>
          <w:spacing w:val="-13"/>
        </w:rPr>
        <w:t> </w:t>
      </w:r>
      <w:r>
        <w:rPr/>
        <w:t>se</w:t>
      </w:r>
      <w:r>
        <w:rPr>
          <w:spacing w:val="-13"/>
        </w:rPr>
        <w:t> </w:t>
      </w:r>
      <w:r>
        <w:rPr/>
        <w:t>sitúa</w:t>
      </w:r>
      <w:r>
        <w:rPr>
          <w:spacing w:val="-13"/>
        </w:rPr>
        <w:t> </w:t>
      </w:r>
      <w:r>
        <w:rPr/>
        <w:t>en</w:t>
      </w:r>
      <w:r>
        <w:rPr>
          <w:spacing w:val="-13"/>
        </w:rPr>
        <w:t> </w:t>
      </w:r>
      <w:r>
        <w:rPr/>
        <w:t>Q1,519.9</w:t>
      </w:r>
      <w:r>
        <w:rPr>
          <w:spacing w:val="-13"/>
        </w:rPr>
        <w:t> </w:t>
      </w:r>
      <w:r>
        <w:rPr/>
        <w:t>millones.</w:t>
      </w:r>
      <w:r>
        <w:rPr>
          <w:spacing w:val="-12"/>
        </w:rPr>
        <w:t> </w:t>
      </w:r>
      <w:r>
        <w:rPr/>
        <w:t>En</w:t>
      </w:r>
      <w:r>
        <w:rPr>
          <w:spacing w:val="-14"/>
        </w:rPr>
        <w:t> </w:t>
      </w:r>
      <w:r>
        <w:rPr/>
        <w:t>los</w:t>
      </w:r>
      <w:r>
        <w:rPr>
          <w:spacing w:val="-13"/>
        </w:rPr>
        <w:t> </w:t>
      </w:r>
      <w:r>
        <w:rPr/>
        <w:t>años</w:t>
      </w:r>
      <w:r>
        <w:rPr>
          <w:spacing w:val="-12"/>
        </w:rPr>
        <w:t> </w:t>
      </w:r>
      <w:r>
        <w:rPr/>
        <w:t>anteriores (2019-2021), a la misma fecha también se reportaba déficit fiscal, aunque este era</w:t>
      </w:r>
      <w:r>
        <w:rPr>
          <w:spacing w:val="-20"/>
        </w:rPr>
        <w:t> </w:t>
      </w:r>
      <w:r>
        <w:rPr/>
        <w:t>mayor.</w:t>
      </w:r>
    </w:p>
    <w:p>
      <w:pPr>
        <w:pStyle w:val="BodyText"/>
        <w:spacing w:before="5"/>
        <w:rPr>
          <w:sz w:val="25"/>
        </w:rPr>
      </w:pPr>
    </w:p>
    <w:p>
      <w:pPr>
        <w:pStyle w:val="BodyText"/>
        <w:spacing w:line="276" w:lineRule="auto"/>
        <w:ind w:left="562" w:right="1698"/>
        <w:jc w:val="both"/>
      </w:pPr>
      <w:r>
        <w:rPr/>
        <w:t>Lo anterior derivado del buen desempeño en la recaudación tributaria, la meta de recaudación fue superada</w:t>
      </w:r>
      <w:r>
        <w:rPr>
          <w:spacing w:val="-9"/>
        </w:rPr>
        <w:t> </w:t>
      </w:r>
      <w:r>
        <w:rPr/>
        <w:t>por</w:t>
      </w:r>
      <w:r>
        <w:rPr>
          <w:spacing w:val="-8"/>
        </w:rPr>
        <w:t> </w:t>
      </w:r>
      <w:r>
        <w:rPr/>
        <w:t>sexto</w:t>
      </w:r>
      <w:r>
        <w:rPr>
          <w:spacing w:val="-8"/>
        </w:rPr>
        <w:t> </w:t>
      </w:r>
      <w:r>
        <w:rPr/>
        <w:t>mes</w:t>
      </w:r>
      <w:r>
        <w:rPr>
          <w:spacing w:val="-9"/>
        </w:rPr>
        <w:t> </w:t>
      </w:r>
      <w:r>
        <w:rPr/>
        <w:t>consecutivo,</w:t>
      </w:r>
      <w:r>
        <w:rPr>
          <w:spacing w:val="-10"/>
        </w:rPr>
        <w:t> </w:t>
      </w:r>
      <w:r>
        <w:rPr/>
        <w:t>impulsada</w:t>
      </w:r>
      <w:r>
        <w:rPr>
          <w:spacing w:val="-8"/>
        </w:rPr>
        <w:t> </w:t>
      </w:r>
      <w:r>
        <w:rPr/>
        <w:t>por</w:t>
      </w:r>
      <w:r>
        <w:rPr>
          <w:spacing w:val="-9"/>
        </w:rPr>
        <w:t> </w:t>
      </w:r>
      <w:r>
        <w:rPr/>
        <w:t>el</w:t>
      </w:r>
      <w:r>
        <w:rPr>
          <w:spacing w:val="-7"/>
        </w:rPr>
        <w:t> </w:t>
      </w:r>
      <w:r>
        <w:rPr/>
        <w:t>IVA</w:t>
      </w:r>
      <w:r>
        <w:rPr>
          <w:spacing w:val="-11"/>
        </w:rPr>
        <w:t> </w:t>
      </w:r>
      <w:r>
        <w:rPr/>
        <w:t>importaciones</w:t>
      </w:r>
      <w:r>
        <w:rPr>
          <w:spacing w:val="-9"/>
        </w:rPr>
        <w:t> </w:t>
      </w:r>
      <w:r>
        <w:rPr/>
        <w:t>y</w:t>
      </w:r>
      <w:r>
        <w:rPr>
          <w:spacing w:val="-11"/>
        </w:rPr>
        <w:t> </w:t>
      </w:r>
      <w:r>
        <w:rPr/>
        <w:t>los</w:t>
      </w:r>
      <w:r>
        <w:rPr>
          <w:spacing w:val="-9"/>
        </w:rPr>
        <w:t> </w:t>
      </w:r>
      <w:r>
        <w:rPr/>
        <w:t>derechos</w:t>
      </w:r>
      <w:r>
        <w:rPr>
          <w:spacing w:val="-8"/>
        </w:rPr>
        <w:t> </w:t>
      </w:r>
      <w:r>
        <w:rPr/>
        <w:t>arancelarios de importación que crecen de forma importante producto del comportamiento en los precios internacionales del petróleo, principalmente. Adicionalmente, es preciso señalar como factor importante, las medidas administrativas adoptadas por la SAT que han apoyado la recaudación aduanera y las medidas de fiscalización y control que ejercen resultados positivos en los impuestos internos, especialmente el Impuesto sobre la Renta (ISR), con el afianzamiento de estos esfuerzos institucionales se pueden lograr mejoras sostenidas en la recaudación tributaria en el mediano</w:t>
      </w:r>
      <w:r>
        <w:rPr>
          <w:spacing w:val="-33"/>
        </w:rPr>
        <w:t> </w:t>
      </w:r>
      <w:r>
        <w:rPr/>
        <w:t>plazo.</w:t>
      </w:r>
    </w:p>
    <w:p>
      <w:pPr>
        <w:spacing w:after="0" w:line="276" w:lineRule="auto"/>
        <w:jc w:val="both"/>
        <w:sectPr>
          <w:pgSz w:w="12240" w:h="15840"/>
          <w:pgMar w:header="715" w:footer="957" w:top="1240" w:bottom="1140" w:left="1140" w:right="0"/>
        </w:sectPr>
      </w:pPr>
    </w:p>
    <w:p>
      <w:pPr>
        <w:pStyle w:val="BodyText"/>
        <w:rPr>
          <w:sz w:val="20"/>
        </w:rPr>
      </w:pPr>
    </w:p>
    <w:p>
      <w:pPr>
        <w:pStyle w:val="BodyText"/>
        <w:spacing w:before="4"/>
        <w:rPr>
          <w:sz w:val="19"/>
        </w:rPr>
      </w:pPr>
    </w:p>
    <w:p>
      <w:pPr>
        <w:pStyle w:val="BodyText"/>
        <w:spacing w:line="276" w:lineRule="auto"/>
        <w:ind w:left="562" w:right="1695"/>
        <w:jc w:val="both"/>
      </w:pPr>
      <w:r>
        <w:rPr/>
        <w:t>Por el lado del gasto público, existe una aceleración en la ejecución a junio del 2022. Esto como resultado de la ejecución de las medidas temporales adoptadas en apoyo a la población</w:t>
      </w:r>
      <w:r>
        <w:rPr>
          <w:spacing w:val="-33"/>
        </w:rPr>
        <w:t> </w:t>
      </w:r>
      <w:r>
        <w:rPr/>
        <w:t>guatemalteca ante el alza sostenida de los precios internacionales de los combustibles y otros gastos relacionados. Por lo que se espera que el gasto se mantenga dinámico en los siguientes</w:t>
      </w:r>
      <w:r>
        <w:rPr>
          <w:spacing w:val="-14"/>
        </w:rPr>
        <w:t> </w:t>
      </w:r>
      <w:r>
        <w:rPr/>
        <w:t>meses.</w:t>
      </w:r>
    </w:p>
    <w:p>
      <w:pPr>
        <w:pStyle w:val="BodyText"/>
        <w:spacing w:before="3"/>
        <w:rPr>
          <w:sz w:val="25"/>
        </w:rPr>
      </w:pPr>
    </w:p>
    <w:p>
      <w:pPr>
        <w:pStyle w:val="BodyText"/>
        <w:spacing w:line="276" w:lineRule="auto"/>
        <w:ind w:left="562" w:right="1698"/>
        <w:jc w:val="both"/>
      </w:pPr>
      <w:r>
        <w:rPr/>
        <w:t>Por</w:t>
      </w:r>
      <w:r>
        <w:rPr>
          <w:spacing w:val="-11"/>
        </w:rPr>
        <w:t> </w:t>
      </w:r>
      <w:r>
        <w:rPr/>
        <w:t>ello,</w:t>
      </w:r>
      <w:r>
        <w:rPr>
          <w:spacing w:val="-12"/>
        </w:rPr>
        <w:t> </w:t>
      </w:r>
      <w:r>
        <w:rPr/>
        <w:t>es</w:t>
      </w:r>
      <w:r>
        <w:rPr>
          <w:spacing w:val="-11"/>
        </w:rPr>
        <w:t> </w:t>
      </w:r>
      <w:r>
        <w:rPr/>
        <w:t>importante</w:t>
      </w:r>
      <w:r>
        <w:rPr>
          <w:spacing w:val="-10"/>
        </w:rPr>
        <w:t> </w:t>
      </w:r>
      <w:r>
        <w:rPr/>
        <w:t>considerar</w:t>
      </w:r>
      <w:r>
        <w:rPr>
          <w:spacing w:val="-11"/>
        </w:rPr>
        <w:t> </w:t>
      </w:r>
      <w:r>
        <w:rPr/>
        <w:t>que</w:t>
      </w:r>
      <w:r>
        <w:rPr>
          <w:spacing w:val="-12"/>
        </w:rPr>
        <w:t> </w:t>
      </w:r>
      <w:r>
        <w:rPr/>
        <w:t>el</w:t>
      </w:r>
      <w:r>
        <w:rPr>
          <w:spacing w:val="-10"/>
        </w:rPr>
        <w:t> </w:t>
      </w:r>
      <w:r>
        <w:rPr/>
        <w:t>déficit</w:t>
      </w:r>
      <w:r>
        <w:rPr>
          <w:spacing w:val="-11"/>
        </w:rPr>
        <w:t> </w:t>
      </w:r>
      <w:r>
        <w:rPr/>
        <w:t>fiscal</w:t>
      </w:r>
      <w:r>
        <w:rPr>
          <w:spacing w:val="-11"/>
        </w:rPr>
        <w:t> </w:t>
      </w:r>
      <w:r>
        <w:rPr/>
        <w:t>continuará</w:t>
      </w:r>
      <w:r>
        <w:rPr>
          <w:spacing w:val="-10"/>
        </w:rPr>
        <w:t> </w:t>
      </w:r>
      <w:r>
        <w:rPr/>
        <w:t>ampliándose</w:t>
      </w:r>
      <w:r>
        <w:rPr>
          <w:spacing w:val="-11"/>
        </w:rPr>
        <w:t> </w:t>
      </w:r>
      <w:r>
        <w:rPr/>
        <w:t>en</w:t>
      </w:r>
      <w:r>
        <w:rPr>
          <w:spacing w:val="-12"/>
        </w:rPr>
        <w:t> </w:t>
      </w:r>
      <w:r>
        <w:rPr/>
        <w:t>los</w:t>
      </w:r>
      <w:r>
        <w:rPr>
          <w:spacing w:val="-11"/>
        </w:rPr>
        <w:t> </w:t>
      </w:r>
      <w:r>
        <w:rPr/>
        <w:t>próximos</w:t>
      </w:r>
      <w:r>
        <w:rPr>
          <w:spacing w:val="-8"/>
        </w:rPr>
        <w:t> </w:t>
      </w:r>
      <w:r>
        <w:rPr/>
        <w:t>meses, dada la dinámica en los ingresos y gastos, se espera un déficit fiscal para finales de año entorno al 2.4%</w:t>
      </w:r>
      <w:r>
        <w:rPr>
          <w:spacing w:val="-4"/>
        </w:rPr>
        <w:t> </w:t>
      </w:r>
      <w:r>
        <w:rPr/>
        <w:t>del</w:t>
      </w:r>
      <w:r>
        <w:rPr>
          <w:spacing w:val="-4"/>
        </w:rPr>
        <w:t> </w:t>
      </w:r>
      <w:r>
        <w:rPr/>
        <w:t>PIB,</w:t>
      </w:r>
      <w:r>
        <w:rPr>
          <w:spacing w:val="-4"/>
        </w:rPr>
        <w:t> </w:t>
      </w:r>
      <w:r>
        <w:rPr/>
        <w:t>siendo</w:t>
      </w:r>
      <w:r>
        <w:rPr>
          <w:spacing w:val="-4"/>
        </w:rPr>
        <w:t> </w:t>
      </w:r>
      <w:r>
        <w:rPr/>
        <w:t>superior</w:t>
      </w:r>
      <w:r>
        <w:rPr>
          <w:spacing w:val="-4"/>
        </w:rPr>
        <w:t> </w:t>
      </w:r>
      <w:r>
        <w:rPr/>
        <w:t>al</w:t>
      </w:r>
      <w:r>
        <w:rPr>
          <w:spacing w:val="-3"/>
        </w:rPr>
        <w:t> </w:t>
      </w:r>
      <w:r>
        <w:rPr/>
        <w:t>observado</w:t>
      </w:r>
      <w:r>
        <w:rPr>
          <w:spacing w:val="-4"/>
        </w:rPr>
        <w:t> </w:t>
      </w:r>
      <w:r>
        <w:rPr/>
        <w:t>en</w:t>
      </w:r>
      <w:r>
        <w:rPr>
          <w:spacing w:val="-3"/>
        </w:rPr>
        <w:t> </w:t>
      </w:r>
      <w:r>
        <w:rPr/>
        <w:t>2021</w:t>
      </w:r>
      <w:r>
        <w:rPr>
          <w:spacing w:val="-5"/>
        </w:rPr>
        <w:t> </w:t>
      </w:r>
      <w:r>
        <w:rPr/>
        <w:t>(1.2%),</w:t>
      </w:r>
      <w:r>
        <w:rPr>
          <w:spacing w:val="-5"/>
        </w:rPr>
        <w:t> </w:t>
      </w:r>
      <w:r>
        <w:rPr/>
        <w:t>y</w:t>
      </w:r>
      <w:r>
        <w:rPr>
          <w:spacing w:val="-6"/>
        </w:rPr>
        <w:t> </w:t>
      </w:r>
      <w:r>
        <w:rPr/>
        <w:t>significativamente</w:t>
      </w:r>
      <w:r>
        <w:rPr>
          <w:spacing w:val="-4"/>
        </w:rPr>
        <w:t> </w:t>
      </w:r>
      <w:r>
        <w:rPr/>
        <w:t>menor</w:t>
      </w:r>
      <w:r>
        <w:rPr>
          <w:spacing w:val="-3"/>
        </w:rPr>
        <w:t> </w:t>
      </w:r>
      <w:r>
        <w:rPr/>
        <w:t>al</w:t>
      </w:r>
      <w:r>
        <w:rPr>
          <w:spacing w:val="-4"/>
        </w:rPr>
        <w:t> </w:t>
      </w:r>
      <w:r>
        <w:rPr/>
        <w:t>reportado en 2020 cuando fue de 4.9% del</w:t>
      </w:r>
      <w:r>
        <w:rPr>
          <w:spacing w:val="-2"/>
        </w:rPr>
        <w:t> </w:t>
      </w:r>
      <w:r>
        <w:rPr/>
        <w:t>PIB.</w:t>
      </w:r>
    </w:p>
    <w:p>
      <w:pPr>
        <w:pStyle w:val="BodyText"/>
        <w:spacing w:before="4"/>
        <w:rPr>
          <w:sz w:val="25"/>
        </w:rPr>
      </w:pPr>
    </w:p>
    <w:p>
      <w:pPr>
        <w:pStyle w:val="BodyText"/>
        <w:spacing w:line="276" w:lineRule="auto"/>
        <w:ind w:left="562" w:right="1699"/>
        <w:jc w:val="both"/>
      </w:pPr>
      <w:r>
        <w:rPr/>
        <w:t>En cuando al financiamiento, al cierre de junio se obtuvo un flujo negativo en el endeudamiento externo neto por el equivalente a Q6,566.9 millones, dado que durante el mes se dio el pago por el vencimiento de un eurobono por US$700 millones (equivalente a Q5,480.6 millones) y del lado de los préstamos, las amortizaciones superan los desembolsos.</w:t>
      </w:r>
    </w:p>
    <w:p>
      <w:pPr>
        <w:pStyle w:val="BodyText"/>
        <w:spacing w:before="3"/>
        <w:rPr>
          <w:sz w:val="25"/>
        </w:rPr>
      </w:pPr>
    </w:p>
    <w:p>
      <w:pPr>
        <w:pStyle w:val="BodyText"/>
        <w:spacing w:line="276" w:lineRule="auto" w:before="1"/>
        <w:ind w:left="562" w:right="1696"/>
        <w:jc w:val="both"/>
      </w:pPr>
      <w:r>
        <w:rPr/>
        <w:t>En</w:t>
      </w:r>
      <w:r>
        <w:rPr>
          <w:spacing w:val="-6"/>
        </w:rPr>
        <w:t> </w:t>
      </w:r>
      <w:r>
        <w:rPr/>
        <w:t>el</w:t>
      </w:r>
      <w:r>
        <w:rPr>
          <w:spacing w:val="-4"/>
        </w:rPr>
        <w:t> </w:t>
      </w:r>
      <w:r>
        <w:rPr/>
        <w:t>Congreso</w:t>
      </w:r>
      <w:r>
        <w:rPr>
          <w:spacing w:val="-4"/>
        </w:rPr>
        <w:t> </w:t>
      </w:r>
      <w:r>
        <w:rPr/>
        <w:t>de</w:t>
      </w:r>
      <w:r>
        <w:rPr>
          <w:spacing w:val="-4"/>
        </w:rPr>
        <w:t> </w:t>
      </w:r>
      <w:r>
        <w:rPr/>
        <w:t>la</w:t>
      </w:r>
      <w:r>
        <w:rPr>
          <w:spacing w:val="-4"/>
        </w:rPr>
        <w:t> </w:t>
      </w:r>
      <w:r>
        <w:rPr/>
        <w:t>República</w:t>
      </w:r>
      <w:r>
        <w:rPr>
          <w:spacing w:val="-4"/>
        </w:rPr>
        <w:t> </w:t>
      </w:r>
      <w:r>
        <w:rPr/>
        <w:t>fue</w:t>
      </w:r>
      <w:r>
        <w:rPr>
          <w:spacing w:val="-4"/>
        </w:rPr>
        <w:t> </w:t>
      </w:r>
      <w:r>
        <w:rPr/>
        <w:t>aprobado</w:t>
      </w:r>
      <w:r>
        <w:rPr>
          <w:spacing w:val="-4"/>
        </w:rPr>
        <w:t> </w:t>
      </w:r>
      <w:r>
        <w:rPr/>
        <w:t>el</w:t>
      </w:r>
      <w:r>
        <w:rPr>
          <w:spacing w:val="-4"/>
        </w:rPr>
        <w:t> </w:t>
      </w:r>
      <w:r>
        <w:rPr/>
        <w:t>“Préstamo</w:t>
      </w:r>
      <w:r>
        <w:rPr>
          <w:spacing w:val="-5"/>
        </w:rPr>
        <w:t> </w:t>
      </w:r>
      <w:r>
        <w:rPr/>
        <w:t>para</w:t>
      </w:r>
      <w:r>
        <w:rPr>
          <w:spacing w:val="-5"/>
        </w:rPr>
        <w:t> </w:t>
      </w:r>
      <w:r>
        <w:rPr/>
        <w:t>Políticas</w:t>
      </w:r>
      <w:r>
        <w:rPr>
          <w:spacing w:val="-4"/>
        </w:rPr>
        <w:t> </w:t>
      </w:r>
      <w:r>
        <w:rPr/>
        <w:t>de</w:t>
      </w:r>
      <w:r>
        <w:rPr>
          <w:spacing w:val="-4"/>
        </w:rPr>
        <w:t> </w:t>
      </w:r>
      <w:r>
        <w:rPr/>
        <w:t>Desarrollo</w:t>
      </w:r>
      <w:r>
        <w:rPr>
          <w:spacing w:val="-7"/>
        </w:rPr>
        <w:t> </w:t>
      </w:r>
      <w:r>
        <w:rPr/>
        <w:t>de</w:t>
      </w:r>
      <w:r>
        <w:rPr>
          <w:spacing w:val="-4"/>
        </w:rPr>
        <w:t> </w:t>
      </w:r>
      <w:r>
        <w:rPr/>
        <w:t>Respuesta y Recuperación ante la Crisis en Guatemala” por parte del Banco Internacional de Reconstrucción y Fomento (BIRF) por US$500.0 millones.</w:t>
      </w:r>
    </w:p>
    <w:p>
      <w:pPr>
        <w:pStyle w:val="BodyText"/>
        <w:spacing w:before="3"/>
        <w:rPr>
          <w:sz w:val="25"/>
        </w:rPr>
      </w:pPr>
    </w:p>
    <w:p>
      <w:pPr>
        <w:pStyle w:val="BodyText"/>
        <w:spacing w:line="276" w:lineRule="auto"/>
        <w:ind w:left="562" w:right="1698"/>
        <w:jc w:val="both"/>
      </w:pPr>
      <w:r>
        <w:rPr/>
        <w:t>Por</w:t>
      </w:r>
      <w:r>
        <w:rPr>
          <w:spacing w:val="-4"/>
        </w:rPr>
        <w:t> </w:t>
      </w:r>
      <w:r>
        <w:rPr/>
        <w:t>ello,</w:t>
      </w:r>
      <w:r>
        <w:rPr>
          <w:spacing w:val="-5"/>
        </w:rPr>
        <w:t> </w:t>
      </w:r>
      <w:r>
        <w:rPr/>
        <w:t>quedó</w:t>
      </w:r>
      <w:r>
        <w:rPr>
          <w:spacing w:val="-7"/>
        </w:rPr>
        <w:t> </w:t>
      </w:r>
      <w:r>
        <w:rPr/>
        <w:t>facultado</w:t>
      </w:r>
      <w:r>
        <w:rPr>
          <w:spacing w:val="-4"/>
        </w:rPr>
        <w:t> </w:t>
      </w:r>
      <w:r>
        <w:rPr/>
        <w:t>el</w:t>
      </w:r>
      <w:r>
        <w:rPr>
          <w:spacing w:val="-5"/>
        </w:rPr>
        <w:t> </w:t>
      </w:r>
      <w:r>
        <w:rPr/>
        <w:t>Ministerio</w:t>
      </w:r>
      <w:r>
        <w:rPr>
          <w:spacing w:val="-5"/>
        </w:rPr>
        <w:t> </w:t>
      </w:r>
      <w:r>
        <w:rPr/>
        <w:t>de</w:t>
      </w:r>
      <w:r>
        <w:rPr>
          <w:spacing w:val="-4"/>
        </w:rPr>
        <w:t> </w:t>
      </w:r>
      <w:r>
        <w:rPr/>
        <w:t>Finanzas</w:t>
      </w:r>
      <w:r>
        <w:rPr>
          <w:spacing w:val="-4"/>
        </w:rPr>
        <w:t> </w:t>
      </w:r>
      <w:r>
        <w:rPr/>
        <w:t>Públicas</w:t>
      </w:r>
      <w:r>
        <w:rPr>
          <w:spacing w:val="-3"/>
        </w:rPr>
        <w:t> </w:t>
      </w:r>
      <w:r>
        <w:rPr/>
        <w:t>para</w:t>
      </w:r>
      <w:r>
        <w:rPr>
          <w:spacing w:val="-7"/>
        </w:rPr>
        <w:t> </w:t>
      </w:r>
      <w:r>
        <w:rPr/>
        <w:t>que</w:t>
      </w:r>
      <w:r>
        <w:rPr>
          <w:spacing w:val="-4"/>
        </w:rPr>
        <w:t> </w:t>
      </w:r>
      <w:r>
        <w:rPr/>
        <w:t>durante</w:t>
      </w:r>
      <w:r>
        <w:rPr>
          <w:spacing w:val="-4"/>
        </w:rPr>
        <w:t> </w:t>
      </w:r>
      <w:r>
        <w:rPr/>
        <w:t>el</w:t>
      </w:r>
      <w:r>
        <w:rPr>
          <w:spacing w:val="-3"/>
        </w:rPr>
        <w:t> </w:t>
      </w:r>
      <w:r>
        <w:rPr/>
        <w:t>ejercicio</w:t>
      </w:r>
      <w:r>
        <w:rPr>
          <w:spacing w:val="-5"/>
        </w:rPr>
        <w:t> </w:t>
      </w:r>
      <w:r>
        <w:rPr/>
        <w:t>fiscal</w:t>
      </w:r>
      <w:r>
        <w:rPr>
          <w:spacing w:val="-4"/>
        </w:rPr>
        <w:t> </w:t>
      </w:r>
      <w:r>
        <w:rPr/>
        <w:t>2022 se incorpore al Presupuesto el equivalente al préstamo de US$500.0 millones, por medio de una sustitución</w:t>
      </w:r>
      <w:r>
        <w:rPr>
          <w:spacing w:val="-10"/>
        </w:rPr>
        <w:t> </w:t>
      </w:r>
      <w:r>
        <w:rPr/>
        <w:t>de</w:t>
      </w:r>
      <w:r>
        <w:rPr>
          <w:spacing w:val="-8"/>
        </w:rPr>
        <w:t> </w:t>
      </w:r>
      <w:r>
        <w:rPr/>
        <w:t>fuente</w:t>
      </w:r>
      <w:r>
        <w:rPr>
          <w:spacing w:val="-8"/>
        </w:rPr>
        <w:t> </w:t>
      </w:r>
      <w:r>
        <w:rPr/>
        <w:t>de</w:t>
      </w:r>
      <w:r>
        <w:rPr>
          <w:spacing w:val="-11"/>
        </w:rPr>
        <w:t> </w:t>
      </w:r>
      <w:r>
        <w:rPr/>
        <w:t>financiamiento,</w:t>
      </w:r>
      <w:r>
        <w:rPr>
          <w:spacing w:val="-9"/>
        </w:rPr>
        <w:t> </w:t>
      </w:r>
      <w:r>
        <w:rPr/>
        <w:t>liberando</w:t>
      </w:r>
      <w:r>
        <w:rPr>
          <w:spacing w:val="-10"/>
        </w:rPr>
        <w:t> </w:t>
      </w:r>
      <w:r>
        <w:rPr/>
        <w:t>recursos</w:t>
      </w:r>
      <w:r>
        <w:rPr>
          <w:spacing w:val="-8"/>
        </w:rPr>
        <w:t> </w:t>
      </w:r>
      <w:r>
        <w:rPr/>
        <w:t>de</w:t>
      </w:r>
      <w:r>
        <w:rPr>
          <w:spacing w:val="-11"/>
        </w:rPr>
        <w:t> </w:t>
      </w:r>
      <w:r>
        <w:rPr/>
        <w:t>la</w:t>
      </w:r>
      <w:r>
        <w:rPr>
          <w:spacing w:val="-8"/>
        </w:rPr>
        <w:t> </w:t>
      </w:r>
      <w:r>
        <w:rPr/>
        <w:t>colocación</w:t>
      </w:r>
      <w:r>
        <w:rPr>
          <w:spacing w:val="-9"/>
        </w:rPr>
        <w:t> </w:t>
      </w:r>
      <w:r>
        <w:rPr/>
        <w:t>de</w:t>
      </w:r>
      <w:r>
        <w:rPr>
          <w:spacing w:val="-9"/>
        </w:rPr>
        <w:t> </w:t>
      </w:r>
      <w:r>
        <w:rPr/>
        <w:t>bonos</w:t>
      </w:r>
      <w:r>
        <w:rPr>
          <w:spacing w:val="-8"/>
        </w:rPr>
        <w:t> </w:t>
      </w:r>
      <w:r>
        <w:rPr/>
        <w:t>del</w:t>
      </w:r>
      <w:r>
        <w:rPr>
          <w:spacing w:val="-10"/>
        </w:rPr>
        <w:t> </w:t>
      </w:r>
      <w:r>
        <w:rPr/>
        <w:t>tesoro,</w:t>
      </w:r>
      <w:r>
        <w:rPr>
          <w:spacing w:val="-11"/>
        </w:rPr>
        <w:t> </w:t>
      </w:r>
      <w:r>
        <w:rPr/>
        <w:t>todo ello</w:t>
      </w:r>
      <w:r>
        <w:rPr>
          <w:spacing w:val="-15"/>
        </w:rPr>
        <w:t> </w:t>
      </w:r>
      <w:r>
        <w:rPr/>
        <w:t>sin</w:t>
      </w:r>
      <w:r>
        <w:rPr>
          <w:spacing w:val="-16"/>
        </w:rPr>
        <w:t> </w:t>
      </w:r>
      <w:r>
        <w:rPr/>
        <w:t>incrementar</w:t>
      </w:r>
      <w:r>
        <w:rPr>
          <w:spacing w:val="-15"/>
        </w:rPr>
        <w:t> </w:t>
      </w:r>
      <w:r>
        <w:rPr/>
        <w:t>el</w:t>
      </w:r>
      <w:r>
        <w:rPr>
          <w:spacing w:val="-13"/>
        </w:rPr>
        <w:t> </w:t>
      </w:r>
      <w:r>
        <w:rPr/>
        <w:t>Presupuesto</w:t>
      </w:r>
      <w:r>
        <w:rPr>
          <w:spacing w:val="-14"/>
        </w:rPr>
        <w:t> </w:t>
      </w:r>
      <w:r>
        <w:rPr/>
        <w:t>General</w:t>
      </w:r>
      <w:r>
        <w:rPr>
          <w:spacing w:val="-13"/>
        </w:rPr>
        <w:t> </w:t>
      </w:r>
      <w:r>
        <w:rPr/>
        <w:t>de</w:t>
      </w:r>
      <w:r>
        <w:rPr>
          <w:spacing w:val="-14"/>
        </w:rPr>
        <w:t> </w:t>
      </w:r>
      <w:r>
        <w:rPr/>
        <w:t>Egresos</w:t>
      </w:r>
      <w:r>
        <w:rPr>
          <w:spacing w:val="-14"/>
        </w:rPr>
        <w:t> </w:t>
      </w:r>
      <w:r>
        <w:rPr/>
        <w:t>vigente</w:t>
      </w:r>
      <w:r>
        <w:rPr>
          <w:spacing w:val="-16"/>
        </w:rPr>
        <w:t> </w:t>
      </w:r>
      <w:r>
        <w:rPr/>
        <w:t>para</w:t>
      </w:r>
      <w:r>
        <w:rPr>
          <w:spacing w:val="-14"/>
        </w:rPr>
        <w:t> </w:t>
      </w:r>
      <w:r>
        <w:rPr/>
        <w:t>el</w:t>
      </w:r>
      <w:r>
        <w:rPr>
          <w:spacing w:val="-13"/>
        </w:rPr>
        <w:t> </w:t>
      </w:r>
      <w:r>
        <w:rPr/>
        <w:t>2022,</w:t>
      </w:r>
      <w:r>
        <w:rPr>
          <w:spacing w:val="-17"/>
        </w:rPr>
        <w:t> </w:t>
      </w:r>
      <w:r>
        <w:rPr/>
        <w:t>porque</w:t>
      </w:r>
      <w:r>
        <w:rPr>
          <w:spacing w:val="-16"/>
        </w:rPr>
        <w:t> </w:t>
      </w:r>
      <w:r>
        <w:rPr/>
        <w:t>ello</w:t>
      </w:r>
      <w:r>
        <w:rPr>
          <w:spacing w:val="-14"/>
        </w:rPr>
        <w:t> </w:t>
      </w:r>
      <w:r>
        <w:rPr/>
        <w:t>no</w:t>
      </w:r>
      <w:r>
        <w:rPr>
          <w:spacing w:val="-17"/>
        </w:rPr>
        <w:t> </w:t>
      </w:r>
      <w:r>
        <w:rPr/>
        <w:t>representa ingresos y gastos</w:t>
      </w:r>
      <w:r>
        <w:rPr>
          <w:spacing w:val="-6"/>
        </w:rPr>
        <w:t> </w:t>
      </w:r>
      <w:r>
        <w:rPr/>
        <w:t>adicionales.</w:t>
      </w:r>
    </w:p>
    <w:p>
      <w:pPr>
        <w:pStyle w:val="BodyText"/>
        <w:spacing w:before="6"/>
        <w:rPr>
          <w:sz w:val="25"/>
        </w:rPr>
      </w:pPr>
    </w:p>
    <w:p>
      <w:pPr>
        <w:pStyle w:val="BodyText"/>
        <w:spacing w:line="276" w:lineRule="auto"/>
        <w:ind w:left="562" w:right="1699"/>
        <w:jc w:val="both"/>
      </w:pPr>
      <w:r>
        <w:rPr/>
        <w:t>Este préstamo se considera relevante por sus condiciones financieras favorables dado que considera un</w:t>
      </w:r>
      <w:r>
        <w:rPr>
          <w:spacing w:val="-5"/>
        </w:rPr>
        <w:t> </w:t>
      </w:r>
      <w:r>
        <w:rPr/>
        <w:t>vencimiento</w:t>
      </w:r>
      <w:r>
        <w:rPr>
          <w:spacing w:val="-4"/>
        </w:rPr>
        <w:t> </w:t>
      </w:r>
      <w:r>
        <w:rPr/>
        <w:t>de</w:t>
      </w:r>
      <w:r>
        <w:rPr>
          <w:spacing w:val="-3"/>
        </w:rPr>
        <w:t> </w:t>
      </w:r>
      <w:r>
        <w:rPr/>
        <w:t>13</w:t>
      </w:r>
      <w:r>
        <w:rPr>
          <w:spacing w:val="-4"/>
        </w:rPr>
        <w:t> </w:t>
      </w:r>
      <w:r>
        <w:rPr/>
        <w:t>años,</w:t>
      </w:r>
      <w:r>
        <w:rPr>
          <w:spacing w:val="-8"/>
        </w:rPr>
        <w:t> </w:t>
      </w:r>
      <w:r>
        <w:rPr/>
        <w:t>incluido</w:t>
      </w:r>
      <w:r>
        <w:rPr>
          <w:spacing w:val="-4"/>
        </w:rPr>
        <w:t> </w:t>
      </w:r>
      <w:r>
        <w:rPr/>
        <w:t>un</w:t>
      </w:r>
      <w:r>
        <w:rPr>
          <w:spacing w:val="-6"/>
        </w:rPr>
        <w:t> </w:t>
      </w:r>
      <w:r>
        <w:rPr/>
        <w:t>período</w:t>
      </w:r>
      <w:r>
        <w:rPr>
          <w:spacing w:val="-6"/>
        </w:rPr>
        <w:t> </w:t>
      </w:r>
      <w:r>
        <w:rPr/>
        <w:t>de</w:t>
      </w:r>
      <w:r>
        <w:rPr>
          <w:spacing w:val="-6"/>
        </w:rPr>
        <w:t> </w:t>
      </w:r>
      <w:r>
        <w:rPr/>
        <w:t>gracia</w:t>
      </w:r>
      <w:r>
        <w:rPr>
          <w:spacing w:val="-6"/>
        </w:rPr>
        <w:t> </w:t>
      </w:r>
      <w:r>
        <w:rPr/>
        <w:t>de</w:t>
      </w:r>
      <w:r>
        <w:rPr>
          <w:spacing w:val="-6"/>
        </w:rPr>
        <w:t> </w:t>
      </w:r>
      <w:r>
        <w:rPr/>
        <w:t>3</w:t>
      </w:r>
      <w:r>
        <w:rPr>
          <w:spacing w:val="-5"/>
        </w:rPr>
        <w:t> </w:t>
      </w:r>
      <w:r>
        <w:rPr/>
        <w:t>años</w:t>
      </w:r>
      <w:r>
        <w:rPr>
          <w:spacing w:val="-6"/>
        </w:rPr>
        <w:t> </w:t>
      </w:r>
      <w:r>
        <w:rPr/>
        <w:t>y</w:t>
      </w:r>
      <w:r>
        <w:rPr>
          <w:spacing w:val="-6"/>
        </w:rPr>
        <w:t> </w:t>
      </w:r>
      <w:r>
        <w:rPr/>
        <w:t>una</w:t>
      </w:r>
      <w:r>
        <w:rPr>
          <w:spacing w:val="-6"/>
        </w:rPr>
        <w:t> </w:t>
      </w:r>
      <w:r>
        <w:rPr/>
        <w:t>tasa</w:t>
      </w:r>
      <w:r>
        <w:rPr>
          <w:spacing w:val="-5"/>
        </w:rPr>
        <w:t> </w:t>
      </w:r>
      <w:r>
        <w:rPr/>
        <w:t>aproximada</w:t>
      </w:r>
      <w:r>
        <w:rPr>
          <w:spacing w:val="-3"/>
        </w:rPr>
        <w:t> </w:t>
      </w:r>
      <w:r>
        <w:rPr/>
        <w:t>de</w:t>
      </w:r>
      <w:r>
        <w:rPr>
          <w:spacing w:val="-6"/>
        </w:rPr>
        <w:t> </w:t>
      </w:r>
      <w:r>
        <w:rPr/>
        <w:t>0.75%. Adicionalmente, con la sustitución de fuente, la disponibilidad de colocación es de Q18,013.4 millones, quedando pendientes de colocar Q11,340.5</w:t>
      </w:r>
      <w:r>
        <w:rPr>
          <w:spacing w:val="-8"/>
        </w:rPr>
        <w:t> </w:t>
      </w:r>
      <w:r>
        <w:rPr/>
        <w:t>millones.</w:t>
      </w:r>
    </w:p>
    <w:p>
      <w:pPr>
        <w:pStyle w:val="BodyText"/>
        <w:spacing w:before="3"/>
        <w:rPr>
          <w:sz w:val="25"/>
        </w:rPr>
      </w:pPr>
    </w:p>
    <w:p>
      <w:pPr>
        <w:pStyle w:val="BodyText"/>
        <w:spacing w:line="276" w:lineRule="auto"/>
        <w:ind w:left="562" w:right="1697"/>
        <w:jc w:val="both"/>
      </w:pPr>
      <w:r>
        <w:rPr/>
        <w:t>Respecto a la colocación del Eurobono, dado el contexto internacional de subida de tasas de interés, no</w:t>
      </w:r>
      <w:r>
        <w:rPr>
          <w:spacing w:val="-14"/>
        </w:rPr>
        <w:t> </w:t>
      </w:r>
      <w:r>
        <w:rPr/>
        <w:t>se</w:t>
      </w:r>
      <w:r>
        <w:rPr>
          <w:spacing w:val="-13"/>
        </w:rPr>
        <w:t> </w:t>
      </w:r>
      <w:r>
        <w:rPr/>
        <w:t>consideró</w:t>
      </w:r>
      <w:r>
        <w:rPr>
          <w:spacing w:val="-13"/>
        </w:rPr>
        <w:t> </w:t>
      </w:r>
      <w:r>
        <w:rPr/>
        <w:t>oportuno</w:t>
      </w:r>
      <w:r>
        <w:rPr>
          <w:spacing w:val="-13"/>
        </w:rPr>
        <w:t> </w:t>
      </w:r>
      <w:r>
        <w:rPr/>
        <w:t>realizar</w:t>
      </w:r>
      <w:r>
        <w:rPr>
          <w:spacing w:val="-15"/>
        </w:rPr>
        <w:t> </w:t>
      </w:r>
      <w:r>
        <w:rPr/>
        <w:t>la</w:t>
      </w:r>
      <w:r>
        <w:rPr>
          <w:spacing w:val="-13"/>
        </w:rPr>
        <w:t> </w:t>
      </w:r>
      <w:r>
        <w:rPr/>
        <w:t>colocación,</w:t>
      </w:r>
      <w:r>
        <w:rPr>
          <w:spacing w:val="-13"/>
        </w:rPr>
        <w:t> </w:t>
      </w:r>
      <w:r>
        <w:rPr/>
        <w:t>derivado</w:t>
      </w:r>
      <w:r>
        <w:rPr>
          <w:spacing w:val="-13"/>
        </w:rPr>
        <w:t> </w:t>
      </w:r>
      <w:r>
        <w:rPr/>
        <w:t>que</w:t>
      </w:r>
      <w:r>
        <w:rPr>
          <w:spacing w:val="-13"/>
        </w:rPr>
        <w:t> </w:t>
      </w:r>
      <w:r>
        <w:rPr/>
        <w:t>el</w:t>
      </w:r>
      <w:r>
        <w:rPr>
          <w:spacing w:val="-12"/>
        </w:rPr>
        <w:t> </w:t>
      </w:r>
      <w:r>
        <w:rPr/>
        <w:t>costo</w:t>
      </w:r>
      <w:r>
        <w:rPr>
          <w:spacing w:val="-13"/>
        </w:rPr>
        <w:t> </w:t>
      </w:r>
      <w:r>
        <w:rPr/>
        <w:t>financiero</w:t>
      </w:r>
      <w:r>
        <w:rPr>
          <w:spacing w:val="-13"/>
        </w:rPr>
        <w:t> </w:t>
      </w:r>
      <w:r>
        <w:rPr/>
        <w:t>para</w:t>
      </w:r>
      <w:r>
        <w:rPr>
          <w:spacing w:val="-13"/>
        </w:rPr>
        <w:t> </w:t>
      </w:r>
      <w:r>
        <w:rPr/>
        <w:t>el</w:t>
      </w:r>
      <w:r>
        <w:rPr>
          <w:spacing w:val="-12"/>
        </w:rPr>
        <w:t> </w:t>
      </w:r>
      <w:r>
        <w:rPr/>
        <w:t>Estado</w:t>
      </w:r>
      <w:r>
        <w:rPr>
          <w:spacing w:val="-13"/>
        </w:rPr>
        <w:t> </w:t>
      </w:r>
      <w:r>
        <w:rPr/>
        <w:t>podría aumentar considerablemente, luego de lograr colocaciones con tasas históricamente bajas en los últimos</w:t>
      </w:r>
      <w:r>
        <w:rPr>
          <w:spacing w:val="-9"/>
        </w:rPr>
        <w:t> </w:t>
      </w:r>
      <w:r>
        <w:rPr/>
        <w:t>años,</w:t>
      </w:r>
      <w:r>
        <w:rPr>
          <w:spacing w:val="-9"/>
        </w:rPr>
        <w:t> </w:t>
      </w:r>
      <w:r>
        <w:rPr/>
        <w:t>por</w:t>
      </w:r>
      <w:r>
        <w:rPr>
          <w:spacing w:val="-9"/>
        </w:rPr>
        <w:t> </w:t>
      </w:r>
      <w:r>
        <w:rPr/>
        <w:t>lo</w:t>
      </w:r>
      <w:r>
        <w:rPr>
          <w:spacing w:val="-9"/>
        </w:rPr>
        <w:t> </w:t>
      </w:r>
      <w:r>
        <w:rPr/>
        <w:t>cual</w:t>
      </w:r>
      <w:r>
        <w:rPr>
          <w:spacing w:val="-9"/>
        </w:rPr>
        <w:t> </w:t>
      </w:r>
      <w:r>
        <w:rPr/>
        <w:t>la</w:t>
      </w:r>
      <w:r>
        <w:rPr>
          <w:spacing w:val="-10"/>
        </w:rPr>
        <w:t> </w:t>
      </w:r>
      <w:r>
        <w:rPr/>
        <w:t>colocación</w:t>
      </w:r>
      <w:r>
        <w:rPr>
          <w:spacing w:val="-9"/>
        </w:rPr>
        <w:t> </w:t>
      </w:r>
      <w:r>
        <w:rPr/>
        <w:t>se</w:t>
      </w:r>
      <w:r>
        <w:rPr>
          <w:spacing w:val="-9"/>
        </w:rPr>
        <w:t> </w:t>
      </w:r>
      <w:r>
        <w:rPr/>
        <w:t>postergaría</w:t>
      </w:r>
      <w:r>
        <w:rPr>
          <w:spacing w:val="-10"/>
        </w:rPr>
        <w:t> </w:t>
      </w:r>
      <w:r>
        <w:rPr/>
        <w:t>para</w:t>
      </w:r>
      <w:r>
        <w:rPr>
          <w:spacing w:val="-11"/>
        </w:rPr>
        <w:t> </w:t>
      </w:r>
      <w:r>
        <w:rPr/>
        <w:t>los</w:t>
      </w:r>
      <w:r>
        <w:rPr>
          <w:spacing w:val="-8"/>
        </w:rPr>
        <w:t> </w:t>
      </w:r>
      <w:r>
        <w:rPr/>
        <w:t>próximos</w:t>
      </w:r>
      <w:r>
        <w:rPr>
          <w:spacing w:val="-9"/>
        </w:rPr>
        <w:t> </w:t>
      </w:r>
      <w:r>
        <w:rPr/>
        <w:t>meses</w:t>
      </w:r>
      <w:r>
        <w:rPr>
          <w:spacing w:val="-8"/>
        </w:rPr>
        <w:t> </w:t>
      </w:r>
      <w:r>
        <w:rPr/>
        <w:t>esperando</w:t>
      </w:r>
      <w:r>
        <w:rPr>
          <w:spacing w:val="-9"/>
        </w:rPr>
        <w:t> </w:t>
      </w:r>
      <w:r>
        <w:rPr/>
        <w:t>una</w:t>
      </w:r>
      <w:r>
        <w:rPr>
          <w:spacing w:val="-9"/>
        </w:rPr>
        <w:t> </w:t>
      </w:r>
      <w:r>
        <w:rPr/>
        <w:t>ventana de oportunidad para realizar la colocación buscando las mejores condiciones</w:t>
      </w:r>
      <w:r>
        <w:rPr>
          <w:spacing w:val="-15"/>
        </w:rPr>
        <w:t> </w:t>
      </w:r>
      <w:r>
        <w:rPr/>
        <w:t>financieras.</w:t>
      </w:r>
    </w:p>
    <w:p>
      <w:pPr>
        <w:pStyle w:val="BodyText"/>
        <w:spacing w:before="3"/>
        <w:rPr>
          <w:sz w:val="25"/>
        </w:rPr>
      </w:pPr>
    </w:p>
    <w:p>
      <w:pPr>
        <w:pStyle w:val="BodyText"/>
        <w:spacing w:line="276" w:lineRule="auto"/>
        <w:ind w:left="562" w:right="1695"/>
        <w:jc w:val="both"/>
      </w:pPr>
      <w:r>
        <w:rPr/>
        <w:t>Adicionalmente, se han realizado colocaciones por Q6,672.9 millones correspondientes a Bonos del Tesoro en el mercado interno, de las cuales el 94.8% corresponden a nuevo endeudamiento y 5.2%</w:t>
      </w:r>
      <w:r>
        <w:rPr>
          <w:spacing w:val="-37"/>
        </w:rPr>
        <w:t> </w:t>
      </w:r>
      <w:r>
        <w:rPr/>
        <w:t>a roll over o recolocaciones por</w:t>
      </w:r>
      <w:r>
        <w:rPr>
          <w:spacing w:val="-2"/>
        </w:rPr>
        <w:t> </w:t>
      </w:r>
      <w:r>
        <w:rPr/>
        <w:t>vencimientos.</w:t>
      </w:r>
    </w:p>
    <w:p>
      <w:pPr>
        <w:spacing w:after="0" w:line="276" w:lineRule="auto"/>
        <w:jc w:val="both"/>
        <w:sectPr>
          <w:pgSz w:w="12240" w:h="15840"/>
          <w:pgMar w:header="715" w:footer="957" w:top="1240" w:bottom="1140" w:left="1140" w:right="0"/>
        </w:sectPr>
      </w:pPr>
    </w:p>
    <w:p>
      <w:pPr>
        <w:pStyle w:val="Heading3"/>
        <w:spacing w:before="167"/>
        <w:ind w:left="1087"/>
      </w:pPr>
      <w:bookmarkStart w:name="_bookmark168" w:id="213"/>
      <w:bookmarkEnd w:id="213"/>
      <w:r>
        <w:rPr>
          <w:b w:val="0"/>
        </w:rPr>
      </w:r>
      <w:r>
        <w:rPr>
          <w:i/>
          <w:sz w:val="20"/>
        </w:rPr>
        <w:t>Gráfico 87. </w:t>
      </w:r>
      <w:r>
        <w:rPr/>
        <w:t>Resultado presupuestario y colocación de Bonos del Tesoro a junio 2022</w:t>
      </w:r>
    </w:p>
    <w:p>
      <w:pPr>
        <w:pStyle w:val="BodyText"/>
        <w:spacing w:before="2"/>
        <w:rPr>
          <w:b/>
          <w:sz w:val="15"/>
        </w:rPr>
      </w:pPr>
    </w:p>
    <w:p>
      <w:pPr>
        <w:spacing w:after="0"/>
        <w:rPr>
          <w:sz w:val="15"/>
        </w:rPr>
        <w:sectPr>
          <w:pgSz w:w="12240" w:h="15840"/>
          <w:pgMar w:header="715" w:footer="957" w:top="1240" w:bottom="1140" w:left="1140" w:right="0"/>
        </w:sectPr>
      </w:pPr>
    </w:p>
    <w:p>
      <w:pPr>
        <w:pStyle w:val="BodyText"/>
        <w:rPr>
          <w:b/>
          <w:sz w:val="14"/>
        </w:rPr>
      </w:pPr>
    </w:p>
    <w:p>
      <w:pPr>
        <w:pStyle w:val="BodyText"/>
        <w:rPr>
          <w:b/>
          <w:sz w:val="14"/>
        </w:rPr>
      </w:pPr>
    </w:p>
    <w:p>
      <w:pPr>
        <w:pStyle w:val="BodyText"/>
        <w:rPr>
          <w:b/>
          <w:sz w:val="14"/>
        </w:rPr>
      </w:pPr>
    </w:p>
    <w:p>
      <w:pPr>
        <w:pStyle w:val="BodyText"/>
        <w:rPr>
          <w:b/>
          <w:sz w:val="14"/>
        </w:rPr>
      </w:pPr>
    </w:p>
    <w:p>
      <w:pPr>
        <w:spacing w:before="123"/>
        <w:ind w:left="0" w:right="38" w:firstLine="0"/>
        <w:jc w:val="right"/>
        <w:rPr>
          <w:sz w:val="14"/>
        </w:rPr>
      </w:pPr>
      <w:r>
        <w:rPr>
          <w:sz w:val="14"/>
        </w:rPr>
        <w:t>0.0</w:t>
      </w:r>
    </w:p>
    <w:p>
      <w:pPr>
        <w:spacing w:before="96"/>
        <w:ind w:left="0" w:right="39" w:firstLine="0"/>
        <w:jc w:val="right"/>
        <w:rPr>
          <w:sz w:val="14"/>
        </w:rPr>
      </w:pPr>
      <w:r>
        <w:rPr>
          <w:spacing w:val="-1"/>
          <w:sz w:val="14"/>
        </w:rPr>
        <w:t>-1,000.0</w:t>
      </w:r>
    </w:p>
    <w:p>
      <w:pPr>
        <w:spacing w:before="95"/>
        <w:ind w:left="0" w:right="39" w:firstLine="0"/>
        <w:jc w:val="right"/>
        <w:rPr>
          <w:sz w:val="14"/>
        </w:rPr>
      </w:pPr>
      <w:r>
        <w:rPr>
          <w:spacing w:val="-1"/>
          <w:sz w:val="14"/>
        </w:rPr>
        <w:t>-2,000.0</w:t>
      </w:r>
    </w:p>
    <w:p>
      <w:pPr>
        <w:spacing w:before="96"/>
        <w:ind w:left="0" w:right="39" w:firstLine="0"/>
        <w:jc w:val="right"/>
        <w:rPr>
          <w:sz w:val="14"/>
        </w:rPr>
      </w:pPr>
      <w:r>
        <w:rPr>
          <w:spacing w:val="-1"/>
          <w:sz w:val="14"/>
        </w:rPr>
        <w:t>-3,000.0</w:t>
      </w:r>
    </w:p>
    <w:p>
      <w:pPr>
        <w:spacing w:before="96"/>
        <w:ind w:left="0" w:right="39" w:firstLine="0"/>
        <w:jc w:val="right"/>
        <w:rPr>
          <w:sz w:val="14"/>
        </w:rPr>
      </w:pPr>
      <w:r>
        <w:rPr>
          <w:spacing w:val="-1"/>
          <w:sz w:val="14"/>
        </w:rPr>
        <w:t>-4,000.0</w:t>
      </w:r>
    </w:p>
    <w:p>
      <w:pPr>
        <w:spacing w:before="95"/>
        <w:ind w:left="0" w:right="39" w:firstLine="0"/>
        <w:jc w:val="right"/>
        <w:rPr>
          <w:sz w:val="14"/>
        </w:rPr>
      </w:pPr>
      <w:r>
        <w:rPr>
          <w:spacing w:val="-1"/>
          <w:sz w:val="14"/>
        </w:rPr>
        <w:t>-5,000.0</w:t>
      </w:r>
    </w:p>
    <w:p>
      <w:pPr>
        <w:spacing w:before="96"/>
        <w:ind w:left="0" w:right="39" w:firstLine="0"/>
        <w:jc w:val="right"/>
        <w:rPr>
          <w:sz w:val="14"/>
        </w:rPr>
      </w:pPr>
      <w:r>
        <w:rPr>
          <w:spacing w:val="-1"/>
          <w:sz w:val="14"/>
        </w:rPr>
        <w:t>-6,000.0</w:t>
      </w:r>
    </w:p>
    <w:p>
      <w:pPr>
        <w:spacing w:before="96"/>
        <w:ind w:left="0" w:right="39" w:firstLine="0"/>
        <w:jc w:val="right"/>
        <w:rPr>
          <w:sz w:val="14"/>
        </w:rPr>
      </w:pPr>
      <w:r>
        <w:rPr>
          <w:spacing w:val="-1"/>
          <w:sz w:val="14"/>
        </w:rPr>
        <w:t>-7,000.0</w:t>
      </w:r>
    </w:p>
    <w:p>
      <w:pPr>
        <w:spacing w:before="95"/>
        <w:ind w:left="0" w:right="39" w:firstLine="0"/>
        <w:jc w:val="right"/>
        <w:rPr>
          <w:sz w:val="14"/>
        </w:rPr>
      </w:pPr>
      <w:r>
        <w:rPr>
          <w:spacing w:val="-1"/>
          <w:sz w:val="14"/>
        </w:rPr>
        <w:t>-8,000.0</w:t>
      </w:r>
    </w:p>
    <w:p>
      <w:pPr>
        <w:spacing w:before="96"/>
        <w:ind w:left="0" w:right="39" w:firstLine="0"/>
        <w:jc w:val="right"/>
        <w:rPr>
          <w:sz w:val="14"/>
        </w:rPr>
      </w:pPr>
      <w:r>
        <w:rPr>
          <w:spacing w:val="-1"/>
          <w:sz w:val="14"/>
        </w:rPr>
        <w:t>-9,000.0</w:t>
      </w:r>
    </w:p>
    <w:p>
      <w:pPr>
        <w:spacing w:before="96"/>
        <w:ind w:left="0" w:right="40" w:firstLine="0"/>
        <w:jc w:val="right"/>
        <w:rPr>
          <w:sz w:val="14"/>
        </w:rPr>
      </w:pPr>
      <w:r>
        <w:rPr>
          <w:spacing w:val="-1"/>
          <w:sz w:val="14"/>
        </w:rPr>
        <w:t>-10,000.0</w:t>
      </w:r>
    </w:p>
    <w:p>
      <w:pPr>
        <w:spacing w:line="273" w:lineRule="auto" w:before="91"/>
        <w:ind w:left="409" w:right="994" w:firstLine="0"/>
        <w:jc w:val="center"/>
        <w:rPr>
          <w:sz w:val="16"/>
        </w:rPr>
      </w:pPr>
      <w:r>
        <w:rPr/>
        <w:br w:type="column"/>
      </w:r>
      <w:r>
        <w:rPr>
          <w:b/>
          <w:sz w:val="20"/>
        </w:rPr>
        <w:t>Resultado presupuestario </w:t>
      </w:r>
      <w:r>
        <w:rPr>
          <w:sz w:val="16"/>
        </w:rPr>
        <w:t>Al 30 de junio de cada año Millones de quetzales</w:t>
      </w:r>
    </w:p>
    <w:p>
      <w:pPr>
        <w:pStyle w:val="BodyText"/>
        <w:rPr>
          <w:sz w:val="18"/>
        </w:rPr>
      </w:pPr>
    </w:p>
    <w:p>
      <w:pPr>
        <w:pStyle w:val="BodyText"/>
        <w:rPr>
          <w:sz w:val="18"/>
        </w:rPr>
      </w:pPr>
    </w:p>
    <w:p>
      <w:pPr>
        <w:tabs>
          <w:tab w:pos="2877" w:val="left" w:leader="none"/>
        </w:tabs>
        <w:spacing w:before="148"/>
        <w:ind w:left="1901" w:right="0" w:firstLine="0"/>
        <w:jc w:val="left"/>
        <w:rPr>
          <w:b/>
          <w:sz w:val="20"/>
        </w:rPr>
      </w:pPr>
      <w:r>
        <w:rPr/>
        <w:pict>
          <v:line style="position:absolute;mso-position-horizontal-relative:page;mso-position-vertical-relative:paragraph;z-index:252898304" from="95.160004pt,-16.694059pt" to="290.280004pt,-16.694059pt" stroked="true" strokeweight=".72pt" strokecolor="#d9d9d9">
            <v:stroke dashstyle="solid"/>
            <w10:wrap type="none"/>
          </v:line>
        </w:pict>
      </w:r>
      <w:r>
        <w:rPr/>
        <w:pict>
          <v:shape style="position:absolute;margin-left:101.639999pt;margin-top:-17.474060pt;width:182.95pt;height:122pt;mso-position-horizontal-relative:page;mso-position-vertical-relative:paragraph;z-index:252932096" type="#_x0000_t202" filled="false" stroked="false">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84"/>
                    <w:gridCol w:w="293"/>
                    <w:gridCol w:w="682"/>
                    <w:gridCol w:w="296"/>
                    <w:gridCol w:w="682"/>
                    <w:gridCol w:w="293"/>
                    <w:gridCol w:w="684"/>
                  </w:tblGrid>
                  <w:tr>
                    <w:trPr>
                      <w:trHeight w:val="376" w:hRule="atLeast"/>
                    </w:trPr>
                    <w:tc>
                      <w:tcPr>
                        <w:tcW w:w="684" w:type="dxa"/>
                        <w:vMerge w:val="restart"/>
                        <w:shd w:val="clear" w:color="auto" w:fill="2E5496"/>
                      </w:tcPr>
                      <w:p>
                        <w:pPr>
                          <w:pStyle w:val="TableParagraph"/>
                          <w:rPr>
                            <w:sz w:val="18"/>
                          </w:rPr>
                        </w:pPr>
                      </w:p>
                    </w:tc>
                    <w:tc>
                      <w:tcPr>
                        <w:tcW w:w="293" w:type="dxa"/>
                        <w:vMerge w:val="restart"/>
                        <w:tcBorders>
                          <w:top w:val="single" w:sz="6" w:space="0" w:color="D9D9D9"/>
                          <w:bottom w:val="nil"/>
                        </w:tcBorders>
                      </w:tcPr>
                      <w:p>
                        <w:pPr>
                          <w:pStyle w:val="TableParagraph"/>
                          <w:rPr>
                            <w:sz w:val="18"/>
                          </w:rPr>
                        </w:pPr>
                      </w:p>
                    </w:tc>
                    <w:tc>
                      <w:tcPr>
                        <w:tcW w:w="682" w:type="dxa"/>
                        <w:vMerge w:val="restart"/>
                        <w:shd w:val="clear" w:color="auto" w:fill="2E5496"/>
                      </w:tcPr>
                      <w:p>
                        <w:pPr>
                          <w:pStyle w:val="TableParagraph"/>
                          <w:rPr>
                            <w:sz w:val="18"/>
                          </w:rPr>
                        </w:pPr>
                      </w:p>
                    </w:tc>
                    <w:tc>
                      <w:tcPr>
                        <w:tcW w:w="296" w:type="dxa"/>
                        <w:tcBorders>
                          <w:top w:val="single" w:sz="6" w:space="0" w:color="D9D9D9"/>
                          <w:bottom w:val="nil"/>
                        </w:tcBorders>
                      </w:tcPr>
                      <w:p>
                        <w:pPr>
                          <w:pStyle w:val="TableParagraph"/>
                          <w:rPr>
                            <w:sz w:val="18"/>
                          </w:rPr>
                        </w:pPr>
                      </w:p>
                    </w:tc>
                    <w:tc>
                      <w:tcPr>
                        <w:tcW w:w="682" w:type="dxa"/>
                        <w:shd w:val="clear" w:color="auto" w:fill="2E5496"/>
                      </w:tcPr>
                      <w:p>
                        <w:pPr>
                          <w:pStyle w:val="TableParagraph"/>
                          <w:rPr>
                            <w:sz w:val="18"/>
                          </w:rPr>
                        </w:pPr>
                      </w:p>
                    </w:tc>
                    <w:tc>
                      <w:tcPr>
                        <w:tcW w:w="293" w:type="dxa"/>
                        <w:tcBorders>
                          <w:top w:val="single" w:sz="6" w:space="0" w:color="D9D9D9"/>
                          <w:bottom w:val="nil"/>
                        </w:tcBorders>
                      </w:tcPr>
                      <w:p>
                        <w:pPr>
                          <w:pStyle w:val="TableParagraph"/>
                          <w:rPr>
                            <w:sz w:val="18"/>
                          </w:rPr>
                        </w:pPr>
                      </w:p>
                    </w:tc>
                    <w:tc>
                      <w:tcPr>
                        <w:tcW w:w="684" w:type="dxa"/>
                        <w:shd w:val="clear" w:color="auto" w:fill="C00000"/>
                      </w:tcPr>
                      <w:p>
                        <w:pPr>
                          <w:pStyle w:val="TableParagraph"/>
                          <w:rPr>
                            <w:sz w:val="18"/>
                          </w:rPr>
                        </w:pPr>
                      </w:p>
                    </w:tc>
                  </w:tr>
                  <w:tr>
                    <w:trPr>
                      <w:trHeight w:val="677" w:hRule="atLeast"/>
                    </w:trPr>
                    <w:tc>
                      <w:tcPr>
                        <w:tcW w:w="684" w:type="dxa"/>
                        <w:vMerge/>
                        <w:tcBorders>
                          <w:top w:val="nil"/>
                        </w:tcBorders>
                        <w:shd w:val="clear" w:color="auto" w:fill="2E5496"/>
                      </w:tcPr>
                      <w:p>
                        <w:pPr>
                          <w:rPr>
                            <w:sz w:val="2"/>
                            <w:szCs w:val="2"/>
                          </w:rPr>
                        </w:pPr>
                      </w:p>
                    </w:tc>
                    <w:tc>
                      <w:tcPr>
                        <w:tcW w:w="293" w:type="dxa"/>
                        <w:vMerge/>
                        <w:tcBorders>
                          <w:top w:val="nil"/>
                          <w:bottom w:val="nil"/>
                        </w:tcBorders>
                      </w:tcPr>
                      <w:p>
                        <w:pPr>
                          <w:rPr>
                            <w:sz w:val="2"/>
                            <w:szCs w:val="2"/>
                          </w:rPr>
                        </w:pPr>
                      </w:p>
                    </w:tc>
                    <w:tc>
                      <w:tcPr>
                        <w:tcW w:w="682" w:type="dxa"/>
                        <w:vMerge/>
                        <w:tcBorders>
                          <w:top w:val="nil"/>
                        </w:tcBorders>
                        <w:shd w:val="clear" w:color="auto" w:fill="2E5496"/>
                      </w:tcPr>
                      <w:p>
                        <w:pPr>
                          <w:rPr>
                            <w:sz w:val="2"/>
                            <w:szCs w:val="2"/>
                          </w:rPr>
                        </w:pPr>
                      </w:p>
                    </w:tc>
                    <w:tc>
                      <w:tcPr>
                        <w:tcW w:w="1955" w:type="dxa"/>
                        <w:gridSpan w:val="4"/>
                        <w:vMerge w:val="restart"/>
                        <w:tcBorders>
                          <w:top w:val="nil"/>
                          <w:bottom w:val="nil"/>
                          <w:right w:val="nil"/>
                        </w:tcBorders>
                      </w:tcPr>
                      <w:p>
                        <w:pPr>
                          <w:pStyle w:val="TableParagraph"/>
                          <w:rPr>
                            <w:sz w:val="18"/>
                          </w:rPr>
                        </w:pPr>
                      </w:p>
                    </w:tc>
                  </w:tr>
                  <w:tr>
                    <w:trPr>
                      <w:trHeight w:val="1219" w:hRule="atLeast"/>
                    </w:trPr>
                    <w:tc>
                      <w:tcPr>
                        <w:tcW w:w="977" w:type="dxa"/>
                        <w:gridSpan w:val="2"/>
                        <w:tcBorders>
                          <w:top w:val="nil"/>
                          <w:left w:val="nil"/>
                          <w:bottom w:val="nil"/>
                        </w:tcBorders>
                      </w:tcPr>
                      <w:p>
                        <w:pPr>
                          <w:pStyle w:val="TableParagraph"/>
                          <w:spacing w:line="220" w:lineRule="exact"/>
                          <w:rPr>
                            <w:b/>
                            <w:sz w:val="20"/>
                          </w:rPr>
                        </w:pPr>
                        <w:r>
                          <w:rPr>
                            <w:b/>
                            <w:color w:val="1F3863"/>
                            <w:sz w:val="20"/>
                          </w:rPr>
                          <w:t>-4,447.8</w:t>
                        </w:r>
                      </w:p>
                    </w:tc>
                    <w:tc>
                      <w:tcPr>
                        <w:tcW w:w="682" w:type="dxa"/>
                        <w:vMerge/>
                        <w:tcBorders>
                          <w:top w:val="nil"/>
                        </w:tcBorders>
                        <w:shd w:val="clear" w:color="auto" w:fill="2E5496"/>
                      </w:tcPr>
                      <w:p>
                        <w:pPr>
                          <w:rPr>
                            <w:sz w:val="2"/>
                            <w:szCs w:val="2"/>
                          </w:rPr>
                        </w:pPr>
                      </w:p>
                    </w:tc>
                    <w:tc>
                      <w:tcPr>
                        <w:tcW w:w="1955" w:type="dxa"/>
                        <w:gridSpan w:val="4"/>
                        <w:vMerge/>
                        <w:tcBorders>
                          <w:top w:val="nil"/>
                          <w:bottom w:val="nil"/>
                          <w:right w:val="nil"/>
                        </w:tcBorders>
                      </w:tcPr>
                      <w:p>
                        <w:pPr>
                          <w:rPr>
                            <w:sz w:val="2"/>
                            <w:szCs w:val="2"/>
                          </w:rPr>
                        </w:pPr>
                      </w:p>
                    </w:tc>
                  </w:tr>
                </w:tbl>
                <w:p>
                  <w:pPr>
                    <w:pStyle w:val="BodyText"/>
                  </w:pPr>
                </w:p>
              </w:txbxContent>
            </v:textbox>
            <w10:wrap type="none"/>
          </v:shape>
        </w:pict>
      </w:r>
      <w:r>
        <w:rPr>
          <w:b/>
          <w:color w:val="1F3863"/>
          <w:position w:val="-5"/>
          <w:sz w:val="20"/>
        </w:rPr>
        <w:t>-1,757.5</w:t>
        <w:tab/>
      </w:r>
      <w:r>
        <w:rPr>
          <w:b/>
          <w:color w:val="C00000"/>
          <w:sz w:val="20"/>
        </w:rPr>
        <w:t>-1,519.9</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
        <w:rPr>
          <w:b/>
          <w:sz w:val="26"/>
        </w:rPr>
      </w:pPr>
    </w:p>
    <w:p>
      <w:pPr>
        <w:spacing w:before="0"/>
        <w:ind w:left="1766" w:right="0" w:firstLine="0"/>
        <w:jc w:val="left"/>
        <w:rPr>
          <w:b/>
          <w:sz w:val="20"/>
        </w:rPr>
      </w:pPr>
      <w:r>
        <w:rPr/>
        <w:pict>
          <v:shape style="position:absolute;margin-left:168.360001pt;margin-top:2.475967pt;width:22.35pt;height:3.25pt;mso-position-horizontal-relative:page;mso-position-vertical-relative:paragraph;z-index:252899328" coordorigin="3367,50" coordsize="447,65" path="m3367,50l3722,114,3814,114e" filled="false" stroked="true" strokeweight=".72pt" strokecolor="#a6a6a6">
            <v:path arrowok="t"/>
            <v:stroke dashstyle="solid"/>
            <w10:wrap type="none"/>
          </v:shape>
        </w:pict>
      </w:r>
      <w:r>
        <w:rPr>
          <w:b/>
          <w:color w:val="1F3863"/>
          <w:sz w:val="20"/>
        </w:rPr>
        <w:t>-9,381.9</w:t>
      </w:r>
    </w:p>
    <w:p>
      <w:pPr>
        <w:tabs>
          <w:tab w:pos="1083" w:val="left" w:leader="none"/>
          <w:tab w:pos="2059" w:val="left" w:leader="none"/>
          <w:tab w:pos="3034" w:val="left" w:leader="none"/>
        </w:tabs>
        <w:spacing w:before="78"/>
        <w:ind w:left="107" w:right="0" w:firstLine="0"/>
        <w:jc w:val="left"/>
        <w:rPr>
          <w:sz w:val="18"/>
        </w:rPr>
      </w:pPr>
      <w:r>
        <w:rPr>
          <w:sz w:val="18"/>
        </w:rPr>
        <w:t>2019</w:t>
        <w:tab/>
        <w:t>2020</w:t>
        <w:tab/>
        <w:t>2021</w:t>
        <w:tab/>
        <w:t>2022</w:t>
      </w:r>
    </w:p>
    <w:p>
      <w:pPr>
        <w:spacing w:before="91"/>
        <w:ind w:left="88" w:right="1598" w:firstLine="0"/>
        <w:jc w:val="center"/>
        <w:rPr>
          <w:b/>
          <w:sz w:val="20"/>
        </w:rPr>
      </w:pPr>
      <w:r>
        <w:rPr/>
        <w:br w:type="column"/>
      </w:r>
      <w:r>
        <w:rPr>
          <w:b/>
          <w:sz w:val="20"/>
        </w:rPr>
        <w:t>Colocación de Bonos del Tesoro a junio 2022</w:t>
      </w:r>
    </w:p>
    <w:p>
      <w:pPr>
        <w:spacing w:before="28"/>
        <w:ind w:left="88" w:right="1598" w:firstLine="0"/>
        <w:jc w:val="center"/>
        <w:rPr>
          <w:sz w:val="18"/>
        </w:rPr>
      </w:pPr>
      <w:r>
        <w:rPr>
          <w:sz w:val="18"/>
        </w:rPr>
        <w:t>Millones de quetzales y porcentajes</w:t>
      </w:r>
    </w:p>
    <w:p>
      <w:pPr>
        <w:pStyle w:val="BodyText"/>
        <w:rPr>
          <w:sz w:val="28"/>
        </w:rPr>
      </w:pPr>
      <w:r>
        <w:rPr/>
        <w:pict>
          <v:group style="position:absolute;margin-left:339.19342pt;margin-top:18.133574pt;width:201.65pt;height:129.5500pt;mso-position-horizontal-relative:page;mso-position-vertical-relative:paragraph;z-index:-250419200;mso-wrap-distance-left:0;mso-wrap-distance-right:0" coordorigin="6784,363" coordsize="4033,2591">
            <v:line style="position:absolute" from="8518,470" to="9883,679" stroked="true" strokeweight=".72pt" strokecolor="#a6a6a6">
              <v:stroke dashstyle="solid"/>
            </v:line>
            <v:line style="position:absolute" from="8518,2740" to="9883,2534" stroked="true" strokeweight=".72pt" strokecolor="#a6a6a6">
              <v:stroke dashstyle="solid"/>
            </v:line>
            <v:shape style="position:absolute;left:6791;top:369;width:1727;height:2473" coordorigin="6791,370" coordsize="1727,2473" path="m8066,370l7989,370,7913,375,7836,384,7760,399,7685,418,7611,442,7538,470,7470,502,7405,538,7342,577,7283,619,7226,664,7173,712,7123,763,7076,817,7032,872,6992,930,6955,991,6922,1053,6892,1116,6866,1182,6844,1249,6826,1316,6811,1385,6800,1455,6794,1526,6791,1597,6793,1668,6798,1740,6808,1812,6823,1883,6841,1954,6865,2025,6892,2095,6924,2163,6960,2229,6999,2291,7041,2351,7086,2407,7134,2461,7185,2511,7239,2558,7294,2601,7353,2642,7413,2678,7475,2712,7539,2741,7604,2767,7671,2790,7739,2808,7807,2823,7877,2833,7948,2840,8019,2843,8090,2841,8162,2835,8234,2825,8305,2811,8376,2792,8447,2769,8517,2741,8028,1606,8517,470,8444,442,8370,418,8295,399,8219,384,8143,375,8066,370xe" filled="true" fillcolor="#5b9bd4" stroked="false">
              <v:path arrowok="t"/>
              <v:fill type="solid"/>
            </v:shape>
            <v:shape style="position:absolute;left:6791;top:369;width:1727;height:2473" coordorigin="6791,370" coordsize="1727,2473" path="m8517,2741l8447,2769,8376,2792,8305,2811,8234,2825,8162,2835,8090,2841,8019,2843,7948,2840,7877,2833,7807,2823,7739,2808,7671,2790,7604,2767,7539,2741,7475,2712,7413,2678,7353,2642,7294,2601,7239,2558,7185,2511,7134,2461,7086,2407,7041,2351,6999,2291,6960,2229,6924,2163,6892,2095,6865,2025,6841,1954,6823,1883,6808,1812,6798,1740,6793,1668,6791,1597,6794,1526,6800,1455,6811,1385,6826,1316,6844,1249,6866,1182,6892,1116,6922,1053,6955,991,6992,930,7032,872,7076,817,7123,763,7173,712,7226,664,7283,619,7342,577,7405,538,7470,502,7538,470,7611,442,7685,418,7760,399,7836,384,7913,375,7989,370,8066,370,8143,375,8219,384,8295,399,8370,418,8444,442,8517,470,8028,1606,8517,2741xe" filled="false" stroked="true" strokeweight=".72pt" strokecolor="#000000">
              <v:path arrowok="t"/>
              <v:stroke dashstyle="solid"/>
            </v:shape>
            <v:line style="position:absolute" from="8517,470" to="8028,1606" stroked="true" strokeweight=".72pt" strokecolor="#000000">
              <v:stroke dashstyle="solid"/>
            </v:line>
            <v:rect style="position:absolute;left:9883;top:678;width:927;height:1757" filled="true" fillcolor="#a4a4a4" stroked="false">
              <v:fill type="solid"/>
            </v:rect>
            <v:rect style="position:absolute;left:9883;top:678;width:927;height:1757" filled="false" stroked="true" strokeweight=".72pt" strokecolor="#000000">
              <v:stroke dashstyle="solid"/>
            </v:rect>
            <v:rect style="position:absolute;left:9883;top:2435;width:927;height:99" filled="true" fillcolor="#ffc000" stroked="false">
              <v:fill type="solid"/>
            </v:rect>
            <v:rect style="position:absolute;left:9883;top:2435;width:927;height:99" filled="false" stroked="true" strokeweight=".72pt" strokecolor="#000000">
              <v:stroke dashstyle="solid"/>
            </v:rect>
            <v:shape style="position:absolute;left:8027;top:470;width:1237;height:2271" coordorigin="8028,470" coordsize="1237,2271" path="m8517,470l8028,1606,8517,2741,8588,2708,8657,2670,8723,2628,8786,2583,8846,2533,8902,2480,8955,2424,9005,2364,9050,2301,9092,2235,9130,2166,9163,2095,9191,2025,9214,1954,9233,1883,9247,1812,9257,1740,9263,1668,9265,1597,9262,1526,9255,1455,9245,1385,9230,1316,9212,1249,9189,1182,9163,1116,9134,1053,9100,991,9064,930,9024,872,8980,817,8933,763,8883,712,8829,664,8773,619,8713,577,8651,538,8585,502,8517,470xe" filled="true" fillcolor="#4471c4" stroked="false">
              <v:path arrowok="t"/>
              <v:fill type="solid"/>
            </v:shape>
            <v:shape style="position:absolute;left:8027;top:470;width:1237;height:2271" coordorigin="8028,470" coordsize="1237,2271" path="m8517,470l8585,502,8651,538,8713,577,8773,619,8829,664,8883,712,8933,763,8980,817,9024,872,9064,930,9100,991,9134,1053,9163,1116,9189,1182,9212,1249,9230,1316,9245,1385,9255,1455,9262,1526,9265,1597,9263,1668,9257,1740,9247,1812,9233,1883,9214,1954,9191,2025,9163,2095,9130,2166,9092,2235,9050,2301,9005,2364,8955,2424,8902,2480,8846,2533,8786,2583,8723,2628,8657,2670,8588,2708,8517,2741,8028,1606,8517,470xe" filled="false" stroked="true" strokeweight=".72pt" strokecolor="#000000">
              <v:path arrowok="t"/>
              <v:stroke dashstyle="solid"/>
            </v:shape>
            <v:shape style="position:absolute;left:7058;top:1190;width:792;height:910" type="#_x0000_t202" filled="false" stroked="false">
              <v:textbox inset="0,0,0,0">
                <w:txbxContent>
                  <w:p>
                    <w:pPr>
                      <w:spacing w:line="240" w:lineRule="auto" w:before="0"/>
                      <w:ind w:left="0" w:right="5" w:firstLine="230"/>
                      <w:jc w:val="left"/>
                      <w:rPr>
                        <w:b/>
                        <w:sz w:val="20"/>
                      </w:rPr>
                    </w:pPr>
                    <w:r>
                      <w:rPr>
                        <w:b/>
                        <w:color w:val="FFFFFF"/>
                        <w:sz w:val="20"/>
                      </w:rPr>
                      <w:t>Por Colocar; 11,340.5;</w:t>
                    </w:r>
                  </w:p>
                  <w:p>
                    <w:pPr>
                      <w:spacing w:line="229" w:lineRule="exact" w:before="0"/>
                      <w:ind w:left="184" w:right="0" w:firstLine="0"/>
                      <w:jc w:val="left"/>
                      <w:rPr>
                        <w:b/>
                        <w:sz w:val="20"/>
                      </w:rPr>
                    </w:pPr>
                    <w:r>
                      <w:rPr>
                        <w:b/>
                        <w:color w:val="FFFFFF"/>
                        <w:sz w:val="20"/>
                      </w:rPr>
                      <w:t>63%</w:t>
                    </w:r>
                  </w:p>
                </w:txbxContent>
              </v:textbox>
              <w10:wrap type="none"/>
            </v:shape>
            <v:shape style="position:absolute;left:8348;top:1080;width:2371;height:933" type="#_x0000_t202" filled="false" stroked="false">
              <v:textbox inset="0,0,0,0">
                <w:txbxContent>
                  <w:p>
                    <w:pPr>
                      <w:tabs>
                        <w:tab w:pos="1083" w:val="left" w:leader="none"/>
                      </w:tabs>
                      <w:spacing w:line="240" w:lineRule="auto" w:before="0"/>
                      <w:ind w:left="0" w:right="18" w:firstLine="1474"/>
                      <w:jc w:val="left"/>
                      <w:rPr>
                        <w:b/>
                        <w:sz w:val="18"/>
                      </w:rPr>
                    </w:pPr>
                    <w:r>
                      <w:rPr>
                        <w:b/>
                        <w:sz w:val="18"/>
                      </w:rPr>
                      <w:t>Nuevo </w:t>
                    </w:r>
                    <w:r>
                      <w:rPr>
                        <w:b/>
                        <w:color w:val="FFFFFF"/>
                        <w:position w:val="-10"/>
                        <w:sz w:val="18"/>
                      </w:rPr>
                      <w:t>Colocado;</w:t>
                      <w:tab/>
                    </w:r>
                    <w:r>
                      <w:rPr>
                        <w:b/>
                        <w:spacing w:val="-4"/>
                        <w:sz w:val="18"/>
                      </w:rPr>
                      <w:t>Endeudamiento;</w:t>
                    </w:r>
                  </w:p>
                  <w:p>
                    <w:pPr>
                      <w:tabs>
                        <w:tab w:pos="1215" w:val="left" w:leader="none"/>
                      </w:tabs>
                      <w:spacing w:line="79" w:lineRule="auto" w:before="0"/>
                      <w:ind w:left="0" w:right="0" w:firstLine="0"/>
                      <w:jc w:val="left"/>
                      <w:rPr>
                        <w:b/>
                        <w:sz w:val="18"/>
                      </w:rPr>
                    </w:pPr>
                    <w:r>
                      <w:rPr>
                        <w:b/>
                        <w:color w:val="FFFFFF"/>
                        <w:position w:val="-10"/>
                        <w:sz w:val="18"/>
                      </w:rPr>
                      <w:t>6672.9198</w:t>
                      <w:tab/>
                    </w:r>
                    <w:r>
                      <w:rPr>
                        <w:b/>
                        <w:sz w:val="18"/>
                      </w:rPr>
                      <w:t>6,322.7;</w:t>
                    </w:r>
                    <w:r>
                      <w:rPr>
                        <w:b/>
                        <w:spacing w:val="-6"/>
                        <w:sz w:val="18"/>
                      </w:rPr>
                      <w:t> </w:t>
                    </w:r>
                    <w:r>
                      <w:rPr>
                        <w:b/>
                        <w:sz w:val="18"/>
                      </w:rPr>
                      <w:t>35%</w:t>
                    </w:r>
                  </w:p>
                  <w:p>
                    <w:pPr>
                      <w:spacing w:before="21"/>
                      <w:ind w:left="156" w:right="0" w:firstLine="0"/>
                      <w:jc w:val="left"/>
                      <w:rPr>
                        <w:b/>
                        <w:sz w:val="18"/>
                      </w:rPr>
                    </w:pPr>
                    <w:r>
                      <w:rPr>
                        <w:b/>
                        <w:color w:val="FFFFFF"/>
                        <w:sz w:val="18"/>
                      </w:rPr>
                      <w:t>; 37%</w:t>
                    </w:r>
                  </w:p>
                </w:txbxContent>
              </v:textbox>
              <w10:wrap type="none"/>
            </v:shape>
            <v:shape style="position:absolute;left:9864;top:2547;width:832;height:406" type="#_x0000_t202" filled="false" stroked="false">
              <v:textbox inset="0,0,0,0">
                <w:txbxContent>
                  <w:p>
                    <w:pPr>
                      <w:spacing w:line="240" w:lineRule="auto" w:before="0"/>
                      <w:ind w:left="16" w:right="-2" w:hanging="17"/>
                      <w:jc w:val="left"/>
                      <w:rPr>
                        <w:b/>
                        <w:sz w:val="18"/>
                      </w:rPr>
                    </w:pPr>
                    <w:r>
                      <w:rPr>
                        <w:b/>
                        <w:sz w:val="18"/>
                      </w:rPr>
                      <w:t>Roll Over; 350.2; 2%</w:t>
                    </w:r>
                  </w:p>
                </w:txbxContent>
              </v:textbox>
              <w10:wrap type="none"/>
            </v:shape>
            <w10:wrap type="topAndBottom"/>
          </v:group>
        </w:pict>
      </w:r>
    </w:p>
    <w:p>
      <w:pPr>
        <w:spacing w:after="0"/>
        <w:rPr>
          <w:sz w:val="28"/>
        </w:rPr>
        <w:sectPr>
          <w:type w:val="continuous"/>
          <w:pgSz w:w="12240" w:h="15840"/>
          <w:pgMar w:top="1500" w:bottom="280" w:left="1140" w:right="0"/>
          <w:cols w:num="3" w:equalWidth="0">
            <w:col w:w="685" w:space="279"/>
            <w:col w:w="3588" w:space="1016"/>
            <w:col w:w="5532"/>
          </w:cols>
        </w:sectPr>
      </w:pPr>
    </w:p>
    <w:p>
      <w:pPr>
        <w:spacing w:before="61"/>
        <w:ind w:left="562" w:right="0" w:firstLine="0"/>
        <w:jc w:val="both"/>
        <w:rPr>
          <w:sz w:val="16"/>
        </w:rPr>
      </w:pPr>
      <w:r>
        <w:rPr>
          <w:sz w:val="16"/>
        </w:rPr>
        <w:t>Fuente: Dirección de Análisis y Política Fiscal.</w:t>
      </w:r>
    </w:p>
    <w:p>
      <w:pPr>
        <w:pStyle w:val="BodyText"/>
        <w:rPr>
          <w:sz w:val="18"/>
        </w:rPr>
      </w:pPr>
    </w:p>
    <w:p>
      <w:pPr>
        <w:pStyle w:val="BodyText"/>
        <w:spacing w:line="276" w:lineRule="auto" w:before="110"/>
        <w:ind w:left="562" w:right="1699"/>
        <w:jc w:val="both"/>
      </w:pPr>
      <w:r>
        <w:rPr/>
        <w:t>En cuanto a las condiciones financieras, la tasa ponderada que se ha alcanzado en moneda nacional asciende a 6.0% siendo el plazo promedio de colocación de 17.8 años, se observa un aumento en la tasa respecto a las colocaciones de años anteriores, así como en el plazo de colocación, presionado por el alza en la tasa líder de política monetaria aplicada por el Banco de Guatemala como consecuencia</w:t>
      </w:r>
      <w:r>
        <w:rPr>
          <w:spacing w:val="-12"/>
        </w:rPr>
        <w:t> </w:t>
      </w:r>
      <w:r>
        <w:rPr/>
        <w:t>del</w:t>
      </w:r>
      <w:r>
        <w:rPr>
          <w:spacing w:val="-11"/>
        </w:rPr>
        <w:t> </w:t>
      </w:r>
      <w:r>
        <w:rPr/>
        <w:t>leve</w:t>
      </w:r>
      <w:r>
        <w:rPr>
          <w:spacing w:val="-10"/>
        </w:rPr>
        <w:t> </w:t>
      </w:r>
      <w:r>
        <w:rPr/>
        <w:t>aumento</w:t>
      </w:r>
      <w:r>
        <w:rPr>
          <w:spacing w:val="-12"/>
        </w:rPr>
        <w:t> </w:t>
      </w:r>
      <w:r>
        <w:rPr/>
        <w:t>en</w:t>
      </w:r>
      <w:r>
        <w:rPr>
          <w:spacing w:val="-10"/>
        </w:rPr>
        <w:t> </w:t>
      </w:r>
      <w:r>
        <w:rPr/>
        <w:t>las</w:t>
      </w:r>
      <w:r>
        <w:rPr>
          <w:spacing w:val="-9"/>
        </w:rPr>
        <w:t> </w:t>
      </w:r>
      <w:r>
        <w:rPr/>
        <w:t>expectativas</w:t>
      </w:r>
      <w:r>
        <w:rPr>
          <w:spacing w:val="-10"/>
        </w:rPr>
        <w:t> </w:t>
      </w:r>
      <w:r>
        <w:rPr/>
        <w:t>inflacionarias,</w:t>
      </w:r>
      <w:r>
        <w:rPr>
          <w:spacing w:val="-12"/>
        </w:rPr>
        <w:t> </w:t>
      </w:r>
      <w:r>
        <w:rPr/>
        <w:t>así</w:t>
      </w:r>
      <w:r>
        <w:rPr>
          <w:spacing w:val="-11"/>
        </w:rPr>
        <w:t> </w:t>
      </w:r>
      <w:r>
        <w:rPr/>
        <w:t>como</w:t>
      </w:r>
      <w:r>
        <w:rPr>
          <w:spacing w:val="-9"/>
        </w:rPr>
        <w:t> </w:t>
      </w:r>
      <w:r>
        <w:rPr/>
        <w:t>la</w:t>
      </w:r>
      <w:r>
        <w:rPr>
          <w:spacing w:val="-12"/>
        </w:rPr>
        <w:t> </w:t>
      </w:r>
      <w:r>
        <w:rPr/>
        <w:t>coyuntura</w:t>
      </w:r>
      <w:r>
        <w:rPr>
          <w:spacing w:val="-10"/>
        </w:rPr>
        <w:t> </w:t>
      </w:r>
      <w:r>
        <w:rPr/>
        <w:t>internacional prevaleciente.</w:t>
      </w:r>
    </w:p>
    <w:p>
      <w:pPr>
        <w:pStyle w:val="BodyText"/>
        <w:spacing w:before="2"/>
        <w:rPr>
          <w:sz w:val="25"/>
        </w:rPr>
      </w:pPr>
    </w:p>
    <w:p>
      <w:pPr>
        <w:pStyle w:val="BodyText"/>
        <w:spacing w:line="276" w:lineRule="auto"/>
        <w:ind w:left="562" w:right="1703"/>
        <w:jc w:val="both"/>
      </w:pPr>
      <w:r>
        <w:rPr/>
        <w:t>Por su parte, las colocaciones en dólares ascienden a US$17.7 millones, con una tasa ponderada de 4.5% y un plazo promedio de 15 años.</w:t>
      </w:r>
    </w:p>
    <w:p>
      <w:pPr>
        <w:pStyle w:val="BodyText"/>
        <w:spacing w:before="9"/>
        <w:rPr>
          <w:sz w:val="25"/>
        </w:rPr>
      </w:pPr>
    </w:p>
    <w:p>
      <w:pPr>
        <w:pStyle w:val="Heading3"/>
        <w:spacing w:line="276" w:lineRule="auto"/>
        <w:ind w:left="4582" w:right="1704" w:hanging="3726"/>
      </w:pPr>
      <w:bookmarkStart w:name="_bookmark169" w:id="214"/>
      <w:bookmarkEnd w:id="214"/>
      <w:r>
        <w:rPr>
          <w:b w:val="0"/>
        </w:rPr>
      </w:r>
      <w:r>
        <w:rPr>
          <w:i/>
          <w:sz w:val="20"/>
        </w:rPr>
        <w:t>Gráfico 88. </w:t>
      </w:r>
      <w:r>
        <w:rPr/>
        <w:t>Plazo y rendimiento histórico de la colocación de bonos del tesoro en moneda nacional</w:t>
      </w:r>
    </w:p>
    <w:p>
      <w:pPr>
        <w:spacing w:after="0" w:line="276" w:lineRule="auto"/>
        <w:sectPr>
          <w:type w:val="continuous"/>
          <w:pgSz w:w="12240" w:h="15840"/>
          <w:pgMar w:top="1500" w:bottom="280" w:left="1140" w:right="0"/>
        </w:sectPr>
      </w:pPr>
    </w:p>
    <w:p>
      <w:pPr>
        <w:spacing w:before="1"/>
        <w:ind w:left="0" w:right="38" w:firstLine="0"/>
        <w:jc w:val="right"/>
        <w:rPr>
          <w:sz w:val="12"/>
        </w:rPr>
      </w:pPr>
      <w:r>
        <w:rPr>
          <w:sz w:val="12"/>
        </w:rPr>
        <w:t>10.0%</w:t>
      </w:r>
    </w:p>
    <w:p>
      <w:pPr>
        <w:pStyle w:val="BodyText"/>
        <w:spacing w:before="1"/>
        <w:rPr>
          <w:sz w:val="12"/>
        </w:rPr>
      </w:pPr>
    </w:p>
    <w:p>
      <w:pPr>
        <w:spacing w:before="1"/>
        <w:ind w:left="0" w:right="38" w:firstLine="0"/>
        <w:jc w:val="right"/>
        <w:rPr>
          <w:sz w:val="12"/>
        </w:rPr>
      </w:pPr>
      <w:r>
        <w:rPr>
          <w:sz w:val="12"/>
        </w:rPr>
        <w:t>9.0%</w:t>
      </w:r>
    </w:p>
    <w:p>
      <w:pPr>
        <w:pStyle w:val="BodyText"/>
        <w:spacing w:before="1"/>
        <w:rPr>
          <w:sz w:val="12"/>
        </w:rPr>
      </w:pPr>
    </w:p>
    <w:p>
      <w:pPr>
        <w:spacing w:before="0"/>
        <w:ind w:left="0" w:right="38" w:firstLine="0"/>
        <w:jc w:val="right"/>
        <w:rPr>
          <w:sz w:val="12"/>
        </w:rPr>
      </w:pPr>
      <w:r>
        <w:rPr>
          <w:sz w:val="12"/>
        </w:rPr>
        <w:t>8.0%</w:t>
      </w:r>
    </w:p>
    <w:p>
      <w:pPr>
        <w:pStyle w:val="BodyText"/>
        <w:spacing w:before="1"/>
        <w:rPr>
          <w:sz w:val="12"/>
        </w:rPr>
      </w:pPr>
    </w:p>
    <w:p>
      <w:pPr>
        <w:spacing w:before="0"/>
        <w:ind w:left="0" w:right="38" w:firstLine="0"/>
        <w:jc w:val="right"/>
        <w:rPr>
          <w:sz w:val="12"/>
        </w:rPr>
      </w:pPr>
      <w:r>
        <w:rPr/>
        <w:pict>
          <v:shape style="position:absolute;margin-left:97.04451pt;margin-top:3.243916pt;width:13.05pt;height:56.55pt;mso-position-horizontal-relative:page;mso-position-vertical-relative:paragraph;z-index:252917760" type="#_x0000_t202" filled="false" stroked="false">
            <v:textbox inset="0,0,0,0" style="layout-flow:vertical;mso-layout-flow-alt:bottom-to-top">
              <w:txbxContent>
                <w:p>
                  <w:pPr>
                    <w:spacing w:before="10"/>
                    <w:ind w:left="20" w:right="0" w:firstLine="0"/>
                    <w:jc w:val="left"/>
                    <w:rPr>
                      <w:b/>
                      <w:sz w:val="20"/>
                    </w:rPr>
                  </w:pPr>
                  <w:r>
                    <w:rPr>
                      <w:b/>
                      <w:color w:val="252525"/>
                      <w:sz w:val="20"/>
                    </w:rPr>
                    <w:t>Rendimiento</w:t>
                  </w:r>
                </w:p>
              </w:txbxContent>
            </v:textbox>
            <w10:wrap type="none"/>
          </v:shape>
        </w:pict>
      </w:r>
      <w:r>
        <w:rPr>
          <w:sz w:val="12"/>
        </w:rPr>
        <w:t>7.0%</w:t>
      </w:r>
    </w:p>
    <w:p>
      <w:pPr>
        <w:pStyle w:val="BodyText"/>
        <w:spacing w:before="2"/>
        <w:rPr>
          <w:sz w:val="12"/>
        </w:rPr>
      </w:pPr>
    </w:p>
    <w:p>
      <w:pPr>
        <w:spacing w:before="0"/>
        <w:ind w:left="0" w:right="38" w:firstLine="0"/>
        <w:jc w:val="right"/>
        <w:rPr>
          <w:sz w:val="12"/>
        </w:rPr>
      </w:pPr>
      <w:r>
        <w:rPr>
          <w:sz w:val="12"/>
        </w:rPr>
        <w:t>6.0%</w:t>
      </w:r>
    </w:p>
    <w:p>
      <w:pPr>
        <w:pStyle w:val="BodyText"/>
        <w:spacing w:before="2"/>
        <w:rPr>
          <w:sz w:val="12"/>
        </w:rPr>
      </w:pPr>
    </w:p>
    <w:p>
      <w:pPr>
        <w:spacing w:before="0"/>
        <w:ind w:left="0" w:right="38" w:firstLine="0"/>
        <w:jc w:val="right"/>
        <w:rPr>
          <w:sz w:val="12"/>
        </w:rPr>
      </w:pPr>
      <w:r>
        <w:rPr>
          <w:sz w:val="12"/>
        </w:rPr>
        <w:t>5.0%</w:t>
      </w:r>
    </w:p>
    <w:p>
      <w:pPr>
        <w:spacing w:before="1"/>
        <w:ind w:left="1101" w:right="0" w:firstLine="0"/>
        <w:jc w:val="left"/>
        <w:rPr>
          <w:sz w:val="12"/>
        </w:rPr>
      </w:pPr>
      <w:r>
        <w:rPr/>
        <w:br w:type="column"/>
      </w:r>
      <w:r>
        <w:rPr>
          <w:b/>
          <w:color w:val="BE9000"/>
          <w:position w:val="-9"/>
          <w:sz w:val="16"/>
        </w:rPr>
        <w:t>8</w:t>
      </w:r>
      <w:r>
        <w:rPr>
          <w:b/>
          <w:color w:val="BE9000"/>
          <w:spacing w:val="8"/>
          <w:position w:val="-9"/>
          <w:sz w:val="16"/>
        </w:rPr>
        <w:t> </w:t>
      </w:r>
      <w:r>
        <w:rPr>
          <w:sz w:val="12"/>
        </w:rPr>
        <w:t>20.0</w:t>
      </w:r>
    </w:p>
    <w:p>
      <w:pPr>
        <w:spacing w:before="31"/>
        <w:ind w:left="1229" w:right="0" w:firstLine="0"/>
        <w:jc w:val="left"/>
        <w:rPr>
          <w:sz w:val="12"/>
        </w:rPr>
      </w:pPr>
      <w:r>
        <w:rPr/>
        <w:pict>
          <v:group style="position:absolute;margin-left:132.600006pt;margin-top:-9.152988pt;width:333pt;height:139.550pt;mso-position-horizontal-relative:page;mso-position-vertical-relative:paragraph;z-index:-280406016" coordorigin="2652,-183" coordsize="6660,2791">
            <v:shape style="position:absolute;left:2680;top:68;width:6595;height:2532" type="#_x0000_t75" stroked="false">
              <v:imagedata r:id="rId238" o:title=""/>
            </v:shape>
            <v:line style="position:absolute" from="2652,2601" to="9312,2601" stroked="true" strokeweight=".72pt" strokecolor="#d9d9d9">
              <v:stroke dashstyle="solid"/>
            </v:line>
            <v:shape style="position:absolute;left:2910;top:129;width:6147;height:919" coordorigin="2910,130" coordsize="6147,919" path="m2910,964l2983,944,3056,919,3130,893,3203,870,3276,851,3349,840,3422,839,3486,854,3550,882,3614,920,3678,961,3742,1000,3806,1031,3870,1049,3934,1048,3991,1027,4048,988,4105,936,4162,877,4219,816,4276,757,4333,705,4390,666,4447,645,4511,644,4575,664,4639,697,4703,737,4767,779,4831,816,4895,843,4959,853,5023,843,5087,816,5151,779,5215,737,5279,697,5343,664,5407,645,5471,645,5573,701,5625,751,5676,807,5727,867,5778,925,5830,977,5881,1017,5932,1041,5983,1044,6030,1024,6076,985,6123,929,6169,863,6216,791,6263,716,6309,643,6356,578,6402,524,6449,486,6495,468,6542,474,6635,543,6682,596,6728,657,6775,720,6821,781,6868,835,6914,877,6961,903,7008,909,7054,892,7147,807,7194,747,7240,679,7287,608,7334,536,7380,469,7427,409,7473,360,7593,297,7666,289,7739,296,7812,311,7886,328,7959,341,8032,344,8117,338,8203,329,8288,318,8373,304,8459,289,8544,272,8617,255,8691,236,8764,216,8837,194,8910,172,8983,151,9056,130e" filled="false" stroked="true" strokeweight="2.280pt" strokecolor="#ffc000">
              <v:path arrowok="t"/>
              <v:stroke dashstyle="dash"/>
            </v:shape>
            <v:shape style="position:absolute;left:2850;top:906;width:116;height:116" type="#_x0000_t75" stroked="false">
              <v:imagedata r:id="rId239" o:title=""/>
            </v:shape>
            <v:shape style="position:absolute;left:3364;top:782;width:116;height:116" type="#_x0000_t75" stroked="false">
              <v:imagedata r:id="rId240" o:title=""/>
            </v:shape>
            <v:shape style="position:absolute;left:3875;top:990;width:116;height:116" type="#_x0000_t75" stroked="false">
              <v:imagedata r:id="rId239" o:title=""/>
            </v:shape>
            <v:shape style="position:absolute;left:4386;top:587;width:116;height:116" type="#_x0000_t75" stroked="false">
              <v:imagedata r:id="rId241" o:title=""/>
            </v:shape>
            <v:shape style="position:absolute;left:4900;top:796;width:116;height:116" type="#_x0000_t75" stroked="false">
              <v:imagedata r:id="rId242" o:title=""/>
            </v:shape>
            <v:shape style="position:absolute;left:5411;top:587;width:116;height:116" type="#_x0000_t75" stroked="false">
              <v:imagedata r:id="rId243" o:title=""/>
            </v:shape>
            <v:shape style="position:absolute;left:5925;top:986;width:116;height:116" type="#_x0000_t75" stroked="false">
              <v:imagedata r:id="rId244" o:title=""/>
            </v:shape>
            <v:shape style="position:absolute;left:6436;top:410;width:116;height:116" type="#_x0000_t75" stroked="false">
              <v:imagedata r:id="rId242" o:title=""/>
            </v:shape>
            <v:shape style="position:absolute;left:6949;top:851;width:116;height:116" type="#_x0000_t75" stroked="false">
              <v:imagedata r:id="rId245" o:title=""/>
            </v:shape>
            <v:shape style="position:absolute;left:7461;top:268;width:116;height:116" type="#_x0000_t75" stroked="false">
              <v:imagedata r:id="rId246" o:title=""/>
            </v:shape>
            <v:shape style="position:absolute;left:7972;top:287;width:116;height:116" type="#_x0000_t75" stroked="false">
              <v:imagedata r:id="rId245" o:title=""/>
            </v:shape>
            <v:shape style="position:absolute;left:8485;top:215;width:116;height:116" type="#_x0000_t75" stroked="false">
              <v:imagedata r:id="rId242" o:title=""/>
            </v:shape>
            <v:shape style="position:absolute;left:8997;top:74;width:116;height:116" type="#_x0000_t75" stroked="false">
              <v:imagedata r:id="rId246" o:title=""/>
            </v:shape>
            <v:shape style="position:absolute;left:9084;top:-184;width:223;height:179" type="#_x0000_t202" filled="false" stroked="false">
              <v:textbox inset="0,0,0,0">
                <w:txbxContent>
                  <w:p>
                    <w:pPr>
                      <w:spacing w:line="178" w:lineRule="exact" w:before="0"/>
                      <w:ind w:left="0" w:right="0" w:firstLine="0"/>
                      <w:jc w:val="left"/>
                      <w:rPr>
                        <w:b/>
                        <w:sz w:val="16"/>
                      </w:rPr>
                    </w:pPr>
                    <w:r>
                      <w:rPr>
                        <w:b/>
                        <w:color w:val="BE9000"/>
                        <w:sz w:val="16"/>
                      </w:rPr>
                      <w:t>17.</w:t>
                    </w:r>
                  </w:p>
                </w:txbxContent>
              </v:textbox>
              <w10:wrap type="none"/>
            </v:shape>
            <v:shape style="position:absolute;left:7314;top:42;width:304;height:179" type="#_x0000_t202" filled="false" stroked="false">
              <v:textbox inset="0,0,0,0">
                <w:txbxContent>
                  <w:p>
                    <w:pPr>
                      <w:spacing w:line="178" w:lineRule="exact" w:before="0"/>
                      <w:ind w:left="0" w:right="0" w:firstLine="0"/>
                      <w:jc w:val="left"/>
                      <w:rPr>
                        <w:b/>
                        <w:sz w:val="16"/>
                      </w:rPr>
                    </w:pPr>
                    <w:r>
                      <w:rPr>
                        <w:b/>
                        <w:color w:val="BE9000"/>
                        <w:sz w:val="16"/>
                      </w:rPr>
                      <w:t>16.4</w:t>
                    </w:r>
                  </w:p>
                </w:txbxContent>
              </v:textbox>
              <w10:wrap type="none"/>
            </v:shape>
            <v:shape style="position:absolute;left:7943;top:34;width:304;height:179" type="#_x0000_t202" filled="false" stroked="false">
              <v:textbox inset="0,0,0,0">
                <w:txbxContent>
                  <w:p>
                    <w:pPr>
                      <w:spacing w:line="178" w:lineRule="exact" w:before="0"/>
                      <w:ind w:left="0" w:right="0" w:firstLine="0"/>
                      <w:jc w:val="left"/>
                      <w:rPr>
                        <w:b/>
                        <w:sz w:val="16"/>
                      </w:rPr>
                    </w:pPr>
                    <w:r>
                      <w:rPr>
                        <w:b/>
                        <w:color w:val="BE9000"/>
                        <w:sz w:val="16"/>
                      </w:rPr>
                      <w:t>16.3</w:t>
                    </w:r>
                  </w:p>
                </w:txbxContent>
              </v:textbox>
              <w10:wrap type="none"/>
            </v:shape>
            <v:shape style="position:absolute;left:8492;top:-62;width:304;height:179" type="#_x0000_t202" filled="false" stroked="false">
              <v:textbox inset="0,0,0,0">
                <w:txbxContent>
                  <w:p>
                    <w:pPr>
                      <w:spacing w:line="178" w:lineRule="exact" w:before="0"/>
                      <w:ind w:left="0" w:right="0" w:firstLine="0"/>
                      <w:jc w:val="left"/>
                      <w:rPr>
                        <w:b/>
                        <w:sz w:val="16"/>
                      </w:rPr>
                    </w:pPr>
                    <w:r>
                      <w:rPr>
                        <w:b/>
                        <w:color w:val="BE9000"/>
                        <w:sz w:val="16"/>
                      </w:rPr>
                      <w:t>16.8</w:t>
                    </w:r>
                  </w:p>
                </w:txbxContent>
              </v:textbox>
              <w10:wrap type="none"/>
            </v:shape>
            <v:shape style="position:absolute;left:4300;top:382;width:304;height:179" type="#_x0000_t202" filled="false" stroked="false">
              <v:textbox inset="0,0,0,0">
                <w:txbxContent>
                  <w:p>
                    <w:pPr>
                      <w:spacing w:line="178" w:lineRule="exact" w:before="0"/>
                      <w:ind w:left="0" w:right="0" w:firstLine="0"/>
                      <w:jc w:val="left"/>
                      <w:rPr>
                        <w:b/>
                        <w:sz w:val="16"/>
                      </w:rPr>
                    </w:pPr>
                    <w:r>
                      <w:rPr>
                        <w:b/>
                        <w:color w:val="FFFFFF"/>
                        <w:sz w:val="16"/>
                      </w:rPr>
                      <w:t>14.1</w:t>
                    </w:r>
                  </w:p>
                </w:txbxContent>
              </v:textbox>
              <w10:wrap type="none"/>
            </v:shape>
            <v:shape style="position:absolute;left:5284;top:361;width:304;height:179" type="#_x0000_t202" filled="false" stroked="false">
              <v:textbox inset="0,0,0,0">
                <w:txbxContent>
                  <w:p>
                    <w:pPr>
                      <w:spacing w:line="178" w:lineRule="exact" w:before="0"/>
                      <w:ind w:left="0" w:right="0" w:firstLine="0"/>
                      <w:jc w:val="left"/>
                      <w:rPr>
                        <w:b/>
                        <w:sz w:val="16"/>
                      </w:rPr>
                    </w:pPr>
                    <w:r>
                      <w:rPr>
                        <w:b/>
                        <w:color w:val="BE9000"/>
                        <w:sz w:val="16"/>
                      </w:rPr>
                      <w:t>14.1</w:t>
                    </w:r>
                  </w:p>
                </w:txbxContent>
              </v:textbox>
              <w10:wrap type="none"/>
            </v:shape>
            <v:shape style="position:absolute;left:6369;top:239;width:304;height:179" type="#_x0000_t202" filled="false" stroked="false">
              <v:textbox inset="0,0,0,0">
                <w:txbxContent>
                  <w:p>
                    <w:pPr>
                      <w:spacing w:line="178" w:lineRule="exact" w:before="0"/>
                      <w:ind w:left="0" w:right="0" w:firstLine="0"/>
                      <w:jc w:val="left"/>
                      <w:rPr>
                        <w:b/>
                        <w:sz w:val="16"/>
                      </w:rPr>
                    </w:pPr>
                    <w:r>
                      <w:rPr>
                        <w:b/>
                        <w:color w:val="BE9000"/>
                        <w:sz w:val="16"/>
                      </w:rPr>
                      <w:t>15.4</w:t>
                    </w:r>
                  </w:p>
                </w:txbxContent>
              </v:textbox>
              <w10:wrap type="none"/>
            </v:shape>
            <v:shape style="position:absolute;left:5841;top:538;width:302;height:179" type="#_x0000_t202" filled="false" stroked="false">
              <v:textbox inset="0,0,0,0">
                <w:txbxContent>
                  <w:p>
                    <w:pPr>
                      <w:spacing w:line="178" w:lineRule="exact" w:before="0"/>
                      <w:ind w:left="0" w:right="0" w:firstLine="0"/>
                      <w:jc w:val="left"/>
                      <w:rPr>
                        <w:b/>
                        <w:sz w:val="16"/>
                      </w:rPr>
                    </w:pPr>
                    <w:r>
                      <w:rPr>
                        <w:b/>
                        <w:color w:val="BE9000"/>
                        <w:sz w:val="16"/>
                      </w:rPr>
                      <w:t>11.2</w:t>
                    </w:r>
                  </w:p>
                </w:txbxContent>
              </v:textbox>
              <w10:wrap type="none"/>
            </v:shape>
            <v:shape style="position:absolute;left:6861;top:526;width:304;height:179" type="#_x0000_t202" filled="false" stroked="false">
              <v:textbox inset="0,0,0,0">
                <w:txbxContent>
                  <w:p>
                    <w:pPr>
                      <w:spacing w:line="178" w:lineRule="exact" w:before="0"/>
                      <w:ind w:left="0" w:right="0" w:firstLine="0"/>
                      <w:jc w:val="left"/>
                      <w:rPr>
                        <w:b/>
                        <w:sz w:val="16"/>
                      </w:rPr>
                    </w:pPr>
                    <w:r>
                      <w:rPr>
                        <w:b/>
                        <w:color w:val="BE9000"/>
                        <w:sz w:val="16"/>
                      </w:rPr>
                      <w:t>12.2</w:t>
                    </w:r>
                  </w:p>
                </w:txbxContent>
              </v:textbox>
              <w10:wrap type="none"/>
            </v:shape>
            <v:shape style="position:absolute;left:2743;top:688;width:304;height:179" type="#_x0000_t202" filled="false" stroked="false">
              <v:textbox inset="0,0,0,0">
                <w:txbxContent>
                  <w:p>
                    <w:pPr>
                      <w:spacing w:line="178" w:lineRule="exact" w:before="0"/>
                      <w:ind w:left="0" w:right="0" w:firstLine="0"/>
                      <w:jc w:val="left"/>
                      <w:rPr>
                        <w:b/>
                        <w:sz w:val="16"/>
                      </w:rPr>
                    </w:pPr>
                    <w:r>
                      <w:rPr>
                        <w:b/>
                        <w:color w:val="FFFFFF"/>
                        <w:sz w:val="16"/>
                      </w:rPr>
                      <w:t>11.8</w:t>
                    </w:r>
                  </w:p>
                </w:txbxContent>
              </v:textbox>
              <w10:wrap type="none"/>
            </v:shape>
            <v:shape style="position:absolute;left:3276;top:568;width:304;height:179" type="#_x0000_t202" filled="false" stroked="false">
              <v:textbox inset="0,0,0,0">
                <w:txbxContent>
                  <w:p>
                    <w:pPr>
                      <w:spacing w:line="178" w:lineRule="exact" w:before="0"/>
                      <w:ind w:left="0" w:right="0" w:firstLine="0"/>
                      <w:jc w:val="left"/>
                      <w:rPr>
                        <w:b/>
                        <w:sz w:val="16"/>
                      </w:rPr>
                    </w:pPr>
                    <w:r>
                      <w:rPr>
                        <w:b/>
                        <w:color w:val="FFFFFF"/>
                        <w:sz w:val="16"/>
                      </w:rPr>
                      <w:t>12.7</w:t>
                    </w:r>
                  </w:p>
                </w:txbxContent>
              </v:textbox>
              <w10:wrap type="none"/>
            </v:shape>
            <v:shape style="position:absolute;left:3768;top:778;width:304;height:179" type="#_x0000_t202" filled="false" stroked="false">
              <v:textbox inset="0,0,0,0">
                <w:txbxContent>
                  <w:p>
                    <w:pPr>
                      <w:spacing w:line="178" w:lineRule="exact" w:before="0"/>
                      <w:ind w:left="0" w:right="0" w:firstLine="0"/>
                      <w:jc w:val="left"/>
                      <w:rPr>
                        <w:b/>
                        <w:sz w:val="16"/>
                      </w:rPr>
                    </w:pPr>
                    <w:r>
                      <w:rPr>
                        <w:b/>
                        <w:color w:val="FFFFFF"/>
                        <w:sz w:val="16"/>
                      </w:rPr>
                      <w:t>11.2</w:t>
                    </w:r>
                  </w:p>
                </w:txbxContent>
              </v:textbox>
              <w10:wrap type="none"/>
            </v:shape>
            <v:shape style="position:absolute;left:4792;top:923;width:304;height:179" type="#_x0000_t202" filled="false" stroked="false">
              <v:textbox inset="0,0,0,0">
                <w:txbxContent>
                  <w:p>
                    <w:pPr>
                      <w:spacing w:line="178" w:lineRule="exact" w:before="0"/>
                      <w:ind w:left="0" w:right="0" w:firstLine="0"/>
                      <w:jc w:val="left"/>
                      <w:rPr>
                        <w:b/>
                        <w:sz w:val="16"/>
                      </w:rPr>
                    </w:pPr>
                    <w:r>
                      <w:rPr>
                        <w:b/>
                        <w:color w:val="FFFFFF"/>
                        <w:sz w:val="16"/>
                      </w:rPr>
                      <w:t>12.6</w:t>
                    </w:r>
                  </w:p>
                </w:txbxContent>
              </v:textbox>
              <w10:wrap type="none"/>
            </v:shape>
            <w10:wrap type="none"/>
          </v:group>
        </w:pict>
      </w:r>
      <w:r>
        <w:rPr>
          <w:sz w:val="12"/>
        </w:rPr>
        <w:t>18.0</w:t>
      </w:r>
    </w:p>
    <w:p>
      <w:pPr>
        <w:pStyle w:val="BodyText"/>
        <w:spacing w:before="1"/>
        <w:rPr>
          <w:sz w:val="12"/>
        </w:rPr>
      </w:pPr>
    </w:p>
    <w:p>
      <w:pPr>
        <w:spacing w:before="0"/>
        <w:ind w:left="1229" w:right="0" w:firstLine="0"/>
        <w:jc w:val="left"/>
        <w:rPr>
          <w:sz w:val="12"/>
        </w:rPr>
      </w:pPr>
      <w:r>
        <w:rPr>
          <w:sz w:val="12"/>
        </w:rPr>
        <w:t>16.0</w:t>
      </w:r>
    </w:p>
    <w:p>
      <w:pPr>
        <w:pStyle w:val="BodyText"/>
        <w:spacing w:before="2"/>
        <w:rPr>
          <w:sz w:val="12"/>
        </w:rPr>
      </w:pPr>
    </w:p>
    <w:p>
      <w:pPr>
        <w:spacing w:before="0"/>
        <w:ind w:left="1229" w:right="0" w:firstLine="0"/>
        <w:jc w:val="left"/>
        <w:rPr>
          <w:sz w:val="12"/>
        </w:rPr>
      </w:pPr>
      <w:r>
        <w:rPr/>
        <w:pict>
          <v:shape style="position:absolute;margin-left:483.275574pt;margin-top:1.601572pt;width:13.05pt;height:59.7pt;mso-position-horizontal-relative:page;mso-position-vertical-relative:paragraph;z-index:252916736" type="#_x0000_t202" filled="false" stroked="false">
            <v:textbox inset="0,0,0,0" style="layout-flow:vertical">
              <w:txbxContent>
                <w:p>
                  <w:pPr>
                    <w:spacing w:before="10"/>
                    <w:ind w:left="20" w:right="0" w:firstLine="0"/>
                    <w:jc w:val="left"/>
                    <w:rPr>
                      <w:b/>
                      <w:sz w:val="20"/>
                    </w:rPr>
                  </w:pPr>
                  <w:r>
                    <w:rPr>
                      <w:b/>
                      <w:color w:val="252525"/>
                      <w:sz w:val="20"/>
                    </w:rPr>
                    <w:t>Plazo en años</w:t>
                  </w:r>
                </w:p>
              </w:txbxContent>
            </v:textbox>
            <w10:wrap type="none"/>
          </v:shape>
        </w:pict>
      </w:r>
      <w:r>
        <w:rPr>
          <w:sz w:val="12"/>
        </w:rPr>
        <w:t>14.0</w:t>
      </w:r>
    </w:p>
    <w:p>
      <w:pPr>
        <w:pStyle w:val="BodyText"/>
        <w:spacing w:before="2"/>
        <w:rPr>
          <w:sz w:val="12"/>
        </w:rPr>
      </w:pPr>
    </w:p>
    <w:p>
      <w:pPr>
        <w:spacing w:before="0"/>
        <w:ind w:left="1229" w:right="0" w:firstLine="0"/>
        <w:jc w:val="left"/>
        <w:rPr>
          <w:sz w:val="12"/>
        </w:rPr>
      </w:pPr>
      <w:r>
        <w:rPr>
          <w:sz w:val="12"/>
        </w:rPr>
        <w:t>12.0</w:t>
      </w:r>
    </w:p>
    <w:p>
      <w:pPr>
        <w:pStyle w:val="BodyText"/>
        <w:spacing w:before="1"/>
        <w:rPr>
          <w:sz w:val="12"/>
        </w:rPr>
      </w:pPr>
    </w:p>
    <w:p>
      <w:pPr>
        <w:spacing w:before="0"/>
        <w:ind w:left="1229" w:right="0" w:firstLine="0"/>
        <w:jc w:val="left"/>
        <w:rPr>
          <w:sz w:val="12"/>
        </w:rPr>
      </w:pPr>
      <w:r>
        <w:rPr>
          <w:sz w:val="12"/>
        </w:rPr>
        <w:t>10.0</w:t>
      </w:r>
    </w:p>
    <w:p>
      <w:pPr>
        <w:spacing w:after="0"/>
        <w:jc w:val="left"/>
        <w:rPr>
          <w:sz w:val="12"/>
        </w:rPr>
        <w:sectPr>
          <w:type w:val="continuous"/>
          <w:pgSz w:w="12240" w:h="15840"/>
          <w:pgMar w:top="1500" w:bottom="280" w:left="1140" w:right="0"/>
          <w:cols w:num="2" w:equalWidth="0">
            <w:col w:w="1453" w:space="5593"/>
            <w:col w:w="4054"/>
          </w:cols>
        </w:sectPr>
      </w:pPr>
    </w:p>
    <w:p>
      <w:pPr>
        <w:pStyle w:val="BodyText"/>
        <w:spacing w:before="2"/>
        <w:rPr>
          <w:sz w:val="12"/>
        </w:rPr>
      </w:pPr>
    </w:p>
    <w:p>
      <w:pPr>
        <w:tabs>
          <w:tab w:pos="8275" w:val="left" w:leader="none"/>
        </w:tabs>
        <w:spacing w:before="0"/>
        <w:ind w:left="1161" w:right="0" w:firstLine="0"/>
        <w:jc w:val="left"/>
        <w:rPr>
          <w:sz w:val="12"/>
        </w:rPr>
      </w:pPr>
      <w:r>
        <w:rPr>
          <w:sz w:val="12"/>
        </w:rPr>
        <w:t>4.0%</w:t>
        <w:tab/>
        <w:t>8.0</w:t>
      </w:r>
    </w:p>
    <w:p>
      <w:pPr>
        <w:pStyle w:val="BodyText"/>
        <w:spacing w:before="1"/>
        <w:rPr>
          <w:sz w:val="12"/>
        </w:rPr>
      </w:pPr>
    </w:p>
    <w:p>
      <w:pPr>
        <w:tabs>
          <w:tab w:pos="8275" w:val="left" w:leader="none"/>
        </w:tabs>
        <w:spacing w:before="0"/>
        <w:ind w:left="1161" w:right="0" w:firstLine="0"/>
        <w:jc w:val="left"/>
        <w:rPr>
          <w:sz w:val="12"/>
        </w:rPr>
      </w:pPr>
      <w:r>
        <w:rPr>
          <w:sz w:val="12"/>
        </w:rPr>
        <w:t>3.0%</w:t>
        <w:tab/>
        <w:t>6.0</w:t>
      </w:r>
    </w:p>
    <w:p>
      <w:pPr>
        <w:pStyle w:val="BodyText"/>
        <w:spacing w:before="2"/>
        <w:rPr>
          <w:sz w:val="12"/>
        </w:rPr>
      </w:pPr>
    </w:p>
    <w:p>
      <w:pPr>
        <w:tabs>
          <w:tab w:pos="8275" w:val="left" w:leader="none"/>
        </w:tabs>
        <w:spacing w:before="0"/>
        <w:ind w:left="1161" w:right="0" w:firstLine="0"/>
        <w:jc w:val="left"/>
        <w:rPr>
          <w:sz w:val="12"/>
        </w:rPr>
      </w:pPr>
      <w:r>
        <w:rPr/>
        <w:pict>
          <v:shape style="position:absolute;margin-left:139.6586pt;margin-top:4.068267pt;width:12pt;height:22.45pt;mso-position-horizontal-relative:page;mso-position-vertical-relative:paragraph;z-index:-280400896" type="#_x0000_t202" filled="false" stroked="false">
            <v:textbox inset="0,0,0,0" style="layout-flow:vertical;mso-layout-flow-alt:bottom-to-top">
              <w:txbxContent>
                <w:p>
                  <w:pPr>
                    <w:spacing w:before="12"/>
                    <w:ind w:left="20" w:right="0" w:firstLine="0"/>
                    <w:jc w:val="left"/>
                    <w:rPr>
                      <w:b/>
                      <w:sz w:val="18"/>
                    </w:rPr>
                  </w:pPr>
                  <w:r>
                    <w:rPr>
                      <w:b/>
                      <w:color w:val="FFFFFF"/>
                      <w:sz w:val="18"/>
                    </w:rPr>
                    <w:t>8.6%</w:t>
                  </w:r>
                </w:p>
              </w:txbxContent>
            </v:textbox>
            <w10:wrap type="none"/>
          </v:shape>
        </w:pict>
      </w:r>
      <w:r>
        <w:rPr/>
        <w:pict>
          <v:shape style="position:absolute;margin-left:165.319977pt;margin-top:4.095568pt;width:12pt;height:22.4pt;mso-position-horizontal-relative:page;mso-position-vertical-relative:paragraph;z-index:-280399872" type="#_x0000_t202" filled="false" stroked="false">
            <v:textbox inset="0,0,0,0" style="layout-flow:vertical;mso-layout-flow-alt:bottom-to-top">
              <w:txbxContent>
                <w:p>
                  <w:pPr>
                    <w:spacing w:before="12"/>
                    <w:ind w:left="20" w:right="0" w:firstLine="0"/>
                    <w:jc w:val="left"/>
                    <w:rPr>
                      <w:b/>
                      <w:sz w:val="18"/>
                    </w:rPr>
                  </w:pPr>
                  <w:r>
                    <w:rPr>
                      <w:b/>
                      <w:color w:val="FFFFFF"/>
                      <w:sz w:val="18"/>
                    </w:rPr>
                    <w:t>9.1%</w:t>
                  </w:r>
                </w:p>
              </w:txbxContent>
            </v:textbox>
            <w10:wrap type="none"/>
          </v:shape>
        </w:pict>
      </w:r>
      <w:r>
        <w:rPr/>
        <w:pict>
          <v:shape style="position:absolute;margin-left:190.919983pt;margin-top:4.095568pt;width:12pt;height:22.4pt;mso-position-horizontal-relative:page;mso-position-vertical-relative:paragraph;z-index:-280398848" type="#_x0000_t202" filled="false" stroked="false">
            <v:textbox inset="0,0,0,0" style="layout-flow:vertical;mso-layout-flow-alt:bottom-to-top">
              <w:txbxContent>
                <w:p>
                  <w:pPr>
                    <w:spacing w:before="12"/>
                    <w:ind w:left="20" w:right="0" w:firstLine="0"/>
                    <w:jc w:val="left"/>
                    <w:rPr>
                      <w:b/>
                      <w:sz w:val="18"/>
                    </w:rPr>
                  </w:pPr>
                  <w:r>
                    <w:rPr>
                      <w:b/>
                      <w:color w:val="FFFFFF"/>
                      <w:sz w:val="18"/>
                    </w:rPr>
                    <w:t>8.5%</w:t>
                  </w:r>
                </w:p>
              </w:txbxContent>
            </v:textbox>
            <w10:wrap type="none"/>
          </v:shape>
        </w:pict>
      </w:r>
      <w:r>
        <w:rPr/>
        <w:pict>
          <v:shape style="position:absolute;margin-left:216.529984pt;margin-top:4.095568pt;width:12pt;height:22.4pt;mso-position-horizontal-relative:page;mso-position-vertical-relative:paragraph;z-index:-280397824" type="#_x0000_t202" filled="false" stroked="false">
            <v:textbox inset="0,0,0,0" style="layout-flow:vertical;mso-layout-flow-alt:bottom-to-top">
              <w:txbxContent>
                <w:p>
                  <w:pPr>
                    <w:spacing w:before="12"/>
                    <w:ind w:left="20" w:right="0" w:firstLine="0"/>
                    <w:jc w:val="left"/>
                    <w:rPr>
                      <w:b/>
                      <w:sz w:val="18"/>
                    </w:rPr>
                  </w:pPr>
                  <w:r>
                    <w:rPr>
                      <w:b/>
                      <w:color w:val="FFFFFF"/>
                      <w:sz w:val="18"/>
                    </w:rPr>
                    <w:t>9.1%</w:t>
                  </w:r>
                </w:p>
              </w:txbxContent>
            </v:textbox>
            <w10:wrap type="none"/>
          </v:shape>
        </w:pict>
      </w:r>
      <w:r>
        <w:rPr/>
        <w:pict>
          <v:shape style="position:absolute;margin-left:242.159973pt;margin-top:4.095568pt;width:12pt;height:22.4pt;mso-position-horizontal-relative:page;mso-position-vertical-relative:paragraph;z-index:-280396800" type="#_x0000_t202" filled="false" stroked="false">
            <v:textbox inset="0,0,0,0" style="layout-flow:vertical;mso-layout-flow-alt:bottom-to-top">
              <w:txbxContent>
                <w:p>
                  <w:pPr>
                    <w:spacing w:before="12"/>
                    <w:ind w:left="20" w:right="0" w:firstLine="0"/>
                    <w:jc w:val="left"/>
                    <w:rPr>
                      <w:b/>
                      <w:sz w:val="18"/>
                    </w:rPr>
                  </w:pPr>
                  <w:r>
                    <w:rPr>
                      <w:b/>
                      <w:color w:val="FFFFFF"/>
                      <w:sz w:val="18"/>
                    </w:rPr>
                    <w:t>7.4%</w:t>
                  </w:r>
                </w:p>
              </w:txbxContent>
            </v:textbox>
            <w10:wrap type="none"/>
          </v:shape>
        </w:pict>
      </w:r>
      <w:r>
        <w:rPr/>
        <w:pict>
          <v:shape style="position:absolute;margin-left:267.769989pt;margin-top:4.095568pt;width:12pt;height:22.4pt;mso-position-horizontal-relative:page;mso-position-vertical-relative:paragraph;z-index:-280395776" type="#_x0000_t202" filled="false" stroked="false">
            <v:textbox inset="0,0,0,0" style="layout-flow:vertical;mso-layout-flow-alt:bottom-to-top">
              <w:txbxContent>
                <w:p>
                  <w:pPr>
                    <w:spacing w:before="12"/>
                    <w:ind w:left="20" w:right="0" w:firstLine="0"/>
                    <w:jc w:val="left"/>
                    <w:rPr>
                      <w:b/>
                      <w:sz w:val="18"/>
                    </w:rPr>
                  </w:pPr>
                  <w:r>
                    <w:rPr>
                      <w:b/>
                      <w:color w:val="FFFFFF"/>
                      <w:sz w:val="18"/>
                    </w:rPr>
                    <w:t>7.5%</w:t>
                  </w:r>
                </w:p>
              </w:txbxContent>
            </v:textbox>
            <w10:wrap type="none"/>
          </v:shape>
        </w:pict>
      </w:r>
      <w:r>
        <w:rPr/>
        <w:pict>
          <v:shape style="position:absolute;margin-left:293.379974pt;margin-top:4.095568pt;width:12pt;height:22.4pt;mso-position-horizontal-relative:page;mso-position-vertical-relative:paragraph;z-index:-280394752" type="#_x0000_t202" filled="false" stroked="false">
            <v:textbox inset="0,0,0,0" style="layout-flow:vertical;mso-layout-flow-alt:bottom-to-top">
              <w:txbxContent>
                <w:p>
                  <w:pPr>
                    <w:spacing w:before="12"/>
                    <w:ind w:left="20" w:right="0" w:firstLine="0"/>
                    <w:jc w:val="left"/>
                    <w:rPr>
                      <w:b/>
                      <w:sz w:val="18"/>
                    </w:rPr>
                  </w:pPr>
                  <w:r>
                    <w:rPr>
                      <w:b/>
                      <w:color w:val="FFFFFF"/>
                      <w:sz w:val="18"/>
                    </w:rPr>
                    <w:t>6.8%</w:t>
                  </w:r>
                </w:p>
              </w:txbxContent>
            </v:textbox>
            <w10:wrap type="none"/>
          </v:shape>
        </w:pict>
      </w:r>
      <w:r>
        <w:rPr/>
        <w:pict>
          <v:shape style="position:absolute;margin-left:319.009979pt;margin-top:4.095568pt;width:12pt;height:22.4pt;mso-position-horizontal-relative:page;mso-position-vertical-relative:paragraph;z-index:-280393728" type="#_x0000_t202" filled="false" stroked="false">
            <v:textbox inset="0,0,0,0" style="layout-flow:vertical;mso-layout-flow-alt:bottom-to-top">
              <w:txbxContent>
                <w:p>
                  <w:pPr>
                    <w:spacing w:before="12"/>
                    <w:ind w:left="20" w:right="0" w:firstLine="0"/>
                    <w:jc w:val="left"/>
                    <w:rPr>
                      <w:b/>
                      <w:sz w:val="18"/>
                    </w:rPr>
                  </w:pPr>
                  <w:r>
                    <w:rPr>
                      <w:b/>
                      <w:color w:val="FFFFFF"/>
                      <w:sz w:val="18"/>
                    </w:rPr>
                    <w:t>6.9%</w:t>
                  </w:r>
                </w:p>
              </w:txbxContent>
            </v:textbox>
            <w10:wrap type="none"/>
          </v:shape>
        </w:pict>
      </w:r>
      <w:r>
        <w:rPr/>
        <w:pict>
          <v:shape style="position:absolute;margin-left:344.619995pt;margin-top:4.095568pt;width:12pt;height:22.4pt;mso-position-horizontal-relative:page;mso-position-vertical-relative:paragraph;z-index:-280392704" type="#_x0000_t202" filled="false" stroked="false">
            <v:textbox inset="0,0,0,0" style="layout-flow:vertical;mso-layout-flow-alt:bottom-to-top">
              <w:txbxContent>
                <w:p>
                  <w:pPr>
                    <w:spacing w:before="12"/>
                    <w:ind w:left="20" w:right="0" w:firstLine="0"/>
                    <w:jc w:val="left"/>
                    <w:rPr>
                      <w:b/>
                      <w:sz w:val="18"/>
                    </w:rPr>
                  </w:pPr>
                  <w:r>
                    <w:rPr>
                      <w:b/>
                      <w:color w:val="FFFFFF"/>
                      <w:sz w:val="18"/>
                    </w:rPr>
                    <w:t>6.5%</w:t>
                  </w:r>
                </w:p>
              </w:txbxContent>
            </v:textbox>
            <w10:wrap type="none"/>
          </v:shape>
        </w:pict>
      </w:r>
      <w:r>
        <w:rPr/>
        <w:pict>
          <v:shape style="position:absolute;margin-left:370.22998pt;margin-top:4.095568pt;width:12pt;height:22.4pt;mso-position-horizontal-relative:page;mso-position-vertical-relative:paragraph;z-index:-280391680" type="#_x0000_t202" filled="false" stroked="false">
            <v:textbox inset="0,0,0,0" style="layout-flow:vertical;mso-layout-flow-alt:bottom-to-top">
              <w:txbxContent>
                <w:p>
                  <w:pPr>
                    <w:spacing w:before="12"/>
                    <w:ind w:left="20" w:right="0" w:firstLine="0"/>
                    <w:jc w:val="left"/>
                    <w:rPr>
                      <w:b/>
                      <w:sz w:val="18"/>
                    </w:rPr>
                  </w:pPr>
                  <w:r>
                    <w:rPr>
                      <w:b/>
                      <w:color w:val="FFFFFF"/>
                      <w:sz w:val="18"/>
                    </w:rPr>
                    <w:t>6.7%</w:t>
                  </w:r>
                </w:p>
              </w:txbxContent>
            </v:textbox>
            <w10:wrap type="none"/>
          </v:shape>
        </w:pict>
      </w:r>
      <w:r>
        <w:rPr/>
        <w:pict>
          <v:shape style="position:absolute;margin-left:395.859985pt;margin-top:4.095568pt;width:12pt;height:22.4pt;mso-position-horizontal-relative:page;mso-position-vertical-relative:paragraph;z-index:-280390656" type="#_x0000_t202" filled="false" stroked="false">
            <v:textbox inset="0,0,0,0" style="layout-flow:vertical;mso-layout-flow-alt:bottom-to-top">
              <w:txbxContent>
                <w:p>
                  <w:pPr>
                    <w:spacing w:before="12"/>
                    <w:ind w:left="20" w:right="0" w:firstLine="0"/>
                    <w:jc w:val="left"/>
                    <w:rPr>
                      <w:b/>
                      <w:sz w:val="18"/>
                    </w:rPr>
                  </w:pPr>
                  <w:r>
                    <w:rPr>
                      <w:b/>
                      <w:color w:val="FFFFFF"/>
                      <w:sz w:val="18"/>
                    </w:rPr>
                    <w:t>5.1%</w:t>
                  </w:r>
                </w:p>
              </w:txbxContent>
            </v:textbox>
            <w10:wrap type="none"/>
          </v:shape>
        </w:pict>
      </w:r>
      <w:r>
        <w:rPr/>
        <w:pict>
          <v:shape style="position:absolute;margin-left:421.469971pt;margin-top:4.095568pt;width:12pt;height:22.4pt;mso-position-horizontal-relative:page;mso-position-vertical-relative:paragraph;z-index:-280389632" type="#_x0000_t202" filled="false" stroked="false">
            <v:textbox inset="0,0,0,0" style="layout-flow:vertical;mso-layout-flow-alt:bottom-to-top">
              <w:txbxContent>
                <w:p>
                  <w:pPr>
                    <w:spacing w:before="12"/>
                    <w:ind w:left="20" w:right="0" w:firstLine="0"/>
                    <w:jc w:val="left"/>
                    <w:rPr>
                      <w:b/>
                      <w:sz w:val="18"/>
                    </w:rPr>
                  </w:pPr>
                  <w:r>
                    <w:rPr>
                      <w:b/>
                      <w:color w:val="FFFFFF"/>
                      <w:sz w:val="18"/>
                    </w:rPr>
                    <w:t>5.1%</w:t>
                  </w:r>
                </w:p>
              </w:txbxContent>
            </v:textbox>
            <w10:wrap type="none"/>
          </v:shape>
        </w:pict>
      </w:r>
      <w:r>
        <w:rPr/>
        <w:pict>
          <v:shape style="position:absolute;margin-left:447.079987pt;margin-top:4.095568pt;width:12pt;height:22.4pt;mso-position-horizontal-relative:page;mso-position-vertical-relative:paragraph;z-index:-280388608" type="#_x0000_t202" filled="false" stroked="false">
            <v:textbox inset="0,0,0,0" style="layout-flow:vertical;mso-layout-flow-alt:bottom-to-top">
              <w:txbxContent>
                <w:p>
                  <w:pPr>
                    <w:spacing w:before="12"/>
                    <w:ind w:left="20" w:right="0" w:firstLine="0"/>
                    <w:jc w:val="left"/>
                    <w:rPr>
                      <w:b/>
                      <w:sz w:val="18"/>
                    </w:rPr>
                  </w:pPr>
                  <w:r>
                    <w:rPr>
                      <w:b/>
                      <w:color w:val="FFFFFF"/>
                      <w:sz w:val="18"/>
                    </w:rPr>
                    <w:t>6.0%</w:t>
                  </w:r>
                </w:p>
              </w:txbxContent>
            </v:textbox>
            <w10:wrap type="none"/>
          </v:shape>
        </w:pict>
      </w:r>
      <w:r>
        <w:rPr>
          <w:sz w:val="12"/>
        </w:rPr>
        <w:t>2.0%</w:t>
        <w:tab/>
        <w:t>4.0</w:t>
      </w:r>
    </w:p>
    <w:p>
      <w:pPr>
        <w:pStyle w:val="BodyText"/>
        <w:spacing w:before="2"/>
        <w:rPr>
          <w:sz w:val="12"/>
        </w:rPr>
      </w:pPr>
    </w:p>
    <w:p>
      <w:pPr>
        <w:tabs>
          <w:tab w:pos="8275" w:val="left" w:leader="none"/>
        </w:tabs>
        <w:spacing w:before="0"/>
        <w:ind w:left="1161" w:right="0" w:firstLine="0"/>
        <w:jc w:val="left"/>
        <w:rPr>
          <w:sz w:val="12"/>
        </w:rPr>
      </w:pPr>
      <w:r>
        <w:rPr>
          <w:sz w:val="12"/>
        </w:rPr>
        <w:t>1.0%</w:t>
        <w:tab/>
        <w:t>2.0</w:t>
      </w:r>
    </w:p>
    <w:p>
      <w:pPr>
        <w:spacing w:after="0"/>
        <w:jc w:val="left"/>
        <w:rPr>
          <w:sz w:val="12"/>
        </w:rPr>
        <w:sectPr>
          <w:type w:val="continuous"/>
          <w:pgSz w:w="12240" w:h="15840"/>
          <w:pgMar w:top="1500" w:bottom="280" w:left="1140" w:right="0"/>
        </w:sectPr>
      </w:pPr>
    </w:p>
    <w:p>
      <w:pPr>
        <w:pStyle w:val="BodyText"/>
        <w:spacing w:before="1"/>
        <w:rPr>
          <w:sz w:val="12"/>
        </w:rPr>
      </w:pPr>
    </w:p>
    <w:p>
      <w:pPr>
        <w:spacing w:before="0"/>
        <w:ind w:left="0" w:right="0" w:firstLine="0"/>
        <w:jc w:val="right"/>
        <w:rPr>
          <w:sz w:val="12"/>
        </w:rPr>
      </w:pPr>
      <w:r>
        <w:rPr>
          <w:sz w:val="12"/>
        </w:rPr>
        <w:t>0.0%</w:t>
      </w:r>
    </w:p>
    <w:p>
      <w:pPr>
        <w:pStyle w:val="BodyText"/>
        <w:spacing w:before="2"/>
        <w:rPr>
          <w:sz w:val="26"/>
        </w:rPr>
      </w:pPr>
      <w:r>
        <w:rPr/>
        <w:br w:type="column"/>
      </w:r>
      <w:r>
        <w:rPr>
          <w:sz w:val="26"/>
        </w:rPr>
      </w:r>
    </w:p>
    <w:p>
      <w:pPr>
        <w:spacing w:before="0"/>
        <w:ind w:left="157" w:right="0" w:firstLine="0"/>
        <w:jc w:val="left"/>
        <w:rPr>
          <w:sz w:val="16"/>
        </w:rPr>
      </w:pPr>
      <w:r>
        <w:rPr>
          <w:sz w:val="16"/>
        </w:rPr>
        <w:t>2010 2011 2012 2013 2014 2015 2016 2017 2018 2019 2020 2021 2022*</w:t>
      </w:r>
    </w:p>
    <w:p>
      <w:pPr>
        <w:tabs>
          <w:tab w:pos="4420" w:val="left" w:leader="none"/>
        </w:tabs>
        <w:spacing w:before="105"/>
        <w:ind w:left="1836" w:right="0" w:firstLine="0"/>
        <w:jc w:val="left"/>
        <w:rPr>
          <w:sz w:val="20"/>
        </w:rPr>
      </w:pPr>
      <w:r>
        <w:rPr/>
        <w:drawing>
          <wp:anchor distT="0" distB="0" distL="0" distR="0" allowOverlap="1" layoutInCell="1" locked="0" behindDoc="0" simplePos="0" relativeHeight="252914688">
            <wp:simplePos x="0" y="0"/>
            <wp:positionH relativeFrom="page">
              <wp:posOffset>2463254</wp:posOffset>
            </wp:positionH>
            <wp:positionV relativeFrom="paragraph">
              <wp:posOffset>119419</wp:posOffset>
            </wp:positionV>
            <wp:extent cx="317283" cy="60742"/>
            <wp:effectExtent l="0" t="0" r="0" b="0"/>
            <wp:wrapNone/>
            <wp:docPr id="91" name="image241.png"/>
            <wp:cNvGraphicFramePr>
              <a:graphicFrameLocks noChangeAspect="1"/>
            </wp:cNvGraphicFramePr>
            <a:graphic>
              <a:graphicData uri="http://schemas.openxmlformats.org/drawingml/2006/picture">
                <pic:pic>
                  <pic:nvPicPr>
                    <pic:cNvPr id="92" name="image241.png"/>
                    <pic:cNvPicPr/>
                  </pic:nvPicPr>
                  <pic:blipFill>
                    <a:blip r:embed="rId247" cstate="print"/>
                    <a:stretch>
                      <a:fillRect/>
                    </a:stretch>
                  </pic:blipFill>
                  <pic:spPr>
                    <a:xfrm>
                      <a:off x="0" y="0"/>
                      <a:ext cx="317283" cy="60742"/>
                    </a:xfrm>
                    <a:prstGeom prst="rect">
                      <a:avLst/>
                    </a:prstGeom>
                  </pic:spPr>
                </pic:pic>
              </a:graphicData>
            </a:graphic>
          </wp:anchor>
        </w:drawing>
      </w:r>
      <w:r>
        <w:rPr/>
        <w:pict>
          <v:group style="position:absolute;margin-left:322.619995pt;margin-top:8.485945pt;width:25.2pt;height:5.8pt;mso-position-horizontal-relative:page;mso-position-vertical-relative:paragraph;z-index:-280403968" coordorigin="6452,170" coordsize="504,116">
            <v:line style="position:absolute" from="6452,229" to="6956,229" stroked="true" strokeweight="2.280pt" strokecolor="#ffc000">
              <v:stroke dashstyle="dash"/>
            </v:line>
            <v:shape style="position:absolute;left:6645;top:169;width:116;height:116" type="#_x0000_t75" stroked="false">
              <v:imagedata r:id="rId248" o:title=""/>
            </v:shape>
            <w10:wrap type="none"/>
          </v:group>
        </w:pict>
      </w:r>
      <w:r>
        <w:rPr>
          <w:sz w:val="20"/>
        </w:rPr>
        <w:t>Tasa</w:t>
      </w:r>
      <w:r>
        <w:rPr>
          <w:spacing w:val="-1"/>
          <w:sz w:val="20"/>
        </w:rPr>
        <w:t> </w:t>
      </w:r>
      <w:r>
        <w:rPr>
          <w:sz w:val="20"/>
        </w:rPr>
        <w:t>de</w:t>
      </w:r>
      <w:r>
        <w:rPr>
          <w:spacing w:val="-1"/>
          <w:sz w:val="20"/>
        </w:rPr>
        <w:t> </w:t>
      </w:r>
      <w:r>
        <w:rPr>
          <w:sz w:val="20"/>
        </w:rPr>
        <w:t>rendimiento</w:t>
        <w:tab/>
        <w:t>Plazo en</w:t>
      </w:r>
      <w:r>
        <w:rPr>
          <w:spacing w:val="-1"/>
          <w:sz w:val="20"/>
        </w:rPr>
        <w:t> </w:t>
      </w:r>
      <w:r>
        <w:rPr>
          <w:sz w:val="20"/>
        </w:rPr>
        <w:t>años</w:t>
      </w:r>
    </w:p>
    <w:p>
      <w:pPr>
        <w:pStyle w:val="BodyText"/>
        <w:spacing w:before="1"/>
        <w:rPr>
          <w:sz w:val="12"/>
        </w:rPr>
      </w:pPr>
      <w:r>
        <w:rPr/>
        <w:br w:type="column"/>
      </w:r>
      <w:r>
        <w:rPr>
          <w:sz w:val="12"/>
        </w:rPr>
      </w:r>
    </w:p>
    <w:p>
      <w:pPr>
        <w:spacing w:before="0"/>
        <w:ind w:left="118" w:right="0" w:firstLine="0"/>
        <w:jc w:val="left"/>
        <w:rPr>
          <w:sz w:val="12"/>
        </w:rPr>
      </w:pPr>
      <w:r>
        <w:rPr>
          <w:sz w:val="12"/>
        </w:rPr>
        <w:t>0.0</w:t>
      </w:r>
    </w:p>
    <w:p>
      <w:pPr>
        <w:spacing w:after="0"/>
        <w:jc w:val="left"/>
        <w:rPr>
          <w:sz w:val="12"/>
        </w:rPr>
        <w:sectPr>
          <w:type w:val="continuous"/>
          <w:pgSz w:w="12240" w:h="15840"/>
          <w:pgMar w:top="1500" w:bottom="280" w:left="1140" w:right="0"/>
          <w:cols w:num="3" w:equalWidth="0">
            <w:col w:w="1413" w:space="40"/>
            <w:col w:w="6665" w:space="39"/>
            <w:col w:w="2943"/>
          </w:cols>
        </w:sectPr>
      </w:pPr>
    </w:p>
    <w:p>
      <w:pPr>
        <w:pStyle w:val="BodyText"/>
        <w:spacing w:before="7"/>
        <w:rPr>
          <w:sz w:val="16"/>
        </w:rPr>
      </w:pPr>
    </w:p>
    <w:p>
      <w:pPr>
        <w:spacing w:before="0"/>
        <w:ind w:left="562" w:right="0" w:firstLine="0"/>
        <w:jc w:val="left"/>
        <w:rPr>
          <w:sz w:val="16"/>
        </w:rPr>
      </w:pPr>
      <w:r>
        <w:rPr>
          <w:sz w:val="16"/>
        </w:rPr>
        <w:t>*Preliminar a junio 2022</w:t>
      </w:r>
    </w:p>
    <w:p>
      <w:pPr>
        <w:spacing w:before="27"/>
        <w:ind w:left="562" w:right="0" w:firstLine="0"/>
        <w:jc w:val="left"/>
        <w:rPr>
          <w:sz w:val="16"/>
        </w:rPr>
      </w:pPr>
      <w:r>
        <w:rPr>
          <w:sz w:val="16"/>
        </w:rPr>
        <w:t>Fuente: Dirección de Análisis y Política Fiscal.</w:t>
      </w:r>
    </w:p>
    <w:p>
      <w:pPr>
        <w:spacing w:after="0"/>
        <w:jc w:val="left"/>
        <w:rPr>
          <w:sz w:val="16"/>
        </w:rPr>
        <w:sectPr>
          <w:type w:val="continuous"/>
          <w:pgSz w:w="12240" w:h="15840"/>
          <w:pgMar w:top="1500" w:bottom="280" w:left="1140" w:right="0"/>
        </w:sectPr>
      </w:pPr>
    </w:p>
    <w:p>
      <w:pPr>
        <w:pStyle w:val="Heading3"/>
        <w:spacing w:line="276" w:lineRule="auto" w:before="167"/>
        <w:ind w:left="4486" w:right="1704" w:hanging="3656"/>
      </w:pPr>
      <w:bookmarkStart w:name="_bookmark170" w:id="215"/>
      <w:bookmarkEnd w:id="215"/>
      <w:r>
        <w:rPr>
          <w:b w:val="0"/>
        </w:rPr>
      </w:r>
      <w:r>
        <w:rPr>
          <w:i/>
          <w:sz w:val="20"/>
        </w:rPr>
        <w:t>Gráfico 89. </w:t>
      </w:r>
      <w:r>
        <w:rPr/>
        <w:t>Plazo y rendimiento histórico de la colocación de bonos del tesoro en moneda extranjera</w:t>
      </w:r>
    </w:p>
    <w:p>
      <w:pPr>
        <w:spacing w:after="0" w:line="276" w:lineRule="auto"/>
        <w:sectPr>
          <w:pgSz w:w="12240" w:h="15840"/>
          <w:pgMar w:header="715" w:footer="957" w:top="1240" w:bottom="1140" w:left="1140" w:right="0"/>
        </w:sectPr>
      </w:pPr>
    </w:p>
    <w:p>
      <w:pPr>
        <w:pStyle w:val="BodyText"/>
        <w:spacing w:before="3"/>
        <w:rPr>
          <w:b/>
          <w:sz w:val="10"/>
        </w:rPr>
      </w:pPr>
    </w:p>
    <w:p>
      <w:pPr>
        <w:spacing w:before="0"/>
        <w:ind w:left="0" w:right="38" w:firstLine="0"/>
        <w:jc w:val="right"/>
        <w:rPr>
          <w:sz w:val="12"/>
        </w:rPr>
      </w:pPr>
      <w:r>
        <w:rPr>
          <w:sz w:val="12"/>
        </w:rPr>
        <w:t>7.0%</w:t>
      </w:r>
    </w:p>
    <w:p>
      <w:pPr>
        <w:pStyle w:val="BodyText"/>
        <w:spacing w:before="10"/>
        <w:rPr>
          <w:sz w:val="16"/>
        </w:rPr>
      </w:pPr>
    </w:p>
    <w:p>
      <w:pPr>
        <w:spacing w:before="0"/>
        <w:ind w:left="0" w:right="38" w:firstLine="0"/>
        <w:jc w:val="right"/>
        <w:rPr>
          <w:sz w:val="12"/>
        </w:rPr>
      </w:pPr>
      <w:r>
        <w:rPr>
          <w:sz w:val="12"/>
        </w:rPr>
        <w:t>6.0%</w:t>
      </w:r>
    </w:p>
    <w:p>
      <w:pPr>
        <w:pStyle w:val="BodyText"/>
        <w:spacing w:before="10"/>
        <w:rPr>
          <w:sz w:val="16"/>
        </w:rPr>
      </w:pPr>
    </w:p>
    <w:p>
      <w:pPr>
        <w:spacing w:before="0"/>
        <w:ind w:left="0" w:right="38" w:firstLine="0"/>
        <w:jc w:val="right"/>
        <w:rPr>
          <w:sz w:val="12"/>
        </w:rPr>
      </w:pPr>
      <w:r>
        <w:rPr/>
        <w:pict>
          <v:shape style="position:absolute;margin-left:97.04451pt;margin-top:.413881pt;width:13.05pt;height:56.55pt;mso-position-horizontal-relative:page;mso-position-vertical-relative:paragraph;z-index:252950528" type="#_x0000_t202" filled="false" stroked="false">
            <v:textbox inset="0,0,0,0" style="layout-flow:vertical;mso-layout-flow-alt:bottom-to-top">
              <w:txbxContent>
                <w:p>
                  <w:pPr>
                    <w:spacing w:before="10"/>
                    <w:ind w:left="20" w:right="0" w:firstLine="0"/>
                    <w:jc w:val="left"/>
                    <w:rPr>
                      <w:b/>
                      <w:sz w:val="20"/>
                    </w:rPr>
                  </w:pPr>
                  <w:r>
                    <w:rPr>
                      <w:b/>
                      <w:color w:val="252525"/>
                      <w:sz w:val="20"/>
                    </w:rPr>
                    <w:t>Rendimiento</w:t>
                  </w:r>
                </w:p>
              </w:txbxContent>
            </v:textbox>
            <w10:wrap type="none"/>
          </v:shape>
        </w:pict>
      </w:r>
      <w:r>
        <w:rPr>
          <w:sz w:val="12"/>
        </w:rPr>
        <w:t>5.0%</w:t>
      </w:r>
    </w:p>
    <w:p>
      <w:pPr>
        <w:pStyle w:val="BodyText"/>
        <w:spacing w:before="9"/>
        <w:rPr>
          <w:sz w:val="16"/>
        </w:rPr>
      </w:pPr>
    </w:p>
    <w:p>
      <w:pPr>
        <w:spacing w:before="1"/>
        <w:ind w:left="0" w:right="38" w:firstLine="0"/>
        <w:jc w:val="right"/>
        <w:rPr>
          <w:sz w:val="12"/>
        </w:rPr>
      </w:pPr>
      <w:r>
        <w:rPr>
          <w:sz w:val="12"/>
        </w:rPr>
        <w:t>4.0%</w:t>
      </w:r>
    </w:p>
    <w:p>
      <w:pPr>
        <w:pStyle w:val="BodyText"/>
        <w:spacing w:before="10"/>
        <w:rPr>
          <w:sz w:val="16"/>
        </w:rPr>
      </w:pPr>
    </w:p>
    <w:p>
      <w:pPr>
        <w:spacing w:before="0"/>
        <w:ind w:left="0" w:right="38" w:firstLine="0"/>
        <w:jc w:val="right"/>
        <w:rPr>
          <w:sz w:val="12"/>
        </w:rPr>
      </w:pPr>
      <w:r>
        <w:rPr>
          <w:sz w:val="12"/>
        </w:rPr>
        <w:t>3.0%</w:t>
      </w:r>
    </w:p>
    <w:p>
      <w:pPr>
        <w:pStyle w:val="BodyText"/>
        <w:spacing w:before="9"/>
        <w:rPr>
          <w:sz w:val="16"/>
        </w:rPr>
      </w:pPr>
    </w:p>
    <w:p>
      <w:pPr>
        <w:spacing w:before="0"/>
        <w:ind w:left="0" w:right="38" w:firstLine="0"/>
        <w:jc w:val="right"/>
        <w:rPr>
          <w:sz w:val="12"/>
        </w:rPr>
      </w:pPr>
      <w:r>
        <w:rPr>
          <w:sz w:val="12"/>
        </w:rPr>
        <w:t>2.0%</w:t>
      </w:r>
    </w:p>
    <w:p>
      <w:pPr>
        <w:pStyle w:val="BodyText"/>
        <w:spacing w:before="10"/>
        <w:rPr>
          <w:sz w:val="16"/>
        </w:rPr>
      </w:pPr>
    </w:p>
    <w:p>
      <w:pPr>
        <w:spacing w:before="0"/>
        <w:ind w:left="0" w:right="38" w:firstLine="0"/>
        <w:jc w:val="right"/>
        <w:rPr>
          <w:sz w:val="12"/>
        </w:rPr>
      </w:pPr>
      <w:r>
        <w:rPr>
          <w:sz w:val="12"/>
        </w:rPr>
        <w:t>1.0%</w:t>
      </w:r>
    </w:p>
    <w:p>
      <w:pPr>
        <w:spacing w:before="31"/>
        <w:ind w:left="0" w:right="38" w:firstLine="0"/>
        <w:jc w:val="right"/>
        <w:rPr>
          <w:b/>
          <w:sz w:val="18"/>
        </w:rPr>
      </w:pPr>
      <w:r>
        <w:rPr/>
        <w:br w:type="column"/>
      </w:r>
      <w:r>
        <w:rPr>
          <w:b/>
          <w:color w:val="385622"/>
          <w:sz w:val="18"/>
        </w:rPr>
        <w:t>15.0</w:t>
      </w:r>
    </w:p>
    <w:p>
      <w:pPr>
        <w:spacing w:before="31"/>
        <w:ind w:left="0" w:right="38" w:firstLine="0"/>
        <w:jc w:val="right"/>
        <w:rPr>
          <w:b/>
          <w:sz w:val="18"/>
        </w:rPr>
      </w:pPr>
      <w:r>
        <w:rPr/>
        <w:br w:type="column"/>
      </w:r>
      <w:r>
        <w:rPr>
          <w:b/>
          <w:color w:val="385622"/>
          <w:sz w:val="18"/>
        </w:rPr>
        <w:t>15.0</w:t>
      </w:r>
    </w:p>
    <w:p>
      <w:pPr>
        <w:spacing w:before="31"/>
        <w:ind w:left="0" w:right="0" w:firstLine="0"/>
        <w:jc w:val="right"/>
        <w:rPr>
          <w:b/>
          <w:sz w:val="18"/>
        </w:rPr>
      </w:pPr>
      <w:r>
        <w:rPr/>
        <w:br w:type="column"/>
      </w:r>
      <w:r>
        <w:rPr>
          <w:b/>
          <w:color w:val="385622"/>
          <w:sz w:val="18"/>
        </w:rPr>
        <w:t>15.0</w:t>
      </w:r>
    </w:p>
    <w:p>
      <w:pPr>
        <w:pStyle w:val="BodyText"/>
        <w:spacing w:before="3"/>
        <w:rPr>
          <w:b/>
          <w:sz w:val="10"/>
        </w:rPr>
      </w:pPr>
      <w:r>
        <w:rPr/>
        <w:br w:type="column"/>
      </w:r>
      <w:r>
        <w:rPr>
          <w:b/>
          <w:sz w:val="10"/>
        </w:rPr>
      </w:r>
    </w:p>
    <w:p>
      <w:pPr>
        <w:spacing w:before="0"/>
        <w:ind w:left="384" w:right="0" w:firstLine="0"/>
        <w:jc w:val="left"/>
        <w:rPr>
          <w:sz w:val="12"/>
        </w:rPr>
      </w:pPr>
      <w:r>
        <w:rPr>
          <w:sz w:val="12"/>
        </w:rPr>
        <w:t>16.0</w:t>
      </w:r>
    </w:p>
    <w:p>
      <w:pPr>
        <w:pStyle w:val="BodyText"/>
        <w:spacing w:before="3"/>
        <w:rPr>
          <w:sz w:val="13"/>
        </w:rPr>
      </w:pPr>
    </w:p>
    <w:p>
      <w:pPr>
        <w:spacing w:before="0"/>
        <w:ind w:left="384" w:right="0" w:firstLine="0"/>
        <w:jc w:val="left"/>
        <w:rPr>
          <w:sz w:val="12"/>
        </w:rPr>
      </w:pPr>
      <w:r>
        <w:rPr>
          <w:sz w:val="12"/>
        </w:rPr>
        <w:t>14.0</w:t>
      </w:r>
    </w:p>
    <w:p>
      <w:pPr>
        <w:pStyle w:val="BodyText"/>
        <w:spacing w:before="3"/>
        <w:rPr>
          <w:sz w:val="13"/>
        </w:rPr>
      </w:pPr>
    </w:p>
    <w:p>
      <w:pPr>
        <w:spacing w:before="0"/>
        <w:ind w:left="384" w:right="0" w:firstLine="0"/>
        <w:jc w:val="left"/>
        <w:rPr>
          <w:sz w:val="12"/>
        </w:rPr>
      </w:pPr>
      <w:r>
        <w:rPr/>
        <w:pict>
          <v:shape style="position:absolute;margin-left:483.275574pt;margin-top:2.801563pt;width:13.05pt;height:59.7pt;mso-position-horizontal-relative:page;mso-position-vertical-relative:paragraph;z-index:252949504" type="#_x0000_t202" filled="false" stroked="false">
            <v:textbox inset="0,0,0,0" style="layout-flow:vertical">
              <w:txbxContent>
                <w:p>
                  <w:pPr>
                    <w:spacing w:before="10"/>
                    <w:ind w:left="20" w:right="0" w:firstLine="0"/>
                    <w:jc w:val="left"/>
                    <w:rPr>
                      <w:b/>
                      <w:sz w:val="20"/>
                    </w:rPr>
                  </w:pPr>
                  <w:r>
                    <w:rPr>
                      <w:b/>
                      <w:color w:val="252525"/>
                      <w:sz w:val="20"/>
                    </w:rPr>
                    <w:t>Plazo en años</w:t>
                  </w:r>
                </w:p>
              </w:txbxContent>
            </v:textbox>
            <w10:wrap type="none"/>
          </v:shape>
        </w:pict>
      </w:r>
      <w:r>
        <w:rPr>
          <w:sz w:val="12"/>
        </w:rPr>
        <w:t>12.0</w:t>
      </w:r>
    </w:p>
    <w:p>
      <w:pPr>
        <w:pStyle w:val="BodyText"/>
        <w:spacing w:before="3"/>
        <w:rPr>
          <w:sz w:val="13"/>
        </w:rPr>
      </w:pPr>
    </w:p>
    <w:p>
      <w:pPr>
        <w:spacing w:before="0"/>
        <w:ind w:left="384" w:right="0" w:firstLine="0"/>
        <w:jc w:val="left"/>
        <w:rPr>
          <w:sz w:val="12"/>
        </w:rPr>
      </w:pPr>
      <w:r>
        <w:rPr>
          <w:sz w:val="12"/>
        </w:rPr>
        <w:t>10.0</w:t>
      </w:r>
    </w:p>
    <w:p>
      <w:pPr>
        <w:pStyle w:val="BodyText"/>
        <w:spacing w:before="3"/>
        <w:rPr>
          <w:sz w:val="13"/>
        </w:rPr>
      </w:pPr>
    </w:p>
    <w:p>
      <w:pPr>
        <w:spacing w:before="0"/>
        <w:ind w:left="384" w:right="0" w:firstLine="0"/>
        <w:jc w:val="left"/>
        <w:rPr>
          <w:sz w:val="12"/>
        </w:rPr>
      </w:pPr>
      <w:r>
        <w:rPr>
          <w:sz w:val="12"/>
        </w:rPr>
        <w:t>8.0</w:t>
      </w:r>
    </w:p>
    <w:p>
      <w:pPr>
        <w:pStyle w:val="BodyText"/>
        <w:spacing w:before="2"/>
        <w:rPr>
          <w:sz w:val="13"/>
        </w:rPr>
      </w:pPr>
    </w:p>
    <w:p>
      <w:pPr>
        <w:spacing w:before="1"/>
        <w:ind w:left="384" w:right="0" w:firstLine="0"/>
        <w:jc w:val="left"/>
        <w:rPr>
          <w:sz w:val="12"/>
        </w:rPr>
      </w:pPr>
      <w:r>
        <w:rPr>
          <w:sz w:val="12"/>
        </w:rPr>
        <w:t>6.0</w:t>
      </w:r>
    </w:p>
    <w:p>
      <w:pPr>
        <w:pStyle w:val="BodyText"/>
        <w:spacing w:before="2"/>
        <w:rPr>
          <w:sz w:val="13"/>
        </w:rPr>
      </w:pPr>
    </w:p>
    <w:p>
      <w:pPr>
        <w:spacing w:before="1"/>
        <w:ind w:left="384" w:right="0" w:firstLine="0"/>
        <w:jc w:val="left"/>
        <w:rPr>
          <w:sz w:val="12"/>
        </w:rPr>
      </w:pPr>
      <w:r>
        <w:rPr>
          <w:sz w:val="12"/>
        </w:rPr>
        <w:t>4.0</w:t>
      </w:r>
    </w:p>
    <w:p>
      <w:pPr>
        <w:pStyle w:val="BodyText"/>
        <w:spacing w:before="2"/>
        <w:rPr>
          <w:sz w:val="13"/>
        </w:rPr>
      </w:pPr>
    </w:p>
    <w:p>
      <w:pPr>
        <w:spacing w:before="0"/>
        <w:ind w:left="384" w:right="0" w:firstLine="0"/>
        <w:jc w:val="left"/>
        <w:rPr>
          <w:sz w:val="12"/>
        </w:rPr>
      </w:pPr>
      <w:r>
        <w:rPr>
          <w:sz w:val="12"/>
        </w:rPr>
        <w:t>2.0</w:t>
      </w:r>
    </w:p>
    <w:p>
      <w:pPr>
        <w:spacing w:after="0"/>
        <w:jc w:val="left"/>
        <w:rPr>
          <w:sz w:val="12"/>
        </w:rPr>
        <w:sectPr>
          <w:type w:val="continuous"/>
          <w:pgSz w:w="12240" w:h="15840"/>
          <w:pgMar w:top="1500" w:bottom="280" w:left="1140" w:right="0"/>
          <w:cols w:num="5" w:equalWidth="0">
            <w:col w:w="1393" w:space="239"/>
            <w:col w:w="1460" w:space="1420"/>
            <w:col w:w="1460" w:space="460"/>
            <w:col w:w="1420" w:space="40"/>
            <w:col w:w="3208"/>
          </w:cols>
        </w:sectPr>
      </w:pPr>
    </w:p>
    <w:p>
      <w:pPr>
        <w:pStyle w:val="BodyText"/>
        <w:spacing w:before="3"/>
        <w:rPr>
          <w:sz w:val="13"/>
        </w:rPr>
      </w:pPr>
    </w:p>
    <w:p>
      <w:pPr>
        <w:spacing w:before="0"/>
        <w:ind w:left="0" w:right="0" w:firstLine="0"/>
        <w:jc w:val="right"/>
        <w:rPr>
          <w:sz w:val="12"/>
        </w:rPr>
      </w:pPr>
      <w:r>
        <w:rPr/>
        <w:pict>
          <v:shape style="position:absolute;margin-left:243.889984pt;margin-top:-23.644464pt;width:12pt;height:22.4pt;mso-position-horizontal-relative:page;mso-position-vertical-relative:paragraph;z-index:252953600" type="#_x0000_t202" filled="false" stroked="false">
            <v:textbox inset="0,0,0,0" style="layout-flow:vertical;mso-layout-flow-alt:bottom-to-top">
              <w:txbxContent>
                <w:p>
                  <w:pPr>
                    <w:spacing w:before="12"/>
                    <w:ind w:left="20" w:right="0" w:firstLine="0"/>
                    <w:jc w:val="left"/>
                    <w:rPr>
                      <w:b/>
                      <w:sz w:val="18"/>
                    </w:rPr>
                  </w:pPr>
                  <w:r>
                    <w:rPr>
                      <w:b/>
                      <w:color w:val="FFFFFF"/>
                      <w:sz w:val="18"/>
                    </w:rPr>
                    <w:t>4.9%</w:t>
                  </w:r>
                </w:p>
              </w:txbxContent>
            </v:textbox>
            <w10:wrap type="none"/>
          </v:shape>
        </w:pict>
      </w:r>
      <w:r>
        <w:rPr>
          <w:sz w:val="12"/>
        </w:rPr>
        <w:t>0.0%</w:t>
      </w:r>
    </w:p>
    <w:p>
      <w:pPr>
        <w:pStyle w:val="BodyText"/>
        <w:spacing w:before="4"/>
        <w:rPr>
          <w:sz w:val="28"/>
        </w:rPr>
      </w:pPr>
      <w:r>
        <w:rPr/>
        <w:br w:type="column"/>
      </w:r>
      <w:r>
        <w:rPr>
          <w:sz w:val="28"/>
        </w:rPr>
      </w:r>
    </w:p>
    <w:p>
      <w:pPr>
        <w:tabs>
          <w:tab w:pos="1320" w:val="left" w:leader="none"/>
          <w:tab w:pos="2280" w:val="left" w:leader="none"/>
          <w:tab w:pos="3240" w:val="left" w:leader="none"/>
          <w:tab w:pos="4200" w:val="left" w:leader="none"/>
          <w:tab w:pos="5160" w:val="left" w:leader="none"/>
          <w:tab w:pos="6076" w:val="left" w:leader="none"/>
        </w:tabs>
        <w:spacing w:line="185" w:lineRule="exact" w:before="0"/>
        <w:ind w:left="360" w:right="0" w:firstLine="0"/>
        <w:jc w:val="left"/>
        <w:rPr>
          <w:sz w:val="18"/>
        </w:rPr>
      </w:pPr>
      <w:r>
        <w:rPr/>
        <w:pict>
          <v:group style="position:absolute;margin-left:129.600006pt;margin-top:-119.147652pt;width:336pt;height:114.45pt;mso-position-horizontal-relative:page;mso-position-vertical-relative:paragraph;z-index:252937216" coordorigin="2592,-2383" coordsize="6720,2289">
            <v:shape style="position:absolute;left:2774;top:-2089;width:6351;height:1987" type="#_x0000_t75" stroked="false">
              <v:imagedata r:id="rId249" o:title=""/>
            </v:shape>
            <v:line style="position:absolute" from="2592,-101" to="9312,-101" stroked="true" strokeweight=".72pt" strokecolor="#d9d9d9">
              <v:stroke dashstyle="solid"/>
            </v:line>
            <v:shape style="position:absolute;left:2965;top:-2383;width:5969;height:1661" type="#_x0000_t75" stroked="false">
              <v:imagedata r:id="rId250" o:title=""/>
            </v:shape>
            <v:shape style="position:absolute;left:2913;top:-2076;width:338;height:200" type="#_x0000_t202" filled="false" stroked="false">
              <v:textbox inset="0,0,0,0">
                <w:txbxContent>
                  <w:p>
                    <w:pPr>
                      <w:spacing w:line="199" w:lineRule="exact" w:before="0"/>
                      <w:ind w:left="0" w:right="0" w:firstLine="0"/>
                      <w:jc w:val="left"/>
                      <w:rPr>
                        <w:b/>
                        <w:sz w:val="18"/>
                      </w:rPr>
                    </w:pPr>
                    <w:r>
                      <w:rPr>
                        <w:b/>
                        <w:color w:val="385622"/>
                        <w:sz w:val="18"/>
                      </w:rPr>
                      <w:t>11.0</w:t>
                    </w:r>
                  </w:p>
                </w:txbxContent>
              </v:textbox>
              <w10:wrap type="none"/>
            </v:shape>
            <v:shape style="position:absolute;left:4879;top:-1496;width:247;height:200" type="#_x0000_t202" filled="false" stroked="false">
              <v:textbox inset="0,0,0,0">
                <w:txbxContent>
                  <w:p>
                    <w:pPr>
                      <w:spacing w:line="199" w:lineRule="exact" w:before="0"/>
                      <w:ind w:left="0" w:right="0" w:firstLine="0"/>
                      <w:jc w:val="left"/>
                      <w:rPr>
                        <w:b/>
                        <w:sz w:val="18"/>
                      </w:rPr>
                    </w:pPr>
                    <w:r>
                      <w:rPr>
                        <w:b/>
                        <w:color w:val="FFFFFF"/>
                        <w:sz w:val="18"/>
                      </w:rPr>
                      <w:t>7.0</w:t>
                    </w:r>
                  </w:p>
                </w:txbxContent>
              </v:textbox>
              <w10:wrap type="none"/>
            </v:shape>
            <v:shape style="position:absolute;left:7759;top:-1371;width:247;height:200" type="#_x0000_t202" filled="false" stroked="false">
              <v:textbox inset="0,0,0,0">
                <w:txbxContent>
                  <w:p>
                    <w:pPr>
                      <w:spacing w:line="199" w:lineRule="exact" w:before="0"/>
                      <w:ind w:left="0" w:right="0" w:firstLine="0"/>
                      <w:jc w:val="left"/>
                      <w:rPr>
                        <w:b/>
                        <w:sz w:val="18"/>
                      </w:rPr>
                    </w:pPr>
                    <w:r>
                      <w:rPr>
                        <w:b/>
                        <w:color w:val="FFFFFF"/>
                        <w:sz w:val="18"/>
                      </w:rPr>
                      <w:t>7.0</w:t>
                    </w:r>
                  </w:p>
                </w:txbxContent>
              </v:textbox>
              <w10:wrap type="none"/>
            </v:shape>
            <v:shape style="position:absolute;left:5839;top:-1205;width:247;height:200" type="#_x0000_t202" filled="false" stroked="false">
              <v:textbox inset="0,0,0,0">
                <w:txbxContent>
                  <w:p>
                    <w:pPr>
                      <w:spacing w:line="199" w:lineRule="exact" w:before="0"/>
                      <w:ind w:left="0" w:right="0" w:firstLine="0"/>
                      <w:jc w:val="left"/>
                      <w:rPr>
                        <w:b/>
                        <w:sz w:val="18"/>
                      </w:rPr>
                    </w:pPr>
                    <w:r>
                      <w:rPr>
                        <w:b/>
                        <w:color w:val="FFFFFF"/>
                        <w:sz w:val="18"/>
                      </w:rPr>
                      <w:t>5.0</w:t>
                    </w:r>
                  </w:p>
                </w:txbxContent>
              </v:textbox>
              <w10:wrap type="none"/>
            </v:shape>
            <w10:wrap type="none"/>
          </v:group>
        </w:pict>
      </w:r>
      <w:r>
        <w:rPr/>
        <w:pict>
          <v:shape style="position:absolute;margin-left:147.889984pt;margin-top:-32.313656pt;width:12pt;height:22.4pt;mso-position-horizontal-relative:page;mso-position-vertical-relative:paragraph;z-index:252951552" type="#_x0000_t202" filled="false" stroked="false">
            <v:textbox inset="0,0,0,0" style="layout-flow:vertical;mso-layout-flow-alt:bottom-to-top">
              <w:txbxContent>
                <w:p>
                  <w:pPr>
                    <w:spacing w:before="12"/>
                    <w:ind w:left="20" w:right="0" w:firstLine="0"/>
                    <w:jc w:val="left"/>
                    <w:rPr>
                      <w:b/>
                      <w:sz w:val="18"/>
                    </w:rPr>
                  </w:pPr>
                  <w:r>
                    <w:rPr>
                      <w:b/>
                      <w:color w:val="FFFFFF"/>
                      <w:sz w:val="18"/>
                    </w:rPr>
                    <w:t>5.2%</w:t>
                  </w:r>
                </w:p>
              </w:txbxContent>
            </v:textbox>
            <w10:wrap type="none"/>
          </v:shape>
        </w:pict>
      </w:r>
      <w:r>
        <w:rPr/>
        <w:pict>
          <v:shape style="position:absolute;margin-left:195.889984pt;margin-top:-32.313656pt;width:12pt;height:22.4pt;mso-position-horizontal-relative:page;mso-position-vertical-relative:paragraph;z-index:252952576" type="#_x0000_t202" filled="false" stroked="false">
            <v:textbox inset="0,0,0,0" style="layout-flow:vertical;mso-layout-flow-alt:bottom-to-top">
              <w:txbxContent>
                <w:p>
                  <w:pPr>
                    <w:spacing w:before="12"/>
                    <w:ind w:left="20" w:right="0" w:firstLine="0"/>
                    <w:jc w:val="left"/>
                    <w:rPr>
                      <w:b/>
                      <w:sz w:val="18"/>
                    </w:rPr>
                  </w:pPr>
                  <w:r>
                    <w:rPr>
                      <w:b/>
                      <w:color w:val="FFFFFF"/>
                      <w:sz w:val="18"/>
                    </w:rPr>
                    <w:t>6.0%</w:t>
                  </w:r>
                </w:p>
              </w:txbxContent>
            </v:textbox>
            <w10:wrap type="none"/>
          </v:shape>
        </w:pict>
      </w:r>
      <w:r>
        <w:rPr/>
        <w:pict>
          <v:shape style="position:absolute;margin-left:291.889984pt;margin-top:-32.313656pt;width:12pt;height:22.4pt;mso-position-horizontal-relative:page;mso-position-vertical-relative:paragraph;z-index:252954624" type="#_x0000_t202" filled="false" stroked="false">
            <v:textbox inset="0,0,0,0" style="layout-flow:vertical;mso-layout-flow-alt:bottom-to-top">
              <w:txbxContent>
                <w:p>
                  <w:pPr>
                    <w:spacing w:before="12"/>
                    <w:ind w:left="20" w:right="0" w:firstLine="0"/>
                    <w:jc w:val="left"/>
                    <w:rPr>
                      <w:b/>
                      <w:sz w:val="18"/>
                    </w:rPr>
                  </w:pPr>
                  <w:r>
                    <w:rPr>
                      <w:b/>
                      <w:color w:val="FFFFFF"/>
                      <w:sz w:val="18"/>
                    </w:rPr>
                    <w:t>4.3%</w:t>
                  </w:r>
                </w:p>
              </w:txbxContent>
            </v:textbox>
            <w10:wrap type="none"/>
          </v:shape>
        </w:pict>
      </w:r>
      <w:r>
        <w:rPr/>
        <w:pict>
          <v:shape style="position:absolute;margin-left:339.889984pt;margin-top:-32.313656pt;width:12pt;height:22.4pt;mso-position-horizontal-relative:page;mso-position-vertical-relative:paragraph;z-index:252955648" type="#_x0000_t202" filled="false" stroked="false">
            <v:textbox inset="0,0,0,0" style="layout-flow:vertical;mso-layout-flow-alt:bottom-to-top">
              <w:txbxContent>
                <w:p>
                  <w:pPr>
                    <w:spacing w:before="12"/>
                    <w:ind w:left="20" w:right="0" w:firstLine="0"/>
                    <w:jc w:val="left"/>
                    <w:rPr>
                      <w:b/>
                      <w:sz w:val="18"/>
                    </w:rPr>
                  </w:pPr>
                  <w:r>
                    <w:rPr>
                      <w:b/>
                      <w:color w:val="FFFFFF"/>
                      <w:sz w:val="18"/>
                    </w:rPr>
                    <w:t>4.6%</w:t>
                  </w:r>
                </w:p>
              </w:txbxContent>
            </v:textbox>
            <w10:wrap type="none"/>
          </v:shape>
        </w:pict>
      </w:r>
      <w:r>
        <w:rPr/>
        <w:pict>
          <v:shape style="position:absolute;margin-left:387.889984pt;margin-top:-32.313656pt;width:12pt;height:22.4pt;mso-position-horizontal-relative:page;mso-position-vertical-relative:paragraph;z-index:252956672" type="#_x0000_t202" filled="false" stroked="false">
            <v:textbox inset="0,0,0,0" style="layout-flow:vertical;mso-layout-flow-alt:bottom-to-top">
              <w:txbxContent>
                <w:p>
                  <w:pPr>
                    <w:spacing w:before="12"/>
                    <w:ind w:left="20" w:right="0" w:firstLine="0"/>
                    <w:jc w:val="left"/>
                    <w:rPr>
                      <w:b/>
                      <w:sz w:val="18"/>
                    </w:rPr>
                  </w:pPr>
                  <w:r>
                    <w:rPr>
                      <w:b/>
                      <w:color w:val="FFFFFF"/>
                      <w:sz w:val="18"/>
                    </w:rPr>
                    <w:t>4.1%</w:t>
                  </w:r>
                </w:p>
              </w:txbxContent>
            </v:textbox>
            <w10:wrap type="none"/>
          </v:shape>
        </w:pict>
      </w:r>
      <w:r>
        <w:rPr/>
        <w:pict>
          <v:shape style="position:absolute;margin-left:435.889984pt;margin-top:-32.313656pt;width:12pt;height:22.4pt;mso-position-horizontal-relative:page;mso-position-vertical-relative:paragraph;z-index:252957696" type="#_x0000_t202" filled="false" stroked="false">
            <v:textbox inset="0,0,0,0" style="layout-flow:vertical;mso-layout-flow-alt:bottom-to-top">
              <w:txbxContent>
                <w:p>
                  <w:pPr>
                    <w:spacing w:before="12"/>
                    <w:ind w:left="20" w:right="0" w:firstLine="0"/>
                    <w:jc w:val="left"/>
                    <w:rPr>
                      <w:b/>
                      <w:sz w:val="18"/>
                    </w:rPr>
                  </w:pPr>
                  <w:r>
                    <w:rPr>
                      <w:b/>
                      <w:color w:val="FFFFFF"/>
                      <w:sz w:val="18"/>
                    </w:rPr>
                    <w:t>4.5%</w:t>
                  </w:r>
                </w:p>
              </w:txbxContent>
            </v:textbox>
            <w10:wrap type="none"/>
          </v:shape>
        </w:pict>
      </w:r>
      <w:r>
        <w:rPr>
          <w:sz w:val="18"/>
        </w:rPr>
        <w:t>2011</w:t>
        <w:tab/>
        <w:t>2012</w:t>
        <w:tab/>
        <w:t>2014</w:t>
        <w:tab/>
        <w:t>2018</w:t>
        <w:tab/>
        <w:t>2020</w:t>
        <w:tab/>
        <w:t>2021</w:t>
        <w:tab/>
      </w:r>
      <w:r>
        <w:rPr>
          <w:spacing w:val="-5"/>
          <w:sz w:val="18"/>
        </w:rPr>
        <w:t>2022*</w:t>
      </w:r>
    </w:p>
    <w:p>
      <w:pPr>
        <w:tabs>
          <w:tab w:pos="4319" w:val="left" w:leader="none"/>
        </w:tabs>
        <w:spacing w:line="208" w:lineRule="exact" w:before="0"/>
        <w:ind w:left="1906" w:right="0" w:firstLine="0"/>
        <w:jc w:val="left"/>
        <w:rPr>
          <w:sz w:val="20"/>
        </w:rPr>
      </w:pPr>
      <w:r>
        <w:rPr/>
        <w:drawing>
          <wp:anchor distT="0" distB="0" distL="0" distR="0" allowOverlap="1" layoutInCell="1" locked="0" behindDoc="0" simplePos="0" relativeHeight="252938240">
            <wp:simplePos x="0" y="0"/>
            <wp:positionH relativeFrom="page">
              <wp:posOffset>2554722</wp:posOffset>
            </wp:positionH>
            <wp:positionV relativeFrom="paragraph">
              <wp:posOffset>38947</wp:posOffset>
            </wp:positionV>
            <wp:extent cx="241055" cy="60742"/>
            <wp:effectExtent l="0" t="0" r="0" b="0"/>
            <wp:wrapNone/>
            <wp:docPr id="93" name="image245.png"/>
            <wp:cNvGraphicFramePr>
              <a:graphicFrameLocks noChangeAspect="1"/>
            </wp:cNvGraphicFramePr>
            <a:graphic>
              <a:graphicData uri="http://schemas.openxmlformats.org/drawingml/2006/picture">
                <pic:pic>
                  <pic:nvPicPr>
                    <pic:cNvPr id="94" name="image245.png"/>
                    <pic:cNvPicPr/>
                  </pic:nvPicPr>
                  <pic:blipFill>
                    <a:blip r:embed="rId251" cstate="print"/>
                    <a:stretch>
                      <a:fillRect/>
                    </a:stretch>
                  </pic:blipFill>
                  <pic:spPr>
                    <a:xfrm>
                      <a:off x="0" y="0"/>
                      <a:ext cx="241055" cy="60742"/>
                    </a:xfrm>
                    <a:prstGeom prst="rect">
                      <a:avLst/>
                    </a:prstGeom>
                  </pic:spPr>
                </pic:pic>
              </a:graphicData>
            </a:graphic>
          </wp:anchor>
        </w:drawing>
      </w:r>
      <w:r>
        <w:rPr/>
        <w:drawing>
          <wp:anchor distT="0" distB="0" distL="0" distR="0" allowOverlap="1" layoutInCell="1" locked="0" behindDoc="1" simplePos="0" relativeHeight="222936064">
            <wp:simplePos x="0" y="0"/>
            <wp:positionH relativeFrom="page">
              <wp:posOffset>4066032</wp:posOffset>
            </wp:positionH>
            <wp:positionV relativeFrom="paragraph">
              <wp:posOffset>17393</wp:posOffset>
            </wp:positionV>
            <wp:extent cx="272795" cy="94488"/>
            <wp:effectExtent l="0" t="0" r="0" b="0"/>
            <wp:wrapNone/>
            <wp:docPr id="95" name="image246.png"/>
            <wp:cNvGraphicFramePr>
              <a:graphicFrameLocks noChangeAspect="1"/>
            </wp:cNvGraphicFramePr>
            <a:graphic>
              <a:graphicData uri="http://schemas.openxmlformats.org/drawingml/2006/picture">
                <pic:pic>
                  <pic:nvPicPr>
                    <pic:cNvPr id="96" name="image246.png"/>
                    <pic:cNvPicPr/>
                  </pic:nvPicPr>
                  <pic:blipFill>
                    <a:blip r:embed="rId252" cstate="print"/>
                    <a:stretch>
                      <a:fillRect/>
                    </a:stretch>
                  </pic:blipFill>
                  <pic:spPr>
                    <a:xfrm>
                      <a:off x="0" y="0"/>
                      <a:ext cx="272795" cy="94488"/>
                    </a:xfrm>
                    <a:prstGeom prst="rect">
                      <a:avLst/>
                    </a:prstGeom>
                  </pic:spPr>
                </pic:pic>
              </a:graphicData>
            </a:graphic>
          </wp:anchor>
        </w:drawing>
      </w:r>
      <w:r>
        <w:rPr>
          <w:sz w:val="20"/>
        </w:rPr>
        <w:t>Tasa</w:t>
      </w:r>
      <w:r>
        <w:rPr>
          <w:spacing w:val="-1"/>
          <w:sz w:val="20"/>
        </w:rPr>
        <w:t> </w:t>
      </w:r>
      <w:r>
        <w:rPr>
          <w:sz w:val="20"/>
        </w:rPr>
        <w:t>de</w:t>
      </w:r>
      <w:r>
        <w:rPr>
          <w:spacing w:val="-1"/>
          <w:sz w:val="20"/>
        </w:rPr>
        <w:t> </w:t>
      </w:r>
      <w:r>
        <w:rPr>
          <w:sz w:val="20"/>
        </w:rPr>
        <w:t>rendimiento</w:t>
        <w:tab/>
        <w:t>Plazo en</w:t>
      </w:r>
      <w:r>
        <w:rPr>
          <w:spacing w:val="-1"/>
          <w:sz w:val="20"/>
        </w:rPr>
        <w:t> </w:t>
      </w:r>
      <w:r>
        <w:rPr>
          <w:sz w:val="20"/>
        </w:rPr>
        <w:t>años</w:t>
      </w:r>
    </w:p>
    <w:p>
      <w:pPr>
        <w:pStyle w:val="BodyText"/>
        <w:spacing w:before="3"/>
        <w:rPr>
          <w:sz w:val="13"/>
        </w:rPr>
      </w:pPr>
      <w:r>
        <w:rPr/>
        <w:br w:type="column"/>
      </w:r>
      <w:r>
        <w:rPr>
          <w:sz w:val="13"/>
        </w:rPr>
      </w:r>
    </w:p>
    <w:p>
      <w:pPr>
        <w:spacing w:before="0"/>
        <w:ind w:left="317" w:right="0" w:firstLine="0"/>
        <w:jc w:val="left"/>
        <w:rPr>
          <w:sz w:val="12"/>
        </w:rPr>
      </w:pPr>
      <w:r>
        <w:rPr>
          <w:sz w:val="12"/>
        </w:rPr>
        <w:t>0.0</w:t>
      </w:r>
    </w:p>
    <w:p>
      <w:pPr>
        <w:spacing w:after="0"/>
        <w:jc w:val="left"/>
        <w:rPr>
          <w:sz w:val="12"/>
        </w:rPr>
        <w:sectPr>
          <w:type w:val="continuous"/>
          <w:pgSz w:w="12240" w:h="15840"/>
          <w:pgMar w:top="1500" w:bottom="280" w:left="1140" w:right="0"/>
          <w:cols w:num="3" w:equalWidth="0">
            <w:col w:w="1353" w:space="40"/>
            <w:col w:w="6526" w:space="39"/>
            <w:col w:w="3142"/>
          </w:cols>
        </w:sectPr>
      </w:pPr>
    </w:p>
    <w:p>
      <w:pPr>
        <w:spacing w:before="56"/>
        <w:ind w:left="562" w:right="0" w:firstLine="0"/>
        <w:jc w:val="left"/>
        <w:rPr>
          <w:sz w:val="16"/>
        </w:rPr>
      </w:pPr>
      <w:r>
        <w:rPr>
          <w:sz w:val="16"/>
        </w:rPr>
        <w:t>*Preliminar a junio 2022</w:t>
      </w:r>
    </w:p>
    <w:p>
      <w:pPr>
        <w:spacing w:before="28"/>
        <w:ind w:left="562" w:right="0" w:firstLine="0"/>
        <w:jc w:val="left"/>
        <w:rPr>
          <w:sz w:val="16"/>
        </w:rPr>
      </w:pPr>
      <w:r>
        <w:rPr>
          <w:sz w:val="16"/>
        </w:rPr>
        <w:t>Fuente: Dirección de Análisis y Política Fiscal.</w:t>
      </w:r>
    </w:p>
    <w:p>
      <w:pPr>
        <w:pStyle w:val="BodyText"/>
        <w:spacing w:before="7"/>
        <w:rPr>
          <w:sz w:val="20"/>
        </w:rPr>
      </w:pPr>
    </w:p>
    <w:p>
      <w:pPr>
        <w:pStyle w:val="BodyText"/>
        <w:spacing w:line="276" w:lineRule="auto"/>
        <w:ind w:left="562" w:right="1697"/>
        <w:jc w:val="both"/>
      </w:pPr>
      <w:r>
        <w:rPr/>
        <w:t>Respecto a los pequeños inversionistas, se dispone de un cupo de hasta Q500 millones, aprobado dentro del Presupuesto para el ejercicio 2022. El cupo destinado a este fin tuvo un incremento importante,</w:t>
      </w:r>
      <w:r>
        <w:rPr>
          <w:spacing w:val="-6"/>
        </w:rPr>
        <w:t> </w:t>
      </w:r>
      <w:r>
        <w:rPr/>
        <w:t>pasando</w:t>
      </w:r>
      <w:r>
        <w:rPr>
          <w:spacing w:val="-6"/>
        </w:rPr>
        <w:t> </w:t>
      </w:r>
      <w:r>
        <w:rPr/>
        <w:t>de</w:t>
      </w:r>
      <w:r>
        <w:rPr>
          <w:spacing w:val="-6"/>
        </w:rPr>
        <w:t> </w:t>
      </w:r>
      <w:r>
        <w:rPr/>
        <w:t>Q100</w:t>
      </w:r>
      <w:r>
        <w:rPr>
          <w:spacing w:val="-6"/>
        </w:rPr>
        <w:t> </w:t>
      </w:r>
      <w:r>
        <w:rPr/>
        <w:t>a</w:t>
      </w:r>
      <w:r>
        <w:rPr>
          <w:spacing w:val="-6"/>
        </w:rPr>
        <w:t> </w:t>
      </w:r>
      <w:r>
        <w:rPr/>
        <w:t>Q500</w:t>
      </w:r>
      <w:r>
        <w:rPr>
          <w:spacing w:val="-5"/>
        </w:rPr>
        <w:t> </w:t>
      </w:r>
      <w:r>
        <w:rPr/>
        <w:t>millones,</w:t>
      </w:r>
      <w:r>
        <w:rPr>
          <w:spacing w:val="-6"/>
        </w:rPr>
        <w:t> </w:t>
      </w:r>
      <w:r>
        <w:rPr/>
        <w:t>el</w:t>
      </w:r>
      <w:r>
        <w:rPr>
          <w:spacing w:val="-5"/>
        </w:rPr>
        <w:t> </w:t>
      </w:r>
      <w:r>
        <w:rPr/>
        <w:t>aumento</w:t>
      </w:r>
      <w:r>
        <w:rPr>
          <w:spacing w:val="-6"/>
        </w:rPr>
        <w:t> </w:t>
      </w:r>
      <w:r>
        <w:rPr/>
        <w:t>se</w:t>
      </w:r>
      <w:r>
        <w:rPr>
          <w:spacing w:val="-6"/>
        </w:rPr>
        <w:t> </w:t>
      </w:r>
      <w:r>
        <w:rPr/>
        <w:t>debe</w:t>
      </w:r>
      <w:r>
        <w:rPr>
          <w:spacing w:val="-5"/>
        </w:rPr>
        <w:t> </w:t>
      </w:r>
      <w:r>
        <w:rPr/>
        <w:t>a</w:t>
      </w:r>
      <w:r>
        <w:rPr>
          <w:spacing w:val="-6"/>
        </w:rPr>
        <w:t> </w:t>
      </w:r>
      <w:r>
        <w:rPr/>
        <w:t>que</w:t>
      </w:r>
      <w:r>
        <w:rPr>
          <w:spacing w:val="-6"/>
        </w:rPr>
        <w:t> </w:t>
      </w:r>
      <w:r>
        <w:rPr/>
        <w:t>desde</w:t>
      </w:r>
      <w:r>
        <w:rPr>
          <w:spacing w:val="-6"/>
        </w:rPr>
        <w:t> </w:t>
      </w:r>
      <w:r>
        <w:rPr/>
        <w:t>que</w:t>
      </w:r>
      <w:r>
        <w:rPr>
          <w:spacing w:val="-6"/>
        </w:rPr>
        <w:t> </w:t>
      </w:r>
      <w:r>
        <w:rPr/>
        <w:t>se</w:t>
      </w:r>
      <w:r>
        <w:rPr>
          <w:spacing w:val="-5"/>
        </w:rPr>
        <w:t> </w:t>
      </w:r>
      <w:r>
        <w:rPr/>
        <w:t>inició</w:t>
      </w:r>
      <w:r>
        <w:rPr>
          <w:spacing w:val="-6"/>
        </w:rPr>
        <w:t> </w:t>
      </w:r>
      <w:r>
        <w:rPr/>
        <w:t>con</w:t>
      </w:r>
      <w:r>
        <w:rPr>
          <w:spacing w:val="-6"/>
        </w:rPr>
        <w:t> </w:t>
      </w:r>
      <w:r>
        <w:rPr/>
        <w:t>este tipo</w:t>
      </w:r>
      <w:r>
        <w:rPr>
          <w:spacing w:val="-6"/>
        </w:rPr>
        <w:t> </w:t>
      </w:r>
      <w:r>
        <w:rPr/>
        <w:t>de</w:t>
      </w:r>
      <w:r>
        <w:rPr>
          <w:spacing w:val="-6"/>
        </w:rPr>
        <w:t> </w:t>
      </w:r>
      <w:r>
        <w:rPr/>
        <w:t>colocación</w:t>
      </w:r>
      <w:r>
        <w:rPr>
          <w:spacing w:val="-6"/>
        </w:rPr>
        <w:t> </w:t>
      </w:r>
      <w:r>
        <w:rPr/>
        <w:t>(en</w:t>
      </w:r>
      <w:r>
        <w:rPr>
          <w:spacing w:val="-4"/>
        </w:rPr>
        <w:t> </w:t>
      </w:r>
      <w:r>
        <w:rPr/>
        <w:t>el</w:t>
      </w:r>
      <w:r>
        <w:rPr>
          <w:spacing w:val="-3"/>
        </w:rPr>
        <w:t> </w:t>
      </w:r>
      <w:r>
        <w:rPr/>
        <w:t>2017),</w:t>
      </w:r>
      <w:r>
        <w:rPr>
          <w:spacing w:val="-6"/>
        </w:rPr>
        <w:t> </w:t>
      </w:r>
      <w:r>
        <w:rPr/>
        <w:t>fue</w:t>
      </w:r>
      <w:r>
        <w:rPr>
          <w:spacing w:val="-3"/>
        </w:rPr>
        <w:t> </w:t>
      </w:r>
      <w:r>
        <w:rPr/>
        <w:t>hasta</w:t>
      </w:r>
      <w:r>
        <w:rPr>
          <w:spacing w:val="-6"/>
        </w:rPr>
        <w:t> </w:t>
      </w:r>
      <w:r>
        <w:rPr/>
        <w:t>el</w:t>
      </w:r>
      <w:r>
        <w:rPr>
          <w:spacing w:val="-3"/>
        </w:rPr>
        <w:t> </w:t>
      </w:r>
      <w:r>
        <w:rPr/>
        <w:t>2021</w:t>
      </w:r>
      <w:r>
        <w:rPr>
          <w:spacing w:val="-4"/>
        </w:rPr>
        <w:t> </w:t>
      </w:r>
      <w:r>
        <w:rPr/>
        <w:t>que</w:t>
      </w:r>
      <w:r>
        <w:rPr>
          <w:spacing w:val="-3"/>
        </w:rPr>
        <w:t> </w:t>
      </w:r>
      <w:r>
        <w:rPr/>
        <w:t>se</w:t>
      </w:r>
      <w:r>
        <w:rPr>
          <w:spacing w:val="-3"/>
        </w:rPr>
        <w:t> </w:t>
      </w:r>
      <w:r>
        <w:rPr/>
        <w:t>logró</w:t>
      </w:r>
      <w:r>
        <w:rPr>
          <w:spacing w:val="-6"/>
        </w:rPr>
        <w:t> </w:t>
      </w:r>
      <w:r>
        <w:rPr/>
        <w:t>colocar</w:t>
      </w:r>
      <w:r>
        <w:rPr>
          <w:spacing w:val="-3"/>
        </w:rPr>
        <w:t> </w:t>
      </w:r>
      <w:r>
        <w:rPr/>
        <w:t>la</w:t>
      </w:r>
      <w:r>
        <w:rPr>
          <w:spacing w:val="-3"/>
        </w:rPr>
        <w:t> </w:t>
      </w:r>
      <w:r>
        <w:rPr/>
        <w:t>totalidad</w:t>
      </w:r>
      <w:r>
        <w:rPr>
          <w:spacing w:val="-6"/>
        </w:rPr>
        <w:t> </w:t>
      </w:r>
      <w:r>
        <w:rPr/>
        <w:t>del</w:t>
      </w:r>
      <w:r>
        <w:rPr>
          <w:spacing w:val="-5"/>
        </w:rPr>
        <w:t> </w:t>
      </w:r>
      <w:r>
        <w:rPr/>
        <w:t>cupo</w:t>
      </w:r>
      <w:r>
        <w:rPr>
          <w:spacing w:val="-6"/>
        </w:rPr>
        <w:t> </w:t>
      </w:r>
      <w:r>
        <w:rPr/>
        <w:t>aprobado (Q100 millones), siendo una opción de inversión para pequeños inversionistas dado que los montos de inversión van desde un mínimo de Q10,000 hasta un máximo de Q500,000, al mismo tiempo que es un mecanismo de diversificación en el financiamiento de la necesidades del</w:t>
      </w:r>
      <w:r>
        <w:rPr>
          <w:spacing w:val="-11"/>
        </w:rPr>
        <w:t> </w:t>
      </w:r>
      <w:r>
        <w:rPr/>
        <w:t>Estado.</w:t>
      </w:r>
    </w:p>
    <w:p>
      <w:pPr>
        <w:pStyle w:val="BodyText"/>
        <w:spacing w:before="2"/>
        <w:rPr>
          <w:sz w:val="25"/>
        </w:rPr>
      </w:pPr>
    </w:p>
    <w:p>
      <w:pPr>
        <w:pStyle w:val="BodyText"/>
        <w:spacing w:line="276" w:lineRule="auto"/>
        <w:ind w:left="562" w:right="1692"/>
        <w:jc w:val="both"/>
      </w:pPr>
      <w:r>
        <w:rPr/>
        <w:t>Hasta</w:t>
      </w:r>
      <w:r>
        <w:rPr>
          <w:spacing w:val="-5"/>
        </w:rPr>
        <w:t> </w:t>
      </w:r>
      <w:r>
        <w:rPr/>
        <w:t>junio</w:t>
      </w:r>
      <w:r>
        <w:rPr>
          <w:spacing w:val="-3"/>
        </w:rPr>
        <w:t> </w:t>
      </w:r>
      <w:r>
        <w:rPr/>
        <w:t>se</w:t>
      </w:r>
      <w:r>
        <w:rPr>
          <w:spacing w:val="-6"/>
        </w:rPr>
        <w:t> </w:t>
      </w:r>
      <w:r>
        <w:rPr/>
        <w:t>han</w:t>
      </w:r>
      <w:r>
        <w:rPr>
          <w:spacing w:val="-2"/>
        </w:rPr>
        <w:t> </w:t>
      </w:r>
      <w:r>
        <w:rPr/>
        <w:t>colocado</w:t>
      </w:r>
      <w:r>
        <w:rPr>
          <w:spacing w:val="-4"/>
        </w:rPr>
        <w:t> </w:t>
      </w:r>
      <w:r>
        <w:rPr/>
        <w:t>Q110.5</w:t>
      </w:r>
      <w:r>
        <w:rPr>
          <w:spacing w:val="-4"/>
        </w:rPr>
        <w:t> </w:t>
      </w:r>
      <w:r>
        <w:rPr/>
        <w:t>millones,</w:t>
      </w:r>
      <w:r>
        <w:rPr>
          <w:spacing w:val="-4"/>
        </w:rPr>
        <w:t> </w:t>
      </w:r>
      <w:r>
        <w:rPr/>
        <w:t>de</w:t>
      </w:r>
      <w:r>
        <w:rPr>
          <w:spacing w:val="-5"/>
        </w:rPr>
        <w:t> </w:t>
      </w:r>
      <w:r>
        <w:rPr/>
        <w:t>los</w:t>
      </w:r>
      <w:r>
        <w:rPr>
          <w:spacing w:val="-3"/>
        </w:rPr>
        <w:t> </w:t>
      </w:r>
      <w:r>
        <w:rPr/>
        <w:t>cuales</w:t>
      </w:r>
      <w:r>
        <w:rPr>
          <w:spacing w:val="-2"/>
        </w:rPr>
        <w:t> </w:t>
      </w:r>
      <w:r>
        <w:rPr/>
        <w:t>US$10</w:t>
      </w:r>
      <w:r>
        <w:rPr>
          <w:spacing w:val="-4"/>
        </w:rPr>
        <w:t> </w:t>
      </w:r>
      <w:r>
        <w:rPr/>
        <w:t>mil</w:t>
      </w:r>
      <w:r>
        <w:rPr>
          <w:spacing w:val="-2"/>
        </w:rPr>
        <w:t> </w:t>
      </w:r>
      <w:r>
        <w:rPr/>
        <w:t>fueron</w:t>
      </w:r>
      <w:r>
        <w:rPr>
          <w:spacing w:val="-5"/>
        </w:rPr>
        <w:t> </w:t>
      </w:r>
      <w:r>
        <w:rPr/>
        <w:t>en</w:t>
      </w:r>
      <w:r>
        <w:rPr>
          <w:spacing w:val="-6"/>
        </w:rPr>
        <w:t> </w:t>
      </w:r>
      <w:r>
        <w:rPr/>
        <w:t>moneda</w:t>
      </w:r>
      <w:r>
        <w:rPr>
          <w:spacing w:val="-3"/>
        </w:rPr>
        <w:t> </w:t>
      </w:r>
      <w:r>
        <w:rPr/>
        <w:t>extranjera, siendo los plazos de vencimiento de 1, 2 y 3 años. Para 2023 el rendimiento es de 6.0% para 2024 el rendimiento es de 6.125% y para 2025 el rendimiento es de</w:t>
      </w:r>
      <w:r>
        <w:rPr>
          <w:spacing w:val="-14"/>
        </w:rPr>
        <w:t> </w:t>
      </w:r>
      <w:r>
        <w:rPr/>
        <w:t>6.250%.</w:t>
      </w:r>
    </w:p>
    <w:p>
      <w:pPr>
        <w:pStyle w:val="BodyText"/>
        <w:rPr>
          <w:sz w:val="18"/>
        </w:rPr>
      </w:pPr>
    </w:p>
    <w:p>
      <w:pPr>
        <w:spacing w:after="0"/>
        <w:rPr>
          <w:sz w:val="18"/>
        </w:rPr>
        <w:sectPr>
          <w:type w:val="continuous"/>
          <w:pgSz w:w="12240" w:h="15840"/>
          <w:pgMar w:top="1500" w:bottom="280" w:left="1140" w:right="0"/>
        </w:sectPr>
      </w:pPr>
    </w:p>
    <w:p>
      <w:pPr>
        <w:pStyle w:val="BodyText"/>
        <w:rPr>
          <w:sz w:val="18"/>
        </w:rPr>
      </w:pPr>
    </w:p>
    <w:p>
      <w:pPr>
        <w:pStyle w:val="BodyText"/>
        <w:rPr>
          <w:sz w:val="18"/>
        </w:rPr>
      </w:pPr>
    </w:p>
    <w:p>
      <w:pPr>
        <w:pStyle w:val="BodyText"/>
        <w:spacing w:before="5"/>
        <w:rPr>
          <w:sz w:val="19"/>
        </w:rPr>
      </w:pPr>
    </w:p>
    <w:p>
      <w:pPr>
        <w:spacing w:before="0"/>
        <w:ind w:left="0" w:right="1" w:firstLine="0"/>
        <w:jc w:val="right"/>
        <w:rPr>
          <w:sz w:val="16"/>
        </w:rPr>
      </w:pPr>
      <w:bookmarkStart w:name="_bookmark171" w:id="216"/>
      <w:bookmarkEnd w:id="216"/>
      <w:r>
        <w:rPr/>
      </w:r>
      <w:r>
        <w:rPr>
          <w:color w:val="585858"/>
          <w:spacing w:val="-1"/>
          <w:sz w:val="16"/>
        </w:rPr>
        <w:t>70.0</w:t>
      </w:r>
    </w:p>
    <w:p>
      <w:pPr>
        <w:spacing w:before="114"/>
        <w:ind w:left="0" w:right="1" w:firstLine="0"/>
        <w:jc w:val="right"/>
        <w:rPr>
          <w:sz w:val="16"/>
        </w:rPr>
      </w:pPr>
      <w:r>
        <w:rPr>
          <w:color w:val="585858"/>
          <w:spacing w:val="-1"/>
          <w:sz w:val="16"/>
        </w:rPr>
        <w:t>60.0</w:t>
      </w:r>
    </w:p>
    <w:p>
      <w:pPr>
        <w:spacing w:before="114"/>
        <w:ind w:left="0" w:right="1" w:firstLine="0"/>
        <w:jc w:val="right"/>
        <w:rPr>
          <w:sz w:val="16"/>
        </w:rPr>
      </w:pPr>
      <w:r>
        <w:rPr>
          <w:color w:val="585858"/>
          <w:spacing w:val="-1"/>
          <w:sz w:val="16"/>
        </w:rPr>
        <w:t>50.0</w:t>
      </w:r>
    </w:p>
    <w:p>
      <w:pPr>
        <w:spacing w:before="114"/>
        <w:ind w:left="0" w:right="1" w:firstLine="0"/>
        <w:jc w:val="right"/>
        <w:rPr>
          <w:sz w:val="16"/>
        </w:rPr>
      </w:pPr>
      <w:r>
        <w:rPr>
          <w:color w:val="585858"/>
          <w:spacing w:val="-1"/>
          <w:sz w:val="16"/>
        </w:rPr>
        <w:t>40.0</w:t>
      </w:r>
    </w:p>
    <w:p>
      <w:pPr>
        <w:spacing w:before="114"/>
        <w:ind w:left="0" w:right="1" w:firstLine="0"/>
        <w:jc w:val="right"/>
        <w:rPr>
          <w:sz w:val="16"/>
        </w:rPr>
      </w:pPr>
      <w:r>
        <w:rPr>
          <w:color w:val="585858"/>
          <w:spacing w:val="-1"/>
          <w:sz w:val="16"/>
        </w:rPr>
        <w:t>30.0</w:t>
      </w:r>
    </w:p>
    <w:p>
      <w:pPr>
        <w:spacing w:before="114"/>
        <w:ind w:left="0" w:right="1" w:firstLine="0"/>
        <w:jc w:val="right"/>
        <w:rPr>
          <w:sz w:val="16"/>
        </w:rPr>
      </w:pPr>
      <w:r>
        <w:rPr>
          <w:color w:val="585858"/>
          <w:spacing w:val="-1"/>
          <w:sz w:val="16"/>
        </w:rPr>
        <w:t>20.0</w:t>
      </w:r>
    </w:p>
    <w:p>
      <w:pPr>
        <w:spacing w:before="115"/>
        <w:ind w:left="0" w:right="1" w:firstLine="0"/>
        <w:jc w:val="right"/>
        <w:rPr>
          <w:sz w:val="16"/>
        </w:rPr>
      </w:pPr>
      <w:r>
        <w:rPr>
          <w:color w:val="585858"/>
          <w:spacing w:val="-1"/>
          <w:sz w:val="16"/>
        </w:rPr>
        <w:t>10.0</w:t>
      </w:r>
    </w:p>
    <w:p>
      <w:pPr>
        <w:spacing w:before="114"/>
        <w:ind w:left="0" w:right="0" w:firstLine="0"/>
        <w:jc w:val="right"/>
        <w:rPr>
          <w:sz w:val="16"/>
        </w:rPr>
      </w:pPr>
      <w:r>
        <w:rPr>
          <w:color w:val="585858"/>
          <w:spacing w:val="-1"/>
          <w:sz w:val="16"/>
        </w:rPr>
        <w:t>0.0</w:t>
      </w:r>
    </w:p>
    <w:p>
      <w:pPr>
        <w:spacing w:before="91"/>
        <w:ind w:left="563" w:right="2618" w:firstLine="0"/>
        <w:jc w:val="center"/>
        <w:rPr>
          <w:b/>
          <w:sz w:val="20"/>
        </w:rPr>
      </w:pPr>
      <w:r>
        <w:rPr/>
        <w:br w:type="column"/>
      </w:r>
      <w:r>
        <w:rPr>
          <w:b/>
          <w:i/>
          <w:sz w:val="20"/>
        </w:rPr>
        <w:t>Gráfico 90. </w:t>
      </w:r>
      <w:r>
        <w:rPr>
          <w:b/>
          <w:sz w:val="20"/>
        </w:rPr>
        <w:t>Bonos del Tesoro colocados en el segmento de Pequeños Inversionistas</w:t>
      </w:r>
    </w:p>
    <w:p>
      <w:pPr>
        <w:pStyle w:val="BodyText"/>
        <w:spacing w:before="27"/>
        <w:ind w:left="563" w:right="2612"/>
        <w:jc w:val="center"/>
      </w:pPr>
      <w:r>
        <w:rPr/>
        <w:t>Cifras en millones de quetzales y tasas de interés</w:t>
      </w:r>
    </w:p>
    <w:p>
      <w:pPr>
        <w:spacing w:before="36"/>
        <w:ind w:left="7455" w:right="0" w:firstLine="0"/>
        <w:jc w:val="left"/>
        <w:rPr>
          <w:sz w:val="16"/>
        </w:rPr>
      </w:pPr>
      <w:r>
        <w:rPr/>
        <w:pict>
          <v:group style="position:absolute;margin-left:107.040001pt;margin-top:6.438744pt;width:361.8pt;height:107.3pt;mso-position-horizontal-relative:page;mso-position-vertical-relative:paragraph;z-index:252946432" coordorigin="2141,129" coordsize="7236,2146">
            <v:shape style="position:absolute;left:2148;top:135;width:7222;height:2086" type="#_x0000_t75" stroked="false">
              <v:imagedata r:id="rId253" o:title=""/>
            </v:shape>
            <v:shape style="position:absolute;left:2148;top:731;width:7222;height:1193" coordorigin="2148,731" coordsize="7222,1193" path="m8513,1924l9370,1924m3698,1924l7819,1924m2148,1924l3005,1924m8513,1626l9370,1626m3698,1626l7819,1626m2148,1626l3005,1626m8513,1329l9370,1329m3698,1329l7819,1329m2148,1329l3005,1329m8513,1029l9370,1029m3698,1029l7819,1029m2148,1029l3005,1029m3698,731l9370,731m2148,731l3005,731e" filled="false" stroked="true" strokeweight=".72pt" strokecolor="#d9d9d9">
              <v:path arrowok="t"/>
              <v:stroke dashstyle="solid"/>
            </v:shape>
            <v:shape style="position:absolute;left:0;top:4350;width:7222;height:298" coordorigin="0,4350" coordsize="7222,298" path="m2148,434l9370,434m2148,136l9370,136e" filled="false" stroked="true" strokeweight=".72pt" strokecolor="#d9d9d9">
              <v:path arrowok="t"/>
              <v:stroke dashstyle="solid"/>
            </v:shape>
            <v:shape style="position:absolute;left:0;top:6138;width:7222;height:2086" coordorigin="0,6138" coordsize="7222,2086" path="m2148,136l2148,2222m4555,136l4555,2222m6962,136l6962,2222m9370,136l9370,2222e" filled="false" stroked="true" strokeweight=".72pt" strokecolor="#d9d9d9">
              <v:path arrowok="t"/>
              <v:stroke dashstyle="solid"/>
            </v:shape>
            <v:shape style="position:absolute;left:2980;top:387;width:5661;height:1849" type="#_x0000_t75" stroked="false">
              <v:imagedata r:id="rId254" o:title=""/>
            </v:shape>
            <v:shape style="position:absolute;left:3004;top:471;width:3101;height:1750" coordorigin="3005,472" coordsize="3101,1750" path="m3698,472l3005,472,3005,2222,3698,2222,3698,472m6106,1989l5412,1989,5412,2222,6106,2222,6106,1989e" filled="true" fillcolor="#525252" stroked="false">
              <v:path arrowok="t"/>
              <v:fill type="solid"/>
            </v:shape>
            <v:shape style="position:absolute;left:0;top:6138;width:7222;height:53" coordorigin="0,6138" coordsize="7222,53" path="m2148,2222l9370,2222m2148,2222l2148,2274m4555,2222l4555,2274m6962,2222l6962,2274m9370,2222l9370,2274e" filled="false" stroked="true" strokeweight=".72pt" strokecolor="#d9d9d9">
              <v:path arrowok="t"/>
              <v:stroke dashstyle="solid"/>
            </v:shape>
            <v:shape style="position:absolute;left:3321;top:330;width:4848;height:433" coordorigin="3322,330" coordsize="4848,433" path="m3349,702l3338,706,3329,713,3323,723,3322,735,3325,746,3332,755,3342,761,3354,762,3353,752,3353,750,3352,738,3352,738,3349,702xm3349,702l3352,738,3352,738,3354,762,3365,759,3374,752,3380,742,3382,730,3378,719,3371,710,3361,704,3349,702xm3353,750l3353,750,3354,759,3353,750xm3349,702l3352,738,3352,738,3349,702xm3349,702l3349,702,3352,738,3352,738,3349,702xm3349,702l3352,738,3352,738,3349,702xm3469,693l3457,696,3448,704,3443,714,3441,725,3445,737,3452,746,3462,752,3474,753,3473,742,3473,741,3469,693xm3473,741l3473,741,3474,753,3473,741xm3469,693l3472,729,3472,729,3474,753,3473,741,3495,741,3500,733,3501,721,3498,709,3491,700,3481,695,3469,693xm3495,741l3473,741,3474,753,3485,750,3494,742,3495,741xm3469,693l3472,729,3472,729,3469,693xm3589,684l3577,687,3568,694,3563,704,3561,716,3564,728,3572,737,3582,742,3593,744,3593,733,3592,732,3591,720,3591,720,3589,684xm3592,732l3592,732,3593,744,3592,732xm3589,684l3592,720,3592,720,3593,744,3605,740,3614,733,3620,723,3621,711,3618,700,3611,691,3601,685,3589,684xm3589,684l3591,720,3591,720,3589,684xm3589,684l3589,684,3591,720,3592,720,3589,684xm3589,684l3592,720,3592,720,3589,684xm3708,675l3697,678,3688,685,3682,695,3681,707,3684,718,3691,727,3701,733,3713,734,3712,724,3712,722,3708,675xm3712,722l3712,722,3713,734,3712,722xm3708,675l3711,710,3711,710,3713,734,3712,722,3734,722,3739,714,3741,702,3737,691,3730,682,3720,676,3708,675xm3734,722l3712,722,3713,734,3725,731,3734,724,3734,722xm3708,675l3711,710,3711,710,3708,675xm3828,665l3817,668,3808,676,3802,686,3800,697,3804,709,3811,718,3821,724,3833,725,3832,715,3832,713,3831,701,3831,701,3828,665xm3832,713l3832,713,3833,725,3832,713xm3828,665l3831,701,3831,701,3833,725,3844,722,3853,715,3859,705,3860,693,3857,681,3850,672,3840,667,3828,665xm3828,665l3831,701,3831,701,3828,665xm3828,665l3828,665,3831,701,3831,701,3828,665xm3828,665l3831,701,3831,701,3828,665xm3948,656l3936,659,3927,666,3922,676,3920,688,3923,700,3931,709,3941,714,3952,716,3952,705,3951,704,3948,656xm3951,704l3951,704,3952,716,3951,704xm3948,656l3951,692,3951,692,3952,716,3952,704,3974,704,3979,695,3980,684,3977,672,3970,663,3960,657,3948,656xm3974,704l3952,704,3952,716,3964,712,3973,705,3974,704xm3948,656l3951,692,3951,692,3948,656xm4067,647l4056,650,4047,657,4041,667,4040,679,4043,690,4050,699,4060,705,4072,706,4071,696,4071,694,4070,683,4070,683,4067,647xm4071,694l4071,694,4072,706,4071,694xm4068,647l4070,683,4070,683,4072,706,4084,703,4093,696,4098,686,4100,674,4096,663,4089,654,4079,648,4068,647xm4067,647l4070,683,4070,683,4067,647xm4068,647l4067,647,4070,683,4070,683,4068,647xm4068,647l4070,683,4070,683,4068,647xm4187,637l4176,641,4167,648,4161,658,4160,670,4163,681,4170,690,4180,696,4192,697,4191,687,4191,685,4187,637xm4191,685l4191,685,4192,697,4191,685xm4187,637l4190,673,4190,673,4192,697,4191,685,4213,685,4218,677,4219,665,4216,653,4209,644,4199,639,4187,637xm4213,685l4191,685,4192,697,4203,694,4212,687,4213,685xm4187,637l4190,673,4190,673,4187,637xm4307,628l4295,631,4286,638,4281,648,4279,660,4283,672,4290,681,4300,686,4312,688,4311,677,4311,676,4310,664,4310,664,4307,628xm4311,676l4311,676,4312,688,4311,676xm4307,628l4310,664,4310,664,4312,688,4323,685,4332,677,4338,667,4339,656,4336,644,4329,635,4319,629,4307,628xm4307,628l4310,664,4310,664,4307,628xm4307,628l4307,628,4310,664,4310,664,4307,628xm4307,628l4310,664,4310,664,4307,628xm4427,619l4415,622,4406,629,4400,639,4399,651,4402,662,4409,671,4419,677,4431,679,4430,668,4430,667,4427,619xm4430,667l4430,667,4431,679,4430,667xm4427,619l4429,655,4429,655,4431,679,4430,667,4453,667,4457,658,4459,646,4456,635,4448,626,4438,620,4427,619xm4453,667l4430,667,4431,679,4443,675,4452,668,4453,667xm4427,619l4429,655,4429,655,4427,619xm4546,609l4535,613,4526,620,4520,630,4519,642,4522,653,4529,662,4539,668,4551,669,4550,659,4550,657,4549,645,4549,645,4546,609xm4550,657l4550,657,4551,669,4550,657xm4546,609l4549,645,4549,645,4551,669,4562,666,4571,659,4577,649,4579,637,4575,625,4568,616,4558,611,4546,609xm4546,609l4549,645,4549,645,4546,609xm4546,609l4546,609,4549,645,4549,645,4546,609xm4546,609l4549,645,4549,645,4546,609xm4666,600l4654,603,4645,610,4640,621,4638,632,4642,644,4649,653,4659,658,4671,660,4670,649,4670,648,4666,600xm4670,648l4670,648,4671,660,4670,648xm4666,600l4669,636,4669,636,4671,660,4670,648,4692,648,4697,639,4698,628,4695,616,4688,607,4678,601,4666,600xm4692,648l4670,648,4671,660,4682,657,4691,649,4692,648xm4666,600l4669,636,4669,636,4666,600xm4786,591l4774,594,4765,601,4760,611,4758,623,4761,634,4769,643,4779,649,4790,651,4790,640,4789,639,4788,627,4788,627,4786,591xm4789,639l4789,639,4790,651,4789,639xm4786,591l4789,627,4789,627,4790,651,4802,647,4811,640,4817,630,4818,618,4815,607,4808,598,4798,592,4786,591xm4786,591l4788,627,4788,627,4786,591xm4786,591l4786,591,4788,627,4789,627,4786,591xm4786,591l4789,627,4789,627,4786,591xm4905,581l4894,585,4885,592,4879,602,4878,614,4881,625,4888,634,4898,640,4910,641,4909,631,4909,629,4905,581xm4909,629l4909,629,4910,641,4909,629xm4905,581l4908,617,4908,617,4910,641,4909,629,4931,629,4936,621,4938,609,4934,598,4927,589,4917,583,4905,581xm4931,629l4909,629,4910,641,4922,638,4931,631,4931,629xm4905,581l4908,617,4908,617,4905,581xm5025,572l5014,575,5005,582,4999,593,4997,604,5001,616,5008,625,5018,631,5030,632,5029,621,5029,620,5028,608,5028,608,5025,572xm5029,620l5029,620,5030,632,5029,620xm5025,572l5028,608,5028,608,5030,632,5041,629,5050,621,5056,612,5057,600,5054,588,5047,579,5037,574,5025,572xm5025,572l5028,608,5028,608,5025,572xm5025,572l5028,608,5028,608,5025,572xm5145,563l5133,566,5124,573,5119,583,5117,595,5120,607,5128,616,5138,621,5149,623,5149,612,5148,611,5145,563xm5148,611l5148,611,5149,623,5148,611xm5145,563l5148,599,5148,599,5149,623,5149,611,5171,611,5176,602,5177,590,5174,579,5167,570,5157,564,5145,563xm5171,611l5149,611,5149,623,5161,619,5170,612,5171,611xm5145,563l5148,599,5148,599,5145,563xm5264,554l5253,557,5244,564,5238,574,5237,586,5240,597,5247,606,5257,612,5269,613,5268,603,5268,601,5267,589,5267,589,5264,554xm5268,601l5268,601,5269,613,5268,601xm5264,554l5267,589,5267,589,5269,613,5281,610,5290,603,5295,593,5297,581,5293,570,5286,561,5276,555,5264,554xm5264,554l5267,589,5267,589,5264,554xm5264,554l5267,589,5267,589,5264,554xm5384,544l5373,547,5364,555,5358,565,5357,576,5360,588,5367,597,5377,603,5389,604,5388,594,5388,592,5384,544xm5388,592l5388,592,5389,604,5388,592xm5384,544l5387,580,5387,580,5389,604,5388,592,5410,592,5415,584,5416,572,5413,560,5406,551,5396,546,5384,544xm5410,592l5388,592,5389,604,5400,601,5409,594,5410,592xm5384,544l5387,580,5387,580,5384,544xm5504,535l5492,538,5483,545,5478,555,5476,567,5480,579,5487,588,5497,593,5509,595,5508,584,5508,583,5507,571,5507,571,5504,535xm5508,583l5508,583,5509,595,5508,583xm5504,535l5507,571,5507,571,5509,595,5520,591,5529,584,5535,574,5536,562,5533,551,5526,542,5516,536,5504,535xm5504,535l5507,571,5507,571,5504,535xm5504,535l5507,571,5507,571,5504,535xm5624,526l5612,529,5603,536,5597,546,5596,558,5599,569,5606,578,5616,584,5628,585,5627,575,5627,573,5624,526xm5627,573l5627,573,5628,585,5627,573xm5624,526l5626,562,5626,562,5628,585,5627,573,5650,573,5654,565,5656,553,5653,542,5645,533,5635,527,5624,526xm5650,573l5627,573,5628,585,5640,582,5649,575,5650,573xm5624,526l5626,562,5626,562,5624,526xm5743,516l5732,520,5723,527,5717,537,5716,549,5719,560,5726,569,5736,575,5748,576,5747,566,5747,564,5746,552,5746,552,5743,516xm5747,564l5747,564,5748,576,5747,564xm5743,516l5748,576,5759,573,5768,566,5774,556,5776,544,5772,532,5765,523,5755,518,5743,516xm5743,516l5746,552,5746,552,5743,516xm5863,507l5851,510,5842,517,5837,527,5835,539,5839,551,5846,560,5856,565,5868,567,5867,556,5867,555,5863,507xm5867,555l5867,555,5868,567,5867,555xm5863,507l5866,543,5866,543,5868,567,5867,555,5889,555,5894,546,5895,535,5892,523,5885,514,5875,508,5863,507xm5889,555l5867,555,5868,567,5879,564,5888,556,5889,555xm5863,507l5866,543,5866,543,5863,507xm5983,498l5971,501,5962,508,5957,518,5955,530,5958,541,5966,550,5976,556,5987,558,5987,547,5986,546,5985,534,5985,534,5983,498xm5986,546l5986,546,5987,558,5986,546xm5983,498l5987,558,5999,554,6008,547,6014,537,6015,525,6012,514,6005,505,5994,499,5983,498xm5983,498l5985,534,5985,534,5983,498xm6102,488l6091,492,6082,499,6076,509,6075,521,6078,532,6085,541,6095,547,6107,548,6106,538,6106,536,6102,488xm6106,536l6106,536,6107,548,6106,536xm6102,488l6105,524,6105,524,6107,548,6106,536,6128,536,6133,528,6135,516,6131,504,6124,495,6114,490,6102,488xm6128,536l6106,536,6107,548,6119,545,6128,538,6128,536xm6102,488l6105,524,6105,524,6102,488xm6222,479l6211,482,6202,489,6196,500,6194,511,6198,523,6205,532,6215,537,6227,539,6226,528,6226,527,6225,515,6225,515,6222,479xm6226,527l6226,527,6227,539,6226,527xm6222,479l6227,539,6238,536,6247,528,6253,518,6254,507,6251,495,6244,486,6234,480,6222,479xm6222,479l6225,515,6225,515,6222,479xm6342,470l6330,473,6321,480,6316,490,6314,502,6317,513,6325,522,6335,528,6346,530,6346,519,6345,518,6342,470xm6345,518l6345,518,6346,530,6345,518xm6342,470l6345,506,6345,506,6346,530,6346,518,6368,518,6373,509,6374,497,6371,486,6364,477,6354,471,6342,470xm6368,518l6346,518,6346,530,6358,526,6367,519,6368,518xm6342,470l6345,506,6345,506,6342,470xm6461,460l6450,464,6441,471,6435,481,6434,493,6437,504,6444,513,6454,519,6466,520,6461,460xm6465,508l6466,520,6466,520,6465,508xm6461,460l6466,520,6478,517,6487,510,6492,500,6494,488,6490,477,6483,468,6473,462,6461,460xm6581,451l6570,454,6561,461,6555,472,6554,483,6557,495,6564,504,6574,510,6586,511,6585,500,6585,499,6581,451xm6585,499l6585,499,6586,511,6585,499xm6581,451l6584,487,6584,487,6586,511,6585,499,6607,499,6612,491,6613,479,6610,467,6603,458,6593,453,6581,451xm6607,499l6585,499,6586,511,6597,508,6606,500,6607,499xm6581,451l6584,487,6584,487,6581,451xm6701,442l6689,445,6680,452,6675,462,6673,474,6677,486,6684,495,6694,500,6706,502,6705,491,6705,490,6704,478,6704,478,6701,442xm6705,490l6705,490,6706,502,6705,490xm6701,442l6706,502,6717,498,6726,491,6732,481,6733,469,6730,458,6723,449,6713,443,6701,442xm6701,442l6704,478,6704,478,6701,442xm6821,433l6809,436,6800,443,6794,453,6793,465,6796,476,6803,485,6813,491,6825,492,6824,482,6824,480,6821,433xm6824,480l6824,480,6825,492,6824,480xm6821,433l6823,468,6823,468,6825,492,6824,480,6847,480,6851,472,6853,460,6850,449,6842,440,6832,434,6821,433xm6847,480l6824,480,6825,492,6837,489,6846,482,6847,480xm6821,433l6823,468,6823,468,6821,433xm6940,423l6929,426,6920,434,6914,444,6913,455,6916,467,6923,476,6933,482,6945,483,6940,423xm6944,471l6945,483,6945,483,6944,471xm6940,423l6945,483,6956,480,6965,473,6971,463,6973,451,6969,439,6962,430,6952,425,6940,423xm7060,414l7048,417,7039,424,7034,434,7032,446,7036,458,7043,467,7053,472,7065,474,7064,463,7064,462,7060,414xm7064,462l7064,462,7065,474,7064,462xm7060,414l7063,450,7063,450,7065,474,7064,462,7086,462,7091,453,7092,441,7089,430,7082,421,7072,415,7060,414xm7086,462l7064,462,7065,474,7076,470,7085,463,7086,462xm7060,414l7063,450,7063,450,7060,414xm7180,405l7168,408,7159,415,7153,425,7152,437,7155,448,7162,457,7172,463,7184,464,7180,405xm7183,452l7184,464,7184,464,7183,452xm7180,405l7184,464,7196,461,7205,454,7211,444,7212,432,7209,421,7202,412,7191,406,7180,405xm7299,395l7288,399,7279,406,7273,416,7272,428,7275,439,7282,448,7292,454,7304,455,7303,445,7303,443,7299,395xm7303,443l7303,443,7304,455,7303,443xm7303,443l7303,443,7304,455,7303,443xm7299,395l7302,431,7302,431,7304,455,7303,443,7325,443,7330,435,7332,423,7328,411,7321,402,7311,397,7299,395xm7325,443l7303,443,7304,455,7316,452,7325,445,7325,443xm7300,405l7302,431,7302,431,7300,405xm7419,386l7408,389,7399,396,7393,406,7391,418,7395,430,7402,439,7412,444,7424,446,7419,386xm7423,434l7424,446,7424,446,7423,434xm7419,386l7424,446,7435,443,7444,435,7450,425,7451,414,7448,402,7441,393,7431,387,7419,386xm7539,377l7527,380,7518,387,7513,397,7511,409,7514,420,7522,429,7532,435,7543,437,7543,426,7542,425,7539,377xm7542,425l7542,425,7543,437,7542,425xm7542,425l7542,425,7543,437,7542,425xm7539,377l7542,413,7542,413,7543,436,7543,425,7565,425,7570,416,7571,404,7568,393,7561,384,7551,378,7539,377xm7565,425l7543,425,7543,436,7555,433,7564,426,7565,425xm7539,377l7542,413,7542,413,7539,377xm7658,367l7647,371,7638,378,7632,388,7631,400,7634,411,7641,420,7651,426,7663,427,7658,367xm7662,415l7663,427,7663,427,7662,415xm7658,367l7663,427,7675,424,7684,417,7689,407,7691,395,7687,383,7680,374,7670,369,7658,367xm7778,358l7767,361,7758,368,7752,379,7751,390,7754,402,7761,411,7771,416,7783,418,7782,407,7782,406,7778,358xm7782,406l7782,406,7783,418,7782,406xm7778,358l7781,394,7781,394,7783,418,7782,406,7804,406,7809,397,7810,386,7807,374,7800,365,7790,359,7778,358xm7804,406l7782,406,7783,418,7794,415,7803,407,7804,406xm7778,358l7781,394,7781,394,7778,358xm7898,349l7886,352,7877,359,7872,369,7870,381,7874,392,7881,401,7891,407,7902,409,7898,349xm7902,397l7902,409,7903,409,7902,397xm7898,349l7903,409,7914,405,7923,398,7929,388,7930,376,7927,365,7920,356,7910,350,7898,349xm8018,339l8006,343,7997,350,7991,360,7990,372,7993,383,8000,392,8010,398,8022,399,8021,389,8021,387,8018,339xm8021,387l8021,387,8022,399,8021,387xm8018,339l8020,375,8020,375,8022,399,8021,387,8044,387,8048,379,8050,367,8047,355,8039,346,8029,341,8018,339xm8044,387l8021,387,8022,399,8034,396,8043,389,8044,387xm8018,339l8020,375,8020,375,8018,339xm8137,330l8126,333,8117,340,8111,351,8110,362,8113,374,8120,383,8130,389,8142,390,8137,330xm8141,378l8142,390,8142,390,8141,378xm8137,330l8142,390,8153,387,8162,379,8168,370,8170,358,8166,346,8159,337,8149,332,8137,330xe" filled="true" fillcolor="#5b9bd4" stroked="false">
              <v:path arrowok="t"/>
              <v:fill type="solid"/>
            </v:shape>
            <v:shape style="position:absolute;left:3277;top:658;width:144;height:144" type="#_x0000_t75" stroked="false">
              <v:imagedata r:id="rId255" o:title=""/>
            </v:shape>
            <v:shape style="position:absolute;left:5685;top:473;width:144;height:144" type="#_x0000_t75" stroked="false">
              <v:imagedata r:id="rId256" o:title=""/>
            </v:shape>
            <v:shape style="position:absolute;left:8092;top:286;width:144;height:144" type="#_x0000_t75" stroked="false">
              <v:imagedata r:id="rId256" o:title=""/>
            </v:shape>
            <v:shape style="position:absolute;left:4555;top:1626;width:2408;height:298" type="#_x0000_t202" filled="false" stroked="true" strokeweight=".72pt" strokecolor="#d9d9d9">
              <v:textbox inset="0,0,0,0">
                <w:txbxContent>
                  <w:p>
                    <w:pPr>
                      <w:spacing w:before="59"/>
                      <w:ind w:left="862" w:right="863" w:firstLine="0"/>
                      <w:jc w:val="center"/>
                      <w:rPr>
                        <w:b/>
                        <w:sz w:val="18"/>
                      </w:rPr>
                    </w:pPr>
                    <w:r>
                      <w:rPr>
                        <w:b/>
                        <w:color w:val="404040"/>
                        <w:sz w:val="18"/>
                      </w:rPr>
                      <w:t>7.8</w:t>
                    </w:r>
                  </w:p>
                </w:txbxContent>
              </v:textbox>
              <v:stroke dashstyle="solid"/>
              <w10:wrap type="none"/>
            </v:shape>
            <v:shape style="position:absolute;left:3004;top:440;width:694;height:1774" type="#_x0000_t202" filled="false" stroked="false">
              <v:textbox inset="0,0,0,0">
                <w:txbxContent>
                  <w:p>
                    <w:pPr>
                      <w:spacing w:line="240" w:lineRule="auto" w:before="0"/>
                      <w:rPr>
                        <w:sz w:val="20"/>
                      </w:rPr>
                    </w:pPr>
                  </w:p>
                  <w:p>
                    <w:pPr>
                      <w:spacing w:line="240" w:lineRule="auto" w:before="9"/>
                      <w:rPr>
                        <w:sz w:val="27"/>
                      </w:rPr>
                    </w:pPr>
                  </w:p>
                  <w:p>
                    <w:pPr>
                      <w:spacing w:before="0"/>
                      <w:ind w:left="206" w:right="0" w:firstLine="0"/>
                      <w:jc w:val="left"/>
                      <w:rPr>
                        <w:b/>
                        <w:sz w:val="18"/>
                      </w:rPr>
                    </w:pPr>
                    <w:r>
                      <w:rPr>
                        <w:b/>
                        <w:color w:val="FFFFFF"/>
                        <w:sz w:val="18"/>
                      </w:rPr>
                      <w:t>58.7</w:t>
                    </w:r>
                  </w:p>
                </w:txbxContent>
              </v:textbox>
              <w10:wrap type="none"/>
            </v:shape>
            <v:shape style="position:absolute;left:6962;top:135;width:2408;height:298" type="#_x0000_t202" filled="false" stroked="true" strokeweight=".72pt" strokecolor="#d9d9d9">
              <v:textbox inset="0,0,0,0">
                <w:txbxContent>
                  <w:p>
                    <w:pPr>
                      <w:spacing w:line="143" w:lineRule="exact" w:before="0"/>
                      <w:ind w:left="884" w:right="842" w:firstLine="0"/>
                      <w:jc w:val="center"/>
                      <w:rPr>
                        <w:b/>
                        <w:sz w:val="18"/>
                      </w:rPr>
                    </w:pPr>
                    <w:r>
                      <w:rPr>
                        <w:b/>
                        <w:color w:val="404040"/>
                        <w:sz w:val="18"/>
                      </w:rPr>
                      <w:t>6.250%</w:t>
                    </w:r>
                  </w:p>
                </w:txbxContent>
              </v:textbox>
              <v:stroke dashstyle="solid"/>
              <w10:wrap type="none"/>
            </v:shape>
            <v:shape style="position:absolute;left:4555;top:135;width:2408;height:298" type="#_x0000_t202" filled="false" stroked="true" strokeweight=".72pt" strokecolor="#d9d9d9">
              <v:textbox inset="0,0,0,0">
                <w:txbxContent>
                  <w:p>
                    <w:pPr>
                      <w:spacing w:before="46"/>
                      <w:ind w:left="864" w:right="863" w:firstLine="0"/>
                      <w:jc w:val="center"/>
                      <w:rPr>
                        <w:b/>
                        <w:sz w:val="18"/>
                      </w:rPr>
                    </w:pPr>
                    <w:r>
                      <w:rPr>
                        <w:b/>
                        <w:color w:val="404040"/>
                        <w:sz w:val="18"/>
                      </w:rPr>
                      <w:t>6.125%</w:t>
                    </w:r>
                  </w:p>
                </w:txbxContent>
              </v:textbox>
              <v:stroke dashstyle="solid"/>
              <w10:wrap type="none"/>
            </v:shape>
            <v:shape style="position:absolute;left:2148;top:135;width:2408;height:298" type="#_x0000_t202" filled="false" stroked="true" strokeweight=".72pt" strokecolor="#d9d9d9">
              <v:textbox inset="0,0,0,0">
                <w:txbxContent>
                  <w:p>
                    <w:pPr>
                      <w:spacing w:before="20"/>
                      <w:ind w:left="870" w:right="863" w:firstLine="0"/>
                      <w:jc w:val="center"/>
                      <w:rPr>
                        <w:b/>
                        <w:sz w:val="18"/>
                      </w:rPr>
                    </w:pPr>
                    <w:r>
                      <w:rPr>
                        <w:b/>
                        <w:color w:val="404040"/>
                        <w:sz w:val="18"/>
                      </w:rPr>
                      <w:t>6.00%</w:t>
                    </w:r>
                  </w:p>
                </w:txbxContent>
              </v:textbox>
              <v:stroke dashstyle="solid"/>
              <w10:wrap type="none"/>
            </v:shape>
            <v:shape style="position:absolute;left:7819;top:911;width:694;height:1311" type="#_x0000_t202" filled="true" fillcolor="#525252" stroked="false">
              <v:textbox inset="0,0,0,0">
                <w:txbxContent>
                  <w:p>
                    <w:pPr>
                      <w:spacing w:line="240" w:lineRule="auto" w:before="0"/>
                      <w:rPr>
                        <w:sz w:val="20"/>
                      </w:rPr>
                    </w:pPr>
                  </w:p>
                  <w:p>
                    <w:pPr>
                      <w:spacing w:before="122"/>
                      <w:ind w:left="188" w:right="0" w:firstLine="0"/>
                      <w:jc w:val="left"/>
                      <w:rPr>
                        <w:b/>
                        <w:sz w:val="18"/>
                      </w:rPr>
                    </w:pPr>
                    <w:r>
                      <w:rPr>
                        <w:b/>
                        <w:color w:val="FFFFFF"/>
                        <w:sz w:val="18"/>
                      </w:rPr>
                      <w:t>44.0</w:t>
                    </w:r>
                  </w:p>
                </w:txbxContent>
              </v:textbox>
              <v:fill type="solid"/>
              <w10:wrap type="none"/>
            </v:shape>
            <w10:wrap type="none"/>
          </v:group>
        </w:pict>
      </w:r>
      <w:r>
        <w:rPr>
          <w:color w:val="585858"/>
          <w:sz w:val="16"/>
        </w:rPr>
        <w:t>6.40%</w:t>
      </w:r>
    </w:p>
    <w:p>
      <w:pPr>
        <w:spacing w:before="114"/>
        <w:ind w:left="7455" w:right="0" w:firstLine="0"/>
        <w:jc w:val="left"/>
        <w:rPr>
          <w:sz w:val="16"/>
        </w:rPr>
      </w:pPr>
      <w:r>
        <w:rPr>
          <w:color w:val="585858"/>
          <w:sz w:val="16"/>
        </w:rPr>
        <w:t>6.20%</w:t>
      </w:r>
    </w:p>
    <w:p>
      <w:pPr>
        <w:spacing w:before="114"/>
        <w:ind w:left="7455" w:right="0" w:firstLine="0"/>
        <w:jc w:val="left"/>
        <w:rPr>
          <w:sz w:val="16"/>
        </w:rPr>
      </w:pPr>
      <w:r>
        <w:rPr>
          <w:color w:val="585858"/>
          <w:sz w:val="16"/>
        </w:rPr>
        <w:t>6.00%</w:t>
      </w:r>
    </w:p>
    <w:p>
      <w:pPr>
        <w:spacing w:before="115"/>
        <w:ind w:left="7455" w:right="0" w:firstLine="0"/>
        <w:jc w:val="left"/>
        <w:rPr>
          <w:sz w:val="16"/>
        </w:rPr>
      </w:pPr>
      <w:r>
        <w:rPr>
          <w:color w:val="585858"/>
          <w:sz w:val="16"/>
        </w:rPr>
        <w:t>5.80%</w:t>
      </w:r>
    </w:p>
    <w:p>
      <w:pPr>
        <w:spacing w:before="114"/>
        <w:ind w:left="7455" w:right="0" w:firstLine="0"/>
        <w:jc w:val="left"/>
        <w:rPr>
          <w:sz w:val="16"/>
        </w:rPr>
      </w:pPr>
      <w:r>
        <w:rPr>
          <w:color w:val="585858"/>
          <w:sz w:val="16"/>
        </w:rPr>
        <w:t>5.60%</w:t>
      </w:r>
    </w:p>
    <w:p>
      <w:pPr>
        <w:spacing w:before="114"/>
        <w:ind w:left="7455" w:right="0" w:firstLine="0"/>
        <w:jc w:val="left"/>
        <w:rPr>
          <w:sz w:val="16"/>
        </w:rPr>
      </w:pPr>
      <w:r>
        <w:rPr>
          <w:color w:val="585858"/>
          <w:sz w:val="16"/>
        </w:rPr>
        <w:t>5.40%</w:t>
      </w:r>
    </w:p>
    <w:p>
      <w:pPr>
        <w:spacing w:before="114"/>
        <w:ind w:left="7455" w:right="0" w:firstLine="0"/>
        <w:jc w:val="left"/>
        <w:rPr>
          <w:sz w:val="16"/>
        </w:rPr>
      </w:pPr>
      <w:r>
        <w:rPr>
          <w:color w:val="585858"/>
          <w:sz w:val="16"/>
        </w:rPr>
        <w:t>5.20%</w:t>
      </w:r>
    </w:p>
    <w:p>
      <w:pPr>
        <w:spacing w:before="114"/>
        <w:ind w:left="7455" w:right="0" w:firstLine="0"/>
        <w:jc w:val="left"/>
        <w:rPr>
          <w:sz w:val="16"/>
        </w:rPr>
      </w:pPr>
      <w:r>
        <w:rPr>
          <w:color w:val="585858"/>
          <w:sz w:val="16"/>
        </w:rPr>
        <w:t>5.00%</w:t>
      </w:r>
    </w:p>
    <w:p>
      <w:pPr>
        <w:tabs>
          <w:tab w:pos="3527" w:val="left" w:leader="none"/>
          <w:tab w:pos="5935" w:val="left" w:leader="none"/>
        </w:tabs>
        <w:spacing w:before="17"/>
        <w:ind w:left="1119" w:right="0" w:firstLine="0"/>
        <w:jc w:val="left"/>
        <w:rPr>
          <w:sz w:val="18"/>
        </w:rPr>
      </w:pPr>
      <w:r>
        <w:rPr>
          <w:color w:val="585858"/>
          <w:sz w:val="18"/>
        </w:rPr>
        <w:t>2023</w:t>
        <w:tab/>
        <w:t>2024</w:t>
        <w:tab/>
        <w:t>2025</w:t>
      </w:r>
    </w:p>
    <w:p>
      <w:pPr>
        <w:tabs>
          <w:tab w:pos="4472" w:val="left" w:leader="none"/>
        </w:tabs>
        <w:spacing w:before="50"/>
        <w:ind w:left="2821" w:right="0" w:firstLine="0"/>
        <w:jc w:val="left"/>
        <w:rPr>
          <w:sz w:val="18"/>
        </w:rPr>
      </w:pPr>
      <w:r>
        <w:rPr/>
        <w:pict>
          <v:line style="position:absolute;mso-position-horizontal-relative:page;mso-position-vertical-relative:paragraph;z-index:252947456" from="215.639999pt,8.032338pt" to="240.839999pt,8.032338pt" stroked="true" strokeweight="4.440pt" strokecolor="#525252">
            <v:stroke dashstyle="solid"/>
            <w10:wrap type="none"/>
          </v:line>
        </w:pict>
      </w:r>
      <w:r>
        <w:rPr/>
        <w:pict>
          <v:group style="position:absolute;margin-left:296.640015pt;margin-top:4.852338pt;width:27.05pt;height:6.25pt;mso-position-horizontal-relative:page;mso-position-vertical-relative:paragraph;z-index:-280371200" coordorigin="5933,97" coordsize="541,125">
            <v:shape style="position:absolute;left:5932;top:130;width:541;height:60" coordorigin="5933,131" coordsize="541,60" path="m5963,131l5951,133,5942,139,5935,149,5933,161,5935,172,5942,182,5951,188,5963,191,5963,131xm5963,131l5963,191,5974,188,5984,182,5990,172,5993,161,5990,149,5984,139,5974,133,5963,131xm6083,131l6071,133,6062,139,6055,149,6053,161,6055,172,6062,182,6071,188,6083,191,6083,131xm6083,179l6083,179,6083,191,6083,191,6083,179xm6083,131l6083,191,6095,188,6104,182,6111,172,6113,161,6111,149,6104,139,6095,133,6083,131xm6083,131l6083,131,6083,167,6083,167,6083,131xm6203,131l6191,133,6182,139,6175,149,6173,161,6175,172,6182,182,6191,188,6203,191,6203,131xm6203,131l6203,191,6215,188,6224,182,6231,172,6233,161,6231,149,6224,139,6215,133,6203,131xm6323,131l6311,133,6302,139,6295,149,6293,161,6295,172,6302,182,6311,188,6323,191,6323,131xm6323,131l6323,191,6335,188,6344,182,6351,172,6353,161,6351,149,6344,139,6335,133,6323,131xm6443,131l6431,133,6422,139,6415,149,6413,161,6415,172,6422,182,6431,188,6443,191,6443,131xm6443,131l6443,191,6455,188,6464,182,6471,172,6473,161,6471,149,6464,139,6455,133,6443,131xe" filled="true" fillcolor="#5b9bd4" stroked="false">
              <v:path arrowok="t"/>
              <v:fill type="solid"/>
            </v:shape>
            <v:shape style="position:absolute;left:6151;top:97;width:125;height:125" type="#_x0000_t75" stroked="false">
              <v:imagedata r:id="rId179" o:title=""/>
            </v:shape>
            <w10:wrap type="none"/>
          </v:group>
        </w:pict>
      </w:r>
      <w:r>
        <w:rPr>
          <w:color w:val="585858"/>
          <w:sz w:val="18"/>
        </w:rPr>
        <w:t>Colocación</w:t>
        <w:tab/>
        <w:t>Rendimiento</w:t>
      </w:r>
    </w:p>
    <w:p>
      <w:pPr>
        <w:spacing w:after="0"/>
        <w:jc w:val="left"/>
        <w:rPr>
          <w:sz w:val="18"/>
        </w:rPr>
        <w:sectPr>
          <w:type w:val="continuous"/>
          <w:pgSz w:w="12240" w:h="15840"/>
          <w:pgMar w:top="1500" w:bottom="280" w:left="1140" w:right="0"/>
          <w:cols w:num="2" w:equalWidth="0">
            <w:col w:w="872" w:space="40"/>
            <w:col w:w="10188"/>
          </w:cols>
        </w:sectPr>
      </w:pPr>
    </w:p>
    <w:p>
      <w:pPr>
        <w:spacing w:before="38"/>
        <w:ind w:left="562" w:right="0" w:firstLine="0"/>
        <w:jc w:val="left"/>
        <w:rPr>
          <w:sz w:val="16"/>
        </w:rPr>
      </w:pPr>
      <w:r>
        <w:rPr>
          <w:sz w:val="16"/>
        </w:rPr>
        <w:t>Fuente: Dirección de Análisis y Política Fiscal.</w:t>
      </w:r>
    </w:p>
    <w:p>
      <w:pPr>
        <w:pStyle w:val="BodyText"/>
        <w:rPr>
          <w:sz w:val="18"/>
        </w:rPr>
      </w:pPr>
    </w:p>
    <w:p>
      <w:pPr>
        <w:pStyle w:val="Heading2"/>
        <w:numPr>
          <w:ilvl w:val="1"/>
          <w:numId w:val="13"/>
        </w:numPr>
        <w:tabs>
          <w:tab w:pos="922" w:val="left" w:leader="none"/>
        </w:tabs>
        <w:spacing w:line="240" w:lineRule="auto" w:before="115" w:after="0"/>
        <w:ind w:left="922" w:right="0" w:hanging="360"/>
        <w:jc w:val="left"/>
      </w:pPr>
      <w:bookmarkStart w:name="_bookmark172" w:id="217"/>
      <w:bookmarkEnd w:id="217"/>
      <w:r>
        <w:rPr>
          <w:b w:val="0"/>
        </w:rPr>
      </w:r>
      <w:bookmarkStart w:name="_bookmark172" w:id="218"/>
      <w:bookmarkEnd w:id="218"/>
      <w:r>
        <w:rPr/>
        <w:t>P</w:t>
      </w:r>
      <w:r>
        <w:rPr/>
        <w:t>erspectivas de cierre</w:t>
      </w:r>
      <w:r>
        <w:rPr>
          <w:spacing w:val="-1"/>
        </w:rPr>
        <w:t> </w:t>
      </w:r>
      <w:r>
        <w:rPr/>
        <w:t>2022</w:t>
      </w:r>
    </w:p>
    <w:p>
      <w:pPr>
        <w:pStyle w:val="BodyText"/>
        <w:spacing w:before="4"/>
        <w:rPr>
          <w:b/>
          <w:sz w:val="28"/>
        </w:rPr>
      </w:pPr>
    </w:p>
    <w:p>
      <w:pPr>
        <w:pStyle w:val="BodyText"/>
        <w:spacing w:line="276" w:lineRule="auto"/>
        <w:ind w:left="562" w:right="1704"/>
      </w:pPr>
      <w:r>
        <w:rPr/>
        <w:t>Tomando en consideración los escenarios macroeconómicos actualizados en abril para 2022, así como la estimación de recaudación tributaria revisada conjuntamente con la Superintendencia de</w:t>
      </w:r>
    </w:p>
    <w:p>
      <w:pPr>
        <w:spacing w:after="0" w:line="276" w:lineRule="auto"/>
        <w:sectPr>
          <w:type w:val="continuous"/>
          <w:pgSz w:w="12240" w:h="15840"/>
          <w:pgMar w:top="1500" w:bottom="280" w:left="1140" w:right="0"/>
        </w:sectPr>
      </w:pPr>
    </w:p>
    <w:p>
      <w:pPr>
        <w:pStyle w:val="BodyText"/>
        <w:spacing w:line="276" w:lineRule="auto" w:before="162"/>
        <w:ind w:left="562" w:right="1697"/>
        <w:jc w:val="both"/>
      </w:pPr>
      <w:r>
        <w:rPr/>
        <w:t>Administración</w:t>
      </w:r>
      <w:r>
        <w:rPr>
          <w:spacing w:val="-13"/>
        </w:rPr>
        <w:t> </w:t>
      </w:r>
      <w:r>
        <w:rPr/>
        <w:t>Tributaria</w:t>
      </w:r>
      <w:r>
        <w:rPr>
          <w:spacing w:val="-8"/>
        </w:rPr>
        <w:t> </w:t>
      </w:r>
      <w:r>
        <w:rPr/>
        <w:t>-SAT-;</w:t>
      </w:r>
      <w:r>
        <w:rPr>
          <w:spacing w:val="-10"/>
        </w:rPr>
        <w:t> </w:t>
      </w:r>
      <w:r>
        <w:rPr/>
        <w:t>y,</w:t>
      </w:r>
      <w:r>
        <w:rPr>
          <w:spacing w:val="-11"/>
        </w:rPr>
        <w:t> </w:t>
      </w:r>
      <w:r>
        <w:rPr/>
        <w:t>las</w:t>
      </w:r>
      <w:r>
        <w:rPr>
          <w:spacing w:val="-12"/>
        </w:rPr>
        <w:t> </w:t>
      </w:r>
      <w:r>
        <w:rPr/>
        <w:t>estimaciones</w:t>
      </w:r>
      <w:r>
        <w:rPr>
          <w:spacing w:val="-12"/>
        </w:rPr>
        <w:t> </w:t>
      </w:r>
      <w:r>
        <w:rPr/>
        <w:t>de</w:t>
      </w:r>
      <w:r>
        <w:rPr>
          <w:spacing w:val="-10"/>
        </w:rPr>
        <w:t> </w:t>
      </w:r>
      <w:r>
        <w:rPr/>
        <w:t>ingresos</w:t>
      </w:r>
      <w:r>
        <w:rPr>
          <w:spacing w:val="-13"/>
        </w:rPr>
        <w:t> </w:t>
      </w:r>
      <w:r>
        <w:rPr/>
        <w:t>no</w:t>
      </w:r>
      <w:r>
        <w:rPr>
          <w:spacing w:val="-12"/>
        </w:rPr>
        <w:t> </w:t>
      </w:r>
      <w:r>
        <w:rPr/>
        <w:t>tributarios</w:t>
      </w:r>
      <w:r>
        <w:rPr>
          <w:spacing w:val="-13"/>
        </w:rPr>
        <w:t> </w:t>
      </w:r>
      <w:r>
        <w:rPr/>
        <w:t>que</w:t>
      </w:r>
      <w:r>
        <w:rPr>
          <w:spacing w:val="-10"/>
        </w:rPr>
        <w:t> </w:t>
      </w:r>
      <w:r>
        <w:rPr/>
        <w:t>perciben</w:t>
      </w:r>
      <w:r>
        <w:rPr>
          <w:spacing w:val="-13"/>
        </w:rPr>
        <w:t> </w:t>
      </w:r>
      <w:r>
        <w:rPr/>
        <w:t>diversas Entidades de la Administración Central, así como la estrategia de financiamiento planteada por el Organismo Ejecutivo y los compromisos establecidos en el Presupuesto General de Ingresos del Estado</w:t>
      </w:r>
      <w:r>
        <w:rPr>
          <w:spacing w:val="-12"/>
        </w:rPr>
        <w:t> </w:t>
      </w:r>
      <w:r>
        <w:rPr/>
        <w:t>para</w:t>
      </w:r>
      <w:r>
        <w:rPr>
          <w:spacing w:val="-10"/>
        </w:rPr>
        <w:t> </w:t>
      </w:r>
      <w:r>
        <w:rPr/>
        <w:t>el</w:t>
      </w:r>
      <w:r>
        <w:rPr>
          <w:spacing w:val="-7"/>
        </w:rPr>
        <w:t> </w:t>
      </w:r>
      <w:r>
        <w:rPr/>
        <w:t>Ejercicio</w:t>
      </w:r>
      <w:r>
        <w:rPr>
          <w:spacing w:val="-9"/>
        </w:rPr>
        <w:t> </w:t>
      </w:r>
      <w:r>
        <w:rPr/>
        <w:t>Fiscal</w:t>
      </w:r>
      <w:r>
        <w:rPr>
          <w:spacing w:val="-11"/>
        </w:rPr>
        <w:t> </w:t>
      </w:r>
      <w:r>
        <w:rPr/>
        <w:t>2022,</w:t>
      </w:r>
      <w:r>
        <w:rPr>
          <w:spacing w:val="-11"/>
        </w:rPr>
        <w:t> </w:t>
      </w:r>
      <w:r>
        <w:rPr/>
        <w:t>se</w:t>
      </w:r>
      <w:r>
        <w:rPr>
          <w:spacing w:val="-10"/>
        </w:rPr>
        <w:t> </w:t>
      </w:r>
      <w:r>
        <w:rPr/>
        <w:t>realizó</w:t>
      </w:r>
      <w:r>
        <w:rPr>
          <w:spacing w:val="-9"/>
        </w:rPr>
        <w:t> </w:t>
      </w:r>
      <w:r>
        <w:rPr/>
        <w:t>una</w:t>
      </w:r>
      <w:r>
        <w:rPr>
          <w:spacing w:val="-11"/>
        </w:rPr>
        <w:t> </w:t>
      </w:r>
      <w:r>
        <w:rPr/>
        <w:t>revisión</w:t>
      </w:r>
      <w:r>
        <w:rPr>
          <w:spacing w:val="-12"/>
        </w:rPr>
        <w:t> </w:t>
      </w:r>
      <w:r>
        <w:rPr/>
        <w:t>completa</w:t>
      </w:r>
      <w:r>
        <w:rPr>
          <w:spacing w:val="-7"/>
        </w:rPr>
        <w:t> </w:t>
      </w:r>
      <w:r>
        <w:rPr/>
        <w:t>del</w:t>
      </w:r>
      <w:r>
        <w:rPr>
          <w:spacing w:val="-8"/>
        </w:rPr>
        <w:t> </w:t>
      </w:r>
      <w:r>
        <w:rPr/>
        <w:t>posible</w:t>
      </w:r>
      <w:r>
        <w:rPr>
          <w:spacing w:val="-11"/>
        </w:rPr>
        <w:t> </w:t>
      </w:r>
      <w:r>
        <w:rPr/>
        <w:t>cierre</w:t>
      </w:r>
      <w:r>
        <w:rPr>
          <w:spacing w:val="-9"/>
        </w:rPr>
        <w:t> </w:t>
      </w:r>
      <w:r>
        <w:rPr/>
        <w:t>de</w:t>
      </w:r>
      <w:r>
        <w:rPr>
          <w:spacing w:val="-11"/>
        </w:rPr>
        <w:t> </w:t>
      </w:r>
      <w:r>
        <w:rPr/>
        <w:t>las</w:t>
      </w:r>
      <w:r>
        <w:rPr>
          <w:spacing w:val="-8"/>
        </w:rPr>
        <w:t> </w:t>
      </w:r>
      <w:r>
        <w:rPr/>
        <w:t>cuentas fiscales.</w:t>
      </w:r>
    </w:p>
    <w:p>
      <w:pPr>
        <w:pStyle w:val="BodyText"/>
        <w:spacing w:before="8"/>
        <w:rPr>
          <w:sz w:val="25"/>
        </w:rPr>
      </w:pPr>
    </w:p>
    <w:p>
      <w:pPr>
        <w:pStyle w:val="Heading2"/>
        <w:numPr>
          <w:ilvl w:val="2"/>
          <w:numId w:val="13"/>
        </w:numPr>
        <w:tabs>
          <w:tab w:pos="1354" w:val="left" w:leader="none"/>
        </w:tabs>
        <w:spacing w:line="240" w:lineRule="auto" w:before="0" w:after="0"/>
        <w:ind w:left="1354" w:right="0" w:hanging="433"/>
        <w:jc w:val="left"/>
      </w:pPr>
      <w:bookmarkStart w:name="_bookmark173" w:id="219"/>
      <w:bookmarkEnd w:id="219"/>
      <w:r>
        <w:rPr>
          <w:b w:val="0"/>
        </w:rPr>
      </w:r>
      <w:bookmarkStart w:name="_bookmark173" w:id="220"/>
      <w:bookmarkEnd w:id="220"/>
      <w:r>
        <w:rPr/>
        <w:t>E</w:t>
      </w:r>
      <w:r>
        <w:rPr/>
        <w:t>stimación de ingresos</w:t>
      </w:r>
      <w:r>
        <w:rPr>
          <w:spacing w:val="1"/>
        </w:rPr>
        <w:t> </w:t>
      </w:r>
      <w:r>
        <w:rPr/>
        <w:t>fiscales</w:t>
      </w:r>
    </w:p>
    <w:p>
      <w:pPr>
        <w:pStyle w:val="BodyText"/>
        <w:spacing w:before="6"/>
        <w:rPr>
          <w:b/>
          <w:sz w:val="28"/>
        </w:rPr>
      </w:pPr>
    </w:p>
    <w:p>
      <w:pPr>
        <w:pStyle w:val="BodyText"/>
        <w:spacing w:line="276" w:lineRule="auto" w:before="1"/>
        <w:ind w:left="562" w:right="1696"/>
        <w:jc w:val="both"/>
      </w:pPr>
      <w:r>
        <w:rPr/>
        <w:t>Tomando en consideración el escenario macroeconómicos actualizado el 27 de abril de 2022, así como la estimación de recaudación tributaria revisada conjuntamente con la Superintendencia de Administración</w:t>
      </w:r>
      <w:r>
        <w:rPr>
          <w:spacing w:val="-13"/>
        </w:rPr>
        <w:t> </w:t>
      </w:r>
      <w:r>
        <w:rPr/>
        <w:t>Tributaria</w:t>
      </w:r>
      <w:r>
        <w:rPr>
          <w:spacing w:val="-8"/>
        </w:rPr>
        <w:t> </w:t>
      </w:r>
      <w:r>
        <w:rPr/>
        <w:t>-SAT-;</w:t>
      </w:r>
      <w:r>
        <w:rPr>
          <w:spacing w:val="-10"/>
        </w:rPr>
        <w:t> </w:t>
      </w:r>
      <w:r>
        <w:rPr/>
        <w:t>y,</w:t>
      </w:r>
      <w:r>
        <w:rPr>
          <w:spacing w:val="-11"/>
        </w:rPr>
        <w:t> </w:t>
      </w:r>
      <w:r>
        <w:rPr/>
        <w:t>las</w:t>
      </w:r>
      <w:r>
        <w:rPr>
          <w:spacing w:val="-12"/>
        </w:rPr>
        <w:t> </w:t>
      </w:r>
      <w:r>
        <w:rPr/>
        <w:t>estimaciones</w:t>
      </w:r>
      <w:r>
        <w:rPr>
          <w:spacing w:val="-12"/>
        </w:rPr>
        <w:t> </w:t>
      </w:r>
      <w:r>
        <w:rPr/>
        <w:t>de</w:t>
      </w:r>
      <w:r>
        <w:rPr>
          <w:spacing w:val="-10"/>
        </w:rPr>
        <w:t> </w:t>
      </w:r>
      <w:r>
        <w:rPr/>
        <w:t>ingresos</w:t>
      </w:r>
      <w:r>
        <w:rPr>
          <w:spacing w:val="-13"/>
        </w:rPr>
        <w:t> </w:t>
      </w:r>
      <w:r>
        <w:rPr/>
        <w:t>no</w:t>
      </w:r>
      <w:r>
        <w:rPr>
          <w:spacing w:val="-12"/>
        </w:rPr>
        <w:t> </w:t>
      </w:r>
      <w:r>
        <w:rPr/>
        <w:t>tributarios</w:t>
      </w:r>
      <w:r>
        <w:rPr>
          <w:spacing w:val="-13"/>
        </w:rPr>
        <w:t> </w:t>
      </w:r>
      <w:r>
        <w:rPr/>
        <w:t>que</w:t>
      </w:r>
      <w:r>
        <w:rPr>
          <w:spacing w:val="-10"/>
        </w:rPr>
        <w:t> </w:t>
      </w:r>
      <w:r>
        <w:rPr/>
        <w:t>perciben</w:t>
      </w:r>
      <w:r>
        <w:rPr>
          <w:spacing w:val="-13"/>
        </w:rPr>
        <w:t> </w:t>
      </w:r>
      <w:r>
        <w:rPr/>
        <w:t>diversas Entidades de la Administración Central, así como la estrategia de financiamiento planteada por el Organismo Ejecutivo y los compromisos establecidos en el Presupuesto General de Ingresos del Estado</w:t>
      </w:r>
      <w:r>
        <w:rPr>
          <w:spacing w:val="-12"/>
        </w:rPr>
        <w:t> </w:t>
      </w:r>
      <w:r>
        <w:rPr/>
        <w:t>para</w:t>
      </w:r>
      <w:r>
        <w:rPr>
          <w:spacing w:val="-10"/>
        </w:rPr>
        <w:t> </w:t>
      </w:r>
      <w:r>
        <w:rPr/>
        <w:t>el</w:t>
      </w:r>
      <w:r>
        <w:rPr>
          <w:spacing w:val="-7"/>
        </w:rPr>
        <w:t> </w:t>
      </w:r>
      <w:r>
        <w:rPr/>
        <w:t>Ejercicio</w:t>
      </w:r>
      <w:r>
        <w:rPr>
          <w:spacing w:val="-9"/>
        </w:rPr>
        <w:t> </w:t>
      </w:r>
      <w:r>
        <w:rPr/>
        <w:t>Fiscal</w:t>
      </w:r>
      <w:r>
        <w:rPr>
          <w:spacing w:val="-11"/>
        </w:rPr>
        <w:t> </w:t>
      </w:r>
      <w:r>
        <w:rPr/>
        <w:t>2022,</w:t>
      </w:r>
      <w:r>
        <w:rPr>
          <w:spacing w:val="-11"/>
        </w:rPr>
        <w:t> </w:t>
      </w:r>
      <w:r>
        <w:rPr/>
        <w:t>se</w:t>
      </w:r>
      <w:r>
        <w:rPr>
          <w:spacing w:val="-10"/>
        </w:rPr>
        <w:t> </w:t>
      </w:r>
      <w:r>
        <w:rPr/>
        <w:t>realizó</w:t>
      </w:r>
      <w:r>
        <w:rPr>
          <w:spacing w:val="-9"/>
        </w:rPr>
        <w:t> </w:t>
      </w:r>
      <w:r>
        <w:rPr/>
        <w:t>una</w:t>
      </w:r>
      <w:r>
        <w:rPr>
          <w:spacing w:val="-11"/>
        </w:rPr>
        <w:t> </w:t>
      </w:r>
      <w:r>
        <w:rPr/>
        <w:t>revisión</w:t>
      </w:r>
      <w:r>
        <w:rPr>
          <w:spacing w:val="-12"/>
        </w:rPr>
        <w:t> </w:t>
      </w:r>
      <w:r>
        <w:rPr/>
        <w:t>completa</w:t>
      </w:r>
      <w:r>
        <w:rPr>
          <w:spacing w:val="-11"/>
        </w:rPr>
        <w:t> </w:t>
      </w:r>
      <w:r>
        <w:rPr/>
        <w:t>del</w:t>
      </w:r>
      <w:r>
        <w:rPr>
          <w:spacing w:val="-8"/>
        </w:rPr>
        <w:t> </w:t>
      </w:r>
      <w:r>
        <w:rPr/>
        <w:t>posible</w:t>
      </w:r>
      <w:r>
        <w:rPr>
          <w:spacing w:val="-11"/>
        </w:rPr>
        <w:t> </w:t>
      </w:r>
      <w:r>
        <w:rPr/>
        <w:t>cierre</w:t>
      </w:r>
      <w:r>
        <w:rPr>
          <w:spacing w:val="-9"/>
        </w:rPr>
        <w:t> </w:t>
      </w:r>
      <w:r>
        <w:rPr/>
        <w:t>de</w:t>
      </w:r>
      <w:r>
        <w:rPr>
          <w:spacing w:val="-11"/>
        </w:rPr>
        <w:t> </w:t>
      </w:r>
      <w:r>
        <w:rPr/>
        <w:t>las</w:t>
      </w:r>
      <w:r>
        <w:rPr>
          <w:spacing w:val="-8"/>
        </w:rPr>
        <w:t> </w:t>
      </w:r>
      <w:r>
        <w:rPr/>
        <w:t>cuentas fiscales. En ese sentido, la recaudación tributaria se estima que podría alcanzar un monto de Q82,872.9 millones, lo cual representa una brecha positiva de Q6,557.9 millones respecto a la meta de presupuesto, siendo el Impuesto Sobre la Renta y el IVA los que más aportan a esta brecha (Q3,049.1 millones), el cierre 2022 tiene un grado de ejecución respecto al presupuesto vigente de 108.6% y con relación a la ejecución observada en 2021 se tiene un crecimiento de</w:t>
      </w:r>
      <w:r>
        <w:rPr>
          <w:spacing w:val="-18"/>
        </w:rPr>
        <w:t> </w:t>
      </w:r>
      <w:r>
        <w:rPr/>
        <w:t>6.2%.</w:t>
      </w:r>
    </w:p>
    <w:p>
      <w:pPr>
        <w:pStyle w:val="BodyText"/>
        <w:spacing w:before="2"/>
        <w:rPr>
          <w:sz w:val="25"/>
        </w:rPr>
      </w:pPr>
    </w:p>
    <w:p>
      <w:pPr>
        <w:pStyle w:val="BodyText"/>
        <w:spacing w:line="276" w:lineRule="auto"/>
        <w:ind w:left="562" w:right="1697"/>
        <w:jc w:val="both"/>
      </w:pPr>
      <w:r>
        <w:rPr/>
        <w:t>Con los resultados anteriormente expuestos se prevé que la carga tributaria para 2022 se ubiqué en 11.7%, monto similar al observado en 2021. Este nivel de carga tributaria deriva en la apertura de la economía de manera gradual y a los esfuerzos del ente recaudador para recobrar la senda positiva en la recaudación tributaria, incrementando la percepción de riesgo y mejorando por ende el cumplimiento voluntario. Aspectos relevantes que ha logrado fortalecer el ente recaudador son la mejora</w:t>
      </w:r>
      <w:r>
        <w:rPr>
          <w:spacing w:val="-8"/>
        </w:rPr>
        <w:t> </w:t>
      </w:r>
      <w:r>
        <w:rPr/>
        <w:t>en</w:t>
      </w:r>
      <w:r>
        <w:rPr>
          <w:spacing w:val="-6"/>
        </w:rPr>
        <w:t> </w:t>
      </w:r>
      <w:r>
        <w:rPr/>
        <w:t>la</w:t>
      </w:r>
      <w:r>
        <w:rPr>
          <w:spacing w:val="-6"/>
        </w:rPr>
        <w:t> </w:t>
      </w:r>
      <w:r>
        <w:rPr/>
        <w:t>valoración</w:t>
      </w:r>
      <w:r>
        <w:rPr>
          <w:spacing w:val="-6"/>
        </w:rPr>
        <w:t> </w:t>
      </w:r>
      <w:r>
        <w:rPr/>
        <w:t>de</w:t>
      </w:r>
      <w:r>
        <w:rPr>
          <w:spacing w:val="-8"/>
        </w:rPr>
        <w:t> </w:t>
      </w:r>
      <w:r>
        <w:rPr/>
        <w:t>mercancías</w:t>
      </w:r>
      <w:r>
        <w:rPr>
          <w:spacing w:val="-6"/>
        </w:rPr>
        <w:t> </w:t>
      </w:r>
      <w:r>
        <w:rPr/>
        <w:t>en</w:t>
      </w:r>
      <w:r>
        <w:rPr>
          <w:spacing w:val="-8"/>
        </w:rPr>
        <w:t> </w:t>
      </w:r>
      <w:r>
        <w:rPr/>
        <w:t>las</w:t>
      </w:r>
      <w:r>
        <w:rPr>
          <w:spacing w:val="-7"/>
        </w:rPr>
        <w:t> </w:t>
      </w:r>
      <w:r>
        <w:rPr/>
        <w:t>aduanas,</w:t>
      </w:r>
      <w:r>
        <w:rPr>
          <w:spacing w:val="-9"/>
        </w:rPr>
        <w:t> </w:t>
      </w:r>
      <w:r>
        <w:rPr/>
        <w:t>mayor</w:t>
      </w:r>
      <w:r>
        <w:rPr>
          <w:spacing w:val="-5"/>
        </w:rPr>
        <w:t> </w:t>
      </w:r>
      <w:r>
        <w:rPr/>
        <w:t>eficiencia</w:t>
      </w:r>
      <w:r>
        <w:rPr>
          <w:spacing w:val="-6"/>
        </w:rPr>
        <w:t> </w:t>
      </w:r>
      <w:r>
        <w:rPr/>
        <w:t>en</w:t>
      </w:r>
      <w:r>
        <w:rPr>
          <w:spacing w:val="-8"/>
        </w:rPr>
        <w:t> </w:t>
      </w:r>
      <w:r>
        <w:rPr/>
        <w:t>los</w:t>
      </w:r>
      <w:r>
        <w:rPr>
          <w:spacing w:val="-5"/>
        </w:rPr>
        <w:t> </w:t>
      </w:r>
      <w:r>
        <w:rPr/>
        <w:t>principales</w:t>
      </w:r>
      <w:r>
        <w:rPr>
          <w:spacing w:val="-8"/>
        </w:rPr>
        <w:t> </w:t>
      </w:r>
      <w:r>
        <w:rPr/>
        <w:t>puertos</w:t>
      </w:r>
      <w:r>
        <w:rPr>
          <w:spacing w:val="-5"/>
        </w:rPr>
        <w:t> </w:t>
      </w:r>
      <w:r>
        <w:rPr/>
        <w:t>del país, mejora en los planes internos de la SAT mediante la implementación de planes de fiscalización y mejoras en la matriz de la percepción de riesgo y la implementación de los puestos de control interinstitucional (a la fecha van 6).</w:t>
      </w:r>
    </w:p>
    <w:p>
      <w:pPr>
        <w:spacing w:before="5"/>
        <w:ind w:left="1395" w:right="2530" w:firstLine="0"/>
        <w:jc w:val="center"/>
        <w:rPr>
          <w:b/>
          <w:i/>
          <w:sz w:val="22"/>
        </w:rPr>
      </w:pPr>
      <w:bookmarkStart w:name="_bookmark174" w:id="221"/>
      <w:bookmarkEnd w:id="221"/>
      <w:r>
        <w:rPr/>
      </w:r>
      <w:r>
        <w:rPr>
          <w:b/>
          <w:i/>
          <w:sz w:val="20"/>
        </w:rPr>
        <w:t>Gráfico 91.  </w:t>
      </w:r>
      <w:r>
        <w:rPr>
          <w:b/>
          <w:i/>
          <w:sz w:val="22"/>
        </w:rPr>
        <w:t>Recaudación tributaria</w:t>
      </w:r>
    </w:p>
    <w:p>
      <w:pPr>
        <w:pStyle w:val="BodyText"/>
        <w:spacing w:before="33"/>
        <w:ind w:left="1395" w:right="2532"/>
        <w:jc w:val="center"/>
      </w:pPr>
      <w:r>
        <w:rPr/>
        <w:t>Millones de quetzales</w:t>
      </w:r>
    </w:p>
    <w:p>
      <w:pPr>
        <w:spacing w:after="0"/>
        <w:jc w:val="center"/>
        <w:sectPr>
          <w:pgSz w:w="12240" w:h="15840"/>
          <w:pgMar w:header="715" w:footer="957" w:top="1240" w:bottom="1140" w:left="1140" w:right="0"/>
        </w:sectPr>
      </w:pPr>
    </w:p>
    <w:p>
      <w:pPr>
        <w:spacing w:before="112"/>
        <w:ind w:left="0" w:right="0" w:firstLine="0"/>
        <w:jc w:val="right"/>
        <w:rPr>
          <w:b/>
          <w:sz w:val="18"/>
        </w:rPr>
      </w:pPr>
      <w:r>
        <w:rPr>
          <w:b/>
          <w:color w:val="585858"/>
          <w:spacing w:val="-1"/>
          <w:sz w:val="18"/>
        </w:rPr>
        <w:t>87,000</w:t>
      </w:r>
    </w:p>
    <w:p>
      <w:pPr>
        <w:spacing w:before="103"/>
        <w:ind w:left="0" w:right="0" w:firstLine="0"/>
        <w:jc w:val="right"/>
        <w:rPr>
          <w:b/>
          <w:sz w:val="18"/>
        </w:rPr>
      </w:pPr>
      <w:r>
        <w:rPr>
          <w:b/>
          <w:color w:val="585858"/>
          <w:spacing w:val="-1"/>
          <w:sz w:val="18"/>
        </w:rPr>
        <w:t>83,000</w:t>
      </w:r>
    </w:p>
    <w:p>
      <w:pPr>
        <w:spacing w:before="103"/>
        <w:ind w:left="0" w:right="0" w:firstLine="0"/>
        <w:jc w:val="right"/>
        <w:rPr>
          <w:b/>
          <w:sz w:val="18"/>
        </w:rPr>
      </w:pPr>
      <w:r>
        <w:rPr>
          <w:b/>
          <w:color w:val="585858"/>
          <w:spacing w:val="-1"/>
          <w:sz w:val="18"/>
        </w:rPr>
        <w:t>79,000</w:t>
      </w:r>
    </w:p>
    <w:p>
      <w:pPr>
        <w:spacing w:before="104"/>
        <w:ind w:left="0" w:right="0" w:firstLine="0"/>
        <w:jc w:val="right"/>
        <w:rPr>
          <w:b/>
          <w:sz w:val="18"/>
        </w:rPr>
      </w:pPr>
      <w:r>
        <w:rPr>
          <w:b/>
          <w:color w:val="585858"/>
          <w:spacing w:val="-1"/>
          <w:sz w:val="18"/>
        </w:rPr>
        <w:t>75,000</w:t>
      </w:r>
    </w:p>
    <w:p>
      <w:pPr>
        <w:spacing w:before="103"/>
        <w:ind w:left="0" w:right="0" w:firstLine="0"/>
        <w:jc w:val="right"/>
        <w:rPr>
          <w:b/>
          <w:sz w:val="18"/>
        </w:rPr>
      </w:pPr>
      <w:r>
        <w:rPr>
          <w:b/>
          <w:color w:val="585858"/>
          <w:spacing w:val="-1"/>
          <w:sz w:val="18"/>
        </w:rPr>
        <w:t>71,000</w:t>
      </w:r>
    </w:p>
    <w:p>
      <w:pPr>
        <w:spacing w:before="102"/>
        <w:ind w:left="0" w:right="0" w:firstLine="0"/>
        <w:jc w:val="right"/>
        <w:rPr>
          <w:b/>
          <w:sz w:val="18"/>
        </w:rPr>
      </w:pPr>
      <w:r>
        <w:rPr>
          <w:b/>
          <w:color w:val="585858"/>
          <w:spacing w:val="-1"/>
          <w:sz w:val="18"/>
        </w:rPr>
        <w:t>67,000</w:t>
      </w:r>
    </w:p>
    <w:p>
      <w:pPr>
        <w:spacing w:before="103"/>
        <w:ind w:left="0" w:right="0" w:firstLine="0"/>
        <w:jc w:val="right"/>
        <w:rPr>
          <w:b/>
          <w:sz w:val="18"/>
        </w:rPr>
      </w:pPr>
      <w:r>
        <w:rPr>
          <w:b/>
          <w:color w:val="585858"/>
          <w:spacing w:val="-1"/>
          <w:sz w:val="18"/>
        </w:rPr>
        <w:t>63,000</w:t>
      </w:r>
    </w:p>
    <w:p>
      <w:pPr>
        <w:spacing w:before="104"/>
        <w:ind w:left="0" w:right="0" w:firstLine="0"/>
        <w:jc w:val="right"/>
        <w:rPr>
          <w:b/>
          <w:sz w:val="18"/>
        </w:rPr>
      </w:pPr>
      <w:r>
        <w:rPr>
          <w:b/>
          <w:color w:val="585858"/>
          <w:spacing w:val="-1"/>
          <w:sz w:val="18"/>
        </w:rPr>
        <w:t>59,000</w:t>
      </w:r>
    </w:p>
    <w:p>
      <w:pPr>
        <w:spacing w:before="103"/>
        <w:ind w:left="0" w:right="0" w:firstLine="0"/>
        <w:jc w:val="right"/>
        <w:rPr>
          <w:b/>
          <w:sz w:val="18"/>
        </w:rPr>
      </w:pPr>
      <w:r>
        <w:rPr>
          <w:b/>
          <w:color w:val="585858"/>
          <w:spacing w:val="-1"/>
          <w:sz w:val="18"/>
        </w:rPr>
        <w:t>55,000</w:t>
      </w:r>
    </w:p>
    <w:p>
      <w:pPr>
        <w:pStyle w:val="BodyText"/>
        <w:rPr>
          <w:b/>
          <w:sz w:val="20"/>
        </w:rPr>
      </w:pPr>
      <w:r>
        <w:rPr/>
        <w:br w:type="column"/>
      </w:r>
      <w:r>
        <w:rPr>
          <w:b/>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3"/>
        </w:rPr>
      </w:pPr>
    </w:p>
    <w:p>
      <w:pPr>
        <w:tabs>
          <w:tab w:pos="1904" w:val="left" w:leader="none"/>
        </w:tabs>
        <w:spacing w:before="0"/>
        <w:ind w:left="0" w:right="4" w:firstLine="0"/>
        <w:jc w:val="right"/>
        <w:rPr>
          <w:b/>
          <w:sz w:val="18"/>
        </w:rPr>
      </w:pPr>
      <w:r>
        <w:rPr/>
        <w:pict>
          <v:shape style="position:absolute;margin-left:150.720001pt;margin-top:-129.457657pt;width:330.15pt;height:124.7pt;mso-position-horizontal-relative:page;mso-position-vertical-relative:paragraph;z-index:252958720" type="#_x0000_t202" filled="false" stroked="false">
            <v:textbox inset="0,0,0,0">
              <w:txbxContent>
                <w:tbl>
                  <w:tblPr>
                    <w:tblW w:w="0" w:type="auto"/>
                    <w:jc w:val="left"/>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182"/>
                    <w:gridCol w:w="1828"/>
                    <w:gridCol w:w="182"/>
                    <w:gridCol w:w="182"/>
                    <w:gridCol w:w="1828"/>
                    <w:gridCol w:w="182"/>
                    <w:gridCol w:w="182"/>
                    <w:gridCol w:w="1828"/>
                    <w:gridCol w:w="182"/>
                  </w:tblGrid>
                  <w:tr>
                    <w:trPr>
                      <w:trHeight w:val="294" w:hRule="atLeast"/>
                    </w:trPr>
                    <w:tc>
                      <w:tcPr>
                        <w:tcW w:w="2192" w:type="dxa"/>
                        <w:gridSpan w:val="3"/>
                      </w:tcPr>
                      <w:p>
                        <w:pPr>
                          <w:pStyle w:val="TableParagraph"/>
                          <w:rPr>
                            <w:sz w:val="20"/>
                          </w:rPr>
                        </w:pPr>
                      </w:p>
                    </w:tc>
                    <w:tc>
                      <w:tcPr>
                        <w:tcW w:w="2192" w:type="dxa"/>
                        <w:gridSpan w:val="3"/>
                      </w:tcPr>
                      <w:p>
                        <w:pPr>
                          <w:pStyle w:val="TableParagraph"/>
                          <w:rPr>
                            <w:sz w:val="20"/>
                          </w:rPr>
                        </w:pPr>
                      </w:p>
                    </w:tc>
                    <w:tc>
                      <w:tcPr>
                        <w:tcW w:w="2192" w:type="dxa"/>
                        <w:gridSpan w:val="3"/>
                      </w:tcPr>
                      <w:p>
                        <w:pPr>
                          <w:pStyle w:val="TableParagraph"/>
                          <w:rPr>
                            <w:sz w:val="20"/>
                          </w:rPr>
                        </w:pPr>
                      </w:p>
                    </w:tc>
                  </w:tr>
                  <w:tr>
                    <w:trPr>
                      <w:trHeight w:val="294" w:hRule="atLeast"/>
                    </w:trPr>
                    <w:tc>
                      <w:tcPr>
                        <w:tcW w:w="2192" w:type="dxa"/>
                        <w:gridSpan w:val="3"/>
                      </w:tcPr>
                      <w:p>
                        <w:pPr>
                          <w:pStyle w:val="TableParagraph"/>
                          <w:rPr>
                            <w:sz w:val="20"/>
                          </w:rPr>
                        </w:pPr>
                      </w:p>
                    </w:tc>
                    <w:tc>
                      <w:tcPr>
                        <w:tcW w:w="2192" w:type="dxa"/>
                        <w:gridSpan w:val="3"/>
                      </w:tcPr>
                      <w:p>
                        <w:pPr>
                          <w:pStyle w:val="TableParagraph"/>
                          <w:rPr>
                            <w:sz w:val="20"/>
                          </w:rPr>
                        </w:pPr>
                      </w:p>
                    </w:tc>
                    <w:tc>
                      <w:tcPr>
                        <w:tcW w:w="182" w:type="dxa"/>
                        <w:tcBorders>
                          <w:right w:val="nil"/>
                        </w:tcBorders>
                      </w:tcPr>
                      <w:p>
                        <w:pPr>
                          <w:pStyle w:val="TableParagraph"/>
                          <w:rPr>
                            <w:sz w:val="20"/>
                          </w:rPr>
                        </w:pPr>
                      </w:p>
                    </w:tc>
                    <w:tc>
                      <w:tcPr>
                        <w:tcW w:w="1828" w:type="dxa"/>
                        <w:vMerge w:val="restart"/>
                        <w:tcBorders>
                          <w:left w:val="nil"/>
                          <w:right w:val="nil"/>
                        </w:tcBorders>
                        <w:shd w:val="clear" w:color="auto" w:fill="5B9BD4"/>
                      </w:tcPr>
                      <w:p>
                        <w:pPr>
                          <w:pStyle w:val="TableParagraph"/>
                          <w:spacing w:before="2"/>
                          <w:rPr>
                            <w:sz w:val="20"/>
                          </w:rPr>
                        </w:pPr>
                      </w:p>
                      <w:p>
                        <w:pPr>
                          <w:pStyle w:val="TableParagraph"/>
                          <w:ind w:left="646"/>
                          <w:rPr>
                            <w:b/>
                            <w:sz w:val="18"/>
                          </w:rPr>
                        </w:pPr>
                        <w:r>
                          <w:rPr>
                            <w:b/>
                            <w:color w:val="FFFFFF"/>
                            <w:sz w:val="18"/>
                          </w:rPr>
                          <w:t>82,872.9</w:t>
                        </w:r>
                      </w:p>
                    </w:tc>
                    <w:tc>
                      <w:tcPr>
                        <w:tcW w:w="182" w:type="dxa"/>
                        <w:vMerge w:val="restart"/>
                        <w:tcBorders>
                          <w:left w:val="nil"/>
                        </w:tcBorders>
                      </w:tcPr>
                      <w:p>
                        <w:pPr>
                          <w:pStyle w:val="TableParagraph"/>
                          <w:rPr>
                            <w:sz w:val="20"/>
                          </w:rPr>
                        </w:pPr>
                      </w:p>
                    </w:tc>
                  </w:tr>
                  <w:tr>
                    <w:trPr>
                      <w:trHeight w:val="61" w:hRule="atLeast"/>
                    </w:trPr>
                    <w:tc>
                      <w:tcPr>
                        <w:tcW w:w="2192" w:type="dxa"/>
                        <w:gridSpan w:val="3"/>
                        <w:tcBorders>
                          <w:bottom w:val="nil"/>
                        </w:tcBorders>
                        <w:shd w:val="clear" w:color="auto" w:fill="5B9BD4"/>
                      </w:tcPr>
                      <w:p>
                        <w:pPr>
                          <w:pStyle w:val="TableParagraph"/>
                          <w:rPr>
                            <w:sz w:val="2"/>
                          </w:rPr>
                        </w:pPr>
                      </w:p>
                    </w:tc>
                    <w:tc>
                      <w:tcPr>
                        <w:tcW w:w="2192" w:type="dxa"/>
                        <w:gridSpan w:val="3"/>
                        <w:vMerge w:val="restart"/>
                        <w:tcBorders>
                          <w:bottom w:val="nil"/>
                        </w:tcBorders>
                      </w:tcPr>
                      <w:p>
                        <w:pPr>
                          <w:pStyle w:val="TableParagraph"/>
                          <w:rPr>
                            <w:sz w:val="12"/>
                          </w:rPr>
                        </w:pPr>
                      </w:p>
                    </w:tc>
                    <w:tc>
                      <w:tcPr>
                        <w:tcW w:w="182" w:type="dxa"/>
                        <w:vMerge w:val="restart"/>
                        <w:tcBorders>
                          <w:right w:val="nil"/>
                        </w:tcBorders>
                      </w:tcPr>
                      <w:p>
                        <w:pPr>
                          <w:pStyle w:val="TableParagraph"/>
                          <w:rPr>
                            <w:sz w:val="20"/>
                          </w:rPr>
                        </w:pPr>
                      </w:p>
                    </w:tc>
                    <w:tc>
                      <w:tcPr>
                        <w:tcW w:w="1828" w:type="dxa"/>
                        <w:vMerge/>
                        <w:tcBorders>
                          <w:top w:val="nil"/>
                          <w:left w:val="nil"/>
                          <w:right w:val="nil"/>
                        </w:tcBorders>
                        <w:shd w:val="clear" w:color="auto" w:fill="5B9BD4"/>
                      </w:tcPr>
                      <w:p>
                        <w:pPr>
                          <w:rPr>
                            <w:sz w:val="2"/>
                            <w:szCs w:val="2"/>
                          </w:rPr>
                        </w:pPr>
                      </w:p>
                    </w:tc>
                    <w:tc>
                      <w:tcPr>
                        <w:tcW w:w="182" w:type="dxa"/>
                        <w:vMerge/>
                        <w:tcBorders>
                          <w:top w:val="nil"/>
                          <w:left w:val="nil"/>
                        </w:tcBorders>
                      </w:tcPr>
                      <w:p>
                        <w:pPr>
                          <w:rPr>
                            <w:sz w:val="2"/>
                            <w:szCs w:val="2"/>
                          </w:rPr>
                        </w:pPr>
                      </w:p>
                    </w:tc>
                  </w:tr>
                  <w:tr>
                    <w:trPr>
                      <w:trHeight w:val="116" w:hRule="atLeast"/>
                    </w:trPr>
                    <w:tc>
                      <w:tcPr>
                        <w:tcW w:w="182" w:type="dxa"/>
                        <w:vMerge w:val="restart"/>
                        <w:tcBorders>
                          <w:top w:val="nil"/>
                          <w:right w:val="nil"/>
                        </w:tcBorders>
                      </w:tcPr>
                      <w:p>
                        <w:pPr>
                          <w:pStyle w:val="TableParagraph"/>
                          <w:rPr>
                            <w:sz w:val="14"/>
                          </w:rPr>
                        </w:pPr>
                      </w:p>
                    </w:tc>
                    <w:tc>
                      <w:tcPr>
                        <w:tcW w:w="1828" w:type="dxa"/>
                        <w:vMerge w:val="restart"/>
                        <w:tcBorders>
                          <w:top w:val="nil"/>
                          <w:left w:val="nil"/>
                          <w:right w:val="nil"/>
                        </w:tcBorders>
                        <w:shd w:val="clear" w:color="auto" w:fill="5B9BD4"/>
                      </w:tcPr>
                      <w:p>
                        <w:pPr>
                          <w:pStyle w:val="TableParagraph"/>
                          <w:rPr>
                            <w:sz w:val="20"/>
                          </w:rPr>
                        </w:pPr>
                      </w:p>
                      <w:p>
                        <w:pPr>
                          <w:pStyle w:val="TableParagraph"/>
                          <w:spacing w:before="3"/>
                          <w:rPr>
                            <w:sz w:val="26"/>
                          </w:rPr>
                        </w:pPr>
                      </w:p>
                      <w:p>
                        <w:pPr>
                          <w:pStyle w:val="TableParagraph"/>
                          <w:ind w:left="652"/>
                          <w:rPr>
                            <w:b/>
                            <w:sz w:val="18"/>
                          </w:rPr>
                        </w:pPr>
                        <w:r>
                          <w:rPr>
                            <w:b/>
                            <w:color w:val="FFFFFF"/>
                            <w:sz w:val="18"/>
                          </w:rPr>
                          <w:t>78,019.1</w:t>
                        </w:r>
                      </w:p>
                    </w:tc>
                    <w:tc>
                      <w:tcPr>
                        <w:tcW w:w="182" w:type="dxa"/>
                        <w:vMerge w:val="restart"/>
                        <w:tcBorders>
                          <w:top w:val="nil"/>
                          <w:left w:val="nil"/>
                        </w:tcBorders>
                      </w:tcPr>
                      <w:p>
                        <w:pPr>
                          <w:pStyle w:val="TableParagraph"/>
                          <w:rPr>
                            <w:sz w:val="14"/>
                          </w:rPr>
                        </w:pPr>
                      </w:p>
                    </w:tc>
                    <w:tc>
                      <w:tcPr>
                        <w:tcW w:w="2192" w:type="dxa"/>
                        <w:gridSpan w:val="3"/>
                        <w:vMerge/>
                        <w:tcBorders>
                          <w:top w:val="nil"/>
                          <w:bottom w:val="nil"/>
                        </w:tcBorders>
                      </w:tcPr>
                      <w:p>
                        <w:pPr>
                          <w:rPr>
                            <w:sz w:val="2"/>
                            <w:szCs w:val="2"/>
                          </w:rPr>
                        </w:pPr>
                      </w:p>
                    </w:tc>
                    <w:tc>
                      <w:tcPr>
                        <w:tcW w:w="182" w:type="dxa"/>
                        <w:vMerge/>
                        <w:tcBorders>
                          <w:top w:val="nil"/>
                          <w:right w:val="nil"/>
                        </w:tcBorders>
                      </w:tcPr>
                      <w:p>
                        <w:pPr>
                          <w:rPr>
                            <w:sz w:val="2"/>
                            <w:szCs w:val="2"/>
                          </w:rPr>
                        </w:pPr>
                      </w:p>
                    </w:tc>
                    <w:tc>
                      <w:tcPr>
                        <w:tcW w:w="1828" w:type="dxa"/>
                        <w:vMerge/>
                        <w:tcBorders>
                          <w:top w:val="nil"/>
                          <w:left w:val="nil"/>
                          <w:right w:val="nil"/>
                        </w:tcBorders>
                        <w:shd w:val="clear" w:color="auto" w:fill="5B9BD4"/>
                      </w:tcPr>
                      <w:p>
                        <w:pPr>
                          <w:rPr>
                            <w:sz w:val="2"/>
                            <w:szCs w:val="2"/>
                          </w:rPr>
                        </w:pPr>
                      </w:p>
                    </w:tc>
                    <w:tc>
                      <w:tcPr>
                        <w:tcW w:w="182" w:type="dxa"/>
                        <w:vMerge w:val="restart"/>
                        <w:tcBorders>
                          <w:left w:val="nil"/>
                        </w:tcBorders>
                      </w:tcPr>
                      <w:p>
                        <w:pPr>
                          <w:pStyle w:val="TableParagraph"/>
                          <w:rPr>
                            <w:sz w:val="14"/>
                          </w:rPr>
                        </w:pPr>
                      </w:p>
                    </w:tc>
                  </w:tr>
                  <w:tr>
                    <w:trPr>
                      <w:trHeight w:val="88" w:hRule="atLeast"/>
                    </w:trPr>
                    <w:tc>
                      <w:tcPr>
                        <w:tcW w:w="182" w:type="dxa"/>
                        <w:vMerge/>
                        <w:tcBorders>
                          <w:top w:val="nil"/>
                          <w:right w:val="nil"/>
                        </w:tcBorders>
                      </w:tcPr>
                      <w:p>
                        <w:pPr>
                          <w:rPr>
                            <w:sz w:val="2"/>
                            <w:szCs w:val="2"/>
                          </w:rPr>
                        </w:pPr>
                      </w:p>
                    </w:tc>
                    <w:tc>
                      <w:tcPr>
                        <w:tcW w:w="1828" w:type="dxa"/>
                        <w:vMerge/>
                        <w:tcBorders>
                          <w:top w:val="nil"/>
                          <w:left w:val="nil"/>
                          <w:right w:val="nil"/>
                        </w:tcBorders>
                        <w:shd w:val="clear" w:color="auto" w:fill="5B9BD4"/>
                      </w:tcPr>
                      <w:p>
                        <w:pPr>
                          <w:rPr>
                            <w:sz w:val="2"/>
                            <w:szCs w:val="2"/>
                          </w:rPr>
                        </w:pPr>
                      </w:p>
                    </w:tc>
                    <w:tc>
                      <w:tcPr>
                        <w:tcW w:w="182" w:type="dxa"/>
                        <w:vMerge/>
                        <w:tcBorders>
                          <w:top w:val="nil"/>
                          <w:left w:val="nil"/>
                        </w:tcBorders>
                      </w:tcPr>
                      <w:p>
                        <w:pPr>
                          <w:rPr>
                            <w:sz w:val="2"/>
                            <w:szCs w:val="2"/>
                          </w:rPr>
                        </w:pPr>
                      </w:p>
                    </w:tc>
                    <w:tc>
                      <w:tcPr>
                        <w:tcW w:w="182" w:type="dxa"/>
                        <w:tcBorders>
                          <w:top w:val="nil"/>
                          <w:right w:val="nil"/>
                        </w:tcBorders>
                      </w:tcPr>
                      <w:p>
                        <w:pPr>
                          <w:pStyle w:val="TableParagraph"/>
                          <w:rPr>
                            <w:sz w:val="4"/>
                          </w:rPr>
                        </w:pPr>
                      </w:p>
                    </w:tc>
                    <w:tc>
                      <w:tcPr>
                        <w:tcW w:w="1828" w:type="dxa"/>
                        <w:vMerge w:val="restart"/>
                        <w:tcBorders>
                          <w:top w:val="nil"/>
                          <w:left w:val="nil"/>
                          <w:right w:val="nil"/>
                        </w:tcBorders>
                        <w:shd w:val="clear" w:color="auto" w:fill="5B9BD4"/>
                      </w:tcPr>
                      <w:p>
                        <w:pPr>
                          <w:pStyle w:val="TableParagraph"/>
                          <w:spacing w:before="1"/>
                          <w:rPr>
                            <w:sz w:val="29"/>
                          </w:rPr>
                        </w:pPr>
                      </w:p>
                      <w:p>
                        <w:pPr>
                          <w:pStyle w:val="TableParagraph"/>
                          <w:ind w:left="626"/>
                          <w:rPr>
                            <w:b/>
                            <w:sz w:val="18"/>
                          </w:rPr>
                        </w:pPr>
                        <w:r>
                          <w:rPr>
                            <w:b/>
                            <w:color w:val="FFFFFF"/>
                            <w:sz w:val="18"/>
                          </w:rPr>
                          <w:t>76,314.9</w:t>
                        </w:r>
                      </w:p>
                    </w:tc>
                    <w:tc>
                      <w:tcPr>
                        <w:tcW w:w="182" w:type="dxa"/>
                        <w:tcBorders>
                          <w:top w:val="nil"/>
                          <w:left w:val="nil"/>
                        </w:tcBorders>
                      </w:tcPr>
                      <w:p>
                        <w:pPr>
                          <w:pStyle w:val="TableParagraph"/>
                          <w:rPr>
                            <w:sz w:val="4"/>
                          </w:rPr>
                        </w:pPr>
                      </w:p>
                    </w:tc>
                    <w:tc>
                      <w:tcPr>
                        <w:tcW w:w="182" w:type="dxa"/>
                        <w:vMerge/>
                        <w:tcBorders>
                          <w:top w:val="nil"/>
                          <w:right w:val="nil"/>
                        </w:tcBorders>
                      </w:tcPr>
                      <w:p>
                        <w:pPr>
                          <w:rPr>
                            <w:sz w:val="2"/>
                            <w:szCs w:val="2"/>
                          </w:rPr>
                        </w:pPr>
                      </w:p>
                    </w:tc>
                    <w:tc>
                      <w:tcPr>
                        <w:tcW w:w="1828" w:type="dxa"/>
                        <w:vMerge/>
                        <w:tcBorders>
                          <w:top w:val="nil"/>
                          <w:left w:val="nil"/>
                          <w:right w:val="nil"/>
                        </w:tcBorders>
                        <w:shd w:val="clear" w:color="auto" w:fill="5B9BD4"/>
                      </w:tcPr>
                      <w:p>
                        <w:pPr>
                          <w:rPr>
                            <w:sz w:val="2"/>
                            <w:szCs w:val="2"/>
                          </w:rPr>
                        </w:pPr>
                      </w:p>
                    </w:tc>
                    <w:tc>
                      <w:tcPr>
                        <w:tcW w:w="182" w:type="dxa"/>
                        <w:vMerge/>
                        <w:tcBorders>
                          <w:top w:val="nil"/>
                          <w:left w:val="nil"/>
                        </w:tcBorders>
                      </w:tcPr>
                      <w:p>
                        <w:pPr>
                          <w:rPr>
                            <w:sz w:val="2"/>
                            <w:szCs w:val="2"/>
                          </w:rPr>
                        </w:pPr>
                      </w:p>
                    </w:tc>
                  </w:tr>
                  <w:tr>
                    <w:trPr>
                      <w:trHeight w:val="294" w:hRule="atLeast"/>
                    </w:trPr>
                    <w:tc>
                      <w:tcPr>
                        <w:tcW w:w="182" w:type="dxa"/>
                        <w:tcBorders>
                          <w:right w:val="nil"/>
                        </w:tcBorders>
                      </w:tcPr>
                      <w:p>
                        <w:pPr>
                          <w:pStyle w:val="TableParagraph"/>
                          <w:rPr>
                            <w:sz w:val="20"/>
                          </w:rPr>
                        </w:pPr>
                      </w:p>
                    </w:tc>
                    <w:tc>
                      <w:tcPr>
                        <w:tcW w:w="1828" w:type="dxa"/>
                        <w:vMerge/>
                        <w:tcBorders>
                          <w:top w:val="nil"/>
                          <w:left w:val="nil"/>
                          <w:right w:val="nil"/>
                        </w:tcBorders>
                        <w:shd w:val="clear" w:color="auto" w:fill="5B9BD4"/>
                      </w:tcPr>
                      <w:p>
                        <w:pPr>
                          <w:rPr>
                            <w:sz w:val="2"/>
                            <w:szCs w:val="2"/>
                          </w:rPr>
                        </w:pPr>
                      </w:p>
                    </w:tc>
                    <w:tc>
                      <w:tcPr>
                        <w:tcW w:w="182" w:type="dxa"/>
                        <w:tcBorders>
                          <w:left w:val="nil"/>
                        </w:tcBorders>
                      </w:tcPr>
                      <w:p>
                        <w:pPr>
                          <w:pStyle w:val="TableParagraph"/>
                          <w:rPr>
                            <w:sz w:val="20"/>
                          </w:rPr>
                        </w:pPr>
                      </w:p>
                    </w:tc>
                    <w:tc>
                      <w:tcPr>
                        <w:tcW w:w="182" w:type="dxa"/>
                        <w:tcBorders>
                          <w:right w:val="nil"/>
                        </w:tcBorders>
                      </w:tcPr>
                      <w:p>
                        <w:pPr>
                          <w:pStyle w:val="TableParagraph"/>
                          <w:rPr>
                            <w:sz w:val="20"/>
                          </w:rPr>
                        </w:pPr>
                      </w:p>
                    </w:tc>
                    <w:tc>
                      <w:tcPr>
                        <w:tcW w:w="1828" w:type="dxa"/>
                        <w:vMerge/>
                        <w:tcBorders>
                          <w:top w:val="nil"/>
                          <w:left w:val="nil"/>
                          <w:right w:val="nil"/>
                        </w:tcBorders>
                        <w:shd w:val="clear" w:color="auto" w:fill="5B9BD4"/>
                      </w:tcPr>
                      <w:p>
                        <w:pPr>
                          <w:rPr>
                            <w:sz w:val="2"/>
                            <w:szCs w:val="2"/>
                          </w:rPr>
                        </w:pPr>
                      </w:p>
                    </w:tc>
                    <w:tc>
                      <w:tcPr>
                        <w:tcW w:w="182" w:type="dxa"/>
                        <w:tcBorders>
                          <w:left w:val="nil"/>
                        </w:tcBorders>
                      </w:tcPr>
                      <w:p>
                        <w:pPr>
                          <w:pStyle w:val="TableParagraph"/>
                          <w:rPr>
                            <w:sz w:val="20"/>
                          </w:rPr>
                        </w:pPr>
                      </w:p>
                    </w:tc>
                    <w:tc>
                      <w:tcPr>
                        <w:tcW w:w="182" w:type="dxa"/>
                        <w:tcBorders>
                          <w:right w:val="nil"/>
                        </w:tcBorders>
                      </w:tcPr>
                      <w:p>
                        <w:pPr>
                          <w:pStyle w:val="TableParagraph"/>
                          <w:rPr>
                            <w:sz w:val="20"/>
                          </w:rPr>
                        </w:pPr>
                      </w:p>
                    </w:tc>
                    <w:tc>
                      <w:tcPr>
                        <w:tcW w:w="1828" w:type="dxa"/>
                        <w:vMerge/>
                        <w:tcBorders>
                          <w:top w:val="nil"/>
                          <w:left w:val="nil"/>
                          <w:right w:val="nil"/>
                        </w:tcBorders>
                        <w:shd w:val="clear" w:color="auto" w:fill="5B9BD4"/>
                      </w:tcPr>
                      <w:p>
                        <w:pPr>
                          <w:rPr>
                            <w:sz w:val="2"/>
                            <w:szCs w:val="2"/>
                          </w:rPr>
                        </w:pPr>
                      </w:p>
                    </w:tc>
                    <w:tc>
                      <w:tcPr>
                        <w:tcW w:w="182" w:type="dxa"/>
                        <w:tcBorders>
                          <w:left w:val="nil"/>
                        </w:tcBorders>
                      </w:tcPr>
                      <w:p>
                        <w:pPr>
                          <w:pStyle w:val="TableParagraph"/>
                          <w:rPr>
                            <w:sz w:val="20"/>
                          </w:rPr>
                        </w:pPr>
                      </w:p>
                    </w:tc>
                  </w:tr>
                  <w:tr>
                    <w:trPr>
                      <w:trHeight w:val="294" w:hRule="atLeast"/>
                    </w:trPr>
                    <w:tc>
                      <w:tcPr>
                        <w:tcW w:w="182" w:type="dxa"/>
                        <w:tcBorders>
                          <w:right w:val="nil"/>
                        </w:tcBorders>
                      </w:tcPr>
                      <w:p>
                        <w:pPr>
                          <w:pStyle w:val="TableParagraph"/>
                          <w:rPr>
                            <w:sz w:val="20"/>
                          </w:rPr>
                        </w:pPr>
                      </w:p>
                    </w:tc>
                    <w:tc>
                      <w:tcPr>
                        <w:tcW w:w="1828" w:type="dxa"/>
                        <w:vMerge/>
                        <w:tcBorders>
                          <w:top w:val="nil"/>
                          <w:left w:val="nil"/>
                          <w:right w:val="nil"/>
                        </w:tcBorders>
                        <w:shd w:val="clear" w:color="auto" w:fill="5B9BD4"/>
                      </w:tcPr>
                      <w:p>
                        <w:pPr>
                          <w:rPr>
                            <w:sz w:val="2"/>
                            <w:szCs w:val="2"/>
                          </w:rPr>
                        </w:pPr>
                      </w:p>
                    </w:tc>
                    <w:tc>
                      <w:tcPr>
                        <w:tcW w:w="182" w:type="dxa"/>
                        <w:tcBorders>
                          <w:left w:val="nil"/>
                        </w:tcBorders>
                      </w:tcPr>
                      <w:p>
                        <w:pPr>
                          <w:pStyle w:val="TableParagraph"/>
                          <w:rPr>
                            <w:sz w:val="20"/>
                          </w:rPr>
                        </w:pPr>
                      </w:p>
                    </w:tc>
                    <w:tc>
                      <w:tcPr>
                        <w:tcW w:w="182" w:type="dxa"/>
                        <w:tcBorders>
                          <w:right w:val="nil"/>
                        </w:tcBorders>
                      </w:tcPr>
                      <w:p>
                        <w:pPr>
                          <w:pStyle w:val="TableParagraph"/>
                          <w:rPr>
                            <w:sz w:val="20"/>
                          </w:rPr>
                        </w:pPr>
                      </w:p>
                    </w:tc>
                    <w:tc>
                      <w:tcPr>
                        <w:tcW w:w="1828" w:type="dxa"/>
                        <w:vMerge/>
                        <w:tcBorders>
                          <w:top w:val="nil"/>
                          <w:left w:val="nil"/>
                          <w:right w:val="nil"/>
                        </w:tcBorders>
                        <w:shd w:val="clear" w:color="auto" w:fill="5B9BD4"/>
                      </w:tcPr>
                      <w:p>
                        <w:pPr>
                          <w:rPr>
                            <w:sz w:val="2"/>
                            <w:szCs w:val="2"/>
                          </w:rPr>
                        </w:pPr>
                      </w:p>
                    </w:tc>
                    <w:tc>
                      <w:tcPr>
                        <w:tcW w:w="182" w:type="dxa"/>
                        <w:tcBorders>
                          <w:left w:val="nil"/>
                        </w:tcBorders>
                      </w:tcPr>
                      <w:p>
                        <w:pPr>
                          <w:pStyle w:val="TableParagraph"/>
                          <w:rPr>
                            <w:sz w:val="20"/>
                          </w:rPr>
                        </w:pPr>
                      </w:p>
                    </w:tc>
                    <w:tc>
                      <w:tcPr>
                        <w:tcW w:w="182" w:type="dxa"/>
                        <w:tcBorders>
                          <w:right w:val="nil"/>
                        </w:tcBorders>
                      </w:tcPr>
                      <w:p>
                        <w:pPr>
                          <w:pStyle w:val="TableParagraph"/>
                          <w:rPr>
                            <w:sz w:val="20"/>
                          </w:rPr>
                        </w:pPr>
                      </w:p>
                    </w:tc>
                    <w:tc>
                      <w:tcPr>
                        <w:tcW w:w="1828" w:type="dxa"/>
                        <w:vMerge/>
                        <w:tcBorders>
                          <w:top w:val="nil"/>
                          <w:left w:val="nil"/>
                          <w:right w:val="nil"/>
                        </w:tcBorders>
                        <w:shd w:val="clear" w:color="auto" w:fill="5B9BD4"/>
                      </w:tcPr>
                      <w:p>
                        <w:pPr>
                          <w:rPr>
                            <w:sz w:val="2"/>
                            <w:szCs w:val="2"/>
                          </w:rPr>
                        </w:pPr>
                      </w:p>
                    </w:tc>
                    <w:tc>
                      <w:tcPr>
                        <w:tcW w:w="182" w:type="dxa"/>
                        <w:tcBorders>
                          <w:left w:val="nil"/>
                        </w:tcBorders>
                      </w:tcPr>
                      <w:p>
                        <w:pPr>
                          <w:pStyle w:val="TableParagraph"/>
                          <w:rPr>
                            <w:sz w:val="20"/>
                          </w:rPr>
                        </w:pPr>
                      </w:p>
                    </w:tc>
                  </w:tr>
                  <w:tr>
                    <w:trPr>
                      <w:trHeight w:val="294" w:hRule="atLeast"/>
                    </w:trPr>
                    <w:tc>
                      <w:tcPr>
                        <w:tcW w:w="182" w:type="dxa"/>
                        <w:tcBorders>
                          <w:right w:val="nil"/>
                        </w:tcBorders>
                      </w:tcPr>
                      <w:p>
                        <w:pPr>
                          <w:pStyle w:val="TableParagraph"/>
                          <w:rPr>
                            <w:sz w:val="20"/>
                          </w:rPr>
                        </w:pPr>
                      </w:p>
                    </w:tc>
                    <w:tc>
                      <w:tcPr>
                        <w:tcW w:w="1828" w:type="dxa"/>
                        <w:vMerge/>
                        <w:tcBorders>
                          <w:top w:val="nil"/>
                          <w:left w:val="nil"/>
                          <w:right w:val="nil"/>
                        </w:tcBorders>
                        <w:shd w:val="clear" w:color="auto" w:fill="5B9BD4"/>
                      </w:tcPr>
                      <w:p>
                        <w:pPr>
                          <w:rPr>
                            <w:sz w:val="2"/>
                            <w:szCs w:val="2"/>
                          </w:rPr>
                        </w:pPr>
                      </w:p>
                    </w:tc>
                    <w:tc>
                      <w:tcPr>
                        <w:tcW w:w="182" w:type="dxa"/>
                        <w:tcBorders>
                          <w:left w:val="nil"/>
                        </w:tcBorders>
                      </w:tcPr>
                      <w:p>
                        <w:pPr>
                          <w:pStyle w:val="TableParagraph"/>
                          <w:rPr>
                            <w:sz w:val="20"/>
                          </w:rPr>
                        </w:pPr>
                      </w:p>
                    </w:tc>
                    <w:tc>
                      <w:tcPr>
                        <w:tcW w:w="182" w:type="dxa"/>
                        <w:tcBorders>
                          <w:right w:val="nil"/>
                        </w:tcBorders>
                      </w:tcPr>
                      <w:p>
                        <w:pPr>
                          <w:pStyle w:val="TableParagraph"/>
                          <w:rPr>
                            <w:sz w:val="20"/>
                          </w:rPr>
                        </w:pPr>
                      </w:p>
                    </w:tc>
                    <w:tc>
                      <w:tcPr>
                        <w:tcW w:w="1828" w:type="dxa"/>
                        <w:vMerge/>
                        <w:tcBorders>
                          <w:top w:val="nil"/>
                          <w:left w:val="nil"/>
                          <w:right w:val="nil"/>
                        </w:tcBorders>
                        <w:shd w:val="clear" w:color="auto" w:fill="5B9BD4"/>
                      </w:tcPr>
                      <w:p>
                        <w:pPr>
                          <w:rPr>
                            <w:sz w:val="2"/>
                            <w:szCs w:val="2"/>
                          </w:rPr>
                        </w:pPr>
                      </w:p>
                    </w:tc>
                    <w:tc>
                      <w:tcPr>
                        <w:tcW w:w="182" w:type="dxa"/>
                        <w:tcBorders>
                          <w:left w:val="nil"/>
                        </w:tcBorders>
                      </w:tcPr>
                      <w:p>
                        <w:pPr>
                          <w:pStyle w:val="TableParagraph"/>
                          <w:rPr>
                            <w:sz w:val="20"/>
                          </w:rPr>
                        </w:pPr>
                      </w:p>
                    </w:tc>
                    <w:tc>
                      <w:tcPr>
                        <w:tcW w:w="182" w:type="dxa"/>
                        <w:tcBorders>
                          <w:right w:val="nil"/>
                        </w:tcBorders>
                      </w:tcPr>
                      <w:p>
                        <w:pPr>
                          <w:pStyle w:val="TableParagraph"/>
                          <w:rPr>
                            <w:sz w:val="20"/>
                          </w:rPr>
                        </w:pPr>
                      </w:p>
                    </w:tc>
                    <w:tc>
                      <w:tcPr>
                        <w:tcW w:w="1828" w:type="dxa"/>
                        <w:vMerge/>
                        <w:tcBorders>
                          <w:top w:val="nil"/>
                          <w:left w:val="nil"/>
                          <w:right w:val="nil"/>
                        </w:tcBorders>
                        <w:shd w:val="clear" w:color="auto" w:fill="5B9BD4"/>
                      </w:tcPr>
                      <w:p>
                        <w:pPr>
                          <w:rPr>
                            <w:sz w:val="2"/>
                            <w:szCs w:val="2"/>
                          </w:rPr>
                        </w:pPr>
                      </w:p>
                    </w:tc>
                    <w:tc>
                      <w:tcPr>
                        <w:tcW w:w="182" w:type="dxa"/>
                        <w:tcBorders>
                          <w:left w:val="nil"/>
                        </w:tcBorders>
                      </w:tcPr>
                      <w:p>
                        <w:pPr>
                          <w:pStyle w:val="TableParagraph"/>
                          <w:rPr>
                            <w:sz w:val="20"/>
                          </w:rPr>
                        </w:pPr>
                      </w:p>
                    </w:tc>
                  </w:tr>
                  <w:tr>
                    <w:trPr>
                      <w:trHeight w:val="294" w:hRule="atLeast"/>
                    </w:trPr>
                    <w:tc>
                      <w:tcPr>
                        <w:tcW w:w="182" w:type="dxa"/>
                        <w:tcBorders>
                          <w:right w:val="nil"/>
                        </w:tcBorders>
                      </w:tcPr>
                      <w:p>
                        <w:pPr>
                          <w:pStyle w:val="TableParagraph"/>
                          <w:rPr>
                            <w:sz w:val="20"/>
                          </w:rPr>
                        </w:pPr>
                      </w:p>
                    </w:tc>
                    <w:tc>
                      <w:tcPr>
                        <w:tcW w:w="1828" w:type="dxa"/>
                        <w:vMerge/>
                        <w:tcBorders>
                          <w:top w:val="nil"/>
                          <w:left w:val="nil"/>
                          <w:right w:val="nil"/>
                        </w:tcBorders>
                        <w:shd w:val="clear" w:color="auto" w:fill="5B9BD4"/>
                      </w:tcPr>
                      <w:p>
                        <w:pPr>
                          <w:rPr>
                            <w:sz w:val="2"/>
                            <w:szCs w:val="2"/>
                          </w:rPr>
                        </w:pPr>
                      </w:p>
                    </w:tc>
                    <w:tc>
                      <w:tcPr>
                        <w:tcW w:w="182" w:type="dxa"/>
                        <w:tcBorders>
                          <w:left w:val="nil"/>
                        </w:tcBorders>
                      </w:tcPr>
                      <w:p>
                        <w:pPr>
                          <w:pStyle w:val="TableParagraph"/>
                          <w:rPr>
                            <w:sz w:val="20"/>
                          </w:rPr>
                        </w:pPr>
                      </w:p>
                    </w:tc>
                    <w:tc>
                      <w:tcPr>
                        <w:tcW w:w="182" w:type="dxa"/>
                        <w:tcBorders>
                          <w:right w:val="nil"/>
                        </w:tcBorders>
                      </w:tcPr>
                      <w:p>
                        <w:pPr>
                          <w:pStyle w:val="TableParagraph"/>
                          <w:rPr>
                            <w:sz w:val="20"/>
                          </w:rPr>
                        </w:pPr>
                      </w:p>
                    </w:tc>
                    <w:tc>
                      <w:tcPr>
                        <w:tcW w:w="1828" w:type="dxa"/>
                        <w:vMerge/>
                        <w:tcBorders>
                          <w:top w:val="nil"/>
                          <w:left w:val="nil"/>
                          <w:right w:val="nil"/>
                        </w:tcBorders>
                        <w:shd w:val="clear" w:color="auto" w:fill="5B9BD4"/>
                      </w:tcPr>
                      <w:p>
                        <w:pPr>
                          <w:rPr>
                            <w:sz w:val="2"/>
                            <w:szCs w:val="2"/>
                          </w:rPr>
                        </w:pPr>
                      </w:p>
                    </w:tc>
                    <w:tc>
                      <w:tcPr>
                        <w:tcW w:w="182" w:type="dxa"/>
                        <w:tcBorders>
                          <w:left w:val="nil"/>
                        </w:tcBorders>
                      </w:tcPr>
                      <w:p>
                        <w:pPr>
                          <w:pStyle w:val="TableParagraph"/>
                          <w:rPr>
                            <w:sz w:val="20"/>
                          </w:rPr>
                        </w:pPr>
                      </w:p>
                    </w:tc>
                    <w:tc>
                      <w:tcPr>
                        <w:tcW w:w="182" w:type="dxa"/>
                        <w:tcBorders>
                          <w:right w:val="nil"/>
                        </w:tcBorders>
                      </w:tcPr>
                      <w:p>
                        <w:pPr>
                          <w:pStyle w:val="TableParagraph"/>
                          <w:rPr>
                            <w:sz w:val="20"/>
                          </w:rPr>
                        </w:pPr>
                      </w:p>
                    </w:tc>
                    <w:tc>
                      <w:tcPr>
                        <w:tcW w:w="1828" w:type="dxa"/>
                        <w:vMerge/>
                        <w:tcBorders>
                          <w:top w:val="nil"/>
                          <w:left w:val="nil"/>
                          <w:right w:val="nil"/>
                        </w:tcBorders>
                        <w:shd w:val="clear" w:color="auto" w:fill="5B9BD4"/>
                      </w:tcPr>
                      <w:p>
                        <w:pPr>
                          <w:rPr>
                            <w:sz w:val="2"/>
                            <w:szCs w:val="2"/>
                          </w:rPr>
                        </w:pPr>
                      </w:p>
                    </w:tc>
                    <w:tc>
                      <w:tcPr>
                        <w:tcW w:w="182" w:type="dxa"/>
                        <w:tcBorders>
                          <w:left w:val="nil"/>
                        </w:tcBorders>
                      </w:tcPr>
                      <w:p>
                        <w:pPr>
                          <w:pStyle w:val="TableParagraph"/>
                          <w:rPr>
                            <w:sz w:val="20"/>
                          </w:rPr>
                        </w:pPr>
                      </w:p>
                    </w:tc>
                  </w:tr>
                  <w:tr>
                    <w:trPr>
                      <w:trHeight w:val="294" w:hRule="atLeast"/>
                    </w:trPr>
                    <w:tc>
                      <w:tcPr>
                        <w:tcW w:w="182" w:type="dxa"/>
                        <w:tcBorders>
                          <w:right w:val="nil"/>
                        </w:tcBorders>
                      </w:tcPr>
                      <w:p>
                        <w:pPr>
                          <w:pStyle w:val="TableParagraph"/>
                          <w:rPr>
                            <w:sz w:val="20"/>
                          </w:rPr>
                        </w:pPr>
                      </w:p>
                    </w:tc>
                    <w:tc>
                      <w:tcPr>
                        <w:tcW w:w="1828" w:type="dxa"/>
                        <w:vMerge/>
                        <w:tcBorders>
                          <w:top w:val="nil"/>
                          <w:left w:val="nil"/>
                          <w:right w:val="nil"/>
                        </w:tcBorders>
                        <w:shd w:val="clear" w:color="auto" w:fill="5B9BD4"/>
                      </w:tcPr>
                      <w:p>
                        <w:pPr>
                          <w:rPr>
                            <w:sz w:val="2"/>
                            <w:szCs w:val="2"/>
                          </w:rPr>
                        </w:pPr>
                      </w:p>
                    </w:tc>
                    <w:tc>
                      <w:tcPr>
                        <w:tcW w:w="182" w:type="dxa"/>
                        <w:tcBorders>
                          <w:left w:val="nil"/>
                        </w:tcBorders>
                      </w:tcPr>
                      <w:p>
                        <w:pPr>
                          <w:pStyle w:val="TableParagraph"/>
                          <w:rPr>
                            <w:sz w:val="20"/>
                          </w:rPr>
                        </w:pPr>
                      </w:p>
                    </w:tc>
                    <w:tc>
                      <w:tcPr>
                        <w:tcW w:w="182" w:type="dxa"/>
                        <w:tcBorders>
                          <w:right w:val="nil"/>
                        </w:tcBorders>
                      </w:tcPr>
                      <w:p>
                        <w:pPr>
                          <w:pStyle w:val="TableParagraph"/>
                          <w:rPr>
                            <w:sz w:val="20"/>
                          </w:rPr>
                        </w:pPr>
                      </w:p>
                    </w:tc>
                    <w:tc>
                      <w:tcPr>
                        <w:tcW w:w="1828" w:type="dxa"/>
                        <w:vMerge/>
                        <w:tcBorders>
                          <w:top w:val="nil"/>
                          <w:left w:val="nil"/>
                          <w:right w:val="nil"/>
                        </w:tcBorders>
                        <w:shd w:val="clear" w:color="auto" w:fill="5B9BD4"/>
                      </w:tcPr>
                      <w:p>
                        <w:pPr>
                          <w:rPr>
                            <w:sz w:val="2"/>
                            <w:szCs w:val="2"/>
                          </w:rPr>
                        </w:pPr>
                      </w:p>
                    </w:tc>
                    <w:tc>
                      <w:tcPr>
                        <w:tcW w:w="182" w:type="dxa"/>
                        <w:tcBorders>
                          <w:left w:val="nil"/>
                        </w:tcBorders>
                      </w:tcPr>
                      <w:p>
                        <w:pPr>
                          <w:pStyle w:val="TableParagraph"/>
                          <w:rPr>
                            <w:sz w:val="20"/>
                          </w:rPr>
                        </w:pPr>
                      </w:p>
                    </w:tc>
                    <w:tc>
                      <w:tcPr>
                        <w:tcW w:w="182" w:type="dxa"/>
                        <w:tcBorders>
                          <w:right w:val="nil"/>
                        </w:tcBorders>
                      </w:tcPr>
                      <w:p>
                        <w:pPr>
                          <w:pStyle w:val="TableParagraph"/>
                          <w:rPr>
                            <w:sz w:val="20"/>
                          </w:rPr>
                        </w:pPr>
                      </w:p>
                    </w:tc>
                    <w:tc>
                      <w:tcPr>
                        <w:tcW w:w="1828" w:type="dxa"/>
                        <w:vMerge/>
                        <w:tcBorders>
                          <w:top w:val="nil"/>
                          <w:left w:val="nil"/>
                          <w:right w:val="nil"/>
                        </w:tcBorders>
                        <w:shd w:val="clear" w:color="auto" w:fill="5B9BD4"/>
                      </w:tcPr>
                      <w:p>
                        <w:pPr>
                          <w:rPr>
                            <w:sz w:val="2"/>
                            <w:szCs w:val="2"/>
                          </w:rPr>
                        </w:pPr>
                      </w:p>
                    </w:tc>
                    <w:tc>
                      <w:tcPr>
                        <w:tcW w:w="182" w:type="dxa"/>
                        <w:tcBorders>
                          <w:left w:val="nil"/>
                        </w:tcBorders>
                      </w:tcPr>
                      <w:p>
                        <w:pPr>
                          <w:pStyle w:val="TableParagraph"/>
                          <w:rPr>
                            <w:sz w:val="20"/>
                          </w:rPr>
                        </w:pPr>
                      </w:p>
                    </w:tc>
                  </w:tr>
                </w:tbl>
                <w:p>
                  <w:pPr>
                    <w:pStyle w:val="BodyText"/>
                  </w:pPr>
                </w:p>
              </w:txbxContent>
            </v:textbox>
            <w10:wrap type="none"/>
          </v:shape>
        </w:pict>
      </w:r>
      <w:r>
        <w:rPr>
          <w:b/>
          <w:color w:val="585858"/>
          <w:sz w:val="18"/>
        </w:rPr>
        <w:t>2021</w:t>
        <w:tab/>
      </w:r>
      <w:r>
        <w:rPr>
          <w:b/>
          <w:color w:val="585858"/>
          <w:spacing w:val="-1"/>
          <w:sz w:val="18"/>
        </w:rPr>
        <w:t>Presupuesto</w:t>
      </w:r>
    </w:p>
    <w:p>
      <w:pPr>
        <w:spacing w:before="0"/>
        <w:ind w:left="0" w:right="0" w:firstLine="0"/>
        <w:jc w:val="right"/>
        <w:rPr>
          <w:b/>
          <w:sz w:val="18"/>
        </w:rPr>
      </w:pPr>
      <w:r>
        <w:rPr>
          <w:b/>
          <w:color w:val="585858"/>
          <w:sz w:val="18"/>
        </w:rPr>
        <w:t>vigente</w:t>
      </w:r>
      <w:r>
        <w:rPr>
          <w:b/>
          <w:color w:val="585858"/>
          <w:spacing w:val="-5"/>
          <w:sz w:val="18"/>
        </w:rPr>
        <w:t> </w:t>
      </w:r>
      <w:r>
        <w:rPr>
          <w:b/>
          <w:color w:val="585858"/>
          <w:sz w:val="18"/>
        </w:rPr>
        <w:t>2022</w:t>
      </w:r>
    </w:p>
    <w:p>
      <w:pPr>
        <w:pStyle w:val="BodyText"/>
        <w:rPr>
          <w:b/>
          <w:sz w:val="20"/>
        </w:rPr>
      </w:pPr>
      <w:r>
        <w:rPr/>
        <w:br w:type="column"/>
      </w:r>
      <w:r>
        <w:rPr>
          <w:b/>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3"/>
        </w:rPr>
      </w:pPr>
    </w:p>
    <w:p>
      <w:pPr>
        <w:spacing w:before="0"/>
        <w:ind w:left="1130" w:right="3166" w:firstLine="298"/>
        <w:jc w:val="left"/>
        <w:rPr>
          <w:b/>
          <w:sz w:val="18"/>
        </w:rPr>
      </w:pPr>
      <w:r>
        <w:rPr>
          <w:b/>
          <w:color w:val="585858"/>
          <w:sz w:val="18"/>
        </w:rPr>
        <w:t>Cierre estimado 2022</w:t>
      </w:r>
    </w:p>
    <w:p>
      <w:pPr>
        <w:spacing w:after="0"/>
        <w:jc w:val="left"/>
        <w:rPr>
          <w:sz w:val="18"/>
        </w:rPr>
        <w:sectPr>
          <w:type w:val="continuous"/>
          <w:pgSz w:w="12240" w:h="15840"/>
          <w:pgMar w:top="1500" w:bottom="280" w:left="1140" w:right="0"/>
          <w:cols w:num="3" w:equalWidth="0">
            <w:col w:w="1729" w:space="40"/>
            <w:col w:w="3881" w:space="39"/>
            <w:col w:w="5411"/>
          </w:cols>
        </w:sectPr>
      </w:pPr>
    </w:p>
    <w:p>
      <w:pPr>
        <w:pStyle w:val="BodyText"/>
        <w:spacing w:before="2"/>
        <w:rPr>
          <w:b/>
          <w:sz w:val="19"/>
        </w:rPr>
      </w:pPr>
    </w:p>
    <w:p>
      <w:pPr>
        <w:spacing w:before="95"/>
        <w:ind w:left="1831" w:right="0" w:firstLine="0"/>
        <w:jc w:val="left"/>
        <w:rPr>
          <w:sz w:val="16"/>
        </w:rPr>
      </w:pPr>
      <w:r>
        <w:rPr>
          <w:sz w:val="16"/>
        </w:rPr>
        <w:t>Fuente: Superintendencia de Administración Tributaria</w:t>
      </w:r>
    </w:p>
    <w:p>
      <w:pPr>
        <w:spacing w:after="0"/>
        <w:jc w:val="left"/>
        <w:rPr>
          <w:sz w:val="16"/>
        </w:rPr>
        <w:sectPr>
          <w:type w:val="continuous"/>
          <w:pgSz w:w="12240" w:h="15840"/>
          <w:pgMar w:top="1500" w:bottom="280" w:left="1140" w:right="0"/>
        </w:sectPr>
      </w:pPr>
    </w:p>
    <w:p>
      <w:pPr>
        <w:pStyle w:val="BodyText"/>
        <w:spacing w:line="276" w:lineRule="auto" w:before="162"/>
        <w:ind w:left="562" w:right="1696"/>
        <w:jc w:val="both"/>
      </w:pPr>
      <w:r>
        <w:rPr/>
        <w:t>Destaca en este cierre preliminar, el desempeño de los impuestos asociados al comercio exterior que a</w:t>
      </w:r>
      <w:r>
        <w:rPr>
          <w:spacing w:val="-15"/>
        </w:rPr>
        <w:t> </w:t>
      </w:r>
      <w:r>
        <w:rPr/>
        <w:t>junio</w:t>
      </w:r>
      <w:r>
        <w:rPr>
          <w:spacing w:val="-15"/>
        </w:rPr>
        <w:t> </w:t>
      </w:r>
      <w:r>
        <w:rPr/>
        <w:t>tienen</w:t>
      </w:r>
      <w:r>
        <w:rPr>
          <w:spacing w:val="-13"/>
        </w:rPr>
        <w:t> </w:t>
      </w:r>
      <w:r>
        <w:rPr/>
        <w:t>un</w:t>
      </w:r>
      <w:r>
        <w:rPr>
          <w:spacing w:val="-16"/>
        </w:rPr>
        <w:t> </w:t>
      </w:r>
      <w:r>
        <w:rPr/>
        <w:t>crecimiento</w:t>
      </w:r>
      <w:r>
        <w:rPr>
          <w:spacing w:val="-13"/>
        </w:rPr>
        <w:t> </w:t>
      </w:r>
      <w:r>
        <w:rPr/>
        <w:t>del</w:t>
      </w:r>
      <w:r>
        <w:rPr>
          <w:spacing w:val="-11"/>
        </w:rPr>
        <w:t> </w:t>
      </w:r>
      <w:r>
        <w:rPr/>
        <w:t>28.2%</w:t>
      </w:r>
      <w:r>
        <w:rPr>
          <w:spacing w:val="-13"/>
        </w:rPr>
        <w:t> </w:t>
      </w:r>
      <w:r>
        <w:rPr/>
        <w:t>respecto</w:t>
      </w:r>
      <w:r>
        <w:rPr>
          <w:spacing w:val="-16"/>
        </w:rPr>
        <w:t> </w:t>
      </w:r>
      <w:r>
        <w:rPr/>
        <w:t>a</w:t>
      </w:r>
      <w:r>
        <w:rPr>
          <w:spacing w:val="-13"/>
        </w:rPr>
        <w:t> </w:t>
      </w:r>
      <w:r>
        <w:rPr/>
        <w:t>lo</w:t>
      </w:r>
      <w:r>
        <w:rPr>
          <w:spacing w:val="-16"/>
        </w:rPr>
        <w:t> </w:t>
      </w:r>
      <w:r>
        <w:rPr/>
        <w:t>observado</w:t>
      </w:r>
      <w:r>
        <w:rPr>
          <w:spacing w:val="-13"/>
        </w:rPr>
        <w:t> </w:t>
      </w:r>
      <w:r>
        <w:rPr/>
        <w:t>en</w:t>
      </w:r>
      <w:r>
        <w:rPr>
          <w:spacing w:val="-15"/>
        </w:rPr>
        <w:t> </w:t>
      </w:r>
      <w:r>
        <w:rPr/>
        <w:t>2021</w:t>
      </w:r>
      <w:r>
        <w:rPr>
          <w:spacing w:val="-13"/>
        </w:rPr>
        <w:t> </w:t>
      </w:r>
      <w:r>
        <w:rPr/>
        <w:t>esto</w:t>
      </w:r>
      <w:r>
        <w:rPr>
          <w:spacing w:val="-13"/>
        </w:rPr>
        <w:t> </w:t>
      </w:r>
      <w:r>
        <w:rPr/>
        <w:t>derivado</w:t>
      </w:r>
      <w:r>
        <w:rPr>
          <w:spacing w:val="-13"/>
        </w:rPr>
        <w:t> </w:t>
      </w:r>
      <w:r>
        <w:rPr/>
        <w:t>en</w:t>
      </w:r>
      <w:r>
        <w:rPr>
          <w:spacing w:val="-13"/>
        </w:rPr>
        <w:t> </w:t>
      </w:r>
      <w:r>
        <w:rPr/>
        <w:t>gran</w:t>
      </w:r>
      <w:r>
        <w:rPr>
          <w:spacing w:val="-13"/>
        </w:rPr>
        <w:t> </w:t>
      </w:r>
      <w:r>
        <w:rPr/>
        <w:t>medida al aumento de precios internacionales principalmente de los derivados del</w:t>
      </w:r>
      <w:r>
        <w:rPr>
          <w:spacing w:val="-13"/>
        </w:rPr>
        <w:t> </w:t>
      </w:r>
      <w:r>
        <w:rPr/>
        <w:t>petróleo.</w:t>
      </w:r>
    </w:p>
    <w:p>
      <w:pPr>
        <w:pStyle w:val="BodyText"/>
        <w:spacing w:before="9"/>
        <w:rPr>
          <w:sz w:val="25"/>
        </w:rPr>
      </w:pPr>
    </w:p>
    <w:p>
      <w:pPr>
        <w:pStyle w:val="Heading3"/>
        <w:numPr>
          <w:ilvl w:val="2"/>
          <w:numId w:val="13"/>
        </w:numPr>
        <w:tabs>
          <w:tab w:pos="1354" w:val="left" w:leader="none"/>
        </w:tabs>
        <w:spacing w:line="240" w:lineRule="auto" w:before="0" w:after="0"/>
        <w:ind w:left="1354" w:right="0" w:hanging="433"/>
        <w:jc w:val="left"/>
      </w:pPr>
      <w:bookmarkStart w:name="_bookmark175" w:id="222"/>
      <w:bookmarkEnd w:id="222"/>
      <w:r>
        <w:rPr>
          <w:b w:val="0"/>
        </w:rPr>
      </w:r>
      <w:bookmarkStart w:name="_bookmark175" w:id="223"/>
      <w:bookmarkEnd w:id="223"/>
      <w:r>
        <w:rPr/>
        <w:t>Es</w:t>
      </w:r>
      <w:r>
        <w:rPr/>
        <w:t>timación de</w:t>
      </w:r>
      <w:r>
        <w:rPr>
          <w:spacing w:val="-3"/>
        </w:rPr>
        <w:t> </w:t>
      </w:r>
      <w:r>
        <w:rPr/>
        <w:t>gasto</w:t>
      </w:r>
    </w:p>
    <w:p>
      <w:pPr>
        <w:pStyle w:val="BodyText"/>
        <w:spacing w:before="1"/>
        <w:rPr>
          <w:b/>
          <w:sz w:val="28"/>
        </w:rPr>
      </w:pPr>
    </w:p>
    <w:p>
      <w:pPr>
        <w:pStyle w:val="BodyText"/>
        <w:spacing w:line="276" w:lineRule="auto"/>
        <w:ind w:left="562" w:right="1694"/>
        <w:jc w:val="both"/>
      </w:pPr>
      <w:r>
        <w:rPr/>
        <w:t>En</w:t>
      </w:r>
      <w:r>
        <w:rPr>
          <w:spacing w:val="-9"/>
        </w:rPr>
        <w:t> </w:t>
      </w:r>
      <w:r>
        <w:rPr/>
        <w:t>lo</w:t>
      </w:r>
      <w:r>
        <w:rPr>
          <w:spacing w:val="-9"/>
        </w:rPr>
        <w:t> </w:t>
      </w:r>
      <w:r>
        <w:rPr/>
        <w:t>que</w:t>
      </w:r>
      <w:r>
        <w:rPr>
          <w:spacing w:val="-11"/>
        </w:rPr>
        <w:t> </w:t>
      </w:r>
      <w:r>
        <w:rPr/>
        <w:t>respecta</w:t>
      </w:r>
      <w:r>
        <w:rPr>
          <w:spacing w:val="-7"/>
        </w:rPr>
        <w:t> </w:t>
      </w:r>
      <w:r>
        <w:rPr/>
        <w:t>a</w:t>
      </w:r>
      <w:r>
        <w:rPr>
          <w:spacing w:val="-10"/>
        </w:rPr>
        <w:t> </w:t>
      </w:r>
      <w:r>
        <w:rPr/>
        <w:t>la</w:t>
      </w:r>
      <w:r>
        <w:rPr>
          <w:spacing w:val="-8"/>
        </w:rPr>
        <w:t> </w:t>
      </w:r>
      <w:r>
        <w:rPr/>
        <w:t>ejecución</w:t>
      </w:r>
      <w:r>
        <w:rPr>
          <w:spacing w:val="-9"/>
        </w:rPr>
        <w:t> </w:t>
      </w:r>
      <w:r>
        <w:rPr/>
        <w:t>de</w:t>
      </w:r>
      <w:r>
        <w:rPr>
          <w:spacing w:val="-7"/>
        </w:rPr>
        <w:t> </w:t>
      </w:r>
      <w:r>
        <w:rPr/>
        <w:t>gasto</w:t>
      </w:r>
      <w:r>
        <w:rPr>
          <w:spacing w:val="-9"/>
        </w:rPr>
        <w:t> </w:t>
      </w:r>
      <w:r>
        <w:rPr/>
        <w:t>público,</w:t>
      </w:r>
      <w:r>
        <w:rPr>
          <w:spacing w:val="-6"/>
        </w:rPr>
        <w:t> </w:t>
      </w:r>
      <w:r>
        <w:rPr/>
        <w:t>el</w:t>
      </w:r>
      <w:r>
        <w:rPr>
          <w:spacing w:val="-8"/>
        </w:rPr>
        <w:t> </w:t>
      </w:r>
      <w:r>
        <w:rPr/>
        <w:t>2022</w:t>
      </w:r>
      <w:r>
        <w:rPr>
          <w:spacing w:val="-8"/>
        </w:rPr>
        <w:t> </w:t>
      </w:r>
      <w:r>
        <w:rPr/>
        <w:t>arrancó</w:t>
      </w:r>
      <w:r>
        <w:rPr>
          <w:spacing w:val="-8"/>
        </w:rPr>
        <w:t> </w:t>
      </w:r>
      <w:r>
        <w:rPr/>
        <w:t>con</w:t>
      </w:r>
      <w:r>
        <w:rPr>
          <w:spacing w:val="-10"/>
        </w:rPr>
        <w:t> </w:t>
      </w:r>
      <w:r>
        <w:rPr/>
        <w:t>la</w:t>
      </w:r>
      <w:r>
        <w:rPr>
          <w:spacing w:val="-8"/>
        </w:rPr>
        <w:t> </w:t>
      </w:r>
      <w:r>
        <w:rPr/>
        <w:t>particularidad</w:t>
      </w:r>
      <w:r>
        <w:rPr>
          <w:spacing w:val="-8"/>
        </w:rPr>
        <w:t> </w:t>
      </w:r>
      <w:r>
        <w:rPr/>
        <w:t>de</w:t>
      </w:r>
      <w:r>
        <w:rPr>
          <w:spacing w:val="-8"/>
        </w:rPr>
        <w:t> </w:t>
      </w:r>
      <w:r>
        <w:rPr/>
        <w:t>contar</w:t>
      </w:r>
      <w:r>
        <w:rPr>
          <w:spacing w:val="-8"/>
        </w:rPr>
        <w:t> </w:t>
      </w:r>
      <w:r>
        <w:rPr/>
        <w:t>con un Presupuesto General de Ingresos y Egresos del Estado para el Ejercicio Fiscal aprobado por el Congreso de la República, algo que no había sucedido en los últimos dos años (2020 y 2021). Esta medida se considera favorable porque da mayor certeza en la ejecución de la política pública y el manejo de la política</w:t>
      </w:r>
      <w:r>
        <w:rPr>
          <w:spacing w:val="-1"/>
        </w:rPr>
        <w:t> </w:t>
      </w:r>
      <w:r>
        <w:rPr/>
        <w:t>fiscal.</w:t>
      </w:r>
    </w:p>
    <w:p>
      <w:pPr>
        <w:pStyle w:val="BodyText"/>
        <w:spacing w:before="2"/>
        <w:rPr>
          <w:sz w:val="25"/>
        </w:rPr>
      </w:pPr>
    </w:p>
    <w:p>
      <w:pPr>
        <w:pStyle w:val="BodyText"/>
        <w:spacing w:line="276" w:lineRule="auto" w:before="1"/>
        <w:ind w:left="562" w:right="1697"/>
        <w:jc w:val="both"/>
      </w:pPr>
      <w:r>
        <w:rPr/>
        <w:t>Por lo anterior, se conocía de antemano que la ejecución sería más dinámica que la observada en el año previo, y si bien la crisis sanitaria y económica no ha sido superada en su totalidad, se considera que lo peor ha quedado atrás y en 2022 el foco de atención es continuar con la vacunación en los grupos que se encuentran rezagados, además de concentrar los esfuerzos en como aliviar el efecto negativo en los hogares guatemaltecos del incremento de los precios internacionales, tomando en consideración que estos responden principalmente a una dinámica internacional derivada de las tensiones</w:t>
      </w:r>
      <w:r>
        <w:rPr>
          <w:spacing w:val="-11"/>
        </w:rPr>
        <w:t> </w:t>
      </w:r>
      <w:r>
        <w:rPr/>
        <w:t>geopolíticas</w:t>
      </w:r>
      <w:r>
        <w:rPr>
          <w:spacing w:val="-11"/>
        </w:rPr>
        <w:t> </w:t>
      </w:r>
      <w:r>
        <w:rPr/>
        <w:t>que</w:t>
      </w:r>
      <w:r>
        <w:rPr>
          <w:spacing w:val="-11"/>
        </w:rPr>
        <w:t> </w:t>
      </w:r>
      <w:r>
        <w:rPr/>
        <w:t>ha</w:t>
      </w:r>
      <w:r>
        <w:rPr>
          <w:spacing w:val="-11"/>
        </w:rPr>
        <w:t> </w:t>
      </w:r>
      <w:r>
        <w:rPr/>
        <w:t>generado</w:t>
      </w:r>
      <w:r>
        <w:rPr>
          <w:spacing w:val="-13"/>
        </w:rPr>
        <w:t> </w:t>
      </w:r>
      <w:r>
        <w:rPr/>
        <w:t>la</w:t>
      </w:r>
      <w:r>
        <w:rPr>
          <w:spacing w:val="-11"/>
        </w:rPr>
        <w:t> </w:t>
      </w:r>
      <w:r>
        <w:rPr/>
        <w:t>guerra</w:t>
      </w:r>
      <w:r>
        <w:rPr>
          <w:spacing w:val="-14"/>
        </w:rPr>
        <w:t> </w:t>
      </w:r>
      <w:r>
        <w:rPr/>
        <w:t>entre</w:t>
      </w:r>
      <w:r>
        <w:rPr>
          <w:spacing w:val="-11"/>
        </w:rPr>
        <w:t> </w:t>
      </w:r>
      <w:r>
        <w:rPr/>
        <w:t>Rusia</w:t>
      </w:r>
      <w:r>
        <w:rPr>
          <w:spacing w:val="-11"/>
        </w:rPr>
        <w:t> </w:t>
      </w:r>
      <w:r>
        <w:rPr/>
        <w:t>y</w:t>
      </w:r>
      <w:r>
        <w:rPr>
          <w:spacing w:val="-13"/>
        </w:rPr>
        <w:t> </w:t>
      </w:r>
      <w:r>
        <w:rPr/>
        <w:t>Ucrania,</w:t>
      </w:r>
      <w:r>
        <w:rPr>
          <w:spacing w:val="-12"/>
        </w:rPr>
        <w:t> </w:t>
      </w:r>
      <w:r>
        <w:rPr/>
        <w:t>así</w:t>
      </w:r>
      <w:r>
        <w:rPr>
          <w:spacing w:val="-11"/>
        </w:rPr>
        <w:t> </w:t>
      </w:r>
      <w:r>
        <w:rPr/>
        <w:t>como</w:t>
      </w:r>
      <w:r>
        <w:rPr>
          <w:spacing w:val="-12"/>
        </w:rPr>
        <w:t> </w:t>
      </w:r>
      <w:r>
        <w:rPr/>
        <w:t>volatilidad</w:t>
      </w:r>
      <w:r>
        <w:rPr>
          <w:spacing w:val="-12"/>
        </w:rPr>
        <w:t> </w:t>
      </w:r>
      <w:r>
        <w:rPr/>
        <w:t>de</w:t>
      </w:r>
      <w:r>
        <w:rPr>
          <w:spacing w:val="-11"/>
        </w:rPr>
        <w:t> </w:t>
      </w:r>
      <w:r>
        <w:rPr/>
        <w:t>varios commodities y efectos rezagados del COVID-19 en los principales puertos del mundo que han provocado atascos e interrupciones en las cadenas de</w:t>
      </w:r>
      <w:r>
        <w:rPr>
          <w:spacing w:val="-7"/>
        </w:rPr>
        <w:t> </w:t>
      </w:r>
      <w:r>
        <w:rPr/>
        <w:t>suministros.</w:t>
      </w:r>
    </w:p>
    <w:p>
      <w:pPr>
        <w:pStyle w:val="BodyText"/>
        <w:spacing w:before="5"/>
        <w:rPr>
          <w:sz w:val="25"/>
        </w:rPr>
      </w:pPr>
    </w:p>
    <w:p>
      <w:pPr>
        <w:pStyle w:val="BodyText"/>
        <w:spacing w:line="276" w:lineRule="auto" w:before="1"/>
        <w:ind w:left="562" w:right="1695"/>
        <w:jc w:val="both"/>
      </w:pPr>
      <w:r>
        <w:rPr/>
        <w:t>El</w:t>
      </w:r>
      <w:r>
        <w:rPr>
          <w:spacing w:val="-5"/>
        </w:rPr>
        <w:t> </w:t>
      </w:r>
      <w:r>
        <w:rPr/>
        <w:t>gasto</w:t>
      </w:r>
      <w:r>
        <w:rPr>
          <w:spacing w:val="-7"/>
        </w:rPr>
        <w:t> </w:t>
      </w:r>
      <w:r>
        <w:rPr/>
        <w:t>presupuestado</w:t>
      </w:r>
      <w:r>
        <w:rPr>
          <w:spacing w:val="-7"/>
        </w:rPr>
        <w:t> </w:t>
      </w:r>
      <w:r>
        <w:rPr/>
        <w:t>relacionado</w:t>
      </w:r>
      <w:r>
        <w:rPr>
          <w:spacing w:val="-5"/>
        </w:rPr>
        <w:t> </w:t>
      </w:r>
      <w:r>
        <w:rPr/>
        <w:t>a</w:t>
      </w:r>
      <w:r>
        <w:rPr>
          <w:spacing w:val="-7"/>
        </w:rPr>
        <w:t> </w:t>
      </w:r>
      <w:r>
        <w:rPr/>
        <w:t>las</w:t>
      </w:r>
      <w:r>
        <w:rPr>
          <w:spacing w:val="-4"/>
        </w:rPr>
        <w:t> </w:t>
      </w:r>
      <w:r>
        <w:rPr/>
        <w:t>principales</w:t>
      </w:r>
      <w:r>
        <w:rPr>
          <w:spacing w:val="-6"/>
        </w:rPr>
        <w:t> </w:t>
      </w:r>
      <w:r>
        <w:rPr/>
        <w:t>acciones</w:t>
      </w:r>
      <w:r>
        <w:rPr>
          <w:spacing w:val="-4"/>
        </w:rPr>
        <w:t> </w:t>
      </w:r>
      <w:r>
        <w:rPr/>
        <w:t>para</w:t>
      </w:r>
      <w:r>
        <w:rPr>
          <w:spacing w:val="-7"/>
        </w:rPr>
        <w:t> </w:t>
      </w:r>
      <w:r>
        <w:rPr/>
        <w:t>mitigar</w:t>
      </w:r>
      <w:r>
        <w:rPr>
          <w:spacing w:val="-4"/>
        </w:rPr>
        <w:t> </w:t>
      </w:r>
      <w:r>
        <w:rPr/>
        <w:t>el</w:t>
      </w:r>
      <w:r>
        <w:rPr>
          <w:spacing w:val="-6"/>
        </w:rPr>
        <w:t> </w:t>
      </w:r>
      <w:r>
        <w:rPr/>
        <w:t>efecto</w:t>
      </w:r>
      <w:r>
        <w:rPr>
          <w:spacing w:val="-5"/>
        </w:rPr>
        <w:t> </w:t>
      </w:r>
      <w:r>
        <w:rPr/>
        <w:t>económico</w:t>
      </w:r>
      <w:r>
        <w:rPr>
          <w:spacing w:val="-4"/>
        </w:rPr>
        <w:t> </w:t>
      </w:r>
      <w:r>
        <w:rPr/>
        <w:t>sobre la</w:t>
      </w:r>
      <w:r>
        <w:rPr>
          <w:spacing w:val="-11"/>
        </w:rPr>
        <w:t> </w:t>
      </w:r>
      <w:r>
        <w:rPr/>
        <w:t>población</w:t>
      </w:r>
      <w:r>
        <w:rPr>
          <w:spacing w:val="-12"/>
        </w:rPr>
        <w:t> </w:t>
      </w:r>
      <w:r>
        <w:rPr/>
        <w:t>es</w:t>
      </w:r>
      <w:r>
        <w:rPr>
          <w:spacing w:val="-10"/>
        </w:rPr>
        <w:t> </w:t>
      </w:r>
      <w:r>
        <w:rPr/>
        <w:t>relevante,</w:t>
      </w:r>
      <w:r>
        <w:rPr>
          <w:spacing w:val="-12"/>
        </w:rPr>
        <w:t> </w:t>
      </w:r>
      <w:r>
        <w:rPr/>
        <w:t>considerando</w:t>
      </w:r>
      <w:r>
        <w:rPr>
          <w:spacing w:val="-11"/>
        </w:rPr>
        <w:t> </w:t>
      </w:r>
      <w:r>
        <w:rPr/>
        <w:t>además</w:t>
      </w:r>
      <w:r>
        <w:rPr>
          <w:spacing w:val="-11"/>
        </w:rPr>
        <w:t> </w:t>
      </w:r>
      <w:r>
        <w:rPr/>
        <w:t>que</w:t>
      </w:r>
      <w:r>
        <w:rPr>
          <w:spacing w:val="-12"/>
        </w:rPr>
        <w:t> </w:t>
      </w:r>
      <w:r>
        <w:rPr/>
        <w:t>algunas</w:t>
      </w:r>
      <w:r>
        <w:rPr>
          <w:spacing w:val="-10"/>
        </w:rPr>
        <w:t> </w:t>
      </w:r>
      <w:r>
        <w:rPr/>
        <w:t>de</w:t>
      </w:r>
      <w:r>
        <w:rPr>
          <w:spacing w:val="-12"/>
        </w:rPr>
        <w:t> </w:t>
      </w:r>
      <w:r>
        <w:rPr/>
        <w:t>estas</w:t>
      </w:r>
      <w:r>
        <w:rPr>
          <w:spacing w:val="-11"/>
        </w:rPr>
        <w:t> </w:t>
      </w:r>
      <w:r>
        <w:rPr/>
        <w:t>medidas</w:t>
      </w:r>
      <w:r>
        <w:rPr>
          <w:spacing w:val="-10"/>
        </w:rPr>
        <w:t> </w:t>
      </w:r>
      <w:r>
        <w:rPr/>
        <w:t>podrían</w:t>
      </w:r>
      <w:r>
        <w:rPr>
          <w:spacing w:val="-11"/>
        </w:rPr>
        <w:t> </w:t>
      </w:r>
      <w:r>
        <w:rPr/>
        <w:t>prorrogarse</w:t>
      </w:r>
      <w:r>
        <w:rPr>
          <w:spacing w:val="-10"/>
        </w:rPr>
        <w:t> </w:t>
      </w:r>
      <w:r>
        <w:rPr/>
        <w:t>por más tiempo. Esto significa que un monto importante de recursos se destinaría a las transferencias corrientes al sector privado (por el subsidio a los combustibles), así como el rubro de inversión real directa</w:t>
      </w:r>
      <w:r>
        <w:rPr>
          <w:spacing w:val="-12"/>
        </w:rPr>
        <w:t> </w:t>
      </w:r>
      <w:r>
        <w:rPr/>
        <w:t>(por</w:t>
      </w:r>
      <w:r>
        <w:rPr>
          <w:spacing w:val="-13"/>
        </w:rPr>
        <w:t> </w:t>
      </w:r>
      <w:r>
        <w:rPr/>
        <w:t>construcción</w:t>
      </w:r>
      <w:r>
        <w:rPr>
          <w:spacing w:val="-12"/>
        </w:rPr>
        <w:t> </w:t>
      </w:r>
      <w:r>
        <w:rPr/>
        <w:t>de</w:t>
      </w:r>
      <w:r>
        <w:rPr>
          <w:spacing w:val="-14"/>
        </w:rPr>
        <w:t> </w:t>
      </w:r>
      <w:r>
        <w:rPr/>
        <w:t>infraestructura</w:t>
      </w:r>
      <w:r>
        <w:rPr>
          <w:spacing w:val="-11"/>
        </w:rPr>
        <w:t> </w:t>
      </w:r>
      <w:r>
        <w:rPr/>
        <w:t>estratégica),</w:t>
      </w:r>
      <w:r>
        <w:rPr>
          <w:spacing w:val="-14"/>
        </w:rPr>
        <w:t> </w:t>
      </w:r>
      <w:r>
        <w:rPr/>
        <w:t>por</w:t>
      </w:r>
      <w:r>
        <w:rPr>
          <w:spacing w:val="-14"/>
        </w:rPr>
        <w:t> </w:t>
      </w:r>
      <w:r>
        <w:rPr/>
        <w:t>su</w:t>
      </w:r>
      <w:r>
        <w:rPr>
          <w:spacing w:val="-11"/>
        </w:rPr>
        <w:t> </w:t>
      </w:r>
      <w:r>
        <w:rPr/>
        <w:t>parte</w:t>
      </w:r>
      <w:r>
        <w:rPr>
          <w:spacing w:val="-14"/>
        </w:rPr>
        <w:t> </w:t>
      </w:r>
      <w:r>
        <w:rPr/>
        <w:t>los</w:t>
      </w:r>
      <w:r>
        <w:rPr>
          <w:spacing w:val="-11"/>
        </w:rPr>
        <w:t> </w:t>
      </w:r>
      <w:r>
        <w:rPr/>
        <w:t>bienes</w:t>
      </w:r>
      <w:r>
        <w:rPr>
          <w:spacing w:val="-11"/>
        </w:rPr>
        <w:t> </w:t>
      </w:r>
      <w:r>
        <w:rPr/>
        <w:t>y</w:t>
      </w:r>
      <w:r>
        <w:rPr>
          <w:spacing w:val="-14"/>
        </w:rPr>
        <w:t> </w:t>
      </w:r>
      <w:r>
        <w:rPr/>
        <w:t>servicios</w:t>
      </w:r>
      <w:r>
        <w:rPr>
          <w:spacing w:val="-10"/>
        </w:rPr>
        <w:t> </w:t>
      </w:r>
      <w:r>
        <w:rPr/>
        <w:t>reportarían un crecimiento importante, siendo en este rubro donde se encuentra registrado el mantenimiento de carreteras.</w:t>
      </w:r>
    </w:p>
    <w:p>
      <w:pPr>
        <w:pStyle w:val="BodyText"/>
        <w:spacing w:before="1"/>
        <w:rPr>
          <w:sz w:val="25"/>
        </w:rPr>
      </w:pPr>
    </w:p>
    <w:p>
      <w:pPr>
        <w:pStyle w:val="BodyText"/>
        <w:spacing w:line="276" w:lineRule="auto" w:before="1"/>
        <w:ind w:left="562" w:right="1697"/>
        <w:jc w:val="both"/>
      </w:pPr>
      <w:r>
        <w:rPr/>
        <w:t>La</w:t>
      </w:r>
      <w:r>
        <w:rPr>
          <w:spacing w:val="-6"/>
        </w:rPr>
        <w:t> </w:t>
      </w:r>
      <w:r>
        <w:rPr/>
        <w:t>trayectoria</w:t>
      </w:r>
      <w:r>
        <w:rPr>
          <w:spacing w:val="-5"/>
        </w:rPr>
        <w:t> </w:t>
      </w:r>
      <w:r>
        <w:rPr/>
        <w:t>que</w:t>
      </w:r>
      <w:r>
        <w:rPr>
          <w:spacing w:val="-7"/>
        </w:rPr>
        <w:t> </w:t>
      </w:r>
      <w:r>
        <w:rPr/>
        <w:t>seguirá</w:t>
      </w:r>
      <w:r>
        <w:rPr>
          <w:spacing w:val="-8"/>
        </w:rPr>
        <w:t> </w:t>
      </w:r>
      <w:r>
        <w:rPr/>
        <w:t>el</w:t>
      </w:r>
      <w:r>
        <w:rPr>
          <w:spacing w:val="-4"/>
        </w:rPr>
        <w:t> </w:t>
      </w:r>
      <w:r>
        <w:rPr/>
        <w:t>gasto</w:t>
      </w:r>
      <w:r>
        <w:rPr>
          <w:spacing w:val="-6"/>
        </w:rPr>
        <w:t> </w:t>
      </w:r>
      <w:r>
        <w:rPr/>
        <w:t>público</w:t>
      </w:r>
      <w:r>
        <w:rPr>
          <w:spacing w:val="-7"/>
        </w:rPr>
        <w:t> </w:t>
      </w:r>
      <w:r>
        <w:rPr/>
        <w:t>a</w:t>
      </w:r>
      <w:r>
        <w:rPr>
          <w:spacing w:val="-6"/>
        </w:rPr>
        <w:t> </w:t>
      </w:r>
      <w:r>
        <w:rPr/>
        <w:t>lo</w:t>
      </w:r>
      <w:r>
        <w:rPr>
          <w:spacing w:val="-6"/>
        </w:rPr>
        <w:t> </w:t>
      </w:r>
      <w:r>
        <w:rPr/>
        <w:t>largo</w:t>
      </w:r>
      <w:r>
        <w:rPr>
          <w:spacing w:val="-5"/>
        </w:rPr>
        <w:t> </w:t>
      </w:r>
      <w:r>
        <w:rPr/>
        <w:t>del</w:t>
      </w:r>
      <w:r>
        <w:rPr>
          <w:spacing w:val="-5"/>
        </w:rPr>
        <w:t> </w:t>
      </w:r>
      <w:r>
        <w:rPr/>
        <w:t>2022</w:t>
      </w:r>
      <w:r>
        <w:rPr>
          <w:spacing w:val="-5"/>
        </w:rPr>
        <w:t> </w:t>
      </w:r>
      <w:r>
        <w:rPr/>
        <w:t>será</w:t>
      </w:r>
      <w:r>
        <w:rPr>
          <w:spacing w:val="-6"/>
        </w:rPr>
        <w:t> </w:t>
      </w:r>
      <w:r>
        <w:rPr/>
        <w:t>dinámica</w:t>
      </w:r>
      <w:r>
        <w:rPr>
          <w:spacing w:val="-6"/>
        </w:rPr>
        <w:t> </w:t>
      </w:r>
      <w:r>
        <w:rPr/>
        <w:t>y</w:t>
      </w:r>
      <w:r>
        <w:rPr>
          <w:spacing w:val="-8"/>
        </w:rPr>
        <w:t> </w:t>
      </w:r>
      <w:r>
        <w:rPr/>
        <w:t>estaría</w:t>
      </w:r>
      <w:r>
        <w:rPr>
          <w:spacing w:val="-6"/>
        </w:rPr>
        <w:t> </w:t>
      </w:r>
      <w:r>
        <w:rPr/>
        <w:t>por</w:t>
      </w:r>
      <w:r>
        <w:rPr>
          <w:spacing w:val="-4"/>
        </w:rPr>
        <w:t> </w:t>
      </w:r>
      <w:r>
        <w:rPr/>
        <w:t>arriba</w:t>
      </w:r>
      <w:r>
        <w:rPr>
          <w:spacing w:val="-6"/>
        </w:rPr>
        <w:t> </w:t>
      </w:r>
      <w:r>
        <w:rPr/>
        <w:t>de</w:t>
      </w:r>
      <w:r>
        <w:rPr>
          <w:spacing w:val="-5"/>
        </w:rPr>
        <w:t> </w:t>
      </w:r>
      <w:r>
        <w:rPr/>
        <w:t>lo observado en 2021, cuando el gasto estuvo condicionado por un presupuesto que no fue aprobado y por un 2020 que tuvo un gasto fuerte por los programas económicos y sociales relacionados </w:t>
      </w:r>
      <w:r>
        <w:rPr>
          <w:spacing w:val="-3"/>
        </w:rPr>
        <w:t>al </w:t>
      </w:r>
      <w:r>
        <w:rPr/>
        <w:t>COVID-19.</w:t>
      </w:r>
    </w:p>
    <w:p>
      <w:pPr>
        <w:pStyle w:val="BodyText"/>
        <w:spacing w:before="5"/>
        <w:rPr>
          <w:sz w:val="25"/>
        </w:rPr>
      </w:pPr>
    </w:p>
    <w:p>
      <w:pPr>
        <w:pStyle w:val="BodyText"/>
        <w:spacing w:line="276" w:lineRule="auto"/>
        <w:ind w:left="562" w:right="1696"/>
        <w:jc w:val="both"/>
      </w:pPr>
      <w:r>
        <w:rPr/>
        <w:t>En los primeros meses del 2022 se observó una ejecución dinámica, que se espera se mantenga a lo largo del año, se considera un grado de ejecución alto, con un crecimiento interanual de 16.1% (equivalente a Q14,490.8 millones), pasando del cierre observado de Q90,065.8 millones en 2021 al estimado de Q104,556.6 millones para 2022, sin incluir las amortizaciones de la deuda pública.</w:t>
      </w:r>
    </w:p>
    <w:p>
      <w:pPr>
        <w:pStyle w:val="BodyText"/>
        <w:spacing w:before="4"/>
        <w:rPr>
          <w:sz w:val="25"/>
        </w:rPr>
      </w:pPr>
    </w:p>
    <w:p>
      <w:pPr>
        <w:pStyle w:val="BodyText"/>
        <w:spacing w:line="276" w:lineRule="auto"/>
        <w:ind w:left="562" w:right="1697"/>
        <w:jc w:val="both"/>
      </w:pPr>
      <w:r>
        <w:rPr/>
        <w:t>En línea con lo que fue anunciado por el Ejecutivo por las ampliaciones presupuestarias que materializan la intervención del Estado en apoyo a la población, los gastos que estarían creciendo de forma</w:t>
      </w:r>
      <w:r>
        <w:rPr>
          <w:spacing w:val="-11"/>
        </w:rPr>
        <w:t> </w:t>
      </w:r>
      <w:r>
        <w:rPr/>
        <w:t>importante</w:t>
      </w:r>
      <w:r>
        <w:rPr>
          <w:spacing w:val="-11"/>
        </w:rPr>
        <w:t> </w:t>
      </w:r>
      <w:r>
        <w:rPr/>
        <w:t>en</w:t>
      </w:r>
      <w:r>
        <w:rPr>
          <w:spacing w:val="-11"/>
        </w:rPr>
        <w:t> </w:t>
      </w:r>
      <w:r>
        <w:rPr/>
        <w:t>2022</w:t>
      </w:r>
      <w:r>
        <w:rPr>
          <w:spacing w:val="-10"/>
        </w:rPr>
        <w:t> </w:t>
      </w:r>
      <w:r>
        <w:rPr/>
        <w:t>serían</w:t>
      </w:r>
      <w:r>
        <w:rPr>
          <w:spacing w:val="-11"/>
        </w:rPr>
        <w:t> </w:t>
      </w:r>
      <w:r>
        <w:rPr/>
        <w:t>las</w:t>
      </w:r>
      <w:r>
        <w:rPr>
          <w:spacing w:val="-11"/>
        </w:rPr>
        <w:t> </w:t>
      </w:r>
      <w:r>
        <w:rPr/>
        <w:t>transferencias</w:t>
      </w:r>
      <w:r>
        <w:rPr>
          <w:spacing w:val="-10"/>
        </w:rPr>
        <w:t> </w:t>
      </w:r>
      <w:r>
        <w:rPr/>
        <w:t>corrientes</w:t>
      </w:r>
      <w:r>
        <w:rPr>
          <w:spacing w:val="-11"/>
        </w:rPr>
        <w:t> </w:t>
      </w:r>
      <w:r>
        <w:rPr/>
        <w:t>(43.4%),</w:t>
      </w:r>
      <w:r>
        <w:rPr>
          <w:spacing w:val="-12"/>
        </w:rPr>
        <w:t> </w:t>
      </w:r>
      <w:r>
        <w:rPr/>
        <w:t>los</w:t>
      </w:r>
      <w:r>
        <w:rPr>
          <w:spacing w:val="-10"/>
        </w:rPr>
        <w:t> </w:t>
      </w:r>
      <w:r>
        <w:rPr/>
        <w:t>bienes</w:t>
      </w:r>
      <w:r>
        <w:rPr>
          <w:spacing w:val="-11"/>
        </w:rPr>
        <w:t> </w:t>
      </w:r>
      <w:r>
        <w:rPr/>
        <w:t>y</w:t>
      </w:r>
      <w:r>
        <w:rPr>
          <w:spacing w:val="-14"/>
        </w:rPr>
        <w:t> </w:t>
      </w:r>
      <w:r>
        <w:rPr/>
        <w:t>servicios</w:t>
      </w:r>
      <w:r>
        <w:rPr>
          <w:spacing w:val="-10"/>
        </w:rPr>
        <w:t> </w:t>
      </w:r>
      <w:r>
        <w:rPr/>
        <w:t>(27.4%), la inversión real directa (16.1%) y las transferencias de capital</w:t>
      </w:r>
      <w:r>
        <w:rPr>
          <w:spacing w:val="-9"/>
        </w:rPr>
        <w:t> </w:t>
      </w:r>
      <w:r>
        <w:rPr/>
        <w:t>(15.1%).</w:t>
      </w:r>
    </w:p>
    <w:p>
      <w:pPr>
        <w:spacing w:after="0" w:line="276" w:lineRule="auto"/>
        <w:jc w:val="both"/>
        <w:sectPr>
          <w:pgSz w:w="12240" w:h="15840"/>
          <w:pgMar w:header="715" w:footer="957" w:top="1240" w:bottom="1140" w:left="1140" w:right="0"/>
        </w:sectPr>
      </w:pPr>
    </w:p>
    <w:p>
      <w:pPr>
        <w:pStyle w:val="BodyText"/>
        <w:rPr>
          <w:sz w:val="20"/>
        </w:rPr>
      </w:pPr>
    </w:p>
    <w:p>
      <w:pPr>
        <w:pStyle w:val="BodyText"/>
        <w:spacing w:before="4"/>
        <w:rPr>
          <w:sz w:val="19"/>
        </w:rPr>
      </w:pPr>
    </w:p>
    <w:p>
      <w:pPr>
        <w:pStyle w:val="BodyText"/>
        <w:spacing w:line="276" w:lineRule="auto"/>
        <w:ind w:left="562" w:right="1694"/>
        <w:jc w:val="both"/>
      </w:pPr>
      <w:r>
        <w:rPr/>
        <w:t>Otro rubro de gasto con un crecimiento importante serían los intereses de la deuda pública (6.2%), explicado</w:t>
      </w:r>
      <w:r>
        <w:rPr>
          <w:spacing w:val="-4"/>
        </w:rPr>
        <w:t> </w:t>
      </w:r>
      <w:r>
        <w:rPr/>
        <w:t>en</w:t>
      </w:r>
      <w:r>
        <w:rPr>
          <w:spacing w:val="-3"/>
        </w:rPr>
        <w:t> </w:t>
      </w:r>
      <w:r>
        <w:rPr/>
        <w:t>una</w:t>
      </w:r>
      <w:r>
        <w:rPr>
          <w:spacing w:val="-3"/>
        </w:rPr>
        <w:t> </w:t>
      </w:r>
      <w:r>
        <w:rPr/>
        <w:t>buena</w:t>
      </w:r>
      <w:r>
        <w:rPr>
          <w:spacing w:val="-2"/>
        </w:rPr>
        <w:t> </w:t>
      </w:r>
      <w:r>
        <w:rPr/>
        <w:t>medida</w:t>
      </w:r>
      <w:r>
        <w:rPr>
          <w:spacing w:val="-3"/>
        </w:rPr>
        <w:t> </w:t>
      </w:r>
      <w:r>
        <w:rPr/>
        <w:t>por</w:t>
      </w:r>
      <w:r>
        <w:rPr>
          <w:spacing w:val="-1"/>
        </w:rPr>
        <w:t> </w:t>
      </w:r>
      <w:r>
        <w:rPr/>
        <w:t>el</w:t>
      </w:r>
      <w:r>
        <w:rPr>
          <w:spacing w:val="-3"/>
        </w:rPr>
        <w:t> </w:t>
      </w:r>
      <w:r>
        <w:rPr/>
        <w:t>aumento</w:t>
      </w:r>
      <w:r>
        <w:rPr>
          <w:spacing w:val="-3"/>
        </w:rPr>
        <w:t> </w:t>
      </w:r>
      <w:r>
        <w:rPr/>
        <w:t>en</w:t>
      </w:r>
      <w:r>
        <w:rPr>
          <w:spacing w:val="-3"/>
        </w:rPr>
        <w:t> </w:t>
      </w:r>
      <w:r>
        <w:rPr/>
        <w:t>la</w:t>
      </w:r>
      <w:r>
        <w:rPr>
          <w:spacing w:val="-3"/>
        </w:rPr>
        <w:t> </w:t>
      </w:r>
      <w:r>
        <w:rPr/>
        <w:t>deuda</w:t>
      </w:r>
      <w:r>
        <w:rPr>
          <w:spacing w:val="-2"/>
        </w:rPr>
        <w:t> </w:t>
      </w:r>
      <w:r>
        <w:rPr/>
        <w:t>externa,</w:t>
      </w:r>
      <w:r>
        <w:rPr>
          <w:spacing w:val="-3"/>
        </w:rPr>
        <w:t> </w:t>
      </w:r>
      <w:r>
        <w:rPr/>
        <w:t>principalmente</w:t>
      </w:r>
      <w:r>
        <w:rPr>
          <w:spacing w:val="-3"/>
        </w:rPr>
        <w:t> </w:t>
      </w:r>
      <w:r>
        <w:rPr/>
        <w:t>en</w:t>
      </w:r>
      <w:r>
        <w:rPr>
          <w:spacing w:val="-3"/>
        </w:rPr>
        <w:t> </w:t>
      </w:r>
      <w:r>
        <w:rPr/>
        <w:t>los</w:t>
      </w:r>
      <w:r>
        <w:rPr>
          <w:spacing w:val="-2"/>
        </w:rPr>
        <w:t> </w:t>
      </w:r>
      <w:r>
        <w:rPr/>
        <w:t>bonos</w:t>
      </w:r>
      <w:r>
        <w:rPr>
          <w:spacing w:val="-3"/>
        </w:rPr>
        <w:t> </w:t>
      </w:r>
      <w:r>
        <w:rPr/>
        <w:t>que corresponde</w:t>
      </w:r>
      <w:r>
        <w:rPr>
          <w:spacing w:val="-8"/>
        </w:rPr>
        <w:t> </w:t>
      </w:r>
      <w:r>
        <w:rPr/>
        <w:t>a</w:t>
      </w:r>
      <w:r>
        <w:rPr>
          <w:spacing w:val="-7"/>
        </w:rPr>
        <w:t> </w:t>
      </w:r>
      <w:r>
        <w:rPr/>
        <w:t>los</w:t>
      </w:r>
      <w:r>
        <w:rPr>
          <w:spacing w:val="-8"/>
        </w:rPr>
        <w:t> </w:t>
      </w:r>
      <w:r>
        <w:rPr/>
        <w:t>eurobonos.</w:t>
      </w:r>
      <w:r>
        <w:rPr>
          <w:spacing w:val="-8"/>
        </w:rPr>
        <w:t> </w:t>
      </w:r>
      <w:r>
        <w:rPr/>
        <w:t>Hay</w:t>
      </w:r>
      <w:r>
        <w:rPr>
          <w:spacing w:val="-11"/>
        </w:rPr>
        <w:t> </w:t>
      </w:r>
      <w:r>
        <w:rPr/>
        <w:t>que</w:t>
      </w:r>
      <w:r>
        <w:rPr>
          <w:spacing w:val="-7"/>
        </w:rPr>
        <w:t> </w:t>
      </w:r>
      <w:r>
        <w:rPr/>
        <w:t>recordar</w:t>
      </w:r>
      <w:r>
        <w:rPr>
          <w:spacing w:val="-6"/>
        </w:rPr>
        <w:t> </w:t>
      </w:r>
      <w:r>
        <w:rPr/>
        <w:t>que</w:t>
      </w:r>
      <w:r>
        <w:rPr>
          <w:spacing w:val="-8"/>
        </w:rPr>
        <w:t> </w:t>
      </w:r>
      <w:r>
        <w:rPr/>
        <w:t>en</w:t>
      </w:r>
      <w:r>
        <w:rPr>
          <w:spacing w:val="-10"/>
        </w:rPr>
        <w:t> </w:t>
      </w:r>
      <w:r>
        <w:rPr/>
        <w:t>los</w:t>
      </w:r>
      <w:r>
        <w:rPr>
          <w:spacing w:val="-8"/>
        </w:rPr>
        <w:t> </w:t>
      </w:r>
      <w:r>
        <w:rPr/>
        <w:t>últimos</w:t>
      </w:r>
      <w:r>
        <w:rPr>
          <w:spacing w:val="-7"/>
        </w:rPr>
        <w:t> </w:t>
      </w:r>
      <w:r>
        <w:rPr/>
        <w:t>años</w:t>
      </w:r>
      <w:r>
        <w:rPr>
          <w:spacing w:val="-7"/>
        </w:rPr>
        <w:t> </w:t>
      </w:r>
      <w:r>
        <w:rPr/>
        <w:t>se</w:t>
      </w:r>
      <w:r>
        <w:rPr>
          <w:spacing w:val="-8"/>
        </w:rPr>
        <w:t> </w:t>
      </w:r>
      <w:r>
        <w:rPr/>
        <w:t>han</w:t>
      </w:r>
      <w:r>
        <w:rPr>
          <w:spacing w:val="-10"/>
        </w:rPr>
        <w:t> </w:t>
      </w:r>
      <w:r>
        <w:rPr/>
        <w:t>realizado</w:t>
      </w:r>
      <w:r>
        <w:rPr>
          <w:spacing w:val="-8"/>
        </w:rPr>
        <w:t> </w:t>
      </w:r>
      <w:r>
        <w:rPr/>
        <w:t>colocaciones en</w:t>
      </w:r>
      <w:r>
        <w:rPr>
          <w:spacing w:val="-9"/>
        </w:rPr>
        <w:t> </w:t>
      </w:r>
      <w:r>
        <w:rPr/>
        <w:t>el</w:t>
      </w:r>
      <w:r>
        <w:rPr>
          <w:spacing w:val="-9"/>
        </w:rPr>
        <w:t> </w:t>
      </w:r>
      <w:r>
        <w:rPr/>
        <w:t>mercado</w:t>
      </w:r>
      <w:r>
        <w:rPr>
          <w:spacing w:val="-11"/>
        </w:rPr>
        <w:t> </w:t>
      </w:r>
      <w:r>
        <w:rPr/>
        <w:t>internacional</w:t>
      </w:r>
      <w:r>
        <w:rPr>
          <w:spacing w:val="-11"/>
        </w:rPr>
        <w:t> </w:t>
      </w:r>
      <w:r>
        <w:rPr/>
        <w:t>para</w:t>
      </w:r>
      <w:r>
        <w:rPr>
          <w:spacing w:val="-9"/>
        </w:rPr>
        <w:t> </w:t>
      </w:r>
      <w:r>
        <w:rPr/>
        <w:t>aliviar</w:t>
      </w:r>
      <w:r>
        <w:rPr>
          <w:spacing w:val="-8"/>
        </w:rPr>
        <w:t> </w:t>
      </w:r>
      <w:r>
        <w:rPr/>
        <w:t>la</w:t>
      </w:r>
      <w:r>
        <w:rPr>
          <w:spacing w:val="-9"/>
        </w:rPr>
        <w:t> </w:t>
      </w:r>
      <w:r>
        <w:rPr/>
        <w:t>presión</w:t>
      </w:r>
      <w:r>
        <w:rPr>
          <w:spacing w:val="-12"/>
        </w:rPr>
        <w:t> </w:t>
      </w:r>
      <w:r>
        <w:rPr/>
        <w:t>sobre</w:t>
      </w:r>
      <w:r>
        <w:rPr>
          <w:spacing w:val="-8"/>
        </w:rPr>
        <w:t> </w:t>
      </w:r>
      <w:r>
        <w:rPr/>
        <w:t>el</w:t>
      </w:r>
      <w:r>
        <w:rPr>
          <w:spacing w:val="-11"/>
        </w:rPr>
        <w:t> </w:t>
      </w:r>
      <w:r>
        <w:rPr/>
        <w:t>mercado</w:t>
      </w:r>
      <w:r>
        <w:rPr>
          <w:spacing w:val="-11"/>
        </w:rPr>
        <w:t> </w:t>
      </w:r>
      <w:r>
        <w:rPr/>
        <w:t>interno.</w:t>
      </w:r>
      <w:r>
        <w:rPr>
          <w:spacing w:val="-10"/>
        </w:rPr>
        <w:t> </w:t>
      </w:r>
      <w:r>
        <w:rPr/>
        <w:t>De</w:t>
      </w:r>
      <w:r>
        <w:rPr>
          <w:spacing w:val="-12"/>
        </w:rPr>
        <w:t> </w:t>
      </w:r>
      <w:r>
        <w:rPr/>
        <w:t>esa</w:t>
      </w:r>
      <w:r>
        <w:rPr>
          <w:spacing w:val="-8"/>
        </w:rPr>
        <w:t> </w:t>
      </w:r>
      <w:r>
        <w:rPr/>
        <w:t>cuenta</w:t>
      </w:r>
      <w:r>
        <w:rPr>
          <w:spacing w:val="-12"/>
        </w:rPr>
        <w:t> </w:t>
      </w:r>
      <w:r>
        <w:rPr/>
        <w:t>y</w:t>
      </w:r>
      <w:r>
        <w:rPr>
          <w:spacing w:val="-11"/>
        </w:rPr>
        <w:t> </w:t>
      </w:r>
      <w:r>
        <w:rPr/>
        <w:t>derivado de las necesidades de gasto se ha recurrido a este tipo de endeudamiento, por lo que el pago de los intereses aumenta a pesar que se ha buscado realizar las colocaciones en condiciones favorables y con reducciones de la tasa de interés. Por su parte, las remuneraciones estarían creciendo en</w:t>
      </w:r>
      <w:r>
        <w:rPr>
          <w:spacing w:val="-26"/>
        </w:rPr>
        <w:t> </w:t>
      </w:r>
      <w:r>
        <w:rPr/>
        <w:t>4.7%.</w:t>
      </w:r>
    </w:p>
    <w:p>
      <w:pPr>
        <w:pStyle w:val="BodyText"/>
        <w:spacing w:before="4"/>
        <w:rPr>
          <w:sz w:val="25"/>
        </w:rPr>
      </w:pPr>
    </w:p>
    <w:p>
      <w:pPr>
        <w:pStyle w:val="BodyText"/>
        <w:spacing w:line="276" w:lineRule="auto"/>
        <w:ind w:left="562" w:right="1695"/>
        <w:jc w:val="both"/>
      </w:pPr>
      <w:r>
        <w:rPr/>
        <w:t>Asimismo, los rubros de gasto que estarían reportando una contracción importante son la inversión financiera (-94.2%) y las prestaciones a la seguridad social (-0.3%). En el caso de la inversión financiera, la contracción es significativa debido a que, en 2021 en dicho rubro se registró un aporte de capital por Q213.9 millones de carácter no reintegrable mediante la compra de acciones y/o participaciones al Banco de Desarrollo Rural (Banrural). Este rubro fue particularmente importante en 2020 debido a la concesión de préstamos en condiciones blandas para la atención del COVID-19 (Fondo</w:t>
      </w:r>
      <w:r>
        <w:rPr>
          <w:spacing w:val="-10"/>
        </w:rPr>
        <w:t> </w:t>
      </w:r>
      <w:r>
        <w:rPr/>
        <w:t>de</w:t>
      </w:r>
      <w:r>
        <w:rPr>
          <w:spacing w:val="-6"/>
        </w:rPr>
        <w:t> </w:t>
      </w:r>
      <w:r>
        <w:rPr/>
        <w:t>Crédito</w:t>
      </w:r>
      <w:r>
        <w:rPr>
          <w:spacing w:val="-10"/>
        </w:rPr>
        <w:t> </w:t>
      </w:r>
      <w:r>
        <w:rPr/>
        <w:t>de</w:t>
      </w:r>
      <w:r>
        <w:rPr>
          <w:spacing w:val="-6"/>
        </w:rPr>
        <w:t> </w:t>
      </w:r>
      <w:r>
        <w:rPr/>
        <w:t>Capital</w:t>
      </w:r>
      <w:r>
        <w:rPr>
          <w:spacing w:val="-5"/>
        </w:rPr>
        <w:t> </w:t>
      </w:r>
      <w:r>
        <w:rPr/>
        <w:t>de</w:t>
      </w:r>
      <w:r>
        <w:rPr>
          <w:spacing w:val="-9"/>
        </w:rPr>
        <w:t> </w:t>
      </w:r>
      <w:r>
        <w:rPr/>
        <w:t>Trabajo,</w:t>
      </w:r>
      <w:r>
        <w:rPr>
          <w:spacing w:val="-6"/>
        </w:rPr>
        <w:t> </w:t>
      </w:r>
      <w:r>
        <w:rPr/>
        <w:t>Fondo</w:t>
      </w:r>
      <w:r>
        <w:rPr>
          <w:spacing w:val="-7"/>
        </w:rPr>
        <w:t> </w:t>
      </w:r>
      <w:r>
        <w:rPr/>
        <w:t>de</w:t>
      </w:r>
      <w:r>
        <w:rPr>
          <w:spacing w:val="-8"/>
        </w:rPr>
        <w:t> </w:t>
      </w:r>
      <w:r>
        <w:rPr/>
        <w:t>Protección</w:t>
      </w:r>
      <w:r>
        <w:rPr>
          <w:spacing w:val="-9"/>
        </w:rPr>
        <w:t> </w:t>
      </w:r>
      <w:r>
        <w:rPr/>
        <w:t>de</w:t>
      </w:r>
      <w:r>
        <w:rPr>
          <w:spacing w:val="-7"/>
        </w:rPr>
        <w:t> </w:t>
      </w:r>
      <w:r>
        <w:rPr/>
        <w:t>Capitales</w:t>
      </w:r>
      <w:r>
        <w:rPr>
          <w:spacing w:val="-5"/>
        </w:rPr>
        <w:t> </w:t>
      </w:r>
      <w:r>
        <w:rPr/>
        <w:t>y</w:t>
      </w:r>
      <w:r>
        <w:rPr>
          <w:spacing w:val="-10"/>
        </w:rPr>
        <w:t> </w:t>
      </w:r>
      <w:r>
        <w:rPr/>
        <w:t>el</w:t>
      </w:r>
      <w:r>
        <w:rPr>
          <w:spacing w:val="-5"/>
        </w:rPr>
        <w:t> </w:t>
      </w:r>
      <w:r>
        <w:rPr/>
        <w:t>Fondo</w:t>
      </w:r>
      <w:r>
        <w:rPr>
          <w:spacing w:val="-6"/>
        </w:rPr>
        <w:t> </w:t>
      </w:r>
      <w:r>
        <w:rPr/>
        <w:t>para</w:t>
      </w:r>
      <w:r>
        <w:rPr>
          <w:spacing w:val="-9"/>
        </w:rPr>
        <w:t> </w:t>
      </w:r>
      <w:r>
        <w:rPr/>
        <w:t>la</w:t>
      </w:r>
      <w:r>
        <w:rPr>
          <w:spacing w:val="-8"/>
        </w:rPr>
        <w:t> </w:t>
      </w:r>
      <w:r>
        <w:rPr/>
        <w:t>Micro, pequeñas y medianas Empresas). Estas medidas fueron de carácter temporal y en 2022 no se tiene previsto que se registre un gasto</w:t>
      </w:r>
      <w:r>
        <w:rPr>
          <w:spacing w:val="-10"/>
        </w:rPr>
        <w:t> </w:t>
      </w:r>
      <w:r>
        <w:rPr/>
        <w:t>importante.</w:t>
      </w:r>
    </w:p>
    <w:p>
      <w:pPr>
        <w:pStyle w:val="BodyText"/>
        <w:spacing w:before="4"/>
        <w:rPr>
          <w:sz w:val="25"/>
        </w:rPr>
      </w:pPr>
    </w:p>
    <w:p>
      <w:pPr>
        <w:pStyle w:val="BodyText"/>
        <w:spacing w:line="276" w:lineRule="auto"/>
        <w:ind w:left="562" w:right="1695"/>
        <w:jc w:val="both"/>
      </w:pPr>
      <w:r>
        <w:rPr/>
        <w:t>Estos</w:t>
      </w:r>
      <w:r>
        <w:rPr>
          <w:spacing w:val="-8"/>
        </w:rPr>
        <w:t> </w:t>
      </w:r>
      <w:r>
        <w:rPr/>
        <w:t>resultados</w:t>
      </w:r>
      <w:r>
        <w:rPr>
          <w:spacing w:val="-6"/>
        </w:rPr>
        <w:t> </w:t>
      </w:r>
      <w:r>
        <w:rPr/>
        <w:t>en</w:t>
      </w:r>
      <w:r>
        <w:rPr>
          <w:spacing w:val="-7"/>
        </w:rPr>
        <w:t> </w:t>
      </w:r>
      <w:r>
        <w:rPr/>
        <w:t>términos</w:t>
      </w:r>
      <w:r>
        <w:rPr>
          <w:spacing w:val="-4"/>
        </w:rPr>
        <w:t> </w:t>
      </w:r>
      <w:r>
        <w:rPr/>
        <w:t>del</w:t>
      </w:r>
      <w:r>
        <w:rPr>
          <w:spacing w:val="-4"/>
        </w:rPr>
        <w:t> </w:t>
      </w:r>
      <w:r>
        <w:rPr/>
        <w:t>PIB</w:t>
      </w:r>
      <w:r>
        <w:rPr>
          <w:spacing w:val="-4"/>
        </w:rPr>
        <w:t> </w:t>
      </w:r>
      <w:r>
        <w:rPr/>
        <w:t>muestran</w:t>
      </w:r>
      <w:r>
        <w:rPr>
          <w:spacing w:val="-5"/>
        </w:rPr>
        <w:t> </w:t>
      </w:r>
      <w:r>
        <w:rPr/>
        <w:t>un</w:t>
      </w:r>
      <w:r>
        <w:rPr>
          <w:spacing w:val="-7"/>
        </w:rPr>
        <w:t> </w:t>
      </w:r>
      <w:r>
        <w:rPr/>
        <w:t>crecimiento,</w:t>
      </w:r>
      <w:r>
        <w:rPr>
          <w:spacing w:val="-5"/>
        </w:rPr>
        <w:t> </w:t>
      </w:r>
      <w:r>
        <w:rPr/>
        <w:t>dado</w:t>
      </w:r>
      <w:r>
        <w:rPr>
          <w:spacing w:val="-2"/>
        </w:rPr>
        <w:t> </w:t>
      </w:r>
      <w:r>
        <w:rPr/>
        <w:t>que</w:t>
      </w:r>
      <w:r>
        <w:rPr>
          <w:spacing w:val="-5"/>
        </w:rPr>
        <w:t> </w:t>
      </w:r>
      <w:r>
        <w:rPr/>
        <w:t>el</w:t>
      </w:r>
      <w:r>
        <w:rPr>
          <w:spacing w:val="-4"/>
        </w:rPr>
        <w:t> </w:t>
      </w:r>
      <w:r>
        <w:rPr/>
        <w:t>gasto</w:t>
      </w:r>
      <w:r>
        <w:rPr>
          <w:spacing w:val="-5"/>
        </w:rPr>
        <w:t> </w:t>
      </w:r>
      <w:r>
        <w:rPr/>
        <w:t>corriente</w:t>
      </w:r>
      <w:r>
        <w:rPr>
          <w:spacing w:val="-4"/>
        </w:rPr>
        <w:t> </w:t>
      </w:r>
      <w:r>
        <w:rPr/>
        <w:t>pasaría</w:t>
      </w:r>
      <w:r>
        <w:rPr>
          <w:spacing w:val="-5"/>
        </w:rPr>
        <w:t> </w:t>
      </w:r>
      <w:r>
        <w:rPr/>
        <w:t>de 11.2% en 2021 a 12.2% en 2022. En el caso del gasto de capital, pasaría de 2.4% en 2021 a 2.5% </w:t>
      </w:r>
      <w:r>
        <w:rPr>
          <w:spacing w:val="-3"/>
        </w:rPr>
        <w:t>en </w:t>
      </w:r>
      <w:r>
        <w:rPr/>
        <w:t>2022.</w:t>
      </w:r>
      <w:r>
        <w:rPr>
          <w:spacing w:val="-7"/>
        </w:rPr>
        <w:t> </w:t>
      </w:r>
      <w:r>
        <w:rPr/>
        <w:t>Es</w:t>
      </w:r>
      <w:r>
        <w:rPr>
          <w:spacing w:val="-9"/>
        </w:rPr>
        <w:t> </w:t>
      </w:r>
      <w:r>
        <w:rPr/>
        <w:t>decir,</w:t>
      </w:r>
      <w:r>
        <w:rPr>
          <w:spacing w:val="-10"/>
        </w:rPr>
        <w:t> </w:t>
      </w:r>
      <w:r>
        <w:rPr/>
        <w:t>el</w:t>
      </w:r>
      <w:r>
        <w:rPr>
          <w:spacing w:val="-6"/>
        </w:rPr>
        <w:t> </w:t>
      </w:r>
      <w:r>
        <w:rPr/>
        <w:t>gasto</w:t>
      </w:r>
      <w:r>
        <w:rPr>
          <w:spacing w:val="-7"/>
        </w:rPr>
        <w:t> </w:t>
      </w:r>
      <w:r>
        <w:rPr/>
        <w:t>público</w:t>
      </w:r>
      <w:r>
        <w:rPr>
          <w:spacing w:val="-6"/>
        </w:rPr>
        <w:t> </w:t>
      </w:r>
      <w:r>
        <w:rPr/>
        <w:t>estaría</w:t>
      </w:r>
      <w:r>
        <w:rPr>
          <w:spacing w:val="-7"/>
        </w:rPr>
        <w:t> </w:t>
      </w:r>
      <w:r>
        <w:rPr/>
        <w:t>creciendo</w:t>
      </w:r>
      <w:r>
        <w:rPr>
          <w:spacing w:val="-6"/>
        </w:rPr>
        <w:t> </w:t>
      </w:r>
      <w:r>
        <w:rPr/>
        <w:t>1.2%</w:t>
      </w:r>
      <w:r>
        <w:rPr>
          <w:spacing w:val="-9"/>
        </w:rPr>
        <w:t> </w:t>
      </w:r>
      <w:r>
        <w:rPr/>
        <w:t>en</w:t>
      </w:r>
      <w:r>
        <w:rPr>
          <w:spacing w:val="-6"/>
        </w:rPr>
        <w:t> </w:t>
      </w:r>
      <w:r>
        <w:rPr/>
        <w:t>términos</w:t>
      </w:r>
      <w:r>
        <w:rPr>
          <w:spacing w:val="-6"/>
        </w:rPr>
        <w:t> </w:t>
      </w:r>
      <w:r>
        <w:rPr/>
        <w:t>del</w:t>
      </w:r>
      <w:r>
        <w:rPr>
          <w:spacing w:val="-5"/>
        </w:rPr>
        <w:t> </w:t>
      </w:r>
      <w:r>
        <w:rPr/>
        <w:t>PIB,</w:t>
      </w:r>
      <w:r>
        <w:rPr>
          <w:spacing w:val="-7"/>
        </w:rPr>
        <w:t> </w:t>
      </w:r>
      <w:r>
        <w:rPr/>
        <w:t>hasta</w:t>
      </w:r>
      <w:r>
        <w:rPr>
          <w:spacing w:val="-6"/>
        </w:rPr>
        <w:t> </w:t>
      </w:r>
      <w:r>
        <w:rPr/>
        <w:t>ubicarse</w:t>
      </w:r>
      <w:r>
        <w:rPr>
          <w:spacing w:val="-9"/>
        </w:rPr>
        <w:t> </w:t>
      </w:r>
      <w:r>
        <w:rPr/>
        <w:t>en</w:t>
      </w:r>
      <w:r>
        <w:rPr>
          <w:spacing w:val="-6"/>
        </w:rPr>
        <w:t> </w:t>
      </w:r>
      <w:r>
        <w:rPr/>
        <w:t>14.7%. Es</w:t>
      </w:r>
      <w:r>
        <w:rPr>
          <w:spacing w:val="-10"/>
        </w:rPr>
        <w:t> </w:t>
      </w:r>
      <w:r>
        <w:rPr/>
        <w:t>importante</w:t>
      </w:r>
      <w:r>
        <w:rPr>
          <w:spacing w:val="-10"/>
        </w:rPr>
        <w:t> </w:t>
      </w:r>
      <w:r>
        <w:rPr/>
        <w:t>considerar</w:t>
      </w:r>
      <w:r>
        <w:rPr>
          <w:spacing w:val="-9"/>
        </w:rPr>
        <w:t> </w:t>
      </w:r>
      <w:r>
        <w:rPr/>
        <w:t>que</w:t>
      </w:r>
      <w:r>
        <w:rPr>
          <w:spacing w:val="-7"/>
        </w:rPr>
        <w:t> </w:t>
      </w:r>
      <w:r>
        <w:rPr/>
        <w:t>este</w:t>
      </w:r>
      <w:r>
        <w:rPr>
          <w:spacing w:val="-9"/>
        </w:rPr>
        <w:t> </w:t>
      </w:r>
      <w:r>
        <w:rPr/>
        <w:t>nivel</w:t>
      </w:r>
      <w:r>
        <w:rPr>
          <w:spacing w:val="-7"/>
        </w:rPr>
        <w:t> </w:t>
      </w:r>
      <w:r>
        <w:rPr/>
        <w:t>de</w:t>
      </w:r>
      <w:r>
        <w:rPr>
          <w:spacing w:val="-9"/>
        </w:rPr>
        <w:t> </w:t>
      </w:r>
      <w:r>
        <w:rPr/>
        <w:t>gasto</w:t>
      </w:r>
      <w:r>
        <w:rPr>
          <w:spacing w:val="-9"/>
        </w:rPr>
        <w:t> </w:t>
      </w:r>
      <w:r>
        <w:rPr/>
        <w:t>público</w:t>
      </w:r>
      <w:r>
        <w:rPr>
          <w:spacing w:val="-12"/>
        </w:rPr>
        <w:t> </w:t>
      </w:r>
      <w:r>
        <w:rPr/>
        <w:t>a</w:t>
      </w:r>
      <w:r>
        <w:rPr>
          <w:spacing w:val="-8"/>
        </w:rPr>
        <w:t> </w:t>
      </w:r>
      <w:r>
        <w:rPr/>
        <w:t>pesar</w:t>
      </w:r>
      <w:r>
        <w:rPr>
          <w:spacing w:val="-8"/>
        </w:rPr>
        <w:t> </w:t>
      </w:r>
      <w:r>
        <w:rPr/>
        <w:t>de</w:t>
      </w:r>
      <w:r>
        <w:rPr>
          <w:spacing w:val="-8"/>
        </w:rPr>
        <w:t> </w:t>
      </w:r>
      <w:r>
        <w:rPr/>
        <w:t>ser</w:t>
      </w:r>
      <w:r>
        <w:rPr>
          <w:spacing w:val="-8"/>
        </w:rPr>
        <w:t> </w:t>
      </w:r>
      <w:r>
        <w:rPr/>
        <w:t>menor</w:t>
      </w:r>
      <w:r>
        <w:rPr>
          <w:spacing w:val="-8"/>
        </w:rPr>
        <w:t> </w:t>
      </w:r>
      <w:r>
        <w:rPr/>
        <w:t>a</w:t>
      </w:r>
      <w:r>
        <w:rPr>
          <w:spacing w:val="-10"/>
        </w:rPr>
        <w:t> </w:t>
      </w:r>
      <w:r>
        <w:rPr/>
        <w:t>los</w:t>
      </w:r>
      <w:r>
        <w:rPr>
          <w:spacing w:val="-12"/>
        </w:rPr>
        <w:t> </w:t>
      </w:r>
      <w:r>
        <w:rPr/>
        <w:t>valores</w:t>
      </w:r>
      <w:r>
        <w:rPr>
          <w:spacing w:val="-10"/>
        </w:rPr>
        <w:t> </w:t>
      </w:r>
      <w:r>
        <w:rPr/>
        <w:t>reportados en</w:t>
      </w:r>
      <w:r>
        <w:rPr>
          <w:spacing w:val="-10"/>
        </w:rPr>
        <w:t> </w:t>
      </w:r>
      <w:r>
        <w:rPr/>
        <w:t>2020,</w:t>
      </w:r>
      <w:r>
        <w:rPr>
          <w:spacing w:val="-11"/>
        </w:rPr>
        <w:t> </w:t>
      </w:r>
      <w:r>
        <w:rPr/>
        <w:t>se</w:t>
      </w:r>
      <w:r>
        <w:rPr>
          <w:spacing w:val="-9"/>
        </w:rPr>
        <w:t> </w:t>
      </w:r>
      <w:r>
        <w:rPr/>
        <w:t>ubica</w:t>
      </w:r>
      <w:r>
        <w:rPr>
          <w:spacing w:val="-10"/>
        </w:rPr>
        <w:t> </w:t>
      </w:r>
      <w:r>
        <w:rPr/>
        <w:t>por</w:t>
      </w:r>
      <w:r>
        <w:rPr>
          <w:spacing w:val="-10"/>
        </w:rPr>
        <w:t> </w:t>
      </w:r>
      <w:r>
        <w:rPr/>
        <w:t>arriba</w:t>
      </w:r>
      <w:r>
        <w:rPr>
          <w:spacing w:val="-12"/>
        </w:rPr>
        <w:t> </w:t>
      </w:r>
      <w:r>
        <w:rPr/>
        <w:t>del</w:t>
      </w:r>
      <w:r>
        <w:rPr>
          <w:spacing w:val="-10"/>
        </w:rPr>
        <w:t> </w:t>
      </w:r>
      <w:r>
        <w:rPr/>
        <w:t>2019</w:t>
      </w:r>
      <w:r>
        <w:rPr>
          <w:spacing w:val="-10"/>
        </w:rPr>
        <w:t> </w:t>
      </w:r>
      <w:r>
        <w:rPr/>
        <w:t>y</w:t>
      </w:r>
      <w:r>
        <w:rPr>
          <w:spacing w:val="-13"/>
        </w:rPr>
        <w:t> </w:t>
      </w:r>
      <w:r>
        <w:rPr/>
        <w:t>2021,</w:t>
      </w:r>
      <w:r>
        <w:rPr>
          <w:spacing w:val="-11"/>
        </w:rPr>
        <w:t> </w:t>
      </w:r>
      <w:r>
        <w:rPr/>
        <w:t>y</w:t>
      </w:r>
      <w:r>
        <w:rPr>
          <w:spacing w:val="-12"/>
        </w:rPr>
        <w:t> </w:t>
      </w:r>
      <w:r>
        <w:rPr/>
        <w:t>el</w:t>
      </w:r>
      <w:r>
        <w:rPr>
          <w:spacing w:val="-10"/>
        </w:rPr>
        <w:t> </w:t>
      </w:r>
      <w:r>
        <w:rPr/>
        <w:t>gasto</w:t>
      </w:r>
      <w:r>
        <w:rPr>
          <w:spacing w:val="-10"/>
        </w:rPr>
        <w:t> </w:t>
      </w:r>
      <w:r>
        <w:rPr/>
        <w:t>público</w:t>
      </w:r>
      <w:r>
        <w:rPr>
          <w:spacing w:val="-10"/>
        </w:rPr>
        <w:t> </w:t>
      </w:r>
      <w:r>
        <w:rPr/>
        <w:t>se</w:t>
      </w:r>
      <w:r>
        <w:rPr>
          <w:spacing w:val="-10"/>
        </w:rPr>
        <w:t> </w:t>
      </w:r>
      <w:r>
        <w:rPr/>
        <w:t>mantendría</w:t>
      </w:r>
      <w:r>
        <w:rPr>
          <w:spacing w:val="-9"/>
        </w:rPr>
        <w:t> </w:t>
      </w:r>
      <w:r>
        <w:rPr/>
        <w:t>por</w:t>
      </w:r>
      <w:r>
        <w:rPr>
          <w:spacing w:val="-10"/>
        </w:rPr>
        <w:t> </w:t>
      </w:r>
      <w:r>
        <w:rPr/>
        <w:t>arriba</w:t>
      </w:r>
      <w:r>
        <w:rPr>
          <w:spacing w:val="-10"/>
        </w:rPr>
        <w:t> </w:t>
      </w:r>
      <w:r>
        <w:rPr/>
        <w:t>del</w:t>
      </w:r>
      <w:r>
        <w:rPr>
          <w:spacing w:val="-10"/>
        </w:rPr>
        <w:t> </w:t>
      </w:r>
      <w:r>
        <w:rPr/>
        <w:t>promedio de los últimos 10 años, esto debido a que la coyuntura de la incertidumbre internacional hace necesaria la intervención del Estado a través de</w:t>
      </w:r>
      <w:r>
        <w:rPr>
          <w:spacing w:val="-9"/>
        </w:rPr>
        <w:t> </w:t>
      </w:r>
      <w:r>
        <w:rPr/>
        <w:t>subsidios.</w:t>
      </w:r>
    </w:p>
    <w:p>
      <w:pPr>
        <w:pStyle w:val="BodyText"/>
        <w:spacing w:before="4"/>
        <w:rPr>
          <w:sz w:val="25"/>
        </w:rPr>
      </w:pPr>
    </w:p>
    <w:p>
      <w:pPr>
        <w:pStyle w:val="BodyText"/>
        <w:spacing w:line="276" w:lineRule="auto"/>
        <w:ind w:left="562" w:right="1696"/>
        <w:jc w:val="both"/>
      </w:pPr>
      <w:r>
        <w:rPr/>
        <w:t>Para el presente año, se espera un alto nivel de ejecución institucional, el cierre estimado ubica el grado de ejecución en 95.6% (siendo el presupuesto vigente a junio de Q112,263.3 millones), con lo cual ascendería a Q107,304.2 millones (incluyendo las amortizaciones de la deuda pública), esto representaría una ejecución mayor en Q14,298.5 millones a la reportada en 2021.</w:t>
      </w:r>
    </w:p>
    <w:p>
      <w:pPr>
        <w:pStyle w:val="BodyText"/>
        <w:spacing w:before="3"/>
        <w:rPr>
          <w:sz w:val="25"/>
        </w:rPr>
      </w:pPr>
    </w:p>
    <w:p>
      <w:pPr>
        <w:pStyle w:val="BodyText"/>
        <w:spacing w:line="276" w:lineRule="auto" w:before="1"/>
        <w:ind w:left="562" w:right="1697"/>
        <w:jc w:val="both"/>
      </w:pPr>
      <w:r>
        <w:rPr/>
        <w:t>Se espera que la mayoría de entidades reporten niveles de ejecución altos, siendo liderada por el Ministerio</w:t>
      </w:r>
      <w:r>
        <w:rPr>
          <w:spacing w:val="-4"/>
        </w:rPr>
        <w:t> </w:t>
      </w:r>
      <w:r>
        <w:rPr/>
        <w:t>de</w:t>
      </w:r>
      <w:r>
        <w:rPr>
          <w:spacing w:val="-3"/>
        </w:rPr>
        <w:t> </w:t>
      </w:r>
      <w:r>
        <w:rPr/>
        <w:t>Energía</w:t>
      </w:r>
      <w:r>
        <w:rPr>
          <w:spacing w:val="-2"/>
        </w:rPr>
        <w:t> </w:t>
      </w:r>
      <w:r>
        <w:rPr/>
        <w:t>y</w:t>
      </w:r>
      <w:r>
        <w:rPr>
          <w:spacing w:val="-6"/>
        </w:rPr>
        <w:t> </w:t>
      </w:r>
      <w:r>
        <w:rPr/>
        <w:t>Minas</w:t>
      </w:r>
      <w:r>
        <w:rPr>
          <w:spacing w:val="-2"/>
        </w:rPr>
        <w:t> </w:t>
      </w:r>
      <w:r>
        <w:rPr/>
        <w:t>que</w:t>
      </w:r>
      <w:r>
        <w:rPr>
          <w:spacing w:val="-3"/>
        </w:rPr>
        <w:t> </w:t>
      </w:r>
      <w:r>
        <w:rPr/>
        <w:t>tiene</w:t>
      </w:r>
      <w:r>
        <w:rPr>
          <w:spacing w:val="-2"/>
        </w:rPr>
        <w:t> </w:t>
      </w:r>
      <w:r>
        <w:rPr/>
        <w:t>a</w:t>
      </w:r>
      <w:r>
        <w:rPr>
          <w:spacing w:val="-3"/>
        </w:rPr>
        <w:t> </w:t>
      </w:r>
      <w:r>
        <w:rPr/>
        <w:t>su</w:t>
      </w:r>
      <w:r>
        <w:rPr>
          <w:spacing w:val="-2"/>
        </w:rPr>
        <w:t> </w:t>
      </w:r>
      <w:r>
        <w:rPr/>
        <w:t>cargo</w:t>
      </w:r>
      <w:r>
        <w:rPr>
          <w:spacing w:val="-4"/>
        </w:rPr>
        <w:t> </w:t>
      </w:r>
      <w:r>
        <w:rPr/>
        <w:t>la</w:t>
      </w:r>
      <w:r>
        <w:rPr>
          <w:spacing w:val="-2"/>
        </w:rPr>
        <w:t> </w:t>
      </w:r>
      <w:r>
        <w:rPr/>
        <w:t>ejecución</w:t>
      </w:r>
      <w:r>
        <w:rPr>
          <w:spacing w:val="-4"/>
        </w:rPr>
        <w:t> </w:t>
      </w:r>
      <w:r>
        <w:rPr/>
        <w:t>de</w:t>
      </w:r>
      <w:r>
        <w:rPr>
          <w:spacing w:val="-2"/>
        </w:rPr>
        <w:t> </w:t>
      </w:r>
      <w:r>
        <w:rPr/>
        <w:t>los</w:t>
      </w:r>
      <w:r>
        <w:rPr>
          <w:spacing w:val="-3"/>
        </w:rPr>
        <w:t> </w:t>
      </w:r>
      <w:r>
        <w:rPr/>
        <w:t>subsidios</w:t>
      </w:r>
      <w:r>
        <w:rPr>
          <w:spacing w:val="-3"/>
        </w:rPr>
        <w:t> </w:t>
      </w:r>
      <w:r>
        <w:rPr/>
        <w:t>al</w:t>
      </w:r>
      <w:r>
        <w:rPr>
          <w:spacing w:val="-4"/>
        </w:rPr>
        <w:t> </w:t>
      </w:r>
      <w:r>
        <w:rPr/>
        <w:t>gas</w:t>
      </w:r>
      <w:r>
        <w:rPr>
          <w:spacing w:val="-3"/>
        </w:rPr>
        <w:t> </w:t>
      </w:r>
      <w:r>
        <w:rPr/>
        <w:t>propano</w:t>
      </w:r>
      <w:r>
        <w:rPr>
          <w:spacing w:val="-2"/>
        </w:rPr>
        <w:t> </w:t>
      </w:r>
      <w:r>
        <w:rPr/>
        <w:t>y</w:t>
      </w:r>
      <w:r>
        <w:rPr>
          <w:spacing w:val="-6"/>
        </w:rPr>
        <w:t> </w:t>
      </w:r>
      <w:r>
        <w:rPr/>
        <w:t>los combustibles, los cuales serían ejecutados en su totalidad. Asimismo, se prevé que las entidades que históricamente</w:t>
      </w:r>
      <w:r>
        <w:rPr>
          <w:spacing w:val="-9"/>
        </w:rPr>
        <w:t> </w:t>
      </w:r>
      <w:r>
        <w:rPr/>
        <w:t>reportan</w:t>
      </w:r>
      <w:r>
        <w:rPr>
          <w:spacing w:val="-9"/>
        </w:rPr>
        <w:t> </w:t>
      </w:r>
      <w:r>
        <w:rPr/>
        <w:t>altos</w:t>
      </w:r>
      <w:r>
        <w:rPr>
          <w:spacing w:val="-5"/>
        </w:rPr>
        <w:t> </w:t>
      </w:r>
      <w:r>
        <w:rPr/>
        <w:t>niveles</w:t>
      </w:r>
      <w:r>
        <w:rPr>
          <w:spacing w:val="-9"/>
        </w:rPr>
        <w:t> </w:t>
      </w:r>
      <w:r>
        <w:rPr/>
        <w:t>de</w:t>
      </w:r>
      <w:r>
        <w:rPr>
          <w:spacing w:val="-9"/>
        </w:rPr>
        <w:t> </w:t>
      </w:r>
      <w:r>
        <w:rPr/>
        <w:t>ejecución,</w:t>
      </w:r>
      <w:r>
        <w:rPr>
          <w:spacing w:val="-9"/>
        </w:rPr>
        <w:t> </w:t>
      </w:r>
      <w:r>
        <w:rPr/>
        <w:t>como</w:t>
      </w:r>
      <w:r>
        <w:rPr>
          <w:spacing w:val="-7"/>
        </w:rPr>
        <w:t> </w:t>
      </w:r>
      <w:r>
        <w:rPr/>
        <w:t>lo</w:t>
      </w:r>
      <w:r>
        <w:rPr>
          <w:spacing w:val="-6"/>
        </w:rPr>
        <w:t> </w:t>
      </w:r>
      <w:r>
        <w:rPr/>
        <w:t>es</w:t>
      </w:r>
      <w:r>
        <w:rPr>
          <w:spacing w:val="-9"/>
        </w:rPr>
        <w:t> </w:t>
      </w:r>
      <w:r>
        <w:rPr/>
        <w:t>el</w:t>
      </w:r>
      <w:r>
        <w:rPr>
          <w:spacing w:val="-8"/>
        </w:rPr>
        <w:t> </w:t>
      </w:r>
      <w:r>
        <w:rPr/>
        <w:t>caso</w:t>
      </w:r>
      <w:r>
        <w:rPr>
          <w:spacing w:val="-8"/>
        </w:rPr>
        <w:t> </w:t>
      </w:r>
      <w:r>
        <w:rPr/>
        <w:t>de</w:t>
      </w:r>
      <w:r>
        <w:rPr>
          <w:spacing w:val="-9"/>
        </w:rPr>
        <w:t> </w:t>
      </w:r>
      <w:r>
        <w:rPr/>
        <w:t>las</w:t>
      </w:r>
      <w:r>
        <w:rPr>
          <w:spacing w:val="-6"/>
        </w:rPr>
        <w:t> </w:t>
      </w:r>
      <w:r>
        <w:rPr/>
        <w:t>entidades</w:t>
      </w:r>
      <w:r>
        <w:rPr>
          <w:spacing w:val="-7"/>
        </w:rPr>
        <w:t> </w:t>
      </w:r>
      <w:r>
        <w:rPr/>
        <w:t>virtuales</w:t>
      </w:r>
      <w:r>
        <w:rPr>
          <w:spacing w:val="-7"/>
        </w:rPr>
        <w:t> </w:t>
      </w:r>
      <w:r>
        <w:rPr/>
        <w:t>como el Servicio de la Deuda Pública y las Obligaciones del Estado a Cargo del Tesoro, reporten ejecuciones del 98.0% y 94.0%,</w:t>
      </w:r>
      <w:r>
        <w:rPr>
          <w:spacing w:val="-8"/>
        </w:rPr>
        <w:t> </w:t>
      </w:r>
      <w:r>
        <w:rPr/>
        <w:t>respectivamente.</w:t>
      </w:r>
    </w:p>
    <w:p>
      <w:pPr>
        <w:pStyle w:val="BodyText"/>
        <w:spacing w:before="2"/>
        <w:rPr>
          <w:sz w:val="25"/>
        </w:rPr>
      </w:pPr>
    </w:p>
    <w:p>
      <w:pPr>
        <w:pStyle w:val="BodyText"/>
        <w:spacing w:line="276" w:lineRule="auto"/>
        <w:ind w:left="562" w:right="1696"/>
        <w:jc w:val="both"/>
      </w:pPr>
      <w:r>
        <w:rPr/>
        <w:t>Por su parte, Finanzas Públicas, las Secretarías y Otras Dependencias del Ejecutivo, Cultura y Deportes, Desarrollo Social, Trabajo y Economía reportarían los niveles de ejecución más bajos, siendo menores al 90%.</w:t>
      </w:r>
    </w:p>
    <w:p>
      <w:pPr>
        <w:spacing w:after="0" w:line="276" w:lineRule="auto"/>
        <w:jc w:val="both"/>
        <w:sectPr>
          <w:pgSz w:w="12240" w:h="15840"/>
          <w:pgMar w:header="715" w:footer="957" w:top="1240" w:bottom="1140" w:left="1140" w:right="0"/>
        </w:sectPr>
      </w:pPr>
    </w:p>
    <w:p>
      <w:pPr>
        <w:pStyle w:val="Heading4"/>
        <w:spacing w:before="167"/>
        <w:ind w:right="2533"/>
        <w:rPr>
          <w:i/>
        </w:rPr>
      </w:pPr>
      <w:bookmarkStart w:name="_bookmark176" w:id="224"/>
      <w:bookmarkEnd w:id="224"/>
      <w:r>
        <w:rPr>
          <w:b w:val="0"/>
          <w:i w:val="0"/>
        </w:rPr>
      </w:r>
      <w:r>
        <w:rPr>
          <w:i/>
          <w:sz w:val="20"/>
        </w:rPr>
        <w:t>Tabla 11. </w:t>
      </w:r>
      <w:r>
        <w:rPr>
          <w:i/>
        </w:rPr>
        <w:t>Estimación de la ejecución institucional</w:t>
      </w:r>
    </w:p>
    <w:p>
      <w:pPr>
        <w:spacing w:before="34"/>
        <w:ind w:left="1395" w:right="2531" w:firstLine="0"/>
        <w:jc w:val="center"/>
        <w:rPr>
          <w:sz w:val="18"/>
        </w:rPr>
      </w:pPr>
      <w:r>
        <w:rPr>
          <w:sz w:val="18"/>
        </w:rPr>
        <w:t>Al 31 de diciembre 2022</w:t>
      </w:r>
    </w:p>
    <w:p>
      <w:pPr>
        <w:spacing w:before="31" w:after="35"/>
        <w:ind w:left="1395" w:right="2529" w:firstLine="0"/>
        <w:jc w:val="center"/>
        <w:rPr>
          <w:sz w:val="18"/>
        </w:rPr>
      </w:pPr>
      <w:r>
        <w:rPr>
          <w:sz w:val="18"/>
        </w:rPr>
        <w:t>Cifras en millones de quetzales y porcentaje</w:t>
      </w:r>
    </w:p>
    <w:tbl>
      <w:tblPr>
        <w:tblW w:w="0" w:type="auto"/>
        <w:jc w:val="left"/>
        <w:tblInd w:w="15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21"/>
        <w:gridCol w:w="1356"/>
        <w:gridCol w:w="1351"/>
        <w:gridCol w:w="1306"/>
      </w:tblGrid>
      <w:tr>
        <w:trPr>
          <w:trHeight w:val="683" w:hRule="atLeast"/>
        </w:trPr>
        <w:tc>
          <w:tcPr>
            <w:tcW w:w="2621" w:type="dxa"/>
            <w:tcBorders>
              <w:bottom w:val="single" w:sz="4" w:space="0" w:color="000000"/>
              <w:right w:val="single" w:sz="4" w:space="0" w:color="000000"/>
            </w:tcBorders>
            <w:shd w:val="clear" w:color="auto" w:fill="234061"/>
          </w:tcPr>
          <w:p>
            <w:pPr>
              <w:pStyle w:val="TableParagraph"/>
              <w:spacing w:before="6"/>
              <w:rPr>
                <w:sz w:val="20"/>
              </w:rPr>
            </w:pPr>
          </w:p>
          <w:p>
            <w:pPr>
              <w:pStyle w:val="TableParagraph"/>
              <w:ind w:left="1015" w:right="999"/>
              <w:jc w:val="center"/>
              <w:rPr>
                <w:b/>
                <w:sz w:val="16"/>
              </w:rPr>
            </w:pPr>
            <w:r>
              <w:rPr>
                <w:b/>
                <w:color w:val="FFFFFF"/>
                <w:sz w:val="16"/>
              </w:rPr>
              <w:t>Entidad</w:t>
            </w:r>
          </w:p>
        </w:tc>
        <w:tc>
          <w:tcPr>
            <w:tcW w:w="1356" w:type="dxa"/>
            <w:tcBorders>
              <w:left w:val="single" w:sz="4" w:space="0" w:color="000000"/>
              <w:bottom w:val="single" w:sz="4" w:space="0" w:color="000000"/>
              <w:right w:val="single" w:sz="4" w:space="0" w:color="000000"/>
            </w:tcBorders>
            <w:shd w:val="clear" w:color="auto" w:fill="234061"/>
          </w:tcPr>
          <w:p>
            <w:pPr>
              <w:pStyle w:val="TableParagraph"/>
              <w:spacing w:line="276" w:lineRule="auto" w:before="131"/>
              <w:ind w:left="420" w:right="226" w:hanging="156"/>
              <w:rPr>
                <w:b/>
                <w:sz w:val="16"/>
              </w:rPr>
            </w:pPr>
            <w:r>
              <w:rPr>
                <w:b/>
                <w:color w:val="FFFFFF"/>
                <w:sz w:val="16"/>
              </w:rPr>
              <w:t>Presupuesto Vigente</w:t>
            </w:r>
          </w:p>
        </w:tc>
        <w:tc>
          <w:tcPr>
            <w:tcW w:w="1351" w:type="dxa"/>
            <w:tcBorders>
              <w:left w:val="single" w:sz="4" w:space="0" w:color="000000"/>
              <w:bottom w:val="single" w:sz="4" w:space="0" w:color="000000"/>
              <w:right w:val="single" w:sz="4" w:space="0" w:color="000000"/>
            </w:tcBorders>
            <w:shd w:val="clear" w:color="auto" w:fill="234061"/>
          </w:tcPr>
          <w:p>
            <w:pPr>
              <w:pStyle w:val="TableParagraph"/>
              <w:spacing w:line="276" w:lineRule="auto" w:before="131"/>
              <w:ind w:left="458" w:right="160" w:hanging="262"/>
              <w:rPr>
                <w:b/>
                <w:sz w:val="16"/>
              </w:rPr>
            </w:pPr>
            <w:r>
              <w:rPr>
                <w:b/>
                <w:color w:val="FFFFFF"/>
                <w:sz w:val="16"/>
              </w:rPr>
              <w:t>Estimación de Cierre</w:t>
            </w:r>
          </w:p>
        </w:tc>
        <w:tc>
          <w:tcPr>
            <w:tcW w:w="1306" w:type="dxa"/>
            <w:tcBorders>
              <w:left w:val="single" w:sz="4" w:space="0" w:color="000000"/>
              <w:bottom w:val="single" w:sz="4" w:space="0" w:color="000000"/>
            </w:tcBorders>
            <w:shd w:val="clear" w:color="auto" w:fill="234061"/>
          </w:tcPr>
          <w:p>
            <w:pPr>
              <w:pStyle w:val="TableParagraph"/>
              <w:spacing w:before="6"/>
              <w:rPr>
                <w:sz w:val="20"/>
              </w:rPr>
            </w:pPr>
          </w:p>
          <w:p>
            <w:pPr>
              <w:pStyle w:val="TableParagraph"/>
              <w:ind w:left="200" w:right="175"/>
              <w:jc w:val="center"/>
              <w:rPr>
                <w:b/>
                <w:sz w:val="16"/>
              </w:rPr>
            </w:pPr>
            <w:r>
              <w:rPr>
                <w:b/>
                <w:color w:val="FFFFFF"/>
                <w:sz w:val="16"/>
              </w:rPr>
              <w:t>% Ejecución</w:t>
            </w:r>
          </w:p>
        </w:tc>
      </w:tr>
      <w:tr>
        <w:trPr>
          <w:trHeight w:val="263" w:hRule="atLeast"/>
        </w:trPr>
        <w:tc>
          <w:tcPr>
            <w:tcW w:w="2621" w:type="dxa"/>
            <w:tcBorders>
              <w:top w:val="single" w:sz="4" w:space="0" w:color="000000"/>
              <w:bottom w:val="single" w:sz="4" w:space="0" w:color="000000"/>
              <w:right w:val="single" w:sz="4" w:space="0" w:color="000000"/>
            </w:tcBorders>
            <w:shd w:val="clear" w:color="auto" w:fill="DBDBDB"/>
          </w:tcPr>
          <w:p>
            <w:pPr>
              <w:pStyle w:val="TableParagraph"/>
              <w:spacing w:before="25"/>
              <w:ind w:left="1013" w:right="999"/>
              <w:jc w:val="center"/>
              <w:rPr>
                <w:b/>
                <w:sz w:val="16"/>
              </w:rPr>
            </w:pPr>
            <w:r>
              <w:rPr>
                <w:b/>
                <w:sz w:val="16"/>
              </w:rPr>
              <w:t>Total</w:t>
            </w:r>
          </w:p>
        </w:tc>
        <w:tc>
          <w:tcPr>
            <w:tcW w:w="1356" w:type="dxa"/>
            <w:tcBorders>
              <w:top w:val="single" w:sz="4" w:space="0" w:color="000000"/>
              <w:left w:val="single" w:sz="4" w:space="0" w:color="000000"/>
              <w:bottom w:val="single" w:sz="4" w:space="0" w:color="000000"/>
              <w:right w:val="single" w:sz="4" w:space="0" w:color="000000"/>
            </w:tcBorders>
            <w:shd w:val="clear" w:color="auto" w:fill="DBDBDB"/>
          </w:tcPr>
          <w:p>
            <w:pPr>
              <w:pStyle w:val="TableParagraph"/>
              <w:spacing w:before="25"/>
              <w:ind w:left="343" w:right="323"/>
              <w:jc w:val="center"/>
              <w:rPr>
                <w:b/>
                <w:sz w:val="16"/>
              </w:rPr>
            </w:pPr>
            <w:r>
              <w:rPr>
                <w:b/>
                <w:sz w:val="16"/>
              </w:rPr>
              <w:t>112,263.3</w:t>
            </w:r>
          </w:p>
        </w:tc>
        <w:tc>
          <w:tcPr>
            <w:tcW w:w="1351" w:type="dxa"/>
            <w:tcBorders>
              <w:top w:val="single" w:sz="4" w:space="0" w:color="000000"/>
              <w:left w:val="single" w:sz="4" w:space="0" w:color="000000"/>
              <w:bottom w:val="single" w:sz="4" w:space="0" w:color="000000"/>
              <w:right w:val="single" w:sz="4" w:space="0" w:color="000000"/>
            </w:tcBorders>
            <w:shd w:val="clear" w:color="auto" w:fill="DBDBDB"/>
          </w:tcPr>
          <w:p>
            <w:pPr>
              <w:pStyle w:val="TableParagraph"/>
              <w:spacing w:before="25"/>
              <w:ind w:left="341" w:right="320"/>
              <w:jc w:val="center"/>
              <w:rPr>
                <w:b/>
                <w:sz w:val="16"/>
              </w:rPr>
            </w:pPr>
            <w:r>
              <w:rPr>
                <w:b/>
                <w:sz w:val="16"/>
              </w:rPr>
              <w:t>107,304.2</w:t>
            </w:r>
          </w:p>
        </w:tc>
        <w:tc>
          <w:tcPr>
            <w:tcW w:w="1306" w:type="dxa"/>
            <w:tcBorders>
              <w:top w:val="single" w:sz="4" w:space="0" w:color="000000"/>
              <w:left w:val="single" w:sz="4" w:space="0" w:color="000000"/>
              <w:bottom w:val="single" w:sz="4" w:space="0" w:color="000000"/>
            </w:tcBorders>
            <w:shd w:val="clear" w:color="auto" w:fill="DBDBDB"/>
          </w:tcPr>
          <w:p>
            <w:pPr>
              <w:pStyle w:val="TableParagraph"/>
              <w:spacing w:before="25"/>
              <w:ind w:left="199" w:right="175"/>
              <w:jc w:val="center"/>
              <w:rPr>
                <w:b/>
                <w:sz w:val="16"/>
              </w:rPr>
            </w:pPr>
            <w:r>
              <w:rPr>
                <w:b/>
                <w:sz w:val="16"/>
              </w:rPr>
              <w:t>95.6</w:t>
            </w:r>
          </w:p>
        </w:tc>
      </w:tr>
      <w:tr>
        <w:trPr>
          <w:trHeight w:val="263" w:hRule="atLeast"/>
        </w:trPr>
        <w:tc>
          <w:tcPr>
            <w:tcW w:w="2621" w:type="dxa"/>
            <w:tcBorders>
              <w:top w:val="single" w:sz="4" w:space="0" w:color="000000"/>
              <w:bottom w:val="single" w:sz="4" w:space="0" w:color="000000"/>
              <w:right w:val="single" w:sz="4" w:space="0" w:color="000000"/>
            </w:tcBorders>
          </w:tcPr>
          <w:p>
            <w:pPr>
              <w:pStyle w:val="TableParagraph"/>
              <w:spacing w:before="23"/>
              <w:ind w:left="71"/>
              <w:rPr>
                <w:sz w:val="16"/>
              </w:rPr>
            </w:pPr>
            <w:r>
              <w:rPr>
                <w:sz w:val="16"/>
              </w:rPr>
              <w:t>Presidencia de la República</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23"/>
              <w:ind w:left="341" w:right="323"/>
              <w:jc w:val="center"/>
              <w:rPr>
                <w:sz w:val="16"/>
              </w:rPr>
            </w:pPr>
            <w:r>
              <w:rPr>
                <w:sz w:val="16"/>
              </w:rPr>
              <w:t>205.0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before="23"/>
              <w:ind w:left="339" w:right="320"/>
              <w:jc w:val="center"/>
              <w:rPr>
                <w:sz w:val="16"/>
              </w:rPr>
            </w:pPr>
            <w:r>
              <w:rPr>
                <w:sz w:val="16"/>
              </w:rPr>
              <w:t>198.7</w:t>
            </w:r>
          </w:p>
        </w:tc>
        <w:tc>
          <w:tcPr>
            <w:tcW w:w="1306" w:type="dxa"/>
            <w:tcBorders>
              <w:top w:val="single" w:sz="4" w:space="0" w:color="000000"/>
              <w:left w:val="single" w:sz="4" w:space="0" w:color="000000"/>
              <w:bottom w:val="single" w:sz="4" w:space="0" w:color="000000"/>
            </w:tcBorders>
          </w:tcPr>
          <w:p>
            <w:pPr>
              <w:pStyle w:val="TableParagraph"/>
              <w:spacing w:before="23"/>
              <w:ind w:left="199" w:right="175"/>
              <w:jc w:val="center"/>
              <w:rPr>
                <w:sz w:val="16"/>
              </w:rPr>
            </w:pPr>
            <w:r>
              <w:rPr>
                <w:sz w:val="16"/>
              </w:rPr>
              <w:t>96.9</w:t>
            </w:r>
          </w:p>
        </w:tc>
      </w:tr>
      <w:tr>
        <w:trPr>
          <w:trHeight w:val="265" w:hRule="atLeast"/>
        </w:trPr>
        <w:tc>
          <w:tcPr>
            <w:tcW w:w="2621" w:type="dxa"/>
            <w:tcBorders>
              <w:top w:val="single" w:sz="4" w:space="0" w:color="000000"/>
              <w:bottom w:val="single" w:sz="4" w:space="0" w:color="000000"/>
              <w:right w:val="single" w:sz="4" w:space="0" w:color="000000"/>
            </w:tcBorders>
          </w:tcPr>
          <w:p>
            <w:pPr>
              <w:pStyle w:val="TableParagraph"/>
              <w:spacing w:before="25"/>
              <w:ind w:left="71"/>
              <w:rPr>
                <w:sz w:val="16"/>
              </w:rPr>
            </w:pPr>
            <w:r>
              <w:rPr>
                <w:sz w:val="16"/>
              </w:rPr>
              <w:t>Relaciones Exteriores</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25"/>
              <w:ind w:left="341" w:right="323"/>
              <w:jc w:val="center"/>
              <w:rPr>
                <w:sz w:val="16"/>
              </w:rPr>
            </w:pPr>
            <w:r>
              <w:rPr>
                <w:sz w:val="16"/>
              </w:rPr>
              <w:t>610.6</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before="25"/>
              <w:ind w:left="339" w:right="320"/>
              <w:jc w:val="center"/>
              <w:rPr>
                <w:sz w:val="16"/>
              </w:rPr>
            </w:pPr>
            <w:r>
              <w:rPr>
                <w:sz w:val="16"/>
              </w:rPr>
              <w:t>601.8</w:t>
            </w:r>
          </w:p>
        </w:tc>
        <w:tc>
          <w:tcPr>
            <w:tcW w:w="1306" w:type="dxa"/>
            <w:tcBorders>
              <w:top w:val="single" w:sz="4" w:space="0" w:color="000000"/>
              <w:left w:val="single" w:sz="4" w:space="0" w:color="000000"/>
              <w:bottom w:val="single" w:sz="4" w:space="0" w:color="000000"/>
            </w:tcBorders>
          </w:tcPr>
          <w:p>
            <w:pPr>
              <w:pStyle w:val="TableParagraph"/>
              <w:spacing w:before="25"/>
              <w:ind w:left="199" w:right="175"/>
              <w:jc w:val="center"/>
              <w:rPr>
                <w:sz w:val="16"/>
              </w:rPr>
            </w:pPr>
            <w:r>
              <w:rPr>
                <w:sz w:val="16"/>
              </w:rPr>
              <w:t>98.6</w:t>
            </w:r>
          </w:p>
        </w:tc>
      </w:tr>
      <w:tr>
        <w:trPr>
          <w:trHeight w:val="282" w:hRule="atLeast"/>
        </w:trPr>
        <w:tc>
          <w:tcPr>
            <w:tcW w:w="2621" w:type="dxa"/>
            <w:tcBorders>
              <w:top w:val="single" w:sz="4" w:space="0" w:color="000000"/>
              <w:bottom w:val="single" w:sz="4" w:space="0" w:color="000000"/>
              <w:right w:val="single" w:sz="4" w:space="0" w:color="000000"/>
            </w:tcBorders>
          </w:tcPr>
          <w:p>
            <w:pPr>
              <w:pStyle w:val="TableParagraph"/>
              <w:spacing w:before="33"/>
              <w:ind w:left="71"/>
              <w:rPr>
                <w:sz w:val="16"/>
              </w:rPr>
            </w:pPr>
            <w:r>
              <w:rPr>
                <w:sz w:val="16"/>
              </w:rPr>
              <w:t>Gobernación</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33"/>
              <w:ind w:left="341" w:right="323"/>
              <w:jc w:val="center"/>
              <w:rPr>
                <w:sz w:val="16"/>
              </w:rPr>
            </w:pPr>
            <w:r>
              <w:rPr>
                <w:sz w:val="16"/>
              </w:rPr>
              <w:t>6,480.5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before="33"/>
              <w:ind w:left="339" w:right="320"/>
              <w:jc w:val="center"/>
              <w:rPr>
                <w:sz w:val="16"/>
              </w:rPr>
            </w:pPr>
            <w:r>
              <w:rPr>
                <w:sz w:val="16"/>
              </w:rPr>
              <w:t>6,006.5</w:t>
            </w:r>
          </w:p>
        </w:tc>
        <w:tc>
          <w:tcPr>
            <w:tcW w:w="1306" w:type="dxa"/>
            <w:tcBorders>
              <w:top w:val="single" w:sz="4" w:space="0" w:color="000000"/>
              <w:left w:val="single" w:sz="4" w:space="0" w:color="000000"/>
              <w:bottom w:val="single" w:sz="4" w:space="0" w:color="000000"/>
            </w:tcBorders>
          </w:tcPr>
          <w:p>
            <w:pPr>
              <w:pStyle w:val="TableParagraph"/>
              <w:spacing w:before="33"/>
              <w:ind w:left="199" w:right="175"/>
              <w:jc w:val="center"/>
              <w:rPr>
                <w:sz w:val="16"/>
              </w:rPr>
            </w:pPr>
            <w:r>
              <w:rPr>
                <w:sz w:val="16"/>
              </w:rPr>
              <w:t>92.7</w:t>
            </w:r>
          </w:p>
        </w:tc>
      </w:tr>
      <w:tr>
        <w:trPr>
          <w:trHeight w:val="263" w:hRule="atLeast"/>
        </w:trPr>
        <w:tc>
          <w:tcPr>
            <w:tcW w:w="2621" w:type="dxa"/>
            <w:tcBorders>
              <w:top w:val="single" w:sz="4" w:space="0" w:color="000000"/>
              <w:bottom w:val="single" w:sz="4" w:space="0" w:color="000000"/>
              <w:right w:val="single" w:sz="4" w:space="0" w:color="000000"/>
            </w:tcBorders>
          </w:tcPr>
          <w:p>
            <w:pPr>
              <w:pStyle w:val="TableParagraph"/>
              <w:spacing w:before="23"/>
              <w:ind w:left="71"/>
              <w:rPr>
                <w:sz w:val="16"/>
              </w:rPr>
            </w:pPr>
            <w:r>
              <w:rPr>
                <w:sz w:val="16"/>
              </w:rPr>
              <w:t>Defensa Nacional</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23"/>
              <w:ind w:left="341" w:right="323"/>
              <w:jc w:val="center"/>
              <w:rPr>
                <w:sz w:val="16"/>
              </w:rPr>
            </w:pPr>
            <w:r>
              <w:rPr>
                <w:sz w:val="16"/>
              </w:rPr>
              <w:t>3,158.7</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before="23"/>
              <w:ind w:left="339" w:right="320"/>
              <w:jc w:val="center"/>
              <w:rPr>
                <w:sz w:val="16"/>
              </w:rPr>
            </w:pPr>
            <w:r>
              <w:rPr>
                <w:sz w:val="16"/>
              </w:rPr>
              <w:t>3,039.5</w:t>
            </w:r>
          </w:p>
        </w:tc>
        <w:tc>
          <w:tcPr>
            <w:tcW w:w="1306" w:type="dxa"/>
            <w:tcBorders>
              <w:top w:val="single" w:sz="4" w:space="0" w:color="000000"/>
              <w:left w:val="single" w:sz="4" w:space="0" w:color="000000"/>
              <w:bottom w:val="single" w:sz="4" w:space="0" w:color="000000"/>
            </w:tcBorders>
          </w:tcPr>
          <w:p>
            <w:pPr>
              <w:pStyle w:val="TableParagraph"/>
              <w:spacing w:before="23"/>
              <w:ind w:left="199" w:right="175"/>
              <w:jc w:val="center"/>
              <w:rPr>
                <w:sz w:val="16"/>
              </w:rPr>
            </w:pPr>
            <w:r>
              <w:rPr>
                <w:sz w:val="16"/>
              </w:rPr>
              <w:t>96.2</w:t>
            </w:r>
          </w:p>
        </w:tc>
      </w:tr>
      <w:tr>
        <w:trPr>
          <w:trHeight w:val="277" w:hRule="atLeast"/>
        </w:trPr>
        <w:tc>
          <w:tcPr>
            <w:tcW w:w="2621" w:type="dxa"/>
            <w:tcBorders>
              <w:top w:val="single" w:sz="4" w:space="0" w:color="000000"/>
              <w:bottom w:val="single" w:sz="4" w:space="0" w:color="000000"/>
              <w:right w:val="single" w:sz="4" w:space="0" w:color="000000"/>
            </w:tcBorders>
          </w:tcPr>
          <w:p>
            <w:pPr>
              <w:pStyle w:val="TableParagraph"/>
              <w:spacing w:before="30"/>
              <w:ind w:left="71"/>
              <w:rPr>
                <w:sz w:val="16"/>
              </w:rPr>
            </w:pPr>
            <w:r>
              <w:rPr>
                <w:sz w:val="16"/>
              </w:rPr>
              <w:t>Finanzas Públicas</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30"/>
              <w:ind w:left="341" w:right="323"/>
              <w:jc w:val="center"/>
              <w:rPr>
                <w:sz w:val="16"/>
              </w:rPr>
            </w:pPr>
            <w:r>
              <w:rPr>
                <w:sz w:val="16"/>
              </w:rPr>
              <w:t>386.7</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before="30"/>
              <w:ind w:left="339" w:right="320"/>
              <w:jc w:val="center"/>
              <w:rPr>
                <w:sz w:val="16"/>
              </w:rPr>
            </w:pPr>
            <w:r>
              <w:rPr>
                <w:sz w:val="16"/>
              </w:rPr>
              <w:t>308.0</w:t>
            </w:r>
          </w:p>
        </w:tc>
        <w:tc>
          <w:tcPr>
            <w:tcW w:w="1306" w:type="dxa"/>
            <w:tcBorders>
              <w:top w:val="single" w:sz="4" w:space="0" w:color="000000"/>
              <w:left w:val="single" w:sz="4" w:space="0" w:color="000000"/>
              <w:bottom w:val="single" w:sz="4" w:space="0" w:color="000000"/>
            </w:tcBorders>
          </w:tcPr>
          <w:p>
            <w:pPr>
              <w:pStyle w:val="TableParagraph"/>
              <w:spacing w:before="30"/>
              <w:ind w:left="199" w:right="175"/>
              <w:jc w:val="center"/>
              <w:rPr>
                <w:sz w:val="16"/>
              </w:rPr>
            </w:pPr>
            <w:r>
              <w:rPr>
                <w:sz w:val="16"/>
              </w:rPr>
              <w:t>79.6</w:t>
            </w:r>
          </w:p>
        </w:tc>
      </w:tr>
      <w:tr>
        <w:trPr>
          <w:trHeight w:val="280" w:hRule="atLeast"/>
        </w:trPr>
        <w:tc>
          <w:tcPr>
            <w:tcW w:w="2621" w:type="dxa"/>
            <w:tcBorders>
              <w:top w:val="single" w:sz="4" w:space="0" w:color="000000"/>
              <w:bottom w:val="single" w:sz="4" w:space="0" w:color="000000"/>
              <w:right w:val="single" w:sz="4" w:space="0" w:color="000000"/>
            </w:tcBorders>
          </w:tcPr>
          <w:p>
            <w:pPr>
              <w:pStyle w:val="TableParagraph"/>
              <w:spacing w:before="30"/>
              <w:ind w:left="71"/>
              <w:rPr>
                <w:sz w:val="16"/>
              </w:rPr>
            </w:pPr>
            <w:r>
              <w:rPr>
                <w:sz w:val="16"/>
              </w:rPr>
              <w:t>Educación</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30"/>
              <w:ind w:left="343" w:right="323"/>
              <w:jc w:val="center"/>
              <w:rPr>
                <w:sz w:val="16"/>
              </w:rPr>
            </w:pPr>
            <w:r>
              <w:rPr>
                <w:sz w:val="16"/>
              </w:rPr>
              <w:t>20,503.2</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before="30"/>
              <w:ind w:left="341" w:right="320"/>
              <w:jc w:val="center"/>
              <w:rPr>
                <w:sz w:val="16"/>
              </w:rPr>
            </w:pPr>
            <w:r>
              <w:rPr>
                <w:sz w:val="16"/>
              </w:rPr>
              <w:t>20,216.8</w:t>
            </w:r>
          </w:p>
        </w:tc>
        <w:tc>
          <w:tcPr>
            <w:tcW w:w="1306" w:type="dxa"/>
            <w:tcBorders>
              <w:top w:val="single" w:sz="4" w:space="0" w:color="000000"/>
              <w:left w:val="single" w:sz="4" w:space="0" w:color="000000"/>
              <w:bottom w:val="single" w:sz="4" w:space="0" w:color="000000"/>
            </w:tcBorders>
          </w:tcPr>
          <w:p>
            <w:pPr>
              <w:pStyle w:val="TableParagraph"/>
              <w:spacing w:before="30"/>
              <w:ind w:left="199" w:right="175"/>
              <w:jc w:val="center"/>
              <w:rPr>
                <w:sz w:val="16"/>
              </w:rPr>
            </w:pPr>
            <w:r>
              <w:rPr>
                <w:sz w:val="16"/>
              </w:rPr>
              <w:t>98.6</w:t>
            </w:r>
          </w:p>
        </w:tc>
      </w:tr>
      <w:tr>
        <w:trPr>
          <w:trHeight w:val="270" w:hRule="atLeast"/>
        </w:trPr>
        <w:tc>
          <w:tcPr>
            <w:tcW w:w="2621" w:type="dxa"/>
            <w:tcBorders>
              <w:top w:val="single" w:sz="4" w:space="0" w:color="000000"/>
              <w:bottom w:val="single" w:sz="4" w:space="0" w:color="000000"/>
              <w:right w:val="single" w:sz="4" w:space="0" w:color="000000"/>
            </w:tcBorders>
          </w:tcPr>
          <w:p>
            <w:pPr>
              <w:pStyle w:val="TableParagraph"/>
              <w:spacing w:before="28"/>
              <w:ind w:left="71"/>
              <w:rPr>
                <w:sz w:val="16"/>
              </w:rPr>
            </w:pPr>
            <w:r>
              <w:rPr>
                <w:sz w:val="16"/>
              </w:rPr>
              <w:t>Salud Pública y Asistencia Social</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28"/>
              <w:ind w:left="343" w:right="323"/>
              <w:jc w:val="center"/>
              <w:rPr>
                <w:sz w:val="16"/>
              </w:rPr>
            </w:pPr>
            <w:r>
              <w:rPr>
                <w:sz w:val="16"/>
              </w:rPr>
              <w:t>12,643.7</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before="28"/>
              <w:ind w:left="341" w:right="320"/>
              <w:jc w:val="center"/>
              <w:rPr>
                <w:sz w:val="16"/>
              </w:rPr>
            </w:pPr>
            <w:r>
              <w:rPr>
                <w:sz w:val="16"/>
              </w:rPr>
              <w:t>12,021.3</w:t>
            </w:r>
          </w:p>
        </w:tc>
        <w:tc>
          <w:tcPr>
            <w:tcW w:w="1306" w:type="dxa"/>
            <w:tcBorders>
              <w:top w:val="single" w:sz="4" w:space="0" w:color="000000"/>
              <w:left w:val="single" w:sz="4" w:space="0" w:color="000000"/>
              <w:bottom w:val="single" w:sz="4" w:space="0" w:color="000000"/>
            </w:tcBorders>
          </w:tcPr>
          <w:p>
            <w:pPr>
              <w:pStyle w:val="TableParagraph"/>
              <w:spacing w:before="28"/>
              <w:ind w:left="199" w:right="175"/>
              <w:jc w:val="center"/>
              <w:rPr>
                <w:sz w:val="16"/>
              </w:rPr>
            </w:pPr>
            <w:r>
              <w:rPr>
                <w:sz w:val="16"/>
              </w:rPr>
              <w:t>95.1</w:t>
            </w:r>
          </w:p>
        </w:tc>
      </w:tr>
      <w:tr>
        <w:trPr>
          <w:trHeight w:val="276" w:hRule="atLeast"/>
        </w:trPr>
        <w:tc>
          <w:tcPr>
            <w:tcW w:w="2621" w:type="dxa"/>
            <w:tcBorders>
              <w:top w:val="single" w:sz="4" w:space="0" w:color="000000"/>
              <w:bottom w:val="single" w:sz="4" w:space="0" w:color="000000"/>
              <w:right w:val="single" w:sz="4" w:space="0" w:color="000000"/>
            </w:tcBorders>
          </w:tcPr>
          <w:p>
            <w:pPr>
              <w:pStyle w:val="TableParagraph"/>
              <w:spacing w:before="31"/>
              <w:ind w:left="71"/>
              <w:rPr>
                <w:sz w:val="16"/>
              </w:rPr>
            </w:pPr>
            <w:r>
              <w:rPr>
                <w:sz w:val="16"/>
              </w:rPr>
              <w:t>Trabajo y Previsión Social</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31"/>
              <w:ind w:left="341" w:right="323"/>
              <w:jc w:val="center"/>
              <w:rPr>
                <w:sz w:val="16"/>
              </w:rPr>
            </w:pPr>
            <w:r>
              <w:rPr>
                <w:sz w:val="16"/>
              </w:rPr>
              <w:t>976.0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before="31"/>
              <w:ind w:left="339" w:right="320"/>
              <w:jc w:val="center"/>
              <w:rPr>
                <w:sz w:val="16"/>
              </w:rPr>
            </w:pPr>
            <w:r>
              <w:rPr>
                <w:sz w:val="16"/>
              </w:rPr>
              <w:t>845.9</w:t>
            </w:r>
          </w:p>
        </w:tc>
        <w:tc>
          <w:tcPr>
            <w:tcW w:w="1306" w:type="dxa"/>
            <w:tcBorders>
              <w:top w:val="single" w:sz="4" w:space="0" w:color="000000"/>
              <w:left w:val="single" w:sz="4" w:space="0" w:color="000000"/>
              <w:bottom w:val="single" w:sz="4" w:space="0" w:color="000000"/>
            </w:tcBorders>
          </w:tcPr>
          <w:p>
            <w:pPr>
              <w:pStyle w:val="TableParagraph"/>
              <w:spacing w:before="31"/>
              <w:ind w:left="199" w:right="175"/>
              <w:jc w:val="center"/>
              <w:rPr>
                <w:sz w:val="16"/>
              </w:rPr>
            </w:pPr>
            <w:r>
              <w:rPr>
                <w:sz w:val="16"/>
              </w:rPr>
              <w:t>86.7</w:t>
            </w:r>
          </w:p>
        </w:tc>
      </w:tr>
      <w:tr>
        <w:trPr>
          <w:trHeight w:val="266" w:hRule="atLeast"/>
        </w:trPr>
        <w:tc>
          <w:tcPr>
            <w:tcW w:w="2621" w:type="dxa"/>
            <w:tcBorders>
              <w:top w:val="single" w:sz="4" w:space="0" w:color="000000"/>
              <w:bottom w:val="single" w:sz="4" w:space="0" w:color="000000"/>
              <w:right w:val="single" w:sz="4" w:space="0" w:color="000000"/>
            </w:tcBorders>
          </w:tcPr>
          <w:p>
            <w:pPr>
              <w:pStyle w:val="TableParagraph"/>
              <w:spacing w:before="23"/>
              <w:ind w:left="71"/>
              <w:rPr>
                <w:sz w:val="16"/>
              </w:rPr>
            </w:pPr>
            <w:r>
              <w:rPr>
                <w:sz w:val="16"/>
              </w:rPr>
              <w:t>Economía</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23"/>
              <w:ind w:left="341" w:right="323"/>
              <w:jc w:val="center"/>
              <w:rPr>
                <w:sz w:val="16"/>
              </w:rPr>
            </w:pPr>
            <w:r>
              <w:rPr>
                <w:sz w:val="16"/>
              </w:rPr>
              <w:t>508.1</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before="23"/>
              <w:ind w:left="339" w:right="320"/>
              <w:jc w:val="center"/>
              <w:rPr>
                <w:sz w:val="16"/>
              </w:rPr>
            </w:pPr>
            <w:r>
              <w:rPr>
                <w:sz w:val="16"/>
              </w:rPr>
              <w:t>447.1</w:t>
            </w:r>
          </w:p>
        </w:tc>
        <w:tc>
          <w:tcPr>
            <w:tcW w:w="1306" w:type="dxa"/>
            <w:tcBorders>
              <w:top w:val="single" w:sz="4" w:space="0" w:color="000000"/>
              <w:left w:val="single" w:sz="4" w:space="0" w:color="000000"/>
              <w:bottom w:val="single" w:sz="4" w:space="0" w:color="000000"/>
            </w:tcBorders>
          </w:tcPr>
          <w:p>
            <w:pPr>
              <w:pStyle w:val="TableParagraph"/>
              <w:spacing w:before="23"/>
              <w:ind w:left="199" w:right="175"/>
              <w:jc w:val="center"/>
              <w:rPr>
                <w:sz w:val="16"/>
              </w:rPr>
            </w:pPr>
            <w:r>
              <w:rPr>
                <w:sz w:val="16"/>
              </w:rPr>
              <w:t>88.0</w:t>
            </w:r>
          </w:p>
        </w:tc>
      </w:tr>
      <w:tr>
        <w:trPr>
          <w:trHeight w:val="421" w:hRule="atLeast"/>
        </w:trPr>
        <w:tc>
          <w:tcPr>
            <w:tcW w:w="2621" w:type="dxa"/>
            <w:tcBorders>
              <w:top w:val="single" w:sz="4" w:space="0" w:color="000000"/>
              <w:bottom w:val="single" w:sz="4" w:space="0" w:color="000000"/>
              <w:right w:val="single" w:sz="4" w:space="0" w:color="000000"/>
            </w:tcBorders>
          </w:tcPr>
          <w:p>
            <w:pPr>
              <w:pStyle w:val="TableParagraph"/>
              <w:spacing w:line="181" w:lineRule="exact"/>
              <w:ind w:left="71"/>
              <w:rPr>
                <w:sz w:val="16"/>
              </w:rPr>
            </w:pPr>
            <w:r>
              <w:rPr>
                <w:sz w:val="16"/>
              </w:rPr>
              <w:t>Agricultura, Ganadería y</w:t>
            </w:r>
          </w:p>
          <w:p>
            <w:pPr>
              <w:pStyle w:val="TableParagraph"/>
              <w:spacing w:before="27"/>
              <w:ind w:left="71"/>
              <w:rPr>
                <w:sz w:val="16"/>
              </w:rPr>
            </w:pPr>
            <w:r>
              <w:rPr>
                <w:sz w:val="16"/>
              </w:rPr>
              <w:t>Alimentación</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102"/>
              <w:ind w:left="341" w:right="323"/>
              <w:jc w:val="center"/>
              <w:rPr>
                <w:sz w:val="16"/>
              </w:rPr>
            </w:pPr>
            <w:r>
              <w:rPr>
                <w:sz w:val="16"/>
              </w:rPr>
              <w:t>1,474.4</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before="102"/>
              <w:ind w:left="339" w:right="320"/>
              <w:jc w:val="center"/>
              <w:rPr>
                <w:sz w:val="16"/>
              </w:rPr>
            </w:pPr>
            <w:r>
              <w:rPr>
                <w:sz w:val="16"/>
              </w:rPr>
              <w:t>1,355.9</w:t>
            </w:r>
          </w:p>
        </w:tc>
        <w:tc>
          <w:tcPr>
            <w:tcW w:w="1306" w:type="dxa"/>
            <w:tcBorders>
              <w:top w:val="single" w:sz="4" w:space="0" w:color="000000"/>
              <w:left w:val="single" w:sz="4" w:space="0" w:color="000000"/>
              <w:bottom w:val="single" w:sz="4" w:space="0" w:color="000000"/>
            </w:tcBorders>
          </w:tcPr>
          <w:p>
            <w:pPr>
              <w:pStyle w:val="TableParagraph"/>
              <w:spacing w:before="102"/>
              <w:ind w:left="199" w:right="175"/>
              <w:jc w:val="center"/>
              <w:rPr>
                <w:sz w:val="16"/>
              </w:rPr>
            </w:pPr>
            <w:r>
              <w:rPr>
                <w:sz w:val="16"/>
              </w:rPr>
              <w:t>92.0</w:t>
            </w:r>
          </w:p>
        </w:tc>
      </w:tr>
      <w:tr>
        <w:trPr>
          <w:trHeight w:val="424" w:hRule="atLeast"/>
        </w:trPr>
        <w:tc>
          <w:tcPr>
            <w:tcW w:w="2621" w:type="dxa"/>
            <w:tcBorders>
              <w:top w:val="single" w:sz="4" w:space="0" w:color="000000"/>
              <w:bottom w:val="single" w:sz="4" w:space="0" w:color="000000"/>
              <w:right w:val="single" w:sz="4" w:space="0" w:color="000000"/>
            </w:tcBorders>
          </w:tcPr>
          <w:p>
            <w:pPr>
              <w:pStyle w:val="TableParagraph"/>
              <w:spacing w:line="183" w:lineRule="exact"/>
              <w:ind w:left="71"/>
              <w:rPr>
                <w:sz w:val="16"/>
              </w:rPr>
            </w:pPr>
            <w:r>
              <w:rPr>
                <w:sz w:val="16"/>
              </w:rPr>
              <w:t>Comunicaciones, Infraestructura y</w:t>
            </w:r>
          </w:p>
          <w:p>
            <w:pPr>
              <w:pStyle w:val="TableParagraph"/>
              <w:spacing w:before="27"/>
              <w:ind w:left="71"/>
              <w:rPr>
                <w:sz w:val="16"/>
              </w:rPr>
            </w:pPr>
            <w:r>
              <w:rPr>
                <w:sz w:val="16"/>
              </w:rPr>
              <w:t>Vivienda</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105"/>
              <w:ind w:left="341" w:right="323"/>
              <w:jc w:val="center"/>
              <w:rPr>
                <w:sz w:val="16"/>
              </w:rPr>
            </w:pPr>
            <w:r>
              <w:rPr>
                <w:sz w:val="16"/>
              </w:rPr>
              <w:t>8,642.3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before="105"/>
              <w:ind w:left="339" w:right="320"/>
              <w:jc w:val="center"/>
              <w:rPr>
                <w:sz w:val="16"/>
              </w:rPr>
            </w:pPr>
            <w:r>
              <w:rPr>
                <w:sz w:val="16"/>
              </w:rPr>
              <w:t>7,952.9</w:t>
            </w:r>
          </w:p>
        </w:tc>
        <w:tc>
          <w:tcPr>
            <w:tcW w:w="1306" w:type="dxa"/>
            <w:tcBorders>
              <w:top w:val="single" w:sz="4" w:space="0" w:color="000000"/>
              <w:left w:val="single" w:sz="4" w:space="0" w:color="000000"/>
              <w:bottom w:val="single" w:sz="4" w:space="0" w:color="000000"/>
            </w:tcBorders>
          </w:tcPr>
          <w:p>
            <w:pPr>
              <w:pStyle w:val="TableParagraph"/>
              <w:spacing w:before="105"/>
              <w:ind w:left="199" w:right="175"/>
              <w:jc w:val="center"/>
              <w:rPr>
                <w:sz w:val="16"/>
              </w:rPr>
            </w:pPr>
            <w:r>
              <w:rPr>
                <w:sz w:val="16"/>
              </w:rPr>
              <w:t>92.0</w:t>
            </w:r>
          </w:p>
        </w:tc>
      </w:tr>
      <w:tr>
        <w:trPr>
          <w:trHeight w:val="263" w:hRule="atLeast"/>
        </w:trPr>
        <w:tc>
          <w:tcPr>
            <w:tcW w:w="2621" w:type="dxa"/>
            <w:tcBorders>
              <w:top w:val="single" w:sz="4" w:space="0" w:color="000000"/>
              <w:bottom w:val="single" w:sz="4" w:space="0" w:color="000000"/>
              <w:right w:val="single" w:sz="4" w:space="0" w:color="000000"/>
            </w:tcBorders>
          </w:tcPr>
          <w:p>
            <w:pPr>
              <w:pStyle w:val="TableParagraph"/>
              <w:spacing w:before="23"/>
              <w:ind w:left="71"/>
              <w:rPr>
                <w:sz w:val="16"/>
              </w:rPr>
            </w:pPr>
            <w:r>
              <w:rPr>
                <w:sz w:val="16"/>
              </w:rPr>
              <w:t>Energía y Minas</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23"/>
              <w:ind w:left="341" w:right="323"/>
              <w:jc w:val="center"/>
              <w:rPr>
                <w:sz w:val="16"/>
              </w:rPr>
            </w:pPr>
            <w:r>
              <w:rPr>
                <w:sz w:val="16"/>
              </w:rPr>
              <w:t>2,615.8</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before="23"/>
              <w:ind w:left="339" w:right="320"/>
              <w:jc w:val="center"/>
              <w:rPr>
                <w:sz w:val="16"/>
              </w:rPr>
            </w:pPr>
            <w:r>
              <w:rPr>
                <w:sz w:val="16"/>
              </w:rPr>
              <w:t>2,612.7</w:t>
            </w:r>
          </w:p>
        </w:tc>
        <w:tc>
          <w:tcPr>
            <w:tcW w:w="1306" w:type="dxa"/>
            <w:tcBorders>
              <w:top w:val="single" w:sz="4" w:space="0" w:color="000000"/>
              <w:left w:val="single" w:sz="4" w:space="0" w:color="000000"/>
              <w:bottom w:val="single" w:sz="4" w:space="0" w:color="000000"/>
            </w:tcBorders>
          </w:tcPr>
          <w:p>
            <w:pPr>
              <w:pStyle w:val="TableParagraph"/>
              <w:spacing w:before="23"/>
              <w:ind w:left="199" w:right="175"/>
              <w:jc w:val="center"/>
              <w:rPr>
                <w:sz w:val="16"/>
              </w:rPr>
            </w:pPr>
            <w:r>
              <w:rPr>
                <w:sz w:val="16"/>
              </w:rPr>
              <w:t>99.9</w:t>
            </w:r>
          </w:p>
        </w:tc>
      </w:tr>
      <w:tr>
        <w:trPr>
          <w:trHeight w:val="270" w:hRule="atLeast"/>
        </w:trPr>
        <w:tc>
          <w:tcPr>
            <w:tcW w:w="2621" w:type="dxa"/>
            <w:tcBorders>
              <w:top w:val="single" w:sz="4" w:space="0" w:color="000000"/>
              <w:bottom w:val="single" w:sz="4" w:space="0" w:color="000000"/>
              <w:right w:val="single" w:sz="4" w:space="0" w:color="000000"/>
            </w:tcBorders>
          </w:tcPr>
          <w:p>
            <w:pPr>
              <w:pStyle w:val="TableParagraph"/>
              <w:spacing w:before="25"/>
              <w:ind w:left="71"/>
              <w:rPr>
                <w:sz w:val="16"/>
              </w:rPr>
            </w:pPr>
            <w:r>
              <w:rPr>
                <w:sz w:val="16"/>
              </w:rPr>
              <w:t>Cultura y Deportes</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25"/>
              <w:ind w:left="341" w:right="323"/>
              <w:jc w:val="center"/>
              <w:rPr>
                <w:sz w:val="16"/>
              </w:rPr>
            </w:pPr>
            <w:r>
              <w:rPr>
                <w:sz w:val="16"/>
              </w:rPr>
              <w:t>634.0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before="25"/>
              <w:ind w:left="339" w:right="320"/>
              <w:jc w:val="center"/>
              <w:rPr>
                <w:sz w:val="16"/>
              </w:rPr>
            </w:pPr>
            <w:r>
              <w:rPr>
                <w:sz w:val="16"/>
              </w:rPr>
              <w:t>504.2</w:t>
            </w:r>
          </w:p>
        </w:tc>
        <w:tc>
          <w:tcPr>
            <w:tcW w:w="1306" w:type="dxa"/>
            <w:tcBorders>
              <w:top w:val="single" w:sz="4" w:space="0" w:color="000000"/>
              <w:left w:val="single" w:sz="4" w:space="0" w:color="000000"/>
              <w:bottom w:val="single" w:sz="4" w:space="0" w:color="000000"/>
            </w:tcBorders>
          </w:tcPr>
          <w:p>
            <w:pPr>
              <w:pStyle w:val="TableParagraph"/>
              <w:spacing w:before="25"/>
              <w:ind w:left="199" w:right="175"/>
              <w:jc w:val="center"/>
              <w:rPr>
                <w:sz w:val="16"/>
              </w:rPr>
            </w:pPr>
            <w:r>
              <w:rPr>
                <w:sz w:val="16"/>
              </w:rPr>
              <w:t>79.5</w:t>
            </w:r>
          </w:p>
        </w:tc>
      </w:tr>
      <w:tr>
        <w:trPr>
          <w:trHeight w:val="422" w:hRule="atLeast"/>
        </w:trPr>
        <w:tc>
          <w:tcPr>
            <w:tcW w:w="2621" w:type="dxa"/>
            <w:tcBorders>
              <w:top w:val="single" w:sz="4" w:space="0" w:color="000000"/>
              <w:bottom w:val="single" w:sz="4" w:space="0" w:color="000000"/>
              <w:right w:val="single" w:sz="4" w:space="0" w:color="000000"/>
            </w:tcBorders>
          </w:tcPr>
          <w:p>
            <w:pPr>
              <w:pStyle w:val="TableParagraph"/>
              <w:spacing w:line="181" w:lineRule="exact"/>
              <w:ind w:left="71"/>
              <w:rPr>
                <w:sz w:val="16"/>
              </w:rPr>
            </w:pPr>
            <w:r>
              <w:rPr>
                <w:sz w:val="16"/>
              </w:rPr>
              <w:t>Secretarías y Otras Dependencias del</w:t>
            </w:r>
          </w:p>
          <w:p>
            <w:pPr>
              <w:pStyle w:val="TableParagraph"/>
              <w:spacing w:before="27"/>
              <w:ind w:left="71"/>
              <w:rPr>
                <w:sz w:val="16"/>
              </w:rPr>
            </w:pPr>
            <w:r>
              <w:rPr>
                <w:sz w:val="16"/>
              </w:rPr>
              <w:t>Ejecutivo</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102"/>
              <w:ind w:left="341" w:right="323"/>
              <w:jc w:val="center"/>
              <w:rPr>
                <w:sz w:val="16"/>
              </w:rPr>
            </w:pPr>
            <w:r>
              <w:rPr>
                <w:sz w:val="16"/>
              </w:rPr>
              <w:t>1,349.9</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before="102"/>
              <w:ind w:left="339" w:right="320"/>
              <w:jc w:val="center"/>
              <w:rPr>
                <w:sz w:val="16"/>
              </w:rPr>
            </w:pPr>
            <w:r>
              <w:rPr>
                <w:sz w:val="16"/>
              </w:rPr>
              <w:t>1,170.0</w:t>
            </w:r>
          </w:p>
        </w:tc>
        <w:tc>
          <w:tcPr>
            <w:tcW w:w="1306" w:type="dxa"/>
            <w:tcBorders>
              <w:top w:val="single" w:sz="4" w:space="0" w:color="000000"/>
              <w:left w:val="single" w:sz="4" w:space="0" w:color="000000"/>
              <w:bottom w:val="single" w:sz="4" w:space="0" w:color="000000"/>
            </w:tcBorders>
          </w:tcPr>
          <w:p>
            <w:pPr>
              <w:pStyle w:val="TableParagraph"/>
              <w:spacing w:before="102"/>
              <w:ind w:left="199" w:right="175"/>
              <w:jc w:val="center"/>
              <w:rPr>
                <w:sz w:val="16"/>
              </w:rPr>
            </w:pPr>
            <w:r>
              <w:rPr>
                <w:sz w:val="16"/>
              </w:rPr>
              <w:t>86.7</w:t>
            </w:r>
          </w:p>
        </w:tc>
      </w:tr>
      <w:tr>
        <w:trPr>
          <w:trHeight w:val="263" w:hRule="atLeast"/>
        </w:trPr>
        <w:tc>
          <w:tcPr>
            <w:tcW w:w="2621" w:type="dxa"/>
            <w:tcBorders>
              <w:top w:val="single" w:sz="4" w:space="0" w:color="000000"/>
              <w:bottom w:val="single" w:sz="4" w:space="0" w:color="000000"/>
              <w:right w:val="single" w:sz="4" w:space="0" w:color="000000"/>
            </w:tcBorders>
          </w:tcPr>
          <w:p>
            <w:pPr>
              <w:pStyle w:val="TableParagraph"/>
              <w:spacing w:before="23"/>
              <w:ind w:left="71"/>
              <w:rPr>
                <w:sz w:val="16"/>
              </w:rPr>
            </w:pPr>
            <w:r>
              <w:rPr>
                <w:sz w:val="16"/>
              </w:rPr>
              <w:t>Ambiente y Recursos Naturales</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23"/>
              <w:ind w:left="341" w:right="323"/>
              <w:jc w:val="center"/>
              <w:rPr>
                <w:sz w:val="16"/>
              </w:rPr>
            </w:pPr>
            <w:r>
              <w:rPr>
                <w:sz w:val="16"/>
              </w:rPr>
              <w:t>236.2</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before="23"/>
              <w:ind w:left="339" w:right="320"/>
              <w:jc w:val="center"/>
              <w:rPr>
                <w:sz w:val="16"/>
              </w:rPr>
            </w:pPr>
            <w:r>
              <w:rPr>
                <w:sz w:val="16"/>
              </w:rPr>
              <w:t>218.6</w:t>
            </w:r>
          </w:p>
        </w:tc>
        <w:tc>
          <w:tcPr>
            <w:tcW w:w="1306" w:type="dxa"/>
            <w:tcBorders>
              <w:top w:val="single" w:sz="4" w:space="0" w:color="000000"/>
              <w:left w:val="single" w:sz="4" w:space="0" w:color="000000"/>
              <w:bottom w:val="single" w:sz="4" w:space="0" w:color="000000"/>
            </w:tcBorders>
          </w:tcPr>
          <w:p>
            <w:pPr>
              <w:pStyle w:val="TableParagraph"/>
              <w:spacing w:before="23"/>
              <w:ind w:left="199" w:right="175"/>
              <w:jc w:val="center"/>
              <w:rPr>
                <w:sz w:val="16"/>
              </w:rPr>
            </w:pPr>
            <w:r>
              <w:rPr>
                <w:sz w:val="16"/>
              </w:rPr>
              <w:t>92.5</w:t>
            </w:r>
          </w:p>
        </w:tc>
      </w:tr>
      <w:tr>
        <w:trPr>
          <w:trHeight w:val="424" w:hRule="atLeast"/>
        </w:trPr>
        <w:tc>
          <w:tcPr>
            <w:tcW w:w="2621" w:type="dxa"/>
            <w:tcBorders>
              <w:top w:val="single" w:sz="4" w:space="0" w:color="000000"/>
              <w:bottom w:val="single" w:sz="4" w:space="0" w:color="000000"/>
              <w:right w:val="single" w:sz="4" w:space="0" w:color="000000"/>
            </w:tcBorders>
          </w:tcPr>
          <w:p>
            <w:pPr>
              <w:pStyle w:val="TableParagraph"/>
              <w:spacing w:line="183" w:lineRule="exact"/>
              <w:ind w:left="71"/>
              <w:rPr>
                <w:sz w:val="16"/>
              </w:rPr>
            </w:pPr>
            <w:r>
              <w:rPr>
                <w:sz w:val="16"/>
              </w:rPr>
              <w:t>Obligaciones del Estado a Cargo del</w:t>
            </w:r>
          </w:p>
          <w:p>
            <w:pPr>
              <w:pStyle w:val="TableParagraph"/>
              <w:spacing w:before="27"/>
              <w:ind w:left="71"/>
              <w:rPr>
                <w:sz w:val="16"/>
              </w:rPr>
            </w:pPr>
            <w:r>
              <w:rPr>
                <w:sz w:val="16"/>
              </w:rPr>
              <w:t>Tesoro</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105"/>
              <w:ind w:left="343" w:right="323"/>
              <w:jc w:val="center"/>
              <w:rPr>
                <w:sz w:val="16"/>
              </w:rPr>
            </w:pPr>
            <w:r>
              <w:rPr>
                <w:sz w:val="16"/>
              </w:rPr>
              <w:t>34,969.6</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before="105"/>
              <w:ind w:left="341" w:right="320"/>
              <w:jc w:val="center"/>
              <w:rPr>
                <w:sz w:val="16"/>
              </w:rPr>
            </w:pPr>
            <w:r>
              <w:rPr>
                <w:sz w:val="16"/>
              </w:rPr>
              <w:t>33,481.3</w:t>
            </w:r>
          </w:p>
        </w:tc>
        <w:tc>
          <w:tcPr>
            <w:tcW w:w="1306" w:type="dxa"/>
            <w:tcBorders>
              <w:top w:val="single" w:sz="4" w:space="0" w:color="000000"/>
              <w:left w:val="single" w:sz="4" w:space="0" w:color="000000"/>
              <w:bottom w:val="single" w:sz="4" w:space="0" w:color="000000"/>
            </w:tcBorders>
          </w:tcPr>
          <w:p>
            <w:pPr>
              <w:pStyle w:val="TableParagraph"/>
              <w:spacing w:before="105"/>
              <w:ind w:left="199" w:right="175"/>
              <w:jc w:val="center"/>
              <w:rPr>
                <w:sz w:val="16"/>
              </w:rPr>
            </w:pPr>
            <w:r>
              <w:rPr>
                <w:sz w:val="16"/>
              </w:rPr>
              <w:t>95.7</w:t>
            </w:r>
          </w:p>
        </w:tc>
      </w:tr>
      <w:tr>
        <w:trPr>
          <w:trHeight w:val="263" w:hRule="atLeast"/>
        </w:trPr>
        <w:tc>
          <w:tcPr>
            <w:tcW w:w="2621" w:type="dxa"/>
            <w:tcBorders>
              <w:top w:val="single" w:sz="4" w:space="0" w:color="000000"/>
              <w:bottom w:val="single" w:sz="4" w:space="0" w:color="000000"/>
              <w:right w:val="single" w:sz="4" w:space="0" w:color="000000"/>
            </w:tcBorders>
          </w:tcPr>
          <w:p>
            <w:pPr>
              <w:pStyle w:val="TableParagraph"/>
              <w:spacing w:before="23"/>
              <w:ind w:left="71"/>
              <w:rPr>
                <w:sz w:val="16"/>
              </w:rPr>
            </w:pPr>
            <w:r>
              <w:rPr>
                <w:sz w:val="16"/>
              </w:rPr>
              <w:t>Servicios de la Deuda Pública</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23"/>
              <w:ind w:left="343" w:right="323"/>
              <w:jc w:val="center"/>
              <w:rPr>
                <w:sz w:val="16"/>
              </w:rPr>
            </w:pPr>
            <w:r>
              <w:rPr>
                <w:sz w:val="16"/>
              </w:rPr>
              <w:t>15,312.0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before="23"/>
              <w:ind w:left="341" w:right="320"/>
              <w:jc w:val="center"/>
              <w:rPr>
                <w:sz w:val="16"/>
              </w:rPr>
            </w:pPr>
            <w:r>
              <w:rPr>
                <w:sz w:val="16"/>
              </w:rPr>
              <w:t>15,005.8</w:t>
            </w:r>
          </w:p>
        </w:tc>
        <w:tc>
          <w:tcPr>
            <w:tcW w:w="1306" w:type="dxa"/>
            <w:tcBorders>
              <w:top w:val="single" w:sz="4" w:space="0" w:color="000000"/>
              <w:left w:val="single" w:sz="4" w:space="0" w:color="000000"/>
              <w:bottom w:val="single" w:sz="4" w:space="0" w:color="000000"/>
            </w:tcBorders>
          </w:tcPr>
          <w:p>
            <w:pPr>
              <w:pStyle w:val="TableParagraph"/>
              <w:spacing w:before="23"/>
              <w:ind w:left="199" w:right="175"/>
              <w:jc w:val="center"/>
              <w:rPr>
                <w:sz w:val="16"/>
              </w:rPr>
            </w:pPr>
            <w:r>
              <w:rPr>
                <w:sz w:val="16"/>
              </w:rPr>
              <w:t>98.0</w:t>
            </w:r>
          </w:p>
        </w:tc>
      </w:tr>
      <w:tr>
        <w:trPr>
          <w:trHeight w:val="266" w:hRule="atLeast"/>
        </w:trPr>
        <w:tc>
          <w:tcPr>
            <w:tcW w:w="2621" w:type="dxa"/>
            <w:tcBorders>
              <w:top w:val="single" w:sz="4" w:space="0" w:color="000000"/>
              <w:bottom w:val="single" w:sz="4" w:space="0" w:color="000000"/>
              <w:right w:val="single" w:sz="4" w:space="0" w:color="000000"/>
            </w:tcBorders>
          </w:tcPr>
          <w:p>
            <w:pPr>
              <w:pStyle w:val="TableParagraph"/>
              <w:spacing w:before="23"/>
              <w:ind w:left="71"/>
              <w:rPr>
                <w:sz w:val="16"/>
              </w:rPr>
            </w:pPr>
            <w:r>
              <w:rPr>
                <w:sz w:val="16"/>
              </w:rPr>
              <w:t>Desarrollo Social</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23"/>
              <w:ind w:left="341" w:right="323"/>
              <w:jc w:val="center"/>
              <w:rPr>
                <w:sz w:val="16"/>
              </w:rPr>
            </w:pPr>
            <w:r>
              <w:rPr>
                <w:sz w:val="16"/>
              </w:rPr>
              <w:t>1,406.6</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before="23"/>
              <w:ind w:left="339" w:right="320"/>
              <w:jc w:val="center"/>
              <w:rPr>
                <w:sz w:val="16"/>
              </w:rPr>
            </w:pPr>
            <w:r>
              <w:rPr>
                <w:sz w:val="16"/>
              </w:rPr>
              <w:t>1,170.9</w:t>
            </w:r>
          </w:p>
        </w:tc>
        <w:tc>
          <w:tcPr>
            <w:tcW w:w="1306" w:type="dxa"/>
            <w:tcBorders>
              <w:top w:val="single" w:sz="4" w:space="0" w:color="000000"/>
              <w:left w:val="single" w:sz="4" w:space="0" w:color="000000"/>
              <w:bottom w:val="single" w:sz="4" w:space="0" w:color="000000"/>
            </w:tcBorders>
          </w:tcPr>
          <w:p>
            <w:pPr>
              <w:pStyle w:val="TableParagraph"/>
              <w:spacing w:before="23"/>
              <w:ind w:left="199" w:right="175"/>
              <w:jc w:val="center"/>
              <w:rPr>
                <w:sz w:val="16"/>
              </w:rPr>
            </w:pPr>
            <w:r>
              <w:rPr>
                <w:sz w:val="16"/>
              </w:rPr>
              <w:t>83.2</w:t>
            </w:r>
          </w:p>
        </w:tc>
      </w:tr>
      <w:tr>
        <w:trPr>
          <w:trHeight w:val="263" w:hRule="atLeast"/>
        </w:trPr>
        <w:tc>
          <w:tcPr>
            <w:tcW w:w="2621" w:type="dxa"/>
            <w:tcBorders>
              <w:top w:val="single" w:sz="4" w:space="0" w:color="000000"/>
              <w:right w:val="single" w:sz="4" w:space="0" w:color="000000"/>
            </w:tcBorders>
          </w:tcPr>
          <w:p>
            <w:pPr>
              <w:pStyle w:val="TableParagraph"/>
              <w:spacing w:before="23"/>
              <w:ind w:left="71"/>
              <w:rPr>
                <w:sz w:val="16"/>
              </w:rPr>
            </w:pPr>
            <w:r>
              <w:rPr>
                <w:sz w:val="16"/>
              </w:rPr>
              <w:t>Procuraduría General de la Nación</w:t>
            </w:r>
          </w:p>
        </w:tc>
        <w:tc>
          <w:tcPr>
            <w:tcW w:w="1356" w:type="dxa"/>
            <w:tcBorders>
              <w:top w:val="single" w:sz="4" w:space="0" w:color="000000"/>
              <w:left w:val="single" w:sz="4" w:space="0" w:color="000000"/>
              <w:right w:val="single" w:sz="4" w:space="0" w:color="000000"/>
            </w:tcBorders>
          </w:tcPr>
          <w:p>
            <w:pPr>
              <w:pStyle w:val="TableParagraph"/>
              <w:spacing w:before="23"/>
              <w:ind w:left="341" w:right="323"/>
              <w:jc w:val="center"/>
              <w:rPr>
                <w:sz w:val="16"/>
              </w:rPr>
            </w:pPr>
            <w:r>
              <w:rPr>
                <w:sz w:val="16"/>
              </w:rPr>
              <w:t>150.0</w:t>
            </w:r>
          </w:p>
        </w:tc>
        <w:tc>
          <w:tcPr>
            <w:tcW w:w="1351" w:type="dxa"/>
            <w:tcBorders>
              <w:top w:val="single" w:sz="4" w:space="0" w:color="000000"/>
              <w:left w:val="single" w:sz="4" w:space="0" w:color="000000"/>
              <w:right w:val="single" w:sz="4" w:space="0" w:color="000000"/>
            </w:tcBorders>
          </w:tcPr>
          <w:p>
            <w:pPr>
              <w:pStyle w:val="TableParagraph"/>
              <w:spacing w:before="23"/>
              <w:ind w:left="339" w:right="320"/>
              <w:jc w:val="center"/>
              <w:rPr>
                <w:sz w:val="16"/>
              </w:rPr>
            </w:pPr>
            <w:r>
              <w:rPr>
                <w:sz w:val="16"/>
              </w:rPr>
              <w:t>146.5</w:t>
            </w:r>
          </w:p>
        </w:tc>
        <w:tc>
          <w:tcPr>
            <w:tcW w:w="1306" w:type="dxa"/>
            <w:tcBorders>
              <w:top w:val="single" w:sz="4" w:space="0" w:color="000000"/>
              <w:left w:val="single" w:sz="4" w:space="0" w:color="000000"/>
            </w:tcBorders>
          </w:tcPr>
          <w:p>
            <w:pPr>
              <w:pStyle w:val="TableParagraph"/>
              <w:spacing w:before="23"/>
              <w:ind w:left="199" w:right="175"/>
              <w:jc w:val="center"/>
              <w:rPr>
                <w:sz w:val="16"/>
              </w:rPr>
            </w:pPr>
            <w:r>
              <w:rPr>
                <w:sz w:val="16"/>
              </w:rPr>
              <w:t>97.7</w:t>
            </w:r>
          </w:p>
        </w:tc>
      </w:tr>
    </w:tbl>
    <w:p>
      <w:pPr>
        <w:spacing w:before="0"/>
        <w:ind w:left="1632" w:right="0" w:firstLine="0"/>
        <w:jc w:val="left"/>
        <w:rPr>
          <w:sz w:val="16"/>
        </w:rPr>
      </w:pPr>
      <w:r>
        <w:rPr>
          <w:sz w:val="16"/>
        </w:rPr>
        <w:t>Fuente: Dirección de Análisis y Política Fiscal</w:t>
      </w:r>
    </w:p>
    <w:p>
      <w:pPr>
        <w:pStyle w:val="BodyText"/>
        <w:rPr>
          <w:sz w:val="18"/>
        </w:rPr>
      </w:pPr>
    </w:p>
    <w:p>
      <w:pPr>
        <w:pStyle w:val="BodyText"/>
        <w:spacing w:line="276" w:lineRule="auto" w:before="110"/>
        <w:ind w:left="562" w:right="1696"/>
        <w:jc w:val="both"/>
      </w:pPr>
      <w:r>
        <w:rPr/>
        <w:t>Respecto al déficit fiscal, es importante mencionar que, después de la crisis económica internacional de 2009-2010, se fue reduciendo gradualmente como parte del objetivo de consolidación fiscal que se había previsto para los años 2011-2015. Asimismo, en 2016 se redujo nuevamente derivado de que fue el inicio de una nueva administración pública y por las secuelas de la crisis institucional de 2015 que afectaron también la ejecución. Posteriormente, se ha dado un crecimiento gradual en el déficit pasando de 1.1% del PIB en 2016 al 2.2% del PIB en el 2019, lo cual estuvo determinado</w:t>
      </w:r>
      <w:r>
        <w:rPr>
          <w:spacing w:val="-33"/>
        </w:rPr>
        <w:t> </w:t>
      </w:r>
      <w:r>
        <w:rPr/>
        <w:t>por la reducción en los ingresos fiscales principalmente tributarios y un aumento en el gasto público fundamentalmente en la</w:t>
      </w:r>
      <w:r>
        <w:rPr>
          <w:spacing w:val="-6"/>
        </w:rPr>
        <w:t> </w:t>
      </w:r>
      <w:r>
        <w:rPr/>
        <w:t>inversión.</w:t>
      </w:r>
    </w:p>
    <w:p>
      <w:pPr>
        <w:pStyle w:val="BodyText"/>
        <w:spacing w:before="3"/>
        <w:rPr>
          <w:sz w:val="25"/>
        </w:rPr>
      </w:pPr>
    </w:p>
    <w:p>
      <w:pPr>
        <w:pStyle w:val="BodyText"/>
        <w:spacing w:line="276" w:lineRule="auto" w:before="1"/>
        <w:ind w:left="562" w:right="1697"/>
        <w:jc w:val="both"/>
      </w:pPr>
      <w:r>
        <w:rPr/>
        <w:t>Debe recordarse que en 2020, por las particularidades propias de ese año, se dio un salto importante del déficit fiscal al ubicarlo en 4.9% del PIB, por una parte, derivado de las ampliaciones presupuestarias para atender las necesidades institucionales y viabilizar la ejecución a causa de que el presupuesto no fue aprobado, y por otro, quizás el más importante, por la crisis ocasionada por el COVID-19.</w:t>
      </w:r>
      <w:r>
        <w:rPr>
          <w:spacing w:val="-7"/>
        </w:rPr>
        <w:t> </w:t>
      </w:r>
      <w:r>
        <w:rPr/>
        <w:t>No</w:t>
      </w:r>
      <w:r>
        <w:rPr>
          <w:spacing w:val="-6"/>
        </w:rPr>
        <w:t> </w:t>
      </w:r>
      <w:r>
        <w:rPr/>
        <w:t>obstante,</w:t>
      </w:r>
      <w:r>
        <w:rPr>
          <w:spacing w:val="-6"/>
        </w:rPr>
        <w:t> </w:t>
      </w:r>
      <w:r>
        <w:rPr/>
        <w:t>para</w:t>
      </w:r>
      <w:r>
        <w:rPr>
          <w:spacing w:val="-6"/>
        </w:rPr>
        <w:t> </w:t>
      </w:r>
      <w:r>
        <w:rPr/>
        <w:t>2021</w:t>
      </w:r>
      <w:r>
        <w:rPr>
          <w:spacing w:val="-6"/>
        </w:rPr>
        <w:t> </w:t>
      </w:r>
      <w:r>
        <w:rPr/>
        <w:t>hubo</w:t>
      </w:r>
      <w:r>
        <w:rPr>
          <w:spacing w:val="-6"/>
        </w:rPr>
        <w:t> </w:t>
      </w:r>
      <w:r>
        <w:rPr/>
        <w:t>una</w:t>
      </w:r>
      <w:r>
        <w:rPr>
          <w:spacing w:val="-8"/>
        </w:rPr>
        <w:t> </w:t>
      </w:r>
      <w:r>
        <w:rPr/>
        <w:t>importante</w:t>
      </w:r>
      <w:r>
        <w:rPr>
          <w:spacing w:val="-6"/>
        </w:rPr>
        <w:t> </w:t>
      </w:r>
      <w:r>
        <w:rPr/>
        <w:t>disminución</w:t>
      </w:r>
      <w:r>
        <w:rPr>
          <w:spacing w:val="-7"/>
        </w:rPr>
        <w:t> </w:t>
      </w:r>
      <w:r>
        <w:rPr/>
        <w:t>del</w:t>
      </w:r>
      <w:r>
        <w:rPr>
          <w:spacing w:val="-5"/>
        </w:rPr>
        <w:t> </w:t>
      </w:r>
      <w:r>
        <w:rPr/>
        <w:t>déficit</w:t>
      </w:r>
      <w:r>
        <w:rPr>
          <w:spacing w:val="-8"/>
        </w:rPr>
        <w:t> </w:t>
      </w:r>
      <w:r>
        <w:rPr/>
        <w:t>fiscal</w:t>
      </w:r>
      <w:r>
        <w:rPr>
          <w:spacing w:val="-8"/>
        </w:rPr>
        <w:t> </w:t>
      </w:r>
      <w:r>
        <w:rPr/>
        <w:t>al</w:t>
      </w:r>
      <w:r>
        <w:rPr>
          <w:spacing w:val="-5"/>
        </w:rPr>
        <w:t> </w:t>
      </w:r>
      <w:r>
        <w:rPr/>
        <w:t>ubicarse</w:t>
      </w:r>
      <w:r>
        <w:rPr>
          <w:spacing w:val="-8"/>
        </w:rPr>
        <w:t> </w:t>
      </w:r>
      <w:r>
        <w:rPr/>
        <w:t>en 1.2% del PIB, gracias a un comportamiento acelerado en la recaudación tributaria y un gasto más moderado, como parte del proceso de consolidación</w:t>
      </w:r>
      <w:r>
        <w:rPr>
          <w:spacing w:val="-8"/>
        </w:rPr>
        <w:t> </w:t>
      </w:r>
      <w:r>
        <w:rPr/>
        <w:t>fiscal.</w:t>
      </w:r>
    </w:p>
    <w:p>
      <w:pPr>
        <w:spacing w:after="0" w:line="276" w:lineRule="auto"/>
        <w:jc w:val="both"/>
        <w:sectPr>
          <w:pgSz w:w="12240" w:h="15840"/>
          <w:pgMar w:header="715" w:footer="957" w:top="1240" w:bottom="1140" w:left="1140" w:right="0"/>
        </w:sectPr>
      </w:pPr>
    </w:p>
    <w:p>
      <w:pPr>
        <w:pStyle w:val="BodyText"/>
        <w:rPr>
          <w:sz w:val="20"/>
        </w:rPr>
      </w:pPr>
    </w:p>
    <w:p>
      <w:pPr>
        <w:pStyle w:val="BodyText"/>
        <w:spacing w:before="4"/>
        <w:rPr>
          <w:sz w:val="19"/>
        </w:rPr>
      </w:pPr>
    </w:p>
    <w:p>
      <w:pPr>
        <w:pStyle w:val="BodyText"/>
        <w:spacing w:line="276" w:lineRule="auto"/>
        <w:ind w:left="562" w:right="1699"/>
        <w:jc w:val="both"/>
      </w:pPr>
      <w:r>
        <w:rPr/>
        <w:t>Para 2022 el gasto público estaría mostrando un mayor dinamismo como parte de la ejecución del gasto recurrente y de las ampliaciones aprobadas, por su parte, los ingresos tributarios continuarían siendo bastante favorables por las medidas administrativas que ha adoptado la SAT en los últimos años, que le han permitido una mayor digitalización, mejoras en la recaudación aduanera, y medidas de fiscalización y control que han dado resultados positivos.</w:t>
      </w:r>
    </w:p>
    <w:p>
      <w:pPr>
        <w:pStyle w:val="BodyText"/>
        <w:spacing w:before="8"/>
        <w:rPr>
          <w:sz w:val="25"/>
        </w:rPr>
      </w:pPr>
    </w:p>
    <w:p>
      <w:pPr>
        <w:pStyle w:val="Heading3"/>
        <w:numPr>
          <w:ilvl w:val="2"/>
          <w:numId w:val="13"/>
        </w:numPr>
        <w:tabs>
          <w:tab w:pos="1354" w:val="left" w:leader="none"/>
        </w:tabs>
        <w:spacing w:line="240" w:lineRule="auto" w:before="0" w:after="0"/>
        <w:ind w:left="1354" w:right="0" w:hanging="433"/>
        <w:jc w:val="left"/>
      </w:pPr>
      <w:bookmarkStart w:name="_bookmark177" w:id="225"/>
      <w:bookmarkEnd w:id="225"/>
      <w:r>
        <w:rPr>
          <w:b w:val="0"/>
        </w:rPr>
      </w:r>
      <w:bookmarkStart w:name="_bookmark177" w:id="226"/>
      <w:bookmarkEnd w:id="226"/>
      <w:r>
        <w:rPr/>
        <w:t>Es</w:t>
      </w:r>
      <w:r>
        <w:rPr/>
        <w:t>timación de déficit fiscal y</w:t>
      </w:r>
      <w:r>
        <w:rPr>
          <w:spacing w:val="-7"/>
        </w:rPr>
        <w:t> </w:t>
      </w:r>
      <w:r>
        <w:rPr/>
        <w:t>financiamiento</w:t>
      </w:r>
    </w:p>
    <w:p>
      <w:pPr>
        <w:pStyle w:val="BodyText"/>
        <w:spacing w:before="3"/>
        <w:rPr>
          <w:b/>
          <w:sz w:val="28"/>
        </w:rPr>
      </w:pPr>
    </w:p>
    <w:p>
      <w:pPr>
        <w:pStyle w:val="BodyText"/>
        <w:spacing w:line="276" w:lineRule="auto"/>
        <w:ind w:left="562" w:right="1696"/>
        <w:jc w:val="both"/>
      </w:pPr>
      <w:r>
        <w:rPr/>
        <w:t>Derivado de la dinámica entre ingresos y gastos, se estima que el déficit fiscal se ubicará en torno a los Q17,374.5 millones, equivalente a 2.4% del PIB, mayor al nivel obtenido en 2021 en donde el déficit se ubicó en Q7,770.8 millones, equivalente al 1.2% del PIB. El resultado de 2022 estará por debajo de lo estimado en el presupuesto para este año ya que se había previsto, según presupuesto, un déficit de 3.8% del PIB.</w:t>
      </w:r>
    </w:p>
    <w:p>
      <w:pPr>
        <w:pStyle w:val="BodyText"/>
        <w:spacing w:before="8"/>
        <w:rPr>
          <w:sz w:val="25"/>
        </w:rPr>
      </w:pPr>
    </w:p>
    <w:p>
      <w:pPr>
        <w:spacing w:before="0"/>
        <w:ind w:left="1395" w:right="2533" w:firstLine="0"/>
        <w:jc w:val="center"/>
        <w:rPr>
          <w:b/>
          <w:sz w:val="22"/>
        </w:rPr>
      </w:pPr>
      <w:bookmarkStart w:name="_bookmark178" w:id="227"/>
      <w:bookmarkEnd w:id="227"/>
      <w:r>
        <w:rPr/>
      </w:r>
      <w:r>
        <w:rPr>
          <w:b/>
          <w:i/>
          <w:sz w:val="20"/>
        </w:rPr>
        <w:t>Gráfico 92.  </w:t>
      </w:r>
      <w:r>
        <w:rPr>
          <w:b/>
          <w:sz w:val="22"/>
        </w:rPr>
        <w:t>Déficit fiscal</w:t>
      </w:r>
    </w:p>
    <w:p>
      <w:pPr>
        <w:spacing w:before="34"/>
        <w:ind w:left="1395" w:right="2526" w:firstLine="0"/>
        <w:jc w:val="center"/>
        <w:rPr>
          <w:sz w:val="18"/>
        </w:rPr>
      </w:pPr>
      <w:r>
        <w:rPr>
          <w:sz w:val="18"/>
        </w:rPr>
        <w:t>2012 -2022*</w:t>
      </w:r>
    </w:p>
    <w:p>
      <w:pPr>
        <w:spacing w:before="33"/>
        <w:ind w:left="1395" w:right="2529" w:firstLine="0"/>
        <w:jc w:val="center"/>
        <w:rPr>
          <w:sz w:val="18"/>
        </w:rPr>
      </w:pPr>
      <w:r>
        <w:rPr/>
        <w:pict>
          <v:group style="position:absolute;margin-left:96.360001pt;margin-top:18.762346pt;width:415.45pt;height:105.15pt;mso-position-horizontal-relative:page;mso-position-vertical-relative:paragraph;z-index:-250345472;mso-wrap-distance-left:0;mso-wrap-distance-right:0" coordorigin="1927,375" coordsize="8309,2103">
            <v:line style="position:absolute" from="1934,2127" to="10229,2127" stroked="true" strokeweight=".72pt" strokecolor="#d9d9d9">
              <v:stroke dashstyle="solid"/>
            </v:line>
            <v:line style="position:absolute" from="1934,1777" to="10229,1777" stroked="true" strokeweight=".72pt" strokecolor="#d9d9d9">
              <v:stroke dashstyle="solid"/>
            </v:line>
            <v:line style="position:absolute" from="1934,1429" to="10229,1429" stroked="true" strokeweight=".72pt" strokecolor="#d9d9d9">
              <v:stroke dashstyle="solid"/>
            </v:line>
            <v:line style="position:absolute" from="1934,1081" to="10229,1081" stroked="true" strokeweight=".72pt" strokecolor="#d9d9d9">
              <v:stroke dashstyle="solid"/>
            </v:line>
            <v:line style="position:absolute" from="1934,730" to="10229,730" stroked="true" strokeweight=".72pt" strokecolor="#d9d9d9">
              <v:stroke dashstyle="solid"/>
            </v:line>
            <v:line style="position:absolute" from="1934,382" to="10229,382" stroked="true" strokeweight=".72pt" strokecolor="#d9d9d9">
              <v:stroke dashstyle="solid"/>
            </v:line>
            <v:line style="position:absolute" from="1934,382" to="1934,2475" stroked="true" strokeweight=".72pt" strokecolor="#d9d9d9">
              <v:stroke dashstyle="solid"/>
            </v:line>
            <v:line style="position:absolute" from="2688,382" to="2688,2475" stroked="true" strokeweight=".72pt" strokecolor="#d9d9d9">
              <v:stroke dashstyle="solid"/>
            </v:line>
            <v:line style="position:absolute" from="3444,382" to="3444,2475" stroked="true" strokeweight=".72pt" strokecolor="#d9d9d9">
              <v:stroke dashstyle="solid"/>
            </v:line>
            <v:line style="position:absolute" from="4198,382" to="4198,2475" stroked="true" strokeweight=".72pt" strokecolor="#d9d9d9">
              <v:stroke dashstyle="solid"/>
            </v:line>
            <v:line style="position:absolute" from="4951,382" to="4951,2475" stroked="true" strokeweight=".72pt" strokecolor="#d9d9d9">
              <v:stroke dashstyle="solid"/>
            </v:line>
            <v:line style="position:absolute" from="5705,382" to="5705,2475" stroked="true" strokeweight=".72pt" strokecolor="#d9d9d9">
              <v:stroke dashstyle="solid"/>
            </v:line>
            <v:line style="position:absolute" from="6458,382" to="6458,2475" stroked="true" strokeweight=".72pt" strokecolor="#d9d9d9">
              <v:stroke dashstyle="solid"/>
            </v:line>
            <v:line style="position:absolute" from="7212,382" to="7212,2475" stroked="true" strokeweight=".72pt" strokecolor="#d9d9d9">
              <v:stroke dashstyle="solid"/>
            </v:line>
            <v:line style="position:absolute" from="7968,382" to="7968,2475" stroked="true" strokeweight=".72pt" strokecolor="#d9d9d9">
              <v:stroke dashstyle="solid"/>
            </v:line>
            <v:line style="position:absolute" from="8722,382" to="8722,2475" stroked="true" strokeweight=".72pt" strokecolor="#d9d9d9">
              <v:stroke dashstyle="solid"/>
            </v:line>
            <v:line style="position:absolute" from="9475,382" to="9475,2475" stroked="true" strokeweight=".72pt" strokecolor="#d9d9d9">
              <v:stroke dashstyle="solid"/>
            </v:line>
            <v:line style="position:absolute" from="10229,382" to="10229,2475" stroked="true" strokeweight=".72pt" strokecolor="#d9d9d9">
              <v:stroke dashstyle="solid"/>
            </v:line>
            <v:line style="position:absolute" from="1934,2475" to="10229,2475" stroked="true" strokeweight=".24pt" strokecolor="#d9d9d9">
              <v:stroke dashstyle="solid"/>
            </v:line>
            <v:shape style="position:absolute;left:7562;top:713;width:790;height:1033" coordorigin="7563,713" coordsize="790,1033" path="m8320,777l8310,778,8300,779,8290,781,8279,785,8269,789,8258,795,8247,801,8236,809,8225,817,8214,827,8191,848,8168,873,8145,901,8122,932,8099,965,8075,1000,8052,1037,8029,1076,8005,1116,7982,1156,7935,1240,7888,1325,7864,1367,7841,1408,7817,1448,7793,1487,7769,1524,7746,1560,7722,1593,7698,1624,7674,1653,7650,1679,7625,1701,7613,1711,7601,1720,7620,1746,7632,1737,7646,1725,7672,1701,7698,1674,7723,1644,7748,1612,7772,1578,7796,1541,7820,1504,7844,1464,7868,1424,7892,1382,7916,1340,7963,1256,8010,1172,8033,1132,8056,1092,8079,1054,8102,1017,8125,982,8148,950,8170,921,8193,894,8214,871,8235,851,8245,842,8255,835,8264,828,8273,823,8282,819,8291,815,8299,812,8306,811,8313,810,8320,809,8336,809,8341,780,8330,778,8320,777xm8321,713l8305,714,8289,716,8272,720,8257,725,8242,731,8227,739,8213,748,8199,757,8185,767,8171,779,8145,803,8120,831,8095,861,8070,894,8046,928,8022,965,7998,1003,7974,1043,7950,1083,7926,1125,7879,1209,7832,1293,7809,1335,7785,1375,7762,1415,7739,1453,7716,1489,7693,1523,7670,1555,7648,1584,7626,1610,7604,1633,7583,1653,7574,1660,7563,1669,7582,1694,7593,1686,7604,1677,7627,1656,7650,1632,7673,1604,7696,1574,7719,1541,7743,1506,7766,1470,7789,1431,7813,1391,7836,1351,7860,1309,7954,1141,7978,1099,8001,1059,8025,1020,8049,982,8072,947,8096,913,8120,881,8144,852,8168,826,8193,803,8205,792,8217,783,8230,775,8242,767,8255,760,8268,755,8281,751,8294,747,8308,746,8321,745,8348,745,8353,717,8338,714,8321,713xm8336,809l8320,809,8327,810,8336,811,8336,809xm8348,745l8321,745,8334,746,8347,748,8348,745xe" filled="true" fillcolor="#ff0000" stroked="false">
              <v:path arrowok="t"/>
              <v:fill type="solid"/>
            </v:shape>
            <v:shape style="position:absolute;left:8331;top:720;width:792;height:1378" coordorigin="8331,720" coordsize="792,1378" path="m8340,782l8331,812,8341,815,8348,818,8356,822,8364,828,8373,835,8383,843,8393,853,8403,864,8414,877,8424,890,8435,906,8446,921,8457,939,8468,956,8491,996,8514,1038,8537,1084,8560,1132,8584,1182,8607,1234,8630,1288,8654,1343,8724,1509,8748,1565,8772,1620,8795,1673,8819,1726,8843,1776,8867,1825,8891,1870,8915,1913,8928,1934,8940,1954,8952,1972,8965,1991,8978,2008,8990,2024,9003,2039,9017,2053,9030,2066,9044,2079,9059,2089,9072,2098,9089,2071,9077,2063,9064,2054,9052,2043,9039,2031,9027,2018,9015,2003,9003,1988,8991,1972,8979,1955,8967,1936,8955,1917,8943,1897,8919,1855,8896,1810,8872,1762,8848,1712,8825,1660,8801,1607,8777,1552,8707,1386,8683,1330,8660,1275,8636,1221,8613,1169,8589,1118,8566,1069,8543,1023,8519,980,8496,940,8484,921,8473,904,8461,887,8450,871,8438,857,8427,843,8416,831,8405,820,8394,810,8383,802,8372,795,8361,789,8351,785,8340,782xm8358,720l8349,751,8362,755,8375,760,8388,767,8401,776,8414,786,8426,797,8439,809,8451,822,8463,836,8475,852,8487,868,8499,886,8511,904,8523,923,8547,964,8571,1009,8595,1055,8618,1104,8642,1156,8666,1208,8689,1262,8736,1373,8783,1485,8807,1540,8830,1594,8854,1647,8877,1699,8901,1748,8924,1795,8947,1840,8971,1881,8982,1901,8994,1919,9005,1937,9017,1953,9028,1969,9040,1983,9051,1996,9062,2008,9073,2019,9084,2029,9095,2037,9106,2044,9123,2017,9113,2010,9104,2004,9095,1995,9085,1986,9075,1975,9064,1963,9054,1949,9043,1935,9032,1919,9021,1902,9009,1884,8998,1865,8975,1824,8953,1781,8929,1734,8906,1685,8883,1634,8860,1581,8836,1527,8813,1472,8742,1305,8719,1250,8695,1195,8671,1142,8647,1091,8623,1041,8599,994,8575,949,8551,907,8538,887,8526,868,8514,850,8501,833,8488,816,8475,801,8462,786,8448,773,8434,761,8420,750,8405,740,8389,731,8373,725,8358,720xe" filled="true" fillcolor="#ff0000" stroked="false">
              <v:path arrowok="t"/>
              <v:fill type="solid"/>
            </v:shape>
            <v:shape style="position:absolute;left:9076;top:1596;width:800;height:538" coordorigin="9077,1596" coordsize="800,538" path="m9091,2071l9077,2099,9103,2112,9131,2123,9160,2130,9189,2134,9218,2134,9247,2131,9275,2125,9302,2117,9329,2107,9340,2102,9217,2102,9192,2102,9166,2099,9141,2092,9115,2083,9091,2071xm9860,1651l9837,1665,9814,1680,9791,1697,9768,1714,9744,1733,9721,1753,9674,1794,9580,1882,9533,1925,9486,1966,9462,1986,9438,2004,9414,2022,9390,2038,9365,2053,9341,2066,9317,2077,9292,2087,9267,2094,9242,2099,9217,2102,9340,2102,9356,2095,9382,2080,9407,2065,9432,2048,9457,2030,9482,2011,9506,1990,9554,1949,9602,1905,9696,1818,9742,1777,9765,1758,9787,1739,9810,1722,9832,1707,9854,1692,9876,1679,9860,1651xm9120,2013l9106,2042,9128,2054,9150,2062,9172,2067,9194,2070,9215,2070,9237,2068,9259,2063,9282,2057,9304,2048,9325,2038,9214,2038,9196,2038,9178,2035,9160,2031,9141,2024,9120,2013xm9828,1596l9803,1611,9778,1627,9753,1645,9728,1664,9704,1684,9679,1704,9631,1747,9584,1791,9537,1835,9490,1877,9444,1917,9422,1936,9399,1953,9377,1969,9355,1984,9333,1997,9312,2009,9292,2019,9271,2026,9252,2032,9232,2036,9214,2038,9325,2038,9327,2037,9349,2025,9372,2011,9395,1995,9418,1979,9442,1961,9465,1942,9512,1901,9559,1858,9653,1770,9700,1728,9724,1708,9748,1689,9772,1671,9796,1654,9820,1638,9844,1624,9828,1596xe" filled="true" fillcolor="#ff0000" stroked="false">
              <v:path arrowok="t"/>
              <v:fill type="solid"/>
            </v:shape>
            <v:shape style="position:absolute;left:2277;top:941;width:5339;height:1198" coordorigin="2277,942" coordsize="5339,1198" path="m2300,986l2277,1010,2324,1056,2371,1104,2417,1154,2464,1206,2653,1414,2749,1514,2845,1606,2893,1648,2918,1666,2943,1686,2967,1704,3017,1736,3067,1764,3118,1788,3143,1796,3168,1806,3194,1812,3244,1826,3294,1834,3343,1840,3392,1844,3441,1846,3489,1846,3630,1848,3676,1848,3722,1850,3767,1854,3812,1860,3906,1876,3999,1894,4188,1928,4564,2000,4611,2010,4657,2018,5035,2106,5180,2130,5278,2138,5326,2140,5424,2140,5472,2136,5521,2134,5617,2122,5713,2108,5327,2108,5279,2106,5184,2098,5042,2074,4947,2054,4664,1988,4570,1968,4194,1896,4005,1862,3911,1844,3817,1830,3770,1822,3724,1818,3677,1816,3631,1816,3489,1814,3442,1814,3394,1812,3347,1808,3299,1802,3250,1794,3202,1782,3130,1758,3106,1746,3082,1736,3010,1694,2986,1678,2938,1642,2866,1582,2819,1538,2724,1442,2677,1392,2441,1132,2394,1082,2300,986xm7024,1818l6931,1818,6885,1822,6862,1826,6839,1828,6745,1848,6557,1892,6274,1964,6085,2004,5707,2076,5613,2090,5518,2102,5470,2106,5422,2108,5713,2108,5997,2054,6091,2034,6186,2016,6281,1994,6376,1970,6470,1948,6658,1900,6844,1860,6866,1858,6888,1854,6933,1850,7344,1850,7361,1848,7387,1844,7438,1832,7457,1826,7213,1826,7024,1818xm2345,942l2322,964,2417,1060,2464,1110,2512,1162,2606,1268,2653,1320,2747,1420,2794,1468,2841,1514,2888,1558,2934,1598,2981,1634,3050,1682,3119,1718,3142,1728,3211,1752,3257,1762,3303,1770,3350,1776,3396,1780,3443,1782,3490,1782,3631,1784,3679,1784,3726,1786,3774,1790,4011,1830,4577,1938,4624,1946,4671,1956,4954,2022,5095,2052,5142,2058,5188,2066,5281,2074,5328,2076,5421,2076,5468,2074,5515,2070,5608,2058,5702,2044,5329,2044,5238,2040,5146,2028,5100,2020,5054,2010,4961,1992,4867,1970,4773,1946,4583,1906,4017,1798,3827,1766,3778,1760,3680,1752,3632,1752,3537,1750,3444,1750,3398,1748,3308,1740,3264,1732,3198,1714,3154,1698,3111,1678,3067,1654,3045,1640,2977,1592,2955,1574,2909,1534,2863,1492,2817,1446,2770,1398,2677,1298,2630,1246,2440,1038,2393,988,2345,942xm7025,1754l6927,1754,6878,1758,6827,1766,6732,1786,6541,1830,6353,1878,6166,1922,5978,1958,5884,1978,5790,1996,5697,2012,5604,2026,5512,2038,5466,2042,5420,2044,5702,2044,5796,2028,5890,2008,6173,1954,6266,1932,6361,1908,6455,1886,6549,1860,6738,1816,6833,1798,6881,1790,6929,1786,7352,1786,7375,1782,7444,1764,7455,1760,7167,1760,7025,1754xm7344,1850l7023,1850,7212,1858,7311,1854,7344,1850xm7599,1722l7575,1738,7550,1752,7502,1776,7478,1786,7429,1802,7405,1808,7356,1816,7308,1822,7213,1826,7457,1826,7489,1816,7515,1806,7540,1794,7566,1780,7592,1764,7616,1748,7599,1722xm7352,1786l7025,1786,7166,1792,7259,1792,7306,1790,7352,1786xm7564,1668l7541,1684,7519,1696,7498,1708,7476,1718,7434,1734,7390,1746,7348,1754,7303,1758,7258,1760,7455,1760,7466,1756,7512,1736,7535,1724,7581,1696,7564,1668xe" filled="true" fillcolor="#5b9bd4" stroked="false">
              <v:path arrowok="t"/>
              <v:fill type="solid"/>
            </v:shape>
            <v:shape style="position:absolute;left:2197;top:636;width:247;height:200" type="#_x0000_t202" filled="false" stroked="false">
              <v:textbox inset="0,0,0,0">
                <w:txbxContent>
                  <w:p>
                    <w:pPr>
                      <w:spacing w:line="199" w:lineRule="exact" w:before="0"/>
                      <w:ind w:left="0" w:right="0" w:firstLine="0"/>
                      <w:jc w:val="left"/>
                      <w:rPr>
                        <w:b/>
                        <w:sz w:val="18"/>
                      </w:rPr>
                    </w:pPr>
                    <w:r>
                      <w:rPr>
                        <w:b/>
                        <w:color w:val="2D75B6"/>
                        <w:sz w:val="18"/>
                      </w:rPr>
                      <w:t>4.3</w:t>
                    </w:r>
                  </w:p>
                </w:txbxContent>
              </v:textbox>
              <w10:wrap type="none"/>
            </v:shape>
            <v:shape style="position:absolute;left:8728;top:2134;width:740;height:339" type="#_x0000_t202" filled="false" stroked="false">
              <v:textbox inset="0,0,0,0">
                <w:txbxContent>
                  <w:p>
                    <w:pPr>
                      <w:spacing w:before="8"/>
                      <w:ind w:left="333" w:right="0" w:firstLine="0"/>
                      <w:jc w:val="left"/>
                      <w:rPr>
                        <w:b/>
                        <w:sz w:val="18"/>
                      </w:rPr>
                    </w:pPr>
                    <w:r>
                      <w:rPr>
                        <w:b/>
                        <w:color w:val="FF0000"/>
                        <w:sz w:val="18"/>
                      </w:rPr>
                      <w:t>1.2</w:t>
                    </w:r>
                  </w:p>
                </w:txbxContent>
              </v:textbox>
              <w10:wrap type="none"/>
            </v:shape>
            <v:shape style="position:absolute;left:4951;top:1776;width:754;height:351" type="#_x0000_t202" filled="false" stroked="true" strokeweight=".72pt" strokecolor="#d9d9d9">
              <v:textbox inset="0,0,0,0">
                <w:txbxContent>
                  <w:p>
                    <w:pPr>
                      <w:spacing w:line="169" w:lineRule="exact" w:before="0"/>
                      <w:ind w:left="236" w:right="237" w:firstLine="0"/>
                      <w:jc w:val="center"/>
                      <w:rPr>
                        <w:b/>
                        <w:sz w:val="18"/>
                      </w:rPr>
                    </w:pPr>
                    <w:r>
                      <w:rPr>
                        <w:b/>
                        <w:color w:val="2D75B6"/>
                        <w:sz w:val="18"/>
                      </w:rPr>
                      <w:t>1.1</w:t>
                    </w:r>
                  </w:p>
                </w:txbxContent>
              </v:textbox>
              <v:stroke dashstyle="solid"/>
              <w10:wrap type="none"/>
            </v:shape>
            <v:shape style="position:absolute;left:9475;top:1428;width:754;height:348" type="#_x0000_t202" filled="false" stroked="true" strokeweight=".72pt" strokecolor="#d9d9d9">
              <v:textbox inset="0,0,0,0">
                <w:txbxContent>
                  <w:p>
                    <w:pPr>
                      <w:spacing w:line="162" w:lineRule="exact" w:before="0"/>
                      <w:ind w:left="316" w:right="0" w:firstLine="0"/>
                      <w:jc w:val="left"/>
                      <w:rPr>
                        <w:b/>
                        <w:sz w:val="18"/>
                      </w:rPr>
                    </w:pPr>
                    <w:r>
                      <w:rPr>
                        <w:b/>
                        <w:color w:val="FF0000"/>
                        <w:sz w:val="18"/>
                      </w:rPr>
                      <w:t>2.4</w:t>
                    </w:r>
                  </w:p>
                </w:txbxContent>
              </v:textbox>
              <v:stroke dashstyle="solid"/>
              <w10:wrap type="none"/>
            </v:shape>
            <v:shape style="position:absolute;left:7212;top:1428;width:756;height:348" type="#_x0000_t202" filled="false" stroked="true" strokeweight=".72pt" strokecolor="#d9d9d9">
              <v:textbox inset="0,0,0,0">
                <w:txbxContent>
                  <w:p>
                    <w:pPr>
                      <w:spacing w:before="17"/>
                      <w:ind w:left="155" w:right="0" w:firstLine="0"/>
                      <w:jc w:val="left"/>
                      <w:rPr>
                        <w:b/>
                        <w:sz w:val="18"/>
                      </w:rPr>
                    </w:pPr>
                    <w:r>
                      <w:rPr>
                        <w:b/>
                        <w:color w:val="2D75B6"/>
                        <w:sz w:val="18"/>
                      </w:rPr>
                      <w:t>2.2</w:t>
                    </w:r>
                  </w:p>
                </w:txbxContent>
              </v:textbox>
              <v:stroke dashstyle="solid"/>
              <w10:wrap type="none"/>
            </v:shape>
            <v:shape style="position:absolute;left:6458;top:1428;width:754;height:348" type="#_x0000_t202" filled="false" stroked="true" strokeweight=".72pt" strokecolor="#d9d9d9">
              <v:textbox inset="0,0,0,0">
                <w:txbxContent>
                  <w:p>
                    <w:pPr>
                      <w:spacing w:before="30"/>
                      <w:ind w:left="236" w:right="236" w:firstLine="0"/>
                      <w:jc w:val="center"/>
                      <w:rPr>
                        <w:b/>
                        <w:sz w:val="18"/>
                      </w:rPr>
                    </w:pPr>
                    <w:r>
                      <w:rPr>
                        <w:b/>
                        <w:color w:val="2D75B6"/>
                        <w:sz w:val="18"/>
                      </w:rPr>
                      <w:t>1.9</w:t>
                    </w:r>
                  </w:p>
                </w:txbxContent>
              </v:textbox>
              <v:stroke dashstyle="solid"/>
              <w10:wrap type="none"/>
            </v:shape>
            <v:shape style="position:absolute;left:5704;top:1428;width:754;height:348" type="#_x0000_t202" filled="false" stroked="true" strokeweight=".72pt" strokecolor="#d9d9d9">
              <v:textbox inset="0,0,0,0">
                <w:txbxContent>
                  <w:p>
                    <w:pPr>
                      <w:spacing w:line="240" w:lineRule="auto" w:before="9"/>
                      <w:rPr>
                        <w:sz w:val="17"/>
                      </w:rPr>
                    </w:pPr>
                  </w:p>
                  <w:p>
                    <w:pPr>
                      <w:spacing w:line="129" w:lineRule="exact" w:before="0"/>
                      <w:ind w:left="236" w:right="237" w:firstLine="0"/>
                      <w:jc w:val="center"/>
                      <w:rPr>
                        <w:b/>
                        <w:sz w:val="18"/>
                      </w:rPr>
                    </w:pPr>
                    <w:r>
                      <w:rPr>
                        <w:b/>
                        <w:color w:val="2D75B6"/>
                        <w:sz w:val="18"/>
                      </w:rPr>
                      <w:t>1.4</w:t>
                    </w:r>
                  </w:p>
                </w:txbxContent>
              </v:textbox>
              <v:stroke dashstyle="solid"/>
              <w10:wrap type="none"/>
            </v:shape>
            <v:shape style="position:absolute;left:4197;top:1428;width:754;height:348" type="#_x0000_t202" filled="false" stroked="true" strokeweight=".72pt" strokecolor="#d9d9d9">
              <v:textbox inset="0,0,0,0">
                <w:txbxContent>
                  <w:p>
                    <w:pPr>
                      <w:spacing w:line="163" w:lineRule="exact" w:before="170"/>
                      <w:ind w:left="236" w:right="237" w:firstLine="0"/>
                      <w:jc w:val="center"/>
                      <w:rPr>
                        <w:b/>
                        <w:sz w:val="18"/>
                      </w:rPr>
                    </w:pPr>
                    <w:r>
                      <w:rPr>
                        <w:b/>
                        <w:color w:val="2D75B6"/>
                        <w:sz w:val="18"/>
                      </w:rPr>
                      <w:t>1.5</w:t>
                    </w:r>
                  </w:p>
                </w:txbxContent>
              </v:textbox>
              <v:stroke dashstyle="solid"/>
              <w10:wrap type="none"/>
            </v:shape>
            <v:shape style="position:absolute;left:3444;top:1428;width:754;height:348" type="#_x0000_t202" filled="false" stroked="true" strokeweight=".72pt" strokecolor="#d9d9d9">
              <v:textbox inset="0,0,0,0">
                <w:txbxContent>
                  <w:p>
                    <w:pPr>
                      <w:spacing w:before="30"/>
                      <w:ind w:left="236" w:right="237" w:firstLine="0"/>
                      <w:jc w:val="center"/>
                      <w:rPr>
                        <w:b/>
                        <w:sz w:val="18"/>
                      </w:rPr>
                    </w:pPr>
                    <w:r>
                      <w:rPr>
                        <w:b/>
                        <w:color w:val="2D75B6"/>
                        <w:sz w:val="18"/>
                      </w:rPr>
                      <w:t>1.9</w:t>
                    </w:r>
                  </w:p>
                </w:txbxContent>
              </v:textbox>
              <v:stroke dashstyle="solid"/>
              <w10:wrap type="none"/>
            </v:shape>
            <v:shape style="position:absolute;left:2688;top:1428;width:756;height:348" type="#_x0000_t202" filled="false" stroked="true" strokeweight=".72pt" strokecolor="#d9d9d9">
              <v:textbox inset="0,0,0,0">
                <w:txbxContent>
                  <w:p>
                    <w:pPr>
                      <w:spacing w:line="195" w:lineRule="exact" w:before="0"/>
                      <w:ind w:left="314" w:right="0" w:firstLine="0"/>
                      <w:jc w:val="left"/>
                      <w:rPr>
                        <w:b/>
                        <w:sz w:val="18"/>
                      </w:rPr>
                    </w:pPr>
                    <w:r>
                      <w:rPr>
                        <w:b/>
                        <w:color w:val="2D75B6"/>
                        <w:sz w:val="18"/>
                      </w:rPr>
                      <w:t>2.2</w:t>
                    </w:r>
                  </w:p>
                </w:txbxContent>
              </v:textbox>
              <v:stroke dashstyle="solid"/>
              <w10:wrap type="none"/>
            </v:shape>
            <v:shape style="position:absolute;left:7968;top:382;width:754;height:348" type="#_x0000_t202" filled="false" stroked="true" strokeweight=".72pt" strokecolor="#d9d9d9">
              <v:textbox inset="0,0,0,0">
                <w:txbxContent>
                  <w:p>
                    <w:pPr>
                      <w:spacing w:before="30"/>
                      <w:ind w:left="236" w:right="237" w:firstLine="0"/>
                      <w:jc w:val="center"/>
                      <w:rPr>
                        <w:b/>
                        <w:sz w:val="18"/>
                      </w:rPr>
                    </w:pPr>
                    <w:r>
                      <w:rPr>
                        <w:b/>
                        <w:color w:val="FF0000"/>
                        <w:sz w:val="18"/>
                      </w:rPr>
                      <w:t>4.9</w:t>
                    </w:r>
                  </w:p>
                </w:txbxContent>
              </v:textbox>
              <v:stroke dashstyle="solid"/>
              <w10:wrap type="none"/>
            </v:shape>
            <w10:wrap type="topAndBottom"/>
          </v:group>
        </w:pict>
      </w:r>
      <w:r>
        <w:rPr>
          <w:sz w:val="18"/>
        </w:rPr>
        <w:t>Porcentajes del PIB</w:t>
      </w:r>
    </w:p>
    <w:p>
      <w:pPr>
        <w:tabs>
          <w:tab w:pos="1766" w:val="left" w:leader="none"/>
          <w:tab w:pos="2520" w:val="left" w:leader="none"/>
          <w:tab w:pos="3274" w:val="left" w:leader="none"/>
          <w:tab w:pos="4029" w:val="left" w:leader="none"/>
          <w:tab w:pos="4783" w:val="left" w:leader="none"/>
          <w:tab w:pos="5537" w:val="left" w:leader="none"/>
          <w:tab w:pos="6291" w:val="left" w:leader="none"/>
          <w:tab w:pos="7045" w:val="left" w:leader="none"/>
          <w:tab w:pos="7799" w:val="left" w:leader="none"/>
          <w:tab w:pos="8513" w:val="left" w:leader="none"/>
        </w:tabs>
        <w:spacing w:before="51"/>
        <w:ind w:left="1012" w:right="0" w:firstLine="0"/>
        <w:jc w:val="left"/>
        <w:rPr>
          <w:sz w:val="16"/>
        </w:rPr>
      </w:pPr>
      <w:r>
        <w:rPr>
          <w:color w:val="585858"/>
          <w:sz w:val="16"/>
        </w:rPr>
        <w:t>2012</w:t>
        <w:tab/>
        <w:t>2013</w:t>
        <w:tab/>
        <w:t>2014</w:t>
        <w:tab/>
        <w:t>2015</w:t>
        <w:tab/>
        <w:t>2016</w:t>
        <w:tab/>
        <w:t>2017</w:t>
        <w:tab/>
        <w:t>2018</w:t>
        <w:tab/>
        <w:t>2019</w:t>
        <w:tab/>
        <w:t>2020</w:t>
        <w:tab/>
        <w:t>2021</w:t>
        <w:tab/>
        <w:t>2022*</w:t>
      </w:r>
    </w:p>
    <w:p>
      <w:pPr>
        <w:spacing w:before="41"/>
        <w:ind w:left="631" w:right="0" w:firstLine="0"/>
        <w:jc w:val="left"/>
        <w:rPr>
          <w:b/>
          <w:sz w:val="16"/>
        </w:rPr>
      </w:pPr>
      <w:r>
        <w:rPr>
          <w:b/>
          <w:sz w:val="16"/>
        </w:rPr>
        <w:t>*Estimación de cierre</w:t>
      </w:r>
    </w:p>
    <w:p>
      <w:pPr>
        <w:spacing w:before="24"/>
        <w:ind w:left="631" w:right="0" w:firstLine="0"/>
        <w:jc w:val="left"/>
        <w:rPr>
          <w:sz w:val="16"/>
        </w:rPr>
      </w:pPr>
      <w:r>
        <w:rPr>
          <w:sz w:val="16"/>
        </w:rPr>
        <w:t>Fuente: Dirección de Análisis y Política Fiscal</w:t>
      </w:r>
    </w:p>
    <w:p>
      <w:pPr>
        <w:pStyle w:val="BodyText"/>
        <w:rPr>
          <w:sz w:val="18"/>
        </w:rPr>
      </w:pPr>
    </w:p>
    <w:p>
      <w:pPr>
        <w:pStyle w:val="BodyText"/>
        <w:rPr>
          <w:sz w:val="18"/>
        </w:rPr>
      </w:pPr>
    </w:p>
    <w:p>
      <w:pPr>
        <w:pStyle w:val="BodyText"/>
        <w:spacing w:line="276" w:lineRule="auto" w:before="112"/>
        <w:ind w:left="562" w:right="1694"/>
        <w:jc w:val="both"/>
      </w:pPr>
      <w:r>
        <w:rPr/>
        <w:t>Por el lado del financiamiento del déficit fiscal, la principal fuente de recursos en 2022 proviene de la nueva emisión y colocación de Bonos del Tesoro, la autorización del Congreso de la República corresponde al Decreto 16-2021, los cuales serán colocados en el mercado interno o externo (Eurobonos).</w:t>
      </w:r>
    </w:p>
    <w:p>
      <w:pPr>
        <w:pStyle w:val="BodyText"/>
        <w:spacing w:before="5"/>
        <w:rPr>
          <w:sz w:val="25"/>
        </w:rPr>
      </w:pPr>
    </w:p>
    <w:p>
      <w:pPr>
        <w:pStyle w:val="BodyText"/>
        <w:spacing w:line="276" w:lineRule="auto" w:before="1"/>
        <w:ind w:left="562" w:right="1695"/>
        <w:jc w:val="both"/>
      </w:pPr>
      <w:r>
        <w:rPr/>
        <w:t>En</w:t>
      </w:r>
      <w:r>
        <w:rPr>
          <w:spacing w:val="-6"/>
        </w:rPr>
        <w:t> </w:t>
      </w:r>
      <w:r>
        <w:rPr/>
        <w:t>el</w:t>
      </w:r>
      <w:r>
        <w:rPr>
          <w:spacing w:val="-4"/>
        </w:rPr>
        <w:t> </w:t>
      </w:r>
      <w:r>
        <w:rPr/>
        <w:t>Congreso</w:t>
      </w:r>
      <w:r>
        <w:rPr>
          <w:spacing w:val="-4"/>
        </w:rPr>
        <w:t> </w:t>
      </w:r>
      <w:r>
        <w:rPr/>
        <w:t>de</w:t>
      </w:r>
      <w:r>
        <w:rPr>
          <w:spacing w:val="-4"/>
        </w:rPr>
        <w:t> </w:t>
      </w:r>
      <w:r>
        <w:rPr/>
        <w:t>la</w:t>
      </w:r>
      <w:r>
        <w:rPr>
          <w:spacing w:val="-4"/>
        </w:rPr>
        <w:t> </w:t>
      </w:r>
      <w:r>
        <w:rPr/>
        <w:t>República</w:t>
      </w:r>
      <w:r>
        <w:rPr>
          <w:spacing w:val="-4"/>
        </w:rPr>
        <w:t> </w:t>
      </w:r>
      <w:r>
        <w:rPr/>
        <w:t>fue</w:t>
      </w:r>
      <w:r>
        <w:rPr>
          <w:spacing w:val="-4"/>
        </w:rPr>
        <w:t> </w:t>
      </w:r>
      <w:r>
        <w:rPr/>
        <w:t>aprobado</w:t>
      </w:r>
      <w:r>
        <w:rPr>
          <w:spacing w:val="-4"/>
        </w:rPr>
        <w:t> </w:t>
      </w:r>
      <w:r>
        <w:rPr/>
        <w:t>el</w:t>
      </w:r>
      <w:r>
        <w:rPr>
          <w:spacing w:val="-4"/>
        </w:rPr>
        <w:t> </w:t>
      </w:r>
      <w:r>
        <w:rPr/>
        <w:t>“Préstamo</w:t>
      </w:r>
      <w:r>
        <w:rPr>
          <w:spacing w:val="-5"/>
        </w:rPr>
        <w:t> </w:t>
      </w:r>
      <w:r>
        <w:rPr/>
        <w:t>para</w:t>
      </w:r>
      <w:r>
        <w:rPr>
          <w:spacing w:val="-4"/>
        </w:rPr>
        <w:t> </w:t>
      </w:r>
      <w:r>
        <w:rPr/>
        <w:t>Políticas</w:t>
      </w:r>
      <w:r>
        <w:rPr>
          <w:spacing w:val="-4"/>
        </w:rPr>
        <w:t> </w:t>
      </w:r>
      <w:r>
        <w:rPr/>
        <w:t>de</w:t>
      </w:r>
      <w:r>
        <w:rPr>
          <w:spacing w:val="-5"/>
        </w:rPr>
        <w:t> </w:t>
      </w:r>
      <w:r>
        <w:rPr/>
        <w:t>Desarrollo</w:t>
      </w:r>
      <w:r>
        <w:rPr>
          <w:spacing w:val="-7"/>
        </w:rPr>
        <w:t> </w:t>
      </w:r>
      <w:r>
        <w:rPr/>
        <w:t>de</w:t>
      </w:r>
      <w:r>
        <w:rPr>
          <w:spacing w:val="-4"/>
        </w:rPr>
        <w:t> </w:t>
      </w:r>
      <w:r>
        <w:rPr/>
        <w:t>Respuesta y Recuperación ante la Crisis en Guatemala” por parte del Banco Internacional de Reconstrucción y Fomento</w:t>
      </w:r>
      <w:r>
        <w:rPr>
          <w:spacing w:val="-14"/>
        </w:rPr>
        <w:t> </w:t>
      </w:r>
      <w:r>
        <w:rPr/>
        <w:t>(BIRF)</w:t>
      </w:r>
      <w:r>
        <w:rPr>
          <w:spacing w:val="-14"/>
        </w:rPr>
        <w:t> </w:t>
      </w:r>
      <w:r>
        <w:rPr/>
        <w:t>por</w:t>
      </w:r>
      <w:r>
        <w:rPr>
          <w:spacing w:val="-14"/>
        </w:rPr>
        <w:t> </w:t>
      </w:r>
      <w:r>
        <w:rPr/>
        <w:t>US$500.0</w:t>
      </w:r>
      <w:r>
        <w:rPr>
          <w:spacing w:val="-15"/>
        </w:rPr>
        <w:t> </w:t>
      </w:r>
      <w:r>
        <w:rPr/>
        <w:t>millones.</w:t>
      </w:r>
      <w:r>
        <w:rPr>
          <w:spacing w:val="-13"/>
        </w:rPr>
        <w:t> </w:t>
      </w:r>
      <w:r>
        <w:rPr/>
        <w:t>Por</w:t>
      </w:r>
      <w:r>
        <w:rPr>
          <w:spacing w:val="-14"/>
        </w:rPr>
        <w:t> </w:t>
      </w:r>
      <w:r>
        <w:rPr/>
        <w:t>ello,</w:t>
      </w:r>
      <w:r>
        <w:rPr>
          <w:spacing w:val="-14"/>
        </w:rPr>
        <w:t> </w:t>
      </w:r>
      <w:r>
        <w:rPr/>
        <w:t>quedó</w:t>
      </w:r>
      <w:r>
        <w:rPr>
          <w:spacing w:val="-14"/>
        </w:rPr>
        <w:t> </w:t>
      </w:r>
      <w:r>
        <w:rPr/>
        <w:t>facultado</w:t>
      </w:r>
      <w:r>
        <w:rPr>
          <w:spacing w:val="-13"/>
        </w:rPr>
        <w:t> </w:t>
      </w:r>
      <w:r>
        <w:rPr/>
        <w:t>el</w:t>
      </w:r>
      <w:r>
        <w:rPr>
          <w:spacing w:val="-16"/>
        </w:rPr>
        <w:t> </w:t>
      </w:r>
      <w:r>
        <w:rPr/>
        <w:t>Ministerio</w:t>
      </w:r>
      <w:r>
        <w:rPr>
          <w:spacing w:val="-14"/>
        </w:rPr>
        <w:t> </w:t>
      </w:r>
      <w:r>
        <w:rPr/>
        <w:t>de</w:t>
      </w:r>
      <w:r>
        <w:rPr>
          <w:spacing w:val="-16"/>
        </w:rPr>
        <w:t> </w:t>
      </w:r>
      <w:r>
        <w:rPr/>
        <w:t>Finanzas</w:t>
      </w:r>
      <w:r>
        <w:rPr>
          <w:spacing w:val="-13"/>
        </w:rPr>
        <w:t> </w:t>
      </w:r>
      <w:r>
        <w:rPr/>
        <w:t>Públicas para que durante el 2022 se incorpore al Presupuesto el equivalente al préstamo, por medio de una sustitución</w:t>
      </w:r>
      <w:r>
        <w:rPr>
          <w:spacing w:val="-10"/>
        </w:rPr>
        <w:t> </w:t>
      </w:r>
      <w:r>
        <w:rPr/>
        <w:t>de</w:t>
      </w:r>
      <w:r>
        <w:rPr>
          <w:spacing w:val="-8"/>
        </w:rPr>
        <w:t> </w:t>
      </w:r>
      <w:r>
        <w:rPr/>
        <w:t>fuente</w:t>
      </w:r>
      <w:r>
        <w:rPr>
          <w:spacing w:val="-8"/>
        </w:rPr>
        <w:t> </w:t>
      </w:r>
      <w:r>
        <w:rPr/>
        <w:t>de</w:t>
      </w:r>
      <w:r>
        <w:rPr>
          <w:spacing w:val="-11"/>
        </w:rPr>
        <w:t> </w:t>
      </w:r>
      <w:r>
        <w:rPr/>
        <w:t>financiamiento,</w:t>
      </w:r>
      <w:r>
        <w:rPr>
          <w:spacing w:val="-9"/>
        </w:rPr>
        <w:t> </w:t>
      </w:r>
      <w:r>
        <w:rPr/>
        <w:t>liberando</w:t>
      </w:r>
      <w:r>
        <w:rPr>
          <w:spacing w:val="-10"/>
        </w:rPr>
        <w:t> </w:t>
      </w:r>
      <w:r>
        <w:rPr/>
        <w:t>recursos</w:t>
      </w:r>
      <w:r>
        <w:rPr>
          <w:spacing w:val="-8"/>
        </w:rPr>
        <w:t> </w:t>
      </w:r>
      <w:r>
        <w:rPr/>
        <w:t>de</w:t>
      </w:r>
      <w:r>
        <w:rPr>
          <w:spacing w:val="-11"/>
        </w:rPr>
        <w:t> </w:t>
      </w:r>
      <w:r>
        <w:rPr/>
        <w:t>la</w:t>
      </w:r>
      <w:r>
        <w:rPr>
          <w:spacing w:val="-8"/>
        </w:rPr>
        <w:t> </w:t>
      </w:r>
      <w:r>
        <w:rPr/>
        <w:t>colocación</w:t>
      </w:r>
      <w:r>
        <w:rPr>
          <w:spacing w:val="-9"/>
        </w:rPr>
        <w:t> </w:t>
      </w:r>
      <w:r>
        <w:rPr/>
        <w:t>de</w:t>
      </w:r>
      <w:r>
        <w:rPr>
          <w:spacing w:val="-9"/>
        </w:rPr>
        <w:t> </w:t>
      </w:r>
      <w:r>
        <w:rPr/>
        <w:t>bonos</w:t>
      </w:r>
      <w:r>
        <w:rPr>
          <w:spacing w:val="-8"/>
        </w:rPr>
        <w:t> </w:t>
      </w:r>
      <w:r>
        <w:rPr/>
        <w:t>del</w:t>
      </w:r>
      <w:r>
        <w:rPr>
          <w:spacing w:val="-10"/>
        </w:rPr>
        <w:t> </w:t>
      </w:r>
      <w:r>
        <w:rPr/>
        <w:t>tesoro,</w:t>
      </w:r>
      <w:r>
        <w:rPr>
          <w:spacing w:val="-11"/>
        </w:rPr>
        <w:t> </w:t>
      </w:r>
      <w:r>
        <w:rPr/>
        <w:t>todo ello</w:t>
      </w:r>
      <w:r>
        <w:rPr>
          <w:spacing w:val="-14"/>
        </w:rPr>
        <w:t> </w:t>
      </w:r>
      <w:r>
        <w:rPr/>
        <w:t>sin</w:t>
      </w:r>
      <w:r>
        <w:rPr>
          <w:spacing w:val="-17"/>
        </w:rPr>
        <w:t> </w:t>
      </w:r>
      <w:r>
        <w:rPr/>
        <w:t>incrementar</w:t>
      </w:r>
      <w:r>
        <w:rPr>
          <w:spacing w:val="-14"/>
        </w:rPr>
        <w:t> </w:t>
      </w:r>
      <w:r>
        <w:rPr/>
        <w:t>el</w:t>
      </w:r>
      <w:r>
        <w:rPr>
          <w:spacing w:val="-13"/>
        </w:rPr>
        <w:t> </w:t>
      </w:r>
      <w:r>
        <w:rPr/>
        <w:t>Presupuesto</w:t>
      </w:r>
      <w:r>
        <w:rPr>
          <w:spacing w:val="-14"/>
        </w:rPr>
        <w:t> </w:t>
      </w:r>
      <w:r>
        <w:rPr/>
        <w:t>General</w:t>
      </w:r>
      <w:r>
        <w:rPr>
          <w:spacing w:val="-13"/>
        </w:rPr>
        <w:t> </w:t>
      </w:r>
      <w:r>
        <w:rPr/>
        <w:t>de</w:t>
      </w:r>
      <w:r>
        <w:rPr>
          <w:spacing w:val="-14"/>
        </w:rPr>
        <w:t> </w:t>
      </w:r>
      <w:r>
        <w:rPr/>
        <w:t>Egresos</w:t>
      </w:r>
      <w:r>
        <w:rPr>
          <w:spacing w:val="-14"/>
        </w:rPr>
        <w:t> </w:t>
      </w:r>
      <w:r>
        <w:rPr/>
        <w:t>vigente</w:t>
      </w:r>
      <w:r>
        <w:rPr>
          <w:spacing w:val="-16"/>
        </w:rPr>
        <w:t> </w:t>
      </w:r>
      <w:r>
        <w:rPr/>
        <w:t>para</w:t>
      </w:r>
      <w:r>
        <w:rPr>
          <w:spacing w:val="-14"/>
        </w:rPr>
        <w:t> </w:t>
      </w:r>
      <w:r>
        <w:rPr/>
        <w:t>el</w:t>
      </w:r>
      <w:r>
        <w:rPr>
          <w:spacing w:val="-13"/>
        </w:rPr>
        <w:t> </w:t>
      </w:r>
      <w:r>
        <w:rPr/>
        <w:t>2022,</w:t>
      </w:r>
      <w:r>
        <w:rPr>
          <w:spacing w:val="-17"/>
        </w:rPr>
        <w:t> </w:t>
      </w:r>
      <w:r>
        <w:rPr/>
        <w:t>porque</w:t>
      </w:r>
      <w:r>
        <w:rPr>
          <w:spacing w:val="-15"/>
        </w:rPr>
        <w:t> </w:t>
      </w:r>
      <w:r>
        <w:rPr/>
        <w:t>ello</w:t>
      </w:r>
      <w:r>
        <w:rPr>
          <w:spacing w:val="-14"/>
        </w:rPr>
        <w:t> </w:t>
      </w:r>
      <w:r>
        <w:rPr/>
        <w:t>no</w:t>
      </w:r>
      <w:r>
        <w:rPr>
          <w:spacing w:val="-17"/>
        </w:rPr>
        <w:t> </w:t>
      </w:r>
      <w:r>
        <w:rPr/>
        <w:t>representa ingresos y gastos</w:t>
      </w:r>
      <w:r>
        <w:rPr>
          <w:spacing w:val="-6"/>
        </w:rPr>
        <w:t> </w:t>
      </w:r>
      <w:r>
        <w:rPr/>
        <w:t>adicionales.</w:t>
      </w:r>
    </w:p>
    <w:p>
      <w:pPr>
        <w:pStyle w:val="BodyText"/>
        <w:spacing w:before="2"/>
        <w:rPr>
          <w:sz w:val="25"/>
        </w:rPr>
      </w:pPr>
    </w:p>
    <w:p>
      <w:pPr>
        <w:pStyle w:val="BodyText"/>
        <w:spacing w:line="278" w:lineRule="auto"/>
        <w:ind w:left="562" w:right="1696"/>
        <w:jc w:val="both"/>
      </w:pPr>
      <w:r>
        <w:rPr/>
        <w:t>Este préstamo se considera relevante por sus condiciones financieras favorables dado que considera un</w:t>
      </w:r>
      <w:r>
        <w:rPr>
          <w:spacing w:val="-5"/>
        </w:rPr>
        <w:t> </w:t>
      </w:r>
      <w:r>
        <w:rPr/>
        <w:t>vencimiento</w:t>
      </w:r>
      <w:r>
        <w:rPr>
          <w:spacing w:val="-4"/>
        </w:rPr>
        <w:t> </w:t>
      </w:r>
      <w:r>
        <w:rPr/>
        <w:t>de</w:t>
      </w:r>
      <w:r>
        <w:rPr>
          <w:spacing w:val="-3"/>
        </w:rPr>
        <w:t> </w:t>
      </w:r>
      <w:r>
        <w:rPr/>
        <w:t>13</w:t>
      </w:r>
      <w:r>
        <w:rPr>
          <w:spacing w:val="-4"/>
        </w:rPr>
        <w:t> </w:t>
      </w:r>
      <w:r>
        <w:rPr/>
        <w:t>años,</w:t>
      </w:r>
      <w:r>
        <w:rPr>
          <w:spacing w:val="-8"/>
        </w:rPr>
        <w:t> </w:t>
      </w:r>
      <w:r>
        <w:rPr/>
        <w:t>incluido</w:t>
      </w:r>
      <w:r>
        <w:rPr>
          <w:spacing w:val="-4"/>
        </w:rPr>
        <w:t> </w:t>
      </w:r>
      <w:r>
        <w:rPr/>
        <w:t>un</w:t>
      </w:r>
      <w:r>
        <w:rPr>
          <w:spacing w:val="-6"/>
        </w:rPr>
        <w:t> </w:t>
      </w:r>
      <w:r>
        <w:rPr/>
        <w:t>período</w:t>
      </w:r>
      <w:r>
        <w:rPr>
          <w:spacing w:val="-6"/>
        </w:rPr>
        <w:t> </w:t>
      </w:r>
      <w:r>
        <w:rPr/>
        <w:t>de</w:t>
      </w:r>
      <w:r>
        <w:rPr>
          <w:spacing w:val="-6"/>
        </w:rPr>
        <w:t> </w:t>
      </w:r>
      <w:r>
        <w:rPr/>
        <w:t>gracia</w:t>
      </w:r>
      <w:r>
        <w:rPr>
          <w:spacing w:val="-6"/>
        </w:rPr>
        <w:t> </w:t>
      </w:r>
      <w:r>
        <w:rPr/>
        <w:t>de</w:t>
      </w:r>
      <w:r>
        <w:rPr>
          <w:spacing w:val="-6"/>
        </w:rPr>
        <w:t> </w:t>
      </w:r>
      <w:r>
        <w:rPr/>
        <w:t>3</w:t>
      </w:r>
      <w:r>
        <w:rPr>
          <w:spacing w:val="-4"/>
        </w:rPr>
        <w:t> </w:t>
      </w:r>
      <w:r>
        <w:rPr/>
        <w:t>años</w:t>
      </w:r>
      <w:r>
        <w:rPr>
          <w:spacing w:val="-6"/>
        </w:rPr>
        <w:t> </w:t>
      </w:r>
      <w:r>
        <w:rPr/>
        <w:t>y</w:t>
      </w:r>
      <w:r>
        <w:rPr>
          <w:spacing w:val="-6"/>
        </w:rPr>
        <w:t> </w:t>
      </w:r>
      <w:r>
        <w:rPr/>
        <w:t>una</w:t>
      </w:r>
      <w:r>
        <w:rPr>
          <w:spacing w:val="-3"/>
        </w:rPr>
        <w:t> </w:t>
      </w:r>
      <w:r>
        <w:rPr/>
        <w:t>tasa</w:t>
      </w:r>
      <w:r>
        <w:rPr>
          <w:spacing w:val="-5"/>
        </w:rPr>
        <w:t> </w:t>
      </w:r>
      <w:r>
        <w:rPr/>
        <w:t>aproximada</w:t>
      </w:r>
      <w:r>
        <w:rPr>
          <w:spacing w:val="-3"/>
        </w:rPr>
        <w:t> </w:t>
      </w:r>
      <w:r>
        <w:rPr/>
        <w:t>de</w:t>
      </w:r>
      <w:r>
        <w:rPr>
          <w:spacing w:val="-6"/>
        </w:rPr>
        <w:t> </w:t>
      </w:r>
      <w:r>
        <w:rPr/>
        <w:t>0.75%.</w:t>
      </w:r>
    </w:p>
    <w:p>
      <w:pPr>
        <w:spacing w:after="0" w:line="278" w:lineRule="auto"/>
        <w:jc w:val="both"/>
        <w:sectPr>
          <w:pgSz w:w="12240" w:h="15840"/>
          <w:pgMar w:header="715" w:footer="957" w:top="1240" w:bottom="1140" w:left="1140" w:right="0"/>
        </w:sectPr>
      </w:pPr>
    </w:p>
    <w:p>
      <w:pPr>
        <w:pStyle w:val="BodyText"/>
        <w:rPr>
          <w:sz w:val="20"/>
        </w:rPr>
      </w:pPr>
    </w:p>
    <w:p>
      <w:pPr>
        <w:pStyle w:val="BodyText"/>
        <w:spacing w:before="4"/>
        <w:rPr>
          <w:sz w:val="19"/>
        </w:rPr>
      </w:pPr>
    </w:p>
    <w:p>
      <w:pPr>
        <w:pStyle w:val="BodyText"/>
        <w:spacing w:line="276" w:lineRule="auto"/>
        <w:ind w:left="562" w:right="1698"/>
        <w:jc w:val="both"/>
      </w:pPr>
      <w:r>
        <w:rPr/>
        <w:t>Por ello, los desembolsos de préstamos externos serían de Q5,461.7 millones, los cuales incluyen el préstamo de apoyo presupuestario del Banco Mundial por US$500.0 millones. En cuanto a las amortizaciones, estas se estiman en Q2,747.6 millones, por lo que el financiamiento externo neto sería positivo en Q2,714.1 millones, adicionalmente en este año se tiene previsto un vencimiento de Eurobono por US$700 millones, esperando colocar dicho monto en el mercado internacional de capitales. Asimismo, se espera hacer uso de los depósitos del gobierno en el Banco de Guatemala para complementar el financiamiento del déficit fiscal por alrededor de Q2,537.2 millones.</w:t>
      </w:r>
    </w:p>
    <w:p>
      <w:pPr>
        <w:pStyle w:val="BodyText"/>
        <w:spacing w:before="9"/>
        <w:rPr>
          <w:sz w:val="25"/>
        </w:rPr>
      </w:pPr>
    </w:p>
    <w:p>
      <w:pPr>
        <w:pStyle w:val="Heading2"/>
        <w:numPr>
          <w:ilvl w:val="1"/>
          <w:numId w:val="13"/>
        </w:numPr>
        <w:tabs>
          <w:tab w:pos="922" w:val="left" w:leader="none"/>
        </w:tabs>
        <w:spacing w:line="240" w:lineRule="auto" w:before="1" w:after="0"/>
        <w:ind w:left="922" w:right="0" w:hanging="360"/>
        <w:jc w:val="left"/>
      </w:pPr>
      <w:bookmarkStart w:name="_bookmark179" w:id="228"/>
      <w:bookmarkEnd w:id="228"/>
      <w:r>
        <w:rPr>
          <w:b w:val="0"/>
        </w:rPr>
      </w:r>
      <w:bookmarkStart w:name="_bookmark179" w:id="229"/>
      <w:bookmarkEnd w:id="229"/>
      <w:r>
        <w:rPr/>
        <w:t>C</w:t>
      </w:r>
      <w:r>
        <w:rPr/>
        <w:t>omportamiento del endeudamiento</w:t>
      </w:r>
      <w:r>
        <w:rPr>
          <w:spacing w:val="-1"/>
        </w:rPr>
        <w:t> </w:t>
      </w:r>
      <w:r>
        <w:rPr/>
        <w:t>público</w:t>
      </w:r>
    </w:p>
    <w:p>
      <w:pPr>
        <w:pStyle w:val="BodyText"/>
        <w:spacing w:before="3"/>
        <w:rPr>
          <w:b/>
          <w:sz w:val="28"/>
        </w:rPr>
      </w:pPr>
    </w:p>
    <w:p>
      <w:pPr>
        <w:pStyle w:val="BodyText"/>
        <w:spacing w:line="276" w:lineRule="auto" w:before="1"/>
        <w:ind w:left="562" w:right="1694"/>
        <w:jc w:val="both"/>
      </w:pPr>
      <w:r>
        <w:rPr/>
        <w:t>Guatemala es un país que se ha caracterizado por tener un manejo prudente de su política fiscal en los últimos 25 años, lo que ha coadyuvado enormemente a la estabilidad macroeconómica del país, esto se refleja en los resultados fiscales obtenidos en la administración central, los cuales arrojan déficit</w:t>
      </w:r>
      <w:r>
        <w:rPr>
          <w:spacing w:val="-5"/>
        </w:rPr>
        <w:t> </w:t>
      </w:r>
      <w:r>
        <w:rPr/>
        <w:t>moderados,</w:t>
      </w:r>
      <w:r>
        <w:rPr>
          <w:spacing w:val="-6"/>
        </w:rPr>
        <w:t> </w:t>
      </w:r>
      <w:r>
        <w:rPr/>
        <w:t>con</w:t>
      </w:r>
      <w:r>
        <w:rPr>
          <w:spacing w:val="-6"/>
        </w:rPr>
        <w:t> </w:t>
      </w:r>
      <w:r>
        <w:rPr/>
        <w:t>algunas</w:t>
      </w:r>
      <w:r>
        <w:rPr>
          <w:spacing w:val="-5"/>
        </w:rPr>
        <w:t> </w:t>
      </w:r>
      <w:r>
        <w:rPr/>
        <w:t>excepciones</w:t>
      </w:r>
      <w:r>
        <w:rPr>
          <w:spacing w:val="-5"/>
        </w:rPr>
        <w:t> </w:t>
      </w:r>
      <w:r>
        <w:rPr/>
        <w:t>de</w:t>
      </w:r>
      <w:r>
        <w:rPr>
          <w:spacing w:val="-6"/>
        </w:rPr>
        <w:t> </w:t>
      </w:r>
      <w:r>
        <w:rPr/>
        <w:t>altos</w:t>
      </w:r>
      <w:r>
        <w:rPr>
          <w:spacing w:val="-5"/>
        </w:rPr>
        <w:t> </w:t>
      </w:r>
      <w:r>
        <w:rPr/>
        <w:t>déficit</w:t>
      </w:r>
      <w:r>
        <w:rPr>
          <w:spacing w:val="-8"/>
        </w:rPr>
        <w:t> </w:t>
      </w:r>
      <w:r>
        <w:rPr/>
        <w:t>en</w:t>
      </w:r>
      <w:r>
        <w:rPr>
          <w:spacing w:val="-6"/>
        </w:rPr>
        <w:t> </w:t>
      </w:r>
      <w:r>
        <w:rPr/>
        <w:t>época</w:t>
      </w:r>
      <w:r>
        <w:rPr>
          <w:spacing w:val="-5"/>
        </w:rPr>
        <w:t> </w:t>
      </w:r>
      <w:r>
        <w:rPr/>
        <w:t>de</w:t>
      </w:r>
      <w:r>
        <w:rPr>
          <w:spacing w:val="-8"/>
        </w:rPr>
        <w:t> </w:t>
      </w:r>
      <w:r>
        <w:rPr/>
        <w:t>crisis</w:t>
      </w:r>
      <w:r>
        <w:rPr>
          <w:spacing w:val="-6"/>
        </w:rPr>
        <w:t> </w:t>
      </w:r>
      <w:r>
        <w:rPr/>
        <w:t>que</w:t>
      </w:r>
      <w:r>
        <w:rPr>
          <w:spacing w:val="-8"/>
        </w:rPr>
        <w:t> </w:t>
      </w:r>
      <w:r>
        <w:rPr/>
        <w:t>inmediatamente</w:t>
      </w:r>
      <w:r>
        <w:rPr>
          <w:spacing w:val="-5"/>
        </w:rPr>
        <w:t> </w:t>
      </w:r>
      <w:r>
        <w:rPr>
          <w:spacing w:val="-3"/>
        </w:rPr>
        <w:t>se </w:t>
      </w:r>
      <w:r>
        <w:rPr/>
        <w:t>controlan</w:t>
      </w:r>
      <w:r>
        <w:rPr>
          <w:spacing w:val="-7"/>
        </w:rPr>
        <w:t> </w:t>
      </w:r>
      <w:r>
        <w:rPr/>
        <w:t>debido</w:t>
      </w:r>
      <w:r>
        <w:rPr>
          <w:spacing w:val="-6"/>
        </w:rPr>
        <w:t> </w:t>
      </w:r>
      <w:r>
        <w:rPr/>
        <w:t>a</w:t>
      </w:r>
      <w:r>
        <w:rPr>
          <w:spacing w:val="-8"/>
        </w:rPr>
        <w:t> </w:t>
      </w:r>
      <w:r>
        <w:rPr/>
        <w:t>que</w:t>
      </w:r>
      <w:r>
        <w:rPr>
          <w:spacing w:val="-8"/>
        </w:rPr>
        <w:t> </w:t>
      </w:r>
      <w:r>
        <w:rPr/>
        <w:t>el</w:t>
      </w:r>
      <w:r>
        <w:rPr>
          <w:spacing w:val="-6"/>
        </w:rPr>
        <w:t> </w:t>
      </w:r>
      <w:r>
        <w:rPr/>
        <w:t>gasto</w:t>
      </w:r>
      <w:r>
        <w:rPr>
          <w:spacing w:val="-9"/>
        </w:rPr>
        <w:t> </w:t>
      </w:r>
      <w:r>
        <w:rPr/>
        <w:t>que</w:t>
      </w:r>
      <w:r>
        <w:rPr>
          <w:spacing w:val="-8"/>
        </w:rPr>
        <w:t> </w:t>
      </w:r>
      <w:r>
        <w:rPr/>
        <w:t>crea</w:t>
      </w:r>
      <w:r>
        <w:rPr>
          <w:spacing w:val="-8"/>
        </w:rPr>
        <w:t> </w:t>
      </w:r>
      <w:r>
        <w:rPr/>
        <w:t>el</w:t>
      </w:r>
      <w:r>
        <w:rPr>
          <w:spacing w:val="-8"/>
        </w:rPr>
        <w:t> </w:t>
      </w:r>
      <w:r>
        <w:rPr/>
        <w:t>impulso</w:t>
      </w:r>
      <w:r>
        <w:rPr>
          <w:spacing w:val="-8"/>
        </w:rPr>
        <w:t> </w:t>
      </w:r>
      <w:r>
        <w:rPr/>
        <w:t>no</w:t>
      </w:r>
      <w:r>
        <w:rPr>
          <w:spacing w:val="-9"/>
        </w:rPr>
        <w:t> </w:t>
      </w:r>
      <w:r>
        <w:rPr/>
        <w:t>es</w:t>
      </w:r>
      <w:r>
        <w:rPr>
          <w:spacing w:val="-5"/>
        </w:rPr>
        <w:t> </w:t>
      </w:r>
      <w:r>
        <w:rPr/>
        <w:t>permanente</w:t>
      </w:r>
      <w:r>
        <w:rPr>
          <w:spacing w:val="-8"/>
        </w:rPr>
        <w:t> </w:t>
      </w:r>
      <w:r>
        <w:rPr/>
        <w:t>sino</w:t>
      </w:r>
      <w:r>
        <w:rPr>
          <w:spacing w:val="-7"/>
        </w:rPr>
        <w:t> </w:t>
      </w:r>
      <w:r>
        <w:rPr/>
        <w:t>más</w:t>
      </w:r>
      <w:r>
        <w:rPr>
          <w:spacing w:val="-5"/>
        </w:rPr>
        <w:t> </w:t>
      </w:r>
      <w:r>
        <w:rPr/>
        <w:t>bien</w:t>
      </w:r>
      <w:r>
        <w:rPr>
          <w:spacing w:val="-6"/>
        </w:rPr>
        <w:t> </w:t>
      </w:r>
      <w:r>
        <w:rPr/>
        <w:t>transitorio,</w:t>
      </w:r>
      <w:r>
        <w:rPr>
          <w:spacing w:val="-9"/>
        </w:rPr>
        <w:t> </w:t>
      </w:r>
      <w:r>
        <w:rPr/>
        <w:t>como lo</w:t>
      </w:r>
      <w:r>
        <w:rPr>
          <w:spacing w:val="-7"/>
        </w:rPr>
        <w:t> </w:t>
      </w:r>
      <w:r>
        <w:rPr/>
        <w:t>es</w:t>
      </w:r>
      <w:r>
        <w:rPr>
          <w:spacing w:val="-6"/>
        </w:rPr>
        <w:t> </w:t>
      </w:r>
      <w:r>
        <w:rPr/>
        <w:t>el</w:t>
      </w:r>
      <w:r>
        <w:rPr>
          <w:spacing w:val="-9"/>
        </w:rPr>
        <w:t> </w:t>
      </w:r>
      <w:r>
        <w:rPr/>
        <w:t>caso</w:t>
      </w:r>
      <w:r>
        <w:rPr>
          <w:spacing w:val="-8"/>
        </w:rPr>
        <w:t> </w:t>
      </w:r>
      <w:r>
        <w:rPr/>
        <w:t>reciente</w:t>
      </w:r>
      <w:r>
        <w:rPr>
          <w:spacing w:val="-6"/>
        </w:rPr>
        <w:t> </w:t>
      </w:r>
      <w:r>
        <w:rPr/>
        <w:t>del</w:t>
      </w:r>
      <w:r>
        <w:rPr>
          <w:spacing w:val="-8"/>
        </w:rPr>
        <w:t> </w:t>
      </w:r>
      <w:r>
        <w:rPr/>
        <w:t>ejercicio</w:t>
      </w:r>
      <w:r>
        <w:rPr>
          <w:spacing w:val="-9"/>
        </w:rPr>
        <w:t> </w:t>
      </w:r>
      <w:r>
        <w:rPr/>
        <w:t>fiscal</w:t>
      </w:r>
      <w:r>
        <w:rPr>
          <w:spacing w:val="-7"/>
        </w:rPr>
        <w:t> </w:t>
      </w:r>
      <w:r>
        <w:rPr/>
        <w:t>2020</w:t>
      </w:r>
      <w:r>
        <w:rPr>
          <w:spacing w:val="-9"/>
        </w:rPr>
        <w:t> </w:t>
      </w:r>
      <w:r>
        <w:rPr/>
        <w:t>y</w:t>
      </w:r>
      <w:r>
        <w:rPr>
          <w:spacing w:val="-10"/>
        </w:rPr>
        <w:t> </w:t>
      </w:r>
      <w:r>
        <w:rPr/>
        <w:t>2022,</w:t>
      </w:r>
      <w:r>
        <w:rPr>
          <w:spacing w:val="-9"/>
        </w:rPr>
        <w:t> </w:t>
      </w:r>
      <w:r>
        <w:rPr/>
        <w:t>impulso</w:t>
      </w:r>
      <w:r>
        <w:rPr>
          <w:spacing w:val="-6"/>
        </w:rPr>
        <w:t> </w:t>
      </w:r>
      <w:r>
        <w:rPr/>
        <w:t>que</w:t>
      </w:r>
      <w:r>
        <w:rPr>
          <w:spacing w:val="-9"/>
        </w:rPr>
        <w:t> </w:t>
      </w:r>
      <w:r>
        <w:rPr/>
        <w:t>fue</w:t>
      </w:r>
      <w:r>
        <w:rPr>
          <w:spacing w:val="-8"/>
        </w:rPr>
        <w:t> </w:t>
      </w:r>
      <w:r>
        <w:rPr/>
        <w:t>necesario</w:t>
      </w:r>
      <w:r>
        <w:rPr>
          <w:spacing w:val="-6"/>
        </w:rPr>
        <w:t> </w:t>
      </w:r>
      <w:r>
        <w:rPr/>
        <w:t>por</w:t>
      </w:r>
      <w:r>
        <w:rPr>
          <w:spacing w:val="-9"/>
        </w:rPr>
        <w:t> </w:t>
      </w:r>
      <w:r>
        <w:rPr/>
        <w:t>la</w:t>
      </w:r>
      <w:r>
        <w:rPr>
          <w:spacing w:val="-8"/>
        </w:rPr>
        <w:t> </w:t>
      </w:r>
      <w:r>
        <w:rPr/>
        <w:t>crisis</w:t>
      </w:r>
      <w:r>
        <w:rPr>
          <w:spacing w:val="-6"/>
        </w:rPr>
        <w:t> </w:t>
      </w:r>
      <w:r>
        <w:rPr/>
        <w:t>sanitaria y económica del COVID-19, así como por el aumento de precios. Esto ha propiciado que la deuda pública del país sea baja y estable y sea sostenible. Además, el manejo adecuado del endeudamiento ha permitido extender los plazos de colocación de deuda en el mercado interno y en años recientes también en el mercado externo, ya que se han hecho colocaciones con plazo de 30 años, reduciendo significativamente el costo financiero de la deuda (tasa de</w:t>
      </w:r>
      <w:r>
        <w:rPr>
          <w:spacing w:val="-13"/>
        </w:rPr>
        <w:t> </w:t>
      </w:r>
      <w:r>
        <w:rPr/>
        <w:t>interés).</w:t>
      </w:r>
    </w:p>
    <w:p>
      <w:pPr>
        <w:pStyle w:val="BodyText"/>
        <w:spacing w:before="4"/>
        <w:rPr>
          <w:sz w:val="25"/>
        </w:rPr>
      </w:pPr>
    </w:p>
    <w:p>
      <w:pPr>
        <w:pStyle w:val="BodyText"/>
        <w:spacing w:line="276" w:lineRule="auto"/>
        <w:ind w:left="562" w:right="1699"/>
        <w:jc w:val="both"/>
      </w:pPr>
      <w:r>
        <w:rPr/>
        <w:t>Además del manejo fiscal prudente, la política macroeconómica ha sido adecuada y ha permitido también un tipo de cambio bastante estable, con leves periodos de variaciones bruscas que inmediatamente</w:t>
      </w:r>
      <w:r>
        <w:rPr>
          <w:spacing w:val="-14"/>
        </w:rPr>
        <w:t> </w:t>
      </w:r>
      <w:r>
        <w:rPr/>
        <w:t>recuperan</w:t>
      </w:r>
      <w:r>
        <w:rPr>
          <w:spacing w:val="-14"/>
        </w:rPr>
        <w:t> </w:t>
      </w:r>
      <w:r>
        <w:rPr/>
        <w:t>su</w:t>
      </w:r>
      <w:r>
        <w:rPr>
          <w:spacing w:val="-14"/>
        </w:rPr>
        <w:t> </w:t>
      </w:r>
      <w:r>
        <w:rPr/>
        <w:t>nivel</w:t>
      </w:r>
      <w:r>
        <w:rPr>
          <w:spacing w:val="-12"/>
        </w:rPr>
        <w:t> </w:t>
      </w:r>
      <w:r>
        <w:rPr/>
        <w:t>promedio</w:t>
      </w:r>
      <w:r>
        <w:rPr>
          <w:spacing w:val="-14"/>
        </w:rPr>
        <w:t> </w:t>
      </w:r>
      <w:r>
        <w:rPr/>
        <w:t>histórico.</w:t>
      </w:r>
      <w:r>
        <w:rPr>
          <w:spacing w:val="-14"/>
        </w:rPr>
        <w:t> </w:t>
      </w:r>
      <w:r>
        <w:rPr/>
        <w:t>Es</w:t>
      </w:r>
      <w:r>
        <w:rPr>
          <w:spacing w:val="-13"/>
        </w:rPr>
        <w:t> </w:t>
      </w:r>
      <w:r>
        <w:rPr/>
        <w:t>por</w:t>
      </w:r>
      <w:r>
        <w:rPr>
          <w:spacing w:val="-14"/>
        </w:rPr>
        <w:t> </w:t>
      </w:r>
      <w:r>
        <w:rPr/>
        <w:t>ello</w:t>
      </w:r>
      <w:r>
        <w:rPr>
          <w:spacing w:val="-14"/>
        </w:rPr>
        <w:t> </w:t>
      </w:r>
      <w:r>
        <w:rPr/>
        <w:t>que,</w:t>
      </w:r>
      <w:r>
        <w:rPr>
          <w:spacing w:val="-13"/>
        </w:rPr>
        <w:t> </w:t>
      </w:r>
      <w:r>
        <w:rPr/>
        <w:t>las</w:t>
      </w:r>
      <w:r>
        <w:rPr>
          <w:spacing w:val="-14"/>
        </w:rPr>
        <w:t> </w:t>
      </w:r>
      <w:r>
        <w:rPr/>
        <w:t>perturbaciones</w:t>
      </w:r>
      <w:r>
        <w:rPr>
          <w:spacing w:val="-14"/>
        </w:rPr>
        <w:t> </w:t>
      </w:r>
      <w:r>
        <w:rPr/>
        <w:t>transitorias en la parte fiscal y las que se dan en otros sectores de la economía no han incidido negativamente en el nivel de la deuda pública ni en su trayectoria de corto, mediano y largo</w:t>
      </w:r>
      <w:r>
        <w:rPr>
          <w:spacing w:val="-12"/>
        </w:rPr>
        <w:t> </w:t>
      </w:r>
      <w:r>
        <w:rPr/>
        <w:t>plazos.</w:t>
      </w:r>
    </w:p>
    <w:p>
      <w:pPr>
        <w:pStyle w:val="BodyText"/>
        <w:spacing w:before="10"/>
        <w:rPr>
          <w:sz w:val="25"/>
        </w:rPr>
      </w:pPr>
    </w:p>
    <w:p>
      <w:pPr>
        <w:spacing w:before="0"/>
        <w:ind w:left="2479" w:right="0" w:firstLine="0"/>
        <w:jc w:val="left"/>
        <w:rPr>
          <w:b/>
          <w:sz w:val="20"/>
        </w:rPr>
      </w:pPr>
      <w:bookmarkStart w:name="_bookmark180" w:id="230"/>
      <w:bookmarkEnd w:id="230"/>
      <w:r>
        <w:rPr/>
      </w:r>
      <w:r>
        <w:rPr>
          <w:b/>
          <w:i/>
          <w:sz w:val="20"/>
        </w:rPr>
        <w:t>Gráfico 93. </w:t>
      </w:r>
      <w:r>
        <w:rPr>
          <w:b/>
          <w:sz w:val="20"/>
        </w:rPr>
        <w:t>Indicadores de la deuda pública de Guatemala</w:t>
      </w:r>
    </w:p>
    <w:p>
      <w:pPr>
        <w:pStyle w:val="Heading3"/>
        <w:tabs>
          <w:tab w:pos="6037" w:val="left" w:leader="none"/>
        </w:tabs>
        <w:spacing w:before="193"/>
        <w:ind w:left="1790"/>
      </w:pPr>
      <w:r>
        <w:rPr/>
        <w:t>Relación</w:t>
      </w:r>
      <w:r>
        <w:rPr>
          <w:spacing w:val="-1"/>
        </w:rPr>
        <w:t> </w:t>
      </w:r>
      <w:r>
        <w:rPr/>
        <w:t>deuda/</w:t>
      </w:r>
      <w:r>
        <w:rPr>
          <w:spacing w:val="-3"/>
        </w:rPr>
        <w:t> </w:t>
      </w:r>
      <w:r>
        <w:rPr/>
        <w:t>PIB</w:t>
        <w:tab/>
        <w:t>Relación deuda/ingresos</w:t>
      </w:r>
    </w:p>
    <w:p>
      <w:pPr>
        <w:pStyle w:val="BodyText"/>
        <w:spacing w:before="7"/>
        <w:rPr>
          <w:b/>
          <w:sz w:val="16"/>
        </w:rPr>
      </w:pPr>
    </w:p>
    <w:p>
      <w:pPr>
        <w:spacing w:after="0"/>
        <w:rPr>
          <w:sz w:val="16"/>
        </w:rPr>
        <w:sectPr>
          <w:pgSz w:w="12240" w:h="15840"/>
          <w:pgMar w:header="715" w:footer="957" w:top="1240" w:bottom="1140" w:left="1140" w:right="0"/>
        </w:sectPr>
      </w:pPr>
    </w:p>
    <w:p>
      <w:pPr>
        <w:pStyle w:val="BodyText"/>
        <w:spacing w:before="5"/>
        <w:rPr>
          <w:b/>
          <w:sz w:val="14"/>
        </w:rPr>
      </w:pPr>
    </w:p>
    <w:p>
      <w:pPr>
        <w:spacing w:before="0"/>
        <w:ind w:left="0" w:right="38" w:firstLine="0"/>
        <w:jc w:val="right"/>
        <w:rPr>
          <w:b/>
          <w:sz w:val="14"/>
        </w:rPr>
      </w:pPr>
      <w:r>
        <w:rPr>
          <w:b/>
          <w:color w:val="1F4E79"/>
          <w:w w:val="95"/>
          <w:sz w:val="14"/>
        </w:rPr>
        <w:t>31.6</w:t>
      </w:r>
    </w:p>
    <w:p>
      <w:pPr>
        <w:spacing w:before="94"/>
        <w:ind w:left="4037" w:right="0" w:firstLine="0"/>
        <w:jc w:val="left"/>
        <w:rPr>
          <w:b/>
          <w:sz w:val="16"/>
        </w:rPr>
      </w:pPr>
      <w:r>
        <w:rPr/>
        <w:br w:type="column"/>
      </w:r>
      <w:r>
        <w:rPr>
          <w:b/>
          <w:color w:val="385622"/>
          <w:sz w:val="16"/>
        </w:rPr>
        <w:t>295.3%</w:t>
      </w:r>
    </w:p>
    <w:p>
      <w:pPr>
        <w:spacing w:after="0"/>
        <w:jc w:val="left"/>
        <w:rPr>
          <w:sz w:val="16"/>
        </w:rPr>
        <w:sectPr>
          <w:type w:val="continuous"/>
          <w:pgSz w:w="12240" w:h="15840"/>
          <w:pgMar w:top="1500" w:bottom="280" w:left="1140" w:right="0"/>
          <w:cols w:num="2" w:equalWidth="0">
            <w:col w:w="4323" w:space="102"/>
            <w:col w:w="6675"/>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8"/>
        </w:rPr>
      </w:pPr>
    </w:p>
    <w:p>
      <w:pPr>
        <w:spacing w:after="0"/>
        <w:rPr>
          <w:sz w:val="18"/>
        </w:rPr>
        <w:sectPr>
          <w:type w:val="continuous"/>
          <w:pgSz w:w="12240" w:h="15840"/>
          <w:pgMar w:top="1500" w:bottom="280" w:left="1140" w:right="0"/>
        </w:sectPr>
      </w:pPr>
    </w:p>
    <w:p>
      <w:pPr>
        <w:pStyle w:val="BodyText"/>
        <w:rPr>
          <w:b/>
          <w:sz w:val="18"/>
        </w:rPr>
      </w:pPr>
    </w:p>
    <w:p>
      <w:pPr>
        <w:pStyle w:val="BodyText"/>
        <w:rPr>
          <w:b/>
          <w:sz w:val="18"/>
        </w:rPr>
      </w:pPr>
    </w:p>
    <w:p>
      <w:pPr>
        <w:pStyle w:val="BodyText"/>
        <w:spacing w:before="9"/>
        <w:rPr>
          <w:b/>
          <w:sz w:val="19"/>
        </w:rPr>
      </w:pPr>
    </w:p>
    <w:p>
      <w:pPr>
        <w:spacing w:before="0"/>
        <w:ind w:left="0" w:right="0" w:firstLine="0"/>
        <w:jc w:val="right"/>
        <w:rPr>
          <w:b/>
          <w:sz w:val="16"/>
        </w:rPr>
      </w:pPr>
      <w:r>
        <w:rPr/>
        <w:pict>
          <v:group style="position:absolute;margin-left:98.760002pt;margin-top:-85.62812pt;width:192.4pt;height:100.65pt;mso-position-horizontal-relative:page;mso-position-vertical-relative:paragraph;z-index:252983296" coordorigin="1975,-1713" coordsize="3848,2013">
            <v:shape style="position:absolute;left:2098;top:-1690;width:3603;height:1936" coordorigin="2099,-1690" coordsize="3603,1936" path="m2099,242l2179,217,2259,187,2339,160,2419,139,2499,131,2579,142,2659,166,2739,197,2819,225,2899,242,2979,246,3059,241,3140,232,3220,222,3300,215,3380,209,3460,205,3540,200,3620,194,3700,187,3780,182,3860,181,3940,177,4020,162,4100,131,4157,93,4215,40,4272,-21,4329,-84,4386,-144,4443,-194,4500,-229,4542,-235,4591,-223,4645,-202,4701,-179,4757,-162,4859,-178,4901,-226,4943,-322,4964,-386,4985,-458,5006,-537,5027,-621,5048,-710,5069,-802,5090,-896,5111,-990,5132,-1083,5153,-1174,5175,-1261,5196,-1343,5217,-1419,5238,-1487,5259,-1546,5301,-1633,5344,-1678,5388,-1690,5433,-1676,5478,-1643,5524,-1597,5569,-1544,5614,-1492,5658,-1447,5701,-1415e" filled="false" stroked="true" strokeweight="2.280pt" strokecolor="#5b9bd4">
              <v:path arrowok="t"/>
              <v:stroke dashstyle="solid"/>
            </v:shape>
            <v:shape style="position:absolute;left:2039;top:184;width:116;height:116" type="#_x0000_t75" stroked="false">
              <v:imagedata r:id="rId257" o:title=""/>
            </v:shape>
            <v:shape style="position:absolute;left:2440;top:74;width:116;height:116" type="#_x0000_t75" stroked="false">
              <v:imagedata r:id="rId258" o:title=""/>
            </v:shape>
            <v:shape style="position:absolute;left:2841;top:184;width:116;height:116" type="#_x0000_t75" stroked="false">
              <v:imagedata r:id="rId257" o:title=""/>
            </v:shape>
            <v:shape style="position:absolute;left:3242;top:158;width:116;height:116" type="#_x0000_t75" stroked="false">
              <v:imagedata r:id="rId259" o:title=""/>
            </v:shape>
            <v:shape style="position:absolute;left:3643;top:129;width:116;height:116" type="#_x0000_t75" stroked="false">
              <v:imagedata r:id="rId260" o:title=""/>
            </v:shape>
            <v:shape style="position:absolute;left:4041;top:74;width:116;height:116" type="#_x0000_t75" stroked="false">
              <v:imagedata r:id="rId257" o:title=""/>
            </v:shape>
            <v:shape style="position:absolute;left:4442;top:-286;width:116;height:116" type="#_x0000_t75" stroked="false">
              <v:imagedata r:id="rId258" o:title=""/>
            </v:shape>
            <v:shape style="position:absolute;left:4850;top:-277;width:101;height:101" coordorigin="4850,-276" coordsize="101,101" path="m4901,-276l4850,-226,4901,-175,4951,-226,4901,-276xe" filled="true" fillcolor="#5b9bd4" stroked="false">
              <v:path arrowok="t"/>
              <v:fill type="solid"/>
            </v:shape>
            <v:shape style="position:absolute;left:4850;top:-277;width:101;height:101" coordorigin="4850,-276" coordsize="101,101" path="m4901,-276l4951,-226,4901,-175,4850,-226,4901,-276xe" filled="false" stroked="true" strokeweight=".72pt" strokecolor="#5b9bd4">
              <v:path arrowok="t"/>
              <v:stroke dashstyle="solid"/>
            </v:shape>
            <v:shape style="position:absolute;left:5243;top:-1693;width:116;height:116" type="#_x0000_t75" stroked="false">
              <v:imagedata r:id="rId258" o:title=""/>
            </v:shape>
            <v:shape style="position:absolute;left:5642;top:-1472;width:116;height:116" type="#_x0000_t75" stroked="false">
              <v:imagedata r:id="rId258" o:title=""/>
            </v:shape>
            <v:line style="position:absolute" from="4901,-225" to="4901,-76" stroked="true" strokeweight=".72pt" strokecolor="#a6a6a6">
              <v:stroke dashstyle="solid"/>
            </v:line>
            <v:shape style="position:absolute;left:5558;top:-1348;width:265;height:155" type="#_x0000_t202" filled="false" stroked="false">
              <v:textbox inset="0,0,0,0">
                <w:txbxContent>
                  <w:p>
                    <w:pPr>
                      <w:spacing w:line="154" w:lineRule="exact" w:before="0"/>
                      <w:ind w:left="0" w:right="0" w:firstLine="0"/>
                      <w:jc w:val="left"/>
                      <w:rPr>
                        <w:b/>
                        <w:sz w:val="14"/>
                      </w:rPr>
                    </w:pPr>
                    <w:r>
                      <w:rPr>
                        <w:b/>
                        <w:color w:val="1F4E79"/>
                        <w:sz w:val="14"/>
                      </w:rPr>
                      <w:t>30.8</w:t>
                    </w:r>
                  </w:p>
                </w:txbxContent>
              </v:textbox>
              <w10:wrap type="none"/>
            </v:shape>
            <v:shape style="position:absolute;left:4396;top:-442;width:265;height:155" type="#_x0000_t202" filled="false" stroked="false">
              <v:textbox inset="0,0,0,0">
                <w:txbxContent>
                  <w:p>
                    <w:pPr>
                      <w:spacing w:line="154" w:lineRule="exact" w:before="0"/>
                      <w:ind w:left="0" w:right="0" w:firstLine="0"/>
                      <w:jc w:val="left"/>
                      <w:rPr>
                        <w:b/>
                        <w:sz w:val="14"/>
                      </w:rPr>
                    </w:pPr>
                    <w:r>
                      <w:rPr>
                        <w:b/>
                        <w:color w:val="1F4E79"/>
                        <w:sz w:val="14"/>
                      </w:rPr>
                      <w:t>26.5</w:t>
                    </w:r>
                  </w:p>
                </w:txbxContent>
              </v:textbox>
              <w10:wrap type="none"/>
            </v:shape>
            <v:shape style="position:absolute;left:1975;top:-51;width:265;height:155" type="#_x0000_t202" filled="false" stroked="false">
              <v:textbox inset="0,0,0,0">
                <w:txbxContent>
                  <w:p>
                    <w:pPr>
                      <w:spacing w:line="154" w:lineRule="exact" w:before="0"/>
                      <w:ind w:left="0" w:right="0" w:firstLine="0"/>
                      <w:jc w:val="left"/>
                      <w:rPr>
                        <w:b/>
                        <w:sz w:val="14"/>
                      </w:rPr>
                    </w:pPr>
                    <w:r>
                      <w:rPr>
                        <w:b/>
                        <w:color w:val="1F4E79"/>
                        <w:sz w:val="14"/>
                      </w:rPr>
                      <w:t>24.8</w:t>
                    </w:r>
                  </w:p>
                </w:txbxContent>
              </v:textbox>
              <w10:wrap type="none"/>
            </v:shape>
            <v:shape style="position:absolute;left:2375;top:-161;width:265;height:155" type="#_x0000_t202" filled="false" stroked="false">
              <v:textbox inset="0,0,0,0">
                <w:txbxContent>
                  <w:p>
                    <w:pPr>
                      <w:spacing w:line="154" w:lineRule="exact" w:before="0"/>
                      <w:ind w:left="0" w:right="0" w:firstLine="0"/>
                      <w:jc w:val="left"/>
                      <w:rPr>
                        <w:b/>
                        <w:sz w:val="14"/>
                      </w:rPr>
                    </w:pPr>
                    <w:r>
                      <w:rPr>
                        <w:b/>
                        <w:color w:val="1F4E79"/>
                        <w:sz w:val="14"/>
                      </w:rPr>
                      <w:t>25.2</w:t>
                    </w:r>
                  </w:p>
                </w:txbxContent>
              </v:textbox>
              <w10:wrap type="none"/>
            </v:shape>
            <v:shape style="position:absolute;left:2775;top:-51;width:265;height:155" type="#_x0000_t202" filled="false" stroked="false">
              <v:textbox inset="0,0,0,0">
                <w:txbxContent>
                  <w:p>
                    <w:pPr>
                      <w:spacing w:line="154" w:lineRule="exact" w:before="0"/>
                      <w:ind w:left="0" w:right="0" w:firstLine="0"/>
                      <w:jc w:val="left"/>
                      <w:rPr>
                        <w:b/>
                        <w:sz w:val="14"/>
                      </w:rPr>
                    </w:pPr>
                    <w:r>
                      <w:rPr>
                        <w:b/>
                        <w:color w:val="1F4E79"/>
                        <w:sz w:val="14"/>
                      </w:rPr>
                      <w:t>24.8</w:t>
                    </w:r>
                  </w:p>
                </w:txbxContent>
              </v:textbox>
              <w10:wrap type="none"/>
            </v:shape>
            <v:shape style="position:absolute;left:3176;top:-78;width:265;height:155" type="#_x0000_t202" filled="false" stroked="false">
              <v:textbox inset="0,0,0,0">
                <w:txbxContent>
                  <w:p>
                    <w:pPr>
                      <w:spacing w:line="154" w:lineRule="exact" w:before="0"/>
                      <w:ind w:left="0" w:right="0" w:firstLine="0"/>
                      <w:jc w:val="left"/>
                      <w:rPr>
                        <w:b/>
                        <w:sz w:val="14"/>
                      </w:rPr>
                    </w:pPr>
                    <w:r>
                      <w:rPr>
                        <w:b/>
                        <w:color w:val="1F4E79"/>
                        <w:sz w:val="14"/>
                      </w:rPr>
                      <w:t>24.9</w:t>
                    </w:r>
                  </w:p>
                </w:txbxContent>
              </v:textbox>
              <w10:wrap type="none"/>
            </v:shape>
            <v:shape style="position:absolute;left:3576;top:-106;width:265;height:155" type="#_x0000_t202" filled="false" stroked="false">
              <v:textbox inset="0,0,0,0">
                <w:txbxContent>
                  <w:p>
                    <w:pPr>
                      <w:spacing w:line="154" w:lineRule="exact" w:before="0"/>
                      <w:ind w:left="0" w:right="0" w:firstLine="0"/>
                      <w:jc w:val="left"/>
                      <w:rPr>
                        <w:b/>
                        <w:sz w:val="14"/>
                      </w:rPr>
                    </w:pPr>
                    <w:r>
                      <w:rPr>
                        <w:b/>
                        <w:color w:val="1F4E79"/>
                        <w:sz w:val="14"/>
                      </w:rPr>
                      <w:t>25.0</w:t>
                    </w:r>
                  </w:p>
                </w:txbxContent>
              </v:textbox>
              <w10:wrap type="none"/>
            </v:shape>
            <v:shape style="position:absolute;left:3976;top:-161;width:265;height:155" type="#_x0000_t202" filled="false" stroked="false">
              <v:textbox inset="0,0,0,0">
                <w:txbxContent>
                  <w:p>
                    <w:pPr>
                      <w:spacing w:line="154" w:lineRule="exact" w:before="0"/>
                      <w:ind w:left="0" w:right="0" w:firstLine="0"/>
                      <w:jc w:val="left"/>
                      <w:rPr>
                        <w:b/>
                        <w:sz w:val="14"/>
                      </w:rPr>
                    </w:pPr>
                    <w:r>
                      <w:rPr>
                        <w:b/>
                        <w:color w:val="1F4E79"/>
                        <w:sz w:val="14"/>
                      </w:rPr>
                      <w:t>25.2</w:t>
                    </w:r>
                  </w:p>
                </w:txbxContent>
              </v:textbox>
              <w10:wrap type="none"/>
            </v:shape>
            <v:shape style="position:absolute;left:4777;top:-39;width:265;height:155" type="#_x0000_t202" filled="false" stroked="false">
              <v:textbox inset="0,0,0,0">
                <w:txbxContent>
                  <w:p>
                    <w:pPr>
                      <w:spacing w:line="154" w:lineRule="exact" w:before="0"/>
                      <w:ind w:left="0" w:right="0" w:firstLine="0"/>
                      <w:jc w:val="left"/>
                      <w:rPr>
                        <w:b/>
                        <w:sz w:val="14"/>
                      </w:rPr>
                    </w:pPr>
                    <w:r>
                      <w:rPr>
                        <w:b/>
                        <w:color w:val="1F4E79"/>
                        <w:sz w:val="14"/>
                      </w:rPr>
                      <w:t>26.5</w:t>
                    </w:r>
                  </w:p>
                </w:txbxContent>
              </v:textbox>
              <w10:wrap type="none"/>
            </v:shape>
            <w10:wrap type="none"/>
          </v:group>
        </w:pict>
      </w:r>
      <w:r>
        <w:rPr>
          <w:b/>
          <w:color w:val="385622"/>
          <w:sz w:val="16"/>
        </w:rPr>
        <w:t>211.4%</w:t>
      </w:r>
    </w:p>
    <w:p>
      <w:pPr>
        <w:pStyle w:val="BodyText"/>
        <w:rPr>
          <w:b/>
          <w:sz w:val="18"/>
        </w:rPr>
      </w:pPr>
      <w:r>
        <w:rPr/>
        <w:br w:type="column"/>
      </w:r>
      <w:r>
        <w:rPr>
          <w:b/>
          <w:sz w:val="18"/>
        </w:rPr>
      </w:r>
    </w:p>
    <w:p>
      <w:pPr>
        <w:pStyle w:val="BodyText"/>
        <w:rPr>
          <w:b/>
          <w:sz w:val="18"/>
        </w:rPr>
      </w:pPr>
    </w:p>
    <w:p>
      <w:pPr>
        <w:pStyle w:val="BodyText"/>
        <w:spacing w:before="10"/>
        <w:rPr>
          <w:b/>
          <w:sz w:val="19"/>
        </w:rPr>
      </w:pPr>
    </w:p>
    <w:p>
      <w:pPr>
        <w:spacing w:before="0"/>
        <w:ind w:left="140" w:right="0" w:firstLine="0"/>
        <w:jc w:val="left"/>
        <w:rPr>
          <w:b/>
          <w:sz w:val="16"/>
        </w:rPr>
      </w:pPr>
      <w:r>
        <w:rPr>
          <w:b/>
          <w:color w:val="385622"/>
          <w:sz w:val="16"/>
        </w:rPr>
        <w:t>212.6%</w:t>
      </w:r>
    </w:p>
    <w:p>
      <w:pPr>
        <w:pStyle w:val="BodyText"/>
        <w:rPr>
          <w:b/>
          <w:sz w:val="18"/>
        </w:rPr>
      </w:pPr>
      <w:r>
        <w:rPr/>
        <w:br w:type="column"/>
      </w:r>
      <w:r>
        <w:rPr>
          <w:b/>
          <w:sz w:val="18"/>
        </w:rPr>
      </w:r>
    </w:p>
    <w:p>
      <w:pPr>
        <w:pStyle w:val="BodyText"/>
        <w:spacing w:before="9"/>
        <w:rPr>
          <w:b/>
          <w:sz w:val="24"/>
        </w:rPr>
      </w:pPr>
    </w:p>
    <w:p>
      <w:pPr>
        <w:spacing w:before="0"/>
        <w:ind w:left="444" w:right="0" w:firstLine="0"/>
        <w:jc w:val="left"/>
        <w:rPr>
          <w:b/>
          <w:sz w:val="16"/>
        </w:rPr>
      </w:pPr>
      <w:r>
        <w:rPr>
          <w:b/>
          <w:color w:val="385622"/>
          <w:sz w:val="16"/>
        </w:rPr>
        <w:t>218.5%</w:t>
      </w:r>
    </w:p>
    <w:p>
      <w:pPr>
        <w:spacing w:before="95"/>
        <w:ind w:left="172" w:right="0" w:firstLine="0"/>
        <w:jc w:val="left"/>
        <w:rPr>
          <w:b/>
          <w:sz w:val="16"/>
        </w:rPr>
      </w:pPr>
      <w:r>
        <w:rPr/>
        <w:br w:type="column"/>
      </w:r>
      <w:r>
        <w:rPr>
          <w:b/>
          <w:color w:val="385622"/>
          <w:sz w:val="16"/>
        </w:rPr>
        <w:t>234.3%</w:t>
      </w:r>
    </w:p>
    <w:p>
      <w:pPr>
        <w:pStyle w:val="BodyText"/>
        <w:spacing w:before="11"/>
        <w:rPr>
          <w:b/>
          <w:sz w:val="19"/>
        </w:rPr>
      </w:pPr>
    </w:p>
    <w:p>
      <w:pPr>
        <w:spacing w:before="0"/>
        <w:ind w:left="581" w:right="0" w:firstLine="0"/>
        <w:jc w:val="left"/>
        <w:rPr>
          <w:b/>
          <w:sz w:val="16"/>
        </w:rPr>
      </w:pPr>
      <w:r>
        <w:rPr/>
        <w:pict>
          <v:group style="position:absolute;margin-left:326.920013pt;margin-top:-79.971252pt;width:189.4pt;height:105.25pt;mso-position-horizontal-relative:page;mso-position-vertical-relative:paragraph;z-index:-280335360" coordorigin="6538,-1599" coordsize="3788,2105">
            <v:shape style="position:absolute;left:6589;top:-1549;width:3684;height:2006" coordorigin="6589,-1549" coordsize="3684,2006" path="m6589,456l6671,449,6753,441,6835,434,6917,427,6999,423,7080,426,7162,436,7244,444,7326,444,7408,428,7466,399,7525,356,7583,306,7642,254,7700,206,7759,169,7817,148,7885,149,7954,171,8022,204,8090,240,8158,270,8227,287,8308,292,8390,291,8472,281,8554,261,8636,229,8694,195,8753,149,8811,96,8870,41,8928,-11,8987,-57,9045,-91,9094,-99,9153,-89,9217,-73,9283,-60,9347,-60,9405,-84,9455,-141,9498,-245,9519,-314,9541,-392,9562,-479,9584,-571,9605,-668,9627,-767,9648,-868,9670,-967,9692,-1064,9713,-1157,9735,-1244,9756,-1324,9778,-1394,9799,-1453,9842,-1532,9888,-1549,9912,-1533,9960,-1460,10008,-1342,10032,-1270,10057,-1191,10081,-1107,10105,-1019,10129,-930,10153,-840,10177,-750,10201,-664,10225,-581,10249,-505,10273,-435e" filled="false" stroked="true" strokeweight="2.280pt" strokecolor="#385622">
              <v:path arrowok="t"/>
              <v:stroke dashstyle="solid"/>
            </v:shape>
            <v:shape style="position:absolute;left:6538;top:404;width:101;height:101" type="#_x0000_t75" stroked="false">
              <v:imagedata r:id="rId261" o:title=""/>
            </v:shape>
            <v:shape style="position:absolute;left:6948;top:370;width:101;height:101" type="#_x0000_t75" stroked="false">
              <v:imagedata r:id="rId262" o:title=""/>
            </v:shape>
            <v:shape style="position:absolute;left:7359;top:375;width:101;height:101" type="#_x0000_t75" stroked="false">
              <v:imagedata r:id="rId263" o:title=""/>
            </v:shape>
            <v:shape style="position:absolute;left:7767;top:97;width:101;height:101" coordorigin="7767,97" coordsize="101,101" path="m7818,97l7798,101,7782,112,7771,128,7767,148,7771,167,7782,183,7798,194,7818,198,7837,194,7853,183,7864,167,7868,148,7864,128,7853,112,7837,101,7818,97xe" filled="true" fillcolor="#385622" stroked="false">
              <v:path arrowok="t"/>
              <v:fill type="solid"/>
            </v:shape>
            <v:shape style="position:absolute;left:8177;top:236;width:101;height:101" type="#_x0000_t75" stroked="false">
              <v:imagedata r:id="rId263" o:title=""/>
            </v:shape>
            <v:shape style="position:absolute;left:8585;top:178;width:101;height:101" type="#_x0000_t75" stroked="false">
              <v:imagedata r:id="rId261" o:title=""/>
            </v:shape>
            <v:shape style="position:absolute;left:8996;top:-143;width:101;height:101" type="#_x0000_t75" stroked="false">
              <v:imagedata r:id="rId264" o:title=""/>
            </v:shape>
            <v:shape style="position:absolute;left:9406;top:-194;width:101;height:101" type="#_x0000_t75" stroked="false">
              <v:imagedata r:id="rId263" o:title=""/>
            </v:shape>
            <v:shape style="position:absolute;left:9814;top:-1600;width:101;height:101" type="#_x0000_t75" stroked="false">
              <v:imagedata r:id="rId261" o:title=""/>
            </v:shape>
            <v:shape style="position:absolute;left:10224;top:-486;width:101;height:101" type="#_x0000_t75" stroked="false">
              <v:imagedata r:id="rId263" o:title=""/>
            </v:shape>
            <v:line style="position:absolute" from="7817,148" to="7846,292" stroked="true" strokeweight=".72pt" strokecolor="#a6a6a6">
              <v:stroke dashstyle="solid"/>
            </v:line>
            <w10:wrap type="none"/>
          </v:group>
        </w:pict>
      </w:r>
      <w:r>
        <w:rPr>
          <w:b/>
          <w:color w:val="385622"/>
          <w:sz w:val="16"/>
        </w:rPr>
        <w:t>236.4%</w:t>
      </w:r>
    </w:p>
    <w:p>
      <w:pPr>
        <w:pStyle w:val="BodyText"/>
        <w:spacing w:before="6"/>
        <w:rPr>
          <w:b/>
          <w:sz w:val="16"/>
        </w:rPr>
      </w:pPr>
      <w:r>
        <w:rPr/>
        <w:br w:type="column"/>
      </w:r>
      <w:r>
        <w:rPr>
          <w:b/>
          <w:sz w:val="16"/>
        </w:rPr>
      </w:r>
    </w:p>
    <w:p>
      <w:pPr>
        <w:spacing w:before="0"/>
        <w:ind w:left="232" w:right="0" w:firstLine="0"/>
        <w:jc w:val="left"/>
        <w:rPr>
          <w:b/>
          <w:sz w:val="16"/>
        </w:rPr>
      </w:pPr>
      <w:r>
        <w:rPr>
          <w:b/>
          <w:color w:val="385622"/>
          <w:sz w:val="16"/>
        </w:rPr>
        <w:t>248.7%</w:t>
      </w:r>
    </w:p>
    <w:p>
      <w:pPr>
        <w:spacing w:after="0"/>
        <w:jc w:val="left"/>
        <w:rPr>
          <w:sz w:val="16"/>
        </w:rPr>
        <w:sectPr>
          <w:type w:val="continuous"/>
          <w:pgSz w:w="12240" w:h="15840"/>
          <w:pgMar w:top="1500" w:bottom="280" w:left="1140" w:right="0"/>
          <w:cols w:num="5" w:equalWidth="0">
            <w:col w:w="5713" w:space="40"/>
            <w:col w:w="667" w:space="39"/>
            <w:col w:w="972" w:space="40"/>
            <w:col w:w="1109" w:space="40"/>
            <w:col w:w="2480"/>
          </w:cols>
        </w:sectPr>
      </w:pPr>
    </w:p>
    <w:p>
      <w:pPr>
        <w:pStyle w:val="BodyText"/>
        <w:spacing w:before="4"/>
        <w:rPr>
          <w:b/>
          <w:sz w:val="21"/>
        </w:rPr>
      </w:pPr>
    </w:p>
    <w:p>
      <w:pPr>
        <w:spacing w:before="0"/>
        <w:ind w:left="0" w:right="0" w:firstLine="0"/>
        <w:jc w:val="right"/>
        <w:rPr>
          <w:b/>
          <w:sz w:val="16"/>
        </w:rPr>
      </w:pPr>
      <w:r>
        <w:rPr>
          <w:b/>
          <w:color w:val="385622"/>
          <w:sz w:val="16"/>
        </w:rPr>
        <w:t>212.8%</w:t>
      </w:r>
    </w:p>
    <w:p>
      <w:pPr>
        <w:spacing w:before="7"/>
        <w:ind w:left="280" w:right="0" w:firstLine="0"/>
        <w:jc w:val="left"/>
        <w:rPr>
          <w:b/>
          <w:sz w:val="16"/>
        </w:rPr>
      </w:pPr>
      <w:r>
        <w:rPr/>
        <w:br w:type="column"/>
      </w:r>
      <w:r>
        <w:rPr>
          <w:b/>
          <w:color w:val="385622"/>
          <w:sz w:val="16"/>
        </w:rPr>
        <w:t>224.3%</w:t>
      </w:r>
    </w:p>
    <w:p>
      <w:pPr>
        <w:spacing w:before="53"/>
        <w:ind w:left="224" w:right="0" w:firstLine="0"/>
        <w:jc w:val="left"/>
        <w:rPr>
          <w:b/>
          <w:sz w:val="16"/>
        </w:rPr>
      </w:pPr>
      <w:r>
        <w:rPr/>
        <w:br w:type="column"/>
      </w:r>
      <w:r>
        <w:rPr>
          <w:b/>
          <w:color w:val="385622"/>
          <w:sz w:val="16"/>
        </w:rPr>
        <w:t>220.9%</w:t>
      </w:r>
    </w:p>
    <w:p>
      <w:pPr>
        <w:spacing w:after="0"/>
        <w:jc w:val="left"/>
        <w:rPr>
          <w:sz w:val="16"/>
        </w:rPr>
        <w:sectPr>
          <w:type w:val="continuous"/>
          <w:pgSz w:w="12240" w:h="15840"/>
          <w:pgMar w:top="1500" w:bottom="280" w:left="1140" w:right="0"/>
          <w:cols w:num="3" w:equalWidth="0">
            <w:col w:w="6123" w:space="40"/>
            <w:col w:w="808" w:space="39"/>
            <w:col w:w="4090"/>
          </w:cols>
        </w:sectPr>
      </w:pPr>
    </w:p>
    <w:p>
      <w:pPr>
        <w:pStyle w:val="BodyText"/>
        <w:spacing w:before="5"/>
        <w:rPr>
          <w:b/>
          <w:sz w:val="10"/>
        </w:rPr>
      </w:pPr>
    </w:p>
    <w:p>
      <w:pPr>
        <w:pStyle w:val="BodyText"/>
        <w:spacing w:line="20" w:lineRule="exact"/>
        <w:ind w:left="750"/>
        <w:rPr>
          <w:sz w:val="2"/>
        </w:rPr>
      </w:pPr>
      <w:r>
        <w:rPr>
          <w:sz w:val="2"/>
        </w:rPr>
        <w:pict>
          <v:group style="width:200.2pt;height:.75pt;mso-position-horizontal-relative:char;mso-position-vertical-relative:line" coordorigin="0,0" coordsize="4004,15">
            <v:line style="position:absolute" from="0,7" to="4003,7" stroked="true" strokeweight=".72pt" strokecolor="#d9d9d9">
              <v:stroke dashstyle="solid"/>
            </v:line>
          </v:group>
        </w:pict>
      </w:r>
      <w:r>
        <w:rPr>
          <w:sz w:val="2"/>
        </w:rPr>
      </w:r>
    </w:p>
    <w:p>
      <w:pPr>
        <w:pStyle w:val="BodyText"/>
        <w:spacing w:before="2"/>
        <w:rPr>
          <w:b/>
          <w:sz w:val="6"/>
        </w:rPr>
      </w:pPr>
    </w:p>
    <w:p>
      <w:pPr>
        <w:pStyle w:val="BodyText"/>
        <w:spacing w:line="20" w:lineRule="exact"/>
        <w:ind w:left="5236"/>
        <w:rPr>
          <w:sz w:val="2"/>
        </w:rPr>
      </w:pPr>
      <w:r>
        <w:rPr>
          <w:sz w:val="2"/>
        </w:rPr>
        <w:pict>
          <v:group style="width:204.75pt;height:.75pt;mso-position-horizontal-relative:char;mso-position-vertical-relative:line" coordorigin="0,0" coordsize="4095,15">
            <v:line style="position:absolute" from="0,7" to="4094,7" stroked="true" strokeweight=".72pt" strokecolor="#d9d9d9">
              <v:stroke dashstyle="solid"/>
            </v:line>
          </v:group>
        </w:pict>
      </w:r>
      <w:r>
        <w:rPr>
          <w:sz w:val="2"/>
        </w:rPr>
      </w:r>
    </w:p>
    <w:p>
      <w:pPr>
        <w:spacing w:after="0" w:line="20" w:lineRule="exact"/>
        <w:rPr>
          <w:sz w:val="2"/>
        </w:rPr>
        <w:sectPr>
          <w:type w:val="continuous"/>
          <w:pgSz w:w="12240" w:h="15840"/>
          <w:pgMar w:top="1500" w:bottom="280" w:left="1140" w:right="0"/>
        </w:sectPr>
      </w:pPr>
    </w:p>
    <w:p>
      <w:pPr>
        <w:spacing w:line="138" w:lineRule="exact" w:before="0"/>
        <w:ind w:left="818" w:right="0" w:firstLine="0"/>
        <w:jc w:val="left"/>
        <w:rPr>
          <w:sz w:val="14"/>
        </w:rPr>
      </w:pPr>
      <w:r>
        <w:rPr>
          <w:color w:val="585858"/>
          <w:sz w:val="14"/>
        </w:rPr>
        <w:t>2012 2013 2014 2015 2016 2017 2018 2019 2020 2021</w:t>
      </w:r>
    </w:p>
    <w:p>
      <w:pPr>
        <w:pStyle w:val="BodyText"/>
        <w:rPr>
          <w:sz w:val="14"/>
        </w:rPr>
      </w:pPr>
    </w:p>
    <w:p>
      <w:pPr>
        <w:pStyle w:val="BodyText"/>
        <w:spacing w:before="3"/>
        <w:rPr>
          <w:sz w:val="11"/>
        </w:rPr>
      </w:pPr>
    </w:p>
    <w:p>
      <w:pPr>
        <w:spacing w:before="0"/>
        <w:ind w:left="670" w:right="0" w:firstLine="0"/>
        <w:jc w:val="left"/>
        <w:rPr>
          <w:sz w:val="16"/>
        </w:rPr>
      </w:pPr>
      <w:r>
        <w:rPr>
          <w:sz w:val="16"/>
        </w:rPr>
        <w:t>Fuente: Dirección de Análisis y Política Fiscal</w:t>
      </w:r>
    </w:p>
    <w:p>
      <w:pPr>
        <w:spacing w:before="78"/>
        <w:ind w:left="547" w:right="0" w:firstLine="0"/>
        <w:jc w:val="left"/>
        <w:rPr>
          <w:sz w:val="16"/>
        </w:rPr>
      </w:pPr>
      <w:r>
        <w:rPr/>
        <w:br w:type="column"/>
      </w:r>
      <w:r>
        <w:rPr>
          <w:color w:val="585858"/>
          <w:sz w:val="16"/>
        </w:rPr>
        <w:t>2012 2013 2014 2015 2016 2017 2018 2019 2020 2021</w:t>
      </w:r>
    </w:p>
    <w:p>
      <w:pPr>
        <w:spacing w:after="0"/>
        <w:jc w:val="left"/>
        <w:rPr>
          <w:sz w:val="16"/>
        </w:rPr>
        <w:sectPr>
          <w:type w:val="continuous"/>
          <w:pgSz w:w="12240" w:h="15840"/>
          <w:pgMar w:top="1500" w:bottom="280" w:left="1140" w:right="0"/>
          <w:cols w:num="2" w:equalWidth="0">
            <w:col w:w="4703" w:space="40"/>
            <w:col w:w="6357"/>
          </w:cols>
        </w:sectPr>
      </w:pPr>
    </w:p>
    <w:p>
      <w:pPr>
        <w:pStyle w:val="BodyText"/>
        <w:spacing w:line="276" w:lineRule="auto" w:before="162"/>
        <w:ind w:left="562" w:right="1695"/>
        <w:jc w:val="both"/>
      </w:pPr>
      <w:r>
        <w:rPr/>
        <w:t>Tomando</w:t>
      </w:r>
      <w:r>
        <w:rPr>
          <w:spacing w:val="-10"/>
        </w:rPr>
        <w:t> </w:t>
      </w:r>
      <w:r>
        <w:rPr/>
        <w:t>en</w:t>
      </w:r>
      <w:r>
        <w:rPr>
          <w:spacing w:val="-10"/>
        </w:rPr>
        <w:t> </w:t>
      </w:r>
      <w:r>
        <w:rPr/>
        <w:t>cuenta</w:t>
      </w:r>
      <w:r>
        <w:rPr>
          <w:spacing w:val="-10"/>
        </w:rPr>
        <w:t> </w:t>
      </w:r>
      <w:r>
        <w:rPr/>
        <w:t>lo</w:t>
      </w:r>
      <w:r>
        <w:rPr>
          <w:spacing w:val="-10"/>
        </w:rPr>
        <w:t> </w:t>
      </w:r>
      <w:r>
        <w:rPr/>
        <w:t>anterior,</w:t>
      </w:r>
      <w:r>
        <w:rPr>
          <w:spacing w:val="-11"/>
        </w:rPr>
        <w:t> </w:t>
      </w:r>
      <w:r>
        <w:rPr/>
        <w:t>y</w:t>
      </w:r>
      <w:r>
        <w:rPr>
          <w:spacing w:val="-13"/>
        </w:rPr>
        <w:t> </w:t>
      </w:r>
      <w:r>
        <w:rPr/>
        <w:t>considerando</w:t>
      </w:r>
      <w:r>
        <w:rPr>
          <w:spacing w:val="-10"/>
        </w:rPr>
        <w:t> </w:t>
      </w:r>
      <w:r>
        <w:rPr/>
        <w:t>para</w:t>
      </w:r>
      <w:r>
        <w:rPr>
          <w:spacing w:val="-10"/>
        </w:rPr>
        <w:t> </w:t>
      </w:r>
      <w:r>
        <w:rPr/>
        <w:t>el</w:t>
      </w:r>
      <w:r>
        <w:rPr>
          <w:spacing w:val="-10"/>
        </w:rPr>
        <w:t> </w:t>
      </w:r>
      <w:r>
        <w:rPr/>
        <w:t>efecto</w:t>
      </w:r>
      <w:r>
        <w:rPr>
          <w:spacing w:val="-10"/>
        </w:rPr>
        <w:t> </w:t>
      </w:r>
      <w:r>
        <w:rPr/>
        <w:t>los</w:t>
      </w:r>
      <w:r>
        <w:rPr>
          <w:spacing w:val="-11"/>
        </w:rPr>
        <w:t> </w:t>
      </w:r>
      <w:r>
        <w:rPr/>
        <w:t>indicadores</w:t>
      </w:r>
      <w:r>
        <w:rPr>
          <w:spacing w:val="-10"/>
        </w:rPr>
        <w:t> </w:t>
      </w:r>
      <w:r>
        <w:rPr/>
        <w:t>de</w:t>
      </w:r>
      <w:r>
        <w:rPr>
          <w:spacing w:val="-9"/>
        </w:rPr>
        <w:t> </w:t>
      </w:r>
      <w:r>
        <w:rPr/>
        <w:t>solvencia</w:t>
      </w:r>
      <w:r>
        <w:rPr>
          <w:spacing w:val="-10"/>
        </w:rPr>
        <w:t> </w:t>
      </w:r>
      <w:r>
        <w:rPr/>
        <w:t>de</w:t>
      </w:r>
      <w:r>
        <w:rPr>
          <w:spacing w:val="-11"/>
        </w:rPr>
        <w:t> </w:t>
      </w:r>
      <w:r>
        <w:rPr/>
        <w:t>la</w:t>
      </w:r>
      <w:r>
        <w:rPr>
          <w:spacing w:val="-10"/>
        </w:rPr>
        <w:t> </w:t>
      </w:r>
      <w:r>
        <w:rPr/>
        <w:t>deuda pública, los cuales son también conocidos como indicadores de sostenibilidad, tratan de mostrar la capacidad de repago de la deuda que tiene un país considerando la producción nacional medida a través</w:t>
      </w:r>
      <w:r>
        <w:rPr>
          <w:spacing w:val="-4"/>
        </w:rPr>
        <w:t> </w:t>
      </w:r>
      <w:r>
        <w:rPr/>
        <w:t>del</w:t>
      </w:r>
      <w:r>
        <w:rPr>
          <w:spacing w:val="-1"/>
        </w:rPr>
        <w:t> </w:t>
      </w:r>
      <w:r>
        <w:rPr/>
        <w:t>PIB</w:t>
      </w:r>
      <w:r>
        <w:rPr>
          <w:spacing w:val="-3"/>
        </w:rPr>
        <w:t> </w:t>
      </w:r>
      <w:r>
        <w:rPr/>
        <w:t>y</w:t>
      </w:r>
      <w:r>
        <w:rPr>
          <w:spacing w:val="-4"/>
        </w:rPr>
        <w:t> </w:t>
      </w:r>
      <w:r>
        <w:rPr/>
        <w:t>los</w:t>
      </w:r>
      <w:r>
        <w:rPr>
          <w:spacing w:val="-4"/>
        </w:rPr>
        <w:t> </w:t>
      </w:r>
      <w:r>
        <w:rPr/>
        <w:t>ingresos</w:t>
      </w:r>
      <w:r>
        <w:rPr>
          <w:spacing w:val="-2"/>
        </w:rPr>
        <w:t> </w:t>
      </w:r>
      <w:r>
        <w:rPr/>
        <w:t>fiscales</w:t>
      </w:r>
      <w:r>
        <w:rPr>
          <w:spacing w:val="-3"/>
        </w:rPr>
        <w:t> </w:t>
      </w:r>
      <w:r>
        <w:rPr/>
        <w:t>que</w:t>
      </w:r>
      <w:r>
        <w:rPr>
          <w:spacing w:val="-4"/>
        </w:rPr>
        <w:t> </w:t>
      </w:r>
      <w:r>
        <w:rPr/>
        <w:t>tiene</w:t>
      </w:r>
      <w:r>
        <w:rPr>
          <w:spacing w:val="-4"/>
        </w:rPr>
        <w:t> </w:t>
      </w:r>
      <w:r>
        <w:rPr/>
        <w:t>el</w:t>
      </w:r>
      <w:r>
        <w:rPr>
          <w:spacing w:val="-3"/>
        </w:rPr>
        <w:t> </w:t>
      </w:r>
      <w:r>
        <w:rPr/>
        <w:t>gobierno,</w:t>
      </w:r>
      <w:r>
        <w:rPr>
          <w:spacing w:val="-4"/>
        </w:rPr>
        <w:t> </w:t>
      </w:r>
      <w:r>
        <w:rPr/>
        <w:t>como</w:t>
      </w:r>
      <w:r>
        <w:rPr>
          <w:spacing w:val="-2"/>
        </w:rPr>
        <w:t> </w:t>
      </w:r>
      <w:r>
        <w:rPr/>
        <w:t>la</w:t>
      </w:r>
      <w:r>
        <w:rPr>
          <w:spacing w:val="-4"/>
        </w:rPr>
        <w:t> </w:t>
      </w:r>
      <w:r>
        <w:rPr/>
        <w:t>fuente</w:t>
      </w:r>
      <w:r>
        <w:rPr>
          <w:spacing w:val="-1"/>
        </w:rPr>
        <w:t> </w:t>
      </w:r>
      <w:r>
        <w:rPr/>
        <w:t>principal</w:t>
      </w:r>
      <w:r>
        <w:rPr>
          <w:spacing w:val="-4"/>
        </w:rPr>
        <w:t> </w:t>
      </w:r>
      <w:r>
        <w:rPr/>
        <w:t>para</w:t>
      </w:r>
      <w:r>
        <w:rPr>
          <w:spacing w:val="-4"/>
        </w:rPr>
        <w:t> </w:t>
      </w:r>
      <w:r>
        <w:rPr/>
        <w:t>atender</w:t>
      </w:r>
      <w:r>
        <w:rPr>
          <w:spacing w:val="-1"/>
        </w:rPr>
        <w:t> </w:t>
      </w:r>
      <w:r>
        <w:rPr/>
        <w:t>sus compromisos. El principal indicador es la relación deuda / PIB, que muestra la capacidad potencial que tiene el país para atender sus obligaciones que, para el cierre del 2021 se ubicó en 30.8%. Este indicador mostraba una leve tendencia creciente hasta el año 2019, posteriormente derivado del aumento significativo del déficit fiscal en el 2020 aumentó 5.1 puntos porcentuales. No obstante, en 2021 mostró una contracción de 0.8% del PIB respecto a lo observado en 2020, lo cual se considera positivo, dado que en 2021 se incurrió en un menor uso de fuentes de financiamiento que generan deuda para hacer frente a las obligaciones de gasto, luego que en 2020 la necesidad de atender la crisis ocasionada por el COVID-19 incrementó el nivel de deuda en una proporción</w:t>
      </w:r>
      <w:r>
        <w:rPr>
          <w:spacing w:val="-21"/>
        </w:rPr>
        <w:t> </w:t>
      </w:r>
      <w:r>
        <w:rPr/>
        <w:t>significativa.</w:t>
      </w:r>
    </w:p>
    <w:p>
      <w:pPr>
        <w:pStyle w:val="BodyText"/>
        <w:spacing w:before="5"/>
        <w:rPr>
          <w:sz w:val="25"/>
        </w:rPr>
      </w:pPr>
    </w:p>
    <w:p>
      <w:pPr>
        <w:pStyle w:val="BodyText"/>
        <w:spacing w:line="276" w:lineRule="auto"/>
        <w:ind w:left="562" w:right="1699"/>
        <w:jc w:val="both"/>
      </w:pPr>
      <w:r>
        <w:rPr/>
        <w:t>El indicador Deuda/PIB aún está muy por debajo del benchmark para países emergentes con acceso al mercado del Fondo Monetario Internacional y otros organismos internacionales (MAC por sus siglas en inglés), que se encuentra de 50% a 60%, lo cual representa aún un margen de maniobra considerable y espacio para un mayor endeudamiento.</w:t>
      </w:r>
    </w:p>
    <w:p>
      <w:pPr>
        <w:pStyle w:val="BodyText"/>
        <w:spacing w:before="3"/>
        <w:rPr>
          <w:sz w:val="25"/>
        </w:rPr>
      </w:pPr>
    </w:p>
    <w:p>
      <w:pPr>
        <w:pStyle w:val="BodyText"/>
        <w:spacing w:line="276" w:lineRule="auto"/>
        <w:ind w:left="562" w:right="1695"/>
        <w:jc w:val="both"/>
      </w:pPr>
      <w:r>
        <w:rPr/>
        <w:t>Asimismo, el indicador deuda/ingresos fiscales se ubicó en 236.4% para el año 2019, para el 2020 aumento y se ubicó en 295.3% y para 2021 descendió hasta ubicarse en 248.7%. Este indicador </w:t>
      </w:r>
      <w:r>
        <w:rPr>
          <w:spacing w:val="-3"/>
        </w:rPr>
        <w:t>es </w:t>
      </w:r>
      <w:r>
        <w:rPr/>
        <w:t>útil para dar seguimiento a la capacidad efectiva para hacer frente a los compromisos de deuda. La principal razón por la que este indicador mostró un nivel tan alto en 2020, es como resultado de la caída en recaudación tributaria en dicho año, mientras que en 2021 se enmarca como un año de recuperación</w:t>
      </w:r>
      <w:r>
        <w:rPr>
          <w:spacing w:val="-8"/>
        </w:rPr>
        <w:t> </w:t>
      </w:r>
      <w:r>
        <w:rPr/>
        <w:t>y</w:t>
      </w:r>
      <w:r>
        <w:rPr>
          <w:spacing w:val="-10"/>
        </w:rPr>
        <w:t> </w:t>
      </w:r>
      <w:r>
        <w:rPr/>
        <w:t>con</w:t>
      </w:r>
      <w:r>
        <w:rPr>
          <w:spacing w:val="-7"/>
        </w:rPr>
        <w:t> </w:t>
      </w:r>
      <w:r>
        <w:rPr/>
        <w:t>cambios</w:t>
      </w:r>
      <w:r>
        <w:rPr>
          <w:spacing w:val="-6"/>
        </w:rPr>
        <w:t> </w:t>
      </w:r>
      <w:r>
        <w:rPr/>
        <w:t>importantes</w:t>
      </w:r>
      <w:r>
        <w:rPr>
          <w:spacing w:val="-5"/>
        </w:rPr>
        <w:t> </w:t>
      </w:r>
      <w:r>
        <w:rPr/>
        <w:t>en</w:t>
      </w:r>
      <w:r>
        <w:rPr>
          <w:spacing w:val="-7"/>
        </w:rPr>
        <w:t> </w:t>
      </w:r>
      <w:r>
        <w:rPr/>
        <w:t>materia</w:t>
      </w:r>
      <w:r>
        <w:rPr>
          <w:spacing w:val="-7"/>
        </w:rPr>
        <w:t> </w:t>
      </w:r>
      <w:r>
        <w:rPr/>
        <w:t>de</w:t>
      </w:r>
      <w:r>
        <w:rPr>
          <w:spacing w:val="-8"/>
        </w:rPr>
        <w:t> </w:t>
      </w:r>
      <w:r>
        <w:rPr/>
        <w:t>recaudación</w:t>
      </w:r>
      <w:r>
        <w:rPr>
          <w:spacing w:val="-7"/>
        </w:rPr>
        <w:t> </w:t>
      </w:r>
      <w:r>
        <w:rPr/>
        <w:t>tributaria,</w:t>
      </w:r>
      <w:r>
        <w:rPr>
          <w:spacing w:val="-7"/>
        </w:rPr>
        <w:t> </w:t>
      </w:r>
      <w:r>
        <w:rPr/>
        <w:t>los</w:t>
      </w:r>
      <w:r>
        <w:rPr>
          <w:spacing w:val="-7"/>
        </w:rPr>
        <w:t> </w:t>
      </w:r>
      <w:r>
        <w:rPr/>
        <w:t>ingresos</w:t>
      </w:r>
      <w:r>
        <w:rPr>
          <w:spacing w:val="-7"/>
        </w:rPr>
        <w:t> </w:t>
      </w:r>
      <w:r>
        <w:rPr/>
        <w:t>tributarios permitieron que la brecha fiscal se ampliara para todos los meses del año por acciones emprendidas por la SAT, aunado a ello también se observó un ingreso extraordinario por concepto de venta de activos de una empresa vinculada con el sector de comunicaciones y las importaciones y exportaciones reportaron un ritmo</w:t>
      </w:r>
      <w:r>
        <w:rPr>
          <w:spacing w:val="1"/>
        </w:rPr>
        <w:t> </w:t>
      </w:r>
      <w:r>
        <w:rPr/>
        <w:t>creciente.</w:t>
      </w:r>
    </w:p>
    <w:p>
      <w:pPr>
        <w:pStyle w:val="BodyText"/>
        <w:spacing w:before="3"/>
        <w:rPr>
          <w:sz w:val="25"/>
        </w:rPr>
      </w:pPr>
    </w:p>
    <w:p>
      <w:pPr>
        <w:pStyle w:val="BodyText"/>
        <w:spacing w:line="276" w:lineRule="auto"/>
        <w:ind w:left="562" w:right="1695"/>
        <w:jc w:val="both"/>
      </w:pPr>
      <w:r>
        <w:rPr/>
        <w:t>Los</w:t>
      </w:r>
      <w:r>
        <w:rPr>
          <w:spacing w:val="-12"/>
        </w:rPr>
        <w:t> </w:t>
      </w:r>
      <w:r>
        <w:rPr/>
        <w:t>ingresos</w:t>
      </w:r>
      <w:r>
        <w:rPr>
          <w:spacing w:val="-13"/>
        </w:rPr>
        <w:t> </w:t>
      </w:r>
      <w:r>
        <w:rPr/>
        <w:t>fiscales</w:t>
      </w:r>
      <w:r>
        <w:rPr>
          <w:spacing w:val="-11"/>
        </w:rPr>
        <w:t> </w:t>
      </w:r>
      <w:r>
        <w:rPr/>
        <w:t>aumentaron</w:t>
      </w:r>
      <w:r>
        <w:rPr>
          <w:spacing w:val="-11"/>
        </w:rPr>
        <w:t> </w:t>
      </w:r>
      <w:r>
        <w:rPr/>
        <w:t>considerablemente</w:t>
      </w:r>
      <w:r>
        <w:rPr>
          <w:spacing w:val="-11"/>
        </w:rPr>
        <w:t> </w:t>
      </w:r>
      <w:r>
        <w:rPr/>
        <w:t>y</w:t>
      </w:r>
      <w:r>
        <w:rPr>
          <w:spacing w:val="-14"/>
        </w:rPr>
        <w:t> </w:t>
      </w:r>
      <w:r>
        <w:rPr/>
        <w:t>la</w:t>
      </w:r>
      <w:r>
        <w:rPr>
          <w:spacing w:val="-10"/>
        </w:rPr>
        <w:t> </w:t>
      </w:r>
      <w:r>
        <w:rPr/>
        <w:t>generación</w:t>
      </w:r>
      <w:r>
        <w:rPr>
          <w:spacing w:val="-12"/>
        </w:rPr>
        <w:t> </w:t>
      </w:r>
      <w:r>
        <w:rPr/>
        <w:t>de</w:t>
      </w:r>
      <w:r>
        <w:rPr>
          <w:spacing w:val="-14"/>
        </w:rPr>
        <w:t> </w:t>
      </w:r>
      <w:r>
        <w:rPr/>
        <w:t>endeudamiento</w:t>
      </w:r>
      <w:r>
        <w:rPr>
          <w:spacing w:val="-13"/>
        </w:rPr>
        <w:t> </w:t>
      </w:r>
      <w:r>
        <w:rPr/>
        <w:t>fue</w:t>
      </w:r>
      <w:r>
        <w:rPr>
          <w:spacing w:val="-12"/>
        </w:rPr>
        <w:t> </w:t>
      </w:r>
      <w:r>
        <w:rPr/>
        <w:t>moderada en 2021, en contraste con 2020, por ello la relación deuda / ingreso disminuyó en 46.6%, siendo positivo dado que en la medida que los ingresos aumenten se continuaría reduciendo el ratio deuda/ingresos, permitiendo con ello que la solvencia del país sea más</w:t>
      </w:r>
      <w:r>
        <w:rPr>
          <w:spacing w:val="-15"/>
        </w:rPr>
        <w:t> </w:t>
      </w:r>
      <w:r>
        <w:rPr/>
        <w:t>holgada.</w:t>
      </w:r>
    </w:p>
    <w:p>
      <w:pPr>
        <w:pStyle w:val="BodyText"/>
        <w:spacing w:before="3"/>
        <w:rPr>
          <w:sz w:val="25"/>
        </w:rPr>
      </w:pPr>
    </w:p>
    <w:p>
      <w:pPr>
        <w:pStyle w:val="BodyText"/>
        <w:spacing w:line="276" w:lineRule="auto"/>
        <w:ind w:left="562" w:right="1695"/>
        <w:jc w:val="both"/>
      </w:pPr>
      <w:r>
        <w:rPr/>
        <w:t>Dado</w:t>
      </w:r>
      <w:r>
        <w:rPr>
          <w:spacing w:val="-8"/>
        </w:rPr>
        <w:t> </w:t>
      </w:r>
      <w:r>
        <w:rPr/>
        <w:t>el</w:t>
      </w:r>
      <w:r>
        <w:rPr>
          <w:spacing w:val="-8"/>
        </w:rPr>
        <w:t> </w:t>
      </w:r>
      <w:r>
        <w:rPr/>
        <w:t>escenario</w:t>
      </w:r>
      <w:r>
        <w:rPr>
          <w:spacing w:val="-8"/>
        </w:rPr>
        <w:t> </w:t>
      </w:r>
      <w:r>
        <w:rPr/>
        <w:t>planteado</w:t>
      </w:r>
      <w:r>
        <w:rPr>
          <w:spacing w:val="-9"/>
        </w:rPr>
        <w:t> </w:t>
      </w:r>
      <w:r>
        <w:rPr/>
        <w:t>por</w:t>
      </w:r>
      <w:r>
        <w:rPr>
          <w:spacing w:val="-8"/>
        </w:rPr>
        <w:t> </w:t>
      </w:r>
      <w:r>
        <w:rPr/>
        <w:t>la</w:t>
      </w:r>
      <w:r>
        <w:rPr>
          <w:spacing w:val="-8"/>
        </w:rPr>
        <w:t> </w:t>
      </w:r>
      <w:r>
        <w:rPr/>
        <w:t>crisis</w:t>
      </w:r>
      <w:r>
        <w:rPr>
          <w:spacing w:val="-6"/>
        </w:rPr>
        <w:t> </w:t>
      </w:r>
      <w:r>
        <w:rPr/>
        <w:t>ocasionada</w:t>
      </w:r>
      <w:r>
        <w:rPr>
          <w:spacing w:val="-8"/>
        </w:rPr>
        <w:t> </w:t>
      </w:r>
      <w:r>
        <w:rPr/>
        <w:t>por</w:t>
      </w:r>
      <w:r>
        <w:rPr>
          <w:spacing w:val="-8"/>
        </w:rPr>
        <w:t> </w:t>
      </w:r>
      <w:r>
        <w:rPr/>
        <w:t>el</w:t>
      </w:r>
      <w:r>
        <w:rPr>
          <w:spacing w:val="-8"/>
        </w:rPr>
        <w:t> </w:t>
      </w:r>
      <w:r>
        <w:rPr/>
        <w:t>COVID-19,</w:t>
      </w:r>
      <w:r>
        <w:rPr>
          <w:spacing w:val="-8"/>
        </w:rPr>
        <w:t> </w:t>
      </w:r>
      <w:r>
        <w:rPr/>
        <w:t>así</w:t>
      </w:r>
      <w:r>
        <w:rPr>
          <w:spacing w:val="-8"/>
        </w:rPr>
        <w:t> </w:t>
      </w:r>
      <w:r>
        <w:rPr/>
        <w:t>como</w:t>
      </w:r>
      <w:r>
        <w:rPr>
          <w:spacing w:val="-6"/>
        </w:rPr>
        <w:t> </w:t>
      </w:r>
      <w:r>
        <w:rPr/>
        <w:t>el</w:t>
      </w:r>
      <w:r>
        <w:rPr>
          <w:spacing w:val="-7"/>
        </w:rPr>
        <w:t> </w:t>
      </w:r>
      <w:r>
        <w:rPr/>
        <w:t>incremento</w:t>
      </w:r>
      <w:r>
        <w:rPr>
          <w:spacing w:val="-9"/>
        </w:rPr>
        <w:t> </w:t>
      </w:r>
      <w:r>
        <w:rPr/>
        <w:t>de</w:t>
      </w:r>
      <w:r>
        <w:rPr>
          <w:spacing w:val="-10"/>
        </w:rPr>
        <w:t> </w:t>
      </w:r>
      <w:r>
        <w:rPr/>
        <w:t>los precios internacionales de los commodities, se vislumbra que en el corto plazo sería socialmente negativo llevar al Congreso de la República una reforma tributaria, que incremente de forma significativa los ingresos fiscales, por lo que, en el mediano plazo, se prevé que los ingresos aumentaran en la medida que la SAT continué con medidas administrativas adoptadas que han apoyado</w:t>
      </w:r>
      <w:r>
        <w:rPr>
          <w:spacing w:val="-7"/>
        </w:rPr>
        <w:t> </w:t>
      </w:r>
      <w:r>
        <w:rPr/>
        <w:t>la</w:t>
      </w:r>
      <w:r>
        <w:rPr>
          <w:spacing w:val="-8"/>
        </w:rPr>
        <w:t> </w:t>
      </w:r>
      <w:r>
        <w:rPr/>
        <w:t>recaudación</w:t>
      </w:r>
      <w:r>
        <w:rPr>
          <w:spacing w:val="-6"/>
        </w:rPr>
        <w:t> </w:t>
      </w:r>
      <w:r>
        <w:rPr/>
        <w:t>aduanera</w:t>
      </w:r>
      <w:r>
        <w:rPr>
          <w:spacing w:val="-6"/>
        </w:rPr>
        <w:t> </w:t>
      </w:r>
      <w:r>
        <w:rPr/>
        <w:t>y</w:t>
      </w:r>
      <w:r>
        <w:rPr>
          <w:spacing w:val="-9"/>
        </w:rPr>
        <w:t> </w:t>
      </w:r>
      <w:r>
        <w:rPr/>
        <w:t>las</w:t>
      </w:r>
      <w:r>
        <w:rPr>
          <w:spacing w:val="-6"/>
        </w:rPr>
        <w:t> </w:t>
      </w:r>
      <w:r>
        <w:rPr/>
        <w:t>medidas</w:t>
      </w:r>
      <w:r>
        <w:rPr>
          <w:spacing w:val="-6"/>
        </w:rPr>
        <w:t> </w:t>
      </w:r>
      <w:r>
        <w:rPr/>
        <w:t>de</w:t>
      </w:r>
      <w:r>
        <w:rPr>
          <w:spacing w:val="-8"/>
        </w:rPr>
        <w:t> </w:t>
      </w:r>
      <w:r>
        <w:rPr/>
        <w:t>fiscalización</w:t>
      </w:r>
      <w:r>
        <w:rPr>
          <w:spacing w:val="-6"/>
        </w:rPr>
        <w:t> </w:t>
      </w:r>
      <w:r>
        <w:rPr/>
        <w:t>y</w:t>
      </w:r>
      <w:r>
        <w:rPr>
          <w:spacing w:val="-9"/>
        </w:rPr>
        <w:t> </w:t>
      </w:r>
      <w:r>
        <w:rPr/>
        <w:t>control</w:t>
      </w:r>
      <w:r>
        <w:rPr>
          <w:spacing w:val="-6"/>
        </w:rPr>
        <w:t> </w:t>
      </w:r>
      <w:r>
        <w:rPr/>
        <w:t>que</w:t>
      </w:r>
      <w:r>
        <w:rPr>
          <w:spacing w:val="-4"/>
        </w:rPr>
        <w:t> </w:t>
      </w:r>
      <w:r>
        <w:rPr/>
        <w:t>han</w:t>
      </w:r>
      <w:r>
        <w:rPr>
          <w:spacing w:val="-6"/>
        </w:rPr>
        <w:t> </w:t>
      </w:r>
      <w:r>
        <w:rPr/>
        <w:t>ejercido</w:t>
      </w:r>
      <w:r>
        <w:rPr>
          <w:spacing w:val="-8"/>
        </w:rPr>
        <w:t> </w:t>
      </w:r>
      <w:r>
        <w:rPr/>
        <w:t>resultados positivos en los impuestos</w:t>
      </w:r>
      <w:r>
        <w:rPr>
          <w:spacing w:val="-4"/>
        </w:rPr>
        <w:t> </w:t>
      </w:r>
      <w:r>
        <w:rPr/>
        <w:t>internos.</w:t>
      </w:r>
    </w:p>
    <w:p>
      <w:pPr>
        <w:spacing w:after="0" w:line="276" w:lineRule="auto"/>
        <w:jc w:val="both"/>
        <w:sectPr>
          <w:pgSz w:w="12240" w:h="15840"/>
          <w:pgMar w:header="715" w:footer="957" w:top="1240" w:bottom="1140" w:left="1140" w:right="0"/>
        </w:sectPr>
      </w:pPr>
    </w:p>
    <w:p>
      <w:pPr>
        <w:pStyle w:val="Heading3"/>
        <w:spacing w:before="167"/>
        <w:ind w:left="2016"/>
      </w:pPr>
      <w:bookmarkStart w:name="_bookmark181" w:id="231"/>
      <w:bookmarkEnd w:id="231"/>
      <w:r>
        <w:rPr>
          <w:b w:val="0"/>
        </w:rPr>
      </w:r>
      <w:r>
        <w:rPr>
          <w:i/>
          <w:sz w:val="20"/>
        </w:rPr>
        <w:t>Gráfico 94. </w:t>
      </w:r>
      <w:r>
        <w:rPr/>
        <w:t>Proyección del indicador deuda/PIB para 2020-2022</w:t>
      </w:r>
    </w:p>
    <w:p>
      <w:pPr>
        <w:pStyle w:val="BodyText"/>
        <w:spacing w:before="6"/>
        <w:rPr>
          <w:b/>
          <w:sz w:val="23"/>
        </w:rPr>
      </w:pPr>
    </w:p>
    <w:p>
      <w:pPr>
        <w:spacing w:after="0"/>
        <w:rPr>
          <w:sz w:val="23"/>
        </w:rPr>
        <w:sectPr>
          <w:pgSz w:w="12240" w:h="15840"/>
          <w:pgMar w:header="715" w:footer="957" w:top="1240" w:bottom="1140" w:left="1140" w:right="0"/>
        </w:sectPr>
      </w:pPr>
    </w:p>
    <w:p>
      <w:pPr>
        <w:pStyle w:val="BodyText"/>
        <w:spacing w:before="11"/>
        <w:rPr>
          <w:b/>
          <w:sz w:val="19"/>
        </w:rPr>
      </w:pPr>
    </w:p>
    <w:p>
      <w:pPr>
        <w:spacing w:before="0"/>
        <w:ind w:left="1179" w:right="0" w:firstLine="0"/>
        <w:jc w:val="left"/>
        <w:rPr>
          <w:b/>
          <w:sz w:val="14"/>
        </w:rPr>
      </w:pPr>
      <w:r>
        <w:rPr>
          <w:b/>
          <w:color w:val="001F5F"/>
          <w:position w:val="2"/>
          <w:sz w:val="14"/>
        </w:rPr>
        <w:t>123.2 </w:t>
      </w:r>
      <w:r>
        <w:rPr>
          <w:b/>
          <w:color w:val="FFC000"/>
          <w:sz w:val="14"/>
        </w:rPr>
        <w:t>119.8</w:t>
      </w:r>
    </w:p>
    <w:p>
      <w:pPr>
        <w:pStyle w:val="BodyText"/>
        <w:rPr>
          <w:b/>
          <w:sz w:val="14"/>
        </w:rPr>
      </w:pPr>
      <w:r>
        <w:rPr/>
        <w:br w:type="column"/>
      </w:r>
      <w:r>
        <w:rPr>
          <w:b/>
          <w:sz w:val="14"/>
        </w:rPr>
      </w:r>
    </w:p>
    <w:p>
      <w:pPr>
        <w:pStyle w:val="BodyText"/>
        <w:spacing w:before="4"/>
        <w:rPr>
          <w:b/>
          <w:sz w:val="15"/>
        </w:rPr>
      </w:pPr>
    </w:p>
    <w:p>
      <w:pPr>
        <w:spacing w:before="0"/>
        <w:ind w:left="-27" w:right="0" w:firstLine="0"/>
        <w:jc w:val="left"/>
        <w:rPr>
          <w:b/>
          <w:sz w:val="14"/>
        </w:rPr>
      </w:pPr>
      <w:r>
        <w:rPr>
          <w:b/>
          <w:color w:val="252525"/>
          <w:sz w:val="14"/>
        </w:rPr>
        <w:t>115.5</w:t>
      </w:r>
    </w:p>
    <w:p>
      <w:pPr>
        <w:pStyle w:val="BodyText"/>
        <w:rPr>
          <w:b/>
          <w:sz w:val="20"/>
        </w:rPr>
      </w:pPr>
      <w:r>
        <w:rPr/>
        <w:br w:type="column"/>
      </w:r>
      <w:r>
        <w:rPr>
          <w:b/>
          <w:sz w:val="20"/>
        </w:rPr>
      </w:r>
    </w:p>
    <w:p>
      <w:pPr>
        <w:pStyle w:val="BodyText"/>
        <w:rPr>
          <w:b/>
          <w:sz w:val="20"/>
        </w:rPr>
      </w:pPr>
    </w:p>
    <w:p>
      <w:pPr>
        <w:pStyle w:val="BodyText"/>
        <w:spacing w:before="5"/>
        <w:rPr>
          <w:b/>
          <w:sz w:val="28"/>
        </w:rPr>
      </w:pPr>
    </w:p>
    <w:p>
      <w:pPr>
        <w:spacing w:before="0"/>
        <w:ind w:left="-2" w:right="0" w:firstLine="0"/>
        <w:jc w:val="left"/>
        <w:rPr>
          <w:b/>
          <w:sz w:val="14"/>
        </w:rPr>
      </w:pPr>
      <w:r>
        <w:rPr>
          <w:b/>
          <w:color w:val="001F5F"/>
          <w:position w:val="5"/>
          <w:sz w:val="14"/>
        </w:rPr>
        <w:t>77.4 </w:t>
      </w:r>
      <w:r>
        <w:rPr>
          <w:b/>
          <w:color w:val="FFC000"/>
          <w:position w:val="1"/>
          <w:sz w:val="14"/>
        </w:rPr>
        <w:t>72.0</w:t>
      </w:r>
      <w:r>
        <w:rPr>
          <w:b/>
          <w:color w:val="252525"/>
          <w:sz w:val="14"/>
        </w:rPr>
        <w:t>71.3</w:t>
      </w:r>
    </w:p>
    <w:p>
      <w:pPr>
        <w:spacing w:line="123" w:lineRule="exact" w:before="94"/>
        <w:ind w:left="346" w:right="0" w:firstLine="0"/>
        <w:jc w:val="left"/>
        <w:rPr>
          <w:b/>
          <w:sz w:val="14"/>
        </w:rPr>
      </w:pPr>
      <w:r>
        <w:rPr/>
        <w:br w:type="column"/>
      </w:r>
      <w:r>
        <w:rPr>
          <w:b/>
          <w:color w:val="FFC000"/>
          <w:sz w:val="14"/>
        </w:rPr>
        <w:t>132.6</w:t>
      </w:r>
    </w:p>
    <w:p>
      <w:pPr>
        <w:spacing w:line="123" w:lineRule="exact" w:before="0"/>
        <w:ind w:left="634" w:right="0" w:firstLine="0"/>
        <w:jc w:val="left"/>
        <w:rPr>
          <w:b/>
          <w:sz w:val="14"/>
        </w:rPr>
      </w:pPr>
      <w:r>
        <w:rPr/>
        <w:pict>
          <v:group style="position:absolute;margin-left:117.120003pt;margin-top:5.150504pt;width:381.25pt;height:69.850pt;mso-position-horizontal-relative:page;mso-position-vertical-relative:paragraph;z-index:-280334336" coordorigin="2342,103" coordsize="7625,1397">
            <v:rect style="position:absolute;left:2421;top:242;width:221;height:1251" filled="true" fillcolor="#001f5f" stroked="false">
              <v:fill type="solid"/>
            </v:rect>
            <v:rect style="position:absolute;left:2421;top:242;width:221;height:1251" filled="false" stroked="true" strokeweight=".72pt" strokecolor="#000000">
              <v:stroke dashstyle="solid"/>
            </v:rect>
            <v:rect style="position:absolute;left:2709;top:285;width:221;height:1208" filled="true" fillcolor="#ffc000" stroked="false">
              <v:fill type="solid"/>
            </v:rect>
            <v:rect style="position:absolute;left:2709;top:285;width:221;height:1208" filled="false" stroked="true" strokeweight=".72pt" strokecolor="#000000">
              <v:stroke dashstyle="solid"/>
            </v:rect>
            <v:rect style="position:absolute;left:2997;top:335;width:221;height:1157" filled="true" fillcolor="#a4a4a4" stroked="false">
              <v:fill type="solid"/>
            </v:rect>
            <v:rect style="position:absolute;left:2997;top:335;width:221;height:1157" filled="false" stroked="true" strokeweight=".72pt" strokecolor="#000000">
              <v:stroke dashstyle="solid"/>
            </v:rect>
            <v:rect style="position:absolute;left:3374;top:799;width:221;height:694" filled="true" fillcolor="#001f5f" stroked="false">
              <v:fill type="solid"/>
            </v:rect>
            <v:rect style="position:absolute;left:3374;top:799;width:221;height:694" filled="false" stroked="true" strokeweight=".72pt" strokecolor="#000000">
              <v:stroke dashstyle="solid"/>
            </v:rect>
            <v:rect style="position:absolute;left:3662;top:861;width:221;height:632" filled="true" fillcolor="#ffc000" stroked="false">
              <v:fill type="solid"/>
            </v:rect>
            <v:rect style="position:absolute;left:3662;top:861;width:221;height:632" filled="false" stroked="true" strokeweight=".72pt" strokecolor="#000000">
              <v:stroke dashstyle="solid"/>
            </v:rect>
            <v:rect style="position:absolute;left:3950;top:871;width:221;height:622" filled="true" fillcolor="#a4a4a4" stroked="false">
              <v:fill type="solid"/>
            </v:rect>
            <v:rect style="position:absolute;left:3950;top:871;width:221;height:622" filled="false" stroked="true" strokeweight=".72pt" strokecolor="#000000">
              <v:stroke dashstyle="solid"/>
            </v:rect>
            <v:rect style="position:absolute;left:4327;top:110;width:221;height:1383" filled="true" fillcolor="#001f5f" stroked="false">
              <v:fill type="solid"/>
            </v:rect>
            <v:rect style="position:absolute;left:4327;top:110;width:221;height:1383" filled="false" stroked="true" strokeweight=".72pt" strokecolor="#000000">
              <v:stroke dashstyle="solid"/>
            </v:rect>
            <v:rect style="position:absolute;left:4615;top:129;width:221;height:1364" filled="true" fillcolor="#ffc000" stroked="false">
              <v:fill type="solid"/>
            </v:rect>
            <v:rect style="position:absolute;left:4615;top:129;width:221;height:1364" filled="false" stroked="true" strokeweight=".72pt" strokecolor="#000000">
              <v:stroke dashstyle="solid"/>
            </v:rect>
            <v:rect style="position:absolute;left:4903;top:213;width:221;height:1280" filled="true" fillcolor="#a4a4a4" stroked="false">
              <v:fill type="solid"/>
            </v:rect>
            <v:rect style="position:absolute;left:4903;top:213;width:221;height:1280" filled="false" stroked="true" strokeweight=".72pt" strokecolor="#000000">
              <v:stroke dashstyle="solid"/>
            </v:rect>
            <v:rect style="position:absolute;left:5280;top:539;width:221;height:953" filled="true" fillcolor="#001f5f" stroked="false">
              <v:fill type="solid"/>
            </v:rect>
            <v:rect style="position:absolute;left:5280;top:539;width:221;height:953" filled="false" stroked="true" strokeweight=".72pt" strokecolor="#000000">
              <v:stroke dashstyle="solid"/>
            </v:rect>
            <v:rect style="position:absolute;left:5568;top:609;width:221;height:884" filled="true" fillcolor="#ffc000" stroked="false">
              <v:fill type="solid"/>
            </v:rect>
            <v:rect style="position:absolute;left:5568;top:609;width:221;height:884" filled="false" stroked="true" strokeweight=".72pt" strokecolor="#000000">
              <v:stroke dashstyle="solid"/>
            </v:rect>
            <v:rect style="position:absolute;left:5856;top:621;width:221;height:872" filled="true" fillcolor="#a4a4a4" stroked="false">
              <v:fill type="solid"/>
            </v:rect>
            <v:rect style="position:absolute;left:5856;top:621;width:221;height:872" filled="false" stroked="true" strokeweight=".72pt" strokecolor="#000000">
              <v:stroke dashstyle="solid"/>
            </v:rect>
            <v:rect style="position:absolute;left:6232;top:1005;width:221;height:488" filled="true" fillcolor="#001f5f" stroked="false">
              <v:fill type="solid"/>
            </v:rect>
            <v:rect style="position:absolute;left:6232;top:1005;width:221;height:488" filled="false" stroked="true" strokeweight=".72pt" strokecolor="#000000">
              <v:stroke dashstyle="solid"/>
            </v:rect>
            <v:rect style="position:absolute;left:6520;top:1036;width:221;height:456" filled="true" fillcolor="#ffc000" stroked="false">
              <v:fill type="solid"/>
            </v:rect>
            <v:rect style="position:absolute;left:6520;top:1036;width:221;height:456" filled="false" stroked="true" strokeweight=".72pt" strokecolor="#000000">
              <v:stroke dashstyle="solid"/>
            </v:rect>
            <v:rect style="position:absolute;left:6808;top:1027;width:221;height:466" filled="true" fillcolor="#a4a4a4" stroked="false">
              <v:fill type="solid"/>
            </v:rect>
            <v:rect style="position:absolute;left:6808;top:1027;width:221;height:466" filled="false" stroked="true" strokeweight=".72pt" strokecolor="#000000">
              <v:stroke dashstyle="solid"/>
            </v:rect>
            <v:rect style="position:absolute;left:7185;top:1341;width:221;height:152" filled="true" fillcolor="#001f5f" stroked="false">
              <v:fill type="solid"/>
            </v:rect>
            <v:rect style="position:absolute;left:7185;top:1341;width:221;height:152" filled="false" stroked="true" strokeweight=".72pt" strokecolor="#000000">
              <v:stroke dashstyle="solid"/>
            </v:rect>
            <v:rect style="position:absolute;left:7473;top:1295;width:221;height:197" filled="true" fillcolor="#ffc000" stroked="false">
              <v:fill type="solid"/>
            </v:rect>
            <v:rect style="position:absolute;left:7473;top:1295;width:221;height:197" filled="false" stroked="true" strokeweight=".72pt" strokecolor="#000000">
              <v:stroke dashstyle="solid"/>
            </v:rect>
            <v:rect style="position:absolute;left:7761;top:1271;width:221;height:221" filled="true" fillcolor="#a4a4a4" stroked="false">
              <v:fill type="solid"/>
            </v:rect>
            <v:rect style="position:absolute;left:7761;top:1271;width:221;height:221" filled="false" stroked="true" strokeweight=".72pt" strokecolor="#000000">
              <v:stroke dashstyle="solid"/>
            </v:rect>
            <v:rect style="position:absolute;left:8138;top:1310;width:221;height:183" filled="true" fillcolor="#001f5f" stroked="false">
              <v:fill type="solid"/>
            </v:rect>
            <v:rect style="position:absolute;left:8138;top:1310;width:221;height:183" filled="false" stroked="true" strokeweight=".72pt" strokecolor="#000000">
              <v:stroke dashstyle="solid"/>
            </v:rect>
            <v:rect style="position:absolute;left:8426;top:1300;width:221;height:192" filled="true" fillcolor="#ffc000" stroked="false">
              <v:fill type="solid"/>
            </v:rect>
            <v:rect style="position:absolute;left:8426;top:1300;width:221;height:192" filled="false" stroked="true" strokeweight=".72pt" strokecolor="#000000">
              <v:stroke dashstyle="solid"/>
            </v:rect>
            <v:rect style="position:absolute;left:8714;top:1319;width:224;height:173" filled="true" fillcolor="#a4a4a4" stroked="false">
              <v:fill type="solid"/>
            </v:rect>
            <v:rect style="position:absolute;left:8714;top:1319;width:224;height:173" filled="false" stroked="true" strokeweight=".72pt" strokecolor="#000000">
              <v:stroke dashstyle="solid"/>
            </v:rect>
            <v:rect style="position:absolute;left:9091;top:1353;width:224;height:140" filled="true" fillcolor="#001f5f" stroked="false">
              <v:fill type="solid"/>
            </v:rect>
            <v:rect style="position:absolute;left:9091;top:1353;width:224;height:140" filled="false" stroked="true" strokeweight=".72pt" strokecolor="#000000">
              <v:stroke dashstyle="solid"/>
            </v:rect>
            <v:line style="position:absolute" from="9379,1428" to="9602,1428" stroked="true" strokeweight="6.48pt" strokecolor="#ffc000">
              <v:stroke dashstyle="solid"/>
            </v:line>
            <v:rect style="position:absolute;left:9379;top:1363;width:224;height:130" filled="false" stroked="true" strokeweight=".72pt" strokecolor="#000000">
              <v:stroke dashstyle="solid"/>
            </v:rect>
            <v:line style="position:absolute" from="9667,1427" to="9890,1427" stroked="true" strokeweight="6.6pt" strokecolor="#a4a4a4">
              <v:stroke dashstyle="solid"/>
            </v:line>
            <v:rect style="position:absolute;left:9667;top:1360;width:224;height:132" filled="false" stroked="true" strokeweight=".72pt" strokecolor="#000000">
              <v:stroke dashstyle="solid"/>
            </v:rect>
            <v:line style="position:absolute" from="2342,1493" to="9967,1493" stroked="true" strokeweight=".72pt" strokecolor="#d9d9d9">
              <v:stroke dashstyle="solid"/>
            </v:line>
            <w10:wrap type="none"/>
          </v:group>
        </w:pict>
      </w:r>
      <w:r>
        <w:rPr/>
        <w:pict>
          <v:shape style="position:absolute;margin-left:214.029999pt;margin-top:-5.081644pt;width:15.75pt;height:7.75pt;mso-position-horizontal-relative:page;mso-position-vertical-relative:paragraph;z-index:253019136" type="#_x0000_t202" filled="false" stroked="false">
            <v:textbox inset="0,0,0,0">
              <w:txbxContent>
                <w:p>
                  <w:pPr>
                    <w:spacing w:line="154" w:lineRule="exact" w:before="0"/>
                    <w:ind w:left="0" w:right="0" w:firstLine="0"/>
                    <w:jc w:val="left"/>
                    <w:rPr>
                      <w:b/>
                      <w:sz w:val="14"/>
                    </w:rPr>
                  </w:pPr>
                  <w:r>
                    <w:rPr>
                      <w:b/>
                      <w:color w:val="001F5F"/>
                      <w:w w:val="95"/>
                      <w:sz w:val="14"/>
                    </w:rPr>
                    <w:t>134.2</w:t>
                  </w:r>
                </w:p>
              </w:txbxContent>
            </v:textbox>
            <w10:wrap type="none"/>
          </v:shape>
        </w:pict>
      </w:r>
      <w:r>
        <w:rPr>
          <w:b/>
          <w:color w:val="252525"/>
          <w:sz w:val="14"/>
        </w:rPr>
        <w:t>125.6</w:t>
      </w:r>
    </w:p>
    <w:p>
      <w:pPr>
        <w:pStyle w:val="BodyText"/>
        <w:rPr>
          <w:b/>
          <w:sz w:val="24"/>
        </w:rPr>
      </w:pPr>
      <w:r>
        <w:rPr/>
        <w:br w:type="column"/>
      </w:r>
      <w:r>
        <w:rPr>
          <w:b/>
          <w:sz w:val="24"/>
        </w:rPr>
      </w:r>
    </w:p>
    <w:p>
      <w:pPr>
        <w:pStyle w:val="BodyText"/>
        <w:spacing w:before="1"/>
        <w:rPr>
          <w:b/>
          <w:sz w:val="20"/>
        </w:rPr>
      </w:pPr>
    </w:p>
    <w:p>
      <w:pPr>
        <w:spacing w:before="0"/>
        <w:ind w:left="56" w:right="0" w:firstLine="0"/>
        <w:jc w:val="left"/>
        <w:rPr>
          <w:b/>
          <w:sz w:val="14"/>
        </w:rPr>
      </w:pPr>
      <w:r>
        <w:rPr>
          <w:b/>
          <w:color w:val="001F5F"/>
          <w:position w:val="8"/>
          <w:sz w:val="14"/>
        </w:rPr>
        <w:t>98.7 </w:t>
      </w:r>
      <w:r>
        <w:rPr>
          <w:b/>
          <w:color w:val="FFC000"/>
          <w:position w:val="1"/>
          <w:sz w:val="14"/>
        </w:rPr>
        <w:t>93.0 </w:t>
      </w:r>
      <w:r>
        <w:rPr>
          <w:b/>
          <w:color w:val="252525"/>
          <w:sz w:val="14"/>
        </w:rPr>
        <w:t>91.9</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spacing w:before="5"/>
        <w:rPr>
          <w:b/>
        </w:rPr>
      </w:pPr>
    </w:p>
    <w:p>
      <w:pPr>
        <w:spacing w:before="0"/>
        <w:ind w:left="73" w:right="0" w:firstLine="0"/>
        <w:jc w:val="left"/>
        <w:rPr>
          <w:b/>
          <w:sz w:val="14"/>
        </w:rPr>
      </w:pPr>
      <w:r>
        <w:rPr>
          <w:b/>
          <w:color w:val="001F5F"/>
          <w:sz w:val="14"/>
        </w:rPr>
        <w:t>60.3 </w:t>
      </w:r>
      <w:r>
        <w:rPr>
          <w:b/>
          <w:color w:val="FFC000"/>
          <w:sz w:val="14"/>
        </w:rPr>
        <w:t>57.6 </w:t>
      </w:r>
      <w:r>
        <w:rPr>
          <w:b/>
          <w:color w:val="252525"/>
          <w:position w:val="1"/>
          <w:sz w:val="14"/>
        </w:rPr>
        <w:t>58.4</w:t>
      </w:r>
    </w:p>
    <w:p>
      <w:pPr>
        <w:pStyle w:val="BodyText"/>
        <w:rPr>
          <w:b/>
          <w:sz w:val="26"/>
        </w:rPr>
      </w:pPr>
      <w:r>
        <w:rPr/>
        <w:br w:type="column"/>
      </w:r>
      <w:r>
        <w:rPr>
          <w:b/>
          <w:sz w:val="26"/>
        </w:rPr>
      </w:r>
    </w:p>
    <w:p>
      <w:pPr>
        <w:pStyle w:val="BodyText"/>
        <w:rPr>
          <w:b/>
          <w:sz w:val="26"/>
        </w:rPr>
      </w:pPr>
    </w:p>
    <w:p>
      <w:pPr>
        <w:pStyle w:val="BodyText"/>
        <w:rPr>
          <w:b/>
          <w:sz w:val="26"/>
        </w:rPr>
      </w:pPr>
    </w:p>
    <w:p>
      <w:pPr>
        <w:pStyle w:val="BodyText"/>
        <w:spacing w:before="7"/>
        <w:rPr>
          <w:b/>
          <w:sz w:val="29"/>
        </w:rPr>
      </w:pPr>
    </w:p>
    <w:p>
      <w:pPr>
        <w:spacing w:before="0"/>
        <w:ind w:left="92" w:right="0" w:firstLine="0"/>
        <w:jc w:val="left"/>
        <w:rPr>
          <w:b/>
          <w:sz w:val="14"/>
        </w:rPr>
      </w:pPr>
      <w:r>
        <w:rPr>
          <w:b/>
          <w:color w:val="001F5F"/>
          <w:position w:val="-10"/>
          <w:sz w:val="14"/>
        </w:rPr>
        <w:t>32.6 </w:t>
      </w:r>
      <w:r>
        <w:rPr>
          <w:b/>
          <w:color w:val="FFC000"/>
          <w:position w:val="-1"/>
          <w:sz w:val="14"/>
        </w:rPr>
        <w:t>36.3 </w:t>
      </w:r>
      <w:r>
        <w:rPr>
          <w:b/>
          <w:color w:val="252525"/>
          <w:sz w:val="14"/>
        </w:rPr>
        <w:t>38.3</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2"/>
        <w:rPr>
          <w:b/>
          <w:sz w:val="20"/>
        </w:rPr>
      </w:pPr>
    </w:p>
    <w:p>
      <w:pPr>
        <w:spacing w:before="0"/>
        <w:ind w:left="74" w:right="0" w:firstLine="0"/>
        <w:jc w:val="left"/>
        <w:rPr>
          <w:b/>
          <w:sz w:val="14"/>
        </w:rPr>
      </w:pPr>
      <w:r>
        <w:rPr>
          <w:b/>
          <w:color w:val="001F5F"/>
          <w:sz w:val="14"/>
        </w:rPr>
        <w:t>35.1 </w:t>
      </w:r>
      <w:r>
        <w:rPr>
          <w:b/>
          <w:color w:val="FFC000"/>
          <w:position w:val="2"/>
          <w:sz w:val="14"/>
        </w:rPr>
        <w:t>35.9 </w:t>
      </w:r>
      <w:r>
        <w:rPr>
          <w:b/>
          <w:color w:val="252525"/>
          <w:sz w:val="14"/>
        </w:rPr>
        <w:t>34.4</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7"/>
        <w:rPr>
          <w:b/>
          <w:sz w:val="18"/>
        </w:rPr>
      </w:pPr>
    </w:p>
    <w:p>
      <w:pPr>
        <w:spacing w:before="0"/>
        <w:ind w:left="92" w:right="0" w:firstLine="0"/>
        <w:jc w:val="left"/>
        <w:rPr>
          <w:b/>
          <w:sz w:val="14"/>
        </w:rPr>
      </w:pPr>
      <w:r>
        <w:rPr>
          <w:b/>
          <w:color w:val="001F5F"/>
          <w:position w:val="1"/>
          <w:sz w:val="14"/>
        </w:rPr>
        <w:t>31.6 </w:t>
      </w:r>
      <w:r>
        <w:rPr>
          <w:b/>
          <w:color w:val="FFC000"/>
          <w:sz w:val="14"/>
        </w:rPr>
        <w:t>30.8</w:t>
      </w:r>
      <w:r>
        <w:rPr>
          <w:b/>
          <w:color w:val="252525"/>
          <w:sz w:val="14"/>
        </w:rPr>
        <w:t>31.0</w:t>
      </w:r>
    </w:p>
    <w:p>
      <w:pPr>
        <w:spacing w:after="0"/>
        <w:jc w:val="left"/>
        <w:rPr>
          <w:sz w:val="14"/>
        </w:rPr>
        <w:sectPr>
          <w:type w:val="continuous"/>
          <w:pgSz w:w="12240" w:h="15840"/>
          <w:pgMar w:top="1500" w:bottom="280" w:left="1140" w:right="0"/>
          <w:cols w:num="9" w:equalWidth="0">
            <w:col w:w="1855" w:space="40"/>
            <w:col w:w="289" w:space="39"/>
            <w:col w:w="837" w:space="39"/>
            <w:col w:w="950" w:space="40"/>
            <w:col w:w="878" w:space="40"/>
            <w:col w:w="914" w:space="39"/>
            <w:col w:w="913" w:space="39"/>
            <w:col w:w="914" w:space="40"/>
            <w:col w:w="3234"/>
          </w:cols>
        </w:sectPr>
      </w:pPr>
    </w:p>
    <w:p>
      <w:pPr>
        <w:pStyle w:val="BodyText"/>
        <w:spacing w:before="2"/>
        <w:rPr>
          <w:b/>
          <w:sz w:val="16"/>
        </w:rPr>
      </w:pPr>
    </w:p>
    <w:p>
      <w:pPr>
        <w:spacing w:after="0"/>
        <w:rPr>
          <w:sz w:val="16"/>
        </w:rPr>
        <w:sectPr>
          <w:type w:val="continuous"/>
          <w:pgSz w:w="12240" w:h="15840"/>
          <w:pgMar w:top="1500" w:bottom="280" w:left="1140" w:right="0"/>
        </w:sectPr>
      </w:pPr>
    </w:p>
    <w:p>
      <w:pPr>
        <w:spacing w:before="93"/>
        <w:ind w:left="1392" w:right="0" w:hanging="24"/>
        <w:jc w:val="right"/>
        <w:rPr>
          <w:sz w:val="14"/>
        </w:rPr>
      </w:pPr>
      <w:r>
        <w:rPr>
          <w:color w:val="585858"/>
          <w:w w:val="95"/>
          <w:sz w:val="14"/>
        </w:rPr>
        <w:t>Economias avanzadas</w:t>
      </w:r>
    </w:p>
    <w:p>
      <w:pPr>
        <w:spacing w:before="93"/>
        <w:ind w:left="349" w:right="-5" w:hanging="202"/>
        <w:jc w:val="left"/>
        <w:rPr>
          <w:sz w:val="14"/>
        </w:rPr>
      </w:pPr>
      <w:r>
        <w:rPr/>
        <w:br w:type="column"/>
      </w:r>
      <w:r>
        <w:rPr>
          <w:color w:val="585858"/>
          <w:sz w:val="14"/>
        </w:rPr>
        <w:t>Latinoamérica </w:t>
      </w:r>
      <w:r>
        <w:rPr>
          <w:color w:val="585858"/>
          <w:spacing w:val="-17"/>
          <w:sz w:val="14"/>
        </w:rPr>
        <w:t>y </w:t>
      </w:r>
      <w:r>
        <w:rPr>
          <w:color w:val="585858"/>
          <w:sz w:val="14"/>
        </w:rPr>
        <w:t>el Caribe</w:t>
      </w:r>
    </w:p>
    <w:p>
      <w:pPr>
        <w:pStyle w:val="ListParagraph"/>
        <w:numPr>
          <w:ilvl w:val="3"/>
          <w:numId w:val="24"/>
        </w:numPr>
        <w:tabs>
          <w:tab w:pos="1244" w:val="left" w:leader="none"/>
          <w:tab w:pos="1245" w:val="left" w:leader="none"/>
          <w:tab w:pos="2151" w:val="left" w:leader="none"/>
          <w:tab w:pos="3166" w:val="left" w:leader="none"/>
          <w:tab w:pos="4143" w:val="left" w:leader="none"/>
          <w:tab w:pos="4921" w:val="left" w:leader="none"/>
        </w:tabs>
        <w:spacing w:line="240" w:lineRule="auto" w:before="93" w:after="0"/>
        <w:ind w:left="1244" w:right="0" w:hanging="1026"/>
        <w:jc w:val="left"/>
        <w:rPr>
          <w:sz w:val="14"/>
        </w:rPr>
      </w:pPr>
      <w:r>
        <w:rPr>
          <w:color w:val="585858"/>
          <w:w w:val="99"/>
          <w:sz w:val="14"/>
        </w:rPr>
        <w:br w:type="column"/>
      </w:r>
      <w:r>
        <w:rPr>
          <w:color w:val="585858"/>
          <w:sz w:val="14"/>
        </w:rPr>
        <w:t>Brasil</w:t>
        <w:tab/>
        <w:t>México</w:t>
        <w:tab/>
        <w:t>Chile</w:t>
        <w:tab/>
        <w:t>Perú</w:t>
        <w:tab/>
        <w:t>Guatemala</w:t>
      </w:r>
    </w:p>
    <w:p>
      <w:pPr>
        <w:pStyle w:val="BodyText"/>
        <w:spacing w:before="5"/>
        <w:rPr>
          <w:sz w:val="14"/>
        </w:rPr>
      </w:pPr>
    </w:p>
    <w:p>
      <w:pPr>
        <w:tabs>
          <w:tab w:pos="1825" w:val="left" w:leader="none"/>
          <w:tab w:pos="3504" w:val="left" w:leader="none"/>
        </w:tabs>
        <w:spacing w:before="0"/>
        <w:ind w:left="146" w:right="0" w:firstLine="0"/>
        <w:jc w:val="left"/>
        <w:rPr>
          <w:sz w:val="16"/>
        </w:rPr>
      </w:pPr>
      <w:r>
        <w:rPr/>
        <w:pict>
          <v:group style="position:absolute;margin-left:214.679993pt;margin-top:2.688779pt;width:4.7pt;height:4.7pt;mso-position-horizontal-relative:page;mso-position-vertical-relative:paragraph;z-index:252986368" coordorigin="4294,54" coordsize="94,94">
            <v:rect style="position:absolute;left:4300;top:60;width:80;height:80" filled="true" fillcolor="#001f5f" stroked="false">
              <v:fill type="solid"/>
            </v:rect>
            <v:rect style="position:absolute;left:4300;top:60;width:80;height:80" filled="false" stroked="true" strokeweight=".72pt" strokecolor="#000000">
              <v:stroke dashstyle="solid"/>
            </v:rect>
            <w10:wrap type="none"/>
          </v:group>
        </w:pict>
      </w:r>
      <w:r>
        <w:rPr/>
        <w:pict>
          <v:group style="position:absolute;margin-left:298.679993pt;margin-top:2.688779pt;width:4.7pt;height:4.7pt;mso-position-horizontal-relative:page;mso-position-vertical-relative:paragraph;z-index:-280332288" coordorigin="5974,54" coordsize="94,94">
            <v:rect style="position:absolute;left:5980;top:60;width:80;height:80" filled="true" fillcolor="#ffc000" stroked="false">
              <v:fill type="solid"/>
            </v:rect>
            <v:rect style="position:absolute;left:5980;top:60;width:80;height:80" filled="false" stroked="true" strokeweight=".72pt" strokecolor="#000000">
              <v:stroke dashstyle="solid"/>
            </v:rect>
            <w10:wrap type="none"/>
          </v:group>
        </w:pict>
      </w:r>
      <w:r>
        <w:rPr/>
        <w:pict>
          <v:group style="position:absolute;margin-left:382.559998pt;margin-top:2.688779pt;width:4.7pt;height:4.7pt;mso-position-horizontal-relative:page;mso-position-vertical-relative:paragraph;z-index:-280331264" coordorigin="7651,54" coordsize="94,94">
            <v:rect style="position:absolute;left:7658;top:60;width:80;height:80" filled="true" fillcolor="#a4a4a4" stroked="false">
              <v:fill type="solid"/>
            </v:rect>
            <v:rect style="position:absolute;left:7658;top:60;width:80;height:80" filled="false" stroked="true" strokeweight=".72pt" strokecolor="#000000">
              <v:stroke dashstyle="solid"/>
            </v:rect>
            <w10:wrap type="none"/>
          </v:group>
        </w:pict>
      </w:r>
      <w:r>
        <w:rPr>
          <w:color w:val="585858"/>
          <w:sz w:val="16"/>
        </w:rPr>
        <w:t>2020</w:t>
        <w:tab/>
        <w:t>2021</w:t>
        <w:tab/>
        <w:t>2022</w:t>
      </w:r>
      <w:r>
        <w:rPr>
          <w:color w:val="585858"/>
          <w:spacing w:val="-2"/>
          <w:sz w:val="16"/>
        </w:rPr>
        <w:t> </w:t>
      </w:r>
      <w:r>
        <w:rPr>
          <w:color w:val="585858"/>
          <w:sz w:val="16"/>
        </w:rPr>
        <w:t>py/</w:t>
      </w:r>
    </w:p>
    <w:p>
      <w:pPr>
        <w:spacing w:after="0"/>
        <w:jc w:val="left"/>
        <w:rPr>
          <w:sz w:val="16"/>
        </w:rPr>
        <w:sectPr>
          <w:type w:val="continuous"/>
          <w:pgSz w:w="12240" w:h="15840"/>
          <w:pgMar w:top="1500" w:bottom="280" w:left="1140" w:right="0"/>
          <w:cols w:num="3" w:equalWidth="0">
            <w:col w:w="1990" w:space="40"/>
            <w:col w:w="1059" w:space="39"/>
            <w:col w:w="7972"/>
          </w:cols>
        </w:sectPr>
      </w:pPr>
    </w:p>
    <w:p>
      <w:pPr>
        <w:pStyle w:val="BodyText"/>
        <w:spacing w:before="11"/>
        <w:rPr>
          <w:sz w:val="15"/>
        </w:rPr>
      </w:pPr>
    </w:p>
    <w:p>
      <w:pPr>
        <w:spacing w:line="276" w:lineRule="auto" w:before="94"/>
        <w:ind w:left="562" w:right="3741" w:firstLine="0"/>
        <w:jc w:val="left"/>
        <w:rPr>
          <w:sz w:val="16"/>
        </w:rPr>
      </w:pPr>
      <w:r>
        <w:rPr>
          <w:sz w:val="16"/>
        </w:rPr>
        <w:t>Fuente: Dirección de Análisis y Política Fiscal con información del Fiscal Monitor del FMI, abril de 2022 Nota: e/ son datos estimados y py/ son proyecciones.</w:t>
      </w:r>
    </w:p>
    <w:p>
      <w:pPr>
        <w:pStyle w:val="BodyText"/>
        <w:spacing w:before="2"/>
        <w:rPr>
          <w:sz w:val="25"/>
        </w:rPr>
      </w:pPr>
    </w:p>
    <w:p>
      <w:pPr>
        <w:pStyle w:val="BodyText"/>
        <w:spacing w:line="276" w:lineRule="auto"/>
        <w:ind w:left="562" w:right="1695"/>
        <w:jc w:val="both"/>
      </w:pPr>
      <w:r>
        <w:rPr/>
        <w:t>En</w:t>
      </w:r>
      <w:r>
        <w:rPr>
          <w:spacing w:val="-7"/>
        </w:rPr>
        <w:t> </w:t>
      </w:r>
      <w:r>
        <w:rPr/>
        <w:t>2020</w:t>
      </w:r>
      <w:r>
        <w:rPr>
          <w:spacing w:val="-6"/>
        </w:rPr>
        <w:t> </w:t>
      </w:r>
      <w:r>
        <w:rPr/>
        <w:t>el</w:t>
      </w:r>
      <w:r>
        <w:rPr>
          <w:spacing w:val="-5"/>
        </w:rPr>
        <w:t> </w:t>
      </w:r>
      <w:r>
        <w:rPr/>
        <w:t>incremento</w:t>
      </w:r>
      <w:r>
        <w:rPr>
          <w:spacing w:val="-5"/>
        </w:rPr>
        <w:t> </w:t>
      </w:r>
      <w:r>
        <w:rPr/>
        <w:t>del</w:t>
      </w:r>
      <w:r>
        <w:rPr>
          <w:spacing w:val="-7"/>
        </w:rPr>
        <w:t> </w:t>
      </w:r>
      <w:r>
        <w:rPr/>
        <w:t>ratio</w:t>
      </w:r>
      <w:r>
        <w:rPr>
          <w:spacing w:val="-6"/>
        </w:rPr>
        <w:t> </w:t>
      </w:r>
      <w:r>
        <w:rPr/>
        <w:t>deuda/PIB</w:t>
      </w:r>
      <w:r>
        <w:rPr>
          <w:spacing w:val="-6"/>
        </w:rPr>
        <w:t> </w:t>
      </w:r>
      <w:r>
        <w:rPr/>
        <w:t>fue</w:t>
      </w:r>
      <w:r>
        <w:rPr>
          <w:spacing w:val="-6"/>
        </w:rPr>
        <w:t> </w:t>
      </w:r>
      <w:r>
        <w:rPr/>
        <w:t>generalizado</w:t>
      </w:r>
      <w:r>
        <w:rPr>
          <w:spacing w:val="-6"/>
        </w:rPr>
        <w:t> </w:t>
      </w:r>
      <w:r>
        <w:rPr/>
        <w:t>para</w:t>
      </w:r>
      <w:r>
        <w:rPr>
          <w:spacing w:val="-8"/>
        </w:rPr>
        <w:t> </w:t>
      </w:r>
      <w:r>
        <w:rPr/>
        <w:t>la</w:t>
      </w:r>
      <w:r>
        <w:rPr>
          <w:spacing w:val="-5"/>
        </w:rPr>
        <w:t> </w:t>
      </w:r>
      <w:r>
        <w:rPr/>
        <w:t>mayoría</w:t>
      </w:r>
      <w:r>
        <w:rPr>
          <w:spacing w:val="-6"/>
        </w:rPr>
        <w:t> </w:t>
      </w:r>
      <w:r>
        <w:rPr/>
        <w:t>de</w:t>
      </w:r>
      <w:r>
        <w:rPr>
          <w:spacing w:val="-8"/>
        </w:rPr>
        <w:t> </w:t>
      </w:r>
      <w:r>
        <w:rPr/>
        <w:t>los</w:t>
      </w:r>
      <w:r>
        <w:rPr>
          <w:spacing w:val="-7"/>
        </w:rPr>
        <w:t> </w:t>
      </w:r>
      <w:r>
        <w:rPr/>
        <w:t>países</w:t>
      </w:r>
      <w:r>
        <w:rPr>
          <w:spacing w:val="-5"/>
        </w:rPr>
        <w:t> </w:t>
      </w:r>
      <w:r>
        <w:rPr/>
        <w:t>del</w:t>
      </w:r>
      <w:r>
        <w:rPr>
          <w:spacing w:val="-5"/>
        </w:rPr>
        <w:t> </w:t>
      </w:r>
      <w:r>
        <w:rPr/>
        <w:t>mundo, debido</w:t>
      </w:r>
      <w:r>
        <w:rPr>
          <w:spacing w:val="-7"/>
        </w:rPr>
        <w:t> </w:t>
      </w:r>
      <w:r>
        <w:rPr/>
        <w:t>a</w:t>
      </w:r>
      <w:r>
        <w:rPr>
          <w:spacing w:val="-3"/>
        </w:rPr>
        <w:t> </w:t>
      </w:r>
      <w:r>
        <w:rPr/>
        <w:t>que</w:t>
      </w:r>
      <w:r>
        <w:rPr>
          <w:spacing w:val="-6"/>
        </w:rPr>
        <w:t> </w:t>
      </w:r>
      <w:r>
        <w:rPr/>
        <w:t>se</w:t>
      </w:r>
      <w:r>
        <w:rPr>
          <w:spacing w:val="-3"/>
        </w:rPr>
        <w:t> </w:t>
      </w:r>
      <w:r>
        <w:rPr/>
        <w:t>tuvieron</w:t>
      </w:r>
      <w:r>
        <w:rPr>
          <w:spacing w:val="-4"/>
        </w:rPr>
        <w:t> </w:t>
      </w:r>
      <w:r>
        <w:rPr/>
        <w:t>bajas</w:t>
      </w:r>
      <w:r>
        <w:rPr>
          <w:spacing w:val="-3"/>
        </w:rPr>
        <w:t> </w:t>
      </w:r>
      <w:r>
        <w:rPr/>
        <w:t>en</w:t>
      </w:r>
      <w:r>
        <w:rPr>
          <w:spacing w:val="-4"/>
        </w:rPr>
        <w:t> </w:t>
      </w:r>
      <w:r>
        <w:rPr/>
        <w:t>los</w:t>
      </w:r>
      <w:r>
        <w:rPr>
          <w:spacing w:val="-4"/>
        </w:rPr>
        <w:t> </w:t>
      </w:r>
      <w:r>
        <w:rPr/>
        <w:t>ingresos</w:t>
      </w:r>
      <w:r>
        <w:rPr>
          <w:spacing w:val="-3"/>
        </w:rPr>
        <w:t> </w:t>
      </w:r>
      <w:r>
        <w:rPr/>
        <w:t>fiscales</w:t>
      </w:r>
      <w:r>
        <w:rPr>
          <w:spacing w:val="-5"/>
        </w:rPr>
        <w:t> </w:t>
      </w:r>
      <w:r>
        <w:rPr/>
        <w:t>y</w:t>
      </w:r>
      <w:r>
        <w:rPr>
          <w:spacing w:val="-6"/>
        </w:rPr>
        <w:t> </w:t>
      </w:r>
      <w:r>
        <w:rPr/>
        <w:t>los</w:t>
      </w:r>
      <w:r>
        <w:rPr>
          <w:spacing w:val="-3"/>
        </w:rPr>
        <w:t> </w:t>
      </w:r>
      <w:r>
        <w:rPr/>
        <w:t>países</w:t>
      </w:r>
      <w:r>
        <w:rPr>
          <w:spacing w:val="-5"/>
        </w:rPr>
        <w:t> </w:t>
      </w:r>
      <w:r>
        <w:rPr/>
        <w:t>tomaron</w:t>
      </w:r>
      <w:r>
        <w:rPr>
          <w:spacing w:val="-4"/>
        </w:rPr>
        <w:t> </w:t>
      </w:r>
      <w:r>
        <w:rPr/>
        <w:t>diversas</w:t>
      </w:r>
      <w:r>
        <w:rPr>
          <w:spacing w:val="-3"/>
        </w:rPr>
        <w:t> </w:t>
      </w:r>
      <w:r>
        <w:rPr/>
        <w:t>medidas</w:t>
      </w:r>
      <w:r>
        <w:rPr>
          <w:spacing w:val="-4"/>
        </w:rPr>
        <w:t> </w:t>
      </w:r>
      <w:r>
        <w:rPr/>
        <w:t>fiscales como el incremento importante en el gasto público para atender la crisis del COVID-19. Las fuertes políticas expansivas adoptadas en algunos países no pudieron eliminarse de forma inmediata y por ello en 2021 se observa que, Chile y Perú tuvieron incrementos en la deuda respecto al PIB. Para Chile el aumento de ratio fue de 3.7 puntos porcentuales y en Perú fue más moderado el aumento</w:t>
      </w:r>
      <w:r>
        <w:rPr>
          <w:spacing w:val="-5"/>
        </w:rPr>
        <w:t> </w:t>
      </w:r>
      <w:r>
        <w:rPr/>
        <w:t>en</w:t>
      </w:r>
    </w:p>
    <w:p>
      <w:pPr>
        <w:pStyle w:val="BodyText"/>
        <w:spacing w:line="252" w:lineRule="exact"/>
        <w:ind w:left="562"/>
        <w:jc w:val="both"/>
      </w:pPr>
      <w:r>
        <w:rPr/>
        <w:t>0.8 puntos porcentuales.</w:t>
      </w:r>
    </w:p>
    <w:p>
      <w:pPr>
        <w:pStyle w:val="BodyText"/>
        <w:spacing w:before="6"/>
        <w:rPr>
          <w:sz w:val="28"/>
        </w:rPr>
      </w:pPr>
    </w:p>
    <w:p>
      <w:pPr>
        <w:pStyle w:val="BodyText"/>
        <w:spacing w:line="276" w:lineRule="auto"/>
        <w:ind w:left="562" w:right="1693"/>
        <w:jc w:val="both"/>
      </w:pPr>
      <w:r>
        <w:rPr/>
        <w:t>Guatemala posee un ratio deuda/PIB muy moderado en comparación al resto del mundo y en 2021 incluso</w:t>
      </w:r>
      <w:r>
        <w:rPr>
          <w:spacing w:val="-11"/>
        </w:rPr>
        <w:t> </w:t>
      </w:r>
      <w:r>
        <w:rPr/>
        <w:t>disminuyó</w:t>
      </w:r>
      <w:r>
        <w:rPr>
          <w:spacing w:val="-11"/>
        </w:rPr>
        <w:t> </w:t>
      </w:r>
      <w:r>
        <w:rPr/>
        <w:t>hasta</w:t>
      </w:r>
      <w:r>
        <w:rPr>
          <w:spacing w:val="-13"/>
        </w:rPr>
        <w:t> </w:t>
      </w:r>
      <w:r>
        <w:rPr/>
        <w:t>situarse</w:t>
      </w:r>
      <w:r>
        <w:rPr>
          <w:spacing w:val="-10"/>
        </w:rPr>
        <w:t> </w:t>
      </w:r>
      <w:r>
        <w:rPr/>
        <w:t>en</w:t>
      </w:r>
      <w:r>
        <w:rPr>
          <w:spacing w:val="-10"/>
        </w:rPr>
        <w:t> </w:t>
      </w:r>
      <w:r>
        <w:rPr/>
        <w:t>30.8%,</w:t>
      </w:r>
      <w:r>
        <w:rPr>
          <w:spacing w:val="-11"/>
        </w:rPr>
        <w:t> </w:t>
      </w:r>
      <w:r>
        <w:rPr/>
        <w:t>mientras</w:t>
      </w:r>
      <w:r>
        <w:rPr>
          <w:spacing w:val="-11"/>
        </w:rPr>
        <w:t> </w:t>
      </w:r>
      <w:r>
        <w:rPr/>
        <w:t>que</w:t>
      </w:r>
      <w:r>
        <w:rPr>
          <w:spacing w:val="-10"/>
        </w:rPr>
        <w:t> </w:t>
      </w:r>
      <w:r>
        <w:rPr/>
        <w:t>para</w:t>
      </w:r>
      <w:r>
        <w:rPr>
          <w:spacing w:val="-10"/>
        </w:rPr>
        <w:t> </w:t>
      </w:r>
      <w:r>
        <w:rPr/>
        <w:t>2022</w:t>
      </w:r>
      <w:r>
        <w:rPr>
          <w:spacing w:val="-11"/>
        </w:rPr>
        <w:t> </w:t>
      </w:r>
      <w:r>
        <w:rPr/>
        <w:t>se</w:t>
      </w:r>
      <w:r>
        <w:rPr>
          <w:spacing w:val="-10"/>
        </w:rPr>
        <w:t> </w:t>
      </w:r>
      <w:r>
        <w:rPr/>
        <w:t>tiene</w:t>
      </w:r>
      <w:r>
        <w:rPr>
          <w:spacing w:val="-11"/>
        </w:rPr>
        <w:t> </w:t>
      </w:r>
      <w:r>
        <w:rPr/>
        <w:t>una</w:t>
      </w:r>
      <w:r>
        <w:rPr>
          <w:spacing w:val="-10"/>
        </w:rPr>
        <w:t> </w:t>
      </w:r>
      <w:r>
        <w:rPr/>
        <w:t>proyección</w:t>
      </w:r>
      <w:r>
        <w:rPr>
          <w:spacing w:val="-11"/>
        </w:rPr>
        <w:t> </w:t>
      </w:r>
      <w:r>
        <w:rPr/>
        <w:t>de</w:t>
      </w:r>
      <w:r>
        <w:rPr>
          <w:spacing w:val="-11"/>
        </w:rPr>
        <w:t> </w:t>
      </w:r>
      <w:r>
        <w:rPr/>
        <w:t>31.0%, con lo cual aumentaría en</w:t>
      </w:r>
      <w:r>
        <w:rPr>
          <w:spacing w:val="-1"/>
        </w:rPr>
        <w:t> </w:t>
      </w:r>
      <w:r>
        <w:rPr/>
        <w:t>0.2%.</w:t>
      </w:r>
    </w:p>
    <w:p>
      <w:pPr>
        <w:pStyle w:val="BodyText"/>
        <w:spacing w:before="4"/>
        <w:rPr>
          <w:sz w:val="25"/>
        </w:rPr>
      </w:pPr>
    </w:p>
    <w:p>
      <w:pPr>
        <w:pStyle w:val="BodyText"/>
        <w:spacing w:line="276" w:lineRule="auto"/>
        <w:ind w:left="562" w:right="1693"/>
        <w:jc w:val="both"/>
      </w:pPr>
      <w:r>
        <w:rPr/>
        <w:t>Tomando como base a las proyecciones del Fondo Monetario Internacional, se determinó la</w:t>
      </w:r>
      <w:r>
        <w:rPr>
          <w:spacing w:val="-31"/>
        </w:rPr>
        <w:t> </w:t>
      </w:r>
      <w:r>
        <w:rPr/>
        <w:t>relación deuda/ingresos fiscales de los países de América Latina y mostró entre los países que tienen un alto nivel en este indicador, destacan: 431% para Costa Rica, 405% para República Dominicana, 356% para Belice, 295% para Brasil, 309% para Bolivia, entre otros</w:t>
      </w:r>
      <w:r>
        <w:rPr>
          <w:spacing w:val="-11"/>
        </w:rPr>
        <w:t> </w:t>
      </w:r>
      <w:r>
        <w:rPr/>
        <w:t>países.</w:t>
      </w:r>
    </w:p>
    <w:p>
      <w:pPr>
        <w:pStyle w:val="BodyText"/>
        <w:spacing w:before="10"/>
        <w:rPr>
          <w:sz w:val="25"/>
        </w:rPr>
      </w:pPr>
    </w:p>
    <w:p>
      <w:pPr>
        <w:spacing w:before="0"/>
        <w:ind w:left="2318" w:right="0" w:firstLine="0"/>
        <w:jc w:val="left"/>
        <w:rPr>
          <w:b/>
          <w:sz w:val="20"/>
        </w:rPr>
      </w:pPr>
      <w:bookmarkStart w:name="_bookmark182" w:id="232"/>
      <w:bookmarkEnd w:id="232"/>
      <w:r>
        <w:rPr/>
      </w:r>
      <w:r>
        <w:rPr>
          <w:b/>
          <w:i/>
          <w:sz w:val="20"/>
        </w:rPr>
        <w:t>Gráfico 95. </w:t>
      </w:r>
      <w:r>
        <w:rPr>
          <w:b/>
          <w:sz w:val="20"/>
        </w:rPr>
        <w:t>Indicadores de deuda para Latinoamérica en 2022</w:t>
      </w:r>
    </w:p>
    <w:p>
      <w:pPr>
        <w:spacing w:after="0"/>
        <w:jc w:val="left"/>
        <w:rPr>
          <w:sz w:val="20"/>
        </w:rPr>
        <w:sectPr>
          <w:type w:val="continuous"/>
          <w:pgSz w:w="12240" w:h="15840"/>
          <w:pgMar w:top="1500" w:bottom="280" w:left="1140" w:right="0"/>
        </w:sectPr>
      </w:pPr>
    </w:p>
    <w:p>
      <w:pPr>
        <w:pStyle w:val="BodyText"/>
        <w:spacing w:before="6"/>
        <w:rPr>
          <w:b/>
          <w:sz w:val="13"/>
        </w:rPr>
      </w:pPr>
    </w:p>
    <w:p>
      <w:pPr>
        <w:spacing w:before="0"/>
        <w:ind w:left="0" w:right="38" w:firstLine="0"/>
        <w:jc w:val="right"/>
        <w:rPr>
          <w:sz w:val="12"/>
        </w:rPr>
      </w:pPr>
      <w:r>
        <w:rPr>
          <w:color w:val="585858"/>
          <w:spacing w:val="-1"/>
          <w:sz w:val="12"/>
        </w:rPr>
        <w:t>35.0</w:t>
      </w:r>
    </w:p>
    <w:p>
      <w:pPr>
        <w:pStyle w:val="BodyText"/>
        <w:rPr>
          <w:sz w:val="12"/>
        </w:rPr>
      </w:pPr>
    </w:p>
    <w:p>
      <w:pPr>
        <w:pStyle w:val="BodyText"/>
        <w:spacing w:before="4"/>
        <w:rPr>
          <w:sz w:val="16"/>
        </w:rPr>
      </w:pPr>
    </w:p>
    <w:p>
      <w:pPr>
        <w:spacing w:before="0"/>
        <w:ind w:left="0" w:right="38" w:firstLine="0"/>
        <w:jc w:val="right"/>
        <w:rPr>
          <w:sz w:val="12"/>
        </w:rPr>
      </w:pPr>
      <w:r>
        <w:rPr/>
        <w:pict>
          <v:shape style="position:absolute;margin-left:71.709854pt;margin-top:8.583486pt;width:9.75pt;height:75pt;mso-position-horizontal-relative:page;mso-position-vertical-relative:paragraph;z-index:253017088" type="#_x0000_t202" filled="false" stroked="false">
            <v:textbox inset="0,0,0,0" style="layout-flow:vertical;mso-layout-flow-alt:bottom-to-top">
              <w:txbxContent>
                <w:p>
                  <w:pPr>
                    <w:spacing w:before="13"/>
                    <w:ind w:left="20" w:right="0" w:firstLine="0"/>
                    <w:jc w:val="left"/>
                    <w:rPr>
                      <w:sz w:val="14"/>
                    </w:rPr>
                  </w:pPr>
                  <w:r>
                    <w:rPr>
                      <w:color w:val="585858"/>
                      <w:sz w:val="14"/>
                    </w:rPr>
                    <w:t>Ingresos Fiscales/PIB (%)</w:t>
                  </w:r>
                </w:p>
              </w:txbxContent>
            </v:textbox>
            <w10:wrap type="none"/>
          </v:shape>
        </w:pict>
      </w:r>
      <w:r>
        <w:rPr>
          <w:color w:val="585858"/>
          <w:spacing w:val="-1"/>
          <w:sz w:val="12"/>
        </w:rPr>
        <w:t>30.0</w:t>
      </w:r>
    </w:p>
    <w:p>
      <w:pPr>
        <w:pStyle w:val="BodyText"/>
        <w:rPr>
          <w:sz w:val="12"/>
        </w:rPr>
      </w:pPr>
    </w:p>
    <w:p>
      <w:pPr>
        <w:pStyle w:val="BodyText"/>
        <w:spacing w:before="4"/>
        <w:rPr>
          <w:sz w:val="16"/>
        </w:rPr>
      </w:pPr>
    </w:p>
    <w:p>
      <w:pPr>
        <w:spacing w:before="0"/>
        <w:ind w:left="0" w:right="38" w:firstLine="0"/>
        <w:jc w:val="right"/>
        <w:rPr>
          <w:sz w:val="12"/>
        </w:rPr>
      </w:pPr>
      <w:r>
        <w:rPr>
          <w:color w:val="585858"/>
          <w:spacing w:val="-1"/>
          <w:sz w:val="12"/>
        </w:rPr>
        <w:t>25.0</w:t>
      </w:r>
    </w:p>
    <w:p>
      <w:pPr>
        <w:pStyle w:val="BodyText"/>
        <w:rPr>
          <w:sz w:val="12"/>
        </w:rPr>
      </w:pPr>
    </w:p>
    <w:p>
      <w:pPr>
        <w:pStyle w:val="BodyText"/>
        <w:spacing w:before="4"/>
        <w:rPr>
          <w:sz w:val="16"/>
        </w:rPr>
      </w:pPr>
    </w:p>
    <w:p>
      <w:pPr>
        <w:spacing w:before="0"/>
        <w:ind w:left="0" w:right="38" w:firstLine="0"/>
        <w:jc w:val="right"/>
        <w:rPr>
          <w:sz w:val="12"/>
        </w:rPr>
      </w:pPr>
      <w:r>
        <w:rPr>
          <w:color w:val="585858"/>
          <w:spacing w:val="-1"/>
          <w:sz w:val="12"/>
        </w:rPr>
        <w:t>20.0</w:t>
      </w:r>
    </w:p>
    <w:p>
      <w:pPr>
        <w:pStyle w:val="BodyText"/>
        <w:rPr>
          <w:sz w:val="12"/>
        </w:rPr>
      </w:pPr>
    </w:p>
    <w:p>
      <w:pPr>
        <w:pStyle w:val="BodyText"/>
        <w:spacing w:before="4"/>
        <w:rPr>
          <w:sz w:val="16"/>
        </w:rPr>
      </w:pPr>
    </w:p>
    <w:p>
      <w:pPr>
        <w:spacing w:before="0"/>
        <w:ind w:left="0" w:right="38" w:firstLine="0"/>
        <w:jc w:val="right"/>
        <w:rPr>
          <w:sz w:val="12"/>
        </w:rPr>
      </w:pPr>
      <w:r>
        <w:rPr>
          <w:color w:val="585858"/>
          <w:spacing w:val="-1"/>
          <w:sz w:val="12"/>
        </w:rPr>
        <w:t>15.0</w:t>
      </w:r>
    </w:p>
    <w:p>
      <w:pPr>
        <w:pStyle w:val="BodyText"/>
        <w:spacing w:before="10"/>
        <w:rPr>
          <w:sz w:val="13"/>
        </w:rPr>
      </w:pPr>
      <w:r>
        <w:rPr/>
        <w:br w:type="column"/>
      </w:r>
      <w:r>
        <w:rPr>
          <w:sz w:val="13"/>
        </w:rPr>
      </w:r>
    </w:p>
    <w:p>
      <w:pPr>
        <w:spacing w:before="0"/>
        <w:ind w:left="500" w:right="0" w:firstLine="0"/>
        <w:jc w:val="left"/>
        <w:rPr>
          <w:sz w:val="14"/>
        </w:rPr>
      </w:pPr>
      <w:r>
        <w:rPr>
          <w:color w:val="585858"/>
          <w:sz w:val="14"/>
        </w:rPr>
        <w:t>490.0</w:t>
      </w:r>
    </w:p>
    <w:p>
      <w:pPr>
        <w:pStyle w:val="BodyText"/>
        <w:spacing w:before="7"/>
        <w:rPr>
          <w:sz w:val="14"/>
        </w:rPr>
      </w:pPr>
    </w:p>
    <w:p>
      <w:pPr>
        <w:spacing w:before="0"/>
        <w:ind w:left="500" w:right="0" w:firstLine="0"/>
        <w:jc w:val="left"/>
        <w:rPr>
          <w:sz w:val="14"/>
        </w:rPr>
      </w:pPr>
      <w:r>
        <w:rPr/>
        <w:pict>
          <v:group style="position:absolute;margin-left:339.959991pt;margin-top:-12.164844pt;width:184.6pt;height:132.25pt;mso-position-horizontal-relative:page;mso-position-vertical-relative:paragraph;z-index:253016064" coordorigin="6799,-243" coordsize="3692,2645">
            <v:shape style="position:absolute;left:0;top:2303;width:3684;height:2638" coordorigin="0,2303" coordsize="3684,2638" path="m6806,2394l6806,-243m6806,2394l10490,2394e" filled="false" stroked="true" strokeweight=".72pt" strokecolor="#bebebe">
              <v:path arrowok="t"/>
              <v:stroke dashstyle="solid"/>
            </v:shape>
            <v:shape style="position:absolute;left:7279;top:86;width:2633;height:2038" coordorigin="7279,87" coordsize="2633,2038" path="m7399,1863l7339,1803,7279,1863,7339,1923,7399,1863m7411,2064l7351,2004,7291,2064,7351,2124,7411,2064m7809,1719l7749,1659,7689,1719,7749,1779,7809,1719m7824,1856l7764,1796,7704,1856,7764,1916,7824,1856m8126,1359l8066,1299,8006,1359,8066,1419,8126,1359m8153,869l8093,809,8033,869,8093,929,8153,869m8306,317l8246,257,8186,317,8246,377,8306,317m8359,1448l8299,1388,8239,1448,8299,1508,8359,1448m8455,1416l8395,1356,8335,1416,8395,1476,8455,1416m8484,147l8424,87,8364,147,8424,207,8484,147m8894,1402l8834,1342,8774,1402,8834,1462,8894,1402m8995,898l8935,838,8875,898,8883,906,8841,948,8901,1008,8961,948,8953,940,8995,898m9309,1042l9249,982,9246,986,9199,939,9139,999,9199,1059,9203,1055,9249,1102,9309,1042m9912,639l9852,579,9792,639,9852,699,9912,639e" filled="true" fillcolor="#001f5f" stroked="false">
              <v:path arrowok="t"/>
              <v:fill type="solid"/>
            </v:shape>
            <v:shape style="position:absolute;left:7113;top:1146;width:120;height:120" coordorigin="7114,1146" coordsize="120,120" path="m7174,1146l7114,1206,7174,1266,7234,1206,7174,1146xe" filled="true" fillcolor="#c00000" stroked="false">
              <v:path arrowok="t"/>
              <v:fill type="solid"/>
            </v:shape>
            <v:shape style="position:absolute;left:7312;top:1650;width:120;height:120" coordorigin="7313,1650" coordsize="120,120" path="m7373,1650l7313,1710,7373,1770,7433,1710,7373,1650xe" filled="true" fillcolor="#001f5f" stroked="false">
              <v:path arrowok="t"/>
              <v:fill type="solid"/>
            </v:shape>
            <v:shape style="position:absolute;left:8427;top:78;width:351;height:316" type="#_x0000_t202" filled="false" stroked="false">
              <v:textbox inset="0,0,0,0">
                <w:txbxContent>
                  <w:p>
                    <w:pPr>
                      <w:spacing w:line="276" w:lineRule="auto" w:before="0"/>
                      <w:ind w:left="0" w:right="0" w:firstLine="114"/>
                      <w:jc w:val="left"/>
                      <w:rPr>
                        <w:sz w:val="13"/>
                      </w:rPr>
                    </w:pPr>
                    <w:r>
                      <w:rPr>
                        <w:color w:val="404040"/>
                        <w:sz w:val="13"/>
                      </w:rPr>
                      <w:t>CRI DOM</w:t>
                    </w:r>
                  </w:p>
                </w:txbxContent>
              </v:textbox>
              <w10:wrap type="none"/>
            </v:shape>
            <v:shape style="position:absolute;left:8816;top:607;width:258;height:144" type="#_x0000_t202" filled="false" stroked="false">
              <v:textbox inset="0,0,0,0">
                <w:txbxContent>
                  <w:p>
                    <w:pPr>
                      <w:spacing w:line="144" w:lineRule="exact" w:before="0"/>
                      <w:ind w:left="0" w:right="0" w:firstLine="0"/>
                      <w:jc w:val="left"/>
                      <w:rPr>
                        <w:sz w:val="13"/>
                      </w:rPr>
                    </w:pPr>
                    <w:r>
                      <w:rPr>
                        <w:color w:val="404040"/>
                        <w:sz w:val="13"/>
                      </w:rPr>
                      <w:t>SLV</w:t>
                    </w:r>
                  </w:p>
                </w:txbxContent>
              </v:textbox>
              <w10:wrap type="none"/>
            </v:shape>
            <v:shape style="position:absolute;left:10034;top:570;width:263;height:144" type="#_x0000_t202" filled="false" stroked="false">
              <v:textbox inset="0,0,0,0">
                <w:txbxContent>
                  <w:p>
                    <w:pPr>
                      <w:spacing w:line="144" w:lineRule="exact" w:before="0"/>
                      <w:ind w:left="0" w:right="0" w:firstLine="0"/>
                      <w:jc w:val="left"/>
                      <w:rPr>
                        <w:sz w:val="13"/>
                      </w:rPr>
                    </w:pPr>
                    <w:r>
                      <w:rPr>
                        <w:color w:val="404040"/>
                        <w:sz w:val="13"/>
                      </w:rPr>
                      <w:t>BLZ</w:t>
                    </w:r>
                  </w:p>
                </w:txbxContent>
              </v:textbox>
              <w10:wrap type="none"/>
            </v:shape>
            <v:shape style="position:absolute;left:8188;top:766;width:277;height:144" type="#_x0000_t202" filled="false" stroked="false">
              <v:textbox inset="0,0,0,0">
                <w:txbxContent>
                  <w:p>
                    <w:pPr>
                      <w:spacing w:line="144" w:lineRule="exact" w:before="0"/>
                      <w:ind w:left="0" w:right="0" w:firstLine="0"/>
                      <w:jc w:val="left"/>
                      <w:rPr>
                        <w:sz w:val="13"/>
                      </w:rPr>
                    </w:pPr>
                    <w:r>
                      <w:rPr>
                        <w:color w:val="404040"/>
                        <w:sz w:val="13"/>
                      </w:rPr>
                      <w:t>PAN</w:t>
                    </w:r>
                  </w:p>
                </w:txbxContent>
              </v:textbox>
              <w10:wrap type="none"/>
            </v:shape>
            <v:shape style="position:absolute;left:9120;top:750;width:287;height:144" type="#_x0000_t202" filled="false" stroked="false">
              <v:textbox inset="0,0,0,0">
                <w:txbxContent>
                  <w:p>
                    <w:pPr>
                      <w:spacing w:line="144" w:lineRule="exact" w:before="0"/>
                      <w:ind w:left="0" w:right="0" w:firstLine="0"/>
                      <w:jc w:val="left"/>
                      <w:rPr>
                        <w:sz w:val="13"/>
                      </w:rPr>
                    </w:pPr>
                    <w:r>
                      <w:rPr>
                        <w:color w:val="404040"/>
                        <w:sz w:val="13"/>
                      </w:rPr>
                      <w:t>BRA</w:t>
                    </w:r>
                  </w:p>
                </w:txbxContent>
              </v:textbox>
              <w10:wrap type="none"/>
            </v:shape>
            <v:shape style="position:absolute;left:7007;top:917;width:2321;height:786" type="#_x0000_t202" filled="false" stroked="false">
              <v:textbox inset="0,0,0,0">
                <w:txbxContent>
                  <w:p>
                    <w:pPr>
                      <w:spacing w:line="144" w:lineRule="exact" w:before="0"/>
                      <w:ind w:left="23" w:right="0" w:firstLine="0"/>
                      <w:jc w:val="left"/>
                      <w:rPr>
                        <w:sz w:val="13"/>
                      </w:rPr>
                    </w:pPr>
                    <w:r>
                      <w:rPr>
                        <w:color w:val="404040"/>
                        <w:sz w:val="13"/>
                      </w:rPr>
                      <w:t>GTM</w:t>
                    </w:r>
                  </w:p>
                  <w:p>
                    <w:pPr>
                      <w:tabs>
                        <w:tab w:pos="1765" w:val="left" w:leader="none"/>
                      </w:tabs>
                      <w:spacing w:line="160" w:lineRule="exact" w:before="37"/>
                      <w:ind w:left="1253" w:right="0" w:firstLine="0"/>
                      <w:jc w:val="left"/>
                      <w:rPr>
                        <w:sz w:val="13"/>
                      </w:rPr>
                    </w:pPr>
                    <w:r>
                      <w:rPr>
                        <w:color w:val="404040"/>
                        <w:sz w:val="13"/>
                      </w:rPr>
                      <w:t>URY</w:t>
                      <w:tab/>
                    </w:r>
                    <w:r>
                      <w:rPr>
                        <w:color w:val="404040"/>
                        <w:position w:val="2"/>
                        <w:sz w:val="13"/>
                      </w:rPr>
                      <w:t>BOL</w:t>
                    </w:r>
                    <w:r>
                      <w:rPr>
                        <w:color w:val="404040"/>
                        <w:spacing w:val="-19"/>
                        <w:position w:val="2"/>
                        <w:sz w:val="13"/>
                      </w:rPr>
                      <w:t> </w:t>
                    </w:r>
                    <w:r>
                      <w:rPr>
                        <w:color w:val="404040"/>
                        <w:position w:val="2"/>
                        <w:sz w:val="13"/>
                      </w:rPr>
                      <w:t>JAM</w:t>
                    </w:r>
                  </w:p>
                  <w:p>
                    <w:pPr>
                      <w:spacing w:line="140" w:lineRule="exact" w:before="0"/>
                      <w:ind w:left="610" w:right="0" w:firstLine="0"/>
                      <w:jc w:val="left"/>
                      <w:rPr>
                        <w:sz w:val="13"/>
                      </w:rPr>
                    </w:pPr>
                    <w:r>
                      <w:rPr>
                        <w:color w:val="404040"/>
                        <w:sz w:val="13"/>
                      </w:rPr>
                      <w:t>MEX</w:t>
                    </w:r>
                  </w:p>
                  <w:p>
                    <w:pPr>
                      <w:tabs>
                        <w:tab w:pos="579" w:val="left" w:leader="none"/>
                        <w:tab w:pos="1163" w:val="left" w:leader="none"/>
                        <w:tab w:pos="1692" w:val="left" w:leader="none"/>
                      </w:tabs>
                      <w:spacing w:line="196" w:lineRule="exact" w:before="109"/>
                      <w:ind w:left="0" w:right="0" w:firstLine="0"/>
                      <w:jc w:val="left"/>
                      <w:rPr>
                        <w:sz w:val="13"/>
                      </w:rPr>
                    </w:pPr>
                    <w:r>
                      <w:rPr>
                        <w:color w:val="404040"/>
                        <w:sz w:val="13"/>
                      </w:rPr>
                      <w:t>PRY</w:t>
                      <w:tab/>
                      <w:t>HND</w:t>
                      <w:tab/>
                    </w:r>
                    <w:r>
                      <w:rPr>
                        <w:color w:val="404040"/>
                        <w:position w:val="2"/>
                        <w:sz w:val="13"/>
                      </w:rPr>
                      <w:t>COL</w:t>
                      <w:tab/>
                    </w:r>
                    <w:r>
                      <w:rPr>
                        <w:color w:val="404040"/>
                        <w:position w:val="-2"/>
                        <w:sz w:val="13"/>
                      </w:rPr>
                      <w:t>ARG</w:t>
                    </w:r>
                  </w:p>
                </w:txbxContent>
              </v:textbox>
              <w10:wrap type="none"/>
            </v:shape>
            <v:shape style="position:absolute;left:7028;top:1871;width:258;height:144" type="#_x0000_t202" filled="false" stroked="false">
              <v:textbox inset="0,0,0,0">
                <w:txbxContent>
                  <w:p>
                    <w:pPr>
                      <w:spacing w:line="144" w:lineRule="exact" w:before="0"/>
                      <w:ind w:left="0" w:right="0" w:firstLine="0"/>
                      <w:jc w:val="left"/>
                      <w:rPr>
                        <w:sz w:val="13"/>
                      </w:rPr>
                    </w:pPr>
                    <w:r>
                      <w:rPr>
                        <w:color w:val="404040"/>
                        <w:sz w:val="13"/>
                      </w:rPr>
                      <w:t>PER</w:t>
                    </w:r>
                  </w:p>
                </w:txbxContent>
              </v:textbox>
              <w10:wrap type="none"/>
            </v:shape>
            <v:shape style="position:absolute;left:7947;top:1787;width:241;height:144" type="#_x0000_t202" filled="false" stroked="false">
              <v:textbox inset="0,0,0,0">
                <w:txbxContent>
                  <w:p>
                    <w:pPr>
                      <w:spacing w:line="144" w:lineRule="exact" w:before="0"/>
                      <w:ind w:left="0" w:right="0" w:firstLine="0"/>
                      <w:jc w:val="left"/>
                      <w:rPr>
                        <w:sz w:val="13"/>
                      </w:rPr>
                    </w:pPr>
                    <w:r>
                      <w:rPr>
                        <w:color w:val="404040"/>
                        <w:sz w:val="13"/>
                      </w:rPr>
                      <w:t>NIC</w:t>
                    </w:r>
                  </w:p>
                </w:txbxContent>
              </v:textbox>
              <w10:wrap type="none"/>
            </v:shape>
            <v:shape style="position:absolute;left:7532;top:1997;width:280;height:144" type="#_x0000_t202" filled="false" stroked="false">
              <v:textbox inset="0,0,0,0">
                <w:txbxContent>
                  <w:p>
                    <w:pPr>
                      <w:spacing w:line="144" w:lineRule="exact" w:before="0"/>
                      <w:ind w:left="0" w:right="0" w:firstLine="0"/>
                      <w:jc w:val="left"/>
                      <w:rPr>
                        <w:sz w:val="13"/>
                      </w:rPr>
                    </w:pPr>
                    <w:r>
                      <w:rPr>
                        <w:color w:val="404040"/>
                        <w:sz w:val="13"/>
                      </w:rPr>
                      <w:t>CHL</w:t>
                    </w:r>
                  </w:p>
                </w:txbxContent>
              </v:textbox>
              <w10:wrap type="none"/>
            </v:shape>
            <w10:wrap type="none"/>
          </v:group>
        </w:pict>
      </w:r>
      <w:r>
        <w:rPr>
          <w:color w:val="585858"/>
          <w:sz w:val="14"/>
        </w:rPr>
        <w:t>440.0</w:t>
      </w:r>
    </w:p>
    <w:p>
      <w:pPr>
        <w:pStyle w:val="BodyText"/>
        <w:spacing w:before="8"/>
        <w:rPr>
          <w:sz w:val="14"/>
        </w:rPr>
      </w:pPr>
    </w:p>
    <w:p>
      <w:pPr>
        <w:spacing w:before="0"/>
        <w:ind w:left="500" w:right="0" w:firstLine="0"/>
        <w:jc w:val="left"/>
        <w:rPr>
          <w:sz w:val="14"/>
        </w:rPr>
      </w:pPr>
      <w:r>
        <w:rPr/>
        <w:pict>
          <v:shape style="position:absolute;margin-left:300.935455pt;margin-top:-1.412812pt;width:10.95pt;height:92.25pt;mso-position-horizontal-relative:page;mso-position-vertical-relative:paragraph;z-index:-280301568" type="#_x0000_t202" filled="false" stroked="false">
            <v:textbox inset="0,0,0,0" style="layout-flow:vertical;mso-layout-flow-alt:bottom-to-top">
              <w:txbxContent>
                <w:p>
                  <w:pPr>
                    <w:spacing w:before="14"/>
                    <w:ind w:left="20" w:right="0" w:firstLine="0"/>
                    <w:jc w:val="left"/>
                    <w:rPr>
                      <w:sz w:val="16"/>
                    </w:rPr>
                  </w:pPr>
                  <w:r>
                    <w:rPr>
                      <w:color w:val="585858"/>
                      <w:sz w:val="16"/>
                    </w:rPr>
                    <w:t>Deuda/Ingresos fiscales (%)</w:t>
                  </w:r>
                </w:p>
              </w:txbxContent>
            </v:textbox>
            <w10:wrap type="none"/>
          </v:shape>
        </w:pict>
      </w:r>
      <w:r>
        <w:rPr>
          <w:color w:val="585858"/>
          <w:sz w:val="14"/>
        </w:rPr>
        <w:t>390.0</w:t>
      </w:r>
    </w:p>
    <w:p>
      <w:pPr>
        <w:pStyle w:val="BodyText"/>
        <w:spacing w:before="8"/>
        <w:rPr>
          <w:sz w:val="14"/>
        </w:rPr>
      </w:pPr>
    </w:p>
    <w:p>
      <w:pPr>
        <w:spacing w:before="0"/>
        <w:ind w:left="500" w:right="0" w:firstLine="0"/>
        <w:jc w:val="left"/>
        <w:rPr>
          <w:sz w:val="14"/>
        </w:rPr>
      </w:pPr>
      <w:r>
        <w:rPr>
          <w:color w:val="585858"/>
          <w:sz w:val="14"/>
        </w:rPr>
        <w:t>340.0</w:t>
      </w:r>
    </w:p>
    <w:p>
      <w:pPr>
        <w:pStyle w:val="BodyText"/>
        <w:spacing w:before="8"/>
        <w:rPr>
          <w:sz w:val="14"/>
        </w:rPr>
      </w:pPr>
    </w:p>
    <w:p>
      <w:pPr>
        <w:spacing w:before="0"/>
        <w:ind w:left="500" w:right="0" w:firstLine="0"/>
        <w:jc w:val="left"/>
        <w:rPr>
          <w:sz w:val="14"/>
        </w:rPr>
      </w:pPr>
      <w:r>
        <w:rPr>
          <w:color w:val="585858"/>
          <w:sz w:val="14"/>
        </w:rPr>
        <w:t>290.0</w:t>
      </w:r>
    </w:p>
    <w:p>
      <w:pPr>
        <w:pStyle w:val="BodyText"/>
        <w:spacing w:before="7"/>
        <w:rPr>
          <w:sz w:val="14"/>
        </w:rPr>
      </w:pPr>
    </w:p>
    <w:p>
      <w:pPr>
        <w:spacing w:before="1"/>
        <w:ind w:left="500" w:right="0" w:firstLine="0"/>
        <w:jc w:val="left"/>
        <w:rPr>
          <w:sz w:val="14"/>
        </w:rPr>
      </w:pPr>
      <w:r>
        <w:rPr>
          <w:color w:val="585858"/>
          <w:sz w:val="14"/>
        </w:rPr>
        <w:t>240.0</w:t>
      </w:r>
    </w:p>
    <w:p>
      <w:pPr>
        <w:pStyle w:val="BodyText"/>
        <w:spacing w:before="7"/>
        <w:rPr>
          <w:sz w:val="14"/>
        </w:rPr>
      </w:pPr>
    </w:p>
    <w:p>
      <w:pPr>
        <w:spacing w:before="0"/>
        <w:ind w:left="500" w:right="0" w:firstLine="0"/>
        <w:jc w:val="left"/>
        <w:rPr>
          <w:sz w:val="14"/>
        </w:rPr>
      </w:pPr>
      <w:r>
        <w:rPr>
          <w:color w:val="585858"/>
          <w:sz w:val="14"/>
        </w:rPr>
        <w:t>190.0</w:t>
      </w:r>
    </w:p>
    <w:p>
      <w:pPr>
        <w:spacing w:after="0"/>
        <w:jc w:val="left"/>
        <w:rPr>
          <w:sz w:val="14"/>
        </w:rPr>
        <w:sectPr>
          <w:type w:val="continuous"/>
          <w:pgSz w:w="12240" w:h="15840"/>
          <w:pgMar w:top="1500" w:bottom="280" w:left="1140" w:right="0"/>
          <w:cols w:num="2" w:equalWidth="0">
            <w:col w:w="750" w:space="3948"/>
            <w:col w:w="6402"/>
          </w:cols>
        </w:sectPr>
      </w:pPr>
    </w:p>
    <w:p>
      <w:pPr>
        <w:pStyle w:val="BodyText"/>
        <w:spacing w:before="7"/>
        <w:rPr>
          <w:sz w:val="14"/>
        </w:rPr>
      </w:pPr>
    </w:p>
    <w:p>
      <w:pPr>
        <w:tabs>
          <w:tab w:pos="5198" w:val="left" w:leader="none"/>
        </w:tabs>
        <w:spacing w:before="1"/>
        <w:ind w:left="500" w:right="0" w:firstLine="0"/>
        <w:jc w:val="left"/>
        <w:rPr>
          <w:sz w:val="14"/>
        </w:rPr>
      </w:pPr>
      <w:r>
        <w:rPr/>
        <w:pict>
          <v:group style="position:absolute;margin-left:98.639999pt;margin-top:-111.974838pt;width:178.1pt;height:139.7pt;mso-position-horizontal-relative:page;mso-position-vertical-relative:paragraph;z-index:-280313856" coordorigin="1973,-2239" coordsize="3562,2794">
            <v:shape style="position:absolute;left:0;top:177;width:3555;height:2787" coordorigin="0,177" coordsize="3555,2787" path="m1980,547l1980,-2239m1980,547l5534,547e" filled="false" stroked="true" strokeweight=".72pt" strokecolor="#bebebe">
              <v:path arrowok="t"/>
              <v:stroke dashstyle="solid"/>
            </v:shape>
            <v:shape style="position:absolute;left:2330;top:-2160;width:2928;height:1786" coordorigin="2331,-2159" coordsize="2928,1786" path="m2451,-945l2391,-1005,2331,-945,2391,-885,2451,-945m2463,-1391l2403,-1451,2343,-1391,2403,-1331,2463,-1391m2909,-1312l2849,-1372,2789,-1312,2849,-1252,2909,-1312m2926,-1617l2866,-1677,2806,-1617,2866,-1557,2926,-1617m3262,-1153l3202,-1213,3142,-1153,3202,-1093,3262,-1153m3293,-676l3233,-736,3173,-676,3233,-616,3293,-676m3464,-433l3404,-493,3344,-433,3404,-373,3464,-433m3524,-1557l3464,-1617,3404,-1557,3464,-1497,3524,-1557m3632,-1617l3572,-1677,3512,-1617,3572,-1557,3632,-1617m3663,-460l3603,-520,3543,-460,3603,-400,3663,-460m4121,-2099l4061,-2159,4001,-2099,4061,-2039,4121,-2099m4234,-1437l4174,-1497,4169,-1492,4136,-1525,4076,-1465,4136,-1405,4140,-1410,4174,-1377,4234,-1437m4529,-1801l4469,-1861,4409,-1801,4469,-1741,4529,-1801m4587,-1914l4527,-1974,4467,-1914,4527,-1854,4587,-1914m5259,-1878l5199,-1938,5139,-1878,5199,-1818,5259,-1878e" filled="true" fillcolor="#001f5f" stroked="false">
              <v:path arrowok="t"/>
              <v:fill type="solid"/>
            </v:shape>
            <v:shape style="position:absolute;left:2145;top:-118;width:120;height:120" coordorigin="2146,-118" coordsize="120,120" path="m2206,-118l2146,-58,2206,2,2266,-58,2206,-118xe" filled="true" fillcolor="#c00000" stroked="false">
              <v:path arrowok="t"/>
              <v:fill type="solid"/>
            </v:shape>
            <v:shape style="position:absolute;left:2368;top:-829;width:120;height:120" coordorigin="2369,-828" coordsize="120,120" path="m2429,-828l2369,-768,2429,-708,2489,-768,2429,-828xe" filled="true" fillcolor="#001f5f" stroked="false">
              <v:path arrowok="t"/>
              <v:fill type="solid"/>
            </v:shape>
            <v:shape style="position:absolute;left:3956;top:-2153;width:725;height:296" type="#_x0000_t202" filled="false" stroked="false">
              <v:textbox inset="0,0,0,0">
                <w:txbxContent>
                  <w:p>
                    <w:pPr>
                      <w:spacing w:line="111" w:lineRule="exact" w:before="0"/>
                      <w:ind w:left="310" w:right="0" w:firstLine="0"/>
                      <w:jc w:val="left"/>
                      <w:rPr>
                        <w:sz w:val="10"/>
                      </w:rPr>
                    </w:pPr>
                    <w:r>
                      <w:rPr>
                        <w:color w:val="404040"/>
                        <w:sz w:val="10"/>
                      </w:rPr>
                      <w:t>ARG-241</w:t>
                    </w:r>
                  </w:p>
                  <w:p>
                    <w:pPr>
                      <w:spacing w:before="69"/>
                      <w:ind w:left="0" w:right="0" w:firstLine="0"/>
                      <w:jc w:val="left"/>
                      <w:rPr>
                        <w:sz w:val="10"/>
                      </w:rPr>
                    </w:pPr>
                    <w:r>
                      <w:rPr>
                        <w:color w:val="404040"/>
                        <w:sz w:val="10"/>
                      </w:rPr>
                      <w:t>BRA-295</w:t>
                    </w:r>
                  </w:p>
                </w:txbxContent>
              </v:textbox>
              <w10:wrap type="none"/>
            </v:shape>
            <v:shape style="position:absolute;left:5085;top:-2137;width:390;height:112" type="#_x0000_t202" filled="false" stroked="false">
              <v:textbox inset="0,0,0,0">
                <w:txbxContent>
                  <w:p>
                    <w:pPr>
                      <w:spacing w:line="111" w:lineRule="exact" w:before="0"/>
                      <w:ind w:left="0" w:right="0" w:firstLine="0"/>
                      <w:jc w:val="left"/>
                      <w:rPr>
                        <w:sz w:val="10"/>
                      </w:rPr>
                    </w:pPr>
                    <w:r>
                      <w:rPr>
                        <w:color w:val="404040"/>
                        <w:sz w:val="10"/>
                      </w:rPr>
                      <w:t>BLZ-356</w:t>
                    </w:r>
                  </w:p>
                </w:txbxContent>
              </v:textbox>
              <w10:wrap type="none"/>
            </v:shape>
            <v:shape style="position:absolute;left:2698;top:-1878;width:378;height:112" type="#_x0000_t202" filled="false" stroked="false">
              <v:textbox inset="0,0,0,0">
                <w:txbxContent>
                  <w:p>
                    <w:pPr>
                      <w:spacing w:line="111" w:lineRule="exact" w:before="0"/>
                      <w:ind w:left="0" w:right="0" w:firstLine="0"/>
                      <w:jc w:val="left"/>
                      <w:rPr>
                        <w:sz w:val="10"/>
                      </w:rPr>
                    </w:pPr>
                    <w:r>
                      <w:rPr>
                        <w:color w:val="404040"/>
                        <w:sz w:val="10"/>
                      </w:rPr>
                      <w:t>NIC-172</w:t>
                    </w:r>
                  </w:p>
                </w:txbxContent>
              </v:textbox>
              <w10:wrap type="none"/>
            </v:shape>
            <v:shape style="position:absolute;left:3283;top:-1819;width:404;height:112" type="#_x0000_t202" filled="false" stroked="false">
              <v:textbox inset="0,0,0,0">
                <w:txbxContent>
                  <w:p>
                    <w:pPr>
                      <w:spacing w:line="111" w:lineRule="exact" w:before="0"/>
                      <w:ind w:left="0" w:right="0" w:firstLine="0"/>
                      <w:jc w:val="left"/>
                      <w:rPr>
                        <w:sz w:val="10"/>
                      </w:rPr>
                    </w:pPr>
                    <w:r>
                      <w:rPr>
                        <w:color w:val="404040"/>
                        <w:sz w:val="10"/>
                      </w:rPr>
                      <w:t>COL-234</w:t>
                    </w:r>
                  </w:p>
                </w:txbxContent>
              </v:textbox>
              <w10:wrap type="none"/>
            </v:shape>
            <v:shape style="position:absolute;left:4673;top:-1856;width:404;height:112" type="#_x0000_t202" filled="false" stroked="false">
              <v:textbox inset="0,0,0,0">
                <w:txbxContent>
                  <w:p>
                    <w:pPr>
                      <w:spacing w:line="111" w:lineRule="exact" w:before="0"/>
                      <w:ind w:left="0" w:right="0" w:firstLine="0"/>
                      <w:jc w:val="left"/>
                      <w:rPr>
                        <w:sz w:val="10"/>
                      </w:rPr>
                    </w:pPr>
                    <w:r>
                      <w:rPr>
                        <w:color w:val="404040"/>
                        <w:sz w:val="10"/>
                      </w:rPr>
                      <w:t>JAM-302</w:t>
                    </w:r>
                  </w:p>
                </w:txbxContent>
              </v:textbox>
              <w10:wrap type="none"/>
            </v:shape>
            <v:shape style="position:absolute;left:3752;top:-1706;width:402;height:112" type="#_x0000_t202" filled="false" stroked="false">
              <v:textbox inset="0,0,0,0">
                <w:txbxContent>
                  <w:p>
                    <w:pPr>
                      <w:spacing w:line="111" w:lineRule="exact" w:before="0"/>
                      <w:ind w:left="0" w:right="0" w:firstLine="0"/>
                      <w:jc w:val="left"/>
                      <w:rPr>
                        <w:sz w:val="10"/>
                      </w:rPr>
                    </w:pPr>
                    <w:r>
                      <w:rPr>
                        <w:color w:val="404040"/>
                        <w:sz w:val="10"/>
                      </w:rPr>
                      <w:t>BOL-309</w:t>
                    </w:r>
                  </w:p>
                </w:txbxContent>
              </v:textbox>
              <w10:wrap type="none"/>
            </v:shape>
            <v:shape style="position:absolute;left:2055;top:-1555;width:402;height:112" type="#_x0000_t202" filled="false" stroked="false">
              <v:textbox inset="0,0,0,0">
                <w:txbxContent>
                  <w:p>
                    <w:pPr>
                      <w:spacing w:line="111" w:lineRule="exact" w:before="0"/>
                      <w:ind w:left="0" w:right="0" w:firstLine="0"/>
                      <w:jc w:val="left"/>
                      <w:rPr>
                        <w:sz w:val="10"/>
                      </w:rPr>
                    </w:pPr>
                    <w:r>
                      <w:rPr>
                        <w:color w:val="404040"/>
                        <w:sz w:val="10"/>
                      </w:rPr>
                      <w:t>CHL-140</w:t>
                    </w:r>
                  </w:p>
                </w:txbxContent>
              </v:textbox>
              <w10:wrap type="none"/>
            </v:shape>
            <v:shape style="position:absolute;left:3386;top:-1463;width:412;height:112" type="#_x0000_t202" filled="false" stroked="false">
              <v:textbox inset="0,0,0,0">
                <w:txbxContent>
                  <w:p>
                    <w:pPr>
                      <w:spacing w:line="111" w:lineRule="exact" w:before="0"/>
                      <w:ind w:left="0" w:right="0" w:firstLine="0"/>
                      <w:jc w:val="left"/>
                      <w:rPr>
                        <w:sz w:val="10"/>
                      </w:rPr>
                    </w:pPr>
                    <w:r>
                      <w:rPr>
                        <w:color w:val="404040"/>
                        <w:sz w:val="10"/>
                      </w:rPr>
                      <w:t>URY-238</w:t>
                    </w:r>
                  </w:p>
                </w:txbxContent>
              </v:textbox>
              <w10:wrap type="none"/>
            </v:shape>
            <v:shape style="position:absolute;left:4377;top:-1491;width:392;height:112" type="#_x0000_t202" filled="false" stroked="false">
              <v:textbox inset="0,0,0,0">
                <w:txbxContent>
                  <w:p>
                    <w:pPr>
                      <w:spacing w:line="111" w:lineRule="exact" w:before="0"/>
                      <w:ind w:left="0" w:right="0" w:firstLine="0"/>
                      <w:jc w:val="left"/>
                      <w:rPr>
                        <w:sz w:val="10"/>
                      </w:rPr>
                    </w:pPr>
                    <w:r>
                      <w:rPr>
                        <w:color w:val="404040"/>
                        <w:sz w:val="10"/>
                      </w:rPr>
                      <w:t>SLV-317</w:t>
                    </w:r>
                  </w:p>
                </w:txbxContent>
              </v:textbox>
              <w10:wrap type="none"/>
            </v:shape>
            <v:shape style="position:absolute;left:2873;top:-1341;width:419;height:112" type="#_x0000_t202" filled="false" stroked="false">
              <v:textbox inset="0,0,0,0">
                <w:txbxContent>
                  <w:p>
                    <w:pPr>
                      <w:spacing w:line="111" w:lineRule="exact" w:before="0"/>
                      <w:ind w:left="0" w:right="0" w:firstLine="0"/>
                      <w:jc w:val="left"/>
                      <w:rPr>
                        <w:sz w:val="10"/>
                      </w:rPr>
                    </w:pPr>
                    <w:r>
                      <w:rPr>
                        <w:color w:val="404040"/>
                        <w:sz w:val="10"/>
                      </w:rPr>
                      <w:t>HND-193</w:t>
                    </w:r>
                  </w:p>
                </w:txbxContent>
              </v:textbox>
              <w10:wrap type="none"/>
            </v:shape>
            <v:shape style="position:absolute;left:2164;top:-1161;width:388;height:112" type="#_x0000_t202" filled="false" stroked="false">
              <v:textbox inset="0,0,0,0">
                <w:txbxContent>
                  <w:p>
                    <w:pPr>
                      <w:spacing w:line="111" w:lineRule="exact" w:before="0"/>
                      <w:ind w:left="0" w:right="0" w:firstLine="0"/>
                      <w:jc w:val="left"/>
                      <w:rPr>
                        <w:sz w:val="10"/>
                      </w:rPr>
                    </w:pPr>
                    <w:r>
                      <w:rPr>
                        <w:color w:val="404040"/>
                        <w:sz w:val="10"/>
                      </w:rPr>
                      <w:t>PER-171</w:t>
                    </w:r>
                  </w:p>
                </w:txbxContent>
              </v:textbox>
              <w10:wrap type="none"/>
            </v:shape>
            <v:shape style="position:absolute;left:2955;top:-1033;width:749;height:397" type="#_x0000_t202" filled="false" stroked="false">
              <v:textbox inset="0,0,0,0">
                <w:txbxContent>
                  <w:p>
                    <w:pPr>
                      <w:spacing w:line="111" w:lineRule="exact" w:before="0"/>
                      <w:ind w:left="0" w:right="0" w:firstLine="0"/>
                      <w:jc w:val="left"/>
                      <w:rPr>
                        <w:sz w:val="10"/>
                      </w:rPr>
                    </w:pPr>
                    <w:r>
                      <w:rPr>
                        <w:color w:val="404040"/>
                        <w:sz w:val="10"/>
                      </w:rPr>
                      <w:t>MEX-247</w:t>
                    </w:r>
                  </w:p>
                  <w:p>
                    <w:pPr>
                      <w:spacing w:line="240" w:lineRule="auto" w:before="9"/>
                      <w:rPr>
                        <w:sz w:val="14"/>
                      </w:rPr>
                    </w:pPr>
                  </w:p>
                  <w:p>
                    <w:pPr>
                      <w:spacing w:before="0"/>
                      <w:ind w:left="344" w:right="0" w:firstLine="0"/>
                      <w:jc w:val="left"/>
                      <w:rPr>
                        <w:sz w:val="10"/>
                      </w:rPr>
                    </w:pPr>
                    <w:r>
                      <w:rPr>
                        <w:color w:val="404040"/>
                        <w:sz w:val="10"/>
                      </w:rPr>
                      <w:t>PAN-321</w:t>
                    </w:r>
                  </w:p>
                </w:txbxContent>
              </v:textbox>
              <w10:wrap type="none"/>
            </v:shape>
            <v:shape style="position:absolute;left:2253;top:-613;width:397;height:112" type="#_x0000_t202" filled="false" stroked="false">
              <v:textbox inset="0,0,0,0">
                <w:txbxContent>
                  <w:p>
                    <w:pPr>
                      <w:spacing w:line="111" w:lineRule="exact" w:before="0"/>
                      <w:ind w:left="0" w:right="0" w:firstLine="0"/>
                      <w:jc w:val="left"/>
                      <w:rPr>
                        <w:sz w:val="10"/>
                      </w:rPr>
                    </w:pPr>
                    <w:r>
                      <w:rPr>
                        <w:color w:val="404040"/>
                        <w:sz w:val="10"/>
                      </w:rPr>
                      <w:t>PRY-193</w:t>
                    </w:r>
                  </w:p>
                </w:txbxContent>
              </v:textbox>
              <w10:wrap type="none"/>
            </v:shape>
            <v:shape style="position:absolute;left:3689;top:-620;width:371;height:112" type="#_x0000_t202" filled="false" stroked="false">
              <v:textbox inset="0,0,0,0">
                <w:txbxContent>
                  <w:p>
                    <w:pPr>
                      <w:spacing w:line="111" w:lineRule="exact" w:before="0"/>
                      <w:ind w:left="0" w:right="0" w:firstLine="0"/>
                      <w:jc w:val="left"/>
                      <w:rPr>
                        <w:sz w:val="10"/>
                      </w:rPr>
                    </w:pPr>
                    <w:r>
                      <w:rPr>
                        <w:color w:val="404040"/>
                        <w:sz w:val="10"/>
                      </w:rPr>
                      <w:t>CRI-431</w:t>
                    </w:r>
                  </w:p>
                </w:txbxContent>
              </v:textbox>
              <w10:wrap type="none"/>
            </v:shape>
            <v:shape style="position:absolute;left:2096;top:-321;width:428;height:112" type="#_x0000_t202" filled="false" stroked="false">
              <v:textbox inset="0,0,0,0">
                <w:txbxContent>
                  <w:p>
                    <w:pPr>
                      <w:spacing w:line="111" w:lineRule="exact" w:before="0"/>
                      <w:ind w:left="0" w:right="0" w:firstLine="0"/>
                      <w:jc w:val="left"/>
                      <w:rPr>
                        <w:sz w:val="10"/>
                      </w:rPr>
                    </w:pPr>
                    <w:r>
                      <w:rPr>
                        <w:color w:val="404040"/>
                        <w:sz w:val="10"/>
                      </w:rPr>
                      <w:t>GTM-270</w:t>
                    </w:r>
                  </w:p>
                </w:txbxContent>
              </v:textbox>
              <w10:wrap type="none"/>
            </v:shape>
            <v:shape style="position:absolute;left:3206;top:-279;width:438;height:112" type="#_x0000_t202" filled="false" stroked="false">
              <v:textbox inset="0,0,0,0">
                <w:txbxContent>
                  <w:p>
                    <w:pPr>
                      <w:spacing w:line="111" w:lineRule="exact" w:before="0"/>
                      <w:ind w:left="0" w:right="0" w:firstLine="0"/>
                      <w:jc w:val="left"/>
                      <w:rPr>
                        <w:sz w:val="10"/>
                      </w:rPr>
                    </w:pPr>
                    <w:r>
                      <w:rPr>
                        <w:color w:val="404040"/>
                        <w:sz w:val="10"/>
                      </w:rPr>
                      <w:t>DOM-405</w:t>
                    </w:r>
                  </w:p>
                </w:txbxContent>
              </v:textbox>
              <w10:wrap type="none"/>
            </v:shape>
            <w10:wrap type="none"/>
          </v:group>
        </w:pict>
      </w:r>
      <w:r>
        <w:rPr>
          <w:color w:val="585858"/>
          <w:position w:val="1"/>
          <w:sz w:val="12"/>
        </w:rPr>
        <w:t>10.0</w:t>
        <w:tab/>
      </w:r>
      <w:r>
        <w:rPr>
          <w:color w:val="585858"/>
          <w:sz w:val="14"/>
        </w:rPr>
        <w:t>140.0</w:t>
      </w:r>
    </w:p>
    <w:p>
      <w:pPr>
        <w:spacing w:after="0"/>
        <w:jc w:val="left"/>
        <w:rPr>
          <w:sz w:val="14"/>
        </w:rPr>
        <w:sectPr>
          <w:type w:val="continuous"/>
          <w:pgSz w:w="12240" w:h="15840"/>
          <w:pgMar w:top="1500" w:bottom="280" w:left="1140" w:right="0"/>
        </w:sectPr>
      </w:pPr>
    </w:p>
    <w:p>
      <w:pPr>
        <w:pStyle w:val="BodyText"/>
        <w:rPr>
          <w:sz w:val="12"/>
        </w:rPr>
      </w:pPr>
    </w:p>
    <w:p>
      <w:pPr>
        <w:pStyle w:val="BodyText"/>
        <w:spacing w:before="1"/>
        <w:rPr>
          <w:sz w:val="15"/>
        </w:rPr>
      </w:pPr>
    </w:p>
    <w:p>
      <w:pPr>
        <w:spacing w:before="0"/>
        <w:ind w:left="0" w:right="0" w:firstLine="0"/>
        <w:jc w:val="right"/>
        <w:rPr>
          <w:sz w:val="12"/>
        </w:rPr>
      </w:pPr>
      <w:r>
        <w:rPr>
          <w:color w:val="585858"/>
          <w:sz w:val="12"/>
        </w:rPr>
        <w:t>5.0</w:t>
      </w:r>
    </w:p>
    <w:p>
      <w:pPr>
        <w:pStyle w:val="BodyText"/>
        <w:rPr>
          <w:sz w:val="12"/>
        </w:rPr>
      </w:pPr>
      <w:r>
        <w:rPr/>
        <w:br w:type="column"/>
      </w:r>
      <w:r>
        <w:rPr>
          <w:sz w:val="12"/>
        </w:rPr>
      </w:r>
    </w:p>
    <w:p>
      <w:pPr>
        <w:pStyle w:val="BodyText"/>
        <w:rPr>
          <w:sz w:val="12"/>
        </w:rPr>
      </w:pPr>
    </w:p>
    <w:p>
      <w:pPr>
        <w:pStyle w:val="BodyText"/>
        <w:spacing w:before="4"/>
        <w:rPr>
          <w:sz w:val="15"/>
        </w:rPr>
      </w:pPr>
    </w:p>
    <w:p>
      <w:pPr>
        <w:tabs>
          <w:tab w:pos="923" w:val="left" w:leader="none"/>
          <w:tab w:pos="1858" w:val="left" w:leader="none"/>
          <w:tab w:pos="2764" w:val="left" w:leader="none"/>
        </w:tabs>
        <w:spacing w:before="0"/>
        <w:ind w:left="-12" w:right="0" w:firstLine="0"/>
        <w:jc w:val="left"/>
        <w:rPr>
          <w:sz w:val="12"/>
        </w:rPr>
      </w:pPr>
      <w:r>
        <w:rPr>
          <w:color w:val="585858"/>
          <w:sz w:val="12"/>
        </w:rPr>
        <w:t>25.0</w:t>
        <w:tab/>
        <w:t>50.0</w:t>
        <w:tab/>
        <w:t>75.0</w:t>
        <w:tab/>
        <w:t>100.0</w:t>
      </w:r>
    </w:p>
    <w:p>
      <w:pPr>
        <w:spacing w:before="75"/>
        <w:ind w:left="1289" w:right="0" w:firstLine="0"/>
        <w:jc w:val="left"/>
        <w:rPr>
          <w:sz w:val="14"/>
        </w:rPr>
      </w:pPr>
      <w:r>
        <w:rPr>
          <w:color w:val="585858"/>
          <w:sz w:val="14"/>
        </w:rPr>
        <w:t>Deuda/PIB (%)</w:t>
      </w:r>
    </w:p>
    <w:p>
      <w:pPr>
        <w:pStyle w:val="BodyText"/>
        <w:spacing w:before="7"/>
        <w:rPr>
          <w:sz w:val="14"/>
        </w:rPr>
      </w:pPr>
      <w:r>
        <w:rPr/>
        <w:br w:type="column"/>
      </w:r>
      <w:r>
        <w:rPr>
          <w:sz w:val="14"/>
        </w:rPr>
      </w:r>
    </w:p>
    <w:p>
      <w:pPr>
        <w:spacing w:before="0"/>
        <w:ind w:left="0" w:right="0" w:firstLine="0"/>
        <w:jc w:val="right"/>
        <w:rPr>
          <w:sz w:val="14"/>
        </w:rPr>
      </w:pPr>
      <w:r>
        <w:rPr>
          <w:color w:val="585858"/>
          <w:w w:val="95"/>
          <w:sz w:val="14"/>
        </w:rPr>
        <w:t>90.0</w:t>
      </w:r>
    </w:p>
    <w:p>
      <w:pPr>
        <w:pStyle w:val="BodyText"/>
        <w:rPr>
          <w:sz w:val="14"/>
        </w:rPr>
      </w:pPr>
      <w:r>
        <w:rPr/>
        <w:br w:type="column"/>
      </w:r>
      <w:r>
        <w:rPr>
          <w:sz w:val="14"/>
        </w:rPr>
      </w:r>
    </w:p>
    <w:p>
      <w:pPr>
        <w:pStyle w:val="BodyText"/>
        <w:spacing w:before="1"/>
        <w:rPr>
          <w:sz w:val="16"/>
        </w:rPr>
      </w:pPr>
    </w:p>
    <w:p>
      <w:pPr>
        <w:tabs>
          <w:tab w:pos="658" w:val="left" w:leader="none"/>
          <w:tab w:pos="1328" w:val="left" w:leader="none"/>
          <w:tab w:pos="1998" w:val="left" w:leader="none"/>
          <w:tab w:pos="2633" w:val="left" w:leader="none"/>
          <w:tab w:pos="3303" w:val="left" w:leader="none"/>
        </w:tabs>
        <w:spacing w:before="0"/>
        <w:ind w:left="-12" w:right="0" w:firstLine="0"/>
        <w:jc w:val="left"/>
        <w:rPr>
          <w:rFonts w:ascii="Calibri"/>
          <w:sz w:val="14"/>
        </w:rPr>
      </w:pPr>
      <w:r>
        <w:rPr>
          <w:rFonts w:ascii="Calibri"/>
          <w:color w:val="585858"/>
          <w:sz w:val="14"/>
        </w:rPr>
        <w:t>20.0</w:t>
        <w:tab/>
        <w:t>40.0</w:t>
        <w:tab/>
        <w:t>60.0</w:t>
        <w:tab/>
        <w:t>80.0</w:t>
        <w:tab/>
        <w:t>100.0</w:t>
        <w:tab/>
        <w:t>120.0</w:t>
      </w:r>
    </w:p>
    <w:p>
      <w:pPr>
        <w:pStyle w:val="BodyText"/>
        <w:spacing w:before="2"/>
        <w:rPr>
          <w:rFonts w:ascii="Calibri"/>
          <w:sz w:val="12"/>
        </w:rPr>
      </w:pPr>
    </w:p>
    <w:p>
      <w:pPr>
        <w:spacing w:before="0"/>
        <w:ind w:left="1225" w:right="0" w:firstLine="0"/>
        <w:jc w:val="left"/>
        <w:rPr>
          <w:sz w:val="16"/>
        </w:rPr>
      </w:pPr>
      <w:r>
        <w:rPr>
          <w:color w:val="585858"/>
          <w:sz w:val="16"/>
        </w:rPr>
        <w:t>Deuda/PIB (%)</w:t>
      </w:r>
    </w:p>
    <w:p>
      <w:pPr>
        <w:spacing w:after="0"/>
        <w:jc w:val="left"/>
        <w:rPr>
          <w:sz w:val="16"/>
        </w:rPr>
        <w:sectPr>
          <w:type w:val="continuous"/>
          <w:pgSz w:w="12240" w:h="15840"/>
          <w:pgMar w:top="1500" w:bottom="280" w:left="1140" w:right="0"/>
          <w:cols w:num="4" w:equalWidth="0">
            <w:col w:w="710" w:space="40"/>
            <w:col w:w="3074" w:space="884"/>
            <w:col w:w="806" w:space="39"/>
            <w:col w:w="5547"/>
          </w:cols>
        </w:sectPr>
      </w:pPr>
    </w:p>
    <w:p>
      <w:pPr>
        <w:spacing w:before="144"/>
        <w:ind w:left="1022" w:right="0" w:firstLine="0"/>
        <w:jc w:val="left"/>
        <w:rPr>
          <w:sz w:val="16"/>
        </w:rPr>
      </w:pPr>
      <w:r>
        <w:rPr>
          <w:sz w:val="16"/>
        </w:rPr>
        <w:t>Fuente: Dirección de Análisis y Política Fiscal con proyecciones de cierre del FMI para 2022, a excepción de Guatemala.</w:t>
      </w:r>
    </w:p>
    <w:p>
      <w:pPr>
        <w:spacing w:after="0"/>
        <w:jc w:val="left"/>
        <w:rPr>
          <w:sz w:val="16"/>
        </w:rPr>
        <w:sectPr>
          <w:type w:val="continuous"/>
          <w:pgSz w:w="12240" w:h="15840"/>
          <w:pgMar w:top="1500" w:bottom="280" w:left="1140" w:right="0"/>
        </w:sectPr>
      </w:pPr>
    </w:p>
    <w:p>
      <w:pPr>
        <w:pStyle w:val="Heading2"/>
        <w:numPr>
          <w:ilvl w:val="1"/>
          <w:numId w:val="13"/>
        </w:numPr>
        <w:tabs>
          <w:tab w:pos="922" w:val="left" w:leader="none"/>
        </w:tabs>
        <w:spacing w:line="240" w:lineRule="auto" w:before="167" w:after="0"/>
        <w:ind w:left="922" w:right="0" w:hanging="360"/>
        <w:jc w:val="left"/>
      </w:pPr>
      <w:bookmarkStart w:name="_bookmark183" w:id="233"/>
      <w:bookmarkEnd w:id="233"/>
      <w:r>
        <w:rPr>
          <w:b w:val="0"/>
        </w:rPr>
      </w:r>
      <w:bookmarkStart w:name="_bookmark183" w:id="234"/>
      <w:bookmarkEnd w:id="234"/>
      <w:r>
        <w:rPr/>
        <w:t>E</w:t>
      </w:r>
      <w:r>
        <w:rPr/>
        <w:t>scenario fiscal de mediano plazo 2023 -</w:t>
      </w:r>
      <w:r>
        <w:rPr>
          <w:spacing w:val="-2"/>
        </w:rPr>
        <w:t> </w:t>
      </w:r>
      <w:r>
        <w:rPr/>
        <w:t>2027</w:t>
      </w:r>
    </w:p>
    <w:p>
      <w:pPr>
        <w:pStyle w:val="BodyText"/>
        <w:spacing w:before="4"/>
        <w:rPr>
          <w:b/>
          <w:sz w:val="28"/>
        </w:rPr>
      </w:pPr>
    </w:p>
    <w:p>
      <w:pPr>
        <w:pStyle w:val="BodyText"/>
        <w:spacing w:line="276" w:lineRule="auto" w:before="1"/>
        <w:ind w:left="562" w:right="1695"/>
        <w:jc w:val="both"/>
      </w:pPr>
      <w:r>
        <w:rPr/>
        <w:t>La gestión de las finanzas públicas con una perspectiva de mediano plazo permite aumentar </w:t>
      </w:r>
      <w:r>
        <w:rPr>
          <w:spacing w:val="-3"/>
        </w:rPr>
        <w:t>el </w:t>
      </w:r>
      <w:r>
        <w:rPr/>
        <w:t>bienestar</w:t>
      </w:r>
      <w:r>
        <w:rPr>
          <w:spacing w:val="-8"/>
        </w:rPr>
        <w:t> </w:t>
      </w:r>
      <w:r>
        <w:rPr/>
        <w:t>de</w:t>
      </w:r>
      <w:r>
        <w:rPr>
          <w:spacing w:val="-11"/>
        </w:rPr>
        <w:t> </w:t>
      </w:r>
      <w:r>
        <w:rPr/>
        <w:t>los</w:t>
      </w:r>
      <w:r>
        <w:rPr>
          <w:spacing w:val="-9"/>
        </w:rPr>
        <w:t> </w:t>
      </w:r>
      <w:r>
        <w:rPr/>
        <w:t>ciudadanos</w:t>
      </w:r>
      <w:r>
        <w:rPr>
          <w:spacing w:val="-10"/>
        </w:rPr>
        <w:t> </w:t>
      </w:r>
      <w:r>
        <w:rPr/>
        <w:t>de</w:t>
      </w:r>
      <w:r>
        <w:rPr>
          <w:spacing w:val="-8"/>
        </w:rPr>
        <w:t> </w:t>
      </w:r>
      <w:r>
        <w:rPr/>
        <w:t>un</w:t>
      </w:r>
      <w:r>
        <w:rPr>
          <w:spacing w:val="-9"/>
        </w:rPr>
        <w:t> </w:t>
      </w:r>
      <w:r>
        <w:rPr/>
        <w:t>país</w:t>
      </w:r>
      <w:r>
        <w:rPr>
          <w:spacing w:val="-9"/>
        </w:rPr>
        <w:t> </w:t>
      </w:r>
      <w:r>
        <w:rPr/>
        <w:t>a</w:t>
      </w:r>
      <w:r>
        <w:rPr>
          <w:spacing w:val="-8"/>
        </w:rPr>
        <w:t> </w:t>
      </w:r>
      <w:r>
        <w:rPr/>
        <w:t>través</w:t>
      </w:r>
      <w:r>
        <w:rPr>
          <w:spacing w:val="-7"/>
        </w:rPr>
        <w:t> </w:t>
      </w:r>
      <w:r>
        <w:rPr/>
        <w:t>de</w:t>
      </w:r>
      <w:r>
        <w:rPr>
          <w:spacing w:val="-11"/>
        </w:rPr>
        <w:t> </w:t>
      </w:r>
      <w:r>
        <w:rPr/>
        <w:t>la</w:t>
      </w:r>
      <w:r>
        <w:rPr>
          <w:spacing w:val="-8"/>
        </w:rPr>
        <w:t> </w:t>
      </w:r>
      <w:r>
        <w:rPr/>
        <w:t>política</w:t>
      </w:r>
      <w:r>
        <w:rPr>
          <w:spacing w:val="-9"/>
        </w:rPr>
        <w:t> </w:t>
      </w:r>
      <w:r>
        <w:rPr/>
        <w:t>redistributiva</w:t>
      </w:r>
      <w:r>
        <w:rPr>
          <w:spacing w:val="-8"/>
        </w:rPr>
        <w:t> </w:t>
      </w:r>
      <w:r>
        <w:rPr/>
        <w:t>del</w:t>
      </w:r>
      <w:r>
        <w:rPr>
          <w:spacing w:val="-8"/>
        </w:rPr>
        <w:t> </w:t>
      </w:r>
      <w:r>
        <w:rPr/>
        <w:t>gobierno</w:t>
      </w:r>
      <w:r>
        <w:rPr>
          <w:spacing w:val="-6"/>
        </w:rPr>
        <w:t> </w:t>
      </w:r>
      <w:r>
        <w:rPr/>
        <w:t>que</w:t>
      </w:r>
      <w:r>
        <w:rPr>
          <w:spacing w:val="-8"/>
        </w:rPr>
        <w:t> </w:t>
      </w:r>
      <w:r>
        <w:rPr/>
        <w:t>coadyuva a la dotación de bienes y servicios para la sociedad y la reducción de los niveles de desigualdad y pobreza, objetivos que se alcanzan cuando la política fiscal produce mayor estabilidad económica, mejora la eficiencia y la distribución de los ingresos del país. Para hacer esto posible, se requiere de un</w:t>
      </w:r>
      <w:r>
        <w:rPr>
          <w:spacing w:val="-8"/>
        </w:rPr>
        <w:t> </w:t>
      </w:r>
      <w:r>
        <w:rPr/>
        <w:t>Marco</w:t>
      </w:r>
      <w:r>
        <w:rPr>
          <w:spacing w:val="-8"/>
        </w:rPr>
        <w:t> </w:t>
      </w:r>
      <w:r>
        <w:rPr/>
        <w:t>Fiscal</w:t>
      </w:r>
      <w:r>
        <w:rPr>
          <w:spacing w:val="-8"/>
        </w:rPr>
        <w:t> </w:t>
      </w:r>
      <w:r>
        <w:rPr/>
        <w:t>de</w:t>
      </w:r>
      <w:r>
        <w:rPr>
          <w:spacing w:val="-9"/>
        </w:rPr>
        <w:t> </w:t>
      </w:r>
      <w:r>
        <w:rPr/>
        <w:t>Mediano</w:t>
      </w:r>
      <w:r>
        <w:rPr>
          <w:spacing w:val="-8"/>
        </w:rPr>
        <w:t> </w:t>
      </w:r>
      <w:r>
        <w:rPr/>
        <w:t>Plazo</w:t>
      </w:r>
      <w:r>
        <w:rPr>
          <w:spacing w:val="-8"/>
        </w:rPr>
        <w:t> </w:t>
      </w:r>
      <w:r>
        <w:rPr/>
        <w:t>(MFMP)</w:t>
      </w:r>
      <w:r>
        <w:rPr>
          <w:spacing w:val="-9"/>
        </w:rPr>
        <w:t> </w:t>
      </w:r>
      <w:r>
        <w:rPr/>
        <w:t>que</w:t>
      </w:r>
      <w:r>
        <w:rPr>
          <w:spacing w:val="-7"/>
        </w:rPr>
        <w:t> </w:t>
      </w:r>
      <w:r>
        <w:rPr/>
        <w:t>oriente</w:t>
      </w:r>
      <w:r>
        <w:rPr>
          <w:spacing w:val="-8"/>
        </w:rPr>
        <w:t> </w:t>
      </w:r>
      <w:r>
        <w:rPr/>
        <w:t>la</w:t>
      </w:r>
      <w:r>
        <w:rPr>
          <w:spacing w:val="-9"/>
        </w:rPr>
        <w:t> </w:t>
      </w:r>
      <w:r>
        <w:rPr/>
        <w:t>implementación</w:t>
      </w:r>
      <w:r>
        <w:rPr>
          <w:spacing w:val="-8"/>
        </w:rPr>
        <w:t> </w:t>
      </w:r>
      <w:r>
        <w:rPr/>
        <w:t>de</w:t>
      </w:r>
      <w:r>
        <w:rPr>
          <w:spacing w:val="-7"/>
        </w:rPr>
        <w:t> </w:t>
      </w:r>
      <w:r>
        <w:rPr/>
        <w:t>una</w:t>
      </w:r>
      <w:r>
        <w:rPr>
          <w:spacing w:val="-10"/>
        </w:rPr>
        <w:t> </w:t>
      </w:r>
      <w:r>
        <w:rPr/>
        <w:t>política</w:t>
      </w:r>
      <w:r>
        <w:rPr>
          <w:spacing w:val="-9"/>
        </w:rPr>
        <w:t> </w:t>
      </w:r>
      <w:r>
        <w:rPr/>
        <w:t>fiscal</w:t>
      </w:r>
      <w:r>
        <w:rPr>
          <w:spacing w:val="-9"/>
        </w:rPr>
        <w:t> </w:t>
      </w:r>
      <w:r>
        <w:rPr/>
        <w:t>más predecible, más transparente, menos pro cíclica y más eficiente en lograr los objetivos antes mencionados.</w:t>
      </w:r>
    </w:p>
    <w:p>
      <w:pPr>
        <w:pStyle w:val="BodyText"/>
        <w:spacing w:before="3"/>
        <w:rPr>
          <w:sz w:val="25"/>
        </w:rPr>
      </w:pPr>
    </w:p>
    <w:p>
      <w:pPr>
        <w:pStyle w:val="BodyText"/>
        <w:spacing w:line="276" w:lineRule="auto"/>
        <w:ind w:left="562" w:right="1696"/>
        <w:jc w:val="both"/>
      </w:pPr>
      <w:r>
        <w:rPr/>
        <w:t>De esa cuenta, a continuación, se presenta el Marco Fiscal de Mediano Plazo para el período 2023- 2027,</w:t>
      </w:r>
      <w:r>
        <w:rPr>
          <w:spacing w:val="-7"/>
        </w:rPr>
        <w:t> </w:t>
      </w:r>
      <w:r>
        <w:rPr/>
        <w:t>el</w:t>
      </w:r>
      <w:r>
        <w:rPr>
          <w:spacing w:val="-8"/>
        </w:rPr>
        <w:t> </w:t>
      </w:r>
      <w:r>
        <w:rPr/>
        <w:t>cual</w:t>
      </w:r>
      <w:r>
        <w:rPr>
          <w:spacing w:val="-6"/>
        </w:rPr>
        <w:t> </w:t>
      </w:r>
      <w:r>
        <w:rPr/>
        <w:t>inicia</w:t>
      </w:r>
      <w:r>
        <w:rPr>
          <w:spacing w:val="-7"/>
        </w:rPr>
        <w:t> </w:t>
      </w:r>
      <w:r>
        <w:rPr/>
        <w:t>definiendo</w:t>
      </w:r>
      <w:r>
        <w:rPr>
          <w:spacing w:val="-7"/>
        </w:rPr>
        <w:t> </w:t>
      </w:r>
      <w:r>
        <w:rPr/>
        <w:t>los</w:t>
      </w:r>
      <w:r>
        <w:rPr>
          <w:spacing w:val="-6"/>
        </w:rPr>
        <w:t> </w:t>
      </w:r>
      <w:r>
        <w:rPr/>
        <w:t>objetivos</w:t>
      </w:r>
      <w:r>
        <w:rPr>
          <w:spacing w:val="-6"/>
        </w:rPr>
        <w:t> </w:t>
      </w:r>
      <w:r>
        <w:rPr/>
        <w:t>y</w:t>
      </w:r>
      <w:r>
        <w:rPr>
          <w:spacing w:val="-10"/>
        </w:rPr>
        <w:t> </w:t>
      </w:r>
      <w:r>
        <w:rPr/>
        <w:t>lineamientos</w:t>
      </w:r>
      <w:r>
        <w:rPr>
          <w:spacing w:val="-6"/>
        </w:rPr>
        <w:t> </w:t>
      </w:r>
      <w:r>
        <w:rPr/>
        <w:t>estratégicos</w:t>
      </w:r>
      <w:r>
        <w:rPr>
          <w:spacing w:val="-6"/>
        </w:rPr>
        <w:t> </w:t>
      </w:r>
      <w:r>
        <w:rPr/>
        <w:t>de</w:t>
      </w:r>
      <w:r>
        <w:rPr>
          <w:spacing w:val="-7"/>
        </w:rPr>
        <w:t> </w:t>
      </w:r>
      <w:r>
        <w:rPr/>
        <w:t>la</w:t>
      </w:r>
      <w:r>
        <w:rPr>
          <w:spacing w:val="-7"/>
        </w:rPr>
        <w:t> </w:t>
      </w:r>
      <w:r>
        <w:rPr/>
        <w:t>política</w:t>
      </w:r>
      <w:r>
        <w:rPr>
          <w:spacing w:val="-7"/>
        </w:rPr>
        <w:t> </w:t>
      </w:r>
      <w:r>
        <w:rPr/>
        <w:t>fiscal,</w:t>
      </w:r>
      <w:r>
        <w:rPr>
          <w:spacing w:val="-6"/>
        </w:rPr>
        <w:t> </w:t>
      </w:r>
      <w:r>
        <w:rPr/>
        <w:t>así</w:t>
      </w:r>
      <w:r>
        <w:rPr>
          <w:spacing w:val="-6"/>
        </w:rPr>
        <w:t> </w:t>
      </w:r>
      <w:r>
        <w:rPr/>
        <w:t>como las orientaciones en materia de ingresos, gastos y financiamiento, para posteriormente incluir las proyecciones</w:t>
      </w:r>
      <w:r>
        <w:rPr>
          <w:spacing w:val="-15"/>
        </w:rPr>
        <w:t> </w:t>
      </w:r>
      <w:r>
        <w:rPr/>
        <w:t>de</w:t>
      </w:r>
      <w:r>
        <w:rPr>
          <w:spacing w:val="-12"/>
        </w:rPr>
        <w:t> </w:t>
      </w:r>
      <w:r>
        <w:rPr/>
        <w:t>medio</w:t>
      </w:r>
      <w:r>
        <w:rPr>
          <w:spacing w:val="-12"/>
        </w:rPr>
        <w:t> </w:t>
      </w:r>
      <w:r>
        <w:rPr/>
        <w:t>término,</w:t>
      </w:r>
      <w:r>
        <w:rPr>
          <w:spacing w:val="-12"/>
        </w:rPr>
        <w:t> </w:t>
      </w:r>
      <w:r>
        <w:rPr/>
        <w:t>el</w:t>
      </w:r>
      <w:r>
        <w:rPr>
          <w:spacing w:val="-11"/>
        </w:rPr>
        <w:t> </w:t>
      </w:r>
      <w:r>
        <w:rPr/>
        <w:t>análisis</w:t>
      </w:r>
      <w:r>
        <w:rPr>
          <w:spacing w:val="-11"/>
        </w:rPr>
        <w:t> </w:t>
      </w:r>
      <w:r>
        <w:rPr/>
        <w:t>de</w:t>
      </w:r>
      <w:r>
        <w:rPr>
          <w:spacing w:val="-13"/>
        </w:rPr>
        <w:t> </w:t>
      </w:r>
      <w:r>
        <w:rPr/>
        <w:t>orientación</w:t>
      </w:r>
      <w:r>
        <w:rPr>
          <w:spacing w:val="-12"/>
        </w:rPr>
        <w:t> </w:t>
      </w:r>
      <w:r>
        <w:rPr/>
        <w:t>y</w:t>
      </w:r>
      <w:r>
        <w:rPr>
          <w:spacing w:val="-14"/>
        </w:rPr>
        <w:t> </w:t>
      </w:r>
      <w:r>
        <w:rPr/>
        <w:t>sostenibilidad</w:t>
      </w:r>
      <w:r>
        <w:rPr>
          <w:spacing w:val="-11"/>
        </w:rPr>
        <w:t> </w:t>
      </w:r>
      <w:r>
        <w:rPr/>
        <w:t>fiscal,</w:t>
      </w:r>
      <w:r>
        <w:rPr>
          <w:spacing w:val="-12"/>
        </w:rPr>
        <w:t> </w:t>
      </w:r>
      <w:r>
        <w:rPr/>
        <w:t>y</w:t>
      </w:r>
      <w:r>
        <w:rPr>
          <w:spacing w:val="-14"/>
        </w:rPr>
        <w:t> </w:t>
      </w:r>
      <w:r>
        <w:rPr/>
        <w:t>algunos</w:t>
      </w:r>
      <w:r>
        <w:rPr>
          <w:spacing w:val="-11"/>
        </w:rPr>
        <w:t> </w:t>
      </w:r>
      <w:r>
        <w:rPr/>
        <w:t>escenarios alternativos.</w:t>
      </w:r>
    </w:p>
    <w:p>
      <w:pPr>
        <w:pStyle w:val="BodyText"/>
        <w:spacing w:before="11"/>
        <w:rPr>
          <w:sz w:val="25"/>
        </w:rPr>
      </w:pPr>
    </w:p>
    <w:p>
      <w:pPr>
        <w:pStyle w:val="Heading2"/>
        <w:numPr>
          <w:ilvl w:val="2"/>
          <w:numId w:val="13"/>
        </w:numPr>
        <w:tabs>
          <w:tab w:pos="1354" w:val="left" w:leader="none"/>
        </w:tabs>
        <w:spacing w:line="240" w:lineRule="auto" w:before="0" w:after="0"/>
        <w:ind w:left="1354" w:right="0" w:hanging="433"/>
        <w:jc w:val="left"/>
      </w:pPr>
      <w:bookmarkStart w:name="_bookmark184" w:id="235"/>
      <w:bookmarkEnd w:id="235"/>
      <w:r>
        <w:rPr>
          <w:b w:val="0"/>
        </w:rPr>
      </w:r>
      <w:bookmarkStart w:name="_bookmark184" w:id="236"/>
      <w:bookmarkEnd w:id="236"/>
      <w:r>
        <w:rPr/>
        <w:t>O</w:t>
      </w:r>
      <w:r>
        <w:rPr/>
        <w:t>bjetivos y lineamientos estratégicos de la política</w:t>
      </w:r>
      <w:r>
        <w:rPr>
          <w:spacing w:val="-4"/>
        </w:rPr>
        <w:t> </w:t>
      </w:r>
      <w:r>
        <w:rPr/>
        <w:t>fiscal</w:t>
      </w:r>
    </w:p>
    <w:p>
      <w:pPr>
        <w:pStyle w:val="BodyText"/>
        <w:spacing w:before="4"/>
        <w:rPr>
          <w:b/>
          <w:sz w:val="28"/>
        </w:rPr>
      </w:pPr>
    </w:p>
    <w:p>
      <w:pPr>
        <w:pStyle w:val="BodyText"/>
        <w:spacing w:line="276" w:lineRule="auto"/>
        <w:ind w:left="562" w:right="1698"/>
        <w:jc w:val="both"/>
      </w:pPr>
      <w:r>
        <w:rPr/>
        <w:t>La</w:t>
      </w:r>
      <w:r>
        <w:rPr>
          <w:spacing w:val="-2"/>
        </w:rPr>
        <w:t> </w:t>
      </w:r>
      <w:r>
        <w:rPr/>
        <w:t>política</w:t>
      </w:r>
      <w:r>
        <w:rPr>
          <w:spacing w:val="-4"/>
        </w:rPr>
        <w:t> </w:t>
      </w:r>
      <w:r>
        <w:rPr/>
        <w:t>fiscal de</w:t>
      </w:r>
      <w:r>
        <w:rPr>
          <w:spacing w:val="-2"/>
        </w:rPr>
        <w:t> </w:t>
      </w:r>
      <w:r>
        <w:rPr/>
        <w:t>mediano</w:t>
      </w:r>
      <w:r>
        <w:rPr>
          <w:spacing w:val="-1"/>
        </w:rPr>
        <w:t> </w:t>
      </w:r>
      <w:r>
        <w:rPr/>
        <w:t>plazo</w:t>
      </w:r>
      <w:r>
        <w:rPr>
          <w:spacing w:val="-2"/>
        </w:rPr>
        <w:t> </w:t>
      </w:r>
      <w:r>
        <w:rPr/>
        <w:t>de</w:t>
      </w:r>
      <w:r>
        <w:rPr>
          <w:spacing w:val="-3"/>
        </w:rPr>
        <w:t> </w:t>
      </w:r>
      <w:r>
        <w:rPr/>
        <w:t>Guatemala</w:t>
      </w:r>
      <w:r>
        <w:rPr>
          <w:spacing w:val="-2"/>
        </w:rPr>
        <w:t> </w:t>
      </w:r>
      <w:r>
        <w:rPr/>
        <w:t>está</w:t>
      </w:r>
      <w:r>
        <w:rPr>
          <w:spacing w:val="-6"/>
        </w:rPr>
        <w:t> </w:t>
      </w:r>
      <w:r>
        <w:rPr/>
        <w:t>contenida</w:t>
      </w:r>
      <w:r>
        <w:rPr>
          <w:spacing w:val="-2"/>
        </w:rPr>
        <w:t> </w:t>
      </w:r>
      <w:r>
        <w:rPr/>
        <w:t>en</w:t>
      </w:r>
      <w:r>
        <w:rPr>
          <w:spacing w:val="-4"/>
        </w:rPr>
        <w:t> </w:t>
      </w:r>
      <w:r>
        <w:rPr/>
        <w:t>los</w:t>
      </w:r>
      <w:r>
        <w:rPr>
          <w:spacing w:val="-4"/>
        </w:rPr>
        <w:t> </w:t>
      </w:r>
      <w:r>
        <w:rPr/>
        <w:t>principios</w:t>
      </w:r>
      <w:r>
        <w:rPr>
          <w:spacing w:val="-3"/>
        </w:rPr>
        <w:t> </w:t>
      </w:r>
      <w:r>
        <w:rPr/>
        <w:t>y</w:t>
      </w:r>
      <w:r>
        <w:rPr>
          <w:spacing w:val="-5"/>
        </w:rPr>
        <w:t> </w:t>
      </w:r>
      <w:r>
        <w:rPr/>
        <w:t>fundamentos</w:t>
      </w:r>
      <w:r>
        <w:rPr>
          <w:spacing w:val="-3"/>
        </w:rPr>
        <w:t> </w:t>
      </w:r>
      <w:r>
        <w:rPr/>
        <w:t>del Plan Nacional de Desarrollo K´ATUN Nuestra Guatemala 2032 y se inscribe en el eje de “Riqueza para todos y todas” y en las prioridades: a) “Estabilidad Macroeconómica en un Marco Amplio de Desarrollo”</w:t>
      </w:r>
      <w:r>
        <w:rPr>
          <w:spacing w:val="-7"/>
        </w:rPr>
        <w:t> </w:t>
      </w:r>
      <w:r>
        <w:rPr/>
        <w:t>y</w:t>
      </w:r>
      <w:r>
        <w:rPr>
          <w:spacing w:val="-9"/>
        </w:rPr>
        <w:t> </w:t>
      </w:r>
      <w:r>
        <w:rPr/>
        <w:t>b)</w:t>
      </w:r>
      <w:r>
        <w:rPr>
          <w:spacing w:val="-6"/>
        </w:rPr>
        <w:t> </w:t>
      </w:r>
      <w:r>
        <w:rPr/>
        <w:t>“Política</w:t>
      </w:r>
      <w:r>
        <w:rPr>
          <w:spacing w:val="-8"/>
        </w:rPr>
        <w:t> </w:t>
      </w:r>
      <w:r>
        <w:rPr/>
        <w:t>fiscal</w:t>
      </w:r>
      <w:r>
        <w:rPr>
          <w:spacing w:val="-8"/>
        </w:rPr>
        <w:t> </w:t>
      </w:r>
      <w:r>
        <w:rPr/>
        <w:t>como</w:t>
      </w:r>
      <w:r>
        <w:rPr>
          <w:spacing w:val="-5"/>
        </w:rPr>
        <w:t> </w:t>
      </w:r>
      <w:r>
        <w:rPr/>
        <w:t>motor</w:t>
      </w:r>
      <w:r>
        <w:rPr>
          <w:spacing w:val="-5"/>
        </w:rPr>
        <w:t> </w:t>
      </w:r>
      <w:r>
        <w:rPr/>
        <w:t>de</w:t>
      </w:r>
      <w:r>
        <w:rPr>
          <w:spacing w:val="-9"/>
        </w:rPr>
        <w:t> </w:t>
      </w:r>
      <w:r>
        <w:rPr/>
        <w:t>la</w:t>
      </w:r>
      <w:r>
        <w:rPr>
          <w:spacing w:val="-6"/>
        </w:rPr>
        <w:t> </w:t>
      </w:r>
      <w:r>
        <w:rPr/>
        <w:t>estabilidad</w:t>
      </w:r>
      <w:r>
        <w:rPr>
          <w:spacing w:val="-7"/>
        </w:rPr>
        <w:t> </w:t>
      </w:r>
      <w:r>
        <w:rPr/>
        <w:t>y</w:t>
      </w:r>
      <w:r>
        <w:rPr>
          <w:spacing w:val="-9"/>
        </w:rPr>
        <w:t> </w:t>
      </w:r>
      <w:r>
        <w:rPr/>
        <w:t>el</w:t>
      </w:r>
      <w:r>
        <w:rPr>
          <w:spacing w:val="-6"/>
        </w:rPr>
        <w:t> </w:t>
      </w:r>
      <w:r>
        <w:rPr/>
        <w:t>crecimiento</w:t>
      </w:r>
      <w:r>
        <w:rPr>
          <w:spacing w:val="-9"/>
        </w:rPr>
        <w:t> </w:t>
      </w:r>
      <w:r>
        <w:rPr/>
        <w:t>económico</w:t>
      </w:r>
      <w:r>
        <w:rPr>
          <w:spacing w:val="-7"/>
        </w:rPr>
        <w:t> </w:t>
      </w:r>
      <w:r>
        <w:rPr/>
        <w:t>inclusivo”.</w:t>
      </w:r>
    </w:p>
    <w:p>
      <w:pPr>
        <w:pStyle w:val="BodyText"/>
        <w:spacing w:before="3"/>
        <w:rPr>
          <w:sz w:val="25"/>
        </w:rPr>
      </w:pPr>
    </w:p>
    <w:p>
      <w:pPr>
        <w:pStyle w:val="BodyText"/>
        <w:spacing w:line="276" w:lineRule="auto"/>
        <w:ind w:left="562" w:right="1696"/>
        <w:jc w:val="both"/>
      </w:pPr>
      <w:r>
        <w:rPr/>
        <w:t>Es</w:t>
      </w:r>
      <w:r>
        <w:rPr>
          <w:spacing w:val="-5"/>
        </w:rPr>
        <w:t> </w:t>
      </w:r>
      <w:r>
        <w:rPr/>
        <w:t>importante</w:t>
      </w:r>
      <w:r>
        <w:rPr>
          <w:spacing w:val="-3"/>
        </w:rPr>
        <w:t> </w:t>
      </w:r>
      <w:r>
        <w:rPr/>
        <w:t>considerar</w:t>
      </w:r>
      <w:r>
        <w:rPr>
          <w:spacing w:val="-5"/>
        </w:rPr>
        <w:t> </w:t>
      </w:r>
      <w:r>
        <w:rPr/>
        <w:t>que,</w:t>
      </w:r>
      <w:r>
        <w:rPr>
          <w:spacing w:val="-3"/>
        </w:rPr>
        <w:t> </w:t>
      </w:r>
      <w:r>
        <w:rPr/>
        <w:t>si</w:t>
      </w:r>
      <w:r>
        <w:rPr>
          <w:spacing w:val="-5"/>
        </w:rPr>
        <w:t> </w:t>
      </w:r>
      <w:r>
        <w:rPr/>
        <w:t>bien</w:t>
      </w:r>
      <w:r>
        <w:rPr>
          <w:spacing w:val="-4"/>
        </w:rPr>
        <w:t> </w:t>
      </w:r>
      <w:r>
        <w:rPr/>
        <w:t>el</w:t>
      </w:r>
      <w:r>
        <w:rPr>
          <w:spacing w:val="-3"/>
        </w:rPr>
        <w:t> </w:t>
      </w:r>
      <w:r>
        <w:rPr/>
        <w:t>Plan</w:t>
      </w:r>
      <w:r>
        <w:rPr>
          <w:spacing w:val="-3"/>
        </w:rPr>
        <w:t> </w:t>
      </w:r>
      <w:r>
        <w:rPr/>
        <w:t>Nacional</w:t>
      </w:r>
      <w:r>
        <w:rPr>
          <w:spacing w:val="-5"/>
        </w:rPr>
        <w:t> </w:t>
      </w:r>
      <w:r>
        <w:rPr/>
        <w:t>de</w:t>
      </w:r>
      <w:r>
        <w:rPr>
          <w:spacing w:val="-3"/>
        </w:rPr>
        <w:t> </w:t>
      </w:r>
      <w:r>
        <w:rPr/>
        <w:t>Desarrollo</w:t>
      </w:r>
      <w:r>
        <w:rPr>
          <w:spacing w:val="-4"/>
        </w:rPr>
        <w:t> </w:t>
      </w:r>
      <w:r>
        <w:rPr/>
        <w:t>es</w:t>
      </w:r>
      <w:r>
        <w:rPr>
          <w:spacing w:val="-5"/>
        </w:rPr>
        <w:t> </w:t>
      </w:r>
      <w:r>
        <w:rPr/>
        <w:t>la</w:t>
      </w:r>
      <w:r>
        <w:rPr>
          <w:spacing w:val="-4"/>
        </w:rPr>
        <w:t> </w:t>
      </w:r>
      <w:r>
        <w:rPr/>
        <w:t>guía</w:t>
      </w:r>
      <w:r>
        <w:rPr>
          <w:spacing w:val="-3"/>
        </w:rPr>
        <w:t> </w:t>
      </w:r>
      <w:r>
        <w:rPr/>
        <w:t>y</w:t>
      </w:r>
      <w:r>
        <w:rPr>
          <w:spacing w:val="-6"/>
        </w:rPr>
        <w:t> </w:t>
      </w:r>
      <w:r>
        <w:rPr/>
        <w:t>base</w:t>
      </w:r>
      <w:r>
        <w:rPr>
          <w:spacing w:val="-3"/>
        </w:rPr>
        <w:t> </w:t>
      </w:r>
      <w:r>
        <w:rPr/>
        <w:t>de</w:t>
      </w:r>
      <w:r>
        <w:rPr>
          <w:spacing w:val="-6"/>
        </w:rPr>
        <w:t> </w:t>
      </w:r>
      <w:r>
        <w:rPr/>
        <w:t>las</w:t>
      </w:r>
      <w:r>
        <w:rPr>
          <w:spacing w:val="-3"/>
        </w:rPr>
        <w:t> </w:t>
      </w:r>
      <w:r>
        <w:rPr/>
        <w:t>políticas públicas,</w:t>
      </w:r>
      <w:r>
        <w:rPr>
          <w:spacing w:val="-11"/>
        </w:rPr>
        <w:t> </w:t>
      </w:r>
      <w:r>
        <w:rPr/>
        <w:t>existe</w:t>
      </w:r>
      <w:r>
        <w:rPr>
          <w:spacing w:val="-11"/>
        </w:rPr>
        <w:t> </w:t>
      </w:r>
      <w:r>
        <w:rPr/>
        <w:t>otra</w:t>
      </w:r>
      <w:r>
        <w:rPr>
          <w:spacing w:val="-11"/>
        </w:rPr>
        <w:t> </w:t>
      </w:r>
      <w:r>
        <w:rPr/>
        <w:t>guía</w:t>
      </w:r>
      <w:r>
        <w:rPr>
          <w:spacing w:val="-10"/>
        </w:rPr>
        <w:t> </w:t>
      </w:r>
      <w:r>
        <w:rPr/>
        <w:t>para</w:t>
      </w:r>
      <w:r>
        <w:rPr>
          <w:spacing w:val="-11"/>
        </w:rPr>
        <w:t> </w:t>
      </w:r>
      <w:r>
        <w:rPr/>
        <w:t>la</w:t>
      </w:r>
      <w:r>
        <w:rPr>
          <w:spacing w:val="-14"/>
        </w:rPr>
        <w:t> </w:t>
      </w:r>
      <w:r>
        <w:rPr/>
        <w:t>política</w:t>
      </w:r>
      <w:r>
        <w:rPr>
          <w:spacing w:val="-11"/>
        </w:rPr>
        <w:t> </w:t>
      </w:r>
      <w:r>
        <w:rPr/>
        <w:t>pública</w:t>
      </w:r>
      <w:r>
        <w:rPr>
          <w:spacing w:val="-10"/>
        </w:rPr>
        <w:t> </w:t>
      </w:r>
      <w:r>
        <w:rPr/>
        <w:t>de</w:t>
      </w:r>
      <w:r>
        <w:rPr>
          <w:spacing w:val="-11"/>
        </w:rPr>
        <w:t> </w:t>
      </w:r>
      <w:r>
        <w:rPr/>
        <w:t>largo</w:t>
      </w:r>
      <w:r>
        <w:rPr>
          <w:spacing w:val="-12"/>
        </w:rPr>
        <w:t> </w:t>
      </w:r>
      <w:r>
        <w:rPr/>
        <w:t>plazo,</w:t>
      </w:r>
      <w:r>
        <w:rPr>
          <w:spacing w:val="-12"/>
        </w:rPr>
        <w:t> </w:t>
      </w:r>
      <w:r>
        <w:rPr/>
        <w:t>expresada</w:t>
      </w:r>
      <w:r>
        <w:rPr>
          <w:spacing w:val="-10"/>
        </w:rPr>
        <w:t> </w:t>
      </w:r>
      <w:r>
        <w:rPr/>
        <w:t>en</w:t>
      </w:r>
      <w:r>
        <w:rPr>
          <w:spacing w:val="-11"/>
        </w:rPr>
        <w:t> </w:t>
      </w:r>
      <w:r>
        <w:rPr/>
        <w:t>el</w:t>
      </w:r>
      <w:r>
        <w:rPr>
          <w:spacing w:val="-11"/>
        </w:rPr>
        <w:t> </w:t>
      </w:r>
      <w:r>
        <w:rPr/>
        <w:t>compromiso</w:t>
      </w:r>
      <w:r>
        <w:rPr>
          <w:spacing w:val="-10"/>
        </w:rPr>
        <w:t> </w:t>
      </w:r>
      <w:r>
        <w:rPr/>
        <w:t>asumido por el Estado de Guatemala en 2015 cuando se comprometió con la Agenda de Objetivos de Desarrollo</w:t>
      </w:r>
      <w:r>
        <w:rPr>
          <w:spacing w:val="-14"/>
        </w:rPr>
        <w:t> </w:t>
      </w:r>
      <w:r>
        <w:rPr/>
        <w:t>Sostenible</w:t>
      </w:r>
      <w:r>
        <w:rPr>
          <w:spacing w:val="-13"/>
        </w:rPr>
        <w:t> </w:t>
      </w:r>
      <w:r>
        <w:rPr/>
        <w:t>(ODS),</w:t>
      </w:r>
      <w:r>
        <w:rPr>
          <w:spacing w:val="-13"/>
        </w:rPr>
        <w:t> </w:t>
      </w:r>
      <w:r>
        <w:rPr/>
        <w:t>en</w:t>
      </w:r>
      <w:r>
        <w:rPr>
          <w:spacing w:val="-13"/>
        </w:rPr>
        <w:t> </w:t>
      </w:r>
      <w:r>
        <w:rPr/>
        <w:t>la</w:t>
      </w:r>
      <w:r>
        <w:rPr>
          <w:spacing w:val="-14"/>
        </w:rPr>
        <w:t> </w:t>
      </w:r>
      <w:r>
        <w:rPr/>
        <w:t>cual</w:t>
      </w:r>
      <w:r>
        <w:rPr>
          <w:spacing w:val="-12"/>
        </w:rPr>
        <w:t> </w:t>
      </w:r>
      <w:r>
        <w:rPr/>
        <w:t>se</w:t>
      </w:r>
      <w:r>
        <w:rPr>
          <w:spacing w:val="-13"/>
        </w:rPr>
        <w:t> </w:t>
      </w:r>
      <w:r>
        <w:rPr/>
        <w:t>define</w:t>
      </w:r>
      <w:r>
        <w:rPr>
          <w:spacing w:val="-13"/>
        </w:rPr>
        <w:t> </w:t>
      </w:r>
      <w:r>
        <w:rPr/>
        <w:t>un</w:t>
      </w:r>
      <w:r>
        <w:rPr>
          <w:spacing w:val="-13"/>
        </w:rPr>
        <w:t> </w:t>
      </w:r>
      <w:r>
        <w:rPr/>
        <w:t>plan</w:t>
      </w:r>
      <w:r>
        <w:rPr>
          <w:spacing w:val="-14"/>
        </w:rPr>
        <w:t> </w:t>
      </w:r>
      <w:r>
        <w:rPr/>
        <w:t>de</w:t>
      </w:r>
      <w:r>
        <w:rPr>
          <w:spacing w:val="-13"/>
        </w:rPr>
        <w:t> </w:t>
      </w:r>
      <w:r>
        <w:rPr/>
        <w:t>acción</w:t>
      </w:r>
      <w:r>
        <w:rPr>
          <w:spacing w:val="-13"/>
        </w:rPr>
        <w:t> </w:t>
      </w:r>
      <w:r>
        <w:rPr/>
        <w:t>para</w:t>
      </w:r>
      <w:r>
        <w:rPr>
          <w:spacing w:val="-13"/>
        </w:rPr>
        <w:t> </w:t>
      </w:r>
      <w:r>
        <w:rPr/>
        <w:t>erradicar</w:t>
      </w:r>
      <w:r>
        <w:rPr>
          <w:spacing w:val="-13"/>
        </w:rPr>
        <w:t> </w:t>
      </w:r>
      <w:r>
        <w:rPr/>
        <w:t>la</w:t>
      </w:r>
      <w:r>
        <w:rPr>
          <w:spacing w:val="-16"/>
        </w:rPr>
        <w:t> </w:t>
      </w:r>
      <w:r>
        <w:rPr/>
        <w:t>pobreza,</w:t>
      </w:r>
      <w:r>
        <w:rPr>
          <w:spacing w:val="-13"/>
        </w:rPr>
        <w:t> </w:t>
      </w:r>
      <w:r>
        <w:rPr/>
        <w:t>proteger el planeta y lograr una prosperidad sostenible para todos. En 2016, el gobierno decide priorizar la Agenda en función de las lecciones aprendidas en el marco de seguimiento de </w:t>
      </w:r>
      <w:r>
        <w:rPr>
          <w:spacing w:val="2"/>
        </w:rPr>
        <w:t>los </w:t>
      </w:r>
      <w:r>
        <w:rPr/>
        <w:t>Objetivos de Desarrollo del Milenio (ODM). Para lo cual el Consejo Nacional de Desarrollo Urbano y Rural, aprueba la Estrategia de articulación de la Agenda de Objetivos de Desarrollo Sostenible con el Plan y Política Nacional de Desarrollo K´atun: Nuestra Guatemala 2032, la cual permitió priorizar los objetivos,</w:t>
      </w:r>
      <w:r>
        <w:rPr>
          <w:spacing w:val="-14"/>
        </w:rPr>
        <w:t> </w:t>
      </w:r>
      <w:r>
        <w:rPr/>
        <w:t>metas</w:t>
      </w:r>
      <w:r>
        <w:rPr>
          <w:spacing w:val="-15"/>
        </w:rPr>
        <w:t> </w:t>
      </w:r>
      <w:r>
        <w:rPr/>
        <w:t>e</w:t>
      </w:r>
      <w:r>
        <w:rPr>
          <w:spacing w:val="-15"/>
        </w:rPr>
        <w:t> </w:t>
      </w:r>
      <w:r>
        <w:rPr/>
        <w:t>indicadores.</w:t>
      </w:r>
      <w:r>
        <w:rPr>
          <w:spacing w:val="-13"/>
        </w:rPr>
        <w:t> </w:t>
      </w:r>
      <w:r>
        <w:rPr/>
        <w:t>En</w:t>
      </w:r>
      <w:r>
        <w:rPr>
          <w:spacing w:val="-17"/>
        </w:rPr>
        <w:t> </w:t>
      </w:r>
      <w:r>
        <w:rPr/>
        <w:t>tal</w:t>
      </w:r>
      <w:r>
        <w:rPr>
          <w:spacing w:val="-12"/>
        </w:rPr>
        <w:t> </w:t>
      </w:r>
      <w:r>
        <w:rPr/>
        <w:t>sentido,</w:t>
      </w:r>
      <w:r>
        <w:rPr>
          <w:spacing w:val="-16"/>
        </w:rPr>
        <w:t> </w:t>
      </w:r>
      <w:r>
        <w:rPr/>
        <w:t>mediante</w:t>
      </w:r>
      <w:r>
        <w:rPr>
          <w:spacing w:val="-15"/>
        </w:rPr>
        <w:t> </w:t>
      </w:r>
      <w:r>
        <w:rPr/>
        <w:t>punto</w:t>
      </w:r>
      <w:r>
        <w:rPr>
          <w:spacing w:val="-16"/>
        </w:rPr>
        <w:t> </w:t>
      </w:r>
      <w:r>
        <w:rPr/>
        <w:t>resolutivo</w:t>
      </w:r>
      <w:r>
        <w:rPr>
          <w:spacing w:val="-14"/>
        </w:rPr>
        <w:t> </w:t>
      </w:r>
      <w:r>
        <w:rPr/>
        <w:t>15-2016,</w:t>
      </w:r>
      <w:r>
        <w:rPr>
          <w:spacing w:val="-13"/>
        </w:rPr>
        <w:t> </w:t>
      </w:r>
      <w:r>
        <w:rPr/>
        <w:t>el</w:t>
      </w:r>
      <w:r>
        <w:rPr>
          <w:spacing w:val="-15"/>
        </w:rPr>
        <w:t> </w:t>
      </w:r>
      <w:r>
        <w:rPr/>
        <w:t>Conadur</w:t>
      </w:r>
      <w:r>
        <w:rPr>
          <w:spacing w:val="-13"/>
        </w:rPr>
        <w:t> </w:t>
      </w:r>
      <w:r>
        <w:rPr/>
        <w:t>aprueba el ejercicio de priorización de la Agenda ODS, el cual está constituido por 17 objetivos, 129 metas</w:t>
      </w:r>
      <w:r>
        <w:rPr>
          <w:spacing w:val="-34"/>
        </w:rPr>
        <w:t> </w:t>
      </w:r>
      <w:r>
        <w:rPr/>
        <w:t>y 200 indicadores y, reflejando la expresión de la voluntad y el consenso de todos los actores de la sociedad</w:t>
      </w:r>
      <w:r>
        <w:rPr>
          <w:spacing w:val="-1"/>
        </w:rPr>
        <w:t> </w:t>
      </w:r>
      <w:r>
        <w:rPr/>
        <w:t>guatemalteca.</w:t>
      </w:r>
    </w:p>
    <w:p>
      <w:pPr>
        <w:pStyle w:val="BodyText"/>
        <w:spacing w:before="4"/>
        <w:rPr>
          <w:sz w:val="25"/>
        </w:rPr>
      </w:pPr>
    </w:p>
    <w:p>
      <w:pPr>
        <w:pStyle w:val="BodyText"/>
        <w:spacing w:line="276" w:lineRule="auto" w:before="1"/>
        <w:ind w:left="562" w:right="1696"/>
        <w:jc w:val="both"/>
      </w:pPr>
      <w:r>
        <w:rPr/>
        <w:t>De esa cuenta, el K´atun y los ODS, contienen las prioridades nacionales sobre las cuales se deben armonizar las acciones impulsadas por las instituciones del Estado, sean estas públicas o privadas, además, de la cooperación internacional, de manera que se pueda organizar, coordinar y articular en función de los intereses y prioridades del desarrollo nacional de largo plazo. A través de la Política General de Gobierno 2020-2024, la administración pública se plantea metas estratégicas en el mediano plazo para coadyuvar en la consecución de los objetivos de largo plazo. En este sentido, la</w:t>
      </w:r>
    </w:p>
    <w:p>
      <w:pPr>
        <w:spacing w:after="0" w:line="276" w:lineRule="auto"/>
        <w:jc w:val="both"/>
        <w:sectPr>
          <w:pgSz w:w="12240" w:h="15840"/>
          <w:pgMar w:header="715" w:footer="957" w:top="1240" w:bottom="1140" w:left="1140" w:right="0"/>
        </w:sectPr>
      </w:pPr>
    </w:p>
    <w:p>
      <w:pPr>
        <w:pStyle w:val="BodyText"/>
        <w:spacing w:line="276" w:lineRule="auto" w:before="162"/>
        <w:ind w:left="562" w:right="1695"/>
        <w:jc w:val="both"/>
      </w:pPr>
      <w:r>
        <w:rPr/>
        <w:t>política fiscal del período abarca los ingresos, gastos, financiamiento, normatividad y descentralización; integrando el cumplimiento de las obligaciones constitucionales, de leyes específicas, la que emana de los Acuerdos de Paz y el Plan Nacional de Desarrollo; todo dentro del marco de un adecuado equilibrio entre la gestión de la administración tributaria y la gestión del presupuesto público, garantizando a su vez, que la misma no altere el equilibrio macroeconómico y se constituya en una promotora para el crecimiento económico y la inversión productiva.</w:t>
      </w:r>
    </w:p>
    <w:p>
      <w:pPr>
        <w:pStyle w:val="BodyText"/>
        <w:spacing w:before="2"/>
        <w:rPr>
          <w:sz w:val="25"/>
        </w:rPr>
      </w:pPr>
    </w:p>
    <w:p>
      <w:pPr>
        <w:pStyle w:val="BodyText"/>
        <w:ind w:left="562"/>
        <w:jc w:val="both"/>
      </w:pPr>
      <w:r>
        <w:rPr/>
        <w:t>En este contexto, el objetivo estratégico de mediano plazo de la política fiscal de Guatemala es:</w:t>
      </w:r>
    </w:p>
    <w:p>
      <w:pPr>
        <w:pStyle w:val="BodyText"/>
        <w:spacing w:before="10"/>
        <w:rPr>
          <w:sz w:val="25"/>
        </w:rPr>
      </w:pPr>
      <w:r>
        <w:rPr/>
        <w:pict>
          <v:shape style="position:absolute;margin-left:79.463997pt;margin-top:17.099707pt;width:453.2pt;height:68.7pt;mso-position-horizontal-relative:page;mso-position-vertical-relative:paragraph;z-index:-250296320;mso-wrap-distance-left:0;mso-wrap-distance-right:0" type="#_x0000_t202" filled="true" fillcolor="#deeaf6" stroked="true" strokeweight=".48pt" strokecolor="#000000">
            <v:textbox inset="0,0,0,0">
              <w:txbxContent>
                <w:p>
                  <w:pPr>
                    <w:spacing w:line="276" w:lineRule="auto" w:before="15"/>
                    <w:ind w:left="107" w:right="104" w:firstLine="0"/>
                    <w:jc w:val="both"/>
                    <w:rPr>
                      <w:sz w:val="20"/>
                    </w:rPr>
                  </w:pPr>
                  <w:r>
                    <w:rPr>
                      <w:sz w:val="20"/>
                    </w:rPr>
                    <w:t>“Asegurar que el gobierno disponga de los recursos suficientes para financiar los programas asociados al cumplimiento de las Metas Estratégicas establecidas en la Política General de Gobierno y el Plan Nacional de Desarrollo,</w:t>
                  </w:r>
                  <w:r>
                    <w:rPr>
                      <w:spacing w:val="-16"/>
                      <w:sz w:val="20"/>
                    </w:rPr>
                    <w:t> </w:t>
                  </w:r>
                  <w:r>
                    <w:rPr>
                      <w:sz w:val="20"/>
                    </w:rPr>
                    <w:t>garantizando</w:t>
                  </w:r>
                  <w:r>
                    <w:rPr>
                      <w:spacing w:val="-14"/>
                      <w:sz w:val="20"/>
                    </w:rPr>
                    <w:t> </w:t>
                  </w:r>
                  <w:r>
                    <w:rPr>
                      <w:sz w:val="20"/>
                    </w:rPr>
                    <w:t>al</w:t>
                  </w:r>
                  <w:r>
                    <w:rPr>
                      <w:spacing w:val="-13"/>
                      <w:sz w:val="20"/>
                    </w:rPr>
                    <w:t> </w:t>
                  </w:r>
                  <w:r>
                    <w:rPr>
                      <w:sz w:val="20"/>
                    </w:rPr>
                    <w:t>mismo</w:t>
                  </w:r>
                  <w:r>
                    <w:rPr>
                      <w:spacing w:val="-14"/>
                      <w:sz w:val="20"/>
                    </w:rPr>
                    <w:t> </w:t>
                  </w:r>
                  <w:r>
                    <w:rPr>
                      <w:sz w:val="20"/>
                    </w:rPr>
                    <w:t>tiempo</w:t>
                  </w:r>
                  <w:r>
                    <w:rPr>
                      <w:spacing w:val="-12"/>
                      <w:sz w:val="20"/>
                    </w:rPr>
                    <w:t> </w:t>
                  </w:r>
                  <w:r>
                    <w:rPr>
                      <w:sz w:val="20"/>
                    </w:rPr>
                    <w:t>una</w:t>
                  </w:r>
                  <w:r>
                    <w:rPr>
                      <w:spacing w:val="-13"/>
                      <w:sz w:val="20"/>
                    </w:rPr>
                    <w:t> </w:t>
                  </w:r>
                  <w:r>
                    <w:rPr>
                      <w:sz w:val="20"/>
                    </w:rPr>
                    <w:t>gestión</w:t>
                  </w:r>
                  <w:r>
                    <w:rPr>
                      <w:spacing w:val="-16"/>
                      <w:sz w:val="20"/>
                    </w:rPr>
                    <w:t> </w:t>
                  </w:r>
                  <w:r>
                    <w:rPr>
                      <w:sz w:val="20"/>
                    </w:rPr>
                    <w:t>disciplinada</w:t>
                  </w:r>
                  <w:r>
                    <w:rPr>
                      <w:spacing w:val="-13"/>
                      <w:sz w:val="20"/>
                    </w:rPr>
                    <w:t> </w:t>
                  </w:r>
                  <w:r>
                    <w:rPr>
                      <w:sz w:val="20"/>
                    </w:rPr>
                    <w:t>y</w:t>
                  </w:r>
                  <w:r>
                    <w:rPr>
                      <w:spacing w:val="-19"/>
                      <w:sz w:val="20"/>
                    </w:rPr>
                    <w:t> </w:t>
                  </w:r>
                  <w:r>
                    <w:rPr>
                      <w:sz w:val="20"/>
                    </w:rPr>
                    <w:t>transparente</w:t>
                  </w:r>
                  <w:r>
                    <w:rPr>
                      <w:spacing w:val="-15"/>
                      <w:sz w:val="20"/>
                    </w:rPr>
                    <w:t> </w:t>
                  </w:r>
                  <w:r>
                    <w:rPr>
                      <w:sz w:val="20"/>
                    </w:rPr>
                    <w:t>de</w:t>
                  </w:r>
                  <w:r>
                    <w:rPr>
                      <w:spacing w:val="-15"/>
                      <w:sz w:val="20"/>
                    </w:rPr>
                    <w:t> </w:t>
                  </w:r>
                  <w:r>
                    <w:rPr>
                      <w:sz w:val="20"/>
                    </w:rPr>
                    <w:t>dichos</w:t>
                  </w:r>
                  <w:r>
                    <w:rPr>
                      <w:spacing w:val="-16"/>
                      <w:sz w:val="20"/>
                    </w:rPr>
                    <w:t> </w:t>
                  </w:r>
                  <w:r>
                    <w:rPr>
                      <w:sz w:val="20"/>
                    </w:rPr>
                    <w:t>recursos;</w:t>
                  </w:r>
                  <w:r>
                    <w:rPr>
                      <w:spacing w:val="-15"/>
                      <w:sz w:val="20"/>
                    </w:rPr>
                    <w:t> </w:t>
                  </w:r>
                  <w:r>
                    <w:rPr>
                      <w:sz w:val="20"/>
                    </w:rPr>
                    <w:t>generando confianza</w:t>
                  </w:r>
                  <w:r>
                    <w:rPr>
                      <w:spacing w:val="-5"/>
                      <w:sz w:val="20"/>
                    </w:rPr>
                    <w:t> </w:t>
                  </w:r>
                  <w:r>
                    <w:rPr>
                      <w:sz w:val="20"/>
                    </w:rPr>
                    <w:t>en</w:t>
                  </w:r>
                  <w:r>
                    <w:rPr>
                      <w:spacing w:val="-6"/>
                      <w:sz w:val="20"/>
                    </w:rPr>
                    <w:t> </w:t>
                  </w:r>
                  <w:r>
                    <w:rPr>
                      <w:sz w:val="20"/>
                    </w:rPr>
                    <w:t>los</w:t>
                  </w:r>
                  <w:r>
                    <w:rPr>
                      <w:spacing w:val="-3"/>
                      <w:sz w:val="20"/>
                    </w:rPr>
                    <w:t> </w:t>
                  </w:r>
                  <w:r>
                    <w:rPr>
                      <w:sz w:val="20"/>
                    </w:rPr>
                    <w:t>inversionistas</w:t>
                  </w:r>
                  <w:r>
                    <w:rPr>
                      <w:spacing w:val="-2"/>
                      <w:sz w:val="20"/>
                    </w:rPr>
                    <w:t> </w:t>
                  </w:r>
                  <w:r>
                    <w:rPr>
                      <w:sz w:val="20"/>
                    </w:rPr>
                    <w:t>mediante</w:t>
                  </w:r>
                  <w:r>
                    <w:rPr>
                      <w:spacing w:val="-4"/>
                      <w:sz w:val="20"/>
                    </w:rPr>
                    <w:t> </w:t>
                  </w:r>
                  <w:r>
                    <w:rPr>
                      <w:sz w:val="20"/>
                    </w:rPr>
                    <w:t>el</w:t>
                  </w:r>
                  <w:r>
                    <w:rPr>
                      <w:spacing w:val="-5"/>
                      <w:sz w:val="20"/>
                    </w:rPr>
                    <w:t> </w:t>
                  </w:r>
                  <w:r>
                    <w:rPr>
                      <w:sz w:val="20"/>
                    </w:rPr>
                    <w:t>apoyo</w:t>
                  </w:r>
                  <w:r>
                    <w:rPr>
                      <w:spacing w:val="-3"/>
                      <w:sz w:val="20"/>
                    </w:rPr>
                    <w:t> </w:t>
                  </w:r>
                  <w:r>
                    <w:rPr>
                      <w:sz w:val="20"/>
                    </w:rPr>
                    <w:t>a</w:t>
                  </w:r>
                  <w:r>
                    <w:rPr>
                      <w:spacing w:val="-2"/>
                      <w:sz w:val="20"/>
                    </w:rPr>
                    <w:t> </w:t>
                  </w:r>
                  <w:r>
                    <w:rPr>
                      <w:sz w:val="20"/>
                    </w:rPr>
                    <w:t>la</w:t>
                  </w:r>
                  <w:r>
                    <w:rPr>
                      <w:spacing w:val="-5"/>
                      <w:sz w:val="20"/>
                    </w:rPr>
                    <w:t> </w:t>
                  </w:r>
                  <w:r>
                    <w:rPr>
                      <w:sz w:val="20"/>
                    </w:rPr>
                    <w:t>estabilidad</w:t>
                  </w:r>
                  <w:r>
                    <w:rPr>
                      <w:spacing w:val="-1"/>
                      <w:sz w:val="20"/>
                    </w:rPr>
                    <w:t> </w:t>
                  </w:r>
                  <w:r>
                    <w:rPr>
                      <w:sz w:val="20"/>
                    </w:rPr>
                    <w:t>macroeconómica</w:t>
                  </w:r>
                  <w:r>
                    <w:rPr>
                      <w:spacing w:val="-3"/>
                      <w:sz w:val="20"/>
                    </w:rPr>
                    <w:t> </w:t>
                  </w:r>
                  <w:r>
                    <w:rPr>
                      <w:sz w:val="20"/>
                    </w:rPr>
                    <w:t>y</w:t>
                  </w:r>
                  <w:r>
                    <w:rPr>
                      <w:spacing w:val="-6"/>
                      <w:sz w:val="20"/>
                    </w:rPr>
                    <w:t> </w:t>
                  </w:r>
                  <w:r>
                    <w:rPr>
                      <w:sz w:val="20"/>
                    </w:rPr>
                    <w:t>la</w:t>
                  </w:r>
                  <w:r>
                    <w:rPr>
                      <w:spacing w:val="-2"/>
                      <w:sz w:val="20"/>
                    </w:rPr>
                    <w:t> </w:t>
                  </w:r>
                  <w:r>
                    <w:rPr>
                      <w:sz w:val="20"/>
                    </w:rPr>
                    <w:t>sostenibilidad</w:t>
                  </w:r>
                  <w:r>
                    <w:rPr>
                      <w:spacing w:val="-4"/>
                      <w:sz w:val="20"/>
                    </w:rPr>
                    <w:t> </w:t>
                  </w:r>
                  <w:r>
                    <w:rPr>
                      <w:sz w:val="20"/>
                    </w:rPr>
                    <w:t>fiscal</w:t>
                  </w:r>
                  <w:r>
                    <w:rPr>
                      <w:spacing w:val="-5"/>
                      <w:sz w:val="20"/>
                    </w:rPr>
                    <w:t> </w:t>
                  </w:r>
                  <w:r>
                    <w:rPr>
                      <w:sz w:val="20"/>
                    </w:rPr>
                    <w:t>en el mediano y largo</w:t>
                  </w:r>
                  <w:r>
                    <w:rPr>
                      <w:spacing w:val="1"/>
                      <w:sz w:val="20"/>
                    </w:rPr>
                    <w:t> </w:t>
                  </w:r>
                  <w:r>
                    <w:rPr>
                      <w:sz w:val="20"/>
                    </w:rPr>
                    <w:t>plazos”.</w:t>
                  </w:r>
                </w:p>
              </w:txbxContent>
            </v:textbox>
            <v:fill type="solid"/>
            <v:stroke dashstyle="solid"/>
            <w10:wrap type="topAndBottom"/>
          </v:shape>
        </w:pict>
      </w:r>
    </w:p>
    <w:p>
      <w:pPr>
        <w:pStyle w:val="BodyText"/>
        <w:spacing w:before="2"/>
        <w:rPr>
          <w:sz w:val="14"/>
        </w:rPr>
      </w:pPr>
    </w:p>
    <w:p>
      <w:pPr>
        <w:pStyle w:val="BodyText"/>
        <w:spacing w:before="92"/>
        <w:ind w:left="562"/>
        <w:jc w:val="both"/>
      </w:pPr>
      <w:r>
        <w:rPr/>
        <w:t>Para la consecución del objetivo estratégico se han definido los siguientes objetivos específicos:</w:t>
      </w:r>
    </w:p>
    <w:p>
      <w:pPr>
        <w:pStyle w:val="BodyText"/>
        <w:spacing w:before="4"/>
        <w:rPr>
          <w:sz w:val="28"/>
        </w:rPr>
      </w:pPr>
    </w:p>
    <w:p>
      <w:pPr>
        <w:pStyle w:val="ListParagraph"/>
        <w:numPr>
          <w:ilvl w:val="0"/>
          <w:numId w:val="25"/>
        </w:numPr>
        <w:tabs>
          <w:tab w:pos="1282" w:val="left" w:leader="none"/>
        </w:tabs>
        <w:spacing w:line="276" w:lineRule="auto" w:before="0" w:after="0"/>
        <w:ind w:left="1282" w:right="1696" w:hanging="360"/>
        <w:jc w:val="both"/>
        <w:rPr>
          <w:sz w:val="22"/>
        </w:rPr>
      </w:pPr>
      <w:r>
        <w:rPr>
          <w:sz w:val="22"/>
        </w:rPr>
        <w:t>Incrementar la recaudación tributaria de manera sustancial y sostenida, a través de reformas legales y mediante el fortalecimiento de la capacidad recaudatoria de la Superintendencia </w:t>
      </w:r>
      <w:r>
        <w:rPr>
          <w:spacing w:val="-3"/>
          <w:sz w:val="22"/>
        </w:rPr>
        <w:t>de </w:t>
      </w:r>
      <w:r>
        <w:rPr>
          <w:sz w:val="22"/>
        </w:rPr>
        <w:t>Administración</w:t>
      </w:r>
      <w:r>
        <w:rPr>
          <w:spacing w:val="-5"/>
          <w:sz w:val="22"/>
        </w:rPr>
        <w:t> </w:t>
      </w:r>
      <w:r>
        <w:rPr>
          <w:sz w:val="22"/>
        </w:rPr>
        <w:t>Tributaria,</w:t>
      </w:r>
      <w:r>
        <w:rPr>
          <w:spacing w:val="-5"/>
          <w:sz w:val="22"/>
        </w:rPr>
        <w:t> </w:t>
      </w:r>
      <w:r>
        <w:rPr>
          <w:sz w:val="22"/>
        </w:rPr>
        <w:t>con</w:t>
      </w:r>
      <w:r>
        <w:rPr>
          <w:spacing w:val="-4"/>
          <w:sz w:val="22"/>
        </w:rPr>
        <w:t> </w:t>
      </w:r>
      <w:r>
        <w:rPr>
          <w:sz w:val="22"/>
        </w:rPr>
        <w:t>la</w:t>
      </w:r>
      <w:r>
        <w:rPr>
          <w:spacing w:val="-4"/>
          <w:sz w:val="22"/>
        </w:rPr>
        <w:t> </w:t>
      </w:r>
      <w:r>
        <w:rPr>
          <w:sz w:val="22"/>
        </w:rPr>
        <w:t>finalidad</w:t>
      </w:r>
      <w:r>
        <w:rPr>
          <w:spacing w:val="-4"/>
          <w:sz w:val="22"/>
        </w:rPr>
        <w:t> </w:t>
      </w:r>
      <w:r>
        <w:rPr>
          <w:sz w:val="22"/>
        </w:rPr>
        <w:t>de</w:t>
      </w:r>
      <w:r>
        <w:rPr>
          <w:spacing w:val="-3"/>
          <w:sz w:val="22"/>
        </w:rPr>
        <w:t> </w:t>
      </w:r>
      <w:r>
        <w:rPr>
          <w:sz w:val="22"/>
        </w:rPr>
        <w:t>obtener</w:t>
      </w:r>
      <w:r>
        <w:rPr>
          <w:spacing w:val="-4"/>
          <w:sz w:val="22"/>
        </w:rPr>
        <w:t> </w:t>
      </w:r>
      <w:r>
        <w:rPr>
          <w:sz w:val="22"/>
        </w:rPr>
        <w:t>los</w:t>
      </w:r>
      <w:r>
        <w:rPr>
          <w:spacing w:val="-4"/>
          <w:sz w:val="22"/>
        </w:rPr>
        <w:t> </w:t>
      </w:r>
      <w:r>
        <w:rPr>
          <w:sz w:val="22"/>
        </w:rPr>
        <w:t>ingresos</w:t>
      </w:r>
      <w:r>
        <w:rPr>
          <w:spacing w:val="-2"/>
          <w:sz w:val="22"/>
        </w:rPr>
        <w:t> </w:t>
      </w:r>
      <w:r>
        <w:rPr>
          <w:sz w:val="22"/>
        </w:rPr>
        <w:t>suficientes</w:t>
      </w:r>
      <w:r>
        <w:rPr>
          <w:spacing w:val="-4"/>
          <w:sz w:val="22"/>
        </w:rPr>
        <w:t> </w:t>
      </w:r>
      <w:r>
        <w:rPr>
          <w:sz w:val="22"/>
        </w:rPr>
        <w:t>para</w:t>
      </w:r>
      <w:r>
        <w:rPr>
          <w:spacing w:val="-2"/>
          <w:sz w:val="22"/>
        </w:rPr>
        <w:t> </w:t>
      </w:r>
      <w:r>
        <w:rPr>
          <w:sz w:val="22"/>
        </w:rPr>
        <w:t>financiar el gasto público y contribuir a la solidez de las finanzas</w:t>
      </w:r>
      <w:r>
        <w:rPr>
          <w:spacing w:val="-12"/>
          <w:sz w:val="22"/>
        </w:rPr>
        <w:t> </w:t>
      </w:r>
      <w:r>
        <w:rPr>
          <w:sz w:val="22"/>
        </w:rPr>
        <w:t>públicas.</w:t>
      </w:r>
    </w:p>
    <w:p>
      <w:pPr>
        <w:pStyle w:val="ListParagraph"/>
        <w:numPr>
          <w:ilvl w:val="0"/>
          <w:numId w:val="25"/>
        </w:numPr>
        <w:tabs>
          <w:tab w:pos="1282" w:val="left" w:leader="none"/>
        </w:tabs>
        <w:spacing w:line="276" w:lineRule="auto" w:before="0" w:after="0"/>
        <w:ind w:left="1282" w:right="1698" w:hanging="360"/>
        <w:jc w:val="both"/>
        <w:rPr>
          <w:sz w:val="22"/>
        </w:rPr>
      </w:pPr>
      <w:r>
        <w:rPr>
          <w:sz w:val="22"/>
        </w:rPr>
        <w:t>Coadyuvar a lograr una gestión disciplinada y transparente del gasto público, enfocada en resultados</w:t>
      </w:r>
      <w:r>
        <w:rPr>
          <w:spacing w:val="-4"/>
          <w:sz w:val="22"/>
        </w:rPr>
        <w:t> </w:t>
      </w:r>
      <w:r>
        <w:rPr>
          <w:sz w:val="22"/>
        </w:rPr>
        <w:t>y</w:t>
      </w:r>
      <w:r>
        <w:rPr>
          <w:spacing w:val="-6"/>
          <w:sz w:val="22"/>
        </w:rPr>
        <w:t> </w:t>
      </w:r>
      <w:r>
        <w:rPr>
          <w:sz w:val="22"/>
        </w:rPr>
        <w:t>que</w:t>
      </w:r>
      <w:r>
        <w:rPr>
          <w:spacing w:val="-4"/>
          <w:sz w:val="22"/>
        </w:rPr>
        <w:t> </w:t>
      </w:r>
      <w:r>
        <w:rPr>
          <w:sz w:val="22"/>
        </w:rPr>
        <w:t>este</w:t>
      </w:r>
      <w:r>
        <w:rPr>
          <w:spacing w:val="-3"/>
          <w:sz w:val="22"/>
        </w:rPr>
        <w:t> </w:t>
      </w:r>
      <w:r>
        <w:rPr>
          <w:sz w:val="22"/>
        </w:rPr>
        <w:t>en</w:t>
      </w:r>
      <w:r>
        <w:rPr>
          <w:spacing w:val="-4"/>
          <w:sz w:val="22"/>
        </w:rPr>
        <w:t> </w:t>
      </w:r>
      <w:r>
        <w:rPr>
          <w:sz w:val="22"/>
        </w:rPr>
        <w:t>constante</w:t>
      </w:r>
      <w:r>
        <w:rPr>
          <w:spacing w:val="-4"/>
          <w:sz w:val="22"/>
        </w:rPr>
        <w:t> </w:t>
      </w:r>
      <w:r>
        <w:rPr>
          <w:sz w:val="22"/>
        </w:rPr>
        <w:t>búsqueda</w:t>
      </w:r>
      <w:r>
        <w:rPr>
          <w:spacing w:val="-3"/>
          <w:sz w:val="22"/>
        </w:rPr>
        <w:t> </w:t>
      </w:r>
      <w:r>
        <w:rPr>
          <w:sz w:val="22"/>
        </w:rPr>
        <w:t>de</w:t>
      </w:r>
      <w:r>
        <w:rPr>
          <w:spacing w:val="-7"/>
          <w:sz w:val="22"/>
        </w:rPr>
        <w:t> </w:t>
      </w:r>
      <w:r>
        <w:rPr>
          <w:sz w:val="22"/>
        </w:rPr>
        <w:t>las</w:t>
      </w:r>
      <w:r>
        <w:rPr>
          <w:spacing w:val="-5"/>
          <w:sz w:val="22"/>
        </w:rPr>
        <w:t> </w:t>
      </w:r>
      <w:r>
        <w:rPr>
          <w:sz w:val="22"/>
        </w:rPr>
        <w:t>fuentes</w:t>
      </w:r>
      <w:r>
        <w:rPr>
          <w:spacing w:val="-3"/>
          <w:sz w:val="22"/>
        </w:rPr>
        <w:t> </w:t>
      </w:r>
      <w:r>
        <w:rPr>
          <w:sz w:val="22"/>
        </w:rPr>
        <w:t>de</w:t>
      </w:r>
      <w:r>
        <w:rPr>
          <w:spacing w:val="-4"/>
          <w:sz w:val="22"/>
        </w:rPr>
        <w:t> </w:t>
      </w:r>
      <w:r>
        <w:rPr>
          <w:sz w:val="22"/>
        </w:rPr>
        <w:t>financiamiento</w:t>
      </w:r>
      <w:r>
        <w:rPr>
          <w:spacing w:val="-4"/>
          <w:sz w:val="22"/>
        </w:rPr>
        <w:t> </w:t>
      </w:r>
      <w:r>
        <w:rPr>
          <w:sz w:val="22"/>
        </w:rPr>
        <w:t>necesarias</w:t>
      </w:r>
      <w:r>
        <w:rPr>
          <w:spacing w:val="-4"/>
          <w:sz w:val="22"/>
        </w:rPr>
        <w:t> </w:t>
      </w:r>
      <w:r>
        <w:rPr>
          <w:sz w:val="22"/>
        </w:rPr>
        <w:t>para garantizar parte de la cobertura de los programas asociados al Plan Nacional de Desarrollo K´ATUN</w:t>
      </w:r>
      <w:r>
        <w:rPr>
          <w:spacing w:val="-1"/>
          <w:sz w:val="22"/>
        </w:rPr>
        <w:t> </w:t>
      </w:r>
      <w:r>
        <w:rPr>
          <w:sz w:val="22"/>
        </w:rPr>
        <w:t>2032.</w:t>
      </w:r>
    </w:p>
    <w:p>
      <w:pPr>
        <w:pStyle w:val="ListParagraph"/>
        <w:numPr>
          <w:ilvl w:val="0"/>
          <w:numId w:val="25"/>
        </w:numPr>
        <w:tabs>
          <w:tab w:pos="1282" w:val="left" w:leader="none"/>
        </w:tabs>
        <w:spacing w:line="276" w:lineRule="auto" w:before="0" w:after="0"/>
        <w:ind w:left="1282" w:right="1701" w:hanging="360"/>
        <w:jc w:val="both"/>
        <w:rPr>
          <w:sz w:val="22"/>
        </w:rPr>
      </w:pPr>
      <w:r>
        <w:rPr>
          <w:sz w:val="22"/>
        </w:rPr>
        <w:t>Promover la competitividad y el crecimiento económico, a través de la asignación presupuestaria a proyectos de inversión pública productiva y social, que dinamicen la actividad económica, generen empleo y mejoren las condiciones de vida de la</w:t>
      </w:r>
      <w:r>
        <w:rPr>
          <w:spacing w:val="-18"/>
          <w:sz w:val="22"/>
        </w:rPr>
        <w:t> </w:t>
      </w:r>
      <w:r>
        <w:rPr>
          <w:sz w:val="22"/>
        </w:rPr>
        <w:t>población.</w:t>
      </w:r>
    </w:p>
    <w:p>
      <w:pPr>
        <w:pStyle w:val="ListParagraph"/>
        <w:numPr>
          <w:ilvl w:val="0"/>
          <w:numId w:val="25"/>
        </w:numPr>
        <w:tabs>
          <w:tab w:pos="1282" w:val="left" w:leader="none"/>
        </w:tabs>
        <w:spacing w:line="276" w:lineRule="auto" w:before="0" w:after="0"/>
        <w:ind w:left="1282" w:right="1700" w:hanging="360"/>
        <w:jc w:val="both"/>
        <w:rPr>
          <w:sz w:val="22"/>
        </w:rPr>
      </w:pPr>
      <w:r>
        <w:rPr>
          <w:sz w:val="22"/>
        </w:rPr>
        <w:t>Mantener un resultado fiscal de la Administración Central congruente con la estabilidad macroeconómica, para asegurar el espacio fiscal suficiente para la toma de decisiones apremiantes ante situaciones de crisis, catástrofes y otras circunstancias que afecten negativamente al</w:t>
      </w:r>
      <w:r>
        <w:rPr>
          <w:spacing w:val="-3"/>
          <w:sz w:val="22"/>
        </w:rPr>
        <w:t> </w:t>
      </w:r>
      <w:r>
        <w:rPr>
          <w:sz w:val="22"/>
        </w:rPr>
        <w:t>país.</w:t>
      </w:r>
    </w:p>
    <w:p>
      <w:pPr>
        <w:pStyle w:val="ListParagraph"/>
        <w:numPr>
          <w:ilvl w:val="0"/>
          <w:numId w:val="25"/>
        </w:numPr>
        <w:tabs>
          <w:tab w:pos="1282" w:val="left" w:leader="none"/>
        </w:tabs>
        <w:spacing w:line="276" w:lineRule="auto" w:before="0" w:after="0"/>
        <w:ind w:left="1282" w:right="1696" w:hanging="360"/>
        <w:jc w:val="both"/>
        <w:rPr>
          <w:sz w:val="22"/>
        </w:rPr>
      </w:pPr>
      <w:r>
        <w:rPr>
          <w:sz w:val="22"/>
        </w:rPr>
        <w:t>Mantener el nivel de endeudamiento de la Administración Central en concordancia con parámetros razonables. De acuerdo a la dimensión de la economía de Guatemala y la capacidad</w:t>
      </w:r>
      <w:r>
        <w:rPr>
          <w:spacing w:val="-6"/>
          <w:sz w:val="22"/>
        </w:rPr>
        <w:t> </w:t>
      </w:r>
      <w:r>
        <w:rPr>
          <w:sz w:val="22"/>
        </w:rPr>
        <w:t>de</w:t>
      </w:r>
      <w:r>
        <w:rPr>
          <w:spacing w:val="-6"/>
          <w:sz w:val="22"/>
        </w:rPr>
        <w:t> </w:t>
      </w:r>
      <w:r>
        <w:rPr>
          <w:sz w:val="22"/>
        </w:rPr>
        <w:t>pago</w:t>
      </w:r>
      <w:r>
        <w:rPr>
          <w:spacing w:val="-6"/>
          <w:sz w:val="22"/>
        </w:rPr>
        <w:t> </w:t>
      </w:r>
      <w:r>
        <w:rPr>
          <w:sz w:val="22"/>
        </w:rPr>
        <w:t>del</w:t>
      </w:r>
      <w:r>
        <w:rPr>
          <w:spacing w:val="-4"/>
          <w:sz w:val="22"/>
        </w:rPr>
        <w:t> </w:t>
      </w:r>
      <w:r>
        <w:rPr>
          <w:sz w:val="22"/>
        </w:rPr>
        <w:t>país,</w:t>
      </w:r>
      <w:r>
        <w:rPr>
          <w:spacing w:val="-8"/>
          <w:sz w:val="22"/>
        </w:rPr>
        <w:t> </w:t>
      </w:r>
      <w:r>
        <w:rPr>
          <w:sz w:val="22"/>
        </w:rPr>
        <w:t>garantizando</w:t>
      </w:r>
      <w:r>
        <w:rPr>
          <w:spacing w:val="-6"/>
          <w:sz w:val="22"/>
        </w:rPr>
        <w:t> </w:t>
      </w:r>
      <w:r>
        <w:rPr>
          <w:sz w:val="22"/>
        </w:rPr>
        <w:t>la</w:t>
      </w:r>
      <w:r>
        <w:rPr>
          <w:spacing w:val="-5"/>
          <w:sz w:val="22"/>
        </w:rPr>
        <w:t> </w:t>
      </w:r>
      <w:r>
        <w:rPr>
          <w:sz w:val="22"/>
        </w:rPr>
        <w:t>sostenibilidad</w:t>
      </w:r>
      <w:r>
        <w:rPr>
          <w:spacing w:val="-6"/>
          <w:sz w:val="22"/>
        </w:rPr>
        <w:t> </w:t>
      </w:r>
      <w:r>
        <w:rPr>
          <w:sz w:val="22"/>
        </w:rPr>
        <w:t>fiscal</w:t>
      </w:r>
      <w:r>
        <w:rPr>
          <w:spacing w:val="-5"/>
          <w:sz w:val="22"/>
        </w:rPr>
        <w:t> </w:t>
      </w:r>
      <w:r>
        <w:rPr>
          <w:sz w:val="22"/>
        </w:rPr>
        <w:t>en</w:t>
      </w:r>
      <w:r>
        <w:rPr>
          <w:spacing w:val="-5"/>
          <w:sz w:val="22"/>
        </w:rPr>
        <w:t> </w:t>
      </w:r>
      <w:r>
        <w:rPr>
          <w:sz w:val="22"/>
        </w:rPr>
        <w:t>el</w:t>
      </w:r>
      <w:r>
        <w:rPr>
          <w:spacing w:val="-5"/>
          <w:sz w:val="22"/>
        </w:rPr>
        <w:t> </w:t>
      </w:r>
      <w:r>
        <w:rPr>
          <w:sz w:val="22"/>
        </w:rPr>
        <w:t>mediano</w:t>
      </w:r>
      <w:r>
        <w:rPr>
          <w:spacing w:val="-6"/>
          <w:sz w:val="22"/>
        </w:rPr>
        <w:t> </w:t>
      </w:r>
      <w:r>
        <w:rPr>
          <w:sz w:val="22"/>
        </w:rPr>
        <w:t>y</w:t>
      </w:r>
      <w:r>
        <w:rPr>
          <w:spacing w:val="-8"/>
          <w:sz w:val="22"/>
        </w:rPr>
        <w:t> </w:t>
      </w:r>
      <w:r>
        <w:rPr>
          <w:sz w:val="22"/>
        </w:rPr>
        <w:t>largo</w:t>
      </w:r>
      <w:r>
        <w:rPr>
          <w:spacing w:val="-6"/>
          <w:sz w:val="22"/>
        </w:rPr>
        <w:t> </w:t>
      </w:r>
      <w:r>
        <w:rPr>
          <w:sz w:val="22"/>
        </w:rPr>
        <w:t>plazo.</w:t>
      </w:r>
    </w:p>
    <w:p>
      <w:pPr>
        <w:pStyle w:val="BodyText"/>
        <w:spacing w:before="8"/>
        <w:rPr>
          <w:sz w:val="24"/>
        </w:rPr>
      </w:pPr>
    </w:p>
    <w:p>
      <w:pPr>
        <w:pStyle w:val="BodyText"/>
        <w:spacing w:line="276" w:lineRule="auto"/>
        <w:ind w:left="562" w:right="1698"/>
        <w:jc w:val="both"/>
      </w:pPr>
      <w:r>
        <w:rPr/>
        <w:t>La estrategia para alcanzar los objetivos de mediano plazo se sustenta principalmente en utilizar los lineamientos</w:t>
      </w:r>
      <w:r>
        <w:rPr>
          <w:spacing w:val="-4"/>
        </w:rPr>
        <w:t> </w:t>
      </w:r>
      <w:r>
        <w:rPr/>
        <w:t>establecidos</w:t>
      </w:r>
      <w:r>
        <w:rPr>
          <w:spacing w:val="-4"/>
        </w:rPr>
        <w:t> </w:t>
      </w:r>
      <w:r>
        <w:rPr/>
        <w:t>de</w:t>
      </w:r>
      <w:r>
        <w:rPr>
          <w:spacing w:val="-4"/>
        </w:rPr>
        <w:t> </w:t>
      </w:r>
      <w:r>
        <w:rPr/>
        <w:t>la</w:t>
      </w:r>
      <w:r>
        <w:rPr>
          <w:spacing w:val="-4"/>
        </w:rPr>
        <w:t> </w:t>
      </w:r>
      <w:r>
        <w:rPr/>
        <w:t>Política</w:t>
      </w:r>
      <w:r>
        <w:rPr>
          <w:spacing w:val="-4"/>
        </w:rPr>
        <w:t> </w:t>
      </w:r>
      <w:r>
        <w:rPr/>
        <w:t>Nacional</w:t>
      </w:r>
      <w:r>
        <w:rPr>
          <w:spacing w:val="-4"/>
        </w:rPr>
        <w:t> </w:t>
      </w:r>
      <w:r>
        <w:rPr/>
        <w:t>de</w:t>
      </w:r>
      <w:r>
        <w:rPr>
          <w:spacing w:val="-3"/>
        </w:rPr>
        <w:t> </w:t>
      </w:r>
      <w:r>
        <w:rPr/>
        <w:t>Desarrollo</w:t>
      </w:r>
      <w:r>
        <w:rPr>
          <w:spacing w:val="-7"/>
        </w:rPr>
        <w:t> </w:t>
      </w:r>
      <w:r>
        <w:rPr/>
        <w:t>K´ATUN</w:t>
      </w:r>
      <w:r>
        <w:rPr>
          <w:spacing w:val="-6"/>
        </w:rPr>
        <w:t> </w:t>
      </w:r>
      <w:r>
        <w:rPr/>
        <w:t>Nuestra</w:t>
      </w:r>
      <w:r>
        <w:rPr>
          <w:spacing w:val="-7"/>
        </w:rPr>
        <w:t> </w:t>
      </w:r>
      <w:r>
        <w:rPr/>
        <w:t>Guatemala</w:t>
      </w:r>
      <w:r>
        <w:rPr>
          <w:spacing w:val="-4"/>
        </w:rPr>
        <w:t> </w:t>
      </w:r>
      <w:r>
        <w:rPr/>
        <w:t>2032</w:t>
      </w:r>
      <w:r>
        <w:rPr>
          <w:spacing w:val="-4"/>
        </w:rPr>
        <w:t> </w:t>
      </w:r>
      <w:r>
        <w:rPr/>
        <w:t>y enfocando las acciones de política en las siguientes áreas: a) Ingreso, b) gasto, c) deuda pública y d) gestión financiera y transparencia. En tal sentido, los lineamientos estratégicos se clasifican en los siguientes cuatro</w:t>
      </w:r>
      <w:r>
        <w:rPr>
          <w:spacing w:val="-6"/>
        </w:rPr>
        <w:t> </w:t>
      </w:r>
      <w:r>
        <w:rPr/>
        <w:t>aspectos:</w:t>
      </w:r>
    </w:p>
    <w:p>
      <w:pPr>
        <w:spacing w:after="0" w:line="276" w:lineRule="auto"/>
        <w:jc w:val="both"/>
        <w:sectPr>
          <w:pgSz w:w="12240" w:h="15840"/>
          <w:pgMar w:header="715" w:footer="957" w:top="1240" w:bottom="1140" w:left="1140" w:right="0"/>
        </w:sectPr>
      </w:pPr>
    </w:p>
    <w:p>
      <w:pPr>
        <w:pStyle w:val="ListParagraph"/>
        <w:numPr>
          <w:ilvl w:val="4"/>
          <w:numId w:val="24"/>
        </w:numPr>
        <w:tabs>
          <w:tab w:pos="695" w:val="left" w:leader="none"/>
        </w:tabs>
        <w:spacing w:line="240" w:lineRule="auto" w:before="162" w:after="0"/>
        <w:ind w:left="694" w:right="0" w:hanging="133"/>
        <w:jc w:val="left"/>
        <w:rPr>
          <w:sz w:val="22"/>
        </w:rPr>
      </w:pPr>
      <w:r>
        <w:rPr>
          <w:sz w:val="22"/>
        </w:rPr>
        <w:t>Lineamientos estratégicos en materia de</w:t>
      </w:r>
      <w:r>
        <w:rPr>
          <w:spacing w:val="-5"/>
          <w:sz w:val="22"/>
        </w:rPr>
        <w:t> </w:t>
      </w:r>
      <w:r>
        <w:rPr>
          <w:sz w:val="22"/>
        </w:rPr>
        <w:t>ingresos</w:t>
      </w:r>
    </w:p>
    <w:p>
      <w:pPr>
        <w:pStyle w:val="BodyText"/>
        <w:spacing w:before="5"/>
        <w:rPr>
          <w:sz w:val="28"/>
        </w:rPr>
      </w:pPr>
    </w:p>
    <w:p>
      <w:pPr>
        <w:pStyle w:val="ListParagraph"/>
        <w:numPr>
          <w:ilvl w:val="5"/>
          <w:numId w:val="24"/>
        </w:numPr>
        <w:tabs>
          <w:tab w:pos="1281" w:val="left" w:leader="none"/>
          <w:tab w:pos="1282" w:val="left" w:leader="none"/>
        </w:tabs>
        <w:spacing w:line="276" w:lineRule="auto" w:before="0" w:after="0"/>
        <w:ind w:left="1282" w:right="1702" w:hanging="360"/>
        <w:jc w:val="left"/>
        <w:rPr>
          <w:sz w:val="22"/>
        </w:rPr>
      </w:pPr>
      <w:r>
        <w:rPr>
          <w:sz w:val="22"/>
        </w:rPr>
        <w:t>Fortalecer la Administración Tributaria para el efectivo cumplimiento de las obligaciones tributarias (reducción de los niveles de incumplimiento, evasión y</w:t>
      </w:r>
      <w:r>
        <w:rPr>
          <w:spacing w:val="-15"/>
          <w:sz w:val="22"/>
        </w:rPr>
        <w:t> </w:t>
      </w:r>
      <w:r>
        <w:rPr>
          <w:sz w:val="22"/>
        </w:rPr>
        <w:t>elusión).</w:t>
      </w:r>
    </w:p>
    <w:p>
      <w:pPr>
        <w:pStyle w:val="ListParagraph"/>
        <w:numPr>
          <w:ilvl w:val="5"/>
          <w:numId w:val="24"/>
        </w:numPr>
        <w:tabs>
          <w:tab w:pos="1281" w:val="left" w:leader="none"/>
          <w:tab w:pos="1282" w:val="left" w:leader="none"/>
        </w:tabs>
        <w:spacing w:line="267" w:lineRule="exact" w:before="0" w:after="0"/>
        <w:ind w:left="1282" w:right="0" w:hanging="361"/>
        <w:jc w:val="left"/>
        <w:rPr>
          <w:sz w:val="22"/>
        </w:rPr>
      </w:pPr>
      <w:r>
        <w:rPr>
          <w:sz w:val="22"/>
        </w:rPr>
        <w:t>Formalizar las unidades productivas y ampliar la base</w:t>
      </w:r>
      <w:r>
        <w:rPr>
          <w:spacing w:val="-7"/>
          <w:sz w:val="22"/>
        </w:rPr>
        <w:t> </w:t>
      </w:r>
      <w:r>
        <w:rPr>
          <w:sz w:val="22"/>
        </w:rPr>
        <w:t>tributaria</w:t>
      </w:r>
    </w:p>
    <w:p>
      <w:pPr>
        <w:pStyle w:val="ListParagraph"/>
        <w:numPr>
          <w:ilvl w:val="5"/>
          <w:numId w:val="24"/>
        </w:numPr>
        <w:tabs>
          <w:tab w:pos="1281" w:val="left" w:leader="none"/>
          <w:tab w:pos="1282" w:val="left" w:leader="none"/>
        </w:tabs>
        <w:spacing w:line="276" w:lineRule="auto" w:before="38" w:after="0"/>
        <w:ind w:left="1282" w:right="1701" w:hanging="360"/>
        <w:jc w:val="left"/>
        <w:rPr>
          <w:sz w:val="22"/>
        </w:rPr>
      </w:pPr>
      <w:r>
        <w:rPr>
          <w:sz w:val="22"/>
        </w:rPr>
        <w:t>Establecer impuestos para las actividades que generen externalidades negativas sobre el medio ambiente.</w:t>
      </w:r>
    </w:p>
    <w:p>
      <w:pPr>
        <w:pStyle w:val="ListParagraph"/>
        <w:numPr>
          <w:ilvl w:val="5"/>
          <w:numId w:val="24"/>
        </w:numPr>
        <w:tabs>
          <w:tab w:pos="1281" w:val="left" w:leader="none"/>
          <w:tab w:pos="1282" w:val="left" w:leader="none"/>
        </w:tabs>
        <w:spacing w:line="267" w:lineRule="exact" w:before="0" w:after="0"/>
        <w:ind w:left="1282" w:right="0" w:hanging="361"/>
        <w:jc w:val="left"/>
        <w:rPr>
          <w:sz w:val="22"/>
        </w:rPr>
      </w:pPr>
      <w:r>
        <w:rPr>
          <w:sz w:val="22"/>
        </w:rPr>
        <w:t>Incorporar medidas de tributación</w:t>
      </w:r>
      <w:r>
        <w:rPr>
          <w:spacing w:val="-5"/>
          <w:sz w:val="22"/>
        </w:rPr>
        <w:t> </w:t>
      </w:r>
      <w:r>
        <w:rPr>
          <w:sz w:val="22"/>
        </w:rPr>
        <w:t>internacional.</w:t>
      </w:r>
    </w:p>
    <w:p>
      <w:pPr>
        <w:pStyle w:val="ListParagraph"/>
        <w:numPr>
          <w:ilvl w:val="5"/>
          <w:numId w:val="24"/>
        </w:numPr>
        <w:tabs>
          <w:tab w:pos="1281" w:val="left" w:leader="none"/>
          <w:tab w:pos="1282" w:val="left" w:leader="none"/>
        </w:tabs>
        <w:spacing w:line="240" w:lineRule="auto" w:before="39" w:after="0"/>
        <w:ind w:left="1282" w:right="0" w:hanging="361"/>
        <w:jc w:val="left"/>
        <w:rPr>
          <w:sz w:val="22"/>
        </w:rPr>
      </w:pPr>
      <w:r>
        <w:rPr>
          <w:sz w:val="22"/>
        </w:rPr>
        <w:t>Combatir el contrabando y la defraudación</w:t>
      </w:r>
      <w:r>
        <w:rPr>
          <w:spacing w:val="-6"/>
          <w:sz w:val="22"/>
        </w:rPr>
        <w:t> </w:t>
      </w:r>
      <w:r>
        <w:rPr>
          <w:sz w:val="22"/>
        </w:rPr>
        <w:t>aduanera</w:t>
      </w:r>
    </w:p>
    <w:p>
      <w:pPr>
        <w:pStyle w:val="ListParagraph"/>
        <w:numPr>
          <w:ilvl w:val="5"/>
          <w:numId w:val="24"/>
        </w:numPr>
        <w:tabs>
          <w:tab w:pos="1282" w:val="left" w:leader="none"/>
        </w:tabs>
        <w:spacing w:line="276" w:lineRule="auto" w:before="38" w:after="0"/>
        <w:ind w:left="1282" w:right="1697" w:hanging="360"/>
        <w:jc w:val="both"/>
        <w:rPr>
          <w:sz w:val="22"/>
        </w:rPr>
      </w:pPr>
      <w:r>
        <w:rPr>
          <w:sz w:val="22"/>
        </w:rPr>
        <w:t>Revisar los gastos tributarios, incluyendo los incentivos fiscales orientados a determinadas actividades</w:t>
      </w:r>
      <w:r>
        <w:rPr>
          <w:spacing w:val="-1"/>
          <w:sz w:val="22"/>
        </w:rPr>
        <w:t> </w:t>
      </w:r>
      <w:r>
        <w:rPr>
          <w:sz w:val="22"/>
        </w:rPr>
        <w:t>productivas.</w:t>
      </w:r>
    </w:p>
    <w:p>
      <w:pPr>
        <w:pStyle w:val="ListParagraph"/>
        <w:numPr>
          <w:ilvl w:val="5"/>
          <w:numId w:val="24"/>
        </w:numPr>
        <w:tabs>
          <w:tab w:pos="1282" w:val="left" w:leader="none"/>
        </w:tabs>
        <w:spacing w:line="276" w:lineRule="auto" w:before="0" w:after="0"/>
        <w:ind w:left="1282" w:right="1702" w:hanging="360"/>
        <w:jc w:val="both"/>
        <w:rPr>
          <w:sz w:val="22"/>
        </w:rPr>
      </w:pPr>
      <w:r>
        <w:rPr>
          <w:sz w:val="22"/>
        </w:rPr>
        <w:t>Identificar otras fuentes innovadoras de financiamiento complementario del desarrollo: impuestos a las transacciones financieras, las de origen y destino de paraísos fiscales y las contribuciones de empresas socialmente</w:t>
      </w:r>
      <w:r>
        <w:rPr>
          <w:spacing w:val="-7"/>
          <w:sz w:val="22"/>
        </w:rPr>
        <w:t> </w:t>
      </w:r>
      <w:r>
        <w:rPr>
          <w:sz w:val="22"/>
        </w:rPr>
        <w:t>responsables.</w:t>
      </w:r>
    </w:p>
    <w:p>
      <w:pPr>
        <w:pStyle w:val="ListParagraph"/>
        <w:numPr>
          <w:ilvl w:val="5"/>
          <w:numId w:val="24"/>
        </w:numPr>
        <w:tabs>
          <w:tab w:pos="1282" w:val="left" w:leader="none"/>
        </w:tabs>
        <w:spacing w:line="276" w:lineRule="auto" w:before="0" w:after="0"/>
        <w:ind w:left="1282" w:right="1704" w:hanging="360"/>
        <w:jc w:val="both"/>
        <w:rPr>
          <w:sz w:val="22"/>
        </w:rPr>
      </w:pPr>
      <w:r>
        <w:rPr>
          <w:sz w:val="22"/>
        </w:rPr>
        <w:t>Modificar la estructura tributaria, mediante la actualización de tasas, ampliación de la base imponible y revisión de la legislación</w:t>
      </w:r>
      <w:r>
        <w:rPr>
          <w:spacing w:val="-4"/>
          <w:sz w:val="22"/>
        </w:rPr>
        <w:t> </w:t>
      </w:r>
      <w:r>
        <w:rPr>
          <w:sz w:val="22"/>
        </w:rPr>
        <w:t>vigente.</w:t>
      </w:r>
    </w:p>
    <w:p>
      <w:pPr>
        <w:pStyle w:val="ListParagraph"/>
        <w:numPr>
          <w:ilvl w:val="5"/>
          <w:numId w:val="24"/>
        </w:numPr>
        <w:tabs>
          <w:tab w:pos="1282" w:val="left" w:leader="none"/>
        </w:tabs>
        <w:spacing w:line="267" w:lineRule="exact" w:before="0" w:after="0"/>
        <w:ind w:left="1282" w:right="0" w:hanging="361"/>
        <w:jc w:val="both"/>
        <w:rPr>
          <w:sz w:val="22"/>
        </w:rPr>
      </w:pPr>
      <w:r>
        <w:rPr>
          <w:sz w:val="22"/>
        </w:rPr>
        <w:t>Mejorar la recaudación de los ingresos provenientes de los bienes</w:t>
      </w:r>
      <w:r>
        <w:rPr>
          <w:spacing w:val="-5"/>
          <w:sz w:val="22"/>
        </w:rPr>
        <w:t> </w:t>
      </w:r>
      <w:r>
        <w:rPr>
          <w:sz w:val="22"/>
        </w:rPr>
        <w:t>nacionales.</w:t>
      </w:r>
    </w:p>
    <w:p>
      <w:pPr>
        <w:pStyle w:val="ListParagraph"/>
        <w:numPr>
          <w:ilvl w:val="5"/>
          <w:numId w:val="24"/>
        </w:numPr>
        <w:tabs>
          <w:tab w:pos="1282" w:val="left" w:leader="none"/>
        </w:tabs>
        <w:spacing w:line="276" w:lineRule="auto" w:before="34" w:after="0"/>
        <w:ind w:left="1282" w:right="1702" w:hanging="360"/>
        <w:jc w:val="both"/>
        <w:rPr>
          <w:sz w:val="22"/>
        </w:rPr>
      </w:pPr>
      <w:r>
        <w:rPr>
          <w:sz w:val="22"/>
        </w:rPr>
        <w:t>Promover la simplificación tributaria para facilitar a los contribuyentes el cumplimiento de sus obligaciones tributarias de manera</w:t>
      </w:r>
      <w:r>
        <w:rPr>
          <w:spacing w:val="-2"/>
          <w:sz w:val="22"/>
        </w:rPr>
        <w:t> </w:t>
      </w:r>
      <w:r>
        <w:rPr>
          <w:sz w:val="22"/>
        </w:rPr>
        <w:t>oportuna.</w:t>
      </w:r>
    </w:p>
    <w:p>
      <w:pPr>
        <w:pStyle w:val="ListParagraph"/>
        <w:numPr>
          <w:ilvl w:val="5"/>
          <w:numId w:val="24"/>
        </w:numPr>
        <w:tabs>
          <w:tab w:pos="1282" w:val="left" w:leader="none"/>
        </w:tabs>
        <w:spacing w:line="276" w:lineRule="auto" w:before="0" w:after="0"/>
        <w:ind w:left="1282" w:right="1700" w:hanging="360"/>
        <w:jc w:val="both"/>
        <w:rPr>
          <w:sz w:val="22"/>
        </w:rPr>
      </w:pPr>
      <w:r>
        <w:rPr>
          <w:sz w:val="22"/>
        </w:rPr>
        <w:t>Implementar</w:t>
      </w:r>
      <w:r>
        <w:rPr>
          <w:spacing w:val="-8"/>
          <w:sz w:val="22"/>
        </w:rPr>
        <w:t> </w:t>
      </w:r>
      <w:r>
        <w:rPr>
          <w:sz w:val="22"/>
        </w:rPr>
        <w:t>mecanismos</w:t>
      </w:r>
      <w:r>
        <w:rPr>
          <w:spacing w:val="-9"/>
          <w:sz w:val="22"/>
        </w:rPr>
        <w:t> </w:t>
      </w:r>
      <w:r>
        <w:rPr>
          <w:sz w:val="22"/>
        </w:rPr>
        <w:t>de</w:t>
      </w:r>
      <w:r>
        <w:rPr>
          <w:spacing w:val="-9"/>
          <w:sz w:val="22"/>
        </w:rPr>
        <w:t> </w:t>
      </w:r>
      <w:r>
        <w:rPr>
          <w:sz w:val="22"/>
        </w:rPr>
        <w:t>control</w:t>
      </w:r>
      <w:r>
        <w:rPr>
          <w:spacing w:val="-9"/>
          <w:sz w:val="22"/>
        </w:rPr>
        <w:t> </w:t>
      </w:r>
      <w:r>
        <w:rPr>
          <w:sz w:val="22"/>
        </w:rPr>
        <w:t>y</w:t>
      </w:r>
      <w:r>
        <w:rPr>
          <w:spacing w:val="-12"/>
          <w:sz w:val="22"/>
        </w:rPr>
        <w:t> </w:t>
      </w:r>
      <w:r>
        <w:rPr>
          <w:sz w:val="22"/>
        </w:rPr>
        <w:t>registro</w:t>
      </w:r>
      <w:r>
        <w:rPr>
          <w:spacing w:val="-10"/>
          <w:sz w:val="22"/>
        </w:rPr>
        <w:t> </w:t>
      </w:r>
      <w:r>
        <w:rPr>
          <w:sz w:val="22"/>
        </w:rPr>
        <w:t>de</w:t>
      </w:r>
      <w:r>
        <w:rPr>
          <w:spacing w:val="-9"/>
          <w:sz w:val="22"/>
        </w:rPr>
        <w:t> </w:t>
      </w:r>
      <w:r>
        <w:rPr>
          <w:sz w:val="22"/>
        </w:rPr>
        <w:t>los</w:t>
      </w:r>
      <w:r>
        <w:rPr>
          <w:spacing w:val="-9"/>
          <w:sz w:val="22"/>
        </w:rPr>
        <w:t> </w:t>
      </w:r>
      <w:r>
        <w:rPr>
          <w:sz w:val="22"/>
        </w:rPr>
        <w:t>recursos</w:t>
      </w:r>
      <w:r>
        <w:rPr>
          <w:spacing w:val="-9"/>
          <w:sz w:val="22"/>
        </w:rPr>
        <w:t> </w:t>
      </w:r>
      <w:r>
        <w:rPr>
          <w:sz w:val="22"/>
        </w:rPr>
        <w:t>provenientes</w:t>
      </w:r>
      <w:r>
        <w:rPr>
          <w:spacing w:val="-9"/>
          <w:sz w:val="22"/>
        </w:rPr>
        <w:t> </w:t>
      </w:r>
      <w:r>
        <w:rPr>
          <w:sz w:val="22"/>
        </w:rPr>
        <w:t>de</w:t>
      </w:r>
      <w:r>
        <w:rPr>
          <w:spacing w:val="-9"/>
          <w:sz w:val="22"/>
        </w:rPr>
        <w:t> </w:t>
      </w:r>
      <w:r>
        <w:rPr>
          <w:sz w:val="22"/>
        </w:rPr>
        <w:t>la</w:t>
      </w:r>
      <w:r>
        <w:rPr>
          <w:spacing w:val="-12"/>
          <w:sz w:val="22"/>
        </w:rPr>
        <w:t> </w:t>
      </w:r>
      <w:r>
        <w:rPr>
          <w:sz w:val="22"/>
        </w:rPr>
        <w:t>explotación de recursos naturales.</w:t>
      </w:r>
    </w:p>
    <w:p>
      <w:pPr>
        <w:pStyle w:val="BodyText"/>
        <w:rPr>
          <w:sz w:val="25"/>
        </w:rPr>
      </w:pPr>
    </w:p>
    <w:p>
      <w:pPr>
        <w:pStyle w:val="ListParagraph"/>
        <w:numPr>
          <w:ilvl w:val="4"/>
          <w:numId w:val="24"/>
        </w:numPr>
        <w:tabs>
          <w:tab w:pos="695" w:val="left" w:leader="none"/>
        </w:tabs>
        <w:spacing w:line="240" w:lineRule="auto" w:before="0" w:after="0"/>
        <w:ind w:left="694" w:right="0" w:hanging="133"/>
        <w:jc w:val="left"/>
        <w:rPr>
          <w:sz w:val="22"/>
        </w:rPr>
      </w:pPr>
      <w:r>
        <w:rPr>
          <w:sz w:val="22"/>
        </w:rPr>
        <w:t>Lineamientos estratégicos en materia de</w:t>
      </w:r>
      <w:r>
        <w:rPr>
          <w:spacing w:val="-3"/>
          <w:sz w:val="22"/>
        </w:rPr>
        <w:t> </w:t>
      </w:r>
      <w:r>
        <w:rPr>
          <w:sz w:val="22"/>
        </w:rPr>
        <w:t>gasto</w:t>
      </w:r>
    </w:p>
    <w:p>
      <w:pPr>
        <w:pStyle w:val="BodyText"/>
        <w:spacing w:before="5"/>
        <w:rPr>
          <w:sz w:val="28"/>
        </w:rPr>
      </w:pPr>
    </w:p>
    <w:p>
      <w:pPr>
        <w:pStyle w:val="ListParagraph"/>
        <w:numPr>
          <w:ilvl w:val="5"/>
          <w:numId w:val="24"/>
        </w:numPr>
        <w:tabs>
          <w:tab w:pos="1282" w:val="left" w:leader="none"/>
        </w:tabs>
        <w:spacing w:line="276" w:lineRule="auto" w:before="0" w:after="0"/>
        <w:ind w:left="1282" w:right="1701" w:hanging="360"/>
        <w:jc w:val="both"/>
        <w:rPr>
          <w:sz w:val="22"/>
        </w:rPr>
      </w:pPr>
      <w:r>
        <w:rPr>
          <w:sz w:val="22"/>
        </w:rPr>
        <w:t>Cada entidad en el ámbito de sus competencias apoyará en la implementación de políticas e inversiones que mejoren el clima de negocios y la competitividad a nivel nacional y</w:t>
      </w:r>
      <w:r>
        <w:rPr>
          <w:spacing w:val="-20"/>
          <w:sz w:val="22"/>
        </w:rPr>
        <w:t> </w:t>
      </w:r>
      <w:r>
        <w:rPr>
          <w:sz w:val="22"/>
        </w:rPr>
        <w:t>local.</w:t>
      </w:r>
    </w:p>
    <w:p>
      <w:pPr>
        <w:pStyle w:val="ListParagraph"/>
        <w:numPr>
          <w:ilvl w:val="5"/>
          <w:numId w:val="24"/>
        </w:numPr>
        <w:tabs>
          <w:tab w:pos="1282" w:val="left" w:leader="none"/>
        </w:tabs>
        <w:spacing w:line="273" w:lineRule="auto" w:before="0" w:after="0"/>
        <w:ind w:left="1282" w:right="1700" w:hanging="360"/>
        <w:jc w:val="both"/>
        <w:rPr>
          <w:sz w:val="22"/>
        </w:rPr>
      </w:pPr>
      <w:r>
        <w:rPr>
          <w:sz w:val="22"/>
        </w:rPr>
        <w:t>Coadyuvar en la implementación de una política social activa que implique programas con enfoque progresivo y de alta incidencia sobre la población</w:t>
      </w:r>
      <w:r>
        <w:rPr>
          <w:spacing w:val="-8"/>
          <w:sz w:val="22"/>
        </w:rPr>
        <w:t> </w:t>
      </w:r>
      <w:r>
        <w:rPr>
          <w:sz w:val="22"/>
        </w:rPr>
        <w:t>vulnerable.</w:t>
      </w:r>
    </w:p>
    <w:p>
      <w:pPr>
        <w:pStyle w:val="ListParagraph"/>
        <w:numPr>
          <w:ilvl w:val="5"/>
          <w:numId w:val="24"/>
        </w:numPr>
        <w:tabs>
          <w:tab w:pos="1282" w:val="left" w:leader="none"/>
        </w:tabs>
        <w:spacing w:line="273" w:lineRule="auto" w:before="3" w:after="0"/>
        <w:ind w:left="1282" w:right="1703" w:hanging="360"/>
        <w:jc w:val="both"/>
        <w:rPr>
          <w:sz w:val="22"/>
        </w:rPr>
      </w:pPr>
      <w:r>
        <w:rPr>
          <w:sz w:val="22"/>
        </w:rPr>
        <w:t>Asegurar sistemas de protección de carácter universal que permitan promover la presencia del Estado y asegurar los derechos humanos de la</w:t>
      </w:r>
      <w:r>
        <w:rPr>
          <w:spacing w:val="-3"/>
          <w:sz w:val="22"/>
        </w:rPr>
        <w:t> </w:t>
      </w:r>
      <w:r>
        <w:rPr>
          <w:sz w:val="22"/>
        </w:rPr>
        <w:t>población.</w:t>
      </w:r>
    </w:p>
    <w:p>
      <w:pPr>
        <w:pStyle w:val="ListParagraph"/>
        <w:numPr>
          <w:ilvl w:val="5"/>
          <w:numId w:val="24"/>
        </w:numPr>
        <w:tabs>
          <w:tab w:pos="1282" w:val="left" w:leader="none"/>
        </w:tabs>
        <w:spacing w:line="276" w:lineRule="auto" w:before="3" w:after="0"/>
        <w:ind w:left="1282" w:right="1701" w:hanging="360"/>
        <w:jc w:val="both"/>
        <w:rPr>
          <w:sz w:val="22"/>
        </w:rPr>
      </w:pPr>
      <w:r>
        <w:rPr>
          <w:sz w:val="22"/>
        </w:rPr>
        <w:t>Profundizar mecanismos de transferencias monetarias condicionadas, considerando para </w:t>
      </w:r>
      <w:r>
        <w:rPr>
          <w:spacing w:val="-3"/>
          <w:sz w:val="22"/>
        </w:rPr>
        <w:t>el </w:t>
      </w:r>
      <w:r>
        <w:rPr>
          <w:sz w:val="22"/>
        </w:rPr>
        <w:t>efecto la temporalidad apropiada que asegure las transformaciones sociales deseadas y el cumplimiento de la contraprestación por parte de los</w:t>
      </w:r>
      <w:r>
        <w:rPr>
          <w:spacing w:val="-8"/>
          <w:sz w:val="22"/>
        </w:rPr>
        <w:t> </w:t>
      </w:r>
      <w:r>
        <w:rPr>
          <w:sz w:val="22"/>
        </w:rPr>
        <w:t>usuarios.</w:t>
      </w:r>
    </w:p>
    <w:p>
      <w:pPr>
        <w:pStyle w:val="ListParagraph"/>
        <w:numPr>
          <w:ilvl w:val="5"/>
          <w:numId w:val="24"/>
        </w:numPr>
        <w:tabs>
          <w:tab w:pos="1282" w:val="left" w:leader="none"/>
        </w:tabs>
        <w:spacing w:line="266" w:lineRule="exact" w:before="0" w:after="0"/>
        <w:ind w:left="1282" w:right="0" w:hanging="361"/>
        <w:jc w:val="both"/>
        <w:rPr>
          <w:sz w:val="22"/>
        </w:rPr>
      </w:pPr>
      <w:r>
        <w:rPr>
          <w:sz w:val="22"/>
        </w:rPr>
        <w:t>Redistribuir la riqueza para asegurar condiciones más equitativas en el ámbito</w:t>
      </w:r>
      <w:r>
        <w:rPr>
          <w:spacing w:val="-13"/>
          <w:sz w:val="22"/>
        </w:rPr>
        <w:t> </w:t>
      </w:r>
      <w:r>
        <w:rPr>
          <w:sz w:val="22"/>
        </w:rPr>
        <w:t>económico.</w:t>
      </w:r>
    </w:p>
    <w:p>
      <w:pPr>
        <w:pStyle w:val="ListParagraph"/>
        <w:numPr>
          <w:ilvl w:val="5"/>
          <w:numId w:val="24"/>
        </w:numPr>
        <w:tabs>
          <w:tab w:pos="1282" w:val="left" w:leader="none"/>
        </w:tabs>
        <w:spacing w:line="273" w:lineRule="auto" w:before="39" w:after="0"/>
        <w:ind w:left="1282" w:right="1698" w:hanging="360"/>
        <w:jc w:val="both"/>
        <w:rPr>
          <w:sz w:val="22"/>
        </w:rPr>
      </w:pPr>
      <w:r>
        <w:rPr>
          <w:sz w:val="22"/>
        </w:rPr>
        <w:t>Coadyuvar a la reactivación económica durante y post COVID-19 para generar bienestar económico y social mediante el aumento del empleo y el</w:t>
      </w:r>
      <w:r>
        <w:rPr>
          <w:spacing w:val="-6"/>
          <w:sz w:val="22"/>
        </w:rPr>
        <w:t> </w:t>
      </w:r>
      <w:r>
        <w:rPr>
          <w:sz w:val="22"/>
        </w:rPr>
        <w:t>ingreso.</w:t>
      </w:r>
    </w:p>
    <w:p>
      <w:pPr>
        <w:pStyle w:val="ListParagraph"/>
        <w:numPr>
          <w:ilvl w:val="5"/>
          <w:numId w:val="24"/>
        </w:numPr>
        <w:tabs>
          <w:tab w:pos="1282" w:val="left" w:leader="none"/>
        </w:tabs>
        <w:spacing w:line="240" w:lineRule="auto" w:before="3" w:after="0"/>
        <w:ind w:left="1282" w:right="0" w:hanging="361"/>
        <w:jc w:val="both"/>
        <w:rPr>
          <w:sz w:val="22"/>
        </w:rPr>
      </w:pPr>
      <w:r>
        <w:rPr>
          <w:sz w:val="22"/>
        </w:rPr>
        <w:t>Fortalecer la institucionalidad para asegurar la entrega de los bienes y servicios</w:t>
      </w:r>
      <w:r>
        <w:rPr>
          <w:spacing w:val="-18"/>
          <w:sz w:val="22"/>
        </w:rPr>
        <w:t> </w:t>
      </w:r>
      <w:r>
        <w:rPr>
          <w:sz w:val="22"/>
        </w:rPr>
        <w:t>públicos.</w:t>
      </w:r>
    </w:p>
    <w:p>
      <w:pPr>
        <w:pStyle w:val="ListParagraph"/>
        <w:numPr>
          <w:ilvl w:val="5"/>
          <w:numId w:val="24"/>
        </w:numPr>
        <w:tabs>
          <w:tab w:pos="1282" w:val="left" w:leader="none"/>
        </w:tabs>
        <w:spacing w:line="276" w:lineRule="auto" w:before="36" w:after="0"/>
        <w:ind w:left="1282" w:right="1701" w:hanging="360"/>
        <w:jc w:val="both"/>
        <w:rPr>
          <w:sz w:val="22"/>
        </w:rPr>
      </w:pPr>
      <w:r>
        <w:rPr>
          <w:sz w:val="22"/>
        </w:rPr>
        <w:t>Aumentar la inversión para incentivar el crecimiento económico, elevando la productividad principalmente en los pequeños y medianos</w:t>
      </w:r>
      <w:r>
        <w:rPr>
          <w:spacing w:val="-6"/>
          <w:sz w:val="22"/>
        </w:rPr>
        <w:t> </w:t>
      </w:r>
      <w:r>
        <w:rPr>
          <w:sz w:val="22"/>
        </w:rPr>
        <w:t>productores</w:t>
      </w:r>
    </w:p>
    <w:p>
      <w:pPr>
        <w:pStyle w:val="ListParagraph"/>
        <w:numPr>
          <w:ilvl w:val="5"/>
          <w:numId w:val="24"/>
        </w:numPr>
        <w:tabs>
          <w:tab w:pos="1282" w:val="left" w:leader="none"/>
        </w:tabs>
        <w:spacing w:line="267" w:lineRule="exact" w:before="0" w:after="0"/>
        <w:ind w:left="1282" w:right="0" w:hanging="361"/>
        <w:jc w:val="both"/>
        <w:rPr>
          <w:sz w:val="22"/>
        </w:rPr>
      </w:pPr>
      <w:r>
        <w:rPr>
          <w:sz w:val="22"/>
        </w:rPr>
        <w:t>Mejorar la calidad y eficiencia del gasto público</w:t>
      </w:r>
    </w:p>
    <w:p>
      <w:pPr>
        <w:pStyle w:val="ListParagraph"/>
        <w:numPr>
          <w:ilvl w:val="5"/>
          <w:numId w:val="24"/>
        </w:numPr>
        <w:tabs>
          <w:tab w:pos="1282" w:val="left" w:leader="none"/>
        </w:tabs>
        <w:spacing w:line="276" w:lineRule="auto" w:before="39" w:after="0"/>
        <w:ind w:left="1282" w:right="1697" w:hanging="360"/>
        <w:jc w:val="both"/>
        <w:rPr>
          <w:sz w:val="22"/>
        </w:rPr>
      </w:pPr>
      <w:r>
        <w:rPr>
          <w:sz w:val="22"/>
        </w:rPr>
        <w:t>Fortalecer</w:t>
      </w:r>
      <w:r>
        <w:rPr>
          <w:spacing w:val="-11"/>
          <w:sz w:val="22"/>
        </w:rPr>
        <w:t> </w:t>
      </w:r>
      <w:r>
        <w:rPr>
          <w:sz w:val="22"/>
        </w:rPr>
        <w:t>el</w:t>
      </w:r>
      <w:r>
        <w:rPr>
          <w:spacing w:val="-10"/>
          <w:sz w:val="22"/>
        </w:rPr>
        <w:t> </w:t>
      </w:r>
      <w:r>
        <w:rPr>
          <w:sz w:val="22"/>
        </w:rPr>
        <w:t>gasto</w:t>
      </w:r>
      <w:r>
        <w:rPr>
          <w:spacing w:val="-12"/>
          <w:sz w:val="22"/>
        </w:rPr>
        <w:t> </w:t>
      </w:r>
      <w:r>
        <w:rPr>
          <w:sz w:val="22"/>
        </w:rPr>
        <w:t>orientado</w:t>
      </w:r>
      <w:r>
        <w:rPr>
          <w:spacing w:val="-11"/>
          <w:sz w:val="22"/>
        </w:rPr>
        <w:t> </w:t>
      </w:r>
      <w:r>
        <w:rPr>
          <w:sz w:val="22"/>
        </w:rPr>
        <w:t>a</w:t>
      </w:r>
      <w:r>
        <w:rPr>
          <w:spacing w:val="-11"/>
          <w:sz w:val="22"/>
        </w:rPr>
        <w:t> </w:t>
      </w:r>
      <w:r>
        <w:rPr>
          <w:sz w:val="22"/>
        </w:rPr>
        <w:t>atender</w:t>
      </w:r>
      <w:r>
        <w:rPr>
          <w:spacing w:val="-10"/>
          <w:sz w:val="22"/>
        </w:rPr>
        <w:t> </w:t>
      </w:r>
      <w:r>
        <w:rPr>
          <w:sz w:val="22"/>
        </w:rPr>
        <w:t>las</w:t>
      </w:r>
      <w:r>
        <w:rPr>
          <w:spacing w:val="-11"/>
          <w:sz w:val="22"/>
        </w:rPr>
        <w:t> </w:t>
      </w:r>
      <w:r>
        <w:rPr>
          <w:sz w:val="22"/>
        </w:rPr>
        <w:t>necesidades</w:t>
      </w:r>
      <w:r>
        <w:rPr>
          <w:spacing w:val="-10"/>
          <w:sz w:val="22"/>
        </w:rPr>
        <w:t> </w:t>
      </w:r>
      <w:r>
        <w:rPr>
          <w:sz w:val="22"/>
        </w:rPr>
        <w:t>sociales</w:t>
      </w:r>
      <w:r>
        <w:rPr>
          <w:spacing w:val="-10"/>
          <w:sz w:val="22"/>
        </w:rPr>
        <w:t> </w:t>
      </w:r>
      <w:r>
        <w:rPr>
          <w:sz w:val="22"/>
        </w:rPr>
        <w:t>de</w:t>
      </w:r>
      <w:r>
        <w:rPr>
          <w:spacing w:val="-12"/>
          <w:sz w:val="22"/>
        </w:rPr>
        <w:t> </w:t>
      </w:r>
      <w:r>
        <w:rPr>
          <w:sz w:val="22"/>
        </w:rPr>
        <w:t>los</w:t>
      </w:r>
      <w:r>
        <w:rPr>
          <w:spacing w:val="-10"/>
          <w:sz w:val="22"/>
        </w:rPr>
        <w:t> </w:t>
      </w:r>
      <w:r>
        <w:rPr>
          <w:sz w:val="22"/>
        </w:rPr>
        <w:t>grupos</w:t>
      </w:r>
      <w:r>
        <w:rPr>
          <w:spacing w:val="-11"/>
          <w:sz w:val="22"/>
        </w:rPr>
        <w:t> </w:t>
      </w:r>
      <w:r>
        <w:rPr>
          <w:sz w:val="22"/>
        </w:rPr>
        <w:t>más</w:t>
      </w:r>
      <w:r>
        <w:rPr>
          <w:spacing w:val="-8"/>
          <w:sz w:val="22"/>
        </w:rPr>
        <w:t> </w:t>
      </w:r>
      <w:r>
        <w:rPr>
          <w:sz w:val="22"/>
        </w:rPr>
        <w:t>vulnerables en</w:t>
      </w:r>
      <w:r>
        <w:rPr>
          <w:spacing w:val="-4"/>
          <w:sz w:val="22"/>
        </w:rPr>
        <w:t> </w:t>
      </w:r>
      <w:r>
        <w:rPr>
          <w:sz w:val="22"/>
        </w:rPr>
        <w:t>las</w:t>
      </w:r>
      <w:r>
        <w:rPr>
          <w:spacing w:val="-3"/>
          <w:sz w:val="22"/>
        </w:rPr>
        <w:t> </w:t>
      </w:r>
      <w:r>
        <w:rPr>
          <w:sz w:val="22"/>
        </w:rPr>
        <w:t>áreas</w:t>
      </w:r>
      <w:r>
        <w:rPr>
          <w:spacing w:val="-3"/>
          <w:sz w:val="22"/>
        </w:rPr>
        <w:t> </w:t>
      </w:r>
      <w:r>
        <w:rPr>
          <w:sz w:val="22"/>
        </w:rPr>
        <w:t>de</w:t>
      </w:r>
      <w:r>
        <w:rPr>
          <w:spacing w:val="-3"/>
          <w:sz w:val="22"/>
        </w:rPr>
        <w:t> </w:t>
      </w:r>
      <w:r>
        <w:rPr>
          <w:sz w:val="22"/>
        </w:rPr>
        <w:t>educación,</w:t>
      </w:r>
      <w:r>
        <w:rPr>
          <w:spacing w:val="-6"/>
          <w:sz w:val="22"/>
        </w:rPr>
        <w:t> </w:t>
      </w:r>
      <w:r>
        <w:rPr>
          <w:sz w:val="22"/>
        </w:rPr>
        <w:t>salud</w:t>
      </w:r>
      <w:r>
        <w:rPr>
          <w:spacing w:val="-4"/>
          <w:sz w:val="22"/>
        </w:rPr>
        <w:t> </w:t>
      </w:r>
      <w:r>
        <w:rPr>
          <w:sz w:val="22"/>
        </w:rPr>
        <w:t>y</w:t>
      </w:r>
      <w:r>
        <w:rPr>
          <w:spacing w:val="-6"/>
          <w:sz w:val="22"/>
        </w:rPr>
        <w:t> </w:t>
      </w:r>
      <w:r>
        <w:rPr>
          <w:sz w:val="22"/>
        </w:rPr>
        <w:t>nutrición,</w:t>
      </w:r>
      <w:r>
        <w:rPr>
          <w:spacing w:val="-4"/>
          <w:sz w:val="22"/>
        </w:rPr>
        <w:t> </w:t>
      </w:r>
      <w:r>
        <w:rPr>
          <w:sz w:val="22"/>
        </w:rPr>
        <w:t>con</w:t>
      </w:r>
      <w:r>
        <w:rPr>
          <w:spacing w:val="-5"/>
          <w:sz w:val="22"/>
        </w:rPr>
        <w:t> </w:t>
      </w:r>
      <w:r>
        <w:rPr>
          <w:sz w:val="22"/>
        </w:rPr>
        <w:t>el</w:t>
      </w:r>
      <w:r>
        <w:rPr>
          <w:spacing w:val="-3"/>
          <w:sz w:val="22"/>
        </w:rPr>
        <w:t> </w:t>
      </w:r>
      <w:r>
        <w:rPr>
          <w:sz w:val="22"/>
        </w:rPr>
        <w:t>propósito</w:t>
      </w:r>
      <w:r>
        <w:rPr>
          <w:spacing w:val="-4"/>
          <w:sz w:val="22"/>
        </w:rPr>
        <w:t> </w:t>
      </w:r>
      <w:r>
        <w:rPr>
          <w:sz w:val="22"/>
        </w:rPr>
        <w:t>de</w:t>
      </w:r>
      <w:r>
        <w:rPr>
          <w:spacing w:val="-3"/>
          <w:sz w:val="22"/>
        </w:rPr>
        <w:t> </w:t>
      </w:r>
      <w:r>
        <w:rPr>
          <w:sz w:val="22"/>
        </w:rPr>
        <w:t>cumplir</w:t>
      </w:r>
      <w:r>
        <w:rPr>
          <w:spacing w:val="-3"/>
          <w:sz w:val="22"/>
        </w:rPr>
        <w:t> </w:t>
      </w:r>
      <w:r>
        <w:rPr>
          <w:sz w:val="22"/>
        </w:rPr>
        <w:t>en</w:t>
      </w:r>
      <w:r>
        <w:rPr>
          <w:spacing w:val="-6"/>
          <w:sz w:val="22"/>
        </w:rPr>
        <w:t> </w:t>
      </w:r>
      <w:r>
        <w:rPr>
          <w:sz w:val="22"/>
        </w:rPr>
        <w:t>el</w:t>
      </w:r>
      <w:r>
        <w:rPr>
          <w:spacing w:val="-5"/>
          <w:sz w:val="22"/>
        </w:rPr>
        <w:t> </w:t>
      </w:r>
      <w:r>
        <w:rPr>
          <w:sz w:val="22"/>
        </w:rPr>
        <w:t>mediano</w:t>
      </w:r>
      <w:r>
        <w:rPr>
          <w:spacing w:val="-6"/>
          <w:sz w:val="22"/>
        </w:rPr>
        <w:t> </w:t>
      </w:r>
      <w:r>
        <w:rPr>
          <w:sz w:val="22"/>
        </w:rPr>
        <w:t>plazo con los Objetivos de Desarrollo</w:t>
      </w:r>
      <w:r>
        <w:rPr>
          <w:spacing w:val="-1"/>
          <w:sz w:val="22"/>
        </w:rPr>
        <w:t> </w:t>
      </w:r>
      <w:r>
        <w:rPr>
          <w:sz w:val="22"/>
        </w:rPr>
        <w:t>Sostenible.</w:t>
      </w:r>
    </w:p>
    <w:p>
      <w:pPr>
        <w:spacing w:after="0" w:line="276" w:lineRule="auto"/>
        <w:jc w:val="both"/>
        <w:rPr>
          <w:sz w:val="22"/>
        </w:rPr>
        <w:sectPr>
          <w:pgSz w:w="12240" w:h="15840"/>
          <w:pgMar w:header="715" w:footer="957" w:top="1240" w:bottom="1140" w:left="1140" w:right="0"/>
        </w:sectPr>
      </w:pPr>
    </w:p>
    <w:p>
      <w:pPr>
        <w:pStyle w:val="ListParagraph"/>
        <w:numPr>
          <w:ilvl w:val="4"/>
          <w:numId w:val="24"/>
        </w:numPr>
        <w:tabs>
          <w:tab w:pos="695" w:val="left" w:leader="none"/>
        </w:tabs>
        <w:spacing w:line="240" w:lineRule="auto" w:before="160" w:after="0"/>
        <w:ind w:left="694" w:right="0" w:hanging="133"/>
        <w:jc w:val="left"/>
        <w:rPr>
          <w:sz w:val="22"/>
        </w:rPr>
      </w:pPr>
      <w:r>
        <w:rPr>
          <w:sz w:val="22"/>
        </w:rPr>
        <w:t>Lineamientos estratégicos en materia de deuda</w:t>
      </w:r>
      <w:r>
        <w:rPr>
          <w:spacing w:val="-5"/>
          <w:sz w:val="22"/>
        </w:rPr>
        <w:t> </w:t>
      </w:r>
      <w:r>
        <w:rPr>
          <w:sz w:val="22"/>
        </w:rPr>
        <w:t>pública</w:t>
      </w:r>
    </w:p>
    <w:p>
      <w:pPr>
        <w:pStyle w:val="ListParagraph"/>
        <w:numPr>
          <w:ilvl w:val="5"/>
          <w:numId w:val="24"/>
        </w:numPr>
        <w:tabs>
          <w:tab w:pos="1282" w:val="left" w:leader="none"/>
        </w:tabs>
        <w:spacing w:line="240" w:lineRule="auto" w:before="199" w:after="0"/>
        <w:ind w:left="1282" w:right="0" w:hanging="361"/>
        <w:jc w:val="both"/>
        <w:rPr>
          <w:sz w:val="22"/>
        </w:rPr>
      </w:pPr>
      <w:r>
        <w:rPr>
          <w:sz w:val="22"/>
        </w:rPr>
        <w:t>Garantizar la sostenibilidad de la deuda pública en un marco amplio de</w:t>
      </w:r>
      <w:r>
        <w:rPr>
          <w:spacing w:val="-16"/>
          <w:sz w:val="22"/>
        </w:rPr>
        <w:t> </w:t>
      </w:r>
      <w:r>
        <w:rPr>
          <w:sz w:val="22"/>
        </w:rPr>
        <w:t>desarrollo.</w:t>
      </w:r>
    </w:p>
    <w:p>
      <w:pPr>
        <w:pStyle w:val="ListParagraph"/>
        <w:numPr>
          <w:ilvl w:val="5"/>
          <w:numId w:val="24"/>
        </w:numPr>
        <w:tabs>
          <w:tab w:pos="1282" w:val="left" w:leader="none"/>
        </w:tabs>
        <w:spacing w:line="276" w:lineRule="auto" w:before="39" w:after="0"/>
        <w:ind w:left="1282" w:right="1696" w:hanging="360"/>
        <w:jc w:val="both"/>
        <w:rPr>
          <w:sz w:val="22"/>
        </w:rPr>
      </w:pPr>
      <w:r>
        <w:rPr>
          <w:sz w:val="22"/>
        </w:rPr>
        <w:t>Implementar</w:t>
      </w:r>
      <w:r>
        <w:rPr>
          <w:spacing w:val="-6"/>
          <w:sz w:val="22"/>
        </w:rPr>
        <w:t> </w:t>
      </w:r>
      <w:r>
        <w:rPr>
          <w:sz w:val="22"/>
        </w:rPr>
        <w:t>una</w:t>
      </w:r>
      <w:r>
        <w:rPr>
          <w:spacing w:val="-9"/>
          <w:sz w:val="22"/>
        </w:rPr>
        <w:t> </w:t>
      </w:r>
      <w:r>
        <w:rPr>
          <w:sz w:val="22"/>
        </w:rPr>
        <w:t>política</w:t>
      </w:r>
      <w:r>
        <w:rPr>
          <w:spacing w:val="-7"/>
          <w:sz w:val="22"/>
        </w:rPr>
        <w:t> </w:t>
      </w:r>
      <w:r>
        <w:rPr>
          <w:sz w:val="22"/>
        </w:rPr>
        <w:t>prudente</w:t>
      </w:r>
      <w:r>
        <w:rPr>
          <w:spacing w:val="-7"/>
          <w:sz w:val="22"/>
        </w:rPr>
        <w:t> </w:t>
      </w:r>
      <w:r>
        <w:rPr>
          <w:sz w:val="22"/>
        </w:rPr>
        <w:t>de</w:t>
      </w:r>
      <w:r>
        <w:rPr>
          <w:spacing w:val="-8"/>
          <w:sz w:val="22"/>
        </w:rPr>
        <w:t> </w:t>
      </w:r>
      <w:r>
        <w:rPr>
          <w:sz w:val="22"/>
        </w:rPr>
        <w:t>endeudamiento</w:t>
      </w:r>
      <w:r>
        <w:rPr>
          <w:spacing w:val="-10"/>
          <w:sz w:val="22"/>
        </w:rPr>
        <w:t> </w:t>
      </w:r>
      <w:r>
        <w:rPr>
          <w:sz w:val="22"/>
        </w:rPr>
        <w:t>público,</w:t>
      </w:r>
      <w:r>
        <w:rPr>
          <w:spacing w:val="-7"/>
          <w:sz w:val="22"/>
        </w:rPr>
        <w:t> </w:t>
      </w:r>
      <w:r>
        <w:rPr>
          <w:sz w:val="22"/>
        </w:rPr>
        <w:t>que</w:t>
      </w:r>
      <w:r>
        <w:rPr>
          <w:spacing w:val="-7"/>
          <w:sz w:val="22"/>
        </w:rPr>
        <w:t> </w:t>
      </w:r>
      <w:r>
        <w:rPr>
          <w:sz w:val="22"/>
        </w:rPr>
        <w:t>conserve</w:t>
      </w:r>
      <w:r>
        <w:rPr>
          <w:spacing w:val="-6"/>
          <w:sz w:val="22"/>
        </w:rPr>
        <w:t> </w:t>
      </w:r>
      <w:r>
        <w:rPr>
          <w:sz w:val="22"/>
        </w:rPr>
        <w:t>la</w:t>
      </w:r>
      <w:r>
        <w:rPr>
          <w:spacing w:val="-9"/>
          <w:sz w:val="22"/>
        </w:rPr>
        <w:t> </w:t>
      </w:r>
      <w:r>
        <w:rPr>
          <w:sz w:val="22"/>
        </w:rPr>
        <w:t>deuda</w:t>
      </w:r>
      <w:r>
        <w:rPr>
          <w:spacing w:val="-4"/>
          <w:sz w:val="22"/>
        </w:rPr>
        <w:t> </w:t>
      </w:r>
      <w:r>
        <w:rPr>
          <w:sz w:val="22"/>
        </w:rPr>
        <w:t>pública en parámetros razonables, acordes a la dimensión de la economía de Guatemala y las variables concernientes a su</w:t>
      </w:r>
      <w:r>
        <w:rPr>
          <w:spacing w:val="-5"/>
          <w:sz w:val="22"/>
        </w:rPr>
        <w:t> </w:t>
      </w:r>
      <w:r>
        <w:rPr>
          <w:sz w:val="22"/>
        </w:rPr>
        <w:t>servicio.</w:t>
      </w:r>
    </w:p>
    <w:p>
      <w:pPr>
        <w:pStyle w:val="ListParagraph"/>
        <w:numPr>
          <w:ilvl w:val="5"/>
          <w:numId w:val="24"/>
        </w:numPr>
        <w:tabs>
          <w:tab w:pos="1282" w:val="left" w:leader="none"/>
        </w:tabs>
        <w:spacing w:line="276" w:lineRule="auto" w:before="0" w:after="0"/>
        <w:ind w:left="1282" w:right="1696" w:hanging="360"/>
        <w:jc w:val="both"/>
        <w:rPr>
          <w:sz w:val="22"/>
        </w:rPr>
      </w:pPr>
      <w:r>
        <w:rPr>
          <w:sz w:val="22"/>
        </w:rPr>
        <w:t>Efectuar la contratación de deuda en condiciones financieras favorables para el país, minimizando los</w:t>
      </w:r>
      <w:r>
        <w:rPr>
          <w:spacing w:val="-3"/>
          <w:sz w:val="22"/>
        </w:rPr>
        <w:t> </w:t>
      </w:r>
      <w:r>
        <w:rPr>
          <w:sz w:val="22"/>
        </w:rPr>
        <w:t>riesgos.</w:t>
      </w:r>
    </w:p>
    <w:p>
      <w:pPr>
        <w:pStyle w:val="ListParagraph"/>
        <w:numPr>
          <w:ilvl w:val="5"/>
          <w:numId w:val="24"/>
        </w:numPr>
        <w:tabs>
          <w:tab w:pos="1282" w:val="left" w:leader="none"/>
        </w:tabs>
        <w:spacing w:line="276" w:lineRule="auto" w:before="0" w:after="0"/>
        <w:ind w:left="1282" w:right="1694" w:hanging="360"/>
        <w:jc w:val="both"/>
        <w:rPr>
          <w:sz w:val="22"/>
        </w:rPr>
      </w:pPr>
      <w:r>
        <w:rPr>
          <w:sz w:val="22"/>
        </w:rPr>
        <w:t>Dar</w:t>
      </w:r>
      <w:r>
        <w:rPr>
          <w:spacing w:val="-6"/>
          <w:sz w:val="22"/>
        </w:rPr>
        <w:t> </w:t>
      </w:r>
      <w:r>
        <w:rPr>
          <w:sz w:val="22"/>
        </w:rPr>
        <w:t>cumplimiento</w:t>
      </w:r>
      <w:r>
        <w:rPr>
          <w:spacing w:val="-5"/>
          <w:sz w:val="22"/>
        </w:rPr>
        <w:t> </w:t>
      </w:r>
      <w:r>
        <w:rPr>
          <w:sz w:val="22"/>
        </w:rPr>
        <w:t>a</w:t>
      </w:r>
      <w:r>
        <w:rPr>
          <w:spacing w:val="-8"/>
          <w:sz w:val="22"/>
        </w:rPr>
        <w:t> </w:t>
      </w:r>
      <w:r>
        <w:rPr>
          <w:sz w:val="22"/>
        </w:rPr>
        <w:t>los</w:t>
      </w:r>
      <w:r>
        <w:rPr>
          <w:spacing w:val="-5"/>
          <w:sz w:val="22"/>
        </w:rPr>
        <w:t> </w:t>
      </w:r>
      <w:r>
        <w:rPr>
          <w:sz w:val="22"/>
        </w:rPr>
        <w:t>compromisos</w:t>
      </w:r>
      <w:r>
        <w:rPr>
          <w:spacing w:val="-5"/>
          <w:sz w:val="22"/>
        </w:rPr>
        <w:t> </w:t>
      </w:r>
      <w:r>
        <w:rPr>
          <w:sz w:val="22"/>
        </w:rPr>
        <w:t>de</w:t>
      </w:r>
      <w:r>
        <w:rPr>
          <w:spacing w:val="-6"/>
          <w:sz w:val="22"/>
        </w:rPr>
        <w:t> </w:t>
      </w:r>
      <w:r>
        <w:rPr>
          <w:sz w:val="22"/>
        </w:rPr>
        <w:t>endeudamiento</w:t>
      </w:r>
      <w:r>
        <w:rPr>
          <w:spacing w:val="-6"/>
          <w:sz w:val="22"/>
        </w:rPr>
        <w:t> </w:t>
      </w:r>
      <w:r>
        <w:rPr>
          <w:sz w:val="22"/>
        </w:rPr>
        <w:t>adquiridos</w:t>
      </w:r>
      <w:r>
        <w:rPr>
          <w:spacing w:val="-6"/>
          <w:sz w:val="22"/>
        </w:rPr>
        <w:t> </w:t>
      </w:r>
      <w:r>
        <w:rPr>
          <w:sz w:val="22"/>
        </w:rPr>
        <w:t>por</w:t>
      </w:r>
      <w:r>
        <w:rPr>
          <w:spacing w:val="-5"/>
          <w:sz w:val="22"/>
        </w:rPr>
        <w:t> </w:t>
      </w:r>
      <w:r>
        <w:rPr>
          <w:sz w:val="22"/>
        </w:rPr>
        <w:t>el</w:t>
      </w:r>
      <w:r>
        <w:rPr>
          <w:spacing w:val="-5"/>
          <w:sz w:val="22"/>
        </w:rPr>
        <w:t> </w:t>
      </w:r>
      <w:r>
        <w:rPr>
          <w:sz w:val="22"/>
        </w:rPr>
        <w:t>país,</w:t>
      </w:r>
      <w:r>
        <w:rPr>
          <w:spacing w:val="-8"/>
          <w:sz w:val="22"/>
        </w:rPr>
        <w:t> </w:t>
      </w:r>
      <w:r>
        <w:rPr>
          <w:sz w:val="22"/>
        </w:rPr>
        <w:t>realizando</w:t>
      </w:r>
      <w:r>
        <w:rPr>
          <w:spacing w:val="-7"/>
          <w:sz w:val="22"/>
        </w:rPr>
        <w:t> </w:t>
      </w:r>
      <w:r>
        <w:rPr>
          <w:sz w:val="22"/>
        </w:rPr>
        <w:t>el pago oportuno del servicio de la deuda pública, tanto interna como</w:t>
      </w:r>
      <w:r>
        <w:rPr>
          <w:spacing w:val="-7"/>
          <w:sz w:val="22"/>
        </w:rPr>
        <w:t> </w:t>
      </w:r>
      <w:r>
        <w:rPr>
          <w:sz w:val="22"/>
        </w:rPr>
        <w:t>externa.</w:t>
      </w:r>
    </w:p>
    <w:p>
      <w:pPr>
        <w:pStyle w:val="ListParagraph"/>
        <w:numPr>
          <w:ilvl w:val="5"/>
          <w:numId w:val="24"/>
        </w:numPr>
        <w:tabs>
          <w:tab w:pos="1282" w:val="left" w:leader="none"/>
        </w:tabs>
        <w:spacing w:line="276" w:lineRule="auto" w:before="0" w:after="0"/>
        <w:ind w:left="1282" w:right="1697" w:hanging="360"/>
        <w:jc w:val="both"/>
        <w:rPr>
          <w:sz w:val="22"/>
        </w:rPr>
      </w:pPr>
      <w:r>
        <w:rPr>
          <w:sz w:val="22"/>
        </w:rPr>
        <w:t>Gestionar la realización de</w:t>
      </w:r>
      <w:r>
        <w:rPr>
          <w:spacing w:val="-41"/>
          <w:sz w:val="22"/>
        </w:rPr>
        <w:t> </w:t>
      </w:r>
      <w:r>
        <w:rPr>
          <w:sz w:val="22"/>
        </w:rPr>
        <w:t>canjes de deuda para el financiamiento de proyectos de inversión pública y de protección del medio ambiente, con países u organismos internacionales acreedores de</w:t>
      </w:r>
      <w:r>
        <w:rPr>
          <w:spacing w:val="-1"/>
          <w:sz w:val="22"/>
        </w:rPr>
        <w:t> </w:t>
      </w:r>
      <w:r>
        <w:rPr>
          <w:sz w:val="22"/>
        </w:rPr>
        <w:t>préstamos.</w:t>
      </w:r>
    </w:p>
    <w:p>
      <w:pPr>
        <w:pStyle w:val="ListParagraph"/>
        <w:numPr>
          <w:ilvl w:val="5"/>
          <w:numId w:val="24"/>
        </w:numPr>
        <w:tabs>
          <w:tab w:pos="1282" w:val="left" w:leader="none"/>
        </w:tabs>
        <w:spacing w:line="276" w:lineRule="auto" w:before="0" w:after="0"/>
        <w:ind w:left="1282" w:right="1693" w:hanging="360"/>
        <w:jc w:val="both"/>
        <w:rPr>
          <w:sz w:val="22"/>
        </w:rPr>
      </w:pPr>
      <w:r>
        <w:rPr>
          <w:sz w:val="22"/>
        </w:rPr>
        <w:t>Dar seguimiento a las finanzas municipales, en particular al nivel de deuda y sostenibilidad financiera municipal, por parte de las entidades vinculadas al entorno de los gobiernos locales.</w:t>
      </w:r>
    </w:p>
    <w:p>
      <w:pPr>
        <w:pStyle w:val="ListParagraph"/>
        <w:numPr>
          <w:ilvl w:val="5"/>
          <w:numId w:val="24"/>
        </w:numPr>
        <w:tabs>
          <w:tab w:pos="1282" w:val="left" w:leader="none"/>
        </w:tabs>
        <w:spacing w:line="266" w:lineRule="exact" w:before="0" w:after="0"/>
        <w:ind w:left="1282" w:right="0" w:hanging="361"/>
        <w:jc w:val="both"/>
        <w:rPr>
          <w:sz w:val="22"/>
        </w:rPr>
      </w:pPr>
      <w:r>
        <w:rPr>
          <w:sz w:val="22"/>
        </w:rPr>
        <w:t>Presentar una estrategia de endeudamiento que permita una adecuada gestión de la</w:t>
      </w:r>
      <w:r>
        <w:rPr>
          <w:spacing w:val="-8"/>
          <w:sz w:val="22"/>
        </w:rPr>
        <w:t> </w:t>
      </w:r>
      <w:r>
        <w:rPr>
          <w:sz w:val="22"/>
        </w:rPr>
        <w:t>deuda.</w:t>
      </w:r>
    </w:p>
    <w:p>
      <w:pPr>
        <w:pStyle w:val="ListParagraph"/>
        <w:numPr>
          <w:ilvl w:val="4"/>
          <w:numId w:val="24"/>
        </w:numPr>
        <w:tabs>
          <w:tab w:pos="695" w:val="left" w:leader="none"/>
        </w:tabs>
        <w:spacing w:line="240" w:lineRule="auto" w:before="189" w:after="0"/>
        <w:ind w:left="694" w:right="0" w:hanging="133"/>
        <w:jc w:val="left"/>
        <w:rPr>
          <w:sz w:val="22"/>
        </w:rPr>
      </w:pPr>
      <w:r>
        <w:rPr>
          <w:sz w:val="22"/>
        </w:rPr>
        <w:t>Lineamientos estratégicos en materia de gestión financiera y</w:t>
      </w:r>
      <w:r>
        <w:rPr>
          <w:spacing w:val="-6"/>
          <w:sz w:val="22"/>
        </w:rPr>
        <w:t> </w:t>
      </w:r>
      <w:r>
        <w:rPr>
          <w:sz w:val="22"/>
        </w:rPr>
        <w:t>transparencia</w:t>
      </w:r>
    </w:p>
    <w:p>
      <w:pPr>
        <w:pStyle w:val="ListParagraph"/>
        <w:numPr>
          <w:ilvl w:val="5"/>
          <w:numId w:val="24"/>
        </w:numPr>
        <w:tabs>
          <w:tab w:pos="1281" w:val="left" w:leader="none"/>
          <w:tab w:pos="1282" w:val="left" w:leader="none"/>
        </w:tabs>
        <w:spacing w:line="273" w:lineRule="auto" w:before="199" w:after="0"/>
        <w:ind w:left="1282" w:right="1696" w:hanging="360"/>
        <w:jc w:val="left"/>
        <w:rPr>
          <w:sz w:val="22"/>
        </w:rPr>
      </w:pPr>
      <w:r>
        <w:rPr>
          <w:sz w:val="22"/>
        </w:rPr>
        <w:t>Asegurar los mecanismos de transparencia, rendición de cuentas y auditoría social en los asuntos relacionados a las finanzas</w:t>
      </w:r>
      <w:r>
        <w:rPr>
          <w:spacing w:val="-7"/>
          <w:sz w:val="22"/>
        </w:rPr>
        <w:t> </w:t>
      </w:r>
      <w:r>
        <w:rPr>
          <w:sz w:val="22"/>
        </w:rPr>
        <w:t>públicas.</w:t>
      </w:r>
    </w:p>
    <w:p>
      <w:pPr>
        <w:pStyle w:val="ListParagraph"/>
        <w:numPr>
          <w:ilvl w:val="5"/>
          <w:numId w:val="24"/>
        </w:numPr>
        <w:tabs>
          <w:tab w:pos="1281" w:val="left" w:leader="none"/>
          <w:tab w:pos="1282" w:val="left" w:leader="none"/>
        </w:tabs>
        <w:spacing w:line="240" w:lineRule="auto" w:before="3" w:after="0"/>
        <w:ind w:left="1282" w:right="0" w:hanging="361"/>
        <w:jc w:val="left"/>
        <w:rPr>
          <w:sz w:val="22"/>
        </w:rPr>
      </w:pPr>
      <w:r>
        <w:rPr>
          <w:sz w:val="22"/>
        </w:rPr>
        <w:t>Fortalecer los sistemas de información</w:t>
      </w:r>
      <w:r>
        <w:rPr>
          <w:spacing w:val="-6"/>
          <w:sz w:val="22"/>
        </w:rPr>
        <w:t> </w:t>
      </w:r>
      <w:r>
        <w:rPr>
          <w:sz w:val="22"/>
        </w:rPr>
        <w:t>pública.</w:t>
      </w:r>
    </w:p>
    <w:p>
      <w:pPr>
        <w:pStyle w:val="ListParagraph"/>
        <w:numPr>
          <w:ilvl w:val="5"/>
          <w:numId w:val="24"/>
        </w:numPr>
        <w:tabs>
          <w:tab w:pos="1281" w:val="left" w:leader="none"/>
          <w:tab w:pos="1282" w:val="left" w:leader="none"/>
        </w:tabs>
        <w:spacing w:line="240" w:lineRule="auto" w:before="36" w:after="0"/>
        <w:ind w:left="1282" w:right="0" w:hanging="361"/>
        <w:jc w:val="left"/>
        <w:rPr>
          <w:sz w:val="22"/>
        </w:rPr>
      </w:pPr>
      <w:r>
        <w:rPr>
          <w:sz w:val="22"/>
        </w:rPr>
        <w:t>Universalizar la gestión por resultados en las entidades del sector</w:t>
      </w:r>
      <w:r>
        <w:rPr>
          <w:spacing w:val="-16"/>
          <w:sz w:val="22"/>
        </w:rPr>
        <w:t> </w:t>
      </w:r>
      <w:r>
        <w:rPr>
          <w:sz w:val="22"/>
        </w:rPr>
        <w:t>público.</w:t>
      </w:r>
    </w:p>
    <w:p>
      <w:pPr>
        <w:pStyle w:val="ListParagraph"/>
        <w:numPr>
          <w:ilvl w:val="5"/>
          <w:numId w:val="24"/>
        </w:numPr>
        <w:tabs>
          <w:tab w:pos="1281" w:val="left" w:leader="none"/>
          <w:tab w:pos="1282" w:val="left" w:leader="none"/>
        </w:tabs>
        <w:spacing w:line="276" w:lineRule="auto" w:before="38" w:after="0"/>
        <w:ind w:left="1282" w:right="1695" w:hanging="360"/>
        <w:jc w:val="left"/>
        <w:rPr>
          <w:sz w:val="22"/>
        </w:rPr>
      </w:pPr>
      <w:r>
        <w:rPr>
          <w:sz w:val="22"/>
        </w:rPr>
        <w:t>Asegurar los mecanismos de participación del Sistema de Consejos de Desarrollo Urbano y Rural (SCDUR) en los asuntos</w:t>
      </w:r>
      <w:r>
        <w:rPr>
          <w:spacing w:val="-7"/>
          <w:sz w:val="22"/>
        </w:rPr>
        <w:t> </w:t>
      </w:r>
      <w:r>
        <w:rPr>
          <w:sz w:val="22"/>
        </w:rPr>
        <w:t>públicos.</w:t>
      </w:r>
    </w:p>
    <w:p>
      <w:pPr>
        <w:pStyle w:val="ListParagraph"/>
        <w:numPr>
          <w:ilvl w:val="5"/>
          <w:numId w:val="24"/>
        </w:numPr>
        <w:tabs>
          <w:tab w:pos="1281" w:val="left" w:leader="none"/>
          <w:tab w:pos="1282" w:val="left" w:leader="none"/>
        </w:tabs>
        <w:spacing w:line="276" w:lineRule="auto" w:before="0" w:after="0"/>
        <w:ind w:left="1282" w:right="1702" w:hanging="360"/>
        <w:jc w:val="left"/>
        <w:rPr>
          <w:sz w:val="22"/>
        </w:rPr>
      </w:pPr>
      <w:r>
        <w:rPr>
          <w:sz w:val="22"/>
        </w:rPr>
        <w:t>Fortalecer las unidades de planificación y presupuesto para lograr una mejor programación de objetivos, metas, indicadores y</w:t>
      </w:r>
      <w:r>
        <w:rPr>
          <w:spacing w:val="-4"/>
          <w:sz w:val="22"/>
        </w:rPr>
        <w:t> </w:t>
      </w:r>
      <w:r>
        <w:rPr>
          <w:sz w:val="22"/>
        </w:rPr>
        <w:t>resultados.</w:t>
      </w:r>
    </w:p>
    <w:p>
      <w:pPr>
        <w:pStyle w:val="ListParagraph"/>
        <w:numPr>
          <w:ilvl w:val="5"/>
          <w:numId w:val="24"/>
        </w:numPr>
        <w:tabs>
          <w:tab w:pos="1281" w:val="left" w:leader="none"/>
          <w:tab w:pos="1282" w:val="left" w:leader="none"/>
        </w:tabs>
        <w:spacing w:line="276" w:lineRule="auto" w:before="0" w:after="0"/>
        <w:ind w:left="1282" w:right="1695" w:hanging="360"/>
        <w:jc w:val="left"/>
        <w:rPr>
          <w:sz w:val="22"/>
        </w:rPr>
      </w:pPr>
      <w:r>
        <w:rPr>
          <w:sz w:val="22"/>
        </w:rPr>
        <w:t>Fortalecer</w:t>
      </w:r>
      <w:r>
        <w:rPr>
          <w:spacing w:val="-11"/>
          <w:sz w:val="22"/>
        </w:rPr>
        <w:t> </w:t>
      </w:r>
      <w:r>
        <w:rPr>
          <w:sz w:val="22"/>
        </w:rPr>
        <w:t>el</w:t>
      </w:r>
      <w:r>
        <w:rPr>
          <w:spacing w:val="-11"/>
          <w:sz w:val="22"/>
        </w:rPr>
        <w:t> </w:t>
      </w:r>
      <w:r>
        <w:rPr>
          <w:sz w:val="22"/>
        </w:rPr>
        <w:t>rol</w:t>
      </w:r>
      <w:r>
        <w:rPr>
          <w:spacing w:val="-10"/>
          <w:sz w:val="22"/>
        </w:rPr>
        <w:t> </w:t>
      </w:r>
      <w:r>
        <w:rPr>
          <w:sz w:val="22"/>
        </w:rPr>
        <w:t>de</w:t>
      </w:r>
      <w:r>
        <w:rPr>
          <w:spacing w:val="-11"/>
          <w:sz w:val="22"/>
        </w:rPr>
        <w:t> </w:t>
      </w:r>
      <w:r>
        <w:rPr>
          <w:sz w:val="22"/>
        </w:rPr>
        <w:t>coordinación</w:t>
      </w:r>
      <w:r>
        <w:rPr>
          <w:spacing w:val="-12"/>
          <w:sz w:val="22"/>
        </w:rPr>
        <w:t> </w:t>
      </w:r>
      <w:r>
        <w:rPr>
          <w:sz w:val="22"/>
        </w:rPr>
        <w:t>del</w:t>
      </w:r>
      <w:r>
        <w:rPr>
          <w:spacing w:val="-10"/>
          <w:sz w:val="22"/>
        </w:rPr>
        <w:t> </w:t>
      </w:r>
      <w:r>
        <w:rPr>
          <w:sz w:val="22"/>
        </w:rPr>
        <w:t>Ministerio</w:t>
      </w:r>
      <w:r>
        <w:rPr>
          <w:spacing w:val="-12"/>
          <w:sz w:val="22"/>
        </w:rPr>
        <w:t> </w:t>
      </w:r>
      <w:r>
        <w:rPr>
          <w:sz w:val="22"/>
        </w:rPr>
        <w:t>de</w:t>
      </w:r>
      <w:r>
        <w:rPr>
          <w:spacing w:val="-11"/>
          <w:sz w:val="22"/>
        </w:rPr>
        <w:t> </w:t>
      </w:r>
      <w:r>
        <w:rPr>
          <w:sz w:val="22"/>
        </w:rPr>
        <w:t>Finanzas</w:t>
      </w:r>
      <w:r>
        <w:rPr>
          <w:spacing w:val="-11"/>
          <w:sz w:val="22"/>
        </w:rPr>
        <w:t> </w:t>
      </w:r>
      <w:r>
        <w:rPr>
          <w:sz w:val="22"/>
        </w:rPr>
        <w:t>Públicas</w:t>
      </w:r>
      <w:r>
        <w:rPr>
          <w:spacing w:val="-10"/>
          <w:sz w:val="22"/>
        </w:rPr>
        <w:t> </w:t>
      </w:r>
      <w:r>
        <w:rPr>
          <w:sz w:val="22"/>
        </w:rPr>
        <w:t>con</w:t>
      </w:r>
      <w:r>
        <w:rPr>
          <w:spacing w:val="-14"/>
          <w:sz w:val="22"/>
        </w:rPr>
        <w:t> </w:t>
      </w:r>
      <w:r>
        <w:rPr>
          <w:sz w:val="22"/>
        </w:rPr>
        <w:t>las</w:t>
      </w:r>
      <w:r>
        <w:rPr>
          <w:spacing w:val="-10"/>
          <w:sz w:val="22"/>
        </w:rPr>
        <w:t> </w:t>
      </w:r>
      <w:r>
        <w:rPr>
          <w:sz w:val="22"/>
        </w:rPr>
        <w:t>instituciones</w:t>
      </w:r>
      <w:r>
        <w:rPr>
          <w:spacing w:val="-11"/>
          <w:sz w:val="22"/>
        </w:rPr>
        <w:t> </w:t>
      </w:r>
      <w:r>
        <w:rPr>
          <w:sz w:val="22"/>
        </w:rPr>
        <w:t>del Sector Público en el ámbito presupuestario y</w:t>
      </w:r>
      <w:r>
        <w:rPr>
          <w:spacing w:val="-16"/>
          <w:sz w:val="22"/>
        </w:rPr>
        <w:t> </w:t>
      </w:r>
      <w:r>
        <w:rPr>
          <w:sz w:val="22"/>
        </w:rPr>
        <w:t>financiero.</w:t>
      </w:r>
    </w:p>
    <w:p>
      <w:pPr>
        <w:pStyle w:val="ListParagraph"/>
        <w:numPr>
          <w:ilvl w:val="5"/>
          <w:numId w:val="24"/>
        </w:numPr>
        <w:tabs>
          <w:tab w:pos="1281" w:val="left" w:leader="none"/>
          <w:tab w:pos="1282" w:val="left" w:leader="none"/>
        </w:tabs>
        <w:spacing w:line="267" w:lineRule="exact" w:before="0" w:after="0"/>
        <w:ind w:left="1282" w:right="0" w:hanging="361"/>
        <w:jc w:val="left"/>
        <w:rPr>
          <w:sz w:val="22"/>
        </w:rPr>
      </w:pPr>
      <w:r>
        <w:rPr>
          <w:sz w:val="22"/>
        </w:rPr>
        <w:t>Fortalecer y modernizar el Sistema Integrado de Administración Financiera</w:t>
      </w:r>
      <w:r>
        <w:rPr>
          <w:spacing w:val="-13"/>
          <w:sz w:val="22"/>
        </w:rPr>
        <w:t> </w:t>
      </w:r>
      <w:r>
        <w:rPr>
          <w:sz w:val="22"/>
        </w:rPr>
        <w:t>(SIAF)</w:t>
      </w:r>
    </w:p>
    <w:p>
      <w:pPr>
        <w:pStyle w:val="ListParagraph"/>
        <w:numPr>
          <w:ilvl w:val="5"/>
          <w:numId w:val="24"/>
        </w:numPr>
        <w:tabs>
          <w:tab w:pos="1281" w:val="left" w:leader="none"/>
          <w:tab w:pos="1282" w:val="left" w:leader="none"/>
        </w:tabs>
        <w:spacing w:line="240" w:lineRule="auto" w:before="35" w:after="0"/>
        <w:ind w:left="1282" w:right="0" w:hanging="361"/>
        <w:jc w:val="left"/>
        <w:rPr>
          <w:sz w:val="22"/>
        </w:rPr>
      </w:pPr>
      <w:r>
        <w:rPr>
          <w:sz w:val="22"/>
        </w:rPr>
        <w:t>Mantener</w:t>
      </w:r>
      <w:r>
        <w:rPr>
          <w:spacing w:val="-5"/>
          <w:sz w:val="22"/>
        </w:rPr>
        <w:t> </w:t>
      </w:r>
      <w:r>
        <w:rPr>
          <w:sz w:val="22"/>
        </w:rPr>
        <w:t>y</w:t>
      </w:r>
      <w:r>
        <w:rPr>
          <w:spacing w:val="-8"/>
          <w:sz w:val="22"/>
        </w:rPr>
        <w:t> </w:t>
      </w:r>
      <w:r>
        <w:rPr>
          <w:sz w:val="22"/>
        </w:rPr>
        <w:t>fortalecer</w:t>
      </w:r>
      <w:r>
        <w:rPr>
          <w:spacing w:val="-2"/>
          <w:sz w:val="22"/>
        </w:rPr>
        <w:t> </w:t>
      </w:r>
      <w:r>
        <w:rPr>
          <w:sz w:val="22"/>
        </w:rPr>
        <w:t>el</w:t>
      </w:r>
      <w:r>
        <w:rPr>
          <w:spacing w:val="-6"/>
          <w:sz w:val="22"/>
        </w:rPr>
        <w:t> </w:t>
      </w:r>
      <w:r>
        <w:rPr>
          <w:sz w:val="22"/>
        </w:rPr>
        <w:t>libre</w:t>
      </w:r>
      <w:r>
        <w:rPr>
          <w:spacing w:val="-6"/>
          <w:sz w:val="22"/>
        </w:rPr>
        <w:t> </w:t>
      </w:r>
      <w:r>
        <w:rPr>
          <w:sz w:val="22"/>
        </w:rPr>
        <w:t>acceso</w:t>
      </w:r>
      <w:r>
        <w:rPr>
          <w:spacing w:val="-7"/>
          <w:sz w:val="22"/>
        </w:rPr>
        <w:t> </w:t>
      </w:r>
      <w:r>
        <w:rPr>
          <w:sz w:val="22"/>
        </w:rPr>
        <w:t>a</w:t>
      </w:r>
      <w:r>
        <w:rPr>
          <w:spacing w:val="-5"/>
          <w:sz w:val="22"/>
        </w:rPr>
        <w:t> </w:t>
      </w:r>
      <w:r>
        <w:rPr>
          <w:sz w:val="22"/>
        </w:rPr>
        <w:t>la</w:t>
      </w:r>
      <w:r>
        <w:rPr>
          <w:spacing w:val="-7"/>
          <w:sz w:val="22"/>
        </w:rPr>
        <w:t> </w:t>
      </w:r>
      <w:r>
        <w:rPr>
          <w:sz w:val="22"/>
        </w:rPr>
        <w:t>información</w:t>
      </w:r>
      <w:r>
        <w:rPr>
          <w:spacing w:val="-6"/>
          <w:sz w:val="22"/>
        </w:rPr>
        <w:t> </w:t>
      </w:r>
      <w:r>
        <w:rPr>
          <w:sz w:val="22"/>
        </w:rPr>
        <w:t>y</w:t>
      </w:r>
      <w:r>
        <w:rPr>
          <w:spacing w:val="-10"/>
          <w:sz w:val="22"/>
        </w:rPr>
        <w:t> </w:t>
      </w:r>
      <w:r>
        <w:rPr>
          <w:sz w:val="22"/>
        </w:rPr>
        <w:t>la</w:t>
      </w:r>
      <w:r>
        <w:rPr>
          <w:spacing w:val="-5"/>
          <w:sz w:val="22"/>
        </w:rPr>
        <w:t> </w:t>
      </w:r>
      <w:r>
        <w:rPr>
          <w:sz w:val="22"/>
        </w:rPr>
        <w:t>rendición</w:t>
      </w:r>
      <w:r>
        <w:rPr>
          <w:spacing w:val="-5"/>
          <w:sz w:val="22"/>
        </w:rPr>
        <w:t> </w:t>
      </w:r>
      <w:r>
        <w:rPr>
          <w:sz w:val="22"/>
        </w:rPr>
        <w:t>de</w:t>
      </w:r>
      <w:r>
        <w:rPr>
          <w:spacing w:val="-6"/>
          <w:sz w:val="22"/>
        </w:rPr>
        <w:t> </w:t>
      </w:r>
      <w:r>
        <w:rPr>
          <w:sz w:val="22"/>
        </w:rPr>
        <w:t>cuentas</w:t>
      </w:r>
      <w:r>
        <w:rPr>
          <w:spacing w:val="-4"/>
          <w:sz w:val="22"/>
        </w:rPr>
        <w:t> </w:t>
      </w:r>
      <w:r>
        <w:rPr>
          <w:sz w:val="22"/>
        </w:rPr>
        <w:t>al</w:t>
      </w:r>
      <w:r>
        <w:rPr>
          <w:spacing w:val="-4"/>
          <w:sz w:val="22"/>
        </w:rPr>
        <w:t> </w:t>
      </w:r>
      <w:r>
        <w:rPr>
          <w:sz w:val="22"/>
        </w:rPr>
        <w:t>ciudadano.</w:t>
      </w:r>
    </w:p>
    <w:p>
      <w:pPr>
        <w:pStyle w:val="ListParagraph"/>
        <w:numPr>
          <w:ilvl w:val="5"/>
          <w:numId w:val="24"/>
        </w:numPr>
        <w:tabs>
          <w:tab w:pos="1281" w:val="left" w:leader="none"/>
          <w:tab w:pos="1282" w:val="left" w:leader="none"/>
        </w:tabs>
        <w:spacing w:line="273" w:lineRule="auto" w:before="38" w:after="0"/>
        <w:ind w:left="1282" w:right="1700" w:hanging="360"/>
        <w:jc w:val="left"/>
        <w:rPr>
          <w:sz w:val="22"/>
        </w:rPr>
      </w:pPr>
      <w:r>
        <w:rPr>
          <w:sz w:val="22"/>
        </w:rPr>
        <w:t>Apoyar y coordinar con los entes responsables de la justicia para lograr un combate efectivo a la</w:t>
      </w:r>
      <w:r>
        <w:rPr>
          <w:spacing w:val="-2"/>
          <w:sz w:val="22"/>
        </w:rPr>
        <w:t> </w:t>
      </w:r>
      <w:r>
        <w:rPr>
          <w:sz w:val="22"/>
        </w:rPr>
        <w:t>corrupción.</w:t>
      </w:r>
    </w:p>
    <w:p>
      <w:pPr>
        <w:pStyle w:val="BodyText"/>
        <w:spacing w:line="276" w:lineRule="auto" w:before="165"/>
        <w:ind w:left="562" w:right="1698"/>
        <w:jc w:val="both"/>
      </w:pPr>
      <w:r>
        <w:rPr/>
        <w:t>Seguir avanzando en la implementación de las estadísticas congruentes con los estándares internacionales</w:t>
      </w:r>
      <w:r>
        <w:rPr>
          <w:spacing w:val="-14"/>
        </w:rPr>
        <w:t> </w:t>
      </w:r>
      <w:r>
        <w:rPr/>
        <w:t>establecidos</w:t>
      </w:r>
      <w:r>
        <w:rPr>
          <w:spacing w:val="-16"/>
        </w:rPr>
        <w:t> </w:t>
      </w:r>
      <w:r>
        <w:rPr/>
        <w:t>en</w:t>
      </w:r>
      <w:r>
        <w:rPr>
          <w:spacing w:val="-14"/>
        </w:rPr>
        <w:t> </w:t>
      </w:r>
      <w:r>
        <w:rPr/>
        <w:t>la</w:t>
      </w:r>
      <w:r>
        <w:rPr>
          <w:spacing w:val="-12"/>
        </w:rPr>
        <w:t> </w:t>
      </w:r>
      <w:r>
        <w:rPr/>
        <w:t>publicación</w:t>
      </w:r>
      <w:r>
        <w:rPr>
          <w:spacing w:val="-14"/>
        </w:rPr>
        <w:t> </w:t>
      </w:r>
      <w:r>
        <w:rPr/>
        <w:t>más</w:t>
      </w:r>
      <w:r>
        <w:rPr>
          <w:spacing w:val="-14"/>
        </w:rPr>
        <w:t> </w:t>
      </w:r>
      <w:r>
        <w:rPr/>
        <w:t>reciente</w:t>
      </w:r>
      <w:r>
        <w:rPr>
          <w:spacing w:val="-14"/>
        </w:rPr>
        <w:t> </w:t>
      </w:r>
      <w:r>
        <w:rPr/>
        <w:t>del</w:t>
      </w:r>
      <w:r>
        <w:rPr>
          <w:spacing w:val="-13"/>
        </w:rPr>
        <w:t> </w:t>
      </w:r>
      <w:r>
        <w:rPr/>
        <w:t>Manual</w:t>
      </w:r>
      <w:r>
        <w:rPr>
          <w:spacing w:val="-12"/>
        </w:rPr>
        <w:t> </w:t>
      </w:r>
      <w:r>
        <w:rPr/>
        <w:t>de</w:t>
      </w:r>
      <w:r>
        <w:rPr>
          <w:spacing w:val="-14"/>
        </w:rPr>
        <w:t> </w:t>
      </w:r>
      <w:r>
        <w:rPr/>
        <w:t>Estadísticas</w:t>
      </w:r>
      <w:r>
        <w:rPr>
          <w:spacing w:val="-14"/>
        </w:rPr>
        <w:t> </w:t>
      </w:r>
      <w:r>
        <w:rPr/>
        <w:t>de</w:t>
      </w:r>
      <w:r>
        <w:rPr>
          <w:spacing w:val="-14"/>
        </w:rPr>
        <w:t> </w:t>
      </w:r>
      <w:r>
        <w:rPr/>
        <w:t>las</w:t>
      </w:r>
      <w:r>
        <w:rPr>
          <w:spacing w:val="-14"/>
        </w:rPr>
        <w:t> </w:t>
      </w:r>
      <w:r>
        <w:rPr/>
        <w:t>Finanzas Públicas del Fondo Monetario Internacional</w:t>
      </w:r>
      <w:r>
        <w:rPr>
          <w:spacing w:val="-4"/>
        </w:rPr>
        <w:t> </w:t>
      </w:r>
      <w:r>
        <w:rPr/>
        <w:t>-FMI-.</w:t>
      </w:r>
    </w:p>
    <w:p>
      <w:pPr>
        <w:pStyle w:val="BodyText"/>
        <w:spacing w:before="7"/>
        <w:rPr>
          <w:sz w:val="25"/>
        </w:rPr>
      </w:pPr>
    </w:p>
    <w:p>
      <w:pPr>
        <w:pStyle w:val="Heading3"/>
        <w:numPr>
          <w:ilvl w:val="2"/>
          <w:numId w:val="13"/>
        </w:numPr>
        <w:tabs>
          <w:tab w:pos="1354" w:val="left" w:leader="none"/>
        </w:tabs>
        <w:spacing w:line="240" w:lineRule="auto" w:before="0" w:after="0"/>
        <w:ind w:left="1354" w:right="0" w:hanging="433"/>
        <w:jc w:val="left"/>
      </w:pPr>
      <w:bookmarkStart w:name="_bookmark185" w:id="237"/>
      <w:bookmarkEnd w:id="237"/>
      <w:r>
        <w:rPr>
          <w:b w:val="0"/>
        </w:rPr>
      </w:r>
      <w:bookmarkStart w:name="_bookmark185" w:id="238"/>
      <w:bookmarkEnd w:id="238"/>
      <w:r>
        <w:rPr/>
        <w:t>Es</w:t>
      </w:r>
      <w:r>
        <w:rPr/>
        <w:t>trategia fiscal de mediano</w:t>
      </w:r>
      <w:r>
        <w:rPr>
          <w:spacing w:val="-3"/>
        </w:rPr>
        <w:t> </w:t>
      </w:r>
      <w:r>
        <w:rPr/>
        <w:t>plazo</w:t>
      </w:r>
    </w:p>
    <w:p>
      <w:pPr>
        <w:pStyle w:val="BodyText"/>
        <w:spacing w:before="8"/>
        <w:rPr>
          <w:b/>
          <w:sz w:val="28"/>
        </w:rPr>
      </w:pPr>
    </w:p>
    <w:p>
      <w:pPr>
        <w:pStyle w:val="ListParagraph"/>
        <w:numPr>
          <w:ilvl w:val="3"/>
          <w:numId w:val="13"/>
        </w:numPr>
        <w:tabs>
          <w:tab w:pos="1842" w:val="left" w:leader="none"/>
        </w:tabs>
        <w:spacing w:line="240" w:lineRule="auto" w:before="0" w:after="0"/>
        <w:ind w:left="1841" w:right="0" w:hanging="560"/>
        <w:jc w:val="left"/>
        <w:rPr>
          <w:b/>
          <w:sz w:val="22"/>
        </w:rPr>
      </w:pPr>
      <w:bookmarkStart w:name="_bookmark186" w:id="239"/>
      <w:bookmarkEnd w:id="239"/>
      <w:r>
        <w:rPr>
          <w:b/>
          <w:sz w:val="22"/>
        </w:rPr>
        <w:t>P</w:t>
      </w:r>
      <w:r>
        <w:rPr>
          <w:b/>
          <w:sz w:val="22"/>
        </w:rPr>
        <w:t>olítica tributaria y planificación de las acciones tributarias</w:t>
      </w:r>
      <w:r>
        <w:rPr>
          <w:b/>
          <w:spacing w:val="-12"/>
          <w:sz w:val="22"/>
        </w:rPr>
        <w:t> </w:t>
      </w:r>
      <w:r>
        <w:rPr>
          <w:b/>
          <w:sz w:val="22"/>
        </w:rPr>
        <w:t>administrativas</w:t>
      </w:r>
    </w:p>
    <w:p>
      <w:pPr>
        <w:pStyle w:val="BodyText"/>
        <w:spacing w:before="1"/>
        <w:rPr>
          <w:b/>
          <w:sz w:val="28"/>
        </w:rPr>
      </w:pPr>
    </w:p>
    <w:p>
      <w:pPr>
        <w:pStyle w:val="BodyText"/>
        <w:spacing w:line="278" w:lineRule="auto"/>
        <w:ind w:left="562" w:right="1700"/>
        <w:jc w:val="both"/>
      </w:pPr>
      <w:r>
        <w:rPr/>
        <w:t>Uno</w:t>
      </w:r>
      <w:r>
        <w:rPr>
          <w:spacing w:val="-4"/>
        </w:rPr>
        <w:t> </w:t>
      </w:r>
      <w:r>
        <w:rPr/>
        <w:t>de</w:t>
      </w:r>
      <w:r>
        <w:rPr>
          <w:spacing w:val="-6"/>
        </w:rPr>
        <w:t> </w:t>
      </w:r>
      <w:r>
        <w:rPr/>
        <w:t>los</w:t>
      </w:r>
      <w:r>
        <w:rPr>
          <w:spacing w:val="-6"/>
        </w:rPr>
        <w:t> </w:t>
      </w:r>
      <w:r>
        <w:rPr/>
        <w:t>factores</w:t>
      </w:r>
      <w:r>
        <w:rPr>
          <w:spacing w:val="-4"/>
        </w:rPr>
        <w:t> </w:t>
      </w:r>
      <w:r>
        <w:rPr/>
        <w:t>que</w:t>
      </w:r>
      <w:r>
        <w:rPr>
          <w:spacing w:val="-6"/>
        </w:rPr>
        <w:t> </w:t>
      </w:r>
      <w:r>
        <w:rPr/>
        <w:t>afectan</w:t>
      </w:r>
      <w:r>
        <w:rPr>
          <w:spacing w:val="-6"/>
        </w:rPr>
        <w:t> </w:t>
      </w:r>
      <w:r>
        <w:rPr/>
        <w:t>la</w:t>
      </w:r>
      <w:r>
        <w:rPr>
          <w:spacing w:val="-6"/>
        </w:rPr>
        <w:t> </w:t>
      </w:r>
      <w:r>
        <w:rPr/>
        <w:t>sostenibilidad</w:t>
      </w:r>
      <w:r>
        <w:rPr>
          <w:spacing w:val="-4"/>
        </w:rPr>
        <w:t> </w:t>
      </w:r>
      <w:r>
        <w:rPr/>
        <w:t>de</w:t>
      </w:r>
      <w:r>
        <w:rPr>
          <w:spacing w:val="-6"/>
        </w:rPr>
        <w:t> </w:t>
      </w:r>
      <w:r>
        <w:rPr/>
        <w:t>la</w:t>
      </w:r>
      <w:r>
        <w:rPr>
          <w:spacing w:val="-8"/>
        </w:rPr>
        <w:t> </w:t>
      </w:r>
      <w:r>
        <w:rPr/>
        <w:t>política</w:t>
      </w:r>
      <w:r>
        <w:rPr>
          <w:spacing w:val="-6"/>
        </w:rPr>
        <w:t> </w:t>
      </w:r>
      <w:r>
        <w:rPr/>
        <w:t>fiscal</w:t>
      </w:r>
      <w:r>
        <w:rPr>
          <w:spacing w:val="-3"/>
        </w:rPr>
        <w:t> </w:t>
      </w:r>
      <w:r>
        <w:rPr/>
        <w:t>es</w:t>
      </w:r>
      <w:r>
        <w:rPr>
          <w:spacing w:val="-6"/>
        </w:rPr>
        <w:t> </w:t>
      </w:r>
      <w:r>
        <w:rPr/>
        <w:t>la</w:t>
      </w:r>
      <w:r>
        <w:rPr>
          <w:spacing w:val="-6"/>
        </w:rPr>
        <w:t> </w:t>
      </w:r>
      <w:r>
        <w:rPr/>
        <w:t>evolución</w:t>
      </w:r>
      <w:r>
        <w:rPr>
          <w:spacing w:val="-4"/>
        </w:rPr>
        <w:t> </w:t>
      </w:r>
      <w:r>
        <w:rPr/>
        <w:t>decreciente</w:t>
      </w:r>
      <w:r>
        <w:rPr>
          <w:spacing w:val="-6"/>
        </w:rPr>
        <w:t> </w:t>
      </w:r>
      <w:r>
        <w:rPr/>
        <w:t>de</w:t>
      </w:r>
      <w:r>
        <w:rPr>
          <w:spacing w:val="-6"/>
        </w:rPr>
        <w:t> </w:t>
      </w:r>
      <w:r>
        <w:rPr/>
        <w:t>la recaudación</w:t>
      </w:r>
      <w:r>
        <w:rPr>
          <w:spacing w:val="-12"/>
        </w:rPr>
        <w:t> </w:t>
      </w:r>
      <w:r>
        <w:rPr/>
        <w:t>tributaria,</w:t>
      </w:r>
      <w:r>
        <w:rPr>
          <w:spacing w:val="-9"/>
        </w:rPr>
        <w:t> </w:t>
      </w:r>
      <w:r>
        <w:rPr/>
        <w:t>especialmente</w:t>
      </w:r>
      <w:r>
        <w:rPr>
          <w:spacing w:val="-8"/>
        </w:rPr>
        <w:t> </w:t>
      </w:r>
      <w:r>
        <w:rPr/>
        <w:t>si</w:t>
      </w:r>
      <w:r>
        <w:rPr>
          <w:spacing w:val="-11"/>
        </w:rPr>
        <w:t> </w:t>
      </w:r>
      <w:r>
        <w:rPr/>
        <w:t>se</w:t>
      </w:r>
      <w:r>
        <w:rPr>
          <w:spacing w:val="-11"/>
        </w:rPr>
        <w:t> </w:t>
      </w:r>
      <w:r>
        <w:rPr/>
        <w:t>tiene</w:t>
      </w:r>
      <w:r>
        <w:rPr>
          <w:spacing w:val="-10"/>
        </w:rPr>
        <w:t> </w:t>
      </w:r>
      <w:r>
        <w:rPr/>
        <w:t>en</w:t>
      </w:r>
      <w:r>
        <w:rPr>
          <w:spacing w:val="-11"/>
        </w:rPr>
        <w:t> </w:t>
      </w:r>
      <w:r>
        <w:rPr/>
        <w:t>cuenta</w:t>
      </w:r>
      <w:r>
        <w:rPr>
          <w:spacing w:val="-11"/>
        </w:rPr>
        <w:t> </w:t>
      </w:r>
      <w:r>
        <w:rPr/>
        <w:t>que</w:t>
      </w:r>
      <w:r>
        <w:rPr>
          <w:spacing w:val="-11"/>
        </w:rPr>
        <w:t> </w:t>
      </w:r>
      <w:r>
        <w:rPr/>
        <w:t>la</w:t>
      </w:r>
      <w:r>
        <w:rPr>
          <w:spacing w:val="-12"/>
        </w:rPr>
        <w:t> </w:t>
      </w:r>
      <w:r>
        <w:rPr/>
        <w:t>recaudación</w:t>
      </w:r>
      <w:r>
        <w:rPr>
          <w:spacing w:val="-11"/>
        </w:rPr>
        <w:t> </w:t>
      </w:r>
      <w:r>
        <w:rPr/>
        <w:t>tributaria</w:t>
      </w:r>
      <w:r>
        <w:rPr>
          <w:spacing w:val="-12"/>
        </w:rPr>
        <w:t> </w:t>
      </w:r>
      <w:r>
        <w:rPr/>
        <w:t>es</w:t>
      </w:r>
      <w:r>
        <w:rPr>
          <w:spacing w:val="-11"/>
        </w:rPr>
        <w:t> </w:t>
      </w:r>
      <w:r>
        <w:rPr/>
        <w:t>la</w:t>
      </w:r>
      <w:r>
        <w:rPr>
          <w:spacing w:val="-11"/>
        </w:rPr>
        <w:t> </w:t>
      </w:r>
      <w:r>
        <w:rPr/>
        <w:t>principal</w:t>
      </w:r>
    </w:p>
    <w:p>
      <w:pPr>
        <w:spacing w:after="0" w:line="278" w:lineRule="auto"/>
        <w:jc w:val="both"/>
        <w:sectPr>
          <w:pgSz w:w="12240" w:h="15840"/>
          <w:pgMar w:header="715" w:footer="957" w:top="1240" w:bottom="1140" w:left="1140" w:right="0"/>
        </w:sectPr>
      </w:pPr>
    </w:p>
    <w:p>
      <w:pPr>
        <w:pStyle w:val="BodyText"/>
        <w:spacing w:line="276" w:lineRule="auto" w:before="162"/>
        <w:ind w:left="562" w:right="1696"/>
        <w:jc w:val="both"/>
      </w:pPr>
      <w:r>
        <w:rPr/>
        <w:t>fuente</w:t>
      </w:r>
      <w:r>
        <w:rPr>
          <w:spacing w:val="-6"/>
        </w:rPr>
        <w:t> </w:t>
      </w:r>
      <w:r>
        <w:rPr/>
        <w:t>de</w:t>
      </w:r>
      <w:r>
        <w:rPr>
          <w:spacing w:val="-6"/>
        </w:rPr>
        <w:t> </w:t>
      </w:r>
      <w:r>
        <w:rPr/>
        <w:t>financiamiento</w:t>
      </w:r>
      <w:r>
        <w:rPr>
          <w:spacing w:val="-6"/>
        </w:rPr>
        <w:t> </w:t>
      </w:r>
      <w:r>
        <w:rPr/>
        <w:t>para</w:t>
      </w:r>
      <w:r>
        <w:rPr>
          <w:spacing w:val="-6"/>
        </w:rPr>
        <w:t> </w:t>
      </w:r>
      <w:r>
        <w:rPr/>
        <w:t>la</w:t>
      </w:r>
      <w:r>
        <w:rPr>
          <w:spacing w:val="-6"/>
        </w:rPr>
        <w:t> </w:t>
      </w:r>
      <w:r>
        <w:rPr/>
        <w:t>realización</w:t>
      </w:r>
      <w:r>
        <w:rPr>
          <w:spacing w:val="-6"/>
        </w:rPr>
        <w:t> </w:t>
      </w:r>
      <w:r>
        <w:rPr/>
        <w:t>de</w:t>
      </w:r>
      <w:r>
        <w:rPr>
          <w:spacing w:val="-6"/>
        </w:rPr>
        <w:t> </w:t>
      </w:r>
      <w:r>
        <w:rPr/>
        <w:t>programas,</w:t>
      </w:r>
      <w:r>
        <w:rPr>
          <w:spacing w:val="-6"/>
        </w:rPr>
        <w:t> </w:t>
      </w:r>
      <w:r>
        <w:rPr/>
        <w:t>proyectos</w:t>
      </w:r>
      <w:r>
        <w:rPr>
          <w:spacing w:val="-5"/>
        </w:rPr>
        <w:t> </w:t>
      </w:r>
      <w:r>
        <w:rPr/>
        <w:t>y</w:t>
      </w:r>
      <w:r>
        <w:rPr>
          <w:spacing w:val="-8"/>
        </w:rPr>
        <w:t> </w:t>
      </w:r>
      <w:r>
        <w:rPr/>
        <w:t>actividades,</w:t>
      </w:r>
      <w:r>
        <w:rPr>
          <w:spacing w:val="-9"/>
        </w:rPr>
        <w:t> </w:t>
      </w:r>
      <w:r>
        <w:rPr/>
        <w:t>previstas</w:t>
      </w:r>
      <w:r>
        <w:rPr>
          <w:spacing w:val="-5"/>
        </w:rPr>
        <w:t> </w:t>
      </w:r>
      <w:r>
        <w:rPr/>
        <w:t>en</w:t>
      </w:r>
      <w:r>
        <w:rPr>
          <w:spacing w:val="-6"/>
        </w:rPr>
        <w:t> </w:t>
      </w:r>
      <w:r>
        <w:rPr/>
        <w:t>cada ejercicio presupuestario. Adicionalmente, la política tributaria debe estar articulada con las acciones de la administración tributaria, dada la autonomía del ente recaudador, lo que ya plantea un desafío adicional para la implementación de las acciones que tiendan a favorecer la eficiencia y eficacia en la recaudación</w:t>
      </w:r>
      <w:r>
        <w:rPr>
          <w:spacing w:val="-4"/>
        </w:rPr>
        <w:t> </w:t>
      </w:r>
      <w:r>
        <w:rPr/>
        <w:t>tributaria.</w:t>
      </w:r>
    </w:p>
    <w:p>
      <w:pPr>
        <w:pStyle w:val="BodyText"/>
        <w:spacing w:before="3"/>
        <w:rPr>
          <w:sz w:val="25"/>
        </w:rPr>
      </w:pPr>
    </w:p>
    <w:p>
      <w:pPr>
        <w:pStyle w:val="BodyText"/>
        <w:spacing w:line="276" w:lineRule="auto"/>
        <w:ind w:left="562" w:right="1695"/>
        <w:jc w:val="both"/>
      </w:pPr>
      <w:r>
        <w:rPr/>
        <w:t>Es por ello que resulta relevante analizar el Plan Estratégico Institucional de la SAT 2021 – 2025, que fue elaborado cumpliendo con los lineamientos generales de política emitidos por la Secretaría de Planificación y Programación de la Presidencia -SEGEPLAN-, para cumplir con dichos lineamientos se llevaron a cabo las acciones siguientes:</w:t>
      </w:r>
    </w:p>
    <w:p>
      <w:pPr>
        <w:pStyle w:val="BodyText"/>
        <w:spacing w:before="2"/>
        <w:rPr>
          <w:sz w:val="25"/>
        </w:rPr>
      </w:pPr>
    </w:p>
    <w:p>
      <w:pPr>
        <w:pStyle w:val="ListParagraph"/>
        <w:numPr>
          <w:ilvl w:val="0"/>
          <w:numId w:val="26"/>
        </w:numPr>
        <w:tabs>
          <w:tab w:pos="1282" w:val="left" w:leader="none"/>
        </w:tabs>
        <w:spacing w:line="273" w:lineRule="auto" w:before="0" w:after="0"/>
        <w:ind w:left="1282" w:right="1696" w:hanging="360"/>
        <w:jc w:val="both"/>
        <w:rPr>
          <w:sz w:val="22"/>
        </w:rPr>
      </w:pPr>
      <w:r>
        <w:rPr>
          <w:sz w:val="22"/>
        </w:rPr>
        <w:t>Se incorporaron los lineamientos de la Política General de Gobierno PGG 2020–2024 en </w:t>
      </w:r>
      <w:r>
        <w:rPr>
          <w:spacing w:val="-3"/>
          <w:sz w:val="22"/>
        </w:rPr>
        <w:t>el </w:t>
      </w:r>
      <w:r>
        <w:rPr>
          <w:sz w:val="22"/>
        </w:rPr>
        <w:t>marco de competencia de la Superintendencia de Administración</w:t>
      </w:r>
      <w:r>
        <w:rPr>
          <w:spacing w:val="-15"/>
          <w:sz w:val="22"/>
        </w:rPr>
        <w:t> </w:t>
      </w:r>
      <w:r>
        <w:rPr>
          <w:sz w:val="22"/>
        </w:rPr>
        <w:t>Tributaria.</w:t>
      </w:r>
    </w:p>
    <w:p>
      <w:pPr>
        <w:pStyle w:val="ListParagraph"/>
        <w:numPr>
          <w:ilvl w:val="0"/>
          <w:numId w:val="26"/>
        </w:numPr>
        <w:tabs>
          <w:tab w:pos="1282" w:val="left" w:leader="none"/>
        </w:tabs>
        <w:spacing w:line="276" w:lineRule="auto" w:before="2" w:after="0"/>
        <w:ind w:left="1282" w:right="1697" w:hanging="360"/>
        <w:jc w:val="both"/>
        <w:rPr>
          <w:sz w:val="22"/>
        </w:rPr>
      </w:pPr>
      <w:r>
        <w:rPr>
          <w:sz w:val="22"/>
        </w:rPr>
        <w:t>Se incorporaron las prioridades nacionales de desarrollo establecidas en la Política General de Gobierno y el Plan Nacional de Desarrollo K’atun Nuestra Guatemala 2032, en el marco de su</w:t>
      </w:r>
      <w:r>
        <w:rPr>
          <w:spacing w:val="-1"/>
          <w:sz w:val="22"/>
        </w:rPr>
        <w:t> </w:t>
      </w:r>
      <w:r>
        <w:rPr>
          <w:sz w:val="22"/>
        </w:rPr>
        <w:t>competencia.</w:t>
      </w:r>
    </w:p>
    <w:p>
      <w:pPr>
        <w:pStyle w:val="ListParagraph"/>
        <w:numPr>
          <w:ilvl w:val="0"/>
          <w:numId w:val="26"/>
        </w:numPr>
        <w:tabs>
          <w:tab w:pos="1282" w:val="left" w:leader="none"/>
        </w:tabs>
        <w:spacing w:line="276" w:lineRule="auto" w:before="0" w:after="0"/>
        <w:ind w:left="1282" w:right="1700" w:hanging="360"/>
        <w:jc w:val="both"/>
        <w:rPr>
          <w:sz w:val="22"/>
        </w:rPr>
      </w:pPr>
      <w:r>
        <w:rPr>
          <w:sz w:val="22"/>
        </w:rPr>
        <w:t>Se readecuaron las estructuras funcionales, programáticas y presupuestarias, alineándolas a la Política General de Gobierno y al Plan Nacional de Desarrollo, basándose en productos y resultados que incorporen el enfoque de</w:t>
      </w:r>
      <w:r>
        <w:rPr>
          <w:spacing w:val="-6"/>
          <w:sz w:val="22"/>
        </w:rPr>
        <w:t> </w:t>
      </w:r>
      <w:r>
        <w:rPr>
          <w:sz w:val="22"/>
        </w:rPr>
        <w:t>equidad.</w:t>
      </w:r>
    </w:p>
    <w:p>
      <w:pPr>
        <w:pStyle w:val="ListParagraph"/>
        <w:numPr>
          <w:ilvl w:val="0"/>
          <w:numId w:val="26"/>
        </w:numPr>
        <w:tabs>
          <w:tab w:pos="1282" w:val="left" w:leader="none"/>
        </w:tabs>
        <w:spacing w:line="276" w:lineRule="auto" w:before="0" w:after="0"/>
        <w:ind w:left="1282" w:right="1700" w:hanging="360"/>
        <w:jc w:val="both"/>
        <w:rPr>
          <w:sz w:val="22"/>
        </w:rPr>
      </w:pPr>
      <w:r>
        <w:rPr>
          <w:sz w:val="22"/>
        </w:rPr>
        <w:t>Sistema</w:t>
      </w:r>
      <w:r>
        <w:rPr>
          <w:spacing w:val="-11"/>
          <w:sz w:val="22"/>
        </w:rPr>
        <w:t> </w:t>
      </w:r>
      <w:r>
        <w:rPr>
          <w:sz w:val="22"/>
        </w:rPr>
        <w:t>de</w:t>
      </w:r>
      <w:r>
        <w:rPr>
          <w:spacing w:val="-10"/>
          <w:sz w:val="22"/>
        </w:rPr>
        <w:t> </w:t>
      </w:r>
      <w:r>
        <w:rPr>
          <w:sz w:val="22"/>
        </w:rPr>
        <w:t>Gestión</w:t>
      </w:r>
      <w:r>
        <w:rPr>
          <w:spacing w:val="-12"/>
          <w:sz w:val="22"/>
        </w:rPr>
        <w:t> </w:t>
      </w:r>
      <w:r>
        <w:rPr>
          <w:sz w:val="22"/>
        </w:rPr>
        <w:t>de</w:t>
      </w:r>
      <w:r>
        <w:rPr>
          <w:spacing w:val="-10"/>
          <w:sz w:val="22"/>
        </w:rPr>
        <w:t> </w:t>
      </w:r>
      <w:r>
        <w:rPr>
          <w:sz w:val="22"/>
        </w:rPr>
        <w:t>Calidad</w:t>
      </w:r>
      <w:r>
        <w:rPr>
          <w:spacing w:val="-11"/>
          <w:sz w:val="22"/>
        </w:rPr>
        <w:t> </w:t>
      </w:r>
      <w:r>
        <w:rPr>
          <w:sz w:val="22"/>
        </w:rPr>
        <w:t>de</w:t>
      </w:r>
      <w:r>
        <w:rPr>
          <w:spacing w:val="-10"/>
          <w:sz w:val="22"/>
        </w:rPr>
        <w:t> </w:t>
      </w:r>
      <w:r>
        <w:rPr>
          <w:sz w:val="22"/>
        </w:rPr>
        <w:t>los</w:t>
      </w:r>
      <w:r>
        <w:rPr>
          <w:spacing w:val="-11"/>
          <w:sz w:val="22"/>
        </w:rPr>
        <w:t> </w:t>
      </w:r>
      <w:r>
        <w:rPr>
          <w:sz w:val="22"/>
        </w:rPr>
        <w:t>macroprocesos,</w:t>
      </w:r>
      <w:r>
        <w:rPr>
          <w:spacing w:val="-10"/>
          <w:sz w:val="22"/>
        </w:rPr>
        <w:t> </w:t>
      </w:r>
      <w:r>
        <w:rPr>
          <w:sz w:val="22"/>
        </w:rPr>
        <w:t>procesos</w:t>
      </w:r>
      <w:r>
        <w:rPr>
          <w:spacing w:val="-11"/>
          <w:sz w:val="22"/>
        </w:rPr>
        <w:t> </w:t>
      </w:r>
      <w:r>
        <w:rPr>
          <w:sz w:val="22"/>
        </w:rPr>
        <w:t>y</w:t>
      </w:r>
      <w:r>
        <w:rPr>
          <w:spacing w:val="-13"/>
          <w:sz w:val="22"/>
        </w:rPr>
        <w:t> </w:t>
      </w:r>
      <w:r>
        <w:rPr>
          <w:sz w:val="22"/>
        </w:rPr>
        <w:t>subprocesos</w:t>
      </w:r>
      <w:r>
        <w:rPr>
          <w:spacing w:val="-12"/>
          <w:sz w:val="22"/>
        </w:rPr>
        <w:t> </w:t>
      </w:r>
      <w:r>
        <w:rPr>
          <w:sz w:val="22"/>
        </w:rPr>
        <w:t>institucionales, para ordenar la gestión institucional y el Plan Nacional de Desarrollo, en el ámbito de sus competencias.</w:t>
      </w:r>
    </w:p>
    <w:p>
      <w:pPr>
        <w:pStyle w:val="BodyText"/>
        <w:spacing w:before="7"/>
        <w:rPr>
          <w:sz w:val="24"/>
        </w:rPr>
      </w:pPr>
    </w:p>
    <w:p>
      <w:pPr>
        <w:pStyle w:val="BodyText"/>
        <w:spacing w:line="276" w:lineRule="auto"/>
        <w:ind w:left="562" w:right="1699"/>
        <w:jc w:val="both"/>
      </w:pPr>
      <w:r>
        <w:rPr/>
        <w:t>La</w:t>
      </w:r>
      <w:r>
        <w:rPr>
          <w:spacing w:val="-6"/>
        </w:rPr>
        <w:t> </w:t>
      </w:r>
      <w:r>
        <w:rPr/>
        <w:t>Planificación</w:t>
      </w:r>
      <w:r>
        <w:rPr>
          <w:spacing w:val="-7"/>
        </w:rPr>
        <w:t> </w:t>
      </w:r>
      <w:r>
        <w:rPr/>
        <w:t>Estratégica</w:t>
      </w:r>
      <w:r>
        <w:rPr>
          <w:spacing w:val="-5"/>
        </w:rPr>
        <w:t> </w:t>
      </w:r>
      <w:r>
        <w:rPr/>
        <w:t>y</w:t>
      </w:r>
      <w:r>
        <w:rPr>
          <w:spacing w:val="-7"/>
        </w:rPr>
        <w:t> </w:t>
      </w:r>
      <w:r>
        <w:rPr/>
        <w:t>Operativa</w:t>
      </w:r>
      <w:r>
        <w:rPr>
          <w:spacing w:val="-4"/>
        </w:rPr>
        <w:t> </w:t>
      </w:r>
      <w:r>
        <w:rPr/>
        <w:t>está</w:t>
      </w:r>
      <w:r>
        <w:rPr>
          <w:spacing w:val="-8"/>
        </w:rPr>
        <w:t> </w:t>
      </w:r>
      <w:r>
        <w:rPr/>
        <w:t>basada</w:t>
      </w:r>
      <w:r>
        <w:rPr>
          <w:spacing w:val="-6"/>
        </w:rPr>
        <w:t> </w:t>
      </w:r>
      <w:r>
        <w:rPr/>
        <w:t>en</w:t>
      </w:r>
      <w:r>
        <w:rPr>
          <w:spacing w:val="-6"/>
        </w:rPr>
        <w:t> </w:t>
      </w:r>
      <w:r>
        <w:rPr/>
        <w:t>seis</w:t>
      </w:r>
      <w:r>
        <w:rPr>
          <w:spacing w:val="-7"/>
        </w:rPr>
        <w:t> </w:t>
      </w:r>
      <w:r>
        <w:rPr/>
        <w:t>(6)</w:t>
      </w:r>
      <w:r>
        <w:rPr>
          <w:spacing w:val="-4"/>
        </w:rPr>
        <w:t> </w:t>
      </w:r>
      <w:r>
        <w:rPr/>
        <w:t>Objetivos</w:t>
      </w:r>
      <w:r>
        <w:rPr>
          <w:spacing w:val="-5"/>
        </w:rPr>
        <w:t> </w:t>
      </w:r>
      <w:r>
        <w:rPr/>
        <w:t>Estratégicos</w:t>
      </w:r>
      <w:r>
        <w:rPr>
          <w:spacing w:val="-4"/>
        </w:rPr>
        <w:t> </w:t>
      </w:r>
      <w:r>
        <w:rPr/>
        <w:t>y</w:t>
      </w:r>
      <w:r>
        <w:rPr>
          <w:spacing w:val="-8"/>
        </w:rPr>
        <w:t> </w:t>
      </w:r>
      <w:r>
        <w:rPr/>
        <w:t>dos</w:t>
      </w:r>
      <w:r>
        <w:rPr>
          <w:spacing w:val="-7"/>
        </w:rPr>
        <w:t> </w:t>
      </w:r>
      <w:r>
        <w:rPr/>
        <w:t>(2)</w:t>
      </w:r>
      <w:r>
        <w:rPr>
          <w:spacing w:val="-4"/>
        </w:rPr>
        <w:t> </w:t>
      </w:r>
      <w:r>
        <w:rPr/>
        <w:t>Ejes transversales.</w:t>
      </w:r>
    </w:p>
    <w:p>
      <w:pPr>
        <w:pStyle w:val="BodyText"/>
        <w:spacing w:before="5"/>
        <w:rPr>
          <w:sz w:val="25"/>
        </w:rPr>
      </w:pPr>
    </w:p>
    <w:p>
      <w:pPr>
        <w:pStyle w:val="BodyText"/>
        <w:spacing w:line="276" w:lineRule="auto"/>
        <w:ind w:left="562" w:right="1704"/>
        <w:jc w:val="both"/>
      </w:pPr>
      <w:r>
        <w:rPr/>
        <w:t>Los Objetivos Estratégicos de la Administración Tributaria son accionados a través de dos (2) Ejes Transversales de trabajo: Respeto a los derechos de los contribuyentes y Comunicación estratégica.</w:t>
      </w:r>
    </w:p>
    <w:p>
      <w:pPr>
        <w:spacing w:after="0" w:line="276" w:lineRule="auto"/>
        <w:jc w:val="both"/>
        <w:sectPr>
          <w:pgSz w:w="12240" w:h="15840"/>
          <w:pgMar w:header="715" w:footer="957" w:top="1240" w:bottom="1140" w:left="1140" w:right="0"/>
        </w:sectPr>
      </w:pPr>
    </w:p>
    <w:p>
      <w:pPr>
        <w:spacing w:before="169"/>
        <w:ind w:left="1395" w:right="2538" w:firstLine="0"/>
        <w:jc w:val="center"/>
        <w:rPr>
          <w:b/>
          <w:sz w:val="20"/>
        </w:rPr>
      </w:pPr>
      <w:r>
        <w:rPr/>
        <w:drawing>
          <wp:anchor distT="0" distB="0" distL="0" distR="0" allowOverlap="1" layoutInCell="1" locked="0" behindDoc="0" simplePos="0" relativeHeight="1331">
            <wp:simplePos x="0" y="0"/>
            <wp:positionH relativeFrom="page">
              <wp:posOffset>2142744</wp:posOffset>
            </wp:positionH>
            <wp:positionV relativeFrom="paragraph">
              <wp:posOffset>274649</wp:posOffset>
            </wp:positionV>
            <wp:extent cx="3471777" cy="3219450"/>
            <wp:effectExtent l="0" t="0" r="0" b="0"/>
            <wp:wrapTopAndBottom/>
            <wp:docPr id="97" name="image259.jpeg"/>
            <wp:cNvGraphicFramePr>
              <a:graphicFrameLocks noChangeAspect="1"/>
            </wp:cNvGraphicFramePr>
            <a:graphic>
              <a:graphicData uri="http://schemas.openxmlformats.org/drawingml/2006/picture">
                <pic:pic>
                  <pic:nvPicPr>
                    <pic:cNvPr id="98" name="image259.jpeg"/>
                    <pic:cNvPicPr/>
                  </pic:nvPicPr>
                  <pic:blipFill>
                    <a:blip r:embed="rId265" cstate="print"/>
                    <a:stretch>
                      <a:fillRect/>
                    </a:stretch>
                  </pic:blipFill>
                  <pic:spPr>
                    <a:xfrm>
                      <a:off x="0" y="0"/>
                      <a:ext cx="3471777" cy="3219450"/>
                    </a:xfrm>
                    <a:prstGeom prst="rect">
                      <a:avLst/>
                    </a:prstGeom>
                  </pic:spPr>
                </pic:pic>
              </a:graphicData>
            </a:graphic>
          </wp:anchor>
        </w:drawing>
      </w:r>
      <w:bookmarkStart w:name="_bookmark187" w:id="240"/>
      <w:bookmarkEnd w:id="240"/>
      <w:r>
        <w:rPr/>
      </w:r>
      <w:r>
        <w:rPr>
          <w:b/>
          <w:i/>
          <w:sz w:val="18"/>
        </w:rPr>
        <w:t>Gráfico 96. </w:t>
      </w:r>
      <w:r>
        <w:rPr>
          <w:b/>
          <w:sz w:val="20"/>
        </w:rPr>
        <w:t>Plan Estratégico Institucional</w:t>
      </w:r>
    </w:p>
    <w:p>
      <w:pPr>
        <w:spacing w:before="23"/>
        <w:ind w:left="2686" w:right="0" w:firstLine="0"/>
        <w:jc w:val="left"/>
        <w:rPr>
          <w:sz w:val="16"/>
        </w:rPr>
      </w:pPr>
      <w:r>
        <w:rPr>
          <w:sz w:val="16"/>
        </w:rPr>
        <w:t>Fuente: PEI SAT 2018 – 2023</w:t>
      </w:r>
    </w:p>
    <w:p>
      <w:pPr>
        <w:pStyle w:val="BodyText"/>
        <w:rPr>
          <w:sz w:val="18"/>
        </w:rPr>
      </w:pPr>
    </w:p>
    <w:p>
      <w:pPr>
        <w:pStyle w:val="BodyText"/>
        <w:spacing w:before="107"/>
        <w:ind w:left="562"/>
      </w:pPr>
      <w:r>
        <w:rPr/>
        <w:t>La ejecución de las Estrategias y Acciones contenidas en los Objetivos Estratégicos, se basan en cinco</w:t>
      </w:r>
    </w:p>
    <w:p>
      <w:pPr>
        <w:pStyle w:val="BodyText"/>
        <w:spacing w:before="38"/>
        <w:ind w:left="562"/>
      </w:pPr>
      <w:r>
        <w:rPr/>
        <w:t>(5) pilares de trabajo:</w:t>
      </w:r>
    </w:p>
    <w:p>
      <w:pPr>
        <w:pStyle w:val="BodyText"/>
        <w:spacing w:before="3"/>
        <w:rPr>
          <w:sz w:val="29"/>
        </w:rPr>
      </w:pPr>
    </w:p>
    <w:p>
      <w:pPr>
        <w:spacing w:before="0"/>
        <w:ind w:left="1395" w:right="2537" w:firstLine="0"/>
        <w:jc w:val="center"/>
        <w:rPr>
          <w:b/>
          <w:sz w:val="20"/>
        </w:rPr>
      </w:pPr>
      <w:bookmarkStart w:name="_bookmark188" w:id="241"/>
      <w:bookmarkEnd w:id="241"/>
      <w:r>
        <w:rPr/>
      </w:r>
      <w:r>
        <w:rPr>
          <w:b/>
          <w:i/>
          <w:sz w:val="20"/>
        </w:rPr>
        <w:t>Gráfico 97. </w:t>
      </w:r>
      <w:r>
        <w:rPr>
          <w:b/>
          <w:sz w:val="20"/>
        </w:rPr>
        <w:t>Pilares del Plan Estratégico Institucional</w:t>
      </w:r>
    </w:p>
    <w:p>
      <w:pPr>
        <w:pStyle w:val="BodyText"/>
        <w:rPr>
          <w:b/>
          <w:sz w:val="19"/>
        </w:rPr>
      </w:pPr>
      <w:r>
        <w:rPr/>
        <w:drawing>
          <wp:anchor distT="0" distB="0" distL="0" distR="0" allowOverlap="1" layoutInCell="1" locked="0" behindDoc="0" simplePos="0" relativeHeight="1332">
            <wp:simplePos x="0" y="0"/>
            <wp:positionH relativeFrom="page">
              <wp:posOffset>2451841</wp:posOffset>
            </wp:positionH>
            <wp:positionV relativeFrom="paragraph">
              <wp:posOffset>164082</wp:posOffset>
            </wp:positionV>
            <wp:extent cx="2870930" cy="3200400"/>
            <wp:effectExtent l="0" t="0" r="0" b="0"/>
            <wp:wrapTopAndBottom/>
            <wp:docPr id="99" name="image260.png"/>
            <wp:cNvGraphicFramePr>
              <a:graphicFrameLocks noChangeAspect="1"/>
            </wp:cNvGraphicFramePr>
            <a:graphic>
              <a:graphicData uri="http://schemas.openxmlformats.org/drawingml/2006/picture">
                <pic:pic>
                  <pic:nvPicPr>
                    <pic:cNvPr id="100" name="image260.png"/>
                    <pic:cNvPicPr/>
                  </pic:nvPicPr>
                  <pic:blipFill>
                    <a:blip r:embed="rId266" cstate="print"/>
                    <a:stretch>
                      <a:fillRect/>
                    </a:stretch>
                  </pic:blipFill>
                  <pic:spPr>
                    <a:xfrm>
                      <a:off x="0" y="0"/>
                      <a:ext cx="2870930" cy="3200400"/>
                    </a:xfrm>
                    <a:prstGeom prst="rect">
                      <a:avLst/>
                    </a:prstGeom>
                  </pic:spPr>
                </pic:pic>
              </a:graphicData>
            </a:graphic>
          </wp:anchor>
        </w:drawing>
      </w:r>
    </w:p>
    <w:p>
      <w:pPr>
        <w:spacing w:before="171"/>
        <w:ind w:left="3003" w:right="0" w:firstLine="0"/>
        <w:jc w:val="left"/>
        <w:rPr>
          <w:sz w:val="16"/>
        </w:rPr>
      </w:pPr>
      <w:r>
        <w:rPr>
          <w:sz w:val="16"/>
        </w:rPr>
        <w:t>Fuente: PEI SAT 2018 – 2023</w:t>
      </w:r>
    </w:p>
    <w:p>
      <w:pPr>
        <w:spacing w:after="0"/>
        <w:jc w:val="left"/>
        <w:rPr>
          <w:sz w:val="16"/>
        </w:rPr>
        <w:sectPr>
          <w:pgSz w:w="12240" w:h="15840"/>
          <w:pgMar w:header="715" w:footer="957" w:top="1240" w:bottom="1140" w:left="1140" w:right="0"/>
        </w:sectPr>
      </w:pPr>
    </w:p>
    <w:p>
      <w:pPr>
        <w:pStyle w:val="Heading3"/>
        <w:spacing w:line="276" w:lineRule="auto" w:before="167"/>
        <w:ind w:left="4515" w:right="1704" w:hanging="3649"/>
      </w:pPr>
      <w:r>
        <w:rPr/>
        <w:pict>
          <v:group style="position:absolute;margin-left:67.559998pt;margin-top:43.815002pt;width:463.85pt;height:227.3pt;mso-position-horizontal-relative:page;mso-position-vertical-relative:paragraph;z-index:-250275840;mso-wrap-distance-left:0;mso-wrap-distance-right:0" coordorigin="1351,876" coordsize="9277,4546">
            <v:shape style="position:absolute;left:4535;top:878;width:2542;height:353" type="#_x0000_t75" stroked="false">
              <v:imagedata r:id="rId267" o:title=""/>
            </v:shape>
            <v:shape style="position:absolute;left:2851;top:876;width:5869;height:1532" type="#_x0000_t75" stroked="false">
              <v:imagedata r:id="rId268" o:title=""/>
            </v:shape>
            <v:line style="position:absolute" from="2180,2533" to="5195,2531" stroked="true" strokeweight=".26306pt" strokecolor="#5b9bd4">
              <v:stroke dashstyle="solid"/>
            </v:line>
            <v:shape style="position:absolute;left:5163;top:2383;width:59;height:153" coordorigin="5163,2384" coordsize="59,153" path="m5195,2427l5190,2427,5190,2536,5195,2536,5195,2427xm5193,2384l5163,2436,5190,2436,5190,2427,5217,2427,5193,2384xm5217,2427l5195,2427,5195,2436,5222,2436,5217,2427xe" filled="true" fillcolor="#5b9bd4" stroked="false">
              <v:path arrowok="t"/>
              <v:fill type="solid"/>
            </v:shape>
            <v:shape style="position:absolute;left:1415;top:2870;width:2030;height:437" coordorigin="1415,2870" coordsize="2030,437" path="m3364,2870l1496,2870,1464,2876,1439,2892,1421,2915,1415,2943,1415,3234,1421,3263,1439,3286,1464,3301,1496,3307,3364,3307,3396,3301,3421,3286,3439,3263,3445,3234,3445,2943,3439,2915,3421,2892,3396,2876,3364,2870xe" filled="true" fillcolor="#5b9bd4" stroked="false">
              <v:path arrowok="t"/>
              <v:fill type="solid"/>
            </v:shape>
            <v:shape style="position:absolute;left:1409;top:2865;width:2042;height:448" coordorigin="1409,2865" coordsize="2042,448" path="m3365,2865l1495,2865,1487,2865,1478,2867,1470,2869,1462,2871,1455,2875,1447,2878,1441,2883,1435,2888,1429,2894,1424,2900,1420,2906,1416,2913,1413,2920,1411,2927,1410,2935,1409,2943,1409,3234,1410,3242,1411,3250,1413,3258,1416,3265,1420,3271,1424,3278,1429,3284,1435,3289,1441,3295,1447,3299,1455,3303,1462,3306,1470,3309,1478,3311,1487,3312,1495,3312,3365,3312,3373,3312,3382,3311,3390,3309,3398,3306,3406,3303,3408,3302,1496,3302,1489,3301,1488,3301,1480,3300,1481,3300,1474,3299,1474,3299,1466,3296,1466,3296,1460,3294,1460,3294,1454,3290,1448,3287,1448,3287,1443,3282,1443,3282,1438,3277,1438,3277,1434,3272,1434,3272,1430,3267,1430,3267,1427,3261,1427,3261,1424,3255,1424,3255,1423,3248,1423,3248,1422,3242,1421,3241,1421,3234,1421,2943,1421,2937,1421,2937,1422,2930,1422,2930,1424,2923,1424,2923,1427,2917,1427,2917,1430,2911,1430,2911,1434,2906,1434,2906,1434,2905,1434,2905,1438,2900,1438,2900,1443,2896,1443,2896,1448,2891,1448,2891,1454,2887,1454,2887,1460,2884,1460,2884,1466,2881,1466,2881,1473,2879,1473,2879,1474,2879,1474,2879,1480,2877,1480,2877,1488,2876,1489,2876,1496,2876,3408,2876,3406,2875,3398,2871,3390,2869,3382,2867,3373,2865,3365,2865xm3364,3302l1496,3302,1496,3302,3364,3302,3364,3302xm3372,3301l3364,3302,3408,3302,3408,3301,3372,3301,3372,3301xm1488,3301l1488,3301,1489,3301,1488,3301xm3410,3300l3380,3300,3372,3301,3408,3301,3410,3300xm1481,3300l1481,3300,1481,3300,1481,3300xm3387,3299l3379,3300,3380,3300,3410,3300,3413,3299,3386,3299,3387,3299xm1481,3300l1480,3300,1481,3300,1481,3300xm1473,3299l1474,3299,1474,3299,1473,3299xm3417,3296l3394,3296,3386,3299,3413,3299,3417,3296xm1467,3297l1467,3297,1467,3297,1467,3297xm1466,3296l1466,3296,1467,3297,1466,3296xm3420,3294l3400,3294,3393,3296,3394,3296,3417,3296,3419,3294,3420,3294xm3425,3290l3406,3290,3400,3294,3400,3294,3420,3294,3425,3290xm1460,3294l1460,3294,1460,3294,1460,3294xm3429,3286l3412,3286,3406,3290,3406,3290,3425,3290,3425,3289,3429,3286xm1454,3290l1454,3290,1454,3290,1454,3290xm1454,3290l1454,3290,1454,3290,1454,3290xm1448,3286l1448,3287,1448,3287,1448,3286xm3433,3282l3417,3282,3417,3282,3417,3282,3412,3286,3412,3286,3429,3286,3431,3284,3433,3282xm1448,3286l1448,3286,1448,3286,1448,3286xm1443,3282l1443,3282,1443,3282,1443,3282xm3417,3282l3417,3282,3417,3282,3417,3282xm1443,3282l1443,3282,1443,3282,1443,3282xm3437,3277l3422,3277,3422,3277,3422,3277,3417,3282,3417,3282,3433,3282,3436,3278,3437,3277xm1438,3277l1438,3277,1438,3277,1438,3277xm3422,3277l3422,3277,3422,3277,3422,3277xm3440,3272l3426,3272,3422,3277,3422,3277,3437,3277,3440,3272xm1434,3272l1434,3272,1434,3272,1434,3272xm3443,3266l3430,3266,3426,3272,3426,3272,3440,3272,3440,3271,3443,3266xm1430,3266l1430,3267,1430,3267,1430,3266xm3446,3260l3433,3260,3430,3267,3430,3266,3443,3266,3444,3265,3446,3260xm1430,3266l1430,3266,1430,3266,1430,3266xm1427,3261l1427,3261,1427,3261,1427,3261xm3448,3254l3436,3254,3433,3261,3433,3260,3446,3260,3447,3257,3448,3254xm1427,3260l1427,3260,1427,3261,1427,3260xm1424,3254l1424,3255,1424,3255,1424,3254xm3451,2943l3439,2943,3439,3234,3439,3241,3439,3241,3438,3248,3437,3248,3436,3255,3436,3254,3448,3254,3449,3250,3450,3242,3451,3234,3451,2943xm1424,3254l1424,3254,1424,3254,1424,3254xm3438,3248l3437,3248,3438,3248,3438,3248xm1423,3248l1423,3248,1423,3248,1423,3248xm1422,3248l1422,3248,1423,3248,1422,3248xm1421,3241l1421,3241,1421,3241,1421,3241xm3439,3241l3439,3241,3439,3241,3439,3241xm1421,3241l1421,3241,1421,3241,1421,3241xm3439,3234l3439,3234,3439,3234,3439,3234xm1421,3234l1421,3234,1421,3234,1421,3234xm1421,2943l1421,2943,1421,2943,1421,2943xm3450,2936l3439,2936,3439,2943,3439,2943,3451,2943,3450,2936xm1421,2943l1421,2943,1421,2943,1421,2943xm1421,2936l1421,2937,1421,2937,1421,2936xm3449,2929l3438,2929,3439,2937,3439,2936,3450,2936,3450,2935,3449,2929xm1421,2936l1421,2936,1421,2936,1421,2936xm3443,2911l3430,2911,3430,2911,3430,2911,3433,2917,3433,2917,3436,2923,3436,2923,3438,2930,3438,2929,3449,2929,3449,2927,3447,2920,3444,2913,3443,2911xm1423,2929l1422,2930,1423,2930,1423,2929xm1424,2923l1424,2923,1424,2923,1424,2923xm3436,2923l3436,2923,3436,2923,3436,2923xm1427,2917l1427,2917,1427,2917,1427,2917xm3433,2917l3433,2917,3433,2917,3433,2917xm1427,2917l1427,2917,1427,2917,1427,2917xm3430,2911l3430,2911,3430,2911,3430,2911xm3440,2905l3426,2905,3430,2911,3430,2911,3443,2911,3440,2906,3440,2905xm1430,2911l1430,2911,1430,2911,1430,2911xm3424,2887l3406,2887,3412,2891,3412,2891,3417,2896,3417,2896,3422,2900,3422,2900,3426,2906,3426,2905,3440,2905,3436,2900,3431,2894,3425,2888,3424,2887xm1434,2905l1434,2905,1434,2906,1434,2905xm1438,2900l1438,2900,1438,2900,1438,2900xm3422,2900l3422,2900,3422,2900,3422,2900xm1438,2900l1438,2900,1438,2900,1438,2900xm1443,2895l1443,2896,1443,2896,1443,2895xm3417,2895l3417,2896,3417,2896,3417,2895xm1448,2891l1448,2891,1448,2891,1448,2891xm3412,2891l3412,2891,3412,2891,3412,2891xm1454,2887l1454,2887,1454,2887,1454,2887xm3420,2884l3400,2884,3406,2887,3406,2887,3424,2887,3420,2884xm1460,2884l1460,2884,1460,2884,1460,2884xm3413,2879l3386,2879,3394,2881,3394,2881,3400,2884,3400,2884,3420,2884,3419,2883,3413,2879xm1467,2881l1466,2881,1466,2881,1467,2881xm3393,2881l3394,2881,3394,2881,3393,2881xm3410,2877l3379,2877,3380,2877,3380,2877,3387,2879,3386,2879,3413,2879,3413,2878,3410,2877xm1474,2879l1474,2879,1473,2879,1474,2879xm1481,2877l1480,2877,1480,2877,1481,2877xm3379,2877l3380,2877,3380,2877,3379,2877xm3408,2876l3372,2876,3379,2877,3379,2877,3410,2877,3408,2876xm1489,2876l1488,2876,1488,2876,1489,2876xm3408,2876l3364,2876,3372,2876,3372,2876,3408,2876,3408,2876xe" filled="true" fillcolor="#41709c" stroked="false">
              <v:path arrowok="t"/>
              <v:fill type="solid"/>
            </v:shape>
            <v:line style="position:absolute" from="2180,2531" to="2180,2872" stroked="true" strokeweight=".290789pt" strokecolor="#5b9bd4">
              <v:stroke dashstyle="solid"/>
            </v:line>
            <v:shape style="position:absolute;left:3817;top:2870;width:1850;height:437" coordorigin="3817,2870" coordsize="1850,437" path="m5586,2870l3898,2870,3866,2876,3841,2892,3823,2915,3817,2943,3817,3234,3823,3263,3841,3286,3866,3301,3898,3307,5586,3307,5617,3301,5643,3286,5660,3263,5667,3234,5667,2943,5660,2915,5643,2892,5617,2876,5586,2870xe" filled="true" fillcolor="#5b9bd4" stroked="false">
              <v:path arrowok="t"/>
              <v:fill type="solid"/>
            </v:shape>
            <v:shape style="position:absolute;left:3811;top:2865;width:1862;height:448" coordorigin="3811,2865" coordsize="1862,448" path="m5586,2865l3897,2865,3889,2865,3880,2867,3872,2869,3864,2871,3856,2875,3849,2878,3843,2883,3837,2888,3831,2894,3826,2900,3822,2906,3818,2913,3815,2920,3813,2927,3812,2935,3811,2943,3811,3234,3812,3242,3813,3250,3815,3258,3818,3265,3822,3271,3826,3278,3831,3284,3837,3289,3843,3295,3849,3299,3856,3303,3864,3306,3872,3309,3880,3311,3889,3312,3897,3312,5586,3312,5595,3312,5603,3311,5612,3309,5620,3306,5627,3303,5629,3302,3898,3302,3891,3301,3890,3301,3882,3300,3882,3300,3876,3299,3876,3299,3869,3296,3868,3296,3862,3294,3862,3294,3856,3290,3856,3290,3850,3287,3850,3287,3850,3286,3850,3286,3845,3282,3845,3282,3840,3277,3840,3277,3836,3272,3836,3272,3832,3267,3832,3267,3829,3260,3829,3260,3826,3255,3825,3248,3824,3248,3823,3241,3823,3241,3823,3234,3823,2943,3823,2937,3824,2935,3824,2930,3824,2930,3826,2923,3826,2923,3829,2917,3829,2917,3832,2911,3832,2911,3836,2905,3836,2905,3840,2900,3840,2900,3845,2896,3845,2896,3850,2891,3850,2891,3856,2887,3856,2887,3862,2884,3862,2884,3862,2884,3862,2884,3868,2881,3868,2881,3875,2879,3875,2879,3876,2879,3876,2879,3882,2877,3882,2877,3890,2876,3891,2876,3898,2876,5629,2876,5627,2875,5620,2871,5612,2869,5603,2867,5595,2865,5586,2865xm5586,3302l3898,3302,3898,3302,5586,3302,5586,3302xm5594,3301l5586,3302,5629,3302,5630,3301,5594,3301,5594,3301xm3890,3301l3890,3301,3891,3301,3890,3301xm5632,3300l5601,3300,5594,3301,5630,3301,5632,3300xm3883,3300l3883,3300,3883,3300,3883,3300xm5609,3299l5601,3300,5601,3300,5632,3300,5634,3299,5608,3299,5609,3299xm3882,3300l3882,3300,3883,3300,3882,3300xm3875,3299l3876,3299,3876,3299,3875,3299xm5638,3296l5615,3296,5608,3299,5634,3299,5638,3296xm3868,3296l3868,3296,3869,3297,3868,3296xm5642,3294l5622,3294,5615,3296,5615,3296,5638,3296,5641,3294,5642,3294xm5646,3290l5628,3290,5621,3294,5622,3294,5642,3294,5646,3290xm3862,3294l3862,3294,3862,3294,3862,3294xm5650,3286l5634,3286,5628,3290,5628,3290,5646,3290,5647,3289,5650,3286xm3856,3290l3856,3290,3856,3290,3856,3290xm3850,3286l3850,3287,3850,3287,3850,3286xm5654,3282l5639,3282,5639,3282,5639,3282,5633,3286,5634,3286,5650,3286,5653,3284,5654,3282xm3850,3286l3850,3286,3850,3286,3850,3286xm3845,3282l3845,3282,3845,3282,3845,3282xm5639,3282l5639,3282,5639,3282,5639,3282xm3845,3282l3845,3282,3845,3282,3845,3282xm5658,3277l5644,3277,5644,3277,5643,3277,5639,3282,5639,3282,5654,3282,5658,3278,5658,3277xm3840,3277l3840,3277,3840,3277,3840,3277xm5644,3277l5643,3277,5644,3277,5644,3277xm5662,3272l5648,3272,5644,3277,5644,3277,5658,3277,5662,3272xm3836,3272l3836,3272,3836,3272,3836,3272xm5665,3266l5652,3266,5648,3272,5648,3272,5662,3272,5662,3271,5665,3266xm3832,3266l3832,3267,3832,3267,3832,3266xm5667,3260l5655,3260,5652,3267,5652,3266,5665,3266,5666,3265,5667,3260xm3829,3260l3829,3260,3829,3261,3829,3260xm5669,3254l5657,3254,5655,3261,5655,3260,5667,3260,5668,3257,5669,3254xm3826,3254l3826,3255,3826,3255,3826,3254xm5672,2943l5661,2943,5661,3234,5660,3241,5660,3241,5659,3248,5659,3248,5657,3255,5657,3254,5669,3254,5671,3250,5672,3242,5672,3234,5672,2943xm3826,3254l3826,3254,3826,3254,3826,3254xm5659,3248l5659,3248,5659,3248,5659,3248xm3824,3248l3824,3248,3825,3248,3824,3248xm3823,3241l3823,3241,3823,3241,3823,3241xm5660,3241l5660,3241,5660,3241,5660,3241xm5661,3234l5661,3234,5661,3234,5661,3234xm3823,2943l3823,2943,3823,2943,3823,2943xm5672,2936l5660,2936,5661,2943,5661,2943,5672,2943,5672,2936xm3823,2936l3823,2936,3823,2937,3823,2936xm5671,2929l5659,2929,5660,2937,5660,2936,5672,2936,5672,2935,5671,2929xm5664,2911l5652,2911,5652,2911,5652,2911,5655,2917,5655,2917,5657,2923,5657,2923,5659,2930,5659,2929,5671,2929,5671,2927,5668,2920,5666,2913,5664,2911xm3825,2929l3824,2930,3824,2930,3825,2929xm3826,2923l3826,2923,3826,2923,3826,2923xm5657,2923l5657,2923,5657,2923,5657,2923xm3829,2917l3829,2917,3829,2917,3829,2917xm5655,2917l5655,2917,5655,2917,5655,2917xm5652,2911l5652,2911,5652,2911,5652,2911xm5661,2905l5648,2905,5652,2911,5652,2911,5664,2911,5662,2906,5661,2905xm3832,2911l3832,2911,3832,2911,3832,2911xm3836,2905l3836,2905,3836,2906,3836,2905xm5646,2887l5628,2887,5634,2891,5634,2891,5639,2896,5639,2896,5644,2900,5644,2900,5648,2906,5648,2905,5661,2905,5658,2900,5653,2894,5647,2888,5646,2887xm3840,2900l3840,2900,3840,2900,3840,2900xm5643,2900l5644,2900,5644,2900,5643,2900xm3845,2895l3845,2896,3845,2896,3845,2895xm5639,2895l5639,2896,5639,2896,5639,2895xm3850,2891l3850,2891,3850,2891,3850,2891xm5633,2891l5634,2891,5634,2891,5633,2891xm3856,2887l3856,2887,3856,2887,3856,2887xm5642,2884l5621,2884,5628,2887,5628,2887,5646,2887,5642,2884xm5635,2879l5608,2879,5615,2881,5615,2881,5622,2884,5621,2884,5642,2884,5641,2883,5635,2879xm3862,2884l3862,2884,3862,2884,3862,2884xm3869,2881l3868,2881,3868,2881,3869,2881xm5615,2881l5615,2881,5615,2881,5615,2881xm5632,2877l5601,2877,5601,2877,5601,2877,5609,2879,5608,2879,5635,2879,5634,2878,5632,2877xm3876,2879l3876,2879,3875,2879,3876,2879xm3883,2877l3882,2877,3882,2877,3883,2877xm5601,2877l5601,2877,5601,2877,5601,2877xm5630,2876l5593,2876,5601,2877,5601,2877,5632,2877,5630,2876xm3891,2876l3890,2876,3890,2876,3891,2876xm5629,2876l5586,2876,5594,2876,5593,2876,5630,2876,5629,2876xe" filled="true" fillcolor="#41709c" stroked="false">
              <v:path arrowok="t"/>
              <v:fill type="solid"/>
            </v:shape>
            <v:line style="position:absolute" from="4745,2870" to="4745,2699" stroked="true" strokeweight=".290789pt" strokecolor="#5b9bd4">
              <v:stroke dashstyle="solid"/>
            </v:line>
            <v:line style="position:absolute" from="4745,2699" to="5809,2699" stroked="true" strokeweight=".26306pt" strokecolor="#5b9bd4">
              <v:stroke dashstyle="solid"/>
            </v:line>
            <v:shape style="position:absolute;left:5779;top:2404;width:59;height:297" coordorigin="5780,2405" coordsize="59,297" path="m5812,2449l5806,2449,5806,2701,5812,2701,5812,2449xm5809,2405l5780,2457,5806,2457,5806,2449,5833,2449,5809,2405xm5833,2449l5812,2449,5812,2457,5838,2457,5833,2449xe" filled="true" fillcolor="#5b9bd4" stroked="false">
              <v:path arrowok="t"/>
              <v:fill type="solid"/>
            </v:shape>
            <v:shape style="position:absolute;left:6440;top:2875;width:1786;height:432" coordorigin="6440,2876" coordsize="1786,432" path="m8146,2876l6519,2876,6489,2881,6463,2897,6446,2920,6440,2947,6440,3235,6446,3263,6463,3286,6489,3301,6519,3307,8146,3307,8177,3301,8202,3286,8219,3263,8225,3235,8225,2947,8219,2920,8202,2897,8177,2881,8146,2876xe" filled="true" fillcolor="#5b9bd4" stroked="false">
              <v:path arrowok="t"/>
              <v:fill type="solid"/>
            </v:shape>
            <v:shape style="position:absolute;left:6434;top:2870;width:1798;height:442" coordorigin="6434,2870" coordsize="1798,442" path="m8146,2870l6519,2870,6511,2871,6502,2872,6494,2874,6486,2876,6479,2880,6472,2884,6465,2888,6459,2893,6454,2898,6449,2904,6444,2911,6441,2917,6438,2925,6436,2932,6435,2940,6434,2947,6434,3235,6435,3243,6436,3251,6438,3258,6441,3265,6444,3272,6449,3278,6454,3284,6459,3290,6465,3295,6472,3299,6479,3303,6486,3306,6494,3309,6502,3311,6511,3312,6519,3312,8146,3312,8155,3312,8163,3311,8171,3309,8179,3306,8187,3303,8189,3302,6520,3302,6513,3301,6512,3301,6504,3300,6505,3300,6497,3299,6498,3299,6491,3297,6485,3294,6485,3294,6479,3290,6478,3290,6473,3287,6473,3287,6467,3282,6463,3278,6463,3278,6459,3273,6459,3273,6455,3267,6455,3267,6452,3261,6452,3261,6449,3255,6447,3249,6447,3249,6446,3242,6446,3242,6446,3235,6446,2947,6446,2941,6446,2940,6447,2934,6447,2934,6449,2928,6449,2928,6452,2921,6452,2921,6455,2916,6455,2916,6458,2910,6458,2910,6463,2905,6463,2905,6467,2901,6467,2901,6472,2896,6472,2896,6478,2892,6479,2892,6484,2889,6484,2889,6491,2886,6491,2886,6498,2884,6497,2884,6505,2882,6504,2882,6512,2881,6513,2881,6520,2881,8189,2881,8187,2880,8179,2876,8171,2874,8163,2872,8155,2871,8146,2870xm8146,3302l6519,3302,6520,3302,8146,3302,8146,3302xm8154,3301l8146,3302,8189,3302,8189,3301,8153,3301,8154,3301xm6512,3301l6512,3301,6513,3301,6512,3301xm8191,3300l8161,3300,8153,3301,8189,3301,8191,3300xm6505,3300l6505,3300,6505,3300,6505,3300xm6505,3300l6504,3300,6505,3300,6505,3300xm8194,3299l8168,3299,8161,3300,8161,3300,8191,3300,8194,3299,8194,3299xm6498,3299l6497,3299,6498,3299,6498,3299xm8198,3296l8175,3296,8168,3299,8168,3299,8194,3299,8198,3296xm6491,3297l6491,3297,6491,3297,6491,3297xm6491,3296l6491,3296,6491,3297,6491,3296xm8202,3294l8181,3294,8181,3294,8181,3294,8175,3297,8175,3296,8198,3296,8200,3295,8202,3294xm6484,3294l6485,3294,6485,3294,6484,3294xm8181,3294l8181,3294,8181,3294,8181,3294xm8210,3286l8193,3286,8187,3290,8187,3290,8181,3294,8181,3294,8202,3294,8206,3290,8210,3286xm6484,3294l6484,3294,6484,3294,6484,3294xm6478,3290l6478,3290,6479,3290,6478,3290xm8187,3290l8187,3290,8187,3290,8187,3290xm6472,3286l6473,3287,6473,3287,6472,3286xm8214,3282l8198,3282,8198,3282,8198,3282,8193,3287,8193,3286,8210,3286,8212,3284,8214,3282xm6467,3282l6468,3282,6468,3282,6467,3282xm8198,3282l8198,3282,8198,3282,8198,3282xm6467,3282l6467,3282,6467,3282,6467,3282xm8217,3277l8203,3277,8198,3282,8198,3282,8214,3282,8217,3278,8217,3277xm6462,3277l6463,3278,6463,3278,6462,3277xm8224,3267l8211,3267,8207,3273,8207,3273,8203,3278,8203,3277,8217,3277,8221,3272,8224,3267xm6462,3277l6462,3277,6462,3277,6462,3277xm6458,3272l6459,3273,6459,3273,6458,3272xm8207,3272l8207,3273,8207,3273,8207,3272xm6455,3267l6455,3267,6455,3267,6455,3267xm6455,3267l6455,3267,6455,3267,6455,3267xm8228,3255l8216,3255,8214,3261,8214,3261,8211,3267,8211,3267,8224,3267,8225,3265,8227,3258,8228,3255xm6452,3261l6452,3261,6452,3261,6452,3261xm8214,3261l8214,3261,8214,3261,8214,3261xm6449,3255l6449,3255,6449,3255,6449,3255xm8230,3248l8218,3248,8218,3249,8218,3249,8216,3255,8216,3255,8228,3255,8230,3251,8230,3248xm6447,3248l6447,3249,6447,3249,6447,3248xm8218,3248l8218,3249,8218,3249,8218,3248xm6447,3248l6447,3248,6447,3248,6447,3248xm8231,2948l8220,2948,8220,3235,8219,3242,8219,3242,8218,3248,8218,3248,8230,3248,8231,3243,8231,3235,8231,2948xm6446,3242l6446,3242,6446,3242,6446,3242xm8219,3242l8219,3242,8219,3242,8219,3242xm8220,3235l8220,3235,8220,3235,8220,3235xm6446,2948l6446,2948,6446,2948,6446,2948xm8231,2940l8219,2940,8220,2948,8220,2948,8231,2948,8231,2940xm6446,2940l6446,2940,6446,2941,6446,2940xm8230,2934l8218,2934,8218,2934,8218,2934,8219,2941,8219,2940,8231,2940,8231,2940,8230,2934xm8218,2934l8218,2934,8218,2934,8218,2934xm6447,2934l6447,2934,6447,2934,6447,2934xm8228,2927l8216,2927,8216,2928,8216,2928,8218,2934,8218,2934,8230,2934,8230,2932,8228,2927xm6449,2928l6449,2928,6449,2928,6449,2928xm8216,2928l8216,2928,8216,2928,8216,2928xm8226,2921l8214,2921,8216,2928,8216,2927,8228,2927,8227,2925,8226,2921xm6452,2921l6452,2921,6452,2922,6452,2921xm8224,2916l8211,2916,8211,2916,8211,2916,8214,2922,8214,2921,8226,2921,8225,2917,8224,2916xm6455,2916l6455,2916,6455,2916,6455,2916xm8211,2916l8211,2916,8211,2916,8211,2916xm8220,2910l8207,2910,8211,2916,8211,2916,8224,2916,8221,2911,8220,2910xm6459,2910l6458,2910,6458,2910,6459,2910xm8217,2905l8203,2905,8203,2905,8203,2905,8207,2910,8207,2910,8220,2910,8217,2905xm6463,2905l6463,2905,6462,2905,6463,2905xm8203,2905l8203,2905,8203,2905,8203,2905xm8213,2900l8198,2900,8198,2901,8198,2901,8203,2905,8203,2905,8217,2905,8217,2904,8213,2900xm8198,2900l8198,2901,8198,2901,8198,2900xm6468,2900l6467,2901,6467,2901,6468,2900xm8209,2896l8193,2896,8198,2900,8198,2900,8213,2900,8212,2898,8209,2896xm6473,2896l6472,2896,6472,2896,6473,2896xm8197,2886l8174,2886,8175,2886,8175,2886,8181,2889,8181,2889,8187,2892,8187,2892,8193,2896,8193,2896,8209,2896,8206,2893,8200,2888,8197,2886xm6479,2892l6478,2892,6478,2892,6479,2892xm8187,2892l8187,2892,8187,2892,8187,2892xm6485,2889l6484,2889,6484,2889,6485,2889xm8181,2889l8181,2889,8181,2889,8181,2889xm6491,2886l6491,2886,6491,2886,6491,2886xm8175,2886l8175,2886,8175,2886,8175,2886xm8168,2884l8175,2886,8174,2886,8197,2886,8194,2884,8168,2884,8168,2884xm6498,2884l6497,2884,6498,2884,6498,2884xm8191,2882l8161,2882,8161,2882,8161,2882,8168,2884,8194,2884,8194,2884,8191,2882xm6505,2882l6504,2882,6505,2882,6505,2882xm8161,2882l8161,2882,8161,2882,8161,2882xm8189,2881l8153,2881,8161,2882,8161,2882,8191,2882,8189,2881xm6513,2881l6512,2881,6512,2881,6513,2881xm8189,2881l8146,2881,8154,2881,8153,2881,8189,2881,8189,2881xe" filled="true" fillcolor="#41709c" stroked="false">
              <v:path arrowok="t"/>
              <v:fill type="solid"/>
            </v:shape>
            <v:line style="position:absolute" from="7333,2876" to="7333,2699" stroked="true" strokeweight=".290789pt" strokecolor="#5b9bd4">
              <v:stroke dashstyle="solid"/>
            </v:line>
            <v:line style="position:absolute" from="7334,2699" to="6175,2699" stroked="true" strokeweight=".26306pt" strokecolor="#5b9bd4">
              <v:stroke dashstyle="solid"/>
            </v:line>
            <v:shape style="position:absolute;left:6146;top:2383;width:59;height:317" coordorigin="6146,2384" coordsize="59,317" path="m6178,2427l6172,2427,6172,2700,6178,2700,6178,2427xm6175,2384l6146,2436,6172,2436,6172,2427,6200,2427,6175,2384xm6200,2427l6178,2427,6178,2436,6204,2436,6200,2427xe" filled="true" fillcolor="#5b9bd4" stroked="false">
              <v:path arrowok="t"/>
              <v:fill type="solid"/>
            </v:shape>
            <v:shape style="position:absolute;left:8783;top:2870;width:1786;height:437" coordorigin="8784,2870" coordsize="1786,437" path="m10489,2870l8864,2870,8833,2876,8807,2892,8790,2915,8784,2943,8784,3234,8790,3263,8807,3286,8833,3301,8864,3307,10489,3307,10520,3301,10546,3286,10563,3263,10569,3234,10569,2943,10563,2915,10546,2892,10520,2876,10489,2870xe" filled="true" fillcolor="#5b9bd4" stroked="false">
              <v:path arrowok="t"/>
              <v:fill type="solid"/>
            </v:shape>
            <v:shape style="position:absolute;left:8777;top:2865;width:1798;height:448" coordorigin="8778,2865" coordsize="1798,448" path="m10489,2865l8864,2865,8855,2865,8847,2867,8839,2869,8831,2871,8823,2875,8816,2878,8809,2883,8803,2888,8798,2894,8793,2900,8788,2906,8785,2913,8782,2920,8780,2927,8778,2935,8778,2943,8778,3234,8778,3242,8780,3250,8782,3258,8785,3265,8788,3271,8793,3278,8798,3284,8803,3289,8809,3295,8816,3299,8823,3303,8831,3306,8839,3309,8847,3311,8855,3312,8864,3312,10489,3312,10498,3312,10506,3311,10514,3309,10522,3306,10530,3303,10532,3302,8864,3302,8858,3301,8857,3301,8849,3300,8849,3300,8843,3299,8842,3299,8835,3296,8835,3296,8828,3294,8829,3294,8822,3290,8822,3290,8817,3287,8817,3287,8817,3286,8817,3286,8812,3282,8812,3282,8807,3277,8807,3277,8802,3272,8802,3272,8799,3267,8799,3267,8795,3260,8795,3260,8793,3255,8791,3248,8791,3248,8790,3241,8790,3241,8790,3234,8790,2943,8790,2937,8790,2935,8791,2930,8791,2930,8793,2923,8793,2923,8795,2917,8795,2917,8799,2911,8799,2911,8802,2905,8803,2905,8807,2900,8806,2900,8811,2896,8811,2896,8817,2891,8817,2891,8823,2887,8823,2887,8828,2884,8828,2884,8829,2884,8829,2884,8835,2881,8835,2881,8842,2879,8842,2879,8842,2879,8842,2879,8849,2877,8849,2877,8857,2876,8858,2876,8864,2876,10532,2876,10530,2875,10522,2871,10514,2869,10506,2867,10498,2865,10489,2865xm10489,3302l8864,3302,8864,3302,10488,3302,10489,3302xm10497,3301l10488,3302,10532,3302,10532,3301,10496,3301,10497,3301xm8856,3301l8857,3301,8858,3301,8856,3301xm10534,3300l10504,3300,10496,3301,10532,3301,10534,3300xm8849,3300l8849,3300,8850,3300,8849,3300xm10511,3299l10503,3300,10504,3300,10534,3300,10537,3299,10511,3299,10511,3299xm8849,3300l8849,3300,8849,3300,8849,3300xm8842,3299l8842,3299,8843,3299,8842,3299xm10541,3296l10518,3296,10511,3299,10537,3299,10541,3296xm8835,3296l8835,3296,8835,3297,8835,3296xm10545,3294l10525,3294,10518,3296,10518,3296,10541,3296,10544,3294,10545,3294xm10549,3290l10531,3290,10524,3294,10525,3294,10545,3294,10549,3290xm8829,3294l8828,3294,8829,3294,8829,3294xm10553,3286l10537,3286,10530,3290,10531,3290,10549,3290,10550,3289,10553,3286xm8822,3290l8822,3290,8823,3290,8822,3290xm8817,3286l8817,3287,8817,3287,8817,3286xm10557,3282l10542,3282,10541,3282,10541,3282,10536,3286,10537,3286,10553,3286,10555,3284,10557,3282xm8817,3286l8817,3286,8817,3286,8817,3286xm8811,3282l8812,3282,8812,3282,8811,3282xm10542,3282l10541,3282,10541,3282,10542,3282xm8811,3282l8811,3282,8811,3282,8811,3282xm10561,3277l10547,3277,10546,3277,10546,3277,10542,3282,10542,3282,10557,3282,10560,3278,10561,3277xm8807,3277l8806,3277,8807,3277,8807,3277xm10546,3277l10546,3277,10546,3277,10546,3277xm10564,3272l10551,3272,10546,3277,10547,3277,10561,3277,10564,3272xm8802,3272l8802,3272,8802,3272,8802,3272xm10567,3266l10555,3266,10550,3272,10551,3272,10564,3272,10565,3271,10567,3266xm8798,3266l8799,3267,8799,3267,8798,3266xm10570,3260l10558,3260,10554,3267,10555,3266,10567,3266,10568,3265,10570,3260xm8795,3260l8795,3260,8796,3261,8795,3260xm10572,3254l10560,3254,10557,3261,10558,3260,10570,3260,10571,3257,10572,3254xm8793,3254l8793,3255,8793,3255,8793,3254xm10575,2943l10563,2943,10563,3234,10563,3241,10563,3241,10562,3248,10562,3248,10560,3255,10560,3254,10572,3254,10573,3250,10575,3242,10575,3234,10575,2943xm8793,3254l8793,3254,8793,3254,8793,3254xm10562,3248l10562,3248,10562,3248,10562,3248xm8791,3248l8791,3248,8791,3248,8791,3248xm8790,3241l8790,3241,8790,3241,8790,3241xm10563,3241l10563,3241,10563,3241,10563,3241xm10563,3234l10563,3234,10563,3234,10563,3234xm8790,2943l8790,2943,8790,2943,8790,2943xm10575,2936l10563,2936,10563,2943,10563,2943,10575,2943,10575,2936xm8790,2936l8790,2936,8790,2937,8790,2936xm10574,2929l10562,2929,10563,2937,10563,2936,10575,2936,10575,2935,10574,2929xm10567,2911l10554,2911,10555,2911,10555,2911,10558,2917,10558,2917,10560,2923,10560,2923,10562,2930,10562,2929,10574,2929,10573,2927,10571,2920,10568,2913,10567,2911xm8791,2929l8791,2930,8791,2930,8791,2929xm8793,2923l8793,2923,8793,2923,8793,2923xm10560,2923l10560,2923,10560,2923,10560,2923xm8796,2917l8795,2917,8795,2917,8796,2917xm10557,2917l10558,2917,10558,2917,10557,2917xm10555,2911l10555,2911,10555,2911,10555,2911xm10564,2905l10550,2905,10555,2911,10554,2911,10567,2911,10565,2906,10564,2905xm8799,2911l8799,2911,8799,2911,8799,2911xm8803,2905l8802,2905,8802,2906,8803,2905xm10549,2887l10530,2887,10537,2891,10536,2891,10542,2896,10542,2896,10547,2900,10546,2900,10551,2906,10550,2905,10564,2905,10560,2900,10555,2894,10550,2888,10549,2887xm8807,2900l8806,2900,8807,2900,8807,2900xm10546,2900l10546,2900,10547,2900,10546,2900xm8812,2895l8811,2896,8811,2896,8812,2895xm10541,2895l10542,2896,10542,2896,10541,2895xm8817,2891l8817,2891,8817,2891,8817,2891xm10536,2891l10536,2891,10537,2891,10536,2891xm8823,2887l8823,2887,8822,2887,8823,2887xm10545,2884l10524,2884,10531,2887,10530,2887,10549,2887,10545,2884xm10537,2879l10511,2879,10518,2881,10518,2881,10525,2884,10524,2884,10545,2884,10544,2883,10537,2879xm8829,2884l8829,2884,8828,2884,8829,2884xm8835,2881l8835,2881,8835,2881,8835,2881xm10518,2881l10518,2881,10518,2881,10518,2881xm10534,2877l10504,2877,10504,2877,10504,2877,10511,2879,10511,2879,10537,2879,10537,2878,10534,2877xm8842,2879l8842,2879,8842,2879,8842,2879xm8849,2877l8849,2877,8849,2877,8849,2877xm10504,2877l10504,2877,10504,2877,10504,2877xm10532,2876l10496,2876,10504,2877,10504,2877,10534,2877,10532,2876xm8858,2876l8857,2876,8856,2876,8858,2876xm10532,2876l10488,2876,10497,2876,10496,2876,10532,2876,10532,2876xe" filled="true" fillcolor="#41709c" stroked="false">
              <v:path arrowok="t"/>
              <v:fill type="solid"/>
            </v:shape>
            <v:line style="position:absolute" from="9676,2874" to="9676,2584" stroked="true" strokeweight=".290789pt" strokecolor="#5b9bd4">
              <v:stroke dashstyle="solid"/>
            </v:line>
            <v:line style="position:absolute" from="9678,2580" to="6716,2536" stroked="true" strokeweight=".263067pt" strokecolor="#5b9bd4">
              <v:stroke dashstyle="solid"/>
            </v:line>
            <v:shape style="position:absolute;left:6671;top:2383;width:58;height:153" coordorigin="6671,2384" coordsize="58,153" path="m6703,2436l6697,2436,6711,2536,6717,2536,6703,2436xm6693,2384l6671,2439,6697,2436,6696,2427,6702,2427,6725,2427,6693,2384xm6702,2427l6696,2427,6697,2436,6703,2436,6702,2427xm6725,2427l6702,2427,6703,2436,6729,2433,6725,2427xe" filled="true" fillcolor="#5b9bd4" stroked="false">
              <v:path arrowok="t"/>
              <v:fill type="solid"/>
            </v:shape>
            <v:shape style="position:absolute;left:2072;top:3680;width:2030;height:353" coordorigin="2072,3681" coordsize="2030,353" path="m4037,3681l2137,3681,2112,3685,2091,3698,2077,3716,2072,3739,2072,3974,2077,3997,2091,4016,2112,4028,2137,4033,4037,4033,4062,4028,4083,4016,4097,3997,4102,3974,4102,3739,4097,3716,4083,3698,4062,3685,4037,3681xe" filled="true" fillcolor="#5b9bd4" stroked="false">
              <v:path arrowok="t"/>
              <v:fill type="solid"/>
            </v:shape>
            <v:shape style="position:absolute;left:2066;top:3675;width:2042;height:364" coordorigin="2067,3675" coordsize="2042,364" path="m4037,3675l2137,3675,2130,3676,2123,3677,2116,3678,2110,3680,2104,3683,2098,3686,2092,3690,2087,3694,2083,3699,2079,3704,2075,3709,2072,3714,2070,3720,2068,3726,2067,3733,2067,3739,2067,3974,2067,3981,2068,3987,2070,3993,2072,3999,2075,4005,2079,4010,2083,4015,2087,4020,2092,4024,2098,4028,2104,4031,2110,4033,2116,4035,2123,4037,2130,4038,2137,4038,4037,4038,4044,4038,4051,4037,4058,4035,4065,4033,4071,4031,4076,4028,2138,4028,2131,4028,2132,4028,2125,4027,2125,4027,2120,4025,2120,4025,2114,4024,2114,4024,2110,4021,2109,4021,2104,4019,2100,4016,2100,4016,2099,4015,2099,4015,2095,4012,2095,4012,2092,4009,2092,4009,2092,4008,2092,4008,2088,4004,2085,4000,2085,4000,2083,3995,2083,3995,2081,3990,2079,3985,2079,3985,2079,3981,2079,3980,2078,3974,2078,3739,2079,3734,2078,3734,2079,3729,2079,3729,2081,3724,2081,3724,2081,3723,2081,3723,2083,3719,2083,3719,2085,3714,2085,3714,2088,3709,2089,3709,2092,3706,2091,3706,2092,3705,2092,3705,2095,3702,2095,3702,2099,3698,2099,3698,2104,3695,2104,3695,2104,3695,2105,3695,2109,3692,2109,3692,2114,3690,2114,3690,2119,3688,2119,3688,2120,3688,2120,3688,2125,3687,2125,3687,2132,3686,2131,3686,2138,3686,4076,3686,4071,3683,4065,3680,4058,3678,4051,3677,4044,3676,4037,3675xm4037,4028l2137,4028,2138,4028,4037,4028,4037,4028xm4078,4027l4049,4027,4043,4028,4043,4028,4037,4028,4076,4028,4077,4027,4078,4027xm2126,4027l2126,4027,2126,4027,2126,4027xm4055,4025l4049,4027,4049,4027,4078,4027,4079,4025,4054,4025,4055,4025xm2125,4027l2125,4027,2126,4027,2125,4027xm2119,4025l2120,4025,2120,4025,2119,4025xm4082,4024l4060,4024,4054,4025,4079,4025,4082,4024,4082,4024xm2119,4025l2119,4025,2119,4025,2119,4025xm2114,4024l2114,4024,2115,4024,2114,4024xm4088,4019l4070,4019,4065,4021,4065,4021,4060,4024,4060,4024,4082,4024,4087,4020,4088,4019xm2109,4021l2109,4021,2110,4021,2109,4021xm4066,4021l4065,4021,4065,4021,4066,4021xm2109,4021l2109,4021,2109,4021,2109,4021xm2104,4019l2104,4019,2104,4019,2104,4019xm4091,4015l4075,4015,4075,4016,4074,4016,4070,4019,4070,4019,4088,4019,4091,4015xm2104,4018l2104,4018,2104,4019,2104,4018xm2100,4016l2100,4016,2100,4016,2100,4016xm4075,4016l4074,4016,4075,4016,4075,4016xm2099,4015l2099,4015,2100,4016,2099,4015xm4094,4012l4079,4012,4075,4016,4075,4015,4091,4015,4092,4015,4094,4012xm2095,4012l2095,4012,2096,4012,2095,4012xm4097,4008l4083,4008,4083,4009,4083,4009,4079,4012,4079,4012,4094,4012,4096,4010,4097,4008xm2092,4008l2092,4009,2092,4009,2092,4008xm4083,4008l4083,4009,4083,4009,4083,4008xm2092,4008l2091,4008,2092,4008,2092,4008xm4100,4004l4086,4004,4083,4008,4083,4008,4097,4008,4099,4005,4100,4004xm2088,4004l2088,4004,2088,4004,2088,4004xm4102,4000l4089,4000,4086,4004,4086,4004,4100,4004,4102,4000xm2088,4004l2088,4004,2088,4004,2088,4004xm2085,4000l2085,4000,2085,4000,2085,4000xm4104,3995l4092,3995,4089,4000,4089,4000,4102,4000,4102,3999,4104,3995xm2085,4000l2085,4000,2085,4000,2085,4000xm2083,3995l2083,3995,2083,3995,2083,3995xm4106,3990l4094,3990,4091,3995,4092,3995,4104,3995,4105,3993,4106,3990xm2083,3995l2083,3995,2083,3995,2083,3995xm2081,3990l2081,3990,2081,3990,2081,3990xm4107,3985l4095,3985,4095,3985,4095,3985,4094,3990,4094,3990,4106,3990,4106,3987,4107,3985xm2081,3990l2081,3990,2081,3990,2081,3990xm2079,3985l2079,3985,2079,3985,2079,3985xm4095,3985l4095,3985,4095,3985,4095,3985xm2079,3985l2079,3985,2079,3985,2079,3985xm4108,3980l4096,3980,4095,3985,4095,3985,4107,3985,4107,3981,4108,3980xm2079,3980l2079,3980,2079,3980,2079,3980xm4108,3739l4096,3739,4096,3974,4096,3974,4096,3980,4096,3980,4108,3980,4108,3974,4108,3739xm2078,3980l2078,3980,2079,3980,2078,3980xm4096,3974l4096,3974,4096,3974,4096,3974xm2078,3974l2078,3974,2078,3974,2078,3974xm2078,3739l2078,3740,2078,3740,2078,3739xm4107,3728l4095,3728,4095,3729,4095,3729,4096,3734,4096,3734,4096,3740,4096,3739,4108,3739,4107,3733,4107,3728xm2078,3739l2078,3739,2078,3739,2078,3739xm2079,3734l2078,3734,2079,3734,2079,3734xm4096,3734l4096,3734,4096,3734,4096,3734xm2079,3729l2079,3729,2079,3729,2079,3729xm4095,3729l4095,3729,4095,3729,4095,3729xm4105,3723l4094,3723,4094,3724,4094,3724,4095,3729,4095,3728,4107,3728,4106,3726,4105,3723xm2079,3728l2079,3728,2079,3729,2079,3728xm2081,3723l2081,3724,2081,3724,2081,3723xm4094,3723l4094,3724,4094,3724,4094,3723xm2081,3723l2081,3723,2081,3723,2081,3723xm4102,3714l4089,3714,4089,3714,4089,3714,4092,3719,4092,3719,4094,3723,4094,3723,4105,3723,4105,3720,4102,3714,4102,3714xm2083,3718l2083,3719,2083,3719,2083,3718xm4091,3718l4092,3719,4092,3719,4091,3718xm4089,3714l4089,3714,4089,3714,4089,3714xm2085,3714l2085,3714,2085,3714,2085,3714xm4100,3709l4086,3709,4089,3714,4089,3714,4102,3714,4100,3709xm2089,3709l2088,3709,2088,3710,2089,3709xm4097,3705l4083,3705,4083,3706,4083,3706,4086,3710,4086,3709,4100,3709,4099,3709,4097,3705xm2092,3705l2091,3706,2092,3706,2092,3705xm4083,3705l4083,3706,4083,3706,4083,3705xm4091,3698l4075,3698,4075,3698,4075,3698,4079,3702,4079,3702,4083,3705,4083,3705,4097,3705,4096,3704,4092,3699,4091,3698xm2092,3705l2092,3705,2092,3705,2092,3705xm2096,3701l2095,3702,2095,3702,2096,3701xm4079,3701l4079,3702,4079,3702,4079,3701xm2100,3698l2099,3698,2099,3698,2100,3698xm4075,3698l4075,3698,4075,3698,4075,3698xm4088,3695l4070,3695,4075,3698,4075,3698,4091,3698,4088,3695xm2104,3695l2104,3695,2104,3695,2104,3695xm4080,3688l4054,3688,4060,3690,4060,3690,4066,3692,4065,3692,4070,3695,4070,3695,4088,3695,4087,3694,4082,3690,4080,3688xm2105,3695l2104,3695,2104,3695,2105,3695xm2109,3692l2109,3692,2109,3692,2109,3692xm4065,3692l4065,3692,4066,3692,4065,3692xm2115,3690l2114,3690,2114,3690,2115,3690xm4060,3690l4060,3690,4060,3690,4060,3690xm4049,3687l4055,3688,4054,3688,4080,3688,4078,3687,4049,3687,4049,3687xm2120,3688l2120,3688,2119,3688,2120,3688xm2126,3687l2125,3687,2125,3687,2126,3687xm4078,3687l4049,3687,4049,3687,4078,3687,4078,3687xm4076,3686l4037,3686,4043,3686,4043,3686,4049,3687,4049,3687,4078,3687,4077,3686,4076,3686xe" filled="true" fillcolor="#41709c" stroked="false">
              <v:path arrowok="t"/>
              <v:fill type="solid"/>
            </v:shape>
            <v:shape style="position:absolute;left:2621;top:3314;width:59;height:362" coordorigin="2622,3315" coordsize="59,362" path="m2654,3359l2648,3359,2648,3676,2654,3676,2654,3359xm2651,3315l2622,3367,2648,3367,2648,3359,2675,3359,2651,3315xm2675,3359l2654,3359,2654,3367,2680,3367,2675,3359xe" filled="true" fillcolor="#5b9bd4" stroked="false">
              <v:path arrowok="t"/>
              <v:fill type="solid"/>
            </v:shape>
            <v:line style="position:absolute" from="2860,3383" to="2860,3683" stroked="true" strokeweight=".290789pt" strokecolor="#5b9bd4">
              <v:stroke dashstyle="solid"/>
            </v:line>
            <v:line style="position:absolute" from="2860,3383" to="4741,3383" stroked="true" strokeweight=".26306pt" strokecolor="#5b9bd4">
              <v:stroke dashstyle="solid"/>
            </v:line>
            <v:shape style="position:absolute;left:4715;top:3309;width:59;height:76" coordorigin="4716,3310" coordsize="59,76" path="m4748,3353l4742,3353,4742,3385,4748,3385,4748,3353xm4745,3310l4716,3362,4742,3362,4742,3353,4769,3353,4745,3310xm4769,3353l4748,3353,4748,3362,4774,3362,4769,3353xe" filled="true" fillcolor="#5b9bd4" stroked="false">
              <v:path arrowok="t"/>
              <v:fill type="solid"/>
            </v:shape>
            <v:line style="position:absolute" from="3448,3681" to="3448,3457" stroked="true" strokeweight=".290789pt" strokecolor="#5b9bd4">
              <v:stroke dashstyle="solid"/>
            </v:line>
            <v:shape style="position:absolute;left:6172;top:3464;width:948;height:842" coordorigin="6172,3465" coordsize="948,842" path="m6965,3465l6328,3465,6267,3476,6218,3506,6185,3551,6172,3605,6172,4166,6185,4221,6218,4266,6267,4296,6328,4307,6965,4307,7026,4296,7075,4266,7108,4221,7120,4166,7120,3605,7108,3551,7075,3506,7026,3476,6965,3465xe" filled="true" fillcolor="#5b9bd4" stroked="false">
              <v:path arrowok="t"/>
              <v:fill type="solid"/>
            </v:shape>
            <v:shape style="position:absolute;left:6166;top:3459;width:960;height:853" coordorigin="6167,3460" coordsize="960,853" path="m6966,3460l6327,3460,6311,3460,6295,3463,6280,3466,6265,3471,6251,3477,6238,3484,6225,3493,6214,3502,6203,3513,6194,3524,6186,3536,6179,3549,6174,3562,6170,3576,6167,3590,6167,3605,6167,4166,6167,4181,6170,4196,6174,4210,6179,4223,6186,4236,6194,4248,6203,4259,6214,4269,6225,4279,6238,4287,6251,4294,6265,4300,6280,4305,6295,4309,6311,4311,6327,4312,6966,4312,6982,4311,6998,4309,7013,4305,7025,4301,6328,4301,6314,4301,6313,4301,6297,4299,6297,4299,6284,4295,6284,4295,6269,4291,6269,4291,6256,4285,6256,4285,6244,4278,6244,4278,6233,4271,6233,4271,6222,4262,6222,4262,6213,4253,6213,4253,6204,4242,6204,4242,6196,4231,6196,4231,6190,4219,6190,4219,6185,4207,6181,4194,6181,4193,6179,4180,6179,4180,6178,4166,6178,3605,6179,3592,6179,3590,6181,3578,6181,3578,6185,3565,6185,3565,6190,3553,6190,3553,6190,3552,6190,3552,6196,3541,6196,3541,6204,3529,6204,3529,6213,3519,6213,3519,6222,3510,6222,3510,6222,3510,6222,3510,6233,3501,6233,3501,6244,3493,6244,3493,6256,3487,6256,3487,6257,3486,6257,3486,6269,3481,6269,3481,6283,3476,6283,3476,6284,3476,6284,3476,6297,3473,6297,3473,6313,3471,6314,3471,6328,3470,7025,3470,7013,3466,6998,3463,6982,3460,6966,3460xm6965,4301l6328,4301,6328,4301,6965,4301,6965,4301xm6981,4301l6965,4301,7025,4301,7027,4301,6980,4301,6981,4301xm6312,4301l6313,4301,6314,4301,6312,4301xm7032,4299l6996,4299,6980,4301,7027,4301,7028,4300,7032,4299xm6298,4299l6298,4299,6298,4299,6298,4299xm6297,4299l6297,4299,6298,4299,6297,4299xm7040,4295l7010,4295,7009,4295,7009,4295,6995,4299,6996,4299,7032,4299,7040,4295xm6283,4295l6284,4295,6284,4295,6283,4295xm7010,4295l7009,4295,7009,4295,7010,4295xm6283,4295l6283,4295,6283,4295,6283,4295xm7049,4291l7024,4291,7010,4295,7010,4295,7040,4295,7042,4294,7049,4291xm6270,4291l6270,4291,6270,4291,6270,4291xm6269,4291l6269,4291,6270,4291,6269,4291xm7058,4285l7037,4285,7023,4291,7024,4291,7049,4291,7055,4287,7058,4285xm6256,4285l6256,4285,6257,4285,6256,4285xm7068,4278l7049,4278,7036,4285,7037,4285,7058,4285,7068,4279,7068,4278xm6244,4278l6244,4278,6244,4278,6244,4278xm7087,4262l7071,4262,7071,4262,7071,4262,7060,4271,7060,4271,7049,4278,7049,4278,7068,4278,7079,4269,7087,4262xm6232,4270l6233,4271,6233,4271,6232,4270xm7061,4270l7060,4271,7060,4271,7061,4270xm6222,4262l6222,4262,6222,4262,6222,4262xm7071,4262l7071,4262,7071,4262,7071,4262xm7095,4252l7081,4252,7080,4252,7080,4253,7071,4262,7071,4262,7087,4262,7090,4259,7095,4252xm6222,4262l6222,4262,6222,4262,6222,4262xm6212,4252l6213,4253,6213,4253,6212,4252xm7081,4252l7080,4252,7080,4252,7081,4252xm7110,4231l7097,4231,7097,4231,7096,4231,7089,4242,7089,4242,7081,4252,7081,4252,7095,4252,7099,4248,7107,4236,7110,4231xm6204,4242l6204,4242,6204,4242,6204,4242xm7089,4242l7089,4242,7089,4242,7089,4242xm7097,4231l7096,4231,7097,4231,7097,4231xm6197,4231l6197,4231,6197,4231,6197,4231xm6196,4231l6196,4231,6197,4231,6196,4231xm7115,4219l7103,4219,7103,4219,7103,4219,7097,4231,7097,4231,7110,4231,7114,4223,7115,4219xm6190,4219l6190,4219,6190,4219,6190,4219xm7103,4219l7103,4219,7103,4219,7103,4219xm7120,4206l7108,4206,7103,4219,7103,4219,7115,4219,7119,4210,7120,4206xm6190,4219l6190,4219,6190,4219,6190,4219xm6185,4207l6185,4207,6185,4207,6185,4207xm6185,4206l6185,4206,6185,4207,6185,4206xm7123,4193l7112,4193,7108,4207,7108,4206,7120,4206,7123,4196,7123,4193xm6181,4193l6181,4193,6181,4194,6181,4193xm7126,3605l7115,3605,7115,4166,7114,4180,7114,4180,7112,4194,7112,4193,7123,4193,7125,4181,7126,4166,7126,3605xm6179,4180l6179,4180,6179,4180,6179,4180xm7114,4180l7114,4180,7114,4180,7114,4180xm7115,4166l7115,4166,7115,4166,7115,4166xm6178,3605l6178,3605,6178,3605,6178,3605xm7126,3591l7114,3591,7115,3605,7115,3605,7126,3605,7126,3591xm6179,3591l6179,3591,6179,3592,6179,3591xm7115,3552l7103,3552,7103,3553,7103,3553,7108,3565,7108,3565,7112,3578,7112,3578,7114,3592,7114,3591,7126,3591,7125,3590,7123,3576,7119,3562,7115,3552xm6181,3578l6181,3578,6181,3578,6181,3578xm7112,3578l7112,3578,7112,3578,7112,3578xm6185,3565l6185,3565,6185,3565,6185,3565xm7108,3565l7108,3565,7108,3565,7108,3565xm7103,3553l7103,3553,7103,3553,7103,3553xm6190,3552l6190,3552,6190,3553,6190,3552xm7109,3541l7097,3541,7097,3541,7097,3541,7103,3553,7103,3552,7115,3552,7114,3549,7109,3541xm6197,3541l6196,3541,6196,3541,6197,3541xm7097,3541l7097,3541,7097,3541,7097,3541xm7103,3529l7089,3529,7097,3541,7097,3541,7109,3541,7107,3536,7103,3529xm6204,3529l6204,3529,6204,3530,6204,3529xm7095,3519l7080,3519,7089,3530,7089,3529,7103,3529,7099,3524,7095,3519xm6213,3519l6213,3519,6212,3520,6213,3519xm7077,3501l7060,3501,7071,3510,7071,3510,7081,3520,7080,3519,7095,3519,7090,3513,7079,3502,7077,3501xm6222,3510l6222,3510,6222,3510,6222,3510xm7071,3510l7071,3510,7071,3510,7071,3510xm6222,3510l6222,3510,6222,3510,6222,3510xm6233,3501l6233,3501,6232,3501,6233,3501xm7058,3486l7036,3486,7037,3487,7037,3487,7049,3493,7049,3493,7061,3501,7060,3501,7077,3501,7068,3493,7058,3486xm6244,3493l6244,3493,6244,3493,6244,3493xm7049,3493l7049,3493,7049,3493,7049,3493xm7037,3487l7037,3487,7037,3487,7037,3487xm6257,3486l6257,3486,6256,3487,6257,3486xm7049,3481l7023,3481,7024,3481,7024,3481,7037,3487,7036,3486,7058,3486,7055,3484,7049,3481xm6270,3481l6269,3481,6269,3481,6270,3481xm7023,3481l7024,3481,7024,3481,7023,3481xm7040,3476l7009,3476,7010,3476,7010,3476,7023,3481,7023,3481,7049,3481,7042,3477,7040,3476xm7010,3476l7010,3476,7010,3476,7010,3476xm6284,3476l6284,3476,6283,3476,6284,3476xm6995,3473l7010,3476,7009,3476,7040,3476,7032,3473,6996,3473,6995,3473xm6298,3473l6297,3473,6297,3473,6298,3473xm7032,3473l6995,3473,6996,3473,7032,3473,7032,3473xm7027,3471l6980,3471,6995,3473,6995,3473,7032,3473,7028,3471,7027,3471xm6314,3471l6313,3471,6312,3471,6314,3471xm7025,3470l6965,3470,6981,3471,6980,3471,7027,3471,7025,3470xe" filled="true" fillcolor="#41709c" stroked="false">
              <v:path arrowok="t"/>
              <v:fill type="solid"/>
            </v:shape>
            <v:line style="position:absolute" from="3448,3469" to="6937,3383" stroked="true" strokeweight=".263077pt" strokecolor="#5b9bd4">
              <v:stroke dashstyle="solid"/>
            </v:line>
            <v:shape style="position:absolute;left:6908;top:3304;width:59;height:76" coordorigin="6908,3304" coordsize="59,76" path="m6940,3348l6934,3348,6934,3380,6940,3380,6940,3348xm6937,3304l6908,3357,6934,3357,6934,3348,6961,3348,6937,3304xm6961,3348l6940,3348,6940,3357,6966,3357,6961,3348xe" filled="true" fillcolor="#5b9bd4" stroked="false">
              <v:path arrowok="t"/>
              <v:fill type="solid"/>
            </v:shape>
            <v:shape style="position:absolute;left:1351;top:4385;width:861;height:916" type="#_x0000_t75" stroked="false">
              <v:imagedata r:id="rId269" o:title=""/>
            </v:shape>
            <v:shape style="position:absolute;left:2252;top:4390;width:861;height:921" type="#_x0000_t75" stroked="false">
              <v:imagedata r:id="rId270" o:title=""/>
            </v:shape>
            <v:shape style="position:absolute;left:3165;top:4411;width:867;height:895" coordorigin="3166,4412" coordsize="867,895" path="m3888,4412l3310,4412,3254,4422,3208,4450,3177,4492,3166,4542,3166,5176,3177,5226,3208,5268,3254,5296,3310,5306,3888,5306,3944,5296,3990,5268,4021,5226,4032,5176,4032,4542,4021,4492,3990,4450,3944,4422,3888,4412xe" filled="true" fillcolor="#5b9bd4" stroked="false">
              <v:path arrowok="t"/>
              <v:fill type="solid"/>
            </v:shape>
            <v:shape style="position:absolute;left:3159;top:4406;width:879;height:905" coordorigin="3160,4407" coordsize="879,905" path="m3888,4407l3310,4407,3295,4407,3280,4409,3265,4413,3252,4417,3239,4423,3226,4430,3215,4438,3204,4446,3194,4456,3185,4467,3178,4478,3172,4490,3167,4502,3163,4515,3161,4529,3160,4542,3160,5176,3161,5190,3163,5203,3167,5216,3172,5229,3178,5240,3186,5252,3194,5262,3204,5272,3215,5281,3226,5288,3239,5295,3252,5301,3265,5305,3280,5309,3295,5311,3310,5312,3888,5312,3903,5311,3918,5309,3933,5305,3946,5301,3310,5301,3297,5300,3296,5300,3296,5300,3296,5300,3283,5299,3283,5299,3282,5298,3282,5298,3269,5295,3269,5295,3269,5295,3269,5295,3256,5291,3256,5291,3244,5286,3244,5286,3232,5279,3232,5279,3222,5272,3222,5272,3212,5264,3203,5256,3203,5256,3195,5246,3195,5246,3188,5236,3183,5225,3182,5225,3178,5213,3174,5201,3174,5201,3172,5189,3172,5189,3172,5176,3172,4542,3172,4530,3172,4529,3174,4518,3174,4518,3178,4505,3178,4505,3182,4494,3182,4494,3182,4494,3183,4494,3188,4483,3188,4483,3195,4473,3195,4473,3203,4463,3203,4463,3212,4454,3212,4454,3212,4454,3212,4454,3222,4446,3222,4446,3233,4439,3232,4439,3244,4432,3244,4432,3257,4427,3257,4427,3269,4423,3269,4423,3269,4423,3269,4423,3282,4420,3282,4420,3296,4418,3298,4418,3310,4417,3946,4417,3933,4413,3918,4409,3903,4407,3888,4407xm3310,5301l3310,5301,3310,5301,3310,5301xm3902,5300l3888,5301,3946,5301,3946,5301,3947,5300,3902,5300,3902,5300xm3296,5300l3296,5300,3297,5300,3296,5300xm3948,5300l3902,5300,3902,5300,3947,5300,3948,5300xm3916,5298l3902,5300,3902,5300,3948,5300,3952,5299,3916,5299,3916,5298xm3296,5300l3296,5300,3296,5300,3296,5300xm3282,5298l3283,5299,3283,5299,3282,5298xm3952,5298l3916,5298,3916,5299,3952,5299,3952,5298xm3282,5298l3282,5298,3282,5298,3282,5298xm3959,5295l3929,5295,3929,5295,3929,5295,3916,5298,3916,5298,3952,5298,3959,5295xm3269,5295l3269,5295,3269,5295,3269,5295xm3929,5295l3929,5295,3929,5295,3929,5295xm3269,5295l3269,5295,3269,5295,3269,5295xm3967,5291l3942,5291,3929,5295,3929,5295,3959,5295,3959,5295,3967,5291xm3256,5291l3257,5291,3257,5291,3256,5291xm3256,5291l3256,5291,3256,5291,3256,5291xm3976,5286l3954,5286,3954,5286,3954,5286,3942,5291,3942,5291,3967,5291,3972,5288,3976,5286xm3954,5286l3954,5286,3954,5286,3954,5286xm3244,5286l3244,5286,3244,5286,3244,5286xm3244,5286l3244,5286,3244,5286,3244,5286xm3985,5279l3966,5279,3954,5286,3954,5286,3976,5286,3983,5281,3985,5279xm3233,5280l3233,5280,3233,5280,3233,5280xm3993,5272l3976,5272,3965,5280,3966,5279,3985,5279,3993,5272xm3232,5279l3232,5279,3233,5280,3232,5279xm3222,5273l3222,5273,3222,5273,3222,5273xm3222,5272l3222,5272,3222,5273,3222,5272xm4002,5264l3986,5264,3976,5273,3976,5272,3993,5272,3994,5272,4002,5264xm3212,5264l3212,5264,3212,5264,3212,5264xm4010,5255l3995,5255,3986,5264,3986,5264,4002,5264,4004,5262,4010,5255xm3212,5264l3212,5264,3212,5264,3212,5264xm3203,5255l3203,5256,3203,5256,3203,5255xm4017,5246l4003,5246,3995,5255,3995,5255,4010,5255,4012,5252,4017,5246xm3195,5246l3195,5246,3195,5246,3195,5246xm4023,5235l4010,5235,4003,5246,4003,5246,4017,5246,4020,5240,4023,5235xm3188,5236l3188,5236,3188,5236,3188,5236xm3188,5235l3188,5235,3188,5236,3188,5235xm4028,5224l4016,5224,4016,5225,4015,5225,4010,5236,4010,5235,4023,5235,4026,5229,4028,5224xm3182,5224l3182,5225,3183,5225,3182,5224xm4016,5224l4015,5225,4016,5225,4016,5224xm3182,5224l3182,5224,3182,5224,3182,5224xm4032,5213l4020,5213,4016,5224,4016,5224,4028,5224,4031,5216,4032,5213xm3178,5213l3178,5213,3178,5213,3178,5213xm3178,5213l3178,5213,3178,5213,3178,5213xm4035,5201l4024,5201,4024,5201,4024,5201,4020,5213,4020,5213,4032,5213,4035,5203,4035,5201xm3174,5201l3174,5201,3174,5201,3174,5201xm4024,5201l4024,5201,4024,5201,4024,5201xm3174,5201l3174,5201,3174,5201,3174,5201xm4038,4543l4026,4543,4026,5176,4026,5189,4026,5189,4024,5201,4024,5201,4035,5201,4037,5190,4038,5176,4038,4543xm3172,5188l3172,5189,3172,5189,3172,5188xm4026,5188l4026,5189,4026,5189,4026,5188xm4026,5175l4026,5176,4026,5176,4026,5175xm3172,4543l3172,4543,3172,4543,3172,4543xm4037,4529l4026,4529,4026,4543,4026,4543,4038,4543,4037,4529xm3172,4529l3172,4529,3172,4530,3172,4529xm4035,4517l4024,4517,4024,4518,4024,4518,4026,4530,4026,4529,4037,4529,4037,4529,4035,4517xm4024,4518l4024,4518,4024,4518,4024,4518xm3174,4517l3174,4517,3174,4518,3174,4517xm4032,4505l4020,4505,4020,4505,4020,4505,4024,4518,4024,4517,4035,4517,4035,4515,4032,4505xm3178,4505l3178,4505,3178,4505,3178,4505xm4020,4505l4020,4505,4020,4505,4020,4505xm4028,4494l4016,4494,4016,4494,4016,4494,4020,4505,4020,4505,4032,4505,4031,4502,4028,4494xm4016,4494l4016,4494,4016,4494,4016,4494xm3183,4494l3182,4494,3182,4494,3183,4494xm4001,4454l3986,4454,3986,4454,3986,4454,3995,4463,3995,4463,4003,4473,4003,4473,4010,4483,4010,4483,4016,4494,4016,4494,4028,4494,4026,4490,4020,4478,4012,4467,4004,4456,4001,4454xm3188,4483l3188,4483,3188,4483,3188,4483xm4010,4483l4010,4483,4010,4483,4010,4483xm3195,4472l3195,4473,3195,4473,3195,4472xm4003,4472l4003,4473,4003,4473,4003,4472xm3203,4463l3203,4463,3203,4463,3203,4463xm3995,4463l3995,4463,3995,4463,3995,4463xm3212,4454l3212,4454,3212,4454,3212,4454xm3986,4454l3986,4454,3986,4454,3986,4454xm3993,4446l3976,4446,3976,4446,3976,4446,3986,4454,3986,4454,4001,4454,3994,4446,3993,4446xm3212,4454l3212,4454,3212,4454,3212,4454xm3222,4446l3222,4446,3222,4446,3222,4446xm3976,4446l3976,4446,3976,4446,3976,4446xm3966,4427l3942,4427,3954,4432,3954,4432,3966,4439,3965,4439,3976,4446,3976,4446,3993,4446,3983,4438,3972,4430,3966,4427xm3233,4438l3232,4439,3233,4439,3233,4438xm3965,4438l3965,4439,3966,4439,3965,4438xm3244,4432l3244,4432,3244,4432,3244,4432xm3954,4432l3954,4432,3954,4432,3954,4432xm3257,4427l3257,4427,3256,4427,3257,4427xm3958,4423l3929,4423,3929,4423,3929,4423,3942,4427,3942,4427,3966,4427,3959,4423,3958,4423xm3929,4423l3929,4423,3929,4423,3929,4423xm3269,4423l3269,4423,3269,4423,3269,4423xm3952,4420l3916,4420,3916,4420,3916,4420,3929,4423,3929,4423,3958,4423,3952,4420xm3282,4420l3282,4420,3282,4420,3282,4420xm3916,4420l3916,4420,3916,4420,3916,4420xm3947,4418l3902,4418,3916,4420,3916,4420,3952,4420,3947,4418xm3298,4418l3296,4418,3296,4418,3298,4418xm3946,4417l3888,4417,3902,4418,3902,4418,3947,4418,3946,4417,3946,4417xe" filled="true" fillcolor="#41709c" stroked="false">
              <v:path arrowok="t"/>
              <v:fill type="solid"/>
            </v:shape>
            <v:shape style="position:absolute;left:4078;top:4385;width:1960;height:926" type="#_x0000_t75" stroked="false">
              <v:imagedata r:id="rId271" o:title=""/>
            </v:shape>
            <v:line style="position:absolute" from="1784,4394" to="1784,4151" stroked="true" strokeweight=".290789pt" strokecolor="#5b9bd4">
              <v:stroke dashstyle="solid"/>
            </v:line>
            <v:line style="position:absolute" from="1784,4154" to="2750,4141" stroked="true" strokeweight=".263065pt" strokecolor="#5b9bd4">
              <v:stroke dashstyle="solid"/>
            </v:line>
            <v:shape style="position:absolute;left:2712;top:4035;width:59;height:114" coordorigin="2713,4036" coordsize="59,114" path="m2739,4088l2735,4149,2741,4149,2745,4088,2739,4088xm2766,4079l2740,4079,2745,4080,2745,4088,2771,4090,2766,4079xm2740,4079l2739,4088,2745,4088,2745,4080,2740,4079xm2745,4036l2713,4087,2739,4088,2740,4079,2766,4079,2745,4036xe" filled="true" fillcolor="#5b9bd4" stroked="false">
              <v:path arrowok="t"/>
              <v:fill type="solid"/>
            </v:shape>
            <v:shape style="position:absolute;left:2683;top:4035;width:311;height:365" type="#_x0000_t75" stroked="false">
              <v:imagedata r:id="rId272" o:title=""/>
            </v:shape>
            <v:shape style="position:absolute;left:3314;top:4035;width:59;height:357" coordorigin="3314,4036" coordsize="59,357" path="m3346,4080l3340,4080,3340,4392,3346,4392,3346,4080xm3343,4036l3314,4088,3340,4088,3340,4080,3367,4080,3343,4036xm3367,4080l3346,4080,3346,4088,3372,4088,3367,4080xe" filled="true" fillcolor="#5b9bd4" stroked="false">
              <v:path arrowok="t"/>
              <v:fill type="solid"/>
            </v:shape>
            <v:line style="position:absolute" from="4530,4413" to="4536,4272" stroked="true" strokeweight=".290731pt" strokecolor="#5b9bd4">
              <v:stroke dashstyle="solid"/>
            </v:line>
            <v:line style="position:absolute" from="4546,4288" to="3599,4288" stroked="true" strokeweight=".26306pt" strokecolor="#5b9bd4">
              <v:stroke dashstyle="solid"/>
            </v:line>
            <v:shape style="position:absolute;left:3569;top:4035;width:59;height:236" coordorigin="3570,4036" coordsize="59,236" path="m3602,4080l3596,4080,3596,4271,3602,4271,3602,4080xm3599,4036l3570,4088,3596,4088,3596,4080,3623,4080,3599,4036xm3623,4080l3602,4080,3602,4088,3628,4088,3623,4080xe" filled="true" fillcolor="#5b9bd4" stroked="false">
              <v:path arrowok="t"/>
              <v:fill type="solid"/>
            </v:shape>
            <v:shape style="position:absolute;left:6988;top:3309;width:58;height:162" coordorigin="6988,3310" coordsize="58,162" path="m7020,3362l7014,3362,7024,3471,7030,3470,7020,3362xm7013,3310l6988,3364,7014,3362,7014,3354,7020,3353,7042,3353,7013,3310xm7020,3353l7014,3354,7014,3362,7020,3362,7020,3353xm7042,3353l7020,3353,7020,3362,7046,3360,7042,3353xe" filled="true" fillcolor="#5b9bd4" stroked="false">
              <v:path arrowok="t"/>
              <v:fill type="solid"/>
            </v:shape>
            <v:shape style="position:absolute;left:7260;top:3464;width:1024;height:805" coordorigin="7260,3465" coordsize="1024,805" path="m8147,3465l7397,3465,7343,3475,7300,3501,7271,3540,7260,3588,7260,4146,7271,4194,7300,4234,7343,4260,7397,4270,8147,4270,8200,4260,8244,4234,8273,4194,8284,4146,8284,3588,8273,3540,8244,3501,8200,3475,8147,3465xe" filled="true" fillcolor="#5b9bd4" stroked="false">
              <v:path arrowok="t"/>
              <v:fill type="solid"/>
            </v:shape>
            <v:shape style="position:absolute;left:7254;top:3459;width:1036;height:816" coordorigin="7254,3460" coordsize="1036,816" path="m8147,3460l7396,3460,7382,3460,7368,3462,7354,3465,7341,3470,7329,3475,7317,3482,7306,3489,7296,3497,7287,3506,7279,3516,7271,3527,7265,3538,7261,3550,7257,3562,7255,3575,7254,3588,7254,4147,7255,4160,7257,4172,7261,4185,7265,4196,7271,4208,7279,4218,7287,4228,7296,4237,7306,4246,7317,4253,7329,4260,7341,4265,7354,4269,7368,4273,7382,4274,7396,4275,8147,4275,8162,4274,8176,4273,8189,4269,8203,4265,8204,4265,7397,4265,7385,4264,7383,4264,7370,4262,7370,4262,7358,4259,7358,4259,7345,4255,7346,4255,7335,4250,7334,4250,7323,4244,7323,4244,7313,4237,7313,4237,7304,4230,7304,4230,7296,4221,7296,4221,7288,4213,7288,4213,7282,4203,7282,4203,7276,4193,7276,4193,7272,4182,7272,4182,7269,4171,7269,4171,7267,4159,7267,4159,7266,4146,7266,3588,7266,3576,7267,3575,7268,3565,7268,3565,7272,3553,7272,3553,7272,3553,7272,3553,7276,3543,7276,3543,7276,3542,7276,3542,7282,3532,7282,3532,7288,3522,7288,3522,7296,3513,7296,3513,7304,3505,7304,3505,7304,3505,7304,3505,7313,3497,7313,3497,7323,3490,7323,3490,7334,3485,7334,3485,7334,3484,7335,3484,7346,3479,7346,3479,7357,3476,7357,3476,7358,3475,7358,3475,7370,3473,7370,3473,7383,3471,7385,3471,7397,3470,8203,3470,8203,3470,8189,3465,8176,3462,8162,3460,8147,3460xm8147,4265l7397,4265,7397,4265,8147,4265,8147,4265xm8161,4264l8147,4265,8204,4265,8205,4264,8160,4264,8161,4264xm7383,4264l7383,4264,7385,4264,7383,4264xm8209,4262l8174,4262,8160,4264,8205,4264,8209,4262xm7370,4262l7370,4262,7370,4262,7370,4262xm7370,4262l7370,4262,7370,4262,7370,4262xm8216,4259l8186,4259,8186,4259,8186,4259,8173,4262,8174,4262,8209,4262,8215,4260,8216,4259xm7358,4259l7358,4259,7358,4259,7358,4259xm8186,4259l8186,4259,8186,4259,8186,4259xm7357,4259l7357,4259,7358,4259,7357,4259xm8223,4255l8198,4255,8186,4259,8186,4259,8216,4259,8223,4255xm7346,4255l7346,4255,7346,4255,7346,4255xm8231,4250l8210,4250,8209,4250,8209,4250,8198,4255,8198,4255,8223,4255,8227,4253,8231,4250xm7346,4255l7345,4255,7346,4255,7346,4255xm7334,4250l7334,4250,7335,4250,7334,4250xm8210,4250l8209,4250,8209,4250,8210,4250xm7334,4250l7334,4250,7334,4250,7334,4250xm8239,4244l8221,4244,8210,4250,8210,4250,8231,4250,8238,4246,8239,4244xm7323,4244l7323,4244,7324,4245,7323,4244xm8255,4230l8240,4230,8239,4230,8239,4230,8230,4238,8230,4238,8220,4245,8221,4244,8239,4244,8248,4237,8255,4230xm7313,4238l7314,4238,7314,4238,7313,4238xm8230,4237l8230,4238,8230,4238,8230,4237xm7313,4237l7313,4237,7313,4238,7313,4237xm7304,4230l7304,4230,7304,4230,7304,4230xm8240,4230l8239,4230,8239,4230,8240,4230xm8275,4203l8262,4203,8255,4213,8255,4213,8248,4222,8248,4222,8240,4230,8240,4230,8255,4230,8257,4228,8265,4218,8272,4208,8275,4203xm7304,4230l7304,4230,7304,4230,7304,4230xm7296,4221l7296,4221,7296,4222,7296,4221xm8248,4221l8248,4222,8248,4222,8248,4221xm7288,4212l7288,4213,7288,4213,7288,4212xm8256,4212l8255,4213,8255,4213,8256,4212xm7282,4203l7282,4203,7282,4203,7282,4203xm8280,4192l8268,4192,8262,4203,8262,4203,8275,4203,8278,4196,8280,4192xm7276,4192l7276,4193,7276,4193,7276,4192xm8284,4181l8272,4181,8272,4182,8272,4182,8267,4193,8268,4192,8280,4192,8283,4185,8284,4181xm7276,4192l7276,4192,7276,4192,7276,4192xm7272,4182l7272,4182,7272,4182,7272,4182xm8272,4182l8272,4182,8272,4182,8272,4182xm7272,4181l7272,4181,7272,4182,7272,4181xm8287,4170l8275,4170,8275,4171,8275,4171,8272,4182,8272,4181,8284,4181,8287,4172,8287,4170xm7268,4170l7269,4171,7269,4171,7268,4170xm8275,4170l8275,4171,8275,4171,8275,4170xm7268,4170l7268,4170,7268,4170,7268,4170xm8289,3588l8278,3588,8278,4146,8277,4159,8277,4159,8275,4170,8275,4170,8287,4170,8289,4160,8289,4147,8289,3588xm7267,4158l7267,4159,7267,4159,7267,4158xm8277,4158l8277,4159,8277,4159,8277,4158xm8278,4146l8278,4146,8278,4146,8278,4146xm7266,3588l7266,3588,7266,3589,7266,3588xm8289,3576l8277,3576,8278,3589,8278,3588,8289,3588,8289,3576xm7267,3576l7267,3576,7267,3576,7267,3576xm8287,3564l8275,3564,8275,3565,8275,3565,8277,3576,8277,3576,8289,3576,8289,3575,8287,3564xm8275,3565l8275,3565,8275,3565,8275,3565xm7269,3564l7269,3564,7268,3565,7269,3564xm8275,3532l8262,3532,8262,3532,8262,3532,8268,3543,8268,3543,8272,3553,8272,3553,8275,3565,8275,3564,8287,3564,8287,3562,8283,3550,8278,3538,8275,3532xm7272,3553l7272,3553,7272,3553,7272,3553xm8272,3553l8272,3553,8272,3553,8272,3553xm7272,3553l7272,3553,7272,3553,7272,3553xm8267,3542l8268,3543,8268,3543,8267,3542xm7276,3542l7276,3542,7276,3542,7276,3542xm7282,3532l7282,3532,7282,3532,7282,3532xm8262,3532l8262,3532,8262,3532,8262,3532xm8255,3505l8239,3505,8240,3505,8240,3505,8248,3513,8248,3513,8256,3522,8256,3522,8262,3532,8262,3532,8275,3532,8272,3527,8265,3516,8257,3506,8255,3505xm7288,3522l7288,3522,7288,3522,7288,3522xm8255,3522l8256,3522,8256,3522,8255,3522xm7296,3513l7296,3513,7296,3513,7296,3513xm8248,3513l8248,3513,8248,3513,8248,3513xm7304,3505l7304,3505,7304,3505,7304,3505xm8240,3505l8240,3505,8240,3505,8240,3505xm7304,3505l7304,3505,7304,3505,7304,3505xm8239,3490l8220,3490,8221,3490,8220,3490,8230,3497,8230,3497,8240,3505,8239,3505,8255,3505,8248,3497,8239,3490xm7314,3497l7313,3497,7313,3497,7314,3497xm8230,3497l8230,3497,8230,3497,8230,3497xm7324,3490l7323,3490,7323,3490,7324,3490xm8220,3490l8220,3490,8221,3490,8220,3490xm8231,3484l8209,3484,8220,3490,8220,3490,8239,3490,8238,3489,8231,3484xm8223,3479l8198,3479,8210,3485,8209,3484,8231,3484,8227,3482,8223,3479xm7335,3484l7334,3484,7334,3485,7335,3484xm7346,3479l7346,3479,7345,3480,7346,3479xm8215,3475l8186,3475,8186,3476,8186,3476,8198,3480,8198,3479,8223,3479,8215,3475xm8186,3475l8186,3476,8186,3476,8186,3475xm7358,3475l7358,3475,7358,3475,7358,3475xm8173,3472l8186,3475,8186,3475,8215,3475,8215,3475,8209,3473,8174,3473,8173,3472xm7370,3472l7370,3473,7370,3473,7370,3472xm8209,3472l8173,3472,8174,3473,8209,3473,8209,3472xm8205,3471l8160,3471,8173,3472,8173,3472,8209,3472,8205,3471xm7385,3471l7383,3471,7383,3471,7385,3471xm8203,3470l8147,3470,8161,3471,8160,3471,8205,3471,8203,3470xe" filled="true" fillcolor="#41709c" stroked="false">
              <v:path arrowok="t"/>
              <v:fill type="solid"/>
            </v:shape>
            <v:shape style="position:absolute;left:7745;top:3314;width:59;height:157" coordorigin="7746,3315" coordsize="59,157" path="m7778,3368l7772,3368,7772,3471,7778,3471,7778,3368xm7775,3315l7746,3368,7772,3368,7772,3359,7799,3359,7775,3315xm7778,3359l7772,3359,7772,3368,7778,3368,7778,3359xm7799,3359l7778,3359,7778,3368,7804,3367,7799,3359xe" filled="true" fillcolor="#5b9bd4" stroked="false">
              <v:path arrowok="t"/>
              <v:fill type="solid"/>
            </v:shape>
            <v:shape style="position:absolute;left:8492;top:3454;width:948;height:853" coordorigin="8493,3454" coordsize="948,853" path="m9284,3454l8650,3454,8589,3465,8539,3496,8505,3541,8493,3596,8493,4165,8505,4220,8539,4265,8589,4295,8650,4307,9284,4307,9345,4295,9395,4265,9429,4220,9441,4165,9441,3596,9429,3541,9395,3496,9345,3465,9284,3454xe" filled="true" fillcolor="#5b9bd4" stroked="false">
              <v:path arrowok="t"/>
              <v:fill type="solid"/>
            </v:shape>
            <v:shape style="position:absolute;left:8487;top:3449;width:960;height:863" coordorigin="8487,3449" coordsize="960,863" path="m9284,3449l8650,3449,8633,3450,8617,3452,8602,3456,8587,3461,8572,3467,8559,3474,8546,3483,8535,3492,8524,3503,8515,3514,8507,3526,8500,3539,8494,3553,8490,3567,8488,3581,8487,3596,8487,4165,8488,4180,8490,4194,8494,4208,8500,4222,8507,4235,8515,4247,8524,4258,8535,4269,8546,4278,8559,4287,8572,4294,8587,4300,8602,4305,8617,4309,8633,4311,8650,4312,9284,4312,9301,4311,9317,4309,9332,4305,9344,4301,8650,4301,8636,4301,8635,4301,8620,4299,8605,4295,8605,4295,8591,4291,8591,4291,8578,4285,8578,4285,8566,4278,8566,4278,8554,4270,8554,4270,8543,4261,8543,4261,8534,4252,8533,4252,8525,4241,8525,4241,8517,4230,8517,4230,8511,4218,8511,4218,8506,4206,8502,4192,8502,4192,8500,4179,8500,4179,8499,4165,8499,3596,8500,3583,8500,3581,8502,3569,8502,3569,8506,3556,8505,3556,8511,3543,8511,3543,8511,3543,8511,3543,8517,3531,8517,3531,8525,3520,8525,3520,8533,3509,8534,3509,8543,3499,8543,3499,8554,3491,8554,3491,8565,3483,8565,3483,8578,3476,8578,3476,8578,3476,8578,3476,8591,3470,8591,3470,8605,3466,8605,3466,8619,3462,8619,3462,8635,3460,8636,3460,8650,3460,9344,3460,9332,3456,9317,3452,9301,3450,9284,3449xm9284,4301l8650,4301,8650,4301,9284,4301,9284,4301xm9300,4301l9284,4301,9344,4301,9346,4301,9299,4301,9300,4301xm8634,4301l8635,4301,8636,4301,8634,4301xm9351,4299l9315,4299,9299,4301,9346,4301,9347,4300,9351,4299xm8620,4299l8620,4299,8620,4299,8620,4299xm9359,4295l9329,4295,9314,4299,9315,4299,9351,4299,9359,4295xm8619,4299l8619,4299,8620,4299,8619,4299xm8605,4295l8605,4295,8605,4295,8605,4295xm9368,4291l9343,4291,9329,4295,9329,4295,9359,4295,9362,4294,9368,4291xm8591,4291l8591,4291,8591,4291,8591,4291xm9378,4285l9356,4285,9343,4291,9343,4291,9368,4291,9375,4287,9378,4285xm8591,4291l8591,4291,8591,4291,8591,4291xm8578,4285l8578,4285,8578,4285,8578,4285xm9397,4270l9380,4270,9368,4278,9368,4278,9356,4285,9356,4285,9378,4285,9388,4278,9397,4270xm8565,4278l8566,4278,8566,4278,8565,4278xm9369,4278l9368,4278,9368,4278,9369,4278xm8554,4270l8554,4270,8554,4270,8554,4270xm9407,4261l9391,4261,9391,4261,9391,4261,9380,4270,9380,4270,9397,4270,9399,4269,9407,4261xm8543,4261l8543,4261,8543,4261,8543,4261xm9391,4261l9391,4261,9391,4261,9391,4261xm9415,4251l9401,4251,9400,4252,9400,4252,9391,4261,9391,4261,9407,4261,9410,4258,9415,4251xm8543,4261l8543,4261,8543,4261,8543,4261xm8533,4251l8533,4252,8534,4252,8533,4251xm9401,4252l9400,4252,9400,4252,9401,4252xm9423,4241l9409,4241,9401,4252,9401,4251,9415,4251,9419,4247,9423,4241xm8533,4251l8533,4251,8533,4251,8533,4251xm8524,4241l8525,4241,8525,4241,8524,4241xm9430,4230l9417,4230,9409,4241,9409,4241,9423,4241,9427,4235,9430,4230xm8517,4230l8517,4230,8517,4230,8517,4230xm8517,4230l8517,4230,8517,4230,8517,4230xm9440,4205l9428,4205,9423,4218,9423,4218,9417,4230,9417,4230,9430,4230,9434,4222,9439,4208,9440,4205xm8511,4218l8511,4218,8511,4218,8511,4218xm9423,4218l9423,4218,9423,4218,9423,4218xm8506,4205l8506,4206,8506,4206,8506,4205xm8506,4205l8505,4205,8506,4205,8506,4205xm9444,4192l9432,4192,9432,4192,9432,4192,9428,4205,9428,4205,9440,4205,9443,4194,9444,4192xm8502,4192l8502,4192,8502,4192,8502,4192xm9432,4192l9432,4192,9432,4192,9432,4192xm8502,4192l8502,4192,8502,4192,8502,4192xm9447,3596l9435,3596,9435,4165,9434,4179,9434,4179,9432,4192,9432,4192,9444,4192,9446,4180,9447,4165,9447,3596xm8500,4178l8500,4179,8500,4179,8500,4178xm9434,4178l9434,4179,9434,4179,9434,4178xm9435,4164l9435,4165,9435,4165,9435,4164xm8499,3596l8499,3596,8499,3597,8499,3596xm9446,3582l9434,3582,9435,3597,9435,3596,9447,3596,9446,3582xm8500,3582l8500,3582,8500,3583,8500,3582xm9444,3569l9432,3569,9432,3569,9432,3569,9434,3583,9434,3582,9446,3582,9446,3581,9444,3569xm9432,3569l9432,3569,9432,3569,9432,3569xm8502,3569l8502,3569,8502,3569,8502,3569xm9436,3543l9423,3543,9423,3543,9423,3543,9428,3556,9428,3556,9432,3569,9432,3569,9444,3569,9443,3567,9439,3553,9436,3543xm8506,3556l8505,3556,8506,3556,8506,3556xm9428,3556l9428,3556,9428,3556,9428,3556xm9423,3543l9423,3543,9423,3543,9423,3543xm8511,3543l8511,3543,8511,3543,8511,3543xm9430,3531l9417,3531,9417,3531,9417,3531,9423,3543,9423,3543,9436,3543,9434,3539,9430,3531xm8517,3531l8517,3531,8517,3531,8517,3531xm9417,3531l9417,3531,9417,3531,9417,3531xm9423,3520l9409,3520,9417,3531,9417,3531,9430,3531,9427,3526,9423,3520xm8525,3520l8525,3520,8524,3520,8525,3520xm9406,3500l9391,3500,9391,3500,9391,3500,9401,3510,9401,3510,9409,3520,9409,3520,9423,3520,9419,3514,9410,3503,9406,3500xm8534,3509l8533,3509,8533,3510,8534,3509xm9400,3509l9401,3510,9401,3510,9400,3509xm8543,3499l8543,3499,8543,3500,8543,3499xm9391,3500l9391,3500,9391,3500,9391,3500xm9397,3491l9380,3491,9391,3500,9391,3500,9406,3500,9399,3492,9397,3491xm8554,3491l8554,3491,8554,3491,8554,3491xm9378,3476l9356,3476,9356,3476,9356,3476,9369,3483,9369,3483,9380,3491,9380,3491,9397,3491,9388,3483,9378,3476xm8566,3483l8565,3483,8565,3483,8566,3483xm9368,3483l9369,3483,9369,3483,9368,3483xm9356,3476l9356,3476,9356,3476,9356,3476xm9368,3470l9343,3470,9343,3470,9343,3470,9356,3476,9356,3476,9378,3476,9375,3474,9368,3470xm8578,3476l8578,3476,8578,3476,8578,3476xm8591,3470l8591,3470,8591,3470,8591,3470xm9343,3470l9343,3470,9343,3470,9343,3470xm9329,3466l9343,3470,9343,3470,9368,3470,9362,3467,9359,3466,9329,3466,9329,3466xm8605,3466l8605,3466,8605,3466,8605,3466xm9351,3462l9314,3462,9315,3462,9314,3462,9329,3466,9359,3466,9351,3462xm9314,3462l9314,3462,9315,3462,9314,3462xm9346,3460l9299,3460,9314,3462,9314,3462,9351,3462,9347,3461,9346,3460xm8636,3460l8635,3460,8634,3460,8636,3460xm9344,3460l9284,3460,9300,3460,9299,3460,9346,3460,9344,3460xe" filled="true" fillcolor="#41709c" stroked="false">
              <v:path arrowok="t"/>
              <v:fill type="solid"/>
            </v:shape>
            <v:shape style="position:absolute;left:9522;top:3449;width:1105;height:1973" type="#_x0000_t75" stroked="false">
              <v:imagedata r:id="rId273" o:title=""/>
            </v:shape>
            <v:shape style="position:absolute;left:8411;top:4396;width:1036;height:1021" coordorigin="8412,4396" coordsize="1036,1021" path="m9274,4396l8584,4396,8517,4408,8462,4442,8425,4491,8412,4552,8412,5261,8425,5321,8462,5371,8517,5404,8584,5417,9274,5417,9341,5404,9396,5371,9433,5321,9447,5261,9447,4552,9433,4491,9396,4442,9341,4408,9274,4396xe" filled="true" fillcolor="#5b9bd4" stroked="false">
              <v:path arrowok="t"/>
              <v:fill type="solid"/>
            </v:shape>
            <v:shape style="position:absolute;left:8405;top:4390;width:1047;height:1032" coordorigin="8406,4391" coordsize="1047,1032" path="m9274,4391l8584,4391,8575,4391,8566,4392,8548,4394,8531,4398,8515,4404,8499,4410,8484,4418,8471,4428,8458,4438,8446,4450,8436,4462,8427,4475,8420,4489,8414,4504,8409,4520,8407,4536,8406,4544,8406,5269,8407,5277,8409,5293,8414,5309,8420,5324,8427,5338,8436,5351,8446,5363,8458,5375,8471,5385,8484,5395,8499,5403,8515,5409,8531,5415,8548,5419,8566,5421,8575,5422,8584,5422,9274,5422,9283,5422,9293,5421,9310,5419,9327,5415,9337,5412,8584,5412,8576,5411,8567,5411,8551,5409,8551,5409,8535,5405,8535,5405,8520,5400,8519,5400,8504,5393,8504,5393,8491,5386,8491,5386,8478,5377,8478,5377,8466,5368,8466,5368,8455,5356,8455,5356,8446,5345,8446,5345,8437,5332,8437,5332,8431,5320,8431,5320,8425,5306,8425,5306,8421,5291,8421,5291,8418,5276,8418,5276,8418,5269,8418,5269,8417,5261,8417,4552,8418,4544,8418,4544,8418,4537,8418,4537,8421,4522,8421,4522,8425,4507,8425,4507,8430,4494,8430,4494,8438,4480,8438,4480,8446,4468,8446,4468,8455,4456,8455,4456,8456,4456,8456,4456,8466,4446,8466,4446,8466,4445,8466,4445,8478,4436,8478,4436,8491,4427,8491,4427,8504,4420,8504,4420,8519,4413,8519,4413,8535,4408,8535,4408,8550,4404,8550,4404,8567,4402,8567,4402,8576,4402,8575,4402,8584,4401,9337,4401,9327,4398,9310,4394,9293,4392,9283,4391,9274,4391xm9283,5411l9274,5412,9337,5412,9338,5411,9283,5411,9283,5411xm8576,5411l8576,5411,8576,5411,8576,5411xm8576,5411l8575,5411,8576,5411,8576,5411xm9340,5411l9291,5411,9283,5411,9283,5411,9338,5411,9340,5411xm8567,5411l8567,5411,8568,5411,8567,5411xm8567,5411l8567,5411,8567,5411,8567,5411xm9308,5408l9291,5411,9291,5411,9340,5411,9344,5409,9346,5409,9308,5409,9308,5408xm8551,5408l8551,5409,8551,5409,8551,5408xm9346,5408l9308,5408,9308,5409,9346,5409,9346,5408xm8550,5408l8550,5408,8551,5408,8550,5408xm9355,5405l9324,5405,9324,5405,9323,5405,9308,5408,9308,5408,9346,5408,9355,5405xm8534,5405l8535,5405,8535,5405,8534,5405xm9365,5400l9339,5400,9324,5405,9324,5405,9355,5405,9359,5403,9365,5400xm8534,5405l8534,5405,8534,5405,8534,5405xm8519,5400l8519,5400,8520,5400,8519,5400xm9376,5393l9354,5393,9339,5400,9339,5400,9365,5400,9374,5394,9376,5393xm8519,5400l8519,5400,8519,5400,8519,5400xm8504,5393l8504,5393,8505,5393,8504,5393xm9398,5377l9381,5377,9367,5386,9367,5386,9353,5393,9354,5393,9376,5393,9388,5385,9398,5377xm8491,5386l8491,5386,8491,5386,8491,5386xm9368,5386l9367,5386,9367,5386,9368,5386xm9408,5367l9392,5367,9392,5368,9392,5368,9380,5377,9381,5377,9398,5377,9400,5375,9408,5367xm8478,5377l8478,5377,8478,5377,8478,5377xm8478,5377l8478,5377,8478,5377,8478,5377xm8466,5367l8466,5368,8466,5368,8466,5367xm9392,5367l9392,5368,9392,5368,9392,5367xm9418,5356l9403,5356,9392,5367,9392,5367,9408,5367,9412,5363,9418,5356xm8466,5367l8466,5367,8466,5367,8466,5367xm8456,5357l8456,5357,8456,5357,8456,5357xm8455,5356l8455,5356,8456,5357,8455,5356xm9426,5345l9413,5345,9412,5345,9412,5345,9403,5357,9403,5356,9418,5356,9422,5351,9426,5345xm8446,5345l8446,5345,8446,5345,8446,5345xm9413,5345l9412,5345,9412,5345,9413,5345xm8446,5345l8446,5345,8446,5345,8446,5345xm9434,5332l9421,5332,9413,5345,9413,5345,9426,5345,9431,5338,9434,5332xm8438,5333l8438,5333,8438,5333,8438,5333xm8437,5332l8437,5332,8438,5333,8437,5332xm9449,5291l9438,5291,9438,5291,9437,5291,9433,5306,9433,5306,9428,5320,9428,5320,9421,5333,9421,5332,9434,5332,9439,5324,9445,5309,9449,5293,9449,5291xm8430,5319l8431,5320,8431,5320,8430,5319xm9428,5319l9428,5320,9428,5320,9428,5319xm8425,5305l8425,5306,8425,5306,8425,5305xm9433,5305l9433,5306,9433,5306,9433,5305xm8421,5291l8421,5291,8421,5291,8421,5291xm9438,5291l9437,5291,9438,5291,9438,5291xm8421,5291l8421,5291,8421,5291,8421,5291xm9452,5276l9440,5276,9438,5291,9438,5291,9449,5291,9452,5277,9452,5276xm9453,4552l9441,4552,9441,5261,9441,5269,9441,5269,9440,5276,9440,5276,9452,5276,9452,5269,9453,4552xm8418,5276l8418,5276,8418,5276,8418,5276xm8418,5268l8418,5269,8418,5269,8418,5268xm9441,5268l9441,5269,9441,5269,9441,5268xm9441,5261l9441,5261,9441,5261,9441,5261xm8417,4552l8417,4552,8417,4552,8417,4552xm9452,4544l9441,4544,9441,4552,9441,4552,9453,4552,9452,4544xm8418,4544l8418,4544,8418,4545,8418,4544xm9449,4521l9438,4521,9440,4537,9440,4537,9441,4545,9441,4544,9452,4544,9452,4544,9452,4536,9449,4521xm8418,4537l8418,4537,8418,4537,8418,4537xm9440,4537l9440,4537,9440,4537,9440,4537xm8421,4522l8421,4522,8421,4522,8421,4522xm9445,4507l9433,4507,9438,4522,9438,4521,9449,4521,9449,4520,9445,4507xm8421,4522l8421,4522,8421,4522,8421,4522xm8425,4507l8425,4507,8425,4508,8425,4507xm9434,4480l9421,4480,9421,4480,9421,4480,9428,4494,9428,4494,9433,4508,9433,4507,9445,4507,9445,4504,9439,4489,9434,4480xm8431,4493l8430,4494,8430,4494,8431,4493xm9428,4493l9428,4494,9428,4494,9428,4493xm8438,4480l8438,4480,8437,4480,8438,4480xm9421,4480l9421,4480,9421,4480,9421,4480xm9426,4468l9412,4468,9421,4480,9421,4480,9434,4480,9431,4475,9426,4468xm8446,4468l8446,4468,8446,4468,8446,4468xm9417,4456l9403,4456,9403,4456,9403,4456,9413,4468,9412,4468,9426,4468,9422,4462,9417,4456xm9403,4456l9403,4456,9403,4456,9403,4456xm8456,4456l8456,4456,8455,4456,8456,4456xm9408,4445l9392,4445,9392,4446,9392,4446,9403,4456,9403,4456,9417,4456,9412,4450,9408,4445xm8466,4446l8466,4446,8466,4446,8466,4446xm9392,4446l9392,4446,9392,4446,9392,4446xm8466,4445l8466,4445,8466,4446,8466,4445xm9397,4436l9380,4436,9381,4436,9380,4436,9392,4446,9392,4445,9408,4445,9400,4438,9397,4436xm8478,4436l8478,4436,8478,4436,8478,4436xm9380,4436l9380,4436,9381,4436,9380,4436xm9387,4427l9367,4427,9380,4436,9380,4436,9397,4436,9388,4428,9387,4427xm9376,4419l9354,4419,9368,4427,9367,4427,9387,4427,9376,4419xm8491,4427l8491,4427,8491,4427,8491,4427xm9354,4408l9324,4408,9324,4408,9324,4408,9339,4413,9339,4413,9354,4420,9354,4419,9376,4419,9374,4418,9359,4410,9354,4408xm8505,4419l8504,4420,8504,4420,8505,4419xm9339,4413l9339,4413,9339,4413,9339,4413xm8519,4413l8519,4413,8519,4413,8519,4413xm8535,4408l8535,4408,8534,4408,8535,4408xm9324,4408l9324,4408,9324,4408,9324,4408xm9308,4404l9324,4408,9324,4408,9354,4408,9346,4404,9308,4404,9308,4404xm8551,4404l8550,4404,8550,4404,8551,4404xm9346,4404l9308,4404,9308,4404,9346,4404,9346,4404xm9337,4401l9274,4401,9283,4402,9283,4402,9291,4402,9291,4402,9308,4404,9308,4404,9346,4404,9344,4404,9337,4401xe" filled="true" fillcolor="#41709c" stroked="false">
              <v:path arrowok="t"/>
              <v:fill type="solid"/>
            </v:shape>
            <v:shape style="position:absolute;left:8937;top:3314;width:59;height:147" coordorigin="8938,3315" coordsize="59,147" path="m8970,3359l8964,3359,8964,3462,8970,3462,8970,3359xm8967,3315l8938,3367,8964,3367,8964,3359,8991,3359,8967,3315xm8991,3359l8970,3359,8970,3367,8996,3367,8991,3359xe" filled="true" fillcolor="#5b9bd4" stroked="false">
              <v:path arrowok="t"/>
              <v:fill type="solid"/>
            </v:shape>
            <v:shape style="position:absolute;left:10071;top:3314;width:83;height:149" coordorigin="10071,3315" coordsize="83,149" path="m10100,3361l10095,3363,10148,3463,10154,3461,10100,3361xm10072,3315l10071,3374,10095,3363,10091,3355,10096,3353,10118,3353,10124,3351,10072,3315xm10096,3353l10091,3355,10095,3363,10100,3361,10096,3353xm10118,3353l10096,3353,10100,3361,10118,3353xe" filled="true" fillcolor="#5b9bd4" stroked="false">
              <v:path arrowok="t"/>
              <v:fill type="solid"/>
            </v:shape>
            <v:shape style="position:absolute;left:4654;top:1002;width:2322;height:122" type="#_x0000_t202" filled="false" stroked="false">
              <v:textbox inset="0,0,0,0">
                <w:txbxContent>
                  <w:p>
                    <w:pPr>
                      <w:spacing w:line="121" w:lineRule="exact" w:before="0"/>
                      <w:ind w:left="0" w:right="0" w:firstLine="0"/>
                      <w:jc w:val="left"/>
                      <w:rPr>
                        <w:rFonts w:ascii="Calibri" w:hAnsi="Calibri"/>
                        <w:b/>
                        <w:sz w:val="12"/>
                      </w:rPr>
                    </w:pPr>
                    <w:r>
                      <w:rPr>
                        <w:rFonts w:ascii="Calibri" w:hAnsi="Calibri"/>
                        <w:b/>
                        <w:w w:val="110"/>
                        <w:sz w:val="12"/>
                      </w:rPr>
                      <w:t>Limitación del desarrollo integral del país</w:t>
                    </w:r>
                  </w:p>
                </w:txbxContent>
              </v:textbox>
              <w10:wrap type="none"/>
            </v:shape>
            <v:shape style="position:absolute;left:3321;top:1491;width:1638;height:269" type="#_x0000_t202" filled="false" stroked="false">
              <v:textbox inset="0,0,0,0">
                <w:txbxContent>
                  <w:p>
                    <w:pPr>
                      <w:spacing w:line="123" w:lineRule="exact" w:before="0"/>
                      <w:ind w:left="0" w:right="0" w:firstLine="0"/>
                      <w:jc w:val="left"/>
                      <w:rPr>
                        <w:rFonts w:ascii="Calibri"/>
                        <w:sz w:val="12"/>
                      </w:rPr>
                    </w:pPr>
                    <w:r>
                      <w:rPr>
                        <w:rFonts w:ascii="Calibri"/>
                        <w:color w:val="FFFFFF"/>
                        <w:w w:val="110"/>
                        <w:sz w:val="12"/>
                      </w:rPr>
                      <w:t>Recursos insuficientes para el</w:t>
                    </w:r>
                  </w:p>
                  <w:p>
                    <w:pPr>
                      <w:spacing w:line="145" w:lineRule="exact" w:before="1"/>
                      <w:ind w:left="69" w:right="0" w:firstLine="0"/>
                      <w:jc w:val="left"/>
                      <w:rPr>
                        <w:rFonts w:ascii="Calibri"/>
                        <w:sz w:val="12"/>
                      </w:rPr>
                    </w:pPr>
                    <w:r>
                      <w:rPr>
                        <w:rFonts w:ascii="Calibri"/>
                        <w:color w:val="FFFFFF"/>
                        <w:w w:val="110"/>
                        <w:sz w:val="12"/>
                      </w:rPr>
                      <w:t>funcionamiento del Estado</w:t>
                    </w:r>
                  </w:p>
                </w:txbxContent>
              </v:textbox>
              <w10:wrap type="none"/>
            </v:shape>
            <v:shape style="position:absolute;left:6307;top:1491;width:2295;height:269" type="#_x0000_t202" filled="false" stroked="false">
              <v:textbox inset="0,0,0,0">
                <w:txbxContent>
                  <w:p>
                    <w:pPr>
                      <w:spacing w:line="123" w:lineRule="exact" w:before="0"/>
                      <w:ind w:left="3" w:right="17" w:firstLine="0"/>
                      <w:jc w:val="center"/>
                      <w:rPr>
                        <w:rFonts w:ascii="Calibri" w:hAnsi="Calibri"/>
                        <w:sz w:val="12"/>
                      </w:rPr>
                    </w:pPr>
                    <w:r>
                      <w:rPr>
                        <w:rFonts w:ascii="Calibri" w:hAnsi="Calibri"/>
                        <w:color w:val="FFFFFF"/>
                        <w:w w:val="110"/>
                        <w:sz w:val="12"/>
                      </w:rPr>
                      <w:t>Bajo estimulo para la cooperación</w:t>
                    </w:r>
                  </w:p>
                  <w:p>
                    <w:pPr>
                      <w:spacing w:line="145" w:lineRule="exact" w:before="1"/>
                      <w:ind w:left="3" w:right="22" w:firstLine="0"/>
                      <w:jc w:val="center"/>
                      <w:rPr>
                        <w:rFonts w:ascii="Calibri"/>
                        <w:sz w:val="12"/>
                      </w:rPr>
                    </w:pPr>
                    <w:r>
                      <w:rPr>
                        <w:rFonts w:ascii="Calibri"/>
                        <w:color w:val="FFFFFF"/>
                        <w:w w:val="110"/>
                        <w:sz w:val="12"/>
                      </w:rPr>
                      <w:t>interinstitucional nacional e</w:t>
                    </w:r>
                    <w:r>
                      <w:rPr>
                        <w:rFonts w:ascii="Calibri"/>
                        <w:color w:val="FFFFFF"/>
                        <w:spacing w:val="3"/>
                        <w:w w:val="110"/>
                        <w:sz w:val="12"/>
                      </w:rPr>
                      <w:t> </w:t>
                    </w:r>
                    <w:r>
                      <w:rPr>
                        <w:rFonts w:ascii="Calibri"/>
                        <w:color w:val="FFFFFF"/>
                        <w:w w:val="110"/>
                        <w:sz w:val="12"/>
                      </w:rPr>
                      <w:t>internacional</w:t>
                    </w:r>
                  </w:p>
                </w:txbxContent>
              </v:textbox>
              <w10:wrap type="none"/>
            </v:shape>
            <v:shape style="position:absolute;left:4817;top:2178;width:1991;height:122" type="#_x0000_t202" filled="false" stroked="false">
              <v:textbox inset="0,0,0,0">
                <w:txbxContent>
                  <w:p>
                    <w:pPr>
                      <w:spacing w:line="121" w:lineRule="exact" w:before="0"/>
                      <w:ind w:left="0" w:right="0" w:firstLine="0"/>
                      <w:jc w:val="left"/>
                      <w:rPr>
                        <w:rFonts w:ascii="Calibri" w:hAnsi="Calibri"/>
                        <w:sz w:val="12"/>
                      </w:rPr>
                    </w:pPr>
                    <w:r>
                      <w:rPr>
                        <w:rFonts w:ascii="Calibri" w:hAnsi="Calibri"/>
                        <w:color w:val="FFFFFF"/>
                        <w:w w:val="110"/>
                        <w:sz w:val="12"/>
                      </w:rPr>
                      <w:t>Insuficientes niveles de recaudación</w:t>
                    </w:r>
                  </w:p>
                </w:txbxContent>
              </v:textbox>
              <w10:wrap type="none"/>
            </v:shape>
            <v:shape style="position:absolute;left:1548;top:2893;width:1778;height:417" type="#_x0000_t202" filled="false" stroked="false">
              <v:textbox inset="0,0,0,0">
                <w:txbxContent>
                  <w:p>
                    <w:pPr>
                      <w:spacing w:line="123" w:lineRule="exact" w:before="0"/>
                      <w:ind w:left="1" w:right="12" w:firstLine="0"/>
                      <w:jc w:val="center"/>
                      <w:rPr>
                        <w:rFonts w:ascii="Calibri"/>
                        <w:sz w:val="12"/>
                      </w:rPr>
                    </w:pPr>
                    <w:r>
                      <w:rPr>
                        <w:rFonts w:ascii="Calibri"/>
                        <w:color w:val="FFFFFF"/>
                        <w:w w:val="110"/>
                        <w:sz w:val="12"/>
                      </w:rPr>
                      <w:t>Persistencia en el</w:t>
                    </w:r>
                  </w:p>
                  <w:p>
                    <w:pPr>
                      <w:spacing w:before="1"/>
                      <w:ind w:left="1" w:right="19" w:firstLine="0"/>
                      <w:jc w:val="center"/>
                      <w:rPr>
                        <w:rFonts w:ascii="Calibri"/>
                        <w:sz w:val="12"/>
                      </w:rPr>
                    </w:pPr>
                    <w:r>
                      <w:rPr>
                        <w:rFonts w:ascii="Calibri"/>
                        <w:color w:val="FFFFFF"/>
                        <w:w w:val="110"/>
                        <w:sz w:val="12"/>
                      </w:rPr>
                      <w:t>incumplimiento voluntario en el pago de tributos internos</w:t>
                    </w:r>
                  </w:p>
                </w:txbxContent>
              </v:textbox>
              <w10:wrap type="none"/>
            </v:shape>
            <v:shape style="position:absolute;left:4090;top:2967;width:1319;height:269" type="#_x0000_t202" filled="false" stroked="false">
              <v:textbox inset="0,0,0,0">
                <w:txbxContent>
                  <w:p>
                    <w:pPr>
                      <w:spacing w:line="123" w:lineRule="exact" w:before="0"/>
                      <w:ind w:left="0" w:right="0" w:firstLine="0"/>
                      <w:jc w:val="left"/>
                      <w:rPr>
                        <w:rFonts w:ascii="Calibri"/>
                        <w:sz w:val="12"/>
                      </w:rPr>
                    </w:pPr>
                    <w:r>
                      <w:rPr>
                        <w:rFonts w:ascii="Calibri"/>
                        <w:color w:val="FFFFFF"/>
                        <w:w w:val="110"/>
                        <w:sz w:val="12"/>
                      </w:rPr>
                      <w:t>Significativos niveles</w:t>
                    </w:r>
                    <w:r>
                      <w:rPr>
                        <w:rFonts w:ascii="Calibri"/>
                        <w:color w:val="FFFFFF"/>
                        <w:spacing w:val="25"/>
                        <w:w w:val="110"/>
                        <w:sz w:val="12"/>
                      </w:rPr>
                      <w:t> </w:t>
                    </w:r>
                    <w:r>
                      <w:rPr>
                        <w:rFonts w:ascii="Calibri"/>
                        <w:color w:val="FFFFFF"/>
                        <w:w w:val="110"/>
                        <w:sz w:val="12"/>
                      </w:rPr>
                      <w:t>de</w:t>
                    </w:r>
                  </w:p>
                  <w:p>
                    <w:pPr>
                      <w:spacing w:line="145" w:lineRule="exact" w:before="1"/>
                      <w:ind w:left="34" w:right="0" w:firstLine="0"/>
                      <w:jc w:val="left"/>
                      <w:rPr>
                        <w:rFonts w:ascii="Calibri" w:hAnsi="Calibri"/>
                        <w:sz w:val="12"/>
                      </w:rPr>
                    </w:pPr>
                    <w:r>
                      <w:rPr>
                        <w:rFonts w:ascii="Calibri" w:hAnsi="Calibri"/>
                        <w:color w:val="FFFFFF"/>
                        <w:w w:val="110"/>
                        <w:sz w:val="12"/>
                      </w:rPr>
                      <w:t>evasión en el </w:t>
                    </w:r>
                    <w:r>
                      <w:rPr>
                        <w:rFonts w:ascii="Calibri" w:hAnsi="Calibri"/>
                        <w:color w:val="FFFFFF"/>
                        <w:spacing w:val="-3"/>
                        <w:w w:val="110"/>
                        <w:sz w:val="12"/>
                      </w:rPr>
                      <w:t>IVA </w:t>
                    </w:r>
                    <w:r>
                      <w:rPr>
                        <w:rFonts w:ascii="Calibri" w:hAnsi="Calibri"/>
                        <w:color w:val="FFFFFF"/>
                        <w:w w:val="110"/>
                        <w:sz w:val="12"/>
                      </w:rPr>
                      <w:t>e </w:t>
                    </w:r>
                    <w:r>
                      <w:rPr>
                        <w:rFonts w:ascii="Calibri" w:hAnsi="Calibri"/>
                        <w:color w:val="FFFFFF"/>
                        <w:spacing w:val="2"/>
                        <w:w w:val="110"/>
                        <w:sz w:val="12"/>
                      </w:rPr>
                      <w:t> </w:t>
                    </w:r>
                    <w:r>
                      <w:rPr>
                        <w:rFonts w:ascii="Calibri" w:hAnsi="Calibri"/>
                        <w:color w:val="FFFFFF"/>
                        <w:w w:val="110"/>
                        <w:sz w:val="12"/>
                      </w:rPr>
                      <w:t>ISR</w:t>
                    </w:r>
                  </w:p>
                </w:txbxContent>
              </v:textbox>
              <w10:wrap type="none"/>
            </v:shape>
            <v:shape style="position:absolute;left:6628;top:2970;width:1434;height:269" type="#_x0000_t202" filled="false" stroked="false">
              <v:textbox inset="0,0,0,0">
                <w:txbxContent>
                  <w:p>
                    <w:pPr>
                      <w:spacing w:line="123" w:lineRule="exact" w:before="0"/>
                      <w:ind w:left="0" w:right="21" w:firstLine="0"/>
                      <w:jc w:val="center"/>
                      <w:rPr>
                        <w:rFonts w:ascii="Calibri"/>
                        <w:sz w:val="12"/>
                      </w:rPr>
                    </w:pPr>
                    <w:r>
                      <w:rPr>
                        <w:rFonts w:ascii="Calibri"/>
                        <w:color w:val="FFFFFF"/>
                        <w:w w:val="110"/>
                        <w:sz w:val="12"/>
                      </w:rPr>
                      <w:t>Altos niveles de</w:t>
                    </w:r>
                  </w:p>
                  <w:p>
                    <w:pPr>
                      <w:spacing w:line="145" w:lineRule="exact" w:before="1"/>
                      <w:ind w:left="0" w:right="18" w:firstLine="0"/>
                      <w:jc w:val="center"/>
                      <w:rPr>
                        <w:rFonts w:ascii="Calibri"/>
                        <w:sz w:val="12"/>
                      </w:rPr>
                    </w:pPr>
                    <w:r>
                      <w:rPr>
                        <w:rFonts w:ascii="Calibri"/>
                        <w:color w:val="FFFFFF"/>
                        <w:w w:val="110"/>
                        <w:sz w:val="12"/>
                      </w:rPr>
                      <w:t>incumplimiento aduanero</w:t>
                    </w:r>
                  </w:p>
                </w:txbxContent>
              </v:textbox>
              <w10:wrap type="none"/>
            </v:shape>
            <v:shape style="position:absolute;left:9091;top:2967;width:1202;height:269" type="#_x0000_t202" filled="false" stroked="false">
              <v:textbox inset="0,0,0,0">
                <w:txbxContent>
                  <w:p>
                    <w:pPr>
                      <w:spacing w:line="123" w:lineRule="exact" w:before="0"/>
                      <w:ind w:left="0" w:right="18" w:firstLine="0"/>
                      <w:jc w:val="center"/>
                      <w:rPr>
                        <w:rFonts w:ascii="Calibri"/>
                        <w:sz w:val="12"/>
                      </w:rPr>
                    </w:pPr>
                    <w:r>
                      <w:rPr>
                        <w:rFonts w:ascii="Calibri"/>
                        <w:color w:val="FFFFFF"/>
                        <w:w w:val="110"/>
                        <w:sz w:val="12"/>
                      </w:rPr>
                      <w:t>Falta de confianza del</w:t>
                    </w:r>
                  </w:p>
                  <w:p>
                    <w:pPr>
                      <w:spacing w:line="145" w:lineRule="exact" w:before="1"/>
                      <w:ind w:left="0" w:right="16" w:firstLine="0"/>
                      <w:jc w:val="center"/>
                      <w:rPr>
                        <w:rFonts w:ascii="Calibri"/>
                        <w:sz w:val="12"/>
                      </w:rPr>
                    </w:pPr>
                    <w:r>
                      <w:rPr>
                        <w:rFonts w:ascii="Calibri"/>
                        <w:color w:val="FFFFFF"/>
                        <w:w w:val="110"/>
                        <w:sz w:val="12"/>
                      </w:rPr>
                      <w:t>contribuyente</w:t>
                    </w:r>
                  </w:p>
                </w:txbxContent>
              </v:textbox>
              <w10:wrap type="none"/>
            </v:shape>
            <v:shape style="position:absolute;left:2180;top:3738;width:1841;height:269" type="#_x0000_t202" filled="false" stroked="false">
              <v:textbox inset="0,0,0,0">
                <w:txbxContent>
                  <w:p>
                    <w:pPr>
                      <w:spacing w:line="123" w:lineRule="exact" w:before="0"/>
                      <w:ind w:left="2" w:right="21" w:firstLine="0"/>
                      <w:jc w:val="center"/>
                      <w:rPr>
                        <w:rFonts w:ascii="Calibri" w:hAnsi="Calibri"/>
                        <w:sz w:val="12"/>
                      </w:rPr>
                    </w:pPr>
                    <w:r>
                      <w:rPr>
                        <w:rFonts w:ascii="Calibri" w:hAnsi="Calibri"/>
                        <w:color w:val="FFFFFF"/>
                        <w:w w:val="110"/>
                        <w:sz w:val="12"/>
                      </w:rPr>
                      <w:t>Poca efectividad en la gestión</w:t>
                    </w:r>
                    <w:r>
                      <w:rPr>
                        <w:rFonts w:ascii="Calibri" w:hAnsi="Calibri"/>
                        <w:color w:val="FFFFFF"/>
                        <w:spacing w:val="-9"/>
                        <w:w w:val="110"/>
                        <w:sz w:val="12"/>
                      </w:rPr>
                      <w:t> </w:t>
                    </w:r>
                    <w:r>
                      <w:rPr>
                        <w:rFonts w:ascii="Calibri" w:hAnsi="Calibri"/>
                        <w:color w:val="FFFFFF"/>
                        <w:w w:val="110"/>
                        <w:sz w:val="12"/>
                      </w:rPr>
                      <w:t>del</w:t>
                    </w:r>
                  </w:p>
                  <w:p>
                    <w:pPr>
                      <w:spacing w:line="145" w:lineRule="exact" w:before="1"/>
                      <w:ind w:left="2" w:right="24" w:firstLine="0"/>
                      <w:jc w:val="center"/>
                      <w:rPr>
                        <w:rFonts w:ascii="Calibri"/>
                        <w:sz w:val="12"/>
                      </w:rPr>
                    </w:pPr>
                    <w:r>
                      <w:rPr>
                        <w:rFonts w:ascii="Calibri"/>
                        <w:color w:val="FFFFFF"/>
                        <w:w w:val="110"/>
                        <w:sz w:val="12"/>
                      </w:rPr>
                      <w:t>riesgo</w:t>
                    </w:r>
                  </w:p>
                </w:txbxContent>
              </v:textbox>
              <w10:wrap type="none"/>
            </v:shape>
            <v:shape style="position:absolute;left:6298;top:3502;width:726;height:791" type="#_x0000_t202" filled="false" stroked="false">
              <v:textbox inset="0,0,0,0">
                <w:txbxContent>
                  <w:p>
                    <w:pPr>
                      <w:spacing w:line="95" w:lineRule="exact" w:before="0"/>
                      <w:ind w:left="0" w:right="18" w:firstLine="0"/>
                      <w:jc w:val="center"/>
                      <w:rPr>
                        <w:rFonts w:ascii="Calibri"/>
                        <w:sz w:val="9"/>
                      </w:rPr>
                    </w:pPr>
                    <w:r>
                      <w:rPr>
                        <w:rFonts w:ascii="Calibri"/>
                        <w:color w:val="FFFFFF"/>
                        <w:w w:val="115"/>
                        <w:sz w:val="9"/>
                      </w:rPr>
                      <w:t>Poca efectividad</w:t>
                    </w:r>
                  </w:p>
                  <w:p>
                    <w:pPr>
                      <w:spacing w:line="252" w:lineRule="auto" w:before="6"/>
                      <w:ind w:left="23" w:right="35" w:firstLine="0"/>
                      <w:jc w:val="center"/>
                      <w:rPr>
                        <w:rFonts w:ascii="Calibri" w:hAnsi="Calibri"/>
                        <w:sz w:val="9"/>
                      </w:rPr>
                    </w:pPr>
                    <w:r>
                      <w:rPr>
                        <w:rFonts w:ascii="Calibri" w:hAnsi="Calibri"/>
                        <w:color w:val="FFFFFF"/>
                        <w:w w:val="115"/>
                        <w:sz w:val="9"/>
                      </w:rPr>
                      <w:t>en la aplicación de controles previo, durante y posterior al despacho en aduanas</w:t>
                    </w:r>
                  </w:p>
                </w:txbxContent>
              </v:textbox>
              <w10:wrap type="none"/>
            </v:shape>
            <v:shape style="position:absolute;left:7434;top:3715;width:700;height:327" type="#_x0000_t202" filled="false" stroked="false">
              <v:textbox inset="0,0,0,0">
                <w:txbxContent>
                  <w:p>
                    <w:pPr>
                      <w:spacing w:line="95" w:lineRule="exact" w:before="0"/>
                      <w:ind w:left="0" w:right="17" w:firstLine="0"/>
                      <w:jc w:val="center"/>
                      <w:rPr>
                        <w:rFonts w:ascii="Calibri"/>
                        <w:sz w:val="9"/>
                      </w:rPr>
                    </w:pPr>
                    <w:r>
                      <w:rPr>
                        <w:rFonts w:ascii="Calibri"/>
                        <w:color w:val="FFFFFF"/>
                        <w:w w:val="115"/>
                        <w:sz w:val="9"/>
                      </w:rPr>
                      <w:t>Niveles</w:t>
                    </w:r>
                  </w:p>
                  <w:p>
                    <w:pPr>
                      <w:spacing w:before="6"/>
                      <w:ind w:left="0" w:right="18" w:firstLine="0"/>
                      <w:jc w:val="center"/>
                      <w:rPr>
                        <w:rFonts w:ascii="Calibri"/>
                        <w:sz w:val="9"/>
                      </w:rPr>
                    </w:pPr>
                    <w:r>
                      <w:rPr>
                        <w:rFonts w:ascii="Calibri"/>
                        <w:color w:val="FFFFFF"/>
                        <w:w w:val="115"/>
                        <w:sz w:val="9"/>
                      </w:rPr>
                      <w:t>significativos de</w:t>
                    </w:r>
                  </w:p>
                  <w:p>
                    <w:pPr>
                      <w:spacing w:line="109" w:lineRule="exact" w:before="6"/>
                      <w:ind w:left="0" w:right="26" w:firstLine="0"/>
                      <w:jc w:val="center"/>
                      <w:rPr>
                        <w:rFonts w:ascii="Calibri"/>
                        <w:sz w:val="9"/>
                      </w:rPr>
                    </w:pPr>
                    <w:r>
                      <w:rPr>
                        <w:rFonts w:ascii="Calibri"/>
                        <w:color w:val="FFFFFF"/>
                        <w:w w:val="115"/>
                        <w:sz w:val="9"/>
                      </w:rPr>
                      <w:t>contrabando</w:t>
                    </w:r>
                  </w:p>
                </w:txbxContent>
              </v:textbox>
              <w10:wrap type="none"/>
            </v:shape>
            <v:shape style="position:absolute;left:8611;top:3730;width:738;height:327" type="#_x0000_t202" filled="false" stroked="false">
              <v:textbox inset="0,0,0,0">
                <w:txbxContent>
                  <w:p>
                    <w:pPr>
                      <w:spacing w:line="95" w:lineRule="exact" w:before="0"/>
                      <w:ind w:left="-1" w:right="18" w:firstLine="0"/>
                      <w:jc w:val="center"/>
                      <w:rPr>
                        <w:rFonts w:ascii="Calibri" w:hAnsi="Calibri"/>
                        <w:sz w:val="9"/>
                      </w:rPr>
                    </w:pPr>
                    <w:r>
                      <w:rPr>
                        <w:rFonts w:ascii="Calibri" w:hAnsi="Calibri"/>
                        <w:color w:val="FFFFFF"/>
                        <w:w w:val="115"/>
                        <w:sz w:val="9"/>
                      </w:rPr>
                      <w:t>Insatisfacción</w:t>
                    </w:r>
                    <w:r>
                      <w:rPr>
                        <w:rFonts w:ascii="Calibri" w:hAnsi="Calibri"/>
                        <w:color w:val="FFFFFF"/>
                        <w:spacing w:val="6"/>
                        <w:w w:val="115"/>
                        <w:sz w:val="9"/>
                      </w:rPr>
                      <w:t> </w:t>
                    </w:r>
                    <w:r>
                      <w:rPr>
                        <w:rFonts w:ascii="Calibri" w:hAnsi="Calibri"/>
                        <w:color w:val="FFFFFF"/>
                        <w:spacing w:val="-6"/>
                        <w:w w:val="115"/>
                        <w:sz w:val="9"/>
                      </w:rPr>
                      <w:t>en</w:t>
                    </w:r>
                  </w:p>
                  <w:p>
                    <w:pPr>
                      <w:spacing w:before="6"/>
                      <w:ind w:left="39" w:right="64" w:firstLine="0"/>
                      <w:jc w:val="center"/>
                      <w:rPr>
                        <w:rFonts w:ascii="Calibri" w:hAnsi="Calibri"/>
                        <w:sz w:val="9"/>
                      </w:rPr>
                    </w:pPr>
                    <w:r>
                      <w:rPr>
                        <w:rFonts w:ascii="Calibri" w:hAnsi="Calibri"/>
                        <w:color w:val="FFFFFF"/>
                        <w:w w:val="115"/>
                        <w:sz w:val="9"/>
                      </w:rPr>
                      <w:t>atención al</w:t>
                    </w:r>
                  </w:p>
                  <w:p>
                    <w:pPr>
                      <w:spacing w:line="109" w:lineRule="exact" w:before="6"/>
                      <w:ind w:left="39" w:right="64" w:firstLine="0"/>
                      <w:jc w:val="center"/>
                      <w:rPr>
                        <w:rFonts w:ascii="Calibri"/>
                        <w:sz w:val="9"/>
                      </w:rPr>
                    </w:pPr>
                    <w:r>
                      <w:rPr>
                        <w:rFonts w:ascii="Calibri"/>
                        <w:color w:val="FFFFFF"/>
                        <w:w w:val="115"/>
                        <w:sz w:val="9"/>
                      </w:rPr>
                      <w:t>contribuyente</w:t>
                    </w:r>
                  </w:p>
                </w:txbxContent>
              </v:textbox>
              <w10:wrap type="none"/>
            </v:shape>
            <v:shape style="position:absolute;left:9828;top:3614;width:661;height:559" type="#_x0000_t202" filled="false" stroked="false">
              <v:textbox inset="0,0,0,0">
                <w:txbxContent>
                  <w:p>
                    <w:pPr>
                      <w:spacing w:line="95" w:lineRule="exact" w:before="0"/>
                      <w:ind w:left="61" w:right="82" w:firstLine="0"/>
                      <w:jc w:val="center"/>
                      <w:rPr>
                        <w:rFonts w:ascii="Calibri" w:hAnsi="Calibri"/>
                        <w:sz w:val="9"/>
                      </w:rPr>
                    </w:pPr>
                    <w:r>
                      <w:rPr>
                        <w:rFonts w:ascii="Calibri" w:hAnsi="Calibri"/>
                        <w:color w:val="FFFFFF"/>
                        <w:w w:val="115"/>
                        <w:sz w:val="9"/>
                      </w:rPr>
                      <w:t>Continúa la</w:t>
                    </w:r>
                  </w:p>
                  <w:p>
                    <w:pPr>
                      <w:spacing w:line="252" w:lineRule="auto" w:before="6"/>
                      <w:ind w:left="0" w:right="18" w:firstLine="3"/>
                      <w:jc w:val="center"/>
                      <w:rPr>
                        <w:rFonts w:ascii="Calibri" w:hAnsi="Calibri"/>
                        <w:sz w:val="9"/>
                      </w:rPr>
                    </w:pPr>
                    <w:r>
                      <w:rPr>
                        <w:rFonts w:ascii="Calibri" w:hAnsi="Calibri"/>
                        <w:color w:val="FFFFFF"/>
                        <w:w w:val="115"/>
                        <w:sz w:val="9"/>
                      </w:rPr>
                      <w:t>percepción de corrupción por parte del personal</w:t>
                    </w:r>
                  </w:p>
                </w:txbxContent>
              </v:textbox>
              <w10:wrap type="none"/>
            </v:shape>
            <v:shape style="position:absolute;left:1473;top:4551;width:1480;height:612" type="#_x0000_t202" filled="false" stroked="false">
              <v:textbox inset="0,0,0,0">
                <w:txbxContent>
                  <w:p>
                    <w:pPr>
                      <w:spacing w:line="106" w:lineRule="exact" w:before="0"/>
                      <w:ind w:left="192" w:right="0" w:firstLine="0"/>
                      <w:jc w:val="left"/>
                      <w:rPr>
                        <w:rFonts w:ascii="Calibri"/>
                        <w:sz w:val="10"/>
                      </w:rPr>
                    </w:pPr>
                    <w:r>
                      <w:rPr>
                        <w:rFonts w:ascii="Calibri"/>
                        <w:color w:val="FFFFFF"/>
                        <w:w w:val="115"/>
                        <w:sz w:val="10"/>
                      </w:rPr>
                      <w:t>Poca</w:t>
                    </w:r>
                  </w:p>
                  <w:p>
                    <w:pPr>
                      <w:tabs>
                        <w:tab w:pos="961" w:val="left" w:leader="none"/>
                      </w:tabs>
                      <w:spacing w:line="129" w:lineRule="exact" w:before="4"/>
                      <w:ind w:left="0" w:right="0" w:firstLine="0"/>
                      <w:jc w:val="left"/>
                      <w:rPr>
                        <w:rFonts w:ascii="Calibri" w:hAnsi="Calibri"/>
                        <w:sz w:val="10"/>
                      </w:rPr>
                    </w:pPr>
                    <w:r>
                      <w:rPr>
                        <w:rFonts w:ascii="Calibri" w:hAnsi="Calibri"/>
                        <w:color w:val="FFFFFF"/>
                        <w:w w:val="115"/>
                        <w:position w:val="1"/>
                        <w:sz w:val="10"/>
                      </w:rPr>
                      <w:t>cobertura</w:t>
                    </w:r>
                    <w:r>
                      <w:rPr>
                        <w:rFonts w:ascii="Calibri" w:hAnsi="Calibri"/>
                        <w:color w:val="FFFFFF"/>
                        <w:spacing w:val="-4"/>
                        <w:w w:val="115"/>
                        <w:position w:val="1"/>
                        <w:sz w:val="10"/>
                      </w:rPr>
                      <w:t> </w:t>
                    </w:r>
                    <w:r>
                      <w:rPr>
                        <w:rFonts w:ascii="Calibri" w:hAnsi="Calibri"/>
                        <w:color w:val="FFFFFF"/>
                        <w:w w:val="115"/>
                        <w:position w:val="1"/>
                        <w:sz w:val="10"/>
                      </w:rPr>
                      <w:t>de</w:t>
                      <w:tab/>
                    </w:r>
                    <w:r>
                      <w:rPr>
                        <w:rFonts w:ascii="Calibri" w:hAnsi="Calibri"/>
                        <w:color w:val="FFFFFF"/>
                        <w:w w:val="115"/>
                        <w:sz w:val="10"/>
                      </w:rPr>
                      <w:t>Auditorías</w:t>
                    </w:r>
                  </w:p>
                  <w:p>
                    <w:pPr>
                      <w:tabs>
                        <w:tab w:pos="1089" w:val="left" w:leader="none"/>
                      </w:tabs>
                      <w:spacing w:line="126" w:lineRule="exact" w:before="0"/>
                      <w:ind w:left="23" w:right="0" w:firstLine="0"/>
                      <w:jc w:val="left"/>
                      <w:rPr>
                        <w:rFonts w:ascii="Calibri"/>
                        <w:sz w:val="10"/>
                      </w:rPr>
                    </w:pPr>
                    <w:r>
                      <w:rPr>
                        <w:rFonts w:ascii="Calibri"/>
                        <w:color w:val="FFFFFF"/>
                        <w:w w:val="115"/>
                        <w:position w:val="1"/>
                        <w:sz w:val="10"/>
                      </w:rPr>
                      <w:t>las acciones</w:t>
                      <w:tab/>
                    </w:r>
                    <w:r>
                      <w:rPr>
                        <w:rFonts w:ascii="Calibri"/>
                        <w:color w:val="FFFFFF"/>
                        <w:w w:val="115"/>
                        <w:sz w:val="10"/>
                      </w:rPr>
                      <w:t>poco</w:t>
                    </w:r>
                  </w:p>
                  <w:p>
                    <w:pPr>
                      <w:tabs>
                        <w:tab w:pos="996" w:val="left" w:leader="none"/>
                      </w:tabs>
                      <w:spacing w:line="127" w:lineRule="exact" w:before="0"/>
                      <w:ind w:left="244" w:right="0" w:firstLine="0"/>
                      <w:jc w:val="left"/>
                      <w:rPr>
                        <w:rFonts w:ascii="Calibri"/>
                        <w:sz w:val="10"/>
                      </w:rPr>
                    </w:pPr>
                    <w:r>
                      <w:rPr>
                        <w:rFonts w:ascii="Calibri"/>
                        <w:color w:val="FFFFFF"/>
                        <w:w w:val="115"/>
                        <w:position w:val="1"/>
                        <w:sz w:val="10"/>
                      </w:rPr>
                      <w:t>de</w:t>
                      <w:tab/>
                    </w:r>
                    <w:r>
                      <w:rPr>
                        <w:rFonts w:ascii="Calibri"/>
                        <w:color w:val="FFFFFF"/>
                        <w:w w:val="115"/>
                        <w:sz w:val="10"/>
                      </w:rPr>
                      <w:t>efectivas</w:t>
                    </w:r>
                  </w:p>
                  <w:p>
                    <w:pPr>
                      <w:spacing w:line="119" w:lineRule="exact" w:before="0"/>
                      <w:ind w:left="17" w:right="0" w:firstLine="0"/>
                      <w:jc w:val="left"/>
                      <w:rPr>
                        <w:rFonts w:ascii="Calibri" w:hAnsi="Calibri"/>
                        <w:sz w:val="10"/>
                      </w:rPr>
                    </w:pPr>
                    <w:r>
                      <w:rPr>
                        <w:rFonts w:ascii="Calibri" w:hAnsi="Calibri"/>
                        <w:color w:val="FFFFFF"/>
                        <w:w w:val="115"/>
                        <w:sz w:val="10"/>
                      </w:rPr>
                      <w:t>fiscalización</w:t>
                    </w:r>
                  </w:p>
                </w:txbxContent>
              </v:textbox>
              <w10:wrap type="none"/>
            </v:shape>
            <v:shape style="position:absolute;left:3304;top:4457;width:610;height:847" type="#_x0000_t202" filled="false" stroked="false">
              <v:textbox inset="0,0,0,0">
                <w:txbxContent>
                  <w:p>
                    <w:pPr>
                      <w:spacing w:line="106" w:lineRule="exact" w:before="0"/>
                      <w:ind w:left="0" w:right="16" w:firstLine="0"/>
                      <w:jc w:val="center"/>
                      <w:rPr>
                        <w:rFonts w:ascii="Calibri"/>
                        <w:sz w:val="10"/>
                      </w:rPr>
                    </w:pPr>
                    <w:r>
                      <w:rPr>
                        <w:rFonts w:ascii="Calibri"/>
                        <w:color w:val="FFFFFF"/>
                        <w:w w:val="115"/>
                        <w:sz w:val="10"/>
                      </w:rPr>
                      <w:t>Deficiencias</w:t>
                    </w:r>
                  </w:p>
                  <w:p>
                    <w:pPr>
                      <w:spacing w:line="252" w:lineRule="auto" w:before="6"/>
                      <w:ind w:left="-1" w:right="18" w:hanging="2"/>
                      <w:jc w:val="center"/>
                      <w:rPr>
                        <w:rFonts w:ascii="Calibri"/>
                        <w:sz w:val="12"/>
                      </w:rPr>
                    </w:pPr>
                    <w:r>
                      <w:rPr>
                        <w:rFonts w:ascii="Calibri"/>
                        <w:color w:val="FFFFFF"/>
                        <w:w w:val="110"/>
                        <w:sz w:val="12"/>
                      </w:rPr>
                      <w:t>en el registro de </w:t>
                    </w:r>
                    <w:r>
                      <w:rPr>
                        <w:rFonts w:ascii="Calibri"/>
                        <w:color w:val="FFFFFF"/>
                        <w:w w:val="110"/>
                        <w:sz w:val="10"/>
                      </w:rPr>
                      <w:t>los     </w:t>
                    </w:r>
                    <w:r>
                      <w:rPr>
                        <w:rFonts w:ascii="Calibri"/>
                        <w:color w:val="FFFFFF"/>
                        <w:w w:val="110"/>
                        <w:sz w:val="12"/>
                      </w:rPr>
                      <w:t>contribuye ntes</w:t>
                    </w:r>
                  </w:p>
                </w:txbxContent>
              </v:textbox>
              <w10:wrap type="none"/>
            </v:shape>
            <v:shape style="position:absolute;left:4203;top:4558;width:1706;height:615" type="#_x0000_t202" filled="false" stroked="false">
              <v:textbox inset="0,0,0,0">
                <w:txbxContent>
                  <w:p>
                    <w:pPr>
                      <w:tabs>
                        <w:tab w:pos="993" w:val="left" w:leader="none"/>
                      </w:tabs>
                      <w:spacing w:line="109" w:lineRule="exact" w:before="0"/>
                      <w:ind w:left="11" w:right="0" w:firstLine="0"/>
                      <w:jc w:val="left"/>
                      <w:rPr>
                        <w:rFonts w:ascii="Calibri" w:hAnsi="Calibri"/>
                        <w:sz w:val="10"/>
                      </w:rPr>
                    </w:pPr>
                    <w:r>
                      <w:rPr>
                        <w:rFonts w:ascii="Calibri" w:hAnsi="Calibri"/>
                        <w:color w:val="FFFFFF"/>
                        <w:w w:val="115"/>
                        <w:sz w:val="10"/>
                      </w:rPr>
                      <w:t>Presentación</w:t>
                      <w:tab/>
                      <w:t>Resolución</w:t>
                    </w:r>
                    <w:r>
                      <w:rPr>
                        <w:rFonts w:ascii="Calibri" w:hAnsi="Calibri"/>
                        <w:color w:val="FFFFFF"/>
                        <w:spacing w:val="11"/>
                        <w:w w:val="115"/>
                        <w:sz w:val="10"/>
                      </w:rPr>
                      <w:t> </w:t>
                    </w:r>
                    <w:r>
                      <w:rPr>
                        <w:rFonts w:ascii="Calibri" w:hAnsi="Calibri"/>
                        <w:color w:val="FFFFFF"/>
                        <w:w w:val="115"/>
                        <w:sz w:val="10"/>
                      </w:rPr>
                      <w:t>de</w:t>
                    </w:r>
                  </w:p>
                  <w:p>
                    <w:pPr>
                      <w:tabs>
                        <w:tab w:pos="964" w:val="left" w:leader="none"/>
                      </w:tabs>
                      <w:spacing w:line="249" w:lineRule="auto" w:before="4"/>
                      <w:ind w:left="23" w:right="18" w:hanging="24"/>
                      <w:jc w:val="left"/>
                      <w:rPr>
                        <w:rFonts w:ascii="Calibri"/>
                        <w:sz w:val="10"/>
                      </w:rPr>
                    </w:pPr>
                    <w:r>
                      <w:rPr>
                        <w:rFonts w:ascii="Calibri"/>
                        <w:color w:val="FFFFFF"/>
                        <w:w w:val="115"/>
                        <w:sz w:val="10"/>
                      </w:rPr>
                      <w:t>de</w:t>
                    </w:r>
                    <w:r>
                      <w:rPr>
                        <w:rFonts w:ascii="Calibri"/>
                        <w:color w:val="FFFFFF"/>
                        <w:spacing w:val="15"/>
                        <w:w w:val="115"/>
                        <w:sz w:val="10"/>
                      </w:rPr>
                      <w:t> </w:t>
                    </w:r>
                    <w:r>
                      <w:rPr>
                        <w:rFonts w:ascii="Calibri"/>
                        <w:color w:val="FFFFFF"/>
                        <w:w w:val="115"/>
                        <w:sz w:val="10"/>
                      </w:rPr>
                      <w:t>demandas</w:t>
                      <w:tab/>
                      <w:t>casos conlleva que</w:t>
                    </w:r>
                    <w:r>
                      <w:rPr>
                        <w:rFonts w:ascii="Calibri"/>
                        <w:color w:val="FFFFFF"/>
                        <w:spacing w:val="-5"/>
                        <w:w w:val="115"/>
                        <w:sz w:val="10"/>
                      </w:rPr>
                      <w:t> </w:t>
                    </w:r>
                    <w:r>
                      <w:rPr>
                        <w:rFonts w:ascii="Calibri"/>
                        <w:color w:val="FFFFFF"/>
                        <w:w w:val="115"/>
                        <w:sz w:val="10"/>
                      </w:rPr>
                      <w:t>conlleva</w:t>
                      <w:tab/>
                      <w:t>un tiempo</w:t>
                    </w:r>
                    <w:r>
                      <w:rPr>
                        <w:rFonts w:ascii="Calibri"/>
                        <w:color w:val="FFFFFF"/>
                        <w:spacing w:val="6"/>
                        <w:w w:val="115"/>
                        <w:sz w:val="10"/>
                      </w:rPr>
                      <w:t> </w:t>
                    </w:r>
                    <w:r>
                      <w:rPr>
                        <w:rFonts w:ascii="Calibri"/>
                        <w:color w:val="FFFFFF"/>
                        <w:spacing w:val="-5"/>
                        <w:w w:val="115"/>
                        <w:sz w:val="10"/>
                      </w:rPr>
                      <w:t>muy</w:t>
                    </w:r>
                  </w:p>
                  <w:p>
                    <w:pPr>
                      <w:tabs>
                        <w:tab w:pos="911" w:val="left" w:leader="none"/>
                      </w:tabs>
                      <w:spacing w:line="121" w:lineRule="exact" w:before="0"/>
                      <w:ind w:left="0" w:right="118" w:firstLine="0"/>
                      <w:jc w:val="right"/>
                      <w:rPr>
                        <w:rFonts w:ascii="Calibri"/>
                        <w:sz w:val="10"/>
                      </w:rPr>
                    </w:pPr>
                    <w:r>
                      <w:rPr>
                        <w:rFonts w:ascii="Calibri"/>
                        <w:color w:val="FFFFFF"/>
                        <w:w w:val="115"/>
                        <w:sz w:val="10"/>
                      </w:rPr>
                      <w:t>tiempo</w:t>
                      <w:tab/>
                      <w:t>extenso</w:t>
                    </w:r>
                    <w:r>
                      <w:rPr>
                        <w:rFonts w:ascii="Calibri"/>
                        <w:color w:val="FFFFFF"/>
                        <w:spacing w:val="5"/>
                        <w:w w:val="115"/>
                        <w:sz w:val="10"/>
                      </w:rPr>
                      <w:t> </w:t>
                    </w:r>
                    <w:r>
                      <w:rPr>
                        <w:rFonts w:ascii="Calibri"/>
                        <w:color w:val="FFFFFF"/>
                        <w:w w:val="115"/>
                        <w:sz w:val="10"/>
                      </w:rPr>
                      <w:t>en</w:t>
                    </w:r>
                  </w:p>
                  <w:p>
                    <w:pPr>
                      <w:tabs>
                        <w:tab w:pos="1121" w:val="left" w:leader="none"/>
                      </w:tabs>
                      <w:spacing w:line="122" w:lineRule="exact" w:before="5"/>
                      <w:ind w:left="0" w:right="189" w:firstLine="0"/>
                      <w:jc w:val="right"/>
                      <w:rPr>
                        <w:rFonts w:ascii="Calibri"/>
                        <w:sz w:val="10"/>
                      </w:rPr>
                    </w:pPr>
                    <w:r>
                      <w:rPr>
                        <w:rFonts w:ascii="Calibri"/>
                        <w:color w:val="FFFFFF"/>
                        <w:w w:val="115"/>
                        <w:sz w:val="10"/>
                      </w:rPr>
                      <w:t>considerable</w:t>
                      <w:tab/>
                      <w:t>juzgado</w:t>
                    </w:r>
                  </w:p>
                </w:txbxContent>
              </v:textbox>
              <w10:wrap type="none"/>
            </v:shape>
            <v:shape style="position:absolute;left:8559;top:4435;width:1945;height:907" type="#_x0000_t202" filled="false" stroked="false">
              <v:textbox inset="0,0,0,0">
                <w:txbxContent>
                  <w:p>
                    <w:pPr>
                      <w:spacing w:line="95" w:lineRule="exact" w:before="0"/>
                      <w:ind w:left="1090" w:right="2" w:firstLine="0"/>
                      <w:jc w:val="center"/>
                      <w:rPr>
                        <w:rFonts w:ascii="Calibri"/>
                        <w:sz w:val="9"/>
                      </w:rPr>
                    </w:pPr>
                    <w:r>
                      <w:rPr>
                        <w:rFonts w:ascii="Calibri"/>
                        <w:color w:val="FFFFFF"/>
                        <w:w w:val="115"/>
                        <w:sz w:val="9"/>
                      </w:rPr>
                      <w:t>Poco</w:t>
                    </w:r>
                    <w:r>
                      <w:rPr>
                        <w:rFonts w:ascii="Calibri"/>
                        <w:color w:val="FFFFFF"/>
                        <w:spacing w:val="5"/>
                        <w:w w:val="115"/>
                        <w:sz w:val="9"/>
                      </w:rPr>
                      <w:t> </w:t>
                    </w:r>
                    <w:r>
                      <w:rPr>
                        <w:rFonts w:ascii="Calibri"/>
                        <w:color w:val="FFFFFF"/>
                        <w:w w:val="115"/>
                        <w:sz w:val="9"/>
                      </w:rPr>
                      <w:t>conocimiento</w:t>
                    </w:r>
                  </w:p>
                  <w:p>
                    <w:pPr>
                      <w:spacing w:line="98" w:lineRule="exact" w:before="6"/>
                      <w:ind w:left="1101" w:right="2" w:firstLine="0"/>
                      <w:jc w:val="center"/>
                      <w:rPr>
                        <w:rFonts w:ascii="Calibri"/>
                        <w:sz w:val="9"/>
                      </w:rPr>
                    </w:pPr>
                    <w:r>
                      <w:rPr>
                        <w:rFonts w:ascii="Calibri"/>
                        <w:color w:val="FFFFFF"/>
                        <w:w w:val="115"/>
                        <w:sz w:val="9"/>
                      </w:rPr>
                      <w:t>o</w:t>
                    </w:r>
                    <w:r>
                      <w:rPr>
                        <w:rFonts w:ascii="Calibri"/>
                        <w:color w:val="FFFFFF"/>
                        <w:spacing w:val="3"/>
                        <w:w w:val="115"/>
                        <w:sz w:val="9"/>
                      </w:rPr>
                      <w:t> </w:t>
                    </w:r>
                    <w:r>
                      <w:rPr>
                        <w:rFonts w:ascii="Calibri"/>
                        <w:color w:val="FFFFFF"/>
                        <w:w w:val="115"/>
                        <w:sz w:val="9"/>
                      </w:rPr>
                      <w:t>discrecionalidad</w:t>
                    </w:r>
                  </w:p>
                  <w:p>
                    <w:pPr>
                      <w:tabs>
                        <w:tab w:pos="1125" w:val="left" w:leader="none"/>
                      </w:tabs>
                      <w:spacing w:line="118" w:lineRule="exact" w:before="0"/>
                      <w:ind w:left="0" w:right="0" w:firstLine="0"/>
                      <w:jc w:val="left"/>
                      <w:rPr>
                        <w:rFonts w:ascii="Calibri" w:hAnsi="Calibri"/>
                        <w:sz w:val="9"/>
                      </w:rPr>
                    </w:pPr>
                    <w:r>
                      <w:rPr>
                        <w:rFonts w:ascii="Calibri" w:hAnsi="Calibri"/>
                        <w:color w:val="FFFFFF"/>
                        <w:w w:val="115"/>
                        <w:position w:val="3"/>
                        <w:sz w:val="9"/>
                      </w:rPr>
                      <w:t>Desconocimiento</w:t>
                      <w:tab/>
                    </w:r>
                    <w:r>
                      <w:rPr>
                        <w:rFonts w:ascii="Calibri" w:hAnsi="Calibri"/>
                        <w:color w:val="FFFFFF"/>
                        <w:w w:val="115"/>
                        <w:sz w:val="9"/>
                      </w:rPr>
                      <w:t>en la aplicación</w:t>
                    </w:r>
                    <w:r>
                      <w:rPr>
                        <w:rFonts w:ascii="Calibri" w:hAnsi="Calibri"/>
                        <w:color w:val="FFFFFF"/>
                        <w:spacing w:val="8"/>
                        <w:w w:val="115"/>
                        <w:sz w:val="9"/>
                      </w:rPr>
                      <w:t> </w:t>
                    </w:r>
                    <w:r>
                      <w:rPr>
                        <w:rFonts w:ascii="Calibri" w:hAnsi="Calibri"/>
                        <w:color w:val="FFFFFF"/>
                        <w:w w:val="115"/>
                        <w:sz w:val="9"/>
                      </w:rPr>
                      <w:t>de</w:t>
                    </w:r>
                  </w:p>
                  <w:p>
                    <w:pPr>
                      <w:tabs>
                        <w:tab w:pos="1306" w:val="left" w:leader="none"/>
                      </w:tabs>
                      <w:spacing w:line="177" w:lineRule="auto" w:before="4"/>
                      <w:ind w:left="40" w:right="0" w:firstLine="0"/>
                      <w:jc w:val="left"/>
                      <w:rPr>
                        <w:rFonts w:ascii="Calibri"/>
                        <w:sz w:val="9"/>
                      </w:rPr>
                    </w:pPr>
                    <w:r>
                      <w:rPr>
                        <w:rFonts w:ascii="Calibri"/>
                        <w:color w:val="FFFFFF"/>
                        <w:w w:val="115"/>
                        <w:sz w:val="9"/>
                      </w:rPr>
                      <w:t>de</w:t>
                    </w:r>
                    <w:r>
                      <w:rPr>
                        <w:rFonts w:ascii="Calibri"/>
                        <w:color w:val="FFFFFF"/>
                        <w:spacing w:val="5"/>
                        <w:w w:val="115"/>
                        <w:sz w:val="9"/>
                      </w:rPr>
                      <w:t> </w:t>
                    </w:r>
                    <w:r>
                      <w:rPr>
                        <w:rFonts w:ascii="Calibri"/>
                        <w:color w:val="FFFFFF"/>
                        <w:w w:val="115"/>
                        <w:sz w:val="9"/>
                      </w:rPr>
                      <w:t>obligaciones</w:t>
                      <w:tab/>
                    </w:r>
                    <w:r>
                      <w:rPr>
                        <w:rFonts w:ascii="Calibri"/>
                        <w:color w:val="FFFFFF"/>
                        <w:w w:val="115"/>
                        <w:position w:val="-2"/>
                        <w:sz w:val="9"/>
                      </w:rPr>
                      <w:t>criterios</w:t>
                    </w:r>
                    <w:r>
                      <w:rPr>
                        <w:rFonts w:ascii="Calibri"/>
                        <w:color w:val="FFFFFF"/>
                        <w:spacing w:val="5"/>
                        <w:w w:val="115"/>
                        <w:position w:val="-2"/>
                        <w:sz w:val="9"/>
                      </w:rPr>
                      <w:t> </w:t>
                    </w:r>
                    <w:r>
                      <w:rPr>
                        <w:rFonts w:ascii="Calibri"/>
                        <w:color w:val="FFFFFF"/>
                        <w:w w:val="115"/>
                        <w:position w:val="-2"/>
                        <w:sz w:val="9"/>
                      </w:rPr>
                      <w:t>y</w:t>
                    </w:r>
                  </w:p>
                  <w:p>
                    <w:pPr>
                      <w:tabs>
                        <w:tab w:pos="1143" w:val="left" w:leader="none"/>
                      </w:tabs>
                      <w:spacing w:line="114" w:lineRule="exact" w:before="0"/>
                      <w:ind w:left="98" w:right="0" w:firstLine="0"/>
                      <w:jc w:val="left"/>
                      <w:rPr>
                        <w:rFonts w:ascii="Calibri"/>
                        <w:sz w:val="9"/>
                      </w:rPr>
                    </w:pPr>
                    <w:r>
                      <w:rPr>
                        <w:rFonts w:ascii="Calibri"/>
                        <w:color w:val="FFFFFF"/>
                        <w:w w:val="115"/>
                        <w:position w:val="3"/>
                        <w:sz w:val="9"/>
                      </w:rPr>
                      <w:t>formales</w:t>
                    </w:r>
                    <w:r>
                      <w:rPr>
                        <w:rFonts w:ascii="Calibri"/>
                        <w:color w:val="FFFFFF"/>
                        <w:spacing w:val="6"/>
                        <w:w w:val="115"/>
                        <w:position w:val="3"/>
                        <w:sz w:val="9"/>
                      </w:rPr>
                      <w:t> </w:t>
                    </w:r>
                    <w:r>
                      <w:rPr>
                        <w:rFonts w:ascii="Calibri"/>
                        <w:color w:val="FFFFFF"/>
                        <w:w w:val="115"/>
                        <w:position w:val="3"/>
                        <w:sz w:val="9"/>
                      </w:rPr>
                      <w:t>por</w:t>
                      <w:tab/>
                    </w:r>
                    <w:r>
                      <w:rPr>
                        <w:rFonts w:ascii="Calibri"/>
                        <w:color w:val="FFFFFF"/>
                        <w:w w:val="115"/>
                        <w:sz w:val="9"/>
                      </w:rPr>
                      <w:t>procedimientos</w:t>
                    </w:r>
                    <w:r>
                      <w:rPr>
                        <w:rFonts w:ascii="Calibri"/>
                        <w:color w:val="FFFFFF"/>
                        <w:spacing w:val="15"/>
                        <w:w w:val="115"/>
                        <w:sz w:val="9"/>
                      </w:rPr>
                      <w:t> </w:t>
                    </w:r>
                    <w:r>
                      <w:rPr>
                        <w:rFonts w:ascii="Calibri"/>
                        <w:color w:val="FFFFFF"/>
                        <w:w w:val="115"/>
                        <w:sz w:val="9"/>
                      </w:rPr>
                      <w:t>y</w:t>
                    </w:r>
                  </w:p>
                  <w:p>
                    <w:pPr>
                      <w:tabs>
                        <w:tab w:pos="1166" w:val="left" w:leader="none"/>
                      </w:tabs>
                      <w:spacing w:line="116" w:lineRule="exact" w:before="0"/>
                      <w:ind w:left="139" w:right="0" w:firstLine="0"/>
                      <w:jc w:val="left"/>
                      <w:rPr>
                        <w:rFonts w:ascii="Calibri" w:hAnsi="Calibri"/>
                        <w:sz w:val="9"/>
                      </w:rPr>
                    </w:pPr>
                    <w:r>
                      <w:rPr>
                        <w:rFonts w:ascii="Calibri" w:hAnsi="Calibri"/>
                        <w:color w:val="FFFFFF"/>
                        <w:w w:val="115"/>
                        <w:position w:val="3"/>
                        <w:sz w:val="9"/>
                      </w:rPr>
                      <w:t>parte</w:t>
                    </w:r>
                    <w:r>
                      <w:rPr>
                        <w:rFonts w:ascii="Calibri" w:hAnsi="Calibri"/>
                        <w:color w:val="FFFFFF"/>
                        <w:spacing w:val="4"/>
                        <w:w w:val="115"/>
                        <w:position w:val="3"/>
                        <w:sz w:val="9"/>
                      </w:rPr>
                      <w:t> </w:t>
                    </w:r>
                    <w:r>
                      <w:rPr>
                        <w:rFonts w:ascii="Calibri" w:hAnsi="Calibri"/>
                        <w:color w:val="FFFFFF"/>
                        <w:w w:val="115"/>
                        <w:position w:val="3"/>
                        <w:sz w:val="9"/>
                      </w:rPr>
                      <w:t>de</w:t>
                    </w:r>
                    <w:r>
                      <w:rPr>
                        <w:rFonts w:ascii="Calibri" w:hAnsi="Calibri"/>
                        <w:color w:val="FFFFFF"/>
                        <w:spacing w:val="5"/>
                        <w:w w:val="115"/>
                        <w:position w:val="3"/>
                        <w:sz w:val="9"/>
                      </w:rPr>
                      <w:t> </w:t>
                    </w:r>
                    <w:r>
                      <w:rPr>
                        <w:rFonts w:ascii="Calibri" w:hAnsi="Calibri"/>
                        <w:color w:val="FFFFFF"/>
                        <w:w w:val="115"/>
                        <w:position w:val="3"/>
                        <w:sz w:val="9"/>
                      </w:rPr>
                      <w:t>la</w:t>
                      <w:tab/>
                    </w:r>
                    <w:r>
                      <w:rPr>
                        <w:rFonts w:ascii="Calibri" w:hAnsi="Calibri"/>
                        <w:color w:val="FFFFFF"/>
                        <w:w w:val="115"/>
                        <w:sz w:val="9"/>
                      </w:rPr>
                      <w:t>poca supervisión</w:t>
                    </w:r>
                  </w:p>
                  <w:p>
                    <w:pPr>
                      <w:tabs>
                        <w:tab w:pos="1224" w:val="left" w:leader="none"/>
                      </w:tabs>
                      <w:spacing w:line="128" w:lineRule="exact" w:before="0"/>
                      <w:ind w:left="162" w:right="0" w:firstLine="0"/>
                      <w:jc w:val="left"/>
                      <w:rPr>
                        <w:rFonts w:ascii="Calibri" w:hAnsi="Calibri"/>
                        <w:sz w:val="9"/>
                      </w:rPr>
                    </w:pPr>
                    <w:r>
                      <w:rPr>
                        <w:rFonts w:ascii="Calibri" w:hAnsi="Calibri"/>
                        <w:color w:val="FFFFFF"/>
                        <w:w w:val="115"/>
                        <w:position w:val="3"/>
                        <w:sz w:val="9"/>
                      </w:rPr>
                      <w:t>población</w:t>
                      <w:tab/>
                    </w:r>
                    <w:r>
                      <w:rPr>
                        <w:rFonts w:ascii="Calibri" w:hAnsi="Calibri"/>
                        <w:color w:val="FFFFFF"/>
                        <w:w w:val="115"/>
                        <w:sz w:val="9"/>
                      </w:rPr>
                      <w:t>en la</w:t>
                    </w:r>
                    <w:r>
                      <w:rPr>
                        <w:rFonts w:ascii="Calibri" w:hAnsi="Calibri"/>
                        <w:color w:val="FFFFFF"/>
                        <w:spacing w:val="6"/>
                        <w:w w:val="115"/>
                        <w:sz w:val="9"/>
                      </w:rPr>
                      <w:t> </w:t>
                    </w:r>
                    <w:r>
                      <w:rPr>
                        <w:rFonts w:ascii="Calibri" w:hAnsi="Calibri"/>
                        <w:color w:val="FFFFFF"/>
                        <w:w w:val="115"/>
                        <w:sz w:val="9"/>
                      </w:rPr>
                      <w:t>correcta</w:t>
                    </w:r>
                  </w:p>
                  <w:p>
                    <w:pPr>
                      <w:spacing w:line="109" w:lineRule="exact" w:before="6"/>
                      <w:ind w:left="1101" w:right="2" w:firstLine="0"/>
                      <w:jc w:val="center"/>
                      <w:rPr>
                        <w:rFonts w:ascii="Calibri" w:hAnsi="Calibri"/>
                        <w:sz w:val="9"/>
                      </w:rPr>
                    </w:pPr>
                    <w:r>
                      <w:rPr>
                        <w:rFonts w:ascii="Calibri" w:hAnsi="Calibri"/>
                        <w:color w:val="FFFFFF"/>
                        <w:w w:val="115"/>
                        <w:sz w:val="9"/>
                      </w:rPr>
                      <w:t>aplicación</w:t>
                    </w:r>
                  </w:p>
                </w:txbxContent>
              </v:textbox>
              <w10:wrap type="none"/>
            </v:shape>
            <w10:wrap type="topAndBottom"/>
          </v:group>
        </w:pict>
      </w:r>
      <w:bookmarkStart w:name="_bookmark189" w:id="242"/>
      <w:bookmarkEnd w:id="242"/>
      <w:r>
        <w:rPr>
          <w:b w:val="0"/>
        </w:rPr>
      </w:r>
      <w:r>
        <w:rPr>
          <w:i/>
          <w:sz w:val="20"/>
        </w:rPr>
        <w:t>Gráfico 98. </w:t>
      </w:r>
      <w:r>
        <w:rPr/>
        <w:t>Identificación de factores externos que inciden en la insuficiente recaudación tributaria</w:t>
      </w:r>
    </w:p>
    <w:p>
      <w:pPr>
        <w:spacing w:before="0"/>
        <w:ind w:left="562" w:right="0" w:firstLine="0"/>
        <w:jc w:val="left"/>
        <w:rPr>
          <w:sz w:val="16"/>
        </w:rPr>
      </w:pPr>
      <w:r>
        <w:rPr>
          <w:sz w:val="16"/>
        </w:rPr>
        <w:t>Fuente: PEI 2021-2025</w:t>
      </w:r>
    </w:p>
    <w:p>
      <w:pPr>
        <w:pStyle w:val="BodyText"/>
        <w:rPr>
          <w:sz w:val="18"/>
        </w:rPr>
      </w:pPr>
    </w:p>
    <w:p>
      <w:pPr>
        <w:pStyle w:val="BodyText"/>
        <w:spacing w:line="276" w:lineRule="auto" w:before="107"/>
        <w:ind w:left="562" w:right="1630"/>
      </w:pPr>
      <w:r>
        <w:rPr/>
        <w:pict>
          <v:group style="position:absolute;margin-left:308.333008pt;margin-top:-71.75032pt;width:48pt;height:51.6pt;mso-position-horizontal-relative:page;mso-position-vertical-relative:paragraph;z-index:253058048" coordorigin="6167,-1435" coordsize="960,1032">
            <v:shape style="position:absolute;left:6172;top:-1430;width:948;height:1021" coordorigin="6172,-1430" coordsize="948,1021" path="m6962,-1430l6330,-1430,6269,-1419,6219,-1388,6185,-1342,6172,-1287,6172,-552,6185,-496,6219,-451,6269,-420,6330,-409,6962,-409,7024,-420,7074,-451,7108,-496,7120,-552,7120,-1287,7108,-1342,7074,-1388,7024,-1419,6962,-1430xe" filled="true" fillcolor="#5b9bd4" stroked="false">
              <v:path arrowok="t"/>
              <v:fill type="solid"/>
            </v:shape>
            <v:shape style="position:absolute;left:6166;top:-1435;width:960;height:1032" coordorigin="6167,-1435" coordsize="960,1032" path="m6963,-1435l6330,-1435,6314,-1434,6298,-1432,6282,-1428,6267,-1423,6252,-1417,6239,-1410,6226,-1401,6215,-1392,6204,-1381,6195,-1370,6186,-1357,6180,-1344,6174,-1331,6170,-1317,6167,-1302,6167,-1287,6167,-552,6167,-537,6170,-522,6174,-508,6180,-494,6186,-481,6195,-469,6204,-458,6215,-447,6226,-438,6239,-429,6252,-422,6267,-415,6282,-410,6298,-407,6314,-405,6330,-404,6963,-404,6979,-405,6996,-407,7011,-410,7023,-414,6331,-414,6316,-415,6315,-415,6315,-415,6315,-415,6300,-417,6300,-417,6300,-417,6300,-417,6285,-421,6285,-421,6272,-425,6272,-425,6258,-431,6258,-431,6245,-438,6245,-438,6233,-446,6234,-446,6223,-455,6213,-465,6213,-465,6204,-475,6204,-475,6197,-486,6197,-486,6190,-499,6190,-499,6185,-511,6181,-524,6181,-524,6179,-538,6179,-538,6178,-552,6178,-1287,6179,-1301,6179,-1302,6181,-1314,6185,-1327,6185,-1327,6190,-1340,6190,-1340,6197,-1353,6197,-1353,6204,-1363,6204,-1363,6213,-1374,6213,-1374,6223,-1384,6223,-1384,6223,-1384,6223,-1384,6234,-1393,6233,-1393,6245,-1401,6245,-1401,6258,-1408,6258,-1408,6271,-1414,6271,-1414,6285,-1418,6285,-1418,6286,-1418,6286,-1418,6300,-1422,6300,-1422,6315,-1424,6316,-1424,6331,-1424,7023,-1424,7011,-1428,6996,-1432,6979,-1434,6963,-1435xm6331,-414l6330,-414,6331,-414,6331,-414xm6978,-415l6962,-414,6962,-414,7023,-414,7025,-415,6978,-415,6978,-415xm6315,-415l6315,-415,6316,-415,6315,-415xm7025,-415l6978,-415,6978,-415,7025,-415,7025,-415xm6315,-415l6315,-415,6315,-415,6315,-415xm7030,-417l6993,-417,6993,-417,6993,-417,6978,-415,6978,-415,7025,-415,7026,-415,7030,-417xm6300,-417l6300,-417,6300,-417,6300,-417xm6993,-417l6993,-417,6993,-417,6993,-417xm6300,-417l6300,-417,6300,-417,6300,-417xm7038,-421l7008,-421,6993,-417,6993,-417,7030,-417,7038,-421xm6285,-420l6286,-420,6286,-420,6285,-420xm6285,-421l6285,-421,6285,-420,6285,-421xm7047,-425l7022,-425,7021,-425,7021,-425,7008,-420,7008,-421,7038,-421,7041,-422,7047,-425xm6271,-425l6272,-425,6272,-425,6271,-425xm7022,-425l7021,-425,7021,-425,7022,-425xm7057,-431l7035,-431,7035,-431,7035,-431,7022,-425,7022,-425,7047,-425,7054,-429,7057,-431xm6271,-425l6271,-425,6271,-425,6271,-425xm6258,-431l6258,-431,6258,-431,6258,-431xm7035,-431l7035,-431,7035,-431,7035,-431xm6258,-431l6258,-431,6258,-431,6258,-431xm7077,-446l7059,-446,7047,-438,7047,-438,7035,-431,7035,-431,7057,-431,7067,-438,7077,-446xm7048,-438l7047,-438,7047,-438,7048,-438xm6246,-438l6246,-438,6246,-438,6246,-438xm6245,-438l6245,-438,6246,-438,6245,-438xm6234,-446l6234,-446,6234,-446,6234,-446xm7086,-455l7070,-455,7059,-446,7059,-446,7077,-446,7078,-447,7086,-455xm6234,-446l6233,-446,6234,-446,6234,-446xm6223,-455l6223,-454,6223,-454,6223,-455xm7095,-465l7080,-465,7070,-455,7070,-455,7086,-455,7089,-458,7095,-465xm6223,-455l6223,-455,6223,-455,6223,-455xm6213,-465l6213,-465,6213,-464,6213,-465xm7102,-475l7089,-475,7089,-475,7088,-475,7080,-464,7080,-465,7095,-465,7098,-469,7102,-475xm6204,-475l6204,-475,6204,-475,6204,-475xm7089,-475l7089,-475,7089,-475,7089,-475xm7109,-487l7096,-487,7089,-475,7089,-475,7102,-475,7106,-481,7109,-487xm6197,-487l6197,-486,6197,-486,6197,-487xm7115,-499l7103,-499,7096,-486,7096,-487,7109,-487,7113,-494,7115,-499xm6190,-499l6190,-499,6190,-498,6190,-499xm7120,-511l7108,-511,7103,-498,7103,-499,7115,-499,7119,-508,7120,-511xm6185,-511l6185,-511,6185,-511,6185,-511xm6185,-511l6185,-511,6185,-511,6185,-511xm7123,-524l7112,-524,7112,-524,7111,-524,7108,-511,7108,-511,7120,-511,7123,-522,7123,-524xm6181,-524l6181,-524,6181,-524,6181,-524xm7112,-524l7111,-524,7112,-524,7112,-524xm6181,-524l6181,-524,6181,-524,6181,-524xm7126,-1287l7115,-1287,7115,-552,7114,-538,7114,-538,7112,-524,7112,-524,7123,-524,7125,-537,7126,-552,7126,-1287xm6179,-538l6179,-538,6179,-538,6179,-538xm7114,-538l7114,-538,7114,-538,7114,-538xm7115,-552l7115,-552,7115,-552,7115,-552xm6178,-1287l6178,-1287,6178,-1286,6178,-1287xm7126,-1301l7114,-1301,7115,-1286,7115,-1287,7126,-1287,7126,-1301xm6179,-1301l6179,-1301,6179,-1301,6179,-1301xm7123,-1315l7112,-1315,7114,-1301,7114,-1301,7126,-1301,7125,-1302,7123,-1315xm6181,-1315l6181,-1315,6181,-1314,6181,-1315xm7109,-1353l7096,-1353,7096,-1352,7096,-1352,7103,-1340,7103,-1340,7108,-1327,7108,-1327,7112,-1314,7112,-1315,7123,-1315,7123,-1317,7119,-1331,7113,-1344,7109,-1353xm6185,-1328l6185,-1327,6185,-1327,6185,-1328xm7108,-1328l7108,-1327,7108,-1327,7108,-1328xm6190,-1341l6190,-1340,6190,-1340,6190,-1341xm7103,-1341l7103,-1340,7103,-1340,7103,-1341xm6197,-1353l6197,-1353,6197,-1352,6197,-1353xm7096,-1353l7096,-1352,7096,-1352,7096,-1353xm7102,-1364l7089,-1364,7096,-1353,7096,-1353,7109,-1353,7106,-1357,7102,-1364xm6204,-1364l6204,-1363,6204,-1363,6204,-1364xm7086,-1384l7070,-1384,7070,-1384,7070,-1384,7080,-1374,7080,-1374,7089,-1363,7089,-1364,7102,-1364,7098,-1370,7089,-1381,7086,-1384xm6213,-1375l6213,-1374,6213,-1374,6213,-1375xm7080,-1375l7080,-1374,7080,-1374,7080,-1375xm6223,-1384l6223,-1384,6223,-1384,6223,-1384xm7070,-1384l7070,-1384,7070,-1384,7070,-1384xm7057,-1408l7035,-1408,7048,-1401,7048,-1401,7059,-1393,7059,-1393,7070,-1384,7070,-1384,7086,-1384,7078,-1392,7067,-1401,7057,-1408xm6223,-1384l6223,-1384,6223,-1384,6223,-1384xm6234,-1393l6233,-1393,6234,-1393,6234,-1393xm7059,-1393l7059,-1393,7059,-1393,7059,-1393xm6246,-1401l6245,-1401,6245,-1401,6246,-1401xm7047,-1401l7048,-1401,7048,-1401,7047,-1401xm6258,-1408l6258,-1408,6258,-1408,6258,-1408xm7047,-1414l7021,-1414,7022,-1414,7022,-1414,7035,-1408,7035,-1408,7057,-1408,7054,-1410,7047,-1414xm6271,-1414l6271,-1414,6271,-1414,6271,-1414xm7022,-1414l7022,-1414,7022,-1414,7022,-1414xm7038,-1418l7007,-1418,7008,-1418,7008,-1418,7022,-1414,7021,-1414,7047,-1414,7041,-1417,7038,-1418xm7008,-1418l7008,-1418,7008,-1418,7008,-1418xm6286,-1418l6286,-1418,6285,-1418,6286,-1418xm6993,-1422l7008,-1418,7007,-1418,7038,-1418,7030,-1422,6993,-1422,6993,-1422xm6300,-1422l6300,-1422,6300,-1422,6300,-1422xm7030,-1422l6993,-1422,6993,-1422,7030,-1422,7030,-1422xm7025,-1424l6978,-1424,6993,-1422,6993,-1422,7030,-1422,7026,-1423,7025,-1424xm6316,-1424l6315,-1424,6315,-1424,6316,-1424xm7023,-1424l6962,-1424,6978,-1424,6978,-1424,7025,-1424,7023,-1424xe" filled="true" fillcolor="#41709c" stroked="false">
              <v:path arrowok="t"/>
              <v:fill type="solid"/>
            </v:shape>
            <v:shape style="position:absolute;left:6166;top:-1435;width:960;height:1032" type="#_x0000_t202" filled="false" stroked="false">
              <v:textbox inset="0,0,0,0">
                <w:txbxContent>
                  <w:p>
                    <w:pPr>
                      <w:spacing w:line="240" w:lineRule="auto" w:before="0"/>
                      <w:rPr>
                        <w:sz w:val="8"/>
                      </w:rPr>
                    </w:pPr>
                  </w:p>
                  <w:p>
                    <w:pPr>
                      <w:spacing w:line="240" w:lineRule="auto" w:before="0"/>
                      <w:rPr>
                        <w:sz w:val="8"/>
                      </w:rPr>
                    </w:pPr>
                  </w:p>
                  <w:p>
                    <w:pPr>
                      <w:spacing w:line="240" w:lineRule="auto" w:before="6"/>
                      <w:rPr>
                        <w:sz w:val="9"/>
                      </w:rPr>
                    </w:pPr>
                  </w:p>
                  <w:p>
                    <w:pPr>
                      <w:spacing w:line="252" w:lineRule="auto" w:before="0"/>
                      <w:ind w:left="150" w:right="144" w:hanging="1"/>
                      <w:jc w:val="center"/>
                      <w:rPr>
                        <w:rFonts w:ascii="Calibri"/>
                        <w:sz w:val="9"/>
                      </w:rPr>
                    </w:pPr>
                    <w:r>
                      <w:rPr>
                        <w:rFonts w:ascii="Calibri"/>
                        <w:color w:val="FFFFFF"/>
                        <w:w w:val="115"/>
                        <w:sz w:val="9"/>
                      </w:rPr>
                      <w:t>Procesos penales aduaneros muy extensos</w:t>
                    </w:r>
                  </w:p>
                </w:txbxContent>
              </v:textbox>
              <w10:wrap type="none"/>
            </v:shape>
            <w10:wrap type="none"/>
          </v:group>
        </w:pict>
      </w:r>
      <w:r>
        <w:rPr/>
        <w:pict>
          <v:group style="position:absolute;margin-left:366.199951pt;margin-top:-71.75032pt;width:48.3pt;height:51.6pt;mso-position-horizontal-relative:page;mso-position-vertical-relative:paragraph;z-index:253060096" coordorigin="7324,-1435" coordsize="966,1032">
            <v:shape style="position:absolute;left:7329;top:-1430;width:954;height:1021" coordorigin="7330,-1430" coordsize="954,1021" path="m8125,-1430l7489,-1430,7427,-1418,7376,-1388,7342,-1342,7330,-1286,7330,-553,7342,-497,7376,-451,7427,-420,7489,-409,8125,-409,8187,-420,8237,-451,8271,-497,8284,-553,8284,-1286,8271,-1342,8237,-1388,8187,-1418,8125,-1430xe" filled="true" fillcolor="#5b9bd4" stroked="false">
              <v:path arrowok="t"/>
              <v:fill type="solid"/>
            </v:shape>
            <v:shape style="position:absolute;left:7324;top:-1435;width:966;height:1032" coordorigin="7324,-1435" coordsize="966,1032" path="m8125,-1435l7489,-1435,7472,-1434,7456,-1432,7440,-1428,7425,-1423,7410,-1417,7397,-1410,7384,-1401,7372,-1391,7362,-1381,7352,-1369,7344,-1357,7337,-1344,7331,-1330,7327,-1316,7325,-1301,7324,-1286,7324,-553,7325,-538,7327,-523,7331,-508,7337,-495,7344,-482,7352,-469,7362,-458,7372,-447,7384,-438,7397,-429,7410,-422,7425,-415,7440,-410,7456,-407,7472,-405,7489,-404,8125,-404,8142,-405,8158,-407,8174,-410,8185,-414,7489,-414,7474,-415,7473,-415,7473,-415,7473,-415,7458,-417,7458,-417,7458,-417,7458,-417,7444,-420,7444,-420,7430,-425,7429,-425,7416,-431,7416,-431,7403,-438,7403,-438,7392,-446,7392,-446,7380,-455,7380,-455,7371,-465,7371,-465,7362,-475,7362,-475,7354,-487,7354,-487,7348,-499,7348,-499,7343,-511,7339,-525,7339,-525,7336,-538,7336,-538,7336,-553,7336,-1286,7336,-1300,7337,-1301,7339,-1314,7339,-1314,7342,-1327,7342,-1327,7348,-1340,7348,-1340,7348,-1340,7348,-1340,7354,-1352,7354,-1352,7354,-1352,7354,-1352,7362,-1363,7362,-1363,7371,-1374,7371,-1374,7380,-1384,7380,-1384,7392,-1393,7392,-1393,7403,-1401,7404,-1401,7416,-1408,7416,-1408,7416,-1408,7416,-1408,7429,-1413,7429,-1413,7444,-1418,7444,-1418,7458,-1422,7458,-1422,7473,-1424,7475,-1424,7489,-1424,8185,-1424,8174,-1428,8158,-1432,8142,-1434,8125,-1435xm7489,-414l7489,-414,7489,-414,7489,-414xm8140,-415l8124,-414,8185,-414,8187,-415,8140,-415,8140,-415xm7473,-415l7473,-415,7474,-415,7473,-415xm8187,-415l8140,-415,8140,-415,8187,-415,8187,-415xm8156,-417l8140,-415,8141,-415,8187,-415,8189,-415,8192,-417,8155,-417,8156,-417xm7473,-415l7473,-415,7473,-415,7473,-415xm7458,-417l7458,-417,7458,-417,7458,-417xm8193,-417l8156,-417,8155,-417,8192,-417,8193,-417xm7458,-417l7458,-417,7458,-417,7458,-417xm8201,-421l8170,-421,8170,-420,8170,-420,8156,-417,8156,-417,8193,-417,8201,-421xm7443,-421l7444,-420,7444,-420,7443,-421xm8170,-420l8170,-420,8170,-420,8170,-420xm8210,-425l8185,-425,8184,-425,8184,-425,8170,-420,8170,-421,8201,-421,8203,-422,8210,-425xm7443,-421l7443,-421,7443,-421,7443,-421xm8184,-425l8184,-425,8184,-425,8184,-425xm7429,-425l7429,-425,7430,-425,7429,-425xm7429,-425l7429,-425,7429,-425,7429,-425xm8220,-431l8198,-431,8197,-431,8197,-431,8184,-425,8185,-425,8210,-425,8217,-429,8220,-431xm7416,-431l7416,-431,7416,-431,7416,-431xm8198,-431l8197,-431,8197,-431,8198,-431xm8230,-438l8211,-438,8210,-438,8210,-438,8198,-431,8198,-431,8220,-431,8230,-438,8230,-438xm7416,-431l7416,-431,7416,-431,7416,-431xm7403,-438l7403,-438,7403,-438,7403,-438xm8210,-438l8210,-438,8210,-438,8210,-438xm7403,-438l7403,-438,7403,-438,7403,-438xm8240,-446l8222,-446,8222,-446,8222,-446,8210,-438,8211,-438,8230,-438,8240,-446xm7391,-446l7392,-446,7392,-446,7391,-446xm8222,-446l8222,-446,8222,-446,8222,-446xm7391,-446l7391,-446,7391,-446,7391,-446xm8249,-455l8233,-455,8222,-446,8222,-446,8240,-446,8241,-447,8249,-455xm7380,-455l7380,-455,7381,-455,7380,-455xm8272,-487l8259,-487,8252,-475,8251,-475,8243,-465,8243,-465,8233,-455,8233,-455,8249,-455,8252,-458,8261,-469,8270,-482,8272,-487xm7370,-465l7371,-465,7371,-465,7370,-465xm8243,-465l8243,-465,8243,-465,8243,-465xm7362,-476l7362,-475,7362,-475,7362,-476xm8252,-476l8251,-475,8252,-475,8252,-476xm7354,-487l7354,-487,7354,-487,7354,-487xm7354,-487l7354,-487,7354,-487,7354,-487xm8278,-499l8266,-499,8266,-499,8266,-499,8259,-487,8259,-487,8272,-487,8276,-495,8278,-499xm7348,-499l7348,-499,7348,-499,7348,-499xm8266,-499l8266,-499,8266,-499,8266,-499xm7348,-499l7348,-499,7348,-499,7348,-499xm8283,-512l8271,-512,8266,-499,8266,-499,8278,-499,8282,-508,8283,-512xm7343,-511l7343,-511,7343,-511,7343,-511xm7342,-512l7342,-512,7343,-511,7342,-512xm8287,-525l8275,-525,8275,-525,8275,-525,8271,-511,8271,-512,8283,-512,8286,-523,8287,-525xm7339,-525l7339,-525,7339,-525,7339,-525xm8275,-525l8275,-525,8275,-525,8275,-525xm7339,-525l7339,-525,7339,-525,7339,-525xm8289,-1286l8278,-1286,8278,-553,8277,-538,8277,-538,8275,-525,8275,-525,8287,-525,8289,-538,8289,-553,8289,-1286xm7336,-539l7336,-538,7336,-538,7336,-539xm8277,-539l8277,-538,8277,-538,8277,-539xm8278,-553l8278,-553,8278,-553,8278,-553xm7336,-1286l7336,-1286,7336,-1286,7336,-1286xm8289,-1300l8277,-1300,8278,-1286,8278,-1286,8289,-1286,8289,-1300xm7336,-1300l7336,-1300,7336,-1300,7336,-1300xm8286,-1314l8275,-1314,8275,-1314,8275,-1314,8277,-1300,8277,-1300,8289,-1300,8289,-1301,8286,-1314xm8275,-1314l8275,-1314,8275,-1314,8275,-1314xm7339,-1314l7339,-1314,7339,-1314,7339,-1314xm8283,-1327l8271,-1327,8271,-1327,8271,-1327,8275,-1314,8275,-1314,8286,-1314,8286,-1316,8283,-1327xm7343,-1327l7342,-1327,7342,-1327,7343,-1327xm8271,-1327l8271,-1327,8271,-1327,8271,-1327xm8278,-1340l8266,-1340,8266,-1340,8266,-1340,8271,-1327,8271,-1327,8283,-1327,8282,-1330,8278,-1340xm8266,-1340l8266,-1340,8266,-1340,8266,-1340xm7348,-1340l7348,-1340,7348,-1340,7348,-1340xm8272,-1352l8259,-1352,8259,-1352,8259,-1352,8266,-1340,8266,-1340,8278,-1340,8276,-1344,8272,-1352xm8259,-1352l8259,-1352,8259,-1352,8259,-1352xm7354,-1352l7354,-1352,7354,-1352,7354,-1352xm8257,-1374l8243,-1374,8252,-1363,8252,-1363,8259,-1352,8259,-1352,8272,-1352,8270,-1357,8261,-1369,8257,-1374xm7362,-1364l7362,-1363,7362,-1363,7362,-1364xm8252,-1364l8252,-1363,8252,-1363,8252,-1364xm7371,-1374l7371,-1374,7370,-1374,7371,-1374xm8239,-1393l8222,-1393,8233,-1384,8233,-1384,8243,-1374,8243,-1374,8257,-1374,8252,-1381,8241,-1391,8239,-1393xm7381,-1384l7380,-1384,7380,-1384,7381,-1384xm8233,-1384l8233,-1384,8233,-1384,8233,-1384xm7392,-1393l7392,-1393,7391,-1393,7392,-1393xm8229,-1401l8210,-1401,8222,-1393,8222,-1393,8239,-1393,8229,-1401xm7404,-1401l7403,-1401,7403,-1401,7404,-1401xm8209,-1414l8184,-1414,8198,-1408,8198,-1408,8211,-1401,8210,-1401,8229,-1401,8217,-1410,8209,-1414xm7416,-1408l7416,-1408,7416,-1408,7416,-1408xm8197,-1408l8198,-1408,8198,-1408,8197,-1408xm7429,-1414l7429,-1413,7429,-1413,7429,-1414xm8200,-1418l8170,-1418,8170,-1418,8170,-1418,8185,-1413,8184,-1414,8209,-1414,8203,-1417,8200,-1418xm7444,-1418l7444,-1418,7443,-1418,7444,-1418xm8170,-1418l8170,-1418,8170,-1418,8170,-1418xm8192,-1422l8155,-1422,8156,-1422,8156,-1422,8170,-1418,8170,-1418,8200,-1418,8192,-1422xm7458,-1422l7458,-1422,7458,-1422,7458,-1422xm8155,-1422l8156,-1422,8156,-1422,8155,-1422xm8187,-1424l8140,-1424,8155,-1422,8155,-1422,8192,-1422,8189,-1423,8187,-1424xm7475,-1424l7473,-1424,7473,-1424,7475,-1424xm8185,-1424l8124,-1424,8141,-1424,8140,-1424,8187,-1424,8185,-1424xe" filled="true" fillcolor="#41709c" stroked="false">
              <v:path arrowok="t"/>
              <v:fill type="solid"/>
            </v:shape>
            <v:shape style="position:absolute;left:7324;top:-1435;width:966;height:1032" type="#_x0000_t202" filled="false" stroked="false">
              <v:textbox inset="0,0,0,0">
                <w:txbxContent>
                  <w:p>
                    <w:pPr>
                      <w:spacing w:line="240" w:lineRule="auto" w:before="3"/>
                      <w:rPr>
                        <w:sz w:val="10"/>
                      </w:rPr>
                    </w:pPr>
                  </w:p>
                  <w:p>
                    <w:pPr>
                      <w:spacing w:line="252" w:lineRule="auto" w:before="0"/>
                      <w:ind w:left="169" w:right="165" w:hanging="1"/>
                      <w:jc w:val="center"/>
                      <w:rPr>
                        <w:rFonts w:ascii="Calibri" w:hAnsi="Calibri"/>
                        <w:sz w:val="9"/>
                      </w:rPr>
                    </w:pPr>
                    <w:r>
                      <w:rPr>
                        <w:rFonts w:ascii="Calibri" w:hAnsi="Calibri"/>
                        <w:color w:val="FFFFFF"/>
                        <w:w w:val="115"/>
                        <w:sz w:val="9"/>
                      </w:rPr>
                      <w:t>Falta de procesos de coordinación con otras entidades de Gobierno y del sector privado</w:t>
                    </w:r>
                  </w:p>
                </w:txbxContent>
              </v:textbox>
              <w10:wrap type="none"/>
            </v:shape>
            <w10:wrap type="none"/>
          </v:group>
        </w:pict>
      </w:r>
      <w:r>
        <w:rPr/>
        <w:t>Adicionalmente, el PEI-SAT, identifica los problemas de gestión interna que están en la base de la baja eficiencia en la recaudación tributaria, siendo estos: 1) Escaso avance en el uso de la tecnología;</w:t>
      </w:r>
    </w:p>
    <w:p>
      <w:pPr>
        <w:pStyle w:val="ListParagraph"/>
        <w:numPr>
          <w:ilvl w:val="0"/>
          <w:numId w:val="27"/>
        </w:numPr>
        <w:tabs>
          <w:tab w:pos="802" w:val="left" w:leader="none"/>
        </w:tabs>
        <w:spacing w:line="240" w:lineRule="auto" w:before="1" w:after="0"/>
        <w:ind w:left="801" w:right="0" w:hanging="240"/>
        <w:jc w:val="left"/>
        <w:rPr>
          <w:sz w:val="22"/>
        </w:rPr>
      </w:pPr>
      <w:r>
        <w:rPr>
          <w:sz w:val="22"/>
        </w:rPr>
        <w:t>Falta de capacitación; y, 3) Poca gestión de cooperación nacional e</w:t>
      </w:r>
      <w:r>
        <w:rPr>
          <w:spacing w:val="-8"/>
          <w:sz w:val="22"/>
        </w:rPr>
        <w:t> </w:t>
      </w:r>
      <w:r>
        <w:rPr>
          <w:sz w:val="22"/>
        </w:rPr>
        <w:t>internacional.</w:t>
      </w:r>
    </w:p>
    <w:p>
      <w:pPr>
        <w:pStyle w:val="BodyText"/>
        <w:spacing w:before="11"/>
        <w:rPr>
          <w:sz w:val="28"/>
        </w:rPr>
      </w:pPr>
    </w:p>
    <w:p>
      <w:pPr>
        <w:pStyle w:val="Heading3"/>
        <w:spacing w:line="276" w:lineRule="auto" w:after="2"/>
        <w:ind w:left="4515" w:right="1704" w:hanging="3637"/>
      </w:pPr>
      <w:bookmarkStart w:name="_bookmark190" w:id="243"/>
      <w:bookmarkEnd w:id="243"/>
      <w:r>
        <w:rPr>
          <w:b w:val="0"/>
        </w:rPr>
      </w:r>
      <w:r>
        <w:rPr>
          <w:i/>
          <w:sz w:val="20"/>
        </w:rPr>
        <w:t>Gráfico 99. </w:t>
      </w:r>
      <w:r>
        <w:rPr/>
        <w:t>Identificación de factores internos que inciden en la insuficiente recaudación tributaria</w:t>
      </w:r>
    </w:p>
    <w:p>
      <w:pPr>
        <w:pStyle w:val="BodyText"/>
        <w:ind w:left="561"/>
        <w:rPr>
          <w:sz w:val="20"/>
        </w:rPr>
      </w:pPr>
      <w:r>
        <w:rPr>
          <w:sz w:val="20"/>
        </w:rPr>
        <w:pict>
          <v:group style="width:443.3pt;height:202.8pt;mso-position-horizontal-relative:char;mso-position-vertical-relative:line" coordorigin="0,0" coordsize="8866,4056">
            <v:shape style="position:absolute;left:2929;top:5;width:2491;height:414" coordorigin="2929,6" coordsize="2491,414" path="m5354,6l2995,6,2969,11,2949,26,2934,48,2929,75,2929,350,2934,377,2949,399,2969,414,2995,419,5354,419,5379,414,5400,399,5414,377,5420,350,5420,75,5414,48,5400,26,5379,11,5354,6xe" filled="true" fillcolor="#ec7c30" stroked="false">
              <v:path arrowok="t"/>
              <v:fill type="solid"/>
            </v:shape>
            <v:shape style="position:absolute;left:2923;top:0;width:2502;height:425" coordorigin="2924,0" coordsize="2502,425" path="m5354,0l2995,0,2988,0,2981,1,2974,3,2967,6,2961,9,2955,13,2950,17,2945,22,2940,27,2936,33,2932,39,2929,46,2927,52,2925,60,2924,67,2924,75,2924,350,2924,358,2925,365,2927,372,2929,379,2932,386,2936,392,2940,398,2945,403,2950,408,2955,412,2961,416,2967,419,2974,422,2981,423,2988,424,2995,425,5354,425,5361,424,5368,423,5375,422,5382,419,5388,416,5392,413,2995,413,2990,413,2989,413,2983,412,2983,412,2978,410,2977,410,2971,408,2972,408,2967,406,2967,406,2961,402,2961,402,2957,399,2957,399,2953,395,2953,395,2949,390,2949,390,2945,386,2945,386,2942,380,2942,380,2940,375,2940,375,2938,369,2938,369,2936,363,2935,357,2935,350,2935,75,2935,68,2935,68,2936,62,2936,62,2938,56,2938,56,2939,50,2939,50,2942,44,2942,44,2945,40,2945,40,2949,34,2949,34,2952,30,2952,30,2953,30,2953,30,2957,26,2957,26,2961,23,2961,23,2966,19,2966,19,2967,19,2967,19,2972,16,2972,16,2977,15,2977,15,2983,13,2983,13,2989,12,2990,12,2995,12,5392,12,5388,9,5382,6,5375,3,5368,1,5361,0,5354,0xm5360,413l5353,413,5392,413,5392,413,5360,413,5360,413xm2989,413l2989,413,2990,413,2989,413xm5394,412l5366,412,5360,413,5392,413,5394,412,5394,412xm2983,412l2983,412,2983,412,2983,412xm2983,412l2983,412,2983,412,2983,412xm5396,410l5372,410,5371,410,5371,410,5366,412,5366,412,5394,412,5396,410xm2977,410l2977,410,2978,410,2977,410xm5372,410l5371,410,5371,410,5372,410xm5399,408l5377,408,5372,410,5372,410,5396,410,5399,408xm2977,410l2977,410,2977,410,2977,410xm2972,408l2971,408,2972,408,2972,408xm5402,405l5383,405,5382,406,5382,406,5377,408,5377,408,5399,408,5399,408,5402,405xm2966,405l2967,406,2967,406,2966,405xm5383,405l5382,406,5382,406,5383,405xm5405,402l5388,402,5383,405,5383,405,5402,405,5404,403,5405,402xm2961,402l2961,402,2962,403,2961,402xm5411,395l5397,395,5396,395,5396,395,5392,399,5392,399,5387,403,5388,402,5405,402,5409,398,5411,395xm5392,399l5392,399,5392,399,5392,399xm2957,399l2957,399,2957,399,2957,399xm2957,399l2957,399,2957,399,2957,399xm2952,394l2953,395,2953,395,2952,394xm5396,395l5396,395,5396,395,5396,395xm5414,390l5400,390,5400,390,5400,390,5396,395,5397,395,5411,395,5413,392,5414,390xm2949,390l2949,390,2949,390,2949,390xm5400,390l5400,390,5400,390,5400,390xm2948,390l2948,390,2949,390,2948,390xm5419,380l5407,380,5404,386,5403,386,5400,390,5400,390,5414,390,5416,386,5419,380xm2945,385l2945,386,2945,386,2945,385xm5404,385l5404,386,5404,386,5404,385xm2942,380l2942,380,2942,380,2942,380xm5421,374l5409,374,5409,375,5409,375,5407,380,5407,380,5419,380,5420,379,5421,374xm2942,380l2942,380,2942,380,2942,380xm2940,374l2940,375,2940,375,2940,374xm5409,374l5409,375,5409,375,5409,374xm5423,369l5411,369,5411,369,5411,369,5409,374,5409,374,5421,374,5422,372,5423,369xm2938,369l2938,369,2938,369,2938,369xm5411,369l5411,369,5411,369,5411,369xm5424,363l5413,363,5411,369,5411,369,5423,369,5424,365,5424,363xm2936,363l2936,363,2936,363,2936,363xm5425,356l5414,356,5413,363,5413,363,5424,363,5425,358,5425,356xm2935,356l2935,356,2935,357,2935,356xm5425,75l5414,75,5414,350,5414,357,5414,356,5425,356,5425,350,5425,75xm5414,350l5414,350,5414,350,5414,350xm2935,75l2935,75,2935,75,2935,75xm5423,56l5411,56,5411,56,5411,56,5413,62,5413,62,5414,68,5414,68,5414,75,5414,75,5425,75,5425,67,5424,60,5423,56xm2935,68l2935,68,2935,68,2935,68xm5414,68l5414,68,5414,68,5414,68xm2936,62l2936,62,2936,62,2936,62xm5413,62l5413,62,5413,62,5413,62xm2938,56l2938,56,2938,56,2938,56xm5411,56l5411,56,5411,56,5411,56xm5419,44l5407,44,5409,50,5409,50,5411,56,5411,56,5423,56,5422,52,5420,46,5419,44xm2940,50l2939,50,2939,50,2940,50xm5409,50l5409,50,5409,50,5409,50xm2942,44l2942,44,2942,45,2942,44xm5416,39l5404,39,5404,40,5404,40,5407,45,5407,44,5419,44,5416,39xm2945,39l2945,40,2945,40,2945,39xm5404,40l5404,40,5404,40,5404,40xm5414,34l5400,34,5404,40,5404,39,5416,39,5414,34xm2949,34l2949,34,2948,35,2949,34xm5411,30l5396,30,5397,30,5396,30,5400,35,5400,34,5414,34,5413,33,5411,30xm2952,30l2952,30,2952,30,2952,30xm5396,30l5396,30,5397,30,5396,30xm2953,30l2953,30,2952,30,2953,30xm5408,26l5392,26,5396,30,5396,30,5411,30,5409,27,5408,26xm2957,26l2957,26,2957,26,2957,26xm5401,19l5382,19,5383,19,5383,19,5388,23,5388,23,5392,26,5392,26,5408,26,5404,22,5401,19xm2962,22l2961,23,2961,23,2962,22xm5387,22l5388,23,5388,23,5387,22xm5382,19l5383,19,5383,19,5382,19xm2967,19l2967,19,2966,19,2967,19xm5398,16l5377,16,5382,19,5382,19,5401,19,5399,17,5398,16xm2972,16l2972,16,2971,17,2972,16xm5372,14l5377,17,5377,16,5398,16,5396,15,5372,15,5372,14xm2977,14l2977,15,2977,15,2977,14xm5366,13l5372,15,5396,15,5394,13,5366,13,5366,13xm2983,13l2983,13,2983,13,2983,13xm5394,13l5366,13,5366,13,5394,13,5394,13xm5392,12l5360,12,5366,13,5366,13,5394,13,5392,12xm2990,12l2989,12,2989,12,2990,12xm5392,12l5353,12,5360,12,5360,12,5392,12,5392,12xe" filled="true" fillcolor="#ad5a20" stroked="false">
              <v:path arrowok="t"/>
              <v:fill type="solid"/>
            </v:shape>
            <v:shape style="position:absolute;left:600;top:2129;width:2502;height:641" coordorigin="600,2130" coordsize="2502,641" path="m3000,2130l702,2130,663,2138,630,2161,608,2195,600,2237,600,2663,608,2705,630,2739,663,2762,702,2770,3000,2770,3039,2762,3072,2739,3094,2705,3102,2663,3102,2237,3094,2195,3072,2161,3039,2138,3000,2130xe" filled="true" fillcolor="#5b9bd4" stroked="false">
              <v:path arrowok="t"/>
              <v:fill type="solid"/>
            </v:shape>
            <v:shape style="position:absolute;left:594;top:2124;width:2513;height:652" coordorigin="595,2124" coordsize="2513,652" path="m3000,2124l702,2124,691,2125,681,2126,670,2129,660,2133,651,2138,642,2143,634,2150,626,2157,619,2165,613,2174,608,2183,603,2193,600,2203,597,2214,595,2225,595,2236,595,2663,595,2675,597,2686,600,2697,603,2707,608,2717,613,2726,619,2735,626,2743,634,2750,642,2757,651,2762,660,2767,670,2771,681,2773,691,2775,702,2776,3000,2776,3011,2775,3021,2773,3032,2771,3042,2767,3047,2764,703,2764,694,2764,693,2764,683,2762,683,2762,674,2760,674,2760,665,2756,665,2756,657,2752,657,2752,648,2747,648,2747,641,2741,641,2741,634,2735,634,2735,628,2727,628,2727,622,2719,622,2719,618,2711,614,2703,614,2703,610,2694,608,2684,608,2684,607,2675,606,2674,606,2663,606,2236,606,2227,606,2227,608,2216,608,2216,610,2207,610,2207,613,2198,613,2198,617,2189,617,2189,622,2180,623,2180,628,2173,628,2173,628,2172,628,2172,634,2165,634,2165,634,2165,634,2165,641,2159,641,2159,641,2158,641,2158,648,2153,648,2153,649,2153,649,2153,656,2148,656,2148,657,2148,657,2148,665,2143,665,2143,674,2140,673,2140,683,2138,684,2138,693,2136,694,2136,703,2136,3047,2136,3042,2133,3032,2129,3021,2126,3011,2125,3000,2124xm3010,2764l2999,2764,3047,2764,3048,2764,3009,2764,3010,2764xm692,2764l693,2764,694,2764,692,2764xm3051,2762l3020,2762,3009,2764,3048,2764,3051,2762xm683,2762l683,2762,683,2762,683,2762xm683,2762l683,2762,683,2762,683,2762xm3055,2759l3029,2759,3028,2760,3028,2760,3019,2762,3020,2762,3051,2762,3055,2759xm673,2759l674,2760,674,2760,673,2759xm3029,2760l3028,2760,3028,2760,3029,2760xm3038,2756l3029,2760,3029,2759,3055,2759,3060,2757,3060,2756,3037,2756,3038,2756xm673,2759l673,2759,673,2759,673,2759xm664,2756l665,2756,665,2756,664,2756xm3066,2752l3046,2752,3045,2752,3045,2752,3037,2756,3060,2756,3066,2752xm656,2752l657,2752,657,2752,656,2752xm3046,2752l3045,2752,3045,2752,3046,2752xm3072,2747l3054,2747,3046,2752,3046,2752,3066,2752,3068,2750,3072,2747xm648,2747l648,2747,649,2747,648,2747xm3077,2741l3061,2741,3053,2747,3054,2747,3072,2747,3076,2743,3077,2741xm641,2741l641,2741,641,2741,641,2741xm3083,2734l3068,2734,3068,2735,3068,2735,3061,2741,3061,2741,3077,2741,3083,2735,3083,2734xm634,2735l634,2735,634,2735,634,2735xm3068,2735l3068,2735,3068,2735,3068,2735xm634,2734l634,2734,634,2735,634,2734xm3093,2719l3080,2719,3074,2728,3074,2728,3068,2735,3068,2734,3083,2734,3089,2726,3093,2719xm628,2727l628,2727,628,2728,628,2727xm3074,2727l3074,2728,3074,2728,3074,2727xm622,2719l622,2719,622,2720,622,2719xm3097,2711l3085,2711,3079,2720,3080,2719,3093,2719,3094,2717,3097,2711xm618,2711l618,2712,618,2712,618,2711xm3100,2702l3089,2702,3084,2712,3085,2711,3097,2711,3099,2707,3100,2702xm617,2711l617,2711,618,2711,617,2711xm613,2702l614,2703,614,2703,613,2702xm3103,2693l3092,2693,3088,2703,3089,2702,3100,2702,3102,2697,3103,2693xm613,2702l613,2702,613,2702,613,2702xm610,2693l610,2694,610,2694,610,2693xm3105,2683l3094,2683,3094,2684,3094,2684,3092,2694,3092,2693,3103,2693,3105,2686,3105,2683xm610,2693l610,2693,610,2693,610,2693xm608,2684l608,2684,608,2684,608,2684xm3094,2683l3094,2684,3094,2684,3094,2683xm608,2683l608,2683,608,2684,608,2683xm3107,2673l3096,2673,3094,2683,3094,2683,3105,2683,3107,2675,3107,2673xm606,2674l606,2674,606,2674,606,2674xm3107,2237l3096,2237,3096,2663,3096,2674,3096,2673,3107,2673,3107,2663,3107,2237xm606,2673l606,2673,606,2674,606,2673xm3096,2663l3096,2663,3096,2663,3096,2663xm606,2237l606,2237,606,2237,606,2237xm3105,2216l3094,2216,3094,2216,3094,2216,3096,2227,3096,2227,3096,2237,3096,2237,3107,2237,3107,2225,3105,2216xm606,2237l606,2237,606,2237,606,2237xm606,2226l606,2227,606,2227,606,2226xm3096,2226l3096,2227,3096,2227,3096,2226xm606,2226l606,2226,606,2226,606,2226xm608,2216l608,2216,608,2216,608,2216xm3094,2216l3094,2216,3094,2216,3094,2216xm3103,2206l3092,2206,3092,2207,3092,2207,3094,2216,3094,2216,3105,2216,3105,2214,3103,2206xm608,2216l608,2216,608,2216,608,2216xm3092,2206l3092,2207,3092,2207,3092,2206xm610,2206l610,2206,610,2207,610,2206xm3097,2188l3084,2188,3085,2189,3085,2189,3089,2198,3089,2198,3092,2206,3092,2206,3103,2206,3102,2203,3099,2193,3097,2188xm613,2197l613,2198,613,2198,613,2197xm3088,2197l3089,2198,3089,2198,3088,2197xm614,2197l614,2197,613,2197,614,2197xm618,2188l617,2189,617,2189,618,2188xm3084,2188l3085,2189,3085,2189,3084,2188xm3088,2172l3074,2172,3080,2180,3080,2180,3084,2188,3084,2188,3097,2188,3094,2183,3089,2174,3088,2172xm623,2180l622,2180,622,2180,623,2180xm3079,2180l3080,2180,3080,2180,3079,2180xm3083,2165l3068,2165,3068,2165,3068,2165,3074,2173,3074,2172,3088,2172,3083,2165xm628,2172l628,2172,628,2172,628,2172xm3068,2165l3068,2165,3068,2165,3068,2165xm634,2165l634,2165,634,2165,634,2165xm3077,2158l3061,2158,3068,2165,3068,2165,3083,2165,3077,2158xm641,2159l641,2159,641,2159,641,2159xm3071,2153l3053,2153,3061,2159,3061,2158,3077,2158,3076,2157,3071,2153xm641,2158l641,2158,641,2159,641,2158xm3066,2148l3045,2148,3046,2148,3046,2148,3054,2153,3053,2153,3071,2153,3068,2150,3066,2148xm649,2153l649,2153,648,2153,649,2153xm3045,2148l3046,2148,3046,2148,3045,2148xm657,2148l657,2148,656,2148,657,2148xm3060,2143l3037,2143,3045,2148,3045,2148,3066,2148,3060,2143xm665,2143l665,2143,664,2144,665,2143xm3028,2140l3038,2144,3037,2143,3060,2143,3060,2143,3055,2140,3029,2140,3028,2140xm674,2140l673,2140,674,2140,674,2140xm3051,2138l3019,2138,3029,2140,3055,2140,3051,2138xm684,2138l683,2138,683,2138,684,2138xm3048,2136l3009,2136,3020,2138,3019,2138,3051,2138,3048,2136xm694,2136l693,2136,692,2136,694,2136xm3047,2136l2999,2136,3010,2136,3009,2136,3048,2136,3047,2136xe" filled="true" fillcolor="#41709c" stroked="false">
              <v:path arrowok="t"/>
              <v:fill type="solid"/>
            </v:shape>
            <v:line style="position:absolute" from="1854,1890" to="3592,1877" stroked="true" strokeweight=".290958pt" strokecolor="#5b9bd4">
              <v:stroke dashstyle="solid"/>
            </v:line>
            <v:shape style="position:absolute;left:3565;top:1707;width:56;height:179" coordorigin="3566,1708" coordsize="56,179" path="m3596,1756l3591,1756,3591,1887,3596,1887,3596,1756xm3594,1708l3566,1766,3591,1766,3591,1756,3617,1756,3594,1708xm3617,1756l3596,1756,3596,1766,3621,1766,3617,1756xe" filled="true" fillcolor="#5b9bd4" stroked="false">
              <v:path arrowok="t"/>
              <v:fill type="solid"/>
            </v:shape>
            <v:line style="position:absolute" from="1854,1877" to="1854,2121" stroked="true" strokeweight=".277923pt" strokecolor="#5b9bd4">
              <v:stroke dashstyle="solid"/>
            </v:line>
            <v:shape style="position:absolute;left:4563;top:2135;width:2730;height:1921" type="#_x0000_t75" stroked="false">
              <v:imagedata r:id="rId274" o:title=""/>
            </v:shape>
            <v:shape style="position:absolute;left:6836;top:3049;width:929;height:1001" coordorigin="6837,3049" coordsize="929,1001" path="m7610,3049l6992,3049,6931,3062,6882,3097,6849,3148,6837,3211,6837,3888,6849,3951,6882,4003,6931,4037,6992,4050,7610,4050,7671,4037,7720,4003,7753,3951,7765,3888,7765,3211,7753,3148,7720,3097,7671,3062,7610,3049xe" filled="true" fillcolor="#5b9bd4" stroked="false">
              <v:path arrowok="t"/>
              <v:fill type="solid"/>
            </v:shape>
            <v:shape style="position:absolute;left:6831;top:3043;width:940;height:1013" coordorigin="6831,3043" coordsize="940,1013" path="m7611,3043l6992,3043,6975,3044,6959,3047,6944,3051,6929,3057,6915,3064,6902,3072,6890,3082,6878,3093,6868,3104,6859,3117,6851,3131,6844,3146,6839,3161,6835,3177,6832,3194,6831,3211,6831,3888,6832,3905,6835,3922,6839,3938,6844,3954,6851,3968,6859,3982,6868,3995,6878,4007,6890,4018,6902,4027,6915,4036,6929,4043,6944,4048,6959,4053,6975,4055,6992,4056,7611,4056,7627,4055,7643,4053,7658,4048,7669,4044,6992,4044,6976,4044,6977,4044,6962,4041,6948,4037,6948,4037,6934,4032,6934,4032,6921,4026,6921,4026,6909,4018,6908,4018,6896,4009,6897,4009,6886,3999,6886,3999,6876,3987,6876,3987,6868,3976,6868,3976,6860,3962,6860,3962,6854,3949,6854,3949,6849,3935,6846,3920,6846,3920,6843,3904,6843,3904,6842,3888,6842,3211,6843,3196,6843,3194,6845,3180,6845,3180,6849,3165,6849,3165,6854,3151,6854,3151,6860,3137,6860,3137,6868,3124,6868,3124,6876,3112,6876,3112,6877,3112,6877,3112,6886,3101,6886,3101,6886,3101,6886,3101,6897,3091,6896,3091,6908,3082,6908,3082,6908,3082,6909,3082,6920,3074,6920,3074,6921,3074,6921,3074,6933,3067,6933,3067,6948,3062,6948,3062,6961,3058,6961,3058,6977,3056,6978,3056,6992,3055,7669,3055,7658,3051,7643,3047,7627,3044,7611,3043xm7676,4041l7641,4041,7625,4044,7626,4044,7610,4044,7669,4044,7673,4043,7676,4041xm6962,4041l6962,4041,6962,4041,6962,4041xm7684,4037l7655,4037,7655,4037,7654,4037,7640,4041,7641,4041,7676,4041,7684,4037xm6961,4041l6961,4041,6962,4041,6961,4041xm6947,4037l6948,4037,6948,4037,6947,4037xm7655,4037l7654,4037,7655,4037,7655,4037xm7669,4032l7655,4037,7655,4037,7684,4037,7687,4036,7692,4032,7668,4032,7669,4032xm6933,4032l6934,4032,6934,4032,6933,4032xm7703,4025l7682,4025,7681,4026,7681,4026,7668,4032,7692,4032,7700,4027,7703,4025xm6920,4025l6921,4026,6921,4026,6920,4025xm7682,4025l7681,4026,7681,4026,7682,4025xm6920,4025l6920,4025,6920,4025,6920,4025xm7713,4018l7694,4018,7682,4025,7682,4025,7703,4025,7713,4018xm6908,4018l6908,4018,6909,4018,6908,4018xm7722,4009l7706,4009,7705,4009,7705,4009,7694,4018,7694,4018,7713,4018,7722,4009xm6897,4009l6897,4009,6897,4009,6897,4009xm7705,4009l7705,4009,7705,4009,7705,4009xm6897,4009l6896,4009,6897,4009,6897,4009xm7731,3998l7716,3998,7705,4009,7706,4009,7722,4009,7724,4007,7731,3998xm6886,3999l6886,3999,6886,3999,6886,3999xm7740,3987l7726,3987,7716,3999,7716,3998,7731,3998,7734,3995,7740,3987xm6886,3998l6886,3998,6886,3999,6886,3998xm6876,3987l6876,3987,6877,3988,6876,3987xm7754,3962l7742,3962,7734,3976,7734,3976,7725,3988,7726,3987,7740,3987,7743,3982,7751,3968,7754,3962xm6868,3975l6868,3976,6868,3976,6868,3975xm7734,3975l7734,3976,7734,3976,7734,3975xm6861,3963l6861,3963,6861,3963,6861,3963xm6860,3962l6860,3962,6861,3963,6860,3962xm7760,3949l7748,3949,7741,3963,7742,3962,7754,3962,7758,3954,7760,3949xm6854,3949l6854,3949,6854,3949,6854,3949xm7764,3934l7753,3934,7748,3949,7748,3949,7760,3949,7764,3938,7764,3934xm6849,3935l6849,3935,6849,3935,6849,3935xm6849,3934l6849,3934,6849,3935,6849,3934xm7768,3919l7757,3919,7757,3920,7757,3920,7753,3935,7753,3934,7764,3934,7767,3922,7768,3919xm6845,3920l6846,3920,6846,3920,6845,3920xm7757,3920l7757,3920,7757,3920,7757,3920xm6845,3919l6845,3919,6845,3920,6845,3919xm7771,3211l7760,3211,7760,3888,7759,3904,7759,3904,7757,3920,7757,3919,7768,3919,7770,3905,7771,3888,7771,3211xm6843,3904l6843,3904,6843,3904,6843,3904xm7759,3904l7759,3904,7759,3904,7759,3904xm7760,3888l7760,3888,7760,3888,7760,3888xm6842,3211l6842,3211,6842,3212,6842,3211xm7770,3195l7759,3195,7760,3212,7760,3211,7771,3211,7770,3195xm6843,3195l6843,3195,6843,3196,6843,3195xm7768,3180l7757,3180,7757,3180,7757,3180,7759,3196,7759,3195,7770,3195,7770,3194,7768,3180xm6845,3180l6845,3180,6845,3180,6845,3180xm7757,3180l7757,3180,7757,3180,7757,3180xm6846,3180l6846,3180,6845,3180,6846,3180xm7754,3137l7741,3137,7742,3137,7742,3137,7748,3151,7748,3151,7753,3165,7753,3165,7757,3180,7757,3180,7768,3180,7767,3177,7764,3161,7758,3146,7754,3137xm6849,3165l6849,3165,6849,3165,6849,3165xm7753,3165l7753,3165,7753,3165,7753,3165xm6854,3150l6854,3151,6854,3151,6854,3150xm7748,3150l7748,3151,7748,3151,7748,3150xm6861,3137l6860,3137,6860,3137,6861,3137xm7741,3137l7742,3137,7742,3137,7741,3137xm7747,3124l7734,3124,7741,3137,7741,3137,7754,3137,7751,3131,7747,3124xm6868,3124l6868,3124,6868,3124,6868,3124xm7739,3112l7725,3112,7726,3112,7726,3112,7734,3124,7734,3124,7747,3124,7743,3117,7739,3112xm7726,3112l7726,3112,7726,3112,7726,3112xm6877,3112l6877,3112,6877,3112,6877,3112xm7731,3101l7716,3101,7716,3101,7716,3101,7726,3112,7725,3112,7739,3112,7734,3104,7731,3101xm6886,3101l6886,3101,6886,3101,6886,3101xm7716,3101l7716,3101,7716,3101,7716,3101xm7722,3091l7705,3091,7716,3101,7716,3101,7731,3101,7724,3093,7722,3091xm6886,3101l6886,3101,6886,3101,6886,3101xm6897,3091l6896,3091,6897,3091,6897,3091xm7702,3074l7681,3074,7682,3074,7682,3074,7694,3082,7694,3082,7706,3091,7705,3091,7722,3091,7712,3082,7702,3074xm7694,3082l7694,3082,7694,3082,7694,3082xm6909,3082l6908,3082,6908,3082,6909,3082xm7682,3074l7682,3074,7682,3074,7682,3074xm7692,3067l7668,3067,7669,3067,7669,3067,7682,3074,7681,3074,7702,3074,7700,3072,7692,3067xm6921,3074l6921,3074,6920,3074,6921,3074xm6934,3067l6933,3067,6933,3067,6934,3067xm7669,3067l7669,3067,7669,3067,7669,3067xm7683,3062l7655,3062,7655,3062,7655,3062,7669,3067,7668,3067,7692,3067,7687,3064,7683,3062xm6948,3062l6948,3062,6947,3062,6948,3062xm7655,3062l7655,3062,7655,3062,7655,3062xm7676,3058l7640,3058,7641,3058,7641,3058,7655,3062,7655,3062,7683,3062,7676,3058xm7640,3058l7641,3058,7641,3058,7640,3058xm6962,3058l6962,3058,6962,3058,6962,3058xm7671,3056l7625,3056,7626,3056,7626,3056,7640,3058,7640,3058,7676,3058,7673,3057,7671,3056xm6978,3056l6977,3056,6976,3056,6978,3056xm7626,3056l7626,3056,7626,3056,7626,3056xm7669,3055l7610,3055,7626,3056,7625,3056,7671,3056,7669,3055xe" filled="true" fillcolor="#41709c" stroked="false">
              <v:path arrowok="t"/>
              <v:fill type="solid"/>
            </v:shape>
            <v:line style="position:absolute" from="6256,2120" to="6256,1883" stroked="true" strokeweight=".277923pt" strokecolor="#5b9bd4">
              <v:stroke dashstyle="solid"/>
            </v:line>
            <v:line style="position:absolute" from="6253,1894" to="5083,1883" stroked="true" strokeweight=".290958pt" strokecolor="#5b9bd4">
              <v:stroke dashstyle="solid"/>
            </v:line>
            <v:shape style="position:absolute;left:5045;top:1707;width:56;height:180" coordorigin="5046,1708" coordsize="56,180" path="m5076,1765l5070,1766,5084,1887,5090,1886,5076,1765xm5067,1708l5046,1769,5070,1766,5069,1756,5075,1756,5097,1756,5067,1708xm5075,1756l5069,1756,5070,1766,5076,1765,5075,1756xm5097,1756l5075,1756,5076,1765,5101,1762,5097,1756xe" filled="true" fillcolor="#5b9bd4" stroked="false">
              <v:path arrowok="t"/>
              <v:fill type="solid"/>
            </v:shape>
            <v:shape style="position:absolute;left:2531;top:439;width:3597;height:1217" type="#_x0000_t75" stroked="false">
              <v:imagedata r:id="rId275" o:title=""/>
            </v:shape>
            <v:shape style="position:absolute;left:2531;top:439;width:3597;height:1217" coordorigin="2532,439" coordsize="3597,1217" path="m6128,1077l5229,1077,5229,1656,3431,1656,3431,1077,2532,1077,4330,439,6128,1077xe" filled="false" stroked="true" strokeweight=".289621pt" strokecolor="#5b9bd4">
              <v:path arrowok="t"/>
              <v:stroke dashstyle="solid"/>
            </v:shape>
            <v:shape style="position:absolute;left:0;top:2956;width:845;height:1071" type="#_x0000_t75" stroked="false">
              <v:imagedata r:id="rId276" o:title=""/>
            </v:shape>
            <v:shape style="position:absolute;left:1045;top:2985;width:834;height:1065" coordorigin="1045,2985" coordsize="834,1065" path="m1740,2985l1184,2985,1130,2997,1086,3028,1056,3074,1045,3131,1045,3905,1056,3961,1086,4008,1130,4039,1184,4050,1740,4050,1794,4039,1838,4008,1868,3961,1879,3905,1879,3131,1868,3074,1838,3028,1794,2997,1740,2985xe" filled="true" fillcolor="#5b9bd4" stroked="false">
              <v:path arrowok="t"/>
              <v:fill type="solid"/>
            </v:shape>
            <v:shape style="position:absolute;left:1039;top:2979;width:845;height:1077" coordorigin="1039,2979" coordsize="845,1077" path="m1740,2979l1184,2979,1169,2980,1155,2983,1141,2986,1128,2991,1115,2998,1103,3005,1092,3014,1082,3024,1072,3035,1064,3046,1057,3059,1051,3072,1046,3086,1042,3100,1040,3115,1039,3131,1039,3905,1040,3920,1042,3935,1046,3950,1051,3964,1057,3977,1064,3989,1072,4001,1082,4012,1092,4021,1103,4030,1115,4038,1128,4044,1141,4049,1155,4053,1169,4055,1184,4056,1740,4056,1755,4055,1769,4053,1783,4049,1796,4044,1184,4044,1172,4044,1171,4044,1157,4041,1157,4041,1145,4038,1144,4038,1132,4033,1132,4033,1121,4028,1121,4028,1109,4020,1109,4020,1099,4013,1099,4013,1090,4004,1090,4004,1081,3993,1081,3993,1074,3983,1074,3983,1067,3971,1067,3971,1061,3959,1061,3959,1057,3946,1053,3933,1053,3933,1051,3919,1051,3919,1051,3905,1051,3131,1051,3117,1051,3115,1053,3103,1053,3103,1057,3089,1056,3089,1061,3076,1061,3076,1067,3064,1067,3064,1074,3052,1074,3052,1081,3042,1081,3042,1089,3032,1089,3032,1090,3032,1090,3032,1099,3023,1099,3023,1110,3015,1110,3015,1120,3008,1120,3008,1132,3002,1132,3002,1144,2997,1145,2997,1157,2994,1157,2994,1171,2992,1170,2992,1184,2991,1796,2991,1783,2986,1769,2983,1755,2980,1740,2979xm1754,4044l1740,4044,1796,4044,1796,4044,1797,4044,1753,4044,1754,4044xm1170,4044l1171,4044,1172,4044,1170,4044xm1797,4044l1754,4044,1753,4044,1797,4044,1797,4044xm1801,4041l1767,4041,1754,4044,1754,4044,1797,4044,1801,4041xm1157,4042l1157,4042,1157,4042,1157,4042xm1157,4041l1157,4041,1157,4042,1157,4041xm1780,4038l1766,4042,1767,4041,1801,4041,1808,4038,1779,4038,1780,4038xm1144,4038l1144,4038,1145,4038,1144,4038xm1816,4033l1792,4033,1779,4038,1808,4038,1809,4038,1816,4033xm1132,4033l1132,4033,1132,4033,1132,4033xm1824,4027l1804,4027,1791,4033,1792,4033,1816,4033,1821,4030,1824,4027xm1132,4033l1132,4033,1132,4033,1132,4033xm1120,4027l1121,4028,1121,4028,1120,4027xm1833,4020l1815,4020,1803,4028,1804,4027,1824,4027,1832,4021,1833,4020xm1120,4027l1120,4027,1120,4027,1120,4027xm1109,4020l1109,4020,1110,4021,1109,4020xm1849,4003l1834,4003,1834,4004,1834,4004,1824,4013,1824,4013,1814,4021,1815,4020,1833,4020,1842,4012,1849,4003xm1099,4012l1099,4013,1099,4013,1099,4012xm1825,4012l1824,4013,1824,4013,1825,4012xm1090,4003l1090,4004,1090,4004,1090,4003xm1834,4003l1834,4004,1834,4004,1834,4003xm1089,4003l1089,4003,1090,4003,1089,4003xm1857,3993l1843,3993,1834,4003,1834,4003,1849,4003,1851,4001,1857,3993xm1081,3993l1081,3993,1081,3994,1081,3993xm1870,3971l1857,3971,1850,3983,1850,3983,1843,3994,1843,3993,1857,3993,1860,3989,1867,3977,1870,3971xm1073,3982l1074,3983,1074,3983,1073,3982xm1851,3982l1850,3983,1850,3983,1851,3982xm1067,3971l1067,3971,1067,3971,1067,3971xm1879,3946l1867,3946,1863,3959,1863,3959,1857,3971,1857,3971,1870,3971,1873,3964,1878,3950,1879,3946xm1061,3959l1061,3959,1061,3959,1061,3959xm1863,3959l1863,3959,1863,3959,1863,3959xm1057,3946l1056,3946,1057,3946,1057,3946xm1882,3933l1871,3933,1870,3933,1870,3933,1867,3946,1867,3946,1879,3946,1881,3935,1882,3933xm1053,3933l1053,3933,1053,3933,1053,3933xm1870,3933l1870,3933,1870,3933,1870,3933xm1053,3933l1053,3933,1053,3933,1053,3933xm1884,3131l1873,3131,1873,3905,1873,3919,1872,3919,1870,3933,1871,3933,1882,3933,1884,3920,1884,3905,1884,3131xm1051,3919l1051,3919,1051,3919,1051,3919xm1873,3919l1872,3919,1873,3919,1873,3919xm1873,3904l1873,3905,1873,3905,1873,3904xm1051,3131l1051,3131,1051,3131,1051,3131xm1884,3116l1873,3116,1873,3131,1873,3131,1884,3131,1884,3116xm1051,3116l1051,3116,1051,3117,1051,3116xm1882,3102l1870,3102,1871,3103,1870,3103,1873,3117,1873,3116,1884,3116,1884,3115,1882,3102xm1053,3103l1053,3103,1053,3103,1053,3103xm1870,3103l1870,3103,1871,3103,1870,3103xm1053,3102l1053,3102,1053,3103,1053,3102xm1879,3089l1867,3089,1867,3089,1867,3089,1870,3103,1870,3102,1882,3102,1881,3100,1879,3089xm1057,3089l1056,3089,1057,3089,1057,3089xm1867,3089l1867,3089,1867,3089,1867,3089xm1874,3076l1863,3076,1867,3089,1867,3089,1879,3089,1878,3086,1874,3076xm1061,3076l1061,3076,1061,3077,1061,3076xm1863,3076l1863,3077,1863,3077,1863,3076xm1869,3064l1857,3064,1857,3064,1857,3064,1863,3076,1863,3076,1874,3076,1873,3072,1869,3064xm1067,3064l1067,3064,1067,3064,1067,3064xm1857,3064l1857,3064,1857,3064,1857,3064xm1863,3052l1850,3052,1857,3064,1857,3064,1869,3064,1867,3059,1863,3052xm1074,3052l1074,3052,1073,3053,1074,3052xm1849,3032l1834,3032,1834,3032,1834,3032,1843,3042,1843,3042,1851,3053,1850,3052,1863,3052,1860,3046,1851,3035,1849,3032xm1081,3042l1081,3042,1081,3042,1081,3042xm1843,3042l1843,3042,1843,3042,1843,3042xm1090,3032l1089,3032,1089,3032,1090,3032xm1834,3032l1834,3032,1834,3032,1834,3032xm1090,3032l1090,3032,1090,3032,1090,3032xm1841,3023l1824,3023,1834,3032,1834,3032,1849,3032,1842,3024,1841,3023xm1099,3023l1099,3023,1099,3023,1099,3023xm1833,3015l1814,3015,1825,3023,1824,3023,1841,3023,1833,3015xm1110,3015l1110,3015,1109,3015,1110,3015xm1808,2997l1779,2997,1792,3002,1792,3002,1804,3008,1803,3008,1815,3015,1814,3015,1833,3015,1832,3014,1821,3005,1809,2998,1808,2997xm1121,3008l1120,3008,1120,3008,1121,3008xm1803,3008l1803,3008,1804,3008,1803,3008xm1132,3002l1132,3002,1132,3002,1132,3002xm1791,3002l1792,3002,1792,3002,1791,3002xm1145,2997l1144,2997,1144,2997,1145,2997xm1801,2994l1766,2994,1767,2994,1767,2994,1780,2997,1779,2997,1808,2997,1801,2994xm1157,2994l1157,2994,1157,2994,1157,2994xm1766,2994l1767,2994,1767,2994,1766,2994xm1796,2991l1740,2991,1754,2992,1753,2992,1766,2994,1766,2994,1801,2994,1796,2991,1796,2991xe" filled="true" fillcolor="#41709c" stroked="false">
              <v:path arrowok="t"/>
              <v:fill type="solid"/>
            </v:shape>
            <v:shape style="position:absolute;left:2084;top:2985;width:845;height:1048" coordorigin="2084,2985" coordsize="845,1048" path="m2788,2985l2225,2985,2170,2997,2126,3028,2095,3075,2084,3133,2084,3885,2095,3943,2126,3989,2170,4021,2225,4033,2788,4033,2843,4021,2888,3989,2918,3943,2929,3885,2929,3133,2918,3075,2888,3028,2843,2997,2788,2985xe" filled="true" fillcolor="#5b9bd4" stroked="false">
              <v:path arrowok="t"/>
              <v:fill type="solid"/>
            </v:shape>
            <v:shape style="position:absolute;left:2078;top:2979;width:856;height:1060" coordorigin="2079,2979" coordsize="856,1060" path="m2789,2979l2225,2979,2210,2980,2196,2983,2182,2986,2168,2991,2155,2998,2143,3006,2132,3014,2122,3024,2112,3035,2104,3047,2097,3060,2090,3073,2085,3087,2082,3102,2080,3117,2079,3133,2079,3885,2080,3901,2082,3916,2085,3931,2090,3945,2097,3958,2104,3971,2112,3983,2122,3994,2132,4004,2143,4012,2155,4020,2168,4026,2182,4032,2196,4035,2210,4038,2225,4039,2789,4039,2804,4038,2818,4035,2832,4032,2845,4027,2226,4027,2213,4026,2212,4026,2198,4024,2198,4024,2185,4020,2185,4020,2173,4016,2173,4016,2161,4010,2161,4010,2150,4003,2150,4003,2139,3994,2139,3994,2130,3986,2130,3986,2121,3976,2121,3976,2113,3964,2113,3964,2106,3953,2106,3953,2100,3940,2101,3940,2096,3928,2096,3928,2093,3914,2093,3914,2091,3900,2091,3900,2090,3885,2090,3133,2091,3119,2091,3117,2093,3104,2093,3104,2096,3091,2096,3090,2101,3078,2100,3078,2106,3065,2106,3065,2113,3054,2113,3054,2121,3042,2121,3042,2129,3033,2129,3033,2130,3032,2130,3032,2139,3024,2139,3024,2150,3015,2150,3015,2161,3008,2161,3008,2161,3008,2161,3008,2172,3002,2172,3002,2185,2997,2185,2997,2185,2997,2185,2997,2198,2994,2198,2994,2212,2992,2211,2992,2226,2991,2845,2991,2832,2986,2818,2983,2804,2980,2789,2979xm2803,4026l2788,4027,2845,4027,2846,4026,2846,4026,2802,4026,2803,4026xm2211,4026l2212,4026,2213,4026,2211,4026xm2851,4024l2816,4024,2816,4024,2815,4024,2802,4026,2846,4026,2851,4024xm2198,4024l2198,4024,2198,4024,2198,4024xm2198,4024l2198,4024,2198,4024,2198,4024xm2857,4020l2829,4020,2816,4024,2816,4024,2851,4024,2857,4020xm2185,4020l2185,4020,2185,4021,2185,4020xm2841,4016l2829,4021,2829,4020,2857,4020,2858,4020,2865,4016,2841,4016,2841,4016xm2172,4016l2173,4016,2173,4016,2172,4016xm2874,4010l2853,4010,2853,4010,2853,4010,2841,4016,2865,4016,2870,4012,2874,4010xm2161,4010l2161,4010,2161,4010,2161,4010xm2853,4010l2853,4010,2853,4010,2853,4010xm2161,4010l2161,4010,2161,4010,2161,4010xm2883,4003l2864,4003,2853,4010,2853,4010,2874,4010,2882,4004,2883,4003xm2149,4003l2150,4003,2150,4003,2149,4003xm2891,3994l2875,3994,2864,4003,2864,4003,2883,4003,2891,3994xm2139,3994l2139,3994,2139,3995,2139,3994xm2899,3985l2884,3985,2884,3986,2884,3986,2874,3995,2875,3994,2891,3994,2892,3994,2899,3985xm2130,3985l2130,3986,2130,3986,2130,3985xm2884,3985l2884,3986,2884,3986,2884,3985xm2907,3975l2893,3975,2893,3976,2893,3976,2884,3985,2884,3985,2899,3985,2901,3983,2907,3975xm2129,3985l2129,3985,2130,3985,2129,3985xm2121,3975l2121,3976,2121,3976,2121,3975xm2893,3975l2893,3976,2893,3976,2893,3975xm2920,3953l2908,3953,2901,3965,2900,3965,2893,3975,2893,3975,2907,3975,2910,3971,2917,3958,2920,3953xm2113,3964l2113,3964,2113,3965,2113,3964xm2901,3964l2900,3965,2901,3965,2901,3964xm2106,3953l2106,3953,2106,3953,2106,3953xm2106,3953l2106,3953,2106,3953,2106,3953xm2925,3940l2913,3940,2907,3953,2908,3953,2920,3953,2923,3945,2925,3940xm2101,3940l2100,3940,2101,3941,2101,3940xm2932,3913l2921,3913,2921,3914,2921,3914,2918,3928,2917,3928,2913,3941,2913,3940,2925,3940,2928,3931,2932,3916,2932,3913xm2096,3927l2096,3928,2096,3928,2096,3927xm2918,3927l2918,3928,2918,3928,2918,3927xm2093,3914l2093,3914,2093,3914,2093,3914xm2921,3914l2921,3914,2921,3914,2921,3914xm2093,3913l2093,3913,2093,3914,2093,3913xm2935,3133l2924,3133,2924,3885,2923,3900,2923,3900,2921,3914,2921,3913,2932,3913,2934,3901,2935,3885,2935,3133xm2091,3899l2091,3900,2091,3900,2091,3899xm2923,3899l2923,3900,2923,3900,2923,3899xm2924,3885l2924,3885,2924,3885,2924,3885xm2090,3133l2090,3133,2090,3133,2090,3133xm2934,3118l2923,3118,2924,3133,2924,3133,2935,3133,2934,3118xm2091,3118l2091,3118,2091,3119,2091,3118xm2932,3104l2921,3104,2921,3104,2921,3104,2923,3119,2923,3118,2934,3118,2934,3117,2932,3104xm2921,3104l2921,3104,2921,3104,2921,3104xm2093,3104l2093,3104,2093,3104,2093,3104xm2929,3090l2918,3090,2921,3104,2921,3104,2932,3104,2932,3102,2929,3090xm2096,3090l2096,3090,2096,3091,2096,3090xm2920,3065l2907,3065,2908,3065,2907,3065,2913,3078,2913,3078,2918,3091,2918,3090,2929,3090,2928,3087,2923,3073,2920,3065xm2101,3077l2100,3078,2101,3078,2101,3077xm2913,3077l2913,3078,2913,3078,2913,3077xm2106,3065l2106,3065,2106,3065,2106,3065xm2907,3065l2907,3065,2908,3065,2907,3065xm2913,3053l2901,3053,2907,3065,2907,3065,2920,3065,2917,3060,2913,3053xm2113,3053l2113,3054,2113,3054,2113,3053xm2907,3042l2893,3042,2901,3054,2901,3053,2913,3053,2910,3047,2907,3042xm2121,3042l2121,3042,2121,3043,2121,3042xm2899,3032l2884,3032,2884,3033,2884,3033,2893,3043,2893,3042,2907,3042,2901,3035,2899,3032xm2130,3033l2129,3033,2129,3033,2130,3033xm2884,3033l2884,3033,2884,3033,2884,3033xm2130,3032l2130,3032,2130,3033,2130,3032xm2882,3015l2864,3015,2875,3024,2875,3024,2884,3033,2884,3032,2899,3032,2892,3024,2882,3015xm2139,3023l2139,3024,2139,3024,2139,3023xm2874,3023l2875,3024,2875,3024,2874,3023xm2150,3015l2150,3015,2149,3015,2150,3015xm2873,3008l2853,3008,2853,3008,2853,3008,2864,3015,2864,3015,2882,3015,2882,3014,2873,3008xm2853,3008l2853,3008,2853,3008,2853,3008xm2161,3008l2161,3008,2161,3008,2161,3008xm2865,3002l2841,3002,2853,3008,2853,3008,2873,3008,2870,3006,2865,3002xm2828,2997l2841,3002,2841,3002,2865,3002,2858,2998,2857,2997,2829,2997,2828,2997xm2173,3002l2172,3002,2173,3002,2173,3002xm2850,2994l2816,2994,2816,2994,2816,2994,2829,2997,2857,2997,2850,2994xm2185,2997l2185,2997,2185,2997,2185,2997xm2198,2994l2198,2994,2198,2994,2198,2994xm2816,2994l2816,2994,2816,2994,2816,2994xm2845,2991l2788,2991,2803,2992,2802,2992,2816,2994,2816,2994,2850,2994,2846,2991,2845,2991xe" filled="true" fillcolor="#41709c" stroked="false">
              <v:path arrowok="t"/>
              <v:fill type="solid"/>
            </v:shape>
            <v:line style="position:absolute" from="5039,3052" to="5039,2965" stroked="true" strokeweight=".277923pt" strokecolor="#5b9bd4">
              <v:stroke dashstyle="solid"/>
            </v:line>
            <v:line style="position:absolute" from="5039,2965" to="5389,2965" stroked="true" strokeweight=".290959pt" strokecolor="#5b9bd4">
              <v:stroke dashstyle="solid"/>
            </v:line>
            <v:line style="position:absolute" from="6695,2971" to="7376,2971" stroked="true" strokeweight=".290959pt" strokecolor="#5b9bd4">
              <v:stroke dashstyle="solid"/>
            </v:line>
            <v:line style="position:absolute" from="7380,2953" to="7307,3056" stroked="true" strokeweight=".282321pt" strokecolor="#5b9bd4">
              <v:stroke dashstyle="solid"/>
            </v:line>
            <v:line style="position:absolute" from="7212,2918" to="8530,2918" stroked="true" strokeweight=".290959pt" strokecolor="#5b9bd4">
              <v:stroke dashstyle="solid"/>
            </v:line>
            <v:shape style="position:absolute;left:7987;top:3049;width:873;height:1001" coordorigin="7988,3049" coordsize="873,1001" path="m8715,3049l8133,3049,8076,3061,8030,3094,7999,3142,7988,3202,7988,3898,7999,3957,8030,4006,8076,4038,8133,4050,8715,4050,8771,4038,8818,4006,8849,3957,8860,3898,8860,3202,8849,3142,8818,3094,8771,3061,8715,3049xe" filled="true" fillcolor="#5b9bd4" stroked="false">
              <v:path arrowok="t"/>
              <v:fill type="solid"/>
            </v:shape>
            <v:shape style="position:absolute;left:7981;top:3043;width:884;height:1013" coordorigin="7982,3043" coordsize="884,1013" path="m8715,3043l8133,3043,8118,3044,8103,3047,8088,3051,8074,3056,8061,3063,8049,3070,8037,3080,8026,3090,8016,3101,8008,3113,8000,3126,7994,3140,7989,3154,7985,3170,7983,3185,7982,3201,7982,3898,7983,3914,7985,3930,7989,3945,7994,3959,8000,3973,8008,3986,8016,3998,8026,4010,8037,4020,8049,4029,8061,4037,8074,4044,8088,4049,8103,4053,8118,4055,8133,4056,8715,4056,8730,4055,8745,4053,8760,4049,8772,4044,8133,4044,8118,4044,8119,4044,8105,4041,8105,4041,8092,4038,8092,4038,8078,4033,8078,4033,8067,4027,8067,4027,8054,4019,8055,4019,8044,4011,8044,4011,8034,4002,8034,4002,8025,3991,8025,3991,8017,3980,8017,3980,8010,3968,8010,3968,8004,3955,8004,3955,7999,3942,7996,3928,7996,3927,7994,3913,7994,3913,7993,3898,7993,3201,7994,3187,7994,3185,7996,3172,7996,3172,7999,3158,7999,3158,8004,3145,8004,3145,8004,3144,8004,3144,8010,3132,8010,3132,8017,3119,8017,3119,8025,3109,8025,3109,8025,3108,8025,3108,8034,3098,8034,3098,8034,3098,8034,3098,8044,3089,8044,3089,8055,3080,8055,3080,8066,3073,8066,3073,8067,3073,8067,3073,8078,3067,8078,3067,8091,3062,8091,3062,8092,3062,8092,3062,8105,3058,8105,3058,8119,3056,8120,3056,8133,3055,8772,3055,8760,3051,8745,3047,8730,3044,8715,3043xm8778,4041l8743,4041,8729,4044,8729,4044,8714,4044,8772,4044,8774,4044,8778,4041xm8105,4041l8105,4041,8105,4041,8105,4041xm8785,4038l8757,4038,8756,4038,8756,4038,8743,4041,8743,4041,8778,4041,8785,4038xm8105,4041l8105,4041,8105,4041,8105,4041xm8091,4038l8092,4038,8092,4038,8091,4038xm8756,4038l8756,4038,8756,4038,8756,4038xm8769,4033l8756,4038,8757,4038,8785,4038,8787,4037,8793,4033,8769,4033,8769,4033xm8091,4038l8091,4038,8091,4038,8091,4038xm8079,4033l8079,4033,8079,4033,8079,4033xm8802,4026l8782,4026,8781,4027,8781,4027,8769,4033,8793,4033,8799,4029,8802,4026xm8078,4033l8078,4033,8079,4033,8078,4033xm8066,4026l8067,4027,8067,4027,8066,4026xm8782,4026l8781,4027,8781,4027,8782,4026xm8812,4019l8793,4019,8782,4026,8782,4026,8802,4026,8811,4020,8812,4019xm8055,4019l8054,4019,8055,4020,8055,4019xm8829,4001l8814,4001,8814,4002,8813,4002,8803,4011,8803,4011,8793,4020,8793,4019,8812,4019,8822,4010,8829,4001xm8044,4011l8044,4011,8044,4011,8044,4011xm8804,4011l8803,4011,8803,4011,8804,4011xm8034,4001l8034,4002,8034,4002,8034,4001xm8814,4001l8813,4002,8814,4002,8814,4001xm8034,4001l8034,4001,8034,4001,8034,4001xm8850,3968l8838,3968,8831,3980,8831,3980,8823,3991,8822,3991,8814,4001,8814,4001,8829,4001,8831,3998,8840,3986,8848,3973,8850,3968xm8025,3991l8025,3991,8025,3991,8025,3991xm8823,3991l8823,3991,8823,3991,8823,3991xm8025,3991l8025,3991,8025,3991,8025,3991xm8831,3980l8831,3980,8831,3980,8831,3980xm8017,3980l8017,3980,8017,3980,8017,3980xm8010,3968l8010,3968,8010,3968,8010,3968xm8860,3941l8848,3941,8844,3955,8844,3955,8838,3968,8838,3968,8850,3968,8854,3959,8859,3945,8860,3941xm8010,3967l8010,3967,8010,3968,8010,3967xm8004,3955l8004,3955,8004,3955,8004,3955xm8844,3955l8844,3955,8844,3955,8844,3955xm7999,3942l7999,3942,7999,3942,7999,3942xm8863,3927l8852,3927,8848,3942,8848,3941,8860,3941,8863,3930,8863,3927xm7999,3941l7999,3941,7999,3942,7999,3941xm7996,3927l7996,3927,7996,3928,7996,3927xm8866,3202l8855,3202,8855,3898,8854,3913,8854,3913,8852,3928,8852,3927,8863,3927,8865,3914,8866,3898,8866,3202xm7994,3913l7994,3913,7994,3913,7994,3913xm8854,3913l8854,3913,8854,3913,8854,3913xm8855,3898l8855,3898,8855,3898,8855,3898xm7993,3202l7993,3202,7993,3202,7993,3202xm8865,3186l8854,3186,8855,3202,8855,3202,8866,3202,8865,3186xm7994,3186l7994,3186,7994,3187,7994,3186xm8860,3158l8848,3158,8848,3158,8848,3158,8852,3172,8852,3172,8854,3187,8854,3186,8865,3186,8865,3185,8863,3170,8860,3158xm7996,3172l7996,3172,7996,3172,7996,3172xm8852,3172l8852,3172,8852,3172,8852,3172xm7999,3158l7999,3158,7999,3158,7999,3158xm8848,3158l8848,3158,8848,3158,8848,3158xm8855,3144l8844,3144,8844,3145,8844,3145,8848,3158,8848,3158,8860,3158,8859,3154,8855,3144xm8844,3145l8844,3145,8844,3145,8844,3145xm8004,3144l8004,3144,8004,3145,8004,3144xm8844,3119l8831,3119,8838,3132,8838,3132,8844,3145,8844,3144,8855,3144,8854,3140,8848,3126,8844,3119xm8010,3132l8010,3132,8010,3132,8010,3132xm8838,3131l8838,3132,8838,3132,8838,3131xm8017,3119l8017,3119,8017,3120,8017,3119xm8836,3108l8823,3108,8831,3120,8831,3119,8844,3119,8840,3113,8836,3108xm8829,3098l8814,3098,8814,3098,8814,3098,8823,3109,8823,3108,8836,3108,8831,3101,8829,3098xm8025,3108l8025,3108,8025,3108,8025,3108xm8034,3098l8034,3098,8034,3098,8034,3098xm8814,3098l8814,3098,8814,3098,8814,3098xm8034,3098l8034,3098,8034,3098,8034,3098xm8811,3080l8793,3080,8804,3089,8804,3089,8814,3098,8814,3098,8829,3098,8822,3090,8811,3080xm8044,3088l8044,3089,8044,3089,8044,3088xm8803,3088l8804,3089,8804,3089,8803,3088xm8055,3080l8055,3080,8054,3080,8055,3080xm8802,3073l8781,3073,8782,3073,8782,3073,8793,3080,8793,3080,8811,3080,8811,3080,8802,3073xm8781,3073l8782,3073,8782,3073,8781,3073xm8067,3073l8067,3073,8066,3073,8067,3073xm8785,3062l8756,3062,8757,3062,8757,3062,8769,3067,8769,3067,8781,3073,8781,3073,8802,3073,8799,3070,8787,3063,8785,3062xm8079,3067l8078,3067,8078,3067,8079,3067xm8769,3067l8769,3067,8769,3067,8769,3067xm8756,3062l8757,3062,8757,3062,8756,3062xm8778,3058l8743,3058,8743,3058,8743,3058,8756,3062,8756,3062,8785,3062,8778,3058xm8092,3062l8092,3062,8091,3062,8092,3062xm8105,3058l8105,3058,8105,3058,8105,3058xm8743,3058l8743,3058,8743,3058,8743,3058xm8773,3056l8729,3056,8743,3058,8743,3058,8778,3058,8774,3056,8773,3056xm8120,3056l8119,3056,8118,3056,8120,3056xm8772,3055l8714,3055,8729,3056,8729,3056,8773,3056,8772,3055xe" filled="true" fillcolor="#41709c" stroked="false">
              <v:path arrowok="t"/>
              <v:fill type="solid"/>
            </v:shape>
            <v:line style="position:absolute" from="8542,2916" to="8542,3054" stroked="true" strokeweight=".963618pt" strokecolor="#5b9bd4">
              <v:stroke dashstyle="solid"/>
            </v:line>
            <v:shape style="position:absolute;left:3212;top:158;width:1950;height:134" type="#_x0000_t202" filled="false" stroked="false">
              <v:textbox inset="0,0,0,0">
                <w:txbxContent>
                  <w:p>
                    <w:pPr>
                      <w:spacing w:line="134" w:lineRule="exact" w:before="0"/>
                      <w:ind w:left="0" w:right="0" w:firstLine="0"/>
                      <w:jc w:val="left"/>
                      <w:rPr>
                        <w:rFonts w:ascii="Calibri" w:hAnsi="Calibri"/>
                        <w:b/>
                        <w:sz w:val="13"/>
                      </w:rPr>
                    </w:pPr>
                    <w:r>
                      <w:rPr>
                        <w:rFonts w:ascii="Calibri" w:hAnsi="Calibri"/>
                        <w:b/>
                        <w:color w:val="FFFFFF"/>
                        <w:sz w:val="13"/>
                      </w:rPr>
                      <w:t>Insuficientes niveles de recaudación</w:t>
                    </w:r>
                  </w:p>
                </w:txbxContent>
              </v:textbox>
              <w10:wrap type="none"/>
            </v:shape>
            <v:shape style="position:absolute;left:739;top:2201;width:2237;height:531" type="#_x0000_t202" filled="false" stroked="false">
              <v:textbox inset="0,0,0,0">
                <w:txbxContent>
                  <w:p>
                    <w:pPr>
                      <w:spacing w:line="158" w:lineRule="exact" w:before="0"/>
                      <w:ind w:left="-1" w:right="18" w:firstLine="0"/>
                      <w:jc w:val="center"/>
                      <w:rPr>
                        <w:rFonts w:ascii="Calibri" w:hAnsi="Calibri"/>
                        <w:sz w:val="15"/>
                      </w:rPr>
                    </w:pPr>
                    <w:r>
                      <w:rPr>
                        <w:rFonts w:ascii="Calibri" w:hAnsi="Calibri"/>
                        <w:color w:val="FFFFFF"/>
                        <w:sz w:val="15"/>
                      </w:rPr>
                      <w:t>Desatención</w:t>
                    </w:r>
                    <w:r>
                      <w:rPr>
                        <w:rFonts w:ascii="Calibri" w:hAnsi="Calibri"/>
                        <w:color w:val="FFFFFF"/>
                        <w:spacing w:val="-14"/>
                        <w:sz w:val="15"/>
                      </w:rPr>
                      <w:t> </w:t>
                    </w:r>
                    <w:r>
                      <w:rPr>
                        <w:rFonts w:ascii="Calibri" w:hAnsi="Calibri"/>
                        <w:color w:val="FFFFFF"/>
                        <w:sz w:val="15"/>
                      </w:rPr>
                      <w:t>de</w:t>
                    </w:r>
                    <w:r>
                      <w:rPr>
                        <w:rFonts w:ascii="Calibri" w:hAnsi="Calibri"/>
                        <w:color w:val="FFFFFF"/>
                        <w:spacing w:val="-11"/>
                        <w:sz w:val="15"/>
                      </w:rPr>
                      <w:t> </w:t>
                    </w:r>
                    <w:r>
                      <w:rPr>
                        <w:rFonts w:ascii="Calibri" w:hAnsi="Calibri"/>
                        <w:color w:val="FFFFFF"/>
                        <w:sz w:val="15"/>
                      </w:rPr>
                      <w:t>temas</w:t>
                    </w:r>
                    <w:r>
                      <w:rPr>
                        <w:rFonts w:ascii="Calibri" w:hAnsi="Calibri"/>
                        <w:color w:val="FFFFFF"/>
                        <w:spacing w:val="-10"/>
                        <w:sz w:val="15"/>
                      </w:rPr>
                      <w:t> </w:t>
                    </w:r>
                    <w:r>
                      <w:rPr>
                        <w:rFonts w:ascii="Calibri" w:hAnsi="Calibri"/>
                        <w:color w:val="FFFFFF"/>
                        <w:sz w:val="15"/>
                      </w:rPr>
                      <w:t>de</w:t>
                    </w:r>
                    <w:r>
                      <w:rPr>
                        <w:rFonts w:ascii="Calibri" w:hAnsi="Calibri"/>
                        <w:color w:val="FFFFFF"/>
                        <w:spacing w:val="-11"/>
                        <w:sz w:val="15"/>
                      </w:rPr>
                      <w:t> </w:t>
                    </w:r>
                    <w:r>
                      <w:rPr>
                        <w:rFonts w:ascii="Calibri" w:hAnsi="Calibri"/>
                        <w:color w:val="FFFFFF"/>
                        <w:sz w:val="15"/>
                      </w:rPr>
                      <w:t>tecnología,</w:t>
                    </w:r>
                  </w:p>
                  <w:p>
                    <w:pPr>
                      <w:spacing w:line="244" w:lineRule="auto" w:before="3"/>
                      <w:ind w:left="5" w:right="18" w:firstLine="0"/>
                      <w:jc w:val="center"/>
                      <w:rPr>
                        <w:rFonts w:ascii="Calibri"/>
                        <w:sz w:val="15"/>
                      </w:rPr>
                    </w:pPr>
                    <w:r>
                      <w:rPr>
                        <w:rFonts w:ascii="Calibri"/>
                        <w:color w:val="FFFFFF"/>
                        <w:sz w:val="15"/>
                      </w:rPr>
                      <w:t>personal y relaciones interinstitucionales</w:t>
                    </w:r>
                  </w:p>
                </w:txbxContent>
              </v:textbox>
              <w10:wrap type="none"/>
            </v:shape>
            <v:shape style="position:absolute;left:5330;top:2387;width:1866;height:158" type="#_x0000_t202" filled="false" stroked="false">
              <v:textbox inset="0,0,0,0">
                <w:txbxContent>
                  <w:p>
                    <w:pPr>
                      <w:spacing w:line="157" w:lineRule="exact" w:before="0"/>
                      <w:ind w:left="0" w:right="0" w:firstLine="0"/>
                      <w:jc w:val="left"/>
                      <w:rPr>
                        <w:rFonts w:ascii="Calibri"/>
                        <w:sz w:val="15"/>
                      </w:rPr>
                    </w:pPr>
                    <w:r>
                      <w:rPr>
                        <w:rFonts w:ascii="Calibri"/>
                        <w:color w:val="FFFFFF"/>
                        <w:sz w:val="15"/>
                      </w:rPr>
                      <w:t>Falta de </w:t>
                    </w:r>
                    <w:r>
                      <w:rPr>
                        <w:rFonts w:ascii="Calibri"/>
                        <w:color w:val="FFFFFF"/>
                        <w:spacing w:val="-3"/>
                        <w:sz w:val="15"/>
                      </w:rPr>
                      <w:t>eficiencia </w:t>
                    </w:r>
                    <w:r>
                      <w:rPr>
                        <w:rFonts w:ascii="Calibri"/>
                        <w:color w:val="FFFFFF"/>
                        <w:sz w:val="15"/>
                      </w:rPr>
                      <w:t>institucional</w:t>
                    </w:r>
                  </w:p>
                </w:txbxContent>
              </v:textbox>
              <w10:wrap type="none"/>
            </v:shape>
            <v:shape style="position:absolute;left:139;top:3239;width:579;height:537" type="#_x0000_t202" filled="false" stroked="false">
              <v:textbox inset="0,0,0,0">
                <w:txbxContent>
                  <w:p>
                    <w:pPr>
                      <w:spacing w:line="117" w:lineRule="exact" w:before="0"/>
                      <w:ind w:left="0" w:right="17" w:firstLine="0"/>
                      <w:jc w:val="center"/>
                      <w:rPr>
                        <w:rFonts w:ascii="Calibri"/>
                        <w:sz w:val="11"/>
                      </w:rPr>
                    </w:pPr>
                    <w:r>
                      <w:rPr>
                        <w:rFonts w:ascii="Calibri"/>
                        <w:color w:val="FFFFFF"/>
                        <w:sz w:val="11"/>
                      </w:rPr>
                      <w:t>Escaso</w:t>
                    </w:r>
                  </w:p>
                  <w:p>
                    <w:pPr>
                      <w:spacing w:line="249" w:lineRule="auto" w:before="5"/>
                      <w:ind w:left="0" w:right="18" w:firstLine="0"/>
                      <w:jc w:val="center"/>
                      <w:rPr>
                        <w:rFonts w:ascii="Calibri" w:hAnsi="Calibri"/>
                        <w:sz w:val="11"/>
                      </w:rPr>
                    </w:pPr>
                    <w:r>
                      <w:rPr>
                        <w:rFonts w:ascii="Calibri" w:hAnsi="Calibri"/>
                        <w:color w:val="FFFFFF"/>
                        <w:sz w:val="11"/>
                      </w:rPr>
                      <w:t>avance en el uso de la tecnología</w:t>
                    </w:r>
                  </w:p>
                </w:txbxContent>
              </v:textbox>
              <w10:wrap type="none"/>
            </v:shape>
            <v:shape style="position:absolute;left:1154;top:3054;width:635;height:956" type="#_x0000_t202" filled="false" stroked="false">
              <v:textbox inset="0,0,0,0">
                <w:txbxContent>
                  <w:p>
                    <w:pPr>
                      <w:spacing w:line="117" w:lineRule="exact" w:before="0"/>
                      <w:ind w:left="111" w:right="131" w:firstLine="0"/>
                      <w:jc w:val="center"/>
                      <w:rPr>
                        <w:rFonts w:ascii="Calibri"/>
                        <w:sz w:val="11"/>
                      </w:rPr>
                    </w:pPr>
                    <w:r>
                      <w:rPr>
                        <w:rFonts w:ascii="Calibri"/>
                        <w:color w:val="FFFFFF"/>
                        <w:sz w:val="11"/>
                      </w:rPr>
                      <w:t>Falta</w:t>
                    </w:r>
                    <w:r>
                      <w:rPr>
                        <w:rFonts w:ascii="Calibri"/>
                        <w:color w:val="FFFFFF"/>
                        <w:spacing w:val="-3"/>
                        <w:sz w:val="11"/>
                      </w:rPr>
                      <w:t> </w:t>
                    </w:r>
                    <w:r>
                      <w:rPr>
                        <w:rFonts w:ascii="Calibri"/>
                        <w:color w:val="FFFFFF"/>
                        <w:sz w:val="11"/>
                      </w:rPr>
                      <w:t>de</w:t>
                    </w:r>
                  </w:p>
                  <w:p>
                    <w:pPr>
                      <w:spacing w:line="249" w:lineRule="auto" w:before="5"/>
                      <w:ind w:left="0" w:right="18" w:hanging="5"/>
                      <w:jc w:val="center"/>
                      <w:rPr>
                        <w:rFonts w:ascii="Calibri"/>
                        <w:sz w:val="11"/>
                      </w:rPr>
                    </w:pPr>
                    <w:r>
                      <w:rPr>
                        <w:rFonts w:ascii="Calibri"/>
                        <w:color w:val="FFFFFF"/>
                        <w:sz w:val="11"/>
                      </w:rPr>
                      <w:t>capacidades y pocas acciones de desarrollo </w:t>
                    </w:r>
                    <w:r>
                      <w:rPr>
                        <w:rFonts w:ascii="Calibri"/>
                        <w:color w:val="FFFFFF"/>
                        <w:spacing w:val="-8"/>
                        <w:sz w:val="11"/>
                      </w:rPr>
                      <w:t>del </w:t>
                    </w:r>
                    <w:r>
                      <w:rPr>
                        <w:rFonts w:ascii="Calibri"/>
                        <w:color w:val="FFFFFF"/>
                        <w:sz w:val="11"/>
                      </w:rPr>
                      <w:t>recurso humano</w:t>
                    </w:r>
                  </w:p>
                </w:txbxContent>
              </v:textbox>
              <w10:wrap type="none"/>
            </v:shape>
            <v:shape style="position:absolute;left:2206;top:3186;width:629;height:676" type="#_x0000_t202" filled="false" stroked="false">
              <v:textbox inset="0,0,0,0">
                <w:txbxContent>
                  <w:p>
                    <w:pPr>
                      <w:spacing w:line="117" w:lineRule="exact" w:before="0"/>
                      <w:ind w:left="0" w:right="29" w:firstLine="0"/>
                      <w:jc w:val="center"/>
                      <w:rPr>
                        <w:rFonts w:ascii="Calibri" w:hAnsi="Calibri"/>
                        <w:sz w:val="11"/>
                      </w:rPr>
                    </w:pPr>
                    <w:r>
                      <w:rPr>
                        <w:rFonts w:ascii="Calibri" w:hAnsi="Calibri"/>
                        <w:color w:val="FFFFFF"/>
                        <w:sz w:val="11"/>
                      </w:rPr>
                      <w:t>Poca</w:t>
                    </w:r>
                    <w:r>
                      <w:rPr>
                        <w:rFonts w:ascii="Calibri" w:hAnsi="Calibri"/>
                        <w:color w:val="FFFFFF"/>
                        <w:spacing w:val="4"/>
                        <w:sz w:val="11"/>
                      </w:rPr>
                      <w:t> </w:t>
                    </w:r>
                    <w:r>
                      <w:rPr>
                        <w:rFonts w:ascii="Calibri" w:hAnsi="Calibri"/>
                        <w:color w:val="FFFFFF"/>
                        <w:sz w:val="11"/>
                      </w:rPr>
                      <w:t>gestión</w:t>
                    </w:r>
                  </w:p>
                  <w:p>
                    <w:pPr>
                      <w:spacing w:line="249" w:lineRule="auto" w:before="5"/>
                      <w:ind w:left="0" w:right="18" w:hanging="3"/>
                      <w:jc w:val="center"/>
                      <w:rPr>
                        <w:rFonts w:ascii="Calibri" w:hAnsi="Calibri"/>
                        <w:sz w:val="11"/>
                      </w:rPr>
                    </w:pPr>
                    <w:r>
                      <w:rPr>
                        <w:rFonts w:ascii="Calibri" w:hAnsi="Calibri"/>
                        <w:color w:val="FFFFFF"/>
                        <w:sz w:val="11"/>
                      </w:rPr>
                      <w:t>de      cooperación nacional e internacional</w:t>
                    </w:r>
                  </w:p>
                </w:txbxContent>
              </v:textbox>
              <w10:wrap type="none"/>
            </v:shape>
            <v:shape style="position:absolute;left:4684;top:3150;width:725;height:816" type="#_x0000_t202" filled="false" stroked="false">
              <v:textbox inset="0,0,0,0">
                <w:txbxContent>
                  <w:p>
                    <w:pPr>
                      <w:spacing w:line="117" w:lineRule="exact" w:before="0"/>
                      <w:ind w:left="73" w:right="95" w:firstLine="0"/>
                      <w:jc w:val="center"/>
                      <w:rPr>
                        <w:rFonts w:ascii="Calibri"/>
                        <w:sz w:val="11"/>
                      </w:rPr>
                    </w:pPr>
                    <w:r>
                      <w:rPr>
                        <w:rFonts w:ascii="Calibri"/>
                        <w:color w:val="FFFFFF"/>
                        <w:sz w:val="11"/>
                      </w:rPr>
                      <w:t>Lentitud</w:t>
                    </w:r>
                    <w:r>
                      <w:rPr>
                        <w:rFonts w:ascii="Calibri"/>
                        <w:color w:val="FFFFFF"/>
                        <w:spacing w:val="6"/>
                        <w:sz w:val="11"/>
                      </w:rPr>
                      <w:t> </w:t>
                    </w:r>
                    <w:r>
                      <w:rPr>
                        <w:rFonts w:ascii="Calibri"/>
                        <w:color w:val="FFFFFF"/>
                        <w:sz w:val="11"/>
                      </w:rPr>
                      <w:t>de</w:t>
                    </w:r>
                  </w:p>
                  <w:p>
                    <w:pPr>
                      <w:spacing w:line="249" w:lineRule="auto" w:before="5"/>
                      <w:ind w:left="0" w:right="18" w:hanging="5"/>
                      <w:jc w:val="center"/>
                      <w:rPr>
                        <w:rFonts w:ascii="Calibri"/>
                        <w:sz w:val="11"/>
                      </w:rPr>
                    </w:pPr>
                    <w:r>
                      <w:rPr>
                        <w:rFonts w:ascii="Calibri"/>
                        <w:color w:val="FFFFFF"/>
                        <w:sz w:val="11"/>
                      </w:rPr>
                      <w:t>procesos internos y de otras entidades en el despacho aduanero</w:t>
                    </w:r>
                  </w:p>
                </w:txbxContent>
              </v:textbox>
              <w10:wrap type="none"/>
            </v:shape>
            <v:shape style="position:absolute;left:5780;top:3325;width:695;height:536" type="#_x0000_t202" filled="false" stroked="false">
              <v:textbox inset="0,0,0,0">
                <w:txbxContent>
                  <w:p>
                    <w:pPr>
                      <w:spacing w:line="117" w:lineRule="exact" w:before="0"/>
                      <w:ind w:left="0" w:right="0" w:firstLine="0"/>
                      <w:jc w:val="both"/>
                      <w:rPr>
                        <w:rFonts w:ascii="Calibri" w:hAnsi="Calibri"/>
                        <w:sz w:val="11"/>
                      </w:rPr>
                    </w:pPr>
                    <w:r>
                      <w:rPr>
                        <w:rFonts w:ascii="Calibri" w:hAnsi="Calibri"/>
                        <w:color w:val="FFFFFF"/>
                        <w:sz w:val="11"/>
                      </w:rPr>
                      <w:t>Baja liberación</w:t>
                    </w:r>
                  </w:p>
                  <w:p>
                    <w:pPr>
                      <w:spacing w:line="249" w:lineRule="auto" w:before="5"/>
                      <w:ind w:left="16" w:right="31" w:firstLine="5"/>
                      <w:jc w:val="both"/>
                      <w:rPr>
                        <w:rFonts w:ascii="Calibri" w:hAnsi="Calibri"/>
                        <w:sz w:val="11"/>
                      </w:rPr>
                    </w:pPr>
                    <w:r>
                      <w:rPr>
                        <w:rFonts w:ascii="Calibri" w:hAnsi="Calibri"/>
                        <w:color w:val="FFFFFF"/>
                        <w:sz w:val="11"/>
                      </w:rPr>
                      <w:t>de la presa de devolución de crédito fiscal</w:t>
                    </w:r>
                  </w:p>
                </w:txbxContent>
              </v:textbox>
              <w10:wrap type="none"/>
            </v:shape>
            <v:shape style="position:absolute;left:6976;top:3228;width:680;height:676" type="#_x0000_t202" filled="false" stroked="false">
              <v:textbox inset="0,0,0,0">
                <w:txbxContent>
                  <w:p>
                    <w:pPr>
                      <w:spacing w:line="117" w:lineRule="exact" w:before="0"/>
                      <w:ind w:left="115" w:right="133" w:firstLine="0"/>
                      <w:jc w:val="center"/>
                      <w:rPr>
                        <w:rFonts w:ascii="Calibri"/>
                        <w:sz w:val="11"/>
                      </w:rPr>
                    </w:pPr>
                    <w:r>
                      <w:rPr>
                        <w:rFonts w:ascii="Calibri"/>
                        <w:color w:val="FFFFFF"/>
                        <w:sz w:val="11"/>
                      </w:rPr>
                      <w:t>Bajo</w:t>
                    </w:r>
                  </w:p>
                  <w:p>
                    <w:pPr>
                      <w:spacing w:line="249" w:lineRule="auto" w:before="5"/>
                      <w:ind w:left="0" w:right="18" w:hanging="4"/>
                      <w:jc w:val="center"/>
                      <w:rPr>
                        <w:rFonts w:ascii="Calibri"/>
                        <w:sz w:val="11"/>
                      </w:rPr>
                    </w:pPr>
                    <w:r>
                      <w:rPr>
                        <w:rFonts w:ascii="Calibri"/>
                        <w:color w:val="FFFFFF"/>
                        <w:sz w:val="11"/>
                      </w:rPr>
                      <w:t>porcentaje de sentencias emitidas a favor de la </w:t>
                    </w:r>
                    <w:r>
                      <w:rPr>
                        <w:rFonts w:ascii="Calibri"/>
                        <w:color w:val="FFFFFF"/>
                        <w:spacing w:val="-9"/>
                        <w:sz w:val="11"/>
                      </w:rPr>
                      <w:t>SAT</w:t>
                    </w:r>
                  </w:p>
                </w:txbxContent>
              </v:textbox>
              <w10:wrap type="none"/>
            </v:shape>
            <v:shape style="position:absolute;left:8101;top:3228;width:670;height:676" type="#_x0000_t202" filled="false" stroked="false">
              <v:textbox inset="0,0,0,0">
                <w:txbxContent>
                  <w:p>
                    <w:pPr>
                      <w:spacing w:line="117" w:lineRule="exact" w:before="0"/>
                      <w:ind w:left="131" w:right="143" w:firstLine="0"/>
                      <w:jc w:val="center"/>
                      <w:rPr>
                        <w:rFonts w:ascii="Calibri"/>
                        <w:sz w:val="11"/>
                      </w:rPr>
                    </w:pPr>
                    <w:r>
                      <w:rPr>
                        <w:rFonts w:ascii="Calibri"/>
                        <w:color w:val="FFFFFF"/>
                        <w:sz w:val="11"/>
                      </w:rPr>
                      <w:t>Falta de</w:t>
                    </w:r>
                  </w:p>
                  <w:p>
                    <w:pPr>
                      <w:spacing w:line="249" w:lineRule="auto" w:before="5"/>
                      <w:ind w:left="0" w:right="18" w:firstLine="3"/>
                      <w:jc w:val="center"/>
                      <w:rPr>
                        <w:rFonts w:ascii="Calibri" w:hAnsi="Calibri"/>
                        <w:sz w:val="11"/>
                      </w:rPr>
                    </w:pPr>
                    <w:r>
                      <w:rPr>
                        <w:rFonts w:ascii="Calibri" w:hAnsi="Calibri"/>
                        <w:color w:val="FFFFFF"/>
                        <w:sz w:val="11"/>
                      </w:rPr>
                      <w:t>interés en la mejora de la atención al contribuyente</w:t>
                    </w:r>
                  </w:p>
                </w:txbxContent>
              </v:textbox>
              <w10:wrap type="none"/>
            </v:shape>
          </v:group>
        </w:pict>
      </w:r>
      <w:r>
        <w:rPr>
          <w:sz w:val="20"/>
        </w:rPr>
      </w:r>
    </w:p>
    <w:p>
      <w:pPr>
        <w:pStyle w:val="BodyText"/>
        <w:spacing w:before="2"/>
        <w:rPr>
          <w:b/>
          <w:sz w:val="16"/>
        </w:rPr>
      </w:pPr>
      <w:r>
        <w:rPr/>
        <w:pict>
          <v:group style="position:absolute;margin-left:139.830887pt;margin-top:11.272937pt;width:52.55pt;height:40.75pt;mso-position-horizontal-relative:page;mso-position-vertical-relative:paragraph;z-index:-250262528;mso-wrap-distance-left:0;mso-wrap-distance-right:0" coordorigin="2797,225" coordsize="1051,815">
            <v:shape style="position:absolute;left:2796;top:225;width:1051;height:815" type="#_x0000_t75" stroked="false">
              <v:imagedata r:id="rId277" o:title=""/>
            </v:shape>
            <v:shape style="position:absolute;left:2796;top:225;width:1051;height:815" type="#_x0000_t202" filled="false" stroked="false">
              <v:textbox inset="0,0,0,0">
                <w:txbxContent>
                  <w:p>
                    <w:pPr>
                      <w:spacing w:line="240" w:lineRule="auto" w:before="1"/>
                      <w:rPr>
                        <w:b/>
                        <w:sz w:val="12"/>
                      </w:rPr>
                    </w:pPr>
                  </w:p>
                  <w:p>
                    <w:pPr>
                      <w:spacing w:line="249" w:lineRule="auto" w:before="0"/>
                      <w:ind w:left="150" w:right="151" w:hanging="2"/>
                      <w:jc w:val="center"/>
                      <w:rPr>
                        <w:rFonts w:ascii="Calibri" w:hAnsi="Calibri"/>
                        <w:sz w:val="11"/>
                      </w:rPr>
                    </w:pPr>
                    <w:r>
                      <w:rPr>
                        <w:rFonts w:ascii="Calibri" w:hAnsi="Calibri"/>
                        <w:color w:val="FFFFFF"/>
                        <w:sz w:val="11"/>
                      </w:rPr>
                      <w:t>Falta de potencialización de la Agencia Virtual</w:t>
                    </w:r>
                  </w:p>
                </w:txbxContent>
              </v:textbox>
              <w10:wrap type="none"/>
            </v:shape>
            <w10:wrap type="topAndBottom"/>
          </v:group>
        </w:pict>
      </w:r>
      <w:r>
        <w:rPr/>
        <w:pict>
          <v:group style="position:absolute;margin-left:199.306473pt;margin-top:11.854855pt;width:54.8pt;height:41.05pt;mso-position-horizontal-relative:page;mso-position-vertical-relative:paragraph;z-index:-250260480;mso-wrap-distance-left:0;mso-wrap-distance-right:0" coordorigin="3986,237" coordsize="1096,821">
            <v:shape style="position:absolute;left:3986;top:237;width:1096;height:821" type="#_x0000_t75" stroked="false">
              <v:imagedata r:id="rId278" o:title=""/>
            </v:shape>
            <v:shape style="position:absolute;left:3986;top:237;width:1096;height:821" type="#_x0000_t202" filled="false" stroked="false">
              <v:textbox inset="0,0,0,0">
                <w:txbxContent>
                  <w:p>
                    <w:pPr>
                      <w:spacing w:line="240" w:lineRule="auto" w:before="4"/>
                      <w:rPr>
                        <w:b/>
                        <w:sz w:val="12"/>
                      </w:rPr>
                    </w:pPr>
                  </w:p>
                  <w:p>
                    <w:pPr>
                      <w:spacing w:line="249" w:lineRule="auto" w:before="0"/>
                      <w:ind w:left="129" w:right="133" w:firstLine="6"/>
                      <w:jc w:val="center"/>
                      <w:rPr>
                        <w:rFonts w:ascii="Calibri" w:hAnsi="Calibri"/>
                        <w:sz w:val="11"/>
                      </w:rPr>
                    </w:pPr>
                    <w:r>
                      <w:rPr>
                        <w:rFonts w:ascii="Calibri" w:hAnsi="Calibri"/>
                        <w:color w:val="FFFFFF"/>
                        <w:sz w:val="11"/>
                      </w:rPr>
                      <w:t>Incumplimiento del plan de profesionalización del personal</w:t>
                    </w:r>
                  </w:p>
                </w:txbxContent>
              </v:textbox>
              <w10:wrap type="none"/>
            </v:shape>
            <w10:wrap type="topAndBottom"/>
          </v:group>
        </w:pict>
      </w:r>
    </w:p>
    <w:p>
      <w:pPr>
        <w:spacing w:before="8"/>
        <w:ind w:left="562" w:right="0" w:firstLine="0"/>
        <w:jc w:val="left"/>
        <w:rPr>
          <w:sz w:val="16"/>
        </w:rPr>
      </w:pPr>
      <w:r>
        <w:rPr>
          <w:sz w:val="16"/>
        </w:rPr>
        <w:t>Fuente: PEI SAT 2018 – 2023</w:t>
      </w:r>
    </w:p>
    <w:p>
      <w:pPr>
        <w:spacing w:after="0"/>
        <w:jc w:val="left"/>
        <w:rPr>
          <w:sz w:val="16"/>
        </w:rPr>
        <w:sectPr>
          <w:pgSz w:w="12240" w:h="15840"/>
          <w:pgMar w:header="715" w:footer="957" w:top="1240" w:bottom="1140" w:left="1140" w:right="0"/>
        </w:sectPr>
      </w:pPr>
    </w:p>
    <w:p>
      <w:pPr>
        <w:pStyle w:val="BodyText"/>
        <w:spacing w:line="276" w:lineRule="auto" w:before="162"/>
        <w:ind w:left="562" w:right="1700"/>
        <w:jc w:val="both"/>
      </w:pPr>
      <w:r>
        <w:rPr/>
        <w:t>Con</w:t>
      </w:r>
      <w:r>
        <w:rPr>
          <w:spacing w:val="-10"/>
        </w:rPr>
        <w:t> </w:t>
      </w:r>
      <w:r>
        <w:rPr/>
        <w:t>la</w:t>
      </w:r>
      <w:r>
        <w:rPr>
          <w:spacing w:val="-9"/>
        </w:rPr>
        <w:t> </w:t>
      </w:r>
      <w:r>
        <w:rPr/>
        <w:t>identificación</w:t>
      </w:r>
      <w:r>
        <w:rPr>
          <w:spacing w:val="-10"/>
        </w:rPr>
        <w:t> </w:t>
      </w:r>
      <w:r>
        <w:rPr/>
        <w:t>de</w:t>
      </w:r>
      <w:r>
        <w:rPr>
          <w:spacing w:val="-9"/>
        </w:rPr>
        <w:t> </w:t>
      </w:r>
      <w:r>
        <w:rPr/>
        <w:t>los</w:t>
      </w:r>
      <w:r>
        <w:rPr>
          <w:spacing w:val="-10"/>
        </w:rPr>
        <w:t> </w:t>
      </w:r>
      <w:r>
        <w:rPr/>
        <w:t>factores</w:t>
      </w:r>
      <w:r>
        <w:rPr>
          <w:spacing w:val="-9"/>
        </w:rPr>
        <w:t> </w:t>
      </w:r>
      <w:r>
        <w:rPr/>
        <w:t>que</w:t>
      </w:r>
      <w:r>
        <w:rPr>
          <w:spacing w:val="-9"/>
        </w:rPr>
        <w:t> </w:t>
      </w:r>
      <w:r>
        <w:rPr/>
        <w:t>generan</w:t>
      </w:r>
      <w:r>
        <w:rPr>
          <w:spacing w:val="-9"/>
        </w:rPr>
        <w:t> </w:t>
      </w:r>
      <w:r>
        <w:rPr/>
        <w:t>el</w:t>
      </w:r>
      <w:r>
        <w:rPr>
          <w:spacing w:val="-8"/>
        </w:rPr>
        <w:t> </w:t>
      </w:r>
      <w:r>
        <w:rPr/>
        <w:t>problema</w:t>
      </w:r>
      <w:r>
        <w:rPr>
          <w:spacing w:val="-9"/>
        </w:rPr>
        <w:t> </w:t>
      </w:r>
      <w:r>
        <w:rPr/>
        <w:t>de</w:t>
      </w:r>
      <w:r>
        <w:rPr>
          <w:spacing w:val="-9"/>
        </w:rPr>
        <w:t> </w:t>
      </w:r>
      <w:r>
        <w:rPr/>
        <w:t>la</w:t>
      </w:r>
      <w:r>
        <w:rPr>
          <w:spacing w:val="-9"/>
        </w:rPr>
        <w:t> </w:t>
      </w:r>
      <w:r>
        <w:rPr/>
        <w:t>insuficiente</w:t>
      </w:r>
      <w:r>
        <w:rPr>
          <w:spacing w:val="-9"/>
        </w:rPr>
        <w:t> </w:t>
      </w:r>
      <w:r>
        <w:rPr/>
        <w:t>recaudación</w:t>
      </w:r>
      <w:r>
        <w:rPr>
          <w:spacing w:val="-9"/>
        </w:rPr>
        <w:t> </w:t>
      </w:r>
      <w:r>
        <w:rPr/>
        <w:t>tributaria en el PEI 2021-2025 se identificaron objetivos estratégicos para combatir dicha insuficiencia, agregándole un eje transversal, los cuales se muestran a</w:t>
      </w:r>
      <w:r>
        <w:rPr>
          <w:spacing w:val="-13"/>
        </w:rPr>
        <w:t> </w:t>
      </w:r>
      <w:r>
        <w:rPr/>
        <w:t>continuación:</w:t>
      </w:r>
    </w:p>
    <w:p>
      <w:pPr>
        <w:pStyle w:val="BodyText"/>
        <w:spacing w:before="9"/>
        <w:rPr>
          <w:sz w:val="25"/>
        </w:rPr>
      </w:pPr>
    </w:p>
    <w:p>
      <w:pPr>
        <w:pStyle w:val="ListParagraph"/>
        <w:numPr>
          <w:ilvl w:val="1"/>
          <w:numId w:val="27"/>
        </w:numPr>
        <w:tabs>
          <w:tab w:pos="1282" w:val="left" w:leader="none"/>
        </w:tabs>
        <w:spacing w:line="276" w:lineRule="auto" w:before="0" w:after="0"/>
        <w:ind w:left="1282" w:right="1697" w:hanging="360"/>
        <w:jc w:val="both"/>
        <w:rPr>
          <w:sz w:val="22"/>
        </w:rPr>
      </w:pPr>
      <w:r>
        <w:rPr>
          <w:b/>
          <w:sz w:val="22"/>
        </w:rPr>
        <w:t>Aumentar la recaudación de manera sostenida y reducir la brecha del incumplimiento tributario. </w:t>
      </w:r>
      <w:r>
        <w:rPr>
          <w:sz w:val="22"/>
        </w:rPr>
        <w:t>El proyecto de Gobierno de Datos y la emisión de los documentos electrónicos, cuyos principales exponentes son, en este momento, el RTU digital y la Factura Electrónica en Línea -FEL-, los cuales son parte de una conceptualización más amplia, en donde la SAT tendrá a su disposición un gran número de herramientas electrónicas y de información que, usadas</w:t>
      </w:r>
      <w:r>
        <w:rPr>
          <w:spacing w:val="-4"/>
          <w:sz w:val="22"/>
        </w:rPr>
        <w:t> </w:t>
      </w:r>
      <w:r>
        <w:rPr>
          <w:sz w:val="22"/>
        </w:rPr>
        <w:t>eficientemente</w:t>
      </w:r>
      <w:r>
        <w:rPr>
          <w:spacing w:val="-3"/>
          <w:sz w:val="22"/>
        </w:rPr>
        <w:t> </w:t>
      </w:r>
      <w:r>
        <w:rPr>
          <w:sz w:val="22"/>
        </w:rPr>
        <w:t>y</w:t>
      </w:r>
      <w:r>
        <w:rPr>
          <w:spacing w:val="-7"/>
          <w:sz w:val="22"/>
        </w:rPr>
        <w:t> </w:t>
      </w:r>
      <w:r>
        <w:rPr>
          <w:sz w:val="22"/>
        </w:rPr>
        <w:t>en</w:t>
      </w:r>
      <w:r>
        <w:rPr>
          <w:spacing w:val="-3"/>
          <w:sz w:val="22"/>
        </w:rPr>
        <w:t> </w:t>
      </w:r>
      <w:r>
        <w:rPr>
          <w:sz w:val="22"/>
        </w:rPr>
        <w:t>forma</w:t>
      </w:r>
      <w:r>
        <w:rPr>
          <w:spacing w:val="-3"/>
          <w:sz w:val="22"/>
        </w:rPr>
        <w:t> </w:t>
      </w:r>
      <w:r>
        <w:rPr>
          <w:sz w:val="22"/>
        </w:rPr>
        <w:t>conjunta,</w:t>
      </w:r>
      <w:r>
        <w:rPr>
          <w:spacing w:val="-4"/>
          <w:sz w:val="22"/>
        </w:rPr>
        <w:t> </w:t>
      </w:r>
      <w:r>
        <w:rPr>
          <w:sz w:val="22"/>
        </w:rPr>
        <w:t>aumentarán</w:t>
      </w:r>
      <w:r>
        <w:rPr>
          <w:spacing w:val="-4"/>
          <w:sz w:val="22"/>
        </w:rPr>
        <w:t> </w:t>
      </w:r>
      <w:r>
        <w:rPr>
          <w:sz w:val="22"/>
        </w:rPr>
        <w:t>la</w:t>
      </w:r>
      <w:r>
        <w:rPr>
          <w:spacing w:val="-3"/>
          <w:sz w:val="22"/>
        </w:rPr>
        <w:t> </w:t>
      </w:r>
      <w:r>
        <w:rPr>
          <w:sz w:val="22"/>
        </w:rPr>
        <w:t>recaudación</w:t>
      </w:r>
      <w:r>
        <w:rPr>
          <w:spacing w:val="-5"/>
          <w:sz w:val="22"/>
        </w:rPr>
        <w:t> </w:t>
      </w:r>
      <w:r>
        <w:rPr>
          <w:sz w:val="22"/>
        </w:rPr>
        <w:t>tributaria</w:t>
      </w:r>
      <w:r>
        <w:rPr>
          <w:spacing w:val="-3"/>
          <w:sz w:val="22"/>
        </w:rPr>
        <w:t> </w:t>
      </w:r>
      <w:r>
        <w:rPr>
          <w:sz w:val="22"/>
        </w:rPr>
        <w:t>y</w:t>
      </w:r>
      <w:r>
        <w:rPr>
          <w:spacing w:val="-6"/>
          <w:sz w:val="22"/>
        </w:rPr>
        <w:t> </w:t>
      </w:r>
      <w:r>
        <w:rPr>
          <w:sz w:val="22"/>
        </w:rPr>
        <w:t>reducirán la evasión en el ISR y el</w:t>
      </w:r>
      <w:r>
        <w:rPr>
          <w:spacing w:val="-6"/>
          <w:sz w:val="22"/>
        </w:rPr>
        <w:t> </w:t>
      </w:r>
      <w:r>
        <w:rPr>
          <w:sz w:val="22"/>
        </w:rPr>
        <w:t>IVA.</w:t>
      </w:r>
    </w:p>
    <w:p>
      <w:pPr>
        <w:pStyle w:val="BodyText"/>
        <w:spacing w:before="1"/>
        <w:rPr>
          <w:sz w:val="25"/>
        </w:rPr>
      </w:pPr>
    </w:p>
    <w:p>
      <w:pPr>
        <w:pStyle w:val="ListParagraph"/>
        <w:numPr>
          <w:ilvl w:val="1"/>
          <w:numId w:val="27"/>
        </w:numPr>
        <w:tabs>
          <w:tab w:pos="1282" w:val="left" w:leader="none"/>
        </w:tabs>
        <w:spacing w:line="276" w:lineRule="auto" w:before="1" w:after="0"/>
        <w:ind w:left="1282" w:right="1696" w:hanging="360"/>
        <w:jc w:val="both"/>
        <w:rPr>
          <w:sz w:val="22"/>
        </w:rPr>
      </w:pPr>
      <w:r>
        <w:rPr>
          <w:b/>
          <w:sz w:val="22"/>
        </w:rPr>
        <w:t>Facilitar a los contribuyentes el cumplimiento y el pago de sus obligaciones tributarias y</w:t>
      </w:r>
      <w:r>
        <w:rPr>
          <w:b/>
          <w:spacing w:val="-7"/>
          <w:sz w:val="22"/>
        </w:rPr>
        <w:t> </w:t>
      </w:r>
      <w:r>
        <w:rPr>
          <w:b/>
          <w:sz w:val="22"/>
        </w:rPr>
        <w:t>aduaneras.</w:t>
      </w:r>
      <w:r>
        <w:rPr>
          <w:b/>
          <w:spacing w:val="44"/>
          <w:sz w:val="22"/>
        </w:rPr>
        <w:t> </w:t>
      </w:r>
      <w:r>
        <w:rPr>
          <w:sz w:val="22"/>
        </w:rPr>
        <w:t>El</w:t>
      </w:r>
      <w:r>
        <w:rPr>
          <w:spacing w:val="-9"/>
          <w:sz w:val="22"/>
        </w:rPr>
        <w:t> </w:t>
      </w:r>
      <w:r>
        <w:rPr>
          <w:sz w:val="22"/>
        </w:rPr>
        <w:t>contribuyente</w:t>
      </w:r>
      <w:r>
        <w:rPr>
          <w:spacing w:val="-8"/>
          <w:sz w:val="22"/>
        </w:rPr>
        <w:t> </w:t>
      </w:r>
      <w:r>
        <w:rPr>
          <w:sz w:val="22"/>
        </w:rPr>
        <w:t>es</w:t>
      </w:r>
      <w:r>
        <w:rPr>
          <w:spacing w:val="-5"/>
          <w:sz w:val="22"/>
        </w:rPr>
        <w:t> </w:t>
      </w:r>
      <w:r>
        <w:rPr>
          <w:sz w:val="22"/>
        </w:rPr>
        <w:t>el</w:t>
      </w:r>
      <w:r>
        <w:rPr>
          <w:spacing w:val="-5"/>
          <w:sz w:val="22"/>
        </w:rPr>
        <w:t> </w:t>
      </w:r>
      <w:r>
        <w:rPr>
          <w:sz w:val="22"/>
        </w:rPr>
        <w:t>sujeto</w:t>
      </w:r>
      <w:r>
        <w:rPr>
          <w:spacing w:val="-7"/>
          <w:sz w:val="22"/>
        </w:rPr>
        <w:t> </w:t>
      </w:r>
      <w:r>
        <w:rPr>
          <w:sz w:val="22"/>
        </w:rPr>
        <w:t>esencial</w:t>
      </w:r>
      <w:r>
        <w:rPr>
          <w:spacing w:val="-5"/>
          <w:sz w:val="22"/>
        </w:rPr>
        <w:t> </w:t>
      </w:r>
      <w:r>
        <w:rPr>
          <w:sz w:val="22"/>
        </w:rPr>
        <w:t>de</w:t>
      </w:r>
      <w:r>
        <w:rPr>
          <w:spacing w:val="-8"/>
          <w:sz w:val="22"/>
        </w:rPr>
        <w:t> </w:t>
      </w:r>
      <w:r>
        <w:rPr>
          <w:sz w:val="22"/>
        </w:rPr>
        <w:t>la</w:t>
      </w:r>
      <w:r>
        <w:rPr>
          <w:spacing w:val="-7"/>
          <w:sz w:val="22"/>
        </w:rPr>
        <w:t> </w:t>
      </w:r>
      <w:r>
        <w:rPr>
          <w:sz w:val="22"/>
        </w:rPr>
        <w:t>tributación</w:t>
      </w:r>
      <w:r>
        <w:rPr>
          <w:spacing w:val="-6"/>
          <w:sz w:val="22"/>
        </w:rPr>
        <w:t> </w:t>
      </w:r>
      <w:r>
        <w:rPr>
          <w:sz w:val="22"/>
        </w:rPr>
        <w:t>en</w:t>
      </w:r>
      <w:r>
        <w:rPr>
          <w:spacing w:val="-6"/>
          <w:sz w:val="22"/>
        </w:rPr>
        <w:t> </w:t>
      </w:r>
      <w:r>
        <w:rPr>
          <w:sz w:val="22"/>
        </w:rPr>
        <w:t>general,</w:t>
      </w:r>
      <w:r>
        <w:rPr>
          <w:spacing w:val="-6"/>
          <w:sz w:val="22"/>
        </w:rPr>
        <w:t> </w:t>
      </w:r>
      <w:r>
        <w:rPr>
          <w:sz w:val="22"/>
        </w:rPr>
        <w:t>por</w:t>
      </w:r>
      <w:r>
        <w:rPr>
          <w:spacing w:val="-6"/>
          <w:sz w:val="22"/>
        </w:rPr>
        <w:t> </w:t>
      </w:r>
      <w:r>
        <w:rPr>
          <w:sz w:val="22"/>
        </w:rPr>
        <w:t>lo</w:t>
      </w:r>
      <w:r>
        <w:rPr>
          <w:spacing w:val="-9"/>
          <w:sz w:val="22"/>
        </w:rPr>
        <w:t> </w:t>
      </w:r>
      <w:r>
        <w:rPr>
          <w:sz w:val="22"/>
        </w:rPr>
        <w:t>tanto, se</w:t>
      </w:r>
      <w:r>
        <w:rPr>
          <w:spacing w:val="-12"/>
          <w:sz w:val="22"/>
        </w:rPr>
        <w:t> </w:t>
      </w:r>
      <w:r>
        <w:rPr>
          <w:sz w:val="22"/>
        </w:rPr>
        <w:t>buscará</w:t>
      </w:r>
      <w:r>
        <w:rPr>
          <w:spacing w:val="-13"/>
          <w:sz w:val="22"/>
        </w:rPr>
        <w:t> </w:t>
      </w:r>
      <w:r>
        <w:rPr>
          <w:sz w:val="22"/>
        </w:rPr>
        <w:t>crearle</w:t>
      </w:r>
      <w:r>
        <w:rPr>
          <w:spacing w:val="-14"/>
          <w:sz w:val="22"/>
        </w:rPr>
        <w:t> </w:t>
      </w:r>
      <w:r>
        <w:rPr>
          <w:sz w:val="22"/>
        </w:rPr>
        <w:t>condiciones</w:t>
      </w:r>
      <w:r>
        <w:rPr>
          <w:spacing w:val="-11"/>
          <w:sz w:val="22"/>
        </w:rPr>
        <w:t> </w:t>
      </w:r>
      <w:r>
        <w:rPr>
          <w:sz w:val="22"/>
        </w:rPr>
        <w:t>que</w:t>
      </w:r>
      <w:r>
        <w:rPr>
          <w:spacing w:val="-14"/>
          <w:sz w:val="22"/>
        </w:rPr>
        <w:t> </w:t>
      </w:r>
      <w:r>
        <w:rPr>
          <w:sz w:val="22"/>
        </w:rPr>
        <w:t>le</w:t>
      </w:r>
      <w:r>
        <w:rPr>
          <w:spacing w:val="-14"/>
          <w:sz w:val="22"/>
        </w:rPr>
        <w:t> </w:t>
      </w:r>
      <w:r>
        <w:rPr>
          <w:sz w:val="22"/>
        </w:rPr>
        <w:t>faciliten</w:t>
      </w:r>
      <w:r>
        <w:rPr>
          <w:spacing w:val="-14"/>
          <w:sz w:val="22"/>
        </w:rPr>
        <w:t> </w:t>
      </w:r>
      <w:r>
        <w:rPr>
          <w:sz w:val="22"/>
        </w:rPr>
        <w:t>y</w:t>
      </w:r>
      <w:r>
        <w:rPr>
          <w:spacing w:val="-14"/>
          <w:sz w:val="22"/>
        </w:rPr>
        <w:t> </w:t>
      </w:r>
      <w:r>
        <w:rPr>
          <w:sz w:val="22"/>
        </w:rPr>
        <w:t>aseguren</w:t>
      </w:r>
      <w:r>
        <w:rPr>
          <w:spacing w:val="-12"/>
          <w:sz w:val="22"/>
        </w:rPr>
        <w:t> </w:t>
      </w:r>
      <w:r>
        <w:rPr>
          <w:sz w:val="22"/>
        </w:rPr>
        <w:t>el</w:t>
      </w:r>
      <w:r>
        <w:rPr>
          <w:spacing w:val="-13"/>
          <w:sz w:val="22"/>
        </w:rPr>
        <w:t> </w:t>
      </w:r>
      <w:r>
        <w:rPr>
          <w:sz w:val="22"/>
        </w:rPr>
        <w:t>pago</w:t>
      </w:r>
      <w:r>
        <w:rPr>
          <w:spacing w:val="-12"/>
          <w:sz w:val="22"/>
        </w:rPr>
        <w:t> </w:t>
      </w:r>
      <w:r>
        <w:rPr>
          <w:sz w:val="22"/>
        </w:rPr>
        <w:t>de</w:t>
      </w:r>
      <w:r>
        <w:rPr>
          <w:spacing w:val="-11"/>
          <w:sz w:val="22"/>
        </w:rPr>
        <w:t> </w:t>
      </w:r>
      <w:r>
        <w:rPr>
          <w:sz w:val="22"/>
        </w:rPr>
        <w:t>sus</w:t>
      </w:r>
      <w:r>
        <w:rPr>
          <w:spacing w:val="-14"/>
          <w:sz w:val="22"/>
        </w:rPr>
        <w:t> </w:t>
      </w:r>
      <w:r>
        <w:rPr>
          <w:sz w:val="22"/>
        </w:rPr>
        <w:t>impuestos,</w:t>
      </w:r>
      <w:r>
        <w:rPr>
          <w:spacing w:val="-13"/>
          <w:sz w:val="22"/>
        </w:rPr>
        <w:t> </w:t>
      </w:r>
      <w:r>
        <w:rPr>
          <w:sz w:val="22"/>
        </w:rPr>
        <w:t>utilizando toda la tecnología actual, reduciendo o simplificando pasos, así como orientarlo en toda aquella</w:t>
      </w:r>
      <w:r>
        <w:rPr>
          <w:spacing w:val="-8"/>
          <w:sz w:val="22"/>
        </w:rPr>
        <w:t> </w:t>
      </w:r>
      <w:r>
        <w:rPr>
          <w:sz w:val="22"/>
        </w:rPr>
        <w:t>duda</w:t>
      </w:r>
      <w:r>
        <w:rPr>
          <w:spacing w:val="-7"/>
          <w:sz w:val="22"/>
        </w:rPr>
        <w:t> </w:t>
      </w:r>
      <w:r>
        <w:rPr>
          <w:sz w:val="22"/>
        </w:rPr>
        <w:t>que</w:t>
      </w:r>
      <w:r>
        <w:rPr>
          <w:spacing w:val="-7"/>
          <w:sz w:val="22"/>
        </w:rPr>
        <w:t> </w:t>
      </w:r>
      <w:r>
        <w:rPr>
          <w:sz w:val="22"/>
        </w:rPr>
        <w:t>tenga</w:t>
      </w:r>
      <w:r>
        <w:rPr>
          <w:spacing w:val="-6"/>
          <w:sz w:val="22"/>
        </w:rPr>
        <w:t> </w:t>
      </w:r>
      <w:r>
        <w:rPr>
          <w:sz w:val="22"/>
        </w:rPr>
        <w:t>respecto</w:t>
      </w:r>
      <w:r>
        <w:rPr>
          <w:spacing w:val="-8"/>
          <w:sz w:val="22"/>
        </w:rPr>
        <w:t> </w:t>
      </w:r>
      <w:r>
        <w:rPr>
          <w:sz w:val="22"/>
        </w:rPr>
        <w:t>del</w:t>
      </w:r>
      <w:r>
        <w:rPr>
          <w:spacing w:val="-6"/>
          <w:sz w:val="22"/>
        </w:rPr>
        <w:t> </w:t>
      </w:r>
      <w:r>
        <w:rPr>
          <w:sz w:val="22"/>
        </w:rPr>
        <w:t>pago</w:t>
      </w:r>
      <w:r>
        <w:rPr>
          <w:spacing w:val="-6"/>
          <w:sz w:val="22"/>
        </w:rPr>
        <w:t> </w:t>
      </w:r>
      <w:r>
        <w:rPr>
          <w:sz w:val="22"/>
        </w:rPr>
        <w:t>de</w:t>
      </w:r>
      <w:r>
        <w:rPr>
          <w:spacing w:val="-7"/>
          <w:sz w:val="22"/>
        </w:rPr>
        <w:t> </w:t>
      </w:r>
      <w:r>
        <w:rPr>
          <w:sz w:val="22"/>
        </w:rPr>
        <w:t>sus</w:t>
      </w:r>
      <w:r>
        <w:rPr>
          <w:spacing w:val="-7"/>
          <w:sz w:val="22"/>
        </w:rPr>
        <w:t> </w:t>
      </w:r>
      <w:r>
        <w:rPr>
          <w:sz w:val="22"/>
        </w:rPr>
        <w:t>impuestos.</w:t>
      </w:r>
      <w:r>
        <w:rPr>
          <w:spacing w:val="-5"/>
          <w:sz w:val="22"/>
        </w:rPr>
        <w:t> </w:t>
      </w:r>
      <w:r>
        <w:rPr>
          <w:sz w:val="22"/>
        </w:rPr>
        <w:t>Para</w:t>
      </w:r>
      <w:r>
        <w:rPr>
          <w:spacing w:val="-7"/>
          <w:sz w:val="22"/>
        </w:rPr>
        <w:t> </w:t>
      </w:r>
      <w:r>
        <w:rPr>
          <w:sz w:val="22"/>
        </w:rPr>
        <w:t>ello,</w:t>
      </w:r>
      <w:r>
        <w:rPr>
          <w:spacing w:val="-8"/>
          <w:sz w:val="22"/>
        </w:rPr>
        <w:t> </w:t>
      </w:r>
      <w:r>
        <w:rPr>
          <w:sz w:val="22"/>
        </w:rPr>
        <w:t>la</w:t>
      </w:r>
      <w:r>
        <w:rPr>
          <w:spacing w:val="-6"/>
          <w:sz w:val="22"/>
        </w:rPr>
        <w:t> </w:t>
      </w:r>
      <w:r>
        <w:rPr>
          <w:sz w:val="22"/>
        </w:rPr>
        <w:t>SAT</w:t>
      </w:r>
      <w:r>
        <w:rPr>
          <w:spacing w:val="-6"/>
          <w:sz w:val="22"/>
        </w:rPr>
        <w:t> </w:t>
      </w:r>
      <w:r>
        <w:rPr>
          <w:sz w:val="22"/>
        </w:rPr>
        <w:t>se</w:t>
      </w:r>
      <w:r>
        <w:rPr>
          <w:spacing w:val="-5"/>
          <w:sz w:val="22"/>
        </w:rPr>
        <w:t> </w:t>
      </w:r>
      <w:r>
        <w:rPr>
          <w:sz w:val="22"/>
        </w:rPr>
        <w:t>encuentra</w:t>
      </w:r>
      <w:r>
        <w:rPr>
          <w:spacing w:val="-6"/>
          <w:sz w:val="22"/>
        </w:rPr>
        <w:t> </w:t>
      </w:r>
      <w:r>
        <w:rPr>
          <w:spacing w:val="-3"/>
          <w:sz w:val="22"/>
        </w:rPr>
        <w:t>en </w:t>
      </w:r>
      <w:r>
        <w:rPr>
          <w:sz w:val="22"/>
        </w:rPr>
        <w:t>proceso de reestructuración y modernización para brindar a los contribuyentes un mejor servicio.</w:t>
      </w:r>
    </w:p>
    <w:p>
      <w:pPr>
        <w:pStyle w:val="BodyText"/>
        <w:spacing w:before="4"/>
        <w:rPr>
          <w:sz w:val="25"/>
        </w:rPr>
      </w:pPr>
    </w:p>
    <w:p>
      <w:pPr>
        <w:pStyle w:val="ListParagraph"/>
        <w:numPr>
          <w:ilvl w:val="1"/>
          <w:numId w:val="27"/>
        </w:numPr>
        <w:tabs>
          <w:tab w:pos="1282" w:val="left" w:leader="none"/>
        </w:tabs>
        <w:spacing w:line="276" w:lineRule="auto" w:before="0" w:after="0"/>
        <w:ind w:left="1282" w:right="1698" w:hanging="360"/>
        <w:jc w:val="both"/>
        <w:rPr>
          <w:sz w:val="22"/>
        </w:rPr>
      </w:pPr>
      <w:r>
        <w:rPr>
          <w:b/>
          <w:sz w:val="22"/>
        </w:rPr>
        <w:t>Propiciar una fiscalización asertiva que incremente la percepción de riesgo, el cobro efectivo y la reducción del incumplimiento tributario. </w:t>
      </w:r>
      <w:r>
        <w:rPr>
          <w:sz w:val="22"/>
        </w:rPr>
        <w:t>La SAT continúa realizando las auditorías de forma tradicional, por lo que es necesario realizar un salto cualitativo que produzca una nueva forma de enfocar y desarrollar la fiscalización, parar que sea más asertiva, con menor costo, en menos tiempo y con la detección del ajuste a los impuestos pagados.</w:t>
      </w:r>
    </w:p>
    <w:p>
      <w:pPr>
        <w:pStyle w:val="BodyText"/>
        <w:rPr>
          <w:sz w:val="25"/>
        </w:rPr>
      </w:pPr>
    </w:p>
    <w:p>
      <w:pPr>
        <w:pStyle w:val="ListParagraph"/>
        <w:numPr>
          <w:ilvl w:val="1"/>
          <w:numId w:val="27"/>
        </w:numPr>
        <w:tabs>
          <w:tab w:pos="1282" w:val="left" w:leader="none"/>
        </w:tabs>
        <w:spacing w:line="276" w:lineRule="auto" w:before="0" w:after="0"/>
        <w:ind w:left="1282" w:right="1699" w:hanging="360"/>
        <w:jc w:val="both"/>
        <w:rPr>
          <w:sz w:val="22"/>
        </w:rPr>
      </w:pPr>
      <w:r>
        <w:rPr>
          <w:b/>
          <w:sz w:val="22"/>
        </w:rPr>
        <w:t>Eficientar el cobro administrativo y judicial. </w:t>
      </w:r>
      <w:r>
        <w:rPr>
          <w:sz w:val="22"/>
        </w:rPr>
        <w:t>El último eslabón de la cadena de la recaudación se centra en el ejercicio de los mecanismos legales que le otorgan los diferentes cuerpos normativos a la SAT. Dentro de esta dinámica, se buscará generar mayor eficiencia en la estrategia de los litigios tributarios que sucedan en materia legal, para generar una correcta aplicación de la ley, así como procurar eficientemente todas aquellas demandas</w:t>
      </w:r>
      <w:r>
        <w:rPr>
          <w:spacing w:val="-27"/>
          <w:sz w:val="22"/>
        </w:rPr>
        <w:t> </w:t>
      </w:r>
      <w:r>
        <w:rPr>
          <w:sz w:val="22"/>
        </w:rPr>
        <w:t>que sean conducidas por la</w:t>
      </w:r>
      <w:r>
        <w:rPr>
          <w:spacing w:val="-3"/>
          <w:sz w:val="22"/>
        </w:rPr>
        <w:t> </w:t>
      </w:r>
      <w:r>
        <w:rPr>
          <w:sz w:val="22"/>
        </w:rPr>
        <w:t>SAT.</w:t>
      </w:r>
    </w:p>
    <w:p>
      <w:pPr>
        <w:pStyle w:val="BodyText"/>
        <w:spacing w:before="2"/>
        <w:rPr>
          <w:sz w:val="25"/>
        </w:rPr>
      </w:pPr>
    </w:p>
    <w:p>
      <w:pPr>
        <w:pStyle w:val="ListParagraph"/>
        <w:numPr>
          <w:ilvl w:val="1"/>
          <w:numId w:val="27"/>
        </w:numPr>
        <w:tabs>
          <w:tab w:pos="1282" w:val="left" w:leader="none"/>
        </w:tabs>
        <w:spacing w:line="276" w:lineRule="auto" w:before="0" w:after="0"/>
        <w:ind w:left="1282" w:right="1695" w:hanging="360"/>
        <w:jc w:val="both"/>
        <w:rPr>
          <w:sz w:val="22"/>
        </w:rPr>
      </w:pPr>
      <w:r>
        <w:rPr>
          <w:b/>
          <w:sz w:val="22"/>
        </w:rPr>
        <w:t>Modernizar de manera integral el Servicio Aduanero y de Comercio Exterior</w:t>
      </w:r>
      <w:r>
        <w:rPr>
          <w:sz w:val="22"/>
        </w:rPr>
        <w:t>. A través del fortalecimiento de la Modernización Integral Aduanera, se proyecta el incremento de la facilitación de comercio, de los controles a través del uso de tecnologías de la información; robustecimiento de la gestión de riesgo y de la lucha frontal al combate del contrabando y defraudación aduanera. Lo anterior, en coordinación y cooperación con otras administraciones aduaneras, auxiliares de la función pública aduanera y otras autoridades competentes, esto conforme las mejores prácticas internacionales y con el respaldado de organismos internacionales y</w:t>
      </w:r>
      <w:r>
        <w:rPr>
          <w:spacing w:val="-6"/>
          <w:sz w:val="22"/>
        </w:rPr>
        <w:t> </w:t>
      </w:r>
      <w:r>
        <w:rPr>
          <w:sz w:val="22"/>
        </w:rPr>
        <w:t>cooperantes.</w:t>
      </w:r>
    </w:p>
    <w:p>
      <w:pPr>
        <w:spacing w:after="0" w:line="276" w:lineRule="auto"/>
        <w:jc w:val="both"/>
        <w:rPr>
          <w:sz w:val="22"/>
        </w:rPr>
        <w:sectPr>
          <w:pgSz w:w="12240" w:h="15840"/>
          <w:pgMar w:header="715" w:footer="957" w:top="1240" w:bottom="1140" w:left="1140" w:right="0"/>
        </w:sectPr>
      </w:pPr>
    </w:p>
    <w:p>
      <w:pPr>
        <w:pStyle w:val="ListParagraph"/>
        <w:numPr>
          <w:ilvl w:val="1"/>
          <w:numId w:val="27"/>
        </w:numPr>
        <w:tabs>
          <w:tab w:pos="1282" w:val="left" w:leader="none"/>
        </w:tabs>
        <w:spacing w:line="276" w:lineRule="auto" w:before="162" w:after="0"/>
        <w:ind w:left="1282" w:right="1695" w:hanging="360"/>
        <w:jc w:val="both"/>
        <w:rPr>
          <w:sz w:val="22"/>
        </w:rPr>
      </w:pPr>
      <w:r>
        <w:rPr>
          <w:b/>
          <w:sz w:val="22"/>
        </w:rPr>
        <w:t>Fortalecer las capacidades de Gestión y Transparencia Institucional. </w:t>
      </w:r>
      <w:r>
        <w:rPr>
          <w:sz w:val="22"/>
        </w:rPr>
        <w:t>Buscando la optimización de los recursos humanos, materiales y financieros; al propiciar una readecuación de las acciones y estrategias institucionales, un ambiente de trabajo sano y adecuado para todo el personal de la institución, una cultura del compromiso y responsabilidad,</w:t>
      </w:r>
      <w:r>
        <w:rPr>
          <w:spacing w:val="-14"/>
          <w:sz w:val="22"/>
        </w:rPr>
        <w:t> </w:t>
      </w:r>
      <w:r>
        <w:rPr>
          <w:sz w:val="22"/>
        </w:rPr>
        <w:t>la</w:t>
      </w:r>
      <w:r>
        <w:rPr>
          <w:spacing w:val="-13"/>
          <w:sz w:val="22"/>
        </w:rPr>
        <w:t> </w:t>
      </w:r>
      <w:r>
        <w:rPr>
          <w:sz w:val="22"/>
        </w:rPr>
        <w:t>evaluación</w:t>
      </w:r>
      <w:r>
        <w:rPr>
          <w:spacing w:val="-14"/>
          <w:sz w:val="22"/>
        </w:rPr>
        <w:t> </w:t>
      </w:r>
      <w:r>
        <w:rPr>
          <w:sz w:val="22"/>
        </w:rPr>
        <w:t>de</w:t>
      </w:r>
      <w:r>
        <w:rPr>
          <w:spacing w:val="-13"/>
          <w:sz w:val="22"/>
        </w:rPr>
        <w:t> </w:t>
      </w:r>
      <w:r>
        <w:rPr>
          <w:sz w:val="22"/>
        </w:rPr>
        <w:t>desempeño</w:t>
      </w:r>
      <w:r>
        <w:rPr>
          <w:spacing w:val="-14"/>
          <w:sz w:val="22"/>
        </w:rPr>
        <w:t> </w:t>
      </w:r>
      <w:r>
        <w:rPr>
          <w:sz w:val="22"/>
        </w:rPr>
        <w:t>360º</w:t>
      </w:r>
      <w:r>
        <w:rPr>
          <w:spacing w:val="-12"/>
          <w:sz w:val="22"/>
        </w:rPr>
        <w:t> </w:t>
      </w:r>
      <w:r>
        <w:rPr>
          <w:sz w:val="22"/>
        </w:rPr>
        <w:t>y</w:t>
      </w:r>
      <w:r>
        <w:rPr>
          <w:spacing w:val="-17"/>
          <w:sz w:val="22"/>
        </w:rPr>
        <w:t> </w:t>
      </w:r>
      <w:r>
        <w:rPr>
          <w:sz w:val="22"/>
        </w:rPr>
        <w:t>la</w:t>
      </w:r>
      <w:r>
        <w:rPr>
          <w:spacing w:val="-13"/>
          <w:sz w:val="22"/>
        </w:rPr>
        <w:t> </w:t>
      </w:r>
      <w:r>
        <w:rPr>
          <w:sz w:val="22"/>
        </w:rPr>
        <w:t>formación</w:t>
      </w:r>
      <w:r>
        <w:rPr>
          <w:spacing w:val="-14"/>
          <w:sz w:val="22"/>
        </w:rPr>
        <w:t> </w:t>
      </w:r>
      <w:r>
        <w:rPr>
          <w:sz w:val="22"/>
        </w:rPr>
        <w:t>permanente</w:t>
      </w:r>
      <w:r>
        <w:rPr>
          <w:spacing w:val="-13"/>
          <w:sz w:val="22"/>
        </w:rPr>
        <w:t> </w:t>
      </w:r>
      <w:r>
        <w:rPr>
          <w:sz w:val="22"/>
        </w:rPr>
        <w:t>para</w:t>
      </w:r>
      <w:r>
        <w:rPr>
          <w:spacing w:val="-16"/>
          <w:sz w:val="22"/>
        </w:rPr>
        <w:t> </w:t>
      </w:r>
      <w:r>
        <w:rPr>
          <w:sz w:val="22"/>
        </w:rPr>
        <w:t>consolidar la carrera administrativa</w:t>
      </w:r>
      <w:r>
        <w:rPr>
          <w:spacing w:val="-1"/>
          <w:sz w:val="22"/>
        </w:rPr>
        <w:t> </w:t>
      </w:r>
      <w:r>
        <w:rPr>
          <w:sz w:val="22"/>
        </w:rPr>
        <w:t>tributaria.</w:t>
      </w:r>
    </w:p>
    <w:p>
      <w:pPr>
        <w:pStyle w:val="BodyText"/>
        <w:spacing w:before="2"/>
        <w:rPr>
          <w:sz w:val="25"/>
        </w:rPr>
      </w:pPr>
    </w:p>
    <w:p>
      <w:pPr>
        <w:pStyle w:val="BodyText"/>
        <w:spacing w:line="278" w:lineRule="auto"/>
        <w:ind w:left="562" w:right="1703"/>
        <w:jc w:val="both"/>
      </w:pPr>
      <w:r>
        <w:rPr/>
        <w:t>Los objetivos descritos serán articulados a través de dos ejes transversales que se orientan en el respeto a los derechos de los contribuyentes y a la comunicación estratégica.</w:t>
      </w:r>
    </w:p>
    <w:p>
      <w:pPr>
        <w:pStyle w:val="BodyText"/>
        <w:spacing w:before="11"/>
        <w:rPr>
          <w:sz w:val="24"/>
        </w:rPr>
      </w:pPr>
    </w:p>
    <w:p>
      <w:pPr>
        <w:pStyle w:val="BodyText"/>
        <w:spacing w:line="276" w:lineRule="auto"/>
        <w:ind w:left="562" w:right="1698"/>
        <w:jc w:val="both"/>
      </w:pPr>
      <w:r>
        <w:rPr/>
        <w:t>Las directrices previstas en los objetivos antes descritos permitirán a la Administración Tributaria definir una serie de acciones para la orientación de los Planes Operativos Anuales, con la finalidad de delimitar el accionar del ente recaudador para atacar el problema de la insuficiente recaudación tributaria.</w:t>
      </w:r>
    </w:p>
    <w:p>
      <w:pPr>
        <w:pStyle w:val="BodyText"/>
        <w:spacing w:before="9"/>
        <w:rPr>
          <w:sz w:val="25"/>
        </w:rPr>
      </w:pPr>
    </w:p>
    <w:p>
      <w:pPr>
        <w:pStyle w:val="Heading2"/>
        <w:numPr>
          <w:ilvl w:val="3"/>
          <w:numId w:val="13"/>
        </w:numPr>
        <w:tabs>
          <w:tab w:pos="1695" w:val="left" w:leader="none"/>
        </w:tabs>
        <w:spacing w:line="240" w:lineRule="auto" w:before="0" w:after="0"/>
        <w:ind w:left="1694" w:right="0" w:hanging="644"/>
        <w:jc w:val="left"/>
      </w:pPr>
      <w:bookmarkStart w:name="_bookmark191" w:id="244"/>
      <w:bookmarkEnd w:id="244"/>
      <w:r>
        <w:rPr>
          <w:b w:val="0"/>
        </w:rPr>
      </w:r>
      <w:bookmarkStart w:name="_bookmark191" w:id="245"/>
      <w:bookmarkEnd w:id="245"/>
      <w:r>
        <w:rPr/>
        <w:t>P</w:t>
      </w:r>
      <w:r>
        <w:rPr/>
        <w:t>olítica pública como base para la programación</w:t>
      </w:r>
      <w:r>
        <w:rPr>
          <w:spacing w:val="-4"/>
        </w:rPr>
        <w:t> </w:t>
      </w:r>
      <w:r>
        <w:rPr/>
        <w:t>presupuestaria</w:t>
      </w:r>
    </w:p>
    <w:p>
      <w:pPr>
        <w:pStyle w:val="BodyText"/>
        <w:spacing w:before="6"/>
        <w:rPr>
          <w:b/>
          <w:sz w:val="28"/>
        </w:rPr>
      </w:pPr>
    </w:p>
    <w:p>
      <w:pPr>
        <w:pStyle w:val="BodyText"/>
        <w:spacing w:line="276" w:lineRule="auto" w:before="1"/>
        <w:ind w:left="562" w:right="1695"/>
        <w:jc w:val="both"/>
      </w:pPr>
      <w:r>
        <w:rPr/>
        <w:t>Un documento importante en la planificación y presupuestación de mediano plazo lo constituye la Política General de Gobierno (PGG) 2020-2024, que fue aprobada por medio del Acuerdo Gubernativo 32-2020 en Consejo de Ministros, la misma se encuentra alineada a las metas estratégicas de desarrollo (MED), agrupadas en las diez prioridades nacionales de desarrollo (PND). Por</w:t>
      </w:r>
      <w:r>
        <w:rPr>
          <w:spacing w:val="-9"/>
        </w:rPr>
        <w:t> </w:t>
      </w:r>
      <w:r>
        <w:rPr/>
        <w:t>lo</w:t>
      </w:r>
      <w:r>
        <w:rPr>
          <w:spacing w:val="-11"/>
        </w:rPr>
        <w:t> </w:t>
      </w:r>
      <w:r>
        <w:rPr/>
        <w:t>que</w:t>
      </w:r>
      <w:r>
        <w:rPr>
          <w:spacing w:val="-11"/>
        </w:rPr>
        <w:t> </w:t>
      </w:r>
      <w:r>
        <w:rPr/>
        <w:t>la</w:t>
      </w:r>
      <w:r>
        <w:rPr>
          <w:spacing w:val="-8"/>
        </w:rPr>
        <w:t> </w:t>
      </w:r>
      <w:r>
        <w:rPr/>
        <w:t>PGG</w:t>
      </w:r>
      <w:r>
        <w:rPr>
          <w:spacing w:val="-13"/>
        </w:rPr>
        <w:t> </w:t>
      </w:r>
      <w:r>
        <w:rPr/>
        <w:t>se</w:t>
      </w:r>
      <w:r>
        <w:rPr>
          <w:spacing w:val="-8"/>
        </w:rPr>
        <w:t> </w:t>
      </w:r>
      <w:r>
        <w:rPr/>
        <w:t>enfoca</w:t>
      </w:r>
      <w:r>
        <w:rPr>
          <w:spacing w:val="-11"/>
        </w:rPr>
        <w:t> </w:t>
      </w:r>
      <w:r>
        <w:rPr/>
        <w:t>en</w:t>
      </w:r>
      <w:r>
        <w:rPr>
          <w:spacing w:val="-8"/>
        </w:rPr>
        <w:t> </w:t>
      </w:r>
      <w:r>
        <w:rPr/>
        <w:t>definir</w:t>
      </w:r>
      <w:r>
        <w:rPr>
          <w:spacing w:val="-10"/>
        </w:rPr>
        <w:t> </w:t>
      </w:r>
      <w:r>
        <w:rPr/>
        <w:t>lineamientos</w:t>
      </w:r>
      <w:r>
        <w:rPr>
          <w:spacing w:val="-9"/>
        </w:rPr>
        <w:t> </w:t>
      </w:r>
      <w:r>
        <w:rPr/>
        <w:t>que</w:t>
      </w:r>
      <w:r>
        <w:rPr>
          <w:spacing w:val="-11"/>
        </w:rPr>
        <w:t> </w:t>
      </w:r>
      <w:r>
        <w:rPr/>
        <w:t>orienten</w:t>
      </w:r>
      <w:r>
        <w:rPr>
          <w:spacing w:val="-8"/>
        </w:rPr>
        <w:t> </w:t>
      </w:r>
      <w:r>
        <w:rPr/>
        <w:t>la</w:t>
      </w:r>
      <w:r>
        <w:rPr>
          <w:spacing w:val="-8"/>
        </w:rPr>
        <w:t> </w:t>
      </w:r>
      <w:r>
        <w:rPr/>
        <w:t>gestión</w:t>
      </w:r>
      <w:r>
        <w:rPr>
          <w:spacing w:val="-10"/>
        </w:rPr>
        <w:t> </w:t>
      </w:r>
      <w:r>
        <w:rPr/>
        <w:t>gubernamental</w:t>
      </w:r>
      <w:r>
        <w:rPr>
          <w:spacing w:val="-7"/>
        </w:rPr>
        <w:t> </w:t>
      </w:r>
      <w:r>
        <w:rPr/>
        <w:t>de</w:t>
      </w:r>
      <w:r>
        <w:rPr>
          <w:spacing w:val="-8"/>
        </w:rPr>
        <w:t> </w:t>
      </w:r>
      <w:r>
        <w:rPr/>
        <w:t>manera estratégica. La PGG se fundamenta la PND derivadas del proceso de integración del Plan Nacional de Desarrollo K’atun: nuestra Guatemala 2032 y la Agenda 2030 para el desarrollo</w:t>
      </w:r>
      <w:r>
        <w:rPr>
          <w:spacing w:val="-21"/>
        </w:rPr>
        <w:t> </w:t>
      </w:r>
      <w:r>
        <w:rPr/>
        <w:t>sostenible.</w:t>
      </w:r>
    </w:p>
    <w:p>
      <w:pPr>
        <w:pStyle w:val="BodyText"/>
        <w:spacing w:before="2"/>
        <w:rPr>
          <w:sz w:val="25"/>
        </w:rPr>
      </w:pPr>
    </w:p>
    <w:p>
      <w:pPr>
        <w:pStyle w:val="BodyText"/>
        <w:spacing w:line="278" w:lineRule="auto"/>
        <w:ind w:left="562" w:right="1698"/>
        <w:jc w:val="both"/>
      </w:pPr>
      <w:r>
        <w:rPr/>
        <w:t>La</w:t>
      </w:r>
      <w:r>
        <w:rPr>
          <w:spacing w:val="-15"/>
        </w:rPr>
        <w:t> </w:t>
      </w:r>
      <w:r>
        <w:rPr/>
        <w:t>PGG</w:t>
      </w:r>
      <w:r>
        <w:rPr>
          <w:spacing w:val="-15"/>
        </w:rPr>
        <w:t> </w:t>
      </w:r>
      <w:r>
        <w:rPr/>
        <w:t>2020-2024</w:t>
      </w:r>
      <w:r>
        <w:rPr>
          <w:spacing w:val="-14"/>
        </w:rPr>
        <w:t> </w:t>
      </w:r>
      <w:r>
        <w:rPr/>
        <w:t>propone</w:t>
      </w:r>
      <w:r>
        <w:rPr>
          <w:spacing w:val="-14"/>
        </w:rPr>
        <w:t> </w:t>
      </w:r>
      <w:r>
        <w:rPr/>
        <w:t>cinco</w:t>
      </w:r>
      <w:r>
        <w:rPr>
          <w:spacing w:val="-16"/>
        </w:rPr>
        <w:t> </w:t>
      </w:r>
      <w:r>
        <w:rPr/>
        <w:t>pilares</w:t>
      </w:r>
      <w:r>
        <w:rPr>
          <w:spacing w:val="-16"/>
        </w:rPr>
        <w:t> </w:t>
      </w:r>
      <w:r>
        <w:rPr/>
        <w:t>estratégicos</w:t>
      </w:r>
      <w:r>
        <w:rPr>
          <w:spacing w:val="-16"/>
        </w:rPr>
        <w:t> </w:t>
      </w:r>
      <w:r>
        <w:rPr/>
        <w:t>sensibles</w:t>
      </w:r>
      <w:r>
        <w:rPr>
          <w:spacing w:val="-14"/>
        </w:rPr>
        <w:t> </w:t>
      </w:r>
      <w:r>
        <w:rPr/>
        <w:t>al</w:t>
      </w:r>
      <w:r>
        <w:rPr>
          <w:spacing w:val="-16"/>
        </w:rPr>
        <w:t> </w:t>
      </w:r>
      <w:r>
        <w:rPr/>
        <w:t>entorno</w:t>
      </w:r>
      <w:r>
        <w:rPr>
          <w:spacing w:val="-17"/>
        </w:rPr>
        <w:t> </w:t>
      </w:r>
      <w:r>
        <w:rPr/>
        <w:t>social,</w:t>
      </w:r>
      <w:r>
        <w:rPr>
          <w:spacing w:val="-17"/>
        </w:rPr>
        <w:t> </w:t>
      </w:r>
      <w:r>
        <w:rPr/>
        <w:t>político,</w:t>
      </w:r>
      <w:r>
        <w:rPr>
          <w:spacing w:val="-16"/>
        </w:rPr>
        <w:t> </w:t>
      </w:r>
      <w:r>
        <w:rPr/>
        <w:t>económico y</w:t>
      </w:r>
      <w:r>
        <w:rPr>
          <w:spacing w:val="-3"/>
        </w:rPr>
        <w:t> </w:t>
      </w:r>
      <w:r>
        <w:rPr/>
        <w:t>ambiental:</w:t>
      </w:r>
    </w:p>
    <w:p>
      <w:pPr>
        <w:pStyle w:val="BodyText"/>
        <w:spacing w:before="10"/>
        <w:rPr>
          <w:sz w:val="24"/>
        </w:rPr>
      </w:pPr>
    </w:p>
    <w:p>
      <w:pPr>
        <w:pStyle w:val="ListParagraph"/>
        <w:numPr>
          <w:ilvl w:val="0"/>
          <w:numId w:val="28"/>
        </w:numPr>
        <w:tabs>
          <w:tab w:pos="1282" w:val="left" w:leader="none"/>
        </w:tabs>
        <w:spacing w:line="276" w:lineRule="auto" w:before="0" w:after="0"/>
        <w:ind w:left="1282" w:right="1697" w:hanging="360"/>
        <w:jc w:val="both"/>
        <w:rPr>
          <w:sz w:val="22"/>
        </w:rPr>
      </w:pPr>
      <w:r>
        <w:rPr>
          <w:b/>
          <w:sz w:val="22"/>
        </w:rPr>
        <w:t>Economía,</w:t>
      </w:r>
      <w:r>
        <w:rPr>
          <w:b/>
          <w:spacing w:val="-15"/>
          <w:sz w:val="22"/>
        </w:rPr>
        <w:t> </w:t>
      </w:r>
      <w:r>
        <w:rPr>
          <w:b/>
          <w:sz w:val="22"/>
        </w:rPr>
        <w:t>competitividad</w:t>
      </w:r>
      <w:r>
        <w:rPr>
          <w:b/>
          <w:spacing w:val="-18"/>
          <w:sz w:val="22"/>
        </w:rPr>
        <w:t> </w:t>
      </w:r>
      <w:r>
        <w:rPr>
          <w:b/>
          <w:sz w:val="22"/>
        </w:rPr>
        <w:t>y</w:t>
      </w:r>
      <w:r>
        <w:rPr>
          <w:b/>
          <w:spacing w:val="-15"/>
          <w:sz w:val="22"/>
        </w:rPr>
        <w:t> </w:t>
      </w:r>
      <w:r>
        <w:rPr>
          <w:b/>
          <w:sz w:val="22"/>
        </w:rPr>
        <w:t>prosperidad</w:t>
      </w:r>
      <w:r>
        <w:rPr>
          <w:sz w:val="22"/>
        </w:rPr>
        <w:t>,</w:t>
      </w:r>
      <w:r>
        <w:rPr>
          <w:spacing w:val="-14"/>
          <w:sz w:val="22"/>
        </w:rPr>
        <w:t> </w:t>
      </w:r>
      <w:r>
        <w:rPr>
          <w:sz w:val="22"/>
        </w:rPr>
        <w:t>busca</w:t>
      </w:r>
      <w:r>
        <w:rPr>
          <w:spacing w:val="-17"/>
          <w:sz w:val="22"/>
        </w:rPr>
        <w:t> </w:t>
      </w:r>
      <w:r>
        <w:rPr>
          <w:sz w:val="22"/>
        </w:rPr>
        <w:t>alcanzar</w:t>
      </w:r>
      <w:r>
        <w:rPr>
          <w:spacing w:val="-14"/>
          <w:sz w:val="22"/>
        </w:rPr>
        <w:t> </w:t>
      </w:r>
      <w:r>
        <w:rPr>
          <w:sz w:val="22"/>
        </w:rPr>
        <w:t>un</w:t>
      </w:r>
      <w:r>
        <w:rPr>
          <w:spacing w:val="-15"/>
          <w:sz w:val="22"/>
        </w:rPr>
        <w:t> </w:t>
      </w:r>
      <w:r>
        <w:rPr>
          <w:sz w:val="22"/>
        </w:rPr>
        <w:t>mayor</w:t>
      </w:r>
      <w:r>
        <w:rPr>
          <w:spacing w:val="-15"/>
          <w:sz w:val="22"/>
        </w:rPr>
        <w:t> </w:t>
      </w:r>
      <w:r>
        <w:rPr>
          <w:sz w:val="22"/>
        </w:rPr>
        <w:t>crecimiento</w:t>
      </w:r>
      <w:r>
        <w:rPr>
          <w:spacing w:val="-17"/>
          <w:sz w:val="22"/>
        </w:rPr>
        <w:t> </w:t>
      </w:r>
      <w:r>
        <w:rPr>
          <w:sz w:val="22"/>
        </w:rPr>
        <w:t>económico y aumentar significativamente las fuentes de empleo</w:t>
      </w:r>
      <w:r>
        <w:rPr>
          <w:spacing w:val="-13"/>
          <w:sz w:val="22"/>
        </w:rPr>
        <w:t> </w:t>
      </w:r>
      <w:r>
        <w:rPr>
          <w:sz w:val="22"/>
        </w:rPr>
        <w:t>sostenible.</w:t>
      </w:r>
    </w:p>
    <w:p>
      <w:pPr>
        <w:pStyle w:val="BodyText"/>
        <w:spacing w:before="5"/>
        <w:rPr>
          <w:sz w:val="25"/>
        </w:rPr>
      </w:pPr>
    </w:p>
    <w:p>
      <w:pPr>
        <w:pStyle w:val="ListParagraph"/>
        <w:numPr>
          <w:ilvl w:val="0"/>
          <w:numId w:val="28"/>
        </w:numPr>
        <w:tabs>
          <w:tab w:pos="1282" w:val="left" w:leader="none"/>
        </w:tabs>
        <w:spacing w:line="276" w:lineRule="auto" w:before="0" w:after="0"/>
        <w:ind w:left="1282" w:right="1701" w:hanging="360"/>
        <w:jc w:val="both"/>
        <w:rPr>
          <w:sz w:val="22"/>
        </w:rPr>
      </w:pPr>
      <w:r>
        <w:rPr>
          <w:b/>
          <w:sz w:val="22"/>
        </w:rPr>
        <w:t>Desarrollo social</w:t>
      </w:r>
      <w:r>
        <w:rPr>
          <w:sz w:val="22"/>
        </w:rPr>
        <w:t>, el objetivo es atender de manera directa y efectiva a los más pobres a través de compensadores sociales eficaces y</w:t>
      </w:r>
      <w:r>
        <w:rPr>
          <w:spacing w:val="-6"/>
          <w:sz w:val="22"/>
        </w:rPr>
        <w:t> </w:t>
      </w:r>
      <w:r>
        <w:rPr>
          <w:sz w:val="22"/>
        </w:rPr>
        <w:t>focalizados.</w:t>
      </w:r>
    </w:p>
    <w:p>
      <w:pPr>
        <w:pStyle w:val="BodyText"/>
        <w:spacing w:before="1"/>
        <w:rPr>
          <w:sz w:val="25"/>
        </w:rPr>
      </w:pPr>
    </w:p>
    <w:p>
      <w:pPr>
        <w:pStyle w:val="ListParagraph"/>
        <w:numPr>
          <w:ilvl w:val="0"/>
          <w:numId w:val="28"/>
        </w:numPr>
        <w:tabs>
          <w:tab w:pos="1282" w:val="left" w:leader="none"/>
        </w:tabs>
        <w:spacing w:line="278" w:lineRule="auto" w:before="1" w:after="0"/>
        <w:ind w:left="1282" w:right="1699" w:hanging="360"/>
        <w:jc w:val="both"/>
        <w:rPr>
          <w:sz w:val="22"/>
        </w:rPr>
      </w:pPr>
      <w:r>
        <w:rPr>
          <w:b/>
          <w:sz w:val="22"/>
        </w:rPr>
        <w:t>Gobernabilidad y seguridad en desarrollo</w:t>
      </w:r>
      <w:r>
        <w:rPr>
          <w:sz w:val="22"/>
        </w:rPr>
        <w:t>, persigue mejorar la gobernabilidad del país para una convivencia en paz y armoniosa, que permita condiciones adecuadas de</w:t>
      </w:r>
      <w:r>
        <w:rPr>
          <w:spacing w:val="-19"/>
          <w:sz w:val="22"/>
        </w:rPr>
        <w:t> </w:t>
      </w:r>
      <w:r>
        <w:rPr>
          <w:sz w:val="22"/>
        </w:rPr>
        <w:t>inversión;</w:t>
      </w:r>
    </w:p>
    <w:p>
      <w:pPr>
        <w:pStyle w:val="BodyText"/>
        <w:spacing w:before="11"/>
        <w:rPr>
          <w:sz w:val="24"/>
        </w:rPr>
      </w:pPr>
    </w:p>
    <w:p>
      <w:pPr>
        <w:pStyle w:val="ListParagraph"/>
        <w:numPr>
          <w:ilvl w:val="0"/>
          <w:numId w:val="28"/>
        </w:numPr>
        <w:tabs>
          <w:tab w:pos="1282" w:val="left" w:leader="none"/>
        </w:tabs>
        <w:spacing w:line="276" w:lineRule="auto" w:before="0" w:after="0"/>
        <w:ind w:left="1282" w:right="1699" w:hanging="360"/>
        <w:jc w:val="both"/>
        <w:rPr>
          <w:sz w:val="22"/>
        </w:rPr>
      </w:pPr>
      <w:r>
        <w:rPr>
          <w:b/>
          <w:sz w:val="22"/>
        </w:rPr>
        <w:t>Estado responsable, transparente y efectivo</w:t>
      </w:r>
      <w:r>
        <w:rPr>
          <w:sz w:val="22"/>
        </w:rPr>
        <w:t>, procura administrar de manera efectiva y transparente las instituciones del Estado para ponerlas al servicio de la</w:t>
      </w:r>
      <w:r>
        <w:rPr>
          <w:spacing w:val="-17"/>
          <w:sz w:val="22"/>
        </w:rPr>
        <w:t> </w:t>
      </w:r>
      <w:r>
        <w:rPr>
          <w:sz w:val="22"/>
        </w:rPr>
        <w:t>ciudadanía;</w:t>
      </w:r>
    </w:p>
    <w:p>
      <w:pPr>
        <w:pStyle w:val="BodyText"/>
        <w:spacing w:before="4"/>
        <w:rPr>
          <w:sz w:val="25"/>
        </w:rPr>
      </w:pPr>
    </w:p>
    <w:p>
      <w:pPr>
        <w:pStyle w:val="ListParagraph"/>
        <w:numPr>
          <w:ilvl w:val="0"/>
          <w:numId w:val="28"/>
        </w:numPr>
        <w:tabs>
          <w:tab w:pos="1282" w:val="left" w:leader="none"/>
        </w:tabs>
        <w:spacing w:line="276" w:lineRule="auto" w:before="0" w:after="0"/>
        <w:ind w:left="1282" w:right="1698" w:hanging="360"/>
        <w:jc w:val="both"/>
        <w:rPr>
          <w:sz w:val="22"/>
        </w:rPr>
      </w:pPr>
      <w:r>
        <w:rPr>
          <w:b/>
          <w:sz w:val="22"/>
        </w:rPr>
        <w:t>Relaciones con el mundo, </w:t>
      </w:r>
      <w:r>
        <w:rPr>
          <w:sz w:val="22"/>
        </w:rPr>
        <w:t>tiene el objetivo de garantizar el aprovechamiento de </w:t>
      </w:r>
      <w:r>
        <w:rPr>
          <w:spacing w:val="-2"/>
          <w:sz w:val="22"/>
        </w:rPr>
        <w:t>las </w:t>
      </w:r>
      <w:r>
        <w:rPr>
          <w:sz w:val="22"/>
        </w:rPr>
        <w:t>relaciones internacionales para que, además de mantener buenos vínculos diplomáticos, mejore el orden del comercio internacional, el turismo, la inversión y el trato a nuestros migrantes.</w:t>
      </w:r>
    </w:p>
    <w:p>
      <w:pPr>
        <w:spacing w:after="0" w:line="276" w:lineRule="auto"/>
        <w:jc w:val="both"/>
        <w:rPr>
          <w:sz w:val="22"/>
        </w:rPr>
        <w:sectPr>
          <w:pgSz w:w="12240" w:h="15840"/>
          <w:pgMar w:header="715" w:footer="957" w:top="1240" w:bottom="1140" w:left="1140" w:right="0"/>
        </w:sectPr>
      </w:pPr>
    </w:p>
    <w:p>
      <w:pPr>
        <w:pStyle w:val="BodyText"/>
        <w:rPr>
          <w:sz w:val="20"/>
        </w:rPr>
      </w:pPr>
    </w:p>
    <w:p>
      <w:pPr>
        <w:pStyle w:val="BodyText"/>
        <w:spacing w:before="4"/>
        <w:rPr>
          <w:sz w:val="19"/>
        </w:rPr>
      </w:pPr>
    </w:p>
    <w:p>
      <w:pPr>
        <w:pStyle w:val="BodyText"/>
        <w:spacing w:line="276" w:lineRule="auto"/>
        <w:ind w:left="562" w:right="1698"/>
        <w:jc w:val="both"/>
      </w:pPr>
      <w:r>
        <w:rPr/>
        <w:t>En adición a estos cinco pilares, la PGG 2020-2024 incluye de manera transversal el aspecto ambiental,</w:t>
      </w:r>
      <w:r>
        <w:rPr>
          <w:spacing w:val="-13"/>
        </w:rPr>
        <w:t> </w:t>
      </w:r>
      <w:r>
        <w:rPr/>
        <w:t>que</w:t>
      </w:r>
      <w:r>
        <w:rPr>
          <w:spacing w:val="-12"/>
        </w:rPr>
        <w:t> </w:t>
      </w:r>
      <w:r>
        <w:rPr/>
        <w:t>está</w:t>
      </w:r>
      <w:r>
        <w:rPr>
          <w:spacing w:val="-11"/>
        </w:rPr>
        <w:t> </w:t>
      </w:r>
      <w:r>
        <w:rPr/>
        <w:t>configurado</w:t>
      </w:r>
      <w:r>
        <w:rPr>
          <w:spacing w:val="-15"/>
        </w:rPr>
        <w:t> </w:t>
      </w:r>
      <w:r>
        <w:rPr/>
        <w:t>para</w:t>
      </w:r>
      <w:r>
        <w:rPr>
          <w:spacing w:val="-14"/>
        </w:rPr>
        <w:t> </w:t>
      </w:r>
      <w:r>
        <w:rPr/>
        <w:t>solucionar</w:t>
      </w:r>
      <w:r>
        <w:rPr>
          <w:spacing w:val="-14"/>
        </w:rPr>
        <w:t> </w:t>
      </w:r>
      <w:r>
        <w:rPr/>
        <w:t>la</w:t>
      </w:r>
      <w:r>
        <w:rPr>
          <w:spacing w:val="-12"/>
        </w:rPr>
        <w:t> </w:t>
      </w:r>
      <w:r>
        <w:rPr/>
        <w:t>problemática</w:t>
      </w:r>
      <w:r>
        <w:rPr>
          <w:spacing w:val="-11"/>
        </w:rPr>
        <w:t> </w:t>
      </w:r>
      <w:r>
        <w:rPr/>
        <w:t>de</w:t>
      </w:r>
      <w:r>
        <w:rPr>
          <w:spacing w:val="-15"/>
        </w:rPr>
        <w:t> </w:t>
      </w:r>
      <w:r>
        <w:rPr/>
        <w:t>la</w:t>
      </w:r>
      <w:r>
        <w:rPr>
          <w:spacing w:val="-12"/>
        </w:rPr>
        <w:t> </w:t>
      </w:r>
      <w:r>
        <w:rPr/>
        <w:t>gestión</w:t>
      </w:r>
      <w:r>
        <w:rPr>
          <w:spacing w:val="-14"/>
        </w:rPr>
        <w:t> </w:t>
      </w:r>
      <w:r>
        <w:rPr/>
        <w:t>sostenible</w:t>
      </w:r>
      <w:r>
        <w:rPr>
          <w:spacing w:val="-12"/>
        </w:rPr>
        <w:t> </w:t>
      </w:r>
      <w:r>
        <w:rPr/>
        <w:t>del</w:t>
      </w:r>
      <w:r>
        <w:rPr>
          <w:spacing w:val="-13"/>
        </w:rPr>
        <w:t> </w:t>
      </w:r>
      <w:r>
        <w:rPr/>
        <w:t>ambiente, recursos naturales, ordenamiento territorial y cambio</w:t>
      </w:r>
      <w:r>
        <w:rPr>
          <w:spacing w:val="-7"/>
        </w:rPr>
        <w:t> </w:t>
      </w:r>
      <w:r>
        <w:rPr/>
        <w:t>climático.</w:t>
      </w:r>
    </w:p>
    <w:p>
      <w:pPr>
        <w:pStyle w:val="BodyText"/>
        <w:spacing w:before="9"/>
        <w:rPr>
          <w:sz w:val="25"/>
        </w:rPr>
      </w:pPr>
    </w:p>
    <w:p>
      <w:pPr>
        <w:spacing w:before="0"/>
        <w:ind w:left="2491" w:right="0" w:firstLine="0"/>
        <w:jc w:val="left"/>
        <w:rPr>
          <w:b/>
          <w:sz w:val="22"/>
        </w:rPr>
      </w:pPr>
      <w:bookmarkStart w:name="_bookmark192" w:id="246"/>
      <w:bookmarkEnd w:id="246"/>
      <w:r>
        <w:rPr/>
      </w:r>
      <w:r>
        <w:rPr>
          <w:b/>
          <w:i/>
          <w:sz w:val="20"/>
        </w:rPr>
        <w:t>Gráfico 100. </w:t>
      </w:r>
      <w:r>
        <w:rPr>
          <w:b/>
          <w:sz w:val="22"/>
        </w:rPr>
        <w:t>Pilares estratégicos de la PGG 2020-2024</w:t>
      </w:r>
    </w:p>
    <w:p>
      <w:pPr>
        <w:pStyle w:val="BodyText"/>
        <w:spacing w:before="4"/>
        <w:rPr>
          <w:b/>
          <w:sz w:val="14"/>
        </w:rPr>
      </w:pPr>
      <w:r>
        <w:rPr/>
        <w:drawing>
          <wp:anchor distT="0" distB="0" distL="0" distR="0" allowOverlap="1" layoutInCell="1" locked="0" behindDoc="0" simplePos="0" relativeHeight="1370">
            <wp:simplePos x="0" y="0"/>
            <wp:positionH relativeFrom="page">
              <wp:posOffset>1799844</wp:posOffset>
            </wp:positionH>
            <wp:positionV relativeFrom="paragraph">
              <wp:posOffset>129608</wp:posOffset>
            </wp:positionV>
            <wp:extent cx="3983021" cy="2114550"/>
            <wp:effectExtent l="0" t="0" r="0" b="0"/>
            <wp:wrapTopAndBottom/>
            <wp:docPr id="101" name="image273.png"/>
            <wp:cNvGraphicFramePr>
              <a:graphicFrameLocks noChangeAspect="1"/>
            </wp:cNvGraphicFramePr>
            <a:graphic>
              <a:graphicData uri="http://schemas.openxmlformats.org/drawingml/2006/picture">
                <pic:pic>
                  <pic:nvPicPr>
                    <pic:cNvPr id="102" name="image273.png"/>
                    <pic:cNvPicPr/>
                  </pic:nvPicPr>
                  <pic:blipFill>
                    <a:blip r:embed="rId279" cstate="print"/>
                    <a:stretch>
                      <a:fillRect/>
                    </a:stretch>
                  </pic:blipFill>
                  <pic:spPr>
                    <a:xfrm>
                      <a:off x="0" y="0"/>
                      <a:ext cx="3983021" cy="2114550"/>
                    </a:xfrm>
                    <a:prstGeom prst="rect">
                      <a:avLst/>
                    </a:prstGeom>
                  </pic:spPr>
                </pic:pic>
              </a:graphicData>
            </a:graphic>
          </wp:anchor>
        </w:drawing>
      </w:r>
    </w:p>
    <w:p>
      <w:pPr>
        <w:spacing w:before="109"/>
        <w:ind w:left="1836" w:right="0" w:firstLine="0"/>
        <w:jc w:val="left"/>
        <w:rPr>
          <w:sz w:val="16"/>
        </w:rPr>
      </w:pPr>
      <w:r>
        <w:rPr>
          <w:sz w:val="16"/>
        </w:rPr>
        <w:t>Fuente: Dirección de Análisis y Política Fiscal con información de la PGG 2020-2024</w:t>
      </w:r>
    </w:p>
    <w:p>
      <w:pPr>
        <w:pStyle w:val="BodyText"/>
        <w:rPr>
          <w:sz w:val="20"/>
        </w:rPr>
      </w:pPr>
    </w:p>
    <w:p>
      <w:pPr>
        <w:pStyle w:val="BodyText"/>
        <w:spacing w:before="1"/>
        <w:rPr>
          <w:sz w:val="20"/>
        </w:rPr>
      </w:pPr>
    </w:p>
    <w:p>
      <w:pPr>
        <w:pStyle w:val="BodyText"/>
        <w:spacing w:line="276" w:lineRule="auto"/>
        <w:ind w:left="562" w:right="1694"/>
        <w:jc w:val="both"/>
      </w:pPr>
      <w:r>
        <w:rPr/>
        <w:t>Para que el proyecto de gobierno descrito en la PGG 2020-2024 sea financiable se integrarán todas las fuentes de financiamiento y se promoverán otras, como las alianzas público-privadas y el leasing público, que impondrán un carácter innovador a la gestión pública.</w:t>
      </w:r>
    </w:p>
    <w:p>
      <w:pPr>
        <w:pStyle w:val="BodyText"/>
        <w:spacing w:before="9"/>
        <w:rPr>
          <w:sz w:val="20"/>
        </w:rPr>
      </w:pPr>
    </w:p>
    <w:p>
      <w:pPr>
        <w:pStyle w:val="BodyText"/>
        <w:spacing w:line="276" w:lineRule="auto"/>
        <w:ind w:left="562" w:right="1697"/>
        <w:jc w:val="both"/>
      </w:pPr>
      <w:r>
        <w:rPr/>
        <w:t>La coordinación de la implementación de la PGG es responsabilidad del Vicepresidente de la República, el cual debe velar por la facilitación de acciones entre las diferentes instituciones, para garantizar su cumplimiento, dentro del ejercicio de sus funciones y atribuciones en el ámbito de su competencia.</w:t>
      </w:r>
    </w:p>
    <w:p>
      <w:pPr>
        <w:pStyle w:val="BodyText"/>
        <w:spacing w:before="8"/>
        <w:rPr>
          <w:sz w:val="20"/>
        </w:rPr>
      </w:pPr>
    </w:p>
    <w:p>
      <w:pPr>
        <w:pStyle w:val="BodyText"/>
        <w:spacing w:line="276" w:lineRule="auto"/>
        <w:ind w:left="562" w:right="1699"/>
        <w:jc w:val="both"/>
      </w:pPr>
      <w:r>
        <w:rPr/>
        <w:t>La</w:t>
      </w:r>
      <w:r>
        <w:rPr>
          <w:spacing w:val="-9"/>
        </w:rPr>
        <w:t> </w:t>
      </w:r>
      <w:r>
        <w:rPr/>
        <w:t>aplicación</w:t>
      </w:r>
      <w:r>
        <w:rPr>
          <w:spacing w:val="-8"/>
        </w:rPr>
        <w:t> </w:t>
      </w:r>
      <w:r>
        <w:rPr/>
        <w:t>de</w:t>
      </w:r>
      <w:r>
        <w:rPr>
          <w:spacing w:val="-8"/>
        </w:rPr>
        <w:t> </w:t>
      </w:r>
      <w:r>
        <w:rPr/>
        <w:t>la</w:t>
      </w:r>
      <w:r>
        <w:rPr>
          <w:spacing w:val="-8"/>
        </w:rPr>
        <w:t> </w:t>
      </w:r>
      <w:r>
        <w:rPr/>
        <w:t>política</w:t>
      </w:r>
      <w:r>
        <w:rPr>
          <w:spacing w:val="-10"/>
        </w:rPr>
        <w:t> </w:t>
      </w:r>
      <w:r>
        <w:rPr/>
        <w:t>contribuirá</w:t>
      </w:r>
      <w:r>
        <w:rPr>
          <w:spacing w:val="-8"/>
        </w:rPr>
        <w:t> </w:t>
      </w:r>
      <w:r>
        <w:rPr/>
        <w:t>a</w:t>
      </w:r>
      <w:r>
        <w:rPr>
          <w:spacing w:val="-7"/>
        </w:rPr>
        <w:t> </w:t>
      </w:r>
      <w:r>
        <w:rPr/>
        <w:t>que</w:t>
      </w:r>
      <w:r>
        <w:rPr>
          <w:spacing w:val="-8"/>
        </w:rPr>
        <w:t> </w:t>
      </w:r>
      <w:r>
        <w:rPr/>
        <w:t>el</w:t>
      </w:r>
      <w:r>
        <w:rPr>
          <w:spacing w:val="-8"/>
        </w:rPr>
        <w:t> </w:t>
      </w:r>
      <w:r>
        <w:rPr/>
        <w:t>Estado</w:t>
      </w:r>
      <w:r>
        <w:rPr>
          <w:spacing w:val="-10"/>
        </w:rPr>
        <w:t> </w:t>
      </w:r>
      <w:r>
        <w:rPr/>
        <w:t>sea</w:t>
      </w:r>
      <w:r>
        <w:rPr>
          <w:spacing w:val="-8"/>
        </w:rPr>
        <w:t> </w:t>
      </w:r>
      <w:r>
        <w:rPr/>
        <w:t>más</w:t>
      </w:r>
      <w:r>
        <w:rPr>
          <w:spacing w:val="-8"/>
        </w:rPr>
        <w:t> </w:t>
      </w:r>
      <w:r>
        <w:rPr/>
        <w:t>eficiente</w:t>
      </w:r>
      <w:r>
        <w:rPr>
          <w:spacing w:val="-8"/>
        </w:rPr>
        <w:t> </w:t>
      </w:r>
      <w:r>
        <w:rPr/>
        <w:t>en</w:t>
      </w:r>
      <w:r>
        <w:rPr>
          <w:spacing w:val="-8"/>
        </w:rPr>
        <w:t> </w:t>
      </w:r>
      <w:r>
        <w:rPr/>
        <w:t>el</w:t>
      </w:r>
      <w:r>
        <w:rPr>
          <w:spacing w:val="-10"/>
        </w:rPr>
        <w:t> </w:t>
      </w:r>
      <w:r>
        <w:rPr/>
        <w:t>impulso</w:t>
      </w:r>
      <w:r>
        <w:rPr>
          <w:spacing w:val="-8"/>
        </w:rPr>
        <w:t> </w:t>
      </w:r>
      <w:r>
        <w:rPr/>
        <w:t>de</w:t>
      </w:r>
      <w:r>
        <w:rPr>
          <w:spacing w:val="-11"/>
        </w:rPr>
        <w:t> </w:t>
      </w:r>
      <w:r>
        <w:rPr/>
        <w:t>los</w:t>
      </w:r>
      <w:r>
        <w:rPr>
          <w:spacing w:val="-8"/>
        </w:rPr>
        <w:t> </w:t>
      </w:r>
      <w:r>
        <w:rPr/>
        <w:t>cambios que permitan alcanzar desarrollo, progreso, paz y equidad para la población guatemalteca. En consecuencia, se afianzará la visión de un futuro próspero para</w:t>
      </w:r>
      <w:r>
        <w:rPr>
          <w:spacing w:val="-15"/>
        </w:rPr>
        <w:t> </w:t>
      </w:r>
      <w:r>
        <w:rPr/>
        <w:t>Guatemala.</w:t>
      </w:r>
    </w:p>
    <w:p>
      <w:pPr>
        <w:pStyle w:val="BodyText"/>
        <w:spacing w:before="8"/>
        <w:rPr>
          <w:sz w:val="20"/>
        </w:rPr>
      </w:pPr>
    </w:p>
    <w:p>
      <w:pPr>
        <w:pStyle w:val="BodyText"/>
        <w:spacing w:line="276" w:lineRule="auto"/>
        <w:ind w:left="562" w:right="1697"/>
        <w:jc w:val="both"/>
      </w:pPr>
      <w:r>
        <w:rPr/>
        <w:t>No obstante, la consecución de las metas propuestas dentro de la PGG 2020-2024 está sujeta a factores exógenos que incidirán, inevitablemente, en las acciones del gobierno; tales circunstancias pueden ser: conmociones económicas, eventos de la política internacional, incluso fenómenos meteorológicos.</w:t>
      </w:r>
    </w:p>
    <w:p>
      <w:pPr>
        <w:pStyle w:val="BodyText"/>
        <w:spacing w:before="8"/>
        <w:rPr>
          <w:sz w:val="20"/>
        </w:rPr>
      </w:pPr>
    </w:p>
    <w:p>
      <w:pPr>
        <w:pStyle w:val="BodyText"/>
        <w:spacing w:line="276" w:lineRule="auto" w:before="1"/>
        <w:ind w:left="562" w:right="1700"/>
        <w:jc w:val="both"/>
      </w:pPr>
      <w:r>
        <w:rPr/>
        <w:t>La consecución de la PGG se vio afectada durante el primer año de la actual administración pública, dado que Guatemala tuvo que enfrentarse a uno de estos factores exógenos y por ello la orientación del gasto público ha tenido una nueva arista. Este nuevo componente sería como consecuencia de la emergencia causada por el COVID-19.</w:t>
      </w:r>
    </w:p>
    <w:p>
      <w:pPr>
        <w:pStyle w:val="BodyText"/>
        <w:spacing w:before="7"/>
        <w:rPr>
          <w:sz w:val="20"/>
        </w:rPr>
      </w:pPr>
    </w:p>
    <w:p>
      <w:pPr>
        <w:pStyle w:val="BodyText"/>
        <w:spacing w:line="276" w:lineRule="auto" w:before="1"/>
        <w:ind w:left="562" w:right="1698"/>
        <w:jc w:val="both"/>
      </w:pPr>
      <w:r>
        <w:rPr/>
        <w:t>A</w:t>
      </w:r>
      <w:r>
        <w:rPr>
          <w:spacing w:val="-3"/>
        </w:rPr>
        <w:t> </w:t>
      </w:r>
      <w:r>
        <w:rPr/>
        <w:t>partir</w:t>
      </w:r>
      <w:r>
        <w:rPr>
          <w:spacing w:val="-1"/>
        </w:rPr>
        <w:t> </w:t>
      </w:r>
      <w:r>
        <w:rPr/>
        <w:t>de</w:t>
      </w:r>
      <w:r>
        <w:rPr>
          <w:spacing w:val="-1"/>
        </w:rPr>
        <w:t> </w:t>
      </w:r>
      <w:r>
        <w:rPr/>
        <w:t>2021,</w:t>
      </w:r>
      <w:r>
        <w:rPr>
          <w:spacing w:val="-5"/>
        </w:rPr>
        <w:t> </w:t>
      </w:r>
      <w:r>
        <w:rPr/>
        <w:t>se</w:t>
      </w:r>
      <w:r>
        <w:rPr>
          <w:spacing w:val="-3"/>
        </w:rPr>
        <w:t> </w:t>
      </w:r>
      <w:r>
        <w:rPr/>
        <w:t>retornaron</w:t>
      </w:r>
      <w:r>
        <w:rPr>
          <w:spacing w:val="-4"/>
        </w:rPr>
        <w:t> </w:t>
      </w:r>
      <w:r>
        <w:rPr/>
        <w:t>las</w:t>
      </w:r>
      <w:r>
        <w:rPr>
          <w:spacing w:val="-3"/>
        </w:rPr>
        <w:t> </w:t>
      </w:r>
      <w:r>
        <w:rPr/>
        <w:t>acciones</w:t>
      </w:r>
      <w:r>
        <w:rPr>
          <w:spacing w:val="-4"/>
        </w:rPr>
        <w:t> </w:t>
      </w:r>
      <w:r>
        <w:rPr/>
        <w:t>de</w:t>
      </w:r>
      <w:r>
        <w:rPr>
          <w:spacing w:val="-3"/>
        </w:rPr>
        <w:t> </w:t>
      </w:r>
      <w:r>
        <w:rPr/>
        <w:t>gobierno</w:t>
      </w:r>
      <w:r>
        <w:rPr>
          <w:spacing w:val="-1"/>
        </w:rPr>
        <w:t> </w:t>
      </w:r>
      <w:r>
        <w:rPr/>
        <w:t>hacia</w:t>
      </w:r>
      <w:r>
        <w:rPr>
          <w:spacing w:val="-3"/>
        </w:rPr>
        <w:t> </w:t>
      </w:r>
      <w:r>
        <w:rPr/>
        <w:t>la</w:t>
      </w:r>
      <w:r>
        <w:rPr>
          <w:spacing w:val="-4"/>
        </w:rPr>
        <w:t> </w:t>
      </w:r>
      <w:r>
        <w:rPr/>
        <w:t>visión</w:t>
      </w:r>
      <w:r>
        <w:rPr>
          <w:spacing w:val="-4"/>
        </w:rPr>
        <w:t> </w:t>
      </w:r>
      <w:r>
        <w:rPr/>
        <w:t>estratégica</w:t>
      </w:r>
      <w:r>
        <w:rPr>
          <w:spacing w:val="-3"/>
        </w:rPr>
        <w:t> </w:t>
      </w:r>
      <w:r>
        <w:rPr/>
        <w:t>que</w:t>
      </w:r>
      <w:r>
        <w:rPr>
          <w:spacing w:val="-3"/>
        </w:rPr>
        <w:t> </w:t>
      </w:r>
      <w:r>
        <w:rPr/>
        <w:t>fue</w:t>
      </w:r>
      <w:r>
        <w:rPr>
          <w:spacing w:val="-4"/>
        </w:rPr>
        <w:t> </w:t>
      </w:r>
      <w:r>
        <w:rPr/>
        <w:t>planteada a través de la PGG 2020-2024, siendo la base para que las entidades públicas definan sus acciones</w:t>
      </w:r>
      <w:r>
        <w:rPr>
          <w:spacing w:val="-3"/>
        </w:rPr>
        <w:t> </w:t>
      </w:r>
      <w:r>
        <w:rPr/>
        <w:t>y</w:t>
      </w:r>
    </w:p>
    <w:p>
      <w:pPr>
        <w:spacing w:after="0" w:line="276" w:lineRule="auto"/>
        <w:jc w:val="both"/>
        <w:sectPr>
          <w:pgSz w:w="12240" w:h="15840"/>
          <w:pgMar w:header="715" w:footer="957" w:top="1240" w:bottom="1140" w:left="1140" w:right="0"/>
        </w:sectPr>
      </w:pPr>
    </w:p>
    <w:p>
      <w:pPr>
        <w:pStyle w:val="BodyText"/>
        <w:spacing w:line="276" w:lineRule="auto" w:before="162"/>
        <w:ind w:left="562" w:right="1696"/>
        <w:jc w:val="both"/>
      </w:pPr>
      <w:r>
        <w:rPr/>
        <w:t>asignen</w:t>
      </w:r>
      <w:r>
        <w:rPr>
          <w:spacing w:val="-9"/>
        </w:rPr>
        <w:t> </w:t>
      </w:r>
      <w:r>
        <w:rPr/>
        <w:t>el</w:t>
      </w:r>
      <w:r>
        <w:rPr>
          <w:spacing w:val="-8"/>
        </w:rPr>
        <w:t> </w:t>
      </w:r>
      <w:r>
        <w:rPr/>
        <w:t>presupuesto</w:t>
      </w:r>
      <w:r>
        <w:rPr>
          <w:spacing w:val="-7"/>
        </w:rPr>
        <w:t> </w:t>
      </w:r>
      <w:r>
        <w:rPr/>
        <w:t>necesario</w:t>
      </w:r>
      <w:r>
        <w:rPr>
          <w:spacing w:val="-7"/>
        </w:rPr>
        <w:t> </w:t>
      </w:r>
      <w:r>
        <w:rPr/>
        <w:t>para</w:t>
      </w:r>
      <w:r>
        <w:rPr>
          <w:spacing w:val="-9"/>
        </w:rPr>
        <w:t> </w:t>
      </w:r>
      <w:r>
        <w:rPr/>
        <w:t>la</w:t>
      </w:r>
      <w:r>
        <w:rPr>
          <w:spacing w:val="-9"/>
        </w:rPr>
        <w:t> </w:t>
      </w:r>
      <w:r>
        <w:rPr/>
        <w:t>implementación</w:t>
      </w:r>
      <w:r>
        <w:rPr>
          <w:spacing w:val="-7"/>
        </w:rPr>
        <w:t> </w:t>
      </w:r>
      <w:r>
        <w:rPr/>
        <w:t>de</w:t>
      </w:r>
      <w:r>
        <w:rPr>
          <w:spacing w:val="-9"/>
        </w:rPr>
        <w:t> </w:t>
      </w:r>
      <w:r>
        <w:rPr/>
        <w:t>la</w:t>
      </w:r>
      <w:r>
        <w:rPr>
          <w:spacing w:val="-9"/>
        </w:rPr>
        <w:t> </w:t>
      </w:r>
      <w:r>
        <w:rPr/>
        <w:t>propuesta</w:t>
      </w:r>
      <w:r>
        <w:rPr>
          <w:spacing w:val="-7"/>
        </w:rPr>
        <w:t> </w:t>
      </w:r>
      <w:r>
        <w:rPr/>
        <w:t>estratégica</w:t>
      </w:r>
      <w:r>
        <w:rPr>
          <w:spacing w:val="-7"/>
        </w:rPr>
        <w:t> </w:t>
      </w:r>
      <w:r>
        <w:rPr/>
        <w:t>que</w:t>
      </w:r>
      <w:r>
        <w:rPr>
          <w:spacing w:val="-9"/>
        </w:rPr>
        <w:t> </w:t>
      </w:r>
      <w:r>
        <w:rPr/>
        <w:t>se</w:t>
      </w:r>
      <w:r>
        <w:rPr>
          <w:spacing w:val="-9"/>
        </w:rPr>
        <w:t> </w:t>
      </w:r>
      <w:r>
        <w:rPr/>
        <w:t>integra</w:t>
      </w:r>
      <w:r>
        <w:rPr>
          <w:spacing w:val="-7"/>
        </w:rPr>
        <w:t> </w:t>
      </w:r>
      <w:r>
        <w:rPr/>
        <w:t>en los</w:t>
      </w:r>
      <w:r>
        <w:rPr>
          <w:spacing w:val="-4"/>
        </w:rPr>
        <w:t> </w:t>
      </w:r>
      <w:r>
        <w:rPr/>
        <w:t>cinco</w:t>
      </w:r>
      <w:r>
        <w:rPr>
          <w:spacing w:val="-5"/>
        </w:rPr>
        <w:t> </w:t>
      </w:r>
      <w:r>
        <w:rPr/>
        <w:t>pilares</w:t>
      </w:r>
      <w:r>
        <w:rPr>
          <w:spacing w:val="-3"/>
        </w:rPr>
        <w:t> </w:t>
      </w:r>
      <w:r>
        <w:rPr/>
        <w:t>que</w:t>
      </w:r>
      <w:r>
        <w:rPr>
          <w:spacing w:val="-4"/>
        </w:rPr>
        <w:t> </w:t>
      </w:r>
      <w:r>
        <w:rPr/>
        <w:t>la</w:t>
      </w:r>
      <w:r>
        <w:rPr>
          <w:spacing w:val="-4"/>
        </w:rPr>
        <w:t> </w:t>
      </w:r>
      <w:r>
        <w:rPr/>
        <w:t>conforman,</w:t>
      </w:r>
      <w:r>
        <w:rPr>
          <w:spacing w:val="-3"/>
        </w:rPr>
        <w:t> </w:t>
      </w:r>
      <w:r>
        <w:rPr/>
        <w:t>siendo</w:t>
      </w:r>
      <w:r>
        <w:rPr>
          <w:spacing w:val="-5"/>
        </w:rPr>
        <w:t> </w:t>
      </w:r>
      <w:r>
        <w:rPr/>
        <w:t>realizado</w:t>
      </w:r>
      <w:r>
        <w:rPr>
          <w:spacing w:val="-3"/>
        </w:rPr>
        <w:t> </w:t>
      </w:r>
      <w:r>
        <w:rPr/>
        <w:t>con</w:t>
      </w:r>
      <w:r>
        <w:rPr>
          <w:spacing w:val="-5"/>
        </w:rPr>
        <w:t> </w:t>
      </w:r>
      <w:r>
        <w:rPr/>
        <w:t>un</w:t>
      </w:r>
      <w:r>
        <w:rPr>
          <w:spacing w:val="-5"/>
        </w:rPr>
        <w:t> </w:t>
      </w:r>
      <w:r>
        <w:rPr/>
        <w:t>enfoque</w:t>
      </w:r>
      <w:r>
        <w:rPr>
          <w:spacing w:val="-6"/>
        </w:rPr>
        <w:t> </w:t>
      </w:r>
      <w:r>
        <w:rPr/>
        <w:t>de</w:t>
      </w:r>
      <w:r>
        <w:rPr>
          <w:spacing w:val="-4"/>
        </w:rPr>
        <w:t> </w:t>
      </w:r>
      <w:r>
        <w:rPr/>
        <w:t>programación</w:t>
      </w:r>
      <w:r>
        <w:rPr>
          <w:spacing w:val="-4"/>
        </w:rPr>
        <w:t> </w:t>
      </w:r>
      <w:r>
        <w:rPr/>
        <w:t>por</w:t>
      </w:r>
      <w:r>
        <w:rPr>
          <w:spacing w:val="-4"/>
        </w:rPr>
        <w:t> </w:t>
      </w:r>
      <w:r>
        <w:rPr/>
        <w:t>resultados, para</w:t>
      </w:r>
      <w:r>
        <w:rPr>
          <w:spacing w:val="-7"/>
        </w:rPr>
        <w:t> </w:t>
      </w:r>
      <w:r>
        <w:rPr/>
        <w:t>ello</w:t>
      </w:r>
      <w:r>
        <w:rPr>
          <w:spacing w:val="-9"/>
        </w:rPr>
        <w:t> </w:t>
      </w:r>
      <w:r>
        <w:rPr/>
        <w:t>es</w:t>
      </w:r>
      <w:r>
        <w:rPr>
          <w:spacing w:val="-5"/>
        </w:rPr>
        <w:t> </w:t>
      </w:r>
      <w:r>
        <w:rPr/>
        <w:t>fundamental</w:t>
      </w:r>
      <w:r>
        <w:rPr>
          <w:spacing w:val="-7"/>
        </w:rPr>
        <w:t> </w:t>
      </w:r>
      <w:r>
        <w:rPr/>
        <w:t>la</w:t>
      </w:r>
      <w:r>
        <w:rPr>
          <w:spacing w:val="-8"/>
        </w:rPr>
        <w:t> </w:t>
      </w:r>
      <w:r>
        <w:rPr/>
        <w:t>planificación</w:t>
      </w:r>
      <w:r>
        <w:rPr>
          <w:spacing w:val="-6"/>
        </w:rPr>
        <w:t> </w:t>
      </w:r>
      <w:r>
        <w:rPr/>
        <w:t>anual,</w:t>
      </w:r>
      <w:r>
        <w:rPr>
          <w:spacing w:val="-6"/>
        </w:rPr>
        <w:t> </w:t>
      </w:r>
      <w:r>
        <w:rPr/>
        <w:t>multianual</w:t>
      </w:r>
      <w:r>
        <w:rPr>
          <w:spacing w:val="-5"/>
        </w:rPr>
        <w:t> </w:t>
      </w:r>
      <w:r>
        <w:rPr/>
        <w:t>y</w:t>
      </w:r>
      <w:r>
        <w:rPr>
          <w:spacing w:val="-9"/>
        </w:rPr>
        <w:t> </w:t>
      </w:r>
      <w:r>
        <w:rPr/>
        <w:t>estratégica</w:t>
      </w:r>
      <w:r>
        <w:rPr>
          <w:spacing w:val="-6"/>
        </w:rPr>
        <w:t> </w:t>
      </w:r>
      <w:r>
        <w:rPr/>
        <w:t>de</w:t>
      </w:r>
      <w:r>
        <w:rPr>
          <w:spacing w:val="-6"/>
        </w:rPr>
        <w:t> </w:t>
      </w:r>
      <w:r>
        <w:rPr/>
        <w:t>las</w:t>
      </w:r>
      <w:r>
        <w:rPr>
          <w:spacing w:val="-6"/>
        </w:rPr>
        <w:t> </w:t>
      </w:r>
      <w:r>
        <w:rPr/>
        <w:t>instituciones</w:t>
      </w:r>
      <w:r>
        <w:rPr>
          <w:spacing w:val="-5"/>
        </w:rPr>
        <w:t> </w:t>
      </w:r>
      <w:r>
        <w:rPr/>
        <w:t>públicas.</w:t>
      </w:r>
    </w:p>
    <w:p>
      <w:pPr>
        <w:pStyle w:val="BodyText"/>
        <w:spacing w:before="9"/>
        <w:rPr>
          <w:sz w:val="20"/>
        </w:rPr>
      </w:pPr>
    </w:p>
    <w:p>
      <w:pPr>
        <w:pStyle w:val="BodyText"/>
        <w:spacing w:line="276" w:lineRule="auto"/>
        <w:ind w:left="562" w:right="1697"/>
        <w:jc w:val="both"/>
      </w:pPr>
      <w:r>
        <w:rPr/>
        <w:t>Aunque</w:t>
      </w:r>
      <w:r>
        <w:rPr>
          <w:spacing w:val="-9"/>
        </w:rPr>
        <w:t> </w:t>
      </w:r>
      <w:r>
        <w:rPr/>
        <w:t>el</w:t>
      </w:r>
      <w:r>
        <w:rPr>
          <w:spacing w:val="-9"/>
        </w:rPr>
        <w:t> </w:t>
      </w:r>
      <w:r>
        <w:rPr/>
        <w:t>marco</w:t>
      </w:r>
      <w:r>
        <w:rPr>
          <w:spacing w:val="-10"/>
        </w:rPr>
        <w:t> </w:t>
      </w:r>
      <w:r>
        <w:rPr/>
        <w:t>de</w:t>
      </w:r>
      <w:r>
        <w:rPr>
          <w:spacing w:val="-12"/>
        </w:rPr>
        <w:t> </w:t>
      </w:r>
      <w:r>
        <w:rPr/>
        <w:t>acción</w:t>
      </w:r>
      <w:r>
        <w:rPr>
          <w:spacing w:val="-11"/>
        </w:rPr>
        <w:t> </w:t>
      </w:r>
      <w:r>
        <w:rPr/>
        <w:t>de</w:t>
      </w:r>
      <w:r>
        <w:rPr>
          <w:spacing w:val="-9"/>
        </w:rPr>
        <w:t> </w:t>
      </w:r>
      <w:r>
        <w:rPr/>
        <w:t>la</w:t>
      </w:r>
      <w:r>
        <w:rPr>
          <w:spacing w:val="-8"/>
        </w:rPr>
        <w:t> </w:t>
      </w:r>
      <w:r>
        <w:rPr/>
        <w:t>administración</w:t>
      </w:r>
      <w:r>
        <w:rPr>
          <w:spacing w:val="-8"/>
        </w:rPr>
        <w:t> </w:t>
      </w:r>
      <w:r>
        <w:rPr/>
        <w:t>gubernamental</w:t>
      </w:r>
      <w:r>
        <w:rPr>
          <w:spacing w:val="-7"/>
        </w:rPr>
        <w:t> </w:t>
      </w:r>
      <w:r>
        <w:rPr/>
        <w:t>es</w:t>
      </w:r>
      <w:r>
        <w:rPr>
          <w:spacing w:val="-9"/>
        </w:rPr>
        <w:t> </w:t>
      </w:r>
      <w:r>
        <w:rPr/>
        <w:t>de</w:t>
      </w:r>
      <w:r>
        <w:rPr>
          <w:spacing w:val="-8"/>
        </w:rPr>
        <w:t> </w:t>
      </w:r>
      <w:r>
        <w:rPr/>
        <w:t>cuatro</w:t>
      </w:r>
      <w:r>
        <w:rPr>
          <w:spacing w:val="-10"/>
        </w:rPr>
        <w:t> </w:t>
      </w:r>
      <w:r>
        <w:rPr/>
        <w:t>años,</w:t>
      </w:r>
      <w:r>
        <w:rPr>
          <w:spacing w:val="-11"/>
        </w:rPr>
        <w:t> </w:t>
      </w:r>
      <w:r>
        <w:rPr/>
        <w:t>se</w:t>
      </w:r>
      <w:r>
        <w:rPr>
          <w:spacing w:val="-8"/>
        </w:rPr>
        <w:t> </w:t>
      </w:r>
      <w:r>
        <w:rPr/>
        <w:t>toman</w:t>
      </w:r>
      <w:r>
        <w:rPr>
          <w:spacing w:val="-9"/>
        </w:rPr>
        <w:t> </w:t>
      </w:r>
      <w:r>
        <w:rPr/>
        <w:t>en</w:t>
      </w:r>
      <w:r>
        <w:rPr>
          <w:spacing w:val="-11"/>
        </w:rPr>
        <w:t> </w:t>
      </w:r>
      <w:r>
        <w:rPr/>
        <w:t>cuenta las metas planteadas en la agenda pública de desarrollo para el largo</w:t>
      </w:r>
      <w:r>
        <w:rPr>
          <w:spacing w:val="-13"/>
        </w:rPr>
        <w:t> </w:t>
      </w:r>
      <w:r>
        <w:rPr/>
        <w:t>plazo.</w:t>
      </w:r>
    </w:p>
    <w:p>
      <w:pPr>
        <w:pStyle w:val="BodyText"/>
        <w:spacing w:line="276" w:lineRule="auto"/>
        <w:ind w:left="562" w:right="1694"/>
        <w:jc w:val="both"/>
      </w:pPr>
      <w:r>
        <w:rPr/>
        <w:t>De esa cuenta, es importante la focalización de gasto en infraestructura y en gasto social, el cual permita promover el crecimiento del sector privado y los ODS priorizados. Por lo que de privilegiar aquellas inversiones que generen las externalidades positivas (como los servicios de agua y saneamiento, atención médica preventiva y primaria, programas de educación preescolar, a nivel primario y capacitación de maestros) y aquellas con el mayor potencial de recuperación de costos y participación</w:t>
      </w:r>
      <w:r>
        <w:rPr>
          <w:spacing w:val="-10"/>
        </w:rPr>
        <w:t> </w:t>
      </w:r>
      <w:r>
        <w:rPr/>
        <w:t>del</w:t>
      </w:r>
      <w:r>
        <w:rPr>
          <w:spacing w:val="-9"/>
        </w:rPr>
        <w:t> </w:t>
      </w:r>
      <w:r>
        <w:rPr/>
        <w:t>sector</w:t>
      </w:r>
      <w:r>
        <w:rPr>
          <w:spacing w:val="-7"/>
        </w:rPr>
        <w:t> </w:t>
      </w:r>
      <w:r>
        <w:rPr/>
        <w:t>privado</w:t>
      </w:r>
      <w:r>
        <w:rPr>
          <w:spacing w:val="-7"/>
        </w:rPr>
        <w:t> </w:t>
      </w:r>
      <w:r>
        <w:rPr/>
        <w:t>como</w:t>
      </w:r>
      <w:r>
        <w:rPr>
          <w:spacing w:val="-7"/>
        </w:rPr>
        <w:t> </w:t>
      </w:r>
      <w:r>
        <w:rPr/>
        <w:t>es</w:t>
      </w:r>
      <w:r>
        <w:rPr>
          <w:spacing w:val="-6"/>
        </w:rPr>
        <w:t> </w:t>
      </w:r>
      <w:r>
        <w:rPr/>
        <w:t>el</w:t>
      </w:r>
      <w:r>
        <w:rPr>
          <w:spacing w:val="-9"/>
        </w:rPr>
        <w:t> </w:t>
      </w:r>
      <w:r>
        <w:rPr/>
        <w:t>caso</w:t>
      </w:r>
      <w:r>
        <w:rPr>
          <w:spacing w:val="-7"/>
        </w:rPr>
        <w:t> </w:t>
      </w:r>
      <w:r>
        <w:rPr/>
        <w:t>de</w:t>
      </w:r>
      <w:r>
        <w:rPr>
          <w:spacing w:val="-12"/>
        </w:rPr>
        <w:t> </w:t>
      </w:r>
      <w:r>
        <w:rPr/>
        <w:t>la</w:t>
      </w:r>
      <w:r>
        <w:rPr>
          <w:spacing w:val="-9"/>
        </w:rPr>
        <w:t> </w:t>
      </w:r>
      <w:r>
        <w:rPr/>
        <w:t>infraestructura</w:t>
      </w:r>
      <w:r>
        <w:rPr>
          <w:spacing w:val="-7"/>
        </w:rPr>
        <w:t> </w:t>
      </w:r>
      <w:r>
        <w:rPr/>
        <w:t>vial;</w:t>
      </w:r>
      <w:r>
        <w:rPr>
          <w:spacing w:val="-8"/>
        </w:rPr>
        <w:t> </w:t>
      </w:r>
      <w:r>
        <w:rPr/>
        <w:t>lograrán</w:t>
      </w:r>
      <w:r>
        <w:rPr>
          <w:spacing w:val="-12"/>
        </w:rPr>
        <w:t> </w:t>
      </w:r>
      <w:r>
        <w:rPr/>
        <w:t>un</w:t>
      </w:r>
      <w:r>
        <w:rPr>
          <w:spacing w:val="-7"/>
        </w:rPr>
        <w:t> </w:t>
      </w:r>
      <w:r>
        <w:rPr/>
        <w:t>mayor</w:t>
      </w:r>
      <w:r>
        <w:rPr>
          <w:spacing w:val="-6"/>
        </w:rPr>
        <w:t> </w:t>
      </w:r>
      <w:r>
        <w:rPr/>
        <w:t>impacto en</w:t>
      </w:r>
      <w:r>
        <w:rPr>
          <w:spacing w:val="-7"/>
        </w:rPr>
        <w:t> </w:t>
      </w:r>
      <w:r>
        <w:rPr/>
        <w:t>el</w:t>
      </w:r>
      <w:r>
        <w:rPr>
          <w:spacing w:val="-8"/>
        </w:rPr>
        <w:t> </w:t>
      </w:r>
      <w:r>
        <w:rPr/>
        <w:t>desarrollo</w:t>
      </w:r>
      <w:r>
        <w:rPr>
          <w:spacing w:val="-6"/>
        </w:rPr>
        <w:t> </w:t>
      </w:r>
      <w:r>
        <w:rPr/>
        <w:t>social</w:t>
      </w:r>
      <w:r>
        <w:rPr>
          <w:spacing w:val="-6"/>
        </w:rPr>
        <w:t> </w:t>
      </w:r>
      <w:r>
        <w:rPr/>
        <w:t>y</w:t>
      </w:r>
      <w:r>
        <w:rPr>
          <w:spacing w:val="-10"/>
        </w:rPr>
        <w:t> </w:t>
      </w:r>
      <w:r>
        <w:rPr/>
        <w:t>en</w:t>
      </w:r>
      <w:r>
        <w:rPr>
          <w:spacing w:val="-8"/>
        </w:rPr>
        <w:t> </w:t>
      </w:r>
      <w:r>
        <w:rPr/>
        <w:t>la</w:t>
      </w:r>
      <w:r>
        <w:rPr>
          <w:spacing w:val="-7"/>
        </w:rPr>
        <w:t> </w:t>
      </w:r>
      <w:r>
        <w:rPr/>
        <w:t>actividad</w:t>
      </w:r>
      <w:r>
        <w:rPr>
          <w:spacing w:val="-9"/>
        </w:rPr>
        <w:t> </w:t>
      </w:r>
      <w:r>
        <w:rPr/>
        <w:t>económica.</w:t>
      </w:r>
      <w:r>
        <w:rPr>
          <w:spacing w:val="-6"/>
        </w:rPr>
        <w:t> </w:t>
      </w:r>
      <w:r>
        <w:rPr/>
        <w:t>Además,</w:t>
      </w:r>
      <w:r>
        <w:rPr>
          <w:spacing w:val="-7"/>
        </w:rPr>
        <w:t> </w:t>
      </w:r>
      <w:r>
        <w:rPr/>
        <w:t>la</w:t>
      </w:r>
      <w:r>
        <w:rPr>
          <w:spacing w:val="-7"/>
        </w:rPr>
        <w:t> </w:t>
      </w:r>
      <w:r>
        <w:rPr/>
        <w:t>aprobación</w:t>
      </w:r>
      <w:r>
        <w:rPr>
          <w:spacing w:val="-9"/>
        </w:rPr>
        <w:t> </w:t>
      </w:r>
      <w:r>
        <w:rPr/>
        <w:t>de</w:t>
      </w:r>
      <w:r>
        <w:rPr>
          <w:spacing w:val="-7"/>
        </w:rPr>
        <w:t> </w:t>
      </w:r>
      <w:r>
        <w:rPr/>
        <w:t>préstamos</w:t>
      </w:r>
      <w:r>
        <w:rPr>
          <w:spacing w:val="-6"/>
        </w:rPr>
        <w:t> </w:t>
      </w:r>
      <w:r>
        <w:rPr/>
        <w:t>plurianuales para</w:t>
      </w:r>
      <w:r>
        <w:rPr>
          <w:spacing w:val="-10"/>
        </w:rPr>
        <w:t> </w:t>
      </w:r>
      <w:r>
        <w:rPr/>
        <w:t>educación,</w:t>
      </w:r>
      <w:r>
        <w:rPr>
          <w:spacing w:val="-10"/>
        </w:rPr>
        <w:t> </w:t>
      </w:r>
      <w:r>
        <w:rPr/>
        <w:t>salud,</w:t>
      </w:r>
      <w:r>
        <w:rPr>
          <w:spacing w:val="-10"/>
        </w:rPr>
        <w:t> </w:t>
      </w:r>
      <w:r>
        <w:rPr/>
        <w:t>seguridad</w:t>
      </w:r>
      <w:r>
        <w:rPr>
          <w:spacing w:val="-7"/>
        </w:rPr>
        <w:t> </w:t>
      </w:r>
      <w:r>
        <w:rPr/>
        <w:t>alimentaria,</w:t>
      </w:r>
      <w:r>
        <w:rPr>
          <w:spacing w:val="-10"/>
        </w:rPr>
        <w:t> </w:t>
      </w:r>
      <w:r>
        <w:rPr/>
        <w:t>justicia,</w:t>
      </w:r>
      <w:r>
        <w:rPr>
          <w:spacing w:val="-9"/>
        </w:rPr>
        <w:t> </w:t>
      </w:r>
      <w:r>
        <w:rPr/>
        <w:t>infraestructura</w:t>
      </w:r>
      <w:r>
        <w:rPr>
          <w:spacing w:val="-7"/>
        </w:rPr>
        <w:t> </w:t>
      </w:r>
      <w:r>
        <w:rPr/>
        <w:t>y</w:t>
      </w:r>
      <w:r>
        <w:rPr>
          <w:spacing w:val="-10"/>
        </w:rPr>
        <w:t> </w:t>
      </w:r>
      <w:r>
        <w:rPr/>
        <w:t>agua</w:t>
      </w:r>
      <w:r>
        <w:rPr>
          <w:spacing w:val="-8"/>
        </w:rPr>
        <w:t> </w:t>
      </w:r>
      <w:r>
        <w:rPr/>
        <w:t>y</w:t>
      </w:r>
      <w:r>
        <w:rPr>
          <w:spacing w:val="-10"/>
        </w:rPr>
        <w:t> </w:t>
      </w:r>
      <w:r>
        <w:rPr/>
        <w:t>saneamiento</w:t>
      </w:r>
      <w:r>
        <w:rPr>
          <w:spacing w:val="-10"/>
        </w:rPr>
        <w:t> </w:t>
      </w:r>
      <w:r>
        <w:rPr/>
        <w:t>facilitaría la incorporación de estas prioridades en un marco presupuestario de mediano</w:t>
      </w:r>
      <w:r>
        <w:rPr>
          <w:spacing w:val="-9"/>
        </w:rPr>
        <w:t> </w:t>
      </w:r>
      <w:r>
        <w:rPr/>
        <w:t>plazo.</w:t>
      </w:r>
    </w:p>
    <w:p>
      <w:pPr>
        <w:pStyle w:val="BodyText"/>
        <w:spacing w:before="2"/>
        <w:rPr>
          <w:sz w:val="25"/>
        </w:rPr>
      </w:pPr>
    </w:p>
    <w:p>
      <w:pPr>
        <w:pStyle w:val="BodyText"/>
        <w:spacing w:line="276" w:lineRule="auto"/>
        <w:ind w:left="562" w:right="1697"/>
        <w:jc w:val="both"/>
      </w:pPr>
      <w:r>
        <w:rPr/>
        <w:pict>
          <v:group style="position:absolute;margin-left:79.223999pt;margin-top:116.709534pt;width:453.7pt;height:304.05pt;mso-position-horizontal-relative:page;mso-position-vertical-relative:paragraph;z-index:-280250368" coordorigin="1584,2334" coordsize="9074,6081">
            <v:rect style="position:absolute;left:1594;top:2343;width:9055;height:339" filled="true" fillcolor="#deeaf6" stroked="false">
              <v:fill type="solid"/>
            </v:rect>
            <v:line style="position:absolute" from="1594,2339" to="10648,2339" stroked="true" strokeweight=".48pt" strokecolor="#000000">
              <v:stroke dashstyle="solid"/>
            </v:line>
            <v:shape style="position:absolute;left:1594;top:2682;width:9055;height:5723" coordorigin="1594,2683" coordsize="9055,5723" path="m10648,8122l1594,8122,1594,8405,10648,8405,10648,8122m10648,6120l1594,6120,1594,6281,1594,6281,1594,8122,10648,8122,10648,6281,10648,6281,10648,6120m10648,5856l1594,5856,1594,6120,10648,6120,10648,5856m10648,5327l1594,5327,1594,5591,1594,5855,10648,5855,10648,5591,10648,5327m10648,4269l1594,4269,1594,4533,1594,4797,1594,5063,1594,5327,10648,5327,10648,5063,10648,4797,10648,4533,10648,4269m10648,2947l1594,2947,1594,3211,1594,3475,1594,3741,1594,4005,1594,4269,10648,4269,10648,4005,10648,3741,10648,3475,10648,3211,10648,2947m10648,2683l1594,2683,1594,2947,10648,2947,10648,2683e" filled="true" fillcolor="#deeaf6" stroked="false">
              <v:path arrowok="t"/>
              <v:fill type="solid"/>
            </v:shape>
            <v:line style="position:absolute" from="1594,8410" to="10648,8410" stroked="true" strokeweight=".48pt" strokecolor="#000000">
              <v:stroke dashstyle="solid"/>
            </v:line>
            <v:line style="position:absolute" from="1589,2334" to="1589,8414" stroked="true" strokeweight=".48pt" strokecolor="#000000">
              <v:stroke dashstyle="solid"/>
            </v:line>
            <v:line style="position:absolute" from="10653,2334" to="10653,8414" stroked="true" strokeweight=".48pt" strokecolor="#000000">
              <v:stroke dashstyle="solid"/>
            </v:line>
            <v:shape style="position:absolute;left:1584;top:2334;width:9074;height:6081" type="#_x0000_t202" filled="false" stroked="false">
              <v:textbox inset="0,0,0,0">
                <w:txbxContent>
                  <w:p>
                    <w:pPr>
                      <w:spacing w:before="28"/>
                      <w:ind w:left="117" w:right="0" w:firstLine="0"/>
                      <w:jc w:val="both"/>
                      <w:rPr>
                        <w:b/>
                        <w:sz w:val="24"/>
                      </w:rPr>
                    </w:pPr>
                    <w:r>
                      <w:rPr>
                        <w:b/>
                        <w:sz w:val="24"/>
                      </w:rPr>
                      <w:t>Perspectivas de entes internacionales</w:t>
                    </w:r>
                  </w:p>
                  <w:p>
                    <w:pPr>
                      <w:spacing w:line="240" w:lineRule="auto" w:before="5"/>
                      <w:rPr>
                        <w:b/>
                        <w:sz w:val="26"/>
                      </w:rPr>
                    </w:pPr>
                  </w:p>
                  <w:p>
                    <w:pPr>
                      <w:spacing w:line="276" w:lineRule="auto" w:before="0"/>
                      <w:ind w:left="117" w:right="120" w:firstLine="0"/>
                      <w:jc w:val="both"/>
                      <w:rPr>
                        <w:sz w:val="20"/>
                      </w:rPr>
                    </w:pPr>
                    <w:r>
                      <w:rPr>
                        <w:sz w:val="20"/>
                      </w:rPr>
                      <w:t>Merece especial atención las observaciones del Fondo Monetario Internacional luego de su visita a Guatemala en</w:t>
                    </w:r>
                    <w:r>
                      <w:rPr>
                        <w:spacing w:val="-8"/>
                        <w:sz w:val="20"/>
                      </w:rPr>
                      <w:t> </w:t>
                    </w:r>
                    <w:r>
                      <w:rPr>
                        <w:sz w:val="20"/>
                      </w:rPr>
                      <w:t>atención</w:t>
                    </w:r>
                    <w:r>
                      <w:rPr>
                        <w:spacing w:val="-8"/>
                        <w:sz w:val="20"/>
                      </w:rPr>
                      <w:t> </w:t>
                    </w:r>
                    <w:r>
                      <w:rPr>
                        <w:sz w:val="20"/>
                      </w:rPr>
                      <w:t>al</w:t>
                    </w:r>
                    <w:r>
                      <w:rPr>
                        <w:spacing w:val="-6"/>
                        <w:sz w:val="20"/>
                      </w:rPr>
                      <w:t> </w:t>
                    </w:r>
                    <w:r>
                      <w:rPr>
                        <w:sz w:val="20"/>
                      </w:rPr>
                      <w:t>artículo</w:t>
                    </w:r>
                    <w:r>
                      <w:rPr>
                        <w:spacing w:val="-6"/>
                        <w:sz w:val="20"/>
                      </w:rPr>
                      <w:t> </w:t>
                    </w:r>
                    <w:r>
                      <w:rPr>
                        <w:sz w:val="20"/>
                      </w:rPr>
                      <w:t>IV,</w:t>
                    </w:r>
                    <w:r>
                      <w:rPr>
                        <w:spacing w:val="-5"/>
                        <w:sz w:val="20"/>
                      </w:rPr>
                      <w:t> </w:t>
                    </w:r>
                    <w:r>
                      <w:rPr>
                        <w:sz w:val="20"/>
                      </w:rPr>
                      <w:t>al</w:t>
                    </w:r>
                    <w:r>
                      <w:rPr>
                        <w:spacing w:val="-5"/>
                        <w:sz w:val="20"/>
                      </w:rPr>
                      <w:t> </w:t>
                    </w:r>
                    <w:r>
                      <w:rPr>
                        <w:sz w:val="20"/>
                      </w:rPr>
                      <w:t>respecto</w:t>
                    </w:r>
                    <w:r>
                      <w:rPr>
                        <w:spacing w:val="-6"/>
                        <w:sz w:val="20"/>
                      </w:rPr>
                      <w:t> </w:t>
                    </w:r>
                    <w:r>
                      <w:rPr>
                        <w:sz w:val="20"/>
                      </w:rPr>
                      <w:t>se</w:t>
                    </w:r>
                    <w:r>
                      <w:rPr>
                        <w:spacing w:val="-5"/>
                        <w:sz w:val="20"/>
                      </w:rPr>
                      <w:t> </w:t>
                    </w:r>
                    <w:r>
                      <w:rPr>
                        <w:sz w:val="20"/>
                      </w:rPr>
                      <w:t>comentó</w:t>
                    </w:r>
                    <w:r>
                      <w:rPr>
                        <w:spacing w:val="-6"/>
                        <w:sz w:val="20"/>
                      </w:rPr>
                      <w:t> </w:t>
                    </w:r>
                    <w:r>
                      <w:rPr>
                        <w:sz w:val="20"/>
                      </w:rPr>
                      <w:t>que</w:t>
                    </w:r>
                    <w:r>
                      <w:rPr>
                        <w:spacing w:val="-3"/>
                        <w:sz w:val="20"/>
                      </w:rPr>
                      <w:t> </w:t>
                    </w:r>
                    <w:r>
                      <w:rPr>
                        <w:sz w:val="20"/>
                      </w:rPr>
                      <w:t>las</w:t>
                    </w:r>
                    <w:r>
                      <w:rPr>
                        <w:spacing w:val="-7"/>
                        <w:sz w:val="20"/>
                      </w:rPr>
                      <w:t> </w:t>
                    </w:r>
                    <w:r>
                      <w:rPr>
                        <w:sz w:val="20"/>
                      </w:rPr>
                      <w:t>perspectivas</w:t>
                    </w:r>
                    <w:r>
                      <w:rPr>
                        <w:spacing w:val="-5"/>
                        <w:sz w:val="20"/>
                      </w:rPr>
                      <w:t> </w:t>
                    </w:r>
                    <w:r>
                      <w:rPr>
                        <w:sz w:val="20"/>
                      </w:rPr>
                      <w:t>de</w:t>
                    </w:r>
                    <w:r>
                      <w:rPr>
                        <w:spacing w:val="-5"/>
                        <w:sz w:val="20"/>
                      </w:rPr>
                      <w:t> </w:t>
                    </w:r>
                    <w:r>
                      <w:rPr>
                        <w:sz w:val="20"/>
                      </w:rPr>
                      <w:t>Guatemala</w:t>
                    </w:r>
                    <w:r>
                      <w:rPr>
                        <w:spacing w:val="-7"/>
                        <w:sz w:val="20"/>
                      </w:rPr>
                      <w:t> </w:t>
                    </w:r>
                    <w:r>
                      <w:rPr>
                        <w:sz w:val="20"/>
                      </w:rPr>
                      <w:t>siguen</w:t>
                    </w:r>
                    <w:r>
                      <w:rPr>
                        <w:spacing w:val="-4"/>
                        <w:sz w:val="20"/>
                      </w:rPr>
                      <w:t> </w:t>
                    </w:r>
                    <w:r>
                      <w:rPr>
                        <w:sz w:val="20"/>
                      </w:rPr>
                      <w:t>siendo</w:t>
                    </w:r>
                    <w:r>
                      <w:rPr>
                        <w:spacing w:val="-6"/>
                        <w:sz w:val="20"/>
                      </w:rPr>
                      <w:t> </w:t>
                    </w:r>
                    <w:r>
                      <w:rPr>
                        <w:sz w:val="20"/>
                      </w:rPr>
                      <w:t>positivas,</w:t>
                    </w:r>
                    <w:r>
                      <w:rPr>
                        <w:spacing w:val="-4"/>
                        <w:sz w:val="20"/>
                      </w:rPr>
                      <w:t> </w:t>
                    </w:r>
                    <w:r>
                      <w:rPr>
                        <w:sz w:val="20"/>
                      </w:rPr>
                      <w:t>la orientación de la política fiscal es correcta y debe conservar su agilidad para mantener segmentos vulnerables de la población a resguardo de alzas en los precios. Se reconoce que tanto la política fiscal como monetaria apoyaron el proceso de recuperación posterior a la pandemia y el crecimiento económico ha sido resiliente desde el inicio de la pandemia, así como que la larga y muy prudente política fiscal ha coadyuvado a la estabilidad macroeconómica. Entre los riesgos destacaron que puede persistir la interrupción en las cadenas</w:t>
                    </w:r>
                    <w:r>
                      <w:rPr>
                        <w:spacing w:val="-32"/>
                        <w:sz w:val="20"/>
                      </w:rPr>
                      <w:t> </w:t>
                    </w:r>
                    <w:r>
                      <w:rPr>
                        <w:sz w:val="20"/>
                      </w:rPr>
                      <w:t>de suministro, con un consecuente aumento de precios y el surgimiento de nuevas variantes de</w:t>
                    </w:r>
                    <w:r>
                      <w:rPr>
                        <w:spacing w:val="-17"/>
                        <w:sz w:val="20"/>
                      </w:rPr>
                      <w:t> </w:t>
                    </w:r>
                    <w:r>
                      <w:rPr>
                        <w:sz w:val="20"/>
                      </w:rPr>
                      <w:t>COVID-19.</w:t>
                    </w:r>
                  </w:p>
                  <w:p>
                    <w:pPr>
                      <w:spacing w:line="240" w:lineRule="auto" w:before="0"/>
                      <w:rPr>
                        <w:sz w:val="23"/>
                      </w:rPr>
                    </w:pPr>
                  </w:p>
                  <w:p>
                    <w:pPr>
                      <w:spacing w:line="276" w:lineRule="auto" w:before="0"/>
                      <w:ind w:left="117" w:right="119" w:firstLine="0"/>
                      <w:jc w:val="both"/>
                      <w:rPr>
                        <w:sz w:val="20"/>
                      </w:rPr>
                    </w:pPr>
                    <w:r>
                      <w:rPr>
                        <w:sz w:val="20"/>
                      </w:rPr>
                      <w:t>En cuanto a las calificadoras de riesgo, Standard and Poor’s y Fitch mantuvieron la calificación en BB- pero mejoraron la perspectiva de riesgo país para Guatemala de estable a positiva, por su parte, Moody’s mantuvo la calificación, pero mejoró la perspectiva de negativa a estable.</w:t>
                    </w:r>
                  </w:p>
                </w:txbxContent>
              </v:textbox>
              <w10:wrap type="none"/>
            </v:shape>
            <w10:wrap type="none"/>
          </v:group>
        </w:pict>
      </w:r>
      <w:r>
        <w:rPr/>
        <w:t>Por último, cabe destacar que la orientación del gasto público, también está determinada por las rigideces presupuestarias originadas principalmente por las asignaciones establecidas por mandato constitucional, las que devienen de leyes ordinarias como el destino específico que consideran la normativa</w:t>
      </w:r>
      <w:r>
        <w:rPr>
          <w:spacing w:val="-14"/>
        </w:rPr>
        <w:t> </w:t>
      </w:r>
      <w:r>
        <w:rPr/>
        <w:t>de</w:t>
      </w:r>
      <w:r>
        <w:rPr>
          <w:spacing w:val="-15"/>
        </w:rPr>
        <w:t> </w:t>
      </w:r>
      <w:r>
        <w:rPr/>
        <w:t>algunos</w:t>
      </w:r>
      <w:r>
        <w:rPr>
          <w:spacing w:val="-16"/>
        </w:rPr>
        <w:t> </w:t>
      </w:r>
      <w:r>
        <w:rPr/>
        <w:t>impuestos,</w:t>
      </w:r>
      <w:r>
        <w:rPr>
          <w:spacing w:val="-15"/>
        </w:rPr>
        <w:t> </w:t>
      </w:r>
      <w:r>
        <w:rPr/>
        <w:t>las</w:t>
      </w:r>
      <w:r>
        <w:rPr>
          <w:spacing w:val="-16"/>
        </w:rPr>
        <w:t> </w:t>
      </w:r>
      <w:r>
        <w:rPr/>
        <w:t>aportaciones</w:t>
      </w:r>
      <w:r>
        <w:rPr>
          <w:spacing w:val="-15"/>
        </w:rPr>
        <w:t> </w:t>
      </w:r>
      <w:r>
        <w:rPr/>
        <w:t>que</w:t>
      </w:r>
      <w:r>
        <w:rPr>
          <w:spacing w:val="-16"/>
        </w:rPr>
        <w:t> </w:t>
      </w:r>
      <w:r>
        <w:rPr/>
        <w:t>se</w:t>
      </w:r>
      <w:r>
        <w:rPr>
          <w:spacing w:val="-13"/>
        </w:rPr>
        <w:t> </w:t>
      </w:r>
      <w:r>
        <w:rPr/>
        <w:t>instituyen</w:t>
      </w:r>
      <w:r>
        <w:rPr>
          <w:spacing w:val="-14"/>
        </w:rPr>
        <w:t> </w:t>
      </w:r>
      <w:r>
        <w:rPr/>
        <w:t>de</w:t>
      </w:r>
      <w:r>
        <w:rPr>
          <w:spacing w:val="-13"/>
        </w:rPr>
        <w:t> </w:t>
      </w:r>
      <w:r>
        <w:rPr/>
        <w:t>las</w:t>
      </w:r>
      <w:r>
        <w:rPr>
          <w:spacing w:val="-16"/>
        </w:rPr>
        <w:t> </w:t>
      </w:r>
      <w:r>
        <w:rPr/>
        <w:t>leyes</w:t>
      </w:r>
      <w:r>
        <w:rPr>
          <w:spacing w:val="-13"/>
        </w:rPr>
        <w:t> </w:t>
      </w:r>
      <w:r>
        <w:rPr/>
        <w:t>orgánicas</w:t>
      </w:r>
      <w:r>
        <w:rPr>
          <w:spacing w:val="-14"/>
        </w:rPr>
        <w:t> </w:t>
      </w:r>
      <w:r>
        <w:rPr/>
        <w:t>de</w:t>
      </w:r>
      <w:r>
        <w:rPr>
          <w:spacing w:val="-13"/>
        </w:rPr>
        <w:t> </w:t>
      </w:r>
      <w:r>
        <w:rPr/>
        <w:t>entidades descentralizadas y autónomas, así como la asignación de la nómina estatal, el pago de pensiones y jubilaciones, el servicio de la deuda pública interna y externa y otros compromisos de carácter ineludible, que limitan en cierto sentido el margen de maniobra de la política</w:t>
      </w:r>
      <w:r>
        <w:rPr>
          <w:spacing w:val="-20"/>
        </w:rPr>
        <w:t> </w:t>
      </w:r>
      <w:r>
        <w:rPr/>
        <w:t>fiscal.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p>
    <w:tbl>
      <w:tblPr>
        <w:tblW w:w="0" w:type="auto"/>
        <w:jc w:val="left"/>
        <w:tblInd w:w="2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0"/>
        <w:gridCol w:w="1630"/>
        <w:gridCol w:w="1634"/>
      </w:tblGrid>
      <w:tr>
        <w:trPr>
          <w:trHeight w:val="158" w:hRule="atLeast"/>
        </w:trPr>
        <w:tc>
          <w:tcPr>
            <w:tcW w:w="4894" w:type="dxa"/>
            <w:gridSpan w:val="3"/>
            <w:tcBorders>
              <w:bottom w:val="single" w:sz="8" w:space="0" w:color="000000"/>
              <w:right w:val="single" w:sz="8" w:space="0" w:color="000000"/>
            </w:tcBorders>
            <w:shd w:val="clear" w:color="auto" w:fill="1F4E78"/>
          </w:tcPr>
          <w:p>
            <w:pPr>
              <w:pStyle w:val="TableParagraph"/>
              <w:spacing w:line="132" w:lineRule="exact" w:before="6"/>
              <w:ind w:left="1601" w:right="1583"/>
              <w:jc w:val="center"/>
              <w:rPr>
                <w:b/>
                <w:sz w:val="13"/>
              </w:rPr>
            </w:pPr>
            <w:r>
              <w:rPr>
                <w:b/>
                <w:color w:val="FFFFFF"/>
                <w:w w:val="110"/>
                <w:sz w:val="13"/>
              </w:rPr>
              <w:t>Calificación de Riesgo País</w:t>
            </w:r>
          </w:p>
        </w:tc>
      </w:tr>
      <w:tr>
        <w:trPr>
          <w:trHeight w:val="157" w:hRule="atLeast"/>
        </w:trPr>
        <w:tc>
          <w:tcPr>
            <w:tcW w:w="1630" w:type="dxa"/>
            <w:tcBorders>
              <w:top w:val="single" w:sz="8" w:space="0" w:color="000000"/>
              <w:right w:val="single" w:sz="12" w:space="0" w:color="000000"/>
            </w:tcBorders>
            <w:shd w:val="clear" w:color="auto" w:fill="2E75B5"/>
          </w:tcPr>
          <w:p>
            <w:pPr>
              <w:pStyle w:val="TableParagraph"/>
              <w:spacing w:line="133" w:lineRule="exact" w:before="5"/>
              <w:ind w:left="26"/>
              <w:jc w:val="center"/>
              <w:rPr>
                <w:b/>
                <w:sz w:val="13"/>
              </w:rPr>
            </w:pPr>
            <w:r>
              <w:rPr>
                <w:b/>
                <w:color w:val="FFFFFF"/>
                <w:w w:val="110"/>
                <w:sz w:val="13"/>
              </w:rPr>
              <w:t>Fitch</w:t>
            </w:r>
          </w:p>
        </w:tc>
        <w:tc>
          <w:tcPr>
            <w:tcW w:w="1630" w:type="dxa"/>
            <w:tcBorders>
              <w:top w:val="single" w:sz="8" w:space="0" w:color="000000"/>
              <w:left w:val="single" w:sz="12" w:space="0" w:color="000000"/>
              <w:right w:val="single" w:sz="12" w:space="0" w:color="000000"/>
            </w:tcBorders>
            <w:shd w:val="clear" w:color="auto" w:fill="2E75B5"/>
          </w:tcPr>
          <w:p>
            <w:pPr>
              <w:pStyle w:val="TableParagraph"/>
              <w:spacing w:line="133" w:lineRule="exact" w:before="5"/>
              <w:ind w:left="1"/>
              <w:jc w:val="center"/>
              <w:rPr>
                <w:b/>
                <w:sz w:val="13"/>
              </w:rPr>
            </w:pPr>
            <w:r>
              <w:rPr>
                <w:b/>
                <w:color w:val="FFFFFF"/>
                <w:w w:val="110"/>
                <w:sz w:val="13"/>
              </w:rPr>
              <w:t>Moody's</w:t>
            </w:r>
          </w:p>
        </w:tc>
        <w:tc>
          <w:tcPr>
            <w:tcW w:w="1634" w:type="dxa"/>
            <w:tcBorders>
              <w:top w:val="single" w:sz="8" w:space="0" w:color="000000"/>
              <w:left w:val="single" w:sz="12" w:space="0" w:color="000000"/>
              <w:right w:val="single" w:sz="8" w:space="0" w:color="000000"/>
            </w:tcBorders>
            <w:shd w:val="clear" w:color="auto" w:fill="2E75B5"/>
          </w:tcPr>
          <w:p>
            <w:pPr>
              <w:pStyle w:val="TableParagraph"/>
              <w:spacing w:line="133" w:lineRule="exact" w:before="5"/>
              <w:ind w:left="24"/>
              <w:jc w:val="center"/>
              <w:rPr>
                <w:b/>
                <w:sz w:val="13"/>
              </w:rPr>
            </w:pPr>
            <w:r>
              <w:rPr>
                <w:b/>
                <w:color w:val="FFFFFF"/>
                <w:w w:val="110"/>
                <w:sz w:val="13"/>
              </w:rPr>
              <w:t>S&amp;P</w:t>
            </w:r>
          </w:p>
        </w:tc>
      </w:tr>
      <w:tr>
        <w:trPr>
          <w:trHeight w:val="158" w:hRule="atLeast"/>
        </w:trPr>
        <w:tc>
          <w:tcPr>
            <w:tcW w:w="1630" w:type="dxa"/>
            <w:tcBorders>
              <w:right w:val="single" w:sz="12" w:space="0" w:color="000000"/>
            </w:tcBorders>
            <w:shd w:val="clear" w:color="auto" w:fill="2E75B5"/>
          </w:tcPr>
          <w:p>
            <w:pPr>
              <w:pStyle w:val="TableParagraph"/>
              <w:tabs>
                <w:tab w:pos="956" w:val="left" w:leader="none"/>
              </w:tabs>
              <w:spacing w:line="133" w:lineRule="exact" w:before="6"/>
              <w:ind w:left="27"/>
              <w:jc w:val="center"/>
              <w:rPr>
                <w:b/>
                <w:sz w:val="13"/>
              </w:rPr>
            </w:pPr>
            <w:r>
              <w:rPr>
                <w:b/>
                <w:color w:val="FFFFFF"/>
                <w:w w:val="110"/>
                <w:sz w:val="13"/>
              </w:rPr>
              <w:t>2021</w:t>
              <w:tab/>
              <w:t>2022</w:t>
            </w:r>
          </w:p>
        </w:tc>
        <w:tc>
          <w:tcPr>
            <w:tcW w:w="1630" w:type="dxa"/>
            <w:tcBorders>
              <w:left w:val="single" w:sz="12" w:space="0" w:color="000000"/>
              <w:bottom w:val="nil"/>
              <w:right w:val="single" w:sz="12" w:space="0" w:color="000000"/>
            </w:tcBorders>
            <w:shd w:val="clear" w:color="auto" w:fill="2E75B5"/>
          </w:tcPr>
          <w:p>
            <w:pPr>
              <w:pStyle w:val="TableParagraph"/>
              <w:tabs>
                <w:tab w:pos="946" w:val="left" w:leader="none"/>
              </w:tabs>
              <w:spacing w:line="133" w:lineRule="exact" w:before="6"/>
              <w:ind w:left="17"/>
              <w:jc w:val="center"/>
              <w:rPr>
                <w:b/>
                <w:sz w:val="13"/>
              </w:rPr>
            </w:pPr>
            <w:r>
              <w:rPr>
                <w:b/>
                <w:color w:val="FFFFFF"/>
                <w:w w:val="110"/>
                <w:sz w:val="13"/>
              </w:rPr>
              <w:t>2021</w:t>
              <w:tab/>
              <w:t>2022</w:t>
            </w:r>
          </w:p>
        </w:tc>
        <w:tc>
          <w:tcPr>
            <w:tcW w:w="1634" w:type="dxa"/>
            <w:tcBorders>
              <w:left w:val="single" w:sz="12" w:space="0" w:color="000000"/>
              <w:bottom w:val="nil"/>
              <w:right w:val="single" w:sz="8" w:space="0" w:color="000000"/>
            </w:tcBorders>
            <w:shd w:val="clear" w:color="auto" w:fill="2E75B5"/>
          </w:tcPr>
          <w:p>
            <w:pPr>
              <w:pStyle w:val="TableParagraph"/>
              <w:tabs>
                <w:tab w:pos="955" w:val="left" w:leader="none"/>
              </w:tabs>
              <w:spacing w:line="133" w:lineRule="exact" w:before="6"/>
              <w:ind w:left="17"/>
              <w:jc w:val="center"/>
              <w:rPr>
                <w:b/>
                <w:sz w:val="13"/>
              </w:rPr>
            </w:pPr>
            <w:r>
              <w:rPr>
                <w:b/>
                <w:color w:val="FFFFFF"/>
                <w:w w:val="110"/>
                <w:sz w:val="13"/>
              </w:rPr>
              <w:t>2021</w:t>
              <w:tab/>
              <w:t>2022</w:t>
            </w:r>
          </w:p>
        </w:tc>
      </w:tr>
      <w:tr>
        <w:trPr>
          <w:trHeight w:val="455" w:hRule="atLeast"/>
        </w:trPr>
        <w:tc>
          <w:tcPr>
            <w:tcW w:w="1630" w:type="dxa"/>
            <w:tcBorders>
              <w:bottom w:val="single" w:sz="8" w:space="0" w:color="000000"/>
              <w:right w:val="single" w:sz="12" w:space="0" w:color="000000"/>
            </w:tcBorders>
            <w:shd w:val="clear" w:color="auto" w:fill="DEEAF6"/>
          </w:tcPr>
          <w:p>
            <w:pPr>
              <w:pStyle w:val="TableParagraph"/>
              <w:spacing w:before="6"/>
              <w:rPr>
                <w:sz w:val="13"/>
              </w:rPr>
            </w:pPr>
          </w:p>
          <w:p>
            <w:pPr>
              <w:pStyle w:val="TableParagraph"/>
              <w:tabs>
                <w:tab w:pos="527" w:val="left" w:leader="none"/>
                <w:tab w:pos="956" w:val="left" w:leader="none"/>
              </w:tabs>
              <w:ind w:left="27"/>
              <w:jc w:val="center"/>
              <w:rPr>
                <w:b/>
                <w:sz w:val="12"/>
              </w:rPr>
            </w:pPr>
            <w:r>
              <w:rPr>
                <w:b/>
                <w:spacing w:val="5"/>
                <w:w w:val="110"/>
                <w:sz w:val="12"/>
              </w:rPr>
              <w:t>BB-</w:t>
              <w:tab/>
            </w:r>
            <w:r>
              <w:rPr>
                <w:rFonts w:ascii="Calibri" w:hAnsi="Calibri"/>
                <w:b/>
                <w:w w:val="110"/>
                <w:position w:val="1"/>
                <w:sz w:val="12"/>
              </w:rPr>
              <w:t>↔</w:t>
              <w:tab/>
            </w:r>
            <w:r>
              <w:rPr>
                <w:b/>
                <w:spacing w:val="8"/>
                <w:w w:val="110"/>
                <w:sz w:val="12"/>
              </w:rPr>
              <w:t>BB-</w:t>
            </w:r>
          </w:p>
        </w:tc>
        <w:tc>
          <w:tcPr>
            <w:tcW w:w="1630" w:type="dxa"/>
            <w:tcBorders>
              <w:top w:val="nil"/>
              <w:left w:val="single" w:sz="12" w:space="0" w:color="000000"/>
              <w:bottom w:val="single" w:sz="8" w:space="0" w:color="000000"/>
              <w:right w:val="single" w:sz="12" w:space="0" w:color="000000"/>
            </w:tcBorders>
            <w:shd w:val="clear" w:color="auto" w:fill="DEEAF6"/>
          </w:tcPr>
          <w:p>
            <w:pPr>
              <w:pStyle w:val="TableParagraph"/>
              <w:spacing w:before="6"/>
              <w:rPr>
                <w:sz w:val="13"/>
              </w:rPr>
            </w:pPr>
          </w:p>
          <w:p>
            <w:pPr>
              <w:pStyle w:val="TableParagraph"/>
              <w:tabs>
                <w:tab w:pos="504" w:val="left" w:leader="none"/>
                <w:tab w:pos="942" w:val="left" w:leader="none"/>
              </w:tabs>
              <w:ind w:left="13"/>
              <w:jc w:val="center"/>
              <w:rPr>
                <w:b/>
                <w:sz w:val="12"/>
              </w:rPr>
            </w:pPr>
            <w:r>
              <w:rPr>
                <w:b/>
                <w:w w:val="110"/>
                <w:sz w:val="12"/>
              </w:rPr>
              <w:t>Ba1</w:t>
              <w:tab/>
            </w:r>
            <w:r>
              <w:rPr>
                <w:rFonts w:ascii="Calibri" w:hAnsi="Calibri"/>
                <w:b/>
                <w:w w:val="110"/>
                <w:position w:val="1"/>
                <w:sz w:val="12"/>
              </w:rPr>
              <w:t>↔</w:t>
              <w:tab/>
            </w:r>
            <w:r>
              <w:rPr>
                <w:b/>
                <w:w w:val="110"/>
                <w:sz w:val="12"/>
              </w:rPr>
              <w:t>Ba1</w:t>
            </w:r>
          </w:p>
        </w:tc>
        <w:tc>
          <w:tcPr>
            <w:tcW w:w="1634" w:type="dxa"/>
            <w:tcBorders>
              <w:top w:val="nil"/>
              <w:left w:val="single" w:sz="12" w:space="0" w:color="000000"/>
              <w:bottom w:val="single" w:sz="8" w:space="0" w:color="000000"/>
              <w:right w:val="single" w:sz="8" w:space="0" w:color="000000"/>
            </w:tcBorders>
            <w:shd w:val="clear" w:color="auto" w:fill="DEEAF6"/>
          </w:tcPr>
          <w:p>
            <w:pPr>
              <w:pStyle w:val="TableParagraph"/>
              <w:spacing w:before="6"/>
              <w:rPr>
                <w:sz w:val="13"/>
              </w:rPr>
            </w:pPr>
          </w:p>
          <w:p>
            <w:pPr>
              <w:pStyle w:val="TableParagraph"/>
              <w:tabs>
                <w:tab w:pos="517" w:val="left" w:leader="none"/>
                <w:tab w:pos="955" w:val="left" w:leader="none"/>
              </w:tabs>
              <w:ind w:left="17"/>
              <w:jc w:val="center"/>
              <w:rPr>
                <w:b/>
                <w:sz w:val="12"/>
              </w:rPr>
            </w:pPr>
            <w:r>
              <w:rPr>
                <w:b/>
                <w:spacing w:val="5"/>
                <w:w w:val="110"/>
                <w:sz w:val="12"/>
              </w:rPr>
              <w:t>BB-</w:t>
              <w:tab/>
            </w:r>
            <w:r>
              <w:rPr>
                <w:rFonts w:ascii="Calibri" w:hAnsi="Calibri"/>
                <w:b/>
                <w:w w:val="110"/>
                <w:position w:val="1"/>
                <w:sz w:val="12"/>
              </w:rPr>
              <w:t>↔</w:t>
              <w:tab/>
            </w:r>
            <w:r>
              <w:rPr>
                <w:b/>
                <w:spacing w:val="8"/>
                <w:w w:val="110"/>
                <w:sz w:val="12"/>
              </w:rPr>
              <w:t>BB-</w:t>
            </w:r>
          </w:p>
        </w:tc>
      </w:tr>
      <w:tr>
        <w:trPr>
          <w:trHeight w:val="157" w:hRule="atLeast"/>
        </w:trPr>
        <w:tc>
          <w:tcPr>
            <w:tcW w:w="4894" w:type="dxa"/>
            <w:gridSpan w:val="3"/>
            <w:tcBorders>
              <w:top w:val="single" w:sz="8" w:space="0" w:color="000000"/>
              <w:bottom w:val="single" w:sz="8" w:space="0" w:color="000000"/>
              <w:right w:val="single" w:sz="8" w:space="0" w:color="000000"/>
            </w:tcBorders>
            <w:shd w:val="clear" w:color="auto" w:fill="1F4E78"/>
          </w:tcPr>
          <w:p>
            <w:pPr>
              <w:pStyle w:val="TableParagraph"/>
              <w:spacing w:line="131" w:lineRule="exact" w:before="5"/>
              <w:ind w:left="1601" w:right="1584"/>
              <w:jc w:val="center"/>
              <w:rPr>
                <w:b/>
                <w:sz w:val="13"/>
              </w:rPr>
            </w:pPr>
            <w:r>
              <w:rPr>
                <w:b/>
                <w:color w:val="FFFFFF"/>
                <w:w w:val="110"/>
                <w:sz w:val="13"/>
              </w:rPr>
              <w:t>Perspectiva de  Riesgo País</w:t>
            </w:r>
          </w:p>
        </w:tc>
      </w:tr>
      <w:tr>
        <w:trPr>
          <w:trHeight w:val="607" w:hRule="atLeast"/>
        </w:trPr>
        <w:tc>
          <w:tcPr>
            <w:tcW w:w="1630" w:type="dxa"/>
            <w:tcBorders>
              <w:top w:val="single" w:sz="8" w:space="0" w:color="000000"/>
              <w:bottom w:val="single" w:sz="8" w:space="0" w:color="000000"/>
              <w:right w:val="single" w:sz="12" w:space="0" w:color="000000"/>
            </w:tcBorders>
            <w:shd w:val="clear" w:color="auto" w:fill="DEEAF6"/>
          </w:tcPr>
          <w:p>
            <w:pPr>
              <w:pStyle w:val="TableParagraph"/>
              <w:tabs>
                <w:tab w:pos="1262" w:val="left" w:leader="none"/>
              </w:tabs>
              <w:ind w:left="38"/>
              <w:rPr>
                <w:sz w:val="20"/>
              </w:rPr>
            </w:pPr>
            <w:r>
              <w:rPr>
                <w:position w:val="24"/>
                <w:sz w:val="20"/>
              </w:rPr>
              <w:pict>
                <v:group style="width:30.2pt;height:4.850pt;mso-position-horizontal-relative:char;mso-position-vertical-relative:line" coordorigin="0,0" coordsize="604,97">
                  <v:shape style="position:absolute;left:0;top:0;width:604;height:97" coordorigin="0,0" coordsize="604,97" path="m105,0l0,48,105,96,105,64,87,64,87,32,105,32,105,0xm499,0l499,96,569,64,516,64,516,32,569,32,499,0xm105,32l87,32,87,64,105,64,105,32xm499,32l105,32,105,64,499,64,499,32xm569,32l516,32,516,64,569,64,604,48,569,32xe" filled="true" fillcolor="#4471c4" stroked="false">
                    <v:path arrowok="t"/>
                    <v:fill type="solid"/>
                  </v:shape>
                </v:group>
              </w:pict>
            </w:r>
            <w:r>
              <w:rPr>
                <w:position w:val="24"/>
                <w:sz w:val="20"/>
              </w:rPr>
            </w:r>
            <w:r>
              <w:rPr>
                <w:position w:val="24"/>
                <w:sz w:val="20"/>
              </w:rPr>
              <w:tab/>
            </w:r>
            <w:r>
              <w:rPr>
                <w:sz w:val="20"/>
              </w:rPr>
              <w:pict>
                <v:group style="width:5.25pt;height:28.05pt;mso-position-horizontal-relative:char;mso-position-vertical-relative:line" coordorigin="0,0" coordsize="105,561">
                  <v:shape style="position:absolute;left:0;top:0;width:105;height:561" coordorigin="0,0" coordsize="105,561" path="m35,96l28,561,63,561,70,96,35,96xm96,80l35,80,70,80,70,96,105,97,96,80xm35,80l35,96,70,96,70,80,35,80xm54,0l0,95,35,96,35,80,96,80,54,0xe" filled="true" fillcolor="#538235" stroked="false">
                    <v:path arrowok="t"/>
                    <v:fill type="solid"/>
                  </v:shape>
                </v:group>
              </w:pict>
            </w:r>
            <w:r>
              <w:rPr>
                <w:sz w:val="20"/>
              </w:rPr>
            </w:r>
          </w:p>
        </w:tc>
        <w:tc>
          <w:tcPr>
            <w:tcW w:w="1630" w:type="dxa"/>
            <w:tcBorders>
              <w:top w:val="single" w:sz="8" w:space="0" w:color="000000"/>
              <w:left w:val="single" w:sz="12" w:space="0" w:color="000000"/>
              <w:bottom w:val="single" w:sz="8" w:space="0" w:color="000000"/>
              <w:right w:val="single" w:sz="12" w:space="0" w:color="000000"/>
            </w:tcBorders>
            <w:shd w:val="clear" w:color="auto" w:fill="DEEAF6"/>
          </w:tcPr>
          <w:p>
            <w:pPr>
              <w:pStyle w:val="TableParagraph"/>
              <w:tabs>
                <w:tab w:pos="970" w:val="left" w:leader="none"/>
              </w:tabs>
              <w:ind w:left="297" w:right="-44"/>
              <w:rPr>
                <w:sz w:val="20"/>
              </w:rPr>
            </w:pPr>
            <w:r>
              <w:rPr>
                <w:sz w:val="20"/>
              </w:rPr>
              <w:pict>
                <v:group style="width:5.25pt;height:28.05pt;mso-position-horizontal-relative:char;mso-position-vertical-relative:line" coordorigin="0,0" coordsize="105,561">
                  <v:shape style="position:absolute;left:0;top:0;width:105;height:561" coordorigin="0,0" coordsize="105,561" path="m35,465l0,465,52,561,96,481,35,481,35,465xm70,0l35,0,35,481,70,481,70,0xm105,465l70,465,70,481,96,481,105,465xe" filled="true" fillcolor="#c00000" stroked="false">
                    <v:path arrowok="t"/>
                    <v:fill type="solid"/>
                  </v:shape>
                </v:group>
              </w:pict>
            </w:r>
            <w:r>
              <w:rPr>
                <w:sz w:val="20"/>
              </w:rPr>
            </w:r>
            <w:r>
              <w:rPr>
                <w:sz w:val="20"/>
              </w:rPr>
              <w:tab/>
            </w:r>
            <w:r>
              <w:rPr>
                <w:position w:val="23"/>
                <w:sz w:val="20"/>
              </w:rPr>
              <w:pict>
                <v:group style="width:30.2pt;height:4.850pt;mso-position-horizontal-relative:char;mso-position-vertical-relative:line" coordorigin="0,0" coordsize="604,97">
                  <v:shape style="position:absolute;left:0;top:0;width:604;height:97" coordorigin="0,0" coordsize="604,97" path="m105,0l0,48,105,96,105,64,87,64,87,32,105,32,105,0xm499,0l499,96,569,64,516,64,516,32,569,32,499,0xm105,32l87,32,87,64,105,64,105,32xm499,32l105,32,105,64,499,64,499,32xm569,32l516,32,516,64,569,64,604,48,569,32xe" filled="true" fillcolor="#4471c4" stroked="false">
                    <v:path arrowok="t"/>
                    <v:fill type="solid"/>
                  </v:shape>
                </v:group>
              </w:pict>
            </w:r>
            <w:r>
              <w:rPr>
                <w:position w:val="23"/>
                <w:sz w:val="20"/>
              </w:rPr>
            </w:r>
          </w:p>
        </w:tc>
        <w:tc>
          <w:tcPr>
            <w:tcW w:w="1634" w:type="dxa"/>
            <w:tcBorders>
              <w:top w:val="single" w:sz="8" w:space="0" w:color="000000"/>
              <w:left w:val="single" w:sz="12" w:space="0" w:color="000000"/>
              <w:bottom w:val="single" w:sz="8" w:space="0" w:color="000000"/>
              <w:right w:val="single" w:sz="8" w:space="0" w:color="000000"/>
            </w:tcBorders>
            <w:shd w:val="clear" w:color="auto" w:fill="DEEAF6"/>
          </w:tcPr>
          <w:p>
            <w:pPr>
              <w:pStyle w:val="TableParagraph"/>
              <w:tabs>
                <w:tab w:pos="1220" w:val="left" w:leader="none"/>
              </w:tabs>
              <w:ind w:left="31"/>
              <w:rPr>
                <w:sz w:val="20"/>
              </w:rPr>
            </w:pPr>
            <w:r>
              <w:rPr>
                <w:position w:val="22"/>
                <w:sz w:val="20"/>
              </w:rPr>
              <w:pict>
                <v:group style="width:30.2pt;height:4.850pt;mso-position-horizontal-relative:char;mso-position-vertical-relative:line" coordorigin="0,0" coordsize="604,97">
                  <v:shape style="position:absolute;left:0;top:0;width:604;height:97" coordorigin="0,0" coordsize="604,97" path="m105,0l0,48,105,96,105,64,87,64,87,32,105,32,105,0xm499,0l499,96,569,64,516,64,516,32,569,32,499,0xm105,32l87,32,87,64,105,64,105,32xm499,32l105,32,105,64,499,64,499,32xm569,32l516,32,516,64,569,64,604,48,569,32xe" filled="true" fillcolor="#4471c4" stroked="false">
                    <v:path arrowok="t"/>
                    <v:fill type="solid"/>
                  </v:shape>
                </v:group>
              </w:pict>
            </w:r>
            <w:r>
              <w:rPr>
                <w:position w:val="22"/>
                <w:sz w:val="20"/>
              </w:rPr>
            </w:r>
            <w:r>
              <w:rPr>
                <w:position w:val="22"/>
                <w:sz w:val="20"/>
              </w:rPr>
              <w:tab/>
            </w:r>
            <w:r>
              <w:rPr>
                <w:sz w:val="20"/>
              </w:rPr>
              <w:pict>
                <v:group style="width:5.25pt;height:28.05pt;mso-position-horizontal-relative:char;mso-position-vertical-relative:line" coordorigin="0,0" coordsize="105,561">
                  <v:shape style="position:absolute;left:0;top:0;width:105;height:561" coordorigin="0,0" coordsize="105,561" path="m35,96l28,561,63,561,70,96,35,96xm96,80l35,80,70,80,70,96,105,97,96,80xm35,80l35,96,70,96,70,80,35,80xm54,0l0,95,35,96,35,80,96,80,54,0xe" filled="true" fillcolor="#538235" stroked="false">
                    <v:path arrowok="t"/>
                    <v:fill type="solid"/>
                  </v:shape>
                </v:group>
              </w:pict>
            </w:r>
            <w:r>
              <w:rPr>
                <w:sz w:val="20"/>
              </w:rPr>
            </w:r>
          </w:p>
        </w:tc>
      </w:tr>
    </w:tbl>
    <w:p>
      <w:pPr>
        <w:spacing w:after="0"/>
        <w:rPr>
          <w:sz w:val="20"/>
        </w:rPr>
        <w:sectPr>
          <w:pgSz w:w="12240" w:h="15840"/>
          <w:pgMar w:header="715" w:footer="957" w:top="1240" w:bottom="1140" w:left="1140" w:right="0"/>
        </w:sectPr>
      </w:pPr>
    </w:p>
    <w:p>
      <w:pPr>
        <w:pStyle w:val="BodyText"/>
        <w:spacing w:before="7"/>
        <w:rPr>
          <w:sz w:val="14"/>
        </w:rPr>
      </w:pPr>
    </w:p>
    <w:p>
      <w:pPr>
        <w:pStyle w:val="BodyText"/>
        <w:ind w:left="444"/>
        <w:rPr>
          <w:sz w:val="20"/>
        </w:rPr>
      </w:pPr>
      <w:r>
        <w:rPr>
          <w:sz w:val="20"/>
        </w:rPr>
        <w:pict>
          <v:shape style="width:453.2pt;height:308pt;mso-position-horizontal-relative:char;mso-position-vertical-relative:line" type="#_x0000_t202" filled="true" fillcolor="#deeaf6" stroked="true" strokeweight=".48pt" strokecolor="#000000">
            <w10:anchorlock/>
            <v:textbox inset="0,0,0,0">
              <w:txbxContent>
                <w:p>
                  <w:pPr>
                    <w:spacing w:before="121"/>
                    <w:ind w:left="107" w:right="0" w:firstLine="0"/>
                    <w:jc w:val="left"/>
                    <w:rPr>
                      <w:sz w:val="20"/>
                    </w:rPr>
                  </w:pPr>
                  <w:r>
                    <w:rPr>
                      <w:sz w:val="20"/>
                    </w:rPr>
                    <w:t>Las agencias mencionaron entre los elementos que incidieron en el cambio fueron:</w:t>
                  </w:r>
                </w:p>
                <w:p>
                  <w:pPr>
                    <w:pStyle w:val="BodyText"/>
                    <w:spacing w:before="1"/>
                    <w:rPr>
                      <w:sz w:val="26"/>
                    </w:rPr>
                  </w:pPr>
                </w:p>
                <w:p>
                  <w:pPr>
                    <w:numPr>
                      <w:ilvl w:val="0"/>
                      <w:numId w:val="29"/>
                    </w:numPr>
                    <w:tabs>
                      <w:tab w:pos="228" w:val="left" w:leader="none"/>
                    </w:tabs>
                    <w:spacing w:line="276" w:lineRule="auto" w:before="0"/>
                    <w:ind w:left="107" w:right="114" w:firstLine="0"/>
                    <w:jc w:val="both"/>
                    <w:rPr>
                      <w:sz w:val="20"/>
                    </w:rPr>
                  </w:pPr>
                  <w:r>
                    <w:rPr>
                      <w:sz w:val="20"/>
                    </w:rPr>
                    <w:t>La</w:t>
                  </w:r>
                  <w:r>
                    <w:rPr>
                      <w:spacing w:val="-3"/>
                      <w:sz w:val="20"/>
                    </w:rPr>
                    <w:t> </w:t>
                  </w:r>
                  <w:r>
                    <w:rPr>
                      <w:sz w:val="20"/>
                    </w:rPr>
                    <w:t>reducción</w:t>
                  </w:r>
                  <w:r>
                    <w:rPr>
                      <w:spacing w:val="-3"/>
                      <w:sz w:val="20"/>
                    </w:rPr>
                    <w:t> </w:t>
                  </w:r>
                  <w:r>
                    <w:rPr>
                      <w:sz w:val="20"/>
                    </w:rPr>
                    <w:t>el</w:t>
                  </w:r>
                  <w:r>
                    <w:rPr>
                      <w:spacing w:val="-3"/>
                      <w:sz w:val="20"/>
                    </w:rPr>
                    <w:t> </w:t>
                  </w:r>
                  <w:r>
                    <w:rPr>
                      <w:sz w:val="20"/>
                    </w:rPr>
                    <w:t>déficit</w:t>
                  </w:r>
                  <w:r>
                    <w:rPr>
                      <w:spacing w:val="-3"/>
                      <w:sz w:val="20"/>
                    </w:rPr>
                    <w:t> </w:t>
                  </w:r>
                  <w:r>
                    <w:rPr>
                      <w:sz w:val="20"/>
                    </w:rPr>
                    <w:t>fiscal</w:t>
                  </w:r>
                  <w:r>
                    <w:rPr>
                      <w:spacing w:val="-1"/>
                      <w:sz w:val="20"/>
                    </w:rPr>
                    <w:t> </w:t>
                  </w:r>
                  <w:r>
                    <w:rPr>
                      <w:sz w:val="20"/>
                    </w:rPr>
                    <w:t>considerablemente</w:t>
                  </w:r>
                  <w:r>
                    <w:rPr>
                      <w:spacing w:val="-2"/>
                      <w:sz w:val="20"/>
                    </w:rPr>
                    <w:t> </w:t>
                  </w:r>
                  <w:r>
                    <w:rPr>
                      <w:sz w:val="20"/>
                    </w:rPr>
                    <w:t>en</w:t>
                  </w:r>
                  <w:r>
                    <w:rPr>
                      <w:spacing w:val="-4"/>
                      <w:sz w:val="20"/>
                    </w:rPr>
                    <w:t> </w:t>
                  </w:r>
                  <w:r>
                    <w:rPr>
                      <w:sz w:val="20"/>
                    </w:rPr>
                    <w:t>2021</w:t>
                  </w:r>
                  <w:r>
                    <w:rPr>
                      <w:spacing w:val="-3"/>
                      <w:sz w:val="20"/>
                    </w:rPr>
                    <w:t> </w:t>
                  </w:r>
                  <w:r>
                    <w:rPr>
                      <w:sz w:val="20"/>
                    </w:rPr>
                    <w:t>y</w:t>
                  </w:r>
                  <w:r>
                    <w:rPr>
                      <w:spacing w:val="-7"/>
                      <w:sz w:val="20"/>
                    </w:rPr>
                    <w:t> </w:t>
                  </w:r>
                  <w:r>
                    <w:rPr>
                      <w:sz w:val="20"/>
                    </w:rPr>
                    <w:t>se</w:t>
                  </w:r>
                  <w:r>
                    <w:rPr>
                      <w:spacing w:val="-2"/>
                      <w:sz w:val="20"/>
                    </w:rPr>
                    <w:t> </w:t>
                  </w:r>
                  <w:r>
                    <w:rPr>
                      <w:sz w:val="20"/>
                    </w:rPr>
                    <w:t>espera</w:t>
                  </w:r>
                  <w:r>
                    <w:rPr>
                      <w:spacing w:val="-3"/>
                      <w:sz w:val="20"/>
                    </w:rPr>
                    <w:t> </w:t>
                  </w:r>
                  <w:r>
                    <w:rPr>
                      <w:sz w:val="20"/>
                    </w:rPr>
                    <w:t>inversión</w:t>
                  </w:r>
                  <w:r>
                    <w:rPr>
                      <w:spacing w:val="-3"/>
                      <w:sz w:val="20"/>
                    </w:rPr>
                    <w:t> </w:t>
                  </w:r>
                  <w:r>
                    <w:rPr>
                      <w:sz w:val="20"/>
                    </w:rPr>
                    <w:t>en</w:t>
                  </w:r>
                  <w:r>
                    <w:rPr>
                      <w:spacing w:val="-4"/>
                      <w:sz w:val="20"/>
                    </w:rPr>
                    <w:t> </w:t>
                  </w:r>
                  <w:r>
                    <w:rPr>
                      <w:sz w:val="20"/>
                    </w:rPr>
                    <w:t>los</w:t>
                  </w:r>
                  <w:r>
                    <w:rPr>
                      <w:spacing w:val="-3"/>
                      <w:sz w:val="20"/>
                    </w:rPr>
                    <w:t> </w:t>
                  </w:r>
                  <w:r>
                    <w:rPr>
                      <w:sz w:val="20"/>
                    </w:rPr>
                    <w:t>programas</w:t>
                  </w:r>
                  <w:r>
                    <w:rPr>
                      <w:spacing w:val="-4"/>
                      <w:sz w:val="20"/>
                    </w:rPr>
                    <w:t> </w:t>
                  </w:r>
                  <w:r>
                    <w:rPr>
                      <w:sz w:val="20"/>
                    </w:rPr>
                    <w:t>sociales</w:t>
                  </w:r>
                  <w:r>
                    <w:rPr>
                      <w:spacing w:val="-1"/>
                      <w:sz w:val="20"/>
                    </w:rPr>
                    <w:t> </w:t>
                  </w:r>
                  <w:r>
                    <w:rPr>
                      <w:sz w:val="20"/>
                    </w:rPr>
                    <w:t>y</w:t>
                  </w:r>
                  <w:r>
                    <w:rPr>
                      <w:spacing w:val="-6"/>
                      <w:sz w:val="20"/>
                    </w:rPr>
                    <w:t> </w:t>
                  </w:r>
                  <w:r>
                    <w:rPr>
                      <w:sz w:val="20"/>
                    </w:rPr>
                    <w:t>de infraestructura del 2022 al 2025</w:t>
                  </w:r>
                </w:p>
                <w:p>
                  <w:pPr>
                    <w:numPr>
                      <w:ilvl w:val="0"/>
                      <w:numId w:val="29"/>
                    </w:numPr>
                    <w:tabs>
                      <w:tab w:pos="233" w:val="left" w:leader="none"/>
                    </w:tabs>
                    <w:spacing w:line="276" w:lineRule="auto" w:before="0"/>
                    <w:ind w:left="107" w:right="111" w:firstLine="0"/>
                    <w:jc w:val="both"/>
                    <w:rPr>
                      <w:sz w:val="20"/>
                    </w:rPr>
                  </w:pPr>
                  <w:r>
                    <w:rPr>
                      <w:sz w:val="20"/>
                    </w:rPr>
                    <w:t>La capacidad del país para hacer frente a los shocks internos y externos con un impacto mínimo en su perfil crediticio</w:t>
                  </w:r>
                  <w:r>
                    <w:rPr>
                      <w:spacing w:val="-1"/>
                      <w:sz w:val="20"/>
                    </w:rPr>
                    <w:t> </w:t>
                  </w:r>
                  <w:r>
                    <w:rPr>
                      <w:sz w:val="20"/>
                    </w:rPr>
                    <w:t>general</w:t>
                  </w:r>
                </w:p>
                <w:p>
                  <w:pPr>
                    <w:numPr>
                      <w:ilvl w:val="0"/>
                      <w:numId w:val="29"/>
                    </w:numPr>
                    <w:tabs>
                      <w:tab w:pos="240" w:val="left" w:leader="none"/>
                    </w:tabs>
                    <w:spacing w:line="276" w:lineRule="auto" w:before="1"/>
                    <w:ind w:left="107" w:right="107" w:firstLine="0"/>
                    <w:jc w:val="both"/>
                    <w:rPr>
                      <w:sz w:val="20"/>
                    </w:rPr>
                  </w:pPr>
                  <w:r>
                    <w:rPr>
                      <w:sz w:val="20"/>
                    </w:rPr>
                    <w:t>Aumento del gasto en inversión y mitigación de precios en 2022, se consideraron los programas diseñados para aumentar la inversión y otras medidas para mitigar los efectos del aumento de los precios internacionales de energía, como lo es el caso del gas, gasolina y electricidad financiado con los depósitos de</w:t>
                  </w:r>
                  <w:r>
                    <w:rPr>
                      <w:spacing w:val="-21"/>
                      <w:sz w:val="20"/>
                    </w:rPr>
                    <w:t> </w:t>
                  </w:r>
                  <w:r>
                    <w:rPr>
                      <w:sz w:val="20"/>
                    </w:rPr>
                    <w:t>Gobierno.</w:t>
                  </w:r>
                </w:p>
                <w:p>
                  <w:pPr>
                    <w:numPr>
                      <w:ilvl w:val="0"/>
                      <w:numId w:val="29"/>
                    </w:numPr>
                    <w:tabs>
                      <w:tab w:pos="231" w:val="left" w:leader="none"/>
                    </w:tabs>
                    <w:spacing w:line="276" w:lineRule="auto" w:before="0"/>
                    <w:ind w:left="107" w:right="103" w:firstLine="0"/>
                    <w:jc w:val="both"/>
                    <w:rPr>
                      <w:sz w:val="20"/>
                    </w:rPr>
                  </w:pPr>
                  <w:r>
                    <w:rPr>
                      <w:sz w:val="20"/>
                    </w:rPr>
                    <w:t>Estabilización de la deuda pública con una política fiscal prudente y una sólida estrategia de deuda debido a que una proporción importante de la deuda es a interés fijo y el 42% de la deuda externa es con organismos multilaterales. Por lo que se espera que el perfil de la deuda sea estable en el mediano</w:t>
                  </w:r>
                  <w:r>
                    <w:rPr>
                      <w:spacing w:val="-12"/>
                      <w:sz w:val="20"/>
                    </w:rPr>
                    <w:t> </w:t>
                  </w:r>
                  <w:r>
                    <w:rPr>
                      <w:sz w:val="20"/>
                    </w:rPr>
                    <w:t>plazo.</w:t>
                  </w:r>
                </w:p>
                <w:p>
                  <w:pPr>
                    <w:numPr>
                      <w:ilvl w:val="0"/>
                      <w:numId w:val="29"/>
                    </w:numPr>
                    <w:tabs>
                      <w:tab w:pos="236" w:val="left" w:leader="none"/>
                    </w:tabs>
                    <w:spacing w:line="276" w:lineRule="auto" w:before="0"/>
                    <w:ind w:left="107" w:right="110" w:firstLine="0"/>
                    <w:jc w:val="both"/>
                    <w:rPr>
                      <w:sz w:val="20"/>
                    </w:rPr>
                  </w:pPr>
                  <w:r>
                    <w:rPr>
                      <w:sz w:val="20"/>
                    </w:rPr>
                    <w:t>La sólida recaudación y la emisión de Eurobono en 2021 dio como resultado la acumulación en depósitos y el uso de estos recursos para el financiamiento del presupuesto</w:t>
                  </w:r>
                  <w:r>
                    <w:rPr>
                      <w:spacing w:val="-2"/>
                      <w:sz w:val="20"/>
                    </w:rPr>
                    <w:t> </w:t>
                  </w:r>
                  <w:r>
                    <w:rPr>
                      <w:sz w:val="20"/>
                    </w:rPr>
                    <w:t>2022.</w:t>
                  </w:r>
                </w:p>
                <w:p>
                  <w:pPr>
                    <w:pStyle w:val="BodyText"/>
                    <w:spacing w:before="10"/>
                  </w:pPr>
                </w:p>
                <w:p>
                  <w:pPr>
                    <w:spacing w:before="0"/>
                    <w:ind w:left="107" w:right="0" w:firstLine="0"/>
                    <w:jc w:val="left"/>
                    <w:rPr>
                      <w:sz w:val="20"/>
                    </w:rPr>
                  </w:pPr>
                  <w:r>
                    <w:rPr>
                      <w:sz w:val="20"/>
                    </w:rPr>
                    <w:t>Mientras que a los factores a los que se le debe de prestar atención son:</w:t>
                  </w:r>
                </w:p>
                <w:p>
                  <w:pPr>
                    <w:pStyle w:val="BodyText"/>
                    <w:spacing w:before="2"/>
                    <w:rPr>
                      <w:sz w:val="19"/>
                    </w:rPr>
                  </w:pPr>
                </w:p>
                <w:p>
                  <w:pPr>
                    <w:numPr>
                      <w:ilvl w:val="0"/>
                      <w:numId w:val="29"/>
                    </w:numPr>
                    <w:tabs>
                      <w:tab w:pos="228" w:val="left" w:leader="none"/>
                    </w:tabs>
                    <w:spacing w:before="0"/>
                    <w:ind w:left="228" w:right="0" w:hanging="121"/>
                    <w:jc w:val="left"/>
                    <w:rPr>
                      <w:sz w:val="20"/>
                    </w:rPr>
                  </w:pPr>
                  <w:r>
                    <w:rPr>
                      <w:sz w:val="20"/>
                    </w:rPr>
                    <w:t>La deuda pública en moneda extranjera podría exponer a la moneda local a una repentina</w:t>
                  </w:r>
                  <w:r>
                    <w:rPr>
                      <w:spacing w:val="-13"/>
                      <w:sz w:val="20"/>
                    </w:rPr>
                    <w:t> </w:t>
                  </w:r>
                  <w:r>
                    <w:rPr>
                      <w:sz w:val="20"/>
                    </w:rPr>
                    <w:t>depreciación.</w:t>
                  </w:r>
                </w:p>
                <w:p>
                  <w:pPr>
                    <w:numPr>
                      <w:ilvl w:val="0"/>
                      <w:numId w:val="29"/>
                    </w:numPr>
                    <w:tabs>
                      <w:tab w:pos="226" w:val="left" w:leader="none"/>
                    </w:tabs>
                    <w:spacing w:line="276" w:lineRule="auto" w:before="34"/>
                    <w:ind w:left="107" w:right="114" w:firstLine="0"/>
                    <w:jc w:val="left"/>
                    <w:rPr>
                      <w:sz w:val="20"/>
                    </w:rPr>
                  </w:pPr>
                  <w:r>
                    <w:rPr>
                      <w:sz w:val="20"/>
                    </w:rPr>
                    <w:t>A</w:t>
                  </w:r>
                  <w:r>
                    <w:rPr>
                      <w:spacing w:val="-7"/>
                      <w:sz w:val="20"/>
                    </w:rPr>
                    <w:t> </w:t>
                  </w:r>
                  <w:r>
                    <w:rPr>
                      <w:sz w:val="20"/>
                    </w:rPr>
                    <w:t>pesar</w:t>
                  </w:r>
                  <w:r>
                    <w:rPr>
                      <w:spacing w:val="-4"/>
                      <w:sz w:val="20"/>
                    </w:rPr>
                    <w:t> </w:t>
                  </w:r>
                  <w:r>
                    <w:rPr>
                      <w:sz w:val="20"/>
                    </w:rPr>
                    <w:t>de</w:t>
                  </w:r>
                  <w:r>
                    <w:rPr>
                      <w:spacing w:val="-3"/>
                      <w:sz w:val="20"/>
                    </w:rPr>
                    <w:t> </w:t>
                  </w:r>
                  <w:r>
                    <w:rPr>
                      <w:sz w:val="20"/>
                    </w:rPr>
                    <w:t>las</w:t>
                  </w:r>
                  <w:r>
                    <w:rPr>
                      <w:spacing w:val="-3"/>
                      <w:sz w:val="20"/>
                    </w:rPr>
                    <w:t> </w:t>
                  </w:r>
                  <w:r>
                    <w:rPr>
                      <w:sz w:val="20"/>
                    </w:rPr>
                    <w:t>mejoras</w:t>
                  </w:r>
                  <w:r>
                    <w:rPr>
                      <w:spacing w:val="-5"/>
                      <w:sz w:val="20"/>
                    </w:rPr>
                    <w:t> </w:t>
                  </w:r>
                  <w:r>
                    <w:rPr>
                      <w:sz w:val="20"/>
                    </w:rPr>
                    <w:t>digitales</w:t>
                  </w:r>
                  <w:r>
                    <w:rPr>
                      <w:spacing w:val="-4"/>
                      <w:sz w:val="20"/>
                    </w:rPr>
                    <w:t> </w:t>
                  </w:r>
                  <w:r>
                    <w:rPr>
                      <w:sz w:val="20"/>
                    </w:rPr>
                    <w:t>de</w:t>
                  </w:r>
                  <w:r>
                    <w:rPr>
                      <w:spacing w:val="-4"/>
                      <w:sz w:val="20"/>
                    </w:rPr>
                    <w:t> </w:t>
                  </w:r>
                  <w:r>
                    <w:rPr>
                      <w:sz w:val="20"/>
                    </w:rPr>
                    <w:t>la</w:t>
                  </w:r>
                  <w:r>
                    <w:rPr>
                      <w:spacing w:val="-4"/>
                      <w:sz w:val="20"/>
                    </w:rPr>
                    <w:t> </w:t>
                  </w:r>
                  <w:r>
                    <w:rPr>
                      <w:sz w:val="20"/>
                    </w:rPr>
                    <w:t>recaudación,</w:t>
                  </w:r>
                  <w:r>
                    <w:rPr>
                      <w:spacing w:val="-3"/>
                      <w:sz w:val="20"/>
                    </w:rPr>
                    <w:t> </w:t>
                  </w:r>
                  <w:r>
                    <w:rPr>
                      <w:sz w:val="20"/>
                    </w:rPr>
                    <w:t>se</w:t>
                  </w:r>
                  <w:r>
                    <w:rPr>
                      <w:spacing w:val="-4"/>
                      <w:sz w:val="20"/>
                    </w:rPr>
                    <w:t> </w:t>
                  </w:r>
                  <w:r>
                    <w:rPr>
                      <w:sz w:val="20"/>
                    </w:rPr>
                    <w:t>considera</w:t>
                  </w:r>
                  <w:r>
                    <w:rPr>
                      <w:spacing w:val="-4"/>
                      <w:sz w:val="20"/>
                    </w:rPr>
                    <w:t> </w:t>
                  </w:r>
                  <w:r>
                    <w:rPr>
                      <w:sz w:val="20"/>
                    </w:rPr>
                    <w:t>limitado</w:t>
                  </w:r>
                  <w:r>
                    <w:rPr>
                      <w:spacing w:val="-2"/>
                      <w:sz w:val="20"/>
                    </w:rPr>
                    <w:t> </w:t>
                  </w:r>
                  <w:r>
                    <w:rPr>
                      <w:sz w:val="20"/>
                    </w:rPr>
                    <w:t>los</w:t>
                  </w:r>
                  <w:r>
                    <w:rPr>
                      <w:spacing w:val="-5"/>
                      <w:sz w:val="20"/>
                    </w:rPr>
                    <w:t> </w:t>
                  </w:r>
                  <w:r>
                    <w:rPr>
                      <w:sz w:val="20"/>
                    </w:rPr>
                    <w:t>ingresos</w:t>
                  </w:r>
                  <w:r>
                    <w:rPr>
                      <w:spacing w:val="-5"/>
                      <w:sz w:val="20"/>
                    </w:rPr>
                    <w:t> </w:t>
                  </w:r>
                  <w:r>
                    <w:rPr>
                      <w:sz w:val="20"/>
                    </w:rPr>
                    <w:t>con</w:t>
                  </w:r>
                  <w:r>
                    <w:rPr>
                      <w:spacing w:val="-2"/>
                      <w:sz w:val="20"/>
                    </w:rPr>
                    <w:t> </w:t>
                  </w:r>
                  <w:r>
                    <w:rPr>
                      <w:sz w:val="20"/>
                    </w:rPr>
                    <w:t>respecto</w:t>
                  </w:r>
                  <w:r>
                    <w:rPr>
                      <w:spacing w:val="-4"/>
                      <w:sz w:val="20"/>
                    </w:rPr>
                    <w:t> </w:t>
                  </w:r>
                  <w:r>
                    <w:rPr>
                      <w:sz w:val="20"/>
                    </w:rPr>
                    <w:t>al</w:t>
                  </w:r>
                  <w:r>
                    <w:rPr>
                      <w:spacing w:val="-4"/>
                      <w:sz w:val="20"/>
                    </w:rPr>
                    <w:t> </w:t>
                  </w:r>
                  <w:r>
                    <w:rPr>
                      <w:sz w:val="20"/>
                    </w:rPr>
                    <w:t>PIB</w:t>
                  </w:r>
                  <w:r>
                    <w:rPr>
                      <w:spacing w:val="-2"/>
                      <w:sz w:val="20"/>
                    </w:rPr>
                    <w:t> </w:t>
                  </w:r>
                  <w:r>
                    <w:rPr>
                      <w:sz w:val="20"/>
                    </w:rPr>
                    <w:t>y</w:t>
                  </w:r>
                  <w:r>
                    <w:rPr>
                      <w:spacing w:val="-8"/>
                      <w:sz w:val="20"/>
                    </w:rPr>
                    <w:t> </w:t>
                  </w:r>
                  <w:r>
                    <w:rPr>
                      <w:sz w:val="20"/>
                    </w:rPr>
                    <w:t>es poco probable que se aumente sustancialmente sin una reforma fiscal.</w:t>
                  </w:r>
                </w:p>
                <w:p>
                  <w:pPr>
                    <w:numPr>
                      <w:ilvl w:val="0"/>
                      <w:numId w:val="29"/>
                    </w:numPr>
                    <w:tabs>
                      <w:tab w:pos="255" w:val="left" w:leader="none"/>
                    </w:tabs>
                    <w:spacing w:line="278" w:lineRule="auto" w:before="0"/>
                    <w:ind w:left="107" w:right="114" w:firstLine="0"/>
                    <w:jc w:val="left"/>
                    <w:rPr>
                      <w:sz w:val="20"/>
                    </w:rPr>
                  </w:pPr>
                  <w:r>
                    <w:rPr>
                      <w:sz w:val="20"/>
                    </w:rPr>
                    <w:t>El partido oficial tiene poca participación en el Congreso y esto ha limitado al gobierno para promover reformas</w:t>
                  </w:r>
                  <w:r>
                    <w:rPr>
                      <w:spacing w:val="-2"/>
                      <w:sz w:val="20"/>
                    </w:rPr>
                    <w:t> </w:t>
                  </w:r>
                  <w:r>
                    <w:rPr>
                      <w:sz w:val="20"/>
                    </w:rPr>
                    <w:t>significativas.</w:t>
                  </w:r>
                </w:p>
                <w:p>
                  <w:pPr>
                    <w:numPr>
                      <w:ilvl w:val="0"/>
                      <w:numId w:val="29"/>
                    </w:numPr>
                    <w:tabs>
                      <w:tab w:pos="226" w:val="left" w:leader="none"/>
                    </w:tabs>
                    <w:spacing w:line="227" w:lineRule="exact" w:before="0"/>
                    <w:ind w:left="225" w:right="0" w:hanging="119"/>
                    <w:jc w:val="left"/>
                    <w:rPr>
                      <w:sz w:val="20"/>
                    </w:rPr>
                  </w:pPr>
                  <w:r>
                    <w:rPr>
                      <w:sz w:val="20"/>
                    </w:rPr>
                    <w:t>Indicadores de desarrollo social y los desafíos en seguridad</w:t>
                  </w:r>
                  <w:r>
                    <w:rPr>
                      <w:spacing w:val="-5"/>
                      <w:sz w:val="20"/>
                    </w:rPr>
                    <w:t> </w:t>
                  </w:r>
                  <w:r>
                    <w:rPr>
                      <w:sz w:val="20"/>
                    </w:rPr>
                    <w:t>interna</w:t>
                  </w:r>
                </w:p>
              </w:txbxContent>
            </v:textbox>
            <v:fill type="solid"/>
            <v:stroke dashstyle="solid"/>
          </v:shape>
        </w:pict>
      </w:r>
      <w:r>
        <w:rPr>
          <w:sz w:val="20"/>
        </w:rPr>
      </w:r>
    </w:p>
    <w:p>
      <w:pPr>
        <w:pStyle w:val="BodyText"/>
        <w:spacing w:before="4"/>
        <w:rPr>
          <w:sz w:val="14"/>
        </w:rPr>
      </w:pPr>
    </w:p>
    <w:p>
      <w:pPr>
        <w:pStyle w:val="Heading2"/>
        <w:numPr>
          <w:ilvl w:val="2"/>
          <w:numId w:val="13"/>
        </w:numPr>
        <w:tabs>
          <w:tab w:pos="1354" w:val="left" w:leader="none"/>
        </w:tabs>
        <w:spacing w:line="240" w:lineRule="auto" w:before="90" w:after="0"/>
        <w:ind w:left="1354" w:right="0" w:hanging="433"/>
        <w:jc w:val="left"/>
      </w:pPr>
      <w:bookmarkStart w:name="_bookmark193" w:id="247"/>
      <w:bookmarkEnd w:id="247"/>
      <w:r>
        <w:rPr>
          <w:b w:val="0"/>
        </w:rPr>
      </w:r>
      <w:bookmarkStart w:name="_bookmark193" w:id="248"/>
      <w:bookmarkEnd w:id="248"/>
      <w:r>
        <w:rPr/>
        <w:t>Eval</w:t>
      </w:r>
      <w:r>
        <w:rPr/>
        <w:t>uación de la Política General de Gobierno en el</w:t>
      </w:r>
      <w:r>
        <w:rPr>
          <w:spacing w:val="-1"/>
        </w:rPr>
        <w:t> </w:t>
      </w:r>
      <w:r>
        <w:rPr/>
        <w:t>2021</w:t>
      </w:r>
    </w:p>
    <w:p>
      <w:pPr>
        <w:pStyle w:val="BodyText"/>
        <w:spacing w:before="5"/>
        <w:rPr>
          <w:b/>
          <w:sz w:val="28"/>
        </w:rPr>
      </w:pPr>
    </w:p>
    <w:p>
      <w:pPr>
        <w:pStyle w:val="BodyText"/>
        <w:spacing w:line="276" w:lineRule="auto"/>
        <w:ind w:left="562" w:right="1697"/>
        <w:jc w:val="both"/>
      </w:pPr>
      <w:r>
        <w:rPr/>
        <w:t>La Secretaría de Planificación y Programación de la Presidencia (SEGEPLAN) tiene a su cargo la elaboración del informe que analiza el desarrollo de la Política General de Gobierno (PGG), en este documento se procura evaluar los resultados de la implementación de las metas estratégicas determinando</w:t>
      </w:r>
      <w:r>
        <w:rPr>
          <w:spacing w:val="-12"/>
        </w:rPr>
        <w:t> </w:t>
      </w:r>
      <w:r>
        <w:rPr/>
        <w:t>brechas</w:t>
      </w:r>
      <w:r>
        <w:rPr>
          <w:spacing w:val="-11"/>
        </w:rPr>
        <w:t> </w:t>
      </w:r>
      <w:r>
        <w:rPr/>
        <w:t>entre</w:t>
      </w:r>
      <w:r>
        <w:rPr>
          <w:spacing w:val="-11"/>
        </w:rPr>
        <w:t> </w:t>
      </w:r>
      <w:r>
        <w:rPr/>
        <w:t>lo</w:t>
      </w:r>
      <w:r>
        <w:rPr>
          <w:spacing w:val="-12"/>
        </w:rPr>
        <w:t> </w:t>
      </w:r>
      <w:r>
        <w:rPr/>
        <w:t>alcanzado</w:t>
      </w:r>
      <w:r>
        <w:rPr>
          <w:spacing w:val="-8"/>
        </w:rPr>
        <w:t> </w:t>
      </w:r>
      <w:r>
        <w:rPr/>
        <w:t>y</w:t>
      </w:r>
      <w:r>
        <w:rPr>
          <w:spacing w:val="-11"/>
        </w:rPr>
        <w:t> </w:t>
      </w:r>
      <w:r>
        <w:rPr/>
        <w:t>lo</w:t>
      </w:r>
      <w:r>
        <w:rPr>
          <w:spacing w:val="-10"/>
        </w:rPr>
        <w:t> </w:t>
      </w:r>
      <w:r>
        <w:rPr/>
        <w:t>proyectado,</w:t>
      </w:r>
      <w:r>
        <w:rPr>
          <w:spacing w:val="-9"/>
        </w:rPr>
        <w:t> </w:t>
      </w:r>
      <w:r>
        <w:rPr/>
        <w:t>para</w:t>
      </w:r>
      <w:r>
        <w:rPr>
          <w:spacing w:val="-8"/>
        </w:rPr>
        <w:t> </w:t>
      </w:r>
      <w:r>
        <w:rPr/>
        <w:t>poner</w:t>
      </w:r>
      <w:r>
        <w:rPr>
          <w:spacing w:val="-9"/>
        </w:rPr>
        <w:t> </w:t>
      </w:r>
      <w:r>
        <w:rPr/>
        <w:t>énfasis</w:t>
      </w:r>
      <w:r>
        <w:rPr>
          <w:spacing w:val="-11"/>
        </w:rPr>
        <w:t> </w:t>
      </w:r>
      <w:r>
        <w:rPr/>
        <w:t>en</w:t>
      </w:r>
      <w:r>
        <w:rPr>
          <w:spacing w:val="-11"/>
        </w:rPr>
        <w:t> </w:t>
      </w:r>
      <w:r>
        <w:rPr/>
        <w:t>aquellas</w:t>
      </w:r>
      <w:r>
        <w:rPr>
          <w:spacing w:val="-10"/>
        </w:rPr>
        <w:t> </w:t>
      </w:r>
      <w:r>
        <w:rPr/>
        <w:t>acciones</w:t>
      </w:r>
      <w:r>
        <w:rPr>
          <w:spacing w:val="-9"/>
        </w:rPr>
        <w:t> </w:t>
      </w:r>
      <w:r>
        <w:rPr/>
        <w:t>que sean necesarias para alcanzar las metas que se encuentren</w:t>
      </w:r>
      <w:r>
        <w:rPr>
          <w:spacing w:val="-5"/>
        </w:rPr>
        <w:t> </w:t>
      </w:r>
      <w:r>
        <w:rPr/>
        <w:t>rezagadas.</w:t>
      </w:r>
    </w:p>
    <w:p>
      <w:pPr>
        <w:pStyle w:val="BodyText"/>
        <w:spacing w:before="2"/>
        <w:rPr>
          <w:sz w:val="25"/>
        </w:rPr>
      </w:pPr>
    </w:p>
    <w:p>
      <w:pPr>
        <w:pStyle w:val="BodyText"/>
        <w:spacing w:line="276" w:lineRule="auto"/>
        <w:ind w:left="562" w:right="1698"/>
        <w:jc w:val="both"/>
      </w:pPr>
      <w:r>
        <w:rPr/>
        <w:t>Los resultados de la evaluación indican que se han alcanzado 25 metas, 16 metas muestran avances y 9 metas no muestran avances para la meta que fue establecida en 2021. Respecto al 2023 (año que finaliza</w:t>
      </w:r>
      <w:r>
        <w:rPr>
          <w:spacing w:val="-11"/>
        </w:rPr>
        <w:t> </w:t>
      </w:r>
      <w:r>
        <w:rPr/>
        <w:t>el</w:t>
      </w:r>
      <w:r>
        <w:rPr>
          <w:spacing w:val="-10"/>
        </w:rPr>
        <w:t> </w:t>
      </w:r>
      <w:r>
        <w:rPr/>
        <w:t>período</w:t>
      </w:r>
      <w:r>
        <w:rPr>
          <w:spacing w:val="-14"/>
        </w:rPr>
        <w:t> </w:t>
      </w:r>
      <w:r>
        <w:rPr/>
        <w:t>presidencial),</w:t>
      </w:r>
      <w:r>
        <w:rPr>
          <w:spacing w:val="-13"/>
        </w:rPr>
        <w:t> </w:t>
      </w:r>
      <w:r>
        <w:rPr/>
        <w:t>se</w:t>
      </w:r>
      <w:r>
        <w:rPr>
          <w:spacing w:val="-13"/>
        </w:rPr>
        <w:t> </w:t>
      </w:r>
      <w:r>
        <w:rPr/>
        <w:t>tienen</w:t>
      </w:r>
      <w:r>
        <w:rPr>
          <w:spacing w:val="-11"/>
        </w:rPr>
        <w:t> </w:t>
      </w:r>
      <w:r>
        <w:rPr/>
        <w:t>43</w:t>
      </w:r>
      <w:r>
        <w:rPr>
          <w:spacing w:val="-12"/>
        </w:rPr>
        <w:t> </w:t>
      </w:r>
      <w:r>
        <w:rPr/>
        <w:t>metas</w:t>
      </w:r>
      <w:r>
        <w:rPr>
          <w:spacing w:val="-10"/>
        </w:rPr>
        <w:t> </w:t>
      </w:r>
      <w:r>
        <w:rPr/>
        <w:t>con</w:t>
      </w:r>
      <w:r>
        <w:rPr>
          <w:spacing w:val="-13"/>
        </w:rPr>
        <w:t> </w:t>
      </w:r>
      <w:r>
        <w:rPr/>
        <w:t>una</w:t>
      </w:r>
      <w:r>
        <w:rPr>
          <w:spacing w:val="-12"/>
        </w:rPr>
        <w:t> </w:t>
      </w:r>
      <w:r>
        <w:rPr/>
        <w:t>brecha</w:t>
      </w:r>
      <w:r>
        <w:rPr>
          <w:spacing w:val="-10"/>
        </w:rPr>
        <w:t> </w:t>
      </w:r>
      <w:r>
        <w:rPr/>
        <w:t>que</w:t>
      </w:r>
      <w:r>
        <w:rPr>
          <w:spacing w:val="-13"/>
        </w:rPr>
        <w:t> </w:t>
      </w:r>
      <w:r>
        <w:rPr/>
        <w:t>debe</w:t>
      </w:r>
      <w:r>
        <w:rPr>
          <w:spacing w:val="-14"/>
        </w:rPr>
        <w:t> </w:t>
      </w:r>
      <w:r>
        <w:rPr/>
        <w:t>cerrarse</w:t>
      </w:r>
      <w:r>
        <w:rPr>
          <w:spacing w:val="-10"/>
        </w:rPr>
        <w:t> </w:t>
      </w:r>
      <w:r>
        <w:rPr/>
        <w:t>para</w:t>
      </w:r>
      <w:r>
        <w:rPr>
          <w:spacing w:val="-10"/>
        </w:rPr>
        <w:t> </w:t>
      </w:r>
      <w:r>
        <w:rPr/>
        <w:t>que</w:t>
      </w:r>
      <w:r>
        <w:rPr>
          <w:spacing w:val="-11"/>
        </w:rPr>
        <w:t> </w:t>
      </w:r>
      <w:r>
        <w:rPr/>
        <w:t>la</w:t>
      </w:r>
      <w:r>
        <w:rPr>
          <w:spacing w:val="-10"/>
        </w:rPr>
        <w:t> </w:t>
      </w:r>
      <w:r>
        <w:rPr/>
        <w:t>meta cumpla el objetivo establecido.</w:t>
      </w:r>
    </w:p>
    <w:p>
      <w:pPr>
        <w:pStyle w:val="BodyText"/>
        <w:spacing w:before="6"/>
        <w:rPr>
          <w:sz w:val="25"/>
        </w:rPr>
      </w:pPr>
    </w:p>
    <w:p>
      <w:pPr>
        <w:pStyle w:val="BodyText"/>
        <w:spacing w:line="276" w:lineRule="auto"/>
        <w:ind w:left="562" w:right="1700"/>
        <w:jc w:val="both"/>
      </w:pPr>
      <w:r>
        <w:rPr/>
        <w:t>Para</w:t>
      </w:r>
      <w:r>
        <w:rPr>
          <w:spacing w:val="-9"/>
        </w:rPr>
        <w:t> </w:t>
      </w:r>
      <w:r>
        <w:rPr/>
        <w:t>el</w:t>
      </w:r>
      <w:r>
        <w:rPr>
          <w:spacing w:val="-8"/>
        </w:rPr>
        <w:t> </w:t>
      </w:r>
      <w:r>
        <w:rPr/>
        <w:t>análisis</w:t>
      </w:r>
      <w:r>
        <w:rPr>
          <w:spacing w:val="-7"/>
        </w:rPr>
        <w:t> </w:t>
      </w:r>
      <w:r>
        <w:rPr/>
        <w:t>se</w:t>
      </w:r>
      <w:r>
        <w:rPr>
          <w:spacing w:val="-6"/>
        </w:rPr>
        <w:t> </w:t>
      </w:r>
      <w:r>
        <w:rPr/>
        <w:t>clasifica</w:t>
      </w:r>
      <w:r>
        <w:rPr>
          <w:spacing w:val="-9"/>
        </w:rPr>
        <w:t> </w:t>
      </w:r>
      <w:r>
        <w:rPr/>
        <w:t>con</w:t>
      </w:r>
      <w:r>
        <w:rPr>
          <w:spacing w:val="-9"/>
        </w:rPr>
        <w:t> </w:t>
      </w:r>
      <w:r>
        <w:rPr/>
        <w:t>los</w:t>
      </w:r>
      <w:r>
        <w:rPr>
          <w:spacing w:val="-9"/>
        </w:rPr>
        <w:t> </w:t>
      </w:r>
      <w:r>
        <w:rPr/>
        <w:t>siguientes</w:t>
      </w:r>
      <w:r>
        <w:rPr>
          <w:spacing w:val="-6"/>
        </w:rPr>
        <w:t> </w:t>
      </w:r>
      <w:r>
        <w:rPr/>
        <w:t>colores</w:t>
      </w:r>
      <w:r>
        <w:rPr>
          <w:spacing w:val="-9"/>
        </w:rPr>
        <w:t> </w:t>
      </w:r>
      <w:r>
        <w:rPr/>
        <w:t>cada</w:t>
      </w:r>
      <w:r>
        <w:rPr>
          <w:spacing w:val="-7"/>
        </w:rPr>
        <w:t> </w:t>
      </w:r>
      <w:r>
        <w:rPr/>
        <w:t>meta</w:t>
      </w:r>
      <w:r>
        <w:rPr>
          <w:spacing w:val="-8"/>
        </w:rPr>
        <w:t> </w:t>
      </w:r>
      <w:r>
        <w:rPr/>
        <w:t>por</w:t>
      </w:r>
      <w:r>
        <w:rPr>
          <w:spacing w:val="-9"/>
        </w:rPr>
        <w:t> </w:t>
      </w:r>
      <w:r>
        <w:rPr/>
        <w:t>pilar,</w:t>
      </w:r>
      <w:r>
        <w:rPr>
          <w:spacing w:val="-7"/>
        </w:rPr>
        <w:t> </w:t>
      </w:r>
      <w:r>
        <w:rPr/>
        <w:t>siendo</w:t>
      </w:r>
      <w:r>
        <w:rPr>
          <w:spacing w:val="-7"/>
        </w:rPr>
        <w:t> </w:t>
      </w:r>
      <w:r>
        <w:rPr/>
        <w:t>el</w:t>
      </w:r>
      <w:r>
        <w:rPr>
          <w:spacing w:val="-6"/>
        </w:rPr>
        <w:t> </w:t>
      </w:r>
      <w:r>
        <w:rPr/>
        <w:t>color</w:t>
      </w:r>
      <w:r>
        <w:rPr>
          <w:spacing w:val="-5"/>
        </w:rPr>
        <w:t> </w:t>
      </w:r>
      <w:r>
        <w:rPr/>
        <w:t>verde</w:t>
      </w:r>
      <w:r>
        <w:rPr>
          <w:spacing w:val="-9"/>
        </w:rPr>
        <w:t> </w:t>
      </w:r>
      <w:r>
        <w:rPr/>
        <w:t>“meta cumplida o superada”, el amarillo “con avance de meta” y el rojo “sin avance de</w:t>
      </w:r>
      <w:r>
        <w:rPr>
          <w:spacing w:val="-21"/>
        </w:rPr>
        <w:t> </w:t>
      </w:r>
      <w:r>
        <w:rPr/>
        <w:t>meta”.</w:t>
      </w:r>
    </w:p>
    <w:p>
      <w:pPr>
        <w:pStyle w:val="BodyText"/>
        <w:spacing w:before="9"/>
        <w:rPr>
          <w:sz w:val="17"/>
        </w:rPr>
      </w:pPr>
      <w:r>
        <w:rPr/>
        <w:drawing>
          <wp:anchor distT="0" distB="0" distL="0" distR="0" allowOverlap="1" layoutInCell="1" locked="0" behindDoc="0" simplePos="0" relativeHeight="1380">
            <wp:simplePos x="0" y="0"/>
            <wp:positionH relativeFrom="page">
              <wp:posOffset>2980944</wp:posOffset>
            </wp:positionH>
            <wp:positionV relativeFrom="paragraph">
              <wp:posOffset>155025</wp:posOffset>
            </wp:positionV>
            <wp:extent cx="1653037" cy="971550"/>
            <wp:effectExtent l="0" t="0" r="0" b="0"/>
            <wp:wrapTopAndBottom/>
            <wp:docPr id="103" name="image274.png"/>
            <wp:cNvGraphicFramePr>
              <a:graphicFrameLocks noChangeAspect="1"/>
            </wp:cNvGraphicFramePr>
            <a:graphic>
              <a:graphicData uri="http://schemas.openxmlformats.org/drawingml/2006/picture">
                <pic:pic>
                  <pic:nvPicPr>
                    <pic:cNvPr id="104" name="image274.png"/>
                    <pic:cNvPicPr/>
                  </pic:nvPicPr>
                  <pic:blipFill>
                    <a:blip r:embed="rId280" cstate="print"/>
                    <a:stretch>
                      <a:fillRect/>
                    </a:stretch>
                  </pic:blipFill>
                  <pic:spPr>
                    <a:xfrm>
                      <a:off x="0" y="0"/>
                      <a:ext cx="1653037" cy="971550"/>
                    </a:xfrm>
                    <a:prstGeom prst="rect">
                      <a:avLst/>
                    </a:prstGeom>
                  </pic:spPr>
                </pic:pic>
              </a:graphicData>
            </a:graphic>
          </wp:anchor>
        </w:drawing>
      </w:r>
    </w:p>
    <w:p>
      <w:pPr>
        <w:spacing w:after="0"/>
        <w:rPr>
          <w:sz w:val="17"/>
        </w:rPr>
        <w:sectPr>
          <w:pgSz w:w="12240" w:h="15840"/>
          <w:pgMar w:header="715" w:footer="957" w:top="1240" w:bottom="1140" w:left="1140" w:right="0"/>
        </w:sectPr>
      </w:pPr>
    </w:p>
    <w:p>
      <w:pPr>
        <w:pStyle w:val="Heading3"/>
        <w:spacing w:before="167"/>
        <w:ind w:left="562"/>
        <w:jc w:val="both"/>
      </w:pPr>
      <w:r>
        <w:rPr/>
        <w:t>Pilar 1: Economía, competitividad y prosperidad</w:t>
      </w:r>
    </w:p>
    <w:p>
      <w:pPr>
        <w:pStyle w:val="BodyText"/>
        <w:spacing w:before="1"/>
        <w:rPr>
          <w:b/>
          <w:sz w:val="28"/>
        </w:rPr>
      </w:pPr>
    </w:p>
    <w:p>
      <w:pPr>
        <w:pStyle w:val="BodyText"/>
        <w:spacing w:line="276" w:lineRule="auto"/>
        <w:ind w:left="562" w:right="1700"/>
        <w:jc w:val="both"/>
      </w:pPr>
      <w:r>
        <w:rPr/>
        <w:t>El</w:t>
      </w:r>
      <w:r>
        <w:rPr>
          <w:spacing w:val="-5"/>
        </w:rPr>
        <w:t> </w:t>
      </w:r>
      <w:r>
        <w:rPr/>
        <w:t>pilar</w:t>
      </w:r>
      <w:r>
        <w:rPr>
          <w:spacing w:val="-5"/>
        </w:rPr>
        <w:t> </w:t>
      </w:r>
      <w:r>
        <w:rPr/>
        <w:t>1</w:t>
      </w:r>
      <w:r>
        <w:rPr>
          <w:spacing w:val="-9"/>
        </w:rPr>
        <w:t> </w:t>
      </w:r>
      <w:r>
        <w:rPr/>
        <w:t>está</w:t>
      </w:r>
      <w:r>
        <w:rPr>
          <w:spacing w:val="-8"/>
        </w:rPr>
        <w:t> </w:t>
      </w:r>
      <w:r>
        <w:rPr/>
        <w:t>conformado</w:t>
      </w:r>
      <w:r>
        <w:rPr>
          <w:spacing w:val="-8"/>
        </w:rPr>
        <w:t> </w:t>
      </w:r>
      <w:r>
        <w:rPr/>
        <w:t>por</w:t>
      </w:r>
      <w:r>
        <w:rPr>
          <w:spacing w:val="-5"/>
        </w:rPr>
        <w:t> </w:t>
      </w:r>
      <w:r>
        <w:rPr/>
        <w:t>9</w:t>
      </w:r>
      <w:r>
        <w:rPr>
          <w:spacing w:val="-9"/>
        </w:rPr>
        <w:t> </w:t>
      </w:r>
      <w:r>
        <w:rPr/>
        <w:t>metas</w:t>
      </w:r>
      <w:r>
        <w:rPr>
          <w:spacing w:val="-5"/>
        </w:rPr>
        <w:t> </w:t>
      </w:r>
      <w:r>
        <w:rPr/>
        <w:t>estratégicas,</w:t>
      </w:r>
      <w:r>
        <w:rPr>
          <w:spacing w:val="-6"/>
        </w:rPr>
        <w:t> </w:t>
      </w:r>
      <w:r>
        <w:rPr/>
        <w:t>de</w:t>
      </w:r>
      <w:r>
        <w:rPr>
          <w:spacing w:val="-8"/>
        </w:rPr>
        <w:t> </w:t>
      </w:r>
      <w:r>
        <w:rPr/>
        <w:t>las</w:t>
      </w:r>
      <w:r>
        <w:rPr>
          <w:spacing w:val="-8"/>
        </w:rPr>
        <w:t> </w:t>
      </w:r>
      <w:r>
        <w:rPr/>
        <w:t>cuales</w:t>
      </w:r>
      <w:r>
        <w:rPr>
          <w:spacing w:val="-8"/>
        </w:rPr>
        <w:t> </w:t>
      </w:r>
      <w:r>
        <w:rPr/>
        <w:t>5</w:t>
      </w:r>
      <w:r>
        <w:rPr>
          <w:spacing w:val="-9"/>
        </w:rPr>
        <w:t> </w:t>
      </w:r>
      <w:r>
        <w:rPr/>
        <w:t>alcanzaron</w:t>
      </w:r>
      <w:r>
        <w:rPr>
          <w:spacing w:val="-9"/>
        </w:rPr>
        <w:t> </w:t>
      </w:r>
      <w:r>
        <w:rPr/>
        <w:t>la</w:t>
      </w:r>
      <w:r>
        <w:rPr>
          <w:spacing w:val="-6"/>
        </w:rPr>
        <w:t> </w:t>
      </w:r>
      <w:r>
        <w:rPr/>
        <w:t>meta</w:t>
      </w:r>
      <w:r>
        <w:rPr>
          <w:spacing w:val="-8"/>
        </w:rPr>
        <w:t> </w:t>
      </w:r>
      <w:r>
        <w:rPr/>
        <w:t>propuesta</w:t>
      </w:r>
      <w:r>
        <w:rPr>
          <w:spacing w:val="-8"/>
        </w:rPr>
        <w:t> </w:t>
      </w:r>
      <w:r>
        <w:rPr/>
        <w:t>para el año</w:t>
      </w:r>
      <w:r>
        <w:rPr>
          <w:spacing w:val="1"/>
        </w:rPr>
        <w:t> </w:t>
      </w:r>
      <w:r>
        <w:rPr/>
        <w:t>2021.</w:t>
      </w:r>
    </w:p>
    <w:p>
      <w:pPr>
        <w:pStyle w:val="Heading3"/>
        <w:numPr>
          <w:ilvl w:val="0"/>
          <w:numId w:val="30"/>
        </w:numPr>
        <w:tabs>
          <w:tab w:pos="1281" w:val="left" w:leader="none"/>
          <w:tab w:pos="1282" w:val="left" w:leader="none"/>
        </w:tabs>
        <w:spacing w:line="240" w:lineRule="auto" w:before="190" w:after="0"/>
        <w:ind w:left="1282" w:right="0" w:hanging="361"/>
        <w:jc w:val="left"/>
      </w:pPr>
      <w:r>
        <w:rPr/>
        <w:t>Metas alcanzadas o</w:t>
      </w:r>
      <w:r>
        <w:rPr>
          <w:spacing w:val="-3"/>
        </w:rPr>
        <w:t> </w:t>
      </w:r>
      <w:r>
        <w:rPr/>
        <w:t>superadas</w:t>
      </w:r>
    </w:p>
    <w:p>
      <w:pPr>
        <w:pStyle w:val="BodyText"/>
        <w:spacing w:before="2"/>
        <w:rPr>
          <w:b/>
          <w:sz w:val="28"/>
        </w:rPr>
      </w:pPr>
    </w:p>
    <w:p>
      <w:pPr>
        <w:pStyle w:val="ListParagraph"/>
        <w:numPr>
          <w:ilvl w:val="1"/>
          <w:numId w:val="30"/>
        </w:numPr>
        <w:tabs>
          <w:tab w:pos="1630" w:val="left" w:leader="none"/>
        </w:tabs>
        <w:spacing w:line="276" w:lineRule="auto" w:before="0" w:after="0"/>
        <w:ind w:left="1630" w:right="1696" w:hanging="360"/>
        <w:jc w:val="both"/>
        <w:rPr>
          <w:sz w:val="22"/>
        </w:rPr>
      </w:pPr>
      <w:r>
        <w:rPr>
          <w:sz w:val="22"/>
        </w:rPr>
        <w:t>El crecimiento del PIB real alcanzó un 8.0% derivado del efecto rebote ocasionado por un decrecimiento en 2020 por la pandemia del COVID-19. En 2021 continuó el proceso de recuperación de la actividad económica debido a la mejora de las perspectivas de la economía mundial y a las condiciones económicas internas más</w:t>
      </w:r>
      <w:r>
        <w:rPr>
          <w:spacing w:val="-12"/>
          <w:sz w:val="22"/>
        </w:rPr>
        <w:t> </w:t>
      </w:r>
      <w:r>
        <w:rPr>
          <w:sz w:val="22"/>
        </w:rPr>
        <w:t>favorables.</w:t>
      </w:r>
    </w:p>
    <w:p>
      <w:pPr>
        <w:pStyle w:val="ListParagraph"/>
        <w:numPr>
          <w:ilvl w:val="1"/>
          <w:numId w:val="30"/>
        </w:numPr>
        <w:tabs>
          <w:tab w:pos="1630" w:val="left" w:leader="none"/>
        </w:tabs>
        <w:spacing w:line="276" w:lineRule="auto" w:before="1" w:after="0"/>
        <w:ind w:left="1630" w:right="1699" w:hanging="360"/>
        <w:jc w:val="both"/>
        <w:rPr>
          <w:sz w:val="22"/>
        </w:rPr>
      </w:pPr>
      <w:r>
        <w:rPr>
          <w:sz w:val="22"/>
        </w:rPr>
        <w:t>El índice de solvencia del sistema bancario se reflejó en 17.26%, todo indica que podría alcanzarse la meta establecida hacia 2023, salvo eventos como la distribución de utilidades, la demanda de crédito bancario por la reactivación económica o las modificaciones a la normativa</w:t>
      </w:r>
      <w:r>
        <w:rPr>
          <w:spacing w:val="-3"/>
          <w:sz w:val="22"/>
        </w:rPr>
        <w:t> </w:t>
      </w:r>
      <w:r>
        <w:rPr>
          <w:sz w:val="22"/>
        </w:rPr>
        <w:t>prudencial.</w:t>
      </w:r>
    </w:p>
    <w:p>
      <w:pPr>
        <w:pStyle w:val="ListParagraph"/>
        <w:numPr>
          <w:ilvl w:val="1"/>
          <w:numId w:val="30"/>
        </w:numPr>
        <w:tabs>
          <w:tab w:pos="1630" w:val="left" w:leader="none"/>
        </w:tabs>
        <w:spacing w:line="276" w:lineRule="auto" w:before="1" w:after="0"/>
        <w:ind w:left="1630" w:right="1702" w:hanging="360"/>
        <w:jc w:val="both"/>
        <w:rPr>
          <w:sz w:val="22"/>
        </w:rPr>
      </w:pPr>
      <w:r>
        <w:rPr>
          <w:sz w:val="22"/>
        </w:rPr>
        <w:t>Respecto a tasa de informalidad del empleo, el Ministerio de Trabajo reporta que de 7.2 millones de personas ocupadas, el 34.7% se encuentra en el sector formal y 65.3% lo hacen en la informalidad, superando la meta establecida para</w:t>
      </w:r>
      <w:r>
        <w:rPr>
          <w:spacing w:val="-9"/>
          <w:sz w:val="22"/>
        </w:rPr>
        <w:t> </w:t>
      </w:r>
      <w:r>
        <w:rPr>
          <w:sz w:val="22"/>
        </w:rPr>
        <w:t>2021.</w:t>
      </w:r>
    </w:p>
    <w:p>
      <w:pPr>
        <w:pStyle w:val="ListParagraph"/>
        <w:numPr>
          <w:ilvl w:val="1"/>
          <w:numId w:val="30"/>
        </w:numPr>
        <w:tabs>
          <w:tab w:pos="1630" w:val="left" w:leader="none"/>
        </w:tabs>
        <w:spacing w:line="276" w:lineRule="auto" w:before="0" w:after="0"/>
        <w:ind w:left="1630" w:right="1695" w:hanging="360"/>
        <w:jc w:val="both"/>
        <w:rPr>
          <w:sz w:val="22"/>
        </w:rPr>
      </w:pPr>
      <w:r>
        <w:rPr>
          <w:sz w:val="22"/>
        </w:rPr>
        <w:t>De</w:t>
      </w:r>
      <w:r>
        <w:rPr>
          <w:spacing w:val="-11"/>
          <w:sz w:val="22"/>
        </w:rPr>
        <w:t> </w:t>
      </w:r>
      <w:r>
        <w:rPr>
          <w:sz w:val="22"/>
        </w:rPr>
        <w:t>la</w:t>
      </w:r>
      <w:r>
        <w:rPr>
          <w:spacing w:val="-10"/>
          <w:sz w:val="22"/>
        </w:rPr>
        <w:t> </w:t>
      </w:r>
      <w:r>
        <w:rPr>
          <w:sz w:val="22"/>
        </w:rPr>
        <w:t>meta</w:t>
      </w:r>
      <w:r>
        <w:rPr>
          <w:spacing w:val="-10"/>
          <w:sz w:val="22"/>
        </w:rPr>
        <w:t> </w:t>
      </w:r>
      <w:r>
        <w:rPr>
          <w:sz w:val="22"/>
        </w:rPr>
        <w:t>de</w:t>
      </w:r>
      <w:r>
        <w:rPr>
          <w:spacing w:val="-11"/>
          <w:sz w:val="22"/>
        </w:rPr>
        <w:t> </w:t>
      </w:r>
      <w:r>
        <w:rPr>
          <w:sz w:val="22"/>
        </w:rPr>
        <w:t>hogares</w:t>
      </w:r>
      <w:r>
        <w:rPr>
          <w:spacing w:val="-10"/>
          <w:sz w:val="22"/>
        </w:rPr>
        <w:t> </w:t>
      </w:r>
      <w:r>
        <w:rPr>
          <w:sz w:val="22"/>
        </w:rPr>
        <w:t>con</w:t>
      </w:r>
      <w:r>
        <w:rPr>
          <w:spacing w:val="-11"/>
          <w:sz w:val="22"/>
        </w:rPr>
        <w:t> </w:t>
      </w:r>
      <w:r>
        <w:rPr>
          <w:sz w:val="22"/>
        </w:rPr>
        <w:t>acceso</w:t>
      </w:r>
      <w:r>
        <w:rPr>
          <w:spacing w:val="-14"/>
          <w:sz w:val="22"/>
        </w:rPr>
        <w:t> </w:t>
      </w:r>
      <w:r>
        <w:rPr>
          <w:sz w:val="22"/>
        </w:rPr>
        <w:t>a</w:t>
      </w:r>
      <w:r>
        <w:rPr>
          <w:spacing w:val="-10"/>
          <w:sz w:val="22"/>
        </w:rPr>
        <w:t> </w:t>
      </w:r>
      <w:r>
        <w:rPr>
          <w:sz w:val="22"/>
        </w:rPr>
        <w:t>energía</w:t>
      </w:r>
      <w:r>
        <w:rPr>
          <w:spacing w:val="-10"/>
          <w:sz w:val="22"/>
        </w:rPr>
        <w:t> </w:t>
      </w:r>
      <w:r>
        <w:rPr>
          <w:sz w:val="22"/>
        </w:rPr>
        <w:t>eléctrica</w:t>
      </w:r>
      <w:r>
        <w:rPr>
          <w:spacing w:val="-10"/>
          <w:sz w:val="22"/>
        </w:rPr>
        <w:t> </w:t>
      </w:r>
      <w:r>
        <w:rPr>
          <w:sz w:val="22"/>
        </w:rPr>
        <w:t>se</w:t>
      </w:r>
      <w:r>
        <w:rPr>
          <w:spacing w:val="-13"/>
          <w:sz w:val="22"/>
        </w:rPr>
        <w:t> </w:t>
      </w:r>
      <w:r>
        <w:rPr>
          <w:sz w:val="22"/>
        </w:rPr>
        <w:t>superó</w:t>
      </w:r>
      <w:r>
        <w:rPr>
          <w:spacing w:val="-11"/>
          <w:sz w:val="22"/>
        </w:rPr>
        <w:t> </w:t>
      </w:r>
      <w:r>
        <w:rPr>
          <w:sz w:val="22"/>
        </w:rPr>
        <w:t>la</w:t>
      </w:r>
      <w:r>
        <w:rPr>
          <w:spacing w:val="-11"/>
          <w:sz w:val="22"/>
        </w:rPr>
        <w:t> </w:t>
      </w:r>
      <w:r>
        <w:rPr>
          <w:sz w:val="22"/>
        </w:rPr>
        <w:t>meta</w:t>
      </w:r>
      <w:r>
        <w:rPr>
          <w:spacing w:val="-10"/>
          <w:sz w:val="22"/>
        </w:rPr>
        <w:t> </w:t>
      </w:r>
      <w:r>
        <w:rPr>
          <w:sz w:val="22"/>
        </w:rPr>
        <w:t>proyectada,</w:t>
      </w:r>
      <w:r>
        <w:rPr>
          <w:spacing w:val="-10"/>
          <w:sz w:val="22"/>
        </w:rPr>
        <w:t> </w:t>
      </w:r>
      <w:r>
        <w:rPr>
          <w:sz w:val="22"/>
        </w:rPr>
        <w:t>resalta los esfuerzos en conjunto del INDE y de las empresas distribuidoras de energía, con la respectiva gestión del Ministerio de Energía y Minas, logrando electrificar a 13,009 nuevos hogares.</w:t>
      </w:r>
    </w:p>
    <w:p>
      <w:pPr>
        <w:pStyle w:val="ListParagraph"/>
        <w:numPr>
          <w:ilvl w:val="1"/>
          <w:numId w:val="30"/>
        </w:numPr>
        <w:tabs>
          <w:tab w:pos="1630" w:val="left" w:leader="none"/>
        </w:tabs>
        <w:spacing w:line="276" w:lineRule="auto" w:before="0" w:after="0"/>
        <w:ind w:left="1630" w:right="1699" w:hanging="360"/>
        <w:jc w:val="both"/>
        <w:rPr>
          <w:sz w:val="22"/>
        </w:rPr>
      </w:pPr>
      <w:r>
        <w:rPr>
          <w:sz w:val="22"/>
        </w:rPr>
        <w:t>La</w:t>
      </w:r>
      <w:r>
        <w:rPr>
          <w:spacing w:val="-7"/>
          <w:sz w:val="22"/>
        </w:rPr>
        <w:t> </w:t>
      </w:r>
      <w:r>
        <w:rPr>
          <w:sz w:val="22"/>
        </w:rPr>
        <w:t>meta</w:t>
      </w:r>
      <w:r>
        <w:rPr>
          <w:spacing w:val="-7"/>
          <w:sz w:val="22"/>
        </w:rPr>
        <w:t> </w:t>
      </w:r>
      <w:r>
        <w:rPr>
          <w:sz w:val="22"/>
        </w:rPr>
        <w:t>de</w:t>
      </w:r>
      <w:r>
        <w:rPr>
          <w:spacing w:val="-6"/>
          <w:sz w:val="22"/>
        </w:rPr>
        <w:t> </w:t>
      </w:r>
      <w:r>
        <w:rPr>
          <w:sz w:val="22"/>
        </w:rPr>
        <w:t>créditos</w:t>
      </w:r>
      <w:r>
        <w:rPr>
          <w:spacing w:val="-8"/>
          <w:sz w:val="22"/>
        </w:rPr>
        <w:t> </w:t>
      </w:r>
      <w:r>
        <w:rPr>
          <w:sz w:val="22"/>
        </w:rPr>
        <w:t>para</w:t>
      </w:r>
      <w:r>
        <w:rPr>
          <w:spacing w:val="-7"/>
          <w:sz w:val="22"/>
        </w:rPr>
        <w:t> </w:t>
      </w:r>
      <w:r>
        <w:rPr>
          <w:sz w:val="22"/>
        </w:rPr>
        <w:t>emprendimientos</w:t>
      </w:r>
      <w:r>
        <w:rPr>
          <w:spacing w:val="-6"/>
          <w:sz w:val="22"/>
        </w:rPr>
        <w:t> </w:t>
      </w:r>
      <w:r>
        <w:rPr>
          <w:sz w:val="22"/>
        </w:rPr>
        <w:t>de</w:t>
      </w:r>
      <w:r>
        <w:rPr>
          <w:spacing w:val="-6"/>
          <w:sz w:val="22"/>
        </w:rPr>
        <w:t> </w:t>
      </w:r>
      <w:r>
        <w:rPr>
          <w:sz w:val="22"/>
        </w:rPr>
        <w:t>familias</w:t>
      </w:r>
      <w:r>
        <w:rPr>
          <w:spacing w:val="-9"/>
          <w:sz w:val="22"/>
        </w:rPr>
        <w:t> </w:t>
      </w:r>
      <w:r>
        <w:rPr>
          <w:sz w:val="22"/>
        </w:rPr>
        <w:t>pobres</w:t>
      </w:r>
      <w:r>
        <w:rPr>
          <w:spacing w:val="-6"/>
          <w:sz w:val="22"/>
        </w:rPr>
        <w:t> </w:t>
      </w:r>
      <w:r>
        <w:rPr>
          <w:sz w:val="22"/>
        </w:rPr>
        <w:t>superó</w:t>
      </w:r>
      <w:r>
        <w:rPr>
          <w:spacing w:val="-9"/>
          <w:sz w:val="22"/>
        </w:rPr>
        <w:t> </w:t>
      </w:r>
      <w:r>
        <w:rPr>
          <w:sz w:val="22"/>
        </w:rPr>
        <w:t>la</w:t>
      </w:r>
      <w:r>
        <w:rPr>
          <w:spacing w:val="-7"/>
          <w:sz w:val="22"/>
        </w:rPr>
        <w:t> </w:t>
      </w:r>
      <w:r>
        <w:rPr>
          <w:sz w:val="22"/>
        </w:rPr>
        <w:t>meta</w:t>
      </w:r>
      <w:r>
        <w:rPr>
          <w:spacing w:val="-6"/>
          <w:sz w:val="22"/>
        </w:rPr>
        <w:t> </w:t>
      </w:r>
      <w:r>
        <w:rPr>
          <w:sz w:val="22"/>
        </w:rPr>
        <w:t>proyectada, con una ejecución de Q197.1 millones y con la entrega de 2,900 créditos a</w:t>
      </w:r>
      <w:r>
        <w:rPr>
          <w:spacing w:val="-21"/>
          <w:sz w:val="22"/>
        </w:rPr>
        <w:t> </w:t>
      </w:r>
      <w:r>
        <w:rPr>
          <w:sz w:val="22"/>
        </w:rPr>
        <w:t>Mipymes.</w:t>
      </w:r>
    </w:p>
    <w:p>
      <w:pPr>
        <w:pStyle w:val="Heading3"/>
        <w:numPr>
          <w:ilvl w:val="0"/>
          <w:numId w:val="30"/>
        </w:numPr>
        <w:tabs>
          <w:tab w:pos="1281" w:val="left" w:leader="none"/>
          <w:tab w:pos="1282" w:val="left" w:leader="none"/>
        </w:tabs>
        <w:spacing w:line="240" w:lineRule="auto" w:before="188" w:after="0"/>
        <w:ind w:left="1282" w:right="0" w:hanging="361"/>
        <w:jc w:val="left"/>
      </w:pPr>
      <w:r>
        <w:rPr/>
        <w:t>Metas con</w:t>
      </w:r>
      <w:r>
        <w:rPr>
          <w:spacing w:val="-2"/>
        </w:rPr>
        <w:t> </w:t>
      </w:r>
      <w:r>
        <w:rPr/>
        <w:t>avance</w:t>
      </w:r>
    </w:p>
    <w:p>
      <w:pPr>
        <w:pStyle w:val="BodyText"/>
        <w:spacing w:before="4"/>
        <w:rPr>
          <w:b/>
          <w:sz w:val="21"/>
        </w:rPr>
      </w:pPr>
    </w:p>
    <w:p>
      <w:pPr>
        <w:pStyle w:val="ListParagraph"/>
        <w:numPr>
          <w:ilvl w:val="1"/>
          <w:numId w:val="30"/>
        </w:numPr>
        <w:tabs>
          <w:tab w:pos="1630" w:val="left" w:leader="none"/>
        </w:tabs>
        <w:spacing w:line="276" w:lineRule="auto" w:before="0" w:after="0"/>
        <w:ind w:left="1630" w:right="1699" w:hanging="360"/>
        <w:jc w:val="both"/>
        <w:rPr>
          <w:sz w:val="22"/>
        </w:rPr>
      </w:pPr>
      <w:r>
        <w:rPr>
          <w:sz w:val="22"/>
        </w:rPr>
        <w:t>De la meta del margen de solvencia de las aseguradoras se alcanzó un índice de 67.6%, derivado del incremento en el patrimonio técnico de Q449.1 millones. El mercado asegurador ha mostrado un incremento en la siniestralidad del</w:t>
      </w:r>
      <w:r>
        <w:rPr>
          <w:spacing w:val="-11"/>
          <w:sz w:val="22"/>
        </w:rPr>
        <w:t> </w:t>
      </w:r>
      <w:r>
        <w:rPr>
          <w:sz w:val="22"/>
        </w:rPr>
        <w:t>2021.</w:t>
      </w:r>
    </w:p>
    <w:p>
      <w:pPr>
        <w:pStyle w:val="ListParagraph"/>
        <w:numPr>
          <w:ilvl w:val="1"/>
          <w:numId w:val="30"/>
        </w:numPr>
        <w:tabs>
          <w:tab w:pos="1630" w:val="left" w:leader="none"/>
        </w:tabs>
        <w:spacing w:line="276" w:lineRule="auto" w:before="0" w:after="0"/>
        <w:ind w:left="1630" w:right="1696" w:hanging="360"/>
        <w:jc w:val="both"/>
        <w:rPr>
          <w:sz w:val="22"/>
        </w:rPr>
      </w:pPr>
      <w:r>
        <w:rPr>
          <w:sz w:val="22"/>
        </w:rPr>
        <w:t>El seguro agrícola mostró una ejecución de Q3.3 millones destinados a pequeños parcelarios, siendo necesario aumentar la asignación para alcanzar la meta, dado que</w:t>
      </w:r>
      <w:r>
        <w:rPr>
          <w:spacing w:val="-33"/>
          <w:sz w:val="22"/>
        </w:rPr>
        <w:t> </w:t>
      </w:r>
      <w:r>
        <w:rPr>
          <w:sz w:val="22"/>
        </w:rPr>
        <w:t>fue únicamente de Q5.5</w:t>
      </w:r>
      <w:r>
        <w:rPr>
          <w:spacing w:val="-3"/>
          <w:sz w:val="22"/>
        </w:rPr>
        <w:t> </w:t>
      </w:r>
      <w:r>
        <w:rPr>
          <w:sz w:val="22"/>
        </w:rPr>
        <w:t>millones.</w:t>
      </w:r>
    </w:p>
    <w:p>
      <w:pPr>
        <w:pStyle w:val="ListParagraph"/>
        <w:numPr>
          <w:ilvl w:val="1"/>
          <w:numId w:val="30"/>
        </w:numPr>
        <w:tabs>
          <w:tab w:pos="1630" w:val="left" w:leader="none"/>
        </w:tabs>
        <w:spacing w:line="276" w:lineRule="auto" w:before="0" w:after="0"/>
        <w:ind w:left="1630" w:right="1697" w:hanging="360"/>
        <w:jc w:val="both"/>
        <w:rPr>
          <w:sz w:val="22"/>
        </w:rPr>
      </w:pPr>
      <w:r>
        <w:rPr>
          <w:sz w:val="22"/>
        </w:rPr>
        <w:t>Respecto al ranking Doing Business, el Banco Mundial (BM) anunció en 2021 la suspensión</w:t>
      </w:r>
      <w:r>
        <w:rPr>
          <w:spacing w:val="-14"/>
          <w:sz w:val="22"/>
        </w:rPr>
        <w:t> </w:t>
      </w:r>
      <w:r>
        <w:rPr>
          <w:sz w:val="22"/>
        </w:rPr>
        <w:t>de</w:t>
      </w:r>
      <w:r>
        <w:rPr>
          <w:spacing w:val="-16"/>
          <w:sz w:val="22"/>
        </w:rPr>
        <w:t> </w:t>
      </w:r>
      <w:r>
        <w:rPr>
          <w:sz w:val="22"/>
        </w:rPr>
        <w:t>la</w:t>
      </w:r>
      <w:r>
        <w:rPr>
          <w:spacing w:val="-13"/>
          <w:sz w:val="22"/>
        </w:rPr>
        <w:t> </w:t>
      </w:r>
      <w:r>
        <w:rPr>
          <w:sz w:val="22"/>
        </w:rPr>
        <w:t>publicación</w:t>
      </w:r>
      <w:r>
        <w:rPr>
          <w:spacing w:val="-14"/>
          <w:sz w:val="22"/>
        </w:rPr>
        <w:t> </w:t>
      </w:r>
      <w:r>
        <w:rPr>
          <w:sz w:val="22"/>
        </w:rPr>
        <w:t>del</w:t>
      </w:r>
      <w:r>
        <w:rPr>
          <w:spacing w:val="-12"/>
          <w:sz w:val="22"/>
        </w:rPr>
        <w:t> </w:t>
      </w:r>
      <w:r>
        <w:rPr>
          <w:sz w:val="22"/>
        </w:rPr>
        <w:t>informe,</w:t>
      </w:r>
      <w:r>
        <w:rPr>
          <w:spacing w:val="-14"/>
          <w:sz w:val="22"/>
        </w:rPr>
        <w:t> </w:t>
      </w:r>
      <w:r>
        <w:rPr>
          <w:sz w:val="22"/>
        </w:rPr>
        <w:t>con</w:t>
      </w:r>
      <w:r>
        <w:rPr>
          <w:spacing w:val="-14"/>
          <w:sz w:val="22"/>
        </w:rPr>
        <w:t> </w:t>
      </w:r>
      <w:r>
        <w:rPr>
          <w:sz w:val="22"/>
        </w:rPr>
        <w:t>lo</w:t>
      </w:r>
      <w:r>
        <w:rPr>
          <w:spacing w:val="-16"/>
          <w:sz w:val="22"/>
        </w:rPr>
        <w:t> </w:t>
      </w:r>
      <w:r>
        <w:rPr>
          <w:sz w:val="22"/>
        </w:rPr>
        <w:t>cual</w:t>
      </w:r>
      <w:r>
        <w:rPr>
          <w:spacing w:val="-13"/>
          <w:sz w:val="22"/>
        </w:rPr>
        <w:t> </w:t>
      </w:r>
      <w:r>
        <w:rPr>
          <w:sz w:val="22"/>
        </w:rPr>
        <w:t>se</w:t>
      </w:r>
      <w:r>
        <w:rPr>
          <w:spacing w:val="-15"/>
          <w:sz w:val="22"/>
        </w:rPr>
        <w:t> </w:t>
      </w:r>
      <w:r>
        <w:rPr>
          <w:sz w:val="22"/>
        </w:rPr>
        <w:t>congeló</w:t>
      </w:r>
      <w:r>
        <w:rPr>
          <w:spacing w:val="-17"/>
          <w:sz w:val="22"/>
        </w:rPr>
        <w:t> </w:t>
      </w:r>
      <w:r>
        <w:rPr>
          <w:sz w:val="22"/>
        </w:rPr>
        <w:t>la</w:t>
      </w:r>
      <w:r>
        <w:rPr>
          <w:spacing w:val="-15"/>
          <w:sz w:val="22"/>
        </w:rPr>
        <w:t> </w:t>
      </w:r>
      <w:r>
        <w:rPr>
          <w:sz w:val="22"/>
        </w:rPr>
        <w:t>posición</w:t>
      </w:r>
      <w:r>
        <w:rPr>
          <w:spacing w:val="-17"/>
          <w:sz w:val="22"/>
        </w:rPr>
        <w:t> </w:t>
      </w:r>
      <w:r>
        <w:rPr>
          <w:sz w:val="22"/>
        </w:rPr>
        <w:t>de</w:t>
      </w:r>
      <w:r>
        <w:rPr>
          <w:spacing w:val="-13"/>
          <w:sz w:val="22"/>
        </w:rPr>
        <w:t> </w:t>
      </w:r>
      <w:r>
        <w:rPr>
          <w:sz w:val="22"/>
        </w:rPr>
        <w:t>Guatemala (puesto 96 de 190 países</w:t>
      </w:r>
      <w:r>
        <w:rPr>
          <w:spacing w:val="-1"/>
          <w:sz w:val="22"/>
        </w:rPr>
        <w:t> </w:t>
      </w:r>
      <w:r>
        <w:rPr>
          <w:sz w:val="22"/>
        </w:rPr>
        <w:t>evaluados).</w:t>
      </w:r>
    </w:p>
    <w:p>
      <w:pPr>
        <w:pStyle w:val="Heading3"/>
        <w:numPr>
          <w:ilvl w:val="0"/>
          <w:numId w:val="30"/>
        </w:numPr>
        <w:tabs>
          <w:tab w:pos="1281" w:val="left" w:leader="none"/>
          <w:tab w:pos="1282" w:val="left" w:leader="none"/>
        </w:tabs>
        <w:spacing w:line="240" w:lineRule="auto" w:before="215" w:after="0"/>
        <w:ind w:left="1282" w:right="0" w:hanging="361"/>
        <w:jc w:val="left"/>
      </w:pPr>
      <w:r>
        <w:rPr/>
        <w:t>Metas sin</w:t>
      </w:r>
      <w:r>
        <w:rPr>
          <w:spacing w:val="-1"/>
        </w:rPr>
        <w:t> </w:t>
      </w:r>
      <w:r>
        <w:rPr/>
        <w:t>avances</w:t>
      </w:r>
    </w:p>
    <w:p>
      <w:pPr>
        <w:pStyle w:val="BodyText"/>
        <w:spacing w:before="4"/>
        <w:rPr>
          <w:b/>
          <w:sz w:val="21"/>
        </w:rPr>
      </w:pPr>
    </w:p>
    <w:p>
      <w:pPr>
        <w:pStyle w:val="BodyText"/>
        <w:spacing w:line="276" w:lineRule="auto" w:before="1"/>
        <w:ind w:left="562" w:right="1695"/>
        <w:jc w:val="both"/>
      </w:pPr>
      <w:r>
        <w:rPr/>
        <w:t>Del Índice de Competitividad Global, debido a la pandemia del COVID-19, la evaluación más reciente corresponde al 2019, si no se realiza otra medición, este dato se mantendrá afectando la posibilidad de visibilizar avances en la meta.</w:t>
      </w:r>
    </w:p>
    <w:p>
      <w:pPr>
        <w:spacing w:after="0" w:line="276" w:lineRule="auto"/>
        <w:jc w:val="both"/>
        <w:sectPr>
          <w:pgSz w:w="12240" w:h="15840"/>
          <w:pgMar w:header="715" w:footer="957" w:top="1240" w:bottom="1140" w:left="1140" w:right="0"/>
        </w:sectPr>
      </w:pPr>
    </w:p>
    <w:p>
      <w:pPr>
        <w:spacing w:before="169"/>
        <w:ind w:left="1395" w:right="2535" w:firstLine="0"/>
        <w:jc w:val="center"/>
        <w:rPr>
          <w:b/>
          <w:sz w:val="20"/>
        </w:rPr>
      </w:pPr>
      <w:bookmarkStart w:name="_bookmark194" w:id="249"/>
      <w:bookmarkEnd w:id="249"/>
      <w:r>
        <w:rPr/>
      </w:r>
      <w:r>
        <w:rPr>
          <w:b/>
          <w:i/>
          <w:sz w:val="20"/>
        </w:rPr>
        <w:t>Tabla 12. </w:t>
      </w:r>
      <w:r>
        <w:rPr>
          <w:b/>
          <w:sz w:val="20"/>
        </w:rPr>
        <w:t>Avances de metas estratégicas</w:t>
      </w:r>
    </w:p>
    <w:p>
      <w:pPr>
        <w:pStyle w:val="Heading3"/>
        <w:spacing w:before="32"/>
        <w:ind w:left="1395" w:right="2531"/>
        <w:jc w:val="center"/>
      </w:pPr>
      <w:r>
        <w:rPr/>
        <w:t>Pilar 1: Economía, Competitividad y Prosperidad</w:t>
      </w:r>
    </w:p>
    <w:p>
      <w:pPr>
        <w:pStyle w:val="BodyText"/>
        <w:spacing w:before="9" w:after="1"/>
        <w:rPr>
          <w:b/>
          <w:sz w:val="9"/>
        </w:rPr>
      </w:pPr>
    </w:p>
    <w:tbl>
      <w:tblPr>
        <w:tblW w:w="0" w:type="auto"/>
        <w:jc w:val="left"/>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1"/>
        <w:gridCol w:w="3111"/>
        <w:gridCol w:w="1247"/>
        <w:gridCol w:w="1247"/>
        <w:gridCol w:w="1348"/>
      </w:tblGrid>
      <w:tr>
        <w:trPr>
          <w:trHeight w:val="187" w:hRule="atLeast"/>
        </w:trPr>
        <w:tc>
          <w:tcPr>
            <w:tcW w:w="611" w:type="dxa"/>
            <w:vMerge w:val="restart"/>
            <w:tcBorders>
              <w:bottom w:val="single" w:sz="8" w:space="0" w:color="000000"/>
              <w:right w:val="single" w:sz="8" w:space="0" w:color="000000"/>
            </w:tcBorders>
            <w:shd w:val="clear" w:color="auto" w:fill="1F4E78"/>
          </w:tcPr>
          <w:p>
            <w:pPr>
              <w:pStyle w:val="TableParagraph"/>
              <w:spacing w:before="119"/>
              <w:ind w:left="197"/>
              <w:rPr>
                <w:b/>
                <w:sz w:val="14"/>
              </w:rPr>
            </w:pPr>
            <w:r>
              <w:rPr>
                <w:b/>
                <w:color w:val="FFFFFF"/>
                <w:w w:val="105"/>
                <w:sz w:val="14"/>
              </w:rPr>
              <w:t>No.</w:t>
            </w:r>
          </w:p>
        </w:tc>
        <w:tc>
          <w:tcPr>
            <w:tcW w:w="3111" w:type="dxa"/>
            <w:vMerge w:val="restart"/>
            <w:tcBorders>
              <w:left w:val="single" w:sz="8" w:space="0" w:color="000000"/>
              <w:bottom w:val="single" w:sz="8" w:space="0" w:color="000000"/>
              <w:right w:val="single" w:sz="8" w:space="0" w:color="000000"/>
            </w:tcBorders>
            <w:shd w:val="clear" w:color="auto" w:fill="1F4E78"/>
          </w:tcPr>
          <w:p>
            <w:pPr>
              <w:pStyle w:val="TableParagraph"/>
              <w:spacing w:before="13"/>
              <w:ind w:left="815" w:right="793"/>
              <w:jc w:val="center"/>
              <w:rPr>
                <w:b/>
                <w:sz w:val="14"/>
              </w:rPr>
            </w:pPr>
            <w:r>
              <w:rPr>
                <w:b/>
                <w:color w:val="FFFFFF"/>
                <w:w w:val="105"/>
                <w:sz w:val="14"/>
              </w:rPr>
              <w:t>Descripción de la Meta</w:t>
            </w:r>
          </w:p>
          <w:p>
            <w:pPr>
              <w:pStyle w:val="TableParagraph"/>
              <w:spacing w:before="22"/>
              <w:ind w:left="798" w:right="793"/>
              <w:jc w:val="center"/>
              <w:rPr>
                <w:b/>
                <w:sz w:val="14"/>
              </w:rPr>
            </w:pPr>
            <w:r>
              <w:rPr>
                <w:b/>
                <w:color w:val="FFFFFF"/>
                <w:w w:val="105"/>
                <w:sz w:val="14"/>
              </w:rPr>
              <w:t>al 2023</w:t>
            </w:r>
          </w:p>
        </w:tc>
        <w:tc>
          <w:tcPr>
            <w:tcW w:w="2494" w:type="dxa"/>
            <w:gridSpan w:val="2"/>
            <w:tcBorders>
              <w:top w:val="single" w:sz="4" w:space="0" w:color="D3D3D3"/>
              <w:left w:val="single" w:sz="8" w:space="0" w:color="000000"/>
              <w:bottom w:val="single" w:sz="4" w:space="0" w:color="C9C9C9"/>
              <w:right w:val="nil"/>
            </w:tcBorders>
            <w:shd w:val="clear" w:color="auto" w:fill="1F4E78"/>
          </w:tcPr>
          <w:p>
            <w:pPr>
              <w:pStyle w:val="TableParagraph"/>
              <w:spacing w:line="144" w:lineRule="exact" w:before="23"/>
              <w:ind w:left="1072" w:right="1078"/>
              <w:jc w:val="center"/>
              <w:rPr>
                <w:b/>
                <w:sz w:val="14"/>
              </w:rPr>
            </w:pPr>
            <w:r>
              <w:rPr>
                <w:b/>
                <w:color w:val="FFFFFF"/>
                <w:w w:val="105"/>
                <w:sz w:val="14"/>
              </w:rPr>
              <w:t>2021</w:t>
            </w:r>
          </w:p>
        </w:tc>
        <w:tc>
          <w:tcPr>
            <w:tcW w:w="1348" w:type="dxa"/>
            <w:vMerge w:val="restart"/>
            <w:tcBorders>
              <w:left w:val="nil"/>
              <w:bottom w:val="single" w:sz="8" w:space="0" w:color="000000"/>
              <w:right w:val="nil"/>
            </w:tcBorders>
            <w:shd w:val="clear" w:color="auto" w:fill="1F4E78"/>
          </w:tcPr>
          <w:p>
            <w:pPr>
              <w:pStyle w:val="TableParagraph"/>
              <w:spacing w:before="119"/>
              <w:ind w:left="275"/>
              <w:rPr>
                <w:b/>
                <w:sz w:val="14"/>
              </w:rPr>
            </w:pPr>
            <w:r>
              <w:rPr>
                <w:b/>
                <w:color w:val="FFFFFF"/>
                <w:w w:val="105"/>
                <w:sz w:val="14"/>
              </w:rPr>
              <w:t>Brecha 2023</w:t>
            </w:r>
          </w:p>
        </w:tc>
      </w:tr>
      <w:tr>
        <w:trPr>
          <w:trHeight w:val="177" w:hRule="atLeast"/>
        </w:trPr>
        <w:tc>
          <w:tcPr>
            <w:tcW w:w="611" w:type="dxa"/>
            <w:vMerge/>
            <w:tcBorders>
              <w:top w:val="nil"/>
              <w:bottom w:val="single" w:sz="8" w:space="0" w:color="000000"/>
              <w:right w:val="single" w:sz="8" w:space="0" w:color="000000"/>
            </w:tcBorders>
            <w:shd w:val="clear" w:color="auto" w:fill="1F4E78"/>
          </w:tcPr>
          <w:p>
            <w:pPr>
              <w:rPr>
                <w:sz w:val="2"/>
                <w:szCs w:val="2"/>
              </w:rPr>
            </w:pPr>
          </w:p>
        </w:tc>
        <w:tc>
          <w:tcPr>
            <w:tcW w:w="3111" w:type="dxa"/>
            <w:vMerge/>
            <w:tcBorders>
              <w:top w:val="nil"/>
              <w:left w:val="single" w:sz="8" w:space="0" w:color="000000"/>
              <w:bottom w:val="single" w:sz="8" w:space="0" w:color="000000"/>
              <w:right w:val="single" w:sz="8" w:space="0" w:color="000000"/>
            </w:tcBorders>
            <w:shd w:val="clear" w:color="auto" w:fill="1F4E78"/>
          </w:tcPr>
          <w:p>
            <w:pPr>
              <w:rPr>
                <w:sz w:val="2"/>
                <w:szCs w:val="2"/>
              </w:rPr>
            </w:pPr>
          </w:p>
        </w:tc>
        <w:tc>
          <w:tcPr>
            <w:tcW w:w="1247" w:type="dxa"/>
            <w:tcBorders>
              <w:top w:val="single" w:sz="4" w:space="0" w:color="C9C9C9"/>
              <w:left w:val="single" w:sz="8" w:space="0" w:color="000000"/>
              <w:bottom w:val="single" w:sz="8" w:space="0" w:color="000000"/>
              <w:right w:val="single" w:sz="4" w:space="0" w:color="C9C9C9"/>
            </w:tcBorders>
            <w:shd w:val="clear" w:color="auto" w:fill="1F4E78"/>
          </w:tcPr>
          <w:p>
            <w:pPr>
              <w:pStyle w:val="TableParagraph"/>
              <w:spacing w:line="150" w:lineRule="exact"/>
              <w:ind w:left="160" w:right="155"/>
              <w:jc w:val="center"/>
              <w:rPr>
                <w:b/>
                <w:sz w:val="14"/>
              </w:rPr>
            </w:pPr>
            <w:r>
              <w:rPr>
                <w:b/>
                <w:color w:val="FFFFFF"/>
                <w:w w:val="105"/>
                <w:sz w:val="14"/>
              </w:rPr>
              <w:t>Meta</w:t>
            </w:r>
          </w:p>
        </w:tc>
        <w:tc>
          <w:tcPr>
            <w:tcW w:w="1247" w:type="dxa"/>
            <w:tcBorders>
              <w:top w:val="single" w:sz="4" w:space="0" w:color="C9C9C9"/>
              <w:left w:val="single" w:sz="4" w:space="0" w:color="C9C9C9"/>
              <w:bottom w:val="single" w:sz="8" w:space="0" w:color="000000"/>
              <w:right w:val="nil"/>
            </w:tcBorders>
            <w:shd w:val="clear" w:color="auto" w:fill="1F4E78"/>
          </w:tcPr>
          <w:p>
            <w:pPr>
              <w:pStyle w:val="TableParagraph"/>
              <w:spacing w:line="150" w:lineRule="exact"/>
              <w:ind w:left="110" w:right="111"/>
              <w:jc w:val="center"/>
              <w:rPr>
                <w:b/>
                <w:sz w:val="14"/>
              </w:rPr>
            </w:pPr>
            <w:r>
              <w:rPr>
                <w:b/>
                <w:color w:val="FFFFFF"/>
                <w:w w:val="105"/>
                <w:sz w:val="14"/>
              </w:rPr>
              <w:t>Resultado</w:t>
            </w:r>
          </w:p>
        </w:tc>
        <w:tc>
          <w:tcPr>
            <w:tcW w:w="1348" w:type="dxa"/>
            <w:vMerge/>
            <w:tcBorders>
              <w:top w:val="nil"/>
              <w:left w:val="nil"/>
              <w:bottom w:val="single" w:sz="8" w:space="0" w:color="000000"/>
              <w:right w:val="nil"/>
            </w:tcBorders>
            <w:shd w:val="clear" w:color="auto" w:fill="1F4E78"/>
          </w:tcPr>
          <w:p>
            <w:pPr>
              <w:rPr>
                <w:sz w:val="2"/>
                <w:szCs w:val="2"/>
              </w:rPr>
            </w:pPr>
          </w:p>
        </w:tc>
      </w:tr>
      <w:tr>
        <w:trPr>
          <w:trHeight w:val="375" w:hRule="atLeast"/>
        </w:trPr>
        <w:tc>
          <w:tcPr>
            <w:tcW w:w="611" w:type="dxa"/>
            <w:tcBorders>
              <w:top w:val="single" w:sz="8" w:space="0" w:color="000000"/>
              <w:right w:val="single" w:sz="8" w:space="0" w:color="000000"/>
            </w:tcBorders>
            <w:shd w:val="clear" w:color="auto" w:fill="F1F1F1"/>
          </w:tcPr>
          <w:p>
            <w:pPr>
              <w:pStyle w:val="TableParagraph"/>
              <w:spacing w:before="100"/>
              <w:ind w:left="5"/>
              <w:jc w:val="center"/>
              <w:rPr>
                <w:sz w:val="14"/>
              </w:rPr>
            </w:pPr>
            <w:r>
              <w:rPr>
                <w:w w:val="103"/>
                <w:sz w:val="14"/>
              </w:rPr>
              <w:t>1</w:t>
            </w:r>
          </w:p>
        </w:tc>
        <w:tc>
          <w:tcPr>
            <w:tcW w:w="3111" w:type="dxa"/>
            <w:tcBorders>
              <w:top w:val="single" w:sz="8" w:space="0" w:color="000000"/>
              <w:left w:val="single" w:sz="8" w:space="0" w:color="000000"/>
              <w:right w:val="single" w:sz="8" w:space="0" w:color="000000"/>
            </w:tcBorders>
            <w:shd w:val="clear" w:color="auto" w:fill="F1F1F1"/>
          </w:tcPr>
          <w:p>
            <w:pPr>
              <w:pStyle w:val="TableParagraph"/>
              <w:spacing w:before="13"/>
              <w:ind w:left="24"/>
              <w:rPr>
                <w:sz w:val="14"/>
              </w:rPr>
            </w:pPr>
            <w:r>
              <w:rPr>
                <w:w w:val="105"/>
                <w:sz w:val="14"/>
              </w:rPr>
              <w:t>Para el año 2023 se ha incrementado en 2.60 puntos</w:t>
            </w:r>
          </w:p>
          <w:p>
            <w:pPr>
              <w:pStyle w:val="TableParagraph"/>
              <w:spacing w:line="149" w:lineRule="exact" w:before="32"/>
              <w:ind w:left="24"/>
              <w:rPr>
                <w:sz w:val="14"/>
              </w:rPr>
            </w:pPr>
            <w:r>
              <w:rPr>
                <w:w w:val="105"/>
                <w:sz w:val="14"/>
              </w:rPr>
              <w:t>porcentuales la tasa de crecimiento del PIB real.</w:t>
            </w:r>
          </w:p>
        </w:tc>
        <w:tc>
          <w:tcPr>
            <w:tcW w:w="1247" w:type="dxa"/>
            <w:tcBorders>
              <w:top w:val="single" w:sz="8" w:space="0" w:color="000000"/>
              <w:left w:val="single" w:sz="8" w:space="0" w:color="000000"/>
              <w:right w:val="single" w:sz="4" w:space="0" w:color="C9C9C9"/>
            </w:tcBorders>
          </w:tcPr>
          <w:p>
            <w:pPr>
              <w:pStyle w:val="TableParagraph"/>
              <w:spacing w:before="100"/>
              <w:ind w:left="160" w:right="155"/>
              <w:jc w:val="center"/>
              <w:rPr>
                <w:sz w:val="14"/>
              </w:rPr>
            </w:pPr>
            <w:r>
              <w:rPr>
                <w:w w:val="105"/>
                <w:sz w:val="14"/>
              </w:rPr>
              <w:t>4.50%</w:t>
            </w:r>
          </w:p>
        </w:tc>
        <w:tc>
          <w:tcPr>
            <w:tcW w:w="1247" w:type="dxa"/>
            <w:tcBorders>
              <w:top w:val="single" w:sz="8" w:space="0" w:color="000000"/>
              <w:left w:val="single" w:sz="4" w:space="0" w:color="C9C9C9"/>
              <w:right w:val="nil"/>
            </w:tcBorders>
            <w:shd w:val="clear" w:color="auto" w:fill="92D050"/>
          </w:tcPr>
          <w:p>
            <w:pPr>
              <w:pStyle w:val="TableParagraph"/>
              <w:spacing w:before="100"/>
              <w:ind w:left="110" w:right="111"/>
              <w:jc w:val="center"/>
              <w:rPr>
                <w:sz w:val="14"/>
              </w:rPr>
            </w:pPr>
            <w:r>
              <w:rPr>
                <w:w w:val="105"/>
                <w:sz w:val="14"/>
              </w:rPr>
              <w:t>8.00%</w:t>
            </w:r>
          </w:p>
        </w:tc>
        <w:tc>
          <w:tcPr>
            <w:tcW w:w="1348" w:type="dxa"/>
            <w:tcBorders>
              <w:top w:val="single" w:sz="8" w:space="0" w:color="000000"/>
              <w:left w:val="nil"/>
              <w:bottom w:val="nil"/>
              <w:right w:val="nil"/>
            </w:tcBorders>
          </w:tcPr>
          <w:p>
            <w:pPr>
              <w:pStyle w:val="TableParagraph"/>
              <w:spacing w:before="100"/>
              <w:ind w:left="132" w:right="115"/>
              <w:jc w:val="center"/>
              <w:rPr>
                <w:sz w:val="14"/>
              </w:rPr>
            </w:pPr>
            <w:r>
              <w:rPr>
                <w:w w:val="105"/>
                <w:sz w:val="14"/>
              </w:rPr>
              <w:t>2.0</w:t>
            </w:r>
          </w:p>
        </w:tc>
      </w:tr>
      <w:tr>
        <w:trPr>
          <w:trHeight w:val="374" w:hRule="atLeast"/>
        </w:trPr>
        <w:tc>
          <w:tcPr>
            <w:tcW w:w="611" w:type="dxa"/>
            <w:tcBorders>
              <w:right w:val="single" w:sz="8" w:space="0" w:color="000000"/>
            </w:tcBorders>
            <w:shd w:val="clear" w:color="auto" w:fill="F1F1F1"/>
          </w:tcPr>
          <w:p>
            <w:pPr>
              <w:pStyle w:val="TableParagraph"/>
              <w:spacing w:before="100"/>
              <w:ind w:left="5"/>
              <w:jc w:val="center"/>
              <w:rPr>
                <w:sz w:val="14"/>
              </w:rPr>
            </w:pPr>
            <w:r>
              <w:rPr>
                <w:w w:val="103"/>
                <w:sz w:val="14"/>
              </w:rPr>
              <w:t>2</w:t>
            </w:r>
          </w:p>
        </w:tc>
        <w:tc>
          <w:tcPr>
            <w:tcW w:w="3111" w:type="dxa"/>
            <w:tcBorders>
              <w:left w:val="single" w:sz="8" w:space="0" w:color="000000"/>
              <w:right w:val="single" w:sz="8" w:space="0" w:color="000000"/>
            </w:tcBorders>
            <w:shd w:val="clear" w:color="auto" w:fill="F1F1F1"/>
          </w:tcPr>
          <w:p>
            <w:pPr>
              <w:pStyle w:val="TableParagraph"/>
              <w:spacing w:before="13"/>
              <w:ind w:left="24"/>
              <w:rPr>
                <w:sz w:val="14"/>
              </w:rPr>
            </w:pPr>
            <w:r>
              <w:rPr>
                <w:w w:val="105"/>
                <w:sz w:val="14"/>
              </w:rPr>
              <w:t>Para el año 2023 el país ocupa la posición 85 en el</w:t>
            </w:r>
          </w:p>
          <w:p>
            <w:pPr>
              <w:pStyle w:val="TableParagraph"/>
              <w:spacing w:line="149" w:lineRule="exact" w:before="32"/>
              <w:ind w:left="24"/>
              <w:rPr>
                <w:sz w:val="14"/>
              </w:rPr>
            </w:pPr>
            <w:r>
              <w:rPr>
                <w:w w:val="105"/>
                <w:sz w:val="14"/>
              </w:rPr>
              <w:t>ranking del índice de competitividad global.</w:t>
            </w:r>
          </w:p>
        </w:tc>
        <w:tc>
          <w:tcPr>
            <w:tcW w:w="1247" w:type="dxa"/>
            <w:tcBorders>
              <w:left w:val="single" w:sz="8" w:space="0" w:color="000000"/>
              <w:right w:val="single" w:sz="4" w:space="0" w:color="C9C9C9"/>
            </w:tcBorders>
          </w:tcPr>
          <w:p>
            <w:pPr>
              <w:pStyle w:val="TableParagraph"/>
              <w:spacing w:before="100"/>
              <w:ind w:left="160" w:right="150"/>
              <w:jc w:val="center"/>
              <w:rPr>
                <w:sz w:val="14"/>
              </w:rPr>
            </w:pPr>
            <w:r>
              <w:rPr>
                <w:w w:val="105"/>
                <w:sz w:val="14"/>
              </w:rPr>
              <w:t>92</w:t>
            </w:r>
          </w:p>
        </w:tc>
        <w:tc>
          <w:tcPr>
            <w:tcW w:w="1247" w:type="dxa"/>
            <w:tcBorders>
              <w:left w:val="single" w:sz="4" w:space="0" w:color="C9C9C9"/>
              <w:right w:val="nil"/>
            </w:tcBorders>
            <w:shd w:val="clear" w:color="auto" w:fill="C00000"/>
          </w:tcPr>
          <w:p>
            <w:pPr>
              <w:pStyle w:val="TableParagraph"/>
              <w:spacing w:before="100"/>
              <w:ind w:left="111" w:right="110"/>
              <w:jc w:val="center"/>
              <w:rPr>
                <w:sz w:val="14"/>
              </w:rPr>
            </w:pPr>
            <w:r>
              <w:rPr>
                <w:w w:val="105"/>
                <w:sz w:val="14"/>
              </w:rPr>
              <w:t>98</w:t>
            </w:r>
          </w:p>
        </w:tc>
        <w:tc>
          <w:tcPr>
            <w:tcW w:w="1348" w:type="dxa"/>
            <w:tcBorders>
              <w:top w:val="nil"/>
              <w:left w:val="nil"/>
              <w:bottom w:val="nil"/>
              <w:right w:val="nil"/>
            </w:tcBorders>
          </w:tcPr>
          <w:p>
            <w:pPr>
              <w:pStyle w:val="TableParagraph"/>
              <w:spacing w:before="100"/>
              <w:ind w:left="128" w:right="121"/>
              <w:jc w:val="center"/>
              <w:rPr>
                <w:sz w:val="14"/>
              </w:rPr>
            </w:pPr>
            <w:r>
              <w:rPr>
                <w:color w:val="C00000"/>
                <w:w w:val="105"/>
                <w:sz w:val="14"/>
              </w:rPr>
              <w:t>-13</w:t>
            </w:r>
          </w:p>
        </w:tc>
      </w:tr>
      <w:tr>
        <w:trPr>
          <w:trHeight w:val="374" w:hRule="atLeast"/>
        </w:trPr>
        <w:tc>
          <w:tcPr>
            <w:tcW w:w="611" w:type="dxa"/>
            <w:tcBorders>
              <w:right w:val="single" w:sz="8" w:space="0" w:color="000000"/>
            </w:tcBorders>
            <w:shd w:val="clear" w:color="auto" w:fill="F1F1F1"/>
          </w:tcPr>
          <w:p>
            <w:pPr>
              <w:pStyle w:val="TableParagraph"/>
              <w:spacing w:before="100"/>
              <w:ind w:left="5"/>
              <w:jc w:val="center"/>
              <w:rPr>
                <w:sz w:val="14"/>
              </w:rPr>
            </w:pPr>
            <w:r>
              <w:rPr>
                <w:w w:val="103"/>
                <w:sz w:val="14"/>
              </w:rPr>
              <w:t>3</w:t>
            </w:r>
          </w:p>
        </w:tc>
        <w:tc>
          <w:tcPr>
            <w:tcW w:w="3111" w:type="dxa"/>
            <w:tcBorders>
              <w:left w:val="single" w:sz="8" w:space="0" w:color="000000"/>
              <w:right w:val="single" w:sz="8" w:space="0" w:color="000000"/>
            </w:tcBorders>
            <w:shd w:val="clear" w:color="auto" w:fill="F1F1F1"/>
          </w:tcPr>
          <w:p>
            <w:pPr>
              <w:pStyle w:val="TableParagraph"/>
              <w:spacing w:before="13"/>
              <w:ind w:left="24"/>
              <w:rPr>
                <w:sz w:val="14"/>
              </w:rPr>
            </w:pPr>
            <w:r>
              <w:rPr>
                <w:w w:val="105"/>
                <w:sz w:val="14"/>
              </w:rPr>
              <w:t>Para el año 2023 el país ocupa la posición 88 en el</w:t>
            </w:r>
          </w:p>
          <w:p>
            <w:pPr>
              <w:pStyle w:val="TableParagraph"/>
              <w:spacing w:line="149" w:lineRule="exact" w:before="32"/>
              <w:ind w:left="24"/>
              <w:rPr>
                <w:sz w:val="14"/>
              </w:rPr>
            </w:pPr>
            <w:r>
              <w:rPr>
                <w:w w:val="105"/>
                <w:sz w:val="14"/>
              </w:rPr>
              <w:t>ranking del Doing Business.</w:t>
            </w:r>
          </w:p>
        </w:tc>
        <w:tc>
          <w:tcPr>
            <w:tcW w:w="1247" w:type="dxa"/>
            <w:tcBorders>
              <w:left w:val="single" w:sz="8" w:space="0" w:color="000000"/>
              <w:right w:val="single" w:sz="4" w:space="0" w:color="C9C9C9"/>
            </w:tcBorders>
          </w:tcPr>
          <w:p>
            <w:pPr>
              <w:pStyle w:val="TableParagraph"/>
              <w:spacing w:before="100"/>
              <w:ind w:left="160" w:right="150"/>
              <w:jc w:val="center"/>
              <w:rPr>
                <w:sz w:val="14"/>
              </w:rPr>
            </w:pPr>
            <w:r>
              <w:rPr>
                <w:w w:val="105"/>
                <w:sz w:val="14"/>
              </w:rPr>
              <w:t>92</w:t>
            </w:r>
          </w:p>
        </w:tc>
        <w:tc>
          <w:tcPr>
            <w:tcW w:w="1247" w:type="dxa"/>
            <w:tcBorders>
              <w:left w:val="single" w:sz="4" w:space="0" w:color="C9C9C9"/>
              <w:right w:val="nil"/>
            </w:tcBorders>
            <w:shd w:val="clear" w:color="auto" w:fill="FFC000"/>
          </w:tcPr>
          <w:p>
            <w:pPr>
              <w:pStyle w:val="TableParagraph"/>
              <w:spacing w:before="100"/>
              <w:ind w:left="111" w:right="110"/>
              <w:jc w:val="center"/>
              <w:rPr>
                <w:sz w:val="14"/>
              </w:rPr>
            </w:pPr>
            <w:r>
              <w:rPr>
                <w:w w:val="105"/>
                <w:sz w:val="14"/>
              </w:rPr>
              <w:t>96</w:t>
            </w:r>
          </w:p>
        </w:tc>
        <w:tc>
          <w:tcPr>
            <w:tcW w:w="1348" w:type="dxa"/>
            <w:tcBorders>
              <w:top w:val="nil"/>
              <w:left w:val="nil"/>
              <w:bottom w:val="nil"/>
              <w:right w:val="nil"/>
            </w:tcBorders>
          </w:tcPr>
          <w:p>
            <w:pPr>
              <w:pStyle w:val="TableParagraph"/>
              <w:spacing w:before="100"/>
              <w:ind w:left="132" w:right="115"/>
              <w:jc w:val="center"/>
              <w:rPr>
                <w:sz w:val="14"/>
              </w:rPr>
            </w:pPr>
            <w:r>
              <w:rPr>
                <w:color w:val="C00000"/>
                <w:w w:val="105"/>
                <w:sz w:val="14"/>
              </w:rPr>
              <w:t>-8</w:t>
            </w:r>
          </w:p>
        </w:tc>
      </w:tr>
      <w:tr>
        <w:trPr>
          <w:trHeight w:val="375" w:hRule="atLeast"/>
        </w:trPr>
        <w:tc>
          <w:tcPr>
            <w:tcW w:w="611" w:type="dxa"/>
            <w:tcBorders>
              <w:right w:val="single" w:sz="8" w:space="0" w:color="000000"/>
            </w:tcBorders>
            <w:shd w:val="clear" w:color="auto" w:fill="F1F1F1"/>
          </w:tcPr>
          <w:p>
            <w:pPr>
              <w:pStyle w:val="TableParagraph"/>
              <w:spacing w:before="100"/>
              <w:ind w:left="5"/>
              <w:jc w:val="center"/>
              <w:rPr>
                <w:sz w:val="14"/>
              </w:rPr>
            </w:pPr>
            <w:r>
              <w:rPr>
                <w:w w:val="103"/>
                <w:sz w:val="14"/>
              </w:rPr>
              <w:t>4</w:t>
            </w:r>
          </w:p>
        </w:tc>
        <w:tc>
          <w:tcPr>
            <w:tcW w:w="3111" w:type="dxa"/>
            <w:tcBorders>
              <w:left w:val="single" w:sz="8" w:space="0" w:color="000000"/>
              <w:right w:val="single" w:sz="8" w:space="0" w:color="000000"/>
            </w:tcBorders>
            <w:shd w:val="clear" w:color="auto" w:fill="F1F1F1"/>
          </w:tcPr>
          <w:p>
            <w:pPr>
              <w:pStyle w:val="TableParagraph"/>
              <w:spacing w:before="13"/>
              <w:ind w:left="24"/>
              <w:rPr>
                <w:sz w:val="14"/>
              </w:rPr>
            </w:pPr>
            <w:r>
              <w:rPr>
                <w:spacing w:val="2"/>
                <w:w w:val="105"/>
                <w:sz w:val="14"/>
              </w:rPr>
              <w:t>Para </w:t>
            </w:r>
            <w:r>
              <w:rPr>
                <w:w w:val="105"/>
                <w:sz w:val="14"/>
              </w:rPr>
              <w:t>el año </w:t>
            </w:r>
            <w:r>
              <w:rPr>
                <w:spacing w:val="-4"/>
                <w:w w:val="105"/>
                <w:sz w:val="14"/>
              </w:rPr>
              <w:t>2023 </w:t>
            </w:r>
            <w:r>
              <w:rPr>
                <w:w w:val="105"/>
                <w:sz w:val="14"/>
              </w:rPr>
              <w:t>se </w:t>
            </w:r>
            <w:r>
              <w:rPr>
                <w:spacing w:val="-4"/>
                <w:w w:val="105"/>
                <w:sz w:val="14"/>
              </w:rPr>
              <w:t>redujo </w:t>
            </w:r>
            <w:r>
              <w:rPr>
                <w:spacing w:val="-6"/>
                <w:w w:val="105"/>
                <w:sz w:val="14"/>
              </w:rPr>
              <w:t>la </w:t>
            </w:r>
            <w:r>
              <w:rPr>
                <w:w w:val="105"/>
                <w:sz w:val="14"/>
              </w:rPr>
              <w:t>tasa </w:t>
            </w:r>
            <w:r>
              <w:rPr>
                <w:spacing w:val="-3"/>
                <w:w w:val="105"/>
                <w:sz w:val="14"/>
              </w:rPr>
              <w:t>de </w:t>
            </w:r>
            <w:r>
              <w:rPr>
                <w:spacing w:val="-5"/>
                <w:w w:val="105"/>
                <w:sz w:val="14"/>
              </w:rPr>
              <w:t>informalidad </w:t>
            </w:r>
            <w:r>
              <w:rPr>
                <w:w w:val="105"/>
                <w:sz w:val="14"/>
              </w:rPr>
              <w:t>del</w:t>
            </w:r>
          </w:p>
          <w:p>
            <w:pPr>
              <w:pStyle w:val="TableParagraph"/>
              <w:spacing w:line="149" w:lineRule="exact" w:before="32"/>
              <w:ind w:left="24"/>
              <w:rPr>
                <w:sz w:val="14"/>
              </w:rPr>
            </w:pPr>
            <w:r>
              <w:rPr>
                <w:w w:val="105"/>
                <w:sz w:val="14"/>
              </w:rPr>
              <w:t>empleo en 6 puntos porcentuales.</w:t>
            </w:r>
          </w:p>
        </w:tc>
        <w:tc>
          <w:tcPr>
            <w:tcW w:w="1247" w:type="dxa"/>
            <w:tcBorders>
              <w:left w:val="single" w:sz="8" w:space="0" w:color="000000"/>
              <w:right w:val="single" w:sz="4" w:space="0" w:color="C9C9C9"/>
            </w:tcBorders>
          </w:tcPr>
          <w:p>
            <w:pPr>
              <w:pStyle w:val="TableParagraph"/>
              <w:spacing w:before="100"/>
              <w:ind w:left="160" w:right="161"/>
              <w:jc w:val="center"/>
              <w:rPr>
                <w:sz w:val="14"/>
              </w:rPr>
            </w:pPr>
            <w:r>
              <w:rPr>
                <w:w w:val="105"/>
                <w:sz w:val="14"/>
              </w:rPr>
              <w:t>67.00%</w:t>
            </w:r>
          </w:p>
        </w:tc>
        <w:tc>
          <w:tcPr>
            <w:tcW w:w="1247" w:type="dxa"/>
            <w:tcBorders>
              <w:left w:val="single" w:sz="4" w:space="0" w:color="C9C9C9"/>
              <w:right w:val="nil"/>
            </w:tcBorders>
            <w:shd w:val="clear" w:color="auto" w:fill="92D050"/>
          </w:tcPr>
          <w:p>
            <w:pPr>
              <w:pStyle w:val="TableParagraph"/>
              <w:spacing w:before="100"/>
              <w:ind w:left="101" w:right="111"/>
              <w:jc w:val="center"/>
              <w:rPr>
                <w:sz w:val="14"/>
              </w:rPr>
            </w:pPr>
            <w:r>
              <w:rPr>
                <w:w w:val="105"/>
                <w:sz w:val="14"/>
              </w:rPr>
              <w:t>65.30%</w:t>
            </w:r>
          </w:p>
        </w:tc>
        <w:tc>
          <w:tcPr>
            <w:tcW w:w="1348" w:type="dxa"/>
            <w:tcBorders>
              <w:top w:val="nil"/>
              <w:left w:val="nil"/>
              <w:bottom w:val="nil"/>
              <w:right w:val="nil"/>
            </w:tcBorders>
          </w:tcPr>
          <w:p>
            <w:pPr>
              <w:pStyle w:val="TableParagraph"/>
              <w:spacing w:before="100"/>
              <w:ind w:left="127" w:right="121"/>
              <w:jc w:val="center"/>
              <w:rPr>
                <w:sz w:val="14"/>
              </w:rPr>
            </w:pPr>
            <w:r>
              <w:rPr>
                <w:color w:val="C00000"/>
                <w:w w:val="105"/>
                <w:sz w:val="14"/>
              </w:rPr>
              <w:t>-1.8%</w:t>
            </w:r>
          </w:p>
        </w:tc>
      </w:tr>
      <w:tr>
        <w:trPr>
          <w:trHeight w:val="952" w:hRule="atLeast"/>
        </w:trPr>
        <w:tc>
          <w:tcPr>
            <w:tcW w:w="611" w:type="dxa"/>
            <w:tcBorders>
              <w:right w:val="single" w:sz="8" w:space="0" w:color="000000"/>
            </w:tcBorders>
            <w:shd w:val="clear" w:color="auto" w:fill="F1F1F1"/>
          </w:tcPr>
          <w:p>
            <w:pPr>
              <w:pStyle w:val="TableParagraph"/>
              <w:rPr>
                <w:b/>
                <w:sz w:val="16"/>
              </w:rPr>
            </w:pPr>
          </w:p>
          <w:p>
            <w:pPr>
              <w:pStyle w:val="TableParagraph"/>
              <w:spacing w:before="9"/>
              <w:rPr>
                <w:b/>
                <w:sz w:val="17"/>
              </w:rPr>
            </w:pPr>
          </w:p>
          <w:p>
            <w:pPr>
              <w:pStyle w:val="TableParagraph"/>
              <w:ind w:left="5"/>
              <w:jc w:val="center"/>
              <w:rPr>
                <w:sz w:val="14"/>
              </w:rPr>
            </w:pPr>
            <w:r>
              <w:rPr>
                <w:w w:val="103"/>
                <w:sz w:val="14"/>
              </w:rPr>
              <w:t>5</w:t>
            </w:r>
          </w:p>
        </w:tc>
        <w:tc>
          <w:tcPr>
            <w:tcW w:w="3111" w:type="dxa"/>
            <w:tcBorders>
              <w:left w:val="single" w:sz="8" w:space="0" w:color="000000"/>
              <w:right w:val="single" w:sz="8" w:space="0" w:color="000000"/>
            </w:tcBorders>
            <w:shd w:val="clear" w:color="auto" w:fill="F1F1F1"/>
          </w:tcPr>
          <w:p>
            <w:pPr>
              <w:pStyle w:val="TableParagraph"/>
              <w:spacing w:line="288" w:lineRule="auto" w:before="13"/>
              <w:ind w:left="24" w:right="19"/>
              <w:rPr>
                <w:sz w:val="14"/>
              </w:rPr>
            </w:pPr>
            <w:r>
              <w:rPr>
                <w:spacing w:val="2"/>
                <w:w w:val="105"/>
                <w:sz w:val="14"/>
              </w:rPr>
              <w:t>Para </w:t>
            </w:r>
            <w:r>
              <w:rPr>
                <w:w w:val="105"/>
                <w:sz w:val="14"/>
              </w:rPr>
              <w:t>el año </w:t>
            </w:r>
            <w:r>
              <w:rPr>
                <w:spacing w:val="-4"/>
                <w:w w:val="105"/>
                <w:sz w:val="14"/>
              </w:rPr>
              <w:t>2023 </w:t>
            </w:r>
            <w:r>
              <w:rPr>
                <w:w w:val="105"/>
                <w:sz w:val="14"/>
              </w:rPr>
              <w:t>se </w:t>
            </w:r>
            <w:r>
              <w:rPr>
                <w:spacing w:val="-3"/>
                <w:w w:val="105"/>
                <w:sz w:val="14"/>
              </w:rPr>
              <w:t>ha incrementado </w:t>
            </w:r>
            <w:r>
              <w:rPr>
                <w:w w:val="105"/>
                <w:sz w:val="14"/>
              </w:rPr>
              <w:t>el </w:t>
            </w:r>
            <w:r>
              <w:rPr>
                <w:spacing w:val="-3"/>
                <w:w w:val="105"/>
                <w:sz w:val="14"/>
              </w:rPr>
              <w:t>porcentaje de </w:t>
            </w:r>
            <w:r>
              <w:rPr>
                <w:w w:val="105"/>
                <w:sz w:val="14"/>
              </w:rPr>
              <w:t>hogares con </w:t>
            </w:r>
            <w:r>
              <w:rPr>
                <w:spacing w:val="2"/>
                <w:w w:val="105"/>
                <w:sz w:val="14"/>
              </w:rPr>
              <w:t>acceso </w:t>
            </w:r>
            <w:r>
              <w:rPr>
                <w:w w:val="105"/>
                <w:sz w:val="14"/>
              </w:rPr>
              <w:t>a </w:t>
            </w:r>
            <w:r>
              <w:rPr>
                <w:spacing w:val="-3"/>
                <w:w w:val="105"/>
                <w:sz w:val="14"/>
              </w:rPr>
              <w:t>energía </w:t>
            </w:r>
            <w:r>
              <w:rPr>
                <w:w w:val="105"/>
                <w:sz w:val="14"/>
              </w:rPr>
              <w:t>eléctrica en 1.86 </w:t>
            </w:r>
            <w:r>
              <w:rPr>
                <w:spacing w:val="-4"/>
                <w:w w:val="105"/>
                <w:sz w:val="14"/>
              </w:rPr>
              <w:t>puntos </w:t>
            </w:r>
            <w:r>
              <w:rPr>
                <w:w w:val="105"/>
                <w:sz w:val="14"/>
              </w:rPr>
              <w:t>porcentuales (para alcanzar en el año </w:t>
            </w:r>
            <w:r>
              <w:rPr>
                <w:spacing w:val="-3"/>
                <w:w w:val="105"/>
                <w:sz w:val="14"/>
              </w:rPr>
              <w:t>citado, </w:t>
            </w:r>
            <w:r>
              <w:rPr>
                <w:spacing w:val="-4"/>
                <w:w w:val="105"/>
                <w:sz w:val="14"/>
              </w:rPr>
              <w:t>90% </w:t>
            </w:r>
            <w:r>
              <w:rPr>
                <w:spacing w:val="-3"/>
                <w:w w:val="105"/>
                <w:sz w:val="14"/>
              </w:rPr>
              <w:t>de </w:t>
            </w:r>
            <w:r>
              <w:rPr>
                <w:w w:val="105"/>
                <w:sz w:val="14"/>
              </w:rPr>
              <w:t>hogares con </w:t>
            </w:r>
            <w:r>
              <w:rPr>
                <w:spacing w:val="2"/>
                <w:w w:val="105"/>
                <w:sz w:val="14"/>
              </w:rPr>
              <w:t>acceso </w:t>
            </w:r>
            <w:r>
              <w:rPr>
                <w:w w:val="105"/>
                <w:sz w:val="14"/>
              </w:rPr>
              <w:t>a </w:t>
            </w:r>
            <w:r>
              <w:rPr>
                <w:spacing w:val="-3"/>
                <w:w w:val="105"/>
                <w:sz w:val="14"/>
              </w:rPr>
              <w:t>energía </w:t>
            </w:r>
            <w:r>
              <w:rPr>
                <w:w w:val="105"/>
                <w:sz w:val="14"/>
              </w:rPr>
              <w:t>eléctrica en el</w:t>
            </w:r>
          </w:p>
          <w:p>
            <w:pPr>
              <w:pStyle w:val="TableParagraph"/>
              <w:spacing w:line="147" w:lineRule="exact"/>
              <w:ind w:left="24"/>
              <w:rPr>
                <w:sz w:val="14"/>
              </w:rPr>
            </w:pPr>
            <w:r>
              <w:rPr>
                <w:w w:val="105"/>
                <w:sz w:val="14"/>
              </w:rPr>
              <w:t>país)</w:t>
            </w:r>
          </w:p>
        </w:tc>
        <w:tc>
          <w:tcPr>
            <w:tcW w:w="1247" w:type="dxa"/>
            <w:tcBorders>
              <w:left w:val="single" w:sz="8" w:space="0" w:color="000000"/>
              <w:right w:val="single" w:sz="4" w:space="0" w:color="C9C9C9"/>
            </w:tcBorders>
          </w:tcPr>
          <w:p>
            <w:pPr>
              <w:pStyle w:val="TableParagraph"/>
              <w:rPr>
                <w:b/>
                <w:sz w:val="16"/>
              </w:rPr>
            </w:pPr>
          </w:p>
          <w:p>
            <w:pPr>
              <w:pStyle w:val="TableParagraph"/>
              <w:spacing w:before="7"/>
              <w:rPr>
                <w:b/>
                <w:sz w:val="18"/>
              </w:rPr>
            </w:pPr>
          </w:p>
          <w:p>
            <w:pPr>
              <w:pStyle w:val="TableParagraph"/>
              <w:ind w:left="160" w:right="161"/>
              <w:jc w:val="center"/>
              <w:rPr>
                <w:sz w:val="14"/>
              </w:rPr>
            </w:pPr>
            <w:r>
              <w:rPr>
                <w:w w:val="105"/>
                <w:sz w:val="14"/>
              </w:rPr>
              <w:t>88.39%</w:t>
            </w:r>
          </w:p>
        </w:tc>
        <w:tc>
          <w:tcPr>
            <w:tcW w:w="1247" w:type="dxa"/>
            <w:tcBorders>
              <w:left w:val="single" w:sz="4" w:space="0" w:color="C9C9C9"/>
              <w:right w:val="nil"/>
            </w:tcBorders>
            <w:shd w:val="clear" w:color="auto" w:fill="92D050"/>
          </w:tcPr>
          <w:p>
            <w:pPr>
              <w:pStyle w:val="TableParagraph"/>
              <w:rPr>
                <w:b/>
                <w:sz w:val="16"/>
              </w:rPr>
            </w:pPr>
          </w:p>
          <w:p>
            <w:pPr>
              <w:pStyle w:val="TableParagraph"/>
              <w:spacing w:before="7"/>
              <w:rPr>
                <w:b/>
                <w:sz w:val="18"/>
              </w:rPr>
            </w:pPr>
          </w:p>
          <w:p>
            <w:pPr>
              <w:pStyle w:val="TableParagraph"/>
              <w:ind w:left="101" w:right="111"/>
              <w:jc w:val="center"/>
              <w:rPr>
                <w:sz w:val="14"/>
              </w:rPr>
            </w:pPr>
            <w:r>
              <w:rPr>
                <w:w w:val="105"/>
                <w:sz w:val="14"/>
              </w:rPr>
              <w:t>89.26%</w:t>
            </w:r>
          </w:p>
        </w:tc>
        <w:tc>
          <w:tcPr>
            <w:tcW w:w="1348" w:type="dxa"/>
            <w:tcBorders>
              <w:top w:val="nil"/>
              <w:left w:val="nil"/>
              <w:bottom w:val="nil"/>
              <w:right w:val="nil"/>
            </w:tcBorders>
          </w:tcPr>
          <w:p>
            <w:pPr>
              <w:pStyle w:val="TableParagraph"/>
              <w:rPr>
                <w:b/>
                <w:sz w:val="16"/>
              </w:rPr>
            </w:pPr>
          </w:p>
          <w:p>
            <w:pPr>
              <w:pStyle w:val="TableParagraph"/>
              <w:spacing w:before="7"/>
              <w:rPr>
                <w:b/>
                <w:sz w:val="18"/>
              </w:rPr>
            </w:pPr>
          </w:p>
          <w:p>
            <w:pPr>
              <w:pStyle w:val="TableParagraph"/>
              <w:ind w:left="132" w:right="116"/>
              <w:jc w:val="center"/>
              <w:rPr>
                <w:sz w:val="14"/>
              </w:rPr>
            </w:pPr>
            <w:r>
              <w:rPr>
                <w:color w:val="C00000"/>
                <w:w w:val="105"/>
                <w:sz w:val="14"/>
              </w:rPr>
              <w:t>-0.74</w:t>
            </w:r>
          </w:p>
        </w:tc>
      </w:tr>
      <w:tr>
        <w:trPr>
          <w:trHeight w:val="375" w:hRule="atLeast"/>
        </w:trPr>
        <w:tc>
          <w:tcPr>
            <w:tcW w:w="611" w:type="dxa"/>
            <w:tcBorders>
              <w:right w:val="single" w:sz="8" w:space="0" w:color="000000"/>
            </w:tcBorders>
            <w:shd w:val="clear" w:color="auto" w:fill="F1F1F1"/>
          </w:tcPr>
          <w:p>
            <w:pPr>
              <w:pStyle w:val="TableParagraph"/>
              <w:spacing w:before="100"/>
              <w:ind w:left="5"/>
              <w:jc w:val="center"/>
              <w:rPr>
                <w:sz w:val="14"/>
              </w:rPr>
            </w:pPr>
            <w:r>
              <w:rPr>
                <w:w w:val="103"/>
                <w:sz w:val="14"/>
              </w:rPr>
              <w:t>6</w:t>
            </w:r>
          </w:p>
        </w:tc>
        <w:tc>
          <w:tcPr>
            <w:tcW w:w="3111" w:type="dxa"/>
            <w:tcBorders>
              <w:left w:val="single" w:sz="8" w:space="0" w:color="000000"/>
              <w:right w:val="single" w:sz="8" w:space="0" w:color="000000"/>
            </w:tcBorders>
            <w:shd w:val="clear" w:color="auto" w:fill="F1F1F1"/>
          </w:tcPr>
          <w:p>
            <w:pPr>
              <w:pStyle w:val="TableParagraph"/>
              <w:spacing w:before="13"/>
              <w:ind w:left="24"/>
              <w:rPr>
                <w:sz w:val="14"/>
              </w:rPr>
            </w:pPr>
            <w:r>
              <w:rPr>
                <w:spacing w:val="2"/>
                <w:w w:val="105"/>
                <w:sz w:val="14"/>
              </w:rPr>
              <w:t>Para</w:t>
            </w:r>
            <w:r>
              <w:rPr>
                <w:w w:val="105"/>
                <w:sz w:val="14"/>
              </w:rPr>
              <w:t> el año </w:t>
            </w:r>
            <w:r>
              <w:rPr>
                <w:spacing w:val="-4"/>
                <w:w w:val="105"/>
                <w:sz w:val="14"/>
              </w:rPr>
              <w:t>2023 </w:t>
            </w:r>
            <w:r>
              <w:rPr>
                <w:w w:val="105"/>
                <w:sz w:val="14"/>
              </w:rPr>
              <w:t>se </w:t>
            </w:r>
            <w:r>
              <w:rPr>
                <w:spacing w:val="-4"/>
                <w:w w:val="105"/>
                <w:sz w:val="14"/>
              </w:rPr>
              <w:t>mejoró </w:t>
            </w:r>
            <w:r>
              <w:rPr>
                <w:w w:val="105"/>
                <w:sz w:val="14"/>
              </w:rPr>
              <w:t>en </w:t>
            </w:r>
            <w:r>
              <w:rPr>
                <w:spacing w:val="-3"/>
                <w:w w:val="105"/>
                <w:sz w:val="14"/>
              </w:rPr>
              <w:t>un </w:t>
            </w:r>
            <w:r>
              <w:rPr>
                <w:spacing w:val="-4"/>
                <w:w w:val="105"/>
                <w:sz w:val="14"/>
              </w:rPr>
              <w:t>punto </w:t>
            </w:r>
            <w:r>
              <w:rPr>
                <w:w w:val="105"/>
                <w:sz w:val="14"/>
              </w:rPr>
              <w:t>porcentual el</w:t>
            </w:r>
          </w:p>
          <w:p>
            <w:pPr>
              <w:pStyle w:val="TableParagraph"/>
              <w:spacing w:line="149" w:lineRule="exact" w:before="32"/>
              <w:ind w:left="24"/>
              <w:rPr>
                <w:sz w:val="14"/>
              </w:rPr>
            </w:pPr>
            <w:r>
              <w:rPr>
                <w:w w:val="105"/>
                <w:sz w:val="14"/>
              </w:rPr>
              <w:t>índice de solvencia del sistema bancario.</w:t>
            </w:r>
          </w:p>
        </w:tc>
        <w:tc>
          <w:tcPr>
            <w:tcW w:w="1247" w:type="dxa"/>
            <w:tcBorders>
              <w:left w:val="single" w:sz="8" w:space="0" w:color="000000"/>
              <w:right w:val="single" w:sz="4" w:space="0" w:color="C9C9C9"/>
            </w:tcBorders>
          </w:tcPr>
          <w:p>
            <w:pPr>
              <w:pStyle w:val="TableParagraph"/>
              <w:spacing w:before="110"/>
              <w:ind w:left="160" w:right="161"/>
              <w:jc w:val="center"/>
              <w:rPr>
                <w:sz w:val="14"/>
              </w:rPr>
            </w:pPr>
            <w:r>
              <w:rPr>
                <w:w w:val="105"/>
                <w:sz w:val="14"/>
              </w:rPr>
              <w:t>15.00%</w:t>
            </w:r>
          </w:p>
        </w:tc>
        <w:tc>
          <w:tcPr>
            <w:tcW w:w="1247" w:type="dxa"/>
            <w:tcBorders>
              <w:left w:val="single" w:sz="4" w:space="0" w:color="C9C9C9"/>
              <w:right w:val="nil"/>
            </w:tcBorders>
            <w:shd w:val="clear" w:color="auto" w:fill="92D050"/>
          </w:tcPr>
          <w:p>
            <w:pPr>
              <w:pStyle w:val="TableParagraph"/>
              <w:spacing w:before="110"/>
              <w:ind w:left="101" w:right="111"/>
              <w:jc w:val="center"/>
              <w:rPr>
                <w:sz w:val="14"/>
              </w:rPr>
            </w:pPr>
            <w:r>
              <w:rPr>
                <w:w w:val="105"/>
                <w:sz w:val="14"/>
              </w:rPr>
              <w:t>17.26%</w:t>
            </w:r>
          </w:p>
        </w:tc>
        <w:tc>
          <w:tcPr>
            <w:tcW w:w="1348" w:type="dxa"/>
            <w:tcBorders>
              <w:top w:val="nil"/>
              <w:left w:val="nil"/>
              <w:bottom w:val="nil"/>
              <w:right w:val="nil"/>
            </w:tcBorders>
          </w:tcPr>
          <w:p>
            <w:pPr>
              <w:pStyle w:val="TableParagraph"/>
              <w:spacing w:before="110"/>
              <w:ind w:left="128" w:right="121"/>
              <w:jc w:val="center"/>
              <w:rPr>
                <w:sz w:val="14"/>
              </w:rPr>
            </w:pPr>
            <w:r>
              <w:rPr>
                <w:w w:val="105"/>
                <w:sz w:val="14"/>
              </w:rPr>
              <w:t>1.26</w:t>
            </w:r>
          </w:p>
        </w:tc>
      </w:tr>
      <w:tr>
        <w:trPr>
          <w:trHeight w:val="567" w:hRule="atLeast"/>
        </w:trPr>
        <w:tc>
          <w:tcPr>
            <w:tcW w:w="611" w:type="dxa"/>
            <w:tcBorders>
              <w:right w:val="single" w:sz="8" w:space="0" w:color="000000"/>
            </w:tcBorders>
            <w:shd w:val="clear" w:color="auto" w:fill="F1F1F1"/>
          </w:tcPr>
          <w:p>
            <w:pPr>
              <w:pStyle w:val="TableParagraph"/>
              <w:rPr>
                <w:b/>
                <w:sz w:val="17"/>
              </w:rPr>
            </w:pPr>
          </w:p>
          <w:p>
            <w:pPr>
              <w:pStyle w:val="TableParagraph"/>
              <w:spacing w:before="1"/>
              <w:ind w:left="5"/>
              <w:jc w:val="center"/>
              <w:rPr>
                <w:sz w:val="14"/>
              </w:rPr>
            </w:pPr>
            <w:r>
              <w:rPr>
                <w:w w:val="103"/>
                <w:sz w:val="14"/>
              </w:rPr>
              <w:t>7</w:t>
            </w:r>
          </w:p>
        </w:tc>
        <w:tc>
          <w:tcPr>
            <w:tcW w:w="3111" w:type="dxa"/>
            <w:tcBorders>
              <w:left w:val="single" w:sz="8" w:space="0" w:color="000000"/>
              <w:right w:val="single" w:sz="8" w:space="0" w:color="000000"/>
            </w:tcBorders>
            <w:shd w:val="clear" w:color="auto" w:fill="F1F1F1"/>
          </w:tcPr>
          <w:p>
            <w:pPr>
              <w:pStyle w:val="TableParagraph"/>
              <w:spacing w:line="288" w:lineRule="auto" w:before="13"/>
              <w:ind w:left="24"/>
              <w:rPr>
                <w:sz w:val="14"/>
              </w:rPr>
            </w:pPr>
            <w:r>
              <w:rPr>
                <w:spacing w:val="2"/>
                <w:w w:val="105"/>
                <w:sz w:val="14"/>
              </w:rPr>
              <w:t>Para</w:t>
            </w:r>
            <w:r>
              <w:rPr>
                <w:w w:val="105"/>
                <w:sz w:val="14"/>
              </w:rPr>
              <w:t> el año </w:t>
            </w:r>
            <w:r>
              <w:rPr>
                <w:spacing w:val="-4"/>
                <w:w w:val="105"/>
                <w:sz w:val="14"/>
              </w:rPr>
              <w:t>2023 </w:t>
            </w:r>
            <w:r>
              <w:rPr>
                <w:w w:val="105"/>
                <w:sz w:val="14"/>
              </w:rPr>
              <w:t>se </w:t>
            </w:r>
            <w:r>
              <w:rPr>
                <w:spacing w:val="-3"/>
                <w:w w:val="105"/>
                <w:sz w:val="14"/>
              </w:rPr>
              <w:t>incrementó </w:t>
            </w:r>
            <w:r>
              <w:rPr>
                <w:w w:val="105"/>
                <w:sz w:val="14"/>
              </w:rPr>
              <w:t>en 3.1 </w:t>
            </w:r>
            <w:r>
              <w:rPr>
                <w:spacing w:val="-6"/>
                <w:w w:val="105"/>
                <w:sz w:val="14"/>
              </w:rPr>
              <w:t>puntos </w:t>
            </w:r>
            <w:r>
              <w:rPr>
                <w:w w:val="105"/>
                <w:sz w:val="14"/>
              </w:rPr>
              <w:t>porcentuales el margen </w:t>
            </w:r>
            <w:r>
              <w:rPr>
                <w:spacing w:val="-3"/>
                <w:w w:val="105"/>
                <w:sz w:val="14"/>
              </w:rPr>
              <w:t>de </w:t>
            </w:r>
            <w:r>
              <w:rPr>
                <w:spacing w:val="-4"/>
                <w:w w:val="105"/>
                <w:sz w:val="14"/>
              </w:rPr>
              <w:t>solvencia </w:t>
            </w:r>
            <w:r>
              <w:rPr>
                <w:spacing w:val="-3"/>
                <w:w w:val="105"/>
                <w:sz w:val="14"/>
              </w:rPr>
              <w:t>de las</w:t>
            </w:r>
          </w:p>
          <w:p>
            <w:pPr>
              <w:pStyle w:val="TableParagraph"/>
              <w:spacing w:line="148" w:lineRule="exact"/>
              <w:ind w:left="24"/>
              <w:rPr>
                <w:sz w:val="14"/>
              </w:rPr>
            </w:pPr>
            <w:r>
              <w:rPr>
                <w:w w:val="105"/>
                <w:sz w:val="14"/>
              </w:rPr>
              <w:t>aseguradoras.</w:t>
            </w:r>
          </w:p>
        </w:tc>
        <w:tc>
          <w:tcPr>
            <w:tcW w:w="1247" w:type="dxa"/>
            <w:tcBorders>
              <w:left w:val="single" w:sz="8" w:space="0" w:color="000000"/>
              <w:right w:val="single" w:sz="4" w:space="0" w:color="C9C9C9"/>
            </w:tcBorders>
          </w:tcPr>
          <w:p>
            <w:pPr>
              <w:pStyle w:val="TableParagraph"/>
              <w:spacing w:before="10"/>
              <w:rPr>
                <w:b/>
                <w:sz w:val="17"/>
              </w:rPr>
            </w:pPr>
          </w:p>
          <w:p>
            <w:pPr>
              <w:pStyle w:val="TableParagraph"/>
              <w:ind w:left="160" w:right="161"/>
              <w:jc w:val="center"/>
              <w:rPr>
                <w:sz w:val="14"/>
              </w:rPr>
            </w:pPr>
            <w:r>
              <w:rPr>
                <w:w w:val="105"/>
                <w:sz w:val="14"/>
              </w:rPr>
              <w:t>68.20%</w:t>
            </w:r>
          </w:p>
        </w:tc>
        <w:tc>
          <w:tcPr>
            <w:tcW w:w="1247" w:type="dxa"/>
            <w:tcBorders>
              <w:left w:val="single" w:sz="4" w:space="0" w:color="C9C9C9"/>
              <w:right w:val="nil"/>
            </w:tcBorders>
            <w:shd w:val="clear" w:color="auto" w:fill="FFC000"/>
          </w:tcPr>
          <w:p>
            <w:pPr>
              <w:pStyle w:val="TableParagraph"/>
              <w:spacing w:before="10"/>
              <w:rPr>
                <w:b/>
                <w:sz w:val="17"/>
              </w:rPr>
            </w:pPr>
          </w:p>
          <w:p>
            <w:pPr>
              <w:pStyle w:val="TableParagraph"/>
              <w:ind w:left="101" w:right="111"/>
              <w:jc w:val="center"/>
              <w:rPr>
                <w:sz w:val="14"/>
              </w:rPr>
            </w:pPr>
            <w:r>
              <w:rPr>
                <w:w w:val="105"/>
                <w:sz w:val="14"/>
              </w:rPr>
              <w:t>67.60%</w:t>
            </w:r>
          </w:p>
        </w:tc>
        <w:tc>
          <w:tcPr>
            <w:tcW w:w="1348" w:type="dxa"/>
            <w:tcBorders>
              <w:top w:val="nil"/>
              <w:left w:val="nil"/>
              <w:bottom w:val="nil"/>
              <w:right w:val="nil"/>
            </w:tcBorders>
          </w:tcPr>
          <w:p>
            <w:pPr>
              <w:pStyle w:val="TableParagraph"/>
              <w:spacing w:before="10"/>
              <w:rPr>
                <w:b/>
                <w:sz w:val="17"/>
              </w:rPr>
            </w:pPr>
          </w:p>
          <w:p>
            <w:pPr>
              <w:pStyle w:val="TableParagraph"/>
              <w:ind w:left="128" w:right="121"/>
              <w:jc w:val="center"/>
              <w:rPr>
                <w:sz w:val="14"/>
              </w:rPr>
            </w:pPr>
            <w:r>
              <w:rPr>
                <w:color w:val="C00000"/>
                <w:w w:val="105"/>
                <w:sz w:val="14"/>
              </w:rPr>
              <w:t>-2.4</w:t>
            </w:r>
          </w:p>
        </w:tc>
      </w:tr>
      <w:tr>
        <w:trPr>
          <w:trHeight w:val="567" w:hRule="atLeast"/>
        </w:trPr>
        <w:tc>
          <w:tcPr>
            <w:tcW w:w="611" w:type="dxa"/>
            <w:tcBorders>
              <w:right w:val="single" w:sz="8" w:space="0" w:color="000000"/>
            </w:tcBorders>
            <w:shd w:val="clear" w:color="auto" w:fill="F1F1F1"/>
          </w:tcPr>
          <w:p>
            <w:pPr>
              <w:pStyle w:val="TableParagraph"/>
              <w:rPr>
                <w:b/>
                <w:sz w:val="17"/>
              </w:rPr>
            </w:pPr>
          </w:p>
          <w:p>
            <w:pPr>
              <w:pStyle w:val="TableParagraph"/>
              <w:spacing w:before="1"/>
              <w:ind w:left="5"/>
              <w:jc w:val="center"/>
              <w:rPr>
                <w:sz w:val="14"/>
              </w:rPr>
            </w:pPr>
            <w:r>
              <w:rPr>
                <w:w w:val="103"/>
                <w:sz w:val="14"/>
              </w:rPr>
              <w:t>8</w:t>
            </w:r>
          </w:p>
        </w:tc>
        <w:tc>
          <w:tcPr>
            <w:tcW w:w="3111" w:type="dxa"/>
            <w:tcBorders>
              <w:left w:val="single" w:sz="8" w:space="0" w:color="000000"/>
              <w:right w:val="single" w:sz="8" w:space="0" w:color="000000"/>
            </w:tcBorders>
            <w:shd w:val="clear" w:color="auto" w:fill="F1F1F1"/>
          </w:tcPr>
          <w:p>
            <w:pPr>
              <w:pStyle w:val="TableParagraph"/>
              <w:spacing w:line="288" w:lineRule="auto" w:before="13"/>
              <w:ind w:left="24"/>
              <w:rPr>
                <w:sz w:val="14"/>
              </w:rPr>
            </w:pPr>
            <w:r>
              <w:rPr>
                <w:spacing w:val="2"/>
                <w:w w:val="105"/>
                <w:sz w:val="14"/>
              </w:rPr>
              <w:t>Para </w:t>
            </w:r>
            <w:r>
              <w:rPr>
                <w:w w:val="105"/>
                <w:sz w:val="14"/>
              </w:rPr>
              <w:t>el año </w:t>
            </w:r>
            <w:r>
              <w:rPr>
                <w:spacing w:val="-4"/>
                <w:w w:val="105"/>
                <w:sz w:val="14"/>
              </w:rPr>
              <w:t>2023 </w:t>
            </w:r>
            <w:r>
              <w:rPr>
                <w:w w:val="105"/>
                <w:sz w:val="14"/>
              </w:rPr>
              <w:t>se </w:t>
            </w:r>
            <w:r>
              <w:rPr>
                <w:spacing w:val="-3"/>
                <w:w w:val="105"/>
                <w:sz w:val="14"/>
              </w:rPr>
              <w:t>ha incrementado </w:t>
            </w:r>
            <w:r>
              <w:rPr>
                <w:spacing w:val="-6"/>
                <w:w w:val="105"/>
                <w:sz w:val="14"/>
              </w:rPr>
              <w:t>la </w:t>
            </w:r>
            <w:r>
              <w:rPr>
                <w:w w:val="105"/>
                <w:sz w:val="14"/>
              </w:rPr>
              <w:t>cantidad </w:t>
            </w:r>
            <w:r>
              <w:rPr>
                <w:spacing w:val="-3"/>
                <w:w w:val="105"/>
                <w:sz w:val="14"/>
              </w:rPr>
              <w:t>de </w:t>
            </w:r>
            <w:r>
              <w:rPr>
                <w:w w:val="105"/>
                <w:sz w:val="14"/>
              </w:rPr>
              <w:t>recursos </w:t>
            </w:r>
            <w:r>
              <w:rPr>
                <w:spacing w:val="-3"/>
                <w:w w:val="105"/>
                <w:sz w:val="14"/>
              </w:rPr>
              <w:t>destinados </w:t>
            </w:r>
            <w:r>
              <w:rPr>
                <w:w w:val="105"/>
                <w:sz w:val="14"/>
              </w:rPr>
              <w:t>a seguro </w:t>
            </w:r>
            <w:r>
              <w:rPr>
                <w:spacing w:val="-4"/>
                <w:w w:val="105"/>
                <w:sz w:val="14"/>
              </w:rPr>
              <w:t>agrícola </w:t>
            </w:r>
            <w:r>
              <w:rPr>
                <w:w w:val="105"/>
                <w:sz w:val="14"/>
              </w:rPr>
              <w:t>para </w:t>
            </w:r>
            <w:r>
              <w:rPr>
                <w:spacing w:val="-3"/>
                <w:w w:val="105"/>
                <w:sz w:val="14"/>
              </w:rPr>
              <w:t>pequeños</w:t>
            </w:r>
          </w:p>
          <w:p>
            <w:pPr>
              <w:pStyle w:val="TableParagraph"/>
              <w:spacing w:line="148" w:lineRule="exact"/>
              <w:ind w:left="24"/>
              <w:rPr>
                <w:sz w:val="14"/>
              </w:rPr>
            </w:pPr>
            <w:r>
              <w:rPr>
                <w:w w:val="105"/>
                <w:sz w:val="14"/>
              </w:rPr>
              <w:t>parcelarios a Q 35 millones</w:t>
            </w:r>
          </w:p>
        </w:tc>
        <w:tc>
          <w:tcPr>
            <w:tcW w:w="1247" w:type="dxa"/>
            <w:tcBorders>
              <w:left w:val="single" w:sz="8" w:space="0" w:color="000000"/>
              <w:right w:val="single" w:sz="4" w:space="0" w:color="C9C9C9"/>
            </w:tcBorders>
          </w:tcPr>
          <w:p>
            <w:pPr>
              <w:pStyle w:val="TableParagraph"/>
              <w:spacing w:before="10"/>
              <w:rPr>
                <w:b/>
                <w:sz w:val="17"/>
              </w:rPr>
            </w:pPr>
          </w:p>
          <w:p>
            <w:pPr>
              <w:pStyle w:val="TableParagraph"/>
              <w:ind w:left="160" w:right="152"/>
              <w:jc w:val="center"/>
              <w:rPr>
                <w:sz w:val="14"/>
              </w:rPr>
            </w:pPr>
            <w:r>
              <w:rPr>
                <w:w w:val="105"/>
                <w:sz w:val="14"/>
              </w:rPr>
              <w:t>Q25 millones</w:t>
            </w:r>
          </w:p>
        </w:tc>
        <w:tc>
          <w:tcPr>
            <w:tcW w:w="1247" w:type="dxa"/>
            <w:tcBorders>
              <w:left w:val="single" w:sz="4" w:space="0" w:color="C9C9C9"/>
              <w:right w:val="nil"/>
            </w:tcBorders>
            <w:shd w:val="clear" w:color="auto" w:fill="FFC000"/>
          </w:tcPr>
          <w:p>
            <w:pPr>
              <w:pStyle w:val="TableParagraph"/>
              <w:spacing w:before="10"/>
              <w:rPr>
                <w:b/>
                <w:sz w:val="17"/>
              </w:rPr>
            </w:pPr>
          </w:p>
          <w:p>
            <w:pPr>
              <w:pStyle w:val="TableParagraph"/>
              <w:ind w:left="111" w:right="111"/>
              <w:jc w:val="center"/>
              <w:rPr>
                <w:sz w:val="14"/>
              </w:rPr>
            </w:pPr>
            <w:r>
              <w:rPr>
                <w:w w:val="105"/>
                <w:sz w:val="14"/>
              </w:rPr>
              <w:t>Q3.3 millones</w:t>
            </w:r>
          </w:p>
        </w:tc>
        <w:tc>
          <w:tcPr>
            <w:tcW w:w="1348" w:type="dxa"/>
            <w:tcBorders>
              <w:top w:val="nil"/>
              <w:left w:val="nil"/>
              <w:bottom w:val="nil"/>
              <w:right w:val="nil"/>
            </w:tcBorders>
          </w:tcPr>
          <w:p>
            <w:pPr>
              <w:pStyle w:val="TableParagraph"/>
              <w:spacing w:before="10"/>
              <w:rPr>
                <w:b/>
                <w:sz w:val="17"/>
              </w:rPr>
            </w:pPr>
          </w:p>
          <w:p>
            <w:pPr>
              <w:pStyle w:val="TableParagraph"/>
              <w:ind w:left="132" w:right="121"/>
              <w:jc w:val="center"/>
              <w:rPr>
                <w:sz w:val="14"/>
              </w:rPr>
            </w:pPr>
            <w:r>
              <w:rPr>
                <w:color w:val="C00000"/>
                <w:w w:val="105"/>
                <w:sz w:val="14"/>
              </w:rPr>
              <w:t>(-Q31.7 millones)</w:t>
            </w:r>
          </w:p>
        </w:tc>
      </w:tr>
      <w:tr>
        <w:trPr>
          <w:trHeight w:val="567" w:hRule="atLeast"/>
        </w:trPr>
        <w:tc>
          <w:tcPr>
            <w:tcW w:w="611" w:type="dxa"/>
            <w:tcBorders>
              <w:bottom w:val="single" w:sz="8" w:space="0" w:color="000000"/>
              <w:right w:val="single" w:sz="8" w:space="0" w:color="000000"/>
            </w:tcBorders>
            <w:shd w:val="clear" w:color="auto" w:fill="F1F1F1"/>
          </w:tcPr>
          <w:p>
            <w:pPr>
              <w:pStyle w:val="TableParagraph"/>
              <w:spacing w:before="10"/>
              <w:rPr>
                <w:b/>
                <w:sz w:val="17"/>
              </w:rPr>
            </w:pPr>
          </w:p>
          <w:p>
            <w:pPr>
              <w:pStyle w:val="TableParagraph"/>
              <w:ind w:left="5"/>
              <w:jc w:val="center"/>
              <w:rPr>
                <w:sz w:val="14"/>
              </w:rPr>
            </w:pPr>
            <w:r>
              <w:rPr>
                <w:w w:val="103"/>
                <w:sz w:val="14"/>
              </w:rPr>
              <w:t>9</w:t>
            </w:r>
          </w:p>
        </w:tc>
        <w:tc>
          <w:tcPr>
            <w:tcW w:w="3111" w:type="dxa"/>
            <w:tcBorders>
              <w:left w:val="single" w:sz="8" w:space="0" w:color="000000"/>
              <w:bottom w:val="single" w:sz="8" w:space="0" w:color="000000"/>
              <w:right w:val="single" w:sz="8" w:space="0" w:color="000000"/>
            </w:tcBorders>
            <w:shd w:val="clear" w:color="auto" w:fill="F1F1F1"/>
          </w:tcPr>
          <w:p>
            <w:pPr>
              <w:pStyle w:val="TableParagraph"/>
              <w:spacing w:line="288" w:lineRule="auto" w:before="4"/>
              <w:ind w:left="24"/>
              <w:rPr>
                <w:sz w:val="14"/>
              </w:rPr>
            </w:pPr>
            <w:r>
              <w:rPr>
                <w:spacing w:val="2"/>
                <w:w w:val="105"/>
                <w:sz w:val="14"/>
              </w:rPr>
              <w:t>Para </w:t>
            </w:r>
            <w:r>
              <w:rPr>
                <w:w w:val="105"/>
                <w:sz w:val="14"/>
              </w:rPr>
              <w:t>el año </w:t>
            </w:r>
            <w:r>
              <w:rPr>
                <w:spacing w:val="-4"/>
                <w:w w:val="105"/>
                <w:sz w:val="14"/>
              </w:rPr>
              <w:t>2023 </w:t>
            </w:r>
            <w:r>
              <w:rPr>
                <w:w w:val="105"/>
                <w:sz w:val="14"/>
              </w:rPr>
              <w:t>se </w:t>
            </w:r>
            <w:r>
              <w:rPr>
                <w:spacing w:val="-3"/>
                <w:w w:val="105"/>
                <w:sz w:val="14"/>
              </w:rPr>
              <w:t>ha incrementado </w:t>
            </w:r>
            <w:r>
              <w:rPr>
                <w:w w:val="105"/>
                <w:sz w:val="14"/>
              </w:rPr>
              <w:t>el </w:t>
            </w:r>
            <w:r>
              <w:rPr>
                <w:spacing w:val="-4"/>
                <w:w w:val="105"/>
                <w:sz w:val="14"/>
              </w:rPr>
              <w:t>monto </w:t>
            </w:r>
            <w:r>
              <w:rPr>
                <w:spacing w:val="-3"/>
                <w:w w:val="105"/>
                <w:sz w:val="14"/>
              </w:rPr>
              <w:t>de </w:t>
            </w:r>
            <w:r>
              <w:rPr>
                <w:spacing w:val="-6"/>
                <w:w w:val="105"/>
                <w:sz w:val="14"/>
              </w:rPr>
              <w:t>los </w:t>
            </w:r>
            <w:r>
              <w:rPr>
                <w:spacing w:val="-3"/>
                <w:w w:val="105"/>
                <w:sz w:val="14"/>
              </w:rPr>
              <w:t>créditos </w:t>
            </w:r>
            <w:r>
              <w:rPr>
                <w:w w:val="105"/>
                <w:sz w:val="14"/>
              </w:rPr>
              <w:t>para </w:t>
            </w:r>
            <w:r>
              <w:rPr>
                <w:spacing w:val="-4"/>
                <w:w w:val="105"/>
                <w:sz w:val="14"/>
              </w:rPr>
              <w:t>emprendimientos </w:t>
            </w:r>
            <w:r>
              <w:rPr>
                <w:spacing w:val="-3"/>
                <w:w w:val="105"/>
                <w:sz w:val="14"/>
              </w:rPr>
              <w:t>de </w:t>
            </w:r>
            <w:r>
              <w:rPr>
                <w:spacing w:val="-5"/>
                <w:w w:val="105"/>
                <w:sz w:val="14"/>
              </w:rPr>
              <w:t>familias </w:t>
            </w:r>
            <w:r>
              <w:rPr>
                <w:spacing w:val="-3"/>
                <w:w w:val="105"/>
                <w:sz w:val="14"/>
              </w:rPr>
              <w:t>pobres </w:t>
            </w:r>
            <w:r>
              <w:rPr>
                <w:w w:val="105"/>
                <w:sz w:val="14"/>
              </w:rPr>
              <w:t>a</w:t>
            </w:r>
          </w:p>
          <w:p>
            <w:pPr>
              <w:pStyle w:val="TableParagraph"/>
              <w:spacing w:line="157" w:lineRule="exact"/>
              <w:ind w:left="24"/>
              <w:rPr>
                <w:sz w:val="14"/>
              </w:rPr>
            </w:pPr>
            <w:r>
              <w:rPr>
                <w:w w:val="105"/>
                <w:sz w:val="14"/>
              </w:rPr>
              <w:t>Q 200 millones</w:t>
            </w:r>
          </w:p>
        </w:tc>
        <w:tc>
          <w:tcPr>
            <w:tcW w:w="1247" w:type="dxa"/>
            <w:tcBorders>
              <w:left w:val="single" w:sz="8" w:space="0" w:color="000000"/>
              <w:bottom w:val="single" w:sz="8" w:space="0" w:color="000000"/>
              <w:right w:val="single" w:sz="4" w:space="0" w:color="C9C9C9"/>
            </w:tcBorders>
          </w:tcPr>
          <w:p>
            <w:pPr>
              <w:pStyle w:val="TableParagraph"/>
              <w:spacing w:before="10"/>
              <w:rPr>
                <w:b/>
                <w:sz w:val="17"/>
              </w:rPr>
            </w:pPr>
          </w:p>
          <w:p>
            <w:pPr>
              <w:pStyle w:val="TableParagraph"/>
              <w:ind w:left="160" w:right="161"/>
              <w:jc w:val="center"/>
              <w:rPr>
                <w:sz w:val="14"/>
              </w:rPr>
            </w:pPr>
            <w:r>
              <w:rPr>
                <w:w w:val="105"/>
                <w:sz w:val="14"/>
              </w:rPr>
              <w:t>Q125 millones</w:t>
            </w:r>
          </w:p>
        </w:tc>
        <w:tc>
          <w:tcPr>
            <w:tcW w:w="1247" w:type="dxa"/>
            <w:tcBorders>
              <w:left w:val="single" w:sz="4" w:space="0" w:color="C9C9C9"/>
              <w:bottom w:val="single" w:sz="8" w:space="0" w:color="000000"/>
              <w:right w:val="nil"/>
            </w:tcBorders>
            <w:shd w:val="clear" w:color="auto" w:fill="92D050"/>
          </w:tcPr>
          <w:p>
            <w:pPr>
              <w:pStyle w:val="TableParagraph"/>
              <w:spacing w:before="10"/>
              <w:rPr>
                <w:b/>
                <w:sz w:val="17"/>
              </w:rPr>
            </w:pPr>
          </w:p>
          <w:p>
            <w:pPr>
              <w:pStyle w:val="TableParagraph"/>
              <w:ind w:left="111" w:right="111"/>
              <w:jc w:val="center"/>
              <w:rPr>
                <w:sz w:val="14"/>
              </w:rPr>
            </w:pPr>
            <w:r>
              <w:rPr>
                <w:w w:val="105"/>
                <w:sz w:val="14"/>
              </w:rPr>
              <w:t>Q197.1 millones</w:t>
            </w:r>
          </w:p>
        </w:tc>
        <w:tc>
          <w:tcPr>
            <w:tcW w:w="1348" w:type="dxa"/>
            <w:tcBorders>
              <w:top w:val="nil"/>
              <w:left w:val="nil"/>
              <w:bottom w:val="single" w:sz="8" w:space="0" w:color="000000"/>
              <w:right w:val="nil"/>
            </w:tcBorders>
          </w:tcPr>
          <w:p>
            <w:pPr>
              <w:pStyle w:val="TableParagraph"/>
              <w:spacing w:before="10"/>
              <w:rPr>
                <w:b/>
                <w:sz w:val="17"/>
              </w:rPr>
            </w:pPr>
          </w:p>
          <w:p>
            <w:pPr>
              <w:pStyle w:val="TableParagraph"/>
              <w:ind w:left="122" w:right="121"/>
              <w:jc w:val="center"/>
              <w:rPr>
                <w:sz w:val="14"/>
              </w:rPr>
            </w:pPr>
            <w:r>
              <w:rPr>
                <w:color w:val="C00000"/>
                <w:w w:val="105"/>
                <w:sz w:val="14"/>
              </w:rPr>
              <w:t>(-Q2.9 millones)</w:t>
            </w:r>
          </w:p>
        </w:tc>
      </w:tr>
    </w:tbl>
    <w:p>
      <w:pPr>
        <w:spacing w:before="168"/>
        <w:ind w:left="1978" w:right="0" w:firstLine="0"/>
        <w:jc w:val="left"/>
        <w:rPr>
          <w:sz w:val="16"/>
        </w:rPr>
      </w:pPr>
      <w:r>
        <w:rPr>
          <w:sz w:val="16"/>
        </w:rPr>
        <w:t>Fuente: SEGEPLAN</w:t>
      </w:r>
    </w:p>
    <w:p>
      <w:pPr>
        <w:pStyle w:val="BodyText"/>
        <w:spacing w:before="1"/>
        <w:rPr>
          <w:sz w:val="21"/>
        </w:rPr>
      </w:pPr>
    </w:p>
    <w:p>
      <w:pPr>
        <w:pStyle w:val="Heading3"/>
        <w:ind w:left="562"/>
        <w:jc w:val="both"/>
      </w:pPr>
      <w:r>
        <w:rPr/>
        <w:t>Pilar 2: Desarrollo Social</w:t>
      </w:r>
    </w:p>
    <w:p>
      <w:pPr>
        <w:pStyle w:val="BodyText"/>
        <w:spacing w:before="1"/>
        <w:rPr>
          <w:b/>
          <w:sz w:val="28"/>
        </w:rPr>
      </w:pPr>
    </w:p>
    <w:p>
      <w:pPr>
        <w:pStyle w:val="BodyText"/>
        <w:spacing w:line="276" w:lineRule="auto"/>
        <w:ind w:left="562" w:right="1697"/>
        <w:jc w:val="both"/>
      </w:pPr>
      <w:r>
        <w:rPr/>
        <w:t>Este pilar contiene 25 indicadores, siendo el pilar con el mayor número de indicadores, estando divididos</w:t>
      </w:r>
      <w:r>
        <w:rPr>
          <w:spacing w:val="-9"/>
        </w:rPr>
        <w:t> </w:t>
      </w:r>
      <w:r>
        <w:rPr/>
        <w:t>en</w:t>
      </w:r>
      <w:r>
        <w:rPr>
          <w:spacing w:val="-11"/>
        </w:rPr>
        <w:t> </w:t>
      </w:r>
      <w:r>
        <w:rPr/>
        <w:t>los</w:t>
      </w:r>
      <w:r>
        <w:rPr>
          <w:spacing w:val="-10"/>
        </w:rPr>
        <w:t> </w:t>
      </w:r>
      <w:r>
        <w:rPr/>
        <w:t>sectores</w:t>
      </w:r>
      <w:r>
        <w:rPr>
          <w:spacing w:val="-10"/>
        </w:rPr>
        <w:t> </w:t>
      </w:r>
      <w:r>
        <w:rPr/>
        <w:t>de</w:t>
      </w:r>
      <w:r>
        <w:rPr>
          <w:spacing w:val="-13"/>
        </w:rPr>
        <w:t> </w:t>
      </w:r>
      <w:r>
        <w:rPr/>
        <w:t>educación,</w:t>
      </w:r>
      <w:r>
        <w:rPr>
          <w:spacing w:val="-9"/>
        </w:rPr>
        <w:t> </w:t>
      </w:r>
      <w:r>
        <w:rPr/>
        <w:t>salud</w:t>
      </w:r>
      <w:r>
        <w:rPr>
          <w:spacing w:val="-11"/>
        </w:rPr>
        <w:t> </w:t>
      </w:r>
      <w:r>
        <w:rPr/>
        <w:t>y</w:t>
      </w:r>
      <w:r>
        <w:rPr>
          <w:spacing w:val="-11"/>
        </w:rPr>
        <w:t> </w:t>
      </w:r>
      <w:r>
        <w:rPr/>
        <w:t>protección</w:t>
      </w:r>
      <w:r>
        <w:rPr>
          <w:spacing w:val="-9"/>
        </w:rPr>
        <w:t> </w:t>
      </w:r>
      <w:r>
        <w:rPr/>
        <w:t>social</w:t>
      </w:r>
      <w:r>
        <w:rPr>
          <w:spacing w:val="-8"/>
        </w:rPr>
        <w:t> </w:t>
      </w:r>
      <w:r>
        <w:rPr/>
        <w:t>y</w:t>
      </w:r>
      <w:r>
        <w:rPr>
          <w:spacing w:val="-11"/>
        </w:rPr>
        <w:t> </w:t>
      </w:r>
      <w:r>
        <w:rPr/>
        <w:t>vivienda.</w:t>
      </w:r>
      <w:r>
        <w:rPr>
          <w:spacing w:val="-11"/>
        </w:rPr>
        <w:t> </w:t>
      </w:r>
      <w:r>
        <w:rPr/>
        <w:t>Es</w:t>
      </w:r>
      <w:r>
        <w:rPr>
          <w:spacing w:val="-6"/>
        </w:rPr>
        <w:t> </w:t>
      </w:r>
      <w:r>
        <w:rPr/>
        <w:t>uno</w:t>
      </w:r>
      <w:r>
        <w:rPr>
          <w:spacing w:val="-11"/>
        </w:rPr>
        <w:t> </w:t>
      </w:r>
      <w:r>
        <w:rPr/>
        <w:t>de</w:t>
      </w:r>
      <w:r>
        <w:rPr>
          <w:spacing w:val="-11"/>
        </w:rPr>
        <w:t> </w:t>
      </w:r>
      <w:r>
        <w:rPr/>
        <w:t>los</w:t>
      </w:r>
      <w:r>
        <w:rPr>
          <w:spacing w:val="-11"/>
        </w:rPr>
        <w:t> </w:t>
      </w:r>
      <w:r>
        <w:rPr/>
        <w:t>pilares</w:t>
      </w:r>
      <w:r>
        <w:rPr>
          <w:spacing w:val="-10"/>
        </w:rPr>
        <w:t> </w:t>
      </w:r>
      <w:r>
        <w:rPr/>
        <w:t>más importantes que coincide con todas las metas y objetivos de los instrumentos de planificación, incluyendo las metas e indicadores de los Resultados Estratégicos de Desarrollo</w:t>
      </w:r>
      <w:r>
        <w:rPr>
          <w:spacing w:val="-13"/>
        </w:rPr>
        <w:t> </w:t>
      </w:r>
      <w:r>
        <w:rPr/>
        <w:t>(RED).</w:t>
      </w:r>
    </w:p>
    <w:p>
      <w:pPr>
        <w:pStyle w:val="BodyText"/>
        <w:rPr>
          <w:sz w:val="21"/>
        </w:rPr>
      </w:pPr>
    </w:p>
    <w:p>
      <w:pPr>
        <w:pStyle w:val="Heading3"/>
        <w:numPr>
          <w:ilvl w:val="0"/>
          <w:numId w:val="30"/>
        </w:numPr>
        <w:tabs>
          <w:tab w:pos="1281" w:val="left" w:leader="none"/>
          <w:tab w:pos="1282" w:val="left" w:leader="none"/>
        </w:tabs>
        <w:spacing w:line="240" w:lineRule="auto" w:before="0" w:after="0"/>
        <w:ind w:left="1282" w:right="0" w:hanging="361"/>
        <w:jc w:val="left"/>
      </w:pPr>
      <w:r>
        <w:rPr/>
        <w:t>Metas alcanzadas o</w:t>
      </w:r>
      <w:r>
        <w:rPr>
          <w:spacing w:val="-3"/>
        </w:rPr>
        <w:t> </w:t>
      </w:r>
      <w:r>
        <w:rPr/>
        <w:t>superadas</w:t>
      </w:r>
    </w:p>
    <w:p>
      <w:pPr>
        <w:pStyle w:val="BodyText"/>
        <w:spacing w:before="4"/>
        <w:rPr>
          <w:b/>
          <w:sz w:val="21"/>
        </w:rPr>
      </w:pPr>
    </w:p>
    <w:p>
      <w:pPr>
        <w:pStyle w:val="ListParagraph"/>
        <w:numPr>
          <w:ilvl w:val="1"/>
          <w:numId w:val="30"/>
        </w:numPr>
        <w:tabs>
          <w:tab w:pos="1630" w:val="left" w:leader="none"/>
        </w:tabs>
        <w:spacing w:line="240" w:lineRule="auto" w:before="0" w:after="0"/>
        <w:ind w:left="1630" w:right="0" w:hanging="360"/>
        <w:jc w:val="both"/>
        <w:rPr>
          <w:sz w:val="22"/>
        </w:rPr>
      </w:pPr>
      <w:r>
        <w:rPr>
          <w:sz w:val="22"/>
        </w:rPr>
        <w:t>La tasa neta de cobertura del nivel pre primario al 2021 ascendió a</w:t>
      </w:r>
      <w:r>
        <w:rPr>
          <w:spacing w:val="-1"/>
          <w:sz w:val="22"/>
        </w:rPr>
        <w:t> </w:t>
      </w:r>
      <w:r>
        <w:rPr>
          <w:sz w:val="22"/>
        </w:rPr>
        <w:t>62.59%.</w:t>
      </w:r>
    </w:p>
    <w:p>
      <w:pPr>
        <w:pStyle w:val="ListParagraph"/>
        <w:numPr>
          <w:ilvl w:val="1"/>
          <w:numId w:val="30"/>
        </w:numPr>
        <w:tabs>
          <w:tab w:pos="1630" w:val="left" w:leader="none"/>
        </w:tabs>
        <w:spacing w:line="276" w:lineRule="auto" w:before="38" w:after="0"/>
        <w:ind w:left="1630" w:right="1696" w:hanging="360"/>
        <w:jc w:val="both"/>
        <w:rPr>
          <w:sz w:val="22"/>
        </w:rPr>
      </w:pPr>
      <w:r>
        <w:rPr>
          <w:sz w:val="22"/>
        </w:rPr>
        <w:t>La tasa neta de cobertura del nivel primario al 2021, ascendió a 95.03%, siendo importante que el Ministerio de Educación (Mineduc) mantenga o amplíe la</w:t>
      </w:r>
      <w:r>
        <w:rPr>
          <w:spacing w:val="-14"/>
          <w:sz w:val="22"/>
        </w:rPr>
        <w:t> </w:t>
      </w:r>
      <w:r>
        <w:rPr>
          <w:sz w:val="22"/>
        </w:rPr>
        <w:t>cobertura.</w:t>
      </w:r>
    </w:p>
    <w:p>
      <w:pPr>
        <w:pStyle w:val="ListParagraph"/>
        <w:numPr>
          <w:ilvl w:val="1"/>
          <w:numId w:val="30"/>
        </w:numPr>
        <w:tabs>
          <w:tab w:pos="1630" w:val="left" w:leader="none"/>
        </w:tabs>
        <w:spacing w:line="276" w:lineRule="auto" w:before="1" w:after="0"/>
        <w:ind w:left="1630" w:right="1696" w:hanging="360"/>
        <w:jc w:val="both"/>
        <w:rPr>
          <w:sz w:val="22"/>
        </w:rPr>
      </w:pPr>
      <w:r>
        <w:rPr>
          <w:sz w:val="22"/>
        </w:rPr>
        <w:t>Del</w:t>
      </w:r>
      <w:r>
        <w:rPr>
          <w:spacing w:val="-4"/>
          <w:sz w:val="22"/>
        </w:rPr>
        <w:t> </w:t>
      </w:r>
      <w:r>
        <w:rPr>
          <w:sz w:val="22"/>
        </w:rPr>
        <w:t>número</w:t>
      </w:r>
      <w:r>
        <w:rPr>
          <w:spacing w:val="-4"/>
          <w:sz w:val="22"/>
        </w:rPr>
        <w:t> </w:t>
      </w:r>
      <w:r>
        <w:rPr>
          <w:sz w:val="22"/>
        </w:rPr>
        <w:t>de</w:t>
      </w:r>
      <w:r>
        <w:rPr>
          <w:spacing w:val="-3"/>
          <w:sz w:val="22"/>
        </w:rPr>
        <w:t> </w:t>
      </w:r>
      <w:r>
        <w:rPr>
          <w:sz w:val="22"/>
        </w:rPr>
        <w:t>maestros,</w:t>
      </w:r>
      <w:r>
        <w:rPr>
          <w:spacing w:val="-4"/>
          <w:sz w:val="22"/>
        </w:rPr>
        <w:t> </w:t>
      </w:r>
      <w:r>
        <w:rPr>
          <w:sz w:val="22"/>
        </w:rPr>
        <w:t>al</w:t>
      </w:r>
      <w:r>
        <w:rPr>
          <w:spacing w:val="-5"/>
          <w:sz w:val="22"/>
        </w:rPr>
        <w:t> </w:t>
      </w:r>
      <w:r>
        <w:rPr>
          <w:sz w:val="22"/>
        </w:rPr>
        <w:t>2021</w:t>
      </w:r>
      <w:r>
        <w:rPr>
          <w:spacing w:val="-4"/>
          <w:sz w:val="22"/>
        </w:rPr>
        <w:t> </w:t>
      </w:r>
      <w:r>
        <w:rPr>
          <w:sz w:val="22"/>
        </w:rPr>
        <w:t>se</w:t>
      </w:r>
      <w:r>
        <w:rPr>
          <w:spacing w:val="-3"/>
          <w:sz w:val="22"/>
        </w:rPr>
        <w:t> </w:t>
      </w:r>
      <w:r>
        <w:rPr>
          <w:sz w:val="22"/>
        </w:rPr>
        <w:t>presenta</w:t>
      </w:r>
      <w:r>
        <w:rPr>
          <w:spacing w:val="-4"/>
          <w:sz w:val="22"/>
        </w:rPr>
        <w:t> </w:t>
      </w:r>
      <w:r>
        <w:rPr>
          <w:sz w:val="22"/>
        </w:rPr>
        <w:t>un</w:t>
      </w:r>
      <w:r>
        <w:rPr>
          <w:spacing w:val="-4"/>
          <w:sz w:val="22"/>
        </w:rPr>
        <w:t> </w:t>
      </w:r>
      <w:r>
        <w:rPr>
          <w:sz w:val="22"/>
        </w:rPr>
        <w:t>incremento</w:t>
      </w:r>
      <w:r>
        <w:rPr>
          <w:spacing w:val="-4"/>
          <w:sz w:val="22"/>
        </w:rPr>
        <w:t> </w:t>
      </w:r>
      <w:r>
        <w:rPr>
          <w:sz w:val="22"/>
        </w:rPr>
        <w:t>de</w:t>
      </w:r>
      <w:r>
        <w:rPr>
          <w:spacing w:val="-3"/>
          <w:sz w:val="22"/>
        </w:rPr>
        <w:t> </w:t>
      </w:r>
      <w:r>
        <w:rPr>
          <w:sz w:val="22"/>
        </w:rPr>
        <w:t>5,062</w:t>
      </w:r>
      <w:r>
        <w:rPr>
          <w:spacing w:val="-5"/>
          <w:sz w:val="22"/>
        </w:rPr>
        <w:t> </w:t>
      </w:r>
      <w:r>
        <w:rPr>
          <w:sz w:val="22"/>
        </w:rPr>
        <w:t>contrataciones,</w:t>
      </w:r>
      <w:r>
        <w:rPr>
          <w:spacing w:val="1"/>
          <w:sz w:val="22"/>
        </w:rPr>
        <w:t> </w:t>
      </w:r>
      <w:r>
        <w:rPr>
          <w:sz w:val="22"/>
        </w:rPr>
        <w:t>por lo cual la meta se ha</w:t>
      </w:r>
      <w:r>
        <w:rPr>
          <w:spacing w:val="-4"/>
          <w:sz w:val="22"/>
        </w:rPr>
        <w:t> </w:t>
      </w:r>
      <w:r>
        <w:rPr>
          <w:sz w:val="22"/>
        </w:rPr>
        <w:t>superado.</w:t>
      </w:r>
    </w:p>
    <w:p>
      <w:pPr>
        <w:pStyle w:val="ListParagraph"/>
        <w:numPr>
          <w:ilvl w:val="1"/>
          <w:numId w:val="30"/>
        </w:numPr>
        <w:tabs>
          <w:tab w:pos="1630" w:val="left" w:leader="none"/>
        </w:tabs>
        <w:spacing w:line="252" w:lineRule="exact" w:before="0" w:after="0"/>
        <w:ind w:left="1630" w:right="0" w:hanging="360"/>
        <w:jc w:val="both"/>
        <w:rPr>
          <w:sz w:val="22"/>
        </w:rPr>
      </w:pPr>
      <w:r>
        <w:rPr>
          <w:sz w:val="22"/>
        </w:rPr>
        <w:t>Respecto al dato de Mortalidad Infantil este fue de 21 superando la proyección de</w:t>
      </w:r>
      <w:r>
        <w:rPr>
          <w:spacing w:val="-12"/>
          <w:sz w:val="22"/>
        </w:rPr>
        <w:t> </w:t>
      </w:r>
      <w:r>
        <w:rPr>
          <w:sz w:val="22"/>
        </w:rPr>
        <w:t>2021.</w:t>
      </w:r>
    </w:p>
    <w:p>
      <w:pPr>
        <w:pStyle w:val="ListParagraph"/>
        <w:numPr>
          <w:ilvl w:val="1"/>
          <w:numId w:val="30"/>
        </w:numPr>
        <w:tabs>
          <w:tab w:pos="1630" w:val="left" w:leader="none"/>
        </w:tabs>
        <w:spacing w:line="276" w:lineRule="auto" w:before="38" w:after="0"/>
        <w:ind w:left="1630" w:right="1696" w:hanging="360"/>
        <w:jc w:val="both"/>
        <w:rPr>
          <w:sz w:val="22"/>
        </w:rPr>
      </w:pPr>
      <w:r>
        <w:rPr>
          <w:sz w:val="22"/>
        </w:rPr>
        <w:t>De la reducción de la morbilidad infantil, al 2021 podría haber una disminución considerable (más del 5% anual), pero podría estar sesgado por el cierre temporal de la consulta externa en varios hospitales y centros de salud, debido a la pandemia COVID- 19.</w:t>
      </w:r>
    </w:p>
    <w:p>
      <w:pPr>
        <w:pStyle w:val="ListParagraph"/>
        <w:numPr>
          <w:ilvl w:val="1"/>
          <w:numId w:val="30"/>
        </w:numPr>
        <w:tabs>
          <w:tab w:pos="1630" w:val="left" w:leader="none"/>
        </w:tabs>
        <w:spacing w:line="276" w:lineRule="auto" w:before="0" w:after="0"/>
        <w:ind w:left="1630" w:right="1696" w:hanging="360"/>
        <w:jc w:val="both"/>
        <w:rPr>
          <w:sz w:val="22"/>
        </w:rPr>
      </w:pPr>
      <w:r>
        <w:rPr>
          <w:sz w:val="22"/>
        </w:rPr>
        <w:t>De la meta de aumento de niños y niñas con esquema de vacunación completa, para </w:t>
      </w:r>
      <w:r>
        <w:rPr>
          <w:spacing w:val="-3"/>
          <w:sz w:val="22"/>
        </w:rPr>
        <w:t>el </w:t>
      </w:r>
      <w:r>
        <w:rPr>
          <w:sz w:val="22"/>
        </w:rPr>
        <w:t>2021 fue del 68%. Por medio del Programa de Inmunizaciones del MSPAS, se contemplaron</w:t>
      </w:r>
      <w:r>
        <w:rPr>
          <w:spacing w:val="-16"/>
          <w:sz w:val="22"/>
        </w:rPr>
        <w:t> </w:t>
      </w:r>
      <w:r>
        <w:rPr>
          <w:sz w:val="22"/>
        </w:rPr>
        <w:t>estrategias</w:t>
      </w:r>
      <w:r>
        <w:rPr>
          <w:spacing w:val="-15"/>
          <w:sz w:val="22"/>
        </w:rPr>
        <w:t> </w:t>
      </w:r>
      <w:r>
        <w:rPr>
          <w:sz w:val="22"/>
        </w:rPr>
        <w:t>y</w:t>
      </w:r>
      <w:r>
        <w:rPr>
          <w:spacing w:val="-16"/>
          <w:sz w:val="22"/>
        </w:rPr>
        <w:t> </w:t>
      </w:r>
      <w:r>
        <w:rPr>
          <w:sz w:val="22"/>
        </w:rPr>
        <w:t>campañas</w:t>
      </w:r>
      <w:r>
        <w:rPr>
          <w:spacing w:val="-15"/>
          <w:sz w:val="22"/>
        </w:rPr>
        <w:t> </w:t>
      </w:r>
      <w:r>
        <w:rPr>
          <w:sz w:val="22"/>
        </w:rPr>
        <w:t>de</w:t>
      </w:r>
      <w:r>
        <w:rPr>
          <w:spacing w:val="-15"/>
          <w:sz w:val="22"/>
        </w:rPr>
        <w:t> </w:t>
      </w:r>
      <w:r>
        <w:rPr>
          <w:sz w:val="22"/>
        </w:rPr>
        <w:t>vacunación</w:t>
      </w:r>
      <w:r>
        <w:rPr>
          <w:spacing w:val="-15"/>
          <w:sz w:val="22"/>
        </w:rPr>
        <w:t> </w:t>
      </w:r>
      <w:r>
        <w:rPr>
          <w:sz w:val="22"/>
        </w:rPr>
        <w:t>que</w:t>
      </w:r>
      <w:r>
        <w:rPr>
          <w:spacing w:val="-15"/>
          <w:sz w:val="22"/>
        </w:rPr>
        <w:t> </w:t>
      </w:r>
      <w:r>
        <w:rPr>
          <w:sz w:val="22"/>
        </w:rPr>
        <w:t>propiciaron</w:t>
      </w:r>
      <w:r>
        <w:rPr>
          <w:spacing w:val="-16"/>
          <w:sz w:val="22"/>
        </w:rPr>
        <w:t> </w:t>
      </w:r>
      <w:r>
        <w:rPr>
          <w:sz w:val="22"/>
        </w:rPr>
        <w:t>el</w:t>
      </w:r>
      <w:r>
        <w:rPr>
          <w:spacing w:val="-15"/>
          <w:sz w:val="22"/>
        </w:rPr>
        <w:t> </w:t>
      </w:r>
      <w:r>
        <w:rPr>
          <w:sz w:val="22"/>
        </w:rPr>
        <w:t>alcance</w:t>
      </w:r>
      <w:r>
        <w:rPr>
          <w:spacing w:val="-15"/>
          <w:sz w:val="22"/>
        </w:rPr>
        <w:t> </w:t>
      </w:r>
      <w:r>
        <w:rPr>
          <w:sz w:val="22"/>
        </w:rPr>
        <w:t>de</w:t>
      </w:r>
      <w:r>
        <w:rPr>
          <w:spacing w:val="-15"/>
          <w:sz w:val="22"/>
        </w:rPr>
        <w:t> </w:t>
      </w:r>
      <w:r>
        <w:rPr>
          <w:sz w:val="22"/>
        </w:rPr>
        <w:t>la</w:t>
      </w:r>
      <w:r>
        <w:rPr>
          <w:spacing w:val="-14"/>
          <w:sz w:val="22"/>
        </w:rPr>
        <w:t> </w:t>
      </w:r>
      <w:r>
        <w:rPr>
          <w:sz w:val="22"/>
        </w:rPr>
        <w:t>meta proyectada.</w:t>
      </w:r>
    </w:p>
    <w:p>
      <w:pPr>
        <w:spacing w:after="0" w:line="276" w:lineRule="auto"/>
        <w:jc w:val="both"/>
        <w:rPr>
          <w:sz w:val="22"/>
        </w:rPr>
        <w:sectPr>
          <w:pgSz w:w="12240" w:h="15840"/>
          <w:pgMar w:header="715" w:footer="957" w:top="1240" w:bottom="1140" w:left="1140" w:right="0"/>
        </w:sectPr>
      </w:pPr>
    </w:p>
    <w:p>
      <w:pPr>
        <w:pStyle w:val="ListParagraph"/>
        <w:numPr>
          <w:ilvl w:val="1"/>
          <w:numId w:val="30"/>
        </w:numPr>
        <w:tabs>
          <w:tab w:pos="1630" w:val="left" w:leader="none"/>
        </w:tabs>
        <w:spacing w:line="276" w:lineRule="auto" w:before="162" w:after="0"/>
        <w:ind w:left="1630" w:right="1697" w:hanging="360"/>
        <w:jc w:val="both"/>
        <w:rPr>
          <w:sz w:val="22"/>
        </w:rPr>
      </w:pPr>
      <w:r>
        <w:rPr>
          <w:sz w:val="22"/>
        </w:rPr>
        <w:t>Respecto a la meta de aumentar la red hospitalaria, para el 2021 se incrementaron 3 hospitales, haciendo un total de 49 hospitales. Es importante considerar que se contabilizaron 5 hospitales temporales habilitados por la pandemia</w:t>
      </w:r>
      <w:r>
        <w:rPr>
          <w:spacing w:val="-9"/>
          <w:sz w:val="22"/>
        </w:rPr>
        <w:t> </w:t>
      </w:r>
      <w:r>
        <w:rPr>
          <w:sz w:val="22"/>
        </w:rPr>
        <w:t>COVID-19.</w:t>
      </w:r>
    </w:p>
    <w:p>
      <w:pPr>
        <w:pStyle w:val="ListParagraph"/>
        <w:numPr>
          <w:ilvl w:val="1"/>
          <w:numId w:val="30"/>
        </w:numPr>
        <w:tabs>
          <w:tab w:pos="1630" w:val="left" w:leader="none"/>
        </w:tabs>
        <w:spacing w:line="276" w:lineRule="auto" w:before="0" w:after="0"/>
        <w:ind w:left="1630" w:right="1696" w:hanging="360"/>
        <w:jc w:val="both"/>
        <w:rPr>
          <w:sz w:val="22"/>
        </w:rPr>
      </w:pPr>
      <w:r>
        <w:rPr>
          <w:sz w:val="22"/>
        </w:rPr>
        <w:t>De la meta de incrementar los Centros de Salud, Tipo A y B, en 2021 se logró construir, en alianza con los gobiernos locales, 15 nuevas instalaciones, sumando 363 centros de salud.</w:t>
      </w:r>
    </w:p>
    <w:p>
      <w:pPr>
        <w:pStyle w:val="ListParagraph"/>
        <w:numPr>
          <w:ilvl w:val="1"/>
          <w:numId w:val="30"/>
        </w:numPr>
        <w:tabs>
          <w:tab w:pos="1630" w:val="left" w:leader="none"/>
        </w:tabs>
        <w:spacing w:line="276" w:lineRule="auto" w:before="0" w:after="0"/>
        <w:ind w:left="1630" w:right="1702" w:hanging="360"/>
        <w:jc w:val="both"/>
        <w:rPr>
          <w:sz w:val="22"/>
        </w:rPr>
      </w:pPr>
      <w:r>
        <w:rPr>
          <w:sz w:val="22"/>
        </w:rPr>
        <w:t>En materia de protección social, el programa de transferencias monetarias presenta un avance de 181,688 transferencias entregadas, cantidad que está muy por encima de la meta de ese</w:t>
      </w:r>
      <w:r>
        <w:rPr>
          <w:spacing w:val="-2"/>
          <w:sz w:val="22"/>
        </w:rPr>
        <w:t> </w:t>
      </w:r>
      <w:r>
        <w:rPr>
          <w:sz w:val="22"/>
        </w:rPr>
        <w:t>año.</w:t>
      </w:r>
    </w:p>
    <w:p>
      <w:pPr>
        <w:pStyle w:val="ListParagraph"/>
        <w:numPr>
          <w:ilvl w:val="1"/>
          <w:numId w:val="30"/>
        </w:numPr>
        <w:tabs>
          <w:tab w:pos="1630" w:val="left" w:leader="none"/>
        </w:tabs>
        <w:spacing w:line="276" w:lineRule="auto" w:before="0" w:after="0"/>
        <w:ind w:left="1630" w:right="1698" w:hanging="360"/>
        <w:jc w:val="both"/>
        <w:rPr>
          <w:sz w:val="22"/>
        </w:rPr>
      </w:pPr>
      <w:r>
        <w:rPr>
          <w:sz w:val="22"/>
        </w:rPr>
        <w:t>De la meta de incrementar el número de raciones (desayunos, almuerzos) servidas en comedores sociales, se presenta un avance en 2021 de 4.96 millones de</w:t>
      </w:r>
      <w:r>
        <w:rPr>
          <w:spacing w:val="-12"/>
          <w:sz w:val="22"/>
        </w:rPr>
        <w:t> </w:t>
      </w:r>
      <w:r>
        <w:rPr>
          <w:sz w:val="22"/>
        </w:rPr>
        <w:t>raciones.</w:t>
      </w:r>
    </w:p>
    <w:p>
      <w:pPr>
        <w:pStyle w:val="ListParagraph"/>
        <w:numPr>
          <w:ilvl w:val="1"/>
          <w:numId w:val="30"/>
        </w:numPr>
        <w:tabs>
          <w:tab w:pos="1630" w:val="left" w:leader="none"/>
        </w:tabs>
        <w:spacing w:line="276" w:lineRule="auto" w:before="0" w:after="0"/>
        <w:ind w:left="1630" w:right="1695" w:hanging="360"/>
        <w:jc w:val="both"/>
        <w:rPr>
          <w:sz w:val="22"/>
        </w:rPr>
      </w:pPr>
      <w:r>
        <w:rPr>
          <w:sz w:val="22"/>
        </w:rPr>
        <w:t>De la meta establecida de atención a adultos mayores por el programa de pensiones, </w:t>
      </w:r>
      <w:r>
        <w:rPr>
          <w:spacing w:val="-3"/>
          <w:sz w:val="22"/>
        </w:rPr>
        <w:t>al </w:t>
      </w:r>
      <w:r>
        <w:rPr>
          <w:sz w:val="22"/>
        </w:rPr>
        <w:t>2021 se muestra un avance de 119,756 personas atendidas. Con esta cifra se superó la meta de 2021.</w:t>
      </w:r>
    </w:p>
    <w:p>
      <w:pPr>
        <w:pStyle w:val="BodyText"/>
        <w:rPr>
          <w:sz w:val="21"/>
        </w:rPr>
      </w:pPr>
    </w:p>
    <w:p>
      <w:pPr>
        <w:pStyle w:val="Heading3"/>
        <w:numPr>
          <w:ilvl w:val="0"/>
          <w:numId w:val="30"/>
        </w:numPr>
        <w:tabs>
          <w:tab w:pos="1281" w:val="left" w:leader="none"/>
          <w:tab w:pos="1282" w:val="left" w:leader="none"/>
        </w:tabs>
        <w:spacing w:line="240" w:lineRule="auto" w:before="0" w:after="0"/>
        <w:ind w:left="1282" w:right="0" w:hanging="361"/>
        <w:jc w:val="left"/>
      </w:pPr>
      <w:r>
        <w:rPr/>
        <w:t>Metas con</w:t>
      </w:r>
      <w:r>
        <w:rPr>
          <w:spacing w:val="-2"/>
        </w:rPr>
        <w:t> </w:t>
      </w:r>
      <w:r>
        <w:rPr/>
        <w:t>avance</w:t>
      </w:r>
    </w:p>
    <w:p>
      <w:pPr>
        <w:pStyle w:val="BodyText"/>
        <w:spacing w:before="7"/>
        <w:rPr>
          <w:b/>
          <w:sz w:val="23"/>
        </w:rPr>
      </w:pPr>
    </w:p>
    <w:p>
      <w:pPr>
        <w:pStyle w:val="ListParagraph"/>
        <w:numPr>
          <w:ilvl w:val="1"/>
          <w:numId w:val="30"/>
        </w:numPr>
        <w:tabs>
          <w:tab w:pos="1630" w:val="left" w:leader="none"/>
        </w:tabs>
        <w:spacing w:line="276" w:lineRule="auto" w:before="1" w:after="0"/>
        <w:ind w:left="1630" w:right="1697" w:hanging="360"/>
        <w:jc w:val="both"/>
        <w:rPr>
          <w:sz w:val="22"/>
        </w:rPr>
      </w:pPr>
      <w:r>
        <w:rPr>
          <w:sz w:val="22"/>
        </w:rPr>
        <w:t>La tasa neta de cobertura del nivel básico al 2021 es de 47.81%. Este porcentaje implica que no se alcanzó la meta propuesta y la cobertura fue incluso menor en comparación </w:t>
      </w:r>
      <w:r>
        <w:rPr>
          <w:spacing w:val="-3"/>
          <w:sz w:val="22"/>
        </w:rPr>
        <w:t>al </w:t>
      </w:r>
      <w:r>
        <w:rPr>
          <w:sz w:val="22"/>
        </w:rPr>
        <w:t>2020.</w:t>
      </w:r>
    </w:p>
    <w:p>
      <w:pPr>
        <w:pStyle w:val="ListParagraph"/>
        <w:numPr>
          <w:ilvl w:val="1"/>
          <w:numId w:val="30"/>
        </w:numPr>
        <w:tabs>
          <w:tab w:pos="1630" w:val="left" w:leader="none"/>
        </w:tabs>
        <w:spacing w:line="276" w:lineRule="auto" w:before="1" w:after="0"/>
        <w:ind w:left="1630" w:right="1695" w:hanging="360"/>
        <w:jc w:val="both"/>
        <w:rPr>
          <w:sz w:val="22"/>
        </w:rPr>
      </w:pPr>
      <w:r>
        <w:rPr>
          <w:sz w:val="22"/>
        </w:rPr>
        <w:t>En</w:t>
      </w:r>
      <w:r>
        <w:rPr>
          <w:spacing w:val="-14"/>
          <w:sz w:val="22"/>
        </w:rPr>
        <w:t> </w:t>
      </w:r>
      <w:r>
        <w:rPr>
          <w:sz w:val="22"/>
        </w:rPr>
        <w:t>cuanto,</w:t>
      </w:r>
      <w:r>
        <w:rPr>
          <w:spacing w:val="-16"/>
          <w:sz w:val="22"/>
        </w:rPr>
        <w:t> </w:t>
      </w:r>
      <w:r>
        <w:rPr>
          <w:sz w:val="22"/>
        </w:rPr>
        <w:t>a</w:t>
      </w:r>
      <w:r>
        <w:rPr>
          <w:spacing w:val="-15"/>
          <w:sz w:val="22"/>
        </w:rPr>
        <w:t> </w:t>
      </w:r>
      <w:r>
        <w:rPr>
          <w:sz w:val="22"/>
        </w:rPr>
        <w:t>la</w:t>
      </w:r>
      <w:r>
        <w:rPr>
          <w:spacing w:val="-15"/>
          <w:sz w:val="22"/>
        </w:rPr>
        <w:t> </w:t>
      </w:r>
      <w:r>
        <w:rPr>
          <w:sz w:val="22"/>
        </w:rPr>
        <w:t>tasa</w:t>
      </w:r>
      <w:r>
        <w:rPr>
          <w:spacing w:val="-13"/>
          <w:sz w:val="22"/>
        </w:rPr>
        <w:t> </w:t>
      </w:r>
      <w:r>
        <w:rPr>
          <w:sz w:val="22"/>
        </w:rPr>
        <w:t>neta</w:t>
      </w:r>
      <w:r>
        <w:rPr>
          <w:spacing w:val="-13"/>
          <w:sz w:val="22"/>
        </w:rPr>
        <w:t> </w:t>
      </w:r>
      <w:r>
        <w:rPr>
          <w:sz w:val="22"/>
        </w:rPr>
        <w:t>de</w:t>
      </w:r>
      <w:r>
        <w:rPr>
          <w:spacing w:val="-15"/>
          <w:sz w:val="22"/>
        </w:rPr>
        <w:t> </w:t>
      </w:r>
      <w:r>
        <w:rPr>
          <w:sz w:val="22"/>
        </w:rPr>
        <w:t>cobertura</w:t>
      </w:r>
      <w:r>
        <w:rPr>
          <w:spacing w:val="-13"/>
          <w:sz w:val="22"/>
        </w:rPr>
        <w:t> </w:t>
      </w:r>
      <w:r>
        <w:rPr>
          <w:sz w:val="22"/>
        </w:rPr>
        <w:t>en</w:t>
      </w:r>
      <w:r>
        <w:rPr>
          <w:spacing w:val="-15"/>
          <w:sz w:val="22"/>
        </w:rPr>
        <w:t> </w:t>
      </w:r>
      <w:r>
        <w:rPr>
          <w:sz w:val="22"/>
        </w:rPr>
        <w:t>el</w:t>
      </w:r>
      <w:r>
        <w:rPr>
          <w:spacing w:val="-12"/>
          <w:sz w:val="22"/>
        </w:rPr>
        <w:t> </w:t>
      </w:r>
      <w:r>
        <w:rPr>
          <w:sz w:val="22"/>
        </w:rPr>
        <w:t>nivel</w:t>
      </w:r>
      <w:r>
        <w:rPr>
          <w:spacing w:val="-12"/>
          <w:sz w:val="22"/>
        </w:rPr>
        <w:t> </w:t>
      </w:r>
      <w:r>
        <w:rPr>
          <w:sz w:val="22"/>
        </w:rPr>
        <w:t>diversificado,</w:t>
      </w:r>
      <w:r>
        <w:rPr>
          <w:spacing w:val="-16"/>
          <w:sz w:val="22"/>
        </w:rPr>
        <w:t> </w:t>
      </w:r>
      <w:r>
        <w:rPr>
          <w:sz w:val="22"/>
        </w:rPr>
        <w:t>al</w:t>
      </w:r>
      <w:r>
        <w:rPr>
          <w:spacing w:val="-11"/>
          <w:sz w:val="22"/>
        </w:rPr>
        <w:t> </w:t>
      </w:r>
      <w:r>
        <w:rPr>
          <w:sz w:val="22"/>
        </w:rPr>
        <w:t>2021</w:t>
      </w:r>
      <w:r>
        <w:rPr>
          <w:spacing w:val="-15"/>
          <w:sz w:val="22"/>
        </w:rPr>
        <w:t> </w:t>
      </w:r>
      <w:r>
        <w:rPr>
          <w:sz w:val="22"/>
        </w:rPr>
        <w:t>se</w:t>
      </w:r>
      <w:r>
        <w:rPr>
          <w:spacing w:val="-15"/>
          <w:sz w:val="22"/>
        </w:rPr>
        <w:t> </w:t>
      </w:r>
      <w:r>
        <w:rPr>
          <w:sz w:val="22"/>
        </w:rPr>
        <w:t>situó</w:t>
      </w:r>
      <w:r>
        <w:rPr>
          <w:spacing w:val="-16"/>
          <w:sz w:val="22"/>
        </w:rPr>
        <w:t> </w:t>
      </w:r>
      <w:r>
        <w:rPr>
          <w:sz w:val="22"/>
        </w:rPr>
        <w:t>en</w:t>
      </w:r>
      <w:r>
        <w:rPr>
          <w:spacing w:val="-15"/>
          <w:sz w:val="22"/>
        </w:rPr>
        <w:t> </w:t>
      </w:r>
      <w:r>
        <w:rPr>
          <w:sz w:val="22"/>
        </w:rPr>
        <w:t>25.21%, no se logró alcanzar la</w:t>
      </w:r>
      <w:r>
        <w:rPr>
          <w:spacing w:val="-5"/>
          <w:sz w:val="22"/>
        </w:rPr>
        <w:t> </w:t>
      </w:r>
      <w:r>
        <w:rPr>
          <w:sz w:val="22"/>
        </w:rPr>
        <w:t>meta.</w:t>
      </w:r>
    </w:p>
    <w:p>
      <w:pPr>
        <w:pStyle w:val="ListParagraph"/>
        <w:numPr>
          <w:ilvl w:val="1"/>
          <w:numId w:val="30"/>
        </w:numPr>
        <w:tabs>
          <w:tab w:pos="1630" w:val="left" w:leader="none"/>
        </w:tabs>
        <w:spacing w:line="276" w:lineRule="auto" w:before="0" w:after="0"/>
        <w:ind w:left="1630" w:right="1695" w:hanging="360"/>
        <w:jc w:val="both"/>
        <w:rPr>
          <w:sz w:val="22"/>
        </w:rPr>
      </w:pPr>
      <w:r>
        <w:rPr>
          <w:sz w:val="22"/>
        </w:rPr>
        <w:t>De la meta de reducción del índice de analfabetismo, Conalfa ente encargado de la alfabetización</w:t>
      </w:r>
      <w:r>
        <w:rPr>
          <w:spacing w:val="-17"/>
          <w:sz w:val="22"/>
        </w:rPr>
        <w:t> </w:t>
      </w:r>
      <w:r>
        <w:rPr>
          <w:sz w:val="22"/>
        </w:rPr>
        <w:t>en</w:t>
      </w:r>
      <w:r>
        <w:rPr>
          <w:spacing w:val="-15"/>
          <w:sz w:val="22"/>
        </w:rPr>
        <w:t> </w:t>
      </w:r>
      <w:r>
        <w:rPr>
          <w:sz w:val="22"/>
        </w:rPr>
        <w:t>Guatemala,</w:t>
      </w:r>
      <w:r>
        <w:rPr>
          <w:spacing w:val="-14"/>
          <w:sz w:val="22"/>
        </w:rPr>
        <w:t> </w:t>
      </w:r>
      <w:r>
        <w:rPr>
          <w:sz w:val="22"/>
        </w:rPr>
        <w:t>logró</w:t>
      </w:r>
      <w:r>
        <w:rPr>
          <w:spacing w:val="-14"/>
          <w:sz w:val="22"/>
        </w:rPr>
        <w:t> </w:t>
      </w:r>
      <w:r>
        <w:rPr>
          <w:sz w:val="22"/>
        </w:rPr>
        <w:t>reducir</w:t>
      </w:r>
      <w:r>
        <w:rPr>
          <w:spacing w:val="-16"/>
          <w:sz w:val="22"/>
        </w:rPr>
        <w:t> </w:t>
      </w:r>
      <w:r>
        <w:rPr>
          <w:sz w:val="22"/>
        </w:rPr>
        <w:t>en</w:t>
      </w:r>
      <w:r>
        <w:rPr>
          <w:spacing w:val="-16"/>
          <w:sz w:val="22"/>
        </w:rPr>
        <w:t> </w:t>
      </w:r>
      <w:r>
        <w:rPr>
          <w:sz w:val="22"/>
        </w:rPr>
        <w:t>0.67%</w:t>
      </w:r>
      <w:r>
        <w:rPr>
          <w:spacing w:val="-14"/>
          <w:sz w:val="22"/>
        </w:rPr>
        <w:t> </w:t>
      </w:r>
      <w:r>
        <w:rPr>
          <w:sz w:val="22"/>
        </w:rPr>
        <w:t>el</w:t>
      </w:r>
      <w:r>
        <w:rPr>
          <w:spacing w:val="-16"/>
          <w:sz w:val="22"/>
        </w:rPr>
        <w:t> </w:t>
      </w:r>
      <w:r>
        <w:rPr>
          <w:sz w:val="22"/>
        </w:rPr>
        <w:t>analfabetismo,</w:t>
      </w:r>
      <w:r>
        <w:rPr>
          <w:spacing w:val="-13"/>
          <w:sz w:val="22"/>
        </w:rPr>
        <w:t> </w:t>
      </w:r>
      <w:r>
        <w:rPr>
          <w:sz w:val="22"/>
        </w:rPr>
        <w:t>aunque</w:t>
      </w:r>
      <w:r>
        <w:rPr>
          <w:spacing w:val="-14"/>
          <w:sz w:val="22"/>
        </w:rPr>
        <w:t> </w:t>
      </w:r>
      <w:r>
        <w:rPr>
          <w:sz w:val="22"/>
        </w:rPr>
        <w:t>consideran los resultados del XII Censo nacional de población y VII de Vivienda del año</w:t>
      </w:r>
      <w:r>
        <w:rPr>
          <w:spacing w:val="-17"/>
          <w:sz w:val="22"/>
        </w:rPr>
        <w:t> </w:t>
      </w:r>
      <w:r>
        <w:rPr>
          <w:sz w:val="22"/>
        </w:rPr>
        <w:t>2018.</w:t>
      </w:r>
    </w:p>
    <w:p>
      <w:pPr>
        <w:pStyle w:val="ListParagraph"/>
        <w:numPr>
          <w:ilvl w:val="1"/>
          <w:numId w:val="30"/>
        </w:numPr>
        <w:tabs>
          <w:tab w:pos="1630" w:val="left" w:leader="none"/>
        </w:tabs>
        <w:spacing w:line="276" w:lineRule="auto" w:before="0" w:after="0"/>
        <w:ind w:left="1630" w:right="1702" w:hanging="360"/>
        <w:jc w:val="both"/>
        <w:rPr>
          <w:sz w:val="22"/>
        </w:rPr>
      </w:pPr>
      <w:r>
        <w:rPr>
          <w:sz w:val="22"/>
        </w:rPr>
        <w:t>Del seguro médico escolar en 2021 se logró la cobertura de 1.9 millones de estudiantes. Se alcanzó la cobertura en 213 municipios. Dicho avance no logró la meta de</w:t>
      </w:r>
      <w:r>
        <w:rPr>
          <w:spacing w:val="-16"/>
          <w:sz w:val="22"/>
        </w:rPr>
        <w:t> </w:t>
      </w:r>
      <w:r>
        <w:rPr>
          <w:sz w:val="22"/>
        </w:rPr>
        <w:t>2021.</w:t>
      </w:r>
    </w:p>
    <w:p>
      <w:pPr>
        <w:pStyle w:val="ListParagraph"/>
        <w:numPr>
          <w:ilvl w:val="1"/>
          <w:numId w:val="30"/>
        </w:numPr>
        <w:tabs>
          <w:tab w:pos="1630" w:val="left" w:leader="none"/>
        </w:tabs>
        <w:spacing w:line="276" w:lineRule="auto" w:before="0" w:after="0"/>
        <w:ind w:left="1630" w:right="1698" w:hanging="360"/>
        <w:jc w:val="both"/>
        <w:rPr>
          <w:sz w:val="22"/>
        </w:rPr>
      </w:pPr>
      <w:r>
        <w:rPr>
          <w:sz w:val="22"/>
        </w:rPr>
        <w:t>Con relación a la alimentación escolar, al 2021 se ejecutó un total de Q1,897.4 millones beneficiando a 2.6 millones de alumnos, aunque no ha alcanzado el nivel</w:t>
      </w:r>
      <w:r>
        <w:rPr>
          <w:spacing w:val="-14"/>
          <w:sz w:val="22"/>
        </w:rPr>
        <w:t> </w:t>
      </w:r>
      <w:r>
        <w:rPr>
          <w:sz w:val="22"/>
        </w:rPr>
        <w:t>previsto.</w:t>
      </w:r>
    </w:p>
    <w:p>
      <w:pPr>
        <w:pStyle w:val="ListParagraph"/>
        <w:numPr>
          <w:ilvl w:val="1"/>
          <w:numId w:val="30"/>
        </w:numPr>
        <w:tabs>
          <w:tab w:pos="1630" w:val="left" w:leader="none"/>
        </w:tabs>
        <w:spacing w:line="276" w:lineRule="auto" w:before="0" w:after="0"/>
        <w:ind w:left="1630" w:right="1699" w:hanging="360"/>
        <w:jc w:val="both"/>
        <w:rPr>
          <w:sz w:val="22"/>
        </w:rPr>
      </w:pPr>
      <w:r>
        <w:rPr>
          <w:sz w:val="22"/>
        </w:rPr>
        <w:t>En cuanto al incremento de becas escolares para los niveles básico y diversificado, al 2021 se ha logrado un total de 36,690 becas. La meta al 2021, no fue</w:t>
      </w:r>
      <w:r>
        <w:rPr>
          <w:spacing w:val="-18"/>
          <w:sz w:val="22"/>
        </w:rPr>
        <w:t> </w:t>
      </w:r>
      <w:r>
        <w:rPr>
          <w:sz w:val="22"/>
        </w:rPr>
        <w:t>alcanzada.</w:t>
      </w:r>
    </w:p>
    <w:p>
      <w:pPr>
        <w:pStyle w:val="ListParagraph"/>
        <w:numPr>
          <w:ilvl w:val="1"/>
          <w:numId w:val="30"/>
        </w:numPr>
        <w:tabs>
          <w:tab w:pos="1630" w:val="left" w:leader="none"/>
        </w:tabs>
        <w:spacing w:line="276" w:lineRule="auto" w:before="0" w:after="0"/>
        <w:ind w:left="1630" w:right="1703" w:hanging="360"/>
        <w:jc w:val="both"/>
        <w:rPr>
          <w:sz w:val="22"/>
        </w:rPr>
      </w:pPr>
      <w:r>
        <w:rPr>
          <w:sz w:val="22"/>
        </w:rPr>
        <w:t>En relación a la construcción de viviendas sociales, se muestra un avance al 2021 de 7,150 muy por debajo de la meta establecida de 25,000 viviendas</w:t>
      </w:r>
      <w:r>
        <w:rPr>
          <w:spacing w:val="-12"/>
          <w:sz w:val="22"/>
        </w:rPr>
        <w:t> </w:t>
      </w:r>
      <w:r>
        <w:rPr>
          <w:sz w:val="22"/>
        </w:rPr>
        <w:t>construidas.</w:t>
      </w:r>
    </w:p>
    <w:p>
      <w:pPr>
        <w:pStyle w:val="ListParagraph"/>
        <w:numPr>
          <w:ilvl w:val="1"/>
          <w:numId w:val="30"/>
        </w:numPr>
        <w:tabs>
          <w:tab w:pos="1630" w:val="left" w:leader="none"/>
        </w:tabs>
        <w:spacing w:line="276" w:lineRule="auto" w:before="0" w:after="0"/>
        <w:ind w:left="1630" w:right="1700" w:hanging="360"/>
        <w:jc w:val="both"/>
        <w:rPr>
          <w:sz w:val="22"/>
        </w:rPr>
      </w:pPr>
      <w:r>
        <w:rPr>
          <w:sz w:val="22"/>
        </w:rPr>
        <w:t>De la creación del fondo de subsidio para la construcción de vivienda social, muestra un avance al 2021 de Q436.2 millones, muy cerca de la meta proyectada para ese</w:t>
      </w:r>
      <w:r>
        <w:rPr>
          <w:spacing w:val="-21"/>
          <w:sz w:val="22"/>
        </w:rPr>
        <w:t> </w:t>
      </w:r>
      <w:r>
        <w:rPr>
          <w:sz w:val="22"/>
        </w:rPr>
        <w:t>año.</w:t>
      </w:r>
    </w:p>
    <w:p>
      <w:pPr>
        <w:pStyle w:val="BodyText"/>
        <w:spacing w:before="10"/>
        <w:rPr>
          <w:sz w:val="20"/>
        </w:rPr>
      </w:pPr>
    </w:p>
    <w:p>
      <w:pPr>
        <w:pStyle w:val="Heading3"/>
        <w:numPr>
          <w:ilvl w:val="0"/>
          <w:numId w:val="30"/>
        </w:numPr>
        <w:tabs>
          <w:tab w:pos="1281" w:val="left" w:leader="none"/>
          <w:tab w:pos="1282" w:val="left" w:leader="none"/>
        </w:tabs>
        <w:spacing w:line="240" w:lineRule="auto" w:before="0" w:after="0"/>
        <w:ind w:left="1282" w:right="0" w:hanging="361"/>
        <w:jc w:val="left"/>
      </w:pPr>
      <w:r>
        <w:rPr/>
        <w:t>Metas sin</w:t>
      </w:r>
      <w:r>
        <w:rPr>
          <w:spacing w:val="-1"/>
        </w:rPr>
        <w:t> </w:t>
      </w:r>
      <w:r>
        <w:rPr/>
        <w:t>avances</w:t>
      </w:r>
    </w:p>
    <w:p>
      <w:pPr>
        <w:pStyle w:val="BodyText"/>
        <w:spacing w:before="5"/>
        <w:rPr>
          <w:b/>
          <w:sz w:val="21"/>
        </w:rPr>
      </w:pPr>
    </w:p>
    <w:p>
      <w:pPr>
        <w:pStyle w:val="ListParagraph"/>
        <w:numPr>
          <w:ilvl w:val="1"/>
          <w:numId w:val="30"/>
        </w:numPr>
        <w:tabs>
          <w:tab w:pos="1630" w:val="left" w:leader="none"/>
        </w:tabs>
        <w:spacing w:line="276" w:lineRule="auto" w:before="0" w:after="0"/>
        <w:ind w:left="1630" w:right="1696" w:hanging="360"/>
        <w:jc w:val="both"/>
        <w:rPr>
          <w:sz w:val="22"/>
        </w:rPr>
      </w:pPr>
      <w:r>
        <w:rPr>
          <w:sz w:val="22"/>
        </w:rPr>
        <w:t>En cuanto al incremento de maestros graduados a nivel de licenciatura, al 2021 se mantiene la misma cantidad que en el 2020 (5,651 maestros egresados). El Mineduc ha informado</w:t>
      </w:r>
      <w:r>
        <w:rPr>
          <w:spacing w:val="-5"/>
          <w:sz w:val="22"/>
        </w:rPr>
        <w:t> </w:t>
      </w:r>
      <w:r>
        <w:rPr>
          <w:sz w:val="22"/>
        </w:rPr>
        <w:t>que</w:t>
      </w:r>
      <w:r>
        <w:rPr>
          <w:spacing w:val="-7"/>
          <w:sz w:val="22"/>
        </w:rPr>
        <w:t> </w:t>
      </w:r>
      <w:r>
        <w:rPr>
          <w:sz w:val="22"/>
        </w:rPr>
        <w:t>la</w:t>
      </w:r>
      <w:r>
        <w:rPr>
          <w:spacing w:val="-7"/>
          <w:sz w:val="22"/>
        </w:rPr>
        <w:t> </w:t>
      </w:r>
      <w:r>
        <w:rPr>
          <w:sz w:val="22"/>
        </w:rPr>
        <w:t>segunda</w:t>
      </w:r>
      <w:r>
        <w:rPr>
          <w:spacing w:val="-5"/>
          <w:sz w:val="22"/>
        </w:rPr>
        <w:t> </w:t>
      </w:r>
      <w:r>
        <w:rPr>
          <w:sz w:val="22"/>
        </w:rPr>
        <w:t>promoción</w:t>
      </w:r>
      <w:r>
        <w:rPr>
          <w:spacing w:val="-4"/>
          <w:sz w:val="22"/>
        </w:rPr>
        <w:t> </w:t>
      </w:r>
      <w:r>
        <w:rPr>
          <w:sz w:val="22"/>
        </w:rPr>
        <w:t>se</w:t>
      </w:r>
      <w:r>
        <w:rPr>
          <w:spacing w:val="-4"/>
          <w:sz w:val="22"/>
        </w:rPr>
        <w:t> </w:t>
      </w:r>
      <w:r>
        <w:rPr>
          <w:sz w:val="22"/>
        </w:rPr>
        <w:t>encuentra</w:t>
      </w:r>
      <w:r>
        <w:rPr>
          <w:spacing w:val="-4"/>
          <w:sz w:val="22"/>
        </w:rPr>
        <w:t> </w:t>
      </w:r>
      <w:r>
        <w:rPr>
          <w:sz w:val="22"/>
        </w:rPr>
        <w:t>en</w:t>
      </w:r>
      <w:r>
        <w:rPr>
          <w:spacing w:val="-5"/>
          <w:sz w:val="22"/>
        </w:rPr>
        <w:t> </w:t>
      </w:r>
      <w:r>
        <w:rPr>
          <w:sz w:val="22"/>
        </w:rPr>
        <w:t>proceso</w:t>
      </w:r>
      <w:r>
        <w:rPr>
          <w:spacing w:val="-4"/>
          <w:sz w:val="22"/>
        </w:rPr>
        <w:t> </w:t>
      </w:r>
      <w:r>
        <w:rPr>
          <w:sz w:val="22"/>
        </w:rPr>
        <w:t>de</w:t>
      </w:r>
      <w:r>
        <w:rPr>
          <w:spacing w:val="-4"/>
          <w:sz w:val="22"/>
        </w:rPr>
        <w:t> </w:t>
      </w:r>
      <w:r>
        <w:rPr>
          <w:sz w:val="22"/>
        </w:rPr>
        <w:t>formación</w:t>
      </w:r>
      <w:r>
        <w:rPr>
          <w:spacing w:val="-7"/>
          <w:sz w:val="22"/>
        </w:rPr>
        <w:t> </w:t>
      </w:r>
      <w:r>
        <w:rPr>
          <w:sz w:val="22"/>
        </w:rPr>
        <w:t>académica</w:t>
      </w:r>
      <w:r>
        <w:rPr>
          <w:spacing w:val="-4"/>
          <w:sz w:val="22"/>
        </w:rPr>
        <w:t> </w:t>
      </w:r>
      <w:r>
        <w:rPr>
          <w:sz w:val="22"/>
        </w:rPr>
        <w:t>y que finaliza en el año</w:t>
      </w:r>
      <w:r>
        <w:rPr>
          <w:spacing w:val="-5"/>
          <w:sz w:val="22"/>
        </w:rPr>
        <w:t> </w:t>
      </w:r>
      <w:r>
        <w:rPr>
          <w:sz w:val="22"/>
        </w:rPr>
        <w:t>2023.</w:t>
      </w:r>
    </w:p>
    <w:p>
      <w:pPr>
        <w:pStyle w:val="ListParagraph"/>
        <w:numPr>
          <w:ilvl w:val="1"/>
          <w:numId w:val="30"/>
        </w:numPr>
        <w:tabs>
          <w:tab w:pos="1630" w:val="left" w:leader="none"/>
        </w:tabs>
        <w:spacing w:line="276" w:lineRule="auto" w:before="0" w:after="0"/>
        <w:ind w:left="1630" w:right="1696" w:hanging="360"/>
        <w:jc w:val="both"/>
        <w:rPr>
          <w:sz w:val="22"/>
        </w:rPr>
      </w:pPr>
      <w:r>
        <w:rPr>
          <w:sz w:val="22"/>
        </w:rPr>
        <w:t>Los</w:t>
      </w:r>
      <w:r>
        <w:rPr>
          <w:spacing w:val="-6"/>
          <w:sz w:val="22"/>
        </w:rPr>
        <w:t> </w:t>
      </w:r>
      <w:r>
        <w:rPr>
          <w:sz w:val="22"/>
        </w:rPr>
        <w:t>resultados</w:t>
      </w:r>
      <w:r>
        <w:rPr>
          <w:spacing w:val="-6"/>
          <w:sz w:val="22"/>
        </w:rPr>
        <w:t> </w:t>
      </w:r>
      <w:r>
        <w:rPr>
          <w:sz w:val="22"/>
        </w:rPr>
        <w:t>de</w:t>
      </w:r>
      <w:r>
        <w:rPr>
          <w:spacing w:val="-8"/>
          <w:sz w:val="22"/>
        </w:rPr>
        <w:t> </w:t>
      </w:r>
      <w:r>
        <w:rPr>
          <w:sz w:val="22"/>
        </w:rPr>
        <w:t>la</w:t>
      </w:r>
      <w:r>
        <w:rPr>
          <w:spacing w:val="-8"/>
          <w:sz w:val="22"/>
        </w:rPr>
        <w:t> </w:t>
      </w:r>
      <w:r>
        <w:rPr>
          <w:sz w:val="22"/>
        </w:rPr>
        <w:t>reducción</w:t>
      </w:r>
      <w:r>
        <w:rPr>
          <w:spacing w:val="-6"/>
          <w:sz w:val="22"/>
        </w:rPr>
        <w:t> </w:t>
      </w:r>
      <w:r>
        <w:rPr>
          <w:sz w:val="22"/>
        </w:rPr>
        <w:t>de</w:t>
      </w:r>
      <w:r>
        <w:rPr>
          <w:spacing w:val="-6"/>
          <w:sz w:val="22"/>
        </w:rPr>
        <w:t> </w:t>
      </w:r>
      <w:r>
        <w:rPr>
          <w:sz w:val="22"/>
        </w:rPr>
        <w:t>la</w:t>
      </w:r>
      <w:r>
        <w:rPr>
          <w:spacing w:val="-6"/>
          <w:sz w:val="22"/>
        </w:rPr>
        <w:t> </w:t>
      </w:r>
      <w:r>
        <w:rPr>
          <w:sz w:val="22"/>
        </w:rPr>
        <w:t>Razón</w:t>
      </w:r>
      <w:r>
        <w:rPr>
          <w:spacing w:val="-6"/>
          <w:sz w:val="22"/>
        </w:rPr>
        <w:t> </w:t>
      </w:r>
      <w:r>
        <w:rPr>
          <w:sz w:val="22"/>
        </w:rPr>
        <w:t>de</w:t>
      </w:r>
      <w:r>
        <w:rPr>
          <w:spacing w:val="-7"/>
          <w:sz w:val="22"/>
        </w:rPr>
        <w:t> </w:t>
      </w:r>
      <w:r>
        <w:rPr>
          <w:sz w:val="22"/>
        </w:rPr>
        <w:t>la</w:t>
      </w:r>
      <w:r>
        <w:rPr>
          <w:spacing w:val="-6"/>
          <w:sz w:val="22"/>
        </w:rPr>
        <w:t> </w:t>
      </w:r>
      <w:r>
        <w:rPr>
          <w:sz w:val="22"/>
        </w:rPr>
        <w:t>Mortalidad</w:t>
      </w:r>
      <w:r>
        <w:rPr>
          <w:spacing w:val="-8"/>
          <w:sz w:val="22"/>
        </w:rPr>
        <w:t> </w:t>
      </w:r>
      <w:r>
        <w:rPr>
          <w:sz w:val="22"/>
        </w:rPr>
        <w:t>Materna</w:t>
      </w:r>
      <w:r>
        <w:rPr>
          <w:spacing w:val="-6"/>
          <w:sz w:val="22"/>
        </w:rPr>
        <w:t> </w:t>
      </w:r>
      <w:r>
        <w:rPr>
          <w:sz w:val="22"/>
        </w:rPr>
        <w:t>(RMM)</w:t>
      </w:r>
      <w:r>
        <w:rPr>
          <w:spacing w:val="-5"/>
          <w:sz w:val="22"/>
        </w:rPr>
        <w:t> </w:t>
      </w:r>
      <w:r>
        <w:rPr>
          <w:sz w:val="22"/>
        </w:rPr>
        <w:t>y</w:t>
      </w:r>
      <w:r>
        <w:rPr>
          <w:spacing w:val="-9"/>
          <w:sz w:val="22"/>
        </w:rPr>
        <w:t> </w:t>
      </w:r>
      <w:r>
        <w:rPr>
          <w:sz w:val="22"/>
        </w:rPr>
        <w:t>la</w:t>
      </w:r>
      <w:r>
        <w:rPr>
          <w:spacing w:val="-6"/>
          <w:sz w:val="22"/>
        </w:rPr>
        <w:t> </w:t>
      </w:r>
      <w:r>
        <w:rPr>
          <w:sz w:val="22"/>
        </w:rPr>
        <w:t>tasa</w:t>
      </w:r>
      <w:r>
        <w:rPr>
          <w:spacing w:val="-6"/>
          <w:sz w:val="22"/>
        </w:rPr>
        <w:t> </w:t>
      </w:r>
      <w:r>
        <w:rPr>
          <w:sz w:val="22"/>
        </w:rPr>
        <w:t>de desnutrición</w:t>
      </w:r>
      <w:r>
        <w:rPr>
          <w:spacing w:val="-7"/>
          <w:sz w:val="22"/>
        </w:rPr>
        <w:t> </w:t>
      </w:r>
      <w:r>
        <w:rPr>
          <w:sz w:val="22"/>
        </w:rPr>
        <w:t>crónica,</w:t>
      </w:r>
      <w:r>
        <w:rPr>
          <w:spacing w:val="-5"/>
          <w:sz w:val="22"/>
        </w:rPr>
        <w:t> </w:t>
      </w:r>
      <w:r>
        <w:rPr>
          <w:sz w:val="22"/>
        </w:rPr>
        <w:t>se</w:t>
      </w:r>
      <w:r>
        <w:rPr>
          <w:spacing w:val="-7"/>
          <w:sz w:val="22"/>
        </w:rPr>
        <w:t> </w:t>
      </w:r>
      <w:r>
        <w:rPr>
          <w:sz w:val="22"/>
        </w:rPr>
        <w:t>actualizarán</w:t>
      </w:r>
      <w:r>
        <w:rPr>
          <w:spacing w:val="-7"/>
          <w:sz w:val="22"/>
        </w:rPr>
        <w:t> </w:t>
      </w:r>
      <w:r>
        <w:rPr>
          <w:sz w:val="22"/>
        </w:rPr>
        <w:t>con</w:t>
      </w:r>
      <w:r>
        <w:rPr>
          <w:spacing w:val="-7"/>
          <w:sz w:val="22"/>
        </w:rPr>
        <w:t> </w:t>
      </w:r>
      <w:r>
        <w:rPr>
          <w:sz w:val="22"/>
        </w:rPr>
        <w:t>la</w:t>
      </w:r>
      <w:r>
        <w:rPr>
          <w:spacing w:val="-4"/>
          <w:sz w:val="22"/>
        </w:rPr>
        <w:t> </w:t>
      </w:r>
      <w:r>
        <w:rPr>
          <w:sz w:val="22"/>
        </w:rPr>
        <w:t>Encuesta</w:t>
      </w:r>
      <w:r>
        <w:rPr>
          <w:spacing w:val="-7"/>
          <w:sz w:val="22"/>
        </w:rPr>
        <w:t> </w:t>
      </w:r>
      <w:r>
        <w:rPr>
          <w:sz w:val="22"/>
        </w:rPr>
        <w:t>Nacional</w:t>
      </w:r>
      <w:r>
        <w:rPr>
          <w:spacing w:val="-6"/>
          <w:sz w:val="22"/>
        </w:rPr>
        <w:t> </w:t>
      </w:r>
      <w:r>
        <w:rPr>
          <w:sz w:val="22"/>
        </w:rPr>
        <w:t>de</w:t>
      </w:r>
      <w:r>
        <w:rPr>
          <w:spacing w:val="-7"/>
          <w:sz w:val="22"/>
        </w:rPr>
        <w:t> </w:t>
      </w:r>
      <w:r>
        <w:rPr>
          <w:sz w:val="22"/>
        </w:rPr>
        <w:t>Salud</w:t>
      </w:r>
      <w:r>
        <w:rPr>
          <w:spacing w:val="-7"/>
          <w:sz w:val="22"/>
        </w:rPr>
        <w:t> </w:t>
      </w:r>
      <w:r>
        <w:rPr>
          <w:sz w:val="22"/>
        </w:rPr>
        <w:t>Materno</w:t>
      </w:r>
      <w:r>
        <w:rPr>
          <w:spacing w:val="-5"/>
          <w:sz w:val="22"/>
        </w:rPr>
        <w:t> </w:t>
      </w:r>
      <w:r>
        <w:rPr>
          <w:sz w:val="22"/>
        </w:rPr>
        <w:t>Infantil</w:t>
      </w:r>
    </w:p>
    <w:p>
      <w:pPr>
        <w:spacing w:after="0" w:line="276" w:lineRule="auto"/>
        <w:jc w:val="both"/>
        <w:rPr>
          <w:sz w:val="22"/>
        </w:rPr>
        <w:sectPr>
          <w:pgSz w:w="12240" w:h="15840"/>
          <w:pgMar w:header="715" w:footer="957" w:top="1240" w:bottom="1140" w:left="1140" w:right="0"/>
        </w:sectPr>
      </w:pPr>
    </w:p>
    <w:p>
      <w:pPr>
        <w:pStyle w:val="BodyText"/>
        <w:spacing w:line="276" w:lineRule="auto" w:before="162"/>
        <w:ind w:left="1630" w:right="1695"/>
        <w:jc w:val="both"/>
      </w:pPr>
      <w:r>
        <w:rPr/>
        <w:t>(ENSMI)</w:t>
      </w:r>
      <w:r>
        <w:rPr>
          <w:spacing w:val="-5"/>
        </w:rPr>
        <w:t> </w:t>
      </w:r>
      <w:r>
        <w:rPr/>
        <w:t>aprobado</w:t>
      </w:r>
      <w:r>
        <w:rPr>
          <w:spacing w:val="-6"/>
        </w:rPr>
        <w:t> </w:t>
      </w:r>
      <w:r>
        <w:rPr/>
        <w:t>con</w:t>
      </w:r>
      <w:r>
        <w:rPr>
          <w:spacing w:val="-8"/>
        </w:rPr>
        <w:t> </w:t>
      </w:r>
      <w:r>
        <w:rPr/>
        <w:t>el</w:t>
      </w:r>
      <w:r>
        <w:rPr>
          <w:spacing w:val="-7"/>
        </w:rPr>
        <w:t> </w:t>
      </w:r>
      <w:r>
        <w:rPr/>
        <w:t>Acuerdo</w:t>
      </w:r>
      <w:r>
        <w:rPr>
          <w:spacing w:val="-8"/>
        </w:rPr>
        <w:t> </w:t>
      </w:r>
      <w:r>
        <w:rPr/>
        <w:t>Ministerial</w:t>
      </w:r>
      <w:r>
        <w:rPr>
          <w:spacing w:val="-5"/>
        </w:rPr>
        <w:t> </w:t>
      </w:r>
      <w:r>
        <w:rPr/>
        <w:t>12-2022,</w:t>
      </w:r>
      <w:r>
        <w:rPr>
          <w:spacing w:val="-6"/>
        </w:rPr>
        <w:t> </w:t>
      </w:r>
      <w:r>
        <w:rPr/>
        <w:t>al</w:t>
      </w:r>
      <w:r>
        <w:rPr>
          <w:spacing w:val="-5"/>
        </w:rPr>
        <w:t> </w:t>
      </w:r>
      <w:r>
        <w:rPr/>
        <w:t>momento</w:t>
      </w:r>
      <w:r>
        <w:rPr>
          <w:spacing w:val="-6"/>
        </w:rPr>
        <w:t> </w:t>
      </w:r>
      <w:r>
        <w:rPr/>
        <w:t>se</w:t>
      </w:r>
      <w:r>
        <w:rPr>
          <w:spacing w:val="-4"/>
        </w:rPr>
        <w:t> </w:t>
      </w:r>
      <w:r>
        <w:rPr/>
        <w:t>cuenta</w:t>
      </w:r>
      <w:r>
        <w:rPr>
          <w:spacing w:val="-8"/>
        </w:rPr>
        <w:t> </w:t>
      </w:r>
      <w:r>
        <w:rPr/>
        <w:t>con</w:t>
      </w:r>
      <w:r>
        <w:rPr>
          <w:spacing w:val="-6"/>
        </w:rPr>
        <w:t> </w:t>
      </w:r>
      <w:r>
        <w:rPr/>
        <w:t>datos rezagados.</w:t>
      </w:r>
    </w:p>
    <w:p>
      <w:pPr>
        <w:pStyle w:val="ListParagraph"/>
        <w:numPr>
          <w:ilvl w:val="1"/>
          <w:numId w:val="30"/>
        </w:numPr>
        <w:tabs>
          <w:tab w:pos="1630" w:val="left" w:leader="none"/>
        </w:tabs>
        <w:spacing w:line="276" w:lineRule="auto" w:before="0" w:after="0"/>
        <w:ind w:left="1630" w:right="1695" w:hanging="360"/>
        <w:jc w:val="both"/>
        <w:rPr>
          <w:sz w:val="22"/>
        </w:rPr>
      </w:pPr>
      <w:r>
        <w:rPr>
          <w:sz w:val="22"/>
        </w:rPr>
        <w:t>De la tasa de desnutrición crónica, el MSPAS, mantiene el dato de 46.5% del 2014, vigente mientras no haya otra</w:t>
      </w:r>
      <w:r>
        <w:rPr>
          <w:spacing w:val="-1"/>
          <w:sz w:val="22"/>
        </w:rPr>
        <w:t> </w:t>
      </w:r>
      <w:r>
        <w:rPr>
          <w:sz w:val="22"/>
        </w:rPr>
        <w:t>medición.</w:t>
      </w:r>
    </w:p>
    <w:p>
      <w:pPr>
        <w:pStyle w:val="ListParagraph"/>
        <w:numPr>
          <w:ilvl w:val="1"/>
          <w:numId w:val="30"/>
        </w:numPr>
        <w:tabs>
          <w:tab w:pos="1630" w:val="left" w:leader="none"/>
        </w:tabs>
        <w:spacing w:line="276" w:lineRule="auto" w:before="1" w:after="0"/>
        <w:ind w:left="1630" w:right="1702" w:hanging="360"/>
        <w:jc w:val="both"/>
        <w:rPr>
          <w:sz w:val="22"/>
        </w:rPr>
      </w:pPr>
      <w:r>
        <w:rPr>
          <w:sz w:val="22"/>
        </w:rPr>
        <w:t>De la razón de Mortalidad Materna, se utilizó como referencia el dato estimado por la Mesa de Mortalidad Materna al 2020 de 111, misma que se mantiene al año</w:t>
      </w:r>
      <w:r>
        <w:rPr>
          <w:spacing w:val="-15"/>
          <w:sz w:val="22"/>
        </w:rPr>
        <w:t> </w:t>
      </w:r>
      <w:r>
        <w:rPr>
          <w:sz w:val="22"/>
        </w:rPr>
        <w:t>2021.</w:t>
      </w:r>
    </w:p>
    <w:p>
      <w:pPr>
        <w:pStyle w:val="ListParagraph"/>
        <w:numPr>
          <w:ilvl w:val="1"/>
          <w:numId w:val="30"/>
        </w:numPr>
        <w:tabs>
          <w:tab w:pos="1630" w:val="left" w:leader="none"/>
        </w:tabs>
        <w:spacing w:line="276" w:lineRule="auto" w:before="0" w:after="0"/>
        <w:ind w:left="1630" w:right="1695" w:hanging="360"/>
        <w:jc w:val="both"/>
        <w:rPr>
          <w:sz w:val="22"/>
        </w:rPr>
      </w:pPr>
      <w:r>
        <w:rPr>
          <w:sz w:val="22"/>
        </w:rPr>
        <w:t>Con relación a la pobreza general y pobreza extrema, las mediciones de ambos indicadores</w:t>
      </w:r>
      <w:r>
        <w:rPr>
          <w:spacing w:val="-6"/>
          <w:sz w:val="22"/>
        </w:rPr>
        <w:t> </w:t>
      </w:r>
      <w:r>
        <w:rPr>
          <w:sz w:val="22"/>
        </w:rPr>
        <w:t>provienen</w:t>
      </w:r>
      <w:r>
        <w:rPr>
          <w:spacing w:val="-3"/>
          <w:sz w:val="22"/>
        </w:rPr>
        <w:t> </w:t>
      </w:r>
      <w:r>
        <w:rPr>
          <w:sz w:val="22"/>
        </w:rPr>
        <w:t>de</w:t>
      </w:r>
      <w:r>
        <w:rPr>
          <w:spacing w:val="-6"/>
          <w:sz w:val="22"/>
        </w:rPr>
        <w:t> </w:t>
      </w:r>
      <w:r>
        <w:rPr>
          <w:sz w:val="22"/>
        </w:rPr>
        <w:t>la</w:t>
      </w:r>
      <w:r>
        <w:rPr>
          <w:spacing w:val="-6"/>
          <w:sz w:val="22"/>
        </w:rPr>
        <w:t> </w:t>
      </w:r>
      <w:r>
        <w:rPr>
          <w:sz w:val="22"/>
        </w:rPr>
        <w:t>Encuesta</w:t>
      </w:r>
      <w:r>
        <w:rPr>
          <w:spacing w:val="-3"/>
          <w:sz w:val="22"/>
        </w:rPr>
        <w:t> </w:t>
      </w:r>
      <w:r>
        <w:rPr>
          <w:sz w:val="22"/>
        </w:rPr>
        <w:t>Nacional</w:t>
      </w:r>
      <w:r>
        <w:rPr>
          <w:spacing w:val="-3"/>
          <w:sz w:val="22"/>
        </w:rPr>
        <w:t> </w:t>
      </w:r>
      <w:r>
        <w:rPr>
          <w:sz w:val="22"/>
        </w:rPr>
        <w:t>de</w:t>
      </w:r>
      <w:r>
        <w:rPr>
          <w:spacing w:val="-3"/>
          <w:sz w:val="22"/>
        </w:rPr>
        <w:t> </w:t>
      </w:r>
      <w:r>
        <w:rPr>
          <w:sz w:val="22"/>
        </w:rPr>
        <w:t>Condiciones</w:t>
      </w:r>
      <w:r>
        <w:rPr>
          <w:spacing w:val="-5"/>
          <w:sz w:val="22"/>
        </w:rPr>
        <w:t> </w:t>
      </w:r>
      <w:r>
        <w:rPr>
          <w:sz w:val="22"/>
        </w:rPr>
        <w:t>de</w:t>
      </w:r>
      <w:r>
        <w:rPr>
          <w:spacing w:val="-6"/>
          <w:sz w:val="22"/>
        </w:rPr>
        <w:t> </w:t>
      </w:r>
      <w:r>
        <w:rPr>
          <w:sz w:val="22"/>
        </w:rPr>
        <w:t>Vida</w:t>
      </w:r>
      <w:r>
        <w:rPr>
          <w:spacing w:val="-3"/>
          <w:sz w:val="22"/>
        </w:rPr>
        <w:t> </w:t>
      </w:r>
      <w:r>
        <w:rPr>
          <w:sz w:val="22"/>
        </w:rPr>
        <w:t>(Encovi),</w:t>
      </w:r>
      <w:r>
        <w:rPr>
          <w:spacing w:val="-2"/>
          <w:sz w:val="22"/>
        </w:rPr>
        <w:t> </w:t>
      </w:r>
      <w:r>
        <w:rPr>
          <w:sz w:val="22"/>
        </w:rPr>
        <w:t>siendo el último cálculo de 2014, por lo cual no existen datos actualizados que reflejen la evolución del</w:t>
      </w:r>
      <w:r>
        <w:rPr>
          <w:spacing w:val="-3"/>
          <w:sz w:val="22"/>
        </w:rPr>
        <w:t> </w:t>
      </w:r>
      <w:r>
        <w:rPr>
          <w:sz w:val="22"/>
        </w:rPr>
        <w:t>indicador.</w:t>
      </w:r>
    </w:p>
    <w:p>
      <w:pPr>
        <w:pStyle w:val="ListParagraph"/>
        <w:numPr>
          <w:ilvl w:val="1"/>
          <w:numId w:val="30"/>
        </w:numPr>
        <w:tabs>
          <w:tab w:pos="1630" w:val="left" w:leader="none"/>
        </w:tabs>
        <w:spacing w:line="276" w:lineRule="auto" w:before="0" w:after="0"/>
        <w:ind w:left="1630" w:right="1697" w:hanging="360"/>
        <w:jc w:val="both"/>
        <w:rPr>
          <w:sz w:val="22"/>
        </w:rPr>
      </w:pPr>
      <w:r>
        <w:rPr>
          <w:sz w:val="22"/>
        </w:rPr>
        <w:t>Respecto</w:t>
      </w:r>
      <w:r>
        <w:rPr>
          <w:spacing w:val="-12"/>
          <w:sz w:val="22"/>
        </w:rPr>
        <w:t> </w:t>
      </w:r>
      <w:r>
        <w:rPr>
          <w:sz w:val="22"/>
        </w:rPr>
        <w:t>al</w:t>
      </w:r>
      <w:r>
        <w:rPr>
          <w:spacing w:val="-11"/>
          <w:sz w:val="22"/>
        </w:rPr>
        <w:t> </w:t>
      </w:r>
      <w:r>
        <w:rPr>
          <w:sz w:val="22"/>
        </w:rPr>
        <w:t>incremento</w:t>
      </w:r>
      <w:r>
        <w:rPr>
          <w:spacing w:val="-12"/>
          <w:sz w:val="22"/>
        </w:rPr>
        <w:t> </w:t>
      </w:r>
      <w:r>
        <w:rPr>
          <w:sz w:val="22"/>
        </w:rPr>
        <w:t>del</w:t>
      </w:r>
      <w:r>
        <w:rPr>
          <w:spacing w:val="-12"/>
          <w:sz w:val="22"/>
        </w:rPr>
        <w:t> </w:t>
      </w:r>
      <w:r>
        <w:rPr>
          <w:sz w:val="22"/>
        </w:rPr>
        <w:t>monto</w:t>
      </w:r>
      <w:r>
        <w:rPr>
          <w:spacing w:val="-12"/>
          <w:sz w:val="22"/>
        </w:rPr>
        <w:t> </w:t>
      </w:r>
      <w:r>
        <w:rPr>
          <w:sz w:val="22"/>
        </w:rPr>
        <w:t>asignado</w:t>
      </w:r>
      <w:r>
        <w:rPr>
          <w:spacing w:val="-12"/>
          <w:sz w:val="22"/>
        </w:rPr>
        <w:t> </w:t>
      </w:r>
      <w:r>
        <w:rPr>
          <w:sz w:val="22"/>
        </w:rPr>
        <w:t>al</w:t>
      </w:r>
      <w:r>
        <w:rPr>
          <w:spacing w:val="-11"/>
          <w:sz w:val="22"/>
        </w:rPr>
        <w:t> </w:t>
      </w:r>
      <w:r>
        <w:rPr>
          <w:sz w:val="22"/>
        </w:rPr>
        <w:t>Fondo</w:t>
      </w:r>
      <w:r>
        <w:rPr>
          <w:spacing w:val="-11"/>
          <w:sz w:val="22"/>
        </w:rPr>
        <w:t> </w:t>
      </w:r>
      <w:r>
        <w:rPr>
          <w:sz w:val="22"/>
        </w:rPr>
        <w:t>Social</w:t>
      </w:r>
      <w:r>
        <w:rPr>
          <w:spacing w:val="-11"/>
          <w:sz w:val="22"/>
        </w:rPr>
        <w:t> </w:t>
      </w:r>
      <w:r>
        <w:rPr>
          <w:sz w:val="22"/>
        </w:rPr>
        <w:t>para</w:t>
      </w:r>
      <w:r>
        <w:rPr>
          <w:spacing w:val="-14"/>
          <w:sz w:val="22"/>
        </w:rPr>
        <w:t> </w:t>
      </w:r>
      <w:r>
        <w:rPr>
          <w:sz w:val="22"/>
        </w:rPr>
        <w:t>la</w:t>
      </w:r>
      <w:r>
        <w:rPr>
          <w:spacing w:val="-11"/>
          <w:sz w:val="22"/>
        </w:rPr>
        <w:t> </w:t>
      </w:r>
      <w:r>
        <w:rPr>
          <w:sz w:val="22"/>
        </w:rPr>
        <w:t>Atención</w:t>
      </w:r>
      <w:r>
        <w:rPr>
          <w:spacing w:val="-11"/>
          <w:sz w:val="22"/>
        </w:rPr>
        <w:t> </w:t>
      </w:r>
      <w:r>
        <w:rPr>
          <w:sz w:val="22"/>
        </w:rPr>
        <w:t>a</w:t>
      </w:r>
      <w:r>
        <w:rPr>
          <w:spacing w:val="-11"/>
          <w:sz w:val="22"/>
        </w:rPr>
        <w:t> </w:t>
      </w:r>
      <w:r>
        <w:rPr>
          <w:sz w:val="22"/>
        </w:rPr>
        <w:t>Desastres, no ha mostrado aumento desde el 2020, por lo que se mantuvo un presupuesto de Q.8.0 millones para el</w:t>
      </w:r>
      <w:r>
        <w:rPr>
          <w:spacing w:val="1"/>
          <w:sz w:val="22"/>
        </w:rPr>
        <w:t> </w:t>
      </w:r>
      <w:r>
        <w:rPr>
          <w:sz w:val="22"/>
        </w:rPr>
        <w:t>2021.</w:t>
      </w:r>
    </w:p>
    <w:p>
      <w:pPr>
        <w:pStyle w:val="BodyText"/>
        <w:spacing w:before="3"/>
        <w:rPr>
          <w:sz w:val="21"/>
        </w:rPr>
      </w:pPr>
    </w:p>
    <w:p>
      <w:pPr>
        <w:spacing w:before="0"/>
        <w:ind w:left="1395" w:right="2530" w:firstLine="0"/>
        <w:jc w:val="center"/>
        <w:rPr>
          <w:b/>
          <w:sz w:val="20"/>
        </w:rPr>
      </w:pPr>
      <w:bookmarkStart w:name="_bookmark195" w:id="250"/>
      <w:bookmarkEnd w:id="250"/>
      <w:r>
        <w:rPr/>
      </w:r>
      <w:r>
        <w:rPr>
          <w:b/>
          <w:i/>
          <w:sz w:val="20"/>
        </w:rPr>
        <w:t>Tabla 13. </w:t>
      </w:r>
      <w:r>
        <w:rPr>
          <w:b/>
          <w:sz w:val="20"/>
        </w:rPr>
        <w:t>Avances de metas estratégicas</w:t>
      </w:r>
    </w:p>
    <w:p>
      <w:pPr>
        <w:pStyle w:val="Heading3"/>
        <w:spacing w:before="32" w:after="38"/>
        <w:ind w:left="1395" w:right="2532"/>
        <w:jc w:val="center"/>
      </w:pPr>
      <w:r>
        <w:rPr/>
        <w:pict>
          <v:line style="position:absolute;mso-position-horizontal-relative:page;mso-position-vertical-relative:paragraph;z-index:253072384" from="494.077911pt,22.951385pt" to="494.077911pt,22.951385pt" stroked="true" strokeweight=".332384pt" strokecolor="#d3d3d3">
            <v:stroke dashstyle="solid"/>
            <w10:wrap type="none"/>
          </v:line>
        </w:pict>
      </w:r>
      <w:r>
        <w:rPr/>
        <w:pict>
          <v:line style="position:absolute;mso-position-horizontal-relative:page;mso-position-vertical-relative:paragraph;z-index:253073408" from="494.077911pt,43.248959pt" to="494.077911pt,43.248959pt" stroked="true" strokeweight=".332384pt" strokecolor="#d3d3d3">
            <v:stroke dashstyle="solid"/>
            <w10:wrap type="none"/>
          </v:line>
        </w:pict>
      </w:r>
      <w:r>
        <w:rPr/>
        <w:pict>
          <v:line style="position:absolute;mso-position-horizontal-relative:page;mso-position-vertical-relative:paragraph;z-index:253074432" from="494.077911pt,56.55761pt" to="494.077911pt,56.55761pt" stroked="true" strokeweight=".332384pt" strokecolor="#d3d3d3">
            <v:stroke dashstyle="solid"/>
            <w10:wrap type="none"/>
          </v:line>
        </w:pict>
      </w:r>
      <w:r>
        <w:rPr/>
        <w:pict>
          <v:line style="position:absolute;mso-position-horizontal-relative:page;mso-position-vertical-relative:paragraph;z-index:253075456" from="494.077911pt,69.861832pt" to="494.077911pt,69.861832pt" stroked="true" strokeweight=".332384pt" strokecolor="#d3d3d3">
            <v:stroke dashstyle="solid"/>
            <w10:wrap type="none"/>
          </v:line>
        </w:pict>
      </w:r>
      <w:r>
        <w:rPr/>
        <w:pict>
          <v:line style="position:absolute;mso-position-horizontal-relative:page;mso-position-vertical-relative:paragraph;z-index:253076480" from="494.077911pt,83.179344pt" to="494.077911pt,83.179344pt" stroked="true" strokeweight=".332384pt" strokecolor="#d3d3d3">
            <v:stroke dashstyle="solid"/>
            <w10:wrap type="none"/>
          </v:line>
        </w:pict>
      </w:r>
      <w:r>
        <w:rPr/>
        <w:pict>
          <v:line style="position:absolute;mso-position-horizontal-relative:page;mso-position-vertical-relative:paragraph;z-index:253077504" from="494.077911pt,96.487991pt" to="494.077911pt,96.487991pt" stroked="true" strokeweight=".332384pt" strokecolor="#d3d3d3">
            <v:stroke dashstyle="solid"/>
            <w10:wrap type="none"/>
          </v:line>
        </w:pict>
      </w:r>
      <w:r>
        <w:rPr/>
        <w:pict>
          <v:line style="position:absolute;mso-position-horizontal-relative:page;mso-position-vertical-relative:paragraph;z-index:253078528" from="494.077911pt,109.792213pt" to="494.077911pt,109.792213pt" stroked="true" strokeweight=".332384pt" strokecolor="#d3d3d3">
            <v:stroke dashstyle="solid"/>
            <w10:wrap type="none"/>
          </v:line>
        </w:pict>
      </w:r>
      <w:r>
        <w:rPr/>
        <w:pict>
          <v:line style="position:absolute;mso-position-horizontal-relative:page;mso-position-vertical-relative:paragraph;z-index:253079552" from="494.077911pt,123.109726pt" to="494.077911pt,123.109726pt" stroked="true" strokeweight=".332384pt" strokecolor="#d3d3d3">
            <v:stroke dashstyle="solid"/>
            <w10:wrap type="none"/>
          </v:line>
        </w:pict>
      </w:r>
      <w:r>
        <w:rPr/>
        <w:pict>
          <v:line style="position:absolute;mso-position-horizontal-relative:page;mso-position-vertical-relative:paragraph;z-index:253080576" from="494.077911pt,136.750763pt" to="494.077911pt,136.750763pt" stroked="true" strokeweight=".332384pt" strokecolor="#d3d3d3">
            <v:stroke dashstyle="solid"/>
            <w10:wrap type="none"/>
          </v:line>
        </w:pict>
      </w:r>
      <w:r>
        <w:rPr/>
        <w:pict>
          <v:line style="position:absolute;mso-position-horizontal-relative:page;mso-position-vertical-relative:paragraph;z-index:253081600" from="494.077911pt,150.38736pt" to="494.077911pt,150.38736pt" stroked="true" strokeweight=".332384pt" strokecolor="#d3d3d3">
            <v:stroke dashstyle="solid"/>
            <w10:wrap type="none"/>
          </v:line>
        </w:pict>
      </w:r>
      <w:r>
        <w:rPr/>
        <w:pict>
          <v:line style="position:absolute;mso-position-horizontal-relative:page;mso-position-vertical-relative:paragraph;z-index:253082624" from="494.077911pt,157.04834pt" to="494.077911pt,157.04834pt" stroked="true" strokeweight=".332384pt" strokecolor="#d3d3d3">
            <v:stroke dashstyle="solid"/>
            <w10:wrap type="none"/>
          </v:line>
        </w:pict>
      </w:r>
      <w:r>
        <w:rPr/>
        <w:pict>
          <v:line style="position:absolute;mso-position-horizontal-relative:page;mso-position-vertical-relative:paragraph;z-index:253083648" from="494.077911pt,163.70488pt" to="494.077911pt,163.70488pt" stroked="true" strokeweight=".332384pt" strokecolor="#d3d3d3">
            <v:stroke dashstyle="solid"/>
            <w10:wrap type="none"/>
          </v:line>
        </w:pict>
      </w:r>
      <w:r>
        <w:rPr/>
        <w:t>Pilar 2: Desarrollo Social</w:t>
      </w:r>
    </w:p>
    <w:tbl>
      <w:tblPr>
        <w:tblW w:w="0" w:type="auto"/>
        <w:jc w:val="left"/>
        <w:tblInd w:w="2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3"/>
        <w:gridCol w:w="3296"/>
        <w:gridCol w:w="939"/>
        <w:gridCol w:w="939"/>
        <w:gridCol w:w="1012"/>
      </w:tblGrid>
      <w:tr>
        <w:trPr>
          <w:trHeight w:val="256" w:hRule="atLeast"/>
        </w:trPr>
        <w:tc>
          <w:tcPr>
            <w:tcW w:w="333" w:type="dxa"/>
            <w:tcBorders>
              <w:left w:val="single" w:sz="6" w:space="0" w:color="000000"/>
              <w:bottom w:val="single" w:sz="6" w:space="0" w:color="000000"/>
              <w:right w:val="single" w:sz="6" w:space="0" w:color="000000"/>
            </w:tcBorders>
            <w:shd w:val="clear" w:color="auto" w:fill="1F4E78"/>
          </w:tcPr>
          <w:p>
            <w:pPr>
              <w:pStyle w:val="TableParagraph"/>
              <w:spacing w:before="71"/>
              <w:ind w:left="73" w:right="56"/>
              <w:jc w:val="center"/>
              <w:rPr>
                <w:b/>
                <w:sz w:val="10"/>
              </w:rPr>
            </w:pPr>
            <w:r>
              <w:rPr>
                <w:b/>
                <w:color w:val="FFFFFF"/>
                <w:sz w:val="10"/>
              </w:rPr>
              <w:t>No.</w:t>
            </w:r>
          </w:p>
        </w:tc>
        <w:tc>
          <w:tcPr>
            <w:tcW w:w="3296" w:type="dxa"/>
            <w:tcBorders>
              <w:left w:val="single" w:sz="6" w:space="0" w:color="000000"/>
              <w:bottom w:val="single" w:sz="6" w:space="0" w:color="000000"/>
              <w:right w:val="single" w:sz="6" w:space="0" w:color="000000"/>
            </w:tcBorders>
            <w:shd w:val="clear" w:color="auto" w:fill="1F4E78"/>
          </w:tcPr>
          <w:p>
            <w:pPr>
              <w:pStyle w:val="TableParagraph"/>
              <w:spacing w:before="5"/>
              <w:ind w:left="1127" w:right="1107"/>
              <w:jc w:val="center"/>
              <w:rPr>
                <w:b/>
                <w:sz w:val="10"/>
              </w:rPr>
            </w:pPr>
            <w:r>
              <w:rPr>
                <w:b/>
                <w:color w:val="FFFFFF"/>
                <w:sz w:val="10"/>
              </w:rPr>
              <w:t>Descripción de  la Meta</w:t>
            </w:r>
          </w:p>
          <w:p>
            <w:pPr>
              <w:pStyle w:val="TableParagraph"/>
              <w:spacing w:line="92" w:lineRule="exact" w:before="24"/>
              <w:ind w:left="1115" w:right="1107"/>
              <w:jc w:val="center"/>
              <w:rPr>
                <w:b/>
                <w:sz w:val="10"/>
              </w:rPr>
            </w:pPr>
            <w:r>
              <w:rPr>
                <w:b/>
                <w:color w:val="FFFFFF"/>
                <w:sz w:val="10"/>
              </w:rPr>
              <w:t>al 2023</w:t>
            </w:r>
          </w:p>
        </w:tc>
        <w:tc>
          <w:tcPr>
            <w:tcW w:w="1878" w:type="dxa"/>
            <w:gridSpan w:val="2"/>
            <w:tcBorders>
              <w:top w:val="single" w:sz="4" w:space="0" w:color="D3D3D3"/>
              <w:left w:val="single" w:sz="6" w:space="0" w:color="000000"/>
              <w:bottom w:val="single" w:sz="6" w:space="0" w:color="000000"/>
              <w:right w:val="single" w:sz="6" w:space="0" w:color="000000"/>
            </w:tcBorders>
            <w:shd w:val="clear" w:color="auto" w:fill="1F4E78"/>
          </w:tcPr>
          <w:p>
            <w:pPr>
              <w:pStyle w:val="TableParagraph"/>
              <w:spacing w:before="5"/>
              <w:ind w:left="11"/>
              <w:jc w:val="center"/>
              <w:rPr>
                <w:b/>
                <w:sz w:val="10"/>
              </w:rPr>
            </w:pPr>
            <w:r>
              <w:rPr>
                <w:b/>
                <w:color w:val="FFFFFF"/>
                <w:sz w:val="10"/>
              </w:rPr>
              <w:t>2021</w:t>
            </w:r>
          </w:p>
          <w:p>
            <w:pPr>
              <w:pStyle w:val="TableParagraph"/>
              <w:tabs>
                <w:tab w:pos="953" w:val="left" w:leader="none"/>
              </w:tabs>
              <w:spacing w:line="92" w:lineRule="exact" w:before="24"/>
              <w:ind w:left="114"/>
              <w:jc w:val="center"/>
              <w:rPr>
                <w:b/>
                <w:sz w:val="10"/>
              </w:rPr>
            </w:pPr>
            <w:r>
              <w:rPr>
                <w:b/>
                <w:color w:val="FFFFFF"/>
                <w:spacing w:val="3"/>
                <w:sz w:val="10"/>
              </w:rPr>
              <w:t>Meta</w:t>
              <w:tab/>
            </w:r>
            <w:r>
              <w:rPr>
                <w:b/>
                <w:color w:val="FFFFFF"/>
                <w:sz w:val="10"/>
              </w:rPr>
              <w:t>Resultado</w:t>
            </w:r>
          </w:p>
        </w:tc>
        <w:tc>
          <w:tcPr>
            <w:tcW w:w="1012" w:type="dxa"/>
            <w:tcBorders>
              <w:left w:val="single" w:sz="6" w:space="0" w:color="000000"/>
              <w:bottom w:val="single" w:sz="6" w:space="0" w:color="000000"/>
              <w:right w:val="nil"/>
            </w:tcBorders>
            <w:shd w:val="clear" w:color="auto" w:fill="1F4E78"/>
          </w:tcPr>
          <w:p>
            <w:pPr>
              <w:pStyle w:val="TableParagraph"/>
              <w:spacing w:before="71"/>
              <w:ind w:left="122" w:right="122"/>
              <w:jc w:val="center"/>
              <w:rPr>
                <w:b/>
                <w:sz w:val="10"/>
              </w:rPr>
            </w:pPr>
            <w:r>
              <w:rPr>
                <w:b/>
                <w:color w:val="FFFFFF"/>
                <w:sz w:val="10"/>
              </w:rPr>
              <w:t>Brecha al 2023</w:t>
            </w:r>
          </w:p>
        </w:tc>
      </w:tr>
      <w:tr>
        <w:trPr>
          <w:trHeight w:val="257" w:hRule="atLeast"/>
        </w:trPr>
        <w:tc>
          <w:tcPr>
            <w:tcW w:w="333" w:type="dxa"/>
            <w:tcBorders>
              <w:top w:val="single" w:sz="6" w:space="0" w:color="000000"/>
              <w:left w:val="single" w:sz="6" w:space="0" w:color="000000"/>
              <w:right w:val="single" w:sz="6" w:space="0" w:color="000000"/>
            </w:tcBorders>
            <w:shd w:val="clear" w:color="auto" w:fill="F1F1F1"/>
          </w:tcPr>
          <w:p>
            <w:pPr>
              <w:pStyle w:val="TableParagraph"/>
              <w:spacing w:before="65"/>
              <w:ind w:left="10"/>
              <w:jc w:val="center"/>
              <w:rPr>
                <w:sz w:val="10"/>
              </w:rPr>
            </w:pPr>
            <w:r>
              <w:rPr>
                <w:w w:val="100"/>
                <w:sz w:val="10"/>
              </w:rPr>
              <w:t>1</w:t>
            </w:r>
          </w:p>
        </w:tc>
        <w:tc>
          <w:tcPr>
            <w:tcW w:w="3296" w:type="dxa"/>
            <w:tcBorders>
              <w:top w:val="single" w:sz="6" w:space="0" w:color="000000"/>
              <w:left w:val="single" w:sz="6" w:space="0" w:color="000000"/>
              <w:right w:val="single" w:sz="6" w:space="0" w:color="000000"/>
            </w:tcBorders>
            <w:shd w:val="clear" w:color="auto" w:fill="F1F1F1"/>
          </w:tcPr>
          <w:p>
            <w:pPr>
              <w:pStyle w:val="TableParagraph"/>
              <w:spacing w:before="5"/>
              <w:ind w:left="19"/>
              <w:rPr>
                <w:sz w:val="10"/>
              </w:rPr>
            </w:pPr>
            <w:r>
              <w:rPr>
                <w:sz w:val="10"/>
              </w:rPr>
              <w:t>Para el año 2023 se ha incrementado la tasa neta de cobertura en el nivel</w:t>
            </w:r>
          </w:p>
          <w:p>
            <w:pPr>
              <w:pStyle w:val="TableParagraph"/>
              <w:spacing w:line="98" w:lineRule="exact" w:before="19"/>
              <w:ind w:left="19"/>
              <w:rPr>
                <w:sz w:val="10"/>
              </w:rPr>
            </w:pPr>
            <w:r>
              <w:rPr>
                <w:sz w:val="10"/>
              </w:rPr>
              <w:t>preprimaria en 12 puntos porcentuales</w:t>
            </w:r>
          </w:p>
        </w:tc>
        <w:tc>
          <w:tcPr>
            <w:tcW w:w="939" w:type="dxa"/>
            <w:tcBorders>
              <w:top w:val="single" w:sz="6" w:space="0" w:color="000000"/>
              <w:left w:val="single" w:sz="6" w:space="0" w:color="000000"/>
              <w:right w:val="nil"/>
            </w:tcBorders>
          </w:tcPr>
          <w:p>
            <w:pPr>
              <w:pStyle w:val="TableParagraph"/>
              <w:spacing w:before="72"/>
              <w:ind w:left="79" w:right="78"/>
              <w:jc w:val="center"/>
              <w:rPr>
                <w:sz w:val="10"/>
              </w:rPr>
            </w:pPr>
            <w:r>
              <w:rPr>
                <w:sz w:val="10"/>
              </w:rPr>
              <w:t>58.00%</w:t>
            </w:r>
          </w:p>
        </w:tc>
        <w:tc>
          <w:tcPr>
            <w:tcW w:w="939" w:type="dxa"/>
            <w:tcBorders>
              <w:top w:val="single" w:sz="6" w:space="0" w:color="000000"/>
              <w:left w:val="nil"/>
              <w:right w:val="single" w:sz="6" w:space="0" w:color="000000"/>
            </w:tcBorders>
            <w:shd w:val="clear" w:color="auto" w:fill="92D050"/>
          </w:tcPr>
          <w:p>
            <w:pPr>
              <w:pStyle w:val="TableParagraph"/>
              <w:spacing w:before="72"/>
              <w:ind w:left="94" w:right="78"/>
              <w:jc w:val="center"/>
              <w:rPr>
                <w:sz w:val="10"/>
              </w:rPr>
            </w:pPr>
            <w:r>
              <w:rPr>
                <w:sz w:val="10"/>
              </w:rPr>
              <w:t>62.59%</w:t>
            </w:r>
          </w:p>
        </w:tc>
        <w:tc>
          <w:tcPr>
            <w:tcW w:w="1012" w:type="dxa"/>
            <w:tcBorders>
              <w:top w:val="single" w:sz="6" w:space="0" w:color="000000"/>
              <w:left w:val="single" w:sz="6" w:space="0" w:color="000000"/>
              <w:bottom w:val="nil"/>
              <w:right w:val="nil"/>
            </w:tcBorders>
          </w:tcPr>
          <w:p>
            <w:pPr>
              <w:pStyle w:val="TableParagraph"/>
              <w:spacing w:before="72"/>
              <w:ind w:left="125" w:right="118"/>
              <w:jc w:val="center"/>
              <w:rPr>
                <w:sz w:val="10"/>
              </w:rPr>
            </w:pPr>
            <w:r>
              <w:rPr>
                <w:color w:val="C00000"/>
                <w:sz w:val="10"/>
              </w:rPr>
              <w:t>-0.57</w:t>
            </w:r>
          </w:p>
        </w:tc>
      </w:tr>
      <w:tr>
        <w:trPr>
          <w:trHeight w:val="256" w:hRule="atLeast"/>
        </w:trPr>
        <w:tc>
          <w:tcPr>
            <w:tcW w:w="333" w:type="dxa"/>
            <w:tcBorders>
              <w:left w:val="single" w:sz="6" w:space="0" w:color="000000"/>
              <w:right w:val="single" w:sz="6" w:space="0" w:color="000000"/>
            </w:tcBorders>
            <w:shd w:val="clear" w:color="auto" w:fill="F1F1F1"/>
          </w:tcPr>
          <w:p>
            <w:pPr>
              <w:pStyle w:val="TableParagraph"/>
              <w:spacing w:before="64"/>
              <w:ind w:left="10"/>
              <w:jc w:val="center"/>
              <w:rPr>
                <w:sz w:val="10"/>
              </w:rPr>
            </w:pPr>
            <w:r>
              <w:rPr>
                <w:w w:val="100"/>
                <w:sz w:val="10"/>
              </w:rPr>
              <w:t>2</w:t>
            </w:r>
          </w:p>
        </w:tc>
        <w:tc>
          <w:tcPr>
            <w:tcW w:w="3296" w:type="dxa"/>
            <w:tcBorders>
              <w:left w:val="single" w:sz="6" w:space="0" w:color="000000"/>
              <w:right w:val="single" w:sz="6" w:space="0" w:color="000000"/>
            </w:tcBorders>
            <w:shd w:val="clear" w:color="auto" w:fill="F1F1F1"/>
          </w:tcPr>
          <w:p>
            <w:pPr>
              <w:pStyle w:val="TableParagraph"/>
              <w:spacing w:before="4"/>
              <w:ind w:left="19"/>
              <w:rPr>
                <w:sz w:val="10"/>
              </w:rPr>
            </w:pPr>
            <w:r>
              <w:rPr>
                <w:sz w:val="10"/>
              </w:rPr>
              <w:t>Para el año </w:t>
            </w:r>
            <w:r>
              <w:rPr>
                <w:spacing w:val="-3"/>
                <w:sz w:val="10"/>
              </w:rPr>
              <w:t>2023 </w:t>
            </w:r>
            <w:r>
              <w:rPr>
                <w:sz w:val="10"/>
              </w:rPr>
              <w:t>se ha incrementado </w:t>
            </w:r>
            <w:r>
              <w:rPr>
                <w:spacing w:val="-4"/>
                <w:sz w:val="10"/>
              </w:rPr>
              <w:t>la </w:t>
            </w:r>
            <w:r>
              <w:rPr>
                <w:sz w:val="10"/>
              </w:rPr>
              <w:t>tasa neta de cobertura en el </w:t>
            </w:r>
            <w:r>
              <w:rPr>
                <w:spacing w:val="-3"/>
                <w:sz w:val="10"/>
              </w:rPr>
              <w:t>nivel primario</w:t>
            </w:r>
          </w:p>
          <w:p>
            <w:pPr>
              <w:pStyle w:val="TableParagraph"/>
              <w:spacing w:line="98" w:lineRule="exact" w:before="19"/>
              <w:ind w:left="19"/>
              <w:rPr>
                <w:sz w:val="10"/>
              </w:rPr>
            </w:pPr>
            <w:r>
              <w:rPr>
                <w:sz w:val="10"/>
              </w:rPr>
              <w:t>en 17 puntos porcentuales</w:t>
            </w:r>
          </w:p>
        </w:tc>
        <w:tc>
          <w:tcPr>
            <w:tcW w:w="939" w:type="dxa"/>
            <w:tcBorders>
              <w:left w:val="single" w:sz="6" w:space="0" w:color="000000"/>
              <w:right w:val="nil"/>
            </w:tcBorders>
          </w:tcPr>
          <w:p>
            <w:pPr>
              <w:pStyle w:val="TableParagraph"/>
              <w:spacing w:before="71"/>
              <w:ind w:left="79" w:right="78"/>
              <w:jc w:val="center"/>
              <w:rPr>
                <w:sz w:val="10"/>
              </w:rPr>
            </w:pPr>
            <w:r>
              <w:rPr>
                <w:sz w:val="10"/>
              </w:rPr>
              <w:t>88.00%</w:t>
            </w:r>
          </w:p>
        </w:tc>
        <w:tc>
          <w:tcPr>
            <w:tcW w:w="939" w:type="dxa"/>
            <w:tcBorders>
              <w:left w:val="nil"/>
              <w:right w:val="single" w:sz="6" w:space="0" w:color="000000"/>
            </w:tcBorders>
            <w:shd w:val="clear" w:color="auto" w:fill="92D050"/>
          </w:tcPr>
          <w:p>
            <w:pPr>
              <w:pStyle w:val="TableParagraph"/>
              <w:spacing w:before="71"/>
              <w:ind w:left="94" w:right="78"/>
              <w:jc w:val="center"/>
              <w:rPr>
                <w:sz w:val="10"/>
              </w:rPr>
            </w:pPr>
            <w:r>
              <w:rPr>
                <w:sz w:val="10"/>
              </w:rPr>
              <w:t>95.03%</w:t>
            </w:r>
          </w:p>
        </w:tc>
        <w:tc>
          <w:tcPr>
            <w:tcW w:w="1012" w:type="dxa"/>
            <w:tcBorders>
              <w:top w:val="nil"/>
              <w:left w:val="single" w:sz="6" w:space="0" w:color="000000"/>
              <w:bottom w:val="nil"/>
              <w:right w:val="nil"/>
            </w:tcBorders>
          </w:tcPr>
          <w:p>
            <w:pPr>
              <w:pStyle w:val="TableParagraph"/>
              <w:spacing w:before="71"/>
              <w:ind w:left="125" w:right="118"/>
              <w:jc w:val="center"/>
              <w:rPr>
                <w:sz w:val="10"/>
              </w:rPr>
            </w:pPr>
            <w:r>
              <w:rPr>
                <w:sz w:val="10"/>
              </w:rPr>
              <w:t>0.5</w:t>
            </w:r>
          </w:p>
        </w:tc>
      </w:tr>
      <w:tr>
        <w:trPr>
          <w:trHeight w:val="256" w:hRule="atLeast"/>
        </w:trPr>
        <w:tc>
          <w:tcPr>
            <w:tcW w:w="333" w:type="dxa"/>
            <w:tcBorders>
              <w:left w:val="single" w:sz="6" w:space="0" w:color="000000"/>
              <w:right w:val="single" w:sz="6" w:space="0" w:color="000000"/>
            </w:tcBorders>
            <w:shd w:val="clear" w:color="auto" w:fill="F1F1F1"/>
          </w:tcPr>
          <w:p>
            <w:pPr>
              <w:pStyle w:val="TableParagraph"/>
              <w:spacing w:before="64"/>
              <w:ind w:left="10"/>
              <w:jc w:val="center"/>
              <w:rPr>
                <w:sz w:val="10"/>
              </w:rPr>
            </w:pPr>
            <w:r>
              <w:rPr>
                <w:w w:val="100"/>
                <w:sz w:val="10"/>
              </w:rPr>
              <w:t>3</w:t>
            </w:r>
          </w:p>
        </w:tc>
        <w:tc>
          <w:tcPr>
            <w:tcW w:w="3296" w:type="dxa"/>
            <w:tcBorders>
              <w:left w:val="single" w:sz="6" w:space="0" w:color="000000"/>
              <w:right w:val="single" w:sz="6" w:space="0" w:color="000000"/>
            </w:tcBorders>
            <w:shd w:val="clear" w:color="auto" w:fill="F1F1F1"/>
          </w:tcPr>
          <w:p>
            <w:pPr>
              <w:pStyle w:val="TableParagraph"/>
              <w:spacing w:before="5"/>
              <w:ind w:left="19"/>
              <w:rPr>
                <w:sz w:val="10"/>
              </w:rPr>
            </w:pPr>
            <w:r>
              <w:rPr>
                <w:sz w:val="10"/>
              </w:rPr>
              <w:t>Para el año 2023 se ha incrementado la tasa neta de cobertura en el nivel básico</w:t>
            </w:r>
          </w:p>
          <w:p>
            <w:pPr>
              <w:pStyle w:val="TableParagraph"/>
              <w:spacing w:line="98" w:lineRule="exact" w:before="18"/>
              <w:ind w:left="19"/>
              <w:rPr>
                <w:sz w:val="10"/>
              </w:rPr>
            </w:pPr>
            <w:r>
              <w:rPr>
                <w:sz w:val="10"/>
              </w:rPr>
              <w:t>en 17 puntos porcentuales</w:t>
            </w:r>
          </w:p>
        </w:tc>
        <w:tc>
          <w:tcPr>
            <w:tcW w:w="939" w:type="dxa"/>
            <w:tcBorders>
              <w:left w:val="single" w:sz="6" w:space="0" w:color="000000"/>
              <w:right w:val="nil"/>
            </w:tcBorders>
          </w:tcPr>
          <w:p>
            <w:pPr>
              <w:pStyle w:val="TableParagraph"/>
              <w:spacing w:before="71"/>
              <w:ind w:left="77" w:right="78"/>
              <w:jc w:val="center"/>
              <w:rPr>
                <w:sz w:val="10"/>
              </w:rPr>
            </w:pPr>
            <w:r>
              <w:rPr>
                <w:sz w:val="10"/>
              </w:rPr>
              <w:t>48%</w:t>
            </w:r>
          </w:p>
        </w:tc>
        <w:tc>
          <w:tcPr>
            <w:tcW w:w="939" w:type="dxa"/>
            <w:tcBorders>
              <w:left w:val="nil"/>
              <w:right w:val="single" w:sz="6" w:space="0" w:color="000000"/>
            </w:tcBorders>
            <w:shd w:val="clear" w:color="auto" w:fill="FFC000"/>
          </w:tcPr>
          <w:p>
            <w:pPr>
              <w:pStyle w:val="TableParagraph"/>
              <w:spacing w:before="71"/>
              <w:ind w:left="94" w:right="78"/>
              <w:jc w:val="center"/>
              <w:rPr>
                <w:sz w:val="10"/>
              </w:rPr>
            </w:pPr>
            <w:r>
              <w:rPr>
                <w:sz w:val="10"/>
              </w:rPr>
              <w:t>47.81%</w:t>
            </w:r>
          </w:p>
        </w:tc>
        <w:tc>
          <w:tcPr>
            <w:tcW w:w="1012" w:type="dxa"/>
            <w:tcBorders>
              <w:top w:val="nil"/>
              <w:left w:val="single" w:sz="6" w:space="0" w:color="000000"/>
              <w:bottom w:val="nil"/>
              <w:right w:val="nil"/>
            </w:tcBorders>
          </w:tcPr>
          <w:p>
            <w:pPr>
              <w:pStyle w:val="TableParagraph"/>
              <w:spacing w:before="71"/>
              <w:ind w:left="125" w:right="118"/>
              <w:jc w:val="center"/>
              <w:rPr>
                <w:sz w:val="10"/>
              </w:rPr>
            </w:pPr>
            <w:r>
              <w:rPr>
                <w:color w:val="C00000"/>
                <w:sz w:val="10"/>
              </w:rPr>
              <w:t>-2.43</w:t>
            </w:r>
          </w:p>
        </w:tc>
      </w:tr>
      <w:tr>
        <w:trPr>
          <w:trHeight w:val="256" w:hRule="atLeast"/>
        </w:trPr>
        <w:tc>
          <w:tcPr>
            <w:tcW w:w="333" w:type="dxa"/>
            <w:tcBorders>
              <w:left w:val="single" w:sz="6" w:space="0" w:color="000000"/>
              <w:right w:val="single" w:sz="6" w:space="0" w:color="000000"/>
            </w:tcBorders>
            <w:shd w:val="clear" w:color="auto" w:fill="F1F1F1"/>
          </w:tcPr>
          <w:p>
            <w:pPr>
              <w:pStyle w:val="TableParagraph"/>
              <w:spacing w:before="64"/>
              <w:ind w:left="10"/>
              <w:jc w:val="center"/>
              <w:rPr>
                <w:sz w:val="10"/>
              </w:rPr>
            </w:pPr>
            <w:r>
              <w:rPr>
                <w:w w:val="100"/>
                <w:sz w:val="10"/>
              </w:rPr>
              <w:t>4</w:t>
            </w:r>
          </w:p>
        </w:tc>
        <w:tc>
          <w:tcPr>
            <w:tcW w:w="3296" w:type="dxa"/>
            <w:tcBorders>
              <w:left w:val="single" w:sz="6" w:space="0" w:color="000000"/>
              <w:right w:val="single" w:sz="6" w:space="0" w:color="000000"/>
            </w:tcBorders>
            <w:shd w:val="clear" w:color="auto" w:fill="F1F1F1"/>
          </w:tcPr>
          <w:p>
            <w:pPr>
              <w:pStyle w:val="TableParagraph"/>
              <w:spacing w:before="5"/>
              <w:ind w:left="19"/>
              <w:rPr>
                <w:sz w:val="10"/>
              </w:rPr>
            </w:pPr>
            <w:r>
              <w:rPr>
                <w:sz w:val="10"/>
              </w:rPr>
              <w:t>Para el año 2023 se ha incrementado la tasa neta de cobertura en el nivel</w:t>
            </w:r>
          </w:p>
          <w:p>
            <w:pPr>
              <w:pStyle w:val="TableParagraph"/>
              <w:spacing w:line="98" w:lineRule="exact" w:before="18"/>
              <w:ind w:left="19"/>
              <w:rPr>
                <w:sz w:val="10"/>
              </w:rPr>
            </w:pPr>
            <w:r>
              <w:rPr>
                <w:sz w:val="10"/>
              </w:rPr>
              <w:t>diversificado en 11 puntos porcentuales</w:t>
            </w:r>
          </w:p>
        </w:tc>
        <w:tc>
          <w:tcPr>
            <w:tcW w:w="939" w:type="dxa"/>
            <w:tcBorders>
              <w:left w:val="single" w:sz="6" w:space="0" w:color="000000"/>
              <w:right w:val="nil"/>
            </w:tcBorders>
          </w:tcPr>
          <w:p>
            <w:pPr>
              <w:pStyle w:val="TableParagraph"/>
              <w:spacing w:before="71"/>
              <w:ind w:left="77" w:right="78"/>
              <w:jc w:val="center"/>
              <w:rPr>
                <w:sz w:val="10"/>
              </w:rPr>
            </w:pPr>
            <w:r>
              <w:rPr>
                <w:sz w:val="10"/>
              </w:rPr>
              <w:t>29%</w:t>
            </w:r>
          </w:p>
        </w:tc>
        <w:tc>
          <w:tcPr>
            <w:tcW w:w="939" w:type="dxa"/>
            <w:tcBorders>
              <w:left w:val="nil"/>
              <w:right w:val="single" w:sz="6" w:space="0" w:color="000000"/>
            </w:tcBorders>
            <w:shd w:val="clear" w:color="auto" w:fill="FFC000"/>
          </w:tcPr>
          <w:p>
            <w:pPr>
              <w:pStyle w:val="TableParagraph"/>
              <w:spacing w:before="71"/>
              <w:ind w:left="94" w:right="78"/>
              <w:jc w:val="center"/>
              <w:rPr>
                <w:sz w:val="10"/>
              </w:rPr>
            </w:pPr>
            <w:r>
              <w:rPr>
                <w:sz w:val="10"/>
              </w:rPr>
              <w:t>25.21%</w:t>
            </w:r>
          </w:p>
        </w:tc>
        <w:tc>
          <w:tcPr>
            <w:tcW w:w="1012" w:type="dxa"/>
            <w:tcBorders>
              <w:top w:val="nil"/>
              <w:left w:val="single" w:sz="6" w:space="0" w:color="000000"/>
              <w:bottom w:val="nil"/>
              <w:right w:val="nil"/>
            </w:tcBorders>
          </w:tcPr>
          <w:p>
            <w:pPr>
              <w:pStyle w:val="TableParagraph"/>
              <w:spacing w:before="71"/>
              <w:ind w:left="125" w:right="118"/>
              <w:jc w:val="center"/>
              <w:rPr>
                <w:sz w:val="10"/>
              </w:rPr>
            </w:pPr>
            <w:r>
              <w:rPr>
                <w:color w:val="C00000"/>
                <w:sz w:val="10"/>
              </w:rPr>
              <w:t>-10.7</w:t>
            </w:r>
          </w:p>
        </w:tc>
      </w:tr>
      <w:tr>
        <w:trPr>
          <w:trHeight w:val="256" w:hRule="atLeast"/>
        </w:trPr>
        <w:tc>
          <w:tcPr>
            <w:tcW w:w="333" w:type="dxa"/>
            <w:tcBorders>
              <w:left w:val="single" w:sz="6" w:space="0" w:color="000000"/>
              <w:right w:val="single" w:sz="6" w:space="0" w:color="000000"/>
            </w:tcBorders>
            <w:shd w:val="clear" w:color="auto" w:fill="F1F1F1"/>
          </w:tcPr>
          <w:p>
            <w:pPr>
              <w:pStyle w:val="TableParagraph"/>
              <w:spacing w:before="64"/>
              <w:ind w:left="10"/>
              <w:jc w:val="center"/>
              <w:rPr>
                <w:sz w:val="10"/>
              </w:rPr>
            </w:pPr>
            <w:r>
              <w:rPr>
                <w:w w:val="100"/>
                <w:sz w:val="10"/>
              </w:rPr>
              <w:t>5</w:t>
            </w:r>
          </w:p>
        </w:tc>
        <w:tc>
          <w:tcPr>
            <w:tcW w:w="3296" w:type="dxa"/>
            <w:tcBorders>
              <w:left w:val="single" w:sz="6" w:space="0" w:color="000000"/>
              <w:right w:val="single" w:sz="6" w:space="0" w:color="000000"/>
            </w:tcBorders>
            <w:shd w:val="clear" w:color="auto" w:fill="F1F1F1"/>
          </w:tcPr>
          <w:p>
            <w:pPr>
              <w:pStyle w:val="TableParagraph"/>
              <w:spacing w:before="4"/>
              <w:ind w:left="19"/>
              <w:rPr>
                <w:sz w:val="10"/>
              </w:rPr>
            </w:pPr>
            <w:r>
              <w:rPr>
                <w:sz w:val="10"/>
              </w:rPr>
              <w:t>Para el año </w:t>
            </w:r>
            <w:r>
              <w:rPr>
                <w:spacing w:val="-3"/>
                <w:sz w:val="10"/>
              </w:rPr>
              <w:t>2023 </w:t>
            </w:r>
            <w:r>
              <w:rPr>
                <w:sz w:val="10"/>
              </w:rPr>
              <w:t>se </w:t>
            </w:r>
            <w:r>
              <w:rPr>
                <w:spacing w:val="-3"/>
                <w:sz w:val="10"/>
              </w:rPr>
              <w:t>redujo </w:t>
            </w:r>
            <w:r>
              <w:rPr>
                <w:sz w:val="10"/>
              </w:rPr>
              <w:t>el porcentaje de </w:t>
            </w:r>
            <w:r>
              <w:rPr>
                <w:spacing w:val="-4"/>
                <w:sz w:val="10"/>
              </w:rPr>
              <w:t>la población </w:t>
            </w:r>
            <w:r>
              <w:rPr>
                <w:sz w:val="10"/>
              </w:rPr>
              <w:t>analfabeta en 5.09 </w:t>
            </w:r>
            <w:r>
              <w:rPr>
                <w:spacing w:val="-3"/>
                <w:sz w:val="10"/>
              </w:rPr>
              <w:t>puntos</w:t>
            </w:r>
          </w:p>
          <w:p>
            <w:pPr>
              <w:pStyle w:val="TableParagraph"/>
              <w:spacing w:line="98" w:lineRule="exact" w:before="19"/>
              <w:ind w:left="19"/>
              <w:rPr>
                <w:sz w:val="10"/>
              </w:rPr>
            </w:pPr>
            <w:r>
              <w:rPr>
                <w:sz w:val="10"/>
              </w:rPr>
              <w:t>porcentuales</w:t>
            </w:r>
          </w:p>
        </w:tc>
        <w:tc>
          <w:tcPr>
            <w:tcW w:w="939" w:type="dxa"/>
            <w:tcBorders>
              <w:left w:val="single" w:sz="6" w:space="0" w:color="000000"/>
              <w:right w:val="nil"/>
            </w:tcBorders>
          </w:tcPr>
          <w:p>
            <w:pPr>
              <w:pStyle w:val="TableParagraph"/>
              <w:spacing w:before="71"/>
              <w:ind w:left="79" w:right="78"/>
              <w:jc w:val="center"/>
              <w:rPr>
                <w:sz w:val="10"/>
              </w:rPr>
            </w:pPr>
            <w:r>
              <w:rPr>
                <w:sz w:val="10"/>
              </w:rPr>
              <w:t>16.80%</w:t>
            </w:r>
          </w:p>
        </w:tc>
        <w:tc>
          <w:tcPr>
            <w:tcW w:w="939" w:type="dxa"/>
            <w:tcBorders>
              <w:left w:val="nil"/>
              <w:right w:val="single" w:sz="6" w:space="0" w:color="000000"/>
            </w:tcBorders>
            <w:shd w:val="clear" w:color="auto" w:fill="FFC000"/>
          </w:tcPr>
          <w:p>
            <w:pPr>
              <w:pStyle w:val="TableParagraph"/>
              <w:spacing w:before="71"/>
              <w:ind w:left="94" w:right="78"/>
              <w:jc w:val="center"/>
              <w:rPr>
                <w:sz w:val="10"/>
              </w:rPr>
            </w:pPr>
            <w:r>
              <w:rPr>
                <w:sz w:val="10"/>
              </w:rPr>
              <w:t>17.40%</w:t>
            </w:r>
          </w:p>
        </w:tc>
        <w:tc>
          <w:tcPr>
            <w:tcW w:w="1012" w:type="dxa"/>
            <w:tcBorders>
              <w:top w:val="nil"/>
              <w:left w:val="single" w:sz="6" w:space="0" w:color="000000"/>
              <w:bottom w:val="nil"/>
              <w:right w:val="nil"/>
            </w:tcBorders>
          </w:tcPr>
          <w:p>
            <w:pPr>
              <w:pStyle w:val="TableParagraph"/>
              <w:spacing w:before="71"/>
              <w:ind w:left="122" w:right="122"/>
              <w:jc w:val="center"/>
              <w:rPr>
                <w:sz w:val="10"/>
              </w:rPr>
            </w:pPr>
            <w:r>
              <w:rPr>
                <w:color w:val="C00000"/>
                <w:sz w:val="10"/>
              </w:rPr>
              <w:t>-3.3</w:t>
            </w:r>
          </w:p>
        </w:tc>
      </w:tr>
      <w:tr>
        <w:trPr>
          <w:trHeight w:val="256" w:hRule="atLeast"/>
        </w:trPr>
        <w:tc>
          <w:tcPr>
            <w:tcW w:w="333" w:type="dxa"/>
            <w:tcBorders>
              <w:left w:val="single" w:sz="6" w:space="0" w:color="000000"/>
              <w:right w:val="single" w:sz="6" w:space="0" w:color="000000"/>
            </w:tcBorders>
            <w:shd w:val="clear" w:color="auto" w:fill="F1F1F1"/>
          </w:tcPr>
          <w:p>
            <w:pPr>
              <w:pStyle w:val="TableParagraph"/>
              <w:spacing w:before="64"/>
              <w:ind w:left="10"/>
              <w:jc w:val="center"/>
              <w:rPr>
                <w:sz w:val="10"/>
              </w:rPr>
            </w:pPr>
            <w:r>
              <w:rPr>
                <w:w w:val="100"/>
                <w:sz w:val="10"/>
              </w:rPr>
              <w:t>6</w:t>
            </w:r>
          </w:p>
        </w:tc>
        <w:tc>
          <w:tcPr>
            <w:tcW w:w="3296" w:type="dxa"/>
            <w:tcBorders>
              <w:left w:val="single" w:sz="6" w:space="0" w:color="000000"/>
              <w:right w:val="single" w:sz="6" w:space="0" w:color="000000"/>
            </w:tcBorders>
            <w:shd w:val="clear" w:color="auto" w:fill="F1F1F1"/>
          </w:tcPr>
          <w:p>
            <w:pPr>
              <w:pStyle w:val="TableParagraph"/>
              <w:spacing w:before="5"/>
              <w:ind w:left="19"/>
              <w:rPr>
                <w:sz w:val="10"/>
              </w:rPr>
            </w:pPr>
            <w:r>
              <w:rPr>
                <w:sz w:val="10"/>
              </w:rPr>
              <w:t>Para el año 2023 se ha incrementado la cobertura de seguro médico escolar a 3</w:t>
            </w:r>
          </w:p>
          <w:p>
            <w:pPr>
              <w:pStyle w:val="TableParagraph"/>
              <w:spacing w:line="98" w:lineRule="exact" w:before="18"/>
              <w:ind w:left="19"/>
              <w:rPr>
                <w:sz w:val="10"/>
              </w:rPr>
            </w:pPr>
            <w:r>
              <w:rPr>
                <w:sz w:val="10"/>
              </w:rPr>
              <w:t>millones de niños</w:t>
            </w:r>
          </w:p>
        </w:tc>
        <w:tc>
          <w:tcPr>
            <w:tcW w:w="939" w:type="dxa"/>
            <w:tcBorders>
              <w:left w:val="single" w:sz="6" w:space="0" w:color="000000"/>
              <w:right w:val="nil"/>
            </w:tcBorders>
          </w:tcPr>
          <w:p>
            <w:pPr>
              <w:pStyle w:val="TableParagraph"/>
              <w:spacing w:before="71"/>
              <w:ind w:left="88" w:right="78"/>
              <w:jc w:val="center"/>
              <w:rPr>
                <w:sz w:val="10"/>
              </w:rPr>
            </w:pPr>
            <w:r>
              <w:rPr>
                <w:sz w:val="10"/>
              </w:rPr>
              <w:t>2 millones</w:t>
            </w:r>
          </w:p>
        </w:tc>
        <w:tc>
          <w:tcPr>
            <w:tcW w:w="939" w:type="dxa"/>
            <w:tcBorders>
              <w:left w:val="nil"/>
              <w:right w:val="single" w:sz="6" w:space="0" w:color="000000"/>
            </w:tcBorders>
            <w:shd w:val="clear" w:color="auto" w:fill="FFC000"/>
          </w:tcPr>
          <w:p>
            <w:pPr>
              <w:pStyle w:val="TableParagraph"/>
              <w:spacing w:before="71"/>
              <w:ind w:left="225"/>
              <w:rPr>
                <w:sz w:val="10"/>
              </w:rPr>
            </w:pPr>
            <w:r>
              <w:rPr>
                <w:sz w:val="10"/>
              </w:rPr>
              <w:t>1.94 millones</w:t>
            </w:r>
          </w:p>
        </w:tc>
        <w:tc>
          <w:tcPr>
            <w:tcW w:w="1012" w:type="dxa"/>
            <w:tcBorders>
              <w:top w:val="nil"/>
              <w:left w:val="single" w:sz="6" w:space="0" w:color="000000"/>
              <w:bottom w:val="nil"/>
              <w:right w:val="nil"/>
            </w:tcBorders>
          </w:tcPr>
          <w:p>
            <w:pPr>
              <w:pStyle w:val="TableParagraph"/>
              <w:spacing w:before="71"/>
              <w:ind w:left="125" w:right="118"/>
              <w:jc w:val="center"/>
              <w:rPr>
                <w:sz w:val="10"/>
              </w:rPr>
            </w:pPr>
            <w:r>
              <w:rPr>
                <w:color w:val="C00000"/>
                <w:sz w:val="10"/>
              </w:rPr>
              <w:t>-1.06</w:t>
            </w:r>
          </w:p>
        </w:tc>
      </w:tr>
      <w:tr>
        <w:trPr>
          <w:trHeight w:val="256" w:hRule="atLeast"/>
        </w:trPr>
        <w:tc>
          <w:tcPr>
            <w:tcW w:w="333" w:type="dxa"/>
            <w:tcBorders>
              <w:left w:val="single" w:sz="6" w:space="0" w:color="000000"/>
              <w:right w:val="single" w:sz="6" w:space="0" w:color="000000"/>
            </w:tcBorders>
            <w:shd w:val="clear" w:color="auto" w:fill="F1F1F1"/>
          </w:tcPr>
          <w:p>
            <w:pPr>
              <w:pStyle w:val="TableParagraph"/>
              <w:spacing w:before="64"/>
              <w:ind w:left="10"/>
              <w:jc w:val="center"/>
              <w:rPr>
                <w:sz w:val="10"/>
              </w:rPr>
            </w:pPr>
            <w:r>
              <w:rPr>
                <w:w w:val="100"/>
                <w:sz w:val="10"/>
              </w:rPr>
              <w:t>7</w:t>
            </w:r>
          </w:p>
        </w:tc>
        <w:tc>
          <w:tcPr>
            <w:tcW w:w="3296" w:type="dxa"/>
            <w:tcBorders>
              <w:left w:val="single" w:sz="6" w:space="0" w:color="000000"/>
              <w:right w:val="single" w:sz="6" w:space="0" w:color="000000"/>
            </w:tcBorders>
            <w:shd w:val="clear" w:color="auto" w:fill="F1F1F1"/>
          </w:tcPr>
          <w:p>
            <w:pPr>
              <w:pStyle w:val="TableParagraph"/>
              <w:spacing w:before="5"/>
              <w:ind w:left="19"/>
              <w:rPr>
                <w:sz w:val="10"/>
              </w:rPr>
            </w:pPr>
            <w:r>
              <w:rPr>
                <w:sz w:val="10"/>
              </w:rPr>
              <w:t>Para el año 2023 se ha incrementado la inversión en servicios de alimentación</w:t>
            </w:r>
          </w:p>
          <w:p>
            <w:pPr>
              <w:pStyle w:val="TableParagraph"/>
              <w:spacing w:line="98" w:lineRule="exact" w:before="18"/>
              <w:ind w:left="19"/>
              <w:rPr>
                <w:sz w:val="10"/>
              </w:rPr>
            </w:pPr>
            <w:r>
              <w:rPr>
                <w:sz w:val="10"/>
              </w:rPr>
              <w:t>escolar en Q 830.4 millones</w:t>
            </w:r>
          </w:p>
        </w:tc>
        <w:tc>
          <w:tcPr>
            <w:tcW w:w="939" w:type="dxa"/>
            <w:tcBorders>
              <w:left w:val="single" w:sz="6" w:space="0" w:color="000000"/>
              <w:right w:val="nil"/>
            </w:tcBorders>
          </w:tcPr>
          <w:p>
            <w:pPr>
              <w:pStyle w:val="TableParagraph"/>
              <w:spacing w:before="71"/>
              <w:ind w:left="92" w:right="78"/>
              <w:jc w:val="center"/>
              <w:rPr>
                <w:sz w:val="10"/>
              </w:rPr>
            </w:pPr>
            <w:r>
              <w:rPr>
                <w:sz w:val="10"/>
              </w:rPr>
              <w:t>Q2,259.48</w:t>
            </w:r>
          </w:p>
        </w:tc>
        <w:tc>
          <w:tcPr>
            <w:tcW w:w="939" w:type="dxa"/>
            <w:tcBorders>
              <w:left w:val="nil"/>
              <w:right w:val="single" w:sz="6" w:space="0" w:color="000000"/>
            </w:tcBorders>
            <w:shd w:val="clear" w:color="auto" w:fill="FFC000"/>
          </w:tcPr>
          <w:p>
            <w:pPr>
              <w:pStyle w:val="TableParagraph"/>
              <w:spacing w:before="71"/>
              <w:ind w:left="95" w:right="66"/>
              <w:jc w:val="center"/>
              <w:rPr>
                <w:sz w:val="10"/>
              </w:rPr>
            </w:pPr>
            <w:r>
              <w:rPr>
                <w:sz w:val="10"/>
              </w:rPr>
              <w:t>Q1,897.44</w:t>
            </w:r>
          </w:p>
        </w:tc>
        <w:tc>
          <w:tcPr>
            <w:tcW w:w="1012" w:type="dxa"/>
            <w:tcBorders>
              <w:top w:val="nil"/>
              <w:left w:val="single" w:sz="6" w:space="0" w:color="000000"/>
              <w:bottom w:val="nil"/>
              <w:right w:val="nil"/>
            </w:tcBorders>
          </w:tcPr>
          <w:p>
            <w:pPr>
              <w:pStyle w:val="TableParagraph"/>
              <w:spacing w:before="71"/>
              <w:ind w:left="122" w:right="122"/>
              <w:jc w:val="center"/>
              <w:rPr>
                <w:sz w:val="10"/>
              </w:rPr>
            </w:pPr>
            <w:r>
              <w:rPr>
                <w:color w:val="FF0000"/>
                <w:sz w:val="10"/>
              </w:rPr>
              <w:t>-Q812.12</w:t>
            </w:r>
          </w:p>
        </w:tc>
      </w:tr>
      <w:tr>
        <w:trPr>
          <w:trHeight w:val="262" w:hRule="atLeast"/>
        </w:trPr>
        <w:tc>
          <w:tcPr>
            <w:tcW w:w="333" w:type="dxa"/>
            <w:tcBorders>
              <w:left w:val="single" w:sz="6" w:space="0" w:color="000000"/>
              <w:right w:val="single" w:sz="6" w:space="0" w:color="000000"/>
            </w:tcBorders>
            <w:shd w:val="clear" w:color="auto" w:fill="F1F1F1"/>
          </w:tcPr>
          <w:p>
            <w:pPr>
              <w:pStyle w:val="TableParagraph"/>
              <w:spacing w:before="71"/>
              <w:ind w:left="10"/>
              <w:jc w:val="center"/>
              <w:rPr>
                <w:sz w:val="10"/>
              </w:rPr>
            </w:pPr>
            <w:r>
              <w:rPr>
                <w:w w:val="100"/>
                <w:sz w:val="10"/>
              </w:rPr>
              <w:t>8</w:t>
            </w:r>
          </w:p>
        </w:tc>
        <w:tc>
          <w:tcPr>
            <w:tcW w:w="3296" w:type="dxa"/>
            <w:tcBorders>
              <w:left w:val="single" w:sz="6" w:space="0" w:color="000000"/>
              <w:right w:val="single" w:sz="6" w:space="0" w:color="000000"/>
            </w:tcBorders>
            <w:shd w:val="clear" w:color="auto" w:fill="F1F1F1"/>
          </w:tcPr>
          <w:p>
            <w:pPr>
              <w:pStyle w:val="TableParagraph"/>
              <w:spacing w:before="4"/>
              <w:ind w:left="19"/>
              <w:rPr>
                <w:sz w:val="10"/>
              </w:rPr>
            </w:pPr>
            <w:r>
              <w:rPr>
                <w:sz w:val="10"/>
              </w:rPr>
              <w:t>Para el año 2023 se ha incrementado la cantidad de becas escolares para</w:t>
            </w:r>
          </w:p>
          <w:p>
            <w:pPr>
              <w:pStyle w:val="TableParagraph"/>
              <w:spacing w:line="105" w:lineRule="exact" w:before="19"/>
              <w:ind w:left="19"/>
              <w:rPr>
                <w:sz w:val="10"/>
              </w:rPr>
            </w:pPr>
            <w:r>
              <w:rPr>
                <w:sz w:val="10"/>
              </w:rPr>
              <w:t>estudiantes del nivel básico y diversificado en 19,579</w:t>
            </w:r>
          </w:p>
        </w:tc>
        <w:tc>
          <w:tcPr>
            <w:tcW w:w="939" w:type="dxa"/>
            <w:tcBorders>
              <w:left w:val="single" w:sz="6" w:space="0" w:color="000000"/>
              <w:right w:val="nil"/>
            </w:tcBorders>
          </w:tcPr>
          <w:p>
            <w:pPr>
              <w:pStyle w:val="TableParagraph"/>
              <w:spacing w:before="71"/>
              <w:ind w:left="93" w:right="78"/>
              <w:jc w:val="center"/>
              <w:rPr>
                <w:sz w:val="10"/>
              </w:rPr>
            </w:pPr>
            <w:r>
              <w:rPr>
                <w:sz w:val="10"/>
              </w:rPr>
              <w:t>44,090</w:t>
            </w:r>
          </w:p>
        </w:tc>
        <w:tc>
          <w:tcPr>
            <w:tcW w:w="939" w:type="dxa"/>
            <w:tcBorders>
              <w:left w:val="nil"/>
              <w:right w:val="single" w:sz="6" w:space="0" w:color="000000"/>
            </w:tcBorders>
            <w:shd w:val="clear" w:color="auto" w:fill="FFC000"/>
          </w:tcPr>
          <w:p>
            <w:pPr>
              <w:pStyle w:val="TableParagraph"/>
              <w:spacing w:before="71"/>
              <w:ind w:left="95" w:right="66"/>
              <w:jc w:val="center"/>
              <w:rPr>
                <w:sz w:val="10"/>
              </w:rPr>
            </w:pPr>
            <w:r>
              <w:rPr>
                <w:sz w:val="10"/>
              </w:rPr>
              <w:t>36,690</w:t>
            </w:r>
          </w:p>
        </w:tc>
        <w:tc>
          <w:tcPr>
            <w:tcW w:w="1012" w:type="dxa"/>
            <w:tcBorders>
              <w:top w:val="nil"/>
              <w:left w:val="single" w:sz="6" w:space="0" w:color="000000"/>
              <w:bottom w:val="nil"/>
              <w:right w:val="nil"/>
            </w:tcBorders>
          </w:tcPr>
          <w:p>
            <w:pPr>
              <w:pStyle w:val="TableParagraph"/>
              <w:spacing w:before="71"/>
              <w:ind w:left="123" w:right="122"/>
              <w:jc w:val="center"/>
              <w:rPr>
                <w:sz w:val="10"/>
              </w:rPr>
            </w:pPr>
            <w:r>
              <w:rPr>
                <w:color w:val="C00000"/>
                <w:sz w:val="10"/>
              </w:rPr>
              <w:t>-14,151</w:t>
            </w:r>
          </w:p>
        </w:tc>
      </w:tr>
      <w:tr>
        <w:trPr>
          <w:trHeight w:val="262" w:hRule="atLeast"/>
        </w:trPr>
        <w:tc>
          <w:tcPr>
            <w:tcW w:w="333" w:type="dxa"/>
            <w:tcBorders>
              <w:left w:val="single" w:sz="6" w:space="0" w:color="000000"/>
              <w:right w:val="single" w:sz="6" w:space="0" w:color="000000"/>
            </w:tcBorders>
            <w:shd w:val="clear" w:color="auto" w:fill="F1F1F1"/>
          </w:tcPr>
          <w:p>
            <w:pPr>
              <w:pStyle w:val="TableParagraph"/>
              <w:spacing w:before="71"/>
              <w:ind w:left="10"/>
              <w:jc w:val="center"/>
              <w:rPr>
                <w:sz w:val="10"/>
              </w:rPr>
            </w:pPr>
            <w:r>
              <w:rPr>
                <w:w w:val="100"/>
                <w:sz w:val="10"/>
              </w:rPr>
              <w:t>9</w:t>
            </w:r>
          </w:p>
        </w:tc>
        <w:tc>
          <w:tcPr>
            <w:tcW w:w="3296" w:type="dxa"/>
            <w:tcBorders>
              <w:left w:val="single" w:sz="6" w:space="0" w:color="000000"/>
              <w:right w:val="single" w:sz="6" w:space="0" w:color="000000"/>
            </w:tcBorders>
            <w:shd w:val="clear" w:color="auto" w:fill="F1F1F1"/>
          </w:tcPr>
          <w:p>
            <w:pPr>
              <w:pStyle w:val="TableParagraph"/>
              <w:spacing w:before="5"/>
              <w:ind w:left="19"/>
              <w:rPr>
                <w:sz w:val="10"/>
              </w:rPr>
            </w:pPr>
            <w:r>
              <w:rPr>
                <w:sz w:val="10"/>
              </w:rPr>
              <w:t>Para el año 2023 se ha incrementado el número de maestros graduados de</w:t>
            </w:r>
          </w:p>
          <w:p>
            <w:pPr>
              <w:pStyle w:val="TableParagraph"/>
              <w:spacing w:line="105" w:lineRule="exact" w:before="18"/>
              <w:ind w:left="19"/>
              <w:rPr>
                <w:sz w:val="10"/>
              </w:rPr>
            </w:pPr>
            <w:r>
              <w:rPr>
                <w:sz w:val="10"/>
              </w:rPr>
              <w:t>licenciatura en 8,610</w:t>
            </w:r>
          </w:p>
        </w:tc>
        <w:tc>
          <w:tcPr>
            <w:tcW w:w="939" w:type="dxa"/>
            <w:tcBorders>
              <w:left w:val="single" w:sz="6" w:space="0" w:color="000000"/>
              <w:right w:val="nil"/>
            </w:tcBorders>
          </w:tcPr>
          <w:p>
            <w:pPr>
              <w:pStyle w:val="TableParagraph"/>
              <w:spacing w:before="71"/>
              <w:ind w:left="86" w:right="78"/>
              <w:jc w:val="center"/>
              <w:rPr>
                <w:sz w:val="10"/>
              </w:rPr>
            </w:pPr>
            <w:r>
              <w:rPr>
                <w:sz w:val="10"/>
              </w:rPr>
              <w:t>9,404</w:t>
            </w:r>
          </w:p>
        </w:tc>
        <w:tc>
          <w:tcPr>
            <w:tcW w:w="939" w:type="dxa"/>
            <w:tcBorders>
              <w:left w:val="nil"/>
              <w:right w:val="single" w:sz="6" w:space="0" w:color="000000"/>
            </w:tcBorders>
            <w:shd w:val="clear" w:color="auto" w:fill="C00000"/>
          </w:tcPr>
          <w:p>
            <w:pPr>
              <w:pStyle w:val="TableParagraph"/>
              <w:spacing w:before="71"/>
              <w:ind w:left="95" w:right="73"/>
              <w:jc w:val="center"/>
              <w:rPr>
                <w:sz w:val="10"/>
              </w:rPr>
            </w:pPr>
            <w:r>
              <w:rPr>
                <w:sz w:val="10"/>
              </w:rPr>
              <w:t>5,651</w:t>
            </w:r>
          </w:p>
        </w:tc>
        <w:tc>
          <w:tcPr>
            <w:tcW w:w="1012" w:type="dxa"/>
            <w:tcBorders>
              <w:top w:val="nil"/>
              <w:left w:val="single" w:sz="6" w:space="0" w:color="000000"/>
              <w:bottom w:val="nil"/>
              <w:right w:val="nil"/>
            </w:tcBorders>
          </w:tcPr>
          <w:p>
            <w:pPr>
              <w:pStyle w:val="TableParagraph"/>
              <w:spacing w:before="71"/>
              <w:ind w:left="125" w:right="118"/>
              <w:jc w:val="center"/>
              <w:rPr>
                <w:sz w:val="10"/>
              </w:rPr>
            </w:pPr>
            <w:r>
              <w:rPr>
                <w:color w:val="C00000"/>
                <w:sz w:val="10"/>
              </w:rPr>
              <w:t>-2,959</w:t>
            </w:r>
          </w:p>
        </w:tc>
      </w:tr>
      <w:tr>
        <w:trPr>
          <w:trHeight w:val="123" w:hRule="atLeast"/>
        </w:trPr>
        <w:tc>
          <w:tcPr>
            <w:tcW w:w="333" w:type="dxa"/>
            <w:tcBorders>
              <w:left w:val="single" w:sz="6" w:space="0" w:color="000000"/>
              <w:right w:val="single" w:sz="6" w:space="0" w:color="000000"/>
            </w:tcBorders>
            <w:shd w:val="clear" w:color="auto" w:fill="F1F1F1"/>
          </w:tcPr>
          <w:p>
            <w:pPr>
              <w:pStyle w:val="TableParagraph"/>
              <w:spacing w:line="98" w:lineRule="exact" w:before="4"/>
              <w:ind w:left="69" w:right="56"/>
              <w:jc w:val="center"/>
              <w:rPr>
                <w:sz w:val="10"/>
              </w:rPr>
            </w:pPr>
            <w:r>
              <w:rPr>
                <w:sz w:val="10"/>
              </w:rPr>
              <w:t>10</w:t>
            </w:r>
          </w:p>
        </w:tc>
        <w:tc>
          <w:tcPr>
            <w:tcW w:w="3296" w:type="dxa"/>
            <w:tcBorders>
              <w:left w:val="single" w:sz="6" w:space="0" w:color="000000"/>
              <w:right w:val="single" w:sz="6" w:space="0" w:color="000000"/>
            </w:tcBorders>
            <w:shd w:val="clear" w:color="auto" w:fill="F1F1F1"/>
          </w:tcPr>
          <w:p>
            <w:pPr>
              <w:pStyle w:val="TableParagraph"/>
              <w:spacing w:line="98" w:lineRule="exact" w:before="4"/>
              <w:ind w:left="19"/>
              <w:rPr>
                <w:sz w:val="10"/>
              </w:rPr>
            </w:pPr>
            <w:r>
              <w:rPr>
                <w:sz w:val="10"/>
              </w:rPr>
              <w:t>Para el año 2023 se ha incrementado en 8,000 el número de maestros</w:t>
            </w:r>
          </w:p>
        </w:tc>
        <w:tc>
          <w:tcPr>
            <w:tcW w:w="939" w:type="dxa"/>
            <w:tcBorders>
              <w:left w:val="single" w:sz="6" w:space="0" w:color="000000"/>
              <w:right w:val="nil"/>
            </w:tcBorders>
          </w:tcPr>
          <w:p>
            <w:pPr>
              <w:pStyle w:val="TableParagraph"/>
              <w:spacing w:line="98" w:lineRule="exact" w:before="4"/>
              <w:ind w:left="86" w:right="78"/>
              <w:jc w:val="center"/>
              <w:rPr>
                <w:sz w:val="10"/>
              </w:rPr>
            </w:pPr>
            <w:r>
              <w:rPr>
                <w:sz w:val="10"/>
              </w:rPr>
              <w:t>146,996</w:t>
            </w:r>
          </w:p>
        </w:tc>
        <w:tc>
          <w:tcPr>
            <w:tcW w:w="939" w:type="dxa"/>
            <w:tcBorders>
              <w:left w:val="nil"/>
              <w:right w:val="single" w:sz="6" w:space="0" w:color="000000"/>
            </w:tcBorders>
            <w:shd w:val="clear" w:color="auto" w:fill="92D050"/>
          </w:tcPr>
          <w:p>
            <w:pPr>
              <w:pStyle w:val="TableParagraph"/>
              <w:spacing w:line="98" w:lineRule="exact" w:before="4"/>
              <w:ind w:left="95" w:right="73"/>
              <w:jc w:val="center"/>
              <w:rPr>
                <w:sz w:val="10"/>
              </w:rPr>
            </w:pPr>
            <w:r>
              <w:rPr>
                <w:sz w:val="10"/>
              </w:rPr>
              <w:t>149,258</w:t>
            </w:r>
          </w:p>
        </w:tc>
        <w:tc>
          <w:tcPr>
            <w:tcW w:w="1012" w:type="dxa"/>
            <w:tcBorders>
              <w:top w:val="nil"/>
              <w:left w:val="single" w:sz="6" w:space="0" w:color="000000"/>
              <w:bottom w:val="nil"/>
              <w:right w:val="nil"/>
            </w:tcBorders>
          </w:tcPr>
          <w:p>
            <w:pPr>
              <w:pStyle w:val="TableParagraph"/>
              <w:spacing w:line="98" w:lineRule="exact" w:before="4"/>
              <w:ind w:left="125" w:right="118"/>
              <w:jc w:val="center"/>
              <w:rPr>
                <w:sz w:val="10"/>
              </w:rPr>
            </w:pPr>
            <w:r>
              <w:rPr>
                <w:color w:val="C00000"/>
                <w:sz w:val="10"/>
              </w:rPr>
              <w:t>-2,938</w:t>
            </w:r>
          </w:p>
        </w:tc>
      </w:tr>
      <w:tr>
        <w:trPr>
          <w:trHeight w:val="123" w:hRule="atLeast"/>
        </w:trPr>
        <w:tc>
          <w:tcPr>
            <w:tcW w:w="333" w:type="dxa"/>
            <w:tcBorders>
              <w:left w:val="single" w:sz="6" w:space="0" w:color="000000"/>
              <w:right w:val="single" w:sz="6" w:space="0" w:color="000000"/>
            </w:tcBorders>
            <w:shd w:val="clear" w:color="auto" w:fill="F1F1F1"/>
          </w:tcPr>
          <w:p>
            <w:pPr>
              <w:pStyle w:val="TableParagraph"/>
              <w:spacing w:line="98" w:lineRule="exact" w:before="5"/>
              <w:ind w:left="69" w:right="56"/>
              <w:jc w:val="center"/>
              <w:rPr>
                <w:sz w:val="10"/>
              </w:rPr>
            </w:pPr>
            <w:r>
              <w:rPr>
                <w:sz w:val="10"/>
              </w:rPr>
              <w:t>11</w:t>
            </w:r>
          </w:p>
        </w:tc>
        <w:tc>
          <w:tcPr>
            <w:tcW w:w="3296" w:type="dxa"/>
            <w:tcBorders>
              <w:left w:val="single" w:sz="6" w:space="0" w:color="000000"/>
              <w:right w:val="single" w:sz="6" w:space="0" w:color="000000"/>
            </w:tcBorders>
            <w:shd w:val="clear" w:color="auto" w:fill="F1F1F1"/>
          </w:tcPr>
          <w:p>
            <w:pPr>
              <w:pStyle w:val="TableParagraph"/>
              <w:spacing w:line="98" w:lineRule="exact" w:before="5"/>
              <w:ind w:left="19"/>
              <w:rPr>
                <w:sz w:val="10"/>
              </w:rPr>
            </w:pPr>
            <w:r>
              <w:rPr>
                <w:sz w:val="10"/>
              </w:rPr>
              <w:t>Para el año 2023 se redujo la razón de mortalidad materna en 14.4</w:t>
            </w:r>
          </w:p>
        </w:tc>
        <w:tc>
          <w:tcPr>
            <w:tcW w:w="939" w:type="dxa"/>
            <w:tcBorders>
              <w:left w:val="single" w:sz="6" w:space="0" w:color="000000"/>
              <w:right w:val="nil"/>
            </w:tcBorders>
          </w:tcPr>
          <w:p>
            <w:pPr>
              <w:pStyle w:val="TableParagraph"/>
              <w:spacing w:line="98" w:lineRule="exact" w:before="5"/>
              <w:ind w:left="89" w:right="78"/>
              <w:jc w:val="center"/>
              <w:rPr>
                <w:sz w:val="10"/>
              </w:rPr>
            </w:pPr>
            <w:r>
              <w:rPr>
                <w:sz w:val="10"/>
              </w:rPr>
              <w:t>98</w:t>
            </w:r>
          </w:p>
        </w:tc>
        <w:tc>
          <w:tcPr>
            <w:tcW w:w="939" w:type="dxa"/>
            <w:tcBorders>
              <w:left w:val="nil"/>
              <w:right w:val="single" w:sz="6" w:space="0" w:color="000000"/>
            </w:tcBorders>
            <w:shd w:val="clear" w:color="auto" w:fill="C00000"/>
          </w:tcPr>
          <w:p>
            <w:pPr>
              <w:pStyle w:val="TableParagraph"/>
              <w:spacing w:line="98" w:lineRule="exact" w:before="5"/>
              <w:ind w:left="95" w:right="76"/>
              <w:jc w:val="center"/>
              <w:rPr>
                <w:sz w:val="10"/>
              </w:rPr>
            </w:pPr>
            <w:r>
              <w:rPr>
                <w:sz w:val="10"/>
              </w:rPr>
              <w:t>111</w:t>
            </w:r>
          </w:p>
        </w:tc>
        <w:tc>
          <w:tcPr>
            <w:tcW w:w="1012" w:type="dxa"/>
            <w:tcBorders>
              <w:top w:val="nil"/>
              <w:left w:val="single" w:sz="6" w:space="0" w:color="000000"/>
              <w:bottom w:val="nil"/>
              <w:right w:val="nil"/>
            </w:tcBorders>
          </w:tcPr>
          <w:p>
            <w:pPr>
              <w:pStyle w:val="TableParagraph"/>
              <w:spacing w:line="98" w:lineRule="exact" w:before="5"/>
              <w:ind w:left="123" w:right="122"/>
              <w:jc w:val="center"/>
              <w:rPr>
                <w:sz w:val="10"/>
              </w:rPr>
            </w:pPr>
            <w:r>
              <w:rPr>
                <w:color w:val="C00000"/>
                <w:sz w:val="10"/>
              </w:rPr>
              <w:t>-20</w:t>
            </w:r>
          </w:p>
        </w:tc>
      </w:tr>
      <w:tr>
        <w:trPr>
          <w:trHeight w:val="123" w:hRule="atLeast"/>
        </w:trPr>
        <w:tc>
          <w:tcPr>
            <w:tcW w:w="333" w:type="dxa"/>
            <w:tcBorders>
              <w:left w:val="single" w:sz="6" w:space="0" w:color="000000"/>
              <w:right w:val="single" w:sz="6" w:space="0" w:color="000000"/>
            </w:tcBorders>
            <w:shd w:val="clear" w:color="auto" w:fill="F1F1F1"/>
          </w:tcPr>
          <w:p>
            <w:pPr>
              <w:pStyle w:val="TableParagraph"/>
              <w:spacing w:line="98" w:lineRule="exact" w:before="4"/>
              <w:ind w:left="69" w:right="56"/>
              <w:jc w:val="center"/>
              <w:rPr>
                <w:sz w:val="10"/>
              </w:rPr>
            </w:pPr>
            <w:r>
              <w:rPr>
                <w:sz w:val="10"/>
              </w:rPr>
              <w:t>12</w:t>
            </w:r>
          </w:p>
        </w:tc>
        <w:tc>
          <w:tcPr>
            <w:tcW w:w="3296" w:type="dxa"/>
            <w:tcBorders>
              <w:left w:val="single" w:sz="6" w:space="0" w:color="000000"/>
              <w:right w:val="single" w:sz="6" w:space="0" w:color="000000"/>
            </w:tcBorders>
            <w:shd w:val="clear" w:color="auto" w:fill="F1F1F1"/>
          </w:tcPr>
          <w:p>
            <w:pPr>
              <w:pStyle w:val="TableParagraph"/>
              <w:spacing w:line="98" w:lineRule="exact" w:before="4"/>
              <w:ind w:left="19"/>
              <w:rPr>
                <w:sz w:val="10"/>
              </w:rPr>
            </w:pPr>
            <w:r>
              <w:rPr>
                <w:sz w:val="10"/>
              </w:rPr>
              <w:t>Para el año 2023 se redujo la tasa de mortalidad infantil en 10</w:t>
            </w:r>
          </w:p>
        </w:tc>
        <w:tc>
          <w:tcPr>
            <w:tcW w:w="939" w:type="dxa"/>
            <w:tcBorders>
              <w:left w:val="single" w:sz="6" w:space="0" w:color="000000"/>
              <w:right w:val="nil"/>
            </w:tcBorders>
          </w:tcPr>
          <w:p>
            <w:pPr>
              <w:pStyle w:val="TableParagraph"/>
              <w:spacing w:line="98" w:lineRule="exact" w:before="4"/>
              <w:ind w:left="89" w:right="78"/>
              <w:jc w:val="center"/>
              <w:rPr>
                <w:sz w:val="10"/>
              </w:rPr>
            </w:pPr>
            <w:r>
              <w:rPr>
                <w:sz w:val="10"/>
              </w:rPr>
              <w:t>22</w:t>
            </w:r>
          </w:p>
        </w:tc>
        <w:tc>
          <w:tcPr>
            <w:tcW w:w="939" w:type="dxa"/>
            <w:tcBorders>
              <w:left w:val="nil"/>
              <w:right w:val="single" w:sz="6" w:space="0" w:color="000000"/>
            </w:tcBorders>
            <w:shd w:val="clear" w:color="auto" w:fill="92D050"/>
          </w:tcPr>
          <w:p>
            <w:pPr>
              <w:pStyle w:val="TableParagraph"/>
              <w:spacing w:line="98" w:lineRule="exact" w:before="4"/>
              <w:ind w:left="95" w:right="69"/>
              <w:jc w:val="center"/>
              <w:rPr>
                <w:sz w:val="10"/>
              </w:rPr>
            </w:pPr>
            <w:r>
              <w:rPr>
                <w:sz w:val="10"/>
              </w:rPr>
              <w:t>21</w:t>
            </w:r>
          </w:p>
        </w:tc>
        <w:tc>
          <w:tcPr>
            <w:tcW w:w="1012" w:type="dxa"/>
            <w:tcBorders>
              <w:top w:val="nil"/>
              <w:left w:val="single" w:sz="6" w:space="0" w:color="000000"/>
              <w:bottom w:val="nil"/>
              <w:right w:val="nil"/>
            </w:tcBorders>
          </w:tcPr>
          <w:p>
            <w:pPr>
              <w:pStyle w:val="TableParagraph"/>
              <w:spacing w:line="98" w:lineRule="exact" w:before="4"/>
              <w:ind w:left="125" w:right="118"/>
              <w:jc w:val="center"/>
              <w:rPr>
                <w:sz w:val="10"/>
              </w:rPr>
            </w:pPr>
            <w:r>
              <w:rPr>
                <w:color w:val="C00000"/>
                <w:sz w:val="10"/>
              </w:rPr>
              <w:t>-3</w:t>
            </w:r>
          </w:p>
        </w:tc>
      </w:tr>
      <w:tr>
        <w:trPr>
          <w:trHeight w:val="256" w:hRule="atLeast"/>
        </w:trPr>
        <w:tc>
          <w:tcPr>
            <w:tcW w:w="333" w:type="dxa"/>
            <w:tcBorders>
              <w:left w:val="single" w:sz="6" w:space="0" w:color="000000"/>
              <w:right w:val="single" w:sz="6" w:space="0" w:color="000000"/>
            </w:tcBorders>
            <w:shd w:val="clear" w:color="auto" w:fill="F1F1F1"/>
          </w:tcPr>
          <w:p>
            <w:pPr>
              <w:pStyle w:val="TableParagraph"/>
              <w:spacing w:before="71"/>
              <w:ind w:left="69" w:right="56"/>
              <w:jc w:val="center"/>
              <w:rPr>
                <w:sz w:val="10"/>
              </w:rPr>
            </w:pPr>
            <w:r>
              <w:rPr>
                <w:sz w:val="10"/>
              </w:rPr>
              <w:t>13</w:t>
            </w:r>
          </w:p>
        </w:tc>
        <w:tc>
          <w:tcPr>
            <w:tcW w:w="3296" w:type="dxa"/>
            <w:tcBorders>
              <w:left w:val="single" w:sz="6" w:space="0" w:color="000000"/>
              <w:right w:val="single" w:sz="6" w:space="0" w:color="000000"/>
            </w:tcBorders>
            <w:shd w:val="clear" w:color="auto" w:fill="F1F1F1"/>
          </w:tcPr>
          <w:p>
            <w:pPr>
              <w:pStyle w:val="TableParagraph"/>
              <w:spacing w:before="71"/>
              <w:ind w:left="19"/>
              <w:rPr>
                <w:sz w:val="10"/>
              </w:rPr>
            </w:pPr>
            <w:r>
              <w:rPr>
                <w:sz w:val="10"/>
              </w:rPr>
              <w:t>Para el año </w:t>
            </w:r>
            <w:r>
              <w:rPr>
                <w:spacing w:val="-4"/>
                <w:sz w:val="10"/>
              </w:rPr>
              <w:t>2023, </w:t>
            </w:r>
            <w:r>
              <w:rPr>
                <w:sz w:val="10"/>
              </w:rPr>
              <w:t>se </w:t>
            </w:r>
            <w:r>
              <w:rPr>
                <w:spacing w:val="-3"/>
                <w:sz w:val="10"/>
              </w:rPr>
              <w:t>redujo </w:t>
            </w:r>
            <w:r>
              <w:rPr>
                <w:sz w:val="10"/>
              </w:rPr>
              <w:t>el número de casos de </w:t>
            </w:r>
            <w:r>
              <w:rPr>
                <w:spacing w:val="-4"/>
                <w:sz w:val="10"/>
              </w:rPr>
              <w:t>morbilidad </w:t>
            </w:r>
            <w:r>
              <w:rPr>
                <w:spacing w:val="-3"/>
                <w:sz w:val="10"/>
              </w:rPr>
              <w:t>infantil </w:t>
            </w:r>
            <w:r>
              <w:rPr>
                <w:sz w:val="10"/>
              </w:rPr>
              <w:t>en 5% anual</w:t>
            </w:r>
          </w:p>
        </w:tc>
        <w:tc>
          <w:tcPr>
            <w:tcW w:w="939" w:type="dxa"/>
            <w:tcBorders>
              <w:left w:val="single" w:sz="6" w:space="0" w:color="000000"/>
              <w:right w:val="nil"/>
            </w:tcBorders>
          </w:tcPr>
          <w:p>
            <w:pPr>
              <w:pStyle w:val="TableParagraph"/>
              <w:spacing w:before="71"/>
              <w:ind w:left="86" w:right="78"/>
              <w:jc w:val="center"/>
              <w:rPr>
                <w:sz w:val="10"/>
              </w:rPr>
            </w:pPr>
            <w:r>
              <w:rPr>
                <w:sz w:val="10"/>
              </w:rPr>
              <w:t>930,573</w:t>
            </w:r>
          </w:p>
        </w:tc>
        <w:tc>
          <w:tcPr>
            <w:tcW w:w="939" w:type="dxa"/>
            <w:tcBorders>
              <w:left w:val="nil"/>
              <w:right w:val="single" w:sz="6" w:space="0" w:color="000000"/>
            </w:tcBorders>
            <w:shd w:val="clear" w:color="auto" w:fill="92D050"/>
          </w:tcPr>
          <w:p>
            <w:pPr>
              <w:pStyle w:val="TableParagraph"/>
              <w:spacing w:before="71"/>
              <w:ind w:left="95" w:right="73"/>
              <w:jc w:val="center"/>
              <w:rPr>
                <w:sz w:val="10"/>
              </w:rPr>
            </w:pPr>
            <w:r>
              <w:rPr>
                <w:sz w:val="10"/>
              </w:rPr>
              <w:t>532,407</w:t>
            </w:r>
          </w:p>
        </w:tc>
        <w:tc>
          <w:tcPr>
            <w:tcW w:w="1012" w:type="dxa"/>
            <w:tcBorders>
              <w:top w:val="nil"/>
              <w:left w:val="single" w:sz="6" w:space="0" w:color="000000"/>
              <w:bottom w:val="nil"/>
              <w:right w:val="nil"/>
            </w:tcBorders>
          </w:tcPr>
          <w:p>
            <w:pPr>
              <w:pStyle w:val="TableParagraph"/>
              <w:spacing w:before="71"/>
              <w:ind w:left="122" w:right="122"/>
              <w:jc w:val="center"/>
              <w:rPr>
                <w:sz w:val="10"/>
              </w:rPr>
            </w:pPr>
            <w:r>
              <w:rPr>
                <w:sz w:val="10"/>
              </w:rPr>
              <w:t>307,435</w:t>
            </w:r>
          </w:p>
        </w:tc>
      </w:tr>
      <w:tr>
        <w:trPr>
          <w:trHeight w:val="256" w:hRule="atLeast"/>
        </w:trPr>
        <w:tc>
          <w:tcPr>
            <w:tcW w:w="333" w:type="dxa"/>
            <w:tcBorders>
              <w:left w:val="single" w:sz="6" w:space="0" w:color="000000"/>
              <w:right w:val="single" w:sz="6" w:space="0" w:color="000000"/>
            </w:tcBorders>
            <w:shd w:val="clear" w:color="auto" w:fill="F1F1F1"/>
          </w:tcPr>
          <w:p>
            <w:pPr>
              <w:pStyle w:val="TableParagraph"/>
              <w:spacing w:before="71"/>
              <w:ind w:left="69" w:right="56"/>
              <w:jc w:val="center"/>
              <w:rPr>
                <w:sz w:val="10"/>
              </w:rPr>
            </w:pPr>
            <w:r>
              <w:rPr>
                <w:sz w:val="10"/>
              </w:rPr>
              <w:t>14</w:t>
            </w:r>
          </w:p>
        </w:tc>
        <w:tc>
          <w:tcPr>
            <w:tcW w:w="3296" w:type="dxa"/>
            <w:tcBorders>
              <w:left w:val="single" w:sz="6" w:space="0" w:color="000000"/>
              <w:right w:val="single" w:sz="6" w:space="0" w:color="000000"/>
            </w:tcBorders>
            <w:shd w:val="clear" w:color="auto" w:fill="F1F1F1"/>
          </w:tcPr>
          <w:p>
            <w:pPr>
              <w:pStyle w:val="TableParagraph"/>
              <w:spacing w:before="4"/>
              <w:ind w:left="19"/>
              <w:rPr>
                <w:sz w:val="10"/>
              </w:rPr>
            </w:pPr>
            <w:r>
              <w:rPr>
                <w:sz w:val="10"/>
              </w:rPr>
              <w:t>Para el año 2023 se ha incrementado el porcentaje de niñas y niños con esquema</w:t>
            </w:r>
          </w:p>
          <w:p>
            <w:pPr>
              <w:pStyle w:val="TableParagraph"/>
              <w:spacing w:line="98" w:lineRule="exact" w:before="19"/>
              <w:ind w:left="19"/>
              <w:rPr>
                <w:sz w:val="10"/>
              </w:rPr>
            </w:pPr>
            <w:r>
              <w:rPr>
                <w:sz w:val="10"/>
              </w:rPr>
              <w:t>de vacunación completo en 9.6 puntos porcentuales</w:t>
            </w:r>
          </w:p>
        </w:tc>
        <w:tc>
          <w:tcPr>
            <w:tcW w:w="939" w:type="dxa"/>
            <w:tcBorders>
              <w:left w:val="single" w:sz="6" w:space="0" w:color="000000"/>
              <w:right w:val="nil"/>
            </w:tcBorders>
          </w:tcPr>
          <w:p>
            <w:pPr>
              <w:pStyle w:val="TableParagraph"/>
              <w:spacing w:before="71"/>
              <w:ind w:left="79" w:right="78"/>
              <w:jc w:val="center"/>
              <w:rPr>
                <w:sz w:val="10"/>
              </w:rPr>
            </w:pPr>
            <w:r>
              <w:rPr>
                <w:sz w:val="10"/>
              </w:rPr>
              <w:t>63.50%</w:t>
            </w:r>
          </w:p>
        </w:tc>
        <w:tc>
          <w:tcPr>
            <w:tcW w:w="939" w:type="dxa"/>
            <w:tcBorders>
              <w:left w:val="nil"/>
              <w:right w:val="single" w:sz="6" w:space="0" w:color="000000"/>
            </w:tcBorders>
            <w:shd w:val="clear" w:color="auto" w:fill="92D050"/>
          </w:tcPr>
          <w:p>
            <w:pPr>
              <w:pStyle w:val="TableParagraph"/>
              <w:spacing w:before="71"/>
              <w:ind w:left="94" w:right="78"/>
              <w:jc w:val="center"/>
              <w:rPr>
                <w:sz w:val="10"/>
              </w:rPr>
            </w:pPr>
            <w:r>
              <w:rPr>
                <w:sz w:val="10"/>
              </w:rPr>
              <w:t>68.00%</w:t>
            </w:r>
          </w:p>
        </w:tc>
        <w:tc>
          <w:tcPr>
            <w:tcW w:w="1012" w:type="dxa"/>
            <w:tcBorders>
              <w:top w:val="nil"/>
              <w:left w:val="single" w:sz="6" w:space="0" w:color="000000"/>
              <w:bottom w:val="nil"/>
              <w:right w:val="nil"/>
            </w:tcBorders>
          </w:tcPr>
          <w:p>
            <w:pPr>
              <w:pStyle w:val="TableParagraph"/>
              <w:spacing w:before="71"/>
              <w:ind w:left="122" w:right="122"/>
              <w:jc w:val="center"/>
              <w:rPr>
                <w:sz w:val="10"/>
              </w:rPr>
            </w:pPr>
            <w:r>
              <w:rPr>
                <w:color w:val="C00000"/>
                <w:sz w:val="10"/>
              </w:rPr>
              <w:t>-0.6</w:t>
            </w:r>
          </w:p>
        </w:tc>
      </w:tr>
      <w:tr>
        <w:trPr>
          <w:trHeight w:val="123" w:hRule="atLeast"/>
        </w:trPr>
        <w:tc>
          <w:tcPr>
            <w:tcW w:w="333" w:type="dxa"/>
            <w:tcBorders>
              <w:left w:val="single" w:sz="6" w:space="0" w:color="000000"/>
              <w:right w:val="single" w:sz="6" w:space="0" w:color="000000"/>
            </w:tcBorders>
            <w:shd w:val="clear" w:color="auto" w:fill="F1F1F1"/>
          </w:tcPr>
          <w:p>
            <w:pPr>
              <w:pStyle w:val="TableParagraph"/>
              <w:spacing w:line="98" w:lineRule="exact" w:before="5"/>
              <w:ind w:left="69" w:right="56"/>
              <w:jc w:val="center"/>
              <w:rPr>
                <w:sz w:val="10"/>
              </w:rPr>
            </w:pPr>
            <w:r>
              <w:rPr>
                <w:sz w:val="10"/>
              </w:rPr>
              <w:t>15</w:t>
            </w:r>
          </w:p>
        </w:tc>
        <w:tc>
          <w:tcPr>
            <w:tcW w:w="3296" w:type="dxa"/>
            <w:tcBorders>
              <w:left w:val="single" w:sz="6" w:space="0" w:color="000000"/>
              <w:right w:val="single" w:sz="6" w:space="0" w:color="000000"/>
            </w:tcBorders>
            <w:shd w:val="clear" w:color="auto" w:fill="F1F1F1"/>
          </w:tcPr>
          <w:p>
            <w:pPr>
              <w:pStyle w:val="TableParagraph"/>
              <w:spacing w:line="98" w:lineRule="exact" w:before="5"/>
              <w:ind w:left="19"/>
              <w:rPr>
                <w:sz w:val="10"/>
              </w:rPr>
            </w:pPr>
            <w:r>
              <w:rPr>
                <w:sz w:val="10"/>
              </w:rPr>
              <w:t>Para el año 2023, se ha incrementado en 4 unidades la red hospitalaria</w:t>
            </w:r>
          </w:p>
        </w:tc>
        <w:tc>
          <w:tcPr>
            <w:tcW w:w="939" w:type="dxa"/>
            <w:tcBorders>
              <w:left w:val="single" w:sz="6" w:space="0" w:color="000000"/>
              <w:right w:val="nil"/>
            </w:tcBorders>
          </w:tcPr>
          <w:p>
            <w:pPr>
              <w:pStyle w:val="TableParagraph"/>
              <w:spacing w:line="98" w:lineRule="exact" w:before="5"/>
              <w:ind w:left="89" w:right="78"/>
              <w:jc w:val="center"/>
              <w:rPr>
                <w:sz w:val="10"/>
              </w:rPr>
            </w:pPr>
            <w:r>
              <w:rPr>
                <w:sz w:val="10"/>
              </w:rPr>
              <w:t>48</w:t>
            </w:r>
          </w:p>
        </w:tc>
        <w:tc>
          <w:tcPr>
            <w:tcW w:w="939" w:type="dxa"/>
            <w:tcBorders>
              <w:left w:val="nil"/>
              <w:right w:val="single" w:sz="6" w:space="0" w:color="000000"/>
            </w:tcBorders>
            <w:shd w:val="clear" w:color="auto" w:fill="92D050"/>
          </w:tcPr>
          <w:p>
            <w:pPr>
              <w:pStyle w:val="TableParagraph"/>
              <w:spacing w:line="98" w:lineRule="exact" w:before="5"/>
              <w:ind w:left="95" w:right="69"/>
              <w:jc w:val="center"/>
              <w:rPr>
                <w:sz w:val="10"/>
              </w:rPr>
            </w:pPr>
            <w:r>
              <w:rPr>
                <w:sz w:val="10"/>
              </w:rPr>
              <w:t>49</w:t>
            </w:r>
          </w:p>
        </w:tc>
        <w:tc>
          <w:tcPr>
            <w:tcW w:w="1012" w:type="dxa"/>
            <w:tcBorders>
              <w:top w:val="nil"/>
              <w:left w:val="single" w:sz="6" w:space="0" w:color="000000"/>
              <w:bottom w:val="nil"/>
              <w:right w:val="nil"/>
            </w:tcBorders>
          </w:tcPr>
          <w:p>
            <w:pPr>
              <w:pStyle w:val="TableParagraph"/>
              <w:spacing w:line="98" w:lineRule="exact" w:before="5"/>
              <w:ind w:left="125" w:right="118"/>
              <w:jc w:val="center"/>
              <w:rPr>
                <w:sz w:val="10"/>
              </w:rPr>
            </w:pPr>
            <w:r>
              <w:rPr>
                <w:color w:val="C00000"/>
                <w:sz w:val="10"/>
              </w:rPr>
              <w:t>-1</w:t>
            </w:r>
          </w:p>
        </w:tc>
      </w:tr>
      <w:tr>
        <w:trPr>
          <w:trHeight w:val="256" w:hRule="atLeast"/>
        </w:trPr>
        <w:tc>
          <w:tcPr>
            <w:tcW w:w="333" w:type="dxa"/>
            <w:tcBorders>
              <w:left w:val="single" w:sz="6" w:space="0" w:color="000000"/>
              <w:right w:val="single" w:sz="6" w:space="0" w:color="000000"/>
            </w:tcBorders>
            <w:shd w:val="clear" w:color="auto" w:fill="F1F1F1"/>
          </w:tcPr>
          <w:p>
            <w:pPr>
              <w:pStyle w:val="TableParagraph"/>
              <w:spacing w:before="71"/>
              <w:ind w:left="69" w:right="56"/>
              <w:jc w:val="center"/>
              <w:rPr>
                <w:sz w:val="10"/>
              </w:rPr>
            </w:pPr>
            <w:r>
              <w:rPr>
                <w:sz w:val="10"/>
              </w:rPr>
              <w:t>16</w:t>
            </w:r>
          </w:p>
        </w:tc>
        <w:tc>
          <w:tcPr>
            <w:tcW w:w="3296" w:type="dxa"/>
            <w:tcBorders>
              <w:left w:val="single" w:sz="6" w:space="0" w:color="000000"/>
              <w:right w:val="single" w:sz="6" w:space="0" w:color="000000"/>
            </w:tcBorders>
            <w:shd w:val="clear" w:color="auto" w:fill="F1F1F1"/>
          </w:tcPr>
          <w:p>
            <w:pPr>
              <w:pStyle w:val="TableParagraph"/>
              <w:spacing w:before="4"/>
              <w:ind w:left="19"/>
              <w:rPr>
                <w:sz w:val="10"/>
              </w:rPr>
            </w:pPr>
            <w:r>
              <w:rPr>
                <w:sz w:val="10"/>
              </w:rPr>
              <w:t>Para el año </w:t>
            </w:r>
            <w:r>
              <w:rPr>
                <w:spacing w:val="-3"/>
                <w:sz w:val="10"/>
              </w:rPr>
              <w:t>2023 </w:t>
            </w:r>
            <w:r>
              <w:rPr>
                <w:sz w:val="10"/>
              </w:rPr>
              <w:t>se ha incrementado en 50 el número de centros de salud </w:t>
            </w:r>
            <w:r>
              <w:rPr>
                <w:spacing w:val="-4"/>
                <w:sz w:val="10"/>
              </w:rPr>
              <w:t>tipo </w:t>
            </w:r>
            <w:r>
              <w:rPr>
                <w:sz w:val="10"/>
              </w:rPr>
              <w:t>A y</w:t>
            </w:r>
          </w:p>
          <w:p>
            <w:pPr>
              <w:pStyle w:val="TableParagraph"/>
              <w:spacing w:line="98" w:lineRule="exact" w:before="19"/>
              <w:ind w:left="19"/>
              <w:rPr>
                <w:sz w:val="10"/>
              </w:rPr>
            </w:pPr>
            <w:r>
              <w:rPr>
                <w:w w:val="100"/>
                <w:sz w:val="10"/>
              </w:rPr>
              <w:t>B</w:t>
            </w:r>
          </w:p>
        </w:tc>
        <w:tc>
          <w:tcPr>
            <w:tcW w:w="939" w:type="dxa"/>
            <w:tcBorders>
              <w:left w:val="single" w:sz="6" w:space="0" w:color="000000"/>
              <w:right w:val="nil"/>
            </w:tcBorders>
          </w:tcPr>
          <w:p>
            <w:pPr>
              <w:pStyle w:val="TableParagraph"/>
              <w:spacing w:before="71"/>
              <w:ind w:left="82" w:right="78"/>
              <w:jc w:val="center"/>
              <w:rPr>
                <w:sz w:val="10"/>
              </w:rPr>
            </w:pPr>
            <w:r>
              <w:rPr>
                <w:sz w:val="10"/>
              </w:rPr>
              <w:t>355</w:t>
            </w:r>
          </w:p>
        </w:tc>
        <w:tc>
          <w:tcPr>
            <w:tcW w:w="939" w:type="dxa"/>
            <w:tcBorders>
              <w:left w:val="nil"/>
              <w:right w:val="single" w:sz="6" w:space="0" w:color="000000"/>
            </w:tcBorders>
            <w:shd w:val="clear" w:color="auto" w:fill="92D050"/>
          </w:tcPr>
          <w:p>
            <w:pPr>
              <w:pStyle w:val="TableParagraph"/>
              <w:spacing w:before="71"/>
              <w:ind w:left="95" w:right="76"/>
              <w:jc w:val="center"/>
              <w:rPr>
                <w:sz w:val="10"/>
              </w:rPr>
            </w:pPr>
            <w:r>
              <w:rPr>
                <w:sz w:val="10"/>
              </w:rPr>
              <w:t>363</w:t>
            </w:r>
          </w:p>
        </w:tc>
        <w:tc>
          <w:tcPr>
            <w:tcW w:w="1012" w:type="dxa"/>
            <w:tcBorders>
              <w:top w:val="nil"/>
              <w:left w:val="single" w:sz="6" w:space="0" w:color="000000"/>
              <w:bottom w:val="nil"/>
              <w:right w:val="nil"/>
            </w:tcBorders>
          </w:tcPr>
          <w:p>
            <w:pPr>
              <w:pStyle w:val="TableParagraph"/>
              <w:spacing w:before="71"/>
              <w:ind w:left="123" w:right="122"/>
              <w:jc w:val="center"/>
              <w:rPr>
                <w:sz w:val="10"/>
              </w:rPr>
            </w:pPr>
            <w:r>
              <w:rPr>
                <w:color w:val="C00000"/>
                <w:sz w:val="10"/>
              </w:rPr>
              <w:t>-24</w:t>
            </w:r>
          </w:p>
        </w:tc>
      </w:tr>
      <w:tr>
        <w:trPr>
          <w:trHeight w:val="123" w:hRule="atLeast"/>
        </w:trPr>
        <w:tc>
          <w:tcPr>
            <w:tcW w:w="333" w:type="dxa"/>
            <w:tcBorders>
              <w:left w:val="single" w:sz="6" w:space="0" w:color="000000"/>
              <w:right w:val="single" w:sz="6" w:space="0" w:color="000000"/>
            </w:tcBorders>
            <w:shd w:val="clear" w:color="auto" w:fill="F1F1F1"/>
          </w:tcPr>
          <w:p>
            <w:pPr>
              <w:pStyle w:val="TableParagraph"/>
              <w:spacing w:line="98" w:lineRule="exact" w:before="5"/>
              <w:ind w:left="69" w:right="56"/>
              <w:jc w:val="center"/>
              <w:rPr>
                <w:sz w:val="10"/>
              </w:rPr>
            </w:pPr>
            <w:r>
              <w:rPr>
                <w:sz w:val="10"/>
              </w:rPr>
              <w:t>17</w:t>
            </w:r>
          </w:p>
        </w:tc>
        <w:tc>
          <w:tcPr>
            <w:tcW w:w="3296" w:type="dxa"/>
            <w:tcBorders>
              <w:left w:val="single" w:sz="6" w:space="0" w:color="000000"/>
              <w:right w:val="single" w:sz="6" w:space="0" w:color="000000"/>
            </w:tcBorders>
            <w:shd w:val="clear" w:color="auto" w:fill="F1F1F1"/>
          </w:tcPr>
          <w:p>
            <w:pPr>
              <w:pStyle w:val="TableParagraph"/>
              <w:spacing w:line="98" w:lineRule="exact" w:before="5"/>
              <w:ind w:left="19"/>
              <w:rPr>
                <w:sz w:val="10"/>
              </w:rPr>
            </w:pPr>
            <w:r>
              <w:rPr>
                <w:sz w:val="10"/>
              </w:rPr>
              <w:t>Para el año 2023 se redujo la tasa desnutrición crónica en 7 puntos porcentuales</w:t>
            </w:r>
          </w:p>
        </w:tc>
        <w:tc>
          <w:tcPr>
            <w:tcW w:w="939" w:type="dxa"/>
            <w:tcBorders>
              <w:left w:val="single" w:sz="6" w:space="0" w:color="000000"/>
              <w:right w:val="nil"/>
            </w:tcBorders>
          </w:tcPr>
          <w:p>
            <w:pPr>
              <w:pStyle w:val="TableParagraph"/>
              <w:spacing w:line="98" w:lineRule="exact" w:before="5"/>
              <w:ind w:left="79" w:right="78"/>
              <w:jc w:val="center"/>
              <w:rPr>
                <w:sz w:val="10"/>
              </w:rPr>
            </w:pPr>
            <w:r>
              <w:rPr>
                <w:sz w:val="10"/>
              </w:rPr>
              <w:t>43.50%</w:t>
            </w:r>
          </w:p>
        </w:tc>
        <w:tc>
          <w:tcPr>
            <w:tcW w:w="939" w:type="dxa"/>
            <w:tcBorders>
              <w:left w:val="nil"/>
              <w:right w:val="single" w:sz="6" w:space="0" w:color="000000"/>
            </w:tcBorders>
            <w:shd w:val="clear" w:color="auto" w:fill="C00000"/>
          </w:tcPr>
          <w:p>
            <w:pPr>
              <w:pStyle w:val="TableParagraph"/>
              <w:spacing w:line="98" w:lineRule="exact" w:before="5"/>
              <w:ind w:left="94" w:right="78"/>
              <w:jc w:val="center"/>
              <w:rPr>
                <w:sz w:val="10"/>
              </w:rPr>
            </w:pPr>
            <w:r>
              <w:rPr>
                <w:sz w:val="10"/>
              </w:rPr>
              <w:t>46.50%</w:t>
            </w:r>
          </w:p>
        </w:tc>
        <w:tc>
          <w:tcPr>
            <w:tcW w:w="1012" w:type="dxa"/>
            <w:tcBorders>
              <w:top w:val="nil"/>
              <w:left w:val="single" w:sz="6" w:space="0" w:color="000000"/>
              <w:bottom w:val="nil"/>
              <w:right w:val="nil"/>
            </w:tcBorders>
          </w:tcPr>
          <w:p>
            <w:pPr>
              <w:pStyle w:val="TableParagraph"/>
              <w:spacing w:line="98" w:lineRule="exact" w:before="5"/>
              <w:ind w:left="125" w:right="118"/>
              <w:jc w:val="center"/>
              <w:rPr>
                <w:sz w:val="10"/>
              </w:rPr>
            </w:pPr>
            <w:r>
              <w:rPr>
                <w:color w:val="C00000"/>
                <w:sz w:val="10"/>
              </w:rPr>
              <w:t>-7</w:t>
            </w:r>
          </w:p>
        </w:tc>
      </w:tr>
      <w:tr>
        <w:trPr>
          <w:trHeight w:val="136" w:hRule="atLeast"/>
        </w:trPr>
        <w:tc>
          <w:tcPr>
            <w:tcW w:w="333" w:type="dxa"/>
            <w:tcBorders>
              <w:left w:val="single" w:sz="6" w:space="0" w:color="000000"/>
              <w:right w:val="single" w:sz="6" w:space="0" w:color="000000"/>
            </w:tcBorders>
            <w:shd w:val="clear" w:color="auto" w:fill="F1F1F1"/>
          </w:tcPr>
          <w:p>
            <w:pPr>
              <w:pStyle w:val="TableParagraph"/>
              <w:spacing w:line="105" w:lineRule="exact" w:before="11"/>
              <w:ind w:left="69" w:right="56"/>
              <w:jc w:val="center"/>
              <w:rPr>
                <w:sz w:val="10"/>
              </w:rPr>
            </w:pPr>
            <w:r>
              <w:rPr>
                <w:sz w:val="10"/>
              </w:rPr>
              <w:t>18</w:t>
            </w:r>
          </w:p>
        </w:tc>
        <w:tc>
          <w:tcPr>
            <w:tcW w:w="3296" w:type="dxa"/>
            <w:tcBorders>
              <w:left w:val="single" w:sz="6" w:space="0" w:color="000000"/>
              <w:right w:val="single" w:sz="6" w:space="0" w:color="000000"/>
            </w:tcBorders>
            <w:shd w:val="clear" w:color="auto" w:fill="F1F1F1"/>
          </w:tcPr>
          <w:p>
            <w:pPr>
              <w:pStyle w:val="TableParagraph"/>
              <w:spacing w:line="105" w:lineRule="exact" w:before="11"/>
              <w:ind w:left="19"/>
              <w:rPr>
                <w:sz w:val="10"/>
              </w:rPr>
            </w:pPr>
            <w:r>
              <w:rPr>
                <w:sz w:val="10"/>
              </w:rPr>
              <w:t>Para el año 2023 se han construido 100,000 viviendas sociales</w:t>
            </w:r>
          </w:p>
        </w:tc>
        <w:tc>
          <w:tcPr>
            <w:tcW w:w="939" w:type="dxa"/>
            <w:tcBorders>
              <w:left w:val="single" w:sz="6" w:space="0" w:color="000000"/>
              <w:right w:val="nil"/>
            </w:tcBorders>
          </w:tcPr>
          <w:p>
            <w:pPr>
              <w:pStyle w:val="TableParagraph"/>
              <w:spacing w:line="105" w:lineRule="exact" w:before="11"/>
              <w:ind w:left="93" w:right="78"/>
              <w:jc w:val="center"/>
              <w:rPr>
                <w:sz w:val="10"/>
              </w:rPr>
            </w:pPr>
            <w:r>
              <w:rPr>
                <w:sz w:val="10"/>
              </w:rPr>
              <w:t>25,000</w:t>
            </w:r>
          </w:p>
        </w:tc>
        <w:tc>
          <w:tcPr>
            <w:tcW w:w="939" w:type="dxa"/>
            <w:tcBorders>
              <w:left w:val="nil"/>
              <w:right w:val="single" w:sz="6" w:space="0" w:color="000000"/>
            </w:tcBorders>
            <w:shd w:val="clear" w:color="auto" w:fill="FFC000"/>
          </w:tcPr>
          <w:p>
            <w:pPr>
              <w:pStyle w:val="TableParagraph"/>
              <w:spacing w:line="105" w:lineRule="exact" w:before="11"/>
              <w:ind w:left="95" w:right="73"/>
              <w:jc w:val="center"/>
              <w:rPr>
                <w:sz w:val="10"/>
              </w:rPr>
            </w:pPr>
            <w:r>
              <w:rPr>
                <w:sz w:val="10"/>
              </w:rPr>
              <w:t>7,150</w:t>
            </w:r>
          </w:p>
        </w:tc>
        <w:tc>
          <w:tcPr>
            <w:tcW w:w="1012" w:type="dxa"/>
            <w:tcBorders>
              <w:top w:val="nil"/>
              <w:left w:val="single" w:sz="6" w:space="0" w:color="000000"/>
              <w:bottom w:val="nil"/>
              <w:right w:val="nil"/>
            </w:tcBorders>
          </w:tcPr>
          <w:p>
            <w:pPr>
              <w:pStyle w:val="TableParagraph"/>
              <w:spacing w:line="105" w:lineRule="exact" w:before="11"/>
              <w:ind w:left="123" w:right="122"/>
              <w:jc w:val="center"/>
              <w:rPr>
                <w:sz w:val="10"/>
              </w:rPr>
            </w:pPr>
            <w:r>
              <w:rPr>
                <w:color w:val="C00000"/>
                <w:sz w:val="10"/>
              </w:rPr>
              <w:t>-86,565</w:t>
            </w:r>
          </w:p>
        </w:tc>
      </w:tr>
      <w:tr>
        <w:trPr>
          <w:trHeight w:val="329" w:hRule="atLeast"/>
        </w:trPr>
        <w:tc>
          <w:tcPr>
            <w:tcW w:w="333" w:type="dxa"/>
            <w:tcBorders>
              <w:left w:val="single" w:sz="6" w:space="0" w:color="000000"/>
              <w:right w:val="single" w:sz="6" w:space="0" w:color="000000"/>
            </w:tcBorders>
            <w:shd w:val="clear" w:color="auto" w:fill="F1F1F1"/>
          </w:tcPr>
          <w:p>
            <w:pPr>
              <w:pStyle w:val="TableParagraph"/>
              <w:spacing w:before="1"/>
              <w:rPr>
                <w:b/>
                <w:sz w:val="9"/>
              </w:rPr>
            </w:pPr>
          </w:p>
          <w:p>
            <w:pPr>
              <w:pStyle w:val="TableParagraph"/>
              <w:ind w:left="69" w:right="56"/>
              <w:jc w:val="center"/>
              <w:rPr>
                <w:sz w:val="10"/>
              </w:rPr>
            </w:pPr>
            <w:r>
              <w:rPr>
                <w:sz w:val="10"/>
              </w:rPr>
              <w:t>19</w:t>
            </w:r>
          </w:p>
        </w:tc>
        <w:tc>
          <w:tcPr>
            <w:tcW w:w="3296" w:type="dxa"/>
            <w:tcBorders>
              <w:left w:val="single" w:sz="6" w:space="0" w:color="000000"/>
              <w:right w:val="single" w:sz="6" w:space="0" w:color="000000"/>
            </w:tcBorders>
            <w:shd w:val="clear" w:color="auto" w:fill="F1F1F1"/>
          </w:tcPr>
          <w:p>
            <w:pPr>
              <w:pStyle w:val="TableParagraph"/>
              <w:spacing w:line="278" w:lineRule="auto" w:before="38"/>
              <w:ind w:left="19" w:right="231"/>
              <w:rPr>
                <w:sz w:val="10"/>
              </w:rPr>
            </w:pPr>
            <w:r>
              <w:rPr>
                <w:sz w:val="10"/>
              </w:rPr>
              <w:t>Para el año 2023 se ha creado el fondo de subsidios para la construcción de vivienda social por un monto de Q. 2,500.0 millones</w:t>
            </w:r>
          </w:p>
        </w:tc>
        <w:tc>
          <w:tcPr>
            <w:tcW w:w="939" w:type="dxa"/>
            <w:tcBorders>
              <w:left w:val="single" w:sz="6" w:space="0" w:color="000000"/>
              <w:right w:val="nil"/>
            </w:tcBorders>
          </w:tcPr>
          <w:p>
            <w:pPr>
              <w:pStyle w:val="TableParagraph"/>
              <w:spacing w:before="1"/>
              <w:rPr>
                <w:b/>
                <w:sz w:val="9"/>
              </w:rPr>
            </w:pPr>
          </w:p>
          <w:p>
            <w:pPr>
              <w:pStyle w:val="TableParagraph"/>
              <w:ind w:left="81" w:right="78"/>
              <w:jc w:val="center"/>
              <w:rPr>
                <w:sz w:val="10"/>
              </w:rPr>
            </w:pPr>
            <w:r>
              <w:rPr>
                <w:sz w:val="10"/>
              </w:rPr>
              <w:t>Q500 millones</w:t>
            </w:r>
          </w:p>
        </w:tc>
        <w:tc>
          <w:tcPr>
            <w:tcW w:w="939" w:type="dxa"/>
            <w:tcBorders>
              <w:left w:val="nil"/>
              <w:right w:val="single" w:sz="6" w:space="0" w:color="000000"/>
            </w:tcBorders>
            <w:shd w:val="clear" w:color="auto" w:fill="FFC000"/>
          </w:tcPr>
          <w:p>
            <w:pPr>
              <w:pStyle w:val="TableParagraph"/>
              <w:spacing w:before="1"/>
              <w:rPr>
                <w:b/>
                <w:sz w:val="9"/>
              </w:rPr>
            </w:pPr>
          </w:p>
          <w:p>
            <w:pPr>
              <w:pStyle w:val="TableParagraph"/>
              <w:ind w:left="95" w:right="78"/>
              <w:jc w:val="center"/>
              <w:rPr>
                <w:sz w:val="10"/>
              </w:rPr>
            </w:pPr>
            <w:r>
              <w:rPr>
                <w:sz w:val="10"/>
              </w:rPr>
              <w:t>Q436.16 millones</w:t>
            </w:r>
          </w:p>
        </w:tc>
        <w:tc>
          <w:tcPr>
            <w:tcW w:w="1012" w:type="dxa"/>
            <w:tcBorders>
              <w:top w:val="nil"/>
              <w:left w:val="single" w:sz="6" w:space="0" w:color="000000"/>
              <w:bottom w:val="nil"/>
              <w:right w:val="nil"/>
            </w:tcBorders>
          </w:tcPr>
          <w:p>
            <w:pPr>
              <w:pStyle w:val="TableParagraph"/>
              <w:spacing w:before="1"/>
              <w:rPr>
                <w:b/>
                <w:sz w:val="9"/>
              </w:rPr>
            </w:pPr>
          </w:p>
          <w:p>
            <w:pPr>
              <w:pStyle w:val="TableParagraph"/>
              <w:ind w:left="122" w:right="122"/>
              <w:jc w:val="center"/>
              <w:rPr>
                <w:sz w:val="10"/>
              </w:rPr>
            </w:pPr>
            <w:r>
              <w:rPr>
                <w:color w:val="FF0000"/>
                <w:sz w:val="10"/>
              </w:rPr>
              <w:t>-Q2,063.83</w:t>
            </w:r>
          </w:p>
        </w:tc>
      </w:tr>
      <w:tr>
        <w:trPr>
          <w:trHeight w:val="123" w:hRule="atLeast"/>
        </w:trPr>
        <w:tc>
          <w:tcPr>
            <w:tcW w:w="333" w:type="dxa"/>
            <w:tcBorders>
              <w:left w:val="single" w:sz="6" w:space="0" w:color="000000"/>
              <w:right w:val="single" w:sz="6" w:space="0" w:color="000000"/>
            </w:tcBorders>
            <w:shd w:val="clear" w:color="auto" w:fill="F1F1F1"/>
          </w:tcPr>
          <w:p>
            <w:pPr>
              <w:pStyle w:val="TableParagraph"/>
              <w:spacing w:line="98" w:lineRule="exact" w:before="5"/>
              <w:ind w:left="69" w:right="56"/>
              <w:jc w:val="center"/>
              <w:rPr>
                <w:sz w:val="10"/>
              </w:rPr>
            </w:pPr>
            <w:r>
              <w:rPr>
                <w:sz w:val="10"/>
              </w:rPr>
              <w:t>20</w:t>
            </w:r>
          </w:p>
        </w:tc>
        <w:tc>
          <w:tcPr>
            <w:tcW w:w="3296" w:type="dxa"/>
            <w:tcBorders>
              <w:left w:val="single" w:sz="6" w:space="0" w:color="000000"/>
              <w:right w:val="single" w:sz="6" w:space="0" w:color="000000"/>
            </w:tcBorders>
            <w:shd w:val="clear" w:color="auto" w:fill="F1F1F1"/>
          </w:tcPr>
          <w:p>
            <w:pPr>
              <w:pStyle w:val="TableParagraph"/>
              <w:spacing w:line="98" w:lineRule="exact" w:before="5"/>
              <w:ind w:left="19"/>
              <w:rPr>
                <w:sz w:val="10"/>
              </w:rPr>
            </w:pPr>
            <w:r>
              <w:rPr>
                <w:sz w:val="10"/>
              </w:rPr>
              <w:t>Para el año 2023 se redujo la pobreza general en 9.3 puntos porcentuales</w:t>
            </w:r>
          </w:p>
        </w:tc>
        <w:tc>
          <w:tcPr>
            <w:tcW w:w="939" w:type="dxa"/>
            <w:tcBorders>
              <w:left w:val="single" w:sz="6" w:space="0" w:color="000000"/>
              <w:right w:val="nil"/>
            </w:tcBorders>
          </w:tcPr>
          <w:p>
            <w:pPr>
              <w:pStyle w:val="TableParagraph"/>
              <w:spacing w:line="98" w:lineRule="exact" w:before="5"/>
              <w:ind w:left="79" w:right="78"/>
              <w:jc w:val="center"/>
              <w:rPr>
                <w:sz w:val="10"/>
              </w:rPr>
            </w:pPr>
            <w:r>
              <w:rPr>
                <w:sz w:val="10"/>
              </w:rPr>
              <w:t>55.00%</w:t>
            </w:r>
          </w:p>
        </w:tc>
        <w:tc>
          <w:tcPr>
            <w:tcW w:w="939" w:type="dxa"/>
            <w:tcBorders>
              <w:left w:val="nil"/>
              <w:right w:val="single" w:sz="6" w:space="0" w:color="000000"/>
            </w:tcBorders>
            <w:shd w:val="clear" w:color="auto" w:fill="C00000"/>
          </w:tcPr>
          <w:p>
            <w:pPr>
              <w:pStyle w:val="TableParagraph"/>
              <w:spacing w:line="98" w:lineRule="exact" w:before="5"/>
              <w:ind w:left="94" w:right="78"/>
              <w:jc w:val="center"/>
              <w:rPr>
                <w:sz w:val="10"/>
              </w:rPr>
            </w:pPr>
            <w:r>
              <w:rPr>
                <w:sz w:val="10"/>
              </w:rPr>
              <w:t>59.30%</w:t>
            </w:r>
          </w:p>
        </w:tc>
        <w:tc>
          <w:tcPr>
            <w:tcW w:w="1012" w:type="dxa"/>
            <w:tcBorders>
              <w:top w:val="nil"/>
              <w:left w:val="single" w:sz="6" w:space="0" w:color="000000"/>
              <w:bottom w:val="nil"/>
              <w:right w:val="nil"/>
            </w:tcBorders>
          </w:tcPr>
          <w:p>
            <w:pPr>
              <w:pStyle w:val="TableParagraph"/>
              <w:spacing w:line="98" w:lineRule="exact" w:before="5"/>
              <w:ind w:left="122" w:right="122"/>
              <w:jc w:val="center"/>
              <w:rPr>
                <w:sz w:val="10"/>
              </w:rPr>
            </w:pPr>
            <w:r>
              <w:rPr>
                <w:color w:val="C00000"/>
                <w:sz w:val="10"/>
              </w:rPr>
              <w:t>-9.3</w:t>
            </w:r>
          </w:p>
        </w:tc>
      </w:tr>
      <w:tr>
        <w:trPr>
          <w:trHeight w:val="123" w:hRule="atLeast"/>
        </w:trPr>
        <w:tc>
          <w:tcPr>
            <w:tcW w:w="333" w:type="dxa"/>
            <w:tcBorders>
              <w:left w:val="single" w:sz="6" w:space="0" w:color="000000"/>
              <w:right w:val="single" w:sz="6" w:space="0" w:color="000000"/>
            </w:tcBorders>
            <w:shd w:val="clear" w:color="auto" w:fill="F1F1F1"/>
          </w:tcPr>
          <w:p>
            <w:pPr>
              <w:pStyle w:val="TableParagraph"/>
              <w:spacing w:line="99" w:lineRule="exact" w:before="4"/>
              <w:ind w:left="69" w:right="56"/>
              <w:jc w:val="center"/>
              <w:rPr>
                <w:sz w:val="10"/>
              </w:rPr>
            </w:pPr>
            <w:r>
              <w:rPr>
                <w:sz w:val="10"/>
              </w:rPr>
              <w:t>21</w:t>
            </w:r>
          </w:p>
        </w:tc>
        <w:tc>
          <w:tcPr>
            <w:tcW w:w="3296" w:type="dxa"/>
            <w:tcBorders>
              <w:left w:val="single" w:sz="6" w:space="0" w:color="000000"/>
              <w:right w:val="single" w:sz="6" w:space="0" w:color="000000"/>
            </w:tcBorders>
            <w:shd w:val="clear" w:color="auto" w:fill="F1F1F1"/>
          </w:tcPr>
          <w:p>
            <w:pPr>
              <w:pStyle w:val="TableParagraph"/>
              <w:spacing w:line="99" w:lineRule="exact" w:before="4"/>
              <w:ind w:left="19"/>
              <w:rPr>
                <w:sz w:val="10"/>
              </w:rPr>
            </w:pPr>
            <w:r>
              <w:rPr>
                <w:sz w:val="10"/>
              </w:rPr>
              <w:t>Para el año 2023 se redujo la pobreza extrema en 5 puntos porcentuales</w:t>
            </w:r>
          </w:p>
        </w:tc>
        <w:tc>
          <w:tcPr>
            <w:tcW w:w="939" w:type="dxa"/>
            <w:tcBorders>
              <w:left w:val="single" w:sz="6" w:space="0" w:color="000000"/>
              <w:right w:val="nil"/>
            </w:tcBorders>
          </w:tcPr>
          <w:p>
            <w:pPr>
              <w:pStyle w:val="TableParagraph"/>
              <w:spacing w:line="99" w:lineRule="exact" w:before="4"/>
              <w:ind w:left="79" w:right="78"/>
              <w:jc w:val="center"/>
              <w:rPr>
                <w:sz w:val="10"/>
              </w:rPr>
            </w:pPr>
            <w:r>
              <w:rPr>
                <w:sz w:val="10"/>
              </w:rPr>
              <w:t>21.40%</w:t>
            </w:r>
          </w:p>
        </w:tc>
        <w:tc>
          <w:tcPr>
            <w:tcW w:w="939" w:type="dxa"/>
            <w:tcBorders>
              <w:left w:val="nil"/>
              <w:right w:val="single" w:sz="6" w:space="0" w:color="000000"/>
            </w:tcBorders>
            <w:shd w:val="clear" w:color="auto" w:fill="C00000"/>
          </w:tcPr>
          <w:p>
            <w:pPr>
              <w:pStyle w:val="TableParagraph"/>
              <w:spacing w:line="99" w:lineRule="exact" w:before="4"/>
              <w:ind w:left="94" w:right="78"/>
              <w:jc w:val="center"/>
              <w:rPr>
                <w:sz w:val="10"/>
              </w:rPr>
            </w:pPr>
            <w:r>
              <w:rPr>
                <w:sz w:val="10"/>
              </w:rPr>
              <w:t>23.40%</w:t>
            </w:r>
          </w:p>
        </w:tc>
        <w:tc>
          <w:tcPr>
            <w:tcW w:w="1012" w:type="dxa"/>
            <w:tcBorders>
              <w:top w:val="nil"/>
              <w:left w:val="single" w:sz="6" w:space="0" w:color="000000"/>
              <w:bottom w:val="nil"/>
              <w:right w:val="nil"/>
            </w:tcBorders>
          </w:tcPr>
          <w:p>
            <w:pPr>
              <w:pStyle w:val="TableParagraph"/>
              <w:spacing w:line="99" w:lineRule="exact" w:before="4"/>
              <w:ind w:left="119" w:right="122"/>
              <w:jc w:val="center"/>
              <w:rPr>
                <w:sz w:val="10"/>
              </w:rPr>
            </w:pPr>
            <w:r>
              <w:rPr>
                <w:color w:val="C00000"/>
                <w:sz w:val="10"/>
              </w:rPr>
              <w:t>-5.00%</w:t>
            </w:r>
          </w:p>
        </w:tc>
      </w:tr>
      <w:tr>
        <w:trPr>
          <w:trHeight w:val="256" w:hRule="atLeast"/>
        </w:trPr>
        <w:tc>
          <w:tcPr>
            <w:tcW w:w="333" w:type="dxa"/>
            <w:tcBorders>
              <w:left w:val="single" w:sz="6" w:space="0" w:color="000000"/>
              <w:right w:val="single" w:sz="6" w:space="0" w:color="000000"/>
            </w:tcBorders>
            <w:shd w:val="clear" w:color="auto" w:fill="F1F1F1"/>
          </w:tcPr>
          <w:p>
            <w:pPr>
              <w:pStyle w:val="TableParagraph"/>
              <w:spacing w:before="71"/>
              <w:ind w:left="69" w:right="56"/>
              <w:jc w:val="center"/>
              <w:rPr>
                <w:sz w:val="10"/>
              </w:rPr>
            </w:pPr>
            <w:r>
              <w:rPr>
                <w:sz w:val="10"/>
              </w:rPr>
              <w:t>22</w:t>
            </w:r>
          </w:p>
        </w:tc>
        <w:tc>
          <w:tcPr>
            <w:tcW w:w="3296" w:type="dxa"/>
            <w:tcBorders>
              <w:left w:val="single" w:sz="6" w:space="0" w:color="000000"/>
              <w:right w:val="single" w:sz="6" w:space="0" w:color="000000"/>
            </w:tcBorders>
            <w:shd w:val="clear" w:color="auto" w:fill="F1F1F1"/>
          </w:tcPr>
          <w:p>
            <w:pPr>
              <w:pStyle w:val="TableParagraph"/>
              <w:spacing w:before="4"/>
              <w:ind w:left="19"/>
              <w:rPr>
                <w:sz w:val="10"/>
              </w:rPr>
            </w:pPr>
            <w:r>
              <w:rPr>
                <w:sz w:val="10"/>
              </w:rPr>
              <w:t>Para el año 2023 se ha incrementado a 150,000 el número de familias atendidas</w:t>
            </w:r>
          </w:p>
          <w:p>
            <w:pPr>
              <w:pStyle w:val="TableParagraph"/>
              <w:spacing w:line="98" w:lineRule="exact" w:before="19"/>
              <w:ind w:left="19"/>
              <w:rPr>
                <w:sz w:val="10"/>
              </w:rPr>
            </w:pPr>
            <w:r>
              <w:rPr>
                <w:sz w:val="10"/>
              </w:rPr>
              <w:t>por el programa de transferencias monetarias</w:t>
            </w:r>
          </w:p>
        </w:tc>
        <w:tc>
          <w:tcPr>
            <w:tcW w:w="939" w:type="dxa"/>
            <w:tcBorders>
              <w:left w:val="single" w:sz="6" w:space="0" w:color="000000"/>
              <w:right w:val="nil"/>
            </w:tcBorders>
          </w:tcPr>
          <w:p>
            <w:pPr>
              <w:pStyle w:val="TableParagraph"/>
              <w:spacing w:before="71"/>
              <w:ind w:left="86" w:right="78"/>
              <w:jc w:val="center"/>
              <w:rPr>
                <w:sz w:val="10"/>
              </w:rPr>
            </w:pPr>
            <w:r>
              <w:rPr>
                <w:sz w:val="10"/>
              </w:rPr>
              <w:t>133,228</w:t>
            </w:r>
          </w:p>
        </w:tc>
        <w:tc>
          <w:tcPr>
            <w:tcW w:w="939" w:type="dxa"/>
            <w:tcBorders>
              <w:left w:val="nil"/>
              <w:right w:val="single" w:sz="6" w:space="0" w:color="000000"/>
            </w:tcBorders>
            <w:shd w:val="clear" w:color="auto" w:fill="92D050"/>
          </w:tcPr>
          <w:p>
            <w:pPr>
              <w:pStyle w:val="TableParagraph"/>
              <w:spacing w:before="71"/>
              <w:ind w:left="95" w:right="73"/>
              <w:jc w:val="center"/>
              <w:rPr>
                <w:sz w:val="10"/>
              </w:rPr>
            </w:pPr>
            <w:r>
              <w:rPr>
                <w:sz w:val="10"/>
              </w:rPr>
              <w:t>181,688</w:t>
            </w:r>
          </w:p>
        </w:tc>
        <w:tc>
          <w:tcPr>
            <w:tcW w:w="1012" w:type="dxa"/>
            <w:tcBorders>
              <w:top w:val="nil"/>
              <w:left w:val="single" w:sz="6" w:space="0" w:color="000000"/>
              <w:bottom w:val="nil"/>
              <w:right w:val="nil"/>
            </w:tcBorders>
          </w:tcPr>
          <w:p>
            <w:pPr>
              <w:pStyle w:val="TableParagraph"/>
              <w:spacing w:before="71"/>
              <w:ind w:left="125" w:right="117"/>
              <w:jc w:val="center"/>
              <w:rPr>
                <w:sz w:val="10"/>
              </w:rPr>
            </w:pPr>
            <w:r>
              <w:rPr>
                <w:sz w:val="10"/>
              </w:rPr>
              <w:t>31,688</w:t>
            </w:r>
          </w:p>
        </w:tc>
      </w:tr>
      <w:tr>
        <w:trPr>
          <w:trHeight w:val="256" w:hRule="atLeast"/>
        </w:trPr>
        <w:tc>
          <w:tcPr>
            <w:tcW w:w="333" w:type="dxa"/>
            <w:tcBorders>
              <w:left w:val="single" w:sz="6" w:space="0" w:color="000000"/>
              <w:right w:val="single" w:sz="6" w:space="0" w:color="000000"/>
            </w:tcBorders>
            <w:shd w:val="clear" w:color="auto" w:fill="F1F1F1"/>
          </w:tcPr>
          <w:p>
            <w:pPr>
              <w:pStyle w:val="TableParagraph"/>
              <w:spacing w:before="71"/>
              <w:ind w:left="69" w:right="56"/>
              <w:jc w:val="center"/>
              <w:rPr>
                <w:sz w:val="10"/>
              </w:rPr>
            </w:pPr>
            <w:r>
              <w:rPr>
                <w:sz w:val="10"/>
              </w:rPr>
              <w:t>23</w:t>
            </w:r>
          </w:p>
        </w:tc>
        <w:tc>
          <w:tcPr>
            <w:tcW w:w="3296" w:type="dxa"/>
            <w:tcBorders>
              <w:left w:val="single" w:sz="6" w:space="0" w:color="000000"/>
              <w:right w:val="single" w:sz="6" w:space="0" w:color="000000"/>
            </w:tcBorders>
            <w:shd w:val="clear" w:color="auto" w:fill="F1F1F1"/>
          </w:tcPr>
          <w:p>
            <w:pPr>
              <w:pStyle w:val="TableParagraph"/>
              <w:spacing w:before="5"/>
              <w:ind w:left="19"/>
              <w:rPr>
                <w:sz w:val="10"/>
              </w:rPr>
            </w:pPr>
            <w:r>
              <w:rPr>
                <w:sz w:val="10"/>
              </w:rPr>
              <w:t>Para el año 2023, se ha incrementado a 4.0 millones el número de raciones</w:t>
            </w:r>
          </w:p>
          <w:p>
            <w:pPr>
              <w:pStyle w:val="TableParagraph"/>
              <w:spacing w:line="98" w:lineRule="exact" w:before="18"/>
              <w:ind w:left="19"/>
              <w:rPr>
                <w:sz w:val="10"/>
              </w:rPr>
            </w:pPr>
            <w:r>
              <w:rPr>
                <w:sz w:val="10"/>
              </w:rPr>
              <w:t>(desayunos y almuerzos) servidos en comedores sociales</w:t>
            </w:r>
          </w:p>
        </w:tc>
        <w:tc>
          <w:tcPr>
            <w:tcW w:w="939" w:type="dxa"/>
            <w:tcBorders>
              <w:left w:val="single" w:sz="6" w:space="0" w:color="000000"/>
              <w:right w:val="nil"/>
            </w:tcBorders>
          </w:tcPr>
          <w:p>
            <w:pPr>
              <w:pStyle w:val="TableParagraph"/>
              <w:spacing w:before="71"/>
              <w:ind w:left="86" w:right="78"/>
              <w:jc w:val="center"/>
              <w:rPr>
                <w:sz w:val="10"/>
              </w:rPr>
            </w:pPr>
            <w:r>
              <w:rPr>
                <w:sz w:val="10"/>
              </w:rPr>
              <w:t>2,651,706</w:t>
            </w:r>
          </w:p>
        </w:tc>
        <w:tc>
          <w:tcPr>
            <w:tcW w:w="939" w:type="dxa"/>
            <w:tcBorders>
              <w:left w:val="nil"/>
              <w:right w:val="single" w:sz="6" w:space="0" w:color="000000"/>
            </w:tcBorders>
            <w:shd w:val="clear" w:color="auto" w:fill="92D050"/>
          </w:tcPr>
          <w:p>
            <w:pPr>
              <w:pStyle w:val="TableParagraph"/>
              <w:spacing w:before="71"/>
              <w:ind w:left="95" w:right="73"/>
              <w:jc w:val="center"/>
              <w:rPr>
                <w:sz w:val="10"/>
              </w:rPr>
            </w:pPr>
            <w:r>
              <w:rPr>
                <w:sz w:val="10"/>
              </w:rPr>
              <w:t>4,967,320</w:t>
            </w:r>
          </w:p>
        </w:tc>
        <w:tc>
          <w:tcPr>
            <w:tcW w:w="1012" w:type="dxa"/>
            <w:tcBorders>
              <w:top w:val="nil"/>
              <w:left w:val="single" w:sz="6" w:space="0" w:color="000000"/>
              <w:bottom w:val="nil"/>
              <w:right w:val="nil"/>
            </w:tcBorders>
          </w:tcPr>
          <w:p>
            <w:pPr>
              <w:pStyle w:val="TableParagraph"/>
              <w:spacing w:before="71"/>
              <w:ind w:left="122" w:right="122"/>
              <w:jc w:val="center"/>
              <w:rPr>
                <w:sz w:val="10"/>
              </w:rPr>
            </w:pPr>
            <w:r>
              <w:rPr>
                <w:sz w:val="10"/>
              </w:rPr>
              <w:t>967,320</w:t>
            </w:r>
          </w:p>
        </w:tc>
      </w:tr>
      <w:tr>
        <w:trPr>
          <w:trHeight w:val="256" w:hRule="atLeast"/>
        </w:trPr>
        <w:tc>
          <w:tcPr>
            <w:tcW w:w="333" w:type="dxa"/>
            <w:tcBorders>
              <w:left w:val="single" w:sz="6" w:space="0" w:color="000000"/>
              <w:right w:val="single" w:sz="6" w:space="0" w:color="000000"/>
            </w:tcBorders>
            <w:shd w:val="clear" w:color="auto" w:fill="F1F1F1"/>
          </w:tcPr>
          <w:p>
            <w:pPr>
              <w:pStyle w:val="TableParagraph"/>
              <w:spacing w:before="71"/>
              <w:ind w:left="69" w:right="56"/>
              <w:jc w:val="center"/>
              <w:rPr>
                <w:sz w:val="10"/>
              </w:rPr>
            </w:pPr>
            <w:r>
              <w:rPr>
                <w:sz w:val="10"/>
              </w:rPr>
              <w:t>24</w:t>
            </w:r>
          </w:p>
        </w:tc>
        <w:tc>
          <w:tcPr>
            <w:tcW w:w="3296" w:type="dxa"/>
            <w:tcBorders>
              <w:left w:val="single" w:sz="6" w:space="0" w:color="000000"/>
              <w:right w:val="single" w:sz="6" w:space="0" w:color="000000"/>
            </w:tcBorders>
            <w:shd w:val="clear" w:color="auto" w:fill="F1F1F1"/>
          </w:tcPr>
          <w:p>
            <w:pPr>
              <w:pStyle w:val="TableParagraph"/>
              <w:spacing w:before="5"/>
              <w:ind w:left="19"/>
              <w:rPr>
                <w:sz w:val="10"/>
              </w:rPr>
            </w:pPr>
            <w:r>
              <w:rPr>
                <w:sz w:val="10"/>
              </w:rPr>
              <w:t>Para el año 2023 se ha incrementado en 6,000 el número de adultos mayores</w:t>
            </w:r>
          </w:p>
          <w:p>
            <w:pPr>
              <w:pStyle w:val="TableParagraph"/>
              <w:spacing w:line="98" w:lineRule="exact" w:before="18"/>
              <w:ind w:left="19"/>
              <w:rPr>
                <w:sz w:val="10"/>
              </w:rPr>
            </w:pPr>
            <w:r>
              <w:rPr>
                <w:sz w:val="10"/>
              </w:rPr>
              <w:t>atendidos por el programa de pensiones.</w:t>
            </w:r>
          </w:p>
        </w:tc>
        <w:tc>
          <w:tcPr>
            <w:tcW w:w="939" w:type="dxa"/>
            <w:tcBorders>
              <w:left w:val="single" w:sz="6" w:space="0" w:color="000000"/>
              <w:right w:val="nil"/>
            </w:tcBorders>
          </w:tcPr>
          <w:p>
            <w:pPr>
              <w:pStyle w:val="TableParagraph"/>
              <w:spacing w:before="71"/>
              <w:ind w:left="86" w:right="78"/>
              <w:jc w:val="center"/>
              <w:rPr>
                <w:sz w:val="10"/>
              </w:rPr>
            </w:pPr>
            <w:r>
              <w:rPr>
                <w:sz w:val="10"/>
              </w:rPr>
              <w:t>103,130</w:t>
            </w:r>
          </w:p>
        </w:tc>
        <w:tc>
          <w:tcPr>
            <w:tcW w:w="939" w:type="dxa"/>
            <w:tcBorders>
              <w:left w:val="nil"/>
              <w:right w:val="single" w:sz="6" w:space="0" w:color="000000"/>
            </w:tcBorders>
            <w:shd w:val="clear" w:color="auto" w:fill="92D050"/>
          </w:tcPr>
          <w:p>
            <w:pPr>
              <w:pStyle w:val="TableParagraph"/>
              <w:spacing w:before="71"/>
              <w:ind w:left="95" w:right="73"/>
              <w:jc w:val="center"/>
              <w:rPr>
                <w:sz w:val="10"/>
              </w:rPr>
            </w:pPr>
            <w:r>
              <w:rPr>
                <w:sz w:val="10"/>
              </w:rPr>
              <w:t>119,756</w:t>
            </w:r>
          </w:p>
        </w:tc>
        <w:tc>
          <w:tcPr>
            <w:tcW w:w="1012" w:type="dxa"/>
            <w:tcBorders>
              <w:top w:val="nil"/>
              <w:left w:val="single" w:sz="6" w:space="0" w:color="000000"/>
              <w:bottom w:val="nil"/>
              <w:right w:val="nil"/>
            </w:tcBorders>
          </w:tcPr>
          <w:p>
            <w:pPr>
              <w:pStyle w:val="TableParagraph"/>
              <w:spacing w:before="71"/>
              <w:ind w:left="125" w:right="117"/>
              <w:jc w:val="center"/>
              <w:rPr>
                <w:sz w:val="10"/>
              </w:rPr>
            </w:pPr>
            <w:r>
              <w:rPr>
                <w:sz w:val="10"/>
              </w:rPr>
              <w:t>12,626</w:t>
            </w:r>
          </w:p>
        </w:tc>
      </w:tr>
      <w:tr>
        <w:trPr>
          <w:trHeight w:val="256" w:hRule="atLeast"/>
        </w:trPr>
        <w:tc>
          <w:tcPr>
            <w:tcW w:w="333" w:type="dxa"/>
            <w:tcBorders>
              <w:left w:val="single" w:sz="6" w:space="0" w:color="000000"/>
              <w:bottom w:val="single" w:sz="6" w:space="0" w:color="000000"/>
              <w:right w:val="single" w:sz="6" w:space="0" w:color="000000"/>
            </w:tcBorders>
            <w:shd w:val="clear" w:color="auto" w:fill="F1F1F1"/>
          </w:tcPr>
          <w:p>
            <w:pPr>
              <w:pStyle w:val="TableParagraph"/>
              <w:spacing w:before="71"/>
              <w:ind w:left="69" w:right="56"/>
              <w:jc w:val="center"/>
              <w:rPr>
                <w:sz w:val="10"/>
              </w:rPr>
            </w:pPr>
            <w:r>
              <w:rPr>
                <w:sz w:val="10"/>
              </w:rPr>
              <w:t>25</w:t>
            </w:r>
          </w:p>
        </w:tc>
        <w:tc>
          <w:tcPr>
            <w:tcW w:w="3296" w:type="dxa"/>
            <w:tcBorders>
              <w:left w:val="single" w:sz="6" w:space="0" w:color="000000"/>
              <w:bottom w:val="single" w:sz="6" w:space="0" w:color="000000"/>
              <w:right w:val="single" w:sz="6" w:space="0" w:color="000000"/>
            </w:tcBorders>
            <w:shd w:val="clear" w:color="auto" w:fill="F1F1F1"/>
          </w:tcPr>
          <w:p>
            <w:pPr>
              <w:pStyle w:val="TableParagraph"/>
              <w:spacing w:before="4"/>
              <w:ind w:left="19"/>
              <w:rPr>
                <w:sz w:val="10"/>
              </w:rPr>
            </w:pPr>
            <w:r>
              <w:rPr>
                <w:sz w:val="10"/>
              </w:rPr>
              <w:t>Para el año 2023 se ha incrementado en Q 17.0 millones el monto asignado al</w:t>
            </w:r>
          </w:p>
          <w:p>
            <w:pPr>
              <w:pStyle w:val="TableParagraph"/>
              <w:spacing w:line="99" w:lineRule="exact" w:before="19"/>
              <w:ind w:left="19"/>
              <w:rPr>
                <w:sz w:val="10"/>
              </w:rPr>
            </w:pPr>
            <w:r>
              <w:rPr>
                <w:sz w:val="10"/>
              </w:rPr>
              <w:t>fondo social para la atención a desastres</w:t>
            </w:r>
          </w:p>
        </w:tc>
        <w:tc>
          <w:tcPr>
            <w:tcW w:w="939" w:type="dxa"/>
            <w:tcBorders>
              <w:left w:val="single" w:sz="6" w:space="0" w:color="000000"/>
              <w:bottom w:val="single" w:sz="6" w:space="0" w:color="000000"/>
              <w:right w:val="nil"/>
            </w:tcBorders>
          </w:tcPr>
          <w:p>
            <w:pPr>
              <w:pStyle w:val="TableParagraph"/>
              <w:spacing w:before="71"/>
              <w:ind w:left="88" w:right="78"/>
              <w:jc w:val="center"/>
              <w:rPr>
                <w:sz w:val="10"/>
              </w:rPr>
            </w:pPr>
            <w:r>
              <w:rPr>
                <w:sz w:val="10"/>
              </w:rPr>
              <w:t>Q13.95 millones</w:t>
            </w:r>
          </w:p>
        </w:tc>
        <w:tc>
          <w:tcPr>
            <w:tcW w:w="939" w:type="dxa"/>
            <w:tcBorders>
              <w:left w:val="nil"/>
              <w:bottom w:val="single" w:sz="6" w:space="0" w:color="000000"/>
              <w:right w:val="single" w:sz="6" w:space="0" w:color="000000"/>
            </w:tcBorders>
            <w:shd w:val="clear" w:color="auto" w:fill="C00000"/>
          </w:tcPr>
          <w:p>
            <w:pPr>
              <w:pStyle w:val="TableParagraph"/>
              <w:spacing w:before="71"/>
              <w:ind w:left="95" w:right="71"/>
              <w:jc w:val="center"/>
              <w:rPr>
                <w:sz w:val="10"/>
              </w:rPr>
            </w:pPr>
            <w:r>
              <w:rPr>
                <w:sz w:val="10"/>
              </w:rPr>
              <w:t>Q8.0 millones</w:t>
            </w:r>
          </w:p>
        </w:tc>
        <w:tc>
          <w:tcPr>
            <w:tcW w:w="1012" w:type="dxa"/>
            <w:tcBorders>
              <w:top w:val="nil"/>
              <w:left w:val="single" w:sz="6" w:space="0" w:color="000000"/>
              <w:bottom w:val="single" w:sz="6" w:space="0" w:color="000000"/>
              <w:right w:val="nil"/>
            </w:tcBorders>
          </w:tcPr>
          <w:p>
            <w:pPr>
              <w:pStyle w:val="TableParagraph"/>
              <w:spacing w:before="71"/>
              <w:ind w:left="125" w:right="122"/>
              <w:jc w:val="center"/>
              <w:rPr>
                <w:sz w:val="10"/>
              </w:rPr>
            </w:pPr>
            <w:r>
              <w:rPr>
                <w:color w:val="C00000"/>
                <w:sz w:val="10"/>
              </w:rPr>
              <w:t>(-Q17.0 millones)</w:t>
            </w:r>
          </w:p>
        </w:tc>
      </w:tr>
    </w:tbl>
    <w:p>
      <w:pPr>
        <w:spacing w:before="40"/>
        <w:ind w:left="2261" w:right="0" w:firstLine="0"/>
        <w:jc w:val="left"/>
        <w:rPr>
          <w:sz w:val="16"/>
        </w:rPr>
      </w:pPr>
      <w:r>
        <w:rPr/>
        <w:pict>
          <v:line style="position:absolute;mso-position-horizontal-relative:page;mso-position-vertical-relative:paragraph;z-index:253084672" from="494.077911pt,-144.578232pt" to="494.077911pt,-144.578232pt" stroked="true" strokeweight=".332384pt" strokecolor="#d3d3d3">
            <v:stroke dashstyle="solid"/>
            <w10:wrap type="none"/>
          </v:line>
        </w:pict>
      </w:r>
      <w:r>
        <w:rPr/>
        <w:pict>
          <v:line style="position:absolute;mso-position-horizontal-relative:page;mso-position-vertical-relative:paragraph;z-index:253085696" from="494.077911pt,-131.260712pt" to="494.077911pt,-131.260712pt" stroked="true" strokeweight=".332384pt" strokecolor="#d3d3d3">
            <v:stroke dashstyle="solid"/>
            <w10:wrap type="none"/>
          </v:line>
        </w:pict>
      </w:r>
      <w:r>
        <w:rPr/>
        <w:pict>
          <v:line style="position:absolute;mso-position-horizontal-relative:page;mso-position-vertical-relative:paragraph;z-index:253086720" from="494.077911pt,-117.952065pt" to="494.077911pt,-117.952065pt" stroked="true" strokeweight=".332384pt" strokecolor="#d3d3d3">
            <v:stroke dashstyle="solid"/>
            <w10:wrap type="none"/>
          </v:line>
        </w:pict>
      </w:r>
      <w:r>
        <w:rPr/>
        <w:pict>
          <v:line style="position:absolute;mso-position-horizontal-relative:page;mso-position-vertical-relative:paragraph;z-index:253087744" from="494.077911pt,-111.295525pt" to="494.077911pt,-111.295525pt" stroked="true" strokeweight=".332384pt" strokecolor="#d3d3d3">
            <v:stroke dashstyle="solid"/>
            <w10:wrap type="none"/>
          </v:line>
        </w:pict>
      </w:r>
      <w:r>
        <w:rPr/>
        <w:pict>
          <v:line style="position:absolute;mso-position-horizontal-relative:page;mso-position-vertical-relative:paragraph;z-index:253088768" from="494.077911pt,-97.98687pt" to="494.077911pt,-97.98687pt" stroked="true" strokeweight=".332384pt" strokecolor="#d3d3d3">
            <v:stroke dashstyle="solid"/>
            <w10:wrap type="none"/>
          </v:line>
        </w:pict>
      </w:r>
      <w:r>
        <w:rPr/>
        <w:pict>
          <v:line style="position:absolute;mso-position-horizontal-relative:page;mso-position-vertical-relative:paragraph;z-index:253089792" from="494.077911pt,-91.33033pt" to="494.077911pt,-91.33033pt" stroked="true" strokeweight=".332384pt" strokecolor="#d3d3d3">
            <v:stroke dashstyle="solid"/>
            <w10:wrap type="none"/>
          </v:line>
        </w:pict>
      </w:r>
      <w:r>
        <w:rPr/>
        <w:pict>
          <v:line style="position:absolute;mso-position-horizontal-relative:page;mso-position-vertical-relative:paragraph;z-index:253090816" from="494.077911pt,-84.004593pt" to="494.077911pt,-84.004593pt" stroked="true" strokeweight=".332384pt" strokecolor="#d3d3d3">
            <v:stroke dashstyle="solid"/>
            <w10:wrap type="none"/>
          </v:line>
        </w:pict>
      </w:r>
      <w:r>
        <w:rPr/>
        <w:pict>
          <v:line style="position:absolute;mso-position-horizontal-relative:page;mso-position-vertical-relative:paragraph;z-index:253091840" from="494.077911pt,-67.044151pt" to="494.077911pt,-67.044151pt" stroked="true" strokeweight=".332384pt" strokecolor="#d3d3d3">
            <v:stroke dashstyle="solid"/>
            <w10:wrap type="none"/>
          </v:line>
        </w:pict>
      </w:r>
      <w:r>
        <w:rPr/>
        <w:pict>
          <v:line style="position:absolute;mso-position-horizontal-relative:page;mso-position-vertical-relative:paragraph;z-index:253092864" from="494.077911pt,-60.383179pt" to="494.077911pt,-60.383179pt" stroked="true" strokeweight=".332384pt" strokecolor="#d3d3d3">
            <v:stroke dashstyle="solid"/>
            <w10:wrap type="none"/>
          </v:line>
        </w:pict>
      </w:r>
      <w:r>
        <w:rPr/>
        <w:pict>
          <v:line style="position:absolute;mso-position-horizontal-relative:page;mso-position-vertical-relative:paragraph;z-index:253093888" from="494.077911pt,-53.726635pt" to="494.077911pt,-53.726635pt" stroked="true" strokeweight=".332384pt" strokecolor="#d3d3d3">
            <v:stroke dashstyle="solid"/>
            <w10:wrap type="none"/>
          </v:line>
        </w:pict>
      </w:r>
      <w:r>
        <w:rPr/>
        <w:pict>
          <v:line style="position:absolute;mso-position-horizontal-relative:page;mso-position-vertical-relative:paragraph;z-index:253094912" from="494.077911pt,-40.419758pt" to="494.077911pt,-40.419758pt" stroked="true" strokeweight=".332384pt" strokecolor="#d3d3d3">
            <v:stroke dashstyle="solid"/>
            <w10:wrap type="none"/>
          </v:line>
        </w:pict>
      </w:r>
      <w:r>
        <w:rPr/>
        <w:pict>
          <v:line style="position:absolute;mso-position-horizontal-relative:page;mso-position-vertical-relative:paragraph;z-index:253095936" from="494.077911pt,-27.113325pt" to="494.077911pt,-27.113325pt" stroked="true" strokeweight=".332384pt" strokecolor="#d3d3d3">
            <v:stroke dashstyle="solid"/>
            <w10:wrap type="none"/>
          </v:line>
        </w:pict>
      </w:r>
      <w:r>
        <w:rPr/>
        <w:pict>
          <v:line style="position:absolute;mso-position-horizontal-relative:page;mso-position-vertical-relative:paragraph;z-index:253096960" from="494.077911pt,-13.795811pt" to="494.077911pt,-13.795811pt" stroked="true" strokeweight=".332384pt" strokecolor="#d3d3d3">
            <v:stroke dashstyle="solid"/>
            <w10:wrap type="none"/>
          </v:line>
        </w:pict>
      </w:r>
      <w:r>
        <w:rPr>
          <w:sz w:val="16"/>
        </w:rPr>
        <w:t>Fuente: SEGEPLAN</w:t>
      </w:r>
    </w:p>
    <w:p>
      <w:pPr>
        <w:pStyle w:val="BodyText"/>
        <w:rPr>
          <w:sz w:val="18"/>
        </w:rPr>
      </w:pPr>
    </w:p>
    <w:p>
      <w:pPr>
        <w:pStyle w:val="Heading3"/>
        <w:spacing w:before="112"/>
        <w:ind w:left="562"/>
        <w:jc w:val="both"/>
      </w:pPr>
      <w:r>
        <w:rPr/>
        <w:t>Pilar 3: Gobernabilidad y Seguridad en Desarrollo</w:t>
      </w:r>
    </w:p>
    <w:p>
      <w:pPr>
        <w:pStyle w:val="BodyText"/>
        <w:spacing w:before="8"/>
        <w:rPr>
          <w:b/>
          <w:sz w:val="23"/>
        </w:rPr>
      </w:pPr>
    </w:p>
    <w:p>
      <w:pPr>
        <w:pStyle w:val="BodyText"/>
        <w:spacing w:line="276" w:lineRule="auto"/>
        <w:ind w:left="562" w:right="1697"/>
        <w:jc w:val="both"/>
      </w:pPr>
      <w:r>
        <w:rPr/>
        <w:t>Este</w:t>
      </w:r>
      <w:r>
        <w:rPr>
          <w:spacing w:val="-9"/>
        </w:rPr>
        <w:t> </w:t>
      </w:r>
      <w:r>
        <w:rPr/>
        <w:t>pilar</w:t>
      </w:r>
      <w:r>
        <w:rPr>
          <w:spacing w:val="-7"/>
        </w:rPr>
        <w:t> </w:t>
      </w:r>
      <w:r>
        <w:rPr/>
        <w:t>contiene</w:t>
      </w:r>
      <w:r>
        <w:rPr>
          <w:spacing w:val="-8"/>
        </w:rPr>
        <w:t> </w:t>
      </w:r>
      <w:r>
        <w:rPr/>
        <w:t>6</w:t>
      </w:r>
      <w:r>
        <w:rPr>
          <w:spacing w:val="-11"/>
        </w:rPr>
        <w:t> </w:t>
      </w:r>
      <w:r>
        <w:rPr/>
        <w:t>indicadores,</w:t>
      </w:r>
      <w:r>
        <w:rPr>
          <w:spacing w:val="-10"/>
        </w:rPr>
        <w:t> </w:t>
      </w:r>
      <w:r>
        <w:rPr/>
        <w:t>con</w:t>
      </w:r>
      <w:r>
        <w:rPr>
          <w:spacing w:val="-7"/>
        </w:rPr>
        <w:t> </w:t>
      </w:r>
      <w:r>
        <w:rPr/>
        <w:t>resultados</w:t>
      </w:r>
      <w:r>
        <w:rPr>
          <w:spacing w:val="-8"/>
        </w:rPr>
        <w:t> </w:t>
      </w:r>
      <w:r>
        <w:rPr/>
        <w:t>dispersos,</w:t>
      </w:r>
      <w:r>
        <w:rPr>
          <w:spacing w:val="-9"/>
        </w:rPr>
        <w:t> </w:t>
      </w:r>
      <w:r>
        <w:rPr/>
        <w:t>en</w:t>
      </w:r>
      <w:r>
        <w:rPr>
          <w:spacing w:val="-9"/>
        </w:rPr>
        <w:t> </w:t>
      </w:r>
      <w:r>
        <w:rPr/>
        <w:t>algunos</w:t>
      </w:r>
      <w:r>
        <w:rPr>
          <w:spacing w:val="-8"/>
        </w:rPr>
        <w:t> </w:t>
      </w:r>
      <w:r>
        <w:rPr/>
        <w:t>se</w:t>
      </w:r>
      <w:r>
        <w:rPr>
          <w:spacing w:val="-8"/>
        </w:rPr>
        <w:t> </w:t>
      </w:r>
      <w:r>
        <w:rPr/>
        <w:t>han</w:t>
      </w:r>
      <w:r>
        <w:rPr>
          <w:spacing w:val="-8"/>
        </w:rPr>
        <w:t> </w:t>
      </w:r>
      <w:r>
        <w:rPr/>
        <w:t>dado</w:t>
      </w:r>
      <w:r>
        <w:rPr>
          <w:spacing w:val="-10"/>
        </w:rPr>
        <w:t> </w:t>
      </w:r>
      <w:r>
        <w:rPr/>
        <w:t>avances</w:t>
      </w:r>
      <w:r>
        <w:rPr>
          <w:spacing w:val="-8"/>
        </w:rPr>
        <w:t> </w:t>
      </w:r>
      <w:r>
        <w:rPr/>
        <w:t>y</w:t>
      </w:r>
      <w:r>
        <w:rPr>
          <w:spacing w:val="-11"/>
        </w:rPr>
        <w:t> </w:t>
      </w:r>
      <w:r>
        <w:rPr/>
        <w:t>en</w:t>
      </w:r>
      <w:r>
        <w:rPr>
          <w:spacing w:val="-8"/>
        </w:rPr>
        <w:t> </w:t>
      </w:r>
      <w:r>
        <w:rPr/>
        <w:t>otros han sido avances parciales, además que en algunos no se han logrado progresos, siendo uno de los obstáculos la pandemia del COVID-19, desviando recursos</w:t>
      </w:r>
      <w:r>
        <w:rPr>
          <w:spacing w:val="-10"/>
        </w:rPr>
        <w:t> </w:t>
      </w:r>
      <w:r>
        <w:rPr/>
        <w:t>importantes.</w:t>
      </w:r>
    </w:p>
    <w:p>
      <w:pPr>
        <w:spacing w:after="0" w:line="276" w:lineRule="auto"/>
        <w:jc w:val="both"/>
        <w:sectPr>
          <w:pgSz w:w="12240" w:h="15840"/>
          <w:pgMar w:header="715" w:footer="957" w:top="1240" w:bottom="1140" w:left="1140" w:right="0"/>
        </w:sectPr>
      </w:pPr>
    </w:p>
    <w:p>
      <w:pPr>
        <w:pStyle w:val="Heading3"/>
        <w:numPr>
          <w:ilvl w:val="0"/>
          <w:numId w:val="30"/>
        </w:numPr>
        <w:tabs>
          <w:tab w:pos="1281" w:val="left" w:leader="none"/>
          <w:tab w:pos="1282" w:val="left" w:leader="none"/>
        </w:tabs>
        <w:spacing w:line="240" w:lineRule="auto" w:before="165" w:after="0"/>
        <w:ind w:left="1282" w:right="0" w:hanging="361"/>
        <w:jc w:val="left"/>
      </w:pPr>
      <w:r>
        <w:rPr/>
        <w:t>Metas alcanzadas o</w:t>
      </w:r>
      <w:r>
        <w:rPr>
          <w:spacing w:val="-3"/>
        </w:rPr>
        <w:t> </w:t>
      </w:r>
      <w:r>
        <w:rPr/>
        <w:t>superadas</w:t>
      </w:r>
    </w:p>
    <w:p>
      <w:pPr>
        <w:pStyle w:val="BodyText"/>
        <w:spacing w:before="8"/>
        <w:rPr>
          <w:b/>
          <w:sz w:val="23"/>
        </w:rPr>
      </w:pPr>
    </w:p>
    <w:p>
      <w:pPr>
        <w:pStyle w:val="ListParagraph"/>
        <w:numPr>
          <w:ilvl w:val="1"/>
          <w:numId w:val="30"/>
        </w:numPr>
        <w:tabs>
          <w:tab w:pos="1630" w:val="left" w:leader="none"/>
        </w:tabs>
        <w:spacing w:line="276" w:lineRule="auto" w:before="0" w:after="0"/>
        <w:ind w:left="1630" w:right="1700" w:hanging="360"/>
        <w:jc w:val="both"/>
        <w:rPr>
          <w:sz w:val="22"/>
        </w:rPr>
      </w:pPr>
      <w:r>
        <w:rPr>
          <w:sz w:val="22"/>
        </w:rPr>
        <w:t>La</w:t>
      </w:r>
      <w:r>
        <w:rPr>
          <w:spacing w:val="-12"/>
          <w:sz w:val="22"/>
        </w:rPr>
        <w:t> </w:t>
      </w:r>
      <w:r>
        <w:rPr>
          <w:sz w:val="22"/>
        </w:rPr>
        <w:t>reforma</w:t>
      </w:r>
      <w:r>
        <w:rPr>
          <w:spacing w:val="-11"/>
          <w:sz w:val="22"/>
        </w:rPr>
        <w:t> </w:t>
      </w:r>
      <w:r>
        <w:rPr>
          <w:sz w:val="22"/>
        </w:rPr>
        <w:t>del</w:t>
      </w:r>
      <w:r>
        <w:rPr>
          <w:spacing w:val="-11"/>
          <w:sz w:val="22"/>
        </w:rPr>
        <w:t> </w:t>
      </w:r>
      <w:r>
        <w:rPr>
          <w:sz w:val="22"/>
        </w:rPr>
        <w:t>Sistema</w:t>
      </w:r>
      <w:r>
        <w:rPr>
          <w:spacing w:val="-11"/>
          <w:sz w:val="22"/>
        </w:rPr>
        <w:t> </w:t>
      </w:r>
      <w:r>
        <w:rPr>
          <w:sz w:val="22"/>
        </w:rPr>
        <w:t>Nacional</w:t>
      </w:r>
      <w:r>
        <w:rPr>
          <w:spacing w:val="-11"/>
          <w:sz w:val="22"/>
        </w:rPr>
        <w:t> </w:t>
      </w:r>
      <w:r>
        <w:rPr>
          <w:sz w:val="22"/>
        </w:rPr>
        <w:t>de</w:t>
      </w:r>
      <w:r>
        <w:rPr>
          <w:spacing w:val="-12"/>
          <w:sz w:val="22"/>
        </w:rPr>
        <w:t> </w:t>
      </w:r>
      <w:r>
        <w:rPr>
          <w:sz w:val="22"/>
        </w:rPr>
        <w:t>Inteligencia</w:t>
      </w:r>
      <w:r>
        <w:rPr>
          <w:spacing w:val="-11"/>
          <w:sz w:val="22"/>
        </w:rPr>
        <w:t> </w:t>
      </w:r>
      <w:r>
        <w:rPr>
          <w:sz w:val="22"/>
        </w:rPr>
        <w:t>(SNI)</w:t>
      </w:r>
      <w:r>
        <w:rPr>
          <w:spacing w:val="-11"/>
          <w:sz w:val="22"/>
        </w:rPr>
        <w:t> </w:t>
      </w:r>
      <w:r>
        <w:rPr>
          <w:sz w:val="22"/>
        </w:rPr>
        <w:t>superó</w:t>
      </w:r>
      <w:r>
        <w:rPr>
          <w:spacing w:val="-12"/>
          <w:sz w:val="22"/>
        </w:rPr>
        <w:t> </w:t>
      </w:r>
      <w:r>
        <w:rPr>
          <w:sz w:val="22"/>
        </w:rPr>
        <w:t>por</w:t>
      </w:r>
      <w:r>
        <w:rPr>
          <w:spacing w:val="-11"/>
          <w:sz w:val="22"/>
        </w:rPr>
        <w:t> </w:t>
      </w:r>
      <w:r>
        <w:rPr>
          <w:sz w:val="22"/>
        </w:rPr>
        <w:t>amplio</w:t>
      </w:r>
      <w:r>
        <w:rPr>
          <w:spacing w:val="-12"/>
          <w:sz w:val="22"/>
        </w:rPr>
        <w:t> </w:t>
      </w:r>
      <w:r>
        <w:rPr>
          <w:sz w:val="22"/>
        </w:rPr>
        <w:t>margen</w:t>
      </w:r>
      <w:r>
        <w:rPr>
          <w:spacing w:val="-11"/>
          <w:sz w:val="22"/>
        </w:rPr>
        <w:t> </w:t>
      </w:r>
      <w:r>
        <w:rPr>
          <w:sz w:val="22"/>
        </w:rPr>
        <w:t>la</w:t>
      </w:r>
      <w:r>
        <w:rPr>
          <w:spacing w:val="-11"/>
          <w:sz w:val="22"/>
        </w:rPr>
        <w:t> </w:t>
      </w:r>
      <w:r>
        <w:rPr>
          <w:sz w:val="22"/>
        </w:rPr>
        <w:t>meta programada del 50 % para el bienio 2020-2021, al alcanzar un avance del</w:t>
      </w:r>
      <w:r>
        <w:rPr>
          <w:spacing w:val="-10"/>
          <w:sz w:val="22"/>
        </w:rPr>
        <w:t> </w:t>
      </w:r>
      <w:r>
        <w:rPr>
          <w:sz w:val="22"/>
        </w:rPr>
        <w:t>84.85%.</w:t>
      </w:r>
    </w:p>
    <w:p>
      <w:pPr>
        <w:pStyle w:val="ListParagraph"/>
        <w:numPr>
          <w:ilvl w:val="1"/>
          <w:numId w:val="30"/>
        </w:numPr>
        <w:tabs>
          <w:tab w:pos="1630" w:val="left" w:leader="none"/>
        </w:tabs>
        <w:spacing w:line="276" w:lineRule="auto" w:before="0" w:after="0"/>
        <w:ind w:left="1630" w:right="1697" w:hanging="360"/>
        <w:jc w:val="both"/>
        <w:rPr>
          <w:sz w:val="22"/>
        </w:rPr>
      </w:pPr>
      <w:r>
        <w:rPr>
          <w:sz w:val="22"/>
        </w:rPr>
        <w:t>La meta relativa a organizaciones comunitarias de prevención de la violencia y el delito, refleja</w:t>
      </w:r>
      <w:r>
        <w:rPr>
          <w:spacing w:val="-7"/>
          <w:sz w:val="22"/>
        </w:rPr>
        <w:t> </w:t>
      </w:r>
      <w:r>
        <w:rPr>
          <w:sz w:val="22"/>
        </w:rPr>
        <w:t>resultados</w:t>
      </w:r>
      <w:r>
        <w:rPr>
          <w:spacing w:val="-5"/>
          <w:sz w:val="22"/>
        </w:rPr>
        <w:t> </w:t>
      </w:r>
      <w:r>
        <w:rPr>
          <w:sz w:val="22"/>
        </w:rPr>
        <w:t>muy</w:t>
      </w:r>
      <w:r>
        <w:rPr>
          <w:spacing w:val="-9"/>
          <w:sz w:val="22"/>
        </w:rPr>
        <w:t> </w:t>
      </w:r>
      <w:r>
        <w:rPr>
          <w:sz w:val="22"/>
        </w:rPr>
        <w:t>positivos.</w:t>
      </w:r>
      <w:r>
        <w:rPr>
          <w:spacing w:val="-6"/>
          <w:sz w:val="22"/>
        </w:rPr>
        <w:t> </w:t>
      </w:r>
      <w:r>
        <w:rPr>
          <w:sz w:val="22"/>
        </w:rPr>
        <w:t>En</w:t>
      </w:r>
      <w:r>
        <w:rPr>
          <w:spacing w:val="-6"/>
          <w:sz w:val="22"/>
        </w:rPr>
        <w:t> </w:t>
      </w:r>
      <w:r>
        <w:rPr>
          <w:sz w:val="22"/>
        </w:rPr>
        <w:t>2021</w:t>
      </w:r>
      <w:r>
        <w:rPr>
          <w:spacing w:val="-7"/>
          <w:sz w:val="22"/>
        </w:rPr>
        <w:t> </w:t>
      </w:r>
      <w:r>
        <w:rPr>
          <w:sz w:val="22"/>
        </w:rPr>
        <w:t>se</w:t>
      </w:r>
      <w:r>
        <w:rPr>
          <w:spacing w:val="-8"/>
          <w:sz w:val="22"/>
        </w:rPr>
        <w:t> </w:t>
      </w:r>
      <w:r>
        <w:rPr>
          <w:sz w:val="22"/>
        </w:rPr>
        <w:t>reportaron</w:t>
      </w:r>
      <w:r>
        <w:rPr>
          <w:spacing w:val="-8"/>
          <w:sz w:val="22"/>
        </w:rPr>
        <w:t> </w:t>
      </w:r>
      <w:r>
        <w:rPr>
          <w:sz w:val="22"/>
        </w:rPr>
        <w:t>316</w:t>
      </w:r>
      <w:r>
        <w:rPr>
          <w:spacing w:val="-7"/>
          <w:sz w:val="22"/>
        </w:rPr>
        <w:t> </w:t>
      </w:r>
      <w:r>
        <w:rPr>
          <w:sz w:val="22"/>
        </w:rPr>
        <w:t>organizaciones</w:t>
      </w:r>
      <w:r>
        <w:rPr>
          <w:spacing w:val="-6"/>
          <w:sz w:val="22"/>
        </w:rPr>
        <w:t> </w:t>
      </w:r>
      <w:r>
        <w:rPr>
          <w:sz w:val="22"/>
        </w:rPr>
        <w:t>comunitarias superando la proyección de 170 estimada para el bienio</w:t>
      </w:r>
      <w:r>
        <w:rPr>
          <w:spacing w:val="-9"/>
          <w:sz w:val="22"/>
        </w:rPr>
        <w:t> </w:t>
      </w:r>
      <w:r>
        <w:rPr>
          <w:sz w:val="22"/>
        </w:rPr>
        <w:t>2020-2021.</w:t>
      </w:r>
    </w:p>
    <w:p>
      <w:pPr>
        <w:pStyle w:val="ListParagraph"/>
        <w:numPr>
          <w:ilvl w:val="1"/>
          <w:numId w:val="30"/>
        </w:numPr>
        <w:tabs>
          <w:tab w:pos="1630" w:val="left" w:leader="none"/>
        </w:tabs>
        <w:spacing w:line="276" w:lineRule="auto" w:before="0" w:after="0"/>
        <w:ind w:left="1630" w:right="1695" w:hanging="360"/>
        <w:jc w:val="both"/>
        <w:rPr>
          <w:sz w:val="22"/>
        </w:rPr>
      </w:pPr>
      <w:r>
        <w:rPr>
          <w:sz w:val="22"/>
        </w:rPr>
        <w:t>De la meta de disminución de la tasa de incidencia criminal en 20 puntos porcentuales, ésta siguió disminuyendo en 2021 más de lo previsto, descendió a un 89.14. Siendo producto de las acertadas medidas adoptadas por el Gobierno para combatir el crimen y la violencia, como el incremento de los patrullajes, el mejoramiento de la investigación criminal, la desarticulación de estructuras criminales y los avances en la lucha contra </w:t>
      </w:r>
      <w:r>
        <w:rPr>
          <w:spacing w:val="-3"/>
          <w:sz w:val="22"/>
        </w:rPr>
        <w:t>el </w:t>
      </w:r>
      <w:r>
        <w:rPr>
          <w:sz w:val="22"/>
        </w:rPr>
        <w:t>narcotráfico,</w:t>
      </w:r>
      <w:r>
        <w:rPr>
          <w:spacing w:val="-8"/>
          <w:sz w:val="22"/>
        </w:rPr>
        <w:t> </w:t>
      </w:r>
      <w:r>
        <w:rPr>
          <w:sz w:val="22"/>
        </w:rPr>
        <w:t>aunque</w:t>
      </w:r>
      <w:r>
        <w:rPr>
          <w:spacing w:val="-7"/>
          <w:sz w:val="22"/>
        </w:rPr>
        <w:t> </w:t>
      </w:r>
      <w:r>
        <w:rPr>
          <w:sz w:val="22"/>
        </w:rPr>
        <w:t>no</w:t>
      </w:r>
      <w:r>
        <w:rPr>
          <w:spacing w:val="-9"/>
          <w:sz w:val="22"/>
        </w:rPr>
        <w:t> </w:t>
      </w:r>
      <w:r>
        <w:rPr>
          <w:sz w:val="22"/>
        </w:rPr>
        <w:t>se</w:t>
      </w:r>
      <w:r>
        <w:rPr>
          <w:spacing w:val="-7"/>
          <w:sz w:val="22"/>
        </w:rPr>
        <w:t> </w:t>
      </w:r>
      <w:r>
        <w:rPr>
          <w:sz w:val="22"/>
        </w:rPr>
        <w:t>puede</w:t>
      </w:r>
      <w:r>
        <w:rPr>
          <w:spacing w:val="-7"/>
          <w:sz w:val="22"/>
        </w:rPr>
        <w:t> </w:t>
      </w:r>
      <w:r>
        <w:rPr>
          <w:sz w:val="22"/>
        </w:rPr>
        <w:t>dejar</w:t>
      </w:r>
      <w:r>
        <w:rPr>
          <w:spacing w:val="-7"/>
          <w:sz w:val="22"/>
        </w:rPr>
        <w:t> </w:t>
      </w:r>
      <w:r>
        <w:rPr>
          <w:sz w:val="22"/>
        </w:rPr>
        <w:t>de</w:t>
      </w:r>
      <w:r>
        <w:rPr>
          <w:spacing w:val="-7"/>
          <w:sz w:val="22"/>
        </w:rPr>
        <w:t> </w:t>
      </w:r>
      <w:r>
        <w:rPr>
          <w:sz w:val="22"/>
        </w:rPr>
        <w:t>lado</w:t>
      </w:r>
      <w:r>
        <w:rPr>
          <w:spacing w:val="-7"/>
          <w:sz w:val="22"/>
        </w:rPr>
        <w:t> </w:t>
      </w:r>
      <w:r>
        <w:rPr>
          <w:sz w:val="22"/>
        </w:rPr>
        <w:t>la</w:t>
      </w:r>
      <w:r>
        <w:rPr>
          <w:spacing w:val="-8"/>
          <w:sz w:val="22"/>
        </w:rPr>
        <w:t> </w:t>
      </w:r>
      <w:r>
        <w:rPr>
          <w:sz w:val="22"/>
        </w:rPr>
        <w:t>reclusión</w:t>
      </w:r>
      <w:r>
        <w:rPr>
          <w:spacing w:val="-8"/>
          <w:sz w:val="22"/>
        </w:rPr>
        <w:t> </w:t>
      </w:r>
      <w:r>
        <w:rPr>
          <w:sz w:val="22"/>
        </w:rPr>
        <w:t>en</w:t>
      </w:r>
      <w:r>
        <w:rPr>
          <w:spacing w:val="-7"/>
          <w:sz w:val="22"/>
        </w:rPr>
        <w:t> </w:t>
      </w:r>
      <w:r>
        <w:rPr>
          <w:sz w:val="22"/>
        </w:rPr>
        <w:t>casa</w:t>
      </w:r>
      <w:r>
        <w:rPr>
          <w:spacing w:val="-6"/>
          <w:sz w:val="22"/>
        </w:rPr>
        <w:t> </w:t>
      </w:r>
      <w:r>
        <w:rPr>
          <w:sz w:val="22"/>
        </w:rPr>
        <w:t>y</w:t>
      </w:r>
      <w:r>
        <w:rPr>
          <w:spacing w:val="-8"/>
          <w:sz w:val="22"/>
        </w:rPr>
        <w:t> </w:t>
      </w:r>
      <w:r>
        <w:rPr>
          <w:sz w:val="22"/>
        </w:rPr>
        <w:t>menor</w:t>
      </w:r>
      <w:r>
        <w:rPr>
          <w:spacing w:val="-4"/>
          <w:sz w:val="22"/>
        </w:rPr>
        <w:t> </w:t>
      </w:r>
      <w:r>
        <w:rPr>
          <w:sz w:val="22"/>
        </w:rPr>
        <w:t>movilidad</w:t>
      </w:r>
      <w:r>
        <w:rPr>
          <w:spacing w:val="-6"/>
          <w:sz w:val="22"/>
        </w:rPr>
        <w:t> </w:t>
      </w:r>
      <w:r>
        <w:rPr>
          <w:spacing w:val="-3"/>
          <w:sz w:val="22"/>
        </w:rPr>
        <w:t>de </w:t>
      </w:r>
      <w:r>
        <w:rPr>
          <w:sz w:val="22"/>
        </w:rPr>
        <w:t>personas derivado de la pandemia</w:t>
      </w:r>
      <w:r>
        <w:rPr>
          <w:spacing w:val="-3"/>
          <w:sz w:val="22"/>
        </w:rPr>
        <w:t> </w:t>
      </w:r>
      <w:r>
        <w:rPr>
          <w:sz w:val="22"/>
        </w:rPr>
        <w:t>COVID-19.</w:t>
      </w:r>
    </w:p>
    <w:p>
      <w:pPr>
        <w:pStyle w:val="BodyText"/>
        <w:spacing w:before="1"/>
        <w:rPr>
          <w:sz w:val="21"/>
        </w:rPr>
      </w:pPr>
    </w:p>
    <w:p>
      <w:pPr>
        <w:pStyle w:val="Heading3"/>
        <w:numPr>
          <w:ilvl w:val="0"/>
          <w:numId w:val="30"/>
        </w:numPr>
        <w:tabs>
          <w:tab w:pos="1281" w:val="left" w:leader="none"/>
          <w:tab w:pos="1282" w:val="left" w:leader="none"/>
        </w:tabs>
        <w:spacing w:line="240" w:lineRule="auto" w:before="0" w:after="0"/>
        <w:ind w:left="1282" w:right="0" w:hanging="361"/>
        <w:jc w:val="left"/>
      </w:pPr>
      <w:r>
        <w:rPr/>
        <w:t>Metas con</w:t>
      </w:r>
      <w:r>
        <w:rPr>
          <w:spacing w:val="-2"/>
        </w:rPr>
        <w:t> </w:t>
      </w:r>
      <w:r>
        <w:rPr/>
        <w:t>avance</w:t>
      </w:r>
    </w:p>
    <w:p>
      <w:pPr>
        <w:pStyle w:val="BodyText"/>
        <w:spacing w:before="7"/>
        <w:rPr>
          <w:b/>
          <w:sz w:val="23"/>
        </w:rPr>
      </w:pPr>
    </w:p>
    <w:p>
      <w:pPr>
        <w:pStyle w:val="ListParagraph"/>
        <w:numPr>
          <w:ilvl w:val="1"/>
          <w:numId w:val="30"/>
        </w:numPr>
        <w:tabs>
          <w:tab w:pos="1630" w:val="left" w:leader="none"/>
        </w:tabs>
        <w:spacing w:line="276" w:lineRule="auto" w:before="1" w:after="0"/>
        <w:ind w:left="1630" w:right="1697" w:hanging="360"/>
        <w:jc w:val="both"/>
        <w:rPr>
          <w:sz w:val="22"/>
        </w:rPr>
      </w:pPr>
      <w:r>
        <w:rPr>
          <w:sz w:val="22"/>
        </w:rPr>
        <w:t>La tasa de homicidios, que idealmente deberá reducirse en 8.8 puntos porcentuales a 2021,</w:t>
      </w:r>
      <w:r>
        <w:rPr>
          <w:spacing w:val="-4"/>
          <w:sz w:val="22"/>
        </w:rPr>
        <w:t> </w:t>
      </w:r>
      <w:r>
        <w:rPr>
          <w:sz w:val="22"/>
        </w:rPr>
        <w:t>no</w:t>
      </w:r>
      <w:r>
        <w:rPr>
          <w:spacing w:val="-6"/>
          <w:sz w:val="22"/>
        </w:rPr>
        <w:t> </w:t>
      </w:r>
      <w:r>
        <w:rPr>
          <w:sz w:val="22"/>
        </w:rPr>
        <w:t>alcanzó</w:t>
      </w:r>
      <w:r>
        <w:rPr>
          <w:spacing w:val="-5"/>
          <w:sz w:val="22"/>
        </w:rPr>
        <w:t> </w:t>
      </w:r>
      <w:r>
        <w:rPr>
          <w:sz w:val="22"/>
        </w:rPr>
        <w:t>la</w:t>
      </w:r>
      <w:r>
        <w:rPr>
          <w:spacing w:val="-3"/>
          <w:sz w:val="22"/>
        </w:rPr>
        <w:t> </w:t>
      </w:r>
      <w:r>
        <w:rPr>
          <w:sz w:val="22"/>
        </w:rPr>
        <w:t>meta</w:t>
      </w:r>
      <w:r>
        <w:rPr>
          <w:spacing w:val="-3"/>
          <w:sz w:val="22"/>
        </w:rPr>
        <w:t> </w:t>
      </w:r>
      <w:r>
        <w:rPr>
          <w:sz w:val="22"/>
        </w:rPr>
        <w:t>de</w:t>
      </w:r>
      <w:r>
        <w:rPr>
          <w:spacing w:val="-5"/>
          <w:sz w:val="22"/>
        </w:rPr>
        <w:t> </w:t>
      </w:r>
      <w:r>
        <w:rPr>
          <w:sz w:val="22"/>
        </w:rPr>
        <w:t>disminuir</w:t>
      </w:r>
      <w:r>
        <w:rPr>
          <w:spacing w:val="-3"/>
          <w:sz w:val="22"/>
        </w:rPr>
        <w:t> </w:t>
      </w:r>
      <w:r>
        <w:rPr>
          <w:sz w:val="22"/>
        </w:rPr>
        <w:t>a</w:t>
      </w:r>
      <w:r>
        <w:rPr>
          <w:spacing w:val="-5"/>
          <w:sz w:val="22"/>
        </w:rPr>
        <w:t> </w:t>
      </w:r>
      <w:r>
        <w:rPr>
          <w:sz w:val="22"/>
        </w:rPr>
        <w:t>16.2</w:t>
      </w:r>
      <w:r>
        <w:rPr>
          <w:spacing w:val="-6"/>
          <w:sz w:val="22"/>
        </w:rPr>
        <w:t> </w:t>
      </w:r>
      <w:r>
        <w:rPr>
          <w:sz w:val="22"/>
        </w:rPr>
        <w:t>%,</w:t>
      </w:r>
      <w:r>
        <w:rPr>
          <w:spacing w:val="-6"/>
          <w:sz w:val="22"/>
        </w:rPr>
        <w:t> </w:t>
      </w:r>
      <w:r>
        <w:rPr>
          <w:sz w:val="22"/>
        </w:rPr>
        <w:t>pese</w:t>
      </w:r>
      <w:r>
        <w:rPr>
          <w:spacing w:val="-2"/>
          <w:sz w:val="22"/>
        </w:rPr>
        <w:t> </w:t>
      </w:r>
      <w:r>
        <w:rPr>
          <w:sz w:val="22"/>
        </w:rPr>
        <w:t>a</w:t>
      </w:r>
      <w:r>
        <w:rPr>
          <w:spacing w:val="-8"/>
          <w:sz w:val="22"/>
        </w:rPr>
        <w:t> </w:t>
      </w:r>
      <w:r>
        <w:rPr>
          <w:sz w:val="22"/>
        </w:rPr>
        <w:t>que</w:t>
      </w:r>
      <w:r>
        <w:rPr>
          <w:spacing w:val="-3"/>
          <w:sz w:val="22"/>
        </w:rPr>
        <w:t> </w:t>
      </w:r>
      <w:r>
        <w:rPr>
          <w:sz w:val="22"/>
        </w:rPr>
        <w:t>estuvo</w:t>
      </w:r>
      <w:r>
        <w:rPr>
          <w:spacing w:val="-3"/>
          <w:sz w:val="22"/>
        </w:rPr>
        <w:t> </w:t>
      </w:r>
      <w:r>
        <w:rPr>
          <w:sz w:val="22"/>
        </w:rPr>
        <w:t>muy</w:t>
      </w:r>
      <w:r>
        <w:rPr>
          <w:spacing w:val="-6"/>
          <w:sz w:val="22"/>
        </w:rPr>
        <w:t> </w:t>
      </w:r>
      <w:r>
        <w:rPr>
          <w:sz w:val="22"/>
        </w:rPr>
        <w:t>cerca</w:t>
      </w:r>
      <w:r>
        <w:rPr>
          <w:spacing w:val="-2"/>
          <w:sz w:val="22"/>
        </w:rPr>
        <w:t> </w:t>
      </w:r>
      <w:r>
        <w:rPr>
          <w:sz w:val="22"/>
        </w:rPr>
        <w:t>de</w:t>
      </w:r>
      <w:r>
        <w:rPr>
          <w:spacing w:val="-6"/>
          <w:sz w:val="22"/>
        </w:rPr>
        <w:t> </w:t>
      </w:r>
      <w:r>
        <w:rPr>
          <w:sz w:val="22"/>
        </w:rPr>
        <w:t>lograrlo (16.6%). El Ministerio de Gobernación ha advertido que la cifra actual del indicador </w:t>
      </w:r>
      <w:r>
        <w:rPr>
          <w:spacing w:val="-3"/>
          <w:sz w:val="22"/>
        </w:rPr>
        <w:t>es </w:t>
      </w:r>
      <w:r>
        <w:rPr>
          <w:sz w:val="22"/>
        </w:rPr>
        <w:t>muy baja, ambiciosa y alejada de la</w:t>
      </w:r>
      <w:r>
        <w:rPr>
          <w:spacing w:val="-13"/>
          <w:sz w:val="22"/>
        </w:rPr>
        <w:t> </w:t>
      </w:r>
      <w:r>
        <w:rPr>
          <w:sz w:val="22"/>
        </w:rPr>
        <w:t>realidad.</w:t>
      </w:r>
    </w:p>
    <w:p>
      <w:pPr>
        <w:pStyle w:val="ListParagraph"/>
        <w:numPr>
          <w:ilvl w:val="1"/>
          <w:numId w:val="30"/>
        </w:numPr>
        <w:tabs>
          <w:tab w:pos="1630" w:val="left" w:leader="none"/>
        </w:tabs>
        <w:spacing w:line="276" w:lineRule="auto" w:before="0" w:after="0"/>
        <w:ind w:left="1630" w:right="1696" w:hanging="360"/>
        <w:jc w:val="both"/>
        <w:rPr>
          <w:sz w:val="22"/>
        </w:rPr>
      </w:pPr>
      <w:r>
        <w:rPr>
          <w:sz w:val="22"/>
        </w:rPr>
        <w:t>Existe</w:t>
      </w:r>
      <w:r>
        <w:rPr>
          <w:spacing w:val="-4"/>
          <w:sz w:val="22"/>
        </w:rPr>
        <w:t> </w:t>
      </w:r>
      <w:r>
        <w:rPr>
          <w:sz w:val="22"/>
        </w:rPr>
        <w:t>una</w:t>
      </w:r>
      <w:r>
        <w:rPr>
          <w:spacing w:val="-3"/>
          <w:sz w:val="22"/>
        </w:rPr>
        <w:t> </w:t>
      </w:r>
      <w:r>
        <w:rPr>
          <w:sz w:val="22"/>
        </w:rPr>
        <w:t>mayor</w:t>
      </w:r>
      <w:r>
        <w:rPr>
          <w:spacing w:val="-1"/>
          <w:sz w:val="22"/>
        </w:rPr>
        <w:t> </w:t>
      </w:r>
      <w:r>
        <w:rPr>
          <w:sz w:val="22"/>
        </w:rPr>
        <w:t>dificultad</w:t>
      </w:r>
      <w:r>
        <w:rPr>
          <w:spacing w:val="-3"/>
          <w:sz w:val="22"/>
        </w:rPr>
        <w:t> </w:t>
      </w:r>
      <w:r>
        <w:rPr>
          <w:sz w:val="22"/>
        </w:rPr>
        <w:t>en</w:t>
      </w:r>
      <w:r>
        <w:rPr>
          <w:spacing w:val="-3"/>
          <w:sz w:val="22"/>
        </w:rPr>
        <w:t> </w:t>
      </w:r>
      <w:r>
        <w:rPr>
          <w:sz w:val="22"/>
        </w:rPr>
        <w:t>la</w:t>
      </w:r>
      <w:r>
        <w:rPr>
          <w:spacing w:val="-3"/>
          <w:sz w:val="22"/>
        </w:rPr>
        <w:t> </w:t>
      </w:r>
      <w:r>
        <w:rPr>
          <w:sz w:val="22"/>
        </w:rPr>
        <w:t>meta</w:t>
      </w:r>
      <w:r>
        <w:rPr>
          <w:spacing w:val="-3"/>
          <w:sz w:val="22"/>
        </w:rPr>
        <w:t> </w:t>
      </w:r>
      <w:r>
        <w:rPr>
          <w:sz w:val="22"/>
        </w:rPr>
        <w:t>sobre</w:t>
      </w:r>
      <w:r>
        <w:rPr>
          <w:spacing w:val="-3"/>
          <w:sz w:val="22"/>
        </w:rPr>
        <w:t> </w:t>
      </w:r>
      <w:r>
        <w:rPr>
          <w:sz w:val="22"/>
        </w:rPr>
        <w:t>la</w:t>
      </w:r>
      <w:r>
        <w:rPr>
          <w:spacing w:val="-3"/>
          <w:sz w:val="22"/>
        </w:rPr>
        <w:t> </w:t>
      </w:r>
      <w:r>
        <w:rPr>
          <w:sz w:val="22"/>
        </w:rPr>
        <w:t>construcción</w:t>
      </w:r>
      <w:r>
        <w:rPr>
          <w:spacing w:val="-4"/>
          <w:sz w:val="22"/>
        </w:rPr>
        <w:t> </w:t>
      </w:r>
      <w:r>
        <w:rPr>
          <w:sz w:val="22"/>
        </w:rPr>
        <w:t>de</w:t>
      </w:r>
      <w:r>
        <w:rPr>
          <w:spacing w:val="-1"/>
          <w:sz w:val="22"/>
        </w:rPr>
        <w:t> </w:t>
      </w:r>
      <w:r>
        <w:rPr>
          <w:sz w:val="22"/>
        </w:rPr>
        <w:t>4</w:t>
      </w:r>
      <w:r>
        <w:rPr>
          <w:spacing w:val="-3"/>
          <w:sz w:val="22"/>
        </w:rPr>
        <w:t> </w:t>
      </w:r>
      <w:r>
        <w:rPr>
          <w:sz w:val="22"/>
        </w:rPr>
        <w:t>presidios,</w:t>
      </w:r>
      <w:r>
        <w:rPr>
          <w:spacing w:val="-3"/>
          <w:sz w:val="22"/>
        </w:rPr>
        <w:t> </w:t>
      </w:r>
      <w:r>
        <w:rPr>
          <w:sz w:val="22"/>
        </w:rPr>
        <w:t>en</w:t>
      </w:r>
      <w:r>
        <w:rPr>
          <w:spacing w:val="-3"/>
          <w:sz w:val="22"/>
        </w:rPr>
        <w:t> </w:t>
      </w:r>
      <w:r>
        <w:rPr>
          <w:sz w:val="22"/>
        </w:rPr>
        <w:t>la</w:t>
      </w:r>
      <w:r>
        <w:rPr>
          <w:spacing w:val="-3"/>
          <w:sz w:val="22"/>
        </w:rPr>
        <w:t> </w:t>
      </w:r>
      <w:r>
        <w:rPr>
          <w:sz w:val="22"/>
        </w:rPr>
        <w:t>cual se ha dado desvío de fondos para cubrir las necesidades relacionadas a la pandemia del COVID-19, los recursos asignados a la edificación de reclusorios fueron retirados de su cometido original hacia otras acciones en el marco de</w:t>
      </w:r>
      <w:r>
        <w:rPr>
          <w:spacing w:val="-5"/>
          <w:sz w:val="22"/>
        </w:rPr>
        <w:t> </w:t>
      </w:r>
      <w:r>
        <w:rPr>
          <w:sz w:val="22"/>
        </w:rPr>
        <w:t>emergencia.</w:t>
      </w:r>
    </w:p>
    <w:p>
      <w:pPr>
        <w:pStyle w:val="ListParagraph"/>
        <w:numPr>
          <w:ilvl w:val="1"/>
          <w:numId w:val="30"/>
        </w:numPr>
        <w:tabs>
          <w:tab w:pos="1630" w:val="left" w:leader="none"/>
        </w:tabs>
        <w:spacing w:line="276" w:lineRule="auto" w:before="0" w:after="0"/>
        <w:ind w:left="1630" w:right="1699" w:hanging="360"/>
        <w:jc w:val="both"/>
        <w:rPr>
          <w:sz w:val="22"/>
        </w:rPr>
      </w:pPr>
      <w:r>
        <w:rPr>
          <w:sz w:val="22"/>
        </w:rPr>
        <w:t>En la meta de incremento de 5,000 agentes de la Policía Nacional Civil, se dieron dificultades derivadas del desvío de recursos, a lo que se suma el distanciamiento social provocado por la pandemia que interrumpió las actividades de formación de agentes</w:t>
      </w:r>
      <w:r>
        <w:rPr>
          <w:spacing w:val="-39"/>
          <w:sz w:val="22"/>
        </w:rPr>
        <w:t> </w:t>
      </w:r>
      <w:r>
        <w:rPr>
          <w:sz w:val="22"/>
        </w:rPr>
        <w:t>que debían ser presenciales, totalmente suspendidas en el 2020, año en que no se formó ningún agente.</w:t>
      </w:r>
    </w:p>
    <w:p>
      <w:pPr>
        <w:pStyle w:val="BodyText"/>
        <w:spacing w:before="3"/>
        <w:rPr>
          <w:sz w:val="21"/>
        </w:rPr>
      </w:pPr>
    </w:p>
    <w:p>
      <w:pPr>
        <w:spacing w:before="0"/>
        <w:ind w:left="1395" w:right="2530" w:firstLine="0"/>
        <w:jc w:val="center"/>
        <w:rPr>
          <w:b/>
          <w:sz w:val="20"/>
        </w:rPr>
      </w:pPr>
      <w:bookmarkStart w:name="_bookmark196" w:id="251"/>
      <w:bookmarkEnd w:id="251"/>
      <w:r>
        <w:rPr/>
      </w:r>
      <w:r>
        <w:rPr>
          <w:b/>
          <w:i/>
          <w:sz w:val="20"/>
        </w:rPr>
        <w:t>Tabla 14. </w:t>
      </w:r>
      <w:r>
        <w:rPr>
          <w:b/>
          <w:sz w:val="20"/>
        </w:rPr>
        <w:t>Avances de metas estratégicas</w:t>
      </w:r>
    </w:p>
    <w:p>
      <w:pPr>
        <w:pStyle w:val="Heading3"/>
        <w:spacing w:before="32" w:after="38"/>
        <w:ind w:left="1395" w:right="2532"/>
        <w:jc w:val="center"/>
      </w:pPr>
      <w:r>
        <w:rPr/>
        <w:t>Pilar 3: Gobernabilidad y Seguridad en Desarrollo</w:t>
      </w:r>
    </w:p>
    <w:tbl>
      <w:tblPr>
        <w:tblW w:w="0" w:type="auto"/>
        <w:jc w:val="left"/>
        <w:tblInd w:w="17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53"/>
        <w:gridCol w:w="3638"/>
        <w:gridCol w:w="1125"/>
        <w:gridCol w:w="1115"/>
        <w:gridCol w:w="1089"/>
      </w:tblGrid>
      <w:tr>
        <w:trPr>
          <w:trHeight w:val="393" w:hRule="atLeast"/>
        </w:trPr>
        <w:tc>
          <w:tcPr>
            <w:tcW w:w="653" w:type="dxa"/>
            <w:tcBorders>
              <w:bottom w:val="single" w:sz="12" w:space="0" w:color="000000"/>
              <w:right w:val="single" w:sz="12" w:space="0" w:color="000000"/>
            </w:tcBorders>
            <w:shd w:val="clear" w:color="auto" w:fill="1F4E78"/>
          </w:tcPr>
          <w:p>
            <w:pPr>
              <w:pStyle w:val="TableParagraph"/>
              <w:spacing w:before="115"/>
              <w:ind w:left="188" w:right="169"/>
              <w:jc w:val="center"/>
              <w:rPr>
                <w:b/>
                <w:sz w:val="15"/>
              </w:rPr>
            </w:pPr>
            <w:r>
              <w:rPr>
                <w:b/>
                <w:color w:val="FFFFFF"/>
                <w:w w:val="105"/>
                <w:sz w:val="15"/>
              </w:rPr>
              <w:t>No.</w:t>
            </w:r>
          </w:p>
        </w:tc>
        <w:tc>
          <w:tcPr>
            <w:tcW w:w="3638" w:type="dxa"/>
            <w:tcBorders>
              <w:left w:val="single" w:sz="12" w:space="0" w:color="000000"/>
              <w:bottom w:val="single" w:sz="12" w:space="0" w:color="000000"/>
              <w:right w:val="single" w:sz="12" w:space="0" w:color="000000"/>
            </w:tcBorders>
            <w:shd w:val="clear" w:color="auto" w:fill="1F4E78"/>
          </w:tcPr>
          <w:p>
            <w:pPr>
              <w:pStyle w:val="TableParagraph"/>
              <w:spacing w:before="12"/>
              <w:ind w:left="1017" w:right="1006"/>
              <w:jc w:val="center"/>
              <w:rPr>
                <w:b/>
                <w:sz w:val="15"/>
              </w:rPr>
            </w:pPr>
            <w:r>
              <w:rPr>
                <w:b/>
                <w:color w:val="FFFFFF"/>
                <w:w w:val="105"/>
                <w:sz w:val="15"/>
              </w:rPr>
              <w:t>Descripción de la Meta</w:t>
            </w:r>
          </w:p>
          <w:p>
            <w:pPr>
              <w:pStyle w:val="TableParagraph"/>
              <w:spacing w:line="146" w:lineRule="exact" w:before="43"/>
              <w:ind w:left="1017" w:right="1004"/>
              <w:jc w:val="center"/>
              <w:rPr>
                <w:b/>
                <w:sz w:val="15"/>
              </w:rPr>
            </w:pPr>
            <w:r>
              <w:rPr>
                <w:b/>
                <w:color w:val="FFFFFF"/>
                <w:w w:val="105"/>
                <w:sz w:val="15"/>
              </w:rPr>
              <w:t>al 2023</w:t>
            </w:r>
          </w:p>
        </w:tc>
        <w:tc>
          <w:tcPr>
            <w:tcW w:w="2240" w:type="dxa"/>
            <w:gridSpan w:val="2"/>
            <w:tcBorders>
              <w:top w:val="single" w:sz="6" w:space="0" w:color="D3D3D3"/>
              <w:left w:val="single" w:sz="12" w:space="0" w:color="000000"/>
              <w:bottom w:val="single" w:sz="12" w:space="0" w:color="000000"/>
              <w:right w:val="single" w:sz="12" w:space="0" w:color="000000"/>
            </w:tcBorders>
            <w:shd w:val="clear" w:color="auto" w:fill="1F4E78"/>
          </w:tcPr>
          <w:p>
            <w:pPr>
              <w:pStyle w:val="TableParagraph"/>
              <w:spacing w:before="12"/>
              <w:ind w:left="9"/>
              <w:jc w:val="center"/>
              <w:rPr>
                <w:b/>
                <w:sz w:val="15"/>
              </w:rPr>
            </w:pPr>
            <w:r>
              <w:rPr>
                <w:b/>
                <w:color w:val="FFFFFF"/>
                <w:w w:val="105"/>
                <w:sz w:val="15"/>
              </w:rPr>
              <w:t>2021</w:t>
            </w:r>
          </w:p>
          <w:p>
            <w:pPr>
              <w:pStyle w:val="TableParagraph"/>
              <w:tabs>
                <w:tab w:pos="1134" w:val="left" w:leader="none"/>
              </w:tabs>
              <w:spacing w:line="146" w:lineRule="exact" w:before="43"/>
              <w:ind w:left="168"/>
              <w:jc w:val="center"/>
              <w:rPr>
                <w:b/>
                <w:sz w:val="15"/>
              </w:rPr>
            </w:pPr>
            <w:r>
              <w:rPr>
                <w:b/>
                <w:color w:val="FFFFFF"/>
                <w:spacing w:val="5"/>
                <w:w w:val="105"/>
                <w:sz w:val="15"/>
              </w:rPr>
              <w:t>Meta</w:t>
              <w:tab/>
            </w:r>
            <w:r>
              <w:rPr>
                <w:b/>
                <w:color w:val="FFFFFF"/>
                <w:w w:val="105"/>
                <w:sz w:val="15"/>
              </w:rPr>
              <w:t>Resultado</w:t>
            </w:r>
          </w:p>
        </w:tc>
        <w:tc>
          <w:tcPr>
            <w:tcW w:w="1089" w:type="dxa"/>
            <w:tcBorders>
              <w:left w:val="single" w:sz="12" w:space="0" w:color="000000"/>
              <w:bottom w:val="single" w:sz="12" w:space="0" w:color="000000"/>
              <w:right w:val="nil"/>
            </w:tcBorders>
            <w:shd w:val="clear" w:color="auto" w:fill="1F4E78"/>
          </w:tcPr>
          <w:p>
            <w:pPr>
              <w:pStyle w:val="TableParagraph"/>
              <w:spacing w:before="115"/>
              <w:ind w:left="13" w:right="22"/>
              <w:jc w:val="center"/>
              <w:rPr>
                <w:b/>
                <w:sz w:val="15"/>
              </w:rPr>
            </w:pPr>
            <w:r>
              <w:rPr>
                <w:b/>
                <w:color w:val="FFFFFF"/>
                <w:w w:val="105"/>
                <w:sz w:val="15"/>
              </w:rPr>
              <w:t>Brecha al 2023</w:t>
            </w:r>
          </w:p>
        </w:tc>
      </w:tr>
      <w:tr>
        <w:trPr>
          <w:trHeight w:val="393" w:hRule="atLeast"/>
        </w:trPr>
        <w:tc>
          <w:tcPr>
            <w:tcW w:w="653" w:type="dxa"/>
            <w:tcBorders>
              <w:top w:val="single" w:sz="12" w:space="0" w:color="000000"/>
              <w:right w:val="single" w:sz="12" w:space="0" w:color="000000"/>
            </w:tcBorders>
            <w:shd w:val="clear" w:color="auto" w:fill="F1F1F1"/>
          </w:tcPr>
          <w:p>
            <w:pPr>
              <w:pStyle w:val="TableParagraph"/>
              <w:spacing w:before="102"/>
              <w:ind w:left="7"/>
              <w:jc w:val="center"/>
              <w:rPr>
                <w:sz w:val="15"/>
              </w:rPr>
            </w:pPr>
            <w:r>
              <w:rPr>
                <w:w w:val="102"/>
                <w:sz w:val="15"/>
              </w:rPr>
              <w:t>1</w:t>
            </w:r>
          </w:p>
        </w:tc>
        <w:tc>
          <w:tcPr>
            <w:tcW w:w="3638" w:type="dxa"/>
            <w:tcBorders>
              <w:top w:val="single" w:sz="12" w:space="0" w:color="000000"/>
              <w:left w:val="single" w:sz="12" w:space="0" w:color="000000"/>
              <w:right w:val="single" w:sz="12" w:space="0" w:color="000000"/>
            </w:tcBorders>
            <w:shd w:val="clear" w:color="auto" w:fill="F1F1F1"/>
          </w:tcPr>
          <w:p>
            <w:pPr>
              <w:pStyle w:val="TableParagraph"/>
              <w:spacing w:before="9"/>
              <w:ind w:left="20"/>
              <w:rPr>
                <w:sz w:val="15"/>
              </w:rPr>
            </w:pPr>
            <w:r>
              <w:rPr>
                <w:spacing w:val="2"/>
                <w:w w:val="105"/>
                <w:sz w:val="15"/>
              </w:rPr>
              <w:t>Para </w:t>
            </w:r>
            <w:r>
              <w:rPr>
                <w:w w:val="105"/>
                <w:sz w:val="15"/>
              </w:rPr>
              <w:t>el año </w:t>
            </w:r>
            <w:r>
              <w:rPr>
                <w:spacing w:val="-5"/>
                <w:w w:val="105"/>
                <w:sz w:val="15"/>
              </w:rPr>
              <w:t>2023 </w:t>
            </w:r>
            <w:r>
              <w:rPr>
                <w:w w:val="105"/>
                <w:sz w:val="15"/>
              </w:rPr>
              <w:t>se </w:t>
            </w:r>
            <w:r>
              <w:rPr>
                <w:spacing w:val="-3"/>
                <w:w w:val="105"/>
                <w:sz w:val="15"/>
              </w:rPr>
              <w:t>ha </w:t>
            </w:r>
            <w:r>
              <w:rPr>
                <w:spacing w:val="-7"/>
                <w:w w:val="105"/>
                <w:sz w:val="15"/>
              </w:rPr>
              <w:t>disminuido </w:t>
            </w:r>
            <w:r>
              <w:rPr>
                <w:spacing w:val="-6"/>
                <w:w w:val="105"/>
                <w:sz w:val="15"/>
              </w:rPr>
              <w:t>la </w:t>
            </w:r>
            <w:r>
              <w:rPr>
                <w:spacing w:val="-5"/>
                <w:w w:val="105"/>
                <w:sz w:val="15"/>
              </w:rPr>
              <w:t>incidencia criminal </w:t>
            </w:r>
            <w:r>
              <w:rPr>
                <w:w w:val="105"/>
                <w:sz w:val="15"/>
              </w:rPr>
              <w:t>en</w:t>
            </w:r>
          </w:p>
          <w:p>
            <w:pPr>
              <w:pStyle w:val="TableParagraph"/>
              <w:spacing w:line="159" w:lineRule="exact" w:before="33"/>
              <w:ind w:left="20"/>
              <w:rPr>
                <w:sz w:val="15"/>
              </w:rPr>
            </w:pPr>
            <w:r>
              <w:rPr>
                <w:w w:val="105"/>
                <w:sz w:val="15"/>
              </w:rPr>
              <w:t>20 puntos de tasa.</w:t>
            </w:r>
          </w:p>
        </w:tc>
        <w:tc>
          <w:tcPr>
            <w:tcW w:w="1125" w:type="dxa"/>
            <w:tcBorders>
              <w:top w:val="single" w:sz="12" w:space="0" w:color="000000"/>
              <w:left w:val="single" w:sz="12" w:space="0" w:color="000000"/>
            </w:tcBorders>
          </w:tcPr>
          <w:p>
            <w:pPr>
              <w:pStyle w:val="TableParagraph"/>
              <w:spacing w:before="112"/>
              <w:ind w:left="309" w:right="308"/>
              <w:jc w:val="center"/>
              <w:rPr>
                <w:sz w:val="15"/>
              </w:rPr>
            </w:pPr>
            <w:r>
              <w:rPr>
                <w:w w:val="105"/>
                <w:sz w:val="15"/>
              </w:rPr>
              <w:t>90.6</w:t>
            </w:r>
          </w:p>
        </w:tc>
        <w:tc>
          <w:tcPr>
            <w:tcW w:w="1115" w:type="dxa"/>
            <w:tcBorders>
              <w:top w:val="single" w:sz="12" w:space="0" w:color="000000"/>
              <w:right w:val="single" w:sz="12" w:space="0" w:color="000000"/>
            </w:tcBorders>
            <w:shd w:val="clear" w:color="auto" w:fill="92D050"/>
          </w:tcPr>
          <w:p>
            <w:pPr>
              <w:pStyle w:val="TableParagraph"/>
              <w:spacing w:before="112"/>
              <w:ind w:left="286" w:right="258"/>
              <w:jc w:val="center"/>
              <w:rPr>
                <w:sz w:val="15"/>
              </w:rPr>
            </w:pPr>
            <w:r>
              <w:rPr>
                <w:w w:val="105"/>
                <w:sz w:val="15"/>
              </w:rPr>
              <w:t>89.14</w:t>
            </w:r>
          </w:p>
        </w:tc>
        <w:tc>
          <w:tcPr>
            <w:tcW w:w="1089" w:type="dxa"/>
            <w:tcBorders>
              <w:top w:val="single" w:sz="12" w:space="0" w:color="000000"/>
              <w:left w:val="single" w:sz="12" w:space="0" w:color="000000"/>
              <w:bottom w:val="nil"/>
              <w:right w:val="nil"/>
            </w:tcBorders>
          </w:tcPr>
          <w:p>
            <w:pPr>
              <w:pStyle w:val="TableParagraph"/>
              <w:spacing w:before="112"/>
              <w:ind w:left="13" w:right="13"/>
              <w:jc w:val="center"/>
              <w:rPr>
                <w:sz w:val="15"/>
              </w:rPr>
            </w:pPr>
            <w:r>
              <w:rPr>
                <w:color w:val="C00000"/>
                <w:w w:val="105"/>
                <w:sz w:val="15"/>
              </w:rPr>
              <w:t>-8.51</w:t>
            </w:r>
          </w:p>
        </w:tc>
      </w:tr>
      <w:tr>
        <w:trPr>
          <w:trHeight w:val="396" w:hRule="atLeast"/>
        </w:trPr>
        <w:tc>
          <w:tcPr>
            <w:tcW w:w="653" w:type="dxa"/>
            <w:tcBorders>
              <w:right w:val="single" w:sz="12" w:space="0" w:color="000000"/>
            </w:tcBorders>
            <w:shd w:val="clear" w:color="auto" w:fill="F1F1F1"/>
          </w:tcPr>
          <w:p>
            <w:pPr>
              <w:pStyle w:val="TableParagraph"/>
              <w:spacing w:before="104"/>
              <w:ind w:left="7"/>
              <w:jc w:val="center"/>
              <w:rPr>
                <w:sz w:val="15"/>
              </w:rPr>
            </w:pPr>
            <w:r>
              <w:rPr>
                <w:w w:val="102"/>
                <w:sz w:val="15"/>
              </w:rPr>
              <w:t>2</w:t>
            </w:r>
          </w:p>
        </w:tc>
        <w:tc>
          <w:tcPr>
            <w:tcW w:w="3638" w:type="dxa"/>
            <w:tcBorders>
              <w:left w:val="single" w:sz="12" w:space="0" w:color="000000"/>
              <w:right w:val="single" w:sz="12" w:space="0" w:color="000000"/>
            </w:tcBorders>
            <w:shd w:val="clear" w:color="auto" w:fill="F1F1F1"/>
          </w:tcPr>
          <w:p>
            <w:pPr>
              <w:pStyle w:val="TableParagraph"/>
              <w:spacing w:before="12"/>
              <w:ind w:left="20"/>
              <w:rPr>
                <w:sz w:val="15"/>
              </w:rPr>
            </w:pPr>
            <w:r>
              <w:rPr>
                <w:w w:val="105"/>
                <w:sz w:val="15"/>
              </w:rPr>
              <w:t>Para el año 2023 se ha reducido la tasa de homicidios en</w:t>
            </w:r>
          </w:p>
          <w:p>
            <w:pPr>
              <w:pStyle w:val="TableParagraph"/>
              <w:spacing w:line="159" w:lineRule="exact" w:before="33"/>
              <w:ind w:left="20"/>
              <w:rPr>
                <w:sz w:val="15"/>
              </w:rPr>
            </w:pPr>
            <w:r>
              <w:rPr>
                <w:w w:val="105"/>
                <w:sz w:val="15"/>
              </w:rPr>
              <w:t>8.8 de tasa</w:t>
            </w:r>
          </w:p>
        </w:tc>
        <w:tc>
          <w:tcPr>
            <w:tcW w:w="1125" w:type="dxa"/>
            <w:tcBorders>
              <w:left w:val="single" w:sz="12" w:space="0" w:color="000000"/>
            </w:tcBorders>
          </w:tcPr>
          <w:p>
            <w:pPr>
              <w:pStyle w:val="TableParagraph"/>
              <w:spacing w:before="114"/>
              <w:ind w:left="309" w:right="308"/>
              <w:jc w:val="center"/>
              <w:rPr>
                <w:sz w:val="15"/>
              </w:rPr>
            </w:pPr>
            <w:r>
              <w:rPr>
                <w:w w:val="105"/>
                <w:sz w:val="15"/>
              </w:rPr>
              <w:t>16.2</w:t>
            </w:r>
          </w:p>
        </w:tc>
        <w:tc>
          <w:tcPr>
            <w:tcW w:w="1115" w:type="dxa"/>
            <w:tcBorders>
              <w:right w:val="single" w:sz="12" w:space="0" w:color="000000"/>
            </w:tcBorders>
            <w:shd w:val="clear" w:color="auto" w:fill="FFC000"/>
          </w:tcPr>
          <w:p>
            <w:pPr>
              <w:pStyle w:val="TableParagraph"/>
              <w:spacing w:before="114"/>
              <w:ind w:left="286" w:right="269"/>
              <w:jc w:val="center"/>
              <w:rPr>
                <w:sz w:val="15"/>
              </w:rPr>
            </w:pPr>
            <w:r>
              <w:rPr>
                <w:w w:val="105"/>
                <w:sz w:val="15"/>
              </w:rPr>
              <w:t>16.6</w:t>
            </w:r>
          </w:p>
        </w:tc>
        <w:tc>
          <w:tcPr>
            <w:tcW w:w="1089" w:type="dxa"/>
            <w:tcBorders>
              <w:top w:val="nil"/>
              <w:left w:val="single" w:sz="12" w:space="0" w:color="000000"/>
              <w:bottom w:val="nil"/>
              <w:right w:val="nil"/>
            </w:tcBorders>
          </w:tcPr>
          <w:p>
            <w:pPr>
              <w:pStyle w:val="TableParagraph"/>
              <w:spacing w:before="114"/>
              <w:ind w:left="13" w:right="20"/>
              <w:jc w:val="center"/>
              <w:rPr>
                <w:sz w:val="15"/>
              </w:rPr>
            </w:pPr>
            <w:r>
              <w:rPr>
                <w:color w:val="C00000"/>
                <w:w w:val="105"/>
                <w:sz w:val="15"/>
              </w:rPr>
              <w:t>-4.8</w:t>
            </w:r>
          </w:p>
        </w:tc>
      </w:tr>
      <w:tr>
        <w:trPr>
          <w:trHeight w:val="396" w:hRule="atLeast"/>
        </w:trPr>
        <w:tc>
          <w:tcPr>
            <w:tcW w:w="653" w:type="dxa"/>
            <w:tcBorders>
              <w:right w:val="single" w:sz="12" w:space="0" w:color="000000"/>
            </w:tcBorders>
            <w:shd w:val="clear" w:color="auto" w:fill="F1F1F1"/>
          </w:tcPr>
          <w:p>
            <w:pPr>
              <w:pStyle w:val="TableParagraph"/>
              <w:spacing w:before="104"/>
              <w:ind w:left="7"/>
              <w:jc w:val="center"/>
              <w:rPr>
                <w:sz w:val="15"/>
              </w:rPr>
            </w:pPr>
            <w:r>
              <w:rPr>
                <w:w w:val="102"/>
                <w:sz w:val="15"/>
              </w:rPr>
              <w:t>3</w:t>
            </w:r>
          </w:p>
        </w:tc>
        <w:tc>
          <w:tcPr>
            <w:tcW w:w="3638" w:type="dxa"/>
            <w:tcBorders>
              <w:left w:val="single" w:sz="12" w:space="0" w:color="000000"/>
              <w:right w:val="single" w:sz="12" w:space="0" w:color="000000"/>
            </w:tcBorders>
            <w:shd w:val="clear" w:color="auto" w:fill="F1F1F1"/>
          </w:tcPr>
          <w:p>
            <w:pPr>
              <w:pStyle w:val="TableParagraph"/>
              <w:spacing w:before="11"/>
              <w:ind w:left="20"/>
              <w:rPr>
                <w:sz w:val="15"/>
              </w:rPr>
            </w:pPr>
            <w:r>
              <w:rPr>
                <w:w w:val="105"/>
                <w:sz w:val="15"/>
              </w:rPr>
              <w:t>Para el año 2023 se ha incrementado en 4 el número de</w:t>
            </w:r>
          </w:p>
          <w:p>
            <w:pPr>
              <w:pStyle w:val="TableParagraph"/>
              <w:spacing w:line="159" w:lineRule="exact" w:before="34"/>
              <w:ind w:left="20"/>
              <w:rPr>
                <w:sz w:val="15"/>
              </w:rPr>
            </w:pPr>
            <w:r>
              <w:rPr>
                <w:w w:val="105"/>
                <w:sz w:val="15"/>
              </w:rPr>
              <w:t>centros penitenciarios</w:t>
            </w:r>
          </w:p>
        </w:tc>
        <w:tc>
          <w:tcPr>
            <w:tcW w:w="1125" w:type="dxa"/>
            <w:tcBorders>
              <w:left w:val="single" w:sz="12" w:space="0" w:color="000000"/>
            </w:tcBorders>
          </w:tcPr>
          <w:p>
            <w:pPr>
              <w:pStyle w:val="TableParagraph"/>
              <w:spacing w:before="114"/>
              <w:ind w:left="315" w:right="308"/>
              <w:jc w:val="center"/>
              <w:rPr>
                <w:sz w:val="15"/>
              </w:rPr>
            </w:pPr>
            <w:r>
              <w:rPr>
                <w:w w:val="105"/>
                <w:sz w:val="15"/>
              </w:rPr>
              <w:t>24</w:t>
            </w:r>
          </w:p>
        </w:tc>
        <w:tc>
          <w:tcPr>
            <w:tcW w:w="1115" w:type="dxa"/>
            <w:tcBorders>
              <w:right w:val="single" w:sz="12" w:space="0" w:color="000000"/>
            </w:tcBorders>
            <w:shd w:val="clear" w:color="auto" w:fill="FFC000"/>
          </w:tcPr>
          <w:p>
            <w:pPr>
              <w:pStyle w:val="TableParagraph"/>
              <w:spacing w:before="114"/>
              <w:ind w:left="286" w:right="264"/>
              <w:jc w:val="center"/>
              <w:rPr>
                <w:sz w:val="15"/>
              </w:rPr>
            </w:pPr>
            <w:r>
              <w:rPr>
                <w:w w:val="105"/>
                <w:sz w:val="15"/>
              </w:rPr>
              <w:t>23</w:t>
            </w:r>
          </w:p>
        </w:tc>
        <w:tc>
          <w:tcPr>
            <w:tcW w:w="1089" w:type="dxa"/>
            <w:tcBorders>
              <w:top w:val="nil"/>
              <w:left w:val="single" w:sz="12" w:space="0" w:color="000000"/>
              <w:bottom w:val="nil"/>
              <w:right w:val="nil"/>
            </w:tcBorders>
          </w:tcPr>
          <w:p>
            <w:pPr>
              <w:pStyle w:val="TableParagraph"/>
              <w:spacing w:before="114"/>
              <w:ind w:left="13" w:right="13"/>
              <w:jc w:val="center"/>
              <w:rPr>
                <w:sz w:val="15"/>
              </w:rPr>
            </w:pPr>
            <w:r>
              <w:rPr>
                <w:color w:val="C00000"/>
                <w:w w:val="105"/>
                <w:sz w:val="15"/>
              </w:rPr>
              <w:t>-3</w:t>
            </w:r>
          </w:p>
        </w:tc>
      </w:tr>
      <w:tr>
        <w:trPr>
          <w:trHeight w:val="601" w:hRule="atLeast"/>
        </w:trPr>
        <w:tc>
          <w:tcPr>
            <w:tcW w:w="653" w:type="dxa"/>
            <w:tcBorders>
              <w:right w:val="single" w:sz="12" w:space="0" w:color="000000"/>
            </w:tcBorders>
            <w:shd w:val="clear" w:color="auto" w:fill="F1F1F1"/>
          </w:tcPr>
          <w:p>
            <w:pPr>
              <w:pStyle w:val="TableParagraph"/>
              <w:rPr>
                <w:b/>
                <w:sz w:val="18"/>
              </w:rPr>
            </w:pPr>
          </w:p>
          <w:p>
            <w:pPr>
              <w:pStyle w:val="TableParagraph"/>
              <w:ind w:left="7"/>
              <w:jc w:val="center"/>
              <w:rPr>
                <w:sz w:val="15"/>
              </w:rPr>
            </w:pPr>
            <w:r>
              <w:rPr>
                <w:w w:val="102"/>
                <w:sz w:val="15"/>
              </w:rPr>
              <w:t>4</w:t>
            </w:r>
          </w:p>
        </w:tc>
        <w:tc>
          <w:tcPr>
            <w:tcW w:w="3638" w:type="dxa"/>
            <w:tcBorders>
              <w:left w:val="single" w:sz="12" w:space="0" w:color="000000"/>
              <w:right w:val="single" w:sz="12" w:space="0" w:color="000000"/>
            </w:tcBorders>
            <w:shd w:val="clear" w:color="auto" w:fill="F1F1F1"/>
          </w:tcPr>
          <w:p>
            <w:pPr>
              <w:pStyle w:val="TableParagraph"/>
              <w:spacing w:before="11"/>
              <w:ind w:left="20"/>
              <w:rPr>
                <w:sz w:val="15"/>
              </w:rPr>
            </w:pPr>
            <w:r>
              <w:rPr>
                <w:w w:val="105"/>
                <w:sz w:val="15"/>
              </w:rPr>
              <w:t>Para el año 2023 se han conformado 340 organizaciones</w:t>
            </w:r>
          </w:p>
          <w:p>
            <w:pPr>
              <w:pStyle w:val="TableParagraph"/>
              <w:spacing w:line="200" w:lineRule="atLeast" w:before="6"/>
              <w:ind w:left="20" w:right="667"/>
              <w:rPr>
                <w:sz w:val="15"/>
              </w:rPr>
            </w:pPr>
            <w:r>
              <w:rPr>
                <w:spacing w:val="-4"/>
                <w:w w:val="105"/>
                <w:sz w:val="15"/>
              </w:rPr>
              <w:t>comunitarias, </w:t>
            </w:r>
            <w:r>
              <w:rPr>
                <w:spacing w:val="-5"/>
                <w:w w:val="105"/>
                <w:sz w:val="15"/>
              </w:rPr>
              <w:t>municipales </w:t>
            </w:r>
            <w:r>
              <w:rPr>
                <w:w w:val="105"/>
                <w:sz w:val="15"/>
              </w:rPr>
              <w:t>y departamentales </w:t>
            </w:r>
            <w:r>
              <w:rPr>
                <w:spacing w:val="-3"/>
                <w:w w:val="105"/>
                <w:sz w:val="15"/>
              </w:rPr>
              <w:t>de prevención de </w:t>
            </w:r>
            <w:r>
              <w:rPr>
                <w:spacing w:val="-6"/>
                <w:w w:val="105"/>
                <w:sz w:val="15"/>
              </w:rPr>
              <w:t>la violencia </w:t>
            </w:r>
            <w:r>
              <w:rPr>
                <w:w w:val="105"/>
                <w:sz w:val="15"/>
              </w:rPr>
              <w:t>y el </w:t>
            </w:r>
            <w:r>
              <w:rPr>
                <w:spacing w:val="-5"/>
                <w:w w:val="105"/>
                <w:sz w:val="15"/>
              </w:rPr>
              <w:t>delito</w:t>
            </w:r>
          </w:p>
        </w:tc>
        <w:tc>
          <w:tcPr>
            <w:tcW w:w="1125" w:type="dxa"/>
            <w:tcBorders>
              <w:left w:val="single" w:sz="12" w:space="0" w:color="000000"/>
            </w:tcBorders>
          </w:tcPr>
          <w:p>
            <w:pPr>
              <w:pStyle w:val="TableParagraph"/>
              <w:spacing w:before="10"/>
              <w:rPr>
                <w:b/>
                <w:sz w:val="18"/>
              </w:rPr>
            </w:pPr>
          </w:p>
          <w:p>
            <w:pPr>
              <w:pStyle w:val="TableParagraph"/>
              <w:ind w:left="308" w:right="308"/>
              <w:jc w:val="center"/>
              <w:rPr>
                <w:sz w:val="15"/>
              </w:rPr>
            </w:pPr>
            <w:r>
              <w:rPr>
                <w:w w:val="105"/>
                <w:sz w:val="15"/>
              </w:rPr>
              <w:t>170</w:t>
            </w:r>
          </w:p>
        </w:tc>
        <w:tc>
          <w:tcPr>
            <w:tcW w:w="1115" w:type="dxa"/>
            <w:tcBorders>
              <w:right w:val="single" w:sz="12" w:space="0" w:color="000000"/>
            </w:tcBorders>
            <w:shd w:val="clear" w:color="auto" w:fill="92D050"/>
          </w:tcPr>
          <w:p>
            <w:pPr>
              <w:pStyle w:val="TableParagraph"/>
              <w:spacing w:before="10"/>
              <w:rPr>
                <w:b/>
                <w:sz w:val="18"/>
              </w:rPr>
            </w:pPr>
          </w:p>
          <w:p>
            <w:pPr>
              <w:pStyle w:val="TableParagraph"/>
              <w:ind w:left="286" w:right="274"/>
              <w:jc w:val="center"/>
              <w:rPr>
                <w:sz w:val="15"/>
              </w:rPr>
            </w:pPr>
            <w:r>
              <w:rPr>
                <w:w w:val="105"/>
                <w:sz w:val="15"/>
              </w:rPr>
              <w:t>316</w:t>
            </w:r>
          </w:p>
        </w:tc>
        <w:tc>
          <w:tcPr>
            <w:tcW w:w="1089" w:type="dxa"/>
            <w:tcBorders>
              <w:top w:val="nil"/>
              <w:left w:val="single" w:sz="12" w:space="0" w:color="000000"/>
              <w:bottom w:val="nil"/>
              <w:right w:val="nil"/>
            </w:tcBorders>
          </w:tcPr>
          <w:p>
            <w:pPr>
              <w:pStyle w:val="TableParagraph"/>
              <w:spacing w:before="10"/>
              <w:rPr>
                <w:b/>
                <w:sz w:val="18"/>
              </w:rPr>
            </w:pPr>
          </w:p>
          <w:p>
            <w:pPr>
              <w:pStyle w:val="TableParagraph"/>
              <w:ind w:left="13" w:right="20"/>
              <w:jc w:val="center"/>
              <w:rPr>
                <w:sz w:val="15"/>
              </w:rPr>
            </w:pPr>
            <w:r>
              <w:rPr>
                <w:color w:val="C00000"/>
                <w:w w:val="105"/>
                <w:sz w:val="15"/>
              </w:rPr>
              <w:t>-24</w:t>
            </w:r>
          </w:p>
        </w:tc>
      </w:tr>
      <w:tr>
        <w:trPr>
          <w:trHeight w:val="396" w:hRule="atLeast"/>
        </w:trPr>
        <w:tc>
          <w:tcPr>
            <w:tcW w:w="653" w:type="dxa"/>
            <w:tcBorders>
              <w:right w:val="single" w:sz="12" w:space="0" w:color="000000"/>
            </w:tcBorders>
            <w:shd w:val="clear" w:color="auto" w:fill="F1F1F1"/>
          </w:tcPr>
          <w:p>
            <w:pPr>
              <w:pStyle w:val="TableParagraph"/>
              <w:spacing w:before="104"/>
              <w:ind w:left="7"/>
              <w:jc w:val="center"/>
              <w:rPr>
                <w:sz w:val="15"/>
              </w:rPr>
            </w:pPr>
            <w:r>
              <w:rPr>
                <w:w w:val="102"/>
                <w:sz w:val="15"/>
              </w:rPr>
              <w:t>5</w:t>
            </w:r>
          </w:p>
        </w:tc>
        <w:tc>
          <w:tcPr>
            <w:tcW w:w="3638" w:type="dxa"/>
            <w:tcBorders>
              <w:left w:val="single" w:sz="12" w:space="0" w:color="000000"/>
              <w:right w:val="single" w:sz="12" w:space="0" w:color="000000"/>
            </w:tcBorders>
            <w:shd w:val="clear" w:color="auto" w:fill="F1F1F1"/>
          </w:tcPr>
          <w:p>
            <w:pPr>
              <w:pStyle w:val="TableParagraph"/>
              <w:spacing w:before="11"/>
              <w:ind w:left="20"/>
              <w:rPr>
                <w:sz w:val="15"/>
              </w:rPr>
            </w:pPr>
            <w:r>
              <w:rPr>
                <w:spacing w:val="2"/>
                <w:w w:val="105"/>
                <w:sz w:val="15"/>
              </w:rPr>
              <w:t>Para </w:t>
            </w:r>
            <w:r>
              <w:rPr>
                <w:w w:val="105"/>
                <w:sz w:val="15"/>
              </w:rPr>
              <w:t>el año </w:t>
            </w:r>
            <w:r>
              <w:rPr>
                <w:spacing w:val="-5"/>
                <w:w w:val="105"/>
                <w:sz w:val="15"/>
              </w:rPr>
              <w:t>2023 </w:t>
            </w:r>
            <w:r>
              <w:rPr>
                <w:w w:val="105"/>
                <w:sz w:val="15"/>
              </w:rPr>
              <w:t>se cuenta con </w:t>
            </w:r>
            <w:r>
              <w:rPr>
                <w:spacing w:val="-3"/>
                <w:w w:val="105"/>
                <w:sz w:val="15"/>
              </w:rPr>
              <w:t>un sistema de </w:t>
            </w:r>
            <w:r>
              <w:rPr>
                <w:spacing w:val="-5"/>
                <w:w w:val="105"/>
                <w:sz w:val="15"/>
              </w:rPr>
              <w:t>inteligencia</w:t>
            </w:r>
          </w:p>
          <w:p>
            <w:pPr>
              <w:pStyle w:val="TableParagraph"/>
              <w:spacing w:line="159" w:lineRule="exact" w:before="33"/>
              <w:ind w:left="20"/>
              <w:rPr>
                <w:sz w:val="15"/>
              </w:rPr>
            </w:pPr>
            <w:r>
              <w:rPr>
                <w:w w:val="105"/>
                <w:sz w:val="15"/>
              </w:rPr>
              <w:t>reformado</w:t>
            </w:r>
          </w:p>
        </w:tc>
        <w:tc>
          <w:tcPr>
            <w:tcW w:w="1125" w:type="dxa"/>
            <w:tcBorders>
              <w:left w:val="single" w:sz="12" w:space="0" w:color="000000"/>
            </w:tcBorders>
          </w:tcPr>
          <w:p>
            <w:pPr>
              <w:pStyle w:val="TableParagraph"/>
              <w:spacing w:before="114"/>
              <w:ind w:left="297" w:right="308"/>
              <w:jc w:val="center"/>
              <w:rPr>
                <w:sz w:val="15"/>
              </w:rPr>
            </w:pPr>
            <w:r>
              <w:rPr>
                <w:w w:val="105"/>
                <w:sz w:val="15"/>
              </w:rPr>
              <w:t>50%</w:t>
            </w:r>
          </w:p>
        </w:tc>
        <w:tc>
          <w:tcPr>
            <w:tcW w:w="1115" w:type="dxa"/>
            <w:tcBorders>
              <w:right w:val="single" w:sz="12" w:space="0" w:color="000000"/>
            </w:tcBorders>
            <w:shd w:val="clear" w:color="auto" w:fill="92D050"/>
          </w:tcPr>
          <w:p>
            <w:pPr>
              <w:pStyle w:val="TableParagraph"/>
              <w:spacing w:before="114"/>
              <w:ind w:left="286" w:right="280"/>
              <w:jc w:val="center"/>
              <w:rPr>
                <w:sz w:val="15"/>
              </w:rPr>
            </w:pPr>
            <w:r>
              <w:rPr>
                <w:w w:val="105"/>
                <w:sz w:val="15"/>
              </w:rPr>
              <w:t>84.85%</w:t>
            </w:r>
          </w:p>
        </w:tc>
        <w:tc>
          <w:tcPr>
            <w:tcW w:w="1089" w:type="dxa"/>
            <w:tcBorders>
              <w:top w:val="nil"/>
              <w:left w:val="single" w:sz="12" w:space="0" w:color="000000"/>
              <w:bottom w:val="nil"/>
              <w:right w:val="nil"/>
            </w:tcBorders>
          </w:tcPr>
          <w:p>
            <w:pPr>
              <w:pStyle w:val="TableParagraph"/>
              <w:spacing w:before="114"/>
              <w:ind w:left="13" w:right="20"/>
              <w:jc w:val="center"/>
              <w:rPr>
                <w:sz w:val="15"/>
              </w:rPr>
            </w:pPr>
            <w:r>
              <w:rPr>
                <w:color w:val="C00000"/>
                <w:w w:val="105"/>
                <w:sz w:val="15"/>
              </w:rPr>
              <w:t>-15.15</w:t>
            </w:r>
          </w:p>
        </w:tc>
      </w:tr>
      <w:tr>
        <w:trPr>
          <w:trHeight w:val="393" w:hRule="atLeast"/>
        </w:trPr>
        <w:tc>
          <w:tcPr>
            <w:tcW w:w="653" w:type="dxa"/>
            <w:tcBorders>
              <w:bottom w:val="single" w:sz="12" w:space="0" w:color="000000"/>
              <w:right w:val="single" w:sz="12" w:space="0" w:color="000000"/>
            </w:tcBorders>
            <w:shd w:val="clear" w:color="auto" w:fill="F1F1F1"/>
          </w:tcPr>
          <w:p>
            <w:pPr>
              <w:pStyle w:val="TableParagraph"/>
              <w:spacing w:before="114"/>
              <w:ind w:left="7"/>
              <w:jc w:val="center"/>
              <w:rPr>
                <w:sz w:val="15"/>
              </w:rPr>
            </w:pPr>
            <w:r>
              <w:rPr>
                <w:w w:val="102"/>
                <w:sz w:val="15"/>
              </w:rPr>
              <w:t>6</w:t>
            </w:r>
          </w:p>
        </w:tc>
        <w:tc>
          <w:tcPr>
            <w:tcW w:w="3638" w:type="dxa"/>
            <w:tcBorders>
              <w:left w:val="single" w:sz="12" w:space="0" w:color="000000"/>
              <w:bottom w:val="single" w:sz="12" w:space="0" w:color="000000"/>
              <w:right w:val="single" w:sz="12" w:space="0" w:color="000000"/>
            </w:tcBorders>
            <w:shd w:val="clear" w:color="auto" w:fill="F1F1F1"/>
          </w:tcPr>
          <w:p>
            <w:pPr>
              <w:pStyle w:val="TableParagraph"/>
              <w:spacing w:before="11"/>
              <w:ind w:left="20"/>
              <w:rPr>
                <w:sz w:val="15"/>
              </w:rPr>
            </w:pPr>
            <w:r>
              <w:rPr>
                <w:w w:val="105"/>
                <w:sz w:val="15"/>
              </w:rPr>
              <w:t>Para el año 2023 se ha incrementado en 5,000 el número</w:t>
            </w:r>
          </w:p>
          <w:p>
            <w:pPr>
              <w:pStyle w:val="TableParagraph"/>
              <w:spacing w:line="156" w:lineRule="exact" w:before="33"/>
              <w:ind w:left="20"/>
              <w:rPr>
                <w:sz w:val="15"/>
              </w:rPr>
            </w:pPr>
            <w:r>
              <w:rPr>
                <w:w w:val="105"/>
                <w:sz w:val="15"/>
              </w:rPr>
              <w:t>de agentes de la Policía Nacional Civil</w:t>
            </w:r>
          </w:p>
        </w:tc>
        <w:tc>
          <w:tcPr>
            <w:tcW w:w="1125" w:type="dxa"/>
            <w:tcBorders>
              <w:left w:val="single" w:sz="12" w:space="0" w:color="000000"/>
              <w:bottom w:val="single" w:sz="12" w:space="0" w:color="000000"/>
            </w:tcBorders>
          </w:tcPr>
          <w:p>
            <w:pPr>
              <w:pStyle w:val="TableParagraph"/>
              <w:spacing w:before="114"/>
              <w:ind w:left="320" w:right="308"/>
              <w:jc w:val="center"/>
              <w:rPr>
                <w:sz w:val="15"/>
              </w:rPr>
            </w:pPr>
            <w:r>
              <w:rPr>
                <w:w w:val="105"/>
                <w:sz w:val="15"/>
              </w:rPr>
              <w:t>43,347</w:t>
            </w:r>
          </w:p>
        </w:tc>
        <w:tc>
          <w:tcPr>
            <w:tcW w:w="1115" w:type="dxa"/>
            <w:tcBorders>
              <w:bottom w:val="single" w:sz="12" w:space="0" w:color="000000"/>
              <w:right w:val="single" w:sz="12" w:space="0" w:color="000000"/>
            </w:tcBorders>
            <w:shd w:val="clear" w:color="auto" w:fill="FFC000"/>
          </w:tcPr>
          <w:p>
            <w:pPr>
              <w:pStyle w:val="TableParagraph"/>
              <w:spacing w:before="114"/>
              <w:ind w:left="286" w:right="258"/>
              <w:jc w:val="center"/>
              <w:rPr>
                <w:sz w:val="15"/>
              </w:rPr>
            </w:pPr>
            <w:r>
              <w:rPr>
                <w:w w:val="105"/>
                <w:sz w:val="15"/>
              </w:rPr>
              <w:t>43,110</w:t>
            </w:r>
          </w:p>
        </w:tc>
        <w:tc>
          <w:tcPr>
            <w:tcW w:w="1089" w:type="dxa"/>
            <w:tcBorders>
              <w:top w:val="nil"/>
              <w:left w:val="single" w:sz="12" w:space="0" w:color="000000"/>
              <w:bottom w:val="single" w:sz="12" w:space="0" w:color="000000"/>
              <w:right w:val="nil"/>
            </w:tcBorders>
          </w:tcPr>
          <w:p>
            <w:pPr>
              <w:pStyle w:val="TableParagraph"/>
              <w:spacing w:before="114"/>
              <w:ind w:left="13" w:right="13"/>
              <w:jc w:val="center"/>
              <w:rPr>
                <w:sz w:val="15"/>
              </w:rPr>
            </w:pPr>
            <w:r>
              <w:rPr>
                <w:color w:val="C00000"/>
                <w:w w:val="105"/>
                <w:sz w:val="15"/>
              </w:rPr>
              <w:t>-3,487</w:t>
            </w:r>
          </w:p>
        </w:tc>
      </w:tr>
    </w:tbl>
    <w:p>
      <w:pPr>
        <w:spacing w:before="44"/>
        <w:ind w:left="1978" w:right="0" w:firstLine="0"/>
        <w:jc w:val="left"/>
        <w:rPr>
          <w:sz w:val="16"/>
        </w:rPr>
      </w:pPr>
      <w:r>
        <w:rPr>
          <w:sz w:val="16"/>
        </w:rPr>
        <w:t>Fuente: SEGEPLAN</w:t>
      </w:r>
    </w:p>
    <w:p>
      <w:pPr>
        <w:spacing w:after="0"/>
        <w:jc w:val="left"/>
        <w:rPr>
          <w:sz w:val="16"/>
        </w:rPr>
        <w:sectPr>
          <w:pgSz w:w="12240" w:h="15840"/>
          <w:pgMar w:header="715" w:footer="957" w:top="1240" w:bottom="1140" w:left="1140" w:right="0"/>
        </w:sectPr>
      </w:pPr>
    </w:p>
    <w:p>
      <w:pPr>
        <w:pStyle w:val="Heading3"/>
        <w:spacing w:before="167"/>
        <w:ind w:left="562"/>
      </w:pPr>
      <w:r>
        <w:rPr/>
        <w:t>Pilar 4: Estado responsable, transparente y efectivo</w:t>
      </w:r>
    </w:p>
    <w:p>
      <w:pPr>
        <w:pStyle w:val="BodyText"/>
        <w:spacing w:before="1"/>
        <w:rPr>
          <w:b/>
          <w:sz w:val="28"/>
        </w:rPr>
      </w:pPr>
    </w:p>
    <w:p>
      <w:pPr>
        <w:pStyle w:val="BodyText"/>
        <w:spacing w:line="276" w:lineRule="auto"/>
        <w:ind w:left="562" w:right="1630"/>
      </w:pPr>
      <w:r>
        <w:rPr/>
        <w:t>Este pilar contiene 6 indicadores y se refieren a la evolución de mecanismos estatales y procesos que mejoren la gestión pública en general y la descentralización de la misma.</w:t>
      </w:r>
    </w:p>
    <w:p>
      <w:pPr>
        <w:pStyle w:val="BodyText"/>
        <w:spacing w:before="8"/>
        <w:rPr>
          <w:sz w:val="25"/>
        </w:rPr>
      </w:pPr>
    </w:p>
    <w:p>
      <w:pPr>
        <w:pStyle w:val="Heading3"/>
        <w:numPr>
          <w:ilvl w:val="0"/>
          <w:numId w:val="30"/>
        </w:numPr>
        <w:tabs>
          <w:tab w:pos="1281" w:val="left" w:leader="none"/>
          <w:tab w:pos="1282" w:val="left" w:leader="none"/>
        </w:tabs>
        <w:spacing w:line="240" w:lineRule="auto" w:before="0" w:after="0"/>
        <w:ind w:left="1282" w:right="0" w:hanging="361"/>
        <w:jc w:val="left"/>
      </w:pPr>
      <w:r>
        <w:rPr/>
        <w:t>Metas alcanzadas o</w:t>
      </w:r>
      <w:r>
        <w:rPr>
          <w:spacing w:val="-3"/>
        </w:rPr>
        <w:t> </w:t>
      </w:r>
      <w:r>
        <w:rPr/>
        <w:t>superadas</w:t>
      </w:r>
    </w:p>
    <w:p>
      <w:pPr>
        <w:pStyle w:val="BodyText"/>
        <w:spacing w:before="2"/>
        <w:rPr>
          <w:b/>
          <w:sz w:val="28"/>
        </w:rPr>
      </w:pPr>
    </w:p>
    <w:p>
      <w:pPr>
        <w:pStyle w:val="ListParagraph"/>
        <w:numPr>
          <w:ilvl w:val="1"/>
          <w:numId w:val="30"/>
        </w:numPr>
        <w:tabs>
          <w:tab w:pos="1630" w:val="left" w:leader="none"/>
        </w:tabs>
        <w:spacing w:line="276" w:lineRule="auto" w:before="1" w:after="0"/>
        <w:ind w:left="1630" w:right="1695" w:hanging="360"/>
        <w:jc w:val="both"/>
        <w:rPr>
          <w:sz w:val="22"/>
        </w:rPr>
      </w:pPr>
      <w:r>
        <w:rPr>
          <w:sz w:val="22"/>
        </w:rPr>
        <w:t>Las metas que se refiere a los Ministerios que cuentan con programa E-goverment, implementación del Sistema Nacional de Planificación, iniciativas de ley presentadas al Congreso de la República, implementación de la descentralización de la gestión pública y los municipios priorizados que implementan plan de desarrollo municipal y territorial han cumplido la meta</w:t>
      </w:r>
      <w:r>
        <w:rPr>
          <w:spacing w:val="-6"/>
          <w:sz w:val="22"/>
        </w:rPr>
        <w:t> </w:t>
      </w:r>
      <w:r>
        <w:rPr>
          <w:sz w:val="22"/>
        </w:rPr>
        <w:t>proyectada.</w:t>
      </w:r>
    </w:p>
    <w:p>
      <w:pPr>
        <w:pStyle w:val="BodyText"/>
        <w:spacing w:before="3"/>
        <w:rPr>
          <w:sz w:val="25"/>
        </w:rPr>
      </w:pPr>
    </w:p>
    <w:p>
      <w:pPr>
        <w:pStyle w:val="BodyText"/>
        <w:spacing w:line="276" w:lineRule="auto"/>
        <w:ind w:left="1630" w:right="1693"/>
        <w:jc w:val="both"/>
      </w:pPr>
      <w:r>
        <w:rPr/>
        <w:t>Resalta que del Sistema Nacional de Planificación con el fin de proporcionar las herramientas necesarias y normativa vigente para la elaboración y formulación Plan- Presupuesto para el periodo 2022-2026, se realizó la Transferencia de Normativas Institucionales</w:t>
      </w:r>
      <w:r>
        <w:rPr>
          <w:spacing w:val="-10"/>
        </w:rPr>
        <w:t> </w:t>
      </w:r>
      <w:r>
        <w:rPr/>
        <w:t>a</w:t>
      </w:r>
      <w:r>
        <w:rPr>
          <w:spacing w:val="-9"/>
        </w:rPr>
        <w:t> </w:t>
      </w:r>
      <w:r>
        <w:rPr/>
        <w:t>las</w:t>
      </w:r>
      <w:r>
        <w:rPr>
          <w:spacing w:val="-7"/>
        </w:rPr>
        <w:t> </w:t>
      </w:r>
      <w:r>
        <w:rPr/>
        <w:t>Entidades</w:t>
      </w:r>
      <w:r>
        <w:rPr>
          <w:spacing w:val="-9"/>
        </w:rPr>
        <w:t> </w:t>
      </w:r>
      <w:r>
        <w:rPr/>
        <w:t>e</w:t>
      </w:r>
      <w:r>
        <w:rPr>
          <w:spacing w:val="-7"/>
        </w:rPr>
        <w:t> </w:t>
      </w:r>
      <w:r>
        <w:rPr/>
        <w:t>Instituciones</w:t>
      </w:r>
      <w:r>
        <w:rPr>
          <w:spacing w:val="-8"/>
        </w:rPr>
        <w:t> </w:t>
      </w:r>
      <w:r>
        <w:rPr/>
        <w:t>Públicas</w:t>
      </w:r>
      <w:r>
        <w:rPr>
          <w:spacing w:val="-9"/>
        </w:rPr>
        <w:t> </w:t>
      </w:r>
      <w:r>
        <w:rPr/>
        <w:t>y</w:t>
      </w:r>
      <w:r>
        <w:rPr>
          <w:spacing w:val="-10"/>
        </w:rPr>
        <w:t> </w:t>
      </w:r>
      <w:r>
        <w:rPr/>
        <w:t>Sectores,</w:t>
      </w:r>
      <w:r>
        <w:rPr>
          <w:spacing w:val="-7"/>
        </w:rPr>
        <w:t> </w:t>
      </w:r>
      <w:r>
        <w:rPr/>
        <w:t>comprendidas</w:t>
      </w:r>
      <w:r>
        <w:rPr>
          <w:spacing w:val="-7"/>
        </w:rPr>
        <w:t> </w:t>
      </w:r>
      <w:r>
        <w:rPr/>
        <w:t>por</w:t>
      </w:r>
      <w:r>
        <w:rPr>
          <w:spacing w:val="-7"/>
        </w:rPr>
        <w:t> </w:t>
      </w:r>
      <w:r>
        <w:rPr/>
        <w:t>157 instituciones, 340 Gobiernos Locales y 22 CODEDE. La Segeplan recibió y analizó 133 instrumentos PEI-POM-POA de Ministerios, Secretarías y otras entidades</w:t>
      </w:r>
      <w:r>
        <w:rPr>
          <w:spacing w:val="-18"/>
        </w:rPr>
        <w:t> </w:t>
      </w:r>
      <w:r>
        <w:rPr/>
        <w:t>estatales.</w:t>
      </w:r>
    </w:p>
    <w:p>
      <w:pPr>
        <w:pStyle w:val="BodyText"/>
        <w:spacing w:before="8"/>
        <w:rPr>
          <w:sz w:val="25"/>
        </w:rPr>
      </w:pPr>
    </w:p>
    <w:p>
      <w:pPr>
        <w:pStyle w:val="Heading3"/>
        <w:numPr>
          <w:ilvl w:val="0"/>
          <w:numId w:val="30"/>
        </w:numPr>
        <w:tabs>
          <w:tab w:pos="1281" w:val="left" w:leader="none"/>
          <w:tab w:pos="1282" w:val="left" w:leader="none"/>
        </w:tabs>
        <w:spacing w:line="240" w:lineRule="auto" w:before="0" w:after="0"/>
        <w:ind w:left="1282" w:right="0" w:hanging="361"/>
        <w:jc w:val="left"/>
      </w:pPr>
      <w:r>
        <w:rPr/>
        <w:t>Meta sin</w:t>
      </w:r>
      <w:r>
        <w:rPr>
          <w:spacing w:val="-6"/>
        </w:rPr>
        <w:t> </w:t>
      </w:r>
      <w:r>
        <w:rPr/>
        <w:t>avance</w:t>
      </w:r>
    </w:p>
    <w:p>
      <w:pPr>
        <w:pStyle w:val="BodyText"/>
        <w:spacing w:before="2"/>
        <w:rPr>
          <w:b/>
          <w:sz w:val="28"/>
        </w:rPr>
      </w:pPr>
    </w:p>
    <w:p>
      <w:pPr>
        <w:pStyle w:val="ListParagraph"/>
        <w:numPr>
          <w:ilvl w:val="1"/>
          <w:numId w:val="30"/>
        </w:numPr>
        <w:tabs>
          <w:tab w:pos="1630" w:val="left" w:leader="none"/>
        </w:tabs>
        <w:spacing w:line="276" w:lineRule="auto" w:before="1" w:after="0"/>
        <w:ind w:left="1630" w:right="1695" w:hanging="360"/>
        <w:jc w:val="both"/>
        <w:rPr>
          <w:sz w:val="22"/>
        </w:rPr>
      </w:pPr>
      <w:r>
        <w:rPr>
          <w:sz w:val="22"/>
        </w:rPr>
        <w:t>Con relación a la meta de la superficie terrestre cubierta con cobertura forestal que se ubica en 33.3%, el Instituto Nacional de Bosques (INAB) indicó que esta medida no ha sido actualizada desde el año 2016. Está en proceso el estudio de la dinámica de la cobertura</w:t>
      </w:r>
      <w:r>
        <w:rPr>
          <w:spacing w:val="-4"/>
          <w:sz w:val="22"/>
        </w:rPr>
        <w:t> </w:t>
      </w:r>
      <w:r>
        <w:rPr>
          <w:sz w:val="22"/>
        </w:rPr>
        <w:t>forestal</w:t>
      </w:r>
      <w:r>
        <w:rPr>
          <w:spacing w:val="-2"/>
          <w:sz w:val="22"/>
        </w:rPr>
        <w:t> </w:t>
      </w:r>
      <w:r>
        <w:rPr>
          <w:sz w:val="22"/>
        </w:rPr>
        <w:t>para</w:t>
      </w:r>
      <w:r>
        <w:rPr>
          <w:spacing w:val="-2"/>
          <w:sz w:val="22"/>
        </w:rPr>
        <w:t> </w:t>
      </w:r>
      <w:r>
        <w:rPr>
          <w:sz w:val="22"/>
        </w:rPr>
        <w:t>el</w:t>
      </w:r>
      <w:r>
        <w:rPr>
          <w:spacing w:val="-1"/>
          <w:sz w:val="22"/>
        </w:rPr>
        <w:t> </w:t>
      </w:r>
      <w:r>
        <w:rPr>
          <w:sz w:val="22"/>
        </w:rPr>
        <w:t>período</w:t>
      </w:r>
      <w:r>
        <w:rPr>
          <w:spacing w:val="-5"/>
          <w:sz w:val="22"/>
        </w:rPr>
        <w:t> </w:t>
      </w:r>
      <w:r>
        <w:rPr>
          <w:sz w:val="22"/>
        </w:rPr>
        <w:t>2016-2020.</w:t>
      </w:r>
      <w:r>
        <w:rPr>
          <w:spacing w:val="-7"/>
          <w:sz w:val="22"/>
        </w:rPr>
        <w:t> </w:t>
      </w:r>
      <w:r>
        <w:rPr>
          <w:sz w:val="22"/>
        </w:rPr>
        <w:t>Para</w:t>
      </w:r>
      <w:r>
        <w:rPr>
          <w:spacing w:val="-2"/>
          <w:sz w:val="22"/>
        </w:rPr>
        <w:t> </w:t>
      </w:r>
      <w:r>
        <w:rPr>
          <w:sz w:val="22"/>
        </w:rPr>
        <w:t>cumplir</w:t>
      </w:r>
      <w:r>
        <w:rPr>
          <w:spacing w:val="-4"/>
          <w:sz w:val="22"/>
        </w:rPr>
        <w:t> </w:t>
      </w:r>
      <w:r>
        <w:rPr>
          <w:sz w:val="22"/>
        </w:rPr>
        <w:t>con</w:t>
      </w:r>
      <w:r>
        <w:rPr>
          <w:spacing w:val="-4"/>
          <w:sz w:val="22"/>
        </w:rPr>
        <w:t> </w:t>
      </w:r>
      <w:r>
        <w:rPr>
          <w:sz w:val="22"/>
        </w:rPr>
        <w:t>la</w:t>
      </w:r>
      <w:r>
        <w:rPr>
          <w:spacing w:val="-4"/>
          <w:sz w:val="22"/>
        </w:rPr>
        <w:t> </w:t>
      </w:r>
      <w:r>
        <w:rPr>
          <w:sz w:val="22"/>
        </w:rPr>
        <w:t>meta,</w:t>
      </w:r>
      <w:r>
        <w:rPr>
          <w:spacing w:val="-2"/>
          <w:sz w:val="22"/>
        </w:rPr>
        <w:t> </w:t>
      </w:r>
      <w:r>
        <w:rPr>
          <w:sz w:val="22"/>
        </w:rPr>
        <w:t>el</w:t>
      </w:r>
      <w:r>
        <w:rPr>
          <w:spacing w:val="-4"/>
          <w:sz w:val="22"/>
        </w:rPr>
        <w:t> </w:t>
      </w:r>
      <w:r>
        <w:rPr>
          <w:sz w:val="22"/>
        </w:rPr>
        <w:t>INAB</w:t>
      </w:r>
      <w:r>
        <w:rPr>
          <w:spacing w:val="-2"/>
          <w:sz w:val="22"/>
        </w:rPr>
        <w:t> </w:t>
      </w:r>
      <w:r>
        <w:rPr>
          <w:sz w:val="22"/>
        </w:rPr>
        <w:t>seguirá implementando el manejo y conservación del bosque natural y la recuperación de las tierras desprovistas de bosque mediante el establecimiento de plantaciones y sistemas agroforestales.</w:t>
      </w:r>
    </w:p>
    <w:p>
      <w:pPr>
        <w:pStyle w:val="BodyText"/>
        <w:spacing w:before="10"/>
        <w:rPr>
          <w:sz w:val="25"/>
        </w:rPr>
      </w:pPr>
    </w:p>
    <w:p>
      <w:pPr>
        <w:spacing w:before="1"/>
        <w:ind w:left="1395" w:right="2530" w:firstLine="0"/>
        <w:jc w:val="center"/>
        <w:rPr>
          <w:b/>
          <w:sz w:val="20"/>
        </w:rPr>
      </w:pPr>
      <w:bookmarkStart w:name="_bookmark197" w:id="252"/>
      <w:bookmarkEnd w:id="252"/>
      <w:r>
        <w:rPr/>
      </w:r>
      <w:r>
        <w:rPr>
          <w:b/>
          <w:i/>
          <w:sz w:val="20"/>
        </w:rPr>
        <w:t>Tabla 15. </w:t>
      </w:r>
      <w:r>
        <w:rPr>
          <w:b/>
          <w:sz w:val="20"/>
        </w:rPr>
        <w:t>Avances de metas estratégicas</w:t>
      </w:r>
    </w:p>
    <w:p>
      <w:pPr>
        <w:pStyle w:val="Heading3"/>
        <w:spacing w:before="32" w:after="59"/>
        <w:ind w:left="1395" w:right="2530"/>
        <w:jc w:val="center"/>
      </w:pPr>
      <w:r>
        <w:rPr/>
        <w:t>Pilar 4: Estado responsable, transparente y efectivo</w:t>
      </w:r>
    </w:p>
    <w:tbl>
      <w:tblPr>
        <w:tblW w:w="0" w:type="auto"/>
        <w:jc w:val="left"/>
        <w:tblInd w:w="21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43"/>
        <w:gridCol w:w="892"/>
        <w:gridCol w:w="891"/>
        <w:gridCol w:w="158"/>
        <w:gridCol w:w="162"/>
        <w:gridCol w:w="430"/>
        <w:gridCol w:w="1033"/>
        <w:gridCol w:w="1378"/>
        <w:gridCol w:w="1429"/>
      </w:tblGrid>
      <w:tr>
        <w:trPr>
          <w:trHeight w:val="195" w:hRule="atLeast"/>
        </w:trPr>
        <w:tc>
          <w:tcPr>
            <w:tcW w:w="643" w:type="dxa"/>
            <w:vMerge w:val="restart"/>
            <w:tcBorders>
              <w:bottom w:val="single" w:sz="12" w:space="0" w:color="000000"/>
              <w:right w:val="single" w:sz="12" w:space="0" w:color="000000"/>
            </w:tcBorders>
            <w:shd w:val="clear" w:color="auto" w:fill="1F3763"/>
          </w:tcPr>
          <w:p>
            <w:pPr>
              <w:pStyle w:val="TableParagraph"/>
              <w:spacing w:before="121"/>
              <w:ind w:left="195"/>
              <w:rPr>
                <w:b/>
                <w:sz w:val="16"/>
              </w:rPr>
            </w:pPr>
            <w:r>
              <w:rPr>
                <w:b/>
                <w:color w:val="FFFFFF"/>
                <w:sz w:val="16"/>
              </w:rPr>
              <w:t>No.</w:t>
            </w:r>
          </w:p>
        </w:tc>
        <w:tc>
          <w:tcPr>
            <w:tcW w:w="2533" w:type="dxa"/>
            <w:gridSpan w:val="5"/>
            <w:vMerge w:val="restart"/>
            <w:tcBorders>
              <w:left w:val="single" w:sz="12" w:space="0" w:color="000000"/>
              <w:bottom w:val="single" w:sz="12" w:space="0" w:color="000000"/>
              <w:right w:val="single" w:sz="12" w:space="0" w:color="000000"/>
            </w:tcBorders>
            <w:shd w:val="clear" w:color="auto" w:fill="1F3763"/>
          </w:tcPr>
          <w:p>
            <w:pPr>
              <w:pStyle w:val="TableParagraph"/>
              <w:spacing w:before="10"/>
              <w:ind w:left="451" w:right="443"/>
              <w:jc w:val="center"/>
              <w:rPr>
                <w:b/>
                <w:sz w:val="16"/>
              </w:rPr>
            </w:pPr>
            <w:r>
              <w:rPr>
                <w:b/>
                <w:color w:val="FFFFFF"/>
                <w:sz w:val="16"/>
              </w:rPr>
              <w:t>Descripción de la Meta</w:t>
            </w:r>
          </w:p>
          <w:p>
            <w:pPr>
              <w:pStyle w:val="TableParagraph"/>
              <w:spacing w:line="165" w:lineRule="exact" w:before="39"/>
              <w:ind w:left="451" w:right="442"/>
              <w:jc w:val="center"/>
              <w:rPr>
                <w:b/>
                <w:sz w:val="16"/>
              </w:rPr>
            </w:pPr>
            <w:r>
              <w:rPr>
                <w:b/>
                <w:color w:val="FFFFFF"/>
                <w:sz w:val="16"/>
              </w:rPr>
              <w:t>al 2023</w:t>
            </w:r>
          </w:p>
        </w:tc>
        <w:tc>
          <w:tcPr>
            <w:tcW w:w="2411" w:type="dxa"/>
            <w:gridSpan w:val="2"/>
            <w:tcBorders>
              <w:top w:val="single" w:sz="6" w:space="0" w:color="D3D3D3"/>
              <w:left w:val="single" w:sz="12" w:space="0" w:color="000000"/>
              <w:bottom w:val="single" w:sz="12" w:space="0" w:color="000000"/>
              <w:right w:val="nil"/>
            </w:tcBorders>
            <w:shd w:val="clear" w:color="auto" w:fill="1F3763"/>
          </w:tcPr>
          <w:p>
            <w:pPr>
              <w:pStyle w:val="TableParagraph"/>
              <w:spacing w:line="165" w:lineRule="exact" w:before="10"/>
              <w:ind w:left="1017" w:right="1019"/>
              <w:jc w:val="center"/>
              <w:rPr>
                <w:b/>
                <w:sz w:val="16"/>
              </w:rPr>
            </w:pPr>
            <w:r>
              <w:rPr>
                <w:b/>
                <w:color w:val="FFFFFF"/>
                <w:sz w:val="16"/>
              </w:rPr>
              <w:t>2021</w:t>
            </w:r>
          </w:p>
        </w:tc>
        <w:tc>
          <w:tcPr>
            <w:tcW w:w="1429" w:type="dxa"/>
            <w:vMerge w:val="restart"/>
            <w:tcBorders>
              <w:left w:val="nil"/>
              <w:bottom w:val="single" w:sz="12" w:space="0" w:color="000000"/>
              <w:right w:val="nil"/>
            </w:tcBorders>
            <w:shd w:val="clear" w:color="auto" w:fill="1F3763"/>
          </w:tcPr>
          <w:p>
            <w:pPr>
              <w:pStyle w:val="TableParagraph"/>
              <w:spacing w:before="121"/>
              <w:ind w:left="208"/>
              <w:rPr>
                <w:b/>
                <w:sz w:val="16"/>
              </w:rPr>
            </w:pPr>
            <w:r>
              <w:rPr>
                <w:b/>
                <w:color w:val="FFFFFF"/>
                <w:sz w:val="16"/>
              </w:rPr>
              <w:t>Brecha al 2023</w:t>
            </w:r>
          </w:p>
        </w:tc>
      </w:tr>
      <w:tr>
        <w:trPr>
          <w:trHeight w:val="193" w:hRule="atLeast"/>
        </w:trPr>
        <w:tc>
          <w:tcPr>
            <w:tcW w:w="643" w:type="dxa"/>
            <w:vMerge/>
            <w:tcBorders>
              <w:top w:val="nil"/>
              <w:bottom w:val="single" w:sz="12" w:space="0" w:color="000000"/>
              <w:right w:val="single" w:sz="12" w:space="0" w:color="000000"/>
            </w:tcBorders>
            <w:shd w:val="clear" w:color="auto" w:fill="1F3763"/>
          </w:tcPr>
          <w:p>
            <w:pPr>
              <w:rPr>
                <w:sz w:val="2"/>
                <w:szCs w:val="2"/>
              </w:rPr>
            </w:pPr>
          </w:p>
        </w:tc>
        <w:tc>
          <w:tcPr>
            <w:tcW w:w="2533" w:type="dxa"/>
            <w:gridSpan w:val="5"/>
            <w:vMerge/>
            <w:tcBorders>
              <w:top w:val="nil"/>
              <w:left w:val="single" w:sz="12" w:space="0" w:color="000000"/>
              <w:bottom w:val="single" w:sz="12" w:space="0" w:color="000000"/>
              <w:right w:val="single" w:sz="12" w:space="0" w:color="000000"/>
            </w:tcBorders>
            <w:shd w:val="clear" w:color="auto" w:fill="1F3763"/>
          </w:tcPr>
          <w:p>
            <w:pPr>
              <w:rPr>
                <w:sz w:val="2"/>
                <w:szCs w:val="2"/>
              </w:rPr>
            </w:pPr>
          </w:p>
        </w:tc>
        <w:tc>
          <w:tcPr>
            <w:tcW w:w="1033" w:type="dxa"/>
            <w:tcBorders>
              <w:top w:val="single" w:sz="12" w:space="0" w:color="000000"/>
              <w:left w:val="single" w:sz="12" w:space="0" w:color="000000"/>
              <w:bottom w:val="single" w:sz="12" w:space="0" w:color="000000"/>
              <w:right w:val="nil"/>
            </w:tcBorders>
            <w:shd w:val="clear" w:color="auto" w:fill="1F3763"/>
          </w:tcPr>
          <w:p>
            <w:pPr>
              <w:pStyle w:val="TableParagraph"/>
              <w:spacing w:line="165" w:lineRule="exact" w:before="8"/>
              <w:ind w:left="97" w:right="92"/>
              <w:jc w:val="center"/>
              <w:rPr>
                <w:b/>
                <w:sz w:val="16"/>
              </w:rPr>
            </w:pPr>
            <w:r>
              <w:rPr>
                <w:b/>
                <w:color w:val="FFFFFF"/>
                <w:sz w:val="16"/>
              </w:rPr>
              <w:t>Meta</w:t>
            </w:r>
          </w:p>
        </w:tc>
        <w:tc>
          <w:tcPr>
            <w:tcW w:w="1378" w:type="dxa"/>
            <w:tcBorders>
              <w:top w:val="single" w:sz="12" w:space="0" w:color="000000"/>
              <w:left w:val="nil"/>
              <w:bottom w:val="single" w:sz="12" w:space="0" w:color="000000"/>
              <w:right w:val="nil"/>
            </w:tcBorders>
            <w:shd w:val="clear" w:color="auto" w:fill="1F3763"/>
          </w:tcPr>
          <w:p>
            <w:pPr>
              <w:pStyle w:val="TableParagraph"/>
              <w:spacing w:line="165" w:lineRule="exact" w:before="8"/>
              <w:ind w:left="331" w:right="321"/>
              <w:jc w:val="center"/>
              <w:rPr>
                <w:b/>
                <w:sz w:val="16"/>
              </w:rPr>
            </w:pPr>
            <w:r>
              <w:rPr>
                <w:b/>
                <w:color w:val="FFFFFF"/>
                <w:sz w:val="16"/>
              </w:rPr>
              <w:t>Resultado</w:t>
            </w:r>
          </w:p>
        </w:tc>
        <w:tc>
          <w:tcPr>
            <w:tcW w:w="1429" w:type="dxa"/>
            <w:vMerge/>
            <w:tcBorders>
              <w:top w:val="nil"/>
              <w:left w:val="nil"/>
              <w:bottom w:val="single" w:sz="12" w:space="0" w:color="000000"/>
              <w:right w:val="nil"/>
            </w:tcBorders>
            <w:shd w:val="clear" w:color="auto" w:fill="1F3763"/>
          </w:tcPr>
          <w:p>
            <w:pPr>
              <w:rPr>
                <w:sz w:val="2"/>
                <w:szCs w:val="2"/>
              </w:rPr>
            </w:pPr>
          </w:p>
        </w:tc>
      </w:tr>
      <w:tr>
        <w:trPr>
          <w:trHeight w:val="408" w:hRule="atLeast"/>
        </w:trPr>
        <w:tc>
          <w:tcPr>
            <w:tcW w:w="643" w:type="dxa"/>
            <w:tcBorders>
              <w:top w:val="single" w:sz="12" w:space="0" w:color="000000"/>
              <w:right w:val="single" w:sz="12" w:space="0" w:color="000000"/>
            </w:tcBorders>
            <w:shd w:val="clear" w:color="auto" w:fill="F1F1F1"/>
          </w:tcPr>
          <w:p>
            <w:pPr>
              <w:pStyle w:val="TableParagraph"/>
              <w:spacing w:before="109"/>
              <w:ind w:right="261"/>
              <w:jc w:val="right"/>
              <w:rPr>
                <w:sz w:val="16"/>
              </w:rPr>
            </w:pPr>
            <w:r>
              <w:rPr>
                <w:w w:val="101"/>
                <w:sz w:val="16"/>
              </w:rPr>
              <w:t>1</w:t>
            </w:r>
          </w:p>
        </w:tc>
        <w:tc>
          <w:tcPr>
            <w:tcW w:w="2533" w:type="dxa"/>
            <w:gridSpan w:val="5"/>
            <w:tcBorders>
              <w:top w:val="single" w:sz="12" w:space="0" w:color="000000"/>
              <w:left w:val="single" w:sz="12" w:space="0" w:color="000000"/>
              <w:right w:val="single" w:sz="12" w:space="0" w:color="000000"/>
            </w:tcBorders>
            <w:shd w:val="clear" w:color="auto" w:fill="F1F1F1"/>
          </w:tcPr>
          <w:p>
            <w:pPr>
              <w:pStyle w:val="TableParagraph"/>
              <w:spacing w:before="8"/>
              <w:ind w:left="20"/>
              <w:rPr>
                <w:sz w:val="16"/>
              </w:rPr>
            </w:pPr>
            <w:r>
              <w:rPr>
                <w:sz w:val="16"/>
              </w:rPr>
              <w:t>Número de Ministerios con programa</w:t>
            </w:r>
          </w:p>
          <w:p>
            <w:pPr>
              <w:pStyle w:val="TableParagraph"/>
              <w:spacing w:line="168" w:lineRule="exact" w:before="28"/>
              <w:ind w:left="20"/>
              <w:rPr>
                <w:sz w:val="16"/>
              </w:rPr>
            </w:pPr>
            <w:r>
              <w:rPr>
                <w:sz w:val="16"/>
              </w:rPr>
              <w:t>E-goverment</w:t>
            </w:r>
          </w:p>
        </w:tc>
        <w:tc>
          <w:tcPr>
            <w:tcW w:w="1033" w:type="dxa"/>
            <w:tcBorders>
              <w:top w:val="single" w:sz="12" w:space="0" w:color="000000"/>
              <w:left w:val="single" w:sz="12" w:space="0" w:color="000000"/>
              <w:right w:val="nil"/>
            </w:tcBorders>
          </w:tcPr>
          <w:p>
            <w:pPr>
              <w:pStyle w:val="TableParagraph"/>
              <w:spacing w:before="109"/>
              <w:ind w:right="1"/>
              <w:jc w:val="center"/>
              <w:rPr>
                <w:sz w:val="16"/>
              </w:rPr>
            </w:pPr>
            <w:r>
              <w:rPr>
                <w:w w:val="101"/>
                <w:sz w:val="16"/>
              </w:rPr>
              <w:t>6</w:t>
            </w:r>
          </w:p>
        </w:tc>
        <w:tc>
          <w:tcPr>
            <w:tcW w:w="1378" w:type="dxa"/>
            <w:tcBorders>
              <w:top w:val="single" w:sz="12" w:space="0" w:color="000000"/>
              <w:left w:val="nil"/>
              <w:right w:val="nil"/>
            </w:tcBorders>
            <w:shd w:val="clear" w:color="auto" w:fill="92D050"/>
          </w:tcPr>
          <w:p>
            <w:pPr>
              <w:pStyle w:val="TableParagraph"/>
              <w:spacing w:before="109"/>
              <w:ind w:left="11"/>
              <w:jc w:val="center"/>
              <w:rPr>
                <w:sz w:val="16"/>
              </w:rPr>
            </w:pPr>
            <w:r>
              <w:rPr>
                <w:w w:val="101"/>
                <w:sz w:val="16"/>
              </w:rPr>
              <w:t>6</w:t>
            </w:r>
          </w:p>
        </w:tc>
        <w:tc>
          <w:tcPr>
            <w:tcW w:w="1429" w:type="dxa"/>
            <w:tcBorders>
              <w:top w:val="single" w:sz="12" w:space="0" w:color="000000"/>
              <w:left w:val="nil"/>
              <w:bottom w:val="nil"/>
              <w:right w:val="nil"/>
            </w:tcBorders>
          </w:tcPr>
          <w:p>
            <w:pPr>
              <w:pStyle w:val="TableParagraph"/>
              <w:spacing w:before="109"/>
              <w:ind w:left="487" w:right="480"/>
              <w:jc w:val="center"/>
              <w:rPr>
                <w:sz w:val="16"/>
              </w:rPr>
            </w:pPr>
            <w:r>
              <w:rPr>
                <w:color w:val="C00000"/>
                <w:sz w:val="16"/>
              </w:rPr>
              <w:t>-8</w:t>
            </w:r>
          </w:p>
        </w:tc>
      </w:tr>
      <w:tr>
        <w:trPr>
          <w:trHeight w:val="410" w:hRule="atLeast"/>
        </w:trPr>
        <w:tc>
          <w:tcPr>
            <w:tcW w:w="643" w:type="dxa"/>
            <w:tcBorders>
              <w:right w:val="single" w:sz="12" w:space="0" w:color="000000"/>
            </w:tcBorders>
            <w:shd w:val="clear" w:color="auto" w:fill="F1F1F1"/>
          </w:tcPr>
          <w:p>
            <w:pPr>
              <w:pStyle w:val="TableParagraph"/>
              <w:spacing w:before="111"/>
              <w:ind w:right="261"/>
              <w:jc w:val="right"/>
              <w:rPr>
                <w:sz w:val="16"/>
              </w:rPr>
            </w:pPr>
            <w:r>
              <w:rPr>
                <w:w w:val="101"/>
                <w:sz w:val="16"/>
              </w:rPr>
              <w:t>2</w:t>
            </w:r>
          </w:p>
        </w:tc>
        <w:tc>
          <w:tcPr>
            <w:tcW w:w="2533" w:type="dxa"/>
            <w:gridSpan w:val="5"/>
            <w:tcBorders>
              <w:left w:val="single" w:sz="12" w:space="0" w:color="000000"/>
              <w:right w:val="single" w:sz="12" w:space="0" w:color="000000"/>
            </w:tcBorders>
            <w:shd w:val="clear" w:color="auto" w:fill="F1F1F1"/>
          </w:tcPr>
          <w:p>
            <w:pPr>
              <w:pStyle w:val="TableParagraph"/>
              <w:spacing w:before="10"/>
              <w:ind w:left="20"/>
              <w:rPr>
                <w:sz w:val="16"/>
              </w:rPr>
            </w:pPr>
            <w:r>
              <w:rPr>
                <w:sz w:val="16"/>
              </w:rPr>
              <w:t>Porcentaje de implementación de la</w:t>
            </w:r>
          </w:p>
          <w:p>
            <w:pPr>
              <w:pStyle w:val="TableParagraph"/>
              <w:spacing w:line="167" w:lineRule="exact" w:before="29"/>
              <w:ind w:left="20"/>
              <w:rPr>
                <w:sz w:val="16"/>
              </w:rPr>
            </w:pPr>
            <w:r>
              <w:rPr>
                <w:sz w:val="16"/>
              </w:rPr>
              <w:t>descentralización en la gestión pública</w:t>
            </w:r>
          </w:p>
        </w:tc>
        <w:tc>
          <w:tcPr>
            <w:tcW w:w="1033" w:type="dxa"/>
            <w:tcBorders>
              <w:left w:val="single" w:sz="12" w:space="0" w:color="000000"/>
              <w:right w:val="nil"/>
            </w:tcBorders>
          </w:tcPr>
          <w:p>
            <w:pPr>
              <w:pStyle w:val="TableParagraph"/>
              <w:spacing w:before="111"/>
              <w:ind w:left="100" w:right="92"/>
              <w:jc w:val="center"/>
              <w:rPr>
                <w:sz w:val="16"/>
              </w:rPr>
            </w:pPr>
            <w:r>
              <w:rPr>
                <w:sz w:val="16"/>
              </w:rPr>
              <w:t>50%</w:t>
            </w:r>
          </w:p>
        </w:tc>
        <w:tc>
          <w:tcPr>
            <w:tcW w:w="1378" w:type="dxa"/>
            <w:tcBorders>
              <w:left w:val="nil"/>
              <w:right w:val="nil"/>
            </w:tcBorders>
            <w:shd w:val="clear" w:color="auto" w:fill="92D050"/>
          </w:tcPr>
          <w:p>
            <w:pPr>
              <w:pStyle w:val="TableParagraph"/>
              <w:spacing w:before="111"/>
              <w:ind w:left="324" w:right="321"/>
              <w:jc w:val="center"/>
              <w:rPr>
                <w:sz w:val="16"/>
              </w:rPr>
            </w:pPr>
            <w:r>
              <w:rPr>
                <w:sz w:val="16"/>
              </w:rPr>
              <w:t>50.00%</w:t>
            </w:r>
          </w:p>
        </w:tc>
        <w:tc>
          <w:tcPr>
            <w:tcW w:w="1429" w:type="dxa"/>
            <w:tcBorders>
              <w:top w:val="nil"/>
              <w:left w:val="nil"/>
              <w:bottom w:val="nil"/>
              <w:right w:val="nil"/>
            </w:tcBorders>
          </w:tcPr>
          <w:p>
            <w:pPr>
              <w:pStyle w:val="TableParagraph"/>
              <w:spacing w:before="111"/>
              <w:ind w:left="487" w:right="487"/>
              <w:jc w:val="center"/>
              <w:rPr>
                <w:sz w:val="16"/>
              </w:rPr>
            </w:pPr>
            <w:r>
              <w:rPr>
                <w:color w:val="C00000"/>
                <w:sz w:val="16"/>
              </w:rPr>
              <w:t>-50</w:t>
            </w:r>
          </w:p>
        </w:tc>
      </w:tr>
      <w:tr>
        <w:trPr>
          <w:trHeight w:val="410" w:hRule="atLeast"/>
        </w:trPr>
        <w:tc>
          <w:tcPr>
            <w:tcW w:w="643" w:type="dxa"/>
            <w:tcBorders>
              <w:right w:val="single" w:sz="12" w:space="0" w:color="000000"/>
            </w:tcBorders>
            <w:shd w:val="clear" w:color="auto" w:fill="F1F1F1"/>
          </w:tcPr>
          <w:p>
            <w:pPr>
              <w:pStyle w:val="TableParagraph"/>
              <w:spacing w:before="112"/>
              <w:ind w:right="261"/>
              <w:jc w:val="right"/>
              <w:rPr>
                <w:sz w:val="16"/>
              </w:rPr>
            </w:pPr>
            <w:r>
              <w:rPr>
                <w:w w:val="101"/>
                <w:sz w:val="16"/>
              </w:rPr>
              <w:t>3</w:t>
            </w:r>
          </w:p>
        </w:tc>
        <w:tc>
          <w:tcPr>
            <w:tcW w:w="2533" w:type="dxa"/>
            <w:gridSpan w:val="5"/>
            <w:tcBorders>
              <w:left w:val="single" w:sz="12" w:space="0" w:color="000000"/>
              <w:right w:val="single" w:sz="12" w:space="0" w:color="000000"/>
            </w:tcBorders>
            <w:shd w:val="clear" w:color="auto" w:fill="F1F1F1"/>
          </w:tcPr>
          <w:p>
            <w:pPr>
              <w:pStyle w:val="TableParagraph"/>
              <w:spacing w:before="10"/>
              <w:ind w:left="20"/>
              <w:rPr>
                <w:sz w:val="16"/>
              </w:rPr>
            </w:pPr>
            <w:r>
              <w:rPr>
                <w:sz w:val="16"/>
              </w:rPr>
              <w:t>Porcentaje de implementación del</w:t>
            </w:r>
          </w:p>
          <w:p>
            <w:pPr>
              <w:pStyle w:val="TableParagraph"/>
              <w:spacing w:line="167" w:lineRule="exact" w:before="29"/>
              <w:ind w:left="20"/>
              <w:rPr>
                <w:sz w:val="16"/>
              </w:rPr>
            </w:pPr>
            <w:r>
              <w:rPr>
                <w:sz w:val="16"/>
              </w:rPr>
              <w:t>Sistema Nacional de Planificación</w:t>
            </w:r>
          </w:p>
        </w:tc>
        <w:tc>
          <w:tcPr>
            <w:tcW w:w="1033" w:type="dxa"/>
            <w:tcBorders>
              <w:left w:val="single" w:sz="12" w:space="0" w:color="000000"/>
              <w:right w:val="nil"/>
            </w:tcBorders>
          </w:tcPr>
          <w:p>
            <w:pPr>
              <w:pStyle w:val="TableParagraph"/>
              <w:spacing w:before="112"/>
              <w:ind w:left="100" w:right="92"/>
              <w:jc w:val="center"/>
              <w:rPr>
                <w:sz w:val="16"/>
              </w:rPr>
            </w:pPr>
            <w:r>
              <w:rPr>
                <w:sz w:val="16"/>
              </w:rPr>
              <w:t>50%</w:t>
            </w:r>
          </w:p>
        </w:tc>
        <w:tc>
          <w:tcPr>
            <w:tcW w:w="1378" w:type="dxa"/>
            <w:tcBorders>
              <w:left w:val="nil"/>
              <w:right w:val="nil"/>
            </w:tcBorders>
            <w:shd w:val="clear" w:color="auto" w:fill="92D050"/>
          </w:tcPr>
          <w:p>
            <w:pPr>
              <w:pStyle w:val="TableParagraph"/>
              <w:spacing w:before="112"/>
              <w:ind w:left="324" w:right="321"/>
              <w:jc w:val="center"/>
              <w:rPr>
                <w:sz w:val="16"/>
              </w:rPr>
            </w:pPr>
            <w:r>
              <w:rPr>
                <w:sz w:val="16"/>
              </w:rPr>
              <w:t>70.28%</w:t>
            </w:r>
          </w:p>
        </w:tc>
        <w:tc>
          <w:tcPr>
            <w:tcW w:w="1429" w:type="dxa"/>
            <w:tcBorders>
              <w:top w:val="nil"/>
              <w:left w:val="nil"/>
              <w:bottom w:val="nil"/>
              <w:right w:val="nil"/>
            </w:tcBorders>
          </w:tcPr>
          <w:p>
            <w:pPr>
              <w:pStyle w:val="TableParagraph"/>
              <w:spacing w:before="112"/>
              <w:ind w:left="487" w:right="487"/>
              <w:jc w:val="center"/>
              <w:rPr>
                <w:sz w:val="16"/>
              </w:rPr>
            </w:pPr>
            <w:r>
              <w:rPr>
                <w:color w:val="C00000"/>
                <w:sz w:val="16"/>
              </w:rPr>
              <w:t>-29.72</w:t>
            </w:r>
          </w:p>
        </w:tc>
      </w:tr>
      <w:tr>
        <w:trPr>
          <w:trHeight w:val="623" w:hRule="atLeast"/>
        </w:trPr>
        <w:tc>
          <w:tcPr>
            <w:tcW w:w="643" w:type="dxa"/>
            <w:tcBorders>
              <w:right w:val="single" w:sz="12" w:space="0" w:color="000000"/>
            </w:tcBorders>
            <w:shd w:val="clear" w:color="auto" w:fill="F1F1F1"/>
          </w:tcPr>
          <w:p>
            <w:pPr>
              <w:pStyle w:val="TableParagraph"/>
              <w:spacing w:before="5"/>
              <w:rPr>
                <w:b/>
                <w:sz w:val="18"/>
              </w:rPr>
            </w:pPr>
          </w:p>
          <w:p>
            <w:pPr>
              <w:pStyle w:val="TableParagraph"/>
              <w:spacing w:before="1"/>
              <w:ind w:right="261"/>
              <w:jc w:val="right"/>
              <w:rPr>
                <w:sz w:val="16"/>
              </w:rPr>
            </w:pPr>
            <w:r>
              <w:rPr>
                <w:w w:val="101"/>
                <w:sz w:val="16"/>
              </w:rPr>
              <w:t>4</w:t>
            </w:r>
          </w:p>
        </w:tc>
        <w:tc>
          <w:tcPr>
            <w:tcW w:w="2533" w:type="dxa"/>
            <w:gridSpan w:val="5"/>
            <w:tcBorders>
              <w:left w:val="single" w:sz="12" w:space="0" w:color="000000"/>
              <w:right w:val="single" w:sz="12" w:space="0" w:color="000000"/>
            </w:tcBorders>
            <w:shd w:val="clear" w:color="auto" w:fill="F1F1F1"/>
          </w:tcPr>
          <w:p>
            <w:pPr>
              <w:pStyle w:val="TableParagraph"/>
              <w:spacing w:before="10"/>
              <w:ind w:left="20"/>
              <w:rPr>
                <w:sz w:val="16"/>
              </w:rPr>
            </w:pPr>
            <w:r>
              <w:rPr>
                <w:spacing w:val="-5"/>
                <w:sz w:val="16"/>
              </w:rPr>
              <w:t>Número </w:t>
            </w:r>
            <w:r>
              <w:rPr>
                <w:sz w:val="16"/>
              </w:rPr>
              <w:t>de </w:t>
            </w:r>
            <w:r>
              <w:rPr>
                <w:spacing w:val="-9"/>
                <w:sz w:val="16"/>
              </w:rPr>
              <w:t>municipios </w:t>
            </w:r>
            <w:r>
              <w:rPr>
                <w:spacing w:val="-5"/>
                <w:sz w:val="16"/>
              </w:rPr>
              <w:t>priorizados </w:t>
            </w:r>
            <w:r>
              <w:rPr>
                <w:spacing w:val="-4"/>
                <w:sz w:val="16"/>
              </w:rPr>
              <w:t>que</w:t>
            </w:r>
          </w:p>
          <w:p>
            <w:pPr>
              <w:pStyle w:val="TableParagraph"/>
              <w:spacing w:line="210" w:lineRule="atLeast" w:before="3"/>
              <w:ind w:left="20"/>
              <w:rPr>
                <w:sz w:val="16"/>
              </w:rPr>
            </w:pPr>
            <w:r>
              <w:rPr>
                <w:sz w:val="16"/>
              </w:rPr>
              <w:t>implementan su plan de desarrollo municipal y ordenamiento territorial</w:t>
            </w:r>
          </w:p>
        </w:tc>
        <w:tc>
          <w:tcPr>
            <w:tcW w:w="1033" w:type="dxa"/>
            <w:tcBorders>
              <w:left w:val="single" w:sz="12" w:space="0" w:color="000000"/>
              <w:right w:val="nil"/>
            </w:tcBorders>
          </w:tcPr>
          <w:p>
            <w:pPr>
              <w:pStyle w:val="TableParagraph"/>
              <w:spacing w:before="4"/>
              <w:rPr>
                <w:b/>
                <w:sz w:val="19"/>
              </w:rPr>
            </w:pPr>
          </w:p>
          <w:p>
            <w:pPr>
              <w:pStyle w:val="TableParagraph"/>
              <w:ind w:left="100" w:right="92"/>
              <w:jc w:val="center"/>
              <w:rPr>
                <w:sz w:val="16"/>
              </w:rPr>
            </w:pPr>
            <w:r>
              <w:rPr>
                <w:sz w:val="16"/>
              </w:rPr>
              <w:t>50%</w:t>
            </w:r>
          </w:p>
        </w:tc>
        <w:tc>
          <w:tcPr>
            <w:tcW w:w="1378" w:type="dxa"/>
            <w:tcBorders>
              <w:left w:val="nil"/>
              <w:right w:val="nil"/>
            </w:tcBorders>
            <w:shd w:val="clear" w:color="auto" w:fill="92D050"/>
          </w:tcPr>
          <w:p>
            <w:pPr>
              <w:pStyle w:val="TableParagraph"/>
              <w:spacing w:before="4"/>
              <w:rPr>
                <w:b/>
                <w:sz w:val="19"/>
              </w:rPr>
            </w:pPr>
          </w:p>
          <w:p>
            <w:pPr>
              <w:pStyle w:val="TableParagraph"/>
              <w:ind w:left="324" w:right="321"/>
              <w:jc w:val="center"/>
              <w:rPr>
                <w:sz w:val="16"/>
              </w:rPr>
            </w:pPr>
            <w:r>
              <w:rPr>
                <w:sz w:val="16"/>
              </w:rPr>
              <w:t>50.00%</w:t>
            </w:r>
          </w:p>
        </w:tc>
        <w:tc>
          <w:tcPr>
            <w:tcW w:w="1429" w:type="dxa"/>
            <w:tcBorders>
              <w:top w:val="nil"/>
              <w:left w:val="nil"/>
              <w:bottom w:val="nil"/>
              <w:right w:val="nil"/>
            </w:tcBorders>
          </w:tcPr>
          <w:p>
            <w:pPr>
              <w:pStyle w:val="TableParagraph"/>
              <w:spacing w:before="4"/>
              <w:rPr>
                <w:b/>
                <w:sz w:val="19"/>
              </w:rPr>
            </w:pPr>
          </w:p>
          <w:p>
            <w:pPr>
              <w:pStyle w:val="TableParagraph"/>
              <w:ind w:left="487" w:right="487"/>
              <w:jc w:val="center"/>
              <w:rPr>
                <w:sz w:val="16"/>
              </w:rPr>
            </w:pPr>
            <w:r>
              <w:rPr>
                <w:color w:val="C00000"/>
                <w:sz w:val="16"/>
              </w:rPr>
              <w:t>-50</w:t>
            </w:r>
          </w:p>
        </w:tc>
      </w:tr>
      <w:tr>
        <w:trPr>
          <w:trHeight w:val="623" w:hRule="atLeast"/>
        </w:trPr>
        <w:tc>
          <w:tcPr>
            <w:tcW w:w="643" w:type="dxa"/>
            <w:tcBorders>
              <w:right w:val="single" w:sz="12" w:space="0" w:color="000000"/>
            </w:tcBorders>
            <w:shd w:val="clear" w:color="auto" w:fill="F1F1F1"/>
          </w:tcPr>
          <w:p>
            <w:pPr>
              <w:pStyle w:val="TableParagraph"/>
              <w:spacing w:before="6"/>
              <w:rPr>
                <w:b/>
                <w:sz w:val="18"/>
              </w:rPr>
            </w:pPr>
          </w:p>
          <w:p>
            <w:pPr>
              <w:pStyle w:val="TableParagraph"/>
              <w:ind w:right="261"/>
              <w:jc w:val="right"/>
              <w:rPr>
                <w:sz w:val="16"/>
              </w:rPr>
            </w:pPr>
            <w:r>
              <w:rPr>
                <w:w w:val="101"/>
                <w:sz w:val="16"/>
              </w:rPr>
              <w:t>5</w:t>
            </w:r>
          </w:p>
        </w:tc>
        <w:tc>
          <w:tcPr>
            <w:tcW w:w="892" w:type="dxa"/>
            <w:tcBorders>
              <w:left w:val="single" w:sz="12" w:space="0" w:color="000000"/>
              <w:right w:val="nil"/>
            </w:tcBorders>
            <w:shd w:val="clear" w:color="auto" w:fill="F1F1F1"/>
          </w:tcPr>
          <w:p>
            <w:pPr>
              <w:pStyle w:val="TableParagraph"/>
              <w:spacing w:line="278" w:lineRule="auto" w:before="10"/>
              <w:ind w:left="20"/>
              <w:rPr>
                <w:sz w:val="16"/>
              </w:rPr>
            </w:pPr>
            <w:r>
              <w:rPr>
                <w:sz w:val="16"/>
              </w:rPr>
              <w:t>Número de presentadas</w:t>
            </w:r>
          </w:p>
          <w:p>
            <w:pPr>
              <w:pStyle w:val="TableParagraph"/>
              <w:spacing w:line="166" w:lineRule="exact"/>
              <w:ind w:left="20"/>
              <w:rPr>
                <w:sz w:val="16"/>
              </w:rPr>
            </w:pPr>
            <w:r>
              <w:rPr>
                <w:sz w:val="16"/>
              </w:rPr>
              <w:t>República</w:t>
            </w:r>
          </w:p>
        </w:tc>
        <w:tc>
          <w:tcPr>
            <w:tcW w:w="891" w:type="dxa"/>
            <w:tcBorders>
              <w:left w:val="nil"/>
              <w:right w:val="nil"/>
            </w:tcBorders>
            <w:shd w:val="clear" w:color="auto" w:fill="F1F1F1"/>
          </w:tcPr>
          <w:p>
            <w:pPr>
              <w:pStyle w:val="TableParagraph"/>
              <w:spacing w:before="10"/>
              <w:ind w:left="63" w:right="79"/>
              <w:jc w:val="center"/>
              <w:rPr>
                <w:sz w:val="16"/>
              </w:rPr>
            </w:pPr>
            <w:r>
              <w:rPr>
                <w:sz w:val="16"/>
              </w:rPr>
              <w:t>iniciativas</w:t>
            </w:r>
          </w:p>
          <w:p>
            <w:pPr>
              <w:pStyle w:val="TableParagraph"/>
              <w:spacing w:before="29"/>
              <w:ind w:left="63" w:right="13"/>
              <w:jc w:val="center"/>
              <w:rPr>
                <w:sz w:val="16"/>
              </w:rPr>
            </w:pPr>
            <w:r>
              <w:rPr>
                <w:sz w:val="16"/>
              </w:rPr>
              <w:t>al</w:t>
            </w:r>
            <w:r>
              <w:rPr>
                <w:spacing w:val="37"/>
                <w:sz w:val="16"/>
              </w:rPr>
              <w:t> </w:t>
            </w:r>
            <w:r>
              <w:rPr>
                <w:spacing w:val="-4"/>
                <w:sz w:val="16"/>
              </w:rPr>
              <w:t>Congreso</w:t>
            </w:r>
          </w:p>
        </w:tc>
        <w:tc>
          <w:tcPr>
            <w:tcW w:w="158" w:type="dxa"/>
            <w:tcBorders>
              <w:left w:val="nil"/>
              <w:right w:val="nil"/>
            </w:tcBorders>
            <w:shd w:val="clear" w:color="auto" w:fill="F1F1F1"/>
          </w:tcPr>
          <w:p>
            <w:pPr>
              <w:pStyle w:val="TableParagraph"/>
              <w:spacing w:before="10"/>
              <w:ind w:left="5" w:right="-15"/>
              <w:rPr>
                <w:sz w:val="16"/>
              </w:rPr>
            </w:pPr>
            <w:r>
              <w:rPr>
                <w:sz w:val="16"/>
              </w:rPr>
              <w:t>de</w:t>
            </w:r>
          </w:p>
        </w:tc>
        <w:tc>
          <w:tcPr>
            <w:tcW w:w="162" w:type="dxa"/>
            <w:tcBorders>
              <w:left w:val="nil"/>
              <w:right w:val="nil"/>
            </w:tcBorders>
            <w:shd w:val="clear" w:color="auto" w:fill="F1F1F1"/>
          </w:tcPr>
          <w:p>
            <w:pPr>
              <w:pStyle w:val="TableParagraph"/>
              <w:spacing w:before="4"/>
              <w:rPr>
                <w:b/>
                <w:sz w:val="19"/>
              </w:rPr>
            </w:pPr>
          </w:p>
          <w:p>
            <w:pPr>
              <w:pStyle w:val="TableParagraph"/>
              <w:spacing w:before="1"/>
              <w:ind w:left="9" w:right="-15"/>
              <w:rPr>
                <w:sz w:val="16"/>
              </w:rPr>
            </w:pPr>
            <w:r>
              <w:rPr>
                <w:sz w:val="16"/>
              </w:rPr>
              <w:t>de</w:t>
            </w:r>
          </w:p>
        </w:tc>
        <w:tc>
          <w:tcPr>
            <w:tcW w:w="430" w:type="dxa"/>
            <w:tcBorders>
              <w:left w:val="nil"/>
              <w:right w:val="single" w:sz="12" w:space="0" w:color="000000"/>
            </w:tcBorders>
            <w:shd w:val="clear" w:color="auto" w:fill="F1F1F1"/>
          </w:tcPr>
          <w:p>
            <w:pPr>
              <w:pStyle w:val="TableParagraph"/>
              <w:spacing w:line="278" w:lineRule="auto" w:before="10"/>
              <w:ind w:left="161" w:right="62" w:hanging="153"/>
              <w:rPr>
                <w:sz w:val="16"/>
              </w:rPr>
            </w:pPr>
            <w:r>
              <w:rPr>
                <w:sz w:val="16"/>
              </w:rPr>
              <w:t>Ley la</w:t>
            </w:r>
          </w:p>
        </w:tc>
        <w:tc>
          <w:tcPr>
            <w:tcW w:w="1033" w:type="dxa"/>
            <w:tcBorders>
              <w:left w:val="single" w:sz="12" w:space="0" w:color="000000"/>
              <w:right w:val="nil"/>
            </w:tcBorders>
          </w:tcPr>
          <w:p>
            <w:pPr>
              <w:pStyle w:val="TableParagraph"/>
              <w:spacing w:before="4"/>
              <w:rPr>
                <w:b/>
                <w:sz w:val="19"/>
              </w:rPr>
            </w:pPr>
          </w:p>
          <w:p>
            <w:pPr>
              <w:pStyle w:val="TableParagraph"/>
              <w:spacing w:before="1"/>
              <w:ind w:left="90" w:right="92"/>
              <w:jc w:val="center"/>
              <w:rPr>
                <w:sz w:val="16"/>
              </w:rPr>
            </w:pPr>
            <w:r>
              <w:rPr>
                <w:sz w:val="16"/>
              </w:rPr>
              <w:t>20</w:t>
            </w:r>
          </w:p>
        </w:tc>
        <w:tc>
          <w:tcPr>
            <w:tcW w:w="1378" w:type="dxa"/>
            <w:tcBorders>
              <w:left w:val="nil"/>
              <w:right w:val="nil"/>
            </w:tcBorders>
            <w:shd w:val="clear" w:color="auto" w:fill="92D050"/>
          </w:tcPr>
          <w:p>
            <w:pPr>
              <w:pStyle w:val="TableParagraph"/>
              <w:spacing w:before="4"/>
              <w:rPr>
                <w:b/>
                <w:sz w:val="19"/>
              </w:rPr>
            </w:pPr>
          </w:p>
          <w:p>
            <w:pPr>
              <w:pStyle w:val="TableParagraph"/>
              <w:spacing w:before="1"/>
              <w:ind w:left="331" w:right="321"/>
              <w:jc w:val="center"/>
              <w:rPr>
                <w:sz w:val="16"/>
              </w:rPr>
            </w:pPr>
            <w:r>
              <w:rPr>
                <w:sz w:val="16"/>
              </w:rPr>
              <w:t>27</w:t>
            </w:r>
          </w:p>
        </w:tc>
        <w:tc>
          <w:tcPr>
            <w:tcW w:w="1429" w:type="dxa"/>
            <w:tcBorders>
              <w:top w:val="nil"/>
              <w:left w:val="nil"/>
              <w:bottom w:val="nil"/>
              <w:right w:val="nil"/>
            </w:tcBorders>
          </w:tcPr>
          <w:p>
            <w:pPr>
              <w:pStyle w:val="TableParagraph"/>
              <w:spacing w:before="4"/>
              <w:rPr>
                <w:b/>
                <w:sz w:val="19"/>
              </w:rPr>
            </w:pPr>
          </w:p>
          <w:p>
            <w:pPr>
              <w:pStyle w:val="TableParagraph"/>
              <w:spacing w:before="1"/>
              <w:ind w:left="487" w:right="487"/>
              <w:jc w:val="center"/>
              <w:rPr>
                <w:sz w:val="16"/>
              </w:rPr>
            </w:pPr>
            <w:r>
              <w:rPr>
                <w:color w:val="C00000"/>
                <w:sz w:val="16"/>
              </w:rPr>
              <w:t>-31</w:t>
            </w:r>
          </w:p>
        </w:tc>
      </w:tr>
      <w:tr>
        <w:trPr>
          <w:trHeight w:val="408" w:hRule="atLeast"/>
        </w:trPr>
        <w:tc>
          <w:tcPr>
            <w:tcW w:w="643" w:type="dxa"/>
            <w:tcBorders>
              <w:bottom w:val="single" w:sz="12" w:space="0" w:color="000000"/>
              <w:right w:val="single" w:sz="12" w:space="0" w:color="000000"/>
            </w:tcBorders>
            <w:shd w:val="clear" w:color="auto" w:fill="F1F1F1"/>
          </w:tcPr>
          <w:p>
            <w:pPr>
              <w:pStyle w:val="TableParagraph"/>
              <w:spacing w:before="111"/>
              <w:ind w:right="261"/>
              <w:jc w:val="right"/>
              <w:rPr>
                <w:sz w:val="16"/>
              </w:rPr>
            </w:pPr>
            <w:r>
              <w:rPr>
                <w:w w:val="101"/>
                <w:sz w:val="16"/>
              </w:rPr>
              <w:t>6</w:t>
            </w:r>
          </w:p>
        </w:tc>
        <w:tc>
          <w:tcPr>
            <w:tcW w:w="2533" w:type="dxa"/>
            <w:gridSpan w:val="5"/>
            <w:tcBorders>
              <w:left w:val="single" w:sz="12" w:space="0" w:color="000000"/>
              <w:bottom w:val="single" w:sz="12" w:space="0" w:color="000000"/>
              <w:right w:val="single" w:sz="12" w:space="0" w:color="000000"/>
            </w:tcBorders>
            <w:shd w:val="clear" w:color="auto" w:fill="F1F1F1"/>
          </w:tcPr>
          <w:p>
            <w:pPr>
              <w:pStyle w:val="TableParagraph"/>
              <w:spacing w:before="10"/>
              <w:ind w:left="20"/>
              <w:rPr>
                <w:sz w:val="16"/>
              </w:rPr>
            </w:pPr>
            <w:r>
              <w:rPr>
                <w:sz w:val="16"/>
              </w:rPr>
              <w:t>Porcentaje de la superficie terrestre</w:t>
            </w:r>
          </w:p>
          <w:p>
            <w:pPr>
              <w:pStyle w:val="TableParagraph"/>
              <w:spacing w:line="165" w:lineRule="exact" w:before="29"/>
              <w:ind w:left="20"/>
              <w:rPr>
                <w:sz w:val="16"/>
              </w:rPr>
            </w:pPr>
            <w:r>
              <w:rPr>
                <w:sz w:val="16"/>
              </w:rPr>
              <w:t>cubierta con cobertura forestal</w:t>
            </w:r>
          </w:p>
        </w:tc>
        <w:tc>
          <w:tcPr>
            <w:tcW w:w="1033" w:type="dxa"/>
            <w:tcBorders>
              <w:left w:val="single" w:sz="12" w:space="0" w:color="000000"/>
              <w:bottom w:val="single" w:sz="12" w:space="0" w:color="000000"/>
              <w:right w:val="nil"/>
            </w:tcBorders>
          </w:tcPr>
          <w:p>
            <w:pPr>
              <w:pStyle w:val="TableParagraph"/>
              <w:spacing w:before="121"/>
              <w:ind w:left="100" w:right="92"/>
              <w:jc w:val="center"/>
              <w:rPr>
                <w:sz w:val="16"/>
              </w:rPr>
            </w:pPr>
            <w:r>
              <w:rPr>
                <w:sz w:val="16"/>
              </w:rPr>
              <w:t>33.30%</w:t>
            </w:r>
          </w:p>
        </w:tc>
        <w:tc>
          <w:tcPr>
            <w:tcW w:w="1378" w:type="dxa"/>
            <w:tcBorders>
              <w:left w:val="nil"/>
              <w:bottom w:val="single" w:sz="12" w:space="0" w:color="000000"/>
              <w:right w:val="nil"/>
            </w:tcBorders>
            <w:shd w:val="clear" w:color="auto" w:fill="C00000"/>
          </w:tcPr>
          <w:p>
            <w:pPr>
              <w:pStyle w:val="TableParagraph"/>
              <w:spacing w:before="121"/>
              <w:ind w:left="324" w:right="321"/>
              <w:jc w:val="center"/>
              <w:rPr>
                <w:sz w:val="16"/>
              </w:rPr>
            </w:pPr>
            <w:r>
              <w:rPr>
                <w:sz w:val="16"/>
              </w:rPr>
              <w:t>32.95%</w:t>
            </w:r>
          </w:p>
        </w:tc>
        <w:tc>
          <w:tcPr>
            <w:tcW w:w="1429" w:type="dxa"/>
            <w:tcBorders>
              <w:top w:val="nil"/>
              <w:left w:val="nil"/>
              <w:bottom w:val="single" w:sz="12" w:space="0" w:color="000000"/>
              <w:right w:val="nil"/>
            </w:tcBorders>
          </w:tcPr>
          <w:p>
            <w:pPr>
              <w:pStyle w:val="TableParagraph"/>
              <w:spacing w:before="121"/>
              <w:ind w:left="487" w:right="487"/>
              <w:jc w:val="center"/>
              <w:rPr>
                <w:sz w:val="16"/>
              </w:rPr>
            </w:pPr>
            <w:r>
              <w:rPr>
                <w:color w:val="C00000"/>
                <w:sz w:val="16"/>
              </w:rPr>
              <w:t>-0.75</w:t>
            </w:r>
          </w:p>
        </w:tc>
      </w:tr>
    </w:tbl>
    <w:p>
      <w:pPr>
        <w:spacing w:before="23"/>
        <w:ind w:left="1978" w:right="0" w:firstLine="0"/>
        <w:jc w:val="left"/>
        <w:rPr>
          <w:sz w:val="16"/>
        </w:rPr>
      </w:pPr>
      <w:r>
        <w:rPr>
          <w:sz w:val="16"/>
        </w:rPr>
        <w:t>Fuente: SEGEPLAN</w:t>
      </w:r>
    </w:p>
    <w:p>
      <w:pPr>
        <w:spacing w:after="0"/>
        <w:jc w:val="left"/>
        <w:rPr>
          <w:sz w:val="16"/>
        </w:rPr>
        <w:sectPr>
          <w:pgSz w:w="12240" w:h="15840"/>
          <w:pgMar w:header="715" w:footer="957" w:top="1240" w:bottom="1140" w:left="1140" w:right="0"/>
        </w:sectPr>
      </w:pPr>
    </w:p>
    <w:p>
      <w:pPr>
        <w:pStyle w:val="Heading3"/>
        <w:spacing w:before="167"/>
        <w:ind w:left="562"/>
        <w:jc w:val="both"/>
      </w:pPr>
      <w:r>
        <w:rPr/>
        <w:t>Pilar 5: Relaciones con el mundo</w:t>
      </w:r>
    </w:p>
    <w:p>
      <w:pPr>
        <w:pStyle w:val="BodyText"/>
        <w:spacing w:before="6"/>
        <w:rPr>
          <w:b/>
          <w:sz w:val="23"/>
        </w:rPr>
      </w:pPr>
    </w:p>
    <w:p>
      <w:pPr>
        <w:pStyle w:val="BodyText"/>
        <w:spacing w:line="276" w:lineRule="auto"/>
        <w:ind w:left="562" w:right="1695"/>
        <w:jc w:val="both"/>
      </w:pPr>
      <w:r>
        <w:rPr/>
        <w:t>Este pilar cuenta con 4 metas con sus respectivos indicadores, las cuales están orientadas principalmente</w:t>
      </w:r>
      <w:r>
        <w:rPr>
          <w:spacing w:val="-14"/>
        </w:rPr>
        <w:t> </w:t>
      </w:r>
      <w:r>
        <w:rPr/>
        <w:t>hacia</w:t>
      </w:r>
      <w:r>
        <w:rPr>
          <w:spacing w:val="-14"/>
        </w:rPr>
        <w:t> </w:t>
      </w:r>
      <w:r>
        <w:rPr/>
        <w:t>mejorar</w:t>
      </w:r>
      <w:r>
        <w:rPr>
          <w:spacing w:val="-12"/>
        </w:rPr>
        <w:t> </w:t>
      </w:r>
      <w:r>
        <w:rPr/>
        <w:t>la</w:t>
      </w:r>
      <w:r>
        <w:rPr>
          <w:spacing w:val="-14"/>
        </w:rPr>
        <w:t> </w:t>
      </w:r>
      <w:r>
        <w:rPr/>
        <w:t>situación</w:t>
      </w:r>
      <w:r>
        <w:rPr>
          <w:spacing w:val="-14"/>
        </w:rPr>
        <w:t> </w:t>
      </w:r>
      <w:r>
        <w:rPr/>
        <w:t>de</w:t>
      </w:r>
      <w:r>
        <w:rPr>
          <w:spacing w:val="-13"/>
        </w:rPr>
        <w:t> </w:t>
      </w:r>
      <w:r>
        <w:rPr/>
        <w:t>los</w:t>
      </w:r>
      <w:r>
        <w:rPr>
          <w:spacing w:val="-14"/>
        </w:rPr>
        <w:t> </w:t>
      </w:r>
      <w:r>
        <w:rPr/>
        <w:t>migrantes</w:t>
      </w:r>
      <w:r>
        <w:rPr>
          <w:spacing w:val="-12"/>
        </w:rPr>
        <w:t> </w:t>
      </w:r>
      <w:r>
        <w:rPr/>
        <w:t>y</w:t>
      </w:r>
      <w:r>
        <w:rPr>
          <w:spacing w:val="-14"/>
        </w:rPr>
        <w:t> </w:t>
      </w:r>
      <w:r>
        <w:rPr/>
        <w:t>aprovechar</w:t>
      </w:r>
      <w:r>
        <w:rPr>
          <w:spacing w:val="-13"/>
        </w:rPr>
        <w:t> </w:t>
      </w:r>
      <w:r>
        <w:rPr/>
        <w:t>las</w:t>
      </w:r>
      <w:r>
        <w:rPr>
          <w:spacing w:val="-12"/>
        </w:rPr>
        <w:t> </w:t>
      </w:r>
      <w:r>
        <w:rPr/>
        <w:t>relaciones</w:t>
      </w:r>
      <w:r>
        <w:rPr>
          <w:spacing w:val="-14"/>
        </w:rPr>
        <w:t> </w:t>
      </w:r>
      <w:r>
        <w:rPr/>
        <w:t>internacionales para propiciar el crecimiento de las exportaciones, el turismo y la inversión extranjera</w:t>
      </w:r>
      <w:r>
        <w:rPr>
          <w:spacing w:val="-23"/>
        </w:rPr>
        <w:t> </w:t>
      </w:r>
      <w:r>
        <w:rPr/>
        <w:t>directa.</w:t>
      </w:r>
    </w:p>
    <w:p>
      <w:pPr>
        <w:pStyle w:val="BodyText"/>
        <w:rPr>
          <w:sz w:val="21"/>
        </w:rPr>
      </w:pPr>
    </w:p>
    <w:p>
      <w:pPr>
        <w:pStyle w:val="Heading3"/>
        <w:numPr>
          <w:ilvl w:val="0"/>
          <w:numId w:val="30"/>
        </w:numPr>
        <w:tabs>
          <w:tab w:pos="1281" w:val="left" w:leader="none"/>
          <w:tab w:pos="1282" w:val="left" w:leader="none"/>
        </w:tabs>
        <w:spacing w:line="240" w:lineRule="auto" w:before="0" w:after="0"/>
        <w:ind w:left="1282" w:right="0" w:hanging="361"/>
        <w:jc w:val="left"/>
      </w:pPr>
      <w:r>
        <w:rPr/>
        <w:t>Metas alcanzadas o</w:t>
      </w:r>
      <w:r>
        <w:rPr>
          <w:spacing w:val="-3"/>
        </w:rPr>
        <w:t> </w:t>
      </w:r>
      <w:r>
        <w:rPr/>
        <w:t>superadas</w:t>
      </w:r>
    </w:p>
    <w:p>
      <w:pPr>
        <w:pStyle w:val="BodyText"/>
        <w:spacing w:before="7"/>
        <w:rPr>
          <w:b/>
          <w:sz w:val="23"/>
        </w:rPr>
      </w:pPr>
    </w:p>
    <w:p>
      <w:pPr>
        <w:pStyle w:val="ListParagraph"/>
        <w:numPr>
          <w:ilvl w:val="1"/>
          <w:numId w:val="30"/>
        </w:numPr>
        <w:tabs>
          <w:tab w:pos="1630" w:val="left" w:leader="none"/>
        </w:tabs>
        <w:spacing w:line="276" w:lineRule="auto" w:before="1" w:after="0"/>
        <w:ind w:left="1630" w:right="1696" w:hanging="360"/>
        <w:jc w:val="both"/>
        <w:rPr>
          <w:sz w:val="22"/>
        </w:rPr>
      </w:pPr>
      <w:r>
        <w:rPr>
          <w:sz w:val="22"/>
        </w:rPr>
        <w:t>Al 2021 las acciones del Gobierno para establecer y fortalecer las relaciones con el mundo</w:t>
      </w:r>
      <w:r>
        <w:rPr>
          <w:spacing w:val="-7"/>
          <w:sz w:val="22"/>
        </w:rPr>
        <w:t> </w:t>
      </w:r>
      <w:r>
        <w:rPr>
          <w:sz w:val="22"/>
        </w:rPr>
        <w:t>para</w:t>
      </w:r>
      <w:r>
        <w:rPr>
          <w:spacing w:val="-9"/>
          <w:sz w:val="22"/>
        </w:rPr>
        <w:t> </w:t>
      </w:r>
      <w:r>
        <w:rPr>
          <w:sz w:val="22"/>
        </w:rPr>
        <w:t>promocionar</w:t>
      </w:r>
      <w:r>
        <w:rPr>
          <w:spacing w:val="-8"/>
          <w:sz w:val="22"/>
        </w:rPr>
        <w:t> </w:t>
      </w:r>
      <w:r>
        <w:rPr>
          <w:sz w:val="22"/>
        </w:rPr>
        <w:t>la</w:t>
      </w:r>
      <w:r>
        <w:rPr>
          <w:spacing w:val="-8"/>
          <w:sz w:val="22"/>
        </w:rPr>
        <w:t> </w:t>
      </w:r>
      <w:r>
        <w:rPr>
          <w:sz w:val="22"/>
        </w:rPr>
        <w:t>inversión</w:t>
      </w:r>
      <w:r>
        <w:rPr>
          <w:spacing w:val="-10"/>
          <w:sz w:val="22"/>
        </w:rPr>
        <w:t> </w:t>
      </w:r>
      <w:r>
        <w:rPr>
          <w:sz w:val="22"/>
        </w:rPr>
        <w:t>extranjera,</w:t>
      </w:r>
      <w:r>
        <w:rPr>
          <w:spacing w:val="-9"/>
          <w:sz w:val="22"/>
        </w:rPr>
        <w:t> </w:t>
      </w:r>
      <w:r>
        <w:rPr>
          <w:sz w:val="22"/>
        </w:rPr>
        <w:t>muestra</w:t>
      </w:r>
      <w:r>
        <w:rPr>
          <w:spacing w:val="-8"/>
          <w:sz w:val="22"/>
        </w:rPr>
        <w:t> </w:t>
      </w:r>
      <w:r>
        <w:rPr>
          <w:sz w:val="22"/>
        </w:rPr>
        <w:t>avance</w:t>
      </w:r>
      <w:r>
        <w:rPr>
          <w:spacing w:val="-7"/>
          <w:sz w:val="22"/>
        </w:rPr>
        <w:t> </w:t>
      </w:r>
      <w:r>
        <w:rPr>
          <w:sz w:val="22"/>
        </w:rPr>
        <w:t>significativo</w:t>
      </w:r>
      <w:r>
        <w:rPr>
          <w:spacing w:val="-7"/>
          <w:sz w:val="22"/>
        </w:rPr>
        <w:t> </w:t>
      </w:r>
      <w:r>
        <w:rPr>
          <w:sz w:val="22"/>
        </w:rPr>
        <w:t>en</w:t>
      </w:r>
      <w:r>
        <w:rPr>
          <w:spacing w:val="-8"/>
          <w:sz w:val="22"/>
        </w:rPr>
        <w:t> </w:t>
      </w:r>
      <w:r>
        <w:rPr>
          <w:sz w:val="22"/>
        </w:rPr>
        <w:t>la</w:t>
      </w:r>
      <w:r>
        <w:rPr>
          <w:spacing w:val="-9"/>
          <w:sz w:val="22"/>
        </w:rPr>
        <w:t> </w:t>
      </w:r>
      <w:r>
        <w:rPr>
          <w:sz w:val="22"/>
        </w:rPr>
        <w:t>meta que refiere al impulso de la marca país a través de los esfuerzos del Instituto Guatemalteco de Turismo (INGUAT), las fases 1 y 2 se desarrollaron durante el 2021. Se</w:t>
      </w:r>
      <w:r>
        <w:rPr>
          <w:spacing w:val="-7"/>
          <w:sz w:val="22"/>
        </w:rPr>
        <w:t> </w:t>
      </w:r>
      <w:r>
        <w:rPr>
          <w:sz w:val="22"/>
        </w:rPr>
        <w:t>tiene</w:t>
      </w:r>
      <w:r>
        <w:rPr>
          <w:spacing w:val="-6"/>
          <w:sz w:val="22"/>
        </w:rPr>
        <w:t> </w:t>
      </w:r>
      <w:r>
        <w:rPr>
          <w:sz w:val="22"/>
        </w:rPr>
        <w:t>previsto</w:t>
      </w:r>
      <w:r>
        <w:rPr>
          <w:spacing w:val="-6"/>
          <w:sz w:val="22"/>
        </w:rPr>
        <w:t> </w:t>
      </w:r>
      <w:r>
        <w:rPr>
          <w:sz w:val="22"/>
        </w:rPr>
        <w:t>que</w:t>
      </w:r>
      <w:r>
        <w:rPr>
          <w:spacing w:val="-7"/>
          <w:sz w:val="22"/>
        </w:rPr>
        <w:t> </w:t>
      </w:r>
      <w:r>
        <w:rPr>
          <w:sz w:val="22"/>
        </w:rPr>
        <w:t>de</w:t>
      </w:r>
      <w:r>
        <w:rPr>
          <w:spacing w:val="-8"/>
          <w:sz w:val="22"/>
        </w:rPr>
        <w:t> </w:t>
      </w:r>
      <w:r>
        <w:rPr>
          <w:sz w:val="22"/>
        </w:rPr>
        <w:t>las</w:t>
      </w:r>
      <w:r>
        <w:rPr>
          <w:spacing w:val="-10"/>
          <w:sz w:val="22"/>
        </w:rPr>
        <w:t> </w:t>
      </w:r>
      <w:r>
        <w:rPr>
          <w:sz w:val="22"/>
        </w:rPr>
        <w:t>fases</w:t>
      </w:r>
      <w:r>
        <w:rPr>
          <w:spacing w:val="-6"/>
          <w:sz w:val="22"/>
        </w:rPr>
        <w:t> </w:t>
      </w:r>
      <w:r>
        <w:rPr>
          <w:sz w:val="22"/>
        </w:rPr>
        <w:t>3</w:t>
      </w:r>
      <w:r>
        <w:rPr>
          <w:spacing w:val="-7"/>
          <w:sz w:val="22"/>
        </w:rPr>
        <w:t> </w:t>
      </w:r>
      <w:r>
        <w:rPr>
          <w:sz w:val="22"/>
        </w:rPr>
        <w:t>a</w:t>
      </w:r>
      <w:r>
        <w:rPr>
          <w:spacing w:val="-8"/>
          <w:sz w:val="22"/>
        </w:rPr>
        <w:t> </w:t>
      </w:r>
      <w:r>
        <w:rPr>
          <w:sz w:val="22"/>
        </w:rPr>
        <w:t>la</w:t>
      </w:r>
      <w:r>
        <w:rPr>
          <w:spacing w:val="-8"/>
          <w:sz w:val="22"/>
        </w:rPr>
        <w:t> </w:t>
      </w:r>
      <w:r>
        <w:rPr>
          <w:sz w:val="22"/>
        </w:rPr>
        <w:t>fase</w:t>
      </w:r>
      <w:r>
        <w:rPr>
          <w:spacing w:val="-6"/>
          <w:sz w:val="22"/>
        </w:rPr>
        <w:t> </w:t>
      </w:r>
      <w:r>
        <w:rPr>
          <w:sz w:val="22"/>
        </w:rPr>
        <w:t>7</w:t>
      </w:r>
      <w:r>
        <w:rPr>
          <w:spacing w:val="-4"/>
          <w:sz w:val="22"/>
        </w:rPr>
        <w:t> </w:t>
      </w:r>
      <w:r>
        <w:rPr>
          <w:i/>
          <w:sz w:val="22"/>
        </w:rPr>
        <w:t>(fase</w:t>
      </w:r>
      <w:r>
        <w:rPr>
          <w:i/>
          <w:spacing w:val="-6"/>
          <w:sz w:val="22"/>
        </w:rPr>
        <w:t> </w:t>
      </w:r>
      <w:r>
        <w:rPr>
          <w:i/>
          <w:sz w:val="22"/>
        </w:rPr>
        <w:t>final)</w:t>
      </w:r>
      <w:r>
        <w:rPr>
          <w:i/>
          <w:spacing w:val="-7"/>
          <w:sz w:val="22"/>
        </w:rPr>
        <w:t> </w:t>
      </w:r>
      <w:r>
        <w:rPr>
          <w:sz w:val="22"/>
        </w:rPr>
        <w:t>se</w:t>
      </w:r>
      <w:r>
        <w:rPr>
          <w:spacing w:val="-7"/>
          <w:sz w:val="22"/>
        </w:rPr>
        <w:t> </w:t>
      </w:r>
      <w:r>
        <w:rPr>
          <w:sz w:val="22"/>
        </w:rPr>
        <w:t>desarrollen</w:t>
      </w:r>
      <w:r>
        <w:rPr>
          <w:spacing w:val="-6"/>
          <w:sz w:val="22"/>
        </w:rPr>
        <w:t> </w:t>
      </w:r>
      <w:r>
        <w:rPr>
          <w:sz w:val="22"/>
        </w:rPr>
        <w:t>durante</w:t>
      </w:r>
      <w:r>
        <w:rPr>
          <w:spacing w:val="-8"/>
          <w:sz w:val="22"/>
        </w:rPr>
        <w:t> </w:t>
      </w:r>
      <w:r>
        <w:rPr>
          <w:sz w:val="22"/>
        </w:rPr>
        <w:t>el</w:t>
      </w:r>
      <w:r>
        <w:rPr>
          <w:spacing w:val="-5"/>
          <w:sz w:val="22"/>
        </w:rPr>
        <w:t> </w:t>
      </w:r>
      <w:r>
        <w:rPr>
          <w:sz w:val="22"/>
        </w:rPr>
        <w:t>primer cuatrimestre del 2022 para completar la meta</w:t>
      </w:r>
      <w:r>
        <w:rPr>
          <w:spacing w:val="-6"/>
          <w:sz w:val="22"/>
        </w:rPr>
        <w:t> </w:t>
      </w:r>
      <w:r>
        <w:rPr>
          <w:sz w:val="22"/>
        </w:rPr>
        <w:t>establecida.</w:t>
      </w:r>
    </w:p>
    <w:p>
      <w:pPr>
        <w:pStyle w:val="BodyText"/>
        <w:spacing w:before="1"/>
        <w:rPr>
          <w:sz w:val="21"/>
        </w:rPr>
      </w:pPr>
    </w:p>
    <w:p>
      <w:pPr>
        <w:pStyle w:val="Heading3"/>
        <w:numPr>
          <w:ilvl w:val="0"/>
          <w:numId w:val="30"/>
        </w:numPr>
        <w:tabs>
          <w:tab w:pos="1281" w:val="left" w:leader="none"/>
          <w:tab w:pos="1282" w:val="left" w:leader="none"/>
        </w:tabs>
        <w:spacing w:line="240" w:lineRule="auto" w:before="0" w:after="0"/>
        <w:ind w:left="1282" w:right="0" w:hanging="361"/>
        <w:jc w:val="left"/>
      </w:pPr>
      <w:r>
        <w:rPr/>
        <w:t>Metas con</w:t>
      </w:r>
      <w:r>
        <w:rPr>
          <w:spacing w:val="-2"/>
        </w:rPr>
        <w:t> </w:t>
      </w:r>
      <w:r>
        <w:rPr/>
        <w:t>avance</w:t>
      </w:r>
    </w:p>
    <w:p>
      <w:pPr>
        <w:pStyle w:val="BodyText"/>
        <w:spacing w:before="8"/>
        <w:rPr>
          <w:b/>
          <w:sz w:val="23"/>
        </w:rPr>
      </w:pPr>
    </w:p>
    <w:p>
      <w:pPr>
        <w:pStyle w:val="ListParagraph"/>
        <w:numPr>
          <w:ilvl w:val="1"/>
          <w:numId w:val="30"/>
        </w:numPr>
        <w:tabs>
          <w:tab w:pos="1630" w:val="left" w:leader="none"/>
        </w:tabs>
        <w:spacing w:line="276" w:lineRule="auto" w:before="0" w:after="0"/>
        <w:ind w:left="1630" w:right="1700" w:hanging="360"/>
        <w:jc w:val="both"/>
        <w:rPr>
          <w:sz w:val="22"/>
        </w:rPr>
      </w:pPr>
      <w:r>
        <w:rPr>
          <w:sz w:val="22"/>
        </w:rPr>
        <w:t>Respecto a la mejora de la situación de los migrantes, el Instituto Guatemalteco de Migración (IGM) mostró el 40% de avance de la meta que refieren a la implementación de la Política de Atención a</w:t>
      </w:r>
      <w:r>
        <w:rPr>
          <w:spacing w:val="-5"/>
          <w:sz w:val="22"/>
        </w:rPr>
        <w:t> </w:t>
      </w:r>
      <w:r>
        <w:rPr>
          <w:sz w:val="22"/>
        </w:rPr>
        <w:t>Migrantes.</w:t>
      </w:r>
    </w:p>
    <w:p>
      <w:pPr>
        <w:pStyle w:val="BodyText"/>
        <w:spacing w:before="1"/>
        <w:rPr>
          <w:sz w:val="25"/>
        </w:rPr>
      </w:pPr>
    </w:p>
    <w:p>
      <w:pPr>
        <w:pStyle w:val="ListParagraph"/>
        <w:numPr>
          <w:ilvl w:val="1"/>
          <w:numId w:val="30"/>
        </w:numPr>
        <w:tabs>
          <w:tab w:pos="1630" w:val="left" w:leader="none"/>
        </w:tabs>
        <w:spacing w:line="276" w:lineRule="auto" w:before="0" w:after="0"/>
        <w:ind w:left="1630" w:right="1693" w:hanging="360"/>
        <w:jc w:val="both"/>
        <w:rPr>
          <w:sz w:val="22"/>
        </w:rPr>
      </w:pPr>
      <w:r>
        <w:rPr>
          <w:sz w:val="22"/>
        </w:rPr>
        <w:t>El Ministerio de Relaciones Exteriores durante 2021 logró aumentar 1 consulado, derivado de que el presupuesto de Ingresos y Egresos para este fin no ha variado desde el 2018. Se tiene planificada la apertura de 3 nuevos consulados en el 2022, aunque se considerará la demanda de servicios por parte de la población guatemalteca como parte de la</w:t>
      </w:r>
      <w:r>
        <w:rPr>
          <w:spacing w:val="-3"/>
          <w:sz w:val="22"/>
        </w:rPr>
        <w:t> </w:t>
      </w:r>
      <w:r>
        <w:rPr>
          <w:sz w:val="22"/>
        </w:rPr>
        <w:t>planificación.</w:t>
      </w:r>
    </w:p>
    <w:p>
      <w:pPr>
        <w:pStyle w:val="BodyText"/>
        <w:spacing w:before="2"/>
        <w:rPr>
          <w:sz w:val="21"/>
        </w:rPr>
      </w:pPr>
    </w:p>
    <w:p>
      <w:pPr>
        <w:pStyle w:val="Heading3"/>
        <w:numPr>
          <w:ilvl w:val="0"/>
          <w:numId w:val="30"/>
        </w:numPr>
        <w:tabs>
          <w:tab w:pos="1281" w:val="left" w:leader="none"/>
          <w:tab w:pos="1282" w:val="left" w:leader="none"/>
        </w:tabs>
        <w:spacing w:line="240" w:lineRule="auto" w:before="0" w:after="0"/>
        <w:ind w:left="1282" w:right="0" w:hanging="361"/>
        <w:jc w:val="left"/>
      </w:pPr>
      <w:r>
        <w:rPr/>
        <w:t>Meta sin</w:t>
      </w:r>
      <w:r>
        <w:rPr>
          <w:spacing w:val="-5"/>
        </w:rPr>
        <w:t> </w:t>
      </w:r>
      <w:r>
        <w:rPr/>
        <w:t>avance</w:t>
      </w:r>
    </w:p>
    <w:p>
      <w:pPr>
        <w:pStyle w:val="BodyText"/>
        <w:spacing w:before="7"/>
        <w:rPr>
          <w:b/>
          <w:sz w:val="23"/>
        </w:rPr>
      </w:pPr>
    </w:p>
    <w:p>
      <w:pPr>
        <w:pStyle w:val="ListParagraph"/>
        <w:numPr>
          <w:ilvl w:val="1"/>
          <w:numId w:val="30"/>
        </w:numPr>
        <w:tabs>
          <w:tab w:pos="1630" w:val="left" w:leader="none"/>
        </w:tabs>
        <w:spacing w:line="276" w:lineRule="auto" w:before="1" w:after="0"/>
        <w:ind w:left="1630" w:right="1696" w:hanging="360"/>
        <w:jc w:val="both"/>
        <w:rPr>
          <w:sz w:val="22"/>
        </w:rPr>
      </w:pPr>
      <w:r>
        <w:rPr>
          <w:sz w:val="22"/>
        </w:rPr>
        <w:t>Respecto al crecimiento del turismo, la meta que se refiere a la calificación del índice</w:t>
      </w:r>
      <w:r>
        <w:rPr>
          <w:spacing w:val="-34"/>
          <w:sz w:val="22"/>
        </w:rPr>
        <w:t> </w:t>
      </w:r>
      <w:r>
        <w:rPr>
          <w:spacing w:val="-3"/>
          <w:sz w:val="22"/>
        </w:rPr>
        <w:t>de </w:t>
      </w:r>
      <w:r>
        <w:rPr>
          <w:sz w:val="22"/>
        </w:rPr>
        <w:t>competitividad, no ha sido publicado por el Foro Económico Mundial -WEF por sus siglas en inglés-, el Reporte de Competitividad en Viajes y Turismo 2021, lo cual tendrá un</w:t>
      </w:r>
      <w:r>
        <w:rPr>
          <w:spacing w:val="-12"/>
          <w:sz w:val="22"/>
        </w:rPr>
        <w:t> </w:t>
      </w:r>
      <w:r>
        <w:rPr>
          <w:sz w:val="22"/>
        </w:rPr>
        <w:t>significativo</w:t>
      </w:r>
      <w:r>
        <w:rPr>
          <w:spacing w:val="-11"/>
          <w:sz w:val="22"/>
        </w:rPr>
        <w:t> </w:t>
      </w:r>
      <w:r>
        <w:rPr>
          <w:sz w:val="22"/>
        </w:rPr>
        <w:t>cambio</w:t>
      </w:r>
      <w:r>
        <w:rPr>
          <w:spacing w:val="-12"/>
          <w:sz w:val="22"/>
        </w:rPr>
        <w:t> </w:t>
      </w:r>
      <w:r>
        <w:rPr>
          <w:sz w:val="22"/>
        </w:rPr>
        <w:t>en</w:t>
      </w:r>
      <w:r>
        <w:rPr>
          <w:spacing w:val="-13"/>
          <w:sz w:val="22"/>
        </w:rPr>
        <w:t> </w:t>
      </w:r>
      <w:r>
        <w:rPr>
          <w:sz w:val="22"/>
        </w:rPr>
        <w:t>las</w:t>
      </w:r>
      <w:r>
        <w:rPr>
          <w:spacing w:val="-10"/>
          <w:sz w:val="22"/>
        </w:rPr>
        <w:t> </w:t>
      </w:r>
      <w:r>
        <w:rPr>
          <w:sz w:val="22"/>
        </w:rPr>
        <w:t>mediciones</w:t>
      </w:r>
      <w:r>
        <w:rPr>
          <w:spacing w:val="-13"/>
          <w:sz w:val="22"/>
        </w:rPr>
        <w:t> </w:t>
      </w:r>
      <w:r>
        <w:rPr>
          <w:sz w:val="22"/>
        </w:rPr>
        <w:t>de</w:t>
      </w:r>
      <w:r>
        <w:rPr>
          <w:spacing w:val="-13"/>
          <w:sz w:val="22"/>
        </w:rPr>
        <w:t> </w:t>
      </w:r>
      <w:r>
        <w:rPr>
          <w:sz w:val="22"/>
        </w:rPr>
        <w:t>las</w:t>
      </w:r>
      <w:r>
        <w:rPr>
          <w:spacing w:val="-12"/>
          <w:sz w:val="22"/>
        </w:rPr>
        <w:t> </w:t>
      </w:r>
      <w:r>
        <w:rPr>
          <w:sz w:val="22"/>
        </w:rPr>
        <w:t>condiciones</w:t>
      </w:r>
      <w:r>
        <w:rPr>
          <w:spacing w:val="-13"/>
          <w:sz w:val="22"/>
        </w:rPr>
        <w:t> </w:t>
      </w:r>
      <w:r>
        <w:rPr>
          <w:sz w:val="22"/>
        </w:rPr>
        <w:t>de</w:t>
      </w:r>
      <w:r>
        <w:rPr>
          <w:spacing w:val="-13"/>
          <w:sz w:val="22"/>
        </w:rPr>
        <w:t> </w:t>
      </w:r>
      <w:r>
        <w:rPr>
          <w:sz w:val="22"/>
        </w:rPr>
        <w:t>la</w:t>
      </w:r>
      <w:r>
        <w:rPr>
          <w:spacing w:val="-14"/>
          <w:sz w:val="22"/>
        </w:rPr>
        <w:t> </w:t>
      </w:r>
      <w:r>
        <w:rPr>
          <w:sz w:val="22"/>
        </w:rPr>
        <w:t>actividad</w:t>
      </w:r>
      <w:r>
        <w:rPr>
          <w:spacing w:val="-13"/>
          <w:sz w:val="22"/>
        </w:rPr>
        <w:t> </w:t>
      </w:r>
      <w:r>
        <w:rPr>
          <w:sz w:val="22"/>
        </w:rPr>
        <w:t>turística</w:t>
      </w:r>
      <w:r>
        <w:rPr>
          <w:spacing w:val="-10"/>
          <w:sz w:val="22"/>
        </w:rPr>
        <w:t> </w:t>
      </w:r>
      <w:r>
        <w:rPr>
          <w:sz w:val="22"/>
        </w:rPr>
        <w:t>bajo efecto</w:t>
      </w:r>
      <w:r>
        <w:rPr>
          <w:spacing w:val="-4"/>
          <w:sz w:val="22"/>
        </w:rPr>
        <w:t> </w:t>
      </w:r>
      <w:r>
        <w:rPr>
          <w:sz w:val="22"/>
        </w:rPr>
        <w:t>de</w:t>
      </w:r>
      <w:r>
        <w:rPr>
          <w:spacing w:val="-6"/>
          <w:sz w:val="22"/>
        </w:rPr>
        <w:t> </w:t>
      </w:r>
      <w:r>
        <w:rPr>
          <w:sz w:val="22"/>
        </w:rPr>
        <w:t>la</w:t>
      </w:r>
      <w:r>
        <w:rPr>
          <w:spacing w:val="-3"/>
          <w:sz w:val="22"/>
        </w:rPr>
        <w:t> </w:t>
      </w:r>
      <w:r>
        <w:rPr>
          <w:sz w:val="22"/>
        </w:rPr>
        <w:t>Pandemia</w:t>
      </w:r>
      <w:r>
        <w:rPr>
          <w:spacing w:val="-2"/>
          <w:sz w:val="22"/>
        </w:rPr>
        <w:t> </w:t>
      </w:r>
      <w:r>
        <w:rPr>
          <w:sz w:val="22"/>
        </w:rPr>
        <w:t>COVID-19,</w:t>
      </w:r>
      <w:r>
        <w:rPr>
          <w:spacing w:val="-8"/>
          <w:sz w:val="22"/>
        </w:rPr>
        <w:t> </w:t>
      </w:r>
      <w:r>
        <w:rPr>
          <w:sz w:val="22"/>
        </w:rPr>
        <w:t>debido</w:t>
      </w:r>
      <w:r>
        <w:rPr>
          <w:spacing w:val="-4"/>
          <w:sz w:val="22"/>
        </w:rPr>
        <w:t> </w:t>
      </w:r>
      <w:r>
        <w:rPr>
          <w:sz w:val="22"/>
        </w:rPr>
        <w:t>a</w:t>
      </w:r>
      <w:r>
        <w:rPr>
          <w:spacing w:val="-2"/>
          <w:sz w:val="22"/>
        </w:rPr>
        <w:t> </w:t>
      </w:r>
      <w:r>
        <w:rPr>
          <w:sz w:val="22"/>
        </w:rPr>
        <w:t>la</w:t>
      </w:r>
      <w:r>
        <w:rPr>
          <w:spacing w:val="-6"/>
          <w:sz w:val="22"/>
        </w:rPr>
        <w:t> </w:t>
      </w:r>
      <w:r>
        <w:rPr>
          <w:sz w:val="22"/>
        </w:rPr>
        <w:t>incorporación</w:t>
      </w:r>
      <w:r>
        <w:rPr>
          <w:spacing w:val="-4"/>
          <w:sz w:val="22"/>
        </w:rPr>
        <w:t> </w:t>
      </w:r>
      <w:r>
        <w:rPr>
          <w:sz w:val="22"/>
        </w:rPr>
        <w:t>y</w:t>
      </w:r>
      <w:r>
        <w:rPr>
          <w:spacing w:val="-6"/>
          <w:sz w:val="22"/>
        </w:rPr>
        <w:t> </w:t>
      </w:r>
      <w:r>
        <w:rPr>
          <w:sz w:val="22"/>
        </w:rPr>
        <w:t>ajustes</w:t>
      </w:r>
      <w:r>
        <w:rPr>
          <w:spacing w:val="-2"/>
          <w:sz w:val="22"/>
        </w:rPr>
        <w:t> </w:t>
      </w:r>
      <w:r>
        <w:rPr>
          <w:sz w:val="22"/>
        </w:rPr>
        <w:t>de</w:t>
      </w:r>
      <w:r>
        <w:rPr>
          <w:spacing w:val="-3"/>
          <w:sz w:val="22"/>
        </w:rPr>
        <w:t> </w:t>
      </w:r>
      <w:r>
        <w:rPr>
          <w:sz w:val="22"/>
        </w:rPr>
        <w:t>efectos</w:t>
      </w:r>
      <w:r>
        <w:rPr>
          <w:spacing w:val="-5"/>
          <w:sz w:val="22"/>
        </w:rPr>
        <w:t> </w:t>
      </w:r>
      <w:r>
        <w:rPr>
          <w:sz w:val="22"/>
        </w:rPr>
        <w:t>por</w:t>
      </w:r>
      <w:r>
        <w:rPr>
          <w:spacing w:val="-2"/>
          <w:sz w:val="22"/>
        </w:rPr>
        <w:t> </w:t>
      </w:r>
      <w:r>
        <w:rPr>
          <w:sz w:val="22"/>
        </w:rPr>
        <w:t>uso de protocolos de bioseguridad, situación de vacunación, facilidades y transformación digital de servicios, entre</w:t>
      </w:r>
      <w:r>
        <w:rPr>
          <w:spacing w:val="-4"/>
          <w:sz w:val="22"/>
        </w:rPr>
        <w:t> </w:t>
      </w:r>
      <w:r>
        <w:rPr>
          <w:sz w:val="22"/>
        </w:rPr>
        <w:t>otros.</w:t>
      </w:r>
    </w:p>
    <w:p>
      <w:pPr>
        <w:spacing w:after="0" w:line="276" w:lineRule="auto"/>
        <w:jc w:val="both"/>
        <w:rPr>
          <w:sz w:val="22"/>
        </w:rPr>
        <w:sectPr>
          <w:pgSz w:w="12240" w:h="15840"/>
          <w:pgMar w:header="715" w:footer="957" w:top="1240" w:bottom="1140" w:left="1140" w:right="0"/>
        </w:sectPr>
      </w:pPr>
    </w:p>
    <w:p>
      <w:pPr>
        <w:spacing w:before="169"/>
        <w:ind w:left="1395" w:right="2530" w:firstLine="0"/>
        <w:jc w:val="center"/>
        <w:rPr>
          <w:b/>
          <w:sz w:val="20"/>
        </w:rPr>
      </w:pPr>
      <w:bookmarkStart w:name="_bookmark198" w:id="253"/>
      <w:bookmarkEnd w:id="253"/>
      <w:r>
        <w:rPr/>
      </w:r>
      <w:r>
        <w:rPr>
          <w:b/>
          <w:i/>
          <w:sz w:val="20"/>
        </w:rPr>
        <w:t>Tabla 16. </w:t>
      </w:r>
      <w:r>
        <w:rPr>
          <w:b/>
          <w:sz w:val="20"/>
        </w:rPr>
        <w:t>Avances de metas estratégicas</w:t>
      </w:r>
    </w:p>
    <w:p>
      <w:pPr>
        <w:pStyle w:val="Heading3"/>
        <w:spacing w:before="32" w:after="39"/>
        <w:ind w:left="1395" w:right="2531"/>
        <w:jc w:val="center"/>
      </w:pPr>
      <w:r>
        <w:rPr/>
        <w:t>Pilar 5: Relaciones con el mundo</w:t>
      </w:r>
    </w:p>
    <w:tbl>
      <w:tblPr>
        <w:tblW w:w="0" w:type="auto"/>
        <w:jc w:val="left"/>
        <w:tblInd w:w="16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9"/>
        <w:gridCol w:w="3366"/>
        <w:gridCol w:w="944"/>
        <w:gridCol w:w="1603"/>
        <w:gridCol w:w="1529"/>
      </w:tblGrid>
      <w:tr>
        <w:trPr>
          <w:trHeight w:val="505" w:hRule="atLeast"/>
        </w:trPr>
        <w:tc>
          <w:tcPr>
            <w:tcW w:w="789" w:type="dxa"/>
            <w:tcBorders>
              <w:bottom w:val="single" w:sz="12" w:space="0" w:color="000000"/>
              <w:right w:val="single" w:sz="12" w:space="0" w:color="000000"/>
            </w:tcBorders>
            <w:shd w:val="clear" w:color="auto" w:fill="1F4E78"/>
          </w:tcPr>
          <w:p>
            <w:pPr>
              <w:pStyle w:val="TableParagraph"/>
              <w:spacing w:before="135"/>
              <w:ind w:left="222" w:right="209"/>
              <w:jc w:val="center"/>
              <w:rPr>
                <w:b/>
                <w:sz w:val="20"/>
              </w:rPr>
            </w:pPr>
            <w:r>
              <w:rPr>
                <w:b/>
                <w:color w:val="FFFFFF"/>
                <w:sz w:val="20"/>
              </w:rPr>
              <w:t>No.</w:t>
            </w:r>
          </w:p>
        </w:tc>
        <w:tc>
          <w:tcPr>
            <w:tcW w:w="3366" w:type="dxa"/>
            <w:tcBorders>
              <w:left w:val="single" w:sz="12" w:space="0" w:color="000000"/>
              <w:bottom w:val="single" w:sz="12" w:space="0" w:color="000000"/>
              <w:right w:val="single" w:sz="12" w:space="0" w:color="000000"/>
            </w:tcBorders>
            <w:shd w:val="clear" w:color="auto" w:fill="1F4E78"/>
          </w:tcPr>
          <w:p>
            <w:pPr>
              <w:pStyle w:val="TableParagraph"/>
              <w:spacing w:before="11"/>
              <w:ind w:left="677" w:right="657"/>
              <w:jc w:val="center"/>
              <w:rPr>
                <w:b/>
                <w:sz w:val="20"/>
              </w:rPr>
            </w:pPr>
            <w:r>
              <w:rPr>
                <w:b/>
                <w:color w:val="FFFFFF"/>
                <w:sz w:val="20"/>
              </w:rPr>
              <w:t>Descripción de la Meta</w:t>
            </w:r>
          </w:p>
          <w:p>
            <w:pPr>
              <w:pStyle w:val="TableParagraph"/>
              <w:spacing w:line="214" w:lineRule="exact" w:before="31"/>
              <w:ind w:left="677" w:right="655"/>
              <w:jc w:val="center"/>
              <w:rPr>
                <w:b/>
                <w:sz w:val="20"/>
              </w:rPr>
            </w:pPr>
            <w:r>
              <w:rPr>
                <w:b/>
                <w:color w:val="FFFFFF"/>
                <w:sz w:val="20"/>
              </w:rPr>
              <w:t>al 2023</w:t>
            </w:r>
          </w:p>
        </w:tc>
        <w:tc>
          <w:tcPr>
            <w:tcW w:w="944" w:type="dxa"/>
            <w:tcBorders>
              <w:left w:val="single" w:sz="12" w:space="0" w:color="000000"/>
              <w:bottom w:val="single" w:sz="12" w:space="0" w:color="000000"/>
              <w:right w:val="nil"/>
            </w:tcBorders>
            <w:shd w:val="clear" w:color="auto" w:fill="1F4E78"/>
          </w:tcPr>
          <w:p>
            <w:pPr>
              <w:pStyle w:val="TableParagraph"/>
              <w:spacing w:before="7"/>
              <w:rPr>
                <w:b/>
                <w:sz w:val="23"/>
              </w:rPr>
            </w:pPr>
          </w:p>
          <w:p>
            <w:pPr>
              <w:pStyle w:val="TableParagraph"/>
              <w:spacing w:line="214" w:lineRule="exact"/>
              <w:ind w:right="229"/>
              <w:jc w:val="right"/>
              <w:rPr>
                <w:b/>
                <w:sz w:val="20"/>
              </w:rPr>
            </w:pPr>
            <w:r>
              <w:rPr>
                <w:b/>
                <w:color w:val="FFFFFF"/>
                <w:sz w:val="20"/>
              </w:rPr>
              <w:t>Meta</w:t>
            </w:r>
          </w:p>
        </w:tc>
        <w:tc>
          <w:tcPr>
            <w:tcW w:w="1603" w:type="dxa"/>
            <w:tcBorders>
              <w:left w:val="nil"/>
              <w:bottom w:val="single" w:sz="12" w:space="0" w:color="000000"/>
              <w:right w:val="nil"/>
            </w:tcBorders>
            <w:shd w:val="clear" w:color="auto" w:fill="1F4E78"/>
          </w:tcPr>
          <w:p>
            <w:pPr>
              <w:pStyle w:val="TableParagraph"/>
              <w:spacing w:before="11"/>
              <w:ind w:left="129"/>
              <w:rPr>
                <w:b/>
                <w:sz w:val="20"/>
              </w:rPr>
            </w:pPr>
            <w:r>
              <w:rPr>
                <w:b/>
                <w:color w:val="FFFFFF"/>
                <w:sz w:val="20"/>
              </w:rPr>
              <w:t>2021</w:t>
            </w:r>
          </w:p>
          <w:p>
            <w:pPr>
              <w:pStyle w:val="TableParagraph"/>
              <w:spacing w:line="214" w:lineRule="exact" w:before="31"/>
              <w:ind w:left="377"/>
              <w:rPr>
                <w:b/>
                <w:sz w:val="20"/>
              </w:rPr>
            </w:pPr>
            <w:r>
              <w:rPr>
                <w:b/>
                <w:color w:val="FFFFFF"/>
                <w:sz w:val="20"/>
              </w:rPr>
              <w:t>Resultado</w:t>
            </w:r>
          </w:p>
        </w:tc>
        <w:tc>
          <w:tcPr>
            <w:tcW w:w="1529" w:type="dxa"/>
            <w:tcBorders>
              <w:left w:val="nil"/>
              <w:bottom w:val="single" w:sz="12" w:space="0" w:color="000000"/>
              <w:right w:val="nil"/>
            </w:tcBorders>
            <w:shd w:val="clear" w:color="auto" w:fill="1F4E78"/>
          </w:tcPr>
          <w:p>
            <w:pPr>
              <w:pStyle w:val="TableParagraph"/>
              <w:spacing w:before="135"/>
              <w:ind w:left="108" w:right="113"/>
              <w:jc w:val="center"/>
              <w:rPr>
                <w:b/>
                <w:sz w:val="20"/>
              </w:rPr>
            </w:pPr>
            <w:r>
              <w:rPr>
                <w:b/>
                <w:color w:val="FFFFFF"/>
                <w:sz w:val="20"/>
              </w:rPr>
              <w:t>Brecha al 2023</w:t>
            </w:r>
          </w:p>
        </w:tc>
      </w:tr>
      <w:tr>
        <w:trPr>
          <w:trHeight w:val="766" w:hRule="atLeast"/>
        </w:trPr>
        <w:tc>
          <w:tcPr>
            <w:tcW w:w="789" w:type="dxa"/>
            <w:tcBorders>
              <w:top w:val="single" w:sz="12" w:space="0" w:color="000000"/>
              <w:right w:val="single" w:sz="12" w:space="0" w:color="000000"/>
            </w:tcBorders>
            <w:shd w:val="clear" w:color="auto" w:fill="F1F1F1"/>
          </w:tcPr>
          <w:p>
            <w:pPr>
              <w:pStyle w:val="TableParagraph"/>
              <w:spacing w:before="5"/>
              <w:rPr>
                <w:b/>
                <w:sz w:val="22"/>
              </w:rPr>
            </w:pPr>
          </w:p>
          <w:p>
            <w:pPr>
              <w:pStyle w:val="TableParagraph"/>
              <w:ind w:left="13"/>
              <w:jc w:val="center"/>
              <w:rPr>
                <w:sz w:val="20"/>
              </w:rPr>
            </w:pPr>
            <w:r>
              <w:rPr>
                <w:w w:val="99"/>
                <w:sz w:val="20"/>
              </w:rPr>
              <w:t>1</w:t>
            </w:r>
          </w:p>
        </w:tc>
        <w:tc>
          <w:tcPr>
            <w:tcW w:w="3366" w:type="dxa"/>
            <w:tcBorders>
              <w:top w:val="single" w:sz="12" w:space="0" w:color="000000"/>
              <w:left w:val="single" w:sz="12" w:space="0" w:color="000000"/>
              <w:right w:val="single" w:sz="12" w:space="0" w:color="000000"/>
            </w:tcBorders>
            <w:shd w:val="clear" w:color="auto" w:fill="F1F1F1"/>
          </w:tcPr>
          <w:p>
            <w:pPr>
              <w:pStyle w:val="TableParagraph"/>
              <w:tabs>
                <w:tab w:pos="797" w:val="left" w:leader="none"/>
                <w:tab w:pos="1219" w:val="left" w:leader="none"/>
                <w:tab w:pos="2076" w:val="left" w:leader="none"/>
                <w:tab w:pos="2399" w:val="left" w:leader="none"/>
              </w:tabs>
              <w:spacing w:line="271" w:lineRule="auto" w:before="9"/>
              <w:ind w:left="28" w:right="94"/>
              <w:rPr>
                <w:sz w:val="20"/>
              </w:rPr>
            </w:pPr>
            <w:r>
              <w:rPr>
                <w:sz w:val="20"/>
              </w:rPr>
              <w:t>Para el </w:t>
            </w:r>
            <w:r>
              <w:rPr>
                <w:spacing w:val="-5"/>
                <w:sz w:val="20"/>
              </w:rPr>
              <w:t>año </w:t>
            </w:r>
            <w:r>
              <w:rPr>
                <w:sz w:val="20"/>
              </w:rPr>
              <w:t>2023 se </w:t>
            </w:r>
            <w:r>
              <w:rPr>
                <w:spacing w:val="-7"/>
                <w:sz w:val="20"/>
              </w:rPr>
              <w:t>ha </w:t>
            </w:r>
            <w:r>
              <w:rPr>
                <w:spacing w:val="-9"/>
                <w:sz w:val="20"/>
              </w:rPr>
              <w:t>implementado </w:t>
            </w:r>
            <w:r>
              <w:rPr>
                <w:spacing w:val="-19"/>
                <w:sz w:val="20"/>
              </w:rPr>
              <w:t>la </w:t>
            </w:r>
            <w:r>
              <w:rPr>
                <w:spacing w:val="-9"/>
                <w:sz w:val="20"/>
              </w:rPr>
              <w:t>política</w:t>
              <w:tab/>
            </w:r>
            <w:r>
              <w:rPr>
                <w:sz w:val="20"/>
              </w:rPr>
              <w:t>de</w:t>
              <w:tab/>
            </w:r>
            <w:r>
              <w:rPr>
                <w:spacing w:val="-6"/>
                <w:sz w:val="20"/>
              </w:rPr>
              <w:t>atención</w:t>
              <w:tab/>
            </w:r>
            <w:r>
              <w:rPr>
                <w:sz w:val="20"/>
              </w:rPr>
              <w:t>a</w:t>
              <w:tab/>
            </w:r>
            <w:r>
              <w:rPr>
                <w:spacing w:val="-9"/>
                <w:sz w:val="20"/>
              </w:rPr>
              <w:t>migrantes</w:t>
            </w:r>
          </w:p>
          <w:p>
            <w:pPr>
              <w:pStyle w:val="TableParagraph"/>
              <w:spacing w:line="215" w:lineRule="exact" w:before="3"/>
              <w:ind w:left="28"/>
              <w:rPr>
                <w:sz w:val="20"/>
              </w:rPr>
            </w:pPr>
            <w:r>
              <w:rPr>
                <w:sz w:val="20"/>
              </w:rPr>
              <w:t>guatemaltecos</w:t>
            </w:r>
          </w:p>
        </w:tc>
        <w:tc>
          <w:tcPr>
            <w:tcW w:w="944" w:type="dxa"/>
            <w:tcBorders>
              <w:top w:val="single" w:sz="12" w:space="0" w:color="000000"/>
              <w:left w:val="single" w:sz="12" w:space="0" w:color="000000"/>
              <w:right w:val="nil"/>
            </w:tcBorders>
          </w:tcPr>
          <w:p>
            <w:pPr>
              <w:pStyle w:val="TableParagraph"/>
              <w:spacing w:before="6"/>
              <w:rPr>
                <w:b/>
                <w:sz w:val="23"/>
              </w:rPr>
            </w:pPr>
          </w:p>
          <w:p>
            <w:pPr>
              <w:pStyle w:val="TableParagraph"/>
              <w:ind w:right="276"/>
              <w:jc w:val="right"/>
              <w:rPr>
                <w:sz w:val="20"/>
              </w:rPr>
            </w:pPr>
            <w:r>
              <w:rPr>
                <w:w w:val="95"/>
                <w:sz w:val="20"/>
              </w:rPr>
              <w:t>50%</w:t>
            </w:r>
          </w:p>
        </w:tc>
        <w:tc>
          <w:tcPr>
            <w:tcW w:w="1603" w:type="dxa"/>
            <w:tcBorders>
              <w:top w:val="single" w:sz="12" w:space="0" w:color="000000"/>
              <w:left w:val="nil"/>
              <w:right w:val="nil"/>
            </w:tcBorders>
            <w:shd w:val="clear" w:color="auto" w:fill="FFC000"/>
          </w:tcPr>
          <w:p>
            <w:pPr>
              <w:pStyle w:val="TableParagraph"/>
              <w:spacing w:before="6"/>
              <w:rPr>
                <w:b/>
                <w:sz w:val="23"/>
              </w:rPr>
            </w:pPr>
          </w:p>
          <w:p>
            <w:pPr>
              <w:pStyle w:val="TableParagraph"/>
              <w:ind w:left="479" w:right="467"/>
              <w:jc w:val="center"/>
              <w:rPr>
                <w:sz w:val="20"/>
              </w:rPr>
            </w:pPr>
            <w:r>
              <w:rPr>
                <w:sz w:val="20"/>
              </w:rPr>
              <w:t>40.00%</w:t>
            </w:r>
          </w:p>
        </w:tc>
        <w:tc>
          <w:tcPr>
            <w:tcW w:w="1529" w:type="dxa"/>
            <w:tcBorders>
              <w:top w:val="single" w:sz="12" w:space="0" w:color="000000"/>
              <w:left w:val="nil"/>
              <w:bottom w:val="nil"/>
              <w:right w:val="nil"/>
            </w:tcBorders>
          </w:tcPr>
          <w:p>
            <w:pPr>
              <w:pStyle w:val="TableParagraph"/>
              <w:spacing w:before="6"/>
              <w:rPr>
                <w:b/>
                <w:sz w:val="23"/>
              </w:rPr>
            </w:pPr>
          </w:p>
          <w:p>
            <w:pPr>
              <w:pStyle w:val="TableParagraph"/>
              <w:ind w:left="108" w:right="112"/>
              <w:jc w:val="center"/>
              <w:rPr>
                <w:sz w:val="20"/>
              </w:rPr>
            </w:pPr>
            <w:r>
              <w:rPr>
                <w:color w:val="C00000"/>
                <w:sz w:val="20"/>
              </w:rPr>
              <w:t>-60</w:t>
            </w:r>
          </w:p>
        </w:tc>
      </w:tr>
      <w:tr>
        <w:trPr>
          <w:trHeight w:val="507" w:hRule="atLeast"/>
        </w:trPr>
        <w:tc>
          <w:tcPr>
            <w:tcW w:w="789" w:type="dxa"/>
            <w:tcBorders>
              <w:right w:val="single" w:sz="12" w:space="0" w:color="000000"/>
            </w:tcBorders>
            <w:shd w:val="clear" w:color="auto" w:fill="F1F1F1"/>
          </w:tcPr>
          <w:p>
            <w:pPr>
              <w:pStyle w:val="TableParagraph"/>
              <w:spacing w:before="135"/>
              <w:ind w:left="13"/>
              <w:jc w:val="center"/>
              <w:rPr>
                <w:sz w:val="20"/>
              </w:rPr>
            </w:pPr>
            <w:r>
              <w:rPr>
                <w:w w:val="99"/>
                <w:sz w:val="20"/>
              </w:rPr>
              <w:t>2</w:t>
            </w:r>
          </w:p>
        </w:tc>
        <w:tc>
          <w:tcPr>
            <w:tcW w:w="3366" w:type="dxa"/>
            <w:tcBorders>
              <w:left w:val="single" w:sz="12" w:space="0" w:color="000000"/>
              <w:right w:val="single" w:sz="12" w:space="0" w:color="000000"/>
            </w:tcBorders>
            <w:shd w:val="clear" w:color="auto" w:fill="F1F1F1"/>
          </w:tcPr>
          <w:p>
            <w:pPr>
              <w:pStyle w:val="TableParagraph"/>
              <w:spacing w:before="11"/>
              <w:ind w:left="28"/>
              <w:rPr>
                <w:sz w:val="20"/>
              </w:rPr>
            </w:pPr>
            <w:r>
              <w:rPr>
                <w:sz w:val="20"/>
              </w:rPr>
              <w:t>Para el 2023 se ha incrementado en 8 el</w:t>
            </w:r>
          </w:p>
          <w:p>
            <w:pPr>
              <w:pStyle w:val="TableParagraph"/>
              <w:spacing w:line="215" w:lineRule="exact" w:before="31"/>
              <w:ind w:left="28"/>
              <w:rPr>
                <w:sz w:val="20"/>
              </w:rPr>
            </w:pPr>
            <w:r>
              <w:rPr>
                <w:sz w:val="20"/>
              </w:rPr>
              <w:t>número de consulados guatemaltecos</w:t>
            </w:r>
          </w:p>
        </w:tc>
        <w:tc>
          <w:tcPr>
            <w:tcW w:w="944" w:type="dxa"/>
            <w:tcBorders>
              <w:left w:val="single" w:sz="12" w:space="0" w:color="000000"/>
              <w:right w:val="nil"/>
            </w:tcBorders>
          </w:tcPr>
          <w:p>
            <w:pPr>
              <w:pStyle w:val="TableParagraph"/>
              <w:spacing w:before="135"/>
              <w:ind w:left="318" w:right="321"/>
              <w:jc w:val="center"/>
              <w:rPr>
                <w:sz w:val="20"/>
              </w:rPr>
            </w:pPr>
            <w:r>
              <w:rPr>
                <w:sz w:val="20"/>
              </w:rPr>
              <w:t>24</w:t>
            </w:r>
          </w:p>
        </w:tc>
        <w:tc>
          <w:tcPr>
            <w:tcW w:w="1603" w:type="dxa"/>
            <w:tcBorders>
              <w:left w:val="nil"/>
              <w:right w:val="nil"/>
            </w:tcBorders>
            <w:shd w:val="clear" w:color="auto" w:fill="FFC000"/>
          </w:tcPr>
          <w:p>
            <w:pPr>
              <w:pStyle w:val="TableParagraph"/>
              <w:spacing w:before="135"/>
              <w:ind w:left="465" w:right="467"/>
              <w:jc w:val="center"/>
              <w:rPr>
                <w:sz w:val="20"/>
              </w:rPr>
            </w:pPr>
            <w:r>
              <w:rPr>
                <w:sz w:val="20"/>
              </w:rPr>
              <w:t>23</w:t>
            </w:r>
          </w:p>
        </w:tc>
        <w:tc>
          <w:tcPr>
            <w:tcW w:w="1529" w:type="dxa"/>
            <w:tcBorders>
              <w:top w:val="nil"/>
              <w:left w:val="nil"/>
              <w:bottom w:val="nil"/>
              <w:right w:val="nil"/>
            </w:tcBorders>
          </w:tcPr>
          <w:p>
            <w:pPr>
              <w:pStyle w:val="TableParagraph"/>
              <w:spacing w:before="135"/>
              <w:ind w:left="108" w:right="106"/>
              <w:jc w:val="center"/>
              <w:rPr>
                <w:sz w:val="20"/>
              </w:rPr>
            </w:pPr>
            <w:r>
              <w:rPr>
                <w:color w:val="C00000"/>
                <w:sz w:val="20"/>
              </w:rPr>
              <w:t>-5</w:t>
            </w:r>
          </w:p>
        </w:tc>
      </w:tr>
      <w:tr>
        <w:trPr>
          <w:trHeight w:val="507" w:hRule="atLeast"/>
        </w:trPr>
        <w:tc>
          <w:tcPr>
            <w:tcW w:w="789" w:type="dxa"/>
            <w:tcBorders>
              <w:right w:val="single" w:sz="12" w:space="0" w:color="000000"/>
            </w:tcBorders>
            <w:shd w:val="clear" w:color="auto" w:fill="F1F1F1"/>
          </w:tcPr>
          <w:p>
            <w:pPr>
              <w:pStyle w:val="TableParagraph"/>
              <w:spacing w:before="135"/>
              <w:ind w:left="13"/>
              <w:jc w:val="center"/>
              <w:rPr>
                <w:sz w:val="20"/>
              </w:rPr>
            </w:pPr>
            <w:r>
              <w:rPr>
                <w:w w:val="99"/>
                <w:sz w:val="20"/>
              </w:rPr>
              <w:t>3</w:t>
            </w:r>
          </w:p>
        </w:tc>
        <w:tc>
          <w:tcPr>
            <w:tcW w:w="3366" w:type="dxa"/>
            <w:tcBorders>
              <w:left w:val="single" w:sz="12" w:space="0" w:color="000000"/>
              <w:right w:val="single" w:sz="12" w:space="0" w:color="000000"/>
            </w:tcBorders>
            <w:shd w:val="clear" w:color="auto" w:fill="F1F1F1"/>
          </w:tcPr>
          <w:p>
            <w:pPr>
              <w:pStyle w:val="TableParagraph"/>
              <w:spacing w:before="11"/>
              <w:ind w:left="28"/>
              <w:rPr>
                <w:sz w:val="20"/>
              </w:rPr>
            </w:pPr>
            <w:r>
              <w:rPr>
                <w:sz w:val="20"/>
              </w:rPr>
              <w:t>Para el año 2023 se ha completado el</w:t>
            </w:r>
          </w:p>
          <w:p>
            <w:pPr>
              <w:pStyle w:val="TableParagraph"/>
              <w:spacing w:line="215" w:lineRule="exact" w:before="31"/>
              <w:ind w:left="28"/>
              <w:rPr>
                <w:sz w:val="20"/>
              </w:rPr>
            </w:pPr>
            <w:r>
              <w:rPr>
                <w:sz w:val="20"/>
              </w:rPr>
              <w:t>impulso de la marca país</w:t>
            </w:r>
          </w:p>
        </w:tc>
        <w:tc>
          <w:tcPr>
            <w:tcW w:w="944" w:type="dxa"/>
            <w:tcBorders>
              <w:left w:val="single" w:sz="12" w:space="0" w:color="000000"/>
              <w:right w:val="nil"/>
            </w:tcBorders>
          </w:tcPr>
          <w:p>
            <w:pPr>
              <w:pStyle w:val="TableParagraph"/>
              <w:spacing w:before="135"/>
              <w:ind w:right="276"/>
              <w:jc w:val="right"/>
              <w:rPr>
                <w:sz w:val="20"/>
              </w:rPr>
            </w:pPr>
            <w:r>
              <w:rPr>
                <w:w w:val="95"/>
                <w:sz w:val="20"/>
              </w:rPr>
              <w:t>35%</w:t>
            </w:r>
          </w:p>
        </w:tc>
        <w:tc>
          <w:tcPr>
            <w:tcW w:w="1603" w:type="dxa"/>
            <w:tcBorders>
              <w:left w:val="nil"/>
              <w:right w:val="nil"/>
            </w:tcBorders>
            <w:shd w:val="clear" w:color="auto" w:fill="92D050"/>
          </w:tcPr>
          <w:p>
            <w:pPr>
              <w:pStyle w:val="TableParagraph"/>
              <w:spacing w:before="135"/>
              <w:ind w:left="479" w:right="467"/>
              <w:jc w:val="center"/>
              <w:rPr>
                <w:sz w:val="20"/>
              </w:rPr>
            </w:pPr>
            <w:r>
              <w:rPr>
                <w:sz w:val="20"/>
              </w:rPr>
              <w:t>40.00%</w:t>
            </w:r>
          </w:p>
        </w:tc>
        <w:tc>
          <w:tcPr>
            <w:tcW w:w="1529" w:type="dxa"/>
            <w:tcBorders>
              <w:top w:val="nil"/>
              <w:left w:val="nil"/>
              <w:bottom w:val="nil"/>
              <w:right w:val="nil"/>
            </w:tcBorders>
          </w:tcPr>
          <w:p>
            <w:pPr>
              <w:pStyle w:val="TableParagraph"/>
              <w:spacing w:before="135"/>
              <w:ind w:left="108" w:right="112"/>
              <w:jc w:val="center"/>
              <w:rPr>
                <w:sz w:val="20"/>
              </w:rPr>
            </w:pPr>
            <w:r>
              <w:rPr>
                <w:color w:val="C00000"/>
                <w:sz w:val="20"/>
              </w:rPr>
              <w:t>-60</w:t>
            </w:r>
          </w:p>
        </w:tc>
      </w:tr>
      <w:tr>
        <w:trPr>
          <w:trHeight w:val="766" w:hRule="atLeast"/>
        </w:trPr>
        <w:tc>
          <w:tcPr>
            <w:tcW w:w="789" w:type="dxa"/>
            <w:tcBorders>
              <w:bottom w:val="single" w:sz="12" w:space="0" w:color="000000"/>
              <w:right w:val="single" w:sz="12" w:space="0" w:color="000000"/>
            </w:tcBorders>
            <w:shd w:val="clear" w:color="auto" w:fill="F1F1F1"/>
          </w:tcPr>
          <w:p>
            <w:pPr>
              <w:pStyle w:val="TableParagraph"/>
              <w:spacing w:before="7"/>
              <w:rPr>
                <w:b/>
                <w:sz w:val="23"/>
              </w:rPr>
            </w:pPr>
          </w:p>
          <w:p>
            <w:pPr>
              <w:pStyle w:val="TableParagraph"/>
              <w:ind w:left="13"/>
              <w:jc w:val="center"/>
              <w:rPr>
                <w:sz w:val="20"/>
              </w:rPr>
            </w:pPr>
            <w:r>
              <w:rPr>
                <w:w w:val="99"/>
                <w:sz w:val="20"/>
              </w:rPr>
              <w:t>4</w:t>
            </w:r>
          </w:p>
        </w:tc>
        <w:tc>
          <w:tcPr>
            <w:tcW w:w="3366" w:type="dxa"/>
            <w:tcBorders>
              <w:left w:val="single" w:sz="12" w:space="0" w:color="000000"/>
              <w:bottom w:val="single" w:sz="12" w:space="0" w:color="000000"/>
              <w:right w:val="single" w:sz="12" w:space="0" w:color="000000"/>
            </w:tcBorders>
            <w:shd w:val="clear" w:color="auto" w:fill="F1F1F1"/>
          </w:tcPr>
          <w:p>
            <w:pPr>
              <w:pStyle w:val="TableParagraph"/>
              <w:spacing w:line="271" w:lineRule="auto" w:before="11"/>
              <w:ind w:left="28" w:right="94"/>
              <w:rPr>
                <w:sz w:val="20"/>
              </w:rPr>
            </w:pPr>
            <w:r>
              <w:rPr>
                <w:sz w:val="20"/>
              </w:rPr>
              <w:t>Para el año 2023 se ha mejorado la calificación el índice de competitividad</w:t>
            </w:r>
          </w:p>
          <w:p>
            <w:pPr>
              <w:pStyle w:val="TableParagraph"/>
              <w:spacing w:line="214" w:lineRule="exact" w:before="2"/>
              <w:ind w:left="28"/>
              <w:rPr>
                <w:sz w:val="20"/>
              </w:rPr>
            </w:pPr>
            <w:r>
              <w:rPr>
                <w:sz w:val="20"/>
              </w:rPr>
              <w:t>turística en 0.6 puntos porcentuales</w:t>
            </w:r>
          </w:p>
        </w:tc>
        <w:tc>
          <w:tcPr>
            <w:tcW w:w="944" w:type="dxa"/>
            <w:tcBorders>
              <w:left w:val="single" w:sz="12" w:space="0" w:color="000000"/>
              <w:bottom w:val="single" w:sz="12" w:space="0" w:color="000000"/>
              <w:right w:val="nil"/>
            </w:tcBorders>
          </w:tcPr>
          <w:p>
            <w:pPr>
              <w:pStyle w:val="TableParagraph"/>
              <w:spacing w:before="7"/>
              <w:rPr>
                <w:b/>
                <w:sz w:val="23"/>
              </w:rPr>
            </w:pPr>
          </w:p>
          <w:p>
            <w:pPr>
              <w:pStyle w:val="TableParagraph"/>
              <w:ind w:left="318" w:right="321"/>
              <w:jc w:val="center"/>
              <w:rPr>
                <w:sz w:val="20"/>
              </w:rPr>
            </w:pPr>
            <w:r>
              <w:rPr>
                <w:sz w:val="20"/>
              </w:rPr>
              <w:t>3.5</w:t>
            </w:r>
          </w:p>
        </w:tc>
        <w:tc>
          <w:tcPr>
            <w:tcW w:w="1603" w:type="dxa"/>
            <w:tcBorders>
              <w:left w:val="nil"/>
              <w:bottom w:val="single" w:sz="12" w:space="0" w:color="000000"/>
              <w:right w:val="nil"/>
            </w:tcBorders>
            <w:shd w:val="clear" w:color="auto" w:fill="C00000"/>
          </w:tcPr>
          <w:p>
            <w:pPr>
              <w:pStyle w:val="TableParagraph"/>
              <w:spacing w:before="7"/>
              <w:rPr>
                <w:b/>
                <w:sz w:val="23"/>
              </w:rPr>
            </w:pPr>
          </w:p>
          <w:p>
            <w:pPr>
              <w:pStyle w:val="TableParagraph"/>
              <w:ind w:left="466" w:right="467"/>
              <w:jc w:val="center"/>
              <w:rPr>
                <w:sz w:val="20"/>
              </w:rPr>
            </w:pPr>
            <w:r>
              <w:rPr>
                <w:sz w:val="20"/>
              </w:rPr>
              <w:t>3.4</w:t>
            </w:r>
          </w:p>
        </w:tc>
        <w:tc>
          <w:tcPr>
            <w:tcW w:w="1529" w:type="dxa"/>
            <w:tcBorders>
              <w:top w:val="nil"/>
              <w:left w:val="nil"/>
              <w:bottom w:val="single" w:sz="12" w:space="0" w:color="000000"/>
              <w:right w:val="nil"/>
            </w:tcBorders>
          </w:tcPr>
          <w:p>
            <w:pPr>
              <w:pStyle w:val="TableParagraph"/>
              <w:spacing w:before="7"/>
              <w:rPr>
                <w:b/>
                <w:sz w:val="23"/>
              </w:rPr>
            </w:pPr>
          </w:p>
          <w:p>
            <w:pPr>
              <w:pStyle w:val="TableParagraph"/>
              <w:ind w:left="108" w:right="113"/>
              <w:jc w:val="center"/>
              <w:rPr>
                <w:sz w:val="20"/>
              </w:rPr>
            </w:pPr>
            <w:r>
              <w:rPr>
                <w:color w:val="C00000"/>
                <w:sz w:val="20"/>
              </w:rPr>
              <w:t>-0.6</w:t>
            </w:r>
          </w:p>
        </w:tc>
      </w:tr>
    </w:tbl>
    <w:p>
      <w:pPr>
        <w:spacing w:before="48"/>
        <w:ind w:left="1978" w:right="0" w:firstLine="0"/>
        <w:jc w:val="left"/>
        <w:rPr>
          <w:sz w:val="16"/>
        </w:rPr>
      </w:pPr>
      <w:r>
        <w:rPr>
          <w:sz w:val="16"/>
        </w:rPr>
        <w:t>Fuente: SEGEPLAN</w:t>
      </w:r>
    </w:p>
    <w:p>
      <w:pPr>
        <w:pStyle w:val="BodyText"/>
        <w:spacing w:before="11"/>
        <w:rPr>
          <w:sz w:val="20"/>
        </w:rPr>
      </w:pPr>
    </w:p>
    <w:p>
      <w:pPr>
        <w:pStyle w:val="Heading2"/>
        <w:numPr>
          <w:ilvl w:val="2"/>
          <w:numId w:val="13"/>
        </w:numPr>
        <w:tabs>
          <w:tab w:pos="1354" w:val="left" w:leader="none"/>
        </w:tabs>
        <w:spacing w:line="240" w:lineRule="auto" w:before="0" w:after="0"/>
        <w:ind w:left="1354" w:right="0" w:hanging="433"/>
        <w:jc w:val="left"/>
      </w:pPr>
      <w:bookmarkStart w:name="_bookmark199" w:id="254"/>
      <w:bookmarkEnd w:id="254"/>
      <w:r>
        <w:rPr>
          <w:b w:val="0"/>
        </w:rPr>
      </w:r>
      <w:bookmarkStart w:name="_bookmark199" w:id="255"/>
      <w:bookmarkEnd w:id="255"/>
      <w:r>
        <w:rPr/>
        <w:t>E</w:t>
      </w:r>
      <w:r>
        <w:rPr/>
        <w:t>strategia Fiscal Ambiental</w:t>
      </w:r>
      <w:r>
        <w:rPr>
          <w:spacing w:val="3"/>
        </w:rPr>
        <w:t> </w:t>
      </w:r>
      <w:r>
        <w:rPr/>
        <w:t>(EFA)</w:t>
      </w:r>
    </w:p>
    <w:p>
      <w:pPr>
        <w:pStyle w:val="BodyText"/>
        <w:spacing w:before="7"/>
        <w:rPr>
          <w:b/>
          <w:sz w:val="21"/>
        </w:rPr>
      </w:pPr>
    </w:p>
    <w:p>
      <w:pPr>
        <w:spacing w:line="276" w:lineRule="auto" w:before="0"/>
        <w:ind w:left="562" w:right="1695" w:firstLine="0"/>
        <w:jc w:val="both"/>
        <w:rPr>
          <w:sz w:val="22"/>
        </w:rPr>
      </w:pPr>
      <w:r>
        <w:rPr>
          <w:sz w:val="22"/>
        </w:rPr>
        <w:t>El</w:t>
      </w:r>
      <w:r>
        <w:rPr>
          <w:spacing w:val="-4"/>
          <w:sz w:val="22"/>
        </w:rPr>
        <w:t> </w:t>
      </w:r>
      <w:r>
        <w:rPr>
          <w:sz w:val="22"/>
        </w:rPr>
        <w:t>Ministerio</w:t>
      </w:r>
      <w:r>
        <w:rPr>
          <w:spacing w:val="-4"/>
          <w:sz w:val="22"/>
        </w:rPr>
        <w:t> </w:t>
      </w:r>
      <w:r>
        <w:rPr>
          <w:sz w:val="22"/>
        </w:rPr>
        <w:t>de</w:t>
      </w:r>
      <w:r>
        <w:rPr>
          <w:spacing w:val="-4"/>
          <w:sz w:val="22"/>
        </w:rPr>
        <w:t> </w:t>
      </w:r>
      <w:r>
        <w:rPr>
          <w:sz w:val="22"/>
        </w:rPr>
        <w:t>Finanzas</w:t>
      </w:r>
      <w:r>
        <w:rPr>
          <w:spacing w:val="-3"/>
          <w:sz w:val="22"/>
        </w:rPr>
        <w:t> </w:t>
      </w:r>
      <w:r>
        <w:rPr>
          <w:sz w:val="22"/>
        </w:rPr>
        <w:t>Públicas</w:t>
      </w:r>
      <w:r>
        <w:rPr>
          <w:spacing w:val="-3"/>
          <w:sz w:val="22"/>
        </w:rPr>
        <w:t> </w:t>
      </w:r>
      <w:r>
        <w:rPr>
          <w:sz w:val="22"/>
        </w:rPr>
        <w:t>consciente</w:t>
      </w:r>
      <w:r>
        <w:rPr>
          <w:spacing w:val="-4"/>
          <w:sz w:val="22"/>
        </w:rPr>
        <w:t> </w:t>
      </w:r>
      <w:r>
        <w:rPr>
          <w:sz w:val="22"/>
        </w:rPr>
        <w:t>de</w:t>
      </w:r>
      <w:r>
        <w:rPr>
          <w:spacing w:val="-3"/>
          <w:sz w:val="22"/>
        </w:rPr>
        <w:t> </w:t>
      </w:r>
      <w:r>
        <w:rPr>
          <w:sz w:val="22"/>
        </w:rPr>
        <w:t>la</w:t>
      </w:r>
      <w:r>
        <w:rPr>
          <w:spacing w:val="-4"/>
          <w:sz w:val="22"/>
        </w:rPr>
        <w:t> </w:t>
      </w:r>
      <w:r>
        <w:rPr>
          <w:sz w:val="22"/>
        </w:rPr>
        <w:t>problemática</w:t>
      </w:r>
      <w:r>
        <w:rPr>
          <w:spacing w:val="-3"/>
          <w:sz w:val="22"/>
        </w:rPr>
        <w:t> </w:t>
      </w:r>
      <w:r>
        <w:rPr>
          <w:sz w:val="22"/>
        </w:rPr>
        <w:t>de</w:t>
      </w:r>
      <w:r>
        <w:rPr>
          <w:spacing w:val="-3"/>
          <w:sz w:val="22"/>
        </w:rPr>
        <w:t> </w:t>
      </w:r>
      <w:r>
        <w:rPr>
          <w:sz w:val="22"/>
        </w:rPr>
        <w:t>la</w:t>
      </w:r>
      <w:r>
        <w:rPr>
          <w:spacing w:val="-4"/>
          <w:sz w:val="22"/>
        </w:rPr>
        <w:t> </w:t>
      </w:r>
      <w:r>
        <w:rPr>
          <w:sz w:val="22"/>
        </w:rPr>
        <w:t>degradación</w:t>
      </w:r>
      <w:r>
        <w:rPr>
          <w:spacing w:val="-6"/>
          <w:sz w:val="22"/>
        </w:rPr>
        <w:t> </w:t>
      </w:r>
      <w:r>
        <w:rPr>
          <w:sz w:val="22"/>
        </w:rPr>
        <w:t>de</w:t>
      </w:r>
      <w:r>
        <w:rPr>
          <w:spacing w:val="-4"/>
          <w:sz w:val="22"/>
        </w:rPr>
        <w:t> </w:t>
      </w:r>
      <w:r>
        <w:rPr>
          <w:sz w:val="22"/>
        </w:rPr>
        <w:t>los</w:t>
      </w:r>
      <w:r>
        <w:rPr>
          <w:spacing w:val="-3"/>
          <w:sz w:val="22"/>
        </w:rPr>
        <w:t> </w:t>
      </w:r>
      <w:r>
        <w:rPr>
          <w:sz w:val="22"/>
        </w:rPr>
        <w:t>medios</w:t>
      </w:r>
      <w:r>
        <w:rPr>
          <w:spacing w:val="-3"/>
          <w:sz w:val="22"/>
        </w:rPr>
        <w:t> </w:t>
      </w:r>
      <w:r>
        <w:rPr>
          <w:sz w:val="22"/>
        </w:rPr>
        <w:t>de vida</w:t>
      </w:r>
      <w:r>
        <w:rPr>
          <w:spacing w:val="-12"/>
          <w:sz w:val="22"/>
        </w:rPr>
        <w:t> </w:t>
      </w:r>
      <w:r>
        <w:rPr>
          <w:sz w:val="22"/>
        </w:rPr>
        <w:t>y</w:t>
      </w:r>
      <w:r>
        <w:rPr>
          <w:spacing w:val="-13"/>
          <w:sz w:val="22"/>
        </w:rPr>
        <w:t> </w:t>
      </w:r>
      <w:r>
        <w:rPr>
          <w:sz w:val="22"/>
        </w:rPr>
        <w:t>los</w:t>
      </w:r>
      <w:r>
        <w:rPr>
          <w:spacing w:val="-10"/>
          <w:sz w:val="22"/>
        </w:rPr>
        <w:t> </w:t>
      </w:r>
      <w:r>
        <w:rPr>
          <w:sz w:val="22"/>
        </w:rPr>
        <w:t>impactos</w:t>
      </w:r>
      <w:r>
        <w:rPr>
          <w:spacing w:val="-10"/>
          <w:sz w:val="22"/>
        </w:rPr>
        <w:t> </w:t>
      </w:r>
      <w:r>
        <w:rPr>
          <w:sz w:val="22"/>
        </w:rPr>
        <w:t>en</w:t>
      </w:r>
      <w:r>
        <w:rPr>
          <w:spacing w:val="-10"/>
          <w:sz w:val="22"/>
        </w:rPr>
        <w:t> </w:t>
      </w:r>
      <w:r>
        <w:rPr>
          <w:sz w:val="22"/>
        </w:rPr>
        <w:t>los</w:t>
      </w:r>
      <w:r>
        <w:rPr>
          <w:spacing w:val="-13"/>
          <w:sz w:val="22"/>
        </w:rPr>
        <w:t> </w:t>
      </w:r>
      <w:r>
        <w:rPr>
          <w:sz w:val="22"/>
        </w:rPr>
        <w:t>cambios</w:t>
      </w:r>
      <w:r>
        <w:rPr>
          <w:spacing w:val="-10"/>
          <w:sz w:val="22"/>
        </w:rPr>
        <w:t> </w:t>
      </w:r>
      <w:r>
        <w:rPr>
          <w:sz w:val="22"/>
        </w:rPr>
        <w:t>en</w:t>
      </w:r>
      <w:r>
        <w:rPr>
          <w:spacing w:val="-10"/>
          <w:sz w:val="22"/>
        </w:rPr>
        <w:t> </w:t>
      </w:r>
      <w:r>
        <w:rPr>
          <w:sz w:val="22"/>
        </w:rPr>
        <w:t>las</w:t>
      </w:r>
      <w:r>
        <w:rPr>
          <w:spacing w:val="-10"/>
          <w:sz w:val="22"/>
        </w:rPr>
        <w:t> </w:t>
      </w:r>
      <w:r>
        <w:rPr>
          <w:sz w:val="22"/>
        </w:rPr>
        <w:t>condiciones</w:t>
      </w:r>
      <w:r>
        <w:rPr>
          <w:spacing w:val="-10"/>
          <w:sz w:val="22"/>
        </w:rPr>
        <w:t> </w:t>
      </w:r>
      <w:r>
        <w:rPr>
          <w:sz w:val="22"/>
        </w:rPr>
        <w:t>climáticas</w:t>
      </w:r>
      <w:r>
        <w:rPr>
          <w:spacing w:val="-10"/>
          <w:sz w:val="22"/>
        </w:rPr>
        <w:t> </w:t>
      </w:r>
      <w:r>
        <w:rPr>
          <w:sz w:val="22"/>
        </w:rPr>
        <w:t>en</w:t>
      </w:r>
      <w:r>
        <w:rPr>
          <w:spacing w:val="-13"/>
          <w:sz w:val="22"/>
        </w:rPr>
        <w:t> </w:t>
      </w:r>
      <w:r>
        <w:rPr>
          <w:sz w:val="22"/>
        </w:rPr>
        <w:t>los</w:t>
      </w:r>
      <w:r>
        <w:rPr>
          <w:spacing w:val="-10"/>
          <w:sz w:val="22"/>
        </w:rPr>
        <w:t> </w:t>
      </w:r>
      <w:r>
        <w:rPr>
          <w:sz w:val="22"/>
        </w:rPr>
        <w:t>sistemas</w:t>
      </w:r>
      <w:r>
        <w:rPr>
          <w:spacing w:val="-10"/>
          <w:sz w:val="22"/>
        </w:rPr>
        <w:t> </w:t>
      </w:r>
      <w:r>
        <w:rPr>
          <w:sz w:val="22"/>
        </w:rPr>
        <w:t>sociales,</w:t>
      </w:r>
      <w:r>
        <w:rPr>
          <w:spacing w:val="-11"/>
          <w:sz w:val="22"/>
        </w:rPr>
        <w:t> </w:t>
      </w:r>
      <w:r>
        <w:rPr>
          <w:sz w:val="22"/>
        </w:rPr>
        <w:t>económicos y ambientales del país, y haciendo cumplir lo establecido dentro de la Constitución de la República de Guatemala en el Articulo 97, “</w:t>
      </w:r>
      <w:r>
        <w:rPr>
          <w:i/>
          <w:sz w:val="22"/>
        </w:rPr>
        <w:t>El Estado, las municipalidades y los habitantes del territorio </w:t>
      </w:r>
      <w:r>
        <w:rPr>
          <w:i/>
          <w:sz w:val="22"/>
        </w:rPr>
        <w:t>nacional están obligados a propiciar el desarrollo social, económico y tecnológico que prevenga la contaminación del ambiente y mantenga el equilibrio ecológico. Se dictarán todas las normas necesarias para garantizar que la utilización y el aprovechamiento de la fauna, de la flora, de la tierra y del agua, se realicen racionalmente, evitando </w:t>
      </w:r>
      <w:r>
        <w:rPr>
          <w:i/>
          <w:spacing w:val="2"/>
          <w:sz w:val="22"/>
        </w:rPr>
        <w:t>su </w:t>
      </w:r>
      <w:r>
        <w:rPr>
          <w:i/>
          <w:sz w:val="22"/>
        </w:rPr>
        <w:t>depredación</w:t>
      </w:r>
      <w:r>
        <w:rPr>
          <w:sz w:val="22"/>
        </w:rPr>
        <w:t>.”, desarrolló y aprobó la Estrategia Fiscal Ambiental (EFA) mediante el Acuerdo Ministerial 442-2018, la cual tiene como objetivo</w:t>
      </w:r>
      <w:r>
        <w:rPr>
          <w:spacing w:val="-3"/>
          <w:sz w:val="22"/>
        </w:rPr>
        <w:t> </w:t>
      </w:r>
      <w:r>
        <w:rPr>
          <w:sz w:val="22"/>
        </w:rPr>
        <w:t>desarrollar</w:t>
      </w:r>
      <w:r>
        <w:rPr>
          <w:spacing w:val="-4"/>
          <w:sz w:val="22"/>
        </w:rPr>
        <w:t> </w:t>
      </w:r>
      <w:r>
        <w:rPr>
          <w:sz w:val="22"/>
        </w:rPr>
        <w:t>una</w:t>
      </w:r>
      <w:r>
        <w:rPr>
          <w:spacing w:val="-4"/>
          <w:sz w:val="22"/>
        </w:rPr>
        <w:t> </w:t>
      </w:r>
      <w:r>
        <w:rPr>
          <w:sz w:val="22"/>
        </w:rPr>
        <w:t>serie</w:t>
      </w:r>
      <w:r>
        <w:rPr>
          <w:spacing w:val="-2"/>
          <w:sz w:val="22"/>
        </w:rPr>
        <w:t> </w:t>
      </w:r>
      <w:r>
        <w:rPr>
          <w:sz w:val="22"/>
        </w:rPr>
        <w:t>de</w:t>
      </w:r>
      <w:r>
        <w:rPr>
          <w:spacing w:val="-4"/>
          <w:sz w:val="22"/>
        </w:rPr>
        <w:t> </w:t>
      </w:r>
      <w:r>
        <w:rPr>
          <w:sz w:val="22"/>
        </w:rPr>
        <w:t>acciones</w:t>
      </w:r>
      <w:r>
        <w:rPr>
          <w:spacing w:val="-4"/>
          <w:sz w:val="22"/>
        </w:rPr>
        <w:t> </w:t>
      </w:r>
      <w:r>
        <w:rPr>
          <w:sz w:val="22"/>
        </w:rPr>
        <w:t>relacionadas</w:t>
      </w:r>
      <w:r>
        <w:rPr>
          <w:spacing w:val="-4"/>
          <w:sz w:val="22"/>
        </w:rPr>
        <w:t> </w:t>
      </w:r>
      <w:r>
        <w:rPr>
          <w:sz w:val="22"/>
        </w:rPr>
        <w:t>a</w:t>
      </w:r>
      <w:r>
        <w:rPr>
          <w:spacing w:val="-2"/>
          <w:sz w:val="22"/>
        </w:rPr>
        <w:t> </w:t>
      </w:r>
      <w:r>
        <w:rPr>
          <w:sz w:val="22"/>
        </w:rPr>
        <w:t>la</w:t>
      </w:r>
      <w:r>
        <w:rPr>
          <w:spacing w:val="-2"/>
          <w:sz w:val="22"/>
        </w:rPr>
        <w:t> </w:t>
      </w:r>
      <w:r>
        <w:rPr>
          <w:sz w:val="22"/>
        </w:rPr>
        <w:t>política</w:t>
      </w:r>
      <w:r>
        <w:rPr>
          <w:spacing w:val="-4"/>
          <w:sz w:val="22"/>
        </w:rPr>
        <w:t> </w:t>
      </w:r>
      <w:r>
        <w:rPr>
          <w:sz w:val="22"/>
        </w:rPr>
        <w:t>fiscal</w:t>
      </w:r>
      <w:r>
        <w:rPr>
          <w:spacing w:val="-4"/>
          <w:sz w:val="22"/>
        </w:rPr>
        <w:t> </w:t>
      </w:r>
      <w:r>
        <w:rPr>
          <w:sz w:val="22"/>
        </w:rPr>
        <w:t>para</w:t>
      </w:r>
      <w:r>
        <w:rPr>
          <w:spacing w:val="-2"/>
          <w:sz w:val="22"/>
        </w:rPr>
        <w:t> </w:t>
      </w:r>
      <w:r>
        <w:rPr>
          <w:sz w:val="22"/>
        </w:rPr>
        <w:t>vincularla</w:t>
      </w:r>
      <w:r>
        <w:rPr>
          <w:spacing w:val="-4"/>
          <w:sz w:val="22"/>
        </w:rPr>
        <w:t> </w:t>
      </w:r>
      <w:r>
        <w:rPr>
          <w:sz w:val="22"/>
        </w:rPr>
        <w:t>a</w:t>
      </w:r>
      <w:r>
        <w:rPr>
          <w:spacing w:val="-4"/>
          <w:sz w:val="22"/>
        </w:rPr>
        <w:t> </w:t>
      </w:r>
      <w:r>
        <w:rPr>
          <w:sz w:val="22"/>
        </w:rPr>
        <w:t>la</w:t>
      </w:r>
      <w:r>
        <w:rPr>
          <w:spacing w:val="-5"/>
          <w:sz w:val="22"/>
        </w:rPr>
        <w:t> </w:t>
      </w:r>
      <w:r>
        <w:rPr>
          <w:sz w:val="22"/>
        </w:rPr>
        <w:t>política ambiental</w:t>
      </w:r>
      <w:r>
        <w:rPr>
          <w:spacing w:val="-6"/>
          <w:sz w:val="22"/>
        </w:rPr>
        <w:t> </w:t>
      </w:r>
      <w:r>
        <w:rPr>
          <w:sz w:val="22"/>
        </w:rPr>
        <w:t>para</w:t>
      </w:r>
      <w:r>
        <w:rPr>
          <w:spacing w:val="-6"/>
          <w:sz w:val="22"/>
        </w:rPr>
        <w:t> </w:t>
      </w:r>
      <w:r>
        <w:rPr>
          <w:sz w:val="22"/>
        </w:rPr>
        <w:t>coadyuvar</w:t>
      </w:r>
      <w:r>
        <w:rPr>
          <w:spacing w:val="-5"/>
          <w:sz w:val="22"/>
        </w:rPr>
        <w:t> </w:t>
      </w:r>
      <w:r>
        <w:rPr>
          <w:sz w:val="22"/>
        </w:rPr>
        <w:t>a</w:t>
      </w:r>
      <w:r>
        <w:rPr>
          <w:spacing w:val="-7"/>
          <w:sz w:val="22"/>
        </w:rPr>
        <w:t> </w:t>
      </w:r>
      <w:r>
        <w:rPr>
          <w:sz w:val="22"/>
        </w:rPr>
        <w:t>los</w:t>
      </w:r>
      <w:r>
        <w:rPr>
          <w:spacing w:val="-5"/>
          <w:sz w:val="22"/>
        </w:rPr>
        <w:t> </w:t>
      </w:r>
      <w:r>
        <w:rPr>
          <w:sz w:val="22"/>
        </w:rPr>
        <w:t>esfuerzos</w:t>
      </w:r>
      <w:r>
        <w:rPr>
          <w:spacing w:val="-5"/>
          <w:sz w:val="22"/>
        </w:rPr>
        <w:t> </w:t>
      </w:r>
      <w:r>
        <w:rPr>
          <w:sz w:val="22"/>
        </w:rPr>
        <w:t>de</w:t>
      </w:r>
      <w:r>
        <w:rPr>
          <w:spacing w:val="-8"/>
          <w:sz w:val="22"/>
        </w:rPr>
        <w:t> </w:t>
      </w:r>
      <w:r>
        <w:rPr>
          <w:sz w:val="22"/>
        </w:rPr>
        <w:t>país</w:t>
      </w:r>
      <w:r>
        <w:rPr>
          <w:spacing w:val="-7"/>
          <w:sz w:val="22"/>
        </w:rPr>
        <w:t> </w:t>
      </w:r>
      <w:r>
        <w:rPr>
          <w:sz w:val="22"/>
        </w:rPr>
        <w:t>en</w:t>
      </w:r>
      <w:r>
        <w:rPr>
          <w:spacing w:val="-8"/>
          <w:sz w:val="22"/>
        </w:rPr>
        <w:t> </w:t>
      </w:r>
      <w:r>
        <w:rPr>
          <w:sz w:val="22"/>
        </w:rPr>
        <w:t>la</w:t>
      </w:r>
      <w:r>
        <w:rPr>
          <w:spacing w:val="-8"/>
          <w:sz w:val="22"/>
        </w:rPr>
        <w:t> </w:t>
      </w:r>
      <w:r>
        <w:rPr>
          <w:sz w:val="22"/>
        </w:rPr>
        <w:t>reducción</w:t>
      </w:r>
      <w:r>
        <w:rPr>
          <w:spacing w:val="-6"/>
          <w:sz w:val="22"/>
        </w:rPr>
        <w:t> </w:t>
      </w:r>
      <w:r>
        <w:rPr>
          <w:sz w:val="22"/>
        </w:rPr>
        <w:t>de</w:t>
      </w:r>
      <w:r>
        <w:rPr>
          <w:spacing w:val="-6"/>
          <w:sz w:val="22"/>
        </w:rPr>
        <w:t> </w:t>
      </w:r>
      <w:r>
        <w:rPr>
          <w:sz w:val="22"/>
        </w:rPr>
        <w:t>los</w:t>
      </w:r>
      <w:r>
        <w:rPr>
          <w:spacing w:val="-7"/>
          <w:sz w:val="22"/>
        </w:rPr>
        <w:t> </w:t>
      </w:r>
      <w:r>
        <w:rPr>
          <w:sz w:val="22"/>
        </w:rPr>
        <w:t>Gases</w:t>
      </w:r>
      <w:r>
        <w:rPr>
          <w:spacing w:val="-6"/>
          <w:sz w:val="22"/>
        </w:rPr>
        <w:t> </w:t>
      </w:r>
      <w:r>
        <w:rPr>
          <w:sz w:val="22"/>
        </w:rPr>
        <w:t>de</w:t>
      </w:r>
      <w:r>
        <w:rPr>
          <w:spacing w:val="-6"/>
          <w:sz w:val="22"/>
        </w:rPr>
        <w:t> </w:t>
      </w:r>
      <w:r>
        <w:rPr>
          <w:sz w:val="22"/>
        </w:rPr>
        <w:t>Efecto</w:t>
      </w:r>
      <w:r>
        <w:rPr>
          <w:spacing w:val="-6"/>
          <w:sz w:val="22"/>
        </w:rPr>
        <w:t> </w:t>
      </w:r>
      <w:r>
        <w:rPr>
          <w:sz w:val="22"/>
        </w:rPr>
        <w:t>Invernadero, la adaptación de los medios de vida y poblaciones para ser resiliente al cambio climático y demás esfuerzos para el cumplimiento de objetivos nacionales e internacionales en materia ambiental y de cambio</w:t>
      </w:r>
      <w:r>
        <w:rPr>
          <w:spacing w:val="-1"/>
          <w:sz w:val="22"/>
        </w:rPr>
        <w:t> </w:t>
      </w:r>
      <w:r>
        <w:rPr>
          <w:sz w:val="22"/>
        </w:rPr>
        <w:t>climático.</w:t>
      </w:r>
    </w:p>
    <w:p>
      <w:pPr>
        <w:pStyle w:val="BodyText"/>
        <w:spacing w:line="276" w:lineRule="auto" w:before="159"/>
        <w:ind w:left="562" w:right="1695"/>
        <w:jc w:val="both"/>
      </w:pPr>
      <w:r>
        <w:rPr/>
        <w:t>Como</w:t>
      </w:r>
      <w:r>
        <w:rPr>
          <w:spacing w:val="-3"/>
        </w:rPr>
        <w:t> </w:t>
      </w:r>
      <w:r>
        <w:rPr/>
        <w:t>resultado</w:t>
      </w:r>
      <w:r>
        <w:rPr>
          <w:spacing w:val="-4"/>
        </w:rPr>
        <w:t> </w:t>
      </w:r>
      <w:r>
        <w:rPr/>
        <w:t>del</w:t>
      </w:r>
      <w:r>
        <w:rPr>
          <w:spacing w:val="-2"/>
        </w:rPr>
        <w:t> </w:t>
      </w:r>
      <w:r>
        <w:rPr/>
        <w:t>proceso</w:t>
      </w:r>
      <w:r>
        <w:rPr>
          <w:spacing w:val="-2"/>
        </w:rPr>
        <w:t> </w:t>
      </w:r>
      <w:r>
        <w:rPr/>
        <w:t>de</w:t>
      </w:r>
      <w:r>
        <w:rPr>
          <w:spacing w:val="-4"/>
        </w:rPr>
        <w:t> </w:t>
      </w:r>
      <w:r>
        <w:rPr/>
        <w:t>institucionalización</w:t>
      </w:r>
      <w:r>
        <w:rPr>
          <w:spacing w:val="-6"/>
        </w:rPr>
        <w:t> </w:t>
      </w:r>
      <w:r>
        <w:rPr/>
        <w:t>y</w:t>
      </w:r>
      <w:r>
        <w:rPr>
          <w:spacing w:val="-5"/>
        </w:rPr>
        <w:t> </w:t>
      </w:r>
      <w:r>
        <w:rPr/>
        <w:t>socialización</w:t>
      </w:r>
      <w:r>
        <w:rPr>
          <w:spacing w:val="-5"/>
        </w:rPr>
        <w:t> </w:t>
      </w:r>
      <w:r>
        <w:rPr/>
        <w:t>de</w:t>
      </w:r>
      <w:r>
        <w:rPr>
          <w:spacing w:val="-5"/>
        </w:rPr>
        <w:t> </w:t>
      </w:r>
      <w:r>
        <w:rPr/>
        <w:t>la</w:t>
      </w:r>
      <w:r>
        <w:rPr>
          <w:spacing w:val="-4"/>
        </w:rPr>
        <w:t> </w:t>
      </w:r>
      <w:r>
        <w:rPr/>
        <w:t>Estrategia</w:t>
      </w:r>
      <w:r>
        <w:rPr>
          <w:spacing w:val="-2"/>
        </w:rPr>
        <w:t> </w:t>
      </w:r>
      <w:r>
        <w:rPr/>
        <w:t>Fiscal</w:t>
      </w:r>
      <w:r>
        <w:rPr>
          <w:spacing w:val="-2"/>
        </w:rPr>
        <w:t> </w:t>
      </w:r>
      <w:r>
        <w:rPr/>
        <w:t>Ambiental (EFA)</w:t>
      </w:r>
      <w:r>
        <w:rPr>
          <w:spacing w:val="-6"/>
        </w:rPr>
        <w:t> </w:t>
      </w:r>
      <w:r>
        <w:rPr/>
        <w:t>por</w:t>
      </w:r>
      <w:r>
        <w:rPr>
          <w:spacing w:val="-5"/>
        </w:rPr>
        <w:t> </w:t>
      </w:r>
      <w:r>
        <w:rPr/>
        <w:t>parte</w:t>
      </w:r>
      <w:r>
        <w:rPr>
          <w:spacing w:val="-8"/>
        </w:rPr>
        <w:t> </w:t>
      </w:r>
      <w:r>
        <w:rPr/>
        <w:t>del</w:t>
      </w:r>
      <w:r>
        <w:rPr>
          <w:spacing w:val="-8"/>
        </w:rPr>
        <w:t> </w:t>
      </w:r>
      <w:r>
        <w:rPr/>
        <w:t>Ministerio</w:t>
      </w:r>
      <w:r>
        <w:rPr>
          <w:spacing w:val="-9"/>
        </w:rPr>
        <w:t> </w:t>
      </w:r>
      <w:r>
        <w:rPr/>
        <w:t>se</w:t>
      </w:r>
      <w:r>
        <w:rPr>
          <w:spacing w:val="-8"/>
        </w:rPr>
        <w:t> </w:t>
      </w:r>
      <w:r>
        <w:rPr/>
        <w:t>creó</w:t>
      </w:r>
      <w:r>
        <w:rPr>
          <w:spacing w:val="-8"/>
        </w:rPr>
        <w:t> </w:t>
      </w:r>
      <w:r>
        <w:rPr/>
        <w:t>la</w:t>
      </w:r>
      <w:r>
        <w:rPr>
          <w:spacing w:val="-8"/>
        </w:rPr>
        <w:t> </w:t>
      </w:r>
      <w:r>
        <w:rPr/>
        <w:t>Mesa</w:t>
      </w:r>
      <w:r>
        <w:rPr>
          <w:spacing w:val="-9"/>
        </w:rPr>
        <w:t> </w:t>
      </w:r>
      <w:r>
        <w:rPr/>
        <w:t>Técnica</w:t>
      </w:r>
      <w:r>
        <w:rPr>
          <w:spacing w:val="-8"/>
        </w:rPr>
        <w:t> </w:t>
      </w:r>
      <w:r>
        <w:rPr/>
        <w:t>Interna</w:t>
      </w:r>
      <w:r>
        <w:rPr>
          <w:spacing w:val="-6"/>
        </w:rPr>
        <w:t> </w:t>
      </w:r>
      <w:r>
        <w:rPr/>
        <w:t>de</w:t>
      </w:r>
      <w:r>
        <w:rPr>
          <w:spacing w:val="-8"/>
        </w:rPr>
        <w:t> </w:t>
      </w:r>
      <w:r>
        <w:rPr/>
        <w:t>la</w:t>
      </w:r>
      <w:r>
        <w:rPr>
          <w:spacing w:val="-8"/>
        </w:rPr>
        <w:t> </w:t>
      </w:r>
      <w:r>
        <w:rPr/>
        <w:t>Estrategia</w:t>
      </w:r>
      <w:r>
        <w:rPr>
          <w:spacing w:val="-9"/>
        </w:rPr>
        <w:t> </w:t>
      </w:r>
      <w:r>
        <w:rPr/>
        <w:t>Fiscal</w:t>
      </w:r>
      <w:r>
        <w:rPr>
          <w:spacing w:val="-5"/>
        </w:rPr>
        <w:t> </w:t>
      </w:r>
      <w:r>
        <w:rPr/>
        <w:t>Ambiental,</w:t>
      </w:r>
      <w:r>
        <w:rPr>
          <w:spacing w:val="-9"/>
        </w:rPr>
        <w:t> </w:t>
      </w:r>
      <w:r>
        <w:rPr/>
        <w:t>por medio del Acuerdo Ministerial 4-2019 (reforma mediante Acuerdo Gubernativo 131-2021) y su reglamento por medio del Acuerdo Ministerial 398-2019, con el objetivo de dotar de operatividad a la EFA, en donde forman parte nueve direcciones vinculadas directamente con los cinco ejes estratégicos de la misma (Ver</w:t>
      </w:r>
      <w:r>
        <w:rPr>
          <w:spacing w:val="-1"/>
        </w:rPr>
        <w:t> </w:t>
      </w:r>
      <w:r>
        <w:rPr/>
        <w:t>anexo).</w:t>
      </w:r>
    </w:p>
    <w:p>
      <w:pPr>
        <w:pStyle w:val="BodyText"/>
        <w:spacing w:line="276" w:lineRule="auto" w:before="161"/>
        <w:ind w:left="562" w:right="1693"/>
        <w:jc w:val="both"/>
      </w:pPr>
      <w:r>
        <w:rPr/>
        <w:t>Asimismo, el Ministerio de Finanzas Públicas trabaja de la mano con las instituciones del sector público vinculadas directamente en donde se tiene el apoyo de los Ministerios de Ambiente y Recursos Naturales, Economía, Energía y Minas y la Secretaría de Planificación y Programación de la Presidencia. Es importante señalar que con la Estrategia Fiscal Ambiental (EFA), el Ministerio de Finanzas</w:t>
      </w:r>
      <w:r>
        <w:rPr>
          <w:spacing w:val="-4"/>
        </w:rPr>
        <w:t> </w:t>
      </w:r>
      <w:r>
        <w:rPr/>
        <w:t>Públicas</w:t>
      </w:r>
      <w:r>
        <w:rPr>
          <w:spacing w:val="-6"/>
        </w:rPr>
        <w:t> </w:t>
      </w:r>
      <w:r>
        <w:rPr/>
        <w:t>tiene</w:t>
      </w:r>
      <w:r>
        <w:rPr>
          <w:spacing w:val="-7"/>
        </w:rPr>
        <w:t> </w:t>
      </w:r>
      <w:r>
        <w:rPr/>
        <w:t>el</w:t>
      </w:r>
      <w:r>
        <w:rPr>
          <w:spacing w:val="-3"/>
        </w:rPr>
        <w:t> </w:t>
      </w:r>
      <w:r>
        <w:rPr/>
        <w:t>papel</w:t>
      </w:r>
      <w:r>
        <w:rPr>
          <w:spacing w:val="-5"/>
        </w:rPr>
        <w:t> </w:t>
      </w:r>
      <w:r>
        <w:rPr/>
        <w:t>de</w:t>
      </w:r>
      <w:r>
        <w:rPr>
          <w:spacing w:val="-4"/>
        </w:rPr>
        <w:t> </w:t>
      </w:r>
      <w:r>
        <w:rPr/>
        <w:t>entidad</w:t>
      </w:r>
      <w:r>
        <w:rPr>
          <w:spacing w:val="-3"/>
        </w:rPr>
        <w:t> </w:t>
      </w:r>
      <w:r>
        <w:rPr/>
        <w:t>articuladora</w:t>
      </w:r>
      <w:r>
        <w:rPr>
          <w:spacing w:val="-7"/>
        </w:rPr>
        <w:t> </w:t>
      </w:r>
      <w:r>
        <w:rPr/>
        <w:t>para que,</w:t>
      </w:r>
      <w:r>
        <w:rPr>
          <w:spacing w:val="-3"/>
        </w:rPr>
        <w:t> </w:t>
      </w:r>
      <w:r>
        <w:rPr/>
        <w:t>en</w:t>
      </w:r>
      <w:r>
        <w:rPr>
          <w:spacing w:val="-5"/>
        </w:rPr>
        <w:t> </w:t>
      </w:r>
      <w:r>
        <w:rPr/>
        <w:t>materia</w:t>
      </w:r>
      <w:r>
        <w:rPr>
          <w:spacing w:val="-3"/>
        </w:rPr>
        <w:t> </w:t>
      </w:r>
      <w:r>
        <w:rPr/>
        <w:t>de</w:t>
      </w:r>
      <w:r>
        <w:rPr>
          <w:spacing w:val="-7"/>
        </w:rPr>
        <w:t> </w:t>
      </w:r>
      <w:r>
        <w:rPr/>
        <w:t>fiscalidad</w:t>
      </w:r>
      <w:r>
        <w:rPr>
          <w:spacing w:val="-6"/>
        </w:rPr>
        <w:t> </w:t>
      </w:r>
      <w:r>
        <w:rPr/>
        <w:t>ambiental, se pueda apoyar a otras entidades del sector público y privado, en un contexto</w:t>
      </w:r>
      <w:r>
        <w:rPr>
          <w:spacing w:val="-17"/>
        </w:rPr>
        <w:t> </w:t>
      </w:r>
      <w:r>
        <w:rPr/>
        <w:t>integral.</w:t>
      </w:r>
    </w:p>
    <w:p>
      <w:pPr>
        <w:spacing w:after="0" w:line="276" w:lineRule="auto"/>
        <w:jc w:val="both"/>
        <w:sectPr>
          <w:pgSz w:w="12240" w:h="15840"/>
          <w:pgMar w:header="715" w:footer="957" w:top="1240" w:bottom="1140" w:left="1140" w:right="0"/>
        </w:sectPr>
      </w:pPr>
    </w:p>
    <w:p>
      <w:pPr>
        <w:pStyle w:val="BodyText"/>
        <w:spacing w:line="276" w:lineRule="auto" w:before="162"/>
        <w:ind w:left="562" w:right="1695"/>
        <w:jc w:val="both"/>
      </w:pPr>
      <w:r>
        <w:rPr/>
        <w:t>A lo largo de los años la EFA ha venido trabajando e impulsado distintas acciones para </w:t>
      </w:r>
      <w:r>
        <w:rPr>
          <w:spacing w:val="-3"/>
        </w:rPr>
        <w:t>el </w:t>
      </w:r>
      <w:r>
        <w:rPr/>
        <w:t>fortalecimiento de capacidades internas, así como la integración de diferentes actores claves para la formulación</w:t>
      </w:r>
      <w:r>
        <w:rPr>
          <w:spacing w:val="-6"/>
        </w:rPr>
        <w:t> </w:t>
      </w:r>
      <w:r>
        <w:rPr/>
        <w:t>de</w:t>
      </w:r>
      <w:r>
        <w:rPr>
          <w:spacing w:val="-5"/>
        </w:rPr>
        <w:t> </w:t>
      </w:r>
      <w:r>
        <w:rPr/>
        <w:t>las</w:t>
      </w:r>
      <w:r>
        <w:rPr>
          <w:spacing w:val="-5"/>
        </w:rPr>
        <w:t> </w:t>
      </w:r>
      <w:r>
        <w:rPr/>
        <w:t>acciones</w:t>
      </w:r>
      <w:r>
        <w:rPr>
          <w:spacing w:val="-4"/>
        </w:rPr>
        <w:t> </w:t>
      </w:r>
      <w:r>
        <w:rPr/>
        <w:t>contempladas</w:t>
      </w:r>
      <w:r>
        <w:rPr>
          <w:spacing w:val="-6"/>
        </w:rPr>
        <w:t> </w:t>
      </w:r>
      <w:r>
        <w:rPr/>
        <w:t>dentro</w:t>
      </w:r>
      <w:r>
        <w:rPr>
          <w:spacing w:val="-3"/>
        </w:rPr>
        <w:t> </w:t>
      </w:r>
      <w:r>
        <w:rPr/>
        <w:t>de</w:t>
      </w:r>
      <w:r>
        <w:rPr>
          <w:spacing w:val="-6"/>
        </w:rPr>
        <w:t> </w:t>
      </w:r>
      <w:r>
        <w:rPr/>
        <w:t>la</w:t>
      </w:r>
      <w:r>
        <w:rPr>
          <w:spacing w:val="-5"/>
        </w:rPr>
        <w:t> </w:t>
      </w:r>
      <w:r>
        <w:rPr/>
        <w:t>Estrategia.</w:t>
      </w:r>
      <w:r>
        <w:rPr>
          <w:spacing w:val="-4"/>
        </w:rPr>
        <w:t> </w:t>
      </w:r>
      <w:r>
        <w:rPr/>
        <w:t>A</w:t>
      </w:r>
      <w:r>
        <w:rPr>
          <w:spacing w:val="-6"/>
        </w:rPr>
        <w:t> </w:t>
      </w:r>
      <w:r>
        <w:rPr/>
        <w:t>la</w:t>
      </w:r>
      <w:r>
        <w:rPr>
          <w:spacing w:val="-6"/>
        </w:rPr>
        <w:t> </w:t>
      </w:r>
      <w:r>
        <w:rPr/>
        <w:t>fecha</w:t>
      </w:r>
      <w:r>
        <w:rPr>
          <w:spacing w:val="-5"/>
        </w:rPr>
        <w:t> </w:t>
      </w:r>
      <w:r>
        <w:rPr/>
        <w:t>se</w:t>
      </w:r>
      <w:r>
        <w:rPr>
          <w:spacing w:val="-6"/>
        </w:rPr>
        <w:t> </w:t>
      </w:r>
      <w:r>
        <w:rPr/>
        <w:t>ha</w:t>
      </w:r>
      <w:r>
        <w:rPr>
          <w:spacing w:val="-5"/>
        </w:rPr>
        <w:t> </w:t>
      </w:r>
      <w:r>
        <w:rPr/>
        <w:t>obtenido</w:t>
      </w:r>
      <w:r>
        <w:rPr>
          <w:spacing w:val="-6"/>
        </w:rPr>
        <w:t> </w:t>
      </w:r>
      <w:r>
        <w:rPr/>
        <w:t>el</w:t>
      </w:r>
      <w:r>
        <w:rPr>
          <w:spacing w:val="-4"/>
        </w:rPr>
        <w:t> </w:t>
      </w:r>
      <w:r>
        <w:rPr/>
        <w:t>apoyo de cooperantes como lo son el Banco Interamericano de Desarrollo (BID), Banco Mundial (BM), la Cooperación Alemana (GIZ), Naciones Unidas, la Comisión Económica para América Latina y el Caribe (CEPAL) y el Banco Centroamericano de Integración Económica (BCIE), con los que se </w:t>
      </w:r>
      <w:r>
        <w:rPr>
          <w:spacing w:val="-3"/>
        </w:rPr>
        <w:t>ha </w:t>
      </w:r>
      <w:r>
        <w:rPr/>
        <w:t>logrado</w:t>
      </w:r>
      <w:r>
        <w:rPr>
          <w:spacing w:val="-5"/>
        </w:rPr>
        <w:t> </w:t>
      </w:r>
      <w:r>
        <w:rPr/>
        <w:t>generar</w:t>
      </w:r>
      <w:r>
        <w:rPr>
          <w:spacing w:val="-4"/>
        </w:rPr>
        <w:t> </w:t>
      </w:r>
      <w:r>
        <w:rPr/>
        <w:t>una</w:t>
      </w:r>
      <w:r>
        <w:rPr>
          <w:spacing w:val="-4"/>
        </w:rPr>
        <w:t> </w:t>
      </w:r>
      <w:r>
        <w:rPr/>
        <w:t>línea</w:t>
      </w:r>
      <w:r>
        <w:rPr>
          <w:spacing w:val="-4"/>
        </w:rPr>
        <w:t> </w:t>
      </w:r>
      <w:r>
        <w:rPr/>
        <w:t>base</w:t>
      </w:r>
      <w:r>
        <w:rPr>
          <w:spacing w:val="-7"/>
        </w:rPr>
        <w:t> </w:t>
      </w:r>
      <w:r>
        <w:rPr/>
        <w:t>técnica</w:t>
      </w:r>
      <w:r>
        <w:rPr>
          <w:spacing w:val="-4"/>
        </w:rPr>
        <w:t> </w:t>
      </w:r>
      <w:r>
        <w:rPr/>
        <w:t>especializada</w:t>
      </w:r>
      <w:r>
        <w:rPr>
          <w:spacing w:val="-4"/>
        </w:rPr>
        <w:t> </w:t>
      </w:r>
      <w:r>
        <w:rPr/>
        <w:t>para</w:t>
      </w:r>
      <w:r>
        <w:rPr>
          <w:spacing w:val="-7"/>
        </w:rPr>
        <w:t> </w:t>
      </w:r>
      <w:r>
        <w:rPr/>
        <w:t>los</w:t>
      </w:r>
      <w:r>
        <w:rPr>
          <w:spacing w:val="-7"/>
        </w:rPr>
        <w:t> </w:t>
      </w:r>
      <w:r>
        <w:rPr/>
        <w:t>ejes</w:t>
      </w:r>
      <w:r>
        <w:rPr>
          <w:spacing w:val="-6"/>
        </w:rPr>
        <w:t> </w:t>
      </w:r>
      <w:r>
        <w:rPr/>
        <w:t>estratégicos</w:t>
      </w:r>
      <w:r>
        <w:rPr>
          <w:spacing w:val="-4"/>
        </w:rPr>
        <w:t> </w:t>
      </w:r>
      <w:r>
        <w:rPr/>
        <w:t>de</w:t>
      </w:r>
      <w:r>
        <w:rPr>
          <w:spacing w:val="-5"/>
        </w:rPr>
        <w:t> </w:t>
      </w:r>
      <w:r>
        <w:rPr/>
        <w:t>la</w:t>
      </w:r>
      <w:r>
        <w:rPr>
          <w:spacing w:val="-7"/>
        </w:rPr>
        <w:t> </w:t>
      </w:r>
      <w:r>
        <w:rPr/>
        <w:t>EFA,</w:t>
      </w:r>
      <w:r>
        <w:rPr>
          <w:spacing w:val="-5"/>
        </w:rPr>
        <w:t> </w:t>
      </w:r>
      <w:r>
        <w:rPr/>
        <w:t>así</w:t>
      </w:r>
      <w:r>
        <w:rPr>
          <w:spacing w:val="-4"/>
        </w:rPr>
        <w:t> </w:t>
      </w:r>
      <w:r>
        <w:rPr/>
        <w:t>como</w:t>
      </w:r>
      <w:r>
        <w:rPr>
          <w:spacing w:val="-5"/>
        </w:rPr>
        <w:t> </w:t>
      </w:r>
      <w:r>
        <w:rPr/>
        <w:t>la difusión</w:t>
      </w:r>
      <w:r>
        <w:rPr>
          <w:spacing w:val="-5"/>
        </w:rPr>
        <w:t> </w:t>
      </w:r>
      <w:r>
        <w:rPr/>
        <w:t>de</w:t>
      </w:r>
      <w:r>
        <w:rPr>
          <w:spacing w:val="-7"/>
        </w:rPr>
        <w:t> </w:t>
      </w:r>
      <w:r>
        <w:rPr/>
        <w:t>los</w:t>
      </w:r>
      <w:r>
        <w:rPr>
          <w:spacing w:val="-6"/>
        </w:rPr>
        <w:t> </w:t>
      </w:r>
      <w:r>
        <w:rPr/>
        <w:t>avances,</w:t>
      </w:r>
      <w:r>
        <w:rPr>
          <w:spacing w:val="-7"/>
        </w:rPr>
        <w:t> </w:t>
      </w:r>
      <w:r>
        <w:rPr/>
        <w:t>conferencias</w:t>
      </w:r>
      <w:r>
        <w:rPr>
          <w:spacing w:val="-5"/>
        </w:rPr>
        <w:t> </w:t>
      </w:r>
      <w:r>
        <w:rPr/>
        <w:t>internacionales</w:t>
      </w:r>
      <w:r>
        <w:rPr>
          <w:spacing w:val="-6"/>
        </w:rPr>
        <w:t> </w:t>
      </w:r>
      <w:r>
        <w:rPr/>
        <w:t>y</w:t>
      </w:r>
      <w:r>
        <w:rPr>
          <w:spacing w:val="-7"/>
        </w:rPr>
        <w:t> </w:t>
      </w:r>
      <w:r>
        <w:rPr/>
        <w:t>talleres</w:t>
      </w:r>
      <w:r>
        <w:rPr>
          <w:spacing w:val="-5"/>
        </w:rPr>
        <w:t> </w:t>
      </w:r>
      <w:r>
        <w:rPr/>
        <w:t>con</w:t>
      </w:r>
      <w:r>
        <w:rPr>
          <w:spacing w:val="-7"/>
        </w:rPr>
        <w:t> </w:t>
      </w:r>
      <w:r>
        <w:rPr/>
        <w:t>diferentes</w:t>
      </w:r>
      <w:r>
        <w:rPr>
          <w:spacing w:val="-5"/>
        </w:rPr>
        <w:t> </w:t>
      </w:r>
      <w:r>
        <w:rPr/>
        <w:t>sectores</w:t>
      </w:r>
      <w:r>
        <w:rPr>
          <w:spacing w:val="-6"/>
        </w:rPr>
        <w:t> </w:t>
      </w:r>
      <w:r>
        <w:rPr/>
        <w:t>del</w:t>
      </w:r>
      <w:r>
        <w:rPr>
          <w:spacing w:val="-6"/>
        </w:rPr>
        <w:t> </w:t>
      </w:r>
      <w:r>
        <w:rPr/>
        <w:t>país</w:t>
      </w:r>
      <w:r>
        <w:rPr>
          <w:spacing w:val="-6"/>
        </w:rPr>
        <w:t> </w:t>
      </w:r>
      <w:r>
        <w:rPr/>
        <w:t>con</w:t>
      </w:r>
      <w:r>
        <w:rPr>
          <w:spacing w:val="-7"/>
        </w:rPr>
        <w:t> </w:t>
      </w:r>
      <w:r>
        <w:rPr/>
        <w:t>el objetivo de fortalecer las propuestas fiscales hacia propuestas más inclusivas, eficientes e innovadoras.</w:t>
      </w:r>
    </w:p>
    <w:p>
      <w:pPr>
        <w:pStyle w:val="BodyText"/>
        <w:spacing w:line="276" w:lineRule="auto" w:before="161"/>
        <w:ind w:left="562" w:right="1693"/>
        <w:jc w:val="both"/>
      </w:pPr>
      <w:r>
        <w:rPr/>
        <w:t>Actualmente gracias a la formulación de la línea base técnica se cuenta con un documento denominado</w:t>
      </w:r>
      <w:r>
        <w:rPr>
          <w:spacing w:val="-11"/>
        </w:rPr>
        <w:t> </w:t>
      </w:r>
      <w:r>
        <w:rPr>
          <w:i/>
        </w:rPr>
        <w:t>“Lineamientos</w:t>
      </w:r>
      <w:r>
        <w:rPr>
          <w:i/>
          <w:spacing w:val="-13"/>
        </w:rPr>
        <w:t> </w:t>
      </w:r>
      <w:r>
        <w:rPr>
          <w:i/>
        </w:rPr>
        <w:t>ambientales</w:t>
      </w:r>
      <w:r>
        <w:rPr>
          <w:i/>
          <w:spacing w:val="-13"/>
        </w:rPr>
        <w:t> </w:t>
      </w:r>
      <w:r>
        <w:rPr>
          <w:i/>
        </w:rPr>
        <w:t>en</w:t>
      </w:r>
      <w:r>
        <w:rPr>
          <w:i/>
          <w:spacing w:val="-13"/>
        </w:rPr>
        <w:t> </w:t>
      </w:r>
      <w:r>
        <w:rPr>
          <w:i/>
        </w:rPr>
        <w:t>el</w:t>
      </w:r>
      <w:r>
        <w:rPr>
          <w:i/>
          <w:spacing w:val="-12"/>
        </w:rPr>
        <w:t> </w:t>
      </w:r>
      <w:r>
        <w:rPr>
          <w:i/>
        </w:rPr>
        <w:t>ámbito</w:t>
      </w:r>
      <w:r>
        <w:rPr>
          <w:i/>
          <w:spacing w:val="-13"/>
        </w:rPr>
        <w:t> </w:t>
      </w:r>
      <w:r>
        <w:rPr>
          <w:i/>
        </w:rPr>
        <w:t>del</w:t>
      </w:r>
      <w:r>
        <w:rPr>
          <w:i/>
          <w:spacing w:val="-13"/>
        </w:rPr>
        <w:t> </w:t>
      </w:r>
      <w:r>
        <w:rPr>
          <w:i/>
        </w:rPr>
        <w:t>Ministerio</w:t>
      </w:r>
      <w:r>
        <w:rPr>
          <w:i/>
          <w:spacing w:val="-13"/>
        </w:rPr>
        <w:t> </w:t>
      </w:r>
      <w:r>
        <w:rPr>
          <w:i/>
        </w:rPr>
        <w:t>de</w:t>
      </w:r>
      <w:r>
        <w:rPr>
          <w:i/>
          <w:spacing w:val="-13"/>
        </w:rPr>
        <w:t> </w:t>
      </w:r>
      <w:r>
        <w:rPr>
          <w:i/>
        </w:rPr>
        <w:t>Finanzas</w:t>
      </w:r>
      <w:r>
        <w:rPr>
          <w:i/>
          <w:spacing w:val="-13"/>
        </w:rPr>
        <w:t> </w:t>
      </w:r>
      <w:r>
        <w:rPr>
          <w:i/>
        </w:rPr>
        <w:t>Públicas”</w:t>
      </w:r>
      <w:r>
        <w:rPr>
          <w:i/>
          <w:spacing w:val="-11"/>
        </w:rPr>
        <w:t> </w:t>
      </w:r>
      <w:r>
        <w:rPr/>
        <w:t>aprobado por</w:t>
      </w:r>
      <w:r>
        <w:rPr>
          <w:spacing w:val="-8"/>
        </w:rPr>
        <w:t> </w:t>
      </w:r>
      <w:r>
        <w:rPr/>
        <w:t>medio</w:t>
      </w:r>
      <w:r>
        <w:rPr>
          <w:spacing w:val="-9"/>
        </w:rPr>
        <w:t> </w:t>
      </w:r>
      <w:r>
        <w:rPr/>
        <w:t>del</w:t>
      </w:r>
      <w:r>
        <w:rPr>
          <w:spacing w:val="-7"/>
        </w:rPr>
        <w:t> </w:t>
      </w:r>
      <w:r>
        <w:rPr/>
        <w:t>Acuerdo</w:t>
      </w:r>
      <w:r>
        <w:rPr>
          <w:spacing w:val="-9"/>
        </w:rPr>
        <w:t> </w:t>
      </w:r>
      <w:r>
        <w:rPr/>
        <w:t>Ministerial</w:t>
      </w:r>
      <w:r>
        <w:rPr>
          <w:spacing w:val="-8"/>
        </w:rPr>
        <w:t> </w:t>
      </w:r>
      <w:r>
        <w:rPr/>
        <w:t>388-2022</w:t>
      </w:r>
      <w:r>
        <w:rPr>
          <w:spacing w:val="-9"/>
        </w:rPr>
        <w:t> </w:t>
      </w:r>
      <w:r>
        <w:rPr/>
        <w:t>el</w:t>
      </w:r>
      <w:r>
        <w:rPr>
          <w:spacing w:val="-7"/>
        </w:rPr>
        <w:t> </w:t>
      </w:r>
      <w:r>
        <w:rPr/>
        <w:t>cual</w:t>
      </w:r>
      <w:r>
        <w:rPr>
          <w:spacing w:val="-10"/>
        </w:rPr>
        <w:t> </w:t>
      </w:r>
      <w:r>
        <w:rPr/>
        <w:t>tiene</w:t>
      </w:r>
      <w:r>
        <w:rPr>
          <w:spacing w:val="-8"/>
        </w:rPr>
        <w:t> </w:t>
      </w:r>
      <w:r>
        <w:rPr/>
        <w:t>como</w:t>
      </w:r>
      <w:r>
        <w:rPr>
          <w:spacing w:val="-9"/>
        </w:rPr>
        <w:t> </w:t>
      </w:r>
      <w:r>
        <w:rPr/>
        <w:t>objetivo,</w:t>
      </w:r>
      <w:r>
        <w:rPr>
          <w:spacing w:val="-8"/>
        </w:rPr>
        <w:t> </w:t>
      </w:r>
      <w:r>
        <w:rPr/>
        <w:t>articular</w:t>
      </w:r>
      <w:r>
        <w:rPr>
          <w:spacing w:val="-10"/>
        </w:rPr>
        <w:t> </w:t>
      </w:r>
      <w:r>
        <w:rPr/>
        <w:t>a</w:t>
      </w:r>
      <w:r>
        <w:rPr>
          <w:spacing w:val="-8"/>
        </w:rPr>
        <w:t> </w:t>
      </w:r>
      <w:r>
        <w:rPr/>
        <w:t>las</w:t>
      </w:r>
      <w:r>
        <w:rPr>
          <w:spacing w:val="-8"/>
        </w:rPr>
        <w:t> </w:t>
      </w:r>
      <w:r>
        <w:rPr/>
        <w:t>dependencias del Ministerio de Finanzas Públicas, por medio de la herramienta de planificación operativa, para facilitar y garantizar el impulso de la fiscalidad ambiental a través de acciones y proyectos que contribuyan al mejoramiento del ambiente, mitigación y adaptación al cambio climático dentro del ámbito de competencia de Finanzas</w:t>
      </w:r>
      <w:r>
        <w:rPr>
          <w:spacing w:val="-3"/>
        </w:rPr>
        <w:t> </w:t>
      </w:r>
      <w:r>
        <w:rPr/>
        <w:t>Públicas.</w:t>
      </w:r>
    </w:p>
    <w:p>
      <w:pPr>
        <w:pStyle w:val="BodyText"/>
        <w:spacing w:line="276" w:lineRule="auto" w:before="160"/>
        <w:ind w:left="562" w:right="1693"/>
        <w:jc w:val="both"/>
      </w:pPr>
      <w:r>
        <w:rPr/>
        <w:t>Asimismo, se cuenta con el apoyo de las Naciones Unidas a través de cinco agencias, en donde a través del programa </w:t>
      </w:r>
      <w:r>
        <w:rPr>
          <w:i/>
        </w:rPr>
        <w:t>“La Alianza para la Acción sobre Economía Verde (PAGE)” </w:t>
      </w:r>
      <w:r>
        <w:rPr/>
        <w:t>por sus siglas en inglés,</w:t>
      </w:r>
      <w:r>
        <w:rPr>
          <w:spacing w:val="-11"/>
        </w:rPr>
        <w:t> </w:t>
      </w:r>
      <w:r>
        <w:rPr/>
        <w:t>Guatemala</w:t>
      </w:r>
      <w:r>
        <w:rPr>
          <w:spacing w:val="-10"/>
        </w:rPr>
        <w:t> </w:t>
      </w:r>
      <w:r>
        <w:rPr/>
        <w:t>a</w:t>
      </w:r>
      <w:r>
        <w:rPr>
          <w:spacing w:val="-10"/>
        </w:rPr>
        <w:t> </w:t>
      </w:r>
      <w:r>
        <w:rPr/>
        <w:t>través</w:t>
      </w:r>
      <w:r>
        <w:rPr>
          <w:spacing w:val="-10"/>
        </w:rPr>
        <w:t> </w:t>
      </w:r>
      <w:r>
        <w:rPr/>
        <w:t>del</w:t>
      </w:r>
      <w:r>
        <w:rPr>
          <w:spacing w:val="-10"/>
        </w:rPr>
        <w:t> </w:t>
      </w:r>
      <w:r>
        <w:rPr/>
        <w:t>punto</w:t>
      </w:r>
      <w:r>
        <w:rPr>
          <w:spacing w:val="-11"/>
        </w:rPr>
        <w:t> </w:t>
      </w:r>
      <w:r>
        <w:rPr/>
        <w:t>focal</w:t>
      </w:r>
      <w:r>
        <w:rPr>
          <w:spacing w:val="-10"/>
        </w:rPr>
        <w:t> </w:t>
      </w:r>
      <w:r>
        <w:rPr/>
        <w:t>que</w:t>
      </w:r>
      <w:r>
        <w:rPr>
          <w:spacing w:val="-11"/>
        </w:rPr>
        <w:t> </w:t>
      </w:r>
      <w:r>
        <w:rPr/>
        <w:t>es</w:t>
      </w:r>
      <w:r>
        <w:rPr>
          <w:spacing w:val="-10"/>
        </w:rPr>
        <w:t> </w:t>
      </w:r>
      <w:r>
        <w:rPr/>
        <w:t>el</w:t>
      </w:r>
      <w:r>
        <w:rPr>
          <w:spacing w:val="-10"/>
        </w:rPr>
        <w:t> </w:t>
      </w:r>
      <w:r>
        <w:rPr/>
        <w:t>Ministerio</w:t>
      </w:r>
      <w:r>
        <w:rPr>
          <w:spacing w:val="-11"/>
        </w:rPr>
        <w:t> </w:t>
      </w:r>
      <w:r>
        <w:rPr/>
        <w:t>de</w:t>
      </w:r>
      <w:r>
        <w:rPr>
          <w:spacing w:val="-11"/>
        </w:rPr>
        <w:t> </w:t>
      </w:r>
      <w:r>
        <w:rPr/>
        <w:t>Finanza</w:t>
      </w:r>
      <w:r>
        <w:rPr>
          <w:spacing w:val="-10"/>
        </w:rPr>
        <w:t> </w:t>
      </w:r>
      <w:r>
        <w:rPr/>
        <w:t>Públicas</w:t>
      </w:r>
      <w:r>
        <w:rPr>
          <w:spacing w:val="-12"/>
        </w:rPr>
        <w:t> </w:t>
      </w:r>
      <w:r>
        <w:rPr/>
        <w:t>y</w:t>
      </w:r>
      <w:r>
        <w:rPr>
          <w:spacing w:val="-13"/>
        </w:rPr>
        <w:t> </w:t>
      </w:r>
      <w:r>
        <w:rPr/>
        <w:t>los</w:t>
      </w:r>
      <w:r>
        <w:rPr>
          <w:spacing w:val="-10"/>
        </w:rPr>
        <w:t> </w:t>
      </w:r>
      <w:r>
        <w:rPr/>
        <w:t>beneficiarios Ministerio de Ambiente y Recursos Naturales y Ministerio de Economía, reciben asistencia técnica para fomentar la prosperidad a largo plazo y el crecimiento económico del país, informando y facilitando</w:t>
      </w:r>
      <w:r>
        <w:rPr>
          <w:spacing w:val="-7"/>
        </w:rPr>
        <w:t> </w:t>
      </w:r>
      <w:r>
        <w:rPr/>
        <w:t>la</w:t>
      </w:r>
      <w:r>
        <w:rPr>
          <w:spacing w:val="-4"/>
        </w:rPr>
        <w:t> </w:t>
      </w:r>
      <w:r>
        <w:rPr/>
        <w:t>orientación</w:t>
      </w:r>
      <w:r>
        <w:rPr>
          <w:spacing w:val="-5"/>
        </w:rPr>
        <w:t> </w:t>
      </w:r>
      <w:r>
        <w:rPr/>
        <w:t>de</w:t>
      </w:r>
      <w:r>
        <w:rPr>
          <w:spacing w:val="-7"/>
        </w:rPr>
        <w:t> </w:t>
      </w:r>
      <w:r>
        <w:rPr/>
        <w:t>las</w:t>
      </w:r>
      <w:r>
        <w:rPr>
          <w:spacing w:val="-6"/>
        </w:rPr>
        <w:t> </w:t>
      </w:r>
      <w:r>
        <w:rPr/>
        <w:t>políticas</w:t>
      </w:r>
      <w:r>
        <w:rPr>
          <w:spacing w:val="-4"/>
        </w:rPr>
        <w:t> </w:t>
      </w:r>
      <w:r>
        <w:rPr/>
        <w:t>fiscales</w:t>
      </w:r>
      <w:r>
        <w:rPr>
          <w:spacing w:val="-4"/>
        </w:rPr>
        <w:t> </w:t>
      </w:r>
      <w:r>
        <w:rPr/>
        <w:t>y</w:t>
      </w:r>
      <w:r>
        <w:rPr>
          <w:spacing w:val="-7"/>
        </w:rPr>
        <w:t> </w:t>
      </w:r>
      <w:r>
        <w:rPr/>
        <w:t>económicas</w:t>
      </w:r>
      <w:r>
        <w:rPr>
          <w:spacing w:val="-4"/>
        </w:rPr>
        <w:t> </w:t>
      </w:r>
      <w:r>
        <w:rPr/>
        <w:t>de</w:t>
      </w:r>
      <w:r>
        <w:rPr>
          <w:spacing w:val="-4"/>
        </w:rPr>
        <w:t> </w:t>
      </w:r>
      <w:r>
        <w:rPr/>
        <w:t>Guatemala</w:t>
      </w:r>
      <w:r>
        <w:rPr>
          <w:spacing w:val="-3"/>
        </w:rPr>
        <w:t> </w:t>
      </w:r>
      <w:r>
        <w:rPr/>
        <w:t>hacia</w:t>
      </w:r>
      <w:r>
        <w:rPr>
          <w:spacing w:val="-7"/>
        </w:rPr>
        <w:t> </w:t>
      </w:r>
      <w:r>
        <w:rPr/>
        <w:t>la</w:t>
      </w:r>
      <w:r>
        <w:rPr>
          <w:spacing w:val="-4"/>
        </w:rPr>
        <w:t> </w:t>
      </w:r>
      <w:r>
        <w:rPr/>
        <w:t>sostenibilidad, generando ingresos y empleos, reduciendo la pobreza y la desigualdad y fortaleciendo las bases ecológicas de la</w:t>
      </w:r>
      <w:r>
        <w:rPr>
          <w:spacing w:val="-1"/>
        </w:rPr>
        <w:t> </w:t>
      </w:r>
      <w:r>
        <w:rPr/>
        <w:t>economía.</w:t>
      </w:r>
    </w:p>
    <w:p>
      <w:pPr>
        <w:pStyle w:val="BodyText"/>
        <w:spacing w:before="10"/>
        <w:rPr>
          <w:sz w:val="18"/>
        </w:rPr>
      </w:pPr>
    </w:p>
    <w:p>
      <w:pPr>
        <w:pStyle w:val="Heading2"/>
        <w:numPr>
          <w:ilvl w:val="2"/>
          <w:numId w:val="13"/>
        </w:numPr>
        <w:tabs>
          <w:tab w:pos="1354" w:val="left" w:leader="none"/>
        </w:tabs>
        <w:spacing w:line="240" w:lineRule="auto" w:before="0" w:after="0"/>
        <w:ind w:left="1354" w:right="0" w:hanging="433"/>
        <w:jc w:val="left"/>
      </w:pPr>
      <w:bookmarkStart w:name="_bookmark200" w:id="256"/>
      <w:bookmarkEnd w:id="256"/>
      <w:r>
        <w:rPr>
          <w:b w:val="0"/>
        </w:rPr>
      </w:r>
      <w:bookmarkStart w:name="_bookmark200" w:id="257"/>
      <w:bookmarkEnd w:id="257"/>
      <w:r>
        <w:rPr/>
        <w:t>Ej</w:t>
      </w:r>
      <w:r>
        <w:rPr/>
        <w:t>ercicio de Presupuesto Abierto Ejercicio Fiscal 2023</w:t>
      </w:r>
    </w:p>
    <w:p>
      <w:pPr>
        <w:pStyle w:val="BodyText"/>
        <w:spacing w:before="4"/>
        <w:rPr>
          <w:b/>
          <w:sz w:val="28"/>
        </w:rPr>
      </w:pPr>
    </w:p>
    <w:p>
      <w:pPr>
        <w:pStyle w:val="BodyText"/>
        <w:spacing w:line="276" w:lineRule="auto"/>
        <w:ind w:left="562" w:right="1695"/>
        <w:jc w:val="both"/>
      </w:pPr>
      <w:r>
        <w:rPr/>
        <w:t>El</w:t>
      </w:r>
      <w:r>
        <w:rPr>
          <w:spacing w:val="-3"/>
        </w:rPr>
        <w:t> </w:t>
      </w:r>
      <w:r>
        <w:rPr/>
        <w:t>Presupuesto</w:t>
      </w:r>
      <w:r>
        <w:rPr>
          <w:spacing w:val="-3"/>
        </w:rPr>
        <w:t> </w:t>
      </w:r>
      <w:r>
        <w:rPr/>
        <w:t>Abierto</w:t>
      </w:r>
      <w:r>
        <w:rPr>
          <w:spacing w:val="-4"/>
        </w:rPr>
        <w:t> </w:t>
      </w:r>
      <w:r>
        <w:rPr/>
        <w:t>2023-2027</w:t>
      </w:r>
      <w:r>
        <w:rPr>
          <w:spacing w:val="-3"/>
        </w:rPr>
        <w:t> </w:t>
      </w:r>
      <w:r>
        <w:rPr/>
        <w:t>se</w:t>
      </w:r>
      <w:r>
        <w:rPr>
          <w:spacing w:val="-3"/>
        </w:rPr>
        <w:t> </w:t>
      </w:r>
      <w:r>
        <w:rPr/>
        <w:t>llevó</w:t>
      </w:r>
      <w:r>
        <w:rPr>
          <w:spacing w:val="-3"/>
        </w:rPr>
        <w:t> </w:t>
      </w:r>
      <w:r>
        <w:rPr/>
        <w:t>a</w:t>
      </w:r>
      <w:r>
        <w:rPr>
          <w:spacing w:val="-3"/>
        </w:rPr>
        <w:t> </w:t>
      </w:r>
      <w:r>
        <w:rPr/>
        <w:t>cabo</w:t>
      </w:r>
      <w:r>
        <w:rPr>
          <w:spacing w:val="-3"/>
        </w:rPr>
        <w:t> </w:t>
      </w:r>
      <w:r>
        <w:rPr/>
        <w:t>del</w:t>
      </w:r>
      <w:r>
        <w:rPr>
          <w:spacing w:val="-4"/>
        </w:rPr>
        <w:t> </w:t>
      </w:r>
      <w:r>
        <w:rPr/>
        <w:t>13</w:t>
      </w:r>
      <w:r>
        <w:rPr>
          <w:spacing w:val="-3"/>
        </w:rPr>
        <w:t> </w:t>
      </w:r>
      <w:r>
        <w:rPr/>
        <w:t>de</w:t>
      </w:r>
      <w:r>
        <w:rPr>
          <w:spacing w:val="-5"/>
        </w:rPr>
        <w:t> </w:t>
      </w:r>
      <w:r>
        <w:rPr/>
        <w:t>junio</w:t>
      </w:r>
      <w:r>
        <w:rPr>
          <w:spacing w:val="-4"/>
        </w:rPr>
        <w:t> </w:t>
      </w:r>
      <w:r>
        <w:rPr/>
        <w:t>al</w:t>
      </w:r>
      <w:r>
        <w:rPr>
          <w:spacing w:val="-2"/>
        </w:rPr>
        <w:t> </w:t>
      </w:r>
      <w:r>
        <w:rPr/>
        <w:t>18</w:t>
      </w:r>
      <w:r>
        <w:rPr>
          <w:spacing w:val="-4"/>
        </w:rPr>
        <w:t> </w:t>
      </w:r>
      <w:r>
        <w:rPr/>
        <w:t>de</w:t>
      </w:r>
      <w:r>
        <w:rPr>
          <w:spacing w:val="-2"/>
        </w:rPr>
        <w:t> </w:t>
      </w:r>
      <w:r>
        <w:rPr/>
        <w:t>agosto</w:t>
      </w:r>
      <w:r>
        <w:rPr>
          <w:spacing w:val="-3"/>
        </w:rPr>
        <w:t> </w:t>
      </w:r>
      <w:r>
        <w:rPr/>
        <w:t>de</w:t>
      </w:r>
      <w:r>
        <w:rPr>
          <w:spacing w:val="-3"/>
        </w:rPr>
        <w:t> </w:t>
      </w:r>
      <w:r>
        <w:rPr/>
        <w:t>2022,</w:t>
      </w:r>
      <w:r>
        <w:rPr>
          <w:spacing w:val="-3"/>
        </w:rPr>
        <w:t> </w:t>
      </w:r>
      <w:r>
        <w:rPr/>
        <w:t>siendo</w:t>
      </w:r>
      <w:r>
        <w:rPr>
          <w:spacing w:val="-4"/>
        </w:rPr>
        <w:t> </w:t>
      </w:r>
      <w:r>
        <w:rPr/>
        <w:t>un mecanismo de participación en la consulta y discusión de Propuestas del Presupuesto de Ingresos y Egresos del Estado para el Ejercicio Fiscal 2023, se puso a disposición del público una plataforma electrónica con acceso a todo el material, así como un correo electrónico para recibir propuestas técnicas y</w:t>
      </w:r>
      <w:r>
        <w:rPr>
          <w:spacing w:val="-3"/>
        </w:rPr>
        <w:t> </w:t>
      </w:r>
      <w:r>
        <w:rPr/>
        <w:t>comentarios.</w:t>
      </w:r>
    </w:p>
    <w:p>
      <w:pPr>
        <w:pStyle w:val="BodyText"/>
        <w:spacing w:before="158"/>
        <w:ind w:left="562"/>
        <w:jc w:val="both"/>
      </w:pPr>
      <w:r>
        <w:rPr/>
        <w:t>El ejercicio consistió en tres módulos estratégicos:</w:t>
      </w:r>
    </w:p>
    <w:p>
      <w:pPr>
        <w:pStyle w:val="ListParagraph"/>
        <w:numPr>
          <w:ilvl w:val="0"/>
          <w:numId w:val="31"/>
        </w:numPr>
        <w:tabs>
          <w:tab w:pos="1281" w:val="left" w:leader="none"/>
          <w:tab w:pos="1282" w:val="left" w:leader="none"/>
        </w:tabs>
        <w:spacing w:line="240" w:lineRule="auto" w:before="200" w:after="0"/>
        <w:ind w:left="1282" w:right="0" w:hanging="361"/>
        <w:jc w:val="left"/>
        <w:rPr>
          <w:sz w:val="22"/>
        </w:rPr>
      </w:pPr>
      <w:r>
        <w:rPr>
          <w:sz w:val="22"/>
        </w:rPr>
        <w:t>Formación</w:t>
      </w:r>
      <w:r>
        <w:rPr>
          <w:spacing w:val="-1"/>
          <w:sz w:val="22"/>
        </w:rPr>
        <w:t> </w:t>
      </w:r>
      <w:r>
        <w:rPr>
          <w:sz w:val="22"/>
        </w:rPr>
        <w:t>Fiscal</w:t>
      </w:r>
    </w:p>
    <w:p>
      <w:pPr>
        <w:pStyle w:val="ListParagraph"/>
        <w:numPr>
          <w:ilvl w:val="0"/>
          <w:numId w:val="31"/>
        </w:numPr>
        <w:tabs>
          <w:tab w:pos="1281" w:val="left" w:leader="none"/>
          <w:tab w:pos="1282" w:val="left" w:leader="none"/>
        </w:tabs>
        <w:spacing w:line="240" w:lineRule="auto" w:before="38" w:after="0"/>
        <w:ind w:left="1282" w:right="0" w:hanging="361"/>
        <w:jc w:val="left"/>
        <w:rPr>
          <w:sz w:val="22"/>
        </w:rPr>
      </w:pPr>
      <w:r>
        <w:rPr>
          <w:sz w:val="22"/>
        </w:rPr>
        <w:t>Foros/ Debates</w:t>
      </w:r>
    </w:p>
    <w:p>
      <w:pPr>
        <w:pStyle w:val="ListParagraph"/>
        <w:numPr>
          <w:ilvl w:val="0"/>
          <w:numId w:val="31"/>
        </w:numPr>
        <w:tabs>
          <w:tab w:pos="1281" w:val="left" w:leader="none"/>
          <w:tab w:pos="1282" w:val="left" w:leader="none"/>
        </w:tabs>
        <w:spacing w:line="240" w:lineRule="auto" w:before="38" w:after="0"/>
        <w:ind w:left="1282" w:right="0" w:hanging="361"/>
        <w:jc w:val="left"/>
        <w:rPr>
          <w:sz w:val="22"/>
        </w:rPr>
      </w:pPr>
      <w:r>
        <w:rPr>
          <w:sz w:val="22"/>
        </w:rPr>
        <w:t>Talleres</w:t>
      </w:r>
    </w:p>
    <w:p>
      <w:pPr>
        <w:pStyle w:val="BodyText"/>
        <w:spacing w:line="273" w:lineRule="auto" w:before="197"/>
        <w:ind w:left="562" w:right="1699"/>
        <w:jc w:val="both"/>
      </w:pPr>
      <w:r>
        <w:rPr/>
        <w:t>Se llevó a cabo una semana de formación fiscal, que fue dirigida a periodistas y sociedad civil para fortalecer los conocimientos relacionados con temas presupuestarios.</w:t>
      </w:r>
    </w:p>
    <w:p>
      <w:pPr>
        <w:spacing w:after="0" w:line="273" w:lineRule="auto"/>
        <w:jc w:val="both"/>
        <w:sectPr>
          <w:pgSz w:w="12240" w:h="15840"/>
          <w:pgMar w:header="715" w:footer="957" w:top="1240" w:bottom="1140" w:left="1140" w:right="0"/>
        </w:sectPr>
      </w:pPr>
    </w:p>
    <w:p>
      <w:pPr>
        <w:pStyle w:val="BodyText"/>
        <w:spacing w:before="5"/>
        <w:rPr>
          <w:sz w:val="17"/>
        </w:rPr>
      </w:pPr>
    </w:p>
    <w:p>
      <w:pPr>
        <w:spacing w:after="0"/>
        <w:rPr>
          <w:sz w:val="17"/>
        </w:rPr>
        <w:sectPr>
          <w:pgSz w:w="12240" w:h="15840"/>
          <w:pgMar w:header="715" w:footer="957" w:top="1240" w:bottom="1140" w:left="1140" w:right="0"/>
        </w:sectPr>
      </w:pPr>
    </w:p>
    <w:p>
      <w:pPr>
        <w:pStyle w:val="BodyText"/>
        <w:rPr>
          <w:sz w:val="24"/>
        </w:rPr>
      </w:pPr>
    </w:p>
    <w:p>
      <w:pPr>
        <w:pStyle w:val="BodyText"/>
        <w:spacing w:before="8"/>
        <w:rPr>
          <w:sz w:val="31"/>
        </w:rPr>
      </w:pPr>
    </w:p>
    <w:p>
      <w:pPr>
        <w:spacing w:line="259" w:lineRule="auto" w:before="1"/>
        <w:ind w:left="775" w:right="38" w:hanging="3"/>
        <w:jc w:val="center"/>
        <w:rPr>
          <w:b/>
          <w:sz w:val="22"/>
        </w:rPr>
      </w:pPr>
      <w:r>
        <w:rPr>
          <w:b/>
          <w:color w:val="C45811"/>
          <w:sz w:val="22"/>
        </w:rPr>
        <w:t>Elementos de formulación de presupuesto</w:t>
      </w:r>
    </w:p>
    <w:p>
      <w:pPr>
        <w:pStyle w:val="BodyText"/>
        <w:rPr>
          <w:b/>
          <w:sz w:val="24"/>
        </w:rPr>
      </w:pPr>
      <w:r>
        <w:rPr/>
        <w:br w:type="column"/>
      </w:r>
      <w:r>
        <w:rPr>
          <w:b/>
          <w:sz w:val="24"/>
        </w:rPr>
      </w:r>
    </w:p>
    <w:p>
      <w:pPr>
        <w:pStyle w:val="BodyText"/>
        <w:spacing w:before="9"/>
        <w:rPr>
          <w:b/>
          <w:sz w:val="18"/>
        </w:rPr>
      </w:pPr>
    </w:p>
    <w:p>
      <w:pPr>
        <w:spacing w:line="259" w:lineRule="auto" w:before="0"/>
        <w:ind w:left="775" w:right="38" w:firstLine="0"/>
        <w:jc w:val="center"/>
        <w:rPr>
          <w:b/>
          <w:sz w:val="22"/>
        </w:rPr>
      </w:pPr>
      <w:r>
        <w:rPr>
          <w:b/>
          <w:color w:val="BE8F00"/>
          <w:sz w:val="22"/>
        </w:rPr>
        <w:t>Sistema Nacional de Inversión Pública</w:t>
      </w:r>
    </w:p>
    <w:p>
      <w:pPr>
        <w:spacing w:line="259" w:lineRule="auto" w:before="91"/>
        <w:ind w:left="775" w:right="3365" w:firstLine="3"/>
        <w:jc w:val="center"/>
        <w:rPr>
          <w:b/>
          <w:sz w:val="22"/>
        </w:rPr>
      </w:pPr>
      <w:r>
        <w:rPr/>
        <w:br w:type="column"/>
      </w:r>
      <w:r>
        <w:rPr>
          <w:b/>
          <w:color w:val="528135"/>
          <w:sz w:val="22"/>
        </w:rPr>
        <w:t>Oferta de formación y portales de transparencia del Minfin</w:t>
      </w:r>
    </w:p>
    <w:p>
      <w:pPr>
        <w:spacing w:after="0" w:line="259" w:lineRule="auto"/>
        <w:jc w:val="center"/>
        <w:rPr>
          <w:sz w:val="22"/>
        </w:rPr>
        <w:sectPr>
          <w:type w:val="continuous"/>
          <w:pgSz w:w="12240" w:h="15840"/>
          <w:pgMar w:top="1500" w:bottom="280" w:left="1140" w:right="0"/>
          <w:cols w:num="3" w:equalWidth="0">
            <w:col w:w="2241" w:space="330"/>
            <w:col w:w="2437" w:space="304"/>
            <w:col w:w="5788"/>
          </w:cols>
        </w:sectPr>
      </w:pPr>
    </w:p>
    <w:p>
      <w:pPr>
        <w:pStyle w:val="BodyText"/>
        <w:spacing w:before="10"/>
        <w:rPr>
          <w:b/>
          <w:sz w:val="5"/>
        </w:rPr>
      </w:pPr>
    </w:p>
    <w:p>
      <w:pPr>
        <w:pStyle w:val="BodyText"/>
        <w:ind w:left="561"/>
        <w:rPr>
          <w:sz w:val="20"/>
        </w:rPr>
      </w:pPr>
      <w:r>
        <w:rPr>
          <w:sz w:val="20"/>
        </w:rPr>
        <w:pict>
          <v:group style="width:432.4pt;height:150.2pt;mso-position-horizontal-relative:char;mso-position-vertical-relative:line" coordorigin="0,0" coordsize="8648,3004">
            <v:shape style="position:absolute;left:0;top:848;width:1728;height:692" coordorigin="0,848" coordsize="1728,692" path="m1382,848l0,848,0,1540,1382,1540,1728,1194,1382,848xe" filled="true" fillcolor="#ec7c30" stroked="false">
              <v:path arrowok="t"/>
              <v:fill type="solid"/>
            </v:shape>
            <v:shape style="position:absolute;left:1382;top:848;width:1728;height:692" coordorigin="1382,848" coordsize="1728,692" path="m2765,848l1382,848,1728,1194,1382,1540,2765,1540,3110,1194,2765,848xe" filled="true" fillcolor="#a4a4a4" stroked="false">
              <v:path arrowok="t"/>
              <v:fill type="solid"/>
            </v:shape>
            <v:shape style="position:absolute;left:1382;top:848;width:1728;height:692" coordorigin="1382,848" coordsize="1728,692" path="m1382,848l2765,848,3110,1194,2765,1540,1382,1540,1728,1194,1382,848xe" filled="false" stroked="true" strokeweight=".96pt" strokecolor="#ffffff">
              <v:path arrowok="t"/>
              <v:stroke dashstyle="solid"/>
            </v:shape>
            <v:shape style="position:absolute;left:2764;top:848;width:1726;height:692" coordorigin="2765,848" coordsize="1726,692" path="m4145,848l2765,848,3110,1194,2765,1540,4145,1540,4490,1194,4145,848xe" filled="true" fillcolor="#ffc000" stroked="false">
              <v:path arrowok="t"/>
              <v:fill type="solid"/>
            </v:shape>
            <v:shape style="position:absolute;left:2764;top:848;width:1726;height:692" coordorigin="2765,848" coordsize="1726,692" path="m2765,848l4145,848,4490,1194,4145,1540,2765,1540,3110,1194,2765,848xe" filled="false" stroked="true" strokeweight=".96pt" strokecolor="#ffffff">
              <v:path arrowok="t"/>
              <v:stroke dashstyle="solid"/>
            </v:shape>
            <v:shape style="position:absolute;left:4144;top:848;width:1728;height:692" coordorigin="4145,848" coordsize="1728,692" path="m5527,848l4145,848,4490,1194,4145,1540,5527,1540,5873,1194,5527,848xe" filled="true" fillcolor="#4471c4" stroked="false">
              <v:path arrowok="t"/>
              <v:fill type="solid"/>
            </v:shape>
            <v:shape style="position:absolute;left:4144;top:848;width:1728;height:692" coordorigin="4145,848" coordsize="1728,692" path="m4145,848l5527,848,5873,1194,5527,1540,4145,1540,4490,1194,4145,848xe" filled="false" stroked="true" strokeweight=".96pt" strokecolor="#ffffff">
              <v:path arrowok="t"/>
              <v:stroke dashstyle="solid"/>
            </v:shape>
            <v:shape style="position:absolute;left:5527;top:848;width:1728;height:692" coordorigin="5527,848" coordsize="1728,692" path="m6910,848l5527,848,5873,1194,5527,1540,6910,1540,7255,1194,6910,848xe" filled="true" fillcolor="#6fac46" stroked="false">
              <v:path arrowok="t"/>
              <v:fill type="solid"/>
            </v:shape>
            <v:shape style="position:absolute;left:5527;top:848;width:1728;height:692" coordorigin="5527,848" coordsize="1728,692" path="m5527,848l6910,848,7255,1194,6910,1540,5527,1540,5873,1194,5527,848xe" filled="false" stroked="true" strokeweight=".96pt" strokecolor="#ffffff">
              <v:path arrowok="t"/>
              <v:stroke dashstyle="solid"/>
            </v:shape>
            <v:shape style="position:absolute;left:6909;top:848;width:1728;height:692" coordorigin="6910,848" coordsize="1728,692" path="m8292,848l6910,848,7255,1194,6910,1540,8292,1540,8638,1194,8292,848xe" filled="true" fillcolor="#ec7c30" stroked="false">
              <v:path arrowok="t"/>
              <v:fill type="solid"/>
            </v:shape>
            <v:shape style="position:absolute;left:6909;top:848;width:1728;height:692" coordorigin="6910,848" coordsize="1728,692" path="m6910,848l8292,848,8638,1194,8292,1540,6910,1540,7255,1194,6910,848xe" filled="false" stroked="true" strokeweight=".96pt" strokecolor="#ffffff">
              <v:path arrowok="t"/>
              <v:stroke dashstyle="solid"/>
            </v:shape>
            <v:shape style="position:absolute;left:713;top:74;width:120;height:752" coordorigin="714,74" coordsize="120,752" path="m789,194l758,195,769,826,800,825,789,194xm772,74l714,195,758,195,758,175,789,174,824,174,772,74xm789,174l758,175,758,195,789,194,789,174xm824,174l789,174,789,194,834,193,824,174xe" filled="true" fillcolor="#c55a11" stroked="false">
              <v:path arrowok="t"/>
              <v:fill type="solid"/>
            </v:shape>
            <v:shape style="position:absolute;left:2190;top:1466;width:120;height:627" coordorigin="2191,1466" coordsize="120,627" path="m2235,1973l2191,1974,2253,2092,2300,1993,2235,1993,2235,1973xm2266,1972l2235,1973,2235,1993,2267,1992,2266,1972xm2311,1971l2266,1972,2267,1992,2235,1993,2300,1993,2311,1971xm2256,1466l2225,1467,2235,1973,2266,1972,2256,1466xe" filled="true" fillcolor="#7e7e7e" stroked="false">
              <v:path arrowok="t"/>
              <v:fill type="solid"/>
            </v:shape>
            <v:shape style="position:absolute;left:4907;top:1415;width:120;height:627" coordorigin="4907,1416" coordsize="120,627" path="m4952,1922l4907,1923,4970,2042,5017,1942,4952,1942,4952,1922xm4983,1922l4952,1922,4952,1942,4983,1942,4983,1922xm5027,1921l4983,1922,4983,1942,4952,1942,5017,1942,5027,1921xm4973,1416l4942,1416,4952,1922,4983,1922,4973,1416xe" filled="true" fillcolor="#2d75b6" stroked="false">
              <v:path arrowok="t"/>
              <v:fill type="solid"/>
            </v:shape>
            <v:shape style="position:absolute;left:7611;top:1453;width:120;height:627" coordorigin="7611,1453" coordsize="120,627" path="m7661,1959l7611,1960,7673,2079,7721,1979,7661,1979,7661,1959xm7681,1959l7661,1959,7661,1979,7681,1979,7681,1959xm7731,1958l7681,1959,7681,1979,7661,1979,7721,1979,7731,1958xm7671,1453l7651,1453,7661,1959,7681,1959,7671,1453xe" filled="true" fillcolor="#843b0b" stroked="false">
              <v:path arrowok="t"/>
              <v:fill type="solid"/>
            </v:shape>
            <v:shape style="position:absolute;left:3593;top:24;width:120;height:752" coordorigin="3594,24" coordsize="120,752" path="m3669,144l3638,144,3649,776,3680,775,3669,144xm3652,24l3594,145,3638,144,3638,124,3669,124,3704,124,3652,24xm3669,124l3638,124,3638,144,3669,144,3669,124xm3704,124l3669,124,3669,144,3714,143,3704,124xe" filled="true" fillcolor="#be9000" stroked="false">
              <v:path arrowok="t"/>
              <v:fill type="solid"/>
            </v:shape>
            <v:shape style="position:absolute;left:6262;top:0;width:120;height:752" coordorigin="6262,0" coordsize="120,752" path="m6338,120l6307,120,6317,752,6349,751,6338,120xm6320,0l6262,121,6307,120,6306,100,6338,100,6372,100,6320,0xm6338,100l6306,100,6307,120,6338,120,6338,100xm6372,100l6338,100,6338,120,6382,119,6372,100xe" filled="true" fillcolor="#538235" stroked="false">
              <v:path arrowok="t"/>
              <v:fill type="solid"/>
            </v:shape>
            <v:rect style="position:absolute;left:3957;top:2017;width:2055;height:987" filled="true" fillcolor="#ffffff" stroked="false">
              <v:fill type="solid"/>
            </v:rect>
            <v:shape style="position:absolute;left:248;top:1053;width:1155;height:266" type="#_x0000_t202" filled="false" stroked="false">
              <v:textbox inset="0,0,0,0">
                <w:txbxContent>
                  <w:p>
                    <w:pPr>
                      <w:spacing w:line="266" w:lineRule="exact" w:before="0"/>
                      <w:ind w:left="0" w:right="0" w:firstLine="0"/>
                      <w:jc w:val="left"/>
                      <w:rPr>
                        <w:b/>
                        <w:sz w:val="24"/>
                      </w:rPr>
                    </w:pPr>
                    <w:r>
                      <w:rPr>
                        <w:b/>
                        <w:color w:val="FFFFFF"/>
                        <w:sz w:val="24"/>
                      </w:rPr>
                      <w:t>13 de junio</w:t>
                    </w:r>
                  </w:p>
                </w:txbxContent>
              </v:textbox>
              <w10:wrap type="none"/>
            </v:shape>
            <v:shape style="position:absolute;left:2001;top:928;width:561;height:513" type="#_x0000_t202" filled="false" stroked="false">
              <v:textbox inset="0,0,0,0">
                <w:txbxContent>
                  <w:p>
                    <w:pPr>
                      <w:spacing w:line="216" w:lineRule="auto" w:before="12"/>
                      <w:ind w:left="2" w:right="2" w:hanging="3"/>
                      <w:jc w:val="left"/>
                      <w:rPr>
                        <w:b/>
                        <w:sz w:val="24"/>
                      </w:rPr>
                    </w:pPr>
                    <w:r>
                      <w:rPr>
                        <w:b/>
                        <w:color w:val="FFFFFF"/>
                        <w:sz w:val="24"/>
                      </w:rPr>
                      <w:t>14 de junio</w:t>
                    </w:r>
                  </w:p>
                </w:txbxContent>
              </v:textbox>
              <w10:wrap type="none"/>
            </v:shape>
            <v:shape style="position:absolute;left:3383;top:928;width:561;height:513" type="#_x0000_t202" filled="false" stroked="false">
              <v:textbox inset="0,0,0,0">
                <w:txbxContent>
                  <w:p>
                    <w:pPr>
                      <w:spacing w:line="216" w:lineRule="auto" w:before="12"/>
                      <w:ind w:left="2" w:right="2" w:hanging="3"/>
                      <w:jc w:val="left"/>
                      <w:rPr>
                        <w:b/>
                        <w:sz w:val="24"/>
                      </w:rPr>
                    </w:pPr>
                    <w:r>
                      <w:rPr>
                        <w:b/>
                        <w:color w:val="FFFFFF"/>
                        <w:sz w:val="24"/>
                      </w:rPr>
                      <w:t>15 de junio</w:t>
                    </w:r>
                  </w:p>
                </w:txbxContent>
              </v:textbox>
              <w10:wrap type="none"/>
            </v:shape>
            <v:shape style="position:absolute;left:4765;top:928;width:561;height:513" type="#_x0000_t202" filled="false" stroked="false">
              <v:textbox inset="0,0,0,0">
                <w:txbxContent>
                  <w:p>
                    <w:pPr>
                      <w:spacing w:line="216" w:lineRule="auto" w:before="12"/>
                      <w:ind w:left="2" w:right="2" w:hanging="3"/>
                      <w:jc w:val="left"/>
                      <w:rPr>
                        <w:b/>
                        <w:sz w:val="24"/>
                      </w:rPr>
                    </w:pPr>
                    <w:r>
                      <w:rPr>
                        <w:b/>
                        <w:color w:val="FFFFFF"/>
                        <w:sz w:val="24"/>
                      </w:rPr>
                      <w:t>16 de junio</w:t>
                    </w:r>
                  </w:p>
                </w:txbxContent>
              </v:textbox>
              <w10:wrap type="none"/>
            </v:shape>
            <v:shape style="position:absolute;left:6147;top:928;width:561;height:513" type="#_x0000_t202" filled="false" stroked="false">
              <v:textbox inset="0,0,0,0">
                <w:txbxContent>
                  <w:p>
                    <w:pPr>
                      <w:spacing w:line="216" w:lineRule="auto" w:before="12"/>
                      <w:ind w:left="2" w:right="2" w:hanging="3"/>
                      <w:jc w:val="left"/>
                      <w:rPr>
                        <w:b/>
                        <w:sz w:val="24"/>
                      </w:rPr>
                    </w:pPr>
                    <w:r>
                      <w:rPr>
                        <w:b/>
                        <w:color w:val="FFFFFF"/>
                        <w:sz w:val="24"/>
                      </w:rPr>
                      <w:t>17 de junio</w:t>
                    </w:r>
                  </w:p>
                </w:txbxContent>
              </v:textbox>
              <w10:wrap type="none"/>
            </v:shape>
            <v:shape style="position:absolute;left:7529;top:928;width:561;height:513" type="#_x0000_t202" filled="false" stroked="false">
              <v:textbox inset="0,0,0,0">
                <w:txbxContent>
                  <w:p>
                    <w:pPr>
                      <w:spacing w:line="216" w:lineRule="auto" w:before="12"/>
                      <w:ind w:left="2" w:right="2" w:hanging="3"/>
                      <w:jc w:val="left"/>
                      <w:rPr>
                        <w:b/>
                        <w:sz w:val="24"/>
                      </w:rPr>
                    </w:pPr>
                    <w:r>
                      <w:rPr>
                        <w:b/>
                        <w:color w:val="FFFFFF"/>
                        <w:sz w:val="24"/>
                      </w:rPr>
                      <w:t>20 de junio</w:t>
                    </w:r>
                  </w:p>
                </w:txbxContent>
              </v:textbox>
              <w10:wrap type="none"/>
            </v:shape>
            <v:shape style="position:absolute;left:1490;top:2176;width:1524;height:526" type="#_x0000_t202" filled="false" stroked="false">
              <v:textbox inset="0,0,0,0">
                <w:txbxContent>
                  <w:p>
                    <w:pPr>
                      <w:spacing w:line="266" w:lineRule="auto" w:before="0"/>
                      <w:ind w:left="0" w:right="0" w:firstLine="302"/>
                      <w:jc w:val="left"/>
                      <w:rPr>
                        <w:b/>
                        <w:sz w:val="22"/>
                      </w:rPr>
                    </w:pPr>
                    <w:r>
                      <w:rPr>
                        <w:b/>
                        <w:color w:val="808080"/>
                        <w:sz w:val="22"/>
                      </w:rPr>
                      <w:t>Rigideces Presupuestarias</w:t>
                    </w:r>
                  </w:p>
                </w:txbxContent>
              </v:textbox>
              <w10:wrap type="none"/>
            </v:shape>
            <v:shape style="position:absolute;left:4532;top:2109;width:926;height:245" type="#_x0000_t202" filled="false" stroked="false">
              <v:textbox inset="0,0,0,0">
                <w:txbxContent>
                  <w:p>
                    <w:pPr>
                      <w:spacing w:line="244" w:lineRule="exact" w:before="0"/>
                      <w:ind w:left="0" w:right="0" w:firstLine="0"/>
                      <w:jc w:val="left"/>
                      <w:rPr>
                        <w:b/>
                        <w:sz w:val="22"/>
                      </w:rPr>
                    </w:pPr>
                    <w:r>
                      <w:rPr>
                        <w:b/>
                        <w:color w:val="2E5395"/>
                        <w:sz w:val="22"/>
                      </w:rPr>
                      <w:t>POASAN</w:t>
                    </w:r>
                  </w:p>
                </w:txbxContent>
              </v:textbox>
              <w10:wrap type="none"/>
            </v:shape>
            <v:shape style="position:absolute;left:6743;top:2265;width:1764;height:521" type="#_x0000_t202" filled="false" stroked="false">
              <v:textbox inset="0,0,0,0">
                <w:txbxContent>
                  <w:p>
                    <w:pPr>
                      <w:spacing w:line="261" w:lineRule="auto" w:before="0"/>
                      <w:ind w:left="0" w:right="2" w:firstLine="136"/>
                      <w:jc w:val="left"/>
                      <w:rPr>
                        <w:b/>
                        <w:sz w:val="22"/>
                      </w:rPr>
                    </w:pPr>
                    <w:r>
                      <w:rPr>
                        <w:b/>
                        <w:color w:val="833B0A"/>
                        <w:sz w:val="22"/>
                      </w:rPr>
                      <w:t>Administración Gobiernos Locales</w:t>
                    </w:r>
                  </w:p>
                </w:txbxContent>
              </v:textbox>
              <w10:wrap type="none"/>
            </v:shape>
          </v:group>
        </w:pict>
      </w:r>
      <w:r>
        <w:rPr>
          <w:sz w:val="20"/>
        </w:rPr>
      </w:r>
    </w:p>
    <w:p>
      <w:pPr>
        <w:pStyle w:val="BodyText"/>
        <w:spacing w:before="7"/>
        <w:rPr>
          <w:b/>
          <w:sz w:val="21"/>
        </w:rPr>
      </w:pPr>
    </w:p>
    <w:p>
      <w:pPr>
        <w:pStyle w:val="ListParagraph"/>
        <w:numPr>
          <w:ilvl w:val="0"/>
          <w:numId w:val="32"/>
        </w:numPr>
        <w:tabs>
          <w:tab w:pos="1282" w:val="left" w:leader="none"/>
        </w:tabs>
        <w:spacing w:line="276" w:lineRule="auto" w:before="91" w:after="0"/>
        <w:ind w:left="1282" w:right="1696" w:hanging="360"/>
        <w:jc w:val="both"/>
        <w:rPr>
          <w:sz w:val="22"/>
        </w:rPr>
      </w:pPr>
      <w:r>
        <w:rPr>
          <w:b/>
          <w:sz w:val="22"/>
        </w:rPr>
        <w:t>Elementos de Formulación de Presupuesto</w:t>
      </w:r>
      <w:r>
        <w:rPr>
          <w:sz w:val="22"/>
        </w:rPr>
        <w:t>: se explicó cuáles son los lineamientos generales de planificación y programación operativa multianual y anual 2023-2027, en que consiste la planificación estratégica, operativa y la gestión por resultados, los instrumentos que</w:t>
      </w:r>
      <w:r>
        <w:rPr>
          <w:spacing w:val="-4"/>
          <w:sz w:val="22"/>
        </w:rPr>
        <w:t> </w:t>
      </w:r>
      <w:r>
        <w:rPr>
          <w:sz w:val="22"/>
        </w:rPr>
        <w:t>orientan</w:t>
      </w:r>
      <w:r>
        <w:rPr>
          <w:spacing w:val="-6"/>
          <w:sz w:val="22"/>
        </w:rPr>
        <w:t> </w:t>
      </w:r>
      <w:r>
        <w:rPr>
          <w:sz w:val="22"/>
        </w:rPr>
        <w:t>el</w:t>
      </w:r>
      <w:r>
        <w:rPr>
          <w:spacing w:val="-5"/>
          <w:sz w:val="22"/>
        </w:rPr>
        <w:t> </w:t>
      </w:r>
      <w:r>
        <w:rPr>
          <w:sz w:val="22"/>
        </w:rPr>
        <w:t>quehacer</w:t>
      </w:r>
      <w:r>
        <w:rPr>
          <w:spacing w:val="-5"/>
          <w:sz w:val="22"/>
        </w:rPr>
        <w:t> </w:t>
      </w:r>
      <w:r>
        <w:rPr>
          <w:sz w:val="22"/>
        </w:rPr>
        <w:t>institucional</w:t>
      </w:r>
      <w:r>
        <w:rPr>
          <w:spacing w:val="-5"/>
          <w:sz w:val="22"/>
        </w:rPr>
        <w:t> </w:t>
      </w:r>
      <w:r>
        <w:rPr>
          <w:sz w:val="22"/>
        </w:rPr>
        <w:t>en</w:t>
      </w:r>
      <w:r>
        <w:rPr>
          <w:spacing w:val="-7"/>
          <w:sz w:val="22"/>
        </w:rPr>
        <w:t> </w:t>
      </w:r>
      <w:r>
        <w:rPr>
          <w:sz w:val="22"/>
        </w:rPr>
        <w:t>el</w:t>
      </w:r>
      <w:r>
        <w:rPr>
          <w:spacing w:val="-5"/>
          <w:sz w:val="22"/>
        </w:rPr>
        <w:t> </w:t>
      </w:r>
      <w:r>
        <w:rPr>
          <w:sz w:val="22"/>
        </w:rPr>
        <w:t>corto</w:t>
      </w:r>
      <w:r>
        <w:rPr>
          <w:spacing w:val="-3"/>
          <w:sz w:val="22"/>
        </w:rPr>
        <w:t> </w:t>
      </w:r>
      <w:r>
        <w:rPr>
          <w:sz w:val="22"/>
        </w:rPr>
        <w:t>y</w:t>
      </w:r>
      <w:r>
        <w:rPr>
          <w:spacing w:val="-6"/>
          <w:sz w:val="22"/>
        </w:rPr>
        <w:t> </w:t>
      </w:r>
      <w:r>
        <w:rPr>
          <w:sz w:val="22"/>
        </w:rPr>
        <w:t>mediano</w:t>
      </w:r>
      <w:r>
        <w:rPr>
          <w:spacing w:val="-6"/>
          <w:sz w:val="22"/>
        </w:rPr>
        <w:t> </w:t>
      </w:r>
      <w:r>
        <w:rPr>
          <w:sz w:val="22"/>
        </w:rPr>
        <w:t>plazo,</w:t>
      </w:r>
      <w:r>
        <w:rPr>
          <w:spacing w:val="-4"/>
          <w:sz w:val="22"/>
        </w:rPr>
        <w:t> </w:t>
      </w:r>
      <w:r>
        <w:rPr>
          <w:sz w:val="22"/>
        </w:rPr>
        <w:t>siendo</w:t>
      </w:r>
      <w:r>
        <w:rPr>
          <w:spacing w:val="-7"/>
          <w:sz w:val="22"/>
        </w:rPr>
        <w:t> </w:t>
      </w:r>
      <w:r>
        <w:rPr>
          <w:sz w:val="22"/>
        </w:rPr>
        <w:t>estos</w:t>
      </w:r>
      <w:r>
        <w:rPr>
          <w:spacing w:val="-6"/>
          <w:sz w:val="22"/>
        </w:rPr>
        <w:t> </w:t>
      </w:r>
      <w:r>
        <w:rPr>
          <w:sz w:val="22"/>
        </w:rPr>
        <w:t>instrumentos la</w:t>
      </w:r>
      <w:r>
        <w:rPr>
          <w:spacing w:val="-8"/>
          <w:sz w:val="22"/>
        </w:rPr>
        <w:t> </w:t>
      </w:r>
      <w:r>
        <w:rPr>
          <w:sz w:val="22"/>
        </w:rPr>
        <w:t>Planificación</w:t>
      </w:r>
      <w:r>
        <w:rPr>
          <w:spacing w:val="-8"/>
          <w:sz w:val="22"/>
        </w:rPr>
        <w:t> </w:t>
      </w:r>
      <w:r>
        <w:rPr>
          <w:sz w:val="22"/>
        </w:rPr>
        <w:t>Operativa</w:t>
      </w:r>
      <w:r>
        <w:rPr>
          <w:spacing w:val="-10"/>
          <w:sz w:val="22"/>
        </w:rPr>
        <w:t> </w:t>
      </w:r>
      <w:r>
        <w:rPr>
          <w:sz w:val="22"/>
        </w:rPr>
        <w:t>Multianual</w:t>
      </w:r>
      <w:r>
        <w:rPr>
          <w:spacing w:val="-10"/>
          <w:sz w:val="22"/>
        </w:rPr>
        <w:t> </w:t>
      </w:r>
      <w:r>
        <w:rPr>
          <w:sz w:val="22"/>
        </w:rPr>
        <w:t>(POM)</w:t>
      </w:r>
      <w:r>
        <w:rPr>
          <w:spacing w:val="-9"/>
          <w:sz w:val="22"/>
        </w:rPr>
        <w:t> </w:t>
      </w:r>
      <w:r>
        <w:rPr>
          <w:sz w:val="22"/>
        </w:rPr>
        <w:t>y</w:t>
      </w:r>
      <w:r>
        <w:rPr>
          <w:spacing w:val="-11"/>
          <w:sz w:val="22"/>
        </w:rPr>
        <w:t> </w:t>
      </w:r>
      <w:r>
        <w:rPr>
          <w:sz w:val="22"/>
        </w:rPr>
        <w:t>la</w:t>
      </w:r>
      <w:r>
        <w:rPr>
          <w:spacing w:val="-10"/>
          <w:sz w:val="22"/>
        </w:rPr>
        <w:t> </w:t>
      </w:r>
      <w:r>
        <w:rPr>
          <w:sz w:val="22"/>
        </w:rPr>
        <w:t>Planificación</w:t>
      </w:r>
      <w:r>
        <w:rPr>
          <w:spacing w:val="-10"/>
          <w:sz w:val="22"/>
        </w:rPr>
        <w:t> </w:t>
      </w:r>
      <w:r>
        <w:rPr>
          <w:sz w:val="22"/>
        </w:rPr>
        <w:t>Operativa</w:t>
      </w:r>
      <w:r>
        <w:rPr>
          <w:spacing w:val="-8"/>
          <w:sz w:val="22"/>
        </w:rPr>
        <w:t> </w:t>
      </w:r>
      <w:r>
        <w:rPr>
          <w:sz w:val="22"/>
        </w:rPr>
        <w:t>Anual</w:t>
      </w:r>
      <w:r>
        <w:rPr>
          <w:spacing w:val="-10"/>
          <w:sz w:val="22"/>
        </w:rPr>
        <w:t> </w:t>
      </w:r>
      <w:r>
        <w:rPr>
          <w:sz w:val="22"/>
        </w:rPr>
        <w:t>(POA)</w:t>
      </w:r>
      <w:r>
        <w:rPr>
          <w:spacing w:val="-7"/>
          <w:sz w:val="22"/>
        </w:rPr>
        <w:t> </w:t>
      </w:r>
      <w:r>
        <w:rPr>
          <w:sz w:val="22"/>
        </w:rPr>
        <w:t>para lo cual se debe vincular de forma estratégica con otros instrumentos como el K’atun nuestra Guatemala</w:t>
      </w:r>
      <w:r>
        <w:rPr>
          <w:spacing w:val="-7"/>
          <w:sz w:val="22"/>
        </w:rPr>
        <w:t> </w:t>
      </w:r>
      <w:r>
        <w:rPr>
          <w:sz w:val="22"/>
        </w:rPr>
        <w:t>2032,</w:t>
      </w:r>
      <w:r>
        <w:rPr>
          <w:spacing w:val="-7"/>
          <w:sz w:val="22"/>
        </w:rPr>
        <w:t> </w:t>
      </w:r>
      <w:r>
        <w:rPr>
          <w:sz w:val="22"/>
        </w:rPr>
        <w:t>las</w:t>
      </w:r>
      <w:r>
        <w:rPr>
          <w:spacing w:val="-3"/>
          <w:sz w:val="22"/>
        </w:rPr>
        <w:t> </w:t>
      </w:r>
      <w:r>
        <w:rPr>
          <w:sz w:val="22"/>
        </w:rPr>
        <w:t>Prioridades</w:t>
      </w:r>
      <w:r>
        <w:rPr>
          <w:spacing w:val="-7"/>
          <w:sz w:val="22"/>
        </w:rPr>
        <w:t> </w:t>
      </w:r>
      <w:r>
        <w:rPr>
          <w:sz w:val="22"/>
        </w:rPr>
        <w:t>Nacionales</w:t>
      </w:r>
      <w:r>
        <w:rPr>
          <w:spacing w:val="-6"/>
          <w:sz w:val="22"/>
        </w:rPr>
        <w:t> </w:t>
      </w:r>
      <w:r>
        <w:rPr>
          <w:sz w:val="22"/>
        </w:rPr>
        <w:t>de</w:t>
      </w:r>
      <w:r>
        <w:rPr>
          <w:spacing w:val="-6"/>
          <w:sz w:val="22"/>
        </w:rPr>
        <w:t> </w:t>
      </w:r>
      <w:r>
        <w:rPr>
          <w:sz w:val="22"/>
        </w:rPr>
        <w:t>Desarrollo,</w:t>
      </w:r>
      <w:r>
        <w:rPr>
          <w:spacing w:val="-7"/>
          <w:sz w:val="22"/>
        </w:rPr>
        <w:t> </w:t>
      </w:r>
      <w:r>
        <w:rPr>
          <w:sz w:val="22"/>
        </w:rPr>
        <w:t>Metas</w:t>
      </w:r>
      <w:r>
        <w:rPr>
          <w:spacing w:val="-4"/>
          <w:sz w:val="22"/>
        </w:rPr>
        <w:t> </w:t>
      </w:r>
      <w:r>
        <w:rPr>
          <w:sz w:val="22"/>
        </w:rPr>
        <w:t>Estratégicas</w:t>
      </w:r>
      <w:r>
        <w:rPr>
          <w:spacing w:val="-6"/>
          <w:sz w:val="22"/>
        </w:rPr>
        <w:t> </w:t>
      </w:r>
      <w:r>
        <w:rPr>
          <w:sz w:val="22"/>
        </w:rPr>
        <w:t>de</w:t>
      </w:r>
      <w:r>
        <w:rPr>
          <w:spacing w:val="-9"/>
          <w:sz w:val="22"/>
        </w:rPr>
        <w:t> </w:t>
      </w:r>
      <w:r>
        <w:rPr>
          <w:sz w:val="22"/>
        </w:rPr>
        <w:t>Desarrollo y la Política General de Gobierno</w:t>
      </w:r>
      <w:r>
        <w:rPr>
          <w:spacing w:val="-4"/>
          <w:sz w:val="22"/>
        </w:rPr>
        <w:t> </w:t>
      </w:r>
      <w:r>
        <w:rPr>
          <w:sz w:val="22"/>
        </w:rPr>
        <w:t>2020-2024.</w:t>
      </w:r>
    </w:p>
    <w:p>
      <w:pPr>
        <w:pStyle w:val="BodyText"/>
        <w:spacing w:before="4"/>
        <w:rPr>
          <w:sz w:val="25"/>
        </w:rPr>
      </w:pPr>
    </w:p>
    <w:p>
      <w:pPr>
        <w:pStyle w:val="ListParagraph"/>
        <w:numPr>
          <w:ilvl w:val="0"/>
          <w:numId w:val="32"/>
        </w:numPr>
        <w:tabs>
          <w:tab w:pos="1282" w:val="left" w:leader="none"/>
        </w:tabs>
        <w:spacing w:line="276" w:lineRule="auto" w:before="0" w:after="0"/>
        <w:ind w:left="1282" w:right="1692" w:hanging="360"/>
        <w:jc w:val="both"/>
        <w:rPr>
          <w:sz w:val="22"/>
        </w:rPr>
      </w:pPr>
      <w:r>
        <w:rPr>
          <w:b/>
          <w:sz w:val="22"/>
        </w:rPr>
        <w:t>Conformación del Presupuesto Público y Rigidez Presupuestaria: </w:t>
      </w:r>
      <w:r>
        <w:rPr>
          <w:sz w:val="22"/>
        </w:rPr>
        <w:t>se explicó cuáles son los parámetros que se utilizan para la elaboración del presupuesto público, tales como: variables macroeconómicas, recaudación tributaria y planificación estratégica. También se explicó la rigidez presupuestaria la cual consiste en recursos presupuestarios que tienen un destino específico, ya sea de forma legal o por compromisos del gasto que son de carácter ineludible y que limitan el quehacer de la política</w:t>
      </w:r>
      <w:r>
        <w:rPr>
          <w:spacing w:val="-7"/>
          <w:sz w:val="22"/>
        </w:rPr>
        <w:t> </w:t>
      </w:r>
      <w:r>
        <w:rPr>
          <w:sz w:val="22"/>
        </w:rPr>
        <w:t>fiscal.</w:t>
      </w:r>
    </w:p>
    <w:p>
      <w:pPr>
        <w:pStyle w:val="BodyText"/>
        <w:spacing w:before="5"/>
        <w:rPr>
          <w:sz w:val="25"/>
        </w:rPr>
      </w:pPr>
    </w:p>
    <w:p>
      <w:pPr>
        <w:pStyle w:val="ListParagraph"/>
        <w:numPr>
          <w:ilvl w:val="0"/>
          <w:numId w:val="32"/>
        </w:numPr>
        <w:tabs>
          <w:tab w:pos="1282" w:val="left" w:leader="none"/>
        </w:tabs>
        <w:spacing w:line="276" w:lineRule="auto" w:before="0" w:after="0"/>
        <w:ind w:left="1282" w:right="1695" w:hanging="360"/>
        <w:jc w:val="both"/>
        <w:rPr>
          <w:sz w:val="22"/>
        </w:rPr>
      </w:pPr>
      <w:r>
        <w:rPr>
          <w:b/>
          <w:sz w:val="22"/>
        </w:rPr>
        <w:t>Sistema Nacional de Inversión Pública: </w:t>
      </w:r>
      <w:r>
        <w:rPr>
          <w:sz w:val="22"/>
        </w:rPr>
        <w:t>este tema estuvo a cargo de Segeplan que explicó en qué consiste el marco general de inversión pública, siendo el SNIP el encargado de establecer las bases y condiciones para el desarrollo de la inversión pública, asignando recursos a proyectos específicos que han pasado por una evaluación</w:t>
      </w:r>
      <w:r>
        <w:rPr>
          <w:spacing w:val="-11"/>
          <w:sz w:val="22"/>
        </w:rPr>
        <w:t> </w:t>
      </w:r>
      <w:r>
        <w:rPr>
          <w:sz w:val="22"/>
        </w:rPr>
        <w:t>socioeconómica.</w:t>
      </w:r>
    </w:p>
    <w:p>
      <w:pPr>
        <w:pStyle w:val="BodyText"/>
        <w:spacing w:before="3"/>
        <w:rPr>
          <w:sz w:val="25"/>
        </w:rPr>
      </w:pPr>
    </w:p>
    <w:p>
      <w:pPr>
        <w:pStyle w:val="ListParagraph"/>
        <w:numPr>
          <w:ilvl w:val="0"/>
          <w:numId w:val="32"/>
        </w:numPr>
        <w:tabs>
          <w:tab w:pos="1282" w:val="left" w:leader="none"/>
        </w:tabs>
        <w:spacing w:line="276" w:lineRule="auto" w:before="1" w:after="0"/>
        <w:ind w:left="1282" w:right="1696" w:hanging="360"/>
        <w:jc w:val="both"/>
        <w:rPr>
          <w:sz w:val="22"/>
        </w:rPr>
      </w:pPr>
      <w:r>
        <w:rPr>
          <w:b/>
          <w:sz w:val="22"/>
        </w:rPr>
        <w:t>POASAN: </w:t>
      </w:r>
      <w:r>
        <w:rPr>
          <w:sz w:val="22"/>
        </w:rPr>
        <w:t>se expuso que el Plan Operativo Anual de Seguridad Alimentaria y Nutricional (POASAN) se encarga de revisar todas las estructuras presupuestarias para analizar cuáles pueden ser vinculadas al POASAN para posteriormente darle seguimiento a la ejecución financiera.</w:t>
      </w:r>
    </w:p>
    <w:p>
      <w:pPr>
        <w:spacing w:after="0" w:line="276" w:lineRule="auto"/>
        <w:jc w:val="both"/>
        <w:rPr>
          <w:sz w:val="22"/>
        </w:rPr>
        <w:sectPr>
          <w:type w:val="continuous"/>
          <w:pgSz w:w="12240" w:h="15840"/>
          <w:pgMar w:top="1500" w:bottom="280" w:left="1140" w:right="0"/>
        </w:sectPr>
      </w:pPr>
    </w:p>
    <w:p>
      <w:pPr>
        <w:pStyle w:val="ListParagraph"/>
        <w:numPr>
          <w:ilvl w:val="0"/>
          <w:numId w:val="32"/>
        </w:numPr>
        <w:tabs>
          <w:tab w:pos="1282" w:val="left" w:leader="none"/>
        </w:tabs>
        <w:spacing w:line="276" w:lineRule="auto" w:before="162" w:after="0"/>
        <w:ind w:left="1282" w:right="1694" w:hanging="360"/>
        <w:jc w:val="both"/>
        <w:rPr>
          <w:sz w:val="22"/>
        </w:rPr>
      </w:pPr>
      <w:r>
        <w:rPr>
          <w:b/>
          <w:sz w:val="22"/>
        </w:rPr>
        <w:t>Oferta</w:t>
      </w:r>
      <w:r>
        <w:rPr>
          <w:b/>
          <w:spacing w:val="-9"/>
          <w:sz w:val="22"/>
        </w:rPr>
        <w:t> </w:t>
      </w:r>
      <w:r>
        <w:rPr>
          <w:b/>
          <w:sz w:val="22"/>
        </w:rPr>
        <w:t>de</w:t>
      </w:r>
      <w:r>
        <w:rPr>
          <w:b/>
          <w:spacing w:val="-10"/>
          <w:sz w:val="22"/>
        </w:rPr>
        <w:t> </w:t>
      </w:r>
      <w:r>
        <w:rPr>
          <w:b/>
          <w:sz w:val="22"/>
        </w:rPr>
        <w:t>formación</w:t>
      </w:r>
      <w:r>
        <w:rPr>
          <w:b/>
          <w:spacing w:val="-9"/>
          <w:sz w:val="22"/>
        </w:rPr>
        <w:t> </w:t>
      </w:r>
      <w:r>
        <w:rPr>
          <w:b/>
          <w:sz w:val="22"/>
        </w:rPr>
        <w:t>y</w:t>
      </w:r>
      <w:r>
        <w:rPr>
          <w:b/>
          <w:spacing w:val="-9"/>
          <w:sz w:val="22"/>
        </w:rPr>
        <w:t> </w:t>
      </w:r>
      <w:r>
        <w:rPr>
          <w:b/>
          <w:sz w:val="22"/>
        </w:rPr>
        <w:t>Portales</w:t>
      </w:r>
      <w:r>
        <w:rPr>
          <w:b/>
          <w:spacing w:val="-7"/>
          <w:sz w:val="22"/>
        </w:rPr>
        <w:t> </w:t>
      </w:r>
      <w:r>
        <w:rPr>
          <w:b/>
          <w:sz w:val="22"/>
        </w:rPr>
        <w:t>de</w:t>
      </w:r>
      <w:r>
        <w:rPr>
          <w:b/>
          <w:spacing w:val="-9"/>
          <w:sz w:val="22"/>
        </w:rPr>
        <w:t> </w:t>
      </w:r>
      <w:r>
        <w:rPr>
          <w:b/>
          <w:sz w:val="22"/>
        </w:rPr>
        <w:t>Transparencia</w:t>
      </w:r>
      <w:r>
        <w:rPr>
          <w:b/>
          <w:spacing w:val="-7"/>
          <w:sz w:val="22"/>
        </w:rPr>
        <w:t> </w:t>
      </w:r>
      <w:r>
        <w:rPr>
          <w:b/>
          <w:sz w:val="22"/>
        </w:rPr>
        <w:t>del</w:t>
      </w:r>
      <w:r>
        <w:rPr>
          <w:b/>
          <w:spacing w:val="-10"/>
          <w:sz w:val="22"/>
        </w:rPr>
        <w:t> </w:t>
      </w:r>
      <w:r>
        <w:rPr>
          <w:b/>
          <w:sz w:val="22"/>
        </w:rPr>
        <w:t>Minfin:</w:t>
      </w:r>
      <w:r>
        <w:rPr>
          <w:b/>
          <w:spacing w:val="-10"/>
          <w:sz w:val="22"/>
        </w:rPr>
        <w:t> </w:t>
      </w:r>
      <w:r>
        <w:rPr>
          <w:sz w:val="22"/>
        </w:rPr>
        <w:t>se</w:t>
      </w:r>
      <w:r>
        <w:rPr>
          <w:spacing w:val="-7"/>
          <w:sz w:val="22"/>
        </w:rPr>
        <w:t> </w:t>
      </w:r>
      <w:r>
        <w:rPr>
          <w:sz w:val="22"/>
        </w:rPr>
        <w:t>explicó</w:t>
      </w:r>
      <w:r>
        <w:rPr>
          <w:spacing w:val="-8"/>
          <w:sz w:val="22"/>
        </w:rPr>
        <w:t> </w:t>
      </w:r>
      <w:r>
        <w:rPr>
          <w:sz w:val="22"/>
        </w:rPr>
        <w:t>que</w:t>
      </w:r>
      <w:r>
        <w:rPr>
          <w:spacing w:val="-11"/>
          <w:sz w:val="22"/>
        </w:rPr>
        <w:t> </w:t>
      </w:r>
      <w:r>
        <w:rPr>
          <w:sz w:val="22"/>
        </w:rPr>
        <w:t>recursos</w:t>
      </w:r>
      <w:r>
        <w:rPr>
          <w:spacing w:val="-8"/>
          <w:sz w:val="22"/>
        </w:rPr>
        <w:t> </w:t>
      </w:r>
      <w:r>
        <w:rPr>
          <w:sz w:val="22"/>
        </w:rPr>
        <w:t>hay disponibles para la formación y el desarrollo profesional en adquisiciones del Estado siendo la</w:t>
      </w:r>
      <w:r>
        <w:rPr>
          <w:spacing w:val="-15"/>
          <w:sz w:val="22"/>
        </w:rPr>
        <w:t> </w:t>
      </w:r>
      <w:r>
        <w:rPr>
          <w:sz w:val="22"/>
        </w:rPr>
        <w:t>Dirección</w:t>
      </w:r>
      <w:r>
        <w:rPr>
          <w:spacing w:val="-14"/>
          <w:sz w:val="22"/>
        </w:rPr>
        <w:t> </w:t>
      </w:r>
      <w:r>
        <w:rPr>
          <w:sz w:val="22"/>
        </w:rPr>
        <w:t>de</w:t>
      </w:r>
      <w:r>
        <w:rPr>
          <w:spacing w:val="-14"/>
          <w:sz w:val="22"/>
        </w:rPr>
        <w:t> </w:t>
      </w:r>
      <w:r>
        <w:rPr>
          <w:sz w:val="22"/>
        </w:rPr>
        <w:t>Formación</w:t>
      </w:r>
      <w:r>
        <w:rPr>
          <w:spacing w:val="-17"/>
          <w:sz w:val="22"/>
        </w:rPr>
        <w:t> </w:t>
      </w:r>
      <w:r>
        <w:rPr>
          <w:sz w:val="22"/>
        </w:rPr>
        <w:t>y</w:t>
      </w:r>
      <w:r>
        <w:rPr>
          <w:spacing w:val="-17"/>
          <w:sz w:val="22"/>
        </w:rPr>
        <w:t> </w:t>
      </w:r>
      <w:r>
        <w:rPr>
          <w:sz w:val="22"/>
        </w:rPr>
        <w:t>Desarrollo</w:t>
      </w:r>
      <w:r>
        <w:rPr>
          <w:spacing w:val="-14"/>
          <w:sz w:val="22"/>
        </w:rPr>
        <w:t> </w:t>
      </w:r>
      <w:r>
        <w:rPr>
          <w:sz w:val="22"/>
        </w:rPr>
        <w:t>Profesional</w:t>
      </w:r>
      <w:r>
        <w:rPr>
          <w:spacing w:val="-13"/>
          <w:sz w:val="22"/>
        </w:rPr>
        <w:t> </w:t>
      </w:r>
      <w:r>
        <w:rPr>
          <w:sz w:val="22"/>
        </w:rPr>
        <w:t>en</w:t>
      </w:r>
      <w:r>
        <w:rPr>
          <w:spacing w:val="-19"/>
          <w:sz w:val="22"/>
        </w:rPr>
        <w:t> </w:t>
      </w:r>
      <w:r>
        <w:rPr>
          <w:sz w:val="22"/>
        </w:rPr>
        <w:t>Adquisiciones</w:t>
      </w:r>
      <w:r>
        <w:rPr>
          <w:spacing w:val="-16"/>
          <w:sz w:val="22"/>
        </w:rPr>
        <w:t> </w:t>
      </w:r>
      <w:r>
        <w:rPr>
          <w:sz w:val="22"/>
        </w:rPr>
        <w:t>del</w:t>
      </w:r>
      <w:r>
        <w:rPr>
          <w:spacing w:val="-13"/>
          <w:sz w:val="22"/>
        </w:rPr>
        <w:t> </w:t>
      </w:r>
      <w:r>
        <w:rPr>
          <w:sz w:val="22"/>
        </w:rPr>
        <w:t>Estado</w:t>
      </w:r>
      <w:r>
        <w:rPr>
          <w:spacing w:val="-17"/>
          <w:sz w:val="22"/>
        </w:rPr>
        <w:t> </w:t>
      </w:r>
      <w:r>
        <w:rPr>
          <w:sz w:val="22"/>
        </w:rPr>
        <w:t>la</w:t>
      </w:r>
      <w:r>
        <w:rPr>
          <w:spacing w:val="-16"/>
          <w:sz w:val="22"/>
        </w:rPr>
        <w:t> </w:t>
      </w:r>
      <w:r>
        <w:rPr>
          <w:sz w:val="22"/>
        </w:rPr>
        <w:t>encargada de recursos educativos de autoformación, así como webinars, cursos presenciales y semipresenciales, entre otras</w:t>
      </w:r>
      <w:r>
        <w:rPr>
          <w:spacing w:val="-1"/>
          <w:sz w:val="22"/>
        </w:rPr>
        <w:t> </w:t>
      </w:r>
      <w:r>
        <w:rPr>
          <w:sz w:val="22"/>
        </w:rPr>
        <w:t>herramientas.</w:t>
      </w:r>
    </w:p>
    <w:p>
      <w:pPr>
        <w:pStyle w:val="BodyText"/>
        <w:rPr>
          <w:sz w:val="24"/>
        </w:rPr>
      </w:pPr>
    </w:p>
    <w:p>
      <w:pPr>
        <w:pStyle w:val="ListParagraph"/>
        <w:numPr>
          <w:ilvl w:val="0"/>
          <w:numId w:val="32"/>
        </w:numPr>
        <w:tabs>
          <w:tab w:pos="1282" w:val="left" w:leader="none"/>
        </w:tabs>
        <w:spacing w:line="276" w:lineRule="auto" w:before="175" w:after="0"/>
        <w:ind w:left="1282" w:right="1697" w:hanging="360"/>
        <w:jc w:val="both"/>
        <w:rPr>
          <w:sz w:val="22"/>
        </w:rPr>
      </w:pPr>
      <w:r>
        <w:rPr>
          <w:b/>
          <w:sz w:val="22"/>
        </w:rPr>
        <w:t>Administración</w:t>
      </w:r>
      <w:r>
        <w:rPr>
          <w:b/>
          <w:spacing w:val="-12"/>
          <w:sz w:val="22"/>
        </w:rPr>
        <w:t> </w:t>
      </w:r>
      <w:r>
        <w:rPr>
          <w:b/>
          <w:sz w:val="22"/>
        </w:rPr>
        <w:t>de</w:t>
      </w:r>
      <w:r>
        <w:rPr>
          <w:b/>
          <w:spacing w:val="-13"/>
          <w:sz w:val="22"/>
        </w:rPr>
        <w:t> </w:t>
      </w:r>
      <w:r>
        <w:rPr>
          <w:b/>
          <w:sz w:val="22"/>
        </w:rPr>
        <w:t>Gobiernos</w:t>
      </w:r>
      <w:r>
        <w:rPr>
          <w:b/>
          <w:spacing w:val="-12"/>
          <w:sz w:val="22"/>
        </w:rPr>
        <w:t> </w:t>
      </w:r>
      <w:r>
        <w:rPr>
          <w:b/>
          <w:sz w:val="22"/>
        </w:rPr>
        <w:t>Locales:</w:t>
      </w:r>
      <w:r>
        <w:rPr>
          <w:b/>
          <w:spacing w:val="-15"/>
          <w:sz w:val="22"/>
        </w:rPr>
        <w:t> </w:t>
      </w:r>
      <w:r>
        <w:rPr>
          <w:sz w:val="22"/>
        </w:rPr>
        <w:t>Por</w:t>
      </w:r>
      <w:r>
        <w:rPr>
          <w:spacing w:val="-11"/>
          <w:sz w:val="22"/>
        </w:rPr>
        <w:t> </w:t>
      </w:r>
      <w:r>
        <w:rPr>
          <w:sz w:val="22"/>
        </w:rPr>
        <w:t>su</w:t>
      </w:r>
      <w:r>
        <w:rPr>
          <w:spacing w:val="-13"/>
          <w:sz w:val="22"/>
        </w:rPr>
        <w:t> </w:t>
      </w:r>
      <w:r>
        <w:rPr>
          <w:sz w:val="22"/>
        </w:rPr>
        <w:t>parte,</w:t>
      </w:r>
      <w:r>
        <w:rPr>
          <w:spacing w:val="-13"/>
          <w:sz w:val="22"/>
        </w:rPr>
        <w:t> </w:t>
      </w:r>
      <w:r>
        <w:rPr>
          <w:sz w:val="22"/>
        </w:rPr>
        <w:t>para</w:t>
      </w:r>
      <w:r>
        <w:rPr>
          <w:spacing w:val="-13"/>
          <w:sz w:val="22"/>
        </w:rPr>
        <w:t> </w:t>
      </w:r>
      <w:r>
        <w:rPr>
          <w:sz w:val="22"/>
        </w:rPr>
        <w:t>los</w:t>
      </w:r>
      <w:r>
        <w:rPr>
          <w:spacing w:val="-13"/>
          <w:sz w:val="22"/>
        </w:rPr>
        <w:t> </w:t>
      </w:r>
      <w:r>
        <w:rPr>
          <w:sz w:val="22"/>
        </w:rPr>
        <w:t>gobiernos</w:t>
      </w:r>
      <w:r>
        <w:rPr>
          <w:spacing w:val="-14"/>
          <w:sz w:val="22"/>
        </w:rPr>
        <w:t> </w:t>
      </w:r>
      <w:r>
        <w:rPr>
          <w:sz w:val="22"/>
        </w:rPr>
        <w:t>locales</w:t>
      </w:r>
      <w:r>
        <w:rPr>
          <w:spacing w:val="-13"/>
          <w:sz w:val="22"/>
        </w:rPr>
        <w:t> </w:t>
      </w:r>
      <w:r>
        <w:rPr>
          <w:sz w:val="22"/>
        </w:rPr>
        <w:t>la</w:t>
      </w:r>
      <w:r>
        <w:rPr>
          <w:spacing w:val="-14"/>
          <w:sz w:val="22"/>
        </w:rPr>
        <w:t> </w:t>
      </w:r>
      <w:r>
        <w:rPr>
          <w:sz w:val="22"/>
        </w:rPr>
        <w:t>Dirección de Asistencia a la Administración Financiera Municipal es la encargada de velar por brindar asistencia y asesoría técnica a las municipalidades, mancomunidades de municipalidades, dependencias y empresas municipales del</w:t>
      </w:r>
      <w:r>
        <w:rPr>
          <w:spacing w:val="-7"/>
          <w:sz w:val="22"/>
        </w:rPr>
        <w:t> </w:t>
      </w:r>
      <w:r>
        <w:rPr>
          <w:sz w:val="22"/>
        </w:rPr>
        <w:t>país.</w:t>
      </w:r>
    </w:p>
    <w:p>
      <w:pPr>
        <w:pStyle w:val="BodyText"/>
        <w:spacing w:before="3"/>
        <w:rPr>
          <w:sz w:val="25"/>
        </w:rPr>
      </w:pPr>
    </w:p>
    <w:p>
      <w:pPr>
        <w:pStyle w:val="BodyText"/>
        <w:spacing w:line="276" w:lineRule="auto" w:before="1"/>
        <w:ind w:left="562" w:right="1698"/>
        <w:jc w:val="both"/>
      </w:pPr>
      <w:r>
        <w:rPr/>
        <w:t>En el segundo módulo estratégico correspondiente a los foros se buscó generar discusiones entre representantes de la sociedad civil y funcionarios del Estado, para discutir temas relevantes que afectaran como queda definido finalmente el Proyecto de Presupuesto para el ejercicio fiscal 2023.</w:t>
      </w:r>
    </w:p>
    <w:p>
      <w:pPr>
        <w:pStyle w:val="BodyText"/>
        <w:spacing w:before="8"/>
        <w:rPr>
          <w:sz w:val="25"/>
        </w:rPr>
      </w:pPr>
    </w:p>
    <w:p>
      <w:pPr>
        <w:spacing w:before="1"/>
        <w:ind w:left="2146" w:right="0" w:firstLine="0"/>
        <w:jc w:val="left"/>
        <w:rPr>
          <w:b/>
          <w:sz w:val="22"/>
        </w:rPr>
      </w:pPr>
      <w:r>
        <w:rPr/>
        <w:pict>
          <v:group style="position:absolute;margin-left:93.720001pt;margin-top:17.469536pt;width:247.45pt;height:232.35pt;mso-position-horizontal-relative:page;mso-position-vertical-relative:paragraph;z-index:253113344" coordorigin="1874,349" coordsize="4949,4647">
            <v:rect style="position:absolute;left:2168;top:888;width:1745;height:3524" filled="true" fillcolor="#528bc1" stroked="false">
              <v:fill type="solid"/>
            </v:rect>
            <v:rect style="position:absolute;left:2168;top:888;width:1745;height:3524" filled="false" stroked="true" strokeweight="1.56pt" strokecolor="#1f4e79">
              <v:stroke dashstyle="solid"/>
            </v:rect>
            <v:shape style="position:absolute;left:1884;top:359;width:629;height:629" type="#_x0000_t75" stroked="false">
              <v:imagedata r:id="rId283" o:title=""/>
            </v:shape>
            <v:rect style="position:absolute;left:1884;top:359;width:629;height:629" filled="false" stroked="true" strokeweight=".96pt" strokecolor="#ffffff">
              <v:stroke dashstyle="solid"/>
            </v:rect>
            <v:rect style="position:absolute;left:4398;top:931;width:1745;height:4049" filled="true" fillcolor="#6c9dcd" stroked="false">
              <v:fill type="solid"/>
            </v:rect>
            <v:rect style="position:absolute;left:4398;top:931;width:1745;height:4049" filled="false" stroked="true" strokeweight="1.56pt" strokecolor="#1f4e79">
              <v:stroke dashstyle="solid"/>
            </v:rect>
            <v:shape style="position:absolute;left:3955;top:359;width:629;height:629" type="#_x0000_t75" stroked="false">
              <v:imagedata r:id="rId284" o:title=""/>
            </v:shape>
            <v:rect style="position:absolute;left:3955;top:359;width:629;height:629" filled="false" stroked="true" strokeweight=".96pt" strokecolor="#ffffff">
              <v:stroke dashstyle="solid"/>
            </v:rect>
            <v:shape style="position:absolute;left:6194;top:471;width:629;height:632" type="#_x0000_t75" stroked="false">
              <v:imagedata r:id="rId285" o:title=""/>
            </v:shape>
            <v:shape style="position:absolute;left:2268;top:1152;width:1558;height:3036" type="#_x0000_t202" filled="false" stroked="false">
              <v:textbox inset="0,0,0,0">
                <w:txbxContent>
                  <w:p>
                    <w:pPr>
                      <w:numPr>
                        <w:ilvl w:val="0"/>
                        <w:numId w:val="33"/>
                      </w:numPr>
                      <w:tabs>
                        <w:tab w:pos="92" w:val="left" w:leader="none"/>
                      </w:tabs>
                      <w:spacing w:line="216" w:lineRule="auto" w:before="9"/>
                      <w:ind w:left="91" w:right="108" w:hanging="92"/>
                      <w:jc w:val="left"/>
                      <w:rPr>
                        <w:b/>
                        <w:sz w:val="17"/>
                      </w:rPr>
                    </w:pPr>
                    <w:r>
                      <w:rPr>
                        <w:b/>
                        <w:color w:val="FFFFFF"/>
                        <w:sz w:val="17"/>
                      </w:rPr>
                      <w:t>Gran Cruzada </w:t>
                    </w:r>
                    <w:r>
                      <w:rPr>
                        <w:b/>
                        <w:color w:val="FFFFFF"/>
                        <w:spacing w:val="-6"/>
                        <w:sz w:val="17"/>
                      </w:rPr>
                      <w:t>por </w:t>
                    </w:r>
                    <w:r>
                      <w:rPr>
                        <w:b/>
                        <w:color w:val="FFFFFF"/>
                        <w:sz w:val="17"/>
                      </w:rPr>
                      <w:t>la</w:t>
                    </w:r>
                    <w:r>
                      <w:rPr>
                        <w:b/>
                        <w:color w:val="FFFFFF"/>
                        <w:spacing w:val="-1"/>
                        <w:sz w:val="17"/>
                      </w:rPr>
                      <w:t> </w:t>
                    </w:r>
                    <w:r>
                      <w:rPr>
                        <w:b/>
                        <w:color w:val="FFFFFF"/>
                        <w:sz w:val="17"/>
                      </w:rPr>
                      <w:t>Nutrición</w:t>
                    </w:r>
                  </w:p>
                  <w:p>
                    <w:pPr>
                      <w:numPr>
                        <w:ilvl w:val="1"/>
                        <w:numId w:val="33"/>
                      </w:numPr>
                      <w:tabs>
                        <w:tab w:pos="301" w:val="left" w:leader="none"/>
                      </w:tabs>
                      <w:spacing w:line="216" w:lineRule="auto" w:before="30"/>
                      <w:ind w:left="168" w:right="91" w:firstLine="40"/>
                      <w:jc w:val="left"/>
                      <w:rPr>
                        <w:sz w:val="17"/>
                      </w:rPr>
                    </w:pPr>
                    <w:r>
                      <w:rPr>
                        <w:color w:val="FFFFFF"/>
                        <w:sz w:val="17"/>
                      </w:rPr>
                      <w:t>Es la estrategia nacional que</w:t>
                    </w:r>
                    <w:r>
                      <w:rPr>
                        <w:color w:val="FFFFFF"/>
                        <w:spacing w:val="-1"/>
                        <w:sz w:val="17"/>
                      </w:rPr>
                      <w:t> </w:t>
                    </w:r>
                    <w:r>
                      <w:rPr>
                        <w:color w:val="FFFFFF"/>
                        <w:spacing w:val="-3"/>
                        <w:sz w:val="17"/>
                      </w:rPr>
                      <w:t>busca</w:t>
                    </w:r>
                  </w:p>
                  <w:p>
                    <w:pPr>
                      <w:spacing w:line="216" w:lineRule="auto" w:before="1"/>
                      <w:ind w:left="93" w:right="18" w:firstLine="1"/>
                      <w:jc w:val="center"/>
                      <w:rPr>
                        <w:sz w:val="17"/>
                      </w:rPr>
                    </w:pPr>
                    <w:r>
                      <w:rPr>
                        <w:color w:val="FFFFFF"/>
                        <w:sz w:val="17"/>
                      </w:rPr>
                      <w:t>unir a todos los sectores del país,</w:t>
                    </w:r>
                    <w:r>
                      <w:rPr>
                        <w:color w:val="FFFFFF"/>
                        <w:spacing w:val="-10"/>
                        <w:sz w:val="17"/>
                      </w:rPr>
                      <w:t> </w:t>
                    </w:r>
                    <w:r>
                      <w:rPr>
                        <w:color w:val="FFFFFF"/>
                        <w:sz w:val="17"/>
                      </w:rPr>
                      <w:t>con la finalidad de mejorar la nutrición de las familias guatemaltecas, con énfasis en las más pobres y marginadas del país, aplicando un enfoque integral para responder a la multicausalidad del problema.</w:t>
                    </w:r>
                  </w:p>
                </w:txbxContent>
              </v:textbox>
              <w10:wrap type="none"/>
            </v:shape>
            <v:shape style="position:absolute;left:4486;top:1196;width:1574;height:2193" type="#_x0000_t202" filled="false" stroked="false">
              <v:textbox inset="0,0,0,0">
                <w:txbxContent>
                  <w:p>
                    <w:pPr>
                      <w:numPr>
                        <w:ilvl w:val="0"/>
                        <w:numId w:val="34"/>
                      </w:numPr>
                      <w:tabs>
                        <w:tab w:pos="92" w:val="left" w:leader="none"/>
                      </w:tabs>
                      <w:spacing w:line="178" w:lineRule="exact" w:before="0"/>
                      <w:ind w:left="91" w:right="0" w:hanging="92"/>
                      <w:jc w:val="left"/>
                      <w:rPr>
                        <w:b/>
                        <w:sz w:val="16"/>
                      </w:rPr>
                    </w:pPr>
                    <w:r>
                      <w:rPr>
                        <w:b/>
                        <w:color w:val="FFFFFF"/>
                        <w:sz w:val="16"/>
                      </w:rPr>
                      <w:t>Brecha</w:t>
                    </w:r>
                    <w:r>
                      <w:rPr>
                        <w:b/>
                        <w:color w:val="FFFFFF"/>
                        <w:spacing w:val="-7"/>
                        <w:sz w:val="16"/>
                      </w:rPr>
                      <w:t> </w:t>
                    </w:r>
                    <w:r>
                      <w:rPr>
                        <w:b/>
                        <w:color w:val="FFFFFF"/>
                        <w:sz w:val="16"/>
                      </w:rPr>
                      <w:t>Educativa</w:t>
                    </w:r>
                  </w:p>
                  <w:p>
                    <w:pPr>
                      <w:numPr>
                        <w:ilvl w:val="1"/>
                        <w:numId w:val="34"/>
                      </w:numPr>
                      <w:tabs>
                        <w:tab w:pos="339" w:val="left" w:leader="none"/>
                      </w:tabs>
                      <w:spacing w:line="216" w:lineRule="auto" w:before="23"/>
                      <w:ind w:left="328" w:right="243" w:hanging="82"/>
                      <w:jc w:val="left"/>
                      <w:rPr>
                        <w:sz w:val="16"/>
                      </w:rPr>
                    </w:pPr>
                    <w:r>
                      <w:rPr>
                        <w:color w:val="FFFFFF"/>
                        <w:sz w:val="16"/>
                      </w:rPr>
                      <w:t>Se enfoco en la importancia del Ministerio de Educación y</w:t>
                    </w:r>
                    <w:r>
                      <w:rPr>
                        <w:color w:val="FFFFFF"/>
                        <w:spacing w:val="-9"/>
                        <w:sz w:val="16"/>
                      </w:rPr>
                      <w:t> </w:t>
                    </w:r>
                    <w:r>
                      <w:rPr>
                        <w:color w:val="FFFFFF"/>
                        <w:sz w:val="16"/>
                      </w:rPr>
                      <w:t>se</w:t>
                    </w:r>
                  </w:p>
                  <w:p>
                    <w:pPr>
                      <w:spacing w:line="216" w:lineRule="auto" w:before="0"/>
                      <w:ind w:left="105" w:right="18" w:hanging="3"/>
                      <w:jc w:val="center"/>
                      <w:rPr>
                        <w:sz w:val="16"/>
                      </w:rPr>
                    </w:pPr>
                    <w:r>
                      <w:rPr>
                        <w:color w:val="FFFFFF"/>
                        <w:sz w:val="16"/>
                      </w:rPr>
                      <w:t>remarcó la necesidad de su fortalecimiento, relacionado con más escuelas, alimentación escolar, remozamiento de la infraestructura e implementación de la tecnología.</w:t>
                    </w:r>
                  </w:p>
                </w:txbxContent>
              </v:textbox>
              <w10:wrap type="none"/>
            </v:shape>
            <v:shape style="position:absolute;left:4618;top:3404;width:1415;height:344" type="#_x0000_t202" filled="false" stroked="false">
              <v:textbox inset="0,0,0,0">
                <w:txbxContent>
                  <w:p>
                    <w:pPr>
                      <w:numPr>
                        <w:ilvl w:val="0"/>
                        <w:numId w:val="35"/>
                      </w:numPr>
                      <w:tabs>
                        <w:tab w:pos="173" w:val="left" w:leader="none"/>
                      </w:tabs>
                      <w:spacing w:line="169" w:lineRule="exact" w:before="0"/>
                      <w:ind w:left="172" w:right="0" w:hanging="92"/>
                      <w:jc w:val="left"/>
                      <w:rPr>
                        <w:sz w:val="16"/>
                      </w:rPr>
                    </w:pPr>
                    <w:r>
                      <w:rPr>
                        <w:color w:val="FFFFFF"/>
                        <w:spacing w:val="-3"/>
                        <w:sz w:val="16"/>
                      </w:rPr>
                      <w:t>La </w:t>
                    </w:r>
                    <w:r>
                      <w:rPr>
                        <w:color w:val="FFFFFF"/>
                        <w:sz w:val="16"/>
                      </w:rPr>
                      <w:t>era digital</w:t>
                    </w:r>
                    <w:r>
                      <w:rPr>
                        <w:color w:val="FFFFFF"/>
                        <w:spacing w:val="1"/>
                        <w:sz w:val="16"/>
                      </w:rPr>
                      <w:t> </w:t>
                    </w:r>
                    <w:r>
                      <w:rPr>
                        <w:color w:val="FFFFFF"/>
                        <w:sz w:val="16"/>
                      </w:rPr>
                      <w:t>ha</w:t>
                    </w:r>
                  </w:p>
                  <w:p>
                    <w:pPr>
                      <w:tabs>
                        <w:tab w:pos="1268" w:val="left" w:leader="none"/>
                      </w:tabs>
                      <w:spacing w:line="175" w:lineRule="exact" w:before="0"/>
                      <w:ind w:left="0" w:right="0" w:firstLine="0"/>
                      <w:jc w:val="left"/>
                      <w:rPr>
                        <w:sz w:val="16"/>
                      </w:rPr>
                    </w:pPr>
                    <w:r>
                      <w:rPr>
                        <w:color w:val="FFFFFF"/>
                        <w:sz w:val="16"/>
                      </w:rPr>
                      <w:t>v</w:t>
                      <w:tab/>
                      <w:t>ar</w:t>
                    </w:r>
                  </w:p>
                </w:txbxContent>
              </v:textbox>
              <w10:wrap type="none"/>
            </v:shape>
            <v:shape style="position:absolute;left:4697;top:3570;width:1209;height:179" type="#_x0000_t202" filled="false" stroked="false">
              <v:textbox inset="0,0,0,0">
                <w:txbxContent>
                  <w:p>
                    <w:pPr>
                      <w:spacing w:line="178" w:lineRule="exact" w:before="0"/>
                      <w:ind w:left="0" w:right="0" w:firstLine="0"/>
                      <w:jc w:val="left"/>
                      <w:rPr>
                        <w:sz w:val="16"/>
                      </w:rPr>
                    </w:pPr>
                    <w:r>
                      <w:rPr>
                        <w:color w:val="FFFFFF"/>
                        <w:sz w:val="16"/>
                      </w:rPr>
                      <w:t>enido a revolucion</w:t>
                    </w:r>
                  </w:p>
                </w:txbxContent>
              </v:textbox>
              <w10:wrap type="none"/>
            </v:shape>
            <v:shape style="position:absolute;left:4599;top:3736;width:1452;height:1172" type="#_x0000_t202" filled="false" stroked="false">
              <v:textbox inset="0,0,0,0">
                <w:txbxContent>
                  <w:p>
                    <w:pPr>
                      <w:spacing w:line="216" w:lineRule="auto" w:before="9"/>
                      <w:ind w:left="-1" w:right="18" w:firstLine="2"/>
                      <w:jc w:val="center"/>
                      <w:rPr>
                        <w:sz w:val="16"/>
                      </w:rPr>
                    </w:pPr>
                    <w:r>
                      <w:rPr>
                        <w:color w:val="FFFFFF"/>
                        <w:sz w:val="16"/>
                      </w:rPr>
                      <w:t>y, en ese sentido, se considera necesario destinar más recursos hacia la tecnología, para cambiar los métodos de enseñanza dentro de las aulas.</w:t>
                    </w:r>
                  </w:p>
                </w:txbxContent>
              </v:textbox>
              <w10:wrap type="none"/>
            </v:shape>
            <w10:wrap type="none"/>
          </v:group>
        </w:pict>
      </w:r>
      <w:r>
        <w:rPr/>
        <w:pict>
          <v:group style="position:absolute;margin-left:341.519989pt;margin-top:17.469536pt;width:203.65pt;height:242.9pt;mso-position-horizontal-relative:page;mso-position-vertical-relative:paragraph;z-index:253116416" coordorigin="6830,349" coordsize="4073,4858">
            <v:rect style="position:absolute;left:9118;top:533;width:1769;height:4659" filled="true" fillcolor="#a3c0e2" stroked="false">
              <v:fill type="solid"/>
            </v:rect>
            <v:rect style="position:absolute;left:9118;top:533;width:1769;height:4659" filled="false" stroked="true" strokeweight="1.56pt" strokecolor="#1f4e79">
              <v:stroke dashstyle="solid"/>
            </v:rect>
            <v:shape style="position:absolute;left:8596;top:359;width:629;height:656" type="#_x0000_t75" stroked="false">
              <v:imagedata r:id="rId286" o:title=""/>
            </v:shape>
            <v:rect style="position:absolute;left:8596;top:359;width:629;height:656" filled="false" stroked="true" strokeweight=".96pt" strokecolor="#ffffff">
              <v:stroke dashstyle="solid"/>
            </v:rect>
            <v:shape style="position:absolute;left:8587;top:349;width:2316;height:4858" type="#_x0000_t202" filled="false" stroked="false">
              <v:textbox inset="0,0,0,0">
                <w:txbxContent>
                  <w:p>
                    <w:pPr>
                      <w:spacing w:line="240" w:lineRule="auto" w:before="0"/>
                      <w:rPr>
                        <w:sz w:val="18"/>
                      </w:rPr>
                    </w:pPr>
                  </w:p>
                  <w:p>
                    <w:pPr>
                      <w:spacing w:line="240" w:lineRule="auto" w:before="8"/>
                      <w:rPr>
                        <w:sz w:val="21"/>
                      </w:rPr>
                    </w:pPr>
                  </w:p>
                  <w:p>
                    <w:pPr>
                      <w:numPr>
                        <w:ilvl w:val="0"/>
                        <w:numId w:val="36"/>
                      </w:numPr>
                      <w:tabs>
                        <w:tab w:pos="714" w:val="left" w:leader="none"/>
                      </w:tabs>
                      <w:spacing w:line="216" w:lineRule="auto" w:before="1"/>
                      <w:ind w:left="713" w:right="715" w:hanging="92"/>
                      <w:jc w:val="left"/>
                      <w:rPr>
                        <w:b/>
                        <w:sz w:val="16"/>
                      </w:rPr>
                    </w:pPr>
                    <w:r>
                      <w:rPr>
                        <w:b/>
                        <w:color w:val="FFFFFF"/>
                        <w:sz w:val="16"/>
                      </w:rPr>
                      <w:t>Reactivación Económica</w:t>
                    </w:r>
                  </w:p>
                  <w:p>
                    <w:pPr>
                      <w:numPr>
                        <w:ilvl w:val="1"/>
                        <w:numId w:val="36"/>
                      </w:numPr>
                      <w:tabs>
                        <w:tab w:pos="973" w:val="left" w:leader="none"/>
                      </w:tabs>
                      <w:spacing w:line="216" w:lineRule="auto" w:before="26"/>
                      <w:ind w:left="864" w:right="255" w:firstLine="16"/>
                      <w:jc w:val="left"/>
                      <w:rPr>
                        <w:sz w:val="16"/>
                      </w:rPr>
                    </w:pPr>
                    <w:r>
                      <w:rPr>
                        <w:color w:val="FFFFFF"/>
                        <w:sz w:val="16"/>
                      </w:rPr>
                      <w:t>En la iniciativa "Guatemala No </w:t>
                    </w:r>
                    <w:r>
                      <w:rPr>
                        <w:color w:val="FFFFFF"/>
                        <w:spacing w:val="-7"/>
                        <w:sz w:val="16"/>
                      </w:rPr>
                      <w:t>Se </w:t>
                    </w:r>
                    <w:r>
                      <w:rPr>
                        <w:color w:val="FFFFFF"/>
                        <w:sz w:val="16"/>
                      </w:rPr>
                      <w:t>Detiene" se</w:t>
                    </w:r>
                    <w:r>
                      <w:rPr>
                        <w:color w:val="FFFFFF"/>
                        <w:spacing w:val="-4"/>
                        <w:sz w:val="16"/>
                      </w:rPr>
                      <w:t> </w:t>
                    </w:r>
                    <w:r>
                      <w:rPr>
                        <w:color w:val="FFFFFF"/>
                        <w:sz w:val="16"/>
                      </w:rPr>
                      <w:t>han</w:t>
                    </w:r>
                  </w:p>
                  <w:p>
                    <w:pPr>
                      <w:spacing w:line="216" w:lineRule="auto" w:before="0"/>
                      <w:ind w:left="715" w:right="109" w:hanging="1"/>
                      <w:jc w:val="center"/>
                      <w:rPr>
                        <w:sz w:val="16"/>
                      </w:rPr>
                    </w:pPr>
                    <w:r>
                      <w:rPr>
                        <w:color w:val="FFFFFF"/>
                        <w:sz w:val="16"/>
                      </w:rPr>
                      <w:t>identificado 52 proyectos de</w:t>
                    </w:r>
                    <w:r>
                      <w:rPr>
                        <w:color w:val="FFFFFF"/>
                        <w:spacing w:val="-13"/>
                        <w:sz w:val="16"/>
                      </w:rPr>
                      <w:t> </w:t>
                    </w:r>
                    <w:r>
                      <w:rPr>
                        <w:color w:val="FFFFFF"/>
                        <w:sz w:val="16"/>
                      </w:rPr>
                      <w:t>inversión, entre ellos de infraestructura vial, portuaria y aeroportuaria, los cuales propiciarán la reactivación económica y</w:t>
                    </w:r>
                    <w:r>
                      <w:rPr>
                        <w:color w:val="FFFFFF"/>
                        <w:spacing w:val="-7"/>
                        <w:sz w:val="16"/>
                      </w:rPr>
                      <w:t> </w:t>
                    </w:r>
                    <w:r>
                      <w:rPr>
                        <w:color w:val="FFFFFF"/>
                        <w:sz w:val="16"/>
                      </w:rPr>
                      <w:t>social.</w:t>
                    </w:r>
                  </w:p>
                  <w:p>
                    <w:pPr>
                      <w:numPr>
                        <w:ilvl w:val="0"/>
                        <w:numId w:val="36"/>
                      </w:numPr>
                      <w:tabs>
                        <w:tab w:pos="759" w:val="left" w:leader="none"/>
                      </w:tabs>
                      <w:spacing w:line="216" w:lineRule="auto" w:before="29"/>
                      <w:ind w:left="821" w:right="148" w:hanging="154"/>
                      <w:jc w:val="left"/>
                      <w:rPr>
                        <w:sz w:val="16"/>
                      </w:rPr>
                    </w:pPr>
                    <w:r>
                      <w:rPr>
                        <w:color w:val="FFFFFF"/>
                        <w:sz w:val="16"/>
                      </w:rPr>
                      <w:t>Adicionalmente, en</w:t>
                    </w:r>
                    <w:r>
                      <w:rPr>
                        <w:color w:val="FFFFFF"/>
                        <w:spacing w:val="-12"/>
                        <w:sz w:val="16"/>
                      </w:rPr>
                      <w:t> </w:t>
                    </w:r>
                    <w:r>
                      <w:rPr>
                        <w:color w:val="FFFFFF"/>
                        <w:sz w:val="16"/>
                      </w:rPr>
                      <w:t>el año se han</w:t>
                    </w:r>
                    <w:r>
                      <w:rPr>
                        <w:color w:val="FFFFFF"/>
                        <w:spacing w:val="-11"/>
                        <w:sz w:val="16"/>
                      </w:rPr>
                      <w:t> </w:t>
                    </w:r>
                    <w:r>
                      <w:rPr>
                        <w:color w:val="FFFFFF"/>
                        <w:sz w:val="16"/>
                      </w:rPr>
                      <w:t>reflejado</w:t>
                    </w:r>
                  </w:p>
                  <w:p>
                    <w:pPr>
                      <w:spacing w:line="216" w:lineRule="auto" w:before="0"/>
                      <w:ind w:left="713" w:right="105" w:hanging="1"/>
                      <w:jc w:val="center"/>
                      <w:rPr>
                        <w:sz w:val="16"/>
                      </w:rPr>
                    </w:pPr>
                    <w:r>
                      <w:rPr>
                        <w:color w:val="FFFFFF"/>
                        <w:sz w:val="16"/>
                      </w:rPr>
                      <w:t>mejoras en las perspectivas de la Calificación de Riesgo País, lo cual propicia</w:t>
                    </w:r>
                    <w:r>
                      <w:rPr>
                        <w:color w:val="FFFFFF"/>
                        <w:spacing w:val="-15"/>
                        <w:sz w:val="16"/>
                      </w:rPr>
                      <w:t> </w:t>
                    </w:r>
                    <w:r>
                      <w:rPr>
                        <w:color w:val="FFFFFF"/>
                        <w:sz w:val="16"/>
                      </w:rPr>
                      <w:t>la reactivación en la economía al generar más confianza por parte de los inversionistas.</w:t>
                    </w:r>
                  </w:p>
                </w:txbxContent>
              </v:textbox>
              <w10:wrap type="none"/>
            </v:shape>
            <v:shape style="position:absolute;left:6846;top:871;width:1745;height:4114" type="#_x0000_t202" filled="true" fillcolor="#87add7" stroked="true" strokeweight="1.56pt" strokecolor="#1f4e79">
              <v:textbox inset="0,0,0,0">
                <w:txbxContent>
                  <w:p>
                    <w:pPr>
                      <w:spacing w:line="240" w:lineRule="auto" w:before="7"/>
                      <w:rPr>
                        <w:sz w:val="22"/>
                      </w:rPr>
                    </w:pPr>
                  </w:p>
                  <w:p>
                    <w:pPr>
                      <w:numPr>
                        <w:ilvl w:val="0"/>
                        <w:numId w:val="37"/>
                      </w:numPr>
                      <w:tabs>
                        <w:tab w:pos="166" w:val="left" w:leader="none"/>
                      </w:tabs>
                      <w:spacing w:line="216" w:lineRule="auto" w:before="0"/>
                      <w:ind w:left="165" w:right="90" w:hanging="92"/>
                      <w:jc w:val="left"/>
                      <w:rPr>
                        <w:b/>
                        <w:sz w:val="16"/>
                      </w:rPr>
                    </w:pPr>
                    <w:r>
                      <w:rPr>
                        <w:b/>
                        <w:color w:val="FFFFFF"/>
                        <w:sz w:val="16"/>
                      </w:rPr>
                      <w:t>Programas Sociales</w:t>
                    </w:r>
                    <w:r>
                      <w:rPr>
                        <w:b/>
                        <w:color w:val="FFFFFF"/>
                        <w:spacing w:val="-14"/>
                        <w:sz w:val="16"/>
                      </w:rPr>
                      <w:t> </w:t>
                    </w:r>
                    <w:r>
                      <w:rPr>
                        <w:b/>
                        <w:color w:val="FFFFFF"/>
                        <w:sz w:val="16"/>
                      </w:rPr>
                      <w:t>y Generación de Empleo</w:t>
                    </w:r>
                  </w:p>
                  <w:p>
                    <w:pPr>
                      <w:numPr>
                        <w:ilvl w:val="1"/>
                        <w:numId w:val="37"/>
                      </w:numPr>
                      <w:tabs>
                        <w:tab w:pos="356" w:val="left" w:leader="none"/>
                      </w:tabs>
                      <w:spacing w:line="216" w:lineRule="auto" w:before="26"/>
                      <w:ind w:left="292" w:right="196" w:hanging="29"/>
                      <w:jc w:val="left"/>
                      <w:rPr>
                        <w:sz w:val="16"/>
                      </w:rPr>
                    </w:pPr>
                    <w:r>
                      <w:rPr>
                        <w:color w:val="FFFFFF"/>
                        <w:sz w:val="16"/>
                      </w:rPr>
                      <w:t>Se explicó que la implementación</w:t>
                    </w:r>
                    <w:r>
                      <w:rPr>
                        <w:color w:val="FFFFFF"/>
                        <w:spacing w:val="-9"/>
                        <w:sz w:val="16"/>
                      </w:rPr>
                      <w:t> </w:t>
                    </w:r>
                    <w:r>
                      <w:rPr>
                        <w:color w:val="FFFFFF"/>
                        <w:sz w:val="16"/>
                      </w:rPr>
                      <w:t>de</w:t>
                    </w:r>
                  </w:p>
                  <w:p>
                    <w:pPr>
                      <w:spacing w:line="216" w:lineRule="auto" w:before="0"/>
                      <w:ind w:left="177" w:right="82" w:hanging="3"/>
                      <w:jc w:val="center"/>
                      <w:rPr>
                        <w:sz w:val="16"/>
                      </w:rPr>
                    </w:pPr>
                    <w:r>
                      <w:rPr>
                        <w:color w:val="FFFFFF"/>
                        <w:sz w:val="16"/>
                      </w:rPr>
                      <w:t>programas sociales ha apoyado la economía del país; además, el principal reto del gobierno es profundizar la política social para mejorar los indicadores.</w:t>
                    </w:r>
                  </w:p>
                  <w:p>
                    <w:pPr>
                      <w:numPr>
                        <w:ilvl w:val="0"/>
                        <w:numId w:val="37"/>
                      </w:numPr>
                      <w:tabs>
                        <w:tab w:pos="209" w:val="left" w:leader="none"/>
                      </w:tabs>
                      <w:spacing w:line="216" w:lineRule="auto" w:before="30"/>
                      <w:ind w:left="187" w:right="92" w:hanging="70"/>
                      <w:jc w:val="both"/>
                      <w:rPr>
                        <w:sz w:val="16"/>
                      </w:rPr>
                    </w:pPr>
                    <w:r>
                      <w:rPr>
                        <w:color w:val="FFFFFF"/>
                        <w:sz w:val="16"/>
                      </w:rPr>
                      <w:t>Se han implementado programas como Beca Mi Primer Empleo</w:t>
                    </w:r>
                    <w:r>
                      <w:rPr>
                        <w:color w:val="FFFFFF"/>
                        <w:spacing w:val="-4"/>
                        <w:sz w:val="16"/>
                      </w:rPr>
                      <w:t> </w:t>
                    </w:r>
                    <w:r>
                      <w:rPr>
                        <w:color w:val="FFFFFF"/>
                        <w:sz w:val="16"/>
                      </w:rPr>
                      <w:t>y</w:t>
                    </w:r>
                  </w:p>
                  <w:p>
                    <w:pPr>
                      <w:spacing w:line="216" w:lineRule="auto" w:before="0"/>
                      <w:ind w:left="177" w:right="84" w:firstLine="0"/>
                      <w:jc w:val="center"/>
                      <w:rPr>
                        <w:sz w:val="16"/>
                      </w:rPr>
                    </w:pPr>
                    <w:r>
                      <w:rPr>
                        <w:color w:val="FFFFFF"/>
                        <w:sz w:val="16"/>
                      </w:rPr>
                      <w:t>Ventanilla Única Municipal para generar empleo digno y aprovechar el capital de trabajo de 3.7 millones de</w:t>
                    </w:r>
                    <w:r>
                      <w:rPr>
                        <w:color w:val="FFFFFF"/>
                        <w:spacing w:val="-8"/>
                        <w:sz w:val="16"/>
                      </w:rPr>
                      <w:t> </w:t>
                    </w:r>
                    <w:r>
                      <w:rPr>
                        <w:color w:val="FFFFFF"/>
                        <w:sz w:val="16"/>
                      </w:rPr>
                      <w:t>jóvenes.</w:t>
                    </w:r>
                  </w:p>
                </w:txbxContent>
              </v:textbox>
              <v:fill type="solid"/>
              <v:stroke dashstyle="solid"/>
              <w10:wrap type="none"/>
            </v:shape>
            <w10:wrap type="none"/>
          </v:group>
        </w:pict>
      </w:r>
      <w:r>
        <w:rPr/>
        <w:pict>
          <v:shape style="position:absolute;margin-left:91.726639pt;margin-top:57.105972pt;width:15.3pt;height:55.6pt;mso-position-horizontal-relative:page;mso-position-vertical-relative:paragraph;z-index:253117440" type="#_x0000_t202" filled="false" stroked="false">
            <v:textbox inset="0,0,0,0" style="layout-flow:vertical;mso-layout-flow-alt:bottom-to-top">
              <w:txbxContent>
                <w:p>
                  <w:pPr>
                    <w:spacing w:before="10"/>
                    <w:ind w:left="20" w:right="0" w:firstLine="0"/>
                    <w:jc w:val="left"/>
                    <w:rPr>
                      <w:b/>
                      <w:sz w:val="24"/>
                    </w:rPr>
                  </w:pPr>
                  <w:r>
                    <w:rPr>
                      <w:b/>
                      <w:sz w:val="24"/>
                    </w:rPr>
                    <w:t>14 de julio</w:t>
                  </w:r>
                </w:p>
              </w:txbxContent>
            </v:textbox>
            <w10:wrap type="none"/>
          </v:shape>
        </w:pict>
      </w:r>
      <w:r>
        <w:rPr/>
        <w:pict>
          <v:shape style="position:absolute;margin-left:200.566635pt;margin-top:57.005894pt;width:15.3pt;height:55.4pt;mso-position-horizontal-relative:page;mso-position-vertical-relative:paragraph;z-index:253118464" type="#_x0000_t202" filled="false" stroked="false">
            <v:textbox inset="0,0,0,0" style="layout-flow:vertical;mso-layout-flow-alt:bottom-to-top">
              <w:txbxContent>
                <w:p>
                  <w:pPr>
                    <w:spacing w:before="10"/>
                    <w:ind w:left="20" w:right="0" w:firstLine="0"/>
                    <w:jc w:val="left"/>
                    <w:rPr>
                      <w:b/>
                      <w:sz w:val="24"/>
                    </w:rPr>
                  </w:pPr>
                  <w:r>
                    <w:rPr>
                      <w:b/>
                      <w:sz w:val="24"/>
                    </w:rPr>
                    <w:t>15 de julio</w:t>
                  </w:r>
                </w:p>
              </w:txbxContent>
            </v:textbox>
            <w10:wrap type="none"/>
          </v:shape>
        </w:pict>
      </w:r>
      <w:r>
        <w:rPr/>
        <w:pict>
          <v:shape style="position:absolute;margin-left:313.646637pt;margin-top:70.805893pt;width:15.3pt;height:55.4pt;mso-position-horizontal-relative:page;mso-position-vertical-relative:paragraph;z-index:253119488" type="#_x0000_t202" filled="false" stroked="false">
            <v:textbox inset="0,0,0,0" style="layout-flow:vertical;mso-layout-flow-alt:bottom-to-top">
              <w:txbxContent>
                <w:p>
                  <w:pPr>
                    <w:spacing w:before="10"/>
                    <w:ind w:left="20" w:right="0" w:firstLine="0"/>
                    <w:jc w:val="left"/>
                    <w:rPr>
                      <w:b/>
                      <w:sz w:val="24"/>
                    </w:rPr>
                  </w:pPr>
                  <w:r>
                    <w:rPr>
                      <w:b/>
                      <w:sz w:val="24"/>
                    </w:rPr>
                    <w:t>18 de julio</w:t>
                  </w:r>
                </w:p>
              </w:txbxContent>
            </v:textbox>
            <w10:wrap type="none"/>
          </v:shape>
        </w:pict>
      </w:r>
      <w:r>
        <w:rPr/>
        <w:pict>
          <v:shape style="position:absolute;margin-left:435.046631pt;margin-top:59.255894pt;width:15.3pt;height:55.4pt;mso-position-horizontal-relative:page;mso-position-vertical-relative:paragraph;z-index:253120512" type="#_x0000_t202" filled="false" stroked="false">
            <v:textbox inset="0,0,0,0" style="layout-flow:vertical;mso-layout-flow-alt:bottom-to-top">
              <w:txbxContent>
                <w:p>
                  <w:pPr>
                    <w:spacing w:before="10"/>
                    <w:ind w:left="20" w:right="0" w:firstLine="0"/>
                    <w:jc w:val="left"/>
                    <w:rPr>
                      <w:b/>
                      <w:sz w:val="24"/>
                    </w:rPr>
                  </w:pPr>
                  <w:r>
                    <w:rPr>
                      <w:b/>
                      <w:sz w:val="24"/>
                    </w:rPr>
                    <w:t>19 de julio</w:t>
                  </w:r>
                </w:p>
              </w:txbxContent>
            </v:textbox>
            <w10:wrap type="none"/>
          </v:shape>
        </w:pict>
      </w:r>
      <w:bookmarkStart w:name="_bookmark201" w:id="258"/>
      <w:bookmarkEnd w:id="258"/>
      <w:r>
        <w:rPr/>
      </w:r>
      <w:r>
        <w:rPr>
          <w:b/>
          <w:sz w:val="18"/>
        </w:rPr>
        <w:t>Gráfico 101. </w:t>
      </w:r>
      <w:r>
        <w:rPr>
          <w:b/>
          <w:sz w:val="22"/>
        </w:rPr>
        <w:t>Foros en el ejercicio de Presupuesto Abierto 2023</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8"/>
        <w:rPr>
          <w:b/>
          <w:sz w:val="26"/>
        </w:rPr>
      </w:pPr>
    </w:p>
    <w:p>
      <w:pPr>
        <w:spacing w:before="1"/>
        <w:ind w:left="562" w:right="0" w:firstLine="0"/>
        <w:jc w:val="both"/>
        <w:rPr>
          <w:sz w:val="16"/>
        </w:rPr>
      </w:pPr>
      <w:r>
        <w:rPr>
          <w:sz w:val="16"/>
        </w:rPr>
        <w:t>Fuente: MINFIN</w:t>
      </w:r>
    </w:p>
    <w:p>
      <w:pPr>
        <w:pStyle w:val="BodyText"/>
        <w:rPr>
          <w:sz w:val="18"/>
        </w:rPr>
      </w:pPr>
    </w:p>
    <w:p>
      <w:pPr>
        <w:pStyle w:val="BodyText"/>
        <w:spacing w:line="276" w:lineRule="auto" w:before="107"/>
        <w:ind w:left="562" w:right="1696"/>
        <w:jc w:val="both"/>
      </w:pPr>
      <w:r>
        <w:rPr/>
        <w:t>En la segunda parte del segundo módulo estratégico correspondiente a los debates se tocaron cuatro temas, que buscan ser relevantes en las asignaciones que se definan dentro del Proyecto de Presupuesto 2023.</w:t>
      </w:r>
    </w:p>
    <w:p>
      <w:pPr>
        <w:spacing w:after="0" w:line="276" w:lineRule="auto"/>
        <w:jc w:val="both"/>
        <w:sectPr>
          <w:headerReference w:type="default" r:id="rId281"/>
          <w:footerReference w:type="default" r:id="rId282"/>
          <w:pgSz w:w="12240" w:h="15840"/>
          <w:pgMar w:header="715" w:footer="688" w:top="1240" w:bottom="880" w:left="1140" w:right="0"/>
          <w:pgNumType w:start="136"/>
        </w:sectPr>
      </w:pPr>
    </w:p>
    <w:p>
      <w:pPr>
        <w:spacing w:before="167"/>
        <w:ind w:left="1395" w:right="2530" w:firstLine="0"/>
        <w:jc w:val="center"/>
        <w:rPr>
          <w:b/>
          <w:sz w:val="22"/>
        </w:rPr>
      </w:pPr>
      <w:bookmarkStart w:name="_bookmark202" w:id="259"/>
      <w:bookmarkEnd w:id="259"/>
      <w:r>
        <w:rPr/>
      </w:r>
      <w:r>
        <w:rPr>
          <w:b/>
          <w:sz w:val="18"/>
        </w:rPr>
        <w:t>Gráfico 102. </w:t>
      </w:r>
      <w:r>
        <w:rPr>
          <w:b/>
          <w:sz w:val="22"/>
        </w:rPr>
        <w:t>Debates en el ejercicio de Presupuesto Abierto 2023</w:t>
      </w:r>
    </w:p>
    <w:p>
      <w:pPr>
        <w:pStyle w:val="BodyText"/>
        <w:spacing w:before="7"/>
        <w:rPr>
          <w:b/>
          <w:sz w:val="20"/>
        </w:rPr>
      </w:pPr>
    </w:p>
    <w:p>
      <w:pPr>
        <w:pStyle w:val="Heading4"/>
        <w:rPr>
          <w:i/>
        </w:rPr>
      </w:pPr>
      <w:r>
        <w:rPr/>
        <w:pict>
          <v:group style="position:absolute;margin-left:87.599998pt;margin-top:14.689536pt;width:88.35pt;height:253.35pt;mso-position-horizontal-relative:page;mso-position-vertical-relative:paragraph;z-index:-250193920;mso-wrap-distance-left:0;mso-wrap-distance-right:0" coordorigin="1752,294" coordsize="1767,5067">
            <v:shape style="position:absolute;left:1752;top:293;width:1596;height:1594" type="#_x0000_t75" stroked="false">
              <v:imagedata r:id="rId287" o:title=""/>
            </v:shape>
            <v:shape style="position:absolute;left:1912;top:1515;width:1596;height:3836" coordorigin="1913,1515" coordsize="1596,3836" path="m3349,1515l2072,1515,2010,1528,1960,1562,1925,1613,1913,1675,1913,5191,1925,5253,1960,5304,2010,5338,2072,5351,3349,5351,3411,5338,3462,5304,3496,5253,3509,5191,3509,1675,3496,1613,3462,1562,3411,1528,3349,1515xe" filled="true" fillcolor="#4471c4" stroked="false">
              <v:path arrowok="t"/>
              <v:fill type="solid"/>
            </v:shape>
            <v:shape style="position:absolute;left:1912;top:1515;width:1596;height:3836" coordorigin="1913,1515" coordsize="1596,3836" path="m1913,1675l1925,1613,1960,1562,2010,1528,2072,1515,3349,1515,3411,1528,3462,1562,3496,1613,3509,1675,3509,5191,3496,5253,3462,5304,3411,5338,3349,5351,2072,5351,2010,5338,1960,5304,1925,5253,1913,5191,1913,1675xe" filled="false" stroked="true" strokeweight=".96pt" strokecolor="#ffffff">
              <v:path arrowok="t"/>
              <v:stroke dashstyle="solid"/>
            </v:shape>
            <v:shape style="position:absolute;left:1752;top:293;width:1767;height:5067" type="#_x0000_t202" filled="false" stroked="false">
              <v:textbox inset="0,0,0,0">
                <w:txbxContent>
                  <w:p>
                    <w:pPr>
                      <w:spacing w:line="240" w:lineRule="auto" w:before="0"/>
                      <w:rPr>
                        <w:b/>
                        <w:i/>
                        <w:sz w:val="18"/>
                      </w:rPr>
                    </w:pPr>
                  </w:p>
                  <w:p>
                    <w:pPr>
                      <w:spacing w:line="240" w:lineRule="auto" w:before="0"/>
                      <w:rPr>
                        <w:b/>
                        <w:i/>
                        <w:sz w:val="18"/>
                      </w:rPr>
                    </w:pPr>
                  </w:p>
                  <w:p>
                    <w:pPr>
                      <w:spacing w:line="240" w:lineRule="auto" w:before="0"/>
                      <w:rPr>
                        <w:b/>
                        <w:i/>
                        <w:sz w:val="18"/>
                      </w:rPr>
                    </w:pPr>
                  </w:p>
                  <w:p>
                    <w:pPr>
                      <w:spacing w:line="240" w:lineRule="auto" w:before="0"/>
                      <w:rPr>
                        <w:b/>
                        <w:i/>
                        <w:sz w:val="18"/>
                      </w:rPr>
                    </w:pPr>
                  </w:p>
                  <w:p>
                    <w:pPr>
                      <w:spacing w:line="240" w:lineRule="auto" w:before="0"/>
                      <w:rPr>
                        <w:b/>
                        <w:i/>
                        <w:sz w:val="18"/>
                      </w:rPr>
                    </w:pPr>
                  </w:p>
                  <w:p>
                    <w:pPr>
                      <w:spacing w:line="240" w:lineRule="auto" w:before="0"/>
                      <w:rPr>
                        <w:b/>
                        <w:i/>
                        <w:sz w:val="18"/>
                      </w:rPr>
                    </w:pPr>
                  </w:p>
                  <w:p>
                    <w:pPr>
                      <w:spacing w:line="240" w:lineRule="auto" w:before="8"/>
                      <w:rPr>
                        <w:b/>
                        <w:i/>
                        <w:sz w:val="20"/>
                      </w:rPr>
                    </w:pPr>
                  </w:p>
                  <w:p>
                    <w:pPr>
                      <w:spacing w:line="216" w:lineRule="auto" w:before="1"/>
                      <w:ind w:left="255" w:right="105" w:firstLine="2"/>
                      <w:jc w:val="center"/>
                      <w:rPr>
                        <w:sz w:val="16"/>
                      </w:rPr>
                    </w:pPr>
                    <w:r>
                      <w:rPr>
                        <w:color w:val="FFFFFF"/>
                        <w:sz w:val="16"/>
                      </w:rPr>
                      <w:t>La Sesan resaltó las principales actividades que se tienen planificadas para 2023 siendo una Encuesta para la evaluación de la Gran Cruzada Nacional por la Nutrición, seguimiento del POA y acciones de la ventana de los 1000 días y el Plan para la atención del Hambre Estacional, entre otros. Por su parte el Mineduc seguirá fortaleciendo la Ley de Alimentación Escolar</w:t>
                    </w:r>
                  </w:p>
                </w:txbxContent>
              </v:textbox>
              <w10:wrap type="none"/>
            </v:shape>
            <w10:wrap type="topAndBottom"/>
          </v:group>
        </w:pict>
      </w:r>
      <w:r>
        <w:rPr/>
        <w:drawing>
          <wp:anchor distT="0" distB="0" distL="0" distR="0" allowOverlap="1" layoutInCell="1" locked="0" behindDoc="0" simplePos="0" relativeHeight="1431">
            <wp:simplePos x="0" y="0"/>
            <wp:positionH relativeFrom="page">
              <wp:posOffset>2320798</wp:posOffset>
            </wp:positionH>
            <wp:positionV relativeFrom="paragraph">
              <wp:posOffset>571113</wp:posOffset>
            </wp:positionV>
            <wp:extent cx="204035" cy="242887"/>
            <wp:effectExtent l="0" t="0" r="0" b="0"/>
            <wp:wrapTopAndBottom/>
            <wp:docPr id="105" name="image280.png"/>
            <wp:cNvGraphicFramePr>
              <a:graphicFrameLocks noChangeAspect="1"/>
            </wp:cNvGraphicFramePr>
            <a:graphic>
              <a:graphicData uri="http://schemas.openxmlformats.org/drawingml/2006/picture">
                <pic:pic>
                  <pic:nvPicPr>
                    <pic:cNvPr id="106" name="image280.png"/>
                    <pic:cNvPicPr/>
                  </pic:nvPicPr>
                  <pic:blipFill>
                    <a:blip r:embed="rId288" cstate="print"/>
                    <a:stretch>
                      <a:fillRect/>
                    </a:stretch>
                  </pic:blipFill>
                  <pic:spPr>
                    <a:xfrm>
                      <a:off x="0" y="0"/>
                      <a:ext cx="204035" cy="242887"/>
                    </a:xfrm>
                    <a:prstGeom prst="rect">
                      <a:avLst/>
                    </a:prstGeom>
                  </pic:spPr>
                </pic:pic>
              </a:graphicData>
            </a:graphic>
          </wp:anchor>
        </w:drawing>
      </w:r>
      <w:r>
        <w:rPr/>
        <w:pict>
          <v:group style="position:absolute;margin-left:212.279999pt;margin-top:14.689536pt;width:88.8pt;height:251.4pt;mso-position-horizontal-relative:page;mso-position-vertical-relative:paragraph;z-index:-250190848;mso-wrap-distance-left:0;mso-wrap-distance-right:0" coordorigin="4246,294" coordsize="1776,5028">
            <v:shape style="position:absolute;left:4245;top:293;width:1596;height:1594" type="#_x0000_t75" stroked="false">
              <v:imagedata r:id="rId289" o:title=""/>
            </v:shape>
            <v:shape style="position:absolute;left:4416;top:1431;width:1596;height:3881" coordorigin="4416,1431" coordsize="1596,3881" path="m5852,1431l4576,1431,4513,1444,4463,1478,4429,1529,4416,1591,4416,5153,4429,5215,4463,5265,4513,5300,4576,5312,5852,5312,5915,5300,5965,5265,5999,5215,6012,5153,6012,1591,5999,1529,5965,1478,5915,1444,5852,1431xe" filled="true" fillcolor="#43bdb8" stroked="false">
              <v:path arrowok="t"/>
              <v:fill type="solid"/>
            </v:shape>
            <v:shape style="position:absolute;left:4416;top:1431;width:1596;height:3881" coordorigin="4416,1431" coordsize="1596,3881" path="m4416,1591l4429,1529,4463,1478,4513,1444,4576,1431,5852,1431,5915,1444,5965,1478,5999,1529,6012,1591,6012,5153,5999,5215,5965,5265,5915,5300,5852,5312,4576,5312,4513,5300,4463,5265,4429,5215,4416,5153,4416,1591xe" filled="false" stroked="true" strokeweight=".96pt" strokecolor="#ffffff">
              <v:path arrowok="t"/>
              <v:stroke dashstyle="solid"/>
            </v:shape>
            <v:shape style="position:absolute;left:4245;top:293;width:1776;height:5028" type="#_x0000_t202" filled="false" stroked="false">
              <v:textbox inset="0,0,0,0">
                <w:txbxContent>
                  <w:p>
                    <w:pPr>
                      <w:spacing w:line="240" w:lineRule="auto" w:before="0"/>
                      <w:rPr>
                        <w:b/>
                        <w:i/>
                        <w:sz w:val="18"/>
                      </w:rPr>
                    </w:pPr>
                  </w:p>
                  <w:p>
                    <w:pPr>
                      <w:spacing w:line="240" w:lineRule="auto" w:before="0"/>
                      <w:rPr>
                        <w:b/>
                        <w:i/>
                        <w:sz w:val="18"/>
                      </w:rPr>
                    </w:pPr>
                  </w:p>
                  <w:p>
                    <w:pPr>
                      <w:spacing w:line="240" w:lineRule="auto" w:before="0"/>
                      <w:rPr>
                        <w:b/>
                        <w:i/>
                        <w:sz w:val="18"/>
                      </w:rPr>
                    </w:pPr>
                  </w:p>
                  <w:p>
                    <w:pPr>
                      <w:spacing w:line="240" w:lineRule="auto" w:before="0"/>
                      <w:rPr>
                        <w:b/>
                        <w:i/>
                        <w:sz w:val="18"/>
                      </w:rPr>
                    </w:pPr>
                  </w:p>
                  <w:p>
                    <w:pPr>
                      <w:spacing w:line="240" w:lineRule="auto" w:before="0"/>
                      <w:rPr>
                        <w:b/>
                        <w:i/>
                        <w:sz w:val="18"/>
                      </w:rPr>
                    </w:pPr>
                  </w:p>
                  <w:p>
                    <w:pPr>
                      <w:spacing w:line="240" w:lineRule="auto" w:before="3"/>
                      <w:rPr>
                        <w:b/>
                        <w:i/>
                        <w:sz w:val="26"/>
                      </w:rPr>
                    </w:pPr>
                  </w:p>
                  <w:p>
                    <w:pPr>
                      <w:spacing w:line="216" w:lineRule="auto" w:before="1"/>
                      <w:ind w:left="292" w:right="129" w:firstLine="1"/>
                      <w:jc w:val="center"/>
                      <w:rPr>
                        <w:sz w:val="16"/>
                      </w:rPr>
                    </w:pPr>
                    <w:r>
                      <w:rPr>
                        <w:color w:val="FFFFFF"/>
                        <w:sz w:val="16"/>
                      </w:rPr>
                      <w:t>Para el 2023 el CIV tiene estimado ejecutar Q.2,821.72 millones, para contribuir con el fortalecimiento de: Recapeo, mejoramiento, rehabilitación, construcción, señalización,</w:t>
                    </w:r>
                    <w:r>
                      <w:rPr>
                        <w:color w:val="FFFFFF"/>
                        <w:spacing w:val="-9"/>
                        <w:sz w:val="16"/>
                      </w:rPr>
                      <w:t> </w:t>
                    </w:r>
                    <w:r>
                      <w:rPr>
                        <w:color w:val="FFFFFF"/>
                        <w:sz w:val="16"/>
                      </w:rPr>
                      <w:t>compra de puentes tipo Bailey y mantenimiento de la Infraestructura</w:t>
                    </w:r>
                    <w:r>
                      <w:rPr>
                        <w:color w:val="FFFFFF"/>
                        <w:spacing w:val="-12"/>
                        <w:sz w:val="16"/>
                      </w:rPr>
                      <w:t> </w:t>
                    </w:r>
                    <w:r>
                      <w:rPr>
                        <w:color w:val="FFFFFF"/>
                        <w:sz w:val="16"/>
                      </w:rPr>
                      <w:t>Vial.</w:t>
                    </w:r>
                  </w:p>
                  <w:p>
                    <w:pPr>
                      <w:spacing w:line="216" w:lineRule="auto" w:before="0"/>
                      <w:ind w:left="287" w:right="125" w:firstLine="0"/>
                      <w:jc w:val="center"/>
                      <w:rPr>
                        <w:sz w:val="16"/>
                      </w:rPr>
                    </w:pPr>
                    <w:r>
                      <w:rPr>
                        <w:color w:val="FFFFFF"/>
                        <w:sz w:val="16"/>
                      </w:rPr>
                      <w:t>Por su parte, la </w:t>
                    </w:r>
                    <w:r>
                      <w:rPr>
                        <w:color w:val="FFFFFF"/>
                        <w:spacing w:val="-3"/>
                        <w:sz w:val="16"/>
                      </w:rPr>
                      <w:t>ANADIE </w:t>
                    </w:r>
                    <w:r>
                      <w:rPr>
                        <w:color w:val="FFFFFF"/>
                        <w:sz w:val="16"/>
                      </w:rPr>
                      <w:t>resalto que la autopista Escuintla- Puerto Quetzal en 2023 se estaría</w:t>
                    </w:r>
                    <w:r>
                      <w:rPr>
                        <w:color w:val="FFFFFF"/>
                        <w:spacing w:val="-12"/>
                        <w:sz w:val="16"/>
                      </w:rPr>
                      <w:t> </w:t>
                    </w:r>
                    <w:r>
                      <w:rPr>
                        <w:color w:val="FFFFFF"/>
                        <w:sz w:val="16"/>
                      </w:rPr>
                      <w:t>construyendo.</w:t>
                    </w:r>
                  </w:p>
                </w:txbxContent>
              </v:textbox>
              <w10:wrap type="none"/>
            </v:shape>
            <w10:wrap type="topAndBottom"/>
          </v:group>
        </w:pict>
      </w:r>
      <w:r>
        <w:rPr/>
        <w:drawing>
          <wp:anchor distT="0" distB="0" distL="0" distR="0" allowOverlap="1" layoutInCell="1" locked="0" behindDoc="0" simplePos="0" relativeHeight="1434">
            <wp:simplePos x="0" y="0"/>
            <wp:positionH relativeFrom="page">
              <wp:posOffset>3898010</wp:posOffset>
            </wp:positionH>
            <wp:positionV relativeFrom="paragraph">
              <wp:posOffset>571494</wp:posOffset>
            </wp:positionV>
            <wp:extent cx="202002" cy="242887"/>
            <wp:effectExtent l="0" t="0" r="0" b="0"/>
            <wp:wrapTopAndBottom/>
            <wp:docPr id="107" name="image282.png"/>
            <wp:cNvGraphicFramePr>
              <a:graphicFrameLocks noChangeAspect="1"/>
            </wp:cNvGraphicFramePr>
            <a:graphic>
              <a:graphicData uri="http://schemas.openxmlformats.org/drawingml/2006/picture">
                <pic:pic>
                  <pic:nvPicPr>
                    <pic:cNvPr id="108" name="image282.png"/>
                    <pic:cNvPicPr/>
                  </pic:nvPicPr>
                  <pic:blipFill>
                    <a:blip r:embed="rId290" cstate="print"/>
                    <a:stretch>
                      <a:fillRect/>
                    </a:stretch>
                  </pic:blipFill>
                  <pic:spPr>
                    <a:xfrm>
                      <a:off x="0" y="0"/>
                      <a:ext cx="202002" cy="242887"/>
                    </a:xfrm>
                    <a:prstGeom prst="rect">
                      <a:avLst/>
                    </a:prstGeom>
                  </pic:spPr>
                </pic:pic>
              </a:graphicData>
            </a:graphic>
          </wp:anchor>
        </w:drawing>
      </w:r>
      <w:r>
        <w:rPr/>
        <w:pict>
          <v:group style="position:absolute;margin-left:336pt;margin-top:14.689536pt;width:89.3pt;height:253.35pt;mso-position-horizontal-relative:page;mso-position-vertical-relative:paragraph;z-index:-250187776;mso-wrap-distance-left:0;mso-wrap-distance-right:0" coordorigin="6720,294" coordsize="1786,5067">
            <v:shape style="position:absolute;left:6720;top:293;width:1596;height:1594" type="#_x0000_t75" stroked="false">
              <v:imagedata r:id="rId291" o:title=""/>
            </v:shape>
            <v:shape style="position:absolute;left:6900;top:1575;width:1596;height:3776" coordorigin="6900,1575" coordsize="1596,3776" path="m8336,1575l7060,1575,6997,1588,6947,1622,6913,1673,6900,1735,6900,5191,6913,5253,6947,5304,6997,5338,7060,5351,8336,5351,8399,5338,8449,5304,8483,5253,8496,5191,8496,1735,8483,1673,8449,1622,8399,1588,8336,1575xe" filled="true" fillcolor="#45b663" stroked="false">
              <v:path arrowok="t"/>
              <v:fill type="solid"/>
            </v:shape>
            <v:shape style="position:absolute;left:6900;top:1575;width:1596;height:3776" coordorigin="6900,1575" coordsize="1596,3776" path="m6900,1735l6913,1673,6947,1622,6997,1588,7060,1575,8336,1575,8399,1588,8449,1622,8483,1673,8496,1735,8496,5191,8483,5253,8449,5304,8399,5338,8336,5351,7060,5351,6997,5338,6947,5304,6913,5253,6900,5191,6900,1735xe" filled="false" stroked="true" strokeweight=".96pt" strokecolor="#ffffff">
              <v:path arrowok="t"/>
              <v:stroke dashstyle="solid"/>
            </v:shape>
            <v:shape style="position:absolute;left:6720;top:293;width:1786;height:5067" type="#_x0000_t202" filled="false" stroked="false">
              <v:textbox inset="0,0,0,0">
                <w:txbxContent>
                  <w:p>
                    <w:pPr>
                      <w:spacing w:line="240" w:lineRule="auto" w:before="0"/>
                      <w:rPr>
                        <w:b/>
                        <w:i/>
                        <w:sz w:val="18"/>
                      </w:rPr>
                    </w:pPr>
                  </w:p>
                  <w:p>
                    <w:pPr>
                      <w:spacing w:line="240" w:lineRule="auto" w:before="0"/>
                      <w:rPr>
                        <w:b/>
                        <w:i/>
                        <w:sz w:val="18"/>
                      </w:rPr>
                    </w:pPr>
                  </w:p>
                  <w:p>
                    <w:pPr>
                      <w:spacing w:line="240" w:lineRule="auto" w:before="0"/>
                      <w:rPr>
                        <w:b/>
                        <w:i/>
                        <w:sz w:val="18"/>
                      </w:rPr>
                    </w:pPr>
                  </w:p>
                  <w:p>
                    <w:pPr>
                      <w:spacing w:line="240" w:lineRule="auto" w:before="0"/>
                      <w:rPr>
                        <w:b/>
                        <w:i/>
                        <w:sz w:val="18"/>
                      </w:rPr>
                    </w:pPr>
                  </w:p>
                  <w:p>
                    <w:pPr>
                      <w:spacing w:line="240" w:lineRule="auto" w:before="0"/>
                      <w:rPr>
                        <w:b/>
                        <w:i/>
                        <w:sz w:val="18"/>
                      </w:rPr>
                    </w:pPr>
                  </w:p>
                  <w:p>
                    <w:pPr>
                      <w:spacing w:line="240" w:lineRule="auto" w:before="0"/>
                      <w:rPr>
                        <w:b/>
                        <w:i/>
                        <w:sz w:val="18"/>
                      </w:rPr>
                    </w:pPr>
                  </w:p>
                  <w:p>
                    <w:pPr>
                      <w:spacing w:line="240" w:lineRule="auto" w:before="0"/>
                      <w:rPr>
                        <w:b/>
                        <w:i/>
                        <w:sz w:val="16"/>
                      </w:rPr>
                    </w:pPr>
                  </w:p>
                  <w:p>
                    <w:pPr>
                      <w:spacing w:line="216" w:lineRule="auto" w:before="0"/>
                      <w:ind w:left="280" w:right="108" w:firstLine="2"/>
                      <w:jc w:val="center"/>
                      <w:rPr>
                        <w:sz w:val="16"/>
                      </w:rPr>
                    </w:pPr>
                    <w:r>
                      <w:rPr>
                        <w:color w:val="FFFFFF"/>
                        <w:sz w:val="16"/>
                      </w:rPr>
                      <w:t>Para 2023 el </w:t>
                    </w:r>
                    <w:r>
                      <w:rPr>
                        <w:color w:val="FFFFFF"/>
                        <w:spacing w:val="-2"/>
                        <w:sz w:val="16"/>
                      </w:rPr>
                      <w:t>MINGOB </w:t>
                    </w:r>
                    <w:r>
                      <w:rPr>
                        <w:color w:val="FFFFFF"/>
                        <w:sz w:val="16"/>
                      </w:rPr>
                      <w:t>tiene </w:t>
                    </w:r>
                    <w:r>
                      <w:rPr>
                        <w:color w:val="FFFFFF"/>
                        <w:spacing w:val="-4"/>
                        <w:sz w:val="16"/>
                      </w:rPr>
                      <w:t>como </w:t>
                    </w:r>
                    <w:r>
                      <w:rPr>
                        <w:color w:val="FFFFFF"/>
                        <w:sz w:val="16"/>
                      </w:rPr>
                      <w:t>metas disminuir la incidencia criminal, la tasa de homicidios, incrementar los centros penitenciarios, conformar organizaciones comunitarias e incrementar los agentes de la PNC. En el OJ se buscará la implementación y seguimiento de </w:t>
                    </w:r>
                    <w:r>
                      <w:rPr>
                        <w:color w:val="FFFFFF"/>
                        <w:spacing w:val="-3"/>
                        <w:sz w:val="16"/>
                      </w:rPr>
                      <w:t>Ley </w:t>
                    </w:r>
                    <w:r>
                      <w:rPr>
                        <w:color w:val="FFFFFF"/>
                        <w:sz w:val="16"/>
                      </w:rPr>
                      <w:t>de Tramitación Electrónica de Expedientes Judiciales y </w:t>
                    </w:r>
                    <w:r>
                      <w:rPr>
                        <w:color w:val="FFFFFF"/>
                        <w:spacing w:val="-3"/>
                        <w:sz w:val="16"/>
                      </w:rPr>
                      <w:t>Ley </w:t>
                    </w:r>
                    <w:r>
                      <w:rPr>
                        <w:color w:val="FFFFFF"/>
                        <w:sz w:val="16"/>
                      </w:rPr>
                      <w:t>de Insolvencia.</w:t>
                    </w:r>
                  </w:p>
                </w:txbxContent>
              </v:textbox>
              <w10:wrap type="none"/>
            </v:shape>
            <w10:wrap type="topAndBottom"/>
          </v:group>
        </w:pict>
      </w:r>
      <w:r>
        <w:rPr/>
        <w:drawing>
          <wp:anchor distT="0" distB="0" distL="0" distR="0" allowOverlap="1" layoutInCell="1" locked="0" behindDoc="0" simplePos="0" relativeHeight="1437">
            <wp:simplePos x="0" y="0"/>
            <wp:positionH relativeFrom="page">
              <wp:posOffset>5469509</wp:posOffset>
            </wp:positionH>
            <wp:positionV relativeFrom="paragraph">
              <wp:posOffset>570986</wp:posOffset>
            </wp:positionV>
            <wp:extent cx="196466" cy="242887"/>
            <wp:effectExtent l="0" t="0" r="0" b="0"/>
            <wp:wrapTopAndBottom/>
            <wp:docPr id="109" name="image284.png"/>
            <wp:cNvGraphicFramePr>
              <a:graphicFrameLocks noChangeAspect="1"/>
            </wp:cNvGraphicFramePr>
            <a:graphic>
              <a:graphicData uri="http://schemas.openxmlformats.org/drawingml/2006/picture">
                <pic:pic>
                  <pic:nvPicPr>
                    <pic:cNvPr id="110" name="image284.png"/>
                    <pic:cNvPicPr/>
                  </pic:nvPicPr>
                  <pic:blipFill>
                    <a:blip r:embed="rId292" cstate="print"/>
                    <a:stretch>
                      <a:fillRect/>
                    </a:stretch>
                  </pic:blipFill>
                  <pic:spPr>
                    <a:xfrm>
                      <a:off x="0" y="0"/>
                      <a:ext cx="196466" cy="242887"/>
                    </a:xfrm>
                    <a:prstGeom prst="rect">
                      <a:avLst/>
                    </a:prstGeom>
                  </pic:spPr>
                </pic:pic>
              </a:graphicData>
            </a:graphic>
          </wp:anchor>
        </w:drawing>
      </w:r>
      <w:r>
        <w:rPr/>
        <w:pict>
          <v:group style="position:absolute;margin-left:459.23999pt;margin-top:14.689536pt;width:82.35pt;height:261.4pt;mso-position-horizontal-relative:page;mso-position-vertical-relative:paragraph;z-index:-250184704;mso-wrap-distance-left:0;mso-wrap-distance-right:0" coordorigin="9185,294" coordsize="1647,5228">
            <v:shape style="position:absolute;left:9184;top:293;width:1594;height:1594" type="#_x0000_t75" stroked="false">
              <v:imagedata r:id="rId293" o:title=""/>
            </v:shape>
            <v:shape style="position:absolute;left:9225;top:1565;width:1596;height:3946" coordorigin="9226,1566" coordsize="1596,3946" path="m10662,1566l9385,1566,9323,1578,9272,1613,9238,1663,9226,1725,9226,5352,9238,5414,9272,5465,9323,5499,9385,5511,10662,5511,10724,5499,10775,5465,10809,5414,10822,5352,10822,1725,10809,1663,10775,1613,10724,1578,10662,1566xe" filled="true" fillcolor="#6fac46" stroked="false">
              <v:path arrowok="t"/>
              <v:fill type="solid"/>
            </v:shape>
            <v:shape style="position:absolute;left:9225;top:1565;width:1596;height:3946" coordorigin="9226,1566" coordsize="1596,3946" path="m9226,1725l9238,1663,9272,1613,9323,1578,9385,1566,10662,1566,10724,1578,10775,1613,10809,1663,10822,1725,10822,5352,10809,5414,10775,5465,10724,5499,10662,5511,9385,5511,9323,5499,9272,5465,9238,5414,9226,5352,9226,1725xe" filled="false" stroked="true" strokeweight=".96pt" strokecolor="#ffffff">
              <v:path arrowok="t"/>
              <v:stroke dashstyle="solid"/>
            </v:shape>
            <v:shape style="position:absolute;left:9184;top:293;width:1647;height:5228" type="#_x0000_t202" filled="false" stroked="false">
              <v:textbox inset="0,0,0,0">
                <w:txbxContent>
                  <w:p>
                    <w:pPr>
                      <w:spacing w:line="240" w:lineRule="auto" w:before="0"/>
                      <w:rPr>
                        <w:b/>
                        <w:i/>
                        <w:sz w:val="18"/>
                      </w:rPr>
                    </w:pPr>
                  </w:p>
                  <w:p>
                    <w:pPr>
                      <w:spacing w:line="240" w:lineRule="auto" w:before="0"/>
                      <w:rPr>
                        <w:b/>
                        <w:i/>
                        <w:sz w:val="18"/>
                      </w:rPr>
                    </w:pPr>
                  </w:p>
                  <w:p>
                    <w:pPr>
                      <w:spacing w:line="240" w:lineRule="auto" w:before="0"/>
                      <w:rPr>
                        <w:b/>
                        <w:i/>
                        <w:sz w:val="18"/>
                      </w:rPr>
                    </w:pPr>
                  </w:p>
                  <w:p>
                    <w:pPr>
                      <w:spacing w:line="240" w:lineRule="auto" w:before="0"/>
                      <w:rPr>
                        <w:b/>
                        <w:i/>
                        <w:sz w:val="18"/>
                      </w:rPr>
                    </w:pPr>
                  </w:p>
                  <w:p>
                    <w:pPr>
                      <w:spacing w:line="240" w:lineRule="auto" w:before="0"/>
                      <w:rPr>
                        <w:b/>
                        <w:i/>
                        <w:sz w:val="18"/>
                      </w:rPr>
                    </w:pPr>
                  </w:p>
                  <w:p>
                    <w:pPr>
                      <w:spacing w:line="240" w:lineRule="auto" w:before="0"/>
                      <w:rPr>
                        <w:b/>
                        <w:i/>
                        <w:sz w:val="18"/>
                      </w:rPr>
                    </w:pPr>
                  </w:p>
                  <w:p>
                    <w:pPr>
                      <w:spacing w:line="240" w:lineRule="auto" w:before="7"/>
                      <w:rPr>
                        <w:b/>
                        <w:i/>
                        <w:sz w:val="15"/>
                      </w:rPr>
                    </w:pPr>
                  </w:p>
                  <w:p>
                    <w:pPr>
                      <w:spacing w:line="216" w:lineRule="auto" w:before="0"/>
                      <w:ind w:left="144" w:right="112" w:firstLine="5"/>
                      <w:jc w:val="center"/>
                      <w:rPr>
                        <w:sz w:val="16"/>
                      </w:rPr>
                    </w:pPr>
                    <w:r>
                      <w:rPr>
                        <w:color w:val="FFFFFF"/>
                        <w:sz w:val="16"/>
                      </w:rPr>
                      <w:t>Para 2023 la SAT resaltó que la estimación de cierre 2022 se ubicaría en Q82,872.9 millones ubicandose por</w:t>
                    </w:r>
                    <w:r>
                      <w:rPr>
                        <w:color w:val="FFFFFF"/>
                        <w:spacing w:val="-12"/>
                        <w:sz w:val="16"/>
                      </w:rPr>
                      <w:t> </w:t>
                    </w:r>
                    <w:r>
                      <w:rPr>
                        <w:color w:val="FFFFFF"/>
                        <w:sz w:val="16"/>
                      </w:rPr>
                      <w:t>arriba de la meta establecida. Tambien se resaltaron los desafíos en el contexto nacional e internacional como los cambios en la política monetaria de las economías avanzadas, una agenda legislativa que promueva mayores incentivos tributarios y conflictos geopolíticos.</w:t>
                    </w:r>
                  </w:p>
                </w:txbxContent>
              </v:textbox>
              <w10:wrap type="none"/>
            </v:shape>
            <w10:wrap type="topAndBottom"/>
          </v:group>
        </w:pict>
      </w:r>
      <w:r>
        <w:rPr>
          <w:i/>
        </w:rPr>
        <w:t>Del 02 al 18 de agosto</w:t>
      </w:r>
    </w:p>
    <w:p>
      <w:pPr>
        <w:spacing w:before="136"/>
        <w:ind w:left="562" w:right="0" w:firstLine="0"/>
        <w:jc w:val="both"/>
        <w:rPr>
          <w:sz w:val="16"/>
        </w:rPr>
      </w:pPr>
      <w:r>
        <w:rPr>
          <w:sz w:val="16"/>
        </w:rPr>
        <w:t>Fuente: MINFIN</w:t>
      </w:r>
    </w:p>
    <w:p>
      <w:pPr>
        <w:pStyle w:val="BodyText"/>
        <w:rPr>
          <w:sz w:val="18"/>
        </w:rPr>
      </w:pPr>
    </w:p>
    <w:p>
      <w:pPr>
        <w:pStyle w:val="BodyText"/>
        <w:spacing w:line="276" w:lineRule="auto" w:before="110"/>
        <w:ind w:left="562" w:right="1695"/>
        <w:jc w:val="both"/>
      </w:pPr>
      <w:r>
        <w:rPr/>
        <w:t>En el tercer módulo estratégico correspondiente a los talleres y exposiciones de Ministerios y Secretarías</w:t>
      </w:r>
      <w:r>
        <w:rPr>
          <w:spacing w:val="-9"/>
        </w:rPr>
        <w:t> </w:t>
      </w:r>
      <w:r>
        <w:rPr/>
        <w:t>de</w:t>
      </w:r>
      <w:r>
        <w:rPr>
          <w:spacing w:val="-8"/>
        </w:rPr>
        <w:t> </w:t>
      </w:r>
      <w:r>
        <w:rPr/>
        <w:t>Estado,</w:t>
      </w:r>
      <w:r>
        <w:rPr>
          <w:spacing w:val="-8"/>
        </w:rPr>
        <w:t> </w:t>
      </w:r>
      <w:r>
        <w:rPr/>
        <w:t>se</w:t>
      </w:r>
      <w:r>
        <w:rPr>
          <w:spacing w:val="-8"/>
        </w:rPr>
        <w:t> </w:t>
      </w:r>
      <w:r>
        <w:rPr/>
        <w:t>busca</w:t>
      </w:r>
      <w:r>
        <w:rPr>
          <w:spacing w:val="-8"/>
        </w:rPr>
        <w:t> </w:t>
      </w:r>
      <w:r>
        <w:rPr/>
        <w:t>conocer</w:t>
      </w:r>
      <w:r>
        <w:rPr>
          <w:spacing w:val="-9"/>
        </w:rPr>
        <w:t> </w:t>
      </w:r>
      <w:r>
        <w:rPr/>
        <w:t>por</w:t>
      </w:r>
      <w:r>
        <w:rPr>
          <w:spacing w:val="-8"/>
        </w:rPr>
        <w:t> </w:t>
      </w:r>
      <w:r>
        <w:rPr/>
        <w:t>medio</w:t>
      </w:r>
      <w:r>
        <w:rPr>
          <w:spacing w:val="-9"/>
        </w:rPr>
        <w:t> </w:t>
      </w:r>
      <w:r>
        <w:rPr/>
        <w:t>de</w:t>
      </w:r>
      <w:r>
        <w:rPr>
          <w:spacing w:val="-6"/>
        </w:rPr>
        <w:t> </w:t>
      </w:r>
      <w:r>
        <w:rPr/>
        <w:t>las</w:t>
      </w:r>
      <w:r>
        <w:rPr>
          <w:spacing w:val="-8"/>
        </w:rPr>
        <w:t> </w:t>
      </w:r>
      <w:r>
        <w:rPr/>
        <w:t>exposiciones</w:t>
      </w:r>
      <w:r>
        <w:rPr>
          <w:spacing w:val="-8"/>
        </w:rPr>
        <w:t> </w:t>
      </w:r>
      <w:r>
        <w:rPr/>
        <w:t>de</w:t>
      </w:r>
      <w:r>
        <w:rPr>
          <w:spacing w:val="-9"/>
        </w:rPr>
        <w:t> </w:t>
      </w:r>
      <w:r>
        <w:rPr/>
        <w:t>las</w:t>
      </w:r>
      <w:r>
        <w:rPr>
          <w:spacing w:val="-8"/>
        </w:rPr>
        <w:t> </w:t>
      </w:r>
      <w:r>
        <w:rPr/>
        <w:t>entidades</w:t>
      </w:r>
      <w:r>
        <w:rPr>
          <w:spacing w:val="-7"/>
        </w:rPr>
        <w:t> </w:t>
      </w:r>
      <w:r>
        <w:rPr/>
        <w:t>cuáles</w:t>
      </w:r>
      <w:r>
        <w:rPr>
          <w:spacing w:val="-7"/>
        </w:rPr>
        <w:t> </w:t>
      </w:r>
      <w:r>
        <w:rPr/>
        <w:t>son</w:t>
      </w:r>
      <w:r>
        <w:rPr>
          <w:spacing w:val="-8"/>
        </w:rPr>
        <w:t> </w:t>
      </w:r>
      <w:r>
        <w:rPr/>
        <w:t>sus prioridades del gasto para los planes y programas estratégicos en sus ámbitos de competencia. Esta fase del Presupuesto Abierto, es la más relevante dado que se busca elaborar un presupuesto que atienda las necesidades del país, las Entidades y Secretarías priorizan los programas y proyectos a ejecutar</w:t>
      </w:r>
      <w:r>
        <w:rPr>
          <w:spacing w:val="-4"/>
        </w:rPr>
        <w:t> </w:t>
      </w:r>
      <w:r>
        <w:rPr/>
        <w:t>de</w:t>
      </w:r>
      <w:r>
        <w:rPr>
          <w:spacing w:val="-3"/>
        </w:rPr>
        <w:t> </w:t>
      </w:r>
      <w:r>
        <w:rPr/>
        <w:t>acuerdo</w:t>
      </w:r>
      <w:r>
        <w:rPr>
          <w:spacing w:val="-4"/>
        </w:rPr>
        <w:t> </w:t>
      </w:r>
      <w:r>
        <w:rPr/>
        <w:t>a</w:t>
      </w:r>
      <w:r>
        <w:rPr>
          <w:spacing w:val="-3"/>
        </w:rPr>
        <w:t> </w:t>
      </w:r>
      <w:r>
        <w:rPr/>
        <w:t>sus</w:t>
      </w:r>
      <w:r>
        <w:rPr>
          <w:spacing w:val="-3"/>
        </w:rPr>
        <w:t> </w:t>
      </w:r>
      <w:r>
        <w:rPr/>
        <w:t>objetivos</w:t>
      </w:r>
      <w:r>
        <w:rPr>
          <w:spacing w:val="-3"/>
        </w:rPr>
        <w:t> </w:t>
      </w:r>
      <w:r>
        <w:rPr/>
        <w:t>y</w:t>
      </w:r>
      <w:r>
        <w:rPr>
          <w:spacing w:val="-4"/>
        </w:rPr>
        <w:t> </w:t>
      </w:r>
      <w:r>
        <w:rPr/>
        <w:t>metas</w:t>
      </w:r>
      <w:r>
        <w:rPr>
          <w:spacing w:val="-4"/>
        </w:rPr>
        <w:t> </w:t>
      </w:r>
      <w:r>
        <w:rPr/>
        <w:t>programáticas</w:t>
      </w:r>
      <w:r>
        <w:rPr>
          <w:spacing w:val="-3"/>
        </w:rPr>
        <w:t> </w:t>
      </w:r>
      <w:r>
        <w:rPr/>
        <w:t>e</w:t>
      </w:r>
      <w:r>
        <w:rPr>
          <w:spacing w:val="-3"/>
        </w:rPr>
        <w:t> </w:t>
      </w:r>
      <w:r>
        <w:rPr/>
        <w:t>institucionales,</w:t>
      </w:r>
      <w:r>
        <w:rPr>
          <w:spacing w:val="-4"/>
        </w:rPr>
        <w:t> </w:t>
      </w:r>
      <w:r>
        <w:rPr/>
        <w:t>de</w:t>
      </w:r>
      <w:r>
        <w:rPr>
          <w:spacing w:val="-3"/>
        </w:rPr>
        <w:t> </w:t>
      </w:r>
      <w:r>
        <w:rPr/>
        <w:t>acuerdo</w:t>
      </w:r>
      <w:r>
        <w:rPr>
          <w:spacing w:val="-4"/>
        </w:rPr>
        <w:t> </w:t>
      </w:r>
      <w:r>
        <w:rPr/>
        <w:t>al</w:t>
      </w:r>
      <w:r>
        <w:rPr>
          <w:spacing w:val="-3"/>
        </w:rPr>
        <w:t> </w:t>
      </w:r>
      <w:r>
        <w:rPr/>
        <w:t>nivel</w:t>
      </w:r>
      <w:r>
        <w:rPr>
          <w:spacing w:val="-3"/>
        </w:rPr>
        <w:t> </w:t>
      </w:r>
      <w:r>
        <w:rPr/>
        <w:t>de</w:t>
      </w:r>
      <w:r>
        <w:rPr>
          <w:spacing w:val="-4"/>
        </w:rPr>
        <w:t> </w:t>
      </w:r>
      <w:r>
        <w:rPr>
          <w:spacing w:val="-3"/>
        </w:rPr>
        <w:t>su </w:t>
      </w:r>
      <w:r>
        <w:rPr/>
        <w:t>techo de</w:t>
      </w:r>
      <w:r>
        <w:rPr>
          <w:spacing w:val="-3"/>
        </w:rPr>
        <w:t> </w:t>
      </w:r>
      <w:r>
        <w:rPr/>
        <w:t>gasto.</w:t>
      </w:r>
    </w:p>
    <w:p>
      <w:pPr>
        <w:pStyle w:val="BodyText"/>
        <w:spacing w:before="2"/>
        <w:rPr>
          <w:sz w:val="25"/>
        </w:rPr>
      </w:pPr>
    </w:p>
    <w:p>
      <w:pPr>
        <w:pStyle w:val="BodyText"/>
        <w:spacing w:line="276" w:lineRule="auto"/>
        <w:ind w:left="562" w:right="1699"/>
        <w:jc w:val="both"/>
      </w:pPr>
      <w:r>
        <w:rPr/>
        <w:t>En</w:t>
      </w:r>
      <w:r>
        <w:rPr>
          <w:spacing w:val="-12"/>
        </w:rPr>
        <w:t> </w:t>
      </w:r>
      <w:r>
        <w:rPr/>
        <w:t>esta</w:t>
      </w:r>
      <w:r>
        <w:rPr>
          <w:spacing w:val="-13"/>
        </w:rPr>
        <w:t> </w:t>
      </w:r>
      <w:r>
        <w:rPr/>
        <w:t>etapa</w:t>
      </w:r>
      <w:r>
        <w:rPr>
          <w:spacing w:val="-14"/>
        </w:rPr>
        <w:t> </w:t>
      </w:r>
      <w:r>
        <w:rPr/>
        <w:t>el</w:t>
      </w:r>
      <w:r>
        <w:rPr>
          <w:spacing w:val="-12"/>
        </w:rPr>
        <w:t> </w:t>
      </w:r>
      <w:r>
        <w:rPr/>
        <w:t>Ministerio</w:t>
      </w:r>
      <w:r>
        <w:rPr>
          <w:spacing w:val="-17"/>
        </w:rPr>
        <w:t> </w:t>
      </w:r>
      <w:r>
        <w:rPr/>
        <w:t>de</w:t>
      </w:r>
      <w:r>
        <w:rPr>
          <w:spacing w:val="-11"/>
        </w:rPr>
        <w:t> </w:t>
      </w:r>
      <w:r>
        <w:rPr/>
        <w:t>Finanzas</w:t>
      </w:r>
      <w:r>
        <w:rPr>
          <w:spacing w:val="-12"/>
        </w:rPr>
        <w:t> </w:t>
      </w:r>
      <w:r>
        <w:rPr/>
        <w:t>Públicas</w:t>
      </w:r>
      <w:r>
        <w:rPr>
          <w:spacing w:val="-14"/>
        </w:rPr>
        <w:t> </w:t>
      </w:r>
      <w:r>
        <w:rPr/>
        <w:t>ha</w:t>
      </w:r>
      <w:r>
        <w:rPr>
          <w:spacing w:val="-13"/>
        </w:rPr>
        <w:t> </w:t>
      </w:r>
      <w:r>
        <w:rPr/>
        <w:t>revisado,</w:t>
      </w:r>
      <w:r>
        <w:rPr>
          <w:spacing w:val="-12"/>
        </w:rPr>
        <w:t> </w:t>
      </w:r>
      <w:r>
        <w:rPr/>
        <w:t>analizado</w:t>
      </w:r>
      <w:r>
        <w:rPr>
          <w:spacing w:val="-10"/>
        </w:rPr>
        <w:t> </w:t>
      </w:r>
      <w:r>
        <w:rPr/>
        <w:t>y</w:t>
      </w:r>
      <w:r>
        <w:rPr>
          <w:spacing w:val="-17"/>
        </w:rPr>
        <w:t> </w:t>
      </w:r>
      <w:r>
        <w:rPr/>
        <w:t>recomendado</w:t>
      </w:r>
      <w:r>
        <w:rPr>
          <w:spacing w:val="-13"/>
        </w:rPr>
        <w:t> </w:t>
      </w:r>
      <w:r>
        <w:rPr/>
        <w:t>el</w:t>
      </w:r>
      <w:r>
        <w:rPr>
          <w:spacing w:val="-12"/>
        </w:rPr>
        <w:t> </w:t>
      </w:r>
      <w:r>
        <w:rPr/>
        <w:t>presupuesto de cada institución para que sea congruente con las políticas, techos y los bienes o servicios que se entregan a la</w:t>
      </w:r>
      <w:r>
        <w:rPr>
          <w:spacing w:val="-1"/>
        </w:rPr>
        <w:t> </w:t>
      </w:r>
      <w:r>
        <w:rPr/>
        <w:t>población.</w:t>
      </w:r>
    </w:p>
    <w:p>
      <w:pPr>
        <w:pStyle w:val="BodyText"/>
        <w:spacing w:before="4"/>
        <w:rPr>
          <w:sz w:val="25"/>
        </w:rPr>
      </w:pPr>
    </w:p>
    <w:p>
      <w:pPr>
        <w:pStyle w:val="BodyText"/>
        <w:spacing w:line="276" w:lineRule="auto"/>
        <w:ind w:left="562" w:right="1695"/>
        <w:jc w:val="both"/>
      </w:pPr>
      <w:r>
        <w:rPr/>
        <w:t>De</w:t>
      </w:r>
      <w:r>
        <w:rPr>
          <w:spacing w:val="-9"/>
        </w:rPr>
        <w:t> </w:t>
      </w:r>
      <w:r>
        <w:rPr/>
        <w:t>esta</w:t>
      </w:r>
      <w:r>
        <w:rPr>
          <w:spacing w:val="-11"/>
        </w:rPr>
        <w:t> </w:t>
      </w:r>
      <w:r>
        <w:rPr/>
        <w:t>forma</w:t>
      </w:r>
      <w:r>
        <w:rPr>
          <w:spacing w:val="-9"/>
        </w:rPr>
        <w:t> </w:t>
      </w:r>
      <w:r>
        <w:rPr/>
        <w:t>concluyeron</w:t>
      </w:r>
      <w:r>
        <w:rPr>
          <w:spacing w:val="-12"/>
        </w:rPr>
        <w:t> </w:t>
      </w:r>
      <w:r>
        <w:rPr/>
        <w:t>los</w:t>
      </w:r>
      <w:r>
        <w:rPr>
          <w:spacing w:val="-9"/>
        </w:rPr>
        <w:t> </w:t>
      </w:r>
      <w:r>
        <w:rPr/>
        <w:t>módulos</w:t>
      </w:r>
      <w:r>
        <w:rPr>
          <w:spacing w:val="-9"/>
        </w:rPr>
        <w:t> </w:t>
      </w:r>
      <w:r>
        <w:rPr/>
        <w:t>estratégicos</w:t>
      </w:r>
      <w:r>
        <w:rPr>
          <w:spacing w:val="-11"/>
        </w:rPr>
        <w:t> </w:t>
      </w:r>
      <w:r>
        <w:rPr/>
        <w:t>considerados</w:t>
      </w:r>
      <w:r>
        <w:rPr>
          <w:spacing w:val="-9"/>
        </w:rPr>
        <w:t> </w:t>
      </w:r>
      <w:r>
        <w:rPr/>
        <w:t>dentro</w:t>
      </w:r>
      <w:r>
        <w:rPr>
          <w:spacing w:val="-11"/>
        </w:rPr>
        <w:t> </w:t>
      </w:r>
      <w:r>
        <w:rPr/>
        <w:t>del</w:t>
      </w:r>
      <w:r>
        <w:rPr>
          <w:spacing w:val="-11"/>
        </w:rPr>
        <w:t> </w:t>
      </w:r>
      <w:r>
        <w:rPr/>
        <w:t>ejercicio</w:t>
      </w:r>
      <w:r>
        <w:rPr>
          <w:spacing w:val="-12"/>
        </w:rPr>
        <w:t> </w:t>
      </w:r>
      <w:r>
        <w:rPr/>
        <w:t>de</w:t>
      </w:r>
      <w:r>
        <w:rPr>
          <w:spacing w:val="-9"/>
        </w:rPr>
        <w:t> </w:t>
      </w:r>
      <w:r>
        <w:rPr/>
        <w:t>Presupuesto Abierto</w:t>
      </w:r>
      <w:r>
        <w:rPr>
          <w:spacing w:val="-14"/>
        </w:rPr>
        <w:t> </w:t>
      </w:r>
      <w:r>
        <w:rPr/>
        <w:t>2023-2027,</w:t>
      </w:r>
      <w:r>
        <w:rPr>
          <w:spacing w:val="-14"/>
        </w:rPr>
        <w:t> </w:t>
      </w:r>
      <w:r>
        <w:rPr/>
        <w:t>siendo</w:t>
      </w:r>
      <w:r>
        <w:rPr>
          <w:spacing w:val="-16"/>
        </w:rPr>
        <w:t> </w:t>
      </w:r>
      <w:r>
        <w:rPr/>
        <w:t>el</w:t>
      </w:r>
      <w:r>
        <w:rPr>
          <w:spacing w:val="-13"/>
        </w:rPr>
        <w:t> </w:t>
      </w:r>
      <w:r>
        <w:rPr/>
        <w:t>siguiente</w:t>
      </w:r>
      <w:r>
        <w:rPr>
          <w:spacing w:val="-13"/>
        </w:rPr>
        <w:t> </w:t>
      </w:r>
      <w:r>
        <w:rPr/>
        <w:t>paso</w:t>
      </w:r>
      <w:r>
        <w:rPr>
          <w:spacing w:val="-17"/>
        </w:rPr>
        <w:t> </w:t>
      </w:r>
      <w:r>
        <w:rPr/>
        <w:t>la</w:t>
      </w:r>
      <w:r>
        <w:rPr>
          <w:spacing w:val="-13"/>
        </w:rPr>
        <w:t> </w:t>
      </w:r>
      <w:r>
        <w:rPr/>
        <w:t>presentación</w:t>
      </w:r>
      <w:r>
        <w:rPr>
          <w:spacing w:val="-17"/>
        </w:rPr>
        <w:t> </w:t>
      </w:r>
      <w:r>
        <w:rPr/>
        <w:t>al</w:t>
      </w:r>
      <w:r>
        <w:rPr>
          <w:spacing w:val="-10"/>
        </w:rPr>
        <w:t> </w:t>
      </w:r>
      <w:r>
        <w:rPr/>
        <w:t>Congreso</w:t>
      </w:r>
      <w:r>
        <w:rPr>
          <w:spacing w:val="-13"/>
        </w:rPr>
        <w:t> </w:t>
      </w:r>
      <w:r>
        <w:rPr/>
        <w:t>de</w:t>
      </w:r>
      <w:r>
        <w:rPr>
          <w:spacing w:val="-16"/>
        </w:rPr>
        <w:t> </w:t>
      </w:r>
      <w:r>
        <w:rPr/>
        <w:t>la</w:t>
      </w:r>
      <w:r>
        <w:rPr>
          <w:spacing w:val="-13"/>
        </w:rPr>
        <w:t> </w:t>
      </w:r>
      <w:r>
        <w:rPr/>
        <w:t>República,</w:t>
      </w:r>
      <w:r>
        <w:rPr>
          <w:spacing w:val="-18"/>
        </w:rPr>
        <w:t> </w:t>
      </w:r>
      <w:r>
        <w:rPr>
          <w:rFonts w:ascii="Calibri" w:hAnsi="Calibri"/>
        </w:rPr>
        <w:t>d</w:t>
      </w:r>
      <w:r>
        <w:rPr/>
        <w:t>el</w:t>
      </w:r>
      <w:r>
        <w:rPr>
          <w:spacing w:val="-14"/>
        </w:rPr>
        <w:t> </w:t>
      </w:r>
      <w:r>
        <w:rPr/>
        <w:t>proyecto de Presupuesto General de Ingresos y Egresos del Estado para el ejercicio fiscal 2023, a más tardar el viernes 2 de</w:t>
      </w:r>
      <w:r>
        <w:rPr>
          <w:spacing w:val="-2"/>
        </w:rPr>
        <w:t> </w:t>
      </w:r>
      <w:r>
        <w:rPr/>
        <w:t>septiembre.</w:t>
      </w:r>
    </w:p>
    <w:p>
      <w:pPr>
        <w:pStyle w:val="BodyText"/>
        <w:spacing w:before="5"/>
        <w:rPr>
          <w:sz w:val="25"/>
        </w:rPr>
      </w:pPr>
    </w:p>
    <w:p>
      <w:pPr>
        <w:pStyle w:val="BodyText"/>
        <w:spacing w:line="276" w:lineRule="auto"/>
        <w:ind w:left="562" w:right="1695"/>
        <w:jc w:val="both"/>
      </w:pPr>
      <w:r>
        <w:rPr/>
        <w:t>Como</w:t>
      </w:r>
      <w:r>
        <w:rPr>
          <w:spacing w:val="-12"/>
        </w:rPr>
        <w:t> </w:t>
      </w:r>
      <w:r>
        <w:rPr/>
        <w:t>parte</w:t>
      </w:r>
      <w:r>
        <w:rPr>
          <w:spacing w:val="-10"/>
        </w:rPr>
        <w:t> </w:t>
      </w:r>
      <w:r>
        <w:rPr/>
        <w:t>de</w:t>
      </w:r>
      <w:r>
        <w:rPr>
          <w:spacing w:val="-11"/>
        </w:rPr>
        <w:t> </w:t>
      </w:r>
      <w:r>
        <w:rPr/>
        <w:t>los</w:t>
      </w:r>
      <w:r>
        <w:rPr>
          <w:spacing w:val="-10"/>
        </w:rPr>
        <w:t> </w:t>
      </w:r>
      <w:r>
        <w:rPr/>
        <w:t>esfuerzos</w:t>
      </w:r>
      <w:r>
        <w:rPr>
          <w:spacing w:val="-10"/>
        </w:rPr>
        <w:t> </w:t>
      </w:r>
      <w:r>
        <w:rPr/>
        <w:t>de</w:t>
      </w:r>
      <w:r>
        <w:rPr>
          <w:spacing w:val="-11"/>
        </w:rPr>
        <w:t> </w:t>
      </w:r>
      <w:r>
        <w:rPr/>
        <w:t>inclusión</w:t>
      </w:r>
      <w:r>
        <w:rPr>
          <w:spacing w:val="-11"/>
        </w:rPr>
        <w:t> </w:t>
      </w:r>
      <w:r>
        <w:rPr/>
        <w:t>por</w:t>
      </w:r>
      <w:r>
        <w:rPr>
          <w:spacing w:val="-10"/>
        </w:rPr>
        <w:t> </w:t>
      </w:r>
      <w:r>
        <w:rPr/>
        <w:t>parte</w:t>
      </w:r>
      <w:r>
        <w:rPr>
          <w:spacing w:val="-10"/>
        </w:rPr>
        <w:t> </w:t>
      </w:r>
      <w:r>
        <w:rPr/>
        <w:t>del</w:t>
      </w:r>
      <w:r>
        <w:rPr>
          <w:spacing w:val="-11"/>
        </w:rPr>
        <w:t> </w:t>
      </w:r>
      <w:r>
        <w:rPr/>
        <w:t>Ministerio</w:t>
      </w:r>
      <w:r>
        <w:rPr>
          <w:spacing w:val="-11"/>
        </w:rPr>
        <w:t> </w:t>
      </w:r>
      <w:r>
        <w:rPr/>
        <w:t>de</w:t>
      </w:r>
      <w:r>
        <w:rPr>
          <w:spacing w:val="-11"/>
        </w:rPr>
        <w:t> </w:t>
      </w:r>
      <w:r>
        <w:rPr/>
        <w:t>Finanzas</w:t>
      </w:r>
      <w:r>
        <w:rPr>
          <w:spacing w:val="-10"/>
        </w:rPr>
        <w:t> </w:t>
      </w:r>
      <w:r>
        <w:rPr/>
        <w:t>Públicas,</w:t>
      </w:r>
      <w:r>
        <w:rPr>
          <w:spacing w:val="-7"/>
        </w:rPr>
        <w:t> </w:t>
      </w:r>
      <w:r>
        <w:rPr/>
        <w:t>como</w:t>
      </w:r>
      <w:r>
        <w:rPr>
          <w:spacing w:val="-11"/>
        </w:rPr>
        <w:t> </w:t>
      </w:r>
      <w:r>
        <w:rPr/>
        <w:t>en</w:t>
      </w:r>
      <w:r>
        <w:rPr>
          <w:spacing w:val="-10"/>
        </w:rPr>
        <w:t> </w:t>
      </w:r>
      <w:r>
        <w:rPr/>
        <w:t>años anteriores se contó con traducción simultánea en lenguaje de señas con el propósito de hacer más incluyente y accesible todo el proceso de Presupuesto Abierto</w:t>
      </w:r>
      <w:r>
        <w:rPr>
          <w:spacing w:val="-10"/>
        </w:rPr>
        <w:t> </w:t>
      </w:r>
      <w:r>
        <w:rPr/>
        <w:t>2023-2027.</w:t>
      </w:r>
    </w:p>
    <w:p>
      <w:pPr>
        <w:spacing w:after="0" w:line="276" w:lineRule="auto"/>
        <w:jc w:val="both"/>
        <w:sectPr>
          <w:pgSz w:w="12240" w:h="15840"/>
          <w:pgMar w:header="715" w:footer="688" w:top="1240" w:bottom="880" w:left="1140" w:right="0"/>
        </w:sectPr>
      </w:pPr>
    </w:p>
    <w:p>
      <w:pPr>
        <w:pStyle w:val="Heading2"/>
        <w:numPr>
          <w:ilvl w:val="2"/>
          <w:numId w:val="13"/>
        </w:numPr>
        <w:tabs>
          <w:tab w:pos="1354" w:val="left" w:leader="none"/>
        </w:tabs>
        <w:spacing w:line="240" w:lineRule="auto" w:before="167" w:after="0"/>
        <w:ind w:left="1354" w:right="0" w:hanging="433"/>
        <w:jc w:val="left"/>
      </w:pPr>
      <w:bookmarkStart w:name="_bookmark203" w:id="260"/>
      <w:bookmarkEnd w:id="260"/>
      <w:r>
        <w:rPr>
          <w:b w:val="0"/>
        </w:rPr>
      </w:r>
      <w:bookmarkStart w:name="_bookmark203" w:id="261"/>
      <w:bookmarkEnd w:id="261"/>
      <w:r>
        <w:rPr/>
        <w:t>M</w:t>
      </w:r>
      <w:r>
        <w:rPr/>
        <w:t>etas de política fiscal para el período 2023 -</w:t>
      </w:r>
      <w:r>
        <w:rPr>
          <w:spacing w:val="-2"/>
        </w:rPr>
        <w:t> </w:t>
      </w:r>
      <w:r>
        <w:rPr/>
        <w:t>2027</w:t>
      </w:r>
    </w:p>
    <w:p>
      <w:pPr>
        <w:pStyle w:val="BodyText"/>
        <w:spacing w:before="4"/>
        <w:rPr>
          <w:b/>
          <w:sz w:val="28"/>
        </w:rPr>
      </w:pPr>
    </w:p>
    <w:p>
      <w:pPr>
        <w:pStyle w:val="BodyText"/>
        <w:spacing w:line="276" w:lineRule="auto" w:before="1"/>
        <w:ind w:left="562" w:right="1696"/>
        <w:jc w:val="both"/>
      </w:pPr>
      <w:r>
        <w:rPr/>
        <w:t>Para</w:t>
      </w:r>
      <w:r>
        <w:rPr>
          <w:spacing w:val="-12"/>
        </w:rPr>
        <w:t> </w:t>
      </w:r>
      <w:r>
        <w:rPr/>
        <w:t>los</w:t>
      </w:r>
      <w:r>
        <w:rPr>
          <w:spacing w:val="-9"/>
        </w:rPr>
        <w:t> </w:t>
      </w:r>
      <w:r>
        <w:rPr/>
        <w:t>próximos</w:t>
      </w:r>
      <w:r>
        <w:rPr>
          <w:spacing w:val="-9"/>
        </w:rPr>
        <w:t> </w:t>
      </w:r>
      <w:r>
        <w:rPr/>
        <w:t>años,</w:t>
      </w:r>
      <w:r>
        <w:rPr>
          <w:spacing w:val="-12"/>
        </w:rPr>
        <w:t> </w:t>
      </w:r>
      <w:r>
        <w:rPr/>
        <w:t>la</w:t>
      </w:r>
      <w:r>
        <w:rPr>
          <w:spacing w:val="-9"/>
        </w:rPr>
        <w:t> </w:t>
      </w:r>
      <w:r>
        <w:rPr/>
        <w:t>política</w:t>
      </w:r>
      <w:r>
        <w:rPr>
          <w:spacing w:val="-9"/>
        </w:rPr>
        <w:t> </w:t>
      </w:r>
      <w:r>
        <w:rPr/>
        <w:t>fiscal</w:t>
      </w:r>
      <w:r>
        <w:rPr>
          <w:spacing w:val="-11"/>
        </w:rPr>
        <w:t> </w:t>
      </w:r>
      <w:r>
        <w:rPr/>
        <w:t>de</w:t>
      </w:r>
      <w:r>
        <w:rPr>
          <w:spacing w:val="-9"/>
        </w:rPr>
        <w:t> </w:t>
      </w:r>
      <w:r>
        <w:rPr/>
        <w:t>Guatemala</w:t>
      </w:r>
      <w:r>
        <w:rPr>
          <w:spacing w:val="-11"/>
        </w:rPr>
        <w:t> </w:t>
      </w:r>
      <w:r>
        <w:rPr/>
        <w:t>buscará</w:t>
      </w:r>
      <w:r>
        <w:rPr>
          <w:spacing w:val="-9"/>
        </w:rPr>
        <w:t> </w:t>
      </w:r>
      <w:r>
        <w:rPr/>
        <w:t>establecer</w:t>
      </w:r>
      <w:r>
        <w:rPr>
          <w:spacing w:val="-10"/>
        </w:rPr>
        <w:t> </w:t>
      </w:r>
      <w:r>
        <w:rPr/>
        <w:t>una</w:t>
      </w:r>
      <w:r>
        <w:rPr>
          <w:spacing w:val="-12"/>
        </w:rPr>
        <w:t> </w:t>
      </w:r>
      <w:r>
        <w:rPr/>
        <w:t>estructura</w:t>
      </w:r>
      <w:r>
        <w:rPr>
          <w:spacing w:val="-9"/>
        </w:rPr>
        <w:t> </w:t>
      </w:r>
      <w:r>
        <w:rPr/>
        <w:t>institucional sólida</w:t>
      </w:r>
      <w:r>
        <w:rPr>
          <w:spacing w:val="-11"/>
        </w:rPr>
        <w:t> </w:t>
      </w:r>
      <w:r>
        <w:rPr/>
        <w:t>que</w:t>
      </w:r>
      <w:r>
        <w:rPr>
          <w:spacing w:val="-11"/>
        </w:rPr>
        <w:t> </w:t>
      </w:r>
      <w:r>
        <w:rPr/>
        <w:t>permita</w:t>
      </w:r>
      <w:r>
        <w:rPr>
          <w:spacing w:val="-11"/>
        </w:rPr>
        <w:t> </w:t>
      </w:r>
      <w:r>
        <w:rPr/>
        <w:t>mayor</w:t>
      </w:r>
      <w:r>
        <w:rPr>
          <w:spacing w:val="-11"/>
        </w:rPr>
        <w:t> </w:t>
      </w:r>
      <w:r>
        <w:rPr/>
        <w:t>predictibilidad,</w:t>
      </w:r>
      <w:r>
        <w:rPr>
          <w:spacing w:val="-11"/>
        </w:rPr>
        <w:t> </w:t>
      </w:r>
      <w:r>
        <w:rPr/>
        <w:t>menor</w:t>
      </w:r>
      <w:r>
        <w:rPr>
          <w:spacing w:val="-10"/>
        </w:rPr>
        <w:t> </w:t>
      </w:r>
      <w:r>
        <w:rPr/>
        <w:t>discrecionalidad,</w:t>
      </w:r>
      <w:r>
        <w:rPr>
          <w:spacing w:val="-10"/>
        </w:rPr>
        <w:t> </w:t>
      </w:r>
      <w:r>
        <w:rPr/>
        <w:t>mayor</w:t>
      </w:r>
      <w:r>
        <w:rPr>
          <w:spacing w:val="-11"/>
        </w:rPr>
        <w:t> </w:t>
      </w:r>
      <w:r>
        <w:rPr/>
        <w:t>transparencia,</w:t>
      </w:r>
      <w:r>
        <w:rPr>
          <w:spacing w:val="-13"/>
        </w:rPr>
        <w:t> </w:t>
      </w:r>
      <w:r>
        <w:rPr/>
        <w:t>planificación y coordinación entre las instituciones, con el objeto de convertirse en un instrumento para aumentar el</w:t>
      </w:r>
      <w:r>
        <w:rPr>
          <w:spacing w:val="-5"/>
        </w:rPr>
        <w:t> </w:t>
      </w:r>
      <w:r>
        <w:rPr/>
        <w:t>bienestar</w:t>
      </w:r>
      <w:r>
        <w:rPr>
          <w:spacing w:val="-4"/>
        </w:rPr>
        <w:t> </w:t>
      </w:r>
      <w:r>
        <w:rPr/>
        <w:t>de</w:t>
      </w:r>
      <w:r>
        <w:rPr>
          <w:spacing w:val="-6"/>
        </w:rPr>
        <w:t> </w:t>
      </w:r>
      <w:r>
        <w:rPr/>
        <w:t>la</w:t>
      </w:r>
      <w:r>
        <w:rPr>
          <w:spacing w:val="-5"/>
        </w:rPr>
        <w:t> </w:t>
      </w:r>
      <w:r>
        <w:rPr/>
        <w:t>población</w:t>
      </w:r>
      <w:r>
        <w:rPr>
          <w:spacing w:val="-9"/>
        </w:rPr>
        <w:t> </w:t>
      </w:r>
      <w:r>
        <w:rPr/>
        <w:t>a</w:t>
      </w:r>
      <w:r>
        <w:rPr>
          <w:spacing w:val="-5"/>
        </w:rPr>
        <w:t> </w:t>
      </w:r>
      <w:r>
        <w:rPr/>
        <w:t>través</w:t>
      </w:r>
      <w:r>
        <w:rPr>
          <w:spacing w:val="-5"/>
        </w:rPr>
        <w:t> </w:t>
      </w:r>
      <w:r>
        <w:rPr/>
        <w:t>de</w:t>
      </w:r>
      <w:r>
        <w:rPr>
          <w:spacing w:val="-5"/>
        </w:rPr>
        <w:t> </w:t>
      </w:r>
      <w:r>
        <w:rPr/>
        <w:t>una</w:t>
      </w:r>
      <w:r>
        <w:rPr>
          <w:spacing w:val="-6"/>
        </w:rPr>
        <w:t> </w:t>
      </w:r>
      <w:r>
        <w:rPr/>
        <w:t>mayor</w:t>
      </w:r>
      <w:r>
        <w:rPr>
          <w:spacing w:val="-4"/>
        </w:rPr>
        <w:t> </w:t>
      </w:r>
      <w:r>
        <w:rPr/>
        <w:t>tasa</w:t>
      </w:r>
      <w:r>
        <w:rPr>
          <w:spacing w:val="-5"/>
        </w:rPr>
        <w:t> </w:t>
      </w:r>
      <w:r>
        <w:rPr/>
        <w:t>de</w:t>
      </w:r>
      <w:r>
        <w:rPr>
          <w:spacing w:val="-6"/>
        </w:rPr>
        <w:t> </w:t>
      </w:r>
      <w:r>
        <w:rPr/>
        <w:t>crecimiento</w:t>
      </w:r>
      <w:r>
        <w:rPr>
          <w:spacing w:val="-5"/>
        </w:rPr>
        <w:t> </w:t>
      </w:r>
      <w:r>
        <w:rPr/>
        <w:t>económico.</w:t>
      </w:r>
      <w:r>
        <w:rPr>
          <w:spacing w:val="-4"/>
        </w:rPr>
        <w:t> </w:t>
      </w:r>
      <w:r>
        <w:rPr/>
        <w:t>En</w:t>
      </w:r>
      <w:r>
        <w:rPr>
          <w:spacing w:val="-6"/>
        </w:rPr>
        <w:t> </w:t>
      </w:r>
      <w:r>
        <w:rPr/>
        <w:t>este</w:t>
      </w:r>
      <w:r>
        <w:rPr>
          <w:spacing w:val="-6"/>
        </w:rPr>
        <w:t> </w:t>
      </w:r>
      <w:r>
        <w:rPr/>
        <w:t>sentido,</w:t>
      </w:r>
      <w:r>
        <w:rPr>
          <w:spacing w:val="-5"/>
        </w:rPr>
        <w:t> </w:t>
      </w:r>
      <w:r>
        <w:rPr/>
        <w:t>se continuarán las medidas encaminadas al aumento sostenido de la recaudación tributaria, principalmente en materia de combate a la evasión tributaria y el</w:t>
      </w:r>
      <w:r>
        <w:rPr>
          <w:spacing w:val="-17"/>
        </w:rPr>
        <w:t> </w:t>
      </w:r>
      <w:r>
        <w:rPr/>
        <w:t>contrabando.</w:t>
      </w:r>
    </w:p>
    <w:p>
      <w:pPr>
        <w:pStyle w:val="BodyText"/>
        <w:spacing w:before="4"/>
        <w:rPr>
          <w:sz w:val="25"/>
        </w:rPr>
      </w:pPr>
    </w:p>
    <w:p>
      <w:pPr>
        <w:pStyle w:val="BodyText"/>
        <w:spacing w:line="276" w:lineRule="auto"/>
        <w:ind w:left="562" w:right="1695"/>
        <w:jc w:val="both"/>
      </w:pPr>
      <w:r>
        <w:rPr/>
        <w:t>De la misma forma, se trabajará en mejorar la eficiencia y calidad del gasto público, para lo cual se avanzará en la formulación y ejecución de presupuestos basados en una gestión por resultados, que se enfocará en privilegiar el cumplimiento de los compromisos que como Estado se deben de solventar y aquellos que devienen del Plan Nacional de Desarrollo y la interacción de esta con los Objetivos de Desarrollo Sostenible.</w:t>
      </w:r>
    </w:p>
    <w:p>
      <w:pPr>
        <w:pStyle w:val="BodyText"/>
        <w:spacing w:before="3"/>
        <w:rPr>
          <w:sz w:val="25"/>
        </w:rPr>
      </w:pPr>
    </w:p>
    <w:p>
      <w:pPr>
        <w:pStyle w:val="BodyText"/>
        <w:spacing w:line="276" w:lineRule="auto"/>
        <w:ind w:left="562" w:right="1695"/>
        <w:jc w:val="both"/>
      </w:pPr>
      <w:r>
        <w:rPr/>
        <w:t>En la misma lógica, se propiciará un crecimiento sostenido de la inversión pública, principalmente obras de infraestructura vial y productiva, los que serán financiados con recursos propios y</w:t>
      </w:r>
      <w:r>
        <w:rPr>
          <w:spacing w:val="-35"/>
        </w:rPr>
        <w:t> </w:t>
      </w:r>
      <w:r>
        <w:rPr/>
        <w:t>externos, así</w:t>
      </w:r>
      <w:r>
        <w:rPr>
          <w:spacing w:val="-16"/>
        </w:rPr>
        <w:t> </w:t>
      </w:r>
      <w:r>
        <w:rPr/>
        <w:t>como</w:t>
      </w:r>
      <w:r>
        <w:rPr>
          <w:spacing w:val="-13"/>
        </w:rPr>
        <w:t> </w:t>
      </w:r>
      <w:r>
        <w:rPr/>
        <w:t>a</w:t>
      </w:r>
      <w:r>
        <w:rPr>
          <w:spacing w:val="-13"/>
        </w:rPr>
        <w:t> </w:t>
      </w:r>
      <w:r>
        <w:rPr/>
        <w:t>través</w:t>
      </w:r>
      <w:r>
        <w:rPr>
          <w:spacing w:val="-15"/>
        </w:rPr>
        <w:t> </w:t>
      </w:r>
      <w:r>
        <w:rPr/>
        <w:t>del</w:t>
      </w:r>
      <w:r>
        <w:rPr>
          <w:spacing w:val="-14"/>
        </w:rPr>
        <w:t> </w:t>
      </w:r>
      <w:r>
        <w:rPr/>
        <w:t>desarrollo</w:t>
      </w:r>
      <w:r>
        <w:rPr>
          <w:spacing w:val="-16"/>
        </w:rPr>
        <w:t> </w:t>
      </w:r>
      <w:r>
        <w:rPr/>
        <w:t>de</w:t>
      </w:r>
      <w:r>
        <w:rPr>
          <w:spacing w:val="-15"/>
        </w:rPr>
        <w:t> </w:t>
      </w:r>
      <w:r>
        <w:rPr/>
        <w:t>proyectos</w:t>
      </w:r>
      <w:r>
        <w:rPr>
          <w:spacing w:val="-15"/>
        </w:rPr>
        <w:t> </w:t>
      </w:r>
      <w:r>
        <w:rPr/>
        <w:t>en</w:t>
      </w:r>
      <w:r>
        <w:rPr>
          <w:spacing w:val="-15"/>
        </w:rPr>
        <w:t> </w:t>
      </w:r>
      <w:r>
        <w:rPr/>
        <w:t>el</w:t>
      </w:r>
      <w:r>
        <w:rPr>
          <w:spacing w:val="-14"/>
        </w:rPr>
        <w:t> </w:t>
      </w:r>
      <w:r>
        <w:rPr/>
        <w:t>marco</w:t>
      </w:r>
      <w:r>
        <w:rPr>
          <w:spacing w:val="-13"/>
        </w:rPr>
        <w:t> </w:t>
      </w:r>
      <w:r>
        <w:rPr/>
        <w:t>de</w:t>
      </w:r>
      <w:r>
        <w:rPr>
          <w:spacing w:val="-15"/>
        </w:rPr>
        <w:t> </w:t>
      </w:r>
      <w:r>
        <w:rPr/>
        <w:t>la</w:t>
      </w:r>
      <w:r>
        <w:rPr>
          <w:spacing w:val="-15"/>
        </w:rPr>
        <w:t> </w:t>
      </w:r>
      <w:r>
        <w:rPr/>
        <w:t>ley</w:t>
      </w:r>
      <w:r>
        <w:rPr>
          <w:spacing w:val="-15"/>
        </w:rPr>
        <w:t> </w:t>
      </w:r>
      <w:r>
        <w:rPr/>
        <w:t>de</w:t>
      </w:r>
      <w:r>
        <w:rPr>
          <w:spacing w:val="-15"/>
        </w:rPr>
        <w:t> </w:t>
      </w:r>
      <w:r>
        <w:rPr/>
        <w:t>alianzas</w:t>
      </w:r>
      <w:r>
        <w:rPr>
          <w:spacing w:val="-13"/>
        </w:rPr>
        <w:t> </w:t>
      </w:r>
      <w:r>
        <w:rPr/>
        <w:t>público-privadas</w:t>
      </w:r>
      <w:r>
        <w:rPr>
          <w:spacing w:val="-13"/>
        </w:rPr>
        <w:t> </w:t>
      </w:r>
      <w:r>
        <w:rPr/>
        <w:t>(APP).</w:t>
      </w:r>
    </w:p>
    <w:p>
      <w:pPr>
        <w:pStyle w:val="BodyText"/>
        <w:spacing w:before="4"/>
        <w:rPr>
          <w:sz w:val="25"/>
        </w:rPr>
      </w:pPr>
    </w:p>
    <w:p>
      <w:pPr>
        <w:pStyle w:val="BodyText"/>
        <w:spacing w:line="276" w:lineRule="auto"/>
        <w:ind w:left="562" w:right="1700"/>
        <w:jc w:val="both"/>
      </w:pPr>
      <w:r>
        <w:rPr/>
        <w:t>Todos los esfuerzos en materia de eficiencia en la gestión de ingresos y gastos estarán encaminados a avanzar en garantizar la sostenibilidad de la deuda pública en el mediano y largo plazo, de manera que la gestión de las finanzas públicas coadyuve a la consecución de la estabilidad macroeconómica y el desarrollo económico y social.</w:t>
      </w:r>
    </w:p>
    <w:p>
      <w:pPr>
        <w:pStyle w:val="BodyText"/>
        <w:spacing w:before="3"/>
        <w:rPr>
          <w:sz w:val="25"/>
        </w:rPr>
      </w:pPr>
    </w:p>
    <w:p>
      <w:pPr>
        <w:pStyle w:val="BodyText"/>
        <w:spacing w:line="273" w:lineRule="auto"/>
        <w:ind w:left="562" w:right="1696"/>
        <w:jc w:val="both"/>
      </w:pPr>
      <w:r>
        <w:rPr/>
        <w:t>En este contexto, las principales metas de la política fiscal para el período 2023-2027 son las siguientes:</w:t>
      </w:r>
    </w:p>
    <w:p>
      <w:pPr>
        <w:pStyle w:val="BodyText"/>
        <w:rPr>
          <w:sz w:val="20"/>
        </w:rPr>
      </w:pPr>
    </w:p>
    <w:p>
      <w:pPr>
        <w:pStyle w:val="BodyText"/>
        <w:rPr>
          <w:sz w:val="20"/>
        </w:rPr>
      </w:pPr>
    </w:p>
    <w:p>
      <w:pPr>
        <w:pStyle w:val="BodyText"/>
        <w:spacing w:before="8"/>
        <w:rPr>
          <w:sz w:val="10"/>
        </w:rPr>
      </w:pPr>
      <w:r>
        <w:rPr/>
        <w:pict>
          <v:shape style="position:absolute;margin-left:78.984001pt;margin-top:8.88706pt;width:454.2pt;height:140.1pt;mso-position-horizontal-relative:page;mso-position-vertical-relative:paragraph;z-index:-250183680;mso-wrap-distance-left:0;mso-wrap-distance-right:0" type="#_x0000_t202" filled="false" stroked="true" strokeweight="1.44pt" strokecolor="#4471c4">
            <v:textbox inset="0,0,0,0">
              <w:txbxContent>
                <w:p>
                  <w:pPr>
                    <w:pStyle w:val="BodyText"/>
                    <w:numPr>
                      <w:ilvl w:val="0"/>
                      <w:numId w:val="38"/>
                    </w:numPr>
                    <w:tabs>
                      <w:tab w:pos="467" w:val="left" w:leader="none"/>
                      <w:tab w:pos="468" w:val="left" w:leader="none"/>
                    </w:tabs>
                    <w:spacing w:line="273" w:lineRule="auto" w:before="14" w:after="0"/>
                    <w:ind w:left="467" w:right="106" w:hanging="360"/>
                    <w:jc w:val="left"/>
                  </w:pPr>
                  <w:r>
                    <w:rPr/>
                    <w:t>Alcanzar</w:t>
                  </w:r>
                  <w:r>
                    <w:rPr>
                      <w:spacing w:val="-8"/>
                    </w:rPr>
                    <w:t> </w:t>
                  </w:r>
                  <w:r>
                    <w:rPr/>
                    <w:t>una</w:t>
                  </w:r>
                  <w:r>
                    <w:rPr>
                      <w:spacing w:val="-7"/>
                    </w:rPr>
                    <w:t> </w:t>
                  </w:r>
                  <w:r>
                    <w:rPr/>
                    <w:t>carga</w:t>
                  </w:r>
                  <w:r>
                    <w:rPr>
                      <w:spacing w:val="-8"/>
                    </w:rPr>
                    <w:t> </w:t>
                  </w:r>
                  <w:r>
                    <w:rPr/>
                    <w:t>tributaria</w:t>
                  </w:r>
                  <w:r>
                    <w:rPr>
                      <w:spacing w:val="-9"/>
                    </w:rPr>
                    <w:t> </w:t>
                  </w:r>
                  <w:r>
                    <w:rPr/>
                    <w:t>de</w:t>
                  </w:r>
                  <w:r>
                    <w:rPr>
                      <w:spacing w:val="-8"/>
                    </w:rPr>
                    <w:t> </w:t>
                  </w:r>
                  <w:r>
                    <w:rPr/>
                    <w:t>al</w:t>
                  </w:r>
                  <w:r>
                    <w:rPr>
                      <w:spacing w:val="-6"/>
                    </w:rPr>
                    <w:t> </w:t>
                  </w:r>
                  <w:r>
                    <w:rPr/>
                    <w:t>menos</w:t>
                  </w:r>
                  <w:r>
                    <w:rPr>
                      <w:spacing w:val="-8"/>
                    </w:rPr>
                    <w:t> </w:t>
                  </w:r>
                  <w:r>
                    <w:rPr/>
                    <w:t>11.6%</w:t>
                  </w:r>
                  <w:r>
                    <w:rPr>
                      <w:spacing w:val="-9"/>
                    </w:rPr>
                    <w:t> </w:t>
                  </w:r>
                  <w:r>
                    <w:rPr/>
                    <w:t>para</w:t>
                  </w:r>
                  <w:r>
                    <w:rPr>
                      <w:spacing w:val="-8"/>
                    </w:rPr>
                    <w:t> </w:t>
                  </w:r>
                  <w:r>
                    <w:rPr/>
                    <w:t>2027,</w:t>
                  </w:r>
                  <w:r>
                    <w:rPr>
                      <w:spacing w:val="-8"/>
                    </w:rPr>
                    <w:t> </w:t>
                  </w:r>
                  <w:r>
                    <w:rPr/>
                    <w:t>sin</w:t>
                  </w:r>
                  <w:r>
                    <w:rPr>
                      <w:spacing w:val="-9"/>
                    </w:rPr>
                    <w:t> </w:t>
                  </w:r>
                  <w:r>
                    <w:rPr/>
                    <w:t>incluir</w:t>
                  </w:r>
                  <w:r>
                    <w:rPr>
                      <w:spacing w:val="-9"/>
                    </w:rPr>
                    <w:t> </w:t>
                  </w:r>
                  <w:r>
                    <w:rPr/>
                    <w:t>una</w:t>
                  </w:r>
                  <w:r>
                    <w:rPr>
                      <w:spacing w:val="-8"/>
                    </w:rPr>
                    <w:t> </w:t>
                  </w:r>
                  <w:r>
                    <w:rPr/>
                    <w:t>reforma</w:t>
                  </w:r>
                  <w:r>
                    <w:rPr>
                      <w:spacing w:val="-8"/>
                    </w:rPr>
                    <w:t> </w:t>
                  </w:r>
                  <w:r>
                    <w:rPr/>
                    <w:t>tributaria</w:t>
                  </w:r>
                  <w:r>
                    <w:rPr>
                      <w:spacing w:val="-8"/>
                    </w:rPr>
                    <w:t> </w:t>
                  </w:r>
                  <w:r>
                    <w:rPr/>
                    <w:t>que podría elevar aún más este indicador</w:t>
                  </w:r>
                </w:p>
                <w:p>
                  <w:pPr>
                    <w:pStyle w:val="BodyText"/>
                    <w:numPr>
                      <w:ilvl w:val="0"/>
                      <w:numId w:val="38"/>
                    </w:numPr>
                    <w:tabs>
                      <w:tab w:pos="467" w:val="left" w:leader="none"/>
                      <w:tab w:pos="468" w:val="left" w:leader="none"/>
                    </w:tabs>
                    <w:spacing w:line="273" w:lineRule="auto" w:before="2" w:after="0"/>
                    <w:ind w:left="467" w:right="106" w:hanging="360"/>
                    <w:jc w:val="left"/>
                  </w:pPr>
                  <w:r>
                    <w:rPr/>
                    <w:t>Promover que el gasto total se sitúe en promedio en no menos del 13.4% del PIB en el período indicado.</w:t>
                  </w:r>
                </w:p>
                <w:p>
                  <w:pPr>
                    <w:pStyle w:val="BodyText"/>
                    <w:numPr>
                      <w:ilvl w:val="0"/>
                      <w:numId w:val="38"/>
                    </w:numPr>
                    <w:tabs>
                      <w:tab w:pos="467" w:val="left" w:leader="none"/>
                      <w:tab w:pos="468" w:val="left" w:leader="none"/>
                    </w:tabs>
                    <w:spacing w:line="240" w:lineRule="auto" w:before="2" w:after="0"/>
                    <w:ind w:left="467" w:right="0" w:hanging="361"/>
                    <w:jc w:val="left"/>
                  </w:pPr>
                  <w:r>
                    <w:rPr/>
                    <w:t>Asegurar que el gasto social (educación, salud y vivienda) sea igual o mayor al 5% del</w:t>
                  </w:r>
                  <w:r>
                    <w:rPr>
                      <w:spacing w:val="-23"/>
                    </w:rPr>
                    <w:t> </w:t>
                  </w:r>
                  <w:r>
                    <w:rPr/>
                    <w:t>PIB.</w:t>
                  </w:r>
                </w:p>
                <w:p>
                  <w:pPr>
                    <w:pStyle w:val="BodyText"/>
                    <w:numPr>
                      <w:ilvl w:val="0"/>
                      <w:numId w:val="38"/>
                    </w:numPr>
                    <w:tabs>
                      <w:tab w:pos="467" w:val="left" w:leader="none"/>
                      <w:tab w:pos="468" w:val="left" w:leader="none"/>
                    </w:tabs>
                    <w:spacing w:line="240" w:lineRule="auto" w:before="37" w:after="0"/>
                    <w:ind w:left="467" w:right="0" w:hanging="361"/>
                    <w:jc w:val="left"/>
                  </w:pPr>
                  <w:r>
                    <w:rPr/>
                    <w:t>Alcanzar un nivel de gasto de capital promedio no menor al 2.6% del</w:t>
                  </w:r>
                  <w:r>
                    <w:rPr>
                      <w:spacing w:val="-7"/>
                    </w:rPr>
                    <w:t> </w:t>
                  </w:r>
                  <w:r>
                    <w:rPr/>
                    <w:t>PIB.</w:t>
                  </w:r>
                </w:p>
                <w:p>
                  <w:pPr>
                    <w:pStyle w:val="BodyText"/>
                    <w:numPr>
                      <w:ilvl w:val="0"/>
                      <w:numId w:val="38"/>
                    </w:numPr>
                    <w:tabs>
                      <w:tab w:pos="467" w:val="left" w:leader="none"/>
                      <w:tab w:pos="468" w:val="left" w:leader="none"/>
                    </w:tabs>
                    <w:spacing w:line="240" w:lineRule="auto" w:before="38" w:after="0"/>
                    <w:ind w:left="467" w:right="0" w:hanging="361"/>
                    <w:jc w:val="left"/>
                  </w:pPr>
                  <w:r>
                    <w:rPr/>
                    <w:t>Lograr que el déficit fiscal en promedio se ubique en 1.3% del</w:t>
                  </w:r>
                  <w:r>
                    <w:rPr>
                      <w:spacing w:val="-6"/>
                    </w:rPr>
                    <w:t> </w:t>
                  </w:r>
                  <w:r>
                    <w:rPr/>
                    <w:t>PIB.</w:t>
                  </w:r>
                </w:p>
                <w:p>
                  <w:pPr>
                    <w:pStyle w:val="BodyText"/>
                    <w:numPr>
                      <w:ilvl w:val="0"/>
                      <w:numId w:val="38"/>
                    </w:numPr>
                    <w:tabs>
                      <w:tab w:pos="467" w:val="left" w:leader="none"/>
                      <w:tab w:pos="468" w:val="left" w:leader="none"/>
                    </w:tabs>
                    <w:spacing w:line="240" w:lineRule="auto" w:before="35" w:after="0"/>
                    <w:ind w:left="467" w:right="0" w:hanging="361"/>
                    <w:jc w:val="left"/>
                  </w:pPr>
                  <w:r>
                    <w:rPr/>
                    <w:t>Lograr un nivel de deuda pública menor al 40% del PIB, considerando choques</w:t>
                  </w:r>
                  <w:r>
                    <w:rPr>
                      <w:spacing w:val="-7"/>
                    </w:rPr>
                    <w:t> </w:t>
                  </w:r>
                  <w:r>
                    <w:rPr/>
                    <w:t>exógenos.</w:t>
                  </w:r>
                </w:p>
                <w:p>
                  <w:pPr>
                    <w:pStyle w:val="BodyText"/>
                    <w:numPr>
                      <w:ilvl w:val="0"/>
                      <w:numId w:val="38"/>
                    </w:numPr>
                    <w:tabs>
                      <w:tab w:pos="467" w:val="left" w:leader="none"/>
                      <w:tab w:pos="468" w:val="left" w:leader="none"/>
                    </w:tabs>
                    <w:spacing w:line="240" w:lineRule="auto" w:before="41" w:after="0"/>
                    <w:ind w:left="467" w:right="0" w:hanging="361"/>
                    <w:jc w:val="left"/>
                  </w:pPr>
                  <w:r>
                    <w:rPr/>
                    <w:t>Honrar con prioridad los compromisos de pago asociados a la deuda</w:t>
                  </w:r>
                  <w:r>
                    <w:rPr>
                      <w:spacing w:val="-8"/>
                    </w:rPr>
                    <w:t> </w:t>
                  </w:r>
                  <w:r>
                    <w:rPr/>
                    <w:t>pública.</w:t>
                  </w:r>
                </w:p>
              </w:txbxContent>
            </v:textbox>
            <v:stroke dashstyle="solid"/>
            <w10:wrap type="topAndBottom"/>
          </v:shape>
        </w:pict>
      </w:r>
    </w:p>
    <w:p>
      <w:pPr>
        <w:pStyle w:val="BodyText"/>
        <w:spacing w:before="9"/>
        <w:rPr>
          <w:sz w:val="14"/>
        </w:rPr>
      </w:pPr>
    </w:p>
    <w:p>
      <w:pPr>
        <w:pStyle w:val="Heading2"/>
        <w:numPr>
          <w:ilvl w:val="0"/>
          <w:numId w:val="39"/>
        </w:numPr>
        <w:tabs>
          <w:tab w:pos="922" w:val="left" w:leader="none"/>
        </w:tabs>
        <w:spacing w:line="240" w:lineRule="auto" w:before="90" w:after="0"/>
        <w:ind w:left="922" w:right="0" w:hanging="360"/>
        <w:jc w:val="left"/>
      </w:pPr>
      <w:bookmarkStart w:name="_bookmark204" w:id="262"/>
      <w:bookmarkEnd w:id="262"/>
      <w:r>
        <w:rPr>
          <w:b w:val="0"/>
        </w:rPr>
      </w:r>
      <w:bookmarkStart w:name="_bookmark204" w:id="263"/>
      <w:bookmarkEnd w:id="263"/>
      <w:r>
        <w:rPr/>
        <w:t>P</w:t>
      </w:r>
      <w:r>
        <w:rPr/>
        <w:t>royecciones fiscales de mediano</w:t>
      </w:r>
      <w:r>
        <w:rPr>
          <w:spacing w:val="-4"/>
        </w:rPr>
        <w:t> </w:t>
      </w:r>
      <w:r>
        <w:rPr/>
        <w:t>plazo</w:t>
      </w:r>
    </w:p>
    <w:p>
      <w:pPr>
        <w:pStyle w:val="BodyText"/>
        <w:spacing w:before="6"/>
        <w:rPr>
          <w:b/>
          <w:sz w:val="28"/>
        </w:rPr>
      </w:pPr>
    </w:p>
    <w:p>
      <w:pPr>
        <w:pStyle w:val="BodyText"/>
        <w:spacing w:line="276" w:lineRule="auto"/>
        <w:ind w:left="562" w:right="1696"/>
        <w:jc w:val="both"/>
      </w:pPr>
      <w:r>
        <w:rPr/>
        <w:t>El</w:t>
      </w:r>
      <w:r>
        <w:rPr>
          <w:spacing w:val="-10"/>
        </w:rPr>
        <w:t> </w:t>
      </w:r>
      <w:r>
        <w:rPr/>
        <w:t>escenario</w:t>
      </w:r>
      <w:r>
        <w:rPr>
          <w:spacing w:val="-9"/>
        </w:rPr>
        <w:t> </w:t>
      </w:r>
      <w:r>
        <w:rPr/>
        <w:t>fiscal</w:t>
      </w:r>
      <w:r>
        <w:rPr>
          <w:spacing w:val="-11"/>
        </w:rPr>
        <w:t> </w:t>
      </w:r>
      <w:r>
        <w:rPr/>
        <w:t>de</w:t>
      </w:r>
      <w:r>
        <w:rPr>
          <w:spacing w:val="-9"/>
        </w:rPr>
        <w:t> </w:t>
      </w:r>
      <w:r>
        <w:rPr/>
        <w:t>mediano</w:t>
      </w:r>
      <w:r>
        <w:rPr>
          <w:spacing w:val="-10"/>
        </w:rPr>
        <w:t> </w:t>
      </w:r>
      <w:r>
        <w:rPr/>
        <w:t>plazo</w:t>
      </w:r>
      <w:r>
        <w:rPr>
          <w:spacing w:val="-10"/>
        </w:rPr>
        <w:t> </w:t>
      </w:r>
      <w:r>
        <w:rPr/>
        <w:t>descansa</w:t>
      </w:r>
      <w:r>
        <w:rPr>
          <w:spacing w:val="-12"/>
        </w:rPr>
        <w:t> </w:t>
      </w:r>
      <w:r>
        <w:rPr/>
        <w:t>en</w:t>
      </w:r>
      <w:r>
        <w:rPr>
          <w:spacing w:val="-11"/>
        </w:rPr>
        <w:t> </w:t>
      </w:r>
      <w:r>
        <w:rPr/>
        <w:t>las</w:t>
      </w:r>
      <w:r>
        <w:rPr>
          <w:spacing w:val="-11"/>
        </w:rPr>
        <w:t> </w:t>
      </w:r>
      <w:r>
        <w:rPr/>
        <w:t>perspectivas</w:t>
      </w:r>
      <w:r>
        <w:rPr>
          <w:spacing w:val="-9"/>
        </w:rPr>
        <w:t> </w:t>
      </w:r>
      <w:r>
        <w:rPr/>
        <w:t>de</w:t>
      </w:r>
      <w:r>
        <w:rPr>
          <w:spacing w:val="-9"/>
        </w:rPr>
        <w:t> </w:t>
      </w:r>
      <w:r>
        <w:rPr/>
        <w:t>la</w:t>
      </w:r>
      <w:r>
        <w:rPr>
          <w:spacing w:val="-9"/>
        </w:rPr>
        <w:t> </w:t>
      </w:r>
      <w:r>
        <w:rPr/>
        <w:t>actividad</w:t>
      </w:r>
      <w:r>
        <w:rPr>
          <w:spacing w:val="-9"/>
        </w:rPr>
        <w:t> </w:t>
      </w:r>
      <w:r>
        <w:rPr/>
        <w:t>económica</w:t>
      </w:r>
      <w:r>
        <w:rPr>
          <w:spacing w:val="-9"/>
        </w:rPr>
        <w:t> </w:t>
      </w:r>
      <w:r>
        <w:rPr/>
        <w:t>previstas en el marco macroeconómico de mediano plazo y que es congruente con un escenario conservador de</w:t>
      </w:r>
      <w:r>
        <w:rPr>
          <w:spacing w:val="9"/>
        </w:rPr>
        <w:t> </w:t>
      </w:r>
      <w:r>
        <w:rPr/>
        <w:t>las</w:t>
      </w:r>
      <w:r>
        <w:rPr>
          <w:spacing w:val="10"/>
        </w:rPr>
        <w:t> </w:t>
      </w:r>
      <w:r>
        <w:rPr/>
        <w:t>principales</w:t>
      </w:r>
      <w:r>
        <w:rPr>
          <w:spacing w:val="9"/>
        </w:rPr>
        <w:t> </w:t>
      </w:r>
      <w:r>
        <w:rPr/>
        <w:t>variables,</w:t>
      </w:r>
      <w:r>
        <w:rPr>
          <w:spacing w:val="9"/>
        </w:rPr>
        <w:t> </w:t>
      </w:r>
      <w:r>
        <w:rPr/>
        <w:t>sustentadas</w:t>
      </w:r>
      <w:r>
        <w:rPr>
          <w:spacing w:val="9"/>
        </w:rPr>
        <w:t> </w:t>
      </w:r>
      <w:r>
        <w:rPr/>
        <w:t>en</w:t>
      </w:r>
      <w:r>
        <w:rPr>
          <w:spacing w:val="7"/>
        </w:rPr>
        <w:t> </w:t>
      </w:r>
      <w:r>
        <w:rPr/>
        <w:t>las</w:t>
      </w:r>
      <w:r>
        <w:rPr>
          <w:spacing w:val="9"/>
        </w:rPr>
        <w:t> </w:t>
      </w:r>
      <w:r>
        <w:rPr/>
        <w:t>estimaciones</w:t>
      </w:r>
      <w:r>
        <w:rPr>
          <w:spacing w:val="8"/>
        </w:rPr>
        <w:t> </w:t>
      </w:r>
      <w:r>
        <w:rPr/>
        <w:t>elaboradas</w:t>
      </w:r>
      <w:r>
        <w:rPr>
          <w:spacing w:val="10"/>
        </w:rPr>
        <w:t> </w:t>
      </w:r>
      <w:r>
        <w:rPr/>
        <w:t>por</w:t>
      </w:r>
      <w:r>
        <w:rPr>
          <w:spacing w:val="9"/>
        </w:rPr>
        <w:t> </w:t>
      </w:r>
      <w:r>
        <w:rPr/>
        <w:t>el</w:t>
      </w:r>
      <w:r>
        <w:rPr>
          <w:spacing w:val="10"/>
        </w:rPr>
        <w:t> </w:t>
      </w:r>
      <w:r>
        <w:rPr/>
        <w:t>Banco</w:t>
      </w:r>
      <w:r>
        <w:rPr>
          <w:spacing w:val="9"/>
        </w:rPr>
        <w:t> </w:t>
      </w:r>
      <w:r>
        <w:rPr>
          <w:spacing w:val="3"/>
        </w:rPr>
        <w:t>de</w:t>
      </w:r>
      <w:r>
        <w:rPr>
          <w:spacing w:val="7"/>
        </w:rPr>
        <w:t> </w:t>
      </w:r>
      <w:r>
        <w:rPr/>
        <w:t>Guatemala</w:t>
      </w:r>
    </w:p>
    <w:p>
      <w:pPr>
        <w:spacing w:after="0" w:line="276" w:lineRule="auto"/>
        <w:jc w:val="both"/>
        <w:sectPr>
          <w:pgSz w:w="12240" w:h="15840"/>
          <w:pgMar w:header="715" w:footer="688" w:top="1240" w:bottom="880" w:left="1140" w:right="0"/>
        </w:sectPr>
      </w:pPr>
    </w:p>
    <w:p>
      <w:pPr>
        <w:pStyle w:val="BodyText"/>
        <w:spacing w:line="276" w:lineRule="auto" w:before="162"/>
        <w:ind w:left="562" w:right="1697"/>
        <w:jc w:val="both"/>
      </w:pPr>
      <w:r>
        <w:rPr/>
        <w:t>en el escenario bajo para el año 2022 y para el período 2023-2027. Asimismo, es consistente con las perspectivas de desembolsos de préstamos externos que el gobierno puede obtener con las operaciones que actualmente están en ejecución y los que han sido aprobados, así como por las obligaciones que el Estado debe atender de manera recurrente y por la inversión adicional que se pueda realizar tomando como referencia la disponibilidad de recursos y la priorización del Plan Nacional de Desarrollo enlazado con los objetivos de desarrollo sostenible.</w:t>
      </w:r>
    </w:p>
    <w:p>
      <w:pPr>
        <w:pStyle w:val="BodyText"/>
        <w:spacing w:before="8"/>
        <w:rPr>
          <w:sz w:val="25"/>
        </w:rPr>
      </w:pPr>
    </w:p>
    <w:p>
      <w:pPr>
        <w:pStyle w:val="Heading2"/>
        <w:numPr>
          <w:ilvl w:val="1"/>
          <w:numId w:val="39"/>
        </w:numPr>
        <w:tabs>
          <w:tab w:pos="1354" w:val="left" w:leader="none"/>
        </w:tabs>
        <w:spacing w:line="240" w:lineRule="auto" w:before="0" w:after="0"/>
        <w:ind w:left="1354" w:right="0" w:hanging="433"/>
        <w:jc w:val="left"/>
      </w:pPr>
      <w:bookmarkStart w:name="_bookmark205" w:id="264"/>
      <w:bookmarkEnd w:id="264"/>
      <w:r>
        <w:rPr>
          <w:b w:val="0"/>
        </w:rPr>
      </w:r>
      <w:bookmarkStart w:name="_bookmark205" w:id="265"/>
      <w:bookmarkEnd w:id="265"/>
      <w:r>
        <w:rPr/>
        <w:t>P</w:t>
      </w:r>
      <w:r>
        <w:rPr/>
        <w:t>royección de ingresos</w:t>
      </w:r>
      <w:r>
        <w:rPr>
          <w:spacing w:val="-1"/>
        </w:rPr>
        <w:t> </w:t>
      </w:r>
      <w:r>
        <w:rPr/>
        <w:t>fiscales</w:t>
      </w:r>
    </w:p>
    <w:p>
      <w:pPr>
        <w:pStyle w:val="BodyText"/>
        <w:spacing w:before="6"/>
        <w:rPr>
          <w:b/>
          <w:sz w:val="28"/>
        </w:rPr>
      </w:pPr>
    </w:p>
    <w:p>
      <w:pPr>
        <w:pStyle w:val="BodyText"/>
        <w:spacing w:line="276" w:lineRule="auto"/>
        <w:ind w:left="562" w:right="1699"/>
        <w:jc w:val="both"/>
      </w:pPr>
      <w:r>
        <w:rPr/>
        <w:t>El</w:t>
      </w:r>
      <w:r>
        <w:rPr>
          <w:spacing w:val="-10"/>
        </w:rPr>
        <w:t> </w:t>
      </w:r>
      <w:r>
        <w:rPr/>
        <w:t>escenario</w:t>
      </w:r>
      <w:r>
        <w:rPr>
          <w:spacing w:val="-9"/>
        </w:rPr>
        <w:t> </w:t>
      </w:r>
      <w:r>
        <w:rPr/>
        <w:t>fiscal</w:t>
      </w:r>
      <w:r>
        <w:rPr>
          <w:spacing w:val="-11"/>
        </w:rPr>
        <w:t> </w:t>
      </w:r>
      <w:r>
        <w:rPr/>
        <w:t>de</w:t>
      </w:r>
      <w:r>
        <w:rPr>
          <w:spacing w:val="-9"/>
        </w:rPr>
        <w:t> </w:t>
      </w:r>
      <w:r>
        <w:rPr/>
        <w:t>mediano</w:t>
      </w:r>
      <w:r>
        <w:rPr>
          <w:spacing w:val="-10"/>
        </w:rPr>
        <w:t> </w:t>
      </w:r>
      <w:r>
        <w:rPr/>
        <w:t>plazo</w:t>
      </w:r>
      <w:r>
        <w:rPr>
          <w:spacing w:val="-10"/>
        </w:rPr>
        <w:t> </w:t>
      </w:r>
      <w:r>
        <w:rPr/>
        <w:t>descansa</w:t>
      </w:r>
      <w:r>
        <w:rPr>
          <w:spacing w:val="-12"/>
        </w:rPr>
        <w:t> </w:t>
      </w:r>
      <w:r>
        <w:rPr/>
        <w:t>en</w:t>
      </w:r>
      <w:r>
        <w:rPr>
          <w:spacing w:val="-11"/>
        </w:rPr>
        <w:t> </w:t>
      </w:r>
      <w:r>
        <w:rPr/>
        <w:t>las</w:t>
      </w:r>
      <w:r>
        <w:rPr>
          <w:spacing w:val="-11"/>
        </w:rPr>
        <w:t> </w:t>
      </w:r>
      <w:r>
        <w:rPr/>
        <w:t>perspectivas</w:t>
      </w:r>
      <w:r>
        <w:rPr>
          <w:spacing w:val="-9"/>
        </w:rPr>
        <w:t> </w:t>
      </w:r>
      <w:r>
        <w:rPr/>
        <w:t>de</w:t>
      </w:r>
      <w:r>
        <w:rPr>
          <w:spacing w:val="-9"/>
        </w:rPr>
        <w:t> </w:t>
      </w:r>
      <w:r>
        <w:rPr/>
        <w:t>la</w:t>
      </w:r>
      <w:r>
        <w:rPr>
          <w:spacing w:val="-9"/>
        </w:rPr>
        <w:t> </w:t>
      </w:r>
      <w:r>
        <w:rPr/>
        <w:t>actividad</w:t>
      </w:r>
      <w:r>
        <w:rPr>
          <w:spacing w:val="-9"/>
        </w:rPr>
        <w:t> </w:t>
      </w:r>
      <w:r>
        <w:rPr/>
        <w:t>económica</w:t>
      </w:r>
      <w:r>
        <w:rPr>
          <w:spacing w:val="-9"/>
        </w:rPr>
        <w:t> </w:t>
      </w:r>
      <w:r>
        <w:rPr/>
        <w:t>previstas en el marco macroeconómico de mediano plazo y que es congruente con un escenario conservador de las principales variables, sustentadas en las estimaciones elaboradas por el Banco de Guatemala utilizando el escenario bajo para la estimación de cierre 2022 al</w:t>
      </w:r>
      <w:r>
        <w:rPr>
          <w:spacing w:val="-15"/>
        </w:rPr>
        <w:t> </w:t>
      </w:r>
      <w:r>
        <w:rPr/>
        <w:t>2027.</w:t>
      </w:r>
    </w:p>
    <w:p>
      <w:pPr>
        <w:pStyle w:val="BodyText"/>
        <w:spacing w:before="4"/>
        <w:rPr>
          <w:sz w:val="25"/>
        </w:rPr>
      </w:pPr>
    </w:p>
    <w:p>
      <w:pPr>
        <w:pStyle w:val="BodyText"/>
        <w:spacing w:line="276" w:lineRule="auto"/>
        <w:ind w:left="562" w:right="1696"/>
        <w:jc w:val="both"/>
      </w:pPr>
      <w:r>
        <w:rPr/>
        <w:t>Las estimaciones de ingresos fiscales se realizan sobre la base de información proporcionada por la Superintendencia</w:t>
      </w:r>
      <w:r>
        <w:rPr>
          <w:spacing w:val="-9"/>
        </w:rPr>
        <w:t> </w:t>
      </w:r>
      <w:r>
        <w:rPr/>
        <w:t>de</w:t>
      </w:r>
      <w:r>
        <w:rPr>
          <w:spacing w:val="-8"/>
        </w:rPr>
        <w:t> </w:t>
      </w:r>
      <w:r>
        <w:rPr/>
        <w:t>Administración</w:t>
      </w:r>
      <w:r>
        <w:rPr>
          <w:spacing w:val="-12"/>
        </w:rPr>
        <w:t> </w:t>
      </w:r>
      <w:r>
        <w:rPr/>
        <w:t>Tributaria</w:t>
      </w:r>
      <w:r>
        <w:rPr>
          <w:spacing w:val="-8"/>
        </w:rPr>
        <w:t> </w:t>
      </w:r>
      <w:r>
        <w:rPr/>
        <w:t>en</w:t>
      </w:r>
      <w:r>
        <w:rPr>
          <w:spacing w:val="-8"/>
        </w:rPr>
        <w:t> </w:t>
      </w:r>
      <w:r>
        <w:rPr/>
        <w:t>el</w:t>
      </w:r>
      <w:r>
        <w:rPr>
          <w:spacing w:val="-9"/>
        </w:rPr>
        <w:t> </w:t>
      </w:r>
      <w:r>
        <w:rPr/>
        <w:t>caso</w:t>
      </w:r>
      <w:r>
        <w:rPr>
          <w:spacing w:val="-8"/>
        </w:rPr>
        <w:t> </w:t>
      </w:r>
      <w:r>
        <w:rPr/>
        <w:t>de</w:t>
      </w:r>
      <w:r>
        <w:rPr>
          <w:spacing w:val="-8"/>
        </w:rPr>
        <w:t> </w:t>
      </w:r>
      <w:r>
        <w:rPr/>
        <w:t>la</w:t>
      </w:r>
      <w:r>
        <w:rPr>
          <w:spacing w:val="-11"/>
        </w:rPr>
        <w:t> </w:t>
      </w:r>
      <w:r>
        <w:rPr/>
        <w:t>recaudación</w:t>
      </w:r>
      <w:r>
        <w:rPr>
          <w:spacing w:val="-9"/>
        </w:rPr>
        <w:t> </w:t>
      </w:r>
      <w:r>
        <w:rPr/>
        <w:t>de</w:t>
      </w:r>
      <w:r>
        <w:rPr>
          <w:spacing w:val="-8"/>
        </w:rPr>
        <w:t> </w:t>
      </w:r>
      <w:r>
        <w:rPr/>
        <w:t>impuestos</w:t>
      </w:r>
      <w:r>
        <w:rPr>
          <w:spacing w:val="-9"/>
        </w:rPr>
        <w:t> </w:t>
      </w:r>
      <w:r>
        <w:rPr/>
        <w:t>y</w:t>
      </w:r>
      <w:r>
        <w:rPr>
          <w:spacing w:val="-11"/>
        </w:rPr>
        <w:t> </w:t>
      </w:r>
      <w:r>
        <w:rPr/>
        <w:t>lo</w:t>
      </w:r>
      <w:r>
        <w:rPr>
          <w:spacing w:val="-9"/>
        </w:rPr>
        <w:t> </w:t>
      </w:r>
      <w:r>
        <w:rPr/>
        <w:t>que</w:t>
      </w:r>
      <w:r>
        <w:rPr>
          <w:spacing w:val="-9"/>
        </w:rPr>
        <w:t> </w:t>
      </w:r>
      <w:r>
        <w:rPr/>
        <w:t>las entidades estiman percibir por concepto de operaciones no tributarias como la venta de bienes y servicios, el cobro de tasas, derechos, arrendamientos, intereses por algunas operaciones,</w:t>
      </w:r>
      <w:r>
        <w:rPr>
          <w:spacing w:val="-36"/>
        </w:rPr>
        <w:t> </w:t>
      </w:r>
      <w:r>
        <w:rPr/>
        <w:t>dividendos que generan algunas empresas públicas o por participaciones de capital del Estado, así como por las donaciones que se esperan recibir de organismos internacionales, y las contribuciones a la seguridad social que pagan los trabajadores del Estado al Régimen de Clases</w:t>
      </w:r>
      <w:r>
        <w:rPr>
          <w:spacing w:val="-9"/>
        </w:rPr>
        <w:t> </w:t>
      </w:r>
      <w:r>
        <w:rPr/>
        <w:t>Pasivas.</w:t>
      </w:r>
    </w:p>
    <w:p>
      <w:pPr>
        <w:pStyle w:val="BodyText"/>
        <w:spacing w:before="4"/>
        <w:rPr>
          <w:sz w:val="25"/>
        </w:rPr>
      </w:pPr>
    </w:p>
    <w:p>
      <w:pPr>
        <w:pStyle w:val="BodyText"/>
        <w:spacing w:line="276" w:lineRule="auto"/>
        <w:ind w:left="562" w:right="1700"/>
        <w:jc w:val="both"/>
      </w:pPr>
      <w:r>
        <w:rPr/>
        <w:t>Es importante considerar que, generalmente cerca del 95.1% de los ingresos totales provienen de la recaudación</w:t>
      </w:r>
      <w:r>
        <w:rPr>
          <w:spacing w:val="-5"/>
        </w:rPr>
        <w:t> </w:t>
      </w:r>
      <w:r>
        <w:rPr/>
        <w:t>tributaria</w:t>
      </w:r>
      <w:r>
        <w:rPr>
          <w:spacing w:val="-1"/>
        </w:rPr>
        <w:t> </w:t>
      </w:r>
      <w:r>
        <w:rPr/>
        <w:t>y</w:t>
      </w:r>
      <w:r>
        <w:rPr>
          <w:spacing w:val="-4"/>
        </w:rPr>
        <w:t> </w:t>
      </w:r>
      <w:r>
        <w:rPr/>
        <w:t>dentro</w:t>
      </w:r>
      <w:r>
        <w:rPr>
          <w:spacing w:val="-4"/>
        </w:rPr>
        <w:t> </w:t>
      </w:r>
      <w:r>
        <w:rPr/>
        <w:t>de</w:t>
      </w:r>
      <w:r>
        <w:rPr>
          <w:spacing w:val="-3"/>
        </w:rPr>
        <w:t> </w:t>
      </w:r>
      <w:r>
        <w:rPr/>
        <w:t>los</w:t>
      </w:r>
      <w:r>
        <w:rPr>
          <w:spacing w:val="-4"/>
        </w:rPr>
        <w:t> </w:t>
      </w:r>
      <w:r>
        <w:rPr/>
        <w:t>ingresos</w:t>
      </w:r>
      <w:r>
        <w:rPr>
          <w:spacing w:val="-3"/>
        </w:rPr>
        <w:t> </w:t>
      </w:r>
      <w:r>
        <w:rPr/>
        <w:t>fiscales</w:t>
      </w:r>
      <w:r>
        <w:rPr>
          <w:spacing w:val="-4"/>
        </w:rPr>
        <w:t> </w:t>
      </w:r>
      <w:r>
        <w:rPr/>
        <w:t>no</w:t>
      </w:r>
      <w:r>
        <w:rPr>
          <w:spacing w:val="-1"/>
        </w:rPr>
        <w:t> </w:t>
      </w:r>
      <w:r>
        <w:rPr/>
        <w:t>se</w:t>
      </w:r>
      <w:r>
        <w:rPr>
          <w:spacing w:val="-2"/>
        </w:rPr>
        <w:t> </w:t>
      </w:r>
      <w:r>
        <w:rPr/>
        <w:t>incluye</w:t>
      </w:r>
      <w:r>
        <w:rPr>
          <w:spacing w:val="-1"/>
        </w:rPr>
        <w:t> </w:t>
      </w:r>
      <w:r>
        <w:rPr/>
        <w:t>los</w:t>
      </w:r>
      <w:r>
        <w:rPr>
          <w:spacing w:val="-3"/>
        </w:rPr>
        <w:t> </w:t>
      </w:r>
      <w:r>
        <w:rPr/>
        <w:t>recursos</w:t>
      </w:r>
      <w:r>
        <w:rPr>
          <w:spacing w:val="-6"/>
        </w:rPr>
        <w:t> </w:t>
      </w:r>
      <w:r>
        <w:rPr/>
        <w:t>por</w:t>
      </w:r>
      <w:r>
        <w:rPr>
          <w:spacing w:val="-1"/>
        </w:rPr>
        <w:t> </w:t>
      </w:r>
      <w:r>
        <w:rPr/>
        <w:t>endeudamiento público, así como el uso de depósitos del gobierno en el Banco de</w:t>
      </w:r>
      <w:r>
        <w:rPr>
          <w:spacing w:val="-9"/>
        </w:rPr>
        <w:t> </w:t>
      </w:r>
      <w:r>
        <w:rPr/>
        <w:t>Guatemala.</w:t>
      </w:r>
    </w:p>
    <w:p>
      <w:pPr>
        <w:pStyle w:val="BodyText"/>
        <w:spacing w:before="4"/>
        <w:rPr>
          <w:sz w:val="25"/>
        </w:rPr>
      </w:pPr>
    </w:p>
    <w:p>
      <w:pPr>
        <w:pStyle w:val="BodyText"/>
        <w:spacing w:line="276" w:lineRule="auto"/>
        <w:ind w:left="562" w:right="1699"/>
        <w:jc w:val="both"/>
      </w:pPr>
      <w:r>
        <w:rPr/>
        <w:t>Para el desarrollo del presupuesto multianual 2023-2027, se prevé que los ingresos tributarios se ubicarán por el orden de Q84,610.7 millones para 2023 y mostrará un crecimiento interanual promedio de 6.2%. previéndose que para 2027 se situará en Q112,026.7 millones, vale indicar que para estos años se incluye recaudación adicional por medidas</w:t>
      </w:r>
      <w:r>
        <w:rPr>
          <w:spacing w:val="-5"/>
        </w:rPr>
        <w:t> </w:t>
      </w:r>
      <w:r>
        <w:rPr/>
        <w:t>administrativas.</w:t>
      </w:r>
    </w:p>
    <w:p>
      <w:pPr>
        <w:pStyle w:val="BodyText"/>
        <w:spacing w:before="9"/>
        <w:rPr>
          <w:sz w:val="17"/>
        </w:rPr>
      </w:pPr>
    </w:p>
    <w:p>
      <w:pPr>
        <w:pStyle w:val="Heading3"/>
        <w:spacing w:before="91"/>
        <w:ind w:left="1980"/>
      </w:pPr>
      <w:bookmarkStart w:name="_bookmark206" w:id="266"/>
      <w:bookmarkEnd w:id="266"/>
      <w:r>
        <w:rPr>
          <w:b w:val="0"/>
        </w:rPr>
      </w:r>
      <w:r>
        <w:rPr>
          <w:i/>
          <w:sz w:val="20"/>
        </w:rPr>
        <w:t>Gráfico 103. </w:t>
      </w:r>
      <w:r>
        <w:rPr/>
        <w:t>Ingresos fiscales 2021-2027 en Millones de quetzales</w:t>
      </w:r>
    </w:p>
    <w:p>
      <w:pPr>
        <w:spacing w:before="121"/>
        <w:ind w:left="730" w:right="0" w:firstLine="0"/>
        <w:jc w:val="left"/>
        <w:rPr>
          <w:b/>
          <w:sz w:val="16"/>
        </w:rPr>
      </w:pPr>
      <w:r>
        <w:rPr/>
        <w:pict>
          <v:group style="position:absolute;margin-left:126.360001pt;margin-top:12.284199pt;width:387.85pt;height:133.4pt;mso-position-horizontal-relative:page;mso-position-vertical-relative:paragraph;z-index:253155328" coordorigin="2527,246" coordsize="7757,2668">
            <v:line style="position:absolute" from="2527,604" to="10270,604" stroked="true" strokeweight=".72pt" strokecolor="#5b9bd4">
              <v:stroke dashstyle="shortdash"/>
            </v:line>
            <v:shape style="position:absolute;left:2527;top:714;width:7757;height:2199" type="#_x0000_t75" stroked="false">
              <v:imagedata r:id="rId294" o:title=""/>
            </v:shape>
            <v:shape style="position:absolute;left:2577;top:611;width:7707;height:907" type="#_x0000_t75" stroked="false">
              <v:imagedata r:id="rId295" o:title=""/>
            </v:shape>
            <v:shape style="position:absolute;left:2611;top:750;width:7563;height:2148" type="#_x0000_t75" stroked="false">
              <v:imagedata r:id="rId296" o:title=""/>
            </v:shape>
            <v:shape style="position:absolute;left:2611;top:647;width:7563;height:759" type="#_x0000_t75" stroked="false">
              <v:imagedata r:id="rId297" o:title=""/>
            </v:shape>
            <v:line style="position:absolute" from="2527,2898" to="10270,2898" stroked="true" strokeweight=".72pt" strokecolor="#d9d9d9">
              <v:stroke dashstyle="solid"/>
            </v:line>
            <v:shape style="position:absolute;left:9392;top:245;width:666;height:179" type="#_x0000_t202" filled="false" stroked="false">
              <v:textbox inset="0,0,0,0">
                <w:txbxContent>
                  <w:p>
                    <w:pPr>
                      <w:spacing w:line="178" w:lineRule="exact" w:before="0"/>
                      <w:ind w:left="0" w:right="0" w:firstLine="0"/>
                      <w:jc w:val="left"/>
                      <w:rPr>
                        <w:b/>
                        <w:sz w:val="16"/>
                      </w:rPr>
                    </w:pPr>
                    <w:r>
                      <w:rPr>
                        <w:b/>
                        <w:color w:val="404040"/>
                        <w:sz w:val="16"/>
                      </w:rPr>
                      <w:t>117,439.7</w:t>
                    </w:r>
                  </w:p>
                </w:txbxContent>
              </v:textbox>
              <w10:wrap type="none"/>
            </v:shape>
            <v:shape style="position:absolute;left:8306;top:388;width:666;height:179" type="#_x0000_t202" filled="false" stroked="false">
              <v:textbox inset="0,0,0,0">
                <w:txbxContent>
                  <w:p>
                    <w:pPr>
                      <w:spacing w:line="178" w:lineRule="exact" w:before="0"/>
                      <w:ind w:left="0" w:right="0" w:firstLine="0"/>
                      <w:jc w:val="left"/>
                      <w:rPr>
                        <w:b/>
                        <w:sz w:val="16"/>
                      </w:rPr>
                    </w:pPr>
                    <w:r>
                      <w:rPr>
                        <w:b/>
                        <w:color w:val="404040"/>
                        <w:sz w:val="16"/>
                      </w:rPr>
                      <w:t>110,538.1</w:t>
                    </w:r>
                  </w:p>
                </w:txbxContent>
              </v:textbox>
              <w10:wrap type="none"/>
            </v:shape>
            <v:shape style="position:absolute;left:6114;top:641;width:587;height:179" type="#_x0000_t202" filled="false" stroked="false">
              <v:textbox inset="0,0,0,0">
                <w:txbxContent>
                  <w:p>
                    <w:pPr>
                      <w:spacing w:line="178" w:lineRule="exact" w:before="0"/>
                      <w:ind w:left="0" w:right="0" w:firstLine="0"/>
                      <w:jc w:val="left"/>
                      <w:rPr>
                        <w:b/>
                        <w:sz w:val="16"/>
                      </w:rPr>
                    </w:pPr>
                    <w:r>
                      <w:rPr>
                        <w:b/>
                        <w:color w:val="404040"/>
                        <w:sz w:val="16"/>
                      </w:rPr>
                      <w:t>98,147.4</w:t>
                    </w:r>
                  </w:p>
                </w:txbxContent>
              </v:textbox>
              <w10:wrap type="none"/>
            </v:shape>
            <v:shape style="position:absolute;left:7179;top:503;width:666;height:179" type="#_x0000_t202" filled="false" stroked="false">
              <v:textbox inset="0,0,0,0">
                <w:txbxContent>
                  <w:p>
                    <w:pPr>
                      <w:spacing w:line="178" w:lineRule="exact" w:before="0"/>
                      <w:ind w:left="0" w:right="0" w:firstLine="0"/>
                      <w:jc w:val="left"/>
                      <w:rPr>
                        <w:b/>
                        <w:sz w:val="16"/>
                      </w:rPr>
                    </w:pPr>
                    <w:r>
                      <w:rPr>
                        <w:b/>
                        <w:color w:val="404040"/>
                        <w:sz w:val="16"/>
                      </w:rPr>
                      <w:t>104,031.3</w:t>
                    </w:r>
                  </w:p>
                </w:txbxContent>
              </v:textbox>
              <w10:wrap type="none"/>
            </v:shape>
            <v:shape style="position:absolute;left:9473;top:619;width:508;height:179" type="#_x0000_t202" filled="false" stroked="false">
              <v:textbox inset="0,0,0,0">
                <w:txbxContent>
                  <w:p>
                    <w:pPr>
                      <w:spacing w:line="178" w:lineRule="exact" w:before="0"/>
                      <w:ind w:left="0" w:right="0" w:firstLine="0"/>
                      <w:jc w:val="left"/>
                      <w:rPr>
                        <w:b/>
                        <w:sz w:val="16"/>
                      </w:rPr>
                    </w:pPr>
                    <w:r>
                      <w:rPr>
                        <w:b/>
                        <w:color w:val="FFFFFF"/>
                        <w:sz w:val="16"/>
                      </w:rPr>
                      <w:t>5,413.0</w:t>
                    </w:r>
                  </w:p>
                </w:txbxContent>
              </v:textbox>
              <w10:wrap type="none"/>
            </v:shape>
            <v:shape style="position:absolute;left:2815;top:886;width:587;height:179" type="#_x0000_t202" filled="false" stroked="false">
              <v:textbox inset="0,0,0,0">
                <w:txbxContent>
                  <w:p>
                    <w:pPr>
                      <w:spacing w:line="178" w:lineRule="exact" w:before="0"/>
                      <w:ind w:left="0" w:right="0" w:firstLine="0"/>
                      <w:jc w:val="left"/>
                      <w:rPr>
                        <w:b/>
                        <w:sz w:val="16"/>
                      </w:rPr>
                    </w:pPr>
                    <w:r>
                      <w:rPr>
                        <w:b/>
                        <w:color w:val="404040"/>
                        <w:sz w:val="16"/>
                      </w:rPr>
                      <w:t>82,257.3</w:t>
                    </w:r>
                  </w:p>
                </w:txbxContent>
              </v:textbox>
              <w10:wrap type="none"/>
            </v:shape>
            <v:shape style="position:absolute;left:3921;top:808;width:587;height:179" type="#_x0000_t202" filled="false" stroked="false">
              <v:textbox inset="0,0,0,0">
                <w:txbxContent>
                  <w:p>
                    <w:pPr>
                      <w:spacing w:line="178" w:lineRule="exact" w:before="0"/>
                      <w:ind w:left="0" w:right="0" w:firstLine="0"/>
                      <w:jc w:val="left"/>
                      <w:rPr>
                        <w:b/>
                        <w:sz w:val="16"/>
                      </w:rPr>
                    </w:pPr>
                    <w:r>
                      <w:rPr>
                        <w:b/>
                        <w:color w:val="404040"/>
                        <w:sz w:val="16"/>
                      </w:rPr>
                      <w:t>87,182.2</w:t>
                    </w:r>
                  </w:p>
                </w:txbxContent>
              </v:textbox>
              <w10:wrap type="none"/>
            </v:shape>
            <v:shape style="position:absolute;left:5007;top:777;width:587;height:179" type="#_x0000_t202" filled="false" stroked="false">
              <v:textbox inset="0,0,0,0">
                <w:txbxContent>
                  <w:p>
                    <w:pPr>
                      <w:spacing w:line="178" w:lineRule="exact" w:before="0"/>
                      <w:ind w:left="0" w:right="0" w:firstLine="0"/>
                      <w:jc w:val="left"/>
                      <w:rPr>
                        <w:b/>
                        <w:sz w:val="16"/>
                      </w:rPr>
                    </w:pPr>
                    <w:r>
                      <w:rPr>
                        <w:b/>
                        <w:color w:val="404040"/>
                        <w:sz w:val="16"/>
                      </w:rPr>
                      <w:t>89,457.0</w:t>
                    </w:r>
                  </w:p>
                </w:txbxContent>
              </v:textbox>
              <w10:wrap type="none"/>
            </v:shape>
            <v:shape style="position:absolute;left:6155;top:984;width:508;height:179" type="#_x0000_t202" filled="false" stroked="false">
              <v:textbox inset="0,0,0,0">
                <w:txbxContent>
                  <w:p>
                    <w:pPr>
                      <w:spacing w:line="178" w:lineRule="exact" w:before="0"/>
                      <w:ind w:left="0" w:right="0" w:firstLine="0"/>
                      <w:jc w:val="left"/>
                      <w:rPr>
                        <w:b/>
                        <w:sz w:val="16"/>
                      </w:rPr>
                    </w:pPr>
                    <w:r>
                      <w:rPr>
                        <w:b/>
                        <w:color w:val="FFFFFF"/>
                        <w:sz w:val="16"/>
                      </w:rPr>
                      <w:t>5,009.8</w:t>
                    </w:r>
                  </w:p>
                </w:txbxContent>
              </v:textbox>
              <w10:wrap type="none"/>
            </v:shape>
            <v:shape style="position:absolute;left:7261;top:872;width:508;height:179" type="#_x0000_t202" filled="false" stroked="false">
              <v:textbox inset="0,0,0,0">
                <w:txbxContent>
                  <w:p>
                    <w:pPr>
                      <w:spacing w:line="178" w:lineRule="exact" w:before="0"/>
                      <w:ind w:left="0" w:right="0" w:firstLine="0"/>
                      <w:jc w:val="left"/>
                      <w:rPr>
                        <w:b/>
                        <w:sz w:val="16"/>
                      </w:rPr>
                    </w:pPr>
                    <w:r>
                      <w:rPr>
                        <w:b/>
                        <w:color w:val="FFFFFF"/>
                        <w:sz w:val="16"/>
                      </w:rPr>
                      <w:t>5,119.3</w:t>
                    </w:r>
                  </w:p>
                </w:txbxContent>
              </v:textbox>
              <w10:wrap type="none"/>
            </v:shape>
            <v:shape style="position:absolute;left:8367;top:749;width:508;height:179" type="#_x0000_t202" filled="false" stroked="false">
              <v:textbox inset="0,0,0,0">
                <w:txbxContent>
                  <w:p>
                    <w:pPr>
                      <w:spacing w:line="178" w:lineRule="exact" w:before="0"/>
                      <w:ind w:left="0" w:right="0" w:firstLine="0"/>
                      <w:jc w:val="left"/>
                      <w:rPr>
                        <w:b/>
                        <w:sz w:val="16"/>
                      </w:rPr>
                    </w:pPr>
                    <w:r>
                      <w:rPr>
                        <w:b/>
                        <w:color w:val="FFFFFF"/>
                        <w:sz w:val="16"/>
                      </w:rPr>
                      <w:t>5,293.1</w:t>
                    </w:r>
                  </w:p>
                </w:txbxContent>
              </v:textbox>
              <w10:wrap type="none"/>
            </v:shape>
            <v:shape style="position:absolute;left:2835;top:1281;width:508;height:179" type="#_x0000_t202" filled="false" stroked="false">
              <v:textbox inset="0,0,0,0">
                <w:txbxContent>
                  <w:p>
                    <w:pPr>
                      <w:spacing w:line="178" w:lineRule="exact" w:before="0"/>
                      <w:ind w:left="0" w:right="0" w:firstLine="0"/>
                      <w:jc w:val="left"/>
                      <w:rPr>
                        <w:b/>
                        <w:sz w:val="16"/>
                      </w:rPr>
                    </w:pPr>
                    <w:r>
                      <w:rPr>
                        <w:b/>
                        <w:color w:val="FFFFFF"/>
                        <w:sz w:val="16"/>
                      </w:rPr>
                      <w:t>4,238.2</w:t>
                    </w:r>
                  </w:p>
                </w:txbxContent>
              </v:textbox>
              <w10:wrap type="none"/>
            </v:shape>
            <v:shape style="position:absolute;left:3942;top:1187;width:508;height:179" type="#_x0000_t202" filled="false" stroked="false">
              <v:textbox inset="0,0,0,0">
                <w:txbxContent>
                  <w:p>
                    <w:pPr>
                      <w:spacing w:line="178" w:lineRule="exact" w:before="0"/>
                      <w:ind w:left="0" w:right="0" w:firstLine="0"/>
                      <w:jc w:val="left"/>
                      <w:rPr>
                        <w:b/>
                        <w:sz w:val="16"/>
                      </w:rPr>
                    </w:pPr>
                    <w:r>
                      <w:rPr>
                        <w:b/>
                        <w:color w:val="FFFFFF"/>
                        <w:sz w:val="16"/>
                      </w:rPr>
                      <w:t>4,309.3</w:t>
                    </w:r>
                  </w:p>
                </w:txbxContent>
              </v:textbox>
              <w10:wrap type="none"/>
            </v:shape>
            <v:shape style="position:absolute;left:5048;top:1149;width:508;height:179" type="#_x0000_t202" filled="false" stroked="false">
              <v:textbox inset="0,0,0,0">
                <w:txbxContent>
                  <w:p>
                    <w:pPr>
                      <w:spacing w:line="178" w:lineRule="exact" w:before="0"/>
                      <w:ind w:left="0" w:right="0" w:firstLine="0"/>
                      <w:jc w:val="left"/>
                      <w:rPr>
                        <w:b/>
                        <w:sz w:val="16"/>
                      </w:rPr>
                    </w:pPr>
                    <w:r>
                      <w:rPr>
                        <w:b/>
                        <w:color w:val="FFFFFF"/>
                        <w:sz w:val="16"/>
                      </w:rPr>
                      <w:t>4,846.3</w:t>
                    </w:r>
                  </w:p>
                </w:txbxContent>
              </v:textbox>
              <w10:wrap type="none"/>
            </v:shape>
            <v:shape style="position:absolute;left:9353;top:1733;width:746;height:200" type="#_x0000_t202" filled="false" stroked="false">
              <v:textbox inset="0,0,0,0">
                <w:txbxContent>
                  <w:p>
                    <w:pPr>
                      <w:spacing w:line="199" w:lineRule="exact" w:before="0"/>
                      <w:ind w:left="0" w:right="0" w:firstLine="0"/>
                      <w:jc w:val="left"/>
                      <w:rPr>
                        <w:b/>
                        <w:sz w:val="18"/>
                      </w:rPr>
                    </w:pPr>
                    <w:r>
                      <w:rPr>
                        <w:b/>
                        <w:color w:val="FFFFFF"/>
                        <w:sz w:val="18"/>
                      </w:rPr>
                      <w:t>112,026.7</w:t>
                    </w:r>
                  </w:p>
                </w:txbxContent>
              </v:textbox>
              <w10:wrap type="none"/>
            </v:shape>
            <v:shape style="position:absolute;left:2761;top:2058;width:657;height:200" type="#_x0000_t202" filled="false" stroked="false">
              <v:textbox inset="0,0,0,0">
                <w:txbxContent>
                  <w:p>
                    <w:pPr>
                      <w:spacing w:line="199" w:lineRule="exact" w:before="0"/>
                      <w:ind w:left="0" w:right="0" w:firstLine="0"/>
                      <w:jc w:val="left"/>
                      <w:rPr>
                        <w:b/>
                        <w:sz w:val="18"/>
                      </w:rPr>
                    </w:pPr>
                    <w:r>
                      <w:rPr>
                        <w:b/>
                        <w:color w:val="FFFFFF"/>
                        <w:sz w:val="18"/>
                      </w:rPr>
                      <w:t>78,019.1</w:t>
                    </w:r>
                  </w:p>
                </w:txbxContent>
              </v:textbox>
              <w10:wrap type="none"/>
            </v:shape>
            <v:shape style="position:absolute;left:3867;top:2012;width:657;height:200" type="#_x0000_t202" filled="false" stroked="false">
              <v:textbox inset="0,0,0,0">
                <w:txbxContent>
                  <w:p>
                    <w:pPr>
                      <w:spacing w:line="199" w:lineRule="exact" w:before="0"/>
                      <w:ind w:left="0" w:right="0" w:firstLine="0"/>
                      <w:jc w:val="left"/>
                      <w:rPr>
                        <w:b/>
                        <w:sz w:val="18"/>
                      </w:rPr>
                    </w:pPr>
                    <w:r>
                      <w:rPr>
                        <w:b/>
                        <w:color w:val="FFFFFF"/>
                        <w:sz w:val="18"/>
                      </w:rPr>
                      <w:t>82,872.9</w:t>
                    </w:r>
                  </w:p>
                </w:txbxContent>
              </v:textbox>
              <w10:wrap type="none"/>
            </v:shape>
            <v:shape style="position:absolute;left:4974;top:1995;width:657;height:200" type="#_x0000_t202" filled="false" stroked="false">
              <v:textbox inset="0,0,0,0">
                <w:txbxContent>
                  <w:p>
                    <w:pPr>
                      <w:spacing w:line="199" w:lineRule="exact" w:before="0"/>
                      <w:ind w:left="0" w:right="0" w:firstLine="0"/>
                      <w:jc w:val="left"/>
                      <w:rPr>
                        <w:b/>
                        <w:sz w:val="18"/>
                      </w:rPr>
                    </w:pPr>
                    <w:r>
                      <w:rPr>
                        <w:b/>
                        <w:color w:val="FFFFFF"/>
                        <w:sz w:val="18"/>
                      </w:rPr>
                      <w:t>84,610.7</w:t>
                    </w:r>
                  </w:p>
                </w:txbxContent>
              </v:textbox>
              <w10:wrap type="none"/>
            </v:shape>
            <v:shape style="position:absolute;left:6080;top:1913;width:657;height:200" type="#_x0000_t202" filled="false" stroked="false">
              <v:textbox inset="0,0,0,0">
                <w:txbxContent>
                  <w:p>
                    <w:pPr>
                      <w:spacing w:line="199" w:lineRule="exact" w:before="0"/>
                      <w:ind w:left="0" w:right="0" w:firstLine="0"/>
                      <w:jc w:val="left"/>
                      <w:rPr>
                        <w:b/>
                        <w:sz w:val="18"/>
                      </w:rPr>
                    </w:pPr>
                    <w:r>
                      <w:rPr>
                        <w:b/>
                        <w:color w:val="FFFFFF"/>
                        <w:sz w:val="18"/>
                      </w:rPr>
                      <w:t>93,137.6</w:t>
                    </w:r>
                  </w:p>
                </w:txbxContent>
              </v:textbox>
              <w10:wrap type="none"/>
            </v:shape>
            <v:shape style="position:absolute;left:7187;top:1858;width:657;height:200" type="#_x0000_t202" filled="false" stroked="false">
              <v:textbox inset="0,0,0,0">
                <w:txbxContent>
                  <w:p>
                    <w:pPr>
                      <w:spacing w:line="199" w:lineRule="exact" w:before="0"/>
                      <w:ind w:left="0" w:right="0" w:firstLine="0"/>
                      <w:jc w:val="left"/>
                      <w:rPr>
                        <w:b/>
                        <w:sz w:val="18"/>
                      </w:rPr>
                    </w:pPr>
                    <w:r>
                      <w:rPr>
                        <w:b/>
                        <w:color w:val="FFFFFF"/>
                        <w:sz w:val="18"/>
                      </w:rPr>
                      <w:t>98,912.0</w:t>
                    </w:r>
                  </w:p>
                </w:txbxContent>
              </v:textbox>
              <w10:wrap type="none"/>
            </v:shape>
            <v:shape style="position:absolute;left:8247;top:1798;width:746;height:200" type="#_x0000_t202" filled="false" stroked="false">
              <v:textbox inset="0,0,0,0">
                <w:txbxContent>
                  <w:p>
                    <w:pPr>
                      <w:spacing w:line="199" w:lineRule="exact" w:before="0"/>
                      <w:ind w:left="0" w:right="0" w:firstLine="0"/>
                      <w:jc w:val="left"/>
                      <w:rPr>
                        <w:b/>
                        <w:sz w:val="18"/>
                      </w:rPr>
                    </w:pPr>
                    <w:r>
                      <w:rPr>
                        <w:b/>
                        <w:color w:val="FFFFFF"/>
                        <w:sz w:val="18"/>
                      </w:rPr>
                      <w:t>105,245.0</w:t>
                    </w:r>
                  </w:p>
                </w:txbxContent>
              </v:textbox>
              <w10:wrap type="none"/>
            </v:shape>
            <w10:wrap type="none"/>
          </v:group>
        </w:pict>
      </w:r>
      <w:r>
        <w:rPr/>
        <w:pict>
          <v:line style="position:absolute;mso-position-horizontal-relative:page;mso-position-vertical-relative:paragraph;z-index:253156352" from="126.360001pt,10.99875pt" to="513.480001pt,10.99875pt" stroked="true" strokeweight=".72pt" strokecolor="#5b9bd4">
            <v:stroke dashstyle="shortdash"/>
            <w10:wrap type="none"/>
          </v:line>
        </w:pict>
      </w:r>
      <w:r>
        <w:rPr>
          <w:b/>
          <w:color w:val="585858"/>
          <w:sz w:val="16"/>
        </w:rPr>
        <w:t>140,000</w:t>
      </w:r>
    </w:p>
    <w:p>
      <w:pPr>
        <w:pStyle w:val="BodyText"/>
        <w:spacing w:before="3"/>
        <w:rPr>
          <w:b/>
          <w:sz w:val="17"/>
        </w:rPr>
      </w:pPr>
    </w:p>
    <w:p>
      <w:pPr>
        <w:spacing w:before="1"/>
        <w:ind w:left="730" w:right="0" w:firstLine="0"/>
        <w:jc w:val="left"/>
        <w:rPr>
          <w:b/>
          <w:sz w:val="16"/>
        </w:rPr>
      </w:pPr>
      <w:r>
        <w:rPr>
          <w:b/>
          <w:color w:val="585858"/>
          <w:sz w:val="16"/>
        </w:rPr>
        <w:t>120,000</w:t>
      </w:r>
    </w:p>
    <w:p>
      <w:pPr>
        <w:pStyle w:val="BodyText"/>
        <w:spacing w:before="2"/>
        <w:rPr>
          <w:b/>
          <w:sz w:val="17"/>
        </w:rPr>
      </w:pPr>
    </w:p>
    <w:p>
      <w:pPr>
        <w:spacing w:before="1"/>
        <w:ind w:left="730" w:right="0" w:firstLine="0"/>
        <w:jc w:val="left"/>
        <w:rPr>
          <w:b/>
          <w:sz w:val="16"/>
        </w:rPr>
      </w:pPr>
      <w:r>
        <w:rPr>
          <w:b/>
          <w:color w:val="585858"/>
          <w:sz w:val="16"/>
        </w:rPr>
        <w:t>100,000</w:t>
      </w:r>
    </w:p>
    <w:p>
      <w:pPr>
        <w:pStyle w:val="BodyText"/>
        <w:spacing w:before="3"/>
        <w:rPr>
          <w:b/>
          <w:sz w:val="17"/>
        </w:rPr>
      </w:pPr>
    </w:p>
    <w:p>
      <w:pPr>
        <w:spacing w:before="0"/>
        <w:ind w:left="810" w:right="0" w:firstLine="0"/>
        <w:jc w:val="left"/>
        <w:rPr>
          <w:b/>
          <w:sz w:val="16"/>
        </w:rPr>
      </w:pPr>
      <w:r>
        <w:rPr>
          <w:b/>
          <w:color w:val="585858"/>
          <w:sz w:val="16"/>
        </w:rPr>
        <w:t>80,000</w:t>
      </w:r>
    </w:p>
    <w:p>
      <w:pPr>
        <w:pStyle w:val="BodyText"/>
        <w:spacing w:before="3"/>
        <w:rPr>
          <w:b/>
          <w:sz w:val="17"/>
        </w:rPr>
      </w:pPr>
    </w:p>
    <w:p>
      <w:pPr>
        <w:spacing w:before="0"/>
        <w:ind w:left="810" w:right="0" w:firstLine="0"/>
        <w:jc w:val="left"/>
        <w:rPr>
          <w:b/>
          <w:sz w:val="16"/>
        </w:rPr>
      </w:pPr>
      <w:r>
        <w:rPr>
          <w:b/>
          <w:color w:val="585858"/>
          <w:sz w:val="16"/>
        </w:rPr>
        <w:t>60,000</w:t>
      </w:r>
    </w:p>
    <w:p>
      <w:pPr>
        <w:pStyle w:val="BodyText"/>
        <w:spacing w:before="3"/>
        <w:rPr>
          <w:b/>
          <w:sz w:val="17"/>
        </w:rPr>
      </w:pPr>
    </w:p>
    <w:p>
      <w:pPr>
        <w:spacing w:before="0"/>
        <w:ind w:left="810" w:right="0" w:firstLine="0"/>
        <w:jc w:val="left"/>
        <w:rPr>
          <w:b/>
          <w:sz w:val="16"/>
        </w:rPr>
      </w:pPr>
      <w:r>
        <w:rPr>
          <w:b/>
          <w:color w:val="585858"/>
          <w:sz w:val="16"/>
        </w:rPr>
        <w:t>40,000</w:t>
      </w:r>
    </w:p>
    <w:p>
      <w:pPr>
        <w:pStyle w:val="BodyText"/>
        <w:spacing w:before="1"/>
        <w:rPr>
          <w:b/>
          <w:sz w:val="9"/>
        </w:rPr>
      </w:pPr>
    </w:p>
    <w:p>
      <w:pPr>
        <w:spacing w:before="95"/>
        <w:ind w:left="810" w:right="0" w:firstLine="0"/>
        <w:jc w:val="left"/>
        <w:rPr>
          <w:b/>
          <w:sz w:val="16"/>
        </w:rPr>
      </w:pPr>
      <w:r>
        <w:rPr>
          <w:b/>
          <w:color w:val="585858"/>
          <w:sz w:val="16"/>
        </w:rPr>
        <w:t>20,000</w:t>
      </w:r>
    </w:p>
    <w:p>
      <w:pPr>
        <w:pStyle w:val="BodyText"/>
        <w:spacing w:before="1"/>
        <w:rPr>
          <w:b/>
          <w:sz w:val="9"/>
        </w:rPr>
      </w:pPr>
    </w:p>
    <w:p>
      <w:pPr>
        <w:spacing w:before="94"/>
        <w:ind w:left="1170" w:right="0" w:firstLine="0"/>
        <w:jc w:val="left"/>
        <w:rPr>
          <w:b/>
          <w:sz w:val="16"/>
        </w:rPr>
      </w:pPr>
      <w:r>
        <w:rPr>
          <w:b/>
          <w:color w:val="585858"/>
          <w:w w:val="100"/>
          <w:sz w:val="16"/>
        </w:rPr>
        <w:t>0</w:t>
      </w:r>
    </w:p>
    <w:p>
      <w:pPr>
        <w:tabs>
          <w:tab w:pos="2886" w:val="left" w:leader="none"/>
          <w:tab w:pos="3992" w:val="left" w:leader="none"/>
          <w:tab w:pos="5098" w:val="left" w:leader="none"/>
          <w:tab w:pos="6204" w:val="left" w:leader="none"/>
          <w:tab w:pos="7311" w:val="left" w:leader="none"/>
          <w:tab w:pos="8417" w:val="left" w:leader="none"/>
        </w:tabs>
        <w:spacing w:before="4"/>
        <w:ind w:left="1779" w:right="0" w:firstLine="0"/>
        <w:jc w:val="left"/>
        <w:rPr>
          <w:b/>
          <w:sz w:val="16"/>
        </w:rPr>
      </w:pPr>
      <w:r>
        <w:rPr>
          <w:b/>
          <w:color w:val="585858"/>
          <w:sz w:val="16"/>
        </w:rPr>
        <w:t>2021</w:t>
        <w:tab/>
        <w:t>2022</w:t>
        <w:tab/>
        <w:t>2023</w:t>
        <w:tab/>
        <w:t>2024</w:t>
        <w:tab/>
        <w:t>2025</w:t>
        <w:tab/>
        <w:t>2026</w:t>
        <w:tab/>
        <w:t>2027</w:t>
      </w:r>
    </w:p>
    <w:p>
      <w:pPr>
        <w:tabs>
          <w:tab w:pos="4826" w:val="left" w:leader="none"/>
        </w:tabs>
        <w:spacing w:before="34"/>
        <w:ind w:left="3554" w:right="0" w:firstLine="0"/>
        <w:jc w:val="left"/>
        <w:rPr>
          <w:b/>
          <w:sz w:val="18"/>
        </w:rPr>
      </w:pPr>
      <w:r>
        <w:rPr/>
        <w:drawing>
          <wp:anchor distT="0" distB="0" distL="0" distR="0" allowOverlap="1" layoutInCell="1" locked="0" behindDoc="0" simplePos="0" relativeHeight="253157376">
            <wp:simplePos x="0" y="0"/>
            <wp:positionH relativeFrom="page">
              <wp:posOffset>2906141</wp:posOffset>
            </wp:positionH>
            <wp:positionV relativeFrom="paragraph">
              <wp:posOffset>69955</wp:posOffset>
            </wp:positionV>
            <wp:extent cx="52705" cy="52705"/>
            <wp:effectExtent l="0" t="0" r="0" b="0"/>
            <wp:wrapNone/>
            <wp:docPr id="111" name="image290.png"/>
            <wp:cNvGraphicFramePr>
              <a:graphicFrameLocks noChangeAspect="1"/>
            </wp:cNvGraphicFramePr>
            <a:graphic>
              <a:graphicData uri="http://schemas.openxmlformats.org/drawingml/2006/picture">
                <pic:pic>
                  <pic:nvPicPr>
                    <pic:cNvPr id="112" name="image290.png"/>
                    <pic:cNvPicPr/>
                  </pic:nvPicPr>
                  <pic:blipFill>
                    <a:blip r:embed="rId298" cstate="print"/>
                    <a:stretch>
                      <a:fillRect/>
                    </a:stretch>
                  </pic:blipFill>
                  <pic:spPr>
                    <a:xfrm>
                      <a:off x="0" y="0"/>
                      <a:ext cx="52705" cy="52705"/>
                    </a:xfrm>
                    <a:prstGeom prst="rect">
                      <a:avLst/>
                    </a:prstGeom>
                  </pic:spPr>
                </pic:pic>
              </a:graphicData>
            </a:graphic>
          </wp:anchor>
        </w:drawing>
      </w:r>
      <w:r>
        <w:rPr/>
        <w:drawing>
          <wp:anchor distT="0" distB="0" distL="0" distR="0" allowOverlap="1" layoutInCell="1" locked="0" behindDoc="1" simplePos="0" relativeHeight="223155200">
            <wp:simplePos x="0" y="0"/>
            <wp:positionH relativeFrom="page">
              <wp:posOffset>3714115</wp:posOffset>
            </wp:positionH>
            <wp:positionV relativeFrom="paragraph">
              <wp:posOffset>69955</wp:posOffset>
            </wp:positionV>
            <wp:extent cx="53975" cy="52705"/>
            <wp:effectExtent l="0" t="0" r="0" b="0"/>
            <wp:wrapNone/>
            <wp:docPr id="113" name="image291.png"/>
            <wp:cNvGraphicFramePr>
              <a:graphicFrameLocks noChangeAspect="1"/>
            </wp:cNvGraphicFramePr>
            <a:graphic>
              <a:graphicData uri="http://schemas.openxmlformats.org/drawingml/2006/picture">
                <pic:pic>
                  <pic:nvPicPr>
                    <pic:cNvPr id="114" name="image291.png"/>
                    <pic:cNvPicPr/>
                  </pic:nvPicPr>
                  <pic:blipFill>
                    <a:blip r:embed="rId299" cstate="print"/>
                    <a:stretch>
                      <a:fillRect/>
                    </a:stretch>
                  </pic:blipFill>
                  <pic:spPr>
                    <a:xfrm>
                      <a:off x="0" y="0"/>
                      <a:ext cx="53975" cy="52705"/>
                    </a:xfrm>
                    <a:prstGeom prst="rect">
                      <a:avLst/>
                    </a:prstGeom>
                  </pic:spPr>
                </pic:pic>
              </a:graphicData>
            </a:graphic>
          </wp:anchor>
        </w:drawing>
      </w:r>
      <w:r>
        <w:rPr>
          <w:b/>
          <w:color w:val="585858"/>
          <w:sz w:val="18"/>
        </w:rPr>
        <w:t>Tributarios</w:t>
        <w:tab/>
        <w:t>No tributarios y</w:t>
      </w:r>
      <w:r>
        <w:rPr>
          <w:b/>
          <w:color w:val="585858"/>
          <w:spacing w:val="-5"/>
          <w:sz w:val="18"/>
        </w:rPr>
        <w:t> </w:t>
      </w:r>
      <w:r>
        <w:rPr>
          <w:b/>
          <w:color w:val="585858"/>
          <w:sz w:val="18"/>
        </w:rPr>
        <w:t>capital</w:t>
      </w:r>
    </w:p>
    <w:p>
      <w:pPr>
        <w:spacing w:before="77"/>
        <w:ind w:left="857" w:right="0" w:firstLine="0"/>
        <w:jc w:val="left"/>
        <w:rPr>
          <w:sz w:val="16"/>
        </w:rPr>
      </w:pPr>
      <w:r>
        <w:rPr>
          <w:sz w:val="16"/>
        </w:rPr>
        <w:t>Fuente: Dirección de Análisis y Política Fiscal con información de tributación de la SAT</w:t>
      </w:r>
    </w:p>
    <w:p>
      <w:pPr>
        <w:spacing w:after="0"/>
        <w:jc w:val="left"/>
        <w:rPr>
          <w:sz w:val="16"/>
        </w:rPr>
        <w:sectPr>
          <w:pgSz w:w="12240" w:h="15840"/>
          <w:pgMar w:header="715" w:footer="688" w:top="1240" w:bottom="880" w:left="1140" w:right="0"/>
        </w:sectPr>
      </w:pPr>
    </w:p>
    <w:p>
      <w:pPr>
        <w:pStyle w:val="BodyText"/>
        <w:spacing w:line="276" w:lineRule="auto" w:before="162"/>
        <w:ind w:left="562" w:right="1701"/>
        <w:jc w:val="both"/>
      </w:pPr>
      <w:r>
        <w:rPr/>
        <w:t>Dentro</w:t>
      </w:r>
      <w:r>
        <w:rPr>
          <w:spacing w:val="-17"/>
        </w:rPr>
        <w:t> </w:t>
      </w:r>
      <w:r>
        <w:rPr/>
        <w:t>de</w:t>
      </w:r>
      <w:r>
        <w:rPr>
          <w:spacing w:val="-18"/>
        </w:rPr>
        <w:t> </w:t>
      </w:r>
      <w:r>
        <w:rPr/>
        <w:t>los</w:t>
      </w:r>
      <w:r>
        <w:rPr>
          <w:spacing w:val="-16"/>
        </w:rPr>
        <w:t> </w:t>
      </w:r>
      <w:r>
        <w:rPr/>
        <w:t>no</w:t>
      </w:r>
      <w:r>
        <w:rPr>
          <w:spacing w:val="-16"/>
        </w:rPr>
        <w:t> </w:t>
      </w:r>
      <w:r>
        <w:rPr/>
        <w:t>tributarios</w:t>
      </w:r>
      <w:r>
        <w:rPr>
          <w:spacing w:val="-16"/>
        </w:rPr>
        <w:t> </w:t>
      </w:r>
      <w:r>
        <w:rPr/>
        <w:t>el</w:t>
      </w:r>
      <w:r>
        <w:rPr>
          <w:spacing w:val="-15"/>
        </w:rPr>
        <w:t> </w:t>
      </w:r>
      <w:r>
        <w:rPr/>
        <w:t>componente</w:t>
      </w:r>
      <w:r>
        <w:rPr>
          <w:spacing w:val="-16"/>
        </w:rPr>
        <w:t> </w:t>
      </w:r>
      <w:r>
        <w:rPr/>
        <w:t>más</w:t>
      </w:r>
      <w:r>
        <w:rPr>
          <w:spacing w:val="-14"/>
        </w:rPr>
        <w:t> </w:t>
      </w:r>
      <w:r>
        <w:rPr/>
        <w:t>importante</w:t>
      </w:r>
      <w:r>
        <w:rPr>
          <w:spacing w:val="-15"/>
        </w:rPr>
        <w:t> </w:t>
      </w:r>
      <w:r>
        <w:rPr/>
        <w:t>son</w:t>
      </w:r>
      <w:r>
        <w:rPr>
          <w:spacing w:val="-16"/>
        </w:rPr>
        <w:t> </w:t>
      </w:r>
      <w:r>
        <w:rPr/>
        <w:t>las</w:t>
      </w:r>
      <w:r>
        <w:rPr>
          <w:spacing w:val="-15"/>
        </w:rPr>
        <w:t> </w:t>
      </w:r>
      <w:r>
        <w:rPr/>
        <w:t>contribuciones</w:t>
      </w:r>
      <w:r>
        <w:rPr>
          <w:spacing w:val="-16"/>
        </w:rPr>
        <w:t> </w:t>
      </w:r>
      <w:r>
        <w:rPr/>
        <w:t>a</w:t>
      </w:r>
      <w:r>
        <w:rPr>
          <w:spacing w:val="-15"/>
        </w:rPr>
        <w:t> </w:t>
      </w:r>
      <w:r>
        <w:rPr/>
        <w:t>la</w:t>
      </w:r>
      <w:r>
        <w:rPr>
          <w:spacing w:val="-16"/>
        </w:rPr>
        <w:t> </w:t>
      </w:r>
      <w:r>
        <w:rPr/>
        <w:t>seguridad</w:t>
      </w:r>
      <w:r>
        <w:rPr>
          <w:spacing w:val="-15"/>
        </w:rPr>
        <w:t> </w:t>
      </w:r>
      <w:r>
        <w:rPr/>
        <w:t>social (MONTEPIO) cuya participación dentro de este tipo de ingresos es de aproximadamente 66.3% (promedio de 2023 a</w:t>
      </w:r>
      <w:r>
        <w:rPr>
          <w:spacing w:val="-2"/>
        </w:rPr>
        <w:t> </w:t>
      </w:r>
      <w:r>
        <w:rPr/>
        <w:t>2027).</w:t>
      </w:r>
    </w:p>
    <w:p>
      <w:pPr>
        <w:pStyle w:val="BodyText"/>
        <w:spacing w:before="9"/>
        <w:rPr>
          <w:sz w:val="25"/>
        </w:rPr>
      </w:pPr>
    </w:p>
    <w:p>
      <w:pPr>
        <w:pStyle w:val="Heading2"/>
        <w:numPr>
          <w:ilvl w:val="2"/>
          <w:numId w:val="39"/>
        </w:numPr>
        <w:tabs>
          <w:tab w:pos="1978" w:val="left" w:leader="none"/>
        </w:tabs>
        <w:spacing w:line="240" w:lineRule="auto" w:before="0" w:after="0"/>
        <w:ind w:left="1978" w:right="0" w:hanging="696"/>
        <w:jc w:val="left"/>
      </w:pPr>
      <w:bookmarkStart w:name="_bookmark207" w:id="267"/>
      <w:bookmarkEnd w:id="267"/>
      <w:r>
        <w:rPr>
          <w:b w:val="0"/>
        </w:rPr>
      </w:r>
      <w:bookmarkStart w:name="_bookmark207" w:id="268"/>
      <w:bookmarkEnd w:id="268"/>
      <w:r>
        <w:rPr/>
        <w:t>P</w:t>
      </w:r>
      <w:r>
        <w:rPr/>
        <w:t>royecciones de recaudación</w:t>
      </w:r>
      <w:r>
        <w:rPr>
          <w:spacing w:val="-2"/>
        </w:rPr>
        <w:t> </w:t>
      </w:r>
      <w:r>
        <w:rPr/>
        <w:t>tributaria</w:t>
      </w:r>
    </w:p>
    <w:p>
      <w:pPr>
        <w:pStyle w:val="BodyText"/>
        <w:spacing w:before="4"/>
        <w:rPr>
          <w:b/>
          <w:sz w:val="28"/>
        </w:rPr>
      </w:pPr>
    </w:p>
    <w:p>
      <w:pPr>
        <w:pStyle w:val="BodyText"/>
        <w:spacing w:line="276" w:lineRule="auto"/>
        <w:ind w:left="562" w:right="1701"/>
        <w:jc w:val="both"/>
      </w:pPr>
      <w:r>
        <w:rPr/>
        <w:t>La estimación de la recaudación tributaria es parte fundamental en el proceso de formulación del Presupuesto General de Ingresos y Egresos del Estado, la recaudación tributaria representa cerca del 95.1% de los ingresos totales del gobierno central, derivado de esto es importante que el proceso de estimación sea eficiente, confiable y apegado a la realidad económica.</w:t>
      </w:r>
    </w:p>
    <w:p>
      <w:pPr>
        <w:pStyle w:val="BodyText"/>
        <w:spacing w:before="3"/>
        <w:rPr>
          <w:sz w:val="25"/>
        </w:rPr>
      </w:pPr>
    </w:p>
    <w:p>
      <w:pPr>
        <w:pStyle w:val="BodyText"/>
        <w:spacing w:line="276" w:lineRule="auto" w:before="1"/>
        <w:ind w:left="562" w:right="1697"/>
        <w:jc w:val="both"/>
      </w:pPr>
      <w:r>
        <w:rPr/>
        <w:t>La institucionalidad de las estimaciones de recaudación tributaria está liderada por la Comisión Técnica de Finanzas Públicas -CTFP-, dicha comisión tiene su base legal en la Ley Orgánica del Presupuesto</w:t>
      </w:r>
      <w:r>
        <w:rPr>
          <w:spacing w:val="-7"/>
        </w:rPr>
        <w:t> </w:t>
      </w:r>
      <w:r>
        <w:rPr/>
        <w:t>(Decreto</w:t>
      </w:r>
      <w:r>
        <w:rPr>
          <w:spacing w:val="-7"/>
        </w:rPr>
        <w:t> </w:t>
      </w:r>
      <w:r>
        <w:rPr/>
        <w:t>101-97),</w:t>
      </w:r>
      <w:r>
        <w:rPr>
          <w:spacing w:val="-6"/>
        </w:rPr>
        <w:t> </w:t>
      </w:r>
      <w:r>
        <w:rPr/>
        <w:t>la</w:t>
      </w:r>
      <w:r>
        <w:rPr>
          <w:spacing w:val="-7"/>
        </w:rPr>
        <w:t> </w:t>
      </w:r>
      <w:r>
        <w:rPr/>
        <w:t>cual</w:t>
      </w:r>
      <w:r>
        <w:rPr>
          <w:spacing w:val="-5"/>
        </w:rPr>
        <w:t> </w:t>
      </w:r>
      <w:r>
        <w:rPr/>
        <w:t>establece</w:t>
      </w:r>
      <w:r>
        <w:rPr>
          <w:spacing w:val="-7"/>
        </w:rPr>
        <w:t> </w:t>
      </w:r>
      <w:r>
        <w:rPr/>
        <w:t>en</w:t>
      </w:r>
      <w:r>
        <w:rPr>
          <w:spacing w:val="-9"/>
        </w:rPr>
        <w:t> </w:t>
      </w:r>
      <w:r>
        <w:rPr/>
        <w:t>el</w:t>
      </w:r>
      <w:r>
        <w:rPr>
          <w:spacing w:val="-5"/>
        </w:rPr>
        <w:t> </w:t>
      </w:r>
      <w:r>
        <w:rPr/>
        <w:t>artículo</w:t>
      </w:r>
      <w:r>
        <w:rPr>
          <w:spacing w:val="-7"/>
        </w:rPr>
        <w:t> </w:t>
      </w:r>
      <w:r>
        <w:rPr/>
        <w:t>5,</w:t>
      </w:r>
      <w:r>
        <w:rPr>
          <w:spacing w:val="-6"/>
        </w:rPr>
        <w:t> </w:t>
      </w:r>
      <w:r>
        <w:rPr/>
        <w:t>que</w:t>
      </w:r>
      <w:r>
        <w:rPr>
          <w:spacing w:val="-7"/>
        </w:rPr>
        <w:t> </w:t>
      </w:r>
      <w:r>
        <w:rPr/>
        <w:t>dicha</w:t>
      </w:r>
      <w:r>
        <w:rPr>
          <w:spacing w:val="-6"/>
        </w:rPr>
        <w:t> </w:t>
      </w:r>
      <w:r>
        <w:rPr/>
        <w:t>comisión</w:t>
      </w:r>
      <w:r>
        <w:rPr>
          <w:spacing w:val="-7"/>
        </w:rPr>
        <w:t> </w:t>
      </w:r>
      <w:r>
        <w:rPr/>
        <w:t>prestará</w:t>
      </w:r>
      <w:r>
        <w:rPr>
          <w:spacing w:val="-7"/>
        </w:rPr>
        <w:t> </w:t>
      </w:r>
      <w:r>
        <w:rPr/>
        <w:t>asesoría al Ministro y Viceministro de Finanzas Públicas en materia de administración financiera (definición de políticas, programación, control y evaluación de la gestión financiera</w:t>
      </w:r>
      <w:r>
        <w:rPr>
          <w:spacing w:val="-14"/>
        </w:rPr>
        <w:t> </w:t>
      </w:r>
      <w:r>
        <w:rPr/>
        <w:t>pública).</w:t>
      </w:r>
    </w:p>
    <w:p>
      <w:pPr>
        <w:pStyle w:val="BodyText"/>
        <w:spacing w:before="5"/>
        <w:rPr>
          <w:sz w:val="25"/>
        </w:rPr>
      </w:pPr>
    </w:p>
    <w:p>
      <w:pPr>
        <w:pStyle w:val="BodyText"/>
        <w:spacing w:line="276" w:lineRule="auto"/>
        <w:ind w:left="562" w:right="1696"/>
        <w:jc w:val="both"/>
      </w:pPr>
      <w:r>
        <w:rPr/>
        <w:t>De manera específica, el Art. 23 bis de la Ley Orgánica de la Superintendencia de Administración Tributaria (LOSAT) le confiere a la CTFP la responsabilidad de acordar el “pronóstico técnico de la recaudación tributaria esperada”. De acuerdo con dicha disposición, el pronóstico podrá considerar aspectos económicos, financieros y la legislación vigente.</w:t>
      </w:r>
    </w:p>
    <w:p>
      <w:pPr>
        <w:pStyle w:val="BodyText"/>
        <w:spacing w:before="3"/>
        <w:rPr>
          <w:sz w:val="25"/>
        </w:rPr>
      </w:pPr>
    </w:p>
    <w:p>
      <w:pPr>
        <w:pStyle w:val="BodyText"/>
        <w:spacing w:line="276" w:lineRule="auto"/>
        <w:ind w:left="562" w:right="1702"/>
        <w:jc w:val="both"/>
      </w:pPr>
      <w:r>
        <w:rPr/>
        <w:t>Dicho artículo establece también que las metas de recaudación tributaria deben considerar, además del pronóstico acotado, las metas de recaudación adicional por reducción del incumplimiento tributario, de la defraudación tributaria o aduanera, la meta de facilitación del cumplimiento de los contribuyentes, y otras metas incluidas y asociadas a la aplicación del Plan de Recaudación, Control y Fiscalización, establecidas por la SAT.</w:t>
      </w:r>
    </w:p>
    <w:p>
      <w:pPr>
        <w:pStyle w:val="BodyText"/>
        <w:spacing w:before="3"/>
        <w:rPr>
          <w:sz w:val="25"/>
        </w:rPr>
      </w:pPr>
    </w:p>
    <w:p>
      <w:pPr>
        <w:pStyle w:val="BodyText"/>
        <w:spacing w:before="1"/>
        <w:ind w:left="562"/>
        <w:jc w:val="both"/>
      </w:pPr>
      <w:r>
        <w:rPr/>
        <w:t>Para el desarrollo de la estimación de recaudación tributaria, existen metodologías como:</w:t>
      </w:r>
    </w:p>
    <w:p>
      <w:pPr>
        <w:pStyle w:val="BodyText"/>
        <w:spacing w:before="4"/>
        <w:rPr>
          <w:sz w:val="28"/>
        </w:rPr>
      </w:pPr>
    </w:p>
    <w:p>
      <w:pPr>
        <w:pStyle w:val="ListParagraph"/>
        <w:numPr>
          <w:ilvl w:val="0"/>
          <w:numId w:val="40"/>
        </w:numPr>
        <w:tabs>
          <w:tab w:pos="1282" w:val="left" w:leader="none"/>
        </w:tabs>
        <w:spacing w:line="276" w:lineRule="auto" w:before="0" w:after="0"/>
        <w:ind w:left="1282" w:right="1697" w:hanging="360"/>
        <w:jc w:val="both"/>
        <w:rPr>
          <w:sz w:val="22"/>
        </w:rPr>
      </w:pPr>
      <w:r>
        <w:rPr>
          <w:sz w:val="22"/>
          <w:u w:val="single"/>
        </w:rPr>
        <w:t>El sistema de extrapolación</w:t>
      </w:r>
      <w:r>
        <w:rPr>
          <w:sz w:val="22"/>
        </w:rPr>
        <w:t>, basado sobre el supuesto de que la evolución de una variable que se ha observado en el pasado (recaudación tributaria) se mantendrá en el futuro, sin considerar el comportamiento de las variables que determinan los ingresos</w:t>
      </w:r>
      <w:r>
        <w:rPr>
          <w:spacing w:val="-21"/>
          <w:sz w:val="22"/>
        </w:rPr>
        <w:t> </w:t>
      </w:r>
      <w:r>
        <w:rPr>
          <w:sz w:val="22"/>
        </w:rPr>
        <w:t>tributarios.</w:t>
      </w:r>
    </w:p>
    <w:p>
      <w:pPr>
        <w:pStyle w:val="ListParagraph"/>
        <w:numPr>
          <w:ilvl w:val="0"/>
          <w:numId w:val="40"/>
        </w:numPr>
        <w:tabs>
          <w:tab w:pos="1282" w:val="left" w:leader="none"/>
        </w:tabs>
        <w:spacing w:line="276" w:lineRule="auto" w:before="0" w:after="0"/>
        <w:ind w:left="1282" w:right="1700" w:hanging="360"/>
        <w:jc w:val="both"/>
        <w:rPr>
          <w:sz w:val="22"/>
        </w:rPr>
      </w:pPr>
      <w:r>
        <w:rPr>
          <w:sz w:val="22"/>
          <w:u w:val="single"/>
        </w:rPr>
        <w:t>El método directo</w:t>
      </w:r>
      <w:r>
        <w:rPr>
          <w:sz w:val="22"/>
        </w:rPr>
        <w:t>, partiendo de los datos históricos de recaudación incorpora, mediante el estudio</w:t>
      </w:r>
      <w:r>
        <w:rPr>
          <w:spacing w:val="-12"/>
          <w:sz w:val="22"/>
        </w:rPr>
        <w:t> </w:t>
      </w:r>
      <w:r>
        <w:rPr>
          <w:sz w:val="22"/>
        </w:rPr>
        <w:t>pormenorizado</w:t>
      </w:r>
      <w:r>
        <w:rPr>
          <w:spacing w:val="-12"/>
          <w:sz w:val="22"/>
        </w:rPr>
        <w:t> </w:t>
      </w:r>
      <w:r>
        <w:rPr>
          <w:sz w:val="22"/>
        </w:rPr>
        <w:t>de</w:t>
      </w:r>
      <w:r>
        <w:rPr>
          <w:spacing w:val="-11"/>
          <w:sz w:val="22"/>
        </w:rPr>
        <w:t> </w:t>
      </w:r>
      <w:r>
        <w:rPr>
          <w:sz w:val="22"/>
        </w:rPr>
        <w:t>cada</w:t>
      </w:r>
      <w:r>
        <w:rPr>
          <w:spacing w:val="-11"/>
          <w:sz w:val="22"/>
        </w:rPr>
        <w:t> </w:t>
      </w:r>
      <w:r>
        <w:rPr>
          <w:sz w:val="22"/>
        </w:rPr>
        <w:t>impuesto,</w:t>
      </w:r>
      <w:r>
        <w:rPr>
          <w:spacing w:val="-12"/>
          <w:sz w:val="22"/>
        </w:rPr>
        <w:t> </w:t>
      </w:r>
      <w:r>
        <w:rPr>
          <w:sz w:val="22"/>
        </w:rPr>
        <w:t>los</w:t>
      </w:r>
      <w:r>
        <w:rPr>
          <w:spacing w:val="-11"/>
          <w:sz w:val="22"/>
        </w:rPr>
        <w:t> </w:t>
      </w:r>
      <w:r>
        <w:rPr>
          <w:sz w:val="22"/>
        </w:rPr>
        <w:t>efectos,</w:t>
      </w:r>
      <w:r>
        <w:rPr>
          <w:spacing w:val="-14"/>
          <w:sz w:val="22"/>
        </w:rPr>
        <w:t> </w:t>
      </w:r>
      <w:r>
        <w:rPr>
          <w:sz w:val="22"/>
        </w:rPr>
        <w:t>tanto</w:t>
      </w:r>
      <w:r>
        <w:rPr>
          <w:spacing w:val="-12"/>
          <w:sz w:val="22"/>
        </w:rPr>
        <w:t> </w:t>
      </w:r>
      <w:r>
        <w:rPr>
          <w:sz w:val="22"/>
        </w:rPr>
        <w:t>de</w:t>
      </w:r>
      <w:r>
        <w:rPr>
          <w:spacing w:val="-14"/>
          <w:sz w:val="22"/>
        </w:rPr>
        <w:t> </w:t>
      </w:r>
      <w:r>
        <w:rPr>
          <w:sz w:val="22"/>
        </w:rPr>
        <w:t>las</w:t>
      </w:r>
      <w:r>
        <w:rPr>
          <w:spacing w:val="-11"/>
          <w:sz w:val="22"/>
        </w:rPr>
        <w:t> </w:t>
      </w:r>
      <w:r>
        <w:rPr>
          <w:sz w:val="22"/>
        </w:rPr>
        <w:t>decisiones</w:t>
      </w:r>
      <w:r>
        <w:rPr>
          <w:spacing w:val="-11"/>
          <w:sz w:val="22"/>
        </w:rPr>
        <w:t> </w:t>
      </w:r>
      <w:r>
        <w:rPr>
          <w:sz w:val="22"/>
        </w:rPr>
        <w:t>de</w:t>
      </w:r>
      <w:r>
        <w:rPr>
          <w:spacing w:val="-12"/>
          <w:sz w:val="22"/>
        </w:rPr>
        <w:t> </w:t>
      </w:r>
      <w:r>
        <w:rPr>
          <w:sz w:val="22"/>
        </w:rPr>
        <w:t>política</w:t>
      </w:r>
      <w:r>
        <w:rPr>
          <w:spacing w:val="-11"/>
          <w:sz w:val="22"/>
        </w:rPr>
        <w:t> </w:t>
      </w:r>
      <w:r>
        <w:rPr>
          <w:sz w:val="22"/>
        </w:rPr>
        <w:t>fiscal (reformas), como el comportamiento de las variables</w:t>
      </w:r>
      <w:r>
        <w:rPr>
          <w:spacing w:val="-7"/>
          <w:sz w:val="22"/>
        </w:rPr>
        <w:t> </w:t>
      </w:r>
      <w:r>
        <w:rPr>
          <w:sz w:val="22"/>
        </w:rPr>
        <w:t>económicas.</w:t>
      </w:r>
    </w:p>
    <w:p>
      <w:pPr>
        <w:pStyle w:val="ListParagraph"/>
        <w:numPr>
          <w:ilvl w:val="0"/>
          <w:numId w:val="40"/>
        </w:numPr>
        <w:tabs>
          <w:tab w:pos="1282" w:val="left" w:leader="none"/>
        </w:tabs>
        <w:spacing w:line="273" w:lineRule="auto" w:before="0" w:after="0"/>
        <w:ind w:left="1282" w:right="1698" w:hanging="360"/>
        <w:jc w:val="both"/>
        <w:rPr>
          <w:sz w:val="22"/>
        </w:rPr>
      </w:pPr>
      <w:r>
        <w:rPr>
          <w:sz w:val="22"/>
          <w:u w:val="single"/>
        </w:rPr>
        <w:t>Econometría</w:t>
      </w:r>
      <w:r>
        <w:rPr>
          <w:sz w:val="22"/>
        </w:rPr>
        <w:t>, analiza, interpreta y predice los resultados de la recaudación tributaria y variables económicas</w:t>
      </w:r>
      <w:r>
        <w:rPr>
          <w:spacing w:val="-5"/>
          <w:sz w:val="22"/>
        </w:rPr>
        <w:t> </w:t>
      </w:r>
      <w:r>
        <w:rPr>
          <w:sz w:val="22"/>
        </w:rPr>
        <w:t>explicativas.</w:t>
      </w:r>
    </w:p>
    <w:p>
      <w:pPr>
        <w:pStyle w:val="ListParagraph"/>
        <w:numPr>
          <w:ilvl w:val="0"/>
          <w:numId w:val="40"/>
        </w:numPr>
        <w:tabs>
          <w:tab w:pos="1282" w:val="left" w:leader="none"/>
        </w:tabs>
        <w:spacing w:line="276" w:lineRule="auto" w:before="0" w:after="0"/>
        <w:ind w:left="1282" w:right="1696" w:hanging="360"/>
        <w:jc w:val="both"/>
        <w:rPr>
          <w:i/>
          <w:sz w:val="22"/>
        </w:rPr>
      </w:pPr>
      <w:r>
        <w:rPr>
          <w:sz w:val="22"/>
          <w:u w:val="single"/>
        </w:rPr>
        <w:t>Elasticidad</w:t>
      </w:r>
      <w:r>
        <w:rPr>
          <w:sz w:val="22"/>
        </w:rPr>
        <w:t>, es la sensibilidad de variación que presenta una variable a los cambios experimentados</w:t>
      </w:r>
      <w:r>
        <w:rPr>
          <w:spacing w:val="-11"/>
          <w:sz w:val="22"/>
        </w:rPr>
        <w:t> </w:t>
      </w:r>
      <w:r>
        <w:rPr>
          <w:sz w:val="22"/>
        </w:rPr>
        <w:t>por</w:t>
      </w:r>
      <w:r>
        <w:rPr>
          <w:spacing w:val="-14"/>
          <w:sz w:val="22"/>
        </w:rPr>
        <w:t> </w:t>
      </w:r>
      <w:r>
        <w:rPr>
          <w:sz w:val="22"/>
        </w:rPr>
        <w:t>otra.</w:t>
      </w:r>
      <w:r>
        <w:rPr>
          <w:spacing w:val="-10"/>
          <w:sz w:val="22"/>
        </w:rPr>
        <w:t> </w:t>
      </w:r>
      <w:r>
        <w:rPr>
          <w:sz w:val="22"/>
        </w:rPr>
        <w:t>Por</w:t>
      </w:r>
      <w:r>
        <w:rPr>
          <w:spacing w:val="-11"/>
          <w:sz w:val="22"/>
        </w:rPr>
        <w:t> </w:t>
      </w:r>
      <w:r>
        <w:rPr>
          <w:sz w:val="22"/>
        </w:rPr>
        <w:t>ejemplo,</w:t>
      </w:r>
      <w:r>
        <w:rPr>
          <w:spacing w:val="-12"/>
          <w:sz w:val="22"/>
        </w:rPr>
        <w:t> </w:t>
      </w:r>
      <w:r>
        <w:rPr>
          <w:sz w:val="22"/>
        </w:rPr>
        <w:t>cuando</w:t>
      </w:r>
      <w:r>
        <w:rPr>
          <w:spacing w:val="-11"/>
          <w:sz w:val="22"/>
        </w:rPr>
        <w:t> </w:t>
      </w:r>
      <w:r>
        <w:rPr>
          <w:sz w:val="22"/>
        </w:rPr>
        <w:t>el</w:t>
      </w:r>
      <w:r>
        <w:rPr>
          <w:spacing w:val="-13"/>
          <w:sz w:val="22"/>
        </w:rPr>
        <w:t> </w:t>
      </w:r>
      <w:r>
        <w:rPr>
          <w:sz w:val="22"/>
        </w:rPr>
        <w:t>nivel</w:t>
      </w:r>
      <w:r>
        <w:rPr>
          <w:spacing w:val="-11"/>
          <w:sz w:val="22"/>
        </w:rPr>
        <w:t> </w:t>
      </w:r>
      <w:r>
        <w:rPr>
          <w:sz w:val="22"/>
        </w:rPr>
        <w:t>de</w:t>
      </w:r>
      <w:r>
        <w:rPr>
          <w:spacing w:val="-10"/>
          <w:sz w:val="22"/>
        </w:rPr>
        <w:t> </w:t>
      </w:r>
      <w:r>
        <w:rPr>
          <w:sz w:val="22"/>
        </w:rPr>
        <w:t>ingresos</w:t>
      </w:r>
      <w:r>
        <w:rPr>
          <w:spacing w:val="-11"/>
          <w:sz w:val="22"/>
        </w:rPr>
        <w:t> </w:t>
      </w:r>
      <w:r>
        <w:rPr>
          <w:sz w:val="22"/>
        </w:rPr>
        <w:t>de</w:t>
      </w:r>
      <w:r>
        <w:rPr>
          <w:spacing w:val="-14"/>
          <w:sz w:val="22"/>
        </w:rPr>
        <w:t> </w:t>
      </w:r>
      <w:r>
        <w:rPr>
          <w:sz w:val="22"/>
        </w:rPr>
        <w:t>la</w:t>
      </w:r>
      <w:r>
        <w:rPr>
          <w:spacing w:val="-7"/>
          <w:sz w:val="22"/>
        </w:rPr>
        <w:t> </w:t>
      </w:r>
      <w:r>
        <w:rPr>
          <w:sz w:val="22"/>
        </w:rPr>
        <w:t>economía</w:t>
      </w:r>
      <w:r>
        <w:rPr>
          <w:spacing w:val="-11"/>
          <w:sz w:val="22"/>
        </w:rPr>
        <w:t> </w:t>
      </w:r>
      <w:r>
        <w:rPr>
          <w:sz w:val="22"/>
        </w:rPr>
        <w:t>incrementa se esperaría que el monto de la recaudación tributaria aumente aun cuando el marco legal vigente no sufra cambios </w:t>
      </w:r>
      <w:r>
        <w:rPr>
          <w:i/>
          <w:sz w:val="22"/>
        </w:rPr>
        <w:t>(las tasas de los impuestos del sistema tributario permanecen </w:t>
      </w:r>
      <w:r>
        <w:rPr>
          <w:i/>
          <w:sz w:val="22"/>
        </w:rPr>
        <w:t>constantes).</w:t>
      </w:r>
    </w:p>
    <w:p>
      <w:pPr>
        <w:spacing w:after="0" w:line="276" w:lineRule="auto"/>
        <w:jc w:val="both"/>
        <w:rPr>
          <w:sz w:val="22"/>
        </w:rPr>
        <w:sectPr>
          <w:pgSz w:w="12240" w:h="15840"/>
          <w:pgMar w:header="715" w:footer="688" w:top="1240" w:bottom="880" w:left="1140" w:right="0"/>
        </w:sectPr>
      </w:pPr>
    </w:p>
    <w:p>
      <w:pPr>
        <w:pStyle w:val="BodyText"/>
        <w:rPr>
          <w:i/>
          <w:sz w:val="9"/>
        </w:rPr>
      </w:pPr>
    </w:p>
    <w:p>
      <w:pPr>
        <w:pStyle w:val="Heading3"/>
        <w:spacing w:before="92"/>
        <w:ind w:left="3116"/>
      </w:pPr>
      <w:r>
        <w:rPr/>
        <w:pict>
          <v:group style="position:absolute;margin-left:79.704002pt;margin-top:3.229534pt;width:453.2pt;height:450.95pt;mso-position-horizontal-relative:page;mso-position-vertical-relative:paragraph;z-index:-280160256" coordorigin="1594,65" coordsize="9064,9019">
            <v:rect style="position:absolute;left:1594;top:74;width:9055;height:471" filled="true" fillcolor="#deeaf6" stroked="false">
              <v:fill type="solid"/>
            </v:rect>
            <v:line style="position:absolute" from="1613,69" to="10648,69" stroked="true" strokeweight=".48pt" strokecolor="#000000">
              <v:stroke dashstyle="solid"/>
            </v:line>
            <v:shape style="position:absolute;left:1594;top:544;width:9055;height:8529" coordorigin="1594,545" coordsize="9055,8529" path="m10648,8816l1594,8816,1594,9073,10648,9073,10648,8816m10648,5557l1594,5557,1594,5794,1594,6193,1594,6591,1594,6990,1594,6990,1594,7388,1594,7626,1594,7864,1594,8101,1594,8341,1594,8579,1594,8816,10648,8816,10648,8579,10648,8341,10648,8101,10648,7864,10648,7626,10648,7388,10648,6990,10648,6990,10648,6591,10648,6193,10648,5794,10648,5557m10648,3809l1594,3809,1594,4208,1594,4604,1594,4844,1594,5082,1594,5319,1594,5557,10648,5557,10648,5319,10648,5082,10648,4844,10648,4604,10648,4208,10648,3809m10648,3007l1594,3007,1594,3406,1594,3809,10648,3809,10648,3406,10648,3007m10648,545l1594,545,1594,783,1594,1023,1594,1260,1594,1498,1594,1896,1594,2295,1594,2532,1594,2770,1594,3007,10648,3007,10648,2770,10648,2532,10648,2295,10648,1896,10648,1498,10648,1260,10648,1023,10648,783,10648,545e" filled="true" fillcolor="#deeaf6" stroked="false">
              <v:path arrowok="t"/>
              <v:fill type="solid"/>
            </v:shape>
            <v:line style="position:absolute" from="1613,9078" to="10648,9078" stroked="true" strokeweight=".48pt" strokecolor="#000000">
              <v:stroke dashstyle="solid"/>
            </v:line>
            <v:line style="position:absolute" from="1608,65" to="1608,9083" stroked="true" strokeweight=".48pt" strokecolor="#000000">
              <v:stroke dashstyle="solid"/>
            </v:line>
            <v:line style="position:absolute" from="10653,65" to="10653,9083" stroked="true" strokeweight=".48pt" strokecolor="#000000">
              <v:stroke dashstyle="solid"/>
            </v:line>
            <w10:wrap type="none"/>
          </v:group>
        </w:pict>
      </w:r>
      <w:r>
        <w:rPr/>
        <w:t>Elasticidad de los principales impuestos</w:t>
      </w:r>
    </w:p>
    <w:p>
      <w:pPr>
        <w:pStyle w:val="BodyText"/>
        <w:spacing w:before="11"/>
        <w:rPr>
          <w:b/>
          <w:sz w:val="8"/>
        </w:rPr>
      </w:pPr>
    </w:p>
    <w:p>
      <w:pPr>
        <w:spacing w:line="276" w:lineRule="auto" w:before="92"/>
        <w:ind w:left="562" w:right="1698" w:firstLine="0"/>
        <w:jc w:val="both"/>
        <w:rPr>
          <w:sz w:val="18"/>
        </w:rPr>
      </w:pPr>
      <w:r>
        <w:rPr>
          <w:sz w:val="18"/>
        </w:rPr>
        <w:t>Es importante determinar la elasticidad de cada uno de los impuestos esto para conocer el grado de respuesta que estos tienen</w:t>
      </w:r>
      <w:r>
        <w:rPr>
          <w:spacing w:val="-3"/>
          <w:sz w:val="18"/>
        </w:rPr>
        <w:t> </w:t>
      </w:r>
      <w:r>
        <w:rPr>
          <w:sz w:val="18"/>
        </w:rPr>
        <w:t>respecto</w:t>
      </w:r>
      <w:r>
        <w:rPr>
          <w:spacing w:val="-5"/>
          <w:sz w:val="18"/>
        </w:rPr>
        <w:t> </w:t>
      </w:r>
      <w:r>
        <w:rPr>
          <w:sz w:val="18"/>
        </w:rPr>
        <w:t>a</w:t>
      </w:r>
      <w:r>
        <w:rPr>
          <w:spacing w:val="-5"/>
          <w:sz w:val="18"/>
        </w:rPr>
        <w:t> </w:t>
      </w:r>
      <w:r>
        <w:rPr>
          <w:sz w:val="18"/>
        </w:rPr>
        <w:t>las</w:t>
      </w:r>
      <w:r>
        <w:rPr>
          <w:spacing w:val="-5"/>
          <w:sz w:val="18"/>
        </w:rPr>
        <w:t> </w:t>
      </w:r>
      <w:r>
        <w:rPr>
          <w:sz w:val="18"/>
        </w:rPr>
        <w:t>variables</w:t>
      </w:r>
      <w:r>
        <w:rPr>
          <w:spacing w:val="-5"/>
          <w:sz w:val="18"/>
        </w:rPr>
        <w:t> </w:t>
      </w:r>
      <w:r>
        <w:rPr>
          <w:sz w:val="18"/>
        </w:rPr>
        <w:t>que</w:t>
      </w:r>
      <w:r>
        <w:rPr>
          <w:spacing w:val="-5"/>
          <w:sz w:val="18"/>
        </w:rPr>
        <w:t> </w:t>
      </w:r>
      <w:r>
        <w:rPr>
          <w:sz w:val="18"/>
        </w:rPr>
        <w:t>los</w:t>
      </w:r>
      <w:r>
        <w:rPr>
          <w:spacing w:val="-7"/>
          <w:sz w:val="18"/>
        </w:rPr>
        <w:t> </w:t>
      </w:r>
      <w:r>
        <w:rPr>
          <w:sz w:val="18"/>
        </w:rPr>
        <w:t>determinan,</w:t>
      </w:r>
      <w:r>
        <w:rPr>
          <w:spacing w:val="-4"/>
          <w:sz w:val="18"/>
        </w:rPr>
        <w:t> </w:t>
      </w:r>
      <w:r>
        <w:rPr>
          <w:sz w:val="18"/>
        </w:rPr>
        <w:t>esta</w:t>
      </w:r>
      <w:r>
        <w:rPr>
          <w:spacing w:val="-5"/>
          <w:sz w:val="18"/>
        </w:rPr>
        <w:t> </w:t>
      </w:r>
      <w:r>
        <w:rPr>
          <w:sz w:val="18"/>
        </w:rPr>
        <w:t>medición</w:t>
      </w:r>
      <w:r>
        <w:rPr>
          <w:spacing w:val="-3"/>
          <w:sz w:val="18"/>
        </w:rPr>
        <w:t> </w:t>
      </w:r>
      <w:r>
        <w:rPr>
          <w:sz w:val="18"/>
        </w:rPr>
        <w:t>puede</w:t>
      </w:r>
      <w:r>
        <w:rPr>
          <w:spacing w:val="-4"/>
          <w:sz w:val="18"/>
        </w:rPr>
        <w:t> </w:t>
      </w:r>
      <w:r>
        <w:rPr>
          <w:sz w:val="18"/>
        </w:rPr>
        <w:t>utilizarse</w:t>
      </w:r>
      <w:r>
        <w:rPr>
          <w:spacing w:val="-5"/>
          <w:sz w:val="18"/>
        </w:rPr>
        <w:t> </w:t>
      </w:r>
      <w:r>
        <w:rPr>
          <w:sz w:val="18"/>
        </w:rPr>
        <w:t>de</w:t>
      </w:r>
      <w:r>
        <w:rPr>
          <w:spacing w:val="-7"/>
          <w:sz w:val="18"/>
        </w:rPr>
        <w:t> </w:t>
      </w:r>
      <w:r>
        <w:rPr>
          <w:sz w:val="18"/>
        </w:rPr>
        <w:t>manera</w:t>
      </w:r>
      <w:r>
        <w:rPr>
          <w:spacing w:val="-5"/>
          <w:sz w:val="18"/>
        </w:rPr>
        <w:t> </w:t>
      </w:r>
      <w:r>
        <w:rPr>
          <w:sz w:val="18"/>
        </w:rPr>
        <w:t>complementaria</w:t>
      </w:r>
      <w:r>
        <w:rPr>
          <w:spacing w:val="-5"/>
          <w:sz w:val="18"/>
        </w:rPr>
        <w:t> </w:t>
      </w:r>
      <w:r>
        <w:rPr>
          <w:sz w:val="18"/>
        </w:rPr>
        <w:t>con</w:t>
      </w:r>
      <w:r>
        <w:rPr>
          <w:spacing w:val="-6"/>
          <w:sz w:val="18"/>
        </w:rPr>
        <w:t> </w:t>
      </w:r>
      <w:r>
        <w:rPr>
          <w:sz w:val="18"/>
        </w:rPr>
        <w:t>el</w:t>
      </w:r>
      <w:r>
        <w:rPr>
          <w:spacing w:val="-4"/>
          <w:sz w:val="18"/>
        </w:rPr>
        <w:t> </w:t>
      </w:r>
      <w:r>
        <w:rPr>
          <w:sz w:val="18"/>
        </w:rPr>
        <w:t>método directo</w:t>
      </w:r>
      <w:r>
        <w:rPr>
          <w:spacing w:val="-3"/>
          <w:sz w:val="18"/>
        </w:rPr>
        <w:t> </w:t>
      </w:r>
      <w:r>
        <w:rPr>
          <w:sz w:val="18"/>
        </w:rPr>
        <w:t>ya</w:t>
      </w:r>
      <w:r>
        <w:rPr>
          <w:spacing w:val="-5"/>
          <w:sz w:val="18"/>
        </w:rPr>
        <w:t> </w:t>
      </w:r>
      <w:r>
        <w:rPr>
          <w:sz w:val="18"/>
        </w:rPr>
        <w:t>que</w:t>
      </w:r>
      <w:r>
        <w:rPr>
          <w:spacing w:val="-4"/>
          <w:sz w:val="18"/>
        </w:rPr>
        <w:t> </w:t>
      </w:r>
      <w:r>
        <w:rPr>
          <w:sz w:val="18"/>
        </w:rPr>
        <w:t>este</w:t>
      </w:r>
      <w:r>
        <w:rPr>
          <w:spacing w:val="-5"/>
          <w:sz w:val="18"/>
        </w:rPr>
        <w:t> </w:t>
      </w:r>
      <w:r>
        <w:rPr>
          <w:sz w:val="18"/>
        </w:rPr>
        <w:t>método</w:t>
      </w:r>
      <w:r>
        <w:rPr>
          <w:spacing w:val="-2"/>
          <w:sz w:val="18"/>
        </w:rPr>
        <w:t> </w:t>
      </w:r>
      <w:r>
        <w:rPr>
          <w:sz w:val="18"/>
        </w:rPr>
        <w:t>asume</w:t>
      </w:r>
      <w:r>
        <w:rPr>
          <w:spacing w:val="-3"/>
          <w:sz w:val="18"/>
        </w:rPr>
        <w:t> </w:t>
      </w:r>
      <w:r>
        <w:rPr>
          <w:sz w:val="18"/>
        </w:rPr>
        <w:t>una</w:t>
      </w:r>
      <w:r>
        <w:rPr>
          <w:spacing w:val="-6"/>
          <w:sz w:val="18"/>
        </w:rPr>
        <w:t> </w:t>
      </w:r>
      <w:r>
        <w:rPr>
          <w:sz w:val="18"/>
        </w:rPr>
        <w:t>elasticidad</w:t>
      </w:r>
      <w:r>
        <w:rPr>
          <w:spacing w:val="-3"/>
          <w:sz w:val="18"/>
        </w:rPr>
        <w:t> </w:t>
      </w:r>
      <w:r>
        <w:rPr>
          <w:sz w:val="18"/>
        </w:rPr>
        <w:t>teórica</w:t>
      </w:r>
      <w:r>
        <w:rPr>
          <w:spacing w:val="-4"/>
          <w:sz w:val="18"/>
        </w:rPr>
        <w:t> </w:t>
      </w:r>
      <w:r>
        <w:rPr>
          <w:sz w:val="18"/>
        </w:rPr>
        <w:t>igual</w:t>
      </w:r>
      <w:r>
        <w:rPr>
          <w:spacing w:val="-4"/>
          <w:sz w:val="18"/>
        </w:rPr>
        <w:t> </w:t>
      </w:r>
      <w:r>
        <w:rPr>
          <w:sz w:val="18"/>
        </w:rPr>
        <w:t>a</w:t>
      </w:r>
      <w:r>
        <w:rPr>
          <w:spacing w:val="-6"/>
          <w:sz w:val="18"/>
        </w:rPr>
        <w:t> </w:t>
      </w:r>
      <w:r>
        <w:rPr>
          <w:sz w:val="18"/>
        </w:rPr>
        <w:t>1,</w:t>
      </w:r>
      <w:r>
        <w:rPr>
          <w:spacing w:val="-6"/>
          <w:sz w:val="18"/>
        </w:rPr>
        <w:t> </w:t>
      </w:r>
      <w:r>
        <w:rPr>
          <w:sz w:val="18"/>
        </w:rPr>
        <w:t>a</w:t>
      </w:r>
      <w:r>
        <w:rPr>
          <w:spacing w:val="-4"/>
          <w:sz w:val="18"/>
        </w:rPr>
        <w:t> </w:t>
      </w:r>
      <w:r>
        <w:rPr>
          <w:sz w:val="18"/>
        </w:rPr>
        <w:t>manera</w:t>
      </w:r>
      <w:r>
        <w:rPr>
          <w:spacing w:val="-5"/>
          <w:sz w:val="18"/>
        </w:rPr>
        <w:t> </w:t>
      </w:r>
      <w:r>
        <w:rPr>
          <w:sz w:val="18"/>
        </w:rPr>
        <w:t>de</w:t>
      </w:r>
      <w:r>
        <w:rPr>
          <w:spacing w:val="-4"/>
          <w:sz w:val="18"/>
        </w:rPr>
        <w:t> </w:t>
      </w:r>
      <w:r>
        <w:rPr>
          <w:sz w:val="18"/>
        </w:rPr>
        <w:t>ejemplo</w:t>
      </w:r>
      <w:r>
        <w:rPr>
          <w:spacing w:val="-3"/>
          <w:sz w:val="18"/>
        </w:rPr>
        <w:t> </w:t>
      </w:r>
      <w:r>
        <w:rPr>
          <w:sz w:val="18"/>
        </w:rPr>
        <w:t>se</w:t>
      </w:r>
      <w:r>
        <w:rPr>
          <w:spacing w:val="-4"/>
          <w:sz w:val="18"/>
        </w:rPr>
        <w:t> </w:t>
      </w:r>
      <w:r>
        <w:rPr>
          <w:sz w:val="18"/>
        </w:rPr>
        <w:t>detalla</w:t>
      </w:r>
      <w:r>
        <w:rPr>
          <w:spacing w:val="-5"/>
          <w:sz w:val="18"/>
        </w:rPr>
        <w:t> </w:t>
      </w:r>
      <w:r>
        <w:rPr>
          <w:sz w:val="18"/>
        </w:rPr>
        <w:t>a</w:t>
      </w:r>
      <w:r>
        <w:rPr>
          <w:spacing w:val="-4"/>
          <w:sz w:val="18"/>
        </w:rPr>
        <w:t> </w:t>
      </w:r>
      <w:r>
        <w:rPr>
          <w:sz w:val="18"/>
        </w:rPr>
        <w:t>continuación</w:t>
      </w:r>
      <w:r>
        <w:rPr>
          <w:spacing w:val="-3"/>
          <w:sz w:val="18"/>
        </w:rPr>
        <w:t> </w:t>
      </w:r>
      <w:r>
        <w:rPr>
          <w:sz w:val="18"/>
        </w:rPr>
        <w:t>el</w:t>
      </w:r>
      <w:r>
        <w:rPr>
          <w:spacing w:val="-5"/>
          <w:sz w:val="18"/>
        </w:rPr>
        <w:t> </w:t>
      </w:r>
      <w:r>
        <w:rPr>
          <w:sz w:val="18"/>
        </w:rPr>
        <w:t>cálculo de</w:t>
      </w:r>
      <w:r>
        <w:rPr>
          <w:spacing w:val="-12"/>
          <w:sz w:val="18"/>
        </w:rPr>
        <w:t> </w:t>
      </w:r>
      <w:r>
        <w:rPr>
          <w:sz w:val="18"/>
        </w:rPr>
        <w:t>la</w:t>
      </w:r>
      <w:r>
        <w:rPr>
          <w:spacing w:val="-11"/>
          <w:sz w:val="18"/>
        </w:rPr>
        <w:t> </w:t>
      </w:r>
      <w:r>
        <w:rPr>
          <w:sz w:val="18"/>
        </w:rPr>
        <w:t>elasticidad</w:t>
      </w:r>
      <w:r>
        <w:rPr>
          <w:spacing w:val="-9"/>
          <w:sz w:val="18"/>
        </w:rPr>
        <w:t> </w:t>
      </w:r>
      <w:r>
        <w:rPr>
          <w:sz w:val="18"/>
        </w:rPr>
        <w:t>de</w:t>
      </w:r>
      <w:r>
        <w:rPr>
          <w:spacing w:val="-11"/>
          <w:sz w:val="18"/>
        </w:rPr>
        <w:t> </w:t>
      </w:r>
      <w:r>
        <w:rPr>
          <w:sz w:val="18"/>
        </w:rPr>
        <w:t>los</w:t>
      </w:r>
      <w:r>
        <w:rPr>
          <w:spacing w:val="-11"/>
          <w:sz w:val="18"/>
        </w:rPr>
        <w:t> </w:t>
      </w:r>
      <w:r>
        <w:rPr>
          <w:sz w:val="18"/>
        </w:rPr>
        <w:t>principales</w:t>
      </w:r>
      <w:r>
        <w:rPr>
          <w:spacing w:val="-11"/>
          <w:sz w:val="18"/>
        </w:rPr>
        <w:t> </w:t>
      </w:r>
      <w:r>
        <w:rPr>
          <w:sz w:val="18"/>
        </w:rPr>
        <w:t>impuestos</w:t>
      </w:r>
      <w:r>
        <w:rPr>
          <w:spacing w:val="-11"/>
          <w:sz w:val="18"/>
        </w:rPr>
        <w:t> </w:t>
      </w:r>
      <w:r>
        <w:rPr>
          <w:sz w:val="18"/>
        </w:rPr>
        <w:t>siendo</w:t>
      </w:r>
      <w:r>
        <w:rPr>
          <w:spacing w:val="-9"/>
          <w:sz w:val="18"/>
        </w:rPr>
        <w:t> </w:t>
      </w:r>
      <w:r>
        <w:rPr>
          <w:sz w:val="18"/>
        </w:rPr>
        <w:t>estos</w:t>
      </w:r>
      <w:r>
        <w:rPr>
          <w:spacing w:val="-11"/>
          <w:sz w:val="18"/>
        </w:rPr>
        <w:t> </w:t>
      </w:r>
      <w:r>
        <w:rPr>
          <w:sz w:val="18"/>
        </w:rPr>
        <w:t>el</w:t>
      </w:r>
      <w:r>
        <w:rPr>
          <w:spacing w:val="-10"/>
          <w:sz w:val="18"/>
        </w:rPr>
        <w:t> </w:t>
      </w:r>
      <w:r>
        <w:rPr>
          <w:sz w:val="18"/>
        </w:rPr>
        <w:t>Impuesto</w:t>
      </w:r>
      <w:r>
        <w:rPr>
          <w:spacing w:val="-10"/>
          <w:sz w:val="18"/>
        </w:rPr>
        <w:t> </w:t>
      </w:r>
      <w:r>
        <w:rPr>
          <w:sz w:val="18"/>
        </w:rPr>
        <w:t>Sobre</w:t>
      </w:r>
      <w:r>
        <w:rPr>
          <w:spacing w:val="-11"/>
          <w:sz w:val="18"/>
        </w:rPr>
        <w:t> </w:t>
      </w:r>
      <w:r>
        <w:rPr>
          <w:sz w:val="18"/>
        </w:rPr>
        <w:t>la</w:t>
      </w:r>
      <w:r>
        <w:rPr>
          <w:spacing w:val="-11"/>
          <w:sz w:val="18"/>
        </w:rPr>
        <w:t> </w:t>
      </w:r>
      <w:r>
        <w:rPr>
          <w:sz w:val="18"/>
        </w:rPr>
        <w:t>Renta</w:t>
      </w:r>
      <w:r>
        <w:rPr>
          <w:spacing w:val="-7"/>
          <w:sz w:val="18"/>
        </w:rPr>
        <w:t> </w:t>
      </w:r>
      <w:r>
        <w:rPr>
          <w:sz w:val="18"/>
        </w:rPr>
        <w:t>-ISR-</w:t>
      </w:r>
      <w:r>
        <w:rPr>
          <w:spacing w:val="-8"/>
          <w:sz w:val="18"/>
        </w:rPr>
        <w:t> </w:t>
      </w:r>
      <w:r>
        <w:rPr>
          <w:sz w:val="18"/>
        </w:rPr>
        <w:t>y</w:t>
      </w:r>
      <w:r>
        <w:rPr>
          <w:spacing w:val="-14"/>
          <w:sz w:val="18"/>
        </w:rPr>
        <w:t> </w:t>
      </w:r>
      <w:r>
        <w:rPr>
          <w:sz w:val="18"/>
        </w:rPr>
        <w:t>el</w:t>
      </w:r>
      <w:r>
        <w:rPr>
          <w:spacing w:val="-10"/>
          <w:sz w:val="18"/>
        </w:rPr>
        <w:t> </w:t>
      </w:r>
      <w:r>
        <w:rPr>
          <w:sz w:val="18"/>
        </w:rPr>
        <w:t>Impuesto</w:t>
      </w:r>
      <w:r>
        <w:rPr>
          <w:spacing w:val="-10"/>
          <w:sz w:val="18"/>
        </w:rPr>
        <w:t> </w:t>
      </w:r>
      <w:r>
        <w:rPr>
          <w:sz w:val="18"/>
        </w:rPr>
        <w:t>al</w:t>
      </w:r>
      <w:r>
        <w:rPr>
          <w:spacing w:val="-10"/>
          <w:sz w:val="18"/>
        </w:rPr>
        <w:t> </w:t>
      </w:r>
      <w:r>
        <w:rPr>
          <w:sz w:val="18"/>
        </w:rPr>
        <w:t>Valor</w:t>
      </w:r>
      <w:r>
        <w:rPr>
          <w:spacing w:val="-10"/>
          <w:sz w:val="18"/>
        </w:rPr>
        <w:t> </w:t>
      </w:r>
      <w:r>
        <w:rPr>
          <w:sz w:val="18"/>
        </w:rPr>
        <w:t>Agregado</w:t>
      </w:r>
    </w:p>
    <w:p>
      <w:pPr>
        <w:spacing w:line="205" w:lineRule="exact" w:before="0"/>
        <w:ind w:left="562" w:right="0" w:firstLine="0"/>
        <w:jc w:val="both"/>
        <w:rPr>
          <w:sz w:val="18"/>
        </w:rPr>
      </w:pPr>
      <w:r>
        <w:rPr>
          <w:sz w:val="18"/>
        </w:rPr>
        <w:t>-IVA-, que en conjunto suman cerca del 75% de la recaudación total (promedio 2019 a 2027).</w:t>
      </w:r>
    </w:p>
    <w:p>
      <w:pPr>
        <w:pStyle w:val="BodyText"/>
        <w:rPr>
          <w:sz w:val="9"/>
        </w:rPr>
      </w:pPr>
    </w:p>
    <w:p>
      <w:pPr>
        <w:spacing w:before="93"/>
        <w:ind w:left="562" w:right="0" w:firstLine="0"/>
        <w:jc w:val="both"/>
        <w:rPr>
          <w:b/>
          <w:sz w:val="18"/>
        </w:rPr>
      </w:pPr>
      <w:r>
        <w:rPr>
          <w:b/>
          <w:sz w:val="18"/>
        </w:rPr>
        <w:t>Impuesto al Valor Agregado</w:t>
      </w:r>
    </w:p>
    <w:p>
      <w:pPr>
        <w:pStyle w:val="BodyText"/>
        <w:spacing w:before="5"/>
        <w:rPr>
          <w:b/>
          <w:sz w:val="16"/>
        </w:rPr>
      </w:pPr>
    </w:p>
    <w:p>
      <w:pPr>
        <w:spacing w:line="273" w:lineRule="auto" w:before="0"/>
        <w:ind w:left="562" w:right="1694" w:firstLine="0"/>
        <w:jc w:val="both"/>
        <w:rPr>
          <w:sz w:val="18"/>
        </w:rPr>
      </w:pPr>
      <w:r>
        <w:rPr>
          <w:sz w:val="18"/>
        </w:rPr>
        <w:t>Para</w:t>
      </w:r>
      <w:r>
        <w:rPr>
          <w:spacing w:val="-12"/>
          <w:sz w:val="18"/>
        </w:rPr>
        <w:t> </w:t>
      </w:r>
      <w:r>
        <w:rPr>
          <w:sz w:val="18"/>
        </w:rPr>
        <w:t>calcular</w:t>
      </w:r>
      <w:r>
        <w:rPr>
          <w:spacing w:val="-14"/>
          <w:sz w:val="18"/>
        </w:rPr>
        <w:t> </w:t>
      </w:r>
      <w:r>
        <w:rPr>
          <w:sz w:val="18"/>
        </w:rPr>
        <w:t>la</w:t>
      </w:r>
      <w:r>
        <w:rPr>
          <w:spacing w:val="-12"/>
          <w:sz w:val="18"/>
        </w:rPr>
        <w:t> </w:t>
      </w:r>
      <w:r>
        <w:rPr>
          <w:sz w:val="18"/>
        </w:rPr>
        <w:t>elasticidad</w:t>
      </w:r>
      <w:r>
        <w:rPr>
          <w:spacing w:val="-13"/>
          <w:sz w:val="18"/>
        </w:rPr>
        <w:t> </w:t>
      </w:r>
      <w:r>
        <w:rPr>
          <w:sz w:val="18"/>
        </w:rPr>
        <w:t>del</w:t>
      </w:r>
      <w:r>
        <w:rPr>
          <w:spacing w:val="-13"/>
          <w:sz w:val="18"/>
        </w:rPr>
        <w:t> </w:t>
      </w:r>
      <w:r>
        <w:rPr>
          <w:sz w:val="18"/>
        </w:rPr>
        <w:t>Impuesto</w:t>
      </w:r>
      <w:r>
        <w:rPr>
          <w:spacing w:val="-13"/>
          <w:sz w:val="18"/>
        </w:rPr>
        <w:t> </w:t>
      </w:r>
      <w:r>
        <w:rPr>
          <w:sz w:val="18"/>
        </w:rPr>
        <w:t>al</w:t>
      </w:r>
      <w:r>
        <w:rPr>
          <w:spacing w:val="-13"/>
          <w:sz w:val="18"/>
        </w:rPr>
        <w:t> </w:t>
      </w:r>
      <w:r>
        <w:rPr>
          <w:sz w:val="18"/>
        </w:rPr>
        <w:t>Valor</w:t>
      </w:r>
      <w:r>
        <w:rPr>
          <w:spacing w:val="-11"/>
          <w:sz w:val="18"/>
        </w:rPr>
        <w:t> </w:t>
      </w:r>
      <w:r>
        <w:rPr>
          <w:sz w:val="18"/>
        </w:rPr>
        <w:t>Agregado</w:t>
      </w:r>
      <w:r>
        <w:rPr>
          <w:spacing w:val="-10"/>
          <w:sz w:val="18"/>
        </w:rPr>
        <w:t> </w:t>
      </w:r>
      <w:r>
        <w:rPr>
          <w:sz w:val="18"/>
        </w:rPr>
        <w:t>es</w:t>
      </w:r>
      <w:r>
        <w:rPr>
          <w:spacing w:val="-12"/>
          <w:sz w:val="18"/>
        </w:rPr>
        <w:t> </w:t>
      </w:r>
      <w:r>
        <w:rPr>
          <w:sz w:val="18"/>
        </w:rPr>
        <w:t>necesario</w:t>
      </w:r>
      <w:r>
        <w:rPr>
          <w:spacing w:val="-10"/>
          <w:sz w:val="18"/>
        </w:rPr>
        <w:t> </w:t>
      </w:r>
      <w:r>
        <w:rPr>
          <w:sz w:val="18"/>
        </w:rPr>
        <w:t>realizar</w:t>
      </w:r>
      <w:r>
        <w:rPr>
          <w:spacing w:val="-11"/>
          <w:sz w:val="18"/>
        </w:rPr>
        <w:t> </w:t>
      </w:r>
      <w:r>
        <w:rPr>
          <w:sz w:val="18"/>
        </w:rPr>
        <w:t>ajustes</w:t>
      </w:r>
      <w:r>
        <w:rPr>
          <w:spacing w:val="-14"/>
          <w:sz w:val="18"/>
        </w:rPr>
        <w:t> </w:t>
      </w:r>
      <w:r>
        <w:rPr>
          <w:sz w:val="18"/>
        </w:rPr>
        <w:t>a</w:t>
      </w:r>
      <w:r>
        <w:rPr>
          <w:spacing w:val="-12"/>
          <w:sz w:val="18"/>
        </w:rPr>
        <w:t> </w:t>
      </w:r>
      <w:r>
        <w:rPr>
          <w:sz w:val="18"/>
        </w:rPr>
        <w:t>la</w:t>
      </w:r>
      <w:r>
        <w:rPr>
          <w:spacing w:val="-14"/>
          <w:sz w:val="18"/>
        </w:rPr>
        <w:t> </w:t>
      </w:r>
      <w:r>
        <w:rPr>
          <w:sz w:val="18"/>
        </w:rPr>
        <w:t>recaudación</w:t>
      </w:r>
      <w:r>
        <w:rPr>
          <w:spacing w:val="-13"/>
          <w:sz w:val="18"/>
        </w:rPr>
        <w:t> </w:t>
      </w:r>
      <w:r>
        <w:rPr>
          <w:sz w:val="18"/>
        </w:rPr>
        <w:t>tributaria</w:t>
      </w:r>
      <w:r>
        <w:rPr>
          <w:spacing w:val="-14"/>
          <w:sz w:val="18"/>
        </w:rPr>
        <w:t> </w:t>
      </w:r>
      <w:r>
        <w:rPr>
          <w:sz w:val="18"/>
        </w:rPr>
        <w:t>observada producto de exoneraciones y recaudación extraordinaria por concepto de adeudos tributarios, además de cambiar la recaudación nominal a términos reales con el deflactor del producto interno bruto, para este cálculo de la elasticidad del IVA se tiene como variable asociada el Producto Interno Bruto real, el cálculo se realizó mediante la siguiente</w:t>
      </w:r>
      <w:r>
        <w:rPr>
          <w:spacing w:val="-28"/>
          <w:sz w:val="18"/>
        </w:rPr>
        <w:t> </w:t>
      </w:r>
      <w:r>
        <w:rPr>
          <w:sz w:val="18"/>
        </w:rPr>
        <w:t>función.</w:t>
      </w:r>
    </w:p>
    <w:p>
      <w:pPr>
        <w:pStyle w:val="BodyText"/>
        <w:spacing w:before="8"/>
        <w:rPr>
          <w:sz w:val="8"/>
        </w:rPr>
      </w:pPr>
    </w:p>
    <w:p>
      <w:pPr>
        <w:spacing w:line="456" w:lineRule="auto" w:before="69"/>
        <w:ind w:left="3420" w:right="4557" w:firstLine="1"/>
        <w:jc w:val="center"/>
        <w:rPr>
          <w:sz w:val="18"/>
        </w:rPr>
      </w:pPr>
      <w:r>
        <w:rPr>
          <w:rFonts w:ascii="Cambria Math" w:hAnsi="Cambria Math" w:eastAsia="Cambria Math"/>
          <w:sz w:val="18"/>
        </w:rPr>
        <w:t>𝐿𝑛(𝑇) = 𝛼 + 𝛽 ∗ 𝐿𝑛(𝑣𝑎𝑟𝑖𝑎𝑏𝑙𝑒 𝑎𝑠𝑜𝑐𝑖𝑎𝑑𝑎) </w:t>
      </w:r>
      <w:r>
        <w:rPr>
          <w:i/>
          <w:sz w:val="18"/>
        </w:rPr>
        <w:t>ln</w:t>
      </w:r>
      <w:r>
        <w:rPr>
          <w:sz w:val="18"/>
        </w:rPr>
        <w:t>(IVAt )= -4.84913 + 1.1523*</w:t>
      </w:r>
      <w:r>
        <w:rPr>
          <w:i/>
          <w:sz w:val="18"/>
        </w:rPr>
        <w:t>ln</w:t>
      </w:r>
      <w:r>
        <w:rPr>
          <w:sz w:val="18"/>
        </w:rPr>
        <w:t>(PIBt) R</w:t>
      </w:r>
      <w:r>
        <w:rPr>
          <w:position w:val="6"/>
          <w:sz w:val="12"/>
        </w:rPr>
        <w:t>2</w:t>
      </w:r>
      <w:r>
        <w:rPr>
          <w:sz w:val="18"/>
        </w:rPr>
        <w:t>=0.84862 t=-3.9669156 t=11.3989472</w:t>
      </w:r>
    </w:p>
    <w:p>
      <w:pPr>
        <w:spacing w:line="276" w:lineRule="auto" w:before="5"/>
        <w:ind w:left="562" w:right="1695" w:firstLine="0"/>
        <w:jc w:val="both"/>
        <w:rPr>
          <w:sz w:val="18"/>
        </w:rPr>
      </w:pPr>
      <w:r>
        <w:rPr>
          <w:sz w:val="18"/>
        </w:rPr>
        <w:t>El resultado obtenido mediante el uso de regresión lineal se puede interpretar como la respuesta del Impuesto al Valor Agregado respecto a un aumento de un 1% del Producto Interno Bruto, es decir que por cada aumento de un 1% del PIB el IVA crecerá en 1.15%, de manera histórica la elasticidad del IVA respecto a la variable que lo determina ha sido superior al 1%, para los casos en los que es inferior dicha caída puede estar influenciada por factores externos como el precio del petróleo,</w:t>
      </w:r>
      <w:r>
        <w:rPr>
          <w:spacing w:val="-7"/>
          <w:sz w:val="18"/>
        </w:rPr>
        <w:t> </w:t>
      </w:r>
      <w:r>
        <w:rPr>
          <w:sz w:val="18"/>
        </w:rPr>
        <w:t>remesas</w:t>
      </w:r>
      <w:r>
        <w:rPr>
          <w:spacing w:val="-5"/>
          <w:sz w:val="18"/>
        </w:rPr>
        <w:t> </w:t>
      </w:r>
      <w:r>
        <w:rPr>
          <w:sz w:val="18"/>
        </w:rPr>
        <w:t>familiares,</w:t>
      </w:r>
      <w:r>
        <w:rPr>
          <w:spacing w:val="-7"/>
          <w:sz w:val="18"/>
        </w:rPr>
        <w:t> </w:t>
      </w:r>
      <w:r>
        <w:rPr>
          <w:sz w:val="18"/>
        </w:rPr>
        <w:t>precio</w:t>
      </w:r>
      <w:r>
        <w:rPr>
          <w:spacing w:val="-8"/>
          <w:sz w:val="18"/>
        </w:rPr>
        <w:t> </w:t>
      </w:r>
      <w:r>
        <w:rPr>
          <w:sz w:val="18"/>
        </w:rPr>
        <w:t>de</w:t>
      </w:r>
      <w:r>
        <w:rPr>
          <w:spacing w:val="-7"/>
          <w:sz w:val="18"/>
        </w:rPr>
        <w:t> </w:t>
      </w:r>
      <w:r>
        <w:rPr>
          <w:sz w:val="18"/>
        </w:rPr>
        <w:t>los</w:t>
      </w:r>
      <w:r>
        <w:rPr>
          <w:spacing w:val="-10"/>
          <w:sz w:val="18"/>
        </w:rPr>
        <w:t> </w:t>
      </w:r>
      <w:r>
        <w:rPr>
          <w:sz w:val="18"/>
        </w:rPr>
        <w:t>principales</w:t>
      </w:r>
      <w:r>
        <w:rPr>
          <w:spacing w:val="-7"/>
          <w:sz w:val="18"/>
        </w:rPr>
        <w:t> </w:t>
      </w:r>
      <w:r>
        <w:rPr>
          <w:sz w:val="18"/>
        </w:rPr>
        <w:t>commodities</w:t>
      </w:r>
      <w:r>
        <w:rPr>
          <w:spacing w:val="-10"/>
          <w:sz w:val="18"/>
        </w:rPr>
        <w:t> </w:t>
      </w:r>
      <w:r>
        <w:rPr>
          <w:sz w:val="18"/>
        </w:rPr>
        <w:t>y</w:t>
      </w:r>
      <w:r>
        <w:rPr>
          <w:spacing w:val="-10"/>
          <w:sz w:val="18"/>
        </w:rPr>
        <w:t> </w:t>
      </w:r>
      <w:r>
        <w:rPr>
          <w:sz w:val="18"/>
        </w:rPr>
        <w:t>las</w:t>
      </w:r>
      <w:r>
        <w:rPr>
          <w:spacing w:val="-7"/>
          <w:sz w:val="18"/>
        </w:rPr>
        <w:t> </w:t>
      </w:r>
      <w:r>
        <w:rPr>
          <w:sz w:val="18"/>
        </w:rPr>
        <w:t>importaciones,</w:t>
      </w:r>
      <w:r>
        <w:rPr>
          <w:spacing w:val="-7"/>
          <w:sz w:val="18"/>
        </w:rPr>
        <w:t> </w:t>
      </w:r>
      <w:r>
        <w:rPr>
          <w:sz w:val="18"/>
        </w:rPr>
        <w:t>factores</w:t>
      </w:r>
      <w:r>
        <w:rPr>
          <w:spacing w:val="-7"/>
          <w:sz w:val="18"/>
        </w:rPr>
        <w:t> </w:t>
      </w:r>
      <w:r>
        <w:rPr>
          <w:sz w:val="18"/>
        </w:rPr>
        <w:t>internos</w:t>
      </w:r>
      <w:r>
        <w:rPr>
          <w:spacing w:val="-7"/>
          <w:sz w:val="18"/>
        </w:rPr>
        <w:t> </w:t>
      </w:r>
      <w:r>
        <w:rPr>
          <w:sz w:val="18"/>
        </w:rPr>
        <w:t>como</w:t>
      </w:r>
      <w:r>
        <w:rPr>
          <w:spacing w:val="-7"/>
          <w:sz w:val="18"/>
        </w:rPr>
        <w:t> </w:t>
      </w:r>
      <w:r>
        <w:rPr>
          <w:sz w:val="18"/>
        </w:rPr>
        <w:t>la</w:t>
      </w:r>
      <w:r>
        <w:rPr>
          <w:spacing w:val="-7"/>
          <w:sz w:val="18"/>
        </w:rPr>
        <w:t> </w:t>
      </w:r>
      <w:r>
        <w:rPr>
          <w:sz w:val="18"/>
        </w:rPr>
        <w:t>inflación, el tipo de cambio, el consumo y las crisis internas del ente</w:t>
      </w:r>
      <w:r>
        <w:rPr>
          <w:spacing w:val="-9"/>
          <w:sz w:val="18"/>
        </w:rPr>
        <w:t> </w:t>
      </w:r>
      <w:r>
        <w:rPr>
          <w:sz w:val="18"/>
        </w:rPr>
        <w:t>recaudador.</w:t>
      </w:r>
    </w:p>
    <w:p>
      <w:pPr>
        <w:spacing w:before="163"/>
        <w:ind w:left="562" w:right="0" w:firstLine="0"/>
        <w:jc w:val="left"/>
        <w:rPr>
          <w:b/>
          <w:sz w:val="18"/>
        </w:rPr>
      </w:pPr>
      <w:r>
        <w:rPr>
          <w:b/>
          <w:sz w:val="18"/>
        </w:rPr>
        <w:t>Impuesto Sobre la Renta y otros asociados</w:t>
      </w:r>
    </w:p>
    <w:p>
      <w:pPr>
        <w:pStyle w:val="BodyText"/>
        <w:spacing w:before="3"/>
        <w:rPr>
          <w:b/>
          <w:sz w:val="16"/>
        </w:rPr>
      </w:pPr>
    </w:p>
    <w:p>
      <w:pPr>
        <w:tabs>
          <w:tab w:pos="4476" w:val="left" w:leader="none"/>
          <w:tab w:pos="5893" w:val="left" w:leader="none"/>
        </w:tabs>
        <w:spacing w:line="458" w:lineRule="auto" w:before="0"/>
        <w:ind w:left="3061" w:right="4198" w:firstLine="45"/>
        <w:jc w:val="left"/>
        <w:rPr>
          <w:sz w:val="18"/>
        </w:rPr>
      </w:pPr>
      <w:r>
        <w:rPr>
          <w:i/>
          <w:sz w:val="18"/>
        </w:rPr>
        <w:t>ln</w:t>
      </w:r>
      <w:r>
        <w:rPr>
          <w:sz w:val="18"/>
        </w:rPr>
        <w:t>(ISRt)= -12.61254716 + 1.752301841*</w:t>
      </w:r>
      <w:r>
        <w:rPr>
          <w:i/>
          <w:sz w:val="18"/>
        </w:rPr>
        <w:t>ln</w:t>
      </w:r>
      <w:r>
        <w:rPr>
          <w:sz w:val="18"/>
        </w:rPr>
        <w:t>(PIBt) R</w:t>
      </w:r>
      <w:r>
        <w:rPr>
          <w:position w:val="6"/>
          <w:sz w:val="12"/>
        </w:rPr>
        <w:t>2</w:t>
      </w:r>
      <w:r>
        <w:rPr>
          <w:sz w:val="18"/>
        </w:rPr>
        <w:t>=0.96228</w:t>
        <w:tab/>
        <w:t>t=-14.4309497</w:t>
        <w:tab/>
      </w:r>
      <w:r>
        <w:rPr>
          <w:spacing w:val="-3"/>
          <w:sz w:val="18"/>
        </w:rPr>
        <w:t>t=24.2440556</w:t>
      </w:r>
    </w:p>
    <w:p>
      <w:pPr>
        <w:spacing w:line="276" w:lineRule="auto" w:before="5"/>
        <w:ind w:left="562" w:right="1700" w:firstLine="0"/>
        <w:jc w:val="both"/>
        <w:rPr>
          <w:sz w:val="18"/>
        </w:rPr>
      </w:pPr>
      <w:r>
        <w:rPr>
          <w:sz w:val="18"/>
        </w:rPr>
        <w:t>En este caso se considera el Impuesto Sobre la Renta y los impuestos asociados a cuenta de ISR tales como el Impuesto de Solidaridad, el Impuesto Extraordinario y Temporal de Acuerdos de Paz, el Impuesto a las Empresas Mercantiles y Agropecuarias,</w:t>
      </w:r>
      <w:r>
        <w:rPr>
          <w:spacing w:val="-5"/>
          <w:sz w:val="18"/>
        </w:rPr>
        <w:t> </w:t>
      </w:r>
      <w:r>
        <w:rPr>
          <w:sz w:val="18"/>
        </w:rPr>
        <w:t>el</w:t>
      </w:r>
      <w:r>
        <w:rPr>
          <w:spacing w:val="-5"/>
          <w:sz w:val="18"/>
        </w:rPr>
        <w:t> </w:t>
      </w:r>
      <w:r>
        <w:rPr>
          <w:sz w:val="18"/>
        </w:rPr>
        <w:t>cálculo</w:t>
      </w:r>
      <w:r>
        <w:rPr>
          <w:spacing w:val="-4"/>
          <w:sz w:val="18"/>
        </w:rPr>
        <w:t> </w:t>
      </w:r>
      <w:r>
        <w:rPr>
          <w:sz w:val="18"/>
        </w:rPr>
        <w:t>de</w:t>
      </w:r>
      <w:r>
        <w:rPr>
          <w:spacing w:val="-6"/>
          <w:sz w:val="18"/>
        </w:rPr>
        <w:t> </w:t>
      </w:r>
      <w:r>
        <w:rPr>
          <w:sz w:val="18"/>
        </w:rPr>
        <w:t>elasticidad</w:t>
      </w:r>
      <w:r>
        <w:rPr>
          <w:spacing w:val="-4"/>
          <w:sz w:val="18"/>
        </w:rPr>
        <w:t> </w:t>
      </w:r>
      <w:r>
        <w:rPr>
          <w:sz w:val="18"/>
        </w:rPr>
        <w:t>para</w:t>
      </w:r>
      <w:r>
        <w:rPr>
          <w:spacing w:val="-6"/>
          <w:sz w:val="18"/>
        </w:rPr>
        <w:t> </w:t>
      </w:r>
      <w:r>
        <w:rPr>
          <w:sz w:val="18"/>
        </w:rPr>
        <w:t>este</w:t>
      </w:r>
      <w:r>
        <w:rPr>
          <w:spacing w:val="-6"/>
          <w:sz w:val="18"/>
        </w:rPr>
        <w:t> </w:t>
      </w:r>
      <w:r>
        <w:rPr>
          <w:sz w:val="18"/>
        </w:rPr>
        <w:t>impuesto</w:t>
      </w:r>
      <w:r>
        <w:rPr>
          <w:spacing w:val="-5"/>
          <w:sz w:val="18"/>
        </w:rPr>
        <w:t> </w:t>
      </w:r>
      <w:r>
        <w:rPr>
          <w:sz w:val="18"/>
        </w:rPr>
        <w:t>es</w:t>
      </w:r>
      <w:r>
        <w:rPr>
          <w:spacing w:val="-6"/>
          <w:sz w:val="18"/>
        </w:rPr>
        <w:t> </w:t>
      </w:r>
      <w:r>
        <w:rPr>
          <w:sz w:val="18"/>
        </w:rPr>
        <w:t>de</w:t>
      </w:r>
      <w:r>
        <w:rPr>
          <w:spacing w:val="-5"/>
          <w:sz w:val="18"/>
        </w:rPr>
        <w:t> </w:t>
      </w:r>
      <w:r>
        <w:rPr>
          <w:sz w:val="18"/>
        </w:rPr>
        <w:t>1.75%,</w:t>
      </w:r>
      <w:r>
        <w:rPr>
          <w:spacing w:val="-5"/>
          <w:sz w:val="18"/>
        </w:rPr>
        <w:t> </w:t>
      </w:r>
      <w:r>
        <w:rPr>
          <w:sz w:val="18"/>
        </w:rPr>
        <w:t>es</w:t>
      </w:r>
      <w:r>
        <w:rPr>
          <w:spacing w:val="-6"/>
          <w:sz w:val="18"/>
        </w:rPr>
        <w:t> </w:t>
      </w:r>
      <w:r>
        <w:rPr>
          <w:sz w:val="18"/>
        </w:rPr>
        <w:t>decir</w:t>
      </w:r>
      <w:r>
        <w:rPr>
          <w:spacing w:val="-5"/>
          <w:sz w:val="18"/>
        </w:rPr>
        <w:t> </w:t>
      </w:r>
      <w:r>
        <w:rPr>
          <w:sz w:val="18"/>
        </w:rPr>
        <w:t>que</w:t>
      </w:r>
      <w:r>
        <w:rPr>
          <w:spacing w:val="-8"/>
          <w:sz w:val="18"/>
        </w:rPr>
        <w:t> </w:t>
      </w:r>
      <w:r>
        <w:rPr>
          <w:sz w:val="18"/>
        </w:rPr>
        <w:t>por</w:t>
      </w:r>
      <w:r>
        <w:rPr>
          <w:spacing w:val="-6"/>
          <w:sz w:val="18"/>
        </w:rPr>
        <w:t> </w:t>
      </w:r>
      <w:r>
        <w:rPr>
          <w:sz w:val="18"/>
        </w:rPr>
        <w:t>el</w:t>
      </w:r>
      <w:r>
        <w:rPr>
          <w:spacing w:val="-5"/>
          <w:sz w:val="18"/>
        </w:rPr>
        <w:t> </w:t>
      </w:r>
      <w:r>
        <w:rPr>
          <w:sz w:val="18"/>
        </w:rPr>
        <w:t>aumento</w:t>
      </w:r>
      <w:r>
        <w:rPr>
          <w:spacing w:val="-7"/>
          <w:sz w:val="18"/>
        </w:rPr>
        <w:t> </w:t>
      </w:r>
      <w:r>
        <w:rPr>
          <w:sz w:val="18"/>
        </w:rPr>
        <w:t>de</w:t>
      </w:r>
      <w:r>
        <w:rPr>
          <w:spacing w:val="-6"/>
          <w:sz w:val="18"/>
        </w:rPr>
        <w:t> </w:t>
      </w:r>
      <w:r>
        <w:rPr>
          <w:sz w:val="18"/>
        </w:rPr>
        <w:t>un</w:t>
      </w:r>
      <w:r>
        <w:rPr>
          <w:spacing w:val="-6"/>
          <w:sz w:val="18"/>
        </w:rPr>
        <w:t> </w:t>
      </w:r>
      <w:r>
        <w:rPr>
          <w:sz w:val="18"/>
        </w:rPr>
        <w:t>1%</w:t>
      </w:r>
      <w:r>
        <w:rPr>
          <w:spacing w:val="-7"/>
          <w:sz w:val="18"/>
        </w:rPr>
        <w:t> </w:t>
      </w:r>
      <w:r>
        <w:rPr>
          <w:sz w:val="18"/>
        </w:rPr>
        <w:t>del</w:t>
      </w:r>
      <w:r>
        <w:rPr>
          <w:spacing w:val="-8"/>
          <w:sz w:val="18"/>
        </w:rPr>
        <w:t> </w:t>
      </w:r>
      <w:r>
        <w:rPr>
          <w:sz w:val="18"/>
        </w:rPr>
        <w:t>Producto Interno Bruto el Impuesto Sobre la Renta y asociados aumentaría en 1.75%, de igual manera que para el caso anterior este impuesto está sujeto a reformas tributarias, la más reciente aprobada en 2012 que dio vigencia a un nuevo Impuesto Sobre la Renta con base a cedulas y que contenía una reducción a las tasas impositivas de manera gradual hasta 2015 año en el cual la tasa impositiva del régimen de actividades lucrativas paso a</w:t>
      </w:r>
      <w:r>
        <w:rPr>
          <w:spacing w:val="-8"/>
          <w:sz w:val="18"/>
        </w:rPr>
        <w:t> </w:t>
      </w:r>
      <w:r>
        <w:rPr>
          <w:sz w:val="18"/>
        </w:rPr>
        <w:t>25%.</w:t>
      </w:r>
    </w:p>
    <w:p>
      <w:pPr>
        <w:pStyle w:val="BodyText"/>
        <w:spacing w:before="3"/>
        <w:rPr>
          <w:sz w:val="16"/>
        </w:rPr>
      </w:pPr>
    </w:p>
    <w:p>
      <w:pPr>
        <w:pStyle w:val="BodyText"/>
        <w:spacing w:line="276" w:lineRule="auto"/>
        <w:ind w:left="562" w:right="1699"/>
        <w:jc w:val="both"/>
      </w:pPr>
      <w:r>
        <w:rPr/>
        <w:t>La metodología que se utiliza para el desarrollo de las estimaciones de recaudación tributaria en el Ministerio</w:t>
      </w:r>
      <w:r>
        <w:rPr>
          <w:spacing w:val="-12"/>
        </w:rPr>
        <w:t> </w:t>
      </w:r>
      <w:r>
        <w:rPr/>
        <w:t>de</w:t>
      </w:r>
      <w:r>
        <w:rPr>
          <w:spacing w:val="-8"/>
        </w:rPr>
        <w:t> </w:t>
      </w:r>
      <w:r>
        <w:rPr/>
        <w:t>Finanzas</w:t>
      </w:r>
      <w:r>
        <w:rPr>
          <w:spacing w:val="-10"/>
        </w:rPr>
        <w:t> </w:t>
      </w:r>
      <w:r>
        <w:rPr/>
        <w:t>es</w:t>
      </w:r>
      <w:r>
        <w:rPr>
          <w:spacing w:val="-10"/>
        </w:rPr>
        <w:t> </w:t>
      </w:r>
      <w:r>
        <w:rPr/>
        <w:t>mediante</w:t>
      </w:r>
      <w:r>
        <w:rPr>
          <w:spacing w:val="-12"/>
        </w:rPr>
        <w:t> </w:t>
      </w:r>
      <w:r>
        <w:rPr/>
        <w:t>el</w:t>
      </w:r>
      <w:r>
        <w:rPr>
          <w:spacing w:val="-10"/>
        </w:rPr>
        <w:t> </w:t>
      </w:r>
      <w:r>
        <w:rPr/>
        <w:t>uso</w:t>
      </w:r>
      <w:r>
        <w:rPr>
          <w:spacing w:val="-11"/>
        </w:rPr>
        <w:t> </w:t>
      </w:r>
      <w:r>
        <w:rPr/>
        <w:t>del</w:t>
      </w:r>
      <w:r>
        <w:rPr>
          <w:spacing w:val="-8"/>
        </w:rPr>
        <w:t> </w:t>
      </w:r>
      <w:r>
        <w:rPr/>
        <w:t>método</w:t>
      </w:r>
      <w:r>
        <w:rPr>
          <w:spacing w:val="-11"/>
        </w:rPr>
        <w:t> </w:t>
      </w:r>
      <w:r>
        <w:rPr/>
        <w:t>directo,</w:t>
      </w:r>
      <w:r>
        <w:rPr>
          <w:spacing w:val="-10"/>
        </w:rPr>
        <w:t> </w:t>
      </w:r>
      <w:r>
        <w:rPr/>
        <w:t>el</w:t>
      </w:r>
      <w:r>
        <w:rPr>
          <w:spacing w:val="-10"/>
        </w:rPr>
        <w:t> </w:t>
      </w:r>
      <w:r>
        <w:rPr/>
        <w:t>cual</w:t>
      </w:r>
      <w:r>
        <w:rPr>
          <w:spacing w:val="-8"/>
        </w:rPr>
        <w:t> </w:t>
      </w:r>
      <w:r>
        <w:rPr/>
        <w:t>como</w:t>
      </w:r>
      <w:r>
        <w:rPr>
          <w:spacing w:val="-9"/>
        </w:rPr>
        <w:t> </w:t>
      </w:r>
      <w:r>
        <w:rPr/>
        <w:t>se</w:t>
      </w:r>
      <w:r>
        <w:rPr>
          <w:spacing w:val="-11"/>
        </w:rPr>
        <w:t> </w:t>
      </w:r>
      <w:r>
        <w:rPr/>
        <w:t>indicó</w:t>
      </w:r>
      <w:r>
        <w:rPr>
          <w:spacing w:val="-9"/>
        </w:rPr>
        <w:t> </w:t>
      </w:r>
      <w:r>
        <w:rPr/>
        <w:t>con</w:t>
      </w:r>
      <w:r>
        <w:rPr>
          <w:spacing w:val="-10"/>
        </w:rPr>
        <w:t> </w:t>
      </w:r>
      <w:r>
        <w:rPr/>
        <w:t>anterioridad precisa</w:t>
      </w:r>
      <w:r>
        <w:rPr>
          <w:spacing w:val="-10"/>
        </w:rPr>
        <w:t> </w:t>
      </w:r>
      <w:r>
        <w:rPr/>
        <w:t>del</w:t>
      </w:r>
      <w:r>
        <w:rPr>
          <w:spacing w:val="-10"/>
        </w:rPr>
        <w:t> </w:t>
      </w:r>
      <w:r>
        <w:rPr/>
        <w:t>conocimiento</w:t>
      </w:r>
      <w:r>
        <w:rPr>
          <w:spacing w:val="-11"/>
        </w:rPr>
        <w:t> </w:t>
      </w:r>
      <w:r>
        <w:rPr/>
        <w:t>y</w:t>
      </w:r>
      <w:r>
        <w:rPr>
          <w:spacing w:val="-11"/>
        </w:rPr>
        <w:t> </w:t>
      </w:r>
      <w:r>
        <w:rPr/>
        <w:t>seguimiento</w:t>
      </w:r>
      <w:r>
        <w:rPr>
          <w:spacing w:val="-6"/>
        </w:rPr>
        <w:t> </w:t>
      </w:r>
      <w:r>
        <w:rPr/>
        <w:t>de</w:t>
      </w:r>
      <w:r>
        <w:rPr>
          <w:spacing w:val="-11"/>
        </w:rPr>
        <w:t> </w:t>
      </w:r>
      <w:r>
        <w:rPr/>
        <w:t>la</w:t>
      </w:r>
      <w:r>
        <w:rPr>
          <w:spacing w:val="-10"/>
        </w:rPr>
        <w:t> </w:t>
      </w:r>
      <w:r>
        <w:rPr/>
        <w:t>recaudación</w:t>
      </w:r>
      <w:r>
        <w:rPr>
          <w:spacing w:val="-9"/>
        </w:rPr>
        <w:t> </w:t>
      </w:r>
      <w:r>
        <w:rPr/>
        <w:t>tributaria</w:t>
      </w:r>
      <w:r>
        <w:rPr>
          <w:spacing w:val="-10"/>
        </w:rPr>
        <w:t> </w:t>
      </w:r>
      <w:r>
        <w:rPr/>
        <w:t>a</w:t>
      </w:r>
      <w:r>
        <w:rPr>
          <w:spacing w:val="-8"/>
        </w:rPr>
        <w:t> </w:t>
      </w:r>
      <w:r>
        <w:rPr/>
        <w:t>nivel</w:t>
      </w:r>
      <w:r>
        <w:rPr>
          <w:spacing w:val="-10"/>
        </w:rPr>
        <w:t> </w:t>
      </w:r>
      <w:r>
        <w:rPr/>
        <w:t>de</w:t>
      </w:r>
      <w:r>
        <w:rPr>
          <w:spacing w:val="-8"/>
        </w:rPr>
        <w:t> </w:t>
      </w:r>
      <w:r>
        <w:rPr/>
        <w:t>impuesto,</w:t>
      </w:r>
      <w:r>
        <w:rPr>
          <w:spacing w:val="-9"/>
        </w:rPr>
        <w:t> </w:t>
      </w:r>
      <w:r>
        <w:rPr/>
        <w:t>así</w:t>
      </w:r>
      <w:r>
        <w:rPr>
          <w:spacing w:val="-8"/>
        </w:rPr>
        <w:t> </w:t>
      </w:r>
      <w:r>
        <w:rPr/>
        <w:t>como</w:t>
      </w:r>
      <w:r>
        <w:rPr>
          <w:spacing w:val="-9"/>
        </w:rPr>
        <w:t> </w:t>
      </w:r>
      <w:r>
        <w:rPr/>
        <w:t>del marco legal vigente.</w:t>
      </w:r>
    </w:p>
    <w:p>
      <w:pPr>
        <w:pStyle w:val="BodyText"/>
        <w:spacing w:before="1"/>
        <w:ind w:left="562"/>
        <w:jc w:val="both"/>
      </w:pPr>
      <w:r>
        <w:rPr/>
        <w:t>La metodología de estimación técnica considera en términos generales los siguientes</w:t>
      </w:r>
      <w:r>
        <w:rPr>
          <w:spacing w:val="-30"/>
        </w:rPr>
        <w:t> </w:t>
      </w:r>
      <w:r>
        <w:rPr/>
        <w:t>aspectos:</w:t>
      </w:r>
    </w:p>
    <w:p>
      <w:pPr>
        <w:pStyle w:val="BodyText"/>
        <w:spacing w:before="7"/>
        <w:rPr>
          <w:sz w:val="28"/>
        </w:rPr>
      </w:pPr>
    </w:p>
    <w:p>
      <w:pPr>
        <w:pStyle w:val="ListParagraph"/>
        <w:numPr>
          <w:ilvl w:val="0"/>
          <w:numId w:val="41"/>
        </w:numPr>
        <w:tabs>
          <w:tab w:pos="1414" w:val="left" w:leader="none"/>
        </w:tabs>
        <w:spacing w:line="276" w:lineRule="auto" w:before="0" w:after="0"/>
        <w:ind w:left="1414" w:right="1695" w:hanging="360"/>
        <w:jc w:val="both"/>
        <w:rPr>
          <w:sz w:val="22"/>
        </w:rPr>
      </w:pPr>
      <w:r>
        <w:rPr>
          <w:sz w:val="22"/>
        </w:rPr>
        <w:t>Comportamiento</w:t>
      </w:r>
      <w:r>
        <w:rPr>
          <w:spacing w:val="-7"/>
          <w:sz w:val="22"/>
        </w:rPr>
        <w:t> </w:t>
      </w:r>
      <w:r>
        <w:rPr>
          <w:sz w:val="22"/>
        </w:rPr>
        <w:t>de</w:t>
      </w:r>
      <w:r>
        <w:rPr>
          <w:spacing w:val="-9"/>
          <w:sz w:val="22"/>
        </w:rPr>
        <w:t> </w:t>
      </w:r>
      <w:r>
        <w:rPr>
          <w:sz w:val="22"/>
        </w:rPr>
        <w:t>las</w:t>
      </w:r>
      <w:r>
        <w:rPr>
          <w:spacing w:val="-9"/>
          <w:sz w:val="22"/>
        </w:rPr>
        <w:t> </w:t>
      </w:r>
      <w:r>
        <w:rPr>
          <w:sz w:val="22"/>
        </w:rPr>
        <w:t>variables</w:t>
      </w:r>
      <w:r>
        <w:rPr>
          <w:spacing w:val="-6"/>
          <w:sz w:val="22"/>
        </w:rPr>
        <w:t> </w:t>
      </w:r>
      <w:r>
        <w:rPr>
          <w:sz w:val="22"/>
        </w:rPr>
        <w:t>macroeconómicas</w:t>
      </w:r>
      <w:r>
        <w:rPr>
          <w:spacing w:val="-9"/>
          <w:sz w:val="22"/>
        </w:rPr>
        <w:t> </w:t>
      </w:r>
      <w:r>
        <w:rPr>
          <w:sz w:val="22"/>
        </w:rPr>
        <w:t>elaboradas</w:t>
      </w:r>
      <w:r>
        <w:rPr>
          <w:spacing w:val="-9"/>
          <w:sz w:val="22"/>
        </w:rPr>
        <w:t> </w:t>
      </w:r>
      <w:r>
        <w:rPr>
          <w:sz w:val="22"/>
        </w:rPr>
        <w:t>por</w:t>
      </w:r>
      <w:r>
        <w:rPr>
          <w:spacing w:val="-8"/>
          <w:sz w:val="22"/>
        </w:rPr>
        <w:t> </w:t>
      </w:r>
      <w:r>
        <w:rPr>
          <w:sz w:val="22"/>
        </w:rPr>
        <w:t>el</w:t>
      </w:r>
      <w:r>
        <w:rPr>
          <w:spacing w:val="-6"/>
          <w:sz w:val="22"/>
        </w:rPr>
        <w:t> </w:t>
      </w:r>
      <w:r>
        <w:rPr>
          <w:sz w:val="22"/>
        </w:rPr>
        <w:t>Banco</w:t>
      </w:r>
      <w:r>
        <w:rPr>
          <w:spacing w:val="-9"/>
          <w:sz w:val="22"/>
        </w:rPr>
        <w:t> </w:t>
      </w:r>
      <w:r>
        <w:rPr>
          <w:sz w:val="22"/>
        </w:rPr>
        <w:t>de</w:t>
      </w:r>
      <w:r>
        <w:rPr>
          <w:spacing w:val="-6"/>
          <w:sz w:val="22"/>
        </w:rPr>
        <w:t> </w:t>
      </w:r>
      <w:r>
        <w:rPr>
          <w:sz w:val="22"/>
        </w:rPr>
        <w:t>Guatemala, Producto Interno Bruto real, Producto Interno Bruto Nominal, Importaciones, Exportaciones e Inflación (escenarios bajo, medio y</w:t>
      </w:r>
      <w:r>
        <w:rPr>
          <w:spacing w:val="-8"/>
          <w:sz w:val="22"/>
        </w:rPr>
        <w:t> </w:t>
      </w:r>
      <w:r>
        <w:rPr>
          <w:sz w:val="22"/>
        </w:rPr>
        <w:t>alto).</w:t>
      </w:r>
    </w:p>
    <w:p>
      <w:pPr>
        <w:pStyle w:val="ListParagraph"/>
        <w:numPr>
          <w:ilvl w:val="0"/>
          <w:numId w:val="41"/>
        </w:numPr>
        <w:tabs>
          <w:tab w:pos="1414" w:val="left" w:leader="none"/>
        </w:tabs>
        <w:spacing w:line="266" w:lineRule="exact" w:before="0" w:after="0"/>
        <w:ind w:left="1414" w:right="0" w:hanging="360"/>
        <w:jc w:val="both"/>
        <w:rPr>
          <w:sz w:val="22"/>
        </w:rPr>
      </w:pPr>
      <w:r>
        <w:rPr>
          <w:sz w:val="22"/>
        </w:rPr>
        <w:t>Tipo de</w:t>
      </w:r>
      <w:r>
        <w:rPr>
          <w:spacing w:val="-2"/>
          <w:sz w:val="22"/>
        </w:rPr>
        <w:t> </w:t>
      </w:r>
      <w:r>
        <w:rPr>
          <w:sz w:val="22"/>
        </w:rPr>
        <w:t>cambio</w:t>
      </w:r>
    </w:p>
    <w:p>
      <w:pPr>
        <w:pStyle w:val="ListParagraph"/>
        <w:numPr>
          <w:ilvl w:val="0"/>
          <w:numId w:val="41"/>
        </w:numPr>
        <w:tabs>
          <w:tab w:pos="1414" w:val="left" w:leader="none"/>
        </w:tabs>
        <w:spacing w:line="240" w:lineRule="auto" w:before="39" w:after="0"/>
        <w:ind w:left="1414" w:right="0" w:hanging="360"/>
        <w:jc w:val="both"/>
        <w:rPr>
          <w:sz w:val="22"/>
        </w:rPr>
      </w:pPr>
      <w:r>
        <w:rPr>
          <w:sz w:val="22"/>
        </w:rPr>
        <w:t>El precio internacional del</w:t>
      </w:r>
      <w:r>
        <w:rPr>
          <w:spacing w:val="-2"/>
          <w:sz w:val="22"/>
        </w:rPr>
        <w:t> </w:t>
      </w:r>
      <w:r>
        <w:rPr>
          <w:sz w:val="22"/>
        </w:rPr>
        <w:t>petróleo</w:t>
      </w:r>
    </w:p>
    <w:p>
      <w:pPr>
        <w:pStyle w:val="ListParagraph"/>
        <w:numPr>
          <w:ilvl w:val="0"/>
          <w:numId w:val="41"/>
        </w:numPr>
        <w:tabs>
          <w:tab w:pos="1414" w:val="left" w:leader="none"/>
        </w:tabs>
        <w:spacing w:line="240" w:lineRule="auto" w:before="35" w:after="0"/>
        <w:ind w:left="1414" w:right="0" w:hanging="360"/>
        <w:jc w:val="both"/>
        <w:rPr>
          <w:sz w:val="22"/>
        </w:rPr>
      </w:pPr>
      <w:r>
        <w:rPr>
          <w:sz w:val="22"/>
        </w:rPr>
        <w:t>Considera crédito de ISO a cuenta del</w:t>
      </w:r>
      <w:r>
        <w:rPr>
          <w:spacing w:val="-4"/>
          <w:sz w:val="22"/>
        </w:rPr>
        <w:t> </w:t>
      </w:r>
      <w:r>
        <w:rPr>
          <w:spacing w:val="-2"/>
          <w:sz w:val="22"/>
        </w:rPr>
        <w:t>ISR</w:t>
      </w:r>
    </w:p>
    <w:p>
      <w:pPr>
        <w:spacing w:after="0" w:line="240" w:lineRule="auto"/>
        <w:jc w:val="both"/>
        <w:rPr>
          <w:sz w:val="22"/>
        </w:rPr>
        <w:sectPr>
          <w:pgSz w:w="12240" w:h="15840"/>
          <w:pgMar w:header="715" w:footer="688" w:top="1240" w:bottom="880" w:left="1140" w:right="0"/>
        </w:sectPr>
      </w:pPr>
    </w:p>
    <w:p>
      <w:pPr>
        <w:pStyle w:val="ListParagraph"/>
        <w:numPr>
          <w:ilvl w:val="0"/>
          <w:numId w:val="41"/>
        </w:numPr>
        <w:tabs>
          <w:tab w:pos="1413" w:val="left" w:leader="none"/>
          <w:tab w:pos="1414" w:val="left" w:leader="none"/>
        </w:tabs>
        <w:spacing w:line="276" w:lineRule="auto" w:before="161" w:after="0"/>
        <w:ind w:left="1414" w:right="1692" w:hanging="360"/>
        <w:jc w:val="left"/>
        <w:rPr>
          <w:sz w:val="22"/>
        </w:rPr>
      </w:pPr>
      <w:r>
        <w:rPr>
          <w:sz w:val="22"/>
        </w:rPr>
        <w:t>El escenario base </w:t>
      </w:r>
      <w:r>
        <w:rPr>
          <w:i/>
          <w:sz w:val="22"/>
        </w:rPr>
        <w:t>(cierre fiscal del año anterior al que se está pronosticando) </w:t>
      </w:r>
      <w:r>
        <w:rPr>
          <w:sz w:val="22"/>
        </w:rPr>
        <w:t>restando recaudación originada por multas, intereses, moras y</w:t>
      </w:r>
      <w:r>
        <w:rPr>
          <w:spacing w:val="-9"/>
          <w:sz w:val="22"/>
        </w:rPr>
        <w:t> </w:t>
      </w:r>
      <w:r>
        <w:rPr>
          <w:sz w:val="22"/>
        </w:rPr>
        <w:t>extraordinaria.</w:t>
      </w:r>
    </w:p>
    <w:p>
      <w:pPr>
        <w:pStyle w:val="BodyText"/>
        <w:spacing w:before="2"/>
        <w:rPr>
          <w:sz w:val="25"/>
        </w:rPr>
      </w:pPr>
    </w:p>
    <w:p>
      <w:pPr>
        <w:pStyle w:val="BodyText"/>
        <w:spacing w:line="276" w:lineRule="auto"/>
        <w:ind w:left="562" w:right="1698"/>
        <w:jc w:val="both"/>
      </w:pPr>
      <w:r>
        <w:rPr/>
        <w:t>En los meses de abril y mayo de cada año da inicio el ejercicio de estimación de ingresos tributarios el</w:t>
      </w:r>
      <w:r>
        <w:rPr>
          <w:spacing w:val="-7"/>
        </w:rPr>
        <w:t> </w:t>
      </w:r>
      <w:r>
        <w:rPr/>
        <w:t>cual</w:t>
      </w:r>
      <w:r>
        <w:rPr>
          <w:spacing w:val="-3"/>
        </w:rPr>
        <w:t> </w:t>
      </w:r>
      <w:r>
        <w:rPr/>
        <w:t>servirá</w:t>
      </w:r>
      <w:r>
        <w:rPr>
          <w:spacing w:val="-4"/>
        </w:rPr>
        <w:t> </w:t>
      </w:r>
      <w:r>
        <w:rPr/>
        <w:t>de</w:t>
      </w:r>
      <w:r>
        <w:rPr>
          <w:spacing w:val="-4"/>
        </w:rPr>
        <w:t> </w:t>
      </w:r>
      <w:r>
        <w:rPr/>
        <w:t>base</w:t>
      </w:r>
      <w:r>
        <w:rPr>
          <w:spacing w:val="-8"/>
        </w:rPr>
        <w:t> </w:t>
      </w:r>
      <w:r>
        <w:rPr/>
        <w:t>para</w:t>
      </w:r>
      <w:r>
        <w:rPr>
          <w:spacing w:val="-7"/>
        </w:rPr>
        <w:t> </w:t>
      </w:r>
      <w:r>
        <w:rPr/>
        <w:t>consensuar</w:t>
      </w:r>
      <w:r>
        <w:rPr>
          <w:spacing w:val="-6"/>
        </w:rPr>
        <w:t> </w:t>
      </w:r>
      <w:r>
        <w:rPr/>
        <w:t>la</w:t>
      </w:r>
      <w:r>
        <w:rPr>
          <w:spacing w:val="-7"/>
        </w:rPr>
        <w:t> </w:t>
      </w:r>
      <w:r>
        <w:rPr/>
        <w:t>estimación</w:t>
      </w:r>
      <w:r>
        <w:rPr>
          <w:spacing w:val="-7"/>
        </w:rPr>
        <w:t> </w:t>
      </w:r>
      <w:r>
        <w:rPr/>
        <w:t>técnica</w:t>
      </w:r>
      <w:r>
        <w:rPr>
          <w:spacing w:val="-4"/>
        </w:rPr>
        <w:t> </w:t>
      </w:r>
      <w:r>
        <w:rPr/>
        <w:t>entre</w:t>
      </w:r>
      <w:r>
        <w:rPr>
          <w:spacing w:val="-8"/>
        </w:rPr>
        <w:t> </w:t>
      </w:r>
      <w:r>
        <w:rPr/>
        <w:t>el</w:t>
      </w:r>
      <w:r>
        <w:rPr>
          <w:spacing w:val="-6"/>
        </w:rPr>
        <w:t> </w:t>
      </w:r>
      <w:r>
        <w:rPr/>
        <w:t>Ministerio</w:t>
      </w:r>
      <w:r>
        <w:rPr>
          <w:spacing w:val="-5"/>
        </w:rPr>
        <w:t> </w:t>
      </w:r>
      <w:r>
        <w:rPr/>
        <w:t>de</w:t>
      </w:r>
      <w:r>
        <w:rPr>
          <w:spacing w:val="-7"/>
        </w:rPr>
        <w:t> </w:t>
      </w:r>
      <w:r>
        <w:rPr/>
        <w:t>Finanzas</w:t>
      </w:r>
      <w:r>
        <w:rPr>
          <w:spacing w:val="-6"/>
        </w:rPr>
        <w:t> </w:t>
      </w:r>
      <w:r>
        <w:rPr/>
        <w:t>Públicas y la Superintendencia de Administración Tributaria, una vez se logra acordar el monto total de la recaudación y su distribución por impuesto, la cual avala la Comisión Técnica de Finanzas Públicas y que aprueba finalmente el Congreso de la República cuando aprueba el Presupuesto General de Ingresos y Egresos del Estado, el Superintendente de la Administración Tributaria suscribe un convenio de cumplimiento de metas de recaudación con el Ministro de Finanzas</w:t>
      </w:r>
      <w:r>
        <w:rPr>
          <w:spacing w:val="-15"/>
        </w:rPr>
        <w:t> </w:t>
      </w:r>
      <w:r>
        <w:rPr/>
        <w:t>Públicas.</w:t>
      </w:r>
    </w:p>
    <w:p>
      <w:pPr>
        <w:pStyle w:val="BodyText"/>
        <w:spacing w:before="4"/>
        <w:rPr>
          <w:sz w:val="25"/>
        </w:rPr>
      </w:pPr>
    </w:p>
    <w:p>
      <w:pPr>
        <w:pStyle w:val="BodyText"/>
        <w:spacing w:line="276" w:lineRule="auto"/>
        <w:ind w:left="562" w:right="1701"/>
        <w:jc w:val="both"/>
      </w:pPr>
      <w:r>
        <w:rPr/>
        <w:t>De</w:t>
      </w:r>
      <w:r>
        <w:rPr>
          <w:spacing w:val="-7"/>
        </w:rPr>
        <w:t> </w:t>
      </w:r>
      <w:r>
        <w:rPr/>
        <w:t>manera</w:t>
      </w:r>
      <w:r>
        <w:rPr>
          <w:spacing w:val="-7"/>
        </w:rPr>
        <w:t> </w:t>
      </w:r>
      <w:r>
        <w:rPr/>
        <w:t>general,</w:t>
      </w:r>
      <w:r>
        <w:rPr>
          <w:spacing w:val="-10"/>
        </w:rPr>
        <w:t> </w:t>
      </w:r>
      <w:r>
        <w:rPr/>
        <w:t>se</w:t>
      </w:r>
      <w:r>
        <w:rPr>
          <w:spacing w:val="-9"/>
        </w:rPr>
        <w:t> </w:t>
      </w:r>
      <w:r>
        <w:rPr/>
        <w:t>puede</w:t>
      </w:r>
      <w:r>
        <w:rPr>
          <w:spacing w:val="-7"/>
        </w:rPr>
        <w:t> </w:t>
      </w:r>
      <w:r>
        <w:rPr/>
        <w:t>resumir</w:t>
      </w:r>
      <w:r>
        <w:rPr>
          <w:spacing w:val="-6"/>
        </w:rPr>
        <w:t> </w:t>
      </w:r>
      <w:r>
        <w:rPr/>
        <w:t>la</w:t>
      </w:r>
      <w:r>
        <w:rPr>
          <w:spacing w:val="-7"/>
        </w:rPr>
        <w:t> </w:t>
      </w:r>
      <w:r>
        <w:rPr/>
        <w:t>metodología</w:t>
      </w:r>
      <w:r>
        <w:rPr>
          <w:spacing w:val="-7"/>
        </w:rPr>
        <w:t> </w:t>
      </w:r>
      <w:r>
        <w:rPr/>
        <w:t>de</w:t>
      </w:r>
      <w:r>
        <w:rPr>
          <w:spacing w:val="-8"/>
        </w:rPr>
        <w:t> </w:t>
      </w:r>
      <w:r>
        <w:rPr/>
        <w:t>estimación</w:t>
      </w:r>
      <w:r>
        <w:rPr>
          <w:spacing w:val="-10"/>
        </w:rPr>
        <w:t> </w:t>
      </w:r>
      <w:r>
        <w:rPr/>
        <w:t>de</w:t>
      </w:r>
      <w:r>
        <w:rPr>
          <w:spacing w:val="-9"/>
        </w:rPr>
        <w:t> </w:t>
      </w:r>
      <w:r>
        <w:rPr/>
        <w:t>cada</w:t>
      </w:r>
      <w:r>
        <w:rPr>
          <w:spacing w:val="-9"/>
        </w:rPr>
        <w:t> </w:t>
      </w:r>
      <w:r>
        <w:rPr/>
        <w:t>impuesto</w:t>
      </w:r>
      <w:r>
        <w:rPr>
          <w:spacing w:val="-7"/>
        </w:rPr>
        <w:t> </w:t>
      </w:r>
      <w:r>
        <w:rPr/>
        <w:t>con</w:t>
      </w:r>
      <w:r>
        <w:rPr>
          <w:spacing w:val="-10"/>
        </w:rPr>
        <w:t> </w:t>
      </w:r>
      <w:r>
        <w:rPr/>
        <w:t>la</w:t>
      </w:r>
      <w:r>
        <w:rPr>
          <w:spacing w:val="-7"/>
        </w:rPr>
        <w:t> </w:t>
      </w:r>
      <w:r>
        <w:rPr/>
        <w:t>siguiente función:</w:t>
      </w:r>
    </w:p>
    <w:p>
      <w:pPr>
        <w:pStyle w:val="BodyText"/>
        <w:spacing w:before="4"/>
      </w:pPr>
      <w:r>
        <w:rPr/>
        <w:pict>
          <v:shape style="position:absolute;margin-left:79.463997pt;margin-top:15.066021pt;width:453.35pt;height:33.75pt;mso-position-horizontal-relative:page;mso-position-vertical-relative:paragraph;z-index:-250156032;mso-wrap-distance-left:0;mso-wrap-distance-right:0" type="#_x0000_t202" filled="true" fillcolor="#deeaf6" stroked="true" strokeweight=".48pt" strokecolor="#000000">
            <v:textbox inset="0,0,0,0">
              <w:txbxContent>
                <w:p>
                  <w:pPr>
                    <w:pStyle w:val="BodyText"/>
                    <w:spacing w:before="9"/>
                    <w:ind w:left="839"/>
                    <w:rPr>
                      <w:rFonts w:ascii="Cambria Math" w:hAnsi="Cambria Math" w:eastAsia="Cambria Math"/>
                    </w:rPr>
                  </w:pPr>
                  <w:r>
                    <w:rPr>
                      <w:rFonts w:ascii="Cambria Math" w:hAnsi="Cambria Math" w:eastAsia="Cambria Math"/>
                    </w:rPr>
                    <w:t>𝐼𝑚𝑝𝑢𝑒𝑠𝑡𝑜</w:t>
                  </w:r>
                  <w:r>
                    <w:rPr>
                      <w:rFonts w:ascii="Cambria Math" w:hAnsi="Cambria Math" w:eastAsia="Cambria Math"/>
                      <w:position w:val="-4"/>
                      <w:sz w:val="16"/>
                    </w:rPr>
                    <w:t>(𝑡+1) </w:t>
                  </w:r>
                  <w:r>
                    <w:rPr>
                      <w:rFonts w:ascii="Cambria Math" w:hAnsi="Cambria Math" w:eastAsia="Cambria Math"/>
                    </w:rPr>
                    <w:t>= 𝐼𝑚𝑝𝑢𝑒𝑠𝑡𝑜 𝑟𝑒𝑐𝑎𝑢𝑑𝑎𝑑𝑜</w:t>
                  </w:r>
                  <w:r>
                    <w:rPr>
                      <w:rFonts w:ascii="Cambria Math" w:hAnsi="Cambria Math" w:eastAsia="Cambria Math"/>
                      <w:position w:val="-4"/>
                      <w:sz w:val="16"/>
                    </w:rPr>
                    <w:t>(𝑡−1) </w:t>
                  </w:r>
                  <w:r>
                    <w:rPr>
                      <w:rFonts w:ascii="Cambria Math" w:hAnsi="Cambria Math" w:eastAsia="Cambria Math"/>
                    </w:rPr>
                    <w:t>+ </w:t>
                  </w:r>
                  <w:r>
                    <w:rPr>
                      <w:rFonts w:ascii="Cambria Math" w:hAnsi="Cambria Math" w:eastAsia="Cambria Math"/>
                      <w:position w:val="1"/>
                    </w:rPr>
                    <w:t>{</w:t>
                  </w:r>
                  <w:r>
                    <w:rPr>
                      <w:rFonts w:ascii="Cambria Math" w:hAnsi="Cambria Math" w:eastAsia="Cambria Math"/>
                    </w:rPr>
                    <w:t>𝐸𝑠𝑐𝑒𝑛𝑎𝑟𝑖𝑜 𝑀𝑎𝑐𝑟𝑜𝑒𝑐𝑜𝑛ó𝑚𝑖𝑐𝑜</w:t>
                  </w:r>
                  <w:r>
                    <w:rPr>
                      <w:rFonts w:ascii="Cambria Math" w:hAnsi="Cambria Math" w:eastAsia="Cambria Math"/>
                      <w:position w:val="1"/>
                    </w:rPr>
                    <w:t>}</w:t>
                  </w:r>
                </w:p>
                <w:p>
                  <w:pPr>
                    <w:pStyle w:val="BodyText"/>
                    <w:spacing w:before="24"/>
                    <w:ind w:left="2279"/>
                    <w:rPr>
                      <w:rFonts w:ascii="Cambria Math" w:hAnsi="Cambria Math" w:eastAsia="Cambria Math"/>
                    </w:rPr>
                  </w:pPr>
                  <w:r>
                    <w:rPr>
                      <w:rFonts w:ascii="Cambria Math" w:hAnsi="Cambria Math" w:eastAsia="Cambria Math"/>
                    </w:rPr>
                    <w:t>± </w:t>
                  </w:r>
                  <w:r>
                    <w:rPr>
                      <w:rFonts w:ascii="Cambria Math" w:hAnsi="Cambria Math" w:eastAsia="Cambria Math"/>
                      <w:position w:val="1"/>
                    </w:rPr>
                    <w:t>{</w:t>
                  </w:r>
                  <w:r>
                    <w:rPr>
                      <w:rFonts w:ascii="Cambria Math" w:hAnsi="Cambria Math" w:eastAsia="Cambria Math"/>
                    </w:rPr>
                    <w:t>𝑀𝑎𝑟𝑐𝑜 𝐿𝑒𝑔𝑎𝑙</w:t>
                  </w:r>
                  <w:r>
                    <w:rPr>
                      <w:rFonts w:ascii="Cambria Math" w:hAnsi="Cambria Math" w:eastAsia="Cambria Math"/>
                      <w:position w:val="1"/>
                    </w:rPr>
                    <w:t>} </w:t>
                  </w:r>
                  <w:r>
                    <w:rPr>
                      <w:rFonts w:ascii="Cambria Math" w:hAnsi="Cambria Math" w:eastAsia="Cambria Math"/>
                    </w:rPr>
                    <w:t>± </w:t>
                  </w:r>
                  <w:r>
                    <w:rPr>
                      <w:rFonts w:ascii="Cambria Math" w:hAnsi="Cambria Math" w:eastAsia="Cambria Math"/>
                      <w:position w:val="1"/>
                    </w:rPr>
                    <w:t>{</w:t>
                  </w:r>
                  <w:r>
                    <w:rPr>
                      <w:rFonts w:ascii="Cambria Math" w:hAnsi="Cambria Math" w:eastAsia="Cambria Math"/>
                    </w:rPr>
                    <w:t>𝐴𝑗𝑢𝑠𝑡𝑒𝑠</w:t>
                  </w:r>
                  <w:r>
                    <w:rPr>
                      <w:rFonts w:ascii="Cambria Math" w:hAnsi="Cambria Math" w:eastAsia="Cambria Math"/>
                      <w:position w:val="1"/>
                    </w:rPr>
                    <w:t>}</w:t>
                  </w:r>
                </w:p>
              </w:txbxContent>
            </v:textbox>
            <v:fill type="solid"/>
            <v:stroke dashstyle="solid"/>
            <w10:wrap type="topAndBottom"/>
          </v:shape>
        </w:pict>
      </w:r>
    </w:p>
    <w:p>
      <w:pPr>
        <w:spacing w:before="125"/>
        <w:ind w:left="562" w:right="0" w:firstLine="0"/>
        <w:jc w:val="left"/>
        <w:rPr>
          <w:i/>
          <w:sz w:val="22"/>
        </w:rPr>
      </w:pPr>
      <w:r>
        <w:rPr>
          <w:i/>
          <w:sz w:val="22"/>
        </w:rPr>
        <w:t>Donde:</w:t>
      </w:r>
    </w:p>
    <w:p>
      <w:pPr>
        <w:tabs>
          <w:tab w:pos="3838" w:val="left" w:leader="none"/>
        </w:tabs>
        <w:spacing w:before="41"/>
        <w:ind w:left="1142" w:right="0" w:firstLine="0"/>
        <w:jc w:val="left"/>
        <w:rPr>
          <w:i/>
          <w:sz w:val="20"/>
        </w:rPr>
      </w:pPr>
      <w:r>
        <w:rPr>
          <w:i/>
          <w:position w:val="2"/>
          <w:sz w:val="20"/>
        </w:rPr>
        <w:t>Impuesto</w:t>
      </w:r>
      <w:r>
        <w:rPr>
          <w:i/>
          <w:spacing w:val="-1"/>
          <w:position w:val="2"/>
          <w:sz w:val="20"/>
        </w:rPr>
        <w:t> </w:t>
      </w:r>
      <w:r>
        <w:rPr>
          <w:i/>
          <w:sz w:val="13"/>
        </w:rPr>
        <w:t>(t+1)</w:t>
        <w:tab/>
      </w:r>
      <w:r>
        <w:rPr>
          <w:i/>
          <w:position w:val="2"/>
          <w:sz w:val="20"/>
        </w:rPr>
        <w:t>Impuesto a</w:t>
      </w:r>
      <w:r>
        <w:rPr>
          <w:i/>
          <w:spacing w:val="1"/>
          <w:position w:val="2"/>
          <w:sz w:val="20"/>
        </w:rPr>
        <w:t> </w:t>
      </w:r>
      <w:r>
        <w:rPr>
          <w:i/>
          <w:position w:val="2"/>
          <w:sz w:val="20"/>
        </w:rPr>
        <w:t>estimar</w:t>
      </w:r>
    </w:p>
    <w:p>
      <w:pPr>
        <w:tabs>
          <w:tab w:pos="3838" w:val="left" w:leader="none"/>
        </w:tabs>
        <w:spacing w:before="29"/>
        <w:ind w:left="1142" w:right="0" w:firstLine="0"/>
        <w:jc w:val="left"/>
        <w:rPr>
          <w:i/>
          <w:sz w:val="20"/>
        </w:rPr>
      </w:pPr>
      <w:r>
        <w:rPr>
          <w:i/>
          <w:position w:val="2"/>
          <w:sz w:val="20"/>
        </w:rPr>
        <w:t>Impuesto</w:t>
      </w:r>
      <w:r>
        <w:rPr>
          <w:i/>
          <w:spacing w:val="-1"/>
          <w:position w:val="2"/>
          <w:sz w:val="20"/>
        </w:rPr>
        <w:t> </w:t>
      </w:r>
      <w:r>
        <w:rPr>
          <w:i/>
          <w:position w:val="2"/>
          <w:sz w:val="20"/>
        </w:rPr>
        <w:t>recaudado</w:t>
      </w:r>
      <w:r>
        <w:rPr>
          <w:i/>
          <w:sz w:val="13"/>
        </w:rPr>
        <w:t>(t-1)</w:t>
        <w:tab/>
      </w:r>
      <w:r>
        <w:rPr>
          <w:i/>
          <w:position w:val="2"/>
          <w:sz w:val="20"/>
        </w:rPr>
        <w:t>Recaudación observada del año anterior</w:t>
      </w:r>
    </w:p>
    <w:p>
      <w:pPr>
        <w:tabs>
          <w:tab w:pos="3838" w:val="left" w:leader="none"/>
        </w:tabs>
        <w:spacing w:line="276" w:lineRule="auto" w:before="30"/>
        <w:ind w:left="1142" w:right="2077" w:firstLine="0"/>
        <w:jc w:val="left"/>
        <w:rPr>
          <w:i/>
          <w:sz w:val="20"/>
        </w:rPr>
      </w:pPr>
      <w:r>
        <w:rPr>
          <w:i/>
          <w:sz w:val="20"/>
        </w:rPr>
        <w:t>Escenario</w:t>
      </w:r>
      <w:r>
        <w:rPr>
          <w:i/>
          <w:spacing w:val="-2"/>
          <w:sz w:val="20"/>
        </w:rPr>
        <w:t> </w:t>
      </w:r>
      <w:r>
        <w:rPr>
          <w:i/>
          <w:sz w:val="20"/>
        </w:rPr>
        <w:t>Macroeconómico</w:t>
        <w:tab/>
        <w:t>Recaudación obtenida por efecto de variables</w:t>
      </w:r>
      <w:r>
        <w:rPr>
          <w:i/>
          <w:spacing w:val="-21"/>
          <w:sz w:val="20"/>
        </w:rPr>
        <w:t> </w:t>
      </w:r>
      <w:r>
        <w:rPr>
          <w:i/>
          <w:sz w:val="20"/>
        </w:rPr>
        <w:t>macroeconómicas </w:t>
      </w:r>
      <w:r>
        <w:rPr>
          <w:i/>
          <w:sz w:val="20"/>
        </w:rPr>
        <w:t>Marco</w:t>
      </w:r>
      <w:r>
        <w:rPr>
          <w:i/>
          <w:spacing w:val="-1"/>
          <w:sz w:val="20"/>
        </w:rPr>
        <w:t> </w:t>
      </w:r>
      <w:r>
        <w:rPr>
          <w:i/>
          <w:sz w:val="20"/>
        </w:rPr>
        <w:t>Legal</w:t>
        <w:tab/>
        <w:t>Marco legal vigente de cada impuesto que se está</w:t>
      </w:r>
      <w:r>
        <w:rPr>
          <w:i/>
          <w:spacing w:val="-12"/>
          <w:sz w:val="20"/>
        </w:rPr>
        <w:t> </w:t>
      </w:r>
      <w:r>
        <w:rPr>
          <w:i/>
          <w:sz w:val="20"/>
        </w:rPr>
        <w:t>estimando.</w:t>
      </w:r>
    </w:p>
    <w:p>
      <w:pPr>
        <w:tabs>
          <w:tab w:pos="3838" w:val="left" w:leader="none"/>
        </w:tabs>
        <w:spacing w:line="278" w:lineRule="auto" w:before="0"/>
        <w:ind w:left="3838" w:right="1999" w:hanging="2696"/>
        <w:jc w:val="left"/>
        <w:rPr>
          <w:i/>
          <w:sz w:val="20"/>
        </w:rPr>
      </w:pPr>
      <w:r>
        <w:rPr>
          <w:i/>
          <w:sz w:val="20"/>
        </w:rPr>
        <w:t>Ajustes</w:t>
        <w:tab/>
        <w:t>Recaudación que se puede generar por un crédito o débito en el </w:t>
      </w:r>
      <w:r>
        <w:rPr>
          <w:i/>
          <w:sz w:val="20"/>
        </w:rPr>
        <w:t>impuesto que se está</w:t>
      </w:r>
      <w:r>
        <w:rPr>
          <w:i/>
          <w:spacing w:val="-1"/>
          <w:sz w:val="20"/>
        </w:rPr>
        <w:t> </w:t>
      </w:r>
      <w:r>
        <w:rPr>
          <w:i/>
          <w:sz w:val="20"/>
        </w:rPr>
        <w:t>estimando.</w:t>
      </w:r>
    </w:p>
    <w:p>
      <w:pPr>
        <w:pStyle w:val="BodyText"/>
        <w:spacing w:before="9"/>
        <w:rPr>
          <w:i/>
          <w:sz w:val="24"/>
        </w:rPr>
      </w:pPr>
    </w:p>
    <w:p>
      <w:pPr>
        <w:pStyle w:val="BodyText"/>
        <w:spacing w:line="276" w:lineRule="auto"/>
        <w:ind w:left="562" w:right="1697"/>
        <w:jc w:val="both"/>
      </w:pPr>
      <w:r>
        <w:rPr/>
        <w:t>De esa cuenta, es posible establecer la base de estimación de cada impuesto, la cual depende de las características especiales del tributo, que están en función de la base imponible y de las variables macroeconómicas que lo determinan, las cuales se detallan a continuación:</w:t>
      </w:r>
    </w:p>
    <w:p>
      <w:pPr>
        <w:pStyle w:val="BodyText"/>
        <w:spacing w:before="10"/>
        <w:rPr>
          <w:sz w:val="25"/>
        </w:rPr>
      </w:pPr>
    </w:p>
    <w:p>
      <w:pPr>
        <w:spacing w:before="0" w:after="34"/>
        <w:ind w:left="3147" w:right="0" w:firstLine="0"/>
        <w:jc w:val="left"/>
        <w:rPr>
          <w:b/>
          <w:sz w:val="20"/>
        </w:rPr>
      </w:pPr>
      <w:bookmarkStart w:name="_bookmark208" w:id="269"/>
      <w:bookmarkEnd w:id="269"/>
      <w:r>
        <w:rPr/>
      </w:r>
      <w:r>
        <w:rPr>
          <w:b/>
          <w:i/>
          <w:sz w:val="20"/>
        </w:rPr>
        <w:t>Tabla 17. </w:t>
      </w:r>
      <w:r>
        <w:rPr>
          <w:b/>
          <w:sz w:val="20"/>
        </w:rPr>
        <w:t>Base de estimación por impuesto</w:t>
      </w: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89"/>
        <w:gridCol w:w="2976"/>
        <w:gridCol w:w="269"/>
        <w:gridCol w:w="301"/>
        <w:gridCol w:w="444"/>
        <w:gridCol w:w="775"/>
        <w:gridCol w:w="371"/>
      </w:tblGrid>
      <w:tr>
        <w:trPr>
          <w:trHeight w:val="582" w:hRule="atLeast"/>
        </w:trPr>
        <w:tc>
          <w:tcPr>
            <w:tcW w:w="3689" w:type="dxa"/>
            <w:shd w:val="clear" w:color="auto" w:fill="BCD5ED"/>
          </w:tcPr>
          <w:p>
            <w:pPr>
              <w:pStyle w:val="TableParagraph"/>
              <w:spacing w:before="63"/>
              <w:ind w:left="1384" w:right="1373"/>
              <w:jc w:val="center"/>
              <w:rPr>
                <w:b/>
                <w:sz w:val="22"/>
              </w:rPr>
            </w:pPr>
            <w:r>
              <w:rPr>
                <w:b/>
                <w:sz w:val="22"/>
              </w:rPr>
              <w:t>Impuesto</w:t>
            </w:r>
          </w:p>
        </w:tc>
        <w:tc>
          <w:tcPr>
            <w:tcW w:w="5136" w:type="dxa"/>
            <w:gridSpan w:val="6"/>
            <w:shd w:val="clear" w:color="auto" w:fill="9CC2E4"/>
          </w:tcPr>
          <w:p>
            <w:pPr>
              <w:pStyle w:val="TableParagraph"/>
              <w:spacing w:line="251" w:lineRule="exact"/>
              <w:ind w:left="453" w:right="445"/>
              <w:jc w:val="center"/>
              <w:rPr>
                <w:b/>
                <w:sz w:val="22"/>
              </w:rPr>
            </w:pPr>
            <w:r>
              <w:rPr>
                <w:b/>
                <w:sz w:val="22"/>
              </w:rPr>
              <w:t>La base de estimación para cada impuesto la</w:t>
            </w:r>
          </w:p>
          <w:p>
            <w:pPr>
              <w:pStyle w:val="TableParagraph"/>
              <w:spacing w:before="37"/>
              <w:ind w:left="453" w:right="438"/>
              <w:jc w:val="center"/>
              <w:rPr>
                <w:b/>
                <w:sz w:val="22"/>
              </w:rPr>
            </w:pPr>
            <w:r>
              <w:rPr>
                <w:b/>
                <w:sz w:val="22"/>
              </w:rPr>
              <w:t>constituye</w:t>
            </w:r>
          </w:p>
        </w:tc>
      </w:tr>
      <w:tr>
        <w:trPr>
          <w:trHeight w:val="1058" w:hRule="atLeast"/>
        </w:trPr>
        <w:tc>
          <w:tcPr>
            <w:tcW w:w="3689" w:type="dxa"/>
            <w:shd w:val="clear" w:color="auto" w:fill="BCD5ED"/>
          </w:tcPr>
          <w:p>
            <w:pPr>
              <w:pStyle w:val="TableParagraph"/>
              <w:rPr>
                <w:b/>
                <w:sz w:val="22"/>
              </w:rPr>
            </w:pPr>
          </w:p>
          <w:p>
            <w:pPr>
              <w:pStyle w:val="TableParagraph"/>
              <w:spacing w:before="138"/>
              <w:ind w:left="107"/>
              <w:rPr>
                <w:sz w:val="20"/>
              </w:rPr>
            </w:pPr>
            <w:r>
              <w:rPr>
                <w:sz w:val="20"/>
              </w:rPr>
              <w:t>Impuesto sobre la renta</w:t>
            </w:r>
          </w:p>
        </w:tc>
        <w:tc>
          <w:tcPr>
            <w:tcW w:w="5136" w:type="dxa"/>
            <w:gridSpan w:val="6"/>
            <w:shd w:val="clear" w:color="auto" w:fill="9CC2E4"/>
          </w:tcPr>
          <w:p>
            <w:pPr>
              <w:pStyle w:val="TableParagraph"/>
              <w:numPr>
                <w:ilvl w:val="0"/>
                <w:numId w:val="42"/>
              </w:numPr>
              <w:tabs>
                <w:tab w:pos="828" w:val="left" w:leader="none"/>
                <w:tab w:pos="829" w:val="left" w:leader="none"/>
              </w:tabs>
              <w:spacing w:line="225" w:lineRule="exact" w:before="0" w:after="0"/>
              <w:ind w:left="828" w:right="0" w:hanging="361"/>
              <w:jc w:val="left"/>
              <w:rPr>
                <w:sz w:val="20"/>
              </w:rPr>
            </w:pPr>
            <w:r>
              <w:rPr>
                <w:sz w:val="20"/>
              </w:rPr>
              <w:t>Recaudación observada en el año</w:t>
            </w:r>
            <w:r>
              <w:rPr>
                <w:spacing w:val="-4"/>
                <w:sz w:val="20"/>
              </w:rPr>
              <w:t> </w:t>
            </w:r>
            <w:r>
              <w:rPr>
                <w:sz w:val="20"/>
              </w:rPr>
              <w:t>anterior</w:t>
            </w:r>
          </w:p>
          <w:p>
            <w:pPr>
              <w:pStyle w:val="TableParagraph"/>
              <w:numPr>
                <w:ilvl w:val="0"/>
                <w:numId w:val="42"/>
              </w:numPr>
              <w:tabs>
                <w:tab w:pos="828" w:val="left" w:leader="none"/>
                <w:tab w:pos="829" w:val="left" w:leader="none"/>
              </w:tabs>
              <w:spacing w:line="240" w:lineRule="auto" w:before="33" w:after="0"/>
              <w:ind w:left="828" w:right="0" w:hanging="361"/>
              <w:jc w:val="left"/>
              <w:rPr>
                <w:sz w:val="13"/>
              </w:rPr>
            </w:pPr>
            <w:r>
              <w:rPr>
                <w:position w:val="2"/>
                <w:sz w:val="20"/>
              </w:rPr>
              <w:t>Una fracción de crédito del ISO de</w:t>
            </w:r>
            <w:r>
              <w:rPr>
                <w:spacing w:val="-5"/>
                <w:position w:val="2"/>
                <w:sz w:val="20"/>
              </w:rPr>
              <w:t> </w:t>
            </w:r>
            <w:r>
              <w:rPr>
                <w:position w:val="2"/>
                <w:sz w:val="20"/>
              </w:rPr>
              <w:t>Año</w:t>
            </w:r>
            <w:r>
              <w:rPr>
                <w:sz w:val="13"/>
              </w:rPr>
              <w:t>(t-2)</w:t>
            </w:r>
          </w:p>
          <w:p>
            <w:pPr>
              <w:pStyle w:val="TableParagraph"/>
              <w:numPr>
                <w:ilvl w:val="0"/>
                <w:numId w:val="42"/>
              </w:numPr>
              <w:tabs>
                <w:tab w:pos="828" w:val="left" w:leader="none"/>
                <w:tab w:pos="829" w:val="left" w:leader="none"/>
              </w:tabs>
              <w:spacing w:line="240" w:lineRule="auto" w:before="30" w:after="0"/>
              <w:ind w:left="828" w:right="0" w:hanging="361"/>
              <w:jc w:val="left"/>
              <w:rPr>
                <w:sz w:val="20"/>
              </w:rPr>
            </w:pPr>
            <w:r>
              <w:rPr>
                <w:sz w:val="20"/>
              </w:rPr>
              <w:t>Variación del PIB</w:t>
            </w:r>
            <w:r>
              <w:rPr>
                <w:spacing w:val="-1"/>
                <w:sz w:val="20"/>
              </w:rPr>
              <w:t> </w:t>
            </w:r>
            <w:r>
              <w:rPr>
                <w:sz w:val="20"/>
              </w:rPr>
              <w:t>nominal</w:t>
            </w:r>
          </w:p>
          <w:p>
            <w:pPr>
              <w:pStyle w:val="TableParagraph"/>
              <w:numPr>
                <w:ilvl w:val="0"/>
                <w:numId w:val="42"/>
              </w:numPr>
              <w:tabs>
                <w:tab w:pos="828" w:val="left" w:leader="none"/>
                <w:tab w:pos="829" w:val="left" w:leader="none"/>
              </w:tabs>
              <w:spacing w:line="240" w:lineRule="auto" w:before="33" w:after="0"/>
              <w:ind w:left="828" w:right="0" w:hanging="361"/>
              <w:jc w:val="left"/>
              <w:rPr>
                <w:sz w:val="13"/>
              </w:rPr>
            </w:pPr>
            <w:r>
              <w:rPr>
                <w:position w:val="2"/>
                <w:sz w:val="20"/>
              </w:rPr>
              <w:t>Una fracción de crédito del ISO de</w:t>
            </w:r>
            <w:r>
              <w:rPr>
                <w:spacing w:val="-5"/>
                <w:position w:val="2"/>
                <w:sz w:val="20"/>
              </w:rPr>
              <w:t> </w:t>
            </w:r>
            <w:r>
              <w:rPr>
                <w:position w:val="2"/>
                <w:sz w:val="20"/>
              </w:rPr>
              <w:t>Año</w:t>
            </w:r>
            <w:r>
              <w:rPr>
                <w:sz w:val="13"/>
              </w:rPr>
              <w:t>(t-1)</w:t>
            </w:r>
          </w:p>
        </w:tc>
      </w:tr>
      <w:tr>
        <w:trPr>
          <w:trHeight w:val="1322" w:hRule="atLeast"/>
        </w:trPr>
        <w:tc>
          <w:tcPr>
            <w:tcW w:w="3689" w:type="dxa"/>
            <w:shd w:val="clear" w:color="auto" w:fill="BCD5ED"/>
          </w:tcPr>
          <w:p>
            <w:pPr>
              <w:pStyle w:val="TableParagraph"/>
              <w:rPr>
                <w:b/>
                <w:sz w:val="22"/>
              </w:rPr>
            </w:pPr>
          </w:p>
          <w:p>
            <w:pPr>
              <w:pStyle w:val="TableParagraph"/>
              <w:spacing w:before="6"/>
              <w:rPr>
                <w:b/>
                <w:sz w:val="23"/>
              </w:rPr>
            </w:pPr>
          </w:p>
          <w:p>
            <w:pPr>
              <w:pStyle w:val="TableParagraph"/>
              <w:ind w:left="107"/>
              <w:rPr>
                <w:sz w:val="20"/>
              </w:rPr>
            </w:pPr>
            <w:r>
              <w:rPr>
                <w:sz w:val="20"/>
              </w:rPr>
              <w:t>Impuesto de Solidaridad</w:t>
            </w:r>
          </w:p>
        </w:tc>
        <w:tc>
          <w:tcPr>
            <w:tcW w:w="5136" w:type="dxa"/>
            <w:gridSpan w:val="6"/>
            <w:shd w:val="clear" w:color="auto" w:fill="9CC2E4"/>
          </w:tcPr>
          <w:p>
            <w:pPr>
              <w:pStyle w:val="TableParagraph"/>
              <w:numPr>
                <w:ilvl w:val="0"/>
                <w:numId w:val="43"/>
              </w:numPr>
              <w:tabs>
                <w:tab w:pos="828" w:val="left" w:leader="none"/>
                <w:tab w:pos="829" w:val="left" w:leader="none"/>
              </w:tabs>
              <w:spacing w:line="225" w:lineRule="exact" w:before="0" w:after="0"/>
              <w:ind w:left="828" w:right="0" w:hanging="361"/>
              <w:jc w:val="left"/>
              <w:rPr>
                <w:sz w:val="20"/>
              </w:rPr>
            </w:pPr>
            <w:r>
              <w:rPr>
                <w:sz w:val="20"/>
              </w:rPr>
              <w:t>Recaudación observada en el año</w:t>
            </w:r>
            <w:r>
              <w:rPr>
                <w:spacing w:val="-4"/>
                <w:sz w:val="20"/>
              </w:rPr>
              <w:t> </w:t>
            </w:r>
            <w:r>
              <w:rPr>
                <w:sz w:val="20"/>
              </w:rPr>
              <w:t>anterior</w:t>
            </w:r>
          </w:p>
          <w:p>
            <w:pPr>
              <w:pStyle w:val="TableParagraph"/>
              <w:numPr>
                <w:ilvl w:val="0"/>
                <w:numId w:val="43"/>
              </w:numPr>
              <w:tabs>
                <w:tab w:pos="828" w:val="left" w:leader="none"/>
                <w:tab w:pos="829" w:val="left" w:leader="none"/>
              </w:tabs>
              <w:spacing w:line="276" w:lineRule="auto" w:before="34" w:after="0"/>
              <w:ind w:left="828" w:right="96" w:hanging="360"/>
              <w:jc w:val="left"/>
              <w:rPr>
                <w:sz w:val="20"/>
              </w:rPr>
            </w:pPr>
            <w:r>
              <w:rPr>
                <w:sz w:val="20"/>
              </w:rPr>
              <w:t>Una fracción está determinada por variación del</w:t>
            </w:r>
            <w:r>
              <w:rPr>
                <w:spacing w:val="-17"/>
                <w:sz w:val="20"/>
              </w:rPr>
              <w:t> </w:t>
            </w:r>
            <w:r>
              <w:rPr>
                <w:sz w:val="20"/>
              </w:rPr>
              <w:t>PIB nominal</w:t>
            </w:r>
          </w:p>
          <w:p>
            <w:pPr>
              <w:pStyle w:val="TableParagraph"/>
              <w:numPr>
                <w:ilvl w:val="0"/>
                <w:numId w:val="43"/>
              </w:numPr>
              <w:tabs>
                <w:tab w:pos="828" w:val="left" w:leader="none"/>
                <w:tab w:pos="829" w:val="left" w:leader="none"/>
              </w:tabs>
              <w:spacing w:line="230" w:lineRule="exact" w:before="0" w:after="0"/>
              <w:ind w:left="828" w:right="0" w:hanging="361"/>
              <w:jc w:val="left"/>
              <w:rPr>
                <w:sz w:val="20"/>
              </w:rPr>
            </w:pPr>
            <w:r>
              <w:rPr>
                <w:sz w:val="20"/>
              </w:rPr>
              <w:t>Una fracción está determinada por variación del</w:t>
            </w:r>
            <w:r>
              <w:rPr>
                <w:spacing w:val="-14"/>
                <w:sz w:val="20"/>
              </w:rPr>
              <w:t> </w:t>
            </w:r>
            <w:r>
              <w:rPr>
                <w:sz w:val="20"/>
              </w:rPr>
              <w:t>PIB</w:t>
            </w:r>
          </w:p>
          <w:p>
            <w:pPr>
              <w:pStyle w:val="TableParagraph"/>
              <w:spacing w:before="36"/>
              <w:ind w:left="828"/>
              <w:rPr>
                <w:sz w:val="20"/>
              </w:rPr>
            </w:pPr>
            <w:r>
              <w:rPr>
                <w:sz w:val="20"/>
              </w:rPr>
              <w:t>real</w:t>
            </w:r>
          </w:p>
        </w:tc>
      </w:tr>
      <w:tr>
        <w:trPr>
          <w:trHeight w:val="263" w:hRule="atLeast"/>
        </w:trPr>
        <w:tc>
          <w:tcPr>
            <w:tcW w:w="3689" w:type="dxa"/>
            <w:shd w:val="clear" w:color="auto" w:fill="BCD5ED"/>
          </w:tcPr>
          <w:p>
            <w:pPr>
              <w:pStyle w:val="TableParagraph"/>
              <w:spacing w:line="225" w:lineRule="exact"/>
              <w:ind w:left="107"/>
              <w:rPr>
                <w:sz w:val="20"/>
              </w:rPr>
            </w:pPr>
            <w:r>
              <w:rPr>
                <w:sz w:val="20"/>
              </w:rPr>
              <w:t>Impuesto al valor agregado:</w:t>
            </w:r>
          </w:p>
        </w:tc>
        <w:tc>
          <w:tcPr>
            <w:tcW w:w="5136" w:type="dxa"/>
            <w:gridSpan w:val="6"/>
            <w:shd w:val="clear" w:color="auto" w:fill="9CC2E4"/>
          </w:tcPr>
          <w:p>
            <w:pPr>
              <w:pStyle w:val="TableParagraph"/>
              <w:rPr>
                <w:sz w:val="18"/>
              </w:rPr>
            </w:pPr>
          </w:p>
        </w:tc>
      </w:tr>
      <w:tr>
        <w:trPr>
          <w:trHeight w:val="793" w:hRule="atLeast"/>
        </w:trPr>
        <w:tc>
          <w:tcPr>
            <w:tcW w:w="3689" w:type="dxa"/>
            <w:shd w:val="clear" w:color="auto" w:fill="BCD5ED"/>
          </w:tcPr>
          <w:p>
            <w:pPr>
              <w:pStyle w:val="TableParagraph"/>
              <w:spacing w:before="8"/>
              <w:rPr>
                <w:b/>
                <w:sz w:val="22"/>
              </w:rPr>
            </w:pPr>
          </w:p>
          <w:p>
            <w:pPr>
              <w:pStyle w:val="TableParagraph"/>
              <w:spacing w:before="1"/>
              <w:ind w:left="359"/>
              <w:rPr>
                <w:sz w:val="20"/>
              </w:rPr>
            </w:pPr>
            <w:r>
              <w:rPr>
                <w:sz w:val="20"/>
              </w:rPr>
              <w:t>Doméstico</w:t>
            </w:r>
          </w:p>
        </w:tc>
        <w:tc>
          <w:tcPr>
            <w:tcW w:w="2976" w:type="dxa"/>
            <w:tcBorders>
              <w:right w:val="nil"/>
            </w:tcBorders>
            <w:shd w:val="clear" w:color="auto" w:fill="9CC2E4"/>
          </w:tcPr>
          <w:p>
            <w:pPr>
              <w:pStyle w:val="TableParagraph"/>
              <w:numPr>
                <w:ilvl w:val="0"/>
                <w:numId w:val="44"/>
              </w:numPr>
              <w:tabs>
                <w:tab w:pos="828" w:val="left" w:leader="none"/>
                <w:tab w:pos="829" w:val="left" w:leader="none"/>
              </w:tabs>
              <w:spacing w:line="278" w:lineRule="auto" w:before="0" w:after="0"/>
              <w:ind w:left="828" w:right="145" w:hanging="360"/>
              <w:jc w:val="left"/>
              <w:rPr>
                <w:sz w:val="20"/>
              </w:rPr>
            </w:pPr>
            <w:r>
              <w:rPr>
                <w:sz w:val="20"/>
              </w:rPr>
              <w:t>Recaudación observada términos</w:t>
            </w:r>
            <w:r>
              <w:rPr>
                <w:spacing w:val="-2"/>
                <w:sz w:val="20"/>
              </w:rPr>
              <w:t> </w:t>
            </w:r>
            <w:r>
              <w:rPr>
                <w:sz w:val="20"/>
              </w:rPr>
              <w:t>brutos</w:t>
            </w:r>
          </w:p>
          <w:p>
            <w:pPr>
              <w:pStyle w:val="TableParagraph"/>
              <w:numPr>
                <w:ilvl w:val="0"/>
                <w:numId w:val="44"/>
              </w:numPr>
              <w:tabs>
                <w:tab w:pos="828" w:val="left" w:leader="none"/>
                <w:tab w:pos="829" w:val="left" w:leader="none"/>
              </w:tabs>
              <w:spacing w:line="227" w:lineRule="exact" w:before="0" w:after="0"/>
              <w:ind w:left="828" w:right="-15" w:hanging="361"/>
              <w:jc w:val="left"/>
              <w:rPr>
                <w:sz w:val="20"/>
              </w:rPr>
            </w:pPr>
            <w:r>
              <w:rPr>
                <w:sz w:val="20"/>
              </w:rPr>
              <w:t>Variación del PIB</w:t>
            </w:r>
            <w:r>
              <w:rPr>
                <w:spacing w:val="-10"/>
                <w:sz w:val="20"/>
              </w:rPr>
              <w:t> </w:t>
            </w:r>
            <w:r>
              <w:rPr>
                <w:sz w:val="20"/>
              </w:rPr>
              <w:t>nominal</w:t>
            </w:r>
          </w:p>
        </w:tc>
        <w:tc>
          <w:tcPr>
            <w:tcW w:w="269" w:type="dxa"/>
            <w:tcBorders>
              <w:left w:val="nil"/>
              <w:right w:val="nil"/>
            </w:tcBorders>
            <w:shd w:val="clear" w:color="auto" w:fill="9CC2E4"/>
          </w:tcPr>
          <w:p>
            <w:pPr>
              <w:pStyle w:val="TableParagraph"/>
              <w:spacing w:line="225" w:lineRule="exact"/>
              <w:ind w:left="8"/>
              <w:rPr>
                <w:sz w:val="20"/>
              </w:rPr>
            </w:pPr>
            <w:r>
              <w:rPr>
                <w:sz w:val="20"/>
              </w:rPr>
              <w:t>en</w:t>
            </w:r>
          </w:p>
        </w:tc>
        <w:tc>
          <w:tcPr>
            <w:tcW w:w="301" w:type="dxa"/>
            <w:tcBorders>
              <w:left w:val="nil"/>
              <w:right w:val="nil"/>
            </w:tcBorders>
            <w:shd w:val="clear" w:color="auto" w:fill="9CC2E4"/>
          </w:tcPr>
          <w:p>
            <w:pPr>
              <w:pStyle w:val="TableParagraph"/>
              <w:spacing w:line="225" w:lineRule="exact"/>
              <w:ind w:left="84"/>
              <w:rPr>
                <w:sz w:val="20"/>
              </w:rPr>
            </w:pPr>
            <w:r>
              <w:rPr>
                <w:sz w:val="20"/>
              </w:rPr>
              <w:t>el</w:t>
            </w:r>
          </w:p>
        </w:tc>
        <w:tc>
          <w:tcPr>
            <w:tcW w:w="444" w:type="dxa"/>
            <w:tcBorders>
              <w:left w:val="nil"/>
              <w:right w:val="nil"/>
            </w:tcBorders>
            <w:shd w:val="clear" w:color="auto" w:fill="9CC2E4"/>
          </w:tcPr>
          <w:p>
            <w:pPr>
              <w:pStyle w:val="TableParagraph"/>
              <w:spacing w:line="225" w:lineRule="exact"/>
              <w:ind w:left="85"/>
              <w:rPr>
                <w:sz w:val="20"/>
              </w:rPr>
            </w:pPr>
            <w:r>
              <w:rPr>
                <w:sz w:val="20"/>
              </w:rPr>
              <w:t>año</w:t>
            </w:r>
          </w:p>
        </w:tc>
        <w:tc>
          <w:tcPr>
            <w:tcW w:w="775" w:type="dxa"/>
            <w:tcBorders>
              <w:left w:val="nil"/>
              <w:right w:val="nil"/>
            </w:tcBorders>
            <w:shd w:val="clear" w:color="auto" w:fill="9CC2E4"/>
          </w:tcPr>
          <w:p>
            <w:pPr>
              <w:pStyle w:val="TableParagraph"/>
              <w:spacing w:line="225" w:lineRule="exact"/>
              <w:ind w:left="85"/>
              <w:rPr>
                <w:sz w:val="20"/>
              </w:rPr>
            </w:pPr>
            <w:r>
              <w:rPr>
                <w:sz w:val="20"/>
              </w:rPr>
              <w:t>anterior</w:t>
            </w:r>
          </w:p>
        </w:tc>
        <w:tc>
          <w:tcPr>
            <w:tcW w:w="371" w:type="dxa"/>
            <w:tcBorders>
              <w:left w:val="nil"/>
            </w:tcBorders>
            <w:shd w:val="clear" w:color="auto" w:fill="9CC2E4"/>
          </w:tcPr>
          <w:p>
            <w:pPr>
              <w:pStyle w:val="TableParagraph"/>
              <w:spacing w:line="225" w:lineRule="exact"/>
              <w:ind w:left="85"/>
              <w:rPr>
                <w:sz w:val="20"/>
              </w:rPr>
            </w:pPr>
            <w:r>
              <w:rPr>
                <w:sz w:val="20"/>
              </w:rPr>
              <w:t>en</w:t>
            </w:r>
          </w:p>
        </w:tc>
      </w:tr>
    </w:tbl>
    <w:p>
      <w:pPr>
        <w:spacing w:after="0" w:line="225" w:lineRule="exact"/>
        <w:rPr>
          <w:sz w:val="20"/>
        </w:rPr>
        <w:sectPr>
          <w:pgSz w:w="12240" w:h="15840"/>
          <w:pgMar w:header="715" w:footer="688" w:top="1240" w:bottom="880" w:left="1140" w:right="0"/>
        </w:sectPr>
      </w:pPr>
    </w:p>
    <w:p>
      <w:pPr>
        <w:pStyle w:val="BodyText"/>
        <w:spacing w:before="7"/>
        <w:rPr>
          <w:b/>
          <w:sz w:val="14"/>
        </w:r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89"/>
        <w:gridCol w:w="3546"/>
        <w:gridCol w:w="443"/>
        <w:gridCol w:w="776"/>
        <w:gridCol w:w="374"/>
      </w:tblGrid>
      <w:tr>
        <w:trPr>
          <w:trHeight w:val="1322" w:hRule="atLeast"/>
        </w:trPr>
        <w:tc>
          <w:tcPr>
            <w:tcW w:w="3689" w:type="dxa"/>
            <w:shd w:val="clear" w:color="auto" w:fill="BCD5ED"/>
          </w:tcPr>
          <w:p>
            <w:pPr>
              <w:pStyle w:val="TableParagraph"/>
              <w:rPr>
                <w:b/>
                <w:sz w:val="22"/>
              </w:rPr>
            </w:pPr>
          </w:p>
          <w:p>
            <w:pPr>
              <w:pStyle w:val="TableParagraph"/>
              <w:spacing w:before="6"/>
              <w:rPr>
                <w:b/>
                <w:sz w:val="23"/>
              </w:rPr>
            </w:pPr>
          </w:p>
          <w:p>
            <w:pPr>
              <w:pStyle w:val="TableParagraph"/>
              <w:ind w:left="359"/>
              <w:rPr>
                <w:sz w:val="20"/>
              </w:rPr>
            </w:pPr>
            <w:r>
              <w:rPr>
                <w:sz w:val="20"/>
              </w:rPr>
              <w:t>Importaciones</w:t>
            </w:r>
          </w:p>
        </w:tc>
        <w:tc>
          <w:tcPr>
            <w:tcW w:w="3546" w:type="dxa"/>
            <w:tcBorders>
              <w:right w:val="nil"/>
            </w:tcBorders>
            <w:shd w:val="clear" w:color="auto" w:fill="9CC2E4"/>
          </w:tcPr>
          <w:p>
            <w:pPr>
              <w:pStyle w:val="TableParagraph"/>
              <w:numPr>
                <w:ilvl w:val="0"/>
                <w:numId w:val="45"/>
              </w:numPr>
              <w:tabs>
                <w:tab w:pos="828" w:val="left" w:leader="none"/>
                <w:tab w:pos="829" w:val="left" w:leader="none"/>
              </w:tabs>
              <w:spacing w:line="276" w:lineRule="auto" w:before="0" w:after="0"/>
              <w:ind w:left="828" w:right="70" w:hanging="360"/>
              <w:jc w:val="left"/>
              <w:rPr>
                <w:sz w:val="20"/>
              </w:rPr>
            </w:pPr>
            <w:r>
              <w:rPr>
                <w:sz w:val="20"/>
              </w:rPr>
              <w:t>Recaudación observada en </w:t>
            </w:r>
            <w:r>
              <w:rPr>
                <w:spacing w:val="-6"/>
                <w:sz w:val="20"/>
              </w:rPr>
              <w:t>el </w:t>
            </w:r>
            <w:r>
              <w:rPr>
                <w:sz w:val="20"/>
              </w:rPr>
              <w:t>términos</w:t>
            </w:r>
            <w:r>
              <w:rPr>
                <w:spacing w:val="-2"/>
                <w:sz w:val="20"/>
              </w:rPr>
              <w:t> </w:t>
            </w:r>
            <w:r>
              <w:rPr>
                <w:sz w:val="20"/>
              </w:rPr>
              <w:t>brutos</w:t>
            </w:r>
          </w:p>
          <w:p>
            <w:pPr>
              <w:pStyle w:val="TableParagraph"/>
              <w:numPr>
                <w:ilvl w:val="0"/>
                <w:numId w:val="45"/>
              </w:numPr>
              <w:tabs>
                <w:tab w:pos="828" w:val="left" w:leader="none"/>
                <w:tab w:pos="829" w:val="left" w:leader="none"/>
              </w:tabs>
              <w:spacing w:line="229" w:lineRule="exact" w:before="0" w:after="0"/>
              <w:ind w:left="828" w:right="0" w:hanging="361"/>
              <w:jc w:val="left"/>
              <w:rPr>
                <w:sz w:val="20"/>
              </w:rPr>
            </w:pPr>
            <w:r>
              <w:rPr>
                <w:sz w:val="20"/>
              </w:rPr>
              <w:t>Variación de las</w:t>
            </w:r>
            <w:r>
              <w:rPr>
                <w:spacing w:val="-5"/>
                <w:sz w:val="20"/>
              </w:rPr>
              <w:t> </w:t>
            </w:r>
            <w:r>
              <w:rPr>
                <w:sz w:val="20"/>
              </w:rPr>
              <w:t>importaciones</w:t>
            </w:r>
          </w:p>
          <w:p>
            <w:pPr>
              <w:pStyle w:val="TableParagraph"/>
              <w:numPr>
                <w:ilvl w:val="0"/>
                <w:numId w:val="45"/>
              </w:numPr>
              <w:tabs>
                <w:tab w:pos="828" w:val="left" w:leader="none"/>
                <w:tab w:pos="829" w:val="left" w:leader="none"/>
              </w:tabs>
              <w:spacing w:line="240" w:lineRule="auto" w:before="32" w:after="0"/>
              <w:ind w:left="828" w:right="0" w:hanging="361"/>
              <w:jc w:val="left"/>
              <w:rPr>
                <w:sz w:val="20"/>
              </w:rPr>
            </w:pPr>
            <w:r>
              <w:rPr>
                <w:sz w:val="20"/>
              </w:rPr>
              <w:t>Tipo de cambio</w:t>
            </w:r>
          </w:p>
          <w:p>
            <w:pPr>
              <w:pStyle w:val="TableParagraph"/>
              <w:numPr>
                <w:ilvl w:val="0"/>
                <w:numId w:val="45"/>
              </w:numPr>
              <w:tabs>
                <w:tab w:pos="828" w:val="left" w:leader="none"/>
                <w:tab w:pos="829" w:val="left" w:leader="none"/>
              </w:tabs>
              <w:spacing w:line="240" w:lineRule="auto" w:before="34" w:after="0"/>
              <w:ind w:left="828" w:right="0" w:hanging="361"/>
              <w:jc w:val="left"/>
              <w:rPr>
                <w:sz w:val="20"/>
              </w:rPr>
            </w:pPr>
            <w:r>
              <w:rPr>
                <w:sz w:val="20"/>
              </w:rPr>
              <w:t>Precio Internacional del</w:t>
            </w:r>
            <w:r>
              <w:rPr>
                <w:spacing w:val="-9"/>
                <w:sz w:val="20"/>
              </w:rPr>
              <w:t> </w:t>
            </w:r>
            <w:r>
              <w:rPr>
                <w:sz w:val="20"/>
              </w:rPr>
              <w:t>petróleo</w:t>
            </w:r>
          </w:p>
        </w:tc>
        <w:tc>
          <w:tcPr>
            <w:tcW w:w="443" w:type="dxa"/>
            <w:tcBorders>
              <w:left w:val="nil"/>
              <w:right w:val="nil"/>
            </w:tcBorders>
            <w:shd w:val="clear" w:color="auto" w:fill="9CC2E4"/>
          </w:tcPr>
          <w:p>
            <w:pPr>
              <w:pStyle w:val="TableParagraph"/>
              <w:spacing w:line="225" w:lineRule="exact"/>
              <w:ind w:left="83"/>
              <w:rPr>
                <w:sz w:val="20"/>
              </w:rPr>
            </w:pPr>
            <w:r>
              <w:rPr>
                <w:sz w:val="20"/>
              </w:rPr>
              <w:t>año</w:t>
            </w:r>
          </w:p>
        </w:tc>
        <w:tc>
          <w:tcPr>
            <w:tcW w:w="776" w:type="dxa"/>
            <w:tcBorders>
              <w:left w:val="nil"/>
              <w:right w:val="nil"/>
            </w:tcBorders>
            <w:shd w:val="clear" w:color="auto" w:fill="9CC2E4"/>
          </w:tcPr>
          <w:p>
            <w:pPr>
              <w:pStyle w:val="TableParagraph"/>
              <w:spacing w:line="225" w:lineRule="exact"/>
              <w:ind w:left="84"/>
              <w:rPr>
                <w:sz w:val="20"/>
              </w:rPr>
            </w:pPr>
            <w:r>
              <w:rPr>
                <w:sz w:val="20"/>
              </w:rPr>
              <w:t>anterior</w:t>
            </w:r>
          </w:p>
        </w:tc>
        <w:tc>
          <w:tcPr>
            <w:tcW w:w="374" w:type="dxa"/>
            <w:tcBorders>
              <w:left w:val="nil"/>
            </w:tcBorders>
            <w:shd w:val="clear" w:color="auto" w:fill="9CC2E4"/>
          </w:tcPr>
          <w:p>
            <w:pPr>
              <w:pStyle w:val="TableParagraph"/>
              <w:spacing w:line="225" w:lineRule="exact"/>
              <w:ind w:left="82"/>
              <w:rPr>
                <w:sz w:val="20"/>
              </w:rPr>
            </w:pPr>
            <w:r>
              <w:rPr>
                <w:sz w:val="20"/>
              </w:rPr>
              <w:t>en</w:t>
            </w:r>
          </w:p>
        </w:tc>
      </w:tr>
      <w:tr>
        <w:trPr>
          <w:trHeight w:val="263" w:hRule="atLeast"/>
        </w:trPr>
        <w:tc>
          <w:tcPr>
            <w:tcW w:w="3689" w:type="dxa"/>
            <w:shd w:val="clear" w:color="auto" w:fill="BCD5ED"/>
          </w:tcPr>
          <w:p>
            <w:pPr>
              <w:pStyle w:val="TableParagraph"/>
              <w:spacing w:line="225" w:lineRule="exact"/>
              <w:ind w:left="107"/>
              <w:rPr>
                <w:sz w:val="20"/>
              </w:rPr>
            </w:pPr>
            <w:r>
              <w:rPr>
                <w:sz w:val="20"/>
              </w:rPr>
              <w:t>Derechos arancelarios</w:t>
            </w:r>
          </w:p>
        </w:tc>
        <w:tc>
          <w:tcPr>
            <w:tcW w:w="5139" w:type="dxa"/>
            <w:gridSpan w:val="4"/>
            <w:vMerge w:val="restart"/>
            <w:shd w:val="clear" w:color="auto" w:fill="9CC2E4"/>
          </w:tcPr>
          <w:p>
            <w:pPr>
              <w:pStyle w:val="TableParagraph"/>
              <w:numPr>
                <w:ilvl w:val="0"/>
                <w:numId w:val="46"/>
              </w:numPr>
              <w:tabs>
                <w:tab w:pos="828" w:val="left" w:leader="none"/>
                <w:tab w:pos="829" w:val="left" w:leader="none"/>
              </w:tabs>
              <w:spacing w:line="225" w:lineRule="exact" w:before="0" w:after="0"/>
              <w:ind w:left="828" w:right="0" w:hanging="361"/>
              <w:jc w:val="left"/>
              <w:rPr>
                <w:sz w:val="20"/>
              </w:rPr>
            </w:pPr>
            <w:r>
              <w:rPr>
                <w:sz w:val="20"/>
              </w:rPr>
              <w:t>Recaudación observada en el año</w:t>
            </w:r>
            <w:r>
              <w:rPr>
                <w:spacing w:val="-4"/>
                <w:sz w:val="20"/>
              </w:rPr>
              <w:t> </w:t>
            </w:r>
            <w:r>
              <w:rPr>
                <w:sz w:val="20"/>
              </w:rPr>
              <w:t>anterior</w:t>
            </w:r>
          </w:p>
          <w:p>
            <w:pPr>
              <w:pStyle w:val="TableParagraph"/>
              <w:numPr>
                <w:ilvl w:val="0"/>
                <w:numId w:val="46"/>
              </w:numPr>
              <w:tabs>
                <w:tab w:pos="828" w:val="left" w:leader="none"/>
                <w:tab w:pos="829" w:val="left" w:leader="none"/>
              </w:tabs>
              <w:spacing w:line="240" w:lineRule="auto" w:before="34" w:after="0"/>
              <w:ind w:left="828" w:right="0" w:hanging="361"/>
              <w:jc w:val="left"/>
              <w:rPr>
                <w:sz w:val="20"/>
              </w:rPr>
            </w:pPr>
            <w:r>
              <w:rPr>
                <w:sz w:val="20"/>
              </w:rPr>
              <w:t>Variación de las</w:t>
            </w:r>
            <w:r>
              <w:rPr>
                <w:spacing w:val="-3"/>
                <w:sz w:val="20"/>
              </w:rPr>
              <w:t> </w:t>
            </w:r>
            <w:r>
              <w:rPr>
                <w:sz w:val="20"/>
              </w:rPr>
              <w:t>importaciones</w:t>
            </w:r>
          </w:p>
          <w:p>
            <w:pPr>
              <w:pStyle w:val="TableParagraph"/>
              <w:numPr>
                <w:ilvl w:val="0"/>
                <w:numId w:val="46"/>
              </w:numPr>
              <w:tabs>
                <w:tab w:pos="828" w:val="left" w:leader="none"/>
                <w:tab w:pos="829" w:val="left" w:leader="none"/>
              </w:tabs>
              <w:spacing w:line="240" w:lineRule="auto" w:before="36" w:after="0"/>
              <w:ind w:left="828" w:right="0" w:hanging="361"/>
              <w:jc w:val="left"/>
              <w:rPr>
                <w:sz w:val="20"/>
              </w:rPr>
            </w:pPr>
            <w:r>
              <w:rPr>
                <w:sz w:val="20"/>
              </w:rPr>
              <w:t>Tipo de cambio</w:t>
            </w:r>
          </w:p>
        </w:tc>
      </w:tr>
      <w:tr>
        <w:trPr>
          <w:trHeight w:val="520" w:hRule="atLeast"/>
        </w:trPr>
        <w:tc>
          <w:tcPr>
            <w:tcW w:w="3689" w:type="dxa"/>
            <w:shd w:val="clear" w:color="auto" w:fill="BCD5ED"/>
          </w:tcPr>
          <w:p>
            <w:pPr>
              <w:pStyle w:val="TableParagraph"/>
              <w:spacing w:before="125"/>
              <w:ind w:left="107"/>
              <w:rPr>
                <w:sz w:val="20"/>
              </w:rPr>
            </w:pPr>
            <w:r>
              <w:rPr>
                <w:sz w:val="20"/>
              </w:rPr>
              <w:t>Impuesto a la primera matrícula</w:t>
            </w:r>
          </w:p>
        </w:tc>
        <w:tc>
          <w:tcPr>
            <w:tcW w:w="5139" w:type="dxa"/>
            <w:gridSpan w:val="4"/>
            <w:vMerge/>
            <w:tcBorders>
              <w:top w:val="nil"/>
            </w:tcBorders>
            <w:shd w:val="clear" w:color="auto" w:fill="9CC2E4"/>
          </w:tcPr>
          <w:p>
            <w:pPr>
              <w:rPr>
                <w:sz w:val="2"/>
                <w:szCs w:val="2"/>
              </w:rPr>
            </w:pPr>
          </w:p>
        </w:tc>
      </w:tr>
      <w:tr>
        <w:trPr>
          <w:trHeight w:val="793" w:hRule="atLeast"/>
        </w:trPr>
        <w:tc>
          <w:tcPr>
            <w:tcW w:w="3689" w:type="dxa"/>
            <w:shd w:val="clear" w:color="auto" w:fill="BCD5ED"/>
          </w:tcPr>
          <w:p>
            <w:pPr>
              <w:pStyle w:val="TableParagraph"/>
              <w:spacing w:before="6"/>
              <w:rPr>
                <w:b/>
                <w:sz w:val="22"/>
              </w:rPr>
            </w:pPr>
          </w:p>
          <w:p>
            <w:pPr>
              <w:pStyle w:val="TableParagraph"/>
              <w:ind w:left="107"/>
              <w:rPr>
                <w:sz w:val="20"/>
              </w:rPr>
            </w:pPr>
            <w:r>
              <w:rPr>
                <w:sz w:val="20"/>
              </w:rPr>
              <w:t>Derivados del Petróleo</w:t>
            </w:r>
          </w:p>
        </w:tc>
        <w:tc>
          <w:tcPr>
            <w:tcW w:w="5139" w:type="dxa"/>
            <w:gridSpan w:val="4"/>
            <w:shd w:val="clear" w:color="auto" w:fill="9CC2E4"/>
          </w:tcPr>
          <w:p>
            <w:pPr>
              <w:pStyle w:val="TableParagraph"/>
              <w:numPr>
                <w:ilvl w:val="0"/>
                <w:numId w:val="47"/>
              </w:numPr>
              <w:tabs>
                <w:tab w:pos="828" w:val="left" w:leader="none"/>
                <w:tab w:pos="829" w:val="left" w:leader="none"/>
              </w:tabs>
              <w:spacing w:line="225" w:lineRule="exact" w:before="0" w:after="0"/>
              <w:ind w:left="828" w:right="0" w:hanging="361"/>
              <w:jc w:val="left"/>
              <w:rPr>
                <w:sz w:val="20"/>
              </w:rPr>
            </w:pPr>
            <w:r>
              <w:rPr>
                <w:sz w:val="20"/>
              </w:rPr>
              <w:t>Recaudación observada en el año</w:t>
            </w:r>
            <w:r>
              <w:rPr>
                <w:spacing w:val="-4"/>
                <w:sz w:val="20"/>
              </w:rPr>
              <w:t> </w:t>
            </w:r>
            <w:r>
              <w:rPr>
                <w:sz w:val="20"/>
              </w:rPr>
              <w:t>anterior</w:t>
            </w:r>
          </w:p>
          <w:p>
            <w:pPr>
              <w:pStyle w:val="TableParagraph"/>
              <w:numPr>
                <w:ilvl w:val="0"/>
                <w:numId w:val="47"/>
              </w:numPr>
              <w:tabs>
                <w:tab w:pos="828" w:val="left" w:leader="none"/>
                <w:tab w:pos="829" w:val="left" w:leader="none"/>
              </w:tabs>
              <w:spacing w:line="240" w:lineRule="auto" w:before="34" w:after="0"/>
              <w:ind w:left="828" w:right="0" w:hanging="361"/>
              <w:jc w:val="left"/>
              <w:rPr>
                <w:sz w:val="20"/>
              </w:rPr>
            </w:pPr>
            <w:r>
              <w:rPr>
                <w:sz w:val="20"/>
              </w:rPr>
              <w:t>Variación del PIB</w:t>
            </w:r>
            <w:r>
              <w:rPr>
                <w:spacing w:val="-3"/>
                <w:sz w:val="20"/>
              </w:rPr>
              <w:t> </w:t>
            </w:r>
            <w:r>
              <w:rPr>
                <w:sz w:val="20"/>
              </w:rPr>
              <w:t>real</w:t>
            </w:r>
          </w:p>
          <w:p>
            <w:pPr>
              <w:pStyle w:val="TableParagraph"/>
              <w:numPr>
                <w:ilvl w:val="0"/>
                <w:numId w:val="47"/>
              </w:numPr>
              <w:tabs>
                <w:tab w:pos="828" w:val="left" w:leader="none"/>
                <w:tab w:pos="829" w:val="left" w:leader="none"/>
              </w:tabs>
              <w:spacing w:line="240" w:lineRule="auto" w:before="34" w:after="0"/>
              <w:ind w:left="828" w:right="0" w:hanging="361"/>
              <w:jc w:val="left"/>
              <w:rPr>
                <w:sz w:val="20"/>
              </w:rPr>
            </w:pPr>
            <w:r>
              <w:rPr>
                <w:sz w:val="20"/>
              </w:rPr>
              <w:t>Tipo de cambio</w:t>
            </w:r>
          </w:p>
        </w:tc>
      </w:tr>
      <w:tr>
        <w:trPr>
          <w:trHeight w:val="1322" w:hRule="atLeast"/>
        </w:trPr>
        <w:tc>
          <w:tcPr>
            <w:tcW w:w="3689" w:type="dxa"/>
            <w:shd w:val="clear" w:color="auto" w:fill="BCD5ED"/>
          </w:tcPr>
          <w:p>
            <w:pPr>
              <w:pStyle w:val="TableParagraph"/>
              <w:rPr>
                <w:b/>
                <w:sz w:val="22"/>
              </w:rPr>
            </w:pPr>
          </w:p>
          <w:p>
            <w:pPr>
              <w:pStyle w:val="TableParagraph"/>
              <w:spacing w:before="6"/>
              <w:rPr>
                <w:b/>
                <w:sz w:val="23"/>
              </w:rPr>
            </w:pPr>
          </w:p>
          <w:p>
            <w:pPr>
              <w:pStyle w:val="TableParagraph"/>
              <w:ind w:left="107"/>
              <w:rPr>
                <w:sz w:val="20"/>
              </w:rPr>
            </w:pPr>
            <w:r>
              <w:rPr>
                <w:sz w:val="20"/>
              </w:rPr>
              <w:t>Bebidas alcohólicas y no alcohólicas</w:t>
            </w:r>
          </w:p>
        </w:tc>
        <w:tc>
          <w:tcPr>
            <w:tcW w:w="5139" w:type="dxa"/>
            <w:gridSpan w:val="4"/>
            <w:shd w:val="clear" w:color="auto" w:fill="9CC2E4"/>
          </w:tcPr>
          <w:p>
            <w:pPr>
              <w:pStyle w:val="TableParagraph"/>
              <w:numPr>
                <w:ilvl w:val="0"/>
                <w:numId w:val="48"/>
              </w:numPr>
              <w:tabs>
                <w:tab w:pos="828" w:val="left" w:leader="none"/>
                <w:tab w:pos="829" w:val="left" w:leader="none"/>
              </w:tabs>
              <w:spacing w:line="225" w:lineRule="exact" w:before="0" w:after="0"/>
              <w:ind w:left="828" w:right="0" w:hanging="361"/>
              <w:jc w:val="left"/>
              <w:rPr>
                <w:sz w:val="20"/>
              </w:rPr>
            </w:pPr>
            <w:r>
              <w:rPr>
                <w:sz w:val="20"/>
              </w:rPr>
              <w:t>Recaudación observada en el año</w:t>
            </w:r>
            <w:r>
              <w:rPr>
                <w:spacing w:val="-4"/>
                <w:sz w:val="20"/>
              </w:rPr>
              <w:t> </w:t>
            </w:r>
            <w:r>
              <w:rPr>
                <w:sz w:val="20"/>
              </w:rPr>
              <w:t>anterior</w:t>
            </w:r>
          </w:p>
          <w:p>
            <w:pPr>
              <w:pStyle w:val="TableParagraph"/>
              <w:numPr>
                <w:ilvl w:val="0"/>
                <w:numId w:val="48"/>
              </w:numPr>
              <w:tabs>
                <w:tab w:pos="828" w:val="left" w:leader="none"/>
                <w:tab w:pos="829" w:val="left" w:leader="none"/>
              </w:tabs>
              <w:spacing w:line="276" w:lineRule="auto" w:before="34" w:after="0"/>
              <w:ind w:left="828" w:right="100" w:hanging="360"/>
              <w:jc w:val="left"/>
              <w:rPr>
                <w:sz w:val="20"/>
              </w:rPr>
            </w:pPr>
            <w:r>
              <w:rPr>
                <w:sz w:val="20"/>
              </w:rPr>
              <w:t>Una fracción está determinada por la variación del PIB</w:t>
            </w:r>
            <w:r>
              <w:rPr>
                <w:spacing w:val="-2"/>
                <w:sz w:val="20"/>
              </w:rPr>
              <w:t> </w:t>
            </w:r>
            <w:r>
              <w:rPr>
                <w:sz w:val="20"/>
              </w:rPr>
              <w:t>real</w:t>
            </w:r>
          </w:p>
          <w:p>
            <w:pPr>
              <w:pStyle w:val="TableParagraph"/>
              <w:numPr>
                <w:ilvl w:val="0"/>
                <w:numId w:val="48"/>
              </w:numPr>
              <w:tabs>
                <w:tab w:pos="828" w:val="left" w:leader="none"/>
                <w:tab w:pos="829" w:val="left" w:leader="none"/>
              </w:tabs>
              <w:spacing w:line="230" w:lineRule="exact" w:before="0" w:after="0"/>
              <w:ind w:left="828" w:right="0" w:hanging="361"/>
              <w:jc w:val="left"/>
              <w:rPr>
                <w:sz w:val="20"/>
              </w:rPr>
            </w:pPr>
            <w:r>
              <w:rPr>
                <w:sz w:val="20"/>
              </w:rPr>
              <w:t>Una fracción está determinada por la variación del</w:t>
            </w:r>
          </w:p>
          <w:p>
            <w:pPr>
              <w:pStyle w:val="TableParagraph"/>
              <w:spacing w:before="34"/>
              <w:ind w:left="828"/>
              <w:rPr>
                <w:sz w:val="20"/>
              </w:rPr>
            </w:pPr>
            <w:r>
              <w:rPr>
                <w:sz w:val="20"/>
              </w:rPr>
              <w:t>PIB nominal</w:t>
            </w:r>
          </w:p>
        </w:tc>
      </w:tr>
      <w:tr>
        <w:trPr>
          <w:trHeight w:val="527" w:hRule="atLeast"/>
        </w:trPr>
        <w:tc>
          <w:tcPr>
            <w:tcW w:w="3689" w:type="dxa"/>
            <w:shd w:val="clear" w:color="auto" w:fill="BCD5ED"/>
          </w:tcPr>
          <w:p>
            <w:pPr>
              <w:pStyle w:val="TableParagraph"/>
              <w:spacing w:before="127"/>
              <w:ind w:left="107"/>
              <w:rPr>
                <w:sz w:val="20"/>
              </w:rPr>
            </w:pPr>
            <w:r>
              <w:rPr>
                <w:sz w:val="20"/>
              </w:rPr>
              <w:t>Impuesto a circulación de vehículos</w:t>
            </w:r>
          </w:p>
        </w:tc>
        <w:tc>
          <w:tcPr>
            <w:tcW w:w="5139" w:type="dxa"/>
            <w:gridSpan w:val="4"/>
            <w:shd w:val="clear" w:color="auto" w:fill="9CC2E4"/>
          </w:tcPr>
          <w:p>
            <w:pPr>
              <w:pStyle w:val="TableParagraph"/>
              <w:numPr>
                <w:ilvl w:val="0"/>
                <w:numId w:val="49"/>
              </w:numPr>
              <w:tabs>
                <w:tab w:pos="828" w:val="left" w:leader="none"/>
                <w:tab w:pos="829" w:val="left" w:leader="none"/>
              </w:tabs>
              <w:spacing w:line="225" w:lineRule="exact" w:before="0" w:after="0"/>
              <w:ind w:left="828" w:right="0" w:hanging="361"/>
              <w:jc w:val="left"/>
              <w:rPr>
                <w:sz w:val="20"/>
              </w:rPr>
            </w:pPr>
            <w:r>
              <w:rPr>
                <w:sz w:val="20"/>
              </w:rPr>
              <w:t>Recaudación observada en el año</w:t>
            </w:r>
            <w:r>
              <w:rPr>
                <w:spacing w:val="-4"/>
                <w:sz w:val="20"/>
              </w:rPr>
              <w:t> </w:t>
            </w:r>
            <w:r>
              <w:rPr>
                <w:sz w:val="20"/>
              </w:rPr>
              <w:t>anterior</w:t>
            </w:r>
          </w:p>
          <w:p>
            <w:pPr>
              <w:pStyle w:val="TableParagraph"/>
              <w:numPr>
                <w:ilvl w:val="0"/>
                <w:numId w:val="49"/>
              </w:numPr>
              <w:tabs>
                <w:tab w:pos="828" w:val="left" w:leader="none"/>
                <w:tab w:pos="829" w:val="left" w:leader="none"/>
              </w:tabs>
              <w:spacing w:line="240" w:lineRule="auto" w:before="34" w:after="0"/>
              <w:ind w:left="828" w:right="0" w:hanging="361"/>
              <w:jc w:val="left"/>
              <w:rPr>
                <w:sz w:val="20"/>
              </w:rPr>
            </w:pPr>
            <w:r>
              <w:rPr>
                <w:sz w:val="20"/>
              </w:rPr>
              <w:t>Variación del PIB</w:t>
            </w:r>
            <w:r>
              <w:rPr>
                <w:spacing w:val="-1"/>
                <w:sz w:val="20"/>
              </w:rPr>
              <w:t> </w:t>
            </w:r>
            <w:r>
              <w:rPr>
                <w:sz w:val="20"/>
              </w:rPr>
              <w:t>nominal</w:t>
            </w:r>
          </w:p>
        </w:tc>
      </w:tr>
      <w:tr>
        <w:trPr>
          <w:trHeight w:val="266" w:hRule="atLeast"/>
        </w:trPr>
        <w:tc>
          <w:tcPr>
            <w:tcW w:w="3689" w:type="dxa"/>
            <w:shd w:val="clear" w:color="auto" w:fill="BCD5ED"/>
          </w:tcPr>
          <w:p>
            <w:pPr>
              <w:pStyle w:val="TableParagraph"/>
              <w:spacing w:line="225" w:lineRule="exact"/>
              <w:ind w:left="107"/>
              <w:rPr>
                <w:sz w:val="20"/>
              </w:rPr>
            </w:pPr>
            <w:r>
              <w:rPr>
                <w:sz w:val="20"/>
              </w:rPr>
              <w:t>Impuesto a timbres fiscales</w:t>
            </w:r>
          </w:p>
        </w:tc>
        <w:tc>
          <w:tcPr>
            <w:tcW w:w="5139" w:type="dxa"/>
            <w:gridSpan w:val="4"/>
            <w:vMerge w:val="restart"/>
            <w:shd w:val="clear" w:color="auto" w:fill="9CC2E4"/>
          </w:tcPr>
          <w:p>
            <w:pPr>
              <w:pStyle w:val="TableParagraph"/>
              <w:spacing w:before="11"/>
              <w:rPr>
                <w:b/>
                <w:sz w:val="27"/>
              </w:rPr>
            </w:pPr>
          </w:p>
          <w:p>
            <w:pPr>
              <w:pStyle w:val="TableParagraph"/>
              <w:numPr>
                <w:ilvl w:val="0"/>
                <w:numId w:val="50"/>
              </w:numPr>
              <w:tabs>
                <w:tab w:pos="828" w:val="left" w:leader="none"/>
                <w:tab w:pos="829" w:val="left" w:leader="none"/>
              </w:tabs>
              <w:spacing w:line="240" w:lineRule="auto" w:before="0" w:after="0"/>
              <w:ind w:left="828" w:right="0" w:hanging="361"/>
              <w:jc w:val="left"/>
              <w:rPr>
                <w:sz w:val="20"/>
              </w:rPr>
            </w:pPr>
            <w:r>
              <w:rPr>
                <w:sz w:val="20"/>
              </w:rPr>
              <w:t>Recaudación observada en el año</w:t>
            </w:r>
            <w:r>
              <w:rPr>
                <w:spacing w:val="-4"/>
                <w:sz w:val="20"/>
              </w:rPr>
              <w:t> </w:t>
            </w:r>
            <w:r>
              <w:rPr>
                <w:sz w:val="20"/>
              </w:rPr>
              <w:t>anterior</w:t>
            </w:r>
          </w:p>
          <w:p>
            <w:pPr>
              <w:pStyle w:val="TableParagraph"/>
              <w:numPr>
                <w:ilvl w:val="0"/>
                <w:numId w:val="50"/>
              </w:numPr>
              <w:tabs>
                <w:tab w:pos="828" w:val="left" w:leader="none"/>
                <w:tab w:pos="829" w:val="left" w:leader="none"/>
              </w:tabs>
              <w:spacing w:line="240" w:lineRule="auto" w:before="34" w:after="0"/>
              <w:ind w:left="828" w:right="0" w:hanging="361"/>
              <w:jc w:val="left"/>
              <w:rPr>
                <w:sz w:val="20"/>
              </w:rPr>
            </w:pPr>
            <w:r>
              <w:rPr>
                <w:sz w:val="20"/>
              </w:rPr>
              <w:t>Variación del PIB</w:t>
            </w:r>
            <w:r>
              <w:rPr>
                <w:spacing w:val="-3"/>
                <w:sz w:val="20"/>
              </w:rPr>
              <w:t> </w:t>
            </w:r>
            <w:r>
              <w:rPr>
                <w:sz w:val="20"/>
              </w:rPr>
              <w:t>real</w:t>
            </w:r>
          </w:p>
          <w:p>
            <w:pPr>
              <w:pStyle w:val="TableParagraph"/>
              <w:numPr>
                <w:ilvl w:val="0"/>
                <w:numId w:val="50"/>
              </w:numPr>
              <w:tabs>
                <w:tab w:pos="828" w:val="left" w:leader="none"/>
                <w:tab w:pos="829" w:val="left" w:leader="none"/>
              </w:tabs>
              <w:spacing w:line="278" w:lineRule="auto" w:before="34" w:after="0"/>
              <w:ind w:left="828" w:right="101" w:hanging="360"/>
              <w:jc w:val="left"/>
              <w:rPr>
                <w:sz w:val="20"/>
              </w:rPr>
            </w:pPr>
            <w:r>
              <w:rPr>
                <w:sz w:val="20"/>
              </w:rPr>
              <w:t>Para el caso de regalías e hidrocarburos considera el precio internacional del petróleo</w:t>
            </w:r>
          </w:p>
        </w:tc>
      </w:tr>
      <w:tr>
        <w:trPr>
          <w:trHeight w:val="263" w:hRule="atLeast"/>
        </w:trPr>
        <w:tc>
          <w:tcPr>
            <w:tcW w:w="3689" w:type="dxa"/>
            <w:shd w:val="clear" w:color="auto" w:fill="BCD5ED"/>
          </w:tcPr>
          <w:p>
            <w:pPr>
              <w:pStyle w:val="TableParagraph"/>
              <w:spacing w:line="225" w:lineRule="exact"/>
              <w:ind w:left="107"/>
              <w:rPr>
                <w:sz w:val="20"/>
              </w:rPr>
            </w:pPr>
            <w:r>
              <w:rPr>
                <w:sz w:val="20"/>
              </w:rPr>
              <w:t>Impuesto a la propiedad</w:t>
            </w:r>
          </w:p>
        </w:tc>
        <w:tc>
          <w:tcPr>
            <w:tcW w:w="5139" w:type="dxa"/>
            <w:gridSpan w:val="4"/>
            <w:vMerge/>
            <w:tcBorders>
              <w:top w:val="nil"/>
            </w:tcBorders>
            <w:shd w:val="clear" w:color="auto" w:fill="9CC2E4"/>
          </w:tcPr>
          <w:p>
            <w:pPr>
              <w:rPr>
                <w:sz w:val="2"/>
                <w:szCs w:val="2"/>
              </w:rPr>
            </w:pPr>
          </w:p>
        </w:tc>
      </w:tr>
      <w:tr>
        <w:trPr>
          <w:trHeight w:val="316" w:hRule="atLeast"/>
        </w:trPr>
        <w:tc>
          <w:tcPr>
            <w:tcW w:w="3689" w:type="dxa"/>
            <w:shd w:val="clear" w:color="auto" w:fill="BCD5ED"/>
          </w:tcPr>
          <w:p>
            <w:pPr>
              <w:pStyle w:val="TableParagraph"/>
              <w:spacing w:before="22"/>
              <w:ind w:left="107"/>
              <w:rPr>
                <w:sz w:val="20"/>
              </w:rPr>
            </w:pPr>
            <w:r>
              <w:rPr>
                <w:sz w:val="20"/>
              </w:rPr>
              <w:t>Impuesto a la distribución de Tabacos</w:t>
            </w:r>
          </w:p>
        </w:tc>
        <w:tc>
          <w:tcPr>
            <w:tcW w:w="5139" w:type="dxa"/>
            <w:gridSpan w:val="4"/>
            <w:vMerge/>
            <w:tcBorders>
              <w:top w:val="nil"/>
            </w:tcBorders>
            <w:shd w:val="clear" w:color="auto" w:fill="9CC2E4"/>
          </w:tcPr>
          <w:p>
            <w:pPr>
              <w:rPr>
                <w:sz w:val="2"/>
                <w:szCs w:val="2"/>
              </w:rPr>
            </w:pPr>
          </w:p>
        </w:tc>
      </w:tr>
      <w:tr>
        <w:trPr>
          <w:trHeight w:val="265" w:hRule="atLeast"/>
        </w:trPr>
        <w:tc>
          <w:tcPr>
            <w:tcW w:w="3689" w:type="dxa"/>
            <w:shd w:val="clear" w:color="auto" w:fill="BCD5ED"/>
          </w:tcPr>
          <w:p>
            <w:pPr>
              <w:pStyle w:val="TableParagraph"/>
              <w:spacing w:line="228" w:lineRule="exact"/>
              <w:ind w:left="107"/>
              <w:rPr>
                <w:sz w:val="20"/>
              </w:rPr>
            </w:pPr>
            <w:r>
              <w:rPr>
                <w:sz w:val="20"/>
              </w:rPr>
              <w:t>Impuesto a la distribución de Cemento</w:t>
            </w:r>
          </w:p>
        </w:tc>
        <w:tc>
          <w:tcPr>
            <w:tcW w:w="5139" w:type="dxa"/>
            <w:gridSpan w:val="4"/>
            <w:vMerge/>
            <w:tcBorders>
              <w:top w:val="nil"/>
            </w:tcBorders>
            <w:shd w:val="clear" w:color="auto" w:fill="9CC2E4"/>
          </w:tcPr>
          <w:p>
            <w:pPr>
              <w:rPr>
                <w:sz w:val="2"/>
                <w:szCs w:val="2"/>
              </w:rPr>
            </w:pPr>
          </w:p>
        </w:tc>
      </w:tr>
      <w:tr>
        <w:trPr>
          <w:trHeight w:val="282" w:hRule="atLeast"/>
        </w:trPr>
        <w:tc>
          <w:tcPr>
            <w:tcW w:w="3689" w:type="dxa"/>
            <w:shd w:val="clear" w:color="auto" w:fill="BCD5ED"/>
          </w:tcPr>
          <w:p>
            <w:pPr>
              <w:pStyle w:val="TableParagraph"/>
              <w:spacing w:before="5"/>
              <w:ind w:left="107"/>
              <w:rPr>
                <w:sz w:val="20"/>
              </w:rPr>
            </w:pPr>
            <w:r>
              <w:rPr>
                <w:sz w:val="20"/>
              </w:rPr>
              <w:t>Regalías e hidrocarburos compartibles</w:t>
            </w:r>
          </w:p>
        </w:tc>
        <w:tc>
          <w:tcPr>
            <w:tcW w:w="5139" w:type="dxa"/>
            <w:gridSpan w:val="4"/>
            <w:vMerge/>
            <w:tcBorders>
              <w:top w:val="nil"/>
            </w:tcBorders>
            <w:shd w:val="clear" w:color="auto" w:fill="9CC2E4"/>
          </w:tcPr>
          <w:p>
            <w:pPr>
              <w:rPr>
                <w:sz w:val="2"/>
                <w:szCs w:val="2"/>
              </w:rPr>
            </w:pPr>
          </w:p>
        </w:tc>
      </w:tr>
      <w:tr>
        <w:trPr>
          <w:trHeight w:val="263" w:hRule="atLeast"/>
        </w:trPr>
        <w:tc>
          <w:tcPr>
            <w:tcW w:w="3689" w:type="dxa"/>
            <w:shd w:val="clear" w:color="auto" w:fill="BCD5ED"/>
          </w:tcPr>
          <w:p>
            <w:pPr>
              <w:pStyle w:val="TableParagraph"/>
              <w:spacing w:line="225" w:lineRule="exact"/>
              <w:ind w:left="107"/>
              <w:rPr>
                <w:sz w:val="20"/>
              </w:rPr>
            </w:pPr>
            <w:r>
              <w:rPr>
                <w:sz w:val="20"/>
              </w:rPr>
              <w:t>Impuesto a las salidas del país</w:t>
            </w:r>
          </w:p>
        </w:tc>
        <w:tc>
          <w:tcPr>
            <w:tcW w:w="5139" w:type="dxa"/>
            <w:gridSpan w:val="4"/>
            <w:vMerge/>
            <w:tcBorders>
              <w:top w:val="nil"/>
            </w:tcBorders>
            <w:shd w:val="clear" w:color="auto" w:fill="9CC2E4"/>
          </w:tcPr>
          <w:p>
            <w:pPr>
              <w:rPr>
                <w:sz w:val="2"/>
                <w:szCs w:val="2"/>
              </w:rPr>
            </w:pPr>
          </w:p>
        </w:tc>
      </w:tr>
    </w:tbl>
    <w:p>
      <w:pPr>
        <w:spacing w:line="181" w:lineRule="exact" w:before="0"/>
        <w:ind w:left="562" w:right="0" w:firstLine="0"/>
        <w:jc w:val="both"/>
        <w:rPr>
          <w:sz w:val="16"/>
        </w:rPr>
      </w:pPr>
      <w:r>
        <w:rPr>
          <w:sz w:val="16"/>
        </w:rPr>
        <w:t>Fuente: Dirección de Análisis y Política Fiscal</w:t>
      </w:r>
    </w:p>
    <w:p>
      <w:pPr>
        <w:pStyle w:val="BodyText"/>
        <w:rPr>
          <w:sz w:val="18"/>
        </w:rPr>
      </w:pPr>
    </w:p>
    <w:p>
      <w:pPr>
        <w:pStyle w:val="BodyText"/>
        <w:spacing w:line="276" w:lineRule="auto" w:before="110"/>
        <w:ind w:left="562" w:right="1697"/>
        <w:jc w:val="both"/>
      </w:pPr>
      <w:r>
        <w:rPr/>
        <w:t>Tomando</w:t>
      </w:r>
      <w:r>
        <w:rPr>
          <w:spacing w:val="-11"/>
        </w:rPr>
        <w:t> </w:t>
      </w:r>
      <w:r>
        <w:rPr/>
        <w:t>en</w:t>
      </w:r>
      <w:r>
        <w:rPr>
          <w:spacing w:val="-12"/>
        </w:rPr>
        <w:t> </w:t>
      </w:r>
      <w:r>
        <w:rPr/>
        <w:t>consideración</w:t>
      </w:r>
      <w:r>
        <w:rPr>
          <w:spacing w:val="-13"/>
        </w:rPr>
        <w:t> </w:t>
      </w:r>
      <w:r>
        <w:rPr/>
        <w:t>la</w:t>
      </w:r>
      <w:r>
        <w:rPr>
          <w:spacing w:val="-11"/>
        </w:rPr>
        <w:t> </w:t>
      </w:r>
      <w:r>
        <w:rPr/>
        <w:t>base</w:t>
      </w:r>
      <w:r>
        <w:rPr>
          <w:spacing w:val="-14"/>
        </w:rPr>
        <w:t> </w:t>
      </w:r>
      <w:r>
        <w:rPr/>
        <w:t>para</w:t>
      </w:r>
      <w:r>
        <w:rPr>
          <w:spacing w:val="-13"/>
        </w:rPr>
        <w:t> </w:t>
      </w:r>
      <w:r>
        <w:rPr/>
        <w:t>la</w:t>
      </w:r>
      <w:r>
        <w:rPr>
          <w:spacing w:val="-14"/>
        </w:rPr>
        <w:t> </w:t>
      </w:r>
      <w:r>
        <w:rPr/>
        <w:t>estimación</w:t>
      </w:r>
      <w:r>
        <w:rPr>
          <w:spacing w:val="-12"/>
        </w:rPr>
        <w:t> </w:t>
      </w:r>
      <w:r>
        <w:rPr/>
        <w:t>de</w:t>
      </w:r>
      <w:r>
        <w:rPr>
          <w:spacing w:val="-10"/>
        </w:rPr>
        <w:t> </w:t>
      </w:r>
      <w:r>
        <w:rPr/>
        <w:t>cada</w:t>
      </w:r>
      <w:r>
        <w:rPr>
          <w:spacing w:val="-12"/>
        </w:rPr>
        <w:t> </w:t>
      </w:r>
      <w:r>
        <w:rPr/>
        <w:t>uno</w:t>
      </w:r>
      <w:r>
        <w:rPr>
          <w:spacing w:val="-12"/>
        </w:rPr>
        <w:t> </w:t>
      </w:r>
      <w:r>
        <w:rPr/>
        <w:t>de</w:t>
      </w:r>
      <w:r>
        <w:rPr>
          <w:spacing w:val="-11"/>
        </w:rPr>
        <w:t> </w:t>
      </w:r>
      <w:r>
        <w:rPr/>
        <w:t>los</w:t>
      </w:r>
      <w:r>
        <w:rPr>
          <w:spacing w:val="-14"/>
        </w:rPr>
        <w:t> </w:t>
      </w:r>
      <w:r>
        <w:rPr/>
        <w:t>impuestos</w:t>
      </w:r>
      <w:r>
        <w:rPr>
          <w:spacing w:val="-13"/>
        </w:rPr>
        <w:t> </w:t>
      </w:r>
      <w:r>
        <w:rPr/>
        <w:t>y</w:t>
      </w:r>
      <w:r>
        <w:rPr>
          <w:spacing w:val="-14"/>
        </w:rPr>
        <w:t> </w:t>
      </w:r>
      <w:r>
        <w:rPr/>
        <w:t>las</w:t>
      </w:r>
      <w:r>
        <w:rPr>
          <w:spacing w:val="-11"/>
        </w:rPr>
        <w:t> </w:t>
      </w:r>
      <w:r>
        <w:rPr/>
        <w:t>proyecciones macroeconómicas expuestas en el Marco Macroeconómico, se procede a estimar el nivel de recaudación tributaria para el mediano</w:t>
      </w:r>
      <w:r>
        <w:rPr>
          <w:spacing w:val="-9"/>
        </w:rPr>
        <w:t> </w:t>
      </w:r>
      <w:r>
        <w:rPr/>
        <w:t>plazo.</w:t>
      </w:r>
    </w:p>
    <w:p>
      <w:pPr>
        <w:pStyle w:val="BodyText"/>
        <w:spacing w:before="8"/>
        <w:rPr>
          <w:sz w:val="25"/>
        </w:rPr>
      </w:pPr>
    </w:p>
    <w:p>
      <w:pPr>
        <w:spacing w:before="0"/>
        <w:ind w:left="2774" w:right="0" w:firstLine="0"/>
        <w:jc w:val="left"/>
        <w:rPr>
          <w:b/>
          <w:i/>
          <w:sz w:val="22"/>
        </w:rPr>
      </w:pPr>
      <w:bookmarkStart w:name="_bookmark209" w:id="270"/>
      <w:bookmarkEnd w:id="270"/>
      <w:r>
        <w:rPr/>
      </w:r>
      <w:r>
        <w:rPr>
          <w:b/>
          <w:i/>
          <w:sz w:val="20"/>
        </w:rPr>
        <w:t>Tabla 18.  </w:t>
      </w:r>
      <w:r>
        <w:rPr>
          <w:b/>
          <w:i/>
          <w:sz w:val="22"/>
        </w:rPr>
        <w:t>Escenario macroeconómico</w:t>
      </w:r>
      <w:r>
        <w:rPr>
          <w:b/>
          <w:i/>
          <w:spacing w:val="-8"/>
          <w:sz w:val="22"/>
        </w:rPr>
        <w:t> </w:t>
      </w:r>
      <w:r>
        <w:rPr>
          <w:b/>
          <w:i/>
          <w:sz w:val="22"/>
        </w:rPr>
        <w:t>2022-2027</w:t>
      </w:r>
    </w:p>
    <w:p>
      <w:pPr>
        <w:spacing w:before="35" w:after="37"/>
        <w:ind w:left="2724" w:right="0" w:firstLine="0"/>
        <w:jc w:val="left"/>
        <w:rPr>
          <w:sz w:val="20"/>
        </w:rPr>
      </w:pPr>
      <w:r>
        <w:rPr>
          <w:sz w:val="20"/>
        </w:rPr>
        <w:t>Millones de quetzales, millones de dólares y</w:t>
      </w:r>
      <w:r>
        <w:rPr>
          <w:spacing w:val="-23"/>
          <w:sz w:val="20"/>
        </w:rPr>
        <w:t> </w:t>
      </w:r>
      <w:r>
        <w:rPr>
          <w:sz w:val="20"/>
        </w:rPr>
        <w:t>porcentajes</w:t>
      </w:r>
    </w:p>
    <w:tbl>
      <w:tblPr>
        <w:tblW w:w="0" w:type="auto"/>
        <w:jc w:val="left"/>
        <w:tblInd w:w="5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74"/>
        <w:gridCol w:w="1233"/>
        <w:gridCol w:w="776"/>
        <w:gridCol w:w="777"/>
        <w:gridCol w:w="777"/>
        <w:gridCol w:w="777"/>
        <w:gridCol w:w="777"/>
        <w:gridCol w:w="777"/>
        <w:gridCol w:w="777"/>
        <w:gridCol w:w="777"/>
      </w:tblGrid>
      <w:tr>
        <w:trPr>
          <w:trHeight w:val="378" w:hRule="atLeast"/>
        </w:trPr>
        <w:tc>
          <w:tcPr>
            <w:tcW w:w="1374" w:type="dxa"/>
            <w:tcBorders>
              <w:top w:val="nil"/>
              <w:left w:val="nil"/>
            </w:tcBorders>
          </w:tcPr>
          <w:p>
            <w:pPr>
              <w:pStyle w:val="TableParagraph"/>
              <w:rPr>
                <w:sz w:val="18"/>
              </w:rPr>
            </w:pPr>
          </w:p>
        </w:tc>
        <w:tc>
          <w:tcPr>
            <w:tcW w:w="1233" w:type="dxa"/>
            <w:tcBorders>
              <w:top w:val="single" w:sz="4" w:space="0" w:color="000000"/>
            </w:tcBorders>
          </w:tcPr>
          <w:p>
            <w:pPr>
              <w:pStyle w:val="TableParagraph"/>
              <w:spacing w:before="122"/>
              <w:ind w:left="150"/>
              <w:rPr>
                <w:b/>
                <w:sz w:val="14"/>
              </w:rPr>
            </w:pPr>
            <w:r>
              <w:rPr>
                <w:b/>
                <w:w w:val="105"/>
                <w:sz w:val="14"/>
              </w:rPr>
              <w:t>Dimensionales</w:t>
            </w:r>
          </w:p>
        </w:tc>
        <w:tc>
          <w:tcPr>
            <w:tcW w:w="776" w:type="dxa"/>
            <w:tcBorders>
              <w:top w:val="single" w:sz="4" w:space="0" w:color="000000"/>
            </w:tcBorders>
          </w:tcPr>
          <w:p>
            <w:pPr>
              <w:pStyle w:val="TableParagraph"/>
              <w:spacing w:before="122"/>
              <w:ind w:left="238"/>
              <w:rPr>
                <w:b/>
                <w:sz w:val="14"/>
              </w:rPr>
            </w:pPr>
            <w:r>
              <w:rPr>
                <w:b/>
                <w:w w:val="105"/>
                <w:sz w:val="14"/>
              </w:rPr>
              <w:t>2020</w:t>
            </w:r>
          </w:p>
        </w:tc>
        <w:tc>
          <w:tcPr>
            <w:tcW w:w="777" w:type="dxa"/>
            <w:tcBorders>
              <w:top w:val="single" w:sz="4" w:space="0" w:color="000000"/>
            </w:tcBorders>
          </w:tcPr>
          <w:p>
            <w:pPr>
              <w:pStyle w:val="TableParagraph"/>
              <w:spacing w:before="122"/>
              <w:ind w:left="238"/>
              <w:rPr>
                <w:b/>
                <w:sz w:val="14"/>
              </w:rPr>
            </w:pPr>
            <w:r>
              <w:rPr>
                <w:b/>
                <w:w w:val="105"/>
                <w:sz w:val="14"/>
              </w:rPr>
              <w:t>2021</w:t>
            </w:r>
          </w:p>
        </w:tc>
        <w:tc>
          <w:tcPr>
            <w:tcW w:w="777" w:type="dxa"/>
            <w:tcBorders>
              <w:top w:val="single" w:sz="4" w:space="0" w:color="000000"/>
            </w:tcBorders>
            <w:shd w:val="clear" w:color="auto" w:fill="E1EEDA"/>
          </w:tcPr>
          <w:p>
            <w:pPr>
              <w:pStyle w:val="TableParagraph"/>
              <w:spacing w:before="122"/>
              <w:ind w:left="238"/>
              <w:rPr>
                <w:b/>
                <w:sz w:val="14"/>
              </w:rPr>
            </w:pPr>
            <w:r>
              <w:rPr>
                <w:b/>
                <w:w w:val="105"/>
                <w:sz w:val="14"/>
              </w:rPr>
              <w:t>2022</w:t>
            </w:r>
          </w:p>
        </w:tc>
        <w:tc>
          <w:tcPr>
            <w:tcW w:w="777" w:type="dxa"/>
            <w:tcBorders>
              <w:top w:val="single" w:sz="4" w:space="0" w:color="000000"/>
            </w:tcBorders>
            <w:shd w:val="clear" w:color="auto" w:fill="E1EEDA"/>
          </w:tcPr>
          <w:p>
            <w:pPr>
              <w:pStyle w:val="TableParagraph"/>
              <w:spacing w:before="122"/>
              <w:ind w:left="238"/>
              <w:rPr>
                <w:b/>
                <w:sz w:val="14"/>
              </w:rPr>
            </w:pPr>
            <w:r>
              <w:rPr>
                <w:b/>
                <w:w w:val="105"/>
                <w:sz w:val="14"/>
              </w:rPr>
              <w:t>2023</w:t>
            </w:r>
          </w:p>
        </w:tc>
        <w:tc>
          <w:tcPr>
            <w:tcW w:w="777" w:type="dxa"/>
            <w:tcBorders>
              <w:top w:val="single" w:sz="4" w:space="0" w:color="000000"/>
            </w:tcBorders>
            <w:shd w:val="clear" w:color="auto" w:fill="FFF1CC"/>
          </w:tcPr>
          <w:p>
            <w:pPr>
              <w:pStyle w:val="TableParagraph"/>
              <w:spacing w:before="122"/>
              <w:ind w:left="238"/>
              <w:rPr>
                <w:b/>
                <w:sz w:val="14"/>
              </w:rPr>
            </w:pPr>
            <w:r>
              <w:rPr>
                <w:b/>
                <w:w w:val="105"/>
                <w:sz w:val="14"/>
              </w:rPr>
              <w:t>2024</w:t>
            </w:r>
          </w:p>
        </w:tc>
        <w:tc>
          <w:tcPr>
            <w:tcW w:w="777" w:type="dxa"/>
            <w:tcBorders>
              <w:top w:val="single" w:sz="4" w:space="0" w:color="000000"/>
            </w:tcBorders>
            <w:shd w:val="clear" w:color="auto" w:fill="FFF1CC"/>
          </w:tcPr>
          <w:p>
            <w:pPr>
              <w:pStyle w:val="TableParagraph"/>
              <w:spacing w:before="122"/>
              <w:ind w:left="238"/>
              <w:rPr>
                <w:b/>
                <w:sz w:val="14"/>
              </w:rPr>
            </w:pPr>
            <w:r>
              <w:rPr>
                <w:b/>
                <w:w w:val="105"/>
                <w:sz w:val="14"/>
              </w:rPr>
              <w:t>2025</w:t>
            </w:r>
          </w:p>
        </w:tc>
        <w:tc>
          <w:tcPr>
            <w:tcW w:w="777" w:type="dxa"/>
            <w:tcBorders>
              <w:top w:val="single" w:sz="4" w:space="0" w:color="000000"/>
            </w:tcBorders>
            <w:shd w:val="clear" w:color="auto" w:fill="FFF1CC"/>
          </w:tcPr>
          <w:p>
            <w:pPr>
              <w:pStyle w:val="TableParagraph"/>
              <w:spacing w:before="122"/>
              <w:ind w:left="238"/>
              <w:rPr>
                <w:b/>
                <w:sz w:val="14"/>
              </w:rPr>
            </w:pPr>
            <w:r>
              <w:rPr>
                <w:b/>
                <w:w w:val="105"/>
                <w:sz w:val="14"/>
              </w:rPr>
              <w:t>2026</w:t>
            </w:r>
          </w:p>
        </w:tc>
        <w:tc>
          <w:tcPr>
            <w:tcW w:w="777" w:type="dxa"/>
            <w:tcBorders>
              <w:top w:val="single" w:sz="4" w:space="0" w:color="000000"/>
            </w:tcBorders>
            <w:shd w:val="clear" w:color="auto" w:fill="FFF1CC"/>
          </w:tcPr>
          <w:p>
            <w:pPr>
              <w:pStyle w:val="TableParagraph"/>
              <w:spacing w:before="122"/>
              <w:ind w:left="238"/>
              <w:rPr>
                <w:b/>
                <w:sz w:val="14"/>
              </w:rPr>
            </w:pPr>
            <w:r>
              <w:rPr>
                <w:b/>
                <w:w w:val="105"/>
                <w:sz w:val="14"/>
              </w:rPr>
              <w:t>2027</w:t>
            </w:r>
          </w:p>
        </w:tc>
      </w:tr>
      <w:tr>
        <w:trPr>
          <w:trHeight w:val="392" w:hRule="atLeast"/>
        </w:trPr>
        <w:tc>
          <w:tcPr>
            <w:tcW w:w="1374" w:type="dxa"/>
            <w:tcBorders>
              <w:left w:val="single" w:sz="4" w:space="0" w:color="000000"/>
              <w:bottom w:val="nil"/>
            </w:tcBorders>
          </w:tcPr>
          <w:p>
            <w:pPr>
              <w:pStyle w:val="TableParagraph"/>
              <w:spacing w:before="112"/>
              <w:ind w:left="24"/>
              <w:rPr>
                <w:sz w:val="14"/>
              </w:rPr>
            </w:pPr>
            <w:r>
              <w:rPr>
                <w:w w:val="105"/>
                <w:sz w:val="14"/>
              </w:rPr>
              <w:t>PIB real</w:t>
            </w:r>
          </w:p>
        </w:tc>
        <w:tc>
          <w:tcPr>
            <w:tcW w:w="1233" w:type="dxa"/>
            <w:tcBorders>
              <w:bottom w:val="nil"/>
            </w:tcBorders>
          </w:tcPr>
          <w:p>
            <w:pPr>
              <w:pStyle w:val="TableParagraph"/>
              <w:spacing w:before="112"/>
              <w:ind w:right="6"/>
              <w:jc w:val="right"/>
              <w:rPr>
                <w:sz w:val="14"/>
              </w:rPr>
            </w:pPr>
            <w:r>
              <w:rPr>
                <w:w w:val="105"/>
                <w:sz w:val="14"/>
              </w:rPr>
              <w:t>Millones de Q.</w:t>
            </w:r>
          </w:p>
        </w:tc>
        <w:tc>
          <w:tcPr>
            <w:tcW w:w="776" w:type="dxa"/>
            <w:tcBorders>
              <w:bottom w:val="nil"/>
            </w:tcBorders>
          </w:tcPr>
          <w:p>
            <w:pPr>
              <w:pStyle w:val="TableParagraph"/>
              <w:spacing w:before="112"/>
              <w:ind w:right="45"/>
              <w:jc w:val="right"/>
              <w:rPr>
                <w:sz w:val="14"/>
              </w:rPr>
            </w:pPr>
            <w:r>
              <w:rPr>
                <w:sz w:val="14"/>
              </w:rPr>
              <w:t>506,368.0</w:t>
            </w:r>
          </w:p>
        </w:tc>
        <w:tc>
          <w:tcPr>
            <w:tcW w:w="777" w:type="dxa"/>
            <w:tcBorders>
              <w:bottom w:val="nil"/>
            </w:tcBorders>
          </w:tcPr>
          <w:p>
            <w:pPr>
              <w:pStyle w:val="TableParagraph"/>
              <w:spacing w:before="112"/>
              <w:ind w:left="161"/>
              <w:rPr>
                <w:sz w:val="14"/>
              </w:rPr>
            </w:pPr>
            <w:r>
              <w:rPr>
                <w:w w:val="105"/>
                <w:sz w:val="14"/>
              </w:rPr>
              <w:t>546,580.6</w:t>
            </w:r>
          </w:p>
        </w:tc>
        <w:tc>
          <w:tcPr>
            <w:tcW w:w="777" w:type="dxa"/>
            <w:tcBorders>
              <w:bottom w:val="nil"/>
            </w:tcBorders>
            <w:shd w:val="clear" w:color="auto" w:fill="E1EEDA"/>
          </w:tcPr>
          <w:p>
            <w:pPr>
              <w:pStyle w:val="TableParagraph"/>
              <w:spacing w:before="112"/>
              <w:ind w:right="45"/>
              <w:jc w:val="right"/>
              <w:rPr>
                <w:sz w:val="14"/>
              </w:rPr>
            </w:pPr>
            <w:r>
              <w:rPr>
                <w:sz w:val="14"/>
              </w:rPr>
              <w:t>563,011.5</w:t>
            </w:r>
          </w:p>
        </w:tc>
        <w:tc>
          <w:tcPr>
            <w:tcW w:w="777" w:type="dxa"/>
            <w:tcBorders>
              <w:bottom w:val="nil"/>
            </w:tcBorders>
            <w:shd w:val="clear" w:color="auto" w:fill="E1EEDA"/>
          </w:tcPr>
          <w:p>
            <w:pPr>
              <w:pStyle w:val="TableParagraph"/>
              <w:spacing w:before="112"/>
              <w:ind w:right="45"/>
              <w:jc w:val="right"/>
              <w:rPr>
                <w:sz w:val="14"/>
              </w:rPr>
            </w:pPr>
            <w:r>
              <w:rPr>
                <w:sz w:val="14"/>
              </w:rPr>
              <w:t>582,516.8</w:t>
            </w:r>
          </w:p>
        </w:tc>
        <w:tc>
          <w:tcPr>
            <w:tcW w:w="777" w:type="dxa"/>
            <w:tcBorders>
              <w:bottom w:val="nil"/>
            </w:tcBorders>
            <w:shd w:val="clear" w:color="auto" w:fill="FFF1CC"/>
          </w:tcPr>
          <w:p>
            <w:pPr>
              <w:pStyle w:val="TableParagraph"/>
              <w:spacing w:before="112"/>
              <w:ind w:right="45"/>
              <w:jc w:val="right"/>
              <w:rPr>
                <w:sz w:val="14"/>
              </w:rPr>
            </w:pPr>
            <w:r>
              <w:rPr>
                <w:sz w:val="14"/>
              </w:rPr>
              <w:t>603,583.0</w:t>
            </w:r>
          </w:p>
        </w:tc>
        <w:tc>
          <w:tcPr>
            <w:tcW w:w="777" w:type="dxa"/>
            <w:tcBorders>
              <w:bottom w:val="nil"/>
            </w:tcBorders>
            <w:shd w:val="clear" w:color="auto" w:fill="FFF1CC"/>
          </w:tcPr>
          <w:p>
            <w:pPr>
              <w:pStyle w:val="TableParagraph"/>
              <w:spacing w:before="112"/>
              <w:ind w:left="160"/>
              <w:rPr>
                <w:sz w:val="14"/>
              </w:rPr>
            </w:pPr>
            <w:r>
              <w:rPr>
                <w:w w:val="105"/>
                <w:sz w:val="14"/>
              </w:rPr>
              <w:t>625,430.2</w:t>
            </w:r>
          </w:p>
        </w:tc>
        <w:tc>
          <w:tcPr>
            <w:tcW w:w="777" w:type="dxa"/>
            <w:tcBorders>
              <w:bottom w:val="nil"/>
            </w:tcBorders>
            <w:shd w:val="clear" w:color="auto" w:fill="FFF1CC"/>
          </w:tcPr>
          <w:p>
            <w:pPr>
              <w:pStyle w:val="TableParagraph"/>
              <w:spacing w:before="112"/>
              <w:ind w:right="45"/>
              <w:jc w:val="right"/>
              <w:rPr>
                <w:sz w:val="14"/>
              </w:rPr>
            </w:pPr>
            <w:r>
              <w:rPr>
                <w:sz w:val="14"/>
              </w:rPr>
              <w:t>648,701.1</w:t>
            </w:r>
          </w:p>
        </w:tc>
        <w:tc>
          <w:tcPr>
            <w:tcW w:w="777" w:type="dxa"/>
            <w:tcBorders>
              <w:bottom w:val="nil"/>
            </w:tcBorders>
            <w:shd w:val="clear" w:color="auto" w:fill="FFF1CC"/>
          </w:tcPr>
          <w:p>
            <w:pPr>
              <w:pStyle w:val="TableParagraph"/>
              <w:spacing w:before="112"/>
              <w:ind w:right="46"/>
              <w:jc w:val="right"/>
              <w:rPr>
                <w:sz w:val="14"/>
              </w:rPr>
            </w:pPr>
            <w:r>
              <w:rPr>
                <w:sz w:val="14"/>
              </w:rPr>
              <w:t>672,831.4</w:t>
            </w:r>
          </w:p>
        </w:tc>
      </w:tr>
      <w:tr>
        <w:trPr>
          <w:trHeight w:val="398" w:hRule="atLeast"/>
        </w:trPr>
        <w:tc>
          <w:tcPr>
            <w:tcW w:w="1374" w:type="dxa"/>
            <w:tcBorders>
              <w:top w:val="nil"/>
              <w:left w:val="single" w:sz="4" w:space="0" w:color="000000"/>
              <w:bottom w:val="nil"/>
            </w:tcBorders>
          </w:tcPr>
          <w:p>
            <w:pPr>
              <w:pStyle w:val="TableParagraph"/>
              <w:spacing w:before="117"/>
              <w:ind w:left="431"/>
              <w:rPr>
                <w:sz w:val="14"/>
              </w:rPr>
            </w:pPr>
            <w:r>
              <w:rPr>
                <w:w w:val="105"/>
                <w:sz w:val="14"/>
              </w:rPr>
              <w:t>variación</w:t>
            </w:r>
          </w:p>
        </w:tc>
        <w:tc>
          <w:tcPr>
            <w:tcW w:w="1233" w:type="dxa"/>
            <w:tcBorders>
              <w:top w:val="nil"/>
              <w:bottom w:val="nil"/>
            </w:tcBorders>
          </w:tcPr>
          <w:p>
            <w:pPr>
              <w:pStyle w:val="TableParagraph"/>
              <w:spacing w:before="117"/>
              <w:ind w:right="8"/>
              <w:jc w:val="right"/>
              <w:rPr>
                <w:sz w:val="14"/>
              </w:rPr>
            </w:pPr>
            <w:r>
              <w:rPr>
                <w:w w:val="105"/>
                <w:sz w:val="14"/>
              </w:rPr>
              <w:t>Variación %</w:t>
            </w:r>
          </w:p>
        </w:tc>
        <w:tc>
          <w:tcPr>
            <w:tcW w:w="776" w:type="dxa"/>
            <w:tcBorders>
              <w:top w:val="nil"/>
              <w:bottom w:val="nil"/>
            </w:tcBorders>
          </w:tcPr>
          <w:p>
            <w:pPr>
              <w:pStyle w:val="TableParagraph"/>
              <w:spacing w:before="117"/>
              <w:ind w:left="218"/>
              <w:rPr>
                <w:sz w:val="14"/>
              </w:rPr>
            </w:pPr>
            <w:r>
              <w:rPr>
                <w:w w:val="105"/>
                <w:sz w:val="14"/>
              </w:rPr>
              <w:t>-1.5%</w:t>
            </w:r>
          </w:p>
        </w:tc>
        <w:tc>
          <w:tcPr>
            <w:tcW w:w="777" w:type="dxa"/>
            <w:tcBorders>
              <w:top w:val="nil"/>
              <w:bottom w:val="nil"/>
            </w:tcBorders>
          </w:tcPr>
          <w:p>
            <w:pPr>
              <w:pStyle w:val="TableParagraph"/>
              <w:spacing w:before="117"/>
              <w:ind w:left="238"/>
              <w:rPr>
                <w:sz w:val="14"/>
              </w:rPr>
            </w:pPr>
            <w:r>
              <w:rPr>
                <w:w w:val="105"/>
                <w:sz w:val="14"/>
              </w:rPr>
              <w:t>8.0%</w:t>
            </w:r>
          </w:p>
        </w:tc>
        <w:tc>
          <w:tcPr>
            <w:tcW w:w="777" w:type="dxa"/>
            <w:tcBorders>
              <w:top w:val="nil"/>
              <w:bottom w:val="nil"/>
            </w:tcBorders>
            <w:shd w:val="clear" w:color="auto" w:fill="E1EEDA"/>
          </w:tcPr>
          <w:p>
            <w:pPr>
              <w:pStyle w:val="TableParagraph"/>
              <w:spacing w:before="117"/>
              <w:ind w:left="238"/>
              <w:rPr>
                <w:sz w:val="14"/>
              </w:rPr>
            </w:pPr>
            <w:r>
              <w:rPr>
                <w:w w:val="105"/>
                <w:sz w:val="14"/>
              </w:rPr>
              <w:t>3.0%</w:t>
            </w:r>
          </w:p>
        </w:tc>
        <w:tc>
          <w:tcPr>
            <w:tcW w:w="777" w:type="dxa"/>
            <w:tcBorders>
              <w:top w:val="nil"/>
              <w:bottom w:val="nil"/>
            </w:tcBorders>
            <w:shd w:val="clear" w:color="auto" w:fill="E1EEDA"/>
          </w:tcPr>
          <w:p>
            <w:pPr>
              <w:pStyle w:val="TableParagraph"/>
              <w:spacing w:before="117"/>
              <w:ind w:left="238"/>
              <w:rPr>
                <w:sz w:val="14"/>
              </w:rPr>
            </w:pPr>
            <w:r>
              <w:rPr>
                <w:w w:val="105"/>
                <w:sz w:val="14"/>
              </w:rPr>
              <w:t>2.5%</w:t>
            </w:r>
          </w:p>
        </w:tc>
        <w:tc>
          <w:tcPr>
            <w:tcW w:w="777" w:type="dxa"/>
            <w:tcBorders>
              <w:top w:val="nil"/>
              <w:bottom w:val="nil"/>
            </w:tcBorders>
            <w:shd w:val="clear" w:color="auto" w:fill="FFF1CC"/>
          </w:tcPr>
          <w:p>
            <w:pPr>
              <w:pStyle w:val="TableParagraph"/>
              <w:spacing w:before="117"/>
              <w:ind w:left="238"/>
              <w:rPr>
                <w:sz w:val="14"/>
              </w:rPr>
            </w:pPr>
            <w:r>
              <w:rPr>
                <w:w w:val="105"/>
                <w:sz w:val="14"/>
              </w:rPr>
              <w:t>2.6%</w:t>
            </w:r>
          </w:p>
        </w:tc>
        <w:tc>
          <w:tcPr>
            <w:tcW w:w="777" w:type="dxa"/>
            <w:tcBorders>
              <w:top w:val="nil"/>
              <w:bottom w:val="nil"/>
            </w:tcBorders>
            <w:shd w:val="clear" w:color="auto" w:fill="FFF1CC"/>
          </w:tcPr>
          <w:p>
            <w:pPr>
              <w:pStyle w:val="TableParagraph"/>
              <w:spacing w:before="117"/>
              <w:ind w:left="238"/>
              <w:rPr>
                <w:sz w:val="14"/>
              </w:rPr>
            </w:pPr>
            <w:r>
              <w:rPr>
                <w:w w:val="105"/>
                <w:sz w:val="14"/>
              </w:rPr>
              <w:t>2.6%</w:t>
            </w:r>
          </w:p>
        </w:tc>
        <w:tc>
          <w:tcPr>
            <w:tcW w:w="777" w:type="dxa"/>
            <w:tcBorders>
              <w:top w:val="nil"/>
              <w:bottom w:val="nil"/>
            </w:tcBorders>
            <w:shd w:val="clear" w:color="auto" w:fill="FFF1CC"/>
          </w:tcPr>
          <w:p>
            <w:pPr>
              <w:pStyle w:val="TableParagraph"/>
              <w:spacing w:before="117"/>
              <w:ind w:left="238"/>
              <w:rPr>
                <w:sz w:val="14"/>
              </w:rPr>
            </w:pPr>
            <w:r>
              <w:rPr>
                <w:w w:val="105"/>
                <w:sz w:val="14"/>
              </w:rPr>
              <w:t>2.7%</w:t>
            </w:r>
          </w:p>
        </w:tc>
        <w:tc>
          <w:tcPr>
            <w:tcW w:w="777" w:type="dxa"/>
            <w:tcBorders>
              <w:top w:val="nil"/>
              <w:bottom w:val="nil"/>
            </w:tcBorders>
            <w:shd w:val="clear" w:color="auto" w:fill="FFF1CC"/>
          </w:tcPr>
          <w:p>
            <w:pPr>
              <w:pStyle w:val="TableParagraph"/>
              <w:spacing w:before="117"/>
              <w:ind w:left="238"/>
              <w:rPr>
                <w:sz w:val="14"/>
              </w:rPr>
            </w:pPr>
            <w:r>
              <w:rPr>
                <w:w w:val="105"/>
                <w:sz w:val="14"/>
              </w:rPr>
              <w:t>2.7%</w:t>
            </w:r>
          </w:p>
        </w:tc>
      </w:tr>
      <w:tr>
        <w:trPr>
          <w:trHeight w:val="398" w:hRule="atLeast"/>
        </w:trPr>
        <w:tc>
          <w:tcPr>
            <w:tcW w:w="1374" w:type="dxa"/>
            <w:tcBorders>
              <w:top w:val="nil"/>
              <w:left w:val="single" w:sz="4" w:space="0" w:color="000000"/>
              <w:bottom w:val="nil"/>
            </w:tcBorders>
          </w:tcPr>
          <w:p>
            <w:pPr>
              <w:pStyle w:val="TableParagraph"/>
              <w:spacing w:before="118"/>
              <w:ind w:left="24"/>
              <w:rPr>
                <w:sz w:val="14"/>
              </w:rPr>
            </w:pPr>
            <w:r>
              <w:rPr>
                <w:w w:val="105"/>
                <w:sz w:val="14"/>
              </w:rPr>
              <w:t>PIB nominal</w:t>
            </w:r>
          </w:p>
        </w:tc>
        <w:tc>
          <w:tcPr>
            <w:tcW w:w="1233" w:type="dxa"/>
            <w:tcBorders>
              <w:top w:val="nil"/>
              <w:bottom w:val="nil"/>
            </w:tcBorders>
          </w:tcPr>
          <w:p>
            <w:pPr>
              <w:pStyle w:val="TableParagraph"/>
              <w:spacing w:before="118"/>
              <w:ind w:right="6"/>
              <w:jc w:val="right"/>
              <w:rPr>
                <w:sz w:val="14"/>
              </w:rPr>
            </w:pPr>
            <w:r>
              <w:rPr>
                <w:w w:val="105"/>
                <w:sz w:val="14"/>
              </w:rPr>
              <w:t>Millones de Q.</w:t>
            </w:r>
          </w:p>
        </w:tc>
        <w:tc>
          <w:tcPr>
            <w:tcW w:w="776" w:type="dxa"/>
            <w:tcBorders>
              <w:top w:val="nil"/>
              <w:bottom w:val="nil"/>
            </w:tcBorders>
          </w:tcPr>
          <w:p>
            <w:pPr>
              <w:pStyle w:val="TableParagraph"/>
              <w:spacing w:before="118"/>
              <w:ind w:right="45"/>
              <w:jc w:val="right"/>
              <w:rPr>
                <w:sz w:val="14"/>
              </w:rPr>
            </w:pPr>
            <w:r>
              <w:rPr>
                <w:sz w:val="14"/>
              </w:rPr>
              <w:t>599,235.8</w:t>
            </w:r>
          </w:p>
        </w:tc>
        <w:tc>
          <w:tcPr>
            <w:tcW w:w="777" w:type="dxa"/>
            <w:tcBorders>
              <w:top w:val="nil"/>
              <w:bottom w:val="nil"/>
            </w:tcBorders>
          </w:tcPr>
          <w:p>
            <w:pPr>
              <w:pStyle w:val="TableParagraph"/>
              <w:spacing w:before="118"/>
              <w:ind w:left="161"/>
              <w:rPr>
                <w:sz w:val="14"/>
              </w:rPr>
            </w:pPr>
            <w:r>
              <w:rPr>
                <w:w w:val="105"/>
                <w:sz w:val="14"/>
              </w:rPr>
              <w:t>665,048.2</w:t>
            </w:r>
          </w:p>
        </w:tc>
        <w:tc>
          <w:tcPr>
            <w:tcW w:w="777" w:type="dxa"/>
            <w:tcBorders>
              <w:top w:val="nil"/>
              <w:bottom w:val="nil"/>
            </w:tcBorders>
            <w:shd w:val="clear" w:color="auto" w:fill="E1EEDA"/>
          </w:tcPr>
          <w:p>
            <w:pPr>
              <w:pStyle w:val="TableParagraph"/>
              <w:spacing w:before="118"/>
              <w:ind w:right="45"/>
              <w:jc w:val="right"/>
              <w:rPr>
                <w:sz w:val="14"/>
              </w:rPr>
            </w:pPr>
            <w:r>
              <w:rPr>
                <w:sz w:val="14"/>
              </w:rPr>
              <w:t>709,829.8</w:t>
            </w:r>
          </w:p>
        </w:tc>
        <w:tc>
          <w:tcPr>
            <w:tcW w:w="777" w:type="dxa"/>
            <w:tcBorders>
              <w:top w:val="nil"/>
              <w:bottom w:val="nil"/>
            </w:tcBorders>
            <w:shd w:val="clear" w:color="auto" w:fill="E1EEDA"/>
          </w:tcPr>
          <w:p>
            <w:pPr>
              <w:pStyle w:val="TableParagraph"/>
              <w:spacing w:before="118"/>
              <w:ind w:right="45"/>
              <w:jc w:val="right"/>
              <w:rPr>
                <w:sz w:val="14"/>
              </w:rPr>
            </w:pPr>
            <w:r>
              <w:rPr>
                <w:sz w:val="14"/>
              </w:rPr>
              <w:t>755,122.2</w:t>
            </w:r>
          </w:p>
        </w:tc>
        <w:tc>
          <w:tcPr>
            <w:tcW w:w="777" w:type="dxa"/>
            <w:tcBorders>
              <w:top w:val="nil"/>
              <w:bottom w:val="nil"/>
            </w:tcBorders>
            <w:shd w:val="clear" w:color="auto" w:fill="FFF1CC"/>
          </w:tcPr>
          <w:p>
            <w:pPr>
              <w:pStyle w:val="TableParagraph"/>
              <w:spacing w:before="118"/>
              <w:ind w:right="45"/>
              <w:jc w:val="right"/>
              <w:rPr>
                <w:sz w:val="14"/>
              </w:rPr>
            </w:pPr>
            <w:r>
              <w:rPr>
                <w:sz w:val="14"/>
              </w:rPr>
              <w:t>801,981.8</w:t>
            </w:r>
          </w:p>
        </w:tc>
        <w:tc>
          <w:tcPr>
            <w:tcW w:w="777" w:type="dxa"/>
            <w:tcBorders>
              <w:top w:val="nil"/>
              <w:bottom w:val="nil"/>
            </w:tcBorders>
            <w:shd w:val="clear" w:color="auto" w:fill="FFF1CC"/>
          </w:tcPr>
          <w:p>
            <w:pPr>
              <w:pStyle w:val="TableParagraph"/>
              <w:spacing w:before="118"/>
              <w:ind w:left="160"/>
              <w:rPr>
                <w:sz w:val="14"/>
              </w:rPr>
            </w:pPr>
            <w:r>
              <w:rPr>
                <w:w w:val="105"/>
                <w:sz w:val="14"/>
              </w:rPr>
              <w:t>851,908.5</w:t>
            </w:r>
          </w:p>
        </w:tc>
        <w:tc>
          <w:tcPr>
            <w:tcW w:w="777" w:type="dxa"/>
            <w:tcBorders>
              <w:top w:val="nil"/>
              <w:bottom w:val="nil"/>
            </w:tcBorders>
            <w:shd w:val="clear" w:color="auto" w:fill="FFF1CC"/>
          </w:tcPr>
          <w:p>
            <w:pPr>
              <w:pStyle w:val="TableParagraph"/>
              <w:spacing w:before="118"/>
              <w:ind w:right="45"/>
              <w:jc w:val="right"/>
              <w:rPr>
                <w:sz w:val="14"/>
              </w:rPr>
            </w:pPr>
            <w:r>
              <w:rPr>
                <w:sz w:val="14"/>
              </w:rPr>
              <w:t>906,567.0</w:t>
            </w:r>
          </w:p>
        </w:tc>
        <w:tc>
          <w:tcPr>
            <w:tcW w:w="777" w:type="dxa"/>
            <w:tcBorders>
              <w:top w:val="nil"/>
              <w:bottom w:val="nil"/>
            </w:tcBorders>
            <w:shd w:val="clear" w:color="auto" w:fill="FFF1CC"/>
          </w:tcPr>
          <w:p>
            <w:pPr>
              <w:pStyle w:val="TableParagraph"/>
              <w:spacing w:before="118"/>
              <w:ind w:right="46"/>
              <w:jc w:val="right"/>
              <w:rPr>
                <w:sz w:val="14"/>
              </w:rPr>
            </w:pPr>
            <w:r>
              <w:rPr>
                <w:sz w:val="14"/>
              </w:rPr>
              <w:t>964,774.1</w:t>
            </w:r>
          </w:p>
        </w:tc>
      </w:tr>
      <w:tr>
        <w:trPr>
          <w:trHeight w:val="398" w:hRule="atLeast"/>
        </w:trPr>
        <w:tc>
          <w:tcPr>
            <w:tcW w:w="1374" w:type="dxa"/>
            <w:tcBorders>
              <w:top w:val="nil"/>
              <w:left w:val="single" w:sz="4" w:space="0" w:color="000000"/>
              <w:bottom w:val="nil"/>
            </w:tcBorders>
          </w:tcPr>
          <w:p>
            <w:pPr>
              <w:pStyle w:val="TableParagraph"/>
              <w:spacing w:before="117"/>
              <w:ind w:left="412"/>
              <w:rPr>
                <w:sz w:val="14"/>
              </w:rPr>
            </w:pPr>
            <w:r>
              <w:rPr>
                <w:w w:val="105"/>
                <w:sz w:val="14"/>
              </w:rPr>
              <w:t>Variación</w:t>
            </w:r>
          </w:p>
        </w:tc>
        <w:tc>
          <w:tcPr>
            <w:tcW w:w="1233" w:type="dxa"/>
            <w:tcBorders>
              <w:top w:val="nil"/>
              <w:bottom w:val="nil"/>
            </w:tcBorders>
          </w:tcPr>
          <w:p>
            <w:pPr>
              <w:pStyle w:val="TableParagraph"/>
              <w:spacing w:before="117"/>
              <w:ind w:right="8"/>
              <w:jc w:val="right"/>
              <w:rPr>
                <w:sz w:val="14"/>
              </w:rPr>
            </w:pPr>
            <w:r>
              <w:rPr>
                <w:w w:val="105"/>
                <w:sz w:val="14"/>
              </w:rPr>
              <w:t>Variación %</w:t>
            </w:r>
          </w:p>
        </w:tc>
        <w:tc>
          <w:tcPr>
            <w:tcW w:w="776" w:type="dxa"/>
            <w:tcBorders>
              <w:top w:val="nil"/>
              <w:bottom w:val="nil"/>
            </w:tcBorders>
          </w:tcPr>
          <w:p>
            <w:pPr>
              <w:pStyle w:val="TableParagraph"/>
              <w:spacing w:before="117"/>
              <w:ind w:left="238"/>
              <w:rPr>
                <w:sz w:val="14"/>
              </w:rPr>
            </w:pPr>
            <w:r>
              <w:rPr>
                <w:w w:val="105"/>
                <w:sz w:val="14"/>
              </w:rPr>
              <w:t>1.1%</w:t>
            </w:r>
          </w:p>
        </w:tc>
        <w:tc>
          <w:tcPr>
            <w:tcW w:w="777" w:type="dxa"/>
            <w:tcBorders>
              <w:top w:val="nil"/>
              <w:bottom w:val="nil"/>
            </w:tcBorders>
          </w:tcPr>
          <w:p>
            <w:pPr>
              <w:pStyle w:val="TableParagraph"/>
              <w:spacing w:before="117"/>
              <w:ind w:left="209"/>
              <w:rPr>
                <w:sz w:val="14"/>
              </w:rPr>
            </w:pPr>
            <w:r>
              <w:rPr>
                <w:w w:val="105"/>
                <w:sz w:val="14"/>
              </w:rPr>
              <w:t>11.0%</w:t>
            </w:r>
          </w:p>
        </w:tc>
        <w:tc>
          <w:tcPr>
            <w:tcW w:w="777" w:type="dxa"/>
            <w:tcBorders>
              <w:top w:val="nil"/>
              <w:bottom w:val="nil"/>
            </w:tcBorders>
            <w:shd w:val="clear" w:color="auto" w:fill="E1EEDA"/>
          </w:tcPr>
          <w:p>
            <w:pPr>
              <w:pStyle w:val="TableParagraph"/>
              <w:spacing w:before="117"/>
              <w:ind w:left="238"/>
              <w:rPr>
                <w:sz w:val="14"/>
              </w:rPr>
            </w:pPr>
            <w:r>
              <w:rPr>
                <w:w w:val="105"/>
                <w:sz w:val="14"/>
              </w:rPr>
              <w:t>6.7%</w:t>
            </w:r>
          </w:p>
        </w:tc>
        <w:tc>
          <w:tcPr>
            <w:tcW w:w="777" w:type="dxa"/>
            <w:tcBorders>
              <w:top w:val="nil"/>
              <w:bottom w:val="nil"/>
            </w:tcBorders>
            <w:shd w:val="clear" w:color="auto" w:fill="E1EEDA"/>
          </w:tcPr>
          <w:p>
            <w:pPr>
              <w:pStyle w:val="TableParagraph"/>
              <w:spacing w:before="117"/>
              <w:ind w:left="238"/>
              <w:rPr>
                <w:sz w:val="14"/>
              </w:rPr>
            </w:pPr>
            <w:r>
              <w:rPr>
                <w:w w:val="105"/>
                <w:sz w:val="14"/>
              </w:rPr>
              <w:t>5.4%</w:t>
            </w:r>
          </w:p>
        </w:tc>
        <w:tc>
          <w:tcPr>
            <w:tcW w:w="777" w:type="dxa"/>
            <w:tcBorders>
              <w:top w:val="nil"/>
              <w:bottom w:val="nil"/>
            </w:tcBorders>
            <w:shd w:val="clear" w:color="auto" w:fill="FFF1CC"/>
          </w:tcPr>
          <w:p>
            <w:pPr>
              <w:pStyle w:val="TableParagraph"/>
              <w:spacing w:before="117"/>
              <w:ind w:left="238"/>
              <w:rPr>
                <w:sz w:val="14"/>
              </w:rPr>
            </w:pPr>
            <w:r>
              <w:rPr>
                <w:w w:val="105"/>
                <w:sz w:val="14"/>
              </w:rPr>
              <w:t>5.2%</w:t>
            </w:r>
          </w:p>
        </w:tc>
        <w:tc>
          <w:tcPr>
            <w:tcW w:w="777" w:type="dxa"/>
            <w:tcBorders>
              <w:top w:val="nil"/>
              <w:bottom w:val="nil"/>
            </w:tcBorders>
            <w:shd w:val="clear" w:color="auto" w:fill="FFF1CC"/>
          </w:tcPr>
          <w:p>
            <w:pPr>
              <w:pStyle w:val="TableParagraph"/>
              <w:spacing w:before="117"/>
              <w:ind w:left="238"/>
              <w:rPr>
                <w:sz w:val="14"/>
              </w:rPr>
            </w:pPr>
            <w:r>
              <w:rPr>
                <w:w w:val="105"/>
                <w:sz w:val="14"/>
              </w:rPr>
              <w:t>5.2%</w:t>
            </w:r>
          </w:p>
        </w:tc>
        <w:tc>
          <w:tcPr>
            <w:tcW w:w="777" w:type="dxa"/>
            <w:tcBorders>
              <w:top w:val="nil"/>
              <w:bottom w:val="nil"/>
            </w:tcBorders>
            <w:shd w:val="clear" w:color="auto" w:fill="FFF1CC"/>
          </w:tcPr>
          <w:p>
            <w:pPr>
              <w:pStyle w:val="TableParagraph"/>
              <w:spacing w:before="117"/>
              <w:ind w:left="238"/>
              <w:rPr>
                <w:sz w:val="14"/>
              </w:rPr>
            </w:pPr>
            <w:r>
              <w:rPr>
                <w:w w:val="105"/>
                <w:sz w:val="14"/>
              </w:rPr>
              <w:t>5.4%</w:t>
            </w:r>
          </w:p>
        </w:tc>
        <w:tc>
          <w:tcPr>
            <w:tcW w:w="777" w:type="dxa"/>
            <w:tcBorders>
              <w:top w:val="nil"/>
              <w:bottom w:val="nil"/>
            </w:tcBorders>
            <w:shd w:val="clear" w:color="auto" w:fill="FFF1CC"/>
          </w:tcPr>
          <w:p>
            <w:pPr>
              <w:pStyle w:val="TableParagraph"/>
              <w:spacing w:before="117"/>
              <w:ind w:left="238"/>
              <w:rPr>
                <w:sz w:val="14"/>
              </w:rPr>
            </w:pPr>
            <w:r>
              <w:rPr>
                <w:w w:val="105"/>
                <w:sz w:val="14"/>
              </w:rPr>
              <w:t>5.4%</w:t>
            </w:r>
          </w:p>
        </w:tc>
      </w:tr>
      <w:tr>
        <w:trPr>
          <w:trHeight w:val="398" w:hRule="atLeast"/>
        </w:trPr>
        <w:tc>
          <w:tcPr>
            <w:tcW w:w="1374" w:type="dxa"/>
            <w:tcBorders>
              <w:top w:val="nil"/>
              <w:left w:val="single" w:sz="4" w:space="0" w:color="000000"/>
              <w:bottom w:val="nil"/>
            </w:tcBorders>
          </w:tcPr>
          <w:p>
            <w:pPr>
              <w:pStyle w:val="TableParagraph"/>
              <w:spacing w:before="117"/>
              <w:ind w:left="24"/>
              <w:rPr>
                <w:sz w:val="14"/>
              </w:rPr>
            </w:pPr>
            <w:r>
              <w:rPr>
                <w:w w:val="105"/>
                <w:sz w:val="14"/>
              </w:rPr>
              <w:t>Importaciones FOB</w:t>
            </w:r>
          </w:p>
        </w:tc>
        <w:tc>
          <w:tcPr>
            <w:tcW w:w="1233" w:type="dxa"/>
            <w:tcBorders>
              <w:top w:val="nil"/>
              <w:bottom w:val="nil"/>
            </w:tcBorders>
          </w:tcPr>
          <w:p>
            <w:pPr>
              <w:pStyle w:val="TableParagraph"/>
              <w:spacing w:before="117"/>
              <w:ind w:right="6"/>
              <w:jc w:val="right"/>
              <w:rPr>
                <w:sz w:val="14"/>
              </w:rPr>
            </w:pPr>
            <w:r>
              <w:rPr>
                <w:w w:val="105"/>
                <w:sz w:val="14"/>
              </w:rPr>
              <w:t>Millones de US$.</w:t>
            </w:r>
          </w:p>
        </w:tc>
        <w:tc>
          <w:tcPr>
            <w:tcW w:w="776" w:type="dxa"/>
            <w:tcBorders>
              <w:top w:val="nil"/>
              <w:bottom w:val="nil"/>
            </w:tcBorders>
          </w:tcPr>
          <w:p>
            <w:pPr>
              <w:pStyle w:val="TableParagraph"/>
              <w:spacing w:before="117"/>
              <w:ind w:right="45"/>
              <w:jc w:val="right"/>
              <w:rPr>
                <w:sz w:val="14"/>
              </w:rPr>
            </w:pPr>
            <w:r>
              <w:rPr>
                <w:w w:val="105"/>
                <w:sz w:val="14"/>
              </w:rPr>
              <w:t>16,441.2</w:t>
            </w:r>
          </w:p>
        </w:tc>
        <w:tc>
          <w:tcPr>
            <w:tcW w:w="777" w:type="dxa"/>
            <w:tcBorders>
              <w:top w:val="nil"/>
              <w:bottom w:val="nil"/>
            </w:tcBorders>
          </w:tcPr>
          <w:p>
            <w:pPr>
              <w:pStyle w:val="TableParagraph"/>
              <w:spacing w:before="117"/>
              <w:ind w:left="229"/>
              <w:rPr>
                <w:sz w:val="14"/>
              </w:rPr>
            </w:pPr>
            <w:r>
              <w:rPr>
                <w:w w:val="105"/>
                <w:sz w:val="14"/>
              </w:rPr>
              <w:t>23,332.7</w:t>
            </w:r>
          </w:p>
        </w:tc>
        <w:tc>
          <w:tcPr>
            <w:tcW w:w="777" w:type="dxa"/>
            <w:tcBorders>
              <w:top w:val="nil"/>
              <w:bottom w:val="nil"/>
            </w:tcBorders>
            <w:shd w:val="clear" w:color="auto" w:fill="E1EEDA"/>
          </w:tcPr>
          <w:p>
            <w:pPr>
              <w:pStyle w:val="TableParagraph"/>
              <w:spacing w:before="117"/>
              <w:ind w:right="45"/>
              <w:jc w:val="right"/>
              <w:rPr>
                <w:sz w:val="14"/>
              </w:rPr>
            </w:pPr>
            <w:r>
              <w:rPr>
                <w:w w:val="105"/>
                <w:sz w:val="14"/>
              </w:rPr>
              <w:t>25,778.7</w:t>
            </w:r>
          </w:p>
        </w:tc>
        <w:tc>
          <w:tcPr>
            <w:tcW w:w="777" w:type="dxa"/>
            <w:tcBorders>
              <w:top w:val="nil"/>
              <w:bottom w:val="nil"/>
            </w:tcBorders>
            <w:shd w:val="clear" w:color="auto" w:fill="E1EEDA"/>
          </w:tcPr>
          <w:p>
            <w:pPr>
              <w:pStyle w:val="TableParagraph"/>
              <w:spacing w:before="117"/>
              <w:ind w:right="45"/>
              <w:jc w:val="right"/>
              <w:rPr>
                <w:sz w:val="14"/>
              </w:rPr>
            </w:pPr>
            <w:r>
              <w:rPr>
                <w:w w:val="105"/>
                <w:sz w:val="14"/>
              </w:rPr>
              <w:t>27,830.6</w:t>
            </w:r>
          </w:p>
        </w:tc>
        <w:tc>
          <w:tcPr>
            <w:tcW w:w="777" w:type="dxa"/>
            <w:tcBorders>
              <w:top w:val="nil"/>
              <w:bottom w:val="nil"/>
            </w:tcBorders>
            <w:shd w:val="clear" w:color="auto" w:fill="FFF1CC"/>
          </w:tcPr>
          <w:p>
            <w:pPr>
              <w:pStyle w:val="TableParagraph"/>
              <w:spacing w:before="117"/>
              <w:ind w:right="45"/>
              <w:jc w:val="right"/>
              <w:rPr>
                <w:sz w:val="14"/>
              </w:rPr>
            </w:pPr>
            <w:r>
              <w:rPr>
                <w:w w:val="105"/>
                <w:sz w:val="14"/>
              </w:rPr>
              <w:t>29,929.4</w:t>
            </w:r>
          </w:p>
        </w:tc>
        <w:tc>
          <w:tcPr>
            <w:tcW w:w="777" w:type="dxa"/>
            <w:tcBorders>
              <w:top w:val="nil"/>
              <w:bottom w:val="nil"/>
            </w:tcBorders>
            <w:shd w:val="clear" w:color="auto" w:fill="FFF1CC"/>
          </w:tcPr>
          <w:p>
            <w:pPr>
              <w:pStyle w:val="TableParagraph"/>
              <w:spacing w:before="117"/>
              <w:ind w:left="228"/>
              <w:rPr>
                <w:sz w:val="14"/>
              </w:rPr>
            </w:pPr>
            <w:r>
              <w:rPr>
                <w:w w:val="105"/>
                <w:sz w:val="14"/>
              </w:rPr>
              <w:t>32,031.9</w:t>
            </w:r>
          </w:p>
        </w:tc>
        <w:tc>
          <w:tcPr>
            <w:tcW w:w="777" w:type="dxa"/>
            <w:tcBorders>
              <w:top w:val="nil"/>
              <w:bottom w:val="nil"/>
            </w:tcBorders>
            <w:shd w:val="clear" w:color="auto" w:fill="FFF1CC"/>
          </w:tcPr>
          <w:p>
            <w:pPr>
              <w:pStyle w:val="TableParagraph"/>
              <w:spacing w:before="117"/>
              <w:ind w:right="45"/>
              <w:jc w:val="right"/>
              <w:rPr>
                <w:sz w:val="14"/>
              </w:rPr>
            </w:pPr>
            <w:r>
              <w:rPr>
                <w:w w:val="105"/>
                <w:sz w:val="14"/>
              </w:rPr>
              <w:t>34,429.3</w:t>
            </w:r>
          </w:p>
        </w:tc>
        <w:tc>
          <w:tcPr>
            <w:tcW w:w="777" w:type="dxa"/>
            <w:tcBorders>
              <w:top w:val="nil"/>
              <w:bottom w:val="nil"/>
            </w:tcBorders>
            <w:shd w:val="clear" w:color="auto" w:fill="FFF1CC"/>
          </w:tcPr>
          <w:p>
            <w:pPr>
              <w:pStyle w:val="TableParagraph"/>
              <w:spacing w:before="117"/>
              <w:ind w:right="46"/>
              <w:jc w:val="right"/>
              <w:rPr>
                <w:sz w:val="14"/>
              </w:rPr>
            </w:pPr>
            <w:r>
              <w:rPr>
                <w:w w:val="105"/>
                <w:sz w:val="14"/>
              </w:rPr>
              <w:t>37,015.9</w:t>
            </w:r>
          </w:p>
        </w:tc>
      </w:tr>
      <w:tr>
        <w:trPr>
          <w:trHeight w:val="384" w:hRule="atLeast"/>
        </w:trPr>
        <w:tc>
          <w:tcPr>
            <w:tcW w:w="1374" w:type="dxa"/>
            <w:tcBorders>
              <w:top w:val="nil"/>
              <w:left w:val="single" w:sz="4" w:space="0" w:color="000000"/>
            </w:tcBorders>
          </w:tcPr>
          <w:p>
            <w:pPr>
              <w:pStyle w:val="TableParagraph"/>
              <w:spacing w:before="118"/>
              <w:ind w:left="431"/>
              <w:rPr>
                <w:sz w:val="14"/>
              </w:rPr>
            </w:pPr>
            <w:r>
              <w:rPr>
                <w:w w:val="105"/>
                <w:sz w:val="14"/>
              </w:rPr>
              <w:t>variación</w:t>
            </w:r>
          </w:p>
        </w:tc>
        <w:tc>
          <w:tcPr>
            <w:tcW w:w="1233" w:type="dxa"/>
            <w:tcBorders>
              <w:top w:val="nil"/>
            </w:tcBorders>
          </w:tcPr>
          <w:p>
            <w:pPr>
              <w:pStyle w:val="TableParagraph"/>
              <w:spacing w:before="118"/>
              <w:ind w:right="8"/>
              <w:jc w:val="right"/>
              <w:rPr>
                <w:sz w:val="14"/>
              </w:rPr>
            </w:pPr>
            <w:r>
              <w:rPr>
                <w:w w:val="105"/>
                <w:sz w:val="14"/>
              </w:rPr>
              <w:t>Variación %</w:t>
            </w:r>
          </w:p>
        </w:tc>
        <w:tc>
          <w:tcPr>
            <w:tcW w:w="776" w:type="dxa"/>
            <w:tcBorders>
              <w:top w:val="nil"/>
            </w:tcBorders>
          </w:tcPr>
          <w:p>
            <w:pPr>
              <w:pStyle w:val="TableParagraph"/>
              <w:spacing w:before="118"/>
              <w:ind w:left="218"/>
              <w:rPr>
                <w:sz w:val="14"/>
              </w:rPr>
            </w:pPr>
            <w:r>
              <w:rPr>
                <w:w w:val="105"/>
                <w:sz w:val="14"/>
              </w:rPr>
              <w:t>-8.1%</w:t>
            </w:r>
          </w:p>
        </w:tc>
        <w:tc>
          <w:tcPr>
            <w:tcW w:w="777" w:type="dxa"/>
            <w:tcBorders>
              <w:top w:val="nil"/>
            </w:tcBorders>
          </w:tcPr>
          <w:p>
            <w:pPr>
              <w:pStyle w:val="TableParagraph"/>
              <w:spacing w:before="118"/>
              <w:ind w:left="209"/>
              <w:rPr>
                <w:sz w:val="14"/>
              </w:rPr>
            </w:pPr>
            <w:r>
              <w:rPr>
                <w:w w:val="105"/>
                <w:sz w:val="14"/>
              </w:rPr>
              <w:t>41.9%</w:t>
            </w:r>
          </w:p>
        </w:tc>
        <w:tc>
          <w:tcPr>
            <w:tcW w:w="777" w:type="dxa"/>
            <w:tcBorders>
              <w:top w:val="nil"/>
            </w:tcBorders>
            <w:shd w:val="clear" w:color="auto" w:fill="E1EEDA"/>
          </w:tcPr>
          <w:p>
            <w:pPr>
              <w:pStyle w:val="TableParagraph"/>
              <w:spacing w:before="118"/>
              <w:ind w:left="209"/>
              <w:rPr>
                <w:sz w:val="14"/>
              </w:rPr>
            </w:pPr>
            <w:r>
              <w:rPr>
                <w:w w:val="105"/>
                <w:sz w:val="14"/>
              </w:rPr>
              <w:t>10.5%</w:t>
            </w:r>
          </w:p>
        </w:tc>
        <w:tc>
          <w:tcPr>
            <w:tcW w:w="777" w:type="dxa"/>
            <w:tcBorders>
              <w:top w:val="nil"/>
            </w:tcBorders>
            <w:shd w:val="clear" w:color="auto" w:fill="E1EEDA"/>
          </w:tcPr>
          <w:p>
            <w:pPr>
              <w:pStyle w:val="TableParagraph"/>
              <w:spacing w:before="118"/>
              <w:ind w:left="238"/>
              <w:rPr>
                <w:sz w:val="14"/>
              </w:rPr>
            </w:pPr>
            <w:r>
              <w:rPr>
                <w:w w:val="105"/>
                <w:sz w:val="14"/>
              </w:rPr>
              <w:t>6.5%</w:t>
            </w:r>
          </w:p>
        </w:tc>
        <w:tc>
          <w:tcPr>
            <w:tcW w:w="777" w:type="dxa"/>
            <w:tcBorders>
              <w:top w:val="nil"/>
            </w:tcBorders>
            <w:shd w:val="clear" w:color="auto" w:fill="FFF1CC"/>
          </w:tcPr>
          <w:p>
            <w:pPr>
              <w:pStyle w:val="TableParagraph"/>
              <w:spacing w:before="118"/>
              <w:ind w:left="238"/>
              <w:rPr>
                <w:sz w:val="14"/>
              </w:rPr>
            </w:pPr>
            <w:r>
              <w:rPr>
                <w:w w:val="105"/>
                <w:sz w:val="14"/>
              </w:rPr>
              <w:t>6.0%</w:t>
            </w:r>
          </w:p>
        </w:tc>
        <w:tc>
          <w:tcPr>
            <w:tcW w:w="777" w:type="dxa"/>
            <w:tcBorders>
              <w:top w:val="nil"/>
            </w:tcBorders>
            <w:shd w:val="clear" w:color="auto" w:fill="FFF1CC"/>
          </w:tcPr>
          <w:p>
            <w:pPr>
              <w:pStyle w:val="TableParagraph"/>
              <w:spacing w:before="118"/>
              <w:ind w:left="238"/>
              <w:rPr>
                <w:sz w:val="14"/>
              </w:rPr>
            </w:pPr>
            <w:r>
              <w:rPr>
                <w:w w:val="105"/>
                <w:sz w:val="14"/>
              </w:rPr>
              <w:t>5.5%</w:t>
            </w:r>
          </w:p>
        </w:tc>
        <w:tc>
          <w:tcPr>
            <w:tcW w:w="777" w:type="dxa"/>
            <w:tcBorders>
              <w:top w:val="nil"/>
            </w:tcBorders>
            <w:shd w:val="clear" w:color="auto" w:fill="FFF1CC"/>
          </w:tcPr>
          <w:p>
            <w:pPr>
              <w:pStyle w:val="TableParagraph"/>
              <w:spacing w:before="118"/>
              <w:ind w:left="238"/>
              <w:rPr>
                <w:sz w:val="14"/>
              </w:rPr>
            </w:pPr>
            <w:r>
              <w:rPr>
                <w:w w:val="105"/>
                <w:sz w:val="14"/>
              </w:rPr>
              <w:t>6.0%</w:t>
            </w:r>
          </w:p>
        </w:tc>
        <w:tc>
          <w:tcPr>
            <w:tcW w:w="777" w:type="dxa"/>
            <w:tcBorders>
              <w:top w:val="nil"/>
            </w:tcBorders>
            <w:shd w:val="clear" w:color="auto" w:fill="FFF1CC"/>
          </w:tcPr>
          <w:p>
            <w:pPr>
              <w:pStyle w:val="TableParagraph"/>
              <w:spacing w:before="118"/>
              <w:ind w:left="238"/>
              <w:rPr>
                <w:sz w:val="14"/>
              </w:rPr>
            </w:pPr>
            <w:r>
              <w:rPr>
                <w:w w:val="105"/>
                <w:sz w:val="14"/>
              </w:rPr>
              <w:t>6.0%</w:t>
            </w:r>
          </w:p>
        </w:tc>
      </w:tr>
    </w:tbl>
    <w:p>
      <w:pPr>
        <w:spacing w:before="35"/>
        <w:ind w:left="562" w:right="0" w:firstLine="0"/>
        <w:jc w:val="both"/>
        <w:rPr>
          <w:sz w:val="18"/>
        </w:rPr>
      </w:pPr>
      <w:r>
        <w:rPr>
          <w:sz w:val="18"/>
        </w:rPr>
        <w:t>Fuente: Banco de Guatemala (escenario bajo)</w:t>
      </w:r>
    </w:p>
    <w:p>
      <w:pPr>
        <w:pStyle w:val="BodyText"/>
        <w:spacing w:before="8"/>
        <w:rPr>
          <w:sz w:val="25"/>
        </w:rPr>
      </w:pPr>
    </w:p>
    <w:p>
      <w:pPr>
        <w:pStyle w:val="BodyText"/>
        <w:spacing w:line="276" w:lineRule="auto"/>
        <w:ind w:left="562" w:right="1699"/>
        <w:jc w:val="both"/>
      </w:pPr>
      <w:r>
        <w:rPr/>
        <w:t>Adicionalmente, para el período 2023-2027, se incluye recaudación adicional por concepto de la reducción de la evasión del IVA y el Impuesto Sobre la Renta a personas jurídicas, los cuales se sustentan desde 2016 con el efecto de las medidas administrativas que está realizando la SAT.</w:t>
      </w:r>
    </w:p>
    <w:p>
      <w:pPr>
        <w:spacing w:after="0" w:line="276" w:lineRule="auto"/>
        <w:jc w:val="both"/>
        <w:sectPr>
          <w:pgSz w:w="12240" w:h="15840"/>
          <w:pgMar w:header="715" w:footer="688" w:top="1240" w:bottom="880" w:left="11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pStyle w:val="BodyText"/>
        <w:spacing w:line="276" w:lineRule="auto" w:before="91"/>
        <w:ind w:left="562" w:right="1691"/>
        <w:jc w:val="both"/>
      </w:pPr>
      <w:r>
        <w:rPr/>
        <w:pict>
          <v:group style="position:absolute;margin-left:79.704002pt;margin-top:-196.190475pt;width:453.2pt;height:193.05pt;mso-position-horizontal-relative:page;mso-position-vertical-relative:paragraph;z-index:253162496" coordorigin="1594,-3924" coordsize="9064,3861">
            <v:shape style="position:absolute;left:1594;top:-3915;width:9055;height:3842" coordorigin="1594,-3914" coordsize="9055,3842" path="m10648,-2834l1594,-2834,1594,-73,10648,-73,10648,-2834m10648,-3311l1594,-3311,1594,-3021,1594,-2834,10648,-2834,10648,-3021,10648,-3311m10648,-3914l1594,-3914,1594,-3602,1594,-3311,10648,-3311,10648,-3602,10648,-3914e" filled="true" fillcolor="#deeaf6" stroked="false">
              <v:path arrowok="t"/>
              <v:fill type="solid"/>
            </v:shape>
            <v:shape style="position:absolute;left:3375;top:-2799;width:5988;height:298" coordorigin="3375,-2799" coordsize="5988,298" path="m9329,-2799l3409,-2799,3396,-2796,3385,-2790,3378,-2780,3375,-2769,3375,-2530,3378,-2519,3385,-2509,3396,-2503,3409,-2501,9329,-2501,9363,-2769,9360,-2780,9353,-2790,9342,-2796,9329,-2799xe" filled="true" fillcolor="#ffffff" stroked="false">
              <v:path arrowok="t"/>
              <v:fill type="solid"/>
            </v:shape>
            <v:shape style="position:absolute;left:3372;top:-2802;width:5995;height:305" coordorigin="3372,-2802" coordsize="5995,305" path="m9329,-2802l3409,-2802,3405,-2802,3401,-2801,3394,-2799,3388,-2796,3383,-2792,3378,-2787,3375,-2782,3373,-2775,3372,-2772,3372,-2527,3373,-2524,3375,-2517,3378,-2512,3383,-2507,3388,-2503,3394,-2500,3401,-2498,3405,-2497,3409,-2497,9329,-2497,9333,-2497,9337,-2498,9344,-2500,9350,-2503,9351,-2504,3409,-2504,3407,-2504,3406,-2504,3404,-2504,3403,-2504,3403,-2504,3403,-2504,3397,-2506,3397,-2506,3393,-2508,3392,-2508,3392,-2508,3392,-2508,3388,-2511,3388,-2511,3388,-2512,3388,-2512,3384,-2515,3384,-2515,3384,-2515,3384,-2516,3382,-2520,3382,-2520,3381,-2520,3381,-2520,3380,-2525,3380,-2525,3379,-2527,3379,-2530,3379,-2769,3379,-2771,3380,-2774,3380,-2774,3381,-2779,3381,-2779,3382,-2779,3382,-2779,3384,-2783,3384,-2783,3384,-2784,3388,-2787,3388,-2787,3388,-2788,3388,-2788,3392,-2791,3392,-2791,3392,-2791,3393,-2791,3397,-2793,3397,-2793,3398,-2793,3398,-2793,3403,-2795,3403,-2795,3403,-2795,3404,-2795,3406,-2795,3407,-2795,3409,-2795,9351,-2795,9350,-2796,9344,-2799,9337,-2801,9333,-2802,9329,-2802xm9333,-2504l9329,-2504,9351,-2504,9351,-2504,9332,-2504,9333,-2504xm3406,-2504l3406,-2504,3407,-2504,3406,-2504xm9335,-2504l9332,-2504,9351,-2504,9352,-2504,9335,-2504,9335,-2504xm3403,-2504l3403,-2504,3404,-2504,3403,-2504xm9352,-2504l9335,-2504,9335,-2504,9352,-2504,9352,-2504xm3403,-2504l3403,-2504,3403,-2504,3403,-2504xm9354,-2506l9341,-2506,9335,-2504,9335,-2504,9352,-2504,9354,-2506xm3398,-2506l3398,-2506,3398,-2506,3398,-2506xm3397,-2506l3397,-2506,3398,-2506,3397,-2506xm9357,-2508l9346,-2508,9346,-2508,9346,-2508,9341,-2506,9341,-2506,9354,-2506,9355,-2507,9357,-2508xm3392,-2508l3392,-2508,3392,-2508,3392,-2508xm3392,-2508l3392,-2508,3393,-2508,3392,-2508xm9346,-2508l9346,-2508,9346,-2508,9346,-2508xm9346,-2508l9346,-2508,9346,-2508,9346,-2508xm9360,-2512l9351,-2512,9350,-2511,9350,-2511,9346,-2508,9346,-2508,9357,-2508,9360,-2512xm3392,-2508l3392,-2508,3392,-2508,3392,-2508xm3388,-2512l3388,-2511,3388,-2512,3388,-2512xm3388,-2512l3388,-2511,3388,-2511,3388,-2512xm9350,-2512l9350,-2511,9350,-2511,9350,-2512xm9351,-2512l9350,-2512,9350,-2511,9351,-2512xm3388,-2512l3388,-2512,3388,-2512,3388,-2512xm9362,-2516l9354,-2516,9354,-2515,9354,-2515,9350,-2512,9351,-2512,9360,-2512,9362,-2516xm9354,-2515l9354,-2515,9354,-2515,9354,-2515xm9354,-2516l9354,-2515,9354,-2515,9354,-2516xm3384,-2516l3384,-2515,3384,-2515,3384,-2516xm3384,-2515l3384,-2515,3384,-2515,3384,-2515xm9364,-2520l9357,-2520,9357,-2520,9356,-2520,9354,-2515,9354,-2516,9362,-2516,9363,-2518,9364,-2520xm3384,-2516l3384,-2516,3384,-2515,3384,-2516xm9357,-2520l9356,-2520,9357,-2520,9357,-2520xm9357,-2520l9357,-2520,9357,-2520,9357,-2520xm3381,-2520l3382,-2520,3381,-2520,3381,-2520xm3381,-2520l3382,-2520,3382,-2520,3381,-2520xm9366,-2525l9359,-2525,9358,-2525,9358,-2525,9357,-2520,9357,-2520,9364,-2520,9366,-2524,9366,-2525xm3381,-2520l3381,-2520,3381,-2520,3381,-2520xm9359,-2525l9358,-2525,9358,-2525,9359,-2525xm3380,-2525l3380,-2525,3380,-2525,3380,-2525xm3380,-2525l3380,-2525,3380,-2525,3380,-2525xm9366,-2769l9359,-2769,9359,-2530,9359,-2527,9359,-2527,9359,-2525,9359,-2525,9366,-2525,9366,-2527,9366,-2769xm3379,-2528l3379,-2527,3379,-2527,3379,-2528xm9359,-2528l9359,-2527,9359,-2527,9359,-2528xm3379,-2528l3379,-2528,3379,-2528,3379,-2528xm9359,-2531l9359,-2530,9359,-2530,9359,-2531xm3379,-2769l3379,-2769,3379,-2769,3379,-2769xm9366,-2772l9359,-2772,9359,-2769,9359,-2769,9366,-2769,9366,-2772xm9366,-2774l9358,-2774,9359,-2771,9359,-2772,9366,-2772,9366,-2772,9366,-2774xm3380,-2774l3380,-2774,3380,-2774,3380,-2774xm9364,-2779l9357,-2779,9357,-2779,9357,-2779,9359,-2774,9358,-2774,9366,-2774,9366,-2775,9364,-2779xm3380,-2774l3380,-2774,3380,-2774,3380,-2774xm3382,-2779l3381,-2779,3381,-2779,3382,-2779xm3381,-2779l3381,-2779,3381,-2779,3381,-2779xm9357,-2779l9357,-2779,9357,-2779,9357,-2779xm9357,-2779l9357,-2779,9357,-2779,9357,-2779xm3382,-2779l3382,-2779,3381,-2779,3382,-2779xm9362,-2784l9354,-2784,9354,-2783,9354,-2783,9357,-2779,9357,-2779,9364,-2779,9363,-2782,9362,-2784xm3384,-2784l3384,-2783,3384,-2784,3384,-2784xm3384,-2784l3384,-2783,3384,-2783,3384,-2784xm9354,-2784l9354,-2783,9354,-2783,9354,-2784xm9354,-2784l9354,-2784,9354,-2783,9354,-2784xm9359,-2788l9350,-2788,9351,-2787,9351,-2787,9354,-2784,9354,-2784,9362,-2784,9360,-2787,9359,-2788xm3384,-2784l3384,-2784,3384,-2784,3384,-2784xm3388,-2788l3388,-2787,3388,-2788,3388,-2788xm3388,-2788l3388,-2787,3388,-2787,3388,-2788xm9350,-2788l9351,-2787,9351,-2787,9350,-2788xm9350,-2788l9350,-2788,9351,-2787,9350,-2788xm9357,-2791l9346,-2791,9346,-2791,9346,-2791,9350,-2788,9350,-2788,9359,-2788,9357,-2791xm3388,-2788l3388,-2788,3388,-2788,3388,-2788xm3392,-2791l3392,-2791,3392,-2791,3392,-2791xm3392,-2791l3392,-2791,3392,-2791,3392,-2791xm9346,-2791l9346,-2791,9346,-2791,9346,-2791xm9346,-2791l9346,-2791,9346,-2791,9346,-2791xm9354,-2793l9341,-2793,9341,-2793,9341,-2793,9346,-2791,9346,-2791,9357,-2791,9355,-2792,9354,-2793xm3393,-2791l3392,-2791,3392,-2791,3393,-2791xm3398,-2793l3397,-2793,3397,-2793,3398,-2793xm3397,-2793l3397,-2793,3397,-2793,3397,-2793xm9341,-2793l9341,-2793,9341,-2793,9341,-2793xm9341,-2793l9341,-2793,9341,-2793,9341,-2793xm3398,-2793l3398,-2793,3397,-2793,3398,-2793xm9352,-2795l9335,-2795,9336,-2795,9335,-2795,9341,-2793,9341,-2793,9354,-2793,9352,-2795xm9335,-2795l9335,-2795,9336,-2795,9335,-2795xm3404,-2795l3403,-2795,3403,-2795,3404,-2795xm9351,-2795l9332,-2795,9335,-2795,9335,-2795,9352,-2795,9351,-2795xm3407,-2795l3406,-2795,3406,-2795,3407,-2795xm9351,-2795l9329,-2795,9333,-2795,9332,-2795,9351,-2795,9351,-2795xe" filled="true" fillcolor="#649c3e" stroked="false">
              <v:path arrowok="t"/>
              <v:fill type="solid"/>
            </v:shape>
            <v:shape style="position:absolute;left:3614;top:-2770;width:786;height:239" type="#_x0000_t75" stroked="false">
              <v:imagedata r:id="rId300" o:title=""/>
            </v:shape>
            <v:shape style="position:absolute;left:3611;top:-2773;width:793;height:245" coordorigin="3611,-2772" coordsize="793,245" path="m4374,-2772l3641,-2772,3635,-2772,3630,-2770,3624,-2768,3620,-2764,3616,-2760,3613,-2756,3612,-2751,3611,-2745,3611,-2555,3612,-2549,3613,-2544,3616,-2540,3620,-2536,3624,-2532,3630,-2530,3635,-2528,3641,-2528,4374,-2528,4380,-2528,4386,-2530,4391,-2532,4393,-2534,3642,-2534,3638,-2534,3637,-2534,3637,-2535,3637,-2535,3633,-2536,3633,-2536,3632,-2536,3632,-2536,3628,-2538,3628,-2538,3626,-2540,3625,-2540,3625,-2540,3625,-2540,3623,-2543,3623,-2543,3622,-2543,3622,-2543,3620,-2546,3620,-2546,3620,-2547,3620,-2547,3619,-2550,3619,-2550,3618,-2555,3618,-2555,3618,-2745,3619,-2749,3619,-2749,3619,-2750,3619,-2750,3620,-2753,3620,-2753,3620,-2754,3620,-2754,3622,-2756,3622,-2756,3622,-2757,3625,-2760,3625,-2760,3625,-2760,3625,-2760,3628,-2762,3628,-2762,3629,-2762,3629,-2762,3632,-2764,3632,-2764,3633,-2764,3633,-2764,3637,-2765,3636,-2765,3637,-2765,3638,-2765,3642,-2766,4393,-2766,4391,-2768,4386,-2770,4380,-2772,4374,-2772xm4374,-2534l3641,-2534,3642,-2534,4373,-2534,4374,-2534xm4378,-2535l4373,-2534,4393,-2534,4394,-2534,4378,-2534,4378,-2535xm3636,-2535l3637,-2534,3637,-2535,3636,-2535xm3637,-2535l3637,-2534,3638,-2534,3637,-2535xm4379,-2535l4378,-2535,4378,-2534,4379,-2535xm4394,-2535l4379,-2535,4378,-2534,4394,-2534,4394,-2535xm4383,-2536l4378,-2535,4379,-2535,4394,-2535,4395,-2536,4382,-2536,4383,-2536xm3637,-2535l3636,-2535,3637,-2535,3637,-2535xm3632,-2536l3633,-2536,3632,-2536,3632,-2536xm3632,-2536l3633,-2536,3633,-2536,3632,-2536xm4383,-2536l4383,-2536,4382,-2536,4383,-2536xm4396,-2536l4383,-2536,4382,-2536,4395,-2536,4396,-2536xm3632,-2536l3632,-2536,3632,-2536,3632,-2536xm4397,-2538l4387,-2538,4383,-2536,4383,-2536,4396,-2536,4397,-2538xm3629,-2538l3629,-2538,3629,-2538,3629,-2538xm3628,-2538l3628,-2538,3629,-2538,3628,-2538xm4390,-2540l4387,-2538,4387,-2538,4397,-2538,4399,-2540,4399,-2540,4390,-2540,4390,-2540xm3625,-2540l3625,-2540,3625,-2540,3625,-2540xm3625,-2540l3625,-2540,3626,-2540,3625,-2540xm4390,-2540l4390,-2540,4390,-2540,4390,-2540xm4399,-2540l4390,-2540,4390,-2540,4399,-2540,4399,-2540xm3625,-2540l3625,-2540,3625,-2540,3625,-2540xm4401,-2543l4393,-2543,4393,-2543,4393,-2543,4390,-2540,4390,-2540,4399,-2540,4401,-2543xm3622,-2543l3623,-2543,3622,-2543,3622,-2543xm3622,-2543l3623,-2543,3623,-2543,3622,-2543xm4393,-2543l4393,-2543,4393,-2543,4393,-2543xm4393,-2543l4393,-2543,4393,-2543,4393,-2543xm3622,-2543l3622,-2543,3622,-2543,3622,-2543xm4403,-2547l4395,-2547,4395,-2546,4395,-2546,4393,-2543,4393,-2543,4401,-2543,4402,-2544,4403,-2547xm3620,-2547l3620,-2546,3620,-2547,3620,-2547xm3620,-2547l3620,-2546,3620,-2546,3620,-2547xm4395,-2547l4395,-2546,4395,-2546,4395,-2547xm4395,-2547l4395,-2547,4395,-2546,4395,-2547xm3620,-2547l3620,-2547,3620,-2547,3620,-2547xm4404,-2551l4396,-2551,4396,-2550,4396,-2550,4395,-2547,4395,-2547,4403,-2547,4404,-2549,4404,-2551xm3619,-2550l3619,-2550,3619,-2550,3619,-2550xm4396,-2550l4396,-2550,4396,-2550,4396,-2550xm3619,-2551l3619,-2551,3619,-2550,3619,-2551xm4404,-2745l4397,-2745,4397,-2555,4397,-2555,4396,-2550,4396,-2551,4404,-2551,4404,-2555,4404,-2745xm3618,-2555l3618,-2555,3618,-2555,3618,-2555xm4397,-2555l4397,-2555,4397,-2555,4397,-2555xm3618,-2745l3618,-2745,3618,-2745,3618,-2745xm4404,-2750l4396,-2750,4396,-2749,4396,-2749,4397,-2745,4397,-2745,4404,-2745,4404,-2750xm3619,-2749l3619,-2749,3619,-2749,3619,-2749xm4396,-2749l4396,-2749,4396,-2749,4396,-2749xm3619,-2750l3619,-2750,3619,-2749,3619,-2750xm4403,-2754l4395,-2754,4395,-2753,4395,-2753,4396,-2749,4396,-2750,4404,-2750,4404,-2751,4403,-2754xm3620,-2754l3620,-2753,3620,-2753,3620,-2754xm3620,-2753l3620,-2753,3620,-2753,3620,-2753xm4395,-2753l4395,-2753,4395,-2753,4395,-2753xm4395,-2754l4395,-2753,4395,-2753,4395,-2754xm3620,-2754l3620,-2754,3620,-2753,3620,-2754xm4401,-2757l4393,-2757,4393,-2756,4393,-2756,4395,-2753,4395,-2754,4403,-2754,4402,-2756,4401,-2757xm3623,-2757l3622,-2756,3622,-2757,3623,-2757xm3622,-2757l3622,-2756,3622,-2756,3622,-2757xm4393,-2757l4393,-2756,4393,-2756,4393,-2757xm4393,-2757l4393,-2757,4393,-2756,4393,-2757xm3623,-2757l3623,-2757,3622,-2757,3623,-2757xm4399,-2760l4390,-2760,4390,-2760,4390,-2760,4393,-2757,4393,-2757,4401,-2757,4399,-2760xm3625,-2760l3625,-2760,3625,-2760,3625,-2760xm3625,-2760l3625,-2760,3625,-2760,3625,-2760xm4390,-2760l4390,-2760,4390,-2760,4390,-2760xm4390,-2760l4390,-2760,4390,-2760,4390,-2760xm3625,-2760l3625,-2760,3625,-2760,3625,-2760xm4397,-2762l4386,-2762,4387,-2762,4387,-2762,4390,-2760,4390,-2760,4399,-2760,4399,-2760,4397,-2762xm3629,-2762l3628,-2762,3628,-2762,3629,-2762xm3628,-2762l3628,-2762,3628,-2762,3628,-2762xm4387,-2762l4387,-2762,4387,-2762,4387,-2762xm4386,-2762l4387,-2762,4387,-2762,4386,-2762xm3629,-2762l3629,-2762,3628,-2762,3629,-2762xm4395,-2764l4382,-2764,4383,-2764,4383,-2764,4387,-2762,4386,-2762,4397,-2762,4395,-2764xm3633,-2764l3632,-2764,3632,-2764,3633,-2764xm3632,-2764l3632,-2764,3632,-2764,3632,-2764xm4383,-2764l4383,-2764,4383,-2764,4383,-2764xm4382,-2764l4383,-2764,4383,-2764,4382,-2764xm4378,-2765l4383,-2764,4382,-2764,4395,-2764,4394,-2765,4379,-2765,4378,-2765xm3633,-2764l3633,-2764,3632,-2764,3633,-2764xm3637,-2765l3636,-2765,3637,-2765,3637,-2765xm4378,-2765l4379,-2765,4379,-2765,4378,-2765xm4394,-2765l4378,-2765,4379,-2765,4394,-2765,4394,-2765xm3638,-2765l3637,-2765,3637,-2765,3638,-2765xm4393,-2766l4373,-2766,4378,-2765,4378,-2765,4394,-2765,4393,-2766xe" filled="true" fillcolor="#649c3e" stroked="false">
              <v:path arrowok="t"/>
              <v:fill type="solid"/>
            </v:shape>
            <v:shape style="position:absolute;left:3375;top:-2472;width:5988;height:298" coordorigin="3375,-2471" coordsize="5988,298" path="m9329,-2471l3409,-2471,3396,-2469,3385,-2462,3378,-2453,3375,-2441,3375,-2203,3378,-2191,3385,-2182,3396,-2175,3409,-2173,9329,-2173,9363,-2441,9360,-2453,9353,-2462,9342,-2469,9329,-2471xe" filled="true" fillcolor="#ffffff" stroked="false">
              <v:path arrowok="t"/>
              <v:fill type="solid"/>
            </v:shape>
            <v:shape style="position:absolute;left:3372;top:-2475;width:5995;height:305" coordorigin="3372,-2474" coordsize="5995,305" path="m9329,-2474l3409,-2474,3405,-2474,3401,-2474,3394,-2472,3388,-2469,3383,-2465,3378,-2460,3375,-2454,3373,-2448,3372,-2445,3372,-2199,3373,-2196,3375,-2190,3378,-2184,3383,-2179,3388,-2175,3394,-2172,3401,-2170,3405,-2170,3409,-2170,9329,-2170,9333,-2170,9337,-2170,9344,-2172,9350,-2175,9351,-2176,3409,-2176,3407,-2176,3406,-2176,3404,-2177,3403,-2177,3403,-2177,3403,-2177,3397,-2178,3397,-2178,3393,-2181,3392,-2181,3392,-2181,3392,-2181,3388,-2184,3388,-2184,3388,-2184,3388,-2184,3384,-2188,3384,-2188,3384,-2188,3384,-2188,3382,-2192,3382,-2192,3381,-2193,3381,-2193,3380,-2197,3380,-2197,3379,-2200,3379,-2203,3379,-2441,3379,-2444,3380,-2446,3380,-2446,3381,-2451,3381,-2451,3382,-2452,3382,-2452,3384,-2456,3384,-2456,3384,-2456,3388,-2460,3388,-2460,3388,-2460,3388,-2460,3392,-2463,3392,-2463,3392,-2463,3393,-2463,3397,-2466,3397,-2466,3398,-2466,3398,-2466,3403,-2467,3403,-2467,3403,-2467,3404,-2467,3406,-2468,3407,-2468,3409,-2468,9351,-2468,9350,-2469,9344,-2472,9337,-2474,9333,-2474,9329,-2474xm9333,-2176l9329,-2176,9351,-2176,9351,-2176,9332,-2176,9333,-2176xm3406,-2176l3406,-2176,3407,-2176,3406,-2176xm9335,-2177l9332,-2176,9351,-2176,9352,-2177,9335,-2177,9335,-2177xm3403,-2177l3403,-2177,3404,-2177,3403,-2177xm9352,-2177l9335,-2177,9335,-2177,9352,-2177,9352,-2177xm3403,-2177l3403,-2177,3403,-2177,3403,-2177xm9354,-2178l9341,-2178,9335,-2177,9335,-2177,9352,-2177,9354,-2178xm3398,-2178l3398,-2178,3398,-2178,3398,-2178xm3397,-2178l3397,-2178,3398,-2178,3397,-2178xm9357,-2181l9346,-2181,9346,-2181,9346,-2181,9341,-2178,9341,-2178,9354,-2178,9355,-2179,9357,-2181xm3392,-2181l3392,-2181,3392,-2181,3392,-2181xm3392,-2181l3392,-2181,3393,-2181,3392,-2181xm9346,-2181l9346,-2181,9346,-2181,9346,-2181xm9346,-2181l9346,-2181,9346,-2181,9346,-2181xm9360,-2184l9351,-2184,9350,-2184,9350,-2184,9346,-2181,9346,-2181,9357,-2181,9360,-2184xm3392,-2181l3392,-2181,3392,-2181,3392,-2181xm3388,-2184l3388,-2184,3388,-2184,3388,-2184xm3388,-2184l3388,-2184,3388,-2184,3388,-2184xm9350,-2184l9350,-2184,9350,-2184,9350,-2184xm9351,-2184l9350,-2184,9350,-2184,9351,-2184xm3388,-2184l3388,-2184,3388,-2184,3388,-2184xm9362,-2188l9354,-2188,9354,-2188,9354,-2188,9350,-2184,9351,-2184,9360,-2184,9362,-2188xm9354,-2188l9354,-2188,9354,-2188,9354,-2188xm9354,-2188l9354,-2188,9354,-2188,9354,-2188xm3384,-2188l3384,-2188,3384,-2188,3384,-2188xm3384,-2188l3384,-2188,3384,-2188,3384,-2188xm9364,-2193l9357,-2193,9357,-2192,9356,-2192,9354,-2188,9354,-2188,9362,-2188,9363,-2190,9364,-2193xm3384,-2188l3384,-2188,3384,-2188,3384,-2188xm9357,-2192l9356,-2192,9357,-2192,9357,-2192xm9357,-2193l9357,-2193,9357,-2192,9357,-2193xm3381,-2193l3382,-2192,3381,-2193,3381,-2193xm3381,-2193l3382,-2192,3382,-2192,3381,-2193xm9366,-2198l9359,-2198,9358,-2197,9358,-2197,9357,-2192,9357,-2193,9364,-2193,9366,-2196,9366,-2198xm3381,-2193l3381,-2193,3381,-2193,3381,-2193xm9359,-2198l9358,-2197,9358,-2197,9359,-2198xm3380,-2198l3380,-2197,3380,-2197,3380,-2198xm3380,-2198l3380,-2198,3380,-2198,3380,-2198xm9366,-2441l9359,-2441,9359,-2203,9359,-2200,9359,-2199,9359,-2198,9359,-2198,9366,-2198,9366,-2199,9366,-2441xm3379,-2200l3379,-2200,3379,-2200,3379,-2200xm9359,-2200l9359,-2200,9359,-2200,9359,-2200xm3379,-2200l3379,-2200,3379,-2200,3379,-2200xm9359,-2203l9359,-2203,9359,-2203,9359,-2203xm3379,-2441l3379,-2441,3379,-2441,3379,-2441xm9366,-2444l9359,-2444,9359,-2441,9359,-2441,9366,-2441,9366,-2444xm9366,-2447l9358,-2447,9359,-2444,9359,-2444,9366,-2444,9366,-2445,9366,-2447xm3380,-2446l3380,-2446,3380,-2446,3380,-2446xm9364,-2452l9357,-2452,9357,-2451,9357,-2451,9359,-2446,9358,-2447,9366,-2447,9366,-2448,9364,-2452xm3380,-2447l3380,-2447,3380,-2446,3380,-2447xm3382,-2452l3381,-2451,3381,-2452,3382,-2452xm3381,-2452l3381,-2451,3381,-2451,3381,-2452xm9357,-2452l9357,-2451,9357,-2451,9357,-2452xm9357,-2452l9357,-2452,9357,-2451,9357,-2452xm3382,-2452l3382,-2452,3381,-2452,3382,-2452xm9362,-2456l9354,-2456,9354,-2456,9354,-2456,9357,-2452,9357,-2452,9364,-2452,9363,-2454,9362,-2456xm3384,-2456l3384,-2456,3384,-2456,3384,-2456xm3384,-2456l3384,-2456,3384,-2456,3384,-2456xm9354,-2456l9354,-2456,9354,-2456,9354,-2456xm9354,-2456l9354,-2456,9354,-2456,9354,-2456xm9359,-2460l9350,-2460,9351,-2460,9351,-2460,9354,-2456,9354,-2456,9362,-2456,9360,-2460,9359,-2460xm3384,-2456l3384,-2456,3384,-2456,3384,-2456xm3388,-2460l3388,-2460,3388,-2460,3388,-2460xm3388,-2460l3388,-2460,3388,-2460,3388,-2460xm9350,-2460l9351,-2460,9351,-2460,9350,-2460xm9350,-2460l9350,-2460,9351,-2460,9350,-2460xm9357,-2463l9346,-2463,9346,-2463,9346,-2463,9350,-2460,9350,-2460,9359,-2460,9357,-2463xm3388,-2460l3388,-2460,3388,-2460,3388,-2460xm3392,-2463l3392,-2463,3392,-2463,3392,-2463xm3392,-2463l3392,-2463,3392,-2463,3392,-2463xm9346,-2463l9346,-2463,9346,-2463,9346,-2463xm9346,-2463l9346,-2463,9346,-2463,9346,-2463xm9354,-2466l9341,-2466,9341,-2466,9341,-2466,9346,-2463,9346,-2463,9357,-2463,9355,-2465,9354,-2466xm3393,-2463l3392,-2463,3392,-2463,3393,-2463xm3398,-2466l3397,-2466,3397,-2466,3398,-2466xm3397,-2466l3397,-2466,3397,-2466,3397,-2466xm9341,-2466l9341,-2466,9341,-2466,9341,-2466xm9341,-2466l9341,-2466,9341,-2466,9341,-2466xm3398,-2466l3398,-2466,3397,-2466,3398,-2466xm9352,-2467l9335,-2467,9336,-2467,9335,-2467,9341,-2466,9341,-2466,9354,-2466,9352,-2467xm9335,-2467l9335,-2467,9336,-2467,9335,-2467xm3404,-2467l3403,-2467,3403,-2467,3404,-2467xm9351,-2468l9332,-2468,9335,-2467,9335,-2467,9352,-2467,9351,-2468xm3407,-2468l3406,-2468,3406,-2468,3407,-2468xm9351,-2468l9329,-2468,9333,-2468,9332,-2468,9351,-2468,9351,-2468xe" filled="true" fillcolor="#649c3e" stroked="false">
              <v:path arrowok="t"/>
              <v:fill type="solid"/>
            </v:shape>
            <v:shape style="position:absolute;left:3614;top:-2442;width:786;height:239" type="#_x0000_t75" stroked="false">
              <v:imagedata r:id="rId301" o:title=""/>
            </v:shape>
            <v:shape style="position:absolute;left:3611;top:-2445;width:793;height:245" coordorigin="3611,-2445" coordsize="793,245" path="m4356,-2445l3659,-2445,3654,-2444,3649,-2444,3645,-2443,3640,-2441,3636,-2440,3632,-2437,3629,-2435,3625,-2432,3622,-2429,3619,-2426,3617,-2422,3615,-2418,3613,-2415,3612,-2410,3611,-2406,3611,-2239,3611,-2239,3612,-2234,3613,-2230,3615,-2226,3617,-2223,3619,-2219,3622,-2216,3625,-2213,3629,-2210,3633,-2207,3636,-2205,3640,-2203,3645,-2202,3649,-2201,3654,-2200,3659,-2200,4356,-2200,4361,-2200,4366,-2201,4370,-2202,4375,-2203,4379,-2205,4381,-2207,3659,-2207,3656,-2207,3655,-2207,3651,-2207,3647,-2208,3647,-2208,3643,-2209,3643,-2210,3640,-2211,3636,-2213,3636,-2213,3633,-2215,3633,-2215,3630,-2217,3628,-2220,3628,-2220,3625,-2223,3625,-2223,3623,-2226,3623,-2226,3622,-2229,3620,-2232,3620,-2232,3619,-2236,3619,-2239,3619,-2239,3618,-2243,3618,-2402,3619,-2405,3619,-2409,3619,-2409,3620,-2412,3622,-2416,3622,-2416,3623,-2419,3623,-2419,3625,-2422,3625,-2422,3628,-2425,3628,-2425,3630,-2427,3630,-2427,3633,-2430,3633,-2430,3636,-2432,3636,-2432,3640,-2434,3640,-2434,3643,-2435,3643,-2435,3647,-2437,3647,-2437,3651,-2437,3651,-2437,3655,-2438,3655,-2438,3659,-2438,4381,-2438,4379,-2440,4375,-2441,4370,-2443,4366,-2444,4361,-2444,4356,-2445xm4360,-2207l4356,-2207,4381,-2207,4382,-2207,4360,-2207,4360,-2207xm3655,-2207l3655,-2207,3656,-2207,3655,-2207xm4383,-2207l4364,-2207,4364,-2207,4364,-2207,4360,-2207,4382,-2207,4383,-2207xm3651,-2207l3651,-2207,3651,-2207,3651,-2207xm3651,-2207l3651,-2207,3651,-2207,3651,-2207xm4368,-2208l4364,-2207,4364,-2207,4383,-2207,4384,-2208,4368,-2208,4368,-2208xm3647,-2208l3647,-2208,3647,-2208,3647,-2208xm4386,-2210l4372,-2210,4368,-2208,4384,-2208,4386,-2210xm3643,-2210l3643,-2210,3643,-2209,3643,-2210xm4388,-2211l4376,-2211,4372,-2209,4372,-2210,4386,-2210,4387,-2210,4388,-2211xm3640,-2211l3640,-2211,3640,-2211,3640,-2211xm3640,-2211l3640,-2211,3640,-2211,3640,-2211xm4390,-2213l4379,-2213,4375,-2211,4376,-2211,4388,-2211,4390,-2213xm3636,-2213l3636,-2213,3637,-2213,3636,-2213xm4396,-2220l4388,-2220,4387,-2220,4387,-2220,4385,-2217,4385,-2217,4382,-2215,4382,-2215,4379,-2213,4379,-2213,4390,-2213,4393,-2216,4396,-2219,4396,-2220xm3633,-2215l3633,-2215,3633,-2215,3633,-2215xm4382,-2215l4382,-2215,4382,-2215,4382,-2215xm4385,-2217l4385,-2217,4385,-2217,4385,-2217xm3630,-2217l3630,-2217,3630,-2217,3630,-2217xm3630,-2217l3630,-2217,3630,-2217,3630,-2217xm3628,-2220l3628,-2220,3628,-2220,3628,-2220xm4388,-2220l4387,-2220,4387,-2220,4388,-2220xm4398,-2223l4390,-2223,4388,-2220,4388,-2220,4396,-2220,4398,-2223,4398,-2223xm3625,-2223l3625,-2223,3625,-2223,3625,-2223xm4400,-2226l4392,-2226,4392,-2226,4392,-2225,4390,-2223,4390,-2223,4398,-2223,4400,-2226xm3623,-2226l3623,-2225,3623,-2225,3623,-2226xm3623,-2226l3623,-2226,3623,-2226,3623,-2226xm4392,-2226l4392,-2226,4392,-2226,4392,-2226xm4401,-2229l4394,-2229,4394,-2229,4394,-2229,4392,-2226,4392,-2226,4400,-2226,4400,-2226,4401,-2229xm3622,-2229l3622,-2229,3622,-2229,3622,-2229xm4394,-2229l4394,-2229,4394,-2229,4394,-2229xm4403,-2236l4396,-2236,4395,-2232,4395,-2232,4394,-2229,4394,-2229,4401,-2229,4402,-2230,4403,-2234,4403,-2236xm3620,-2232l3620,-2232,3620,-2232,3620,-2232xm4395,-2232l4395,-2232,4395,-2232,4395,-2232xm3619,-2236l3619,-2236,3619,-2236,3619,-2236xm3619,-2236l3619,-2236,3619,-2236,3619,-2236xm4404,-2239l4397,-2239,4396,-2236,4396,-2236,4403,-2236,4404,-2239,4404,-2239xm3619,-2239l3619,-2239,3619,-2239,3619,-2239xm4404,-2402l4397,-2402,4397,-2243,4397,-2239,4397,-2239,4404,-2239,4404,-2402xm4397,-2243l4397,-2243,4397,-2243,4397,-2243xm3618,-2402l3618,-2402,3618,-2402,3618,-2402xm4403,-2409l4396,-2409,4396,-2409,4396,-2409,4397,-2405,4397,-2402,4397,-2402,4404,-2402,4404,-2406,4403,-2409xm3619,-2406l3619,-2405,3619,-2405,3619,-2406xm4397,-2406l4397,-2405,4397,-2405,4397,-2406xm4396,-2409l4396,-2409,4396,-2409,4396,-2409xm4402,-2413l4395,-2413,4396,-2409,4396,-2409,4403,-2409,4403,-2410,4402,-2413xm3620,-2413l3620,-2413,3620,-2412,3620,-2413xm4401,-2416l4394,-2416,4394,-2416,4394,-2416,4395,-2412,4395,-2413,4402,-2413,4402,-2415,4401,-2416xm4394,-2416l4394,-2416,4394,-2416,4394,-2416xm3622,-2416l3622,-2416,3622,-2416,3622,-2416xm4400,-2419l4392,-2419,4392,-2419,4392,-2419,4394,-2416,4394,-2416,4401,-2416,4400,-2418,4400,-2419xm3623,-2419l3623,-2419,3623,-2419,3623,-2419xm4392,-2419l4392,-2419,4392,-2419,4392,-2419xm4394,-2428l4385,-2428,4385,-2427,4385,-2427,4388,-2425,4388,-2425,4390,-2422,4390,-2422,4392,-2419,4392,-2419,4400,-2419,4398,-2422,4396,-2426,4394,-2428xm3625,-2422l3625,-2422,3625,-2422,3625,-2422xm4390,-2422l4390,-2422,4390,-2422,4390,-2422xm3628,-2425l3628,-2425,3628,-2425,3628,-2425xm4387,-2425l4388,-2425,4388,-2425,4387,-2425xm4385,-2428l4385,-2427,4385,-2427,4385,-2428xm4392,-2430l4382,-2430,4385,-2428,4385,-2428,4394,-2428,4393,-2429,4392,-2430xm3633,-2430l3633,-2430,3633,-2430,3633,-2430xm4388,-2434l4375,-2434,4379,-2432,4379,-2432,4382,-2430,4382,-2430,4392,-2430,4390,-2432,4388,-2434xm3637,-2432l3636,-2432,3636,-2432,3637,-2432xm4379,-2432l4379,-2432,4379,-2432,4379,-2432xm3640,-2434l3640,-2434,3640,-2434,3640,-2434xm4384,-2437l4368,-2437,4372,-2435,4372,-2435,4376,-2434,4375,-2434,4388,-2434,4387,-2435,4386,-2435,4372,-2435,4372,-2435,4386,-2435,4384,-2437xm3643,-2435l3643,-2435,3643,-2435,3643,-2435xm3647,-2437l3647,-2437,3647,-2436,3647,-2437xm4381,-2438l4356,-2438,4360,-2438,4360,-2438,4364,-2437,4364,-2437,4368,-2436,4368,-2437,4384,-2437,4383,-2437,4381,-2438xe" filled="true" fillcolor="#649c3e" stroked="false">
              <v:path arrowok="t"/>
              <v:fill type="solid"/>
            </v:shape>
            <v:shape style="position:absolute;left:3375;top:-2144;width:5988;height:298" coordorigin="3375,-2143" coordsize="5988,298" path="m9329,-2143l3409,-2143,3396,-2141,3385,-2135,3378,-2125,3375,-2114,3375,-1876,3378,-1864,3385,-1855,3396,-1849,3409,-1846,9329,-1846,9342,-1849,9353,-1855,9360,-1864,9363,-1876,9363,-2114,9360,-2125,9353,-2135,9342,-2141,9329,-2143xe" filled="true" fillcolor="#ffffff" stroked="false">
              <v:path arrowok="t"/>
              <v:fill type="solid"/>
            </v:shape>
            <v:shape style="position:absolute;left:3372;top:-2147;width:5995;height:304" coordorigin="3372,-2147" coordsize="5995,304" path="m9330,-2147l3409,-2147,3405,-2147,3401,-2146,3394,-2144,3388,-2141,3383,-2137,3378,-2132,3375,-2127,3373,-2120,3372,-2117,3372,-1873,3373,-1869,3375,-1863,3378,-1858,3383,-1853,3388,-1849,3394,-1846,3401,-1844,3405,-1843,3409,-1843,9330,-1843,9333,-1843,9337,-1844,9344,-1846,9350,-1849,9351,-1849,3409,-1849,3407,-1850,3406,-1850,3404,-1850,3403,-1850,3397,-1852,3397,-1852,3393,-1854,3392,-1854,3392,-1854,3392,-1854,3388,-1857,3388,-1857,3388,-1857,3388,-1857,3384,-1861,3384,-1861,3384,-1861,3384,-1861,3382,-1865,3382,-1865,3381,-1866,3381,-1866,3380,-1870,3380,-1870,3379,-1873,3379,-1876,3379,-2114,3379,-2116,3380,-2119,3380,-2119,3381,-2124,3381,-2124,3381,-2124,3382,-2124,3384,-2128,3384,-2128,3384,-2129,3384,-2129,3388,-2132,3388,-2132,3388,-2133,3388,-2133,3392,-2136,3392,-2136,3392,-2136,3393,-2136,3397,-2138,3397,-2138,3398,-2138,3398,-2138,3403,-2140,3403,-2140,3403,-2140,3404,-2140,3406,-2140,3407,-2140,3409,-2140,9351,-2140,9350,-2141,9344,-2144,9337,-2146,9333,-2147,9330,-2147xm9333,-1850l9329,-1849,9351,-1849,9351,-1850,9332,-1850,9333,-1850xm3405,-1850l3406,-1850,3407,-1850,3405,-1850xm9335,-1850l9332,-1850,9351,-1850,9352,-1850,9335,-1850,9335,-1850xm3403,-1850l3403,-1850,3404,-1850,3403,-1850xm9352,-1850l9336,-1850,9335,-1850,9352,-1850,9352,-1850xm9354,-1852l9341,-1852,9335,-1850,9336,-1850,9352,-1850,9354,-1852xm3403,-1850l3403,-1850,3403,-1850,3403,-1850xm3397,-1851l3398,-1851,3398,-1851,3397,-1851xm9346,-1854l9341,-1851,9341,-1852,9354,-1852,9356,-1853,9357,-1854,9346,-1854,9346,-1854xm3397,-1852l3397,-1852,3397,-1851,3397,-1852xm3392,-1854l3392,-1854,3392,-1854,3392,-1854xm3392,-1854l3392,-1854,3393,-1854,3392,-1854xm9346,-1854l9346,-1854,9346,-1854,9346,-1854xm9357,-1854l9346,-1854,9346,-1854,9357,-1854,9357,-1854xm3392,-1854l3392,-1854,3392,-1854,3392,-1854xm9360,-1857l9351,-1857,9350,-1857,9350,-1857,9346,-1854,9346,-1854,9357,-1854,9360,-1857xm3388,-1857l3388,-1857,3388,-1857,3388,-1857xm9350,-1857l9350,-1857,9350,-1857,9350,-1857xm3388,-1857l3388,-1857,3388,-1857,3388,-1857xm9362,-1861l9354,-1861,9354,-1861,9354,-1861,9350,-1857,9351,-1857,9360,-1857,9362,-1861xm3384,-1861l3384,-1861,3384,-1861,3384,-1861xm3384,-1861l3384,-1861,3384,-1861,3384,-1861xm9354,-1861l9354,-1861,9354,-1861,9354,-1861xm9354,-1861l9354,-1861,9354,-1861,9354,-1861xm3384,-1861l3384,-1861,3384,-1861,3384,-1861xm9364,-1866l9357,-1866,9357,-1865,9356,-1865,9354,-1861,9354,-1861,9362,-1861,9363,-1863,9364,-1866xm3381,-1866l3382,-1865,3381,-1866,3381,-1866xm3381,-1866l3382,-1865,3382,-1865,3381,-1866xm9357,-1866l9356,-1865,9357,-1865,9357,-1866xm9357,-1866l9357,-1866,9357,-1865,9357,-1866xm9366,-2114l9359,-2114,9359,-1876,9359,-1873,9359,-1873,9358,-1870,9358,-1870,9357,-1866,9357,-1866,9364,-1866,9366,-1869,9366,-1873,9366,-2114xm3381,-1866l3381,-1866,3381,-1866,3381,-1866xm3380,-1871l3380,-1870,3380,-1870,3380,-1871xm9359,-1871l9358,-1870,9358,-1870,9359,-1871xm3380,-1871l3380,-1871,3380,-1871,3380,-1871xm3379,-1873l3379,-1873,3379,-1873,3379,-1873xm9359,-1873l9359,-1873,9359,-1873,9359,-1873xm3379,-1873l3379,-1873,3379,-1873,3379,-1873xm9359,-1876l9359,-1876,9359,-1876,9359,-1876xm3379,-2114l3379,-2114,3379,-2114,3379,-2114xm9366,-2117l9359,-2117,9359,-2114,9359,-2114,9366,-2114,9366,-2117xm9366,-2119l9358,-2119,9359,-2119,9359,-2119,9359,-2116,9359,-2117,9366,-2117,9366,-2117,9366,-2119xm3380,-2119l3380,-2119,3380,-2119,3380,-2119xm9359,-2119l9359,-2119,9359,-2119,9359,-2119xm9364,-2124l9357,-2124,9357,-2124,9357,-2124,9359,-2119,9358,-2119,9366,-2119,9366,-2120,9364,-2124xm3380,-2119l3380,-2119,3380,-2119,3380,-2119xm3382,-2124l3381,-2124,3381,-2124,3382,-2124xm3381,-2124l3381,-2124,3381,-2124,3381,-2124xm9357,-2124l9357,-2124,9357,-2124,9357,-2124xm9357,-2124l9357,-2124,9357,-2124,9357,-2124xm3382,-2124l3382,-2124,3381,-2124,3382,-2124xm9362,-2129l9354,-2129,9354,-2128,9354,-2128,9357,-2124,9357,-2124,9364,-2124,9363,-2127,9362,-2129xm3384,-2129l3384,-2128,3384,-2129,3384,-2129xm3384,-2129l3384,-2128,3384,-2128,3384,-2129xm9354,-2129l9354,-2128,9354,-2128,9354,-2129xm9354,-2129l9354,-2129,9354,-2128,9354,-2129xm3384,-2129l3384,-2129,3384,-2129,3384,-2129xm9360,-2133l9350,-2133,9351,-2132,9351,-2132,9354,-2129,9354,-2129,9362,-2129,9360,-2132,9360,-2133xm3388,-2133l3388,-2132,3388,-2132,3388,-2133xm3388,-2132l3388,-2132,3388,-2132,3388,-2132xm9350,-2133l9350,-2132,9351,-2132,9350,-2133xm3388,-2133l3388,-2133,3388,-2132,3388,-2133xm9357,-2136l9346,-2136,9346,-2136,9346,-2136,9350,-2133,9350,-2133,9360,-2133,9357,-2136xm3392,-2136l3392,-2136,3392,-2136,3392,-2136xm3392,-2136l3392,-2136,3392,-2136,3392,-2136xm9346,-2136l9346,-2136,9346,-2136,9346,-2136xm9346,-2136l9346,-2136,9346,-2136,9346,-2136xm9354,-2138l9341,-2138,9341,-2138,9341,-2138,9346,-2136,9346,-2136,9357,-2136,9355,-2137,9354,-2138xm3393,-2136l3392,-2136,3392,-2136,3393,-2136xm3398,-2138l3397,-2138,3397,-2138,3398,-2138xm3397,-2138l3397,-2138,3397,-2138,3397,-2138xm9341,-2138l9341,-2138,9341,-2138,9341,-2138xm9341,-2138l9341,-2138,9341,-2138,9341,-2138xm3398,-2138l3398,-2138,3397,-2138,3398,-2138xm9352,-2140l9335,-2140,9336,-2140,9335,-2140,9341,-2138,9341,-2138,9354,-2138,9352,-2140xm9335,-2140l9335,-2140,9336,-2140,9335,-2140xm3404,-2140l3403,-2140,3403,-2140,3404,-2140xm9351,-2140l9332,-2140,9335,-2140,9335,-2140,9352,-2140,9351,-2140xm3407,-2140l3406,-2140,3405,-2140,3407,-2140xm9351,-2140l9329,-2140,9333,-2140,9332,-2140,9351,-2140,9351,-2140xe" filled="true" fillcolor="#649c3e" stroked="false">
              <v:path arrowok="t"/>
              <v:fill type="solid"/>
            </v:shape>
            <v:shape style="position:absolute;left:3614;top:-2114;width:786;height:239" type="#_x0000_t75" stroked="false">
              <v:imagedata r:id="rId302" o:title=""/>
            </v:shape>
            <v:shape style="position:absolute;left:3611;top:-2118;width:793;height:245" coordorigin="3611,-2117" coordsize="793,245" path="m4374,-2117l3641,-2117,3635,-2117,3630,-2115,3624,-2112,3620,-2109,3616,-2105,3613,-2101,3612,-2096,3611,-2090,3611,-1899,3612,-1894,3613,-1889,3616,-1884,3620,-1880,3624,-1877,3630,-1875,3635,-1873,3641,-1873,4374,-1873,4380,-1873,4386,-1875,4391,-1877,4393,-1879,3642,-1879,3638,-1879,3637,-1879,3637,-1879,3637,-1880,3633,-1880,3633,-1880,3632,-1881,3632,-1881,3628,-1883,3628,-1883,3626,-1885,3625,-1885,3625,-1885,3625,-1885,3623,-1888,3623,-1888,3622,-1888,3622,-1888,3620,-1891,3620,-1891,3620,-1892,3620,-1892,3619,-1895,3619,-1895,3618,-1899,3618,-1900,3618,-2090,3619,-2094,3619,-2094,3619,-2095,3619,-2095,3620,-2098,3620,-2098,3620,-2098,3620,-2098,3622,-2101,3622,-2101,3622,-2102,3625,-2104,3625,-2104,3625,-2105,3625,-2105,3628,-2107,3628,-2107,3629,-2107,3629,-2107,3632,-2109,3632,-2109,3633,-2109,3633,-2109,3637,-2110,3636,-2110,3637,-2110,3638,-2110,3642,-2111,4393,-2111,4391,-2112,4386,-2115,4380,-2117,4374,-2117xm4374,-1879l3641,-1879,3642,-1879,4373,-1879,4374,-1879xm4378,-1879l4373,-1879,4393,-1879,4394,-1879,4378,-1879,4378,-1879xm3636,-1880l3637,-1879,3637,-1879,3636,-1880xm3637,-1879l3637,-1879,3638,-1879,3637,-1879xm4379,-1880l4378,-1879,4378,-1879,4379,-1880xm4394,-1880l4379,-1880,4378,-1879,4394,-1879,4394,-1880xm4383,-1881l4378,-1879,4379,-1880,4394,-1880,4395,-1880,4382,-1880,4383,-1881xm3637,-1880l3636,-1880,3637,-1879,3637,-1880xm3632,-1881l3633,-1880,3632,-1881,3632,-1881xm3632,-1881l3633,-1880,3633,-1880,3632,-1881xm4383,-1881l4383,-1881,4382,-1880,4383,-1881xm4396,-1881l4383,-1881,4382,-1880,4395,-1880,4396,-1881xm3632,-1881l3632,-1881,3632,-1881,3632,-1881xm4397,-1883l4387,-1883,4383,-1881,4383,-1881,4396,-1881,4397,-1883xm3629,-1882l3629,-1882,3629,-1882,3629,-1882xm3628,-1883l3628,-1883,3629,-1882,3628,-1883xm4390,-1885l4387,-1882,4387,-1883,4397,-1883,4399,-1884,4399,-1885,4390,-1885,4390,-1885xm3625,-1885l3625,-1885,3625,-1885,3625,-1885xm3625,-1885l3625,-1885,3626,-1885,3625,-1885xm4390,-1885l4390,-1885,4390,-1885,4390,-1885xm4399,-1885l4390,-1885,4390,-1885,4399,-1885,4399,-1885xm3625,-1885l3625,-1885,3625,-1885,3625,-1885xm4401,-1888l4393,-1888,4393,-1888,4393,-1888,4390,-1885,4390,-1885,4399,-1885,4401,-1888xm3622,-1888l3623,-1888,3622,-1888,3622,-1888xm3622,-1888l3623,-1888,3623,-1888,3622,-1888xm4393,-1888l4393,-1888,4393,-1888,4393,-1888xm4393,-1888l4393,-1888,4393,-1888,4393,-1888xm3622,-1888l3622,-1888,3622,-1888,3622,-1888xm4403,-1892l4395,-1892,4395,-1891,4395,-1891,4393,-1888,4393,-1888,4401,-1888,4402,-1889,4403,-1892xm3620,-1892l3620,-1891,3620,-1892,3620,-1892xm3620,-1892l3620,-1891,3620,-1891,3620,-1892xm4395,-1892l4395,-1891,4395,-1891,4395,-1892xm4395,-1892l4395,-1892,4395,-1891,4395,-1892xm3620,-1892l3620,-1892,3620,-1892,3620,-1892xm4404,-1896l4396,-1896,4396,-1895,4396,-1895,4395,-1892,4395,-1892,4403,-1892,4404,-1894,4404,-1896xm3619,-1895l3619,-1895,3619,-1895,3619,-1895xm4396,-1895l4396,-1895,4396,-1895,4396,-1895xm3619,-1896l3619,-1896,3619,-1895,3619,-1896xm4404,-2090l4397,-2090,4397,-1900,4397,-1899,4396,-1895,4396,-1896,4404,-1896,4404,-1899,4404,-2090xm3618,-1900l3618,-1900,3618,-1900,3618,-1900xm4397,-1900l4397,-1900,4397,-1900,4397,-1900xm3618,-2090l3618,-2090,3618,-2090,3618,-2090xm4404,-2095l4396,-2095,4396,-2094,4396,-2094,4397,-2090,4397,-2090,4404,-2090,4404,-2095xm3619,-2094l3619,-2094,3619,-2094,3619,-2094xm4396,-2094l4396,-2094,4396,-2094,4396,-2094xm3619,-2095l3619,-2095,3619,-2094,3619,-2095xm4403,-2098l4395,-2098,4395,-2098,4395,-2098,4396,-2094,4396,-2095,4404,-2095,4404,-2096,4403,-2098xm3620,-2098l3620,-2098,3620,-2098,3620,-2098xm3620,-2098l3620,-2098,3620,-2098,3620,-2098xm4395,-2098l4395,-2098,4395,-2098,4395,-2098xm4395,-2098l4395,-2098,4395,-2098,4395,-2098xm3620,-2098l3620,-2098,3620,-2098,3620,-2098xm4401,-2102l4393,-2102,4393,-2101,4393,-2101,4395,-2098,4395,-2098,4403,-2098,4402,-2101,4401,-2102xm3623,-2102l3622,-2101,3622,-2102,3623,-2102xm3622,-2102l3622,-2101,3622,-2101,3622,-2102xm4393,-2102l4393,-2101,4393,-2101,4393,-2102xm4393,-2102l4393,-2102,4393,-2101,4393,-2102xm3623,-2102l3623,-2102,3622,-2102,3623,-2102xm4399,-2105l4390,-2105,4390,-2104,4390,-2104,4393,-2102,4393,-2102,4401,-2102,4399,-2105xm3625,-2105l3625,-2104,3625,-2105,3625,-2105xm3625,-2105l3625,-2104,3625,-2104,3625,-2105xm4390,-2105l4390,-2104,4390,-2104,4390,-2105xm4390,-2105l4390,-2105,4390,-2104,4390,-2105xm3625,-2105l3625,-2105,3625,-2105,3625,-2105xm4397,-2107l4386,-2107,4387,-2107,4387,-2107,4390,-2105,4390,-2105,4399,-2105,4399,-2105,4397,-2107xm3629,-2107l3628,-2107,3628,-2107,3629,-2107xm3628,-2107l3628,-2107,3628,-2107,3628,-2107xm4387,-2107l4387,-2107,4387,-2107,4387,-2107xm4386,-2107l4387,-2107,4387,-2107,4386,-2107xm3629,-2107l3629,-2107,3628,-2107,3629,-2107xm4395,-2109l4382,-2109,4383,-2109,4383,-2109,4387,-2107,4386,-2107,4397,-2107,4395,-2109xm3633,-2109l3632,-2109,3632,-2109,3633,-2109xm3632,-2109l3632,-2109,3632,-2109,3632,-2109xm4383,-2109l4383,-2109,4383,-2109,4383,-2109xm4382,-2109l4383,-2109,4383,-2109,4382,-2109xm4378,-2110l4383,-2109,4382,-2109,4395,-2109,4394,-2110,4379,-2110,4378,-2110xm3633,-2109l3633,-2109,3632,-2109,3633,-2109xm3637,-2110l3636,-2110,3637,-2110,3637,-2110xm4378,-2110l4379,-2110,4379,-2110,4378,-2110xm4394,-2110l4378,-2110,4379,-2110,4394,-2110,4394,-2110xm3638,-2110l3637,-2110,3637,-2110,3638,-2110xm4393,-2111l4373,-2111,4378,-2110,4378,-2110,4394,-2110,4393,-2111xe" filled="true" fillcolor="#649c3e" stroked="false">
              <v:path arrowok="t"/>
              <v:fill type="solid"/>
            </v:shape>
            <v:shape style="position:absolute;left:3375;top:-1816;width:5988;height:298" coordorigin="3375,-1816" coordsize="5988,298" path="m9329,-1816l3409,-1816,3396,-1814,3385,-1807,3378,-1798,3375,-1786,3375,-1548,3378,-1537,3385,-1527,3396,-1521,3409,-1519,9329,-1519,9342,-1521,9353,-1527,9360,-1537,9363,-1548,9363,-1786,9360,-1798,9353,-1807,9342,-1814,9329,-1816xe" filled="true" fillcolor="#ffffff" stroked="false">
              <v:path arrowok="t"/>
              <v:fill type="solid"/>
            </v:shape>
            <v:shape style="position:absolute;left:3372;top:-1820;width:5995;height:304" coordorigin="3372,-1819" coordsize="5995,304" path="m9330,-1819l3409,-1819,3405,-1819,3401,-1818,3394,-1817,3388,-1814,3383,-1809,3378,-1805,3375,-1799,3373,-1793,3372,-1790,3372,-1545,3373,-1542,3375,-1536,3378,-1530,3383,-1525,3388,-1521,3394,-1518,3401,-1516,3405,-1516,3409,-1515,9330,-1515,9333,-1516,9337,-1516,9344,-1518,9350,-1521,9351,-1522,3409,-1522,3407,-1522,3406,-1522,3404,-1522,3403,-1522,3397,-1524,3397,-1524,3393,-1526,3392,-1526,3392,-1526,3392,-1527,3388,-1529,3388,-1529,3388,-1530,3388,-1530,3384,-1533,3384,-1533,3384,-1534,3384,-1534,3382,-1538,3382,-1538,3381,-1538,3381,-1538,3380,-1543,3380,-1543,3379,-1546,3379,-1549,3379,-1786,3379,-1789,3380,-1791,3380,-1791,3381,-1796,3381,-1796,3381,-1797,3382,-1797,3384,-1801,3384,-1801,3384,-1801,3384,-1801,3388,-1805,3388,-1805,3388,-1805,3388,-1805,3392,-1808,3392,-1808,3392,-1808,3393,-1808,3397,-1810,3397,-1810,3398,-1811,3398,-1811,3403,-1812,3403,-1812,3403,-1812,3404,-1812,3406,-1813,3407,-1813,3409,-1813,9351,-1813,9350,-1814,9344,-1817,9337,-1818,9333,-1819,9330,-1819xm9333,-1522l9329,-1522,9351,-1522,9351,-1522,9332,-1522,9333,-1522xm3405,-1522l3406,-1522,3407,-1522,3405,-1522xm9335,-1522l9332,-1522,9351,-1522,9352,-1522,9335,-1522,9335,-1522xm3403,-1522l3403,-1522,3404,-1522,3403,-1522xm9352,-1522l9336,-1522,9335,-1522,9352,-1522,9352,-1522xm9354,-1524l9341,-1524,9335,-1522,9336,-1522,9352,-1522,9354,-1524xm3403,-1522l3403,-1522,3403,-1522,3403,-1522xm3397,-1524l3398,-1524,3398,-1524,3397,-1524xm9346,-1527l9341,-1524,9341,-1524,9354,-1524,9356,-1525,9357,-1526,9346,-1526,9346,-1527xm3397,-1524l3397,-1524,3397,-1524,3397,-1524xm3392,-1527l3392,-1526,3392,-1527,3392,-1527xm3392,-1526l3392,-1526,3393,-1526,3392,-1526xm9346,-1527l9346,-1526,9346,-1526,9346,-1527xm9357,-1527l9346,-1527,9346,-1526,9357,-1526,9357,-1527xm3392,-1527l3392,-1527,3392,-1526,3392,-1527xm9360,-1530l9351,-1530,9350,-1529,9350,-1529,9346,-1527,9346,-1527,9357,-1527,9360,-1530xm3388,-1530l3388,-1529,3388,-1529,3388,-1530xm9350,-1530l9350,-1529,9350,-1529,9350,-1530xm3388,-1530l3388,-1530,3388,-1530,3388,-1530xm9362,-1534l9354,-1534,9354,-1533,9354,-1533,9350,-1530,9351,-1530,9360,-1530,9362,-1534xm3384,-1534l3384,-1533,3384,-1534,3384,-1534xm3384,-1534l3384,-1533,3384,-1533,3384,-1534xm9354,-1534l9354,-1533,9354,-1533,9354,-1534xm9354,-1534l9354,-1534,9354,-1533,9354,-1534xm3384,-1534l3384,-1534,3384,-1534,3384,-1534xm9364,-1538l9357,-1538,9357,-1538,9356,-1538,9354,-1534,9354,-1534,9362,-1534,9363,-1536,9364,-1538xm3381,-1538l3382,-1538,3381,-1538,3381,-1538xm3381,-1538l3382,-1538,3382,-1538,3381,-1538xm9357,-1538l9356,-1538,9357,-1538,9357,-1538xm9357,-1538l9357,-1538,9357,-1538,9357,-1538xm9366,-1786l9359,-1786,9359,-1548,9359,-1546,9359,-1545,9358,-1543,9358,-1543,9357,-1538,9357,-1538,9364,-1538,9366,-1542,9366,-1545,9366,-1786xm3381,-1538l3381,-1538,3381,-1538,3381,-1538xm3380,-1543l3380,-1543,3380,-1543,3380,-1543xm9359,-1543l9358,-1543,9358,-1543,9359,-1543xm3380,-1543l3380,-1543,3380,-1543,3380,-1543xm3379,-1546l3379,-1546,3379,-1546,3379,-1546xm9359,-1546l9359,-1546,9359,-1546,9359,-1546xm3379,-1546l3379,-1546,3379,-1546,3379,-1546xm9359,-1549l9359,-1548,9359,-1548,9359,-1549xm3379,-1786l3379,-1786,3379,-1786,3379,-1786xm9366,-1789l9359,-1789,9359,-1786,9359,-1786,9366,-1786,9366,-1789xm9366,-1792l9358,-1792,9359,-1791,9359,-1791,9359,-1789,9359,-1789,9366,-1789,9366,-1790,9366,-1792xm3380,-1791l3380,-1791,3380,-1791,3380,-1791xm9359,-1791l9359,-1791,9359,-1791,9359,-1791xm9364,-1797l9357,-1797,9357,-1796,9357,-1796,9359,-1791,9358,-1792,9366,-1792,9366,-1793,9364,-1797xm3380,-1792l3380,-1792,3380,-1791,3380,-1792xm3382,-1797l3381,-1796,3381,-1797,3382,-1797xm3381,-1796l3381,-1796,3381,-1796,3381,-1796xm9357,-1797l9357,-1796,9357,-1796,9357,-1797xm9357,-1797l9357,-1796,9357,-1796,9357,-1797xm3382,-1797l3382,-1797,3381,-1796,3382,-1797xm9362,-1801l9354,-1801,9354,-1801,9354,-1801,9357,-1797,9357,-1797,9364,-1797,9363,-1799,9362,-1801xm3384,-1801l3384,-1801,3384,-1801,3384,-1801xm3384,-1801l3384,-1801,3384,-1801,3384,-1801xm9354,-1801l9354,-1801,9354,-1801,9354,-1801xm9354,-1801l9354,-1801,9354,-1801,9354,-1801xm3384,-1801l3384,-1801,3384,-1801,3384,-1801xm9360,-1805l9350,-1805,9351,-1805,9351,-1805,9354,-1801,9354,-1801,9362,-1801,9360,-1805,9360,-1805xm3388,-1805l3388,-1805,3388,-1805,3388,-1805xm3388,-1805l3388,-1805,3388,-1805,3388,-1805xm9350,-1805l9350,-1805,9351,-1805,9350,-1805xm3388,-1805l3388,-1805,3388,-1805,3388,-1805xm9357,-1808l9346,-1808,9346,-1808,9346,-1808,9350,-1805,9350,-1805,9360,-1805,9357,-1808xm3392,-1808l3392,-1808,3392,-1808,3392,-1808xm3392,-1808l3392,-1808,3392,-1808,3392,-1808xm9346,-1808l9346,-1808,9346,-1808,9346,-1808xm9346,-1808l9346,-1808,9346,-1808,9346,-1808xm9354,-1811l9341,-1811,9341,-1810,9341,-1810,9346,-1808,9346,-1808,9357,-1808,9355,-1809,9354,-1811xm3393,-1808l3392,-1808,3392,-1808,3393,-1808xm3398,-1811l3397,-1810,3397,-1811,3398,-1811xm3397,-1811l3397,-1810,3397,-1810,3397,-1811xm9341,-1811l9341,-1810,9341,-1810,9341,-1811xm9341,-1811l9341,-1811,9341,-1810,9341,-1811xm3398,-1811l3398,-1811,3397,-1811,3398,-1811xm9352,-1812l9335,-1812,9336,-1812,9335,-1812,9341,-1811,9341,-1811,9354,-1811,9352,-1812xm9335,-1812l9335,-1812,9336,-1812,9335,-1812xm3404,-1812l3403,-1812,3403,-1812,3404,-1812xm9351,-1813l9332,-1813,9335,-1812,9335,-1812,9352,-1812,9351,-1813xm3407,-1813l3406,-1813,3405,-1812,3407,-1813xm9351,-1813l9329,-1813,9333,-1812,9332,-1813,9351,-1813,9351,-1813xe" filled="true" fillcolor="#649c3e" stroked="false">
              <v:path arrowok="t"/>
              <v:fill type="solid"/>
            </v:shape>
            <v:shape style="position:absolute;left:3614;top:-1787;width:786;height:239" type="#_x0000_t75" stroked="false">
              <v:imagedata r:id="rId303" o:title=""/>
            </v:shape>
            <v:shape style="position:absolute;left:3611;top:-1790;width:793;height:245" coordorigin="3611,-1790" coordsize="793,245" path="m4374,-1790l3641,-1790,3635,-1789,3630,-1787,3624,-1785,3620,-1782,3616,-1778,3613,-1773,3612,-1768,3611,-1763,3611,-1572,3612,-1567,3613,-1561,3616,-1557,3620,-1553,3624,-1550,3630,-1547,3635,-1546,3641,-1545,4374,-1545,4380,-1546,4386,-1547,4391,-1550,4393,-1551,3642,-1551,3638,-1552,3637,-1552,3637,-1552,3637,-1552,3633,-1553,3633,-1553,3632,-1553,3632,-1553,3628,-1555,3628,-1555,3626,-1557,3625,-1557,3625,-1558,3625,-1558,3623,-1560,3623,-1560,3622,-1560,3622,-1561,3620,-1564,3620,-1564,3620,-1564,3620,-1564,3619,-1568,3619,-1568,3618,-1572,3618,-1572,3618,-1763,3619,-1766,3619,-1766,3619,-1767,3619,-1767,3620,-1770,3620,-1770,3620,-1771,3620,-1771,3622,-1774,3622,-1774,3622,-1774,3625,-1777,3625,-1777,3625,-1777,3625,-1777,3628,-1779,3628,-1779,3629,-1780,3629,-1780,3632,-1781,3632,-1781,3633,-1782,3633,-1782,3637,-1783,3636,-1783,3637,-1783,3638,-1783,3642,-1783,4393,-1783,4391,-1785,4386,-1787,4380,-1789,4374,-1790xm4374,-1551l3641,-1551,3642,-1551,4373,-1551,4374,-1551xm4378,-1552l4373,-1551,4393,-1551,4394,-1552,4378,-1552,4378,-1552xm3636,-1552l3637,-1552,3637,-1552,3636,-1552xm3637,-1552l3637,-1552,3638,-1552,3637,-1552xm4379,-1552l4378,-1552,4378,-1552,4379,-1552xm4394,-1552l4379,-1552,4378,-1552,4394,-1552,4394,-1552xm4383,-1553l4378,-1552,4379,-1552,4394,-1552,4395,-1553,4382,-1553,4383,-1553xm3637,-1552l3636,-1552,3637,-1552,3637,-1552xm3632,-1553l3633,-1553,3632,-1553,3632,-1553xm3632,-1553l3633,-1553,3633,-1553,3632,-1553xm4383,-1553l4383,-1553,4382,-1553,4383,-1553xm4396,-1553l4383,-1553,4382,-1553,4395,-1553,4396,-1553xm3632,-1553l3632,-1553,3632,-1553,3632,-1553xm4397,-1555l4387,-1555,4383,-1553,4383,-1553,4396,-1553,4397,-1555xm3629,-1555l3629,-1555,3629,-1555,3629,-1555xm3628,-1555l3628,-1555,3629,-1555,3628,-1555xm4390,-1558l4387,-1555,4387,-1555,4397,-1555,4399,-1557,4399,-1557,4390,-1557,4390,-1558xm3625,-1558l3625,-1557,3625,-1558,3625,-1558xm3625,-1558l3625,-1557,3626,-1557,3625,-1558xm4390,-1558l4390,-1558,4390,-1557,4390,-1558xm4399,-1558l4390,-1558,4390,-1557,4399,-1557,4399,-1558xm3625,-1558l3625,-1558,3625,-1558,3625,-1558xm4401,-1561l4393,-1561,4393,-1560,4393,-1560,4390,-1558,4390,-1558,4399,-1558,4401,-1561xm3622,-1561l3623,-1560,3622,-1560,3622,-1561xm3622,-1560l3623,-1560,3623,-1560,3622,-1560xm4393,-1560l4393,-1560,4393,-1560,4393,-1560xm4393,-1561l4393,-1560,4393,-1560,4393,-1561xm3622,-1561l3622,-1561,3622,-1560,3622,-1561xm4403,-1564l4395,-1564,4395,-1564,4395,-1564,4393,-1560,4393,-1561,4401,-1561,4402,-1561,4403,-1564xm3620,-1564l3620,-1564,3620,-1564,3620,-1564xm3620,-1564l3620,-1564,3620,-1564,3620,-1564xm4395,-1564l4395,-1564,4395,-1564,4395,-1564xm4395,-1564l4395,-1564,4395,-1564,4395,-1564xm3620,-1564l3620,-1564,3620,-1564,3620,-1564xm4404,-1568l4396,-1568,4396,-1568,4396,-1568,4395,-1564,4395,-1564,4403,-1564,4404,-1567,4404,-1568xm3619,-1568l3619,-1568,3619,-1568,3619,-1568xm4396,-1568l4396,-1568,4396,-1568,4396,-1568xm3619,-1568l3619,-1568,3619,-1568,3619,-1568xm4404,-1763l4397,-1763,4397,-1572,4397,-1572,4396,-1568,4396,-1568,4404,-1568,4404,-1572,4404,-1763xm3618,-1572l3618,-1572,3618,-1572,3618,-1572xm4397,-1572l4397,-1572,4397,-1572,4397,-1572xm3618,-1763l3618,-1763,3618,-1762,3618,-1763xm4404,-1767l4396,-1767,4396,-1766,4396,-1766,4397,-1762,4397,-1763,4404,-1763,4404,-1767xm3619,-1767l3619,-1766,3619,-1766,3619,-1767xm4396,-1767l4396,-1766,4396,-1766,4396,-1767xm3619,-1767l3619,-1767,3619,-1767,3619,-1767xm4403,-1771l4395,-1771,4395,-1770,4395,-1770,4396,-1767,4396,-1767,4404,-1767,4404,-1768,4403,-1771xm3620,-1771l3620,-1770,3620,-1770,3620,-1771xm3620,-1770l3620,-1770,3620,-1770,3620,-1770xm4395,-1770l4395,-1770,4395,-1770,4395,-1770xm4395,-1771l4395,-1770,4395,-1770,4395,-1771xm3620,-1771l3620,-1771,3620,-1770,3620,-1771xm4401,-1774l4393,-1774,4393,-1774,4393,-1774,4395,-1770,4395,-1771,4403,-1771,4402,-1773,4401,-1774xm3623,-1774l3622,-1774,3622,-1774,3623,-1774xm3622,-1774l3622,-1774,3622,-1774,3622,-1774xm4393,-1774l4393,-1774,4393,-1774,4393,-1774xm4393,-1774l4393,-1774,4393,-1774,4393,-1774xm3623,-1774l3623,-1774,3622,-1774,3623,-1774xm4399,-1777l4390,-1777,4390,-1777,4390,-1777,4393,-1774,4393,-1774,4401,-1774,4399,-1777xm3625,-1777l3625,-1777,3625,-1777,3625,-1777xm3625,-1777l3625,-1777,3625,-1777,3625,-1777xm4390,-1777l4390,-1777,4390,-1777,4390,-1777xm4390,-1777l4390,-1777,4390,-1777,4390,-1777xm3625,-1777l3625,-1777,3625,-1777,3625,-1777xm4397,-1780l4386,-1780,4387,-1779,4387,-1779,4390,-1777,4390,-1777,4399,-1777,4399,-1778,4397,-1780xm3629,-1780l3628,-1779,3628,-1779,3629,-1780xm3628,-1779l3628,-1779,3628,-1779,3628,-1779xm4387,-1779l4387,-1779,4387,-1779,4387,-1779xm4386,-1780l4387,-1779,4387,-1779,4386,-1780xm3629,-1780l3629,-1780,3628,-1779,3629,-1780xm4395,-1782l4382,-1782,4383,-1781,4383,-1781,4387,-1779,4386,-1780,4397,-1780,4395,-1782xm3633,-1782l3632,-1781,3632,-1781,3633,-1782xm3632,-1781l3632,-1781,3632,-1781,3632,-1781xm4383,-1781l4383,-1781,4383,-1781,4383,-1781xm4382,-1782l4383,-1781,4383,-1781,4382,-1782xm4378,-1783l4383,-1781,4382,-1782,4395,-1782,4394,-1783,4379,-1783,4378,-1783xm3633,-1782l3633,-1782,3632,-1781,3633,-1782xm3637,-1783l3636,-1783,3637,-1783,3637,-1783xm4378,-1783l4379,-1783,4379,-1783,4378,-1783xm4394,-1783l4378,-1783,4379,-1783,4394,-1783,4394,-1783xm3638,-1783l3637,-1783,3637,-1783,3638,-1783xm4393,-1783l4373,-1783,4378,-1783,4378,-1783,4394,-1783,4393,-1783xe" filled="true" fillcolor="#649c3e" stroked="false">
              <v:path arrowok="t"/>
              <v:fill type="solid"/>
            </v:shape>
            <v:shape style="position:absolute;left:3375;top:-1490;width:5988;height:298" coordorigin="3375,-1489" coordsize="5988,298" path="m9329,-1489l3409,-1489,3396,-1487,3385,-1480,3378,-1471,3375,-1459,3375,-1221,3378,-1209,3385,-1200,3396,-1193,3409,-1191,9329,-1191,9363,-1459,9360,-1471,9353,-1480,9342,-1487,9329,-1489xe" filled="true" fillcolor="#ffffff" stroked="false">
              <v:path arrowok="t"/>
              <v:fill type="solid"/>
            </v:shape>
            <v:shape style="position:absolute;left:3372;top:-1493;width:5995;height:305" coordorigin="3372,-1492" coordsize="5995,305" path="m9329,-1492l3409,-1492,3405,-1492,3401,-1492,3394,-1490,3388,-1487,3383,-1483,3378,-1478,3375,-1472,3373,-1466,3372,-1463,3372,-1218,3373,-1214,3375,-1208,3378,-1202,3383,-1198,3388,-1194,3394,-1190,3401,-1189,3405,-1188,3409,-1188,9329,-1188,9333,-1188,9337,-1189,9344,-1190,9350,-1194,9351,-1194,3409,-1194,3407,-1194,3406,-1194,3404,-1195,3403,-1195,3403,-1195,3403,-1195,3397,-1197,3397,-1197,3393,-1199,3392,-1199,3392,-1199,3392,-1199,3388,-1202,3388,-1202,3388,-1202,3388,-1202,3384,-1206,3384,-1206,3384,-1206,3384,-1206,3382,-1210,3382,-1210,3381,-1211,3381,-1211,3380,-1215,3380,-1215,3379,-1218,3379,-1221,3379,-1459,3379,-1462,3380,-1464,3380,-1464,3381,-1469,3381,-1469,3382,-1470,3382,-1470,3384,-1474,3384,-1474,3384,-1474,3388,-1478,3388,-1478,3388,-1478,3388,-1478,3392,-1481,3392,-1481,3392,-1481,3393,-1481,3397,-1484,3397,-1484,3398,-1484,3398,-1484,3403,-1485,3403,-1485,3403,-1485,3404,-1485,3406,-1486,3407,-1486,3409,-1486,9351,-1486,9350,-1487,9344,-1490,9337,-1492,9333,-1492,9329,-1492xm9333,-1194l9329,-1194,9351,-1194,9351,-1194,9332,-1194,9333,-1194xm3406,-1194l3406,-1194,3407,-1194,3406,-1194xm9335,-1195l9332,-1194,9351,-1194,9352,-1195,9335,-1195,9335,-1195xm3403,-1195l3403,-1195,3404,-1195,3403,-1195xm9352,-1195l9335,-1195,9335,-1195,9352,-1195,9352,-1195xm3403,-1195l3403,-1195,3403,-1195,3403,-1195xm9354,-1197l9341,-1197,9335,-1195,9335,-1195,9352,-1195,9354,-1197xm3398,-1196l3398,-1196,3398,-1196,3398,-1196xm3397,-1197l3397,-1197,3398,-1196,3397,-1197xm9357,-1199l9346,-1199,9346,-1199,9346,-1199,9341,-1196,9341,-1197,9354,-1197,9355,-1198,9357,-1199xm3392,-1199l3392,-1199,3392,-1199,3392,-1199xm3392,-1199l3392,-1199,3393,-1199,3392,-1199xm9346,-1199l9346,-1199,9346,-1199,9346,-1199xm9346,-1199l9346,-1199,9346,-1199,9346,-1199xm9360,-1202l9351,-1202,9350,-1202,9350,-1202,9346,-1199,9346,-1199,9357,-1199,9360,-1202xm3392,-1199l3392,-1199,3392,-1199,3392,-1199xm3388,-1202l3388,-1202,3388,-1202,3388,-1202xm3388,-1202l3388,-1202,3388,-1202,3388,-1202xm9350,-1202l9350,-1202,9350,-1202,9350,-1202xm9351,-1202l9350,-1202,9350,-1202,9351,-1202xm3388,-1202l3388,-1202,3388,-1202,3388,-1202xm9362,-1206l9354,-1206,9354,-1206,9354,-1206,9350,-1202,9351,-1202,9360,-1202,9362,-1206xm9354,-1206l9354,-1206,9354,-1206,9354,-1206xm9354,-1206l9354,-1206,9354,-1206,9354,-1206xm3384,-1206l3384,-1206,3384,-1206,3384,-1206xm3384,-1206l3384,-1206,3384,-1206,3384,-1206xm9364,-1211l9357,-1211,9357,-1210,9356,-1210,9354,-1206,9354,-1206,9362,-1206,9363,-1208,9364,-1211xm3384,-1206l3384,-1206,3384,-1206,3384,-1206xm9357,-1211l9356,-1210,9357,-1210,9357,-1211xm9357,-1211l9357,-1211,9357,-1210,9357,-1211xm3381,-1211l3382,-1210,3381,-1211,3381,-1211xm3381,-1211l3382,-1210,3382,-1210,3381,-1211xm9366,-1216l9359,-1216,9358,-1215,9358,-1215,9357,-1211,9357,-1211,9364,-1211,9366,-1214,9366,-1216xm3381,-1211l3381,-1211,3381,-1211,3381,-1211xm9359,-1216l9358,-1215,9358,-1215,9359,-1216xm3380,-1216l3380,-1215,3380,-1215,3380,-1216xm3380,-1216l3380,-1216,3380,-1216,3380,-1216xm9366,-1459l9359,-1459,9359,-1221,9359,-1218,9359,-1218,9359,-1216,9359,-1216,9366,-1216,9366,-1218,9366,-1459xm3379,-1218l3379,-1218,3379,-1218,3379,-1218xm9359,-1218l9359,-1218,9359,-1218,9359,-1218xm3379,-1218l3379,-1218,3379,-1218,3379,-1218xm9359,-1221l9359,-1221,9359,-1221,9359,-1221xm3379,-1459l3379,-1459,3379,-1459,3379,-1459xm9366,-1462l9359,-1462,9359,-1459,9359,-1459,9366,-1459,9366,-1462xm9366,-1465l9358,-1465,9359,-1462,9359,-1462,9366,-1462,9366,-1463,9366,-1465xm3380,-1465l3380,-1464,3380,-1464,3380,-1465xm9364,-1470l9357,-1470,9357,-1469,9357,-1469,9359,-1464,9358,-1465,9366,-1465,9366,-1466,9364,-1470xm3380,-1465l3380,-1465,3380,-1465,3380,-1465xm3382,-1470l3381,-1469,3381,-1470,3382,-1470xm3381,-1470l3381,-1469,3381,-1469,3381,-1470xm9357,-1470l9357,-1469,9357,-1469,9357,-1470xm9357,-1470l9357,-1470,9357,-1469,9357,-1470xm3382,-1470l3382,-1470,3381,-1470,3382,-1470xm9362,-1474l9354,-1474,9354,-1474,9354,-1474,9357,-1470,9357,-1470,9364,-1470,9363,-1472,9362,-1474xm3384,-1474l3384,-1474,3384,-1474,3384,-1474xm3384,-1474l3384,-1474,3384,-1474,3384,-1474xm9354,-1474l9354,-1474,9354,-1474,9354,-1474xm9354,-1474l9354,-1474,9354,-1474,9354,-1474xm9359,-1478l9350,-1478,9351,-1478,9351,-1478,9354,-1474,9354,-1474,9362,-1474,9360,-1478,9359,-1478xm3384,-1474l3384,-1474,3384,-1474,3384,-1474xm3388,-1478l3388,-1478,3388,-1478,3388,-1478xm3388,-1478l3388,-1478,3388,-1478,3388,-1478xm9350,-1478l9351,-1478,9351,-1478,9350,-1478xm9350,-1478l9350,-1478,9351,-1478,9350,-1478xm9357,-1481l9346,-1481,9346,-1481,9346,-1481,9350,-1478,9350,-1478,9359,-1478,9357,-1481xm3388,-1478l3388,-1478,3388,-1478,3388,-1478xm3392,-1481l3392,-1481,3392,-1481,3392,-1481xm3392,-1481l3392,-1481,3392,-1481,3392,-1481xm9346,-1481l9346,-1481,9346,-1481,9346,-1481xm9346,-1481l9346,-1481,9346,-1481,9346,-1481xm9354,-1484l9341,-1484,9341,-1484,9341,-1484,9346,-1481,9346,-1481,9357,-1481,9355,-1483,9354,-1484xm3393,-1481l3392,-1481,3392,-1481,3393,-1481xm3398,-1484l3397,-1484,3397,-1484,3398,-1484xm3397,-1484l3397,-1484,3397,-1484,3397,-1484xm9341,-1484l9341,-1484,9341,-1484,9341,-1484xm9341,-1484l9341,-1484,9341,-1484,9341,-1484xm3398,-1484l3398,-1484,3397,-1484,3398,-1484xm9352,-1485l9335,-1485,9336,-1485,9335,-1485,9341,-1484,9341,-1484,9354,-1484,9352,-1485xm9335,-1485l9335,-1485,9336,-1485,9335,-1485xm3404,-1485l3403,-1485,3403,-1485,3404,-1485xm9351,-1486l9332,-1486,9335,-1485,9335,-1485,9352,-1485,9351,-1486xm3407,-1486l3406,-1486,3406,-1486,3407,-1486xm9351,-1486l9329,-1486,9333,-1486,9332,-1486,9351,-1486,9351,-1486xe" filled="true" fillcolor="#649c3e" stroked="false">
              <v:path arrowok="t"/>
              <v:fill type="solid"/>
            </v:shape>
            <v:shape style="position:absolute;left:3614;top:-1459;width:786;height:239" type="#_x0000_t75" stroked="false">
              <v:imagedata r:id="rId304" o:title=""/>
            </v:shape>
            <v:shape style="position:absolute;left:3611;top:-1463;width:793;height:245" coordorigin="3611,-1462" coordsize="793,245" path="m4374,-1462l3641,-1462,3635,-1461,3630,-1460,3624,-1457,3620,-1454,3616,-1450,3613,-1445,3612,-1440,3611,-1435,3611,-1244,3612,-1239,3613,-1234,3616,-1229,3620,-1225,3624,-1222,3630,-1220,3635,-1218,3641,-1217,4374,-1217,4380,-1218,4386,-1220,4391,-1222,4393,-1224,3642,-1224,3638,-1224,3637,-1224,3637,-1224,3637,-1224,3633,-1225,3633,-1225,3632,-1226,3632,-1226,3628,-1228,3628,-1228,3626,-1230,3625,-1230,3625,-1230,3625,-1230,3623,-1233,3623,-1233,3622,-1233,3622,-1233,3620,-1236,3620,-1236,3620,-1237,3620,-1237,3619,-1240,3619,-1240,3618,-1244,3618,-1244,3618,-1435,3619,-1439,3619,-1439,3619,-1439,3619,-1439,3620,-1443,3620,-1443,3620,-1443,3620,-1443,3622,-1446,3622,-1446,3622,-1446,3625,-1449,3625,-1449,3625,-1450,3625,-1450,3628,-1452,3628,-1452,3629,-1452,3629,-1452,3632,-1454,3632,-1454,3633,-1454,3633,-1454,3637,-1455,3636,-1455,3637,-1455,3638,-1455,3642,-1456,4393,-1456,4391,-1457,4386,-1460,4380,-1461,4374,-1462xm4374,-1224l3641,-1224,3642,-1224,4373,-1224,4374,-1224xm4378,-1224l4373,-1224,4393,-1224,4394,-1224,4378,-1224,4378,-1224xm3636,-1224l3637,-1224,3637,-1224,3636,-1224xm3637,-1224l3637,-1224,3638,-1224,3637,-1224xm4379,-1224l4378,-1224,4378,-1224,4379,-1224xm4394,-1224l4379,-1224,4378,-1224,4394,-1224,4394,-1224xm4383,-1226l4378,-1224,4379,-1224,4394,-1224,4395,-1225,4382,-1225,4383,-1226xm3637,-1224l3636,-1224,3637,-1224,3637,-1224xm3632,-1226l3633,-1225,3632,-1226,3632,-1226xm3632,-1226l3633,-1225,3633,-1225,3632,-1226xm4383,-1226l4383,-1226,4382,-1225,4383,-1226xm4396,-1226l4383,-1226,4382,-1225,4395,-1225,4396,-1226xm3632,-1226l3632,-1226,3632,-1226,3632,-1226xm4397,-1228l4387,-1228,4383,-1226,4383,-1226,4396,-1226,4397,-1228xm3629,-1227l3629,-1227,3629,-1227,3629,-1227xm3628,-1228l3628,-1228,3629,-1227,3628,-1228xm4390,-1230l4387,-1227,4387,-1228,4397,-1228,4399,-1229,4399,-1230,4390,-1230,4390,-1230xm3625,-1230l3625,-1230,3625,-1230,3625,-1230xm3625,-1230l3625,-1230,3626,-1230,3625,-1230xm4390,-1230l4390,-1230,4390,-1230,4390,-1230xm4399,-1230l4390,-1230,4390,-1230,4399,-1230,4399,-1230xm3625,-1230l3625,-1230,3625,-1230,3625,-1230xm4401,-1233l4393,-1233,4393,-1233,4393,-1233,4390,-1230,4390,-1230,4399,-1230,4401,-1233xm3622,-1233l3623,-1233,3622,-1233,3622,-1233xm3622,-1233l3623,-1233,3623,-1233,3622,-1233xm4393,-1233l4393,-1233,4393,-1233,4393,-1233xm4393,-1233l4393,-1233,4393,-1233,4393,-1233xm3622,-1233l3622,-1233,3622,-1233,3622,-1233xm4403,-1237l4395,-1237,4395,-1236,4395,-1236,4393,-1233,4393,-1233,4401,-1233,4402,-1234,4403,-1237xm3620,-1237l3620,-1236,3620,-1237,3620,-1237xm3620,-1237l3620,-1236,3620,-1236,3620,-1237xm4395,-1237l4395,-1236,4395,-1236,4395,-1237xm4395,-1237l4395,-1237,4395,-1236,4395,-1237xm3620,-1237l3620,-1237,3620,-1237,3620,-1237xm4404,-1241l4396,-1241,4396,-1240,4396,-1240,4395,-1237,4395,-1237,4403,-1237,4404,-1239,4404,-1241xm3619,-1240l3619,-1240,3619,-1240,3619,-1240xm4396,-1240l4396,-1240,4396,-1240,4396,-1240xm3619,-1241l3619,-1241,3619,-1240,3619,-1241xm4404,-1435l4397,-1435,4397,-1244,4397,-1244,4396,-1240,4396,-1241,4404,-1241,4404,-1244,4404,-1435xm3618,-1245l3618,-1244,3618,-1244,3618,-1245xm4397,-1245l4397,-1244,4397,-1244,4397,-1245xm3618,-1435l3618,-1435,3618,-1435,3618,-1435xm4404,-1439l4396,-1439,4396,-1439,4396,-1439,4397,-1435,4397,-1435,4404,-1435,4404,-1439xm3619,-1439l3619,-1439,3619,-1439,3619,-1439xm4396,-1439l4396,-1439,4396,-1439,4396,-1439xm3619,-1439l3619,-1439,3619,-1439,3619,-1439xm4403,-1443l4395,-1443,4395,-1443,4395,-1443,4396,-1439,4396,-1439,4404,-1439,4404,-1440,4403,-1443xm3620,-1443l3620,-1443,3620,-1443,3620,-1443xm3620,-1443l3620,-1443,3620,-1443,3620,-1443xm4395,-1443l4395,-1443,4395,-1443,4395,-1443xm4395,-1443l4395,-1443,4395,-1443,4395,-1443xm3620,-1443l3620,-1443,3620,-1443,3620,-1443xm4401,-1447l4393,-1447,4393,-1446,4393,-1446,4395,-1443,4395,-1443,4403,-1443,4402,-1445,4401,-1447xm3623,-1447l3622,-1446,3622,-1446,3623,-1447xm3622,-1446l3622,-1446,3622,-1446,3622,-1446xm4393,-1446l4393,-1446,4393,-1446,4393,-1446xm4393,-1447l4393,-1446,4393,-1446,4393,-1447xm3623,-1447l3623,-1447,3622,-1446,3623,-1447xm4399,-1450l4390,-1450,4390,-1449,4390,-1449,4393,-1446,4393,-1447,4401,-1447,4399,-1450xm3625,-1450l3625,-1449,3625,-1450,3625,-1450xm3625,-1450l3625,-1449,3625,-1449,3625,-1450xm4390,-1450l4390,-1449,4390,-1449,4390,-1450xm4390,-1450l4390,-1450,4390,-1449,4390,-1450xm3625,-1450l3625,-1450,3625,-1450,3625,-1450xm4397,-1452l4386,-1452,4387,-1452,4387,-1452,4390,-1450,4390,-1450,4399,-1450,4399,-1450,4397,-1452xm3629,-1452l3628,-1452,3628,-1452,3629,-1452xm3628,-1452l3628,-1452,3628,-1452,3628,-1452xm4387,-1452l4387,-1452,4387,-1452,4387,-1452xm4386,-1452l4387,-1452,4387,-1452,4386,-1452xm3629,-1452l3629,-1452,3628,-1452,3629,-1452xm4395,-1454l4382,-1454,4383,-1454,4383,-1454,4387,-1452,4386,-1452,4397,-1452,4395,-1454xm3633,-1454l3632,-1454,3632,-1454,3633,-1454xm3632,-1454l3632,-1454,3632,-1454,3632,-1454xm4383,-1454l4383,-1454,4383,-1454,4383,-1454xm4382,-1454l4383,-1454,4383,-1454,4382,-1454xm4378,-1455l4383,-1454,4382,-1454,4395,-1454,4394,-1455,4379,-1455,4378,-1455xm3633,-1454l3633,-1454,3632,-1454,3633,-1454xm3637,-1455l3636,-1455,3637,-1455,3637,-1455xm4378,-1455l4379,-1455,4379,-1455,4378,-1455xm4394,-1455l4378,-1455,4379,-1455,4394,-1455,4394,-1455xm3638,-1455l3637,-1455,3637,-1455,3638,-1455xm4393,-1456l4373,-1456,4378,-1455,4378,-1455,4394,-1455,4393,-1456xe" filled="true" fillcolor="#649c3e" stroked="false">
              <v:path arrowok="t"/>
              <v:fill type="solid"/>
            </v:shape>
            <v:shape style="position:absolute;left:3375;top:-1162;width:5988;height:298" coordorigin="3375,-1162" coordsize="5988,298" path="m9329,-1162l3409,-1162,3396,-1159,3385,-1153,3378,-1143,3375,-1132,3375,-893,3378,-882,3385,-872,3396,-866,3409,-864,9329,-864,9363,-1132,9360,-1143,9353,-1153,9342,-1159,9329,-1162xe" filled="true" fillcolor="#ffffff" stroked="false">
              <v:path arrowok="t"/>
              <v:fill type="solid"/>
            </v:shape>
            <v:shape style="position:absolute;left:3372;top:-1165;width:5995;height:305" coordorigin="3372,-1165" coordsize="5995,305" path="m9329,-1165l3409,-1165,3405,-1165,3401,-1164,3394,-1162,3388,-1159,3383,-1155,3378,-1150,3375,-1145,3373,-1138,3372,-1135,3372,-890,3373,-887,3375,-880,3378,-875,3383,-870,3388,-866,3394,-863,3401,-861,3405,-860,3409,-860,9329,-860,9333,-860,9337,-861,9344,-863,9350,-866,9351,-867,3409,-867,3407,-867,3406,-867,3404,-867,3403,-867,3403,-867,3403,-867,3397,-869,3397,-869,3393,-871,3392,-871,3392,-871,3392,-871,3388,-874,3388,-874,3388,-875,3388,-875,3384,-878,3384,-878,3384,-878,3384,-879,3382,-883,3382,-883,3381,-883,3381,-883,3380,-888,3380,-888,3379,-890,3379,-893,3379,-1132,3379,-1134,3380,-1137,3380,-1137,3381,-1142,3381,-1142,3382,-1142,3382,-1142,3384,-1146,3384,-1146,3384,-1147,3388,-1150,3388,-1150,3388,-1151,3388,-1151,3392,-1154,3392,-1154,3392,-1154,3393,-1154,3397,-1156,3397,-1156,3398,-1156,3398,-1156,3403,-1158,3403,-1158,3403,-1158,3404,-1158,3406,-1158,3407,-1158,3409,-1158,9351,-1158,9350,-1159,9344,-1162,9337,-1164,9333,-1165,9329,-1165xm9333,-867l9329,-867,9351,-867,9351,-867,9332,-867,9333,-867xm3406,-867l3406,-867,3407,-867,3406,-867xm9335,-867l9332,-867,9351,-867,9352,-867,9335,-867,9335,-867xm3403,-867l3403,-867,3404,-867,3403,-867xm9352,-867l9335,-867,9335,-867,9352,-867,9352,-867xm3403,-867l3403,-867,3403,-867,3403,-867xm9354,-869l9341,-869,9335,-867,9335,-867,9352,-867,9354,-869xm3398,-869l3398,-869,3398,-869,3398,-869xm3397,-869l3397,-869,3398,-869,3397,-869xm9357,-871l9346,-871,9346,-871,9346,-871,9341,-869,9341,-869,9354,-869,9355,-870,9357,-871xm3392,-871l3392,-871,3392,-871,3392,-871xm3392,-871l3392,-871,3393,-871,3392,-871xm9346,-871l9346,-871,9346,-871,9346,-871xm9346,-871l9346,-871,9346,-871,9346,-871xm9360,-875l9351,-875,9350,-874,9350,-874,9346,-871,9346,-871,9357,-871,9360,-875xm3392,-871l3392,-871,3392,-871,3392,-871xm3388,-875l3388,-874,3388,-875,3388,-875xm3388,-875l3388,-874,3388,-874,3388,-875xm9350,-875l9350,-874,9350,-874,9350,-875xm9351,-875l9350,-875,9350,-874,9351,-875xm3388,-875l3388,-875,3388,-875,3388,-875xm9362,-879l9354,-879,9354,-878,9354,-878,9350,-875,9351,-875,9360,-875,9362,-879xm9354,-878l9354,-878,9354,-878,9354,-878xm9354,-879l9354,-878,9354,-878,9354,-879xm3384,-879l3384,-878,3384,-878,3384,-879xm3384,-878l3384,-878,3384,-878,3384,-878xm9364,-883l9357,-883,9357,-883,9356,-883,9354,-878,9354,-879,9362,-879,9363,-880,9364,-883xm3384,-879l3384,-879,3384,-878,3384,-879xm9357,-883l9356,-883,9357,-883,9357,-883xm9357,-883l9357,-883,9357,-883,9357,-883xm3381,-883l3382,-883,3381,-883,3381,-883xm3381,-883l3382,-883,3382,-883,3381,-883xm9366,-888l9359,-888,9358,-888,9358,-888,9357,-883,9357,-883,9364,-883,9366,-887,9366,-888xm3381,-883l3381,-883,3381,-883,3381,-883xm9359,-888l9358,-888,9358,-888,9359,-888xm3380,-888l3380,-888,3380,-888,3380,-888xm3380,-888l3380,-888,3380,-888,3380,-888xm9366,-1132l9359,-1132,9359,-893,9359,-890,9359,-890,9359,-888,9359,-888,9366,-888,9366,-890,9366,-1132xm3379,-891l3379,-890,3379,-890,3379,-891xm9359,-891l9359,-890,9359,-890,9359,-891xm3379,-891l3379,-891,3379,-891,3379,-891xm9359,-894l9359,-893,9359,-893,9359,-894xm3379,-1132l3379,-1132,3379,-1132,3379,-1132xm9366,-1135l9359,-1135,9359,-1132,9359,-1132,9366,-1132,9366,-1135xm9366,-1137l9358,-1137,9359,-1134,9359,-1135,9366,-1135,9366,-1135,9366,-1137xm3380,-1137l3380,-1137,3380,-1137,3380,-1137xm9364,-1142l9357,-1142,9357,-1142,9357,-1142,9359,-1137,9358,-1137,9366,-1137,9366,-1138,9364,-1142xm3380,-1137l3380,-1137,3380,-1137,3380,-1137xm3382,-1142l3381,-1142,3381,-1142,3382,-1142xm3381,-1142l3381,-1142,3381,-1142,3381,-1142xm9357,-1142l9357,-1142,9357,-1142,9357,-1142xm9357,-1142l9357,-1142,9357,-1142,9357,-1142xm3382,-1142l3382,-1142,3381,-1142,3382,-1142xm9362,-1147l9354,-1147,9354,-1146,9354,-1146,9357,-1142,9357,-1142,9364,-1142,9363,-1145,9362,-1147xm3384,-1147l3384,-1146,3384,-1147,3384,-1147xm3384,-1147l3384,-1146,3384,-1146,3384,-1147xm9354,-1147l9354,-1146,9354,-1146,9354,-1147xm9354,-1147l9354,-1147,9354,-1146,9354,-1147xm9359,-1151l9350,-1151,9351,-1150,9351,-1150,9354,-1147,9354,-1147,9362,-1147,9360,-1150,9359,-1151xm3384,-1147l3384,-1147,3384,-1147,3384,-1147xm3388,-1151l3388,-1150,3388,-1151,3388,-1151xm3388,-1151l3388,-1150,3388,-1150,3388,-1151xm9350,-1151l9351,-1150,9351,-1150,9350,-1151xm9350,-1151l9350,-1151,9351,-1150,9350,-1151xm9357,-1154l9346,-1154,9346,-1154,9346,-1154,9350,-1151,9350,-1151,9359,-1151,9357,-1154xm3388,-1151l3388,-1151,3388,-1151,3388,-1151xm3392,-1154l3392,-1154,3392,-1154,3392,-1154xm3392,-1154l3392,-1154,3392,-1154,3392,-1154xm9346,-1154l9346,-1154,9346,-1154,9346,-1154xm9346,-1154l9346,-1154,9346,-1154,9346,-1154xm9354,-1156l9341,-1156,9341,-1156,9341,-1156,9346,-1154,9346,-1154,9357,-1154,9355,-1155,9354,-1156xm3393,-1154l3392,-1154,3392,-1154,3393,-1154xm3398,-1156l3397,-1156,3397,-1156,3398,-1156xm3397,-1156l3397,-1156,3397,-1156,3397,-1156xm9341,-1156l9341,-1156,9341,-1156,9341,-1156xm9341,-1156l9341,-1156,9341,-1156,9341,-1156xm3398,-1156l3398,-1156,3397,-1156,3398,-1156xm9352,-1158l9335,-1158,9336,-1158,9335,-1158,9341,-1156,9341,-1156,9354,-1156,9352,-1158xm9335,-1158l9335,-1158,9336,-1158,9335,-1158xm3404,-1158l3403,-1158,3403,-1158,3404,-1158xm9351,-1158l9332,-1158,9335,-1158,9335,-1158,9352,-1158,9351,-1158xm3407,-1158l3406,-1158,3406,-1158,3407,-1158xm9351,-1158l9329,-1158,9333,-1158,9332,-1158,9351,-1158,9351,-1158xe" filled="true" fillcolor="#649c3e" stroked="false">
              <v:path arrowok="t"/>
              <v:fill type="solid"/>
            </v:shape>
            <v:shape style="position:absolute;left:3614;top:-1132;width:786;height:239" type="#_x0000_t75" stroked="false">
              <v:imagedata r:id="rId305" o:title=""/>
            </v:shape>
            <v:shape style="position:absolute;left:3611;top:-1135;width:793;height:245" coordorigin="3611,-1134" coordsize="793,245" path="m4374,-1134l3641,-1134,3635,-1134,3630,-1132,3624,-1130,3620,-1126,3616,-1123,3613,-1118,3612,-1113,3611,-1108,3611,-917,3612,-911,3613,-906,3616,-902,3620,-898,3624,-894,3630,-892,3635,-890,3641,-890,4374,-890,4380,-890,4386,-892,4391,-894,4393,-896,3642,-896,3638,-897,3637,-897,3637,-897,3637,-897,3633,-898,3633,-898,3632,-898,3632,-898,3628,-900,3628,-900,3626,-902,3625,-902,3625,-903,3625,-903,3623,-905,3623,-905,3622,-905,3622,-906,3620,-909,3620,-909,3620,-909,3620,-909,3619,-912,3619,-912,3618,-917,3618,-917,3618,-1108,3619,-1111,3619,-1111,3619,-1112,3619,-1112,3620,-1115,3620,-1115,3620,-1116,3620,-1116,3622,-1119,3622,-1119,3622,-1119,3625,-1122,3625,-1122,3625,-1122,3625,-1122,3628,-1124,3628,-1124,3629,-1125,3629,-1125,3632,-1126,3632,-1126,3633,-1126,3633,-1126,3637,-1127,3636,-1127,3637,-1128,3638,-1128,3642,-1128,4393,-1128,4391,-1130,4386,-1132,4380,-1134,4374,-1134xm4374,-896l3641,-896,3642,-896,4373,-896,4374,-896xm4378,-897l4373,-896,4393,-896,4394,-897,4378,-897,4378,-897xm3636,-897l3637,-897,3637,-897,3636,-897xm3637,-897l3637,-897,3638,-897,3637,-897xm4379,-897l4378,-897,4378,-897,4379,-897xm4394,-897l4379,-897,4378,-897,4394,-897,4394,-897xm4383,-898l4378,-897,4379,-897,4394,-897,4395,-898,4382,-898,4383,-898xm3637,-897l3636,-897,3637,-897,3637,-897xm3632,-898l3633,-898,3632,-898,3632,-898xm3632,-898l3633,-898,3633,-898,3632,-898xm4383,-898l4383,-898,4382,-898,4383,-898xm4396,-898l4383,-898,4382,-898,4395,-898,4396,-898xm3632,-898l3632,-898,3632,-898,3632,-898xm4397,-900l4387,-900,4383,-898,4383,-898,4396,-898,4397,-900xm3629,-900l3629,-900,3629,-900,3629,-900xm3628,-900l3628,-900,3629,-900,3628,-900xm4390,-903l4387,-900,4387,-900,4397,-900,4399,-902,4399,-902,4390,-902,4390,-903xm3625,-903l3625,-902,3625,-903,3625,-903xm3625,-903l3625,-902,3626,-902,3625,-903xm4390,-903l4390,-903,4390,-902,4390,-903xm4399,-903l4390,-903,4390,-902,4399,-902,4399,-903xm3625,-903l3625,-903,3625,-903,3625,-903xm4401,-906l4393,-906,4393,-905,4393,-905,4390,-903,4390,-903,4399,-903,4401,-906xm3622,-906l3623,-905,3622,-905,3622,-906xm3622,-905l3623,-905,3623,-905,3622,-905xm4393,-905l4393,-905,4393,-905,4393,-905xm4393,-906l4393,-905,4393,-905,4393,-906xm3622,-906l3622,-906,3622,-905,3622,-906xm4403,-909l4395,-909,4395,-909,4395,-909,4393,-905,4393,-906,4401,-906,4402,-906,4403,-909xm3620,-909l3620,-909,3620,-909,3620,-909xm3620,-909l3620,-909,3620,-909,3620,-909xm4395,-909l4395,-909,4395,-909,4395,-909xm4395,-909l4395,-909,4395,-909,4395,-909xm3620,-909l3620,-909,3620,-909,3620,-909xm4404,-913l4396,-913,4396,-912,4396,-912,4395,-909,4395,-909,4403,-909,4404,-911,4404,-913xm3619,-913l3619,-912,3619,-912,3619,-913xm4396,-913l4396,-912,4396,-912,4396,-913xm3619,-913l3619,-913,3619,-913,3619,-913xm4404,-1107l4397,-1107,4397,-917,4397,-917,4396,-913,4396,-913,4404,-913,4404,-917,4404,-1107xm3618,-917l3618,-917,3618,-917,3618,-917xm4397,-917l4397,-917,4397,-917,4397,-917xm3618,-1107l3618,-1107,3618,-1107,3618,-1107xm4404,-1112l4396,-1112,4396,-1111,4396,-1111,4397,-1107,4397,-1107,4404,-1107,4404,-1112xm3619,-1112l3619,-1111,3619,-1111,3619,-1112xm4396,-1112l4396,-1111,4396,-1111,4396,-1112xm3619,-1112l3619,-1112,3619,-1112,3619,-1112xm4403,-1116l4395,-1116,4395,-1115,4395,-1115,4396,-1112,4396,-1112,4404,-1112,4404,-1113,4403,-1116xm3620,-1116l3620,-1115,3620,-1115,3620,-1116xm3620,-1115l3620,-1115,3620,-1115,3620,-1115xm4395,-1115l4395,-1115,4395,-1115,4395,-1115xm4395,-1116l4395,-1115,4395,-1115,4395,-1116xm3620,-1116l3620,-1116,3620,-1115,3620,-1116xm4401,-1119l4393,-1119,4393,-1119,4393,-1119,4395,-1115,4395,-1116,4403,-1116,4402,-1118,4401,-1119xm3623,-1119l3622,-1119,3622,-1119,3623,-1119xm3622,-1119l3622,-1119,3622,-1119,3622,-1119xm4393,-1119l4393,-1119,4393,-1119,4393,-1119xm4393,-1119l4393,-1119,4393,-1119,4393,-1119xm3623,-1119l3623,-1119,3622,-1119,3623,-1119xm4399,-1122l4390,-1122,4390,-1122,4390,-1122,4393,-1119,4393,-1119,4401,-1119,4399,-1122xm3625,-1122l3625,-1122,3625,-1122,3625,-1122xm3625,-1122l3625,-1122,3625,-1122,3625,-1122xm4390,-1122l4390,-1122,4390,-1122,4390,-1122xm4390,-1122l4390,-1122,4390,-1122,4390,-1122xm3625,-1122l3625,-1122,3625,-1122,3625,-1122xm4397,-1125l4386,-1125,4387,-1124,4387,-1124,4390,-1122,4390,-1122,4399,-1122,4399,-1123,4397,-1125xm3629,-1125l3628,-1124,3628,-1124,3629,-1125xm3628,-1124l3628,-1124,3628,-1124,3628,-1124xm4387,-1124l4387,-1124,4387,-1124,4387,-1124xm4386,-1125l4387,-1124,4387,-1124,4386,-1125xm3629,-1125l3629,-1125,3628,-1124,3629,-1125xm4395,-1126l4382,-1126,4383,-1126,4383,-1126,4387,-1124,4386,-1125,4397,-1125,4395,-1126xm3633,-1126l3632,-1126,3632,-1126,3633,-1126xm3632,-1126l3632,-1126,3632,-1126,3632,-1126xm4383,-1126l4383,-1126,4383,-1126,4383,-1126xm4382,-1126l4383,-1126,4383,-1126,4382,-1126xm4378,-1127l4383,-1126,4382,-1126,4395,-1126,4394,-1127,4379,-1127,4378,-1127xm3633,-1126l3633,-1126,3632,-1126,3633,-1126xm3637,-1128l3636,-1127,3637,-1127,3637,-1128xm4378,-1128l4379,-1127,4379,-1127,4378,-1128xm4394,-1128l4378,-1128,4379,-1127,4394,-1127,4394,-1128xm3638,-1128l3637,-1128,3637,-1127,3638,-1128xm4393,-1128l4373,-1128,4378,-1127,4378,-1128,4394,-1128,4393,-1128xe" filled="true" fillcolor="#649c3e" stroked="false">
              <v:path arrowok="t"/>
              <v:fill type="solid"/>
            </v:shape>
            <v:shape style="position:absolute;left:3375;top:-834;width:5988;height:298" coordorigin="3375,-834" coordsize="5988,298" path="m9329,-834l3409,-834,3396,-832,3385,-825,3378,-816,3375,-804,3375,-566,3378,-554,3385,-545,3396,-538,3409,-536,9329,-536,9363,-804,9360,-816,9353,-825,9342,-832,9329,-834xe" filled="true" fillcolor="#ffffff" stroked="false">
              <v:path arrowok="t"/>
              <v:fill type="solid"/>
            </v:shape>
            <v:shape style="position:absolute;left:3372;top:-838;width:5995;height:305" coordorigin="3372,-837" coordsize="5995,305" path="m9329,-837l3409,-837,3405,-837,3401,-837,3394,-835,3388,-832,3383,-828,3378,-823,3375,-817,3373,-811,3372,-808,3372,-562,3373,-559,3375,-553,3378,-547,3383,-542,3388,-538,3394,-535,3401,-533,3405,-533,3409,-533,9329,-533,9333,-533,9337,-533,9344,-535,9350,-538,9351,-539,3409,-539,3406,-539,3406,-539,3403,-540,3403,-540,3403,-540,3403,-540,3398,-541,3398,-541,3397,-541,3397,-541,3393,-544,3392,-544,3392,-544,3392,-544,3388,-547,3388,-547,3388,-547,3388,-547,3385,-551,3384,-551,3384,-551,3384,-551,3382,-555,3382,-555,3381,-555,3381,-556,3380,-560,3380,-560,3379,-563,3379,-566,3379,-804,3379,-807,3380,-809,3380,-809,3381,-814,3381,-814,3382,-815,3382,-815,3384,-819,3384,-819,3384,-819,3388,-823,3388,-823,3388,-823,3388,-823,3392,-826,3392,-826,3392,-826,3393,-826,3397,-829,3397,-829,3398,-829,3398,-829,3403,-830,3403,-830,3403,-830,3404,-830,3406,-831,3407,-831,3409,-831,9351,-831,9350,-832,9344,-835,9337,-837,9333,-837,9329,-837xm3409,-539l3409,-539,3409,-539,3409,-539xm9332,-539l9329,-539,9351,-539,9351,-539,9332,-539,9332,-539xm3406,-539l3406,-539,3406,-539,3406,-539xm9351,-539l9332,-539,9332,-539,9351,-539,9351,-539xm9335,-540l9332,-539,9333,-539,9351,-539,9352,-540,9335,-540,9335,-540xm3406,-539l3406,-539,3406,-539,3406,-539xm3403,-540l3403,-540,3403,-540,3403,-540xm9352,-540l9335,-540,9335,-540,9352,-540,9352,-540xm3403,-540l3403,-540,3403,-540,3403,-540xm9341,-541l9335,-540,9335,-540,9352,-540,9354,-541,9341,-541,9341,-541xm3397,-541l3398,-541,3397,-541,3397,-541xm3397,-541l3398,-541,3398,-541,3397,-541xm9341,-541l9341,-541,9341,-541,9341,-541xm9354,-541l9341,-541,9341,-541,9354,-541,9354,-541xm3397,-541l3397,-541,3397,-541,3397,-541xm9357,-544l9346,-544,9346,-544,9345,-544,9341,-541,9341,-541,9354,-541,9355,-542,9357,-544xm3392,-544l3392,-544,3392,-544,3392,-544xm3392,-544l3392,-544,3393,-544,3392,-544xm9346,-544l9346,-544,9346,-544,9346,-544xm9346,-544l9346,-544,9346,-544,9346,-544xm9360,-547l9351,-547,9350,-547,9350,-547,9346,-544,9346,-544,9357,-544,9360,-547xm3392,-544l3392,-544,3392,-544,3392,-544xm9350,-547l9350,-547,9350,-547,9350,-547xm9351,-547l9350,-547,9350,-547,9351,-547xm3388,-547l3388,-547,3388,-547,3388,-547xm3388,-547l3388,-547,3388,-547,3388,-547xm9362,-551l9354,-551,9354,-551,9354,-551,9350,-547,9351,-547,9360,-547,9360,-547,9362,-551xm3388,-547l3388,-547,3388,-547,3388,-547xm9354,-551l9354,-551,9354,-551,9354,-551xm9354,-551l9354,-551,9354,-551,9354,-551xm3384,-551l3384,-551,3384,-551,3384,-551xm3384,-551l3384,-551,3384,-551,3384,-551xm9364,-556l9357,-556,9357,-555,9356,-555,9354,-551,9354,-551,9362,-551,9363,-553,9364,-556xm3384,-551l3384,-551,3384,-551,3384,-551xm9357,-555l9356,-555,9357,-555,9357,-555xm9357,-556l9357,-555,9357,-555,9357,-556xm3381,-556l3382,-555,3381,-555,3381,-556xm3381,-555l3382,-555,3382,-555,3381,-555xm9366,-804l9359,-804,9359,-566,9359,-563,9359,-562,9358,-560,9358,-560,9357,-555,9357,-556,9364,-556,9366,-559,9366,-562,9366,-804xm3381,-556l3381,-556,3381,-555,3381,-556xm9359,-561l9358,-560,9358,-560,9359,-561xm3380,-561l3380,-560,3380,-560,3380,-561xm3380,-561l3380,-561,3380,-561,3380,-561xm3379,-563l3379,-563,3379,-563,3379,-563xm9359,-563l9359,-563,9359,-563,9359,-563xm3379,-563l3379,-563,3379,-563,3379,-563xm9359,-566l9359,-566,9359,-566,9359,-566xm3379,-804l3379,-804,3379,-804,3379,-804xm9366,-807l9359,-807,9359,-804,9359,-804,9366,-804,9366,-807xm9366,-810l9358,-810,9359,-807,9359,-807,9366,-807,9366,-808,9366,-810xm3380,-809l3380,-809,3380,-809,3380,-809xm9364,-815l9357,-815,9357,-814,9357,-814,9359,-809,9358,-810,9366,-810,9366,-811,9364,-815xm3380,-810l3380,-810,3380,-809,3380,-810xm3382,-815l3381,-814,3381,-815,3382,-815xm3381,-815l3381,-814,3381,-814,3381,-815xm9357,-815l9357,-814,9357,-814,9357,-815xm9357,-815l9357,-815,9357,-814,9357,-815xm3382,-815l3382,-815,3381,-815,3382,-815xm9362,-819l9354,-819,9354,-819,9354,-819,9357,-815,9357,-815,9364,-815,9363,-817,9362,-819xm3384,-819l3384,-819,3384,-819,3384,-819xm3384,-819l3384,-819,3384,-819,3384,-819xm9354,-819l9354,-819,9354,-819,9354,-819xm9354,-819l9354,-819,9354,-819,9354,-819xm9359,-823l9350,-823,9351,-823,9351,-823,9354,-819,9354,-819,9362,-819,9360,-823,9359,-823xm3384,-819l3384,-819,3384,-819,3384,-819xm3388,-823l3388,-823,3388,-823,3388,-823xm3388,-823l3388,-823,3388,-823,3388,-823xm9350,-823l9351,-823,9351,-823,9350,-823xm9350,-823l9350,-823,9351,-823,9350,-823xm9357,-826l9346,-826,9346,-826,9346,-826,9350,-823,9350,-823,9359,-823,9357,-826xm3388,-823l3388,-823,3388,-823,3388,-823xm3392,-826l3392,-826,3392,-826,3392,-826xm3392,-826l3392,-826,3392,-826,3392,-826xm9346,-826l9346,-826,9346,-826,9346,-826xm9346,-826l9346,-826,9346,-826,9346,-826xm9354,-829l9341,-829,9341,-829,9341,-829,9346,-826,9346,-826,9357,-826,9355,-828,9354,-829xm3393,-826l3392,-826,3392,-826,3393,-826xm3398,-829l3397,-829,3397,-829,3398,-829xm3397,-829l3397,-829,3397,-829,3397,-829xm9341,-829l9341,-829,9341,-829,9341,-829xm9341,-829l9341,-829,9341,-829,9341,-829xm3398,-829l3398,-829,3397,-829,3398,-829xm9352,-830l9335,-830,9336,-830,9335,-830,9341,-829,9341,-829,9354,-829,9352,-830xm9335,-830l9335,-830,9336,-830,9335,-830xm3404,-830l3403,-830,3403,-830,3404,-830xm9351,-831l9332,-831,9335,-830,9335,-830,9352,-830,9351,-831xm3407,-831l3406,-831,3406,-831,3407,-831xm9351,-831l9329,-831,9333,-831,9332,-831,9351,-831,9351,-831xe" filled="true" fillcolor="#649c3e" stroked="false">
              <v:path arrowok="t"/>
              <v:fill type="solid"/>
            </v:shape>
            <v:shape style="position:absolute;left:3614;top:-805;width:786;height:239" type="#_x0000_t75" stroked="false">
              <v:imagedata r:id="rId306" o:title=""/>
            </v:shape>
            <v:shape style="position:absolute;left:3611;top:-808;width:793;height:245" coordorigin="3611,-808" coordsize="793,245" path="m4374,-808l3641,-808,3635,-807,3630,-806,3624,-803,3620,-800,3616,-796,3613,-791,3612,-786,3611,-781,3611,-590,3612,-585,3613,-580,3616,-575,3620,-571,3624,-568,3630,-565,3635,-564,3641,-563,4374,-563,4380,-564,4386,-565,4391,-568,4393,-570,3641,-570,3642,-570,3638,-570,3637,-570,3636,-570,3637,-570,3633,-571,3633,-571,3632,-571,3632,-571,3629,-573,3629,-573,3628,-573,3628,-573,3626,-575,3625,-575,3625,-576,3625,-576,3623,-578,3623,-578,3622,-579,3622,-579,3620,-582,3620,-582,3620,-582,3620,-582,3619,-586,3619,-586,3618,-590,3618,-590,3618,-781,3619,-784,3619,-784,3619,-785,3619,-785,3620,-788,3620,-788,3620,-789,3620,-789,3622,-792,3622,-792,3622,-792,3625,-795,3625,-795,3625,-795,3625,-795,3628,-797,3628,-797,3629,-798,3629,-798,3632,-799,3632,-799,3633,-800,3633,-800,3637,-801,3636,-801,3637,-801,3638,-801,3642,-801,4393,-801,4391,-803,4386,-806,4380,-807,4374,-808xm3642,-570l3641,-570,3642,-570,3642,-570xm4378,-570l4373,-570,4374,-570,4393,-570,4394,-570,4378,-570,4378,-570xm3636,-570l3637,-570,3637,-570,3636,-570xm3637,-570l3637,-570,3638,-570,3637,-570xm4379,-570l4378,-570,4378,-570,4379,-570xm4394,-570l4379,-570,4378,-570,4394,-570,4394,-570xm4383,-571l4378,-570,4379,-570,4394,-570,4395,-571,4382,-571,4383,-571xm3637,-570l3636,-570,3637,-570,3637,-570xm3632,-571l3633,-571,3632,-571,3632,-571xm3632,-571l3633,-571,3633,-571,3632,-571xm4383,-571l4383,-571,4382,-571,4383,-571xm4396,-571l4383,-571,4382,-571,4395,-571,4396,-571xm3632,-571l3632,-571,3632,-571,3632,-571xm4397,-573l4387,-573,4386,-573,4386,-573,4383,-571,4383,-571,4396,-571,4397,-573xm3628,-573l3629,-573,3629,-573,3628,-573xm3629,-573l3629,-573,3629,-573,3629,-573xm4387,-573l4386,-573,4386,-573,4387,-573xm4387,-573l4387,-573,4386,-573,4387,-573xm3628,-573l3628,-573,3629,-573,3628,-573xm4399,-576l4390,-576,4390,-575,4390,-575,4387,-573,4387,-573,4397,-573,4399,-575,4399,-576xm3625,-576l3625,-575,3625,-576,3625,-576xm3625,-576l3625,-575,3626,-575,3625,-576xm4390,-576l4390,-575,4390,-575,4390,-576xm4390,-576l4390,-576,4390,-575,4390,-576xm3625,-576l3625,-576,3625,-576,3625,-576xm4401,-579l4393,-579,4393,-578,4393,-578,4390,-576,4390,-576,4399,-576,4401,-579xm3622,-579l3623,-578,3622,-579,3622,-579xm3622,-579l3623,-578,3623,-578,3622,-579xm4393,-579l4393,-578,4393,-578,4393,-579xm4393,-579l4393,-579,4393,-578,4393,-579xm3622,-579l3622,-579,3622,-579,3622,-579xm4403,-582l4395,-582,4395,-582,4395,-582,4393,-579,4393,-579,4401,-579,4402,-580,4403,-582xm3620,-582l3620,-582,3620,-582,3620,-582xm3620,-582l3620,-582,3620,-582,3620,-582xm4395,-582l4395,-582,4395,-582,4395,-582xm4395,-582l4395,-582,4395,-582,4395,-582xm3620,-582l3620,-582,3620,-582,3620,-582xm4404,-586l4396,-586,4396,-586,4396,-586,4395,-582,4395,-582,4403,-582,4404,-585,4404,-586xm3619,-586l3619,-586,3619,-586,3619,-586xm4396,-586l4396,-586,4396,-586,4396,-586xm3619,-586l3619,-586,3619,-586,3619,-586xm4404,-781l4397,-781,4397,-590,4397,-590,4396,-586,4396,-586,4404,-586,4404,-590,4404,-781xm3618,-590l3618,-590,3618,-590,3618,-590xm4397,-590l4397,-590,4397,-590,4397,-590xm3618,-781l3618,-781,3618,-780,3618,-781xm4404,-785l4396,-785,4396,-784,4396,-784,4397,-780,4397,-781,4404,-781,4404,-785xm3619,-785l3619,-784,3619,-784,3619,-785xm4396,-785l4396,-784,4396,-784,4396,-785xm3619,-785l3619,-785,3619,-785,3619,-785xm4403,-789l4395,-789,4395,-788,4395,-788,4396,-785,4396,-785,4404,-785,4404,-786,4403,-789xm3620,-789l3620,-788,3620,-789,3620,-789xm3620,-789l3620,-788,3620,-788,3620,-789xm4395,-789l4395,-788,4395,-788,4395,-789xm4395,-789l4395,-789,4395,-788,4395,-789xm3620,-789l3620,-789,3620,-789,3620,-789xm4401,-792l4393,-792,4393,-792,4393,-792,4395,-789,4395,-789,4403,-789,4402,-791,4401,-792xm3623,-792l3622,-792,3622,-792,3623,-792xm3622,-792l3622,-792,3622,-792,3622,-792xm4393,-792l4393,-792,4393,-792,4393,-792xm4393,-792l4393,-792,4393,-792,4393,-792xm3623,-792l3623,-792,3622,-792,3623,-792xm4399,-795l4390,-795,4390,-795,4390,-795,4393,-792,4393,-792,4401,-792,4399,-795xm3625,-795l3625,-795,3625,-795,3625,-795xm3625,-795l3625,-795,3625,-795,3625,-795xm4390,-795l4390,-795,4390,-795,4390,-795xm4390,-795l4390,-795,4390,-795,4390,-795xm3625,-795l3625,-795,3625,-795,3625,-795xm4397,-798l4386,-798,4387,-797,4387,-797,4390,-795,4390,-795,4399,-795,4399,-796,4397,-798xm3629,-798l3628,-797,3628,-798,3629,-798xm3628,-798l3628,-797,3628,-797,3628,-798xm4387,-798l4387,-797,4387,-797,4387,-798xm4386,-798l4387,-798,4387,-797,4386,-798xm3629,-798l3629,-798,3628,-798,3629,-798xm4395,-800l4382,-800,4383,-799,4383,-799,4387,-798,4386,-798,4397,-798,4395,-800xm3633,-800l3632,-799,3632,-800,3633,-800xm3632,-800l3632,-799,3632,-799,3632,-800xm4383,-800l4383,-799,4383,-799,4383,-800xm4382,-800l4383,-800,4383,-799,4382,-800xm4378,-801l4383,-800,4382,-800,4395,-800,4394,-801,4379,-801,4378,-801xm3633,-800l3633,-800,3632,-800,3633,-800xm3637,-801l3636,-801,3637,-801,3637,-801xm4378,-801l4379,-801,4379,-801,4378,-801xm4394,-801l4378,-801,4379,-801,4394,-801,4394,-801xm3638,-801l3637,-801,3637,-801,3638,-801xm4393,-801l4373,-801,4378,-801,4378,-801,4394,-801,4393,-801xe" filled="true" fillcolor="#649c3e" stroked="false">
              <v:path arrowok="t"/>
              <v:fill type="solid"/>
            </v:shape>
            <v:shape style="position:absolute;left:3375;top:-507;width:5988;height:298" coordorigin="3375,-506" coordsize="5988,298" path="m9329,-506l3409,-506,3396,-504,3385,-498,3378,-488,3375,-477,3375,-238,3378,-227,3385,-217,3396,-211,3409,-208,9329,-208,9363,-477,9360,-488,9353,-498,9342,-504,9329,-506xe" filled="true" fillcolor="#ffffff" stroked="false">
              <v:path arrowok="t"/>
              <v:fill type="solid"/>
            </v:shape>
            <v:shape style="position:absolute;left:3372;top:-510;width:5995;height:305" coordorigin="3372,-510" coordsize="5995,305" path="m9329,-510l3409,-510,3405,-510,3401,-509,3394,-507,3388,-504,3383,-500,3378,-495,3375,-490,3373,-483,3372,-480,3372,-235,3373,-231,3375,-225,3378,-220,3383,-215,3388,-211,3394,-208,3401,-206,3405,-205,3409,-205,9329,-205,9333,-205,9337,-206,9344,-208,9350,-211,9351,-212,3409,-212,3406,-212,3406,-212,3403,-212,3403,-212,3403,-212,3403,-212,3398,-214,3398,-214,3397,-214,3397,-214,3393,-216,3392,-216,3392,-216,3392,-216,3388,-219,3388,-219,3388,-220,3388,-220,3385,-223,3384,-223,3384,-223,3384,-224,3382,-228,3382,-228,3381,-228,3381,-228,3380,-233,3380,-233,3379,-235,3379,-238,3379,-477,3379,-479,3380,-482,3380,-482,3381,-487,3381,-487,3382,-487,3382,-487,3384,-491,3384,-491,3384,-492,3384,-492,3388,-495,3388,-495,3388,-496,3388,-496,3392,-498,3392,-498,3392,-499,3393,-499,3397,-501,3397,-501,3398,-501,3398,-501,3403,-503,3403,-503,3403,-503,3403,-503,3406,-503,3406,-503,3409,-503,9351,-503,9350,-504,9344,-507,9337,-509,9333,-510,9329,-510xm3409,-212l3409,-212,3409,-212,3409,-212xm9332,-212l9329,-212,9351,-212,9351,-212,9332,-212,9332,-212xm3406,-212l3406,-212,3406,-212,3406,-212xm9351,-212l9332,-212,9332,-212,9351,-212,9351,-212xm9335,-212l9332,-212,9333,-212,9351,-212,9352,-212,9335,-212,9335,-212xm3406,-212l3406,-212,3406,-212,3406,-212xm3403,-212l3403,-212,3403,-212,3403,-212xm9352,-212l9335,-212,9335,-212,9352,-212,9352,-212xm3403,-212l3403,-212,3403,-212,3403,-212xm9341,-214l9335,-212,9335,-212,9352,-212,9354,-214,9341,-214,9341,-214xm3397,-214l3398,-214,3397,-214,3397,-214xm3397,-214l3398,-214,3398,-214,3397,-214xm9341,-214l9341,-214,9341,-214,9341,-214xm9354,-214l9341,-214,9341,-214,9354,-214,9354,-214xm3397,-214l3397,-214,3397,-214,3397,-214xm9357,-216l9346,-216,9346,-216,9345,-216,9341,-214,9341,-214,9354,-214,9355,-215,9357,-216xm3392,-216l3392,-216,3392,-216,3392,-216xm3392,-216l3392,-216,3393,-216,3392,-216xm9346,-216l9346,-216,9346,-216,9346,-216xm9346,-216l9346,-216,9346,-216,9346,-216xm9360,-220l9351,-220,9350,-219,9350,-219,9346,-216,9346,-216,9357,-216,9360,-220xm3392,-216l3392,-216,3392,-216,3392,-216xm9350,-219l9350,-219,9350,-219,9350,-219xm9351,-220l9350,-219,9350,-219,9351,-220xm3388,-220l3388,-219,3388,-219,3388,-220xm3388,-219l3388,-219,3388,-219,3388,-219xm9362,-224l9354,-224,9354,-223,9354,-223,9350,-219,9351,-220,9360,-220,9360,-220,9362,-224xm3388,-220l3388,-220,3388,-219,3388,-220xm9354,-223l9354,-223,9354,-223,9354,-223xm9354,-224l9354,-223,9354,-223,9354,-224xm3384,-224l3384,-223,3384,-223,3384,-224xm3384,-223l3384,-223,3384,-223,3384,-223xm9364,-228l9357,-228,9357,-228,9356,-228,9354,-223,9354,-224,9362,-224,9363,-225,9364,-228xm3384,-224l3384,-224,3384,-223,3384,-224xm9357,-228l9356,-228,9357,-228,9357,-228xm9357,-228l9357,-228,9357,-228,9357,-228xm3381,-228l3382,-228,3381,-228,3381,-228xm3381,-228l3382,-228,3382,-228,3381,-228xm9366,-477l9359,-477,9359,-238,9359,-235,9359,-235,9358,-233,9358,-233,9357,-228,9357,-228,9364,-228,9366,-232,9366,-235,9366,-477xm3381,-228l3381,-228,3381,-228,3381,-228xm9359,-233l9358,-233,9358,-233,9359,-233xm3380,-233l3380,-233,3380,-233,3380,-233xm3380,-233l3380,-233,3380,-233,3380,-233xm3379,-235l3379,-235,3379,-235,3379,-235xm9359,-236l9359,-235,9359,-235,9359,-236xm3379,-236l3379,-236,3379,-235,3379,-236xm9359,-238l9359,-238,9359,-238,9359,-238xm3379,-238l3379,-238,3379,-238,3379,-238xm3379,-477l3379,-476,3379,-476,3379,-477xm9366,-480l9359,-480,9359,-476,9359,-477,9366,-477,9366,-480xm3379,-477l3379,-477,3379,-477,3379,-477xm9366,-482l9358,-482,9359,-482,9359,-482,9359,-479,9359,-480,9366,-480,9366,-480,9366,-482xm3380,-482l3380,-482,3380,-482,3380,-482xm9359,-482l9359,-482,9359,-482,9359,-482xm9364,-487l9357,-487,9357,-487,9357,-487,9359,-482,9358,-482,9366,-482,9366,-483,9364,-487xm3380,-482l3380,-482,3380,-482,3380,-482xm3382,-487l3381,-487,3381,-487,3382,-487xm3381,-487l3381,-487,3381,-487,3381,-487xm9357,-487l9357,-487,9357,-487,9357,-487xm9357,-487l9357,-487,9357,-487,9357,-487xm3382,-487l3382,-487,3381,-487,3382,-487xm9362,-492l9354,-492,9354,-491,9354,-491,9357,-487,9357,-487,9364,-487,9363,-490,9362,-492xm3384,-492l3384,-491,3384,-491,3384,-492xm3384,-491l3384,-491,3384,-491,3384,-491xm9354,-491l9354,-491,9354,-491,9354,-491xm9354,-492l9354,-491,9354,-491,9354,-492xm9359,-496l9350,-496,9351,-495,9351,-495,9354,-491,9354,-492,9362,-492,9360,-495,9359,-496xm3384,-492l3384,-492,3384,-491,3384,-492xm3388,-496l3388,-495,3388,-495,3388,-496xm3388,-495l3388,-495,3388,-495,3388,-495xm9350,-495l9351,-495,9351,-495,9350,-495xm9350,-496l9350,-495,9351,-495,9350,-496xm9357,-499l9346,-499,9346,-498,9346,-498,9350,-495,9350,-496,9359,-496,9357,-499xm3388,-496l3388,-496,3388,-495,3388,-496xm3392,-499l3392,-498,3392,-499,3392,-499xm3392,-499l3392,-498,3392,-498,3392,-499xm9346,-499l9346,-498,9346,-498,9346,-499xm9346,-499l9346,-499,9346,-498,9346,-499xm9341,-501l9346,-499,9346,-499,9357,-499,9355,-500,9354,-501,9341,-501,9341,-501xm3393,-499l3392,-499,3392,-499,3393,-499xm3398,-501l3397,-501,3397,-501,3398,-501xm3397,-501l3397,-501,3397,-501,3397,-501xm9341,-501l9341,-501,9341,-501,9341,-501xm9354,-501l9341,-501,9341,-501,9354,-501,9354,-501xm3398,-501l3398,-501,3397,-501,3398,-501xm9352,-503l9335,-503,9336,-503,9335,-503,9341,-501,9341,-501,9354,-501,9352,-503xm9335,-503l9335,-503,9336,-503,9335,-503xm3403,-503l3403,-503,3403,-503,3403,-503xm9351,-503l9332,-503,9333,-503,9332,-503,9335,-503,9335,-503,9352,-503,9351,-503xm9332,-503l9332,-503,9333,-503,9332,-503xm9351,-503l9329,-503,9332,-503,9332,-503,9351,-503,9351,-503xe" filled="true" fillcolor="#649c3e" stroked="false">
              <v:path arrowok="t"/>
              <v:fill type="solid"/>
            </v:shape>
            <v:shape style="position:absolute;left:3614;top:-477;width:786;height:239" type="#_x0000_t75" stroked="false">
              <v:imagedata r:id="rId307" o:title=""/>
            </v:shape>
            <v:shape style="position:absolute;left:3611;top:-481;width:793;height:245" coordorigin="3611,-480" coordsize="793,245" path="m4374,-480l3641,-480,3635,-480,3630,-478,3624,-475,3620,-472,3616,-468,3613,-464,3612,-459,3611,-453,3611,-262,3612,-257,3613,-252,3616,-247,3620,-243,3624,-240,3630,-238,3635,-236,3641,-236,4374,-236,4380,-236,4386,-238,4391,-240,4393,-242,3641,-242,3642,-242,3638,-242,3637,-242,3636,-242,3637,-242,3633,-243,3633,-243,3632,-244,3632,-244,3629,-245,3629,-245,3628,-246,3628,-246,3626,-248,3625,-248,3625,-248,3625,-248,3623,-251,3623,-251,3622,-251,3622,-251,3620,-254,3620,-254,3620,-255,3620,-255,3619,-258,3619,-258,3618,-262,3618,-263,3618,-453,3619,-457,3619,-457,3619,-458,3619,-458,3620,-461,3620,-461,3620,-461,3620,-461,3622,-464,3622,-464,3623,-465,3623,-465,3625,-467,3625,-467,3625,-468,3626,-468,3628,-470,3628,-470,3629,-470,3629,-470,3632,-472,3632,-472,3633,-472,3633,-472,3637,-473,3636,-473,3637,-473,3638,-473,3642,-474,3641,-474,3642,-474,4393,-474,4391,-475,4386,-478,4380,-480,4374,-480xm3642,-242l3641,-242,3642,-242,3642,-242xm4378,-242l4373,-242,4374,-242,4393,-242,4394,-242,4378,-242,4378,-242xm3636,-242l3637,-242,3637,-242,3636,-242xm3637,-242l3637,-242,3638,-242,3637,-242xm4379,-242l4378,-242,4378,-242,4379,-242xm4394,-242l4379,-242,4378,-242,4394,-242,4394,-242xm4383,-244l4378,-242,4379,-242,4394,-242,4395,-243,4382,-243,4383,-244xm3637,-242l3636,-242,3637,-242,3637,-242xm3632,-244l3633,-243,3632,-244,3632,-244xm3632,-244l3633,-243,3633,-243,3632,-244xm4383,-244l4383,-244,4382,-243,4383,-244xm4396,-244l4383,-244,4382,-243,4395,-243,4396,-244xm3632,-244l3632,-244,3632,-244,3632,-244xm4397,-246l4387,-246,4386,-245,4386,-245,4383,-244,4383,-244,4396,-244,4397,-246xm3628,-246l3629,-245,3629,-246,3628,-246xm3629,-246l3629,-245,3629,-245,3629,-246xm4387,-246l4386,-245,4386,-245,4387,-246xm4387,-246l4387,-246,4386,-245,4387,-246xm3628,-246l3628,-246,3629,-246,3628,-246xm4399,-248l4390,-248,4390,-248,4390,-248,4387,-246,4387,-246,4397,-246,4399,-247,4399,-248xm3625,-248l3625,-248,3625,-248,3625,-248xm3625,-248l3625,-248,3626,-248,3625,-248xm4390,-248l4390,-248,4390,-248,4390,-248xm4390,-248l4390,-248,4390,-248,4390,-248xm3625,-248l3625,-248,3625,-248,3625,-248xm4401,-251l4393,-251,4393,-251,4393,-251,4390,-248,4390,-248,4399,-248,4401,-251xm3622,-251l3623,-251,3622,-251,3622,-251xm3622,-251l3623,-251,3623,-251,3622,-251xm4393,-251l4393,-251,4393,-251,4393,-251xm4393,-251l4393,-251,4393,-251,4393,-251xm3622,-251l3622,-251,3622,-251,3622,-251xm4403,-255l4395,-255,4395,-254,4395,-254,4393,-251,4393,-251,4401,-251,4402,-252,4403,-255xm3620,-255l3620,-254,3620,-255,3620,-255xm3620,-255l3620,-254,3620,-254,3620,-255xm4395,-255l4395,-254,4395,-254,4395,-255xm4395,-255l4395,-255,4395,-254,4395,-255xm3620,-255l3620,-255,3620,-255,3620,-255xm4404,-259l4396,-259,4396,-258,4396,-258,4395,-255,4395,-255,4403,-255,4404,-257,4404,-259xm3619,-258l3619,-258,3619,-258,3619,-258xm4396,-258l4396,-258,4396,-258,4396,-258xm3619,-259l3619,-259,3619,-258,3619,-259xm4404,-453l4397,-453,4397,-263,4397,-262,4396,-258,4396,-259,4404,-259,4404,-262,4404,-453xm3618,-263l3618,-263,3618,-263,3618,-263xm4397,-263l4397,-263,4397,-263,4397,-263xm3618,-453l3618,-453,3618,-453,3618,-453xm4404,-458l4396,-458,4396,-457,4396,-457,4397,-453,4397,-453,4404,-453,4404,-458xm3619,-457l3619,-457,3619,-457,3619,-457xm4396,-457l4396,-457,4396,-457,4396,-457xm3619,-458l3619,-458,3619,-457,3619,-458xm4403,-461l4395,-461,4395,-461,4395,-461,4396,-457,4396,-458,4404,-458,4404,-459,4403,-461xm3620,-461l3620,-461,3620,-461,3620,-461xm3620,-461l3620,-461,3620,-461,3620,-461xm4395,-461l4395,-461,4395,-461,4395,-461xm4395,-461l4395,-461,4395,-461,4395,-461xm3620,-461l3620,-461,3620,-461,3620,-461xm4401,-465l4393,-465,4393,-464,4393,-464,4395,-461,4395,-461,4403,-461,4402,-464,4401,-465xm3623,-465l3622,-464,3622,-465,3623,-465xm3622,-465l3622,-464,3622,-464,3622,-465xm4393,-465l4393,-464,4393,-464,4393,-465xm4393,-465l4393,-465,4393,-464,4393,-465xm3623,-465l3623,-465,3622,-465,3623,-465xm4399,-468l4390,-468,4390,-467,4390,-467,4393,-465,4393,-465,4401,-465,4399,-468xm3625,-468l3625,-467,3625,-468,3625,-468xm3625,-468l3625,-467,3625,-467,3625,-468xm4390,-468l4390,-467,4390,-467,4390,-468xm4390,-468l4390,-468,4390,-467,4390,-468xm3626,-468l3625,-468,3625,-468,3626,-468xm4397,-470l4386,-470,4387,-470,4387,-470,4390,-468,4390,-468,4399,-468,4399,-468,4397,-470xm3629,-470l3628,-470,3628,-470,3629,-470xm3628,-470l3628,-470,3628,-470,3628,-470xm4387,-470l4387,-470,4387,-470,4387,-470xm4386,-470l4387,-470,4387,-470,4386,-470xm3629,-470l3629,-470,3628,-470,3629,-470xm4395,-472l4382,-472,4383,-472,4383,-472,4387,-470,4386,-470,4397,-470,4395,-472xm4383,-472l4383,-472,4383,-472,4383,-472xm4382,-472l4383,-472,4383,-472,4382,-472xm3633,-472l3632,-472,3632,-472,3633,-472xm3632,-472l3632,-472,3632,-472,3632,-472xm4378,-473l4383,-472,4382,-472,4395,-472,4394,-473,4379,-473,4378,-473xm3633,-472l3633,-472,3632,-472,3633,-472xm3637,-473l3636,-473,3637,-473,3637,-473xm4378,-473l4379,-473,4379,-473,4378,-473xm4394,-473l4378,-473,4379,-473,4394,-473,4394,-473xm3638,-473l3637,-473,3637,-473,3638,-473xm4393,-474l4373,-474,4374,-474,4374,-474,4378,-473,4378,-473,4394,-473,4393,-474,4373,-474,4393,-474xm4373,-474l3642,-474,4374,-474,4373,-474xe" filled="true" fillcolor="#649c3e" stroked="false">
              <v:path arrowok="t"/>
              <v:fill type="solid"/>
            </v:shape>
            <v:shape style="position:absolute;left:2873;top:-2834;width:373;height:2662" type="#_x0000_t75" stroked="false">
              <v:imagedata r:id="rId308" o:title=""/>
            </v:shape>
            <v:shape style="position:absolute;left:1608;top:-3919;width:9045;height:3851" type="#_x0000_t202" filled="false" stroked="true" strokeweight=".48pt" strokecolor="#000000">
              <v:textbox inset="0,0,0,0">
                <w:txbxContent>
                  <w:p>
                    <w:pPr>
                      <w:spacing w:line="276" w:lineRule="auto" w:before="13"/>
                      <w:ind w:left="88" w:right="109" w:firstLine="0"/>
                      <w:jc w:val="both"/>
                      <w:rPr>
                        <w:sz w:val="22"/>
                      </w:rPr>
                    </w:pPr>
                    <w:r>
                      <w:rPr>
                        <w:sz w:val="22"/>
                      </w:rPr>
                      <w:t>Acciones que sigue implementando el ente recaudador en pro de la reducción de la elusión, evasión y contrabando y que permiten alcanzar la meta de recaudación establecidas en el escenario de mediano plazo.</w:t>
                    </w:r>
                  </w:p>
                  <w:p>
                    <w:pPr>
                      <w:spacing w:line="320" w:lineRule="atLeast" w:before="129"/>
                      <w:ind w:left="3036" w:right="2766" w:firstLine="0"/>
                      <w:jc w:val="left"/>
                      <w:rPr>
                        <w:rFonts w:ascii="Calibri"/>
                        <w:sz w:val="13"/>
                      </w:rPr>
                    </w:pPr>
                    <w:r>
                      <w:rPr>
                        <w:rFonts w:ascii="Calibri"/>
                        <w:w w:val="110"/>
                        <w:sz w:val="13"/>
                      </w:rPr>
                      <w:t>Cambios a la infraestructura de las aduanas Seguimiento al nuevo sistema bancario Declaraguate</w:t>
                    </w:r>
                  </w:p>
                  <w:p>
                    <w:pPr>
                      <w:spacing w:line="240" w:lineRule="auto" w:before="8"/>
                      <w:rPr>
                        <w:rFonts w:ascii="Calibri"/>
                        <w:sz w:val="9"/>
                      </w:rPr>
                    </w:pPr>
                  </w:p>
                  <w:p>
                    <w:pPr>
                      <w:spacing w:line="216" w:lineRule="auto" w:before="0"/>
                      <w:ind w:left="3036" w:right="1390" w:firstLine="0"/>
                      <w:jc w:val="left"/>
                      <w:rPr>
                        <w:rFonts w:ascii="Calibri" w:hAnsi="Calibri"/>
                        <w:sz w:val="13"/>
                      </w:rPr>
                    </w:pPr>
                    <w:r>
                      <w:rPr>
                        <w:rFonts w:ascii="Calibri" w:hAnsi="Calibri"/>
                        <w:w w:val="110"/>
                        <w:sz w:val="13"/>
                      </w:rPr>
                      <w:t>Continuar con la implementación a nivel nacional del modelo de duda razonable</w:t>
                    </w:r>
                  </w:p>
                  <w:p>
                    <w:pPr>
                      <w:spacing w:line="216" w:lineRule="auto" w:before="42"/>
                      <w:ind w:left="3036" w:right="1390" w:firstLine="0"/>
                      <w:jc w:val="left"/>
                      <w:rPr>
                        <w:rFonts w:ascii="Calibri" w:hAnsi="Calibri"/>
                        <w:sz w:val="13"/>
                      </w:rPr>
                    </w:pPr>
                    <w:r>
                      <w:rPr>
                        <w:rFonts w:ascii="Calibri" w:hAnsi="Calibri"/>
                        <w:w w:val="110"/>
                        <w:sz w:val="13"/>
                      </w:rPr>
                      <w:t>Continuar con la firma de reconocimientos mutuos de Operador Económico Autorizado</w:t>
                    </w:r>
                  </w:p>
                  <w:p>
                    <w:pPr>
                      <w:spacing w:line="494" w:lineRule="auto" w:before="101"/>
                      <w:ind w:left="3036" w:right="1390" w:firstLine="0"/>
                      <w:jc w:val="left"/>
                      <w:rPr>
                        <w:rFonts w:ascii="Calibri" w:hAnsi="Calibri"/>
                        <w:sz w:val="13"/>
                      </w:rPr>
                    </w:pPr>
                    <w:r>
                      <w:rPr>
                        <w:rFonts w:ascii="Calibri" w:hAnsi="Calibri"/>
                        <w:w w:val="110"/>
                        <w:sz w:val="13"/>
                      </w:rPr>
                      <w:t>Ampliar las funciones de fiscalización en gerencias especiales y regionales Seguimiento al nuevo modelo de registro fiscal de vehículos</w:t>
                    </w:r>
                  </w:p>
                  <w:p>
                    <w:pPr>
                      <w:spacing w:before="1"/>
                      <w:ind w:left="3036" w:right="0" w:firstLine="0"/>
                      <w:jc w:val="left"/>
                      <w:rPr>
                        <w:rFonts w:ascii="Calibri"/>
                        <w:sz w:val="13"/>
                      </w:rPr>
                    </w:pPr>
                    <w:r>
                      <w:rPr>
                        <w:rFonts w:ascii="Calibri"/>
                        <w:w w:val="110"/>
                        <w:sz w:val="13"/>
                      </w:rPr>
                      <w:t>Garantizar el sistema de alertas de pagos (adeudos)</w:t>
                    </w:r>
                  </w:p>
                  <w:p>
                    <w:pPr>
                      <w:spacing w:line="240" w:lineRule="auto" w:before="0"/>
                      <w:rPr>
                        <w:rFonts w:ascii="Calibri"/>
                        <w:sz w:val="9"/>
                      </w:rPr>
                    </w:pPr>
                  </w:p>
                  <w:p>
                    <w:pPr>
                      <w:spacing w:line="216" w:lineRule="auto" w:before="0"/>
                      <w:ind w:left="3036" w:right="1390" w:firstLine="0"/>
                      <w:jc w:val="left"/>
                      <w:rPr>
                        <w:rFonts w:ascii="Calibri" w:hAnsi="Calibri"/>
                        <w:sz w:val="13"/>
                      </w:rPr>
                    </w:pPr>
                    <w:r>
                      <w:rPr>
                        <w:rFonts w:ascii="Calibri" w:hAnsi="Calibri"/>
                        <w:w w:val="110"/>
                        <w:sz w:val="13"/>
                      </w:rPr>
                      <w:t>Seguimiento a la implementación del plan piloto de etiquetado de radiofrecuencia -RFID-</w:t>
                    </w:r>
                  </w:p>
                </w:txbxContent>
              </v:textbox>
              <v:stroke dashstyle="solid"/>
              <w10:wrap type="none"/>
            </v:shape>
            <w10:wrap type="none"/>
          </v:group>
        </w:pict>
      </w:r>
      <w:r>
        <w:rPr/>
        <w:pict>
          <v:shape style="position:absolute;margin-left:146.113861pt;margin-top:-137.345825pt;width:14.75pt;height:124.65pt;mso-position-horizontal-relative:page;mso-position-vertical-relative:paragraph;z-index:253178880" type="#_x0000_t202" filled="false" stroked="false">
            <v:textbox inset="0,0,0,0" style="layout-flow:vertical;mso-layout-flow-alt:bottom-to-top">
              <w:txbxContent>
                <w:p>
                  <w:pPr>
                    <w:spacing w:line="249" w:lineRule="auto" w:before="2"/>
                    <w:ind w:left="135" w:right="13" w:hanging="116"/>
                    <w:jc w:val="left"/>
                    <w:rPr>
                      <w:rFonts w:ascii="Calibri" w:hAnsi="Calibri"/>
                      <w:sz w:val="11"/>
                    </w:rPr>
                  </w:pPr>
                  <w:r>
                    <w:rPr>
                      <w:rFonts w:ascii="Calibri" w:hAnsi="Calibri"/>
                      <w:w w:val="95"/>
                      <w:sz w:val="11"/>
                    </w:rPr>
                    <w:t>Gobierno</w:t>
                  </w:r>
                  <w:r>
                    <w:rPr>
                      <w:rFonts w:ascii="Calibri" w:hAnsi="Calibri"/>
                      <w:spacing w:val="-8"/>
                      <w:w w:val="95"/>
                      <w:sz w:val="11"/>
                    </w:rPr>
                    <w:t> </w:t>
                  </w:r>
                  <w:r>
                    <w:rPr>
                      <w:rFonts w:ascii="Calibri" w:hAnsi="Calibri"/>
                      <w:w w:val="95"/>
                      <w:sz w:val="11"/>
                    </w:rPr>
                    <w:t>de</w:t>
                  </w:r>
                  <w:r>
                    <w:rPr>
                      <w:rFonts w:ascii="Calibri" w:hAnsi="Calibri"/>
                      <w:spacing w:val="-9"/>
                      <w:w w:val="95"/>
                      <w:sz w:val="11"/>
                    </w:rPr>
                    <w:t> </w:t>
                  </w:r>
                  <w:r>
                    <w:rPr>
                      <w:rFonts w:ascii="Calibri" w:hAnsi="Calibri"/>
                      <w:w w:val="95"/>
                      <w:sz w:val="11"/>
                    </w:rPr>
                    <w:t>Datos,</w:t>
                  </w:r>
                  <w:r>
                    <w:rPr>
                      <w:rFonts w:ascii="Calibri" w:hAnsi="Calibri"/>
                      <w:spacing w:val="-10"/>
                      <w:w w:val="95"/>
                      <w:sz w:val="11"/>
                    </w:rPr>
                    <w:t> </w:t>
                  </w:r>
                  <w:r>
                    <w:rPr>
                      <w:rFonts w:ascii="Calibri" w:hAnsi="Calibri"/>
                      <w:w w:val="95"/>
                      <w:sz w:val="11"/>
                    </w:rPr>
                    <w:t>herramientas</w:t>
                  </w:r>
                  <w:r>
                    <w:rPr>
                      <w:rFonts w:ascii="Calibri" w:hAnsi="Calibri"/>
                      <w:spacing w:val="-8"/>
                      <w:w w:val="95"/>
                      <w:sz w:val="11"/>
                    </w:rPr>
                    <w:t> </w:t>
                  </w:r>
                  <w:r>
                    <w:rPr>
                      <w:rFonts w:ascii="Calibri" w:hAnsi="Calibri"/>
                      <w:w w:val="95"/>
                      <w:sz w:val="11"/>
                    </w:rPr>
                    <w:t>electrónicas,</w:t>
                  </w:r>
                  <w:r>
                    <w:rPr>
                      <w:rFonts w:ascii="Calibri" w:hAnsi="Calibri"/>
                      <w:spacing w:val="-8"/>
                      <w:w w:val="95"/>
                      <w:sz w:val="11"/>
                    </w:rPr>
                    <w:t> </w:t>
                  </w:r>
                  <w:r>
                    <w:rPr>
                      <w:rFonts w:ascii="Calibri" w:hAnsi="Calibri"/>
                      <w:w w:val="95"/>
                      <w:sz w:val="11"/>
                    </w:rPr>
                    <w:t>integración </w:t>
                  </w:r>
                  <w:r>
                    <w:rPr>
                      <w:rFonts w:ascii="Calibri" w:hAnsi="Calibri"/>
                      <w:sz w:val="11"/>
                    </w:rPr>
                    <w:t>de</w:t>
                  </w:r>
                  <w:r>
                    <w:rPr>
                      <w:rFonts w:ascii="Calibri" w:hAnsi="Calibri"/>
                      <w:spacing w:val="-12"/>
                      <w:sz w:val="11"/>
                    </w:rPr>
                    <w:t> </w:t>
                  </w:r>
                  <w:r>
                    <w:rPr>
                      <w:rFonts w:ascii="Calibri" w:hAnsi="Calibri"/>
                      <w:sz w:val="11"/>
                    </w:rPr>
                    <w:t>trabajo</w:t>
                  </w:r>
                  <w:r>
                    <w:rPr>
                      <w:rFonts w:ascii="Calibri" w:hAnsi="Calibri"/>
                      <w:spacing w:val="-12"/>
                      <w:sz w:val="11"/>
                    </w:rPr>
                    <w:t> </w:t>
                  </w:r>
                  <w:r>
                    <w:rPr>
                      <w:rFonts w:ascii="Calibri" w:hAnsi="Calibri"/>
                      <w:sz w:val="11"/>
                    </w:rPr>
                    <w:t>de</w:t>
                  </w:r>
                  <w:r>
                    <w:rPr>
                      <w:rFonts w:ascii="Calibri" w:hAnsi="Calibri"/>
                      <w:spacing w:val="-12"/>
                      <w:sz w:val="11"/>
                    </w:rPr>
                    <w:t> </w:t>
                  </w:r>
                  <w:r>
                    <w:rPr>
                      <w:rFonts w:ascii="Calibri" w:hAnsi="Calibri"/>
                      <w:sz w:val="11"/>
                    </w:rPr>
                    <w:t>las</w:t>
                  </w:r>
                  <w:r>
                    <w:rPr>
                      <w:rFonts w:ascii="Calibri" w:hAnsi="Calibri"/>
                      <w:spacing w:val="-13"/>
                      <w:sz w:val="11"/>
                    </w:rPr>
                    <w:t> </w:t>
                  </w:r>
                  <w:r>
                    <w:rPr>
                      <w:rFonts w:ascii="Calibri" w:hAnsi="Calibri"/>
                      <w:sz w:val="11"/>
                    </w:rPr>
                    <w:t>Intendencias</w:t>
                  </w:r>
                  <w:r>
                    <w:rPr>
                      <w:rFonts w:ascii="Calibri" w:hAnsi="Calibri"/>
                      <w:spacing w:val="-13"/>
                      <w:sz w:val="11"/>
                    </w:rPr>
                    <w:t> </w:t>
                  </w:r>
                  <w:r>
                    <w:rPr>
                      <w:rFonts w:ascii="Calibri" w:hAnsi="Calibri"/>
                      <w:sz w:val="11"/>
                    </w:rPr>
                    <w:t>y</w:t>
                  </w:r>
                  <w:r>
                    <w:rPr>
                      <w:rFonts w:ascii="Calibri" w:hAnsi="Calibri"/>
                      <w:spacing w:val="-12"/>
                      <w:sz w:val="11"/>
                    </w:rPr>
                    <w:t> </w:t>
                  </w:r>
                  <w:r>
                    <w:rPr>
                      <w:rFonts w:ascii="Calibri" w:hAnsi="Calibri"/>
                      <w:sz w:val="11"/>
                    </w:rPr>
                    <w:t>acciones</w:t>
                  </w:r>
                  <w:r>
                    <w:rPr>
                      <w:rFonts w:ascii="Calibri" w:hAnsi="Calibri"/>
                      <w:spacing w:val="-12"/>
                      <w:sz w:val="11"/>
                    </w:rPr>
                    <w:t> </w:t>
                  </w:r>
                  <w:r>
                    <w:rPr>
                      <w:rFonts w:ascii="Calibri" w:hAnsi="Calibri"/>
                      <w:sz w:val="11"/>
                    </w:rPr>
                    <w:t>en</w:t>
                  </w:r>
                  <w:r>
                    <w:rPr>
                      <w:rFonts w:ascii="Calibri" w:hAnsi="Calibri"/>
                      <w:spacing w:val="-12"/>
                      <w:sz w:val="11"/>
                    </w:rPr>
                    <w:t> </w:t>
                  </w:r>
                  <w:r>
                    <w:rPr>
                      <w:rFonts w:ascii="Calibri" w:hAnsi="Calibri"/>
                      <w:sz w:val="11"/>
                    </w:rPr>
                    <w:t>aduanas</w:t>
                  </w:r>
                </w:p>
              </w:txbxContent>
            </v:textbox>
            <w10:wrap type="none"/>
          </v:shape>
        </w:pict>
      </w:r>
      <w:r>
        <w:rPr/>
        <w:t>Además, es importante indicar que, la estimación de medidas administrativas encaminadas a reducir la evasión tributaria no constituye base para la estimación del año siguiente, las medidas administrativas se registran en el rubro de otros indirectos y otros directos. El monto estimado para el escenario de mediano plazo 2023-2027 se elaboró con el escenario macroeconómico rango bajo. Para 2023 los principales impuestos ISR e IVA total, en conjunto representan el 77.6% de la recaudación total, se prevé un crecimiento de las importaciones en torno al 6.5% en 2023 monto inferior al observado en 2022 (10.5%), este escenario es conservador y es el recomendado para considerarse para el Presupuesto General de Ingresos y Egresos del Estado 2023 y multianual 2024- 2027.</w:t>
      </w:r>
    </w:p>
    <w:p>
      <w:pPr>
        <w:spacing w:before="5"/>
        <w:ind w:left="1395" w:right="2529" w:firstLine="0"/>
        <w:jc w:val="center"/>
        <w:rPr>
          <w:b/>
          <w:i/>
          <w:sz w:val="22"/>
        </w:rPr>
      </w:pPr>
      <w:bookmarkStart w:name="_bookmark210" w:id="271"/>
      <w:bookmarkEnd w:id="271"/>
      <w:r>
        <w:rPr/>
      </w:r>
      <w:r>
        <w:rPr>
          <w:b/>
          <w:i/>
          <w:sz w:val="20"/>
        </w:rPr>
        <w:t>Tabla 19. </w:t>
      </w:r>
      <w:r>
        <w:rPr>
          <w:b/>
          <w:i/>
          <w:sz w:val="22"/>
        </w:rPr>
        <w:t>Recaudación tributaria neta</w:t>
      </w:r>
    </w:p>
    <w:p>
      <w:pPr>
        <w:spacing w:before="35"/>
        <w:ind w:left="1395" w:right="2532" w:firstLine="0"/>
        <w:jc w:val="center"/>
        <w:rPr>
          <w:sz w:val="20"/>
        </w:rPr>
      </w:pPr>
      <w:r>
        <w:rPr>
          <w:sz w:val="20"/>
        </w:rPr>
        <w:t>2022 – 2027</w:t>
      </w:r>
    </w:p>
    <w:p>
      <w:pPr>
        <w:spacing w:before="34" w:after="37"/>
        <w:ind w:left="1395" w:right="2536" w:firstLine="0"/>
        <w:jc w:val="center"/>
        <w:rPr>
          <w:sz w:val="20"/>
        </w:rPr>
      </w:pPr>
      <w:r>
        <w:rPr/>
        <w:pict>
          <v:line style="position:absolute;mso-position-horizontal-relative:page;mso-position-vertical-relative:paragraph;z-index:253163520" from="511.597931pt,57.924915pt" to="511.597931pt,57.924915pt" stroked="true" strokeweight=".311459pt" strokecolor="#dfdfdf">
            <v:stroke dashstyle="solid"/>
            <w10:wrap type="none"/>
          </v:line>
        </w:pict>
      </w:r>
      <w:r>
        <w:rPr/>
        <w:pict>
          <v:line style="position:absolute;mso-position-horizontal-relative:page;mso-position-vertical-relative:paragraph;z-index:253164544" from="511.597931pt,85.989456pt" to="511.597931pt,85.989456pt" stroked="true" strokeweight=".311459pt" strokecolor="#dfdfdf">
            <v:stroke dashstyle="solid"/>
            <w10:wrap type="none"/>
          </v:line>
        </w:pict>
      </w:r>
      <w:r>
        <w:rPr/>
        <w:pict>
          <v:line style="position:absolute;mso-position-horizontal-relative:page;mso-position-vertical-relative:paragraph;z-index:253165568" from="511.597931pt,95.34153pt" to="511.597931pt,95.34153pt" stroked="true" strokeweight=".311459pt" strokecolor="#dfdfdf">
            <v:stroke dashstyle="solid"/>
            <w10:wrap type="none"/>
          </v:line>
        </w:pict>
      </w:r>
      <w:r>
        <w:rPr/>
        <w:pict>
          <v:line style="position:absolute;mso-position-horizontal-relative:page;mso-position-vertical-relative:paragraph;z-index:253166592" from="511.597931pt,104.697762pt" to="511.597931pt,104.697762pt" stroked="true" strokeweight=".311459pt" strokecolor="#dfdfdf">
            <v:stroke dashstyle="solid"/>
            <w10:wrap type="none"/>
          </v:line>
        </w:pict>
      </w:r>
      <w:r>
        <w:rPr/>
        <w:pict>
          <v:line style="position:absolute;mso-position-horizontal-relative:page;mso-position-vertical-relative:paragraph;z-index:253167616" from="511.597931pt,114.049843pt" to="511.597931pt,114.049843pt" stroked="true" strokeweight=".311459pt" strokecolor="#dfdfdf">
            <v:stroke dashstyle="solid"/>
            <w10:wrap type="none"/>
          </v:line>
        </w:pict>
      </w:r>
      <w:r>
        <w:rPr/>
        <w:pict>
          <v:line style="position:absolute;mso-position-horizontal-relative:page;mso-position-vertical-relative:paragraph;z-index:253168640" from="511.597931pt,123.406075pt" to="511.597931pt,123.406075pt" stroked="true" strokeweight=".311459pt" strokecolor="#dfdfdf">
            <v:stroke dashstyle="solid"/>
            <w10:wrap type="none"/>
          </v:line>
        </w:pict>
      </w:r>
      <w:r>
        <w:rPr/>
        <w:pict>
          <v:line style="position:absolute;mso-position-horizontal-relative:page;mso-position-vertical-relative:paragraph;z-index:253169664" from="511.597931pt,132.758148pt" to="511.597931pt,132.758148pt" stroked="true" strokeweight=".311459pt" strokecolor="#dfdfdf">
            <v:stroke dashstyle="solid"/>
            <w10:wrap type="none"/>
          </v:line>
        </w:pict>
      </w:r>
      <w:r>
        <w:rPr>
          <w:sz w:val="20"/>
        </w:rPr>
        <w:t>Millones de quetzales</w:t>
      </w:r>
    </w:p>
    <w:tbl>
      <w:tblPr>
        <w:tblW w:w="0" w:type="auto"/>
        <w:jc w:val="left"/>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2"/>
        <w:gridCol w:w="730"/>
        <w:gridCol w:w="687"/>
        <w:gridCol w:w="624"/>
        <w:gridCol w:w="624"/>
        <w:gridCol w:w="624"/>
        <w:gridCol w:w="624"/>
        <w:gridCol w:w="624"/>
        <w:gridCol w:w="624"/>
        <w:gridCol w:w="624"/>
      </w:tblGrid>
      <w:tr>
        <w:trPr>
          <w:trHeight w:val="114" w:hRule="atLeast"/>
        </w:trPr>
        <w:tc>
          <w:tcPr>
            <w:tcW w:w="2432" w:type="dxa"/>
            <w:vMerge w:val="restart"/>
            <w:shd w:val="clear" w:color="auto" w:fill="44536A"/>
          </w:tcPr>
          <w:p>
            <w:pPr>
              <w:pStyle w:val="TableParagraph"/>
              <w:spacing w:before="63"/>
              <w:ind w:left="749"/>
              <w:rPr>
                <w:rFonts w:ascii="Arial" w:hAnsi="Arial"/>
                <w:b/>
                <w:i/>
                <w:sz w:val="13"/>
              </w:rPr>
            </w:pPr>
            <w:r>
              <w:rPr>
                <w:rFonts w:ascii="Arial" w:hAnsi="Arial"/>
                <w:b/>
                <w:i/>
                <w:color w:val="FFFFFF"/>
                <w:sz w:val="13"/>
              </w:rPr>
              <w:t>DESCRIPCIÓN</w:t>
            </w:r>
          </w:p>
        </w:tc>
        <w:tc>
          <w:tcPr>
            <w:tcW w:w="730" w:type="dxa"/>
            <w:vMerge w:val="restart"/>
            <w:shd w:val="clear" w:color="auto" w:fill="44536A"/>
          </w:tcPr>
          <w:p>
            <w:pPr>
              <w:pStyle w:val="TableParagraph"/>
              <w:spacing w:line="120" w:lineRule="atLeast" w:before="18"/>
              <w:ind w:left="244" w:hanging="156"/>
              <w:rPr>
                <w:rFonts w:ascii="Arial"/>
                <w:b/>
                <w:i/>
                <w:sz w:val="10"/>
              </w:rPr>
            </w:pPr>
            <w:r>
              <w:rPr>
                <w:rFonts w:ascii="Arial"/>
                <w:b/>
                <w:i/>
                <w:color w:val="FFFFFF"/>
                <w:sz w:val="10"/>
              </w:rPr>
              <w:t>Recaudado </w:t>
            </w:r>
            <w:r>
              <w:rPr>
                <w:rFonts w:ascii="Arial"/>
                <w:b/>
                <w:i/>
                <w:color w:val="FFFFFF"/>
                <w:sz w:val="10"/>
              </w:rPr>
              <w:t>2019</w:t>
            </w:r>
          </w:p>
        </w:tc>
        <w:tc>
          <w:tcPr>
            <w:tcW w:w="687" w:type="dxa"/>
            <w:vMerge w:val="restart"/>
            <w:shd w:val="clear" w:color="auto" w:fill="44536A"/>
          </w:tcPr>
          <w:p>
            <w:pPr>
              <w:pStyle w:val="TableParagraph"/>
              <w:spacing w:line="120" w:lineRule="atLeast" w:before="18"/>
              <w:ind w:left="218" w:hanging="156"/>
              <w:rPr>
                <w:rFonts w:ascii="Arial"/>
                <w:b/>
                <w:i/>
                <w:sz w:val="10"/>
              </w:rPr>
            </w:pPr>
            <w:r>
              <w:rPr>
                <w:rFonts w:ascii="Arial"/>
                <w:b/>
                <w:i/>
                <w:color w:val="FFFFFF"/>
                <w:sz w:val="10"/>
              </w:rPr>
              <w:t>Recaudado </w:t>
            </w:r>
            <w:r>
              <w:rPr>
                <w:rFonts w:ascii="Arial"/>
                <w:b/>
                <w:i/>
                <w:color w:val="FFFFFF"/>
                <w:sz w:val="10"/>
              </w:rPr>
              <w:t>2020</w:t>
            </w:r>
          </w:p>
        </w:tc>
        <w:tc>
          <w:tcPr>
            <w:tcW w:w="624" w:type="dxa"/>
            <w:vMerge w:val="restart"/>
            <w:shd w:val="clear" w:color="auto" w:fill="44536A"/>
          </w:tcPr>
          <w:p>
            <w:pPr>
              <w:pStyle w:val="TableParagraph"/>
              <w:spacing w:line="120" w:lineRule="atLeast" w:before="18"/>
              <w:ind w:left="186" w:hanging="156"/>
              <w:rPr>
                <w:rFonts w:ascii="Arial"/>
                <w:b/>
                <w:i/>
                <w:sz w:val="10"/>
              </w:rPr>
            </w:pPr>
            <w:r>
              <w:rPr>
                <w:rFonts w:ascii="Arial"/>
                <w:b/>
                <w:i/>
                <w:color w:val="FFFFFF"/>
                <w:sz w:val="10"/>
              </w:rPr>
              <w:t>Recaudado </w:t>
            </w:r>
            <w:r>
              <w:rPr>
                <w:rFonts w:ascii="Arial"/>
                <w:b/>
                <w:i/>
                <w:color w:val="FFFFFF"/>
                <w:sz w:val="10"/>
              </w:rPr>
              <w:t>2021</w:t>
            </w:r>
          </w:p>
        </w:tc>
        <w:tc>
          <w:tcPr>
            <w:tcW w:w="624" w:type="dxa"/>
            <w:tcBorders>
              <w:right w:val="nil"/>
            </w:tcBorders>
            <w:shd w:val="clear" w:color="auto" w:fill="2F5395"/>
          </w:tcPr>
          <w:p>
            <w:pPr>
              <w:pStyle w:val="TableParagraph"/>
              <w:rPr>
                <w:sz w:val="6"/>
              </w:rPr>
            </w:pPr>
          </w:p>
        </w:tc>
        <w:tc>
          <w:tcPr>
            <w:tcW w:w="624" w:type="dxa"/>
            <w:tcBorders>
              <w:left w:val="nil"/>
              <w:right w:val="nil"/>
            </w:tcBorders>
            <w:shd w:val="clear" w:color="auto" w:fill="2F5395"/>
          </w:tcPr>
          <w:p>
            <w:pPr>
              <w:pStyle w:val="TableParagraph"/>
              <w:rPr>
                <w:sz w:val="6"/>
              </w:rPr>
            </w:pPr>
          </w:p>
        </w:tc>
        <w:tc>
          <w:tcPr>
            <w:tcW w:w="624" w:type="dxa"/>
            <w:tcBorders>
              <w:left w:val="nil"/>
              <w:right w:val="nil"/>
            </w:tcBorders>
            <w:shd w:val="clear" w:color="auto" w:fill="2F5395"/>
          </w:tcPr>
          <w:p>
            <w:pPr>
              <w:pStyle w:val="TableParagraph"/>
              <w:spacing w:line="87" w:lineRule="exact" w:before="7"/>
              <w:ind w:left="-23" w:right="-29"/>
              <w:jc w:val="center"/>
              <w:rPr>
                <w:rFonts w:ascii="Arial" w:hAnsi="Arial"/>
                <w:b/>
                <w:sz w:val="9"/>
              </w:rPr>
            </w:pPr>
            <w:r>
              <w:rPr>
                <w:rFonts w:ascii="Arial" w:hAnsi="Arial"/>
                <w:b/>
                <w:color w:val="FFFFFF"/>
                <w:spacing w:val="-3"/>
                <w:w w:val="105"/>
                <w:sz w:val="9"/>
              </w:rPr>
              <w:t>Estimación </w:t>
            </w:r>
            <w:r>
              <w:rPr>
                <w:rFonts w:ascii="Arial" w:hAnsi="Arial"/>
                <w:b/>
                <w:color w:val="FFFFFF"/>
                <w:w w:val="105"/>
                <w:sz w:val="9"/>
              </w:rPr>
              <w:t>de</w:t>
            </w:r>
            <w:r>
              <w:rPr>
                <w:rFonts w:ascii="Arial" w:hAnsi="Arial"/>
                <w:b/>
                <w:color w:val="FFFFFF"/>
                <w:spacing w:val="-1"/>
                <w:w w:val="105"/>
                <w:sz w:val="9"/>
              </w:rPr>
              <w:t> </w:t>
            </w:r>
            <w:r>
              <w:rPr>
                <w:rFonts w:ascii="Arial" w:hAnsi="Arial"/>
                <w:b/>
                <w:color w:val="FFFFFF"/>
                <w:w w:val="105"/>
                <w:sz w:val="9"/>
              </w:rPr>
              <w:t>l</w:t>
            </w:r>
          </w:p>
        </w:tc>
        <w:tc>
          <w:tcPr>
            <w:tcW w:w="624" w:type="dxa"/>
            <w:tcBorders>
              <w:left w:val="nil"/>
              <w:right w:val="nil"/>
            </w:tcBorders>
            <w:shd w:val="clear" w:color="auto" w:fill="2F5395"/>
          </w:tcPr>
          <w:p>
            <w:pPr>
              <w:pStyle w:val="TableParagraph"/>
              <w:spacing w:line="87" w:lineRule="exact" w:before="7"/>
              <w:ind w:left="20" w:right="-15"/>
              <w:jc w:val="center"/>
              <w:rPr>
                <w:rFonts w:ascii="Arial" w:hAnsi="Arial"/>
                <w:b/>
                <w:sz w:val="9"/>
              </w:rPr>
            </w:pPr>
            <w:r>
              <w:rPr>
                <w:rFonts w:ascii="Arial" w:hAnsi="Arial"/>
                <w:b/>
                <w:color w:val="FFFFFF"/>
                <w:sz w:val="9"/>
              </w:rPr>
              <w:t>a</w:t>
            </w:r>
            <w:r>
              <w:rPr>
                <w:rFonts w:ascii="Arial" w:hAnsi="Arial"/>
                <w:b/>
                <w:color w:val="FFFFFF"/>
                <w:spacing w:val="2"/>
                <w:sz w:val="9"/>
              </w:rPr>
              <w:t> </w:t>
            </w:r>
            <w:r>
              <w:rPr>
                <w:rFonts w:ascii="Arial" w:hAnsi="Arial"/>
                <w:b/>
                <w:color w:val="FFFFFF"/>
                <w:sz w:val="9"/>
              </w:rPr>
              <w:t>recaudación</w:t>
            </w:r>
          </w:p>
        </w:tc>
        <w:tc>
          <w:tcPr>
            <w:tcW w:w="624" w:type="dxa"/>
            <w:tcBorders>
              <w:top w:val="nil"/>
              <w:left w:val="nil"/>
              <w:right w:val="nil"/>
            </w:tcBorders>
            <w:shd w:val="clear" w:color="auto" w:fill="2F5395"/>
          </w:tcPr>
          <w:p>
            <w:pPr>
              <w:pStyle w:val="TableParagraph"/>
              <w:rPr>
                <w:sz w:val="6"/>
              </w:rPr>
            </w:pPr>
          </w:p>
        </w:tc>
        <w:tc>
          <w:tcPr>
            <w:tcW w:w="624" w:type="dxa"/>
            <w:tcBorders>
              <w:top w:val="nil"/>
              <w:left w:val="nil"/>
              <w:right w:val="nil"/>
            </w:tcBorders>
            <w:shd w:val="clear" w:color="auto" w:fill="2F5395"/>
          </w:tcPr>
          <w:p>
            <w:pPr>
              <w:pStyle w:val="TableParagraph"/>
              <w:rPr>
                <w:sz w:val="6"/>
              </w:rPr>
            </w:pPr>
          </w:p>
        </w:tc>
      </w:tr>
      <w:tr>
        <w:trPr>
          <w:trHeight w:val="158" w:hRule="atLeast"/>
        </w:trPr>
        <w:tc>
          <w:tcPr>
            <w:tcW w:w="2432" w:type="dxa"/>
            <w:vMerge/>
            <w:tcBorders>
              <w:top w:val="nil"/>
            </w:tcBorders>
            <w:shd w:val="clear" w:color="auto" w:fill="44536A"/>
          </w:tcPr>
          <w:p>
            <w:pPr>
              <w:rPr>
                <w:sz w:val="2"/>
                <w:szCs w:val="2"/>
              </w:rPr>
            </w:pPr>
          </w:p>
        </w:tc>
        <w:tc>
          <w:tcPr>
            <w:tcW w:w="730" w:type="dxa"/>
            <w:vMerge/>
            <w:tcBorders>
              <w:top w:val="nil"/>
            </w:tcBorders>
            <w:shd w:val="clear" w:color="auto" w:fill="44536A"/>
          </w:tcPr>
          <w:p>
            <w:pPr>
              <w:rPr>
                <w:sz w:val="2"/>
                <w:szCs w:val="2"/>
              </w:rPr>
            </w:pPr>
          </w:p>
        </w:tc>
        <w:tc>
          <w:tcPr>
            <w:tcW w:w="687" w:type="dxa"/>
            <w:vMerge/>
            <w:tcBorders>
              <w:top w:val="nil"/>
            </w:tcBorders>
            <w:shd w:val="clear" w:color="auto" w:fill="44536A"/>
          </w:tcPr>
          <w:p>
            <w:pPr>
              <w:rPr>
                <w:sz w:val="2"/>
                <w:szCs w:val="2"/>
              </w:rPr>
            </w:pPr>
          </w:p>
        </w:tc>
        <w:tc>
          <w:tcPr>
            <w:tcW w:w="624" w:type="dxa"/>
            <w:vMerge/>
            <w:tcBorders>
              <w:top w:val="nil"/>
            </w:tcBorders>
            <w:shd w:val="clear" w:color="auto" w:fill="44536A"/>
          </w:tcPr>
          <w:p>
            <w:pPr>
              <w:rPr>
                <w:sz w:val="2"/>
                <w:szCs w:val="2"/>
              </w:rPr>
            </w:pPr>
          </w:p>
        </w:tc>
        <w:tc>
          <w:tcPr>
            <w:tcW w:w="624" w:type="dxa"/>
            <w:shd w:val="clear" w:color="auto" w:fill="2F5395"/>
          </w:tcPr>
          <w:p>
            <w:pPr>
              <w:pStyle w:val="TableParagraph"/>
              <w:spacing w:line="131" w:lineRule="exact" w:before="7"/>
              <w:ind w:right="164"/>
              <w:jc w:val="right"/>
              <w:rPr>
                <w:rFonts w:ascii="Arial"/>
                <w:b/>
                <w:i/>
                <w:sz w:val="13"/>
              </w:rPr>
            </w:pPr>
            <w:r>
              <w:rPr>
                <w:rFonts w:ascii="Arial"/>
                <w:b/>
                <w:i/>
                <w:color w:val="FFFFFF"/>
                <w:sz w:val="13"/>
              </w:rPr>
              <w:t>2022</w:t>
            </w:r>
          </w:p>
        </w:tc>
        <w:tc>
          <w:tcPr>
            <w:tcW w:w="624" w:type="dxa"/>
            <w:shd w:val="clear" w:color="auto" w:fill="2F5395"/>
          </w:tcPr>
          <w:p>
            <w:pPr>
              <w:pStyle w:val="TableParagraph"/>
              <w:spacing w:line="131" w:lineRule="exact" w:before="7"/>
              <w:ind w:left="48" w:right="65"/>
              <w:jc w:val="center"/>
              <w:rPr>
                <w:rFonts w:ascii="Arial"/>
                <w:b/>
                <w:i/>
                <w:sz w:val="13"/>
              </w:rPr>
            </w:pPr>
            <w:r>
              <w:rPr>
                <w:rFonts w:ascii="Arial"/>
                <w:b/>
                <w:i/>
                <w:color w:val="FFFFFF"/>
                <w:sz w:val="13"/>
              </w:rPr>
              <w:t>2023</w:t>
            </w:r>
          </w:p>
        </w:tc>
        <w:tc>
          <w:tcPr>
            <w:tcW w:w="624" w:type="dxa"/>
            <w:shd w:val="clear" w:color="auto" w:fill="2F5395"/>
          </w:tcPr>
          <w:p>
            <w:pPr>
              <w:pStyle w:val="TableParagraph"/>
              <w:spacing w:line="131" w:lineRule="exact" w:before="7"/>
              <w:ind w:left="47" w:right="65"/>
              <w:jc w:val="center"/>
              <w:rPr>
                <w:rFonts w:ascii="Arial"/>
                <w:b/>
                <w:i/>
                <w:sz w:val="13"/>
              </w:rPr>
            </w:pPr>
            <w:r>
              <w:rPr>
                <w:rFonts w:ascii="Arial"/>
                <w:b/>
                <w:i/>
                <w:color w:val="FFFFFF"/>
                <w:sz w:val="13"/>
              </w:rPr>
              <w:t>2024</w:t>
            </w:r>
          </w:p>
        </w:tc>
        <w:tc>
          <w:tcPr>
            <w:tcW w:w="624" w:type="dxa"/>
            <w:shd w:val="clear" w:color="auto" w:fill="2F5395"/>
          </w:tcPr>
          <w:p>
            <w:pPr>
              <w:pStyle w:val="TableParagraph"/>
              <w:spacing w:line="131" w:lineRule="exact" w:before="7"/>
              <w:ind w:left="46" w:right="65"/>
              <w:jc w:val="center"/>
              <w:rPr>
                <w:rFonts w:ascii="Arial"/>
                <w:b/>
                <w:i/>
                <w:sz w:val="13"/>
              </w:rPr>
            </w:pPr>
            <w:r>
              <w:rPr>
                <w:rFonts w:ascii="Arial"/>
                <w:b/>
                <w:i/>
                <w:color w:val="FFFFFF"/>
                <w:sz w:val="13"/>
              </w:rPr>
              <w:t>2025</w:t>
            </w:r>
          </w:p>
        </w:tc>
        <w:tc>
          <w:tcPr>
            <w:tcW w:w="624" w:type="dxa"/>
            <w:shd w:val="clear" w:color="auto" w:fill="2F5395"/>
          </w:tcPr>
          <w:p>
            <w:pPr>
              <w:pStyle w:val="TableParagraph"/>
              <w:spacing w:line="131" w:lineRule="exact" w:before="7"/>
              <w:ind w:right="166"/>
              <w:jc w:val="right"/>
              <w:rPr>
                <w:rFonts w:ascii="Arial"/>
                <w:b/>
                <w:i/>
                <w:sz w:val="13"/>
              </w:rPr>
            </w:pPr>
            <w:r>
              <w:rPr>
                <w:rFonts w:ascii="Arial"/>
                <w:b/>
                <w:i/>
                <w:color w:val="FFFFFF"/>
                <w:sz w:val="13"/>
              </w:rPr>
              <w:t>2026</w:t>
            </w:r>
          </w:p>
        </w:tc>
        <w:tc>
          <w:tcPr>
            <w:tcW w:w="624" w:type="dxa"/>
            <w:shd w:val="clear" w:color="auto" w:fill="2F5395"/>
          </w:tcPr>
          <w:p>
            <w:pPr>
              <w:pStyle w:val="TableParagraph"/>
              <w:spacing w:line="131" w:lineRule="exact" w:before="7"/>
              <w:ind w:left="145"/>
              <w:rPr>
                <w:rFonts w:ascii="Arial"/>
                <w:b/>
                <w:i/>
                <w:sz w:val="13"/>
              </w:rPr>
            </w:pPr>
            <w:r>
              <w:rPr>
                <w:rFonts w:ascii="Arial"/>
                <w:b/>
                <w:i/>
                <w:color w:val="FFFFFF"/>
                <w:sz w:val="13"/>
              </w:rPr>
              <w:t>2027</w:t>
            </w:r>
          </w:p>
        </w:tc>
      </w:tr>
      <w:tr>
        <w:trPr>
          <w:trHeight w:val="178" w:hRule="atLeast"/>
        </w:trPr>
        <w:tc>
          <w:tcPr>
            <w:tcW w:w="2432" w:type="dxa"/>
            <w:tcBorders>
              <w:bottom w:val="nil"/>
            </w:tcBorders>
            <w:shd w:val="clear" w:color="auto" w:fill="8496AF"/>
          </w:tcPr>
          <w:p>
            <w:pPr>
              <w:pStyle w:val="TableParagraph"/>
              <w:spacing w:before="35"/>
              <w:ind w:left="75"/>
              <w:rPr>
                <w:rFonts w:ascii="Arial" w:hAnsi="Arial"/>
                <w:b/>
                <w:i/>
                <w:sz w:val="10"/>
              </w:rPr>
            </w:pPr>
            <w:r>
              <w:rPr>
                <w:rFonts w:ascii="Arial" w:hAnsi="Arial"/>
                <w:b/>
                <w:i/>
                <w:color w:val="FFFFFF"/>
                <w:w w:val="105"/>
                <w:sz w:val="10"/>
              </w:rPr>
              <w:t>RECAUDACIÓN TRIBUTARIA SAT</w:t>
            </w:r>
          </w:p>
        </w:tc>
        <w:tc>
          <w:tcPr>
            <w:tcW w:w="730" w:type="dxa"/>
            <w:tcBorders>
              <w:bottom w:val="nil"/>
            </w:tcBorders>
            <w:shd w:val="clear" w:color="auto" w:fill="8496AF"/>
          </w:tcPr>
          <w:p>
            <w:pPr>
              <w:pStyle w:val="TableParagraph"/>
              <w:spacing w:before="35"/>
              <w:ind w:left="156"/>
              <w:rPr>
                <w:rFonts w:ascii="Arial"/>
                <w:b/>
                <w:i/>
                <w:sz w:val="10"/>
              </w:rPr>
            </w:pPr>
            <w:r>
              <w:rPr>
                <w:rFonts w:ascii="Arial"/>
                <w:b/>
                <w:i/>
                <w:color w:val="FFFFFF"/>
                <w:w w:val="105"/>
                <w:sz w:val="10"/>
              </w:rPr>
              <w:t>62,077.3</w:t>
            </w:r>
          </w:p>
        </w:tc>
        <w:tc>
          <w:tcPr>
            <w:tcW w:w="687" w:type="dxa"/>
            <w:tcBorders>
              <w:bottom w:val="nil"/>
            </w:tcBorders>
            <w:shd w:val="clear" w:color="auto" w:fill="8496AF"/>
          </w:tcPr>
          <w:p>
            <w:pPr>
              <w:pStyle w:val="TableParagraph"/>
              <w:spacing w:before="35"/>
              <w:ind w:right="148"/>
              <w:jc w:val="right"/>
              <w:rPr>
                <w:rFonts w:ascii="Arial"/>
                <w:b/>
                <w:i/>
                <w:sz w:val="10"/>
              </w:rPr>
            </w:pPr>
            <w:r>
              <w:rPr>
                <w:rFonts w:ascii="Arial"/>
                <w:b/>
                <w:i/>
                <w:color w:val="FFFFFF"/>
                <w:w w:val="105"/>
                <w:sz w:val="10"/>
              </w:rPr>
              <w:t>60,044.3</w:t>
            </w:r>
          </w:p>
        </w:tc>
        <w:tc>
          <w:tcPr>
            <w:tcW w:w="624" w:type="dxa"/>
            <w:tcBorders>
              <w:bottom w:val="nil"/>
            </w:tcBorders>
            <w:shd w:val="clear" w:color="auto" w:fill="8496AF"/>
          </w:tcPr>
          <w:p>
            <w:pPr>
              <w:pStyle w:val="TableParagraph"/>
              <w:spacing w:before="35"/>
              <w:ind w:left="46" w:right="65"/>
              <w:jc w:val="center"/>
              <w:rPr>
                <w:rFonts w:ascii="Arial"/>
                <w:b/>
                <w:i/>
                <w:sz w:val="10"/>
              </w:rPr>
            </w:pPr>
            <w:r>
              <w:rPr>
                <w:rFonts w:ascii="Arial"/>
                <w:b/>
                <w:i/>
                <w:color w:val="FFFFFF"/>
                <w:w w:val="105"/>
                <w:sz w:val="10"/>
              </w:rPr>
              <w:t>77,627.1</w:t>
            </w:r>
          </w:p>
        </w:tc>
        <w:tc>
          <w:tcPr>
            <w:tcW w:w="624" w:type="dxa"/>
            <w:tcBorders>
              <w:bottom w:val="nil"/>
            </w:tcBorders>
            <w:shd w:val="clear" w:color="auto" w:fill="2F5395"/>
          </w:tcPr>
          <w:p>
            <w:pPr>
              <w:pStyle w:val="TableParagraph"/>
              <w:spacing w:before="35"/>
              <w:ind w:right="118"/>
              <w:jc w:val="right"/>
              <w:rPr>
                <w:rFonts w:ascii="Arial"/>
                <w:b/>
                <w:i/>
                <w:sz w:val="10"/>
              </w:rPr>
            </w:pPr>
            <w:r>
              <w:rPr>
                <w:rFonts w:ascii="Arial"/>
                <w:b/>
                <w:i/>
                <w:color w:val="FFFFFF"/>
                <w:w w:val="105"/>
                <w:sz w:val="10"/>
              </w:rPr>
              <w:t>82,409.1</w:t>
            </w:r>
          </w:p>
        </w:tc>
        <w:tc>
          <w:tcPr>
            <w:tcW w:w="624" w:type="dxa"/>
            <w:tcBorders>
              <w:bottom w:val="nil"/>
            </w:tcBorders>
            <w:shd w:val="clear" w:color="auto" w:fill="2F5395"/>
          </w:tcPr>
          <w:p>
            <w:pPr>
              <w:pStyle w:val="TableParagraph"/>
              <w:spacing w:before="35"/>
              <w:ind w:left="45" w:right="65"/>
              <w:jc w:val="center"/>
              <w:rPr>
                <w:rFonts w:ascii="Arial"/>
                <w:b/>
                <w:i/>
                <w:sz w:val="10"/>
              </w:rPr>
            </w:pPr>
            <w:r>
              <w:rPr>
                <w:rFonts w:ascii="Arial"/>
                <w:b/>
                <w:i/>
                <w:color w:val="FFFFFF"/>
                <w:w w:val="105"/>
                <w:sz w:val="10"/>
              </w:rPr>
              <w:t>84,128.1</w:t>
            </w:r>
          </w:p>
        </w:tc>
        <w:tc>
          <w:tcPr>
            <w:tcW w:w="624" w:type="dxa"/>
            <w:tcBorders>
              <w:bottom w:val="nil"/>
            </w:tcBorders>
            <w:shd w:val="clear" w:color="auto" w:fill="2F5395"/>
          </w:tcPr>
          <w:p>
            <w:pPr>
              <w:pStyle w:val="TableParagraph"/>
              <w:spacing w:before="35"/>
              <w:ind w:left="43" w:right="65"/>
              <w:jc w:val="center"/>
              <w:rPr>
                <w:rFonts w:ascii="Arial"/>
                <w:b/>
                <w:i/>
                <w:sz w:val="10"/>
              </w:rPr>
            </w:pPr>
            <w:r>
              <w:rPr>
                <w:rFonts w:ascii="Arial"/>
                <w:b/>
                <w:i/>
                <w:color w:val="FFFFFF"/>
                <w:w w:val="105"/>
                <w:sz w:val="10"/>
              </w:rPr>
              <w:t>92,583.0</w:t>
            </w:r>
          </w:p>
        </w:tc>
        <w:tc>
          <w:tcPr>
            <w:tcW w:w="624" w:type="dxa"/>
            <w:tcBorders>
              <w:bottom w:val="nil"/>
            </w:tcBorders>
            <w:shd w:val="clear" w:color="auto" w:fill="2F5395"/>
          </w:tcPr>
          <w:p>
            <w:pPr>
              <w:pStyle w:val="TableParagraph"/>
              <w:spacing w:before="35"/>
              <w:ind w:left="42" w:right="65"/>
              <w:jc w:val="center"/>
              <w:rPr>
                <w:rFonts w:ascii="Arial"/>
                <w:b/>
                <w:i/>
                <w:sz w:val="10"/>
              </w:rPr>
            </w:pPr>
            <w:r>
              <w:rPr>
                <w:rFonts w:ascii="Arial"/>
                <w:b/>
                <w:i/>
                <w:color w:val="FFFFFF"/>
                <w:w w:val="105"/>
                <w:sz w:val="10"/>
              </w:rPr>
              <w:t>98,337.3</w:t>
            </w:r>
          </w:p>
        </w:tc>
        <w:tc>
          <w:tcPr>
            <w:tcW w:w="624" w:type="dxa"/>
            <w:tcBorders>
              <w:bottom w:val="nil"/>
            </w:tcBorders>
            <w:shd w:val="clear" w:color="auto" w:fill="2F5395"/>
          </w:tcPr>
          <w:p>
            <w:pPr>
              <w:pStyle w:val="TableParagraph"/>
              <w:spacing w:before="35"/>
              <w:ind w:right="89"/>
              <w:jc w:val="right"/>
              <w:rPr>
                <w:rFonts w:ascii="Arial"/>
                <w:b/>
                <w:i/>
                <w:sz w:val="10"/>
              </w:rPr>
            </w:pPr>
            <w:r>
              <w:rPr>
                <w:rFonts w:ascii="Arial"/>
                <w:b/>
                <w:i/>
                <w:color w:val="FFFFFF"/>
                <w:w w:val="105"/>
                <w:sz w:val="10"/>
              </w:rPr>
              <w:t>104,649.1</w:t>
            </w:r>
          </w:p>
        </w:tc>
        <w:tc>
          <w:tcPr>
            <w:tcW w:w="624" w:type="dxa"/>
            <w:tcBorders>
              <w:bottom w:val="nil"/>
            </w:tcBorders>
            <w:shd w:val="clear" w:color="auto" w:fill="2F5395"/>
          </w:tcPr>
          <w:p>
            <w:pPr>
              <w:pStyle w:val="TableParagraph"/>
              <w:spacing w:before="35"/>
              <w:ind w:left="70"/>
              <w:rPr>
                <w:rFonts w:ascii="Arial"/>
                <w:b/>
                <w:i/>
                <w:sz w:val="10"/>
              </w:rPr>
            </w:pPr>
            <w:r>
              <w:rPr>
                <w:rFonts w:ascii="Arial"/>
                <w:b/>
                <w:i/>
                <w:color w:val="FFFFFF"/>
                <w:w w:val="105"/>
                <w:sz w:val="10"/>
              </w:rPr>
              <w:t>111,430.8</w:t>
            </w:r>
          </w:p>
        </w:tc>
      </w:tr>
      <w:tr>
        <w:trPr>
          <w:trHeight w:val="193" w:hRule="atLeast"/>
        </w:trPr>
        <w:tc>
          <w:tcPr>
            <w:tcW w:w="2432" w:type="dxa"/>
            <w:tcBorders>
              <w:top w:val="nil"/>
              <w:bottom w:val="nil"/>
            </w:tcBorders>
            <w:shd w:val="clear" w:color="auto" w:fill="D5DCE3"/>
          </w:tcPr>
          <w:p>
            <w:pPr>
              <w:pStyle w:val="TableParagraph"/>
              <w:spacing w:before="46"/>
              <w:ind w:left="69"/>
              <w:rPr>
                <w:rFonts w:ascii="Arial"/>
                <w:b/>
                <w:sz w:val="9"/>
              </w:rPr>
            </w:pPr>
            <w:r>
              <w:rPr>
                <w:rFonts w:ascii="Arial"/>
                <w:b/>
                <w:color w:val="44536A"/>
                <w:w w:val="105"/>
                <w:sz w:val="9"/>
              </w:rPr>
              <w:t>IMPUESTOS AL COMERCIO EXTERIOR</w:t>
            </w:r>
          </w:p>
        </w:tc>
        <w:tc>
          <w:tcPr>
            <w:tcW w:w="730" w:type="dxa"/>
            <w:tcBorders>
              <w:top w:val="nil"/>
              <w:bottom w:val="nil"/>
            </w:tcBorders>
            <w:shd w:val="clear" w:color="auto" w:fill="D5DCE3"/>
          </w:tcPr>
          <w:p>
            <w:pPr>
              <w:pStyle w:val="TableParagraph"/>
              <w:spacing w:before="37"/>
              <w:ind w:left="169"/>
              <w:rPr>
                <w:rFonts w:ascii="Arial"/>
                <w:b/>
                <w:sz w:val="10"/>
              </w:rPr>
            </w:pPr>
            <w:r>
              <w:rPr>
                <w:rFonts w:ascii="Arial"/>
                <w:b/>
                <w:color w:val="44536A"/>
                <w:sz w:val="10"/>
              </w:rPr>
              <w:t>18,020.4</w:t>
            </w:r>
          </w:p>
        </w:tc>
        <w:tc>
          <w:tcPr>
            <w:tcW w:w="687" w:type="dxa"/>
            <w:tcBorders>
              <w:top w:val="nil"/>
              <w:bottom w:val="nil"/>
            </w:tcBorders>
            <w:shd w:val="clear" w:color="auto" w:fill="D5DCE3"/>
          </w:tcPr>
          <w:p>
            <w:pPr>
              <w:pStyle w:val="TableParagraph"/>
              <w:spacing w:before="37"/>
              <w:ind w:right="146"/>
              <w:jc w:val="right"/>
              <w:rPr>
                <w:rFonts w:ascii="Arial"/>
                <w:b/>
                <w:sz w:val="10"/>
              </w:rPr>
            </w:pPr>
            <w:r>
              <w:rPr>
                <w:rFonts w:ascii="Arial"/>
                <w:b/>
                <w:color w:val="44536A"/>
                <w:sz w:val="10"/>
              </w:rPr>
              <w:t>16,575.3</w:t>
            </w:r>
          </w:p>
        </w:tc>
        <w:tc>
          <w:tcPr>
            <w:tcW w:w="624" w:type="dxa"/>
            <w:tcBorders>
              <w:top w:val="nil"/>
              <w:bottom w:val="nil"/>
            </w:tcBorders>
            <w:shd w:val="clear" w:color="auto" w:fill="D5DCE3"/>
          </w:tcPr>
          <w:p>
            <w:pPr>
              <w:pStyle w:val="TableParagraph"/>
              <w:spacing w:before="37"/>
              <w:ind w:left="61" w:right="65"/>
              <w:jc w:val="center"/>
              <w:rPr>
                <w:rFonts w:ascii="Arial"/>
                <w:b/>
                <w:sz w:val="10"/>
              </w:rPr>
            </w:pPr>
            <w:r>
              <w:rPr>
                <w:rFonts w:ascii="Arial"/>
                <w:b/>
                <w:color w:val="44536A"/>
                <w:sz w:val="10"/>
              </w:rPr>
              <w:t>23,719.7</w:t>
            </w:r>
          </w:p>
        </w:tc>
        <w:tc>
          <w:tcPr>
            <w:tcW w:w="624" w:type="dxa"/>
            <w:tcBorders>
              <w:top w:val="nil"/>
              <w:bottom w:val="nil"/>
            </w:tcBorders>
            <w:shd w:val="clear" w:color="auto" w:fill="D5DCE3"/>
          </w:tcPr>
          <w:p>
            <w:pPr>
              <w:pStyle w:val="TableParagraph"/>
              <w:spacing w:before="37"/>
              <w:ind w:right="116"/>
              <w:jc w:val="right"/>
              <w:rPr>
                <w:rFonts w:ascii="Arial"/>
                <w:b/>
                <w:sz w:val="10"/>
              </w:rPr>
            </w:pPr>
            <w:r>
              <w:rPr>
                <w:rFonts w:ascii="Arial"/>
                <w:b/>
                <w:color w:val="44536A"/>
                <w:sz w:val="10"/>
              </w:rPr>
              <w:t>25,845.1</w:t>
            </w:r>
          </w:p>
        </w:tc>
        <w:tc>
          <w:tcPr>
            <w:tcW w:w="624" w:type="dxa"/>
            <w:tcBorders>
              <w:top w:val="nil"/>
              <w:bottom w:val="nil"/>
            </w:tcBorders>
            <w:shd w:val="clear" w:color="auto" w:fill="D5DCE3"/>
          </w:tcPr>
          <w:p>
            <w:pPr>
              <w:pStyle w:val="TableParagraph"/>
              <w:spacing w:before="37"/>
              <w:ind w:left="59" w:right="65"/>
              <w:jc w:val="center"/>
              <w:rPr>
                <w:rFonts w:ascii="Arial"/>
                <w:b/>
                <w:sz w:val="10"/>
              </w:rPr>
            </w:pPr>
            <w:r>
              <w:rPr>
                <w:rFonts w:ascii="Arial"/>
                <w:b/>
                <w:color w:val="44536A"/>
                <w:sz w:val="10"/>
              </w:rPr>
              <w:t>26,936.7</w:t>
            </w:r>
          </w:p>
        </w:tc>
        <w:tc>
          <w:tcPr>
            <w:tcW w:w="624" w:type="dxa"/>
            <w:tcBorders>
              <w:top w:val="nil"/>
              <w:bottom w:val="nil"/>
            </w:tcBorders>
            <w:shd w:val="clear" w:color="auto" w:fill="D5DCE3"/>
          </w:tcPr>
          <w:p>
            <w:pPr>
              <w:pStyle w:val="TableParagraph"/>
              <w:spacing w:before="37"/>
              <w:ind w:left="58" w:right="65"/>
              <w:jc w:val="center"/>
              <w:rPr>
                <w:rFonts w:ascii="Arial"/>
                <w:b/>
                <w:sz w:val="10"/>
              </w:rPr>
            </w:pPr>
            <w:r>
              <w:rPr>
                <w:rFonts w:ascii="Arial"/>
                <w:b/>
                <w:color w:val="44536A"/>
                <w:sz w:val="10"/>
              </w:rPr>
              <w:t>28,969.8</w:t>
            </w:r>
          </w:p>
        </w:tc>
        <w:tc>
          <w:tcPr>
            <w:tcW w:w="624" w:type="dxa"/>
            <w:tcBorders>
              <w:top w:val="nil"/>
              <w:bottom w:val="nil"/>
            </w:tcBorders>
            <w:shd w:val="clear" w:color="auto" w:fill="D5DCE3"/>
          </w:tcPr>
          <w:p>
            <w:pPr>
              <w:pStyle w:val="TableParagraph"/>
              <w:spacing w:before="37"/>
              <w:ind w:left="57" w:right="65"/>
              <w:jc w:val="center"/>
              <w:rPr>
                <w:rFonts w:ascii="Arial"/>
                <w:b/>
                <w:sz w:val="10"/>
              </w:rPr>
            </w:pPr>
            <w:r>
              <w:rPr>
                <w:rFonts w:ascii="Arial"/>
                <w:b/>
                <w:color w:val="44536A"/>
                <w:sz w:val="10"/>
              </w:rPr>
              <w:t>31,007.1</w:t>
            </w:r>
          </w:p>
        </w:tc>
        <w:tc>
          <w:tcPr>
            <w:tcW w:w="624" w:type="dxa"/>
            <w:tcBorders>
              <w:top w:val="nil"/>
              <w:bottom w:val="nil"/>
            </w:tcBorders>
            <w:shd w:val="clear" w:color="auto" w:fill="D5DCE3"/>
          </w:tcPr>
          <w:p>
            <w:pPr>
              <w:pStyle w:val="TableParagraph"/>
              <w:spacing w:before="37"/>
              <w:ind w:right="118"/>
              <w:jc w:val="right"/>
              <w:rPr>
                <w:rFonts w:ascii="Arial"/>
                <w:b/>
                <w:sz w:val="10"/>
              </w:rPr>
            </w:pPr>
            <w:r>
              <w:rPr>
                <w:rFonts w:ascii="Arial"/>
                <w:b/>
                <w:color w:val="44536A"/>
                <w:sz w:val="10"/>
              </w:rPr>
              <w:t>33,325.8</w:t>
            </w:r>
          </w:p>
        </w:tc>
        <w:tc>
          <w:tcPr>
            <w:tcW w:w="624" w:type="dxa"/>
            <w:tcBorders>
              <w:top w:val="nil"/>
              <w:bottom w:val="nil"/>
            </w:tcBorders>
            <w:shd w:val="clear" w:color="auto" w:fill="D5DCE3"/>
          </w:tcPr>
          <w:p>
            <w:pPr>
              <w:pStyle w:val="TableParagraph"/>
              <w:spacing w:before="37"/>
              <w:ind w:left="108"/>
              <w:rPr>
                <w:rFonts w:ascii="Arial"/>
                <w:b/>
                <w:sz w:val="10"/>
              </w:rPr>
            </w:pPr>
            <w:r>
              <w:rPr>
                <w:rFonts w:ascii="Arial"/>
                <w:b/>
                <w:color w:val="44536A"/>
                <w:sz w:val="10"/>
              </w:rPr>
              <w:t>35,829.3</w:t>
            </w:r>
          </w:p>
        </w:tc>
      </w:tr>
      <w:tr>
        <w:trPr>
          <w:trHeight w:val="189" w:hRule="atLeast"/>
        </w:trPr>
        <w:tc>
          <w:tcPr>
            <w:tcW w:w="2432" w:type="dxa"/>
            <w:tcBorders>
              <w:top w:val="nil"/>
              <w:bottom w:val="nil"/>
            </w:tcBorders>
          </w:tcPr>
          <w:p>
            <w:pPr>
              <w:pStyle w:val="TableParagraph"/>
              <w:spacing w:before="37"/>
              <w:ind w:left="132"/>
              <w:rPr>
                <w:rFonts w:ascii="Arial"/>
                <w:sz w:val="10"/>
              </w:rPr>
            </w:pPr>
            <w:r>
              <w:rPr>
                <w:rFonts w:ascii="Arial"/>
                <w:color w:val="44536A"/>
                <w:sz w:val="10"/>
              </w:rPr>
              <w:t>Al Valor Agregado Importaciones</w:t>
            </w:r>
          </w:p>
        </w:tc>
        <w:tc>
          <w:tcPr>
            <w:tcW w:w="730" w:type="dxa"/>
            <w:tcBorders>
              <w:top w:val="nil"/>
              <w:bottom w:val="nil"/>
            </w:tcBorders>
          </w:tcPr>
          <w:p>
            <w:pPr>
              <w:pStyle w:val="TableParagraph"/>
              <w:spacing w:before="37"/>
              <w:ind w:left="169"/>
              <w:rPr>
                <w:rFonts w:ascii="Arial"/>
                <w:sz w:val="10"/>
              </w:rPr>
            </w:pPr>
            <w:r>
              <w:rPr>
                <w:rFonts w:ascii="Arial"/>
                <w:color w:val="44536A"/>
                <w:sz w:val="10"/>
              </w:rPr>
              <w:t>15,308.9</w:t>
            </w:r>
          </w:p>
        </w:tc>
        <w:tc>
          <w:tcPr>
            <w:tcW w:w="687" w:type="dxa"/>
            <w:tcBorders>
              <w:top w:val="nil"/>
              <w:bottom w:val="nil"/>
            </w:tcBorders>
          </w:tcPr>
          <w:p>
            <w:pPr>
              <w:pStyle w:val="TableParagraph"/>
              <w:spacing w:before="37"/>
              <w:ind w:right="146"/>
              <w:jc w:val="right"/>
              <w:rPr>
                <w:rFonts w:ascii="Arial"/>
                <w:sz w:val="10"/>
              </w:rPr>
            </w:pPr>
            <w:r>
              <w:rPr>
                <w:rFonts w:ascii="Arial"/>
                <w:color w:val="44536A"/>
                <w:sz w:val="10"/>
              </w:rPr>
              <w:t>14,087.9</w:t>
            </w:r>
          </w:p>
        </w:tc>
        <w:tc>
          <w:tcPr>
            <w:tcW w:w="624" w:type="dxa"/>
            <w:tcBorders>
              <w:top w:val="nil"/>
              <w:bottom w:val="nil"/>
            </w:tcBorders>
          </w:tcPr>
          <w:p>
            <w:pPr>
              <w:pStyle w:val="TableParagraph"/>
              <w:spacing w:before="37"/>
              <w:ind w:left="61" w:right="65"/>
              <w:jc w:val="center"/>
              <w:rPr>
                <w:rFonts w:ascii="Arial"/>
                <w:sz w:val="10"/>
              </w:rPr>
            </w:pPr>
            <w:r>
              <w:rPr>
                <w:rFonts w:ascii="Arial"/>
                <w:color w:val="44536A"/>
                <w:sz w:val="10"/>
              </w:rPr>
              <w:t>20,234.3</w:t>
            </w:r>
          </w:p>
        </w:tc>
        <w:tc>
          <w:tcPr>
            <w:tcW w:w="624" w:type="dxa"/>
            <w:tcBorders>
              <w:top w:val="nil"/>
              <w:bottom w:val="nil"/>
            </w:tcBorders>
          </w:tcPr>
          <w:p>
            <w:pPr>
              <w:pStyle w:val="TableParagraph"/>
              <w:spacing w:before="37"/>
              <w:ind w:right="116"/>
              <w:jc w:val="right"/>
              <w:rPr>
                <w:rFonts w:ascii="Arial"/>
                <w:sz w:val="10"/>
              </w:rPr>
            </w:pPr>
            <w:r>
              <w:rPr>
                <w:rFonts w:ascii="Arial"/>
                <w:color w:val="44536A"/>
                <w:sz w:val="10"/>
              </w:rPr>
              <w:t>22,136.0</w:t>
            </w:r>
          </w:p>
        </w:tc>
        <w:tc>
          <w:tcPr>
            <w:tcW w:w="624" w:type="dxa"/>
            <w:tcBorders>
              <w:top w:val="nil"/>
              <w:bottom w:val="nil"/>
            </w:tcBorders>
          </w:tcPr>
          <w:p>
            <w:pPr>
              <w:pStyle w:val="TableParagraph"/>
              <w:spacing w:before="37"/>
              <w:ind w:left="59" w:right="65"/>
              <w:jc w:val="center"/>
              <w:rPr>
                <w:rFonts w:ascii="Arial"/>
                <w:sz w:val="10"/>
              </w:rPr>
            </w:pPr>
            <w:r>
              <w:rPr>
                <w:rFonts w:ascii="Arial"/>
                <w:color w:val="44536A"/>
                <w:sz w:val="10"/>
              </w:rPr>
              <w:t>23,028.0</w:t>
            </w:r>
          </w:p>
        </w:tc>
        <w:tc>
          <w:tcPr>
            <w:tcW w:w="624" w:type="dxa"/>
            <w:tcBorders>
              <w:top w:val="nil"/>
              <w:bottom w:val="nil"/>
            </w:tcBorders>
          </w:tcPr>
          <w:p>
            <w:pPr>
              <w:pStyle w:val="TableParagraph"/>
              <w:spacing w:before="37"/>
              <w:ind w:left="58" w:right="65"/>
              <w:jc w:val="center"/>
              <w:rPr>
                <w:rFonts w:ascii="Arial"/>
                <w:sz w:val="10"/>
              </w:rPr>
            </w:pPr>
            <w:r>
              <w:rPr>
                <w:rFonts w:ascii="Arial"/>
                <w:color w:val="44536A"/>
                <w:sz w:val="10"/>
              </w:rPr>
              <w:t>24,766.1</w:t>
            </w:r>
          </w:p>
        </w:tc>
        <w:tc>
          <w:tcPr>
            <w:tcW w:w="624" w:type="dxa"/>
            <w:tcBorders>
              <w:top w:val="nil"/>
              <w:bottom w:val="nil"/>
            </w:tcBorders>
          </w:tcPr>
          <w:p>
            <w:pPr>
              <w:pStyle w:val="TableParagraph"/>
              <w:spacing w:before="37"/>
              <w:ind w:left="57" w:right="65"/>
              <w:jc w:val="center"/>
              <w:rPr>
                <w:rFonts w:ascii="Arial"/>
                <w:sz w:val="10"/>
              </w:rPr>
            </w:pPr>
            <w:r>
              <w:rPr>
                <w:rFonts w:ascii="Arial"/>
                <w:color w:val="44536A"/>
                <w:sz w:val="10"/>
              </w:rPr>
              <w:t>26,507.8</w:t>
            </w:r>
          </w:p>
        </w:tc>
        <w:tc>
          <w:tcPr>
            <w:tcW w:w="624" w:type="dxa"/>
            <w:tcBorders>
              <w:top w:val="nil"/>
              <w:bottom w:val="nil"/>
            </w:tcBorders>
          </w:tcPr>
          <w:p>
            <w:pPr>
              <w:pStyle w:val="TableParagraph"/>
              <w:spacing w:before="37"/>
              <w:ind w:right="118"/>
              <w:jc w:val="right"/>
              <w:rPr>
                <w:rFonts w:ascii="Arial"/>
                <w:sz w:val="10"/>
              </w:rPr>
            </w:pPr>
            <w:r>
              <w:rPr>
                <w:rFonts w:ascii="Arial"/>
                <w:color w:val="44536A"/>
                <w:sz w:val="10"/>
              </w:rPr>
              <w:t>28,490.0</w:t>
            </w:r>
          </w:p>
        </w:tc>
        <w:tc>
          <w:tcPr>
            <w:tcW w:w="624" w:type="dxa"/>
            <w:tcBorders>
              <w:top w:val="nil"/>
              <w:bottom w:val="nil"/>
            </w:tcBorders>
          </w:tcPr>
          <w:p>
            <w:pPr>
              <w:pStyle w:val="TableParagraph"/>
              <w:spacing w:before="37"/>
              <w:ind w:left="108"/>
              <w:rPr>
                <w:rFonts w:ascii="Arial"/>
                <w:sz w:val="10"/>
              </w:rPr>
            </w:pPr>
            <w:r>
              <w:rPr>
                <w:rFonts w:ascii="Arial"/>
                <w:color w:val="44536A"/>
                <w:sz w:val="10"/>
              </w:rPr>
              <w:t>30,630.2</w:t>
            </w:r>
          </w:p>
        </w:tc>
      </w:tr>
      <w:tr>
        <w:trPr>
          <w:trHeight w:val="181" w:hRule="atLeast"/>
        </w:trPr>
        <w:tc>
          <w:tcPr>
            <w:tcW w:w="2432" w:type="dxa"/>
            <w:tcBorders>
              <w:top w:val="nil"/>
              <w:bottom w:val="nil"/>
            </w:tcBorders>
          </w:tcPr>
          <w:p>
            <w:pPr>
              <w:pStyle w:val="TableParagraph"/>
              <w:spacing w:before="34"/>
              <w:ind w:left="132"/>
              <w:rPr>
                <w:rFonts w:ascii="Arial"/>
                <w:sz w:val="10"/>
              </w:rPr>
            </w:pPr>
            <w:r>
              <w:rPr>
                <w:rFonts w:ascii="Arial"/>
                <w:color w:val="44536A"/>
                <w:sz w:val="10"/>
              </w:rPr>
              <w:t>Derechos Arancelarios</w:t>
            </w:r>
          </w:p>
        </w:tc>
        <w:tc>
          <w:tcPr>
            <w:tcW w:w="730" w:type="dxa"/>
            <w:tcBorders>
              <w:top w:val="nil"/>
              <w:bottom w:val="nil"/>
            </w:tcBorders>
          </w:tcPr>
          <w:p>
            <w:pPr>
              <w:pStyle w:val="TableParagraph"/>
              <w:spacing w:before="34"/>
              <w:ind w:left="194"/>
              <w:rPr>
                <w:rFonts w:ascii="Arial"/>
                <w:sz w:val="10"/>
              </w:rPr>
            </w:pPr>
            <w:r>
              <w:rPr>
                <w:rFonts w:ascii="Arial"/>
                <w:color w:val="44536A"/>
                <w:sz w:val="10"/>
              </w:rPr>
              <w:t>2,711.5</w:t>
            </w:r>
          </w:p>
        </w:tc>
        <w:tc>
          <w:tcPr>
            <w:tcW w:w="687" w:type="dxa"/>
            <w:tcBorders>
              <w:top w:val="nil"/>
              <w:bottom w:val="nil"/>
            </w:tcBorders>
          </w:tcPr>
          <w:p>
            <w:pPr>
              <w:pStyle w:val="TableParagraph"/>
              <w:spacing w:before="34"/>
              <w:ind w:right="171"/>
              <w:jc w:val="right"/>
              <w:rPr>
                <w:rFonts w:ascii="Arial"/>
                <w:sz w:val="10"/>
              </w:rPr>
            </w:pPr>
            <w:r>
              <w:rPr>
                <w:rFonts w:ascii="Arial"/>
                <w:color w:val="44536A"/>
                <w:sz w:val="10"/>
              </w:rPr>
              <w:t>2,487.4</w:t>
            </w:r>
          </w:p>
        </w:tc>
        <w:tc>
          <w:tcPr>
            <w:tcW w:w="624" w:type="dxa"/>
            <w:tcBorders>
              <w:top w:val="nil"/>
              <w:bottom w:val="nil"/>
            </w:tcBorders>
          </w:tcPr>
          <w:p>
            <w:pPr>
              <w:pStyle w:val="TableParagraph"/>
              <w:spacing w:before="34"/>
              <w:ind w:left="63" w:right="63"/>
              <w:jc w:val="center"/>
              <w:rPr>
                <w:rFonts w:ascii="Arial"/>
                <w:sz w:val="10"/>
              </w:rPr>
            </w:pPr>
            <w:r>
              <w:rPr>
                <w:rFonts w:ascii="Arial"/>
                <w:color w:val="44536A"/>
                <w:sz w:val="10"/>
              </w:rPr>
              <w:t>3,485.4</w:t>
            </w:r>
          </w:p>
        </w:tc>
        <w:tc>
          <w:tcPr>
            <w:tcW w:w="624" w:type="dxa"/>
            <w:tcBorders>
              <w:top w:val="nil"/>
              <w:bottom w:val="nil"/>
            </w:tcBorders>
          </w:tcPr>
          <w:p>
            <w:pPr>
              <w:pStyle w:val="TableParagraph"/>
              <w:spacing w:before="34"/>
              <w:ind w:right="140"/>
              <w:jc w:val="right"/>
              <w:rPr>
                <w:rFonts w:ascii="Arial"/>
                <w:sz w:val="10"/>
              </w:rPr>
            </w:pPr>
            <w:r>
              <w:rPr>
                <w:rFonts w:ascii="Arial"/>
                <w:color w:val="44536A"/>
                <w:sz w:val="10"/>
              </w:rPr>
              <w:t>3,709.1</w:t>
            </w:r>
          </w:p>
        </w:tc>
        <w:tc>
          <w:tcPr>
            <w:tcW w:w="624" w:type="dxa"/>
            <w:tcBorders>
              <w:top w:val="nil"/>
              <w:bottom w:val="nil"/>
            </w:tcBorders>
          </w:tcPr>
          <w:p>
            <w:pPr>
              <w:pStyle w:val="TableParagraph"/>
              <w:spacing w:before="34"/>
              <w:ind w:left="63" w:right="64"/>
              <w:jc w:val="center"/>
              <w:rPr>
                <w:rFonts w:ascii="Arial"/>
                <w:sz w:val="10"/>
              </w:rPr>
            </w:pPr>
            <w:r>
              <w:rPr>
                <w:rFonts w:ascii="Arial"/>
                <w:color w:val="44536A"/>
                <w:sz w:val="10"/>
              </w:rPr>
              <w:t>3,908.7</w:t>
            </w:r>
          </w:p>
        </w:tc>
        <w:tc>
          <w:tcPr>
            <w:tcW w:w="624" w:type="dxa"/>
            <w:tcBorders>
              <w:top w:val="nil"/>
              <w:bottom w:val="nil"/>
            </w:tcBorders>
          </w:tcPr>
          <w:p>
            <w:pPr>
              <w:pStyle w:val="TableParagraph"/>
              <w:spacing w:before="34"/>
              <w:ind w:left="63" w:right="64"/>
              <w:jc w:val="center"/>
              <w:rPr>
                <w:rFonts w:ascii="Arial"/>
                <w:sz w:val="10"/>
              </w:rPr>
            </w:pPr>
            <w:r>
              <w:rPr>
                <w:rFonts w:ascii="Arial"/>
                <w:color w:val="44536A"/>
                <w:sz w:val="10"/>
              </w:rPr>
              <w:t>4,203.7</w:t>
            </w:r>
          </w:p>
        </w:tc>
        <w:tc>
          <w:tcPr>
            <w:tcW w:w="624" w:type="dxa"/>
            <w:tcBorders>
              <w:top w:val="nil"/>
              <w:bottom w:val="nil"/>
            </w:tcBorders>
          </w:tcPr>
          <w:p>
            <w:pPr>
              <w:pStyle w:val="TableParagraph"/>
              <w:spacing w:before="34"/>
              <w:ind w:left="63" w:right="65"/>
              <w:jc w:val="center"/>
              <w:rPr>
                <w:rFonts w:ascii="Arial"/>
                <w:sz w:val="10"/>
              </w:rPr>
            </w:pPr>
            <w:r>
              <w:rPr>
                <w:rFonts w:ascii="Arial"/>
                <w:color w:val="44536A"/>
                <w:sz w:val="10"/>
              </w:rPr>
              <w:t>4,499.3</w:t>
            </w:r>
          </w:p>
        </w:tc>
        <w:tc>
          <w:tcPr>
            <w:tcW w:w="624" w:type="dxa"/>
            <w:tcBorders>
              <w:top w:val="nil"/>
              <w:bottom w:val="nil"/>
            </w:tcBorders>
          </w:tcPr>
          <w:p>
            <w:pPr>
              <w:pStyle w:val="TableParagraph"/>
              <w:spacing w:before="34"/>
              <w:ind w:right="142"/>
              <w:jc w:val="right"/>
              <w:rPr>
                <w:rFonts w:ascii="Arial"/>
                <w:sz w:val="10"/>
              </w:rPr>
            </w:pPr>
            <w:r>
              <w:rPr>
                <w:rFonts w:ascii="Arial"/>
                <w:color w:val="44536A"/>
                <w:sz w:val="10"/>
              </w:rPr>
              <w:t>4,835.8</w:t>
            </w:r>
          </w:p>
        </w:tc>
        <w:tc>
          <w:tcPr>
            <w:tcW w:w="624" w:type="dxa"/>
            <w:tcBorders>
              <w:top w:val="nil"/>
              <w:bottom w:val="nil"/>
            </w:tcBorders>
          </w:tcPr>
          <w:p>
            <w:pPr>
              <w:pStyle w:val="TableParagraph"/>
              <w:spacing w:before="34"/>
              <w:ind w:left="139"/>
              <w:rPr>
                <w:rFonts w:ascii="Arial"/>
                <w:sz w:val="10"/>
              </w:rPr>
            </w:pPr>
            <w:r>
              <w:rPr>
                <w:rFonts w:ascii="Arial"/>
                <w:color w:val="44536A"/>
                <w:sz w:val="10"/>
              </w:rPr>
              <w:t>5,199.1</w:t>
            </w:r>
          </w:p>
        </w:tc>
      </w:tr>
      <w:tr>
        <w:trPr>
          <w:trHeight w:val="187" w:hRule="atLeast"/>
        </w:trPr>
        <w:tc>
          <w:tcPr>
            <w:tcW w:w="2432" w:type="dxa"/>
            <w:tcBorders>
              <w:top w:val="nil"/>
              <w:bottom w:val="nil"/>
            </w:tcBorders>
            <w:shd w:val="clear" w:color="auto" w:fill="D5DCE3"/>
          </w:tcPr>
          <w:p>
            <w:pPr>
              <w:pStyle w:val="TableParagraph"/>
              <w:spacing w:before="43"/>
              <w:ind w:left="69"/>
              <w:rPr>
                <w:rFonts w:ascii="Arial"/>
                <w:b/>
                <w:sz w:val="9"/>
              </w:rPr>
            </w:pPr>
            <w:r>
              <w:rPr>
                <w:rFonts w:ascii="Arial"/>
                <w:b/>
                <w:color w:val="44536A"/>
                <w:w w:val="105"/>
                <w:sz w:val="9"/>
              </w:rPr>
              <w:t>IMPUESTOS INTERNOS</w:t>
            </w:r>
          </w:p>
        </w:tc>
        <w:tc>
          <w:tcPr>
            <w:tcW w:w="730" w:type="dxa"/>
            <w:tcBorders>
              <w:top w:val="nil"/>
              <w:bottom w:val="nil"/>
            </w:tcBorders>
            <w:shd w:val="clear" w:color="auto" w:fill="D5DCE3"/>
          </w:tcPr>
          <w:p>
            <w:pPr>
              <w:pStyle w:val="TableParagraph"/>
              <w:spacing w:before="34"/>
              <w:ind w:left="169"/>
              <w:rPr>
                <w:rFonts w:ascii="Arial"/>
                <w:b/>
                <w:sz w:val="10"/>
              </w:rPr>
            </w:pPr>
            <w:r>
              <w:rPr>
                <w:rFonts w:ascii="Arial"/>
                <w:b/>
                <w:color w:val="44536A"/>
                <w:sz w:val="10"/>
              </w:rPr>
              <w:t>44,056.9</w:t>
            </w:r>
          </w:p>
        </w:tc>
        <w:tc>
          <w:tcPr>
            <w:tcW w:w="687" w:type="dxa"/>
            <w:tcBorders>
              <w:top w:val="nil"/>
              <w:bottom w:val="nil"/>
            </w:tcBorders>
            <w:shd w:val="clear" w:color="auto" w:fill="D5DCE3"/>
          </w:tcPr>
          <w:p>
            <w:pPr>
              <w:pStyle w:val="TableParagraph"/>
              <w:spacing w:before="34"/>
              <w:ind w:right="146"/>
              <w:jc w:val="right"/>
              <w:rPr>
                <w:rFonts w:ascii="Arial"/>
                <w:b/>
                <w:sz w:val="10"/>
              </w:rPr>
            </w:pPr>
            <w:r>
              <w:rPr>
                <w:rFonts w:ascii="Arial"/>
                <w:b/>
                <w:color w:val="44536A"/>
                <w:sz w:val="10"/>
              </w:rPr>
              <w:t>43,469.1</w:t>
            </w:r>
          </w:p>
        </w:tc>
        <w:tc>
          <w:tcPr>
            <w:tcW w:w="624" w:type="dxa"/>
            <w:tcBorders>
              <w:top w:val="nil"/>
              <w:bottom w:val="nil"/>
            </w:tcBorders>
            <w:shd w:val="clear" w:color="auto" w:fill="D5DCE3"/>
          </w:tcPr>
          <w:p>
            <w:pPr>
              <w:pStyle w:val="TableParagraph"/>
              <w:spacing w:before="34"/>
              <w:ind w:left="61" w:right="65"/>
              <w:jc w:val="center"/>
              <w:rPr>
                <w:rFonts w:ascii="Arial"/>
                <w:b/>
                <w:sz w:val="10"/>
              </w:rPr>
            </w:pPr>
            <w:r>
              <w:rPr>
                <w:rFonts w:ascii="Arial"/>
                <w:b/>
                <w:color w:val="44536A"/>
                <w:sz w:val="10"/>
              </w:rPr>
              <w:t>53,907.4</w:t>
            </w:r>
          </w:p>
        </w:tc>
        <w:tc>
          <w:tcPr>
            <w:tcW w:w="624" w:type="dxa"/>
            <w:tcBorders>
              <w:top w:val="nil"/>
              <w:bottom w:val="nil"/>
            </w:tcBorders>
            <w:shd w:val="clear" w:color="auto" w:fill="2F5395"/>
          </w:tcPr>
          <w:p>
            <w:pPr>
              <w:pStyle w:val="TableParagraph"/>
              <w:spacing w:before="34"/>
              <w:ind w:right="116"/>
              <w:jc w:val="right"/>
              <w:rPr>
                <w:rFonts w:ascii="Arial"/>
                <w:b/>
                <w:sz w:val="10"/>
              </w:rPr>
            </w:pPr>
            <w:r>
              <w:rPr>
                <w:rFonts w:ascii="Arial"/>
                <w:b/>
                <w:color w:val="FFFFFF"/>
                <w:sz w:val="10"/>
              </w:rPr>
              <w:t>56,564.0</w:t>
            </w:r>
          </w:p>
        </w:tc>
        <w:tc>
          <w:tcPr>
            <w:tcW w:w="624" w:type="dxa"/>
            <w:tcBorders>
              <w:top w:val="nil"/>
              <w:bottom w:val="nil"/>
            </w:tcBorders>
            <w:shd w:val="clear" w:color="auto" w:fill="2F5395"/>
          </w:tcPr>
          <w:p>
            <w:pPr>
              <w:pStyle w:val="TableParagraph"/>
              <w:spacing w:before="34"/>
              <w:ind w:left="59" w:right="65"/>
              <w:jc w:val="center"/>
              <w:rPr>
                <w:rFonts w:ascii="Arial"/>
                <w:b/>
                <w:sz w:val="10"/>
              </w:rPr>
            </w:pPr>
            <w:r>
              <w:rPr>
                <w:rFonts w:ascii="Arial"/>
                <w:b/>
                <w:color w:val="FFFFFF"/>
                <w:sz w:val="10"/>
              </w:rPr>
              <w:t>57,191.4</w:t>
            </w:r>
          </w:p>
        </w:tc>
        <w:tc>
          <w:tcPr>
            <w:tcW w:w="624" w:type="dxa"/>
            <w:tcBorders>
              <w:top w:val="nil"/>
              <w:bottom w:val="nil"/>
            </w:tcBorders>
            <w:shd w:val="clear" w:color="auto" w:fill="2F5395"/>
          </w:tcPr>
          <w:p>
            <w:pPr>
              <w:pStyle w:val="TableParagraph"/>
              <w:spacing w:before="34"/>
              <w:ind w:left="58" w:right="65"/>
              <w:jc w:val="center"/>
              <w:rPr>
                <w:rFonts w:ascii="Arial"/>
                <w:b/>
                <w:sz w:val="10"/>
              </w:rPr>
            </w:pPr>
            <w:r>
              <w:rPr>
                <w:rFonts w:ascii="Arial"/>
                <w:b/>
                <w:color w:val="FFFFFF"/>
                <w:sz w:val="10"/>
              </w:rPr>
              <w:t>63,613.1</w:t>
            </w:r>
          </w:p>
        </w:tc>
        <w:tc>
          <w:tcPr>
            <w:tcW w:w="624" w:type="dxa"/>
            <w:tcBorders>
              <w:top w:val="nil"/>
              <w:bottom w:val="nil"/>
            </w:tcBorders>
            <w:shd w:val="clear" w:color="auto" w:fill="2F5395"/>
          </w:tcPr>
          <w:p>
            <w:pPr>
              <w:pStyle w:val="TableParagraph"/>
              <w:spacing w:before="34"/>
              <w:ind w:left="57" w:right="65"/>
              <w:jc w:val="center"/>
              <w:rPr>
                <w:rFonts w:ascii="Arial"/>
                <w:b/>
                <w:sz w:val="10"/>
              </w:rPr>
            </w:pPr>
            <w:r>
              <w:rPr>
                <w:rFonts w:ascii="Arial"/>
                <w:b/>
                <w:color w:val="FFFFFF"/>
                <w:sz w:val="10"/>
              </w:rPr>
              <w:t>67,330.3</w:t>
            </w:r>
          </w:p>
        </w:tc>
        <w:tc>
          <w:tcPr>
            <w:tcW w:w="624" w:type="dxa"/>
            <w:tcBorders>
              <w:top w:val="nil"/>
              <w:bottom w:val="nil"/>
            </w:tcBorders>
            <w:shd w:val="clear" w:color="auto" w:fill="2F5395"/>
          </w:tcPr>
          <w:p>
            <w:pPr>
              <w:pStyle w:val="TableParagraph"/>
              <w:spacing w:before="34"/>
              <w:ind w:right="118"/>
              <w:jc w:val="right"/>
              <w:rPr>
                <w:rFonts w:ascii="Arial"/>
                <w:b/>
                <w:sz w:val="10"/>
              </w:rPr>
            </w:pPr>
            <w:r>
              <w:rPr>
                <w:rFonts w:ascii="Arial"/>
                <w:b/>
                <w:color w:val="FFFFFF"/>
                <w:sz w:val="10"/>
              </w:rPr>
              <w:t>71,323.3</w:t>
            </w:r>
          </w:p>
        </w:tc>
        <w:tc>
          <w:tcPr>
            <w:tcW w:w="624" w:type="dxa"/>
            <w:tcBorders>
              <w:top w:val="nil"/>
              <w:bottom w:val="nil"/>
            </w:tcBorders>
            <w:shd w:val="clear" w:color="auto" w:fill="2F5395"/>
          </w:tcPr>
          <w:p>
            <w:pPr>
              <w:pStyle w:val="TableParagraph"/>
              <w:spacing w:before="34"/>
              <w:ind w:left="108"/>
              <w:rPr>
                <w:rFonts w:ascii="Arial"/>
                <w:b/>
                <w:sz w:val="10"/>
              </w:rPr>
            </w:pPr>
            <w:r>
              <w:rPr>
                <w:rFonts w:ascii="Arial"/>
                <w:b/>
                <w:color w:val="FFFFFF"/>
                <w:sz w:val="10"/>
              </w:rPr>
              <w:t>75,601.5</w:t>
            </w:r>
          </w:p>
        </w:tc>
      </w:tr>
      <w:tr>
        <w:trPr>
          <w:trHeight w:val="192" w:hRule="atLeast"/>
        </w:trPr>
        <w:tc>
          <w:tcPr>
            <w:tcW w:w="2432" w:type="dxa"/>
            <w:tcBorders>
              <w:top w:val="nil"/>
              <w:bottom w:val="nil"/>
            </w:tcBorders>
          </w:tcPr>
          <w:p>
            <w:pPr>
              <w:pStyle w:val="TableParagraph"/>
              <w:spacing w:before="40"/>
              <w:ind w:left="132"/>
              <w:rPr>
                <w:rFonts w:ascii="Arial"/>
                <w:sz w:val="10"/>
              </w:rPr>
            </w:pPr>
            <w:r>
              <w:rPr>
                <w:rFonts w:ascii="Arial"/>
                <w:color w:val="44536A"/>
                <w:sz w:val="10"/>
              </w:rPr>
              <w:t>Sobre la Renta</w:t>
            </w:r>
          </w:p>
        </w:tc>
        <w:tc>
          <w:tcPr>
            <w:tcW w:w="730" w:type="dxa"/>
            <w:tcBorders>
              <w:top w:val="nil"/>
              <w:bottom w:val="nil"/>
            </w:tcBorders>
          </w:tcPr>
          <w:p>
            <w:pPr>
              <w:pStyle w:val="TableParagraph"/>
              <w:spacing w:before="40"/>
              <w:ind w:left="169"/>
              <w:rPr>
                <w:rFonts w:ascii="Arial"/>
                <w:sz w:val="10"/>
              </w:rPr>
            </w:pPr>
            <w:r>
              <w:rPr>
                <w:rFonts w:ascii="Arial"/>
                <w:color w:val="44536A"/>
                <w:sz w:val="10"/>
              </w:rPr>
              <w:t>17,098.6</w:t>
            </w:r>
          </w:p>
        </w:tc>
        <w:tc>
          <w:tcPr>
            <w:tcW w:w="687" w:type="dxa"/>
            <w:tcBorders>
              <w:top w:val="nil"/>
              <w:bottom w:val="nil"/>
            </w:tcBorders>
          </w:tcPr>
          <w:p>
            <w:pPr>
              <w:pStyle w:val="TableParagraph"/>
              <w:spacing w:before="40"/>
              <w:ind w:right="146"/>
              <w:jc w:val="right"/>
              <w:rPr>
                <w:rFonts w:ascii="Arial"/>
                <w:sz w:val="10"/>
              </w:rPr>
            </w:pPr>
            <w:r>
              <w:rPr>
                <w:rFonts w:ascii="Arial"/>
                <w:color w:val="44536A"/>
                <w:sz w:val="10"/>
              </w:rPr>
              <w:t>16,749.0</w:t>
            </w:r>
          </w:p>
        </w:tc>
        <w:tc>
          <w:tcPr>
            <w:tcW w:w="624" w:type="dxa"/>
            <w:tcBorders>
              <w:top w:val="nil"/>
              <w:bottom w:val="nil"/>
            </w:tcBorders>
          </w:tcPr>
          <w:p>
            <w:pPr>
              <w:pStyle w:val="TableParagraph"/>
              <w:spacing w:before="40"/>
              <w:ind w:left="61" w:right="65"/>
              <w:jc w:val="center"/>
              <w:rPr>
                <w:rFonts w:ascii="Arial"/>
                <w:sz w:val="10"/>
              </w:rPr>
            </w:pPr>
            <w:r>
              <w:rPr>
                <w:rFonts w:ascii="Arial"/>
                <w:color w:val="44536A"/>
                <w:sz w:val="10"/>
              </w:rPr>
              <w:t>23,287.8</w:t>
            </w:r>
          </w:p>
        </w:tc>
        <w:tc>
          <w:tcPr>
            <w:tcW w:w="624" w:type="dxa"/>
            <w:tcBorders>
              <w:top w:val="nil"/>
              <w:bottom w:val="nil"/>
            </w:tcBorders>
          </w:tcPr>
          <w:p>
            <w:pPr>
              <w:pStyle w:val="TableParagraph"/>
              <w:spacing w:before="40"/>
              <w:ind w:right="116"/>
              <w:jc w:val="right"/>
              <w:rPr>
                <w:rFonts w:ascii="Arial"/>
                <w:sz w:val="10"/>
              </w:rPr>
            </w:pPr>
            <w:r>
              <w:rPr>
                <w:rFonts w:ascii="Arial"/>
                <w:color w:val="44536A"/>
                <w:sz w:val="10"/>
              </w:rPr>
              <w:t>23,248.8</w:t>
            </w:r>
          </w:p>
        </w:tc>
        <w:tc>
          <w:tcPr>
            <w:tcW w:w="624" w:type="dxa"/>
            <w:tcBorders>
              <w:top w:val="nil"/>
              <w:bottom w:val="nil"/>
            </w:tcBorders>
          </w:tcPr>
          <w:p>
            <w:pPr>
              <w:pStyle w:val="TableParagraph"/>
              <w:spacing w:before="40"/>
              <w:ind w:left="59" w:right="65"/>
              <w:jc w:val="center"/>
              <w:rPr>
                <w:rFonts w:ascii="Arial"/>
                <w:sz w:val="10"/>
              </w:rPr>
            </w:pPr>
            <w:r>
              <w:rPr>
                <w:rFonts w:ascii="Arial"/>
                <w:color w:val="44536A"/>
                <w:sz w:val="10"/>
              </w:rPr>
              <w:t>23,566.0</w:t>
            </w:r>
          </w:p>
        </w:tc>
        <w:tc>
          <w:tcPr>
            <w:tcW w:w="624" w:type="dxa"/>
            <w:tcBorders>
              <w:top w:val="nil"/>
              <w:bottom w:val="nil"/>
            </w:tcBorders>
          </w:tcPr>
          <w:p>
            <w:pPr>
              <w:pStyle w:val="TableParagraph"/>
              <w:spacing w:before="40"/>
              <w:ind w:left="58" w:right="65"/>
              <w:jc w:val="center"/>
              <w:rPr>
                <w:rFonts w:ascii="Arial"/>
                <w:sz w:val="10"/>
              </w:rPr>
            </w:pPr>
            <w:r>
              <w:rPr>
                <w:rFonts w:ascii="Arial"/>
                <w:color w:val="44536A"/>
                <w:sz w:val="10"/>
              </w:rPr>
              <w:t>25,028.3</w:t>
            </w:r>
          </w:p>
        </w:tc>
        <w:tc>
          <w:tcPr>
            <w:tcW w:w="624" w:type="dxa"/>
            <w:tcBorders>
              <w:top w:val="nil"/>
              <w:bottom w:val="nil"/>
            </w:tcBorders>
          </w:tcPr>
          <w:p>
            <w:pPr>
              <w:pStyle w:val="TableParagraph"/>
              <w:spacing w:before="40"/>
              <w:ind w:left="57" w:right="65"/>
              <w:jc w:val="center"/>
              <w:rPr>
                <w:rFonts w:ascii="Arial"/>
                <w:sz w:val="10"/>
              </w:rPr>
            </w:pPr>
            <w:r>
              <w:rPr>
                <w:rFonts w:ascii="Arial"/>
                <w:color w:val="44536A"/>
                <w:sz w:val="10"/>
              </w:rPr>
              <w:t>26,585.2</w:t>
            </w:r>
          </w:p>
        </w:tc>
        <w:tc>
          <w:tcPr>
            <w:tcW w:w="624" w:type="dxa"/>
            <w:tcBorders>
              <w:top w:val="nil"/>
              <w:bottom w:val="nil"/>
            </w:tcBorders>
          </w:tcPr>
          <w:p>
            <w:pPr>
              <w:pStyle w:val="TableParagraph"/>
              <w:spacing w:before="40"/>
              <w:ind w:right="118"/>
              <w:jc w:val="right"/>
              <w:rPr>
                <w:rFonts w:ascii="Arial"/>
                <w:sz w:val="10"/>
              </w:rPr>
            </w:pPr>
            <w:r>
              <w:rPr>
                <w:rFonts w:ascii="Arial"/>
                <w:color w:val="44536A"/>
                <w:sz w:val="10"/>
              </w:rPr>
              <w:t>28,291.0</w:t>
            </w:r>
          </w:p>
        </w:tc>
        <w:tc>
          <w:tcPr>
            <w:tcW w:w="624" w:type="dxa"/>
            <w:tcBorders>
              <w:top w:val="nil"/>
              <w:bottom w:val="nil"/>
            </w:tcBorders>
          </w:tcPr>
          <w:p>
            <w:pPr>
              <w:pStyle w:val="TableParagraph"/>
              <w:spacing w:before="40"/>
              <w:ind w:left="108"/>
              <w:rPr>
                <w:rFonts w:ascii="Arial"/>
                <w:sz w:val="10"/>
              </w:rPr>
            </w:pPr>
            <w:r>
              <w:rPr>
                <w:rFonts w:ascii="Arial"/>
                <w:color w:val="44536A"/>
                <w:sz w:val="10"/>
              </w:rPr>
              <w:t>30,106.3</w:t>
            </w:r>
          </w:p>
        </w:tc>
      </w:tr>
      <w:tr>
        <w:trPr>
          <w:trHeight w:val="186" w:hRule="atLeast"/>
        </w:trPr>
        <w:tc>
          <w:tcPr>
            <w:tcW w:w="2432" w:type="dxa"/>
            <w:tcBorders>
              <w:top w:val="nil"/>
              <w:bottom w:val="nil"/>
            </w:tcBorders>
          </w:tcPr>
          <w:p>
            <w:pPr>
              <w:pStyle w:val="TableParagraph"/>
              <w:spacing w:before="34"/>
              <w:ind w:left="132"/>
              <w:rPr>
                <w:rFonts w:ascii="Arial"/>
                <w:sz w:val="10"/>
              </w:rPr>
            </w:pPr>
            <w:r>
              <w:rPr>
                <w:rFonts w:ascii="Arial"/>
                <w:color w:val="44536A"/>
                <w:sz w:val="10"/>
              </w:rPr>
              <w:t>De Solidaridad</w:t>
            </w:r>
          </w:p>
        </w:tc>
        <w:tc>
          <w:tcPr>
            <w:tcW w:w="730" w:type="dxa"/>
            <w:tcBorders>
              <w:top w:val="nil"/>
              <w:bottom w:val="nil"/>
            </w:tcBorders>
          </w:tcPr>
          <w:p>
            <w:pPr>
              <w:pStyle w:val="TableParagraph"/>
              <w:spacing w:before="34"/>
              <w:ind w:left="194"/>
              <w:rPr>
                <w:rFonts w:ascii="Arial"/>
                <w:sz w:val="10"/>
              </w:rPr>
            </w:pPr>
            <w:r>
              <w:rPr>
                <w:rFonts w:ascii="Arial"/>
                <w:color w:val="44536A"/>
                <w:sz w:val="10"/>
              </w:rPr>
              <w:t>4,831.2</w:t>
            </w:r>
          </w:p>
        </w:tc>
        <w:tc>
          <w:tcPr>
            <w:tcW w:w="687" w:type="dxa"/>
            <w:tcBorders>
              <w:top w:val="nil"/>
              <w:bottom w:val="nil"/>
            </w:tcBorders>
          </w:tcPr>
          <w:p>
            <w:pPr>
              <w:pStyle w:val="TableParagraph"/>
              <w:spacing w:before="34"/>
              <w:ind w:right="171"/>
              <w:jc w:val="right"/>
              <w:rPr>
                <w:rFonts w:ascii="Arial"/>
                <w:sz w:val="10"/>
              </w:rPr>
            </w:pPr>
            <w:r>
              <w:rPr>
                <w:rFonts w:ascii="Arial"/>
                <w:color w:val="44536A"/>
                <w:sz w:val="10"/>
              </w:rPr>
              <w:t>5,072.0</w:t>
            </w:r>
          </w:p>
        </w:tc>
        <w:tc>
          <w:tcPr>
            <w:tcW w:w="624" w:type="dxa"/>
            <w:tcBorders>
              <w:top w:val="nil"/>
              <w:bottom w:val="nil"/>
            </w:tcBorders>
          </w:tcPr>
          <w:p>
            <w:pPr>
              <w:pStyle w:val="TableParagraph"/>
              <w:spacing w:before="34"/>
              <w:ind w:left="63" w:right="63"/>
              <w:jc w:val="center"/>
              <w:rPr>
                <w:rFonts w:ascii="Arial"/>
                <w:sz w:val="10"/>
              </w:rPr>
            </w:pPr>
            <w:r>
              <w:rPr>
                <w:rFonts w:ascii="Arial"/>
                <w:color w:val="44536A"/>
                <w:sz w:val="10"/>
              </w:rPr>
              <w:t>5,401.5</w:t>
            </w:r>
          </w:p>
        </w:tc>
        <w:tc>
          <w:tcPr>
            <w:tcW w:w="624" w:type="dxa"/>
            <w:tcBorders>
              <w:top w:val="nil"/>
              <w:bottom w:val="nil"/>
            </w:tcBorders>
          </w:tcPr>
          <w:p>
            <w:pPr>
              <w:pStyle w:val="TableParagraph"/>
              <w:spacing w:before="34"/>
              <w:ind w:right="140"/>
              <w:jc w:val="right"/>
              <w:rPr>
                <w:rFonts w:ascii="Arial"/>
                <w:sz w:val="10"/>
              </w:rPr>
            </w:pPr>
            <w:r>
              <w:rPr>
                <w:rFonts w:ascii="Arial"/>
                <w:color w:val="44536A"/>
                <w:sz w:val="10"/>
              </w:rPr>
              <w:t>5,492.1</w:t>
            </w:r>
          </w:p>
        </w:tc>
        <w:tc>
          <w:tcPr>
            <w:tcW w:w="624" w:type="dxa"/>
            <w:tcBorders>
              <w:top w:val="nil"/>
              <w:bottom w:val="nil"/>
            </w:tcBorders>
          </w:tcPr>
          <w:p>
            <w:pPr>
              <w:pStyle w:val="TableParagraph"/>
              <w:spacing w:before="34"/>
              <w:ind w:left="63" w:right="64"/>
              <w:jc w:val="center"/>
              <w:rPr>
                <w:rFonts w:ascii="Arial"/>
                <w:sz w:val="10"/>
              </w:rPr>
            </w:pPr>
            <w:r>
              <w:rPr>
                <w:rFonts w:ascii="Arial"/>
                <w:color w:val="44536A"/>
                <w:sz w:val="10"/>
              </w:rPr>
              <w:t>5,744.5</w:t>
            </w:r>
          </w:p>
        </w:tc>
        <w:tc>
          <w:tcPr>
            <w:tcW w:w="624" w:type="dxa"/>
            <w:tcBorders>
              <w:top w:val="nil"/>
              <w:bottom w:val="nil"/>
            </w:tcBorders>
          </w:tcPr>
          <w:p>
            <w:pPr>
              <w:pStyle w:val="TableParagraph"/>
              <w:spacing w:before="34"/>
              <w:ind w:left="63" w:right="64"/>
              <w:jc w:val="center"/>
              <w:rPr>
                <w:rFonts w:ascii="Arial"/>
                <w:sz w:val="10"/>
              </w:rPr>
            </w:pPr>
            <w:r>
              <w:rPr>
                <w:rFonts w:ascii="Arial"/>
                <w:color w:val="44536A"/>
                <w:sz w:val="10"/>
              </w:rPr>
              <w:t>6,060.7</w:t>
            </w:r>
          </w:p>
        </w:tc>
        <w:tc>
          <w:tcPr>
            <w:tcW w:w="624" w:type="dxa"/>
            <w:tcBorders>
              <w:top w:val="nil"/>
              <w:bottom w:val="nil"/>
            </w:tcBorders>
          </w:tcPr>
          <w:p>
            <w:pPr>
              <w:pStyle w:val="TableParagraph"/>
              <w:spacing w:before="34"/>
              <w:ind w:left="63" w:right="65"/>
              <w:jc w:val="center"/>
              <w:rPr>
                <w:rFonts w:ascii="Arial"/>
                <w:sz w:val="10"/>
              </w:rPr>
            </w:pPr>
            <w:r>
              <w:rPr>
                <w:rFonts w:ascii="Arial"/>
                <w:color w:val="44536A"/>
                <w:sz w:val="10"/>
              </w:rPr>
              <w:t>6,395.0</w:t>
            </w:r>
          </w:p>
        </w:tc>
        <w:tc>
          <w:tcPr>
            <w:tcW w:w="624" w:type="dxa"/>
            <w:tcBorders>
              <w:top w:val="nil"/>
              <w:bottom w:val="nil"/>
            </w:tcBorders>
          </w:tcPr>
          <w:p>
            <w:pPr>
              <w:pStyle w:val="TableParagraph"/>
              <w:spacing w:before="34"/>
              <w:ind w:right="142"/>
              <w:jc w:val="right"/>
              <w:rPr>
                <w:rFonts w:ascii="Arial"/>
                <w:sz w:val="10"/>
              </w:rPr>
            </w:pPr>
            <w:r>
              <w:rPr>
                <w:rFonts w:ascii="Arial"/>
                <w:color w:val="44536A"/>
                <w:sz w:val="10"/>
              </w:rPr>
              <w:t>6,758.6</w:t>
            </w:r>
          </w:p>
        </w:tc>
        <w:tc>
          <w:tcPr>
            <w:tcW w:w="624" w:type="dxa"/>
            <w:tcBorders>
              <w:top w:val="nil"/>
              <w:bottom w:val="nil"/>
            </w:tcBorders>
          </w:tcPr>
          <w:p>
            <w:pPr>
              <w:pStyle w:val="TableParagraph"/>
              <w:spacing w:before="34"/>
              <w:ind w:left="139"/>
              <w:rPr>
                <w:rFonts w:ascii="Arial"/>
                <w:sz w:val="10"/>
              </w:rPr>
            </w:pPr>
            <w:r>
              <w:rPr>
                <w:rFonts w:ascii="Arial"/>
                <w:color w:val="44536A"/>
                <w:sz w:val="10"/>
              </w:rPr>
              <w:t>7,142.9</w:t>
            </w:r>
          </w:p>
        </w:tc>
      </w:tr>
      <w:tr>
        <w:trPr>
          <w:trHeight w:val="187" w:hRule="atLeast"/>
        </w:trPr>
        <w:tc>
          <w:tcPr>
            <w:tcW w:w="2432" w:type="dxa"/>
            <w:tcBorders>
              <w:top w:val="nil"/>
              <w:bottom w:val="nil"/>
            </w:tcBorders>
          </w:tcPr>
          <w:p>
            <w:pPr>
              <w:pStyle w:val="TableParagraph"/>
              <w:spacing w:before="38"/>
              <w:ind w:left="125"/>
              <w:rPr>
                <w:rFonts w:ascii="Arial"/>
                <w:sz w:val="9"/>
              </w:rPr>
            </w:pPr>
            <w:r>
              <w:rPr>
                <w:rFonts w:ascii="Arial"/>
                <w:color w:val="44536A"/>
                <w:w w:val="105"/>
                <w:sz w:val="9"/>
              </w:rPr>
              <w:t>Sobre el Patrimonio</w:t>
            </w:r>
          </w:p>
        </w:tc>
        <w:tc>
          <w:tcPr>
            <w:tcW w:w="730" w:type="dxa"/>
            <w:tcBorders>
              <w:top w:val="nil"/>
              <w:bottom w:val="nil"/>
            </w:tcBorders>
          </w:tcPr>
          <w:p>
            <w:pPr>
              <w:pStyle w:val="TableParagraph"/>
              <w:spacing w:before="34"/>
              <w:ind w:left="262"/>
              <w:rPr>
                <w:rFonts w:ascii="Arial"/>
                <w:sz w:val="10"/>
              </w:rPr>
            </w:pPr>
            <w:r>
              <w:rPr>
                <w:rFonts w:ascii="Arial"/>
                <w:color w:val="44536A"/>
                <w:sz w:val="10"/>
              </w:rPr>
              <w:t>42.2</w:t>
            </w:r>
          </w:p>
        </w:tc>
        <w:tc>
          <w:tcPr>
            <w:tcW w:w="687" w:type="dxa"/>
            <w:tcBorders>
              <w:top w:val="nil"/>
              <w:bottom w:val="nil"/>
            </w:tcBorders>
          </w:tcPr>
          <w:p>
            <w:pPr>
              <w:pStyle w:val="TableParagraph"/>
              <w:spacing w:before="34"/>
              <w:ind w:left="222" w:right="220"/>
              <w:jc w:val="center"/>
              <w:rPr>
                <w:rFonts w:ascii="Arial"/>
                <w:sz w:val="10"/>
              </w:rPr>
            </w:pPr>
            <w:r>
              <w:rPr>
                <w:rFonts w:ascii="Arial"/>
                <w:color w:val="44536A"/>
                <w:sz w:val="10"/>
              </w:rPr>
              <w:t>12.4</w:t>
            </w:r>
          </w:p>
        </w:tc>
        <w:tc>
          <w:tcPr>
            <w:tcW w:w="624" w:type="dxa"/>
            <w:tcBorders>
              <w:top w:val="nil"/>
              <w:bottom w:val="nil"/>
            </w:tcBorders>
          </w:tcPr>
          <w:p>
            <w:pPr>
              <w:pStyle w:val="TableParagraph"/>
              <w:spacing w:before="34"/>
              <w:ind w:left="63" w:right="63"/>
              <w:jc w:val="center"/>
              <w:rPr>
                <w:rFonts w:ascii="Arial"/>
                <w:sz w:val="10"/>
              </w:rPr>
            </w:pPr>
            <w:r>
              <w:rPr>
                <w:rFonts w:ascii="Arial"/>
                <w:color w:val="44536A"/>
                <w:sz w:val="10"/>
              </w:rPr>
              <w:t>26.3</w:t>
            </w:r>
          </w:p>
        </w:tc>
        <w:tc>
          <w:tcPr>
            <w:tcW w:w="624" w:type="dxa"/>
            <w:tcBorders>
              <w:top w:val="nil"/>
              <w:bottom w:val="nil"/>
            </w:tcBorders>
          </w:tcPr>
          <w:p>
            <w:pPr>
              <w:pStyle w:val="TableParagraph"/>
              <w:spacing w:before="34"/>
              <w:ind w:left="63" w:right="63"/>
              <w:jc w:val="center"/>
              <w:rPr>
                <w:rFonts w:ascii="Arial"/>
                <w:sz w:val="10"/>
              </w:rPr>
            </w:pPr>
            <w:r>
              <w:rPr>
                <w:rFonts w:ascii="Arial"/>
                <w:color w:val="44536A"/>
                <w:sz w:val="10"/>
              </w:rPr>
              <w:t>32.7</w:t>
            </w:r>
          </w:p>
        </w:tc>
        <w:tc>
          <w:tcPr>
            <w:tcW w:w="624" w:type="dxa"/>
            <w:tcBorders>
              <w:top w:val="nil"/>
              <w:bottom w:val="nil"/>
            </w:tcBorders>
          </w:tcPr>
          <w:p>
            <w:pPr>
              <w:pStyle w:val="TableParagraph"/>
              <w:spacing w:before="34"/>
              <w:ind w:left="63" w:right="64"/>
              <w:jc w:val="center"/>
              <w:rPr>
                <w:rFonts w:ascii="Arial"/>
                <w:sz w:val="10"/>
              </w:rPr>
            </w:pPr>
            <w:r>
              <w:rPr>
                <w:rFonts w:ascii="Arial"/>
                <w:color w:val="44536A"/>
                <w:sz w:val="10"/>
              </w:rPr>
              <w:t>34.5</w:t>
            </w:r>
          </w:p>
        </w:tc>
        <w:tc>
          <w:tcPr>
            <w:tcW w:w="624" w:type="dxa"/>
            <w:tcBorders>
              <w:top w:val="nil"/>
              <w:bottom w:val="nil"/>
            </w:tcBorders>
          </w:tcPr>
          <w:p>
            <w:pPr>
              <w:pStyle w:val="TableParagraph"/>
              <w:spacing w:before="34"/>
              <w:ind w:left="63" w:right="63"/>
              <w:jc w:val="center"/>
              <w:rPr>
                <w:rFonts w:ascii="Arial"/>
                <w:sz w:val="10"/>
              </w:rPr>
            </w:pPr>
            <w:r>
              <w:rPr>
                <w:rFonts w:ascii="Arial"/>
                <w:color w:val="44536A"/>
                <w:sz w:val="10"/>
              </w:rPr>
              <w:t>36.6</w:t>
            </w:r>
          </w:p>
        </w:tc>
        <w:tc>
          <w:tcPr>
            <w:tcW w:w="624" w:type="dxa"/>
            <w:tcBorders>
              <w:top w:val="nil"/>
              <w:bottom w:val="nil"/>
            </w:tcBorders>
          </w:tcPr>
          <w:p>
            <w:pPr>
              <w:pStyle w:val="TableParagraph"/>
              <w:spacing w:before="34"/>
              <w:ind w:left="63" w:right="64"/>
              <w:jc w:val="center"/>
              <w:rPr>
                <w:rFonts w:ascii="Arial"/>
                <w:sz w:val="10"/>
              </w:rPr>
            </w:pPr>
            <w:r>
              <w:rPr>
                <w:rFonts w:ascii="Arial"/>
                <w:color w:val="44536A"/>
                <w:sz w:val="10"/>
              </w:rPr>
              <w:t>38.9</w:t>
            </w:r>
          </w:p>
        </w:tc>
        <w:tc>
          <w:tcPr>
            <w:tcW w:w="624" w:type="dxa"/>
            <w:tcBorders>
              <w:top w:val="nil"/>
              <w:bottom w:val="nil"/>
            </w:tcBorders>
          </w:tcPr>
          <w:p>
            <w:pPr>
              <w:pStyle w:val="TableParagraph"/>
              <w:spacing w:before="34"/>
              <w:ind w:left="63" w:right="65"/>
              <w:jc w:val="center"/>
              <w:rPr>
                <w:rFonts w:ascii="Arial"/>
                <w:sz w:val="10"/>
              </w:rPr>
            </w:pPr>
            <w:r>
              <w:rPr>
                <w:rFonts w:ascii="Arial"/>
                <w:color w:val="44536A"/>
                <w:sz w:val="10"/>
              </w:rPr>
              <w:t>41.4</w:t>
            </w:r>
          </w:p>
        </w:tc>
        <w:tc>
          <w:tcPr>
            <w:tcW w:w="624" w:type="dxa"/>
            <w:tcBorders>
              <w:top w:val="nil"/>
              <w:bottom w:val="nil"/>
            </w:tcBorders>
          </w:tcPr>
          <w:p>
            <w:pPr>
              <w:pStyle w:val="TableParagraph"/>
              <w:spacing w:before="34"/>
              <w:ind w:left="62" w:right="65"/>
              <w:jc w:val="center"/>
              <w:rPr>
                <w:rFonts w:ascii="Arial"/>
                <w:sz w:val="10"/>
              </w:rPr>
            </w:pPr>
            <w:r>
              <w:rPr>
                <w:rFonts w:ascii="Arial"/>
                <w:color w:val="44536A"/>
                <w:sz w:val="10"/>
              </w:rPr>
              <w:t>44.1</w:t>
            </w:r>
          </w:p>
        </w:tc>
      </w:tr>
      <w:tr>
        <w:trPr>
          <w:trHeight w:val="187" w:hRule="atLeast"/>
        </w:trPr>
        <w:tc>
          <w:tcPr>
            <w:tcW w:w="2432" w:type="dxa"/>
            <w:tcBorders>
              <w:top w:val="nil"/>
              <w:bottom w:val="nil"/>
            </w:tcBorders>
          </w:tcPr>
          <w:p>
            <w:pPr>
              <w:pStyle w:val="TableParagraph"/>
              <w:spacing w:before="37"/>
              <w:ind w:left="125"/>
              <w:rPr>
                <w:rFonts w:ascii="Arial" w:hAnsi="Arial"/>
                <w:sz w:val="9"/>
              </w:rPr>
            </w:pPr>
            <w:r>
              <w:rPr>
                <w:rFonts w:ascii="Arial" w:hAnsi="Arial"/>
                <w:color w:val="44536A"/>
                <w:w w:val="105"/>
                <w:sz w:val="9"/>
              </w:rPr>
              <w:t>Al Valor Agregado Doméstico</w:t>
            </w:r>
          </w:p>
        </w:tc>
        <w:tc>
          <w:tcPr>
            <w:tcW w:w="730" w:type="dxa"/>
            <w:tcBorders>
              <w:top w:val="nil"/>
              <w:bottom w:val="nil"/>
            </w:tcBorders>
          </w:tcPr>
          <w:p>
            <w:pPr>
              <w:pStyle w:val="TableParagraph"/>
              <w:spacing w:before="34"/>
              <w:ind w:left="169"/>
              <w:rPr>
                <w:rFonts w:ascii="Arial"/>
                <w:sz w:val="10"/>
              </w:rPr>
            </w:pPr>
            <w:r>
              <w:rPr>
                <w:rFonts w:ascii="Arial"/>
                <w:color w:val="44536A"/>
                <w:sz w:val="10"/>
              </w:rPr>
              <w:t>14,611.2</w:t>
            </w:r>
          </w:p>
        </w:tc>
        <w:tc>
          <w:tcPr>
            <w:tcW w:w="687" w:type="dxa"/>
            <w:tcBorders>
              <w:top w:val="nil"/>
              <w:bottom w:val="nil"/>
            </w:tcBorders>
          </w:tcPr>
          <w:p>
            <w:pPr>
              <w:pStyle w:val="TableParagraph"/>
              <w:spacing w:before="34"/>
              <w:ind w:right="146"/>
              <w:jc w:val="right"/>
              <w:rPr>
                <w:rFonts w:ascii="Arial"/>
                <w:sz w:val="10"/>
              </w:rPr>
            </w:pPr>
            <w:r>
              <w:rPr>
                <w:rFonts w:ascii="Arial"/>
                <w:color w:val="44536A"/>
                <w:sz w:val="10"/>
              </w:rPr>
              <w:t>14,671.8</w:t>
            </w:r>
          </w:p>
        </w:tc>
        <w:tc>
          <w:tcPr>
            <w:tcW w:w="624" w:type="dxa"/>
            <w:tcBorders>
              <w:top w:val="nil"/>
              <w:bottom w:val="nil"/>
            </w:tcBorders>
          </w:tcPr>
          <w:p>
            <w:pPr>
              <w:pStyle w:val="TableParagraph"/>
              <w:spacing w:before="34"/>
              <w:ind w:left="61" w:right="65"/>
              <w:jc w:val="center"/>
              <w:rPr>
                <w:rFonts w:ascii="Arial"/>
                <w:sz w:val="10"/>
              </w:rPr>
            </w:pPr>
            <w:r>
              <w:rPr>
                <w:rFonts w:ascii="Arial"/>
                <w:color w:val="44536A"/>
                <w:sz w:val="10"/>
              </w:rPr>
              <w:t>16,750.9</w:t>
            </w:r>
          </w:p>
        </w:tc>
        <w:tc>
          <w:tcPr>
            <w:tcW w:w="624" w:type="dxa"/>
            <w:tcBorders>
              <w:top w:val="nil"/>
              <w:bottom w:val="nil"/>
            </w:tcBorders>
          </w:tcPr>
          <w:p>
            <w:pPr>
              <w:pStyle w:val="TableParagraph"/>
              <w:spacing w:before="34"/>
              <w:ind w:right="116"/>
              <w:jc w:val="right"/>
              <w:rPr>
                <w:rFonts w:ascii="Arial"/>
                <w:sz w:val="10"/>
              </w:rPr>
            </w:pPr>
            <w:r>
              <w:rPr>
                <w:rFonts w:ascii="Arial"/>
                <w:color w:val="44536A"/>
                <w:sz w:val="10"/>
              </w:rPr>
              <w:t>16,939.8</w:t>
            </w:r>
          </w:p>
        </w:tc>
        <w:tc>
          <w:tcPr>
            <w:tcW w:w="624" w:type="dxa"/>
            <w:tcBorders>
              <w:top w:val="nil"/>
              <w:bottom w:val="nil"/>
            </w:tcBorders>
          </w:tcPr>
          <w:p>
            <w:pPr>
              <w:pStyle w:val="TableParagraph"/>
              <w:spacing w:before="34"/>
              <w:ind w:left="59" w:right="65"/>
              <w:jc w:val="center"/>
              <w:rPr>
                <w:rFonts w:ascii="Arial"/>
                <w:sz w:val="10"/>
              </w:rPr>
            </w:pPr>
            <w:r>
              <w:rPr>
                <w:rFonts w:ascii="Arial"/>
                <w:color w:val="44536A"/>
                <w:sz w:val="10"/>
              </w:rPr>
              <w:t>17,678.3</w:t>
            </w:r>
          </w:p>
        </w:tc>
        <w:tc>
          <w:tcPr>
            <w:tcW w:w="624" w:type="dxa"/>
            <w:tcBorders>
              <w:top w:val="nil"/>
              <w:bottom w:val="nil"/>
            </w:tcBorders>
          </w:tcPr>
          <w:p>
            <w:pPr>
              <w:pStyle w:val="TableParagraph"/>
              <w:spacing w:before="34"/>
              <w:ind w:left="58" w:right="65"/>
              <w:jc w:val="center"/>
              <w:rPr>
                <w:rFonts w:ascii="Arial"/>
                <w:sz w:val="10"/>
              </w:rPr>
            </w:pPr>
            <w:r>
              <w:rPr>
                <w:rFonts w:ascii="Arial"/>
                <w:color w:val="44536A"/>
                <w:sz w:val="10"/>
              </w:rPr>
              <w:t>18,775.3</w:t>
            </w:r>
          </w:p>
        </w:tc>
        <w:tc>
          <w:tcPr>
            <w:tcW w:w="624" w:type="dxa"/>
            <w:tcBorders>
              <w:top w:val="nil"/>
              <w:bottom w:val="nil"/>
            </w:tcBorders>
          </w:tcPr>
          <w:p>
            <w:pPr>
              <w:pStyle w:val="TableParagraph"/>
              <w:spacing w:before="34"/>
              <w:ind w:left="57" w:right="65"/>
              <w:jc w:val="center"/>
              <w:rPr>
                <w:rFonts w:ascii="Arial"/>
                <w:sz w:val="10"/>
              </w:rPr>
            </w:pPr>
            <w:r>
              <w:rPr>
                <w:rFonts w:ascii="Arial"/>
                <w:color w:val="44536A"/>
                <w:sz w:val="10"/>
              </w:rPr>
              <w:t>19,943.2</w:t>
            </w:r>
          </w:p>
        </w:tc>
        <w:tc>
          <w:tcPr>
            <w:tcW w:w="624" w:type="dxa"/>
            <w:tcBorders>
              <w:top w:val="nil"/>
              <w:bottom w:val="nil"/>
            </w:tcBorders>
          </w:tcPr>
          <w:p>
            <w:pPr>
              <w:pStyle w:val="TableParagraph"/>
              <w:spacing w:before="34"/>
              <w:ind w:right="118"/>
              <w:jc w:val="right"/>
              <w:rPr>
                <w:rFonts w:ascii="Arial"/>
                <w:sz w:val="10"/>
              </w:rPr>
            </w:pPr>
            <w:r>
              <w:rPr>
                <w:rFonts w:ascii="Arial"/>
                <w:color w:val="44536A"/>
                <w:sz w:val="10"/>
              </w:rPr>
              <w:t>21,222.9</w:t>
            </w:r>
          </w:p>
        </w:tc>
        <w:tc>
          <w:tcPr>
            <w:tcW w:w="624" w:type="dxa"/>
            <w:tcBorders>
              <w:top w:val="nil"/>
              <w:bottom w:val="nil"/>
            </w:tcBorders>
          </w:tcPr>
          <w:p>
            <w:pPr>
              <w:pStyle w:val="TableParagraph"/>
              <w:spacing w:before="34"/>
              <w:ind w:left="108"/>
              <w:rPr>
                <w:rFonts w:ascii="Arial"/>
                <w:sz w:val="10"/>
              </w:rPr>
            </w:pPr>
            <w:r>
              <w:rPr>
                <w:rFonts w:ascii="Arial"/>
                <w:color w:val="44536A"/>
                <w:sz w:val="10"/>
              </w:rPr>
              <w:t>22,584.6</w:t>
            </w:r>
          </w:p>
        </w:tc>
      </w:tr>
      <w:tr>
        <w:trPr>
          <w:trHeight w:val="187" w:hRule="atLeast"/>
        </w:trPr>
        <w:tc>
          <w:tcPr>
            <w:tcW w:w="2432" w:type="dxa"/>
            <w:tcBorders>
              <w:top w:val="nil"/>
              <w:bottom w:val="nil"/>
            </w:tcBorders>
          </w:tcPr>
          <w:p>
            <w:pPr>
              <w:pStyle w:val="TableParagraph"/>
              <w:spacing w:before="38"/>
              <w:ind w:left="125"/>
              <w:rPr>
                <w:rFonts w:ascii="Arial" w:hAnsi="Arial"/>
                <w:sz w:val="9"/>
              </w:rPr>
            </w:pPr>
            <w:r>
              <w:rPr>
                <w:rFonts w:ascii="Arial" w:hAnsi="Arial"/>
                <w:color w:val="44536A"/>
                <w:w w:val="105"/>
                <w:sz w:val="9"/>
              </w:rPr>
              <w:t>Sobre Distribución de Bebidas</w:t>
            </w:r>
          </w:p>
        </w:tc>
        <w:tc>
          <w:tcPr>
            <w:tcW w:w="730" w:type="dxa"/>
            <w:tcBorders>
              <w:top w:val="nil"/>
              <w:bottom w:val="nil"/>
            </w:tcBorders>
          </w:tcPr>
          <w:p>
            <w:pPr>
              <w:pStyle w:val="TableParagraph"/>
              <w:spacing w:before="34"/>
              <w:ind w:left="237"/>
              <w:rPr>
                <w:rFonts w:ascii="Arial"/>
                <w:sz w:val="10"/>
              </w:rPr>
            </w:pPr>
            <w:r>
              <w:rPr>
                <w:rFonts w:ascii="Arial"/>
                <w:color w:val="44536A"/>
                <w:sz w:val="10"/>
              </w:rPr>
              <w:t>869.6</w:t>
            </w:r>
          </w:p>
        </w:tc>
        <w:tc>
          <w:tcPr>
            <w:tcW w:w="687" w:type="dxa"/>
            <w:tcBorders>
              <w:top w:val="nil"/>
              <w:bottom w:val="nil"/>
            </w:tcBorders>
          </w:tcPr>
          <w:p>
            <w:pPr>
              <w:pStyle w:val="TableParagraph"/>
              <w:spacing w:before="34"/>
              <w:ind w:left="212"/>
              <w:rPr>
                <w:rFonts w:ascii="Arial"/>
                <w:sz w:val="10"/>
              </w:rPr>
            </w:pPr>
            <w:r>
              <w:rPr>
                <w:rFonts w:ascii="Arial"/>
                <w:color w:val="44536A"/>
                <w:sz w:val="10"/>
              </w:rPr>
              <w:t>895.4</w:t>
            </w:r>
          </w:p>
        </w:tc>
        <w:tc>
          <w:tcPr>
            <w:tcW w:w="624" w:type="dxa"/>
            <w:tcBorders>
              <w:top w:val="nil"/>
              <w:bottom w:val="nil"/>
            </w:tcBorders>
          </w:tcPr>
          <w:p>
            <w:pPr>
              <w:pStyle w:val="TableParagraph"/>
              <w:spacing w:before="34"/>
              <w:ind w:left="63" w:right="63"/>
              <w:jc w:val="center"/>
              <w:rPr>
                <w:rFonts w:ascii="Arial"/>
                <w:sz w:val="10"/>
              </w:rPr>
            </w:pPr>
            <w:r>
              <w:rPr>
                <w:rFonts w:ascii="Arial"/>
                <w:color w:val="44536A"/>
                <w:sz w:val="10"/>
              </w:rPr>
              <w:t>1,058.7</w:t>
            </w:r>
          </w:p>
        </w:tc>
        <w:tc>
          <w:tcPr>
            <w:tcW w:w="624" w:type="dxa"/>
            <w:tcBorders>
              <w:top w:val="nil"/>
              <w:bottom w:val="nil"/>
            </w:tcBorders>
          </w:tcPr>
          <w:p>
            <w:pPr>
              <w:pStyle w:val="TableParagraph"/>
              <w:spacing w:before="34"/>
              <w:ind w:right="140"/>
              <w:jc w:val="right"/>
              <w:rPr>
                <w:rFonts w:ascii="Arial"/>
                <w:sz w:val="10"/>
              </w:rPr>
            </w:pPr>
            <w:r>
              <w:rPr>
                <w:rFonts w:ascii="Arial"/>
                <w:color w:val="44536A"/>
                <w:sz w:val="10"/>
              </w:rPr>
              <w:t>1,100.0</w:t>
            </w:r>
          </w:p>
        </w:tc>
        <w:tc>
          <w:tcPr>
            <w:tcW w:w="624" w:type="dxa"/>
            <w:tcBorders>
              <w:top w:val="nil"/>
              <w:bottom w:val="nil"/>
            </w:tcBorders>
          </w:tcPr>
          <w:p>
            <w:pPr>
              <w:pStyle w:val="TableParagraph"/>
              <w:spacing w:before="34"/>
              <w:ind w:left="63" w:right="64"/>
              <w:jc w:val="center"/>
              <w:rPr>
                <w:rFonts w:ascii="Arial"/>
                <w:sz w:val="10"/>
              </w:rPr>
            </w:pPr>
            <w:r>
              <w:rPr>
                <w:rFonts w:ascii="Arial"/>
                <w:color w:val="44536A"/>
                <w:sz w:val="10"/>
              </w:rPr>
              <w:t>1,127.2</w:t>
            </w:r>
          </w:p>
        </w:tc>
        <w:tc>
          <w:tcPr>
            <w:tcW w:w="624" w:type="dxa"/>
            <w:tcBorders>
              <w:top w:val="nil"/>
              <w:bottom w:val="nil"/>
            </w:tcBorders>
          </w:tcPr>
          <w:p>
            <w:pPr>
              <w:pStyle w:val="TableParagraph"/>
              <w:spacing w:before="34"/>
              <w:ind w:left="63" w:right="64"/>
              <w:jc w:val="center"/>
              <w:rPr>
                <w:rFonts w:ascii="Arial"/>
                <w:sz w:val="10"/>
              </w:rPr>
            </w:pPr>
            <w:r>
              <w:rPr>
                <w:rFonts w:ascii="Arial"/>
                <w:color w:val="44536A"/>
                <w:sz w:val="10"/>
              </w:rPr>
              <w:t>1,167.9</w:t>
            </w:r>
          </w:p>
        </w:tc>
        <w:tc>
          <w:tcPr>
            <w:tcW w:w="624" w:type="dxa"/>
            <w:tcBorders>
              <w:top w:val="nil"/>
              <w:bottom w:val="nil"/>
            </w:tcBorders>
          </w:tcPr>
          <w:p>
            <w:pPr>
              <w:pStyle w:val="TableParagraph"/>
              <w:spacing w:before="34"/>
              <w:ind w:left="63" w:right="65"/>
              <w:jc w:val="center"/>
              <w:rPr>
                <w:rFonts w:ascii="Arial"/>
                <w:sz w:val="10"/>
              </w:rPr>
            </w:pPr>
            <w:r>
              <w:rPr>
                <w:rFonts w:ascii="Arial"/>
                <w:color w:val="44536A"/>
                <w:sz w:val="10"/>
              </w:rPr>
              <w:t>1,210.2</w:t>
            </w:r>
          </w:p>
        </w:tc>
        <w:tc>
          <w:tcPr>
            <w:tcW w:w="624" w:type="dxa"/>
            <w:tcBorders>
              <w:top w:val="nil"/>
              <w:bottom w:val="nil"/>
            </w:tcBorders>
          </w:tcPr>
          <w:p>
            <w:pPr>
              <w:pStyle w:val="TableParagraph"/>
              <w:spacing w:before="34"/>
              <w:ind w:right="142"/>
              <w:jc w:val="right"/>
              <w:rPr>
                <w:rFonts w:ascii="Arial"/>
                <w:sz w:val="10"/>
              </w:rPr>
            </w:pPr>
            <w:r>
              <w:rPr>
                <w:rFonts w:ascii="Arial"/>
                <w:color w:val="44536A"/>
                <w:sz w:val="10"/>
              </w:rPr>
              <w:t>1,255.2</w:t>
            </w:r>
          </w:p>
        </w:tc>
        <w:tc>
          <w:tcPr>
            <w:tcW w:w="624" w:type="dxa"/>
            <w:tcBorders>
              <w:top w:val="nil"/>
              <w:bottom w:val="nil"/>
            </w:tcBorders>
          </w:tcPr>
          <w:p>
            <w:pPr>
              <w:pStyle w:val="TableParagraph"/>
              <w:spacing w:before="34"/>
              <w:ind w:left="139"/>
              <w:rPr>
                <w:rFonts w:ascii="Arial"/>
                <w:sz w:val="10"/>
              </w:rPr>
            </w:pPr>
            <w:r>
              <w:rPr>
                <w:rFonts w:ascii="Arial"/>
                <w:color w:val="44536A"/>
                <w:sz w:val="10"/>
              </w:rPr>
              <w:t>1,301.9</w:t>
            </w:r>
          </w:p>
        </w:tc>
      </w:tr>
      <w:tr>
        <w:trPr>
          <w:trHeight w:val="187" w:hRule="atLeast"/>
        </w:trPr>
        <w:tc>
          <w:tcPr>
            <w:tcW w:w="2432" w:type="dxa"/>
            <w:tcBorders>
              <w:top w:val="nil"/>
              <w:bottom w:val="nil"/>
            </w:tcBorders>
          </w:tcPr>
          <w:p>
            <w:pPr>
              <w:pStyle w:val="TableParagraph"/>
              <w:spacing w:before="37"/>
              <w:ind w:left="125"/>
              <w:rPr>
                <w:rFonts w:ascii="Arial"/>
                <w:sz w:val="9"/>
              </w:rPr>
            </w:pPr>
            <w:r>
              <w:rPr>
                <w:rFonts w:ascii="Arial"/>
                <w:color w:val="44536A"/>
                <w:w w:val="105"/>
                <w:sz w:val="9"/>
              </w:rPr>
              <w:t>Sobre el Tabaco y sus productos</w:t>
            </w:r>
          </w:p>
        </w:tc>
        <w:tc>
          <w:tcPr>
            <w:tcW w:w="730" w:type="dxa"/>
            <w:tcBorders>
              <w:top w:val="nil"/>
              <w:bottom w:val="nil"/>
            </w:tcBorders>
          </w:tcPr>
          <w:p>
            <w:pPr>
              <w:pStyle w:val="TableParagraph"/>
              <w:spacing w:before="34"/>
              <w:ind w:left="237"/>
              <w:rPr>
                <w:rFonts w:ascii="Arial"/>
                <w:sz w:val="10"/>
              </w:rPr>
            </w:pPr>
            <w:r>
              <w:rPr>
                <w:rFonts w:ascii="Arial"/>
                <w:color w:val="44536A"/>
                <w:sz w:val="10"/>
              </w:rPr>
              <w:t>362.5</w:t>
            </w:r>
          </w:p>
        </w:tc>
        <w:tc>
          <w:tcPr>
            <w:tcW w:w="687" w:type="dxa"/>
            <w:tcBorders>
              <w:top w:val="nil"/>
              <w:bottom w:val="nil"/>
            </w:tcBorders>
          </w:tcPr>
          <w:p>
            <w:pPr>
              <w:pStyle w:val="TableParagraph"/>
              <w:spacing w:before="34"/>
              <w:ind w:left="212"/>
              <w:rPr>
                <w:rFonts w:ascii="Arial"/>
                <w:sz w:val="10"/>
              </w:rPr>
            </w:pPr>
            <w:r>
              <w:rPr>
                <w:rFonts w:ascii="Arial"/>
                <w:color w:val="44536A"/>
                <w:sz w:val="10"/>
              </w:rPr>
              <w:t>298.6</w:t>
            </w:r>
          </w:p>
        </w:tc>
        <w:tc>
          <w:tcPr>
            <w:tcW w:w="624" w:type="dxa"/>
            <w:tcBorders>
              <w:top w:val="nil"/>
              <w:bottom w:val="nil"/>
            </w:tcBorders>
          </w:tcPr>
          <w:p>
            <w:pPr>
              <w:pStyle w:val="TableParagraph"/>
              <w:spacing w:before="34"/>
              <w:ind w:left="62" w:right="65"/>
              <w:jc w:val="center"/>
              <w:rPr>
                <w:rFonts w:ascii="Arial"/>
                <w:sz w:val="10"/>
              </w:rPr>
            </w:pPr>
            <w:r>
              <w:rPr>
                <w:rFonts w:ascii="Arial"/>
                <w:color w:val="44536A"/>
                <w:sz w:val="10"/>
              </w:rPr>
              <w:t>332.6</w:t>
            </w:r>
          </w:p>
        </w:tc>
        <w:tc>
          <w:tcPr>
            <w:tcW w:w="624" w:type="dxa"/>
            <w:tcBorders>
              <w:top w:val="nil"/>
              <w:bottom w:val="nil"/>
            </w:tcBorders>
          </w:tcPr>
          <w:p>
            <w:pPr>
              <w:pStyle w:val="TableParagraph"/>
              <w:spacing w:before="34"/>
              <w:ind w:left="179"/>
              <w:rPr>
                <w:rFonts w:ascii="Arial"/>
                <w:sz w:val="10"/>
              </w:rPr>
            </w:pPr>
            <w:r>
              <w:rPr>
                <w:rFonts w:ascii="Arial"/>
                <w:color w:val="44536A"/>
                <w:sz w:val="10"/>
              </w:rPr>
              <w:t>329.9</w:t>
            </w:r>
          </w:p>
        </w:tc>
        <w:tc>
          <w:tcPr>
            <w:tcW w:w="624" w:type="dxa"/>
            <w:tcBorders>
              <w:top w:val="nil"/>
              <w:bottom w:val="nil"/>
            </w:tcBorders>
          </w:tcPr>
          <w:p>
            <w:pPr>
              <w:pStyle w:val="TableParagraph"/>
              <w:spacing w:before="34"/>
              <w:ind w:left="59" w:right="65"/>
              <w:jc w:val="center"/>
              <w:rPr>
                <w:rFonts w:ascii="Arial"/>
                <w:sz w:val="10"/>
              </w:rPr>
            </w:pPr>
            <w:r>
              <w:rPr>
                <w:rFonts w:ascii="Arial"/>
                <w:color w:val="44536A"/>
                <w:sz w:val="10"/>
              </w:rPr>
              <w:t>338.0</w:t>
            </w:r>
          </w:p>
        </w:tc>
        <w:tc>
          <w:tcPr>
            <w:tcW w:w="624" w:type="dxa"/>
            <w:tcBorders>
              <w:top w:val="nil"/>
              <w:bottom w:val="nil"/>
            </w:tcBorders>
          </w:tcPr>
          <w:p>
            <w:pPr>
              <w:pStyle w:val="TableParagraph"/>
              <w:spacing w:before="34"/>
              <w:ind w:left="58" w:right="65"/>
              <w:jc w:val="center"/>
              <w:rPr>
                <w:rFonts w:ascii="Arial"/>
                <w:sz w:val="10"/>
              </w:rPr>
            </w:pPr>
            <w:r>
              <w:rPr>
                <w:rFonts w:ascii="Arial"/>
                <w:color w:val="44536A"/>
                <w:sz w:val="10"/>
              </w:rPr>
              <w:t>350.2</w:t>
            </w:r>
          </w:p>
        </w:tc>
        <w:tc>
          <w:tcPr>
            <w:tcW w:w="624" w:type="dxa"/>
            <w:tcBorders>
              <w:top w:val="nil"/>
              <w:bottom w:val="nil"/>
            </w:tcBorders>
          </w:tcPr>
          <w:p>
            <w:pPr>
              <w:pStyle w:val="TableParagraph"/>
              <w:spacing w:before="34"/>
              <w:ind w:left="58" w:right="65"/>
              <w:jc w:val="center"/>
              <w:rPr>
                <w:rFonts w:ascii="Arial"/>
                <w:sz w:val="10"/>
              </w:rPr>
            </w:pPr>
            <w:r>
              <w:rPr>
                <w:rFonts w:ascii="Arial"/>
                <w:color w:val="44536A"/>
                <w:sz w:val="10"/>
              </w:rPr>
              <w:t>362.9</w:t>
            </w:r>
          </w:p>
        </w:tc>
        <w:tc>
          <w:tcPr>
            <w:tcW w:w="624" w:type="dxa"/>
            <w:tcBorders>
              <w:top w:val="nil"/>
              <w:bottom w:val="nil"/>
            </w:tcBorders>
          </w:tcPr>
          <w:p>
            <w:pPr>
              <w:pStyle w:val="TableParagraph"/>
              <w:spacing w:before="34"/>
              <w:ind w:right="186"/>
              <w:jc w:val="right"/>
              <w:rPr>
                <w:rFonts w:ascii="Arial"/>
                <w:sz w:val="10"/>
              </w:rPr>
            </w:pPr>
            <w:r>
              <w:rPr>
                <w:rFonts w:ascii="Arial"/>
                <w:color w:val="44536A"/>
                <w:sz w:val="10"/>
              </w:rPr>
              <w:t>376.4</w:t>
            </w:r>
          </w:p>
        </w:tc>
        <w:tc>
          <w:tcPr>
            <w:tcW w:w="624" w:type="dxa"/>
            <w:tcBorders>
              <w:top w:val="nil"/>
              <w:bottom w:val="nil"/>
            </w:tcBorders>
          </w:tcPr>
          <w:p>
            <w:pPr>
              <w:pStyle w:val="TableParagraph"/>
              <w:spacing w:before="34"/>
              <w:ind w:left="176"/>
              <w:rPr>
                <w:rFonts w:ascii="Arial"/>
                <w:sz w:val="10"/>
              </w:rPr>
            </w:pPr>
            <w:r>
              <w:rPr>
                <w:rFonts w:ascii="Arial"/>
                <w:color w:val="44536A"/>
                <w:sz w:val="10"/>
              </w:rPr>
              <w:t>390.4</w:t>
            </w:r>
          </w:p>
        </w:tc>
      </w:tr>
      <w:tr>
        <w:trPr>
          <w:trHeight w:val="187" w:hRule="atLeast"/>
        </w:trPr>
        <w:tc>
          <w:tcPr>
            <w:tcW w:w="2432" w:type="dxa"/>
            <w:tcBorders>
              <w:top w:val="nil"/>
              <w:bottom w:val="nil"/>
            </w:tcBorders>
          </w:tcPr>
          <w:p>
            <w:pPr>
              <w:pStyle w:val="TableParagraph"/>
              <w:spacing w:before="38"/>
              <w:ind w:left="125"/>
              <w:rPr>
                <w:rFonts w:ascii="Arial" w:hAnsi="Arial"/>
                <w:sz w:val="9"/>
              </w:rPr>
            </w:pPr>
            <w:r>
              <w:rPr>
                <w:rFonts w:ascii="Arial" w:hAnsi="Arial"/>
                <w:color w:val="44536A"/>
                <w:w w:val="105"/>
                <w:sz w:val="9"/>
              </w:rPr>
              <w:t>Sobre Distribución de Petróleo y Derivados</w:t>
            </w:r>
          </w:p>
        </w:tc>
        <w:tc>
          <w:tcPr>
            <w:tcW w:w="730" w:type="dxa"/>
            <w:tcBorders>
              <w:top w:val="nil"/>
              <w:bottom w:val="nil"/>
            </w:tcBorders>
          </w:tcPr>
          <w:p>
            <w:pPr>
              <w:pStyle w:val="TableParagraph"/>
              <w:spacing w:before="34"/>
              <w:ind w:left="194"/>
              <w:rPr>
                <w:rFonts w:ascii="Arial"/>
                <w:sz w:val="10"/>
              </w:rPr>
            </w:pPr>
            <w:r>
              <w:rPr>
                <w:rFonts w:ascii="Arial"/>
                <w:color w:val="44536A"/>
                <w:sz w:val="10"/>
              </w:rPr>
              <w:t>3,743.4</w:t>
            </w:r>
          </w:p>
        </w:tc>
        <w:tc>
          <w:tcPr>
            <w:tcW w:w="687" w:type="dxa"/>
            <w:tcBorders>
              <w:top w:val="nil"/>
              <w:bottom w:val="nil"/>
            </w:tcBorders>
          </w:tcPr>
          <w:p>
            <w:pPr>
              <w:pStyle w:val="TableParagraph"/>
              <w:spacing w:before="34"/>
              <w:ind w:right="171"/>
              <w:jc w:val="right"/>
              <w:rPr>
                <w:rFonts w:ascii="Arial"/>
                <w:sz w:val="10"/>
              </w:rPr>
            </w:pPr>
            <w:r>
              <w:rPr>
                <w:rFonts w:ascii="Arial"/>
                <w:color w:val="44536A"/>
                <w:sz w:val="10"/>
              </w:rPr>
              <w:t>3,484.7</w:t>
            </w:r>
          </w:p>
        </w:tc>
        <w:tc>
          <w:tcPr>
            <w:tcW w:w="624" w:type="dxa"/>
            <w:tcBorders>
              <w:top w:val="nil"/>
              <w:bottom w:val="nil"/>
            </w:tcBorders>
          </w:tcPr>
          <w:p>
            <w:pPr>
              <w:pStyle w:val="TableParagraph"/>
              <w:spacing w:before="34"/>
              <w:ind w:left="63" w:right="63"/>
              <w:jc w:val="center"/>
              <w:rPr>
                <w:rFonts w:ascii="Arial"/>
                <w:sz w:val="10"/>
              </w:rPr>
            </w:pPr>
            <w:r>
              <w:rPr>
                <w:rFonts w:ascii="Arial"/>
                <w:color w:val="44536A"/>
                <w:sz w:val="10"/>
              </w:rPr>
              <w:t>4,066.3</w:t>
            </w:r>
          </w:p>
        </w:tc>
        <w:tc>
          <w:tcPr>
            <w:tcW w:w="624" w:type="dxa"/>
            <w:tcBorders>
              <w:top w:val="nil"/>
              <w:bottom w:val="nil"/>
            </w:tcBorders>
          </w:tcPr>
          <w:p>
            <w:pPr>
              <w:pStyle w:val="TableParagraph"/>
              <w:spacing w:before="34"/>
              <w:ind w:right="140"/>
              <w:jc w:val="right"/>
              <w:rPr>
                <w:rFonts w:ascii="Arial"/>
                <w:sz w:val="10"/>
              </w:rPr>
            </w:pPr>
            <w:r>
              <w:rPr>
                <w:rFonts w:ascii="Arial"/>
                <w:color w:val="44536A"/>
                <w:sz w:val="10"/>
              </w:rPr>
              <w:t>4,189.0</w:t>
            </w:r>
          </w:p>
        </w:tc>
        <w:tc>
          <w:tcPr>
            <w:tcW w:w="624" w:type="dxa"/>
            <w:tcBorders>
              <w:top w:val="nil"/>
              <w:bottom w:val="nil"/>
            </w:tcBorders>
          </w:tcPr>
          <w:p>
            <w:pPr>
              <w:pStyle w:val="TableParagraph"/>
              <w:spacing w:before="34"/>
              <w:ind w:left="63" w:right="64"/>
              <w:jc w:val="center"/>
              <w:rPr>
                <w:rFonts w:ascii="Arial"/>
                <w:sz w:val="10"/>
              </w:rPr>
            </w:pPr>
            <w:r>
              <w:rPr>
                <w:rFonts w:ascii="Arial"/>
                <w:color w:val="44536A"/>
                <w:sz w:val="10"/>
              </w:rPr>
              <w:t>4,292.4</w:t>
            </w:r>
          </w:p>
        </w:tc>
        <w:tc>
          <w:tcPr>
            <w:tcW w:w="624" w:type="dxa"/>
            <w:tcBorders>
              <w:top w:val="nil"/>
              <w:bottom w:val="nil"/>
            </w:tcBorders>
          </w:tcPr>
          <w:p>
            <w:pPr>
              <w:pStyle w:val="TableParagraph"/>
              <w:spacing w:before="34"/>
              <w:ind w:left="63" w:right="64"/>
              <w:jc w:val="center"/>
              <w:rPr>
                <w:rFonts w:ascii="Arial"/>
                <w:sz w:val="10"/>
              </w:rPr>
            </w:pPr>
            <w:r>
              <w:rPr>
                <w:rFonts w:ascii="Arial"/>
                <w:color w:val="44536A"/>
                <w:sz w:val="10"/>
              </w:rPr>
              <w:t>4,447.6</w:t>
            </w:r>
          </w:p>
        </w:tc>
        <w:tc>
          <w:tcPr>
            <w:tcW w:w="624" w:type="dxa"/>
            <w:tcBorders>
              <w:top w:val="nil"/>
              <w:bottom w:val="nil"/>
            </w:tcBorders>
          </w:tcPr>
          <w:p>
            <w:pPr>
              <w:pStyle w:val="TableParagraph"/>
              <w:spacing w:before="34"/>
              <w:ind w:left="63" w:right="65"/>
              <w:jc w:val="center"/>
              <w:rPr>
                <w:rFonts w:ascii="Arial"/>
                <w:sz w:val="10"/>
              </w:rPr>
            </w:pPr>
            <w:r>
              <w:rPr>
                <w:rFonts w:ascii="Arial"/>
                <w:color w:val="44536A"/>
                <w:sz w:val="10"/>
              </w:rPr>
              <w:t>4,608.6</w:t>
            </w:r>
          </w:p>
        </w:tc>
        <w:tc>
          <w:tcPr>
            <w:tcW w:w="624" w:type="dxa"/>
            <w:tcBorders>
              <w:top w:val="nil"/>
              <w:bottom w:val="nil"/>
            </w:tcBorders>
          </w:tcPr>
          <w:p>
            <w:pPr>
              <w:pStyle w:val="TableParagraph"/>
              <w:spacing w:before="34"/>
              <w:ind w:right="142"/>
              <w:jc w:val="right"/>
              <w:rPr>
                <w:rFonts w:ascii="Arial"/>
                <w:sz w:val="10"/>
              </w:rPr>
            </w:pPr>
            <w:r>
              <w:rPr>
                <w:rFonts w:ascii="Arial"/>
                <w:color w:val="44536A"/>
                <w:sz w:val="10"/>
              </w:rPr>
              <w:t>4,780.0</w:t>
            </w:r>
          </w:p>
        </w:tc>
        <w:tc>
          <w:tcPr>
            <w:tcW w:w="624" w:type="dxa"/>
            <w:tcBorders>
              <w:top w:val="nil"/>
              <w:bottom w:val="nil"/>
            </w:tcBorders>
          </w:tcPr>
          <w:p>
            <w:pPr>
              <w:pStyle w:val="TableParagraph"/>
              <w:spacing w:before="34"/>
              <w:ind w:left="139"/>
              <w:rPr>
                <w:rFonts w:ascii="Arial"/>
                <w:sz w:val="10"/>
              </w:rPr>
            </w:pPr>
            <w:r>
              <w:rPr>
                <w:rFonts w:ascii="Arial"/>
                <w:color w:val="44536A"/>
                <w:sz w:val="10"/>
              </w:rPr>
              <w:t>4,957.8</w:t>
            </w:r>
          </w:p>
        </w:tc>
      </w:tr>
      <w:tr>
        <w:trPr>
          <w:trHeight w:val="187" w:hRule="atLeast"/>
        </w:trPr>
        <w:tc>
          <w:tcPr>
            <w:tcW w:w="2432" w:type="dxa"/>
            <w:tcBorders>
              <w:top w:val="nil"/>
              <w:bottom w:val="nil"/>
            </w:tcBorders>
          </w:tcPr>
          <w:p>
            <w:pPr>
              <w:pStyle w:val="TableParagraph"/>
              <w:spacing w:before="37"/>
              <w:ind w:left="125"/>
              <w:rPr>
                <w:rFonts w:ascii="Arial" w:hAnsi="Arial"/>
                <w:sz w:val="9"/>
              </w:rPr>
            </w:pPr>
            <w:r>
              <w:rPr>
                <w:rFonts w:ascii="Arial" w:hAnsi="Arial"/>
                <w:color w:val="44536A"/>
                <w:w w:val="105"/>
                <w:sz w:val="9"/>
              </w:rPr>
              <w:t>Sobre Distribución de Cemento</w:t>
            </w:r>
          </w:p>
        </w:tc>
        <w:tc>
          <w:tcPr>
            <w:tcW w:w="730" w:type="dxa"/>
            <w:tcBorders>
              <w:top w:val="nil"/>
              <w:bottom w:val="nil"/>
            </w:tcBorders>
          </w:tcPr>
          <w:p>
            <w:pPr>
              <w:pStyle w:val="TableParagraph"/>
              <w:spacing w:before="34"/>
              <w:ind w:left="237"/>
              <w:rPr>
                <w:rFonts w:ascii="Arial"/>
                <w:sz w:val="10"/>
              </w:rPr>
            </w:pPr>
            <w:r>
              <w:rPr>
                <w:rFonts w:ascii="Arial"/>
                <w:color w:val="44536A"/>
                <w:sz w:val="10"/>
              </w:rPr>
              <w:t>131.4</w:t>
            </w:r>
          </w:p>
        </w:tc>
        <w:tc>
          <w:tcPr>
            <w:tcW w:w="687" w:type="dxa"/>
            <w:tcBorders>
              <w:top w:val="nil"/>
              <w:bottom w:val="nil"/>
            </w:tcBorders>
          </w:tcPr>
          <w:p>
            <w:pPr>
              <w:pStyle w:val="TableParagraph"/>
              <w:spacing w:before="34"/>
              <w:ind w:left="212"/>
              <w:rPr>
                <w:rFonts w:ascii="Arial"/>
                <w:sz w:val="10"/>
              </w:rPr>
            </w:pPr>
            <w:r>
              <w:rPr>
                <w:rFonts w:ascii="Arial"/>
                <w:color w:val="44536A"/>
                <w:sz w:val="10"/>
              </w:rPr>
              <w:t>147.2</w:t>
            </w:r>
          </w:p>
        </w:tc>
        <w:tc>
          <w:tcPr>
            <w:tcW w:w="624" w:type="dxa"/>
            <w:tcBorders>
              <w:top w:val="nil"/>
              <w:bottom w:val="nil"/>
            </w:tcBorders>
          </w:tcPr>
          <w:p>
            <w:pPr>
              <w:pStyle w:val="TableParagraph"/>
              <w:spacing w:before="34"/>
              <w:ind w:left="62" w:right="65"/>
              <w:jc w:val="center"/>
              <w:rPr>
                <w:rFonts w:ascii="Arial"/>
                <w:sz w:val="10"/>
              </w:rPr>
            </w:pPr>
            <w:r>
              <w:rPr>
                <w:rFonts w:ascii="Arial"/>
                <w:color w:val="44536A"/>
                <w:sz w:val="10"/>
              </w:rPr>
              <w:t>183.2</w:t>
            </w:r>
          </w:p>
        </w:tc>
        <w:tc>
          <w:tcPr>
            <w:tcW w:w="624" w:type="dxa"/>
            <w:tcBorders>
              <w:top w:val="nil"/>
              <w:bottom w:val="nil"/>
            </w:tcBorders>
          </w:tcPr>
          <w:p>
            <w:pPr>
              <w:pStyle w:val="TableParagraph"/>
              <w:spacing w:before="34"/>
              <w:ind w:left="179"/>
              <w:rPr>
                <w:rFonts w:ascii="Arial"/>
                <w:sz w:val="10"/>
              </w:rPr>
            </w:pPr>
            <w:r>
              <w:rPr>
                <w:rFonts w:ascii="Arial"/>
                <w:color w:val="44536A"/>
                <w:sz w:val="10"/>
              </w:rPr>
              <w:t>191.9</w:t>
            </w:r>
          </w:p>
        </w:tc>
        <w:tc>
          <w:tcPr>
            <w:tcW w:w="624" w:type="dxa"/>
            <w:tcBorders>
              <w:top w:val="nil"/>
              <w:bottom w:val="nil"/>
            </w:tcBorders>
          </w:tcPr>
          <w:p>
            <w:pPr>
              <w:pStyle w:val="TableParagraph"/>
              <w:spacing w:before="34"/>
              <w:ind w:left="59" w:right="65"/>
              <w:jc w:val="center"/>
              <w:rPr>
                <w:rFonts w:ascii="Arial"/>
                <w:sz w:val="10"/>
              </w:rPr>
            </w:pPr>
            <w:r>
              <w:rPr>
                <w:rFonts w:ascii="Arial"/>
                <w:color w:val="44536A"/>
                <w:sz w:val="10"/>
              </w:rPr>
              <w:t>196.7</w:t>
            </w:r>
          </w:p>
        </w:tc>
        <w:tc>
          <w:tcPr>
            <w:tcW w:w="624" w:type="dxa"/>
            <w:tcBorders>
              <w:top w:val="nil"/>
              <w:bottom w:val="nil"/>
            </w:tcBorders>
          </w:tcPr>
          <w:p>
            <w:pPr>
              <w:pStyle w:val="TableParagraph"/>
              <w:spacing w:before="34"/>
              <w:ind w:left="58" w:right="65"/>
              <w:jc w:val="center"/>
              <w:rPr>
                <w:rFonts w:ascii="Arial"/>
                <w:sz w:val="10"/>
              </w:rPr>
            </w:pPr>
            <w:r>
              <w:rPr>
                <w:rFonts w:ascii="Arial"/>
                <w:color w:val="44536A"/>
                <w:sz w:val="10"/>
              </w:rPr>
              <w:t>203.8</w:t>
            </w:r>
          </w:p>
        </w:tc>
        <w:tc>
          <w:tcPr>
            <w:tcW w:w="624" w:type="dxa"/>
            <w:tcBorders>
              <w:top w:val="nil"/>
              <w:bottom w:val="nil"/>
            </w:tcBorders>
          </w:tcPr>
          <w:p>
            <w:pPr>
              <w:pStyle w:val="TableParagraph"/>
              <w:spacing w:before="34"/>
              <w:ind w:left="58" w:right="65"/>
              <w:jc w:val="center"/>
              <w:rPr>
                <w:rFonts w:ascii="Arial"/>
                <w:sz w:val="10"/>
              </w:rPr>
            </w:pPr>
            <w:r>
              <w:rPr>
                <w:rFonts w:ascii="Arial"/>
                <w:color w:val="44536A"/>
                <w:sz w:val="10"/>
              </w:rPr>
              <w:t>211.2</w:t>
            </w:r>
          </w:p>
        </w:tc>
        <w:tc>
          <w:tcPr>
            <w:tcW w:w="624" w:type="dxa"/>
            <w:tcBorders>
              <w:top w:val="nil"/>
              <w:bottom w:val="nil"/>
            </w:tcBorders>
          </w:tcPr>
          <w:p>
            <w:pPr>
              <w:pStyle w:val="TableParagraph"/>
              <w:spacing w:before="34"/>
              <w:ind w:right="186"/>
              <w:jc w:val="right"/>
              <w:rPr>
                <w:rFonts w:ascii="Arial"/>
                <w:sz w:val="10"/>
              </w:rPr>
            </w:pPr>
            <w:r>
              <w:rPr>
                <w:rFonts w:ascii="Arial"/>
                <w:color w:val="44536A"/>
                <w:sz w:val="10"/>
              </w:rPr>
              <w:t>219.0</w:t>
            </w:r>
          </w:p>
        </w:tc>
        <w:tc>
          <w:tcPr>
            <w:tcW w:w="624" w:type="dxa"/>
            <w:tcBorders>
              <w:top w:val="nil"/>
              <w:bottom w:val="nil"/>
            </w:tcBorders>
          </w:tcPr>
          <w:p>
            <w:pPr>
              <w:pStyle w:val="TableParagraph"/>
              <w:spacing w:before="34"/>
              <w:ind w:left="176"/>
              <w:rPr>
                <w:rFonts w:ascii="Arial"/>
                <w:sz w:val="10"/>
              </w:rPr>
            </w:pPr>
            <w:r>
              <w:rPr>
                <w:rFonts w:ascii="Arial"/>
                <w:color w:val="44536A"/>
                <w:sz w:val="10"/>
              </w:rPr>
              <w:t>227.2</w:t>
            </w:r>
          </w:p>
        </w:tc>
      </w:tr>
      <w:tr>
        <w:trPr>
          <w:trHeight w:val="187" w:hRule="atLeast"/>
        </w:trPr>
        <w:tc>
          <w:tcPr>
            <w:tcW w:w="2432" w:type="dxa"/>
            <w:tcBorders>
              <w:top w:val="nil"/>
              <w:bottom w:val="nil"/>
            </w:tcBorders>
          </w:tcPr>
          <w:p>
            <w:pPr>
              <w:pStyle w:val="TableParagraph"/>
              <w:spacing w:before="38"/>
              <w:ind w:left="125"/>
              <w:rPr>
                <w:rFonts w:ascii="Arial"/>
                <w:sz w:val="9"/>
              </w:rPr>
            </w:pPr>
            <w:r>
              <w:rPr>
                <w:rFonts w:ascii="Arial"/>
                <w:color w:val="44536A"/>
                <w:w w:val="105"/>
                <w:sz w:val="9"/>
              </w:rPr>
              <w:t>Timbres Fiscales y Papel Sellado</w:t>
            </w:r>
          </w:p>
        </w:tc>
        <w:tc>
          <w:tcPr>
            <w:tcW w:w="730" w:type="dxa"/>
            <w:tcBorders>
              <w:top w:val="nil"/>
              <w:bottom w:val="nil"/>
            </w:tcBorders>
          </w:tcPr>
          <w:p>
            <w:pPr>
              <w:pStyle w:val="TableParagraph"/>
              <w:spacing w:before="34"/>
              <w:ind w:left="237"/>
              <w:rPr>
                <w:rFonts w:ascii="Arial"/>
                <w:sz w:val="10"/>
              </w:rPr>
            </w:pPr>
            <w:r>
              <w:rPr>
                <w:rFonts w:ascii="Arial"/>
                <w:color w:val="44536A"/>
                <w:sz w:val="10"/>
              </w:rPr>
              <w:t>451.5</w:t>
            </w:r>
          </w:p>
        </w:tc>
        <w:tc>
          <w:tcPr>
            <w:tcW w:w="687" w:type="dxa"/>
            <w:tcBorders>
              <w:top w:val="nil"/>
              <w:bottom w:val="nil"/>
            </w:tcBorders>
          </w:tcPr>
          <w:p>
            <w:pPr>
              <w:pStyle w:val="TableParagraph"/>
              <w:spacing w:before="34"/>
              <w:ind w:left="212"/>
              <w:rPr>
                <w:rFonts w:ascii="Arial"/>
                <w:sz w:val="10"/>
              </w:rPr>
            </w:pPr>
            <w:r>
              <w:rPr>
                <w:rFonts w:ascii="Arial"/>
                <w:color w:val="44536A"/>
                <w:sz w:val="10"/>
              </w:rPr>
              <w:t>391.6</w:t>
            </w:r>
          </w:p>
        </w:tc>
        <w:tc>
          <w:tcPr>
            <w:tcW w:w="624" w:type="dxa"/>
            <w:tcBorders>
              <w:top w:val="nil"/>
              <w:bottom w:val="nil"/>
            </w:tcBorders>
          </w:tcPr>
          <w:p>
            <w:pPr>
              <w:pStyle w:val="TableParagraph"/>
              <w:spacing w:before="34"/>
              <w:ind w:left="62" w:right="65"/>
              <w:jc w:val="center"/>
              <w:rPr>
                <w:rFonts w:ascii="Arial"/>
                <w:sz w:val="10"/>
              </w:rPr>
            </w:pPr>
            <w:r>
              <w:rPr>
                <w:rFonts w:ascii="Arial"/>
                <w:color w:val="44536A"/>
                <w:sz w:val="10"/>
              </w:rPr>
              <w:t>542.0</w:t>
            </w:r>
          </w:p>
        </w:tc>
        <w:tc>
          <w:tcPr>
            <w:tcW w:w="624" w:type="dxa"/>
            <w:tcBorders>
              <w:top w:val="nil"/>
              <w:bottom w:val="nil"/>
            </w:tcBorders>
          </w:tcPr>
          <w:p>
            <w:pPr>
              <w:pStyle w:val="TableParagraph"/>
              <w:spacing w:before="34"/>
              <w:ind w:left="179"/>
              <w:rPr>
                <w:rFonts w:ascii="Arial"/>
                <w:sz w:val="10"/>
              </w:rPr>
            </w:pPr>
            <w:r>
              <w:rPr>
                <w:rFonts w:ascii="Arial"/>
                <w:color w:val="44536A"/>
                <w:sz w:val="10"/>
              </w:rPr>
              <w:t>527.7</w:t>
            </w:r>
          </w:p>
        </w:tc>
        <w:tc>
          <w:tcPr>
            <w:tcW w:w="624" w:type="dxa"/>
            <w:tcBorders>
              <w:top w:val="nil"/>
              <w:bottom w:val="nil"/>
            </w:tcBorders>
          </w:tcPr>
          <w:p>
            <w:pPr>
              <w:pStyle w:val="TableParagraph"/>
              <w:spacing w:before="34"/>
              <w:ind w:left="59" w:right="65"/>
              <w:jc w:val="center"/>
              <w:rPr>
                <w:rFonts w:ascii="Arial"/>
                <w:sz w:val="10"/>
              </w:rPr>
            </w:pPr>
            <w:r>
              <w:rPr>
                <w:rFonts w:ascii="Arial"/>
                <w:color w:val="44536A"/>
                <w:sz w:val="10"/>
              </w:rPr>
              <w:t>556.2</w:t>
            </w:r>
          </w:p>
        </w:tc>
        <w:tc>
          <w:tcPr>
            <w:tcW w:w="624" w:type="dxa"/>
            <w:tcBorders>
              <w:top w:val="nil"/>
              <w:bottom w:val="nil"/>
            </w:tcBorders>
          </w:tcPr>
          <w:p>
            <w:pPr>
              <w:pStyle w:val="TableParagraph"/>
              <w:spacing w:before="34"/>
              <w:ind w:left="58" w:right="65"/>
              <w:jc w:val="center"/>
              <w:rPr>
                <w:rFonts w:ascii="Arial"/>
                <w:sz w:val="10"/>
              </w:rPr>
            </w:pPr>
            <w:r>
              <w:rPr>
                <w:rFonts w:ascii="Arial"/>
                <w:color w:val="44536A"/>
                <w:sz w:val="10"/>
              </w:rPr>
              <w:t>590.7</w:t>
            </w:r>
          </w:p>
        </w:tc>
        <w:tc>
          <w:tcPr>
            <w:tcW w:w="624" w:type="dxa"/>
            <w:tcBorders>
              <w:top w:val="nil"/>
              <w:bottom w:val="nil"/>
            </w:tcBorders>
          </w:tcPr>
          <w:p>
            <w:pPr>
              <w:pStyle w:val="TableParagraph"/>
              <w:spacing w:before="34"/>
              <w:ind w:left="58" w:right="65"/>
              <w:jc w:val="center"/>
              <w:rPr>
                <w:rFonts w:ascii="Arial"/>
                <w:sz w:val="10"/>
              </w:rPr>
            </w:pPr>
            <w:r>
              <w:rPr>
                <w:rFonts w:ascii="Arial"/>
                <w:color w:val="44536A"/>
                <w:sz w:val="10"/>
              </w:rPr>
              <w:t>627.4</w:t>
            </w:r>
          </w:p>
        </w:tc>
        <w:tc>
          <w:tcPr>
            <w:tcW w:w="624" w:type="dxa"/>
            <w:tcBorders>
              <w:top w:val="nil"/>
              <w:bottom w:val="nil"/>
            </w:tcBorders>
          </w:tcPr>
          <w:p>
            <w:pPr>
              <w:pStyle w:val="TableParagraph"/>
              <w:spacing w:before="34"/>
              <w:ind w:right="186"/>
              <w:jc w:val="right"/>
              <w:rPr>
                <w:rFonts w:ascii="Arial"/>
                <w:sz w:val="10"/>
              </w:rPr>
            </w:pPr>
            <w:r>
              <w:rPr>
                <w:rFonts w:ascii="Arial"/>
                <w:color w:val="44536A"/>
                <w:sz w:val="10"/>
              </w:rPr>
              <w:t>667.7</w:t>
            </w:r>
          </w:p>
        </w:tc>
        <w:tc>
          <w:tcPr>
            <w:tcW w:w="624" w:type="dxa"/>
            <w:tcBorders>
              <w:top w:val="nil"/>
              <w:bottom w:val="nil"/>
            </w:tcBorders>
          </w:tcPr>
          <w:p>
            <w:pPr>
              <w:pStyle w:val="TableParagraph"/>
              <w:spacing w:before="34"/>
              <w:ind w:left="176"/>
              <w:rPr>
                <w:rFonts w:ascii="Arial"/>
                <w:sz w:val="10"/>
              </w:rPr>
            </w:pPr>
            <w:r>
              <w:rPr>
                <w:rFonts w:ascii="Arial"/>
                <w:color w:val="44536A"/>
                <w:sz w:val="10"/>
              </w:rPr>
              <w:t>710.5</w:t>
            </w:r>
          </w:p>
        </w:tc>
      </w:tr>
      <w:tr>
        <w:trPr>
          <w:trHeight w:val="159" w:hRule="atLeast"/>
        </w:trPr>
        <w:tc>
          <w:tcPr>
            <w:tcW w:w="2432" w:type="dxa"/>
            <w:tcBorders>
              <w:top w:val="nil"/>
              <w:bottom w:val="nil"/>
            </w:tcBorders>
          </w:tcPr>
          <w:p>
            <w:pPr>
              <w:pStyle w:val="TableParagraph"/>
              <w:spacing w:line="101" w:lineRule="exact" w:before="37"/>
              <w:ind w:left="125"/>
              <w:rPr>
                <w:rFonts w:ascii="Arial" w:hAnsi="Arial"/>
                <w:sz w:val="9"/>
              </w:rPr>
            </w:pPr>
            <w:r>
              <w:rPr>
                <w:rFonts w:ascii="Arial" w:hAnsi="Arial"/>
                <w:color w:val="44536A"/>
                <w:w w:val="105"/>
                <w:sz w:val="9"/>
              </w:rPr>
              <w:t>Sobre Circulación de Vehículos</w:t>
            </w:r>
          </w:p>
        </w:tc>
        <w:tc>
          <w:tcPr>
            <w:tcW w:w="730" w:type="dxa"/>
            <w:tcBorders>
              <w:top w:val="nil"/>
              <w:bottom w:val="nil"/>
            </w:tcBorders>
          </w:tcPr>
          <w:p>
            <w:pPr>
              <w:pStyle w:val="TableParagraph"/>
              <w:spacing w:line="104" w:lineRule="exact" w:before="34"/>
              <w:ind w:left="237"/>
              <w:rPr>
                <w:rFonts w:ascii="Arial"/>
                <w:sz w:val="10"/>
              </w:rPr>
            </w:pPr>
            <w:r>
              <w:rPr>
                <w:rFonts w:ascii="Arial"/>
                <w:color w:val="44536A"/>
                <w:sz w:val="10"/>
              </w:rPr>
              <w:t>909.3</w:t>
            </w:r>
          </w:p>
        </w:tc>
        <w:tc>
          <w:tcPr>
            <w:tcW w:w="687" w:type="dxa"/>
            <w:tcBorders>
              <w:top w:val="nil"/>
              <w:bottom w:val="nil"/>
            </w:tcBorders>
          </w:tcPr>
          <w:p>
            <w:pPr>
              <w:pStyle w:val="TableParagraph"/>
              <w:spacing w:line="104" w:lineRule="exact" w:before="34"/>
              <w:ind w:left="212"/>
              <w:rPr>
                <w:rFonts w:ascii="Arial"/>
                <w:sz w:val="10"/>
              </w:rPr>
            </w:pPr>
            <w:r>
              <w:rPr>
                <w:rFonts w:ascii="Arial"/>
                <w:color w:val="44536A"/>
                <w:sz w:val="10"/>
              </w:rPr>
              <w:t>903.0</w:t>
            </w:r>
          </w:p>
        </w:tc>
        <w:tc>
          <w:tcPr>
            <w:tcW w:w="624" w:type="dxa"/>
            <w:tcBorders>
              <w:top w:val="nil"/>
              <w:bottom w:val="nil"/>
            </w:tcBorders>
          </w:tcPr>
          <w:p>
            <w:pPr>
              <w:pStyle w:val="TableParagraph"/>
              <w:spacing w:line="104" w:lineRule="exact" w:before="34"/>
              <w:ind w:left="63" w:right="63"/>
              <w:jc w:val="center"/>
              <w:rPr>
                <w:rFonts w:ascii="Arial"/>
                <w:sz w:val="10"/>
              </w:rPr>
            </w:pPr>
            <w:r>
              <w:rPr>
                <w:rFonts w:ascii="Arial"/>
                <w:color w:val="44536A"/>
                <w:sz w:val="10"/>
              </w:rPr>
              <w:t>1,011.1</w:t>
            </w:r>
          </w:p>
        </w:tc>
        <w:tc>
          <w:tcPr>
            <w:tcW w:w="624" w:type="dxa"/>
            <w:tcBorders>
              <w:top w:val="nil"/>
              <w:bottom w:val="nil"/>
            </w:tcBorders>
          </w:tcPr>
          <w:p>
            <w:pPr>
              <w:pStyle w:val="TableParagraph"/>
              <w:spacing w:line="104" w:lineRule="exact" w:before="34"/>
              <w:ind w:left="179"/>
              <w:rPr>
                <w:rFonts w:ascii="Arial"/>
                <w:sz w:val="10"/>
              </w:rPr>
            </w:pPr>
            <w:r>
              <w:rPr>
                <w:rFonts w:ascii="Arial"/>
                <w:color w:val="44536A"/>
                <w:sz w:val="10"/>
              </w:rPr>
              <w:t>919.7</w:t>
            </w:r>
          </w:p>
        </w:tc>
        <w:tc>
          <w:tcPr>
            <w:tcW w:w="624" w:type="dxa"/>
            <w:tcBorders>
              <w:top w:val="nil"/>
              <w:bottom w:val="nil"/>
            </w:tcBorders>
          </w:tcPr>
          <w:p>
            <w:pPr>
              <w:pStyle w:val="TableParagraph"/>
              <w:spacing w:line="104" w:lineRule="exact" w:before="34"/>
              <w:ind w:left="59" w:right="65"/>
              <w:jc w:val="center"/>
              <w:rPr>
                <w:rFonts w:ascii="Arial"/>
                <w:sz w:val="10"/>
              </w:rPr>
            </w:pPr>
            <w:r>
              <w:rPr>
                <w:rFonts w:ascii="Arial"/>
                <w:color w:val="44536A"/>
                <w:sz w:val="10"/>
              </w:rPr>
              <w:t>942.4</w:t>
            </w:r>
          </w:p>
        </w:tc>
        <w:tc>
          <w:tcPr>
            <w:tcW w:w="624" w:type="dxa"/>
            <w:tcBorders>
              <w:top w:val="nil"/>
              <w:bottom w:val="nil"/>
            </w:tcBorders>
          </w:tcPr>
          <w:p>
            <w:pPr>
              <w:pStyle w:val="TableParagraph"/>
              <w:spacing w:line="104" w:lineRule="exact" w:before="34"/>
              <w:ind w:left="58" w:right="65"/>
              <w:jc w:val="center"/>
              <w:rPr>
                <w:rFonts w:ascii="Arial"/>
                <w:sz w:val="10"/>
              </w:rPr>
            </w:pPr>
            <w:r>
              <w:rPr>
                <w:rFonts w:ascii="Arial"/>
                <w:color w:val="44536A"/>
                <w:sz w:val="10"/>
              </w:rPr>
              <w:t>976.5</w:t>
            </w:r>
          </w:p>
        </w:tc>
        <w:tc>
          <w:tcPr>
            <w:tcW w:w="624" w:type="dxa"/>
            <w:tcBorders>
              <w:top w:val="nil"/>
              <w:bottom w:val="nil"/>
            </w:tcBorders>
          </w:tcPr>
          <w:p>
            <w:pPr>
              <w:pStyle w:val="TableParagraph"/>
              <w:spacing w:line="104" w:lineRule="exact" w:before="34"/>
              <w:ind w:left="63" w:right="65"/>
              <w:jc w:val="center"/>
              <w:rPr>
                <w:rFonts w:ascii="Arial"/>
                <w:sz w:val="10"/>
              </w:rPr>
            </w:pPr>
            <w:r>
              <w:rPr>
                <w:rFonts w:ascii="Arial"/>
                <w:color w:val="44536A"/>
                <w:sz w:val="10"/>
              </w:rPr>
              <w:t>1,011.9</w:t>
            </w:r>
          </w:p>
        </w:tc>
        <w:tc>
          <w:tcPr>
            <w:tcW w:w="624" w:type="dxa"/>
            <w:tcBorders>
              <w:top w:val="nil"/>
              <w:bottom w:val="nil"/>
            </w:tcBorders>
          </w:tcPr>
          <w:p>
            <w:pPr>
              <w:pStyle w:val="TableParagraph"/>
              <w:spacing w:line="104" w:lineRule="exact" w:before="34"/>
              <w:ind w:right="142"/>
              <w:jc w:val="right"/>
              <w:rPr>
                <w:rFonts w:ascii="Arial"/>
                <w:sz w:val="10"/>
              </w:rPr>
            </w:pPr>
            <w:r>
              <w:rPr>
                <w:rFonts w:ascii="Arial"/>
                <w:color w:val="44536A"/>
                <w:sz w:val="10"/>
              </w:rPr>
              <w:t>1,049.5</w:t>
            </w:r>
          </w:p>
        </w:tc>
        <w:tc>
          <w:tcPr>
            <w:tcW w:w="624" w:type="dxa"/>
            <w:tcBorders>
              <w:top w:val="nil"/>
              <w:bottom w:val="nil"/>
            </w:tcBorders>
          </w:tcPr>
          <w:p>
            <w:pPr>
              <w:pStyle w:val="TableParagraph"/>
              <w:spacing w:line="104" w:lineRule="exact" w:before="34"/>
              <w:ind w:left="139"/>
              <w:rPr>
                <w:rFonts w:ascii="Arial"/>
                <w:sz w:val="10"/>
              </w:rPr>
            </w:pPr>
            <w:r>
              <w:rPr>
                <w:rFonts w:ascii="Arial"/>
                <w:color w:val="44536A"/>
                <w:sz w:val="10"/>
              </w:rPr>
              <w:t>1,088.5</w:t>
            </w:r>
          </w:p>
        </w:tc>
      </w:tr>
      <w:tr>
        <w:trPr>
          <w:trHeight w:val="242" w:hRule="atLeast"/>
        </w:trPr>
        <w:tc>
          <w:tcPr>
            <w:tcW w:w="2432" w:type="dxa"/>
            <w:tcBorders>
              <w:top w:val="nil"/>
              <w:bottom w:val="nil"/>
            </w:tcBorders>
          </w:tcPr>
          <w:p>
            <w:pPr>
              <w:pStyle w:val="TableParagraph"/>
              <w:spacing w:before="10"/>
              <w:ind w:left="125"/>
              <w:rPr>
                <w:rFonts w:ascii="Arial" w:hAnsi="Arial"/>
                <w:sz w:val="9"/>
              </w:rPr>
            </w:pPr>
            <w:r>
              <w:rPr>
                <w:rFonts w:ascii="Arial" w:hAnsi="Arial"/>
                <w:color w:val="44536A"/>
                <w:w w:val="105"/>
                <w:sz w:val="9"/>
              </w:rPr>
              <w:t>Específico a la Primera Matrícula de Vehículos</w:t>
            </w:r>
          </w:p>
          <w:p>
            <w:pPr>
              <w:pStyle w:val="TableParagraph"/>
              <w:spacing w:line="94" w:lineRule="exact" w:before="15"/>
              <w:ind w:left="125"/>
              <w:rPr>
                <w:rFonts w:ascii="Arial"/>
                <w:sz w:val="9"/>
              </w:rPr>
            </w:pPr>
            <w:r>
              <w:rPr>
                <w:rFonts w:ascii="Arial"/>
                <w:color w:val="44536A"/>
                <w:w w:val="105"/>
                <w:sz w:val="9"/>
              </w:rPr>
              <w:t>Terrestres</w:t>
            </w:r>
          </w:p>
        </w:tc>
        <w:tc>
          <w:tcPr>
            <w:tcW w:w="730" w:type="dxa"/>
            <w:tcBorders>
              <w:top w:val="nil"/>
              <w:bottom w:val="nil"/>
            </w:tcBorders>
          </w:tcPr>
          <w:p>
            <w:pPr>
              <w:pStyle w:val="TableParagraph"/>
              <w:spacing w:before="62"/>
              <w:ind w:left="237"/>
              <w:rPr>
                <w:rFonts w:ascii="Arial"/>
                <w:sz w:val="10"/>
              </w:rPr>
            </w:pPr>
            <w:r>
              <w:rPr>
                <w:rFonts w:ascii="Arial"/>
                <w:color w:val="44536A"/>
                <w:sz w:val="10"/>
              </w:rPr>
              <w:t>998.8</w:t>
            </w:r>
          </w:p>
        </w:tc>
        <w:tc>
          <w:tcPr>
            <w:tcW w:w="687" w:type="dxa"/>
            <w:tcBorders>
              <w:top w:val="nil"/>
              <w:bottom w:val="nil"/>
            </w:tcBorders>
          </w:tcPr>
          <w:p>
            <w:pPr>
              <w:pStyle w:val="TableParagraph"/>
              <w:spacing w:before="62"/>
              <w:ind w:left="212"/>
              <w:rPr>
                <w:rFonts w:ascii="Arial"/>
                <w:sz w:val="10"/>
              </w:rPr>
            </w:pPr>
            <w:r>
              <w:rPr>
                <w:rFonts w:ascii="Arial"/>
                <w:color w:val="44536A"/>
                <w:sz w:val="10"/>
              </w:rPr>
              <w:t>835.8</w:t>
            </w:r>
          </w:p>
        </w:tc>
        <w:tc>
          <w:tcPr>
            <w:tcW w:w="624" w:type="dxa"/>
            <w:tcBorders>
              <w:top w:val="nil"/>
              <w:bottom w:val="nil"/>
            </w:tcBorders>
          </w:tcPr>
          <w:p>
            <w:pPr>
              <w:pStyle w:val="TableParagraph"/>
              <w:spacing w:before="62"/>
              <w:ind w:left="63" w:right="63"/>
              <w:jc w:val="center"/>
              <w:rPr>
                <w:rFonts w:ascii="Arial"/>
                <w:sz w:val="10"/>
              </w:rPr>
            </w:pPr>
            <w:r>
              <w:rPr>
                <w:rFonts w:ascii="Arial"/>
                <w:color w:val="44536A"/>
                <w:sz w:val="10"/>
              </w:rPr>
              <w:t>1,238.5</w:t>
            </w:r>
          </w:p>
        </w:tc>
        <w:tc>
          <w:tcPr>
            <w:tcW w:w="624" w:type="dxa"/>
            <w:tcBorders>
              <w:top w:val="nil"/>
              <w:bottom w:val="nil"/>
            </w:tcBorders>
          </w:tcPr>
          <w:p>
            <w:pPr>
              <w:pStyle w:val="TableParagraph"/>
              <w:spacing w:before="62"/>
              <w:ind w:right="140"/>
              <w:jc w:val="right"/>
              <w:rPr>
                <w:rFonts w:ascii="Arial"/>
                <w:sz w:val="10"/>
              </w:rPr>
            </w:pPr>
            <w:r>
              <w:rPr>
                <w:rFonts w:ascii="Arial"/>
                <w:color w:val="44536A"/>
                <w:sz w:val="10"/>
              </w:rPr>
              <w:t>1,367.0</w:t>
            </w:r>
          </w:p>
        </w:tc>
        <w:tc>
          <w:tcPr>
            <w:tcW w:w="624" w:type="dxa"/>
            <w:tcBorders>
              <w:top w:val="nil"/>
              <w:bottom w:val="nil"/>
            </w:tcBorders>
          </w:tcPr>
          <w:p>
            <w:pPr>
              <w:pStyle w:val="TableParagraph"/>
              <w:spacing w:before="62"/>
              <w:ind w:left="63" w:right="64"/>
              <w:jc w:val="center"/>
              <w:rPr>
                <w:rFonts w:ascii="Arial"/>
                <w:sz w:val="10"/>
              </w:rPr>
            </w:pPr>
            <w:r>
              <w:rPr>
                <w:rFonts w:ascii="Arial"/>
                <w:color w:val="44536A"/>
                <w:sz w:val="10"/>
              </w:rPr>
              <w:t>1,456.0</w:t>
            </w:r>
          </w:p>
        </w:tc>
        <w:tc>
          <w:tcPr>
            <w:tcW w:w="624" w:type="dxa"/>
            <w:tcBorders>
              <w:top w:val="nil"/>
              <w:bottom w:val="nil"/>
            </w:tcBorders>
          </w:tcPr>
          <w:p>
            <w:pPr>
              <w:pStyle w:val="TableParagraph"/>
              <w:spacing w:before="62"/>
              <w:ind w:left="63" w:right="64"/>
              <w:jc w:val="center"/>
              <w:rPr>
                <w:rFonts w:ascii="Arial"/>
                <w:sz w:val="10"/>
              </w:rPr>
            </w:pPr>
            <w:r>
              <w:rPr>
                <w:rFonts w:ascii="Arial"/>
                <w:color w:val="44536A"/>
                <w:sz w:val="10"/>
              </w:rPr>
              <w:t>1,566.0</w:t>
            </w:r>
          </w:p>
        </w:tc>
        <w:tc>
          <w:tcPr>
            <w:tcW w:w="624" w:type="dxa"/>
            <w:tcBorders>
              <w:top w:val="nil"/>
              <w:bottom w:val="nil"/>
            </w:tcBorders>
          </w:tcPr>
          <w:p>
            <w:pPr>
              <w:pStyle w:val="TableParagraph"/>
              <w:spacing w:before="62"/>
              <w:ind w:left="63" w:right="65"/>
              <w:jc w:val="center"/>
              <w:rPr>
                <w:rFonts w:ascii="Arial"/>
                <w:sz w:val="10"/>
              </w:rPr>
            </w:pPr>
            <w:r>
              <w:rPr>
                <w:rFonts w:ascii="Arial"/>
                <w:color w:val="44536A"/>
                <w:sz w:val="10"/>
              </w:rPr>
              <w:t>1,676.1</w:t>
            </w:r>
          </w:p>
        </w:tc>
        <w:tc>
          <w:tcPr>
            <w:tcW w:w="624" w:type="dxa"/>
            <w:tcBorders>
              <w:top w:val="nil"/>
              <w:bottom w:val="nil"/>
            </w:tcBorders>
          </w:tcPr>
          <w:p>
            <w:pPr>
              <w:pStyle w:val="TableParagraph"/>
              <w:spacing w:before="62"/>
              <w:ind w:right="142"/>
              <w:jc w:val="right"/>
              <w:rPr>
                <w:rFonts w:ascii="Arial"/>
                <w:sz w:val="10"/>
              </w:rPr>
            </w:pPr>
            <w:r>
              <w:rPr>
                <w:rFonts w:ascii="Arial"/>
                <w:color w:val="44536A"/>
                <w:sz w:val="10"/>
              </w:rPr>
              <w:t>1,801.4</w:t>
            </w:r>
          </w:p>
        </w:tc>
        <w:tc>
          <w:tcPr>
            <w:tcW w:w="624" w:type="dxa"/>
            <w:tcBorders>
              <w:top w:val="nil"/>
              <w:bottom w:val="nil"/>
            </w:tcBorders>
          </w:tcPr>
          <w:p>
            <w:pPr>
              <w:pStyle w:val="TableParagraph"/>
              <w:spacing w:before="62"/>
              <w:ind w:left="139"/>
              <w:rPr>
                <w:rFonts w:ascii="Arial"/>
                <w:sz w:val="10"/>
              </w:rPr>
            </w:pPr>
            <w:r>
              <w:rPr>
                <w:rFonts w:ascii="Arial"/>
                <w:color w:val="44536A"/>
                <w:sz w:val="10"/>
              </w:rPr>
              <w:t>1,936.7</w:t>
            </w:r>
          </w:p>
        </w:tc>
      </w:tr>
      <w:tr>
        <w:trPr>
          <w:trHeight w:val="156" w:hRule="atLeast"/>
        </w:trPr>
        <w:tc>
          <w:tcPr>
            <w:tcW w:w="2432" w:type="dxa"/>
            <w:tcBorders>
              <w:top w:val="nil"/>
              <w:bottom w:val="nil"/>
            </w:tcBorders>
          </w:tcPr>
          <w:p>
            <w:pPr>
              <w:pStyle w:val="TableParagraph"/>
              <w:spacing w:before="10"/>
              <w:ind w:left="125"/>
              <w:rPr>
                <w:rFonts w:ascii="Arial"/>
                <w:sz w:val="9"/>
              </w:rPr>
            </w:pPr>
            <w:r>
              <w:rPr>
                <w:rFonts w:ascii="Arial"/>
                <w:color w:val="44536A"/>
                <w:w w:val="105"/>
                <w:sz w:val="9"/>
              </w:rPr>
              <w:t>Otros</w:t>
            </w:r>
          </w:p>
        </w:tc>
        <w:tc>
          <w:tcPr>
            <w:tcW w:w="730" w:type="dxa"/>
            <w:tcBorders>
              <w:top w:val="nil"/>
              <w:bottom w:val="nil"/>
            </w:tcBorders>
          </w:tcPr>
          <w:p>
            <w:pPr>
              <w:pStyle w:val="TableParagraph"/>
              <w:spacing w:before="7"/>
              <w:ind w:left="272" w:right="268"/>
              <w:jc w:val="center"/>
              <w:rPr>
                <w:rFonts w:ascii="Arial"/>
                <w:sz w:val="10"/>
              </w:rPr>
            </w:pPr>
            <w:r>
              <w:rPr>
                <w:rFonts w:ascii="Arial"/>
                <w:color w:val="44536A"/>
                <w:sz w:val="10"/>
              </w:rPr>
              <w:t>7.1</w:t>
            </w:r>
          </w:p>
        </w:tc>
        <w:tc>
          <w:tcPr>
            <w:tcW w:w="687" w:type="dxa"/>
            <w:tcBorders>
              <w:top w:val="nil"/>
              <w:bottom w:val="nil"/>
            </w:tcBorders>
          </w:tcPr>
          <w:p>
            <w:pPr>
              <w:pStyle w:val="TableParagraph"/>
              <w:spacing w:before="7"/>
              <w:ind w:left="218" w:right="220"/>
              <w:jc w:val="center"/>
              <w:rPr>
                <w:rFonts w:ascii="Arial"/>
                <w:sz w:val="10"/>
              </w:rPr>
            </w:pPr>
            <w:r>
              <w:rPr>
                <w:rFonts w:ascii="Arial"/>
                <w:color w:val="44536A"/>
                <w:sz w:val="10"/>
              </w:rPr>
              <w:t>7.5</w:t>
            </w:r>
          </w:p>
        </w:tc>
        <w:tc>
          <w:tcPr>
            <w:tcW w:w="624" w:type="dxa"/>
            <w:tcBorders>
              <w:top w:val="nil"/>
              <w:bottom w:val="nil"/>
            </w:tcBorders>
          </w:tcPr>
          <w:p>
            <w:pPr>
              <w:pStyle w:val="TableParagraph"/>
              <w:spacing w:before="7"/>
              <w:ind w:left="62" w:right="65"/>
              <w:jc w:val="center"/>
              <w:rPr>
                <w:rFonts w:ascii="Arial"/>
                <w:sz w:val="10"/>
              </w:rPr>
            </w:pPr>
            <w:r>
              <w:rPr>
                <w:rFonts w:ascii="Arial"/>
                <w:color w:val="44536A"/>
                <w:sz w:val="10"/>
              </w:rPr>
              <w:t>8.4</w:t>
            </w:r>
          </w:p>
        </w:tc>
        <w:tc>
          <w:tcPr>
            <w:tcW w:w="624" w:type="dxa"/>
            <w:tcBorders>
              <w:top w:val="nil"/>
              <w:bottom w:val="nil"/>
            </w:tcBorders>
          </w:tcPr>
          <w:p>
            <w:pPr>
              <w:pStyle w:val="TableParagraph"/>
              <w:spacing w:before="7"/>
              <w:ind w:left="61" w:right="65"/>
              <w:jc w:val="center"/>
              <w:rPr>
                <w:rFonts w:ascii="Arial"/>
                <w:sz w:val="10"/>
              </w:rPr>
            </w:pPr>
            <w:r>
              <w:rPr>
                <w:rFonts w:ascii="Arial"/>
                <w:color w:val="44536A"/>
                <w:sz w:val="10"/>
              </w:rPr>
              <w:t>8.9</w:t>
            </w:r>
          </w:p>
        </w:tc>
        <w:tc>
          <w:tcPr>
            <w:tcW w:w="624" w:type="dxa"/>
            <w:tcBorders>
              <w:top w:val="nil"/>
              <w:bottom w:val="nil"/>
            </w:tcBorders>
          </w:tcPr>
          <w:p>
            <w:pPr>
              <w:pStyle w:val="TableParagraph"/>
              <w:spacing w:before="7"/>
              <w:ind w:left="60" w:right="65"/>
              <w:jc w:val="center"/>
              <w:rPr>
                <w:rFonts w:ascii="Arial"/>
                <w:sz w:val="10"/>
              </w:rPr>
            </w:pPr>
            <w:r>
              <w:rPr>
                <w:rFonts w:ascii="Arial"/>
                <w:color w:val="44536A"/>
                <w:sz w:val="10"/>
              </w:rPr>
              <w:t>9.1</w:t>
            </w:r>
          </w:p>
        </w:tc>
        <w:tc>
          <w:tcPr>
            <w:tcW w:w="624" w:type="dxa"/>
            <w:tcBorders>
              <w:top w:val="nil"/>
              <w:bottom w:val="nil"/>
            </w:tcBorders>
          </w:tcPr>
          <w:p>
            <w:pPr>
              <w:pStyle w:val="TableParagraph"/>
              <w:spacing w:before="7"/>
              <w:ind w:left="59" w:right="65"/>
              <w:jc w:val="center"/>
              <w:rPr>
                <w:rFonts w:ascii="Arial"/>
                <w:sz w:val="10"/>
              </w:rPr>
            </w:pPr>
            <w:r>
              <w:rPr>
                <w:rFonts w:ascii="Arial"/>
                <w:color w:val="44536A"/>
                <w:sz w:val="10"/>
              </w:rPr>
              <w:t>9.4</w:t>
            </w:r>
          </w:p>
        </w:tc>
        <w:tc>
          <w:tcPr>
            <w:tcW w:w="624" w:type="dxa"/>
            <w:tcBorders>
              <w:top w:val="nil"/>
              <w:bottom w:val="nil"/>
            </w:tcBorders>
          </w:tcPr>
          <w:p>
            <w:pPr>
              <w:pStyle w:val="TableParagraph"/>
              <w:spacing w:before="7"/>
              <w:ind w:left="58" w:right="65"/>
              <w:jc w:val="center"/>
              <w:rPr>
                <w:rFonts w:ascii="Arial"/>
                <w:sz w:val="10"/>
              </w:rPr>
            </w:pPr>
            <w:r>
              <w:rPr>
                <w:rFonts w:ascii="Arial"/>
                <w:color w:val="44536A"/>
                <w:sz w:val="10"/>
              </w:rPr>
              <w:t>9.8</w:t>
            </w:r>
          </w:p>
        </w:tc>
        <w:tc>
          <w:tcPr>
            <w:tcW w:w="624" w:type="dxa"/>
            <w:tcBorders>
              <w:top w:val="nil"/>
              <w:bottom w:val="nil"/>
            </w:tcBorders>
          </w:tcPr>
          <w:p>
            <w:pPr>
              <w:pStyle w:val="TableParagraph"/>
              <w:spacing w:before="7"/>
              <w:ind w:left="63" w:right="65"/>
              <w:jc w:val="center"/>
              <w:rPr>
                <w:rFonts w:ascii="Arial"/>
                <w:sz w:val="10"/>
              </w:rPr>
            </w:pPr>
            <w:r>
              <w:rPr>
                <w:rFonts w:ascii="Arial"/>
                <w:color w:val="44536A"/>
                <w:sz w:val="10"/>
              </w:rPr>
              <w:t>10.1</w:t>
            </w:r>
          </w:p>
        </w:tc>
        <w:tc>
          <w:tcPr>
            <w:tcW w:w="624" w:type="dxa"/>
            <w:tcBorders>
              <w:top w:val="nil"/>
              <w:bottom w:val="nil"/>
            </w:tcBorders>
          </w:tcPr>
          <w:p>
            <w:pPr>
              <w:pStyle w:val="TableParagraph"/>
              <w:spacing w:before="7"/>
              <w:ind w:left="62" w:right="65"/>
              <w:jc w:val="center"/>
              <w:rPr>
                <w:rFonts w:ascii="Arial"/>
                <w:sz w:val="10"/>
              </w:rPr>
            </w:pPr>
            <w:r>
              <w:rPr>
                <w:rFonts w:ascii="Arial"/>
                <w:color w:val="44536A"/>
                <w:sz w:val="10"/>
              </w:rPr>
              <w:t>10.5</w:t>
            </w:r>
          </w:p>
        </w:tc>
      </w:tr>
      <w:tr>
        <w:trPr>
          <w:trHeight w:val="184" w:hRule="atLeast"/>
        </w:trPr>
        <w:tc>
          <w:tcPr>
            <w:tcW w:w="2432" w:type="dxa"/>
            <w:tcBorders>
              <w:top w:val="nil"/>
              <w:bottom w:val="nil"/>
            </w:tcBorders>
          </w:tcPr>
          <w:p>
            <w:pPr>
              <w:pStyle w:val="TableParagraph"/>
              <w:spacing w:before="40"/>
              <w:ind w:left="238"/>
              <w:rPr>
                <w:rFonts w:ascii="Arial"/>
                <w:b/>
                <w:sz w:val="9"/>
              </w:rPr>
            </w:pPr>
            <w:r>
              <w:rPr>
                <w:rFonts w:ascii="Arial"/>
                <w:b/>
                <w:color w:val="FF0000"/>
                <w:w w:val="105"/>
                <w:sz w:val="9"/>
              </w:rPr>
              <w:t>Otros directos e indirectos</w:t>
            </w:r>
          </w:p>
        </w:tc>
        <w:tc>
          <w:tcPr>
            <w:tcW w:w="730" w:type="dxa"/>
            <w:tcBorders>
              <w:top w:val="nil"/>
              <w:bottom w:val="nil"/>
            </w:tcBorders>
          </w:tcPr>
          <w:p>
            <w:pPr>
              <w:pStyle w:val="TableParagraph"/>
              <w:rPr>
                <w:sz w:val="12"/>
              </w:rPr>
            </w:pPr>
          </w:p>
        </w:tc>
        <w:tc>
          <w:tcPr>
            <w:tcW w:w="687" w:type="dxa"/>
            <w:tcBorders>
              <w:top w:val="nil"/>
              <w:bottom w:val="nil"/>
            </w:tcBorders>
          </w:tcPr>
          <w:p>
            <w:pPr>
              <w:pStyle w:val="TableParagraph"/>
              <w:rPr>
                <w:sz w:val="12"/>
              </w:rPr>
            </w:pPr>
          </w:p>
        </w:tc>
        <w:tc>
          <w:tcPr>
            <w:tcW w:w="624" w:type="dxa"/>
            <w:tcBorders>
              <w:top w:val="nil"/>
              <w:bottom w:val="nil"/>
            </w:tcBorders>
          </w:tcPr>
          <w:p>
            <w:pPr>
              <w:pStyle w:val="TableParagraph"/>
              <w:spacing w:before="31"/>
              <w:ind w:left="62" w:right="65"/>
              <w:jc w:val="center"/>
              <w:rPr>
                <w:rFonts w:ascii="Arial"/>
                <w:b/>
                <w:sz w:val="10"/>
              </w:rPr>
            </w:pPr>
            <w:r>
              <w:rPr>
                <w:rFonts w:ascii="Arial"/>
                <w:b/>
                <w:color w:val="FF0000"/>
                <w:sz w:val="10"/>
              </w:rPr>
              <w:t>0.0</w:t>
            </w:r>
          </w:p>
        </w:tc>
        <w:tc>
          <w:tcPr>
            <w:tcW w:w="624" w:type="dxa"/>
            <w:tcBorders>
              <w:top w:val="nil"/>
              <w:bottom w:val="nil"/>
            </w:tcBorders>
          </w:tcPr>
          <w:p>
            <w:pPr>
              <w:pStyle w:val="TableParagraph"/>
              <w:spacing w:before="31"/>
              <w:ind w:right="140"/>
              <w:jc w:val="right"/>
              <w:rPr>
                <w:rFonts w:ascii="Arial"/>
                <w:b/>
                <w:sz w:val="10"/>
              </w:rPr>
            </w:pPr>
            <w:r>
              <w:rPr>
                <w:rFonts w:ascii="Arial"/>
                <w:b/>
                <w:color w:val="FF0000"/>
                <w:sz w:val="10"/>
              </w:rPr>
              <w:t>2,216.5</w:t>
            </w:r>
          </w:p>
        </w:tc>
        <w:tc>
          <w:tcPr>
            <w:tcW w:w="624" w:type="dxa"/>
            <w:tcBorders>
              <w:top w:val="nil"/>
              <w:bottom w:val="nil"/>
            </w:tcBorders>
          </w:tcPr>
          <w:p>
            <w:pPr>
              <w:pStyle w:val="TableParagraph"/>
              <w:spacing w:before="31"/>
              <w:ind w:left="63" w:right="63"/>
              <w:jc w:val="center"/>
              <w:rPr>
                <w:rFonts w:ascii="Arial"/>
                <w:b/>
                <w:sz w:val="10"/>
              </w:rPr>
            </w:pPr>
            <w:r>
              <w:rPr>
                <w:rFonts w:ascii="Arial"/>
                <w:b/>
                <w:color w:val="FF0000"/>
                <w:sz w:val="10"/>
              </w:rPr>
              <w:t>1,250.0</w:t>
            </w:r>
          </w:p>
        </w:tc>
        <w:tc>
          <w:tcPr>
            <w:tcW w:w="624" w:type="dxa"/>
            <w:tcBorders>
              <w:top w:val="nil"/>
              <w:bottom w:val="nil"/>
            </w:tcBorders>
          </w:tcPr>
          <w:p>
            <w:pPr>
              <w:pStyle w:val="TableParagraph"/>
              <w:spacing w:before="31"/>
              <w:ind w:left="63" w:right="64"/>
              <w:jc w:val="center"/>
              <w:rPr>
                <w:rFonts w:ascii="Arial"/>
                <w:b/>
                <w:sz w:val="10"/>
              </w:rPr>
            </w:pPr>
            <w:r>
              <w:rPr>
                <w:rFonts w:ascii="Arial"/>
                <w:b/>
                <w:color w:val="FF0000"/>
                <w:sz w:val="10"/>
              </w:rPr>
              <w:t>4,400.0</w:t>
            </w:r>
          </w:p>
        </w:tc>
        <w:tc>
          <w:tcPr>
            <w:tcW w:w="624" w:type="dxa"/>
            <w:tcBorders>
              <w:top w:val="nil"/>
              <w:bottom w:val="nil"/>
            </w:tcBorders>
          </w:tcPr>
          <w:p>
            <w:pPr>
              <w:pStyle w:val="TableParagraph"/>
              <w:spacing w:before="31"/>
              <w:ind w:left="63" w:right="65"/>
              <w:jc w:val="center"/>
              <w:rPr>
                <w:rFonts w:ascii="Arial"/>
                <w:b/>
                <w:sz w:val="10"/>
              </w:rPr>
            </w:pPr>
            <w:r>
              <w:rPr>
                <w:rFonts w:ascii="Arial"/>
                <w:b/>
                <w:color w:val="FF0000"/>
                <w:sz w:val="10"/>
              </w:rPr>
              <w:t>4,650.0</w:t>
            </w:r>
          </w:p>
        </w:tc>
        <w:tc>
          <w:tcPr>
            <w:tcW w:w="624" w:type="dxa"/>
            <w:tcBorders>
              <w:top w:val="nil"/>
              <w:bottom w:val="nil"/>
            </w:tcBorders>
          </w:tcPr>
          <w:p>
            <w:pPr>
              <w:pStyle w:val="TableParagraph"/>
              <w:spacing w:before="31"/>
              <w:ind w:right="142"/>
              <w:jc w:val="right"/>
              <w:rPr>
                <w:rFonts w:ascii="Arial"/>
                <w:b/>
                <w:sz w:val="10"/>
              </w:rPr>
            </w:pPr>
            <w:r>
              <w:rPr>
                <w:rFonts w:ascii="Arial"/>
                <w:b/>
                <w:color w:val="FF0000"/>
                <w:sz w:val="10"/>
              </w:rPr>
              <w:t>4,850.0</w:t>
            </w:r>
          </w:p>
        </w:tc>
        <w:tc>
          <w:tcPr>
            <w:tcW w:w="624" w:type="dxa"/>
            <w:tcBorders>
              <w:top w:val="nil"/>
              <w:bottom w:val="nil"/>
            </w:tcBorders>
          </w:tcPr>
          <w:p>
            <w:pPr>
              <w:pStyle w:val="TableParagraph"/>
              <w:spacing w:before="31"/>
              <w:ind w:left="139"/>
              <w:rPr>
                <w:rFonts w:ascii="Arial"/>
                <w:b/>
                <w:sz w:val="10"/>
              </w:rPr>
            </w:pPr>
            <w:r>
              <w:rPr>
                <w:rFonts w:ascii="Arial"/>
                <w:b/>
                <w:color w:val="FF0000"/>
                <w:sz w:val="10"/>
              </w:rPr>
              <w:t>5,100.0</w:t>
            </w:r>
          </w:p>
        </w:tc>
      </w:tr>
      <w:tr>
        <w:trPr>
          <w:trHeight w:val="187" w:hRule="atLeast"/>
        </w:trPr>
        <w:tc>
          <w:tcPr>
            <w:tcW w:w="2432" w:type="dxa"/>
            <w:tcBorders>
              <w:top w:val="nil"/>
              <w:bottom w:val="nil"/>
            </w:tcBorders>
            <w:shd w:val="clear" w:color="auto" w:fill="8496AF"/>
          </w:tcPr>
          <w:p>
            <w:pPr>
              <w:pStyle w:val="TableParagraph"/>
              <w:spacing w:before="40"/>
              <w:ind w:left="75"/>
              <w:rPr>
                <w:rFonts w:ascii="Arial"/>
                <w:b/>
                <w:i/>
                <w:sz w:val="10"/>
              </w:rPr>
            </w:pPr>
            <w:r>
              <w:rPr>
                <w:rFonts w:ascii="Arial"/>
                <w:b/>
                <w:i/>
                <w:color w:val="FFFFFF"/>
                <w:sz w:val="10"/>
              </w:rPr>
              <w:t>OTRAS INSTITUCIONES</w:t>
            </w:r>
          </w:p>
        </w:tc>
        <w:tc>
          <w:tcPr>
            <w:tcW w:w="730" w:type="dxa"/>
            <w:tcBorders>
              <w:top w:val="nil"/>
              <w:bottom w:val="nil"/>
            </w:tcBorders>
            <w:shd w:val="clear" w:color="auto" w:fill="8496AF"/>
          </w:tcPr>
          <w:p>
            <w:pPr>
              <w:pStyle w:val="TableParagraph"/>
              <w:spacing w:before="40"/>
              <w:ind w:left="225"/>
              <w:rPr>
                <w:rFonts w:ascii="Arial"/>
                <w:b/>
                <w:i/>
                <w:sz w:val="10"/>
              </w:rPr>
            </w:pPr>
            <w:r>
              <w:rPr>
                <w:rFonts w:ascii="Arial"/>
                <w:b/>
                <w:i/>
                <w:color w:val="FFFFFF"/>
                <w:sz w:val="10"/>
              </w:rPr>
              <w:t>516.3</w:t>
            </w:r>
          </w:p>
        </w:tc>
        <w:tc>
          <w:tcPr>
            <w:tcW w:w="687" w:type="dxa"/>
            <w:tcBorders>
              <w:top w:val="nil"/>
              <w:bottom w:val="nil"/>
            </w:tcBorders>
            <w:shd w:val="clear" w:color="auto" w:fill="8496AF"/>
          </w:tcPr>
          <w:p>
            <w:pPr>
              <w:pStyle w:val="TableParagraph"/>
              <w:spacing w:before="40"/>
              <w:ind w:left="206"/>
              <w:rPr>
                <w:rFonts w:ascii="Arial"/>
                <w:b/>
                <w:i/>
                <w:sz w:val="10"/>
              </w:rPr>
            </w:pPr>
            <w:r>
              <w:rPr>
                <w:rFonts w:ascii="Arial"/>
                <w:b/>
                <w:i/>
                <w:color w:val="FFFFFF"/>
                <w:sz w:val="10"/>
              </w:rPr>
              <w:t>235.1</w:t>
            </w:r>
          </w:p>
        </w:tc>
        <w:tc>
          <w:tcPr>
            <w:tcW w:w="624" w:type="dxa"/>
            <w:tcBorders>
              <w:top w:val="nil"/>
              <w:bottom w:val="nil"/>
            </w:tcBorders>
            <w:shd w:val="clear" w:color="auto" w:fill="8496AF"/>
          </w:tcPr>
          <w:p>
            <w:pPr>
              <w:pStyle w:val="TableParagraph"/>
              <w:spacing w:before="40"/>
              <w:ind w:left="49" w:right="65"/>
              <w:jc w:val="center"/>
              <w:rPr>
                <w:rFonts w:ascii="Arial"/>
                <w:b/>
                <w:i/>
                <w:sz w:val="10"/>
              </w:rPr>
            </w:pPr>
            <w:r>
              <w:rPr>
                <w:rFonts w:ascii="Arial"/>
                <w:b/>
                <w:i/>
                <w:color w:val="FFFFFF"/>
                <w:sz w:val="10"/>
              </w:rPr>
              <w:t>392.0</w:t>
            </w:r>
          </w:p>
        </w:tc>
        <w:tc>
          <w:tcPr>
            <w:tcW w:w="624" w:type="dxa"/>
            <w:tcBorders>
              <w:top w:val="nil"/>
              <w:bottom w:val="nil"/>
            </w:tcBorders>
            <w:shd w:val="clear" w:color="auto" w:fill="2F5395"/>
          </w:tcPr>
          <w:p>
            <w:pPr>
              <w:pStyle w:val="TableParagraph"/>
              <w:spacing w:before="40"/>
              <w:ind w:left="173"/>
              <w:rPr>
                <w:rFonts w:ascii="Arial"/>
                <w:b/>
                <w:i/>
                <w:sz w:val="10"/>
              </w:rPr>
            </w:pPr>
            <w:r>
              <w:rPr>
                <w:rFonts w:ascii="Arial"/>
                <w:b/>
                <w:i/>
                <w:color w:val="FFFFFF"/>
                <w:sz w:val="10"/>
              </w:rPr>
              <w:t>463.7</w:t>
            </w:r>
          </w:p>
        </w:tc>
        <w:tc>
          <w:tcPr>
            <w:tcW w:w="624" w:type="dxa"/>
            <w:tcBorders>
              <w:top w:val="nil"/>
              <w:bottom w:val="nil"/>
            </w:tcBorders>
            <w:shd w:val="clear" w:color="auto" w:fill="2F5395"/>
          </w:tcPr>
          <w:p>
            <w:pPr>
              <w:pStyle w:val="TableParagraph"/>
              <w:spacing w:before="40"/>
              <w:ind w:left="47" w:right="65"/>
              <w:jc w:val="center"/>
              <w:rPr>
                <w:rFonts w:ascii="Arial"/>
                <w:b/>
                <w:i/>
                <w:sz w:val="10"/>
              </w:rPr>
            </w:pPr>
            <w:r>
              <w:rPr>
                <w:rFonts w:ascii="Arial"/>
                <w:b/>
                <w:i/>
                <w:color w:val="FFFFFF"/>
                <w:sz w:val="10"/>
              </w:rPr>
              <w:t>482.6</w:t>
            </w:r>
          </w:p>
        </w:tc>
        <w:tc>
          <w:tcPr>
            <w:tcW w:w="624" w:type="dxa"/>
            <w:tcBorders>
              <w:top w:val="nil"/>
              <w:bottom w:val="nil"/>
            </w:tcBorders>
            <w:shd w:val="clear" w:color="auto" w:fill="2F5395"/>
          </w:tcPr>
          <w:p>
            <w:pPr>
              <w:pStyle w:val="TableParagraph"/>
              <w:spacing w:before="40"/>
              <w:ind w:left="46" w:right="65"/>
              <w:jc w:val="center"/>
              <w:rPr>
                <w:rFonts w:ascii="Arial"/>
                <w:b/>
                <w:i/>
                <w:sz w:val="10"/>
              </w:rPr>
            </w:pPr>
            <w:r>
              <w:rPr>
                <w:rFonts w:ascii="Arial"/>
                <w:b/>
                <w:i/>
                <w:color w:val="FFFFFF"/>
                <w:sz w:val="10"/>
              </w:rPr>
              <w:t>554.7</w:t>
            </w:r>
          </w:p>
        </w:tc>
        <w:tc>
          <w:tcPr>
            <w:tcW w:w="624" w:type="dxa"/>
            <w:tcBorders>
              <w:top w:val="nil"/>
              <w:bottom w:val="nil"/>
            </w:tcBorders>
            <w:shd w:val="clear" w:color="auto" w:fill="2F5395"/>
          </w:tcPr>
          <w:p>
            <w:pPr>
              <w:pStyle w:val="TableParagraph"/>
              <w:spacing w:before="40"/>
              <w:ind w:left="45" w:right="65"/>
              <w:jc w:val="center"/>
              <w:rPr>
                <w:rFonts w:ascii="Arial"/>
                <w:b/>
                <w:i/>
                <w:sz w:val="10"/>
              </w:rPr>
            </w:pPr>
            <w:r>
              <w:rPr>
                <w:rFonts w:ascii="Arial"/>
                <w:b/>
                <w:i/>
                <w:color w:val="FFFFFF"/>
                <w:sz w:val="10"/>
              </w:rPr>
              <w:t>574.6</w:t>
            </w:r>
          </w:p>
        </w:tc>
        <w:tc>
          <w:tcPr>
            <w:tcW w:w="624" w:type="dxa"/>
            <w:tcBorders>
              <w:top w:val="nil"/>
              <w:bottom w:val="nil"/>
            </w:tcBorders>
            <w:shd w:val="clear" w:color="auto" w:fill="2F5395"/>
          </w:tcPr>
          <w:p>
            <w:pPr>
              <w:pStyle w:val="TableParagraph"/>
              <w:spacing w:before="40"/>
              <w:ind w:right="192"/>
              <w:jc w:val="right"/>
              <w:rPr>
                <w:rFonts w:ascii="Arial"/>
                <w:b/>
                <w:i/>
                <w:sz w:val="10"/>
              </w:rPr>
            </w:pPr>
            <w:r>
              <w:rPr>
                <w:rFonts w:ascii="Arial"/>
                <w:b/>
                <w:i/>
                <w:color w:val="FFFFFF"/>
                <w:sz w:val="10"/>
              </w:rPr>
              <w:t>595.9</w:t>
            </w:r>
          </w:p>
        </w:tc>
        <w:tc>
          <w:tcPr>
            <w:tcW w:w="624" w:type="dxa"/>
            <w:tcBorders>
              <w:top w:val="nil"/>
              <w:bottom w:val="nil"/>
            </w:tcBorders>
            <w:shd w:val="clear" w:color="auto" w:fill="2F5395"/>
          </w:tcPr>
          <w:p>
            <w:pPr>
              <w:pStyle w:val="TableParagraph"/>
              <w:spacing w:before="40"/>
              <w:ind w:left="170"/>
              <w:rPr>
                <w:rFonts w:ascii="Arial"/>
                <w:b/>
                <w:i/>
                <w:sz w:val="10"/>
              </w:rPr>
            </w:pPr>
            <w:r>
              <w:rPr>
                <w:rFonts w:ascii="Arial"/>
                <w:b/>
                <w:i/>
                <w:color w:val="FFFFFF"/>
                <w:sz w:val="10"/>
              </w:rPr>
              <w:t>595.9</w:t>
            </w:r>
          </w:p>
        </w:tc>
      </w:tr>
      <w:tr>
        <w:trPr>
          <w:trHeight w:val="192" w:hRule="atLeast"/>
        </w:trPr>
        <w:tc>
          <w:tcPr>
            <w:tcW w:w="2432" w:type="dxa"/>
            <w:tcBorders>
              <w:top w:val="nil"/>
              <w:bottom w:val="nil"/>
            </w:tcBorders>
          </w:tcPr>
          <w:p>
            <w:pPr>
              <w:pStyle w:val="TableParagraph"/>
              <w:spacing w:before="40"/>
              <w:ind w:left="132"/>
              <w:rPr>
                <w:rFonts w:ascii="Arial" w:hAnsi="Arial"/>
                <w:sz w:val="10"/>
              </w:rPr>
            </w:pPr>
            <w:r>
              <w:rPr>
                <w:rFonts w:ascii="Arial" w:hAnsi="Arial"/>
                <w:color w:val="44536A"/>
                <w:sz w:val="10"/>
              </w:rPr>
              <w:t>Regalías e Hidrocarburos Compartibles</w:t>
            </w:r>
          </w:p>
        </w:tc>
        <w:tc>
          <w:tcPr>
            <w:tcW w:w="730" w:type="dxa"/>
            <w:tcBorders>
              <w:top w:val="nil"/>
              <w:bottom w:val="nil"/>
            </w:tcBorders>
          </w:tcPr>
          <w:p>
            <w:pPr>
              <w:pStyle w:val="TableParagraph"/>
              <w:spacing w:before="40"/>
              <w:ind w:left="237"/>
              <w:rPr>
                <w:rFonts w:ascii="Arial"/>
                <w:sz w:val="10"/>
              </w:rPr>
            </w:pPr>
            <w:r>
              <w:rPr>
                <w:rFonts w:ascii="Arial"/>
                <w:color w:val="44536A"/>
                <w:sz w:val="10"/>
              </w:rPr>
              <w:t>178.2</w:t>
            </w:r>
          </w:p>
        </w:tc>
        <w:tc>
          <w:tcPr>
            <w:tcW w:w="687" w:type="dxa"/>
            <w:tcBorders>
              <w:top w:val="nil"/>
              <w:bottom w:val="nil"/>
            </w:tcBorders>
          </w:tcPr>
          <w:p>
            <w:pPr>
              <w:pStyle w:val="TableParagraph"/>
              <w:spacing w:before="40"/>
              <w:ind w:left="212"/>
              <w:rPr>
                <w:rFonts w:ascii="Arial"/>
                <w:sz w:val="10"/>
              </w:rPr>
            </w:pPr>
            <w:r>
              <w:rPr>
                <w:rFonts w:ascii="Arial"/>
                <w:color w:val="44536A"/>
                <w:sz w:val="10"/>
              </w:rPr>
              <w:t>117.8</w:t>
            </w:r>
          </w:p>
        </w:tc>
        <w:tc>
          <w:tcPr>
            <w:tcW w:w="624" w:type="dxa"/>
            <w:tcBorders>
              <w:top w:val="nil"/>
              <w:bottom w:val="nil"/>
            </w:tcBorders>
          </w:tcPr>
          <w:p>
            <w:pPr>
              <w:pStyle w:val="TableParagraph"/>
              <w:spacing w:before="40"/>
              <w:ind w:left="62" w:right="65"/>
              <w:jc w:val="center"/>
              <w:rPr>
                <w:rFonts w:ascii="Arial"/>
                <w:sz w:val="10"/>
              </w:rPr>
            </w:pPr>
            <w:r>
              <w:rPr>
                <w:rFonts w:ascii="Arial"/>
                <w:color w:val="44536A"/>
                <w:sz w:val="10"/>
              </w:rPr>
              <w:t>178.3</w:t>
            </w:r>
          </w:p>
        </w:tc>
        <w:tc>
          <w:tcPr>
            <w:tcW w:w="624" w:type="dxa"/>
            <w:tcBorders>
              <w:top w:val="nil"/>
              <w:bottom w:val="nil"/>
            </w:tcBorders>
          </w:tcPr>
          <w:p>
            <w:pPr>
              <w:pStyle w:val="TableParagraph"/>
              <w:spacing w:before="40"/>
              <w:ind w:left="179"/>
              <w:rPr>
                <w:rFonts w:ascii="Arial"/>
                <w:sz w:val="10"/>
              </w:rPr>
            </w:pPr>
            <w:r>
              <w:rPr>
                <w:rFonts w:ascii="Arial"/>
                <w:color w:val="44536A"/>
                <w:sz w:val="10"/>
              </w:rPr>
              <w:t>210.3</w:t>
            </w:r>
          </w:p>
        </w:tc>
        <w:tc>
          <w:tcPr>
            <w:tcW w:w="624" w:type="dxa"/>
            <w:tcBorders>
              <w:top w:val="nil"/>
              <w:bottom w:val="nil"/>
            </w:tcBorders>
          </w:tcPr>
          <w:p>
            <w:pPr>
              <w:pStyle w:val="TableParagraph"/>
              <w:spacing w:before="40"/>
              <w:ind w:left="59" w:right="65"/>
              <w:jc w:val="center"/>
              <w:rPr>
                <w:rFonts w:ascii="Arial"/>
                <w:sz w:val="10"/>
              </w:rPr>
            </w:pPr>
            <w:r>
              <w:rPr>
                <w:rFonts w:ascii="Arial"/>
                <w:color w:val="44536A"/>
                <w:sz w:val="10"/>
              </w:rPr>
              <w:t>215.5</w:t>
            </w:r>
          </w:p>
        </w:tc>
        <w:tc>
          <w:tcPr>
            <w:tcW w:w="624" w:type="dxa"/>
            <w:tcBorders>
              <w:top w:val="nil"/>
              <w:bottom w:val="nil"/>
            </w:tcBorders>
          </w:tcPr>
          <w:p>
            <w:pPr>
              <w:pStyle w:val="TableParagraph"/>
              <w:spacing w:before="40"/>
              <w:ind w:left="58" w:right="65"/>
              <w:jc w:val="center"/>
              <w:rPr>
                <w:rFonts w:ascii="Arial"/>
                <w:sz w:val="10"/>
              </w:rPr>
            </w:pPr>
            <w:r>
              <w:rPr>
                <w:rFonts w:ascii="Arial"/>
                <w:color w:val="44536A"/>
                <w:sz w:val="10"/>
              </w:rPr>
              <w:t>191.4</w:t>
            </w:r>
          </w:p>
        </w:tc>
        <w:tc>
          <w:tcPr>
            <w:tcW w:w="624" w:type="dxa"/>
            <w:tcBorders>
              <w:top w:val="nil"/>
              <w:bottom w:val="nil"/>
            </w:tcBorders>
          </w:tcPr>
          <w:p>
            <w:pPr>
              <w:pStyle w:val="TableParagraph"/>
              <w:spacing w:before="40"/>
              <w:ind w:left="58" w:right="65"/>
              <w:jc w:val="center"/>
              <w:rPr>
                <w:rFonts w:ascii="Arial"/>
                <w:sz w:val="10"/>
              </w:rPr>
            </w:pPr>
            <w:r>
              <w:rPr>
                <w:rFonts w:ascii="Arial"/>
                <w:color w:val="44536A"/>
                <w:sz w:val="10"/>
              </w:rPr>
              <w:t>198.3</w:t>
            </w:r>
          </w:p>
        </w:tc>
        <w:tc>
          <w:tcPr>
            <w:tcW w:w="624" w:type="dxa"/>
            <w:tcBorders>
              <w:top w:val="nil"/>
              <w:bottom w:val="nil"/>
            </w:tcBorders>
          </w:tcPr>
          <w:p>
            <w:pPr>
              <w:pStyle w:val="TableParagraph"/>
              <w:spacing w:before="40"/>
              <w:ind w:right="186"/>
              <w:jc w:val="right"/>
              <w:rPr>
                <w:rFonts w:ascii="Arial"/>
                <w:sz w:val="10"/>
              </w:rPr>
            </w:pPr>
            <w:r>
              <w:rPr>
                <w:rFonts w:ascii="Arial"/>
                <w:color w:val="44536A"/>
                <w:sz w:val="10"/>
              </w:rPr>
              <w:t>205.7</w:t>
            </w:r>
          </w:p>
        </w:tc>
        <w:tc>
          <w:tcPr>
            <w:tcW w:w="624" w:type="dxa"/>
            <w:tcBorders>
              <w:top w:val="nil"/>
              <w:bottom w:val="nil"/>
            </w:tcBorders>
          </w:tcPr>
          <w:p>
            <w:pPr>
              <w:pStyle w:val="TableParagraph"/>
              <w:spacing w:before="40"/>
              <w:ind w:left="176"/>
              <w:rPr>
                <w:rFonts w:ascii="Arial"/>
                <w:sz w:val="10"/>
              </w:rPr>
            </w:pPr>
            <w:r>
              <w:rPr>
                <w:rFonts w:ascii="Arial"/>
                <w:color w:val="44536A"/>
                <w:sz w:val="10"/>
              </w:rPr>
              <w:t>205.7</w:t>
            </w:r>
          </w:p>
        </w:tc>
      </w:tr>
      <w:tr>
        <w:trPr>
          <w:trHeight w:val="181" w:hRule="atLeast"/>
        </w:trPr>
        <w:tc>
          <w:tcPr>
            <w:tcW w:w="2432" w:type="dxa"/>
            <w:tcBorders>
              <w:top w:val="nil"/>
              <w:bottom w:val="nil"/>
            </w:tcBorders>
          </w:tcPr>
          <w:p>
            <w:pPr>
              <w:pStyle w:val="TableParagraph"/>
              <w:spacing w:before="34"/>
              <w:ind w:left="132"/>
              <w:rPr>
                <w:rFonts w:ascii="Arial" w:hAnsi="Arial"/>
                <w:sz w:val="10"/>
              </w:rPr>
            </w:pPr>
            <w:r>
              <w:rPr>
                <w:rFonts w:ascii="Arial" w:hAnsi="Arial"/>
                <w:color w:val="44536A"/>
                <w:sz w:val="10"/>
              </w:rPr>
              <w:t>Salida del País</w:t>
            </w:r>
          </w:p>
        </w:tc>
        <w:tc>
          <w:tcPr>
            <w:tcW w:w="730" w:type="dxa"/>
            <w:tcBorders>
              <w:top w:val="nil"/>
              <w:bottom w:val="nil"/>
            </w:tcBorders>
          </w:tcPr>
          <w:p>
            <w:pPr>
              <w:pStyle w:val="TableParagraph"/>
              <w:spacing w:before="34"/>
              <w:ind w:left="237"/>
              <w:rPr>
                <w:rFonts w:ascii="Arial"/>
                <w:sz w:val="10"/>
              </w:rPr>
            </w:pPr>
            <w:r>
              <w:rPr>
                <w:rFonts w:ascii="Arial"/>
                <w:color w:val="44536A"/>
                <w:sz w:val="10"/>
              </w:rPr>
              <w:t>338.1</w:t>
            </w:r>
          </w:p>
        </w:tc>
        <w:tc>
          <w:tcPr>
            <w:tcW w:w="687" w:type="dxa"/>
            <w:tcBorders>
              <w:top w:val="nil"/>
              <w:bottom w:val="nil"/>
            </w:tcBorders>
          </w:tcPr>
          <w:p>
            <w:pPr>
              <w:pStyle w:val="TableParagraph"/>
              <w:spacing w:before="34"/>
              <w:ind w:left="212"/>
              <w:rPr>
                <w:rFonts w:ascii="Arial"/>
                <w:sz w:val="10"/>
              </w:rPr>
            </w:pPr>
            <w:r>
              <w:rPr>
                <w:rFonts w:ascii="Arial"/>
                <w:color w:val="44536A"/>
                <w:sz w:val="10"/>
              </w:rPr>
              <w:t>117.2</w:t>
            </w:r>
          </w:p>
        </w:tc>
        <w:tc>
          <w:tcPr>
            <w:tcW w:w="624" w:type="dxa"/>
            <w:tcBorders>
              <w:top w:val="nil"/>
              <w:bottom w:val="nil"/>
            </w:tcBorders>
          </w:tcPr>
          <w:p>
            <w:pPr>
              <w:pStyle w:val="TableParagraph"/>
              <w:spacing w:before="34"/>
              <w:ind w:left="62" w:right="65"/>
              <w:jc w:val="center"/>
              <w:rPr>
                <w:rFonts w:ascii="Arial"/>
                <w:sz w:val="10"/>
              </w:rPr>
            </w:pPr>
            <w:r>
              <w:rPr>
                <w:rFonts w:ascii="Arial"/>
                <w:color w:val="44536A"/>
                <w:sz w:val="10"/>
              </w:rPr>
              <w:t>213.6</w:t>
            </w:r>
          </w:p>
        </w:tc>
        <w:tc>
          <w:tcPr>
            <w:tcW w:w="624" w:type="dxa"/>
            <w:tcBorders>
              <w:top w:val="nil"/>
              <w:bottom w:val="nil"/>
            </w:tcBorders>
          </w:tcPr>
          <w:p>
            <w:pPr>
              <w:pStyle w:val="TableParagraph"/>
              <w:spacing w:before="34"/>
              <w:ind w:left="179"/>
              <w:rPr>
                <w:rFonts w:ascii="Arial"/>
                <w:sz w:val="10"/>
              </w:rPr>
            </w:pPr>
            <w:r>
              <w:rPr>
                <w:rFonts w:ascii="Arial"/>
                <w:color w:val="44536A"/>
                <w:sz w:val="10"/>
              </w:rPr>
              <w:t>253.5</w:t>
            </w:r>
          </w:p>
        </w:tc>
        <w:tc>
          <w:tcPr>
            <w:tcW w:w="624" w:type="dxa"/>
            <w:tcBorders>
              <w:top w:val="nil"/>
              <w:bottom w:val="nil"/>
            </w:tcBorders>
          </w:tcPr>
          <w:p>
            <w:pPr>
              <w:pStyle w:val="TableParagraph"/>
              <w:spacing w:before="34"/>
              <w:ind w:left="59" w:right="65"/>
              <w:jc w:val="center"/>
              <w:rPr>
                <w:rFonts w:ascii="Arial"/>
                <w:sz w:val="10"/>
              </w:rPr>
            </w:pPr>
            <w:r>
              <w:rPr>
                <w:rFonts w:ascii="Arial"/>
                <w:color w:val="44536A"/>
                <w:sz w:val="10"/>
              </w:rPr>
              <w:t>267.1</w:t>
            </w:r>
          </w:p>
        </w:tc>
        <w:tc>
          <w:tcPr>
            <w:tcW w:w="624" w:type="dxa"/>
            <w:tcBorders>
              <w:top w:val="nil"/>
              <w:bottom w:val="nil"/>
            </w:tcBorders>
          </w:tcPr>
          <w:p>
            <w:pPr>
              <w:pStyle w:val="TableParagraph"/>
              <w:spacing w:before="34"/>
              <w:ind w:left="58" w:right="65"/>
              <w:jc w:val="center"/>
              <w:rPr>
                <w:rFonts w:ascii="Arial"/>
                <w:sz w:val="10"/>
              </w:rPr>
            </w:pPr>
            <w:r>
              <w:rPr>
                <w:rFonts w:ascii="Arial"/>
                <w:color w:val="44536A"/>
                <w:sz w:val="10"/>
              </w:rPr>
              <w:t>363.2</w:t>
            </w:r>
          </w:p>
        </w:tc>
        <w:tc>
          <w:tcPr>
            <w:tcW w:w="624" w:type="dxa"/>
            <w:tcBorders>
              <w:top w:val="nil"/>
              <w:bottom w:val="nil"/>
            </w:tcBorders>
          </w:tcPr>
          <w:p>
            <w:pPr>
              <w:pStyle w:val="TableParagraph"/>
              <w:spacing w:before="34"/>
              <w:ind w:left="58" w:right="65"/>
              <w:jc w:val="center"/>
              <w:rPr>
                <w:rFonts w:ascii="Arial"/>
                <w:sz w:val="10"/>
              </w:rPr>
            </w:pPr>
            <w:r>
              <w:rPr>
                <w:rFonts w:ascii="Arial"/>
                <w:color w:val="44536A"/>
                <w:sz w:val="10"/>
              </w:rPr>
              <w:t>376.3</w:t>
            </w:r>
          </w:p>
        </w:tc>
        <w:tc>
          <w:tcPr>
            <w:tcW w:w="624" w:type="dxa"/>
            <w:tcBorders>
              <w:top w:val="nil"/>
              <w:bottom w:val="nil"/>
            </w:tcBorders>
          </w:tcPr>
          <w:p>
            <w:pPr>
              <w:pStyle w:val="TableParagraph"/>
              <w:spacing w:before="34"/>
              <w:ind w:right="186"/>
              <w:jc w:val="right"/>
              <w:rPr>
                <w:rFonts w:ascii="Arial"/>
                <w:sz w:val="10"/>
              </w:rPr>
            </w:pPr>
            <w:r>
              <w:rPr>
                <w:rFonts w:ascii="Arial"/>
                <w:color w:val="44536A"/>
                <w:sz w:val="10"/>
              </w:rPr>
              <w:t>390.2</w:t>
            </w:r>
          </w:p>
        </w:tc>
        <w:tc>
          <w:tcPr>
            <w:tcW w:w="624" w:type="dxa"/>
            <w:tcBorders>
              <w:top w:val="nil"/>
              <w:bottom w:val="nil"/>
            </w:tcBorders>
          </w:tcPr>
          <w:p>
            <w:pPr>
              <w:pStyle w:val="TableParagraph"/>
              <w:spacing w:before="34"/>
              <w:ind w:left="176"/>
              <w:rPr>
                <w:rFonts w:ascii="Arial"/>
                <w:sz w:val="10"/>
              </w:rPr>
            </w:pPr>
            <w:r>
              <w:rPr>
                <w:rFonts w:ascii="Arial"/>
                <w:color w:val="44536A"/>
                <w:sz w:val="10"/>
              </w:rPr>
              <w:t>390.2</w:t>
            </w:r>
          </w:p>
        </w:tc>
      </w:tr>
      <w:tr>
        <w:trPr>
          <w:trHeight w:val="187" w:hRule="atLeast"/>
        </w:trPr>
        <w:tc>
          <w:tcPr>
            <w:tcW w:w="2432" w:type="dxa"/>
            <w:tcBorders>
              <w:top w:val="nil"/>
              <w:bottom w:val="nil"/>
            </w:tcBorders>
            <w:shd w:val="clear" w:color="auto" w:fill="44536A"/>
          </w:tcPr>
          <w:p>
            <w:pPr>
              <w:pStyle w:val="TableParagraph"/>
              <w:spacing w:before="34"/>
              <w:ind w:right="496"/>
              <w:jc w:val="right"/>
              <w:rPr>
                <w:rFonts w:ascii="Arial"/>
                <w:b/>
                <w:sz w:val="10"/>
              </w:rPr>
            </w:pPr>
            <w:r>
              <w:rPr>
                <w:rFonts w:ascii="Arial"/>
                <w:b/>
                <w:color w:val="FFFFFF"/>
                <w:sz w:val="10"/>
              </w:rPr>
              <w:t>TOTAL DE INGRESOS NETOS</w:t>
            </w:r>
          </w:p>
        </w:tc>
        <w:tc>
          <w:tcPr>
            <w:tcW w:w="730" w:type="dxa"/>
            <w:tcBorders>
              <w:top w:val="nil"/>
              <w:bottom w:val="nil"/>
            </w:tcBorders>
            <w:shd w:val="clear" w:color="auto" w:fill="44536A"/>
          </w:tcPr>
          <w:p>
            <w:pPr>
              <w:pStyle w:val="TableParagraph"/>
              <w:spacing w:before="34"/>
              <w:ind w:left="169"/>
              <w:rPr>
                <w:rFonts w:ascii="Arial"/>
                <w:b/>
                <w:sz w:val="10"/>
              </w:rPr>
            </w:pPr>
            <w:r>
              <w:rPr>
                <w:rFonts w:ascii="Arial"/>
                <w:b/>
                <w:color w:val="FFFFFF"/>
                <w:sz w:val="10"/>
              </w:rPr>
              <w:t>62,593.6</w:t>
            </w:r>
          </w:p>
        </w:tc>
        <w:tc>
          <w:tcPr>
            <w:tcW w:w="687" w:type="dxa"/>
            <w:tcBorders>
              <w:top w:val="nil"/>
              <w:bottom w:val="nil"/>
            </w:tcBorders>
            <w:shd w:val="clear" w:color="auto" w:fill="44536A"/>
          </w:tcPr>
          <w:p>
            <w:pPr>
              <w:pStyle w:val="TableParagraph"/>
              <w:spacing w:before="34"/>
              <w:ind w:right="146"/>
              <w:jc w:val="right"/>
              <w:rPr>
                <w:rFonts w:ascii="Arial"/>
                <w:b/>
                <w:sz w:val="10"/>
              </w:rPr>
            </w:pPr>
            <w:r>
              <w:rPr>
                <w:rFonts w:ascii="Arial"/>
                <w:b/>
                <w:color w:val="FFFFFF"/>
                <w:sz w:val="10"/>
              </w:rPr>
              <w:t>60,279.4</w:t>
            </w:r>
          </w:p>
        </w:tc>
        <w:tc>
          <w:tcPr>
            <w:tcW w:w="624" w:type="dxa"/>
            <w:tcBorders>
              <w:top w:val="nil"/>
              <w:bottom w:val="nil"/>
            </w:tcBorders>
            <w:shd w:val="clear" w:color="auto" w:fill="44536A"/>
          </w:tcPr>
          <w:p>
            <w:pPr>
              <w:pStyle w:val="TableParagraph"/>
              <w:spacing w:before="34"/>
              <w:ind w:left="61" w:right="65"/>
              <w:jc w:val="center"/>
              <w:rPr>
                <w:rFonts w:ascii="Arial"/>
                <w:b/>
                <w:sz w:val="10"/>
              </w:rPr>
            </w:pPr>
            <w:r>
              <w:rPr>
                <w:rFonts w:ascii="Arial"/>
                <w:b/>
                <w:color w:val="FFFFFF"/>
                <w:sz w:val="10"/>
              </w:rPr>
              <w:t>78,019.1</w:t>
            </w:r>
          </w:p>
        </w:tc>
        <w:tc>
          <w:tcPr>
            <w:tcW w:w="624" w:type="dxa"/>
            <w:tcBorders>
              <w:top w:val="nil"/>
              <w:bottom w:val="nil"/>
            </w:tcBorders>
            <w:shd w:val="clear" w:color="auto" w:fill="2F5395"/>
          </w:tcPr>
          <w:p>
            <w:pPr>
              <w:pStyle w:val="TableParagraph"/>
              <w:spacing w:before="34"/>
              <w:ind w:right="116"/>
              <w:jc w:val="right"/>
              <w:rPr>
                <w:rFonts w:ascii="Arial"/>
                <w:b/>
                <w:sz w:val="10"/>
              </w:rPr>
            </w:pPr>
            <w:r>
              <w:rPr>
                <w:rFonts w:ascii="Arial"/>
                <w:b/>
                <w:color w:val="FFFFFF"/>
                <w:sz w:val="10"/>
              </w:rPr>
              <w:t>82,872.9</w:t>
            </w:r>
          </w:p>
        </w:tc>
        <w:tc>
          <w:tcPr>
            <w:tcW w:w="624" w:type="dxa"/>
            <w:tcBorders>
              <w:top w:val="nil"/>
              <w:bottom w:val="nil"/>
            </w:tcBorders>
            <w:shd w:val="clear" w:color="auto" w:fill="2F5395"/>
          </w:tcPr>
          <w:p>
            <w:pPr>
              <w:pStyle w:val="TableParagraph"/>
              <w:spacing w:before="34"/>
              <w:ind w:left="59" w:right="65"/>
              <w:jc w:val="center"/>
              <w:rPr>
                <w:rFonts w:ascii="Arial"/>
                <w:b/>
                <w:sz w:val="10"/>
              </w:rPr>
            </w:pPr>
            <w:r>
              <w:rPr>
                <w:rFonts w:ascii="Arial"/>
                <w:b/>
                <w:color w:val="FFFFFF"/>
                <w:sz w:val="10"/>
              </w:rPr>
              <w:t>84,610.7</w:t>
            </w:r>
          </w:p>
        </w:tc>
        <w:tc>
          <w:tcPr>
            <w:tcW w:w="624" w:type="dxa"/>
            <w:tcBorders>
              <w:top w:val="nil"/>
              <w:bottom w:val="nil"/>
            </w:tcBorders>
            <w:shd w:val="clear" w:color="auto" w:fill="2F5395"/>
          </w:tcPr>
          <w:p>
            <w:pPr>
              <w:pStyle w:val="TableParagraph"/>
              <w:spacing w:before="34"/>
              <w:ind w:left="58" w:right="65"/>
              <w:jc w:val="center"/>
              <w:rPr>
                <w:rFonts w:ascii="Arial"/>
                <w:b/>
                <w:sz w:val="10"/>
              </w:rPr>
            </w:pPr>
            <w:r>
              <w:rPr>
                <w:rFonts w:ascii="Arial"/>
                <w:b/>
                <w:color w:val="FFFFFF"/>
                <w:sz w:val="10"/>
              </w:rPr>
              <w:t>93,137.6</w:t>
            </w:r>
          </w:p>
        </w:tc>
        <w:tc>
          <w:tcPr>
            <w:tcW w:w="624" w:type="dxa"/>
            <w:tcBorders>
              <w:top w:val="nil"/>
              <w:bottom w:val="nil"/>
            </w:tcBorders>
            <w:shd w:val="clear" w:color="auto" w:fill="2F5395"/>
          </w:tcPr>
          <w:p>
            <w:pPr>
              <w:pStyle w:val="TableParagraph"/>
              <w:spacing w:before="34"/>
              <w:ind w:left="57" w:right="65"/>
              <w:jc w:val="center"/>
              <w:rPr>
                <w:rFonts w:ascii="Arial"/>
                <w:b/>
                <w:sz w:val="10"/>
              </w:rPr>
            </w:pPr>
            <w:r>
              <w:rPr>
                <w:rFonts w:ascii="Arial"/>
                <w:b/>
                <w:color w:val="FFFFFF"/>
                <w:sz w:val="10"/>
              </w:rPr>
              <w:t>98,912.0</w:t>
            </w:r>
          </w:p>
        </w:tc>
        <w:tc>
          <w:tcPr>
            <w:tcW w:w="624" w:type="dxa"/>
            <w:tcBorders>
              <w:top w:val="nil"/>
              <w:bottom w:val="nil"/>
            </w:tcBorders>
            <w:shd w:val="clear" w:color="auto" w:fill="2F5395"/>
          </w:tcPr>
          <w:p>
            <w:pPr>
              <w:pStyle w:val="TableParagraph"/>
              <w:spacing w:before="34"/>
              <w:ind w:right="87"/>
              <w:jc w:val="right"/>
              <w:rPr>
                <w:rFonts w:ascii="Arial"/>
                <w:b/>
                <w:sz w:val="10"/>
              </w:rPr>
            </w:pPr>
            <w:r>
              <w:rPr>
                <w:rFonts w:ascii="Arial"/>
                <w:b/>
                <w:color w:val="FFFFFF"/>
                <w:sz w:val="10"/>
              </w:rPr>
              <w:t>105,245.0</w:t>
            </w:r>
          </w:p>
        </w:tc>
        <w:tc>
          <w:tcPr>
            <w:tcW w:w="624" w:type="dxa"/>
            <w:tcBorders>
              <w:top w:val="nil"/>
              <w:bottom w:val="nil"/>
            </w:tcBorders>
            <w:shd w:val="clear" w:color="auto" w:fill="2F5395"/>
          </w:tcPr>
          <w:p>
            <w:pPr>
              <w:pStyle w:val="TableParagraph"/>
              <w:spacing w:before="34"/>
              <w:ind w:left="83"/>
              <w:rPr>
                <w:rFonts w:ascii="Arial"/>
                <w:b/>
                <w:sz w:val="10"/>
              </w:rPr>
            </w:pPr>
            <w:r>
              <w:rPr>
                <w:rFonts w:ascii="Arial"/>
                <w:b/>
                <w:color w:val="FFFFFF"/>
                <w:sz w:val="10"/>
              </w:rPr>
              <w:t>112,026.7</w:t>
            </w:r>
          </w:p>
        </w:tc>
      </w:tr>
      <w:tr>
        <w:trPr>
          <w:trHeight w:val="192" w:hRule="atLeast"/>
        </w:trPr>
        <w:tc>
          <w:tcPr>
            <w:tcW w:w="2432" w:type="dxa"/>
            <w:tcBorders>
              <w:top w:val="nil"/>
              <w:bottom w:val="nil"/>
            </w:tcBorders>
          </w:tcPr>
          <w:p>
            <w:pPr>
              <w:pStyle w:val="TableParagraph"/>
              <w:spacing w:before="40"/>
              <w:ind w:left="132"/>
              <w:rPr>
                <w:rFonts w:ascii="Arial" w:hAnsi="Arial"/>
                <w:sz w:val="10"/>
              </w:rPr>
            </w:pPr>
            <w:r>
              <w:rPr>
                <w:rFonts w:ascii="Arial" w:hAnsi="Arial"/>
                <w:color w:val="44536A"/>
                <w:sz w:val="10"/>
              </w:rPr>
              <w:t>( + ) Devoluciones de Crédito Fiscal</w:t>
            </w:r>
          </w:p>
        </w:tc>
        <w:tc>
          <w:tcPr>
            <w:tcW w:w="730" w:type="dxa"/>
            <w:tcBorders>
              <w:top w:val="nil"/>
              <w:bottom w:val="nil"/>
            </w:tcBorders>
          </w:tcPr>
          <w:p>
            <w:pPr>
              <w:pStyle w:val="TableParagraph"/>
              <w:spacing w:before="40"/>
              <w:ind w:left="194"/>
              <w:rPr>
                <w:rFonts w:ascii="Arial"/>
                <w:sz w:val="10"/>
              </w:rPr>
            </w:pPr>
            <w:r>
              <w:rPr>
                <w:rFonts w:ascii="Arial"/>
                <w:color w:val="44536A"/>
                <w:sz w:val="10"/>
              </w:rPr>
              <w:t>1,943.7</w:t>
            </w:r>
          </w:p>
        </w:tc>
        <w:tc>
          <w:tcPr>
            <w:tcW w:w="687" w:type="dxa"/>
            <w:tcBorders>
              <w:top w:val="nil"/>
              <w:bottom w:val="nil"/>
            </w:tcBorders>
          </w:tcPr>
          <w:p>
            <w:pPr>
              <w:pStyle w:val="TableParagraph"/>
              <w:spacing w:before="40"/>
              <w:ind w:right="171"/>
              <w:jc w:val="right"/>
              <w:rPr>
                <w:rFonts w:ascii="Arial"/>
                <w:sz w:val="10"/>
              </w:rPr>
            </w:pPr>
            <w:r>
              <w:rPr>
                <w:rFonts w:ascii="Arial"/>
                <w:color w:val="44536A"/>
                <w:sz w:val="10"/>
              </w:rPr>
              <w:t>1,761.2</w:t>
            </w:r>
          </w:p>
        </w:tc>
        <w:tc>
          <w:tcPr>
            <w:tcW w:w="624" w:type="dxa"/>
            <w:tcBorders>
              <w:top w:val="nil"/>
              <w:bottom w:val="nil"/>
            </w:tcBorders>
          </w:tcPr>
          <w:p>
            <w:pPr>
              <w:pStyle w:val="TableParagraph"/>
              <w:spacing w:before="40"/>
              <w:ind w:left="63" w:right="63"/>
              <w:jc w:val="center"/>
              <w:rPr>
                <w:rFonts w:ascii="Arial"/>
                <w:sz w:val="10"/>
              </w:rPr>
            </w:pPr>
            <w:r>
              <w:rPr>
                <w:rFonts w:ascii="Arial"/>
                <w:color w:val="44536A"/>
                <w:sz w:val="10"/>
              </w:rPr>
              <w:t>2,237.8</w:t>
            </w:r>
          </w:p>
        </w:tc>
        <w:tc>
          <w:tcPr>
            <w:tcW w:w="624" w:type="dxa"/>
            <w:tcBorders>
              <w:top w:val="nil"/>
              <w:bottom w:val="nil"/>
            </w:tcBorders>
          </w:tcPr>
          <w:p>
            <w:pPr>
              <w:pStyle w:val="TableParagraph"/>
              <w:spacing w:before="40"/>
              <w:ind w:right="140"/>
              <w:jc w:val="right"/>
              <w:rPr>
                <w:rFonts w:ascii="Arial"/>
                <w:sz w:val="10"/>
              </w:rPr>
            </w:pPr>
            <w:r>
              <w:rPr>
                <w:rFonts w:ascii="Arial"/>
                <w:color w:val="44536A"/>
                <w:sz w:val="10"/>
              </w:rPr>
              <w:t>3,397.9</w:t>
            </w:r>
          </w:p>
        </w:tc>
        <w:tc>
          <w:tcPr>
            <w:tcW w:w="624" w:type="dxa"/>
            <w:tcBorders>
              <w:top w:val="nil"/>
              <w:bottom w:val="nil"/>
            </w:tcBorders>
          </w:tcPr>
          <w:p>
            <w:pPr>
              <w:pStyle w:val="TableParagraph"/>
              <w:spacing w:before="40"/>
              <w:ind w:left="63" w:right="64"/>
              <w:jc w:val="center"/>
              <w:rPr>
                <w:rFonts w:ascii="Arial"/>
                <w:sz w:val="10"/>
              </w:rPr>
            </w:pPr>
            <w:r>
              <w:rPr>
                <w:rFonts w:ascii="Arial"/>
                <w:color w:val="44536A"/>
                <w:sz w:val="10"/>
              </w:rPr>
              <w:t>3,539.7</w:t>
            </w:r>
          </w:p>
        </w:tc>
        <w:tc>
          <w:tcPr>
            <w:tcW w:w="624" w:type="dxa"/>
            <w:tcBorders>
              <w:top w:val="nil"/>
              <w:bottom w:val="nil"/>
            </w:tcBorders>
          </w:tcPr>
          <w:p>
            <w:pPr>
              <w:pStyle w:val="TableParagraph"/>
              <w:spacing w:before="40"/>
              <w:ind w:left="63" w:right="64"/>
              <w:jc w:val="center"/>
              <w:rPr>
                <w:rFonts w:ascii="Arial"/>
                <w:sz w:val="10"/>
              </w:rPr>
            </w:pPr>
            <w:r>
              <w:rPr>
                <w:rFonts w:ascii="Arial"/>
                <w:color w:val="44536A"/>
                <w:sz w:val="10"/>
              </w:rPr>
              <w:t>3,786.2</w:t>
            </w:r>
          </w:p>
        </w:tc>
        <w:tc>
          <w:tcPr>
            <w:tcW w:w="624" w:type="dxa"/>
            <w:tcBorders>
              <w:top w:val="nil"/>
              <w:bottom w:val="nil"/>
            </w:tcBorders>
          </w:tcPr>
          <w:p>
            <w:pPr>
              <w:pStyle w:val="TableParagraph"/>
              <w:spacing w:before="40"/>
              <w:ind w:left="63" w:right="65"/>
              <w:jc w:val="center"/>
              <w:rPr>
                <w:rFonts w:ascii="Arial"/>
                <w:sz w:val="10"/>
              </w:rPr>
            </w:pPr>
            <w:r>
              <w:rPr>
                <w:rFonts w:ascii="Arial"/>
                <w:color w:val="44536A"/>
                <w:sz w:val="10"/>
              </w:rPr>
              <w:t>4,039.2</w:t>
            </w:r>
          </w:p>
        </w:tc>
        <w:tc>
          <w:tcPr>
            <w:tcW w:w="624" w:type="dxa"/>
            <w:tcBorders>
              <w:top w:val="nil"/>
              <w:bottom w:val="nil"/>
            </w:tcBorders>
          </w:tcPr>
          <w:p>
            <w:pPr>
              <w:pStyle w:val="TableParagraph"/>
              <w:spacing w:before="40"/>
              <w:ind w:right="142"/>
              <w:jc w:val="right"/>
              <w:rPr>
                <w:rFonts w:ascii="Arial"/>
                <w:sz w:val="10"/>
              </w:rPr>
            </w:pPr>
            <w:r>
              <w:rPr>
                <w:rFonts w:ascii="Arial"/>
                <w:color w:val="44536A"/>
                <w:sz w:val="10"/>
              </w:rPr>
              <w:t>4,322.9</w:t>
            </w:r>
          </w:p>
        </w:tc>
        <w:tc>
          <w:tcPr>
            <w:tcW w:w="624" w:type="dxa"/>
            <w:tcBorders>
              <w:top w:val="nil"/>
              <w:bottom w:val="nil"/>
            </w:tcBorders>
          </w:tcPr>
          <w:p>
            <w:pPr>
              <w:pStyle w:val="TableParagraph"/>
              <w:spacing w:before="40"/>
              <w:ind w:left="139"/>
              <w:rPr>
                <w:rFonts w:ascii="Arial"/>
                <w:sz w:val="10"/>
              </w:rPr>
            </w:pPr>
            <w:r>
              <w:rPr>
                <w:rFonts w:ascii="Arial"/>
                <w:color w:val="44536A"/>
                <w:sz w:val="10"/>
              </w:rPr>
              <w:t>4,627.4</w:t>
            </w:r>
          </w:p>
        </w:tc>
      </w:tr>
      <w:tr>
        <w:trPr>
          <w:trHeight w:val="181" w:hRule="atLeast"/>
        </w:trPr>
        <w:tc>
          <w:tcPr>
            <w:tcW w:w="2432" w:type="dxa"/>
            <w:tcBorders>
              <w:top w:val="nil"/>
              <w:bottom w:val="nil"/>
            </w:tcBorders>
          </w:tcPr>
          <w:p>
            <w:pPr>
              <w:pStyle w:val="TableParagraph"/>
              <w:spacing w:before="34"/>
              <w:ind w:left="132"/>
              <w:rPr>
                <w:rFonts w:ascii="Arial" w:hAnsi="Arial"/>
                <w:sz w:val="10"/>
              </w:rPr>
            </w:pPr>
            <w:r>
              <w:rPr>
                <w:rFonts w:ascii="Arial" w:hAnsi="Arial"/>
                <w:color w:val="44536A"/>
                <w:sz w:val="10"/>
              </w:rPr>
              <w:t>( + ) Autocompensación</w:t>
            </w:r>
          </w:p>
        </w:tc>
        <w:tc>
          <w:tcPr>
            <w:tcW w:w="730" w:type="dxa"/>
            <w:tcBorders>
              <w:top w:val="nil"/>
              <w:bottom w:val="nil"/>
            </w:tcBorders>
          </w:tcPr>
          <w:p>
            <w:pPr>
              <w:pStyle w:val="TableParagraph"/>
              <w:spacing w:before="34"/>
              <w:ind w:left="237"/>
              <w:rPr>
                <w:rFonts w:ascii="Arial"/>
                <w:sz w:val="10"/>
              </w:rPr>
            </w:pPr>
            <w:r>
              <w:rPr>
                <w:rFonts w:ascii="Arial"/>
                <w:color w:val="44536A"/>
                <w:sz w:val="10"/>
              </w:rPr>
              <w:t>363.6</w:t>
            </w:r>
          </w:p>
        </w:tc>
        <w:tc>
          <w:tcPr>
            <w:tcW w:w="687" w:type="dxa"/>
            <w:tcBorders>
              <w:top w:val="nil"/>
              <w:bottom w:val="nil"/>
            </w:tcBorders>
          </w:tcPr>
          <w:p>
            <w:pPr>
              <w:pStyle w:val="TableParagraph"/>
              <w:spacing w:before="34"/>
              <w:ind w:left="212"/>
              <w:rPr>
                <w:rFonts w:ascii="Arial"/>
                <w:sz w:val="10"/>
              </w:rPr>
            </w:pPr>
            <w:r>
              <w:rPr>
                <w:rFonts w:ascii="Arial"/>
                <w:color w:val="44536A"/>
                <w:sz w:val="10"/>
              </w:rPr>
              <w:t>425.6</w:t>
            </w:r>
          </w:p>
        </w:tc>
        <w:tc>
          <w:tcPr>
            <w:tcW w:w="624" w:type="dxa"/>
            <w:tcBorders>
              <w:top w:val="nil"/>
              <w:bottom w:val="nil"/>
            </w:tcBorders>
          </w:tcPr>
          <w:p>
            <w:pPr>
              <w:pStyle w:val="TableParagraph"/>
              <w:spacing w:before="34"/>
              <w:ind w:left="62" w:right="65"/>
              <w:jc w:val="center"/>
              <w:rPr>
                <w:rFonts w:ascii="Arial"/>
                <w:sz w:val="10"/>
              </w:rPr>
            </w:pPr>
            <w:r>
              <w:rPr>
                <w:rFonts w:ascii="Arial"/>
                <w:color w:val="44536A"/>
                <w:sz w:val="10"/>
              </w:rPr>
              <w:t>464.2</w:t>
            </w:r>
          </w:p>
        </w:tc>
        <w:tc>
          <w:tcPr>
            <w:tcW w:w="624" w:type="dxa"/>
            <w:tcBorders>
              <w:top w:val="nil"/>
              <w:bottom w:val="nil"/>
            </w:tcBorders>
          </w:tcPr>
          <w:p>
            <w:pPr>
              <w:pStyle w:val="TableParagraph"/>
              <w:spacing w:before="34"/>
              <w:ind w:left="179"/>
              <w:rPr>
                <w:rFonts w:ascii="Arial"/>
                <w:sz w:val="10"/>
              </w:rPr>
            </w:pPr>
            <w:r>
              <w:rPr>
                <w:rFonts w:ascii="Arial"/>
                <w:color w:val="44536A"/>
                <w:sz w:val="10"/>
              </w:rPr>
              <w:t>552.4</w:t>
            </w:r>
          </w:p>
        </w:tc>
        <w:tc>
          <w:tcPr>
            <w:tcW w:w="624" w:type="dxa"/>
            <w:tcBorders>
              <w:top w:val="nil"/>
              <w:bottom w:val="nil"/>
            </w:tcBorders>
          </w:tcPr>
          <w:p>
            <w:pPr>
              <w:pStyle w:val="TableParagraph"/>
              <w:spacing w:before="34"/>
              <w:ind w:left="59" w:right="65"/>
              <w:jc w:val="center"/>
              <w:rPr>
                <w:rFonts w:ascii="Arial"/>
                <w:sz w:val="10"/>
              </w:rPr>
            </w:pPr>
            <w:r>
              <w:rPr>
                <w:rFonts w:ascii="Arial"/>
                <w:color w:val="44536A"/>
                <w:sz w:val="10"/>
              </w:rPr>
              <w:t>576.5</w:t>
            </w:r>
          </w:p>
        </w:tc>
        <w:tc>
          <w:tcPr>
            <w:tcW w:w="624" w:type="dxa"/>
            <w:tcBorders>
              <w:top w:val="nil"/>
              <w:bottom w:val="nil"/>
            </w:tcBorders>
          </w:tcPr>
          <w:p>
            <w:pPr>
              <w:pStyle w:val="TableParagraph"/>
              <w:spacing w:before="34"/>
              <w:ind w:left="58" w:right="65"/>
              <w:jc w:val="center"/>
              <w:rPr>
                <w:rFonts w:ascii="Arial"/>
                <w:sz w:val="10"/>
              </w:rPr>
            </w:pPr>
            <w:r>
              <w:rPr>
                <w:rFonts w:ascii="Arial"/>
                <w:color w:val="44536A"/>
                <w:sz w:val="10"/>
              </w:rPr>
              <w:t>612.2</w:t>
            </w:r>
          </w:p>
        </w:tc>
        <w:tc>
          <w:tcPr>
            <w:tcW w:w="624" w:type="dxa"/>
            <w:tcBorders>
              <w:top w:val="nil"/>
              <w:bottom w:val="nil"/>
            </w:tcBorders>
          </w:tcPr>
          <w:p>
            <w:pPr>
              <w:pStyle w:val="TableParagraph"/>
              <w:spacing w:before="34"/>
              <w:ind w:left="58" w:right="65"/>
              <w:jc w:val="center"/>
              <w:rPr>
                <w:rFonts w:ascii="Arial"/>
                <w:sz w:val="10"/>
              </w:rPr>
            </w:pPr>
            <w:r>
              <w:rPr>
                <w:rFonts w:ascii="Arial"/>
                <w:color w:val="44536A"/>
                <w:sz w:val="10"/>
              </w:rPr>
              <w:t>650.3</w:t>
            </w:r>
          </w:p>
        </w:tc>
        <w:tc>
          <w:tcPr>
            <w:tcW w:w="624" w:type="dxa"/>
            <w:tcBorders>
              <w:top w:val="nil"/>
              <w:bottom w:val="nil"/>
            </w:tcBorders>
          </w:tcPr>
          <w:p>
            <w:pPr>
              <w:pStyle w:val="TableParagraph"/>
              <w:spacing w:before="34"/>
              <w:ind w:right="186"/>
              <w:jc w:val="right"/>
              <w:rPr>
                <w:rFonts w:ascii="Arial"/>
                <w:sz w:val="10"/>
              </w:rPr>
            </w:pPr>
            <w:r>
              <w:rPr>
                <w:rFonts w:ascii="Arial"/>
                <w:color w:val="44536A"/>
                <w:sz w:val="10"/>
              </w:rPr>
              <w:t>692.1</w:t>
            </w:r>
          </w:p>
        </w:tc>
        <w:tc>
          <w:tcPr>
            <w:tcW w:w="624" w:type="dxa"/>
            <w:tcBorders>
              <w:top w:val="nil"/>
              <w:bottom w:val="nil"/>
            </w:tcBorders>
          </w:tcPr>
          <w:p>
            <w:pPr>
              <w:pStyle w:val="TableParagraph"/>
              <w:spacing w:before="34"/>
              <w:ind w:left="176"/>
              <w:rPr>
                <w:rFonts w:ascii="Arial"/>
                <w:sz w:val="10"/>
              </w:rPr>
            </w:pPr>
            <w:r>
              <w:rPr>
                <w:rFonts w:ascii="Arial"/>
                <w:color w:val="44536A"/>
                <w:sz w:val="10"/>
              </w:rPr>
              <w:t>736.5</w:t>
            </w:r>
          </w:p>
        </w:tc>
      </w:tr>
      <w:tr>
        <w:trPr>
          <w:trHeight w:val="187" w:hRule="atLeast"/>
        </w:trPr>
        <w:tc>
          <w:tcPr>
            <w:tcW w:w="2432" w:type="dxa"/>
            <w:tcBorders>
              <w:top w:val="nil"/>
              <w:bottom w:val="nil"/>
            </w:tcBorders>
            <w:shd w:val="clear" w:color="auto" w:fill="44536A"/>
          </w:tcPr>
          <w:p>
            <w:pPr>
              <w:pStyle w:val="TableParagraph"/>
              <w:spacing w:before="34"/>
              <w:ind w:right="459"/>
              <w:jc w:val="right"/>
              <w:rPr>
                <w:rFonts w:ascii="Arial"/>
                <w:b/>
                <w:sz w:val="10"/>
              </w:rPr>
            </w:pPr>
            <w:r>
              <w:rPr>
                <w:rFonts w:ascii="Arial"/>
                <w:b/>
                <w:color w:val="FFFFFF"/>
                <w:sz w:val="10"/>
              </w:rPr>
              <w:t>TOTAL DE INGRESOS BRUTOS</w:t>
            </w:r>
          </w:p>
        </w:tc>
        <w:tc>
          <w:tcPr>
            <w:tcW w:w="730" w:type="dxa"/>
            <w:tcBorders>
              <w:top w:val="nil"/>
              <w:bottom w:val="nil"/>
            </w:tcBorders>
            <w:shd w:val="clear" w:color="auto" w:fill="44536A"/>
          </w:tcPr>
          <w:p>
            <w:pPr>
              <w:pStyle w:val="TableParagraph"/>
              <w:spacing w:before="34"/>
              <w:ind w:left="169"/>
              <w:rPr>
                <w:rFonts w:ascii="Arial"/>
                <w:b/>
                <w:sz w:val="10"/>
              </w:rPr>
            </w:pPr>
            <w:r>
              <w:rPr>
                <w:rFonts w:ascii="Arial"/>
                <w:b/>
                <w:color w:val="FFFFFF"/>
                <w:sz w:val="10"/>
              </w:rPr>
              <w:t>64,900.9</w:t>
            </w:r>
          </w:p>
        </w:tc>
        <w:tc>
          <w:tcPr>
            <w:tcW w:w="687" w:type="dxa"/>
            <w:tcBorders>
              <w:top w:val="nil"/>
              <w:bottom w:val="nil"/>
            </w:tcBorders>
            <w:shd w:val="clear" w:color="auto" w:fill="44536A"/>
          </w:tcPr>
          <w:p>
            <w:pPr>
              <w:pStyle w:val="TableParagraph"/>
              <w:spacing w:before="34"/>
              <w:ind w:right="146"/>
              <w:jc w:val="right"/>
              <w:rPr>
                <w:rFonts w:ascii="Arial"/>
                <w:b/>
                <w:sz w:val="10"/>
              </w:rPr>
            </w:pPr>
            <w:r>
              <w:rPr>
                <w:rFonts w:ascii="Arial"/>
                <w:b/>
                <w:color w:val="FFFFFF"/>
                <w:sz w:val="10"/>
              </w:rPr>
              <w:t>62,466.2</w:t>
            </w:r>
          </w:p>
        </w:tc>
        <w:tc>
          <w:tcPr>
            <w:tcW w:w="624" w:type="dxa"/>
            <w:tcBorders>
              <w:top w:val="nil"/>
              <w:bottom w:val="nil"/>
            </w:tcBorders>
            <w:shd w:val="clear" w:color="auto" w:fill="44536A"/>
          </w:tcPr>
          <w:p>
            <w:pPr>
              <w:pStyle w:val="TableParagraph"/>
              <w:spacing w:before="34"/>
              <w:ind w:left="61" w:right="65"/>
              <w:jc w:val="center"/>
              <w:rPr>
                <w:rFonts w:ascii="Arial"/>
                <w:b/>
                <w:sz w:val="10"/>
              </w:rPr>
            </w:pPr>
            <w:r>
              <w:rPr>
                <w:rFonts w:ascii="Arial"/>
                <w:b/>
                <w:color w:val="FFFFFF"/>
                <w:sz w:val="10"/>
              </w:rPr>
              <w:t>80,721.1</w:t>
            </w:r>
          </w:p>
        </w:tc>
        <w:tc>
          <w:tcPr>
            <w:tcW w:w="624" w:type="dxa"/>
            <w:tcBorders>
              <w:top w:val="nil"/>
              <w:bottom w:val="nil"/>
            </w:tcBorders>
            <w:shd w:val="clear" w:color="auto" w:fill="2F5395"/>
          </w:tcPr>
          <w:p>
            <w:pPr>
              <w:pStyle w:val="TableParagraph"/>
              <w:spacing w:before="34"/>
              <w:ind w:right="116"/>
              <w:jc w:val="right"/>
              <w:rPr>
                <w:rFonts w:ascii="Arial"/>
                <w:b/>
                <w:sz w:val="10"/>
              </w:rPr>
            </w:pPr>
            <w:r>
              <w:rPr>
                <w:rFonts w:ascii="Arial"/>
                <w:b/>
                <w:color w:val="FFFFFF"/>
                <w:sz w:val="10"/>
              </w:rPr>
              <w:t>86,823.2</w:t>
            </w:r>
          </w:p>
        </w:tc>
        <w:tc>
          <w:tcPr>
            <w:tcW w:w="624" w:type="dxa"/>
            <w:tcBorders>
              <w:top w:val="nil"/>
              <w:bottom w:val="nil"/>
            </w:tcBorders>
            <w:shd w:val="clear" w:color="auto" w:fill="2F5395"/>
          </w:tcPr>
          <w:p>
            <w:pPr>
              <w:pStyle w:val="TableParagraph"/>
              <w:spacing w:before="34"/>
              <w:ind w:left="59" w:right="65"/>
              <w:jc w:val="center"/>
              <w:rPr>
                <w:rFonts w:ascii="Arial"/>
                <w:b/>
                <w:sz w:val="10"/>
              </w:rPr>
            </w:pPr>
            <w:r>
              <w:rPr>
                <w:rFonts w:ascii="Arial"/>
                <w:b/>
                <w:color w:val="FFFFFF"/>
                <w:sz w:val="10"/>
              </w:rPr>
              <w:t>88,726.8</w:t>
            </w:r>
          </w:p>
        </w:tc>
        <w:tc>
          <w:tcPr>
            <w:tcW w:w="624" w:type="dxa"/>
            <w:tcBorders>
              <w:top w:val="nil"/>
              <w:bottom w:val="nil"/>
            </w:tcBorders>
            <w:shd w:val="clear" w:color="auto" w:fill="2F5395"/>
          </w:tcPr>
          <w:p>
            <w:pPr>
              <w:pStyle w:val="TableParagraph"/>
              <w:spacing w:before="34"/>
              <w:ind w:left="58" w:right="65"/>
              <w:jc w:val="center"/>
              <w:rPr>
                <w:rFonts w:ascii="Arial"/>
                <w:b/>
                <w:sz w:val="10"/>
              </w:rPr>
            </w:pPr>
            <w:r>
              <w:rPr>
                <w:rFonts w:ascii="Arial"/>
                <w:b/>
                <w:color w:val="FFFFFF"/>
                <w:sz w:val="10"/>
              </w:rPr>
              <w:t>97,536.1</w:t>
            </w:r>
          </w:p>
        </w:tc>
        <w:tc>
          <w:tcPr>
            <w:tcW w:w="624" w:type="dxa"/>
            <w:tcBorders>
              <w:top w:val="nil"/>
              <w:bottom w:val="nil"/>
            </w:tcBorders>
            <w:shd w:val="clear" w:color="auto" w:fill="2F5395"/>
          </w:tcPr>
          <w:p>
            <w:pPr>
              <w:pStyle w:val="TableParagraph"/>
              <w:spacing w:before="34"/>
              <w:ind w:left="63" w:right="65"/>
              <w:jc w:val="center"/>
              <w:rPr>
                <w:rFonts w:ascii="Arial"/>
                <w:b/>
                <w:sz w:val="10"/>
              </w:rPr>
            </w:pPr>
            <w:r>
              <w:rPr>
                <w:rFonts w:ascii="Arial"/>
                <w:b/>
                <w:color w:val="FFFFFF"/>
                <w:sz w:val="10"/>
              </w:rPr>
              <w:t>103,601.5</w:t>
            </w:r>
          </w:p>
        </w:tc>
        <w:tc>
          <w:tcPr>
            <w:tcW w:w="624" w:type="dxa"/>
            <w:tcBorders>
              <w:top w:val="nil"/>
              <w:bottom w:val="nil"/>
            </w:tcBorders>
            <w:shd w:val="clear" w:color="auto" w:fill="2F5395"/>
          </w:tcPr>
          <w:p>
            <w:pPr>
              <w:pStyle w:val="TableParagraph"/>
              <w:spacing w:before="34"/>
              <w:ind w:right="87"/>
              <w:jc w:val="right"/>
              <w:rPr>
                <w:rFonts w:ascii="Arial"/>
                <w:b/>
                <w:sz w:val="10"/>
              </w:rPr>
            </w:pPr>
            <w:r>
              <w:rPr>
                <w:rFonts w:ascii="Arial"/>
                <w:b/>
                <w:color w:val="FFFFFF"/>
                <w:sz w:val="10"/>
              </w:rPr>
              <w:t>110,259.9</w:t>
            </w:r>
          </w:p>
        </w:tc>
        <w:tc>
          <w:tcPr>
            <w:tcW w:w="624" w:type="dxa"/>
            <w:tcBorders>
              <w:top w:val="nil"/>
              <w:bottom w:val="nil"/>
            </w:tcBorders>
            <w:shd w:val="clear" w:color="auto" w:fill="2F5395"/>
          </w:tcPr>
          <w:p>
            <w:pPr>
              <w:pStyle w:val="TableParagraph"/>
              <w:spacing w:before="34"/>
              <w:ind w:left="83"/>
              <w:rPr>
                <w:rFonts w:ascii="Arial"/>
                <w:b/>
                <w:sz w:val="10"/>
              </w:rPr>
            </w:pPr>
            <w:r>
              <w:rPr>
                <w:rFonts w:ascii="Arial"/>
                <w:b/>
                <w:color w:val="FFFFFF"/>
                <w:sz w:val="10"/>
              </w:rPr>
              <w:t>117,390.5</w:t>
            </w:r>
          </w:p>
        </w:tc>
      </w:tr>
    </w:tbl>
    <w:p>
      <w:pPr>
        <w:spacing w:before="28"/>
        <w:ind w:left="1270" w:right="0" w:firstLine="0"/>
        <w:jc w:val="left"/>
        <w:rPr>
          <w:sz w:val="16"/>
        </w:rPr>
      </w:pPr>
      <w:r>
        <w:rPr/>
        <w:pict>
          <v:line style="position:absolute;mso-position-horizontal-relative:page;mso-position-vertical-relative:paragraph;z-index:253170688" from="511.597931pt,-121.798813pt" to="511.597931pt,-121.798813pt" stroked="true" strokeweight=".311459pt" strokecolor="#dfdfdf">
            <v:stroke dashstyle="solid"/>
            <w10:wrap type="none"/>
          </v:line>
        </w:pict>
      </w:r>
      <w:r>
        <w:rPr/>
        <w:pict>
          <v:line style="position:absolute;mso-position-horizontal-relative:page;mso-position-vertical-relative:paragraph;z-index:253171712" from="511.597931pt,-112.446739pt" to="511.597931pt,-112.446739pt" stroked="true" strokeweight=".311459pt" strokecolor="#dfdfdf">
            <v:stroke dashstyle="solid"/>
            <w10:wrap type="none"/>
          </v:line>
        </w:pict>
      </w:r>
      <w:r>
        <w:rPr/>
        <w:pict>
          <v:line style="position:absolute;mso-position-horizontal-relative:page;mso-position-vertical-relative:paragraph;z-index:253172736" from="511.597931pt,-103.090508pt" to="511.597931pt,-103.090508pt" stroked="true" strokeweight=".311459pt" strokecolor="#dfdfdf">
            <v:stroke dashstyle="solid"/>
            <w10:wrap type="none"/>
          </v:line>
        </w:pict>
      </w:r>
      <w:r>
        <w:rPr/>
        <w:pict>
          <v:line style="position:absolute;mso-position-horizontal-relative:page;mso-position-vertical-relative:paragraph;z-index:253173760" from="511.597931pt,-93.738426pt" to="511.597931pt,-93.738426pt" stroked="true" strokeweight=".311459pt" strokecolor="#dfdfdf">
            <v:stroke dashstyle="solid"/>
            <w10:wrap type="none"/>
          </v:line>
        </w:pict>
      </w:r>
      <w:r>
        <w:rPr/>
        <w:pict>
          <v:line style="position:absolute;mso-position-horizontal-relative:page;mso-position-vertical-relative:paragraph;z-index:253174784" from="511.597931pt,-84.382202pt" to="511.597931pt,-84.382202pt" stroked="true" strokeweight=".311459pt" strokecolor="#dfdfdf">
            <v:stroke dashstyle="solid"/>
            <w10:wrap type="none"/>
          </v:line>
        </w:pict>
      </w:r>
      <w:r>
        <w:rPr/>
        <w:pict>
          <v:line style="position:absolute;mso-position-horizontal-relative:page;mso-position-vertical-relative:paragraph;z-index:253175808" from="511.597931pt,-75.030121pt" to="511.597931pt,-75.030121pt" stroked="true" strokeweight=".311459pt" strokecolor="#dfdfdf">
            <v:stroke dashstyle="solid"/>
            <w10:wrap type="none"/>
          </v:line>
        </w:pict>
      </w:r>
      <w:r>
        <w:rPr/>
        <w:pict>
          <v:line style="position:absolute;mso-position-horizontal-relative:page;mso-position-vertical-relative:paragraph;z-index:253176832" from="511.597931pt,-46.96558pt" to="511.597931pt,-46.96558pt" stroked="true" strokeweight=".311459pt" strokecolor="#dfdfdf">
            <v:stroke dashstyle="solid"/>
            <w10:wrap type="none"/>
          </v:line>
        </w:pict>
      </w:r>
      <w:r>
        <w:rPr/>
        <w:pict>
          <v:line style="position:absolute;mso-position-horizontal-relative:page;mso-position-vertical-relative:paragraph;z-index:253177856" from="511.597931pt,-18.904779pt" to="511.597931pt,-18.904779pt" stroked="true" strokeweight=".311459pt" strokecolor="#dfdfdf">
            <v:stroke dashstyle="solid"/>
            <w10:wrap type="none"/>
          </v:line>
        </w:pict>
      </w:r>
      <w:r>
        <w:rPr>
          <w:sz w:val="16"/>
        </w:rPr>
        <w:t>Fuente: Superintendencia de Administración Tributaria</w:t>
      </w:r>
    </w:p>
    <w:p>
      <w:pPr>
        <w:spacing w:after="0"/>
        <w:jc w:val="left"/>
        <w:rPr>
          <w:sz w:val="16"/>
        </w:rPr>
        <w:sectPr>
          <w:pgSz w:w="12240" w:h="15840"/>
          <w:pgMar w:header="715" w:footer="688" w:top="1240" w:bottom="880" w:left="1140" w:right="0"/>
        </w:sectPr>
      </w:pPr>
    </w:p>
    <w:p>
      <w:pPr>
        <w:pStyle w:val="BodyText"/>
        <w:spacing w:line="276" w:lineRule="auto" w:before="162"/>
        <w:ind w:left="562" w:right="1700"/>
        <w:jc w:val="both"/>
      </w:pPr>
      <w:r>
        <w:rPr/>
        <w:t>Tomando</w:t>
      </w:r>
      <w:r>
        <w:rPr>
          <w:spacing w:val="-11"/>
        </w:rPr>
        <w:t> </w:t>
      </w:r>
      <w:r>
        <w:rPr/>
        <w:t>en</w:t>
      </w:r>
      <w:r>
        <w:rPr>
          <w:spacing w:val="-10"/>
        </w:rPr>
        <w:t> </w:t>
      </w:r>
      <w:r>
        <w:rPr/>
        <w:t>consideración</w:t>
      </w:r>
      <w:r>
        <w:rPr>
          <w:spacing w:val="-12"/>
        </w:rPr>
        <w:t> </w:t>
      </w:r>
      <w:r>
        <w:rPr/>
        <w:t>el</w:t>
      </w:r>
      <w:r>
        <w:rPr>
          <w:spacing w:val="-10"/>
        </w:rPr>
        <w:t> </w:t>
      </w:r>
      <w:r>
        <w:rPr/>
        <w:t>escenario</w:t>
      </w:r>
      <w:r>
        <w:rPr>
          <w:spacing w:val="-11"/>
        </w:rPr>
        <w:t> </w:t>
      </w:r>
      <w:r>
        <w:rPr/>
        <w:t>macroeconómico</w:t>
      </w:r>
      <w:r>
        <w:rPr>
          <w:spacing w:val="-11"/>
        </w:rPr>
        <w:t> </w:t>
      </w:r>
      <w:r>
        <w:rPr/>
        <w:t>previsto</w:t>
      </w:r>
      <w:r>
        <w:rPr>
          <w:spacing w:val="-11"/>
        </w:rPr>
        <w:t> </w:t>
      </w:r>
      <w:r>
        <w:rPr/>
        <w:t>para</w:t>
      </w:r>
      <w:r>
        <w:rPr>
          <w:spacing w:val="-10"/>
        </w:rPr>
        <w:t> </w:t>
      </w:r>
      <w:r>
        <w:rPr/>
        <w:t>el</w:t>
      </w:r>
      <w:r>
        <w:rPr>
          <w:spacing w:val="-11"/>
        </w:rPr>
        <w:t> </w:t>
      </w:r>
      <w:r>
        <w:rPr/>
        <w:t>mediano</w:t>
      </w:r>
      <w:r>
        <w:rPr>
          <w:spacing w:val="-13"/>
        </w:rPr>
        <w:t> </w:t>
      </w:r>
      <w:r>
        <w:rPr/>
        <w:t>plazo</w:t>
      </w:r>
      <w:r>
        <w:rPr>
          <w:spacing w:val="-11"/>
        </w:rPr>
        <w:t> </w:t>
      </w:r>
      <w:r>
        <w:rPr/>
        <w:t>(rango</w:t>
      </w:r>
      <w:r>
        <w:rPr>
          <w:spacing w:val="-12"/>
        </w:rPr>
        <w:t> </w:t>
      </w:r>
      <w:r>
        <w:rPr/>
        <w:t>bajo) y considerando un esfuerzo administrativo por parte de la SAT de Q1,250 millones para 2023 los ingresos tributarios pueden ubicarse en torno a Q84,610.7 millones, equivalente al 11.2% del PIB, indicador</w:t>
      </w:r>
      <w:r>
        <w:rPr>
          <w:spacing w:val="-4"/>
        </w:rPr>
        <w:t> </w:t>
      </w:r>
      <w:r>
        <w:rPr/>
        <w:t>inferior</w:t>
      </w:r>
      <w:r>
        <w:rPr>
          <w:spacing w:val="-4"/>
        </w:rPr>
        <w:t> </w:t>
      </w:r>
      <w:r>
        <w:rPr/>
        <w:t>al</w:t>
      </w:r>
      <w:r>
        <w:rPr>
          <w:spacing w:val="-4"/>
        </w:rPr>
        <w:t> </w:t>
      </w:r>
      <w:r>
        <w:rPr/>
        <w:t>estimado</w:t>
      </w:r>
      <w:r>
        <w:rPr>
          <w:spacing w:val="-4"/>
        </w:rPr>
        <w:t> </w:t>
      </w:r>
      <w:r>
        <w:rPr/>
        <w:t>en</w:t>
      </w:r>
      <w:r>
        <w:rPr>
          <w:spacing w:val="-4"/>
        </w:rPr>
        <w:t> </w:t>
      </w:r>
      <w:r>
        <w:rPr/>
        <w:t>2022</w:t>
      </w:r>
      <w:r>
        <w:rPr>
          <w:spacing w:val="-5"/>
        </w:rPr>
        <w:t> </w:t>
      </w:r>
      <w:r>
        <w:rPr/>
        <w:t>(11.7%),</w:t>
      </w:r>
      <w:r>
        <w:rPr>
          <w:spacing w:val="-7"/>
        </w:rPr>
        <w:t> </w:t>
      </w:r>
      <w:r>
        <w:rPr/>
        <w:t>con</w:t>
      </w:r>
      <w:r>
        <w:rPr>
          <w:spacing w:val="-4"/>
        </w:rPr>
        <w:t> </w:t>
      </w:r>
      <w:r>
        <w:rPr/>
        <w:t>este</w:t>
      </w:r>
      <w:r>
        <w:rPr>
          <w:spacing w:val="-4"/>
        </w:rPr>
        <w:t> </w:t>
      </w:r>
      <w:r>
        <w:rPr/>
        <w:t>escenario</w:t>
      </w:r>
      <w:r>
        <w:rPr>
          <w:spacing w:val="-5"/>
        </w:rPr>
        <w:t> </w:t>
      </w:r>
      <w:r>
        <w:rPr/>
        <w:t>conservador</w:t>
      </w:r>
      <w:r>
        <w:rPr>
          <w:spacing w:val="-3"/>
        </w:rPr>
        <w:t> </w:t>
      </w:r>
      <w:r>
        <w:rPr/>
        <w:t>se</w:t>
      </w:r>
      <w:r>
        <w:rPr>
          <w:spacing w:val="-7"/>
        </w:rPr>
        <w:t> </w:t>
      </w:r>
      <w:r>
        <w:rPr/>
        <w:t>prevé</w:t>
      </w:r>
      <w:r>
        <w:rPr>
          <w:spacing w:val="-4"/>
        </w:rPr>
        <w:t> </w:t>
      </w:r>
      <w:r>
        <w:rPr/>
        <w:t>que</w:t>
      </w:r>
      <w:r>
        <w:rPr>
          <w:spacing w:val="-7"/>
        </w:rPr>
        <w:t> </w:t>
      </w:r>
      <w:r>
        <w:rPr/>
        <w:t>la</w:t>
      </w:r>
      <w:r>
        <w:rPr>
          <w:spacing w:val="-7"/>
        </w:rPr>
        <w:t> </w:t>
      </w:r>
      <w:r>
        <w:rPr/>
        <w:t>carga tributaria se mantenga en el mediano plazo situando la carga en 2027 en</w:t>
      </w:r>
      <w:r>
        <w:rPr>
          <w:spacing w:val="-11"/>
        </w:rPr>
        <w:t> </w:t>
      </w:r>
      <w:r>
        <w:rPr/>
        <w:t>11.6%.</w:t>
      </w:r>
    </w:p>
    <w:p>
      <w:pPr>
        <w:pStyle w:val="BodyText"/>
        <w:spacing w:before="3"/>
        <w:rPr>
          <w:sz w:val="25"/>
        </w:rPr>
      </w:pPr>
    </w:p>
    <w:p>
      <w:pPr>
        <w:pStyle w:val="BodyText"/>
        <w:spacing w:line="276" w:lineRule="auto"/>
        <w:ind w:left="562" w:right="1699"/>
        <w:jc w:val="both"/>
      </w:pPr>
      <w:r>
        <w:rPr/>
        <w:t>Es importante mencionar que el esfuerzo administrativo de SAT es clave para estabilizar la recaudación tributaria.</w:t>
      </w:r>
    </w:p>
    <w:p>
      <w:pPr>
        <w:pStyle w:val="BodyText"/>
        <w:spacing w:before="6"/>
        <w:rPr>
          <w:sz w:val="15"/>
        </w:rPr>
      </w:pPr>
    </w:p>
    <w:p>
      <w:pPr>
        <w:spacing w:before="92"/>
        <w:ind w:left="1395" w:right="2530" w:firstLine="0"/>
        <w:jc w:val="center"/>
        <w:rPr>
          <w:b/>
          <w:sz w:val="22"/>
        </w:rPr>
      </w:pPr>
      <w:bookmarkStart w:name="_bookmark211" w:id="272"/>
      <w:bookmarkEnd w:id="272"/>
      <w:r>
        <w:rPr/>
      </w:r>
      <w:r>
        <w:rPr>
          <w:b/>
          <w:i/>
          <w:sz w:val="20"/>
        </w:rPr>
        <w:t>Gráfico 104. </w:t>
      </w:r>
      <w:r>
        <w:rPr>
          <w:b/>
          <w:sz w:val="22"/>
        </w:rPr>
        <w:t>Carga tributaria 2019-2027</w:t>
      </w:r>
    </w:p>
    <w:p>
      <w:pPr>
        <w:spacing w:before="34"/>
        <w:ind w:left="1395" w:right="2529" w:firstLine="0"/>
        <w:jc w:val="center"/>
        <w:rPr>
          <w:sz w:val="18"/>
        </w:rPr>
      </w:pPr>
      <w:r>
        <w:rPr>
          <w:sz w:val="18"/>
        </w:rPr>
        <w:t>Porcentajes del PIB</w:t>
      </w:r>
    </w:p>
    <w:p>
      <w:pPr>
        <w:spacing w:before="138"/>
        <w:ind w:left="1499" w:right="0" w:firstLine="0"/>
        <w:jc w:val="left"/>
        <w:rPr>
          <w:sz w:val="18"/>
        </w:rPr>
      </w:pPr>
      <w:r>
        <w:rPr/>
        <w:pict>
          <v:group style="position:absolute;margin-left:162.839996pt;margin-top:12.402344pt;width:318pt;height:135.75pt;mso-position-horizontal-relative:page;mso-position-vertical-relative:paragraph;z-index:253179904" coordorigin="3257,248" coordsize="6360,2715">
            <v:shape style="position:absolute;left:3256;top:248;width:6360;height:2715" type="#_x0000_t75" stroked="false">
              <v:imagedata r:id="rId309" o:title=""/>
            </v:shape>
            <v:shape style="position:absolute;left:3552;top:480;width:5841;height:2004" type="#_x0000_t75" stroked="false">
              <v:imagedata r:id="rId310" o:title=""/>
            </v:shape>
            <v:shape style="position:absolute;left:3496;top:1654;width:303;height:303" type="#_x0000_t75" stroked="false">
              <v:imagedata r:id="rId311" o:title=""/>
            </v:shape>
            <v:shape style="position:absolute;left:4204;top:2242;width:303;height:303" type="#_x0000_t75" stroked="false">
              <v:imagedata r:id="rId311" o:title=""/>
            </v:shape>
            <v:shape style="position:absolute;left:4910;top:428;width:303;height:303" type="#_x0000_t75" stroked="false">
              <v:imagedata r:id="rId311" o:title=""/>
            </v:shape>
            <v:shape style="position:absolute;left:5618;top:828;width:303;height:303" type="#_x0000_t75" stroked="false">
              <v:imagedata r:id="rId311" o:title=""/>
            </v:shape>
            <v:shape style="position:absolute;left:6324;top:1179;width:303;height:303" type="#_x0000_t75" stroked="false">
              <v:imagedata r:id="rId311" o:title=""/>
            </v:shape>
            <v:shape style="position:absolute;left:7029;top:1150;width:303;height:303" type="#_x0000_t75" stroked="false">
              <v:imagedata r:id="rId311" o:title=""/>
            </v:shape>
            <v:shape style="position:absolute;left:7737;top:1150;width:303;height:303" type="#_x0000_t75" stroked="false">
              <v:imagedata r:id="rId311" o:title=""/>
            </v:shape>
            <v:shape style="position:absolute;left:8443;top:1140;width:303;height:303" type="#_x0000_t75" stroked="false">
              <v:imagedata r:id="rId311" o:title=""/>
            </v:shape>
            <v:shape style="position:absolute;left:9151;top:1131;width:303;height:303" type="#_x0000_t75" stroked="false">
              <v:imagedata r:id="rId311" o:title=""/>
            </v:shape>
            <v:shape style="position:absolute;left:3610;top:539;width:5652;height:1815" coordorigin="3611,540" coordsize="5652,1815" path="m3611,1766l4316,2354,5024,540,5730,940,6438,1291,7144,1264,7849,1264,8557,1255,9263,1245e" filled="false" stroked="true" strokeweight="1.8pt" strokecolor="#5b9bd4">
              <v:path arrowok="t"/>
              <v:stroke dashstyle="solid"/>
            </v:shape>
            <v:shape style="position:absolute;left:3535;top:1692;width:142;height:142" type="#_x0000_t75" stroked="false">
              <v:imagedata r:id="rId312" o:title=""/>
            </v:shape>
            <v:shape style="position:absolute;left:4243;top:2280;width:142;height:142" type="#_x0000_t75" stroked="false">
              <v:imagedata r:id="rId312" o:title=""/>
            </v:shape>
            <v:shape style="position:absolute;left:4948;top:466;width:142;height:142" type="#_x0000_t75" stroked="false">
              <v:imagedata r:id="rId312" o:title=""/>
            </v:shape>
            <v:shape style="position:absolute;left:5656;top:867;width:142;height:142" type="#_x0000_t75" stroked="false">
              <v:imagedata r:id="rId312" o:title=""/>
            </v:shape>
            <v:shape style="position:absolute;left:6362;top:1217;width:142;height:142" type="#_x0000_t75" stroked="false">
              <v:imagedata r:id="rId312" o:title=""/>
            </v:shape>
            <v:shape style="position:absolute;left:7068;top:1188;width:142;height:142" type="#_x0000_t75" stroked="false">
              <v:imagedata r:id="rId312" o:title=""/>
            </v:shape>
            <v:shape style="position:absolute;left:7776;top:1188;width:142;height:142" type="#_x0000_t75" stroked="false">
              <v:imagedata r:id="rId312" o:title=""/>
            </v:shape>
            <v:shape style="position:absolute;left:8481;top:1179;width:142;height:142" type="#_x0000_t75" stroked="false">
              <v:imagedata r:id="rId312" o:title=""/>
            </v:shape>
            <v:shape style="position:absolute;left:9189;top:1169;width:142;height:142" type="#_x0000_t75" stroked="false">
              <v:imagedata r:id="rId312" o:title=""/>
            </v:shape>
            <v:shape style="position:absolute;left:5024;top:538;width:4239;height:574" coordorigin="5024,539" coordsize="4239,574" path="m5024,540l5072,542,5134,541,5208,539,5290,539,5378,540,5469,545,5560,556,5648,574,5731,601,5790,631,5849,671,5907,720,5966,774,6025,830,6084,888,6143,944,6202,996,6261,1041,6319,1077,6378,1101,6437,1112,6496,1107,6555,1088,6614,1057,6673,1018,6732,972,6790,922,6849,870,6908,818,6967,770,7026,727,7085,693,7144,668,7222,649,7301,639,7379,636,7458,639,7536,646,7615,654,7693,662,7772,669,7850,671,7928,672,8007,672,8085,672,8164,672,8242,673,8321,673,8399,673,8478,673,8556,673,8635,673,8713,673,8792,672,8870,672,8949,672,9027,671,9106,671,9184,670,9263,670e" filled="false" stroked="true" strokeweight="1.56pt" strokecolor="#ff0000">
              <v:path arrowok="t"/>
              <v:stroke dashstyle="solid"/>
            </v:shape>
            <v:shape style="position:absolute;left:4958;top:476;width:130;height:130" type="#_x0000_t75" stroked="false">
              <v:imagedata r:id="rId313" o:title=""/>
            </v:shape>
            <v:shape style="position:absolute;left:5666;top:536;width:130;height:130" type="#_x0000_t75" stroked="false">
              <v:imagedata r:id="rId313" o:title=""/>
            </v:shape>
            <v:shape style="position:absolute;left:6372;top:1047;width:130;height:130" type="#_x0000_t75" stroked="false">
              <v:imagedata r:id="rId313" o:title=""/>
            </v:shape>
            <v:shape style="position:absolute;left:7077;top:603;width:130;height:130" type="#_x0000_t75" stroked="false">
              <v:imagedata r:id="rId313" o:title=""/>
            </v:shape>
            <v:shape style="position:absolute;left:7785;top:606;width:130;height:130" type="#_x0000_t75" stroked="false">
              <v:imagedata r:id="rId314" o:title=""/>
            </v:shape>
            <v:shape style="position:absolute;left:8491;top:608;width:130;height:130" type="#_x0000_t75" stroked="false">
              <v:imagedata r:id="rId313" o:title=""/>
            </v:shape>
            <v:shape style="position:absolute;left:9199;top:606;width:130;height:130" type="#_x0000_t75" stroked="false">
              <v:imagedata r:id="rId315" o:title=""/>
            </v:shape>
            <w10:wrap type="none"/>
          </v:group>
        </w:pict>
      </w:r>
      <w:r>
        <w:rPr/>
        <w:pict>
          <v:shape style="position:absolute;margin-left:162.479996pt;margin-top:12.042344pt;width:319.1pt;height:136.450pt;mso-position-horizontal-relative:page;mso-position-vertical-relative:paragraph;z-index:253182976" type="#_x0000_t202" filled="false" stroked="false">
            <v:textbox inset="0,0,0,0">
              <w:txbxContent>
                <w:tbl>
                  <w:tblPr>
                    <w:tblW w:w="0" w:type="auto"/>
                    <w:jc w:val="left"/>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353"/>
                    <w:gridCol w:w="355"/>
                    <w:gridCol w:w="353"/>
                    <w:gridCol w:w="353"/>
                    <w:gridCol w:w="353"/>
                    <w:gridCol w:w="353"/>
                    <w:gridCol w:w="355"/>
                    <w:gridCol w:w="353"/>
                    <w:gridCol w:w="353"/>
                    <w:gridCol w:w="353"/>
                    <w:gridCol w:w="353"/>
                    <w:gridCol w:w="355"/>
                    <w:gridCol w:w="353"/>
                    <w:gridCol w:w="353"/>
                    <w:gridCol w:w="353"/>
                    <w:gridCol w:w="355"/>
                    <w:gridCol w:w="353"/>
                    <w:gridCol w:w="353"/>
                  </w:tblGrid>
                  <w:tr>
                    <w:trPr>
                      <w:trHeight w:val="529" w:hRule="atLeast"/>
                    </w:trPr>
                    <w:tc>
                      <w:tcPr>
                        <w:tcW w:w="353" w:type="dxa"/>
                      </w:tcPr>
                      <w:p>
                        <w:pPr>
                          <w:pStyle w:val="TableParagraph"/>
                          <w:rPr>
                            <w:sz w:val="20"/>
                          </w:rPr>
                        </w:pPr>
                      </w:p>
                    </w:tc>
                    <w:tc>
                      <w:tcPr>
                        <w:tcW w:w="355"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3" w:type="dxa"/>
                      </w:tcPr>
                      <w:p>
                        <w:pPr>
                          <w:pStyle w:val="TableParagraph"/>
                          <w:spacing w:line="135" w:lineRule="exact"/>
                          <w:ind w:left="90" w:right="-44"/>
                          <w:rPr>
                            <w:b/>
                            <w:sz w:val="16"/>
                          </w:rPr>
                        </w:pPr>
                        <w:r>
                          <w:rPr>
                            <w:b/>
                            <w:color w:val="FF0000"/>
                            <w:sz w:val="16"/>
                          </w:rPr>
                          <w:t>11.7</w:t>
                        </w:r>
                      </w:p>
                    </w:tc>
                    <w:tc>
                      <w:tcPr>
                        <w:tcW w:w="353" w:type="dxa"/>
                      </w:tcPr>
                      <w:p>
                        <w:pPr>
                          <w:pStyle w:val="TableParagraph"/>
                          <w:spacing w:line="135" w:lineRule="exact"/>
                          <w:ind w:left="21"/>
                          <w:rPr>
                            <w:b/>
                            <w:sz w:val="16"/>
                          </w:rPr>
                        </w:pPr>
                        <w:r>
                          <w:rPr>
                            <w:b/>
                            <w:color w:val="FF0000"/>
                            <w:sz w:val="16"/>
                          </w:rPr>
                          <w:t>3%</w:t>
                        </w:r>
                      </w:p>
                    </w:tc>
                    <w:tc>
                      <w:tcPr>
                        <w:tcW w:w="355" w:type="dxa"/>
                      </w:tcPr>
                      <w:p>
                        <w:pPr>
                          <w:pStyle w:val="TableParagraph"/>
                          <w:spacing w:before="12"/>
                          <w:ind w:right="-44"/>
                          <w:jc w:val="right"/>
                          <w:rPr>
                            <w:b/>
                            <w:sz w:val="16"/>
                          </w:rPr>
                        </w:pPr>
                        <w:r>
                          <w:rPr>
                            <w:b/>
                            <w:color w:val="FF0000"/>
                            <w:sz w:val="16"/>
                          </w:rPr>
                          <w:t>11.6</w:t>
                        </w:r>
                      </w:p>
                    </w:tc>
                    <w:tc>
                      <w:tcPr>
                        <w:tcW w:w="353" w:type="dxa"/>
                      </w:tcPr>
                      <w:p>
                        <w:pPr>
                          <w:pStyle w:val="TableParagraph"/>
                          <w:spacing w:before="12"/>
                          <w:ind w:left="20"/>
                          <w:rPr>
                            <w:b/>
                            <w:sz w:val="16"/>
                          </w:rPr>
                        </w:pPr>
                        <w:r>
                          <w:rPr>
                            <w:b/>
                            <w:color w:val="FF0000"/>
                            <w:sz w:val="16"/>
                          </w:rPr>
                          <w:t>8%</w:t>
                        </w:r>
                      </w:p>
                    </w:tc>
                    <w:tc>
                      <w:tcPr>
                        <w:tcW w:w="353" w:type="dxa"/>
                      </w:tcPr>
                      <w:p>
                        <w:pPr>
                          <w:pStyle w:val="TableParagraph"/>
                          <w:rPr>
                            <w:sz w:val="20"/>
                          </w:rPr>
                        </w:pPr>
                      </w:p>
                    </w:tc>
                    <w:tc>
                      <w:tcPr>
                        <w:tcW w:w="353" w:type="dxa"/>
                      </w:tcPr>
                      <w:p>
                        <w:pPr>
                          <w:pStyle w:val="TableParagraph"/>
                          <w:rPr>
                            <w:sz w:val="20"/>
                          </w:rPr>
                        </w:pPr>
                      </w:p>
                    </w:tc>
                    <w:tc>
                      <w:tcPr>
                        <w:tcW w:w="353" w:type="dxa"/>
                      </w:tcPr>
                      <w:p>
                        <w:pPr>
                          <w:pStyle w:val="TableParagraph"/>
                          <w:spacing w:before="79"/>
                          <w:ind w:right="-44"/>
                          <w:jc w:val="right"/>
                          <w:rPr>
                            <w:b/>
                            <w:sz w:val="16"/>
                          </w:rPr>
                        </w:pPr>
                        <w:r>
                          <w:rPr>
                            <w:b/>
                            <w:color w:val="FF0000"/>
                            <w:sz w:val="16"/>
                          </w:rPr>
                          <w:t>11.6</w:t>
                        </w:r>
                      </w:p>
                    </w:tc>
                    <w:tc>
                      <w:tcPr>
                        <w:tcW w:w="355" w:type="dxa"/>
                      </w:tcPr>
                      <w:p>
                        <w:pPr>
                          <w:pStyle w:val="TableParagraph"/>
                          <w:spacing w:before="79"/>
                          <w:ind w:left="4" w:right="56"/>
                          <w:jc w:val="center"/>
                          <w:rPr>
                            <w:b/>
                            <w:sz w:val="16"/>
                          </w:rPr>
                        </w:pPr>
                        <w:r>
                          <w:rPr>
                            <w:b/>
                            <w:color w:val="FF0000"/>
                            <w:sz w:val="16"/>
                          </w:rPr>
                          <w:t>1%</w:t>
                        </w:r>
                      </w:p>
                    </w:tc>
                    <w:tc>
                      <w:tcPr>
                        <w:tcW w:w="353" w:type="dxa"/>
                      </w:tcPr>
                      <w:p>
                        <w:pPr>
                          <w:pStyle w:val="TableParagraph"/>
                          <w:spacing w:before="82"/>
                          <w:ind w:right="-44"/>
                          <w:jc w:val="right"/>
                          <w:rPr>
                            <w:b/>
                            <w:sz w:val="16"/>
                          </w:rPr>
                        </w:pPr>
                        <w:r>
                          <w:rPr>
                            <w:b/>
                            <w:color w:val="FF0000"/>
                            <w:sz w:val="16"/>
                          </w:rPr>
                          <w:t>11.6</w:t>
                        </w:r>
                      </w:p>
                    </w:tc>
                    <w:tc>
                      <w:tcPr>
                        <w:tcW w:w="353" w:type="dxa"/>
                      </w:tcPr>
                      <w:p>
                        <w:pPr>
                          <w:pStyle w:val="TableParagraph"/>
                          <w:spacing w:before="82"/>
                          <w:ind w:left="21"/>
                          <w:rPr>
                            <w:b/>
                            <w:sz w:val="16"/>
                          </w:rPr>
                        </w:pPr>
                        <w:r>
                          <w:rPr>
                            <w:b/>
                            <w:color w:val="FF0000"/>
                            <w:sz w:val="16"/>
                          </w:rPr>
                          <w:t>1%</w:t>
                        </w:r>
                      </w:p>
                    </w:tc>
                    <w:tc>
                      <w:tcPr>
                        <w:tcW w:w="353" w:type="dxa"/>
                      </w:tcPr>
                      <w:p>
                        <w:pPr>
                          <w:pStyle w:val="TableParagraph"/>
                          <w:spacing w:before="83"/>
                          <w:ind w:right="-44"/>
                          <w:jc w:val="right"/>
                          <w:rPr>
                            <w:b/>
                            <w:sz w:val="16"/>
                          </w:rPr>
                        </w:pPr>
                        <w:r>
                          <w:rPr>
                            <w:b/>
                            <w:color w:val="FF0000"/>
                            <w:sz w:val="16"/>
                          </w:rPr>
                          <w:t>11.6</w:t>
                        </w:r>
                      </w:p>
                    </w:tc>
                    <w:tc>
                      <w:tcPr>
                        <w:tcW w:w="355" w:type="dxa"/>
                      </w:tcPr>
                      <w:p>
                        <w:pPr>
                          <w:pStyle w:val="TableParagraph"/>
                          <w:spacing w:before="83"/>
                          <w:ind w:left="21"/>
                          <w:rPr>
                            <w:b/>
                            <w:sz w:val="16"/>
                          </w:rPr>
                        </w:pPr>
                        <w:r>
                          <w:rPr>
                            <w:b/>
                            <w:color w:val="FF0000"/>
                            <w:sz w:val="16"/>
                          </w:rPr>
                          <w:t>1%</w:t>
                        </w:r>
                      </w:p>
                    </w:tc>
                    <w:tc>
                      <w:tcPr>
                        <w:tcW w:w="353" w:type="dxa"/>
                      </w:tcPr>
                      <w:p>
                        <w:pPr>
                          <w:pStyle w:val="TableParagraph"/>
                          <w:spacing w:before="81"/>
                          <w:ind w:right="-44"/>
                          <w:jc w:val="right"/>
                          <w:rPr>
                            <w:b/>
                            <w:sz w:val="16"/>
                          </w:rPr>
                        </w:pPr>
                        <w:r>
                          <w:rPr>
                            <w:b/>
                            <w:color w:val="FF0000"/>
                            <w:sz w:val="16"/>
                          </w:rPr>
                          <w:t>11.6</w:t>
                        </w:r>
                      </w:p>
                    </w:tc>
                    <w:tc>
                      <w:tcPr>
                        <w:tcW w:w="353" w:type="dxa"/>
                      </w:tcPr>
                      <w:p>
                        <w:pPr>
                          <w:pStyle w:val="TableParagraph"/>
                          <w:spacing w:before="81"/>
                          <w:ind w:left="20"/>
                          <w:rPr>
                            <w:b/>
                            <w:sz w:val="16"/>
                          </w:rPr>
                        </w:pPr>
                        <w:r>
                          <w:rPr>
                            <w:b/>
                            <w:color w:val="FF0000"/>
                            <w:sz w:val="16"/>
                          </w:rPr>
                          <w:t>1%</w:t>
                        </w:r>
                      </w:p>
                    </w:tc>
                  </w:tr>
                  <w:tr>
                    <w:trPr>
                      <w:trHeight w:val="527" w:hRule="atLeast"/>
                    </w:trPr>
                    <w:tc>
                      <w:tcPr>
                        <w:tcW w:w="353" w:type="dxa"/>
                      </w:tcPr>
                      <w:p>
                        <w:pPr>
                          <w:pStyle w:val="TableParagraph"/>
                          <w:rPr>
                            <w:sz w:val="20"/>
                          </w:rPr>
                        </w:pPr>
                      </w:p>
                    </w:tc>
                    <w:tc>
                      <w:tcPr>
                        <w:tcW w:w="355"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5" w:type="dxa"/>
                      </w:tcPr>
                      <w:p>
                        <w:pPr>
                          <w:pStyle w:val="TableParagraph"/>
                          <w:spacing w:before="3"/>
                          <w:rPr>
                            <w:sz w:val="25"/>
                          </w:rPr>
                        </w:pPr>
                      </w:p>
                      <w:p>
                        <w:pPr>
                          <w:pStyle w:val="TableParagraph"/>
                          <w:ind w:right="-44"/>
                          <w:jc w:val="right"/>
                          <w:rPr>
                            <w:b/>
                            <w:sz w:val="16"/>
                          </w:rPr>
                        </w:pPr>
                        <w:r>
                          <w:rPr>
                            <w:b/>
                            <w:color w:val="006FC0"/>
                            <w:sz w:val="16"/>
                          </w:rPr>
                          <w:t>11.3</w:t>
                        </w:r>
                      </w:p>
                    </w:tc>
                    <w:tc>
                      <w:tcPr>
                        <w:tcW w:w="353" w:type="dxa"/>
                      </w:tcPr>
                      <w:p>
                        <w:pPr>
                          <w:pStyle w:val="TableParagraph"/>
                          <w:spacing w:before="3"/>
                          <w:rPr>
                            <w:sz w:val="25"/>
                          </w:rPr>
                        </w:pPr>
                      </w:p>
                      <w:p>
                        <w:pPr>
                          <w:pStyle w:val="TableParagraph"/>
                          <w:ind w:left="20"/>
                          <w:rPr>
                            <w:b/>
                            <w:sz w:val="16"/>
                          </w:rPr>
                        </w:pPr>
                        <w:r>
                          <w:rPr>
                            <w:b/>
                            <w:color w:val="006FC0"/>
                            <w:sz w:val="16"/>
                          </w:rPr>
                          <w:t>6%</w:t>
                        </w:r>
                      </w:p>
                    </w:tc>
                    <w:tc>
                      <w:tcPr>
                        <w:tcW w:w="353" w:type="dxa"/>
                      </w:tcPr>
                      <w:p>
                        <w:pPr>
                          <w:pStyle w:val="TableParagraph"/>
                          <w:spacing w:line="162" w:lineRule="exact"/>
                          <w:ind w:right="-44"/>
                          <w:jc w:val="right"/>
                          <w:rPr>
                            <w:b/>
                            <w:sz w:val="16"/>
                          </w:rPr>
                        </w:pPr>
                        <w:r>
                          <w:rPr>
                            <w:b/>
                            <w:color w:val="FF0000"/>
                            <w:sz w:val="16"/>
                          </w:rPr>
                          <w:t>11.2</w:t>
                        </w:r>
                      </w:p>
                    </w:tc>
                    <w:tc>
                      <w:tcPr>
                        <w:tcW w:w="353" w:type="dxa"/>
                      </w:tcPr>
                      <w:p>
                        <w:pPr>
                          <w:pStyle w:val="TableParagraph"/>
                          <w:spacing w:line="162" w:lineRule="exact"/>
                          <w:ind w:left="4" w:right="54"/>
                          <w:jc w:val="center"/>
                          <w:rPr>
                            <w:b/>
                            <w:sz w:val="16"/>
                          </w:rPr>
                        </w:pPr>
                        <w:r>
                          <w:rPr>
                            <w:b/>
                            <w:color w:val="FF0000"/>
                            <w:sz w:val="16"/>
                          </w:rPr>
                          <w:t>0%</w:t>
                        </w:r>
                      </w:p>
                    </w:tc>
                    <w:tc>
                      <w:tcPr>
                        <w:tcW w:w="353" w:type="dxa"/>
                      </w:tcPr>
                      <w:p>
                        <w:pPr>
                          <w:pStyle w:val="TableParagraph"/>
                          <w:rPr>
                            <w:sz w:val="20"/>
                          </w:rPr>
                        </w:pPr>
                      </w:p>
                    </w:tc>
                    <w:tc>
                      <w:tcPr>
                        <w:tcW w:w="355"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5"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r>
                  <w:tr>
                    <w:trPr>
                      <w:trHeight w:val="527" w:hRule="atLeast"/>
                    </w:trPr>
                    <w:tc>
                      <w:tcPr>
                        <w:tcW w:w="353" w:type="dxa"/>
                      </w:tcPr>
                      <w:p>
                        <w:pPr>
                          <w:pStyle w:val="TableParagraph"/>
                          <w:rPr>
                            <w:sz w:val="20"/>
                          </w:rPr>
                        </w:pPr>
                      </w:p>
                    </w:tc>
                    <w:tc>
                      <w:tcPr>
                        <w:tcW w:w="355"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5" w:type="dxa"/>
                      </w:tcPr>
                      <w:p>
                        <w:pPr>
                          <w:pStyle w:val="TableParagraph"/>
                          <w:rPr>
                            <w:sz w:val="20"/>
                          </w:rPr>
                        </w:pPr>
                      </w:p>
                    </w:tc>
                    <w:tc>
                      <w:tcPr>
                        <w:tcW w:w="353" w:type="dxa"/>
                      </w:tcPr>
                      <w:p>
                        <w:pPr>
                          <w:pStyle w:val="TableParagraph"/>
                          <w:rPr>
                            <w:sz w:val="20"/>
                          </w:rPr>
                        </w:pPr>
                      </w:p>
                    </w:tc>
                    <w:tc>
                      <w:tcPr>
                        <w:tcW w:w="353" w:type="dxa"/>
                      </w:tcPr>
                      <w:p>
                        <w:pPr>
                          <w:pStyle w:val="TableParagraph"/>
                          <w:spacing w:before="99"/>
                          <w:ind w:right="-44"/>
                          <w:jc w:val="right"/>
                          <w:rPr>
                            <w:b/>
                            <w:sz w:val="16"/>
                          </w:rPr>
                        </w:pPr>
                        <w:r>
                          <w:rPr>
                            <w:b/>
                            <w:color w:val="006FC0"/>
                            <w:sz w:val="16"/>
                          </w:rPr>
                          <w:t>11.0</w:t>
                        </w:r>
                      </w:p>
                    </w:tc>
                    <w:tc>
                      <w:tcPr>
                        <w:tcW w:w="353" w:type="dxa"/>
                      </w:tcPr>
                      <w:p>
                        <w:pPr>
                          <w:pStyle w:val="TableParagraph"/>
                          <w:spacing w:before="99"/>
                          <w:ind w:left="4" w:right="54"/>
                          <w:jc w:val="center"/>
                          <w:rPr>
                            <w:b/>
                            <w:sz w:val="16"/>
                          </w:rPr>
                        </w:pPr>
                        <w:r>
                          <w:rPr>
                            <w:b/>
                            <w:color w:val="006FC0"/>
                            <w:sz w:val="16"/>
                          </w:rPr>
                          <w:t>4%</w:t>
                        </w:r>
                      </w:p>
                    </w:tc>
                    <w:tc>
                      <w:tcPr>
                        <w:tcW w:w="353" w:type="dxa"/>
                      </w:tcPr>
                      <w:p>
                        <w:pPr>
                          <w:pStyle w:val="TableParagraph"/>
                          <w:spacing w:before="71"/>
                          <w:ind w:right="-44"/>
                          <w:jc w:val="right"/>
                          <w:rPr>
                            <w:b/>
                            <w:sz w:val="16"/>
                          </w:rPr>
                        </w:pPr>
                        <w:r>
                          <w:rPr>
                            <w:b/>
                            <w:color w:val="006FC0"/>
                            <w:sz w:val="16"/>
                          </w:rPr>
                          <w:t>11.0</w:t>
                        </w:r>
                      </w:p>
                    </w:tc>
                    <w:tc>
                      <w:tcPr>
                        <w:tcW w:w="355" w:type="dxa"/>
                      </w:tcPr>
                      <w:p>
                        <w:pPr>
                          <w:pStyle w:val="TableParagraph"/>
                          <w:spacing w:before="71"/>
                          <w:ind w:left="4" w:right="56"/>
                          <w:jc w:val="center"/>
                          <w:rPr>
                            <w:b/>
                            <w:sz w:val="16"/>
                          </w:rPr>
                        </w:pPr>
                        <w:r>
                          <w:rPr>
                            <w:b/>
                            <w:color w:val="006FC0"/>
                            <w:sz w:val="16"/>
                          </w:rPr>
                          <w:t>6%</w:t>
                        </w:r>
                      </w:p>
                    </w:tc>
                    <w:tc>
                      <w:tcPr>
                        <w:tcW w:w="353" w:type="dxa"/>
                      </w:tcPr>
                      <w:p>
                        <w:pPr>
                          <w:pStyle w:val="TableParagraph"/>
                          <w:spacing w:before="71"/>
                          <w:ind w:right="-44"/>
                          <w:jc w:val="right"/>
                          <w:rPr>
                            <w:b/>
                            <w:sz w:val="16"/>
                          </w:rPr>
                        </w:pPr>
                        <w:r>
                          <w:rPr>
                            <w:b/>
                            <w:color w:val="006FC0"/>
                            <w:sz w:val="16"/>
                          </w:rPr>
                          <w:t>11.0</w:t>
                        </w:r>
                      </w:p>
                    </w:tc>
                    <w:tc>
                      <w:tcPr>
                        <w:tcW w:w="353" w:type="dxa"/>
                      </w:tcPr>
                      <w:p>
                        <w:pPr>
                          <w:pStyle w:val="TableParagraph"/>
                          <w:spacing w:before="71"/>
                          <w:ind w:left="21"/>
                          <w:rPr>
                            <w:b/>
                            <w:sz w:val="16"/>
                          </w:rPr>
                        </w:pPr>
                        <w:r>
                          <w:rPr>
                            <w:b/>
                            <w:color w:val="006FC0"/>
                            <w:sz w:val="16"/>
                          </w:rPr>
                          <w:t>6%</w:t>
                        </w:r>
                      </w:p>
                    </w:tc>
                    <w:tc>
                      <w:tcPr>
                        <w:tcW w:w="353" w:type="dxa"/>
                      </w:tcPr>
                      <w:p>
                        <w:pPr>
                          <w:pStyle w:val="TableParagraph"/>
                          <w:spacing w:before="61"/>
                          <w:ind w:right="-44"/>
                          <w:jc w:val="right"/>
                          <w:rPr>
                            <w:b/>
                            <w:sz w:val="16"/>
                          </w:rPr>
                        </w:pPr>
                        <w:r>
                          <w:rPr>
                            <w:b/>
                            <w:color w:val="006FC0"/>
                            <w:sz w:val="16"/>
                          </w:rPr>
                          <w:t>11.0</w:t>
                        </w:r>
                      </w:p>
                    </w:tc>
                    <w:tc>
                      <w:tcPr>
                        <w:tcW w:w="355" w:type="dxa"/>
                      </w:tcPr>
                      <w:p>
                        <w:pPr>
                          <w:pStyle w:val="TableParagraph"/>
                          <w:spacing w:before="61"/>
                          <w:ind w:left="21"/>
                          <w:rPr>
                            <w:b/>
                            <w:sz w:val="16"/>
                          </w:rPr>
                        </w:pPr>
                        <w:r>
                          <w:rPr>
                            <w:b/>
                            <w:color w:val="006FC0"/>
                            <w:sz w:val="16"/>
                          </w:rPr>
                          <w:t>7%</w:t>
                        </w:r>
                      </w:p>
                    </w:tc>
                    <w:tc>
                      <w:tcPr>
                        <w:tcW w:w="353" w:type="dxa"/>
                      </w:tcPr>
                      <w:p>
                        <w:pPr>
                          <w:pStyle w:val="TableParagraph"/>
                          <w:spacing w:before="51"/>
                          <w:ind w:right="-44"/>
                          <w:jc w:val="right"/>
                          <w:rPr>
                            <w:b/>
                            <w:sz w:val="16"/>
                          </w:rPr>
                        </w:pPr>
                        <w:r>
                          <w:rPr>
                            <w:b/>
                            <w:color w:val="006FC0"/>
                            <w:sz w:val="16"/>
                          </w:rPr>
                          <w:t>11.0</w:t>
                        </w:r>
                      </w:p>
                    </w:tc>
                    <w:tc>
                      <w:tcPr>
                        <w:tcW w:w="353" w:type="dxa"/>
                      </w:tcPr>
                      <w:p>
                        <w:pPr>
                          <w:pStyle w:val="TableParagraph"/>
                          <w:spacing w:before="51"/>
                          <w:ind w:left="20"/>
                          <w:rPr>
                            <w:b/>
                            <w:sz w:val="16"/>
                          </w:rPr>
                        </w:pPr>
                        <w:r>
                          <w:rPr>
                            <w:b/>
                            <w:color w:val="006FC0"/>
                            <w:sz w:val="16"/>
                          </w:rPr>
                          <w:t>8%</w:t>
                        </w:r>
                      </w:p>
                    </w:tc>
                  </w:tr>
                  <w:tr>
                    <w:trPr>
                      <w:trHeight w:val="527" w:hRule="atLeast"/>
                    </w:trPr>
                    <w:tc>
                      <w:tcPr>
                        <w:tcW w:w="353" w:type="dxa"/>
                      </w:tcPr>
                      <w:p>
                        <w:pPr>
                          <w:pStyle w:val="TableParagraph"/>
                          <w:rPr>
                            <w:sz w:val="20"/>
                          </w:rPr>
                        </w:pPr>
                      </w:p>
                    </w:tc>
                    <w:tc>
                      <w:tcPr>
                        <w:tcW w:w="355"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5"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5"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5"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r>
                  <w:tr>
                    <w:trPr>
                      <w:trHeight w:val="527" w:hRule="atLeast"/>
                    </w:trPr>
                    <w:tc>
                      <w:tcPr>
                        <w:tcW w:w="353" w:type="dxa"/>
                      </w:tcPr>
                      <w:p>
                        <w:pPr>
                          <w:pStyle w:val="TableParagraph"/>
                          <w:rPr>
                            <w:sz w:val="20"/>
                          </w:rPr>
                        </w:pPr>
                      </w:p>
                    </w:tc>
                    <w:tc>
                      <w:tcPr>
                        <w:tcW w:w="355"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5"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5"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c>
                      <w:tcPr>
                        <w:tcW w:w="355" w:type="dxa"/>
                      </w:tcPr>
                      <w:p>
                        <w:pPr>
                          <w:pStyle w:val="TableParagraph"/>
                          <w:rPr>
                            <w:sz w:val="20"/>
                          </w:rPr>
                        </w:pPr>
                      </w:p>
                    </w:tc>
                    <w:tc>
                      <w:tcPr>
                        <w:tcW w:w="353" w:type="dxa"/>
                      </w:tcPr>
                      <w:p>
                        <w:pPr>
                          <w:pStyle w:val="TableParagraph"/>
                          <w:rPr>
                            <w:sz w:val="20"/>
                          </w:rPr>
                        </w:pPr>
                      </w:p>
                    </w:tc>
                    <w:tc>
                      <w:tcPr>
                        <w:tcW w:w="353" w:type="dxa"/>
                      </w:tcPr>
                      <w:p>
                        <w:pPr>
                          <w:pStyle w:val="TableParagraph"/>
                          <w:rPr>
                            <w:sz w:val="20"/>
                          </w:rPr>
                        </w:pPr>
                      </w:p>
                    </w:tc>
                  </w:tr>
                </w:tbl>
                <w:p>
                  <w:pPr>
                    <w:pStyle w:val="BodyText"/>
                  </w:pPr>
                </w:p>
              </w:txbxContent>
            </v:textbox>
            <w10:wrap type="none"/>
          </v:shape>
        </w:pict>
      </w:r>
      <w:r>
        <w:rPr>
          <w:color w:val="585858"/>
          <w:sz w:val="18"/>
        </w:rPr>
        <w:t>12.0%</w:t>
      </w:r>
    </w:p>
    <w:p>
      <w:pPr>
        <w:pStyle w:val="BodyText"/>
        <w:spacing w:before="2"/>
        <w:rPr>
          <w:sz w:val="29"/>
        </w:rPr>
      </w:pPr>
    </w:p>
    <w:p>
      <w:pPr>
        <w:spacing w:before="0"/>
        <w:ind w:left="1499" w:right="0" w:firstLine="0"/>
        <w:jc w:val="left"/>
        <w:rPr>
          <w:sz w:val="18"/>
        </w:rPr>
      </w:pPr>
      <w:r>
        <w:rPr>
          <w:color w:val="585858"/>
          <w:sz w:val="18"/>
        </w:rPr>
        <w:t>11.5%</w:t>
      </w:r>
    </w:p>
    <w:p>
      <w:pPr>
        <w:pStyle w:val="BodyText"/>
        <w:spacing w:before="3"/>
        <w:rPr>
          <w:sz w:val="29"/>
        </w:rPr>
      </w:pPr>
    </w:p>
    <w:p>
      <w:pPr>
        <w:spacing w:before="0"/>
        <w:ind w:left="1499" w:right="0" w:firstLine="0"/>
        <w:jc w:val="left"/>
        <w:rPr>
          <w:sz w:val="18"/>
        </w:rPr>
      </w:pPr>
      <w:r>
        <w:rPr>
          <w:color w:val="585858"/>
          <w:sz w:val="18"/>
        </w:rPr>
        <w:t>11.0%</w:t>
      </w:r>
    </w:p>
    <w:p>
      <w:pPr>
        <w:pStyle w:val="BodyText"/>
        <w:spacing w:before="2"/>
        <w:rPr>
          <w:sz w:val="29"/>
        </w:rPr>
      </w:pPr>
    </w:p>
    <w:p>
      <w:pPr>
        <w:spacing w:before="0"/>
        <w:ind w:left="1499" w:right="0" w:firstLine="0"/>
        <w:jc w:val="left"/>
        <w:rPr>
          <w:sz w:val="18"/>
        </w:rPr>
      </w:pPr>
      <w:r>
        <w:rPr>
          <w:color w:val="585858"/>
          <w:sz w:val="18"/>
        </w:rPr>
        <w:t>10.5%</w:t>
      </w:r>
    </w:p>
    <w:p>
      <w:pPr>
        <w:pStyle w:val="BodyText"/>
        <w:spacing w:before="2"/>
        <w:rPr>
          <w:sz w:val="29"/>
        </w:rPr>
      </w:pPr>
    </w:p>
    <w:p>
      <w:pPr>
        <w:spacing w:before="0"/>
        <w:ind w:left="1499" w:right="0" w:firstLine="0"/>
        <w:jc w:val="left"/>
        <w:rPr>
          <w:sz w:val="18"/>
        </w:rPr>
      </w:pPr>
      <w:r>
        <w:rPr>
          <w:color w:val="585858"/>
          <w:sz w:val="18"/>
        </w:rPr>
        <w:t>10.0%</w:t>
      </w:r>
    </w:p>
    <w:p>
      <w:pPr>
        <w:pStyle w:val="BodyText"/>
        <w:spacing w:before="2"/>
        <w:rPr>
          <w:sz w:val="21"/>
        </w:rPr>
      </w:pPr>
    </w:p>
    <w:p>
      <w:pPr>
        <w:spacing w:after="0"/>
        <w:rPr>
          <w:sz w:val="21"/>
        </w:rPr>
        <w:sectPr>
          <w:pgSz w:w="12240" w:h="15840"/>
          <w:pgMar w:header="715" w:footer="688" w:top="1240" w:bottom="880" w:left="1140" w:right="0"/>
        </w:sectPr>
      </w:pPr>
    </w:p>
    <w:p>
      <w:pPr>
        <w:spacing w:before="93"/>
        <w:ind w:left="0" w:right="0" w:firstLine="0"/>
        <w:jc w:val="right"/>
        <w:rPr>
          <w:sz w:val="18"/>
        </w:rPr>
      </w:pPr>
      <w:r>
        <w:rPr>
          <w:color w:val="585858"/>
          <w:sz w:val="18"/>
        </w:rPr>
        <w:t>9.5%</w:t>
      </w:r>
    </w:p>
    <w:p>
      <w:pPr>
        <w:pStyle w:val="BodyText"/>
        <w:spacing w:before="5"/>
        <w:rPr>
          <w:sz w:val="26"/>
        </w:rPr>
      </w:pPr>
      <w:r>
        <w:rPr/>
        <w:br w:type="column"/>
      </w:r>
      <w:r>
        <w:rPr>
          <w:sz w:val="26"/>
        </w:rPr>
      </w:r>
    </w:p>
    <w:p>
      <w:pPr>
        <w:spacing w:before="0"/>
        <w:ind w:left="285" w:right="0" w:firstLine="0"/>
        <w:jc w:val="left"/>
        <w:rPr>
          <w:b/>
          <w:sz w:val="18"/>
        </w:rPr>
      </w:pPr>
      <w:r>
        <w:rPr>
          <w:b/>
          <w:color w:val="585858"/>
          <w:sz w:val="18"/>
        </w:rPr>
        <w:t>2019</w:t>
      </w:r>
    </w:p>
    <w:p>
      <w:pPr>
        <w:pStyle w:val="BodyText"/>
        <w:spacing w:before="5"/>
        <w:rPr>
          <w:b/>
          <w:sz w:val="26"/>
        </w:rPr>
      </w:pPr>
      <w:r>
        <w:rPr/>
        <w:br w:type="column"/>
      </w:r>
      <w:r>
        <w:rPr>
          <w:b/>
          <w:sz w:val="26"/>
        </w:rPr>
      </w:r>
    </w:p>
    <w:p>
      <w:pPr>
        <w:spacing w:before="0"/>
        <w:ind w:left="305" w:right="0" w:firstLine="0"/>
        <w:jc w:val="left"/>
        <w:rPr>
          <w:b/>
          <w:sz w:val="18"/>
        </w:rPr>
      </w:pPr>
      <w:r>
        <w:rPr>
          <w:b/>
          <w:color w:val="585858"/>
          <w:sz w:val="18"/>
        </w:rPr>
        <w:t>2020</w:t>
      </w:r>
    </w:p>
    <w:p>
      <w:pPr>
        <w:pStyle w:val="BodyText"/>
        <w:spacing w:before="5"/>
        <w:rPr>
          <w:b/>
          <w:sz w:val="26"/>
        </w:rPr>
      </w:pPr>
      <w:r>
        <w:rPr/>
        <w:br w:type="column"/>
      </w:r>
      <w:r>
        <w:rPr>
          <w:b/>
          <w:sz w:val="26"/>
        </w:rPr>
      </w:r>
    </w:p>
    <w:p>
      <w:pPr>
        <w:spacing w:before="0"/>
        <w:ind w:left="306" w:right="0" w:firstLine="0"/>
        <w:jc w:val="left"/>
        <w:rPr>
          <w:b/>
          <w:sz w:val="18"/>
        </w:rPr>
      </w:pPr>
      <w:r>
        <w:rPr>
          <w:b/>
          <w:color w:val="585858"/>
          <w:sz w:val="18"/>
        </w:rPr>
        <w:t>2021</w:t>
      </w:r>
    </w:p>
    <w:p>
      <w:pPr>
        <w:pStyle w:val="BodyText"/>
        <w:spacing w:before="5"/>
        <w:rPr>
          <w:b/>
          <w:sz w:val="26"/>
        </w:rPr>
      </w:pPr>
      <w:r>
        <w:rPr/>
        <w:br w:type="column"/>
      </w:r>
      <w:r>
        <w:rPr>
          <w:b/>
          <w:sz w:val="26"/>
        </w:rPr>
      </w:r>
    </w:p>
    <w:p>
      <w:pPr>
        <w:spacing w:before="0"/>
        <w:ind w:left="305" w:right="0" w:firstLine="0"/>
        <w:jc w:val="left"/>
        <w:rPr>
          <w:b/>
          <w:sz w:val="18"/>
        </w:rPr>
      </w:pPr>
      <w:r>
        <w:rPr>
          <w:b/>
          <w:color w:val="585858"/>
          <w:sz w:val="18"/>
        </w:rPr>
        <w:t>2022</w:t>
      </w:r>
    </w:p>
    <w:p>
      <w:pPr>
        <w:pStyle w:val="BodyText"/>
        <w:spacing w:before="5"/>
        <w:rPr>
          <w:b/>
          <w:sz w:val="26"/>
        </w:rPr>
      </w:pPr>
      <w:r>
        <w:rPr/>
        <w:br w:type="column"/>
      </w:r>
      <w:r>
        <w:rPr>
          <w:b/>
          <w:sz w:val="26"/>
        </w:rPr>
      </w:r>
    </w:p>
    <w:p>
      <w:pPr>
        <w:spacing w:before="0"/>
        <w:ind w:left="306" w:right="0" w:firstLine="0"/>
        <w:jc w:val="left"/>
        <w:rPr>
          <w:b/>
          <w:sz w:val="18"/>
        </w:rPr>
      </w:pPr>
      <w:r>
        <w:rPr>
          <w:b/>
          <w:color w:val="585858"/>
          <w:sz w:val="18"/>
        </w:rPr>
        <w:t>2023</w:t>
      </w:r>
    </w:p>
    <w:p>
      <w:pPr>
        <w:pStyle w:val="BodyText"/>
        <w:spacing w:before="5"/>
        <w:rPr>
          <w:b/>
          <w:sz w:val="26"/>
        </w:rPr>
      </w:pPr>
      <w:r>
        <w:rPr/>
        <w:br w:type="column"/>
      </w:r>
      <w:r>
        <w:rPr>
          <w:b/>
          <w:sz w:val="26"/>
        </w:rPr>
      </w:r>
    </w:p>
    <w:p>
      <w:pPr>
        <w:spacing w:before="0"/>
        <w:ind w:left="305" w:right="0" w:firstLine="0"/>
        <w:jc w:val="left"/>
        <w:rPr>
          <w:b/>
          <w:sz w:val="18"/>
        </w:rPr>
      </w:pPr>
      <w:r>
        <w:rPr>
          <w:b/>
          <w:color w:val="585858"/>
          <w:sz w:val="18"/>
        </w:rPr>
        <w:t>2024</w:t>
      </w:r>
    </w:p>
    <w:p>
      <w:pPr>
        <w:pStyle w:val="BodyText"/>
        <w:spacing w:before="5"/>
        <w:rPr>
          <w:b/>
          <w:sz w:val="26"/>
        </w:rPr>
      </w:pPr>
      <w:r>
        <w:rPr/>
        <w:br w:type="column"/>
      </w:r>
      <w:r>
        <w:rPr>
          <w:b/>
          <w:sz w:val="26"/>
        </w:rPr>
      </w:r>
    </w:p>
    <w:p>
      <w:pPr>
        <w:spacing w:before="0"/>
        <w:ind w:left="306" w:right="0" w:firstLine="0"/>
        <w:jc w:val="left"/>
        <w:rPr>
          <w:b/>
          <w:sz w:val="18"/>
        </w:rPr>
      </w:pPr>
      <w:r>
        <w:rPr>
          <w:b/>
          <w:color w:val="585858"/>
          <w:sz w:val="18"/>
        </w:rPr>
        <w:t>2025</w:t>
      </w:r>
    </w:p>
    <w:p>
      <w:pPr>
        <w:pStyle w:val="BodyText"/>
        <w:spacing w:before="5"/>
        <w:rPr>
          <w:b/>
          <w:sz w:val="26"/>
        </w:rPr>
      </w:pPr>
      <w:r>
        <w:rPr/>
        <w:br w:type="column"/>
      </w:r>
      <w:r>
        <w:rPr>
          <w:b/>
          <w:sz w:val="26"/>
        </w:rPr>
      </w:r>
    </w:p>
    <w:p>
      <w:pPr>
        <w:spacing w:before="0"/>
        <w:ind w:left="305" w:right="0" w:firstLine="0"/>
        <w:jc w:val="left"/>
        <w:rPr>
          <w:b/>
          <w:sz w:val="18"/>
        </w:rPr>
      </w:pPr>
      <w:r>
        <w:rPr>
          <w:b/>
          <w:color w:val="585858"/>
          <w:sz w:val="18"/>
        </w:rPr>
        <w:t>2026</w:t>
      </w:r>
    </w:p>
    <w:p>
      <w:pPr>
        <w:pStyle w:val="BodyText"/>
        <w:spacing w:before="5"/>
        <w:rPr>
          <w:b/>
          <w:sz w:val="26"/>
        </w:rPr>
      </w:pPr>
      <w:r>
        <w:rPr/>
        <w:br w:type="column"/>
      </w:r>
      <w:r>
        <w:rPr>
          <w:b/>
          <w:sz w:val="26"/>
        </w:rPr>
      </w:r>
    </w:p>
    <w:p>
      <w:pPr>
        <w:spacing w:before="0"/>
        <w:ind w:left="305" w:right="0" w:firstLine="0"/>
        <w:jc w:val="left"/>
        <w:rPr>
          <w:b/>
          <w:sz w:val="18"/>
        </w:rPr>
      </w:pPr>
      <w:r>
        <w:rPr>
          <w:b/>
          <w:color w:val="585858"/>
          <w:sz w:val="18"/>
        </w:rPr>
        <w:t>2027</w:t>
      </w:r>
    </w:p>
    <w:p>
      <w:pPr>
        <w:spacing w:after="0"/>
        <w:jc w:val="left"/>
        <w:rPr>
          <w:sz w:val="18"/>
        </w:rPr>
        <w:sectPr>
          <w:type w:val="continuous"/>
          <w:pgSz w:w="12240" w:h="15840"/>
          <w:pgMar w:top="1500" w:bottom="280" w:left="1140" w:right="0"/>
          <w:cols w:num="10" w:equalWidth="0">
            <w:col w:w="1966" w:space="40"/>
            <w:col w:w="647" w:space="39"/>
            <w:col w:w="667" w:space="39"/>
            <w:col w:w="667" w:space="40"/>
            <w:col w:w="667" w:space="40"/>
            <w:col w:w="668" w:space="40"/>
            <w:col w:w="667" w:space="39"/>
            <w:col w:w="667" w:space="39"/>
            <w:col w:w="667" w:space="40"/>
            <w:col w:w="3461"/>
          </w:cols>
        </w:sectPr>
      </w:pPr>
    </w:p>
    <w:p>
      <w:pPr>
        <w:tabs>
          <w:tab w:pos="5447" w:val="left" w:leader="none"/>
        </w:tabs>
        <w:spacing w:before="34"/>
        <w:ind w:left="2965" w:right="0" w:firstLine="0"/>
        <w:jc w:val="left"/>
        <w:rPr>
          <w:sz w:val="18"/>
        </w:rPr>
      </w:pPr>
      <w:r>
        <w:rPr/>
        <w:drawing>
          <wp:anchor distT="0" distB="0" distL="0" distR="0" allowOverlap="1" layoutInCell="1" locked="0" behindDoc="0" simplePos="0" relativeHeight="253180928">
            <wp:simplePos x="0" y="0"/>
            <wp:positionH relativeFrom="page">
              <wp:posOffset>2337054</wp:posOffset>
            </wp:positionH>
            <wp:positionV relativeFrom="paragraph">
              <wp:posOffset>51464</wp:posOffset>
            </wp:positionV>
            <wp:extent cx="243839" cy="79248"/>
            <wp:effectExtent l="0" t="0" r="0" b="0"/>
            <wp:wrapNone/>
            <wp:docPr id="115" name="image168.png"/>
            <wp:cNvGraphicFramePr>
              <a:graphicFrameLocks noChangeAspect="1"/>
            </wp:cNvGraphicFramePr>
            <a:graphic>
              <a:graphicData uri="http://schemas.openxmlformats.org/drawingml/2006/picture">
                <pic:pic>
                  <pic:nvPicPr>
                    <pic:cNvPr id="116" name="image168.png"/>
                    <pic:cNvPicPr/>
                  </pic:nvPicPr>
                  <pic:blipFill>
                    <a:blip r:embed="rId174" cstate="print"/>
                    <a:stretch>
                      <a:fillRect/>
                    </a:stretch>
                  </pic:blipFill>
                  <pic:spPr>
                    <a:xfrm>
                      <a:off x="0" y="0"/>
                      <a:ext cx="243839" cy="79248"/>
                    </a:xfrm>
                    <a:prstGeom prst="rect">
                      <a:avLst/>
                    </a:prstGeom>
                  </pic:spPr>
                </pic:pic>
              </a:graphicData>
            </a:graphic>
          </wp:anchor>
        </w:drawing>
      </w:r>
      <w:r>
        <w:rPr/>
        <w:drawing>
          <wp:anchor distT="0" distB="0" distL="0" distR="0" allowOverlap="1" layoutInCell="1" locked="0" behindDoc="1" simplePos="0" relativeHeight="223178752">
            <wp:simplePos x="0" y="0"/>
            <wp:positionH relativeFrom="page">
              <wp:posOffset>3912870</wp:posOffset>
            </wp:positionH>
            <wp:positionV relativeFrom="paragraph">
              <wp:posOffset>56036</wp:posOffset>
            </wp:positionV>
            <wp:extent cx="243839" cy="70103"/>
            <wp:effectExtent l="0" t="0" r="0" b="0"/>
            <wp:wrapNone/>
            <wp:docPr id="117" name="image308.png"/>
            <wp:cNvGraphicFramePr>
              <a:graphicFrameLocks noChangeAspect="1"/>
            </wp:cNvGraphicFramePr>
            <a:graphic>
              <a:graphicData uri="http://schemas.openxmlformats.org/drawingml/2006/picture">
                <pic:pic>
                  <pic:nvPicPr>
                    <pic:cNvPr id="118" name="image308.png"/>
                    <pic:cNvPicPr/>
                  </pic:nvPicPr>
                  <pic:blipFill>
                    <a:blip r:embed="rId316" cstate="print"/>
                    <a:stretch>
                      <a:fillRect/>
                    </a:stretch>
                  </pic:blipFill>
                  <pic:spPr>
                    <a:xfrm>
                      <a:off x="0" y="0"/>
                      <a:ext cx="243839" cy="70103"/>
                    </a:xfrm>
                    <a:prstGeom prst="rect">
                      <a:avLst/>
                    </a:prstGeom>
                  </pic:spPr>
                </pic:pic>
              </a:graphicData>
            </a:graphic>
          </wp:anchor>
        </w:drawing>
      </w:r>
      <w:r>
        <w:rPr>
          <w:color w:val="585858"/>
          <w:sz w:val="18"/>
        </w:rPr>
        <w:t>Carga</w:t>
      </w:r>
      <w:r>
        <w:rPr>
          <w:color w:val="585858"/>
          <w:spacing w:val="-3"/>
          <w:sz w:val="18"/>
        </w:rPr>
        <w:t> </w:t>
      </w:r>
      <w:r>
        <w:rPr>
          <w:color w:val="585858"/>
          <w:sz w:val="18"/>
        </w:rPr>
        <w:t>Tributaria</w:t>
      </w:r>
      <w:r>
        <w:rPr>
          <w:color w:val="585858"/>
          <w:spacing w:val="-2"/>
          <w:sz w:val="18"/>
        </w:rPr>
        <w:t> </w:t>
      </w:r>
      <w:r>
        <w:rPr>
          <w:color w:val="585858"/>
          <w:sz w:val="18"/>
        </w:rPr>
        <w:t>Pasiva</w:t>
        <w:tab/>
        <w:t>Carga Tributaria</w:t>
      </w:r>
      <w:r>
        <w:rPr>
          <w:color w:val="585858"/>
          <w:spacing w:val="-2"/>
          <w:sz w:val="18"/>
        </w:rPr>
        <w:t> </w:t>
      </w:r>
      <w:r>
        <w:rPr>
          <w:color w:val="585858"/>
          <w:sz w:val="18"/>
        </w:rPr>
        <w:t>Activa</w:t>
      </w:r>
    </w:p>
    <w:p>
      <w:pPr>
        <w:pStyle w:val="BodyText"/>
        <w:spacing w:before="4"/>
        <w:rPr>
          <w:sz w:val="11"/>
        </w:rPr>
      </w:pPr>
    </w:p>
    <w:p>
      <w:pPr>
        <w:spacing w:before="94"/>
        <w:ind w:left="1085" w:right="0" w:firstLine="0"/>
        <w:jc w:val="left"/>
        <w:rPr>
          <w:sz w:val="16"/>
        </w:rPr>
      </w:pPr>
      <w:r>
        <w:rPr>
          <w:sz w:val="16"/>
        </w:rPr>
        <w:t>Fuente: Dirección de Análisis y Política Fiscal</w:t>
      </w:r>
    </w:p>
    <w:p>
      <w:pPr>
        <w:pStyle w:val="BodyText"/>
        <w:spacing w:before="9"/>
        <w:rPr>
          <w:sz w:val="16"/>
        </w:rPr>
      </w:pPr>
    </w:p>
    <w:p>
      <w:pPr>
        <w:pStyle w:val="Heading2"/>
        <w:numPr>
          <w:ilvl w:val="2"/>
          <w:numId w:val="39"/>
        </w:numPr>
        <w:tabs>
          <w:tab w:pos="1906" w:val="left" w:leader="none"/>
        </w:tabs>
        <w:spacing w:line="240" w:lineRule="auto" w:before="0" w:after="0"/>
        <w:ind w:left="1906" w:right="0" w:hanging="624"/>
        <w:jc w:val="left"/>
        <w:rPr>
          <w:sz w:val="22"/>
        </w:rPr>
      </w:pPr>
      <w:bookmarkStart w:name="_bookmark212" w:id="273"/>
      <w:bookmarkEnd w:id="273"/>
      <w:r>
        <w:rPr>
          <w:b w:val="0"/>
        </w:rPr>
      </w:r>
      <w:bookmarkStart w:name="_bookmark212" w:id="274"/>
      <w:bookmarkEnd w:id="274"/>
      <w:r>
        <w:rPr/>
        <w:t>E</w:t>
      </w:r>
      <w:r>
        <w:rPr/>
        <w:t>scenarios alternativos en las proyecciones de recaudación tributaria</w:t>
      </w:r>
    </w:p>
    <w:p>
      <w:pPr>
        <w:pStyle w:val="BodyText"/>
        <w:spacing w:before="4"/>
        <w:rPr>
          <w:b/>
          <w:sz w:val="28"/>
        </w:rPr>
      </w:pPr>
    </w:p>
    <w:p>
      <w:pPr>
        <w:pStyle w:val="BodyText"/>
        <w:spacing w:line="276" w:lineRule="auto"/>
        <w:ind w:left="562" w:right="1697"/>
        <w:jc w:val="both"/>
      </w:pPr>
      <w:r>
        <w:rPr/>
        <w:t>Para</w:t>
      </w:r>
      <w:r>
        <w:rPr>
          <w:spacing w:val="-3"/>
        </w:rPr>
        <w:t> </w:t>
      </w:r>
      <w:r>
        <w:rPr/>
        <w:t>efectos</w:t>
      </w:r>
      <w:r>
        <w:rPr>
          <w:spacing w:val="-3"/>
        </w:rPr>
        <w:t> </w:t>
      </w:r>
      <w:r>
        <w:rPr/>
        <w:t>de</w:t>
      </w:r>
      <w:r>
        <w:rPr>
          <w:spacing w:val="-3"/>
        </w:rPr>
        <w:t> </w:t>
      </w:r>
      <w:r>
        <w:rPr/>
        <w:t>medir</w:t>
      </w:r>
      <w:r>
        <w:rPr>
          <w:spacing w:val="-3"/>
        </w:rPr>
        <w:t> </w:t>
      </w:r>
      <w:r>
        <w:rPr/>
        <w:t>el</w:t>
      </w:r>
      <w:r>
        <w:rPr>
          <w:spacing w:val="-3"/>
        </w:rPr>
        <w:t> </w:t>
      </w:r>
      <w:r>
        <w:rPr/>
        <w:t>grado</w:t>
      </w:r>
      <w:r>
        <w:rPr>
          <w:spacing w:val="-4"/>
        </w:rPr>
        <w:t> </w:t>
      </w:r>
      <w:r>
        <w:rPr/>
        <w:t>de</w:t>
      </w:r>
      <w:r>
        <w:rPr>
          <w:spacing w:val="-3"/>
        </w:rPr>
        <w:t> </w:t>
      </w:r>
      <w:r>
        <w:rPr/>
        <w:t>sensibilidad</w:t>
      </w:r>
      <w:r>
        <w:rPr>
          <w:spacing w:val="-3"/>
        </w:rPr>
        <w:t> </w:t>
      </w:r>
      <w:r>
        <w:rPr/>
        <w:t>que</w:t>
      </w:r>
      <w:r>
        <w:rPr>
          <w:spacing w:val="-3"/>
        </w:rPr>
        <w:t> </w:t>
      </w:r>
      <w:r>
        <w:rPr/>
        <w:t>tiene</w:t>
      </w:r>
      <w:r>
        <w:rPr>
          <w:spacing w:val="-6"/>
        </w:rPr>
        <w:t> </w:t>
      </w:r>
      <w:r>
        <w:rPr/>
        <w:t>la</w:t>
      </w:r>
      <w:r>
        <w:rPr>
          <w:spacing w:val="-3"/>
        </w:rPr>
        <w:t> </w:t>
      </w:r>
      <w:r>
        <w:rPr/>
        <w:t>recaudación</w:t>
      </w:r>
      <w:r>
        <w:rPr>
          <w:spacing w:val="-4"/>
        </w:rPr>
        <w:t> </w:t>
      </w:r>
      <w:r>
        <w:rPr/>
        <w:t>tributaria</w:t>
      </w:r>
      <w:r>
        <w:rPr>
          <w:spacing w:val="-3"/>
        </w:rPr>
        <w:t> </w:t>
      </w:r>
      <w:r>
        <w:rPr/>
        <w:t>ante</w:t>
      </w:r>
      <w:r>
        <w:rPr>
          <w:spacing w:val="-3"/>
        </w:rPr>
        <w:t> </w:t>
      </w:r>
      <w:r>
        <w:rPr/>
        <w:t>cambios</w:t>
      </w:r>
      <w:r>
        <w:rPr>
          <w:spacing w:val="-3"/>
        </w:rPr>
        <w:t> </w:t>
      </w:r>
      <w:r>
        <w:rPr/>
        <w:t>en</w:t>
      </w:r>
      <w:r>
        <w:rPr>
          <w:spacing w:val="-3"/>
        </w:rPr>
        <w:t> </w:t>
      </w:r>
      <w:r>
        <w:rPr/>
        <w:t>las proyecciones macroeconómicas, se elaboraron escenarios que muestran como la recaudación de impuestos de mediano plazo (2024-2027) cambia por el efecto de la variación de las variables macroeconómicas.</w:t>
      </w:r>
      <w:r>
        <w:rPr>
          <w:spacing w:val="-15"/>
        </w:rPr>
        <w:t> </w:t>
      </w:r>
      <w:r>
        <w:rPr/>
        <w:t>Para</w:t>
      </w:r>
      <w:r>
        <w:rPr>
          <w:spacing w:val="-11"/>
        </w:rPr>
        <w:t> </w:t>
      </w:r>
      <w:r>
        <w:rPr/>
        <w:t>esto</w:t>
      </w:r>
      <w:r>
        <w:rPr>
          <w:spacing w:val="-12"/>
        </w:rPr>
        <w:t> </w:t>
      </w:r>
      <w:r>
        <w:rPr/>
        <w:t>se</w:t>
      </w:r>
      <w:r>
        <w:rPr>
          <w:spacing w:val="-14"/>
        </w:rPr>
        <w:t> </w:t>
      </w:r>
      <w:r>
        <w:rPr/>
        <w:t>consideraron</w:t>
      </w:r>
      <w:r>
        <w:rPr>
          <w:spacing w:val="-14"/>
        </w:rPr>
        <w:t> </w:t>
      </w:r>
      <w:r>
        <w:rPr/>
        <w:t>escenarios</w:t>
      </w:r>
      <w:r>
        <w:rPr>
          <w:spacing w:val="-11"/>
        </w:rPr>
        <w:t> </w:t>
      </w:r>
      <w:r>
        <w:rPr/>
        <w:t>con</w:t>
      </w:r>
      <w:r>
        <w:rPr>
          <w:spacing w:val="-15"/>
        </w:rPr>
        <w:t> </w:t>
      </w:r>
      <w:r>
        <w:rPr/>
        <w:t>las</w:t>
      </w:r>
      <w:r>
        <w:rPr>
          <w:spacing w:val="-11"/>
        </w:rPr>
        <w:t> </w:t>
      </w:r>
      <w:r>
        <w:rPr/>
        <w:t>proyecciones</w:t>
      </w:r>
      <w:r>
        <w:rPr>
          <w:spacing w:val="-12"/>
        </w:rPr>
        <w:t> </w:t>
      </w:r>
      <w:r>
        <w:rPr/>
        <w:t>elaboradas</w:t>
      </w:r>
      <w:r>
        <w:rPr>
          <w:spacing w:val="-11"/>
        </w:rPr>
        <w:t> </w:t>
      </w:r>
      <w:r>
        <w:rPr/>
        <w:t>por</w:t>
      </w:r>
      <w:r>
        <w:rPr>
          <w:spacing w:val="-14"/>
        </w:rPr>
        <w:t> </w:t>
      </w:r>
      <w:r>
        <w:rPr/>
        <w:t>el</w:t>
      </w:r>
      <w:r>
        <w:rPr>
          <w:spacing w:val="-12"/>
        </w:rPr>
        <w:t> </w:t>
      </w:r>
      <w:r>
        <w:rPr/>
        <w:t>Banco de Guatemala, vale indicar que en estos escenarios se considera recaudación extraordinaria por concepto de medidas administrativas a efecto de estabilizar la carga</w:t>
      </w:r>
      <w:r>
        <w:rPr>
          <w:spacing w:val="-10"/>
        </w:rPr>
        <w:t> </w:t>
      </w:r>
      <w:r>
        <w:rPr/>
        <w:t>tributaria.</w:t>
      </w:r>
    </w:p>
    <w:p>
      <w:pPr>
        <w:pStyle w:val="BodyText"/>
        <w:spacing w:before="10"/>
        <w:rPr>
          <w:sz w:val="25"/>
        </w:rPr>
      </w:pPr>
    </w:p>
    <w:p>
      <w:pPr>
        <w:pStyle w:val="Heading2"/>
        <w:numPr>
          <w:ilvl w:val="3"/>
          <w:numId w:val="39"/>
        </w:numPr>
        <w:tabs>
          <w:tab w:pos="2466" w:val="left" w:leader="none"/>
        </w:tabs>
        <w:spacing w:line="240" w:lineRule="auto" w:before="0" w:after="0"/>
        <w:ind w:left="2465" w:right="0" w:hanging="824"/>
        <w:jc w:val="left"/>
      </w:pPr>
      <w:bookmarkStart w:name="_bookmark213" w:id="275"/>
      <w:bookmarkEnd w:id="275"/>
      <w:r>
        <w:rPr>
          <w:b w:val="0"/>
        </w:rPr>
      </w:r>
      <w:bookmarkStart w:name="_bookmark213" w:id="276"/>
      <w:bookmarkEnd w:id="276"/>
      <w:r>
        <w:rPr/>
        <w:t>E</w:t>
      </w:r>
      <w:r>
        <w:rPr/>
        <w:t>scenario</w:t>
      </w:r>
      <w:r>
        <w:rPr>
          <w:spacing w:val="1"/>
        </w:rPr>
        <w:t> </w:t>
      </w:r>
      <w:r>
        <w:rPr/>
        <w:t>medio</w:t>
      </w:r>
    </w:p>
    <w:p>
      <w:pPr>
        <w:pStyle w:val="BodyText"/>
        <w:spacing w:before="4"/>
        <w:rPr>
          <w:b/>
          <w:sz w:val="28"/>
        </w:rPr>
      </w:pPr>
    </w:p>
    <w:p>
      <w:pPr>
        <w:pStyle w:val="BodyText"/>
        <w:spacing w:line="276" w:lineRule="auto"/>
        <w:ind w:left="562" w:right="1697"/>
        <w:jc w:val="both"/>
      </w:pPr>
      <w:r>
        <w:rPr/>
        <w:t>Este</w:t>
      </w:r>
      <w:r>
        <w:rPr>
          <w:spacing w:val="-14"/>
        </w:rPr>
        <w:t> </w:t>
      </w:r>
      <w:r>
        <w:rPr/>
        <w:t>escenario</w:t>
      </w:r>
      <w:r>
        <w:rPr>
          <w:spacing w:val="-14"/>
        </w:rPr>
        <w:t> </w:t>
      </w:r>
      <w:r>
        <w:rPr/>
        <w:t>considera</w:t>
      </w:r>
      <w:r>
        <w:rPr>
          <w:spacing w:val="-14"/>
        </w:rPr>
        <w:t> </w:t>
      </w:r>
      <w:r>
        <w:rPr/>
        <w:t>que</w:t>
      </w:r>
      <w:r>
        <w:rPr>
          <w:spacing w:val="-14"/>
        </w:rPr>
        <w:t> </w:t>
      </w:r>
      <w:r>
        <w:rPr/>
        <w:t>la</w:t>
      </w:r>
      <w:r>
        <w:rPr>
          <w:spacing w:val="-14"/>
        </w:rPr>
        <w:t> </w:t>
      </w:r>
      <w:r>
        <w:rPr/>
        <w:t>actividad</w:t>
      </w:r>
      <w:r>
        <w:rPr>
          <w:spacing w:val="-14"/>
        </w:rPr>
        <w:t> </w:t>
      </w:r>
      <w:r>
        <w:rPr/>
        <w:t>económica</w:t>
      </w:r>
      <w:r>
        <w:rPr>
          <w:spacing w:val="-14"/>
        </w:rPr>
        <w:t> </w:t>
      </w:r>
      <w:r>
        <w:rPr/>
        <w:t>tendrá</w:t>
      </w:r>
      <w:r>
        <w:rPr>
          <w:spacing w:val="-13"/>
        </w:rPr>
        <w:t> </w:t>
      </w:r>
      <w:r>
        <w:rPr/>
        <w:t>un</w:t>
      </w:r>
      <w:r>
        <w:rPr>
          <w:spacing w:val="-14"/>
        </w:rPr>
        <w:t> </w:t>
      </w:r>
      <w:r>
        <w:rPr/>
        <w:t>desempeño</w:t>
      </w:r>
      <w:r>
        <w:rPr>
          <w:spacing w:val="-14"/>
        </w:rPr>
        <w:t> </w:t>
      </w:r>
      <w:r>
        <w:rPr/>
        <w:t>más</w:t>
      </w:r>
      <w:r>
        <w:rPr>
          <w:spacing w:val="-14"/>
        </w:rPr>
        <w:t> </w:t>
      </w:r>
      <w:r>
        <w:rPr/>
        <w:t>dinámico</w:t>
      </w:r>
      <w:r>
        <w:rPr>
          <w:spacing w:val="-14"/>
        </w:rPr>
        <w:t> </w:t>
      </w:r>
      <w:r>
        <w:rPr/>
        <w:t>con</w:t>
      </w:r>
      <w:r>
        <w:rPr>
          <w:spacing w:val="-14"/>
        </w:rPr>
        <w:t> </w:t>
      </w:r>
      <w:r>
        <w:rPr/>
        <w:t>respecto a lo que se había previsto para las estimaciones del presupuesto multianual, sustentadas en ligeras variaciones en la inversión privada, consumo y un entorno económico internacional no tan</w:t>
      </w:r>
      <w:r>
        <w:rPr>
          <w:spacing w:val="-35"/>
        </w:rPr>
        <w:t> </w:t>
      </w:r>
      <w:r>
        <w:rPr/>
        <w:t>favorable en términos de precios y de la demanda externa. De esa cuenta, se prevé que la economía en 2023 crece</w:t>
      </w:r>
      <w:r>
        <w:rPr>
          <w:spacing w:val="-11"/>
        </w:rPr>
        <w:t> </w:t>
      </w:r>
      <w:r>
        <w:rPr/>
        <w:t>al</w:t>
      </w:r>
      <w:r>
        <w:rPr>
          <w:spacing w:val="-10"/>
        </w:rPr>
        <w:t> </w:t>
      </w:r>
      <w:r>
        <w:rPr/>
        <w:t>mismo</w:t>
      </w:r>
      <w:r>
        <w:rPr>
          <w:spacing w:val="-11"/>
        </w:rPr>
        <w:t> </w:t>
      </w:r>
      <w:r>
        <w:rPr/>
        <w:t>nivel</w:t>
      </w:r>
      <w:r>
        <w:rPr>
          <w:spacing w:val="-11"/>
        </w:rPr>
        <w:t> </w:t>
      </w:r>
      <w:r>
        <w:rPr/>
        <w:t>de</w:t>
      </w:r>
      <w:r>
        <w:rPr>
          <w:spacing w:val="-11"/>
        </w:rPr>
        <w:t> </w:t>
      </w:r>
      <w:r>
        <w:rPr/>
        <w:t>su</w:t>
      </w:r>
      <w:r>
        <w:rPr>
          <w:spacing w:val="-10"/>
        </w:rPr>
        <w:t> </w:t>
      </w:r>
      <w:r>
        <w:rPr/>
        <w:t>potencial</w:t>
      </w:r>
      <w:r>
        <w:rPr>
          <w:spacing w:val="-11"/>
        </w:rPr>
        <w:t> </w:t>
      </w:r>
      <w:r>
        <w:rPr/>
        <w:t>(3.5%),</w:t>
      </w:r>
      <w:r>
        <w:rPr>
          <w:spacing w:val="-11"/>
        </w:rPr>
        <w:t> </w:t>
      </w:r>
      <w:r>
        <w:rPr/>
        <w:t>las</w:t>
      </w:r>
      <w:r>
        <w:rPr>
          <w:spacing w:val="-10"/>
        </w:rPr>
        <w:t> </w:t>
      </w:r>
      <w:r>
        <w:rPr/>
        <w:t>importaciones</w:t>
      </w:r>
      <w:r>
        <w:rPr>
          <w:spacing w:val="-10"/>
        </w:rPr>
        <w:t> </w:t>
      </w:r>
      <w:r>
        <w:rPr/>
        <w:t>podrían</w:t>
      </w:r>
      <w:r>
        <w:rPr>
          <w:spacing w:val="-12"/>
        </w:rPr>
        <w:t> </w:t>
      </w:r>
      <w:r>
        <w:rPr/>
        <w:t>crecer</w:t>
      </w:r>
      <w:r>
        <w:rPr>
          <w:spacing w:val="-10"/>
        </w:rPr>
        <w:t> </w:t>
      </w:r>
      <w:r>
        <w:rPr/>
        <w:t>8.0%,</w:t>
      </w:r>
      <w:r>
        <w:rPr>
          <w:spacing w:val="-13"/>
        </w:rPr>
        <w:t> </w:t>
      </w:r>
      <w:r>
        <w:rPr/>
        <w:t>el</w:t>
      </w:r>
      <w:r>
        <w:rPr>
          <w:spacing w:val="-10"/>
        </w:rPr>
        <w:t> </w:t>
      </w:r>
      <w:r>
        <w:rPr/>
        <w:t>tipo</w:t>
      </w:r>
      <w:r>
        <w:rPr>
          <w:spacing w:val="-12"/>
        </w:rPr>
        <w:t> </w:t>
      </w:r>
      <w:r>
        <w:rPr/>
        <w:t>de</w:t>
      </w:r>
      <w:r>
        <w:rPr>
          <w:spacing w:val="-11"/>
        </w:rPr>
        <w:t> </w:t>
      </w:r>
      <w:r>
        <w:rPr/>
        <w:t>cambio y el precio del petróleo se sigue previendo neutral además considera la estimación de cierre del ejercicio fiscal 2022</w:t>
      </w:r>
      <w:r>
        <w:rPr>
          <w:spacing w:val="-3"/>
        </w:rPr>
        <w:t> </w:t>
      </w:r>
      <w:r>
        <w:rPr/>
        <w:t>ajustada.</w:t>
      </w:r>
    </w:p>
    <w:p>
      <w:pPr>
        <w:spacing w:after="0" w:line="276" w:lineRule="auto"/>
        <w:jc w:val="both"/>
        <w:sectPr>
          <w:type w:val="continuous"/>
          <w:pgSz w:w="12240" w:h="15840"/>
          <w:pgMar w:top="1500" w:bottom="280" w:left="1140" w:right="0"/>
        </w:sectPr>
      </w:pPr>
    </w:p>
    <w:p>
      <w:pPr>
        <w:pStyle w:val="BodyText"/>
        <w:spacing w:line="276" w:lineRule="auto" w:before="162"/>
        <w:ind w:left="562" w:right="1700"/>
        <w:jc w:val="both"/>
      </w:pPr>
      <w:r>
        <w:rPr/>
        <w:t>En el mediano plazo (2023-2027) se prevé que estas proyecciones sean crecientes, como se muestra a continuación:</w:t>
      </w:r>
    </w:p>
    <w:p>
      <w:pPr>
        <w:pStyle w:val="Heading3"/>
        <w:spacing w:before="215" w:after="41"/>
        <w:ind w:left="1395" w:right="2529"/>
        <w:jc w:val="center"/>
      </w:pPr>
      <w:r>
        <w:rPr/>
        <w:t>Tabla 20 Escenario macroeconómico medio</w:t>
      </w:r>
    </w:p>
    <w:tbl>
      <w:tblPr>
        <w:tblW w:w="0" w:type="auto"/>
        <w:jc w:val="left"/>
        <w:tblInd w:w="1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71"/>
        <w:gridCol w:w="879"/>
        <w:gridCol w:w="676"/>
        <w:gridCol w:w="676"/>
        <w:gridCol w:w="676"/>
        <w:gridCol w:w="676"/>
        <w:gridCol w:w="676"/>
        <w:gridCol w:w="676"/>
        <w:gridCol w:w="676"/>
        <w:gridCol w:w="676"/>
      </w:tblGrid>
      <w:tr>
        <w:trPr>
          <w:trHeight w:val="284" w:hRule="atLeast"/>
        </w:trPr>
        <w:tc>
          <w:tcPr>
            <w:tcW w:w="1171" w:type="dxa"/>
            <w:tcBorders>
              <w:top w:val="nil"/>
              <w:left w:val="nil"/>
            </w:tcBorders>
          </w:tcPr>
          <w:p>
            <w:pPr>
              <w:pStyle w:val="TableParagraph"/>
              <w:rPr>
                <w:sz w:val="14"/>
              </w:rPr>
            </w:pPr>
          </w:p>
        </w:tc>
        <w:tc>
          <w:tcPr>
            <w:tcW w:w="879" w:type="dxa"/>
            <w:tcBorders>
              <w:top w:val="single" w:sz="4" w:space="0" w:color="000000"/>
            </w:tcBorders>
          </w:tcPr>
          <w:p>
            <w:pPr>
              <w:pStyle w:val="TableParagraph"/>
              <w:spacing w:before="81"/>
              <w:ind w:left="36"/>
              <w:rPr>
                <w:b/>
                <w:sz w:val="12"/>
              </w:rPr>
            </w:pPr>
            <w:r>
              <w:rPr>
                <w:b/>
                <w:w w:val="105"/>
                <w:sz w:val="12"/>
              </w:rPr>
              <w:t>Dimensionales</w:t>
            </w:r>
          </w:p>
        </w:tc>
        <w:tc>
          <w:tcPr>
            <w:tcW w:w="676" w:type="dxa"/>
            <w:tcBorders>
              <w:top w:val="single" w:sz="4" w:space="0" w:color="000000"/>
            </w:tcBorders>
          </w:tcPr>
          <w:p>
            <w:pPr>
              <w:pStyle w:val="TableParagraph"/>
              <w:spacing w:before="81"/>
              <w:ind w:left="63" w:right="36"/>
              <w:jc w:val="center"/>
              <w:rPr>
                <w:b/>
                <w:sz w:val="12"/>
              </w:rPr>
            </w:pPr>
            <w:r>
              <w:rPr>
                <w:b/>
                <w:w w:val="105"/>
                <w:sz w:val="12"/>
              </w:rPr>
              <w:t>2020</w:t>
            </w:r>
          </w:p>
        </w:tc>
        <w:tc>
          <w:tcPr>
            <w:tcW w:w="676" w:type="dxa"/>
            <w:tcBorders>
              <w:top w:val="single" w:sz="4" w:space="0" w:color="000000"/>
            </w:tcBorders>
          </w:tcPr>
          <w:p>
            <w:pPr>
              <w:pStyle w:val="TableParagraph"/>
              <w:spacing w:before="81"/>
              <w:ind w:left="64" w:right="36"/>
              <w:jc w:val="center"/>
              <w:rPr>
                <w:b/>
                <w:sz w:val="12"/>
              </w:rPr>
            </w:pPr>
            <w:r>
              <w:rPr>
                <w:b/>
                <w:w w:val="105"/>
                <w:sz w:val="12"/>
              </w:rPr>
              <w:t>2021</w:t>
            </w:r>
          </w:p>
        </w:tc>
        <w:tc>
          <w:tcPr>
            <w:tcW w:w="676" w:type="dxa"/>
            <w:tcBorders>
              <w:top w:val="single" w:sz="4" w:space="0" w:color="000000"/>
            </w:tcBorders>
          </w:tcPr>
          <w:p>
            <w:pPr>
              <w:pStyle w:val="TableParagraph"/>
              <w:spacing w:before="81"/>
              <w:ind w:left="66" w:right="36"/>
              <w:jc w:val="center"/>
              <w:rPr>
                <w:b/>
                <w:sz w:val="12"/>
              </w:rPr>
            </w:pPr>
            <w:r>
              <w:rPr>
                <w:b/>
                <w:w w:val="105"/>
                <w:sz w:val="12"/>
              </w:rPr>
              <w:t>2022</w:t>
            </w:r>
          </w:p>
        </w:tc>
        <w:tc>
          <w:tcPr>
            <w:tcW w:w="676" w:type="dxa"/>
            <w:tcBorders>
              <w:top w:val="single" w:sz="4" w:space="0" w:color="000000"/>
            </w:tcBorders>
            <w:shd w:val="clear" w:color="auto" w:fill="DDEBF7"/>
          </w:tcPr>
          <w:p>
            <w:pPr>
              <w:pStyle w:val="TableParagraph"/>
              <w:spacing w:before="81"/>
              <w:ind w:left="66" w:right="36"/>
              <w:jc w:val="center"/>
              <w:rPr>
                <w:b/>
                <w:sz w:val="12"/>
              </w:rPr>
            </w:pPr>
            <w:r>
              <w:rPr>
                <w:b/>
                <w:w w:val="105"/>
                <w:sz w:val="12"/>
              </w:rPr>
              <w:t>2023</w:t>
            </w:r>
          </w:p>
        </w:tc>
        <w:tc>
          <w:tcPr>
            <w:tcW w:w="676" w:type="dxa"/>
            <w:tcBorders>
              <w:top w:val="single" w:sz="4" w:space="0" w:color="000000"/>
            </w:tcBorders>
            <w:shd w:val="clear" w:color="auto" w:fill="DDEBF7"/>
          </w:tcPr>
          <w:p>
            <w:pPr>
              <w:pStyle w:val="TableParagraph"/>
              <w:spacing w:before="81"/>
              <w:ind w:left="68" w:right="36"/>
              <w:jc w:val="center"/>
              <w:rPr>
                <w:b/>
                <w:sz w:val="12"/>
              </w:rPr>
            </w:pPr>
            <w:r>
              <w:rPr>
                <w:b/>
                <w:w w:val="105"/>
                <w:sz w:val="12"/>
              </w:rPr>
              <w:t>2024</w:t>
            </w:r>
          </w:p>
        </w:tc>
        <w:tc>
          <w:tcPr>
            <w:tcW w:w="676" w:type="dxa"/>
            <w:tcBorders>
              <w:top w:val="single" w:sz="4" w:space="0" w:color="000000"/>
            </w:tcBorders>
            <w:shd w:val="clear" w:color="auto" w:fill="DDEBF7"/>
          </w:tcPr>
          <w:p>
            <w:pPr>
              <w:pStyle w:val="TableParagraph"/>
              <w:spacing w:before="81"/>
              <w:ind w:left="69" w:right="36"/>
              <w:jc w:val="center"/>
              <w:rPr>
                <w:b/>
                <w:sz w:val="12"/>
              </w:rPr>
            </w:pPr>
            <w:r>
              <w:rPr>
                <w:b/>
                <w:w w:val="105"/>
                <w:sz w:val="12"/>
              </w:rPr>
              <w:t>2025</w:t>
            </w:r>
          </w:p>
        </w:tc>
        <w:tc>
          <w:tcPr>
            <w:tcW w:w="676" w:type="dxa"/>
            <w:tcBorders>
              <w:top w:val="single" w:sz="4" w:space="0" w:color="000000"/>
            </w:tcBorders>
            <w:shd w:val="clear" w:color="auto" w:fill="DDEBF7"/>
          </w:tcPr>
          <w:p>
            <w:pPr>
              <w:pStyle w:val="TableParagraph"/>
              <w:spacing w:before="81"/>
              <w:ind w:left="71" w:right="36"/>
              <w:jc w:val="center"/>
              <w:rPr>
                <w:b/>
                <w:sz w:val="12"/>
              </w:rPr>
            </w:pPr>
            <w:r>
              <w:rPr>
                <w:b/>
                <w:w w:val="105"/>
                <w:sz w:val="12"/>
              </w:rPr>
              <w:t>2026</w:t>
            </w:r>
          </w:p>
        </w:tc>
        <w:tc>
          <w:tcPr>
            <w:tcW w:w="676" w:type="dxa"/>
            <w:tcBorders>
              <w:top w:val="single" w:sz="4" w:space="0" w:color="000000"/>
            </w:tcBorders>
            <w:shd w:val="clear" w:color="auto" w:fill="DDEBF7"/>
          </w:tcPr>
          <w:p>
            <w:pPr>
              <w:pStyle w:val="TableParagraph"/>
              <w:spacing w:before="81"/>
              <w:ind w:left="71" w:right="36"/>
              <w:jc w:val="center"/>
              <w:rPr>
                <w:b/>
                <w:sz w:val="12"/>
              </w:rPr>
            </w:pPr>
            <w:r>
              <w:rPr>
                <w:b/>
                <w:w w:val="105"/>
                <w:sz w:val="12"/>
              </w:rPr>
              <w:t>2027</w:t>
            </w:r>
          </w:p>
        </w:tc>
      </w:tr>
      <w:tr>
        <w:trPr>
          <w:trHeight w:val="302" w:hRule="atLeast"/>
        </w:trPr>
        <w:tc>
          <w:tcPr>
            <w:tcW w:w="1171" w:type="dxa"/>
            <w:tcBorders>
              <w:left w:val="single" w:sz="4" w:space="0" w:color="000000"/>
              <w:bottom w:val="nil"/>
            </w:tcBorders>
          </w:tcPr>
          <w:p>
            <w:pPr>
              <w:pStyle w:val="TableParagraph"/>
              <w:spacing w:before="81"/>
              <w:ind w:left="20"/>
              <w:rPr>
                <w:sz w:val="12"/>
              </w:rPr>
            </w:pPr>
            <w:r>
              <w:rPr>
                <w:w w:val="105"/>
                <w:sz w:val="12"/>
              </w:rPr>
              <w:t>PIB real</w:t>
            </w:r>
          </w:p>
        </w:tc>
        <w:tc>
          <w:tcPr>
            <w:tcW w:w="879" w:type="dxa"/>
            <w:tcBorders>
              <w:bottom w:val="nil"/>
            </w:tcBorders>
          </w:tcPr>
          <w:p>
            <w:pPr>
              <w:pStyle w:val="TableParagraph"/>
              <w:spacing w:before="81"/>
              <w:ind w:left="95"/>
              <w:rPr>
                <w:sz w:val="12"/>
              </w:rPr>
            </w:pPr>
            <w:r>
              <w:rPr>
                <w:w w:val="105"/>
                <w:sz w:val="12"/>
              </w:rPr>
              <w:t>Millones de Q</w:t>
            </w:r>
          </w:p>
        </w:tc>
        <w:tc>
          <w:tcPr>
            <w:tcW w:w="676" w:type="dxa"/>
            <w:tcBorders>
              <w:bottom w:val="nil"/>
            </w:tcBorders>
          </w:tcPr>
          <w:p>
            <w:pPr>
              <w:pStyle w:val="TableParagraph"/>
              <w:spacing w:before="81"/>
              <w:ind w:left="68" w:right="36"/>
              <w:jc w:val="center"/>
              <w:rPr>
                <w:sz w:val="12"/>
              </w:rPr>
            </w:pPr>
            <w:r>
              <w:rPr>
                <w:w w:val="105"/>
                <w:sz w:val="12"/>
              </w:rPr>
              <w:t>506,368.0</w:t>
            </w:r>
          </w:p>
        </w:tc>
        <w:tc>
          <w:tcPr>
            <w:tcW w:w="676" w:type="dxa"/>
            <w:tcBorders>
              <w:bottom w:val="nil"/>
            </w:tcBorders>
          </w:tcPr>
          <w:p>
            <w:pPr>
              <w:pStyle w:val="TableParagraph"/>
              <w:spacing w:before="81"/>
              <w:ind w:left="68" w:right="36"/>
              <w:jc w:val="center"/>
              <w:rPr>
                <w:sz w:val="12"/>
              </w:rPr>
            </w:pPr>
            <w:r>
              <w:rPr>
                <w:w w:val="105"/>
                <w:sz w:val="12"/>
              </w:rPr>
              <w:t>546,580.6</w:t>
            </w:r>
          </w:p>
        </w:tc>
        <w:tc>
          <w:tcPr>
            <w:tcW w:w="676" w:type="dxa"/>
            <w:tcBorders>
              <w:bottom w:val="nil"/>
            </w:tcBorders>
          </w:tcPr>
          <w:p>
            <w:pPr>
              <w:pStyle w:val="TableParagraph"/>
              <w:spacing w:before="81"/>
              <w:ind w:left="70" w:right="36"/>
              <w:jc w:val="center"/>
              <w:rPr>
                <w:sz w:val="12"/>
              </w:rPr>
            </w:pPr>
            <w:r>
              <w:rPr>
                <w:w w:val="105"/>
                <w:sz w:val="12"/>
              </w:rPr>
              <w:t>563,011.5</w:t>
            </w:r>
          </w:p>
        </w:tc>
        <w:tc>
          <w:tcPr>
            <w:tcW w:w="676" w:type="dxa"/>
            <w:tcBorders>
              <w:bottom w:val="nil"/>
            </w:tcBorders>
          </w:tcPr>
          <w:p>
            <w:pPr>
              <w:pStyle w:val="TableParagraph"/>
              <w:spacing w:before="81"/>
              <w:ind w:left="71" w:right="36"/>
              <w:jc w:val="center"/>
              <w:rPr>
                <w:sz w:val="12"/>
              </w:rPr>
            </w:pPr>
            <w:r>
              <w:rPr>
                <w:w w:val="105"/>
                <w:sz w:val="12"/>
              </w:rPr>
              <w:t>588,201.6</w:t>
            </w:r>
          </w:p>
        </w:tc>
        <w:tc>
          <w:tcPr>
            <w:tcW w:w="676" w:type="dxa"/>
            <w:tcBorders>
              <w:bottom w:val="nil"/>
            </w:tcBorders>
          </w:tcPr>
          <w:p>
            <w:pPr>
              <w:pStyle w:val="TableParagraph"/>
              <w:spacing w:before="81"/>
              <w:ind w:left="72" w:right="36"/>
              <w:jc w:val="center"/>
              <w:rPr>
                <w:sz w:val="12"/>
              </w:rPr>
            </w:pPr>
            <w:r>
              <w:rPr>
                <w:w w:val="105"/>
                <w:sz w:val="12"/>
              </w:rPr>
              <w:t>609,465.0</w:t>
            </w:r>
          </w:p>
        </w:tc>
        <w:tc>
          <w:tcPr>
            <w:tcW w:w="676" w:type="dxa"/>
            <w:tcBorders>
              <w:bottom w:val="nil"/>
            </w:tcBorders>
          </w:tcPr>
          <w:p>
            <w:pPr>
              <w:pStyle w:val="TableParagraph"/>
              <w:spacing w:before="81"/>
              <w:ind w:left="72" w:right="35"/>
              <w:jc w:val="center"/>
              <w:rPr>
                <w:sz w:val="12"/>
              </w:rPr>
            </w:pPr>
            <w:r>
              <w:rPr>
                <w:w w:val="105"/>
                <w:sz w:val="12"/>
              </w:rPr>
              <w:t>631,524.9</w:t>
            </w:r>
          </w:p>
        </w:tc>
        <w:tc>
          <w:tcPr>
            <w:tcW w:w="676" w:type="dxa"/>
            <w:tcBorders>
              <w:bottom w:val="nil"/>
            </w:tcBorders>
          </w:tcPr>
          <w:p>
            <w:pPr>
              <w:pStyle w:val="TableParagraph"/>
              <w:spacing w:before="81"/>
              <w:ind w:left="72" w:right="33"/>
              <w:jc w:val="center"/>
              <w:rPr>
                <w:sz w:val="12"/>
              </w:rPr>
            </w:pPr>
            <w:r>
              <w:rPr>
                <w:w w:val="105"/>
                <w:sz w:val="12"/>
              </w:rPr>
              <w:t>655,016.3</w:t>
            </w:r>
          </w:p>
        </w:tc>
        <w:tc>
          <w:tcPr>
            <w:tcW w:w="676" w:type="dxa"/>
            <w:tcBorders>
              <w:bottom w:val="nil"/>
            </w:tcBorders>
          </w:tcPr>
          <w:p>
            <w:pPr>
              <w:pStyle w:val="TableParagraph"/>
              <w:spacing w:before="81"/>
              <w:ind w:left="72" w:right="32"/>
              <w:jc w:val="center"/>
              <w:rPr>
                <w:sz w:val="12"/>
              </w:rPr>
            </w:pPr>
            <w:r>
              <w:rPr>
                <w:w w:val="105"/>
                <w:sz w:val="12"/>
              </w:rPr>
              <w:t>679,381.6</w:t>
            </w:r>
          </w:p>
        </w:tc>
      </w:tr>
      <w:tr>
        <w:trPr>
          <w:trHeight w:val="304" w:hRule="atLeast"/>
        </w:trPr>
        <w:tc>
          <w:tcPr>
            <w:tcW w:w="1171" w:type="dxa"/>
            <w:tcBorders>
              <w:top w:val="nil"/>
              <w:left w:val="single" w:sz="4" w:space="0" w:color="000000"/>
              <w:bottom w:val="nil"/>
            </w:tcBorders>
          </w:tcPr>
          <w:p>
            <w:pPr>
              <w:pStyle w:val="TableParagraph"/>
              <w:spacing w:before="83"/>
              <w:ind w:left="20"/>
              <w:rPr>
                <w:sz w:val="12"/>
              </w:rPr>
            </w:pPr>
            <w:r>
              <w:rPr>
                <w:w w:val="105"/>
                <w:sz w:val="12"/>
              </w:rPr>
              <w:t>variación</w:t>
            </w:r>
          </w:p>
        </w:tc>
        <w:tc>
          <w:tcPr>
            <w:tcW w:w="879" w:type="dxa"/>
            <w:tcBorders>
              <w:top w:val="nil"/>
              <w:bottom w:val="nil"/>
            </w:tcBorders>
          </w:tcPr>
          <w:p>
            <w:pPr>
              <w:pStyle w:val="TableParagraph"/>
              <w:spacing w:before="83"/>
              <w:ind w:left="129"/>
              <w:rPr>
                <w:sz w:val="12"/>
              </w:rPr>
            </w:pPr>
            <w:r>
              <w:rPr>
                <w:w w:val="105"/>
                <w:sz w:val="12"/>
              </w:rPr>
              <w:t>Variación %</w:t>
            </w:r>
          </w:p>
        </w:tc>
        <w:tc>
          <w:tcPr>
            <w:tcW w:w="676" w:type="dxa"/>
            <w:tcBorders>
              <w:top w:val="nil"/>
              <w:bottom w:val="nil"/>
            </w:tcBorders>
          </w:tcPr>
          <w:p>
            <w:pPr>
              <w:pStyle w:val="TableParagraph"/>
              <w:spacing w:before="83"/>
              <w:ind w:left="59" w:right="36"/>
              <w:jc w:val="center"/>
              <w:rPr>
                <w:sz w:val="12"/>
              </w:rPr>
            </w:pPr>
            <w:r>
              <w:rPr>
                <w:w w:val="105"/>
                <w:sz w:val="12"/>
              </w:rPr>
              <w:t>-1.5%</w:t>
            </w:r>
          </w:p>
        </w:tc>
        <w:tc>
          <w:tcPr>
            <w:tcW w:w="676" w:type="dxa"/>
            <w:tcBorders>
              <w:top w:val="nil"/>
              <w:bottom w:val="nil"/>
            </w:tcBorders>
          </w:tcPr>
          <w:p>
            <w:pPr>
              <w:pStyle w:val="TableParagraph"/>
              <w:spacing w:before="83"/>
              <w:ind w:left="52" w:right="36"/>
              <w:jc w:val="center"/>
              <w:rPr>
                <w:sz w:val="12"/>
              </w:rPr>
            </w:pPr>
            <w:r>
              <w:rPr>
                <w:w w:val="105"/>
                <w:sz w:val="12"/>
              </w:rPr>
              <w:t>8.0%</w:t>
            </w:r>
          </w:p>
        </w:tc>
        <w:tc>
          <w:tcPr>
            <w:tcW w:w="676" w:type="dxa"/>
            <w:tcBorders>
              <w:top w:val="nil"/>
              <w:bottom w:val="nil"/>
            </w:tcBorders>
          </w:tcPr>
          <w:p>
            <w:pPr>
              <w:pStyle w:val="TableParagraph"/>
              <w:spacing w:before="83"/>
              <w:ind w:left="53" w:right="36"/>
              <w:jc w:val="center"/>
              <w:rPr>
                <w:sz w:val="12"/>
              </w:rPr>
            </w:pPr>
            <w:r>
              <w:rPr>
                <w:w w:val="105"/>
                <w:sz w:val="12"/>
              </w:rPr>
              <w:t>3.0%</w:t>
            </w:r>
          </w:p>
        </w:tc>
        <w:tc>
          <w:tcPr>
            <w:tcW w:w="676" w:type="dxa"/>
            <w:tcBorders>
              <w:top w:val="nil"/>
              <w:bottom w:val="nil"/>
            </w:tcBorders>
          </w:tcPr>
          <w:p>
            <w:pPr>
              <w:pStyle w:val="TableParagraph"/>
              <w:spacing w:before="83"/>
              <w:ind w:left="54" w:right="36"/>
              <w:jc w:val="center"/>
              <w:rPr>
                <w:sz w:val="12"/>
              </w:rPr>
            </w:pPr>
            <w:r>
              <w:rPr>
                <w:w w:val="105"/>
                <w:sz w:val="12"/>
              </w:rPr>
              <w:t>3.5%</w:t>
            </w:r>
          </w:p>
        </w:tc>
        <w:tc>
          <w:tcPr>
            <w:tcW w:w="676" w:type="dxa"/>
            <w:tcBorders>
              <w:top w:val="nil"/>
              <w:bottom w:val="nil"/>
            </w:tcBorders>
          </w:tcPr>
          <w:p>
            <w:pPr>
              <w:pStyle w:val="TableParagraph"/>
              <w:spacing w:before="83"/>
              <w:ind w:left="55" w:right="36"/>
              <w:jc w:val="center"/>
              <w:rPr>
                <w:sz w:val="12"/>
              </w:rPr>
            </w:pPr>
            <w:r>
              <w:rPr>
                <w:w w:val="105"/>
                <w:sz w:val="12"/>
              </w:rPr>
              <w:t>3.6%</w:t>
            </w:r>
          </w:p>
        </w:tc>
        <w:tc>
          <w:tcPr>
            <w:tcW w:w="676" w:type="dxa"/>
            <w:tcBorders>
              <w:top w:val="nil"/>
              <w:bottom w:val="nil"/>
            </w:tcBorders>
          </w:tcPr>
          <w:p>
            <w:pPr>
              <w:pStyle w:val="TableParagraph"/>
              <w:spacing w:before="83"/>
              <w:ind w:left="57" w:right="36"/>
              <w:jc w:val="center"/>
              <w:rPr>
                <w:sz w:val="12"/>
              </w:rPr>
            </w:pPr>
            <w:r>
              <w:rPr>
                <w:w w:val="105"/>
                <w:sz w:val="12"/>
              </w:rPr>
              <w:t>3.6%</w:t>
            </w:r>
          </w:p>
        </w:tc>
        <w:tc>
          <w:tcPr>
            <w:tcW w:w="676" w:type="dxa"/>
            <w:tcBorders>
              <w:top w:val="nil"/>
              <w:bottom w:val="nil"/>
            </w:tcBorders>
          </w:tcPr>
          <w:p>
            <w:pPr>
              <w:pStyle w:val="TableParagraph"/>
              <w:spacing w:before="83"/>
              <w:ind w:left="58" w:right="36"/>
              <w:jc w:val="center"/>
              <w:rPr>
                <w:sz w:val="12"/>
              </w:rPr>
            </w:pPr>
            <w:r>
              <w:rPr>
                <w:w w:val="105"/>
                <w:sz w:val="12"/>
              </w:rPr>
              <w:t>3.7%</w:t>
            </w:r>
          </w:p>
        </w:tc>
        <w:tc>
          <w:tcPr>
            <w:tcW w:w="676" w:type="dxa"/>
            <w:tcBorders>
              <w:top w:val="nil"/>
              <w:bottom w:val="nil"/>
            </w:tcBorders>
          </w:tcPr>
          <w:p>
            <w:pPr>
              <w:pStyle w:val="TableParagraph"/>
              <w:spacing w:before="83"/>
              <w:ind w:left="59" w:right="36"/>
              <w:jc w:val="center"/>
              <w:rPr>
                <w:sz w:val="12"/>
              </w:rPr>
            </w:pPr>
            <w:r>
              <w:rPr>
                <w:w w:val="105"/>
                <w:sz w:val="12"/>
              </w:rPr>
              <w:t>3.7%</w:t>
            </w:r>
          </w:p>
        </w:tc>
      </w:tr>
      <w:tr>
        <w:trPr>
          <w:trHeight w:val="304" w:hRule="atLeast"/>
        </w:trPr>
        <w:tc>
          <w:tcPr>
            <w:tcW w:w="1171" w:type="dxa"/>
            <w:tcBorders>
              <w:top w:val="nil"/>
              <w:left w:val="single" w:sz="4" w:space="0" w:color="000000"/>
              <w:bottom w:val="nil"/>
            </w:tcBorders>
          </w:tcPr>
          <w:p>
            <w:pPr>
              <w:pStyle w:val="TableParagraph"/>
              <w:spacing w:before="83"/>
              <w:ind w:left="20"/>
              <w:rPr>
                <w:sz w:val="12"/>
              </w:rPr>
            </w:pPr>
            <w:r>
              <w:rPr>
                <w:w w:val="105"/>
                <w:sz w:val="12"/>
              </w:rPr>
              <w:t>PIB nominal</w:t>
            </w:r>
          </w:p>
        </w:tc>
        <w:tc>
          <w:tcPr>
            <w:tcW w:w="879" w:type="dxa"/>
            <w:tcBorders>
              <w:top w:val="nil"/>
              <w:bottom w:val="nil"/>
            </w:tcBorders>
          </w:tcPr>
          <w:p>
            <w:pPr>
              <w:pStyle w:val="TableParagraph"/>
              <w:spacing w:before="83"/>
              <w:ind w:left="95"/>
              <w:rPr>
                <w:sz w:val="12"/>
              </w:rPr>
            </w:pPr>
            <w:r>
              <w:rPr>
                <w:w w:val="105"/>
                <w:sz w:val="12"/>
              </w:rPr>
              <w:t>Millones de Q</w:t>
            </w:r>
          </w:p>
        </w:tc>
        <w:tc>
          <w:tcPr>
            <w:tcW w:w="676" w:type="dxa"/>
            <w:tcBorders>
              <w:top w:val="nil"/>
              <w:bottom w:val="nil"/>
            </w:tcBorders>
          </w:tcPr>
          <w:p>
            <w:pPr>
              <w:pStyle w:val="TableParagraph"/>
              <w:spacing w:before="83"/>
              <w:ind w:left="68" w:right="36"/>
              <w:jc w:val="center"/>
              <w:rPr>
                <w:sz w:val="12"/>
              </w:rPr>
            </w:pPr>
            <w:r>
              <w:rPr>
                <w:w w:val="105"/>
                <w:sz w:val="12"/>
              </w:rPr>
              <w:t>599,235.8</w:t>
            </w:r>
          </w:p>
        </w:tc>
        <w:tc>
          <w:tcPr>
            <w:tcW w:w="676" w:type="dxa"/>
            <w:tcBorders>
              <w:top w:val="nil"/>
              <w:bottom w:val="nil"/>
            </w:tcBorders>
          </w:tcPr>
          <w:p>
            <w:pPr>
              <w:pStyle w:val="TableParagraph"/>
              <w:spacing w:before="83"/>
              <w:ind w:left="68" w:right="36"/>
              <w:jc w:val="center"/>
              <w:rPr>
                <w:sz w:val="12"/>
              </w:rPr>
            </w:pPr>
            <w:r>
              <w:rPr>
                <w:w w:val="105"/>
                <w:sz w:val="12"/>
              </w:rPr>
              <w:t>665,048.2</w:t>
            </w:r>
          </w:p>
        </w:tc>
        <w:tc>
          <w:tcPr>
            <w:tcW w:w="676" w:type="dxa"/>
            <w:tcBorders>
              <w:top w:val="nil"/>
              <w:bottom w:val="nil"/>
            </w:tcBorders>
          </w:tcPr>
          <w:p>
            <w:pPr>
              <w:pStyle w:val="TableParagraph"/>
              <w:spacing w:before="83"/>
              <w:ind w:left="70" w:right="36"/>
              <w:jc w:val="center"/>
              <w:rPr>
                <w:sz w:val="12"/>
              </w:rPr>
            </w:pPr>
            <w:r>
              <w:rPr>
                <w:w w:val="105"/>
                <w:sz w:val="12"/>
              </w:rPr>
              <w:t>709,829.8</w:t>
            </w:r>
          </w:p>
        </w:tc>
        <w:tc>
          <w:tcPr>
            <w:tcW w:w="676" w:type="dxa"/>
            <w:tcBorders>
              <w:top w:val="nil"/>
              <w:bottom w:val="nil"/>
            </w:tcBorders>
          </w:tcPr>
          <w:p>
            <w:pPr>
              <w:pStyle w:val="TableParagraph"/>
              <w:spacing w:before="83"/>
              <w:ind w:left="71" w:right="36"/>
              <w:jc w:val="center"/>
              <w:rPr>
                <w:sz w:val="12"/>
              </w:rPr>
            </w:pPr>
            <w:r>
              <w:rPr>
                <w:w w:val="105"/>
                <w:sz w:val="12"/>
              </w:rPr>
              <w:t>762,339.9</w:t>
            </w:r>
          </w:p>
        </w:tc>
        <w:tc>
          <w:tcPr>
            <w:tcW w:w="676" w:type="dxa"/>
            <w:tcBorders>
              <w:top w:val="nil"/>
              <w:bottom w:val="nil"/>
            </w:tcBorders>
          </w:tcPr>
          <w:p>
            <w:pPr>
              <w:pStyle w:val="TableParagraph"/>
              <w:spacing w:before="83"/>
              <w:ind w:left="72" w:right="36"/>
              <w:jc w:val="center"/>
              <w:rPr>
                <w:sz w:val="12"/>
              </w:rPr>
            </w:pPr>
            <w:r>
              <w:rPr>
                <w:w w:val="105"/>
                <w:sz w:val="12"/>
              </w:rPr>
              <w:t>809,645.8</w:t>
            </w:r>
          </w:p>
        </w:tc>
        <w:tc>
          <w:tcPr>
            <w:tcW w:w="676" w:type="dxa"/>
            <w:tcBorders>
              <w:top w:val="nil"/>
              <w:bottom w:val="nil"/>
            </w:tcBorders>
          </w:tcPr>
          <w:p>
            <w:pPr>
              <w:pStyle w:val="TableParagraph"/>
              <w:spacing w:before="83"/>
              <w:ind w:left="72" w:right="35"/>
              <w:jc w:val="center"/>
              <w:rPr>
                <w:sz w:val="12"/>
              </w:rPr>
            </w:pPr>
            <w:r>
              <w:rPr>
                <w:w w:val="105"/>
                <w:sz w:val="12"/>
              </w:rPr>
              <w:t>860,008.1</w:t>
            </w:r>
          </w:p>
        </w:tc>
        <w:tc>
          <w:tcPr>
            <w:tcW w:w="676" w:type="dxa"/>
            <w:tcBorders>
              <w:top w:val="nil"/>
              <w:bottom w:val="nil"/>
            </w:tcBorders>
          </w:tcPr>
          <w:p>
            <w:pPr>
              <w:pStyle w:val="TableParagraph"/>
              <w:spacing w:before="83"/>
              <w:ind w:left="72" w:right="33"/>
              <w:jc w:val="center"/>
              <w:rPr>
                <w:sz w:val="12"/>
              </w:rPr>
            </w:pPr>
            <w:r>
              <w:rPr>
                <w:w w:val="105"/>
                <w:sz w:val="12"/>
              </w:rPr>
              <w:t>915,190.7</w:t>
            </w:r>
          </w:p>
        </w:tc>
        <w:tc>
          <w:tcPr>
            <w:tcW w:w="676" w:type="dxa"/>
            <w:tcBorders>
              <w:top w:val="nil"/>
              <w:bottom w:val="nil"/>
            </w:tcBorders>
          </w:tcPr>
          <w:p>
            <w:pPr>
              <w:pStyle w:val="TableParagraph"/>
              <w:spacing w:before="83"/>
              <w:ind w:left="72" w:right="32"/>
              <w:jc w:val="center"/>
              <w:rPr>
                <w:sz w:val="12"/>
              </w:rPr>
            </w:pPr>
            <w:r>
              <w:rPr>
                <w:w w:val="105"/>
                <w:sz w:val="12"/>
              </w:rPr>
              <w:t>973,914.0</w:t>
            </w:r>
          </w:p>
        </w:tc>
      </w:tr>
      <w:tr>
        <w:trPr>
          <w:trHeight w:val="304" w:hRule="atLeast"/>
        </w:trPr>
        <w:tc>
          <w:tcPr>
            <w:tcW w:w="1171" w:type="dxa"/>
            <w:tcBorders>
              <w:top w:val="nil"/>
              <w:left w:val="single" w:sz="4" w:space="0" w:color="000000"/>
              <w:bottom w:val="nil"/>
            </w:tcBorders>
          </w:tcPr>
          <w:p>
            <w:pPr>
              <w:pStyle w:val="TableParagraph"/>
              <w:spacing w:before="83"/>
              <w:ind w:left="20"/>
              <w:rPr>
                <w:sz w:val="12"/>
              </w:rPr>
            </w:pPr>
            <w:r>
              <w:rPr>
                <w:w w:val="105"/>
                <w:sz w:val="12"/>
              </w:rPr>
              <w:t>Variación</w:t>
            </w:r>
          </w:p>
        </w:tc>
        <w:tc>
          <w:tcPr>
            <w:tcW w:w="879" w:type="dxa"/>
            <w:tcBorders>
              <w:top w:val="nil"/>
              <w:bottom w:val="nil"/>
            </w:tcBorders>
          </w:tcPr>
          <w:p>
            <w:pPr>
              <w:pStyle w:val="TableParagraph"/>
              <w:spacing w:before="83"/>
              <w:ind w:left="129"/>
              <w:rPr>
                <w:sz w:val="12"/>
              </w:rPr>
            </w:pPr>
            <w:r>
              <w:rPr>
                <w:w w:val="105"/>
                <w:sz w:val="12"/>
              </w:rPr>
              <w:t>Variación %</w:t>
            </w:r>
          </w:p>
        </w:tc>
        <w:tc>
          <w:tcPr>
            <w:tcW w:w="676" w:type="dxa"/>
            <w:tcBorders>
              <w:top w:val="nil"/>
              <w:bottom w:val="nil"/>
            </w:tcBorders>
          </w:tcPr>
          <w:p>
            <w:pPr>
              <w:pStyle w:val="TableParagraph"/>
              <w:spacing w:before="83"/>
              <w:ind w:left="51" w:right="36"/>
              <w:jc w:val="center"/>
              <w:rPr>
                <w:sz w:val="12"/>
              </w:rPr>
            </w:pPr>
            <w:r>
              <w:rPr>
                <w:w w:val="105"/>
                <w:sz w:val="12"/>
              </w:rPr>
              <w:t>1.1%</w:t>
            </w:r>
          </w:p>
        </w:tc>
        <w:tc>
          <w:tcPr>
            <w:tcW w:w="676" w:type="dxa"/>
            <w:tcBorders>
              <w:top w:val="nil"/>
              <w:bottom w:val="nil"/>
            </w:tcBorders>
          </w:tcPr>
          <w:p>
            <w:pPr>
              <w:pStyle w:val="TableParagraph"/>
              <w:spacing w:before="83"/>
              <w:ind w:left="60" w:right="36"/>
              <w:jc w:val="center"/>
              <w:rPr>
                <w:sz w:val="12"/>
              </w:rPr>
            </w:pPr>
            <w:r>
              <w:rPr>
                <w:w w:val="105"/>
                <w:sz w:val="12"/>
              </w:rPr>
              <w:t>11.0%</w:t>
            </w:r>
          </w:p>
        </w:tc>
        <w:tc>
          <w:tcPr>
            <w:tcW w:w="676" w:type="dxa"/>
            <w:tcBorders>
              <w:top w:val="nil"/>
              <w:bottom w:val="nil"/>
            </w:tcBorders>
          </w:tcPr>
          <w:p>
            <w:pPr>
              <w:pStyle w:val="TableParagraph"/>
              <w:spacing w:before="83"/>
              <w:ind w:left="53" w:right="36"/>
              <w:jc w:val="center"/>
              <w:rPr>
                <w:sz w:val="12"/>
              </w:rPr>
            </w:pPr>
            <w:r>
              <w:rPr>
                <w:w w:val="105"/>
                <w:sz w:val="12"/>
              </w:rPr>
              <w:t>6.7%</w:t>
            </w:r>
          </w:p>
        </w:tc>
        <w:tc>
          <w:tcPr>
            <w:tcW w:w="676" w:type="dxa"/>
            <w:tcBorders>
              <w:top w:val="nil"/>
              <w:bottom w:val="nil"/>
            </w:tcBorders>
          </w:tcPr>
          <w:p>
            <w:pPr>
              <w:pStyle w:val="TableParagraph"/>
              <w:spacing w:before="83"/>
              <w:ind w:left="54" w:right="36"/>
              <w:jc w:val="center"/>
              <w:rPr>
                <w:sz w:val="12"/>
              </w:rPr>
            </w:pPr>
            <w:r>
              <w:rPr>
                <w:w w:val="105"/>
                <w:sz w:val="12"/>
              </w:rPr>
              <w:t>6.4%</w:t>
            </w:r>
          </w:p>
        </w:tc>
        <w:tc>
          <w:tcPr>
            <w:tcW w:w="676" w:type="dxa"/>
            <w:tcBorders>
              <w:top w:val="nil"/>
              <w:bottom w:val="nil"/>
            </w:tcBorders>
          </w:tcPr>
          <w:p>
            <w:pPr>
              <w:pStyle w:val="TableParagraph"/>
              <w:spacing w:before="83"/>
              <w:ind w:left="55" w:right="36"/>
              <w:jc w:val="center"/>
              <w:rPr>
                <w:sz w:val="12"/>
              </w:rPr>
            </w:pPr>
            <w:r>
              <w:rPr>
                <w:w w:val="105"/>
                <w:sz w:val="12"/>
              </w:rPr>
              <w:t>6.2%</w:t>
            </w:r>
          </w:p>
        </w:tc>
        <w:tc>
          <w:tcPr>
            <w:tcW w:w="676" w:type="dxa"/>
            <w:tcBorders>
              <w:top w:val="nil"/>
              <w:bottom w:val="nil"/>
            </w:tcBorders>
          </w:tcPr>
          <w:p>
            <w:pPr>
              <w:pStyle w:val="TableParagraph"/>
              <w:spacing w:before="83"/>
              <w:ind w:left="57" w:right="36"/>
              <w:jc w:val="center"/>
              <w:rPr>
                <w:sz w:val="12"/>
              </w:rPr>
            </w:pPr>
            <w:r>
              <w:rPr>
                <w:w w:val="105"/>
                <w:sz w:val="12"/>
              </w:rPr>
              <w:t>6.2%</w:t>
            </w:r>
          </w:p>
        </w:tc>
        <w:tc>
          <w:tcPr>
            <w:tcW w:w="676" w:type="dxa"/>
            <w:tcBorders>
              <w:top w:val="nil"/>
              <w:bottom w:val="nil"/>
            </w:tcBorders>
          </w:tcPr>
          <w:p>
            <w:pPr>
              <w:pStyle w:val="TableParagraph"/>
              <w:spacing w:before="83"/>
              <w:ind w:left="58" w:right="36"/>
              <w:jc w:val="center"/>
              <w:rPr>
                <w:sz w:val="12"/>
              </w:rPr>
            </w:pPr>
            <w:r>
              <w:rPr>
                <w:w w:val="105"/>
                <w:sz w:val="12"/>
              </w:rPr>
              <w:t>6.4%</w:t>
            </w:r>
          </w:p>
        </w:tc>
        <w:tc>
          <w:tcPr>
            <w:tcW w:w="676" w:type="dxa"/>
            <w:tcBorders>
              <w:top w:val="nil"/>
              <w:bottom w:val="nil"/>
            </w:tcBorders>
          </w:tcPr>
          <w:p>
            <w:pPr>
              <w:pStyle w:val="TableParagraph"/>
              <w:spacing w:before="83"/>
              <w:ind w:left="59" w:right="36"/>
              <w:jc w:val="center"/>
              <w:rPr>
                <w:sz w:val="12"/>
              </w:rPr>
            </w:pPr>
            <w:r>
              <w:rPr>
                <w:w w:val="105"/>
                <w:sz w:val="12"/>
              </w:rPr>
              <w:t>6.4%</w:t>
            </w:r>
          </w:p>
        </w:tc>
      </w:tr>
      <w:tr>
        <w:trPr>
          <w:trHeight w:val="304" w:hRule="atLeast"/>
        </w:trPr>
        <w:tc>
          <w:tcPr>
            <w:tcW w:w="1171" w:type="dxa"/>
            <w:tcBorders>
              <w:top w:val="nil"/>
              <w:left w:val="single" w:sz="4" w:space="0" w:color="000000"/>
              <w:bottom w:val="nil"/>
            </w:tcBorders>
          </w:tcPr>
          <w:p>
            <w:pPr>
              <w:pStyle w:val="TableParagraph"/>
              <w:spacing w:before="83"/>
              <w:ind w:left="20"/>
              <w:rPr>
                <w:sz w:val="12"/>
              </w:rPr>
            </w:pPr>
            <w:r>
              <w:rPr>
                <w:w w:val="105"/>
                <w:sz w:val="12"/>
              </w:rPr>
              <w:t>Importaciones FOB</w:t>
            </w:r>
          </w:p>
        </w:tc>
        <w:tc>
          <w:tcPr>
            <w:tcW w:w="879" w:type="dxa"/>
            <w:tcBorders>
              <w:top w:val="nil"/>
              <w:bottom w:val="nil"/>
            </w:tcBorders>
          </w:tcPr>
          <w:p>
            <w:pPr>
              <w:pStyle w:val="TableParagraph"/>
              <w:spacing w:before="83"/>
              <w:ind w:left="28"/>
              <w:rPr>
                <w:sz w:val="12"/>
              </w:rPr>
            </w:pPr>
            <w:r>
              <w:rPr>
                <w:spacing w:val="-6"/>
                <w:w w:val="105"/>
                <w:sz w:val="12"/>
              </w:rPr>
              <w:t>Millones </w:t>
            </w:r>
            <w:r>
              <w:rPr>
                <w:spacing w:val="-3"/>
                <w:w w:val="105"/>
                <w:sz w:val="12"/>
              </w:rPr>
              <w:t>de </w:t>
            </w:r>
            <w:r>
              <w:rPr>
                <w:w w:val="105"/>
                <w:sz w:val="12"/>
              </w:rPr>
              <w:t>US$</w:t>
            </w:r>
          </w:p>
        </w:tc>
        <w:tc>
          <w:tcPr>
            <w:tcW w:w="676" w:type="dxa"/>
            <w:tcBorders>
              <w:top w:val="nil"/>
              <w:bottom w:val="nil"/>
            </w:tcBorders>
          </w:tcPr>
          <w:p>
            <w:pPr>
              <w:pStyle w:val="TableParagraph"/>
              <w:spacing w:before="83"/>
              <w:ind w:left="59" w:right="36"/>
              <w:jc w:val="center"/>
              <w:rPr>
                <w:sz w:val="12"/>
              </w:rPr>
            </w:pPr>
            <w:r>
              <w:rPr>
                <w:w w:val="105"/>
                <w:sz w:val="12"/>
              </w:rPr>
              <w:t>16,441.2</w:t>
            </w:r>
          </w:p>
        </w:tc>
        <w:tc>
          <w:tcPr>
            <w:tcW w:w="676" w:type="dxa"/>
            <w:tcBorders>
              <w:top w:val="nil"/>
              <w:bottom w:val="nil"/>
            </w:tcBorders>
          </w:tcPr>
          <w:p>
            <w:pPr>
              <w:pStyle w:val="TableParagraph"/>
              <w:spacing w:before="83"/>
              <w:ind w:left="60" w:right="36"/>
              <w:jc w:val="center"/>
              <w:rPr>
                <w:sz w:val="12"/>
              </w:rPr>
            </w:pPr>
            <w:r>
              <w:rPr>
                <w:w w:val="105"/>
                <w:sz w:val="12"/>
              </w:rPr>
              <w:t>23,332.7</w:t>
            </w:r>
          </w:p>
        </w:tc>
        <w:tc>
          <w:tcPr>
            <w:tcW w:w="676" w:type="dxa"/>
            <w:tcBorders>
              <w:top w:val="nil"/>
              <w:bottom w:val="nil"/>
            </w:tcBorders>
          </w:tcPr>
          <w:p>
            <w:pPr>
              <w:pStyle w:val="TableParagraph"/>
              <w:spacing w:before="83"/>
              <w:ind w:left="61" w:right="36"/>
              <w:jc w:val="center"/>
              <w:rPr>
                <w:sz w:val="12"/>
              </w:rPr>
            </w:pPr>
            <w:r>
              <w:rPr>
                <w:w w:val="105"/>
                <w:sz w:val="12"/>
              </w:rPr>
              <w:t>25,778.7</w:t>
            </w:r>
          </w:p>
        </w:tc>
        <w:tc>
          <w:tcPr>
            <w:tcW w:w="676" w:type="dxa"/>
            <w:tcBorders>
              <w:top w:val="nil"/>
              <w:bottom w:val="nil"/>
            </w:tcBorders>
          </w:tcPr>
          <w:p>
            <w:pPr>
              <w:pStyle w:val="TableParagraph"/>
              <w:spacing w:before="83"/>
              <w:ind w:left="62" w:right="36"/>
              <w:jc w:val="center"/>
              <w:rPr>
                <w:sz w:val="12"/>
              </w:rPr>
            </w:pPr>
            <w:r>
              <w:rPr>
                <w:w w:val="105"/>
                <w:sz w:val="12"/>
              </w:rPr>
              <w:t>28,222.5</w:t>
            </w:r>
          </w:p>
        </w:tc>
        <w:tc>
          <w:tcPr>
            <w:tcW w:w="676" w:type="dxa"/>
            <w:tcBorders>
              <w:top w:val="nil"/>
              <w:bottom w:val="nil"/>
            </w:tcBorders>
          </w:tcPr>
          <w:p>
            <w:pPr>
              <w:pStyle w:val="TableParagraph"/>
              <w:spacing w:before="83"/>
              <w:ind w:left="64" w:right="36"/>
              <w:jc w:val="center"/>
              <w:rPr>
                <w:sz w:val="12"/>
              </w:rPr>
            </w:pPr>
            <w:r>
              <w:rPr>
                <w:w w:val="105"/>
                <w:sz w:val="12"/>
              </w:rPr>
              <w:t>30,352.7</w:t>
            </w:r>
          </w:p>
        </w:tc>
        <w:tc>
          <w:tcPr>
            <w:tcW w:w="676" w:type="dxa"/>
            <w:tcBorders>
              <w:top w:val="nil"/>
              <w:bottom w:val="nil"/>
            </w:tcBorders>
          </w:tcPr>
          <w:p>
            <w:pPr>
              <w:pStyle w:val="TableParagraph"/>
              <w:spacing w:before="83"/>
              <w:ind w:left="65" w:right="36"/>
              <w:jc w:val="center"/>
              <w:rPr>
                <w:sz w:val="12"/>
              </w:rPr>
            </w:pPr>
            <w:r>
              <w:rPr>
                <w:w w:val="105"/>
                <w:sz w:val="12"/>
              </w:rPr>
              <w:t>32,487.2</w:t>
            </w:r>
          </w:p>
        </w:tc>
        <w:tc>
          <w:tcPr>
            <w:tcW w:w="676" w:type="dxa"/>
            <w:tcBorders>
              <w:top w:val="nil"/>
              <w:bottom w:val="nil"/>
            </w:tcBorders>
          </w:tcPr>
          <w:p>
            <w:pPr>
              <w:pStyle w:val="TableParagraph"/>
              <w:spacing w:before="83"/>
              <w:ind w:left="66" w:right="36"/>
              <w:jc w:val="center"/>
              <w:rPr>
                <w:sz w:val="12"/>
              </w:rPr>
            </w:pPr>
            <w:r>
              <w:rPr>
                <w:w w:val="105"/>
                <w:sz w:val="12"/>
              </w:rPr>
              <w:t>34,916.6</w:t>
            </w:r>
          </w:p>
        </w:tc>
        <w:tc>
          <w:tcPr>
            <w:tcW w:w="676" w:type="dxa"/>
            <w:tcBorders>
              <w:top w:val="nil"/>
              <w:bottom w:val="nil"/>
            </w:tcBorders>
          </w:tcPr>
          <w:p>
            <w:pPr>
              <w:pStyle w:val="TableParagraph"/>
              <w:spacing w:before="83"/>
              <w:ind w:left="67" w:right="36"/>
              <w:jc w:val="center"/>
              <w:rPr>
                <w:sz w:val="12"/>
              </w:rPr>
            </w:pPr>
            <w:r>
              <w:rPr>
                <w:w w:val="105"/>
                <w:sz w:val="12"/>
              </w:rPr>
              <w:t>37,539.6</w:t>
            </w:r>
          </w:p>
        </w:tc>
      </w:tr>
      <w:tr>
        <w:trPr>
          <w:trHeight w:val="286" w:hRule="atLeast"/>
        </w:trPr>
        <w:tc>
          <w:tcPr>
            <w:tcW w:w="1171" w:type="dxa"/>
            <w:tcBorders>
              <w:top w:val="nil"/>
              <w:left w:val="single" w:sz="4" w:space="0" w:color="000000"/>
            </w:tcBorders>
          </w:tcPr>
          <w:p>
            <w:pPr>
              <w:pStyle w:val="TableParagraph"/>
              <w:spacing w:before="83"/>
              <w:ind w:left="20"/>
              <w:rPr>
                <w:sz w:val="12"/>
              </w:rPr>
            </w:pPr>
            <w:r>
              <w:rPr>
                <w:w w:val="105"/>
                <w:sz w:val="12"/>
              </w:rPr>
              <w:t>variación</w:t>
            </w:r>
          </w:p>
        </w:tc>
        <w:tc>
          <w:tcPr>
            <w:tcW w:w="879" w:type="dxa"/>
            <w:tcBorders>
              <w:top w:val="nil"/>
            </w:tcBorders>
          </w:tcPr>
          <w:p>
            <w:pPr>
              <w:pStyle w:val="TableParagraph"/>
              <w:spacing w:before="83"/>
              <w:ind w:left="129"/>
              <w:rPr>
                <w:sz w:val="12"/>
              </w:rPr>
            </w:pPr>
            <w:r>
              <w:rPr>
                <w:w w:val="105"/>
                <w:sz w:val="12"/>
              </w:rPr>
              <w:t>Variación %</w:t>
            </w:r>
          </w:p>
        </w:tc>
        <w:tc>
          <w:tcPr>
            <w:tcW w:w="676" w:type="dxa"/>
            <w:tcBorders>
              <w:top w:val="nil"/>
            </w:tcBorders>
          </w:tcPr>
          <w:p>
            <w:pPr>
              <w:pStyle w:val="TableParagraph"/>
              <w:spacing w:before="83"/>
              <w:ind w:left="59" w:right="36"/>
              <w:jc w:val="center"/>
              <w:rPr>
                <w:sz w:val="12"/>
              </w:rPr>
            </w:pPr>
            <w:r>
              <w:rPr>
                <w:w w:val="105"/>
                <w:sz w:val="12"/>
              </w:rPr>
              <w:t>-8.1%</w:t>
            </w:r>
          </w:p>
        </w:tc>
        <w:tc>
          <w:tcPr>
            <w:tcW w:w="676" w:type="dxa"/>
            <w:tcBorders>
              <w:top w:val="nil"/>
            </w:tcBorders>
          </w:tcPr>
          <w:p>
            <w:pPr>
              <w:pStyle w:val="TableParagraph"/>
              <w:spacing w:before="83"/>
              <w:ind w:left="60" w:right="36"/>
              <w:jc w:val="center"/>
              <w:rPr>
                <w:sz w:val="12"/>
              </w:rPr>
            </w:pPr>
            <w:r>
              <w:rPr>
                <w:w w:val="105"/>
                <w:sz w:val="12"/>
              </w:rPr>
              <w:t>41.9%</w:t>
            </w:r>
          </w:p>
        </w:tc>
        <w:tc>
          <w:tcPr>
            <w:tcW w:w="676" w:type="dxa"/>
            <w:tcBorders>
              <w:top w:val="nil"/>
            </w:tcBorders>
          </w:tcPr>
          <w:p>
            <w:pPr>
              <w:pStyle w:val="TableParagraph"/>
              <w:spacing w:before="83"/>
              <w:ind w:left="62" w:right="36"/>
              <w:jc w:val="center"/>
              <w:rPr>
                <w:sz w:val="12"/>
              </w:rPr>
            </w:pPr>
            <w:r>
              <w:rPr>
                <w:w w:val="105"/>
                <w:sz w:val="12"/>
              </w:rPr>
              <w:t>10.5%</w:t>
            </w:r>
          </w:p>
        </w:tc>
        <w:tc>
          <w:tcPr>
            <w:tcW w:w="676" w:type="dxa"/>
            <w:tcBorders>
              <w:top w:val="nil"/>
            </w:tcBorders>
          </w:tcPr>
          <w:p>
            <w:pPr>
              <w:pStyle w:val="TableParagraph"/>
              <w:spacing w:before="83"/>
              <w:ind w:left="54" w:right="36"/>
              <w:jc w:val="center"/>
              <w:rPr>
                <w:sz w:val="12"/>
              </w:rPr>
            </w:pPr>
            <w:r>
              <w:rPr>
                <w:w w:val="105"/>
                <w:sz w:val="12"/>
              </w:rPr>
              <w:t>8.0%</w:t>
            </w:r>
          </w:p>
        </w:tc>
        <w:tc>
          <w:tcPr>
            <w:tcW w:w="676" w:type="dxa"/>
            <w:tcBorders>
              <w:top w:val="nil"/>
            </w:tcBorders>
          </w:tcPr>
          <w:p>
            <w:pPr>
              <w:pStyle w:val="TableParagraph"/>
              <w:spacing w:before="83"/>
              <w:ind w:left="55" w:right="36"/>
              <w:jc w:val="center"/>
              <w:rPr>
                <w:sz w:val="12"/>
              </w:rPr>
            </w:pPr>
            <w:r>
              <w:rPr>
                <w:w w:val="105"/>
                <w:sz w:val="12"/>
              </w:rPr>
              <w:t>7.5%</w:t>
            </w:r>
          </w:p>
        </w:tc>
        <w:tc>
          <w:tcPr>
            <w:tcW w:w="676" w:type="dxa"/>
            <w:tcBorders>
              <w:top w:val="nil"/>
            </w:tcBorders>
          </w:tcPr>
          <w:p>
            <w:pPr>
              <w:pStyle w:val="TableParagraph"/>
              <w:spacing w:before="83"/>
              <w:ind w:left="57" w:right="36"/>
              <w:jc w:val="center"/>
              <w:rPr>
                <w:sz w:val="12"/>
              </w:rPr>
            </w:pPr>
            <w:r>
              <w:rPr>
                <w:w w:val="105"/>
                <w:sz w:val="12"/>
              </w:rPr>
              <w:t>7.0%</w:t>
            </w:r>
          </w:p>
        </w:tc>
        <w:tc>
          <w:tcPr>
            <w:tcW w:w="676" w:type="dxa"/>
            <w:tcBorders>
              <w:top w:val="nil"/>
            </w:tcBorders>
          </w:tcPr>
          <w:p>
            <w:pPr>
              <w:pStyle w:val="TableParagraph"/>
              <w:spacing w:before="83"/>
              <w:ind w:left="58" w:right="36"/>
              <w:jc w:val="center"/>
              <w:rPr>
                <w:sz w:val="12"/>
              </w:rPr>
            </w:pPr>
            <w:r>
              <w:rPr>
                <w:w w:val="105"/>
                <w:sz w:val="12"/>
              </w:rPr>
              <w:t>7.5%</w:t>
            </w:r>
          </w:p>
        </w:tc>
        <w:tc>
          <w:tcPr>
            <w:tcW w:w="676" w:type="dxa"/>
            <w:tcBorders>
              <w:top w:val="nil"/>
            </w:tcBorders>
          </w:tcPr>
          <w:p>
            <w:pPr>
              <w:pStyle w:val="TableParagraph"/>
              <w:spacing w:before="83"/>
              <w:ind w:left="59" w:right="36"/>
              <w:jc w:val="center"/>
              <w:rPr>
                <w:sz w:val="12"/>
              </w:rPr>
            </w:pPr>
            <w:r>
              <w:rPr>
                <w:w w:val="105"/>
                <w:sz w:val="12"/>
              </w:rPr>
              <w:t>7.5%</w:t>
            </w:r>
          </w:p>
        </w:tc>
      </w:tr>
    </w:tbl>
    <w:p>
      <w:pPr>
        <w:spacing w:before="38"/>
        <w:ind w:left="562" w:right="0" w:firstLine="0"/>
        <w:jc w:val="both"/>
        <w:rPr>
          <w:sz w:val="16"/>
        </w:rPr>
      </w:pPr>
      <w:r>
        <w:rPr>
          <w:sz w:val="16"/>
        </w:rPr>
        <w:t>Fuente: Banco de Guatemala (escenario bajo 2022 y escenario medio 2023 -2027)</w:t>
      </w:r>
    </w:p>
    <w:p>
      <w:pPr>
        <w:pStyle w:val="BodyText"/>
        <w:rPr>
          <w:sz w:val="18"/>
        </w:rPr>
      </w:pPr>
    </w:p>
    <w:p>
      <w:pPr>
        <w:pStyle w:val="BodyText"/>
        <w:spacing w:line="276" w:lineRule="auto" w:before="108"/>
        <w:ind w:left="562" w:right="1698"/>
        <w:jc w:val="both"/>
      </w:pPr>
      <w:r>
        <w:rPr/>
        <w:t>Este</w:t>
      </w:r>
      <w:r>
        <w:rPr>
          <w:spacing w:val="-7"/>
        </w:rPr>
        <w:t> </w:t>
      </w:r>
      <w:r>
        <w:rPr/>
        <w:t>escenario</w:t>
      </w:r>
      <w:r>
        <w:rPr>
          <w:spacing w:val="-7"/>
        </w:rPr>
        <w:t> </w:t>
      </w:r>
      <w:r>
        <w:rPr/>
        <w:t>para</w:t>
      </w:r>
      <w:r>
        <w:rPr>
          <w:spacing w:val="-7"/>
        </w:rPr>
        <w:t> </w:t>
      </w:r>
      <w:r>
        <w:rPr/>
        <w:t>2023</w:t>
      </w:r>
      <w:r>
        <w:rPr>
          <w:spacing w:val="-6"/>
        </w:rPr>
        <w:t> </w:t>
      </w:r>
      <w:r>
        <w:rPr/>
        <w:t>refleja</w:t>
      </w:r>
      <w:r>
        <w:rPr>
          <w:spacing w:val="-7"/>
        </w:rPr>
        <w:t> </w:t>
      </w:r>
      <w:r>
        <w:rPr/>
        <w:t>que</w:t>
      </w:r>
      <w:r>
        <w:rPr>
          <w:spacing w:val="-7"/>
        </w:rPr>
        <w:t> </w:t>
      </w:r>
      <w:r>
        <w:rPr/>
        <w:t>la</w:t>
      </w:r>
      <w:r>
        <w:rPr>
          <w:spacing w:val="-8"/>
        </w:rPr>
        <w:t> </w:t>
      </w:r>
      <w:r>
        <w:rPr/>
        <w:t>recaudación</w:t>
      </w:r>
      <w:r>
        <w:rPr>
          <w:spacing w:val="-10"/>
        </w:rPr>
        <w:t> </w:t>
      </w:r>
      <w:r>
        <w:rPr/>
        <w:t>tributaria</w:t>
      </w:r>
      <w:r>
        <w:rPr>
          <w:spacing w:val="-7"/>
        </w:rPr>
        <w:t> </w:t>
      </w:r>
      <w:r>
        <w:rPr/>
        <w:t>podría</w:t>
      </w:r>
      <w:r>
        <w:rPr>
          <w:spacing w:val="-6"/>
        </w:rPr>
        <w:t> </w:t>
      </w:r>
      <w:r>
        <w:rPr/>
        <w:t>ubicarse</w:t>
      </w:r>
      <w:r>
        <w:rPr>
          <w:spacing w:val="-9"/>
        </w:rPr>
        <w:t> </w:t>
      </w:r>
      <w:r>
        <w:rPr/>
        <w:t>en</w:t>
      </w:r>
      <w:r>
        <w:rPr>
          <w:spacing w:val="-7"/>
        </w:rPr>
        <w:t> </w:t>
      </w:r>
      <w:r>
        <w:rPr/>
        <w:t>Q86,503.0</w:t>
      </w:r>
      <w:r>
        <w:rPr>
          <w:spacing w:val="-6"/>
        </w:rPr>
        <w:t> </w:t>
      </w:r>
      <w:r>
        <w:rPr/>
        <w:t>millones, monto superior en Q1,892.3 millones con respecto a lo previsto en la estimación de presupuesto multianual (Q84,610.7 millones). Con el uso de este escenario se recalcula la recaudación tributaria para 2027 la cual se situará en Q114,410.8 millones monto superior a lo contemplado en el Proyecto de</w:t>
      </w:r>
      <w:r>
        <w:rPr>
          <w:spacing w:val="-7"/>
        </w:rPr>
        <w:t> </w:t>
      </w:r>
      <w:r>
        <w:rPr/>
        <w:t>Presupuesto</w:t>
      </w:r>
      <w:r>
        <w:rPr>
          <w:spacing w:val="-7"/>
        </w:rPr>
        <w:t> </w:t>
      </w:r>
      <w:r>
        <w:rPr/>
        <w:t>dado</w:t>
      </w:r>
      <w:r>
        <w:rPr>
          <w:spacing w:val="-7"/>
        </w:rPr>
        <w:t> </w:t>
      </w:r>
      <w:r>
        <w:rPr/>
        <w:t>el</w:t>
      </w:r>
      <w:r>
        <w:rPr>
          <w:spacing w:val="-6"/>
        </w:rPr>
        <w:t> </w:t>
      </w:r>
      <w:r>
        <w:rPr/>
        <w:t>cambio</w:t>
      </w:r>
      <w:r>
        <w:rPr>
          <w:spacing w:val="-7"/>
        </w:rPr>
        <w:t> </w:t>
      </w:r>
      <w:r>
        <w:rPr/>
        <w:t>en</w:t>
      </w:r>
      <w:r>
        <w:rPr>
          <w:spacing w:val="-9"/>
        </w:rPr>
        <w:t> </w:t>
      </w:r>
      <w:r>
        <w:rPr/>
        <w:t>el</w:t>
      </w:r>
      <w:r>
        <w:rPr>
          <w:spacing w:val="-6"/>
        </w:rPr>
        <w:t> </w:t>
      </w:r>
      <w:r>
        <w:rPr/>
        <w:t>escenario</w:t>
      </w:r>
      <w:r>
        <w:rPr>
          <w:spacing w:val="-6"/>
        </w:rPr>
        <w:t> </w:t>
      </w:r>
      <w:r>
        <w:rPr/>
        <w:t>macroeconómico,</w:t>
      </w:r>
      <w:r>
        <w:rPr>
          <w:spacing w:val="-7"/>
        </w:rPr>
        <w:t> </w:t>
      </w:r>
      <w:r>
        <w:rPr/>
        <w:t>la</w:t>
      </w:r>
      <w:r>
        <w:rPr>
          <w:spacing w:val="-7"/>
        </w:rPr>
        <w:t> </w:t>
      </w:r>
      <w:r>
        <w:rPr/>
        <w:t>nueva</w:t>
      </w:r>
      <w:r>
        <w:rPr>
          <w:spacing w:val="-7"/>
        </w:rPr>
        <w:t> </w:t>
      </w:r>
      <w:r>
        <w:rPr/>
        <w:t>carga</w:t>
      </w:r>
      <w:r>
        <w:rPr>
          <w:spacing w:val="-7"/>
        </w:rPr>
        <w:t> </w:t>
      </w:r>
      <w:r>
        <w:rPr/>
        <w:t>para</w:t>
      </w:r>
      <w:r>
        <w:rPr>
          <w:spacing w:val="-7"/>
        </w:rPr>
        <w:t> </w:t>
      </w:r>
      <w:r>
        <w:rPr/>
        <w:t>2027</w:t>
      </w:r>
      <w:r>
        <w:rPr>
          <w:spacing w:val="-7"/>
        </w:rPr>
        <w:t> </w:t>
      </w:r>
      <w:r>
        <w:rPr/>
        <w:t>utilizando el escenario medio en todos los años es de</w:t>
      </w:r>
      <w:r>
        <w:rPr>
          <w:spacing w:val="-8"/>
        </w:rPr>
        <w:t> </w:t>
      </w:r>
      <w:r>
        <w:rPr/>
        <w:t>11.75%.</w:t>
      </w:r>
    </w:p>
    <w:p>
      <w:pPr>
        <w:pStyle w:val="BodyText"/>
        <w:spacing w:before="4"/>
        <w:rPr>
          <w:sz w:val="25"/>
        </w:rPr>
      </w:pPr>
    </w:p>
    <w:p>
      <w:pPr>
        <w:pStyle w:val="BodyText"/>
        <w:spacing w:line="276" w:lineRule="auto" w:before="1"/>
        <w:ind w:left="562" w:right="1696"/>
        <w:jc w:val="both"/>
      </w:pPr>
      <w:r>
        <w:rPr/>
        <w:t>Este escenario no contempla medidas de política fiscal (Reformas tributarias o modificaciones al marco legal vigente), en este ejercicio se adiciona un esfuerzo adicional por la reducción del incumplimiento por parte de la Superintendencia de Administración Tributaria –SAT- que a su vez se convertirán en un aumento en la percepción de riesgo de los contribuyentes.</w:t>
      </w:r>
    </w:p>
    <w:p>
      <w:pPr>
        <w:pStyle w:val="BodyText"/>
        <w:spacing w:before="9"/>
        <w:rPr>
          <w:sz w:val="25"/>
        </w:rPr>
      </w:pPr>
    </w:p>
    <w:p>
      <w:pPr>
        <w:spacing w:before="0"/>
        <w:ind w:left="1395" w:right="2536" w:firstLine="0"/>
        <w:jc w:val="center"/>
        <w:rPr>
          <w:b/>
          <w:sz w:val="18"/>
        </w:rPr>
      </w:pPr>
      <w:r>
        <w:rPr>
          <w:b/>
          <w:sz w:val="18"/>
        </w:rPr>
        <w:t>Tabla </w:t>
      </w:r>
      <w:r>
        <w:rPr>
          <w:b/>
          <w:i/>
          <w:sz w:val="18"/>
        </w:rPr>
        <w:t>21 </w:t>
      </w:r>
      <w:r>
        <w:rPr>
          <w:b/>
          <w:sz w:val="18"/>
        </w:rPr>
        <w:t>Proyección de recaudación tributaria</w:t>
      </w:r>
    </w:p>
    <w:p>
      <w:pPr>
        <w:spacing w:line="276" w:lineRule="auto" w:before="26" w:after="5"/>
        <w:ind w:left="4364" w:right="5499" w:firstLine="0"/>
        <w:jc w:val="center"/>
        <w:rPr>
          <w:i/>
          <w:sz w:val="18"/>
        </w:rPr>
      </w:pPr>
      <w:r>
        <w:rPr/>
        <w:pict>
          <v:rect style="position:absolute;margin-left:121.478737pt;margin-top:73.214935pt;width:199.998415pt;height:8.883614pt;mso-position-horizontal-relative:page;mso-position-vertical-relative:paragraph;z-index:-280135680" filled="true" fillcolor="#d5dce3" stroked="false">
            <v:fill type="solid"/>
            <w10:wrap type="none"/>
          </v:rect>
        </w:pict>
      </w:r>
      <w:r>
        <w:rPr>
          <w:i/>
          <w:sz w:val="18"/>
        </w:rPr>
        <w:t>Escenario Medio </w:t>
      </w:r>
      <w:r>
        <w:rPr>
          <w:i/>
          <w:sz w:val="18"/>
        </w:rPr>
        <w:t>2019-2027</w:t>
      </w:r>
    </w:p>
    <w:tbl>
      <w:tblPr>
        <w:tblW w:w="0" w:type="auto"/>
        <w:jc w:val="left"/>
        <w:tblInd w:w="1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6"/>
        <w:gridCol w:w="653"/>
        <w:gridCol w:w="614"/>
        <w:gridCol w:w="558"/>
        <w:gridCol w:w="597"/>
        <w:gridCol w:w="558"/>
        <w:gridCol w:w="558"/>
        <w:gridCol w:w="558"/>
        <w:gridCol w:w="558"/>
        <w:gridCol w:w="561"/>
      </w:tblGrid>
      <w:tr>
        <w:trPr>
          <w:trHeight w:val="104" w:hRule="atLeast"/>
        </w:trPr>
        <w:tc>
          <w:tcPr>
            <w:tcW w:w="2176" w:type="dxa"/>
            <w:vMerge w:val="restart"/>
            <w:tcBorders>
              <w:top w:val="single" w:sz="4" w:space="0" w:color="000000"/>
              <w:bottom w:val="single" w:sz="4" w:space="0" w:color="000000"/>
              <w:right w:val="single" w:sz="4" w:space="0" w:color="000000"/>
            </w:tcBorders>
            <w:shd w:val="clear" w:color="auto" w:fill="44536A"/>
          </w:tcPr>
          <w:p>
            <w:pPr>
              <w:pStyle w:val="TableParagraph"/>
              <w:spacing w:before="57"/>
              <w:ind w:left="672"/>
              <w:rPr>
                <w:rFonts w:ascii="Arial" w:hAnsi="Arial"/>
                <w:b/>
                <w:i/>
                <w:sz w:val="12"/>
              </w:rPr>
            </w:pPr>
            <w:r>
              <w:rPr>
                <w:rFonts w:ascii="Arial" w:hAnsi="Arial"/>
                <w:b/>
                <w:i/>
                <w:color w:val="FFFFFF"/>
                <w:sz w:val="12"/>
              </w:rPr>
              <w:t>DESCRIPCIÓN</w:t>
            </w:r>
          </w:p>
        </w:tc>
        <w:tc>
          <w:tcPr>
            <w:tcW w:w="653" w:type="dxa"/>
            <w:vMerge w:val="restart"/>
            <w:tcBorders>
              <w:top w:val="single" w:sz="4" w:space="0" w:color="000000"/>
              <w:left w:val="single" w:sz="4" w:space="0" w:color="000000"/>
              <w:bottom w:val="single" w:sz="4" w:space="0" w:color="000000"/>
              <w:right w:val="single" w:sz="4" w:space="0" w:color="000000"/>
            </w:tcBorders>
            <w:shd w:val="clear" w:color="auto" w:fill="44536A"/>
          </w:tcPr>
          <w:p>
            <w:pPr>
              <w:pStyle w:val="TableParagraph"/>
              <w:spacing w:line="110" w:lineRule="atLeast" w:before="16"/>
              <w:ind w:left="215" w:right="87" w:hanging="140"/>
              <w:rPr>
                <w:rFonts w:ascii="Arial"/>
                <w:b/>
                <w:i/>
                <w:sz w:val="9"/>
              </w:rPr>
            </w:pPr>
            <w:r>
              <w:rPr>
                <w:rFonts w:ascii="Arial"/>
                <w:b/>
                <w:i/>
                <w:color w:val="FFFFFF"/>
                <w:w w:val="95"/>
                <w:sz w:val="9"/>
              </w:rPr>
              <w:t>Recaudado </w:t>
            </w:r>
            <w:r>
              <w:rPr>
                <w:rFonts w:ascii="Arial"/>
                <w:b/>
                <w:i/>
                <w:color w:val="FFFFFF"/>
                <w:sz w:val="9"/>
              </w:rPr>
              <w:t>2019</w:t>
            </w:r>
          </w:p>
        </w:tc>
        <w:tc>
          <w:tcPr>
            <w:tcW w:w="614" w:type="dxa"/>
            <w:vMerge w:val="restart"/>
            <w:tcBorders>
              <w:top w:val="single" w:sz="4" w:space="0" w:color="000000"/>
              <w:left w:val="single" w:sz="4" w:space="0" w:color="000000"/>
              <w:bottom w:val="single" w:sz="4" w:space="0" w:color="000000"/>
              <w:right w:val="single" w:sz="4" w:space="0" w:color="000000"/>
            </w:tcBorders>
            <w:shd w:val="clear" w:color="auto" w:fill="44536A"/>
          </w:tcPr>
          <w:p>
            <w:pPr>
              <w:pStyle w:val="TableParagraph"/>
              <w:spacing w:line="110" w:lineRule="atLeast" w:before="16"/>
              <w:ind w:left="192" w:right="71" w:hanging="140"/>
              <w:rPr>
                <w:rFonts w:ascii="Arial"/>
                <w:b/>
                <w:i/>
                <w:sz w:val="9"/>
              </w:rPr>
            </w:pPr>
            <w:r>
              <w:rPr>
                <w:rFonts w:ascii="Arial"/>
                <w:b/>
                <w:i/>
                <w:color w:val="FFFFFF"/>
                <w:w w:val="95"/>
                <w:sz w:val="9"/>
              </w:rPr>
              <w:t>Recaudado </w:t>
            </w:r>
            <w:r>
              <w:rPr>
                <w:rFonts w:ascii="Arial"/>
                <w:b/>
                <w:i/>
                <w:color w:val="FFFFFF"/>
                <w:sz w:val="9"/>
              </w:rPr>
              <w:t>2020</w:t>
            </w:r>
          </w:p>
        </w:tc>
        <w:tc>
          <w:tcPr>
            <w:tcW w:w="558" w:type="dxa"/>
            <w:vMerge w:val="restart"/>
            <w:tcBorders>
              <w:top w:val="single" w:sz="4" w:space="0" w:color="000000"/>
              <w:left w:val="single" w:sz="4" w:space="0" w:color="000000"/>
              <w:bottom w:val="single" w:sz="4" w:space="0" w:color="000000"/>
              <w:right w:val="single" w:sz="4" w:space="0" w:color="000000"/>
            </w:tcBorders>
            <w:shd w:val="clear" w:color="auto" w:fill="44536A"/>
          </w:tcPr>
          <w:p>
            <w:pPr>
              <w:pStyle w:val="TableParagraph"/>
              <w:spacing w:line="110" w:lineRule="atLeast" w:before="16"/>
              <w:ind w:left="164" w:right="43" w:hanging="140"/>
              <w:rPr>
                <w:rFonts w:ascii="Arial"/>
                <w:b/>
                <w:i/>
                <w:sz w:val="9"/>
              </w:rPr>
            </w:pPr>
            <w:r>
              <w:rPr>
                <w:rFonts w:ascii="Arial"/>
                <w:b/>
                <w:i/>
                <w:color w:val="FFFFFF"/>
                <w:w w:val="95"/>
                <w:sz w:val="9"/>
              </w:rPr>
              <w:t>Recaudado </w:t>
            </w:r>
            <w:r>
              <w:rPr>
                <w:rFonts w:ascii="Arial"/>
                <w:b/>
                <w:i/>
                <w:color w:val="FFFFFF"/>
                <w:sz w:val="9"/>
              </w:rPr>
              <w:t>2021</w:t>
            </w:r>
          </w:p>
        </w:tc>
        <w:tc>
          <w:tcPr>
            <w:tcW w:w="597" w:type="dxa"/>
            <w:tcBorders>
              <w:top w:val="single" w:sz="4" w:space="0" w:color="000000"/>
              <w:left w:val="single" w:sz="4" w:space="0" w:color="000000"/>
              <w:bottom w:val="single" w:sz="4" w:space="0" w:color="000000"/>
            </w:tcBorders>
            <w:shd w:val="clear" w:color="auto" w:fill="2F5395"/>
          </w:tcPr>
          <w:p>
            <w:pPr>
              <w:pStyle w:val="TableParagraph"/>
              <w:rPr>
                <w:sz w:val="4"/>
              </w:rPr>
            </w:pPr>
          </w:p>
        </w:tc>
        <w:tc>
          <w:tcPr>
            <w:tcW w:w="558" w:type="dxa"/>
            <w:tcBorders>
              <w:top w:val="single" w:sz="4" w:space="0" w:color="000000"/>
              <w:bottom w:val="single" w:sz="4" w:space="0" w:color="000000"/>
            </w:tcBorders>
            <w:shd w:val="clear" w:color="auto" w:fill="2F5395"/>
          </w:tcPr>
          <w:p>
            <w:pPr>
              <w:pStyle w:val="TableParagraph"/>
              <w:spacing w:line="76" w:lineRule="exact" w:before="9"/>
              <w:ind w:right="-72"/>
              <w:jc w:val="right"/>
              <w:rPr>
                <w:rFonts w:ascii="Arial"/>
                <w:b/>
                <w:sz w:val="8"/>
              </w:rPr>
            </w:pPr>
            <w:r>
              <w:rPr>
                <w:rFonts w:ascii="Arial"/>
                <w:b/>
                <w:color w:val="FFFFFF"/>
                <w:sz w:val="8"/>
              </w:rPr>
              <w:t>Es</w:t>
            </w:r>
          </w:p>
        </w:tc>
        <w:tc>
          <w:tcPr>
            <w:tcW w:w="558" w:type="dxa"/>
            <w:tcBorders>
              <w:top w:val="single" w:sz="4" w:space="0" w:color="000000"/>
              <w:bottom w:val="single" w:sz="4" w:space="0" w:color="000000"/>
            </w:tcBorders>
            <w:shd w:val="clear" w:color="auto" w:fill="2F5395"/>
          </w:tcPr>
          <w:p>
            <w:pPr>
              <w:pStyle w:val="TableParagraph"/>
              <w:spacing w:line="76" w:lineRule="exact" w:before="9"/>
              <w:ind w:left="62" w:right="-15"/>
              <w:rPr>
                <w:rFonts w:ascii="Arial" w:hAnsi="Arial"/>
                <w:b/>
                <w:sz w:val="8"/>
              </w:rPr>
            </w:pPr>
            <w:r>
              <w:rPr>
                <w:rFonts w:ascii="Arial" w:hAnsi="Arial"/>
                <w:b/>
                <w:color w:val="FFFFFF"/>
                <w:spacing w:val="-3"/>
                <w:w w:val="105"/>
                <w:sz w:val="8"/>
              </w:rPr>
              <w:t>timación </w:t>
            </w:r>
            <w:r>
              <w:rPr>
                <w:rFonts w:ascii="Arial" w:hAnsi="Arial"/>
                <w:b/>
                <w:color w:val="FFFFFF"/>
                <w:w w:val="105"/>
                <w:sz w:val="8"/>
              </w:rPr>
              <w:t>de</w:t>
            </w:r>
            <w:r>
              <w:rPr>
                <w:rFonts w:ascii="Arial" w:hAnsi="Arial"/>
                <w:b/>
                <w:color w:val="FFFFFF"/>
                <w:spacing w:val="6"/>
                <w:w w:val="105"/>
                <w:sz w:val="8"/>
              </w:rPr>
              <w:t> </w:t>
            </w:r>
            <w:r>
              <w:rPr>
                <w:rFonts w:ascii="Arial" w:hAnsi="Arial"/>
                <w:b/>
                <w:color w:val="FFFFFF"/>
                <w:w w:val="105"/>
                <w:sz w:val="8"/>
              </w:rPr>
              <w:t>l</w:t>
            </w:r>
          </w:p>
        </w:tc>
        <w:tc>
          <w:tcPr>
            <w:tcW w:w="558" w:type="dxa"/>
            <w:tcBorders>
              <w:top w:val="single" w:sz="4" w:space="0" w:color="000000"/>
              <w:bottom w:val="single" w:sz="4" w:space="0" w:color="000000"/>
            </w:tcBorders>
            <w:shd w:val="clear" w:color="auto" w:fill="2F5395"/>
          </w:tcPr>
          <w:p>
            <w:pPr>
              <w:pStyle w:val="TableParagraph"/>
              <w:spacing w:line="76" w:lineRule="exact" w:before="9"/>
              <w:ind w:right="1"/>
              <w:jc w:val="center"/>
              <w:rPr>
                <w:rFonts w:ascii="Arial" w:hAnsi="Arial"/>
                <w:b/>
                <w:sz w:val="8"/>
              </w:rPr>
            </w:pPr>
            <w:r>
              <w:rPr>
                <w:rFonts w:ascii="Arial" w:hAnsi="Arial"/>
                <w:b/>
                <w:color w:val="FFFFFF"/>
                <w:w w:val="105"/>
                <w:sz w:val="8"/>
              </w:rPr>
              <w:t>a </w:t>
            </w:r>
            <w:r>
              <w:rPr>
                <w:rFonts w:ascii="Arial" w:hAnsi="Arial"/>
                <w:b/>
                <w:color w:val="FFFFFF"/>
                <w:spacing w:val="-3"/>
                <w:w w:val="105"/>
                <w:sz w:val="8"/>
              </w:rPr>
              <w:t>recaudación</w:t>
            </w:r>
          </w:p>
        </w:tc>
        <w:tc>
          <w:tcPr>
            <w:tcW w:w="558" w:type="dxa"/>
            <w:tcBorders>
              <w:bottom w:val="single" w:sz="4" w:space="0" w:color="000000"/>
            </w:tcBorders>
            <w:shd w:val="clear" w:color="auto" w:fill="2F5395"/>
          </w:tcPr>
          <w:p>
            <w:pPr>
              <w:pStyle w:val="TableParagraph"/>
              <w:rPr>
                <w:sz w:val="4"/>
              </w:rPr>
            </w:pPr>
          </w:p>
        </w:tc>
        <w:tc>
          <w:tcPr>
            <w:tcW w:w="561" w:type="dxa"/>
            <w:tcBorders>
              <w:bottom w:val="single" w:sz="4" w:space="0" w:color="000000"/>
            </w:tcBorders>
            <w:shd w:val="clear" w:color="auto" w:fill="2F5395"/>
          </w:tcPr>
          <w:p>
            <w:pPr>
              <w:pStyle w:val="TableParagraph"/>
              <w:rPr>
                <w:sz w:val="4"/>
              </w:rPr>
            </w:pPr>
          </w:p>
        </w:tc>
      </w:tr>
      <w:tr>
        <w:trPr>
          <w:trHeight w:val="144" w:hRule="atLeast"/>
        </w:trPr>
        <w:tc>
          <w:tcPr>
            <w:tcW w:w="2176" w:type="dxa"/>
            <w:vMerge/>
            <w:tcBorders>
              <w:top w:val="nil"/>
              <w:bottom w:val="single" w:sz="4" w:space="0" w:color="000000"/>
              <w:right w:val="single" w:sz="4" w:space="0" w:color="000000"/>
            </w:tcBorders>
            <w:shd w:val="clear" w:color="auto" w:fill="44536A"/>
          </w:tcPr>
          <w:p>
            <w:pPr>
              <w:rPr>
                <w:sz w:val="2"/>
                <w:szCs w:val="2"/>
              </w:rPr>
            </w:pPr>
          </w:p>
        </w:tc>
        <w:tc>
          <w:tcPr>
            <w:tcW w:w="653" w:type="dxa"/>
            <w:vMerge/>
            <w:tcBorders>
              <w:top w:val="nil"/>
              <w:left w:val="single" w:sz="4" w:space="0" w:color="000000"/>
              <w:bottom w:val="single" w:sz="4" w:space="0" w:color="000000"/>
              <w:right w:val="single" w:sz="4" w:space="0" w:color="000000"/>
            </w:tcBorders>
            <w:shd w:val="clear" w:color="auto" w:fill="44536A"/>
          </w:tcPr>
          <w:p>
            <w:pPr>
              <w:rPr>
                <w:sz w:val="2"/>
                <w:szCs w:val="2"/>
              </w:rPr>
            </w:pPr>
          </w:p>
        </w:tc>
        <w:tc>
          <w:tcPr>
            <w:tcW w:w="614" w:type="dxa"/>
            <w:vMerge/>
            <w:tcBorders>
              <w:top w:val="nil"/>
              <w:left w:val="single" w:sz="4" w:space="0" w:color="000000"/>
              <w:bottom w:val="single" w:sz="4" w:space="0" w:color="000000"/>
              <w:right w:val="single" w:sz="4" w:space="0" w:color="000000"/>
            </w:tcBorders>
            <w:shd w:val="clear" w:color="auto" w:fill="44536A"/>
          </w:tcPr>
          <w:p>
            <w:pPr>
              <w:rPr>
                <w:sz w:val="2"/>
                <w:szCs w:val="2"/>
              </w:rPr>
            </w:pPr>
          </w:p>
        </w:tc>
        <w:tc>
          <w:tcPr>
            <w:tcW w:w="558" w:type="dxa"/>
            <w:vMerge/>
            <w:tcBorders>
              <w:top w:val="nil"/>
              <w:left w:val="single" w:sz="4" w:space="0" w:color="000000"/>
              <w:bottom w:val="single" w:sz="4" w:space="0" w:color="000000"/>
              <w:right w:val="single" w:sz="4" w:space="0" w:color="000000"/>
            </w:tcBorders>
            <w:shd w:val="clear" w:color="auto" w:fill="44536A"/>
          </w:tcPr>
          <w:p>
            <w:pPr>
              <w:rPr>
                <w:sz w:val="2"/>
                <w:szCs w:val="2"/>
              </w:rPr>
            </w:pPr>
          </w:p>
        </w:tc>
        <w:tc>
          <w:tcPr>
            <w:tcW w:w="597" w:type="dxa"/>
            <w:tcBorders>
              <w:top w:val="single" w:sz="4" w:space="0" w:color="000000"/>
              <w:left w:val="single" w:sz="4" w:space="0" w:color="000000"/>
              <w:bottom w:val="single" w:sz="4" w:space="0" w:color="000000"/>
              <w:right w:val="single" w:sz="4" w:space="0" w:color="000000"/>
            </w:tcBorders>
            <w:shd w:val="clear" w:color="auto" w:fill="2F5395"/>
          </w:tcPr>
          <w:p>
            <w:pPr>
              <w:pStyle w:val="TableParagraph"/>
              <w:spacing w:line="119" w:lineRule="exact" w:before="5"/>
              <w:ind w:left="74" w:right="96"/>
              <w:jc w:val="center"/>
              <w:rPr>
                <w:rFonts w:ascii="Arial"/>
                <w:b/>
                <w:i/>
                <w:sz w:val="12"/>
              </w:rPr>
            </w:pPr>
            <w:r>
              <w:rPr>
                <w:rFonts w:ascii="Arial"/>
                <w:b/>
                <w:i/>
                <w:color w:val="FFFFFF"/>
                <w:sz w:val="12"/>
              </w:rPr>
              <w:t>2022</w:t>
            </w:r>
          </w:p>
        </w:tc>
        <w:tc>
          <w:tcPr>
            <w:tcW w:w="558" w:type="dxa"/>
            <w:tcBorders>
              <w:top w:val="single" w:sz="4" w:space="0" w:color="000000"/>
              <w:left w:val="single" w:sz="4" w:space="0" w:color="000000"/>
              <w:bottom w:val="single" w:sz="4" w:space="0" w:color="000000"/>
              <w:right w:val="single" w:sz="4" w:space="0" w:color="000000"/>
            </w:tcBorders>
            <w:shd w:val="clear" w:color="auto" w:fill="2F5395"/>
          </w:tcPr>
          <w:p>
            <w:pPr>
              <w:pStyle w:val="TableParagraph"/>
              <w:spacing w:line="119" w:lineRule="exact" w:before="5"/>
              <w:ind w:left="130"/>
              <w:rPr>
                <w:rFonts w:ascii="Arial"/>
                <w:b/>
                <w:i/>
                <w:sz w:val="12"/>
              </w:rPr>
            </w:pPr>
            <w:r>
              <w:rPr>
                <w:rFonts w:ascii="Arial"/>
                <w:b/>
                <w:i/>
                <w:color w:val="FFFFFF"/>
                <w:sz w:val="12"/>
              </w:rPr>
              <w:t>2023</w:t>
            </w:r>
          </w:p>
        </w:tc>
        <w:tc>
          <w:tcPr>
            <w:tcW w:w="558" w:type="dxa"/>
            <w:tcBorders>
              <w:top w:val="single" w:sz="4" w:space="0" w:color="000000"/>
              <w:left w:val="single" w:sz="4" w:space="0" w:color="000000"/>
              <w:bottom w:val="single" w:sz="4" w:space="0" w:color="000000"/>
              <w:right w:val="single" w:sz="4" w:space="0" w:color="000000"/>
            </w:tcBorders>
            <w:shd w:val="clear" w:color="auto" w:fill="2F5395"/>
          </w:tcPr>
          <w:p>
            <w:pPr>
              <w:pStyle w:val="TableParagraph"/>
              <w:spacing w:line="119" w:lineRule="exact" w:before="5"/>
              <w:ind w:left="130"/>
              <w:rPr>
                <w:rFonts w:ascii="Arial"/>
                <w:b/>
                <w:i/>
                <w:sz w:val="12"/>
              </w:rPr>
            </w:pPr>
            <w:r>
              <w:rPr>
                <w:rFonts w:ascii="Arial"/>
                <w:b/>
                <w:i/>
                <w:color w:val="FFFFFF"/>
                <w:sz w:val="12"/>
              </w:rPr>
              <w:t>2024</w:t>
            </w:r>
          </w:p>
        </w:tc>
        <w:tc>
          <w:tcPr>
            <w:tcW w:w="558" w:type="dxa"/>
            <w:tcBorders>
              <w:top w:val="single" w:sz="4" w:space="0" w:color="000000"/>
              <w:left w:val="single" w:sz="4" w:space="0" w:color="000000"/>
              <w:bottom w:val="single" w:sz="4" w:space="0" w:color="000000"/>
              <w:right w:val="single" w:sz="4" w:space="0" w:color="000000"/>
            </w:tcBorders>
            <w:shd w:val="clear" w:color="auto" w:fill="2F5395"/>
          </w:tcPr>
          <w:p>
            <w:pPr>
              <w:pStyle w:val="TableParagraph"/>
              <w:spacing w:line="119" w:lineRule="exact" w:before="5"/>
              <w:ind w:left="34" w:right="51"/>
              <w:jc w:val="center"/>
              <w:rPr>
                <w:rFonts w:ascii="Arial"/>
                <w:b/>
                <w:i/>
                <w:sz w:val="12"/>
              </w:rPr>
            </w:pPr>
            <w:r>
              <w:rPr>
                <w:rFonts w:ascii="Arial"/>
                <w:b/>
                <w:i/>
                <w:color w:val="FFFFFF"/>
                <w:sz w:val="12"/>
              </w:rPr>
              <w:t>2025</w:t>
            </w:r>
          </w:p>
        </w:tc>
        <w:tc>
          <w:tcPr>
            <w:tcW w:w="558" w:type="dxa"/>
            <w:tcBorders>
              <w:top w:val="single" w:sz="4" w:space="0" w:color="000000"/>
              <w:left w:val="single" w:sz="4" w:space="0" w:color="000000"/>
              <w:bottom w:val="single" w:sz="4" w:space="0" w:color="000000"/>
              <w:right w:val="single" w:sz="4" w:space="0" w:color="000000"/>
            </w:tcBorders>
            <w:shd w:val="clear" w:color="auto" w:fill="2F5395"/>
          </w:tcPr>
          <w:p>
            <w:pPr>
              <w:pStyle w:val="TableParagraph"/>
              <w:spacing w:line="119" w:lineRule="exact" w:before="5"/>
              <w:ind w:left="130"/>
              <w:rPr>
                <w:rFonts w:ascii="Arial"/>
                <w:b/>
                <w:i/>
                <w:sz w:val="12"/>
              </w:rPr>
            </w:pPr>
            <w:r>
              <w:rPr>
                <w:rFonts w:ascii="Arial"/>
                <w:b/>
                <w:i/>
                <w:color w:val="FFFFFF"/>
                <w:sz w:val="12"/>
              </w:rPr>
              <w:t>2026</w:t>
            </w:r>
          </w:p>
        </w:tc>
        <w:tc>
          <w:tcPr>
            <w:tcW w:w="561" w:type="dxa"/>
            <w:tcBorders>
              <w:top w:val="single" w:sz="4" w:space="0" w:color="000000"/>
              <w:left w:val="single" w:sz="4" w:space="0" w:color="000000"/>
              <w:bottom w:val="single" w:sz="4" w:space="0" w:color="000000"/>
            </w:tcBorders>
            <w:shd w:val="clear" w:color="auto" w:fill="2F5395"/>
          </w:tcPr>
          <w:p>
            <w:pPr>
              <w:pStyle w:val="TableParagraph"/>
              <w:spacing w:line="119" w:lineRule="exact" w:before="5"/>
              <w:ind w:left="130"/>
              <w:rPr>
                <w:rFonts w:ascii="Arial"/>
                <w:b/>
                <w:i/>
                <w:sz w:val="12"/>
              </w:rPr>
            </w:pPr>
            <w:r>
              <w:rPr>
                <w:rFonts w:ascii="Arial"/>
                <w:b/>
                <w:i/>
                <w:color w:val="FFFFFF"/>
                <w:sz w:val="12"/>
              </w:rPr>
              <w:t>2027</w:t>
            </w:r>
          </w:p>
        </w:tc>
      </w:tr>
      <w:tr>
        <w:trPr>
          <w:trHeight w:val="164" w:hRule="atLeast"/>
        </w:trPr>
        <w:tc>
          <w:tcPr>
            <w:tcW w:w="2176" w:type="dxa"/>
            <w:tcBorders>
              <w:top w:val="single" w:sz="4" w:space="0" w:color="000000"/>
              <w:right w:val="single" w:sz="4" w:space="0" w:color="000000"/>
            </w:tcBorders>
            <w:shd w:val="clear" w:color="auto" w:fill="8496AF"/>
          </w:tcPr>
          <w:p>
            <w:pPr>
              <w:pStyle w:val="TableParagraph"/>
              <w:spacing w:before="34"/>
              <w:ind w:left="69"/>
              <w:rPr>
                <w:rFonts w:ascii="Arial" w:hAnsi="Arial"/>
                <w:b/>
                <w:i/>
                <w:sz w:val="9"/>
              </w:rPr>
            </w:pPr>
            <w:r>
              <w:rPr>
                <w:rFonts w:ascii="Arial" w:hAnsi="Arial"/>
                <w:b/>
                <w:i/>
                <w:color w:val="FFFFFF"/>
                <w:w w:val="105"/>
                <w:sz w:val="9"/>
              </w:rPr>
              <w:t>RECAUDACIÓN TRIBUTARIA SAT</w:t>
            </w:r>
          </w:p>
        </w:tc>
        <w:tc>
          <w:tcPr>
            <w:tcW w:w="653" w:type="dxa"/>
            <w:tcBorders>
              <w:top w:val="single" w:sz="4" w:space="0" w:color="000000"/>
              <w:left w:val="single" w:sz="4" w:space="0" w:color="000000"/>
              <w:right w:val="single" w:sz="4" w:space="0" w:color="000000"/>
            </w:tcBorders>
            <w:shd w:val="clear" w:color="auto" w:fill="8496AF"/>
          </w:tcPr>
          <w:p>
            <w:pPr>
              <w:pStyle w:val="TableParagraph"/>
              <w:spacing w:before="34"/>
              <w:ind w:right="150"/>
              <w:jc w:val="right"/>
              <w:rPr>
                <w:rFonts w:ascii="Arial"/>
                <w:b/>
                <w:i/>
                <w:sz w:val="9"/>
              </w:rPr>
            </w:pPr>
            <w:r>
              <w:rPr>
                <w:rFonts w:ascii="Arial"/>
                <w:b/>
                <w:i/>
                <w:color w:val="FFFFFF"/>
                <w:w w:val="105"/>
                <w:sz w:val="9"/>
              </w:rPr>
              <w:t>62,077.3</w:t>
            </w:r>
          </w:p>
        </w:tc>
        <w:tc>
          <w:tcPr>
            <w:tcW w:w="614" w:type="dxa"/>
            <w:tcBorders>
              <w:top w:val="single" w:sz="4" w:space="0" w:color="000000"/>
              <w:left w:val="single" w:sz="4" w:space="0" w:color="000000"/>
              <w:right w:val="single" w:sz="4" w:space="0" w:color="000000"/>
            </w:tcBorders>
            <w:shd w:val="clear" w:color="auto" w:fill="8496AF"/>
          </w:tcPr>
          <w:p>
            <w:pPr>
              <w:pStyle w:val="TableParagraph"/>
              <w:spacing w:before="34"/>
              <w:ind w:right="135"/>
              <w:jc w:val="right"/>
              <w:rPr>
                <w:rFonts w:ascii="Arial"/>
                <w:b/>
                <w:i/>
                <w:sz w:val="9"/>
              </w:rPr>
            </w:pPr>
            <w:r>
              <w:rPr>
                <w:rFonts w:ascii="Arial"/>
                <w:b/>
                <w:i/>
                <w:color w:val="FFFFFF"/>
                <w:w w:val="105"/>
                <w:sz w:val="9"/>
              </w:rPr>
              <w:t>60,044.3</w:t>
            </w:r>
          </w:p>
        </w:tc>
        <w:tc>
          <w:tcPr>
            <w:tcW w:w="558" w:type="dxa"/>
            <w:tcBorders>
              <w:top w:val="single" w:sz="4" w:space="0" w:color="000000"/>
              <w:left w:val="single" w:sz="4" w:space="0" w:color="000000"/>
              <w:right w:val="single" w:sz="4" w:space="0" w:color="000000"/>
            </w:tcBorders>
            <w:shd w:val="clear" w:color="auto" w:fill="8496AF"/>
          </w:tcPr>
          <w:p>
            <w:pPr>
              <w:pStyle w:val="TableParagraph"/>
              <w:spacing w:before="34"/>
              <w:ind w:left="31" w:right="51"/>
              <w:jc w:val="center"/>
              <w:rPr>
                <w:rFonts w:ascii="Arial"/>
                <w:b/>
                <w:i/>
                <w:sz w:val="9"/>
              </w:rPr>
            </w:pPr>
            <w:r>
              <w:rPr>
                <w:rFonts w:ascii="Arial"/>
                <w:b/>
                <w:i/>
                <w:color w:val="FFFFFF"/>
                <w:w w:val="105"/>
                <w:sz w:val="9"/>
              </w:rPr>
              <w:t>77,627.1</w:t>
            </w:r>
          </w:p>
        </w:tc>
        <w:tc>
          <w:tcPr>
            <w:tcW w:w="597" w:type="dxa"/>
            <w:tcBorders>
              <w:top w:val="single" w:sz="4" w:space="0" w:color="000000"/>
              <w:left w:val="single" w:sz="4" w:space="0" w:color="000000"/>
              <w:right w:val="single" w:sz="4" w:space="0" w:color="000000"/>
            </w:tcBorders>
            <w:shd w:val="clear" w:color="auto" w:fill="2F5395"/>
          </w:tcPr>
          <w:p>
            <w:pPr>
              <w:pStyle w:val="TableParagraph"/>
              <w:spacing w:before="34"/>
              <w:ind w:left="82" w:right="96"/>
              <w:jc w:val="center"/>
              <w:rPr>
                <w:rFonts w:ascii="Arial"/>
                <w:b/>
                <w:i/>
                <w:sz w:val="9"/>
              </w:rPr>
            </w:pPr>
            <w:r>
              <w:rPr>
                <w:rFonts w:ascii="Arial"/>
                <w:b/>
                <w:i/>
                <w:color w:val="FFFFFF"/>
                <w:w w:val="105"/>
                <w:sz w:val="9"/>
              </w:rPr>
              <w:t>82,409.1</w:t>
            </w:r>
          </w:p>
        </w:tc>
        <w:tc>
          <w:tcPr>
            <w:tcW w:w="558" w:type="dxa"/>
            <w:tcBorders>
              <w:top w:val="single" w:sz="4" w:space="0" w:color="000000"/>
              <w:left w:val="single" w:sz="4" w:space="0" w:color="000000"/>
              <w:right w:val="single" w:sz="4" w:space="0" w:color="000000"/>
            </w:tcBorders>
            <w:shd w:val="clear" w:color="auto" w:fill="2F5395"/>
          </w:tcPr>
          <w:p>
            <w:pPr>
              <w:pStyle w:val="TableParagraph"/>
              <w:spacing w:before="34"/>
              <w:ind w:left="85"/>
              <w:rPr>
                <w:rFonts w:ascii="Arial"/>
                <w:b/>
                <w:i/>
                <w:sz w:val="9"/>
              </w:rPr>
            </w:pPr>
            <w:r>
              <w:rPr>
                <w:rFonts w:ascii="Arial"/>
                <w:b/>
                <w:i/>
                <w:color w:val="FFFFFF"/>
                <w:w w:val="105"/>
                <w:sz w:val="9"/>
              </w:rPr>
              <w:t>86,015.7</w:t>
            </w:r>
          </w:p>
        </w:tc>
        <w:tc>
          <w:tcPr>
            <w:tcW w:w="558" w:type="dxa"/>
            <w:tcBorders>
              <w:top w:val="single" w:sz="4" w:space="0" w:color="000000"/>
              <w:left w:val="single" w:sz="4" w:space="0" w:color="000000"/>
              <w:right w:val="single" w:sz="4" w:space="0" w:color="000000"/>
            </w:tcBorders>
            <w:shd w:val="clear" w:color="auto" w:fill="2F5395"/>
          </w:tcPr>
          <w:p>
            <w:pPr>
              <w:pStyle w:val="TableParagraph"/>
              <w:spacing w:before="34"/>
              <w:ind w:left="85"/>
              <w:rPr>
                <w:rFonts w:ascii="Arial"/>
                <w:b/>
                <w:i/>
                <w:sz w:val="9"/>
              </w:rPr>
            </w:pPr>
            <w:r>
              <w:rPr>
                <w:rFonts w:ascii="Arial"/>
                <w:b/>
                <w:i/>
                <w:color w:val="FFFFFF"/>
                <w:w w:val="105"/>
                <w:sz w:val="9"/>
              </w:rPr>
              <w:t>94,544.8</w:t>
            </w:r>
          </w:p>
        </w:tc>
        <w:tc>
          <w:tcPr>
            <w:tcW w:w="558" w:type="dxa"/>
            <w:tcBorders>
              <w:top w:val="single" w:sz="4" w:space="0" w:color="000000"/>
              <w:left w:val="single" w:sz="4" w:space="0" w:color="000000"/>
              <w:right w:val="single" w:sz="4" w:space="0" w:color="000000"/>
            </w:tcBorders>
            <w:shd w:val="clear" w:color="auto" w:fill="2F5395"/>
          </w:tcPr>
          <w:p>
            <w:pPr>
              <w:pStyle w:val="TableParagraph"/>
              <w:spacing w:before="34"/>
              <w:ind w:left="36" w:right="51"/>
              <w:jc w:val="center"/>
              <w:rPr>
                <w:rFonts w:ascii="Arial"/>
                <w:b/>
                <w:i/>
                <w:sz w:val="9"/>
              </w:rPr>
            </w:pPr>
            <w:r>
              <w:rPr>
                <w:rFonts w:ascii="Arial"/>
                <w:b/>
                <w:i/>
                <w:color w:val="FFFFFF"/>
                <w:w w:val="105"/>
                <w:sz w:val="9"/>
              </w:rPr>
              <w:t>100,424.4</w:t>
            </w:r>
          </w:p>
        </w:tc>
        <w:tc>
          <w:tcPr>
            <w:tcW w:w="558" w:type="dxa"/>
            <w:tcBorders>
              <w:top w:val="single" w:sz="4" w:space="0" w:color="000000"/>
              <w:left w:val="single" w:sz="4" w:space="0" w:color="000000"/>
              <w:right w:val="single" w:sz="4" w:space="0" w:color="000000"/>
            </w:tcBorders>
            <w:shd w:val="clear" w:color="auto" w:fill="2F5395"/>
          </w:tcPr>
          <w:p>
            <w:pPr>
              <w:pStyle w:val="TableParagraph"/>
              <w:spacing w:before="34"/>
              <w:ind w:left="63"/>
              <w:rPr>
                <w:rFonts w:ascii="Arial"/>
                <w:b/>
                <w:i/>
                <w:sz w:val="9"/>
              </w:rPr>
            </w:pPr>
            <w:r>
              <w:rPr>
                <w:rFonts w:ascii="Arial"/>
                <w:b/>
                <w:i/>
                <w:color w:val="FFFFFF"/>
                <w:w w:val="105"/>
                <w:sz w:val="9"/>
              </w:rPr>
              <w:t>106,875.8</w:t>
            </w:r>
          </w:p>
        </w:tc>
        <w:tc>
          <w:tcPr>
            <w:tcW w:w="561" w:type="dxa"/>
            <w:tcBorders>
              <w:top w:val="single" w:sz="4" w:space="0" w:color="000000"/>
              <w:left w:val="single" w:sz="4" w:space="0" w:color="000000"/>
            </w:tcBorders>
            <w:shd w:val="clear" w:color="auto" w:fill="2F5395"/>
          </w:tcPr>
          <w:p>
            <w:pPr>
              <w:pStyle w:val="TableParagraph"/>
              <w:spacing w:before="34"/>
              <w:ind w:left="63"/>
              <w:rPr>
                <w:rFonts w:ascii="Arial"/>
                <w:b/>
                <w:i/>
                <w:sz w:val="9"/>
              </w:rPr>
            </w:pPr>
            <w:r>
              <w:rPr>
                <w:rFonts w:ascii="Arial"/>
                <w:b/>
                <w:i/>
                <w:color w:val="FFFFFF"/>
                <w:w w:val="105"/>
                <w:sz w:val="9"/>
              </w:rPr>
              <w:t>113,809.6</w:t>
            </w:r>
          </w:p>
        </w:tc>
      </w:tr>
      <w:tr>
        <w:trPr>
          <w:trHeight w:val="177" w:hRule="atLeast"/>
        </w:trPr>
        <w:tc>
          <w:tcPr>
            <w:tcW w:w="2176" w:type="dxa"/>
            <w:tcBorders>
              <w:right w:val="single" w:sz="4" w:space="0" w:color="000000"/>
            </w:tcBorders>
            <w:shd w:val="clear" w:color="auto" w:fill="D5DCE3"/>
          </w:tcPr>
          <w:p>
            <w:pPr>
              <w:pStyle w:val="TableParagraph"/>
              <w:spacing w:before="45"/>
              <w:ind w:left="64"/>
              <w:rPr>
                <w:rFonts w:ascii="Arial"/>
                <w:b/>
                <w:sz w:val="8"/>
              </w:rPr>
            </w:pPr>
            <w:r>
              <w:rPr>
                <w:rFonts w:ascii="Arial"/>
                <w:b/>
                <w:color w:val="44536A"/>
                <w:w w:val="105"/>
                <w:sz w:val="8"/>
              </w:rPr>
              <w:t>IMPUESTOS AL COMERCIO EXTERIOR</w:t>
            </w:r>
          </w:p>
        </w:tc>
        <w:tc>
          <w:tcPr>
            <w:tcW w:w="653" w:type="dxa"/>
            <w:tcBorders>
              <w:left w:val="single" w:sz="4" w:space="0" w:color="000000"/>
              <w:right w:val="single" w:sz="4" w:space="0" w:color="000000"/>
            </w:tcBorders>
            <w:shd w:val="clear" w:color="auto" w:fill="D5DCE3"/>
          </w:tcPr>
          <w:p>
            <w:pPr>
              <w:pStyle w:val="TableParagraph"/>
              <w:spacing w:before="36"/>
              <w:ind w:right="148"/>
              <w:jc w:val="right"/>
              <w:rPr>
                <w:rFonts w:ascii="Arial"/>
                <w:b/>
                <w:sz w:val="9"/>
              </w:rPr>
            </w:pPr>
            <w:r>
              <w:rPr>
                <w:rFonts w:ascii="Arial"/>
                <w:b/>
                <w:color w:val="44536A"/>
                <w:w w:val="95"/>
                <w:sz w:val="9"/>
              </w:rPr>
              <w:t>18,020.4</w:t>
            </w:r>
          </w:p>
        </w:tc>
        <w:tc>
          <w:tcPr>
            <w:tcW w:w="614" w:type="dxa"/>
            <w:tcBorders>
              <w:left w:val="single" w:sz="4" w:space="0" w:color="000000"/>
              <w:right w:val="single" w:sz="4" w:space="0" w:color="000000"/>
            </w:tcBorders>
            <w:shd w:val="clear" w:color="auto" w:fill="D5DCE3"/>
          </w:tcPr>
          <w:p>
            <w:pPr>
              <w:pStyle w:val="TableParagraph"/>
              <w:spacing w:before="36"/>
              <w:ind w:right="131"/>
              <w:jc w:val="right"/>
              <w:rPr>
                <w:rFonts w:ascii="Arial"/>
                <w:b/>
                <w:sz w:val="9"/>
              </w:rPr>
            </w:pPr>
            <w:r>
              <w:rPr>
                <w:rFonts w:ascii="Arial"/>
                <w:b/>
                <w:color w:val="44536A"/>
                <w:w w:val="95"/>
                <w:sz w:val="9"/>
              </w:rPr>
              <w:t>16,575.3</w:t>
            </w:r>
          </w:p>
        </w:tc>
        <w:tc>
          <w:tcPr>
            <w:tcW w:w="558" w:type="dxa"/>
            <w:tcBorders>
              <w:left w:val="single" w:sz="4" w:space="0" w:color="000000"/>
              <w:right w:val="single" w:sz="4" w:space="0" w:color="000000"/>
            </w:tcBorders>
            <w:shd w:val="clear" w:color="auto" w:fill="D5DCE3"/>
          </w:tcPr>
          <w:p>
            <w:pPr>
              <w:pStyle w:val="TableParagraph"/>
              <w:spacing w:before="36"/>
              <w:ind w:left="36" w:right="43"/>
              <w:jc w:val="center"/>
              <w:rPr>
                <w:rFonts w:ascii="Arial"/>
                <w:b/>
                <w:sz w:val="9"/>
              </w:rPr>
            </w:pPr>
            <w:r>
              <w:rPr>
                <w:rFonts w:ascii="Arial"/>
                <w:b/>
                <w:color w:val="44536A"/>
                <w:sz w:val="9"/>
              </w:rPr>
              <w:t>23,719.7</w:t>
            </w:r>
          </w:p>
        </w:tc>
        <w:tc>
          <w:tcPr>
            <w:tcW w:w="597" w:type="dxa"/>
            <w:tcBorders>
              <w:left w:val="single" w:sz="4" w:space="0" w:color="000000"/>
              <w:right w:val="single" w:sz="4" w:space="0" w:color="000000"/>
            </w:tcBorders>
            <w:shd w:val="clear" w:color="auto" w:fill="D5DCE3"/>
          </w:tcPr>
          <w:p>
            <w:pPr>
              <w:pStyle w:val="TableParagraph"/>
              <w:spacing w:before="36"/>
              <w:ind w:left="82" w:right="83"/>
              <w:jc w:val="center"/>
              <w:rPr>
                <w:rFonts w:ascii="Arial"/>
                <w:b/>
                <w:sz w:val="9"/>
              </w:rPr>
            </w:pPr>
            <w:r>
              <w:rPr>
                <w:rFonts w:ascii="Arial"/>
                <w:b/>
                <w:color w:val="44536A"/>
                <w:sz w:val="9"/>
              </w:rPr>
              <w:t>25,845.1</w:t>
            </w:r>
          </w:p>
        </w:tc>
        <w:tc>
          <w:tcPr>
            <w:tcW w:w="558" w:type="dxa"/>
            <w:tcBorders>
              <w:left w:val="single" w:sz="4" w:space="0" w:color="000000"/>
              <w:right w:val="single" w:sz="4" w:space="0" w:color="000000"/>
            </w:tcBorders>
            <w:shd w:val="clear" w:color="auto" w:fill="D5DCE3"/>
          </w:tcPr>
          <w:p>
            <w:pPr>
              <w:pStyle w:val="TableParagraph"/>
              <w:spacing w:before="36"/>
              <w:ind w:left="97"/>
              <w:rPr>
                <w:rFonts w:ascii="Arial"/>
                <w:b/>
                <w:sz w:val="9"/>
              </w:rPr>
            </w:pPr>
            <w:r>
              <w:rPr>
                <w:rFonts w:ascii="Arial"/>
                <w:b/>
                <w:color w:val="44536A"/>
                <w:sz w:val="9"/>
              </w:rPr>
              <w:t>27,524.4</w:t>
            </w:r>
          </w:p>
        </w:tc>
        <w:tc>
          <w:tcPr>
            <w:tcW w:w="558" w:type="dxa"/>
            <w:tcBorders>
              <w:left w:val="single" w:sz="4" w:space="0" w:color="000000"/>
              <w:right w:val="single" w:sz="4" w:space="0" w:color="000000"/>
            </w:tcBorders>
            <w:shd w:val="clear" w:color="auto" w:fill="D5DCE3"/>
          </w:tcPr>
          <w:p>
            <w:pPr>
              <w:pStyle w:val="TableParagraph"/>
              <w:spacing w:before="36"/>
              <w:ind w:left="97"/>
              <w:rPr>
                <w:rFonts w:ascii="Arial"/>
                <w:b/>
                <w:sz w:val="9"/>
              </w:rPr>
            </w:pPr>
            <w:r>
              <w:rPr>
                <w:rFonts w:ascii="Arial"/>
                <w:b/>
                <w:color w:val="44536A"/>
                <w:sz w:val="9"/>
              </w:rPr>
              <w:t>29,601.6</w:t>
            </w:r>
          </w:p>
        </w:tc>
        <w:tc>
          <w:tcPr>
            <w:tcW w:w="558" w:type="dxa"/>
            <w:tcBorders>
              <w:left w:val="single" w:sz="4" w:space="0" w:color="000000"/>
              <w:right w:val="single" w:sz="4" w:space="0" w:color="000000"/>
            </w:tcBorders>
            <w:shd w:val="clear" w:color="auto" w:fill="D5DCE3"/>
          </w:tcPr>
          <w:p>
            <w:pPr>
              <w:pStyle w:val="TableParagraph"/>
              <w:spacing w:before="36"/>
              <w:ind w:left="36" w:right="43"/>
              <w:jc w:val="center"/>
              <w:rPr>
                <w:rFonts w:ascii="Arial"/>
                <w:b/>
                <w:sz w:val="9"/>
              </w:rPr>
            </w:pPr>
            <w:r>
              <w:rPr>
                <w:rFonts w:ascii="Arial"/>
                <w:b/>
                <w:color w:val="44536A"/>
                <w:sz w:val="9"/>
              </w:rPr>
              <w:t>31,683.1</w:t>
            </w:r>
          </w:p>
        </w:tc>
        <w:tc>
          <w:tcPr>
            <w:tcW w:w="558" w:type="dxa"/>
            <w:tcBorders>
              <w:left w:val="single" w:sz="4" w:space="0" w:color="000000"/>
              <w:right w:val="single" w:sz="4" w:space="0" w:color="000000"/>
            </w:tcBorders>
            <w:shd w:val="clear" w:color="auto" w:fill="D5DCE3"/>
          </w:tcPr>
          <w:p>
            <w:pPr>
              <w:pStyle w:val="TableParagraph"/>
              <w:spacing w:before="36"/>
              <w:ind w:left="96"/>
              <w:rPr>
                <w:rFonts w:ascii="Arial"/>
                <w:b/>
                <w:sz w:val="9"/>
              </w:rPr>
            </w:pPr>
            <w:r>
              <w:rPr>
                <w:rFonts w:ascii="Arial"/>
                <w:b/>
                <w:color w:val="44536A"/>
                <w:sz w:val="9"/>
              </w:rPr>
              <w:t>34,052.5</w:t>
            </w:r>
          </w:p>
        </w:tc>
        <w:tc>
          <w:tcPr>
            <w:tcW w:w="561" w:type="dxa"/>
            <w:tcBorders>
              <w:left w:val="single" w:sz="4" w:space="0" w:color="000000"/>
            </w:tcBorders>
            <w:shd w:val="clear" w:color="auto" w:fill="D5DCE3"/>
          </w:tcPr>
          <w:p>
            <w:pPr>
              <w:pStyle w:val="TableParagraph"/>
              <w:spacing w:before="36"/>
              <w:ind w:left="96"/>
              <w:rPr>
                <w:rFonts w:ascii="Arial"/>
                <w:b/>
                <w:sz w:val="9"/>
              </w:rPr>
            </w:pPr>
            <w:r>
              <w:rPr>
                <w:rFonts w:ascii="Arial"/>
                <w:b/>
                <w:color w:val="44536A"/>
                <w:sz w:val="9"/>
              </w:rPr>
              <w:t>36,610.5</w:t>
            </w:r>
          </w:p>
        </w:tc>
      </w:tr>
      <w:tr>
        <w:trPr>
          <w:trHeight w:val="174" w:hRule="atLeast"/>
        </w:trPr>
        <w:tc>
          <w:tcPr>
            <w:tcW w:w="2176" w:type="dxa"/>
            <w:vMerge w:val="restart"/>
            <w:tcBorders>
              <w:right w:val="single" w:sz="4" w:space="0" w:color="000000"/>
            </w:tcBorders>
          </w:tcPr>
          <w:p>
            <w:pPr>
              <w:pStyle w:val="TableParagraph"/>
              <w:spacing w:line="398" w:lineRule="auto" w:before="36"/>
              <w:ind w:left="119" w:right="751"/>
              <w:rPr>
                <w:rFonts w:ascii="Arial"/>
                <w:sz w:val="9"/>
              </w:rPr>
            </w:pPr>
            <w:r>
              <w:rPr>
                <w:rFonts w:ascii="Arial"/>
                <w:color w:val="44536A"/>
                <w:sz w:val="9"/>
              </w:rPr>
              <w:t>Al</w:t>
            </w:r>
            <w:r>
              <w:rPr>
                <w:rFonts w:ascii="Arial"/>
                <w:color w:val="44536A"/>
                <w:spacing w:val="-15"/>
                <w:sz w:val="9"/>
              </w:rPr>
              <w:t> </w:t>
            </w:r>
            <w:r>
              <w:rPr>
                <w:rFonts w:ascii="Arial"/>
                <w:color w:val="44536A"/>
                <w:sz w:val="9"/>
              </w:rPr>
              <w:t>Valor</w:t>
            </w:r>
            <w:r>
              <w:rPr>
                <w:rFonts w:ascii="Arial"/>
                <w:color w:val="44536A"/>
                <w:spacing w:val="-13"/>
                <w:sz w:val="9"/>
              </w:rPr>
              <w:t> </w:t>
            </w:r>
            <w:r>
              <w:rPr>
                <w:rFonts w:ascii="Arial"/>
                <w:color w:val="44536A"/>
                <w:sz w:val="9"/>
              </w:rPr>
              <w:t>Agregado</w:t>
            </w:r>
            <w:r>
              <w:rPr>
                <w:rFonts w:ascii="Arial"/>
                <w:color w:val="44536A"/>
                <w:spacing w:val="-12"/>
                <w:sz w:val="9"/>
              </w:rPr>
              <w:t> </w:t>
            </w:r>
            <w:r>
              <w:rPr>
                <w:rFonts w:ascii="Arial"/>
                <w:color w:val="44536A"/>
                <w:sz w:val="9"/>
              </w:rPr>
              <w:t>Importaciones Derechos</w:t>
            </w:r>
            <w:r>
              <w:rPr>
                <w:rFonts w:ascii="Arial"/>
                <w:color w:val="44536A"/>
                <w:spacing w:val="-5"/>
                <w:sz w:val="9"/>
              </w:rPr>
              <w:t> </w:t>
            </w:r>
            <w:r>
              <w:rPr>
                <w:rFonts w:ascii="Arial"/>
                <w:color w:val="44536A"/>
                <w:sz w:val="9"/>
              </w:rPr>
              <w:t>Arancelarios</w:t>
            </w:r>
          </w:p>
          <w:p>
            <w:pPr>
              <w:pStyle w:val="TableParagraph"/>
              <w:spacing w:before="4"/>
              <w:ind w:left="64"/>
              <w:rPr>
                <w:rFonts w:ascii="Arial"/>
                <w:b/>
                <w:sz w:val="8"/>
              </w:rPr>
            </w:pPr>
            <w:r>
              <w:rPr>
                <w:rFonts w:ascii="Arial"/>
                <w:b/>
                <w:color w:val="44536A"/>
                <w:w w:val="105"/>
                <w:sz w:val="8"/>
              </w:rPr>
              <w:t>IMPUESTOS</w:t>
            </w:r>
            <w:r>
              <w:rPr>
                <w:rFonts w:ascii="Arial"/>
                <w:b/>
                <w:color w:val="44536A"/>
                <w:spacing w:val="4"/>
                <w:w w:val="105"/>
                <w:sz w:val="8"/>
              </w:rPr>
              <w:t> </w:t>
            </w:r>
            <w:r>
              <w:rPr>
                <w:rFonts w:ascii="Arial"/>
                <w:b/>
                <w:color w:val="44536A"/>
                <w:w w:val="105"/>
                <w:sz w:val="8"/>
              </w:rPr>
              <w:t>INTERNOS</w:t>
            </w:r>
          </w:p>
          <w:p>
            <w:pPr>
              <w:pStyle w:val="TableParagraph"/>
              <w:spacing w:line="403" w:lineRule="auto" w:before="76"/>
              <w:ind w:left="114" w:right="1351" w:firstLine="5"/>
              <w:rPr>
                <w:rFonts w:ascii="Arial"/>
                <w:sz w:val="8"/>
              </w:rPr>
            </w:pPr>
            <w:r>
              <w:rPr>
                <w:rFonts w:ascii="Arial"/>
                <w:color w:val="44536A"/>
                <w:sz w:val="9"/>
              </w:rPr>
              <w:t>Sobre la </w:t>
            </w:r>
            <w:r>
              <w:rPr>
                <w:rFonts w:ascii="Arial"/>
                <w:color w:val="44536A"/>
                <w:spacing w:val="-3"/>
                <w:sz w:val="9"/>
              </w:rPr>
              <w:t>Renta </w:t>
            </w:r>
            <w:r>
              <w:rPr>
                <w:rFonts w:ascii="Arial"/>
                <w:color w:val="44536A"/>
                <w:sz w:val="9"/>
              </w:rPr>
              <w:t>De Solidaridad </w:t>
            </w:r>
            <w:r>
              <w:rPr>
                <w:rFonts w:ascii="Arial"/>
                <w:color w:val="44536A"/>
                <w:sz w:val="8"/>
              </w:rPr>
              <w:t>Sobre el </w:t>
            </w:r>
            <w:r>
              <w:rPr>
                <w:rFonts w:ascii="Arial"/>
                <w:color w:val="44536A"/>
                <w:spacing w:val="-4"/>
                <w:sz w:val="8"/>
              </w:rPr>
              <w:t>Patrimonio</w:t>
            </w:r>
          </w:p>
          <w:p>
            <w:pPr>
              <w:pStyle w:val="TableParagraph"/>
              <w:spacing w:line="448" w:lineRule="auto" w:before="17"/>
              <w:ind w:left="114" w:right="751"/>
              <w:rPr>
                <w:rFonts w:ascii="Arial" w:hAnsi="Arial"/>
                <w:sz w:val="8"/>
              </w:rPr>
            </w:pPr>
            <w:r>
              <w:rPr>
                <w:rFonts w:ascii="Arial" w:hAnsi="Arial"/>
                <w:color w:val="44536A"/>
                <w:w w:val="105"/>
                <w:sz w:val="8"/>
              </w:rPr>
              <w:t>Al Valor Agregado Doméstico Sobre Distribución de Bebidas Sobre el Tabaco y sus productos</w:t>
            </w:r>
          </w:p>
          <w:p>
            <w:pPr>
              <w:pStyle w:val="TableParagraph"/>
              <w:spacing w:line="448" w:lineRule="auto"/>
              <w:ind w:left="114" w:right="430"/>
              <w:rPr>
                <w:rFonts w:ascii="Arial" w:hAnsi="Arial"/>
                <w:sz w:val="8"/>
              </w:rPr>
            </w:pPr>
            <w:r>
              <w:rPr>
                <w:rFonts w:ascii="Arial" w:hAnsi="Arial"/>
                <w:color w:val="44536A"/>
                <w:w w:val="105"/>
                <w:sz w:val="8"/>
              </w:rPr>
              <w:t>Sobre Distribución de Petróleo y Derivados Sobre Distribución de Cemento</w:t>
            </w:r>
          </w:p>
          <w:p>
            <w:pPr>
              <w:pStyle w:val="TableParagraph"/>
              <w:ind w:left="114"/>
              <w:rPr>
                <w:rFonts w:ascii="Arial"/>
                <w:sz w:val="8"/>
              </w:rPr>
            </w:pPr>
            <w:r>
              <w:rPr>
                <w:rFonts w:ascii="Arial"/>
                <w:color w:val="44536A"/>
                <w:w w:val="105"/>
                <w:sz w:val="8"/>
              </w:rPr>
              <w:t>Timbres Fiscales y Papel Sellado</w:t>
            </w:r>
          </w:p>
          <w:p>
            <w:pPr>
              <w:pStyle w:val="TableParagraph"/>
              <w:spacing w:before="80"/>
              <w:ind w:left="114"/>
              <w:rPr>
                <w:rFonts w:ascii="Arial" w:hAnsi="Arial"/>
                <w:sz w:val="8"/>
              </w:rPr>
            </w:pPr>
            <w:r>
              <w:rPr>
                <w:rFonts w:ascii="Arial" w:hAnsi="Arial"/>
                <w:color w:val="44536A"/>
                <w:w w:val="105"/>
                <w:sz w:val="8"/>
              </w:rPr>
              <w:t>Sobre Circulación de Vehículos</w:t>
            </w:r>
          </w:p>
          <w:p>
            <w:pPr>
              <w:pStyle w:val="TableParagraph"/>
              <w:spacing w:line="268" w:lineRule="auto" w:before="28"/>
              <w:ind w:left="114" w:right="295"/>
              <w:rPr>
                <w:rFonts w:ascii="Arial" w:hAnsi="Arial"/>
                <w:sz w:val="8"/>
              </w:rPr>
            </w:pPr>
            <w:r>
              <w:rPr>
                <w:rFonts w:ascii="Arial" w:hAnsi="Arial"/>
                <w:color w:val="44536A"/>
                <w:w w:val="105"/>
                <w:sz w:val="8"/>
              </w:rPr>
              <w:t>Específico a la Primera Matrícula de Vehículos Terrestres</w:t>
            </w:r>
          </w:p>
          <w:p>
            <w:pPr>
              <w:pStyle w:val="TableParagraph"/>
              <w:spacing w:before="18"/>
              <w:ind w:left="114"/>
              <w:rPr>
                <w:rFonts w:ascii="Arial"/>
                <w:sz w:val="8"/>
              </w:rPr>
            </w:pPr>
            <w:r>
              <w:rPr>
                <w:rFonts w:ascii="Arial"/>
                <w:color w:val="44536A"/>
                <w:w w:val="105"/>
                <w:sz w:val="8"/>
              </w:rPr>
              <w:t>Otros</w:t>
            </w:r>
          </w:p>
          <w:p>
            <w:pPr>
              <w:pStyle w:val="TableParagraph"/>
              <w:spacing w:before="80"/>
              <w:ind w:left="214"/>
              <w:rPr>
                <w:rFonts w:ascii="Arial"/>
                <w:b/>
                <w:sz w:val="8"/>
              </w:rPr>
            </w:pPr>
            <w:r>
              <w:rPr>
                <w:rFonts w:ascii="Arial"/>
                <w:b/>
                <w:color w:val="FF0000"/>
                <w:w w:val="105"/>
                <w:sz w:val="8"/>
              </w:rPr>
              <w:t>Otros directos e indirectos</w:t>
            </w:r>
          </w:p>
          <w:p>
            <w:pPr>
              <w:pStyle w:val="TableParagraph"/>
              <w:spacing w:before="76"/>
              <w:ind w:left="69"/>
              <w:rPr>
                <w:rFonts w:ascii="Arial"/>
                <w:b/>
                <w:i/>
                <w:sz w:val="9"/>
              </w:rPr>
            </w:pPr>
            <w:r>
              <w:rPr>
                <w:rFonts w:ascii="Arial"/>
                <w:b/>
                <w:i/>
                <w:color w:val="FFFFFF"/>
                <w:sz w:val="9"/>
              </w:rPr>
              <w:t>OTRAS INSTITUCIONES</w:t>
            </w:r>
          </w:p>
          <w:p>
            <w:pPr>
              <w:pStyle w:val="TableParagraph"/>
              <w:spacing w:line="398" w:lineRule="auto" w:before="69"/>
              <w:ind w:left="119" w:right="456"/>
              <w:rPr>
                <w:rFonts w:ascii="Arial" w:hAnsi="Arial"/>
                <w:sz w:val="9"/>
              </w:rPr>
            </w:pPr>
            <w:r>
              <w:rPr>
                <w:rFonts w:ascii="Arial" w:hAnsi="Arial"/>
                <w:color w:val="44536A"/>
                <w:sz w:val="9"/>
              </w:rPr>
              <w:t>Regalías e Hidrocarburos Compartibles Salida del País</w:t>
            </w:r>
          </w:p>
          <w:p>
            <w:pPr>
              <w:pStyle w:val="TableParagraph"/>
              <w:spacing w:line="98" w:lineRule="exact"/>
              <w:ind w:left="449"/>
              <w:rPr>
                <w:rFonts w:ascii="Arial"/>
                <w:b/>
                <w:sz w:val="9"/>
              </w:rPr>
            </w:pPr>
            <w:r>
              <w:rPr>
                <w:rFonts w:ascii="Arial"/>
                <w:b/>
                <w:color w:val="FFFFFF"/>
                <w:sz w:val="9"/>
              </w:rPr>
              <w:t>TOTAL DE INGRESOS NETOS</w:t>
            </w:r>
          </w:p>
          <w:p>
            <w:pPr>
              <w:pStyle w:val="TableParagraph"/>
              <w:spacing w:line="170" w:lineRule="atLeast" w:before="8"/>
              <w:ind w:left="119" w:right="650"/>
              <w:rPr>
                <w:rFonts w:ascii="Arial" w:hAnsi="Arial"/>
                <w:sz w:val="9"/>
              </w:rPr>
            </w:pPr>
            <w:r>
              <w:rPr>
                <w:rFonts w:ascii="Arial" w:hAnsi="Arial"/>
                <w:color w:val="44536A"/>
                <w:sz w:val="9"/>
              </w:rPr>
              <w:t>(</w:t>
            </w:r>
            <w:r>
              <w:rPr>
                <w:rFonts w:ascii="Arial" w:hAnsi="Arial"/>
                <w:color w:val="44536A"/>
                <w:spacing w:val="-9"/>
                <w:sz w:val="9"/>
              </w:rPr>
              <w:t> </w:t>
            </w:r>
            <w:r>
              <w:rPr>
                <w:rFonts w:ascii="Arial" w:hAnsi="Arial"/>
                <w:color w:val="44536A"/>
                <w:sz w:val="9"/>
              </w:rPr>
              <w:t>+</w:t>
            </w:r>
            <w:r>
              <w:rPr>
                <w:rFonts w:ascii="Arial" w:hAnsi="Arial"/>
                <w:color w:val="44536A"/>
                <w:spacing w:val="-9"/>
                <w:sz w:val="9"/>
              </w:rPr>
              <w:t> </w:t>
            </w:r>
            <w:r>
              <w:rPr>
                <w:rFonts w:ascii="Arial" w:hAnsi="Arial"/>
                <w:color w:val="44536A"/>
                <w:sz w:val="9"/>
              </w:rPr>
              <w:t>)</w:t>
            </w:r>
            <w:r>
              <w:rPr>
                <w:rFonts w:ascii="Arial" w:hAnsi="Arial"/>
                <w:color w:val="44536A"/>
                <w:spacing w:val="-8"/>
                <w:sz w:val="9"/>
              </w:rPr>
              <w:t> </w:t>
            </w:r>
            <w:r>
              <w:rPr>
                <w:rFonts w:ascii="Arial" w:hAnsi="Arial"/>
                <w:color w:val="44536A"/>
                <w:sz w:val="9"/>
              </w:rPr>
              <w:t>Devoluciones</w:t>
            </w:r>
            <w:r>
              <w:rPr>
                <w:rFonts w:ascii="Arial" w:hAnsi="Arial"/>
                <w:color w:val="44536A"/>
                <w:spacing w:val="-7"/>
                <w:sz w:val="9"/>
              </w:rPr>
              <w:t> </w:t>
            </w:r>
            <w:r>
              <w:rPr>
                <w:rFonts w:ascii="Arial" w:hAnsi="Arial"/>
                <w:color w:val="44536A"/>
                <w:sz w:val="9"/>
              </w:rPr>
              <w:t>de</w:t>
            </w:r>
            <w:r>
              <w:rPr>
                <w:rFonts w:ascii="Arial" w:hAnsi="Arial"/>
                <w:color w:val="44536A"/>
                <w:spacing w:val="-7"/>
                <w:sz w:val="9"/>
              </w:rPr>
              <w:t> </w:t>
            </w:r>
            <w:r>
              <w:rPr>
                <w:rFonts w:ascii="Arial" w:hAnsi="Arial"/>
                <w:color w:val="44536A"/>
                <w:sz w:val="9"/>
              </w:rPr>
              <w:t>Crédito</w:t>
            </w:r>
            <w:r>
              <w:rPr>
                <w:rFonts w:ascii="Arial" w:hAnsi="Arial"/>
                <w:color w:val="44536A"/>
                <w:spacing w:val="-7"/>
                <w:sz w:val="9"/>
              </w:rPr>
              <w:t> </w:t>
            </w:r>
            <w:r>
              <w:rPr>
                <w:rFonts w:ascii="Arial" w:hAnsi="Arial"/>
                <w:color w:val="44536A"/>
                <w:sz w:val="9"/>
              </w:rPr>
              <w:t>Fiscal ( + )</w:t>
            </w:r>
            <w:r>
              <w:rPr>
                <w:rFonts w:ascii="Arial" w:hAnsi="Arial"/>
                <w:color w:val="44536A"/>
                <w:spacing w:val="-18"/>
                <w:sz w:val="9"/>
              </w:rPr>
              <w:t> </w:t>
            </w:r>
            <w:r>
              <w:rPr>
                <w:rFonts w:ascii="Arial" w:hAnsi="Arial"/>
                <w:color w:val="44536A"/>
                <w:sz w:val="9"/>
              </w:rPr>
              <w:t>Autocompensación</w:t>
            </w:r>
          </w:p>
        </w:tc>
        <w:tc>
          <w:tcPr>
            <w:tcW w:w="653" w:type="dxa"/>
            <w:tcBorders>
              <w:left w:val="single" w:sz="4" w:space="0" w:color="000000"/>
              <w:right w:val="single" w:sz="4" w:space="0" w:color="000000"/>
            </w:tcBorders>
          </w:tcPr>
          <w:p>
            <w:pPr>
              <w:pStyle w:val="TableParagraph"/>
              <w:spacing w:before="36"/>
              <w:ind w:right="148"/>
              <w:jc w:val="right"/>
              <w:rPr>
                <w:rFonts w:ascii="Arial"/>
                <w:sz w:val="9"/>
              </w:rPr>
            </w:pPr>
            <w:r>
              <w:rPr>
                <w:rFonts w:ascii="Arial"/>
                <w:color w:val="44536A"/>
                <w:w w:val="95"/>
                <w:sz w:val="9"/>
              </w:rPr>
              <w:t>15,308.9</w:t>
            </w:r>
          </w:p>
        </w:tc>
        <w:tc>
          <w:tcPr>
            <w:tcW w:w="614" w:type="dxa"/>
            <w:tcBorders>
              <w:left w:val="single" w:sz="4" w:space="0" w:color="000000"/>
              <w:right w:val="single" w:sz="4" w:space="0" w:color="000000"/>
            </w:tcBorders>
          </w:tcPr>
          <w:p>
            <w:pPr>
              <w:pStyle w:val="TableParagraph"/>
              <w:spacing w:before="36"/>
              <w:ind w:right="131"/>
              <w:jc w:val="right"/>
              <w:rPr>
                <w:rFonts w:ascii="Arial"/>
                <w:sz w:val="9"/>
              </w:rPr>
            </w:pPr>
            <w:r>
              <w:rPr>
                <w:rFonts w:ascii="Arial"/>
                <w:color w:val="44536A"/>
                <w:w w:val="95"/>
                <w:sz w:val="9"/>
              </w:rPr>
              <w:t>14,087.9</w:t>
            </w:r>
          </w:p>
        </w:tc>
        <w:tc>
          <w:tcPr>
            <w:tcW w:w="558" w:type="dxa"/>
            <w:tcBorders>
              <w:left w:val="single" w:sz="4" w:space="0" w:color="000000"/>
              <w:right w:val="single" w:sz="4" w:space="0" w:color="000000"/>
            </w:tcBorders>
          </w:tcPr>
          <w:p>
            <w:pPr>
              <w:pStyle w:val="TableParagraph"/>
              <w:spacing w:before="36"/>
              <w:ind w:left="36" w:right="44"/>
              <w:jc w:val="center"/>
              <w:rPr>
                <w:rFonts w:ascii="Arial"/>
                <w:sz w:val="9"/>
              </w:rPr>
            </w:pPr>
            <w:r>
              <w:rPr>
                <w:rFonts w:ascii="Arial"/>
                <w:color w:val="44536A"/>
                <w:sz w:val="9"/>
              </w:rPr>
              <w:t>20,234.3</w:t>
            </w:r>
          </w:p>
        </w:tc>
        <w:tc>
          <w:tcPr>
            <w:tcW w:w="597" w:type="dxa"/>
            <w:tcBorders>
              <w:left w:val="single" w:sz="4" w:space="0" w:color="000000"/>
              <w:right w:val="single" w:sz="4" w:space="0" w:color="000000"/>
            </w:tcBorders>
          </w:tcPr>
          <w:p>
            <w:pPr>
              <w:pStyle w:val="TableParagraph"/>
              <w:spacing w:before="36"/>
              <w:ind w:left="82" w:right="83"/>
              <w:jc w:val="center"/>
              <w:rPr>
                <w:rFonts w:ascii="Arial"/>
                <w:sz w:val="9"/>
              </w:rPr>
            </w:pPr>
            <w:r>
              <w:rPr>
                <w:rFonts w:ascii="Arial"/>
                <w:color w:val="44536A"/>
                <w:sz w:val="9"/>
              </w:rPr>
              <w:t>22,136.0</w:t>
            </w:r>
          </w:p>
        </w:tc>
        <w:tc>
          <w:tcPr>
            <w:tcW w:w="558" w:type="dxa"/>
            <w:tcBorders>
              <w:left w:val="single" w:sz="4" w:space="0" w:color="000000"/>
              <w:right w:val="single" w:sz="4" w:space="0" w:color="000000"/>
            </w:tcBorders>
          </w:tcPr>
          <w:p>
            <w:pPr>
              <w:pStyle w:val="TableParagraph"/>
              <w:spacing w:before="36"/>
              <w:ind w:left="97"/>
              <w:rPr>
                <w:rFonts w:ascii="Arial"/>
                <w:sz w:val="9"/>
              </w:rPr>
            </w:pPr>
            <w:r>
              <w:rPr>
                <w:rFonts w:ascii="Arial"/>
                <w:color w:val="44536A"/>
                <w:sz w:val="9"/>
              </w:rPr>
              <w:t>23,560.0</w:t>
            </w:r>
          </w:p>
        </w:tc>
        <w:tc>
          <w:tcPr>
            <w:tcW w:w="558" w:type="dxa"/>
            <w:tcBorders>
              <w:left w:val="single" w:sz="4" w:space="0" w:color="000000"/>
              <w:right w:val="single" w:sz="4" w:space="0" w:color="000000"/>
            </w:tcBorders>
          </w:tcPr>
          <w:p>
            <w:pPr>
              <w:pStyle w:val="TableParagraph"/>
              <w:spacing w:before="36"/>
              <w:ind w:left="97"/>
              <w:rPr>
                <w:rFonts w:ascii="Arial"/>
                <w:sz w:val="9"/>
              </w:rPr>
            </w:pPr>
            <w:r>
              <w:rPr>
                <w:rFonts w:ascii="Arial"/>
                <w:color w:val="44536A"/>
                <w:sz w:val="9"/>
              </w:rPr>
              <w:t>25,338.1</w:t>
            </w:r>
          </w:p>
        </w:tc>
        <w:tc>
          <w:tcPr>
            <w:tcW w:w="558" w:type="dxa"/>
            <w:tcBorders>
              <w:left w:val="single" w:sz="4" w:space="0" w:color="000000"/>
              <w:right w:val="single" w:sz="4" w:space="0" w:color="000000"/>
            </w:tcBorders>
          </w:tcPr>
          <w:p>
            <w:pPr>
              <w:pStyle w:val="TableParagraph"/>
              <w:spacing w:before="36"/>
              <w:ind w:left="36" w:right="43"/>
              <w:jc w:val="center"/>
              <w:rPr>
                <w:rFonts w:ascii="Arial"/>
                <w:sz w:val="9"/>
              </w:rPr>
            </w:pPr>
            <w:r>
              <w:rPr>
                <w:rFonts w:ascii="Arial"/>
                <w:color w:val="44536A"/>
                <w:sz w:val="9"/>
              </w:rPr>
              <w:t>27,119.7</w:t>
            </w:r>
          </w:p>
        </w:tc>
        <w:tc>
          <w:tcPr>
            <w:tcW w:w="558" w:type="dxa"/>
            <w:tcBorders>
              <w:left w:val="single" w:sz="4" w:space="0" w:color="000000"/>
              <w:right w:val="single" w:sz="4" w:space="0" w:color="000000"/>
            </w:tcBorders>
          </w:tcPr>
          <w:p>
            <w:pPr>
              <w:pStyle w:val="TableParagraph"/>
              <w:spacing w:before="36"/>
              <w:ind w:left="96"/>
              <w:rPr>
                <w:rFonts w:ascii="Arial"/>
                <w:sz w:val="9"/>
              </w:rPr>
            </w:pPr>
            <w:r>
              <w:rPr>
                <w:rFonts w:ascii="Arial"/>
                <w:color w:val="44536A"/>
                <w:sz w:val="9"/>
              </w:rPr>
              <w:t>29,147.9</w:t>
            </w:r>
          </w:p>
        </w:tc>
        <w:tc>
          <w:tcPr>
            <w:tcW w:w="561" w:type="dxa"/>
            <w:tcBorders>
              <w:left w:val="single" w:sz="4" w:space="0" w:color="000000"/>
            </w:tcBorders>
          </w:tcPr>
          <w:p>
            <w:pPr>
              <w:pStyle w:val="TableParagraph"/>
              <w:spacing w:before="36"/>
              <w:ind w:left="96"/>
              <w:rPr>
                <w:rFonts w:ascii="Arial"/>
                <w:sz w:val="9"/>
              </w:rPr>
            </w:pPr>
            <w:r>
              <w:rPr>
                <w:rFonts w:ascii="Arial"/>
                <w:color w:val="44536A"/>
                <w:sz w:val="9"/>
              </w:rPr>
              <w:t>31,337.4</w:t>
            </w:r>
          </w:p>
        </w:tc>
      </w:tr>
      <w:tr>
        <w:trPr>
          <w:trHeight w:val="163" w:hRule="atLeast"/>
        </w:trPr>
        <w:tc>
          <w:tcPr>
            <w:tcW w:w="2176" w:type="dxa"/>
            <w:vMerge/>
            <w:tcBorders>
              <w:top w:val="nil"/>
              <w:right w:val="single" w:sz="4" w:space="0" w:color="000000"/>
            </w:tcBorders>
          </w:tcPr>
          <w:p>
            <w:pPr>
              <w:rPr>
                <w:sz w:val="2"/>
                <w:szCs w:val="2"/>
              </w:rPr>
            </w:pPr>
          </w:p>
        </w:tc>
        <w:tc>
          <w:tcPr>
            <w:tcW w:w="653" w:type="dxa"/>
            <w:tcBorders>
              <w:left w:val="single" w:sz="4" w:space="0" w:color="000000"/>
              <w:right w:val="single" w:sz="4" w:space="0" w:color="000000"/>
            </w:tcBorders>
          </w:tcPr>
          <w:p>
            <w:pPr>
              <w:pStyle w:val="TableParagraph"/>
              <w:spacing w:before="33"/>
              <w:ind w:right="176"/>
              <w:jc w:val="right"/>
              <w:rPr>
                <w:rFonts w:ascii="Arial"/>
                <w:sz w:val="9"/>
              </w:rPr>
            </w:pPr>
            <w:r>
              <w:rPr>
                <w:rFonts w:ascii="Arial"/>
                <w:color w:val="44536A"/>
                <w:w w:val="95"/>
                <w:sz w:val="9"/>
              </w:rPr>
              <w:t>2,711.5</w:t>
            </w:r>
          </w:p>
        </w:tc>
        <w:tc>
          <w:tcPr>
            <w:tcW w:w="614" w:type="dxa"/>
            <w:tcBorders>
              <w:left w:val="single" w:sz="4" w:space="0" w:color="000000"/>
              <w:right w:val="single" w:sz="4" w:space="0" w:color="000000"/>
            </w:tcBorders>
          </w:tcPr>
          <w:p>
            <w:pPr>
              <w:pStyle w:val="TableParagraph"/>
              <w:spacing w:before="33"/>
              <w:ind w:right="154"/>
              <w:jc w:val="right"/>
              <w:rPr>
                <w:rFonts w:ascii="Arial"/>
                <w:sz w:val="9"/>
              </w:rPr>
            </w:pPr>
            <w:r>
              <w:rPr>
                <w:rFonts w:ascii="Arial"/>
                <w:color w:val="44536A"/>
                <w:w w:val="95"/>
                <w:sz w:val="9"/>
              </w:rPr>
              <w:t>2,487.4</w:t>
            </w:r>
          </w:p>
        </w:tc>
        <w:tc>
          <w:tcPr>
            <w:tcW w:w="558" w:type="dxa"/>
            <w:tcBorders>
              <w:left w:val="single" w:sz="4" w:space="0" w:color="000000"/>
              <w:right w:val="single" w:sz="4" w:space="0" w:color="000000"/>
            </w:tcBorders>
          </w:tcPr>
          <w:p>
            <w:pPr>
              <w:pStyle w:val="TableParagraph"/>
              <w:spacing w:before="33"/>
              <w:ind w:left="36" w:right="36"/>
              <w:jc w:val="center"/>
              <w:rPr>
                <w:rFonts w:ascii="Arial"/>
                <w:sz w:val="9"/>
              </w:rPr>
            </w:pPr>
            <w:r>
              <w:rPr>
                <w:rFonts w:ascii="Arial"/>
                <w:color w:val="44536A"/>
                <w:sz w:val="9"/>
              </w:rPr>
              <w:t>3,485.4</w:t>
            </w:r>
          </w:p>
        </w:tc>
        <w:tc>
          <w:tcPr>
            <w:tcW w:w="597" w:type="dxa"/>
            <w:tcBorders>
              <w:left w:val="single" w:sz="4" w:space="0" w:color="000000"/>
              <w:right w:val="single" w:sz="4" w:space="0" w:color="000000"/>
            </w:tcBorders>
          </w:tcPr>
          <w:p>
            <w:pPr>
              <w:pStyle w:val="TableParagraph"/>
              <w:spacing w:before="33"/>
              <w:ind w:left="82" w:right="88"/>
              <w:jc w:val="center"/>
              <w:rPr>
                <w:rFonts w:ascii="Arial"/>
                <w:sz w:val="9"/>
              </w:rPr>
            </w:pPr>
            <w:r>
              <w:rPr>
                <w:rFonts w:ascii="Arial"/>
                <w:color w:val="44536A"/>
                <w:sz w:val="9"/>
              </w:rPr>
              <w:t>3,709.1</w:t>
            </w:r>
          </w:p>
        </w:tc>
        <w:tc>
          <w:tcPr>
            <w:tcW w:w="558" w:type="dxa"/>
            <w:tcBorders>
              <w:left w:val="single" w:sz="4" w:space="0" w:color="000000"/>
              <w:right w:val="single" w:sz="4" w:space="0" w:color="000000"/>
            </w:tcBorders>
          </w:tcPr>
          <w:p>
            <w:pPr>
              <w:pStyle w:val="TableParagraph"/>
              <w:spacing w:before="33"/>
              <w:ind w:left="124"/>
              <w:rPr>
                <w:rFonts w:ascii="Arial"/>
                <w:sz w:val="9"/>
              </w:rPr>
            </w:pPr>
            <w:r>
              <w:rPr>
                <w:rFonts w:ascii="Arial"/>
                <w:color w:val="44536A"/>
                <w:sz w:val="9"/>
              </w:rPr>
              <w:t>3,964.3</w:t>
            </w:r>
          </w:p>
        </w:tc>
        <w:tc>
          <w:tcPr>
            <w:tcW w:w="558" w:type="dxa"/>
            <w:tcBorders>
              <w:left w:val="single" w:sz="4" w:space="0" w:color="000000"/>
              <w:right w:val="single" w:sz="4" w:space="0" w:color="000000"/>
            </w:tcBorders>
          </w:tcPr>
          <w:p>
            <w:pPr>
              <w:pStyle w:val="TableParagraph"/>
              <w:spacing w:before="33"/>
              <w:ind w:left="124"/>
              <w:rPr>
                <w:rFonts w:ascii="Arial"/>
                <w:sz w:val="9"/>
              </w:rPr>
            </w:pPr>
            <w:r>
              <w:rPr>
                <w:rFonts w:ascii="Arial"/>
                <w:color w:val="44536A"/>
                <w:sz w:val="9"/>
              </w:rPr>
              <w:t>4,263.5</w:t>
            </w:r>
          </w:p>
        </w:tc>
        <w:tc>
          <w:tcPr>
            <w:tcW w:w="558" w:type="dxa"/>
            <w:tcBorders>
              <w:left w:val="single" w:sz="4" w:space="0" w:color="000000"/>
              <w:right w:val="single" w:sz="4" w:space="0" w:color="000000"/>
            </w:tcBorders>
          </w:tcPr>
          <w:p>
            <w:pPr>
              <w:pStyle w:val="TableParagraph"/>
              <w:spacing w:before="33"/>
              <w:ind w:left="36" w:right="37"/>
              <w:jc w:val="center"/>
              <w:rPr>
                <w:rFonts w:ascii="Arial"/>
                <w:sz w:val="9"/>
              </w:rPr>
            </w:pPr>
            <w:r>
              <w:rPr>
                <w:rFonts w:ascii="Arial"/>
                <w:color w:val="44536A"/>
                <w:sz w:val="9"/>
              </w:rPr>
              <w:t>4,563.3</w:t>
            </w:r>
          </w:p>
        </w:tc>
        <w:tc>
          <w:tcPr>
            <w:tcW w:w="558" w:type="dxa"/>
            <w:tcBorders>
              <w:left w:val="single" w:sz="4" w:space="0" w:color="000000"/>
              <w:right w:val="single" w:sz="4" w:space="0" w:color="000000"/>
            </w:tcBorders>
          </w:tcPr>
          <w:p>
            <w:pPr>
              <w:pStyle w:val="TableParagraph"/>
              <w:spacing w:before="33"/>
              <w:ind w:left="124"/>
              <w:rPr>
                <w:rFonts w:ascii="Arial"/>
                <w:sz w:val="9"/>
              </w:rPr>
            </w:pPr>
            <w:r>
              <w:rPr>
                <w:rFonts w:ascii="Arial"/>
                <w:color w:val="44536A"/>
                <w:sz w:val="9"/>
              </w:rPr>
              <w:t>4,904.6</w:t>
            </w:r>
          </w:p>
        </w:tc>
        <w:tc>
          <w:tcPr>
            <w:tcW w:w="561" w:type="dxa"/>
            <w:tcBorders>
              <w:left w:val="single" w:sz="4" w:space="0" w:color="000000"/>
            </w:tcBorders>
          </w:tcPr>
          <w:p>
            <w:pPr>
              <w:pStyle w:val="TableParagraph"/>
              <w:spacing w:before="33"/>
              <w:ind w:left="124"/>
              <w:rPr>
                <w:rFonts w:ascii="Arial"/>
                <w:sz w:val="9"/>
              </w:rPr>
            </w:pPr>
            <w:r>
              <w:rPr>
                <w:rFonts w:ascii="Arial"/>
                <w:color w:val="44536A"/>
                <w:sz w:val="9"/>
              </w:rPr>
              <w:t>5,273.0</w:t>
            </w:r>
          </w:p>
        </w:tc>
      </w:tr>
      <w:tr>
        <w:trPr>
          <w:trHeight w:val="177" w:hRule="atLeast"/>
        </w:trPr>
        <w:tc>
          <w:tcPr>
            <w:tcW w:w="2176" w:type="dxa"/>
            <w:vMerge/>
            <w:tcBorders>
              <w:top w:val="nil"/>
              <w:right w:val="single" w:sz="4" w:space="0" w:color="000000"/>
            </w:tcBorders>
          </w:tcPr>
          <w:p>
            <w:pPr>
              <w:rPr>
                <w:sz w:val="2"/>
                <w:szCs w:val="2"/>
              </w:rPr>
            </w:pPr>
          </w:p>
        </w:tc>
        <w:tc>
          <w:tcPr>
            <w:tcW w:w="653" w:type="dxa"/>
            <w:tcBorders>
              <w:left w:val="single" w:sz="4" w:space="0" w:color="000000"/>
              <w:right w:val="single" w:sz="4" w:space="0" w:color="000000"/>
            </w:tcBorders>
          </w:tcPr>
          <w:p>
            <w:pPr>
              <w:pStyle w:val="TableParagraph"/>
              <w:spacing w:before="36"/>
              <w:ind w:right="148"/>
              <w:jc w:val="right"/>
              <w:rPr>
                <w:rFonts w:ascii="Arial"/>
                <w:b/>
                <w:sz w:val="9"/>
              </w:rPr>
            </w:pPr>
            <w:r>
              <w:rPr>
                <w:rFonts w:ascii="Arial"/>
                <w:b/>
                <w:color w:val="44536A"/>
                <w:w w:val="95"/>
                <w:sz w:val="9"/>
              </w:rPr>
              <w:t>44,056.9</w:t>
            </w:r>
          </w:p>
        </w:tc>
        <w:tc>
          <w:tcPr>
            <w:tcW w:w="614" w:type="dxa"/>
            <w:tcBorders>
              <w:left w:val="single" w:sz="4" w:space="0" w:color="000000"/>
              <w:right w:val="single" w:sz="4" w:space="0" w:color="000000"/>
            </w:tcBorders>
          </w:tcPr>
          <w:p>
            <w:pPr>
              <w:pStyle w:val="TableParagraph"/>
              <w:spacing w:before="36"/>
              <w:ind w:right="131"/>
              <w:jc w:val="right"/>
              <w:rPr>
                <w:rFonts w:ascii="Arial"/>
                <w:b/>
                <w:sz w:val="9"/>
              </w:rPr>
            </w:pPr>
            <w:r>
              <w:rPr>
                <w:rFonts w:ascii="Arial"/>
                <w:b/>
                <w:color w:val="44536A"/>
                <w:w w:val="95"/>
                <w:sz w:val="9"/>
              </w:rPr>
              <w:t>43,469.1</w:t>
            </w:r>
          </w:p>
        </w:tc>
        <w:tc>
          <w:tcPr>
            <w:tcW w:w="558" w:type="dxa"/>
            <w:tcBorders>
              <w:left w:val="single" w:sz="4" w:space="0" w:color="000000"/>
              <w:right w:val="single" w:sz="4" w:space="0" w:color="000000"/>
            </w:tcBorders>
          </w:tcPr>
          <w:p>
            <w:pPr>
              <w:pStyle w:val="TableParagraph"/>
              <w:spacing w:before="36"/>
              <w:ind w:left="36" w:right="43"/>
              <w:jc w:val="center"/>
              <w:rPr>
                <w:rFonts w:ascii="Arial"/>
                <w:b/>
                <w:sz w:val="9"/>
              </w:rPr>
            </w:pPr>
            <w:r>
              <w:rPr>
                <w:rFonts w:ascii="Arial"/>
                <w:b/>
                <w:color w:val="44536A"/>
                <w:sz w:val="9"/>
              </w:rPr>
              <w:t>53,907.4</w:t>
            </w:r>
          </w:p>
        </w:tc>
        <w:tc>
          <w:tcPr>
            <w:tcW w:w="597" w:type="dxa"/>
            <w:tcBorders>
              <w:left w:val="single" w:sz="4" w:space="0" w:color="000000"/>
              <w:right w:val="single" w:sz="4" w:space="0" w:color="000000"/>
            </w:tcBorders>
            <w:shd w:val="clear" w:color="auto" w:fill="2F5395"/>
          </w:tcPr>
          <w:p>
            <w:pPr>
              <w:pStyle w:val="TableParagraph"/>
              <w:spacing w:before="36"/>
              <w:ind w:left="82" w:right="83"/>
              <w:jc w:val="center"/>
              <w:rPr>
                <w:rFonts w:ascii="Arial"/>
                <w:b/>
                <w:sz w:val="9"/>
              </w:rPr>
            </w:pPr>
            <w:r>
              <w:rPr>
                <w:rFonts w:ascii="Arial"/>
                <w:b/>
                <w:color w:val="FFFFFF"/>
                <w:sz w:val="9"/>
              </w:rPr>
              <w:t>56,564.0</w:t>
            </w:r>
          </w:p>
        </w:tc>
        <w:tc>
          <w:tcPr>
            <w:tcW w:w="558" w:type="dxa"/>
            <w:tcBorders>
              <w:left w:val="single" w:sz="4" w:space="0" w:color="000000"/>
              <w:right w:val="single" w:sz="4" w:space="0" w:color="000000"/>
            </w:tcBorders>
            <w:shd w:val="clear" w:color="auto" w:fill="2F5395"/>
          </w:tcPr>
          <w:p>
            <w:pPr>
              <w:pStyle w:val="TableParagraph"/>
              <w:spacing w:before="36"/>
              <w:ind w:left="97"/>
              <w:rPr>
                <w:rFonts w:ascii="Arial"/>
                <w:b/>
                <w:sz w:val="9"/>
              </w:rPr>
            </w:pPr>
            <w:r>
              <w:rPr>
                <w:rFonts w:ascii="Arial"/>
                <w:b/>
                <w:color w:val="FFFFFF"/>
                <w:sz w:val="9"/>
              </w:rPr>
              <w:t>58,491.4</w:t>
            </w:r>
          </w:p>
        </w:tc>
        <w:tc>
          <w:tcPr>
            <w:tcW w:w="558" w:type="dxa"/>
            <w:tcBorders>
              <w:left w:val="single" w:sz="4" w:space="0" w:color="000000"/>
              <w:right w:val="single" w:sz="4" w:space="0" w:color="000000"/>
            </w:tcBorders>
            <w:shd w:val="clear" w:color="auto" w:fill="2F5395"/>
          </w:tcPr>
          <w:p>
            <w:pPr>
              <w:pStyle w:val="TableParagraph"/>
              <w:spacing w:before="36"/>
              <w:ind w:left="97"/>
              <w:rPr>
                <w:rFonts w:ascii="Arial"/>
                <w:b/>
                <w:sz w:val="9"/>
              </w:rPr>
            </w:pPr>
            <w:r>
              <w:rPr>
                <w:rFonts w:ascii="Arial"/>
                <w:b/>
                <w:color w:val="FFFFFF"/>
                <w:sz w:val="9"/>
              </w:rPr>
              <w:t>64,943.2</w:t>
            </w:r>
          </w:p>
        </w:tc>
        <w:tc>
          <w:tcPr>
            <w:tcW w:w="558" w:type="dxa"/>
            <w:tcBorders>
              <w:left w:val="single" w:sz="4" w:space="0" w:color="000000"/>
              <w:right w:val="single" w:sz="4" w:space="0" w:color="000000"/>
            </w:tcBorders>
            <w:shd w:val="clear" w:color="auto" w:fill="2F5395"/>
          </w:tcPr>
          <w:p>
            <w:pPr>
              <w:pStyle w:val="TableParagraph"/>
              <w:spacing w:before="36"/>
              <w:ind w:left="36" w:right="43"/>
              <w:jc w:val="center"/>
              <w:rPr>
                <w:rFonts w:ascii="Arial"/>
                <w:b/>
                <w:sz w:val="9"/>
              </w:rPr>
            </w:pPr>
            <w:r>
              <w:rPr>
                <w:rFonts w:ascii="Arial"/>
                <w:b/>
                <w:color w:val="FFFFFF"/>
                <w:sz w:val="9"/>
              </w:rPr>
              <w:t>68,741.4</w:t>
            </w:r>
          </w:p>
        </w:tc>
        <w:tc>
          <w:tcPr>
            <w:tcW w:w="558" w:type="dxa"/>
            <w:tcBorders>
              <w:left w:val="single" w:sz="4" w:space="0" w:color="000000"/>
              <w:right w:val="single" w:sz="4" w:space="0" w:color="000000"/>
            </w:tcBorders>
            <w:shd w:val="clear" w:color="auto" w:fill="2F5395"/>
          </w:tcPr>
          <w:p>
            <w:pPr>
              <w:pStyle w:val="TableParagraph"/>
              <w:spacing w:before="36"/>
              <w:ind w:left="96"/>
              <w:rPr>
                <w:rFonts w:ascii="Arial"/>
                <w:b/>
                <w:sz w:val="9"/>
              </w:rPr>
            </w:pPr>
            <w:r>
              <w:rPr>
                <w:rFonts w:ascii="Arial"/>
                <w:b/>
                <w:color w:val="FFFFFF"/>
                <w:sz w:val="9"/>
              </w:rPr>
              <w:t>72,823.3</w:t>
            </w:r>
          </w:p>
        </w:tc>
        <w:tc>
          <w:tcPr>
            <w:tcW w:w="561" w:type="dxa"/>
            <w:tcBorders>
              <w:left w:val="single" w:sz="4" w:space="0" w:color="000000"/>
            </w:tcBorders>
            <w:shd w:val="clear" w:color="auto" w:fill="2F5395"/>
          </w:tcPr>
          <w:p>
            <w:pPr>
              <w:pStyle w:val="TableParagraph"/>
              <w:spacing w:before="36"/>
              <w:ind w:left="96"/>
              <w:rPr>
                <w:rFonts w:ascii="Arial"/>
                <w:b/>
                <w:sz w:val="9"/>
              </w:rPr>
            </w:pPr>
            <w:r>
              <w:rPr>
                <w:rFonts w:ascii="Arial"/>
                <w:b/>
                <w:color w:val="FFFFFF"/>
                <w:sz w:val="9"/>
              </w:rPr>
              <w:t>77,199.1</w:t>
            </w:r>
          </w:p>
        </w:tc>
      </w:tr>
      <w:tr>
        <w:trPr>
          <w:trHeight w:val="174" w:hRule="atLeast"/>
        </w:trPr>
        <w:tc>
          <w:tcPr>
            <w:tcW w:w="2176" w:type="dxa"/>
            <w:vMerge/>
            <w:tcBorders>
              <w:top w:val="nil"/>
              <w:right w:val="single" w:sz="4" w:space="0" w:color="000000"/>
            </w:tcBorders>
          </w:tcPr>
          <w:p>
            <w:pPr>
              <w:rPr>
                <w:sz w:val="2"/>
                <w:szCs w:val="2"/>
              </w:rPr>
            </w:pPr>
          </w:p>
        </w:tc>
        <w:tc>
          <w:tcPr>
            <w:tcW w:w="653" w:type="dxa"/>
            <w:tcBorders>
              <w:left w:val="single" w:sz="4" w:space="0" w:color="000000"/>
              <w:right w:val="single" w:sz="4" w:space="0" w:color="000000"/>
            </w:tcBorders>
          </w:tcPr>
          <w:p>
            <w:pPr>
              <w:pStyle w:val="TableParagraph"/>
              <w:spacing w:before="36"/>
              <w:ind w:right="148"/>
              <w:jc w:val="right"/>
              <w:rPr>
                <w:rFonts w:ascii="Arial"/>
                <w:sz w:val="9"/>
              </w:rPr>
            </w:pPr>
            <w:r>
              <w:rPr>
                <w:rFonts w:ascii="Arial"/>
                <w:color w:val="44536A"/>
                <w:w w:val="95"/>
                <w:sz w:val="9"/>
              </w:rPr>
              <w:t>17,098.6</w:t>
            </w:r>
          </w:p>
        </w:tc>
        <w:tc>
          <w:tcPr>
            <w:tcW w:w="614" w:type="dxa"/>
            <w:tcBorders>
              <w:left w:val="single" w:sz="4" w:space="0" w:color="000000"/>
              <w:right w:val="single" w:sz="4" w:space="0" w:color="000000"/>
            </w:tcBorders>
          </w:tcPr>
          <w:p>
            <w:pPr>
              <w:pStyle w:val="TableParagraph"/>
              <w:spacing w:before="36"/>
              <w:ind w:right="131"/>
              <w:jc w:val="right"/>
              <w:rPr>
                <w:rFonts w:ascii="Arial"/>
                <w:sz w:val="9"/>
              </w:rPr>
            </w:pPr>
            <w:r>
              <w:rPr>
                <w:rFonts w:ascii="Arial"/>
                <w:color w:val="44536A"/>
                <w:w w:val="95"/>
                <w:sz w:val="9"/>
              </w:rPr>
              <w:t>16,749.0</w:t>
            </w:r>
          </w:p>
        </w:tc>
        <w:tc>
          <w:tcPr>
            <w:tcW w:w="558" w:type="dxa"/>
            <w:tcBorders>
              <w:left w:val="single" w:sz="4" w:space="0" w:color="000000"/>
              <w:right w:val="single" w:sz="4" w:space="0" w:color="000000"/>
            </w:tcBorders>
          </w:tcPr>
          <w:p>
            <w:pPr>
              <w:pStyle w:val="TableParagraph"/>
              <w:spacing w:before="36"/>
              <w:ind w:left="36" w:right="44"/>
              <w:jc w:val="center"/>
              <w:rPr>
                <w:rFonts w:ascii="Arial"/>
                <w:sz w:val="9"/>
              </w:rPr>
            </w:pPr>
            <w:r>
              <w:rPr>
                <w:rFonts w:ascii="Arial"/>
                <w:color w:val="44536A"/>
                <w:sz w:val="9"/>
              </w:rPr>
              <w:t>23,287.8</w:t>
            </w:r>
          </w:p>
        </w:tc>
        <w:tc>
          <w:tcPr>
            <w:tcW w:w="597" w:type="dxa"/>
            <w:tcBorders>
              <w:left w:val="single" w:sz="4" w:space="0" w:color="000000"/>
              <w:right w:val="single" w:sz="4" w:space="0" w:color="000000"/>
            </w:tcBorders>
          </w:tcPr>
          <w:p>
            <w:pPr>
              <w:pStyle w:val="TableParagraph"/>
              <w:spacing w:before="36"/>
              <w:ind w:left="82" w:right="83"/>
              <w:jc w:val="center"/>
              <w:rPr>
                <w:rFonts w:ascii="Arial"/>
                <w:sz w:val="9"/>
              </w:rPr>
            </w:pPr>
            <w:r>
              <w:rPr>
                <w:rFonts w:ascii="Arial"/>
                <w:color w:val="44536A"/>
                <w:sz w:val="9"/>
              </w:rPr>
              <w:t>23,248.8</w:t>
            </w:r>
          </w:p>
        </w:tc>
        <w:tc>
          <w:tcPr>
            <w:tcW w:w="558" w:type="dxa"/>
            <w:tcBorders>
              <w:left w:val="single" w:sz="4" w:space="0" w:color="000000"/>
              <w:right w:val="single" w:sz="4" w:space="0" w:color="000000"/>
            </w:tcBorders>
          </w:tcPr>
          <w:p>
            <w:pPr>
              <w:pStyle w:val="TableParagraph"/>
              <w:spacing w:before="36"/>
              <w:ind w:left="97"/>
              <w:rPr>
                <w:rFonts w:ascii="Arial"/>
                <w:sz w:val="9"/>
              </w:rPr>
            </w:pPr>
            <w:r>
              <w:rPr>
                <w:rFonts w:ascii="Arial"/>
                <w:color w:val="44536A"/>
                <w:sz w:val="9"/>
              </w:rPr>
              <w:t>24,548.1</w:t>
            </w:r>
          </w:p>
        </w:tc>
        <w:tc>
          <w:tcPr>
            <w:tcW w:w="558" w:type="dxa"/>
            <w:tcBorders>
              <w:left w:val="single" w:sz="4" w:space="0" w:color="000000"/>
              <w:right w:val="single" w:sz="4" w:space="0" w:color="000000"/>
            </w:tcBorders>
          </w:tcPr>
          <w:p>
            <w:pPr>
              <w:pStyle w:val="TableParagraph"/>
              <w:spacing w:before="36"/>
              <w:ind w:left="97"/>
              <w:rPr>
                <w:rFonts w:ascii="Arial"/>
                <w:sz w:val="9"/>
              </w:rPr>
            </w:pPr>
            <w:r>
              <w:rPr>
                <w:rFonts w:ascii="Arial"/>
                <w:color w:val="44536A"/>
                <w:sz w:val="9"/>
              </w:rPr>
              <w:t>26,022.5</w:t>
            </w:r>
          </w:p>
        </w:tc>
        <w:tc>
          <w:tcPr>
            <w:tcW w:w="558" w:type="dxa"/>
            <w:tcBorders>
              <w:left w:val="single" w:sz="4" w:space="0" w:color="000000"/>
              <w:right w:val="single" w:sz="4" w:space="0" w:color="000000"/>
            </w:tcBorders>
          </w:tcPr>
          <w:p>
            <w:pPr>
              <w:pStyle w:val="TableParagraph"/>
              <w:spacing w:before="36"/>
              <w:ind w:left="36" w:right="43"/>
              <w:jc w:val="center"/>
              <w:rPr>
                <w:rFonts w:ascii="Arial"/>
                <w:sz w:val="9"/>
              </w:rPr>
            </w:pPr>
            <w:r>
              <w:rPr>
                <w:rFonts w:ascii="Arial"/>
                <w:color w:val="44536A"/>
                <w:sz w:val="9"/>
              </w:rPr>
              <w:t>27,641.3</w:t>
            </w:r>
          </w:p>
        </w:tc>
        <w:tc>
          <w:tcPr>
            <w:tcW w:w="558" w:type="dxa"/>
            <w:tcBorders>
              <w:left w:val="single" w:sz="4" w:space="0" w:color="000000"/>
              <w:right w:val="single" w:sz="4" w:space="0" w:color="000000"/>
            </w:tcBorders>
          </w:tcPr>
          <w:p>
            <w:pPr>
              <w:pStyle w:val="TableParagraph"/>
              <w:spacing w:before="36"/>
              <w:ind w:left="96"/>
              <w:rPr>
                <w:rFonts w:ascii="Arial"/>
                <w:sz w:val="9"/>
              </w:rPr>
            </w:pPr>
            <w:r>
              <w:rPr>
                <w:rFonts w:ascii="Arial"/>
                <w:color w:val="44536A"/>
                <w:sz w:val="9"/>
              </w:rPr>
              <w:t>29,415.2</w:t>
            </w:r>
          </w:p>
        </w:tc>
        <w:tc>
          <w:tcPr>
            <w:tcW w:w="561" w:type="dxa"/>
            <w:tcBorders>
              <w:left w:val="single" w:sz="4" w:space="0" w:color="000000"/>
            </w:tcBorders>
          </w:tcPr>
          <w:p>
            <w:pPr>
              <w:pStyle w:val="TableParagraph"/>
              <w:spacing w:before="36"/>
              <w:ind w:left="96"/>
              <w:rPr>
                <w:rFonts w:ascii="Arial"/>
                <w:sz w:val="9"/>
              </w:rPr>
            </w:pPr>
            <w:r>
              <w:rPr>
                <w:rFonts w:ascii="Arial"/>
                <w:color w:val="44536A"/>
                <w:sz w:val="9"/>
              </w:rPr>
              <w:t>31,305.9</w:t>
            </w:r>
          </w:p>
        </w:tc>
      </w:tr>
      <w:tr>
        <w:trPr>
          <w:trHeight w:val="172" w:hRule="atLeast"/>
        </w:trPr>
        <w:tc>
          <w:tcPr>
            <w:tcW w:w="2176" w:type="dxa"/>
            <w:vMerge/>
            <w:tcBorders>
              <w:top w:val="nil"/>
              <w:right w:val="single" w:sz="4" w:space="0" w:color="000000"/>
            </w:tcBorders>
          </w:tcPr>
          <w:p>
            <w:pPr>
              <w:rPr>
                <w:sz w:val="2"/>
                <w:szCs w:val="2"/>
              </w:rPr>
            </w:pPr>
          </w:p>
        </w:tc>
        <w:tc>
          <w:tcPr>
            <w:tcW w:w="653" w:type="dxa"/>
            <w:tcBorders>
              <w:left w:val="single" w:sz="4" w:space="0" w:color="000000"/>
              <w:right w:val="single" w:sz="4" w:space="0" w:color="000000"/>
            </w:tcBorders>
          </w:tcPr>
          <w:p>
            <w:pPr>
              <w:pStyle w:val="TableParagraph"/>
              <w:spacing w:before="33"/>
              <w:ind w:right="176"/>
              <w:jc w:val="right"/>
              <w:rPr>
                <w:rFonts w:ascii="Arial"/>
                <w:sz w:val="9"/>
              </w:rPr>
            </w:pPr>
            <w:r>
              <w:rPr>
                <w:rFonts w:ascii="Arial"/>
                <w:color w:val="44536A"/>
                <w:w w:val="95"/>
                <w:sz w:val="9"/>
              </w:rPr>
              <w:t>4,831.2</w:t>
            </w:r>
          </w:p>
        </w:tc>
        <w:tc>
          <w:tcPr>
            <w:tcW w:w="614" w:type="dxa"/>
            <w:tcBorders>
              <w:left w:val="single" w:sz="4" w:space="0" w:color="000000"/>
              <w:right w:val="single" w:sz="4" w:space="0" w:color="000000"/>
            </w:tcBorders>
          </w:tcPr>
          <w:p>
            <w:pPr>
              <w:pStyle w:val="TableParagraph"/>
              <w:spacing w:before="33"/>
              <w:ind w:right="154"/>
              <w:jc w:val="right"/>
              <w:rPr>
                <w:rFonts w:ascii="Arial"/>
                <w:sz w:val="9"/>
              </w:rPr>
            </w:pPr>
            <w:r>
              <w:rPr>
                <w:rFonts w:ascii="Arial"/>
                <w:color w:val="44536A"/>
                <w:w w:val="95"/>
                <w:sz w:val="9"/>
              </w:rPr>
              <w:t>5,072.0</w:t>
            </w:r>
          </w:p>
        </w:tc>
        <w:tc>
          <w:tcPr>
            <w:tcW w:w="558" w:type="dxa"/>
            <w:tcBorders>
              <w:left w:val="single" w:sz="4" w:space="0" w:color="000000"/>
              <w:right w:val="single" w:sz="4" w:space="0" w:color="000000"/>
            </w:tcBorders>
          </w:tcPr>
          <w:p>
            <w:pPr>
              <w:pStyle w:val="TableParagraph"/>
              <w:spacing w:before="33"/>
              <w:ind w:left="36" w:right="36"/>
              <w:jc w:val="center"/>
              <w:rPr>
                <w:rFonts w:ascii="Arial"/>
                <w:sz w:val="9"/>
              </w:rPr>
            </w:pPr>
            <w:r>
              <w:rPr>
                <w:rFonts w:ascii="Arial"/>
                <w:color w:val="44536A"/>
                <w:sz w:val="9"/>
              </w:rPr>
              <w:t>5,401.5</w:t>
            </w:r>
          </w:p>
        </w:tc>
        <w:tc>
          <w:tcPr>
            <w:tcW w:w="597" w:type="dxa"/>
            <w:tcBorders>
              <w:left w:val="single" w:sz="4" w:space="0" w:color="000000"/>
              <w:right w:val="single" w:sz="4" w:space="0" w:color="000000"/>
            </w:tcBorders>
          </w:tcPr>
          <w:p>
            <w:pPr>
              <w:pStyle w:val="TableParagraph"/>
              <w:spacing w:before="33"/>
              <w:ind w:left="82" w:right="88"/>
              <w:jc w:val="center"/>
              <w:rPr>
                <w:rFonts w:ascii="Arial"/>
                <w:sz w:val="9"/>
              </w:rPr>
            </w:pPr>
            <w:r>
              <w:rPr>
                <w:rFonts w:ascii="Arial"/>
                <w:color w:val="44536A"/>
                <w:sz w:val="9"/>
              </w:rPr>
              <w:t>5,492.1</w:t>
            </w:r>
          </w:p>
        </w:tc>
        <w:tc>
          <w:tcPr>
            <w:tcW w:w="558" w:type="dxa"/>
            <w:tcBorders>
              <w:left w:val="single" w:sz="4" w:space="0" w:color="000000"/>
              <w:right w:val="single" w:sz="4" w:space="0" w:color="000000"/>
            </w:tcBorders>
          </w:tcPr>
          <w:p>
            <w:pPr>
              <w:pStyle w:val="TableParagraph"/>
              <w:spacing w:before="33"/>
              <w:ind w:left="124"/>
              <w:rPr>
                <w:rFonts w:ascii="Arial"/>
                <w:sz w:val="9"/>
              </w:rPr>
            </w:pPr>
            <w:r>
              <w:rPr>
                <w:rFonts w:ascii="Arial"/>
                <w:color w:val="44536A"/>
                <w:sz w:val="9"/>
              </w:rPr>
              <w:t>5,799.5</w:t>
            </w:r>
          </w:p>
        </w:tc>
        <w:tc>
          <w:tcPr>
            <w:tcW w:w="558" w:type="dxa"/>
            <w:tcBorders>
              <w:left w:val="single" w:sz="4" w:space="0" w:color="000000"/>
              <w:right w:val="single" w:sz="4" w:space="0" w:color="000000"/>
            </w:tcBorders>
          </w:tcPr>
          <w:p>
            <w:pPr>
              <w:pStyle w:val="TableParagraph"/>
              <w:spacing w:before="33"/>
              <w:ind w:left="124"/>
              <w:rPr>
                <w:rFonts w:ascii="Arial"/>
                <w:sz w:val="9"/>
              </w:rPr>
            </w:pPr>
            <w:r>
              <w:rPr>
                <w:rFonts w:ascii="Arial"/>
                <w:color w:val="44536A"/>
                <w:sz w:val="9"/>
              </w:rPr>
              <w:t>6,118.7</w:t>
            </w:r>
          </w:p>
        </w:tc>
        <w:tc>
          <w:tcPr>
            <w:tcW w:w="558" w:type="dxa"/>
            <w:tcBorders>
              <w:left w:val="single" w:sz="4" w:space="0" w:color="000000"/>
              <w:right w:val="single" w:sz="4" w:space="0" w:color="000000"/>
            </w:tcBorders>
          </w:tcPr>
          <w:p>
            <w:pPr>
              <w:pStyle w:val="TableParagraph"/>
              <w:spacing w:before="33"/>
              <w:ind w:left="36" w:right="37"/>
              <w:jc w:val="center"/>
              <w:rPr>
                <w:rFonts w:ascii="Arial"/>
                <w:sz w:val="9"/>
              </w:rPr>
            </w:pPr>
            <w:r>
              <w:rPr>
                <w:rFonts w:ascii="Arial"/>
                <w:color w:val="44536A"/>
                <w:sz w:val="9"/>
              </w:rPr>
              <w:t>6,456.1</w:t>
            </w:r>
          </w:p>
        </w:tc>
        <w:tc>
          <w:tcPr>
            <w:tcW w:w="558" w:type="dxa"/>
            <w:tcBorders>
              <w:left w:val="single" w:sz="4" w:space="0" w:color="000000"/>
              <w:right w:val="single" w:sz="4" w:space="0" w:color="000000"/>
            </w:tcBorders>
          </w:tcPr>
          <w:p>
            <w:pPr>
              <w:pStyle w:val="TableParagraph"/>
              <w:spacing w:before="33"/>
              <w:ind w:left="124"/>
              <w:rPr>
                <w:rFonts w:ascii="Arial"/>
                <w:sz w:val="9"/>
              </w:rPr>
            </w:pPr>
            <w:r>
              <w:rPr>
                <w:rFonts w:ascii="Arial"/>
                <w:color w:val="44536A"/>
                <w:sz w:val="9"/>
              </w:rPr>
              <w:t>6,823.2</w:t>
            </w:r>
          </w:p>
        </w:tc>
        <w:tc>
          <w:tcPr>
            <w:tcW w:w="561" w:type="dxa"/>
            <w:tcBorders>
              <w:left w:val="single" w:sz="4" w:space="0" w:color="000000"/>
            </w:tcBorders>
          </w:tcPr>
          <w:p>
            <w:pPr>
              <w:pStyle w:val="TableParagraph"/>
              <w:spacing w:before="33"/>
              <w:ind w:left="124"/>
              <w:rPr>
                <w:rFonts w:ascii="Arial"/>
                <w:sz w:val="9"/>
              </w:rPr>
            </w:pPr>
            <w:r>
              <w:rPr>
                <w:rFonts w:ascii="Arial"/>
                <w:color w:val="44536A"/>
                <w:sz w:val="9"/>
              </w:rPr>
              <w:t>7,211.2</w:t>
            </w:r>
          </w:p>
        </w:tc>
      </w:tr>
      <w:tr>
        <w:trPr>
          <w:trHeight w:val="172" w:hRule="atLeast"/>
        </w:trPr>
        <w:tc>
          <w:tcPr>
            <w:tcW w:w="2176" w:type="dxa"/>
            <w:vMerge/>
            <w:tcBorders>
              <w:top w:val="nil"/>
              <w:right w:val="single" w:sz="4" w:space="0" w:color="000000"/>
            </w:tcBorders>
          </w:tcPr>
          <w:p>
            <w:pPr>
              <w:rPr>
                <w:sz w:val="2"/>
                <w:szCs w:val="2"/>
              </w:rPr>
            </w:pPr>
          </w:p>
        </w:tc>
        <w:tc>
          <w:tcPr>
            <w:tcW w:w="653" w:type="dxa"/>
            <w:tcBorders>
              <w:left w:val="single" w:sz="4" w:space="0" w:color="000000"/>
              <w:right w:val="single" w:sz="4" w:space="0" w:color="000000"/>
            </w:tcBorders>
          </w:tcPr>
          <w:p>
            <w:pPr>
              <w:pStyle w:val="TableParagraph"/>
              <w:spacing w:before="33"/>
              <w:ind w:right="237"/>
              <w:jc w:val="right"/>
              <w:rPr>
                <w:rFonts w:ascii="Arial"/>
                <w:sz w:val="9"/>
              </w:rPr>
            </w:pPr>
            <w:r>
              <w:rPr>
                <w:rFonts w:ascii="Arial"/>
                <w:color w:val="44536A"/>
                <w:w w:val="95"/>
                <w:sz w:val="9"/>
              </w:rPr>
              <w:t>42.2</w:t>
            </w:r>
          </w:p>
        </w:tc>
        <w:tc>
          <w:tcPr>
            <w:tcW w:w="614" w:type="dxa"/>
            <w:tcBorders>
              <w:left w:val="single" w:sz="4" w:space="0" w:color="000000"/>
              <w:right w:val="single" w:sz="4" w:space="0" w:color="000000"/>
            </w:tcBorders>
          </w:tcPr>
          <w:p>
            <w:pPr>
              <w:pStyle w:val="TableParagraph"/>
              <w:spacing w:before="33"/>
              <w:ind w:right="215"/>
              <w:jc w:val="right"/>
              <w:rPr>
                <w:rFonts w:ascii="Arial"/>
                <w:sz w:val="9"/>
              </w:rPr>
            </w:pPr>
            <w:r>
              <w:rPr>
                <w:rFonts w:ascii="Arial"/>
                <w:color w:val="44536A"/>
                <w:w w:val="95"/>
                <w:sz w:val="9"/>
              </w:rPr>
              <w:t>12.4</w:t>
            </w:r>
          </w:p>
        </w:tc>
        <w:tc>
          <w:tcPr>
            <w:tcW w:w="558" w:type="dxa"/>
            <w:tcBorders>
              <w:left w:val="single" w:sz="4" w:space="0" w:color="000000"/>
              <w:right w:val="single" w:sz="4" w:space="0" w:color="000000"/>
            </w:tcBorders>
          </w:tcPr>
          <w:p>
            <w:pPr>
              <w:pStyle w:val="TableParagraph"/>
              <w:spacing w:before="33"/>
              <w:ind w:left="36" w:right="36"/>
              <w:jc w:val="center"/>
              <w:rPr>
                <w:rFonts w:ascii="Arial"/>
                <w:sz w:val="9"/>
              </w:rPr>
            </w:pPr>
            <w:r>
              <w:rPr>
                <w:rFonts w:ascii="Arial"/>
                <w:color w:val="44536A"/>
                <w:sz w:val="9"/>
              </w:rPr>
              <w:t>26.3</w:t>
            </w:r>
          </w:p>
        </w:tc>
        <w:tc>
          <w:tcPr>
            <w:tcW w:w="597" w:type="dxa"/>
            <w:tcBorders>
              <w:left w:val="single" w:sz="4" w:space="0" w:color="000000"/>
              <w:right w:val="single" w:sz="4" w:space="0" w:color="000000"/>
            </w:tcBorders>
          </w:tcPr>
          <w:p>
            <w:pPr>
              <w:pStyle w:val="TableParagraph"/>
              <w:spacing w:before="33"/>
              <w:ind w:left="82" w:right="88"/>
              <w:jc w:val="center"/>
              <w:rPr>
                <w:rFonts w:ascii="Arial"/>
                <w:sz w:val="9"/>
              </w:rPr>
            </w:pPr>
            <w:r>
              <w:rPr>
                <w:rFonts w:ascii="Arial"/>
                <w:color w:val="44536A"/>
                <w:sz w:val="9"/>
              </w:rPr>
              <w:t>32.7</w:t>
            </w:r>
          </w:p>
        </w:tc>
        <w:tc>
          <w:tcPr>
            <w:tcW w:w="558" w:type="dxa"/>
            <w:tcBorders>
              <w:left w:val="single" w:sz="4" w:space="0" w:color="000000"/>
              <w:right w:val="single" w:sz="4" w:space="0" w:color="000000"/>
            </w:tcBorders>
          </w:tcPr>
          <w:p>
            <w:pPr>
              <w:pStyle w:val="TableParagraph"/>
              <w:spacing w:before="33"/>
              <w:ind w:left="36" w:right="37"/>
              <w:jc w:val="center"/>
              <w:rPr>
                <w:rFonts w:ascii="Arial"/>
                <w:sz w:val="9"/>
              </w:rPr>
            </w:pPr>
            <w:r>
              <w:rPr>
                <w:rFonts w:ascii="Arial"/>
                <w:color w:val="44536A"/>
                <w:sz w:val="9"/>
              </w:rPr>
              <w:t>34.8</w:t>
            </w:r>
          </w:p>
        </w:tc>
        <w:tc>
          <w:tcPr>
            <w:tcW w:w="558" w:type="dxa"/>
            <w:tcBorders>
              <w:left w:val="single" w:sz="4" w:space="0" w:color="000000"/>
              <w:right w:val="single" w:sz="4" w:space="0" w:color="000000"/>
            </w:tcBorders>
          </w:tcPr>
          <w:p>
            <w:pPr>
              <w:pStyle w:val="TableParagraph"/>
              <w:spacing w:before="33"/>
              <w:ind w:left="36" w:right="37"/>
              <w:jc w:val="center"/>
              <w:rPr>
                <w:rFonts w:ascii="Arial"/>
                <w:sz w:val="9"/>
              </w:rPr>
            </w:pPr>
            <w:r>
              <w:rPr>
                <w:rFonts w:ascii="Arial"/>
                <w:color w:val="44536A"/>
                <w:sz w:val="9"/>
              </w:rPr>
              <w:t>37.0</w:t>
            </w:r>
          </w:p>
        </w:tc>
        <w:tc>
          <w:tcPr>
            <w:tcW w:w="558" w:type="dxa"/>
            <w:tcBorders>
              <w:left w:val="single" w:sz="4" w:space="0" w:color="000000"/>
              <w:right w:val="single" w:sz="4" w:space="0" w:color="000000"/>
            </w:tcBorders>
          </w:tcPr>
          <w:p>
            <w:pPr>
              <w:pStyle w:val="TableParagraph"/>
              <w:spacing w:before="33"/>
              <w:ind w:left="36" w:right="37"/>
              <w:jc w:val="center"/>
              <w:rPr>
                <w:rFonts w:ascii="Arial"/>
                <w:sz w:val="9"/>
              </w:rPr>
            </w:pPr>
            <w:r>
              <w:rPr>
                <w:rFonts w:ascii="Arial"/>
                <w:color w:val="44536A"/>
                <w:sz w:val="9"/>
              </w:rPr>
              <w:t>39.3</w:t>
            </w:r>
          </w:p>
        </w:tc>
        <w:tc>
          <w:tcPr>
            <w:tcW w:w="558" w:type="dxa"/>
            <w:tcBorders>
              <w:left w:val="single" w:sz="4" w:space="0" w:color="000000"/>
              <w:right w:val="single" w:sz="4" w:space="0" w:color="000000"/>
            </w:tcBorders>
          </w:tcPr>
          <w:p>
            <w:pPr>
              <w:pStyle w:val="TableParagraph"/>
              <w:spacing w:before="33"/>
              <w:ind w:left="36" w:right="37"/>
              <w:jc w:val="center"/>
              <w:rPr>
                <w:rFonts w:ascii="Arial"/>
                <w:sz w:val="9"/>
              </w:rPr>
            </w:pPr>
            <w:r>
              <w:rPr>
                <w:rFonts w:ascii="Arial"/>
                <w:color w:val="44536A"/>
                <w:sz w:val="9"/>
              </w:rPr>
              <w:t>41.8</w:t>
            </w:r>
          </w:p>
        </w:tc>
        <w:tc>
          <w:tcPr>
            <w:tcW w:w="561" w:type="dxa"/>
            <w:tcBorders>
              <w:left w:val="single" w:sz="4" w:space="0" w:color="000000"/>
            </w:tcBorders>
          </w:tcPr>
          <w:p>
            <w:pPr>
              <w:pStyle w:val="TableParagraph"/>
              <w:spacing w:before="33"/>
              <w:ind w:left="165" w:right="175"/>
              <w:jc w:val="center"/>
              <w:rPr>
                <w:rFonts w:ascii="Arial"/>
                <w:sz w:val="9"/>
              </w:rPr>
            </w:pPr>
            <w:r>
              <w:rPr>
                <w:rFonts w:ascii="Arial"/>
                <w:color w:val="44536A"/>
                <w:sz w:val="9"/>
              </w:rPr>
              <w:t>44.4</w:t>
            </w:r>
          </w:p>
        </w:tc>
      </w:tr>
      <w:tr>
        <w:trPr>
          <w:trHeight w:val="171" w:hRule="atLeast"/>
        </w:trPr>
        <w:tc>
          <w:tcPr>
            <w:tcW w:w="2176" w:type="dxa"/>
            <w:vMerge/>
            <w:tcBorders>
              <w:top w:val="nil"/>
              <w:right w:val="single" w:sz="4" w:space="0" w:color="000000"/>
            </w:tcBorders>
          </w:tcPr>
          <w:p>
            <w:pPr>
              <w:rPr>
                <w:sz w:val="2"/>
                <w:szCs w:val="2"/>
              </w:rPr>
            </w:pPr>
          </w:p>
        </w:tc>
        <w:tc>
          <w:tcPr>
            <w:tcW w:w="653" w:type="dxa"/>
            <w:tcBorders>
              <w:left w:val="single" w:sz="4" w:space="0" w:color="000000"/>
              <w:right w:val="single" w:sz="4" w:space="0" w:color="000000"/>
            </w:tcBorders>
          </w:tcPr>
          <w:p>
            <w:pPr>
              <w:pStyle w:val="TableParagraph"/>
              <w:spacing w:before="33"/>
              <w:ind w:right="148"/>
              <w:jc w:val="right"/>
              <w:rPr>
                <w:rFonts w:ascii="Arial"/>
                <w:sz w:val="9"/>
              </w:rPr>
            </w:pPr>
            <w:r>
              <w:rPr>
                <w:rFonts w:ascii="Arial"/>
                <w:color w:val="44536A"/>
                <w:w w:val="95"/>
                <w:sz w:val="9"/>
              </w:rPr>
              <w:t>14,611.2</w:t>
            </w:r>
          </w:p>
        </w:tc>
        <w:tc>
          <w:tcPr>
            <w:tcW w:w="614" w:type="dxa"/>
            <w:tcBorders>
              <w:left w:val="single" w:sz="4" w:space="0" w:color="000000"/>
              <w:right w:val="single" w:sz="4" w:space="0" w:color="000000"/>
            </w:tcBorders>
          </w:tcPr>
          <w:p>
            <w:pPr>
              <w:pStyle w:val="TableParagraph"/>
              <w:spacing w:before="33"/>
              <w:ind w:right="131"/>
              <w:jc w:val="right"/>
              <w:rPr>
                <w:rFonts w:ascii="Arial"/>
                <w:sz w:val="9"/>
              </w:rPr>
            </w:pPr>
            <w:r>
              <w:rPr>
                <w:rFonts w:ascii="Arial"/>
                <w:color w:val="44536A"/>
                <w:w w:val="95"/>
                <w:sz w:val="9"/>
              </w:rPr>
              <w:t>14,671.8</w:t>
            </w:r>
          </w:p>
        </w:tc>
        <w:tc>
          <w:tcPr>
            <w:tcW w:w="558" w:type="dxa"/>
            <w:tcBorders>
              <w:left w:val="single" w:sz="4" w:space="0" w:color="000000"/>
              <w:right w:val="single" w:sz="4" w:space="0" w:color="000000"/>
            </w:tcBorders>
          </w:tcPr>
          <w:p>
            <w:pPr>
              <w:pStyle w:val="TableParagraph"/>
              <w:spacing w:before="33"/>
              <w:ind w:left="36" w:right="44"/>
              <w:jc w:val="center"/>
              <w:rPr>
                <w:rFonts w:ascii="Arial"/>
                <w:sz w:val="9"/>
              </w:rPr>
            </w:pPr>
            <w:r>
              <w:rPr>
                <w:rFonts w:ascii="Arial"/>
                <w:color w:val="44536A"/>
                <w:sz w:val="9"/>
              </w:rPr>
              <w:t>16,750.9</w:t>
            </w:r>
          </w:p>
        </w:tc>
        <w:tc>
          <w:tcPr>
            <w:tcW w:w="597" w:type="dxa"/>
            <w:tcBorders>
              <w:left w:val="single" w:sz="4" w:space="0" w:color="000000"/>
              <w:right w:val="single" w:sz="4" w:space="0" w:color="000000"/>
            </w:tcBorders>
          </w:tcPr>
          <w:p>
            <w:pPr>
              <w:pStyle w:val="TableParagraph"/>
              <w:spacing w:before="33"/>
              <w:ind w:left="82" w:right="83"/>
              <w:jc w:val="center"/>
              <w:rPr>
                <w:rFonts w:ascii="Arial"/>
                <w:sz w:val="9"/>
              </w:rPr>
            </w:pPr>
            <w:r>
              <w:rPr>
                <w:rFonts w:ascii="Arial"/>
                <w:color w:val="44536A"/>
                <w:sz w:val="9"/>
              </w:rPr>
              <w:t>16,939.8</w:t>
            </w:r>
          </w:p>
        </w:tc>
        <w:tc>
          <w:tcPr>
            <w:tcW w:w="558" w:type="dxa"/>
            <w:tcBorders>
              <w:left w:val="single" w:sz="4" w:space="0" w:color="000000"/>
              <w:right w:val="single" w:sz="4" w:space="0" w:color="000000"/>
            </w:tcBorders>
          </w:tcPr>
          <w:p>
            <w:pPr>
              <w:pStyle w:val="TableParagraph"/>
              <w:spacing w:before="33"/>
              <w:ind w:left="97"/>
              <w:rPr>
                <w:rFonts w:ascii="Arial"/>
                <w:sz w:val="9"/>
              </w:rPr>
            </w:pPr>
            <w:r>
              <w:rPr>
                <w:rFonts w:ascii="Arial"/>
                <w:color w:val="44536A"/>
                <w:sz w:val="9"/>
              </w:rPr>
              <w:t>17,847.7</w:t>
            </w:r>
          </w:p>
        </w:tc>
        <w:tc>
          <w:tcPr>
            <w:tcW w:w="558" w:type="dxa"/>
            <w:tcBorders>
              <w:left w:val="single" w:sz="4" w:space="0" w:color="000000"/>
              <w:right w:val="single" w:sz="4" w:space="0" w:color="000000"/>
            </w:tcBorders>
          </w:tcPr>
          <w:p>
            <w:pPr>
              <w:pStyle w:val="TableParagraph"/>
              <w:spacing w:before="33"/>
              <w:ind w:left="97"/>
              <w:rPr>
                <w:rFonts w:ascii="Arial"/>
                <w:sz w:val="9"/>
              </w:rPr>
            </w:pPr>
            <w:r>
              <w:rPr>
                <w:rFonts w:ascii="Arial"/>
                <w:color w:val="44536A"/>
                <w:sz w:val="9"/>
              </w:rPr>
              <w:t>18,955.2</w:t>
            </w:r>
          </w:p>
        </w:tc>
        <w:tc>
          <w:tcPr>
            <w:tcW w:w="558" w:type="dxa"/>
            <w:tcBorders>
              <w:left w:val="single" w:sz="4" w:space="0" w:color="000000"/>
              <w:right w:val="single" w:sz="4" w:space="0" w:color="000000"/>
            </w:tcBorders>
          </w:tcPr>
          <w:p>
            <w:pPr>
              <w:pStyle w:val="TableParagraph"/>
              <w:spacing w:before="33"/>
              <w:ind w:left="36" w:right="43"/>
              <w:jc w:val="center"/>
              <w:rPr>
                <w:rFonts w:ascii="Arial"/>
                <w:sz w:val="9"/>
              </w:rPr>
            </w:pPr>
            <w:r>
              <w:rPr>
                <w:rFonts w:ascii="Arial"/>
                <w:color w:val="44536A"/>
                <w:sz w:val="9"/>
              </w:rPr>
              <w:t>20,134.3</w:t>
            </w:r>
          </w:p>
        </w:tc>
        <w:tc>
          <w:tcPr>
            <w:tcW w:w="558" w:type="dxa"/>
            <w:tcBorders>
              <w:left w:val="single" w:sz="4" w:space="0" w:color="000000"/>
              <w:right w:val="single" w:sz="4" w:space="0" w:color="000000"/>
            </w:tcBorders>
          </w:tcPr>
          <w:p>
            <w:pPr>
              <w:pStyle w:val="TableParagraph"/>
              <w:spacing w:before="33"/>
              <w:ind w:left="96"/>
              <w:rPr>
                <w:rFonts w:ascii="Arial"/>
                <w:sz w:val="9"/>
              </w:rPr>
            </w:pPr>
            <w:r>
              <w:rPr>
                <w:rFonts w:ascii="Arial"/>
                <w:color w:val="44536A"/>
                <w:sz w:val="9"/>
              </w:rPr>
              <w:t>21,426.2</w:t>
            </w:r>
          </w:p>
        </w:tc>
        <w:tc>
          <w:tcPr>
            <w:tcW w:w="561" w:type="dxa"/>
            <w:tcBorders>
              <w:left w:val="single" w:sz="4" w:space="0" w:color="000000"/>
            </w:tcBorders>
          </w:tcPr>
          <w:p>
            <w:pPr>
              <w:pStyle w:val="TableParagraph"/>
              <w:spacing w:before="33"/>
              <w:ind w:left="96"/>
              <w:rPr>
                <w:rFonts w:ascii="Arial"/>
                <w:sz w:val="9"/>
              </w:rPr>
            </w:pPr>
            <w:r>
              <w:rPr>
                <w:rFonts w:ascii="Arial"/>
                <w:color w:val="44536A"/>
                <w:sz w:val="9"/>
              </w:rPr>
              <w:t>22,800.9</w:t>
            </w:r>
          </w:p>
        </w:tc>
      </w:tr>
      <w:tr>
        <w:trPr>
          <w:trHeight w:val="171" w:hRule="atLeast"/>
        </w:trPr>
        <w:tc>
          <w:tcPr>
            <w:tcW w:w="2176" w:type="dxa"/>
            <w:vMerge/>
            <w:tcBorders>
              <w:top w:val="nil"/>
              <w:right w:val="single" w:sz="4" w:space="0" w:color="000000"/>
            </w:tcBorders>
          </w:tcPr>
          <w:p>
            <w:pPr>
              <w:rPr>
                <w:sz w:val="2"/>
                <w:szCs w:val="2"/>
              </w:rPr>
            </w:pPr>
          </w:p>
        </w:tc>
        <w:tc>
          <w:tcPr>
            <w:tcW w:w="653" w:type="dxa"/>
            <w:tcBorders>
              <w:left w:val="single" w:sz="4" w:space="0" w:color="000000"/>
              <w:right w:val="single" w:sz="4" w:space="0" w:color="000000"/>
            </w:tcBorders>
          </w:tcPr>
          <w:p>
            <w:pPr>
              <w:pStyle w:val="TableParagraph"/>
              <w:spacing w:before="33"/>
              <w:ind w:right="209"/>
              <w:jc w:val="right"/>
              <w:rPr>
                <w:rFonts w:ascii="Arial"/>
                <w:sz w:val="9"/>
              </w:rPr>
            </w:pPr>
            <w:r>
              <w:rPr>
                <w:rFonts w:ascii="Arial"/>
                <w:color w:val="44536A"/>
                <w:sz w:val="9"/>
              </w:rPr>
              <w:t>869.6</w:t>
            </w:r>
          </w:p>
        </w:tc>
        <w:tc>
          <w:tcPr>
            <w:tcW w:w="614" w:type="dxa"/>
            <w:tcBorders>
              <w:left w:val="single" w:sz="4" w:space="0" w:color="000000"/>
              <w:right w:val="single" w:sz="4" w:space="0" w:color="000000"/>
            </w:tcBorders>
          </w:tcPr>
          <w:p>
            <w:pPr>
              <w:pStyle w:val="TableParagraph"/>
              <w:spacing w:before="33"/>
              <w:ind w:right="193"/>
              <w:jc w:val="right"/>
              <w:rPr>
                <w:rFonts w:ascii="Arial"/>
                <w:sz w:val="9"/>
              </w:rPr>
            </w:pPr>
            <w:r>
              <w:rPr>
                <w:rFonts w:ascii="Arial"/>
                <w:color w:val="44536A"/>
                <w:sz w:val="9"/>
              </w:rPr>
              <w:t>895.4</w:t>
            </w:r>
          </w:p>
        </w:tc>
        <w:tc>
          <w:tcPr>
            <w:tcW w:w="558" w:type="dxa"/>
            <w:tcBorders>
              <w:left w:val="single" w:sz="4" w:space="0" w:color="000000"/>
              <w:right w:val="single" w:sz="4" w:space="0" w:color="000000"/>
            </w:tcBorders>
          </w:tcPr>
          <w:p>
            <w:pPr>
              <w:pStyle w:val="TableParagraph"/>
              <w:spacing w:before="33"/>
              <w:ind w:left="36" w:right="36"/>
              <w:jc w:val="center"/>
              <w:rPr>
                <w:rFonts w:ascii="Arial"/>
                <w:sz w:val="9"/>
              </w:rPr>
            </w:pPr>
            <w:r>
              <w:rPr>
                <w:rFonts w:ascii="Arial"/>
                <w:color w:val="44536A"/>
                <w:sz w:val="9"/>
              </w:rPr>
              <w:t>1,058.7</w:t>
            </w:r>
          </w:p>
        </w:tc>
        <w:tc>
          <w:tcPr>
            <w:tcW w:w="597" w:type="dxa"/>
            <w:tcBorders>
              <w:left w:val="single" w:sz="4" w:space="0" w:color="000000"/>
              <w:right w:val="single" w:sz="4" w:space="0" w:color="000000"/>
            </w:tcBorders>
          </w:tcPr>
          <w:p>
            <w:pPr>
              <w:pStyle w:val="TableParagraph"/>
              <w:spacing w:before="33"/>
              <w:ind w:left="82" w:right="88"/>
              <w:jc w:val="center"/>
              <w:rPr>
                <w:rFonts w:ascii="Arial"/>
                <w:sz w:val="9"/>
              </w:rPr>
            </w:pPr>
            <w:r>
              <w:rPr>
                <w:rFonts w:ascii="Arial"/>
                <w:color w:val="44536A"/>
                <w:sz w:val="9"/>
              </w:rPr>
              <w:t>1,100.0</w:t>
            </w:r>
          </w:p>
        </w:tc>
        <w:tc>
          <w:tcPr>
            <w:tcW w:w="558" w:type="dxa"/>
            <w:tcBorders>
              <w:left w:val="single" w:sz="4" w:space="0" w:color="000000"/>
              <w:right w:val="single" w:sz="4" w:space="0" w:color="000000"/>
            </w:tcBorders>
          </w:tcPr>
          <w:p>
            <w:pPr>
              <w:pStyle w:val="TableParagraph"/>
              <w:spacing w:before="33"/>
              <w:ind w:left="124"/>
              <w:rPr>
                <w:rFonts w:ascii="Arial"/>
                <w:sz w:val="9"/>
              </w:rPr>
            </w:pPr>
            <w:r>
              <w:rPr>
                <w:rFonts w:ascii="Arial"/>
                <w:color w:val="44536A"/>
                <w:sz w:val="9"/>
              </w:rPr>
              <w:t>1,138.2</w:t>
            </w:r>
          </w:p>
        </w:tc>
        <w:tc>
          <w:tcPr>
            <w:tcW w:w="558" w:type="dxa"/>
            <w:tcBorders>
              <w:left w:val="single" w:sz="4" w:space="0" w:color="000000"/>
              <w:right w:val="single" w:sz="4" w:space="0" w:color="000000"/>
            </w:tcBorders>
          </w:tcPr>
          <w:p>
            <w:pPr>
              <w:pStyle w:val="TableParagraph"/>
              <w:spacing w:before="33"/>
              <w:ind w:left="124"/>
              <w:rPr>
                <w:rFonts w:ascii="Arial"/>
                <w:sz w:val="9"/>
              </w:rPr>
            </w:pPr>
            <w:r>
              <w:rPr>
                <w:rFonts w:ascii="Arial"/>
                <w:color w:val="44536A"/>
                <w:sz w:val="9"/>
              </w:rPr>
              <w:t>1,179.5</w:t>
            </w:r>
          </w:p>
        </w:tc>
        <w:tc>
          <w:tcPr>
            <w:tcW w:w="558" w:type="dxa"/>
            <w:tcBorders>
              <w:left w:val="single" w:sz="4" w:space="0" w:color="000000"/>
              <w:right w:val="single" w:sz="4" w:space="0" w:color="000000"/>
            </w:tcBorders>
          </w:tcPr>
          <w:p>
            <w:pPr>
              <w:pStyle w:val="TableParagraph"/>
              <w:spacing w:before="33"/>
              <w:ind w:left="36" w:right="37"/>
              <w:jc w:val="center"/>
              <w:rPr>
                <w:rFonts w:ascii="Arial"/>
                <w:sz w:val="9"/>
              </w:rPr>
            </w:pPr>
            <w:r>
              <w:rPr>
                <w:rFonts w:ascii="Arial"/>
                <w:color w:val="44536A"/>
                <w:sz w:val="9"/>
              </w:rPr>
              <w:t>1,222.3</w:t>
            </w:r>
          </w:p>
        </w:tc>
        <w:tc>
          <w:tcPr>
            <w:tcW w:w="558" w:type="dxa"/>
            <w:tcBorders>
              <w:left w:val="single" w:sz="4" w:space="0" w:color="000000"/>
              <w:right w:val="single" w:sz="4" w:space="0" w:color="000000"/>
            </w:tcBorders>
          </w:tcPr>
          <w:p>
            <w:pPr>
              <w:pStyle w:val="TableParagraph"/>
              <w:spacing w:before="33"/>
              <w:ind w:left="124"/>
              <w:rPr>
                <w:rFonts w:ascii="Arial"/>
                <w:sz w:val="9"/>
              </w:rPr>
            </w:pPr>
            <w:r>
              <w:rPr>
                <w:rFonts w:ascii="Arial"/>
                <w:color w:val="44536A"/>
                <w:sz w:val="9"/>
              </w:rPr>
              <w:t>1,267.9</w:t>
            </w:r>
          </w:p>
        </w:tc>
        <w:tc>
          <w:tcPr>
            <w:tcW w:w="561" w:type="dxa"/>
            <w:tcBorders>
              <w:left w:val="single" w:sz="4" w:space="0" w:color="000000"/>
            </w:tcBorders>
          </w:tcPr>
          <w:p>
            <w:pPr>
              <w:pStyle w:val="TableParagraph"/>
              <w:spacing w:before="33"/>
              <w:ind w:left="124"/>
              <w:rPr>
                <w:rFonts w:ascii="Arial"/>
                <w:sz w:val="9"/>
              </w:rPr>
            </w:pPr>
            <w:r>
              <w:rPr>
                <w:rFonts w:ascii="Arial"/>
                <w:color w:val="44536A"/>
                <w:sz w:val="9"/>
              </w:rPr>
              <w:t>1,315.3</w:t>
            </w:r>
          </w:p>
        </w:tc>
      </w:tr>
      <w:tr>
        <w:trPr>
          <w:trHeight w:val="171" w:hRule="atLeast"/>
        </w:trPr>
        <w:tc>
          <w:tcPr>
            <w:tcW w:w="2176" w:type="dxa"/>
            <w:vMerge/>
            <w:tcBorders>
              <w:top w:val="nil"/>
              <w:right w:val="single" w:sz="4" w:space="0" w:color="000000"/>
            </w:tcBorders>
          </w:tcPr>
          <w:p>
            <w:pPr>
              <w:rPr>
                <w:sz w:val="2"/>
                <w:szCs w:val="2"/>
              </w:rPr>
            </w:pPr>
          </w:p>
        </w:tc>
        <w:tc>
          <w:tcPr>
            <w:tcW w:w="653" w:type="dxa"/>
            <w:tcBorders>
              <w:left w:val="single" w:sz="4" w:space="0" w:color="000000"/>
              <w:right w:val="single" w:sz="4" w:space="0" w:color="000000"/>
            </w:tcBorders>
          </w:tcPr>
          <w:p>
            <w:pPr>
              <w:pStyle w:val="TableParagraph"/>
              <w:spacing w:before="33"/>
              <w:ind w:right="209"/>
              <w:jc w:val="right"/>
              <w:rPr>
                <w:rFonts w:ascii="Arial"/>
                <w:sz w:val="9"/>
              </w:rPr>
            </w:pPr>
            <w:r>
              <w:rPr>
                <w:rFonts w:ascii="Arial"/>
                <w:color w:val="44536A"/>
                <w:sz w:val="9"/>
              </w:rPr>
              <w:t>362.5</w:t>
            </w:r>
          </w:p>
        </w:tc>
        <w:tc>
          <w:tcPr>
            <w:tcW w:w="614" w:type="dxa"/>
            <w:tcBorders>
              <w:left w:val="single" w:sz="4" w:space="0" w:color="000000"/>
              <w:right w:val="single" w:sz="4" w:space="0" w:color="000000"/>
            </w:tcBorders>
          </w:tcPr>
          <w:p>
            <w:pPr>
              <w:pStyle w:val="TableParagraph"/>
              <w:spacing w:before="33"/>
              <w:ind w:right="193"/>
              <w:jc w:val="right"/>
              <w:rPr>
                <w:rFonts w:ascii="Arial"/>
                <w:sz w:val="9"/>
              </w:rPr>
            </w:pPr>
            <w:r>
              <w:rPr>
                <w:rFonts w:ascii="Arial"/>
                <w:color w:val="44536A"/>
                <w:sz w:val="9"/>
              </w:rPr>
              <w:t>298.6</w:t>
            </w:r>
          </w:p>
        </w:tc>
        <w:tc>
          <w:tcPr>
            <w:tcW w:w="558" w:type="dxa"/>
            <w:tcBorders>
              <w:left w:val="single" w:sz="4" w:space="0" w:color="000000"/>
              <w:right w:val="single" w:sz="4" w:space="0" w:color="000000"/>
            </w:tcBorders>
          </w:tcPr>
          <w:p>
            <w:pPr>
              <w:pStyle w:val="TableParagraph"/>
              <w:spacing w:before="33"/>
              <w:ind w:left="36" w:right="42"/>
              <w:jc w:val="center"/>
              <w:rPr>
                <w:rFonts w:ascii="Arial"/>
                <w:sz w:val="9"/>
              </w:rPr>
            </w:pPr>
            <w:r>
              <w:rPr>
                <w:rFonts w:ascii="Arial"/>
                <w:color w:val="44536A"/>
                <w:sz w:val="9"/>
              </w:rPr>
              <w:t>332.6</w:t>
            </w:r>
          </w:p>
        </w:tc>
        <w:tc>
          <w:tcPr>
            <w:tcW w:w="597" w:type="dxa"/>
            <w:tcBorders>
              <w:left w:val="single" w:sz="4" w:space="0" w:color="000000"/>
              <w:right w:val="single" w:sz="4" w:space="0" w:color="000000"/>
            </w:tcBorders>
          </w:tcPr>
          <w:p>
            <w:pPr>
              <w:pStyle w:val="TableParagraph"/>
              <w:spacing w:before="33"/>
              <w:ind w:left="82" w:right="83"/>
              <w:jc w:val="center"/>
              <w:rPr>
                <w:rFonts w:ascii="Arial"/>
                <w:sz w:val="9"/>
              </w:rPr>
            </w:pPr>
            <w:r>
              <w:rPr>
                <w:rFonts w:ascii="Arial"/>
                <w:color w:val="44536A"/>
                <w:sz w:val="9"/>
              </w:rPr>
              <w:t>329.9</w:t>
            </w:r>
          </w:p>
        </w:tc>
        <w:tc>
          <w:tcPr>
            <w:tcW w:w="558" w:type="dxa"/>
            <w:tcBorders>
              <w:left w:val="single" w:sz="4" w:space="0" w:color="000000"/>
              <w:right w:val="single" w:sz="4" w:space="0" w:color="000000"/>
            </w:tcBorders>
          </w:tcPr>
          <w:p>
            <w:pPr>
              <w:pStyle w:val="TableParagraph"/>
              <w:spacing w:before="33"/>
              <w:ind w:left="158"/>
              <w:rPr>
                <w:rFonts w:ascii="Arial"/>
                <w:sz w:val="9"/>
              </w:rPr>
            </w:pPr>
            <w:r>
              <w:rPr>
                <w:rFonts w:ascii="Arial"/>
                <w:color w:val="44536A"/>
                <w:sz w:val="9"/>
              </w:rPr>
              <w:t>341.3</w:t>
            </w:r>
          </w:p>
        </w:tc>
        <w:tc>
          <w:tcPr>
            <w:tcW w:w="558" w:type="dxa"/>
            <w:tcBorders>
              <w:left w:val="single" w:sz="4" w:space="0" w:color="000000"/>
              <w:right w:val="single" w:sz="4" w:space="0" w:color="000000"/>
            </w:tcBorders>
          </w:tcPr>
          <w:p>
            <w:pPr>
              <w:pStyle w:val="TableParagraph"/>
              <w:spacing w:before="33"/>
              <w:ind w:left="158"/>
              <w:rPr>
                <w:rFonts w:ascii="Arial"/>
                <w:sz w:val="9"/>
              </w:rPr>
            </w:pPr>
            <w:r>
              <w:rPr>
                <w:rFonts w:ascii="Arial"/>
                <w:color w:val="44536A"/>
                <w:sz w:val="9"/>
              </w:rPr>
              <w:t>353.6</w:t>
            </w:r>
          </w:p>
        </w:tc>
        <w:tc>
          <w:tcPr>
            <w:tcW w:w="558" w:type="dxa"/>
            <w:tcBorders>
              <w:left w:val="single" w:sz="4" w:space="0" w:color="000000"/>
              <w:right w:val="single" w:sz="4" w:space="0" w:color="000000"/>
            </w:tcBorders>
          </w:tcPr>
          <w:p>
            <w:pPr>
              <w:pStyle w:val="TableParagraph"/>
              <w:spacing w:before="33"/>
              <w:ind w:left="36" w:right="43"/>
              <w:jc w:val="center"/>
              <w:rPr>
                <w:rFonts w:ascii="Arial"/>
                <w:sz w:val="9"/>
              </w:rPr>
            </w:pPr>
            <w:r>
              <w:rPr>
                <w:rFonts w:ascii="Arial"/>
                <w:color w:val="44536A"/>
                <w:sz w:val="9"/>
              </w:rPr>
              <w:t>366.4</w:t>
            </w:r>
          </w:p>
        </w:tc>
        <w:tc>
          <w:tcPr>
            <w:tcW w:w="558" w:type="dxa"/>
            <w:tcBorders>
              <w:left w:val="single" w:sz="4" w:space="0" w:color="000000"/>
              <w:right w:val="single" w:sz="4" w:space="0" w:color="000000"/>
            </w:tcBorders>
          </w:tcPr>
          <w:p>
            <w:pPr>
              <w:pStyle w:val="TableParagraph"/>
              <w:spacing w:before="33"/>
              <w:ind w:left="158"/>
              <w:rPr>
                <w:rFonts w:ascii="Arial"/>
                <w:sz w:val="9"/>
              </w:rPr>
            </w:pPr>
            <w:r>
              <w:rPr>
                <w:rFonts w:ascii="Arial"/>
                <w:color w:val="44536A"/>
                <w:sz w:val="9"/>
              </w:rPr>
              <w:t>380.1</w:t>
            </w:r>
          </w:p>
        </w:tc>
        <w:tc>
          <w:tcPr>
            <w:tcW w:w="561" w:type="dxa"/>
            <w:tcBorders>
              <w:left w:val="single" w:sz="4" w:space="0" w:color="000000"/>
            </w:tcBorders>
          </w:tcPr>
          <w:p>
            <w:pPr>
              <w:pStyle w:val="TableParagraph"/>
              <w:spacing w:before="33"/>
              <w:ind w:left="157"/>
              <w:rPr>
                <w:rFonts w:ascii="Arial"/>
                <w:sz w:val="9"/>
              </w:rPr>
            </w:pPr>
            <w:r>
              <w:rPr>
                <w:rFonts w:ascii="Arial"/>
                <w:color w:val="44536A"/>
                <w:sz w:val="9"/>
              </w:rPr>
              <w:t>394.2</w:t>
            </w:r>
          </w:p>
        </w:tc>
      </w:tr>
      <w:tr>
        <w:trPr>
          <w:trHeight w:val="171" w:hRule="atLeast"/>
        </w:trPr>
        <w:tc>
          <w:tcPr>
            <w:tcW w:w="2176" w:type="dxa"/>
            <w:vMerge/>
            <w:tcBorders>
              <w:top w:val="nil"/>
              <w:right w:val="single" w:sz="4" w:space="0" w:color="000000"/>
            </w:tcBorders>
          </w:tcPr>
          <w:p>
            <w:pPr>
              <w:rPr>
                <w:sz w:val="2"/>
                <w:szCs w:val="2"/>
              </w:rPr>
            </w:pPr>
          </w:p>
        </w:tc>
        <w:tc>
          <w:tcPr>
            <w:tcW w:w="653" w:type="dxa"/>
            <w:tcBorders>
              <w:left w:val="single" w:sz="4" w:space="0" w:color="000000"/>
              <w:right w:val="single" w:sz="4" w:space="0" w:color="000000"/>
            </w:tcBorders>
          </w:tcPr>
          <w:p>
            <w:pPr>
              <w:pStyle w:val="TableParagraph"/>
              <w:spacing w:before="33"/>
              <w:ind w:right="176"/>
              <w:jc w:val="right"/>
              <w:rPr>
                <w:rFonts w:ascii="Arial"/>
                <w:sz w:val="9"/>
              </w:rPr>
            </w:pPr>
            <w:r>
              <w:rPr>
                <w:rFonts w:ascii="Arial"/>
                <w:color w:val="44536A"/>
                <w:w w:val="95"/>
                <w:sz w:val="9"/>
              </w:rPr>
              <w:t>3,743.4</w:t>
            </w:r>
          </w:p>
        </w:tc>
        <w:tc>
          <w:tcPr>
            <w:tcW w:w="614" w:type="dxa"/>
            <w:tcBorders>
              <w:left w:val="single" w:sz="4" w:space="0" w:color="000000"/>
              <w:right w:val="single" w:sz="4" w:space="0" w:color="000000"/>
            </w:tcBorders>
          </w:tcPr>
          <w:p>
            <w:pPr>
              <w:pStyle w:val="TableParagraph"/>
              <w:spacing w:before="33"/>
              <w:ind w:right="154"/>
              <w:jc w:val="right"/>
              <w:rPr>
                <w:rFonts w:ascii="Arial"/>
                <w:sz w:val="9"/>
              </w:rPr>
            </w:pPr>
            <w:r>
              <w:rPr>
                <w:rFonts w:ascii="Arial"/>
                <w:color w:val="44536A"/>
                <w:w w:val="95"/>
                <w:sz w:val="9"/>
              </w:rPr>
              <w:t>3,484.7</w:t>
            </w:r>
          </w:p>
        </w:tc>
        <w:tc>
          <w:tcPr>
            <w:tcW w:w="558" w:type="dxa"/>
            <w:tcBorders>
              <w:left w:val="single" w:sz="4" w:space="0" w:color="000000"/>
              <w:right w:val="single" w:sz="4" w:space="0" w:color="000000"/>
            </w:tcBorders>
          </w:tcPr>
          <w:p>
            <w:pPr>
              <w:pStyle w:val="TableParagraph"/>
              <w:spacing w:before="33"/>
              <w:ind w:left="36" w:right="36"/>
              <w:jc w:val="center"/>
              <w:rPr>
                <w:rFonts w:ascii="Arial"/>
                <w:sz w:val="9"/>
              </w:rPr>
            </w:pPr>
            <w:r>
              <w:rPr>
                <w:rFonts w:ascii="Arial"/>
                <w:color w:val="44536A"/>
                <w:sz w:val="9"/>
              </w:rPr>
              <w:t>4,066.3</w:t>
            </w:r>
          </w:p>
        </w:tc>
        <w:tc>
          <w:tcPr>
            <w:tcW w:w="597" w:type="dxa"/>
            <w:tcBorders>
              <w:left w:val="single" w:sz="4" w:space="0" w:color="000000"/>
              <w:right w:val="single" w:sz="4" w:space="0" w:color="000000"/>
            </w:tcBorders>
          </w:tcPr>
          <w:p>
            <w:pPr>
              <w:pStyle w:val="TableParagraph"/>
              <w:spacing w:before="33"/>
              <w:ind w:left="82" w:right="88"/>
              <w:jc w:val="center"/>
              <w:rPr>
                <w:rFonts w:ascii="Arial"/>
                <w:sz w:val="9"/>
              </w:rPr>
            </w:pPr>
            <w:r>
              <w:rPr>
                <w:rFonts w:ascii="Arial"/>
                <w:color w:val="44536A"/>
                <w:sz w:val="9"/>
              </w:rPr>
              <w:t>4,189.0</w:t>
            </w:r>
          </w:p>
        </w:tc>
        <w:tc>
          <w:tcPr>
            <w:tcW w:w="558" w:type="dxa"/>
            <w:tcBorders>
              <w:left w:val="single" w:sz="4" w:space="0" w:color="000000"/>
              <w:right w:val="single" w:sz="4" w:space="0" w:color="000000"/>
            </w:tcBorders>
          </w:tcPr>
          <w:p>
            <w:pPr>
              <w:pStyle w:val="TableParagraph"/>
              <w:spacing w:before="33"/>
              <w:ind w:left="124"/>
              <w:rPr>
                <w:rFonts w:ascii="Arial"/>
                <w:sz w:val="9"/>
              </w:rPr>
            </w:pPr>
            <w:r>
              <w:rPr>
                <w:rFonts w:ascii="Arial"/>
                <w:color w:val="44536A"/>
                <w:sz w:val="9"/>
              </w:rPr>
              <w:t>4,334.3</w:t>
            </w:r>
          </w:p>
        </w:tc>
        <w:tc>
          <w:tcPr>
            <w:tcW w:w="558" w:type="dxa"/>
            <w:tcBorders>
              <w:left w:val="single" w:sz="4" w:space="0" w:color="000000"/>
              <w:right w:val="single" w:sz="4" w:space="0" w:color="000000"/>
            </w:tcBorders>
          </w:tcPr>
          <w:p>
            <w:pPr>
              <w:pStyle w:val="TableParagraph"/>
              <w:spacing w:before="33"/>
              <w:ind w:left="124"/>
              <w:rPr>
                <w:rFonts w:ascii="Arial"/>
                <w:sz w:val="9"/>
              </w:rPr>
            </w:pPr>
            <w:r>
              <w:rPr>
                <w:rFonts w:ascii="Arial"/>
                <w:color w:val="44536A"/>
                <w:sz w:val="9"/>
              </w:rPr>
              <w:t>4,491.0</w:t>
            </w:r>
          </w:p>
        </w:tc>
        <w:tc>
          <w:tcPr>
            <w:tcW w:w="558" w:type="dxa"/>
            <w:tcBorders>
              <w:left w:val="single" w:sz="4" w:space="0" w:color="000000"/>
              <w:right w:val="single" w:sz="4" w:space="0" w:color="000000"/>
            </w:tcBorders>
          </w:tcPr>
          <w:p>
            <w:pPr>
              <w:pStyle w:val="TableParagraph"/>
              <w:spacing w:before="33"/>
              <w:ind w:left="36" w:right="37"/>
              <w:jc w:val="center"/>
              <w:rPr>
                <w:rFonts w:ascii="Arial"/>
                <w:sz w:val="9"/>
              </w:rPr>
            </w:pPr>
            <w:r>
              <w:rPr>
                <w:rFonts w:ascii="Arial"/>
                <w:color w:val="44536A"/>
                <w:sz w:val="9"/>
              </w:rPr>
              <w:t>4,653.5</w:t>
            </w:r>
          </w:p>
        </w:tc>
        <w:tc>
          <w:tcPr>
            <w:tcW w:w="558" w:type="dxa"/>
            <w:tcBorders>
              <w:left w:val="single" w:sz="4" w:space="0" w:color="000000"/>
              <w:right w:val="single" w:sz="4" w:space="0" w:color="000000"/>
            </w:tcBorders>
          </w:tcPr>
          <w:p>
            <w:pPr>
              <w:pStyle w:val="TableParagraph"/>
              <w:spacing w:before="33"/>
              <w:ind w:left="124"/>
              <w:rPr>
                <w:rFonts w:ascii="Arial"/>
                <w:sz w:val="9"/>
              </w:rPr>
            </w:pPr>
            <w:r>
              <w:rPr>
                <w:rFonts w:ascii="Arial"/>
                <w:color w:val="44536A"/>
                <w:sz w:val="9"/>
              </w:rPr>
              <w:t>4,826.6</w:t>
            </w:r>
          </w:p>
        </w:tc>
        <w:tc>
          <w:tcPr>
            <w:tcW w:w="561" w:type="dxa"/>
            <w:tcBorders>
              <w:left w:val="single" w:sz="4" w:space="0" w:color="000000"/>
            </w:tcBorders>
          </w:tcPr>
          <w:p>
            <w:pPr>
              <w:pStyle w:val="TableParagraph"/>
              <w:spacing w:before="33"/>
              <w:ind w:left="124"/>
              <w:rPr>
                <w:rFonts w:ascii="Arial"/>
                <w:sz w:val="9"/>
              </w:rPr>
            </w:pPr>
            <w:r>
              <w:rPr>
                <w:rFonts w:ascii="Arial"/>
                <w:color w:val="44536A"/>
                <w:sz w:val="9"/>
              </w:rPr>
              <w:t>5,006.2</w:t>
            </w:r>
          </w:p>
        </w:tc>
      </w:tr>
      <w:tr>
        <w:trPr>
          <w:trHeight w:val="171" w:hRule="atLeast"/>
        </w:trPr>
        <w:tc>
          <w:tcPr>
            <w:tcW w:w="2176" w:type="dxa"/>
            <w:vMerge/>
            <w:tcBorders>
              <w:top w:val="nil"/>
              <w:right w:val="single" w:sz="4" w:space="0" w:color="000000"/>
            </w:tcBorders>
          </w:tcPr>
          <w:p>
            <w:pPr>
              <w:rPr>
                <w:sz w:val="2"/>
                <w:szCs w:val="2"/>
              </w:rPr>
            </w:pPr>
          </w:p>
        </w:tc>
        <w:tc>
          <w:tcPr>
            <w:tcW w:w="653" w:type="dxa"/>
            <w:tcBorders>
              <w:left w:val="single" w:sz="4" w:space="0" w:color="000000"/>
              <w:right w:val="single" w:sz="4" w:space="0" w:color="000000"/>
            </w:tcBorders>
          </w:tcPr>
          <w:p>
            <w:pPr>
              <w:pStyle w:val="TableParagraph"/>
              <w:spacing w:before="33"/>
              <w:ind w:right="209"/>
              <w:jc w:val="right"/>
              <w:rPr>
                <w:rFonts w:ascii="Arial"/>
                <w:sz w:val="9"/>
              </w:rPr>
            </w:pPr>
            <w:r>
              <w:rPr>
                <w:rFonts w:ascii="Arial"/>
                <w:color w:val="44536A"/>
                <w:sz w:val="9"/>
              </w:rPr>
              <w:t>131.4</w:t>
            </w:r>
          </w:p>
        </w:tc>
        <w:tc>
          <w:tcPr>
            <w:tcW w:w="614" w:type="dxa"/>
            <w:tcBorders>
              <w:left w:val="single" w:sz="4" w:space="0" w:color="000000"/>
              <w:right w:val="single" w:sz="4" w:space="0" w:color="000000"/>
            </w:tcBorders>
          </w:tcPr>
          <w:p>
            <w:pPr>
              <w:pStyle w:val="TableParagraph"/>
              <w:spacing w:before="33"/>
              <w:ind w:right="193"/>
              <w:jc w:val="right"/>
              <w:rPr>
                <w:rFonts w:ascii="Arial"/>
                <w:sz w:val="9"/>
              </w:rPr>
            </w:pPr>
            <w:r>
              <w:rPr>
                <w:rFonts w:ascii="Arial"/>
                <w:color w:val="44536A"/>
                <w:sz w:val="9"/>
              </w:rPr>
              <w:t>147.2</w:t>
            </w:r>
          </w:p>
        </w:tc>
        <w:tc>
          <w:tcPr>
            <w:tcW w:w="558" w:type="dxa"/>
            <w:tcBorders>
              <w:left w:val="single" w:sz="4" w:space="0" w:color="000000"/>
              <w:right w:val="single" w:sz="4" w:space="0" w:color="000000"/>
            </w:tcBorders>
          </w:tcPr>
          <w:p>
            <w:pPr>
              <w:pStyle w:val="TableParagraph"/>
              <w:spacing w:before="33"/>
              <w:ind w:left="36" w:right="42"/>
              <w:jc w:val="center"/>
              <w:rPr>
                <w:rFonts w:ascii="Arial"/>
                <w:sz w:val="9"/>
              </w:rPr>
            </w:pPr>
            <w:r>
              <w:rPr>
                <w:rFonts w:ascii="Arial"/>
                <w:color w:val="44536A"/>
                <w:sz w:val="9"/>
              </w:rPr>
              <w:t>183.2</w:t>
            </w:r>
          </w:p>
        </w:tc>
        <w:tc>
          <w:tcPr>
            <w:tcW w:w="597" w:type="dxa"/>
            <w:tcBorders>
              <w:left w:val="single" w:sz="4" w:space="0" w:color="000000"/>
              <w:right w:val="single" w:sz="4" w:space="0" w:color="000000"/>
            </w:tcBorders>
          </w:tcPr>
          <w:p>
            <w:pPr>
              <w:pStyle w:val="TableParagraph"/>
              <w:spacing w:before="33"/>
              <w:ind w:left="82" w:right="83"/>
              <w:jc w:val="center"/>
              <w:rPr>
                <w:rFonts w:ascii="Arial"/>
                <w:sz w:val="9"/>
              </w:rPr>
            </w:pPr>
            <w:r>
              <w:rPr>
                <w:rFonts w:ascii="Arial"/>
                <w:color w:val="44536A"/>
                <w:sz w:val="9"/>
              </w:rPr>
              <w:t>191.9</w:t>
            </w:r>
          </w:p>
        </w:tc>
        <w:tc>
          <w:tcPr>
            <w:tcW w:w="558" w:type="dxa"/>
            <w:tcBorders>
              <w:left w:val="single" w:sz="4" w:space="0" w:color="000000"/>
              <w:right w:val="single" w:sz="4" w:space="0" w:color="000000"/>
            </w:tcBorders>
          </w:tcPr>
          <w:p>
            <w:pPr>
              <w:pStyle w:val="TableParagraph"/>
              <w:spacing w:before="33"/>
              <w:ind w:left="158"/>
              <w:rPr>
                <w:rFonts w:ascii="Arial"/>
                <w:sz w:val="9"/>
              </w:rPr>
            </w:pPr>
            <w:r>
              <w:rPr>
                <w:rFonts w:ascii="Arial"/>
                <w:color w:val="44536A"/>
                <w:sz w:val="9"/>
              </w:rPr>
              <w:t>198.6</w:t>
            </w:r>
          </w:p>
        </w:tc>
        <w:tc>
          <w:tcPr>
            <w:tcW w:w="558" w:type="dxa"/>
            <w:tcBorders>
              <w:left w:val="single" w:sz="4" w:space="0" w:color="000000"/>
              <w:right w:val="single" w:sz="4" w:space="0" w:color="000000"/>
            </w:tcBorders>
          </w:tcPr>
          <w:p>
            <w:pPr>
              <w:pStyle w:val="TableParagraph"/>
              <w:spacing w:before="33"/>
              <w:ind w:left="158"/>
              <w:rPr>
                <w:rFonts w:ascii="Arial"/>
                <w:sz w:val="9"/>
              </w:rPr>
            </w:pPr>
            <w:r>
              <w:rPr>
                <w:rFonts w:ascii="Arial"/>
                <w:color w:val="44536A"/>
                <w:sz w:val="9"/>
              </w:rPr>
              <w:t>205.8</w:t>
            </w:r>
          </w:p>
        </w:tc>
        <w:tc>
          <w:tcPr>
            <w:tcW w:w="558" w:type="dxa"/>
            <w:tcBorders>
              <w:left w:val="single" w:sz="4" w:space="0" w:color="000000"/>
              <w:right w:val="single" w:sz="4" w:space="0" w:color="000000"/>
            </w:tcBorders>
          </w:tcPr>
          <w:p>
            <w:pPr>
              <w:pStyle w:val="TableParagraph"/>
              <w:spacing w:before="33"/>
              <w:ind w:left="36" w:right="43"/>
              <w:jc w:val="center"/>
              <w:rPr>
                <w:rFonts w:ascii="Arial"/>
                <w:sz w:val="9"/>
              </w:rPr>
            </w:pPr>
            <w:r>
              <w:rPr>
                <w:rFonts w:ascii="Arial"/>
                <w:color w:val="44536A"/>
                <w:sz w:val="9"/>
              </w:rPr>
              <w:t>213.2</w:t>
            </w:r>
          </w:p>
        </w:tc>
        <w:tc>
          <w:tcPr>
            <w:tcW w:w="558" w:type="dxa"/>
            <w:tcBorders>
              <w:left w:val="single" w:sz="4" w:space="0" w:color="000000"/>
              <w:right w:val="single" w:sz="4" w:space="0" w:color="000000"/>
            </w:tcBorders>
          </w:tcPr>
          <w:p>
            <w:pPr>
              <w:pStyle w:val="TableParagraph"/>
              <w:spacing w:before="33"/>
              <w:ind w:left="158"/>
              <w:rPr>
                <w:rFonts w:ascii="Arial"/>
                <w:sz w:val="9"/>
              </w:rPr>
            </w:pPr>
            <w:r>
              <w:rPr>
                <w:rFonts w:ascii="Arial"/>
                <w:color w:val="44536A"/>
                <w:sz w:val="9"/>
              </w:rPr>
              <w:t>221.2</w:t>
            </w:r>
          </w:p>
        </w:tc>
        <w:tc>
          <w:tcPr>
            <w:tcW w:w="561" w:type="dxa"/>
            <w:tcBorders>
              <w:left w:val="single" w:sz="4" w:space="0" w:color="000000"/>
            </w:tcBorders>
          </w:tcPr>
          <w:p>
            <w:pPr>
              <w:pStyle w:val="TableParagraph"/>
              <w:spacing w:before="33"/>
              <w:ind w:left="157"/>
              <w:rPr>
                <w:rFonts w:ascii="Arial"/>
                <w:sz w:val="9"/>
              </w:rPr>
            </w:pPr>
            <w:r>
              <w:rPr>
                <w:rFonts w:ascii="Arial"/>
                <w:color w:val="44536A"/>
                <w:sz w:val="9"/>
              </w:rPr>
              <w:t>229.4</w:t>
            </w:r>
          </w:p>
        </w:tc>
      </w:tr>
      <w:tr>
        <w:trPr>
          <w:trHeight w:val="171" w:hRule="atLeast"/>
        </w:trPr>
        <w:tc>
          <w:tcPr>
            <w:tcW w:w="2176" w:type="dxa"/>
            <w:vMerge/>
            <w:tcBorders>
              <w:top w:val="nil"/>
              <w:right w:val="single" w:sz="4" w:space="0" w:color="000000"/>
            </w:tcBorders>
          </w:tcPr>
          <w:p>
            <w:pPr>
              <w:rPr>
                <w:sz w:val="2"/>
                <w:szCs w:val="2"/>
              </w:rPr>
            </w:pPr>
          </w:p>
        </w:tc>
        <w:tc>
          <w:tcPr>
            <w:tcW w:w="653" w:type="dxa"/>
            <w:tcBorders>
              <w:left w:val="single" w:sz="4" w:space="0" w:color="000000"/>
              <w:right w:val="single" w:sz="4" w:space="0" w:color="000000"/>
            </w:tcBorders>
          </w:tcPr>
          <w:p>
            <w:pPr>
              <w:pStyle w:val="TableParagraph"/>
              <w:spacing w:before="33"/>
              <w:ind w:right="209"/>
              <w:jc w:val="right"/>
              <w:rPr>
                <w:rFonts w:ascii="Arial"/>
                <w:sz w:val="9"/>
              </w:rPr>
            </w:pPr>
            <w:r>
              <w:rPr>
                <w:rFonts w:ascii="Arial"/>
                <w:color w:val="44536A"/>
                <w:sz w:val="9"/>
              </w:rPr>
              <w:t>451.5</w:t>
            </w:r>
          </w:p>
        </w:tc>
        <w:tc>
          <w:tcPr>
            <w:tcW w:w="614" w:type="dxa"/>
            <w:tcBorders>
              <w:left w:val="single" w:sz="4" w:space="0" w:color="000000"/>
              <w:right w:val="single" w:sz="4" w:space="0" w:color="000000"/>
            </w:tcBorders>
          </w:tcPr>
          <w:p>
            <w:pPr>
              <w:pStyle w:val="TableParagraph"/>
              <w:spacing w:before="33"/>
              <w:ind w:right="193"/>
              <w:jc w:val="right"/>
              <w:rPr>
                <w:rFonts w:ascii="Arial"/>
                <w:sz w:val="9"/>
              </w:rPr>
            </w:pPr>
            <w:r>
              <w:rPr>
                <w:rFonts w:ascii="Arial"/>
                <w:color w:val="44536A"/>
                <w:sz w:val="9"/>
              </w:rPr>
              <w:t>391.6</w:t>
            </w:r>
          </w:p>
        </w:tc>
        <w:tc>
          <w:tcPr>
            <w:tcW w:w="558" w:type="dxa"/>
            <w:tcBorders>
              <w:left w:val="single" w:sz="4" w:space="0" w:color="000000"/>
              <w:right w:val="single" w:sz="4" w:space="0" w:color="000000"/>
            </w:tcBorders>
          </w:tcPr>
          <w:p>
            <w:pPr>
              <w:pStyle w:val="TableParagraph"/>
              <w:spacing w:before="33"/>
              <w:ind w:left="36" w:right="42"/>
              <w:jc w:val="center"/>
              <w:rPr>
                <w:rFonts w:ascii="Arial"/>
                <w:sz w:val="9"/>
              </w:rPr>
            </w:pPr>
            <w:r>
              <w:rPr>
                <w:rFonts w:ascii="Arial"/>
                <w:color w:val="44536A"/>
                <w:sz w:val="9"/>
              </w:rPr>
              <w:t>542.0</w:t>
            </w:r>
          </w:p>
        </w:tc>
        <w:tc>
          <w:tcPr>
            <w:tcW w:w="597" w:type="dxa"/>
            <w:tcBorders>
              <w:left w:val="single" w:sz="4" w:space="0" w:color="000000"/>
              <w:right w:val="single" w:sz="4" w:space="0" w:color="000000"/>
            </w:tcBorders>
          </w:tcPr>
          <w:p>
            <w:pPr>
              <w:pStyle w:val="TableParagraph"/>
              <w:spacing w:before="33"/>
              <w:ind w:left="82" w:right="83"/>
              <w:jc w:val="center"/>
              <w:rPr>
                <w:rFonts w:ascii="Arial"/>
                <w:sz w:val="9"/>
              </w:rPr>
            </w:pPr>
            <w:r>
              <w:rPr>
                <w:rFonts w:ascii="Arial"/>
                <w:color w:val="44536A"/>
                <w:sz w:val="9"/>
              </w:rPr>
              <w:t>527.7</w:t>
            </w:r>
          </w:p>
        </w:tc>
        <w:tc>
          <w:tcPr>
            <w:tcW w:w="558" w:type="dxa"/>
            <w:tcBorders>
              <w:left w:val="single" w:sz="4" w:space="0" w:color="000000"/>
              <w:right w:val="single" w:sz="4" w:space="0" w:color="000000"/>
            </w:tcBorders>
          </w:tcPr>
          <w:p>
            <w:pPr>
              <w:pStyle w:val="TableParagraph"/>
              <w:spacing w:before="33"/>
              <w:ind w:left="158"/>
              <w:rPr>
                <w:rFonts w:ascii="Arial"/>
                <w:sz w:val="9"/>
              </w:rPr>
            </w:pPr>
            <w:r>
              <w:rPr>
                <w:rFonts w:ascii="Arial"/>
                <w:color w:val="44536A"/>
                <w:sz w:val="9"/>
              </w:rPr>
              <w:t>561.4</w:t>
            </w:r>
          </w:p>
        </w:tc>
        <w:tc>
          <w:tcPr>
            <w:tcW w:w="558" w:type="dxa"/>
            <w:tcBorders>
              <w:left w:val="single" w:sz="4" w:space="0" w:color="000000"/>
              <w:right w:val="single" w:sz="4" w:space="0" w:color="000000"/>
            </w:tcBorders>
          </w:tcPr>
          <w:p>
            <w:pPr>
              <w:pStyle w:val="TableParagraph"/>
              <w:spacing w:before="33"/>
              <w:ind w:left="158"/>
              <w:rPr>
                <w:rFonts w:ascii="Arial"/>
                <w:sz w:val="9"/>
              </w:rPr>
            </w:pPr>
            <w:r>
              <w:rPr>
                <w:rFonts w:ascii="Arial"/>
                <w:color w:val="44536A"/>
                <w:sz w:val="9"/>
              </w:rPr>
              <w:t>596.1</w:t>
            </w:r>
          </w:p>
        </w:tc>
        <w:tc>
          <w:tcPr>
            <w:tcW w:w="558" w:type="dxa"/>
            <w:tcBorders>
              <w:left w:val="single" w:sz="4" w:space="0" w:color="000000"/>
              <w:right w:val="single" w:sz="4" w:space="0" w:color="000000"/>
            </w:tcBorders>
          </w:tcPr>
          <w:p>
            <w:pPr>
              <w:pStyle w:val="TableParagraph"/>
              <w:spacing w:before="33"/>
              <w:ind w:left="36" w:right="43"/>
              <w:jc w:val="center"/>
              <w:rPr>
                <w:rFonts w:ascii="Arial"/>
                <w:sz w:val="9"/>
              </w:rPr>
            </w:pPr>
            <w:r>
              <w:rPr>
                <w:rFonts w:ascii="Arial"/>
                <w:color w:val="44536A"/>
                <w:sz w:val="9"/>
              </w:rPr>
              <w:t>633.1</w:t>
            </w:r>
          </w:p>
        </w:tc>
        <w:tc>
          <w:tcPr>
            <w:tcW w:w="558" w:type="dxa"/>
            <w:tcBorders>
              <w:left w:val="single" w:sz="4" w:space="0" w:color="000000"/>
              <w:right w:val="single" w:sz="4" w:space="0" w:color="000000"/>
            </w:tcBorders>
          </w:tcPr>
          <w:p>
            <w:pPr>
              <w:pStyle w:val="TableParagraph"/>
              <w:spacing w:before="33"/>
              <w:ind w:left="158"/>
              <w:rPr>
                <w:rFonts w:ascii="Arial"/>
                <w:sz w:val="9"/>
              </w:rPr>
            </w:pPr>
            <w:r>
              <w:rPr>
                <w:rFonts w:ascii="Arial"/>
                <w:color w:val="44536A"/>
                <w:sz w:val="9"/>
              </w:rPr>
              <w:t>673.6</w:t>
            </w:r>
          </w:p>
        </w:tc>
        <w:tc>
          <w:tcPr>
            <w:tcW w:w="561" w:type="dxa"/>
            <w:tcBorders>
              <w:left w:val="single" w:sz="4" w:space="0" w:color="000000"/>
            </w:tcBorders>
          </w:tcPr>
          <w:p>
            <w:pPr>
              <w:pStyle w:val="TableParagraph"/>
              <w:spacing w:before="33"/>
              <w:ind w:left="157"/>
              <w:rPr>
                <w:rFonts w:ascii="Arial"/>
                <w:sz w:val="9"/>
              </w:rPr>
            </w:pPr>
            <w:r>
              <w:rPr>
                <w:rFonts w:ascii="Arial"/>
                <w:color w:val="44536A"/>
                <w:sz w:val="9"/>
              </w:rPr>
              <w:t>716.6</w:t>
            </w:r>
          </w:p>
        </w:tc>
      </w:tr>
      <w:tr>
        <w:trPr>
          <w:trHeight w:val="172" w:hRule="atLeast"/>
        </w:trPr>
        <w:tc>
          <w:tcPr>
            <w:tcW w:w="2176" w:type="dxa"/>
            <w:vMerge/>
            <w:tcBorders>
              <w:top w:val="nil"/>
              <w:right w:val="single" w:sz="4" w:space="0" w:color="000000"/>
            </w:tcBorders>
          </w:tcPr>
          <w:p>
            <w:pPr>
              <w:rPr>
                <w:sz w:val="2"/>
                <w:szCs w:val="2"/>
              </w:rPr>
            </w:pPr>
          </w:p>
        </w:tc>
        <w:tc>
          <w:tcPr>
            <w:tcW w:w="653" w:type="dxa"/>
            <w:tcBorders>
              <w:left w:val="single" w:sz="4" w:space="0" w:color="000000"/>
              <w:right w:val="single" w:sz="4" w:space="0" w:color="000000"/>
            </w:tcBorders>
          </w:tcPr>
          <w:p>
            <w:pPr>
              <w:pStyle w:val="TableParagraph"/>
              <w:spacing w:before="33"/>
              <w:ind w:right="209"/>
              <w:jc w:val="right"/>
              <w:rPr>
                <w:rFonts w:ascii="Arial"/>
                <w:sz w:val="9"/>
              </w:rPr>
            </w:pPr>
            <w:r>
              <w:rPr>
                <w:rFonts w:ascii="Arial"/>
                <w:color w:val="44536A"/>
                <w:sz w:val="9"/>
              </w:rPr>
              <w:t>909.3</w:t>
            </w:r>
          </w:p>
        </w:tc>
        <w:tc>
          <w:tcPr>
            <w:tcW w:w="614" w:type="dxa"/>
            <w:tcBorders>
              <w:left w:val="single" w:sz="4" w:space="0" w:color="000000"/>
              <w:right w:val="single" w:sz="4" w:space="0" w:color="000000"/>
            </w:tcBorders>
          </w:tcPr>
          <w:p>
            <w:pPr>
              <w:pStyle w:val="TableParagraph"/>
              <w:spacing w:before="33"/>
              <w:ind w:right="193"/>
              <w:jc w:val="right"/>
              <w:rPr>
                <w:rFonts w:ascii="Arial"/>
                <w:sz w:val="9"/>
              </w:rPr>
            </w:pPr>
            <w:r>
              <w:rPr>
                <w:rFonts w:ascii="Arial"/>
                <w:color w:val="44536A"/>
                <w:sz w:val="9"/>
              </w:rPr>
              <w:t>903.0</w:t>
            </w:r>
          </w:p>
        </w:tc>
        <w:tc>
          <w:tcPr>
            <w:tcW w:w="558" w:type="dxa"/>
            <w:tcBorders>
              <w:left w:val="single" w:sz="4" w:space="0" w:color="000000"/>
              <w:right w:val="single" w:sz="4" w:space="0" w:color="000000"/>
            </w:tcBorders>
          </w:tcPr>
          <w:p>
            <w:pPr>
              <w:pStyle w:val="TableParagraph"/>
              <w:spacing w:before="33"/>
              <w:ind w:left="36" w:right="36"/>
              <w:jc w:val="center"/>
              <w:rPr>
                <w:rFonts w:ascii="Arial"/>
                <w:sz w:val="9"/>
              </w:rPr>
            </w:pPr>
            <w:r>
              <w:rPr>
                <w:rFonts w:ascii="Arial"/>
                <w:color w:val="44536A"/>
                <w:sz w:val="9"/>
              </w:rPr>
              <w:t>1,011.1</w:t>
            </w:r>
          </w:p>
        </w:tc>
        <w:tc>
          <w:tcPr>
            <w:tcW w:w="597" w:type="dxa"/>
            <w:tcBorders>
              <w:left w:val="single" w:sz="4" w:space="0" w:color="000000"/>
              <w:right w:val="single" w:sz="4" w:space="0" w:color="000000"/>
            </w:tcBorders>
          </w:tcPr>
          <w:p>
            <w:pPr>
              <w:pStyle w:val="TableParagraph"/>
              <w:spacing w:before="33"/>
              <w:ind w:left="82" w:right="83"/>
              <w:jc w:val="center"/>
              <w:rPr>
                <w:rFonts w:ascii="Arial"/>
                <w:sz w:val="9"/>
              </w:rPr>
            </w:pPr>
            <w:r>
              <w:rPr>
                <w:rFonts w:ascii="Arial"/>
                <w:color w:val="44536A"/>
                <w:sz w:val="9"/>
              </w:rPr>
              <w:t>919.7</w:t>
            </w:r>
          </w:p>
        </w:tc>
        <w:tc>
          <w:tcPr>
            <w:tcW w:w="558" w:type="dxa"/>
            <w:tcBorders>
              <w:left w:val="single" w:sz="4" w:space="0" w:color="000000"/>
              <w:right w:val="single" w:sz="4" w:space="0" w:color="000000"/>
            </w:tcBorders>
          </w:tcPr>
          <w:p>
            <w:pPr>
              <w:pStyle w:val="TableParagraph"/>
              <w:spacing w:before="33"/>
              <w:ind w:left="158"/>
              <w:rPr>
                <w:rFonts w:ascii="Arial"/>
                <w:sz w:val="9"/>
              </w:rPr>
            </w:pPr>
            <w:r>
              <w:rPr>
                <w:rFonts w:ascii="Arial"/>
                <w:color w:val="44536A"/>
                <w:sz w:val="9"/>
              </w:rPr>
              <w:t>951.6</w:t>
            </w:r>
          </w:p>
        </w:tc>
        <w:tc>
          <w:tcPr>
            <w:tcW w:w="558" w:type="dxa"/>
            <w:tcBorders>
              <w:left w:val="single" w:sz="4" w:space="0" w:color="000000"/>
              <w:right w:val="single" w:sz="4" w:space="0" w:color="000000"/>
            </w:tcBorders>
          </w:tcPr>
          <w:p>
            <w:pPr>
              <w:pStyle w:val="TableParagraph"/>
              <w:spacing w:before="33"/>
              <w:ind w:left="158"/>
              <w:rPr>
                <w:rFonts w:ascii="Arial"/>
                <w:sz w:val="9"/>
              </w:rPr>
            </w:pPr>
            <w:r>
              <w:rPr>
                <w:rFonts w:ascii="Arial"/>
                <w:color w:val="44536A"/>
                <w:sz w:val="9"/>
              </w:rPr>
              <w:t>986.3</w:t>
            </w:r>
          </w:p>
        </w:tc>
        <w:tc>
          <w:tcPr>
            <w:tcW w:w="558" w:type="dxa"/>
            <w:tcBorders>
              <w:left w:val="single" w:sz="4" w:space="0" w:color="000000"/>
              <w:right w:val="single" w:sz="4" w:space="0" w:color="000000"/>
            </w:tcBorders>
          </w:tcPr>
          <w:p>
            <w:pPr>
              <w:pStyle w:val="TableParagraph"/>
              <w:spacing w:before="33"/>
              <w:ind w:left="36" w:right="37"/>
              <w:jc w:val="center"/>
              <w:rPr>
                <w:rFonts w:ascii="Arial"/>
                <w:sz w:val="9"/>
              </w:rPr>
            </w:pPr>
            <w:r>
              <w:rPr>
                <w:rFonts w:ascii="Arial"/>
                <w:color w:val="44536A"/>
                <w:sz w:val="9"/>
              </w:rPr>
              <w:t>1,022.2</w:t>
            </w:r>
          </w:p>
        </w:tc>
        <w:tc>
          <w:tcPr>
            <w:tcW w:w="558" w:type="dxa"/>
            <w:tcBorders>
              <w:left w:val="single" w:sz="4" w:space="0" w:color="000000"/>
              <w:right w:val="single" w:sz="4" w:space="0" w:color="000000"/>
            </w:tcBorders>
          </w:tcPr>
          <w:p>
            <w:pPr>
              <w:pStyle w:val="TableParagraph"/>
              <w:spacing w:before="33"/>
              <w:ind w:left="124"/>
              <w:rPr>
                <w:rFonts w:ascii="Arial"/>
                <w:sz w:val="9"/>
              </w:rPr>
            </w:pPr>
            <w:r>
              <w:rPr>
                <w:rFonts w:ascii="Arial"/>
                <w:color w:val="44536A"/>
                <w:sz w:val="9"/>
              </w:rPr>
              <w:t>1,060.5</w:t>
            </w:r>
          </w:p>
        </w:tc>
        <w:tc>
          <w:tcPr>
            <w:tcW w:w="561" w:type="dxa"/>
            <w:tcBorders>
              <w:left w:val="single" w:sz="4" w:space="0" w:color="000000"/>
            </w:tcBorders>
          </w:tcPr>
          <w:p>
            <w:pPr>
              <w:pStyle w:val="TableParagraph"/>
              <w:spacing w:before="33"/>
              <w:ind w:left="124"/>
              <w:rPr>
                <w:rFonts w:ascii="Arial"/>
                <w:sz w:val="9"/>
              </w:rPr>
            </w:pPr>
            <w:r>
              <w:rPr>
                <w:rFonts w:ascii="Arial"/>
                <w:color w:val="44536A"/>
                <w:sz w:val="9"/>
              </w:rPr>
              <w:t>1,100.3</w:t>
            </w:r>
          </w:p>
        </w:tc>
      </w:tr>
      <w:tr>
        <w:trPr>
          <w:trHeight w:val="172" w:hRule="atLeast"/>
        </w:trPr>
        <w:tc>
          <w:tcPr>
            <w:tcW w:w="2176" w:type="dxa"/>
            <w:vMerge/>
            <w:tcBorders>
              <w:top w:val="nil"/>
              <w:right w:val="single" w:sz="4" w:space="0" w:color="000000"/>
            </w:tcBorders>
          </w:tcPr>
          <w:p>
            <w:pPr>
              <w:rPr>
                <w:sz w:val="2"/>
                <w:szCs w:val="2"/>
              </w:rPr>
            </w:pPr>
          </w:p>
        </w:tc>
        <w:tc>
          <w:tcPr>
            <w:tcW w:w="653" w:type="dxa"/>
            <w:tcBorders>
              <w:left w:val="single" w:sz="4" w:space="0" w:color="000000"/>
              <w:right w:val="single" w:sz="4" w:space="0" w:color="000000"/>
            </w:tcBorders>
          </w:tcPr>
          <w:p>
            <w:pPr>
              <w:pStyle w:val="TableParagraph"/>
              <w:spacing w:before="33"/>
              <w:ind w:right="209"/>
              <w:jc w:val="right"/>
              <w:rPr>
                <w:rFonts w:ascii="Arial"/>
                <w:sz w:val="9"/>
              </w:rPr>
            </w:pPr>
            <w:r>
              <w:rPr>
                <w:rFonts w:ascii="Arial"/>
                <w:color w:val="44536A"/>
                <w:sz w:val="9"/>
              </w:rPr>
              <w:t>998.8</w:t>
            </w:r>
          </w:p>
        </w:tc>
        <w:tc>
          <w:tcPr>
            <w:tcW w:w="614" w:type="dxa"/>
            <w:tcBorders>
              <w:left w:val="single" w:sz="4" w:space="0" w:color="000000"/>
              <w:right w:val="single" w:sz="4" w:space="0" w:color="000000"/>
            </w:tcBorders>
          </w:tcPr>
          <w:p>
            <w:pPr>
              <w:pStyle w:val="TableParagraph"/>
              <w:spacing w:before="33"/>
              <w:ind w:right="193"/>
              <w:jc w:val="right"/>
              <w:rPr>
                <w:rFonts w:ascii="Arial"/>
                <w:sz w:val="9"/>
              </w:rPr>
            </w:pPr>
            <w:r>
              <w:rPr>
                <w:rFonts w:ascii="Arial"/>
                <w:color w:val="44536A"/>
                <w:sz w:val="9"/>
              </w:rPr>
              <w:t>835.8</w:t>
            </w:r>
          </w:p>
        </w:tc>
        <w:tc>
          <w:tcPr>
            <w:tcW w:w="558" w:type="dxa"/>
            <w:tcBorders>
              <w:left w:val="single" w:sz="4" w:space="0" w:color="000000"/>
              <w:right w:val="single" w:sz="4" w:space="0" w:color="000000"/>
            </w:tcBorders>
          </w:tcPr>
          <w:p>
            <w:pPr>
              <w:pStyle w:val="TableParagraph"/>
              <w:spacing w:before="33"/>
              <w:ind w:left="36" w:right="36"/>
              <w:jc w:val="center"/>
              <w:rPr>
                <w:rFonts w:ascii="Arial"/>
                <w:sz w:val="9"/>
              </w:rPr>
            </w:pPr>
            <w:r>
              <w:rPr>
                <w:rFonts w:ascii="Arial"/>
                <w:color w:val="44536A"/>
                <w:sz w:val="9"/>
              </w:rPr>
              <w:t>1,238.5</w:t>
            </w:r>
          </w:p>
        </w:tc>
        <w:tc>
          <w:tcPr>
            <w:tcW w:w="597" w:type="dxa"/>
            <w:tcBorders>
              <w:left w:val="single" w:sz="4" w:space="0" w:color="000000"/>
              <w:right w:val="single" w:sz="4" w:space="0" w:color="000000"/>
            </w:tcBorders>
          </w:tcPr>
          <w:p>
            <w:pPr>
              <w:pStyle w:val="TableParagraph"/>
              <w:spacing w:before="33"/>
              <w:ind w:left="82" w:right="88"/>
              <w:jc w:val="center"/>
              <w:rPr>
                <w:rFonts w:ascii="Arial"/>
                <w:sz w:val="9"/>
              </w:rPr>
            </w:pPr>
            <w:r>
              <w:rPr>
                <w:rFonts w:ascii="Arial"/>
                <w:color w:val="44536A"/>
                <w:sz w:val="9"/>
              </w:rPr>
              <w:t>1,367.0</w:t>
            </w:r>
          </w:p>
        </w:tc>
        <w:tc>
          <w:tcPr>
            <w:tcW w:w="558" w:type="dxa"/>
            <w:tcBorders>
              <w:left w:val="single" w:sz="4" w:space="0" w:color="000000"/>
              <w:right w:val="single" w:sz="4" w:space="0" w:color="000000"/>
            </w:tcBorders>
          </w:tcPr>
          <w:p>
            <w:pPr>
              <w:pStyle w:val="TableParagraph"/>
              <w:spacing w:before="33"/>
              <w:ind w:left="124"/>
              <w:rPr>
                <w:rFonts w:ascii="Arial"/>
                <w:sz w:val="9"/>
              </w:rPr>
            </w:pPr>
            <w:r>
              <w:rPr>
                <w:rFonts w:ascii="Arial"/>
                <w:color w:val="44536A"/>
                <w:sz w:val="9"/>
              </w:rPr>
              <w:t>1,476.6</w:t>
            </w:r>
          </w:p>
        </w:tc>
        <w:tc>
          <w:tcPr>
            <w:tcW w:w="558" w:type="dxa"/>
            <w:tcBorders>
              <w:left w:val="single" w:sz="4" w:space="0" w:color="000000"/>
              <w:right w:val="single" w:sz="4" w:space="0" w:color="000000"/>
            </w:tcBorders>
          </w:tcPr>
          <w:p>
            <w:pPr>
              <w:pStyle w:val="TableParagraph"/>
              <w:spacing w:before="33"/>
              <w:ind w:left="124"/>
              <w:rPr>
                <w:rFonts w:ascii="Arial"/>
                <w:sz w:val="9"/>
              </w:rPr>
            </w:pPr>
            <w:r>
              <w:rPr>
                <w:rFonts w:ascii="Arial"/>
                <w:color w:val="44536A"/>
                <w:sz w:val="9"/>
              </w:rPr>
              <w:t>1,588.0</w:t>
            </w:r>
          </w:p>
        </w:tc>
        <w:tc>
          <w:tcPr>
            <w:tcW w:w="558" w:type="dxa"/>
            <w:tcBorders>
              <w:left w:val="single" w:sz="4" w:space="0" w:color="000000"/>
              <w:right w:val="single" w:sz="4" w:space="0" w:color="000000"/>
            </w:tcBorders>
          </w:tcPr>
          <w:p>
            <w:pPr>
              <w:pStyle w:val="TableParagraph"/>
              <w:spacing w:before="33"/>
              <w:ind w:left="36" w:right="37"/>
              <w:jc w:val="center"/>
              <w:rPr>
                <w:rFonts w:ascii="Arial"/>
                <w:sz w:val="9"/>
              </w:rPr>
            </w:pPr>
            <w:r>
              <w:rPr>
                <w:rFonts w:ascii="Arial"/>
                <w:color w:val="44536A"/>
                <w:sz w:val="9"/>
              </w:rPr>
              <w:t>1,699.7</w:t>
            </w:r>
          </w:p>
        </w:tc>
        <w:tc>
          <w:tcPr>
            <w:tcW w:w="558" w:type="dxa"/>
            <w:tcBorders>
              <w:left w:val="single" w:sz="4" w:space="0" w:color="000000"/>
              <w:right w:val="single" w:sz="4" w:space="0" w:color="000000"/>
            </w:tcBorders>
          </w:tcPr>
          <w:p>
            <w:pPr>
              <w:pStyle w:val="TableParagraph"/>
              <w:spacing w:before="33"/>
              <w:ind w:left="124"/>
              <w:rPr>
                <w:rFonts w:ascii="Arial"/>
                <w:sz w:val="9"/>
              </w:rPr>
            </w:pPr>
            <w:r>
              <w:rPr>
                <w:rFonts w:ascii="Arial"/>
                <w:color w:val="44536A"/>
                <w:sz w:val="9"/>
              </w:rPr>
              <w:t>1,826.8</w:t>
            </w:r>
          </w:p>
        </w:tc>
        <w:tc>
          <w:tcPr>
            <w:tcW w:w="561" w:type="dxa"/>
            <w:tcBorders>
              <w:left w:val="single" w:sz="4" w:space="0" w:color="000000"/>
            </w:tcBorders>
          </w:tcPr>
          <w:p>
            <w:pPr>
              <w:pStyle w:val="TableParagraph"/>
              <w:spacing w:before="33"/>
              <w:ind w:left="124"/>
              <w:rPr>
                <w:rFonts w:ascii="Arial"/>
                <w:sz w:val="9"/>
              </w:rPr>
            </w:pPr>
            <w:r>
              <w:rPr>
                <w:rFonts w:ascii="Arial"/>
                <w:color w:val="44536A"/>
                <w:sz w:val="9"/>
              </w:rPr>
              <w:t>1,964.0</w:t>
            </w:r>
          </w:p>
        </w:tc>
      </w:tr>
      <w:tr>
        <w:trPr>
          <w:trHeight w:val="169" w:hRule="atLeast"/>
        </w:trPr>
        <w:tc>
          <w:tcPr>
            <w:tcW w:w="2176" w:type="dxa"/>
            <w:vMerge/>
            <w:tcBorders>
              <w:top w:val="nil"/>
              <w:right w:val="single" w:sz="4" w:space="0" w:color="000000"/>
            </w:tcBorders>
          </w:tcPr>
          <w:p>
            <w:pPr>
              <w:rPr>
                <w:sz w:val="2"/>
                <w:szCs w:val="2"/>
              </w:rPr>
            </w:pPr>
          </w:p>
        </w:tc>
        <w:tc>
          <w:tcPr>
            <w:tcW w:w="653" w:type="dxa"/>
            <w:tcBorders>
              <w:left w:val="single" w:sz="4" w:space="0" w:color="000000"/>
              <w:right w:val="single" w:sz="4" w:space="0" w:color="000000"/>
            </w:tcBorders>
          </w:tcPr>
          <w:p>
            <w:pPr>
              <w:pStyle w:val="TableParagraph"/>
              <w:spacing w:before="33"/>
              <w:ind w:left="238" w:right="239"/>
              <w:jc w:val="center"/>
              <w:rPr>
                <w:rFonts w:ascii="Arial"/>
                <w:sz w:val="9"/>
              </w:rPr>
            </w:pPr>
            <w:r>
              <w:rPr>
                <w:rFonts w:ascii="Arial"/>
                <w:color w:val="44536A"/>
                <w:sz w:val="9"/>
              </w:rPr>
              <w:t>7.1</w:t>
            </w:r>
          </w:p>
        </w:tc>
        <w:tc>
          <w:tcPr>
            <w:tcW w:w="614" w:type="dxa"/>
            <w:tcBorders>
              <w:left w:val="single" w:sz="4" w:space="0" w:color="000000"/>
              <w:right w:val="single" w:sz="4" w:space="0" w:color="000000"/>
            </w:tcBorders>
          </w:tcPr>
          <w:p>
            <w:pPr>
              <w:pStyle w:val="TableParagraph"/>
              <w:spacing w:before="33"/>
              <w:ind w:left="216" w:right="221"/>
              <w:jc w:val="center"/>
              <w:rPr>
                <w:rFonts w:ascii="Arial"/>
                <w:sz w:val="9"/>
              </w:rPr>
            </w:pPr>
            <w:r>
              <w:rPr>
                <w:rFonts w:ascii="Arial"/>
                <w:color w:val="44536A"/>
                <w:sz w:val="9"/>
              </w:rPr>
              <w:t>7.5</w:t>
            </w:r>
          </w:p>
        </w:tc>
        <w:tc>
          <w:tcPr>
            <w:tcW w:w="558" w:type="dxa"/>
            <w:tcBorders>
              <w:left w:val="single" w:sz="4" w:space="0" w:color="000000"/>
              <w:right w:val="single" w:sz="4" w:space="0" w:color="000000"/>
            </w:tcBorders>
          </w:tcPr>
          <w:p>
            <w:pPr>
              <w:pStyle w:val="TableParagraph"/>
              <w:spacing w:before="33"/>
              <w:ind w:left="36" w:right="42"/>
              <w:jc w:val="center"/>
              <w:rPr>
                <w:rFonts w:ascii="Arial"/>
                <w:sz w:val="9"/>
              </w:rPr>
            </w:pPr>
            <w:r>
              <w:rPr>
                <w:rFonts w:ascii="Arial"/>
                <w:color w:val="44536A"/>
                <w:sz w:val="9"/>
              </w:rPr>
              <w:t>8.4</w:t>
            </w:r>
          </w:p>
        </w:tc>
        <w:tc>
          <w:tcPr>
            <w:tcW w:w="597" w:type="dxa"/>
            <w:tcBorders>
              <w:left w:val="single" w:sz="4" w:space="0" w:color="000000"/>
              <w:right w:val="single" w:sz="4" w:space="0" w:color="000000"/>
            </w:tcBorders>
          </w:tcPr>
          <w:p>
            <w:pPr>
              <w:pStyle w:val="TableParagraph"/>
              <w:spacing w:before="33"/>
              <w:ind w:left="82" w:right="82"/>
              <w:jc w:val="center"/>
              <w:rPr>
                <w:rFonts w:ascii="Arial"/>
                <w:sz w:val="9"/>
              </w:rPr>
            </w:pPr>
            <w:r>
              <w:rPr>
                <w:rFonts w:ascii="Arial"/>
                <w:color w:val="44536A"/>
                <w:sz w:val="9"/>
              </w:rPr>
              <w:t>8.9</w:t>
            </w:r>
          </w:p>
        </w:tc>
        <w:tc>
          <w:tcPr>
            <w:tcW w:w="558" w:type="dxa"/>
            <w:tcBorders>
              <w:left w:val="single" w:sz="4" w:space="0" w:color="000000"/>
              <w:right w:val="single" w:sz="4" w:space="0" w:color="000000"/>
            </w:tcBorders>
          </w:tcPr>
          <w:p>
            <w:pPr>
              <w:pStyle w:val="TableParagraph"/>
              <w:spacing w:before="33"/>
              <w:ind w:left="36" w:right="42"/>
              <w:jc w:val="center"/>
              <w:rPr>
                <w:rFonts w:ascii="Arial"/>
                <w:sz w:val="9"/>
              </w:rPr>
            </w:pPr>
            <w:r>
              <w:rPr>
                <w:rFonts w:ascii="Arial"/>
                <w:color w:val="44536A"/>
                <w:sz w:val="9"/>
              </w:rPr>
              <w:t>9.2</w:t>
            </w:r>
          </w:p>
        </w:tc>
        <w:tc>
          <w:tcPr>
            <w:tcW w:w="558" w:type="dxa"/>
            <w:tcBorders>
              <w:left w:val="single" w:sz="4" w:space="0" w:color="000000"/>
              <w:right w:val="single" w:sz="4" w:space="0" w:color="000000"/>
            </w:tcBorders>
          </w:tcPr>
          <w:p>
            <w:pPr>
              <w:pStyle w:val="TableParagraph"/>
              <w:spacing w:before="33"/>
              <w:ind w:left="36" w:right="42"/>
              <w:jc w:val="center"/>
              <w:rPr>
                <w:rFonts w:ascii="Arial"/>
                <w:sz w:val="9"/>
              </w:rPr>
            </w:pPr>
            <w:r>
              <w:rPr>
                <w:rFonts w:ascii="Arial"/>
                <w:color w:val="44536A"/>
                <w:sz w:val="9"/>
              </w:rPr>
              <w:t>9.5</w:t>
            </w:r>
          </w:p>
        </w:tc>
        <w:tc>
          <w:tcPr>
            <w:tcW w:w="558" w:type="dxa"/>
            <w:tcBorders>
              <w:left w:val="single" w:sz="4" w:space="0" w:color="000000"/>
              <w:right w:val="single" w:sz="4" w:space="0" w:color="000000"/>
            </w:tcBorders>
          </w:tcPr>
          <w:p>
            <w:pPr>
              <w:pStyle w:val="TableParagraph"/>
              <w:spacing w:before="33"/>
              <w:ind w:left="36" w:right="43"/>
              <w:jc w:val="center"/>
              <w:rPr>
                <w:rFonts w:ascii="Arial"/>
                <w:sz w:val="9"/>
              </w:rPr>
            </w:pPr>
            <w:r>
              <w:rPr>
                <w:rFonts w:ascii="Arial"/>
                <w:color w:val="44536A"/>
                <w:sz w:val="9"/>
              </w:rPr>
              <w:t>9.9</w:t>
            </w:r>
          </w:p>
        </w:tc>
        <w:tc>
          <w:tcPr>
            <w:tcW w:w="558" w:type="dxa"/>
            <w:tcBorders>
              <w:left w:val="single" w:sz="4" w:space="0" w:color="000000"/>
              <w:right w:val="single" w:sz="4" w:space="0" w:color="000000"/>
            </w:tcBorders>
          </w:tcPr>
          <w:p>
            <w:pPr>
              <w:pStyle w:val="TableParagraph"/>
              <w:spacing w:before="33"/>
              <w:ind w:left="36" w:right="37"/>
              <w:jc w:val="center"/>
              <w:rPr>
                <w:rFonts w:ascii="Arial"/>
                <w:sz w:val="9"/>
              </w:rPr>
            </w:pPr>
            <w:r>
              <w:rPr>
                <w:rFonts w:ascii="Arial"/>
                <w:color w:val="44536A"/>
                <w:sz w:val="9"/>
              </w:rPr>
              <w:t>10.2</w:t>
            </w:r>
          </w:p>
        </w:tc>
        <w:tc>
          <w:tcPr>
            <w:tcW w:w="561" w:type="dxa"/>
            <w:tcBorders>
              <w:left w:val="single" w:sz="4" w:space="0" w:color="000000"/>
            </w:tcBorders>
          </w:tcPr>
          <w:p>
            <w:pPr>
              <w:pStyle w:val="TableParagraph"/>
              <w:spacing w:before="33"/>
              <w:ind w:left="165" w:right="175"/>
              <w:jc w:val="center"/>
              <w:rPr>
                <w:rFonts w:ascii="Arial"/>
                <w:sz w:val="9"/>
              </w:rPr>
            </w:pPr>
            <w:r>
              <w:rPr>
                <w:rFonts w:ascii="Arial"/>
                <w:color w:val="44536A"/>
                <w:sz w:val="9"/>
              </w:rPr>
              <w:t>10.6</w:t>
            </w:r>
          </w:p>
        </w:tc>
      </w:tr>
      <w:tr>
        <w:trPr>
          <w:trHeight w:val="166" w:hRule="atLeast"/>
        </w:trPr>
        <w:tc>
          <w:tcPr>
            <w:tcW w:w="2176" w:type="dxa"/>
            <w:vMerge/>
            <w:tcBorders>
              <w:top w:val="nil"/>
              <w:right w:val="single" w:sz="4" w:space="0" w:color="000000"/>
            </w:tcBorders>
          </w:tcPr>
          <w:p>
            <w:pPr>
              <w:rPr>
                <w:sz w:val="2"/>
                <w:szCs w:val="2"/>
              </w:rPr>
            </w:pPr>
          </w:p>
        </w:tc>
        <w:tc>
          <w:tcPr>
            <w:tcW w:w="653" w:type="dxa"/>
            <w:tcBorders>
              <w:left w:val="single" w:sz="4" w:space="0" w:color="000000"/>
              <w:right w:val="single" w:sz="4" w:space="0" w:color="000000"/>
            </w:tcBorders>
          </w:tcPr>
          <w:p>
            <w:pPr>
              <w:pStyle w:val="TableParagraph"/>
              <w:rPr>
                <w:sz w:val="10"/>
              </w:rPr>
            </w:pPr>
          </w:p>
        </w:tc>
        <w:tc>
          <w:tcPr>
            <w:tcW w:w="614" w:type="dxa"/>
            <w:tcBorders>
              <w:left w:val="single" w:sz="4" w:space="0" w:color="000000"/>
              <w:right w:val="single" w:sz="4" w:space="0" w:color="000000"/>
            </w:tcBorders>
          </w:tcPr>
          <w:p>
            <w:pPr>
              <w:pStyle w:val="TableParagraph"/>
              <w:rPr>
                <w:sz w:val="10"/>
              </w:rPr>
            </w:pPr>
          </w:p>
        </w:tc>
        <w:tc>
          <w:tcPr>
            <w:tcW w:w="558" w:type="dxa"/>
            <w:tcBorders>
              <w:left w:val="single" w:sz="4" w:space="0" w:color="000000"/>
              <w:right w:val="single" w:sz="4" w:space="0" w:color="000000"/>
            </w:tcBorders>
          </w:tcPr>
          <w:p>
            <w:pPr>
              <w:pStyle w:val="TableParagraph"/>
              <w:spacing w:before="30"/>
              <w:ind w:left="36" w:right="42"/>
              <w:jc w:val="center"/>
              <w:rPr>
                <w:rFonts w:ascii="Arial"/>
                <w:b/>
                <w:sz w:val="9"/>
              </w:rPr>
            </w:pPr>
            <w:r>
              <w:rPr>
                <w:rFonts w:ascii="Arial"/>
                <w:b/>
                <w:color w:val="FF0000"/>
                <w:sz w:val="9"/>
              </w:rPr>
              <w:t>0.0</w:t>
            </w:r>
          </w:p>
        </w:tc>
        <w:tc>
          <w:tcPr>
            <w:tcW w:w="597" w:type="dxa"/>
            <w:tcBorders>
              <w:left w:val="single" w:sz="4" w:space="0" w:color="000000"/>
              <w:right w:val="single" w:sz="4" w:space="0" w:color="000000"/>
            </w:tcBorders>
          </w:tcPr>
          <w:p>
            <w:pPr>
              <w:pStyle w:val="TableParagraph"/>
              <w:spacing w:before="30"/>
              <w:ind w:left="82" w:right="88"/>
              <w:jc w:val="center"/>
              <w:rPr>
                <w:rFonts w:ascii="Arial"/>
                <w:b/>
                <w:sz w:val="9"/>
              </w:rPr>
            </w:pPr>
            <w:r>
              <w:rPr>
                <w:rFonts w:ascii="Arial"/>
                <w:b/>
                <w:color w:val="FF0000"/>
                <w:sz w:val="9"/>
              </w:rPr>
              <w:t>2,216.5</w:t>
            </w:r>
          </w:p>
        </w:tc>
        <w:tc>
          <w:tcPr>
            <w:tcW w:w="558" w:type="dxa"/>
            <w:tcBorders>
              <w:left w:val="single" w:sz="4" w:space="0" w:color="000000"/>
              <w:right w:val="single" w:sz="4" w:space="0" w:color="000000"/>
            </w:tcBorders>
          </w:tcPr>
          <w:p>
            <w:pPr>
              <w:pStyle w:val="TableParagraph"/>
              <w:spacing w:before="30"/>
              <w:ind w:left="124"/>
              <w:rPr>
                <w:rFonts w:ascii="Arial"/>
                <w:b/>
                <w:sz w:val="9"/>
              </w:rPr>
            </w:pPr>
            <w:r>
              <w:rPr>
                <w:rFonts w:ascii="Arial"/>
                <w:b/>
                <w:color w:val="FF0000"/>
                <w:sz w:val="9"/>
              </w:rPr>
              <w:t>1,250.0</w:t>
            </w:r>
          </w:p>
        </w:tc>
        <w:tc>
          <w:tcPr>
            <w:tcW w:w="558" w:type="dxa"/>
            <w:tcBorders>
              <w:left w:val="single" w:sz="4" w:space="0" w:color="000000"/>
              <w:right w:val="single" w:sz="4" w:space="0" w:color="000000"/>
            </w:tcBorders>
          </w:tcPr>
          <w:p>
            <w:pPr>
              <w:pStyle w:val="TableParagraph"/>
              <w:spacing w:before="30"/>
              <w:ind w:left="124"/>
              <w:rPr>
                <w:rFonts w:ascii="Arial"/>
                <w:b/>
                <w:sz w:val="9"/>
              </w:rPr>
            </w:pPr>
            <w:r>
              <w:rPr>
                <w:rFonts w:ascii="Arial"/>
                <w:b/>
                <w:color w:val="FF0000"/>
                <w:sz w:val="9"/>
              </w:rPr>
              <w:t>4,400.0</w:t>
            </w:r>
          </w:p>
        </w:tc>
        <w:tc>
          <w:tcPr>
            <w:tcW w:w="558" w:type="dxa"/>
            <w:tcBorders>
              <w:left w:val="single" w:sz="4" w:space="0" w:color="000000"/>
              <w:right w:val="single" w:sz="4" w:space="0" w:color="000000"/>
            </w:tcBorders>
          </w:tcPr>
          <w:p>
            <w:pPr>
              <w:pStyle w:val="TableParagraph"/>
              <w:spacing w:before="30"/>
              <w:ind w:left="36" w:right="37"/>
              <w:jc w:val="center"/>
              <w:rPr>
                <w:rFonts w:ascii="Arial"/>
                <w:b/>
                <w:sz w:val="9"/>
              </w:rPr>
            </w:pPr>
            <w:r>
              <w:rPr>
                <w:rFonts w:ascii="Arial"/>
                <w:b/>
                <w:color w:val="FF0000"/>
                <w:sz w:val="9"/>
              </w:rPr>
              <w:t>4,650.0</w:t>
            </w:r>
          </w:p>
        </w:tc>
        <w:tc>
          <w:tcPr>
            <w:tcW w:w="558" w:type="dxa"/>
            <w:tcBorders>
              <w:left w:val="single" w:sz="4" w:space="0" w:color="000000"/>
              <w:right w:val="single" w:sz="4" w:space="0" w:color="000000"/>
            </w:tcBorders>
          </w:tcPr>
          <w:p>
            <w:pPr>
              <w:pStyle w:val="TableParagraph"/>
              <w:spacing w:before="30"/>
              <w:ind w:left="124"/>
              <w:rPr>
                <w:rFonts w:ascii="Arial"/>
                <w:b/>
                <w:sz w:val="9"/>
              </w:rPr>
            </w:pPr>
            <w:r>
              <w:rPr>
                <w:rFonts w:ascii="Arial"/>
                <w:b/>
                <w:color w:val="FF0000"/>
                <w:sz w:val="9"/>
              </w:rPr>
              <w:t>4,850.0</w:t>
            </w:r>
          </w:p>
        </w:tc>
        <w:tc>
          <w:tcPr>
            <w:tcW w:w="561" w:type="dxa"/>
            <w:tcBorders>
              <w:left w:val="single" w:sz="4" w:space="0" w:color="000000"/>
            </w:tcBorders>
          </w:tcPr>
          <w:p>
            <w:pPr>
              <w:pStyle w:val="TableParagraph"/>
              <w:spacing w:before="30"/>
              <w:ind w:left="124"/>
              <w:rPr>
                <w:rFonts w:ascii="Arial"/>
                <w:b/>
                <w:sz w:val="9"/>
              </w:rPr>
            </w:pPr>
            <w:r>
              <w:rPr>
                <w:rFonts w:ascii="Arial"/>
                <w:b/>
                <w:color w:val="FF0000"/>
                <w:sz w:val="9"/>
              </w:rPr>
              <w:t>5,100.0</w:t>
            </w:r>
          </w:p>
        </w:tc>
      </w:tr>
      <w:tr>
        <w:trPr>
          <w:trHeight w:val="177" w:hRule="atLeast"/>
        </w:trPr>
        <w:tc>
          <w:tcPr>
            <w:tcW w:w="2176" w:type="dxa"/>
            <w:vMerge/>
            <w:tcBorders>
              <w:top w:val="nil"/>
              <w:right w:val="single" w:sz="4" w:space="0" w:color="000000"/>
            </w:tcBorders>
          </w:tcPr>
          <w:p>
            <w:pPr>
              <w:rPr>
                <w:sz w:val="2"/>
                <w:szCs w:val="2"/>
              </w:rPr>
            </w:pPr>
          </w:p>
        </w:tc>
        <w:tc>
          <w:tcPr>
            <w:tcW w:w="653" w:type="dxa"/>
            <w:tcBorders>
              <w:left w:val="single" w:sz="4" w:space="0" w:color="000000"/>
              <w:right w:val="single" w:sz="4" w:space="0" w:color="000000"/>
            </w:tcBorders>
          </w:tcPr>
          <w:p>
            <w:pPr>
              <w:pStyle w:val="TableParagraph"/>
              <w:spacing w:before="41"/>
              <w:ind w:right="220"/>
              <w:jc w:val="right"/>
              <w:rPr>
                <w:rFonts w:ascii="Arial"/>
                <w:b/>
                <w:i/>
                <w:sz w:val="9"/>
              </w:rPr>
            </w:pPr>
            <w:r>
              <w:rPr>
                <w:rFonts w:ascii="Arial"/>
                <w:b/>
                <w:i/>
                <w:color w:val="FFFFFF"/>
                <w:sz w:val="9"/>
              </w:rPr>
              <w:t>516.3</w:t>
            </w:r>
          </w:p>
        </w:tc>
        <w:tc>
          <w:tcPr>
            <w:tcW w:w="614" w:type="dxa"/>
            <w:tcBorders>
              <w:left w:val="single" w:sz="4" w:space="0" w:color="000000"/>
              <w:right w:val="single" w:sz="4" w:space="0" w:color="000000"/>
            </w:tcBorders>
          </w:tcPr>
          <w:p>
            <w:pPr>
              <w:pStyle w:val="TableParagraph"/>
              <w:spacing w:before="41"/>
              <w:ind w:right="198"/>
              <w:jc w:val="right"/>
              <w:rPr>
                <w:rFonts w:ascii="Arial"/>
                <w:b/>
                <w:i/>
                <w:sz w:val="9"/>
              </w:rPr>
            </w:pPr>
            <w:r>
              <w:rPr>
                <w:rFonts w:ascii="Arial"/>
                <w:b/>
                <w:i/>
                <w:color w:val="FFFFFF"/>
                <w:sz w:val="9"/>
              </w:rPr>
              <w:t>235.1</w:t>
            </w:r>
          </w:p>
        </w:tc>
        <w:tc>
          <w:tcPr>
            <w:tcW w:w="558" w:type="dxa"/>
            <w:tcBorders>
              <w:left w:val="single" w:sz="4" w:space="0" w:color="000000"/>
              <w:right w:val="single" w:sz="4" w:space="0" w:color="000000"/>
            </w:tcBorders>
          </w:tcPr>
          <w:p>
            <w:pPr>
              <w:pStyle w:val="TableParagraph"/>
              <w:spacing w:before="41"/>
              <w:ind w:left="34" w:right="51"/>
              <w:jc w:val="center"/>
              <w:rPr>
                <w:rFonts w:ascii="Arial"/>
                <w:b/>
                <w:i/>
                <w:sz w:val="9"/>
              </w:rPr>
            </w:pPr>
            <w:r>
              <w:rPr>
                <w:rFonts w:ascii="Arial"/>
                <w:b/>
                <w:i/>
                <w:color w:val="FFFFFF"/>
                <w:sz w:val="9"/>
              </w:rPr>
              <w:t>392.0</w:t>
            </w:r>
          </w:p>
        </w:tc>
        <w:tc>
          <w:tcPr>
            <w:tcW w:w="597" w:type="dxa"/>
            <w:tcBorders>
              <w:left w:val="single" w:sz="4" w:space="0" w:color="000000"/>
              <w:right w:val="single" w:sz="4" w:space="0" w:color="000000"/>
            </w:tcBorders>
            <w:shd w:val="clear" w:color="auto" w:fill="2F5395"/>
          </w:tcPr>
          <w:p>
            <w:pPr>
              <w:pStyle w:val="TableParagraph"/>
              <w:spacing w:before="41"/>
              <w:ind w:left="73" w:right="96"/>
              <w:jc w:val="center"/>
              <w:rPr>
                <w:rFonts w:ascii="Arial"/>
                <w:b/>
                <w:i/>
                <w:sz w:val="9"/>
              </w:rPr>
            </w:pPr>
            <w:r>
              <w:rPr>
                <w:rFonts w:ascii="Arial"/>
                <w:b/>
                <w:i/>
                <w:color w:val="FFFFFF"/>
                <w:sz w:val="9"/>
              </w:rPr>
              <w:t>463.7</w:t>
            </w:r>
          </w:p>
        </w:tc>
        <w:tc>
          <w:tcPr>
            <w:tcW w:w="558" w:type="dxa"/>
            <w:tcBorders>
              <w:left w:val="single" w:sz="4" w:space="0" w:color="000000"/>
              <w:right w:val="single" w:sz="4" w:space="0" w:color="000000"/>
            </w:tcBorders>
            <w:shd w:val="clear" w:color="auto" w:fill="2F5395"/>
          </w:tcPr>
          <w:p>
            <w:pPr>
              <w:pStyle w:val="TableParagraph"/>
              <w:spacing w:before="41"/>
              <w:ind w:left="152"/>
              <w:rPr>
                <w:rFonts w:ascii="Arial"/>
                <w:b/>
                <w:i/>
                <w:sz w:val="9"/>
              </w:rPr>
            </w:pPr>
            <w:r>
              <w:rPr>
                <w:rFonts w:ascii="Arial"/>
                <w:b/>
                <w:i/>
                <w:color w:val="FFFFFF"/>
                <w:sz w:val="9"/>
              </w:rPr>
              <w:t>487.2</w:t>
            </w:r>
          </w:p>
        </w:tc>
        <w:tc>
          <w:tcPr>
            <w:tcW w:w="558" w:type="dxa"/>
            <w:tcBorders>
              <w:left w:val="single" w:sz="4" w:space="0" w:color="000000"/>
              <w:right w:val="single" w:sz="4" w:space="0" w:color="000000"/>
            </w:tcBorders>
            <w:shd w:val="clear" w:color="auto" w:fill="2F5395"/>
          </w:tcPr>
          <w:p>
            <w:pPr>
              <w:pStyle w:val="TableParagraph"/>
              <w:spacing w:before="41"/>
              <w:ind w:left="152"/>
              <w:rPr>
                <w:rFonts w:ascii="Arial"/>
                <w:b/>
                <w:i/>
                <w:sz w:val="9"/>
              </w:rPr>
            </w:pPr>
            <w:r>
              <w:rPr>
                <w:rFonts w:ascii="Arial"/>
                <w:b/>
                <w:i/>
                <w:color w:val="FFFFFF"/>
                <w:sz w:val="9"/>
              </w:rPr>
              <w:t>559.5</w:t>
            </w:r>
          </w:p>
        </w:tc>
        <w:tc>
          <w:tcPr>
            <w:tcW w:w="558" w:type="dxa"/>
            <w:tcBorders>
              <w:left w:val="single" w:sz="4" w:space="0" w:color="000000"/>
              <w:right w:val="single" w:sz="4" w:space="0" w:color="000000"/>
            </w:tcBorders>
            <w:shd w:val="clear" w:color="auto" w:fill="2F5395"/>
          </w:tcPr>
          <w:p>
            <w:pPr>
              <w:pStyle w:val="TableParagraph"/>
              <w:spacing w:before="41"/>
              <w:ind w:left="33" w:right="51"/>
              <w:jc w:val="center"/>
              <w:rPr>
                <w:rFonts w:ascii="Arial"/>
                <w:b/>
                <w:i/>
                <w:sz w:val="9"/>
              </w:rPr>
            </w:pPr>
            <w:r>
              <w:rPr>
                <w:rFonts w:ascii="Arial"/>
                <w:b/>
                <w:i/>
                <w:color w:val="FFFFFF"/>
                <w:sz w:val="9"/>
              </w:rPr>
              <w:t>579.6</w:t>
            </w:r>
          </w:p>
        </w:tc>
        <w:tc>
          <w:tcPr>
            <w:tcW w:w="558" w:type="dxa"/>
            <w:tcBorders>
              <w:left w:val="single" w:sz="4" w:space="0" w:color="000000"/>
              <w:right w:val="single" w:sz="4" w:space="0" w:color="000000"/>
            </w:tcBorders>
            <w:shd w:val="clear" w:color="auto" w:fill="2F5395"/>
          </w:tcPr>
          <w:p>
            <w:pPr>
              <w:pStyle w:val="TableParagraph"/>
              <w:spacing w:before="41"/>
              <w:ind w:left="152"/>
              <w:rPr>
                <w:rFonts w:ascii="Arial"/>
                <w:b/>
                <w:i/>
                <w:sz w:val="9"/>
              </w:rPr>
            </w:pPr>
            <w:r>
              <w:rPr>
                <w:rFonts w:ascii="Arial"/>
                <w:b/>
                <w:i/>
                <w:color w:val="FFFFFF"/>
                <w:sz w:val="9"/>
              </w:rPr>
              <w:t>601.1</w:t>
            </w:r>
          </w:p>
        </w:tc>
        <w:tc>
          <w:tcPr>
            <w:tcW w:w="561" w:type="dxa"/>
            <w:tcBorders>
              <w:left w:val="single" w:sz="4" w:space="0" w:color="000000"/>
            </w:tcBorders>
            <w:shd w:val="clear" w:color="auto" w:fill="2F5395"/>
          </w:tcPr>
          <w:p>
            <w:pPr>
              <w:pStyle w:val="TableParagraph"/>
              <w:spacing w:before="41"/>
              <w:ind w:left="152"/>
              <w:rPr>
                <w:rFonts w:ascii="Arial"/>
                <w:b/>
                <w:i/>
                <w:sz w:val="9"/>
              </w:rPr>
            </w:pPr>
            <w:r>
              <w:rPr>
                <w:rFonts w:ascii="Arial"/>
                <w:b/>
                <w:i/>
                <w:color w:val="FFFFFF"/>
                <w:sz w:val="9"/>
              </w:rPr>
              <w:t>601.3</w:t>
            </w:r>
          </w:p>
        </w:tc>
      </w:tr>
      <w:tr>
        <w:trPr>
          <w:trHeight w:val="174" w:hRule="atLeast"/>
        </w:trPr>
        <w:tc>
          <w:tcPr>
            <w:tcW w:w="2176" w:type="dxa"/>
            <w:vMerge/>
            <w:tcBorders>
              <w:top w:val="nil"/>
              <w:right w:val="single" w:sz="4" w:space="0" w:color="000000"/>
            </w:tcBorders>
          </w:tcPr>
          <w:p>
            <w:pPr>
              <w:rPr>
                <w:sz w:val="2"/>
                <w:szCs w:val="2"/>
              </w:rPr>
            </w:pPr>
          </w:p>
        </w:tc>
        <w:tc>
          <w:tcPr>
            <w:tcW w:w="653" w:type="dxa"/>
            <w:tcBorders>
              <w:left w:val="single" w:sz="4" w:space="0" w:color="000000"/>
              <w:right w:val="single" w:sz="4" w:space="0" w:color="000000"/>
            </w:tcBorders>
          </w:tcPr>
          <w:p>
            <w:pPr>
              <w:pStyle w:val="TableParagraph"/>
              <w:spacing w:before="36"/>
              <w:ind w:right="209"/>
              <w:jc w:val="right"/>
              <w:rPr>
                <w:rFonts w:ascii="Arial"/>
                <w:sz w:val="9"/>
              </w:rPr>
            </w:pPr>
            <w:r>
              <w:rPr>
                <w:rFonts w:ascii="Arial"/>
                <w:color w:val="44536A"/>
                <w:sz w:val="9"/>
              </w:rPr>
              <w:t>178.2</w:t>
            </w:r>
          </w:p>
        </w:tc>
        <w:tc>
          <w:tcPr>
            <w:tcW w:w="614" w:type="dxa"/>
            <w:tcBorders>
              <w:left w:val="single" w:sz="4" w:space="0" w:color="000000"/>
              <w:right w:val="single" w:sz="4" w:space="0" w:color="000000"/>
            </w:tcBorders>
          </w:tcPr>
          <w:p>
            <w:pPr>
              <w:pStyle w:val="TableParagraph"/>
              <w:spacing w:before="36"/>
              <w:ind w:right="193"/>
              <w:jc w:val="right"/>
              <w:rPr>
                <w:rFonts w:ascii="Arial"/>
                <w:sz w:val="9"/>
              </w:rPr>
            </w:pPr>
            <w:r>
              <w:rPr>
                <w:rFonts w:ascii="Arial"/>
                <w:color w:val="44536A"/>
                <w:sz w:val="9"/>
              </w:rPr>
              <w:t>117.8</w:t>
            </w:r>
          </w:p>
        </w:tc>
        <w:tc>
          <w:tcPr>
            <w:tcW w:w="558" w:type="dxa"/>
            <w:tcBorders>
              <w:left w:val="single" w:sz="4" w:space="0" w:color="000000"/>
              <w:right w:val="single" w:sz="4" w:space="0" w:color="000000"/>
            </w:tcBorders>
          </w:tcPr>
          <w:p>
            <w:pPr>
              <w:pStyle w:val="TableParagraph"/>
              <w:spacing w:before="36"/>
              <w:ind w:left="36" w:right="42"/>
              <w:jc w:val="center"/>
              <w:rPr>
                <w:rFonts w:ascii="Arial"/>
                <w:sz w:val="9"/>
              </w:rPr>
            </w:pPr>
            <w:r>
              <w:rPr>
                <w:rFonts w:ascii="Arial"/>
                <w:color w:val="44536A"/>
                <w:sz w:val="9"/>
              </w:rPr>
              <w:t>178.3</w:t>
            </w:r>
          </w:p>
        </w:tc>
        <w:tc>
          <w:tcPr>
            <w:tcW w:w="597" w:type="dxa"/>
            <w:tcBorders>
              <w:left w:val="single" w:sz="4" w:space="0" w:color="000000"/>
              <w:right w:val="single" w:sz="4" w:space="0" w:color="000000"/>
            </w:tcBorders>
          </w:tcPr>
          <w:p>
            <w:pPr>
              <w:pStyle w:val="TableParagraph"/>
              <w:spacing w:before="36"/>
              <w:ind w:left="82" w:right="83"/>
              <w:jc w:val="center"/>
              <w:rPr>
                <w:rFonts w:ascii="Arial"/>
                <w:sz w:val="9"/>
              </w:rPr>
            </w:pPr>
            <w:r>
              <w:rPr>
                <w:rFonts w:ascii="Arial"/>
                <w:color w:val="44536A"/>
                <w:sz w:val="9"/>
              </w:rPr>
              <w:t>210.3</w:t>
            </w:r>
          </w:p>
        </w:tc>
        <w:tc>
          <w:tcPr>
            <w:tcW w:w="558" w:type="dxa"/>
            <w:tcBorders>
              <w:left w:val="single" w:sz="4" w:space="0" w:color="000000"/>
              <w:right w:val="single" w:sz="4" w:space="0" w:color="000000"/>
            </w:tcBorders>
          </w:tcPr>
          <w:p>
            <w:pPr>
              <w:pStyle w:val="TableParagraph"/>
              <w:spacing w:before="36"/>
              <w:ind w:left="158"/>
              <w:rPr>
                <w:rFonts w:ascii="Arial"/>
                <w:sz w:val="9"/>
              </w:rPr>
            </w:pPr>
            <w:r>
              <w:rPr>
                <w:rFonts w:ascii="Arial"/>
                <w:color w:val="44536A"/>
                <w:sz w:val="9"/>
              </w:rPr>
              <w:t>217.6</w:t>
            </w:r>
          </w:p>
        </w:tc>
        <w:tc>
          <w:tcPr>
            <w:tcW w:w="558" w:type="dxa"/>
            <w:tcBorders>
              <w:left w:val="single" w:sz="4" w:space="0" w:color="000000"/>
              <w:right w:val="single" w:sz="4" w:space="0" w:color="000000"/>
            </w:tcBorders>
          </w:tcPr>
          <w:p>
            <w:pPr>
              <w:pStyle w:val="TableParagraph"/>
              <w:spacing w:before="36"/>
              <w:ind w:left="158"/>
              <w:rPr>
                <w:rFonts w:ascii="Arial"/>
                <w:sz w:val="9"/>
              </w:rPr>
            </w:pPr>
            <w:r>
              <w:rPr>
                <w:rFonts w:ascii="Arial"/>
                <w:color w:val="44536A"/>
                <w:sz w:val="9"/>
              </w:rPr>
              <w:t>193.6</w:t>
            </w:r>
          </w:p>
        </w:tc>
        <w:tc>
          <w:tcPr>
            <w:tcW w:w="558" w:type="dxa"/>
            <w:tcBorders>
              <w:left w:val="single" w:sz="4" w:space="0" w:color="000000"/>
              <w:right w:val="single" w:sz="4" w:space="0" w:color="000000"/>
            </w:tcBorders>
          </w:tcPr>
          <w:p>
            <w:pPr>
              <w:pStyle w:val="TableParagraph"/>
              <w:spacing w:before="36"/>
              <w:ind w:left="36" w:right="43"/>
              <w:jc w:val="center"/>
              <w:rPr>
                <w:rFonts w:ascii="Arial"/>
                <w:sz w:val="9"/>
              </w:rPr>
            </w:pPr>
            <w:r>
              <w:rPr>
                <w:rFonts w:ascii="Arial"/>
                <w:color w:val="44536A"/>
                <w:sz w:val="9"/>
              </w:rPr>
              <w:t>200.6</w:t>
            </w:r>
          </w:p>
        </w:tc>
        <w:tc>
          <w:tcPr>
            <w:tcW w:w="558" w:type="dxa"/>
            <w:tcBorders>
              <w:left w:val="single" w:sz="4" w:space="0" w:color="000000"/>
              <w:right w:val="single" w:sz="4" w:space="0" w:color="000000"/>
            </w:tcBorders>
          </w:tcPr>
          <w:p>
            <w:pPr>
              <w:pStyle w:val="TableParagraph"/>
              <w:spacing w:before="36"/>
              <w:ind w:left="158"/>
              <w:rPr>
                <w:rFonts w:ascii="Arial"/>
                <w:sz w:val="9"/>
              </w:rPr>
            </w:pPr>
            <w:r>
              <w:rPr>
                <w:rFonts w:ascii="Arial"/>
                <w:color w:val="44536A"/>
                <w:sz w:val="9"/>
              </w:rPr>
              <w:t>208.0</w:t>
            </w:r>
          </w:p>
        </w:tc>
        <w:tc>
          <w:tcPr>
            <w:tcW w:w="561" w:type="dxa"/>
            <w:tcBorders>
              <w:left w:val="single" w:sz="4" w:space="0" w:color="000000"/>
            </w:tcBorders>
          </w:tcPr>
          <w:p>
            <w:pPr>
              <w:pStyle w:val="TableParagraph"/>
              <w:spacing w:before="36"/>
              <w:ind w:left="157"/>
              <w:rPr>
                <w:rFonts w:ascii="Arial"/>
                <w:sz w:val="9"/>
              </w:rPr>
            </w:pPr>
            <w:r>
              <w:rPr>
                <w:rFonts w:ascii="Arial"/>
                <w:color w:val="44536A"/>
                <w:sz w:val="9"/>
              </w:rPr>
              <w:t>208.1</w:t>
            </w:r>
          </w:p>
        </w:tc>
      </w:tr>
      <w:tr>
        <w:trPr>
          <w:trHeight w:val="163" w:hRule="atLeast"/>
        </w:trPr>
        <w:tc>
          <w:tcPr>
            <w:tcW w:w="2176" w:type="dxa"/>
            <w:vMerge/>
            <w:tcBorders>
              <w:top w:val="nil"/>
              <w:right w:val="single" w:sz="4" w:space="0" w:color="000000"/>
            </w:tcBorders>
          </w:tcPr>
          <w:p>
            <w:pPr>
              <w:rPr>
                <w:sz w:val="2"/>
                <w:szCs w:val="2"/>
              </w:rPr>
            </w:pPr>
          </w:p>
        </w:tc>
        <w:tc>
          <w:tcPr>
            <w:tcW w:w="653" w:type="dxa"/>
            <w:tcBorders>
              <w:left w:val="single" w:sz="4" w:space="0" w:color="000000"/>
              <w:right w:val="single" w:sz="4" w:space="0" w:color="000000"/>
            </w:tcBorders>
          </w:tcPr>
          <w:p>
            <w:pPr>
              <w:pStyle w:val="TableParagraph"/>
              <w:spacing w:before="33"/>
              <w:ind w:right="209"/>
              <w:jc w:val="right"/>
              <w:rPr>
                <w:rFonts w:ascii="Arial"/>
                <w:sz w:val="9"/>
              </w:rPr>
            </w:pPr>
            <w:r>
              <w:rPr>
                <w:rFonts w:ascii="Arial"/>
                <w:color w:val="44536A"/>
                <w:sz w:val="9"/>
              </w:rPr>
              <w:t>338.1</w:t>
            </w:r>
          </w:p>
        </w:tc>
        <w:tc>
          <w:tcPr>
            <w:tcW w:w="614" w:type="dxa"/>
            <w:tcBorders>
              <w:left w:val="single" w:sz="4" w:space="0" w:color="000000"/>
              <w:right w:val="single" w:sz="4" w:space="0" w:color="000000"/>
            </w:tcBorders>
          </w:tcPr>
          <w:p>
            <w:pPr>
              <w:pStyle w:val="TableParagraph"/>
              <w:spacing w:before="33"/>
              <w:ind w:right="193"/>
              <w:jc w:val="right"/>
              <w:rPr>
                <w:rFonts w:ascii="Arial"/>
                <w:sz w:val="9"/>
              </w:rPr>
            </w:pPr>
            <w:r>
              <w:rPr>
                <w:rFonts w:ascii="Arial"/>
                <w:color w:val="44536A"/>
                <w:sz w:val="9"/>
              </w:rPr>
              <w:t>117.2</w:t>
            </w:r>
          </w:p>
        </w:tc>
        <w:tc>
          <w:tcPr>
            <w:tcW w:w="558" w:type="dxa"/>
            <w:tcBorders>
              <w:left w:val="single" w:sz="4" w:space="0" w:color="000000"/>
              <w:right w:val="single" w:sz="4" w:space="0" w:color="000000"/>
            </w:tcBorders>
          </w:tcPr>
          <w:p>
            <w:pPr>
              <w:pStyle w:val="TableParagraph"/>
              <w:spacing w:before="33"/>
              <w:ind w:left="36" w:right="42"/>
              <w:jc w:val="center"/>
              <w:rPr>
                <w:rFonts w:ascii="Arial"/>
                <w:sz w:val="9"/>
              </w:rPr>
            </w:pPr>
            <w:r>
              <w:rPr>
                <w:rFonts w:ascii="Arial"/>
                <w:color w:val="44536A"/>
                <w:sz w:val="9"/>
              </w:rPr>
              <w:t>213.6</w:t>
            </w:r>
          </w:p>
        </w:tc>
        <w:tc>
          <w:tcPr>
            <w:tcW w:w="597" w:type="dxa"/>
            <w:tcBorders>
              <w:left w:val="single" w:sz="4" w:space="0" w:color="000000"/>
              <w:right w:val="single" w:sz="4" w:space="0" w:color="000000"/>
            </w:tcBorders>
          </w:tcPr>
          <w:p>
            <w:pPr>
              <w:pStyle w:val="TableParagraph"/>
              <w:spacing w:before="33"/>
              <w:ind w:left="82" w:right="83"/>
              <w:jc w:val="center"/>
              <w:rPr>
                <w:rFonts w:ascii="Arial"/>
                <w:sz w:val="9"/>
              </w:rPr>
            </w:pPr>
            <w:r>
              <w:rPr>
                <w:rFonts w:ascii="Arial"/>
                <w:color w:val="44536A"/>
                <w:sz w:val="9"/>
              </w:rPr>
              <w:t>253.5</w:t>
            </w:r>
          </w:p>
        </w:tc>
        <w:tc>
          <w:tcPr>
            <w:tcW w:w="558" w:type="dxa"/>
            <w:tcBorders>
              <w:left w:val="single" w:sz="4" w:space="0" w:color="000000"/>
              <w:right w:val="single" w:sz="4" w:space="0" w:color="000000"/>
            </w:tcBorders>
          </w:tcPr>
          <w:p>
            <w:pPr>
              <w:pStyle w:val="TableParagraph"/>
              <w:spacing w:before="33"/>
              <w:ind w:left="158"/>
              <w:rPr>
                <w:rFonts w:ascii="Arial"/>
                <w:sz w:val="9"/>
              </w:rPr>
            </w:pPr>
            <w:r>
              <w:rPr>
                <w:rFonts w:ascii="Arial"/>
                <w:color w:val="44536A"/>
                <w:sz w:val="9"/>
              </w:rPr>
              <w:t>269.7</w:t>
            </w:r>
          </w:p>
        </w:tc>
        <w:tc>
          <w:tcPr>
            <w:tcW w:w="558" w:type="dxa"/>
            <w:tcBorders>
              <w:left w:val="single" w:sz="4" w:space="0" w:color="000000"/>
              <w:right w:val="single" w:sz="4" w:space="0" w:color="000000"/>
            </w:tcBorders>
          </w:tcPr>
          <w:p>
            <w:pPr>
              <w:pStyle w:val="TableParagraph"/>
              <w:spacing w:before="33"/>
              <w:ind w:left="158"/>
              <w:rPr>
                <w:rFonts w:ascii="Arial"/>
                <w:sz w:val="9"/>
              </w:rPr>
            </w:pPr>
            <w:r>
              <w:rPr>
                <w:rFonts w:ascii="Arial"/>
                <w:color w:val="44536A"/>
                <w:sz w:val="9"/>
              </w:rPr>
              <w:t>365.9</w:t>
            </w:r>
          </w:p>
        </w:tc>
        <w:tc>
          <w:tcPr>
            <w:tcW w:w="558" w:type="dxa"/>
            <w:tcBorders>
              <w:left w:val="single" w:sz="4" w:space="0" w:color="000000"/>
              <w:right w:val="single" w:sz="4" w:space="0" w:color="000000"/>
            </w:tcBorders>
          </w:tcPr>
          <w:p>
            <w:pPr>
              <w:pStyle w:val="TableParagraph"/>
              <w:spacing w:before="33"/>
              <w:ind w:left="36" w:right="43"/>
              <w:jc w:val="center"/>
              <w:rPr>
                <w:rFonts w:ascii="Arial"/>
                <w:sz w:val="9"/>
              </w:rPr>
            </w:pPr>
            <w:r>
              <w:rPr>
                <w:rFonts w:ascii="Arial"/>
                <w:color w:val="44536A"/>
                <w:sz w:val="9"/>
              </w:rPr>
              <w:t>379.0</w:t>
            </w:r>
          </w:p>
        </w:tc>
        <w:tc>
          <w:tcPr>
            <w:tcW w:w="558" w:type="dxa"/>
            <w:tcBorders>
              <w:left w:val="single" w:sz="4" w:space="0" w:color="000000"/>
              <w:right w:val="single" w:sz="4" w:space="0" w:color="000000"/>
            </w:tcBorders>
          </w:tcPr>
          <w:p>
            <w:pPr>
              <w:pStyle w:val="TableParagraph"/>
              <w:spacing w:before="33"/>
              <w:ind w:left="158"/>
              <w:rPr>
                <w:rFonts w:ascii="Arial"/>
                <w:sz w:val="9"/>
              </w:rPr>
            </w:pPr>
            <w:r>
              <w:rPr>
                <w:rFonts w:ascii="Arial"/>
                <w:color w:val="44536A"/>
                <w:sz w:val="9"/>
              </w:rPr>
              <w:t>393.1</w:t>
            </w:r>
          </w:p>
        </w:tc>
        <w:tc>
          <w:tcPr>
            <w:tcW w:w="561" w:type="dxa"/>
            <w:tcBorders>
              <w:left w:val="single" w:sz="4" w:space="0" w:color="000000"/>
            </w:tcBorders>
          </w:tcPr>
          <w:p>
            <w:pPr>
              <w:pStyle w:val="TableParagraph"/>
              <w:spacing w:before="33"/>
              <w:ind w:left="157"/>
              <w:rPr>
                <w:rFonts w:ascii="Arial"/>
                <w:sz w:val="9"/>
              </w:rPr>
            </w:pPr>
            <w:r>
              <w:rPr>
                <w:rFonts w:ascii="Arial"/>
                <w:color w:val="44536A"/>
                <w:sz w:val="9"/>
              </w:rPr>
              <w:t>393.2</w:t>
            </w:r>
          </w:p>
        </w:tc>
      </w:tr>
      <w:tr>
        <w:trPr>
          <w:trHeight w:val="177" w:hRule="atLeast"/>
        </w:trPr>
        <w:tc>
          <w:tcPr>
            <w:tcW w:w="2176" w:type="dxa"/>
            <w:vMerge/>
            <w:tcBorders>
              <w:top w:val="nil"/>
              <w:right w:val="single" w:sz="4" w:space="0" w:color="000000"/>
            </w:tcBorders>
          </w:tcPr>
          <w:p>
            <w:pPr>
              <w:rPr>
                <w:sz w:val="2"/>
                <w:szCs w:val="2"/>
              </w:rPr>
            </w:pPr>
          </w:p>
        </w:tc>
        <w:tc>
          <w:tcPr>
            <w:tcW w:w="653" w:type="dxa"/>
            <w:tcBorders>
              <w:left w:val="single" w:sz="4" w:space="0" w:color="000000"/>
              <w:right w:val="single" w:sz="4" w:space="0" w:color="000000"/>
            </w:tcBorders>
          </w:tcPr>
          <w:p>
            <w:pPr>
              <w:pStyle w:val="TableParagraph"/>
              <w:spacing w:before="36"/>
              <w:ind w:right="148"/>
              <w:jc w:val="right"/>
              <w:rPr>
                <w:rFonts w:ascii="Arial"/>
                <w:b/>
                <w:sz w:val="9"/>
              </w:rPr>
            </w:pPr>
            <w:r>
              <w:rPr>
                <w:rFonts w:ascii="Arial"/>
                <w:b/>
                <w:color w:val="FFFFFF"/>
                <w:w w:val="95"/>
                <w:sz w:val="9"/>
              </w:rPr>
              <w:t>62,593.6</w:t>
            </w:r>
          </w:p>
        </w:tc>
        <w:tc>
          <w:tcPr>
            <w:tcW w:w="614" w:type="dxa"/>
            <w:tcBorders>
              <w:left w:val="single" w:sz="4" w:space="0" w:color="000000"/>
              <w:right w:val="single" w:sz="4" w:space="0" w:color="000000"/>
            </w:tcBorders>
          </w:tcPr>
          <w:p>
            <w:pPr>
              <w:pStyle w:val="TableParagraph"/>
              <w:spacing w:before="36"/>
              <w:ind w:right="131"/>
              <w:jc w:val="right"/>
              <w:rPr>
                <w:rFonts w:ascii="Arial"/>
                <w:b/>
                <w:sz w:val="9"/>
              </w:rPr>
            </w:pPr>
            <w:r>
              <w:rPr>
                <w:rFonts w:ascii="Arial"/>
                <w:b/>
                <w:color w:val="FFFFFF"/>
                <w:w w:val="95"/>
                <w:sz w:val="9"/>
              </w:rPr>
              <w:t>60,279.4</w:t>
            </w:r>
          </w:p>
        </w:tc>
        <w:tc>
          <w:tcPr>
            <w:tcW w:w="558" w:type="dxa"/>
            <w:tcBorders>
              <w:left w:val="single" w:sz="4" w:space="0" w:color="000000"/>
              <w:right w:val="single" w:sz="4" w:space="0" w:color="000000"/>
            </w:tcBorders>
          </w:tcPr>
          <w:p>
            <w:pPr>
              <w:pStyle w:val="TableParagraph"/>
              <w:spacing w:before="36"/>
              <w:ind w:left="36" w:right="43"/>
              <w:jc w:val="center"/>
              <w:rPr>
                <w:rFonts w:ascii="Arial"/>
                <w:b/>
                <w:sz w:val="9"/>
              </w:rPr>
            </w:pPr>
            <w:r>
              <w:rPr>
                <w:rFonts w:ascii="Arial"/>
                <w:b/>
                <w:color w:val="FFFFFF"/>
                <w:sz w:val="9"/>
              </w:rPr>
              <w:t>78,019.1</w:t>
            </w:r>
          </w:p>
        </w:tc>
        <w:tc>
          <w:tcPr>
            <w:tcW w:w="597" w:type="dxa"/>
            <w:tcBorders>
              <w:left w:val="single" w:sz="4" w:space="0" w:color="000000"/>
              <w:right w:val="single" w:sz="4" w:space="0" w:color="000000"/>
            </w:tcBorders>
            <w:shd w:val="clear" w:color="auto" w:fill="2F5395"/>
          </w:tcPr>
          <w:p>
            <w:pPr>
              <w:pStyle w:val="TableParagraph"/>
              <w:spacing w:before="36"/>
              <w:ind w:left="82" w:right="83"/>
              <w:jc w:val="center"/>
              <w:rPr>
                <w:rFonts w:ascii="Arial"/>
                <w:b/>
                <w:sz w:val="9"/>
              </w:rPr>
            </w:pPr>
            <w:r>
              <w:rPr>
                <w:rFonts w:ascii="Arial"/>
                <w:b/>
                <w:color w:val="FFFFFF"/>
                <w:sz w:val="9"/>
              </w:rPr>
              <w:t>82,872.9</w:t>
            </w:r>
          </w:p>
        </w:tc>
        <w:tc>
          <w:tcPr>
            <w:tcW w:w="558" w:type="dxa"/>
            <w:tcBorders>
              <w:left w:val="single" w:sz="4" w:space="0" w:color="000000"/>
              <w:right w:val="single" w:sz="4" w:space="0" w:color="000000"/>
            </w:tcBorders>
            <w:shd w:val="clear" w:color="auto" w:fill="2F5395"/>
          </w:tcPr>
          <w:p>
            <w:pPr>
              <w:pStyle w:val="TableParagraph"/>
              <w:spacing w:before="36"/>
              <w:ind w:left="97"/>
              <w:rPr>
                <w:rFonts w:ascii="Arial"/>
                <w:b/>
                <w:sz w:val="9"/>
              </w:rPr>
            </w:pPr>
            <w:r>
              <w:rPr>
                <w:rFonts w:ascii="Arial"/>
                <w:b/>
                <w:color w:val="FFFFFF"/>
                <w:sz w:val="9"/>
              </w:rPr>
              <w:t>86,503.0</w:t>
            </w:r>
          </w:p>
        </w:tc>
        <w:tc>
          <w:tcPr>
            <w:tcW w:w="558" w:type="dxa"/>
            <w:tcBorders>
              <w:left w:val="single" w:sz="4" w:space="0" w:color="000000"/>
              <w:right w:val="single" w:sz="4" w:space="0" w:color="000000"/>
            </w:tcBorders>
            <w:shd w:val="clear" w:color="auto" w:fill="2F5395"/>
          </w:tcPr>
          <w:p>
            <w:pPr>
              <w:pStyle w:val="TableParagraph"/>
              <w:spacing w:before="36"/>
              <w:ind w:left="97"/>
              <w:rPr>
                <w:rFonts w:ascii="Arial"/>
                <w:b/>
                <w:sz w:val="9"/>
              </w:rPr>
            </w:pPr>
            <w:r>
              <w:rPr>
                <w:rFonts w:ascii="Arial"/>
                <w:b/>
                <w:color w:val="FFFFFF"/>
                <w:sz w:val="9"/>
              </w:rPr>
              <w:t>95,104.3</w:t>
            </w:r>
          </w:p>
        </w:tc>
        <w:tc>
          <w:tcPr>
            <w:tcW w:w="558" w:type="dxa"/>
            <w:tcBorders>
              <w:left w:val="single" w:sz="4" w:space="0" w:color="000000"/>
              <w:right w:val="single" w:sz="4" w:space="0" w:color="000000"/>
            </w:tcBorders>
            <w:shd w:val="clear" w:color="auto" w:fill="2F5395"/>
          </w:tcPr>
          <w:p>
            <w:pPr>
              <w:pStyle w:val="TableParagraph"/>
              <w:spacing w:before="36"/>
              <w:ind w:left="36" w:right="38"/>
              <w:jc w:val="center"/>
              <w:rPr>
                <w:rFonts w:ascii="Arial"/>
                <w:b/>
                <w:sz w:val="9"/>
              </w:rPr>
            </w:pPr>
            <w:r>
              <w:rPr>
                <w:rFonts w:ascii="Arial"/>
                <w:b/>
                <w:color w:val="FFFFFF"/>
                <w:sz w:val="9"/>
              </w:rPr>
              <w:t>101,004.0</w:t>
            </w:r>
          </w:p>
        </w:tc>
        <w:tc>
          <w:tcPr>
            <w:tcW w:w="558" w:type="dxa"/>
            <w:tcBorders>
              <w:left w:val="single" w:sz="4" w:space="0" w:color="000000"/>
              <w:right w:val="single" w:sz="4" w:space="0" w:color="000000"/>
            </w:tcBorders>
            <w:shd w:val="clear" w:color="auto" w:fill="2F5395"/>
          </w:tcPr>
          <w:p>
            <w:pPr>
              <w:pStyle w:val="TableParagraph"/>
              <w:spacing w:before="36"/>
              <w:ind w:left="74"/>
              <w:rPr>
                <w:rFonts w:ascii="Arial"/>
                <w:b/>
                <w:sz w:val="9"/>
              </w:rPr>
            </w:pPr>
            <w:r>
              <w:rPr>
                <w:rFonts w:ascii="Arial"/>
                <w:b/>
                <w:color w:val="FFFFFF"/>
                <w:sz w:val="9"/>
              </w:rPr>
              <w:t>107,476.8</w:t>
            </w:r>
          </w:p>
        </w:tc>
        <w:tc>
          <w:tcPr>
            <w:tcW w:w="561" w:type="dxa"/>
            <w:tcBorders>
              <w:left w:val="single" w:sz="4" w:space="0" w:color="000000"/>
            </w:tcBorders>
            <w:shd w:val="clear" w:color="auto" w:fill="2F5395"/>
          </w:tcPr>
          <w:p>
            <w:pPr>
              <w:pStyle w:val="TableParagraph"/>
              <w:spacing w:before="36"/>
              <w:ind w:left="74"/>
              <w:rPr>
                <w:rFonts w:ascii="Arial"/>
                <w:b/>
                <w:sz w:val="9"/>
              </w:rPr>
            </w:pPr>
            <w:r>
              <w:rPr>
                <w:rFonts w:ascii="Arial"/>
                <w:b/>
                <w:color w:val="FFFFFF"/>
                <w:sz w:val="9"/>
              </w:rPr>
              <w:t>114,410.8</w:t>
            </w:r>
          </w:p>
        </w:tc>
      </w:tr>
      <w:tr>
        <w:trPr>
          <w:trHeight w:val="174" w:hRule="atLeast"/>
        </w:trPr>
        <w:tc>
          <w:tcPr>
            <w:tcW w:w="2176" w:type="dxa"/>
            <w:vMerge/>
            <w:tcBorders>
              <w:top w:val="nil"/>
              <w:right w:val="single" w:sz="4" w:space="0" w:color="000000"/>
            </w:tcBorders>
          </w:tcPr>
          <w:p>
            <w:pPr>
              <w:rPr>
                <w:sz w:val="2"/>
                <w:szCs w:val="2"/>
              </w:rPr>
            </w:pPr>
          </w:p>
        </w:tc>
        <w:tc>
          <w:tcPr>
            <w:tcW w:w="653" w:type="dxa"/>
            <w:tcBorders>
              <w:left w:val="single" w:sz="4" w:space="0" w:color="000000"/>
              <w:right w:val="single" w:sz="4" w:space="0" w:color="000000"/>
            </w:tcBorders>
          </w:tcPr>
          <w:p>
            <w:pPr>
              <w:pStyle w:val="TableParagraph"/>
              <w:spacing w:before="36"/>
              <w:ind w:right="176"/>
              <w:jc w:val="right"/>
              <w:rPr>
                <w:rFonts w:ascii="Arial"/>
                <w:sz w:val="9"/>
              </w:rPr>
            </w:pPr>
            <w:r>
              <w:rPr>
                <w:rFonts w:ascii="Arial"/>
                <w:color w:val="44536A"/>
                <w:w w:val="95"/>
                <w:sz w:val="9"/>
              </w:rPr>
              <w:t>1,943.7</w:t>
            </w:r>
          </w:p>
        </w:tc>
        <w:tc>
          <w:tcPr>
            <w:tcW w:w="614" w:type="dxa"/>
            <w:tcBorders>
              <w:left w:val="single" w:sz="4" w:space="0" w:color="000000"/>
              <w:right w:val="single" w:sz="4" w:space="0" w:color="000000"/>
            </w:tcBorders>
          </w:tcPr>
          <w:p>
            <w:pPr>
              <w:pStyle w:val="TableParagraph"/>
              <w:spacing w:before="36"/>
              <w:ind w:right="154"/>
              <w:jc w:val="right"/>
              <w:rPr>
                <w:rFonts w:ascii="Arial"/>
                <w:sz w:val="9"/>
              </w:rPr>
            </w:pPr>
            <w:r>
              <w:rPr>
                <w:rFonts w:ascii="Arial"/>
                <w:color w:val="44536A"/>
                <w:w w:val="95"/>
                <w:sz w:val="9"/>
              </w:rPr>
              <w:t>1,761.2</w:t>
            </w:r>
          </w:p>
        </w:tc>
        <w:tc>
          <w:tcPr>
            <w:tcW w:w="558" w:type="dxa"/>
            <w:tcBorders>
              <w:left w:val="single" w:sz="4" w:space="0" w:color="000000"/>
              <w:right w:val="single" w:sz="4" w:space="0" w:color="000000"/>
            </w:tcBorders>
          </w:tcPr>
          <w:p>
            <w:pPr>
              <w:pStyle w:val="TableParagraph"/>
              <w:spacing w:before="36"/>
              <w:ind w:left="36" w:right="36"/>
              <w:jc w:val="center"/>
              <w:rPr>
                <w:rFonts w:ascii="Arial"/>
                <w:sz w:val="9"/>
              </w:rPr>
            </w:pPr>
            <w:r>
              <w:rPr>
                <w:rFonts w:ascii="Arial"/>
                <w:color w:val="44536A"/>
                <w:sz w:val="9"/>
              </w:rPr>
              <w:t>2,237.8</w:t>
            </w:r>
          </w:p>
        </w:tc>
        <w:tc>
          <w:tcPr>
            <w:tcW w:w="597" w:type="dxa"/>
            <w:tcBorders>
              <w:left w:val="single" w:sz="4" w:space="0" w:color="000000"/>
              <w:right w:val="single" w:sz="4" w:space="0" w:color="000000"/>
            </w:tcBorders>
          </w:tcPr>
          <w:p>
            <w:pPr>
              <w:pStyle w:val="TableParagraph"/>
              <w:spacing w:before="36"/>
              <w:ind w:left="82" w:right="88"/>
              <w:jc w:val="center"/>
              <w:rPr>
                <w:rFonts w:ascii="Arial"/>
                <w:sz w:val="9"/>
              </w:rPr>
            </w:pPr>
            <w:r>
              <w:rPr>
                <w:rFonts w:ascii="Arial"/>
                <w:color w:val="44536A"/>
                <w:sz w:val="9"/>
              </w:rPr>
              <w:t>3,397.9</w:t>
            </w:r>
          </w:p>
        </w:tc>
        <w:tc>
          <w:tcPr>
            <w:tcW w:w="558" w:type="dxa"/>
            <w:tcBorders>
              <w:left w:val="single" w:sz="4" w:space="0" w:color="000000"/>
              <w:right w:val="single" w:sz="4" w:space="0" w:color="000000"/>
            </w:tcBorders>
          </w:tcPr>
          <w:p>
            <w:pPr>
              <w:pStyle w:val="TableParagraph"/>
              <w:spacing w:before="36"/>
              <w:ind w:left="124"/>
              <w:rPr>
                <w:rFonts w:ascii="Arial"/>
                <w:sz w:val="9"/>
              </w:rPr>
            </w:pPr>
            <w:r>
              <w:rPr>
                <w:rFonts w:ascii="Arial"/>
                <w:color w:val="44536A"/>
                <w:sz w:val="9"/>
              </w:rPr>
              <w:t>3,600.7</w:t>
            </w:r>
          </w:p>
        </w:tc>
        <w:tc>
          <w:tcPr>
            <w:tcW w:w="558" w:type="dxa"/>
            <w:tcBorders>
              <w:left w:val="single" w:sz="4" w:space="0" w:color="000000"/>
              <w:right w:val="single" w:sz="4" w:space="0" w:color="000000"/>
            </w:tcBorders>
          </w:tcPr>
          <w:p>
            <w:pPr>
              <w:pStyle w:val="TableParagraph"/>
              <w:spacing w:before="36"/>
              <w:ind w:left="124"/>
              <w:rPr>
                <w:rFonts w:ascii="Arial"/>
                <w:sz w:val="9"/>
              </w:rPr>
            </w:pPr>
            <w:r>
              <w:rPr>
                <w:rFonts w:ascii="Arial"/>
                <w:color w:val="44536A"/>
                <w:sz w:val="9"/>
              </w:rPr>
              <w:t>3,851.6</w:t>
            </w:r>
          </w:p>
        </w:tc>
        <w:tc>
          <w:tcPr>
            <w:tcW w:w="558" w:type="dxa"/>
            <w:tcBorders>
              <w:left w:val="single" w:sz="4" w:space="0" w:color="000000"/>
              <w:right w:val="single" w:sz="4" w:space="0" w:color="000000"/>
            </w:tcBorders>
          </w:tcPr>
          <w:p>
            <w:pPr>
              <w:pStyle w:val="TableParagraph"/>
              <w:spacing w:before="36"/>
              <w:ind w:left="36" w:right="37"/>
              <w:jc w:val="center"/>
              <w:rPr>
                <w:rFonts w:ascii="Arial"/>
                <w:sz w:val="9"/>
              </w:rPr>
            </w:pPr>
            <w:r>
              <w:rPr>
                <w:rFonts w:ascii="Arial"/>
                <w:color w:val="44536A"/>
                <w:sz w:val="9"/>
              </w:rPr>
              <w:t>4,109.0</w:t>
            </w:r>
          </w:p>
        </w:tc>
        <w:tc>
          <w:tcPr>
            <w:tcW w:w="558" w:type="dxa"/>
            <w:tcBorders>
              <w:left w:val="single" w:sz="4" w:space="0" w:color="000000"/>
              <w:right w:val="single" w:sz="4" w:space="0" w:color="000000"/>
            </w:tcBorders>
          </w:tcPr>
          <w:p>
            <w:pPr>
              <w:pStyle w:val="TableParagraph"/>
              <w:spacing w:before="36"/>
              <w:ind w:left="124"/>
              <w:rPr>
                <w:rFonts w:ascii="Arial"/>
                <w:sz w:val="9"/>
              </w:rPr>
            </w:pPr>
            <w:r>
              <w:rPr>
                <w:rFonts w:ascii="Arial"/>
                <w:color w:val="44536A"/>
                <w:sz w:val="9"/>
              </w:rPr>
              <w:t>4,397.7</w:t>
            </w:r>
          </w:p>
        </w:tc>
        <w:tc>
          <w:tcPr>
            <w:tcW w:w="561" w:type="dxa"/>
            <w:tcBorders>
              <w:left w:val="single" w:sz="4" w:space="0" w:color="000000"/>
            </w:tcBorders>
          </w:tcPr>
          <w:p>
            <w:pPr>
              <w:pStyle w:val="TableParagraph"/>
              <w:spacing w:before="36"/>
              <w:ind w:left="124"/>
              <w:rPr>
                <w:rFonts w:ascii="Arial"/>
                <w:sz w:val="9"/>
              </w:rPr>
            </w:pPr>
            <w:r>
              <w:rPr>
                <w:rFonts w:ascii="Arial"/>
                <w:color w:val="44536A"/>
                <w:sz w:val="9"/>
              </w:rPr>
              <w:t>4,707.7</w:t>
            </w:r>
          </w:p>
        </w:tc>
      </w:tr>
      <w:tr>
        <w:trPr>
          <w:trHeight w:val="163" w:hRule="atLeast"/>
        </w:trPr>
        <w:tc>
          <w:tcPr>
            <w:tcW w:w="2176" w:type="dxa"/>
            <w:vMerge/>
            <w:tcBorders>
              <w:top w:val="nil"/>
              <w:right w:val="single" w:sz="4" w:space="0" w:color="000000"/>
            </w:tcBorders>
          </w:tcPr>
          <w:p>
            <w:pPr>
              <w:rPr>
                <w:sz w:val="2"/>
                <w:szCs w:val="2"/>
              </w:rPr>
            </w:pPr>
          </w:p>
        </w:tc>
        <w:tc>
          <w:tcPr>
            <w:tcW w:w="653" w:type="dxa"/>
            <w:tcBorders>
              <w:left w:val="single" w:sz="4" w:space="0" w:color="000000"/>
              <w:right w:val="single" w:sz="4" w:space="0" w:color="000000"/>
            </w:tcBorders>
          </w:tcPr>
          <w:p>
            <w:pPr>
              <w:pStyle w:val="TableParagraph"/>
              <w:spacing w:before="33"/>
              <w:ind w:right="209"/>
              <w:jc w:val="right"/>
              <w:rPr>
                <w:rFonts w:ascii="Arial"/>
                <w:sz w:val="9"/>
              </w:rPr>
            </w:pPr>
            <w:r>
              <w:rPr>
                <w:rFonts w:ascii="Arial"/>
                <w:color w:val="44536A"/>
                <w:sz w:val="9"/>
              </w:rPr>
              <w:t>363.6</w:t>
            </w:r>
          </w:p>
        </w:tc>
        <w:tc>
          <w:tcPr>
            <w:tcW w:w="614" w:type="dxa"/>
            <w:tcBorders>
              <w:left w:val="single" w:sz="4" w:space="0" w:color="000000"/>
              <w:right w:val="single" w:sz="4" w:space="0" w:color="000000"/>
            </w:tcBorders>
          </w:tcPr>
          <w:p>
            <w:pPr>
              <w:pStyle w:val="TableParagraph"/>
              <w:spacing w:before="33"/>
              <w:ind w:right="193"/>
              <w:jc w:val="right"/>
              <w:rPr>
                <w:rFonts w:ascii="Arial"/>
                <w:sz w:val="9"/>
              </w:rPr>
            </w:pPr>
            <w:r>
              <w:rPr>
                <w:rFonts w:ascii="Arial"/>
                <w:color w:val="44536A"/>
                <w:sz w:val="9"/>
              </w:rPr>
              <w:t>425.6</w:t>
            </w:r>
          </w:p>
        </w:tc>
        <w:tc>
          <w:tcPr>
            <w:tcW w:w="558" w:type="dxa"/>
            <w:tcBorders>
              <w:left w:val="single" w:sz="4" w:space="0" w:color="000000"/>
              <w:right w:val="single" w:sz="4" w:space="0" w:color="000000"/>
            </w:tcBorders>
          </w:tcPr>
          <w:p>
            <w:pPr>
              <w:pStyle w:val="TableParagraph"/>
              <w:spacing w:before="33"/>
              <w:ind w:left="36" w:right="42"/>
              <w:jc w:val="center"/>
              <w:rPr>
                <w:rFonts w:ascii="Arial"/>
                <w:sz w:val="9"/>
              </w:rPr>
            </w:pPr>
            <w:r>
              <w:rPr>
                <w:rFonts w:ascii="Arial"/>
                <w:color w:val="44536A"/>
                <w:sz w:val="9"/>
              </w:rPr>
              <w:t>464.2</w:t>
            </w:r>
          </w:p>
        </w:tc>
        <w:tc>
          <w:tcPr>
            <w:tcW w:w="597" w:type="dxa"/>
            <w:tcBorders>
              <w:left w:val="single" w:sz="4" w:space="0" w:color="000000"/>
              <w:right w:val="single" w:sz="4" w:space="0" w:color="000000"/>
            </w:tcBorders>
          </w:tcPr>
          <w:p>
            <w:pPr>
              <w:pStyle w:val="TableParagraph"/>
              <w:spacing w:before="33"/>
              <w:ind w:left="82" w:right="83"/>
              <w:jc w:val="center"/>
              <w:rPr>
                <w:rFonts w:ascii="Arial"/>
                <w:sz w:val="9"/>
              </w:rPr>
            </w:pPr>
            <w:r>
              <w:rPr>
                <w:rFonts w:ascii="Arial"/>
                <w:color w:val="44536A"/>
                <w:sz w:val="9"/>
              </w:rPr>
              <w:t>552.4</w:t>
            </w:r>
          </w:p>
        </w:tc>
        <w:tc>
          <w:tcPr>
            <w:tcW w:w="558" w:type="dxa"/>
            <w:tcBorders>
              <w:left w:val="single" w:sz="4" w:space="0" w:color="000000"/>
              <w:right w:val="single" w:sz="4" w:space="0" w:color="000000"/>
            </w:tcBorders>
          </w:tcPr>
          <w:p>
            <w:pPr>
              <w:pStyle w:val="TableParagraph"/>
              <w:spacing w:before="33"/>
              <w:ind w:left="158"/>
              <w:rPr>
                <w:rFonts w:ascii="Arial"/>
                <w:sz w:val="9"/>
              </w:rPr>
            </w:pPr>
            <w:r>
              <w:rPr>
                <w:rFonts w:ascii="Arial"/>
                <w:color w:val="44536A"/>
                <w:sz w:val="9"/>
              </w:rPr>
              <w:t>582.0</w:t>
            </w:r>
          </w:p>
        </w:tc>
        <w:tc>
          <w:tcPr>
            <w:tcW w:w="558" w:type="dxa"/>
            <w:tcBorders>
              <w:left w:val="single" w:sz="4" w:space="0" w:color="000000"/>
              <w:right w:val="single" w:sz="4" w:space="0" w:color="000000"/>
            </w:tcBorders>
          </w:tcPr>
          <w:p>
            <w:pPr>
              <w:pStyle w:val="TableParagraph"/>
              <w:spacing w:before="33"/>
              <w:ind w:left="158"/>
              <w:rPr>
                <w:rFonts w:ascii="Arial"/>
                <w:sz w:val="9"/>
              </w:rPr>
            </w:pPr>
            <w:r>
              <w:rPr>
                <w:rFonts w:ascii="Arial"/>
                <w:color w:val="44536A"/>
                <w:sz w:val="9"/>
              </w:rPr>
              <w:t>618.1</w:t>
            </w:r>
          </w:p>
        </w:tc>
        <w:tc>
          <w:tcPr>
            <w:tcW w:w="558" w:type="dxa"/>
            <w:tcBorders>
              <w:left w:val="single" w:sz="4" w:space="0" w:color="000000"/>
              <w:right w:val="single" w:sz="4" w:space="0" w:color="000000"/>
            </w:tcBorders>
          </w:tcPr>
          <w:p>
            <w:pPr>
              <w:pStyle w:val="TableParagraph"/>
              <w:spacing w:before="33"/>
              <w:ind w:left="36" w:right="43"/>
              <w:jc w:val="center"/>
              <w:rPr>
                <w:rFonts w:ascii="Arial"/>
                <w:sz w:val="9"/>
              </w:rPr>
            </w:pPr>
            <w:r>
              <w:rPr>
                <w:rFonts w:ascii="Arial"/>
                <w:color w:val="44536A"/>
                <w:sz w:val="9"/>
              </w:rPr>
              <w:t>656.6</w:t>
            </w:r>
          </w:p>
        </w:tc>
        <w:tc>
          <w:tcPr>
            <w:tcW w:w="558" w:type="dxa"/>
            <w:tcBorders>
              <w:left w:val="single" w:sz="4" w:space="0" w:color="000000"/>
              <w:right w:val="single" w:sz="4" w:space="0" w:color="000000"/>
            </w:tcBorders>
          </w:tcPr>
          <w:p>
            <w:pPr>
              <w:pStyle w:val="TableParagraph"/>
              <w:spacing w:before="33"/>
              <w:ind w:left="158"/>
              <w:rPr>
                <w:rFonts w:ascii="Arial"/>
                <w:sz w:val="9"/>
              </w:rPr>
            </w:pPr>
            <w:r>
              <w:rPr>
                <w:rFonts w:ascii="Arial"/>
                <w:color w:val="44536A"/>
                <w:sz w:val="9"/>
              </w:rPr>
              <w:t>698.7</w:t>
            </w:r>
          </w:p>
        </w:tc>
        <w:tc>
          <w:tcPr>
            <w:tcW w:w="561" w:type="dxa"/>
            <w:tcBorders>
              <w:left w:val="single" w:sz="4" w:space="0" w:color="000000"/>
            </w:tcBorders>
          </w:tcPr>
          <w:p>
            <w:pPr>
              <w:pStyle w:val="TableParagraph"/>
              <w:spacing w:before="33"/>
              <w:ind w:left="157"/>
              <w:rPr>
                <w:rFonts w:ascii="Arial"/>
                <w:sz w:val="9"/>
              </w:rPr>
            </w:pPr>
            <w:r>
              <w:rPr>
                <w:rFonts w:ascii="Arial"/>
                <w:color w:val="44536A"/>
                <w:sz w:val="9"/>
              </w:rPr>
              <w:t>743.5</w:t>
            </w:r>
          </w:p>
        </w:tc>
      </w:tr>
      <w:tr>
        <w:trPr>
          <w:trHeight w:val="169" w:hRule="atLeast"/>
        </w:trPr>
        <w:tc>
          <w:tcPr>
            <w:tcW w:w="2176" w:type="dxa"/>
            <w:tcBorders>
              <w:bottom w:val="single" w:sz="4" w:space="0" w:color="FFFFFF"/>
              <w:right w:val="single" w:sz="4" w:space="0" w:color="000000"/>
            </w:tcBorders>
            <w:shd w:val="clear" w:color="auto" w:fill="44536A"/>
          </w:tcPr>
          <w:p>
            <w:pPr>
              <w:pStyle w:val="TableParagraph"/>
              <w:spacing w:before="36"/>
              <w:ind w:left="410"/>
              <w:rPr>
                <w:rFonts w:ascii="Arial"/>
                <w:b/>
                <w:sz w:val="9"/>
              </w:rPr>
            </w:pPr>
            <w:r>
              <w:rPr>
                <w:rFonts w:ascii="Arial"/>
                <w:b/>
                <w:color w:val="FFFFFF"/>
                <w:sz w:val="9"/>
              </w:rPr>
              <w:t>TOTAL DE INGRESOS BRUTOS</w:t>
            </w:r>
          </w:p>
        </w:tc>
        <w:tc>
          <w:tcPr>
            <w:tcW w:w="653" w:type="dxa"/>
            <w:tcBorders>
              <w:left w:val="single" w:sz="4" w:space="0" w:color="000000"/>
              <w:bottom w:val="single" w:sz="4" w:space="0" w:color="FFFFFF"/>
              <w:right w:val="single" w:sz="4" w:space="0" w:color="000000"/>
            </w:tcBorders>
            <w:shd w:val="clear" w:color="auto" w:fill="44536A"/>
          </w:tcPr>
          <w:p>
            <w:pPr>
              <w:pStyle w:val="TableParagraph"/>
              <w:spacing w:before="36"/>
              <w:ind w:right="148"/>
              <w:jc w:val="right"/>
              <w:rPr>
                <w:rFonts w:ascii="Arial"/>
                <w:b/>
                <w:sz w:val="9"/>
              </w:rPr>
            </w:pPr>
            <w:r>
              <w:rPr>
                <w:rFonts w:ascii="Arial"/>
                <w:b/>
                <w:color w:val="FFFFFF"/>
                <w:w w:val="95"/>
                <w:sz w:val="9"/>
              </w:rPr>
              <w:t>64,900.9</w:t>
            </w:r>
          </w:p>
        </w:tc>
        <w:tc>
          <w:tcPr>
            <w:tcW w:w="614" w:type="dxa"/>
            <w:tcBorders>
              <w:left w:val="single" w:sz="4" w:space="0" w:color="000000"/>
              <w:bottom w:val="single" w:sz="4" w:space="0" w:color="FFFFFF"/>
              <w:right w:val="single" w:sz="4" w:space="0" w:color="000000"/>
            </w:tcBorders>
            <w:shd w:val="clear" w:color="auto" w:fill="44536A"/>
          </w:tcPr>
          <w:p>
            <w:pPr>
              <w:pStyle w:val="TableParagraph"/>
              <w:spacing w:before="36"/>
              <w:ind w:right="131"/>
              <w:jc w:val="right"/>
              <w:rPr>
                <w:rFonts w:ascii="Arial"/>
                <w:b/>
                <w:sz w:val="9"/>
              </w:rPr>
            </w:pPr>
            <w:r>
              <w:rPr>
                <w:rFonts w:ascii="Arial"/>
                <w:b/>
                <w:color w:val="FFFFFF"/>
                <w:w w:val="95"/>
                <w:sz w:val="9"/>
              </w:rPr>
              <w:t>62,466.2</w:t>
            </w:r>
          </w:p>
        </w:tc>
        <w:tc>
          <w:tcPr>
            <w:tcW w:w="558" w:type="dxa"/>
            <w:tcBorders>
              <w:left w:val="single" w:sz="4" w:space="0" w:color="000000"/>
              <w:bottom w:val="single" w:sz="4" w:space="0" w:color="FFFFFF"/>
              <w:right w:val="single" w:sz="4" w:space="0" w:color="000000"/>
            </w:tcBorders>
            <w:shd w:val="clear" w:color="auto" w:fill="44536A"/>
          </w:tcPr>
          <w:p>
            <w:pPr>
              <w:pStyle w:val="TableParagraph"/>
              <w:spacing w:before="36"/>
              <w:ind w:left="36" w:right="43"/>
              <w:jc w:val="center"/>
              <w:rPr>
                <w:rFonts w:ascii="Arial"/>
                <w:b/>
                <w:sz w:val="9"/>
              </w:rPr>
            </w:pPr>
            <w:r>
              <w:rPr>
                <w:rFonts w:ascii="Arial"/>
                <w:b/>
                <w:color w:val="FFFFFF"/>
                <w:sz w:val="9"/>
              </w:rPr>
              <w:t>80,721.1</w:t>
            </w:r>
          </w:p>
        </w:tc>
        <w:tc>
          <w:tcPr>
            <w:tcW w:w="597" w:type="dxa"/>
            <w:tcBorders>
              <w:left w:val="single" w:sz="4" w:space="0" w:color="000000"/>
              <w:bottom w:val="single" w:sz="4" w:space="0" w:color="44536A"/>
              <w:right w:val="single" w:sz="4" w:space="0" w:color="000000"/>
            </w:tcBorders>
            <w:shd w:val="clear" w:color="auto" w:fill="2F5395"/>
          </w:tcPr>
          <w:p>
            <w:pPr>
              <w:pStyle w:val="TableParagraph"/>
              <w:spacing w:before="36"/>
              <w:ind w:left="82" w:right="83"/>
              <w:jc w:val="center"/>
              <w:rPr>
                <w:rFonts w:ascii="Arial"/>
                <w:b/>
                <w:sz w:val="9"/>
              </w:rPr>
            </w:pPr>
            <w:r>
              <w:rPr>
                <w:rFonts w:ascii="Arial"/>
                <w:b/>
                <w:color w:val="FFFFFF"/>
                <w:sz w:val="9"/>
              </w:rPr>
              <w:t>86,823.2</w:t>
            </w:r>
          </w:p>
        </w:tc>
        <w:tc>
          <w:tcPr>
            <w:tcW w:w="558" w:type="dxa"/>
            <w:tcBorders>
              <w:left w:val="single" w:sz="4" w:space="0" w:color="000000"/>
              <w:bottom w:val="single" w:sz="4" w:space="0" w:color="44536A"/>
              <w:right w:val="single" w:sz="4" w:space="0" w:color="000000"/>
            </w:tcBorders>
            <w:shd w:val="clear" w:color="auto" w:fill="2F5395"/>
          </w:tcPr>
          <w:p>
            <w:pPr>
              <w:pStyle w:val="TableParagraph"/>
              <w:spacing w:before="36"/>
              <w:ind w:left="97"/>
              <w:rPr>
                <w:rFonts w:ascii="Arial"/>
                <w:b/>
                <w:sz w:val="9"/>
              </w:rPr>
            </w:pPr>
            <w:r>
              <w:rPr>
                <w:rFonts w:ascii="Arial"/>
                <w:b/>
                <w:color w:val="FFFFFF"/>
                <w:sz w:val="9"/>
              </w:rPr>
              <w:t>90,685.6</w:t>
            </w:r>
          </w:p>
        </w:tc>
        <w:tc>
          <w:tcPr>
            <w:tcW w:w="558" w:type="dxa"/>
            <w:tcBorders>
              <w:left w:val="single" w:sz="4" w:space="0" w:color="000000"/>
              <w:bottom w:val="single" w:sz="4" w:space="0" w:color="44536A"/>
              <w:right w:val="single" w:sz="4" w:space="0" w:color="000000"/>
            </w:tcBorders>
            <w:shd w:val="clear" w:color="auto" w:fill="2F5395"/>
          </w:tcPr>
          <w:p>
            <w:pPr>
              <w:pStyle w:val="TableParagraph"/>
              <w:spacing w:before="36"/>
              <w:ind w:left="97"/>
              <w:rPr>
                <w:rFonts w:ascii="Arial"/>
                <w:b/>
                <w:sz w:val="9"/>
              </w:rPr>
            </w:pPr>
            <w:r>
              <w:rPr>
                <w:rFonts w:ascii="Arial"/>
                <w:b/>
                <w:color w:val="FFFFFF"/>
                <w:sz w:val="9"/>
              </w:rPr>
              <w:t>99,574.0</w:t>
            </w:r>
          </w:p>
        </w:tc>
        <w:tc>
          <w:tcPr>
            <w:tcW w:w="558" w:type="dxa"/>
            <w:tcBorders>
              <w:left w:val="single" w:sz="4" w:space="0" w:color="000000"/>
              <w:bottom w:val="single" w:sz="4" w:space="0" w:color="44536A"/>
              <w:right w:val="single" w:sz="4" w:space="0" w:color="000000"/>
            </w:tcBorders>
            <w:shd w:val="clear" w:color="auto" w:fill="2F5395"/>
          </w:tcPr>
          <w:p>
            <w:pPr>
              <w:pStyle w:val="TableParagraph"/>
              <w:spacing w:before="36"/>
              <w:ind w:left="36" w:right="38"/>
              <w:jc w:val="center"/>
              <w:rPr>
                <w:rFonts w:ascii="Arial"/>
                <w:b/>
                <w:sz w:val="9"/>
              </w:rPr>
            </w:pPr>
            <w:r>
              <w:rPr>
                <w:rFonts w:ascii="Arial"/>
                <w:b/>
                <w:color w:val="FFFFFF"/>
                <w:sz w:val="9"/>
              </w:rPr>
              <w:t>105,769.6</w:t>
            </w:r>
          </w:p>
        </w:tc>
        <w:tc>
          <w:tcPr>
            <w:tcW w:w="558" w:type="dxa"/>
            <w:tcBorders>
              <w:left w:val="single" w:sz="4" w:space="0" w:color="000000"/>
              <w:bottom w:val="single" w:sz="4" w:space="0" w:color="44536A"/>
              <w:right w:val="single" w:sz="4" w:space="0" w:color="000000"/>
            </w:tcBorders>
            <w:shd w:val="clear" w:color="auto" w:fill="2F5395"/>
          </w:tcPr>
          <w:p>
            <w:pPr>
              <w:pStyle w:val="TableParagraph"/>
              <w:spacing w:before="36"/>
              <w:ind w:left="74"/>
              <w:rPr>
                <w:rFonts w:ascii="Arial"/>
                <w:b/>
                <w:sz w:val="9"/>
              </w:rPr>
            </w:pPr>
            <w:r>
              <w:rPr>
                <w:rFonts w:ascii="Arial"/>
                <w:b/>
                <w:color w:val="FFFFFF"/>
                <w:sz w:val="9"/>
              </w:rPr>
              <w:t>112,573.2</w:t>
            </w:r>
          </w:p>
        </w:tc>
        <w:tc>
          <w:tcPr>
            <w:tcW w:w="561" w:type="dxa"/>
            <w:tcBorders>
              <w:left w:val="single" w:sz="4" w:space="0" w:color="000000"/>
              <w:bottom w:val="single" w:sz="4" w:space="0" w:color="44536A"/>
            </w:tcBorders>
            <w:shd w:val="clear" w:color="auto" w:fill="2F5395"/>
          </w:tcPr>
          <w:p>
            <w:pPr>
              <w:pStyle w:val="TableParagraph"/>
              <w:spacing w:before="36"/>
              <w:ind w:left="74"/>
              <w:rPr>
                <w:rFonts w:ascii="Arial"/>
                <w:b/>
                <w:sz w:val="9"/>
              </w:rPr>
            </w:pPr>
            <w:r>
              <w:rPr>
                <w:rFonts w:ascii="Arial"/>
                <w:b/>
                <w:color w:val="FFFFFF"/>
                <w:sz w:val="9"/>
              </w:rPr>
              <w:t>119,862.0</w:t>
            </w:r>
          </w:p>
        </w:tc>
      </w:tr>
    </w:tbl>
    <w:p>
      <w:pPr>
        <w:spacing w:before="30"/>
        <w:ind w:left="1387" w:right="0" w:firstLine="0"/>
        <w:jc w:val="left"/>
        <w:rPr>
          <w:i/>
          <w:sz w:val="16"/>
        </w:rPr>
      </w:pPr>
      <w:r>
        <w:rPr/>
        <w:pict>
          <v:rect style="position:absolute;margin-left:121.478737pt;margin-top:-60.482616pt;width:199.998415pt;height:8.883614pt;mso-position-horizontal-relative:page;mso-position-vertical-relative:paragraph;z-index:-280134656" filled="true" fillcolor="#8496af" stroked="false">
            <v:fill type="solid"/>
            <w10:wrap type="none"/>
          </v:rect>
        </w:pict>
      </w:r>
      <w:r>
        <w:rPr/>
        <w:pict>
          <v:rect style="position:absolute;margin-left:121.478737pt;margin-top:-34.681396pt;width:199.998415pt;height:8.883614pt;mso-position-horizontal-relative:page;mso-position-vertical-relative:paragraph;z-index:-280133632" filled="true" fillcolor="#44536a" stroked="false">
            <v:fill type="solid"/>
            <w10:wrap type="none"/>
          </v:rect>
        </w:pict>
      </w:r>
      <w:r>
        <w:rPr>
          <w:i/>
          <w:sz w:val="16"/>
        </w:rPr>
        <w:t>Fuente: Dirección de Análisis y Política Fiscal.</w:t>
      </w:r>
    </w:p>
    <w:p>
      <w:pPr>
        <w:spacing w:after="0"/>
        <w:jc w:val="left"/>
        <w:rPr>
          <w:sz w:val="16"/>
        </w:rPr>
        <w:sectPr>
          <w:pgSz w:w="12240" w:h="15840"/>
          <w:pgMar w:header="715" w:footer="688" w:top="1240" w:bottom="880" w:left="1140" w:right="0"/>
        </w:sectPr>
      </w:pPr>
    </w:p>
    <w:p>
      <w:pPr>
        <w:pStyle w:val="BodyText"/>
        <w:rPr>
          <w:i/>
          <w:sz w:val="20"/>
        </w:rPr>
      </w:pPr>
    </w:p>
    <w:p>
      <w:pPr>
        <w:pStyle w:val="BodyText"/>
        <w:rPr>
          <w:i/>
          <w:sz w:val="20"/>
        </w:rPr>
      </w:pPr>
    </w:p>
    <w:p>
      <w:pPr>
        <w:pStyle w:val="BodyText"/>
        <w:rPr>
          <w:i/>
          <w:sz w:val="20"/>
        </w:rPr>
      </w:pPr>
    </w:p>
    <w:p>
      <w:pPr>
        <w:pStyle w:val="BodyText"/>
        <w:spacing w:before="9"/>
        <w:rPr>
          <w:i/>
          <w:sz w:val="23"/>
        </w:rPr>
      </w:pPr>
    </w:p>
    <w:p>
      <w:pPr>
        <w:spacing w:before="0"/>
        <w:ind w:left="0" w:right="0" w:firstLine="0"/>
        <w:jc w:val="right"/>
        <w:rPr>
          <w:sz w:val="18"/>
        </w:rPr>
      </w:pPr>
      <w:bookmarkStart w:name="_bookmark214" w:id="277"/>
      <w:bookmarkEnd w:id="277"/>
      <w:r>
        <w:rPr/>
      </w:r>
      <w:r>
        <w:rPr>
          <w:color w:val="585858"/>
          <w:sz w:val="18"/>
        </w:rPr>
        <w:t>12.5%</w:t>
      </w:r>
    </w:p>
    <w:p>
      <w:pPr>
        <w:spacing w:before="167"/>
        <w:ind w:left="720" w:right="3860" w:firstLine="0"/>
        <w:jc w:val="center"/>
        <w:rPr>
          <w:b/>
          <w:i/>
          <w:sz w:val="24"/>
        </w:rPr>
      </w:pPr>
      <w:r>
        <w:rPr/>
        <w:br w:type="column"/>
      </w:r>
      <w:r>
        <w:rPr>
          <w:b/>
          <w:i/>
          <w:sz w:val="20"/>
        </w:rPr>
        <w:t>Gráfico </w:t>
      </w:r>
      <w:r>
        <w:rPr>
          <w:b/>
          <w:sz w:val="20"/>
        </w:rPr>
        <w:t>105</w:t>
      </w:r>
      <w:r>
        <w:rPr>
          <w:b/>
          <w:i/>
          <w:sz w:val="20"/>
        </w:rPr>
        <w:t>. </w:t>
      </w:r>
      <w:r>
        <w:rPr>
          <w:b/>
          <w:sz w:val="24"/>
        </w:rPr>
        <w:t>Carga tributaria escenario </w:t>
      </w:r>
      <w:r>
        <w:rPr>
          <w:b/>
          <w:i/>
          <w:sz w:val="24"/>
        </w:rPr>
        <w:t>medio</w:t>
      </w:r>
    </w:p>
    <w:p>
      <w:pPr>
        <w:spacing w:before="37"/>
        <w:ind w:left="720" w:right="3860" w:firstLine="0"/>
        <w:jc w:val="center"/>
        <w:rPr>
          <w:i/>
          <w:sz w:val="18"/>
        </w:rPr>
      </w:pPr>
      <w:r>
        <w:rPr>
          <w:i/>
          <w:color w:val="44536A"/>
          <w:sz w:val="18"/>
        </w:rPr>
        <w:t>2019 – 2027</w:t>
      </w:r>
    </w:p>
    <w:p>
      <w:pPr>
        <w:spacing w:before="31"/>
        <w:ind w:left="720" w:right="3858" w:firstLine="0"/>
        <w:jc w:val="center"/>
        <w:rPr>
          <w:i/>
          <w:sz w:val="18"/>
        </w:rPr>
      </w:pPr>
      <w:r>
        <w:rPr>
          <w:i/>
          <w:color w:val="44536A"/>
          <w:sz w:val="18"/>
        </w:rPr>
        <w:t>Porcentajes del PIB</w:t>
      </w:r>
    </w:p>
    <w:p>
      <w:pPr>
        <w:spacing w:after="0"/>
        <w:jc w:val="center"/>
        <w:rPr>
          <w:sz w:val="18"/>
        </w:rPr>
        <w:sectPr>
          <w:pgSz w:w="12240" w:h="15840"/>
          <w:pgMar w:header="715" w:footer="688" w:top="1240" w:bottom="880" w:left="1140" w:right="0"/>
          <w:cols w:num="2" w:equalWidth="0">
            <w:col w:w="1964" w:space="40"/>
            <w:col w:w="9096"/>
          </w:cols>
        </w:sectPr>
      </w:pPr>
    </w:p>
    <w:p>
      <w:pPr>
        <w:pStyle w:val="BodyText"/>
        <w:spacing w:before="9"/>
        <w:rPr>
          <w:i/>
          <w:sz w:val="14"/>
        </w:rPr>
      </w:pPr>
    </w:p>
    <w:p>
      <w:pPr>
        <w:spacing w:before="92"/>
        <w:ind w:left="1499" w:right="0" w:firstLine="0"/>
        <w:jc w:val="left"/>
        <w:rPr>
          <w:sz w:val="18"/>
        </w:rPr>
      </w:pPr>
      <w:r>
        <w:rPr/>
        <w:pict>
          <v:group style="position:absolute;margin-left:162.479996pt;margin-top:-13.637653pt;width:318.75pt;height:141.4pt;mso-position-horizontal-relative:page;mso-position-vertical-relative:paragraph;z-index:253204480" coordorigin="3250,-273" coordsize="6375,2828">
            <v:shape style="position:absolute;left:3256;top:-266;width:6360;height:2813" type="#_x0000_t75" stroked="false">
              <v:imagedata r:id="rId317" o:title=""/>
            </v:shape>
            <v:shape style="position:absolute;left:0;top:10904;width:6360;height:2345" coordorigin="0,10904" coordsize="6360,2345" path="m3257,2079l9617,2079m3257,1609l9617,1609m3257,1141l9617,1141m3257,673l9617,673m3257,202l9617,202m3257,-266l9617,-266e" filled="false" stroked="true" strokeweight=".72pt" strokecolor="#d9d9d9">
              <v:path arrowok="t"/>
              <v:stroke dashstyle="solid"/>
            </v:shape>
            <v:shape style="position:absolute;left:0;top:13248;width:5655;height:2813" coordorigin="0,13249" coordsize="5655,2813" path="m3610,-266l3610,2547m4318,-266l4318,2547m5023,-266l5023,2547m5731,-266l5731,2547m6437,-266l6437,2547m7142,-266l7142,2547m7850,-266l7850,2547m8556,-266l8556,2547m9264,-266l9264,2547e" filled="false" stroked="true" strokeweight=".72pt" strokecolor="#d9d9d9">
              <v:path arrowok="t"/>
              <v:stroke dashstyle="solid"/>
            </v:shape>
            <v:shape style="position:absolute;left:0;top:13248;width:6360;height:2813" coordorigin="0,13249" coordsize="6360,2813" path="m3257,-266l3257,2547m3965,-266l3965,2547m4670,-266l4670,2547m5376,-266l5376,2547m6084,-266l6084,2547m6790,-266l6790,2547m7498,-266l7498,2547m8203,-266l8203,2547m8911,-266l8911,2547m9617,-266l9617,2547e" filled="false" stroked="true" strokeweight=".72pt" strokecolor="#d9d9d9">
              <v:path arrowok="t"/>
              <v:stroke dashstyle="solid"/>
            </v:shape>
            <v:line style="position:absolute" from="3257,2547" to="9617,2547" stroked="true" strokeweight=".72pt" strokecolor="#d9d9d9">
              <v:stroke dashstyle="solid"/>
            </v:line>
            <v:shape style="position:absolute;left:3552;top:396;width:5841;height:1757" type="#_x0000_t75" stroked="false">
              <v:imagedata r:id="rId318" o:title=""/>
            </v:shape>
            <v:shape style="position:absolute;left:3496;top:1402;width:303;height:303" type="#_x0000_t75" stroked="false">
              <v:imagedata r:id="rId311" o:title=""/>
            </v:shape>
            <v:shape style="position:absolute;left:4204;top:1911;width:303;height:303" type="#_x0000_t75" stroked="false">
              <v:imagedata r:id="rId311" o:title=""/>
            </v:shape>
            <v:shape style="position:absolute;left:4910;top:341;width:303;height:303" type="#_x0000_t75" stroked="false">
              <v:imagedata r:id="rId311" o:title=""/>
            </v:shape>
            <v:shape style="position:absolute;left:5618;top:394;width:303;height:303" type="#_x0000_t75" stroked="false">
              <v:imagedata r:id="rId311" o:title=""/>
            </v:shape>
            <v:shape style="position:absolute;left:6324;top:836;width:303;height:303" type="#_x0000_t75" stroked="false">
              <v:imagedata r:id="rId311" o:title=""/>
            </v:shape>
            <v:shape style="position:absolute;left:7029;top:452;width:303;height:303" type="#_x0000_t75" stroked="false">
              <v:imagedata r:id="rId311" o:title=""/>
            </v:shape>
            <v:shape style="position:absolute;left:7737;top:454;width:303;height:303" type="#_x0000_t75" stroked="false">
              <v:imagedata r:id="rId311" o:title=""/>
            </v:shape>
            <v:shape style="position:absolute;left:8443;top:456;width:303;height:303" type="#_x0000_t75" stroked="false">
              <v:imagedata r:id="rId311" o:title=""/>
            </v:shape>
            <v:shape style="position:absolute;left:9151;top:454;width:303;height:303" type="#_x0000_t75" stroked="false">
              <v:imagedata r:id="rId311" o:title=""/>
            </v:shape>
            <v:shape style="position:absolute;left:3610;top:455;width:5652;height:1568" coordorigin="3611,456" coordsize="5652,1568" path="m3611,1514l4316,2023,5024,456,5730,508,6438,948,7144,566,7849,568,8557,571,9263,568e" filled="false" stroked="true" strokeweight="1.8pt" strokecolor="#5b9bd4">
              <v:path arrowok="t"/>
              <v:stroke dashstyle="solid"/>
            </v:shape>
            <v:shape style="position:absolute;left:3535;top:1440;width:142;height:142" type="#_x0000_t75" stroked="false">
              <v:imagedata r:id="rId312" o:title=""/>
            </v:shape>
            <v:shape style="position:absolute;left:4243;top:1949;width:142;height:142" type="#_x0000_t75" stroked="false">
              <v:imagedata r:id="rId312" o:title=""/>
            </v:shape>
            <v:shape style="position:absolute;left:4948;top:380;width:142;height:142" type="#_x0000_t75" stroked="false">
              <v:imagedata r:id="rId312" o:title=""/>
            </v:shape>
            <v:shape style="position:absolute;left:5656;top:432;width:142;height:142" type="#_x0000_t75" stroked="false">
              <v:imagedata r:id="rId312" o:title=""/>
            </v:shape>
            <v:shape style="position:absolute;left:6362;top:874;width:142;height:142" type="#_x0000_t75" stroked="false">
              <v:imagedata r:id="rId312" o:title=""/>
            </v:shape>
            <v:shape style="position:absolute;left:7068;top:490;width:142;height:142" type="#_x0000_t75" stroked="false">
              <v:imagedata r:id="rId312" o:title=""/>
            </v:shape>
            <v:shape style="position:absolute;left:7776;top:492;width:142;height:142" type="#_x0000_t75" stroked="false">
              <v:imagedata r:id="rId312" o:title=""/>
            </v:shape>
            <v:shape style="position:absolute;left:8481;top:495;width:142;height:142" type="#_x0000_t75" stroked="false">
              <v:imagedata r:id="rId312" o:title=""/>
            </v:shape>
            <v:shape style="position:absolute;left:9189;top:492;width:142;height:142" type="#_x0000_t75" stroked="false">
              <v:imagedata r:id="rId312" o:title=""/>
            </v:shape>
            <v:shape style="position:absolute;left:5730;top:438;width:3533;height:377" coordorigin="5730,439" coordsize="3533,377" path="m5730,508l6438,816,7144,441,7849,444,8557,444,9263,439e" filled="false" stroked="true" strokeweight="1.56pt" strokecolor="#ff0000">
              <v:path arrowok="t"/>
              <v:stroke dashstyle="solid"/>
            </v:shape>
            <v:shape style="position:absolute;left:5666;top:443;width:130;height:130" type="#_x0000_t75" stroked="false">
              <v:imagedata r:id="rId319" o:title=""/>
            </v:shape>
            <v:shape style="position:absolute;left:6372;top:750;width:130;height:130" type="#_x0000_t75" stroked="false">
              <v:imagedata r:id="rId320" o:title=""/>
            </v:shape>
            <v:shape style="position:absolute;left:7077;top:376;width:130;height:130" type="#_x0000_t75" stroked="false">
              <v:imagedata r:id="rId320" o:title=""/>
            </v:shape>
            <v:shape style="position:absolute;left:7785;top:378;width:130;height:130" type="#_x0000_t75" stroked="false">
              <v:imagedata r:id="rId320" o:title=""/>
            </v:shape>
            <v:shape style="position:absolute;left:8491;top:381;width:130;height:130" type="#_x0000_t75" stroked="false">
              <v:imagedata r:id="rId321" o:title=""/>
            </v:shape>
            <v:shape style="position:absolute;left:9199;top:376;width:130;height:130" type="#_x0000_t75" stroked="false">
              <v:imagedata r:id="rId320" o:title=""/>
            </v:shape>
            <v:shape style="position:absolute;left:6881;top:111;width:2668;height:182" type="#_x0000_t202" filled="false" stroked="false">
              <v:textbox inset="0,0,0,0">
                <w:txbxContent>
                  <w:p>
                    <w:pPr>
                      <w:spacing w:line="182" w:lineRule="exact" w:before="0"/>
                      <w:ind w:left="0" w:right="0" w:firstLine="0"/>
                      <w:jc w:val="left"/>
                      <w:rPr>
                        <w:b/>
                        <w:sz w:val="16"/>
                      </w:rPr>
                    </w:pPr>
                    <w:r>
                      <w:rPr>
                        <w:b/>
                        <w:color w:val="FF0000"/>
                        <w:sz w:val="16"/>
                      </w:rPr>
                      <w:t>11.75% 11.74% 11.74% 11.75%</w:t>
                    </w:r>
                  </w:p>
                </w:txbxContent>
              </v:textbox>
              <w10:wrap type="none"/>
            </v:shape>
            <v:shape style="position:absolute;left:6444;top:1148;width:339;height:454" type="#_x0000_t202" filled="false" stroked="false">
              <v:textbox inset="0,0,0,0">
                <w:txbxContent>
                  <w:p>
                    <w:pPr>
                      <w:spacing w:line="135" w:lineRule="exact" w:before="0"/>
                      <w:ind w:left="15" w:right="0" w:firstLine="0"/>
                      <w:jc w:val="left"/>
                      <w:rPr>
                        <w:b/>
                        <w:sz w:val="16"/>
                      </w:rPr>
                    </w:pPr>
                    <w:r>
                      <w:rPr>
                        <w:b/>
                        <w:color w:val="006FC0"/>
                        <w:sz w:val="16"/>
                      </w:rPr>
                      <w:t>0%</w:t>
                    </w:r>
                  </w:p>
                </w:txbxContent>
              </v:textbox>
              <w10:wrap type="none"/>
            </v:shape>
            <v:shape style="position:absolute;left:6091;top:1148;width:339;height:454" type="#_x0000_t202" filled="false" stroked="false">
              <v:textbox inset="0,0,0,0">
                <w:txbxContent>
                  <w:p>
                    <w:pPr>
                      <w:spacing w:line="135" w:lineRule="exact" w:before="0"/>
                      <w:ind w:left="83" w:right="-44" w:firstLine="0"/>
                      <w:jc w:val="left"/>
                      <w:rPr>
                        <w:b/>
                        <w:sz w:val="16"/>
                      </w:rPr>
                    </w:pPr>
                    <w:r>
                      <w:rPr>
                        <w:b/>
                        <w:color w:val="006FC0"/>
                        <w:sz w:val="16"/>
                      </w:rPr>
                      <w:t>11.2</w:t>
                    </w:r>
                  </w:p>
                </w:txbxContent>
              </v:textbox>
              <w10:wrap type="none"/>
            </v:shape>
            <v:shape style="position:absolute;left:9271;top:680;width:339;height:454" type="#_x0000_t202" filled="false" stroked="false">
              <v:textbox inset="0,0,0,0">
                <w:txbxContent>
                  <w:p>
                    <w:pPr>
                      <w:spacing w:before="37"/>
                      <w:ind w:left="15" w:right="0" w:firstLine="0"/>
                      <w:jc w:val="left"/>
                      <w:rPr>
                        <w:b/>
                        <w:sz w:val="16"/>
                      </w:rPr>
                    </w:pPr>
                    <w:r>
                      <w:rPr>
                        <w:b/>
                        <w:color w:val="006FC0"/>
                        <w:sz w:val="16"/>
                      </w:rPr>
                      <w:t>1%</w:t>
                    </w:r>
                  </w:p>
                </w:txbxContent>
              </v:textbox>
              <w10:wrap type="none"/>
            </v:shape>
            <v:shape style="position:absolute;left:8918;top:680;width:339;height:454" type="#_x0000_t202" filled="false" stroked="false">
              <v:textbox inset="0,0,0,0">
                <w:txbxContent>
                  <w:p>
                    <w:pPr>
                      <w:spacing w:before="37"/>
                      <w:ind w:left="83" w:right="-44" w:firstLine="0"/>
                      <w:jc w:val="left"/>
                      <w:rPr>
                        <w:b/>
                        <w:sz w:val="16"/>
                      </w:rPr>
                    </w:pPr>
                    <w:r>
                      <w:rPr>
                        <w:b/>
                        <w:color w:val="006FC0"/>
                        <w:sz w:val="16"/>
                      </w:rPr>
                      <w:t>11.6</w:t>
                    </w:r>
                  </w:p>
                </w:txbxContent>
              </v:textbox>
              <w10:wrap type="none"/>
            </v:shape>
            <v:shape style="position:absolute;left:8563;top:680;width:341;height:454" type="#_x0000_t202" filled="false" stroked="false">
              <v:textbox inset="0,0,0,0">
                <w:txbxContent>
                  <w:p>
                    <w:pPr>
                      <w:spacing w:before="40"/>
                      <w:ind w:left="16" w:right="0" w:firstLine="0"/>
                      <w:jc w:val="left"/>
                      <w:rPr>
                        <w:b/>
                        <w:sz w:val="16"/>
                      </w:rPr>
                    </w:pPr>
                    <w:r>
                      <w:rPr>
                        <w:b/>
                        <w:color w:val="006FC0"/>
                        <w:sz w:val="16"/>
                      </w:rPr>
                      <w:t>1%</w:t>
                    </w:r>
                  </w:p>
                </w:txbxContent>
              </v:textbox>
              <w10:wrap type="none"/>
            </v:shape>
            <v:shape style="position:absolute;left:8210;top:680;width:339;height:454" type="#_x0000_t202" filled="false" stroked="false">
              <v:textbox inset="0,0,0,0">
                <w:txbxContent>
                  <w:p>
                    <w:pPr>
                      <w:spacing w:before="40"/>
                      <w:ind w:left="84" w:right="-44" w:firstLine="0"/>
                      <w:jc w:val="left"/>
                      <w:rPr>
                        <w:b/>
                        <w:sz w:val="16"/>
                      </w:rPr>
                    </w:pPr>
                    <w:r>
                      <w:rPr>
                        <w:b/>
                        <w:color w:val="006FC0"/>
                        <w:sz w:val="16"/>
                      </w:rPr>
                      <w:t>11.6</w:t>
                    </w:r>
                  </w:p>
                </w:txbxContent>
              </v:textbox>
              <w10:wrap type="none"/>
            </v:shape>
            <v:shape style="position:absolute;left:7857;top:680;width:339;height:454" type="#_x0000_t202" filled="false" stroked="false">
              <v:textbox inset="0,0,0,0">
                <w:txbxContent>
                  <w:p>
                    <w:pPr>
                      <w:spacing w:before="38"/>
                      <w:ind w:left="15" w:right="0" w:firstLine="0"/>
                      <w:jc w:val="left"/>
                      <w:rPr>
                        <w:b/>
                        <w:sz w:val="16"/>
                      </w:rPr>
                    </w:pPr>
                    <w:r>
                      <w:rPr>
                        <w:b/>
                        <w:color w:val="006FC0"/>
                        <w:sz w:val="16"/>
                      </w:rPr>
                      <w:t>1%</w:t>
                    </w:r>
                  </w:p>
                </w:txbxContent>
              </v:textbox>
              <w10:wrap type="none"/>
            </v:shape>
            <v:shape style="position:absolute;left:7504;top:680;width:339;height:454" type="#_x0000_t202" filled="false" stroked="false">
              <v:textbox inset="0,0,0,0">
                <w:txbxContent>
                  <w:p>
                    <w:pPr>
                      <w:spacing w:before="38"/>
                      <w:ind w:left="83" w:right="-44" w:firstLine="0"/>
                      <w:jc w:val="left"/>
                      <w:rPr>
                        <w:b/>
                        <w:sz w:val="16"/>
                      </w:rPr>
                    </w:pPr>
                    <w:r>
                      <w:rPr>
                        <w:b/>
                        <w:color w:val="006FC0"/>
                        <w:sz w:val="16"/>
                      </w:rPr>
                      <w:t>11.6</w:t>
                    </w:r>
                  </w:p>
                </w:txbxContent>
              </v:textbox>
              <w10:wrap type="none"/>
            </v:shape>
            <v:shape style="position:absolute;left:7149;top:680;width:341;height:454" type="#_x0000_t202" filled="false" stroked="false">
              <v:textbox inset="0,0,0,0">
                <w:txbxContent>
                  <w:p>
                    <w:pPr>
                      <w:spacing w:before="35"/>
                      <w:ind w:left="16" w:right="0" w:firstLine="0"/>
                      <w:jc w:val="left"/>
                      <w:rPr>
                        <w:b/>
                        <w:sz w:val="16"/>
                      </w:rPr>
                    </w:pPr>
                    <w:r>
                      <w:rPr>
                        <w:b/>
                        <w:color w:val="006FC0"/>
                        <w:sz w:val="16"/>
                      </w:rPr>
                      <w:t>1%</w:t>
                    </w:r>
                  </w:p>
                </w:txbxContent>
              </v:textbox>
              <w10:wrap type="none"/>
            </v:shape>
            <v:shape style="position:absolute;left:6796;top:680;width:339;height:454" type="#_x0000_t202" filled="false" stroked="false">
              <v:textbox inset="0,0,0,0">
                <w:txbxContent>
                  <w:p>
                    <w:pPr>
                      <w:spacing w:before="35"/>
                      <w:ind w:left="84" w:right="-44" w:firstLine="0"/>
                      <w:jc w:val="left"/>
                      <w:rPr>
                        <w:b/>
                        <w:sz w:val="16"/>
                      </w:rPr>
                    </w:pPr>
                    <w:r>
                      <w:rPr>
                        <w:b/>
                        <w:color w:val="006FC0"/>
                        <w:sz w:val="16"/>
                      </w:rPr>
                      <w:t>11.6</w:t>
                    </w:r>
                  </w:p>
                </w:txbxContent>
              </v:textbox>
              <w10:wrap type="none"/>
            </v:shape>
            <v:shape style="position:absolute;left:5738;top:680;width:339;height:454" type="#_x0000_t202" filled="false" stroked="false">
              <v:textbox inset="0,0,0,0">
                <w:txbxContent>
                  <w:p>
                    <w:pPr>
                      <w:spacing w:line="162" w:lineRule="exact" w:before="0"/>
                      <w:ind w:left="13" w:right="0" w:firstLine="0"/>
                      <w:jc w:val="left"/>
                      <w:rPr>
                        <w:b/>
                        <w:sz w:val="16"/>
                      </w:rPr>
                    </w:pPr>
                    <w:r>
                      <w:rPr>
                        <w:b/>
                        <w:color w:val="006FC0"/>
                        <w:sz w:val="16"/>
                      </w:rPr>
                      <w:t>8%</w:t>
                    </w:r>
                  </w:p>
                </w:txbxContent>
              </v:textbox>
              <w10:wrap type="none"/>
            </v:shape>
            <v:shape style="position:absolute;left:5383;top:680;width:341;height:454" type="#_x0000_t202" filled="false" stroked="false">
              <v:textbox inset="0,0,0,0">
                <w:txbxContent>
                  <w:p>
                    <w:pPr>
                      <w:spacing w:line="162" w:lineRule="exact" w:before="0"/>
                      <w:ind w:left="84" w:right="-29" w:firstLine="0"/>
                      <w:jc w:val="left"/>
                      <w:rPr>
                        <w:b/>
                        <w:sz w:val="16"/>
                      </w:rPr>
                    </w:pPr>
                    <w:r>
                      <w:rPr>
                        <w:b/>
                        <w:color w:val="006FC0"/>
                        <w:sz w:val="16"/>
                      </w:rPr>
                      <w:t>11.6</w:t>
                    </w:r>
                  </w:p>
                </w:txbxContent>
              </v:textbox>
              <w10:wrap type="none"/>
            </v:shape>
            <v:shape style="position:absolute;left:6444;top:209;width:339;height:456" type="#_x0000_t202" filled="false" stroked="false">
              <v:textbox inset="0,0,0,0">
                <w:txbxContent>
                  <w:p>
                    <w:pPr>
                      <w:spacing w:line="240" w:lineRule="auto" w:before="7"/>
                      <w:rPr>
                        <w:sz w:val="23"/>
                      </w:rPr>
                    </w:pPr>
                  </w:p>
                  <w:p>
                    <w:pPr>
                      <w:spacing w:before="0"/>
                      <w:ind w:left="15" w:right="0" w:firstLine="0"/>
                      <w:jc w:val="left"/>
                      <w:rPr>
                        <w:b/>
                        <w:sz w:val="16"/>
                      </w:rPr>
                    </w:pPr>
                    <w:r>
                      <w:rPr>
                        <w:b/>
                        <w:color w:val="FF0000"/>
                        <w:sz w:val="16"/>
                      </w:rPr>
                      <w:t>5%</w:t>
                    </w:r>
                  </w:p>
                </w:txbxContent>
              </v:textbox>
              <w10:wrap type="none"/>
            </v:shape>
            <v:shape style="position:absolute;left:6091;top:209;width:339;height:456" type="#_x0000_t202" filled="false" stroked="false">
              <v:textbox inset="0,0,0,0">
                <w:txbxContent>
                  <w:p>
                    <w:pPr>
                      <w:spacing w:line="240" w:lineRule="auto" w:before="7"/>
                      <w:rPr>
                        <w:sz w:val="23"/>
                      </w:rPr>
                    </w:pPr>
                  </w:p>
                  <w:p>
                    <w:pPr>
                      <w:spacing w:before="0"/>
                      <w:ind w:left="83" w:right="-44" w:firstLine="0"/>
                      <w:jc w:val="left"/>
                      <w:rPr>
                        <w:b/>
                        <w:sz w:val="16"/>
                      </w:rPr>
                    </w:pPr>
                    <w:r>
                      <w:rPr>
                        <w:b/>
                        <w:color w:val="FF0000"/>
                        <w:sz w:val="16"/>
                      </w:rPr>
                      <w:t>11.3</w:t>
                    </w:r>
                  </w:p>
                </w:txbxContent>
              </v:textbox>
              <w10:wrap type="none"/>
            </v:shape>
            <v:shape style="position:absolute;left:5738;top:209;width:339;height:456" type="#_x0000_t202" filled="false" stroked="false">
              <v:textbox inset="0,0,0,0">
                <w:txbxContent>
                  <w:p>
                    <w:pPr>
                      <w:spacing w:line="148" w:lineRule="exact" w:before="0"/>
                      <w:ind w:left="13" w:right="0" w:firstLine="0"/>
                      <w:jc w:val="left"/>
                      <w:rPr>
                        <w:b/>
                        <w:sz w:val="16"/>
                      </w:rPr>
                    </w:pPr>
                    <w:r>
                      <w:rPr>
                        <w:b/>
                        <w:color w:val="FF0000"/>
                        <w:sz w:val="16"/>
                      </w:rPr>
                      <w:t>8%</w:t>
                    </w:r>
                  </w:p>
                </w:txbxContent>
              </v:textbox>
              <w10:wrap type="none"/>
            </v:shape>
            <v:shape style="position:absolute;left:5383;top:209;width:341;height:456" type="#_x0000_t202" filled="false" stroked="false">
              <v:textbox inset="0,0,0,0">
                <w:txbxContent>
                  <w:p>
                    <w:pPr>
                      <w:spacing w:line="148" w:lineRule="exact" w:before="0"/>
                      <w:ind w:left="84" w:right="-29" w:firstLine="0"/>
                      <w:jc w:val="left"/>
                      <w:rPr>
                        <w:b/>
                        <w:sz w:val="16"/>
                      </w:rPr>
                    </w:pPr>
                    <w:r>
                      <w:rPr>
                        <w:b/>
                        <w:color w:val="FF0000"/>
                        <w:sz w:val="16"/>
                      </w:rPr>
                      <w:t>11.6</w:t>
                    </w:r>
                  </w:p>
                </w:txbxContent>
              </v:textbox>
              <w10:wrap type="none"/>
            </v:shape>
            <w10:wrap type="none"/>
          </v:group>
        </w:pict>
      </w:r>
      <w:r>
        <w:rPr>
          <w:color w:val="585858"/>
          <w:sz w:val="18"/>
        </w:rPr>
        <w:t>12.0%</w:t>
      </w:r>
    </w:p>
    <w:p>
      <w:pPr>
        <w:pStyle w:val="BodyText"/>
        <w:spacing w:before="9"/>
      </w:pPr>
    </w:p>
    <w:p>
      <w:pPr>
        <w:spacing w:before="1"/>
        <w:ind w:left="1499" w:right="0" w:firstLine="0"/>
        <w:jc w:val="left"/>
        <w:rPr>
          <w:sz w:val="18"/>
        </w:rPr>
      </w:pPr>
      <w:r>
        <w:rPr>
          <w:color w:val="585858"/>
          <w:sz w:val="18"/>
        </w:rPr>
        <w:t>11.5%</w:t>
      </w:r>
    </w:p>
    <w:p>
      <w:pPr>
        <w:pStyle w:val="BodyText"/>
        <w:spacing w:before="8"/>
      </w:pPr>
    </w:p>
    <w:p>
      <w:pPr>
        <w:spacing w:before="1"/>
        <w:ind w:left="1499" w:right="0" w:firstLine="0"/>
        <w:jc w:val="left"/>
        <w:rPr>
          <w:sz w:val="18"/>
        </w:rPr>
      </w:pPr>
      <w:r>
        <w:rPr>
          <w:color w:val="585858"/>
          <w:sz w:val="18"/>
        </w:rPr>
        <w:t>11.0%</w:t>
      </w:r>
    </w:p>
    <w:p>
      <w:pPr>
        <w:pStyle w:val="BodyText"/>
        <w:spacing w:before="8"/>
        <w:rPr>
          <w:sz w:val="14"/>
        </w:rPr>
      </w:pPr>
    </w:p>
    <w:p>
      <w:pPr>
        <w:spacing w:before="92"/>
        <w:ind w:left="1499" w:right="0" w:firstLine="0"/>
        <w:jc w:val="left"/>
        <w:rPr>
          <w:sz w:val="18"/>
        </w:rPr>
      </w:pPr>
      <w:r>
        <w:rPr>
          <w:color w:val="585858"/>
          <w:sz w:val="18"/>
        </w:rPr>
        <w:t>10.5%</w:t>
      </w:r>
    </w:p>
    <w:p>
      <w:pPr>
        <w:pStyle w:val="BodyText"/>
        <w:spacing w:before="8"/>
        <w:rPr>
          <w:sz w:val="14"/>
        </w:rPr>
      </w:pPr>
    </w:p>
    <w:p>
      <w:pPr>
        <w:spacing w:before="93"/>
        <w:ind w:left="1499" w:right="0" w:firstLine="0"/>
        <w:jc w:val="left"/>
        <w:rPr>
          <w:sz w:val="18"/>
        </w:rPr>
      </w:pPr>
      <w:r>
        <w:rPr>
          <w:color w:val="585858"/>
          <w:sz w:val="18"/>
        </w:rPr>
        <w:t>10.0%</w:t>
      </w:r>
    </w:p>
    <w:p>
      <w:pPr>
        <w:pStyle w:val="BodyText"/>
        <w:spacing w:before="8"/>
        <w:rPr>
          <w:sz w:val="14"/>
        </w:rPr>
      </w:pPr>
    </w:p>
    <w:p>
      <w:pPr>
        <w:spacing w:after="0"/>
        <w:rPr>
          <w:sz w:val="14"/>
        </w:rPr>
        <w:sectPr>
          <w:type w:val="continuous"/>
          <w:pgSz w:w="12240" w:h="15840"/>
          <w:pgMar w:top="1500" w:bottom="280" w:left="1140" w:right="0"/>
        </w:sectPr>
      </w:pPr>
    </w:p>
    <w:p>
      <w:pPr>
        <w:spacing w:before="93"/>
        <w:ind w:left="0" w:right="0" w:firstLine="0"/>
        <w:jc w:val="right"/>
        <w:rPr>
          <w:sz w:val="18"/>
        </w:rPr>
      </w:pPr>
      <w:r>
        <w:rPr>
          <w:color w:val="585858"/>
          <w:sz w:val="18"/>
        </w:rPr>
        <w:t>9.5%</w:t>
      </w:r>
    </w:p>
    <w:p>
      <w:pPr>
        <w:pStyle w:val="BodyText"/>
        <w:spacing w:before="5"/>
        <w:rPr>
          <w:sz w:val="26"/>
        </w:rPr>
      </w:pPr>
      <w:r>
        <w:rPr/>
        <w:br w:type="column"/>
      </w:r>
      <w:r>
        <w:rPr>
          <w:sz w:val="26"/>
        </w:rPr>
      </w:r>
    </w:p>
    <w:p>
      <w:pPr>
        <w:spacing w:before="1"/>
        <w:ind w:left="285" w:right="0" w:firstLine="0"/>
        <w:jc w:val="left"/>
        <w:rPr>
          <w:b/>
          <w:sz w:val="18"/>
        </w:rPr>
      </w:pPr>
      <w:r>
        <w:rPr>
          <w:b/>
          <w:color w:val="585858"/>
          <w:sz w:val="18"/>
        </w:rPr>
        <w:t>2019</w:t>
      </w:r>
    </w:p>
    <w:p>
      <w:pPr>
        <w:pStyle w:val="BodyText"/>
        <w:spacing w:before="5"/>
        <w:rPr>
          <w:b/>
          <w:sz w:val="26"/>
        </w:rPr>
      </w:pPr>
      <w:r>
        <w:rPr/>
        <w:br w:type="column"/>
      </w:r>
      <w:r>
        <w:rPr>
          <w:b/>
          <w:sz w:val="26"/>
        </w:rPr>
      </w:r>
    </w:p>
    <w:p>
      <w:pPr>
        <w:spacing w:before="1"/>
        <w:ind w:left="305" w:right="0" w:firstLine="0"/>
        <w:jc w:val="left"/>
        <w:rPr>
          <w:b/>
          <w:sz w:val="18"/>
        </w:rPr>
      </w:pPr>
      <w:r>
        <w:rPr>
          <w:b/>
          <w:color w:val="585858"/>
          <w:sz w:val="18"/>
        </w:rPr>
        <w:t>2020</w:t>
      </w:r>
    </w:p>
    <w:p>
      <w:pPr>
        <w:pStyle w:val="BodyText"/>
        <w:spacing w:before="5"/>
        <w:rPr>
          <w:b/>
          <w:sz w:val="26"/>
        </w:rPr>
      </w:pPr>
      <w:r>
        <w:rPr/>
        <w:br w:type="column"/>
      </w:r>
      <w:r>
        <w:rPr>
          <w:b/>
          <w:sz w:val="26"/>
        </w:rPr>
      </w:r>
    </w:p>
    <w:p>
      <w:pPr>
        <w:spacing w:before="1"/>
        <w:ind w:left="306" w:right="0" w:firstLine="0"/>
        <w:jc w:val="left"/>
        <w:rPr>
          <w:b/>
          <w:sz w:val="18"/>
        </w:rPr>
      </w:pPr>
      <w:r>
        <w:rPr>
          <w:b/>
          <w:color w:val="585858"/>
          <w:sz w:val="18"/>
        </w:rPr>
        <w:t>2021</w:t>
      </w:r>
    </w:p>
    <w:p>
      <w:pPr>
        <w:pStyle w:val="BodyText"/>
        <w:spacing w:before="5"/>
        <w:rPr>
          <w:b/>
          <w:sz w:val="26"/>
        </w:rPr>
      </w:pPr>
      <w:r>
        <w:rPr/>
        <w:br w:type="column"/>
      </w:r>
      <w:r>
        <w:rPr>
          <w:b/>
          <w:sz w:val="26"/>
        </w:rPr>
      </w:r>
    </w:p>
    <w:p>
      <w:pPr>
        <w:spacing w:before="1"/>
        <w:ind w:left="305" w:right="0" w:firstLine="0"/>
        <w:jc w:val="left"/>
        <w:rPr>
          <w:b/>
          <w:sz w:val="18"/>
        </w:rPr>
      </w:pPr>
      <w:r>
        <w:rPr>
          <w:b/>
          <w:color w:val="585858"/>
          <w:sz w:val="18"/>
        </w:rPr>
        <w:t>2022</w:t>
      </w:r>
    </w:p>
    <w:p>
      <w:pPr>
        <w:pStyle w:val="BodyText"/>
        <w:spacing w:before="5"/>
        <w:rPr>
          <w:b/>
          <w:sz w:val="26"/>
        </w:rPr>
      </w:pPr>
      <w:r>
        <w:rPr/>
        <w:br w:type="column"/>
      </w:r>
      <w:r>
        <w:rPr>
          <w:b/>
          <w:sz w:val="26"/>
        </w:rPr>
      </w:r>
    </w:p>
    <w:p>
      <w:pPr>
        <w:spacing w:before="1"/>
        <w:ind w:left="306" w:right="0" w:firstLine="0"/>
        <w:jc w:val="left"/>
        <w:rPr>
          <w:b/>
          <w:sz w:val="18"/>
        </w:rPr>
      </w:pPr>
      <w:r>
        <w:rPr>
          <w:b/>
          <w:color w:val="585858"/>
          <w:sz w:val="18"/>
        </w:rPr>
        <w:t>2023</w:t>
      </w:r>
    </w:p>
    <w:p>
      <w:pPr>
        <w:pStyle w:val="BodyText"/>
        <w:spacing w:before="5"/>
        <w:rPr>
          <w:b/>
          <w:sz w:val="26"/>
        </w:rPr>
      </w:pPr>
      <w:r>
        <w:rPr/>
        <w:br w:type="column"/>
      </w:r>
      <w:r>
        <w:rPr>
          <w:b/>
          <w:sz w:val="26"/>
        </w:rPr>
      </w:r>
    </w:p>
    <w:p>
      <w:pPr>
        <w:spacing w:before="1"/>
        <w:ind w:left="305" w:right="0" w:firstLine="0"/>
        <w:jc w:val="left"/>
        <w:rPr>
          <w:b/>
          <w:sz w:val="18"/>
        </w:rPr>
      </w:pPr>
      <w:r>
        <w:rPr>
          <w:b/>
          <w:color w:val="585858"/>
          <w:sz w:val="18"/>
        </w:rPr>
        <w:t>2024</w:t>
      </w:r>
    </w:p>
    <w:p>
      <w:pPr>
        <w:pStyle w:val="BodyText"/>
        <w:spacing w:before="5"/>
        <w:rPr>
          <w:b/>
          <w:sz w:val="26"/>
        </w:rPr>
      </w:pPr>
      <w:r>
        <w:rPr/>
        <w:br w:type="column"/>
      </w:r>
      <w:r>
        <w:rPr>
          <w:b/>
          <w:sz w:val="26"/>
        </w:rPr>
      </w:r>
    </w:p>
    <w:p>
      <w:pPr>
        <w:spacing w:before="1"/>
        <w:ind w:left="306" w:right="0" w:firstLine="0"/>
        <w:jc w:val="left"/>
        <w:rPr>
          <w:b/>
          <w:sz w:val="18"/>
        </w:rPr>
      </w:pPr>
      <w:r>
        <w:rPr>
          <w:b/>
          <w:color w:val="585858"/>
          <w:sz w:val="18"/>
        </w:rPr>
        <w:t>2025</w:t>
      </w:r>
    </w:p>
    <w:p>
      <w:pPr>
        <w:pStyle w:val="BodyText"/>
        <w:spacing w:before="5"/>
        <w:rPr>
          <w:b/>
          <w:sz w:val="26"/>
        </w:rPr>
      </w:pPr>
      <w:r>
        <w:rPr/>
        <w:br w:type="column"/>
      </w:r>
      <w:r>
        <w:rPr>
          <w:b/>
          <w:sz w:val="26"/>
        </w:rPr>
      </w:r>
    </w:p>
    <w:p>
      <w:pPr>
        <w:spacing w:before="1"/>
        <w:ind w:left="305" w:right="0" w:firstLine="0"/>
        <w:jc w:val="left"/>
        <w:rPr>
          <w:b/>
          <w:sz w:val="18"/>
        </w:rPr>
      </w:pPr>
      <w:r>
        <w:rPr>
          <w:b/>
          <w:color w:val="585858"/>
          <w:sz w:val="18"/>
        </w:rPr>
        <w:t>2026</w:t>
      </w:r>
    </w:p>
    <w:p>
      <w:pPr>
        <w:pStyle w:val="BodyText"/>
        <w:spacing w:before="5"/>
        <w:rPr>
          <w:b/>
          <w:sz w:val="26"/>
        </w:rPr>
      </w:pPr>
      <w:r>
        <w:rPr/>
        <w:br w:type="column"/>
      </w:r>
      <w:r>
        <w:rPr>
          <w:b/>
          <w:sz w:val="26"/>
        </w:rPr>
      </w:r>
    </w:p>
    <w:p>
      <w:pPr>
        <w:spacing w:before="1"/>
        <w:ind w:left="305" w:right="0" w:firstLine="0"/>
        <w:jc w:val="left"/>
        <w:rPr>
          <w:b/>
          <w:sz w:val="18"/>
        </w:rPr>
      </w:pPr>
      <w:r>
        <w:rPr>
          <w:b/>
          <w:color w:val="585858"/>
          <w:sz w:val="18"/>
        </w:rPr>
        <w:t>2027</w:t>
      </w:r>
    </w:p>
    <w:p>
      <w:pPr>
        <w:spacing w:after="0"/>
        <w:jc w:val="left"/>
        <w:rPr>
          <w:sz w:val="18"/>
        </w:rPr>
        <w:sectPr>
          <w:type w:val="continuous"/>
          <w:pgSz w:w="12240" w:h="15840"/>
          <w:pgMar w:top="1500" w:bottom="280" w:left="1140" w:right="0"/>
          <w:cols w:num="10" w:equalWidth="0">
            <w:col w:w="1966" w:space="40"/>
            <w:col w:w="647" w:space="39"/>
            <w:col w:w="667" w:space="39"/>
            <w:col w:w="667" w:space="40"/>
            <w:col w:w="667" w:space="40"/>
            <w:col w:w="668" w:space="40"/>
            <w:col w:w="667" w:space="39"/>
            <w:col w:w="667" w:space="39"/>
            <w:col w:w="667" w:space="40"/>
            <w:col w:w="3461"/>
          </w:cols>
        </w:sectPr>
      </w:pPr>
    </w:p>
    <w:p>
      <w:pPr>
        <w:tabs>
          <w:tab w:pos="5396" w:val="left" w:leader="none"/>
        </w:tabs>
        <w:spacing w:before="34"/>
        <w:ind w:left="3016" w:right="0" w:firstLine="0"/>
        <w:jc w:val="left"/>
        <w:rPr>
          <w:sz w:val="18"/>
        </w:rPr>
      </w:pPr>
      <w:r>
        <w:rPr/>
        <w:drawing>
          <wp:anchor distT="0" distB="0" distL="0" distR="0" allowOverlap="1" layoutInCell="1" locked="0" behindDoc="0" simplePos="0" relativeHeight="253205504">
            <wp:simplePos x="0" y="0"/>
            <wp:positionH relativeFrom="page">
              <wp:posOffset>2369057</wp:posOffset>
            </wp:positionH>
            <wp:positionV relativeFrom="paragraph">
              <wp:posOffset>51464</wp:posOffset>
            </wp:positionV>
            <wp:extent cx="243839" cy="79248"/>
            <wp:effectExtent l="0" t="0" r="0" b="0"/>
            <wp:wrapNone/>
            <wp:docPr id="119" name="image314.png"/>
            <wp:cNvGraphicFramePr>
              <a:graphicFrameLocks noChangeAspect="1"/>
            </wp:cNvGraphicFramePr>
            <a:graphic>
              <a:graphicData uri="http://schemas.openxmlformats.org/drawingml/2006/picture">
                <pic:pic>
                  <pic:nvPicPr>
                    <pic:cNvPr id="120" name="image314.png"/>
                    <pic:cNvPicPr/>
                  </pic:nvPicPr>
                  <pic:blipFill>
                    <a:blip r:embed="rId322" cstate="print"/>
                    <a:stretch>
                      <a:fillRect/>
                    </a:stretch>
                  </pic:blipFill>
                  <pic:spPr>
                    <a:xfrm>
                      <a:off x="0" y="0"/>
                      <a:ext cx="243839" cy="79248"/>
                    </a:xfrm>
                    <a:prstGeom prst="rect">
                      <a:avLst/>
                    </a:prstGeom>
                  </pic:spPr>
                </pic:pic>
              </a:graphicData>
            </a:graphic>
          </wp:anchor>
        </w:drawing>
      </w:r>
      <w:r>
        <w:rPr/>
        <w:drawing>
          <wp:anchor distT="0" distB="0" distL="0" distR="0" allowOverlap="1" layoutInCell="1" locked="0" behindDoc="1" simplePos="0" relativeHeight="223203328">
            <wp:simplePos x="0" y="0"/>
            <wp:positionH relativeFrom="page">
              <wp:posOffset>3879341</wp:posOffset>
            </wp:positionH>
            <wp:positionV relativeFrom="paragraph">
              <wp:posOffset>56036</wp:posOffset>
            </wp:positionV>
            <wp:extent cx="243839" cy="70103"/>
            <wp:effectExtent l="0" t="0" r="0" b="0"/>
            <wp:wrapNone/>
            <wp:docPr id="121" name="image308.png"/>
            <wp:cNvGraphicFramePr>
              <a:graphicFrameLocks noChangeAspect="1"/>
            </wp:cNvGraphicFramePr>
            <a:graphic>
              <a:graphicData uri="http://schemas.openxmlformats.org/drawingml/2006/picture">
                <pic:pic>
                  <pic:nvPicPr>
                    <pic:cNvPr id="122" name="image308.png"/>
                    <pic:cNvPicPr/>
                  </pic:nvPicPr>
                  <pic:blipFill>
                    <a:blip r:embed="rId316" cstate="print"/>
                    <a:stretch>
                      <a:fillRect/>
                    </a:stretch>
                  </pic:blipFill>
                  <pic:spPr>
                    <a:xfrm>
                      <a:off x="0" y="0"/>
                      <a:ext cx="243839" cy="70103"/>
                    </a:xfrm>
                    <a:prstGeom prst="rect">
                      <a:avLst/>
                    </a:prstGeom>
                  </pic:spPr>
                </pic:pic>
              </a:graphicData>
            </a:graphic>
          </wp:anchor>
        </w:drawing>
      </w:r>
      <w:r>
        <w:rPr>
          <w:color w:val="585858"/>
          <w:sz w:val="18"/>
        </w:rPr>
        <w:t>Proyecto</w:t>
      </w:r>
      <w:r>
        <w:rPr>
          <w:color w:val="585858"/>
          <w:spacing w:val="-4"/>
          <w:sz w:val="18"/>
        </w:rPr>
        <w:t> </w:t>
      </w:r>
      <w:r>
        <w:rPr>
          <w:color w:val="585858"/>
          <w:sz w:val="18"/>
        </w:rPr>
        <w:t>Presupuesto</w:t>
        <w:tab/>
        <w:t>Carga Tributaria</w:t>
      </w:r>
      <w:r>
        <w:rPr>
          <w:color w:val="585858"/>
          <w:spacing w:val="-2"/>
          <w:sz w:val="18"/>
        </w:rPr>
        <w:t> </w:t>
      </w:r>
      <w:r>
        <w:rPr>
          <w:color w:val="585858"/>
          <w:sz w:val="18"/>
        </w:rPr>
        <w:t>Activa</w:t>
      </w:r>
    </w:p>
    <w:p>
      <w:pPr>
        <w:pStyle w:val="BodyText"/>
        <w:spacing w:before="1"/>
        <w:rPr>
          <w:sz w:val="15"/>
        </w:rPr>
      </w:pPr>
    </w:p>
    <w:p>
      <w:pPr>
        <w:spacing w:before="94"/>
        <w:ind w:left="1270" w:right="0" w:firstLine="0"/>
        <w:jc w:val="left"/>
        <w:rPr>
          <w:sz w:val="16"/>
        </w:rPr>
      </w:pPr>
      <w:r>
        <w:rPr>
          <w:sz w:val="16"/>
        </w:rPr>
        <w:t>Fuente: Dirección de Análisis y Política Fiscal</w:t>
      </w:r>
    </w:p>
    <w:p>
      <w:pPr>
        <w:pStyle w:val="BodyText"/>
        <w:rPr>
          <w:sz w:val="18"/>
        </w:rPr>
      </w:pPr>
    </w:p>
    <w:p>
      <w:pPr>
        <w:pStyle w:val="Heading2"/>
        <w:numPr>
          <w:ilvl w:val="3"/>
          <w:numId w:val="39"/>
        </w:numPr>
        <w:tabs>
          <w:tab w:pos="2685" w:val="left" w:leader="none"/>
          <w:tab w:pos="2686" w:val="left" w:leader="none"/>
        </w:tabs>
        <w:spacing w:line="240" w:lineRule="auto" w:before="113" w:after="0"/>
        <w:ind w:left="2686" w:right="0" w:hanging="1044"/>
        <w:jc w:val="left"/>
      </w:pPr>
      <w:bookmarkStart w:name="_bookmark215" w:id="278"/>
      <w:bookmarkEnd w:id="278"/>
      <w:r>
        <w:rPr>
          <w:b w:val="0"/>
        </w:rPr>
      </w:r>
      <w:bookmarkStart w:name="_bookmark215" w:id="279"/>
      <w:bookmarkEnd w:id="279"/>
      <w:r>
        <w:rPr/>
        <w:t>E</w:t>
      </w:r>
      <w:r>
        <w:rPr/>
        <w:t>scenario</w:t>
      </w:r>
      <w:r>
        <w:rPr>
          <w:spacing w:val="-1"/>
        </w:rPr>
        <w:t> </w:t>
      </w:r>
      <w:r>
        <w:rPr/>
        <w:t>alto</w:t>
      </w:r>
    </w:p>
    <w:p>
      <w:pPr>
        <w:pStyle w:val="BodyText"/>
        <w:spacing w:before="3"/>
        <w:rPr>
          <w:b/>
          <w:sz w:val="28"/>
        </w:rPr>
      </w:pPr>
    </w:p>
    <w:p>
      <w:pPr>
        <w:pStyle w:val="BodyText"/>
        <w:spacing w:line="276" w:lineRule="auto" w:before="1"/>
        <w:ind w:left="562" w:right="1696"/>
        <w:jc w:val="both"/>
      </w:pPr>
      <w:r>
        <w:rPr/>
        <w:t>Este escenario considera que la actividad económica tendrá un desempeño mucho más dinámico</w:t>
      </w:r>
      <w:r>
        <w:rPr>
          <w:spacing w:val="-36"/>
        </w:rPr>
        <w:t> </w:t>
      </w:r>
      <w:r>
        <w:rPr/>
        <w:t>con respecto a lo que se había previsto para las estimaciones del presupuesto multianual, sustentadas </w:t>
      </w:r>
      <w:r>
        <w:rPr>
          <w:spacing w:val="-3"/>
        </w:rPr>
        <w:t>en </w:t>
      </w:r>
      <w:r>
        <w:rPr/>
        <w:t>una mayor inversión privada, un aumento en el consumo y un entorno económico internacional más favorable en términos de precios y de la demanda externa. De esa cuenta, se prevé que la economía en 2023 podría estar por encima de su potencial (3.5%), es decir un crecimiento económico en torno al 4.5%, además las importaciones podrían crecer 9.5%, el tipo de cambio y el precio del petróleo se siguen previendo</w:t>
      </w:r>
      <w:r>
        <w:rPr>
          <w:spacing w:val="-1"/>
        </w:rPr>
        <w:t> </w:t>
      </w:r>
      <w:r>
        <w:rPr/>
        <w:t>neutrales.</w:t>
      </w:r>
    </w:p>
    <w:p>
      <w:pPr>
        <w:pStyle w:val="BodyText"/>
        <w:spacing w:before="4"/>
        <w:rPr>
          <w:sz w:val="25"/>
        </w:rPr>
      </w:pPr>
    </w:p>
    <w:p>
      <w:pPr>
        <w:pStyle w:val="BodyText"/>
        <w:ind w:right="1135"/>
        <w:jc w:val="center"/>
      </w:pPr>
      <w:r>
        <w:rPr/>
        <w:t>En el mediano plazo se prevé que estas proyecciones sean crecientes, como se muestra a continuación:</w:t>
      </w:r>
    </w:p>
    <w:p>
      <w:pPr>
        <w:pStyle w:val="BodyText"/>
        <w:spacing w:before="1"/>
        <w:rPr>
          <w:sz w:val="29"/>
        </w:rPr>
      </w:pPr>
    </w:p>
    <w:p>
      <w:pPr>
        <w:pStyle w:val="Heading3"/>
        <w:spacing w:before="1" w:after="37"/>
        <w:ind w:left="1395" w:right="2532"/>
        <w:jc w:val="center"/>
      </w:pPr>
      <w:r>
        <w:rPr/>
        <w:t>Tabla 22 Escenario macroeconómico alto</w:t>
      </w:r>
    </w:p>
    <w:tbl>
      <w:tblPr>
        <w:tblW w:w="0" w:type="auto"/>
        <w:jc w:val="left"/>
        <w:tblInd w:w="5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74"/>
        <w:gridCol w:w="1233"/>
        <w:gridCol w:w="776"/>
        <w:gridCol w:w="777"/>
        <w:gridCol w:w="777"/>
        <w:gridCol w:w="777"/>
        <w:gridCol w:w="777"/>
        <w:gridCol w:w="777"/>
        <w:gridCol w:w="777"/>
        <w:gridCol w:w="777"/>
      </w:tblGrid>
      <w:tr>
        <w:trPr>
          <w:trHeight w:val="378" w:hRule="atLeast"/>
        </w:trPr>
        <w:tc>
          <w:tcPr>
            <w:tcW w:w="1374" w:type="dxa"/>
            <w:tcBorders>
              <w:top w:val="nil"/>
              <w:left w:val="nil"/>
            </w:tcBorders>
          </w:tcPr>
          <w:p>
            <w:pPr>
              <w:pStyle w:val="TableParagraph"/>
              <w:rPr>
                <w:sz w:val="18"/>
              </w:rPr>
            </w:pPr>
          </w:p>
        </w:tc>
        <w:tc>
          <w:tcPr>
            <w:tcW w:w="1233" w:type="dxa"/>
            <w:tcBorders>
              <w:top w:val="single" w:sz="4" w:space="0" w:color="000000"/>
            </w:tcBorders>
          </w:tcPr>
          <w:p>
            <w:pPr>
              <w:pStyle w:val="TableParagraph"/>
              <w:spacing w:before="121"/>
              <w:ind w:left="150"/>
              <w:rPr>
                <w:b/>
                <w:sz w:val="14"/>
              </w:rPr>
            </w:pPr>
            <w:r>
              <w:rPr>
                <w:b/>
                <w:w w:val="105"/>
                <w:sz w:val="14"/>
              </w:rPr>
              <w:t>Dimensionales</w:t>
            </w:r>
          </w:p>
        </w:tc>
        <w:tc>
          <w:tcPr>
            <w:tcW w:w="776" w:type="dxa"/>
            <w:tcBorders>
              <w:top w:val="single" w:sz="4" w:space="0" w:color="000000"/>
            </w:tcBorders>
          </w:tcPr>
          <w:p>
            <w:pPr>
              <w:pStyle w:val="TableParagraph"/>
              <w:spacing w:before="121"/>
              <w:ind w:left="238"/>
              <w:rPr>
                <w:b/>
                <w:sz w:val="14"/>
              </w:rPr>
            </w:pPr>
            <w:r>
              <w:rPr>
                <w:b/>
                <w:w w:val="105"/>
                <w:sz w:val="14"/>
              </w:rPr>
              <w:t>2020</w:t>
            </w:r>
          </w:p>
        </w:tc>
        <w:tc>
          <w:tcPr>
            <w:tcW w:w="777" w:type="dxa"/>
            <w:tcBorders>
              <w:top w:val="single" w:sz="4" w:space="0" w:color="000000"/>
            </w:tcBorders>
          </w:tcPr>
          <w:p>
            <w:pPr>
              <w:pStyle w:val="TableParagraph"/>
              <w:spacing w:before="121"/>
              <w:ind w:left="238"/>
              <w:rPr>
                <w:b/>
                <w:sz w:val="14"/>
              </w:rPr>
            </w:pPr>
            <w:r>
              <w:rPr>
                <w:b/>
                <w:w w:val="105"/>
                <w:sz w:val="14"/>
              </w:rPr>
              <w:t>2021</w:t>
            </w:r>
          </w:p>
        </w:tc>
        <w:tc>
          <w:tcPr>
            <w:tcW w:w="777" w:type="dxa"/>
            <w:tcBorders>
              <w:top w:val="single" w:sz="4" w:space="0" w:color="000000"/>
            </w:tcBorders>
            <w:shd w:val="clear" w:color="auto" w:fill="E1EEDA"/>
          </w:tcPr>
          <w:p>
            <w:pPr>
              <w:pStyle w:val="TableParagraph"/>
              <w:spacing w:before="121"/>
              <w:ind w:left="238"/>
              <w:rPr>
                <w:b/>
                <w:sz w:val="14"/>
              </w:rPr>
            </w:pPr>
            <w:r>
              <w:rPr>
                <w:b/>
                <w:w w:val="105"/>
                <w:sz w:val="14"/>
              </w:rPr>
              <w:t>2022</w:t>
            </w:r>
          </w:p>
        </w:tc>
        <w:tc>
          <w:tcPr>
            <w:tcW w:w="777" w:type="dxa"/>
            <w:tcBorders>
              <w:top w:val="single" w:sz="4" w:space="0" w:color="000000"/>
            </w:tcBorders>
            <w:shd w:val="clear" w:color="auto" w:fill="FFF1CC"/>
          </w:tcPr>
          <w:p>
            <w:pPr>
              <w:pStyle w:val="TableParagraph"/>
              <w:spacing w:before="121"/>
              <w:ind w:left="238"/>
              <w:rPr>
                <w:b/>
                <w:sz w:val="14"/>
              </w:rPr>
            </w:pPr>
            <w:r>
              <w:rPr>
                <w:b/>
                <w:w w:val="105"/>
                <w:sz w:val="14"/>
              </w:rPr>
              <w:t>2023</w:t>
            </w:r>
          </w:p>
        </w:tc>
        <w:tc>
          <w:tcPr>
            <w:tcW w:w="777" w:type="dxa"/>
            <w:tcBorders>
              <w:top w:val="single" w:sz="4" w:space="0" w:color="000000"/>
            </w:tcBorders>
            <w:shd w:val="clear" w:color="auto" w:fill="FFF1CC"/>
          </w:tcPr>
          <w:p>
            <w:pPr>
              <w:pStyle w:val="TableParagraph"/>
              <w:spacing w:before="121"/>
              <w:ind w:left="238"/>
              <w:rPr>
                <w:b/>
                <w:sz w:val="14"/>
              </w:rPr>
            </w:pPr>
            <w:r>
              <w:rPr>
                <w:b/>
                <w:w w:val="105"/>
                <w:sz w:val="14"/>
              </w:rPr>
              <w:t>2024</w:t>
            </w:r>
          </w:p>
        </w:tc>
        <w:tc>
          <w:tcPr>
            <w:tcW w:w="777" w:type="dxa"/>
            <w:tcBorders>
              <w:top w:val="single" w:sz="4" w:space="0" w:color="000000"/>
            </w:tcBorders>
            <w:shd w:val="clear" w:color="auto" w:fill="FFF1CC"/>
          </w:tcPr>
          <w:p>
            <w:pPr>
              <w:pStyle w:val="TableParagraph"/>
              <w:spacing w:before="121"/>
              <w:ind w:left="238"/>
              <w:rPr>
                <w:b/>
                <w:sz w:val="14"/>
              </w:rPr>
            </w:pPr>
            <w:r>
              <w:rPr>
                <w:b/>
                <w:w w:val="105"/>
                <w:sz w:val="14"/>
              </w:rPr>
              <w:t>2025</w:t>
            </w:r>
          </w:p>
        </w:tc>
        <w:tc>
          <w:tcPr>
            <w:tcW w:w="777" w:type="dxa"/>
            <w:tcBorders>
              <w:top w:val="single" w:sz="4" w:space="0" w:color="000000"/>
            </w:tcBorders>
            <w:shd w:val="clear" w:color="auto" w:fill="FFF1CC"/>
          </w:tcPr>
          <w:p>
            <w:pPr>
              <w:pStyle w:val="TableParagraph"/>
              <w:spacing w:before="121"/>
              <w:ind w:left="238"/>
              <w:rPr>
                <w:b/>
                <w:sz w:val="14"/>
              </w:rPr>
            </w:pPr>
            <w:r>
              <w:rPr>
                <w:b/>
                <w:w w:val="105"/>
                <w:sz w:val="14"/>
              </w:rPr>
              <w:t>2026</w:t>
            </w:r>
          </w:p>
        </w:tc>
        <w:tc>
          <w:tcPr>
            <w:tcW w:w="777" w:type="dxa"/>
            <w:tcBorders>
              <w:top w:val="single" w:sz="4" w:space="0" w:color="000000"/>
            </w:tcBorders>
            <w:shd w:val="clear" w:color="auto" w:fill="FFF1CC"/>
          </w:tcPr>
          <w:p>
            <w:pPr>
              <w:pStyle w:val="TableParagraph"/>
              <w:spacing w:before="121"/>
              <w:ind w:left="238"/>
              <w:rPr>
                <w:b/>
                <w:sz w:val="14"/>
              </w:rPr>
            </w:pPr>
            <w:r>
              <w:rPr>
                <w:b/>
                <w:w w:val="105"/>
                <w:sz w:val="14"/>
              </w:rPr>
              <w:t>2027</w:t>
            </w:r>
          </w:p>
        </w:tc>
      </w:tr>
      <w:tr>
        <w:trPr>
          <w:trHeight w:val="392" w:hRule="atLeast"/>
        </w:trPr>
        <w:tc>
          <w:tcPr>
            <w:tcW w:w="1374" w:type="dxa"/>
            <w:tcBorders>
              <w:left w:val="single" w:sz="4" w:space="0" w:color="000000"/>
              <w:bottom w:val="nil"/>
            </w:tcBorders>
          </w:tcPr>
          <w:p>
            <w:pPr>
              <w:pStyle w:val="TableParagraph"/>
              <w:spacing w:before="112"/>
              <w:ind w:left="24"/>
              <w:rPr>
                <w:sz w:val="14"/>
              </w:rPr>
            </w:pPr>
            <w:r>
              <w:rPr>
                <w:w w:val="105"/>
                <w:sz w:val="14"/>
              </w:rPr>
              <w:t>PIB real</w:t>
            </w:r>
          </w:p>
        </w:tc>
        <w:tc>
          <w:tcPr>
            <w:tcW w:w="1233" w:type="dxa"/>
            <w:tcBorders>
              <w:bottom w:val="nil"/>
            </w:tcBorders>
          </w:tcPr>
          <w:p>
            <w:pPr>
              <w:pStyle w:val="TableParagraph"/>
              <w:spacing w:before="112"/>
              <w:ind w:right="6"/>
              <w:jc w:val="right"/>
              <w:rPr>
                <w:sz w:val="14"/>
              </w:rPr>
            </w:pPr>
            <w:r>
              <w:rPr>
                <w:w w:val="105"/>
                <w:sz w:val="14"/>
              </w:rPr>
              <w:t>Millones de Q.</w:t>
            </w:r>
          </w:p>
        </w:tc>
        <w:tc>
          <w:tcPr>
            <w:tcW w:w="776" w:type="dxa"/>
            <w:tcBorders>
              <w:bottom w:val="nil"/>
            </w:tcBorders>
          </w:tcPr>
          <w:p>
            <w:pPr>
              <w:pStyle w:val="TableParagraph"/>
              <w:spacing w:before="112"/>
              <w:ind w:right="45"/>
              <w:jc w:val="right"/>
              <w:rPr>
                <w:sz w:val="14"/>
              </w:rPr>
            </w:pPr>
            <w:r>
              <w:rPr>
                <w:sz w:val="14"/>
              </w:rPr>
              <w:t>506,368.0</w:t>
            </w:r>
          </w:p>
        </w:tc>
        <w:tc>
          <w:tcPr>
            <w:tcW w:w="777" w:type="dxa"/>
            <w:tcBorders>
              <w:bottom w:val="nil"/>
            </w:tcBorders>
          </w:tcPr>
          <w:p>
            <w:pPr>
              <w:pStyle w:val="TableParagraph"/>
              <w:spacing w:before="112"/>
              <w:ind w:left="161"/>
              <w:rPr>
                <w:sz w:val="14"/>
              </w:rPr>
            </w:pPr>
            <w:r>
              <w:rPr>
                <w:w w:val="105"/>
                <w:sz w:val="14"/>
              </w:rPr>
              <w:t>546,580.6</w:t>
            </w:r>
          </w:p>
        </w:tc>
        <w:tc>
          <w:tcPr>
            <w:tcW w:w="777" w:type="dxa"/>
            <w:tcBorders>
              <w:bottom w:val="nil"/>
            </w:tcBorders>
            <w:shd w:val="clear" w:color="auto" w:fill="E1EEDA"/>
          </w:tcPr>
          <w:p>
            <w:pPr>
              <w:pStyle w:val="TableParagraph"/>
              <w:spacing w:before="112"/>
              <w:ind w:right="45"/>
              <w:jc w:val="right"/>
              <w:rPr>
                <w:sz w:val="14"/>
              </w:rPr>
            </w:pPr>
            <w:r>
              <w:rPr>
                <w:sz w:val="14"/>
              </w:rPr>
              <w:t>563,011.5</w:t>
            </w:r>
          </w:p>
        </w:tc>
        <w:tc>
          <w:tcPr>
            <w:tcW w:w="777" w:type="dxa"/>
            <w:tcBorders>
              <w:bottom w:val="nil"/>
            </w:tcBorders>
            <w:shd w:val="clear" w:color="auto" w:fill="FFF1CC"/>
          </w:tcPr>
          <w:p>
            <w:pPr>
              <w:pStyle w:val="TableParagraph"/>
              <w:spacing w:before="112"/>
              <w:ind w:right="45"/>
              <w:jc w:val="right"/>
              <w:rPr>
                <w:sz w:val="14"/>
              </w:rPr>
            </w:pPr>
            <w:r>
              <w:rPr>
                <w:sz w:val="14"/>
              </w:rPr>
              <w:t>593,886.4</w:t>
            </w:r>
          </w:p>
        </w:tc>
        <w:tc>
          <w:tcPr>
            <w:tcW w:w="777" w:type="dxa"/>
            <w:tcBorders>
              <w:bottom w:val="nil"/>
            </w:tcBorders>
            <w:shd w:val="clear" w:color="auto" w:fill="FFF1CC"/>
          </w:tcPr>
          <w:p>
            <w:pPr>
              <w:pStyle w:val="TableParagraph"/>
              <w:spacing w:before="112"/>
              <w:ind w:right="45"/>
              <w:jc w:val="right"/>
              <w:rPr>
                <w:sz w:val="14"/>
              </w:rPr>
            </w:pPr>
            <w:r>
              <w:rPr>
                <w:sz w:val="14"/>
              </w:rPr>
              <w:t>615,347.0</w:t>
            </w:r>
          </w:p>
        </w:tc>
        <w:tc>
          <w:tcPr>
            <w:tcW w:w="777" w:type="dxa"/>
            <w:tcBorders>
              <w:bottom w:val="nil"/>
            </w:tcBorders>
            <w:shd w:val="clear" w:color="auto" w:fill="FFF1CC"/>
          </w:tcPr>
          <w:p>
            <w:pPr>
              <w:pStyle w:val="TableParagraph"/>
              <w:spacing w:before="112"/>
              <w:ind w:left="160"/>
              <w:rPr>
                <w:sz w:val="14"/>
              </w:rPr>
            </w:pPr>
            <w:r>
              <w:rPr>
                <w:w w:val="105"/>
                <w:sz w:val="14"/>
              </w:rPr>
              <w:t>637,619.5</w:t>
            </w:r>
          </w:p>
        </w:tc>
        <w:tc>
          <w:tcPr>
            <w:tcW w:w="777" w:type="dxa"/>
            <w:tcBorders>
              <w:bottom w:val="nil"/>
            </w:tcBorders>
            <w:shd w:val="clear" w:color="auto" w:fill="FFF1CC"/>
          </w:tcPr>
          <w:p>
            <w:pPr>
              <w:pStyle w:val="TableParagraph"/>
              <w:spacing w:before="112"/>
              <w:ind w:right="45"/>
              <w:jc w:val="right"/>
              <w:rPr>
                <w:sz w:val="14"/>
              </w:rPr>
            </w:pPr>
            <w:r>
              <w:rPr>
                <w:sz w:val="14"/>
              </w:rPr>
              <w:t>661,331.6</w:t>
            </w:r>
          </w:p>
        </w:tc>
        <w:tc>
          <w:tcPr>
            <w:tcW w:w="777" w:type="dxa"/>
            <w:tcBorders>
              <w:bottom w:val="nil"/>
            </w:tcBorders>
            <w:shd w:val="clear" w:color="auto" w:fill="FFF1CC"/>
          </w:tcPr>
          <w:p>
            <w:pPr>
              <w:pStyle w:val="TableParagraph"/>
              <w:spacing w:before="112"/>
              <w:ind w:right="46"/>
              <w:jc w:val="right"/>
              <w:rPr>
                <w:sz w:val="14"/>
              </w:rPr>
            </w:pPr>
            <w:r>
              <w:rPr>
                <w:sz w:val="14"/>
              </w:rPr>
              <w:t>685,931.8</w:t>
            </w:r>
          </w:p>
        </w:tc>
      </w:tr>
      <w:tr>
        <w:trPr>
          <w:trHeight w:val="398" w:hRule="atLeast"/>
        </w:trPr>
        <w:tc>
          <w:tcPr>
            <w:tcW w:w="1374" w:type="dxa"/>
            <w:tcBorders>
              <w:top w:val="nil"/>
              <w:left w:val="single" w:sz="4" w:space="0" w:color="000000"/>
              <w:bottom w:val="nil"/>
            </w:tcBorders>
          </w:tcPr>
          <w:p>
            <w:pPr>
              <w:pStyle w:val="TableParagraph"/>
              <w:spacing w:before="117"/>
              <w:ind w:left="431"/>
              <w:rPr>
                <w:sz w:val="14"/>
              </w:rPr>
            </w:pPr>
            <w:r>
              <w:rPr>
                <w:w w:val="105"/>
                <w:sz w:val="14"/>
              </w:rPr>
              <w:t>variación</w:t>
            </w:r>
          </w:p>
        </w:tc>
        <w:tc>
          <w:tcPr>
            <w:tcW w:w="1233" w:type="dxa"/>
            <w:tcBorders>
              <w:top w:val="nil"/>
              <w:bottom w:val="nil"/>
            </w:tcBorders>
          </w:tcPr>
          <w:p>
            <w:pPr>
              <w:pStyle w:val="TableParagraph"/>
              <w:spacing w:before="117"/>
              <w:ind w:right="8"/>
              <w:jc w:val="right"/>
              <w:rPr>
                <w:sz w:val="14"/>
              </w:rPr>
            </w:pPr>
            <w:r>
              <w:rPr>
                <w:w w:val="105"/>
                <w:sz w:val="14"/>
              </w:rPr>
              <w:t>Variación %</w:t>
            </w:r>
          </w:p>
        </w:tc>
        <w:tc>
          <w:tcPr>
            <w:tcW w:w="776" w:type="dxa"/>
            <w:tcBorders>
              <w:top w:val="nil"/>
              <w:bottom w:val="nil"/>
            </w:tcBorders>
          </w:tcPr>
          <w:p>
            <w:pPr>
              <w:pStyle w:val="TableParagraph"/>
              <w:spacing w:before="117"/>
              <w:ind w:left="218"/>
              <w:rPr>
                <w:sz w:val="14"/>
              </w:rPr>
            </w:pPr>
            <w:r>
              <w:rPr>
                <w:w w:val="105"/>
                <w:sz w:val="14"/>
              </w:rPr>
              <w:t>-1.5%</w:t>
            </w:r>
          </w:p>
        </w:tc>
        <w:tc>
          <w:tcPr>
            <w:tcW w:w="777" w:type="dxa"/>
            <w:tcBorders>
              <w:top w:val="nil"/>
              <w:bottom w:val="nil"/>
            </w:tcBorders>
          </w:tcPr>
          <w:p>
            <w:pPr>
              <w:pStyle w:val="TableParagraph"/>
              <w:spacing w:before="117"/>
              <w:ind w:left="238"/>
              <w:rPr>
                <w:sz w:val="14"/>
              </w:rPr>
            </w:pPr>
            <w:r>
              <w:rPr>
                <w:w w:val="105"/>
                <w:sz w:val="14"/>
              </w:rPr>
              <w:t>8.0%</w:t>
            </w:r>
          </w:p>
        </w:tc>
        <w:tc>
          <w:tcPr>
            <w:tcW w:w="777" w:type="dxa"/>
            <w:tcBorders>
              <w:top w:val="nil"/>
              <w:bottom w:val="nil"/>
            </w:tcBorders>
            <w:shd w:val="clear" w:color="auto" w:fill="E1EEDA"/>
          </w:tcPr>
          <w:p>
            <w:pPr>
              <w:pStyle w:val="TableParagraph"/>
              <w:spacing w:before="117"/>
              <w:ind w:left="238"/>
              <w:rPr>
                <w:sz w:val="14"/>
              </w:rPr>
            </w:pPr>
            <w:r>
              <w:rPr>
                <w:w w:val="105"/>
                <w:sz w:val="14"/>
              </w:rPr>
              <w:t>3.0%</w:t>
            </w:r>
          </w:p>
        </w:tc>
        <w:tc>
          <w:tcPr>
            <w:tcW w:w="777" w:type="dxa"/>
            <w:tcBorders>
              <w:top w:val="nil"/>
              <w:bottom w:val="nil"/>
            </w:tcBorders>
            <w:shd w:val="clear" w:color="auto" w:fill="FFF1CC"/>
          </w:tcPr>
          <w:p>
            <w:pPr>
              <w:pStyle w:val="TableParagraph"/>
              <w:spacing w:before="117"/>
              <w:ind w:left="238"/>
              <w:rPr>
                <w:sz w:val="14"/>
              </w:rPr>
            </w:pPr>
            <w:r>
              <w:rPr>
                <w:w w:val="105"/>
                <w:sz w:val="14"/>
              </w:rPr>
              <w:t>4.5%</w:t>
            </w:r>
          </w:p>
        </w:tc>
        <w:tc>
          <w:tcPr>
            <w:tcW w:w="777" w:type="dxa"/>
            <w:tcBorders>
              <w:top w:val="nil"/>
              <w:bottom w:val="nil"/>
            </w:tcBorders>
            <w:shd w:val="clear" w:color="auto" w:fill="FFF1CC"/>
          </w:tcPr>
          <w:p>
            <w:pPr>
              <w:pStyle w:val="TableParagraph"/>
              <w:spacing w:before="117"/>
              <w:ind w:left="238"/>
              <w:rPr>
                <w:sz w:val="14"/>
              </w:rPr>
            </w:pPr>
            <w:r>
              <w:rPr>
                <w:w w:val="105"/>
                <w:sz w:val="14"/>
              </w:rPr>
              <w:t>4.6%</w:t>
            </w:r>
          </w:p>
        </w:tc>
        <w:tc>
          <w:tcPr>
            <w:tcW w:w="777" w:type="dxa"/>
            <w:tcBorders>
              <w:top w:val="nil"/>
              <w:bottom w:val="nil"/>
            </w:tcBorders>
            <w:shd w:val="clear" w:color="auto" w:fill="FFF1CC"/>
          </w:tcPr>
          <w:p>
            <w:pPr>
              <w:pStyle w:val="TableParagraph"/>
              <w:spacing w:before="117"/>
              <w:ind w:left="238"/>
              <w:rPr>
                <w:sz w:val="14"/>
              </w:rPr>
            </w:pPr>
            <w:r>
              <w:rPr>
                <w:w w:val="105"/>
                <w:sz w:val="14"/>
              </w:rPr>
              <w:t>4.6%</w:t>
            </w:r>
          </w:p>
        </w:tc>
        <w:tc>
          <w:tcPr>
            <w:tcW w:w="777" w:type="dxa"/>
            <w:tcBorders>
              <w:top w:val="nil"/>
              <w:bottom w:val="nil"/>
            </w:tcBorders>
            <w:shd w:val="clear" w:color="auto" w:fill="FFF1CC"/>
          </w:tcPr>
          <w:p>
            <w:pPr>
              <w:pStyle w:val="TableParagraph"/>
              <w:spacing w:before="117"/>
              <w:ind w:left="238"/>
              <w:rPr>
                <w:sz w:val="14"/>
              </w:rPr>
            </w:pPr>
            <w:r>
              <w:rPr>
                <w:w w:val="105"/>
                <w:sz w:val="14"/>
              </w:rPr>
              <w:t>4.7%</w:t>
            </w:r>
          </w:p>
        </w:tc>
        <w:tc>
          <w:tcPr>
            <w:tcW w:w="777" w:type="dxa"/>
            <w:tcBorders>
              <w:top w:val="nil"/>
              <w:bottom w:val="nil"/>
            </w:tcBorders>
            <w:shd w:val="clear" w:color="auto" w:fill="FFF1CC"/>
          </w:tcPr>
          <w:p>
            <w:pPr>
              <w:pStyle w:val="TableParagraph"/>
              <w:spacing w:before="117"/>
              <w:ind w:left="238"/>
              <w:rPr>
                <w:sz w:val="14"/>
              </w:rPr>
            </w:pPr>
            <w:r>
              <w:rPr>
                <w:w w:val="105"/>
                <w:sz w:val="14"/>
              </w:rPr>
              <w:t>4.7%</w:t>
            </w:r>
          </w:p>
        </w:tc>
      </w:tr>
      <w:tr>
        <w:trPr>
          <w:trHeight w:val="398" w:hRule="atLeast"/>
        </w:trPr>
        <w:tc>
          <w:tcPr>
            <w:tcW w:w="1374" w:type="dxa"/>
            <w:tcBorders>
              <w:top w:val="nil"/>
              <w:left w:val="single" w:sz="4" w:space="0" w:color="000000"/>
              <w:bottom w:val="nil"/>
            </w:tcBorders>
          </w:tcPr>
          <w:p>
            <w:pPr>
              <w:pStyle w:val="TableParagraph"/>
              <w:spacing w:before="117"/>
              <w:ind w:left="24"/>
              <w:rPr>
                <w:sz w:val="14"/>
              </w:rPr>
            </w:pPr>
            <w:r>
              <w:rPr>
                <w:w w:val="105"/>
                <w:sz w:val="14"/>
              </w:rPr>
              <w:t>PIB nominal</w:t>
            </w:r>
          </w:p>
        </w:tc>
        <w:tc>
          <w:tcPr>
            <w:tcW w:w="1233" w:type="dxa"/>
            <w:tcBorders>
              <w:top w:val="nil"/>
              <w:bottom w:val="nil"/>
            </w:tcBorders>
          </w:tcPr>
          <w:p>
            <w:pPr>
              <w:pStyle w:val="TableParagraph"/>
              <w:spacing w:before="117"/>
              <w:ind w:right="6"/>
              <w:jc w:val="right"/>
              <w:rPr>
                <w:sz w:val="14"/>
              </w:rPr>
            </w:pPr>
            <w:r>
              <w:rPr>
                <w:w w:val="105"/>
                <w:sz w:val="14"/>
              </w:rPr>
              <w:t>Millones de Q.</w:t>
            </w:r>
          </w:p>
        </w:tc>
        <w:tc>
          <w:tcPr>
            <w:tcW w:w="776" w:type="dxa"/>
            <w:tcBorders>
              <w:top w:val="nil"/>
              <w:bottom w:val="nil"/>
            </w:tcBorders>
          </w:tcPr>
          <w:p>
            <w:pPr>
              <w:pStyle w:val="TableParagraph"/>
              <w:spacing w:before="117"/>
              <w:ind w:right="45"/>
              <w:jc w:val="right"/>
              <w:rPr>
                <w:sz w:val="14"/>
              </w:rPr>
            </w:pPr>
            <w:r>
              <w:rPr>
                <w:sz w:val="14"/>
              </w:rPr>
              <w:t>599,235.8</w:t>
            </w:r>
          </w:p>
        </w:tc>
        <w:tc>
          <w:tcPr>
            <w:tcW w:w="777" w:type="dxa"/>
            <w:tcBorders>
              <w:top w:val="nil"/>
              <w:bottom w:val="nil"/>
            </w:tcBorders>
          </w:tcPr>
          <w:p>
            <w:pPr>
              <w:pStyle w:val="TableParagraph"/>
              <w:spacing w:before="117"/>
              <w:ind w:left="161"/>
              <w:rPr>
                <w:sz w:val="14"/>
              </w:rPr>
            </w:pPr>
            <w:r>
              <w:rPr>
                <w:w w:val="105"/>
                <w:sz w:val="14"/>
              </w:rPr>
              <w:t>665,048.2</w:t>
            </w:r>
          </w:p>
        </w:tc>
        <w:tc>
          <w:tcPr>
            <w:tcW w:w="777" w:type="dxa"/>
            <w:tcBorders>
              <w:top w:val="nil"/>
              <w:bottom w:val="nil"/>
            </w:tcBorders>
            <w:shd w:val="clear" w:color="auto" w:fill="E1EEDA"/>
          </w:tcPr>
          <w:p>
            <w:pPr>
              <w:pStyle w:val="TableParagraph"/>
              <w:spacing w:before="117"/>
              <w:ind w:right="45"/>
              <w:jc w:val="right"/>
              <w:rPr>
                <w:sz w:val="14"/>
              </w:rPr>
            </w:pPr>
            <w:r>
              <w:rPr>
                <w:sz w:val="14"/>
              </w:rPr>
              <w:t>709,829.8</w:t>
            </w:r>
          </w:p>
        </w:tc>
        <w:tc>
          <w:tcPr>
            <w:tcW w:w="777" w:type="dxa"/>
            <w:tcBorders>
              <w:top w:val="nil"/>
              <w:bottom w:val="nil"/>
            </w:tcBorders>
            <w:shd w:val="clear" w:color="auto" w:fill="FFF1CC"/>
          </w:tcPr>
          <w:p>
            <w:pPr>
              <w:pStyle w:val="TableParagraph"/>
              <w:spacing w:before="117"/>
              <w:ind w:right="45"/>
              <w:jc w:val="right"/>
              <w:rPr>
                <w:sz w:val="14"/>
              </w:rPr>
            </w:pPr>
            <w:r>
              <w:rPr>
                <w:sz w:val="14"/>
              </w:rPr>
              <w:t>769,557.7</w:t>
            </w:r>
          </w:p>
        </w:tc>
        <w:tc>
          <w:tcPr>
            <w:tcW w:w="777" w:type="dxa"/>
            <w:tcBorders>
              <w:top w:val="nil"/>
              <w:bottom w:val="nil"/>
            </w:tcBorders>
            <w:shd w:val="clear" w:color="auto" w:fill="FFF1CC"/>
          </w:tcPr>
          <w:p>
            <w:pPr>
              <w:pStyle w:val="TableParagraph"/>
              <w:spacing w:before="117"/>
              <w:ind w:right="45"/>
              <w:jc w:val="right"/>
              <w:rPr>
                <w:sz w:val="14"/>
              </w:rPr>
            </w:pPr>
            <w:r>
              <w:rPr>
                <w:sz w:val="14"/>
              </w:rPr>
              <w:t>817,309.8</w:t>
            </w:r>
          </w:p>
        </w:tc>
        <w:tc>
          <w:tcPr>
            <w:tcW w:w="777" w:type="dxa"/>
            <w:tcBorders>
              <w:top w:val="nil"/>
              <w:bottom w:val="nil"/>
            </w:tcBorders>
            <w:shd w:val="clear" w:color="auto" w:fill="FFF1CC"/>
          </w:tcPr>
          <w:p>
            <w:pPr>
              <w:pStyle w:val="TableParagraph"/>
              <w:spacing w:before="117"/>
              <w:ind w:left="160"/>
              <w:rPr>
                <w:sz w:val="14"/>
              </w:rPr>
            </w:pPr>
            <w:r>
              <w:rPr>
                <w:w w:val="105"/>
                <w:sz w:val="14"/>
              </w:rPr>
              <w:t>868,107.8</w:t>
            </w:r>
          </w:p>
        </w:tc>
        <w:tc>
          <w:tcPr>
            <w:tcW w:w="777" w:type="dxa"/>
            <w:tcBorders>
              <w:top w:val="nil"/>
              <w:bottom w:val="nil"/>
            </w:tcBorders>
            <w:shd w:val="clear" w:color="auto" w:fill="FFF1CC"/>
          </w:tcPr>
          <w:p>
            <w:pPr>
              <w:pStyle w:val="TableParagraph"/>
              <w:spacing w:before="117"/>
              <w:ind w:right="45"/>
              <w:jc w:val="right"/>
              <w:rPr>
                <w:sz w:val="14"/>
              </w:rPr>
            </w:pPr>
            <w:r>
              <w:rPr>
                <w:sz w:val="14"/>
              </w:rPr>
              <w:t>923,814.3</w:t>
            </w:r>
          </w:p>
        </w:tc>
        <w:tc>
          <w:tcPr>
            <w:tcW w:w="777" w:type="dxa"/>
            <w:tcBorders>
              <w:top w:val="nil"/>
              <w:bottom w:val="nil"/>
            </w:tcBorders>
            <w:shd w:val="clear" w:color="auto" w:fill="FFF1CC"/>
          </w:tcPr>
          <w:p>
            <w:pPr>
              <w:pStyle w:val="TableParagraph"/>
              <w:spacing w:before="117"/>
              <w:ind w:right="46"/>
              <w:jc w:val="right"/>
              <w:rPr>
                <w:sz w:val="14"/>
              </w:rPr>
            </w:pPr>
            <w:r>
              <w:rPr>
                <w:sz w:val="14"/>
              </w:rPr>
              <w:t>983,053.8</w:t>
            </w:r>
          </w:p>
        </w:tc>
      </w:tr>
      <w:tr>
        <w:trPr>
          <w:trHeight w:val="397" w:hRule="atLeast"/>
        </w:trPr>
        <w:tc>
          <w:tcPr>
            <w:tcW w:w="1374" w:type="dxa"/>
            <w:tcBorders>
              <w:top w:val="nil"/>
              <w:left w:val="single" w:sz="4" w:space="0" w:color="000000"/>
              <w:bottom w:val="nil"/>
            </w:tcBorders>
          </w:tcPr>
          <w:p>
            <w:pPr>
              <w:pStyle w:val="TableParagraph"/>
              <w:spacing w:before="117"/>
              <w:ind w:left="412"/>
              <w:rPr>
                <w:sz w:val="14"/>
              </w:rPr>
            </w:pPr>
            <w:r>
              <w:rPr>
                <w:w w:val="105"/>
                <w:sz w:val="14"/>
              </w:rPr>
              <w:t>Variación</w:t>
            </w:r>
          </w:p>
        </w:tc>
        <w:tc>
          <w:tcPr>
            <w:tcW w:w="1233" w:type="dxa"/>
            <w:tcBorders>
              <w:top w:val="nil"/>
              <w:bottom w:val="nil"/>
            </w:tcBorders>
          </w:tcPr>
          <w:p>
            <w:pPr>
              <w:pStyle w:val="TableParagraph"/>
              <w:spacing w:before="117"/>
              <w:ind w:right="8"/>
              <w:jc w:val="right"/>
              <w:rPr>
                <w:sz w:val="14"/>
              </w:rPr>
            </w:pPr>
            <w:r>
              <w:rPr>
                <w:w w:val="105"/>
                <w:sz w:val="14"/>
              </w:rPr>
              <w:t>Variación %</w:t>
            </w:r>
          </w:p>
        </w:tc>
        <w:tc>
          <w:tcPr>
            <w:tcW w:w="776" w:type="dxa"/>
            <w:tcBorders>
              <w:top w:val="nil"/>
              <w:bottom w:val="nil"/>
            </w:tcBorders>
          </w:tcPr>
          <w:p>
            <w:pPr>
              <w:pStyle w:val="TableParagraph"/>
              <w:spacing w:before="117"/>
              <w:ind w:left="238"/>
              <w:rPr>
                <w:sz w:val="14"/>
              </w:rPr>
            </w:pPr>
            <w:r>
              <w:rPr>
                <w:w w:val="105"/>
                <w:sz w:val="14"/>
              </w:rPr>
              <w:t>1.1%</w:t>
            </w:r>
          </w:p>
        </w:tc>
        <w:tc>
          <w:tcPr>
            <w:tcW w:w="777" w:type="dxa"/>
            <w:tcBorders>
              <w:top w:val="nil"/>
              <w:bottom w:val="nil"/>
            </w:tcBorders>
          </w:tcPr>
          <w:p>
            <w:pPr>
              <w:pStyle w:val="TableParagraph"/>
              <w:spacing w:before="117"/>
              <w:ind w:left="209"/>
              <w:rPr>
                <w:sz w:val="14"/>
              </w:rPr>
            </w:pPr>
            <w:r>
              <w:rPr>
                <w:w w:val="105"/>
                <w:sz w:val="14"/>
              </w:rPr>
              <w:t>11.0%</w:t>
            </w:r>
          </w:p>
        </w:tc>
        <w:tc>
          <w:tcPr>
            <w:tcW w:w="777" w:type="dxa"/>
            <w:tcBorders>
              <w:top w:val="nil"/>
              <w:bottom w:val="nil"/>
            </w:tcBorders>
            <w:shd w:val="clear" w:color="auto" w:fill="E1EEDA"/>
          </w:tcPr>
          <w:p>
            <w:pPr>
              <w:pStyle w:val="TableParagraph"/>
              <w:spacing w:before="117"/>
              <w:ind w:left="238"/>
              <w:rPr>
                <w:sz w:val="14"/>
              </w:rPr>
            </w:pPr>
            <w:r>
              <w:rPr>
                <w:w w:val="105"/>
                <w:sz w:val="14"/>
              </w:rPr>
              <w:t>6.7%</w:t>
            </w:r>
          </w:p>
        </w:tc>
        <w:tc>
          <w:tcPr>
            <w:tcW w:w="777" w:type="dxa"/>
            <w:tcBorders>
              <w:top w:val="nil"/>
              <w:bottom w:val="nil"/>
            </w:tcBorders>
            <w:shd w:val="clear" w:color="auto" w:fill="FFF1CC"/>
          </w:tcPr>
          <w:p>
            <w:pPr>
              <w:pStyle w:val="TableParagraph"/>
              <w:spacing w:before="117"/>
              <w:ind w:left="238"/>
              <w:rPr>
                <w:sz w:val="14"/>
              </w:rPr>
            </w:pPr>
            <w:r>
              <w:rPr>
                <w:w w:val="105"/>
                <w:sz w:val="14"/>
              </w:rPr>
              <w:t>7.4%</w:t>
            </w:r>
          </w:p>
        </w:tc>
        <w:tc>
          <w:tcPr>
            <w:tcW w:w="777" w:type="dxa"/>
            <w:tcBorders>
              <w:top w:val="nil"/>
              <w:bottom w:val="nil"/>
            </w:tcBorders>
            <w:shd w:val="clear" w:color="auto" w:fill="FFF1CC"/>
          </w:tcPr>
          <w:p>
            <w:pPr>
              <w:pStyle w:val="TableParagraph"/>
              <w:spacing w:before="117"/>
              <w:ind w:left="238"/>
              <w:rPr>
                <w:sz w:val="14"/>
              </w:rPr>
            </w:pPr>
            <w:r>
              <w:rPr>
                <w:w w:val="105"/>
                <w:sz w:val="14"/>
              </w:rPr>
              <w:t>7.2%</w:t>
            </w:r>
          </w:p>
        </w:tc>
        <w:tc>
          <w:tcPr>
            <w:tcW w:w="777" w:type="dxa"/>
            <w:tcBorders>
              <w:top w:val="nil"/>
              <w:bottom w:val="nil"/>
            </w:tcBorders>
            <w:shd w:val="clear" w:color="auto" w:fill="FFF1CC"/>
          </w:tcPr>
          <w:p>
            <w:pPr>
              <w:pStyle w:val="TableParagraph"/>
              <w:spacing w:before="117"/>
              <w:ind w:left="238"/>
              <w:rPr>
                <w:sz w:val="14"/>
              </w:rPr>
            </w:pPr>
            <w:r>
              <w:rPr>
                <w:w w:val="105"/>
                <w:sz w:val="14"/>
              </w:rPr>
              <w:t>7.2%</w:t>
            </w:r>
          </w:p>
        </w:tc>
        <w:tc>
          <w:tcPr>
            <w:tcW w:w="777" w:type="dxa"/>
            <w:tcBorders>
              <w:top w:val="nil"/>
              <w:bottom w:val="nil"/>
            </w:tcBorders>
            <w:shd w:val="clear" w:color="auto" w:fill="FFF1CC"/>
          </w:tcPr>
          <w:p>
            <w:pPr>
              <w:pStyle w:val="TableParagraph"/>
              <w:spacing w:before="117"/>
              <w:ind w:left="238"/>
              <w:rPr>
                <w:sz w:val="14"/>
              </w:rPr>
            </w:pPr>
            <w:r>
              <w:rPr>
                <w:w w:val="105"/>
                <w:sz w:val="14"/>
              </w:rPr>
              <w:t>7.4%</w:t>
            </w:r>
          </w:p>
        </w:tc>
        <w:tc>
          <w:tcPr>
            <w:tcW w:w="777" w:type="dxa"/>
            <w:tcBorders>
              <w:top w:val="nil"/>
              <w:bottom w:val="nil"/>
            </w:tcBorders>
            <w:shd w:val="clear" w:color="auto" w:fill="FFF1CC"/>
          </w:tcPr>
          <w:p>
            <w:pPr>
              <w:pStyle w:val="TableParagraph"/>
              <w:spacing w:before="117"/>
              <w:ind w:left="238"/>
              <w:rPr>
                <w:sz w:val="14"/>
              </w:rPr>
            </w:pPr>
            <w:r>
              <w:rPr>
                <w:w w:val="105"/>
                <w:sz w:val="14"/>
              </w:rPr>
              <w:t>7.4%</w:t>
            </w:r>
          </w:p>
        </w:tc>
      </w:tr>
      <w:tr>
        <w:trPr>
          <w:trHeight w:val="398" w:hRule="atLeast"/>
        </w:trPr>
        <w:tc>
          <w:tcPr>
            <w:tcW w:w="1374" w:type="dxa"/>
            <w:tcBorders>
              <w:top w:val="nil"/>
              <w:left w:val="single" w:sz="4" w:space="0" w:color="000000"/>
              <w:bottom w:val="nil"/>
            </w:tcBorders>
          </w:tcPr>
          <w:p>
            <w:pPr>
              <w:pStyle w:val="TableParagraph"/>
              <w:spacing w:before="117"/>
              <w:ind w:left="24"/>
              <w:rPr>
                <w:sz w:val="14"/>
              </w:rPr>
            </w:pPr>
            <w:r>
              <w:rPr>
                <w:w w:val="105"/>
                <w:sz w:val="14"/>
              </w:rPr>
              <w:t>Importaciones FOB</w:t>
            </w:r>
          </w:p>
        </w:tc>
        <w:tc>
          <w:tcPr>
            <w:tcW w:w="1233" w:type="dxa"/>
            <w:tcBorders>
              <w:top w:val="nil"/>
              <w:bottom w:val="nil"/>
            </w:tcBorders>
          </w:tcPr>
          <w:p>
            <w:pPr>
              <w:pStyle w:val="TableParagraph"/>
              <w:spacing w:before="117"/>
              <w:ind w:right="6"/>
              <w:jc w:val="right"/>
              <w:rPr>
                <w:sz w:val="14"/>
              </w:rPr>
            </w:pPr>
            <w:r>
              <w:rPr>
                <w:w w:val="105"/>
                <w:sz w:val="14"/>
              </w:rPr>
              <w:t>Millones de US$.</w:t>
            </w:r>
          </w:p>
        </w:tc>
        <w:tc>
          <w:tcPr>
            <w:tcW w:w="776" w:type="dxa"/>
            <w:tcBorders>
              <w:top w:val="nil"/>
              <w:bottom w:val="nil"/>
            </w:tcBorders>
          </w:tcPr>
          <w:p>
            <w:pPr>
              <w:pStyle w:val="TableParagraph"/>
              <w:spacing w:before="117"/>
              <w:ind w:right="45"/>
              <w:jc w:val="right"/>
              <w:rPr>
                <w:sz w:val="14"/>
              </w:rPr>
            </w:pPr>
            <w:r>
              <w:rPr>
                <w:w w:val="105"/>
                <w:sz w:val="14"/>
              </w:rPr>
              <w:t>16,441.2</w:t>
            </w:r>
          </w:p>
        </w:tc>
        <w:tc>
          <w:tcPr>
            <w:tcW w:w="777" w:type="dxa"/>
            <w:tcBorders>
              <w:top w:val="nil"/>
              <w:bottom w:val="nil"/>
            </w:tcBorders>
          </w:tcPr>
          <w:p>
            <w:pPr>
              <w:pStyle w:val="TableParagraph"/>
              <w:spacing w:before="117"/>
              <w:ind w:left="229"/>
              <w:rPr>
                <w:sz w:val="14"/>
              </w:rPr>
            </w:pPr>
            <w:r>
              <w:rPr>
                <w:w w:val="105"/>
                <w:sz w:val="14"/>
              </w:rPr>
              <w:t>23,332.7</w:t>
            </w:r>
          </w:p>
        </w:tc>
        <w:tc>
          <w:tcPr>
            <w:tcW w:w="777" w:type="dxa"/>
            <w:tcBorders>
              <w:top w:val="nil"/>
              <w:bottom w:val="nil"/>
            </w:tcBorders>
            <w:shd w:val="clear" w:color="auto" w:fill="E1EEDA"/>
          </w:tcPr>
          <w:p>
            <w:pPr>
              <w:pStyle w:val="TableParagraph"/>
              <w:spacing w:before="117"/>
              <w:ind w:right="45"/>
              <w:jc w:val="right"/>
              <w:rPr>
                <w:sz w:val="14"/>
              </w:rPr>
            </w:pPr>
            <w:r>
              <w:rPr>
                <w:w w:val="105"/>
                <w:sz w:val="14"/>
              </w:rPr>
              <w:t>25,778.7</w:t>
            </w:r>
          </w:p>
        </w:tc>
        <w:tc>
          <w:tcPr>
            <w:tcW w:w="777" w:type="dxa"/>
            <w:tcBorders>
              <w:top w:val="nil"/>
              <w:bottom w:val="nil"/>
            </w:tcBorders>
            <w:shd w:val="clear" w:color="auto" w:fill="FFF1CC"/>
          </w:tcPr>
          <w:p>
            <w:pPr>
              <w:pStyle w:val="TableParagraph"/>
              <w:spacing w:before="117"/>
              <w:ind w:right="45"/>
              <w:jc w:val="right"/>
              <w:rPr>
                <w:sz w:val="14"/>
              </w:rPr>
            </w:pPr>
            <w:r>
              <w:rPr>
                <w:w w:val="105"/>
                <w:sz w:val="14"/>
              </w:rPr>
              <w:t>28,614.4</w:t>
            </w:r>
          </w:p>
        </w:tc>
        <w:tc>
          <w:tcPr>
            <w:tcW w:w="777" w:type="dxa"/>
            <w:tcBorders>
              <w:top w:val="nil"/>
              <w:bottom w:val="nil"/>
            </w:tcBorders>
            <w:shd w:val="clear" w:color="auto" w:fill="FFF1CC"/>
          </w:tcPr>
          <w:p>
            <w:pPr>
              <w:pStyle w:val="TableParagraph"/>
              <w:spacing w:before="117"/>
              <w:ind w:right="45"/>
              <w:jc w:val="right"/>
              <w:rPr>
                <w:sz w:val="14"/>
              </w:rPr>
            </w:pPr>
            <w:r>
              <w:rPr>
                <w:w w:val="105"/>
                <w:sz w:val="14"/>
              </w:rPr>
              <w:t>30,776.0</w:t>
            </w:r>
          </w:p>
        </w:tc>
        <w:tc>
          <w:tcPr>
            <w:tcW w:w="777" w:type="dxa"/>
            <w:tcBorders>
              <w:top w:val="nil"/>
              <w:bottom w:val="nil"/>
            </w:tcBorders>
            <w:shd w:val="clear" w:color="auto" w:fill="FFF1CC"/>
          </w:tcPr>
          <w:p>
            <w:pPr>
              <w:pStyle w:val="TableParagraph"/>
              <w:spacing w:before="117"/>
              <w:ind w:left="228"/>
              <w:rPr>
                <w:sz w:val="14"/>
              </w:rPr>
            </w:pPr>
            <w:r>
              <w:rPr>
                <w:w w:val="105"/>
                <w:sz w:val="14"/>
              </w:rPr>
              <w:t>32,942.5</w:t>
            </w:r>
          </w:p>
        </w:tc>
        <w:tc>
          <w:tcPr>
            <w:tcW w:w="777" w:type="dxa"/>
            <w:tcBorders>
              <w:top w:val="nil"/>
              <w:bottom w:val="nil"/>
            </w:tcBorders>
            <w:shd w:val="clear" w:color="auto" w:fill="FFF1CC"/>
          </w:tcPr>
          <w:p>
            <w:pPr>
              <w:pStyle w:val="TableParagraph"/>
              <w:spacing w:before="117"/>
              <w:ind w:right="45"/>
              <w:jc w:val="right"/>
              <w:rPr>
                <w:sz w:val="14"/>
              </w:rPr>
            </w:pPr>
            <w:r>
              <w:rPr>
                <w:w w:val="105"/>
                <w:sz w:val="14"/>
              </w:rPr>
              <w:t>35,403.9</w:t>
            </w:r>
          </w:p>
        </w:tc>
        <w:tc>
          <w:tcPr>
            <w:tcW w:w="777" w:type="dxa"/>
            <w:tcBorders>
              <w:top w:val="nil"/>
              <w:bottom w:val="nil"/>
            </w:tcBorders>
            <w:shd w:val="clear" w:color="auto" w:fill="FFF1CC"/>
          </w:tcPr>
          <w:p>
            <w:pPr>
              <w:pStyle w:val="TableParagraph"/>
              <w:spacing w:before="117"/>
              <w:ind w:right="46"/>
              <w:jc w:val="right"/>
              <w:rPr>
                <w:sz w:val="14"/>
              </w:rPr>
            </w:pPr>
            <w:r>
              <w:rPr>
                <w:w w:val="105"/>
                <w:sz w:val="14"/>
              </w:rPr>
              <w:t>38,063.3</w:t>
            </w:r>
          </w:p>
        </w:tc>
      </w:tr>
      <w:tr>
        <w:trPr>
          <w:trHeight w:val="383" w:hRule="atLeast"/>
        </w:trPr>
        <w:tc>
          <w:tcPr>
            <w:tcW w:w="1374" w:type="dxa"/>
            <w:tcBorders>
              <w:top w:val="nil"/>
              <w:left w:val="single" w:sz="4" w:space="0" w:color="000000"/>
            </w:tcBorders>
          </w:tcPr>
          <w:p>
            <w:pPr>
              <w:pStyle w:val="TableParagraph"/>
              <w:spacing w:before="117"/>
              <w:ind w:left="431"/>
              <w:rPr>
                <w:sz w:val="14"/>
              </w:rPr>
            </w:pPr>
            <w:r>
              <w:rPr>
                <w:w w:val="105"/>
                <w:sz w:val="14"/>
              </w:rPr>
              <w:t>variación</w:t>
            </w:r>
          </w:p>
        </w:tc>
        <w:tc>
          <w:tcPr>
            <w:tcW w:w="1233" w:type="dxa"/>
            <w:tcBorders>
              <w:top w:val="nil"/>
            </w:tcBorders>
          </w:tcPr>
          <w:p>
            <w:pPr>
              <w:pStyle w:val="TableParagraph"/>
              <w:spacing w:before="117"/>
              <w:ind w:right="8"/>
              <w:jc w:val="right"/>
              <w:rPr>
                <w:sz w:val="14"/>
              </w:rPr>
            </w:pPr>
            <w:r>
              <w:rPr>
                <w:w w:val="105"/>
                <w:sz w:val="14"/>
              </w:rPr>
              <w:t>Variación %</w:t>
            </w:r>
          </w:p>
        </w:tc>
        <w:tc>
          <w:tcPr>
            <w:tcW w:w="776" w:type="dxa"/>
            <w:tcBorders>
              <w:top w:val="nil"/>
            </w:tcBorders>
          </w:tcPr>
          <w:p>
            <w:pPr>
              <w:pStyle w:val="TableParagraph"/>
              <w:spacing w:before="117"/>
              <w:ind w:left="218"/>
              <w:rPr>
                <w:sz w:val="14"/>
              </w:rPr>
            </w:pPr>
            <w:r>
              <w:rPr>
                <w:w w:val="105"/>
                <w:sz w:val="14"/>
              </w:rPr>
              <w:t>-8.1%</w:t>
            </w:r>
          </w:p>
        </w:tc>
        <w:tc>
          <w:tcPr>
            <w:tcW w:w="777" w:type="dxa"/>
            <w:tcBorders>
              <w:top w:val="nil"/>
            </w:tcBorders>
          </w:tcPr>
          <w:p>
            <w:pPr>
              <w:pStyle w:val="TableParagraph"/>
              <w:spacing w:before="117"/>
              <w:ind w:left="209"/>
              <w:rPr>
                <w:sz w:val="14"/>
              </w:rPr>
            </w:pPr>
            <w:r>
              <w:rPr>
                <w:w w:val="105"/>
                <w:sz w:val="14"/>
              </w:rPr>
              <w:t>41.9%</w:t>
            </w:r>
          </w:p>
        </w:tc>
        <w:tc>
          <w:tcPr>
            <w:tcW w:w="777" w:type="dxa"/>
            <w:tcBorders>
              <w:top w:val="nil"/>
            </w:tcBorders>
            <w:shd w:val="clear" w:color="auto" w:fill="E1EEDA"/>
          </w:tcPr>
          <w:p>
            <w:pPr>
              <w:pStyle w:val="TableParagraph"/>
              <w:spacing w:before="117"/>
              <w:ind w:left="209"/>
              <w:rPr>
                <w:sz w:val="14"/>
              </w:rPr>
            </w:pPr>
            <w:r>
              <w:rPr>
                <w:w w:val="105"/>
                <w:sz w:val="14"/>
              </w:rPr>
              <w:t>10.5%</w:t>
            </w:r>
          </w:p>
        </w:tc>
        <w:tc>
          <w:tcPr>
            <w:tcW w:w="777" w:type="dxa"/>
            <w:tcBorders>
              <w:top w:val="nil"/>
            </w:tcBorders>
            <w:shd w:val="clear" w:color="auto" w:fill="FFF1CC"/>
          </w:tcPr>
          <w:p>
            <w:pPr>
              <w:pStyle w:val="TableParagraph"/>
              <w:spacing w:before="117"/>
              <w:ind w:left="238"/>
              <w:rPr>
                <w:sz w:val="14"/>
              </w:rPr>
            </w:pPr>
            <w:r>
              <w:rPr>
                <w:w w:val="105"/>
                <w:sz w:val="14"/>
              </w:rPr>
              <w:t>9.5%</w:t>
            </w:r>
          </w:p>
        </w:tc>
        <w:tc>
          <w:tcPr>
            <w:tcW w:w="777" w:type="dxa"/>
            <w:tcBorders>
              <w:top w:val="nil"/>
            </w:tcBorders>
            <w:shd w:val="clear" w:color="auto" w:fill="FFF1CC"/>
          </w:tcPr>
          <w:p>
            <w:pPr>
              <w:pStyle w:val="TableParagraph"/>
              <w:spacing w:before="117"/>
              <w:ind w:left="238"/>
              <w:rPr>
                <w:sz w:val="14"/>
              </w:rPr>
            </w:pPr>
            <w:r>
              <w:rPr>
                <w:w w:val="105"/>
                <w:sz w:val="14"/>
              </w:rPr>
              <w:t>9.0%</w:t>
            </w:r>
          </w:p>
        </w:tc>
        <w:tc>
          <w:tcPr>
            <w:tcW w:w="777" w:type="dxa"/>
            <w:tcBorders>
              <w:top w:val="nil"/>
            </w:tcBorders>
            <w:shd w:val="clear" w:color="auto" w:fill="FFF1CC"/>
          </w:tcPr>
          <w:p>
            <w:pPr>
              <w:pStyle w:val="TableParagraph"/>
              <w:spacing w:before="117"/>
              <w:ind w:left="238"/>
              <w:rPr>
                <w:sz w:val="14"/>
              </w:rPr>
            </w:pPr>
            <w:r>
              <w:rPr>
                <w:w w:val="105"/>
                <w:sz w:val="14"/>
              </w:rPr>
              <w:t>8.5%</w:t>
            </w:r>
          </w:p>
        </w:tc>
        <w:tc>
          <w:tcPr>
            <w:tcW w:w="777" w:type="dxa"/>
            <w:tcBorders>
              <w:top w:val="nil"/>
            </w:tcBorders>
            <w:shd w:val="clear" w:color="auto" w:fill="FFF1CC"/>
          </w:tcPr>
          <w:p>
            <w:pPr>
              <w:pStyle w:val="TableParagraph"/>
              <w:spacing w:before="117"/>
              <w:ind w:left="238"/>
              <w:rPr>
                <w:sz w:val="14"/>
              </w:rPr>
            </w:pPr>
            <w:r>
              <w:rPr>
                <w:w w:val="105"/>
                <w:sz w:val="14"/>
              </w:rPr>
              <w:t>9.0%</w:t>
            </w:r>
          </w:p>
        </w:tc>
        <w:tc>
          <w:tcPr>
            <w:tcW w:w="777" w:type="dxa"/>
            <w:tcBorders>
              <w:top w:val="nil"/>
            </w:tcBorders>
            <w:shd w:val="clear" w:color="auto" w:fill="FFF1CC"/>
          </w:tcPr>
          <w:p>
            <w:pPr>
              <w:pStyle w:val="TableParagraph"/>
              <w:spacing w:before="117"/>
              <w:ind w:left="238"/>
              <w:rPr>
                <w:sz w:val="14"/>
              </w:rPr>
            </w:pPr>
            <w:r>
              <w:rPr>
                <w:w w:val="105"/>
                <w:sz w:val="14"/>
              </w:rPr>
              <w:t>9.0%</w:t>
            </w:r>
          </w:p>
        </w:tc>
      </w:tr>
    </w:tbl>
    <w:p>
      <w:pPr>
        <w:spacing w:before="38"/>
        <w:ind w:left="562" w:right="0" w:firstLine="0"/>
        <w:jc w:val="both"/>
        <w:rPr>
          <w:sz w:val="18"/>
        </w:rPr>
      </w:pPr>
      <w:r>
        <w:rPr>
          <w:sz w:val="18"/>
        </w:rPr>
        <w:t>Fuente: Banco de Guatemala (escenario bajo 2022 y alto para 2023-2027)</w:t>
      </w:r>
    </w:p>
    <w:p>
      <w:pPr>
        <w:spacing w:after="0"/>
        <w:jc w:val="both"/>
        <w:rPr>
          <w:sz w:val="18"/>
        </w:rPr>
        <w:sectPr>
          <w:type w:val="continuous"/>
          <w:pgSz w:w="12240" w:h="15840"/>
          <w:pgMar w:top="1500" w:bottom="280" w:left="1140" w:right="0"/>
        </w:sectPr>
      </w:pPr>
    </w:p>
    <w:p>
      <w:pPr>
        <w:pStyle w:val="BodyText"/>
        <w:spacing w:line="276" w:lineRule="auto" w:before="162"/>
        <w:ind w:left="562" w:right="1702"/>
        <w:jc w:val="both"/>
      </w:pPr>
      <w:r>
        <w:rPr/>
        <w:t>Este escenario puede considerarse como optimista, para 2023 refleja que la recaudación tributaria podría ubicarse en Q87,495.2 millones, monto mayor a lo previsto en la estimación de presupuesto multianual en Q2,884.6 millones.</w:t>
      </w:r>
    </w:p>
    <w:p>
      <w:pPr>
        <w:pStyle w:val="BodyText"/>
        <w:spacing w:before="4"/>
        <w:rPr>
          <w:sz w:val="25"/>
        </w:rPr>
      </w:pPr>
    </w:p>
    <w:p>
      <w:pPr>
        <w:pStyle w:val="BodyText"/>
        <w:spacing w:line="276" w:lineRule="auto"/>
        <w:ind w:left="562" w:right="1698"/>
        <w:jc w:val="both"/>
      </w:pPr>
      <w:r>
        <w:rPr/>
        <w:t>Se</w:t>
      </w:r>
      <w:r>
        <w:rPr>
          <w:spacing w:val="-10"/>
        </w:rPr>
        <w:t> </w:t>
      </w:r>
      <w:r>
        <w:rPr/>
        <w:t>prevé</w:t>
      </w:r>
      <w:r>
        <w:rPr>
          <w:spacing w:val="-8"/>
        </w:rPr>
        <w:t> </w:t>
      </w:r>
      <w:r>
        <w:rPr/>
        <w:t>alcanzar</w:t>
      </w:r>
      <w:r>
        <w:rPr>
          <w:spacing w:val="-8"/>
        </w:rPr>
        <w:t> </w:t>
      </w:r>
      <w:r>
        <w:rPr/>
        <w:t>con</w:t>
      </w:r>
      <w:r>
        <w:rPr>
          <w:spacing w:val="-9"/>
        </w:rPr>
        <w:t> </w:t>
      </w:r>
      <w:r>
        <w:rPr/>
        <w:t>este</w:t>
      </w:r>
      <w:r>
        <w:rPr>
          <w:spacing w:val="-10"/>
        </w:rPr>
        <w:t> </w:t>
      </w:r>
      <w:r>
        <w:rPr/>
        <w:t>escenario</w:t>
      </w:r>
      <w:r>
        <w:rPr>
          <w:spacing w:val="-10"/>
        </w:rPr>
        <w:t> </w:t>
      </w:r>
      <w:r>
        <w:rPr/>
        <w:t>en</w:t>
      </w:r>
      <w:r>
        <w:rPr>
          <w:spacing w:val="-10"/>
        </w:rPr>
        <w:t> </w:t>
      </w:r>
      <w:r>
        <w:rPr/>
        <w:t>2027</w:t>
      </w:r>
      <w:r>
        <w:rPr>
          <w:spacing w:val="-9"/>
        </w:rPr>
        <w:t> </w:t>
      </w:r>
      <w:r>
        <w:rPr/>
        <w:t>una</w:t>
      </w:r>
      <w:r>
        <w:rPr>
          <w:spacing w:val="-9"/>
        </w:rPr>
        <w:t> </w:t>
      </w:r>
      <w:r>
        <w:rPr/>
        <w:t>carga</w:t>
      </w:r>
      <w:r>
        <w:rPr>
          <w:spacing w:val="-10"/>
        </w:rPr>
        <w:t> </w:t>
      </w:r>
      <w:r>
        <w:rPr/>
        <w:t>tributaria</w:t>
      </w:r>
      <w:r>
        <w:rPr>
          <w:spacing w:val="-9"/>
        </w:rPr>
        <w:t> </w:t>
      </w:r>
      <w:r>
        <w:rPr/>
        <w:t>de</w:t>
      </w:r>
      <w:r>
        <w:rPr>
          <w:spacing w:val="-8"/>
        </w:rPr>
        <w:t> </w:t>
      </w:r>
      <w:r>
        <w:rPr/>
        <w:t>12.3%,</w:t>
      </w:r>
      <w:r>
        <w:rPr>
          <w:spacing w:val="-11"/>
        </w:rPr>
        <w:t> </w:t>
      </w:r>
      <w:r>
        <w:rPr/>
        <w:t>los</w:t>
      </w:r>
      <w:r>
        <w:rPr>
          <w:spacing w:val="-11"/>
        </w:rPr>
        <w:t> </w:t>
      </w:r>
      <w:r>
        <w:rPr/>
        <w:t>principales</w:t>
      </w:r>
      <w:r>
        <w:rPr>
          <w:spacing w:val="-10"/>
        </w:rPr>
        <w:t> </w:t>
      </w:r>
      <w:r>
        <w:rPr/>
        <w:t>impuestos ISR e IVA, mostrarían una mayor dinámica que el escenario del Proyecto de Presupuesto, para el resto</w:t>
      </w:r>
      <w:r>
        <w:rPr>
          <w:spacing w:val="-4"/>
        </w:rPr>
        <w:t> </w:t>
      </w:r>
      <w:r>
        <w:rPr/>
        <w:t>de</w:t>
      </w:r>
      <w:r>
        <w:rPr>
          <w:spacing w:val="-3"/>
        </w:rPr>
        <w:t> </w:t>
      </w:r>
      <w:r>
        <w:rPr/>
        <w:t>los</w:t>
      </w:r>
      <w:r>
        <w:rPr>
          <w:spacing w:val="-3"/>
        </w:rPr>
        <w:t> </w:t>
      </w:r>
      <w:r>
        <w:rPr/>
        <w:t>impuestos</w:t>
      </w:r>
      <w:r>
        <w:rPr>
          <w:spacing w:val="-3"/>
        </w:rPr>
        <w:t> </w:t>
      </w:r>
      <w:r>
        <w:rPr/>
        <w:t>se</w:t>
      </w:r>
      <w:r>
        <w:rPr>
          <w:spacing w:val="-2"/>
        </w:rPr>
        <w:t> </w:t>
      </w:r>
      <w:r>
        <w:rPr/>
        <w:t>espera</w:t>
      </w:r>
      <w:r>
        <w:rPr>
          <w:spacing w:val="-3"/>
        </w:rPr>
        <w:t> </w:t>
      </w:r>
      <w:r>
        <w:rPr/>
        <w:t>un</w:t>
      </w:r>
      <w:r>
        <w:rPr>
          <w:spacing w:val="-4"/>
        </w:rPr>
        <w:t> </w:t>
      </w:r>
      <w:r>
        <w:rPr/>
        <w:t>comportamiento</w:t>
      </w:r>
      <w:r>
        <w:rPr>
          <w:spacing w:val="-4"/>
        </w:rPr>
        <w:t> </w:t>
      </w:r>
      <w:r>
        <w:rPr/>
        <w:t>apegado</w:t>
      </w:r>
      <w:r>
        <w:rPr>
          <w:spacing w:val="-3"/>
        </w:rPr>
        <w:t> </w:t>
      </w:r>
      <w:r>
        <w:rPr/>
        <w:t>a</w:t>
      </w:r>
      <w:r>
        <w:rPr>
          <w:spacing w:val="-3"/>
        </w:rPr>
        <w:t> </w:t>
      </w:r>
      <w:r>
        <w:rPr/>
        <w:t>las</w:t>
      </w:r>
      <w:r>
        <w:rPr>
          <w:spacing w:val="-3"/>
        </w:rPr>
        <w:t> </w:t>
      </w:r>
      <w:r>
        <w:rPr/>
        <w:t>variables</w:t>
      </w:r>
      <w:r>
        <w:rPr>
          <w:spacing w:val="-3"/>
        </w:rPr>
        <w:t> </w:t>
      </w:r>
      <w:r>
        <w:rPr/>
        <w:t>que</w:t>
      </w:r>
      <w:r>
        <w:rPr>
          <w:spacing w:val="-3"/>
        </w:rPr>
        <w:t> </w:t>
      </w:r>
      <w:r>
        <w:rPr/>
        <w:t>los</w:t>
      </w:r>
      <w:r>
        <w:rPr>
          <w:spacing w:val="-3"/>
        </w:rPr>
        <w:t> </w:t>
      </w:r>
      <w:r>
        <w:rPr/>
        <w:t>determinan,</w:t>
      </w:r>
      <w:r>
        <w:rPr>
          <w:spacing w:val="-3"/>
        </w:rPr>
        <w:t> </w:t>
      </w:r>
      <w:r>
        <w:rPr/>
        <w:t>esto previendo una mayor recuperación de la economía</w:t>
      </w:r>
      <w:r>
        <w:rPr>
          <w:spacing w:val="-6"/>
        </w:rPr>
        <w:t> </w:t>
      </w:r>
      <w:r>
        <w:rPr/>
        <w:t>mundial.</w:t>
      </w:r>
    </w:p>
    <w:p>
      <w:pPr>
        <w:pStyle w:val="BodyText"/>
        <w:spacing w:before="3"/>
        <w:rPr>
          <w:sz w:val="25"/>
        </w:rPr>
      </w:pPr>
    </w:p>
    <w:p>
      <w:pPr>
        <w:pStyle w:val="BodyText"/>
        <w:spacing w:line="276" w:lineRule="auto"/>
        <w:ind w:left="562" w:right="1700"/>
        <w:jc w:val="both"/>
      </w:pPr>
      <w:r>
        <w:rPr/>
        <w:t>Este escenario no contempla medidas de política fiscal (Reformas tributarias o modificaciones al marco legal vigente), en este ejercicio de igual manera que el anterior considera medidas administrativas para la reducción del incumplimiento por parte de la Superintendencia de Administración Tributaria –SAT- que a su vez se convertirán en un aumento en la percepción de riesgo de los contribuyentes.</w:t>
      </w:r>
    </w:p>
    <w:p>
      <w:pPr>
        <w:pStyle w:val="BodyText"/>
        <w:spacing w:before="10"/>
        <w:rPr>
          <w:sz w:val="25"/>
        </w:rPr>
      </w:pPr>
    </w:p>
    <w:p>
      <w:pPr>
        <w:spacing w:before="0"/>
        <w:ind w:left="1395" w:right="2531" w:firstLine="0"/>
        <w:jc w:val="center"/>
        <w:rPr>
          <w:b/>
          <w:sz w:val="18"/>
        </w:rPr>
      </w:pPr>
      <w:r>
        <w:rPr>
          <w:b/>
          <w:color w:val="44536A"/>
          <w:sz w:val="18"/>
        </w:rPr>
        <w:t>Tabla </w:t>
      </w:r>
      <w:r>
        <w:rPr>
          <w:b/>
          <w:i/>
          <w:color w:val="44536A"/>
          <w:sz w:val="18"/>
        </w:rPr>
        <w:t>23 </w:t>
      </w:r>
      <w:r>
        <w:rPr>
          <w:b/>
          <w:color w:val="44536A"/>
          <w:sz w:val="18"/>
        </w:rPr>
        <w:t>Proyección de recaudación tributaria</w:t>
      </w:r>
    </w:p>
    <w:p>
      <w:pPr>
        <w:pStyle w:val="BodyText"/>
        <w:spacing w:before="8"/>
        <w:rPr>
          <w:b/>
          <w:sz w:val="19"/>
        </w:rPr>
      </w:pPr>
    </w:p>
    <w:p>
      <w:pPr>
        <w:spacing w:line="276" w:lineRule="auto" w:before="1" w:after="3"/>
        <w:ind w:left="4443" w:right="5579" w:firstLine="0"/>
        <w:jc w:val="center"/>
        <w:rPr>
          <w:i/>
          <w:sz w:val="18"/>
        </w:rPr>
      </w:pPr>
      <w:r>
        <w:rPr/>
        <w:pict>
          <v:rect style="position:absolute;margin-left:90.808136pt;margin-top:79.624710pt;width:235.452905pt;height:10.323807pt;mso-position-horizontal-relative:page;mso-position-vertical-relative:paragraph;z-index:-280112128" filled="true" fillcolor="#d5dce3" stroked="false">
            <v:fill type="solid"/>
            <w10:wrap type="none"/>
          </v:rect>
        </w:pict>
      </w:r>
      <w:r>
        <w:rPr>
          <w:i/>
          <w:color w:val="44536A"/>
          <w:sz w:val="18"/>
        </w:rPr>
        <w:t>Escenario Alto </w:t>
      </w:r>
      <w:r>
        <w:rPr>
          <w:i/>
          <w:color w:val="44536A"/>
          <w:sz w:val="18"/>
        </w:rPr>
        <w:t>2019-2027</w:t>
      </w:r>
    </w:p>
    <w:tbl>
      <w:tblPr>
        <w:tblW w:w="0" w:type="auto"/>
        <w:jc w:val="left"/>
        <w:tblInd w:w="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0"/>
        <w:gridCol w:w="768"/>
        <w:gridCol w:w="722"/>
        <w:gridCol w:w="656"/>
        <w:gridCol w:w="702"/>
        <w:gridCol w:w="656"/>
        <w:gridCol w:w="656"/>
        <w:gridCol w:w="656"/>
        <w:gridCol w:w="656"/>
        <w:gridCol w:w="659"/>
      </w:tblGrid>
      <w:tr>
        <w:trPr>
          <w:trHeight w:val="123" w:hRule="atLeast"/>
        </w:trPr>
        <w:tc>
          <w:tcPr>
            <w:tcW w:w="2560" w:type="dxa"/>
            <w:vMerge w:val="restart"/>
            <w:tcBorders>
              <w:top w:val="single" w:sz="4" w:space="0" w:color="000000"/>
              <w:bottom w:val="single" w:sz="4" w:space="0" w:color="000000"/>
              <w:right w:val="single" w:sz="4" w:space="0" w:color="000000"/>
            </w:tcBorders>
            <w:shd w:val="clear" w:color="auto" w:fill="44536A"/>
          </w:tcPr>
          <w:p>
            <w:pPr>
              <w:pStyle w:val="TableParagraph"/>
              <w:spacing w:before="67"/>
              <w:ind w:left="790"/>
              <w:rPr>
                <w:rFonts w:ascii="Arial" w:hAnsi="Arial"/>
                <w:b/>
                <w:i/>
                <w:sz w:val="14"/>
              </w:rPr>
            </w:pPr>
            <w:r>
              <w:rPr>
                <w:rFonts w:ascii="Arial" w:hAnsi="Arial"/>
                <w:b/>
                <w:i/>
                <w:color w:val="FFFFFF"/>
                <w:sz w:val="14"/>
              </w:rPr>
              <w:t>DESCRIPCIÓN</w:t>
            </w:r>
          </w:p>
        </w:tc>
        <w:tc>
          <w:tcPr>
            <w:tcW w:w="768" w:type="dxa"/>
            <w:vMerge w:val="restart"/>
            <w:tcBorders>
              <w:top w:val="single" w:sz="4" w:space="0" w:color="000000"/>
              <w:left w:val="single" w:sz="4" w:space="0" w:color="000000"/>
              <w:bottom w:val="single" w:sz="4" w:space="0" w:color="000000"/>
              <w:right w:val="single" w:sz="4" w:space="0" w:color="000000"/>
            </w:tcBorders>
            <w:shd w:val="clear" w:color="auto" w:fill="44536A"/>
          </w:tcPr>
          <w:p>
            <w:pPr>
              <w:pStyle w:val="TableParagraph"/>
              <w:spacing w:line="120" w:lineRule="atLeast" w:before="26"/>
              <w:ind w:left="254" w:hanging="165"/>
              <w:rPr>
                <w:rFonts w:ascii="Arial"/>
                <w:b/>
                <w:i/>
                <w:sz w:val="10"/>
              </w:rPr>
            </w:pPr>
            <w:r>
              <w:rPr>
                <w:rFonts w:ascii="Arial"/>
                <w:b/>
                <w:i/>
                <w:color w:val="FFFFFF"/>
                <w:w w:val="105"/>
                <w:sz w:val="10"/>
              </w:rPr>
              <w:t>Recaudado </w:t>
            </w:r>
            <w:r>
              <w:rPr>
                <w:rFonts w:ascii="Arial"/>
                <w:b/>
                <w:i/>
                <w:color w:val="FFFFFF"/>
                <w:w w:val="105"/>
                <w:sz w:val="10"/>
              </w:rPr>
              <w:t>2019</w:t>
            </w:r>
          </w:p>
        </w:tc>
        <w:tc>
          <w:tcPr>
            <w:tcW w:w="722" w:type="dxa"/>
            <w:vMerge w:val="restart"/>
            <w:tcBorders>
              <w:top w:val="single" w:sz="4" w:space="0" w:color="000000"/>
              <w:left w:val="single" w:sz="4" w:space="0" w:color="000000"/>
              <w:bottom w:val="single" w:sz="4" w:space="0" w:color="000000"/>
              <w:right w:val="single" w:sz="4" w:space="0" w:color="000000"/>
            </w:tcBorders>
            <w:shd w:val="clear" w:color="auto" w:fill="44536A"/>
          </w:tcPr>
          <w:p>
            <w:pPr>
              <w:pStyle w:val="TableParagraph"/>
              <w:spacing w:line="120" w:lineRule="atLeast" w:before="26"/>
              <w:ind w:left="228" w:hanging="165"/>
              <w:rPr>
                <w:rFonts w:ascii="Arial"/>
                <w:b/>
                <w:i/>
                <w:sz w:val="10"/>
              </w:rPr>
            </w:pPr>
            <w:r>
              <w:rPr>
                <w:rFonts w:ascii="Arial"/>
                <w:b/>
                <w:i/>
                <w:color w:val="FFFFFF"/>
                <w:w w:val="105"/>
                <w:sz w:val="10"/>
              </w:rPr>
              <w:t>Recaudado </w:t>
            </w:r>
            <w:r>
              <w:rPr>
                <w:rFonts w:ascii="Arial"/>
                <w:b/>
                <w:i/>
                <w:color w:val="FFFFFF"/>
                <w:w w:val="105"/>
                <w:sz w:val="10"/>
              </w:rPr>
              <w:t>2020</w:t>
            </w:r>
          </w:p>
        </w:tc>
        <w:tc>
          <w:tcPr>
            <w:tcW w:w="656" w:type="dxa"/>
            <w:vMerge w:val="restart"/>
            <w:tcBorders>
              <w:top w:val="single" w:sz="4" w:space="0" w:color="000000"/>
              <w:left w:val="single" w:sz="4" w:space="0" w:color="000000"/>
              <w:bottom w:val="single" w:sz="4" w:space="0" w:color="000000"/>
              <w:right w:val="single" w:sz="4" w:space="0" w:color="000000"/>
            </w:tcBorders>
            <w:shd w:val="clear" w:color="auto" w:fill="44536A"/>
          </w:tcPr>
          <w:p>
            <w:pPr>
              <w:pStyle w:val="TableParagraph"/>
              <w:spacing w:line="120" w:lineRule="atLeast" w:before="26"/>
              <w:ind w:left="196" w:hanging="165"/>
              <w:rPr>
                <w:rFonts w:ascii="Arial"/>
                <w:b/>
                <w:i/>
                <w:sz w:val="10"/>
              </w:rPr>
            </w:pPr>
            <w:r>
              <w:rPr>
                <w:rFonts w:ascii="Arial"/>
                <w:b/>
                <w:i/>
                <w:color w:val="FFFFFF"/>
                <w:w w:val="105"/>
                <w:sz w:val="10"/>
              </w:rPr>
              <w:t>Recaudado </w:t>
            </w:r>
            <w:r>
              <w:rPr>
                <w:rFonts w:ascii="Arial"/>
                <w:b/>
                <w:i/>
                <w:color w:val="FFFFFF"/>
                <w:w w:val="105"/>
                <w:sz w:val="10"/>
              </w:rPr>
              <w:t>2021</w:t>
            </w:r>
          </w:p>
        </w:tc>
        <w:tc>
          <w:tcPr>
            <w:tcW w:w="702" w:type="dxa"/>
            <w:tcBorders>
              <w:top w:val="single" w:sz="4" w:space="0" w:color="000000"/>
              <w:left w:val="single" w:sz="4" w:space="0" w:color="000000"/>
              <w:bottom w:val="single" w:sz="4" w:space="0" w:color="000000"/>
            </w:tcBorders>
            <w:shd w:val="clear" w:color="auto" w:fill="2F5395"/>
          </w:tcPr>
          <w:p>
            <w:pPr>
              <w:pStyle w:val="TableParagraph"/>
              <w:rPr>
                <w:sz w:val="6"/>
              </w:rPr>
            </w:pPr>
          </w:p>
        </w:tc>
        <w:tc>
          <w:tcPr>
            <w:tcW w:w="656" w:type="dxa"/>
            <w:tcBorders>
              <w:top w:val="single" w:sz="4" w:space="0" w:color="000000"/>
              <w:bottom w:val="single" w:sz="4" w:space="0" w:color="000000"/>
            </w:tcBorders>
            <w:shd w:val="clear" w:color="auto" w:fill="2F5395"/>
          </w:tcPr>
          <w:p>
            <w:pPr>
              <w:pStyle w:val="TableParagraph"/>
              <w:spacing w:line="99" w:lineRule="exact" w:before="4"/>
              <w:ind w:right="-87"/>
              <w:jc w:val="right"/>
              <w:rPr>
                <w:rFonts w:ascii="Arial"/>
                <w:b/>
                <w:sz w:val="10"/>
              </w:rPr>
            </w:pPr>
            <w:r>
              <w:rPr>
                <w:rFonts w:ascii="Arial"/>
                <w:b/>
                <w:color w:val="FFFFFF"/>
                <w:w w:val="95"/>
                <w:sz w:val="10"/>
              </w:rPr>
              <w:t>Es</w:t>
            </w:r>
          </w:p>
        </w:tc>
        <w:tc>
          <w:tcPr>
            <w:tcW w:w="656" w:type="dxa"/>
            <w:tcBorders>
              <w:top w:val="single" w:sz="4" w:space="0" w:color="000000"/>
              <w:bottom w:val="single" w:sz="4" w:space="0" w:color="000000"/>
            </w:tcBorders>
            <w:shd w:val="clear" w:color="auto" w:fill="2F5395"/>
          </w:tcPr>
          <w:p>
            <w:pPr>
              <w:pStyle w:val="TableParagraph"/>
              <w:spacing w:line="99" w:lineRule="exact" w:before="4"/>
              <w:ind w:left="79" w:right="-15"/>
              <w:rPr>
                <w:rFonts w:ascii="Arial" w:hAnsi="Arial"/>
                <w:b/>
                <w:sz w:val="10"/>
              </w:rPr>
            </w:pPr>
            <w:r>
              <w:rPr>
                <w:rFonts w:ascii="Arial" w:hAnsi="Arial"/>
                <w:b/>
                <w:color w:val="FFFFFF"/>
                <w:spacing w:val="-3"/>
                <w:sz w:val="10"/>
              </w:rPr>
              <w:t>timación </w:t>
            </w:r>
            <w:r>
              <w:rPr>
                <w:rFonts w:ascii="Arial" w:hAnsi="Arial"/>
                <w:b/>
                <w:color w:val="FFFFFF"/>
                <w:sz w:val="10"/>
              </w:rPr>
              <w:t>de</w:t>
            </w:r>
            <w:r>
              <w:rPr>
                <w:rFonts w:ascii="Arial" w:hAnsi="Arial"/>
                <w:b/>
                <w:color w:val="FFFFFF"/>
                <w:spacing w:val="-4"/>
                <w:sz w:val="10"/>
              </w:rPr>
              <w:t> </w:t>
            </w:r>
            <w:r>
              <w:rPr>
                <w:rFonts w:ascii="Arial" w:hAnsi="Arial"/>
                <w:b/>
                <w:color w:val="FFFFFF"/>
                <w:sz w:val="10"/>
              </w:rPr>
              <w:t>l</w:t>
            </w:r>
          </w:p>
        </w:tc>
        <w:tc>
          <w:tcPr>
            <w:tcW w:w="656" w:type="dxa"/>
            <w:tcBorders>
              <w:top w:val="single" w:sz="4" w:space="0" w:color="000000"/>
              <w:bottom w:val="single" w:sz="4" w:space="0" w:color="000000"/>
            </w:tcBorders>
            <w:shd w:val="clear" w:color="auto" w:fill="2F5395"/>
          </w:tcPr>
          <w:p>
            <w:pPr>
              <w:pStyle w:val="TableParagraph"/>
              <w:spacing w:line="99" w:lineRule="exact" w:before="4"/>
              <w:ind w:left="7" w:right="-15"/>
              <w:jc w:val="center"/>
              <w:rPr>
                <w:rFonts w:ascii="Arial" w:hAnsi="Arial"/>
                <w:b/>
                <w:sz w:val="10"/>
              </w:rPr>
            </w:pPr>
            <w:r>
              <w:rPr>
                <w:rFonts w:ascii="Arial" w:hAnsi="Arial"/>
                <w:b/>
                <w:color w:val="FFFFFF"/>
                <w:w w:val="95"/>
                <w:sz w:val="10"/>
              </w:rPr>
              <w:t>a</w:t>
            </w:r>
            <w:r>
              <w:rPr>
                <w:rFonts w:ascii="Arial" w:hAnsi="Arial"/>
                <w:b/>
                <w:color w:val="FFFFFF"/>
                <w:spacing w:val="2"/>
                <w:w w:val="95"/>
                <w:sz w:val="10"/>
              </w:rPr>
              <w:t> </w:t>
            </w:r>
            <w:r>
              <w:rPr>
                <w:rFonts w:ascii="Arial" w:hAnsi="Arial"/>
                <w:b/>
                <w:color w:val="FFFFFF"/>
                <w:w w:val="95"/>
                <w:sz w:val="10"/>
              </w:rPr>
              <w:t>recaudación</w:t>
            </w:r>
          </w:p>
        </w:tc>
        <w:tc>
          <w:tcPr>
            <w:tcW w:w="656" w:type="dxa"/>
            <w:tcBorders>
              <w:bottom w:val="single" w:sz="4" w:space="0" w:color="000000"/>
            </w:tcBorders>
            <w:shd w:val="clear" w:color="auto" w:fill="2F5395"/>
          </w:tcPr>
          <w:p>
            <w:pPr>
              <w:pStyle w:val="TableParagraph"/>
              <w:rPr>
                <w:sz w:val="6"/>
              </w:rPr>
            </w:pPr>
          </w:p>
        </w:tc>
        <w:tc>
          <w:tcPr>
            <w:tcW w:w="659" w:type="dxa"/>
            <w:tcBorders>
              <w:bottom w:val="single" w:sz="4" w:space="0" w:color="000000"/>
            </w:tcBorders>
            <w:shd w:val="clear" w:color="auto" w:fill="2F5395"/>
          </w:tcPr>
          <w:p>
            <w:pPr>
              <w:pStyle w:val="TableParagraph"/>
              <w:rPr>
                <w:sz w:val="6"/>
              </w:rPr>
            </w:pPr>
          </w:p>
        </w:tc>
      </w:tr>
      <w:tr>
        <w:trPr>
          <w:trHeight w:val="169" w:hRule="atLeast"/>
        </w:trPr>
        <w:tc>
          <w:tcPr>
            <w:tcW w:w="2560" w:type="dxa"/>
            <w:vMerge/>
            <w:tcBorders>
              <w:top w:val="nil"/>
              <w:bottom w:val="single" w:sz="4" w:space="0" w:color="000000"/>
              <w:right w:val="single" w:sz="4" w:space="0" w:color="000000"/>
            </w:tcBorders>
            <w:shd w:val="clear" w:color="auto" w:fill="44536A"/>
          </w:tcPr>
          <w:p>
            <w:pPr>
              <w:rPr>
                <w:sz w:val="2"/>
                <w:szCs w:val="2"/>
              </w:rPr>
            </w:pPr>
          </w:p>
        </w:tc>
        <w:tc>
          <w:tcPr>
            <w:tcW w:w="768" w:type="dxa"/>
            <w:vMerge/>
            <w:tcBorders>
              <w:top w:val="nil"/>
              <w:left w:val="single" w:sz="4" w:space="0" w:color="000000"/>
              <w:bottom w:val="single" w:sz="4" w:space="0" w:color="000000"/>
              <w:right w:val="single" w:sz="4" w:space="0" w:color="000000"/>
            </w:tcBorders>
            <w:shd w:val="clear" w:color="auto" w:fill="44536A"/>
          </w:tcPr>
          <w:p>
            <w:pPr>
              <w:rPr>
                <w:sz w:val="2"/>
                <w:szCs w:val="2"/>
              </w:rPr>
            </w:pPr>
          </w:p>
        </w:tc>
        <w:tc>
          <w:tcPr>
            <w:tcW w:w="722" w:type="dxa"/>
            <w:vMerge/>
            <w:tcBorders>
              <w:top w:val="nil"/>
              <w:left w:val="single" w:sz="4" w:space="0" w:color="000000"/>
              <w:bottom w:val="single" w:sz="4" w:space="0" w:color="000000"/>
              <w:right w:val="single" w:sz="4" w:space="0" w:color="000000"/>
            </w:tcBorders>
            <w:shd w:val="clear" w:color="auto" w:fill="44536A"/>
          </w:tcPr>
          <w:p>
            <w:pPr>
              <w:rPr>
                <w:sz w:val="2"/>
                <w:szCs w:val="2"/>
              </w:rPr>
            </w:pPr>
          </w:p>
        </w:tc>
        <w:tc>
          <w:tcPr>
            <w:tcW w:w="656" w:type="dxa"/>
            <w:vMerge/>
            <w:tcBorders>
              <w:top w:val="nil"/>
              <w:left w:val="single" w:sz="4" w:space="0" w:color="000000"/>
              <w:bottom w:val="single" w:sz="4" w:space="0" w:color="000000"/>
              <w:right w:val="single" w:sz="4" w:space="0" w:color="000000"/>
            </w:tcBorders>
            <w:shd w:val="clear" w:color="auto" w:fill="44536A"/>
          </w:tcPr>
          <w:p>
            <w:pPr>
              <w:rPr>
                <w:sz w:val="2"/>
                <w:szCs w:val="2"/>
              </w:rPr>
            </w:pPr>
          </w:p>
        </w:tc>
        <w:tc>
          <w:tcPr>
            <w:tcW w:w="702" w:type="dxa"/>
            <w:tcBorders>
              <w:top w:val="single" w:sz="4" w:space="0" w:color="000000"/>
              <w:left w:val="single" w:sz="4" w:space="0" w:color="000000"/>
              <w:bottom w:val="single" w:sz="4" w:space="0" w:color="000000"/>
              <w:right w:val="single" w:sz="4" w:space="0" w:color="000000"/>
            </w:tcBorders>
            <w:shd w:val="clear" w:color="auto" w:fill="2F5395"/>
          </w:tcPr>
          <w:p>
            <w:pPr>
              <w:pStyle w:val="TableParagraph"/>
              <w:spacing w:line="143" w:lineRule="exact" w:before="7"/>
              <w:ind w:right="197"/>
              <w:jc w:val="right"/>
              <w:rPr>
                <w:rFonts w:ascii="Arial"/>
                <w:b/>
                <w:i/>
                <w:sz w:val="14"/>
              </w:rPr>
            </w:pPr>
            <w:r>
              <w:rPr>
                <w:rFonts w:ascii="Arial"/>
                <w:b/>
                <w:i/>
                <w:color w:val="FFFFFF"/>
                <w:sz w:val="14"/>
              </w:rPr>
              <w:t>2022</w:t>
            </w:r>
          </w:p>
        </w:tc>
        <w:tc>
          <w:tcPr>
            <w:tcW w:w="656" w:type="dxa"/>
            <w:tcBorders>
              <w:top w:val="single" w:sz="4" w:space="0" w:color="000000"/>
              <w:left w:val="single" w:sz="4" w:space="0" w:color="000000"/>
              <w:bottom w:val="single" w:sz="4" w:space="0" w:color="000000"/>
              <w:right w:val="single" w:sz="4" w:space="0" w:color="000000"/>
            </w:tcBorders>
            <w:shd w:val="clear" w:color="auto" w:fill="2F5395"/>
          </w:tcPr>
          <w:p>
            <w:pPr>
              <w:pStyle w:val="TableParagraph"/>
              <w:spacing w:line="143" w:lineRule="exact" w:before="7"/>
              <w:ind w:left="158"/>
              <w:rPr>
                <w:rFonts w:ascii="Arial"/>
                <w:b/>
                <w:i/>
                <w:sz w:val="14"/>
              </w:rPr>
            </w:pPr>
            <w:r>
              <w:rPr>
                <w:rFonts w:ascii="Arial"/>
                <w:b/>
                <w:i/>
                <w:color w:val="FFFFFF"/>
                <w:sz w:val="14"/>
              </w:rPr>
              <w:t>2023</w:t>
            </w:r>
          </w:p>
        </w:tc>
        <w:tc>
          <w:tcPr>
            <w:tcW w:w="656" w:type="dxa"/>
            <w:tcBorders>
              <w:top w:val="single" w:sz="4" w:space="0" w:color="000000"/>
              <w:left w:val="single" w:sz="4" w:space="0" w:color="000000"/>
              <w:bottom w:val="single" w:sz="4" w:space="0" w:color="000000"/>
              <w:right w:val="single" w:sz="4" w:space="0" w:color="000000"/>
            </w:tcBorders>
            <w:shd w:val="clear" w:color="auto" w:fill="2F5395"/>
          </w:tcPr>
          <w:p>
            <w:pPr>
              <w:pStyle w:val="TableParagraph"/>
              <w:spacing w:line="143" w:lineRule="exact" w:before="7"/>
              <w:ind w:left="159"/>
              <w:rPr>
                <w:rFonts w:ascii="Arial"/>
                <w:b/>
                <w:i/>
                <w:sz w:val="14"/>
              </w:rPr>
            </w:pPr>
            <w:r>
              <w:rPr>
                <w:rFonts w:ascii="Arial"/>
                <w:b/>
                <w:i/>
                <w:color w:val="FFFFFF"/>
                <w:sz w:val="14"/>
              </w:rPr>
              <w:t>2024</w:t>
            </w:r>
          </w:p>
        </w:tc>
        <w:tc>
          <w:tcPr>
            <w:tcW w:w="656" w:type="dxa"/>
            <w:tcBorders>
              <w:top w:val="single" w:sz="4" w:space="0" w:color="000000"/>
              <w:left w:val="single" w:sz="4" w:space="0" w:color="000000"/>
              <w:bottom w:val="single" w:sz="4" w:space="0" w:color="000000"/>
              <w:right w:val="single" w:sz="4" w:space="0" w:color="000000"/>
            </w:tcBorders>
            <w:shd w:val="clear" w:color="auto" w:fill="2F5395"/>
          </w:tcPr>
          <w:p>
            <w:pPr>
              <w:pStyle w:val="TableParagraph"/>
              <w:spacing w:line="143" w:lineRule="exact" w:before="7"/>
              <w:ind w:left="53" w:right="61"/>
              <w:jc w:val="center"/>
              <w:rPr>
                <w:rFonts w:ascii="Arial"/>
                <w:b/>
                <w:i/>
                <w:sz w:val="14"/>
              </w:rPr>
            </w:pPr>
            <w:r>
              <w:rPr>
                <w:rFonts w:ascii="Arial"/>
                <w:b/>
                <w:i/>
                <w:color w:val="FFFFFF"/>
                <w:sz w:val="14"/>
              </w:rPr>
              <w:t>2025</w:t>
            </w:r>
          </w:p>
        </w:tc>
        <w:tc>
          <w:tcPr>
            <w:tcW w:w="656" w:type="dxa"/>
            <w:tcBorders>
              <w:top w:val="single" w:sz="4" w:space="0" w:color="000000"/>
              <w:left w:val="single" w:sz="4" w:space="0" w:color="000000"/>
              <w:bottom w:val="single" w:sz="4" w:space="0" w:color="000000"/>
              <w:right w:val="single" w:sz="4" w:space="0" w:color="000000"/>
            </w:tcBorders>
            <w:shd w:val="clear" w:color="auto" w:fill="2F5395"/>
          </w:tcPr>
          <w:p>
            <w:pPr>
              <w:pStyle w:val="TableParagraph"/>
              <w:spacing w:line="143" w:lineRule="exact" w:before="7"/>
              <w:ind w:right="167"/>
              <w:jc w:val="right"/>
              <w:rPr>
                <w:rFonts w:ascii="Arial"/>
                <w:b/>
                <w:i/>
                <w:sz w:val="14"/>
              </w:rPr>
            </w:pPr>
            <w:r>
              <w:rPr>
                <w:rFonts w:ascii="Arial"/>
                <w:b/>
                <w:i/>
                <w:color w:val="FFFFFF"/>
                <w:sz w:val="14"/>
              </w:rPr>
              <w:t>2026</w:t>
            </w:r>
          </w:p>
        </w:tc>
        <w:tc>
          <w:tcPr>
            <w:tcW w:w="659" w:type="dxa"/>
            <w:tcBorders>
              <w:top w:val="single" w:sz="4" w:space="0" w:color="000000"/>
              <w:left w:val="single" w:sz="4" w:space="0" w:color="000000"/>
              <w:bottom w:val="single" w:sz="4" w:space="0" w:color="000000"/>
            </w:tcBorders>
            <w:shd w:val="clear" w:color="auto" w:fill="2F5395"/>
          </w:tcPr>
          <w:p>
            <w:pPr>
              <w:pStyle w:val="TableParagraph"/>
              <w:spacing w:line="143" w:lineRule="exact" w:before="7"/>
              <w:ind w:left="54" w:right="67"/>
              <w:jc w:val="center"/>
              <w:rPr>
                <w:rFonts w:ascii="Arial"/>
                <w:b/>
                <w:i/>
                <w:sz w:val="14"/>
              </w:rPr>
            </w:pPr>
            <w:r>
              <w:rPr>
                <w:rFonts w:ascii="Arial"/>
                <w:b/>
                <w:i/>
                <w:color w:val="FFFFFF"/>
                <w:sz w:val="14"/>
              </w:rPr>
              <w:t>2027</w:t>
            </w:r>
          </w:p>
        </w:tc>
      </w:tr>
      <w:tr>
        <w:trPr>
          <w:trHeight w:val="191" w:hRule="atLeast"/>
        </w:trPr>
        <w:tc>
          <w:tcPr>
            <w:tcW w:w="2560" w:type="dxa"/>
            <w:tcBorders>
              <w:top w:val="single" w:sz="4" w:space="0" w:color="000000"/>
              <w:right w:val="single" w:sz="4" w:space="0" w:color="000000"/>
            </w:tcBorders>
            <w:shd w:val="clear" w:color="auto" w:fill="8496AF"/>
          </w:tcPr>
          <w:p>
            <w:pPr>
              <w:pStyle w:val="TableParagraph"/>
              <w:spacing w:before="35"/>
              <w:ind w:left="80"/>
              <w:rPr>
                <w:rFonts w:ascii="Arial" w:hAnsi="Arial"/>
                <w:b/>
                <w:i/>
                <w:sz w:val="11"/>
              </w:rPr>
            </w:pPr>
            <w:r>
              <w:rPr>
                <w:rFonts w:ascii="Arial" w:hAnsi="Arial"/>
                <w:b/>
                <w:i/>
                <w:color w:val="FFFFFF"/>
                <w:sz w:val="11"/>
              </w:rPr>
              <w:t>RECAUDACIÓN TRIBUTARIA SAT</w:t>
            </w:r>
          </w:p>
        </w:tc>
        <w:tc>
          <w:tcPr>
            <w:tcW w:w="768" w:type="dxa"/>
            <w:tcBorders>
              <w:top w:val="single" w:sz="4" w:space="0" w:color="000000"/>
              <w:left w:val="single" w:sz="4" w:space="0" w:color="000000"/>
              <w:right w:val="single" w:sz="4" w:space="0" w:color="000000"/>
            </w:tcBorders>
            <w:shd w:val="clear" w:color="auto" w:fill="8496AF"/>
          </w:tcPr>
          <w:p>
            <w:pPr>
              <w:pStyle w:val="TableParagraph"/>
              <w:spacing w:before="35"/>
              <w:ind w:left="137" w:right="151"/>
              <w:jc w:val="center"/>
              <w:rPr>
                <w:rFonts w:ascii="Arial"/>
                <w:b/>
                <w:i/>
                <w:sz w:val="11"/>
              </w:rPr>
            </w:pPr>
            <w:r>
              <w:rPr>
                <w:rFonts w:ascii="Arial"/>
                <w:b/>
                <w:i/>
                <w:color w:val="FFFFFF"/>
                <w:sz w:val="11"/>
              </w:rPr>
              <w:t>62,077.3</w:t>
            </w:r>
          </w:p>
        </w:tc>
        <w:tc>
          <w:tcPr>
            <w:tcW w:w="722" w:type="dxa"/>
            <w:tcBorders>
              <w:top w:val="single" w:sz="4" w:space="0" w:color="000000"/>
              <w:left w:val="single" w:sz="4" w:space="0" w:color="000000"/>
              <w:right w:val="single" w:sz="4" w:space="0" w:color="000000"/>
            </w:tcBorders>
            <w:shd w:val="clear" w:color="auto" w:fill="8496AF"/>
          </w:tcPr>
          <w:p>
            <w:pPr>
              <w:pStyle w:val="TableParagraph"/>
              <w:spacing w:before="35"/>
              <w:ind w:left="112" w:right="131"/>
              <w:jc w:val="center"/>
              <w:rPr>
                <w:rFonts w:ascii="Arial"/>
                <w:b/>
                <w:i/>
                <w:sz w:val="11"/>
              </w:rPr>
            </w:pPr>
            <w:r>
              <w:rPr>
                <w:rFonts w:ascii="Arial"/>
                <w:b/>
                <w:i/>
                <w:color w:val="FFFFFF"/>
                <w:sz w:val="11"/>
              </w:rPr>
              <w:t>60,044.3</w:t>
            </w:r>
          </w:p>
        </w:tc>
        <w:tc>
          <w:tcPr>
            <w:tcW w:w="656" w:type="dxa"/>
            <w:tcBorders>
              <w:top w:val="single" w:sz="4" w:space="0" w:color="000000"/>
              <w:left w:val="single" w:sz="4" w:space="0" w:color="000000"/>
              <w:right w:val="single" w:sz="4" w:space="0" w:color="000000"/>
            </w:tcBorders>
            <w:shd w:val="clear" w:color="auto" w:fill="8496AF"/>
          </w:tcPr>
          <w:p>
            <w:pPr>
              <w:pStyle w:val="TableParagraph"/>
              <w:spacing w:before="35"/>
              <w:ind w:right="123"/>
              <w:jc w:val="right"/>
              <w:rPr>
                <w:rFonts w:ascii="Arial"/>
                <w:b/>
                <w:i/>
                <w:sz w:val="11"/>
              </w:rPr>
            </w:pPr>
            <w:r>
              <w:rPr>
                <w:rFonts w:ascii="Arial"/>
                <w:b/>
                <w:i/>
                <w:color w:val="FFFFFF"/>
                <w:sz w:val="11"/>
              </w:rPr>
              <w:t>77,627.1</w:t>
            </w:r>
          </w:p>
        </w:tc>
        <w:tc>
          <w:tcPr>
            <w:tcW w:w="702" w:type="dxa"/>
            <w:tcBorders>
              <w:top w:val="single" w:sz="4" w:space="0" w:color="000000"/>
              <w:left w:val="single" w:sz="4" w:space="0" w:color="000000"/>
              <w:right w:val="single" w:sz="4" w:space="0" w:color="000000"/>
            </w:tcBorders>
            <w:shd w:val="clear" w:color="auto" w:fill="2F5395"/>
          </w:tcPr>
          <w:p>
            <w:pPr>
              <w:pStyle w:val="TableParagraph"/>
              <w:spacing w:before="35"/>
              <w:ind w:right="142"/>
              <w:jc w:val="right"/>
              <w:rPr>
                <w:rFonts w:ascii="Arial"/>
                <w:b/>
                <w:i/>
                <w:sz w:val="11"/>
              </w:rPr>
            </w:pPr>
            <w:r>
              <w:rPr>
                <w:rFonts w:ascii="Arial"/>
                <w:b/>
                <w:i/>
                <w:color w:val="FFFFFF"/>
                <w:sz w:val="11"/>
              </w:rPr>
              <w:t>82,409.1</w:t>
            </w:r>
          </w:p>
        </w:tc>
        <w:tc>
          <w:tcPr>
            <w:tcW w:w="656" w:type="dxa"/>
            <w:tcBorders>
              <w:top w:val="single" w:sz="4" w:space="0" w:color="000000"/>
              <w:left w:val="single" w:sz="4" w:space="0" w:color="000000"/>
              <w:right w:val="single" w:sz="4" w:space="0" w:color="000000"/>
            </w:tcBorders>
            <w:shd w:val="clear" w:color="auto" w:fill="2F5395"/>
          </w:tcPr>
          <w:p>
            <w:pPr>
              <w:pStyle w:val="TableParagraph"/>
              <w:spacing w:before="35"/>
              <w:ind w:left="106"/>
              <w:rPr>
                <w:rFonts w:ascii="Arial"/>
                <w:b/>
                <w:i/>
                <w:sz w:val="11"/>
              </w:rPr>
            </w:pPr>
            <w:r>
              <w:rPr>
                <w:rFonts w:ascii="Arial"/>
                <w:b/>
                <w:i/>
                <w:color w:val="FFFFFF"/>
                <w:sz w:val="11"/>
              </w:rPr>
              <w:t>87,003.4</w:t>
            </w:r>
          </w:p>
        </w:tc>
        <w:tc>
          <w:tcPr>
            <w:tcW w:w="656" w:type="dxa"/>
            <w:tcBorders>
              <w:top w:val="single" w:sz="4" w:space="0" w:color="000000"/>
              <w:left w:val="single" w:sz="4" w:space="0" w:color="000000"/>
              <w:right w:val="single" w:sz="4" w:space="0" w:color="000000"/>
            </w:tcBorders>
            <w:shd w:val="clear" w:color="auto" w:fill="2F5395"/>
          </w:tcPr>
          <w:p>
            <w:pPr>
              <w:pStyle w:val="TableParagraph"/>
              <w:spacing w:before="35"/>
              <w:ind w:left="106"/>
              <w:rPr>
                <w:rFonts w:ascii="Arial"/>
                <w:b/>
                <w:i/>
                <w:sz w:val="11"/>
              </w:rPr>
            </w:pPr>
            <w:r>
              <w:rPr>
                <w:rFonts w:ascii="Arial"/>
                <w:b/>
                <w:i/>
                <w:color w:val="FFFFFF"/>
                <w:sz w:val="11"/>
              </w:rPr>
              <w:t>96,601.7</w:t>
            </w:r>
          </w:p>
        </w:tc>
        <w:tc>
          <w:tcPr>
            <w:tcW w:w="656" w:type="dxa"/>
            <w:tcBorders>
              <w:top w:val="single" w:sz="4" w:space="0" w:color="000000"/>
              <w:left w:val="single" w:sz="4" w:space="0" w:color="000000"/>
              <w:right w:val="single" w:sz="4" w:space="0" w:color="000000"/>
            </w:tcBorders>
            <w:shd w:val="clear" w:color="auto" w:fill="2F5395"/>
          </w:tcPr>
          <w:p>
            <w:pPr>
              <w:pStyle w:val="TableParagraph"/>
              <w:spacing w:before="35"/>
              <w:ind w:left="55" w:right="61"/>
              <w:jc w:val="center"/>
              <w:rPr>
                <w:rFonts w:ascii="Arial"/>
                <w:b/>
                <w:i/>
                <w:sz w:val="11"/>
              </w:rPr>
            </w:pPr>
            <w:r>
              <w:rPr>
                <w:rFonts w:ascii="Arial"/>
                <w:b/>
                <w:i/>
                <w:color w:val="FFFFFF"/>
                <w:sz w:val="11"/>
              </w:rPr>
              <w:t>103,694.7</w:t>
            </w:r>
          </w:p>
        </w:tc>
        <w:tc>
          <w:tcPr>
            <w:tcW w:w="656" w:type="dxa"/>
            <w:tcBorders>
              <w:top w:val="single" w:sz="4" w:space="0" w:color="000000"/>
              <w:left w:val="single" w:sz="4" w:space="0" w:color="000000"/>
              <w:right w:val="single" w:sz="4" w:space="0" w:color="000000"/>
            </w:tcBorders>
            <w:shd w:val="clear" w:color="auto" w:fill="2F5395"/>
          </w:tcPr>
          <w:p>
            <w:pPr>
              <w:pStyle w:val="TableParagraph"/>
              <w:spacing w:before="35"/>
              <w:ind w:right="86"/>
              <w:jc w:val="right"/>
              <w:rPr>
                <w:rFonts w:ascii="Arial"/>
                <w:b/>
                <w:i/>
                <w:sz w:val="11"/>
              </w:rPr>
            </w:pPr>
            <w:r>
              <w:rPr>
                <w:rFonts w:ascii="Arial"/>
                <w:b/>
                <w:i/>
                <w:color w:val="FFFFFF"/>
                <w:sz w:val="11"/>
              </w:rPr>
              <w:t>111,529.9</w:t>
            </w:r>
          </w:p>
        </w:tc>
        <w:tc>
          <w:tcPr>
            <w:tcW w:w="659" w:type="dxa"/>
            <w:tcBorders>
              <w:top w:val="single" w:sz="4" w:space="0" w:color="000000"/>
              <w:left w:val="single" w:sz="4" w:space="0" w:color="000000"/>
            </w:tcBorders>
            <w:shd w:val="clear" w:color="auto" w:fill="2F5395"/>
          </w:tcPr>
          <w:p>
            <w:pPr>
              <w:pStyle w:val="TableParagraph"/>
              <w:spacing w:before="35"/>
              <w:ind w:left="57" w:right="67"/>
              <w:jc w:val="center"/>
              <w:rPr>
                <w:rFonts w:ascii="Arial"/>
                <w:b/>
                <w:i/>
                <w:sz w:val="11"/>
              </w:rPr>
            </w:pPr>
            <w:r>
              <w:rPr>
                <w:rFonts w:ascii="Arial"/>
                <w:b/>
                <w:i/>
                <w:color w:val="FFFFFF"/>
                <w:sz w:val="11"/>
              </w:rPr>
              <w:t>120,101.4</w:t>
            </w:r>
          </w:p>
        </w:tc>
      </w:tr>
      <w:tr>
        <w:trPr>
          <w:trHeight w:val="206" w:hRule="atLeast"/>
        </w:trPr>
        <w:tc>
          <w:tcPr>
            <w:tcW w:w="2560" w:type="dxa"/>
            <w:tcBorders>
              <w:right w:val="single" w:sz="4" w:space="0" w:color="000000"/>
            </w:tcBorders>
            <w:shd w:val="clear" w:color="auto" w:fill="D5DCE3"/>
          </w:tcPr>
          <w:p>
            <w:pPr>
              <w:pStyle w:val="TableParagraph"/>
              <w:spacing w:before="46"/>
              <w:ind w:left="74"/>
              <w:rPr>
                <w:rFonts w:ascii="Arial"/>
                <w:b/>
                <w:sz w:val="10"/>
              </w:rPr>
            </w:pPr>
            <w:r>
              <w:rPr>
                <w:rFonts w:ascii="Arial"/>
                <w:b/>
                <w:color w:val="44536A"/>
                <w:sz w:val="10"/>
              </w:rPr>
              <w:t>IMPUESTOS AL COMERCIO EXTERIOR</w:t>
            </w:r>
          </w:p>
        </w:tc>
        <w:tc>
          <w:tcPr>
            <w:tcW w:w="768" w:type="dxa"/>
            <w:tcBorders>
              <w:left w:val="single" w:sz="4" w:space="0" w:color="000000"/>
              <w:right w:val="single" w:sz="4" w:space="0" w:color="000000"/>
            </w:tcBorders>
            <w:shd w:val="clear" w:color="auto" w:fill="D5DCE3"/>
          </w:tcPr>
          <w:p>
            <w:pPr>
              <w:pStyle w:val="TableParagraph"/>
              <w:spacing w:before="46"/>
              <w:ind w:left="137" w:right="137"/>
              <w:jc w:val="center"/>
              <w:rPr>
                <w:rFonts w:ascii="Arial"/>
                <w:b/>
                <w:sz w:val="10"/>
              </w:rPr>
            </w:pPr>
            <w:r>
              <w:rPr>
                <w:rFonts w:ascii="Arial"/>
                <w:b/>
                <w:color w:val="44536A"/>
                <w:w w:val="105"/>
                <w:sz w:val="10"/>
              </w:rPr>
              <w:t>18,020.4</w:t>
            </w:r>
          </w:p>
        </w:tc>
        <w:tc>
          <w:tcPr>
            <w:tcW w:w="722" w:type="dxa"/>
            <w:tcBorders>
              <w:left w:val="single" w:sz="4" w:space="0" w:color="000000"/>
              <w:right w:val="single" w:sz="4" w:space="0" w:color="000000"/>
            </w:tcBorders>
            <w:shd w:val="clear" w:color="auto" w:fill="D5DCE3"/>
          </w:tcPr>
          <w:p>
            <w:pPr>
              <w:pStyle w:val="TableParagraph"/>
              <w:spacing w:before="46"/>
              <w:ind w:left="112" w:right="116"/>
              <w:jc w:val="center"/>
              <w:rPr>
                <w:rFonts w:ascii="Arial"/>
                <w:b/>
                <w:sz w:val="10"/>
              </w:rPr>
            </w:pPr>
            <w:r>
              <w:rPr>
                <w:rFonts w:ascii="Arial"/>
                <w:b/>
                <w:color w:val="44536A"/>
                <w:w w:val="105"/>
                <w:sz w:val="10"/>
              </w:rPr>
              <w:t>16,575.3</w:t>
            </w:r>
          </w:p>
        </w:tc>
        <w:tc>
          <w:tcPr>
            <w:tcW w:w="656" w:type="dxa"/>
            <w:tcBorders>
              <w:left w:val="single" w:sz="4" w:space="0" w:color="000000"/>
              <w:right w:val="single" w:sz="4" w:space="0" w:color="000000"/>
            </w:tcBorders>
            <w:shd w:val="clear" w:color="auto" w:fill="D5DCE3"/>
          </w:tcPr>
          <w:p>
            <w:pPr>
              <w:pStyle w:val="TableParagraph"/>
              <w:spacing w:before="46"/>
              <w:ind w:right="120"/>
              <w:jc w:val="right"/>
              <w:rPr>
                <w:rFonts w:ascii="Arial"/>
                <w:b/>
                <w:sz w:val="10"/>
              </w:rPr>
            </w:pPr>
            <w:r>
              <w:rPr>
                <w:rFonts w:ascii="Arial"/>
                <w:b/>
                <w:color w:val="44536A"/>
                <w:w w:val="105"/>
                <w:sz w:val="10"/>
              </w:rPr>
              <w:t>23,719.7</w:t>
            </w:r>
          </w:p>
        </w:tc>
        <w:tc>
          <w:tcPr>
            <w:tcW w:w="702" w:type="dxa"/>
            <w:tcBorders>
              <w:left w:val="single" w:sz="4" w:space="0" w:color="000000"/>
              <w:right w:val="single" w:sz="4" w:space="0" w:color="000000"/>
            </w:tcBorders>
            <w:shd w:val="clear" w:color="auto" w:fill="D5DCE3"/>
          </w:tcPr>
          <w:p>
            <w:pPr>
              <w:pStyle w:val="TableParagraph"/>
              <w:spacing w:before="46"/>
              <w:ind w:right="139"/>
              <w:jc w:val="right"/>
              <w:rPr>
                <w:rFonts w:ascii="Arial"/>
                <w:b/>
                <w:sz w:val="10"/>
              </w:rPr>
            </w:pPr>
            <w:r>
              <w:rPr>
                <w:rFonts w:ascii="Arial"/>
                <w:b/>
                <w:color w:val="44536A"/>
                <w:w w:val="105"/>
                <w:sz w:val="10"/>
              </w:rPr>
              <w:t>25,845.1</w:t>
            </w:r>
          </w:p>
        </w:tc>
        <w:tc>
          <w:tcPr>
            <w:tcW w:w="656" w:type="dxa"/>
            <w:tcBorders>
              <w:left w:val="single" w:sz="4" w:space="0" w:color="000000"/>
              <w:right w:val="single" w:sz="4" w:space="0" w:color="000000"/>
            </w:tcBorders>
            <w:shd w:val="clear" w:color="auto" w:fill="D5DCE3"/>
          </w:tcPr>
          <w:p>
            <w:pPr>
              <w:pStyle w:val="TableParagraph"/>
              <w:spacing w:before="46"/>
              <w:ind w:left="119"/>
              <w:rPr>
                <w:rFonts w:ascii="Arial"/>
                <w:b/>
                <w:sz w:val="10"/>
              </w:rPr>
            </w:pPr>
            <w:r>
              <w:rPr>
                <w:rFonts w:ascii="Arial"/>
                <w:b/>
                <w:color w:val="44536A"/>
                <w:w w:val="105"/>
                <w:sz w:val="10"/>
              </w:rPr>
              <w:t>27,912.0</w:t>
            </w:r>
          </w:p>
        </w:tc>
        <w:tc>
          <w:tcPr>
            <w:tcW w:w="656" w:type="dxa"/>
            <w:tcBorders>
              <w:left w:val="single" w:sz="4" w:space="0" w:color="000000"/>
              <w:right w:val="single" w:sz="4" w:space="0" w:color="000000"/>
            </w:tcBorders>
            <w:shd w:val="clear" w:color="auto" w:fill="D5DCE3"/>
          </w:tcPr>
          <w:p>
            <w:pPr>
              <w:pStyle w:val="TableParagraph"/>
              <w:spacing w:before="46"/>
              <w:ind w:left="120"/>
              <w:rPr>
                <w:rFonts w:ascii="Arial"/>
                <w:b/>
                <w:sz w:val="10"/>
              </w:rPr>
            </w:pPr>
            <w:r>
              <w:rPr>
                <w:rFonts w:ascii="Arial"/>
                <w:b/>
                <w:color w:val="44536A"/>
                <w:w w:val="105"/>
                <w:sz w:val="10"/>
              </w:rPr>
              <w:t>30,437.0</w:t>
            </w:r>
          </w:p>
        </w:tc>
        <w:tc>
          <w:tcPr>
            <w:tcW w:w="656" w:type="dxa"/>
            <w:tcBorders>
              <w:left w:val="single" w:sz="4" w:space="0" w:color="000000"/>
              <w:right w:val="single" w:sz="4" w:space="0" w:color="000000"/>
            </w:tcBorders>
            <w:shd w:val="clear" w:color="auto" w:fill="D5DCE3"/>
          </w:tcPr>
          <w:p>
            <w:pPr>
              <w:pStyle w:val="TableParagraph"/>
              <w:spacing w:before="46"/>
              <w:ind w:left="55" w:right="54"/>
              <w:jc w:val="center"/>
              <w:rPr>
                <w:rFonts w:ascii="Arial"/>
                <w:b/>
                <w:sz w:val="10"/>
              </w:rPr>
            </w:pPr>
            <w:r>
              <w:rPr>
                <w:rFonts w:ascii="Arial"/>
                <w:b/>
                <w:color w:val="44536A"/>
                <w:w w:val="105"/>
                <w:sz w:val="10"/>
              </w:rPr>
              <w:t>33,033.5</w:t>
            </w:r>
          </w:p>
        </w:tc>
        <w:tc>
          <w:tcPr>
            <w:tcW w:w="656" w:type="dxa"/>
            <w:tcBorders>
              <w:left w:val="single" w:sz="4" w:space="0" w:color="000000"/>
              <w:right w:val="single" w:sz="4" w:space="0" w:color="000000"/>
            </w:tcBorders>
            <w:shd w:val="clear" w:color="auto" w:fill="D5DCE3"/>
          </w:tcPr>
          <w:p>
            <w:pPr>
              <w:pStyle w:val="TableParagraph"/>
              <w:spacing w:before="46"/>
              <w:ind w:right="116"/>
              <w:jc w:val="right"/>
              <w:rPr>
                <w:rFonts w:ascii="Arial"/>
                <w:b/>
                <w:sz w:val="10"/>
              </w:rPr>
            </w:pPr>
            <w:r>
              <w:rPr>
                <w:rFonts w:ascii="Arial"/>
                <w:b/>
                <w:color w:val="44536A"/>
                <w:w w:val="105"/>
                <w:sz w:val="10"/>
              </w:rPr>
              <w:t>35,999.7</w:t>
            </w:r>
          </w:p>
        </w:tc>
        <w:tc>
          <w:tcPr>
            <w:tcW w:w="659" w:type="dxa"/>
            <w:tcBorders>
              <w:left w:val="single" w:sz="4" w:space="0" w:color="000000"/>
            </w:tcBorders>
            <w:shd w:val="clear" w:color="auto" w:fill="D5DCE3"/>
          </w:tcPr>
          <w:p>
            <w:pPr>
              <w:pStyle w:val="TableParagraph"/>
              <w:spacing w:before="46"/>
              <w:ind w:left="57" w:right="58"/>
              <w:jc w:val="center"/>
              <w:rPr>
                <w:rFonts w:ascii="Arial"/>
                <w:b/>
                <w:sz w:val="10"/>
              </w:rPr>
            </w:pPr>
            <w:r>
              <w:rPr>
                <w:rFonts w:ascii="Arial"/>
                <w:b/>
                <w:color w:val="44536A"/>
                <w:w w:val="105"/>
                <w:sz w:val="10"/>
              </w:rPr>
              <w:t>39,243.8</w:t>
            </w:r>
          </w:p>
        </w:tc>
      </w:tr>
      <w:tr>
        <w:trPr>
          <w:trHeight w:val="202" w:hRule="atLeast"/>
        </w:trPr>
        <w:tc>
          <w:tcPr>
            <w:tcW w:w="2560" w:type="dxa"/>
            <w:vMerge w:val="restart"/>
            <w:tcBorders>
              <w:right w:val="single" w:sz="4" w:space="0" w:color="000000"/>
            </w:tcBorders>
          </w:tcPr>
          <w:p>
            <w:pPr>
              <w:pStyle w:val="TableParagraph"/>
              <w:spacing w:line="417" w:lineRule="auto" w:before="46"/>
              <w:ind w:left="140" w:right="891"/>
              <w:rPr>
                <w:rFonts w:ascii="Arial"/>
                <w:sz w:val="10"/>
              </w:rPr>
            </w:pPr>
            <w:r>
              <w:rPr>
                <w:rFonts w:ascii="Arial"/>
                <w:color w:val="44536A"/>
                <w:w w:val="105"/>
                <w:sz w:val="10"/>
              </w:rPr>
              <w:t>Al</w:t>
            </w:r>
            <w:r>
              <w:rPr>
                <w:rFonts w:ascii="Arial"/>
                <w:color w:val="44536A"/>
                <w:spacing w:val="-14"/>
                <w:w w:val="105"/>
                <w:sz w:val="10"/>
              </w:rPr>
              <w:t> </w:t>
            </w:r>
            <w:r>
              <w:rPr>
                <w:rFonts w:ascii="Arial"/>
                <w:color w:val="44536A"/>
                <w:w w:val="105"/>
                <w:sz w:val="10"/>
              </w:rPr>
              <w:t>Valor</w:t>
            </w:r>
            <w:r>
              <w:rPr>
                <w:rFonts w:ascii="Arial"/>
                <w:color w:val="44536A"/>
                <w:spacing w:val="-12"/>
                <w:w w:val="105"/>
                <w:sz w:val="10"/>
              </w:rPr>
              <w:t> </w:t>
            </w:r>
            <w:r>
              <w:rPr>
                <w:rFonts w:ascii="Arial"/>
                <w:color w:val="44536A"/>
                <w:w w:val="105"/>
                <w:sz w:val="10"/>
              </w:rPr>
              <w:t>Agregado</w:t>
            </w:r>
            <w:r>
              <w:rPr>
                <w:rFonts w:ascii="Arial"/>
                <w:color w:val="44536A"/>
                <w:spacing w:val="-11"/>
                <w:w w:val="105"/>
                <w:sz w:val="10"/>
              </w:rPr>
              <w:t> </w:t>
            </w:r>
            <w:r>
              <w:rPr>
                <w:rFonts w:ascii="Arial"/>
                <w:color w:val="44536A"/>
                <w:w w:val="105"/>
                <w:sz w:val="10"/>
              </w:rPr>
              <w:t>Importaciones Derechos</w:t>
            </w:r>
            <w:r>
              <w:rPr>
                <w:rFonts w:ascii="Arial"/>
                <w:color w:val="44536A"/>
                <w:spacing w:val="-5"/>
                <w:w w:val="105"/>
                <w:sz w:val="10"/>
              </w:rPr>
              <w:t> </w:t>
            </w:r>
            <w:r>
              <w:rPr>
                <w:rFonts w:ascii="Arial"/>
                <w:color w:val="44536A"/>
                <w:w w:val="105"/>
                <w:sz w:val="10"/>
              </w:rPr>
              <w:t>Arancelarios</w:t>
            </w:r>
          </w:p>
          <w:p>
            <w:pPr>
              <w:pStyle w:val="TableParagraph"/>
              <w:spacing w:line="108" w:lineRule="exact"/>
              <w:ind w:left="74"/>
              <w:rPr>
                <w:rFonts w:ascii="Arial"/>
                <w:b/>
                <w:sz w:val="10"/>
              </w:rPr>
            </w:pPr>
            <w:r>
              <w:rPr>
                <w:rFonts w:ascii="Arial"/>
                <w:b/>
                <w:color w:val="44536A"/>
                <w:sz w:val="10"/>
              </w:rPr>
              <w:t>IMPUESTOS</w:t>
            </w:r>
            <w:r>
              <w:rPr>
                <w:rFonts w:ascii="Arial"/>
                <w:b/>
                <w:color w:val="44536A"/>
                <w:spacing w:val="-8"/>
                <w:sz w:val="10"/>
              </w:rPr>
              <w:t> </w:t>
            </w:r>
            <w:r>
              <w:rPr>
                <w:rFonts w:ascii="Arial"/>
                <w:b/>
                <w:color w:val="44536A"/>
                <w:sz w:val="10"/>
              </w:rPr>
              <w:t>INTERNOS</w:t>
            </w:r>
          </w:p>
          <w:p>
            <w:pPr>
              <w:pStyle w:val="TableParagraph"/>
              <w:spacing w:before="11"/>
              <w:rPr>
                <w:i/>
                <w:sz w:val="7"/>
              </w:rPr>
            </w:pPr>
          </w:p>
          <w:p>
            <w:pPr>
              <w:pStyle w:val="TableParagraph"/>
              <w:spacing w:line="410" w:lineRule="auto"/>
              <w:ind w:left="133" w:right="1577" w:firstLine="6"/>
              <w:rPr>
                <w:rFonts w:ascii="Arial"/>
                <w:sz w:val="10"/>
              </w:rPr>
            </w:pPr>
            <w:r>
              <w:rPr>
                <w:rFonts w:ascii="Arial"/>
                <w:color w:val="44536A"/>
                <w:w w:val="105"/>
                <w:sz w:val="10"/>
              </w:rPr>
              <w:t>Sobre la </w:t>
            </w:r>
            <w:r>
              <w:rPr>
                <w:rFonts w:ascii="Arial"/>
                <w:color w:val="44536A"/>
                <w:spacing w:val="-3"/>
                <w:w w:val="105"/>
                <w:sz w:val="10"/>
              </w:rPr>
              <w:t>Renta </w:t>
            </w:r>
            <w:r>
              <w:rPr>
                <w:rFonts w:ascii="Arial"/>
                <w:color w:val="44536A"/>
                <w:w w:val="105"/>
                <w:sz w:val="10"/>
              </w:rPr>
              <w:t>De Solidaridad </w:t>
            </w:r>
            <w:r>
              <w:rPr>
                <w:rFonts w:ascii="Arial"/>
                <w:color w:val="44536A"/>
                <w:sz w:val="10"/>
              </w:rPr>
              <w:t>Sobre el</w:t>
            </w:r>
            <w:r>
              <w:rPr>
                <w:rFonts w:ascii="Arial"/>
                <w:color w:val="44536A"/>
                <w:spacing w:val="-12"/>
                <w:sz w:val="10"/>
              </w:rPr>
              <w:t> </w:t>
            </w:r>
            <w:r>
              <w:rPr>
                <w:rFonts w:ascii="Arial"/>
                <w:color w:val="44536A"/>
                <w:spacing w:val="-4"/>
                <w:sz w:val="10"/>
              </w:rPr>
              <w:t>Patrimonio</w:t>
            </w:r>
          </w:p>
          <w:p>
            <w:pPr>
              <w:pStyle w:val="TableParagraph"/>
              <w:spacing w:line="417" w:lineRule="auto" w:before="3"/>
              <w:ind w:left="133" w:right="940"/>
              <w:rPr>
                <w:rFonts w:ascii="Arial" w:hAnsi="Arial"/>
                <w:sz w:val="10"/>
              </w:rPr>
            </w:pPr>
            <w:r>
              <w:rPr>
                <w:rFonts w:ascii="Arial" w:hAnsi="Arial"/>
                <w:color w:val="44536A"/>
                <w:sz w:val="10"/>
              </w:rPr>
              <w:t>Al Valor Agregado Doméstico Sobre Distribución de Bebidas Sobre el Tabaco y sus productos</w:t>
            </w:r>
          </w:p>
          <w:p>
            <w:pPr>
              <w:pStyle w:val="TableParagraph"/>
              <w:spacing w:line="417" w:lineRule="auto"/>
              <w:ind w:left="133" w:right="516"/>
              <w:rPr>
                <w:rFonts w:ascii="Arial" w:hAnsi="Arial"/>
                <w:sz w:val="10"/>
              </w:rPr>
            </w:pPr>
            <w:r>
              <w:rPr>
                <w:rFonts w:ascii="Arial" w:hAnsi="Arial"/>
                <w:color w:val="44536A"/>
                <w:sz w:val="10"/>
              </w:rPr>
              <w:t>Sobre Distribución de Petróleo y </w:t>
            </w:r>
            <w:r>
              <w:rPr>
                <w:rFonts w:ascii="Arial" w:hAnsi="Arial"/>
                <w:color w:val="44536A"/>
                <w:spacing w:val="-3"/>
                <w:sz w:val="10"/>
              </w:rPr>
              <w:t>Derivados </w:t>
            </w:r>
            <w:r>
              <w:rPr>
                <w:rFonts w:ascii="Arial" w:hAnsi="Arial"/>
                <w:color w:val="44536A"/>
                <w:sz w:val="10"/>
              </w:rPr>
              <w:t>Sobre Distribución de Cemento</w:t>
            </w:r>
          </w:p>
          <w:p>
            <w:pPr>
              <w:pStyle w:val="TableParagraph"/>
              <w:spacing w:line="114" w:lineRule="exact"/>
              <w:ind w:left="133"/>
              <w:rPr>
                <w:rFonts w:ascii="Arial"/>
                <w:sz w:val="10"/>
              </w:rPr>
            </w:pPr>
            <w:r>
              <w:rPr>
                <w:rFonts w:ascii="Arial"/>
                <w:color w:val="44536A"/>
                <w:sz w:val="10"/>
              </w:rPr>
              <w:t>Timbres Fiscales y Papel Sellado</w:t>
            </w:r>
          </w:p>
          <w:p>
            <w:pPr>
              <w:pStyle w:val="TableParagraph"/>
              <w:spacing w:before="84"/>
              <w:ind w:left="133"/>
              <w:rPr>
                <w:rFonts w:ascii="Arial" w:hAnsi="Arial"/>
                <w:sz w:val="10"/>
              </w:rPr>
            </w:pPr>
            <w:r>
              <w:rPr>
                <w:rFonts w:ascii="Arial" w:hAnsi="Arial"/>
                <w:color w:val="44536A"/>
                <w:sz w:val="10"/>
              </w:rPr>
              <w:t>Sobre Circulación de Vehículos</w:t>
            </w:r>
          </w:p>
          <w:p>
            <w:pPr>
              <w:pStyle w:val="TableParagraph"/>
              <w:spacing w:line="249" w:lineRule="auto" w:before="25"/>
              <w:ind w:left="133" w:right="385"/>
              <w:rPr>
                <w:rFonts w:ascii="Arial" w:hAnsi="Arial"/>
                <w:sz w:val="10"/>
              </w:rPr>
            </w:pPr>
            <w:r>
              <w:rPr>
                <w:rFonts w:ascii="Arial" w:hAnsi="Arial"/>
                <w:color w:val="44536A"/>
                <w:sz w:val="10"/>
              </w:rPr>
              <w:t>Específico a la Primera </w:t>
            </w:r>
            <w:r>
              <w:rPr>
                <w:rFonts w:ascii="Arial" w:hAnsi="Arial"/>
                <w:color w:val="44536A"/>
                <w:spacing w:val="-3"/>
                <w:sz w:val="10"/>
              </w:rPr>
              <w:t>Matrícula </w:t>
            </w:r>
            <w:r>
              <w:rPr>
                <w:rFonts w:ascii="Arial" w:hAnsi="Arial"/>
                <w:color w:val="44536A"/>
                <w:sz w:val="10"/>
              </w:rPr>
              <w:t>de </w:t>
            </w:r>
            <w:r>
              <w:rPr>
                <w:rFonts w:ascii="Arial" w:hAnsi="Arial"/>
                <w:color w:val="44536A"/>
                <w:spacing w:val="-3"/>
                <w:sz w:val="10"/>
              </w:rPr>
              <w:t>Vehículos </w:t>
            </w:r>
            <w:r>
              <w:rPr>
                <w:rFonts w:ascii="Arial" w:hAnsi="Arial"/>
                <w:color w:val="44536A"/>
                <w:sz w:val="10"/>
              </w:rPr>
              <w:t>Terrestres</w:t>
            </w:r>
          </w:p>
          <w:p>
            <w:pPr>
              <w:pStyle w:val="TableParagraph"/>
              <w:spacing w:before="21"/>
              <w:ind w:left="133"/>
              <w:rPr>
                <w:rFonts w:ascii="Arial"/>
                <w:sz w:val="10"/>
              </w:rPr>
            </w:pPr>
            <w:r>
              <w:rPr>
                <w:rFonts w:ascii="Arial"/>
                <w:color w:val="44536A"/>
                <w:sz w:val="10"/>
              </w:rPr>
              <w:t>Otros</w:t>
            </w:r>
          </w:p>
          <w:p>
            <w:pPr>
              <w:pStyle w:val="TableParagraph"/>
              <w:spacing w:before="85"/>
              <w:ind w:left="251"/>
              <w:rPr>
                <w:rFonts w:ascii="Arial"/>
                <w:b/>
                <w:sz w:val="10"/>
              </w:rPr>
            </w:pPr>
            <w:r>
              <w:rPr>
                <w:rFonts w:ascii="Arial"/>
                <w:b/>
                <w:color w:val="FF0000"/>
                <w:sz w:val="10"/>
              </w:rPr>
              <w:t>Otros directos e indirectos</w:t>
            </w:r>
          </w:p>
          <w:p>
            <w:pPr>
              <w:pStyle w:val="TableParagraph"/>
              <w:spacing w:before="10"/>
              <w:rPr>
                <w:i/>
                <w:sz w:val="7"/>
              </w:rPr>
            </w:pPr>
          </w:p>
          <w:p>
            <w:pPr>
              <w:pStyle w:val="TableParagraph"/>
              <w:spacing w:before="1"/>
              <w:ind w:left="80"/>
              <w:rPr>
                <w:rFonts w:ascii="Arial"/>
                <w:b/>
                <w:i/>
                <w:sz w:val="10"/>
              </w:rPr>
            </w:pPr>
            <w:r>
              <w:rPr>
                <w:rFonts w:ascii="Arial"/>
                <w:b/>
                <w:i/>
                <w:color w:val="FFFFFF"/>
                <w:w w:val="105"/>
                <w:sz w:val="10"/>
              </w:rPr>
              <w:t>OTRAS INSTITUCIONES</w:t>
            </w:r>
          </w:p>
          <w:p>
            <w:pPr>
              <w:pStyle w:val="TableParagraph"/>
              <w:spacing w:line="200" w:lineRule="atLeast"/>
              <w:ind w:left="140" w:right="516"/>
              <w:rPr>
                <w:rFonts w:ascii="Arial" w:hAnsi="Arial"/>
                <w:sz w:val="10"/>
              </w:rPr>
            </w:pPr>
            <w:r>
              <w:rPr>
                <w:rFonts w:ascii="Arial" w:hAnsi="Arial"/>
                <w:color w:val="44536A"/>
                <w:w w:val="105"/>
                <w:sz w:val="10"/>
              </w:rPr>
              <w:t>Regalías e Hidrocarburos Compartibles Salida del País</w:t>
            </w:r>
          </w:p>
        </w:tc>
        <w:tc>
          <w:tcPr>
            <w:tcW w:w="768" w:type="dxa"/>
            <w:tcBorders>
              <w:left w:val="single" w:sz="4" w:space="0" w:color="000000"/>
              <w:right w:val="single" w:sz="4" w:space="0" w:color="000000"/>
            </w:tcBorders>
          </w:tcPr>
          <w:p>
            <w:pPr>
              <w:pStyle w:val="TableParagraph"/>
              <w:spacing w:before="46"/>
              <w:ind w:left="137" w:right="137"/>
              <w:jc w:val="center"/>
              <w:rPr>
                <w:rFonts w:ascii="Arial"/>
                <w:sz w:val="10"/>
              </w:rPr>
            </w:pPr>
            <w:r>
              <w:rPr>
                <w:rFonts w:ascii="Arial"/>
                <w:color w:val="44536A"/>
                <w:w w:val="105"/>
                <w:sz w:val="10"/>
              </w:rPr>
              <w:t>15,308.9</w:t>
            </w:r>
          </w:p>
        </w:tc>
        <w:tc>
          <w:tcPr>
            <w:tcW w:w="722" w:type="dxa"/>
            <w:tcBorders>
              <w:left w:val="single" w:sz="4" w:space="0" w:color="000000"/>
              <w:right w:val="single" w:sz="4" w:space="0" w:color="000000"/>
            </w:tcBorders>
          </w:tcPr>
          <w:p>
            <w:pPr>
              <w:pStyle w:val="TableParagraph"/>
              <w:spacing w:before="46"/>
              <w:ind w:left="112" w:right="116"/>
              <w:jc w:val="center"/>
              <w:rPr>
                <w:rFonts w:ascii="Arial"/>
                <w:sz w:val="10"/>
              </w:rPr>
            </w:pPr>
            <w:r>
              <w:rPr>
                <w:rFonts w:ascii="Arial"/>
                <w:color w:val="44536A"/>
                <w:w w:val="105"/>
                <w:sz w:val="10"/>
              </w:rPr>
              <w:t>14,087.9</w:t>
            </w:r>
          </w:p>
        </w:tc>
        <w:tc>
          <w:tcPr>
            <w:tcW w:w="656" w:type="dxa"/>
            <w:tcBorders>
              <w:left w:val="single" w:sz="4" w:space="0" w:color="000000"/>
              <w:right w:val="single" w:sz="4" w:space="0" w:color="000000"/>
            </w:tcBorders>
          </w:tcPr>
          <w:p>
            <w:pPr>
              <w:pStyle w:val="TableParagraph"/>
              <w:spacing w:before="46"/>
              <w:ind w:right="120"/>
              <w:jc w:val="right"/>
              <w:rPr>
                <w:rFonts w:ascii="Arial"/>
                <w:sz w:val="10"/>
              </w:rPr>
            </w:pPr>
            <w:r>
              <w:rPr>
                <w:rFonts w:ascii="Arial"/>
                <w:color w:val="44536A"/>
                <w:w w:val="105"/>
                <w:sz w:val="10"/>
              </w:rPr>
              <w:t>20,234.3</w:t>
            </w:r>
          </w:p>
        </w:tc>
        <w:tc>
          <w:tcPr>
            <w:tcW w:w="702" w:type="dxa"/>
            <w:tcBorders>
              <w:left w:val="single" w:sz="4" w:space="0" w:color="000000"/>
              <w:right w:val="single" w:sz="4" w:space="0" w:color="000000"/>
            </w:tcBorders>
          </w:tcPr>
          <w:p>
            <w:pPr>
              <w:pStyle w:val="TableParagraph"/>
              <w:spacing w:before="46"/>
              <w:ind w:right="139"/>
              <w:jc w:val="right"/>
              <w:rPr>
                <w:rFonts w:ascii="Arial"/>
                <w:sz w:val="10"/>
              </w:rPr>
            </w:pPr>
            <w:r>
              <w:rPr>
                <w:rFonts w:ascii="Arial"/>
                <w:color w:val="44536A"/>
                <w:w w:val="105"/>
                <w:sz w:val="10"/>
              </w:rPr>
              <w:t>22,136.0</w:t>
            </w:r>
          </w:p>
        </w:tc>
        <w:tc>
          <w:tcPr>
            <w:tcW w:w="656" w:type="dxa"/>
            <w:tcBorders>
              <w:left w:val="single" w:sz="4" w:space="0" w:color="000000"/>
              <w:right w:val="single" w:sz="4" w:space="0" w:color="000000"/>
            </w:tcBorders>
          </w:tcPr>
          <w:p>
            <w:pPr>
              <w:pStyle w:val="TableParagraph"/>
              <w:spacing w:before="46"/>
              <w:ind w:left="119"/>
              <w:rPr>
                <w:rFonts w:ascii="Arial"/>
                <w:sz w:val="10"/>
              </w:rPr>
            </w:pPr>
            <w:r>
              <w:rPr>
                <w:rFonts w:ascii="Arial"/>
                <w:color w:val="44536A"/>
                <w:w w:val="105"/>
                <w:sz w:val="10"/>
              </w:rPr>
              <w:t>23,892.1</w:t>
            </w:r>
          </w:p>
        </w:tc>
        <w:tc>
          <w:tcPr>
            <w:tcW w:w="656" w:type="dxa"/>
            <w:tcBorders>
              <w:left w:val="single" w:sz="4" w:space="0" w:color="000000"/>
              <w:right w:val="single" w:sz="4" w:space="0" w:color="000000"/>
            </w:tcBorders>
          </w:tcPr>
          <w:p>
            <w:pPr>
              <w:pStyle w:val="TableParagraph"/>
              <w:spacing w:before="46"/>
              <w:ind w:left="120"/>
              <w:rPr>
                <w:rFonts w:ascii="Arial"/>
                <w:sz w:val="10"/>
              </w:rPr>
            </w:pPr>
            <w:r>
              <w:rPr>
                <w:rFonts w:ascii="Arial"/>
                <w:color w:val="44536A"/>
                <w:w w:val="105"/>
                <w:sz w:val="10"/>
              </w:rPr>
              <w:t>26,053.4</w:t>
            </w:r>
          </w:p>
        </w:tc>
        <w:tc>
          <w:tcPr>
            <w:tcW w:w="656" w:type="dxa"/>
            <w:tcBorders>
              <w:left w:val="single" w:sz="4" w:space="0" w:color="000000"/>
              <w:right w:val="single" w:sz="4" w:space="0" w:color="000000"/>
            </w:tcBorders>
          </w:tcPr>
          <w:p>
            <w:pPr>
              <w:pStyle w:val="TableParagraph"/>
              <w:spacing w:before="46"/>
              <w:ind w:left="55" w:right="54"/>
              <w:jc w:val="center"/>
              <w:rPr>
                <w:rFonts w:ascii="Arial"/>
                <w:sz w:val="10"/>
              </w:rPr>
            </w:pPr>
            <w:r>
              <w:rPr>
                <w:rFonts w:ascii="Arial"/>
                <w:color w:val="44536A"/>
                <w:w w:val="105"/>
                <w:sz w:val="10"/>
              </w:rPr>
              <w:t>28,275.9</w:t>
            </w:r>
          </w:p>
        </w:tc>
        <w:tc>
          <w:tcPr>
            <w:tcW w:w="656" w:type="dxa"/>
            <w:tcBorders>
              <w:left w:val="single" w:sz="4" w:space="0" w:color="000000"/>
              <w:right w:val="single" w:sz="4" w:space="0" w:color="000000"/>
            </w:tcBorders>
          </w:tcPr>
          <w:p>
            <w:pPr>
              <w:pStyle w:val="TableParagraph"/>
              <w:spacing w:before="46"/>
              <w:ind w:right="116"/>
              <w:jc w:val="right"/>
              <w:rPr>
                <w:rFonts w:ascii="Arial"/>
                <w:sz w:val="10"/>
              </w:rPr>
            </w:pPr>
            <w:r>
              <w:rPr>
                <w:rFonts w:ascii="Arial"/>
                <w:color w:val="44536A"/>
                <w:w w:val="105"/>
                <w:sz w:val="10"/>
              </w:rPr>
              <w:t>30,814.9</w:t>
            </w:r>
          </w:p>
        </w:tc>
        <w:tc>
          <w:tcPr>
            <w:tcW w:w="659" w:type="dxa"/>
            <w:tcBorders>
              <w:left w:val="single" w:sz="4" w:space="0" w:color="000000"/>
            </w:tcBorders>
          </w:tcPr>
          <w:p>
            <w:pPr>
              <w:pStyle w:val="TableParagraph"/>
              <w:spacing w:before="46"/>
              <w:ind w:left="57" w:right="58"/>
              <w:jc w:val="center"/>
              <w:rPr>
                <w:rFonts w:ascii="Arial"/>
                <w:sz w:val="10"/>
              </w:rPr>
            </w:pPr>
            <w:r>
              <w:rPr>
                <w:rFonts w:ascii="Arial"/>
                <w:color w:val="44536A"/>
                <w:w w:val="105"/>
                <w:sz w:val="10"/>
              </w:rPr>
              <w:t>33,591.7</w:t>
            </w:r>
          </w:p>
        </w:tc>
      </w:tr>
      <w:tr>
        <w:trPr>
          <w:trHeight w:val="190" w:hRule="atLeast"/>
        </w:trPr>
        <w:tc>
          <w:tcPr>
            <w:tcW w:w="2560" w:type="dxa"/>
            <w:vMerge/>
            <w:tcBorders>
              <w:top w:val="nil"/>
              <w:right w:val="single" w:sz="4" w:space="0" w:color="000000"/>
            </w:tcBorders>
          </w:tcPr>
          <w:p>
            <w:pPr>
              <w:rPr>
                <w:sz w:val="2"/>
                <w:szCs w:val="2"/>
              </w:rPr>
            </w:pPr>
          </w:p>
        </w:tc>
        <w:tc>
          <w:tcPr>
            <w:tcW w:w="768" w:type="dxa"/>
            <w:tcBorders>
              <w:left w:val="single" w:sz="4" w:space="0" w:color="000000"/>
              <w:right w:val="single" w:sz="4" w:space="0" w:color="000000"/>
            </w:tcBorders>
          </w:tcPr>
          <w:p>
            <w:pPr>
              <w:pStyle w:val="TableParagraph"/>
              <w:spacing w:before="43"/>
              <w:ind w:left="137" w:right="141"/>
              <w:jc w:val="center"/>
              <w:rPr>
                <w:rFonts w:ascii="Arial"/>
                <w:sz w:val="10"/>
              </w:rPr>
            </w:pPr>
            <w:r>
              <w:rPr>
                <w:rFonts w:ascii="Arial"/>
                <w:color w:val="44536A"/>
                <w:w w:val="105"/>
                <w:sz w:val="10"/>
              </w:rPr>
              <w:t>2,711.5</w:t>
            </w:r>
          </w:p>
        </w:tc>
        <w:tc>
          <w:tcPr>
            <w:tcW w:w="722" w:type="dxa"/>
            <w:tcBorders>
              <w:left w:val="single" w:sz="4" w:space="0" w:color="000000"/>
              <w:right w:val="single" w:sz="4" w:space="0" w:color="000000"/>
            </w:tcBorders>
          </w:tcPr>
          <w:p>
            <w:pPr>
              <w:pStyle w:val="TableParagraph"/>
              <w:spacing w:before="43"/>
              <w:ind w:left="112" w:right="112"/>
              <w:jc w:val="center"/>
              <w:rPr>
                <w:rFonts w:ascii="Arial"/>
                <w:sz w:val="10"/>
              </w:rPr>
            </w:pPr>
            <w:r>
              <w:rPr>
                <w:rFonts w:ascii="Arial"/>
                <w:color w:val="44536A"/>
                <w:w w:val="105"/>
                <w:sz w:val="10"/>
              </w:rPr>
              <w:t>2,487.4</w:t>
            </w:r>
          </w:p>
        </w:tc>
        <w:tc>
          <w:tcPr>
            <w:tcW w:w="656" w:type="dxa"/>
            <w:tcBorders>
              <w:left w:val="single" w:sz="4" w:space="0" w:color="000000"/>
              <w:right w:val="single" w:sz="4" w:space="0" w:color="000000"/>
            </w:tcBorders>
          </w:tcPr>
          <w:p>
            <w:pPr>
              <w:pStyle w:val="TableParagraph"/>
              <w:spacing w:before="43"/>
              <w:ind w:right="146"/>
              <w:jc w:val="right"/>
              <w:rPr>
                <w:rFonts w:ascii="Arial"/>
                <w:sz w:val="10"/>
              </w:rPr>
            </w:pPr>
            <w:r>
              <w:rPr>
                <w:rFonts w:ascii="Arial"/>
                <w:color w:val="44536A"/>
                <w:w w:val="105"/>
                <w:sz w:val="10"/>
              </w:rPr>
              <w:t>3,485.4</w:t>
            </w:r>
          </w:p>
        </w:tc>
        <w:tc>
          <w:tcPr>
            <w:tcW w:w="702" w:type="dxa"/>
            <w:tcBorders>
              <w:left w:val="single" w:sz="4" w:space="0" w:color="000000"/>
              <w:right w:val="single" w:sz="4" w:space="0" w:color="000000"/>
            </w:tcBorders>
          </w:tcPr>
          <w:p>
            <w:pPr>
              <w:pStyle w:val="TableParagraph"/>
              <w:spacing w:before="43"/>
              <w:ind w:right="172"/>
              <w:jc w:val="right"/>
              <w:rPr>
                <w:rFonts w:ascii="Arial"/>
                <w:sz w:val="10"/>
              </w:rPr>
            </w:pPr>
            <w:r>
              <w:rPr>
                <w:rFonts w:ascii="Arial"/>
                <w:color w:val="44536A"/>
                <w:w w:val="105"/>
                <w:sz w:val="10"/>
              </w:rPr>
              <w:t>3,709.1</w:t>
            </w:r>
          </w:p>
        </w:tc>
        <w:tc>
          <w:tcPr>
            <w:tcW w:w="656" w:type="dxa"/>
            <w:tcBorders>
              <w:left w:val="single" w:sz="4" w:space="0" w:color="000000"/>
              <w:right w:val="single" w:sz="4" w:space="0" w:color="000000"/>
            </w:tcBorders>
          </w:tcPr>
          <w:p>
            <w:pPr>
              <w:pStyle w:val="TableParagraph"/>
              <w:spacing w:before="43"/>
              <w:ind w:left="152"/>
              <w:rPr>
                <w:rFonts w:ascii="Arial"/>
                <w:sz w:val="10"/>
              </w:rPr>
            </w:pPr>
            <w:r>
              <w:rPr>
                <w:rFonts w:ascii="Arial"/>
                <w:color w:val="44536A"/>
                <w:w w:val="105"/>
                <w:sz w:val="10"/>
              </w:rPr>
              <w:t>4,020.0</w:t>
            </w:r>
          </w:p>
        </w:tc>
        <w:tc>
          <w:tcPr>
            <w:tcW w:w="656" w:type="dxa"/>
            <w:tcBorders>
              <w:left w:val="single" w:sz="4" w:space="0" w:color="000000"/>
              <w:right w:val="single" w:sz="4" w:space="0" w:color="000000"/>
            </w:tcBorders>
          </w:tcPr>
          <w:p>
            <w:pPr>
              <w:pStyle w:val="TableParagraph"/>
              <w:spacing w:before="43"/>
              <w:ind w:left="152"/>
              <w:rPr>
                <w:rFonts w:ascii="Arial"/>
                <w:sz w:val="10"/>
              </w:rPr>
            </w:pPr>
            <w:r>
              <w:rPr>
                <w:rFonts w:ascii="Arial"/>
                <w:color w:val="44536A"/>
                <w:w w:val="105"/>
                <w:sz w:val="10"/>
              </w:rPr>
              <w:t>4,383.6</w:t>
            </w:r>
          </w:p>
        </w:tc>
        <w:tc>
          <w:tcPr>
            <w:tcW w:w="656" w:type="dxa"/>
            <w:tcBorders>
              <w:left w:val="single" w:sz="4" w:space="0" w:color="000000"/>
              <w:right w:val="single" w:sz="4" w:space="0" w:color="000000"/>
            </w:tcBorders>
          </w:tcPr>
          <w:p>
            <w:pPr>
              <w:pStyle w:val="TableParagraph"/>
              <w:spacing w:before="43"/>
              <w:ind w:left="55" w:right="47"/>
              <w:jc w:val="center"/>
              <w:rPr>
                <w:rFonts w:ascii="Arial"/>
                <w:sz w:val="10"/>
              </w:rPr>
            </w:pPr>
            <w:r>
              <w:rPr>
                <w:rFonts w:ascii="Arial"/>
                <w:color w:val="44536A"/>
                <w:w w:val="105"/>
                <w:sz w:val="10"/>
              </w:rPr>
              <w:t>4,757.6</w:t>
            </w:r>
          </w:p>
        </w:tc>
        <w:tc>
          <w:tcPr>
            <w:tcW w:w="656" w:type="dxa"/>
            <w:tcBorders>
              <w:left w:val="single" w:sz="4" w:space="0" w:color="000000"/>
              <w:right w:val="single" w:sz="4" w:space="0" w:color="000000"/>
            </w:tcBorders>
          </w:tcPr>
          <w:p>
            <w:pPr>
              <w:pStyle w:val="TableParagraph"/>
              <w:spacing w:before="43"/>
              <w:ind w:right="142"/>
              <w:jc w:val="right"/>
              <w:rPr>
                <w:rFonts w:ascii="Arial"/>
                <w:sz w:val="10"/>
              </w:rPr>
            </w:pPr>
            <w:r>
              <w:rPr>
                <w:rFonts w:ascii="Arial"/>
                <w:color w:val="44536A"/>
                <w:w w:val="105"/>
                <w:sz w:val="10"/>
              </w:rPr>
              <w:t>5,184.8</w:t>
            </w:r>
          </w:p>
        </w:tc>
        <w:tc>
          <w:tcPr>
            <w:tcW w:w="659" w:type="dxa"/>
            <w:tcBorders>
              <w:left w:val="single" w:sz="4" w:space="0" w:color="000000"/>
            </w:tcBorders>
          </w:tcPr>
          <w:p>
            <w:pPr>
              <w:pStyle w:val="TableParagraph"/>
              <w:spacing w:before="43"/>
              <w:ind w:left="57" w:right="55"/>
              <w:jc w:val="center"/>
              <w:rPr>
                <w:rFonts w:ascii="Arial"/>
                <w:sz w:val="10"/>
              </w:rPr>
            </w:pPr>
            <w:r>
              <w:rPr>
                <w:rFonts w:ascii="Arial"/>
                <w:color w:val="44536A"/>
                <w:w w:val="105"/>
                <w:sz w:val="10"/>
              </w:rPr>
              <w:t>5,652.0</w:t>
            </w:r>
          </w:p>
        </w:tc>
      </w:tr>
      <w:tr>
        <w:trPr>
          <w:trHeight w:val="206" w:hRule="atLeast"/>
        </w:trPr>
        <w:tc>
          <w:tcPr>
            <w:tcW w:w="2560" w:type="dxa"/>
            <w:vMerge/>
            <w:tcBorders>
              <w:top w:val="nil"/>
              <w:right w:val="single" w:sz="4" w:space="0" w:color="000000"/>
            </w:tcBorders>
          </w:tcPr>
          <w:p>
            <w:pPr>
              <w:rPr>
                <w:sz w:val="2"/>
                <w:szCs w:val="2"/>
              </w:rPr>
            </w:pPr>
          </w:p>
        </w:tc>
        <w:tc>
          <w:tcPr>
            <w:tcW w:w="768" w:type="dxa"/>
            <w:tcBorders>
              <w:left w:val="single" w:sz="4" w:space="0" w:color="000000"/>
              <w:right w:val="single" w:sz="4" w:space="0" w:color="000000"/>
            </w:tcBorders>
          </w:tcPr>
          <w:p>
            <w:pPr>
              <w:pStyle w:val="TableParagraph"/>
              <w:spacing w:before="46"/>
              <w:ind w:left="137" w:right="137"/>
              <w:jc w:val="center"/>
              <w:rPr>
                <w:rFonts w:ascii="Arial"/>
                <w:b/>
                <w:sz w:val="10"/>
              </w:rPr>
            </w:pPr>
            <w:r>
              <w:rPr>
                <w:rFonts w:ascii="Arial"/>
                <w:b/>
                <w:color w:val="44536A"/>
                <w:w w:val="105"/>
                <w:sz w:val="10"/>
              </w:rPr>
              <w:t>44,056.9</w:t>
            </w:r>
          </w:p>
        </w:tc>
        <w:tc>
          <w:tcPr>
            <w:tcW w:w="722" w:type="dxa"/>
            <w:tcBorders>
              <w:left w:val="single" w:sz="4" w:space="0" w:color="000000"/>
              <w:right w:val="single" w:sz="4" w:space="0" w:color="000000"/>
            </w:tcBorders>
          </w:tcPr>
          <w:p>
            <w:pPr>
              <w:pStyle w:val="TableParagraph"/>
              <w:spacing w:before="46"/>
              <w:ind w:left="112" w:right="116"/>
              <w:jc w:val="center"/>
              <w:rPr>
                <w:rFonts w:ascii="Arial"/>
                <w:b/>
                <w:sz w:val="10"/>
              </w:rPr>
            </w:pPr>
            <w:r>
              <w:rPr>
                <w:rFonts w:ascii="Arial"/>
                <w:b/>
                <w:color w:val="44536A"/>
                <w:w w:val="105"/>
                <w:sz w:val="10"/>
              </w:rPr>
              <w:t>43,469.1</w:t>
            </w:r>
          </w:p>
        </w:tc>
        <w:tc>
          <w:tcPr>
            <w:tcW w:w="656" w:type="dxa"/>
            <w:tcBorders>
              <w:left w:val="single" w:sz="4" w:space="0" w:color="000000"/>
              <w:right w:val="single" w:sz="4" w:space="0" w:color="000000"/>
            </w:tcBorders>
          </w:tcPr>
          <w:p>
            <w:pPr>
              <w:pStyle w:val="TableParagraph"/>
              <w:spacing w:before="46"/>
              <w:ind w:right="120"/>
              <w:jc w:val="right"/>
              <w:rPr>
                <w:rFonts w:ascii="Arial"/>
                <w:b/>
                <w:sz w:val="10"/>
              </w:rPr>
            </w:pPr>
            <w:r>
              <w:rPr>
                <w:rFonts w:ascii="Arial"/>
                <w:b/>
                <w:color w:val="44536A"/>
                <w:w w:val="105"/>
                <w:sz w:val="10"/>
              </w:rPr>
              <w:t>53,907.4</w:t>
            </w:r>
          </w:p>
        </w:tc>
        <w:tc>
          <w:tcPr>
            <w:tcW w:w="702" w:type="dxa"/>
            <w:tcBorders>
              <w:left w:val="single" w:sz="4" w:space="0" w:color="000000"/>
              <w:right w:val="single" w:sz="4" w:space="0" w:color="000000"/>
            </w:tcBorders>
            <w:shd w:val="clear" w:color="auto" w:fill="2F5395"/>
          </w:tcPr>
          <w:p>
            <w:pPr>
              <w:pStyle w:val="TableParagraph"/>
              <w:spacing w:before="46"/>
              <w:ind w:right="139"/>
              <w:jc w:val="right"/>
              <w:rPr>
                <w:rFonts w:ascii="Arial"/>
                <w:b/>
                <w:sz w:val="10"/>
              </w:rPr>
            </w:pPr>
            <w:r>
              <w:rPr>
                <w:rFonts w:ascii="Arial"/>
                <w:b/>
                <w:color w:val="FFFFFF"/>
                <w:w w:val="105"/>
                <w:sz w:val="10"/>
              </w:rPr>
              <w:t>56,564.0</w:t>
            </w:r>
          </w:p>
        </w:tc>
        <w:tc>
          <w:tcPr>
            <w:tcW w:w="656" w:type="dxa"/>
            <w:tcBorders>
              <w:left w:val="single" w:sz="4" w:space="0" w:color="000000"/>
              <w:right w:val="single" w:sz="4" w:space="0" w:color="000000"/>
            </w:tcBorders>
            <w:shd w:val="clear" w:color="auto" w:fill="2F5395"/>
          </w:tcPr>
          <w:p>
            <w:pPr>
              <w:pStyle w:val="TableParagraph"/>
              <w:spacing w:before="46"/>
              <w:ind w:left="119"/>
              <w:rPr>
                <w:rFonts w:ascii="Arial"/>
                <w:b/>
                <w:sz w:val="10"/>
              </w:rPr>
            </w:pPr>
            <w:r>
              <w:rPr>
                <w:rFonts w:ascii="Arial"/>
                <w:b/>
                <w:color w:val="FFFFFF"/>
                <w:w w:val="105"/>
                <w:sz w:val="10"/>
              </w:rPr>
              <w:t>59,091.3</w:t>
            </w:r>
          </w:p>
        </w:tc>
        <w:tc>
          <w:tcPr>
            <w:tcW w:w="656" w:type="dxa"/>
            <w:tcBorders>
              <w:left w:val="single" w:sz="4" w:space="0" w:color="000000"/>
              <w:right w:val="single" w:sz="4" w:space="0" w:color="000000"/>
            </w:tcBorders>
            <w:shd w:val="clear" w:color="auto" w:fill="2F5395"/>
          </w:tcPr>
          <w:p>
            <w:pPr>
              <w:pStyle w:val="TableParagraph"/>
              <w:spacing w:before="46"/>
              <w:ind w:left="120"/>
              <w:rPr>
                <w:rFonts w:ascii="Arial"/>
                <w:b/>
                <w:sz w:val="10"/>
              </w:rPr>
            </w:pPr>
            <w:r>
              <w:rPr>
                <w:rFonts w:ascii="Arial"/>
                <w:b/>
                <w:color w:val="FFFFFF"/>
                <w:w w:val="105"/>
                <w:sz w:val="10"/>
              </w:rPr>
              <w:t>66,164.7</w:t>
            </w:r>
          </w:p>
        </w:tc>
        <w:tc>
          <w:tcPr>
            <w:tcW w:w="656" w:type="dxa"/>
            <w:tcBorders>
              <w:left w:val="single" w:sz="4" w:space="0" w:color="000000"/>
              <w:right w:val="single" w:sz="4" w:space="0" w:color="000000"/>
            </w:tcBorders>
            <w:shd w:val="clear" w:color="auto" w:fill="2F5395"/>
          </w:tcPr>
          <w:p>
            <w:pPr>
              <w:pStyle w:val="TableParagraph"/>
              <w:spacing w:before="46"/>
              <w:ind w:left="55" w:right="54"/>
              <w:jc w:val="center"/>
              <w:rPr>
                <w:rFonts w:ascii="Arial"/>
                <w:b/>
                <w:sz w:val="10"/>
              </w:rPr>
            </w:pPr>
            <w:r>
              <w:rPr>
                <w:rFonts w:ascii="Arial"/>
                <w:b/>
                <w:color w:val="FFFFFF"/>
                <w:w w:val="105"/>
                <w:sz w:val="10"/>
              </w:rPr>
              <w:t>70,661.1</w:t>
            </w:r>
          </w:p>
        </w:tc>
        <w:tc>
          <w:tcPr>
            <w:tcW w:w="656" w:type="dxa"/>
            <w:tcBorders>
              <w:left w:val="single" w:sz="4" w:space="0" w:color="000000"/>
              <w:right w:val="single" w:sz="4" w:space="0" w:color="000000"/>
            </w:tcBorders>
            <w:shd w:val="clear" w:color="auto" w:fill="2F5395"/>
          </w:tcPr>
          <w:p>
            <w:pPr>
              <w:pStyle w:val="TableParagraph"/>
              <w:spacing w:before="46"/>
              <w:ind w:right="116"/>
              <w:jc w:val="right"/>
              <w:rPr>
                <w:rFonts w:ascii="Arial"/>
                <w:b/>
                <w:sz w:val="10"/>
              </w:rPr>
            </w:pPr>
            <w:r>
              <w:rPr>
                <w:rFonts w:ascii="Arial"/>
                <w:b/>
                <w:color w:val="FFFFFF"/>
                <w:w w:val="105"/>
                <w:sz w:val="10"/>
              </w:rPr>
              <w:t>75,530.2</w:t>
            </w:r>
          </w:p>
        </w:tc>
        <w:tc>
          <w:tcPr>
            <w:tcW w:w="659" w:type="dxa"/>
            <w:tcBorders>
              <w:left w:val="single" w:sz="4" w:space="0" w:color="000000"/>
            </w:tcBorders>
            <w:shd w:val="clear" w:color="auto" w:fill="2F5395"/>
          </w:tcPr>
          <w:p>
            <w:pPr>
              <w:pStyle w:val="TableParagraph"/>
              <w:spacing w:before="46"/>
              <w:ind w:left="57" w:right="58"/>
              <w:jc w:val="center"/>
              <w:rPr>
                <w:rFonts w:ascii="Arial"/>
                <w:b/>
                <w:sz w:val="10"/>
              </w:rPr>
            </w:pPr>
            <w:r>
              <w:rPr>
                <w:rFonts w:ascii="Arial"/>
                <w:b/>
                <w:color w:val="FFFFFF"/>
                <w:w w:val="105"/>
                <w:sz w:val="10"/>
              </w:rPr>
              <w:t>80,857.6</w:t>
            </w:r>
          </w:p>
        </w:tc>
      </w:tr>
      <w:tr>
        <w:trPr>
          <w:trHeight w:val="202" w:hRule="atLeast"/>
        </w:trPr>
        <w:tc>
          <w:tcPr>
            <w:tcW w:w="2560" w:type="dxa"/>
            <w:vMerge/>
            <w:tcBorders>
              <w:top w:val="nil"/>
              <w:right w:val="single" w:sz="4" w:space="0" w:color="000000"/>
            </w:tcBorders>
          </w:tcPr>
          <w:p>
            <w:pPr>
              <w:rPr>
                <w:sz w:val="2"/>
                <w:szCs w:val="2"/>
              </w:rPr>
            </w:pPr>
          </w:p>
        </w:tc>
        <w:tc>
          <w:tcPr>
            <w:tcW w:w="768" w:type="dxa"/>
            <w:tcBorders>
              <w:left w:val="single" w:sz="4" w:space="0" w:color="000000"/>
              <w:right w:val="single" w:sz="4" w:space="0" w:color="000000"/>
            </w:tcBorders>
          </w:tcPr>
          <w:p>
            <w:pPr>
              <w:pStyle w:val="TableParagraph"/>
              <w:spacing w:before="46"/>
              <w:ind w:left="137" w:right="137"/>
              <w:jc w:val="center"/>
              <w:rPr>
                <w:rFonts w:ascii="Arial"/>
                <w:sz w:val="10"/>
              </w:rPr>
            </w:pPr>
            <w:r>
              <w:rPr>
                <w:rFonts w:ascii="Arial"/>
                <w:color w:val="44536A"/>
                <w:w w:val="105"/>
                <w:sz w:val="10"/>
              </w:rPr>
              <w:t>17,098.6</w:t>
            </w:r>
          </w:p>
        </w:tc>
        <w:tc>
          <w:tcPr>
            <w:tcW w:w="722" w:type="dxa"/>
            <w:tcBorders>
              <w:left w:val="single" w:sz="4" w:space="0" w:color="000000"/>
              <w:right w:val="single" w:sz="4" w:space="0" w:color="000000"/>
            </w:tcBorders>
          </w:tcPr>
          <w:p>
            <w:pPr>
              <w:pStyle w:val="TableParagraph"/>
              <w:spacing w:before="46"/>
              <w:ind w:left="112" w:right="116"/>
              <w:jc w:val="center"/>
              <w:rPr>
                <w:rFonts w:ascii="Arial"/>
                <w:sz w:val="10"/>
              </w:rPr>
            </w:pPr>
            <w:r>
              <w:rPr>
                <w:rFonts w:ascii="Arial"/>
                <w:color w:val="44536A"/>
                <w:w w:val="105"/>
                <w:sz w:val="10"/>
              </w:rPr>
              <w:t>16,749.0</w:t>
            </w:r>
          </w:p>
        </w:tc>
        <w:tc>
          <w:tcPr>
            <w:tcW w:w="656" w:type="dxa"/>
            <w:tcBorders>
              <w:left w:val="single" w:sz="4" w:space="0" w:color="000000"/>
              <w:right w:val="single" w:sz="4" w:space="0" w:color="000000"/>
            </w:tcBorders>
          </w:tcPr>
          <w:p>
            <w:pPr>
              <w:pStyle w:val="TableParagraph"/>
              <w:spacing w:before="46"/>
              <w:ind w:right="120"/>
              <w:jc w:val="right"/>
              <w:rPr>
                <w:rFonts w:ascii="Arial"/>
                <w:sz w:val="10"/>
              </w:rPr>
            </w:pPr>
            <w:r>
              <w:rPr>
                <w:rFonts w:ascii="Arial"/>
                <w:color w:val="44536A"/>
                <w:w w:val="105"/>
                <w:sz w:val="10"/>
              </w:rPr>
              <w:t>23,287.8</w:t>
            </w:r>
          </w:p>
        </w:tc>
        <w:tc>
          <w:tcPr>
            <w:tcW w:w="702" w:type="dxa"/>
            <w:tcBorders>
              <w:left w:val="single" w:sz="4" w:space="0" w:color="000000"/>
              <w:right w:val="single" w:sz="4" w:space="0" w:color="000000"/>
            </w:tcBorders>
          </w:tcPr>
          <w:p>
            <w:pPr>
              <w:pStyle w:val="TableParagraph"/>
              <w:spacing w:before="46"/>
              <w:ind w:right="139"/>
              <w:jc w:val="right"/>
              <w:rPr>
                <w:rFonts w:ascii="Arial"/>
                <w:sz w:val="10"/>
              </w:rPr>
            </w:pPr>
            <w:r>
              <w:rPr>
                <w:rFonts w:ascii="Arial"/>
                <w:color w:val="44536A"/>
                <w:w w:val="105"/>
                <w:sz w:val="10"/>
              </w:rPr>
              <w:t>23,248.8</w:t>
            </w:r>
          </w:p>
        </w:tc>
        <w:tc>
          <w:tcPr>
            <w:tcW w:w="656" w:type="dxa"/>
            <w:tcBorders>
              <w:left w:val="single" w:sz="4" w:space="0" w:color="000000"/>
              <w:right w:val="single" w:sz="4" w:space="0" w:color="000000"/>
            </w:tcBorders>
          </w:tcPr>
          <w:p>
            <w:pPr>
              <w:pStyle w:val="TableParagraph"/>
              <w:spacing w:before="46"/>
              <w:ind w:left="119"/>
              <w:rPr>
                <w:rFonts w:ascii="Arial"/>
                <w:sz w:val="10"/>
              </w:rPr>
            </w:pPr>
            <w:r>
              <w:rPr>
                <w:rFonts w:ascii="Arial"/>
                <w:color w:val="44536A"/>
                <w:w w:val="105"/>
                <w:sz w:val="10"/>
              </w:rPr>
              <w:t>24,830.3</w:t>
            </w:r>
          </w:p>
        </w:tc>
        <w:tc>
          <w:tcPr>
            <w:tcW w:w="656" w:type="dxa"/>
            <w:tcBorders>
              <w:left w:val="single" w:sz="4" w:space="0" w:color="000000"/>
              <w:right w:val="single" w:sz="4" w:space="0" w:color="000000"/>
            </w:tcBorders>
          </w:tcPr>
          <w:p>
            <w:pPr>
              <w:pStyle w:val="TableParagraph"/>
              <w:spacing w:before="46"/>
              <w:ind w:left="120"/>
              <w:rPr>
                <w:rFonts w:ascii="Arial"/>
                <w:sz w:val="10"/>
              </w:rPr>
            </w:pPr>
            <w:r>
              <w:rPr>
                <w:rFonts w:ascii="Arial"/>
                <w:color w:val="44536A"/>
                <w:w w:val="105"/>
                <w:sz w:val="10"/>
              </w:rPr>
              <w:t>26,570.4</w:t>
            </w:r>
          </w:p>
        </w:tc>
        <w:tc>
          <w:tcPr>
            <w:tcW w:w="656" w:type="dxa"/>
            <w:tcBorders>
              <w:left w:val="single" w:sz="4" w:space="0" w:color="000000"/>
              <w:right w:val="single" w:sz="4" w:space="0" w:color="000000"/>
            </w:tcBorders>
          </w:tcPr>
          <w:p>
            <w:pPr>
              <w:pStyle w:val="TableParagraph"/>
              <w:spacing w:before="46"/>
              <w:ind w:left="55" w:right="54"/>
              <w:jc w:val="center"/>
              <w:rPr>
                <w:rFonts w:ascii="Arial"/>
                <w:sz w:val="10"/>
              </w:rPr>
            </w:pPr>
            <w:r>
              <w:rPr>
                <w:rFonts w:ascii="Arial"/>
                <w:color w:val="44536A"/>
                <w:w w:val="105"/>
                <w:sz w:val="10"/>
              </w:rPr>
              <w:t>28,489.3</w:t>
            </w:r>
          </w:p>
        </w:tc>
        <w:tc>
          <w:tcPr>
            <w:tcW w:w="656" w:type="dxa"/>
            <w:tcBorders>
              <w:left w:val="single" w:sz="4" w:space="0" w:color="000000"/>
              <w:right w:val="single" w:sz="4" w:space="0" w:color="000000"/>
            </w:tcBorders>
          </w:tcPr>
          <w:p>
            <w:pPr>
              <w:pStyle w:val="TableParagraph"/>
              <w:spacing w:before="46"/>
              <w:ind w:right="116"/>
              <w:jc w:val="right"/>
              <w:rPr>
                <w:rFonts w:ascii="Arial"/>
                <w:sz w:val="10"/>
              </w:rPr>
            </w:pPr>
            <w:r>
              <w:rPr>
                <w:rFonts w:ascii="Arial"/>
                <w:color w:val="44536A"/>
                <w:w w:val="105"/>
                <w:sz w:val="10"/>
              </w:rPr>
              <w:t>30,603.2</w:t>
            </w:r>
          </w:p>
        </w:tc>
        <w:tc>
          <w:tcPr>
            <w:tcW w:w="659" w:type="dxa"/>
            <w:tcBorders>
              <w:left w:val="single" w:sz="4" w:space="0" w:color="000000"/>
            </w:tcBorders>
          </w:tcPr>
          <w:p>
            <w:pPr>
              <w:pStyle w:val="TableParagraph"/>
              <w:spacing w:before="46"/>
              <w:ind w:left="57" w:right="58"/>
              <w:jc w:val="center"/>
              <w:rPr>
                <w:rFonts w:ascii="Arial"/>
                <w:sz w:val="10"/>
              </w:rPr>
            </w:pPr>
            <w:r>
              <w:rPr>
                <w:rFonts w:ascii="Arial"/>
                <w:color w:val="44536A"/>
                <w:w w:val="105"/>
                <w:sz w:val="10"/>
              </w:rPr>
              <w:t>32,945.7</w:t>
            </w:r>
          </w:p>
        </w:tc>
      </w:tr>
      <w:tr>
        <w:trPr>
          <w:trHeight w:val="199" w:hRule="atLeast"/>
        </w:trPr>
        <w:tc>
          <w:tcPr>
            <w:tcW w:w="2560" w:type="dxa"/>
            <w:vMerge/>
            <w:tcBorders>
              <w:top w:val="nil"/>
              <w:right w:val="single" w:sz="4" w:space="0" w:color="000000"/>
            </w:tcBorders>
          </w:tcPr>
          <w:p>
            <w:pPr>
              <w:rPr>
                <w:sz w:val="2"/>
                <w:szCs w:val="2"/>
              </w:rPr>
            </w:pPr>
          </w:p>
        </w:tc>
        <w:tc>
          <w:tcPr>
            <w:tcW w:w="768" w:type="dxa"/>
            <w:tcBorders>
              <w:left w:val="single" w:sz="4" w:space="0" w:color="000000"/>
              <w:right w:val="single" w:sz="4" w:space="0" w:color="000000"/>
            </w:tcBorders>
          </w:tcPr>
          <w:p>
            <w:pPr>
              <w:pStyle w:val="TableParagraph"/>
              <w:spacing w:before="43"/>
              <w:ind w:left="137" w:right="141"/>
              <w:jc w:val="center"/>
              <w:rPr>
                <w:rFonts w:ascii="Arial"/>
                <w:sz w:val="10"/>
              </w:rPr>
            </w:pPr>
            <w:r>
              <w:rPr>
                <w:rFonts w:ascii="Arial"/>
                <w:color w:val="44536A"/>
                <w:w w:val="105"/>
                <w:sz w:val="10"/>
              </w:rPr>
              <w:t>4,831.2</w:t>
            </w:r>
          </w:p>
        </w:tc>
        <w:tc>
          <w:tcPr>
            <w:tcW w:w="722" w:type="dxa"/>
            <w:tcBorders>
              <w:left w:val="single" w:sz="4" w:space="0" w:color="000000"/>
              <w:right w:val="single" w:sz="4" w:space="0" w:color="000000"/>
            </w:tcBorders>
          </w:tcPr>
          <w:p>
            <w:pPr>
              <w:pStyle w:val="TableParagraph"/>
              <w:spacing w:before="43"/>
              <w:ind w:left="112" w:right="112"/>
              <w:jc w:val="center"/>
              <w:rPr>
                <w:rFonts w:ascii="Arial"/>
                <w:sz w:val="10"/>
              </w:rPr>
            </w:pPr>
            <w:r>
              <w:rPr>
                <w:rFonts w:ascii="Arial"/>
                <w:color w:val="44536A"/>
                <w:w w:val="105"/>
                <w:sz w:val="10"/>
              </w:rPr>
              <w:t>5,072.0</w:t>
            </w:r>
          </w:p>
        </w:tc>
        <w:tc>
          <w:tcPr>
            <w:tcW w:w="656" w:type="dxa"/>
            <w:tcBorders>
              <w:left w:val="single" w:sz="4" w:space="0" w:color="000000"/>
              <w:right w:val="single" w:sz="4" w:space="0" w:color="000000"/>
            </w:tcBorders>
          </w:tcPr>
          <w:p>
            <w:pPr>
              <w:pStyle w:val="TableParagraph"/>
              <w:spacing w:before="43"/>
              <w:ind w:right="146"/>
              <w:jc w:val="right"/>
              <w:rPr>
                <w:rFonts w:ascii="Arial"/>
                <w:sz w:val="10"/>
              </w:rPr>
            </w:pPr>
            <w:r>
              <w:rPr>
                <w:rFonts w:ascii="Arial"/>
                <w:color w:val="44536A"/>
                <w:w w:val="105"/>
                <w:sz w:val="10"/>
              </w:rPr>
              <w:t>5,401.5</w:t>
            </w:r>
          </w:p>
        </w:tc>
        <w:tc>
          <w:tcPr>
            <w:tcW w:w="702" w:type="dxa"/>
            <w:tcBorders>
              <w:left w:val="single" w:sz="4" w:space="0" w:color="000000"/>
              <w:right w:val="single" w:sz="4" w:space="0" w:color="000000"/>
            </w:tcBorders>
          </w:tcPr>
          <w:p>
            <w:pPr>
              <w:pStyle w:val="TableParagraph"/>
              <w:spacing w:before="43"/>
              <w:ind w:right="172"/>
              <w:jc w:val="right"/>
              <w:rPr>
                <w:rFonts w:ascii="Arial"/>
                <w:sz w:val="10"/>
              </w:rPr>
            </w:pPr>
            <w:r>
              <w:rPr>
                <w:rFonts w:ascii="Arial"/>
                <w:color w:val="44536A"/>
                <w:w w:val="105"/>
                <w:sz w:val="10"/>
              </w:rPr>
              <w:t>5,492.1</w:t>
            </w:r>
          </w:p>
        </w:tc>
        <w:tc>
          <w:tcPr>
            <w:tcW w:w="656" w:type="dxa"/>
            <w:tcBorders>
              <w:left w:val="single" w:sz="4" w:space="0" w:color="000000"/>
              <w:right w:val="single" w:sz="4" w:space="0" w:color="000000"/>
            </w:tcBorders>
          </w:tcPr>
          <w:p>
            <w:pPr>
              <w:pStyle w:val="TableParagraph"/>
              <w:spacing w:before="43"/>
              <w:ind w:left="152"/>
              <w:rPr>
                <w:rFonts w:ascii="Arial"/>
                <w:sz w:val="10"/>
              </w:rPr>
            </w:pPr>
            <w:r>
              <w:rPr>
                <w:rFonts w:ascii="Arial"/>
                <w:color w:val="44536A"/>
                <w:w w:val="105"/>
                <w:sz w:val="10"/>
              </w:rPr>
              <w:t>5,854.4</w:t>
            </w:r>
          </w:p>
        </w:tc>
        <w:tc>
          <w:tcPr>
            <w:tcW w:w="656" w:type="dxa"/>
            <w:tcBorders>
              <w:left w:val="single" w:sz="4" w:space="0" w:color="000000"/>
              <w:right w:val="single" w:sz="4" w:space="0" w:color="000000"/>
            </w:tcBorders>
          </w:tcPr>
          <w:p>
            <w:pPr>
              <w:pStyle w:val="TableParagraph"/>
              <w:spacing w:before="43"/>
              <w:ind w:left="152"/>
              <w:rPr>
                <w:rFonts w:ascii="Arial"/>
                <w:sz w:val="10"/>
              </w:rPr>
            </w:pPr>
            <w:r>
              <w:rPr>
                <w:rFonts w:ascii="Arial"/>
                <w:color w:val="44536A"/>
                <w:w w:val="105"/>
                <w:sz w:val="10"/>
              </w:rPr>
              <w:t>6,235.2</w:t>
            </w:r>
          </w:p>
        </w:tc>
        <w:tc>
          <w:tcPr>
            <w:tcW w:w="656" w:type="dxa"/>
            <w:tcBorders>
              <w:left w:val="single" w:sz="4" w:space="0" w:color="000000"/>
              <w:right w:val="single" w:sz="4" w:space="0" w:color="000000"/>
            </w:tcBorders>
          </w:tcPr>
          <w:p>
            <w:pPr>
              <w:pStyle w:val="TableParagraph"/>
              <w:spacing w:before="43"/>
              <w:ind w:left="55" w:right="47"/>
              <w:jc w:val="center"/>
              <w:rPr>
                <w:rFonts w:ascii="Arial"/>
                <w:sz w:val="10"/>
              </w:rPr>
            </w:pPr>
            <w:r>
              <w:rPr>
                <w:rFonts w:ascii="Arial"/>
                <w:color w:val="44536A"/>
                <w:w w:val="105"/>
                <w:sz w:val="10"/>
              </w:rPr>
              <w:t>6,641.4</w:t>
            </w:r>
          </w:p>
        </w:tc>
        <w:tc>
          <w:tcPr>
            <w:tcW w:w="656" w:type="dxa"/>
            <w:tcBorders>
              <w:left w:val="single" w:sz="4" w:space="0" w:color="000000"/>
              <w:right w:val="single" w:sz="4" w:space="0" w:color="000000"/>
            </w:tcBorders>
          </w:tcPr>
          <w:p>
            <w:pPr>
              <w:pStyle w:val="TableParagraph"/>
              <w:spacing w:before="43"/>
              <w:ind w:right="142"/>
              <w:jc w:val="right"/>
              <w:rPr>
                <w:rFonts w:ascii="Arial"/>
                <w:sz w:val="10"/>
              </w:rPr>
            </w:pPr>
            <w:r>
              <w:rPr>
                <w:rFonts w:ascii="Arial"/>
                <w:color w:val="44536A"/>
                <w:w w:val="105"/>
                <w:sz w:val="10"/>
              </w:rPr>
              <w:t>7,085.5</w:t>
            </w:r>
          </w:p>
        </w:tc>
        <w:tc>
          <w:tcPr>
            <w:tcW w:w="659" w:type="dxa"/>
            <w:tcBorders>
              <w:left w:val="single" w:sz="4" w:space="0" w:color="000000"/>
            </w:tcBorders>
          </w:tcPr>
          <w:p>
            <w:pPr>
              <w:pStyle w:val="TableParagraph"/>
              <w:spacing w:before="43"/>
              <w:ind w:left="57" w:right="55"/>
              <w:jc w:val="center"/>
              <w:rPr>
                <w:rFonts w:ascii="Arial"/>
                <w:sz w:val="10"/>
              </w:rPr>
            </w:pPr>
            <w:r>
              <w:rPr>
                <w:rFonts w:ascii="Arial"/>
                <w:color w:val="44536A"/>
                <w:w w:val="105"/>
                <w:sz w:val="10"/>
              </w:rPr>
              <w:t>7,559.3</w:t>
            </w:r>
          </w:p>
        </w:tc>
      </w:tr>
      <w:tr>
        <w:trPr>
          <w:trHeight w:val="199" w:hRule="atLeast"/>
        </w:trPr>
        <w:tc>
          <w:tcPr>
            <w:tcW w:w="2560" w:type="dxa"/>
            <w:vMerge/>
            <w:tcBorders>
              <w:top w:val="nil"/>
              <w:right w:val="single" w:sz="4" w:space="0" w:color="000000"/>
            </w:tcBorders>
          </w:tcPr>
          <w:p>
            <w:pPr>
              <w:rPr>
                <w:sz w:val="2"/>
                <w:szCs w:val="2"/>
              </w:rPr>
            </w:pPr>
          </w:p>
        </w:tc>
        <w:tc>
          <w:tcPr>
            <w:tcW w:w="768" w:type="dxa"/>
            <w:tcBorders>
              <w:left w:val="single" w:sz="4" w:space="0" w:color="000000"/>
              <w:right w:val="single" w:sz="4" w:space="0" w:color="000000"/>
            </w:tcBorders>
          </w:tcPr>
          <w:p>
            <w:pPr>
              <w:pStyle w:val="TableParagraph"/>
              <w:spacing w:before="43"/>
              <w:ind w:left="137" w:right="141"/>
              <w:jc w:val="center"/>
              <w:rPr>
                <w:rFonts w:ascii="Arial"/>
                <w:sz w:val="10"/>
              </w:rPr>
            </w:pPr>
            <w:r>
              <w:rPr>
                <w:rFonts w:ascii="Arial"/>
                <w:color w:val="44536A"/>
                <w:w w:val="105"/>
                <w:sz w:val="10"/>
              </w:rPr>
              <w:t>42.2</w:t>
            </w:r>
          </w:p>
        </w:tc>
        <w:tc>
          <w:tcPr>
            <w:tcW w:w="722" w:type="dxa"/>
            <w:tcBorders>
              <w:left w:val="single" w:sz="4" w:space="0" w:color="000000"/>
              <w:right w:val="single" w:sz="4" w:space="0" w:color="000000"/>
            </w:tcBorders>
          </w:tcPr>
          <w:p>
            <w:pPr>
              <w:pStyle w:val="TableParagraph"/>
              <w:spacing w:before="43"/>
              <w:ind w:left="112" w:right="112"/>
              <w:jc w:val="center"/>
              <w:rPr>
                <w:rFonts w:ascii="Arial"/>
                <w:sz w:val="10"/>
              </w:rPr>
            </w:pPr>
            <w:r>
              <w:rPr>
                <w:rFonts w:ascii="Arial"/>
                <w:color w:val="44536A"/>
                <w:w w:val="105"/>
                <w:sz w:val="10"/>
              </w:rPr>
              <w:t>12.4</w:t>
            </w:r>
          </w:p>
        </w:tc>
        <w:tc>
          <w:tcPr>
            <w:tcW w:w="656" w:type="dxa"/>
            <w:tcBorders>
              <w:left w:val="single" w:sz="4" w:space="0" w:color="000000"/>
              <w:right w:val="single" w:sz="4" w:space="0" w:color="000000"/>
            </w:tcBorders>
          </w:tcPr>
          <w:p>
            <w:pPr>
              <w:pStyle w:val="TableParagraph"/>
              <w:spacing w:before="43"/>
              <w:ind w:right="218"/>
              <w:jc w:val="right"/>
              <w:rPr>
                <w:rFonts w:ascii="Arial"/>
                <w:sz w:val="10"/>
              </w:rPr>
            </w:pPr>
            <w:r>
              <w:rPr>
                <w:rFonts w:ascii="Arial"/>
                <w:color w:val="44536A"/>
                <w:w w:val="105"/>
                <w:sz w:val="10"/>
              </w:rPr>
              <w:t>26.3</w:t>
            </w:r>
          </w:p>
        </w:tc>
        <w:tc>
          <w:tcPr>
            <w:tcW w:w="702" w:type="dxa"/>
            <w:tcBorders>
              <w:left w:val="single" w:sz="4" w:space="0" w:color="000000"/>
              <w:right w:val="single" w:sz="4" w:space="0" w:color="000000"/>
            </w:tcBorders>
          </w:tcPr>
          <w:p>
            <w:pPr>
              <w:pStyle w:val="TableParagraph"/>
              <w:spacing w:before="43"/>
              <w:ind w:left="129" w:right="129"/>
              <w:jc w:val="center"/>
              <w:rPr>
                <w:rFonts w:ascii="Arial"/>
                <w:sz w:val="10"/>
              </w:rPr>
            </w:pPr>
            <w:r>
              <w:rPr>
                <w:rFonts w:ascii="Arial"/>
                <w:color w:val="44536A"/>
                <w:w w:val="105"/>
                <w:sz w:val="10"/>
              </w:rPr>
              <w:t>32.7</w:t>
            </w:r>
          </w:p>
        </w:tc>
        <w:tc>
          <w:tcPr>
            <w:tcW w:w="656" w:type="dxa"/>
            <w:tcBorders>
              <w:left w:val="single" w:sz="4" w:space="0" w:color="000000"/>
              <w:right w:val="single" w:sz="4" w:space="0" w:color="000000"/>
            </w:tcBorders>
          </w:tcPr>
          <w:p>
            <w:pPr>
              <w:pStyle w:val="TableParagraph"/>
              <w:spacing w:before="43"/>
              <w:ind w:left="55" w:right="51"/>
              <w:jc w:val="center"/>
              <w:rPr>
                <w:rFonts w:ascii="Arial"/>
                <w:sz w:val="10"/>
              </w:rPr>
            </w:pPr>
            <w:r>
              <w:rPr>
                <w:rFonts w:ascii="Arial"/>
                <w:color w:val="44536A"/>
                <w:w w:val="105"/>
                <w:sz w:val="10"/>
              </w:rPr>
              <w:t>35.1</w:t>
            </w:r>
          </w:p>
        </w:tc>
        <w:tc>
          <w:tcPr>
            <w:tcW w:w="656" w:type="dxa"/>
            <w:tcBorders>
              <w:left w:val="single" w:sz="4" w:space="0" w:color="000000"/>
              <w:right w:val="single" w:sz="4" w:space="0" w:color="000000"/>
            </w:tcBorders>
          </w:tcPr>
          <w:p>
            <w:pPr>
              <w:pStyle w:val="TableParagraph"/>
              <w:spacing w:before="43"/>
              <w:ind w:left="55" w:right="49"/>
              <w:jc w:val="center"/>
              <w:rPr>
                <w:rFonts w:ascii="Arial"/>
                <w:sz w:val="10"/>
              </w:rPr>
            </w:pPr>
            <w:r>
              <w:rPr>
                <w:rFonts w:ascii="Arial"/>
                <w:color w:val="44536A"/>
                <w:w w:val="105"/>
                <w:sz w:val="10"/>
              </w:rPr>
              <w:t>37.7</w:t>
            </w:r>
          </w:p>
        </w:tc>
        <w:tc>
          <w:tcPr>
            <w:tcW w:w="656" w:type="dxa"/>
            <w:tcBorders>
              <w:left w:val="single" w:sz="4" w:space="0" w:color="000000"/>
              <w:right w:val="single" w:sz="4" w:space="0" w:color="000000"/>
            </w:tcBorders>
          </w:tcPr>
          <w:p>
            <w:pPr>
              <w:pStyle w:val="TableParagraph"/>
              <w:spacing w:before="43"/>
              <w:ind w:left="55" w:right="47"/>
              <w:jc w:val="center"/>
              <w:rPr>
                <w:rFonts w:ascii="Arial"/>
                <w:sz w:val="10"/>
              </w:rPr>
            </w:pPr>
            <w:r>
              <w:rPr>
                <w:rFonts w:ascii="Arial"/>
                <w:color w:val="44536A"/>
                <w:w w:val="105"/>
                <w:sz w:val="10"/>
              </w:rPr>
              <w:t>40.4</w:t>
            </w:r>
          </w:p>
        </w:tc>
        <w:tc>
          <w:tcPr>
            <w:tcW w:w="656" w:type="dxa"/>
            <w:tcBorders>
              <w:left w:val="single" w:sz="4" w:space="0" w:color="000000"/>
              <w:right w:val="single" w:sz="4" w:space="0" w:color="000000"/>
            </w:tcBorders>
          </w:tcPr>
          <w:p>
            <w:pPr>
              <w:pStyle w:val="TableParagraph"/>
              <w:spacing w:before="43"/>
              <w:ind w:left="55" w:right="46"/>
              <w:jc w:val="center"/>
              <w:rPr>
                <w:rFonts w:ascii="Arial"/>
                <w:sz w:val="10"/>
              </w:rPr>
            </w:pPr>
            <w:r>
              <w:rPr>
                <w:rFonts w:ascii="Arial"/>
                <w:color w:val="44536A"/>
                <w:w w:val="105"/>
                <w:sz w:val="10"/>
              </w:rPr>
              <w:t>43.3</w:t>
            </w:r>
          </w:p>
        </w:tc>
        <w:tc>
          <w:tcPr>
            <w:tcW w:w="659" w:type="dxa"/>
            <w:tcBorders>
              <w:left w:val="single" w:sz="4" w:space="0" w:color="000000"/>
            </w:tcBorders>
          </w:tcPr>
          <w:p>
            <w:pPr>
              <w:pStyle w:val="TableParagraph"/>
              <w:spacing w:before="43"/>
              <w:ind w:left="57" w:right="54"/>
              <w:jc w:val="center"/>
              <w:rPr>
                <w:rFonts w:ascii="Arial"/>
                <w:sz w:val="10"/>
              </w:rPr>
            </w:pPr>
            <w:r>
              <w:rPr>
                <w:rFonts w:ascii="Arial"/>
                <w:color w:val="44536A"/>
                <w:w w:val="105"/>
                <w:sz w:val="10"/>
              </w:rPr>
              <w:t>46.5</w:t>
            </w:r>
          </w:p>
        </w:tc>
      </w:tr>
      <w:tr>
        <w:trPr>
          <w:trHeight w:val="199" w:hRule="atLeast"/>
        </w:trPr>
        <w:tc>
          <w:tcPr>
            <w:tcW w:w="2560" w:type="dxa"/>
            <w:vMerge/>
            <w:tcBorders>
              <w:top w:val="nil"/>
              <w:right w:val="single" w:sz="4" w:space="0" w:color="000000"/>
            </w:tcBorders>
          </w:tcPr>
          <w:p>
            <w:pPr>
              <w:rPr>
                <w:sz w:val="2"/>
                <w:szCs w:val="2"/>
              </w:rPr>
            </w:pPr>
          </w:p>
        </w:tc>
        <w:tc>
          <w:tcPr>
            <w:tcW w:w="768" w:type="dxa"/>
            <w:tcBorders>
              <w:left w:val="single" w:sz="4" w:space="0" w:color="000000"/>
              <w:right w:val="single" w:sz="4" w:space="0" w:color="000000"/>
            </w:tcBorders>
          </w:tcPr>
          <w:p>
            <w:pPr>
              <w:pStyle w:val="TableParagraph"/>
              <w:spacing w:before="43"/>
              <w:ind w:left="137" w:right="137"/>
              <w:jc w:val="center"/>
              <w:rPr>
                <w:rFonts w:ascii="Arial"/>
                <w:sz w:val="10"/>
              </w:rPr>
            </w:pPr>
            <w:r>
              <w:rPr>
                <w:rFonts w:ascii="Arial"/>
                <w:color w:val="44536A"/>
                <w:w w:val="105"/>
                <w:sz w:val="10"/>
              </w:rPr>
              <w:t>14,611.2</w:t>
            </w:r>
          </w:p>
        </w:tc>
        <w:tc>
          <w:tcPr>
            <w:tcW w:w="722" w:type="dxa"/>
            <w:tcBorders>
              <w:left w:val="single" w:sz="4" w:space="0" w:color="000000"/>
              <w:right w:val="single" w:sz="4" w:space="0" w:color="000000"/>
            </w:tcBorders>
          </w:tcPr>
          <w:p>
            <w:pPr>
              <w:pStyle w:val="TableParagraph"/>
              <w:spacing w:before="43"/>
              <w:ind w:left="112" w:right="116"/>
              <w:jc w:val="center"/>
              <w:rPr>
                <w:rFonts w:ascii="Arial"/>
                <w:sz w:val="10"/>
              </w:rPr>
            </w:pPr>
            <w:r>
              <w:rPr>
                <w:rFonts w:ascii="Arial"/>
                <w:color w:val="44536A"/>
                <w:w w:val="105"/>
                <w:sz w:val="10"/>
              </w:rPr>
              <w:t>14,671.8</w:t>
            </w:r>
          </w:p>
        </w:tc>
        <w:tc>
          <w:tcPr>
            <w:tcW w:w="656" w:type="dxa"/>
            <w:tcBorders>
              <w:left w:val="single" w:sz="4" w:space="0" w:color="000000"/>
              <w:right w:val="single" w:sz="4" w:space="0" w:color="000000"/>
            </w:tcBorders>
          </w:tcPr>
          <w:p>
            <w:pPr>
              <w:pStyle w:val="TableParagraph"/>
              <w:spacing w:before="43"/>
              <w:ind w:right="120"/>
              <w:jc w:val="right"/>
              <w:rPr>
                <w:rFonts w:ascii="Arial"/>
                <w:sz w:val="10"/>
              </w:rPr>
            </w:pPr>
            <w:r>
              <w:rPr>
                <w:rFonts w:ascii="Arial"/>
                <w:color w:val="44536A"/>
                <w:w w:val="105"/>
                <w:sz w:val="10"/>
              </w:rPr>
              <w:t>16,750.9</w:t>
            </w:r>
          </w:p>
        </w:tc>
        <w:tc>
          <w:tcPr>
            <w:tcW w:w="702" w:type="dxa"/>
            <w:tcBorders>
              <w:left w:val="single" w:sz="4" w:space="0" w:color="000000"/>
              <w:right w:val="single" w:sz="4" w:space="0" w:color="000000"/>
            </w:tcBorders>
          </w:tcPr>
          <w:p>
            <w:pPr>
              <w:pStyle w:val="TableParagraph"/>
              <w:spacing w:before="43"/>
              <w:ind w:right="139"/>
              <w:jc w:val="right"/>
              <w:rPr>
                <w:rFonts w:ascii="Arial"/>
                <w:sz w:val="10"/>
              </w:rPr>
            </w:pPr>
            <w:r>
              <w:rPr>
                <w:rFonts w:ascii="Arial"/>
                <w:color w:val="44536A"/>
                <w:w w:val="105"/>
                <w:sz w:val="10"/>
              </w:rPr>
              <w:t>16,939.8</w:t>
            </w:r>
          </w:p>
        </w:tc>
        <w:tc>
          <w:tcPr>
            <w:tcW w:w="656" w:type="dxa"/>
            <w:tcBorders>
              <w:left w:val="single" w:sz="4" w:space="0" w:color="000000"/>
              <w:right w:val="single" w:sz="4" w:space="0" w:color="000000"/>
            </w:tcBorders>
          </w:tcPr>
          <w:p>
            <w:pPr>
              <w:pStyle w:val="TableParagraph"/>
              <w:spacing w:before="43"/>
              <w:ind w:left="119"/>
              <w:rPr>
                <w:rFonts w:ascii="Arial"/>
                <w:sz w:val="10"/>
              </w:rPr>
            </w:pPr>
            <w:r>
              <w:rPr>
                <w:rFonts w:ascii="Arial"/>
                <w:color w:val="44536A"/>
                <w:w w:val="105"/>
                <w:sz w:val="10"/>
              </w:rPr>
              <w:t>18,017.1</w:t>
            </w:r>
          </w:p>
        </w:tc>
        <w:tc>
          <w:tcPr>
            <w:tcW w:w="656" w:type="dxa"/>
            <w:tcBorders>
              <w:left w:val="single" w:sz="4" w:space="0" w:color="000000"/>
              <w:right w:val="single" w:sz="4" w:space="0" w:color="000000"/>
            </w:tcBorders>
          </w:tcPr>
          <w:p>
            <w:pPr>
              <w:pStyle w:val="TableParagraph"/>
              <w:spacing w:before="43"/>
              <w:ind w:left="120"/>
              <w:rPr>
                <w:rFonts w:ascii="Arial"/>
                <w:sz w:val="10"/>
              </w:rPr>
            </w:pPr>
            <w:r>
              <w:rPr>
                <w:rFonts w:ascii="Arial"/>
                <w:color w:val="44536A"/>
                <w:w w:val="105"/>
                <w:sz w:val="10"/>
              </w:rPr>
              <w:t>19,315.3</w:t>
            </w:r>
          </w:p>
        </w:tc>
        <w:tc>
          <w:tcPr>
            <w:tcW w:w="656" w:type="dxa"/>
            <w:tcBorders>
              <w:left w:val="single" w:sz="4" w:space="0" w:color="000000"/>
              <w:right w:val="single" w:sz="4" w:space="0" w:color="000000"/>
            </w:tcBorders>
          </w:tcPr>
          <w:p>
            <w:pPr>
              <w:pStyle w:val="TableParagraph"/>
              <w:spacing w:before="43"/>
              <w:ind w:left="55" w:right="54"/>
              <w:jc w:val="center"/>
              <w:rPr>
                <w:rFonts w:ascii="Arial"/>
                <w:sz w:val="10"/>
              </w:rPr>
            </w:pPr>
            <w:r>
              <w:rPr>
                <w:rFonts w:ascii="Arial"/>
                <w:color w:val="44536A"/>
                <w:w w:val="105"/>
                <w:sz w:val="10"/>
              </w:rPr>
              <w:t>20,709.8</w:t>
            </w:r>
          </w:p>
        </w:tc>
        <w:tc>
          <w:tcPr>
            <w:tcW w:w="656" w:type="dxa"/>
            <w:tcBorders>
              <w:left w:val="single" w:sz="4" w:space="0" w:color="000000"/>
              <w:right w:val="single" w:sz="4" w:space="0" w:color="000000"/>
            </w:tcBorders>
          </w:tcPr>
          <w:p>
            <w:pPr>
              <w:pStyle w:val="TableParagraph"/>
              <w:spacing w:before="43"/>
              <w:ind w:right="116"/>
              <w:jc w:val="right"/>
              <w:rPr>
                <w:rFonts w:ascii="Arial"/>
                <w:sz w:val="10"/>
              </w:rPr>
            </w:pPr>
            <w:r>
              <w:rPr>
                <w:rFonts w:ascii="Arial"/>
                <w:color w:val="44536A"/>
                <w:w w:val="105"/>
                <w:sz w:val="10"/>
              </w:rPr>
              <w:t>22,245.6</w:t>
            </w:r>
          </w:p>
        </w:tc>
        <w:tc>
          <w:tcPr>
            <w:tcW w:w="659" w:type="dxa"/>
            <w:tcBorders>
              <w:left w:val="single" w:sz="4" w:space="0" w:color="000000"/>
            </w:tcBorders>
          </w:tcPr>
          <w:p>
            <w:pPr>
              <w:pStyle w:val="TableParagraph"/>
              <w:spacing w:before="43"/>
              <w:ind w:left="57" w:right="58"/>
              <w:jc w:val="center"/>
              <w:rPr>
                <w:rFonts w:ascii="Arial"/>
                <w:sz w:val="10"/>
              </w:rPr>
            </w:pPr>
            <w:r>
              <w:rPr>
                <w:rFonts w:ascii="Arial"/>
                <w:color w:val="44536A"/>
                <w:w w:val="105"/>
                <w:sz w:val="10"/>
              </w:rPr>
              <w:t>23,895.3</w:t>
            </w:r>
          </w:p>
        </w:tc>
      </w:tr>
      <w:tr>
        <w:trPr>
          <w:trHeight w:val="199" w:hRule="atLeast"/>
        </w:trPr>
        <w:tc>
          <w:tcPr>
            <w:tcW w:w="2560" w:type="dxa"/>
            <w:vMerge/>
            <w:tcBorders>
              <w:top w:val="nil"/>
              <w:right w:val="single" w:sz="4" w:space="0" w:color="000000"/>
            </w:tcBorders>
          </w:tcPr>
          <w:p>
            <w:pPr>
              <w:rPr>
                <w:sz w:val="2"/>
                <w:szCs w:val="2"/>
              </w:rPr>
            </w:pPr>
          </w:p>
        </w:tc>
        <w:tc>
          <w:tcPr>
            <w:tcW w:w="768" w:type="dxa"/>
            <w:tcBorders>
              <w:left w:val="single" w:sz="4" w:space="0" w:color="000000"/>
              <w:right w:val="single" w:sz="4" w:space="0" w:color="000000"/>
            </w:tcBorders>
          </w:tcPr>
          <w:p>
            <w:pPr>
              <w:pStyle w:val="TableParagraph"/>
              <w:spacing w:before="43"/>
              <w:ind w:left="137" w:right="137"/>
              <w:jc w:val="center"/>
              <w:rPr>
                <w:rFonts w:ascii="Arial"/>
                <w:sz w:val="10"/>
              </w:rPr>
            </w:pPr>
            <w:r>
              <w:rPr>
                <w:rFonts w:ascii="Arial"/>
                <w:color w:val="44536A"/>
                <w:w w:val="105"/>
                <w:sz w:val="10"/>
              </w:rPr>
              <w:t>869.6</w:t>
            </w:r>
          </w:p>
        </w:tc>
        <w:tc>
          <w:tcPr>
            <w:tcW w:w="722" w:type="dxa"/>
            <w:tcBorders>
              <w:left w:val="single" w:sz="4" w:space="0" w:color="000000"/>
              <w:right w:val="single" w:sz="4" w:space="0" w:color="000000"/>
            </w:tcBorders>
          </w:tcPr>
          <w:p>
            <w:pPr>
              <w:pStyle w:val="TableParagraph"/>
              <w:spacing w:before="43"/>
              <w:ind w:left="112" w:right="115"/>
              <w:jc w:val="center"/>
              <w:rPr>
                <w:rFonts w:ascii="Arial"/>
                <w:sz w:val="10"/>
              </w:rPr>
            </w:pPr>
            <w:r>
              <w:rPr>
                <w:rFonts w:ascii="Arial"/>
                <w:color w:val="44536A"/>
                <w:w w:val="105"/>
                <w:sz w:val="10"/>
              </w:rPr>
              <w:t>895.4</w:t>
            </w:r>
          </w:p>
        </w:tc>
        <w:tc>
          <w:tcPr>
            <w:tcW w:w="656" w:type="dxa"/>
            <w:tcBorders>
              <w:left w:val="single" w:sz="4" w:space="0" w:color="000000"/>
              <w:right w:val="single" w:sz="4" w:space="0" w:color="000000"/>
            </w:tcBorders>
          </w:tcPr>
          <w:p>
            <w:pPr>
              <w:pStyle w:val="TableParagraph"/>
              <w:spacing w:before="43"/>
              <w:ind w:right="146"/>
              <w:jc w:val="right"/>
              <w:rPr>
                <w:rFonts w:ascii="Arial"/>
                <w:sz w:val="10"/>
              </w:rPr>
            </w:pPr>
            <w:r>
              <w:rPr>
                <w:rFonts w:ascii="Arial"/>
                <w:color w:val="44536A"/>
                <w:w w:val="105"/>
                <w:sz w:val="10"/>
              </w:rPr>
              <w:t>1,058.7</w:t>
            </w:r>
          </w:p>
        </w:tc>
        <w:tc>
          <w:tcPr>
            <w:tcW w:w="702" w:type="dxa"/>
            <w:tcBorders>
              <w:left w:val="single" w:sz="4" w:space="0" w:color="000000"/>
              <w:right w:val="single" w:sz="4" w:space="0" w:color="000000"/>
            </w:tcBorders>
          </w:tcPr>
          <w:p>
            <w:pPr>
              <w:pStyle w:val="TableParagraph"/>
              <w:spacing w:before="43"/>
              <w:ind w:right="172"/>
              <w:jc w:val="right"/>
              <w:rPr>
                <w:rFonts w:ascii="Arial"/>
                <w:sz w:val="10"/>
              </w:rPr>
            </w:pPr>
            <w:r>
              <w:rPr>
                <w:rFonts w:ascii="Arial"/>
                <w:color w:val="44536A"/>
                <w:w w:val="105"/>
                <w:sz w:val="10"/>
              </w:rPr>
              <w:t>1,100.0</w:t>
            </w:r>
          </w:p>
        </w:tc>
        <w:tc>
          <w:tcPr>
            <w:tcW w:w="656" w:type="dxa"/>
            <w:tcBorders>
              <w:left w:val="single" w:sz="4" w:space="0" w:color="000000"/>
              <w:right w:val="single" w:sz="4" w:space="0" w:color="000000"/>
            </w:tcBorders>
          </w:tcPr>
          <w:p>
            <w:pPr>
              <w:pStyle w:val="TableParagraph"/>
              <w:spacing w:before="43"/>
              <w:ind w:left="152"/>
              <w:rPr>
                <w:rFonts w:ascii="Arial"/>
                <w:sz w:val="10"/>
              </w:rPr>
            </w:pPr>
            <w:r>
              <w:rPr>
                <w:rFonts w:ascii="Arial"/>
                <w:color w:val="44536A"/>
                <w:w w:val="105"/>
                <w:sz w:val="10"/>
              </w:rPr>
              <w:t>1,149.2</w:t>
            </w:r>
          </w:p>
        </w:tc>
        <w:tc>
          <w:tcPr>
            <w:tcW w:w="656" w:type="dxa"/>
            <w:tcBorders>
              <w:left w:val="single" w:sz="4" w:space="0" w:color="000000"/>
              <w:right w:val="single" w:sz="4" w:space="0" w:color="000000"/>
            </w:tcBorders>
          </w:tcPr>
          <w:p>
            <w:pPr>
              <w:pStyle w:val="TableParagraph"/>
              <w:spacing w:before="43"/>
              <w:ind w:left="152"/>
              <w:rPr>
                <w:rFonts w:ascii="Arial"/>
                <w:sz w:val="10"/>
              </w:rPr>
            </w:pPr>
            <w:r>
              <w:rPr>
                <w:rFonts w:ascii="Arial"/>
                <w:color w:val="44536A"/>
                <w:w w:val="105"/>
                <w:sz w:val="10"/>
              </w:rPr>
              <w:t>1,202.5</w:t>
            </w:r>
          </w:p>
        </w:tc>
        <w:tc>
          <w:tcPr>
            <w:tcW w:w="656" w:type="dxa"/>
            <w:tcBorders>
              <w:left w:val="single" w:sz="4" w:space="0" w:color="000000"/>
              <w:right w:val="single" w:sz="4" w:space="0" w:color="000000"/>
            </w:tcBorders>
          </w:tcPr>
          <w:p>
            <w:pPr>
              <w:pStyle w:val="TableParagraph"/>
              <w:spacing w:before="43"/>
              <w:ind w:left="55" w:right="47"/>
              <w:jc w:val="center"/>
              <w:rPr>
                <w:rFonts w:ascii="Arial"/>
                <w:sz w:val="10"/>
              </w:rPr>
            </w:pPr>
            <w:r>
              <w:rPr>
                <w:rFonts w:ascii="Arial"/>
                <w:color w:val="44536A"/>
                <w:w w:val="105"/>
                <w:sz w:val="10"/>
              </w:rPr>
              <w:t>1,258.5</w:t>
            </w:r>
          </w:p>
        </w:tc>
        <w:tc>
          <w:tcPr>
            <w:tcW w:w="656" w:type="dxa"/>
            <w:tcBorders>
              <w:left w:val="single" w:sz="4" w:space="0" w:color="000000"/>
              <w:right w:val="single" w:sz="4" w:space="0" w:color="000000"/>
            </w:tcBorders>
          </w:tcPr>
          <w:p>
            <w:pPr>
              <w:pStyle w:val="TableParagraph"/>
              <w:spacing w:before="43"/>
              <w:ind w:right="142"/>
              <w:jc w:val="right"/>
              <w:rPr>
                <w:rFonts w:ascii="Arial"/>
                <w:sz w:val="10"/>
              </w:rPr>
            </w:pPr>
            <w:r>
              <w:rPr>
                <w:rFonts w:ascii="Arial"/>
                <w:color w:val="44536A"/>
                <w:w w:val="105"/>
                <w:sz w:val="10"/>
              </w:rPr>
              <w:t>1,318.6</w:t>
            </w:r>
          </w:p>
        </w:tc>
        <w:tc>
          <w:tcPr>
            <w:tcW w:w="659" w:type="dxa"/>
            <w:tcBorders>
              <w:left w:val="single" w:sz="4" w:space="0" w:color="000000"/>
            </w:tcBorders>
          </w:tcPr>
          <w:p>
            <w:pPr>
              <w:pStyle w:val="TableParagraph"/>
              <w:spacing w:before="43"/>
              <w:ind w:left="57" w:right="55"/>
              <w:jc w:val="center"/>
              <w:rPr>
                <w:rFonts w:ascii="Arial"/>
                <w:sz w:val="10"/>
              </w:rPr>
            </w:pPr>
            <w:r>
              <w:rPr>
                <w:rFonts w:ascii="Arial"/>
                <w:color w:val="44536A"/>
                <w:w w:val="105"/>
                <w:sz w:val="10"/>
              </w:rPr>
              <w:t>1,381.8</w:t>
            </w:r>
          </w:p>
        </w:tc>
      </w:tr>
      <w:tr>
        <w:trPr>
          <w:trHeight w:val="199" w:hRule="atLeast"/>
        </w:trPr>
        <w:tc>
          <w:tcPr>
            <w:tcW w:w="2560" w:type="dxa"/>
            <w:vMerge/>
            <w:tcBorders>
              <w:top w:val="nil"/>
              <w:right w:val="single" w:sz="4" w:space="0" w:color="000000"/>
            </w:tcBorders>
          </w:tcPr>
          <w:p>
            <w:pPr>
              <w:rPr>
                <w:sz w:val="2"/>
                <w:szCs w:val="2"/>
              </w:rPr>
            </w:pPr>
          </w:p>
        </w:tc>
        <w:tc>
          <w:tcPr>
            <w:tcW w:w="768" w:type="dxa"/>
            <w:tcBorders>
              <w:left w:val="single" w:sz="4" w:space="0" w:color="000000"/>
              <w:right w:val="single" w:sz="4" w:space="0" w:color="000000"/>
            </w:tcBorders>
          </w:tcPr>
          <w:p>
            <w:pPr>
              <w:pStyle w:val="TableParagraph"/>
              <w:spacing w:before="43"/>
              <w:ind w:left="137" w:right="137"/>
              <w:jc w:val="center"/>
              <w:rPr>
                <w:rFonts w:ascii="Arial"/>
                <w:sz w:val="10"/>
              </w:rPr>
            </w:pPr>
            <w:r>
              <w:rPr>
                <w:rFonts w:ascii="Arial"/>
                <w:color w:val="44536A"/>
                <w:w w:val="105"/>
                <w:sz w:val="10"/>
              </w:rPr>
              <w:t>362.5</w:t>
            </w:r>
          </w:p>
        </w:tc>
        <w:tc>
          <w:tcPr>
            <w:tcW w:w="722" w:type="dxa"/>
            <w:tcBorders>
              <w:left w:val="single" w:sz="4" w:space="0" w:color="000000"/>
              <w:right w:val="single" w:sz="4" w:space="0" w:color="000000"/>
            </w:tcBorders>
          </w:tcPr>
          <w:p>
            <w:pPr>
              <w:pStyle w:val="TableParagraph"/>
              <w:spacing w:before="43"/>
              <w:ind w:left="112" w:right="115"/>
              <w:jc w:val="center"/>
              <w:rPr>
                <w:rFonts w:ascii="Arial"/>
                <w:sz w:val="10"/>
              </w:rPr>
            </w:pPr>
            <w:r>
              <w:rPr>
                <w:rFonts w:ascii="Arial"/>
                <w:color w:val="44536A"/>
                <w:w w:val="105"/>
                <w:sz w:val="10"/>
              </w:rPr>
              <w:t>298.6</w:t>
            </w:r>
          </w:p>
        </w:tc>
        <w:tc>
          <w:tcPr>
            <w:tcW w:w="656" w:type="dxa"/>
            <w:tcBorders>
              <w:left w:val="single" w:sz="4" w:space="0" w:color="000000"/>
              <w:right w:val="single" w:sz="4" w:space="0" w:color="000000"/>
            </w:tcBorders>
          </w:tcPr>
          <w:p>
            <w:pPr>
              <w:pStyle w:val="TableParagraph"/>
              <w:spacing w:before="43"/>
              <w:ind w:right="192"/>
              <w:jc w:val="right"/>
              <w:rPr>
                <w:rFonts w:ascii="Arial"/>
                <w:sz w:val="10"/>
              </w:rPr>
            </w:pPr>
            <w:r>
              <w:rPr>
                <w:rFonts w:ascii="Arial"/>
                <w:color w:val="44536A"/>
                <w:w w:val="105"/>
                <w:sz w:val="10"/>
              </w:rPr>
              <w:t>332.6</w:t>
            </w:r>
          </w:p>
        </w:tc>
        <w:tc>
          <w:tcPr>
            <w:tcW w:w="702" w:type="dxa"/>
            <w:tcBorders>
              <w:left w:val="single" w:sz="4" w:space="0" w:color="000000"/>
              <w:right w:val="single" w:sz="4" w:space="0" w:color="000000"/>
            </w:tcBorders>
          </w:tcPr>
          <w:p>
            <w:pPr>
              <w:pStyle w:val="TableParagraph"/>
              <w:spacing w:before="43"/>
              <w:ind w:right="211"/>
              <w:jc w:val="right"/>
              <w:rPr>
                <w:rFonts w:ascii="Arial"/>
                <w:sz w:val="10"/>
              </w:rPr>
            </w:pPr>
            <w:r>
              <w:rPr>
                <w:rFonts w:ascii="Arial"/>
                <w:color w:val="44536A"/>
                <w:w w:val="105"/>
                <w:sz w:val="10"/>
              </w:rPr>
              <w:t>329.9</w:t>
            </w:r>
          </w:p>
        </w:tc>
        <w:tc>
          <w:tcPr>
            <w:tcW w:w="656" w:type="dxa"/>
            <w:tcBorders>
              <w:left w:val="single" w:sz="4" w:space="0" w:color="000000"/>
              <w:right w:val="single" w:sz="4" w:space="0" w:color="000000"/>
            </w:tcBorders>
          </w:tcPr>
          <w:p>
            <w:pPr>
              <w:pStyle w:val="TableParagraph"/>
              <w:spacing w:before="43"/>
              <w:ind w:left="191"/>
              <w:rPr>
                <w:rFonts w:ascii="Arial"/>
                <w:sz w:val="10"/>
              </w:rPr>
            </w:pPr>
            <w:r>
              <w:rPr>
                <w:rFonts w:ascii="Arial"/>
                <w:color w:val="44536A"/>
                <w:w w:val="105"/>
                <w:sz w:val="10"/>
              </w:rPr>
              <w:t>344.6</w:t>
            </w:r>
          </w:p>
        </w:tc>
        <w:tc>
          <w:tcPr>
            <w:tcW w:w="656" w:type="dxa"/>
            <w:tcBorders>
              <w:left w:val="single" w:sz="4" w:space="0" w:color="000000"/>
              <w:right w:val="single" w:sz="4" w:space="0" w:color="000000"/>
            </w:tcBorders>
          </w:tcPr>
          <w:p>
            <w:pPr>
              <w:pStyle w:val="TableParagraph"/>
              <w:spacing w:before="43"/>
              <w:ind w:left="192"/>
              <w:rPr>
                <w:rFonts w:ascii="Arial"/>
                <w:sz w:val="10"/>
              </w:rPr>
            </w:pPr>
            <w:r>
              <w:rPr>
                <w:rFonts w:ascii="Arial"/>
                <w:color w:val="44536A"/>
                <w:w w:val="105"/>
                <w:sz w:val="10"/>
              </w:rPr>
              <w:t>360.5</w:t>
            </w:r>
          </w:p>
        </w:tc>
        <w:tc>
          <w:tcPr>
            <w:tcW w:w="656" w:type="dxa"/>
            <w:tcBorders>
              <w:left w:val="single" w:sz="4" w:space="0" w:color="000000"/>
              <w:right w:val="single" w:sz="4" w:space="0" w:color="000000"/>
            </w:tcBorders>
          </w:tcPr>
          <w:p>
            <w:pPr>
              <w:pStyle w:val="TableParagraph"/>
              <w:spacing w:before="43"/>
              <w:ind w:left="55" w:right="54"/>
              <w:jc w:val="center"/>
              <w:rPr>
                <w:rFonts w:ascii="Arial"/>
                <w:sz w:val="10"/>
              </w:rPr>
            </w:pPr>
            <w:r>
              <w:rPr>
                <w:rFonts w:ascii="Arial"/>
                <w:color w:val="44536A"/>
                <w:w w:val="105"/>
                <w:sz w:val="10"/>
              </w:rPr>
              <w:t>377.2</w:t>
            </w:r>
          </w:p>
        </w:tc>
        <w:tc>
          <w:tcPr>
            <w:tcW w:w="656" w:type="dxa"/>
            <w:tcBorders>
              <w:left w:val="single" w:sz="4" w:space="0" w:color="000000"/>
              <w:right w:val="single" w:sz="4" w:space="0" w:color="000000"/>
            </w:tcBorders>
          </w:tcPr>
          <w:p>
            <w:pPr>
              <w:pStyle w:val="TableParagraph"/>
              <w:spacing w:before="43"/>
              <w:ind w:right="188"/>
              <w:jc w:val="right"/>
              <w:rPr>
                <w:rFonts w:ascii="Arial"/>
                <w:sz w:val="10"/>
              </w:rPr>
            </w:pPr>
            <w:r>
              <w:rPr>
                <w:rFonts w:ascii="Arial"/>
                <w:color w:val="44536A"/>
                <w:w w:val="105"/>
                <w:sz w:val="10"/>
              </w:rPr>
              <w:t>395.0</w:t>
            </w:r>
          </w:p>
        </w:tc>
        <w:tc>
          <w:tcPr>
            <w:tcW w:w="659" w:type="dxa"/>
            <w:tcBorders>
              <w:left w:val="single" w:sz="4" w:space="0" w:color="000000"/>
            </w:tcBorders>
          </w:tcPr>
          <w:p>
            <w:pPr>
              <w:pStyle w:val="TableParagraph"/>
              <w:spacing w:before="43"/>
              <w:ind w:left="57" w:right="58"/>
              <w:jc w:val="center"/>
              <w:rPr>
                <w:rFonts w:ascii="Arial"/>
                <w:sz w:val="10"/>
              </w:rPr>
            </w:pPr>
            <w:r>
              <w:rPr>
                <w:rFonts w:ascii="Arial"/>
                <w:color w:val="44536A"/>
                <w:w w:val="105"/>
                <w:sz w:val="10"/>
              </w:rPr>
              <w:t>413.6</w:t>
            </w:r>
          </w:p>
        </w:tc>
      </w:tr>
      <w:tr>
        <w:trPr>
          <w:trHeight w:val="199" w:hRule="atLeast"/>
        </w:trPr>
        <w:tc>
          <w:tcPr>
            <w:tcW w:w="2560" w:type="dxa"/>
            <w:vMerge/>
            <w:tcBorders>
              <w:top w:val="nil"/>
              <w:right w:val="single" w:sz="4" w:space="0" w:color="000000"/>
            </w:tcBorders>
          </w:tcPr>
          <w:p>
            <w:pPr>
              <w:rPr>
                <w:sz w:val="2"/>
                <w:szCs w:val="2"/>
              </w:rPr>
            </w:pPr>
          </w:p>
        </w:tc>
        <w:tc>
          <w:tcPr>
            <w:tcW w:w="768" w:type="dxa"/>
            <w:tcBorders>
              <w:left w:val="single" w:sz="4" w:space="0" w:color="000000"/>
              <w:right w:val="single" w:sz="4" w:space="0" w:color="000000"/>
            </w:tcBorders>
          </w:tcPr>
          <w:p>
            <w:pPr>
              <w:pStyle w:val="TableParagraph"/>
              <w:spacing w:before="43"/>
              <w:ind w:left="137" w:right="141"/>
              <w:jc w:val="center"/>
              <w:rPr>
                <w:rFonts w:ascii="Arial"/>
                <w:sz w:val="10"/>
              </w:rPr>
            </w:pPr>
            <w:r>
              <w:rPr>
                <w:rFonts w:ascii="Arial"/>
                <w:color w:val="44536A"/>
                <w:w w:val="105"/>
                <w:sz w:val="10"/>
              </w:rPr>
              <w:t>3,743.4</w:t>
            </w:r>
          </w:p>
        </w:tc>
        <w:tc>
          <w:tcPr>
            <w:tcW w:w="722" w:type="dxa"/>
            <w:tcBorders>
              <w:left w:val="single" w:sz="4" w:space="0" w:color="000000"/>
              <w:right w:val="single" w:sz="4" w:space="0" w:color="000000"/>
            </w:tcBorders>
          </w:tcPr>
          <w:p>
            <w:pPr>
              <w:pStyle w:val="TableParagraph"/>
              <w:spacing w:before="43"/>
              <w:ind w:left="112" w:right="112"/>
              <w:jc w:val="center"/>
              <w:rPr>
                <w:rFonts w:ascii="Arial"/>
                <w:sz w:val="10"/>
              </w:rPr>
            </w:pPr>
            <w:r>
              <w:rPr>
                <w:rFonts w:ascii="Arial"/>
                <w:color w:val="44536A"/>
                <w:w w:val="105"/>
                <w:sz w:val="10"/>
              </w:rPr>
              <w:t>3,484.7</w:t>
            </w:r>
          </w:p>
        </w:tc>
        <w:tc>
          <w:tcPr>
            <w:tcW w:w="656" w:type="dxa"/>
            <w:tcBorders>
              <w:left w:val="single" w:sz="4" w:space="0" w:color="000000"/>
              <w:right w:val="single" w:sz="4" w:space="0" w:color="000000"/>
            </w:tcBorders>
          </w:tcPr>
          <w:p>
            <w:pPr>
              <w:pStyle w:val="TableParagraph"/>
              <w:spacing w:before="43"/>
              <w:ind w:right="146"/>
              <w:jc w:val="right"/>
              <w:rPr>
                <w:rFonts w:ascii="Arial"/>
                <w:sz w:val="10"/>
              </w:rPr>
            </w:pPr>
            <w:r>
              <w:rPr>
                <w:rFonts w:ascii="Arial"/>
                <w:color w:val="44536A"/>
                <w:w w:val="105"/>
                <w:sz w:val="10"/>
              </w:rPr>
              <w:t>4,066.3</w:t>
            </w:r>
          </w:p>
        </w:tc>
        <w:tc>
          <w:tcPr>
            <w:tcW w:w="702" w:type="dxa"/>
            <w:tcBorders>
              <w:left w:val="single" w:sz="4" w:space="0" w:color="000000"/>
              <w:right w:val="single" w:sz="4" w:space="0" w:color="000000"/>
            </w:tcBorders>
          </w:tcPr>
          <w:p>
            <w:pPr>
              <w:pStyle w:val="TableParagraph"/>
              <w:spacing w:before="43"/>
              <w:ind w:right="172"/>
              <w:jc w:val="right"/>
              <w:rPr>
                <w:rFonts w:ascii="Arial"/>
                <w:sz w:val="10"/>
              </w:rPr>
            </w:pPr>
            <w:r>
              <w:rPr>
                <w:rFonts w:ascii="Arial"/>
                <w:color w:val="44536A"/>
                <w:w w:val="105"/>
                <w:sz w:val="10"/>
              </w:rPr>
              <w:t>4,189.0</w:t>
            </w:r>
          </w:p>
        </w:tc>
        <w:tc>
          <w:tcPr>
            <w:tcW w:w="656" w:type="dxa"/>
            <w:tcBorders>
              <w:left w:val="single" w:sz="4" w:space="0" w:color="000000"/>
              <w:right w:val="single" w:sz="4" w:space="0" w:color="000000"/>
            </w:tcBorders>
          </w:tcPr>
          <w:p>
            <w:pPr>
              <w:pStyle w:val="TableParagraph"/>
              <w:spacing w:before="43"/>
              <w:ind w:left="152"/>
              <w:rPr>
                <w:rFonts w:ascii="Arial"/>
                <w:sz w:val="10"/>
              </w:rPr>
            </w:pPr>
            <w:r>
              <w:rPr>
                <w:rFonts w:ascii="Arial"/>
                <w:color w:val="44536A"/>
                <w:w w:val="105"/>
                <w:sz w:val="10"/>
              </w:rPr>
              <w:t>4,376.2</w:t>
            </w:r>
          </w:p>
        </w:tc>
        <w:tc>
          <w:tcPr>
            <w:tcW w:w="656" w:type="dxa"/>
            <w:tcBorders>
              <w:left w:val="single" w:sz="4" w:space="0" w:color="000000"/>
              <w:right w:val="single" w:sz="4" w:space="0" w:color="000000"/>
            </w:tcBorders>
          </w:tcPr>
          <w:p>
            <w:pPr>
              <w:pStyle w:val="TableParagraph"/>
              <w:spacing w:before="43"/>
              <w:ind w:left="152"/>
              <w:rPr>
                <w:rFonts w:ascii="Arial"/>
                <w:sz w:val="10"/>
              </w:rPr>
            </w:pPr>
            <w:r>
              <w:rPr>
                <w:rFonts w:ascii="Arial"/>
                <w:color w:val="44536A"/>
                <w:w w:val="105"/>
                <w:sz w:val="10"/>
              </w:rPr>
              <w:t>4,578.2</w:t>
            </w:r>
          </w:p>
        </w:tc>
        <w:tc>
          <w:tcPr>
            <w:tcW w:w="656" w:type="dxa"/>
            <w:tcBorders>
              <w:left w:val="single" w:sz="4" w:space="0" w:color="000000"/>
              <w:right w:val="single" w:sz="4" w:space="0" w:color="000000"/>
            </w:tcBorders>
          </w:tcPr>
          <w:p>
            <w:pPr>
              <w:pStyle w:val="TableParagraph"/>
              <w:spacing w:before="43"/>
              <w:ind w:left="55" w:right="47"/>
              <w:jc w:val="center"/>
              <w:rPr>
                <w:rFonts w:ascii="Arial"/>
                <w:sz w:val="10"/>
              </w:rPr>
            </w:pPr>
            <w:r>
              <w:rPr>
                <w:rFonts w:ascii="Arial"/>
                <w:color w:val="44536A"/>
                <w:w w:val="105"/>
                <w:sz w:val="10"/>
              </w:rPr>
              <w:t>4,789.6</w:t>
            </w:r>
          </w:p>
        </w:tc>
        <w:tc>
          <w:tcPr>
            <w:tcW w:w="656" w:type="dxa"/>
            <w:tcBorders>
              <w:left w:val="single" w:sz="4" w:space="0" w:color="000000"/>
              <w:right w:val="single" w:sz="4" w:space="0" w:color="000000"/>
            </w:tcBorders>
          </w:tcPr>
          <w:p>
            <w:pPr>
              <w:pStyle w:val="TableParagraph"/>
              <w:spacing w:before="43"/>
              <w:ind w:right="142"/>
              <w:jc w:val="right"/>
              <w:rPr>
                <w:rFonts w:ascii="Arial"/>
                <w:sz w:val="10"/>
              </w:rPr>
            </w:pPr>
            <w:r>
              <w:rPr>
                <w:rFonts w:ascii="Arial"/>
                <w:color w:val="44536A"/>
                <w:w w:val="105"/>
                <w:sz w:val="10"/>
              </w:rPr>
              <w:t>5,015.7</w:t>
            </w:r>
          </w:p>
        </w:tc>
        <w:tc>
          <w:tcPr>
            <w:tcW w:w="659" w:type="dxa"/>
            <w:tcBorders>
              <w:left w:val="single" w:sz="4" w:space="0" w:color="000000"/>
            </w:tcBorders>
          </w:tcPr>
          <w:p>
            <w:pPr>
              <w:pStyle w:val="TableParagraph"/>
              <w:spacing w:before="43"/>
              <w:ind w:left="57" w:right="55"/>
              <w:jc w:val="center"/>
              <w:rPr>
                <w:rFonts w:ascii="Arial"/>
                <w:sz w:val="10"/>
              </w:rPr>
            </w:pPr>
            <w:r>
              <w:rPr>
                <w:rFonts w:ascii="Arial"/>
                <w:color w:val="44536A"/>
                <w:w w:val="105"/>
                <w:sz w:val="10"/>
              </w:rPr>
              <w:t>5,252.3</w:t>
            </w:r>
          </w:p>
        </w:tc>
      </w:tr>
      <w:tr>
        <w:trPr>
          <w:trHeight w:val="199" w:hRule="atLeast"/>
        </w:trPr>
        <w:tc>
          <w:tcPr>
            <w:tcW w:w="2560" w:type="dxa"/>
            <w:vMerge/>
            <w:tcBorders>
              <w:top w:val="nil"/>
              <w:right w:val="single" w:sz="4" w:space="0" w:color="000000"/>
            </w:tcBorders>
          </w:tcPr>
          <w:p>
            <w:pPr>
              <w:rPr>
                <w:sz w:val="2"/>
                <w:szCs w:val="2"/>
              </w:rPr>
            </w:pPr>
          </w:p>
        </w:tc>
        <w:tc>
          <w:tcPr>
            <w:tcW w:w="768" w:type="dxa"/>
            <w:tcBorders>
              <w:left w:val="single" w:sz="4" w:space="0" w:color="000000"/>
              <w:right w:val="single" w:sz="4" w:space="0" w:color="000000"/>
            </w:tcBorders>
          </w:tcPr>
          <w:p>
            <w:pPr>
              <w:pStyle w:val="TableParagraph"/>
              <w:spacing w:before="43"/>
              <w:ind w:left="137" w:right="137"/>
              <w:jc w:val="center"/>
              <w:rPr>
                <w:rFonts w:ascii="Arial"/>
                <w:sz w:val="10"/>
              </w:rPr>
            </w:pPr>
            <w:r>
              <w:rPr>
                <w:rFonts w:ascii="Arial"/>
                <w:color w:val="44536A"/>
                <w:w w:val="105"/>
                <w:sz w:val="10"/>
              </w:rPr>
              <w:t>131.4</w:t>
            </w:r>
          </w:p>
        </w:tc>
        <w:tc>
          <w:tcPr>
            <w:tcW w:w="722" w:type="dxa"/>
            <w:tcBorders>
              <w:left w:val="single" w:sz="4" w:space="0" w:color="000000"/>
              <w:right w:val="single" w:sz="4" w:space="0" w:color="000000"/>
            </w:tcBorders>
          </w:tcPr>
          <w:p>
            <w:pPr>
              <w:pStyle w:val="TableParagraph"/>
              <w:spacing w:before="43"/>
              <w:ind w:left="112" w:right="115"/>
              <w:jc w:val="center"/>
              <w:rPr>
                <w:rFonts w:ascii="Arial"/>
                <w:sz w:val="10"/>
              </w:rPr>
            </w:pPr>
            <w:r>
              <w:rPr>
                <w:rFonts w:ascii="Arial"/>
                <w:color w:val="44536A"/>
                <w:w w:val="105"/>
                <w:sz w:val="10"/>
              </w:rPr>
              <w:t>147.2</w:t>
            </w:r>
          </w:p>
        </w:tc>
        <w:tc>
          <w:tcPr>
            <w:tcW w:w="656" w:type="dxa"/>
            <w:tcBorders>
              <w:left w:val="single" w:sz="4" w:space="0" w:color="000000"/>
              <w:right w:val="single" w:sz="4" w:space="0" w:color="000000"/>
            </w:tcBorders>
          </w:tcPr>
          <w:p>
            <w:pPr>
              <w:pStyle w:val="TableParagraph"/>
              <w:spacing w:before="43"/>
              <w:ind w:right="192"/>
              <w:jc w:val="right"/>
              <w:rPr>
                <w:rFonts w:ascii="Arial"/>
                <w:sz w:val="10"/>
              </w:rPr>
            </w:pPr>
            <w:r>
              <w:rPr>
                <w:rFonts w:ascii="Arial"/>
                <w:color w:val="44536A"/>
                <w:w w:val="105"/>
                <w:sz w:val="10"/>
              </w:rPr>
              <w:t>183.2</w:t>
            </w:r>
          </w:p>
        </w:tc>
        <w:tc>
          <w:tcPr>
            <w:tcW w:w="702" w:type="dxa"/>
            <w:tcBorders>
              <w:left w:val="single" w:sz="4" w:space="0" w:color="000000"/>
              <w:right w:val="single" w:sz="4" w:space="0" w:color="000000"/>
            </w:tcBorders>
          </w:tcPr>
          <w:p>
            <w:pPr>
              <w:pStyle w:val="TableParagraph"/>
              <w:spacing w:before="43"/>
              <w:ind w:right="211"/>
              <w:jc w:val="right"/>
              <w:rPr>
                <w:rFonts w:ascii="Arial"/>
                <w:sz w:val="10"/>
              </w:rPr>
            </w:pPr>
            <w:r>
              <w:rPr>
                <w:rFonts w:ascii="Arial"/>
                <w:color w:val="44536A"/>
                <w:w w:val="105"/>
                <w:sz w:val="10"/>
              </w:rPr>
              <w:t>191.9</w:t>
            </w:r>
          </w:p>
        </w:tc>
        <w:tc>
          <w:tcPr>
            <w:tcW w:w="656" w:type="dxa"/>
            <w:tcBorders>
              <w:left w:val="single" w:sz="4" w:space="0" w:color="000000"/>
              <w:right w:val="single" w:sz="4" w:space="0" w:color="000000"/>
            </w:tcBorders>
          </w:tcPr>
          <w:p>
            <w:pPr>
              <w:pStyle w:val="TableParagraph"/>
              <w:spacing w:before="43"/>
              <w:ind w:left="191"/>
              <w:rPr>
                <w:rFonts w:ascii="Arial"/>
                <w:sz w:val="10"/>
              </w:rPr>
            </w:pPr>
            <w:r>
              <w:rPr>
                <w:rFonts w:ascii="Arial"/>
                <w:color w:val="44536A"/>
                <w:w w:val="105"/>
                <w:sz w:val="10"/>
              </w:rPr>
              <w:t>200.5</w:t>
            </w:r>
          </w:p>
        </w:tc>
        <w:tc>
          <w:tcPr>
            <w:tcW w:w="656" w:type="dxa"/>
            <w:tcBorders>
              <w:left w:val="single" w:sz="4" w:space="0" w:color="000000"/>
              <w:right w:val="single" w:sz="4" w:space="0" w:color="000000"/>
            </w:tcBorders>
          </w:tcPr>
          <w:p>
            <w:pPr>
              <w:pStyle w:val="TableParagraph"/>
              <w:spacing w:before="43"/>
              <w:ind w:left="192"/>
              <w:rPr>
                <w:rFonts w:ascii="Arial"/>
                <w:sz w:val="10"/>
              </w:rPr>
            </w:pPr>
            <w:r>
              <w:rPr>
                <w:rFonts w:ascii="Arial"/>
                <w:color w:val="44536A"/>
                <w:w w:val="105"/>
                <w:sz w:val="10"/>
              </w:rPr>
              <w:t>209.8</w:t>
            </w:r>
          </w:p>
        </w:tc>
        <w:tc>
          <w:tcPr>
            <w:tcW w:w="656" w:type="dxa"/>
            <w:tcBorders>
              <w:left w:val="single" w:sz="4" w:space="0" w:color="000000"/>
              <w:right w:val="single" w:sz="4" w:space="0" w:color="000000"/>
            </w:tcBorders>
          </w:tcPr>
          <w:p>
            <w:pPr>
              <w:pStyle w:val="TableParagraph"/>
              <w:spacing w:before="43"/>
              <w:ind w:left="55" w:right="54"/>
              <w:jc w:val="center"/>
              <w:rPr>
                <w:rFonts w:ascii="Arial"/>
                <w:sz w:val="10"/>
              </w:rPr>
            </w:pPr>
            <w:r>
              <w:rPr>
                <w:rFonts w:ascii="Arial"/>
                <w:color w:val="44536A"/>
                <w:w w:val="105"/>
                <w:sz w:val="10"/>
              </w:rPr>
              <w:t>219.5</w:t>
            </w:r>
          </w:p>
        </w:tc>
        <w:tc>
          <w:tcPr>
            <w:tcW w:w="656" w:type="dxa"/>
            <w:tcBorders>
              <w:left w:val="single" w:sz="4" w:space="0" w:color="000000"/>
              <w:right w:val="single" w:sz="4" w:space="0" w:color="000000"/>
            </w:tcBorders>
          </w:tcPr>
          <w:p>
            <w:pPr>
              <w:pStyle w:val="TableParagraph"/>
              <w:spacing w:before="43"/>
              <w:ind w:right="188"/>
              <w:jc w:val="right"/>
              <w:rPr>
                <w:rFonts w:ascii="Arial"/>
                <w:sz w:val="10"/>
              </w:rPr>
            </w:pPr>
            <w:r>
              <w:rPr>
                <w:rFonts w:ascii="Arial"/>
                <w:color w:val="44536A"/>
                <w:w w:val="105"/>
                <w:sz w:val="10"/>
              </w:rPr>
              <w:t>229.8</w:t>
            </w:r>
          </w:p>
        </w:tc>
        <w:tc>
          <w:tcPr>
            <w:tcW w:w="659" w:type="dxa"/>
            <w:tcBorders>
              <w:left w:val="single" w:sz="4" w:space="0" w:color="000000"/>
            </w:tcBorders>
          </w:tcPr>
          <w:p>
            <w:pPr>
              <w:pStyle w:val="TableParagraph"/>
              <w:spacing w:before="43"/>
              <w:ind w:left="57" w:right="58"/>
              <w:jc w:val="center"/>
              <w:rPr>
                <w:rFonts w:ascii="Arial"/>
                <w:sz w:val="10"/>
              </w:rPr>
            </w:pPr>
            <w:r>
              <w:rPr>
                <w:rFonts w:ascii="Arial"/>
                <w:color w:val="44536A"/>
                <w:w w:val="105"/>
                <w:sz w:val="10"/>
              </w:rPr>
              <w:t>240.7</w:t>
            </w:r>
          </w:p>
        </w:tc>
      </w:tr>
      <w:tr>
        <w:trPr>
          <w:trHeight w:val="199" w:hRule="atLeast"/>
        </w:trPr>
        <w:tc>
          <w:tcPr>
            <w:tcW w:w="2560" w:type="dxa"/>
            <w:vMerge/>
            <w:tcBorders>
              <w:top w:val="nil"/>
              <w:right w:val="single" w:sz="4" w:space="0" w:color="000000"/>
            </w:tcBorders>
          </w:tcPr>
          <w:p>
            <w:pPr>
              <w:rPr>
                <w:sz w:val="2"/>
                <w:szCs w:val="2"/>
              </w:rPr>
            </w:pPr>
          </w:p>
        </w:tc>
        <w:tc>
          <w:tcPr>
            <w:tcW w:w="768" w:type="dxa"/>
            <w:tcBorders>
              <w:left w:val="single" w:sz="4" w:space="0" w:color="000000"/>
              <w:right w:val="single" w:sz="4" w:space="0" w:color="000000"/>
            </w:tcBorders>
          </w:tcPr>
          <w:p>
            <w:pPr>
              <w:pStyle w:val="TableParagraph"/>
              <w:spacing w:before="43"/>
              <w:ind w:left="137" w:right="137"/>
              <w:jc w:val="center"/>
              <w:rPr>
                <w:rFonts w:ascii="Arial"/>
                <w:sz w:val="10"/>
              </w:rPr>
            </w:pPr>
            <w:r>
              <w:rPr>
                <w:rFonts w:ascii="Arial"/>
                <w:color w:val="44536A"/>
                <w:w w:val="105"/>
                <w:sz w:val="10"/>
              </w:rPr>
              <w:t>451.5</w:t>
            </w:r>
          </w:p>
        </w:tc>
        <w:tc>
          <w:tcPr>
            <w:tcW w:w="722" w:type="dxa"/>
            <w:tcBorders>
              <w:left w:val="single" w:sz="4" w:space="0" w:color="000000"/>
              <w:right w:val="single" w:sz="4" w:space="0" w:color="000000"/>
            </w:tcBorders>
          </w:tcPr>
          <w:p>
            <w:pPr>
              <w:pStyle w:val="TableParagraph"/>
              <w:spacing w:before="43"/>
              <w:ind w:left="112" w:right="115"/>
              <w:jc w:val="center"/>
              <w:rPr>
                <w:rFonts w:ascii="Arial"/>
                <w:sz w:val="10"/>
              </w:rPr>
            </w:pPr>
            <w:r>
              <w:rPr>
                <w:rFonts w:ascii="Arial"/>
                <w:color w:val="44536A"/>
                <w:w w:val="105"/>
                <w:sz w:val="10"/>
              </w:rPr>
              <w:t>391.6</w:t>
            </w:r>
          </w:p>
        </w:tc>
        <w:tc>
          <w:tcPr>
            <w:tcW w:w="656" w:type="dxa"/>
            <w:tcBorders>
              <w:left w:val="single" w:sz="4" w:space="0" w:color="000000"/>
              <w:right w:val="single" w:sz="4" w:space="0" w:color="000000"/>
            </w:tcBorders>
          </w:tcPr>
          <w:p>
            <w:pPr>
              <w:pStyle w:val="TableParagraph"/>
              <w:spacing w:before="43"/>
              <w:ind w:right="192"/>
              <w:jc w:val="right"/>
              <w:rPr>
                <w:rFonts w:ascii="Arial"/>
                <w:sz w:val="10"/>
              </w:rPr>
            </w:pPr>
            <w:r>
              <w:rPr>
                <w:rFonts w:ascii="Arial"/>
                <w:color w:val="44536A"/>
                <w:w w:val="105"/>
                <w:sz w:val="10"/>
              </w:rPr>
              <w:t>542.0</w:t>
            </w:r>
          </w:p>
        </w:tc>
        <w:tc>
          <w:tcPr>
            <w:tcW w:w="702" w:type="dxa"/>
            <w:tcBorders>
              <w:left w:val="single" w:sz="4" w:space="0" w:color="000000"/>
              <w:right w:val="single" w:sz="4" w:space="0" w:color="000000"/>
            </w:tcBorders>
          </w:tcPr>
          <w:p>
            <w:pPr>
              <w:pStyle w:val="TableParagraph"/>
              <w:spacing w:before="43"/>
              <w:ind w:right="211"/>
              <w:jc w:val="right"/>
              <w:rPr>
                <w:rFonts w:ascii="Arial"/>
                <w:sz w:val="10"/>
              </w:rPr>
            </w:pPr>
            <w:r>
              <w:rPr>
                <w:rFonts w:ascii="Arial"/>
                <w:color w:val="44536A"/>
                <w:w w:val="105"/>
                <w:sz w:val="10"/>
              </w:rPr>
              <w:t>527.7</w:t>
            </w:r>
          </w:p>
        </w:tc>
        <w:tc>
          <w:tcPr>
            <w:tcW w:w="656" w:type="dxa"/>
            <w:tcBorders>
              <w:left w:val="single" w:sz="4" w:space="0" w:color="000000"/>
              <w:right w:val="single" w:sz="4" w:space="0" w:color="000000"/>
            </w:tcBorders>
          </w:tcPr>
          <w:p>
            <w:pPr>
              <w:pStyle w:val="TableParagraph"/>
              <w:spacing w:before="43"/>
              <w:ind w:left="191"/>
              <w:rPr>
                <w:rFonts w:ascii="Arial"/>
                <w:sz w:val="10"/>
              </w:rPr>
            </w:pPr>
            <w:r>
              <w:rPr>
                <w:rFonts w:ascii="Arial"/>
                <w:color w:val="44536A"/>
                <w:w w:val="105"/>
                <w:sz w:val="10"/>
              </w:rPr>
              <w:t>566.7</w:t>
            </w:r>
          </w:p>
        </w:tc>
        <w:tc>
          <w:tcPr>
            <w:tcW w:w="656" w:type="dxa"/>
            <w:tcBorders>
              <w:left w:val="single" w:sz="4" w:space="0" w:color="000000"/>
              <w:right w:val="single" w:sz="4" w:space="0" w:color="000000"/>
            </w:tcBorders>
          </w:tcPr>
          <w:p>
            <w:pPr>
              <w:pStyle w:val="TableParagraph"/>
              <w:spacing w:before="43"/>
              <w:ind w:left="192"/>
              <w:rPr>
                <w:rFonts w:ascii="Arial"/>
                <w:sz w:val="10"/>
              </w:rPr>
            </w:pPr>
            <w:r>
              <w:rPr>
                <w:rFonts w:ascii="Arial"/>
                <w:color w:val="44536A"/>
                <w:w w:val="105"/>
                <w:sz w:val="10"/>
              </w:rPr>
              <w:t>607.3</w:t>
            </w:r>
          </w:p>
        </w:tc>
        <w:tc>
          <w:tcPr>
            <w:tcW w:w="656" w:type="dxa"/>
            <w:tcBorders>
              <w:left w:val="single" w:sz="4" w:space="0" w:color="000000"/>
              <w:right w:val="single" w:sz="4" w:space="0" w:color="000000"/>
            </w:tcBorders>
          </w:tcPr>
          <w:p>
            <w:pPr>
              <w:pStyle w:val="TableParagraph"/>
              <w:spacing w:before="43"/>
              <w:ind w:left="55" w:right="54"/>
              <w:jc w:val="center"/>
              <w:rPr>
                <w:rFonts w:ascii="Arial"/>
                <w:sz w:val="10"/>
              </w:rPr>
            </w:pPr>
            <w:r>
              <w:rPr>
                <w:rFonts w:ascii="Arial"/>
                <w:color w:val="44536A"/>
                <w:w w:val="105"/>
                <w:sz w:val="10"/>
              </w:rPr>
              <w:t>650.7</w:t>
            </w:r>
          </w:p>
        </w:tc>
        <w:tc>
          <w:tcPr>
            <w:tcW w:w="656" w:type="dxa"/>
            <w:tcBorders>
              <w:left w:val="single" w:sz="4" w:space="0" w:color="000000"/>
              <w:right w:val="single" w:sz="4" w:space="0" w:color="000000"/>
            </w:tcBorders>
          </w:tcPr>
          <w:p>
            <w:pPr>
              <w:pStyle w:val="TableParagraph"/>
              <w:spacing w:before="43"/>
              <w:ind w:right="188"/>
              <w:jc w:val="right"/>
              <w:rPr>
                <w:rFonts w:ascii="Arial"/>
                <w:sz w:val="10"/>
              </w:rPr>
            </w:pPr>
            <w:r>
              <w:rPr>
                <w:rFonts w:ascii="Arial"/>
                <w:color w:val="44536A"/>
                <w:w w:val="105"/>
                <w:sz w:val="10"/>
              </w:rPr>
              <w:t>698.3</w:t>
            </w:r>
          </w:p>
        </w:tc>
        <w:tc>
          <w:tcPr>
            <w:tcW w:w="659" w:type="dxa"/>
            <w:tcBorders>
              <w:left w:val="single" w:sz="4" w:space="0" w:color="000000"/>
            </w:tcBorders>
          </w:tcPr>
          <w:p>
            <w:pPr>
              <w:pStyle w:val="TableParagraph"/>
              <w:spacing w:before="43"/>
              <w:ind w:left="57" w:right="58"/>
              <w:jc w:val="center"/>
              <w:rPr>
                <w:rFonts w:ascii="Arial"/>
                <w:sz w:val="10"/>
              </w:rPr>
            </w:pPr>
            <w:r>
              <w:rPr>
                <w:rFonts w:ascii="Arial"/>
                <w:color w:val="44536A"/>
                <w:w w:val="105"/>
                <w:sz w:val="10"/>
              </w:rPr>
              <w:t>749.3</w:t>
            </w:r>
          </w:p>
        </w:tc>
      </w:tr>
      <w:tr>
        <w:trPr>
          <w:trHeight w:val="199" w:hRule="atLeast"/>
        </w:trPr>
        <w:tc>
          <w:tcPr>
            <w:tcW w:w="2560" w:type="dxa"/>
            <w:vMerge/>
            <w:tcBorders>
              <w:top w:val="nil"/>
              <w:right w:val="single" w:sz="4" w:space="0" w:color="000000"/>
            </w:tcBorders>
          </w:tcPr>
          <w:p>
            <w:pPr>
              <w:rPr>
                <w:sz w:val="2"/>
                <w:szCs w:val="2"/>
              </w:rPr>
            </w:pPr>
          </w:p>
        </w:tc>
        <w:tc>
          <w:tcPr>
            <w:tcW w:w="768" w:type="dxa"/>
            <w:tcBorders>
              <w:left w:val="single" w:sz="4" w:space="0" w:color="000000"/>
              <w:right w:val="single" w:sz="4" w:space="0" w:color="000000"/>
            </w:tcBorders>
          </w:tcPr>
          <w:p>
            <w:pPr>
              <w:pStyle w:val="TableParagraph"/>
              <w:spacing w:before="43"/>
              <w:ind w:left="137" w:right="137"/>
              <w:jc w:val="center"/>
              <w:rPr>
                <w:rFonts w:ascii="Arial"/>
                <w:sz w:val="10"/>
              </w:rPr>
            </w:pPr>
            <w:r>
              <w:rPr>
                <w:rFonts w:ascii="Arial"/>
                <w:color w:val="44536A"/>
                <w:w w:val="105"/>
                <w:sz w:val="10"/>
              </w:rPr>
              <w:t>909.3</w:t>
            </w:r>
          </w:p>
        </w:tc>
        <w:tc>
          <w:tcPr>
            <w:tcW w:w="722" w:type="dxa"/>
            <w:tcBorders>
              <w:left w:val="single" w:sz="4" w:space="0" w:color="000000"/>
              <w:right w:val="single" w:sz="4" w:space="0" w:color="000000"/>
            </w:tcBorders>
          </w:tcPr>
          <w:p>
            <w:pPr>
              <w:pStyle w:val="TableParagraph"/>
              <w:spacing w:before="43"/>
              <w:ind w:left="112" w:right="115"/>
              <w:jc w:val="center"/>
              <w:rPr>
                <w:rFonts w:ascii="Arial"/>
                <w:sz w:val="10"/>
              </w:rPr>
            </w:pPr>
            <w:r>
              <w:rPr>
                <w:rFonts w:ascii="Arial"/>
                <w:color w:val="44536A"/>
                <w:w w:val="105"/>
                <w:sz w:val="10"/>
              </w:rPr>
              <w:t>903.0</w:t>
            </w:r>
          </w:p>
        </w:tc>
        <w:tc>
          <w:tcPr>
            <w:tcW w:w="656" w:type="dxa"/>
            <w:tcBorders>
              <w:left w:val="single" w:sz="4" w:space="0" w:color="000000"/>
              <w:right w:val="single" w:sz="4" w:space="0" w:color="000000"/>
            </w:tcBorders>
          </w:tcPr>
          <w:p>
            <w:pPr>
              <w:pStyle w:val="TableParagraph"/>
              <w:spacing w:before="43"/>
              <w:ind w:right="146"/>
              <w:jc w:val="right"/>
              <w:rPr>
                <w:rFonts w:ascii="Arial"/>
                <w:sz w:val="10"/>
              </w:rPr>
            </w:pPr>
            <w:r>
              <w:rPr>
                <w:rFonts w:ascii="Arial"/>
                <w:color w:val="44536A"/>
                <w:w w:val="105"/>
                <w:sz w:val="10"/>
              </w:rPr>
              <w:t>1,011.1</w:t>
            </w:r>
          </w:p>
        </w:tc>
        <w:tc>
          <w:tcPr>
            <w:tcW w:w="702" w:type="dxa"/>
            <w:tcBorders>
              <w:left w:val="single" w:sz="4" w:space="0" w:color="000000"/>
              <w:right w:val="single" w:sz="4" w:space="0" w:color="000000"/>
            </w:tcBorders>
          </w:tcPr>
          <w:p>
            <w:pPr>
              <w:pStyle w:val="TableParagraph"/>
              <w:spacing w:before="43"/>
              <w:ind w:right="211"/>
              <w:jc w:val="right"/>
              <w:rPr>
                <w:rFonts w:ascii="Arial"/>
                <w:sz w:val="10"/>
              </w:rPr>
            </w:pPr>
            <w:r>
              <w:rPr>
                <w:rFonts w:ascii="Arial"/>
                <w:color w:val="44536A"/>
                <w:w w:val="105"/>
                <w:sz w:val="10"/>
              </w:rPr>
              <w:t>919.7</w:t>
            </w:r>
          </w:p>
        </w:tc>
        <w:tc>
          <w:tcPr>
            <w:tcW w:w="656" w:type="dxa"/>
            <w:tcBorders>
              <w:left w:val="single" w:sz="4" w:space="0" w:color="000000"/>
              <w:right w:val="single" w:sz="4" w:space="0" w:color="000000"/>
            </w:tcBorders>
          </w:tcPr>
          <w:p>
            <w:pPr>
              <w:pStyle w:val="TableParagraph"/>
              <w:spacing w:before="43"/>
              <w:ind w:left="191"/>
              <w:rPr>
                <w:rFonts w:ascii="Arial"/>
                <w:sz w:val="10"/>
              </w:rPr>
            </w:pPr>
            <w:r>
              <w:rPr>
                <w:rFonts w:ascii="Arial"/>
                <w:color w:val="44536A"/>
                <w:w w:val="105"/>
                <w:sz w:val="10"/>
              </w:rPr>
              <w:t>960.8</w:t>
            </w:r>
          </w:p>
        </w:tc>
        <w:tc>
          <w:tcPr>
            <w:tcW w:w="656" w:type="dxa"/>
            <w:tcBorders>
              <w:left w:val="single" w:sz="4" w:space="0" w:color="000000"/>
              <w:right w:val="single" w:sz="4" w:space="0" w:color="000000"/>
            </w:tcBorders>
          </w:tcPr>
          <w:p>
            <w:pPr>
              <w:pStyle w:val="TableParagraph"/>
              <w:spacing w:before="43"/>
              <w:ind w:left="152"/>
              <w:rPr>
                <w:rFonts w:ascii="Arial"/>
                <w:sz w:val="10"/>
              </w:rPr>
            </w:pPr>
            <w:r>
              <w:rPr>
                <w:rFonts w:ascii="Arial"/>
                <w:color w:val="44536A"/>
                <w:w w:val="105"/>
                <w:sz w:val="10"/>
              </w:rPr>
              <w:t>1,005.7</w:t>
            </w:r>
          </w:p>
        </w:tc>
        <w:tc>
          <w:tcPr>
            <w:tcW w:w="656" w:type="dxa"/>
            <w:tcBorders>
              <w:left w:val="single" w:sz="4" w:space="0" w:color="000000"/>
              <w:right w:val="single" w:sz="4" w:space="0" w:color="000000"/>
            </w:tcBorders>
          </w:tcPr>
          <w:p>
            <w:pPr>
              <w:pStyle w:val="TableParagraph"/>
              <w:spacing w:before="43"/>
              <w:ind w:left="55" w:right="47"/>
              <w:jc w:val="center"/>
              <w:rPr>
                <w:rFonts w:ascii="Arial"/>
                <w:sz w:val="10"/>
              </w:rPr>
            </w:pPr>
            <w:r>
              <w:rPr>
                <w:rFonts w:ascii="Arial"/>
                <w:color w:val="44536A"/>
                <w:w w:val="105"/>
                <w:sz w:val="10"/>
              </w:rPr>
              <w:t>1,052.9</w:t>
            </w:r>
          </w:p>
        </w:tc>
        <w:tc>
          <w:tcPr>
            <w:tcW w:w="656" w:type="dxa"/>
            <w:tcBorders>
              <w:left w:val="single" w:sz="4" w:space="0" w:color="000000"/>
              <w:right w:val="single" w:sz="4" w:space="0" w:color="000000"/>
            </w:tcBorders>
          </w:tcPr>
          <w:p>
            <w:pPr>
              <w:pStyle w:val="TableParagraph"/>
              <w:spacing w:before="43"/>
              <w:ind w:right="142"/>
              <w:jc w:val="right"/>
              <w:rPr>
                <w:rFonts w:ascii="Arial"/>
                <w:sz w:val="10"/>
              </w:rPr>
            </w:pPr>
            <w:r>
              <w:rPr>
                <w:rFonts w:ascii="Arial"/>
                <w:color w:val="44536A"/>
                <w:w w:val="105"/>
                <w:sz w:val="10"/>
              </w:rPr>
              <w:t>1,103.7</w:t>
            </w:r>
          </w:p>
        </w:tc>
        <w:tc>
          <w:tcPr>
            <w:tcW w:w="659" w:type="dxa"/>
            <w:tcBorders>
              <w:left w:val="single" w:sz="4" w:space="0" w:color="000000"/>
            </w:tcBorders>
          </w:tcPr>
          <w:p>
            <w:pPr>
              <w:pStyle w:val="TableParagraph"/>
              <w:spacing w:before="43"/>
              <w:ind w:left="57" w:right="55"/>
              <w:jc w:val="center"/>
              <w:rPr>
                <w:rFonts w:ascii="Arial"/>
                <w:sz w:val="10"/>
              </w:rPr>
            </w:pPr>
            <w:r>
              <w:rPr>
                <w:rFonts w:ascii="Arial"/>
                <w:color w:val="44536A"/>
                <w:w w:val="105"/>
                <w:sz w:val="10"/>
              </w:rPr>
              <w:t>1,157.2</w:t>
            </w:r>
          </w:p>
        </w:tc>
      </w:tr>
      <w:tr>
        <w:trPr>
          <w:trHeight w:val="199" w:hRule="atLeast"/>
        </w:trPr>
        <w:tc>
          <w:tcPr>
            <w:tcW w:w="2560" w:type="dxa"/>
            <w:vMerge/>
            <w:tcBorders>
              <w:top w:val="nil"/>
              <w:right w:val="single" w:sz="4" w:space="0" w:color="000000"/>
            </w:tcBorders>
          </w:tcPr>
          <w:p>
            <w:pPr>
              <w:rPr>
                <w:sz w:val="2"/>
                <w:szCs w:val="2"/>
              </w:rPr>
            </w:pPr>
          </w:p>
        </w:tc>
        <w:tc>
          <w:tcPr>
            <w:tcW w:w="768" w:type="dxa"/>
            <w:tcBorders>
              <w:left w:val="single" w:sz="4" w:space="0" w:color="000000"/>
              <w:right w:val="single" w:sz="4" w:space="0" w:color="000000"/>
            </w:tcBorders>
          </w:tcPr>
          <w:p>
            <w:pPr>
              <w:pStyle w:val="TableParagraph"/>
              <w:spacing w:before="43"/>
              <w:ind w:left="137" w:right="137"/>
              <w:jc w:val="center"/>
              <w:rPr>
                <w:rFonts w:ascii="Arial"/>
                <w:sz w:val="10"/>
              </w:rPr>
            </w:pPr>
            <w:r>
              <w:rPr>
                <w:rFonts w:ascii="Arial"/>
                <w:color w:val="44536A"/>
                <w:w w:val="105"/>
                <w:sz w:val="10"/>
              </w:rPr>
              <w:t>998.8</w:t>
            </w:r>
          </w:p>
        </w:tc>
        <w:tc>
          <w:tcPr>
            <w:tcW w:w="722" w:type="dxa"/>
            <w:tcBorders>
              <w:left w:val="single" w:sz="4" w:space="0" w:color="000000"/>
              <w:right w:val="single" w:sz="4" w:space="0" w:color="000000"/>
            </w:tcBorders>
          </w:tcPr>
          <w:p>
            <w:pPr>
              <w:pStyle w:val="TableParagraph"/>
              <w:spacing w:before="43"/>
              <w:ind w:left="112" w:right="115"/>
              <w:jc w:val="center"/>
              <w:rPr>
                <w:rFonts w:ascii="Arial"/>
                <w:sz w:val="10"/>
              </w:rPr>
            </w:pPr>
            <w:r>
              <w:rPr>
                <w:rFonts w:ascii="Arial"/>
                <w:color w:val="44536A"/>
                <w:w w:val="105"/>
                <w:sz w:val="10"/>
              </w:rPr>
              <w:t>835.8</w:t>
            </w:r>
          </w:p>
        </w:tc>
        <w:tc>
          <w:tcPr>
            <w:tcW w:w="656" w:type="dxa"/>
            <w:tcBorders>
              <w:left w:val="single" w:sz="4" w:space="0" w:color="000000"/>
              <w:right w:val="single" w:sz="4" w:space="0" w:color="000000"/>
            </w:tcBorders>
          </w:tcPr>
          <w:p>
            <w:pPr>
              <w:pStyle w:val="TableParagraph"/>
              <w:spacing w:before="43"/>
              <w:ind w:right="146"/>
              <w:jc w:val="right"/>
              <w:rPr>
                <w:rFonts w:ascii="Arial"/>
                <w:sz w:val="10"/>
              </w:rPr>
            </w:pPr>
            <w:r>
              <w:rPr>
                <w:rFonts w:ascii="Arial"/>
                <w:color w:val="44536A"/>
                <w:w w:val="105"/>
                <w:sz w:val="10"/>
              </w:rPr>
              <w:t>1,238.5</w:t>
            </w:r>
          </w:p>
        </w:tc>
        <w:tc>
          <w:tcPr>
            <w:tcW w:w="702" w:type="dxa"/>
            <w:tcBorders>
              <w:left w:val="single" w:sz="4" w:space="0" w:color="000000"/>
              <w:right w:val="single" w:sz="4" w:space="0" w:color="000000"/>
            </w:tcBorders>
          </w:tcPr>
          <w:p>
            <w:pPr>
              <w:pStyle w:val="TableParagraph"/>
              <w:spacing w:before="43"/>
              <w:ind w:right="172"/>
              <w:jc w:val="right"/>
              <w:rPr>
                <w:rFonts w:ascii="Arial"/>
                <w:sz w:val="10"/>
              </w:rPr>
            </w:pPr>
            <w:r>
              <w:rPr>
                <w:rFonts w:ascii="Arial"/>
                <w:color w:val="44536A"/>
                <w:w w:val="105"/>
                <w:sz w:val="10"/>
              </w:rPr>
              <w:t>1,367.0</w:t>
            </w:r>
          </w:p>
        </w:tc>
        <w:tc>
          <w:tcPr>
            <w:tcW w:w="656" w:type="dxa"/>
            <w:tcBorders>
              <w:left w:val="single" w:sz="4" w:space="0" w:color="000000"/>
              <w:right w:val="single" w:sz="4" w:space="0" w:color="000000"/>
            </w:tcBorders>
          </w:tcPr>
          <w:p>
            <w:pPr>
              <w:pStyle w:val="TableParagraph"/>
              <w:spacing w:before="43"/>
              <w:ind w:left="152"/>
              <w:rPr>
                <w:rFonts w:ascii="Arial"/>
                <w:sz w:val="10"/>
              </w:rPr>
            </w:pPr>
            <w:r>
              <w:rPr>
                <w:rFonts w:ascii="Arial"/>
                <w:color w:val="44536A"/>
                <w:w w:val="105"/>
                <w:sz w:val="10"/>
              </w:rPr>
              <w:t>1,497.1</w:t>
            </w:r>
          </w:p>
        </w:tc>
        <w:tc>
          <w:tcPr>
            <w:tcW w:w="656" w:type="dxa"/>
            <w:tcBorders>
              <w:left w:val="single" w:sz="4" w:space="0" w:color="000000"/>
              <w:right w:val="single" w:sz="4" w:space="0" w:color="000000"/>
            </w:tcBorders>
          </w:tcPr>
          <w:p>
            <w:pPr>
              <w:pStyle w:val="TableParagraph"/>
              <w:spacing w:before="43"/>
              <w:ind w:left="152"/>
              <w:rPr>
                <w:rFonts w:ascii="Arial"/>
                <w:sz w:val="10"/>
              </w:rPr>
            </w:pPr>
            <w:r>
              <w:rPr>
                <w:rFonts w:ascii="Arial"/>
                <w:color w:val="44536A"/>
                <w:w w:val="105"/>
                <w:sz w:val="10"/>
              </w:rPr>
              <w:t>1,632.5</w:t>
            </w:r>
          </w:p>
        </w:tc>
        <w:tc>
          <w:tcPr>
            <w:tcW w:w="656" w:type="dxa"/>
            <w:tcBorders>
              <w:left w:val="single" w:sz="4" w:space="0" w:color="000000"/>
              <w:right w:val="single" w:sz="4" w:space="0" w:color="000000"/>
            </w:tcBorders>
          </w:tcPr>
          <w:p>
            <w:pPr>
              <w:pStyle w:val="TableParagraph"/>
              <w:spacing w:before="43"/>
              <w:ind w:left="55" w:right="47"/>
              <w:jc w:val="center"/>
              <w:rPr>
                <w:rFonts w:ascii="Arial"/>
                <w:sz w:val="10"/>
              </w:rPr>
            </w:pPr>
            <w:r>
              <w:rPr>
                <w:rFonts w:ascii="Arial"/>
                <w:color w:val="44536A"/>
                <w:w w:val="105"/>
                <w:sz w:val="10"/>
              </w:rPr>
              <w:t>1,771.8</w:t>
            </w:r>
          </w:p>
        </w:tc>
        <w:tc>
          <w:tcPr>
            <w:tcW w:w="656" w:type="dxa"/>
            <w:tcBorders>
              <w:left w:val="single" w:sz="4" w:space="0" w:color="000000"/>
              <w:right w:val="single" w:sz="4" w:space="0" w:color="000000"/>
            </w:tcBorders>
          </w:tcPr>
          <w:p>
            <w:pPr>
              <w:pStyle w:val="TableParagraph"/>
              <w:spacing w:before="43"/>
              <w:ind w:right="142"/>
              <w:jc w:val="right"/>
              <w:rPr>
                <w:rFonts w:ascii="Arial"/>
                <w:sz w:val="10"/>
              </w:rPr>
            </w:pPr>
            <w:r>
              <w:rPr>
                <w:rFonts w:ascii="Arial"/>
                <w:color w:val="44536A"/>
                <w:w w:val="105"/>
                <w:sz w:val="10"/>
              </w:rPr>
              <w:t>1,930.9</w:t>
            </w:r>
          </w:p>
        </w:tc>
        <w:tc>
          <w:tcPr>
            <w:tcW w:w="659" w:type="dxa"/>
            <w:tcBorders>
              <w:left w:val="single" w:sz="4" w:space="0" w:color="000000"/>
            </w:tcBorders>
          </w:tcPr>
          <w:p>
            <w:pPr>
              <w:pStyle w:val="TableParagraph"/>
              <w:spacing w:before="43"/>
              <w:ind w:left="57" w:right="55"/>
              <w:jc w:val="center"/>
              <w:rPr>
                <w:rFonts w:ascii="Arial"/>
                <w:sz w:val="10"/>
              </w:rPr>
            </w:pPr>
            <w:r>
              <w:rPr>
                <w:rFonts w:ascii="Arial"/>
                <w:color w:val="44536A"/>
                <w:w w:val="105"/>
                <w:sz w:val="10"/>
              </w:rPr>
              <w:t>2,104.8</w:t>
            </w:r>
          </w:p>
        </w:tc>
      </w:tr>
      <w:tr>
        <w:trPr>
          <w:trHeight w:val="196" w:hRule="atLeast"/>
        </w:trPr>
        <w:tc>
          <w:tcPr>
            <w:tcW w:w="2560" w:type="dxa"/>
            <w:vMerge/>
            <w:tcBorders>
              <w:top w:val="nil"/>
              <w:right w:val="single" w:sz="4" w:space="0" w:color="000000"/>
            </w:tcBorders>
          </w:tcPr>
          <w:p>
            <w:pPr>
              <w:rPr>
                <w:sz w:val="2"/>
                <w:szCs w:val="2"/>
              </w:rPr>
            </w:pPr>
          </w:p>
        </w:tc>
        <w:tc>
          <w:tcPr>
            <w:tcW w:w="768" w:type="dxa"/>
            <w:tcBorders>
              <w:left w:val="single" w:sz="4" w:space="0" w:color="000000"/>
              <w:right w:val="single" w:sz="4" w:space="0" w:color="000000"/>
            </w:tcBorders>
          </w:tcPr>
          <w:p>
            <w:pPr>
              <w:pStyle w:val="TableParagraph"/>
              <w:spacing w:before="43"/>
              <w:ind w:left="137" w:right="137"/>
              <w:jc w:val="center"/>
              <w:rPr>
                <w:rFonts w:ascii="Arial"/>
                <w:sz w:val="10"/>
              </w:rPr>
            </w:pPr>
            <w:r>
              <w:rPr>
                <w:rFonts w:ascii="Arial"/>
                <w:color w:val="44536A"/>
                <w:w w:val="105"/>
                <w:sz w:val="10"/>
              </w:rPr>
              <w:t>7.1</w:t>
            </w:r>
          </w:p>
        </w:tc>
        <w:tc>
          <w:tcPr>
            <w:tcW w:w="722" w:type="dxa"/>
            <w:tcBorders>
              <w:left w:val="single" w:sz="4" w:space="0" w:color="000000"/>
              <w:right w:val="single" w:sz="4" w:space="0" w:color="000000"/>
            </w:tcBorders>
          </w:tcPr>
          <w:p>
            <w:pPr>
              <w:pStyle w:val="TableParagraph"/>
              <w:spacing w:before="43"/>
              <w:ind w:left="112" w:right="115"/>
              <w:jc w:val="center"/>
              <w:rPr>
                <w:rFonts w:ascii="Arial"/>
                <w:sz w:val="10"/>
              </w:rPr>
            </w:pPr>
            <w:r>
              <w:rPr>
                <w:rFonts w:ascii="Arial"/>
                <w:color w:val="44536A"/>
                <w:w w:val="105"/>
                <w:sz w:val="10"/>
              </w:rPr>
              <w:t>7.5</w:t>
            </w:r>
          </w:p>
        </w:tc>
        <w:tc>
          <w:tcPr>
            <w:tcW w:w="656" w:type="dxa"/>
            <w:tcBorders>
              <w:left w:val="single" w:sz="4" w:space="0" w:color="000000"/>
              <w:right w:val="single" w:sz="4" w:space="0" w:color="000000"/>
            </w:tcBorders>
          </w:tcPr>
          <w:p>
            <w:pPr>
              <w:pStyle w:val="TableParagraph"/>
              <w:spacing w:before="43"/>
              <w:ind w:left="55" w:right="57"/>
              <w:jc w:val="center"/>
              <w:rPr>
                <w:rFonts w:ascii="Arial"/>
                <w:sz w:val="10"/>
              </w:rPr>
            </w:pPr>
            <w:r>
              <w:rPr>
                <w:rFonts w:ascii="Arial"/>
                <w:color w:val="44536A"/>
                <w:w w:val="105"/>
                <w:sz w:val="10"/>
              </w:rPr>
              <w:t>8.4</w:t>
            </w:r>
          </w:p>
        </w:tc>
        <w:tc>
          <w:tcPr>
            <w:tcW w:w="702" w:type="dxa"/>
            <w:tcBorders>
              <w:left w:val="single" w:sz="4" w:space="0" w:color="000000"/>
              <w:right w:val="single" w:sz="4" w:space="0" w:color="000000"/>
            </w:tcBorders>
          </w:tcPr>
          <w:p>
            <w:pPr>
              <w:pStyle w:val="TableParagraph"/>
              <w:spacing w:before="43"/>
              <w:ind w:left="132" w:right="129"/>
              <w:jc w:val="center"/>
              <w:rPr>
                <w:rFonts w:ascii="Arial"/>
                <w:sz w:val="10"/>
              </w:rPr>
            </w:pPr>
            <w:r>
              <w:rPr>
                <w:rFonts w:ascii="Arial"/>
                <w:color w:val="44536A"/>
                <w:w w:val="105"/>
                <w:sz w:val="10"/>
              </w:rPr>
              <w:t>8.9</w:t>
            </w:r>
          </w:p>
        </w:tc>
        <w:tc>
          <w:tcPr>
            <w:tcW w:w="656" w:type="dxa"/>
            <w:tcBorders>
              <w:left w:val="single" w:sz="4" w:space="0" w:color="000000"/>
              <w:right w:val="single" w:sz="4" w:space="0" w:color="000000"/>
            </w:tcBorders>
          </w:tcPr>
          <w:p>
            <w:pPr>
              <w:pStyle w:val="TableParagraph"/>
              <w:spacing w:before="43"/>
              <w:ind w:left="55" w:right="55"/>
              <w:jc w:val="center"/>
              <w:rPr>
                <w:rFonts w:ascii="Arial"/>
                <w:sz w:val="10"/>
              </w:rPr>
            </w:pPr>
            <w:r>
              <w:rPr>
                <w:rFonts w:ascii="Arial"/>
                <w:color w:val="44536A"/>
                <w:w w:val="105"/>
                <w:sz w:val="10"/>
              </w:rPr>
              <w:t>9.3</w:t>
            </w:r>
          </w:p>
        </w:tc>
        <w:tc>
          <w:tcPr>
            <w:tcW w:w="656" w:type="dxa"/>
            <w:tcBorders>
              <w:left w:val="single" w:sz="4" w:space="0" w:color="000000"/>
              <w:right w:val="single" w:sz="4" w:space="0" w:color="000000"/>
            </w:tcBorders>
          </w:tcPr>
          <w:p>
            <w:pPr>
              <w:pStyle w:val="TableParagraph"/>
              <w:spacing w:before="43"/>
              <w:ind w:left="55" w:right="55"/>
              <w:jc w:val="center"/>
              <w:rPr>
                <w:rFonts w:ascii="Arial"/>
                <w:sz w:val="10"/>
              </w:rPr>
            </w:pPr>
            <w:r>
              <w:rPr>
                <w:rFonts w:ascii="Arial"/>
                <w:color w:val="44536A"/>
                <w:w w:val="105"/>
                <w:sz w:val="10"/>
              </w:rPr>
              <w:t>9.7</w:t>
            </w:r>
          </w:p>
        </w:tc>
        <w:tc>
          <w:tcPr>
            <w:tcW w:w="656" w:type="dxa"/>
            <w:tcBorders>
              <w:left w:val="single" w:sz="4" w:space="0" w:color="000000"/>
              <w:right w:val="single" w:sz="4" w:space="0" w:color="000000"/>
            </w:tcBorders>
          </w:tcPr>
          <w:p>
            <w:pPr>
              <w:pStyle w:val="TableParagraph"/>
              <w:spacing w:before="43"/>
              <w:ind w:left="55" w:right="47"/>
              <w:jc w:val="center"/>
              <w:rPr>
                <w:rFonts w:ascii="Arial"/>
                <w:sz w:val="10"/>
              </w:rPr>
            </w:pPr>
            <w:r>
              <w:rPr>
                <w:rFonts w:ascii="Arial"/>
                <w:color w:val="44536A"/>
                <w:w w:val="105"/>
                <w:sz w:val="10"/>
              </w:rPr>
              <w:t>10.2</w:t>
            </w:r>
          </w:p>
        </w:tc>
        <w:tc>
          <w:tcPr>
            <w:tcW w:w="656" w:type="dxa"/>
            <w:tcBorders>
              <w:left w:val="single" w:sz="4" w:space="0" w:color="000000"/>
              <w:right w:val="single" w:sz="4" w:space="0" w:color="000000"/>
            </w:tcBorders>
          </w:tcPr>
          <w:p>
            <w:pPr>
              <w:pStyle w:val="TableParagraph"/>
              <w:spacing w:before="43"/>
              <w:ind w:left="55" w:right="46"/>
              <w:jc w:val="center"/>
              <w:rPr>
                <w:rFonts w:ascii="Arial"/>
                <w:sz w:val="10"/>
              </w:rPr>
            </w:pPr>
            <w:r>
              <w:rPr>
                <w:rFonts w:ascii="Arial"/>
                <w:color w:val="44536A"/>
                <w:w w:val="105"/>
                <w:sz w:val="10"/>
              </w:rPr>
              <w:t>10.7</w:t>
            </w:r>
          </w:p>
        </w:tc>
        <w:tc>
          <w:tcPr>
            <w:tcW w:w="659" w:type="dxa"/>
            <w:tcBorders>
              <w:left w:val="single" w:sz="4" w:space="0" w:color="000000"/>
            </w:tcBorders>
          </w:tcPr>
          <w:p>
            <w:pPr>
              <w:pStyle w:val="TableParagraph"/>
              <w:spacing w:before="43"/>
              <w:ind w:left="57" w:right="54"/>
              <w:jc w:val="center"/>
              <w:rPr>
                <w:rFonts w:ascii="Arial"/>
                <w:sz w:val="10"/>
              </w:rPr>
            </w:pPr>
            <w:r>
              <w:rPr>
                <w:rFonts w:ascii="Arial"/>
                <w:color w:val="44536A"/>
                <w:w w:val="105"/>
                <w:sz w:val="10"/>
              </w:rPr>
              <w:t>11.2</w:t>
            </w:r>
          </w:p>
        </w:tc>
      </w:tr>
      <w:tr>
        <w:trPr>
          <w:trHeight w:val="193" w:hRule="atLeast"/>
        </w:trPr>
        <w:tc>
          <w:tcPr>
            <w:tcW w:w="2560" w:type="dxa"/>
            <w:vMerge/>
            <w:tcBorders>
              <w:top w:val="nil"/>
              <w:right w:val="single" w:sz="4" w:space="0" w:color="000000"/>
            </w:tcBorders>
          </w:tcPr>
          <w:p>
            <w:pPr>
              <w:rPr>
                <w:sz w:val="2"/>
                <w:szCs w:val="2"/>
              </w:rPr>
            </w:pPr>
          </w:p>
        </w:tc>
        <w:tc>
          <w:tcPr>
            <w:tcW w:w="768" w:type="dxa"/>
            <w:tcBorders>
              <w:left w:val="single" w:sz="4" w:space="0" w:color="000000"/>
              <w:right w:val="single" w:sz="4" w:space="0" w:color="000000"/>
            </w:tcBorders>
          </w:tcPr>
          <w:p>
            <w:pPr>
              <w:pStyle w:val="TableParagraph"/>
              <w:rPr>
                <w:sz w:val="12"/>
              </w:rPr>
            </w:pPr>
          </w:p>
        </w:tc>
        <w:tc>
          <w:tcPr>
            <w:tcW w:w="722" w:type="dxa"/>
            <w:tcBorders>
              <w:left w:val="single" w:sz="4" w:space="0" w:color="000000"/>
              <w:right w:val="single" w:sz="4" w:space="0" w:color="000000"/>
            </w:tcBorders>
          </w:tcPr>
          <w:p>
            <w:pPr>
              <w:pStyle w:val="TableParagraph"/>
              <w:rPr>
                <w:sz w:val="12"/>
              </w:rPr>
            </w:pPr>
          </w:p>
        </w:tc>
        <w:tc>
          <w:tcPr>
            <w:tcW w:w="656" w:type="dxa"/>
            <w:tcBorders>
              <w:left w:val="single" w:sz="4" w:space="0" w:color="000000"/>
              <w:right w:val="single" w:sz="4" w:space="0" w:color="000000"/>
            </w:tcBorders>
          </w:tcPr>
          <w:p>
            <w:pPr>
              <w:pStyle w:val="TableParagraph"/>
              <w:spacing w:before="39"/>
              <w:ind w:left="55" w:right="57"/>
              <w:jc w:val="center"/>
              <w:rPr>
                <w:rFonts w:ascii="Arial"/>
                <w:b/>
                <w:sz w:val="10"/>
              </w:rPr>
            </w:pPr>
            <w:r>
              <w:rPr>
                <w:rFonts w:ascii="Arial"/>
                <w:b/>
                <w:color w:val="FF0000"/>
                <w:w w:val="105"/>
                <w:sz w:val="10"/>
              </w:rPr>
              <w:t>0.0</w:t>
            </w:r>
          </w:p>
        </w:tc>
        <w:tc>
          <w:tcPr>
            <w:tcW w:w="702" w:type="dxa"/>
            <w:tcBorders>
              <w:left w:val="single" w:sz="4" w:space="0" w:color="000000"/>
              <w:right w:val="single" w:sz="4" w:space="0" w:color="000000"/>
            </w:tcBorders>
          </w:tcPr>
          <w:p>
            <w:pPr>
              <w:pStyle w:val="TableParagraph"/>
              <w:spacing w:before="39"/>
              <w:ind w:right="172"/>
              <w:jc w:val="right"/>
              <w:rPr>
                <w:rFonts w:ascii="Arial"/>
                <w:b/>
                <w:sz w:val="10"/>
              </w:rPr>
            </w:pPr>
            <w:r>
              <w:rPr>
                <w:rFonts w:ascii="Arial"/>
                <w:b/>
                <w:color w:val="FF0000"/>
                <w:w w:val="105"/>
                <w:sz w:val="10"/>
              </w:rPr>
              <w:t>2,216.5</w:t>
            </w:r>
          </w:p>
        </w:tc>
        <w:tc>
          <w:tcPr>
            <w:tcW w:w="656" w:type="dxa"/>
            <w:tcBorders>
              <w:left w:val="single" w:sz="4" w:space="0" w:color="000000"/>
              <w:right w:val="single" w:sz="4" w:space="0" w:color="000000"/>
            </w:tcBorders>
          </w:tcPr>
          <w:p>
            <w:pPr>
              <w:pStyle w:val="TableParagraph"/>
              <w:spacing w:before="39"/>
              <w:ind w:left="152"/>
              <w:rPr>
                <w:rFonts w:ascii="Arial"/>
                <w:b/>
                <w:sz w:val="10"/>
              </w:rPr>
            </w:pPr>
            <w:r>
              <w:rPr>
                <w:rFonts w:ascii="Arial"/>
                <w:b/>
                <w:color w:val="FF0000"/>
                <w:w w:val="105"/>
                <w:sz w:val="10"/>
              </w:rPr>
              <w:t>1,250.0</w:t>
            </w:r>
          </w:p>
        </w:tc>
        <w:tc>
          <w:tcPr>
            <w:tcW w:w="656" w:type="dxa"/>
            <w:tcBorders>
              <w:left w:val="single" w:sz="4" w:space="0" w:color="000000"/>
              <w:right w:val="single" w:sz="4" w:space="0" w:color="000000"/>
            </w:tcBorders>
          </w:tcPr>
          <w:p>
            <w:pPr>
              <w:pStyle w:val="TableParagraph"/>
              <w:spacing w:before="39"/>
              <w:ind w:left="152"/>
              <w:rPr>
                <w:rFonts w:ascii="Arial"/>
                <w:b/>
                <w:sz w:val="10"/>
              </w:rPr>
            </w:pPr>
            <w:r>
              <w:rPr>
                <w:rFonts w:ascii="Arial"/>
                <w:b/>
                <w:color w:val="FF0000"/>
                <w:w w:val="105"/>
                <w:sz w:val="10"/>
              </w:rPr>
              <w:t>4,400.0</w:t>
            </w:r>
          </w:p>
        </w:tc>
        <w:tc>
          <w:tcPr>
            <w:tcW w:w="656" w:type="dxa"/>
            <w:tcBorders>
              <w:left w:val="single" w:sz="4" w:space="0" w:color="000000"/>
              <w:right w:val="single" w:sz="4" w:space="0" w:color="000000"/>
            </w:tcBorders>
          </w:tcPr>
          <w:p>
            <w:pPr>
              <w:pStyle w:val="TableParagraph"/>
              <w:spacing w:before="39"/>
              <w:ind w:left="55" w:right="47"/>
              <w:jc w:val="center"/>
              <w:rPr>
                <w:rFonts w:ascii="Arial"/>
                <w:b/>
                <w:sz w:val="10"/>
              </w:rPr>
            </w:pPr>
            <w:r>
              <w:rPr>
                <w:rFonts w:ascii="Arial"/>
                <w:b/>
                <w:color w:val="FF0000"/>
                <w:w w:val="105"/>
                <w:sz w:val="10"/>
              </w:rPr>
              <w:t>4,650.0</w:t>
            </w:r>
          </w:p>
        </w:tc>
        <w:tc>
          <w:tcPr>
            <w:tcW w:w="656" w:type="dxa"/>
            <w:tcBorders>
              <w:left w:val="single" w:sz="4" w:space="0" w:color="000000"/>
              <w:right w:val="single" w:sz="4" w:space="0" w:color="000000"/>
            </w:tcBorders>
          </w:tcPr>
          <w:p>
            <w:pPr>
              <w:pStyle w:val="TableParagraph"/>
              <w:spacing w:before="39"/>
              <w:ind w:right="142"/>
              <w:jc w:val="right"/>
              <w:rPr>
                <w:rFonts w:ascii="Arial"/>
                <w:b/>
                <w:sz w:val="10"/>
              </w:rPr>
            </w:pPr>
            <w:r>
              <w:rPr>
                <w:rFonts w:ascii="Arial"/>
                <w:b/>
                <w:color w:val="FF0000"/>
                <w:w w:val="105"/>
                <w:sz w:val="10"/>
              </w:rPr>
              <w:t>4,850.0</w:t>
            </w:r>
          </w:p>
        </w:tc>
        <w:tc>
          <w:tcPr>
            <w:tcW w:w="659" w:type="dxa"/>
            <w:tcBorders>
              <w:left w:val="single" w:sz="4" w:space="0" w:color="000000"/>
            </w:tcBorders>
          </w:tcPr>
          <w:p>
            <w:pPr>
              <w:pStyle w:val="TableParagraph"/>
              <w:spacing w:before="39"/>
              <w:ind w:left="57" w:right="55"/>
              <w:jc w:val="center"/>
              <w:rPr>
                <w:rFonts w:ascii="Arial"/>
                <w:b/>
                <w:sz w:val="10"/>
              </w:rPr>
            </w:pPr>
            <w:r>
              <w:rPr>
                <w:rFonts w:ascii="Arial"/>
                <w:b/>
                <w:color w:val="FF0000"/>
                <w:w w:val="105"/>
                <w:sz w:val="10"/>
              </w:rPr>
              <w:t>5,100.0</w:t>
            </w:r>
          </w:p>
        </w:tc>
      </w:tr>
      <w:tr>
        <w:trPr>
          <w:trHeight w:val="206" w:hRule="atLeast"/>
        </w:trPr>
        <w:tc>
          <w:tcPr>
            <w:tcW w:w="2560" w:type="dxa"/>
            <w:vMerge/>
            <w:tcBorders>
              <w:top w:val="nil"/>
              <w:right w:val="single" w:sz="4" w:space="0" w:color="000000"/>
            </w:tcBorders>
          </w:tcPr>
          <w:p>
            <w:pPr>
              <w:rPr>
                <w:sz w:val="2"/>
                <w:szCs w:val="2"/>
              </w:rPr>
            </w:pPr>
          </w:p>
        </w:tc>
        <w:tc>
          <w:tcPr>
            <w:tcW w:w="768" w:type="dxa"/>
            <w:tcBorders>
              <w:left w:val="single" w:sz="4" w:space="0" w:color="000000"/>
              <w:right w:val="single" w:sz="4" w:space="0" w:color="000000"/>
            </w:tcBorders>
          </w:tcPr>
          <w:p>
            <w:pPr>
              <w:pStyle w:val="TableParagraph"/>
              <w:spacing w:before="52"/>
              <w:ind w:left="127" w:right="151"/>
              <w:jc w:val="center"/>
              <w:rPr>
                <w:rFonts w:ascii="Arial"/>
                <w:b/>
                <w:i/>
                <w:sz w:val="10"/>
              </w:rPr>
            </w:pPr>
            <w:r>
              <w:rPr>
                <w:rFonts w:ascii="Arial"/>
                <w:b/>
                <w:i/>
                <w:color w:val="FFFFFF"/>
                <w:w w:val="105"/>
                <w:sz w:val="10"/>
              </w:rPr>
              <w:t>516.3</w:t>
            </w:r>
          </w:p>
        </w:tc>
        <w:tc>
          <w:tcPr>
            <w:tcW w:w="722" w:type="dxa"/>
            <w:tcBorders>
              <w:left w:val="single" w:sz="4" w:space="0" w:color="000000"/>
              <w:right w:val="single" w:sz="4" w:space="0" w:color="000000"/>
            </w:tcBorders>
          </w:tcPr>
          <w:p>
            <w:pPr>
              <w:pStyle w:val="TableParagraph"/>
              <w:spacing w:before="52"/>
              <w:ind w:left="112" w:right="129"/>
              <w:jc w:val="center"/>
              <w:rPr>
                <w:rFonts w:ascii="Arial"/>
                <w:b/>
                <w:i/>
                <w:sz w:val="10"/>
              </w:rPr>
            </w:pPr>
            <w:r>
              <w:rPr>
                <w:rFonts w:ascii="Arial"/>
                <w:b/>
                <w:i/>
                <w:color w:val="FFFFFF"/>
                <w:w w:val="105"/>
                <w:sz w:val="10"/>
              </w:rPr>
              <w:t>235.1</w:t>
            </w:r>
          </w:p>
        </w:tc>
        <w:tc>
          <w:tcPr>
            <w:tcW w:w="656" w:type="dxa"/>
            <w:tcBorders>
              <w:left w:val="single" w:sz="4" w:space="0" w:color="000000"/>
              <w:right w:val="single" w:sz="4" w:space="0" w:color="000000"/>
            </w:tcBorders>
          </w:tcPr>
          <w:p>
            <w:pPr>
              <w:pStyle w:val="TableParagraph"/>
              <w:spacing w:before="52"/>
              <w:ind w:right="198"/>
              <w:jc w:val="right"/>
              <w:rPr>
                <w:rFonts w:ascii="Arial"/>
                <w:b/>
                <w:i/>
                <w:sz w:val="10"/>
              </w:rPr>
            </w:pPr>
            <w:r>
              <w:rPr>
                <w:rFonts w:ascii="Arial"/>
                <w:b/>
                <w:i/>
                <w:color w:val="FFFFFF"/>
                <w:w w:val="105"/>
                <w:sz w:val="10"/>
              </w:rPr>
              <w:t>392.0</w:t>
            </w:r>
          </w:p>
        </w:tc>
        <w:tc>
          <w:tcPr>
            <w:tcW w:w="702" w:type="dxa"/>
            <w:tcBorders>
              <w:left w:val="single" w:sz="4" w:space="0" w:color="000000"/>
              <w:right w:val="single" w:sz="4" w:space="0" w:color="000000"/>
            </w:tcBorders>
            <w:shd w:val="clear" w:color="auto" w:fill="2F5395"/>
          </w:tcPr>
          <w:p>
            <w:pPr>
              <w:pStyle w:val="TableParagraph"/>
              <w:spacing w:before="52"/>
              <w:ind w:left="203"/>
              <w:rPr>
                <w:rFonts w:ascii="Arial"/>
                <w:b/>
                <w:i/>
                <w:sz w:val="10"/>
              </w:rPr>
            </w:pPr>
            <w:r>
              <w:rPr>
                <w:rFonts w:ascii="Arial"/>
                <w:b/>
                <w:i/>
                <w:color w:val="FFFFFF"/>
                <w:w w:val="105"/>
                <w:sz w:val="10"/>
              </w:rPr>
              <w:t>463.7</w:t>
            </w:r>
          </w:p>
        </w:tc>
        <w:tc>
          <w:tcPr>
            <w:tcW w:w="656" w:type="dxa"/>
            <w:tcBorders>
              <w:left w:val="single" w:sz="4" w:space="0" w:color="000000"/>
              <w:right w:val="single" w:sz="4" w:space="0" w:color="000000"/>
            </w:tcBorders>
            <w:shd w:val="clear" w:color="auto" w:fill="2F5395"/>
          </w:tcPr>
          <w:p>
            <w:pPr>
              <w:pStyle w:val="TableParagraph"/>
              <w:spacing w:before="52"/>
              <w:ind w:left="184"/>
              <w:rPr>
                <w:rFonts w:ascii="Arial"/>
                <w:b/>
                <w:i/>
                <w:sz w:val="10"/>
              </w:rPr>
            </w:pPr>
            <w:r>
              <w:rPr>
                <w:rFonts w:ascii="Arial"/>
                <w:b/>
                <w:i/>
                <w:color w:val="FFFFFF"/>
                <w:w w:val="105"/>
                <w:sz w:val="10"/>
              </w:rPr>
              <w:t>491.9</w:t>
            </w:r>
          </w:p>
        </w:tc>
        <w:tc>
          <w:tcPr>
            <w:tcW w:w="656" w:type="dxa"/>
            <w:tcBorders>
              <w:left w:val="single" w:sz="4" w:space="0" w:color="000000"/>
              <w:right w:val="single" w:sz="4" w:space="0" w:color="000000"/>
            </w:tcBorders>
            <w:shd w:val="clear" w:color="auto" w:fill="2F5395"/>
          </w:tcPr>
          <w:p>
            <w:pPr>
              <w:pStyle w:val="TableParagraph"/>
              <w:spacing w:before="52"/>
              <w:ind w:left="185"/>
              <w:rPr>
                <w:rFonts w:ascii="Arial"/>
                <w:b/>
                <w:i/>
                <w:sz w:val="10"/>
              </w:rPr>
            </w:pPr>
            <w:r>
              <w:rPr>
                <w:rFonts w:ascii="Arial"/>
                <w:b/>
                <w:i/>
                <w:color w:val="FFFFFF"/>
                <w:w w:val="105"/>
                <w:sz w:val="10"/>
              </w:rPr>
              <w:t>569.2</w:t>
            </w:r>
          </w:p>
        </w:tc>
        <w:tc>
          <w:tcPr>
            <w:tcW w:w="656" w:type="dxa"/>
            <w:tcBorders>
              <w:left w:val="single" w:sz="4" w:space="0" w:color="000000"/>
              <w:right w:val="single" w:sz="4" w:space="0" w:color="000000"/>
            </w:tcBorders>
            <w:shd w:val="clear" w:color="auto" w:fill="2F5395"/>
          </w:tcPr>
          <w:p>
            <w:pPr>
              <w:pStyle w:val="TableParagraph"/>
              <w:spacing w:before="52"/>
              <w:ind w:left="52" w:right="61"/>
              <w:jc w:val="center"/>
              <w:rPr>
                <w:rFonts w:ascii="Arial"/>
                <w:b/>
                <w:i/>
                <w:sz w:val="10"/>
              </w:rPr>
            </w:pPr>
            <w:r>
              <w:rPr>
                <w:rFonts w:ascii="Arial"/>
                <w:b/>
                <w:i/>
                <w:color w:val="FFFFFF"/>
                <w:w w:val="105"/>
                <w:sz w:val="10"/>
              </w:rPr>
              <w:t>595.4</w:t>
            </w:r>
          </w:p>
        </w:tc>
        <w:tc>
          <w:tcPr>
            <w:tcW w:w="656" w:type="dxa"/>
            <w:tcBorders>
              <w:left w:val="single" w:sz="4" w:space="0" w:color="000000"/>
              <w:right w:val="single" w:sz="4" w:space="0" w:color="000000"/>
            </w:tcBorders>
            <w:shd w:val="clear" w:color="auto" w:fill="2F5395"/>
          </w:tcPr>
          <w:p>
            <w:pPr>
              <w:pStyle w:val="TableParagraph"/>
              <w:spacing w:before="52"/>
              <w:ind w:right="195"/>
              <w:jc w:val="right"/>
              <w:rPr>
                <w:rFonts w:ascii="Arial"/>
                <w:b/>
                <w:i/>
                <w:sz w:val="10"/>
              </w:rPr>
            </w:pPr>
            <w:r>
              <w:rPr>
                <w:rFonts w:ascii="Arial"/>
                <w:b/>
                <w:i/>
                <w:color w:val="FFFFFF"/>
                <w:w w:val="105"/>
                <w:sz w:val="10"/>
              </w:rPr>
              <w:t>623.4</w:t>
            </w:r>
          </w:p>
        </w:tc>
        <w:tc>
          <w:tcPr>
            <w:tcW w:w="659" w:type="dxa"/>
            <w:tcBorders>
              <w:left w:val="single" w:sz="4" w:space="0" w:color="000000"/>
            </w:tcBorders>
            <w:shd w:val="clear" w:color="auto" w:fill="2F5395"/>
          </w:tcPr>
          <w:p>
            <w:pPr>
              <w:pStyle w:val="TableParagraph"/>
              <w:spacing w:before="52"/>
              <w:ind w:left="53" w:right="67"/>
              <w:jc w:val="center"/>
              <w:rPr>
                <w:rFonts w:ascii="Arial"/>
                <w:b/>
                <w:i/>
                <w:sz w:val="10"/>
              </w:rPr>
            </w:pPr>
            <w:r>
              <w:rPr>
                <w:rFonts w:ascii="Arial"/>
                <w:b/>
                <w:i/>
                <w:color w:val="FFFFFF"/>
                <w:w w:val="105"/>
                <w:sz w:val="10"/>
              </w:rPr>
              <w:t>630.6</w:t>
            </w:r>
          </w:p>
        </w:tc>
      </w:tr>
      <w:tr>
        <w:trPr>
          <w:trHeight w:val="202" w:hRule="atLeast"/>
        </w:trPr>
        <w:tc>
          <w:tcPr>
            <w:tcW w:w="2560" w:type="dxa"/>
            <w:vMerge/>
            <w:tcBorders>
              <w:top w:val="nil"/>
              <w:right w:val="single" w:sz="4" w:space="0" w:color="000000"/>
            </w:tcBorders>
          </w:tcPr>
          <w:p>
            <w:pPr>
              <w:rPr>
                <w:sz w:val="2"/>
                <w:szCs w:val="2"/>
              </w:rPr>
            </w:pPr>
          </w:p>
        </w:tc>
        <w:tc>
          <w:tcPr>
            <w:tcW w:w="768" w:type="dxa"/>
            <w:tcBorders>
              <w:left w:val="single" w:sz="4" w:space="0" w:color="000000"/>
              <w:right w:val="single" w:sz="4" w:space="0" w:color="000000"/>
            </w:tcBorders>
          </w:tcPr>
          <w:p>
            <w:pPr>
              <w:pStyle w:val="TableParagraph"/>
              <w:spacing w:before="46"/>
              <w:ind w:left="137" w:right="137"/>
              <w:jc w:val="center"/>
              <w:rPr>
                <w:rFonts w:ascii="Arial"/>
                <w:sz w:val="10"/>
              </w:rPr>
            </w:pPr>
            <w:r>
              <w:rPr>
                <w:rFonts w:ascii="Arial"/>
                <w:color w:val="44536A"/>
                <w:w w:val="105"/>
                <w:sz w:val="10"/>
              </w:rPr>
              <w:t>178.2</w:t>
            </w:r>
          </w:p>
        </w:tc>
        <w:tc>
          <w:tcPr>
            <w:tcW w:w="722" w:type="dxa"/>
            <w:tcBorders>
              <w:left w:val="single" w:sz="4" w:space="0" w:color="000000"/>
              <w:right w:val="single" w:sz="4" w:space="0" w:color="000000"/>
            </w:tcBorders>
          </w:tcPr>
          <w:p>
            <w:pPr>
              <w:pStyle w:val="TableParagraph"/>
              <w:spacing w:before="46"/>
              <w:ind w:left="112" w:right="115"/>
              <w:jc w:val="center"/>
              <w:rPr>
                <w:rFonts w:ascii="Arial"/>
                <w:sz w:val="10"/>
              </w:rPr>
            </w:pPr>
            <w:r>
              <w:rPr>
                <w:rFonts w:ascii="Arial"/>
                <w:color w:val="44536A"/>
                <w:w w:val="105"/>
                <w:sz w:val="10"/>
              </w:rPr>
              <w:t>117.8</w:t>
            </w:r>
          </w:p>
        </w:tc>
        <w:tc>
          <w:tcPr>
            <w:tcW w:w="656" w:type="dxa"/>
            <w:tcBorders>
              <w:left w:val="single" w:sz="4" w:space="0" w:color="000000"/>
              <w:right w:val="single" w:sz="4" w:space="0" w:color="000000"/>
            </w:tcBorders>
          </w:tcPr>
          <w:p>
            <w:pPr>
              <w:pStyle w:val="TableParagraph"/>
              <w:spacing w:before="46"/>
              <w:ind w:right="192"/>
              <w:jc w:val="right"/>
              <w:rPr>
                <w:rFonts w:ascii="Arial"/>
                <w:sz w:val="10"/>
              </w:rPr>
            </w:pPr>
            <w:r>
              <w:rPr>
                <w:rFonts w:ascii="Arial"/>
                <w:color w:val="44536A"/>
                <w:w w:val="105"/>
                <w:sz w:val="10"/>
              </w:rPr>
              <w:t>178.3</w:t>
            </w:r>
          </w:p>
        </w:tc>
        <w:tc>
          <w:tcPr>
            <w:tcW w:w="702" w:type="dxa"/>
            <w:tcBorders>
              <w:left w:val="single" w:sz="4" w:space="0" w:color="000000"/>
              <w:right w:val="single" w:sz="4" w:space="0" w:color="000000"/>
            </w:tcBorders>
          </w:tcPr>
          <w:p>
            <w:pPr>
              <w:pStyle w:val="TableParagraph"/>
              <w:spacing w:before="46"/>
              <w:ind w:right="211"/>
              <w:jc w:val="right"/>
              <w:rPr>
                <w:rFonts w:ascii="Arial"/>
                <w:sz w:val="10"/>
              </w:rPr>
            </w:pPr>
            <w:r>
              <w:rPr>
                <w:rFonts w:ascii="Arial"/>
                <w:color w:val="44536A"/>
                <w:w w:val="105"/>
                <w:sz w:val="10"/>
              </w:rPr>
              <w:t>210.3</w:t>
            </w:r>
          </w:p>
        </w:tc>
        <w:tc>
          <w:tcPr>
            <w:tcW w:w="656" w:type="dxa"/>
            <w:tcBorders>
              <w:left w:val="single" w:sz="4" w:space="0" w:color="000000"/>
              <w:right w:val="single" w:sz="4" w:space="0" w:color="000000"/>
            </w:tcBorders>
          </w:tcPr>
          <w:p>
            <w:pPr>
              <w:pStyle w:val="TableParagraph"/>
              <w:spacing w:before="46"/>
              <w:ind w:left="191"/>
              <w:rPr>
                <w:rFonts w:ascii="Arial"/>
                <w:sz w:val="10"/>
              </w:rPr>
            </w:pPr>
            <w:r>
              <w:rPr>
                <w:rFonts w:ascii="Arial"/>
                <w:color w:val="44536A"/>
                <w:w w:val="105"/>
                <w:sz w:val="10"/>
              </w:rPr>
              <w:t>219.7</w:t>
            </w:r>
          </w:p>
        </w:tc>
        <w:tc>
          <w:tcPr>
            <w:tcW w:w="656" w:type="dxa"/>
            <w:tcBorders>
              <w:left w:val="single" w:sz="4" w:space="0" w:color="000000"/>
              <w:right w:val="single" w:sz="4" w:space="0" w:color="000000"/>
            </w:tcBorders>
          </w:tcPr>
          <w:p>
            <w:pPr>
              <w:pStyle w:val="TableParagraph"/>
              <w:spacing w:before="46"/>
              <w:ind w:left="192"/>
              <w:rPr>
                <w:rFonts w:ascii="Arial"/>
                <w:sz w:val="10"/>
              </w:rPr>
            </w:pPr>
            <w:r>
              <w:rPr>
                <w:rFonts w:ascii="Arial"/>
                <w:color w:val="44536A"/>
                <w:w w:val="105"/>
                <w:sz w:val="10"/>
              </w:rPr>
              <w:t>198.0</w:t>
            </w:r>
          </w:p>
        </w:tc>
        <w:tc>
          <w:tcPr>
            <w:tcW w:w="656" w:type="dxa"/>
            <w:tcBorders>
              <w:left w:val="single" w:sz="4" w:space="0" w:color="000000"/>
              <w:right w:val="single" w:sz="4" w:space="0" w:color="000000"/>
            </w:tcBorders>
          </w:tcPr>
          <w:p>
            <w:pPr>
              <w:pStyle w:val="TableParagraph"/>
              <w:spacing w:before="46"/>
              <w:ind w:left="55" w:right="54"/>
              <w:jc w:val="center"/>
              <w:rPr>
                <w:rFonts w:ascii="Arial"/>
                <w:sz w:val="10"/>
              </w:rPr>
            </w:pPr>
            <w:r>
              <w:rPr>
                <w:rFonts w:ascii="Arial"/>
                <w:color w:val="44536A"/>
                <w:w w:val="105"/>
                <w:sz w:val="10"/>
              </w:rPr>
              <w:t>207.1</w:t>
            </w:r>
          </w:p>
        </w:tc>
        <w:tc>
          <w:tcPr>
            <w:tcW w:w="656" w:type="dxa"/>
            <w:tcBorders>
              <w:left w:val="single" w:sz="4" w:space="0" w:color="000000"/>
              <w:right w:val="single" w:sz="4" w:space="0" w:color="000000"/>
            </w:tcBorders>
          </w:tcPr>
          <w:p>
            <w:pPr>
              <w:pStyle w:val="TableParagraph"/>
              <w:spacing w:before="46"/>
              <w:ind w:right="188"/>
              <w:jc w:val="right"/>
              <w:rPr>
                <w:rFonts w:ascii="Arial"/>
                <w:sz w:val="10"/>
              </w:rPr>
            </w:pPr>
            <w:r>
              <w:rPr>
                <w:rFonts w:ascii="Arial"/>
                <w:color w:val="44536A"/>
                <w:w w:val="105"/>
                <w:sz w:val="10"/>
              </w:rPr>
              <w:t>216.8</w:t>
            </w:r>
          </w:p>
        </w:tc>
        <w:tc>
          <w:tcPr>
            <w:tcW w:w="659" w:type="dxa"/>
            <w:tcBorders>
              <w:left w:val="single" w:sz="4" w:space="0" w:color="000000"/>
            </w:tcBorders>
          </w:tcPr>
          <w:p>
            <w:pPr>
              <w:pStyle w:val="TableParagraph"/>
              <w:spacing w:before="46"/>
              <w:ind w:left="57" w:right="58"/>
              <w:jc w:val="center"/>
              <w:rPr>
                <w:rFonts w:ascii="Arial"/>
                <w:sz w:val="10"/>
              </w:rPr>
            </w:pPr>
            <w:r>
              <w:rPr>
                <w:rFonts w:ascii="Arial"/>
                <w:color w:val="44536A"/>
                <w:w w:val="105"/>
                <w:sz w:val="10"/>
              </w:rPr>
              <w:t>219.4</w:t>
            </w:r>
          </w:p>
        </w:tc>
      </w:tr>
      <w:tr>
        <w:trPr>
          <w:trHeight w:val="190" w:hRule="atLeast"/>
        </w:trPr>
        <w:tc>
          <w:tcPr>
            <w:tcW w:w="2560" w:type="dxa"/>
            <w:vMerge/>
            <w:tcBorders>
              <w:top w:val="nil"/>
              <w:right w:val="single" w:sz="4" w:space="0" w:color="000000"/>
            </w:tcBorders>
          </w:tcPr>
          <w:p>
            <w:pPr>
              <w:rPr>
                <w:sz w:val="2"/>
                <w:szCs w:val="2"/>
              </w:rPr>
            </w:pPr>
          </w:p>
        </w:tc>
        <w:tc>
          <w:tcPr>
            <w:tcW w:w="768" w:type="dxa"/>
            <w:tcBorders>
              <w:left w:val="single" w:sz="4" w:space="0" w:color="000000"/>
              <w:right w:val="single" w:sz="4" w:space="0" w:color="000000"/>
            </w:tcBorders>
          </w:tcPr>
          <w:p>
            <w:pPr>
              <w:pStyle w:val="TableParagraph"/>
              <w:spacing w:before="43"/>
              <w:ind w:left="137" w:right="137"/>
              <w:jc w:val="center"/>
              <w:rPr>
                <w:rFonts w:ascii="Arial"/>
                <w:sz w:val="10"/>
              </w:rPr>
            </w:pPr>
            <w:r>
              <w:rPr>
                <w:rFonts w:ascii="Arial"/>
                <w:color w:val="44536A"/>
                <w:w w:val="105"/>
                <w:sz w:val="10"/>
              </w:rPr>
              <w:t>338.1</w:t>
            </w:r>
          </w:p>
        </w:tc>
        <w:tc>
          <w:tcPr>
            <w:tcW w:w="722" w:type="dxa"/>
            <w:tcBorders>
              <w:left w:val="single" w:sz="4" w:space="0" w:color="000000"/>
              <w:right w:val="single" w:sz="4" w:space="0" w:color="000000"/>
            </w:tcBorders>
          </w:tcPr>
          <w:p>
            <w:pPr>
              <w:pStyle w:val="TableParagraph"/>
              <w:spacing w:before="43"/>
              <w:ind w:left="112" w:right="115"/>
              <w:jc w:val="center"/>
              <w:rPr>
                <w:rFonts w:ascii="Arial"/>
                <w:sz w:val="10"/>
              </w:rPr>
            </w:pPr>
            <w:r>
              <w:rPr>
                <w:rFonts w:ascii="Arial"/>
                <w:color w:val="44536A"/>
                <w:w w:val="105"/>
                <w:sz w:val="10"/>
              </w:rPr>
              <w:t>117.2</w:t>
            </w:r>
          </w:p>
        </w:tc>
        <w:tc>
          <w:tcPr>
            <w:tcW w:w="656" w:type="dxa"/>
            <w:tcBorders>
              <w:left w:val="single" w:sz="4" w:space="0" w:color="000000"/>
              <w:right w:val="single" w:sz="4" w:space="0" w:color="000000"/>
            </w:tcBorders>
          </w:tcPr>
          <w:p>
            <w:pPr>
              <w:pStyle w:val="TableParagraph"/>
              <w:spacing w:before="43"/>
              <w:ind w:right="192"/>
              <w:jc w:val="right"/>
              <w:rPr>
                <w:rFonts w:ascii="Arial"/>
                <w:sz w:val="10"/>
              </w:rPr>
            </w:pPr>
            <w:r>
              <w:rPr>
                <w:rFonts w:ascii="Arial"/>
                <w:color w:val="44536A"/>
                <w:w w:val="105"/>
                <w:sz w:val="10"/>
              </w:rPr>
              <w:t>213.6</w:t>
            </w:r>
          </w:p>
        </w:tc>
        <w:tc>
          <w:tcPr>
            <w:tcW w:w="702" w:type="dxa"/>
            <w:tcBorders>
              <w:left w:val="single" w:sz="4" w:space="0" w:color="000000"/>
              <w:right w:val="single" w:sz="4" w:space="0" w:color="000000"/>
            </w:tcBorders>
          </w:tcPr>
          <w:p>
            <w:pPr>
              <w:pStyle w:val="TableParagraph"/>
              <w:spacing w:before="43"/>
              <w:ind w:right="211"/>
              <w:jc w:val="right"/>
              <w:rPr>
                <w:rFonts w:ascii="Arial"/>
                <w:sz w:val="10"/>
              </w:rPr>
            </w:pPr>
            <w:r>
              <w:rPr>
                <w:rFonts w:ascii="Arial"/>
                <w:color w:val="44536A"/>
                <w:w w:val="105"/>
                <w:sz w:val="10"/>
              </w:rPr>
              <w:t>253.5</w:t>
            </w:r>
          </w:p>
        </w:tc>
        <w:tc>
          <w:tcPr>
            <w:tcW w:w="656" w:type="dxa"/>
            <w:tcBorders>
              <w:left w:val="single" w:sz="4" w:space="0" w:color="000000"/>
              <w:right w:val="single" w:sz="4" w:space="0" w:color="000000"/>
            </w:tcBorders>
          </w:tcPr>
          <w:p>
            <w:pPr>
              <w:pStyle w:val="TableParagraph"/>
              <w:spacing w:before="43"/>
              <w:ind w:left="191"/>
              <w:rPr>
                <w:rFonts w:ascii="Arial"/>
                <w:sz w:val="10"/>
              </w:rPr>
            </w:pPr>
            <w:r>
              <w:rPr>
                <w:rFonts w:ascii="Arial"/>
                <w:color w:val="44536A"/>
                <w:w w:val="105"/>
                <w:sz w:val="10"/>
              </w:rPr>
              <w:t>272.2</w:t>
            </w:r>
          </w:p>
        </w:tc>
        <w:tc>
          <w:tcPr>
            <w:tcW w:w="656" w:type="dxa"/>
            <w:tcBorders>
              <w:left w:val="single" w:sz="4" w:space="0" w:color="000000"/>
              <w:right w:val="single" w:sz="4" w:space="0" w:color="000000"/>
            </w:tcBorders>
          </w:tcPr>
          <w:p>
            <w:pPr>
              <w:pStyle w:val="TableParagraph"/>
              <w:spacing w:before="43"/>
              <w:ind w:left="192"/>
              <w:rPr>
                <w:rFonts w:ascii="Arial"/>
                <w:sz w:val="10"/>
              </w:rPr>
            </w:pPr>
            <w:r>
              <w:rPr>
                <w:rFonts w:ascii="Arial"/>
                <w:color w:val="44536A"/>
                <w:w w:val="105"/>
                <w:sz w:val="10"/>
              </w:rPr>
              <w:t>371.2</w:t>
            </w:r>
          </w:p>
        </w:tc>
        <w:tc>
          <w:tcPr>
            <w:tcW w:w="656" w:type="dxa"/>
            <w:tcBorders>
              <w:left w:val="single" w:sz="4" w:space="0" w:color="000000"/>
              <w:right w:val="single" w:sz="4" w:space="0" w:color="000000"/>
            </w:tcBorders>
          </w:tcPr>
          <w:p>
            <w:pPr>
              <w:pStyle w:val="TableParagraph"/>
              <w:spacing w:before="43"/>
              <w:ind w:left="55" w:right="54"/>
              <w:jc w:val="center"/>
              <w:rPr>
                <w:rFonts w:ascii="Arial"/>
                <w:sz w:val="10"/>
              </w:rPr>
            </w:pPr>
            <w:r>
              <w:rPr>
                <w:rFonts w:ascii="Arial"/>
                <w:color w:val="44536A"/>
                <w:w w:val="105"/>
                <w:sz w:val="10"/>
              </w:rPr>
              <w:t>388.3</w:t>
            </w:r>
          </w:p>
        </w:tc>
        <w:tc>
          <w:tcPr>
            <w:tcW w:w="656" w:type="dxa"/>
            <w:tcBorders>
              <w:left w:val="single" w:sz="4" w:space="0" w:color="000000"/>
              <w:right w:val="single" w:sz="4" w:space="0" w:color="000000"/>
            </w:tcBorders>
          </w:tcPr>
          <w:p>
            <w:pPr>
              <w:pStyle w:val="TableParagraph"/>
              <w:spacing w:before="43"/>
              <w:ind w:right="188"/>
              <w:jc w:val="right"/>
              <w:rPr>
                <w:rFonts w:ascii="Arial"/>
                <w:sz w:val="10"/>
              </w:rPr>
            </w:pPr>
            <w:r>
              <w:rPr>
                <w:rFonts w:ascii="Arial"/>
                <w:color w:val="44536A"/>
                <w:w w:val="105"/>
                <w:sz w:val="10"/>
              </w:rPr>
              <w:t>406.5</w:t>
            </w:r>
          </w:p>
        </w:tc>
        <w:tc>
          <w:tcPr>
            <w:tcW w:w="659" w:type="dxa"/>
            <w:tcBorders>
              <w:left w:val="single" w:sz="4" w:space="0" w:color="000000"/>
            </w:tcBorders>
          </w:tcPr>
          <w:p>
            <w:pPr>
              <w:pStyle w:val="TableParagraph"/>
              <w:spacing w:before="43"/>
              <w:ind w:left="57" w:right="58"/>
              <w:jc w:val="center"/>
              <w:rPr>
                <w:rFonts w:ascii="Arial"/>
                <w:sz w:val="10"/>
              </w:rPr>
            </w:pPr>
            <w:r>
              <w:rPr>
                <w:rFonts w:ascii="Arial"/>
                <w:color w:val="44536A"/>
                <w:w w:val="105"/>
                <w:sz w:val="10"/>
              </w:rPr>
              <w:t>411.2</w:t>
            </w:r>
          </w:p>
        </w:tc>
      </w:tr>
      <w:tr>
        <w:trPr>
          <w:trHeight w:val="206" w:hRule="atLeast"/>
        </w:trPr>
        <w:tc>
          <w:tcPr>
            <w:tcW w:w="2560" w:type="dxa"/>
            <w:tcBorders>
              <w:right w:val="single" w:sz="4" w:space="0" w:color="000000"/>
            </w:tcBorders>
            <w:shd w:val="clear" w:color="auto" w:fill="44536A"/>
          </w:tcPr>
          <w:p>
            <w:pPr>
              <w:pStyle w:val="TableParagraph"/>
              <w:spacing w:before="46"/>
              <w:ind w:right="526"/>
              <w:jc w:val="right"/>
              <w:rPr>
                <w:rFonts w:ascii="Arial"/>
                <w:b/>
                <w:sz w:val="10"/>
              </w:rPr>
            </w:pPr>
            <w:r>
              <w:rPr>
                <w:rFonts w:ascii="Arial"/>
                <w:b/>
                <w:color w:val="FFFFFF"/>
                <w:w w:val="105"/>
                <w:sz w:val="10"/>
              </w:rPr>
              <w:t>TOTAL DE INGRESOS NETOS</w:t>
            </w:r>
          </w:p>
        </w:tc>
        <w:tc>
          <w:tcPr>
            <w:tcW w:w="768" w:type="dxa"/>
            <w:tcBorders>
              <w:left w:val="single" w:sz="4" w:space="0" w:color="000000"/>
              <w:right w:val="single" w:sz="4" w:space="0" w:color="000000"/>
            </w:tcBorders>
            <w:shd w:val="clear" w:color="auto" w:fill="44536A"/>
          </w:tcPr>
          <w:p>
            <w:pPr>
              <w:pStyle w:val="TableParagraph"/>
              <w:spacing w:before="46"/>
              <w:ind w:left="137" w:right="137"/>
              <w:jc w:val="center"/>
              <w:rPr>
                <w:rFonts w:ascii="Arial"/>
                <w:b/>
                <w:sz w:val="10"/>
              </w:rPr>
            </w:pPr>
            <w:r>
              <w:rPr>
                <w:rFonts w:ascii="Arial"/>
                <w:b/>
                <w:color w:val="FFFFFF"/>
                <w:w w:val="105"/>
                <w:sz w:val="10"/>
              </w:rPr>
              <w:t>62,593.6</w:t>
            </w:r>
          </w:p>
        </w:tc>
        <w:tc>
          <w:tcPr>
            <w:tcW w:w="722" w:type="dxa"/>
            <w:tcBorders>
              <w:left w:val="single" w:sz="4" w:space="0" w:color="000000"/>
              <w:right w:val="single" w:sz="4" w:space="0" w:color="000000"/>
            </w:tcBorders>
            <w:shd w:val="clear" w:color="auto" w:fill="44536A"/>
          </w:tcPr>
          <w:p>
            <w:pPr>
              <w:pStyle w:val="TableParagraph"/>
              <w:spacing w:before="46"/>
              <w:ind w:left="112" w:right="116"/>
              <w:jc w:val="center"/>
              <w:rPr>
                <w:rFonts w:ascii="Arial"/>
                <w:b/>
                <w:sz w:val="10"/>
              </w:rPr>
            </w:pPr>
            <w:r>
              <w:rPr>
                <w:rFonts w:ascii="Arial"/>
                <w:b/>
                <w:color w:val="FFFFFF"/>
                <w:w w:val="105"/>
                <w:sz w:val="10"/>
              </w:rPr>
              <w:t>60,279.4</w:t>
            </w:r>
          </w:p>
        </w:tc>
        <w:tc>
          <w:tcPr>
            <w:tcW w:w="656" w:type="dxa"/>
            <w:tcBorders>
              <w:left w:val="single" w:sz="4" w:space="0" w:color="000000"/>
              <w:right w:val="single" w:sz="4" w:space="0" w:color="000000"/>
            </w:tcBorders>
            <w:shd w:val="clear" w:color="auto" w:fill="44536A"/>
          </w:tcPr>
          <w:p>
            <w:pPr>
              <w:pStyle w:val="TableParagraph"/>
              <w:spacing w:before="46"/>
              <w:ind w:right="120"/>
              <w:jc w:val="right"/>
              <w:rPr>
                <w:rFonts w:ascii="Arial"/>
                <w:b/>
                <w:sz w:val="10"/>
              </w:rPr>
            </w:pPr>
            <w:r>
              <w:rPr>
                <w:rFonts w:ascii="Arial"/>
                <w:b/>
                <w:color w:val="FFFFFF"/>
                <w:w w:val="105"/>
                <w:sz w:val="10"/>
              </w:rPr>
              <w:t>78,019.1</w:t>
            </w:r>
          </w:p>
        </w:tc>
        <w:tc>
          <w:tcPr>
            <w:tcW w:w="702" w:type="dxa"/>
            <w:tcBorders>
              <w:left w:val="single" w:sz="4" w:space="0" w:color="000000"/>
              <w:right w:val="single" w:sz="4" w:space="0" w:color="000000"/>
            </w:tcBorders>
            <w:shd w:val="clear" w:color="auto" w:fill="2F5395"/>
          </w:tcPr>
          <w:p>
            <w:pPr>
              <w:pStyle w:val="TableParagraph"/>
              <w:spacing w:before="46"/>
              <w:ind w:right="139"/>
              <w:jc w:val="right"/>
              <w:rPr>
                <w:rFonts w:ascii="Arial"/>
                <w:b/>
                <w:sz w:val="10"/>
              </w:rPr>
            </w:pPr>
            <w:r>
              <w:rPr>
                <w:rFonts w:ascii="Arial"/>
                <w:b/>
                <w:color w:val="FFFFFF"/>
                <w:w w:val="105"/>
                <w:sz w:val="10"/>
              </w:rPr>
              <w:t>82,872.9</w:t>
            </w:r>
          </w:p>
        </w:tc>
        <w:tc>
          <w:tcPr>
            <w:tcW w:w="656" w:type="dxa"/>
            <w:tcBorders>
              <w:left w:val="single" w:sz="4" w:space="0" w:color="000000"/>
              <w:right w:val="single" w:sz="4" w:space="0" w:color="000000"/>
            </w:tcBorders>
            <w:shd w:val="clear" w:color="auto" w:fill="2F5395"/>
          </w:tcPr>
          <w:p>
            <w:pPr>
              <w:pStyle w:val="TableParagraph"/>
              <w:spacing w:before="46"/>
              <w:ind w:left="119"/>
              <w:rPr>
                <w:rFonts w:ascii="Arial"/>
                <w:b/>
                <w:sz w:val="10"/>
              </w:rPr>
            </w:pPr>
            <w:r>
              <w:rPr>
                <w:rFonts w:ascii="Arial"/>
                <w:b/>
                <w:color w:val="FFFFFF"/>
                <w:w w:val="105"/>
                <w:sz w:val="10"/>
              </w:rPr>
              <w:t>87,495.2</w:t>
            </w:r>
          </w:p>
        </w:tc>
        <w:tc>
          <w:tcPr>
            <w:tcW w:w="656" w:type="dxa"/>
            <w:tcBorders>
              <w:left w:val="single" w:sz="4" w:space="0" w:color="000000"/>
              <w:right w:val="single" w:sz="4" w:space="0" w:color="000000"/>
            </w:tcBorders>
            <w:shd w:val="clear" w:color="auto" w:fill="2F5395"/>
          </w:tcPr>
          <w:p>
            <w:pPr>
              <w:pStyle w:val="TableParagraph"/>
              <w:spacing w:before="46"/>
              <w:ind w:left="120"/>
              <w:rPr>
                <w:rFonts w:ascii="Arial"/>
                <w:b/>
                <w:sz w:val="10"/>
              </w:rPr>
            </w:pPr>
            <w:r>
              <w:rPr>
                <w:rFonts w:ascii="Arial"/>
                <w:b/>
                <w:color w:val="FFFFFF"/>
                <w:w w:val="105"/>
                <w:sz w:val="10"/>
              </w:rPr>
              <w:t>97,170.9</w:t>
            </w:r>
          </w:p>
        </w:tc>
        <w:tc>
          <w:tcPr>
            <w:tcW w:w="656" w:type="dxa"/>
            <w:tcBorders>
              <w:left w:val="single" w:sz="4" w:space="0" w:color="000000"/>
              <w:right w:val="single" w:sz="4" w:space="0" w:color="000000"/>
            </w:tcBorders>
            <w:shd w:val="clear" w:color="auto" w:fill="2F5395"/>
          </w:tcPr>
          <w:p>
            <w:pPr>
              <w:pStyle w:val="TableParagraph"/>
              <w:spacing w:before="46"/>
              <w:ind w:left="55" w:right="48"/>
              <w:jc w:val="center"/>
              <w:rPr>
                <w:rFonts w:ascii="Arial"/>
                <w:b/>
                <w:sz w:val="10"/>
              </w:rPr>
            </w:pPr>
            <w:r>
              <w:rPr>
                <w:rFonts w:ascii="Arial"/>
                <w:b/>
                <w:color w:val="FFFFFF"/>
                <w:w w:val="105"/>
                <w:sz w:val="10"/>
              </w:rPr>
              <w:t>104,290.0</w:t>
            </w:r>
          </w:p>
        </w:tc>
        <w:tc>
          <w:tcPr>
            <w:tcW w:w="656" w:type="dxa"/>
            <w:tcBorders>
              <w:left w:val="single" w:sz="4" w:space="0" w:color="000000"/>
              <w:right w:val="single" w:sz="4" w:space="0" w:color="000000"/>
            </w:tcBorders>
            <w:shd w:val="clear" w:color="auto" w:fill="2F5395"/>
          </w:tcPr>
          <w:p>
            <w:pPr>
              <w:pStyle w:val="TableParagraph"/>
              <w:spacing w:before="46"/>
              <w:ind w:right="84"/>
              <w:jc w:val="right"/>
              <w:rPr>
                <w:rFonts w:ascii="Arial"/>
                <w:b/>
                <w:sz w:val="10"/>
              </w:rPr>
            </w:pPr>
            <w:r>
              <w:rPr>
                <w:rFonts w:ascii="Arial"/>
                <w:b/>
                <w:color w:val="FFFFFF"/>
                <w:w w:val="105"/>
                <w:sz w:val="10"/>
              </w:rPr>
              <w:t>112,153.3</w:t>
            </w:r>
          </w:p>
        </w:tc>
        <w:tc>
          <w:tcPr>
            <w:tcW w:w="659" w:type="dxa"/>
            <w:tcBorders>
              <w:left w:val="single" w:sz="4" w:space="0" w:color="000000"/>
            </w:tcBorders>
            <w:shd w:val="clear" w:color="auto" w:fill="2F5395"/>
          </w:tcPr>
          <w:p>
            <w:pPr>
              <w:pStyle w:val="TableParagraph"/>
              <w:spacing w:before="46"/>
              <w:ind w:left="57" w:right="55"/>
              <w:jc w:val="center"/>
              <w:rPr>
                <w:rFonts w:ascii="Arial"/>
                <w:b/>
                <w:sz w:val="10"/>
              </w:rPr>
            </w:pPr>
            <w:r>
              <w:rPr>
                <w:rFonts w:ascii="Arial"/>
                <w:b/>
                <w:color w:val="FFFFFF"/>
                <w:w w:val="105"/>
                <w:sz w:val="10"/>
              </w:rPr>
              <w:t>120,732.0</w:t>
            </w:r>
          </w:p>
        </w:tc>
      </w:tr>
      <w:tr>
        <w:trPr>
          <w:trHeight w:val="202" w:hRule="atLeast"/>
        </w:trPr>
        <w:tc>
          <w:tcPr>
            <w:tcW w:w="2560" w:type="dxa"/>
            <w:tcBorders>
              <w:right w:val="single" w:sz="4" w:space="0" w:color="000000"/>
            </w:tcBorders>
          </w:tcPr>
          <w:p>
            <w:pPr>
              <w:pStyle w:val="TableParagraph"/>
              <w:spacing w:before="46"/>
              <w:ind w:left="140"/>
              <w:rPr>
                <w:rFonts w:ascii="Arial" w:hAnsi="Arial"/>
                <w:sz w:val="10"/>
              </w:rPr>
            </w:pPr>
            <w:r>
              <w:rPr>
                <w:rFonts w:ascii="Arial" w:hAnsi="Arial"/>
                <w:color w:val="44536A"/>
                <w:w w:val="105"/>
                <w:sz w:val="10"/>
              </w:rPr>
              <w:t>( + ) Devoluciones de Crédito Fiscal</w:t>
            </w:r>
          </w:p>
        </w:tc>
        <w:tc>
          <w:tcPr>
            <w:tcW w:w="768" w:type="dxa"/>
            <w:tcBorders>
              <w:left w:val="single" w:sz="4" w:space="0" w:color="000000"/>
              <w:right w:val="single" w:sz="4" w:space="0" w:color="000000"/>
            </w:tcBorders>
          </w:tcPr>
          <w:p>
            <w:pPr>
              <w:pStyle w:val="TableParagraph"/>
              <w:spacing w:before="46"/>
              <w:ind w:left="137" w:right="141"/>
              <w:jc w:val="center"/>
              <w:rPr>
                <w:rFonts w:ascii="Arial"/>
                <w:sz w:val="10"/>
              </w:rPr>
            </w:pPr>
            <w:r>
              <w:rPr>
                <w:rFonts w:ascii="Arial"/>
                <w:color w:val="44536A"/>
                <w:w w:val="105"/>
                <w:sz w:val="10"/>
              </w:rPr>
              <w:t>1,943.7</w:t>
            </w:r>
          </w:p>
        </w:tc>
        <w:tc>
          <w:tcPr>
            <w:tcW w:w="722" w:type="dxa"/>
            <w:tcBorders>
              <w:left w:val="single" w:sz="4" w:space="0" w:color="000000"/>
              <w:right w:val="single" w:sz="4" w:space="0" w:color="000000"/>
            </w:tcBorders>
          </w:tcPr>
          <w:p>
            <w:pPr>
              <w:pStyle w:val="TableParagraph"/>
              <w:spacing w:before="46"/>
              <w:ind w:left="112" w:right="112"/>
              <w:jc w:val="center"/>
              <w:rPr>
                <w:rFonts w:ascii="Arial"/>
                <w:sz w:val="10"/>
              </w:rPr>
            </w:pPr>
            <w:r>
              <w:rPr>
                <w:rFonts w:ascii="Arial"/>
                <w:color w:val="44536A"/>
                <w:w w:val="105"/>
                <w:sz w:val="10"/>
              </w:rPr>
              <w:t>1,761.2</w:t>
            </w:r>
          </w:p>
        </w:tc>
        <w:tc>
          <w:tcPr>
            <w:tcW w:w="656" w:type="dxa"/>
            <w:tcBorders>
              <w:left w:val="single" w:sz="4" w:space="0" w:color="000000"/>
              <w:right w:val="single" w:sz="4" w:space="0" w:color="000000"/>
            </w:tcBorders>
          </w:tcPr>
          <w:p>
            <w:pPr>
              <w:pStyle w:val="TableParagraph"/>
              <w:spacing w:before="46"/>
              <w:ind w:right="146"/>
              <w:jc w:val="right"/>
              <w:rPr>
                <w:rFonts w:ascii="Arial"/>
                <w:sz w:val="10"/>
              </w:rPr>
            </w:pPr>
            <w:r>
              <w:rPr>
                <w:rFonts w:ascii="Arial"/>
                <w:color w:val="44536A"/>
                <w:w w:val="105"/>
                <w:sz w:val="10"/>
              </w:rPr>
              <w:t>2,237.8</w:t>
            </w:r>
          </w:p>
        </w:tc>
        <w:tc>
          <w:tcPr>
            <w:tcW w:w="702" w:type="dxa"/>
            <w:tcBorders>
              <w:left w:val="single" w:sz="4" w:space="0" w:color="000000"/>
              <w:right w:val="single" w:sz="4" w:space="0" w:color="000000"/>
            </w:tcBorders>
          </w:tcPr>
          <w:p>
            <w:pPr>
              <w:pStyle w:val="TableParagraph"/>
              <w:spacing w:before="46"/>
              <w:ind w:right="172"/>
              <w:jc w:val="right"/>
              <w:rPr>
                <w:rFonts w:ascii="Arial"/>
                <w:sz w:val="10"/>
              </w:rPr>
            </w:pPr>
            <w:r>
              <w:rPr>
                <w:rFonts w:ascii="Arial"/>
                <w:color w:val="44536A"/>
                <w:w w:val="105"/>
                <w:sz w:val="10"/>
              </w:rPr>
              <w:t>3,397.9</w:t>
            </w:r>
          </w:p>
        </w:tc>
        <w:tc>
          <w:tcPr>
            <w:tcW w:w="656" w:type="dxa"/>
            <w:tcBorders>
              <w:left w:val="single" w:sz="4" w:space="0" w:color="000000"/>
              <w:right w:val="single" w:sz="4" w:space="0" w:color="000000"/>
            </w:tcBorders>
          </w:tcPr>
          <w:p>
            <w:pPr>
              <w:pStyle w:val="TableParagraph"/>
              <w:spacing w:before="46"/>
              <w:ind w:left="152"/>
              <w:rPr>
                <w:rFonts w:ascii="Arial"/>
                <w:sz w:val="10"/>
              </w:rPr>
            </w:pPr>
            <w:r>
              <w:rPr>
                <w:rFonts w:ascii="Arial"/>
                <w:color w:val="44536A"/>
                <w:w w:val="105"/>
                <w:sz w:val="10"/>
              </w:rPr>
              <w:t>3,644.3</w:t>
            </w:r>
          </w:p>
        </w:tc>
        <w:tc>
          <w:tcPr>
            <w:tcW w:w="656" w:type="dxa"/>
            <w:tcBorders>
              <w:left w:val="single" w:sz="4" w:space="0" w:color="000000"/>
              <w:right w:val="single" w:sz="4" w:space="0" w:color="000000"/>
            </w:tcBorders>
          </w:tcPr>
          <w:p>
            <w:pPr>
              <w:pStyle w:val="TableParagraph"/>
              <w:spacing w:before="46"/>
              <w:ind w:left="152"/>
              <w:rPr>
                <w:rFonts w:ascii="Arial"/>
                <w:sz w:val="10"/>
              </w:rPr>
            </w:pPr>
            <w:r>
              <w:rPr>
                <w:rFonts w:ascii="Arial"/>
                <w:color w:val="44536A"/>
                <w:w w:val="105"/>
                <w:sz w:val="10"/>
              </w:rPr>
              <w:t>3,945.1</w:t>
            </w:r>
          </w:p>
        </w:tc>
        <w:tc>
          <w:tcPr>
            <w:tcW w:w="656" w:type="dxa"/>
            <w:tcBorders>
              <w:left w:val="single" w:sz="4" w:space="0" w:color="000000"/>
              <w:right w:val="single" w:sz="4" w:space="0" w:color="000000"/>
            </w:tcBorders>
          </w:tcPr>
          <w:p>
            <w:pPr>
              <w:pStyle w:val="TableParagraph"/>
              <w:spacing w:before="46"/>
              <w:ind w:left="55" w:right="47"/>
              <w:jc w:val="center"/>
              <w:rPr>
                <w:rFonts w:ascii="Arial"/>
                <w:sz w:val="10"/>
              </w:rPr>
            </w:pPr>
            <w:r>
              <w:rPr>
                <w:rFonts w:ascii="Arial"/>
                <w:color w:val="44536A"/>
                <w:w w:val="105"/>
                <w:sz w:val="10"/>
              </w:rPr>
              <w:t>4,259.6</w:t>
            </w:r>
          </w:p>
        </w:tc>
        <w:tc>
          <w:tcPr>
            <w:tcW w:w="656" w:type="dxa"/>
            <w:tcBorders>
              <w:left w:val="single" w:sz="4" w:space="0" w:color="000000"/>
              <w:right w:val="single" w:sz="4" w:space="0" w:color="000000"/>
            </w:tcBorders>
          </w:tcPr>
          <w:p>
            <w:pPr>
              <w:pStyle w:val="TableParagraph"/>
              <w:spacing w:before="46"/>
              <w:ind w:right="142"/>
              <w:jc w:val="right"/>
              <w:rPr>
                <w:rFonts w:ascii="Arial"/>
                <w:sz w:val="10"/>
              </w:rPr>
            </w:pPr>
            <w:r>
              <w:rPr>
                <w:rFonts w:ascii="Arial"/>
                <w:color w:val="44536A"/>
                <w:w w:val="105"/>
                <w:sz w:val="10"/>
              </w:rPr>
              <w:t>4,614.0</w:t>
            </w:r>
          </w:p>
        </w:tc>
        <w:tc>
          <w:tcPr>
            <w:tcW w:w="659" w:type="dxa"/>
            <w:tcBorders>
              <w:left w:val="single" w:sz="4" w:space="0" w:color="000000"/>
            </w:tcBorders>
          </w:tcPr>
          <w:p>
            <w:pPr>
              <w:pStyle w:val="TableParagraph"/>
              <w:spacing w:before="46"/>
              <w:ind w:left="57" w:right="55"/>
              <w:jc w:val="center"/>
              <w:rPr>
                <w:rFonts w:ascii="Arial"/>
                <w:sz w:val="10"/>
              </w:rPr>
            </w:pPr>
            <w:r>
              <w:rPr>
                <w:rFonts w:ascii="Arial"/>
                <w:color w:val="44536A"/>
                <w:w w:val="105"/>
                <w:sz w:val="10"/>
              </w:rPr>
              <w:t>4,998.9</w:t>
            </w:r>
          </w:p>
        </w:tc>
      </w:tr>
      <w:tr>
        <w:trPr>
          <w:trHeight w:val="190" w:hRule="atLeast"/>
        </w:trPr>
        <w:tc>
          <w:tcPr>
            <w:tcW w:w="2560" w:type="dxa"/>
            <w:tcBorders>
              <w:right w:val="single" w:sz="4" w:space="0" w:color="000000"/>
            </w:tcBorders>
          </w:tcPr>
          <w:p>
            <w:pPr>
              <w:pStyle w:val="TableParagraph"/>
              <w:spacing w:before="43"/>
              <w:ind w:left="140"/>
              <w:rPr>
                <w:rFonts w:ascii="Arial" w:hAnsi="Arial"/>
                <w:sz w:val="10"/>
              </w:rPr>
            </w:pPr>
            <w:r>
              <w:rPr>
                <w:rFonts w:ascii="Arial" w:hAnsi="Arial"/>
                <w:color w:val="44536A"/>
                <w:w w:val="105"/>
                <w:sz w:val="10"/>
              </w:rPr>
              <w:t>( + ) Autocompensación</w:t>
            </w:r>
          </w:p>
        </w:tc>
        <w:tc>
          <w:tcPr>
            <w:tcW w:w="768" w:type="dxa"/>
            <w:tcBorders>
              <w:left w:val="single" w:sz="4" w:space="0" w:color="000000"/>
              <w:right w:val="single" w:sz="4" w:space="0" w:color="000000"/>
            </w:tcBorders>
          </w:tcPr>
          <w:p>
            <w:pPr>
              <w:pStyle w:val="TableParagraph"/>
              <w:spacing w:before="43"/>
              <w:ind w:left="137" w:right="137"/>
              <w:jc w:val="center"/>
              <w:rPr>
                <w:rFonts w:ascii="Arial"/>
                <w:sz w:val="10"/>
              </w:rPr>
            </w:pPr>
            <w:r>
              <w:rPr>
                <w:rFonts w:ascii="Arial"/>
                <w:color w:val="44536A"/>
                <w:w w:val="105"/>
                <w:sz w:val="10"/>
              </w:rPr>
              <w:t>363.6</w:t>
            </w:r>
          </w:p>
        </w:tc>
        <w:tc>
          <w:tcPr>
            <w:tcW w:w="722" w:type="dxa"/>
            <w:tcBorders>
              <w:left w:val="single" w:sz="4" w:space="0" w:color="000000"/>
              <w:right w:val="single" w:sz="4" w:space="0" w:color="000000"/>
            </w:tcBorders>
          </w:tcPr>
          <w:p>
            <w:pPr>
              <w:pStyle w:val="TableParagraph"/>
              <w:spacing w:before="43"/>
              <w:ind w:left="112" w:right="115"/>
              <w:jc w:val="center"/>
              <w:rPr>
                <w:rFonts w:ascii="Arial"/>
                <w:sz w:val="10"/>
              </w:rPr>
            </w:pPr>
            <w:r>
              <w:rPr>
                <w:rFonts w:ascii="Arial"/>
                <w:color w:val="44536A"/>
                <w:w w:val="105"/>
                <w:sz w:val="10"/>
              </w:rPr>
              <w:t>425.6</w:t>
            </w:r>
          </w:p>
        </w:tc>
        <w:tc>
          <w:tcPr>
            <w:tcW w:w="656" w:type="dxa"/>
            <w:tcBorders>
              <w:left w:val="single" w:sz="4" w:space="0" w:color="000000"/>
              <w:right w:val="single" w:sz="4" w:space="0" w:color="000000"/>
            </w:tcBorders>
          </w:tcPr>
          <w:p>
            <w:pPr>
              <w:pStyle w:val="TableParagraph"/>
              <w:spacing w:before="43"/>
              <w:ind w:right="192"/>
              <w:jc w:val="right"/>
              <w:rPr>
                <w:rFonts w:ascii="Arial"/>
                <w:sz w:val="10"/>
              </w:rPr>
            </w:pPr>
            <w:r>
              <w:rPr>
                <w:rFonts w:ascii="Arial"/>
                <w:color w:val="44536A"/>
                <w:w w:val="105"/>
                <w:sz w:val="10"/>
              </w:rPr>
              <w:t>464.2</w:t>
            </w:r>
          </w:p>
        </w:tc>
        <w:tc>
          <w:tcPr>
            <w:tcW w:w="702" w:type="dxa"/>
            <w:tcBorders>
              <w:left w:val="single" w:sz="4" w:space="0" w:color="000000"/>
              <w:right w:val="single" w:sz="4" w:space="0" w:color="000000"/>
            </w:tcBorders>
          </w:tcPr>
          <w:p>
            <w:pPr>
              <w:pStyle w:val="TableParagraph"/>
              <w:spacing w:before="43"/>
              <w:ind w:right="211"/>
              <w:jc w:val="right"/>
              <w:rPr>
                <w:rFonts w:ascii="Arial"/>
                <w:sz w:val="10"/>
              </w:rPr>
            </w:pPr>
            <w:r>
              <w:rPr>
                <w:rFonts w:ascii="Arial"/>
                <w:color w:val="44536A"/>
                <w:w w:val="105"/>
                <w:sz w:val="10"/>
              </w:rPr>
              <w:t>552.4</w:t>
            </w:r>
          </w:p>
        </w:tc>
        <w:tc>
          <w:tcPr>
            <w:tcW w:w="656" w:type="dxa"/>
            <w:tcBorders>
              <w:left w:val="single" w:sz="4" w:space="0" w:color="000000"/>
              <w:right w:val="single" w:sz="4" w:space="0" w:color="000000"/>
            </w:tcBorders>
          </w:tcPr>
          <w:p>
            <w:pPr>
              <w:pStyle w:val="TableParagraph"/>
              <w:spacing w:before="43"/>
              <w:ind w:left="191"/>
              <w:rPr>
                <w:rFonts w:ascii="Arial"/>
                <w:sz w:val="10"/>
              </w:rPr>
            </w:pPr>
            <w:r>
              <w:rPr>
                <w:rFonts w:ascii="Arial"/>
                <w:color w:val="44536A"/>
                <w:w w:val="105"/>
                <w:sz w:val="10"/>
              </w:rPr>
              <w:t>587.5</w:t>
            </w:r>
          </w:p>
        </w:tc>
        <w:tc>
          <w:tcPr>
            <w:tcW w:w="656" w:type="dxa"/>
            <w:tcBorders>
              <w:left w:val="single" w:sz="4" w:space="0" w:color="000000"/>
              <w:right w:val="single" w:sz="4" w:space="0" w:color="000000"/>
            </w:tcBorders>
          </w:tcPr>
          <w:p>
            <w:pPr>
              <w:pStyle w:val="TableParagraph"/>
              <w:spacing w:before="43"/>
              <w:ind w:left="192"/>
              <w:rPr>
                <w:rFonts w:ascii="Arial"/>
                <w:sz w:val="10"/>
              </w:rPr>
            </w:pPr>
            <w:r>
              <w:rPr>
                <w:rFonts w:ascii="Arial"/>
                <w:color w:val="44536A"/>
                <w:w w:val="105"/>
                <w:sz w:val="10"/>
              </w:rPr>
              <w:t>629.8</w:t>
            </w:r>
          </w:p>
        </w:tc>
        <w:tc>
          <w:tcPr>
            <w:tcW w:w="656" w:type="dxa"/>
            <w:tcBorders>
              <w:left w:val="single" w:sz="4" w:space="0" w:color="000000"/>
              <w:right w:val="single" w:sz="4" w:space="0" w:color="000000"/>
            </w:tcBorders>
          </w:tcPr>
          <w:p>
            <w:pPr>
              <w:pStyle w:val="TableParagraph"/>
              <w:spacing w:before="43"/>
              <w:ind w:left="55" w:right="54"/>
              <w:jc w:val="center"/>
              <w:rPr>
                <w:rFonts w:ascii="Arial"/>
                <w:sz w:val="10"/>
              </w:rPr>
            </w:pPr>
            <w:r>
              <w:rPr>
                <w:rFonts w:ascii="Arial"/>
                <w:color w:val="44536A"/>
                <w:w w:val="105"/>
                <w:sz w:val="10"/>
              </w:rPr>
              <w:t>675.3</w:t>
            </w:r>
          </w:p>
        </w:tc>
        <w:tc>
          <w:tcPr>
            <w:tcW w:w="656" w:type="dxa"/>
            <w:tcBorders>
              <w:left w:val="single" w:sz="4" w:space="0" w:color="000000"/>
              <w:right w:val="single" w:sz="4" w:space="0" w:color="000000"/>
            </w:tcBorders>
          </w:tcPr>
          <w:p>
            <w:pPr>
              <w:pStyle w:val="TableParagraph"/>
              <w:spacing w:before="43"/>
              <w:ind w:right="188"/>
              <w:jc w:val="right"/>
              <w:rPr>
                <w:rFonts w:ascii="Arial"/>
                <w:sz w:val="10"/>
              </w:rPr>
            </w:pPr>
            <w:r>
              <w:rPr>
                <w:rFonts w:ascii="Arial"/>
                <w:color w:val="44536A"/>
                <w:w w:val="105"/>
                <w:sz w:val="10"/>
              </w:rPr>
              <w:t>725.4</w:t>
            </w:r>
          </w:p>
        </w:tc>
        <w:tc>
          <w:tcPr>
            <w:tcW w:w="659" w:type="dxa"/>
            <w:tcBorders>
              <w:left w:val="single" w:sz="4" w:space="0" w:color="000000"/>
            </w:tcBorders>
          </w:tcPr>
          <w:p>
            <w:pPr>
              <w:pStyle w:val="TableParagraph"/>
              <w:spacing w:before="43"/>
              <w:ind w:left="57" w:right="58"/>
              <w:jc w:val="center"/>
              <w:rPr>
                <w:rFonts w:ascii="Arial"/>
                <w:sz w:val="10"/>
              </w:rPr>
            </w:pPr>
            <w:r>
              <w:rPr>
                <w:rFonts w:ascii="Arial"/>
                <w:color w:val="44536A"/>
                <w:w w:val="105"/>
                <w:sz w:val="10"/>
              </w:rPr>
              <w:t>779.2</w:t>
            </w:r>
          </w:p>
        </w:tc>
      </w:tr>
      <w:tr>
        <w:trPr>
          <w:trHeight w:val="198" w:hRule="atLeast"/>
        </w:trPr>
        <w:tc>
          <w:tcPr>
            <w:tcW w:w="2560" w:type="dxa"/>
            <w:tcBorders>
              <w:bottom w:val="single" w:sz="4" w:space="0" w:color="FFFFFF"/>
              <w:right w:val="single" w:sz="4" w:space="0" w:color="000000"/>
            </w:tcBorders>
            <w:shd w:val="clear" w:color="auto" w:fill="44536A"/>
          </w:tcPr>
          <w:p>
            <w:pPr>
              <w:pStyle w:val="TableParagraph"/>
              <w:spacing w:before="46"/>
              <w:ind w:right="487"/>
              <w:jc w:val="right"/>
              <w:rPr>
                <w:rFonts w:ascii="Arial"/>
                <w:b/>
                <w:sz w:val="10"/>
              </w:rPr>
            </w:pPr>
            <w:r>
              <w:rPr>
                <w:rFonts w:ascii="Arial"/>
                <w:b/>
                <w:color w:val="FFFFFF"/>
                <w:w w:val="105"/>
                <w:sz w:val="10"/>
              </w:rPr>
              <w:t>TOTAL DE INGRESOS BRUTOS</w:t>
            </w:r>
          </w:p>
        </w:tc>
        <w:tc>
          <w:tcPr>
            <w:tcW w:w="768" w:type="dxa"/>
            <w:tcBorders>
              <w:left w:val="single" w:sz="4" w:space="0" w:color="000000"/>
              <w:bottom w:val="single" w:sz="4" w:space="0" w:color="FFFFFF"/>
              <w:right w:val="single" w:sz="4" w:space="0" w:color="000000"/>
            </w:tcBorders>
            <w:shd w:val="clear" w:color="auto" w:fill="44536A"/>
          </w:tcPr>
          <w:p>
            <w:pPr>
              <w:pStyle w:val="TableParagraph"/>
              <w:spacing w:before="46"/>
              <w:ind w:left="137" w:right="137"/>
              <w:jc w:val="center"/>
              <w:rPr>
                <w:rFonts w:ascii="Arial"/>
                <w:b/>
                <w:sz w:val="10"/>
              </w:rPr>
            </w:pPr>
            <w:r>
              <w:rPr>
                <w:rFonts w:ascii="Arial"/>
                <w:b/>
                <w:color w:val="FFFFFF"/>
                <w:w w:val="105"/>
                <w:sz w:val="10"/>
              </w:rPr>
              <w:t>64,900.9</w:t>
            </w:r>
          </w:p>
        </w:tc>
        <w:tc>
          <w:tcPr>
            <w:tcW w:w="722" w:type="dxa"/>
            <w:tcBorders>
              <w:left w:val="single" w:sz="4" w:space="0" w:color="000000"/>
              <w:bottom w:val="single" w:sz="4" w:space="0" w:color="FFFFFF"/>
              <w:right w:val="single" w:sz="4" w:space="0" w:color="000000"/>
            </w:tcBorders>
            <w:shd w:val="clear" w:color="auto" w:fill="44536A"/>
          </w:tcPr>
          <w:p>
            <w:pPr>
              <w:pStyle w:val="TableParagraph"/>
              <w:spacing w:before="46"/>
              <w:ind w:left="112" w:right="116"/>
              <w:jc w:val="center"/>
              <w:rPr>
                <w:rFonts w:ascii="Arial"/>
                <w:b/>
                <w:sz w:val="10"/>
              </w:rPr>
            </w:pPr>
            <w:r>
              <w:rPr>
                <w:rFonts w:ascii="Arial"/>
                <w:b/>
                <w:color w:val="FFFFFF"/>
                <w:w w:val="105"/>
                <w:sz w:val="10"/>
              </w:rPr>
              <w:t>62,466.2</w:t>
            </w:r>
          </w:p>
        </w:tc>
        <w:tc>
          <w:tcPr>
            <w:tcW w:w="656" w:type="dxa"/>
            <w:tcBorders>
              <w:left w:val="single" w:sz="4" w:space="0" w:color="000000"/>
              <w:bottom w:val="single" w:sz="4" w:space="0" w:color="FFFFFF"/>
              <w:right w:val="single" w:sz="4" w:space="0" w:color="000000"/>
            </w:tcBorders>
            <w:shd w:val="clear" w:color="auto" w:fill="44536A"/>
          </w:tcPr>
          <w:p>
            <w:pPr>
              <w:pStyle w:val="TableParagraph"/>
              <w:spacing w:before="46"/>
              <w:ind w:right="120"/>
              <w:jc w:val="right"/>
              <w:rPr>
                <w:rFonts w:ascii="Arial"/>
                <w:b/>
                <w:sz w:val="10"/>
              </w:rPr>
            </w:pPr>
            <w:r>
              <w:rPr>
                <w:rFonts w:ascii="Arial"/>
                <w:b/>
                <w:color w:val="FFFFFF"/>
                <w:w w:val="105"/>
                <w:sz w:val="10"/>
              </w:rPr>
              <w:t>80,721.1</w:t>
            </w:r>
          </w:p>
        </w:tc>
        <w:tc>
          <w:tcPr>
            <w:tcW w:w="702" w:type="dxa"/>
            <w:tcBorders>
              <w:left w:val="single" w:sz="4" w:space="0" w:color="000000"/>
              <w:bottom w:val="single" w:sz="4" w:space="0" w:color="44536A"/>
              <w:right w:val="single" w:sz="4" w:space="0" w:color="000000"/>
            </w:tcBorders>
            <w:shd w:val="clear" w:color="auto" w:fill="2F5395"/>
          </w:tcPr>
          <w:p>
            <w:pPr>
              <w:pStyle w:val="TableParagraph"/>
              <w:spacing w:before="46"/>
              <w:ind w:right="139"/>
              <w:jc w:val="right"/>
              <w:rPr>
                <w:rFonts w:ascii="Arial"/>
                <w:b/>
                <w:sz w:val="10"/>
              </w:rPr>
            </w:pPr>
            <w:r>
              <w:rPr>
                <w:rFonts w:ascii="Arial"/>
                <w:b/>
                <w:color w:val="FFFFFF"/>
                <w:w w:val="105"/>
                <w:sz w:val="10"/>
              </w:rPr>
              <w:t>86,823.2</w:t>
            </w:r>
          </w:p>
        </w:tc>
        <w:tc>
          <w:tcPr>
            <w:tcW w:w="656" w:type="dxa"/>
            <w:tcBorders>
              <w:left w:val="single" w:sz="4" w:space="0" w:color="000000"/>
              <w:bottom w:val="single" w:sz="4" w:space="0" w:color="44536A"/>
              <w:right w:val="single" w:sz="4" w:space="0" w:color="000000"/>
            </w:tcBorders>
            <w:shd w:val="clear" w:color="auto" w:fill="2F5395"/>
          </w:tcPr>
          <w:p>
            <w:pPr>
              <w:pStyle w:val="TableParagraph"/>
              <w:spacing w:before="46"/>
              <w:ind w:left="119"/>
              <w:rPr>
                <w:rFonts w:ascii="Arial"/>
                <w:b/>
                <w:sz w:val="10"/>
              </w:rPr>
            </w:pPr>
            <w:r>
              <w:rPr>
                <w:rFonts w:ascii="Arial"/>
                <w:b/>
                <w:color w:val="FFFFFF"/>
                <w:w w:val="105"/>
                <w:sz w:val="10"/>
              </w:rPr>
              <w:t>91,727.0</w:t>
            </w:r>
          </w:p>
        </w:tc>
        <w:tc>
          <w:tcPr>
            <w:tcW w:w="656" w:type="dxa"/>
            <w:tcBorders>
              <w:left w:val="single" w:sz="4" w:space="0" w:color="000000"/>
              <w:bottom w:val="single" w:sz="4" w:space="0" w:color="44536A"/>
              <w:right w:val="single" w:sz="4" w:space="0" w:color="000000"/>
            </w:tcBorders>
            <w:shd w:val="clear" w:color="auto" w:fill="2F5395"/>
          </w:tcPr>
          <w:p>
            <w:pPr>
              <w:pStyle w:val="TableParagraph"/>
              <w:spacing w:before="46"/>
              <w:ind w:left="93"/>
              <w:rPr>
                <w:rFonts w:ascii="Arial"/>
                <w:b/>
                <w:sz w:val="10"/>
              </w:rPr>
            </w:pPr>
            <w:r>
              <w:rPr>
                <w:rFonts w:ascii="Arial"/>
                <w:b/>
                <w:color w:val="FFFFFF"/>
                <w:w w:val="105"/>
                <w:sz w:val="10"/>
              </w:rPr>
              <w:t>101,745.8</w:t>
            </w:r>
          </w:p>
        </w:tc>
        <w:tc>
          <w:tcPr>
            <w:tcW w:w="656" w:type="dxa"/>
            <w:tcBorders>
              <w:left w:val="single" w:sz="4" w:space="0" w:color="000000"/>
              <w:bottom w:val="single" w:sz="4" w:space="0" w:color="44536A"/>
              <w:right w:val="single" w:sz="4" w:space="0" w:color="000000"/>
            </w:tcBorders>
            <w:shd w:val="clear" w:color="auto" w:fill="2F5395"/>
          </w:tcPr>
          <w:p>
            <w:pPr>
              <w:pStyle w:val="TableParagraph"/>
              <w:spacing w:before="46"/>
              <w:ind w:left="55" w:right="48"/>
              <w:jc w:val="center"/>
              <w:rPr>
                <w:rFonts w:ascii="Arial"/>
                <w:b/>
                <w:sz w:val="10"/>
              </w:rPr>
            </w:pPr>
            <w:r>
              <w:rPr>
                <w:rFonts w:ascii="Arial"/>
                <w:b/>
                <w:color w:val="FFFFFF"/>
                <w:w w:val="105"/>
                <w:sz w:val="10"/>
              </w:rPr>
              <w:t>109,225.0</w:t>
            </w:r>
          </w:p>
        </w:tc>
        <w:tc>
          <w:tcPr>
            <w:tcW w:w="656" w:type="dxa"/>
            <w:tcBorders>
              <w:left w:val="single" w:sz="4" w:space="0" w:color="000000"/>
              <w:bottom w:val="single" w:sz="4" w:space="0" w:color="44536A"/>
              <w:right w:val="single" w:sz="4" w:space="0" w:color="000000"/>
            </w:tcBorders>
            <w:shd w:val="clear" w:color="auto" w:fill="2F5395"/>
          </w:tcPr>
          <w:p>
            <w:pPr>
              <w:pStyle w:val="TableParagraph"/>
              <w:spacing w:before="46"/>
              <w:ind w:right="84"/>
              <w:jc w:val="right"/>
              <w:rPr>
                <w:rFonts w:ascii="Arial"/>
                <w:b/>
                <w:sz w:val="10"/>
              </w:rPr>
            </w:pPr>
            <w:r>
              <w:rPr>
                <w:rFonts w:ascii="Arial"/>
                <w:b/>
                <w:color w:val="FFFFFF"/>
                <w:w w:val="105"/>
                <w:sz w:val="10"/>
              </w:rPr>
              <w:t>117,492.7</w:t>
            </w:r>
          </w:p>
        </w:tc>
        <w:tc>
          <w:tcPr>
            <w:tcW w:w="659" w:type="dxa"/>
            <w:tcBorders>
              <w:left w:val="single" w:sz="4" w:space="0" w:color="000000"/>
              <w:bottom w:val="single" w:sz="4" w:space="0" w:color="44536A"/>
            </w:tcBorders>
            <w:shd w:val="clear" w:color="auto" w:fill="2F5395"/>
          </w:tcPr>
          <w:p>
            <w:pPr>
              <w:pStyle w:val="TableParagraph"/>
              <w:spacing w:before="46"/>
              <w:ind w:left="57" w:right="55"/>
              <w:jc w:val="center"/>
              <w:rPr>
                <w:rFonts w:ascii="Arial"/>
                <w:b/>
                <w:sz w:val="10"/>
              </w:rPr>
            </w:pPr>
            <w:r>
              <w:rPr>
                <w:rFonts w:ascii="Arial"/>
                <w:b/>
                <w:color w:val="FFFFFF"/>
                <w:w w:val="105"/>
                <w:sz w:val="10"/>
              </w:rPr>
              <w:t>126,510.1</w:t>
            </w:r>
          </w:p>
        </w:tc>
      </w:tr>
    </w:tbl>
    <w:p>
      <w:pPr>
        <w:spacing w:before="30"/>
        <w:ind w:left="670" w:right="0" w:firstLine="0"/>
        <w:jc w:val="left"/>
        <w:rPr>
          <w:i/>
          <w:sz w:val="16"/>
        </w:rPr>
      </w:pPr>
      <w:r>
        <w:rPr/>
        <w:pict>
          <v:rect style="position:absolute;margin-left:90.808136pt;margin-top:-70.290764pt;width:235.452905pt;height:10.323807pt;mso-position-horizontal-relative:page;mso-position-vertical-relative:paragraph;z-index:-280111104" filled="true" fillcolor="#8496af" stroked="false">
            <v:fill type="solid"/>
            <w10:wrap type="none"/>
          </v:rect>
        </w:pict>
      </w:r>
      <w:r>
        <w:rPr>
          <w:i/>
          <w:color w:val="44536A"/>
          <w:sz w:val="16"/>
        </w:rPr>
        <w:t>Fuente: Dirección de Análisis y Política Fiscal</w:t>
      </w:r>
    </w:p>
    <w:p>
      <w:pPr>
        <w:spacing w:after="0"/>
        <w:jc w:val="left"/>
        <w:rPr>
          <w:sz w:val="16"/>
        </w:rPr>
        <w:sectPr>
          <w:pgSz w:w="12240" w:h="15840"/>
          <w:pgMar w:header="715" w:footer="688" w:top="1240" w:bottom="880" w:left="1140" w:right="0"/>
        </w:sect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spacing w:before="5"/>
        <w:rPr>
          <w:i/>
          <w:sz w:val="12"/>
        </w:rPr>
      </w:pPr>
    </w:p>
    <w:p>
      <w:pPr>
        <w:spacing w:before="0"/>
        <w:ind w:left="0" w:right="0" w:firstLine="0"/>
        <w:jc w:val="right"/>
        <w:rPr>
          <w:sz w:val="12"/>
        </w:rPr>
      </w:pPr>
      <w:bookmarkStart w:name="_bookmark216" w:id="280"/>
      <w:bookmarkEnd w:id="280"/>
      <w:r>
        <w:rPr/>
      </w:r>
      <w:r>
        <w:rPr>
          <w:color w:val="585858"/>
          <w:sz w:val="12"/>
        </w:rPr>
        <w:t>12.50%</w:t>
      </w:r>
    </w:p>
    <w:p>
      <w:pPr>
        <w:spacing w:before="167"/>
        <w:ind w:left="660" w:right="5" w:firstLine="0"/>
        <w:jc w:val="center"/>
        <w:rPr>
          <w:b/>
          <w:i/>
          <w:sz w:val="24"/>
        </w:rPr>
      </w:pPr>
      <w:r>
        <w:rPr/>
        <w:br w:type="column"/>
      </w:r>
      <w:r>
        <w:rPr>
          <w:b/>
          <w:i/>
          <w:sz w:val="20"/>
        </w:rPr>
        <w:t>Gráfico </w:t>
      </w:r>
      <w:r>
        <w:rPr>
          <w:b/>
          <w:sz w:val="20"/>
        </w:rPr>
        <w:t>106</w:t>
      </w:r>
      <w:r>
        <w:rPr>
          <w:b/>
          <w:i/>
          <w:sz w:val="20"/>
        </w:rPr>
        <w:t>. </w:t>
      </w:r>
      <w:r>
        <w:rPr>
          <w:b/>
          <w:sz w:val="24"/>
        </w:rPr>
        <w:t>Carga tributaria </w:t>
      </w:r>
      <w:r>
        <w:rPr>
          <w:b/>
          <w:i/>
          <w:sz w:val="24"/>
        </w:rPr>
        <w:t>escenario alto</w:t>
      </w:r>
    </w:p>
    <w:p>
      <w:pPr>
        <w:spacing w:before="37"/>
        <w:ind w:left="660" w:right="0" w:firstLine="0"/>
        <w:jc w:val="center"/>
        <w:rPr>
          <w:i/>
          <w:sz w:val="18"/>
        </w:rPr>
      </w:pPr>
      <w:r>
        <w:rPr>
          <w:i/>
          <w:color w:val="44536A"/>
          <w:sz w:val="18"/>
        </w:rPr>
        <w:t>2019 – 2027</w:t>
      </w:r>
    </w:p>
    <w:p>
      <w:pPr>
        <w:spacing w:before="31"/>
        <w:ind w:left="660" w:right="3" w:firstLine="0"/>
        <w:jc w:val="center"/>
        <w:rPr>
          <w:i/>
          <w:sz w:val="18"/>
        </w:rPr>
      </w:pPr>
      <w:r>
        <w:rPr>
          <w:i/>
          <w:color w:val="44536A"/>
          <w:sz w:val="18"/>
        </w:rPr>
        <w:t>Porcentajes del PIB</w:t>
      </w:r>
    </w:p>
    <w:p>
      <w:pPr>
        <w:pStyle w:val="BodyText"/>
        <w:rPr>
          <w:i/>
          <w:sz w:val="14"/>
        </w:rPr>
      </w:pPr>
      <w:r>
        <w:rPr/>
        <w:br w:type="column"/>
      </w:r>
      <w:r>
        <w:rPr>
          <w:i/>
          <w:sz w:val="14"/>
        </w:rPr>
      </w:r>
    </w:p>
    <w:p>
      <w:pPr>
        <w:pStyle w:val="BodyText"/>
        <w:rPr>
          <w:i/>
          <w:sz w:val="14"/>
        </w:rPr>
      </w:pPr>
    </w:p>
    <w:p>
      <w:pPr>
        <w:pStyle w:val="BodyText"/>
        <w:rPr>
          <w:i/>
          <w:sz w:val="14"/>
        </w:rPr>
      </w:pPr>
    </w:p>
    <w:p>
      <w:pPr>
        <w:pStyle w:val="BodyText"/>
        <w:rPr>
          <w:i/>
          <w:sz w:val="14"/>
        </w:rPr>
      </w:pPr>
    </w:p>
    <w:p>
      <w:pPr>
        <w:pStyle w:val="BodyText"/>
        <w:rPr>
          <w:i/>
          <w:sz w:val="14"/>
        </w:rPr>
      </w:pPr>
    </w:p>
    <w:p>
      <w:pPr>
        <w:pStyle w:val="BodyText"/>
        <w:rPr>
          <w:i/>
          <w:sz w:val="14"/>
        </w:rPr>
      </w:pPr>
    </w:p>
    <w:p>
      <w:pPr>
        <w:spacing w:before="100"/>
        <w:ind w:left="373" w:right="0" w:firstLine="0"/>
        <w:jc w:val="left"/>
        <w:rPr>
          <w:b/>
          <w:sz w:val="14"/>
        </w:rPr>
      </w:pPr>
      <w:r>
        <w:rPr/>
        <w:pict>
          <v:group style="position:absolute;margin-left:168.720001pt;margin-top:10.50518pt;width:293.05pt;height:134.9pt;mso-position-horizontal-relative:page;mso-position-vertical-relative:paragraph;z-index:-280082432" coordorigin="3374,210" coordsize="5861,2698">
            <v:shape style="position:absolute;left:3381;top:217;width:5847;height:2684" type="#_x0000_t75" stroked="false">
              <v:imagedata r:id="rId323" o:title=""/>
            </v:shape>
            <v:shape style="position:absolute;left:0;top:11386;width:5847;height:2237" coordorigin="0,11387" coordsize="5847,2237" path="m3382,2454l9228,2454m3382,2005l9228,2005m3382,1559l9228,1559m3382,1110l9228,1110m3382,664l9228,664m3382,217l9228,217e" filled="false" stroked="true" strokeweight=".72pt" strokecolor="#d9d9d9">
              <v:path arrowok="t"/>
              <v:stroke dashstyle="solid"/>
            </v:shape>
            <v:shape style="position:absolute;left:0;top:13623;width:5199;height:2684" coordorigin="0,13624" coordsize="5199,2684" path="m3706,217l3706,2901m4356,217l4356,2901m5006,217l5006,2901m5654,217l5654,2901m6305,217l6305,2901m6955,217l6955,2901m7603,217l7603,2901m8254,217l8254,2901m8904,217l8904,2901e" filled="false" stroked="true" strokeweight=".72pt" strokecolor="#d9d9d9">
              <v:path arrowok="t"/>
              <v:stroke dashstyle="solid"/>
            </v:shape>
            <v:shape style="position:absolute;left:0;top:13623;width:5847;height:2684" coordorigin="0,13624" coordsize="5847,2684" path="m3382,217l3382,2901m4032,217l4032,2901m4680,217l4680,2901m5330,217l5330,2901m5981,217l5981,2901m6629,217l6629,2901m7279,217l7279,2901m7930,217l7930,2901m8578,217l8578,2901m9228,217l9228,2901e" filled="false" stroked="true" strokeweight=".72pt" strokecolor="#d9d9d9">
              <v:path arrowok="t"/>
              <v:stroke dashstyle="solid"/>
            </v:shape>
            <v:line style="position:absolute" from="3382,2901" to="9228,2901" stroked="true" strokeweight=".72pt" strokecolor="#d9d9d9">
              <v:stroke dashstyle="solid"/>
            </v:line>
            <v:shape style="position:absolute;left:3648;top:733;width:5385;height:1831" type="#_x0000_t75" stroked="false">
              <v:imagedata r:id="rId324" o:title=""/>
            </v:shape>
            <v:shape style="position:absolute;left:3648;top:354;width:5385;height:2210" type="#_x0000_t75" stroked="false">
              <v:imagedata r:id="rId325" o:title=""/>
            </v:shape>
            <v:shape style="position:absolute;left:6192;top:1261;width:303;height:303" type="#_x0000_t75" stroked="false">
              <v:imagedata r:id="rId311" o:title=""/>
            </v:shape>
            <v:shape style="position:absolute;left:3592;top:1801;width:303;height:303" type="#_x0000_t75" stroked="false">
              <v:imagedata r:id="rId326" o:title=""/>
            </v:shape>
            <v:shape style="position:absolute;left:4243;top:2286;width:303;height:303" type="#_x0000_t75" stroked="false">
              <v:imagedata r:id="rId326" o:title=""/>
            </v:shape>
            <v:shape style="position:absolute;left:7490;top:898;width:303;height:303" type="#_x0000_t75" stroked="false">
              <v:imagedata r:id="rId327" o:title=""/>
            </v:shape>
            <v:shape style="position:absolute;left:4893;top:790;width:303;height:303" type="#_x0000_t75" stroked="false">
              <v:imagedata r:id="rId328" o:title=""/>
            </v:shape>
            <v:shape style="position:absolute;left:8140;top:901;width:303;height:303" type="#_x0000_t75" stroked="false">
              <v:imagedata r:id="rId329" o:title=""/>
            </v:shape>
            <v:shape style="position:absolute;left:5541;top:841;width:303;height:303" type="#_x0000_t75" stroked="false">
              <v:imagedata r:id="rId330" o:title=""/>
            </v:shape>
            <v:shape style="position:absolute;left:8791;top:898;width:303;height:303" type="#_x0000_t75" stroked="false">
              <v:imagedata r:id="rId331" o:title=""/>
            </v:shape>
            <v:shape style="position:absolute;left:6842;top:649;width:303;height:550" type="#_x0000_t75" stroked="false">
              <v:imagedata r:id="rId332" o:title=""/>
            </v:shape>
            <v:shape style="position:absolute;left:6192;top:1114;width:303;height:303" type="#_x0000_t75" stroked="false">
              <v:imagedata r:id="rId331" o:title=""/>
            </v:shape>
            <v:shape style="position:absolute;left:7490;top:538;width:303;height:303" type="#_x0000_t75" stroked="false">
              <v:imagedata r:id="rId331" o:title=""/>
            </v:shape>
            <v:shape style="position:absolute;left:8140;top:426;width:303;height:303" type="#_x0000_t75" stroked="false">
              <v:imagedata r:id="rId331" o:title=""/>
            </v:shape>
            <v:shape style="position:absolute;left:8791;top:298;width:303;height:303" type="#_x0000_t75" stroked="false">
              <v:imagedata r:id="rId331" o:title=""/>
            </v:shape>
            <v:shape style="position:absolute;left:3706;top:792;width:5196;height:1642" coordorigin="3707,792" coordsize="5196,1642" path="m3707,1915l3753,1954,3800,2001,3846,2054,3892,2111,3939,2169,3985,2226,4032,2281,4078,2330,4124,2373,4217,2427,4263,2434,4310,2426,4387,2370,4449,2276,4480,2216,4511,2147,4542,2072,4573,1990,4604,1905,4635,1816,4666,1725,4696,1633,4727,1540,4758,1450,4789,1361,4820,1276,4851,1196,4882,1121,4913,1053,4944,994,5006,904,5065,849,5124,814,5183,796,5242,792,5301,801,5360,819,5419,843,5478,872,5537,901,5596,930,5655,954,5714,981,5773,1018,5832,1063,5891,1113,5950,1164,6010,1216,6069,1264,6128,1306,6187,1341,6246,1364,6305,1375,6370,1368,6435,1346,6500,1311,6565,1267,6630,1218,6694,1166,6759,1116,6824,1071,6889,1034,6954,1009,7035,992,7117,984,7198,983,7279,987,7360,994,7441,1002,7523,1009,7604,1012,7685,1012,7766,1012,7847,1012,7929,1012,8010,1013,8091,1013,8172,1013,8253,1013,8334,1013,8416,1012,8497,1012,8578,1012,8659,1012,8740,1011,8822,1011,8903,1011e" filled="false" stroked="true" strokeweight="1.8pt" strokecolor="#5b9bd4">
              <v:path arrowok="t"/>
              <v:stroke dashstyle="solid"/>
            </v:shape>
            <v:shape style="position:absolute;left:3631;top:1839;width:142;height:142" type="#_x0000_t75" stroked="false">
              <v:imagedata r:id="rId312" o:title=""/>
            </v:shape>
            <v:shape style="position:absolute;left:4281;top:2324;width:142;height:142" type="#_x0000_t75" stroked="false">
              <v:imagedata r:id="rId312" o:title=""/>
            </v:shape>
            <v:shape style="position:absolute;left:4932;top:829;width:142;height:142" type="#_x0000_t75" stroked="false">
              <v:imagedata r:id="rId312" o:title=""/>
            </v:shape>
            <v:shape style="position:absolute;left:5580;top:879;width:142;height:142" type="#_x0000_t75" stroked="false">
              <v:imagedata r:id="rId312" o:title=""/>
            </v:shape>
            <v:shape style="position:absolute;left:6230;top:1299;width:142;height:142" type="#_x0000_t75" stroked="false">
              <v:imagedata r:id="rId312" o:title=""/>
            </v:shape>
            <v:shape style="position:absolute;left:6880;top:934;width:142;height:142" type="#_x0000_t75" stroked="false">
              <v:imagedata r:id="rId312" o:title=""/>
            </v:shape>
            <v:shape style="position:absolute;left:7528;top:937;width:142;height:142" type="#_x0000_t75" stroked="false">
              <v:imagedata r:id="rId312" o:title=""/>
            </v:shape>
            <v:shape style="position:absolute;left:8179;top:939;width:142;height:142" type="#_x0000_t75" stroked="false">
              <v:imagedata r:id="rId312" o:title=""/>
            </v:shape>
            <v:shape style="position:absolute;left:8829;top:937;width:142;height:142" type="#_x0000_t75" stroked="false">
              <v:imagedata r:id="rId312" o:title=""/>
            </v:shape>
            <v:shape style="position:absolute;left:3706;top:412;width:5196;height:2022" coordorigin="3707,413" coordsize="5196,2022" path="m3707,1915l3753,1954,3800,2001,3846,2055,3892,2111,3939,2169,3985,2227,4032,2281,4078,2330,4124,2373,4217,2427,4263,2434,4310,2426,4387,2370,4449,2277,4480,2216,4511,2147,4542,2072,4573,1991,4604,1905,4635,1816,4666,1725,4696,1633,4727,1541,4758,1450,4789,1362,4820,1277,4851,1197,4882,1122,4913,1055,4944,995,5006,905,5065,850,5124,817,5183,801,5242,800,5301,811,5360,830,5419,855,5478,883,5537,911,5596,936,5655,955,5720,977,5785,1007,5850,1044,5915,1084,5980,1124,6045,1161,6110,1193,6175,1217,6240,1230,6305,1228,6364,1212,6423,1184,6482,1145,6541,1099,6600,1047,6659,992,6718,938,6777,885,6836,837,6895,795,6954,764,7035,733,7117,711,7198,696,7279,686,7360,679,7441,672,7523,664,7604,652,7685,638,7766,624,7847,611,7929,597,8010,583,8091,568,8172,554,8253,539,8334,524,8416,508,8497,493,8578,477,8659,461,8740,445,8822,429,8903,413e" filled="false" stroked="true" strokeweight="1.8pt" strokecolor="#ff0000">
              <v:path arrowok="t"/>
              <v:stroke dashstyle="solid"/>
            </v:shape>
            <v:shape style="position:absolute;left:3631;top:1839;width:142;height:142" type="#_x0000_t75" stroked="false">
              <v:imagedata r:id="rId333" o:title=""/>
            </v:shape>
            <v:shape style="position:absolute;left:4281;top:2324;width:142;height:142" type="#_x0000_t75" stroked="false">
              <v:imagedata r:id="rId333" o:title=""/>
            </v:shape>
            <v:shape style="position:absolute;left:4932;top:829;width:142;height:142" type="#_x0000_t75" stroked="false">
              <v:imagedata r:id="rId333" o:title=""/>
            </v:shape>
            <v:shape style="position:absolute;left:5580;top:879;width:142;height:142" type="#_x0000_t75" stroked="false">
              <v:imagedata r:id="rId333" o:title=""/>
            </v:shape>
            <v:shape style="position:absolute;left:6230;top:1153;width:142;height:142" type="#_x0000_t75" stroked="false">
              <v:imagedata r:id="rId333" o:title=""/>
            </v:shape>
            <v:shape style="position:absolute;left:6880;top:687;width:142;height:142" type="#_x0000_t75" stroked="false">
              <v:imagedata r:id="rId333" o:title=""/>
            </v:shape>
            <v:shape style="position:absolute;left:7528;top:577;width:142;height:142" type="#_x0000_t75" stroked="false">
              <v:imagedata r:id="rId333" o:title=""/>
            </v:shape>
            <v:shape style="position:absolute;left:8179;top:464;width:142;height:142" type="#_x0000_t75" stroked="false">
              <v:imagedata r:id="rId333" o:title=""/>
            </v:shape>
            <v:shape style="position:absolute;left:8829;top:337;width:142;height:142" type="#_x0000_t75" stroked="false">
              <v:imagedata r:id="rId333" o:title=""/>
            </v:shape>
            <v:shape style="position:absolute;left:4363;top:2461;width:310;height:432" type="#_x0000_t202" filled="false" stroked="false">
              <v:textbox inset="0,0,0,0">
                <w:txbxContent>
                  <w:p>
                    <w:pPr>
                      <w:spacing w:before="66"/>
                      <w:ind w:left="57" w:right="0" w:firstLine="0"/>
                      <w:jc w:val="left"/>
                      <w:rPr>
                        <w:b/>
                        <w:sz w:val="14"/>
                      </w:rPr>
                    </w:pPr>
                    <w:r>
                      <w:rPr>
                        <w:b/>
                        <w:color w:val="FF0000"/>
                        <w:w w:val="99"/>
                        <w:sz w:val="14"/>
                      </w:rPr>
                      <w:t>%</w:t>
                    </w:r>
                  </w:p>
                </w:txbxContent>
              </v:textbox>
              <w10:wrap type="none"/>
            </v:shape>
            <v:shape style="position:absolute;left:4039;top:2461;width:310;height:432" type="#_x0000_t202" filled="false" stroked="false">
              <v:textbox inset="0,0,0,0">
                <w:txbxContent>
                  <w:p>
                    <w:pPr>
                      <w:spacing w:before="66"/>
                      <w:ind w:left="67" w:right="-87" w:firstLine="0"/>
                      <w:jc w:val="left"/>
                      <w:rPr>
                        <w:b/>
                        <w:sz w:val="14"/>
                      </w:rPr>
                    </w:pPr>
                    <w:r>
                      <w:rPr>
                        <w:b/>
                        <w:color w:val="FF0000"/>
                        <w:sz w:val="14"/>
                      </w:rPr>
                      <w:t>10.06</w:t>
                    </w:r>
                  </w:p>
                </w:txbxContent>
              </v:textbox>
              <w10:wrap type="none"/>
            </v:shape>
            <v:shape style="position:absolute;left:6312;top:1566;width:310;height:432" type="#_x0000_t202" filled="false" stroked="false">
              <v:textbox inset="0,0,0,0">
                <w:txbxContent>
                  <w:p>
                    <w:pPr>
                      <w:spacing w:line="119" w:lineRule="exact" w:before="0"/>
                      <w:ind w:left="81" w:right="0" w:firstLine="0"/>
                      <w:jc w:val="left"/>
                      <w:rPr>
                        <w:b/>
                        <w:sz w:val="14"/>
                      </w:rPr>
                    </w:pPr>
                    <w:r>
                      <w:rPr>
                        <w:b/>
                        <w:color w:val="006FC0"/>
                        <w:w w:val="99"/>
                        <w:sz w:val="14"/>
                      </w:rPr>
                      <w:t>%</w:t>
                    </w:r>
                  </w:p>
                </w:txbxContent>
              </v:textbox>
              <w10:wrap type="none"/>
            </v:shape>
            <v:shape style="position:absolute;left:5988;top:1566;width:310;height:432" type="#_x0000_t202" filled="false" stroked="false">
              <v:textbox inset="0,0,0,0">
                <w:txbxContent>
                  <w:p>
                    <w:pPr>
                      <w:spacing w:line="119" w:lineRule="exact" w:before="0"/>
                      <w:ind w:left="90" w:right="-101" w:firstLine="0"/>
                      <w:jc w:val="left"/>
                      <w:rPr>
                        <w:b/>
                        <w:sz w:val="14"/>
                      </w:rPr>
                    </w:pPr>
                    <w:r>
                      <w:rPr>
                        <w:b/>
                        <w:color w:val="006FC0"/>
                        <w:sz w:val="14"/>
                      </w:rPr>
                      <w:t>11.20</w:t>
                    </w:r>
                  </w:p>
                </w:txbxContent>
              </v:textbox>
              <w10:wrap type="none"/>
            </v:shape>
            <v:shape style="position:absolute;left:3712;top:1566;width:312;height:432" type="#_x0000_t202" filled="false" stroked="false">
              <v:textbox inset="0,0,0,0">
                <w:txbxContent>
                  <w:p>
                    <w:pPr>
                      <w:spacing w:before="37"/>
                      <w:ind w:left="81" w:right="0" w:firstLine="0"/>
                      <w:jc w:val="left"/>
                      <w:rPr>
                        <w:b/>
                        <w:sz w:val="14"/>
                      </w:rPr>
                    </w:pPr>
                    <w:r>
                      <w:rPr>
                        <w:b/>
                        <w:color w:val="FF0000"/>
                        <w:w w:val="99"/>
                        <w:sz w:val="14"/>
                      </w:rPr>
                      <w:t>%</w:t>
                    </w:r>
                  </w:p>
                </w:txbxContent>
              </v:textbox>
              <w10:wrap type="none"/>
            </v:shape>
            <v:shape style="position:absolute;left:3388;top:1566;width:310;height:432" type="#_x0000_t202" filled="false" stroked="false">
              <v:textbox inset="0,0,0,0">
                <w:txbxContent>
                  <w:p>
                    <w:pPr>
                      <w:spacing w:before="37"/>
                      <w:ind w:left="90" w:right="-101" w:firstLine="0"/>
                      <w:jc w:val="left"/>
                      <w:rPr>
                        <w:b/>
                        <w:sz w:val="14"/>
                      </w:rPr>
                    </w:pPr>
                    <w:r>
                      <w:rPr>
                        <w:b/>
                        <w:color w:val="FF0000"/>
                        <w:sz w:val="14"/>
                      </w:rPr>
                      <w:t>10.60</w:t>
                    </w:r>
                  </w:p>
                </w:txbxContent>
              </v:textbox>
              <w10:wrap type="none"/>
            </v:shape>
            <v:shape style="position:absolute;left:8911;top:1117;width:310;height:435" type="#_x0000_t202" filled="false" stroked="false">
              <v:textbox inset="0,0,0,0">
                <w:txbxContent>
                  <w:p>
                    <w:pPr>
                      <w:spacing w:before="43"/>
                      <w:ind w:left="80" w:right="0" w:firstLine="0"/>
                      <w:jc w:val="left"/>
                      <w:rPr>
                        <w:b/>
                        <w:sz w:val="14"/>
                      </w:rPr>
                    </w:pPr>
                    <w:r>
                      <w:rPr>
                        <w:b/>
                        <w:color w:val="006FC0"/>
                        <w:w w:val="99"/>
                        <w:sz w:val="14"/>
                      </w:rPr>
                      <w:t>%</w:t>
                    </w:r>
                  </w:p>
                </w:txbxContent>
              </v:textbox>
              <w10:wrap type="none"/>
            </v:shape>
            <v:shape style="position:absolute;left:8584;top:1117;width:312;height:435" type="#_x0000_t202" filled="false" stroked="false">
              <v:textbox inset="0,0,0,0">
                <w:txbxContent>
                  <w:p>
                    <w:pPr>
                      <w:spacing w:before="43"/>
                      <w:ind w:left="92" w:right="-101" w:firstLine="0"/>
                      <w:jc w:val="left"/>
                      <w:rPr>
                        <w:b/>
                        <w:sz w:val="14"/>
                      </w:rPr>
                    </w:pPr>
                    <w:r>
                      <w:rPr>
                        <w:b/>
                        <w:color w:val="006FC0"/>
                        <w:sz w:val="14"/>
                      </w:rPr>
                      <w:t>11.61</w:t>
                    </w:r>
                  </w:p>
                </w:txbxContent>
              </v:textbox>
              <w10:wrap type="none"/>
            </v:shape>
            <v:shape style="position:absolute;left:8260;top:1117;width:310;height:435" type="#_x0000_t202" filled="false" stroked="false">
              <v:textbox inset="0,0,0,0">
                <w:txbxContent>
                  <w:p>
                    <w:pPr>
                      <w:spacing w:before="45"/>
                      <w:ind w:left="81" w:right="0" w:firstLine="0"/>
                      <w:jc w:val="left"/>
                      <w:rPr>
                        <w:b/>
                        <w:sz w:val="14"/>
                      </w:rPr>
                    </w:pPr>
                    <w:r>
                      <w:rPr>
                        <w:b/>
                        <w:color w:val="006FC0"/>
                        <w:w w:val="99"/>
                        <w:sz w:val="14"/>
                      </w:rPr>
                      <w:t>%</w:t>
                    </w:r>
                  </w:p>
                </w:txbxContent>
              </v:textbox>
              <w10:wrap type="none"/>
            </v:shape>
            <v:shape style="position:absolute;left:7936;top:1117;width:310;height:435" type="#_x0000_t202" filled="false" stroked="false">
              <v:textbox inset="0,0,0,0">
                <w:txbxContent>
                  <w:p>
                    <w:pPr>
                      <w:spacing w:before="45"/>
                      <w:ind w:left="90" w:right="-101" w:firstLine="0"/>
                      <w:jc w:val="left"/>
                      <w:rPr>
                        <w:b/>
                        <w:sz w:val="14"/>
                      </w:rPr>
                    </w:pPr>
                    <w:r>
                      <w:rPr>
                        <w:b/>
                        <w:color w:val="006FC0"/>
                        <w:sz w:val="14"/>
                      </w:rPr>
                      <w:t>11.61</w:t>
                    </w:r>
                  </w:p>
                </w:txbxContent>
              </v:textbox>
              <w10:wrap type="none"/>
            </v:shape>
            <v:shape style="position:absolute;left:7610;top:1117;width:312;height:435" type="#_x0000_t202" filled="false" stroked="false">
              <v:textbox inset="0,0,0,0">
                <w:txbxContent>
                  <w:p>
                    <w:pPr>
                      <w:spacing w:before="1"/>
                      <w:ind w:left="101" w:right="0" w:firstLine="0"/>
                      <w:jc w:val="left"/>
                      <w:rPr>
                        <w:b/>
                        <w:sz w:val="14"/>
                      </w:rPr>
                    </w:pPr>
                    <w:r>
                      <w:rPr>
                        <w:b/>
                        <w:color w:val="006FC0"/>
                        <w:w w:val="99"/>
                        <w:sz w:val="14"/>
                      </w:rPr>
                      <w:t>%</w:t>
                    </w:r>
                  </w:p>
                </w:txbxContent>
              </v:textbox>
              <w10:wrap type="none"/>
            </v:shape>
            <v:shape style="position:absolute;left:7286;top:1117;width:310;height:435" type="#_x0000_t202" filled="false" stroked="false">
              <v:textbox inset="0,0,0,0">
                <w:txbxContent>
                  <w:p>
                    <w:pPr>
                      <w:spacing w:before="1"/>
                      <w:ind w:left="110" w:right="-130" w:firstLine="0"/>
                      <w:jc w:val="left"/>
                      <w:rPr>
                        <w:b/>
                        <w:sz w:val="14"/>
                      </w:rPr>
                    </w:pPr>
                    <w:r>
                      <w:rPr>
                        <w:b/>
                        <w:color w:val="006FC0"/>
                        <w:sz w:val="14"/>
                      </w:rPr>
                      <w:t>11.61</w:t>
                    </w:r>
                  </w:p>
                </w:txbxContent>
              </v:textbox>
              <w10:wrap type="none"/>
            </v:shape>
            <v:shape style="position:absolute;left:6962;top:1117;width:310;height:435" type="#_x0000_t202" filled="false" stroked="false">
              <v:textbox inset="0,0,0,0">
                <w:txbxContent>
                  <w:p>
                    <w:pPr>
                      <w:spacing w:before="41"/>
                      <w:ind w:left="80" w:right="0" w:firstLine="0"/>
                      <w:jc w:val="left"/>
                      <w:rPr>
                        <w:b/>
                        <w:sz w:val="14"/>
                      </w:rPr>
                    </w:pPr>
                    <w:r>
                      <w:rPr>
                        <w:b/>
                        <w:color w:val="006FC0"/>
                        <w:w w:val="99"/>
                        <w:sz w:val="14"/>
                      </w:rPr>
                      <w:t>%</w:t>
                    </w:r>
                  </w:p>
                </w:txbxContent>
              </v:textbox>
              <w10:wrap type="none"/>
            </v:shape>
            <v:shape style="position:absolute;left:6636;top:1117;width:312;height:435" type="#_x0000_t202" filled="false" stroked="false">
              <v:textbox inset="0,0,0,0">
                <w:txbxContent>
                  <w:p>
                    <w:pPr>
                      <w:spacing w:before="41"/>
                      <w:ind w:left="92" w:right="-101" w:firstLine="0"/>
                      <w:jc w:val="left"/>
                      <w:rPr>
                        <w:b/>
                        <w:sz w:val="14"/>
                      </w:rPr>
                    </w:pPr>
                    <w:r>
                      <w:rPr>
                        <w:b/>
                        <w:color w:val="006FC0"/>
                        <w:sz w:val="14"/>
                      </w:rPr>
                      <w:t>11.61</w:t>
                    </w:r>
                  </w:p>
                </w:txbxContent>
              </v:textbox>
              <w10:wrap type="none"/>
            </v:shape>
            <v:shape style="position:absolute;left:6312;top:670;width:310;height:432" type="#_x0000_t202" filled="false" stroked="false">
              <v:textbox inset="0,0,0,0">
                <w:txbxContent>
                  <w:p>
                    <w:pPr>
                      <w:spacing w:line="240" w:lineRule="auto" w:before="0"/>
                      <w:rPr>
                        <w:sz w:val="14"/>
                      </w:rPr>
                    </w:pPr>
                  </w:p>
                  <w:p>
                    <w:pPr>
                      <w:spacing w:before="84"/>
                      <w:ind w:left="81" w:right="0" w:firstLine="0"/>
                      <w:jc w:val="left"/>
                      <w:rPr>
                        <w:b/>
                        <w:sz w:val="14"/>
                      </w:rPr>
                    </w:pPr>
                    <w:r>
                      <w:rPr>
                        <w:b/>
                        <w:color w:val="FF0000"/>
                        <w:w w:val="99"/>
                        <w:sz w:val="14"/>
                      </w:rPr>
                      <w:t>%</w:t>
                    </w:r>
                  </w:p>
                </w:txbxContent>
              </v:textbox>
              <w10:wrap type="none"/>
            </v:shape>
            <v:shape style="position:absolute;left:5988;top:670;width:310;height:432" type="#_x0000_t202" filled="false" stroked="false">
              <v:textbox inset="0,0,0,0">
                <w:txbxContent>
                  <w:p>
                    <w:pPr>
                      <w:spacing w:line="240" w:lineRule="auto" w:before="0"/>
                      <w:rPr>
                        <w:sz w:val="14"/>
                      </w:rPr>
                    </w:pPr>
                  </w:p>
                  <w:p>
                    <w:pPr>
                      <w:spacing w:before="84"/>
                      <w:ind w:left="90" w:right="-101" w:firstLine="0"/>
                      <w:jc w:val="left"/>
                      <w:rPr>
                        <w:b/>
                        <w:sz w:val="14"/>
                      </w:rPr>
                    </w:pPr>
                    <w:r>
                      <w:rPr>
                        <w:b/>
                        <w:color w:val="FF0000"/>
                        <w:sz w:val="14"/>
                      </w:rPr>
                      <w:t>11.37</w:t>
                    </w:r>
                  </w:p>
                </w:txbxContent>
              </v:textbox>
              <w10:wrap type="none"/>
            </v:shape>
            <v:shape style="position:absolute;left:5661;top:670;width:312;height:432" type="#_x0000_t202" filled="false" stroked="false">
              <v:textbox inset="0,0,0,0">
                <w:txbxContent>
                  <w:p>
                    <w:pPr>
                      <w:spacing w:line="132" w:lineRule="exact" w:before="0"/>
                      <w:ind w:left="81" w:right="0" w:firstLine="0"/>
                      <w:jc w:val="left"/>
                      <w:rPr>
                        <w:b/>
                        <w:sz w:val="14"/>
                      </w:rPr>
                    </w:pPr>
                    <w:r>
                      <w:rPr>
                        <w:b/>
                        <w:color w:val="FF0000"/>
                        <w:w w:val="99"/>
                        <w:sz w:val="14"/>
                      </w:rPr>
                      <w:t>%</w:t>
                    </w:r>
                  </w:p>
                </w:txbxContent>
              </v:textbox>
              <w10:wrap type="none"/>
            </v:shape>
            <v:shape style="position:absolute;left:5337;top:670;width:310;height:432" type="#_x0000_t202" filled="false" stroked="false">
              <v:textbox inset="0,0,0,0">
                <w:txbxContent>
                  <w:p>
                    <w:pPr>
                      <w:spacing w:line="132" w:lineRule="exact" w:before="0"/>
                      <w:ind w:left="91" w:right="-101" w:firstLine="0"/>
                      <w:jc w:val="left"/>
                      <w:rPr>
                        <w:b/>
                        <w:sz w:val="14"/>
                      </w:rPr>
                    </w:pPr>
                    <w:r>
                      <w:rPr>
                        <w:b/>
                        <w:color w:val="FF0000"/>
                        <w:sz w:val="14"/>
                      </w:rPr>
                      <w:t>11.68</w:t>
                    </w:r>
                  </w:p>
                </w:txbxContent>
              </v:textbox>
              <w10:wrap type="none"/>
            </v:shape>
            <v:shape style="position:absolute;left:5013;top:670;width:310;height:432" type="#_x0000_t202" filled="false" stroked="false">
              <v:textbox inset="0,0,0,0">
                <w:txbxContent>
                  <w:p>
                    <w:pPr>
                      <w:spacing w:line="82" w:lineRule="exact" w:before="0"/>
                      <w:ind w:left="79" w:right="0" w:firstLine="0"/>
                      <w:jc w:val="left"/>
                      <w:rPr>
                        <w:b/>
                        <w:sz w:val="14"/>
                      </w:rPr>
                    </w:pPr>
                    <w:r>
                      <w:rPr>
                        <w:b/>
                        <w:color w:val="FF0000"/>
                        <w:w w:val="99"/>
                        <w:sz w:val="14"/>
                      </w:rPr>
                      <w:t>%</w:t>
                    </w:r>
                  </w:p>
                </w:txbxContent>
              </v:textbox>
              <w10:wrap type="none"/>
            </v:shape>
            <v:shape style="position:absolute;left:4687;top:670;width:312;height:432" type="#_x0000_t202" filled="false" stroked="false">
              <v:textbox inset="0,0,0,0">
                <w:txbxContent>
                  <w:p>
                    <w:pPr>
                      <w:spacing w:line="82" w:lineRule="exact" w:before="0"/>
                      <w:ind w:left="91" w:right="-101" w:firstLine="0"/>
                      <w:jc w:val="left"/>
                      <w:rPr>
                        <w:b/>
                        <w:sz w:val="14"/>
                      </w:rPr>
                    </w:pPr>
                    <w:r>
                      <w:rPr>
                        <w:b/>
                        <w:color w:val="FF0000"/>
                        <w:sz w:val="14"/>
                      </w:rPr>
                      <w:t>11.73</w:t>
                    </w:r>
                  </w:p>
                </w:txbxContent>
              </v:textbox>
              <w10:wrap type="none"/>
            </v:shape>
            <v:shape style="position:absolute;left:8260;top:224;width:310;height:432" type="#_x0000_t202" filled="false" stroked="false">
              <v:textbox inset="0,0,0,0">
                <w:txbxContent>
                  <w:p>
                    <w:pPr>
                      <w:spacing w:before="1"/>
                      <w:ind w:left="81" w:right="0" w:firstLine="0"/>
                      <w:jc w:val="left"/>
                      <w:rPr>
                        <w:b/>
                        <w:sz w:val="14"/>
                      </w:rPr>
                    </w:pPr>
                    <w:r>
                      <w:rPr>
                        <w:b/>
                        <w:color w:val="FF0000"/>
                        <w:w w:val="99"/>
                        <w:sz w:val="14"/>
                      </w:rPr>
                      <w:t>%</w:t>
                    </w:r>
                  </w:p>
                </w:txbxContent>
              </v:textbox>
              <w10:wrap type="none"/>
            </v:shape>
            <v:shape style="position:absolute;left:7936;top:224;width:310;height:432" type="#_x0000_t202" filled="false" stroked="false">
              <v:textbox inset="0,0,0,0">
                <w:txbxContent>
                  <w:p>
                    <w:pPr>
                      <w:spacing w:before="1"/>
                      <w:ind w:left="90" w:right="-101" w:firstLine="0"/>
                      <w:jc w:val="left"/>
                      <w:rPr>
                        <w:b/>
                        <w:sz w:val="14"/>
                      </w:rPr>
                    </w:pPr>
                    <w:r>
                      <w:rPr>
                        <w:b/>
                        <w:color w:val="FF0000"/>
                        <w:sz w:val="14"/>
                      </w:rPr>
                      <w:t>12.14</w:t>
                    </w:r>
                  </w:p>
                </w:txbxContent>
              </v:textbox>
              <w10:wrap type="none"/>
            </v:shape>
            <v:shape style="position:absolute;left:7610;top:224;width:312;height:432" type="#_x0000_t202" filled="false" stroked="false">
              <v:textbox inset="0,0,0,0">
                <w:txbxContent>
                  <w:p>
                    <w:pPr>
                      <w:spacing w:before="115"/>
                      <w:ind w:left="81" w:right="0" w:firstLine="0"/>
                      <w:jc w:val="left"/>
                      <w:rPr>
                        <w:b/>
                        <w:sz w:val="14"/>
                      </w:rPr>
                    </w:pPr>
                    <w:r>
                      <w:rPr>
                        <w:b/>
                        <w:color w:val="FF0000"/>
                        <w:w w:val="99"/>
                        <w:sz w:val="14"/>
                      </w:rPr>
                      <w:t>%</w:t>
                    </w:r>
                  </w:p>
                </w:txbxContent>
              </v:textbox>
              <w10:wrap type="none"/>
            </v:shape>
            <v:shape style="position:absolute;left:7286;top:224;width:310;height:432" type="#_x0000_t202" filled="false" stroked="false">
              <v:textbox inset="0,0,0,0">
                <w:txbxContent>
                  <w:p>
                    <w:pPr>
                      <w:spacing w:before="115"/>
                      <w:ind w:left="91" w:right="-101" w:firstLine="0"/>
                      <w:jc w:val="left"/>
                      <w:rPr>
                        <w:b/>
                        <w:sz w:val="14"/>
                      </w:rPr>
                    </w:pPr>
                    <w:r>
                      <w:rPr>
                        <w:b/>
                        <w:color w:val="FF0000"/>
                        <w:sz w:val="14"/>
                      </w:rPr>
                      <w:t>12.01</w:t>
                    </w:r>
                  </w:p>
                </w:txbxContent>
              </v:textbox>
              <w10:wrap type="none"/>
            </v:shape>
            <v:shape style="position:absolute;left:6962;top:224;width:310;height:432" type="#_x0000_t202" filled="false" stroked="false">
              <v:textbox inset="0,0,0,0">
                <w:txbxContent>
                  <w:p>
                    <w:pPr>
                      <w:spacing w:line="240" w:lineRule="auto" w:before="8"/>
                      <w:rPr>
                        <w:sz w:val="19"/>
                      </w:rPr>
                    </w:pPr>
                  </w:p>
                  <w:p>
                    <w:pPr>
                      <w:spacing w:before="0"/>
                      <w:ind w:left="80" w:right="0" w:firstLine="0"/>
                      <w:jc w:val="left"/>
                      <w:rPr>
                        <w:b/>
                        <w:sz w:val="14"/>
                      </w:rPr>
                    </w:pPr>
                    <w:r>
                      <w:rPr>
                        <w:b/>
                        <w:color w:val="FF0000"/>
                        <w:w w:val="99"/>
                        <w:sz w:val="14"/>
                      </w:rPr>
                      <w:t>%</w:t>
                    </w:r>
                  </w:p>
                </w:txbxContent>
              </v:textbox>
              <w10:wrap type="none"/>
            </v:shape>
            <v:shape style="position:absolute;left:6636;top:224;width:312;height:432" type="#_x0000_t202" filled="false" stroked="false">
              <v:textbox inset="0,0,0,0">
                <w:txbxContent>
                  <w:p>
                    <w:pPr>
                      <w:spacing w:line="240" w:lineRule="auto" w:before="8"/>
                      <w:rPr>
                        <w:sz w:val="19"/>
                      </w:rPr>
                    </w:pPr>
                  </w:p>
                  <w:p>
                    <w:pPr>
                      <w:spacing w:before="0"/>
                      <w:ind w:left="92" w:right="-101" w:firstLine="0"/>
                      <w:jc w:val="left"/>
                      <w:rPr>
                        <w:b/>
                        <w:sz w:val="14"/>
                      </w:rPr>
                    </w:pPr>
                    <w:r>
                      <w:rPr>
                        <w:b/>
                        <w:color w:val="FF0000"/>
                        <w:sz w:val="14"/>
                      </w:rPr>
                      <w:t>11.89</w:t>
                    </w:r>
                  </w:p>
                </w:txbxContent>
              </v:textbox>
              <w10:wrap type="none"/>
            </v:shape>
            <w10:wrap type="none"/>
          </v:group>
        </w:pict>
      </w:r>
      <w:r>
        <w:rPr>
          <w:b/>
          <w:color w:val="FF0000"/>
          <w:sz w:val="14"/>
        </w:rPr>
        <w:t>12.28%</w:t>
      </w:r>
    </w:p>
    <w:p>
      <w:pPr>
        <w:spacing w:after="0"/>
        <w:jc w:val="left"/>
        <w:rPr>
          <w:sz w:val="14"/>
        </w:rPr>
        <w:sectPr>
          <w:pgSz w:w="12240" w:h="15840"/>
          <w:pgMar w:header="715" w:footer="688" w:top="1240" w:bottom="880" w:left="1140" w:right="0"/>
          <w:cols w:num="3" w:equalWidth="0">
            <w:col w:w="2142" w:space="40"/>
            <w:col w:w="4943" w:space="39"/>
            <w:col w:w="3936"/>
          </w:cols>
        </w:sectPr>
      </w:pPr>
    </w:p>
    <w:p>
      <w:pPr>
        <w:pStyle w:val="BodyText"/>
        <w:spacing w:before="7"/>
        <w:rPr>
          <w:b/>
          <w:sz w:val="18"/>
        </w:rPr>
      </w:pPr>
    </w:p>
    <w:p>
      <w:pPr>
        <w:spacing w:before="95"/>
        <w:ind w:left="1770" w:right="0" w:firstLine="0"/>
        <w:jc w:val="left"/>
        <w:rPr>
          <w:sz w:val="12"/>
        </w:rPr>
      </w:pPr>
      <w:r>
        <w:rPr>
          <w:color w:val="585858"/>
          <w:sz w:val="12"/>
        </w:rPr>
        <w:t>12.00%</w:t>
      </w:r>
    </w:p>
    <w:p>
      <w:pPr>
        <w:pStyle w:val="BodyText"/>
        <w:spacing w:before="8"/>
        <w:rPr>
          <w:sz w:val="18"/>
        </w:rPr>
      </w:pPr>
    </w:p>
    <w:p>
      <w:pPr>
        <w:spacing w:before="95"/>
        <w:ind w:left="1770" w:right="0" w:firstLine="0"/>
        <w:jc w:val="left"/>
        <w:rPr>
          <w:sz w:val="12"/>
        </w:rPr>
      </w:pPr>
      <w:r>
        <w:rPr>
          <w:color w:val="585858"/>
          <w:sz w:val="12"/>
        </w:rPr>
        <w:t>11.50%</w:t>
      </w:r>
    </w:p>
    <w:p>
      <w:pPr>
        <w:pStyle w:val="BodyText"/>
        <w:spacing w:before="7"/>
        <w:rPr>
          <w:sz w:val="18"/>
        </w:rPr>
      </w:pPr>
    </w:p>
    <w:p>
      <w:pPr>
        <w:spacing w:before="95"/>
        <w:ind w:left="1770" w:right="0" w:firstLine="0"/>
        <w:jc w:val="left"/>
        <w:rPr>
          <w:sz w:val="12"/>
        </w:rPr>
      </w:pPr>
      <w:r>
        <w:rPr>
          <w:color w:val="585858"/>
          <w:sz w:val="12"/>
        </w:rPr>
        <w:t>11.00%</w:t>
      </w:r>
    </w:p>
    <w:p>
      <w:pPr>
        <w:pStyle w:val="BodyText"/>
        <w:spacing w:before="8"/>
        <w:rPr>
          <w:sz w:val="18"/>
        </w:rPr>
      </w:pPr>
    </w:p>
    <w:p>
      <w:pPr>
        <w:spacing w:before="95"/>
        <w:ind w:left="1770" w:right="0" w:firstLine="0"/>
        <w:jc w:val="left"/>
        <w:rPr>
          <w:sz w:val="12"/>
        </w:rPr>
      </w:pPr>
      <w:r>
        <w:rPr>
          <w:color w:val="585858"/>
          <w:sz w:val="12"/>
        </w:rPr>
        <w:t>10.50%</w:t>
      </w:r>
    </w:p>
    <w:p>
      <w:pPr>
        <w:pStyle w:val="BodyText"/>
        <w:spacing w:before="7"/>
        <w:rPr>
          <w:sz w:val="18"/>
        </w:rPr>
      </w:pPr>
    </w:p>
    <w:p>
      <w:pPr>
        <w:spacing w:before="95"/>
        <w:ind w:left="1770" w:right="0" w:firstLine="0"/>
        <w:jc w:val="left"/>
        <w:rPr>
          <w:sz w:val="12"/>
        </w:rPr>
      </w:pPr>
      <w:r>
        <w:rPr>
          <w:color w:val="585858"/>
          <w:sz w:val="12"/>
        </w:rPr>
        <w:t>10.00%</w:t>
      </w:r>
    </w:p>
    <w:p>
      <w:pPr>
        <w:pStyle w:val="BodyText"/>
        <w:spacing w:before="7"/>
        <w:rPr>
          <w:sz w:val="18"/>
        </w:rPr>
      </w:pPr>
    </w:p>
    <w:p>
      <w:pPr>
        <w:spacing w:after="0"/>
        <w:rPr>
          <w:sz w:val="18"/>
        </w:rPr>
        <w:sectPr>
          <w:type w:val="continuous"/>
          <w:pgSz w:w="12240" w:h="15840"/>
          <w:pgMar w:top="1500" w:bottom="280" w:left="1140" w:right="0"/>
        </w:sectPr>
      </w:pPr>
    </w:p>
    <w:p>
      <w:pPr>
        <w:spacing w:before="96"/>
        <w:ind w:left="0" w:right="0" w:firstLine="0"/>
        <w:jc w:val="right"/>
        <w:rPr>
          <w:sz w:val="12"/>
        </w:rPr>
      </w:pPr>
      <w:r>
        <w:rPr>
          <w:color w:val="585858"/>
          <w:sz w:val="12"/>
        </w:rPr>
        <w:t>9.50%</w:t>
      </w:r>
    </w:p>
    <w:p>
      <w:pPr>
        <w:pStyle w:val="BodyText"/>
        <w:rPr>
          <w:sz w:val="12"/>
        </w:rPr>
      </w:pPr>
      <w:r>
        <w:rPr/>
        <w:br w:type="column"/>
      </w:r>
      <w:r>
        <w:rPr>
          <w:sz w:val="12"/>
        </w:rPr>
      </w:r>
    </w:p>
    <w:p>
      <w:pPr>
        <w:spacing w:before="99"/>
        <w:ind w:left="266" w:right="0" w:firstLine="0"/>
        <w:jc w:val="left"/>
        <w:rPr>
          <w:b/>
          <w:sz w:val="12"/>
        </w:rPr>
      </w:pPr>
      <w:r>
        <w:rPr>
          <w:b/>
          <w:color w:val="585858"/>
          <w:sz w:val="12"/>
        </w:rPr>
        <w:t>2019</w:t>
      </w:r>
    </w:p>
    <w:p>
      <w:pPr>
        <w:pStyle w:val="BodyText"/>
        <w:rPr>
          <w:b/>
          <w:sz w:val="12"/>
        </w:rPr>
      </w:pPr>
      <w:r>
        <w:rPr/>
        <w:br w:type="column"/>
      </w:r>
      <w:r>
        <w:rPr>
          <w:b/>
          <w:sz w:val="12"/>
        </w:rPr>
      </w:r>
    </w:p>
    <w:p>
      <w:pPr>
        <w:spacing w:before="99"/>
        <w:ind w:left="369" w:right="0" w:firstLine="0"/>
        <w:jc w:val="left"/>
        <w:rPr>
          <w:b/>
          <w:sz w:val="12"/>
        </w:rPr>
      </w:pPr>
      <w:r>
        <w:rPr>
          <w:b/>
          <w:color w:val="585858"/>
          <w:sz w:val="12"/>
        </w:rPr>
        <w:t>2020</w:t>
      </w:r>
    </w:p>
    <w:p>
      <w:pPr>
        <w:pStyle w:val="BodyText"/>
        <w:rPr>
          <w:b/>
          <w:sz w:val="12"/>
        </w:rPr>
      </w:pPr>
      <w:r>
        <w:rPr/>
        <w:br w:type="column"/>
      </w:r>
      <w:r>
        <w:rPr>
          <w:b/>
          <w:sz w:val="12"/>
        </w:rPr>
      </w:r>
    </w:p>
    <w:p>
      <w:pPr>
        <w:spacing w:before="99"/>
        <w:ind w:left="369" w:right="0" w:firstLine="0"/>
        <w:jc w:val="left"/>
        <w:rPr>
          <w:b/>
          <w:sz w:val="12"/>
        </w:rPr>
      </w:pPr>
      <w:r>
        <w:rPr>
          <w:b/>
          <w:color w:val="585858"/>
          <w:sz w:val="12"/>
        </w:rPr>
        <w:t>2021</w:t>
      </w:r>
    </w:p>
    <w:p>
      <w:pPr>
        <w:pStyle w:val="BodyText"/>
        <w:rPr>
          <w:b/>
          <w:sz w:val="12"/>
        </w:rPr>
      </w:pPr>
      <w:r>
        <w:rPr/>
        <w:br w:type="column"/>
      </w:r>
      <w:r>
        <w:rPr>
          <w:b/>
          <w:sz w:val="12"/>
        </w:rPr>
      </w:r>
    </w:p>
    <w:p>
      <w:pPr>
        <w:spacing w:before="99"/>
        <w:ind w:left="369" w:right="0" w:firstLine="0"/>
        <w:jc w:val="left"/>
        <w:rPr>
          <w:b/>
          <w:sz w:val="12"/>
        </w:rPr>
      </w:pPr>
      <w:r>
        <w:rPr>
          <w:b/>
          <w:color w:val="585858"/>
          <w:sz w:val="12"/>
        </w:rPr>
        <w:t>2022</w:t>
      </w:r>
    </w:p>
    <w:p>
      <w:pPr>
        <w:pStyle w:val="BodyText"/>
        <w:rPr>
          <w:b/>
          <w:sz w:val="12"/>
        </w:rPr>
      </w:pPr>
      <w:r>
        <w:rPr/>
        <w:br w:type="column"/>
      </w:r>
      <w:r>
        <w:rPr>
          <w:b/>
          <w:sz w:val="12"/>
        </w:rPr>
      </w:r>
    </w:p>
    <w:p>
      <w:pPr>
        <w:spacing w:before="99"/>
        <w:ind w:left="369" w:right="0" w:firstLine="0"/>
        <w:jc w:val="left"/>
        <w:rPr>
          <w:b/>
          <w:sz w:val="12"/>
        </w:rPr>
      </w:pPr>
      <w:r>
        <w:rPr>
          <w:b/>
          <w:color w:val="585858"/>
          <w:sz w:val="12"/>
        </w:rPr>
        <w:t>2023</w:t>
      </w:r>
    </w:p>
    <w:p>
      <w:pPr>
        <w:pStyle w:val="BodyText"/>
        <w:rPr>
          <w:b/>
          <w:sz w:val="12"/>
        </w:rPr>
      </w:pPr>
      <w:r>
        <w:rPr/>
        <w:br w:type="column"/>
      </w:r>
      <w:r>
        <w:rPr>
          <w:b/>
          <w:sz w:val="12"/>
        </w:rPr>
      </w:r>
    </w:p>
    <w:p>
      <w:pPr>
        <w:spacing w:before="99"/>
        <w:ind w:left="369" w:right="0" w:firstLine="0"/>
        <w:jc w:val="left"/>
        <w:rPr>
          <w:b/>
          <w:sz w:val="12"/>
        </w:rPr>
      </w:pPr>
      <w:r>
        <w:rPr>
          <w:b/>
          <w:color w:val="585858"/>
          <w:sz w:val="12"/>
        </w:rPr>
        <w:t>2024</w:t>
      </w:r>
    </w:p>
    <w:p>
      <w:pPr>
        <w:pStyle w:val="BodyText"/>
        <w:rPr>
          <w:b/>
          <w:sz w:val="12"/>
        </w:rPr>
      </w:pPr>
      <w:r>
        <w:rPr/>
        <w:br w:type="column"/>
      </w:r>
      <w:r>
        <w:rPr>
          <w:b/>
          <w:sz w:val="12"/>
        </w:rPr>
      </w:r>
    </w:p>
    <w:p>
      <w:pPr>
        <w:spacing w:before="99"/>
        <w:ind w:left="369" w:right="0" w:firstLine="0"/>
        <w:jc w:val="left"/>
        <w:rPr>
          <w:b/>
          <w:sz w:val="12"/>
        </w:rPr>
      </w:pPr>
      <w:r>
        <w:rPr>
          <w:b/>
          <w:color w:val="585858"/>
          <w:sz w:val="12"/>
        </w:rPr>
        <w:t>2025</w:t>
      </w:r>
    </w:p>
    <w:p>
      <w:pPr>
        <w:pStyle w:val="BodyText"/>
        <w:rPr>
          <w:b/>
          <w:sz w:val="12"/>
        </w:rPr>
      </w:pPr>
      <w:r>
        <w:rPr/>
        <w:br w:type="column"/>
      </w:r>
      <w:r>
        <w:rPr>
          <w:b/>
          <w:sz w:val="12"/>
        </w:rPr>
      </w:r>
    </w:p>
    <w:p>
      <w:pPr>
        <w:spacing w:before="99"/>
        <w:ind w:left="369" w:right="0" w:firstLine="0"/>
        <w:jc w:val="left"/>
        <w:rPr>
          <w:b/>
          <w:sz w:val="12"/>
        </w:rPr>
      </w:pPr>
      <w:r>
        <w:rPr>
          <w:b/>
          <w:color w:val="585858"/>
          <w:sz w:val="12"/>
        </w:rPr>
        <w:t>2026</w:t>
      </w:r>
    </w:p>
    <w:p>
      <w:pPr>
        <w:pStyle w:val="BodyText"/>
        <w:rPr>
          <w:b/>
          <w:sz w:val="12"/>
        </w:rPr>
      </w:pPr>
      <w:r>
        <w:rPr/>
        <w:br w:type="column"/>
      </w:r>
      <w:r>
        <w:rPr>
          <w:b/>
          <w:sz w:val="12"/>
        </w:rPr>
      </w:r>
    </w:p>
    <w:p>
      <w:pPr>
        <w:spacing w:before="99"/>
        <w:ind w:left="369" w:right="0" w:firstLine="0"/>
        <w:jc w:val="left"/>
        <w:rPr>
          <w:b/>
          <w:sz w:val="12"/>
        </w:rPr>
      </w:pPr>
      <w:r>
        <w:rPr>
          <w:b/>
          <w:color w:val="585858"/>
          <w:sz w:val="12"/>
        </w:rPr>
        <w:t>2027</w:t>
      </w:r>
    </w:p>
    <w:p>
      <w:pPr>
        <w:spacing w:after="0"/>
        <w:jc w:val="left"/>
        <w:rPr>
          <w:sz w:val="12"/>
        </w:rPr>
        <w:sectPr>
          <w:type w:val="continuous"/>
          <w:pgSz w:w="12240" w:h="15840"/>
          <w:pgMar w:top="1500" w:bottom="280" w:left="1140" w:right="0"/>
          <w:cols w:num="10" w:equalWidth="0">
            <w:col w:w="2142" w:space="40"/>
            <w:col w:w="507" w:space="39"/>
            <w:col w:w="610" w:space="39"/>
            <w:col w:w="610" w:space="40"/>
            <w:col w:w="610" w:space="39"/>
            <w:col w:w="610" w:space="40"/>
            <w:col w:w="610" w:space="40"/>
            <w:col w:w="610" w:space="39"/>
            <w:col w:w="610" w:space="40"/>
            <w:col w:w="3825"/>
          </w:cols>
        </w:sectPr>
      </w:pPr>
    </w:p>
    <w:p>
      <w:pPr>
        <w:pStyle w:val="BodyText"/>
        <w:spacing w:before="2"/>
        <w:rPr>
          <w:b/>
          <w:sz w:val="12"/>
        </w:rPr>
      </w:pPr>
    </w:p>
    <w:p>
      <w:pPr>
        <w:tabs>
          <w:tab w:pos="1547" w:val="left" w:leader="none"/>
        </w:tabs>
        <w:spacing w:before="1"/>
        <w:ind w:left="0" w:right="622" w:firstLine="0"/>
        <w:jc w:val="center"/>
        <w:rPr>
          <w:sz w:val="12"/>
        </w:rPr>
      </w:pPr>
      <w:r>
        <w:rPr/>
        <w:pict>
          <v:group style="position:absolute;margin-left:241.020004pt;margin-top:1.431533pt;width:19.2pt;height:4.2pt;mso-position-horizontal-relative:page;mso-position-vertical-relative:paragraph;z-index:253238272" coordorigin="4820,29" coordsize="384,84">
            <v:line style="position:absolute" from="4820,73" to="5204,73" stroked="true" strokeweight="1.8pt" strokecolor="#5b9bd4">
              <v:stroke dashstyle="solid"/>
            </v:line>
            <v:shape style="position:absolute;left:4980;top:40;width:60;height:60" coordorigin="4980,41" coordsize="60,60" path="m5010,41l4998,43,4989,49,4982,59,4980,71,4982,82,4989,92,4998,98,5010,101,5022,98,5031,92,5038,82,5040,71,5038,59,5031,49,5022,43,5010,41xe" filled="true" fillcolor="#ffffff" stroked="false">
              <v:path arrowok="t"/>
              <v:fill type="solid"/>
            </v:shape>
            <v:shape style="position:absolute;left:4980;top:40;width:60;height:60" coordorigin="4980,41" coordsize="60,60" path="m5040,71l5038,82,5031,92,5022,98,5010,101,4998,98,4989,92,4982,82,4980,71,4982,59,4989,49,4998,43,5010,41,5022,43,5031,49,5038,59,5040,71xe" filled="false" stroked="true" strokeweight="1.2pt" strokecolor="#5b9bd4">
              <v:path arrowok="t"/>
              <v:stroke dashstyle="solid"/>
            </v:shape>
            <w10:wrap type="none"/>
          </v:group>
        </w:pict>
      </w:r>
      <w:r>
        <w:rPr/>
        <w:pict>
          <v:group style="position:absolute;margin-left:318.420013pt;margin-top:1.431533pt;width:19.2pt;height:4.2pt;mso-position-horizontal-relative:page;mso-position-vertical-relative:paragraph;z-index:-280080384" coordorigin="6368,29" coordsize="384,84">
            <v:line style="position:absolute" from="6368,73" to="6752,73" stroked="true" strokeweight="1.8pt" strokecolor="#ff0000">
              <v:stroke dashstyle="solid"/>
            </v:line>
            <v:shape style="position:absolute;left:6528;top:40;width:60;height:60" coordorigin="6528,41" coordsize="60,60" path="m6558,41l6546,43,6537,49,6530,59,6528,71,6530,82,6537,92,6546,98,6558,101,6570,98,6579,92,6586,82,6588,71,6586,59,6579,49,6570,43,6558,41xe" filled="true" fillcolor="#ffffff" stroked="false">
              <v:path arrowok="t"/>
              <v:fill type="solid"/>
            </v:shape>
            <v:shape style="position:absolute;left:6528;top:40;width:60;height:60" coordorigin="6528,41" coordsize="60,60" path="m6588,71l6586,82,6579,92,6570,98,6558,101,6546,98,6537,92,6530,82,6528,71,6530,59,6537,49,6546,43,6558,41,6570,43,6579,49,6586,59,6588,71xe" filled="false" stroked="true" strokeweight="1.2pt" strokecolor="#ff0000">
              <v:path arrowok="t"/>
              <v:stroke dashstyle="solid"/>
            </v:shape>
            <w10:wrap type="none"/>
          </v:group>
        </w:pict>
      </w:r>
      <w:r>
        <w:rPr>
          <w:color w:val="585858"/>
          <w:sz w:val="12"/>
        </w:rPr>
        <w:t>Carga</w:t>
      </w:r>
      <w:r>
        <w:rPr>
          <w:color w:val="585858"/>
          <w:spacing w:val="-2"/>
          <w:sz w:val="12"/>
        </w:rPr>
        <w:t> </w:t>
      </w:r>
      <w:r>
        <w:rPr>
          <w:color w:val="585858"/>
          <w:sz w:val="12"/>
        </w:rPr>
        <w:t>Presupuesto</w:t>
        <w:tab/>
        <w:t>Escenario</w:t>
      </w:r>
      <w:r>
        <w:rPr>
          <w:color w:val="585858"/>
          <w:spacing w:val="1"/>
          <w:sz w:val="12"/>
        </w:rPr>
        <w:t> </w:t>
      </w:r>
      <w:r>
        <w:rPr>
          <w:color w:val="585858"/>
          <w:sz w:val="12"/>
        </w:rPr>
        <w:t>Alto</w:t>
      </w:r>
    </w:p>
    <w:p>
      <w:pPr>
        <w:spacing w:before="58"/>
        <w:ind w:left="1270" w:right="0" w:firstLine="0"/>
        <w:jc w:val="left"/>
        <w:rPr>
          <w:sz w:val="16"/>
        </w:rPr>
      </w:pPr>
      <w:r>
        <w:rPr>
          <w:sz w:val="16"/>
        </w:rPr>
        <w:t>Fuente: Dirección de Análisis y Política Fiscal</w:t>
      </w:r>
    </w:p>
    <w:p>
      <w:pPr>
        <w:pStyle w:val="BodyText"/>
        <w:rPr>
          <w:sz w:val="18"/>
        </w:rPr>
      </w:pPr>
    </w:p>
    <w:p>
      <w:pPr>
        <w:pStyle w:val="BodyText"/>
        <w:spacing w:line="276" w:lineRule="auto" w:before="109"/>
        <w:ind w:left="562" w:right="1696"/>
        <w:jc w:val="both"/>
      </w:pPr>
      <w:r>
        <w:rPr/>
        <w:t>De concretarse el uso de la estimación de recaudación con el escenario medio los efectos serán inmediatos sobre la ejecución financiera en el cierre del ejercicio fiscal 2023 y en el mediano plazo, la ejecución de gasto respecto a lo planteado en el Proyecto de Presupuesto 2023 aumentaría </w:t>
      </w:r>
      <w:r>
        <w:rPr>
          <w:spacing w:val="-3"/>
        </w:rPr>
        <w:t>en </w:t>
      </w:r>
      <w:r>
        <w:rPr/>
        <w:t>Q1,892.3 millones, con este escenario se pueden asignar más recursos y atender más programas de gobierno en el mediano plazo, si se toma la decisión de utilizar el rango alto del escenario macroeconómico proporcionado por el Banco de Guatemala se crearía un efecto ilusorio sobre la disponibilidad</w:t>
      </w:r>
      <w:r>
        <w:rPr>
          <w:spacing w:val="-9"/>
        </w:rPr>
        <w:t> </w:t>
      </w:r>
      <w:r>
        <w:rPr/>
        <w:t>de</w:t>
      </w:r>
      <w:r>
        <w:rPr>
          <w:spacing w:val="-9"/>
        </w:rPr>
        <w:t> </w:t>
      </w:r>
      <w:r>
        <w:rPr/>
        <w:t>recursos</w:t>
      </w:r>
      <w:r>
        <w:rPr>
          <w:spacing w:val="-9"/>
        </w:rPr>
        <w:t> </w:t>
      </w:r>
      <w:r>
        <w:rPr/>
        <w:t>que</w:t>
      </w:r>
      <w:r>
        <w:rPr>
          <w:spacing w:val="-7"/>
        </w:rPr>
        <w:t> </w:t>
      </w:r>
      <w:r>
        <w:rPr/>
        <w:t>el</w:t>
      </w:r>
      <w:r>
        <w:rPr>
          <w:spacing w:val="-5"/>
        </w:rPr>
        <w:t> </w:t>
      </w:r>
      <w:r>
        <w:rPr/>
        <w:t>ente</w:t>
      </w:r>
      <w:r>
        <w:rPr>
          <w:spacing w:val="-9"/>
        </w:rPr>
        <w:t> </w:t>
      </w:r>
      <w:r>
        <w:rPr/>
        <w:t>recaudador</w:t>
      </w:r>
      <w:r>
        <w:rPr>
          <w:spacing w:val="-6"/>
        </w:rPr>
        <w:t> </w:t>
      </w:r>
      <w:r>
        <w:rPr/>
        <w:t>no</w:t>
      </w:r>
      <w:r>
        <w:rPr>
          <w:spacing w:val="-7"/>
        </w:rPr>
        <w:t> </w:t>
      </w:r>
      <w:r>
        <w:rPr/>
        <w:t>podrá</w:t>
      </w:r>
      <w:r>
        <w:rPr>
          <w:spacing w:val="-7"/>
        </w:rPr>
        <w:t> </w:t>
      </w:r>
      <w:r>
        <w:rPr/>
        <w:t>garantizar</w:t>
      </w:r>
      <w:r>
        <w:rPr>
          <w:spacing w:val="-6"/>
        </w:rPr>
        <w:t> </w:t>
      </w:r>
      <w:r>
        <w:rPr/>
        <w:t>y</w:t>
      </w:r>
      <w:r>
        <w:rPr>
          <w:spacing w:val="-9"/>
        </w:rPr>
        <w:t> </w:t>
      </w:r>
      <w:r>
        <w:rPr/>
        <w:t>por</w:t>
      </w:r>
      <w:r>
        <w:rPr>
          <w:spacing w:val="-9"/>
        </w:rPr>
        <w:t> </w:t>
      </w:r>
      <w:r>
        <w:rPr/>
        <w:t>consiguiente</w:t>
      </w:r>
      <w:r>
        <w:rPr>
          <w:spacing w:val="-7"/>
        </w:rPr>
        <w:t> </w:t>
      </w:r>
      <w:r>
        <w:rPr/>
        <w:t>se</w:t>
      </w:r>
      <w:r>
        <w:rPr>
          <w:spacing w:val="-7"/>
        </w:rPr>
        <w:t> </w:t>
      </w:r>
      <w:r>
        <w:rPr/>
        <w:t>tendrá</w:t>
      </w:r>
      <w:r>
        <w:rPr>
          <w:spacing w:val="-6"/>
        </w:rPr>
        <w:t> </w:t>
      </w:r>
      <w:r>
        <w:rPr/>
        <w:t>un escenario</w:t>
      </w:r>
      <w:r>
        <w:rPr>
          <w:spacing w:val="-15"/>
        </w:rPr>
        <w:t> </w:t>
      </w:r>
      <w:r>
        <w:rPr/>
        <w:t>de</w:t>
      </w:r>
      <w:r>
        <w:rPr>
          <w:spacing w:val="-15"/>
        </w:rPr>
        <w:t> </w:t>
      </w:r>
      <w:r>
        <w:rPr/>
        <w:t>mayor</w:t>
      </w:r>
      <w:r>
        <w:rPr>
          <w:spacing w:val="-14"/>
        </w:rPr>
        <w:t> </w:t>
      </w:r>
      <w:r>
        <w:rPr/>
        <w:t>disponibilidad</w:t>
      </w:r>
      <w:r>
        <w:rPr>
          <w:spacing w:val="-17"/>
        </w:rPr>
        <w:t> </w:t>
      </w:r>
      <w:r>
        <w:rPr/>
        <w:t>para</w:t>
      </w:r>
      <w:r>
        <w:rPr>
          <w:spacing w:val="-17"/>
        </w:rPr>
        <w:t> </w:t>
      </w:r>
      <w:r>
        <w:rPr/>
        <w:t>atender</w:t>
      </w:r>
      <w:r>
        <w:rPr>
          <w:spacing w:val="-14"/>
        </w:rPr>
        <w:t> </w:t>
      </w:r>
      <w:r>
        <w:rPr/>
        <w:t>programas</w:t>
      </w:r>
      <w:r>
        <w:rPr>
          <w:spacing w:val="-15"/>
        </w:rPr>
        <w:t> </w:t>
      </w:r>
      <w:r>
        <w:rPr/>
        <w:t>de</w:t>
      </w:r>
      <w:r>
        <w:rPr>
          <w:spacing w:val="-15"/>
        </w:rPr>
        <w:t> </w:t>
      </w:r>
      <w:r>
        <w:rPr/>
        <w:t>gobierno</w:t>
      </w:r>
      <w:r>
        <w:rPr>
          <w:spacing w:val="-14"/>
        </w:rPr>
        <w:t> </w:t>
      </w:r>
      <w:r>
        <w:rPr/>
        <w:t>que</w:t>
      </w:r>
      <w:r>
        <w:rPr>
          <w:spacing w:val="-15"/>
        </w:rPr>
        <w:t> </w:t>
      </w:r>
      <w:r>
        <w:rPr/>
        <w:t>no</w:t>
      </w:r>
      <w:r>
        <w:rPr>
          <w:spacing w:val="-15"/>
        </w:rPr>
        <w:t> </w:t>
      </w:r>
      <w:r>
        <w:rPr/>
        <w:t>necesariamente</w:t>
      </w:r>
      <w:r>
        <w:rPr>
          <w:spacing w:val="-16"/>
        </w:rPr>
        <w:t> </w:t>
      </w:r>
      <w:r>
        <w:rPr/>
        <w:t>pueden cumplirse.</w:t>
      </w:r>
    </w:p>
    <w:p>
      <w:pPr>
        <w:pStyle w:val="Heading2"/>
        <w:numPr>
          <w:ilvl w:val="3"/>
          <w:numId w:val="39"/>
        </w:numPr>
        <w:tabs>
          <w:tab w:pos="2685" w:val="left" w:leader="none"/>
          <w:tab w:pos="2686" w:val="left" w:leader="none"/>
        </w:tabs>
        <w:spacing w:line="240" w:lineRule="auto" w:before="165" w:after="0"/>
        <w:ind w:left="2686" w:right="0" w:hanging="1044"/>
        <w:jc w:val="left"/>
      </w:pPr>
      <w:bookmarkStart w:name="_bookmark217" w:id="281"/>
      <w:bookmarkEnd w:id="281"/>
      <w:r>
        <w:rPr>
          <w:b w:val="0"/>
        </w:rPr>
      </w:r>
      <w:bookmarkStart w:name="_bookmark217" w:id="282"/>
      <w:bookmarkEnd w:id="282"/>
      <w:r>
        <w:rPr/>
        <w:t>Ot</w:t>
      </w:r>
      <w:r>
        <w:rPr/>
        <w:t>ros</w:t>
      </w:r>
      <w:r>
        <w:rPr>
          <w:spacing w:val="-1"/>
        </w:rPr>
        <w:t> </w:t>
      </w:r>
      <w:r>
        <w:rPr/>
        <w:t>escenarios</w:t>
      </w:r>
    </w:p>
    <w:p>
      <w:pPr>
        <w:pStyle w:val="BodyText"/>
        <w:spacing w:before="6"/>
        <w:rPr>
          <w:b/>
          <w:sz w:val="28"/>
        </w:rPr>
      </w:pPr>
    </w:p>
    <w:p>
      <w:pPr>
        <w:pStyle w:val="BodyText"/>
        <w:spacing w:line="276" w:lineRule="auto"/>
        <w:ind w:left="562" w:right="1697"/>
        <w:jc w:val="both"/>
      </w:pPr>
      <w:r>
        <w:rPr/>
        <w:t>Mediante el uso de factores múltiples que pueden afectar las trayectorias de la carga tributaria se consideró como base la metodología explicada en el Recuadro 2, el sustento de este modelo recae</w:t>
      </w:r>
      <w:r>
        <w:rPr>
          <w:spacing w:val="-37"/>
        </w:rPr>
        <w:t> </w:t>
      </w:r>
      <w:r>
        <w:rPr/>
        <w:t>en la media del error de pronóstico, el balance de riesgo de cada año</w:t>
      </w:r>
      <w:r>
        <w:rPr>
          <w:position w:val="8"/>
          <w:sz w:val="14"/>
        </w:rPr>
        <w:t>3</w:t>
      </w:r>
      <w:r>
        <w:rPr/>
        <w:t>, un factor de aumento de la desviación estándar del error de pronóstico y el cálculo de percentiles, de los resultados se observa que en un escenario pesimista inferior al proporcionado por el Banco de Guatemala, es decir un crecimiento</w:t>
      </w:r>
      <w:r>
        <w:rPr>
          <w:spacing w:val="-13"/>
        </w:rPr>
        <w:t> </w:t>
      </w:r>
      <w:r>
        <w:rPr/>
        <w:t>de</w:t>
      </w:r>
      <w:r>
        <w:rPr>
          <w:spacing w:val="-13"/>
        </w:rPr>
        <w:t> </w:t>
      </w:r>
      <w:r>
        <w:rPr/>
        <w:t>la</w:t>
      </w:r>
      <w:r>
        <w:rPr>
          <w:spacing w:val="-13"/>
        </w:rPr>
        <w:t> </w:t>
      </w:r>
      <w:r>
        <w:rPr/>
        <w:t>economía</w:t>
      </w:r>
      <w:r>
        <w:rPr>
          <w:spacing w:val="-13"/>
        </w:rPr>
        <w:t> </w:t>
      </w:r>
      <w:r>
        <w:rPr/>
        <w:t>inferior</w:t>
      </w:r>
      <w:r>
        <w:rPr>
          <w:spacing w:val="-13"/>
        </w:rPr>
        <w:t> </w:t>
      </w:r>
      <w:r>
        <w:rPr/>
        <w:t>a</w:t>
      </w:r>
      <w:r>
        <w:rPr>
          <w:spacing w:val="-13"/>
        </w:rPr>
        <w:t> </w:t>
      </w:r>
      <w:r>
        <w:rPr/>
        <w:t>2.5%</w:t>
      </w:r>
      <w:r>
        <w:rPr>
          <w:spacing w:val="30"/>
        </w:rPr>
        <w:t> </w:t>
      </w:r>
      <w:r>
        <w:rPr/>
        <w:t>y</w:t>
      </w:r>
      <w:r>
        <w:rPr>
          <w:spacing w:val="-16"/>
        </w:rPr>
        <w:t> </w:t>
      </w:r>
      <w:r>
        <w:rPr/>
        <w:t>un</w:t>
      </w:r>
      <w:r>
        <w:rPr>
          <w:spacing w:val="-13"/>
        </w:rPr>
        <w:t> </w:t>
      </w:r>
      <w:r>
        <w:rPr/>
        <w:t>crecimiento</w:t>
      </w:r>
      <w:r>
        <w:rPr>
          <w:spacing w:val="-13"/>
        </w:rPr>
        <w:t> </w:t>
      </w:r>
      <w:r>
        <w:rPr/>
        <w:t>de</w:t>
      </w:r>
      <w:r>
        <w:rPr>
          <w:spacing w:val="-13"/>
        </w:rPr>
        <w:t> </w:t>
      </w:r>
      <w:r>
        <w:rPr/>
        <w:t>las</w:t>
      </w:r>
      <w:r>
        <w:rPr>
          <w:spacing w:val="-13"/>
        </w:rPr>
        <w:t> </w:t>
      </w:r>
      <w:r>
        <w:rPr/>
        <w:t>importaciones</w:t>
      </w:r>
      <w:r>
        <w:rPr>
          <w:spacing w:val="-12"/>
        </w:rPr>
        <w:t> </w:t>
      </w:r>
      <w:r>
        <w:rPr/>
        <w:t>por</w:t>
      </w:r>
      <w:r>
        <w:rPr>
          <w:spacing w:val="-13"/>
        </w:rPr>
        <w:t> </w:t>
      </w:r>
      <w:r>
        <w:rPr/>
        <w:t>abajo</w:t>
      </w:r>
      <w:r>
        <w:rPr>
          <w:spacing w:val="-13"/>
        </w:rPr>
        <w:t> </w:t>
      </w:r>
      <w:r>
        <w:rPr/>
        <w:t>del</w:t>
      </w:r>
      <w:r>
        <w:rPr>
          <w:spacing w:val="-12"/>
        </w:rPr>
        <w:t> </w:t>
      </w:r>
      <w:r>
        <w:rPr/>
        <w:t>6.5%, la carga tributaria para 2023 puede situarse en 9.9% y para 2027 en 10.1%, la ocurrencia de este evento tiene una probabilidad muy baja de</w:t>
      </w:r>
      <w:r>
        <w:rPr>
          <w:spacing w:val="-6"/>
        </w:rPr>
        <w:t> </w:t>
      </w:r>
      <w:r>
        <w:rPr/>
        <w:t>ocurrencia.</w:t>
      </w:r>
    </w:p>
    <w:p>
      <w:pPr>
        <w:pStyle w:val="BodyText"/>
        <w:spacing w:before="10"/>
        <w:rPr>
          <w:sz w:val="24"/>
        </w:rPr>
      </w:pPr>
    </w:p>
    <w:p>
      <w:pPr>
        <w:pStyle w:val="BodyText"/>
        <w:spacing w:line="276" w:lineRule="auto"/>
        <w:ind w:left="562" w:right="1697"/>
        <w:jc w:val="both"/>
      </w:pPr>
      <w:r>
        <w:rPr/>
        <w:t>De conformidad con el ejercicio realizado para el año 2022 es muy probable la carga tributaria se mantenga en el mismo nivel de 2021 o ligeramente superior, para el caso del 2023 se tiene probabilidad del 90% que la carga oscile entre 11.3% y 12.3% para 2027 puede rondar entre 12.3% y 14%.</w:t>
      </w:r>
    </w:p>
    <w:p>
      <w:pPr>
        <w:pStyle w:val="BodyText"/>
        <w:rPr>
          <w:sz w:val="20"/>
        </w:rPr>
      </w:pPr>
    </w:p>
    <w:p>
      <w:pPr>
        <w:pStyle w:val="BodyText"/>
        <w:spacing w:before="2"/>
        <w:rPr>
          <w:sz w:val="26"/>
        </w:rPr>
      </w:pPr>
      <w:r>
        <w:rPr/>
        <w:pict>
          <v:shape style="position:absolute;margin-left:85.103996pt;margin-top:17.410986pt;width:144.050pt;height:.1pt;mso-position-horizontal-relative:page;mso-position-vertical-relative:paragraph;z-index:-250106880;mso-wrap-distance-left:0;mso-wrap-distance-right:0" coordorigin="1702,348" coordsize="2881,0" path="m1702,348l4582,348e" filled="false" stroked="true" strokeweight=".72pt" strokecolor="#000000">
            <v:path arrowok="t"/>
            <v:stroke dashstyle="solid"/>
            <w10:wrap type="topAndBottom"/>
          </v:shape>
        </w:pict>
      </w:r>
    </w:p>
    <w:p>
      <w:pPr>
        <w:spacing w:line="271" w:lineRule="auto" w:before="69"/>
        <w:ind w:left="562" w:right="1932" w:firstLine="0"/>
        <w:jc w:val="left"/>
        <w:rPr>
          <w:sz w:val="14"/>
        </w:rPr>
      </w:pPr>
      <w:r>
        <w:rPr>
          <w:rFonts w:ascii="Calibri"/>
          <w:position w:val="7"/>
          <w:sz w:val="13"/>
        </w:rPr>
        <w:t>3 </w:t>
      </w:r>
      <w:r>
        <w:rPr>
          <w:sz w:val="14"/>
        </w:rPr>
        <w:t>Ocurrencia de eventos como cambio de gobierno en 2024 y factores externos como los ocasionados por la guerra de Rusia y Ucrania y su impacto en el precio de los comodities</w:t>
      </w:r>
    </w:p>
    <w:p>
      <w:pPr>
        <w:spacing w:after="0" w:line="271" w:lineRule="auto"/>
        <w:jc w:val="left"/>
        <w:rPr>
          <w:sz w:val="14"/>
        </w:rPr>
        <w:sectPr>
          <w:type w:val="continuous"/>
          <w:pgSz w:w="12240" w:h="15840"/>
          <w:pgMar w:top="1500" w:bottom="280" w:left="1140" w:right="0"/>
        </w:sectPr>
      </w:pPr>
    </w:p>
    <w:p>
      <w:pPr>
        <w:spacing w:before="169"/>
        <w:ind w:left="2520" w:right="0" w:firstLine="0"/>
        <w:jc w:val="left"/>
        <w:rPr>
          <w:b/>
          <w:sz w:val="20"/>
        </w:rPr>
      </w:pPr>
      <w:bookmarkStart w:name="_bookmark218" w:id="283"/>
      <w:bookmarkEnd w:id="283"/>
      <w:r>
        <w:rPr/>
      </w:r>
      <w:r>
        <w:rPr>
          <w:b/>
          <w:i/>
          <w:sz w:val="18"/>
        </w:rPr>
        <w:t>Gráfico 107. </w:t>
      </w:r>
      <w:r>
        <w:rPr>
          <w:b/>
          <w:sz w:val="20"/>
        </w:rPr>
        <w:t>Fanchart de la proyección de carga tributaria</w:t>
      </w:r>
    </w:p>
    <w:p>
      <w:pPr>
        <w:pStyle w:val="BodyText"/>
        <w:spacing w:before="3"/>
        <w:rPr>
          <w:b/>
          <w:sz w:val="23"/>
        </w:rPr>
      </w:pPr>
    </w:p>
    <w:p>
      <w:pPr>
        <w:spacing w:before="79"/>
        <w:ind w:left="966" w:right="0" w:firstLine="0"/>
        <w:jc w:val="left"/>
        <w:rPr>
          <w:rFonts w:ascii="Calibri"/>
          <w:sz w:val="11"/>
        </w:rPr>
      </w:pPr>
      <w:r>
        <w:rPr/>
        <w:pict>
          <v:group style="position:absolute;margin-left:126.63176pt;margin-top:7.378105pt;width:371.95pt;height:192.15pt;mso-position-horizontal-relative:page;mso-position-vertical-relative:paragraph;z-index:253240320" coordorigin="2533,148" coordsize="7439,3843">
            <v:shape style="position:absolute;left:0;top:8653;width:10416;height:5271" coordorigin="0,8653" coordsize="10416,5271" path="m2546,3411l9958,3411m2546,2868l9958,2868m2546,2325l9958,2325m2546,1782l9958,1782m2546,1239l9958,1239m2546,695l9958,695m2546,152l9958,152e" filled="false" stroked="true" strokeweight=".498737pt" strokecolor="#d9d9d9">
              <v:path arrowok="t"/>
              <v:stroke dashstyle="solid"/>
            </v:shape>
            <v:shape style="position:absolute;left:0;top:13923;width:10416;height:6149" coordorigin="0,13923" coordsize="10416,6149" path="m2546,152l2546,3954m3010,152l3010,3954m3473,152l3473,3954m3936,152l3936,3954m4399,152l4399,3954m4862,152l4862,3954m5326,152l5326,3954m5789,152l5789,3954m6252,152l6252,3954m6715,152l6715,3954m7177,152l7177,3954m7642,152l7642,3954m8105,152l8105,3954m8568,152l8568,3954m9030,152l9030,3954m9495,152l9495,3954m9958,152l9958,3954e" filled="false" stroked="true" strokeweight=".498737pt" strokecolor="#f1f1f1">
              <v:path arrowok="t"/>
              <v:stroke dashstyle="solid"/>
            </v:shape>
            <v:shape style="position:absolute;left:4398;top:1928;width:5560;height:1010" coordorigin="4399,1929" coordsize="5560,1010" path="m4399,1929l5326,2421,6252,2938,7177,2818,7324,2780,6252,2780,5326,2319,4399,1929xm9958,2583l8105,2583,9030,2789,9958,2806,9958,2583xm8105,2406l7177,2620,6252,2780,7324,2780,8105,2583,9958,2583,9958,2565,9030,2565,8105,2406xm9958,2556l9030,2565,9958,2565,9958,2556xe" filled="true" fillcolor="#f1f7fb" stroked="false">
              <v:path arrowok="t"/>
              <v:fill type="solid"/>
            </v:shape>
            <v:shape style="position:absolute;left:4399;top:1927;width:5558;height:854" coordorigin="4400,1928" coordsize="5558,854" path="m4400,1928l5325,2318,6253,2781,6864,2674,6253,2674,5325,2250,4400,1928xm8104,2287l7178,2487,6253,2674,6864,2674,7178,2619,8104,2406,8957,2406,8104,2287xm8957,2406l8104,2406,9031,2566,9957,2556,9957,2416,9031,2416,8957,2406xm9957,2388l9031,2416,9957,2416,9957,2388xe" filled="true" fillcolor="#dae2f3" stroked="false">
              <v:path arrowok="t"/>
              <v:fill type="solid"/>
            </v:shape>
            <v:shape style="position:absolute;left:2546;top:1927;width:7411;height:909" coordorigin="2547,1928" coordsize="7411,909" path="m2547,2542l3472,2836,4400,1928,5325,2250,6253,2674,7178,2487,8104,2287,9031,2416,9957,2388,9957,2556,9031,2566,8104,2406,7178,2619,6253,2781,5325,2318,4400,1928,3472,2836,2547,2542xe" filled="false" stroked="true" strokeweight="1.239473pt" strokecolor="#dae2f3">
              <v:path arrowok="t"/>
              <v:stroke dashstyle="solid"/>
            </v:shape>
            <v:shape style="position:absolute;left:4399;top:1927;width:5558;height:747" coordorigin="4400,1928" coordsize="5558,747" path="m4400,1928l5325,2250,6253,2674,6664,2591,6253,2591,5325,2195,4400,1928xm8104,2192l7178,2385,6253,2591,6664,2591,7178,2487,8104,2287,8940,2287,8104,2192xm8940,2287l8104,2287,9031,2416,9957,2388,9957,2297,9031,2297,8940,2287xm9957,2256l9031,2297,9957,2297,9957,2256xe" filled="true" fillcolor="#dae2f3" stroked="false">
              <v:path arrowok="t"/>
              <v:fill type="solid"/>
            </v:shape>
            <v:shape style="position:absolute;left:2546;top:1927;width:7411;height:909" coordorigin="2547,1928" coordsize="7411,909" path="m2547,2542l3472,2836,4400,1928,5325,2195,6253,2591,7178,2385,8104,2192,9031,2297,9957,2256,9957,2388,9031,2416,8104,2287,7178,2487,6253,2674,5325,2250,4400,1928,3472,2836,2547,2542xe" filled="false" stroked="true" strokeweight="1.239473pt" strokecolor="#dae2f3">
              <v:path arrowok="t"/>
              <v:stroke dashstyle="solid"/>
            </v:shape>
            <v:shape style="position:absolute;left:4399;top:1927;width:5558;height:664" coordorigin="4400,1928" coordsize="5558,664" path="m4400,1928l5325,2195,6253,2591,6572,2520,6253,2520,5325,2148,4400,1928xm8104,2110l7178,2296,6253,2520,6572,2520,7178,2385,8104,2192,8983,2192,8104,2110xm8983,2192l8104,2192,9031,2297,9957,2256,9957,2196,9031,2196,8983,2192xm9957,2145l9031,2196,9957,2196,9957,2145xe" filled="true" fillcolor="#8faadc" stroked="false">
              <v:path arrowok="t"/>
              <v:fill type="solid"/>
            </v:shape>
            <v:shape style="position:absolute;left:2546;top:1927;width:7411;height:909" coordorigin="2547,1928" coordsize="7411,909" path="m2547,2542l3472,2836,4400,1928,5325,2148,6253,2520,7178,2296,8104,2110,9031,2196,9957,2145,9957,2256,9031,2297,8104,2192,7178,2385,6253,2591,5325,2195,4400,1928,3472,2836,2547,2542xe" filled="false" stroked="true" strokeweight="1.239473pt" strokecolor="#8faadc">
              <v:path arrowok="t"/>
              <v:stroke dashstyle="solid"/>
            </v:shape>
            <v:shape style="position:absolute;left:4399;top:1927;width:5558;height:593" coordorigin="4400,1928" coordsize="5558,593" path="m4400,1928l5325,2148,6253,2520,6516,2456,6253,2456,5325,2106,4400,1928xm8104,2038l7178,2219,6253,2456,6516,2456,7178,2296,8104,2110,9957,2110,9957,2107,9031,2107,8104,2038xm9957,2110l8104,2110,9031,2196,9957,2145,9957,2110xm9957,2044l9031,2107,9957,2107,9957,2044xe" filled="true" fillcolor="#8faadc" stroked="false">
              <v:path arrowok="t"/>
              <v:fill type="solid"/>
            </v:shape>
            <v:shape style="position:absolute;left:2546;top:1927;width:7411;height:909" coordorigin="2547,1928" coordsize="7411,909" path="m2547,2542l3472,2836,4400,1928,5325,2106,6253,2456,7178,2219,8104,2038,9031,2107,9957,2044,9957,2145,9031,2196,8104,2110,7178,2296,6253,2520,5325,2148,4400,1928,3472,2836,2547,2542xe" filled="false" stroked="true" strokeweight="1.239473pt" strokecolor="#8faadc">
              <v:path arrowok="t"/>
              <v:stroke dashstyle="solid"/>
            </v:shape>
            <v:shape style="position:absolute;left:4399;top:1927;width:5558;height:529" coordorigin="4400,1928" coordsize="5558,529" path="m4400,1928l5325,2106,6253,2456,6478,2398,6253,2398,5325,2067,4400,1928xm8104,1969l7178,2148,6253,2398,6478,2398,7178,2219,8104,2038,9957,2038,9957,2024,9031,2024,8104,1969xm9957,2038l8104,2038,9031,2107,9957,2044,9957,2038xm9957,1952l9031,2024,9957,2024,9957,1952xe" filled="true" fillcolor="#2e5496" stroked="false">
              <v:path arrowok="t"/>
              <v:fill type="solid"/>
            </v:shape>
            <v:shape style="position:absolute;left:2546;top:1927;width:7411;height:909" coordorigin="2547,1928" coordsize="7411,909" path="m2547,2542l3472,2836,4400,1928,5325,2067,6253,2398,7178,2148,8104,1969,9031,2024,9957,1952,9957,2044,9031,2107,8104,2038,7178,2219,6253,2456,5325,2106,4400,1928,3472,2836,2547,2542xe" filled="false" stroked="true" strokeweight="1.239473pt" strokecolor="#2e5496">
              <v:path arrowok="t"/>
              <v:stroke dashstyle="solid"/>
            </v:shape>
            <v:shape style="position:absolute;left:4399;top:1864;width:5558;height:535" coordorigin="4400,1864" coordsize="5558,535" path="m4400,1928l5325,2067,6253,2398,6455,2343,6253,2343,5325,2030,4400,1928xm8104,1906l7178,2081,6253,2343,6455,2343,7178,2148,8104,1969,9730,1969,9957,1952,9957,1947,9031,1947,8104,1906xm9730,1969l8104,1969,9031,2024,9730,1969xm9957,1864l9031,1947,9957,1947,9957,1864xe" filled="true" fillcolor="#2e5496" stroked="false">
              <v:path arrowok="t"/>
              <v:fill type="solid"/>
            </v:shape>
            <v:shape style="position:absolute;left:2546;top:1864;width:7411;height:973" coordorigin="2547,1864" coordsize="7411,973" path="m2547,2542l3472,2836,4400,1928,5325,2030,6253,2343,7178,2081,8104,1906,9031,1947,9957,1864,9957,1952,9031,2024,8104,1969,7178,2148,6253,2398,5325,2067,4400,1928,3472,2836,2547,2542xe" filled="false" stroked="true" strokeweight="1.239868pt" strokecolor="#2e5496">
              <v:path arrowok="t"/>
              <v:stroke dashstyle="solid"/>
            </v:shape>
            <v:shape style="position:absolute;left:4399;top:1780;width:5558;height:563" coordorigin="4400,1781" coordsize="5558,563" path="m4400,1928l5325,2030,6253,2343,6441,2290,6253,2290,5325,1995,4400,1928xm8104,1843l7178,2021,6253,2290,6441,2290,7178,2081,8104,1906,9494,1906,9874,1871,9031,1871,8104,1843xm9494,1906l8104,1906,9031,1947,9494,1906xm9957,1781l9031,1871,9874,1871,9957,1864,9957,1781xe" filled="true" fillcolor="#001f5f" stroked="false">
              <v:path arrowok="t"/>
              <v:fill type="solid"/>
            </v:shape>
            <v:shape style="position:absolute;left:2546;top:1780;width:7411;height:1056" coordorigin="2547,1781" coordsize="7411,1056" path="m2547,2542l3472,2836,4400,1928,5325,1995,6253,2290,7178,2021,8104,1843,9031,1871,9957,1781,9957,1864,9031,1947,8104,1906,7178,2081,6253,2343,5325,2030,4400,1928,3472,2836,2547,2542xe" filled="false" stroked="true" strokeweight="1.240419pt" strokecolor="#001f5f">
              <v:path arrowok="t"/>
              <v:stroke dashstyle="solid"/>
            </v:shape>
            <v:shape style="position:absolute;left:4399;top:1699;width:5558;height:591" coordorigin="4400,1699" coordsize="5558,591" path="m4400,1928l5325,1995,6253,2290,6426,2240,6253,2240,5325,1959,4400,1928xm8104,1782l7178,1958,6253,2240,6426,2240,7178,2021,8104,1843,9320,1843,9760,1800,9031,1800,8104,1782xm9320,1843l8104,1843,9031,1871,9320,1843xm9957,1699l9031,1800,9760,1800,9957,1781,9957,1699xe" filled="true" fillcolor="#001f5f" stroked="false">
              <v:path arrowok="t"/>
              <v:fill type="solid"/>
            </v:shape>
            <v:shape style="position:absolute;left:2546;top:1699;width:7411;height:1137" coordorigin="2547,1699" coordsize="7411,1137" path="m2547,2542l3472,2836,4400,1928,5325,1959,6253,2240,7178,1958,8104,1782,9031,1800,9957,1699,9957,1781,9031,1871,8104,1843,7178,2021,6253,2290,5325,1995,4400,1928,3472,2836,2547,2542xe" filled="false" stroked="true" strokeweight="1.241001pt" strokecolor="#001f5f">
              <v:path arrowok="t"/>
              <v:stroke dashstyle="solid"/>
            </v:shape>
            <v:shape style="position:absolute;left:4398;top:1619;width:5560;height:619" coordorigin="4399,1620" coordsize="5560,619" path="m5326,1924l4399,1929,5326,1958,6252,2239,6417,2188,6252,2188,5326,1924xm8105,1721l7177,1896,6252,2188,6417,2188,7177,1957,8105,1782,9197,1782,9695,1728,9030,1728,8105,1721xm9197,1782l8105,1782,9030,1800,9197,1782xm9958,1620l9030,1728,9695,1728,9958,1700,9958,1620xe" filled="true" fillcolor="#001f5f" stroked="false">
              <v:path arrowok="t"/>
              <v:fill type="solid"/>
            </v:shape>
            <v:shape style="position:absolute;left:2545;top:1619;width:7413;height:1217" coordorigin="2546,1620" coordsize="7413,1217" path="m2546,2542l3473,2837,4399,1929,5326,1924,6252,2188,7177,1896,8105,1721,9030,1728,9958,1620,9958,1700,9030,1800,8105,1782,7177,1957,6252,2239,5326,1958,4399,1929,3473,2837,2546,2542xe" filled="false" stroked="true" strokeweight=".465603pt" strokecolor="#001f5f">
              <v:path arrowok="t"/>
              <v:stroke dashstyle="solid"/>
            </v:shape>
            <v:shape style="position:absolute;left:4398;top:1539;width:5560;height:649" coordorigin="4399,1540" coordsize="5560,649" path="m5463,1924l5326,1924,6252,2188,6412,2138,6252,2138,5463,1924xm9958,1540l9030,1656,8105,1659,7177,1837,6252,2138,6412,2138,7177,1896,8105,1721,9094,1721,9958,1620,9958,1540xm5326,1887l4399,1929,5463,1924,5326,1887xm9094,1721l8105,1721,9030,1728,9094,1721xe" filled="true" fillcolor="#001f5f" stroked="false">
              <v:path arrowok="t"/>
              <v:fill type="solid"/>
            </v:shape>
            <v:shape style="position:absolute;left:2545;top:1539;width:7413;height:1298" coordorigin="2546,1540" coordsize="7413,1298" path="m2546,2542l3473,2837,4399,1929,5326,1887,6252,2138,7177,1837,8105,1659,9030,1656,9958,1540,9958,1620,9030,1728,8105,1721,7177,1896,6252,2188,5326,1924,4399,1929,3473,2837,2546,2542xe" filled="false" stroked="true" strokeweight=".465845pt" strokecolor="#001f5f">
              <v:path arrowok="t"/>
              <v:stroke dashstyle="solid"/>
            </v:shape>
            <v:shape style="position:absolute;left:4398;top:1456;width:5560;height:682" coordorigin="4399,1457" coordsize="5560,682" path="m5472,1887l5326,1887,6252,2138,6411,2086,6252,2086,5472,1887xm9958,1457l9030,1583,8105,1595,7177,1777,6252,2086,6411,2086,7177,1837,8105,1659,9030,1656,9958,1540,9958,1457xm5326,1850l4399,1929,5326,1887,5472,1887,5326,1850xe" filled="true" fillcolor="#2e5496" stroked="false">
              <v:path arrowok="t"/>
              <v:fill type="solid"/>
            </v:shape>
            <v:shape style="position:absolute;left:2545;top:1456;width:7413;height:1381" coordorigin="2546,1457" coordsize="7413,1381" path="m2546,2542l3473,2837,4399,1929,5326,1850,6252,2086,7177,1777,8105,1595,9030,1583,9958,1457,9958,1540,9030,1656,8105,1659,7177,1837,6252,2138,5326,1887,4399,1929,3473,2837,2546,2542xe" filled="false" stroked="true" strokeweight=".466111pt" strokecolor="#2e5496">
              <v:path arrowok="t"/>
              <v:stroke dashstyle="solid"/>
            </v:shape>
            <v:shape style="position:absolute;left:4398;top:1372;width:5560;height:714" coordorigin="4399,1372" coordsize="5560,714" path="m5488,1850l5326,1850,6252,2086,6412,2032,6252,2032,5488,1850xm9958,1372l9030,1507,8105,1526,7177,1716,6252,2032,6412,2032,7177,1777,8105,1595,9030,1583,9958,1457,9958,1372xm5326,1811l4399,1929,5326,1850,5488,1850,5326,1811xe" filled="true" fillcolor="#2e5496" stroked="false">
              <v:path arrowok="t"/>
              <v:fill type="solid"/>
            </v:shape>
            <v:shape style="position:absolute;left:2545;top:1372;width:7413;height:1465" coordorigin="2546,1372" coordsize="7413,1465" path="m2546,2542l3473,2837,4399,1929,5326,1811,6252,2032,7177,1716,8105,1526,9030,1507,9958,1372,9958,1457,9030,1583,8105,1595,7177,1777,6252,2086,5326,1850,4399,1929,3473,2837,2546,2542xe" filled="false" stroked="true" strokeweight=".466396pt" strokecolor="#2e5496">
              <v:path arrowok="t"/>
              <v:stroke dashstyle="solid"/>
            </v:shape>
            <v:shape style="position:absolute;left:4398;top:1281;width:5560;height:751" coordorigin="4399,1282" coordsize="5560,751" path="m5514,1811l5326,1811,6252,2032,6421,1975,6252,1975,5514,1811xm9958,1282l9030,1426,8105,1454,7177,1653,6252,1975,6421,1975,7177,1716,8105,1526,9030,1507,9958,1372,9958,1282xm5326,1770l4399,1929,5326,1811,5514,1811,5326,1770xe" filled="true" fillcolor="#8faadc" stroked="false">
              <v:path arrowok="t"/>
              <v:fill type="solid"/>
            </v:shape>
            <v:shape style="position:absolute;left:2545;top:1281;width:7413;height:1556" coordorigin="2546,1282" coordsize="7413,1556" path="m2546,2542l3473,2837,4399,1929,5326,1770,6252,1975,7177,1653,8105,1454,9030,1426,9958,1282,9958,1372,9030,1507,8105,1526,7177,1716,6252,2032,5326,1811,4399,1929,3473,2837,2546,2542xe" filled="false" stroked="true" strokeweight=".466717pt" strokecolor="#8faadc">
              <v:path arrowok="t"/>
              <v:stroke dashstyle="solid"/>
            </v:shape>
            <v:shape style="position:absolute;left:4398;top:1180;width:5560;height:794" coordorigin="4399,1181" coordsize="5560,794" path="m5559,1770l5326,1770,6252,1975,6435,1911,6252,1911,5559,1770xm5326,1722l4399,1929,5326,1770,5559,1770,5326,1722xm9958,1181l9030,1335,8105,1372,7177,1581,6252,1911,6435,1911,7177,1653,8105,1454,9030,1426,9958,1282,9958,1181xe" filled="true" fillcolor="#8faadc" stroked="false">
              <v:path arrowok="t"/>
              <v:fill type="solid"/>
            </v:shape>
            <v:shape style="position:absolute;left:2545;top:1180;width:7413;height:1657" coordorigin="2546,1181" coordsize="7413,1657" path="m2546,2542l3473,2837,4399,1929,5326,1722,6252,1911,7177,1581,8105,1372,9030,1335,9958,1181,9958,1282,9030,1426,8105,1454,7177,1653,6252,1975,5326,1770,4399,1929,3473,2837,2546,2542xe" filled="false" stroked="true" strokeweight=".467093pt" strokecolor="#8faadc">
              <v:path arrowok="t"/>
              <v:stroke dashstyle="solid"/>
            </v:shape>
            <v:shape style="position:absolute;left:4398;top:1063;width:5560;height:866" coordorigin="4399,1063" coordsize="5560,866" path="m5326,1667l4399,1929,5326,1722,5627,1722,5326,1667xm5627,1722l5326,1722,6252,1911,6460,1837,6252,1837,5627,1722xm9958,1063l9030,1231,8105,1279,7177,1501,6252,1837,6460,1837,7177,1581,8105,1372,9030,1335,9958,1181,9958,1063xe" filled="true" fillcolor="#dae2f3" stroked="false">
              <v:path arrowok="t"/>
              <v:fill type="solid"/>
            </v:shape>
            <v:shape style="position:absolute;left:2545;top:1063;width:7413;height:1774" coordorigin="2546,1063" coordsize="7413,1774" path="m2546,2542l3473,2837,4399,1929,5326,1667,6252,1837,7177,1501,8105,1279,9030,1231,9958,1063,9958,1181,9030,1335,8105,1372,7177,1581,6252,1911,5326,1722,4399,1929,3473,2837,2546,2542xe" filled="false" stroked="true" strokeweight=".467554pt" strokecolor="#dae2f3">
              <v:path arrowok="t"/>
              <v:stroke dashstyle="solid"/>
            </v:shape>
            <v:shape style="position:absolute;left:4398;top:917;width:5560;height:1011" coordorigin="4399,918" coordsize="5560,1011" path="m5326,1599l4399,1929,5326,1667,5761,1667,5326,1599xm5761,1667l5326,1667,6252,1837,6506,1745,6252,1745,5761,1667xm9958,918l9030,1102,8105,1158,7177,1402,6252,1745,6506,1745,7177,1501,8105,1279,9030,1231,9958,1063,9958,918xe" filled="true" fillcolor="#dae2f3" stroked="false">
              <v:path arrowok="t"/>
              <v:fill type="solid"/>
            </v:shape>
            <v:shape style="position:absolute;left:2545;top:917;width:7413;height:1919" coordorigin="2546,918" coordsize="7413,1919" path="m2546,2542l3473,2837,4399,1929,5326,1599,6252,1745,7177,1402,8105,1158,9030,1102,9958,918,9958,1063,9030,1231,8105,1279,7177,1501,6252,1837,5326,1667,4399,1929,3473,2837,2546,2542xe" filled="false" stroked="true" strokeweight=".46816pt" strokecolor="#dae2f3">
              <v:path arrowok="t"/>
              <v:stroke dashstyle="solid"/>
            </v:shape>
            <v:shape style="position:absolute;left:4398;top:704;width:5560;height:1225" coordorigin="4399,704" coordsize="5560,1225" path="m5326,1497l4399,1929,5326,1599,6167,1599,5326,1497xm6167,1599l5326,1599,6252,1745,6616,1610,6252,1610,6167,1599xm9958,704l9030,911,8105,982,7177,1258,6252,1610,6616,1610,7177,1402,8105,1158,9030,1102,9958,918,9958,704xe" filled="true" fillcolor="#f5f8fc" stroked="false">
              <v:path arrowok="t"/>
              <v:fill type="solid"/>
            </v:shape>
            <v:shape style="position:absolute;left:2545;top:704;width:7413;height:2133" coordorigin="2546,704" coordsize="7413,2133" path="m2546,2542l3473,2837,4399,1929,5326,1497,6252,1610,7177,1258,8105,982,9030,911,9958,704,9958,918,9030,1102,8105,1158,7177,1402,6252,1745,5326,1599,4399,1929,3473,2837,2546,2542xe" filled="false" stroked="true" strokeweight=".469114pt" strokecolor="#f5f8fc">
              <v:path arrowok="t"/>
              <v:stroke dashstyle="solid"/>
            </v:shape>
            <v:shape style="position:absolute;left:0;top:13923;width:10416;height:58" coordorigin="0,13923" coordsize="10416,58" path="m2546,3954l9958,3954m2546,3954l2546,3990m3473,3954l3473,3990m4399,3954l4399,3990m5326,3954l5326,3990m6252,3954l6252,3990m7177,3954l7177,3990m8105,3954l8105,3990m9030,3954l9030,3990m9958,3954l9958,3990e" filled="false" stroked="true" strokeweight=".498737pt" strokecolor="#d9d9d9">
              <v:path arrowok="t"/>
              <v:stroke dashstyle="solid"/>
            </v:shape>
            <v:shape style="position:absolute;left:2546;top:1619;width:7411;height:1217" coordorigin="2547,1619" coordsize="7411,1217" path="m2547,2542l3472,2836,4400,1928,5325,1959,6253,2188,7178,1836,8104,1782,9031,1728,9957,1619e" filled="false" stroked="true" strokeweight="1.396812pt" strokecolor="#ff0000">
              <v:path arrowok="t"/>
              <v:stroke dashstyle="solid"/>
            </v:shape>
            <w10:wrap type="none"/>
          </v:group>
        </w:pict>
      </w:r>
      <w:r>
        <w:rPr>
          <w:rFonts w:ascii="Calibri"/>
          <w:color w:val="585858"/>
          <w:w w:val="115"/>
          <w:sz w:val="11"/>
        </w:rPr>
        <w:t>15.00</w:t>
      </w:r>
    </w:p>
    <w:p>
      <w:pPr>
        <w:pStyle w:val="BodyText"/>
        <w:rPr>
          <w:rFonts w:ascii="Calibri"/>
          <w:sz w:val="27"/>
        </w:rPr>
      </w:pPr>
    </w:p>
    <w:p>
      <w:pPr>
        <w:spacing w:before="79"/>
        <w:ind w:left="966" w:right="0" w:firstLine="0"/>
        <w:jc w:val="left"/>
        <w:rPr>
          <w:rFonts w:ascii="Calibri"/>
          <w:sz w:val="11"/>
        </w:rPr>
      </w:pPr>
      <w:r>
        <w:rPr>
          <w:rFonts w:ascii="Calibri"/>
          <w:color w:val="585858"/>
          <w:w w:val="115"/>
          <w:sz w:val="11"/>
        </w:rPr>
        <w:t>14.00</w:t>
      </w:r>
    </w:p>
    <w:p>
      <w:pPr>
        <w:pStyle w:val="BodyText"/>
        <w:spacing w:before="1"/>
        <w:rPr>
          <w:rFonts w:ascii="Calibri"/>
          <w:sz w:val="27"/>
        </w:rPr>
      </w:pPr>
    </w:p>
    <w:p>
      <w:pPr>
        <w:spacing w:before="79"/>
        <w:ind w:left="966" w:right="0" w:firstLine="0"/>
        <w:jc w:val="left"/>
        <w:rPr>
          <w:rFonts w:ascii="Calibri"/>
          <w:sz w:val="11"/>
        </w:rPr>
      </w:pPr>
      <w:r>
        <w:rPr>
          <w:rFonts w:ascii="Calibri"/>
          <w:color w:val="585858"/>
          <w:w w:val="115"/>
          <w:sz w:val="11"/>
        </w:rPr>
        <w:t>13.00</w:t>
      </w:r>
    </w:p>
    <w:p>
      <w:pPr>
        <w:pStyle w:val="BodyText"/>
        <w:rPr>
          <w:rFonts w:ascii="Calibri"/>
          <w:sz w:val="27"/>
        </w:rPr>
      </w:pPr>
    </w:p>
    <w:p>
      <w:pPr>
        <w:spacing w:before="79"/>
        <w:ind w:left="966" w:right="0" w:firstLine="0"/>
        <w:jc w:val="left"/>
        <w:rPr>
          <w:rFonts w:ascii="Calibri"/>
          <w:sz w:val="11"/>
        </w:rPr>
      </w:pPr>
      <w:r>
        <w:rPr>
          <w:rFonts w:ascii="Calibri"/>
          <w:color w:val="585858"/>
          <w:w w:val="115"/>
          <w:sz w:val="11"/>
        </w:rPr>
        <w:t>12.00</w:t>
      </w:r>
    </w:p>
    <w:p>
      <w:pPr>
        <w:pStyle w:val="BodyText"/>
        <w:spacing w:before="1"/>
        <w:rPr>
          <w:rFonts w:ascii="Calibri"/>
          <w:sz w:val="27"/>
        </w:rPr>
      </w:pPr>
    </w:p>
    <w:p>
      <w:pPr>
        <w:spacing w:before="79"/>
        <w:ind w:left="966" w:right="0" w:firstLine="0"/>
        <w:jc w:val="left"/>
        <w:rPr>
          <w:rFonts w:ascii="Calibri"/>
          <w:sz w:val="11"/>
        </w:rPr>
      </w:pPr>
      <w:r>
        <w:rPr>
          <w:rFonts w:ascii="Calibri"/>
          <w:color w:val="585858"/>
          <w:w w:val="115"/>
          <w:sz w:val="11"/>
        </w:rPr>
        <w:t>11.00</w:t>
      </w:r>
    </w:p>
    <w:p>
      <w:pPr>
        <w:pStyle w:val="BodyText"/>
        <w:rPr>
          <w:rFonts w:ascii="Calibri"/>
          <w:sz w:val="27"/>
        </w:rPr>
      </w:pPr>
    </w:p>
    <w:p>
      <w:pPr>
        <w:spacing w:before="79"/>
        <w:ind w:left="966" w:right="0" w:firstLine="0"/>
        <w:jc w:val="left"/>
        <w:rPr>
          <w:rFonts w:ascii="Calibri"/>
          <w:sz w:val="11"/>
        </w:rPr>
      </w:pPr>
      <w:r>
        <w:rPr>
          <w:rFonts w:ascii="Calibri"/>
          <w:color w:val="585858"/>
          <w:w w:val="115"/>
          <w:sz w:val="11"/>
        </w:rPr>
        <w:t>10.00</w:t>
      </w:r>
    </w:p>
    <w:p>
      <w:pPr>
        <w:pStyle w:val="BodyText"/>
        <w:spacing w:before="1"/>
        <w:rPr>
          <w:rFonts w:ascii="Calibri"/>
          <w:sz w:val="27"/>
        </w:rPr>
      </w:pPr>
    </w:p>
    <w:p>
      <w:pPr>
        <w:spacing w:before="79"/>
        <w:ind w:left="1031" w:right="0" w:firstLine="0"/>
        <w:jc w:val="left"/>
        <w:rPr>
          <w:rFonts w:ascii="Calibri"/>
          <w:sz w:val="11"/>
        </w:rPr>
      </w:pPr>
      <w:r>
        <w:rPr>
          <w:rFonts w:ascii="Calibri"/>
          <w:color w:val="585858"/>
          <w:w w:val="115"/>
          <w:sz w:val="11"/>
        </w:rPr>
        <w:t>9.00</w:t>
      </w:r>
    </w:p>
    <w:p>
      <w:pPr>
        <w:pStyle w:val="BodyText"/>
        <w:rPr>
          <w:rFonts w:ascii="Calibri"/>
          <w:sz w:val="27"/>
        </w:rPr>
      </w:pPr>
    </w:p>
    <w:p>
      <w:pPr>
        <w:spacing w:before="79"/>
        <w:ind w:left="1031" w:right="0" w:firstLine="0"/>
        <w:jc w:val="left"/>
        <w:rPr>
          <w:rFonts w:ascii="Calibri"/>
          <w:sz w:val="11"/>
        </w:rPr>
      </w:pPr>
      <w:r>
        <w:rPr>
          <w:rFonts w:ascii="Calibri"/>
          <w:color w:val="585858"/>
          <w:w w:val="115"/>
          <w:sz w:val="11"/>
        </w:rPr>
        <w:t>8.00</w:t>
      </w:r>
    </w:p>
    <w:p>
      <w:pPr>
        <w:tabs>
          <w:tab w:pos="2202" w:val="left" w:leader="none"/>
          <w:tab w:pos="3129" w:val="left" w:leader="none"/>
          <w:tab w:pos="4055" w:val="left" w:leader="none"/>
          <w:tab w:pos="4982" w:val="left" w:leader="none"/>
          <w:tab w:pos="5908" w:val="left" w:leader="none"/>
          <w:tab w:pos="6835" w:val="left" w:leader="none"/>
          <w:tab w:pos="7762" w:val="left" w:leader="none"/>
          <w:tab w:pos="8688" w:val="left" w:leader="none"/>
        </w:tabs>
        <w:spacing w:before="11"/>
        <w:ind w:left="1276" w:right="0" w:firstLine="0"/>
        <w:jc w:val="left"/>
        <w:rPr>
          <w:rFonts w:ascii="Calibri"/>
          <w:sz w:val="11"/>
        </w:rPr>
      </w:pPr>
      <w:r>
        <w:rPr>
          <w:rFonts w:ascii="Calibri"/>
          <w:color w:val="585858"/>
          <w:w w:val="115"/>
          <w:sz w:val="11"/>
        </w:rPr>
        <w:t>2019</w:t>
        <w:tab/>
        <w:t>2020</w:t>
        <w:tab/>
        <w:t>2021</w:t>
        <w:tab/>
        <w:t>2022</w:t>
        <w:tab/>
        <w:t>2023</w:t>
        <w:tab/>
        <w:t>2024</w:t>
        <w:tab/>
        <w:t>2025</w:t>
        <w:tab/>
        <w:t>2026</w:t>
        <w:tab/>
        <w:t>2027</w:t>
      </w:r>
    </w:p>
    <w:p>
      <w:pPr>
        <w:pStyle w:val="BodyText"/>
        <w:rPr>
          <w:rFonts w:ascii="Calibri"/>
          <w:sz w:val="12"/>
        </w:rPr>
      </w:pPr>
    </w:p>
    <w:p>
      <w:pPr>
        <w:spacing w:before="93"/>
        <w:ind w:left="924" w:right="0" w:firstLine="0"/>
        <w:jc w:val="left"/>
        <w:rPr>
          <w:sz w:val="18"/>
        </w:rPr>
      </w:pPr>
      <w:r>
        <w:rPr>
          <w:sz w:val="18"/>
        </w:rPr>
        <w:t>Fuente: Dirección de Análisis y Política Fiscal.</w:t>
      </w:r>
    </w:p>
    <w:p>
      <w:pPr>
        <w:pStyle w:val="BodyText"/>
        <w:rPr>
          <w:sz w:val="20"/>
        </w:rPr>
      </w:pPr>
    </w:p>
    <w:p>
      <w:pPr>
        <w:pStyle w:val="BodyText"/>
        <w:spacing w:before="5"/>
      </w:pPr>
    </w:p>
    <w:p>
      <w:pPr>
        <w:pStyle w:val="Heading2"/>
        <w:numPr>
          <w:ilvl w:val="1"/>
          <w:numId w:val="39"/>
        </w:numPr>
        <w:tabs>
          <w:tab w:pos="1354" w:val="left" w:leader="none"/>
        </w:tabs>
        <w:spacing w:line="240" w:lineRule="auto" w:before="0" w:after="0"/>
        <w:ind w:left="1354" w:right="0" w:hanging="433"/>
        <w:jc w:val="left"/>
      </w:pPr>
      <w:bookmarkStart w:name="_bookmark219" w:id="284"/>
      <w:bookmarkEnd w:id="284"/>
      <w:r>
        <w:rPr>
          <w:b w:val="0"/>
        </w:rPr>
      </w:r>
      <w:bookmarkStart w:name="_bookmark219" w:id="285"/>
      <w:bookmarkEnd w:id="285"/>
      <w:r>
        <w:rPr/>
        <w:t>P</w:t>
      </w:r>
      <w:r>
        <w:rPr/>
        <w:t>royecciones de gasto</w:t>
      </w:r>
      <w:r>
        <w:rPr>
          <w:spacing w:val="-3"/>
        </w:rPr>
        <w:t> </w:t>
      </w:r>
      <w:r>
        <w:rPr/>
        <w:t>público</w:t>
      </w:r>
    </w:p>
    <w:p>
      <w:pPr>
        <w:pStyle w:val="BodyText"/>
        <w:spacing w:before="4"/>
        <w:rPr>
          <w:b/>
          <w:sz w:val="28"/>
        </w:rPr>
      </w:pPr>
    </w:p>
    <w:p>
      <w:pPr>
        <w:pStyle w:val="BodyText"/>
        <w:spacing w:line="276" w:lineRule="auto"/>
        <w:ind w:left="562" w:right="1697"/>
        <w:jc w:val="both"/>
      </w:pPr>
      <w:r>
        <w:rPr/>
        <w:t>Las estimaciones de gasto público, como se indicó anteriormente, están determinadas por las obligaciones</w:t>
      </w:r>
      <w:r>
        <w:rPr>
          <w:spacing w:val="-4"/>
        </w:rPr>
        <w:t> </w:t>
      </w:r>
      <w:r>
        <w:rPr/>
        <w:t>que</w:t>
      </w:r>
      <w:r>
        <w:rPr>
          <w:spacing w:val="-6"/>
        </w:rPr>
        <w:t> </w:t>
      </w:r>
      <w:r>
        <w:rPr/>
        <w:t>el</w:t>
      </w:r>
      <w:r>
        <w:rPr>
          <w:spacing w:val="-4"/>
        </w:rPr>
        <w:t> </w:t>
      </w:r>
      <w:r>
        <w:rPr/>
        <w:t>Estado</w:t>
      </w:r>
      <w:r>
        <w:rPr>
          <w:spacing w:val="-6"/>
        </w:rPr>
        <w:t> </w:t>
      </w:r>
      <w:r>
        <w:rPr/>
        <w:t>debe</w:t>
      </w:r>
      <w:r>
        <w:rPr>
          <w:spacing w:val="-4"/>
        </w:rPr>
        <w:t> </w:t>
      </w:r>
      <w:r>
        <w:rPr/>
        <w:t>honrar</w:t>
      </w:r>
      <w:r>
        <w:rPr>
          <w:spacing w:val="-3"/>
        </w:rPr>
        <w:t> </w:t>
      </w:r>
      <w:r>
        <w:rPr/>
        <w:t>para</w:t>
      </w:r>
      <w:r>
        <w:rPr>
          <w:spacing w:val="-4"/>
        </w:rPr>
        <w:t> </w:t>
      </w:r>
      <w:r>
        <w:rPr/>
        <w:t>cumplir</w:t>
      </w:r>
      <w:r>
        <w:rPr>
          <w:spacing w:val="-3"/>
        </w:rPr>
        <w:t> </w:t>
      </w:r>
      <w:r>
        <w:rPr/>
        <w:t>con</w:t>
      </w:r>
      <w:r>
        <w:rPr>
          <w:spacing w:val="-5"/>
        </w:rPr>
        <w:t> </w:t>
      </w:r>
      <w:r>
        <w:rPr/>
        <w:t>las</w:t>
      </w:r>
      <w:r>
        <w:rPr>
          <w:spacing w:val="-3"/>
        </w:rPr>
        <w:t> </w:t>
      </w:r>
      <w:r>
        <w:rPr/>
        <w:t>obligaciones</w:t>
      </w:r>
      <w:r>
        <w:rPr>
          <w:spacing w:val="-6"/>
        </w:rPr>
        <w:t> </w:t>
      </w:r>
      <w:r>
        <w:rPr/>
        <w:t>constitucionales</w:t>
      </w:r>
      <w:r>
        <w:rPr>
          <w:spacing w:val="-3"/>
        </w:rPr>
        <w:t> </w:t>
      </w:r>
      <w:r>
        <w:rPr/>
        <w:t>o</w:t>
      </w:r>
      <w:r>
        <w:rPr>
          <w:spacing w:val="-5"/>
        </w:rPr>
        <w:t> </w:t>
      </w:r>
      <w:r>
        <w:rPr/>
        <w:t>de</w:t>
      </w:r>
      <w:r>
        <w:rPr>
          <w:spacing w:val="-6"/>
        </w:rPr>
        <w:t> </w:t>
      </w:r>
      <w:r>
        <w:rPr/>
        <w:t>leyes específicas, así como otros compromisos ineludibles como las remuneraciones, las prestaciones a la seguridad social y el servicio de la deuda pública. Asimismo, el componente de orientación de la política</w:t>
      </w:r>
      <w:r>
        <w:rPr>
          <w:spacing w:val="-4"/>
        </w:rPr>
        <w:t> </w:t>
      </w:r>
      <w:r>
        <w:rPr/>
        <w:t>pública</w:t>
      </w:r>
      <w:r>
        <w:rPr>
          <w:spacing w:val="-3"/>
        </w:rPr>
        <w:t> </w:t>
      </w:r>
      <w:r>
        <w:rPr/>
        <w:t>está</w:t>
      </w:r>
      <w:r>
        <w:rPr>
          <w:spacing w:val="-3"/>
        </w:rPr>
        <w:t> </w:t>
      </w:r>
      <w:r>
        <w:rPr/>
        <w:t>vinculado</w:t>
      </w:r>
      <w:r>
        <w:rPr>
          <w:spacing w:val="-5"/>
        </w:rPr>
        <w:t> </w:t>
      </w:r>
      <w:r>
        <w:rPr/>
        <w:t>con</w:t>
      </w:r>
      <w:r>
        <w:rPr>
          <w:spacing w:val="-3"/>
        </w:rPr>
        <w:t> </w:t>
      </w:r>
      <w:r>
        <w:rPr/>
        <w:t>el</w:t>
      </w:r>
      <w:r>
        <w:rPr>
          <w:spacing w:val="-3"/>
        </w:rPr>
        <w:t> </w:t>
      </w:r>
      <w:r>
        <w:rPr/>
        <w:t>Plan</w:t>
      </w:r>
      <w:r>
        <w:rPr>
          <w:spacing w:val="-4"/>
        </w:rPr>
        <w:t> </w:t>
      </w:r>
      <w:r>
        <w:rPr/>
        <w:t>Nacional</w:t>
      </w:r>
      <w:r>
        <w:rPr>
          <w:spacing w:val="-4"/>
        </w:rPr>
        <w:t> </w:t>
      </w:r>
      <w:r>
        <w:rPr/>
        <w:t>de</w:t>
      </w:r>
      <w:r>
        <w:rPr>
          <w:spacing w:val="-6"/>
        </w:rPr>
        <w:t> </w:t>
      </w:r>
      <w:r>
        <w:rPr/>
        <w:t>Desarrollo</w:t>
      </w:r>
      <w:r>
        <w:rPr>
          <w:spacing w:val="-4"/>
        </w:rPr>
        <w:t> </w:t>
      </w:r>
      <w:r>
        <w:rPr/>
        <w:t>y</w:t>
      </w:r>
      <w:r>
        <w:rPr>
          <w:spacing w:val="-6"/>
        </w:rPr>
        <w:t> </w:t>
      </w:r>
      <w:r>
        <w:rPr/>
        <w:t>su</w:t>
      </w:r>
      <w:r>
        <w:rPr>
          <w:spacing w:val="-4"/>
        </w:rPr>
        <w:t> </w:t>
      </w:r>
      <w:r>
        <w:rPr/>
        <w:t>articulación</w:t>
      </w:r>
      <w:r>
        <w:rPr>
          <w:spacing w:val="-6"/>
        </w:rPr>
        <w:t> </w:t>
      </w:r>
      <w:r>
        <w:rPr/>
        <w:t>con</w:t>
      </w:r>
      <w:r>
        <w:rPr>
          <w:spacing w:val="-3"/>
        </w:rPr>
        <w:t> </w:t>
      </w:r>
      <w:r>
        <w:rPr/>
        <w:t>los</w:t>
      </w:r>
      <w:r>
        <w:rPr>
          <w:spacing w:val="-3"/>
        </w:rPr>
        <w:t> </w:t>
      </w:r>
      <w:r>
        <w:rPr/>
        <w:t>ODS</w:t>
      </w:r>
      <w:r>
        <w:rPr>
          <w:spacing w:val="-5"/>
        </w:rPr>
        <w:t> </w:t>
      </w:r>
      <w:r>
        <w:rPr/>
        <w:t>que desemboca en la priorización de 10 objetivos estratégicos que permitirán que Guatemala en el mediano y largo plazos, logre mejorar considerablemente el bienestar de la población y permita a la vez contribuir al crecimiento</w:t>
      </w:r>
      <w:r>
        <w:rPr>
          <w:spacing w:val="-7"/>
        </w:rPr>
        <w:t> </w:t>
      </w:r>
      <w:r>
        <w:rPr/>
        <w:t>económico.</w:t>
      </w:r>
    </w:p>
    <w:p>
      <w:pPr>
        <w:pStyle w:val="BodyText"/>
        <w:spacing w:before="4"/>
        <w:rPr>
          <w:sz w:val="25"/>
        </w:rPr>
      </w:pPr>
    </w:p>
    <w:p>
      <w:pPr>
        <w:pStyle w:val="BodyText"/>
        <w:spacing w:line="276" w:lineRule="auto"/>
        <w:ind w:left="562" w:right="1695"/>
        <w:jc w:val="both"/>
      </w:pPr>
      <w:r>
        <w:rPr/>
        <w:t>En</w:t>
      </w:r>
      <w:r>
        <w:rPr>
          <w:spacing w:val="-4"/>
        </w:rPr>
        <w:t> </w:t>
      </w:r>
      <w:r>
        <w:rPr/>
        <w:t>ese</w:t>
      </w:r>
      <w:r>
        <w:rPr>
          <w:spacing w:val="-6"/>
        </w:rPr>
        <w:t> </w:t>
      </w:r>
      <w:r>
        <w:rPr/>
        <w:t>sentido,</w:t>
      </w:r>
      <w:r>
        <w:rPr>
          <w:spacing w:val="-4"/>
        </w:rPr>
        <w:t> </w:t>
      </w:r>
      <w:r>
        <w:rPr/>
        <w:t>es</w:t>
      </w:r>
      <w:r>
        <w:rPr>
          <w:spacing w:val="-5"/>
        </w:rPr>
        <w:t> </w:t>
      </w:r>
      <w:r>
        <w:rPr/>
        <w:t>importante</w:t>
      </w:r>
      <w:r>
        <w:rPr>
          <w:spacing w:val="-3"/>
        </w:rPr>
        <w:t> </w:t>
      </w:r>
      <w:r>
        <w:rPr/>
        <w:t>considerar</w:t>
      </w:r>
      <w:r>
        <w:rPr>
          <w:spacing w:val="-3"/>
        </w:rPr>
        <w:t> </w:t>
      </w:r>
      <w:r>
        <w:rPr/>
        <w:t>que</w:t>
      </w:r>
      <w:r>
        <w:rPr>
          <w:spacing w:val="-3"/>
        </w:rPr>
        <w:t> </w:t>
      </w:r>
      <w:r>
        <w:rPr/>
        <w:t>para</w:t>
      </w:r>
      <w:r>
        <w:rPr>
          <w:spacing w:val="-6"/>
        </w:rPr>
        <w:t> </w:t>
      </w:r>
      <w:r>
        <w:rPr/>
        <w:t>el</w:t>
      </w:r>
      <w:r>
        <w:rPr>
          <w:spacing w:val="-3"/>
        </w:rPr>
        <w:t> </w:t>
      </w:r>
      <w:r>
        <w:rPr/>
        <w:t>proyecto</w:t>
      </w:r>
      <w:r>
        <w:rPr>
          <w:spacing w:val="-4"/>
        </w:rPr>
        <w:t> </w:t>
      </w:r>
      <w:r>
        <w:rPr/>
        <w:t>de</w:t>
      </w:r>
      <w:r>
        <w:rPr>
          <w:spacing w:val="-3"/>
        </w:rPr>
        <w:t> </w:t>
      </w:r>
      <w:r>
        <w:rPr/>
        <w:t>presupuesto</w:t>
      </w:r>
      <w:r>
        <w:rPr>
          <w:spacing w:val="-6"/>
        </w:rPr>
        <w:t> </w:t>
      </w:r>
      <w:r>
        <w:rPr/>
        <w:t>2023</w:t>
      </w:r>
      <w:r>
        <w:rPr>
          <w:spacing w:val="-6"/>
        </w:rPr>
        <w:t> </w:t>
      </w:r>
      <w:r>
        <w:rPr/>
        <w:t>y</w:t>
      </w:r>
      <w:r>
        <w:rPr>
          <w:spacing w:val="-6"/>
        </w:rPr>
        <w:t> </w:t>
      </w:r>
      <w:r>
        <w:rPr/>
        <w:t>para</w:t>
      </w:r>
      <w:r>
        <w:rPr>
          <w:spacing w:val="-3"/>
        </w:rPr>
        <w:t> </w:t>
      </w:r>
      <w:r>
        <w:rPr/>
        <w:t>el</w:t>
      </w:r>
      <w:r>
        <w:rPr>
          <w:spacing w:val="-3"/>
        </w:rPr>
        <w:t> </w:t>
      </w:r>
      <w:r>
        <w:rPr/>
        <w:t>mediano plazo los ingresos tributarios proyectados tendrán pre asignaciones o destinos específicos que establece la Constitución Política de la República de Guatemala, así como la legislación tributaria, por el equivalente al 34.5% del total de ingresos que se espera</w:t>
      </w:r>
      <w:r>
        <w:rPr>
          <w:spacing w:val="-11"/>
        </w:rPr>
        <w:t> </w:t>
      </w:r>
      <w:r>
        <w:rPr/>
        <w:t>recibir.</w:t>
      </w:r>
    </w:p>
    <w:p>
      <w:pPr>
        <w:pStyle w:val="BodyText"/>
        <w:spacing w:before="3"/>
        <w:rPr>
          <w:sz w:val="25"/>
        </w:rPr>
      </w:pPr>
    </w:p>
    <w:p>
      <w:pPr>
        <w:pStyle w:val="BodyText"/>
        <w:spacing w:line="276" w:lineRule="auto"/>
        <w:ind w:left="562" w:right="1694"/>
        <w:jc w:val="both"/>
      </w:pPr>
      <w:r>
        <w:rPr/>
        <w:t>Sin</w:t>
      </w:r>
      <w:r>
        <w:rPr>
          <w:spacing w:val="-9"/>
        </w:rPr>
        <w:t> </w:t>
      </w:r>
      <w:r>
        <w:rPr/>
        <w:t>embargo,</w:t>
      </w:r>
      <w:r>
        <w:rPr>
          <w:spacing w:val="-10"/>
        </w:rPr>
        <w:t> </w:t>
      </w:r>
      <w:r>
        <w:rPr/>
        <w:t>a</w:t>
      </w:r>
      <w:r>
        <w:rPr>
          <w:spacing w:val="-9"/>
        </w:rPr>
        <w:t> </w:t>
      </w:r>
      <w:r>
        <w:rPr/>
        <w:t>nivel</w:t>
      </w:r>
      <w:r>
        <w:rPr>
          <w:spacing w:val="-8"/>
        </w:rPr>
        <w:t> </w:t>
      </w:r>
      <w:r>
        <w:rPr/>
        <w:t>de</w:t>
      </w:r>
      <w:r>
        <w:rPr>
          <w:spacing w:val="-12"/>
        </w:rPr>
        <w:t> </w:t>
      </w:r>
      <w:r>
        <w:rPr/>
        <w:t>todo</w:t>
      </w:r>
      <w:r>
        <w:rPr>
          <w:spacing w:val="-10"/>
        </w:rPr>
        <w:t> </w:t>
      </w:r>
      <w:r>
        <w:rPr/>
        <w:t>el</w:t>
      </w:r>
      <w:r>
        <w:rPr>
          <w:spacing w:val="-11"/>
        </w:rPr>
        <w:t> </w:t>
      </w:r>
      <w:r>
        <w:rPr/>
        <w:t>presupuesto,</w:t>
      </w:r>
      <w:r>
        <w:rPr>
          <w:spacing w:val="-8"/>
        </w:rPr>
        <w:t> </w:t>
      </w:r>
      <w:r>
        <w:rPr/>
        <w:t>las</w:t>
      </w:r>
      <w:r>
        <w:rPr>
          <w:spacing w:val="-11"/>
        </w:rPr>
        <w:t> </w:t>
      </w:r>
      <w:r>
        <w:rPr/>
        <w:t>rigideces</w:t>
      </w:r>
      <w:r>
        <w:rPr>
          <w:spacing w:val="-9"/>
        </w:rPr>
        <w:t> </w:t>
      </w:r>
      <w:r>
        <w:rPr/>
        <w:t>presupuestarias</w:t>
      </w:r>
      <w:r>
        <w:rPr>
          <w:spacing w:val="-9"/>
        </w:rPr>
        <w:t> </w:t>
      </w:r>
      <w:r>
        <w:rPr/>
        <w:t>son</w:t>
      </w:r>
      <w:r>
        <w:rPr>
          <w:spacing w:val="-10"/>
        </w:rPr>
        <w:t> </w:t>
      </w:r>
      <w:r>
        <w:rPr/>
        <w:t>mayores</w:t>
      </w:r>
      <w:r>
        <w:rPr>
          <w:spacing w:val="-9"/>
        </w:rPr>
        <w:t> </w:t>
      </w:r>
      <w:r>
        <w:rPr/>
        <w:t>ya</w:t>
      </w:r>
      <w:r>
        <w:rPr>
          <w:spacing w:val="-9"/>
        </w:rPr>
        <w:t> </w:t>
      </w:r>
      <w:r>
        <w:rPr/>
        <w:t>que</w:t>
      </w:r>
      <w:r>
        <w:rPr>
          <w:spacing w:val="-9"/>
        </w:rPr>
        <w:t> </w:t>
      </w:r>
      <w:r>
        <w:rPr/>
        <w:t>no</w:t>
      </w:r>
      <w:r>
        <w:rPr>
          <w:spacing w:val="-11"/>
        </w:rPr>
        <w:t> </w:t>
      </w:r>
      <w:r>
        <w:rPr/>
        <w:t>solo incorpora las pre asignaciones de los impuestos, sino también otros compromisos ineludibles como las remuneraciones del Estado, el pago de las clases pasivas y aportes al IGSS, así como el servicio de</w:t>
      </w:r>
      <w:r>
        <w:rPr>
          <w:spacing w:val="-9"/>
        </w:rPr>
        <w:t> </w:t>
      </w:r>
      <w:r>
        <w:rPr/>
        <w:t>la</w:t>
      </w:r>
      <w:r>
        <w:rPr>
          <w:spacing w:val="-8"/>
        </w:rPr>
        <w:t> </w:t>
      </w:r>
      <w:r>
        <w:rPr/>
        <w:t>deuda</w:t>
      </w:r>
      <w:r>
        <w:rPr>
          <w:spacing w:val="-8"/>
        </w:rPr>
        <w:t> </w:t>
      </w:r>
      <w:r>
        <w:rPr/>
        <w:t>pública</w:t>
      </w:r>
      <w:r>
        <w:rPr>
          <w:spacing w:val="-10"/>
        </w:rPr>
        <w:t> </w:t>
      </w:r>
      <w:r>
        <w:rPr/>
        <w:t>y</w:t>
      </w:r>
      <w:r>
        <w:rPr>
          <w:spacing w:val="-11"/>
        </w:rPr>
        <w:t> </w:t>
      </w:r>
      <w:r>
        <w:rPr/>
        <w:t>los</w:t>
      </w:r>
      <w:r>
        <w:rPr>
          <w:spacing w:val="-10"/>
        </w:rPr>
        <w:t> </w:t>
      </w:r>
      <w:r>
        <w:rPr/>
        <w:t>aportes</w:t>
      </w:r>
      <w:r>
        <w:rPr>
          <w:spacing w:val="-10"/>
        </w:rPr>
        <w:t> </w:t>
      </w:r>
      <w:r>
        <w:rPr/>
        <w:t>institucionales</w:t>
      </w:r>
      <w:r>
        <w:rPr>
          <w:spacing w:val="-10"/>
        </w:rPr>
        <w:t> </w:t>
      </w:r>
      <w:r>
        <w:rPr/>
        <w:t>a</w:t>
      </w:r>
      <w:r>
        <w:rPr>
          <w:spacing w:val="-10"/>
        </w:rPr>
        <w:t> </w:t>
      </w:r>
      <w:r>
        <w:rPr/>
        <w:t>entidades</w:t>
      </w:r>
      <w:r>
        <w:rPr>
          <w:spacing w:val="-11"/>
        </w:rPr>
        <w:t> </w:t>
      </w:r>
      <w:r>
        <w:rPr/>
        <w:t>descentralizadas</w:t>
      </w:r>
      <w:r>
        <w:rPr>
          <w:spacing w:val="-8"/>
        </w:rPr>
        <w:t> </w:t>
      </w:r>
      <w:r>
        <w:rPr/>
        <w:t>y</w:t>
      </w:r>
      <w:r>
        <w:rPr>
          <w:spacing w:val="-11"/>
        </w:rPr>
        <w:t> </w:t>
      </w:r>
      <w:r>
        <w:rPr/>
        <w:t>autónomas</w:t>
      </w:r>
      <w:r>
        <w:rPr>
          <w:spacing w:val="-8"/>
        </w:rPr>
        <w:t> </w:t>
      </w:r>
      <w:r>
        <w:rPr/>
        <w:t>incluyendo las Municipalidades y los Consejos de Desarrollo Urbano y Rural. En su totalidad esto representa cerca del 92% de rigidez presupuestaria, es decir el margen de maniobra de la política fiscal está en torno al 8% del total del presupuesto. Esto sin duda genera una restricción importante en el manejo de</w:t>
      </w:r>
      <w:r>
        <w:rPr>
          <w:spacing w:val="5"/>
        </w:rPr>
        <w:t> </w:t>
      </w:r>
      <w:r>
        <w:rPr/>
        <w:t>la</w:t>
      </w:r>
      <w:r>
        <w:rPr>
          <w:spacing w:val="6"/>
        </w:rPr>
        <w:t> </w:t>
      </w:r>
      <w:r>
        <w:rPr/>
        <w:t>política</w:t>
      </w:r>
      <w:r>
        <w:rPr>
          <w:spacing w:val="6"/>
        </w:rPr>
        <w:t> </w:t>
      </w:r>
      <w:r>
        <w:rPr/>
        <w:t>fiscal</w:t>
      </w:r>
      <w:r>
        <w:rPr>
          <w:spacing w:val="6"/>
        </w:rPr>
        <w:t> </w:t>
      </w:r>
      <w:r>
        <w:rPr/>
        <w:t>derivado</w:t>
      </w:r>
      <w:r>
        <w:rPr>
          <w:spacing w:val="6"/>
        </w:rPr>
        <w:t> </w:t>
      </w:r>
      <w:r>
        <w:rPr/>
        <w:t>que</w:t>
      </w:r>
      <w:r>
        <w:rPr>
          <w:spacing w:val="5"/>
        </w:rPr>
        <w:t> </w:t>
      </w:r>
      <w:r>
        <w:rPr/>
        <w:t>más</w:t>
      </w:r>
      <w:r>
        <w:rPr>
          <w:spacing w:val="6"/>
        </w:rPr>
        <w:t> </w:t>
      </w:r>
      <w:r>
        <w:rPr/>
        <w:t>de</w:t>
      </w:r>
      <w:r>
        <w:rPr>
          <w:spacing w:val="6"/>
        </w:rPr>
        <w:t> </w:t>
      </w:r>
      <w:r>
        <w:rPr/>
        <w:t>la</w:t>
      </w:r>
      <w:r>
        <w:rPr>
          <w:spacing w:val="5"/>
        </w:rPr>
        <w:t> </w:t>
      </w:r>
      <w:r>
        <w:rPr/>
        <w:t>tercera</w:t>
      </w:r>
      <w:r>
        <w:rPr>
          <w:spacing w:val="6"/>
        </w:rPr>
        <w:t> </w:t>
      </w:r>
      <w:r>
        <w:rPr/>
        <w:t>parte</w:t>
      </w:r>
      <w:r>
        <w:rPr>
          <w:spacing w:val="6"/>
        </w:rPr>
        <w:t> </w:t>
      </w:r>
      <w:r>
        <w:rPr/>
        <w:t>de</w:t>
      </w:r>
      <w:r>
        <w:rPr>
          <w:spacing w:val="4"/>
        </w:rPr>
        <w:t> </w:t>
      </w:r>
      <w:r>
        <w:rPr/>
        <w:t>la</w:t>
      </w:r>
      <w:r>
        <w:rPr>
          <w:spacing w:val="5"/>
        </w:rPr>
        <w:t> </w:t>
      </w:r>
      <w:r>
        <w:rPr/>
        <w:t>tributación</w:t>
      </w:r>
      <w:r>
        <w:rPr>
          <w:spacing w:val="6"/>
        </w:rPr>
        <w:t> </w:t>
      </w:r>
      <w:r>
        <w:rPr/>
        <w:t>no</w:t>
      </w:r>
      <w:r>
        <w:rPr>
          <w:spacing w:val="6"/>
        </w:rPr>
        <w:t> </w:t>
      </w:r>
      <w:r>
        <w:rPr/>
        <w:t>puede</w:t>
      </w:r>
      <w:r>
        <w:rPr>
          <w:spacing w:val="5"/>
        </w:rPr>
        <w:t> </w:t>
      </w:r>
      <w:r>
        <w:rPr/>
        <w:t>tener</w:t>
      </w:r>
      <w:r>
        <w:rPr>
          <w:spacing w:val="6"/>
        </w:rPr>
        <w:t> </w:t>
      </w:r>
      <w:r>
        <w:rPr/>
        <w:t>un</w:t>
      </w:r>
      <w:r>
        <w:rPr>
          <w:spacing w:val="6"/>
        </w:rPr>
        <w:t> </w:t>
      </w:r>
      <w:r>
        <w:rPr/>
        <w:t>destino</w:t>
      </w:r>
    </w:p>
    <w:p>
      <w:pPr>
        <w:spacing w:after="0" w:line="276" w:lineRule="auto"/>
        <w:jc w:val="both"/>
        <w:sectPr>
          <w:pgSz w:w="12240" w:h="15840"/>
          <w:pgMar w:header="715" w:footer="688" w:top="1240" w:bottom="880" w:left="1140" w:right="0"/>
        </w:sectPr>
      </w:pPr>
    </w:p>
    <w:p>
      <w:pPr>
        <w:pStyle w:val="BodyText"/>
        <w:spacing w:line="276" w:lineRule="auto" w:before="162"/>
        <w:ind w:left="562" w:right="1704"/>
      </w:pPr>
      <w:r>
        <w:rPr/>
        <w:t>diferente al establecido por la Ley afectando el grado de discrecionalidad para orientar la política pública a determinados fines prioritarios.</w:t>
      </w:r>
    </w:p>
    <w:p>
      <w:pPr>
        <w:pStyle w:val="BodyText"/>
        <w:spacing w:before="7"/>
        <w:rPr>
          <w:sz w:val="25"/>
        </w:rPr>
      </w:pPr>
    </w:p>
    <w:p>
      <w:pPr>
        <w:spacing w:before="0"/>
        <w:ind w:left="1395" w:right="2530" w:firstLine="0"/>
        <w:jc w:val="center"/>
        <w:rPr>
          <w:b/>
          <w:sz w:val="22"/>
        </w:rPr>
      </w:pPr>
      <w:bookmarkStart w:name="_bookmark220" w:id="286"/>
      <w:bookmarkEnd w:id="286"/>
      <w:r>
        <w:rPr/>
      </w:r>
      <w:r>
        <w:rPr>
          <w:b/>
          <w:i/>
          <w:sz w:val="20"/>
        </w:rPr>
        <w:t>Gráfico 108. </w:t>
      </w:r>
      <w:r>
        <w:rPr>
          <w:b/>
          <w:sz w:val="22"/>
        </w:rPr>
        <w:t>Rigideces presupuestarias</w:t>
      </w:r>
    </w:p>
    <w:p>
      <w:pPr>
        <w:spacing w:before="70"/>
        <w:ind w:left="1395" w:right="2298" w:firstLine="0"/>
        <w:jc w:val="center"/>
        <w:rPr>
          <w:sz w:val="20"/>
        </w:rPr>
      </w:pPr>
      <w:r>
        <w:rPr>
          <w:sz w:val="20"/>
        </w:rPr>
        <w:t>Porcentajes</w:t>
      </w:r>
    </w:p>
    <w:p>
      <w:pPr>
        <w:spacing w:before="123"/>
        <w:ind w:left="3628" w:right="6807" w:hanging="413"/>
        <w:jc w:val="left"/>
        <w:rPr>
          <w:b/>
          <w:sz w:val="16"/>
        </w:rPr>
      </w:pPr>
      <w:r>
        <w:rPr/>
        <w:pict>
          <v:group style="position:absolute;margin-left:221.520004pt;margin-top:3.308728pt;width:166.8pt;height:168.4pt;mso-position-horizontal-relative:page;mso-position-vertical-relative:paragraph;z-index:-280078336" coordorigin="4430,66" coordsize="3336,3368">
            <v:shape style="position:absolute;left:6245;top:512;width:1496;height:1612" type="#_x0000_t75" stroked="false">
              <v:imagedata r:id="rId334" o:title=""/>
            </v:shape>
            <v:shape style="position:absolute;left:6228;top:1874;width:1521;height:854" type="#_x0000_t75" stroked="false">
              <v:imagedata r:id="rId335" o:title=""/>
            </v:shape>
            <v:shape style="position:absolute;left:6220;top:1890;width:1346;height:1137" type="#_x0000_t75" stroked="false">
              <v:imagedata r:id="rId336" o:title=""/>
            </v:shape>
            <v:shape style="position:absolute;left:6199;top:1907;width:1128;height:1524" type="#_x0000_t75" stroked="false">
              <v:imagedata r:id="rId337" o:title=""/>
            </v:shape>
            <v:shape style="position:absolute;left:5128;top:1907;width:1257;height:1526" type="#_x0000_t75" stroked="false">
              <v:imagedata r:id="rId338" o:title=""/>
            </v:shape>
            <v:shape style="position:absolute;left:4821;top:1881;width:1493;height:1049" type="#_x0000_t75" stroked="false">
              <v:imagedata r:id="rId339" o:title=""/>
            </v:shape>
            <v:shape style="position:absolute;left:4783;top:1370;width:1526;height:962" type="#_x0000_t75" stroked="false">
              <v:imagedata r:id="rId340" o:title=""/>
            </v:shape>
            <v:shape style="position:absolute;left:4884;top:784;width:1435;height:1226" type="#_x0000_t75" stroked="false">
              <v:imagedata r:id="rId341" o:title=""/>
            </v:shape>
            <v:shape style="position:absolute;left:5304;top:640;width:1027;height:1358" type="#_x0000_t75" stroked="false">
              <v:imagedata r:id="rId342" o:title=""/>
            </v:shape>
            <v:shape style="position:absolute;left:5402;top:71;width:833;height:1478" type="#_x0000_t75" stroked="false">
              <v:imagedata r:id="rId343" o:title=""/>
            </v:shape>
            <v:shape style="position:absolute;left:6274;top:538;width:1341;height:1457" coordorigin="6274,539" coordsize="1341,1457" path="m6274,539l6274,1880,7610,1996,7612,1967,7614,1938,7614,1909,7615,1880,7613,1804,7606,1729,7596,1655,7582,1582,7564,1511,7542,1442,7516,1374,7487,1308,7455,1244,7420,1183,7381,1123,7339,1065,7294,1010,7247,957,7197,907,7144,859,7089,815,7031,773,6971,734,6909,699,6845,666,6779,637,6712,612,6642,590,6571,572,6499,558,6425,547,6350,541,6274,539xe" filled="true" fillcolor="#ffc000" stroked="false">
              <v:path arrowok="t"/>
              <v:fill type="solid"/>
            </v:shape>
            <v:shape style="position:absolute;left:6274;top:538;width:1341;height:1457" coordorigin="6274,539" coordsize="1341,1457" path="m6274,539l6350,541,6425,547,6499,558,6571,572,6642,590,6712,612,6779,637,6845,666,6909,699,6971,734,7031,773,7089,815,7144,859,7197,907,7247,957,7294,1010,7339,1065,7381,1123,7420,1183,7455,1244,7487,1308,7516,1374,7542,1442,7564,1511,7582,1582,7596,1655,7606,1729,7613,1804,7615,1880,7614,1909,7614,1938,7612,1967,7610,1996,6274,1880,6274,539xe" filled="false" stroked="true" strokeweight="1.56pt" strokecolor="#ffffff">
              <v:path arrowok="t"/>
              <v:stroke dashstyle="solid"/>
            </v:shape>
            <v:shape style="position:absolute;left:6285;top:1931;width:1336;height:668" coordorigin="6286,1932" coordsize="1336,668" path="m6286,1932l7448,2600,7488,2526,7522,2450,7552,2373,7577,2294,7597,2213,7612,2131,7621,2048,6286,1932xe" filled="true" fillcolor="#c00000" stroked="false">
              <v:path arrowok="t"/>
              <v:fill type="solid"/>
            </v:shape>
            <v:shape style="position:absolute;left:6285;top:1931;width:1336;height:668" coordorigin="6286,1932" coordsize="1336,668" path="m7621,2048l7612,2131,7597,2213,7577,2294,7552,2373,7522,2450,7488,2526,7448,2600,6286,1932,7621,2048xe" filled="false" stroked="true" strokeweight="1.56pt" strokecolor="#ffffff">
              <v:path arrowok="t"/>
              <v:stroke dashstyle="solid"/>
            </v:shape>
            <v:shape style="position:absolute;left:6277;top:1948;width:1163;height:954" coordorigin="6277,1949" coordsize="1163,954" path="m6277,1949l7220,2902,7270,2850,7317,2795,7361,2738,7402,2678,7440,2617,6277,1949xe" filled="true" fillcolor="#c00000" stroked="false">
              <v:path arrowok="t"/>
              <v:fill type="solid"/>
            </v:shape>
            <v:shape style="position:absolute;left:6277;top:1948;width:1163;height:954" coordorigin="6277,1949" coordsize="1163,954" path="m7440,2617l7402,2678,7361,2738,7317,2795,7270,2850,7220,2902,6277,1949,7440,2617xe" filled="false" stroked="true" strokeweight="1.56pt" strokecolor="#ffffff">
              <v:path arrowok="t"/>
              <v:stroke dashstyle="solid"/>
            </v:shape>
            <v:shape style="position:absolute;left:6255;top:1965;width:943;height:1340" coordorigin="6256,1965" coordsize="943,1340" path="m6256,1965l6303,3305,6380,3300,6457,3291,6532,3277,6607,3259,6680,3237,6752,3211,6822,3180,6890,3146,6957,3108,7021,3066,7083,3021,7142,2971,7199,2918,6256,1965xe" filled="true" fillcolor="#c00000" stroked="false">
              <v:path arrowok="t"/>
              <v:fill type="solid"/>
            </v:shape>
            <v:shape style="position:absolute;left:6255;top:1965;width:943;height:1340" coordorigin="6256,1965" coordsize="943,1340" path="m7199,2918l7142,2971,7083,3021,7021,3066,6957,3108,6890,3146,6822,3180,6752,3211,6680,3237,6607,3259,6532,3277,6457,3291,6380,3300,6303,3305,6256,1965,7199,2918xe" filled="false" stroked="true" strokeweight="1.56pt" strokecolor="#ffffff">
              <v:path arrowok="t"/>
              <v:stroke dashstyle="solid"/>
            </v:shape>
            <v:shape style="position:absolute;left:5186;top:1964;width:1073;height:1341" coordorigin="5187,1965" coordsize="1073,1341" path="m6213,1965l5187,2828,5238,2885,5292,2940,5349,2990,5408,3038,5470,3081,5534,3121,5600,3158,5668,3190,5738,3219,5809,3243,5882,3264,5956,3281,6031,3293,6106,3301,6183,3305,6260,3305,6213,1965xe" filled="true" fillcolor="#77923b" stroked="false">
              <v:path arrowok="t"/>
              <v:fill type="solid"/>
            </v:shape>
            <v:shape style="position:absolute;left:5186;top:1964;width:1073;height:1341" coordorigin="5187,1965" coordsize="1073,1341" path="m6260,3305l6183,3305,6106,3301,6031,3293,5956,3281,5882,3264,5809,3243,5738,3219,5668,3190,5600,3158,5534,3121,5470,3081,5408,3038,5349,2990,5292,2940,5238,2885,5187,2828,6213,1965,6260,3305xe" filled="false" stroked="true" strokeweight="1.56pt" strokecolor="#ffffff">
              <v:path arrowok="t"/>
              <v:stroke dashstyle="solid"/>
            </v:shape>
            <v:shape style="position:absolute;left:4877;top:1939;width:1309;height:864" coordorigin="4878,1940" coordsize="1309,864" path="m6186,1940l4878,2232,4898,2310,4922,2386,4951,2461,4985,2534,5022,2605,5064,2674,5110,2740,5160,2803,6186,1940xe" filled="true" fillcolor="#c55a11" stroked="false">
              <v:path arrowok="t"/>
              <v:fill type="solid"/>
            </v:shape>
            <v:shape style="position:absolute;left:4877;top:1939;width:1309;height:864" coordorigin="4878,1940" coordsize="1309,864" path="m5160,2803l5110,2740,5064,2674,5022,2605,4985,2534,4951,2461,4922,2386,4898,2310,4878,2232,6186,1940,5160,2803xe" filled="false" stroked="true" strokeweight="1.56pt" strokecolor="#ffffff">
              <v:path arrowok="t"/>
              <v:stroke dashstyle="solid"/>
            </v:shape>
            <v:shape style="position:absolute;left:4840;top:1426;width:1341;height:778" coordorigin="4840,1426" coordsize="1341,778" path="m4931,1426l4905,1501,4883,1577,4865,1655,4852,1732,4844,1811,4840,1890,4841,1968,4847,2047,4857,2126,4872,2204,6181,1912,4931,1426xe" filled="true" fillcolor="#49452a" stroked="false">
              <v:path arrowok="t"/>
              <v:fill type="solid"/>
            </v:shape>
            <v:shape style="position:absolute;left:4840;top:1426;width:1341;height:778" coordorigin="4840,1426" coordsize="1341,778" path="m4872,2204l4857,2126,4847,2047,4841,1968,4840,1890,4844,1811,4852,1732,4865,1655,4883,1577,4905,1501,4931,1426,6181,1912,4872,2204xe" filled="false" stroked="true" strokeweight="1.56pt" strokecolor="#ffffff">
              <v:path arrowok="t"/>
              <v:stroke dashstyle="solid"/>
            </v:shape>
            <v:shape style="position:absolute;left:4941;top:842;width:1250;height:1042" coordorigin="4941,843" coordsize="1250,1042" path="m5347,843l5288,893,5232,947,5180,1004,5131,1063,5086,1126,5044,1191,5006,1258,4972,1327,4941,1399,6191,1884,5347,843xe" filled="true" fillcolor="#2d75b6" stroked="false">
              <v:path arrowok="t"/>
              <v:fill type="solid"/>
            </v:shape>
            <v:shape style="position:absolute;left:4941;top:842;width:1250;height:1042" coordorigin="4941,843" coordsize="1250,1042" path="m4941,1399l4972,1327,5006,1258,5044,1191,5086,1126,5131,1063,5180,1004,5232,947,5288,893,5347,843,6191,1884,4941,1399xe" filled="false" stroked="true" strokeweight="1.56pt" strokecolor="#ffffff">
              <v:path arrowok="t"/>
              <v:stroke dashstyle="solid"/>
            </v:shape>
            <v:shape style="position:absolute;left:5360;top:697;width:845;height:1174" coordorigin="5360,698" coordsize="845,1174" path="m5556,698l5505,728,5455,760,5407,794,5360,830,6205,1871,5556,698xe" filled="true" fillcolor="#2d75b6" stroked="false">
              <v:path arrowok="t"/>
              <v:fill type="solid"/>
            </v:shape>
            <v:shape style="position:absolute;left:5360;top:697;width:845;height:1174" coordorigin="5360,698" coordsize="845,1174" path="m5360,830l5407,794,5455,760,5505,728,5556,698,6205,1871,5360,830xe" filled="false" stroked="true" strokeweight="1.56pt" strokecolor="#ffffff">
              <v:path arrowok="t"/>
              <v:stroke dashstyle="solid"/>
            </v:shape>
            <v:shape style="position:absolute;left:5458;top:81;width:649;height:1341" type="#_x0000_t75" stroked="false">
              <v:imagedata r:id="rId344" o:title=""/>
            </v:shape>
            <v:shape style="position:absolute;left:5458;top:81;width:649;height:1341" coordorigin="5459,82" coordsize="649,1341" path="m5459,249l5526,215,5594,184,5665,157,5736,134,5809,115,5882,101,5957,90,6032,84,6107,82,6107,1423,5459,249xe" filled="false" stroked="true" strokeweight="1.56pt" strokecolor="#ffffff">
              <v:path arrowok="t"/>
              <v:stroke dashstyle="solid"/>
            </v:shape>
            <v:shape style="position:absolute;left:7262;top:942;width:161;height:32" coordorigin="7262,943" coordsize="161,32" path="m7262,974l7332,943,7423,943e" filled="false" stroked="true" strokeweight=".72pt" strokecolor="#a6a6a6">
              <v:path arrowok="t"/>
              <v:stroke dashstyle="solid"/>
            </v:shape>
            <v:shape style="position:absolute;left:7564;top:2183;width:195;height:149" coordorigin="7565,2184" coordsize="195,149" path="m7565,2333l7668,2184,7759,2184e" filled="false" stroked="true" strokeweight=".72pt" strokecolor="#a6a6a6">
              <v:path arrowok="t"/>
              <v:stroke dashstyle="solid"/>
            </v:shape>
            <v:shape style="position:absolute;left:7339;top:2766;width:113;height:106" coordorigin="7339,2767" coordsize="113,106" path="m7339,2767l7361,2873,7452,2873e" filled="false" stroked="true" strokeweight=".72pt" strokecolor="#a6a6a6">
              <v:path arrowok="t"/>
              <v:stroke dashstyle="solid"/>
            </v:shape>
            <v:shape style="position:absolute;left:6787;top:3196;width:327;height:176" coordorigin="6787,3197" coordsize="327,176" path="m6787,3197l7022,3372,7114,3372e" filled="false" stroked="true" strokeweight=".72pt" strokecolor="#a6a6a6">
              <v:path arrowok="t"/>
              <v:stroke dashstyle="solid"/>
            </v:shape>
            <v:shape style="position:absolute;left:5556;top:3189;width:113;height:140" coordorigin="5556,3189" coordsize="113,140" path="m5669,3189l5647,3329,5556,3329e" filled="false" stroked="true" strokeweight=".72pt" strokecolor="#a6a6a6">
              <v:path arrowok="t"/>
              <v:stroke dashstyle="solid"/>
            </v:shape>
            <v:shape style="position:absolute;left:4879;top:1055;width:228;height:39" coordorigin="4879,1056" coordsize="228,39" path="m5107,1094l4968,1056,4879,1056e" filled="false" stroked="true" strokeweight=".72pt" strokecolor="#a6a6a6">
              <v:path arrowok="t"/>
              <v:stroke dashstyle="solid"/>
            </v:shape>
            <v:shape style="position:absolute;left:4437;top:695;width:1018;height:65" coordorigin="4438,696" coordsize="1018,65" path="m5455,761l4529,696,4438,696e" filled="false" stroked="true" strokeweight=".72pt" strokecolor="#a6a6a6">
              <v:path arrowok="t"/>
              <v:stroke dashstyle="solid"/>
            </v:shape>
            <w10:wrap type="none"/>
          </v:group>
        </w:pict>
      </w:r>
      <w:r>
        <w:rPr>
          <w:b/>
          <w:color w:val="404040"/>
          <w:sz w:val="16"/>
        </w:rPr>
        <w:t>Gasto no rígido 8%</w:t>
      </w:r>
    </w:p>
    <w:p>
      <w:pPr>
        <w:spacing w:after="0"/>
        <w:jc w:val="left"/>
        <w:rPr>
          <w:sz w:val="16"/>
        </w:rPr>
        <w:sectPr>
          <w:pgSz w:w="12240" w:h="15840"/>
          <w:pgMar w:header="715" w:footer="688" w:top="1240" w:bottom="880" w:left="1140" w:right="0"/>
        </w:sectPr>
      </w:pPr>
    </w:p>
    <w:p>
      <w:pPr>
        <w:spacing w:line="259" w:lineRule="auto" w:before="16"/>
        <w:ind w:left="2566" w:right="674" w:firstLine="249"/>
        <w:jc w:val="right"/>
        <w:rPr>
          <w:b/>
          <w:sz w:val="16"/>
        </w:rPr>
      </w:pPr>
      <w:r>
        <w:rPr>
          <w:b/>
          <w:color w:val="404040"/>
          <w:sz w:val="16"/>
        </w:rPr>
        <w:t>Consejos de</w:t>
      </w:r>
      <w:r>
        <w:rPr>
          <w:b/>
          <w:color w:val="404040"/>
          <w:w w:val="100"/>
          <w:sz w:val="16"/>
        </w:rPr>
        <w:t> </w:t>
      </w:r>
      <w:r>
        <w:rPr>
          <w:b/>
          <w:color w:val="404040"/>
          <w:sz w:val="16"/>
        </w:rPr>
        <w:t>Desarrollo… Municipalidades</w:t>
      </w:r>
    </w:p>
    <w:p>
      <w:pPr>
        <w:spacing w:line="171" w:lineRule="exact" w:before="0"/>
        <w:ind w:left="3019" w:right="0" w:firstLine="0"/>
        <w:jc w:val="left"/>
        <w:rPr>
          <w:b/>
          <w:sz w:val="16"/>
        </w:rPr>
      </w:pPr>
      <w:r>
        <w:rPr>
          <w:b/>
          <w:color w:val="404040"/>
          <w:sz w:val="16"/>
        </w:rPr>
        <w:t>8%</w:t>
      </w:r>
    </w:p>
    <w:p>
      <w:pPr>
        <w:pStyle w:val="BodyText"/>
        <w:spacing w:before="2"/>
        <w:rPr>
          <w:b/>
          <w:sz w:val="17"/>
        </w:rPr>
      </w:pPr>
    </w:p>
    <w:p>
      <w:pPr>
        <w:spacing w:before="0"/>
        <w:ind w:left="2545" w:right="96" w:firstLine="228"/>
        <w:jc w:val="left"/>
        <w:rPr>
          <w:sz w:val="16"/>
        </w:rPr>
      </w:pPr>
      <w:r>
        <w:rPr>
          <w:b/>
          <w:color w:val="404040"/>
          <w:sz w:val="16"/>
        </w:rPr>
        <w:t>Aportes Institucionales </w:t>
      </w:r>
      <w:r>
        <w:rPr>
          <w:color w:val="404040"/>
          <w:w w:val="100"/>
          <w:sz w:val="16"/>
          <w:u w:val="single" w:color="A6A6A6"/>
        </w:rPr>
        <w:t> </w:t>
      </w:r>
      <w:r>
        <w:rPr>
          <w:color w:val="404040"/>
          <w:sz w:val="16"/>
          <w:u w:val="single" w:color="A6A6A6"/>
        </w:rPr>
        <w:t> </w:t>
      </w:r>
    </w:p>
    <w:p>
      <w:pPr>
        <w:spacing w:before="2"/>
        <w:ind w:left="2926" w:right="0" w:firstLine="0"/>
        <w:jc w:val="left"/>
        <w:rPr>
          <w:b/>
          <w:sz w:val="16"/>
        </w:rPr>
      </w:pPr>
      <w:r>
        <w:rPr>
          <w:b/>
          <w:color w:val="404040"/>
          <w:sz w:val="16"/>
        </w:rPr>
        <w:t>9%</w:t>
      </w:r>
    </w:p>
    <w:p>
      <w:pPr>
        <w:pStyle w:val="BodyText"/>
        <w:rPr>
          <w:b/>
          <w:sz w:val="18"/>
        </w:rPr>
      </w:pPr>
    </w:p>
    <w:p>
      <w:pPr>
        <w:spacing w:before="105"/>
        <w:ind w:left="2678" w:right="622" w:firstLine="0"/>
        <w:jc w:val="center"/>
        <w:rPr>
          <w:b/>
          <w:sz w:val="16"/>
        </w:rPr>
      </w:pPr>
      <w:r>
        <w:rPr>
          <w:b/>
          <w:color w:val="404040"/>
          <w:sz w:val="16"/>
        </w:rPr>
        <w:t>Clases pasivas e IGSS</w:t>
      </w:r>
    </w:p>
    <w:p>
      <w:pPr>
        <w:spacing w:before="2"/>
        <w:ind w:left="2678" w:right="619" w:firstLine="0"/>
        <w:jc w:val="center"/>
        <w:rPr>
          <w:b/>
          <w:sz w:val="16"/>
        </w:rPr>
      </w:pPr>
      <w:r>
        <w:rPr>
          <w:b/>
          <w:color w:val="404040"/>
          <w:sz w:val="16"/>
        </w:rPr>
        <w:t>8%</w:t>
      </w:r>
    </w:p>
    <w:p>
      <w:pPr>
        <w:pStyle w:val="BodyText"/>
        <w:rPr>
          <w:b/>
          <w:sz w:val="25"/>
        </w:rPr>
      </w:pPr>
    </w:p>
    <w:p>
      <w:pPr>
        <w:spacing w:before="0"/>
        <w:ind w:left="3726" w:right="-16" w:hanging="344"/>
        <w:jc w:val="left"/>
        <w:rPr>
          <w:b/>
          <w:sz w:val="16"/>
        </w:rPr>
      </w:pPr>
      <w:r>
        <w:rPr>
          <w:b/>
          <w:color w:val="404040"/>
          <w:sz w:val="16"/>
        </w:rPr>
        <w:t>Deuda Pública 15%</w:t>
      </w:r>
    </w:p>
    <w:p>
      <w:pPr>
        <w:pStyle w:val="BodyText"/>
        <w:spacing w:before="4"/>
        <w:rPr>
          <w:b/>
          <w:sz w:val="26"/>
        </w:rPr>
      </w:pPr>
      <w:r>
        <w:rPr/>
        <w:br w:type="column"/>
      </w:r>
      <w:r>
        <w:rPr>
          <w:b/>
          <w:sz w:val="26"/>
        </w:rPr>
      </w:r>
    </w:p>
    <w:p>
      <w:pPr>
        <w:spacing w:before="0"/>
        <w:ind w:left="1884" w:right="3645" w:firstLine="0"/>
        <w:jc w:val="center"/>
        <w:rPr>
          <w:b/>
          <w:sz w:val="16"/>
        </w:rPr>
      </w:pPr>
      <w:r>
        <w:rPr>
          <w:b/>
          <w:color w:val="404040"/>
          <w:spacing w:val="-1"/>
          <w:sz w:val="16"/>
        </w:rPr>
        <w:t>Remuneraciones </w:t>
      </w:r>
      <w:r>
        <w:rPr>
          <w:b/>
          <w:color w:val="404040"/>
          <w:sz w:val="16"/>
        </w:rPr>
        <w:t>26%</w:t>
      </w:r>
    </w:p>
    <w:p>
      <w:pPr>
        <w:pStyle w:val="BodyText"/>
        <w:rPr>
          <w:b/>
          <w:sz w:val="18"/>
        </w:rPr>
      </w:pPr>
    </w:p>
    <w:p>
      <w:pPr>
        <w:pStyle w:val="BodyText"/>
        <w:rPr>
          <w:b/>
          <w:sz w:val="18"/>
        </w:rPr>
      </w:pPr>
    </w:p>
    <w:p>
      <w:pPr>
        <w:pStyle w:val="BodyText"/>
        <w:rPr>
          <w:b/>
          <w:sz w:val="18"/>
        </w:rPr>
      </w:pPr>
    </w:p>
    <w:p>
      <w:pPr>
        <w:pStyle w:val="BodyText"/>
        <w:spacing w:before="10"/>
        <w:rPr>
          <w:b/>
          <w:sz w:val="21"/>
        </w:rPr>
      </w:pPr>
    </w:p>
    <w:p>
      <w:pPr>
        <w:spacing w:before="0"/>
        <w:ind w:left="2221" w:right="3853" w:firstLine="0"/>
        <w:jc w:val="center"/>
        <w:rPr>
          <w:b/>
          <w:sz w:val="16"/>
        </w:rPr>
      </w:pPr>
      <w:r>
        <w:rPr>
          <w:b/>
          <w:color w:val="404040"/>
          <w:spacing w:val="-1"/>
          <w:sz w:val="16"/>
        </w:rPr>
        <w:t>IVA-Paz </w:t>
      </w:r>
      <w:r>
        <w:rPr>
          <w:b/>
          <w:color w:val="404040"/>
          <w:sz w:val="16"/>
        </w:rPr>
        <w:t>7%</w:t>
      </w:r>
    </w:p>
    <w:p>
      <w:pPr>
        <w:spacing w:before="137"/>
        <w:ind w:left="1912" w:right="3622" w:hanging="2"/>
        <w:jc w:val="center"/>
        <w:rPr>
          <w:b/>
          <w:sz w:val="16"/>
        </w:rPr>
      </w:pPr>
      <w:r>
        <w:rPr>
          <w:b/>
          <w:color w:val="404040"/>
          <w:sz w:val="16"/>
        </w:rPr>
        <w:t>Aportes </w:t>
      </w:r>
      <w:r>
        <w:rPr>
          <w:b/>
          <w:color w:val="404040"/>
          <w:spacing w:val="-1"/>
          <w:sz w:val="16"/>
        </w:rPr>
        <w:t>Constitucionales </w:t>
      </w:r>
      <w:r>
        <w:rPr>
          <w:b/>
          <w:color w:val="404040"/>
          <w:sz w:val="16"/>
        </w:rPr>
        <w:t>4%</w:t>
      </w:r>
    </w:p>
    <w:p>
      <w:pPr>
        <w:spacing w:before="83"/>
        <w:ind w:left="1282" w:right="3645" w:firstLine="0"/>
        <w:jc w:val="center"/>
        <w:rPr>
          <w:b/>
          <w:sz w:val="16"/>
        </w:rPr>
      </w:pPr>
      <w:r>
        <w:rPr>
          <w:b/>
          <w:color w:val="404040"/>
          <w:sz w:val="16"/>
        </w:rPr>
        <w:t>Otros </w:t>
      </w:r>
      <w:r>
        <w:rPr>
          <w:b/>
          <w:color w:val="404040"/>
          <w:spacing w:val="-3"/>
          <w:sz w:val="16"/>
        </w:rPr>
        <w:t>destinos </w:t>
      </w:r>
      <w:r>
        <w:rPr>
          <w:b/>
          <w:color w:val="404040"/>
          <w:sz w:val="16"/>
        </w:rPr>
        <w:t>específicos…</w:t>
      </w:r>
    </w:p>
    <w:p>
      <w:pPr>
        <w:spacing w:after="0"/>
        <w:jc w:val="center"/>
        <w:rPr>
          <w:sz w:val="16"/>
        </w:rPr>
        <w:sectPr>
          <w:type w:val="continuous"/>
          <w:pgSz w:w="12240" w:h="15840"/>
          <w:pgMar w:top="1500" w:bottom="280" w:left="1140" w:right="0"/>
          <w:cols w:num="2" w:equalWidth="0">
            <w:col w:w="4387" w:space="40"/>
            <w:col w:w="6673"/>
          </w:cols>
        </w:sectPr>
      </w:pPr>
    </w:p>
    <w:p>
      <w:pPr>
        <w:pStyle w:val="BodyText"/>
        <w:spacing w:before="7"/>
        <w:rPr>
          <w:b/>
          <w:sz w:val="13"/>
        </w:rPr>
      </w:pPr>
    </w:p>
    <w:p>
      <w:pPr>
        <w:spacing w:before="94"/>
        <w:ind w:left="1874" w:right="0" w:firstLine="0"/>
        <w:jc w:val="left"/>
        <w:rPr>
          <w:sz w:val="16"/>
        </w:rPr>
      </w:pPr>
      <w:r>
        <w:rPr>
          <w:sz w:val="16"/>
        </w:rPr>
        <w:t>Fuente: Dirección de Análisis y Política Fiscal</w:t>
      </w:r>
    </w:p>
    <w:p>
      <w:pPr>
        <w:pStyle w:val="BodyText"/>
        <w:rPr>
          <w:sz w:val="18"/>
        </w:rPr>
      </w:pPr>
    </w:p>
    <w:p>
      <w:pPr>
        <w:pStyle w:val="BodyText"/>
        <w:spacing w:line="276" w:lineRule="auto" w:before="124"/>
        <w:ind w:left="562" w:right="1697"/>
        <w:jc w:val="both"/>
      </w:pPr>
      <w:r>
        <w:rPr/>
        <w:t>Con un manejo adecuado de la política fiscal se debe responder a los compromisos emanados de los programas prioritarios del Plan Nacional de Desarrollo, en congruencia con los lineamientos y las orientaciones generales del gasto público. Asimismo, se consideran las estimaciones de recaudación de ingresos fiscales de mediano plazo, así como las otras fuentes de financiamiento, para determinar las asignaciones generales del gasto público, para el ejercicio fiscal 2023-2027.</w:t>
      </w:r>
    </w:p>
    <w:p>
      <w:pPr>
        <w:pStyle w:val="BodyText"/>
        <w:spacing w:before="3"/>
        <w:rPr>
          <w:sz w:val="25"/>
        </w:rPr>
      </w:pPr>
    </w:p>
    <w:p>
      <w:pPr>
        <w:pStyle w:val="BodyText"/>
        <w:spacing w:line="276" w:lineRule="auto"/>
        <w:ind w:left="562" w:right="1695"/>
        <w:jc w:val="both"/>
      </w:pPr>
      <w:r>
        <w:rPr/>
        <w:t>Tomando</w:t>
      </w:r>
      <w:r>
        <w:rPr>
          <w:spacing w:val="-13"/>
        </w:rPr>
        <w:t> </w:t>
      </w:r>
      <w:r>
        <w:rPr/>
        <w:t>en</w:t>
      </w:r>
      <w:r>
        <w:rPr>
          <w:spacing w:val="-13"/>
        </w:rPr>
        <w:t> </w:t>
      </w:r>
      <w:r>
        <w:rPr/>
        <w:t>cuenta</w:t>
      </w:r>
      <w:r>
        <w:rPr>
          <w:spacing w:val="-14"/>
        </w:rPr>
        <w:t> </w:t>
      </w:r>
      <w:r>
        <w:rPr/>
        <w:t>lo</w:t>
      </w:r>
      <w:r>
        <w:rPr>
          <w:spacing w:val="-13"/>
        </w:rPr>
        <w:t> </w:t>
      </w:r>
      <w:r>
        <w:rPr/>
        <w:t>anterior,</w:t>
      </w:r>
      <w:r>
        <w:rPr>
          <w:spacing w:val="-12"/>
        </w:rPr>
        <w:t> </w:t>
      </w:r>
      <w:r>
        <w:rPr/>
        <w:t>el</w:t>
      </w:r>
      <w:r>
        <w:rPr>
          <w:spacing w:val="-12"/>
        </w:rPr>
        <w:t> </w:t>
      </w:r>
      <w:r>
        <w:rPr/>
        <w:t>techo</w:t>
      </w:r>
      <w:r>
        <w:rPr>
          <w:spacing w:val="-13"/>
        </w:rPr>
        <w:t> </w:t>
      </w:r>
      <w:r>
        <w:rPr/>
        <w:t>de</w:t>
      </w:r>
      <w:r>
        <w:rPr>
          <w:spacing w:val="-12"/>
        </w:rPr>
        <w:t> </w:t>
      </w:r>
      <w:r>
        <w:rPr/>
        <w:t>presupuesto</w:t>
      </w:r>
      <w:r>
        <w:rPr>
          <w:spacing w:val="-16"/>
        </w:rPr>
        <w:t> </w:t>
      </w:r>
      <w:r>
        <w:rPr/>
        <w:t>propuesto</w:t>
      </w:r>
      <w:r>
        <w:rPr>
          <w:spacing w:val="-12"/>
        </w:rPr>
        <w:t> </w:t>
      </w:r>
      <w:r>
        <w:rPr/>
        <w:t>para</w:t>
      </w:r>
      <w:r>
        <w:rPr>
          <w:spacing w:val="-13"/>
        </w:rPr>
        <w:t> </w:t>
      </w:r>
      <w:r>
        <w:rPr/>
        <w:t>2023</w:t>
      </w:r>
      <w:r>
        <w:rPr>
          <w:spacing w:val="-13"/>
        </w:rPr>
        <w:t> </w:t>
      </w:r>
      <w:r>
        <w:rPr/>
        <w:t>se</w:t>
      </w:r>
      <w:r>
        <w:rPr>
          <w:spacing w:val="-12"/>
        </w:rPr>
        <w:t> </w:t>
      </w:r>
      <w:r>
        <w:rPr/>
        <w:t>plantea</w:t>
      </w:r>
      <w:r>
        <w:rPr>
          <w:spacing w:val="-13"/>
        </w:rPr>
        <w:t> </w:t>
      </w:r>
      <w:r>
        <w:rPr/>
        <w:t>en</w:t>
      </w:r>
      <w:r>
        <w:rPr>
          <w:spacing w:val="-12"/>
        </w:rPr>
        <w:t> </w:t>
      </w:r>
      <w:r>
        <w:rPr/>
        <w:t>Q112,294.8 millones. El 2022 contó con un presupuesto propio, adicionalmente se han dado ampliaciones presupuestarias, las cuales se explican en buena medida por la intervención del Estado para mitigar los efectos económicos sobre la población ante el incremento de los precios. De esa cuenta, en 2023 se prevé una asignación presupuestaria que estaría creciendo 4.6% con respecto a la estimación de cierre</w:t>
      </w:r>
      <w:r>
        <w:rPr>
          <w:spacing w:val="-14"/>
        </w:rPr>
        <w:t> </w:t>
      </w:r>
      <w:r>
        <w:rPr/>
        <w:t>de</w:t>
      </w:r>
      <w:r>
        <w:rPr>
          <w:spacing w:val="-11"/>
        </w:rPr>
        <w:t> </w:t>
      </w:r>
      <w:r>
        <w:rPr/>
        <w:t>2022</w:t>
      </w:r>
      <w:r>
        <w:rPr>
          <w:spacing w:val="-12"/>
        </w:rPr>
        <w:t> </w:t>
      </w:r>
      <w:r>
        <w:rPr/>
        <w:t>pero</w:t>
      </w:r>
      <w:r>
        <w:rPr>
          <w:spacing w:val="-12"/>
        </w:rPr>
        <w:t> </w:t>
      </w:r>
      <w:r>
        <w:rPr/>
        <w:t>comparada</w:t>
      </w:r>
      <w:r>
        <w:rPr>
          <w:spacing w:val="-10"/>
        </w:rPr>
        <w:t> </w:t>
      </w:r>
      <w:r>
        <w:rPr/>
        <w:t>con</w:t>
      </w:r>
      <w:r>
        <w:rPr>
          <w:spacing w:val="-14"/>
        </w:rPr>
        <w:t> </w:t>
      </w:r>
      <w:r>
        <w:rPr/>
        <w:t>el</w:t>
      </w:r>
      <w:r>
        <w:rPr>
          <w:spacing w:val="-11"/>
        </w:rPr>
        <w:t> </w:t>
      </w:r>
      <w:r>
        <w:rPr/>
        <w:t>presupuesto</w:t>
      </w:r>
      <w:r>
        <w:rPr>
          <w:spacing w:val="-14"/>
        </w:rPr>
        <w:t> </w:t>
      </w:r>
      <w:r>
        <w:rPr/>
        <w:t>vigente</w:t>
      </w:r>
      <w:r>
        <w:rPr>
          <w:spacing w:val="-10"/>
        </w:rPr>
        <w:t> </w:t>
      </w:r>
      <w:r>
        <w:rPr/>
        <w:t>2022</w:t>
      </w:r>
      <w:r>
        <w:rPr>
          <w:spacing w:val="-12"/>
        </w:rPr>
        <w:t> </w:t>
      </w:r>
      <w:r>
        <w:rPr/>
        <w:t>(incluyen</w:t>
      </w:r>
      <w:r>
        <w:rPr>
          <w:spacing w:val="-10"/>
        </w:rPr>
        <w:t> </w:t>
      </w:r>
      <w:r>
        <w:rPr/>
        <w:t>las</w:t>
      </w:r>
      <w:r>
        <w:rPr>
          <w:spacing w:val="-11"/>
        </w:rPr>
        <w:t> </w:t>
      </w:r>
      <w:r>
        <w:rPr/>
        <w:t>ampliaciones</w:t>
      </w:r>
      <w:r>
        <w:rPr>
          <w:spacing w:val="-10"/>
        </w:rPr>
        <w:t> </w:t>
      </w:r>
      <w:r>
        <w:rPr/>
        <w:t>aprobadas por el Congreso hasta el 30 de junio) mostraría una</w:t>
      </w:r>
      <w:r>
        <w:rPr>
          <w:spacing w:val="-12"/>
        </w:rPr>
        <w:t> </w:t>
      </w:r>
      <w:r>
        <w:rPr/>
        <w:t>reducción.</w:t>
      </w:r>
    </w:p>
    <w:p>
      <w:pPr>
        <w:pStyle w:val="BodyText"/>
        <w:spacing w:before="4"/>
        <w:rPr>
          <w:sz w:val="25"/>
        </w:rPr>
      </w:pPr>
    </w:p>
    <w:p>
      <w:pPr>
        <w:pStyle w:val="BodyText"/>
        <w:spacing w:line="276" w:lineRule="auto"/>
        <w:ind w:left="562" w:right="1695"/>
        <w:jc w:val="both"/>
      </w:pPr>
      <w:r>
        <w:rPr/>
        <w:t>Asimismo,</w:t>
      </w:r>
      <w:r>
        <w:rPr>
          <w:spacing w:val="-5"/>
        </w:rPr>
        <w:t> </w:t>
      </w:r>
      <w:r>
        <w:rPr/>
        <w:t>para</w:t>
      </w:r>
      <w:r>
        <w:rPr>
          <w:spacing w:val="-4"/>
        </w:rPr>
        <w:t> </w:t>
      </w:r>
      <w:r>
        <w:rPr/>
        <w:t>2023,</w:t>
      </w:r>
      <w:r>
        <w:rPr>
          <w:spacing w:val="-4"/>
        </w:rPr>
        <w:t> </w:t>
      </w:r>
      <w:r>
        <w:rPr/>
        <w:t>se</w:t>
      </w:r>
      <w:r>
        <w:rPr>
          <w:spacing w:val="-4"/>
        </w:rPr>
        <w:t> </w:t>
      </w:r>
      <w:r>
        <w:rPr/>
        <w:t>está</w:t>
      </w:r>
      <w:r>
        <w:rPr>
          <w:spacing w:val="-4"/>
        </w:rPr>
        <w:t> </w:t>
      </w:r>
      <w:r>
        <w:rPr/>
        <w:t>considerando</w:t>
      </w:r>
      <w:r>
        <w:rPr>
          <w:spacing w:val="-3"/>
        </w:rPr>
        <w:t> </w:t>
      </w:r>
      <w:r>
        <w:rPr/>
        <w:t>que</w:t>
      </w:r>
      <w:r>
        <w:rPr>
          <w:spacing w:val="-4"/>
        </w:rPr>
        <w:t> </w:t>
      </w:r>
      <w:r>
        <w:rPr/>
        <w:t>el</w:t>
      </w:r>
      <w:r>
        <w:rPr>
          <w:spacing w:val="-3"/>
        </w:rPr>
        <w:t> </w:t>
      </w:r>
      <w:r>
        <w:rPr/>
        <w:t>gasto</w:t>
      </w:r>
      <w:r>
        <w:rPr>
          <w:spacing w:val="-5"/>
        </w:rPr>
        <w:t> </w:t>
      </w:r>
      <w:r>
        <w:rPr/>
        <w:t>público</w:t>
      </w:r>
      <w:r>
        <w:rPr>
          <w:spacing w:val="-4"/>
        </w:rPr>
        <w:t> </w:t>
      </w:r>
      <w:r>
        <w:rPr/>
        <w:t>se</w:t>
      </w:r>
      <w:r>
        <w:rPr>
          <w:spacing w:val="-3"/>
        </w:rPr>
        <w:t> </w:t>
      </w:r>
      <w:r>
        <w:rPr/>
        <w:t>enfocaría</w:t>
      </w:r>
      <w:r>
        <w:rPr>
          <w:spacing w:val="-4"/>
        </w:rPr>
        <w:t> </w:t>
      </w:r>
      <w:r>
        <w:rPr/>
        <w:t>en</w:t>
      </w:r>
      <w:r>
        <w:rPr>
          <w:spacing w:val="-3"/>
        </w:rPr>
        <w:t> </w:t>
      </w:r>
      <w:r>
        <w:rPr/>
        <w:t>aumentar</w:t>
      </w:r>
      <w:r>
        <w:rPr>
          <w:spacing w:val="-4"/>
        </w:rPr>
        <w:t> </w:t>
      </w:r>
      <w:r>
        <w:rPr/>
        <w:t>el</w:t>
      </w:r>
      <w:r>
        <w:rPr>
          <w:spacing w:val="-4"/>
        </w:rPr>
        <w:t> </w:t>
      </w:r>
      <w:r>
        <w:rPr/>
        <w:t>gasto</w:t>
      </w:r>
      <w:r>
        <w:rPr>
          <w:spacing w:val="-4"/>
        </w:rPr>
        <w:t> </w:t>
      </w:r>
      <w:r>
        <w:rPr/>
        <w:t>de capital,</w:t>
      </w:r>
      <w:r>
        <w:rPr>
          <w:spacing w:val="-5"/>
        </w:rPr>
        <w:t> </w:t>
      </w:r>
      <w:r>
        <w:rPr/>
        <w:t>siendo</w:t>
      </w:r>
      <w:r>
        <w:rPr>
          <w:spacing w:val="-6"/>
        </w:rPr>
        <w:t> </w:t>
      </w:r>
      <w:r>
        <w:rPr/>
        <w:t>la</w:t>
      </w:r>
      <w:r>
        <w:rPr>
          <w:spacing w:val="-3"/>
        </w:rPr>
        <w:t> </w:t>
      </w:r>
      <w:r>
        <w:rPr/>
        <w:t>inversión</w:t>
      </w:r>
      <w:r>
        <w:rPr>
          <w:spacing w:val="-5"/>
        </w:rPr>
        <w:t> </w:t>
      </w:r>
      <w:r>
        <w:rPr/>
        <w:t>real</w:t>
      </w:r>
      <w:r>
        <w:rPr>
          <w:spacing w:val="-3"/>
        </w:rPr>
        <w:t> </w:t>
      </w:r>
      <w:r>
        <w:rPr/>
        <w:t>directa</w:t>
      </w:r>
      <w:r>
        <w:rPr>
          <w:spacing w:val="-4"/>
        </w:rPr>
        <w:t> </w:t>
      </w:r>
      <w:r>
        <w:rPr/>
        <w:t>la</w:t>
      </w:r>
      <w:r>
        <w:rPr>
          <w:spacing w:val="-3"/>
        </w:rPr>
        <w:t> </w:t>
      </w:r>
      <w:r>
        <w:rPr/>
        <w:t>que</w:t>
      </w:r>
      <w:r>
        <w:rPr>
          <w:spacing w:val="-3"/>
        </w:rPr>
        <w:t> </w:t>
      </w:r>
      <w:r>
        <w:rPr/>
        <w:t>estaría</w:t>
      </w:r>
      <w:r>
        <w:rPr>
          <w:spacing w:val="-3"/>
        </w:rPr>
        <w:t> </w:t>
      </w:r>
      <w:r>
        <w:rPr/>
        <w:t>apuntalando</w:t>
      </w:r>
      <w:r>
        <w:rPr>
          <w:spacing w:val="-6"/>
        </w:rPr>
        <w:t> </w:t>
      </w:r>
      <w:r>
        <w:rPr/>
        <w:t>el</w:t>
      </w:r>
      <w:r>
        <w:rPr>
          <w:spacing w:val="-4"/>
        </w:rPr>
        <w:t> </w:t>
      </w:r>
      <w:r>
        <w:rPr/>
        <w:t>gasto,</w:t>
      </w:r>
      <w:r>
        <w:rPr>
          <w:spacing w:val="-4"/>
        </w:rPr>
        <w:t> </w:t>
      </w:r>
      <w:r>
        <w:rPr/>
        <w:t>esto</w:t>
      </w:r>
      <w:r>
        <w:rPr>
          <w:spacing w:val="-4"/>
        </w:rPr>
        <w:t> </w:t>
      </w:r>
      <w:r>
        <w:rPr/>
        <w:t>es</w:t>
      </w:r>
      <w:r>
        <w:rPr>
          <w:spacing w:val="-3"/>
        </w:rPr>
        <w:t> </w:t>
      </w:r>
      <w:r>
        <w:rPr/>
        <w:t>relevante tomando en consideración que en 2022 la inversión sería uno de los rubros de gasto que estaría reportando un mayor incremento, es decir que el crecimiento esperado para 2023 de 32.9% tendría como base una inversión de por si alta, siendo relevante dado que la inversión tiene efectos positivos sobre el crecimiento económico, el empleo y el bienestar de largo</w:t>
      </w:r>
      <w:r>
        <w:rPr>
          <w:spacing w:val="-10"/>
        </w:rPr>
        <w:t> </w:t>
      </w:r>
      <w:r>
        <w:rPr/>
        <w:t>plazo.</w:t>
      </w:r>
    </w:p>
    <w:p>
      <w:pPr>
        <w:pStyle w:val="BodyText"/>
        <w:spacing w:before="3"/>
        <w:rPr>
          <w:sz w:val="25"/>
        </w:rPr>
      </w:pPr>
    </w:p>
    <w:p>
      <w:pPr>
        <w:pStyle w:val="BodyText"/>
        <w:spacing w:line="276" w:lineRule="auto"/>
        <w:ind w:left="562" w:right="1698"/>
        <w:jc w:val="both"/>
      </w:pPr>
      <w:r>
        <w:rPr/>
        <w:t>Por su parte, los intereses de la deuda estarían creciendo en 5.4%, empujados por los intereses de la deuda interna que estarían creciendo en 8.9%, hay que considerar que, en un contexto internacional de</w:t>
      </w:r>
      <w:r>
        <w:rPr>
          <w:spacing w:val="-9"/>
        </w:rPr>
        <w:t> </w:t>
      </w:r>
      <w:r>
        <w:rPr/>
        <w:t>subida</w:t>
      </w:r>
      <w:r>
        <w:rPr>
          <w:spacing w:val="-11"/>
        </w:rPr>
        <w:t> </w:t>
      </w:r>
      <w:r>
        <w:rPr/>
        <w:t>de</w:t>
      </w:r>
      <w:r>
        <w:rPr>
          <w:spacing w:val="-12"/>
        </w:rPr>
        <w:t> </w:t>
      </w:r>
      <w:r>
        <w:rPr/>
        <w:t>tasas</w:t>
      </w:r>
      <w:r>
        <w:rPr>
          <w:spacing w:val="-11"/>
        </w:rPr>
        <w:t> </w:t>
      </w:r>
      <w:r>
        <w:rPr/>
        <w:t>de</w:t>
      </w:r>
      <w:r>
        <w:rPr>
          <w:spacing w:val="-11"/>
        </w:rPr>
        <w:t> </w:t>
      </w:r>
      <w:r>
        <w:rPr/>
        <w:t>interés</w:t>
      </w:r>
      <w:r>
        <w:rPr>
          <w:spacing w:val="-11"/>
        </w:rPr>
        <w:t> </w:t>
      </w:r>
      <w:r>
        <w:rPr/>
        <w:t>que</w:t>
      </w:r>
      <w:r>
        <w:rPr>
          <w:spacing w:val="-11"/>
        </w:rPr>
        <w:t> </w:t>
      </w:r>
      <w:r>
        <w:rPr/>
        <w:t>incidieron</w:t>
      </w:r>
      <w:r>
        <w:rPr>
          <w:spacing w:val="-10"/>
        </w:rPr>
        <w:t> </w:t>
      </w:r>
      <w:r>
        <w:rPr/>
        <w:t>en</w:t>
      </w:r>
      <w:r>
        <w:rPr>
          <w:spacing w:val="-11"/>
        </w:rPr>
        <w:t> </w:t>
      </w:r>
      <w:r>
        <w:rPr/>
        <w:t>la</w:t>
      </w:r>
      <w:r>
        <w:rPr>
          <w:spacing w:val="-8"/>
        </w:rPr>
        <w:t> </w:t>
      </w:r>
      <w:r>
        <w:rPr/>
        <w:t>decisión</w:t>
      </w:r>
      <w:r>
        <w:rPr>
          <w:spacing w:val="-10"/>
        </w:rPr>
        <w:t> </w:t>
      </w:r>
      <w:r>
        <w:rPr/>
        <w:t>de</w:t>
      </w:r>
      <w:r>
        <w:rPr>
          <w:spacing w:val="-11"/>
        </w:rPr>
        <w:t> </w:t>
      </w:r>
      <w:r>
        <w:rPr/>
        <w:t>alza</w:t>
      </w:r>
      <w:r>
        <w:rPr>
          <w:spacing w:val="-9"/>
        </w:rPr>
        <w:t> </w:t>
      </w:r>
      <w:r>
        <w:rPr/>
        <w:t>en</w:t>
      </w:r>
      <w:r>
        <w:rPr>
          <w:spacing w:val="-9"/>
        </w:rPr>
        <w:t> </w:t>
      </w:r>
      <w:r>
        <w:rPr/>
        <w:t>la</w:t>
      </w:r>
      <w:r>
        <w:rPr>
          <w:spacing w:val="-10"/>
        </w:rPr>
        <w:t> </w:t>
      </w:r>
      <w:r>
        <w:rPr/>
        <w:t>tasa</w:t>
      </w:r>
      <w:r>
        <w:rPr>
          <w:spacing w:val="-9"/>
        </w:rPr>
        <w:t> </w:t>
      </w:r>
      <w:r>
        <w:rPr/>
        <w:t>líder</w:t>
      </w:r>
      <w:r>
        <w:rPr>
          <w:spacing w:val="-8"/>
        </w:rPr>
        <w:t> </w:t>
      </w:r>
      <w:r>
        <w:rPr/>
        <w:t>de</w:t>
      </w:r>
      <w:r>
        <w:rPr>
          <w:spacing w:val="-12"/>
        </w:rPr>
        <w:t> </w:t>
      </w:r>
      <w:r>
        <w:rPr/>
        <w:t>política</w:t>
      </w:r>
      <w:r>
        <w:rPr>
          <w:spacing w:val="-8"/>
        </w:rPr>
        <w:t> </w:t>
      </w:r>
      <w:r>
        <w:rPr/>
        <w:t>monetaria</w:t>
      </w:r>
    </w:p>
    <w:p>
      <w:pPr>
        <w:spacing w:after="0" w:line="276" w:lineRule="auto"/>
        <w:jc w:val="both"/>
        <w:sectPr>
          <w:type w:val="continuous"/>
          <w:pgSz w:w="12240" w:h="15840"/>
          <w:pgMar w:top="1500" w:bottom="280" w:left="1140" w:right="0"/>
        </w:sectPr>
      </w:pPr>
    </w:p>
    <w:p>
      <w:pPr>
        <w:pStyle w:val="BodyText"/>
        <w:spacing w:line="276" w:lineRule="auto" w:before="162"/>
        <w:ind w:left="562" w:right="1698"/>
        <w:jc w:val="both"/>
      </w:pPr>
      <w:r>
        <w:rPr/>
        <w:t>que aplica el Banco de Guatemala, en 2022 ya se observa un incremento en la tasa ponderada de las colocaciones, lo que presionará el pago de intereses por este concepto.</w:t>
      </w:r>
    </w:p>
    <w:p>
      <w:pPr>
        <w:pStyle w:val="BodyText"/>
        <w:spacing w:before="2"/>
        <w:rPr>
          <w:sz w:val="25"/>
        </w:rPr>
      </w:pPr>
    </w:p>
    <w:p>
      <w:pPr>
        <w:pStyle w:val="BodyText"/>
        <w:spacing w:line="276" w:lineRule="auto"/>
        <w:ind w:left="562" w:right="1695"/>
        <w:jc w:val="both"/>
      </w:pPr>
      <w:r>
        <w:rPr/>
        <w:t>En lo que se refiere al gasto de funcionamiento, las remuneraciones podrían reportar un crecimiento tomando</w:t>
      </w:r>
      <w:r>
        <w:rPr>
          <w:spacing w:val="-8"/>
        </w:rPr>
        <w:t> </w:t>
      </w:r>
      <w:r>
        <w:rPr/>
        <w:t>en</w:t>
      </w:r>
      <w:r>
        <w:rPr>
          <w:spacing w:val="-7"/>
        </w:rPr>
        <w:t> </w:t>
      </w:r>
      <w:r>
        <w:rPr/>
        <w:t>consideración</w:t>
      </w:r>
      <w:r>
        <w:rPr>
          <w:spacing w:val="-7"/>
        </w:rPr>
        <w:t> </w:t>
      </w:r>
      <w:r>
        <w:rPr/>
        <w:t>al</w:t>
      </w:r>
      <w:r>
        <w:rPr>
          <w:spacing w:val="-6"/>
        </w:rPr>
        <w:t> </w:t>
      </w:r>
      <w:r>
        <w:rPr/>
        <w:t>magisterio</w:t>
      </w:r>
      <w:r>
        <w:rPr>
          <w:spacing w:val="-7"/>
        </w:rPr>
        <w:t> </w:t>
      </w:r>
      <w:r>
        <w:rPr/>
        <w:t>nacional.</w:t>
      </w:r>
      <w:r>
        <w:rPr>
          <w:spacing w:val="-10"/>
        </w:rPr>
        <w:t> </w:t>
      </w:r>
      <w:r>
        <w:rPr/>
        <w:t>Asimismo,</w:t>
      </w:r>
      <w:r>
        <w:rPr>
          <w:spacing w:val="-7"/>
        </w:rPr>
        <w:t> </w:t>
      </w:r>
      <w:r>
        <w:rPr/>
        <w:t>se</w:t>
      </w:r>
      <w:r>
        <w:rPr>
          <w:spacing w:val="-7"/>
        </w:rPr>
        <w:t> </w:t>
      </w:r>
      <w:r>
        <w:rPr/>
        <w:t>prevé</w:t>
      </w:r>
      <w:r>
        <w:rPr>
          <w:spacing w:val="-7"/>
        </w:rPr>
        <w:t> </w:t>
      </w:r>
      <w:r>
        <w:rPr/>
        <w:t>que</w:t>
      </w:r>
      <w:r>
        <w:rPr>
          <w:spacing w:val="-9"/>
        </w:rPr>
        <w:t> </w:t>
      </w:r>
      <w:r>
        <w:rPr/>
        <w:t>los</w:t>
      </w:r>
      <w:r>
        <w:rPr>
          <w:spacing w:val="-6"/>
        </w:rPr>
        <w:t> </w:t>
      </w:r>
      <w:r>
        <w:rPr/>
        <w:t>subsidios</w:t>
      </w:r>
      <w:r>
        <w:rPr>
          <w:spacing w:val="-6"/>
        </w:rPr>
        <w:t> </w:t>
      </w:r>
      <w:r>
        <w:rPr/>
        <w:t>otorgados</w:t>
      </w:r>
      <w:r>
        <w:rPr>
          <w:spacing w:val="-6"/>
        </w:rPr>
        <w:t> </w:t>
      </w:r>
      <w:r>
        <w:rPr/>
        <w:t>en 2022 no sea necesarios mantenerlos para 2023, previendo que las tensiones por conflictos geopolíticos se reduzcan y los precios regresen a la senda previa al conflicto, por ello las transferencias corrientes podrían caer en</w:t>
      </w:r>
      <w:r>
        <w:rPr>
          <w:spacing w:val="-3"/>
        </w:rPr>
        <w:t> </w:t>
      </w:r>
      <w:r>
        <w:rPr/>
        <w:t>4.1%.</w:t>
      </w:r>
    </w:p>
    <w:p>
      <w:pPr>
        <w:pStyle w:val="BodyText"/>
        <w:spacing w:before="5"/>
        <w:rPr>
          <w:sz w:val="25"/>
        </w:rPr>
      </w:pPr>
    </w:p>
    <w:p>
      <w:pPr>
        <w:pStyle w:val="BodyText"/>
        <w:spacing w:line="276" w:lineRule="auto"/>
        <w:ind w:left="562" w:right="1695"/>
        <w:jc w:val="both"/>
      </w:pPr>
      <w:r>
        <w:rPr/>
        <w:t>En</w:t>
      </w:r>
      <w:r>
        <w:rPr>
          <w:spacing w:val="-5"/>
        </w:rPr>
        <w:t> </w:t>
      </w:r>
      <w:r>
        <w:rPr/>
        <w:t>2023</w:t>
      </w:r>
      <w:r>
        <w:rPr>
          <w:spacing w:val="-4"/>
        </w:rPr>
        <w:t> </w:t>
      </w:r>
      <w:r>
        <w:rPr/>
        <w:t>se</w:t>
      </w:r>
      <w:r>
        <w:rPr>
          <w:spacing w:val="-3"/>
        </w:rPr>
        <w:t> </w:t>
      </w:r>
      <w:r>
        <w:rPr/>
        <w:t>destinarían</w:t>
      </w:r>
      <w:r>
        <w:rPr>
          <w:spacing w:val="-3"/>
        </w:rPr>
        <w:t> </w:t>
      </w:r>
      <w:r>
        <w:rPr/>
        <w:t>gastos</w:t>
      </w:r>
      <w:r>
        <w:rPr>
          <w:spacing w:val="-2"/>
        </w:rPr>
        <w:t> </w:t>
      </w:r>
      <w:r>
        <w:rPr/>
        <w:t>relacionados</w:t>
      </w:r>
      <w:r>
        <w:rPr>
          <w:spacing w:val="-4"/>
        </w:rPr>
        <w:t> </w:t>
      </w:r>
      <w:r>
        <w:rPr/>
        <w:t>al</w:t>
      </w:r>
      <w:r>
        <w:rPr>
          <w:spacing w:val="-3"/>
        </w:rPr>
        <w:t> </w:t>
      </w:r>
      <w:r>
        <w:rPr/>
        <w:t>COVID-19</w:t>
      </w:r>
      <w:r>
        <w:rPr>
          <w:spacing w:val="-3"/>
        </w:rPr>
        <w:t> </w:t>
      </w:r>
      <w:r>
        <w:rPr/>
        <w:t>por</w:t>
      </w:r>
      <w:r>
        <w:rPr>
          <w:spacing w:val="-3"/>
        </w:rPr>
        <w:t> </w:t>
      </w:r>
      <w:r>
        <w:rPr/>
        <w:t>alrededor</w:t>
      </w:r>
      <w:r>
        <w:rPr>
          <w:spacing w:val="-4"/>
        </w:rPr>
        <w:t> </w:t>
      </w:r>
      <w:r>
        <w:rPr/>
        <w:t>de</w:t>
      </w:r>
      <w:r>
        <w:rPr>
          <w:spacing w:val="-3"/>
        </w:rPr>
        <w:t> </w:t>
      </w:r>
      <w:r>
        <w:rPr/>
        <w:t>Q1,299.5</w:t>
      </w:r>
      <w:r>
        <w:rPr>
          <w:spacing w:val="-4"/>
        </w:rPr>
        <w:t> </w:t>
      </w:r>
      <w:r>
        <w:rPr/>
        <w:t>millones</w:t>
      </w:r>
      <w:r>
        <w:rPr>
          <w:spacing w:val="-2"/>
        </w:rPr>
        <w:t> </w:t>
      </w:r>
      <w:r>
        <w:rPr/>
        <w:t>para</w:t>
      </w:r>
      <w:r>
        <w:rPr>
          <w:spacing w:val="-3"/>
        </w:rPr>
        <w:t> </w:t>
      </w:r>
      <w:r>
        <w:rPr/>
        <w:t>la adquisición</w:t>
      </w:r>
      <w:r>
        <w:rPr>
          <w:spacing w:val="-6"/>
        </w:rPr>
        <w:t> </w:t>
      </w:r>
      <w:r>
        <w:rPr/>
        <w:t>de</w:t>
      </w:r>
      <w:r>
        <w:rPr>
          <w:spacing w:val="-6"/>
        </w:rPr>
        <w:t> </w:t>
      </w:r>
      <w:r>
        <w:rPr/>
        <w:t>vacunas</w:t>
      </w:r>
      <w:r>
        <w:rPr>
          <w:spacing w:val="-2"/>
        </w:rPr>
        <w:t> </w:t>
      </w:r>
      <w:r>
        <w:rPr/>
        <w:t>y</w:t>
      </w:r>
      <w:r>
        <w:rPr>
          <w:spacing w:val="-6"/>
        </w:rPr>
        <w:t> </w:t>
      </w:r>
      <w:r>
        <w:rPr/>
        <w:t>para</w:t>
      </w:r>
      <w:r>
        <w:rPr>
          <w:spacing w:val="-5"/>
        </w:rPr>
        <w:t> </w:t>
      </w:r>
      <w:r>
        <w:rPr/>
        <w:t>el</w:t>
      </w:r>
      <w:r>
        <w:rPr>
          <w:spacing w:val="-5"/>
        </w:rPr>
        <w:t> </w:t>
      </w:r>
      <w:r>
        <w:rPr/>
        <w:t>proceso</w:t>
      </w:r>
      <w:r>
        <w:rPr>
          <w:spacing w:val="-5"/>
        </w:rPr>
        <w:t> </w:t>
      </w:r>
      <w:r>
        <w:rPr/>
        <w:t>de</w:t>
      </w:r>
      <w:r>
        <w:rPr>
          <w:spacing w:val="-6"/>
        </w:rPr>
        <w:t> </w:t>
      </w:r>
      <w:r>
        <w:rPr/>
        <w:t>vacunación,</w:t>
      </w:r>
      <w:r>
        <w:rPr>
          <w:spacing w:val="-4"/>
        </w:rPr>
        <w:t> </w:t>
      </w:r>
      <w:r>
        <w:rPr/>
        <w:t>si</w:t>
      </w:r>
      <w:r>
        <w:rPr>
          <w:spacing w:val="-4"/>
        </w:rPr>
        <w:t> </w:t>
      </w:r>
      <w:r>
        <w:rPr/>
        <w:t>bien</w:t>
      </w:r>
      <w:r>
        <w:rPr>
          <w:spacing w:val="-5"/>
        </w:rPr>
        <w:t> </w:t>
      </w:r>
      <w:r>
        <w:rPr/>
        <w:t>en</w:t>
      </w:r>
      <w:r>
        <w:rPr>
          <w:spacing w:val="-5"/>
        </w:rPr>
        <w:t> </w:t>
      </w:r>
      <w:r>
        <w:rPr/>
        <w:t>2022</w:t>
      </w:r>
      <w:r>
        <w:rPr>
          <w:spacing w:val="-6"/>
        </w:rPr>
        <w:t> </w:t>
      </w:r>
      <w:r>
        <w:rPr/>
        <w:t>se</w:t>
      </w:r>
      <w:r>
        <w:rPr>
          <w:spacing w:val="-4"/>
        </w:rPr>
        <w:t> </w:t>
      </w:r>
      <w:r>
        <w:rPr/>
        <w:t>contó</w:t>
      </w:r>
      <w:r>
        <w:rPr>
          <w:spacing w:val="-6"/>
        </w:rPr>
        <w:t> </w:t>
      </w:r>
      <w:r>
        <w:rPr/>
        <w:t>con</w:t>
      </w:r>
      <w:r>
        <w:rPr>
          <w:spacing w:val="-4"/>
        </w:rPr>
        <w:t> </w:t>
      </w:r>
      <w:r>
        <w:rPr/>
        <w:t>un</w:t>
      </w:r>
      <w:r>
        <w:rPr>
          <w:spacing w:val="-5"/>
        </w:rPr>
        <w:t> </w:t>
      </w:r>
      <w:r>
        <w:rPr/>
        <w:t>presupuesto de</w:t>
      </w:r>
      <w:r>
        <w:rPr>
          <w:spacing w:val="-9"/>
        </w:rPr>
        <w:t> </w:t>
      </w:r>
      <w:r>
        <w:rPr/>
        <w:t>Q1,000</w:t>
      </w:r>
      <w:r>
        <w:rPr>
          <w:spacing w:val="-9"/>
        </w:rPr>
        <w:t> </w:t>
      </w:r>
      <w:r>
        <w:rPr/>
        <w:t>millones</w:t>
      </w:r>
      <w:r>
        <w:rPr>
          <w:spacing w:val="-8"/>
        </w:rPr>
        <w:t> </w:t>
      </w:r>
      <w:r>
        <w:rPr/>
        <w:t>durante</w:t>
      </w:r>
      <w:r>
        <w:rPr>
          <w:spacing w:val="-11"/>
        </w:rPr>
        <w:t> </w:t>
      </w:r>
      <w:r>
        <w:rPr/>
        <w:t>el</w:t>
      </w:r>
      <w:r>
        <w:rPr>
          <w:spacing w:val="-7"/>
        </w:rPr>
        <w:t> </w:t>
      </w:r>
      <w:r>
        <w:rPr/>
        <w:t>año</w:t>
      </w:r>
      <w:r>
        <w:rPr>
          <w:spacing w:val="-11"/>
        </w:rPr>
        <w:t> </w:t>
      </w:r>
      <w:r>
        <w:rPr/>
        <w:t>sufrió</w:t>
      </w:r>
      <w:r>
        <w:rPr>
          <w:spacing w:val="-9"/>
        </w:rPr>
        <w:t> </w:t>
      </w:r>
      <w:r>
        <w:rPr/>
        <w:t>un</w:t>
      </w:r>
      <w:r>
        <w:rPr>
          <w:spacing w:val="-9"/>
        </w:rPr>
        <w:t> </w:t>
      </w:r>
      <w:r>
        <w:rPr/>
        <w:t>recorte</w:t>
      </w:r>
      <w:r>
        <w:rPr>
          <w:spacing w:val="-11"/>
        </w:rPr>
        <w:t> </w:t>
      </w:r>
      <w:r>
        <w:rPr/>
        <w:t>de</w:t>
      </w:r>
      <w:r>
        <w:rPr>
          <w:spacing w:val="-11"/>
        </w:rPr>
        <w:t> </w:t>
      </w:r>
      <w:r>
        <w:rPr/>
        <w:t>Q600</w:t>
      </w:r>
      <w:r>
        <w:rPr>
          <w:spacing w:val="-9"/>
        </w:rPr>
        <w:t> </w:t>
      </w:r>
      <w:r>
        <w:rPr/>
        <w:t>millones</w:t>
      </w:r>
      <w:r>
        <w:rPr>
          <w:spacing w:val="-9"/>
        </w:rPr>
        <w:t> </w:t>
      </w:r>
      <w:r>
        <w:rPr/>
        <w:t>que</w:t>
      </w:r>
      <w:r>
        <w:rPr>
          <w:spacing w:val="-8"/>
        </w:rPr>
        <w:t> </w:t>
      </w:r>
      <w:r>
        <w:rPr/>
        <w:t>se</w:t>
      </w:r>
      <w:r>
        <w:rPr>
          <w:spacing w:val="-8"/>
        </w:rPr>
        <w:t> </w:t>
      </w:r>
      <w:r>
        <w:rPr/>
        <w:t>reorientaron</w:t>
      </w:r>
      <w:r>
        <w:rPr>
          <w:spacing w:val="-10"/>
        </w:rPr>
        <w:t> </w:t>
      </w:r>
      <w:r>
        <w:rPr/>
        <w:t>a</w:t>
      </w:r>
      <w:r>
        <w:rPr>
          <w:spacing w:val="-10"/>
        </w:rPr>
        <w:t> </w:t>
      </w:r>
      <w:r>
        <w:rPr/>
        <w:t>fortalecer el</w:t>
      </w:r>
      <w:r>
        <w:rPr>
          <w:spacing w:val="-12"/>
        </w:rPr>
        <w:t> </w:t>
      </w:r>
      <w:r>
        <w:rPr/>
        <w:t>Fondo</w:t>
      </w:r>
      <w:r>
        <w:rPr>
          <w:spacing w:val="-14"/>
        </w:rPr>
        <w:t> </w:t>
      </w:r>
      <w:r>
        <w:rPr/>
        <w:t>Emergente,</w:t>
      </w:r>
      <w:r>
        <w:rPr>
          <w:spacing w:val="-13"/>
        </w:rPr>
        <w:t> </w:t>
      </w:r>
      <w:r>
        <w:rPr/>
        <w:t>adicionalmente</w:t>
      </w:r>
      <w:r>
        <w:rPr>
          <w:spacing w:val="-13"/>
        </w:rPr>
        <w:t> </w:t>
      </w:r>
      <w:r>
        <w:rPr/>
        <w:t>hay</w:t>
      </w:r>
      <w:r>
        <w:rPr>
          <w:spacing w:val="-15"/>
        </w:rPr>
        <w:t> </w:t>
      </w:r>
      <w:r>
        <w:rPr/>
        <w:t>que</w:t>
      </w:r>
      <w:r>
        <w:rPr>
          <w:spacing w:val="-13"/>
        </w:rPr>
        <w:t> </w:t>
      </w:r>
      <w:r>
        <w:rPr/>
        <w:t>considerar</w:t>
      </w:r>
      <w:r>
        <w:rPr>
          <w:spacing w:val="-10"/>
        </w:rPr>
        <w:t> </w:t>
      </w:r>
      <w:r>
        <w:rPr/>
        <w:t>que</w:t>
      </w:r>
      <w:r>
        <w:rPr>
          <w:spacing w:val="-13"/>
        </w:rPr>
        <w:t> </w:t>
      </w:r>
      <w:r>
        <w:rPr/>
        <w:t>un</w:t>
      </w:r>
      <w:r>
        <w:rPr>
          <w:spacing w:val="-13"/>
        </w:rPr>
        <w:t> </w:t>
      </w:r>
      <w:r>
        <w:rPr/>
        <w:t>porcentaje</w:t>
      </w:r>
      <w:r>
        <w:rPr>
          <w:spacing w:val="-13"/>
        </w:rPr>
        <w:t> </w:t>
      </w:r>
      <w:r>
        <w:rPr/>
        <w:t>importante</w:t>
      </w:r>
      <w:r>
        <w:rPr>
          <w:spacing w:val="-13"/>
        </w:rPr>
        <w:t> </w:t>
      </w:r>
      <w:r>
        <w:rPr/>
        <w:t>de</w:t>
      </w:r>
      <w:r>
        <w:rPr>
          <w:spacing w:val="-13"/>
        </w:rPr>
        <w:t> </w:t>
      </w:r>
      <w:r>
        <w:rPr/>
        <w:t>la</w:t>
      </w:r>
      <w:r>
        <w:rPr>
          <w:spacing w:val="-13"/>
        </w:rPr>
        <w:t> </w:t>
      </w:r>
      <w:r>
        <w:rPr/>
        <w:t>población cuenta</w:t>
      </w:r>
      <w:r>
        <w:rPr>
          <w:spacing w:val="-11"/>
        </w:rPr>
        <w:t> </w:t>
      </w:r>
      <w:r>
        <w:rPr/>
        <w:t>con</w:t>
      </w:r>
      <w:r>
        <w:rPr>
          <w:spacing w:val="-11"/>
        </w:rPr>
        <w:t> </w:t>
      </w:r>
      <w:r>
        <w:rPr/>
        <w:t>el</w:t>
      </w:r>
      <w:r>
        <w:rPr>
          <w:spacing w:val="-13"/>
        </w:rPr>
        <w:t> </w:t>
      </w:r>
      <w:r>
        <w:rPr/>
        <w:t>esquema</w:t>
      </w:r>
      <w:r>
        <w:rPr>
          <w:spacing w:val="-10"/>
        </w:rPr>
        <w:t> </w:t>
      </w:r>
      <w:r>
        <w:rPr/>
        <w:t>completo</w:t>
      </w:r>
      <w:r>
        <w:rPr>
          <w:spacing w:val="-12"/>
        </w:rPr>
        <w:t> </w:t>
      </w:r>
      <w:r>
        <w:rPr/>
        <w:t>y</w:t>
      </w:r>
      <w:r>
        <w:rPr>
          <w:spacing w:val="-13"/>
        </w:rPr>
        <w:t> </w:t>
      </w:r>
      <w:r>
        <w:rPr/>
        <w:t>dosis</w:t>
      </w:r>
      <w:r>
        <w:rPr>
          <w:spacing w:val="-13"/>
        </w:rPr>
        <w:t> </w:t>
      </w:r>
      <w:r>
        <w:rPr/>
        <w:t>de</w:t>
      </w:r>
      <w:r>
        <w:rPr>
          <w:spacing w:val="-14"/>
        </w:rPr>
        <w:t> </w:t>
      </w:r>
      <w:r>
        <w:rPr/>
        <w:t>refuerzo,</w:t>
      </w:r>
      <w:r>
        <w:rPr>
          <w:spacing w:val="-11"/>
        </w:rPr>
        <w:t> </w:t>
      </w:r>
      <w:r>
        <w:rPr/>
        <w:t>mientras</w:t>
      </w:r>
      <w:r>
        <w:rPr>
          <w:spacing w:val="-14"/>
        </w:rPr>
        <w:t> </w:t>
      </w:r>
      <w:r>
        <w:rPr/>
        <w:t>que</w:t>
      </w:r>
      <w:r>
        <w:rPr>
          <w:spacing w:val="-13"/>
        </w:rPr>
        <w:t> </w:t>
      </w:r>
      <w:r>
        <w:rPr/>
        <w:t>un</w:t>
      </w:r>
      <w:r>
        <w:rPr>
          <w:spacing w:val="-11"/>
        </w:rPr>
        <w:t> </w:t>
      </w:r>
      <w:r>
        <w:rPr/>
        <w:t>menor</w:t>
      </w:r>
      <w:r>
        <w:rPr>
          <w:spacing w:val="-11"/>
        </w:rPr>
        <w:t> </w:t>
      </w:r>
      <w:r>
        <w:rPr/>
        <w:t>porcentaje</w:t>
      </w:r>
      <w:r>
        <w:rPr>
          <w:spacing w:val="-13"/>
        </w:rPr>
        <w:t> </w:t>
      </w:r>
      <w:r>
        <w:rPr/>
        <w:t>tendría</w:t>
      </w:r>
      <w:r>
        <w:rPr>
          <w:spacing w:val="-11"/>
        </w:rPr>
        <w:t> </w:t>
      </w:r>
      <w:r>
        <w:rPr/>
        <w:t>interés en obtener una segunda dosis de refuerzo (o cuarta dosis), y aunque se observó un repunte de la positividad en algunos tramos del año, la mortalidad por COVID-19 ha caído significativamente. Al mismo</w:t>
      </w:r>
      <w:r>
        <w:rPr>
          <w:spacing w:val="-7"/>
        </w:rPr>
        <w:t> </w:t>
      </w:r>
      <w:r>
        <w:rPr/>
        <w:t>tiempo,</w:t>
      </w:r>
      <w:r>
        <w:rPr>
          <w:spacing w:val="-6"/>
        </w:rPr>
        <w:t> </w:t>
      </w:r>
      <w:r>
        <w:rPr/>
        <w:t>en</w:t>
      </w:r>
      <w:r>
        <w:rPr>
          <w:spacing w:val="-6"/>
        </w:rPr>
        <w:t> </w:t>
      </w:r>
      <w:r>
        <w:rPr/>
        <w:t>2022</w:t>
      </w:r>
      <w:r>
        <w:rPr>
          <w:spacing w:val="-6"/>
        </w:rPr>
        <w:t> </w:t>
      </w:r>
      <w:r>
        <w:rPr/>
        <w:t>se</w:t>
      </w:r>
      <w:r>
        <w:rPr>
          <w:spacing w:val="-6"/>
        </w:rPr>
        <w:t> </w:t>
      </w:r>
      <w:r>
        <w:rPr/>
        <w:t>adoptaron</w:t>
      </w:r>
      <w:r>
        <w:rPr>
          <w:spacing w:val="-7"/>
        </w:rPr>
        <w:t> </w:t>
      </w:r>
      <w:r>
        <w:rPr/>
        <w:t>modificaciones</w:t>
      </w:r>
      <w:r>
        <w:rPr>
          <w:spacing w:val="-5"/>
        </w:rPr>
        <w:t> </w:t>
      </w:r>
      <w:r>
        <w:rPr/>
        <w:t>a</w:t>
      </w:r>
      <w:r>
        <w:rPr>
          <w:spacing w:val="-8"/>
        </w:rPr>
        <w:t> </w:t>
      </w:r>
      <w:r>
        <w:rPr/>
        <w:t>las</w:t>
      </w:r>
      <w:r>
        <w:rPr>
          <w:spacing w:val="-5"/>
        </w:rPr>
        <w:t> </w:t>
      </w:r>
      <w:r>
        <w:rPr/>
        <w:t>restricciones</w:t>
      </w:r>
      <w:r>
        <w:rPr>
          <w:spacing w:val="-8"/>
        </w:rPr>
        <w:t> </w:t>
      </w:r>
      <w:r>
        <w:rPr/>
        <w:t>que</w:t>
      </w:r>
      <w:r>
        <w:rPr>
          <w:spacing w:val="-7"/>
        </w:rPr>
        <w:t> </w:t>
      </w:r>
      <w:r>
        <w:rPr/>
        <w:t>habían</w:t>
      </w:r>
      <w:r>
        <w:rPr>
          <w:spacing w:val="-9"/>
        </w:rPr>
        <w:t> </w:t>
      </w:r>
      <w:r>
        <w:rPr/>
        <w:t>sido</w:t>
      </w:r>
      <w:r>
        <w:rPr>
          <w:spacing w:val="-9"/>
        </w:rPr>
        <w:t> </w:t>
      </w:r>
      <w:r>
        <w:rPr/>
        <w:t>impuestas</w:t>
      </w:r>
      <w:r>
        <w:rPr>
          <w:spacing w:val="-6"/>
        </w:rPr>
        <w:t> </w:t>
      </w:r>
      <w:r>
        <w:rPr/>
        <w:t>en 2020, tales como flexibilizar el uso de la mascarilla, permitiéndole al país ingresar en una nueva normalidad y disminuir la percepción de riesgo respecto al</w:t>
      </w:r>
      <w:r>
        <w:rPr>
          <w:spacing w:val="-10"/>
        </w:rPr>
        <w:t> </w:t>
      </w:r>
      <w:r>
        <w:rPr/>
        <w:t>COVID-19.</w:t>
      </w:r>
    </w:p>
    <w:p>
      <w:pPr>
        <w:pStyle w:val="BodyText"/>
        <w:spacing w:before="3"/>
        <w:rPr>
          <w:sz w:val="25"/>
        </w:rPr>
      </w:pPr>
    </w:p>
    <w:p>
      <w:pPr>
        <w:pStyle w:val="BodyText"/>
        <w:spacing w:line="276" w:lineRule="auto"/>
        <w:ind w:left="562" w:right="1695"/>
        <w:jc w:val="both"/>
      </w:pPr>
      <w:r>
        <w:rPr/>
        <w:t>Para el 2023, el techo de presupuesto tiene previsto una mayor adaptación a la “nueva normalidad”, con las actividades económicas operando en su totalidad y una merma de las tensiones geopolíticas, siendo el enfoque la inversión pública que pretende ser impulso para el crecimiento económico que se espera el próximo año, siendo al menos de 2.5%, según el escenario bajo de las proyecciones del Banco de Guatemala.</w:t>
      </w:r>
    </w:p>
    <w:p>
      <w:pPr>
        <w:pStyle w:val="BodyText"/>
        <w:spacing w:before="6"/>
        <w:rPr>
          <w:sz w:val="25"/>
        </w:rPr>
      </w:pPr>
    </w:p>
    <w:p>
      <w:pPr>
        <w:pStyle w:val="BodyText"/>
        <w:spacing w:line="276" w:lineRule="auto"/>
        <w:ind w:left="562" w:right="1697"/>
        <w:jc w:val="both"/>
      </w:pPr>
      <w:r>
        <w:rPr/>
        <w:t>En el mediano plazo se prevé que la variación interanual en los techos presupuestarios sea en promedio de 2.7%, entre 2024-2027, lo que permitirá una mayor ejecución de gasto.</w:t>
      </w:r>
    </w:p>
    <w:p>
      <w:pPr>
        <w:pStyle w:val="BodyText"/>
        <w:spacing w:before="6"/>
        <w:rPr>
          <w:sz w:val="25"/>
        </w:rPr>
      </w:pPr>
    </w:p>
    <w:p>
      <w:pPr>
        <w:spacing w:before="1"/>
        <w:ind w:left="1395" w:right="2530" w:firstLine="0"/>
        <w:jc w:val="center"/>
        <w:rPr>
          <w:b/>
          <w:sz w:val="22"/>
        </w:rPr>
      </w:pPr>
      <w:bookmarkStart w:name="_bookmark221" w:id="287"/>
      <w:bookmarkEnd w:id="287"/>
      <w:r>
        <w:rPr/>
      </w:r>
      <w:r>
        <w:rPr>
          <w:b/>
          <w:i/>
          <w:sz w:val="20"/>
        </w:rPr>
        <w:t>Gráfico 109. </w:t>
      </w:r>
      <w:r>
        <w:rPr>
          <w:b/>
          <w:sz w:val="22"/>
        </w:rPr>
        <w:t>Asignación total de egresos</w:t>
      </w:r>
    </w:p>
    <w:p>
      <w:pPr>
        <w:spacing w:before="33"/>
        <w:ind w:left="1395" w:right="2532" w:firstLine="0"/>
        <w:jc w:val="center"/>
        <w:rPr>
          <w:sz w:val="18"/>
        </w:rPr>
      </w:pPr>
      <w:r>
        <w:rPr>
          <w:sz w:val="18"/>
        </w:rPr>
        <w:t>2023-2027</w:t>
      </w:r>
    </w:p>
    <w:p>
      <w:pPr>
        <w:spacing w:before="34"/>
        <w:ind w:left="1395" w:right="2531" w:firstLine="0"/>
        <w:jc w:val="center"/>
        <w:rPr>
          <w:sz w:val="18"/>
        </w:rPr>
      </w:pPr>
      <w:r>
        <w:rPr/>
        <w:pict>
          <v:group style="position:absolute;margin-left:109.199997pt;margin-top:15.742187pt;width:393.25pt;height:149.950pt;mso-position-horizontal-relative:page;mso-position-vertical-relative:paragraph;z-index:-250068992;mso-wrap-distance-left:0;mso-wrap-distance-right:0" coordorigin="2184,315" coordsize="7865,2999">
            <v:line style="position:absolute" from="9787,2867" to="10049,2867" stroked="true" strokeweight=".72pt" strokecolor="#d9d9d9">
              <v:stroke dashstyle="solid"/>
            </v:line>
            <v:line style="position:absolute" from="8215,2867" to="8738,2867" stroked="true" strokeweight=".72pt" strokecolor="#d9d9d9">
              <v:stroke dashstyle="solid"/>
            </v:line>
            <v:line style="position:absolute" from="6641,2867" to="7166,2867" stroked="true" strokeweight=".72pt" strokecolor="#d9d9d9">
              <v:stroke dashstyle="solid"/>
            </v:line>
            <v:line style="position:absolute" from="5069,2867" to="5592,2867" stroked="true" strokeweight=".72pt" strokecolor="#d9d9d9">
              <v:stroke dashstyle="solid"/>
            </v:line>
            <v:line style="position:absolute" from="3497,2867" to="4020,2867" stroked="true" strokeweight=".72pt" strokecolor="#d9d9d9">
              <v:stroke dashstyle="solid"/>
            </v:line>
            <v:line style="position:absolute" from="2184,2867" to="2448,2867" stroked="true" strokeweight=".72pt" strokecolor="#d9d9d9">
              <v:stroke dashstyle="solid"/>
            </v:line>
            <v:line style="position:absolute" from="9787,2437" to="10049,2437" stroked="true" strokeweight=".72pt" strokecolor="#d9d9d9">
              <v:stroke dashstyle="solid"/>
            </v:line>
            <v:line style="position:absolute" from="8215,2437" to="8738,2437" stroked="true" strokeweight=".72pt" strokecolor="#d9d9d9">
              <v:stroke dashstyle="solid"/>
            </v:line>
            <v:line style="position:absolute" from="6641,2437" to="7166,2437" stroked="true" strokeweight=".72pt" strokecolor="#d9d9d9">
              <v:stroke dashstyle="solid"/>
            </v:line>
            <v:line style="position:absolute" from="5069,2437" to="5592,2437" stroked="true" strokeweight=".72pt" strokecolor="#d9d9d9">
              <v:stroke dashstyle="solid"/>
            </v:line>
            <v:line style="position:absolute" from="3497,2437" to="4020,2437" stroked="true" strokeweight=".72pt" strokecolor="#d9d9d9">
              <v:stroke dashstyle="solid"/>
            </v:line>
            <v:line style="position:absolute" from="2184,2437" to="2448,2437" stroked="true" strokeweight=".72pt" strokecolor="#d9d9d9">
              <v:stroke dashstyle="solid"/>
            </v:line>
            <v:line style="position:absolute" from="9787,2005" to="10049,2005" stroked="true" strokeweight=".72pt" strokecolor="#d9d9d9">
              <v:stroke dashstyle="solid"/>
            </v:line>
            <v:line style="position:absolute" from="8215,2005" to="8738,2005" stroked="true" strokeweight=".72pt" strokecolor="#d9d9d9">
              <v:stroke dashstyle="solid"/>
            </v:line>
            <v:line style="position:absolute" from="6641,2005" to="7166,2005" stroked="true" strokeweight=".72pt" strokecolor="#d9d9d9">
              <v:stroke dashstyle="solid"/>
            </v:line>
            <v:line style="position:absolute" from="5069,2005" to="5592,2005" stroked="true" strokeweight=".72pt" strokecolor="#d9d9d9">
              <v:stroke dashstyle="solid"/>
            </v:line>
            <v:line style="position:absolute" from="3497,2005" to="4020,2005" stroked="true" strokeweight=".72pt" strokecolor="#d9d9d9">
              <v:stroke dashstyle="solid"/>
            </v:line>
            <v:line style="position:absolute" from="2184,2005" to="2448,2005" stroked="true" strokeweight=".72pt" strokecolor="#d9d9d9">
              <v:stroke dashstyle="solid"/>
            </v:line>
            <v:line style="position:absolute" from="9787,1573" to="10049,1573" stroked="true" strokeweight=".72pt" strokecolor="#d9d9d9">
              <v:stroke dashstyle="solid"/>
            </v:line>
            <v:line style="position:absolute" from="8215,1573" to="8738,1573" stroked="true" strokeweight=".72pt" strokecolor="#d9d9d9">
              <v:stroke dashstyle="solid"/>
            </v:line>
            <v:line style="position:absolute" from="6641,1573" to="7166,1573" stroked="true" strokeweight=".72pt" strokecolor="#d9d9d9">
              <v:stroke dashstyle="solid"/>
            </v:line>
            <v:line style="position:absolute" from="5069,1573" to="5592,1573" stroked="true" strokeweight=".72pt" strokecolor="#d9d9d9">
              <v:stroke dashstyle="solid"/>
            </v:line>
            <v:line style="position:absolute" from="3497,1573" to="4020,1573" stroked="true" strokeweight=".72pt" strokecolor="#d9d9d9">
              <v:stroke dashstyle="solid"/>
            </v:line>
            <v:line style="position:absolute" from="2184,1573" to="2448,1573" stroked="true" strokeweight=".72pt" strokecolor="#d9d9d9">
              <v:stroke dashstyle="solid"/>
            </v:line>
            <v:line style="position:absolute" from="9787,1141" to="10049,1141" stroked="true" strokeweight=".72pt" strokecolor="#d9d9d9">
              <v:stroke dashstyle="solid"/>
            </v:line>
            <v:line style="position:absolute" from="8215,1141" to="8738,1141" stroked="true" strokeweight=".72pt" strokecolor="#d9d9d9">
              <v:stroke dashstyle="solid"/>
            </v:line>
            <v:line style="position:absolute" from="6641,1141" to="7166,1141" stroked="true" strokeweight=".72pt" strokecolor="#d9d9d9">
              <v:stroke dashstyle="solid"/>
            </v:line>
            <v:line style="position:absolute" from="5069,1141" to="5592,1141" stroked="true" strokeweight=".72pt" strokecolor="#d9d9d9">
              <v:stroke dashstyle="solid"/>
            </v:line>
            <v:line style="position:absolute" from="3497,1141" to="4020,1141" stroked="true" strokeweight=".72pt" strokecolor="#d9d9d9">
              <v:stroke dashstyle="solid"/>
            </v:line>
            <v:line style="position:absolute" from="2184,1141" to="2448,1141" stroked="true" strokeweight=".72pt" strokecolor="#d9d9d9">
              <v:stroke dashstyle="solid"/>
            </v:line>
            <v:line style="position:absolute" from="9787,709" to="10049,709" stroked="true" strokeweight=".72pt" strokecolor="#d9d9d9">
              <v:stroke dashstyle="solid"/>
            </v:line>
            <v:line style="position:absolute" from="8215,709" to="8738,709" stroked="true" strokeweight=".72pt" strokecolor="#d9d9d9">
              <v:stroke dashstyle="solid"/>
            </v:line>
            <v:line style="position:absolute" from="2184,709" to="7166,709" stroked="true" strokeweight=".72pt" strokecolor="#d9d9d9">
              <v:stroke dashstyle="solid"/>
            </v:line>
            <v:shape style="position:absolute;left:2407;top:493;width:7493;height:2820" type="#_x0000_t75" stroked="false">
              <v:imagedata r:id="rId345" o:title=""/>
            </v:shape>
            <v:rect style="position:absolute;left:2448;top:877;width:1049;height:2422" filled="true" fillcolor="#2e5496" stroked="false">
              <v:fill type="solid"/>
            </v:rect>
            <v:rect style="position:absolute;left:4020;top:851;width:1049;height:2448" filled="true" fillcolor="#2e5496" stroked="false">
              <v:fill type="solid"/>
            </v:rect>
            <v:rect style="position:absolute;left:5592;top:795;width:1049;height:2504" filled="true" fillcolor="#2e5496" stroked="false">
              <v:fill type="solid"/>
            </v:rect>
            <v:rect style="position:absolute;left:7166;top:699;width:1049;height:2600" filled="true" fillcolor="#2e5496" stroked="false">
              <v:fill type="solid"/>
            </v:rect>
            <v:rect style="position:absolute;left:8738;top:606;width:1049;height:2693" filled="true" fillcolor="#2e5496" stroked="false">
              <v:fill type="solid"/>
            </v:rect>
            <v:line style="position:absolute" from="2184,3299" to="10049,3299" stroked="true" strokeweight=".72pt" strokecolor="#d9d9d9">
              <v:stroke dashstyle="solid"/>
            </v:line>
            <v:shape style="position:absolute;left:2549;top:555;width:865;height:234" type="#_x0000_t202" filled="false" stroked="false">
              <v:textbox inset="0,0,0,0">
                <w:txbxContent>
                  <w:p>
                    <w:pPr>
                      <w:spacing w:line="234" w:lineRule="exact" w:before="0"/>
                      <w:ind w:left="0" w:right="0" w:firstLine="0"/>
                      <w:jc w:val="left"/>
                      <w:rPr>
                        <w:b/>
                        <w:sz w:val="21"/>
                      </w:rPr>
                    </w:pPr>
                    <w:r>
                      <w:rPr>
                        <w:b/>
                        <w:color w:val="2E5496"/>
                        <w:sz w:val="21"/>
                      </w:rPr>
                      <w:t>112,294.8</w:t>
                    </w:r>
                  </w:p>
                </w:txbxContent>
              </v:textbox>
              <w10:wrap type="none"/>
            </v:shape>
            <v:shape style="position:absolute;left:4122;top:530;width:865;height:234" type="#_x0000_t202" filled="false" stroked="false">
              <v:textbox inset="0,0,0,0">
                <w:txbxContent>
                  <w:p>
                    <w:pPr>
                      <w:spacing w:line="234" w:lineRule="exact" w:before="0"/>
                      <w:ind w:left="0" w:right="0" w:firstLine="0"/>
                      <w:jc w:val="left"/>
                      <w:rPr>
                        <w:b/>
                        <w:sz w:val="21"/>
                      </w:rPr>
                    </w:pPr>
                    <w:r>
                      <w:rPr>
                        <w:b/>
                        <w:color w:val="2E5496"/>
                        <w:sz w:val="21"/>
                      </w:rPr>
                      <w:t>113,428.3</w:t>
                    </w:r>
                  </w:p>
                </w:txbxContent>
              </v:textbox>
              <w10:wrap type="none"/>
            </v:shape>
            <v:shape style="position:absolute;left:5695;top:474;width:865;height:234" type="#_x0000_t202" filled="false" stroked="false">
              <v:textbox inset="0,0,0,0">
                <w:txbxContent>
                  <w:p>
                    <w:pPr>
                      <w:spacing w:line="234" w:lineRule="exact" w:before="0"/>
                      <w:ind w:left="0" w:right="0" w:firstLine="0"/>
                      <w:jc w:val="left"/>
                      <w:rPr>
                        <w:b/>
                        <w:sz w:val="21"/>
                      </w:rPr>
                    </w:pPr>
                    <w:r>
                      <w:rPr>
                        <w:b/>
                        <w:color w:val="2E5496"/>
                        <w:sz w:val="21"/>
                      </w:rPr>
                      <w:t>116,038.5</w:t>
                    </w:r>
                  </w:p>
                </w:txbxContent>
              </v:textbox>
              <w10:wrap type="none"/>
            </v:shape>
            <v:shape style="position:absolute;left:7268;top:378;width:865;height:234" type="#_x0000_t202" filled="false" stroked="false">
              <v:textbox inset="0,0,0,0">
                <w:txbxContent>
                  <w:p>
                    <w:pPr>
                      <w:spacing w:line="234" w:lineRule="exact" w:before="0"/>
                      <w:ind w:left="0" w:right="0" w:firstLine="0"/>
                      <w:jc w:val="left"/>
                      <w:rPr>
                        <w:b/>
                        <w:sz w:val="21"/>
                      </w:rPr>
                    </w:pPr>
                    <w:r>
                      <w:rPr>
                        <w:b/>
                        <w:color w:val="2E5496"/>
                        <w:sz w:val="21"/>
                      </w:rPr>
                      <w:t>120,482.4</w:t>
                    </w:r>
                  </w:p>
                </w:txbxContent>
              </v:textbox>
              <w10:wrap type="none"/>
            </v:shape>
            <v:shape style="position:absolute;left:8841;top:314;width:865;height:234" type="#_x0000_t202" filled="false" stroked="false">
              <v:textbox inset="0,0,0,0">
                <w:txbxContent>
                  <w:p>
                    <w:pPr>
                      <w:spacing w:line="234" w:lineRule="exact" w:before="0"/>
                      <w:ind w:left="0" w:right="0" w:firstLine="0"/>
                      <w:jc w:val="left"/>
                      <w:rPr>
                        <w:b/>
                        <w:sz w:val="21"/>
                      </w:rPr>
                    </w:pPr>
                    <w:r>
                      <w:rPr>
                        <w:b/>
                        <w:color w:val="2E5496"/>
                        <w:sz w:val="21"/>
                      </w:rPr>
                      <w:t>124,799.8</w:t>
                    </w:r>
                  </w:p>
                </w:txbxContent>
              </v:textbox>
              <w10:wrap type="none"/>
            </v:shape>
            <w10:wrap type="topAndBottom"/>
          </v:group>
        </w:pict>
      </w:r>
      <w:r>
        <w:rPr>
          <w:sz w:val="18"/>
        </w:rPr>
        <w:t>Millones de quetzales</w:t>
      </w:r>
    </w:p>
    <w:p>
      <w:pPr>
        <w:tabs>
          <w:tab w:pos="3204" w:val="left" w:leader="none"/>
          <w:tab w:pos="4777" w:val="left" w:leader="none"/>
          <w:tab w:pos="6351" w:val="left" w:leader="none"/>
          <w:tab w:pos="7924" w:val="left" w:leader="none"/>
        </w:tabs>
        <w:spacing w:before="68"/>
        <w:ind w:left="1632" w:right="0" w:firstLine="0"/>
        <w:jc w:val="left"/>
        <w:rPr>
          <w:b/>
          <w:sz w:val="20"/>
        </w:rPr>
      </w:pPr>
      <w:r>
        <w:rPr>
          <w:b/>
          <w:color w:val="585858"/>
          <w:sz w:val="20"/>
        </w:rPr>
        <w:t>2023</w:t>
        <w:tab/>
        <w:t>2024</w:t>
        <w:tab/>
        <w:t>2025</w:t>
        <w:tab/>
        <w:t>2026</w:t>
        <w:tab/>
        <w:t>2027</w:t>
      </w:r>
    </w:p>
    <w:p>
      <w:pPr>
        <w:spacing w:before="166"/>
        <w:ind w:left="965" w:right="0" w:firstLine="0"/>
        <w:jc w:val="left"/>
        <w:rPr>
          <w:sz w:val="16"/>
        </w:rPr>
      </w:pPr>
      <w:r>
        <w:rPr>
          <w:sz w:val="16"/>
        </w:rPr>
        <w:t>Fuente: Dirección de Análisis y Política Fiscal</w:t>
      </w:r>
    </w:p>
    <w:p>
      <w:pPr>
        <w:spacing w:after="0"/>
        <w:jc w:val="left"/>
        <w:rPr>
          <w:sz w:val="16"/>
        </w:rPr>
        <w:sectPr>
          <w:pgSz w:w="12240" w:h="15840"/>
          <w:pgMar w:header="715" w:footer="688" w:top="1240" w:bottom="880" w:left="1140" w:right="0"/>
        </w:sectPr>
      </w:pPr>
    </w:p>
    <w:p>
      <w:pPr>
        <w:pStyle w:val="BodyText"/>
        <w:spacing w:line="276" w:lineRule="auto" w:before="162"/>
        <w:ind w:left="562" w:right="1693"/>
        <w:jc w:val="both"/>
      </w:pPr>
      <w:r>
        <w:rPr/>
        <w:t>Como resultado de las proyecciones de ingresos fiscales y la priorización del gasto, se distribuyeron los techos presupuestarios totales para la administración central de la siguiente forma: para 2023 se tiene contemplado un presupuesto de Q112,294.8 millones (14.9% del PIB), el cual ascendería en 2024 hasta ubicarse en Q113,428.3 millones (14.1% del PIB), en 2025 en Q116,038.5 millones (13.6%</w:t>
      </w:r>
      <w:r>
        <w:rPr>
          <w:spacing w:val="-11"/>
        </w:rPr>
        <w:t> </w:t>
      </w:r>
      <w:r>
        <w:rPr/>
        <w:t>del</w:t>
      </w:r>
      <w:r>
        <w:rPr>
          <w:spacing w:val="-10"/>
        </w:rPr>
        <w:t> </w:t>
      </w:r>
      <w:r>
        <w:rPr/>
        <w:t>PIB),</w:t>
      </w:r>
      <w:r>
        <w:rPr>
          <w:spacing w:val="-12"/>
        </w:rPr>
        <w:t> </w:t>
      </w:r>
      <w:r>
        <w:rPr/>
        <w:t>en</w:t>
      </w:r>
      <w:r>
        <w:rPr>
          <w:spacing w:val="-10"/>
        </w:rPr>
        <w:t> </w:t>
      </w:r>
      <w:r>
        <w:rPr/>
        <w:t>2026</w:t>
      </w:r>
      <w:r>
        <w:rPr>
          <w:spacing w:val="-14"/>
        </w:rPr>
        <w:t> </w:t>
      </w:r>
      <w:r>
        <w:rPr/>
        <w:t>en</w:t>
      </w:r>
      <w:r>
        <w:rPr>
          <w:spacing w:val="-11"/>
        </w:rPr>
        <w:t> </w:t>
      </w:r>
      <w:r>
        <w:rPr/>
        <w:t>Q120,482.4</w:t>
      </w:r>
      <w:r>
        <w:rPr>
          <w:spacing w:val="-12"/>
        </w:rPr>
        <w:t> </w:t>
      </w:r>
      <w:r>
        <w:rPr/>
        <w:t>millones</w:t>
      </w:r>
      <w:r>
        <w:rPr>
          <w:spacing w:val="-13"/>
        </w:rPr>
        <w:t> </w:t>
      </w:r>
      <w:r>
        <w:rPr/>
        <w:t>(13.3%</w:t>
      </w:r>
      <w:r>
        <w:rPr>
          <w:spacing w:val="-11"/>
        </w:rPr>
        <w:t> </w:t>
      </w:r>
      <w:r>
        <w:rPr/>
        <w:t>del</w:t>
      </w:r>
      <w:r>
        <w:rPr>
          <w:spacing w:val="-10"/>
        </w:rPr>
        <w:t> </w:t>
      </w:r>
      <w:r>
        <w:rPr/>
        <w:t>PIB)</w:t>
      </w:r>
      <w:r>
        <w:rPr>
          <w:spacing w:val="-11"/>
        </w:rPr>
        <w:t> </w:t>
      </w:r>
      <w:r>
        <w:rPr/>
        <w:t>y</w:t>
      </w:r>
      <w:r>
        <w:rPr>
          <w:spacing w:val="-13"/>
        </w:rPr>
        <w:t> </w:t>
      </w:r>
      <w:r>
        <w:rPr/>
        <w:t>en</w:t>
      </w:r>
      <w:r>
        <w:rPr>
          <w:spacing w:val="-11"/>
        </w:rPr>
        <w:t> </w:t>
      </w:r>
      <w:r>
        <w:rPr/>
        <w:t>2027</w:t>
      </w:r>
      <w:r>
        <w:rPr>
          <w:spacing w:val="-13"/>
        </w:rPr>
        <w:t> </w:t>
      </w:r>
      <w:r>
        <w:rPr/>
        <w:t>en</w:t>
      </w:r>
      <w:r>
        <w:rPr>
          <w:spacing w:val="-13"/>
        </w:rPr>
        <w:t> </w:t>
      </w:r>
      <w:r>
        <w:rPr/>
        <w:t>Q124,799.8</w:t>
      </w:r>
      <w:r>
        <w:rPr>
          <w:spacing w:val="-14"/>
        </w:rPr>
        <w:t> </w:t>
      </w:r>
      <w:r>
        <w:rPr/>
        <w:t>millones (12.8%</w:t>
      </w:r>
      <w:r>
        <w:rPr>
          <w:spacing w:val="-9"/>
        </w:rPr>
        <w:t> </w:t>
      </w:r>
      <w:r>
        <w:rPr/>
        <w:t>del</w:t>
      </w:r>
      <w:r>
        <w:rPr>
          <w:spacing w:val="-9"/>
        </w:rPr>
        <w:t> </w:t>
      </w:r>
      <w:r>
        <w:rPr/>
        <w:t>PIB).</w:t>
      </w:r>
      <w:r>
        <w:rPr>
          <w:spacing w:val="36"/>
        </w:rPr>
        <w:t> </w:t>
      </w:r>
      <w:r>
        <w:rPr/>
        <w:t>A</w:t>
      </w:r>
      <w:r>
        <w:rPr>
          <w:spacing w:val="-10"/>
        </w:rPr>
        <w:t> </w:t>
      </w:r>
      <w:r>
        <w:rPr/>
        <w:t>partir</w:t>
      </w:r>
      <w:r>
        <w:rPr>
          <w:spacing w:val="-9"/>
        </w:rPr>
        <w:t> </w:t>
      </w:r>
      <w:r>
        <w:rPr/>
        <w:t>de</w:t>
      </w:r>
      <w:r>
        <w:rPr>
          <w:spacing w:val="-9"/>
        </w:rPr>
        <w:t> </w:t>
      </w:r>
      <w:r>
        <w:rPr/>
        <w:t>2023</w:t>
      </w:r>
      <w:r>
        <w:rPr>
          <w:spacing w:val="-10"/>
        </w:rPr>
        <w:t> </w:t>
      </w:r>
      <w:r>
        <w:rPr/>
        <w:t>se</w:t>
      </w:r>
      <w:r>
        <w:rPr>
          <w:spacing w:val="-9"/>
        </w:rPr>
        <w:t> </w:t>
      </w:r>
      <w:r>
        <w:rPr/>
        <w:t>esperaría</w:t>
      </w:r>
      <w:r>
        <w:rPr>
          <w:spacing w:val="-8"/>
        </w:rPr>
        <w:t> </w:t>
      </w:r>
      <w:r>
        <w:rPr/>
        <w:t>que</w:t>
      </w:r>
      <w:r>
        <w:rPr>
          <w:spacing w:val="-9"/>
        </w:rPr>
        <w:t> </w:t>
      </w:r>
      <w:r>
        <w:rPr/>
        <w:t>las</w:t>
      </w:r>
      <w:r>
        <w:rPr>
          <w:spacing w:val="-11"/>
        </w:rPr>
        <w:t> </w:t>
      </w:r>
      <w:r>
        <w:rPr/>
        <w:t>asignaciones</w:t>
      </w:r>
      <w:r>
        <w:rPr>
          <w:spacing w:val="-9"/>
        </w:rPr>
        <w:t> </w:t>
      </w:r>
      <w:r>
        <w:rPr/>
        <w:t>presupuestarias</w:t>
      </w:r>
      <w:r>
        <w:rPr>
          <w:spacing w:val="-8"/>
        </w:rPr>
        <w:t> </w:t>
      </w:r>
      <w:r>
        <w:rPr/>
        <w:t>tengan</w:t>
      </w:r>
      <w:r>
        <w:rPr>
          <w:spacing w:val="-9"/>
        </w:rPr>
        <w:t> </w:t>
      </w:r>
      <w:r>
        <w:rPr/>
        <w:t>aumentos más acordes a las necesidades planteadas por las entidades públicas, y no respondan a aspectos coyunturales</w:t>
      </w:r>
      <w:r>
        <w:rPr>
          <w:spacing w:val="-9"/>
        </w:rPr>
        <w:t> </w:t>
      </w:r>
      <w:r>
        <w:rPr/>
        <w:t>como</w:t>
      </w:r>
      <w:r>
        <w:rPr>
          <w:spacing w:val="-9"/>
        </w:rPr>
        <w:t> </w:t>
      </w:r>
      <w:r>
        <w:rPr/>
        <w:t>lo</w:t>
      </w:r>
      <w:r>
        <w:rPr>
          <w:spacing w:val="-11"/>
        </w:rPr>
        <w:t> </w:t>
      </w:r>
      <w:r>
        <w:rPr/>
        <w:t>hizo</w:t>
      </w:r>
      <w:r>
        <w:rPr>
          <w:spacing w:val="-9"/>
        </w:rPr>
        <w:t> </w:t>
      </w:r>
      <w:r>
        <w:rPr/>
        <w:t>en</w:t>
      </w:r>
      <w:r>
        <w:rPr>
          <w:spacing w:val="-10"/>
        </w:rPr>
        <w:t> </w:t>
      </w:r>
      <w:r>
        <w:rPr/>
        <w:t>los</w:t>
      </w:r>
      <w:r>
        <w:rPr>
          <w:spacing w:val="-8"/>
        </w:rPr>
        <w:t> </w:t>
      </w:r>
      <w:r>
        <w:rPr/>
        <w:t>últimos</w:t>
      </w:r>
      <w:r>
        <w:rPr>
          <w:spacing w:val="-8"/>
        </w:rPr>
        <w:t> </w:t>
      </w:r>
      <w:r>
        <w:rPr/>
        <w:t>años</w:t>
      </w:r>
      <w:r>
        <w:rPr>
          <w:spacing w:val="-10"/>
        </w:rPr>
        <w:t> </w:t>
      </w:r>
      <w:r>
        <w:rPr/>
        <w:t>(2020,</w:t>
      </w:r>
      <w:r>
        <w:rPr>
          <w:spacing w:val="-10"/>
        </w:rPr>
        <w:t> </w:t>
      </w:r>
      <w:r>
        <w:rPr/>
        <w:t>2021</w:t>
      </w:r>
      <w:r>
        <w:rPr>
          <w:spacing w:val="-9"/>
        </w:rPr>
        <w:t> </w:t>
      </w:r>
      <w:r>
        <w:rPr/>
        <w:t>y</w:t>
      </w:r>
      <w:r>
        <w:rPr>
          <w:spacing w:val="-11"/>
        </w:rPr>
        <w:t> </w:t>
      </w:r>
      <w:r>
        <w:rPr/>
        <w:t>2022)</w:t>
      </w:r>
      <w:r>
        <w:rPr>
          <w:spacing w:val="-10"/>
        </w:rPr>
        <w:t> </w:t>
      </w:r>
      <w:r>
        <w:rPr/>
        <w:t>derivado</w:t>
      </w:r>
      <w:r>
        <w:rPr>
          <w:spacing w:val="-9"/>
        </w:rPr>
        <w:t> </w:t>
      </w:r>
      <w:r>
        <w:rPr/>
        <w:t>de</w:t>
      </w:r>
      <w:r>
        <w:rPr>
          <w:spacing w:val="-10"/>
        </w:rPr>
        <w:t> </w:t>
      </w:r>
      <w:r>
        <w:rPr/>
        <w:t>la</w:t>
      </w:r>
      <w:r>
        <w:rPr>
          <w:spacing w:val="-8"/>
        </w:rPr>
        <w:t> </w:t>
      </w:r>
      <w:r>
        <w:rPr/>
        <w:t>pandemia</w:t>
      </w:r>
      <w:r>
        <w:rPr>
          <w:spacing w:val="-8"/>
        </w:rPr>
        <w:t> </w:t>
      </w:r>
      <w:r>
        <w:rPr/>
        <w:t>COVID- 19, tormentas tropicales como ETA e IOTA y el aumento internacional de los</w:t>
      </w:r>
      <w:r>
        <w:rPr>
          <w:spacing w:val="-13"/>
        </w:rPr>
        <w:t> </w:t>
      </w:r>
      <w:r>
        <w:rPr/>
        <w:t>precios.</w:t>
      </w:r>
    </w:p>
    <w:p>
      <w:pPr>
        <w:pStyle w:val="BodyText"/>
        <w:spacing w:before="3"/>
        <w:rPr>
          <w:sz w:val="25"/>
        </w:rPr>
      </w:pPr>
    </w:p>
    <w:p>
      <w:pPr>
        <w:pStyle w:val="BodyText"/>
        <w:spacing w:line="276" w:lineRule="auto"/>
        <w:ind w:left="562" w:right="1697"/>
        <w:jc w:val="both"/>
      </w:pPr>
      <w:r>
        <w:rPr/>
        <w:t>Es importante recordar que en 2023 se tienen previstas elecciones generales en Guatemala, según la planificación del Tribunal Supremo Electoral (TSE), simultáneamente se llevarán a cabo también elecciones legislativas, elecciones municipales y elecciones al Parlamento Centroamericano, por lo cual las asignaciones futuras podrían tener ajustes que al mismo tiempo dependerán del financiamiento</w:t>
      </w:r>
      <w:r>
        <w:rPr>
          <w:spacing w:val="-12"/>
        </w:rPr>
        <w:t> </w:t>
      </w:r>
      <w:r>
        <w:rPr/>
        <w:t>previsto</w:t>
      </w:r>
      <w:r>
        <w:rPr>
          <w:spacing w:val="-12"/>
        </w:rPr>
        <w:t> </w:t>
      </w:r>
      <w:r>
        <w:rPr/>
        <w:t>y</w:t>
      </w:r>
      <w:r>
        <w:rPr>
          <w:spacing w:val="-14"/>
        </w:rPr>
        <w:t> </w:t>
      </w:r>
      <w:r>
        <w:rPr/>
        <w:t>de</w:t>
      </w:r>
      <w:r>
        <w:rPr>
          <w:spacing w:val="-12"/>
        </w:rPr>
        <w:t> </w:t>
      </w:r>
      <w:r>
        <w:rPr/>
        <w:t>las</w:t>
      </w:r>
      <w:r>
        <w:rPr>
          <w:spacing w:val="-11"/>
        </w:rPr>
        <w:t> </w:t>
      </w:r>
      <w:r>
        <w:rPr/>
        <w:t>necesidades</w:t>
      </w:r>
      <w:r>
        <w:rPr>
          <w:spacing w:val="-11"/>
        </w:rPr>
        <w:t> </w:t>
      </w:r>
      <w:r>
        <w:rPr/>
        <w:t>estratégicas</w:t>
      </w:r>
      <w:r>
        <w:rPr>
          <w:spacing w:val="-11"/>
        </w:rPr>
        <w:t> </w:t>
      </w:r>
      <w:r>
        <w:rPr/>
        <w:t>e</w:t>
      </w:r>
      <w:r>
        <w:rPr>
          <w:spacing w:val="-14"/>
        </w:rPr>
        <w:t> </w:t>
      </w:r>
      <w:r>
        <w:rPr/>
        <w:t>institucionales</w:t>
      </w:r>
      <w:r>
        <w:rPr>
          <w:spacing w:val="-13"/>
        </w:rPr>
        <w:t> </w:t>
      </w:r>
      <w:r>
        <w:rPr/>
        <w:t>que</w:t>
      </w:r>
      <w:r>
        <w:rPr>
          <w:spacing w:val="-12"/>
        </w:rPr>
        <w:t> </w:t>
      </w:r>
      <w:r>
        <w:rPr/>
        <w:t>plantee</w:t>
      </w:r>
      <w:r>
        <w:rPr>
          <w:spacing w:val="-14"/>
        </w:rPr>
        <w:t> </w:t>
      </w:r>
      <w:r>
        <w:rPr/>
        <w:t>el</w:t>
      </w:r>
      <w:r>
        <w:rPr>
          <w:spacing w:val="-11"/>
        </w:rPr>
        <w:t> </w:t>
      </w:r>
      <w:r>
        <w:rPr/>
        <w:t>gobierno</w:t>
      </w:r>
      <w:r>
        <w:rPr>
          <w:spacing w:val="-12"/>
        </w:rPr>
        <w:t> </w:t>
      </w:r>
      <w:r>
        <w:rPr/>
        <w:t>que resulte</w:t>
      </w:r>
      <w:r>
        <w:rPr>
          <w:spacing w:val="-1"/>
        </w:rPr>
        <w:t> </w:t>
      </w:r>
      <w:r>
        <w:rPr/>
        <w:t>electo.</w:t>
      </w:r>
    </w:p>
    <w:p>
      <w:pPr>
        <w:pStyle w:val="BodyText"/>
        <w:spacing w:before="11"/>
        <w:rPr>
          <w:sz w:val="25"/>
        </w:rPr>
      </w:pPr>
    </w:p>
    <w:p>
      <w:pPr>
        <w:pStyle w:val="Heading2"/>
        <w:numPr>
          <w:ilvl w:val="1"/>
          <w:numId w:val="39"/>
        </w:numPr>
        <w:tabs>
          <w:tab w:pos="1354" w:val="left" w:leader="none"/>
        </w:tabs>
        <w:spacing w:line="240" w:lineRule="auto" w:before="0" w:after="0"/>
        <w:ind w:left="1354" w:right="0" w:hanging="433"/>
        <w:jc w:val="left"/>
      </w:pPr>
      <w:bookmarkStart w:name="_bookmark222" w:id="288"/>
      <w:bookmarkEnd w:id="288"/>
      <w:r>
        <w:rPr>
          <w:b w:val="0"/>
        </w:rPr>
      </w:r>
      <w:bookmarkStart w:name="_bookmark222" w:id="289"/>
      <w:bookmarkEnd w:id="289"/>
      <w:r>
        <w:rPr/>
        <w:t>P</w:t>
      </w:r>
      <w:r>
        <w:rPr/>
        <w:t>royección del financiamiento del déficit fiscal</w:t>
      </w:r>
    </w:p>
    <w:p>
      <w:pPr>
        <w:pStyle w:val="BodyText"/>
        <w:spacing w:before="4"/>
        <w:rPr>
          <w:b/>
          <w:sz w:val="28"/>
        </w:rPr>
      </w:pPr>
    </w:p>
    <w:p>
      <w:pPr>
        <w:pStyle w:val="BodyText"/>
        <w:spacing w:line="276" w:lineRule="auto"/>
        <w:ind w:left="562" w:right="1697"/>
        <w:jc w:val="both"/>
      </w:pPr>
      <w:r>
        <w:rPr/>
        <w:t>Como resultado de la proyección de ingresos prevista para el mediano y largo plazos, y con base en la asignación de techos presupuestarios programada para responder a las necesidades de la sociedad guatemalteca y tomando en consideración los compromisos ineludibles del Estado, se tiene al final de cada ejercicio fiscal un resultado deficitario, cuyo nivel se considera no generará distorsiones a la economía y es financiable a través de recursos internos o externos en condiciones financieras que se buscara sigan siendo favorables para el Estado, a pesar del contexto de subida de tasas.</w:t>
      </w:r>
    </w:p>
    <w:p>
      <w:pPr>
        <w:pStyle w:val="BodyText"/>
        <w:spacing w:before="5"/>
        <w:rPr>
          <w:sz w:val="25"/>
        </w:rPr>
      </w:pPr>
    </w:p>
    <w:p>
      <w:pPr>
        <w:pStyle w:val="BodyText"/>
        <w:spacing w:line="276" w:lineRule="auto"/>
        <w:ind w:left="562" w:right="1696"/>
        <w:jc w:val="both"/>
      </w:pPr>
      <w:r>
        <w:rPr/>
        <w:t>En ese sentido, el déficit fiscal que se prevé para 2023 es de Q18,408.9 millones, siendo de 2.4%</w:t>
      </w:r>
      <w:r>
        <w:rPr>
          <w:spacing w:val="-32"/>
        </w:rPr>
        <w:t> </w:t>
      </w:r>
      <w:r>
        <w:rPr>
          <w:spacing w:val="-3"/>
        </w:rPr>
        <w:t>del </w:t>
      </w:r>
      <w:r>
        <w:rPr/>
        <w:t>PIB, siendo igual al considerado en la estimación de cierre de 2022 (2.4%), aunque muy por debajo del considerado en el presupuesto vigente para 2022</w:t>
      </w:r>
      <w:r>
        <w:rPr>
          <w:spacing w:val="-3"/>
        </w:rPr>
        <w:t> </w:t>
      </w:r>
      <w:r>
        <w:rPr/>
        <w:t>(3.8%).</w:t>
      </w:r>
    </w:p>
    <w:p>
      <w:pPr>
        <w:pStyle w:val="BodyText"/>
        <w:spacing w:before="1"/>
        <w:rPr>
          <w:sz w:val="25"/>
        </w:rPr>
      </w:pPr>
    </w:p>
    <w:p>
      <w:pPr>
        <w:pStyle w:val="BodyText"/>
        <w:spacing w:line="276" w:lineRule="auto"/>
        <w:ind w:left="562" w:right="1700"/>
        <w:jc w:val="both"/>
      </w:pPr>
      <w:r>
        <w:rPr/>
        <w:t>La principal fuente de financiamiento del déficit será la emisión y nueva colocación de Bonos de Tesoro, la cual se prevé sea de Q15,526.6 millones. Asimismo, se prevé un financiamiento externo neto negativo de Q1,277.7 millones, de los cuales Q3,096.7 millones son desembolsos de préstamos y Q4,374.4 millones corresponde a amortizaciones de préstamos.</w:t>
      </w:r>
    </w:p>
    <w:p>
      <w:pPr>
        <w:pStyle w:val="BodyText"/>
        <w:spacing w:before="5"/>
        <w:rPr>
          <w:sz w:val="25"/>
        </w:rPr>
      </w:pPr>
    </w:p>
    <w:p>
      <w:pPr>
        <w:pStyle w:val="BodyText"/>
        <w:spacing w:line="276" w:lineRule="auto" w:before="1"/>
        <w:ind w:left="562" w:right="1695"/>
        <w:jc w:val="both"/>
      </w:pPr>
      <w:r>
        <w:rPr/>
        <w:t>Asimismo, en 2023 se estaría considerando también un monto de Q54.5 millones de deficiencia</w:t>
      </w:r>
      <w:r>
        <w:rPr>
          <w:spacing w:val="-38"/>
        </w:rPr>
        <w:t> </w:t>
      </w:r>
      <w:r>
        <w:rPr/>
        <w:t>neta para el Banco de Guatemala correspondiente al ejercicio fiscal del 2021. Dentro de la Ley Orgánica del</w:t>
      </w:r>
      <w:r>
        <w:rPr>
          <w:spacing w:val="-13"/>
        </w:rPr>
        <w:t> </w:t>
      </w:r>
      <w:r>
        <w:rPr/>
        <w:t>Banco</w:t>
      </w:r>
      <w:r>
        <w:rPr>
          <w:spacing w:val="-16"/>
        </w:rPr>
        <w:t> </w:t>
      </w:r>
      <w:r>
        <w:rPr/>
        <w:t>de</w:t>
      </w:r>
      <w:r>
        <w:rPr>
          <w:spacing w:val="-13"/>
        </w:rPr>
        <w:t> </w:t>
      </w:r>
      <w:r>
        <w:rPr/>
        <w:t>Guatemala,</w:t>
      </w:r>
      <w:r>
        <w:rPr>
          <w:spacing w:val="-14"/>
        </w:rPr>
        <w:t> </w:t>
      </w:r>
      <w:r>
        <w:rPr/>
        <w:t>el</w:t>
      </w:r>
      <w:r>
        <w:rPr>
          <w:spacing w:val="-15"/>
        </w:rPr>
        <w:t> </w:t>
      </w:r>
      <w:r>
        <w:rPr/>
        <w:t>artículo</w:t>
      </w:r>
      <w:r>
        <w:rPr>
          <w:spacing w:val="-16"/>
        </w:rPr>
        <w:t> </w:t>
      </w:r>
      <w:r>
        <w:rPr/>
        <w:t>9</w:t>
      </w:r>
      <w:r>
        <w:rPr>
          <w:spacing w:val="-13"/>
        </w:rPr>
        <w:t> </w:t>
      </w:r>
      <w:r>
        <w:rPr/>
        <w:t>establece</w:t>
      </w:r>
      <w:r>
        <w:rPr>
          <w:spacing w:val="-16"/>
        </w:rPr>
        <w:t> </w:t>
      </w:r>
      <w:r>
        <w:rPr/>
        <w:t>que</w:t>
      </w:r>
      <w:r>
        <w:rPr>
          <w:spacing w:val="-15"/>
        </w:rPr>
        <w:t> </w:t>
      </w:r>
      <w:r>
        <w:rPr/>
        <w:t>si</w:t>
      </w:r>
      <w:r>
        <w:rPr>
          <w:spacing w:val="-14"/>
        </w:rPr>
        <w:t> </w:t>
      </w:r>
      <w:r>
        <w:rPr/>
        <w:t>después</w:t>
      </w:r>
      <w:r>
        <w:rPr>
          <w:spacing w:val="-13"/>
        </w:rPr>
        <w:t> </w:t>
      </w:r>
      <w:r>
        <w:rPr/>
        <w:t>de</w:t>
      </w:r>
      <w:r>
        <w:rPr>
          <w:spacing w:val="-16"/>
        </w:rPr>
        <w:t> </w:t>
      </w:r>
      <w:r>
        <w:rPr/>
        <w:t>cubrir</w:t>
      </w:r>
      <w:r>
        <w:rPr>
          <w:spacing w:val="-15"/>
        </w:rPr>
        <w:t> </w:t>
      </w:r>
      <w:r>
        <w:rPr/>
        <w:t>sus</w:t>
      </w:r>
      <w:r>
        <w:rPr>
          <w:spacing w:val="-15"/>
        </w:rPr>
        <w:t> </w:t>
      </w:r>
      <w:r>
        <w:rPr/>
        <w:t>gastos</w:t>
      </w:r>
      <w:r>
        <w:rPr>
          <w:spacing w:val="-18"/>
        </w:rPr>
        <w:t> </w:t>
      </w:r>
      <w:r>
        <w:rPr/>
        <w:t>de</w:t>
      </w:r>
      <w:r>
        <w:rPr>
          <w:spacing w:val="-14"/>
        </w:rPr>
        <w:t> </w:t>
      </w:r>
      <w:r>
        <w:rPr/>
        <w:t>funcionamiento, los</w:t>
      </w:r>
      <w:r>
        <w:rPr>
          <w:spacing w:val="-10"/>
        </w:rPr>
        <w:t> </w:t>
      </w:r>
      <w:r>
        <w:rPr/>
        <w:t>ingresos</w:t>
      </w:r>
      <w:r>
        <w:rPr>
          <w:spacing w:val="-8"/>
        </w:rPr>
        <w:t> </w:t>
      </w:r>
      <w:r>
        <w:rPr/>
        <w:t>del</w:t>
      </w:r>
      <w:r>
        <w:rPr>
          <w:spacing w:val="-7"/>
        </w:rPr>
        <w:t> </w:t>
      </w:r>
      <w:r>
        <w:rPr/>
        <w:t>Banco</w:t>
      </w:r>
      <w:r>
        <w:rPr>
          <w:spacing w:val="-11"/>
        </w:rPr>
        <w:t> </w:t>
      </w:r>
      <w:r>
        <w:rPr/>
        <w:t>no</w:t>
      </w:r>
      <w:r>
        <w:rPr>
          <w:spacing w:val="-11"/>
        </w:rPr>
        <w:t> </w:t>
      </w:r>
      <w:r>
        <w:rPr/>
        <w:t>fueran</w:t>
      </w:r>
      <w:r>
        <w:rPr>
          <w:spacing w:val="-10"/>
        </w:rPr>
        <w:t> </w:t>
      </w:r>
      <w:r>
        <w:rPr/>
        <w:t>suficientes</w:t>
      </w:r>
      <w:r>
        <w:rPr>
          <w:spacing w:val="-8"/>
        </w:rPr>
        <w:t> </w:t>
      </w:r>
      <w:r>
        <w:rPr/>
        <w:t>para</w:t>
      </w:r>
      <w:r>
        <w:rPr>
          <w:spacing w:val="-11"/>
        </w:rPr>
        <w:t> </w:t>
      </w:r>
      <w:r>
        <w:rPr/>
        <w:t>cubrir</w:t>
      </w:r>
      <w:r>
        <w:rPr>
          <w:spacing w:val="-8"/>
        </w:rPr>
        <w:t> </w:t>
      </w:r>
      <w:r>
        <w:rPr/>
        <w:t>el</w:t>
      </w:r>
      <w:r>
        <w:rPr>
          <w:spacing w:val="-8"/>
        </w:rPr>
        <w:t> </w:t>
      </w:r>
      <w:r>
        <w:rPr/>
        <w:t>costo</w:t>
      </w:r>
      <w:r>
        <w:rPr>
          <w:spacing w:val="-10"/>
        </w:rPr>
        <w:t> </w:t>
      </w:r>
      <w:r>
        <w:rPr/>
        <w:t>de</w:t>
      </w:r>
      <w:r>
        <w:rPr>
          <w:spacing w:val="-11"/>
        </w:rPr>
        <w:t> </w:t>
      </w:r>
      <w:r>
        <w:rPr/>
        <w:t>ejecución</w:t>
      </w:r>
      <w:r>
        <w:rPr>
          <w:spacing w:val="-11"/>
        </w:rPr>
        <w:t> </w:t>
      </w:r>
      <w:r>
        <w:rPr/>
        <w:t>de</w:t>
      </w:r>
      <w:r>
        <w:rPr>
          <w:spacing w:val="-11"/>
        </w:rPr>
        <w:t> </w:t>
      </w:r>
      <w:r>
        <w:rPr/>
        <w:t>la</w:t>
      </w:r>
      <w:r>
        <w:rPr>
          <w:spacing w:val="-13"/>
        </w:rPr>
        <w:t> </w:t>
      </w:r>
      <w:r>
        <w:rPr/>
        <w:t>política</w:t>
      </w:r>
      <w:r>
        <w:rPr>
          <w:spacing w:val="-7"/>
        </w:rPr>
        <w:t> </w:t>
      </w:r>
      <w:r>
        <w:rPr/>
        <w:t>monetaria, cambiaria y crediticia, la deficiencia resultante se cargara a la Cuenta Reserva General, y si el saldo de dicha cuenta no contara con los recursos suficientes, dichas deficiencias deberán ser absorbidas por</w:t>
      </w:r>
      <w:r>
        <w:rPr>
          <w:spacing w:val="-15"/>
        </w:rPr>
        <w:t> </w:t>
      </w:r>
      <w:r>
        <w:rPr/>
        <w:t>el</w:t>
      </w:r>
      <w:r>
        <w:rPr>
          <w:spacing w:val="-15"/>
        </w:rPr>
        <w:t> </w:t>
      </w:r>
      <w:r>
        <w:rPr/>
        <w:t>Estado.</w:t>
      </w:r>
      <w:r>
        <w:rPr>
          <w:spacing w:val="-16"/>
        </w:rPr>
        <w:t> </w:t>
      </w:r>
      <w:r>
        <w:rPr/>
        <w:t>Por</w:t>
      </w:r>
      <w:r>
        <w:rPr>
          <w:spacing w:val="-15"/>
        </w:rPr>
        <w:t> </w:t>
      </w:r>
      <w:r>
        <w:rPr/>
        <w:t>ello,</w:t>
      </w:r>
      <w:r>
        <w:rPr>
          <w:spacing w:val="-16"/>
        </w:rPr>
        <w:t> </w:t>
      </w:r>
      <w:r>
        <w:rPr/>
        <w:t>una</w:t>
      </w:r>
      <w:r>
        <w:rPr>
          <w:spacing w:val="-18"/>
        </w:rPr>
        <w:t> </w:t>
      </w:r>
      <w:r>
        <w:rPr/>
        <w:t>vez</w:t>
      </w:r>
      <w:r>
        <w:rPr>
          <w:spacing w:val="-15"/>
        </w:rPr>
        <w:t> </w:t>
      </w:r>
      <w:r>
        <w:rPr/>
        <w:t>trasladado</w:t>
      </w:r>
      <w:r>
        <w:rPr>
          <w:spacing w:val="-16"/>
        </w:rPr>
        <w:t> </w:t>
      </w:r>
      <w:r>
        <w:rPr/>
        <w:t>el</w:t>
      </w:r>
      <w:r>
        <w:rPr>
          <w:spacing w:val="-12"/>
        </w:rPr>
        <w:t> </w:t>
      </w:r>
      <w:r>
        <w:rPr/>
        <w:t>monto</w:t>
      </w:r>
      <w:r>
        <w:rPr>
          <w:spacing w:val="-16"/>
        </w:rPr>
        <w:t> </w:t>
      </w:r>
      <w:r>
        <w:rPr/>
        <w:t>al</w:t>
      </w:r>
      <w:r>
        <w:rPr>
          <w:spacing w:val="-15"/>
        </w:rPr>
        <w:t> </w:t>
      </w:r>
      <w:r>
        <w:rPr/>
        <w:t>que</w:t>
      </w:r>
      <w:r>
        <w:rPr>
          <w:spacing w:val="-15"/>
        </w:rPr>
        <w:t> </w:t>
      </w:r>
      <w:r>
        <w:rPr/>
        <w:t>ascienden</w:t>
      </w:r>
      <w:r>
        <w:rPr>
          <w:spacing w:val="-15"/>
        </w:rPr>
        <w:t> </w:t>
      </w:r>
      <w:r>
        <w:rPr/>
        <w:t>las</w:t>
      </w:r>
      <w:r>
        <w:rPr>
          <w:spacing w:val="-15"/>
        </w:rPr>
        <w:t> </w:t>
      </w:r>
      <w:r>
        <w:rPr/>
        <w:t>deficiencias</w:t>
      </w:r>
      <w:r>
        <w:rPr>
          <w:spacing w:val="-15"/>
        </w:rPr>
        <w:t> </w:t>
      </w:r>
      <w:r>
        <w:rPr/>
        <w:t>netas,</w:t>
      </w:r>
      <w:r>
        <w:rPr>
          <w:spacing w:val="-15"/>
        </w:rPr>
        <w:t> </w:t>
      </w:r>
      <w:r>
        <w:rPr/>
        <w:t>se</w:t>
      </w:r>
      <w:r>
        <w:rPr>
          <w:spacing w:val="-15"/>
        </w:rPr>
        <w:t> </w:t>
      </w:r>
      <w:r>
        <w:rPr/>
        <w:t>incluyen dentro del Presupuesto General de Ingresos y Egresos del Estado para el ejercicio fiscal</w:t>
      </w:r>
      <w:r>
        <w:rPr>
          <w:spacing w:val="-15"/>
        </w:rPr>
        <w:t> </w:t>
      </w:r>
      <w:r>
        <w:rPr/>
        <w:t>2023.</w:t>
      </w:r>
    </w:p>
    <w:p>
      <w:pPr>
        <w:spacing w:after="0" w:line="276" w:lineRule="auto"/>
        <w:jc w:val="both"/>
        <w:sectPr>
          <w:pgSz w:w="12240" w:h="15840"/>
          <w:pgMar w:header="715" w:footer="688" w:top="1240" w:bottom="880" w:left="1140" w:right="0"/>
        </w:sectPr>
      </w:pPr>
    </w:p>
    <w:p>
      <w:pPr>
        <w:pStyle w:val="BodyText"/>
        <w:spacing w:line="276" w:lineRule="auto" w:before="162"/>
        <w:ind w:left="562" w:right="1692"/>
        <w:jc w:val="both"/>
      </w:pPr>
      <w:r>
        <w:rPr/>
        <w:t>En</w:t>
      </w:r>
      <w:r>
        <w:rPr>
          <w:spacing w:val="-5"/>
        </w:rPr>
        <w:t> </w:t>
      </w:r>
      <w:r>
        <w:rPr/>
        <w:t>el</w:t>
      </w:r>
      <w:r>
        <w:rPr>
          <w:spacing w:val="-3"/>
        </w:rPr>
        <w:t> </w:t>
      </w:r>
      <w:r>
        <w:rPr/>
        <w:t>mediano</w:t>
      </w:r>
      <w:r>
        <w:rPr>
          <w:spacing w:val="-3"/>
        </w:rPr>
        <w:t> </w:t>
      </w:r>
      <w:r>
        <w:rPr/>
        <w:t>plazo,</w:t>
      </w:r>
      <w:r>
        <w:rPr>
          <w:spacing w:val="-4"/>
        </w:rPr>
        <w:t> </w:t>
      </w:r>
      <w:r>
        <w:rPr/>
        <w:t>el</w:t>
      </w:r>
      <w:r>
        <w:rPr>
          <w:spacing w:val="-3"/>
        </w:rPr>
        <w:t> </w:t>
      </w:r>
      <w:r>
        <w:rPr/>
        <w:t>déficit</w:t>
      </w:r>
      <w:r>
        <w:rPr>
          <w:spacing w:val="-4"/>
        </w:rPr>
        <w:t> </w:t>
      </w:r>
      <w:r>
        <w:rPr/>
        <w:t>fiscal</w:t>
      </w:r>
      <w:r>
        <w:rPr>
          <w:spacing w:val="-3"/>
        </w:rPr>
        <w:t> </w:t>
      </w:r>
      <w:r>
        <w:rPr/>
        <w:t>mostrará</w:t>
      </w:r>
      <w:r>
        <w:rPr>
          <w:spacing w:val="-3"/>
        </w:rPr>
        <w:t> </w:t>
      </w:r>
      <w:r>
        <w:rPr/>
        <w:t>un</w:t>
      </w:r>
      <w:r>
        <w:rPr>
          <w:spacing w:val="-4"/>
        </w:rPr>
        <w:t> </w:t>
      </w:r>
      <w:r>
        <w:rPr/>
        <w:t>comportamiento</w:t>
      </w:r>
      <w:r>
        <w:rPr>
          <w:spacing w:val="-4"/>
        </w:rPr>
        <w:t> </w:t>
      </w:r>
      <w:r>
        <w:rPr/>
        <w:t>decreciente,</w:t>
      </w:r>
      <w:r>
        <w:rPr>
          <w:spacing w:val="-4"/>
        </w:rPr>
        <w:t> </w:t>
      </w:r>
      <w:r>
        <w:rPr/>
        <w:t>pasando</w:t>
      </w:r>
      <w:r>
        <w:rPr>
          <w:spacing w:val="-3"/>
        </w:rPr>
        <w:t> </w:t>
      </w:r>
      <w:r>
        <w:rPr/>
        <w:t>de</w:t>
      </w:r>
      <w:r>
        <w:rPr>
          <w:spacing w:val="-3"/>
        </w:rPr>
        <w:t> </w:t>
      </w:r>
      <w:r>
        <w:rPr/>
        <w:t>un</w:t>
      </w:r>
      <w:r>
        <w:rPr>
          <w:spacing w:val="-4"/>
        </w:rPr>
        <w:t> </w:t>
      </w:r>
      <w:r>
        <w:rPr/>
        <w:t>déficit de 2.4% del PIB en 2022 a 0.2% del PIB en 2027, esto debido a que se continuará con las medidas de consolidación fiscal, mediante una reducción gradual del gasto público y se prevé que el nivel de carga</w:t>
      </w:r>
      <w:r>
        <w:rPr>
          <w:spacing w:val="-9"/>
        </w:rPr>
        <w:t> </w:t>
      </w:r>
      <w:r>
        <w:rPr/>
        <w:t>tributaria</w:t>
      </w:r>
      <w:r>
        <w:rPr>
          <w:spacing w:val="-8"/>
        </w:rPr>
        <w:t> </w:t>
      </w:r>
      <w:r>
        <w:rPr/>
        <w:t>podría</w:t>
      </w:r>
      <w:r>
        <w:rPr>
          <w:spacing w:val="-8"/>
        </w:rPr>
        <w:t> </w:t>
      </w:r>
      <w:r>
        <w:rPr/>
        <w:t>mantenerse</w:t>
      </w:r>
      <w:r>
        <w:rPr>
          <w:spacing w:val="-11"/>
        </w:rPr>
        <w:t> </w:t>
      </w:r>
      <w:r>
        <w:rPr/>
        <w:t>constante</w:t>
      </w:r>
      <w:r>
        <w:rPr>
          <w:spacing w:val="-9"/>
        </w:rPr>
        <w:t> </w:t>
      </w:r>
      <w:r>
        <w:rPr/>
        <w:t>de</w:t>
      </w:r>
      <w:r>
        <w:rPr>
          <w:spacing w:val="-8"/>
        </w:rPr>
        <w:t> </w:t>
      </w:r>
      <w:r>
        <w:rPr/>
        <w:t>11.7%</w:t>
      </w:r>
      <w:r>
        <w:rPr>
          <w:spacing w:val="-12"/>
        </w:rPr>
        <w:t> </w:t>
      </w:r>
      <w:r>
        <w:rPr/>
        <w:t>previsto</w:t>
      </w:r>
      <w:r>
        <w:rPr>
          <w:spacing w:val="-8"/>
        </w:rPr>
        <w:t> </w:t>
      </w:r>
      <w:r>
        <w:rPr/>
        <w:t>para</w:t>
      </w:r>
      <w:r>
        <w:rPr>
          <w:spacing w:val="-11"/>
        </w:rPr>
        <w:t> </w:t>
      </w:r>
      <w:r>
        <w:rPr/>
        <w:t>2022</w:t>
      </w:r>
      <w:r>
        <w:rPr>
          <w:spacing w:val="-11"/>
        </w:rPr>
        <w:t> </w:t>
      </w:r>
      <w:r>
        <w:rPr/>
        <w:t>a</w:t>
      </w:r>
      <w:r>
        <w:rPr>
          <w:spacing w:val="-8"/>
        </w:rPr>
        <w:t> </w:t>
      </w:r>
      <w:r>
        <w:rPr/>
        <w:t>11.6%</w:t>
      </w:r>
      <w:r>
        <w:rPr>
          <w:spacing w:val="-10"/>
        </w:rPr>
        <w:t> </w:t>
      </w:r>
      <w:r>
        <w:rPr/>
        <w:t>del</w:t>
      </w:r>
      <w:r>
        <w:rPr>
          <w:spacing w:val="-8"/>
        </w:rPr>
        <w:t> </w:t>
      </w:r>
      <w:r>
        <w:rPr/>
        <w:t>PIB</w:t>
      </w:r>
      <w:r>
        <w:rPr>
          <w:spacing w:val="-9"/>
        </w:rPr>
        <w:t> </w:t>
      </w:r>
      <w:r>
        <w:rPr/>
        <w:t>para</w:t>
      </w:r>
      <w:r>
        <w:rPr>
          <w:spacing w:val="-9"/>
        </w:rPr>
        <w:t> </w:t>
      </w:r>
      <w:r>
        <w:rPr/>
        <w:t>2027.</w:t>
      </w:r>
    </w:p>
    <w:p>
      <w:pPr>
        <w:pStyle w:val="BodyText"/>
        <w:spacing w:before="10"/>
        <w:rPr>
          <w:sz w:val="25"/>
        </w:rPr>
      </w:pPr>
    </w:p>
    <w:p>
      <w:pPr>
        <w:spacing w:before="0"/>
        <w:ind w:left="1395" w:right="2532" w:firstLine="0"/>
        <w:jc w:val="center"/>
        <w:rPr>
          <w:b/>
          <w:sz w:val="20"/>
        </w:rPr>
      </w:pPr>
      <w:bookmarkStart w:name="_bookmark223" w:id="290"/>
      <w:bookmarkEnd w:id="290"/>
      <w:r>
        <w:rPr/>
      </w:r>
      <w:r>
        <w:rPr>
          <w:b/>
          <w:i/>
          <w:sz w:val="20"/>
        </w:rPr>
        <w:t>Tabla 24. </w:t>
      </w:r>
      <w:r>
        <w:rPr>
          <w:b/>
          <w:sz w:val="20"/>
        </w:rPr>
        <w:t>Situación financiera estimada para Techos Presupuestarios 2023-2027*</w:t>
      </w:r>
    </w:p>
    <w:p>
      <w:pPr>
        <w:pStyle w:val="BodyText"/>
        <w:spacing w:before="28"/>
        <w:ind w:left="1395" w:right="2535"/>
        <w:jc w:val="center"/>
      </w:pPr>
      <w:r>
        <w:rPr/>
        <w:t>Porcentajes del PIB</w:t>
      </w:r>
    </w:p>
    <w:p>
      <w:pPr>
        <w:pStyle w:val="BodyText"/>
        <w:spacing w:before="2"/>
        <w:rPr>
          <w:sz w:val="6"/>
        </w:rPr>
      </w:pPr>
    </w:p>
    <w:tbl>
      <w:tblPr>
        <w:tblW w:w="0" w:type="auto"/>
        <w:jc w:val="left"/>
        <w:tblInd w:w="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47"/>
        <w:gridCol w:w="1189"/>
        <w:gridCol w:w="1016"/>
        <w:gridCol w:w="942"/>
        <w:gridCol w:w="863"/>
        <w:gridCol w:w="863"/>
        <w:gridCol w:w="863"/>
        <w:gridCol w:w="858"/>
      </w:tblGrid>
      <w:tr>
        <w:trPr>
          <w:trHeight w:val="156" w:hRule="atLeast"/>
        </w:trPr>
        <w:tc>
          <w:tcPr>
            <w:tcW w:w="2747" w:type="dxa"/>
            <w:vMerge w:val="restart"/>
            <w:tcBorders>
              <w:bottom w:val="single" w:sz="12" w:space="0" w:color="000000"/>
            </w:tcBorders>
            <w:shd w:val="clear" w:color="auto" w:fill="ECECEC"/>
          </w:tcPr>
          <w:p>
            <w:pPr>
              <w:pStyle w:val="TableParagraph"/>
              <w:spacing w:before="97"/>
              <w:ind w:left="1076" w:right="1062"/>
              <w:jc w:val="center"/>
              <w:rPr>
                <w:b/>
                <w:sz w:val="13"/>
              </w:rPr>
            </w:pPr>
            <w:r>
              <w:rPr>
                <w:b/>
                <w:w w:val="105"/>
                <w:sz w:val="13"/>
              </w:rPr>
              <w:t>Concepto</w:t>
            </w:r>
          </w:p>
        </w:tc>
        <w:tc>
          <w:tcPr>
            <w:tcW w:w="2205" w:type="dxa"/>
            <w:gridSpan w:val="2"/>
            <w:tcBorders>
              <w:right w:val="single" w:sz="12" w:space="0" w:color="000000"/>
            </w:tcBorders>
            <w:shd w:val="clear" w:color="auto" w:fill="E1EEDA"/>
          </w:tcPr>
          <w:p>
            <w:pPr>
              <w:pStyle w:val="TableParagraph"/>
              <w:spacing w:line="134" w:lineRule="exact" w:before="3"/>
              <w:ind w:left="950" w:right="918"/>
              <w:jc w:val="center"/>
              <w:rPr>
                <w:b/>
                <w:sz w:val="13"/>
              </w:rPr>
            </w:pPr>
            <w:r>
              <w:rPr>
                <w:b/>
                <w:w w:val="105"/>
                <w:sz w:val="13"/>
              </w:rPr>
              <w:t>2022</w:t>
            </w:r>
          </w:p>
        </w:tc>
        <w:tc>
          <w:tcPr>
            <w:tcW w:w="4389" w:type="dxa"/>
            <w:gridSpan w:val="5"/>
            <w:tcBorders>
              <w:left w:val="single" w:sz="12" w:space="0" w:color="000000"/>
              <w:right w:val="single" w:sz="12" w:space="0" w:color="000000"/>
            </w:tcBorders>
            <w:shd w:val="clear" w:color="auto" w:fill="DDEBF7"/>
          </w:tcPr>
          <w:p>
            <w:pPr>
              <w:pStyle w:val="TableParagraph"/>
              <w:spacing w:line="134" w:lineRule="exact" w:before="3"/>
              <w:ind w:left="1851" w:right="1822"/>
              <w:jc w:val="center"/>
              <w:rPr>
                <w:b/>
                <w:sz w:val="13"/>
              </w:rPr>
            </w:pPr>
            <w:r>
              <w:rPr>
                <w:b/>
                <w:w w:val="105"/>
                <w:sz w:val="13"/>
              </w:rPr>
              <w:t>Proyección</w:t>
            </w:r>
          </w:p>
        </w:tc>
      </w:tr>
      <w:tr>
        <w:trPr>
          <w:trHeight w:val="154" w:hRule="atLeast"/>
        </w:trPr>
        <w:tc>
          <w:tcPr>
            <w:tcW w:w="2747" w:type="dxa"/>
            <w:vMerge/>
            <w:tcBorders>
              <w:top w:val="nil"/>
              <w:bottom w:val="single" w:sz="12" w:space="0" w:color="000000"/>
            </w:tcBorders>
            <w:shd w:val="clear" w:color="auto" w:fill="ECECEC"/>
          </w:tcPr>
          <w:p>
            <w:pPr>
              <w:rPr>
                <w:sz w:val="2"/>
                <w:szCs w:val="2"/>
              </w:rPr>
            </w:pPr>
          </w:p>
        </w:tc>
        <w:tc>
          <w:tcPr>
            <w:tcW w:w="1189" w:type="dxa"/>
            <w:tcBorders>
              <w:bottom w:val="single" w:sz="12" w:space="0" w:color="000000"/>
            </w:tcBorders>
            <w:shd w:val="clear" w:color="auto" w:fill="E1EEDA"/>
          </w:tcPr>
          <w:p>
            <w:pPr>
              <w:pStyle w:val="TableParagraph"/>
              <w:spacing w:line="129" w:lineRule="exact" w:before="5"/>
              <w:ind w:left="216" w:right="204"/>
              <w:jc w:val="center"/>
              <w:rPr>
                <w:b/>
                <w:sz w:val="13"/>
              </w:rPr>
            </w:pPr>
            <w:r>
              <w:rPr>
                <w:b/>
                <w:w w:val="105"/>
                <w:sz w:val="13"/>
              </w:rPr>
              <w:t>Presupuesto</w:t>
            </w:r>
          </w:p>
        </w:tc>
        <w:tc>
          <w:tcPr>
            <w:tcW w:w="1016" w:type="dxa"/>
            <w:tcBorders>
              <w:bottom w:val="single" w:sz="12" w:space="0" w:color="000000"/>
              <w:right w:val="single" w:sz="12" w:space="0" w:color="000000"/>
            </w:tcBorders>
            <w:shd w:val="clear" w:color="auto" w:fill="E1EEDA"/>
          </w:tcPr>
          <w:p>
            <w:pPr>
              <w:pStyle w:val="TableParagraph"/>
              <w:spacing w:line="129" w:lineRule="exact" w:before="5"/>
              <w:ind w:left="161" w:right="139"/>
              <w:jc w:val="center"/>
              <w:rPr>
                <w:b/>
                <w:sz w:val="13"/>
              </w:rPr>
            </w:pPr>
            <w:r>
              <w:rPr>
                <w:b/>
                <w:w w:val="105"/>
                <w:sz w:val="13"/>
              </w:rPr>
              <w:t>Estimación</w:t>
            </w:r>
          </w:p>
        </w:tc>
        <w:tc>
          <w:tcPr>
            <w:tcW w:w="942" w:type="dxa"/>
            <w:tcBorders>
              <w:left w:val="single" w:sz="12" w:space="0" w:color="000000"/>
              <w:bottom w:val="single" w:sz="12" w:space="0" w:color="000000"/>
            </w:tcBorders>
            <w:shd w:val="clear" w:color="auto" w:fill="DDEBF7"/>
          </w:tcPr>
          <w:p>
            <w:pPr>
              <w:pStyle w:val="TableParagraph"/>
              <w:spacing w:line="129" w:lineRule="exact" w:before="5"/>
              <w:ind w:left="315"/>
              <w:rPr>
                <w:b/>
                <w:sz w:val="13"/>
              </w:rPr>
            </w:pPr>
            <w:r>
              <w:rPr>
                <w:b/>
                <w:w w:val="105"/>
                <w:sz w:val="13"/>
              </w:rPr>
              <w:t>2023</w:t>
            </w:r>
          </w:p>
        </w:tc>
        <w:tc>
          <w:tcPr>
            <w:tcW w:w="863" w:type="dxa"/>
            <w:tcBorders>
              <w:bottom w:val="single" w:sz="12" w:space="0" w:color="000000"/>
            </w:tcBorders>
            <w:shd w:val="clear" w:color="auto" w:fill="DDEBF7"/>
          </w:tcPr>
          <w:p>
            <w:pPr>
              <w:pStyle w:val="TableParagraph"/>
              <w:spacing w:line="129" w:lineRule="exact" w:before="5"/>
              <w:ind w:left="271" w:right="253"/>
              <w:jc w:val="center"/>
              <w:rPr>
                <w:b/>
                <w:sz w:val="13"/>
              </w:rPr>
            </w:pPr>
            <w:r>
              <w:rPr>
                <w:b/>
                <w:w w:val="105"/>
                <w:sz w:val="13"/>
              </w:rPr>
              <w:t>2024</w:t>
            </w:r>
          </w:p>
        </w:tc>
        <w:tc>
          <w:tcPr>
            <w:tcW w:w="863" w:type="dxa"/>
            <w:tcBorders>
              <w:bottom w:val="single" w:sz="12" w:space="0" w:color="000000"/>
            </w:tcBorders>
            <w:shd w:val="clear" w:color="auto" w:fill="DDEBF7"/>
          </w:tcPr>
          <w:p>
            <w:pPr>
              <w:pStyle w:val="TableParagraph"/>
              <w:spacing w:line="129" w:lineRule="exact" w:before="5"/>
              <w:ind w:left="271" w:right="254"/>
              <w:jc w:val="center"/>
              <w:rPr>
                <w:b/>
                <w:sz w:val="13"/>
              </w:rPr>
            </w:pPr>
            <w:r>
              <w:rPr>
                <w:b/>
                <w:w w:val="105"/>
                <w:sz w:val="13"/>
              </w:rPr>
              <w:t>2025</w:t>
            </w:r>
          </w:p>
        </w:tc>
        <w:tc>
          <w:tcPr>
            <w:tcW w:w="863" w:type="dxa"/>
            <w:tcBorders>
              <w:bottom w:val="single" w:sz="12" w:space="0" w:color="000000"/>
            </w:tcBorders>
            <w:shd w:val="clear" w:color="auto" w:fill="DDEBF7"/>
          </w:tcPr>
          <w:p>
            <w:pPr>
              <w:pStyle w:val="TableParagraph"/>
              <w:spacing w:line="129" w:lineRule="exact" w:before="5"/>
              <w:ind w:left="271" w:right="254"/>
              <w:jc w:val="center"/>
              <w:rPr>
                <w:b/>
                <w:sz w:val="13"/>
              </w:rPr>
            </w:pPr>
            <w:r>
              <w:rPr>
                <w:b/>
                <w:w w:val="105"/>
                <w:sz w:val="13"/>
              </w:rPr>
              <w:t>2026</w:t>
            </w:r>
          </w:p>
        </w:tc>
        <w:tc>
          <w:tcPr>
            <w:tcW w:w="858" w:type="dxa"/>
            <w:tcBorders>
              <w:bottom w:val="single" w:sz="12" w:space="0" w:color="000000"/>
              <w:right w:val="single" w:sz="12" w:space="0" w:color="000000"/>
            </w:tcBorders>
            <w:shd w:val="clear" w:color="auto" w:fill="DDEBF7"/>
          </w:tcPr>
          <w:p>
            <w:pPr>
              <w:pStyle w:val="TableParagraph"/>
              <w:spacing w:line="129" w:lineRule="exact" w:before="5"/>
              <w:ind w:left="270" w:right="241"/>
              <w:jc w:val="center"/>
              <w:rPr>
                <w:b/>
                <w:sz w:val="13"/>
              </w:rPr>
            </w:pPr>
            <w:r>
              <w:rPr>
                <w:b/>
                <w:w w:val="105"/>
                <w:sz w:val="13"/>
              </w:rPr>
              <w:t>2027</w:t>
            </w:r>
          </w:p>
        </w:tc>
      </w:tr>
      <w:tr>
        <w:trPr>
          <w:trHeight w:val="245" w:hRule="atLeast"/>
        </w:trPr>
        <w:tc>
          <w:tcPr>
            <w:tcW w:w="2747" w:type="dxa"/>
            <w:tcBorders>
              <w:top w:val="single" w:sz="12" w:space="0" w:color="000000"/>
            </w:tcBorders>
          </w:tcPr>
          <w:p>
            <w:pPr>
              <w:pStyle w:val="TableParagraph"/>
              <w:spacing w:line="131" w:lineRule="exact" w:before="95"/>
              <w:ind w:left="24"/>
              <w:rPr>
                <w:b/>
                <w:sz w:val="13"/>
              </w:rPr>
            </w:pPr>
            <w:r>
              <w:rPr>
                <w:b/>
                <w:w w:val="105"/>
                <w:sz w:val="13"/>
              </w:rPr>
              <w:t>Ingresos Totales</w:t>
            </w:r>
          </w:p>
        </w:tc>
        <w:tc>
          <w:tcPr>
            <w:tcW w:w="1189" w:type="dxa"/>
            <w:tcBorders>
              <w:top w:val="single" w:sz="12" w:space="0" w:color="000000"/>
            </w:tcBorders>
            <w:shd w:val="clear" w:color="auto" w:fill="E1EEDA"/>
          </w:tcPr>
          <w:p>
            <w:pPr>
              <w:pStyle w:val="TableParagraph"/>
              <w:spacing w:line="131" w:lineRule="exact" w:before="95"/>
              <w:ind w:left="207" w:right="204"/>
              <w:jc w:val="center"/>
              <w:rPr>
                <w:b/>
                <w:sz w:val="13"/>
              </w:rPr>
            </w:pPr>
            <w:r>
              <w:rPr>
                <w:b/>
                <w:w w:val="105"/>
                <w:sz w:val="13"/>
              </w:rPr>
              <w:t>11.5</w:t>
            </w:r>
          </w:p>
        </w:tc>
        <w:tc>
          <w:tcPr>
            <w:tcW w:w="1016" w:type="dxa"/>
            <w:tcBorders>
              <w:top w:val="single" w:sz="12" w:space="0" w:color="000000"/>
              <w:right w:val="single" w:sz="12" w:space="0" w:color="000000"/>
            </w:tcBorders>
            <w:shd w:val="clear" w:color="auto" w:fill="E1EEDA"/>
          </w:tcPr>
          <w:p>
            <w:pPr>
              <w:pStyle w:val="TableParagraph"/>
              <w:spacing w:line="131" w:lineRule="exact" w:before="95"/>
              <w:ind w:left="116" w:right="139"/>
              <w:jc w:val="center"/>
              <w:rPr>
                <w:b/>
                <w:sz w:val="13"/>
              </w:rPr>
            </w:pPr>
            <w:r>
              <w:rPr>
                <w:b/>
                <w:w w:val="105"/>
                <w:sz w:val="13"/>
              </w:rPr>
              <w:t>12.3</w:t>
            </w:r>
          </w:p>
        </w:tc>
        <w:tc>
          <w:tcPr>
            <w:tcW w:w="942" w:type="dxa"/>
            <w:tcBorders>
              <w:top w:val="single" w:sz="12" w:space="0" w:color="000000"/>
              <w:left w:val="single" w:sz="12" w:space="0" w:color="000000"/>
            </w:tcBorders>
            <w:shd w:val="clear" w:color="auto" w:fill="DDEBF7"/>
          </w:tcPr>
          <w:p>
            <w:pPr>
              <w:pStyle w:val="TableParagraph"/>
              <w:spacing w:line="131" w:lineRule="exact" w:before="95"/>
              <w:ind w:left="315"/>
              <w:rPr>
                <w:b/>
                <w:sz w:val="13"/>
              </w:rPr>
            </w:pPr>
            <w:r>
              <w:rPr>
                <w:b/>
                <w:w w:val="105"/>
                <w:sz w:val="13"/>
              </w:rPr>
              <w:t>11.8</w:t>
            </w:r>
          </w:p>
        </w:tc>
        <w:tc>
          <w:tcPr>
            <w:tcW w:w="863" w:type="dxa"/>
            <w:tcBorders>
              <w:top w:val="single" w:sz="12" w:space="0" w:color="000000"/>
            </w:tcBorders>
            <w:shd w:val="clear" w:color="auto" w:fill="DDEBF7"/>
          </w:tcPr>
          <w:p>
            <w:pPr>
              <w:pStyle w:val="TableParagraph"/>
              <w:spacing w:line="131" w:lineRule="exact" w:before="95"/>
              <w:ind w:left="231" w:right="258"/>
              <w:jc w:val="center"/>
              <w:rPr>
                <w:b/>
                <w:sz w:val="13"/>
              </w:rPr>
            </w:pPr>
            <w:r>
              <w:rPr>
                <w:b/>
                <w:w w:val="105"/>
                <w:sz w:val="13"/>
              </w:rPr>
              <w:t>12.2</w:t>
            </w:r>
          </w:p>
        </w:tc>
        <w:tc>
          <w:tcPr>
            <w:tcW w:w="863" w:type="dxa"/>
            <w:tcBorders>
              <w:top w:val="single" w:sz="12" w:space="0" w:color="000000"/>
            </w:tcBorders>
            <w:shd w:val="clear" w:color="auto" w:fill="DDEBF7"/>
          </w:tcPr>
          <w:p>
            <w:pPr>
              <w:pStyle w:val="TableParagraph"/>
              <w:spacing w:line="131" w:lineRule="exact" w:before="95"/>
              <w:ind w:left="231" w:right="258"/>
              <w:jc w:val="center"/>
              <w:rPr>
                <w:b/>
                <w:sz w:val="13"/>
              </w:rPr>
            </w:pPr>
            <w:r>
              <w:rPr>
                <w:b/>
                <w:w w:val="105"/>
                <w:sz w:val="13"/>
              </w:rPr>
              <w:t>12.2</w:t>
            </w:r>
          </w:p>
        </w:tc>
        <w:tc>
          <w:tcPr>
            <w:tcW w:w="863" w:type="dxa"/>
            <w:tcBorders>
              <w:top w:val="single" w:sz="12" w:space="0" w:color="000000"/>
            </w:tcBorders>
            <w:shd w:val="clear" w:color="auto" w:fill="DDEBF7"/>
          </w:tcPr>
          <w:p>
            <w:pPr>
              <w:pStyle w:val="TableParagraph"/>
              <w:spacing w:line="131" w:lineRule="exact" w:before="95"/>
              <w:ind w:left="231" w:right="258"/>
              <w:jc w:val="center"/>
              <w:rPr>
                <w:b/>
                <w:sz w:val="13"/>
              </w:rPr>
            </w:pPr>
            <w:r>
              <w:rPr>
                <w:b/>
                <w:w w:val="105"/>
                <w:sz w:val="13"/>
              </w:rPr>
              <w:t>12.2</w:t>
            </w:r>
          </w:p>
        </w:tc>
        <w:tc>
          <w:tcPr>
            <w:tcW w:w="858" w:type="dxa"/>
            <w:tcBorders>
              <w:top w:val="single" w:sz="12" w:space="0" w:color="000000"/>
              <w:right w:val="single" w:sz="12" w:space="0" w:color="000000"/>
            </w:tcBorders>
            <w:shd w:val="clear" w:color="auto" w:fill="DDEBF7"/>
          </w:tcPr>
          <w:p>
            <w:pPr>
              <w:pStyle w:val="TableParagraph"/>
              <w:spacing w:line="131" w:lineRule="exact" w:before="95"/>
              <w:ind w:left="231" w:right="246"/>
              <w:jc w:val="center"/>
              <w:rPr>
                <w:b/>
                <w:sz w:val="13"/>
              </w:rPr>
            </w:pPr>
            <w:r>
              <w:rPr>
                <w:b/>
                <w:w w:val="105"/>
                <w:sz w:val="13"/>
              </w:rPr>
              <w:t>12.2</w:t>
            </w:r>
          </w:p>
        </w:tc>
      </w:tr>
      <w:tr>
        <w:trPr>
          <w:trHeight w:val="164" w:hRule="atLeast"/>
        </w:trPr>
        <w:tc>
          <w:tcPr>
            <w:tcW w:w="2747" w:type="dxa"/>
          </w:tcPr>
          <w:p>
            <w:pPr>
              <w:pStyle w:val="TableParagraph"/>
              <w:spacing w:line="131" w:lineRule="exact" w:before="13"/>
              <w:ind w:left="118"/>
              <w:rPr>
                <w:sz w:val="13"/>
              </w:rPr>
            </w:pPr>
            <w:r>
              <w:rPr>
                <w:w w:val="105"/>
                <w:sz w:val="13"/>
              </w:rPr>
              <w:t>Ingresos Corrientes</w:t>
            </w:r>
          </w:p>
        </w:tc>
        <w:tc>
          <w:tcPr>
            <w:tcW w:w="1189" w:type="dxa"/>
            <w:shd w:val="clear" w:color="auto" w:fill="E1EEDA"/>
          </w:tcPr>
          <w:p>
            <w:pPr>
              <w:pStyle w:val="TableParagraph"/>
              <w:spacing w:line="131" w:lineRule="exact" w:before="13"/>
              <w:ind w:left="216" w:right="192"/>
              <w:jc w:val="center"/>
              <w:rPr>
                <w:sz w:val="13"/>
              </w:rPr>
            </w:pPr>
            <w:r>
              <w:rPr>
                <w:w w:val="105"/>
                <w:sz w:val="13"/>
              </w:rPr>
              <w:t>11.5</w:t>
            </w:r>
          </w:p>
        </w:tc>
        <w:tc>
          <w:tcPr>
            <w:tcW w:w="1016" w:type="dxa"/>
            <w:tcBorders>
              <w:right w:val="single" w:sz="12" w:space="0" w:color="000000"/>
            </w:tcBorders>
            <w:shd w:val="clear" w:color="auto" w:fill="E1EEDA"/>
          </w:tcPr>
          <w:p>
            <w:pPr>
              <w:pStyle w:val="TableParagraph"/>
              <w:spacing w:line="131" w:lineRule="exact" w:before="13"/>
              <w:ind w:left="137" w:right="139"/>
              <w:jc w:val="center"/>
              <w:rPr>
                <w:sz w:val="13"/>
              </w:rPr>
            </w:pPr>
            <w:r>
              <w:rPr>
                <w:w w:val="105"/>
                <w:sz w:val="13"/>
              </w:rPr>
              <w:t>12.3</w:t>
            </w:r>
          </w:p>
        </w:tc>
        <w:tc>
          <w:tcPr>
            <w:tcW w:w="942" w:type="dxa"/>
            <w:tcBorders>
              <w:left w:val="single" w:sz="12" w:space="0" w:color="000000"/>
            </w:tcBorders>
            <w:shd w:val="clear" w:color="auto" w:fill="DDEBF7"/>
          </w:tcPr>
          <w:p>
            <w:pPr>
              <w:pStyle w:val="TableParagraph"/>
              <w:spacing w:line="131" w:lineRule="exact" w:before="13"/>
              <w:ind w:left="336"/>
              <w:rPr>
                <w:sz w:val="13"/>
              </w:rPr>
            </w:pPr>
            <w:r>
              <w:rPr>
                <w:w w:val="105"/>
                <w:sz w:val="13"/>
              </w:rPr>
              <w:t>11.8</w:t>
            </w:r>
          </w:p>
        </w:tc>
        <w:tc>
          <w:tcPr>
            <w:tcW w:w="863" w:type="dxa"/>
            <w:shd w:val="clear" w:color="auto" w:fill="DDEBF7"/>
          </w:tcPr>
          <w:p>
            <w:pPr>
              <w:pStyle w:val="TableParagraph"/>
              <w:spacing w:line="131" w:lineRule="exact" w:before="13"/>
              <w:ind w:left="232" w:right="258"/>
              <w:jc w:val="center"/>
              <w:rPr>
                <w:sz w:val="13"/>
              </w:rPr>
            </w:pPr>
            <w:r>
              <w:rPr>
                <w:w w:val="105"/>
                <w:sz w:val="13"/>
              </w:rPr>
              <w:t>12.2</w:t>
            </w:r>
          </w:p>
        </w:tc>
        <w:tc>
          <w:tcPr>
            <w:tcW w:w="863" w:type="dxa"/>
            <w:shd w:val="clear" w:color="auto" w:fill="DDEBF7"/>
          </w:tcPr>
          <w:p>
            <w:pPr>
              <w:pStyle w:val="TableParagraph"/>
              <w:spacing w:line="131" w:lineRule="exact" w:before="13"/>
              <w:ind w:left="231" w:right="258"/>
              <w:jc w:val="center"/>
              <w:rPr>
                <w:sz w:val="13"/>
              </w:rPr>
            </w:pPr>
            <w:r>
              <w:rPr>
                <w:w w:val="105"/>
                <w:sz w:val="13"/>
              </w:rPr>
              <w:t>12.2</w:t>
            </w:r>
          </w:p>
        </w:tc>
        <w:tc>
          <w:tcPr>
            <w:tcW w:w="863" w:type="dxa"/>
            <w:shd w:val="clear" w:color="auto" w:fill="DDEBF7"/>
          </w:tcPr>
          <w:p>
            <w:pPr>
              <w:pStyle w:val="TableParagraph"/>
              <w:spacing w:line="131" w:lineRule="exact" w:before="13"/>
              <w:ind w:left="231" w:right="258"/>
              <w:jc w:val="center"/>
              <w:rPr>
                <w:sz w:val="13"/>
              </w:rPr>
            </w:pPr>
            <w:r>
              <w:rPr>
                <w:w w:val="105"/>
                <w:sz w:val="13"/>
              </w:rPr>
              <w:t>12.2</w:t>
            </w:r>
          </w:p>
        </w:tc>
        <w:tc>
          <w:tcPr>
            <w:tcW w:w="858" w:type="dxa"/>
            <w:tcBorders>
              <w:right w:val="single" w:sz="12" w:space="0" w:color="000000"/>
            </w:tcBorders>
            <w:shd w:val="clear" w:color="auto" w:fill="DDEBF7"/>
          </w:tcPr>
          <w:p>
            <w:pPr>
              <w:pStyle w:val="TableParagraph"/>
              <w:spacing w:line="131" w:lineRule="exact" w:before="13"/>
              <w:ind w:left="231" w:right="246"/>
              <w:jc w:val="center"/>
              <w:rPr>
                <w:sz w:val="13"/>
              </w:rPr>
            </w:pPr>
            <w:r>
              <w:rPr>
                <w:w w:val="105"/>
                <w:sz w:val="13"/>
              </w:rPr>
              <w:t>12.2</w:t>
            </w:r>
          </w:p>
        </w:tc>
      </w:tr>
      <w:tr>
        <w:trPr>
          <w:trHeight w:val="163" w:hRule="atLeast"/>
        </w:trPr>
        <w:tc>
          <w:tcPr>
            <w:tcW w:w="2747" w:type="dxa"/>
          </w:tcPr>
          <w:p>
            <w:pPr>
              <w:pStyle w:val="TableParagraph"/>
              <w:spacing w:line="131" w:lineRule="exact" w:before="13"/>
              <w:ind w:left="213"/>
              <w:rPr>
                <w:sz w:val="13"/>
              </w:rPr>
            </w:pPr>
            <w:r>
              <w:rPr>
                <w:w w:val="105"/>
                <w:sz w:val="13"/>
              </w:rPr>
              <w:t>Tributarios</w:t>
            </w:r>
          </w:p>
        </w:tc>
        <w:tc>
          <w:tcPr>
            <w:tcW w:w="1189" w:type="dxa"/>
            <w:shd w:val="clear" w:color="auto" w:fill="E1EEDA"/>
          </w:tcPr>
          <w:p>
            <w:pPr>
              <w:pStyle w:val="TableParagraph"/>
              <w:spacing w:line="131" w:lineRule="exact" w:before="13"/>
              <w:ind w:left="216" w:right="192"/>
              <w:jc w:val="center"/>
              <w:rPr>
                <w:sz w:val="13"/>
              </w:rPr>
            </w:pPr>
            <w:r>
              <w:rPr>
                <w:w w:val="105"/>
                <w:sz w:val="13"/>
              </w:rPr>
              <w:t>10.8</w:t>
            </w:r>
          </w:p>
        </w:tc>
        <w:tc>
          <w:tcPr>
            <w:tcW w:w="1016" w:type="dxa"/>
            <w:tcBorders>
              <w:right w:val="single" w:sz="12" w:space="0" w:color="000000"/>
            </w:tcBorders>
            <w:shd w:val="clear" w:color="auto" w:fill="E1EEDA"/>
          </w:tcPr>
          <w:p>
            <w:pPr>
              <w:pStyle w:val="TableParagraph"/>
              <w:spacing w:line="131" w:lineRule="exact" w:before="13"/>
              <w:ind w:left="137" w:right="139"/>
              <w:jc w:val="center"/>
              <w:rPr>
                <w:sz w:val="13"/>
              </w:rPr>
            </w:pPr>
            <w:r>
              <w:rPr>
                <w:w w:val="105"/>
                <w:sz w:val="13"/>
              </w:rPr>
              <w:t>11.7</w:t>
            </w:r>
          </w:p>
        </w:tc>
        <w:tc>
          <w:tcPr>
            <w:tcW w:w="942" w:type="dxa"/>
            <w:tcBorders>
              <w:left w:val="single" w:sz="12" w:space="0" w:color="000000"/>
            </w:tcBorders>
            <w:shd w:val="clear" w:color="auto" w:fill="DDEBF7"/>
          </w:tcPr>
          <w:p>
            <w:pPr>
              <w:pStyle w:val="TableParagraph"/>
              <w:spacing w:line="131" w:lineRule="exact" w:before="13"/>
              <w:ind w:left="336"/>
              <w:rPr>
                <w:sz w:val="13"/>
              </w:rPr>
            </w:pPr>
            <w:r>
              <w:rPr>
                <w:w w:val="105"/>
                <w:sz w:val="13"/>
              </w:rPr>
              <w:t>11.2</w:t>
            </w:r>
          </w:p>
        </w:tc>
        <w:tc>
          <w:tcPr>
            <w:tcW w:w="863" w:type="dxa"/>
            <w:shd w:val="clear" w:color="auto" w:fill="DDEBF7"/>
          </w:tcPr>
          <w:p>
            <w:pPr>
              <w:pStyle w:val="TableParagraph"/>
              <w:spacing w:line="131" w:lineRule="exact" w:before="13"/>
              <w:ind w:left="232" w:right="258"/>
              <w:jc w:val="center"/>
              <w:rPr>
                <w:sz w:val="13"/>
              </w:rPr>
            </w:pPr>
            <w:r>
              <w:rPr>
                <w:w w:val="105"/>
                <w:sz w:val="13"/>
              </w:rPr>
              <w:t>11.6</w:t>
            </w:r>
          </w:p>
        </w:tc>
        <w:tc>
          <w:tcPr>
            <w:tcW w:w="863" w:type="dxa"/>
            <w:shd w:val="clear" w:color="auto" w:fill="DDEBF7"/>
          </w:tcPr>
          <w:p>
            <w:pPr>
              <w:pStyle w:val="TableParagraph"/>
              <w:spacing w:line="131" w:lineRule="exact" w:before="13"/>
              <w:ind w:left="231" w:right="258"/>
              <w:jc w:val="center"/>
              <w:rPr>
                <w:sz w:val="13"/>
              </w:rPr>
            </w:pPr>
            <w:r>
              <w:rPr>
                <w:w w:val="105"/>
                <w:sz w:val="13"/>
              </w:rPr>
              <w:t>11.6</w:t>
            </w:r>
          </w:p>
        </w:tc>
        <w:tc>
          <w:tcPr>
            <w:tcW w:w="863" w:type="dxa"/>
            <w:shd w:val="clear" w:color="auto" w:fill="DDEBF7"/>
          </w:tcPr>
          <w:p>
            <w:pPr>
              <w:pStyle w:val="TableParagraph"/>
              <w:spacing w:line="131" w:lineRule="exact" w:before="13"/>
              <w:ind w:left="231" w:right="258"/>
              <w:jc w:val="center"/>
              <w:rPr>
                <w:sz w:val="13"/>
              </w:rPr>
            </w:pPr>
            <w:r>
              <w:rPr>
                <w:w w:val="105"/>
                <w:sz w:val="13"/>
              </w:rPr>
              <w:t>11.6</w:t>
            </w:r>
          </w:p>
        </w:tc>
        <w:tc>
          <w:tcPr>
            <w:tcW w:w="858" w:type="dxa"/>
            <w:tcBorders>
              <w:right w:val="single" w:sz="12" w:space="0" w:color="000000"/>
            </w:tcBorders>
            <w:shd w:val="clear" w:color="auto" w:fill="DDEBF7"/>
          </w:tcPr>
          <w:p>
            <w:pPr>
              <w:pStyle w:val="TableParagraph"/>
              <w:spacing w:line="131" w:lineRule="exact" w:before="13"/>
              <w:ind w:left="231" w:right="246"/>
              <w:jc w:val="center"/>
              <w:rPr>
                <w:sz w:val="13"/>
              </w:rPr>
            </w:pPr>
            <w:r>
              <w:rPr>
                <w:w w:val="105"/>
                <w:sz w:val="13"/>
              </w:rPr>
              <w:t>11.6</w:t>
            </w:r>
          </w:p>
        </w:tc>
      </w:tr>
      <w:tr>
        <w:trPr>
          <w:trHeight w:val="163" w:hRule="atLeast"/>
        </w:trPr>
        <w:tc>
          <w:tcPr>
            <w:tcW w:w="2747" w:type="dxa"/>
          </w:tcPr>
          <w:p>
            <w:pPr>
              <w:pStyle w:val="TableParagraph"/>
              <w:spacing w:line="131" w:lineRule="exact" w:before="13"/>
              <w:ind w:left="213"/>
              <w:rPr>
                <w:sz w:val="13"/>
              </w:rPr>
            </w:pPr>
            <w:r>
              <w:rPr>
                <w:w w:val="105"/>
                <w:sz w:val="13"/>
              </w:rPr>
              <w:t>No Tributarios y Donaciones</w:t>
            </w:r>
          </w:p>
        </w:tc>
        <w:tc>
          <w:tcPr>
            <w:tcW w:w="1189" w:type="dxa"/>
            <w:shd w:val="clear" w:color="auto" w:fill="E1EEDA"/>
          </w:tcPr>
          <w:p>
            <w:pPr>
              <w:pStyle w:val="TableParagraph"/>
              <w:spacing w:line="131" w:lineRule="exact" w:before="13"/>
              <w:ind w:left="216" w:right="192"/>
              <w:jc w:val="center"/>
              <w:rPr>
                <w:sz w:val="13"/>
              </w:rPr>
            </w:pPr>
            <w:r>
              <w:rPr>
                <w:w w:val="105"/>
                <w:sz w:val="13"/>
              </w:rPr>
              <w:t>0.7</w:t>
            </w:r>
          </w:p>
        </w:tc>
        <w:tc>
          <w:tcPr>
            <w:tcW w:w="1016" w:type="dxa"/>
            <w:tcBorders>
              <w:right w:val="single" w:sz="12" w:space="0" w:color="000000"/>
            </w:tcBorders>
            <w:shd w:val="clear" w:color="auto" w:fill="E1EEDA"/>
          </w:tcPr>
          <w:p>
            <w:pPr>
              <w:pStyle w:val="TableParagraph"/>
              <w:spacing w:line="131" w:lineRule="exact" w:before="13"/>
              <w:ind w:left="137" w:right="139"/>
              <w:jc w:val="center"/>
              <w:rPr>
                <w:sz w:val="13"/>
              </w:rPr>
            </w:pPr>
            <w:r>
              <w:rPr>
                <w:w w:val="105"/>
                <w:sz w:val="13"/>
              </w:rPr>
              <w:t>0.6</w:t>
            </w:r>
          </w:p>
        </w:tc>
        <w:tc>
          <w:tcPr>
            <w:tcW w:w="942" w:type="dxa"/>
            <w:tcBorders>
              <w:left w:val="single" w:sz="12" w:space="0" w:color="000000"/>
            </w:tcBorders>
            <w:shd w:val="clear" w:color="auto" w:fill="DDEBF7"/>
          </w:tcPr>
          <w:p>
            <w:pPr>
              <w:pStyle w:val="TableParagraph"/>
              <w:spacing w:line="131" w:lineRule="exact" w:before="13"/>
              <w:ind w:left="367"/>
              <w:rPr>
                <w:sz w:val="13"/>
              </w:rPr>
            </w:pPr>
            <w:r>
              <w:rPr>
                <w:w w:val="105"/>
                <w:sz w:val="13"/>
              </w:rPr>
              <w:t>0.6</w:t>
            </w:r>
          </w:p>
        </w:tc>
        <w:tc>
          <w:tcPr>
            <w:tcW w:w="863" w:type="dxa"/>
            <w:shd w:val="clear" w:color="auto" w:fill="DDEBF7"/>
          </w:tcPr>
          <w:p>
            <w:pPr>
              <w:pStyle w:val="TableParagraph"/>
              <w:spacing w:line="131" w:lineRule="exact" w:before="13"/>
              <w:ind w:left="232" w:right="258"/>
              <w:jc w:val="center"/>
              <w:rPr>
                <w:sz w:val="13"/>
              </w:rPr>
            </w:pPr>
            <w:r>
              <w:rPr>
                <w:w w:val="105"/>
                <w:sz w:val="13"/>
              </w:rPr>
              <w:t>0.6</w:t>
            </w:r>
          </w:p>
        </w:tc>
        <w:tc>
          <w:tcPr>
            <w:tcW w:w="863" w:type="dxa"/>
            <w:shd w:val="clear" w:color="auto" w:fill="DDEBF7"/>
          </w:tcPr>
          <w:p>
            <w:pPr>
              <w:pStyle w:val="TableParagraph"/>
              <w:spacing w:line="131" w:lineRule="exact" w:before="13"/>
              <w:ind w:left="231" w:right="258"/>
              <w:jc w:val="center"/>
              <w:rPr>
                <w:sz w:val="13"/>
              </w:rPr>
            </w:pPr>
            <w:r>
              <w:rPr>
                <w:w w:val="105"/>
                <w:sz w:val="13"/>
              </w:rPr>
              <w:t>0.6</w:t>
            </w:r>
          </w:p>
        </w:tc>
        <w:tc>
          <w:tcPr>
            <w:tcW w:w="863" w:type="dxa"/>
            <w:shd w:val="clear" w:color="auto" w:fill="DDEBF7"/>
          </w:tcPr>
          <w:p>
            <w:pPr>
              <w:pStyle w:val="TableParagraph"/>
              <w:spacing w:line="131" w:lineRule="exact" w:before="13"/>
              <w:ind w:left="231" w:right="258"/>
              <w:jc w:val="center"/>
              <w:rPr>
                <w:sz w:val="13"/>
              </w:rPr>
            </w:pPr>
            <w:r>
              <w:rPr>
                <w:w w:val="105"/>
                <w:sz w:val="13"/>
              </w:rPr>
              <w:t>0.6</w:t>
            </w:r>
          </w:p>
        </w:tc>
        <w:tc>
          <w:tcPr>
            <w:tcW w:w="858" w:type="dxa"/>
            <w:tcBorders>
              <w:right w:val="single" w:sz="12" w:space="0" w:color="000000"/>
            </w:tcBorders>
            <w:shd w:val="clear" w:color="auto" w:fill="DDEBF7"/>
          </w:tcPr>
          <w:p>
            <w:pPr>
              <w:pStyle w:val="TableParagraph"/>
              <w:spacing w:line="131" w:lineRule="exact" w:before="13"/>
              <w:ind w:left="231" w:right="246"/>
              <w:jc w:val="center"/>
              <w:rPr>
                <w:sz w:val="13"/>
              </w:rPr>
            </w:pPr>
            <w:r>
              <w:rPr>
                <w:w w:val="105"/>
                <w:sz w:val="13"/>
              </w:rPr>
              <w:t>0.6</w:t>
            </w:r>
          </w:p>
        </w:tc>
      </w:tr>
      <w:tr>
        <w:trPr>
          <w:trHeight w:val="164" w:hRule="atLeast"/>
        </w:trPr>
        <w:tc>
          <w:tcPr>
            <w:tcW w:w="2747" w:type="dxa"/>
          </w:tcPr>
          <w:p>
            <w:pPr>
              <w:pStyle w:val="TableParagraph"/>
              <w:spacing w:line="131" w:lineRule="exact" w:before="13"/>
              <w:ind w:left="118"/>
              <w:rPr>
                <w:sz w:val="13"/>
              </w:rPr>
            </w:pPr>
            <w:r>
              <w:rPr>
                <w:w w:val="105"/>
                <w:sz w:val="13"/>
              </w:rPr>
              <w:t>Ingresos de Capital</w:t>
            </w:r>
          </w:p>
        </w:tc>
        <w:tc>
          <w:tcPr>
            <w:tcW w:w="1189" w:type="dxa"/>
            <w:shd w:val="clear" w:color="auto" w:fill="E1EEDA"/>
          </w:tcPr>
          <w:p>
            <w:pPr>
              <w:pStyle w:val="TableParagraph"/>
              <w:spacing w:line="131" w:lineRule="exact" w:before="13"/>
              <w:ind w:left="216" w:right="192"/>
              <w:jc w:val="center"/>
              <w:rPr>
                <w:sz w:val="13"/>
              </w:rPr>
            </w:pPr>
            <w:r>
              <w:rPr>
                <w:w w:val="105"/>
                <w:sz w:val="13"/>
              </w:rPr>
              <w:t>0.0</w:t>
            </w:r>
          </w:p>
        </w:tc>
        <w:tc>
          <w:tcPr>
            <w:tcW w:w="1016" w:type="dxa"/>
            <w:tcBorders>
              <w:right w:val="single" w:sz="12" w:space="0" w:color="000000"/>
            </w:tcBorders>
            <w:shd w:val="clear" w:color="auto" w:fill="E1EEDA"/>
          </w:tcPr>
          <w:p>
            <w:pPr>
              <w:pStyle w:val="TableParagraph"/>
              <w:spacing w:line="131" w:lineRule="exact" w:before="13"/>
              <w:ind w:left="137" w:right="139"/>
              <w:jc w:val="center"/>
              <w:rPr>
                <w:sz w:val="13"/>
              </w:rPr>
            </w:pPr>
            <w:r>
              <w:rPr>
                <w:w w:val="105"/>
                <w:sz w:val="13"/>
              </w:rPr>
              <w:t>0.0</w:t>
            </w:r>
          </w:p>
        </w:tc>
        <w:tc>
          <w:tcPr>
            <w:tcW w:w="942" w:type="dxa"/>
            <w:tcBorders>
              <w:left w:val="single" w:sz="12" w:space="0" w:color="000000"/>
            </w:tcBorders>
            <w:shd w:val="clear" w:color="auto" w:fill="DDEBF7"/>
          </w:tcPr>
          <w:p>
            <w:pPr>
              <w:pStyle w:val="TableParagraph"/>
              <w:spacing w:line="131" w:lineRule="exact" w:before="13"/>
              <w:ind w:left="367"/>
              <w:rPr>
                <w:sz w:val="13"/>
              </w:rPr>
            </w:pPr>
            <w:r>
              <w:rPr>
                <w:w w:val="105"/>
                <w:sz w:val="13"/>
              </w:rPr>
              <w:t>0.0</w:t>
            </w:r>
          </w:p>
        </w:tc>
        <w:tc>
          <w:tcPr>
            <w:tcW w:w="863" w:type="dxa"/>
            <w:shd w:val="clear" w:color="auto" w:fill="DDEBF7"/>
          </w:tcPr>
          <w:p>
            <w:pPr>
              <w:pStyle w:val="TableParagraph"/>
              <w:spacing w:line="131" w:lineRule="exact" w:before="13"/>
              <w:ind w:left="232" w:right="258"/>
              <w:jc w:val="center"/>
              <w:rPr>
                <w:sz w:val="13"/>
              </w:rPr>
            </w:pPr>
            <w:r>
              <w:rPr>
                <w:w w:val="105"/>
                <w:sz w:val="13"/>
              </w:rPr>
              <w:t>0.0</w:t>
            </w:r>
          </w:p>
        </w:tc>
        <w:tc>
          <w:tcPr>
            <w:tcW w:w="863" w:type="dxa"/>
            <w:shd w:val="clear" w:color="auto" w:fill="DDEBF7"/>
          </w:tcPr>
          <w:p>
            <w:pPr>
              <w:pStyle w:val="TableParagraph"/>
              <w:spacing w:line="131" w:lineRule="exact" w:before="13"/>
              <w:ind w:left="231" w:right="258"/>
              <w:jc w:val="center"/>
              <w:rPr>
                <w:sz w:val="13"/>
              </w:rPr>
            </w:pPr>
            <w:r>
              <w:rPr>
                <w:w w:val="105"/>
                <w:sz w:val="13"/>
              </w:rPr>
              <w:t>0.0</w:t>
            </w:r>
          </w:p>
        </w:tc>
        <w:tc>
          <w:tcPr>
            <w:tcW w:w="863" w:type="dxa"/>
            <w:shd w:val="clear" w:color="auto" w:fill="DDEBF7"/>
          </w:tcPr>
          <w:p>
            <w:pPr>
              <w:pStyle w:val="TableParagraph"/>
              <w:spacing w:line="131" w:lineRule="exact" w:before="13"/>
              <w:ind w:left="231" w:right="258"/>
              <w:jc w:val="center"/>
              <w:rPr>
                <w:sz w:val="13"/>
              </w:rPr>
            </w:pPr>
            <w:r>
              <w:rPr>
                <w:w w:val="105"/>
                <w:sz w:val="13"/>
              </w:rPr>
              <w:t>0.0</w:t>
            </w:r>
          </w:p>
        </w:tc>
        <w:tc>
          <w:tcPr>
            <w:tcW w:w="858" w:type="dxa"/>
            <w:tcBorders>
              <w:right w:val="single" w:sz="12" w:space="0" w:color="000000"/>
            </w:tcBorders>
            <w:shd w:val="clear" w:color="auto" w:fill="DDEBF7"/>
          </w:tcPr>
          <w:p>
            <w:pPr>
              <w:pStyle w:val="TableParagraph"/>
              <w:spacing w:line="131" w:lineRule="exact" w:before="13"/>
              <w:ind w:left="231" w:right="246"/>
              <w:jc w:val="center"/>
              <w:rPr>
                <w:sz w:val="13"/>
              </w:rPr>
            </w:pPr>
            <w:r>
              <w:rPr>
                <w:w w:val="105"/>
                <w:sz w:val="13"/>
              </w:rPr>
              <w:t>0.0</w:t>
            </w:r>
          </w:p>
        </w:tc>
      </w:tr>
      <w:tr>
        <w:trPr>
          <w:trHeight w:val="164" w:hRule="atLeast"/>
        </w:trPr>
        <w:tc>
          <w:tcPr>
            <w:tcW w:w="2747" w:type="dxa"/>
          </w:tcPr>
          <w:p>
            <w:pPr>
              <w:pStyle w:val="TableParagraph"/>
              <w:spacing w:line="131" w:lineRule="exact" w:before="13"/>
              <w:ind w:left="24"/>
              <w:rPr>
                <w:b/>
                <w:sz w:val="13"/>
              </w:rPr>
            </w:pPr>
            <w:r>
              <w:rPr>
                <w:b/>
                <w:w w:val="105"/>
                <w:sz w:val="13"/>
              </w:rPr>
              <w:t>Gasto Total</w:t>
            </w:r>
          </w:p>
        </w:tc>
        <w:tc>
          <w:tcPr>
            <w:tcW w:w="1189" w:type="dxa"/>
            <w:shd w:val="clear" w:color="auto" w:fill="E1EEDA"/>
          </w:tcPr>
          <w:p>
            <w:pPr>
              <w:pStyle w:val="TableParagraph"/>
              <w:spacing w:line="131" w:lineRule="exact" w:before="13"/>
              <w:ind w:left="207" w:right="204"/>
              <w:jc w:val="center"/>
              <w:rPr>
                <w:b/>
                <w:sz w:val="13"/>
              </w:rPr>
            </w:pPr>
            <w:r>
              <w:rPr>
                <w:b/>
                <w:w w:val="105"/>
                <w:sz w:val="13"/>
              </w:rPr>
              <w:t>15.3</w:t>
            </w:r>
          </w:p>
        </w:tc>
        <w:tc>
          <w:tcPr>
            <w:tcW w:w="1016" w:type="dxa"/>
            <w:tcBorders>
              <w:right w:val="single" w:sz="12" w:space="0" w:color="000000"/>
            </w:tcBorders>
            <w:shd w:val="clear" w:color="auto" w:fill="E1EEDA"/>
          </w:tcPr>
          <w:p>
            <w:pPr>
              <w:pStyle w:val="TableParagraph"/>
              <w:spacing w:line="131" w:lineRule="exact" w:before="13"/>
              <w:ind w:left="116" w:right="139"/>
              <w:jc w:val="center"/>
              <w:rPr>
                <w:b/>
                <w:sz w:val="13"/>
              </w:rPr>
            </w:pPr>
            <w:r>
              <w:rPr>
                <w:b/>
                <w:w w:val="105"/>
                <w:sz w:val="13"/>
              </w:rPr>
              <w:t>14.7</w:t>
            </w:r>
          </w:p>
        </w:tc>
        <w:tc>
          <w:tcPr>
            <w:tcW w:w="942" w:type="dxa"/>
            <w:tcBorders>
              <w:left w:val="single" w:sz="12" w:space="0" w:color="000000"/>
            </w:tcBorders>
            <w:shd w:val="clear" w:color="auto" w:fill="DDEBF7"/>
          </w:tcPr>
          <w:p>
            <w:pPr>
              <w:pStyle w:val="TableParagraph"/>
              <w:spacing w:line="131" w:lineRule="exact" w:before="13"/>
              <w:ind w:left="315"/>
              <w:rPr>
                <w:b/>
                <w:sz w:val="13"/>
              </w:rPr>
            </w:pPr>
            <w:r>
              <w:rPr>
                <w:b/>
                <w:w w:val="105"/>
                <w:sz w:val="13"/>
              </w:rPr>
              <w:t>14.3</w:t>
            </w:r>
          </w:p>
        </w:tc>
        <w:tc>
          <w:tcPr>
            <w:tcW w:w="863" w:type="dxa"/>
            <w:shd w:val="clear" w:color="auto" w:fill="DDEBF7"/>
          </w:tcPr>
          <w:p>
            <w:pPr>
              <w:pStyle w:val="TableParagraph"/>
              <w:spacing w:line="131" w:lineRule="exact" w:before="13"/>
              <w:ind w:left="231" w:right="258"/>
              <w:jc w:val="center"/>
              <w:rPr>
                <w:b/>
                <w:sz w:val="13"/>
              </w:rPr>
            </w:pPr>
            <w:r>
              <w:rPr>
                <w:b/>
                <w:w w:val="105"/>
                <w:sz w:val="13"/>
              </w:rPr>
              <w:t>13.7</w:t>
            </w:r>
          </w:p>
        </w:tc>
        <w:tc>
          <w:tcPr>
            <w:tcW w:w="863" w:type="dxa"/>
            <w:shd w:val="clear" w:color="auto" w:fill="DDEBF7"/>
          </w:tcPr>
          <w:p>
            <w:pPr>
              <w:pStyle w:val="TableParagraph"/>
              <w:spacing w:line="131" w:lineRule="exact" w:before="13"/>
              <w:ind w:left="231" w:right="258"/>
              <w:jc w:val="center"/>
              <w:rPr>
                <w:b/>
                <w:sz w:val="13"/>
              </w:rPr>
            </w:pPr>
            <w:r>
              <w:rPr>
                <w:b/>
                <w:w w:val="105"/>
                <w:sz w:val="13"/>
              </w:rPr>
              <w:t>13.1</w:t>
            </w:r>
          </w:p>
        </w:tc>
        <w:tc>
          <w:tcPr>
            <w:tcW w:w="863" w:type="dxa"/>
            <w:shd w:val="clear" w:color="auto" w:fill="DDEBF7"/>
          </w:tcPr>
          <w:p>
            <w:pPr>
              <w:pStyle w:val="TableParagraph"/>
              <w:spacing w:line="131" w:lineRule="exact" w:before="13"/>
              <w:ind w:left="231" w:right="258"/>
              <w:jc w:val="center"/>
              <w:rPr>
                <w:b/>
                <w:sz w:val="13"/>
              </w:rPr>
            </w:pPr>
            <w:r>
              <w:rPr>
                <w:b/>
                <w:w w:val="105"/>
                <w:sz w:val="13"/>
              </w:rPr>
              <w:t>12.6</w:t>
            </w:r>
          </w:p>
        </w:tc>
        <w:tc>
          <w:tcPr>
            <w:tcW w:w="858" w:type="dxa"/>
            <w:tcBorders>
              <w:right w:val="single" w:sz="12" w:space="0" w:color="000000"/>
            </w:tcBorders>
            <w:shd w:val="clear" w:color="auto" w:fill="DDEBF7"/>
          </w:tcPr>
          <w:p>
            <w:pPr>
              <w:pStyle w:val="TableParagraph"/>
              <w:spacing w:line="131" w:lineRule="exact" w:before="13"/>
              <w:ind w:left="231" w:right="246"/>
              <w:jc w:val="center"/>
              <w:rPr>
                <w:b/>
                <w:sz w:val="13"/>
              </w:rPr>
            </w:pPr>
            <w:r>
              <w:rPr>
                <w:b/>
                <w:w w:val="105"/>
                <w:sz w:val="13"/>
              </w:rPr>
              <w:t>12.4</w:t>
            </w:r>
          </w:p>
        </w:tc>
      </w:tr>
      <w:tr>
        <w:trPr>
          <w:trHeight w:val="163" w:hRule="atLeast"/>
        </w:trPr>
        <w:tc>
          <w:tcPr>
            <w:tcW w:w="2747" w:type="dxa"/>
          </w:tcPr>
          <w:p>
            <w:pPr>
              <w:pStyle w:val="TableParagraph"/>
              <w:spacing w:line="131" w:lineRule="exact" w:before="13"/>
              <w:ind w:left="118"/>
              <w:rPr>
                <w:sz w:val="13"/>
              </w:rPr>
            </w:pPr>
            <w:r>
              <w:rPr>
                <w:w w:val="105"/>
                <w:sz w:val="13"/>
              </w:rPr>
              <w:t>Funcionamiento e Inversión</w:t>
            </w:r>
          </w:p>
        </w:tc>
        <w:tc>
          <w:tcPr>
            <w:tcW w:w="1189" w:type="dxa"/>
            <w:shd w:val="clear" w:color="auto" w:fill="E1EEDA"/>
          </w:tcPr>
          <w:p>
            <w:pPr>
              <w:pStyle w:val="TableParagraph"/>
              <w:spacing w:line="131" w:lineRule="exact" w:before="13"/>
              <w:ind w:left="216" w:right="192"/>
              <w:jc w:val="center"/>
              <w:rPr>
                <w:sz w:val="13"/>
              </w:rPr>
            </w:pPr>
            <w:r>
              <w:rPr>
                <w:w w:val="105"/>
                <w:sz w:val="13"/>
              </w:rPr>
              <w:t>13.7</w:t>
            </w:r>
          </w:p>
        </w:tc>
        <w:tc>
          <w:tcPr>
            <w:tcW w:w="1016" w:type="dxa"/>
            <w:tcBorders>
              <w:right w:val="single" w:sz="12" w:space="0" w:color="000000"/>
            </w:tcBorders>
            <w:shd w:val="clear" w:color="auto" w:fill="E1EEDA"/>
          </w:tcPr>
          <w:p>
            <w:pPr>
              <w:pStyle w:val="TableParagraph"/>
              <w:spacing w:line="131" w:lineRule="exact" w:before="13"/>
              <w:ind w:left="137" w:right="139"/>
              <w:jc w:val="center"/>
              <w:rPr>
                <w:sz w:val="13"/>
              </w:rPr>
            </w:pPr>
            <w:r>
              <w:rPr>
                <w:w w:val="105"/>
                <w:sz w:val="13"/>
              </w:rPr>
              <w:t>15.5</w:t>
            </w:r>
          </w:p>
        </w:tc>
        <w:tc>
          <w:tcPr>
            <w:tcW w:w="942" w:type="dxa"/>
            <w:tcBorders>
              <w:left w:val="single" w:sz="12" w:space="0" w:color="000000"/>
            </w:tcBorders>
            <w:shd w:val="clear" w:color="auto" w:fill="DDEBF7"/>
          </w:tcPr>
          <w:p>
            <w:pPr>
              <w:pStyle w:val="TableParagraph"/>
              <w:spacing w:line="131" w:lineRule="exact" w:before="13"/>
              <w:ind w:left="336"/>
              <w:rPr>
                <w:sz w:val="13"/>
              </w:rPr>
            </w:pPr>
            <w:r>
              <w:rPr>
                <w:w w:val="105"/>
                <w:sz w:val="13"/>
              </w:rPr>
              <w:t>12.7</w:t>
            </w:r>
          </w:p>
        </w:tc>
        <w:tc>
          <w:tcPr>
            <w:tcW w:w="863" w:type="dxa"/>
            <w:shd w:val="clear" w:color="auto" w:fill="DDEBF7"/>
          </w:tcPr>
          <w:p>
            <w:pPr>
              <w:pStyle w:val="TableParagraph"/>
              <w:spacing w:line="131" w:lineRule="exact" w:before="13"/>
              <w:ind w:left="232" w:right="258"/>
              <w:jc w:val="center"/>
              <w:rPr>
                <w:sz w:val="13"/>
              </w:rPr>
            </w:pPr>
            <w:r>
              <w:rPr>
                <w:w w:val="105"/>
                <w:sz w:val="13"/>
              </w:rPr>
              <w:t>12.0</w:t>
            </w:r>
          </w:p>
        </w:tc>
        <w:tc>
          <w:tcPr>
            <w:tcW w:w="863" w:type="dxa"/>
            <w:shd w:val="clear" w:color="auto" w:fill="DDEBF7"/>
          </w:tcPr>
          <w:p>
            <w:pPr>
              <w:pStyle w:val="TableParagraph"/>
              <w:spacing w:line="131" w:lineRule="exact" w:before="13"/>
              <w:ind w:left="231" w:right="258"/>
              <w:jc w:val="center"/>
              <w:rPr>
                <w:sz w:val="13"/>
              </w:rPr>
            </w:pPr>
            <w:r>
              <w:rPr>
                <w:w w:val="105"/>
                <w:sz w:val="13"/>
              </w:rPr>
              <w:t>11.6</w:t>
            </w:r>
          </w:p>
        </w:tc>
        <w:tc>
          <w:tcPr>
            <w:tcW w:w="863" w:type="dxa"/>
            <w:shd w:val="clear" w:color="auto" w:fill="DDEBF7"/>
          </w:tcPr>
          <w:p>
            <w:pPr>
              <w:pStyle w:val="TableParagraph"/>
              <w:spacing w:line="131" w:lineRule="exact" w:before="13"/>
              <w:ind w:left="231" w:right="258"/>
              <w:jc w:val="center"/>
              <w:rPr>
                <w:sz w:val="13"/>
              </w:rPr>
            </w:pPr>
            <w:r>
              <w:rPr>
                <w:w w:val="105"/>
                <w:sz w:val="13"/>
              </w:rPr>
              <w:t>11.3</w:t>
            </w:r>
          </w:p>
        </w:tc>
        <w:tc>
          <w:tcPr>
            <w:tcW w:w="858" w:type="dxa"/>
            <w:tcBorders>
              <w:right w:val="single" w:sz="12" w:space="0" w:color="000000"/>
            </w:tcBorders>
            <w:shd w:val="clear" w:color="auto" w:fill="DDEBF7"/>
          </w:tcPr>
          <w:p>
            <w:pPr>
              <w:pStyle w:val="TableParagraph"/>
              <w:spacing w:line="131" w:lineRule="exact" w:before="13"/>
              <w:ind w:left="231" w:right="246"/>
              <w:jc w:val="center"/>
              <w:rPr>
                <w:sz w:val="13"/>
              </w:rPr>
            </w:pPr>
            <w:r>
              <w:rPr>
                <w:w w:val="105"/>
                <w:sz w:val="13"/>
              </w:rPr>
              <w:t>11.0</w:t>
            </w:r>
          </w:p>
        </w:tc>
      </w:tr>
      <w:tr>
        <w:trPr>
          <w:trHeight w:val="163" w:hRule="atLeast"/>
        </w:trPr>
        <w:tc>
          <w:tcPr>
            <w:tcW w:w="2747" w:type="dxa"/>
          </w:tcPr>
          <w:p>
            <w:pPr>
              <w:pStyle w:val="TableParagraph"/>
              <w:spacing w:line="131" w:lineRule="exact" w:before="13"/>
              <w:ind w:left="118"/>
              <w:rPr>
                <w:sz w:val="13"/>
              </w:rPr>
            </w:pPr>
            <w:r>
              <w:rPr>
                <w:w w:val="105"/>
                <w:sz w:val="13"/>
              </w:rPr>
              <w:t>Intereses de la Deuda Pública</w:t>
            </w:r>
          </w:p>
        </w:tc>
        <w:tc>
          <w:tcPr>
            <w:tcW w:w="1189" w:type="dxa"/>
            <w:shd w:val="clear" w:color="auto" w:fill="E1EEDA"/>
          </w:tcPr>
          <w:p>
            <w:pPr>
              <w:pStyle w:val="TableParagraph"/>
              <w:spacing w:line="131" w:lineRule="exact" w:before="13"/>
              <w:ind w:left="216" w:right="192"/>
              <w:jc w:val="center"/>
              <w:rPr>
                <w:sz w:val="13"/>
              </w:rPr>
            </w:pPr>
            <w:r>
              <w:rPr>
                <w:w w:val="105"/>
                <w:sz w:val="13"/>
              </w:rPr>
              <w:t>1.6</w:t>
            </w:r>
          </w:p>
        </w:tc>
        <w:tc>
          <w:tcPr>
            <w:tcW w:w="1016" w:type="dxa"/>
            <w:tcBorders>
              <w:right w:val="single" w:sz="12" w:space="0" w:color="000000"/>
            </w:tcBorders>
            <w:shd w:val="clear" w:color="auto" w:fill="E1EEDA"/>
          </w:tcPr>
          <w:p>
            <w:pPr>
              <w:pStyle w:val="TableParagraph"/>
              <w:spacing w:line="131" w:lineRule="exact" w:before="13"/>
              <w:ind w:left="137" w:right="139"/>
              <w:jc w:val="center"/>
              <w:rPr>
                <w:sz w:val="13"/>
              </w:rPr>
            </w:pPr>
            <w:r>
              <w:rPr>
                <w:w w:val="105"/>
                <w:sz w:val="13"/>
              </w:rPr>
              <w:t>1.7</w:t>
            </w:r>
          </w:p>
        </w:tc>
        <w:tc>
          <w:tcPr>
            <w:tcW w:w="942" w:type="dxa"/>
            <w:tcBorders>
              <w:left w:val="single" w:sz="12" w:space="0" w:color="000000"/>
            </w:tcBorders>
            <w:shd w:val="clear" w:color="auto" w:fill="DDEBF7"/>
          </w:tcPr>
          <w:p>
            <w:pPr>
              <w:pStyle w:val="TableParagraph"/>
              <w:spacing w:line="131" w:lineRule="exact" w:before="13"/>
              <w:ind w:left="367"/>
              <w:rPr>
                <w:sz w:val="13"/>
              </w:rPr>
            </w:pPr>
            <w:r>
              <w:rPr>
                <w:w w:val="105"/>
                <w:sz w:val="13"/>
              </w:rPr>
              <w:t>1.6</w:t>
            </w:r>
          </w:p>
        </w:tc>
        <w:tc>
          <w:tcPr>
            <w:tcW w:w="863" w:type="dxa"/>
            <w:shd w:val="clear" w:color="auto" w:fill="DDEBF7"/>
          </w:tcPr>
          <w:p>
            <w:pPr>
              <w:pStyle w:val="TableParagraph"/>
              <w:spacing w:line="131" w:lineRule="exact" w:before="13"/>
              <w:ind w:left="232" w:right="258"/>
              <w:jc w:val="center"/>
              <w:rPr>
                <w:sz w:val="13"/>
              </w:rPr>
            </w:pPr>
            <w:r>
              <w:rPr>
                <w:w w:val="105"/>
                <w:sz w:val="13"/>
              </w:rPr>
              <w:t>1.7</w:t>
            </w:r>
          </w:p>
        </w:tc>
        <w:tc>
          <w:tcPr>
            <w:tcW w:w="863" w:type="dxa"/>
            <w:shd w:val="clear" w:color="auto" w:fill="DDEBF7"/>
          </w:tcPr>
          <w:p>
            <w:pPr>
              <w:pStyle w:val="TableParagraph"/>
              <w:spacing w:line="131" w:lineRule="exact" w:before="13"/>
              <w:ind w:left="231" w:right="258"/>
              <w:jc w:val="center"/>
              <w:rPr>
                <w:sz w:val="13"/>
              </w:rPr>
            </w:pPr>
            <w:r>
              <w:rPr>
                <w:w w:val="105"/>
                <w:sz w:val="13"/>
              </w:rPr>
              <w:t>1.5</w:t>
            </w:r>
          </w:p>
        </w:tc>
        <w:tc>
          <w:tcPr>
            <w:tcW w:w="863" w:type="dxa"/>
            <w:shd w:val="clear" w:color="auto" w:fill="DDEBF7"/>
          </w:tcPr>
          <w:p>
            <w:pPr>
              <w:pStyle w:val="TableParagraph"/>
              <w:spacing w:line="131" w:lineRule="exact" w:before="13"/>
              <w:ind w:left="231" w:right="258"/>
              <w:jc w:val="center"/>
              <w:rPr>
                <w:sz w:val="13"/>
              </w:rPr>
            </w:pPr>
            <w:r>
              <w:rPr>
                <w:w w:val="105"/>
                <w:sz w:val="13"/>
              </w:rPr>
              <w:t>1.3</w:t>
            </w:r>
          </w:p>
        </w:tc>
        <w:tc>
          <w:tcPr>
            <w:tcW w:w="858" w:type="dxa"/>
            <w:tcBorders>
              <w:right w:val="single" w:sz="12" w:space="0" w:color="000000"/>
            </w:tcBorders>
            <w:shd w:val="clear" w:color="auto" w:fill="DDEBF7"/>
          </w:tcPr>
          <w:p>
            <w:pPr>
              <w:pStyle w:val="TableParagraph"/>
              <w:spacing w:line="131" w:lineRule="exact" w:before="13"/>
              <w:ind w:left="231" w:right="246"/>
              <w:jc w:val="center"/>
              <w:rPr>
                <w:sz w:val="13"/>
              </w:rPr>
            </w:pPr>
            <w:r>
              <w:rPr>
                <w:w w:val="105"/>
                <w:sz w:val="13"/>
              </w:rPr>
              <w:t>1.4</w:t>
            </w:r>
          </w:p>
        </w:tc>
      </w:tr>
      <w:tr>
        <w:trPr>
          <w:trHeight w:val="161" w:hRule="atLeast"/>
        </w:trPr>
        <w:tc>
          <w:tcPr>
            <w:tcW w:w="2747" w:type="dxa"/>
            <w:tcBorders>
              <w:bottom w:val="single" w:sz="12" w:space="0" w:color="000000"/>
            </w:tcBorders>
          </w:tcPr>
          <w:p>
            <w:pPr>
              <w:pStyle w:val="TableParagraph"/>
              <w:spacing w:line="129" w:lineRule="exact" w:before="13"/>
              <w:ind w:left="118"/>
              <w:rPr>
                <w:b/>
                <w:sz w:val="13"/>
              </w:rPr>
            </w:pPr>
            <w:r>
              <w:rPr>
                <w:b/>
                <w:color w:val="FF0000"/>
                <w:w w:val="105"/>
                <w:sz w:val="13"/>
              </w:rPr>
              <w:t>Resultado Presupuestario (Déficit)</w:t>
            </w:r>
          </w:p>
        </w:tc>
        <w:tc>
          <w:tcPr>
            <w:tcW w:w="1189" w:type="dxa"/>
            <w:tcBorders>
              <w:bottom w:val="single" w:sz="12" w:space="0" w:color="000000"/>
            </w:tcBorders>
            <w:shd w:val="clear" w:color="auto" w:fill="E1EEDA"/>
          </w:tcPr>
          <w:p>
            <w:pPr>
              <w:pStyle w:val="TableParagraph"/>
              <w:spacing w:line="129" w:lineRule="exact" w:before="13"/>
              <w:ind w:left="216" w:right="202"/>
              <w:jc w:val="center"/>
              <w:rPr>
                <w:b/>
                <w:sz w:val="13"/>
              </w:rPr>
            </w:pPr>
            <w:r>
              <w:rPr>
                <w:b/>
                <w:color w:val="FF0000"/>
                <w:w w:val="105"/>
                <w:sz w:val="13"/>
              </w:rPr>
              <w:t>-3.8</w:t>
            </w:r>
          </w:p>
        </w:tc>
        <w:tc>
          <w:tcPr>
            <w:tcW w:w="1016" w:type="dxa"/>
            <w:tcBorders>
              <w:bottom w:val="single" w:sz="12" w:space="0" w:color="000000"/>
              <w:right w:val="single" w:sz="12" w:space="0" w:color="000000"/>
            </w:tcBorders>
            <w:shd w:val="clear" w:color="auto" w:fill="E1EEDA"/>
          </w:tcPr>
          <w:p>
            <w:pPr>
              <w:pStyle w:val="TableParagraph"/>
              <w:spacing w:line="129" w:lineRule="exact" w:before="13"/>
              <w:ind w:left="161" w:right="126"/>
              <w:jc w:val="center"/>
              <w:rPr>
                <w:b/>
                <w:sz w:val="13"/>
              </w:rPr>
            </w:pPr>
            <w:r>
              <w:rPr>
                <w:b/>
                <w:color w:val="FF0000"/>
                <w:w w:val="105"/>
                <w:sz w:val="13"/>
              </w:rPr>
              <w:t>(2.4)</w:t>
            </w:r>
          </w:p>
        </w:tc>
        <w:tc>
          <w:tcPr>
            <w:tcW w:w="942" w:type="dxa"/>
            <w:tcBorders>
              <w:left w:val="single" w:sz="12" w:space="0" w:color="000000"/>
              <w:bottom w:val="single" w:sz="12" w:space="0" w:color="000000"/>
            </w:tcBorders>
            <w:shd w:val="clear" w:color="auto" w:fill="DDEBF7"/>
          </w:tcPr>
          <w:p>
            <w:pPr>
              <w:pStyle w:val="TableParagraph"/>
              <w:spacing w:line="129" w:lineRule="exact" w:before="13"/>
              <w:ind w:left="336"/>
              <w:rPr>
                <w:b/>
                <w:sz w:val="13"/>
              </w:rPr>
            </w:pPr>
            <w:r>
              <w:rPr>
                <w:b/>
                <w:color w:val="FF0000"/>
                <w:w w:val="105"/>
                <w:sz w:val="13"/>
              </w:rPr>
              <w:t>(2.4)</w:t>
            </w:r>
          </w:p>
        </w:tc>
        <w:tc>
          <w:tcPr>
            <w:tcW w:w="863" w:type="dxa"/>
            <w:tcBorders>
              <w:bottom w:val="single" w:sz="12" w:space="0" w:color="000000"/>
            </w:tcBorders>
            <w:shd w:val="clear" w:color="auto" w:fill="DDEBF7"/>
          </w:tcPr>
          <w:p>
            <w:pPr>
              <w:pStyle w:val="TableParagraph"/>
              <w:spacing w:line="129" w:lineRule="exact" w:before="13"/>
              <w:ind w:left="269" w:right="258"/>
              <w:jc w:val="center"/>
              <w:rPr>
                <w:b/>
                <w:sz w:val="13"/>
              </w:rPr>
            </w:pPr>
            <w:r>
              <w:rPr>
                <w:b/>
                <w:color w:val="FF0000"/>
                <w:w w:val="105"/>
                <w:sz w:val="13"/>
              </w:rPr>
              <w:t>(1.5)</w:t>
            </w:r>
          </w:p>
        </w:tc>
        <w:tc>
          <w:tcPr>
            <w:tcW w:w="863" w:type="dxa"/>
            <w:tcBorders>
              <w:bottom w:val="single" w:sz="12" w:space="0" w:color="000000"/>
            </w:tcBorders>
            <w:shd w:val="clear" w:color="auto" w:fill="DDEBF7"/>
          </w:tcPr>
          <w:p>
            <w:pPr>
              <w:pStyle w:val="TableParagraph"/>
              <w:spacing w:line="129" w:lineRule="exact" w:before="13"/>
              <w:ind w:left="268" w:right="258"/>
              <w:jc w:val="center"/>
              <w:rPr>
                <w:b/>
                <w:sz w:val="13"/>
              </w:rPr>
            </w:pPr>
            <w:r>
              <w:rPr>
                <w:b/>
                <w:color w:val="FF0000"/>
                <w:w w:val="105"/>
                <w:sz w:val="13"/>
              </w:rPr>
              <w:t>(0.9)</w:t>
            </w:r>
          </w:p>
        </w:tc>
        <w:tc>
          <w:tcPr>
            <w:tcW w:w="863" w:type="dxa"/>
            <w:tcBorders>
              <w:bottom w:val="single" w:sz="12" w:space="0" w:color="000000"/>
            </w:tcBorders>
            <w:shd w:val="clear" w:color="auto" w:fill="DDEBF7"/>
          </w:tcPr>
          <w:p>
            <w:pPr>
              <w:pStyle w:val="TableParagraph"/>
              <w:spacing w:line="129" w:lineRule="exact" w:before="13"/>
              <w:ind w:left="268" w:right="258"/>
              <w:jc w:val="center"/>
              <w:rPr>
                <w:b/>
                <w:sz w:val="13"/>
              </w:rPr>
            </w:pPr>
            <w:r>
              <w:rPr>
                <w:b/>
                <w:color w:val="FF0000"/>
                <w:w w:val="105"/>
                <w:sz w:val="13"/>
              </w:rPr>
              <w:t>(0.4)</w:t>
            </w:r>
          </w:p>
        </w:tc>
        <w:tc>
          <w:tcPr>
            <w:tcW w:w="858" w:type="dxa"/>
            <w:tcBorders>
              <w:bottom w:val="single" w:sz="12" w:space="0" w:color="000000"/>
              <w:right w:val="single" w:sz="12" w:space="0" w:color="000000"/>
            </w:tcBorders>
            <w:shd w:val="clear" w:color="auto" w:fill="DDEBF7"/>
          </w:tcPr>
          <w:p>
            <w:pPr>
              <w:pStyle w:val="TableParagraph"/>
              <w:spacing w:line="129" w:lineRule="exact" w:before="13"/>
              <w:ind w:left="268" w:right="246"/>
              <w:jc w:val="center"/>
              <w:rPr>
                <w:b/>
                <w:sz w:val="13"/>
              </w:rPr>
            </w:pPr>
            <w:r>
              <w:rPr>
                <w:b/>
                <w:color w:val="FF0000"/>
                <w:w w:val="105"/>
                <w:sz w:val="13"/>
              </w:rPr>
              <w:t>(0.2)</w:t>
            </w:r>
          </w:p>
        </w:tc>
      </w:tr>
      <w:tr>
        <w:trPr>
          <w:trHeight w:val="161" w:hRule="atLeast"/>
        </w:trPr>
        <w:tc>
          <w:tcPr>
            <w:tcW w:w="2747" w:type="dxa"/>
            <w:tcBorders>
              <w:top w:val="single" w:sz="12" w:space="0" w:color="000000"/>
            </w:tcBorders>
          </w:tcPr>
          <w:p>
            <w:pPr>
              <w:pStyle w:val="TableParagraph"/>
              <w:spacing w:line="131" w:lineRule="exact" w:before="11"/>
              <w:ind w:left="24"/>
              <w:rPr>
                <w:b/>
                <w:sz w:val="13"/>
              </w:rPr>
            </w:pPr>
            <w:r>
              <w:rPr>
                <w:b/>
                <w:w w:val="105"/>
                <w:sz w:val="13"/>
              </w:rPr>
              <w:t>Financiamiento</w:t>
            </w:r>
          </w:p>
        </w:tc>
        <w:tc>
          <w:tcPr>
            <w:tcW w:w="1189" w:type="dxa"/>
            <w:tcBorders>
              <w:top w:val="single" w:sz="12" w:space="0" w:color="000000"/>
            </w:tcBorders>
            <w:shd w:val="clear" w:color="auto" w:fill="E1EEDA"/>
          </w:tcPr>
          <w:p>
            <w:pPr>
              <w:pStyle w:val="TableParagraph"/>
              <w:spacing w:line="131" w:lineRule="exact" w:before="11"/>
              <w:ind w:left="216" w:right="202"/>
              <w:jc w:val="center"/>
              <w:rPr>
                <w:b/>
                <w:sz w:val="13"/>
              </w:rPr>
            </w:pPr>
            <w:r>
              <w:rPr>
                <w:b/>
                <w:w w:val="105"/>
                <w:sz w:val="13"/>
              </w:rPr>
              <w:t>3.8</w:t>
            </w:r>
          </w:p>
        </w:tc>
        <w:tc>
          <w:tcPr>
            <w:tcW w:w="1016" w:type="dxa"/>
            <w:tcBorders>
              <w:top w:val="single" w:sz="12" w:space="0" w:color="000000"/>
              <w:right w:val="single" w:sz="12" w:space="0" w:color="000000"/>
            </w:tcBorders>
            <w:shd w:val="clear" w:color="auto" w:fill="E1EEDA"/>
          </w:tcPr>
          <w:p>
            <w:pPr>
              <w:pStyle w:val="TableParagraph"/>
              <w:spacing w:line="131" w:lineRule="exact" w:before="11"/>
              <w:ind w:left="126" w:right="139"/>
              <w:jc w:val="center"/>
              <w:rPr>
                <w:b/>
                <w:sz w:val="13"/>
              </w:rPr>
            </w:pPr>
            <w:r>
              <w:rPr>
                <w:b/>
                <w:w w:val="105"/>
                <w:sz w:val="13"/>
              </w:rPr>
              <w:t>2.4</w:t>
            </w:r>
          </w:p>
        </w:tc>
        <w:tc>
          <w:tcPr>
            <w:tcW w:w="942" w:type="dxa"/>
            <w:tcBorders>
              <w:top w:val="single" w:sz="12" w:space="0" w:color="000000"/>
              <w:left w:val="single" w:sz="12" w:space="0" w:color="000000"/>
            </w:tcBorders>
            <w:shd w:val="clear" w:color="auto" w:fill="DDEBF7"/>
          </w:tcPr>
          <w:p>
            <w:pPr>
              <w:pStyle w:val="TableParagraph"/>
              <w:spacing w:line="131" w:lineRule="exact" w:before="11"/>
              <w:ind w:left="357"/>
              <w:rPr>
                <w:b/>
                <w:sz w:val="13"/>
              </w:rPr>
            </w:pPr>
            <w:r>
              <w:rPr>
                <w:b/>
                <w:w w:val="105"/>
                <w:sz w:val="13"/>
              </w:rPr>
              <w:t>2.4</w:t>
            </w:r>
          </w:p>
        </w:tc>
        <w:tc>
          <w:tcPr>
            <w:tcW w:w="863" w:type="dxa"/>
            <w:tcBorders>
              <w:top w:val="single" w:sz="12" w:space="0" w:color="000000"/>
            </w:tcBorders>
            <w:shd w:val="clear" w:color="auto" w:fill="DDEBF7"/>
          </w:tcPr>
          <w:p>
            <w:pPr>
              <w:pStyle w:val="TableParagraph"/>
              <w:spacing w:line="131" w:lineRule="exact" w:before="11"/>
              <w:ind w:left="221" w:right="258"/>
              <w:jc w:val="center"/>
              <w:rPr>
                <w:b/>
                <w:sz w:val="13"/>
              </w:rPr>
            </w:pPr>
            <w:r>
              <w:rPr>
                <w:b/>
                <w:w w:val="105"/>
                <w:sz w:val="13"/>
              </w:rPr>
              <w:t>1.5</w:t>
            </w:r>
          </w:p>
        </w:tc>
        <w:tc>
          <w:tcPr>
            <w:tcW w:w="863" w:type="dxa"/>
            <w:tcBorders>
              <w:top w:val="single" w:sz="12" w:space="0" w:color="000000"/>
            </w:tcBorders>
            <w:shd w:val="clear" w:color="auto" w:fill="DDEBF7"/>
          </w:tcPr>
          <w:p>
            <w:pPr>
              <w:pStyle w:val="TableParagraph"/>
              <w:spacing w:line="131" w:lineRule="exact" w:before="11"/>
              <w:ind w:left="220" w:right="258"/>
              <w:jc w:val="center"/>
              <w:rPr>
                <w:b/>
                <w:sz w:val="13"/>
              </w:rPr>
            </w:pPr>
            <w:r>
              <w:rPr>
                <w:b/>
                <w:w w:val="105"/>
                <w:sz w:val="13"/>
              </w:rPr>
              <w:t>0.9</w:t>
            </w:r>
          </w:p>
        </w:tc>
        <w:tc>
          <w:tcPr>
            <w:tcW w:w="863" w:type="dxa"/>
            <w:tcBorders>
              <w:top w:val="single" w:sz="12" w:space="0" w:color="000000"/>
            </w:tcBorders>
            <w:shd w:val="clear" w:color="auto" w:fill="DDEBF7"/>
          </w:tcPr>
          <w:p>
            <w:pPr>
              <w:pStyle w:val="TableParagraph"/>
              <w:spacing w:line="131" w:lineRule="exact" w:before="11"/>
              <w:ind w:left="220" w:right="258"/>
              <w:jc w:val="center"/>
              <w:rPr>
                <w:b/>
                <w:sz w:val="13"/>
              </w:rPr>
            </w:pPr>
            <w:r>
              <w:rPr>
                <w:b/>
                <w:w w:val="105"/>
                <w:sz w:val="13"/>
              </w:rPr>
              <w:t>0.4</w:t>
            </w:r>
          </w:p>
        </w:tc>
        <w:tc>
          <w:tcPr>
            <w:tcW w:w="858" w:type="dxa"/>
            <w:tcBorders>
              <w:top w:val="single" w:sz="12" w:space="0" w:color="000000"/>
              <w:right w:val="single" w:sz="12" w:space="0" w:color="000000"/>
            </w:tcBorders>
            <w:shd w:val="clear" w:color="auto" w:fill="DDEBF7"/>
          </w:tcPr>
          <w:p>
            <w:pPr>
              <w:pStyle w:val="TableParagraph"/>
              <w:spacing w:line="131" w:lineRule="exact" w:before="11"/>
              <w:ind w:left="220" w:right="246"/>
              <w:jc w:val="center"/>
              <w:rPr>
                <w:b/>
                <w:sz w:val="13"/>
              </w:rPr>
            </w:pPr>
            <w:r>
              <w:rPr>
                <w:b/>
                <w:w w:val="105"/>
                <w:sz w:val="13"/>
              </w:rPr>
              <w:t>0.2</w:t>
            </w:r>
          </w:p>
        </w:tc>
      </w:tr>
      <w:tr>
        <w:trPr>
          <w:trHeight w:val="163" w:hRule="atLeast"/>
        </w:trPr>
        <w:tc>
          <w:tcPr>
            <w:tcW w:w="2747" w:type="dxa"/>
          </w:tcPr>
          <w:p>
            <w:pPr>
              <w:pStyle w:val="TableParagraph"/>
              <w:spacing w:line="131" w:lineRule="exact" w:before="13"/>
              <w:ind w:left="118"/>
              <w:rPr>
                <w:sz w:val="13"/>
              </w:rPr>
            </w:pPr>
            <w:r>
              <w:rPr>
                <w:w w:val="105"/>
                <w:sz w:val="13"/>
              </w:rPr>
              <w:t>Financiamiento Externo Neto</w:t>
            </w:r>
          </w:p>
        </w:tc>
        <w:tc>
          <w:tcPr>
            <w:tcW w:w="1189" w:type="dxa"/>
            <w:shd w:val="clear" w:color="auto" w:fill="E1EEDA"/>
          </w:tcPr>
          <w:p>
            <w:pPr>
              <w:pStyle w:val="TableParagraph"/>
              <w:spacing w:line="131" w:lineRule="exact" w:before="13"/>
              <w:ind w:left="216" w:right="192"/>
              <w:jc w:val="center"/>
              <w:rPr>
                <w:sz w:val="13"/>
              </w:rPr>
            </w:pPr>
            <w:r>
              <w:rPr>
                <w:w w:val="105"/>
                <w:sz w:val="13"/>
              </w:rPr>
              <w:t>-0.2</w:t>
            </w:r>
          </w:p>
        </w:tc>
        <w:tc>
          <w:tcPr>
            <w:tcW w:w="1016" w:type="dxa"/>
            <w:tcBorders>
              <w:right w:val="single" w:sz="12" w:space="0" w:color="000000"/>
            </w:tcBorders>
            <w:shd w:val="clear" w:color="auto" w:fill="E1EEDA"/>
          </w:tcPr>
          <w:p>
            <w:pPr>
              <w:pStyle w:val="TableParagraph"/>
              <w:spacing w:line="131" w:lineRule="exact" w:before="13"/>
              <w:ind w:left="137" w:right="139"/>
              <w:jc w:val="center"/>
              <w:rPr>
                <w:sz w:val="13"/>
              </w:rPr>
            </w:pPr>
            <w:r>
              <w:rPr>
                <w:w w:val="105"/>
                <w:sz w:val="13"/>
              </w:rPr>
              <w:t>0.4</w:t>
            </w:r>
          </w:p>
        </w:tc>
        <w:tc>
          <w:tcPr>
            <w:tcW w:w="942" w:type="dxa"/>
            <w:tcBorders>
              <w:left w:val="single" w:sz="12" w:space="0" w:color="000000"/>
            </w:tcBorders>
            <w:shd w:val="clear" w:color="auto" w:fill="DDEBF7"/>
          </w:tcPr>
          <w:p>
            <w:pPr>
              <w:pStyle w:val="TableParagraph"/>
              <w:spacing w:line="131" w:lineRule="exact" w:before="13"/>
              <w:ind w:left="346"/>
              <w:rPr>
                <w:sz w:val="13"/>
              </w:rPr>
            </w:pPr>
            <w:r>
              <w:rPr>
                <w:color w:val="FF0000"/>
                <w:w w:val="105"/>
                <w:sz w:val="13"/>
              </w:rPr>
              <w:t>(0.2)</w:t>
            </w:r>
          </w:p>
        </w:tc>
        <w:tc>
          <w:tcPr>
            <w:tcW w:w="863" w:type="dxa"/>
            <w:shd w:val="clear" w:color="auto" w:fill="DDEBF7"/>
          </w:tcPr>
          <w:p>
            <w:pPr>
              <w:pStyle w:val="TableParagraph"/>
              <w:spacing w:line="131" w:lineRule="exact" w:before="13"/>
              <w:ind w:left="269" w:right="258"/>
              <w:jc w:val="center"/>
              <w:rPr>
                <w:sz w:val="13"/>
              </w:rPr>
            </w:pPr>
            <w:r>
              <w:rPr>
                <w:color w:val="FF0000"/>
                <w:w w:val="105"/>
                <w:sz w:val="13"/>
              </w:rPr>
              <w:t>(0.2)</w:t>
            </w:r>
          </w:p>
        </w:tc>
        <w:tc>
          <w:tcPr>
            <w:tcW w:w="863" w:type="dxa"/>
            <w:shd w:val="clear" w:color="auto" w:fill="DDEBF7"/>
          </w:tcPr>
          <w:p>
            <w:pPr>
              <w:pStyle w:val="TableParagraph"/>
              <w:spacing w:line="131" w:lineRule="exact" w:before="13"/>
              <w:ind w:left="268" w:right="258"/>
              <w:jc w:val="center"/>
              <w:rPr>
                <w:sz w:val="13"/>
              </w:rPr>
            </w:pPr>
            <w:r>
              <w:rPr>
                <w:color w:val="FF0000"/>
                <w:w w:val="105"/>
                <w:sz w:val="13"/>
              </w:rPr>
              <w:t>(0.5)</w:t>
            </w:r>
          </w:p>
        </w:tc>
        <w:tc>
          <w:tcPr>
            <w:tcW w:w="863" w:type="dxa"/>
            <w:shd w:val="clear" w:color="auto" w:fill="DDEBF7"/>
          </w:tcPr>
          <w:p>
            <w:pPr>
              <w:pStyle w:val="TableParagraph"/>
              <w:spacing w:line="131" w:lineRule="exact" w:before="13"/>
              <w:ind w:left="268" w:right="258"/>
              <w:jc w:val="center"/>
              <w:rPr>
                <w:sz w:val="13"/>
              </w:rPr>
            </w:pPr>
            <w:r>
              <w:rPr>
                <w:color w:val="FF0000"/>
                <w:w w:val="105"/>
                <w:sz w:val="13"/>
              </w:rPr>
              <w:t>(0.7)</w:t>
            </w:r>
          </w:p>
        </w:tc>
        <w:tc>
          <w:tcPr>
            <w:tcW w:w="858" w:type="dxa"/>
            <w:tcBorders>
              <w:right w:val="single" w:sz="12" w:space="0" w:color="000000"/>
            </w:tcBorders>
            <w:shd w:val="clear" w:color="auto" w:fill="DDEBF7"/>
          </w:tcPr>
          <w:p>
            <w:pPr>
              <w:pStyle w:val="TableParagraph"/>
              <w:spacing w:line="131" w:lineRule="exact" w:before="13"/>
              <w:ind w:left="268" w:right="246"/>
              <w:jc w:val="center"/>
              <w:rPr>
                <w:sz w:val="13"/>
              </w:rPr>
            </w:pPr>
            <w:r>
              <w:rPr>
                <w:color w:val="FF0000"/>
                <w:w w:val="105"/>
                <w:sz w:val="13"/>
              </w:rPr>
              <w:t>(0.5)</w:t>
            </w:r>
          </w:p>
        </w:tc>
      </w:tr>
      <w:tr>
        <w:trPr>
          <w:trHeight w:val="163" w:hRule="atLeast"/>
        </w:trPr>
        <w:tc>
          <w:tcPr>
            <w:tcW w:w="2747" w:type="dxa"/>
          </w:tcPr>
          <w:p>
            <w:pPr>
              <w:pStyle w:val="TableParagraph"/>
              <w:spacing w:line="131" w:lineRule="exact" w:before="13"/>
              <w:ind w:left="213"/>
              <w:rPr>
                <w:sz w:val="13"/>
              </w:rPr>
            </w:pPr>
            <w:r>
              <w:rPr>
                <w:w w:val="105"/>
                <w:sz w:val="13"/>
              </w:rPr>
              <w:t>Desembolsos</w:t>
            </w:r>
          </w:p>
        </w:tc>
        <w:tc>
          <w:tcPr>
            <w:tcW w:w="1189" w:type="dxa"/>
            <w:shd w:val="clear" w:color="auto" w:fill="E1EEDA"/>
          </w:tcPr>
          <w:p>
            <w:pPr>
              <w:pStyle w:val="TableParagraph"/>
              <w:spacing w:line="131" w:lineRule="exact" w:before="13"/>
              <w:ind w:left="216" w:right="192"/>
              <w:jc w:val="center"/>
              <w:rPr>
                <w:sz w:val="13"/>
              </w:rPr>
            </w:pPr>
            <w:r>
              <w:rPr>
                <w:w w:val="105"/>
                <w:sz w:val="13"/>
              </w:rPr>
              <w:t>0.3</w:t>
            </w:r>
          </w:p>
        </w:tc>
        <w:tc>
          <w:tcPr>
            <w:tcW w:w="1016" w:type="dxa"/>
            <w:tcBorders>
              <w:right w:val="single" w:sz="12" w:space="0" w:color="000000"/>
            </w:tcBorders>
            <w:shd w:val="clear" w:color="auto" w:fill="E1EEDA"/>
          </w:tcPr>
          <w:p>
            <w:pPr>
              <w:pStyle w:val="TableParagraph"/>
              <w:spacing w:line="131" w:lineRule="exact" w:before="13"/>
              <w:ind w:left="137" w:right="139"/>
              <w:jc w:val="center"/>
              <w:rPr>
                <w:sz w:val="13"/>
              </w:rPr>
            </w:pPr>
            <w:r>
              <w:rPr>
                <w:w w:val="105"/>
                <w:sz w:val="13"/>
              </w:rPr>
              <w:t>0.8</w:t>
            </w:r>
          </w:p>
        </w:tc>
        <w:tc>
          <w:tcPr>
            <w:tcW w:w="942" w:type="dxa"/>
            <w:tcBorders>
              <w:left w:val="single" w:sz="12" w:space="0" w:color="000000"/>
            </w:tcBorders>
            <w:shd w:val="clear" w:color="auto" w:fill="DDEBF7"/>
          </w:tcPr>
          <w:p>
            <w:pPr>
              <w:pStyle w:val="TableParagraph"/>
              <w:spacing w:line="131" w:lineRule="exact" w:before="13"/>
              <w:ind w:left="367"/>
              <w:rPr>
                <w:sz w:val="13"/>
              </w:rPr>
            </w:pPr>
            <w:r>
              <w:rPr>
                <w:w w:val="105"/>
                <w:sz w:val="13"/>
              </w:rPr>
              <w:t>0.4</w:t>
            </w:r>
          </w:p>
        </w:tc>
        <w:tc>
          <w:tcPr>
            <w:tcW w:w="863" w:type="dxa"/>
            <w:shd w:val="clear" w:color="auto" w:fill="DDEBF7"/>
          </w:tcPr>
          <w:p>
            <w:pPr>
              <w:pStyle w:val="TableParagraph"/>
              <w:spacing w:line="131" w:lineRule="exact" w:before="13"/>
              <w:ind w:left="232" w:right="258"/>
              <w:jc w:val="center"/>
              <w:rPr>
                <w:sz w:val="13"/>
              </w:rPr>
            </w:pPr>
            <w:r>
              <w:rPr>
                <w:w w:val="105"/>
                <w:sz w:val="13"/>
              </w:rPr>
              <w:t>0.3</w:t>
            </w:r>
          </w:p>
        </w:tc>
        <w:tc>
          <w:tcPr>
            <w:tcW w:w="863" w:type="dxa"/>
            <w:shd w:val="clear" w:color="auto" w:fill="DDEBF7"/>
          </w:tcPr>
          <w:p>
            <w:pPr>
              <w:pStyle w:val="TableParagraph"/>
              <w:spacing w:line="131" w:lineRule="exact" w:before="13"/>
              <w:ind w:left="231" w:right="258"/>
              <w:jc w:val="center"/>
              <w:rPr>
                <w:sz w:val="13"/>
              </w:rPr>
            </w:pPr>
            <w:r>
              <w:rPr>
                <w:w w:val="105"/>
                <w:sz w:val="13"/>
              </w:rPr>
              <w:t>0.1</w:t>
            </w:r>
          </w:p>
        </w:tc>
        <w:tc>
          <w:tcPr>
            <w:tcW w:w="863" w:type="dxa"/>
            <w:shd w:val="clear" w:color="auto" w:fill="DDEBF7"/>
          </w:tcPr>
          <w:p>
            <w:pPr>
              <w:pStyle w:val="TableParagraph"/>
              <w:spacing w:line="131" w:lineRule="exact" w:before="13"/>
              <w:ind w:left="231" w:right="258"/>
              <w:jc w:val="center"/>
              <w:rPr>
                <w:sz w:val="13"/>
              </w:rPr>
            </w:pPr>
            <w:r>
              <w:rPr>
                <w:w w:val="105"/>
                <w:sz w:val="13"/>
              </w:rPr>
              <w:t>0.0</w:t>
            </w:r>
          </w:p>
        </w:tc>
        <w:tc>
          <w:tcPr>
            <w:tcW w:w="858" w:type="dxa"/>
            <w:tcBorders>
              <w:right w:val="single" w:sz="12" w:space="0" w:color="000000"/>
            </w:tcBorders>
            <w:shd w:val="clear" w:color="auto" w:fill="DDEBF7"/>
          </w:tcPr>
          <w:p>
            <w:pPr>
              <w:pStyle w:val="TableParagraph"/>
              <w:spacing w:line="131" w:lineRule="exact" w:before="13"/>
              <w:ind w:left="231" w:right="246"/>
              <w:jc w:val="center"/>
              <w:rPr>
                <w:sz w:val="13"/>
              </w:rPr>
            </w:pPr>
            <w:r>
              <w:rPr>
                <w:w w:val="105"/>
                <w:sz w:val="13"/>
              </w:rPr>
              <w:t>0.0</w:t>
            </w:r>
          </w:p>
        </w:tc>
      </w:tr>
      <w:tr>
        <w:trPr>
          <w:trHeight w:val="164" w:hRule="atLeast"/>
        </w:trPr>
        <w:tc>
          <w:tcPr>
            <w:tcW w:w="2747" w:type="dxa"/>
          </w:tcPr>
          <w:p>
            <w:pPr>
              <w:pStyle w:val="TableParagraph"/>
              <w:spacing w:line="131" w:lineRule="exact" w:before="13"/>
              <w:ind w:left="213"/>
              <w:rPr>
                <w:sz w:val="13"/>
              </w:rPr>
            </w:pPr>
            <w:r>
              <w:rPr>
                <w:w w:val="105"/>
                <w:sz w:val="13"/>
              </w:rPr>
              <w:t>Amortizaciones</w:t>
            </w:r>
          </w:p>
        </w:tc>
        <w:tc>
          <w:tcPr>
            <w:tcW w:w="1189" w:type="dxa"/>
            <w:shd w:val="clear" w:color="auto" w:fill="E1EEDA"/>
          </w:tcPr>
          <w:p>
            <w:pPr>
              <w:pStyle w:val="TableParagraph"/>
              <w:spacing w:line="131" w:lineRule="exact" w:before="13"/>
              <w:ind w:left="216" w:right="192"/>
              <w:jc w:val="center"/>
              <w:rPr>
                <w:sz w:val="13"/>
              </w:rPr>
            </w:pPr>
            <w:r>
              <w:rPr>
                <w:w w:val="105"/>
                <w:sz w:val="13"/>
              </w:rPr>
              <w:t>0.6</w:t>
            </w:r>
          </w:p>
        </w:tc>
        <w:tc>
          <w:tcPr>
            <w:tcW w:w="1016" w:type="dxa"/>
            <w:tcBorders>
              <w:right w:val="single" w:sz="12" w:space="0" w:color="000000"/>
            </w:tcBorders>
            <w:shd w:val="clear" w:color="auto" w:fill="E1EEDA"/>
          </w:tcPr>
          <w:p>
            <w:pPr>
              <w:pStyle w:val="TableParagraph"/>
              <w:spacing w:line="131" w:lineRule="exact" w:before="13"/>
              <w:ind w:left="137" w:right="139"/>
              <w:jc w:val="center"/>
              <w:rPr>
                <w:sz w:val="13"/>
              </w:rPr>
            </w:pPr>
            <w:r>
              <w:rPr>
                <w:w w:val="105"/>
                <w:sz w:val="13"/>
              </w:rPr>
              <w:t>0.4</w:t>
            </w:r>
          </w:p>
        </w:tc>
        <w:tc>
          <w:tcPr>
            <w:tcW w:w="942" w:type="dxa"/>
            <w:tcBorders>
              <w:left w:val="single" w:sz="12" w:space="0" w:color="000000"/>
            </w:tcBorders>
            <w:shd w:val="clear" w:color="auto" w:fill="DDEBF7"/>
          </w:tcPr>
          <w:p>
            <w:pPr>
              <w:pStyle w:val="TableParagraph"/>
              <w:spacing w:line="131" w:lineRule="exact" w:before="13"/>
              <w:ind w:left="367"/>
              <w:rPr>
                <w:sz w:val="13"/>
              </w:rPr>
            </w:pPr>
            <w:r>
              <w:rPr>
                <w:w w:val="105"/>
                <w:sz w:val="13"/>
              </w:rPr>
              <w:t>0.6</w:t>
            </w:r>
          </w:p>
        </w:tc>
        <w:tc>
          <w:tcPr>
            <w:tcW w:w="863" w:type="dxa"/>
            <w:shd w:val="clear" w:color="auto" w:fill="DDEBF7"/>
          </w:tcPr>
          <w:p>
            <w:pPr>
              <w:pStyle w:val="TableParagraph"/>
              <w:spacing w:line="131" w:lineRule="exact" w:before="13"/>
              <w:ind w:left="232" w:right="258"/>
              <w:jc w:val="center"/>
              <w:rPr>
                <w:sz w:val="13"/>
              </w:rPr>
            </w:pPr>
            <w:r>
              <w:rPr>
                <w:w w:val="105"/>
                <w:sz w:val="13"/>
              </w:rPr>
              <w:t>0.4</w:t>
            </w:r>
          </w:p>
        </w:tc>
        <w:tc>
          <w:tcPr>
            <w:tcW w:w="863" w:type="dxa"/>
            <w:shd w:val="clear" w:color="auto" w:fill="DDEBF7"/>
          </w:tcPr>
          <w:p>
            <w:pPr>
              <w:pStyle w:val="TableParagraph"/>
              <w:spacing w:line="131" w:lineRule="exact" w:before="13"/>
              <w:ind w:left="231" w:right="258"/>
              <w:jc w:val="center"/>
              <w:rPr>
                <w:sz w:val="13"/>
              </w:rPr>
            </w:pPr>
            <w:r>
              <w:rPr>
                <w:w w:val="105"/>
                <w:sz w:val="13"/>
              </w:rPr>
              <w:t>0.5</w:t>
            </w:r>
          </w:p>
        </w:tc>
        <w:tc>
          <w:tcPr>
            <w:tcW w:w="863" w:type="dxa"/>
            <w:shd w:val="clear" w:color="auto" w:fill="DDEBF7"/>
          </w:tcPr>
          <w:p>
            <w:pPr>
              <w:pStyle w:val="TableParagraph"/>
              <w:spacing w:line="131" w:lineRule="exact" w:before="13"/>
              <w:ind w:left="231" w:right="258"/>
              <w:jc w:val="center"/>
              <w:rPr>
                <w:sz w:val="13"/>
              </w:rPr>
            </w:pPr>
            <w:r>
              <w:rPr>
                <w:w w:val="105"/>
                <w:sz w:val="13"/>
              </w:rPr>
              <w:t>0.7</w:t>
            </w:r>
          </w:p>
        </w:tc>
        <w:tc>
          <w:tcPr>
            <w:tcW w:w="858" w:type="dxa"/>
            <w:tcBorders>
              <w:right w:val="single" w:sz="12" w:space="0" w:color="000000"/>
            </w:tcBorders>
            <w:shd w:val="clear" w:color="auto" w:fill="DDEBF7"/>
          </w:tcPr>
          <w:p>
            <w:pPr>
              <w:pStyle w:val="TableParagraph"/>
              <w:spacing w:line="131" w:lineRule="exact" w:before="13"/>
              <w:ind w:left="231" w:right="246"/>
              <w:jc w:val="center"/>
              <w:rPr>
                <w:sz w:val="13"/>
              </w:rPr>
            </w:pPr>
            <w:r>
              <w:rPr>
                <w:w w:val="105"/>
                <w:sz w:val="13"/>
              </w:rPr>
              <w:t>0.5</w:t>
            </w:r>
          </w:p>
        </w:tc>
      </w:tr>
      <w:tr>
        <w:trPr>
          <w:trHeight w:val="163" w:hRule="atLeast"/>
        </w:trPr>
        <w:tc>
          <w:tcPr>
            <w:tcW w:w="2747" w:type="dxa"/>
          </w:tcPr>
          <w:p>
            <w:pPr>
              <w:pStyle w:val="TableParagraph"/>
              <w:spacing w:line="131" w:lineRule="exact" w:before="13"/>
              <w:ind w:left="118"/>
              <w:rPr>
                <w:sz w:val="13"/>
              </w:rPr>
            </w:pPr>
            <w:r>
              <w:rPr>
                <w:w w:val="105"/>
                <w:sz w:val="13"/>
              </w:rPr>
              <w:t>Financiamiento Interno Neto</w:t>
            </w:r>
          </w:p>
        </w:tc>
        <w:tc>
          <w:tcPr>
            <w:tcW w:w="1189" w:type="dxa"/>
            <w:shd w:val="clear" w:color="auto" w:fill="E1EEDA"/>
          </w:tcPr>
          <w:p>
            <w:pPr>
              <w:pStyle w:val="TableParagraph"/>
              <w:spacing w:line="131" w:lineRule="exact" w:before="13"/>
              <w:ind w:left="216" w:right="192"/>
              <w:jc w:val="center"/>
              <w:rPr>
                <w:sz w:val="13"/>
              </w:rPr>
            </w:pPr>
            <w:r>
              <w:rPr>
                <w:w w:val="105"/>
                <w:sz w:val="13"/>
              </w:rPr>
              <w:t>4.0</w:t>
            </w:r>
          </w:p>
        </w:tc>
        <w:tc>
          <w:tcPr>
            <w:tcW w:w="1016" w:type="dxa"/>
            <w:tcBorders>
              <w:right w:val="single" w:sz="12" w:space="0" w:color="000000"/>
            </w:tcBorders>
            <w:shd w:val="clear" w:color="auto" w:fill="E1EEDA"/>
          </w:tcPr>
          <w:p>
            <w:pPr>
              <w:pStyle w:val="TableParagraph"/>
              <w:spacing w:line="131" w:lineRule="exact" w:before="13"/>
              <w:ind w:left="137" w:right="139"/>
              <w:jc w:val="center"/>
              <w:rPr>
                <w:sz w:val="13"/>
              </w:rPr>
            </w:pPr>
            <w:r>
              <w:rPr>
                <w:w w:val="105"/>
                <w:sz w:val="13"/>
              </w:rPr>
              <w:t>2.1</w:t>
            </w:r>
          </w:p>
        </w:tc>
        <w:tc>
          <w:tcPr>
            <w:tcW w:w="942" w:type="dxa"/>
            <w:tcBorders>
              <w:left w:val="single" w:sz="12" w:space="0" w:color="000000"/>
            </w:tcBorders>
            <w:shd w:val="clear" w:color="auto" w:fill="DDEBF7"/>
          </w:tcPr>
          <w:p>
            <w:pPr>
              <w:pStyle w:val="TableParagraph"/>
              <w:spacing w:line="131" w:lineRule="exact" w:before="13"/>
              <w:ind w:left="367"/>
              <w:rPr>
                <w:sz w:val="13"/>
              </w:rPr>
            </w:pPr>
            <w:r>
              <w:rPr>
                <w:w w:val="105"/>
                <w:sz w:val="13"/>
              </w:rPr>
              <w:t>2.6</w:t>
            </w:r>
          </w:p>
        </w:tc>
        <w:tc>
          <w:tcPr>
            <w:tcW w:w="863" w:type="dxa"/>
            <w:shd w:val="clear" w:color="auto" w:fill="DDEBF7"/>
          </w:tcPr>
          <w:p>
            <w:pPr>
              <w:pStyle w:val="TableParagraph"/>
              <w:spacing w:line="131" w:lineRule="exact" w:before="13"/>
              <w:ind w:left="232" w:right="258"/>
              <w:jc w:val="center"/>
              <w:rPr>
                <w:sz w:val="13"/>
              </w:rPr>
            </w:pPr>
            <w:r>
              <w:rPr>
                <w:w w:val="105"/>
                <w:sz w:val="13"/>
              </w:rPr>
              <w:t>1.6</w:t>
            </w:r>
          </w:p>
        </w:tc>
        <w:tc>
          <w:tcPr>
            <w:tcW w:w="863" w:type="dxa"/>
            <w:shd w:val="clear" w:color="auto" w:fill="DDEBF7"/>
          </w:tcPr>
          <w:p>
            <w:pPr>
              <w:pStyle w:val="TableParagraph"/>
              <w:spacing w:line="131" w:lineRule="exact" w:before="13"/>
              <w:ind w:left="231" w:right="258"/>
              <w:jc w:val="center"/>
              <w:rPr>
                <w:sz w:val="13"/>
              </w:rPr>
            </w:pPr>
            <w:r>
              <w:rPr>
                <w:w w:val="105"/>
                <w:sz w:val="13"/>
              </w:rPr>
              <w:t>1.3</w:t>
            </w:r>
          </w:p>
        </w:tc>
        <w:tc>
          <w:tcPr>
            <w:tcW w:w="863" w:type="dxa"/>
            <w:shd w:val="clear" w:color="auto" w:fill="DDEBF7"/>
          </w:tcPr>
          <w:p>
            <w:pPr>
              <w:pStyle w:val="TableParagraph"/>
              <w:spacing w:line="131" w:lineRule="exact" w:before="13"/>
              <w:ind w:left="231" w:right="258"/>
              <w:jc w:val="center"/>
              <w:rPr>
                <w:sz w:val="13"/>
              </w:rPr>
            </w:pPr>
            <w:r>
              <w:rPr>
                <w:w w:val="105"/>
                <w:sz w:val="13"/>
              </w:rPr>
              <w:t>1.1</w:t>
            </w:r>
          </w:p>
        </w:tc>
        <w:tc>
          <w:tcPr>
            <w:tcW w:w="858" w:type="dxa"/>
            <w:tcBorders>
              <w:right w:val="single" w:sz="12" w:space="0" w:color="000000"/>
            </w:tcBorders>
            <w:shd w:val="clear" w:color="auto" w:fill="DDEBF7"/>
          </w:tcPr>
          <w:p>
            <w:pPr>
              <w:pStyle w:val="TableParagraph"/>
              <w:spacing w:line="131" w:lineRule="exact" w:before="13"/>
              <w:ind w:left="231" w:right="246"/>
              <w:jc w:val="center"/>
              <w:rPr>
                <w:sz w:val="13"/>
              </w:rPr>
            </w:pPr>
            <w:r>
              <w:rPr>
                <w:w w:val="105"/>
                <w:sz w:val="13"/>
              </w:rPr>
              <w:t>0.8</w:t>
            </w:r>
          </w:p>
        </w:tc>
      </w:tr>
      <w:tr>
        <w:trPr>
          <w:trHeight w:val="163" w:hRule="atLeast"/>
        </w:trPr>
        <w:tc>
          <w:tcPr>
            <w:tcW w:w="2747" w:type="dxa"/>
          </w:tcPr>
          <w:p>
            <w:pPr>
              <w:pStyle w:val="TableParagraph"/>
              <w:spacing w:line="131" w:lineRule="exact" w:before="13"/>
              <w:ind w:left="118"/>
              <w:rPr>
                <w:sz w:val="13"/>
              </w:rPr>
            </w:pPr>
            <w:r>
              <w:rPr>
                <w:w w:val="105"/>
                <w:sz w:val="13"/>
              </w:rPr>
              <w:t>Negociación Neta</w:t>
            </w:r>
          </w:p>
        </w:tc>
        <w:tc>
          <w:tcPr>
            <w:tcW w:w="1189" w:type="dxa"/>
            <w:shd w:val="clear" w:color="auto" w:fill="E1EEDA"/>
          </w:tcPr>
          <w:p>
            <w:pPr>
              <w:pStyle w:val="TableParagraph"/>
              <w:spacing w:line="131" w:lineRule="exact" w:before="13"/>
              <w:ind w:left="216" w:right="192"/>
              <w:jc w:val="center"/>
              <w:rPr>
                <w:sz w:val="13"/>
              </w:rPr>
            </w:pPr>
            <w:r>
              <w:rPr>
                <w:w w:val="105"/>
                <w:sz w:val="13"/>
              </w:rPr>
              <w:t>2.2</w:t>
            </w:r>
          </w:p>
        </w:tc>
        <w:tc>
          <w:tcPr>
            <w:tcW w:w="1016" w:type="dxa"/>
            <w:tcBorders>
              <w:right w:val="single" w:sz="12" w:space="0" w:color="000000"/>
            </w:tcBorders>
            <w:shd w:val="clear" w:color="auto" w:fill="E1EEDA"/>
          </w:tcPr>
          <w:p>
            <w:pPr>
              <w:pStyle w:val="TableParagraph"/>
              <w:spacing w:line="131" w:lineRule="exact" w:before="13"/>
              <w:ind w:left="137" w:right="139"/>
              <w:jc w:val="center"/>
              <w:rPr>
                <w:sz w:val="13"/>
              </w:rPr>
            </w:pPr>
            <w:r>
              <w:rPr>
                <w:w w:val="105"/>
                <w:sz w:val="13"/>
              </w:rPr>
              <w:t>1.7</w:t>
            </w:r>
          </w:p>
        </w:tc>
        <w:tc>
          <w:tcPr>
            <w:tcW w:w="942" w:type="dxa"/>
            <w:tcBorders>
              <w:left w:val="single" w:sz="12" w:space="0" w:color="000000"/>
            </w:tcBorders>
            <w:shd w:val="clear" w:color="auto" w:fill="DDEBF7"/>
          </w:tcPr>
          <w:p>
            <w:pPr>
              <w:pStyle w:val="TableParagraph"/>
              <w:spacing w:line="131" w:lineRule="exact" w:before="13"/>
              <w:ind w:left="367"/>
              <w:rPr>
                <w:sz w:val="13"/>
              </w:rPr>
            </w:pPr>
            <w:r>
              <w:rPr>
                <w:w w:val="105"/>
                <w:sz w:val="13"/>
              </w:rPr>
              <w:t>1.7</w:t>
            </w:r>
          </w:p>
        </w:tc>
        <w:tc>
          <w:tcPr>
            <w:tcW w:w="863" w:type="dxa"/>
            <w:shd w:val="clear" w:color="auto" w:fill="DDEBF7"/>
          </w:tcPr>
          <w:p>
            <w:pPr>
              <w:pStyle w:val="TableParagraph"/>
              <w:spacing w:line="131" w:lineRule="exact" w:before="13"/>
              <w:ind w:left="232" w:right="258"/>
              <w:jc w:val="center"/>
              <w:rPr>
                <w:sz w:val="13"/>
              </w:rPr>
            </w:pPr>
            <w:r>
              <w:rPr>
                <w:w w:val="105"/>
                <w:sz w:val="13"/>
              </w:rPr>
              <w:t>1.6</w:t>
            </w:r>
          </w:p>
        </w:tc>
        <w:tc>
          <w:tcPr>
            <w:tcW w:w="863" w:type="dxa"/>
            <w:shd w:val="clear" w:color="auto" w:fill="DDEBF7"/>
          </w:tcPr>
          <w:p>
            <w:pPr>
              <w:pStyle w:val="TableParagraph"/>
              <w:spacing w:line="131" w:lineRule="exact" w:before="13"/>
              <w:ind w:left="231" w:right="258"/>
              <w:jc w:val="center"/>
              <w:rPr>
                <w:sz w:val="13"/>
              </w:rPr>
            </w:pPr>
            <w:r>
              <w:rPr>
                <w:w w:val="105"/>
                <w:sz w:val="13"/>
              </w:rPr>
              <w:t>1.3</w:t>
            </w:r>
          </w:p>
        </w:tc>
        <w:tc>
          <w:tcPr>
            <w:tcW w:w="863" w:type="dxa"/>
            <w:shd w:val="clear" w:color="auto" w:fill="DDEBF7"/>
          </w:tcPr>
          <w:p>
            <w:pPr>
              <w:pStyle w:val="TableParagraph"/>
              <w:spacing w:line="131" w:lineRule="exact" w:before="13"/>
              <w:ind w:left="231" w:right="258"/>
              <w:jc w:val="center"/>
              <w:rPr>
                <w:sz w:val="13"/>
              </w:rPr>
            </w:pPr>
            <w:r>
              <w:rPr>
                <w:w w:val="105"/>
                <w:sz w:val="13"/>
              </w:rPr>
              <w:t>1.1</w:t>
            </w:r>
          </w:p>
        </w:tc>
        <w:tc>
          <w:tcPr>
            <w:tcW w:w="858" w:type="dxa"/>
            <w:tcBorders>
              <w:right w:val="single" w:sz="12" w:space="0" w:color="000000"/>
            </w:tcBorders>
            <w:shd w:val="clear" w:color="auto" w:fill="DDEBF7"/>
          </w:tcPr>
          <w:p>
            <w:pPr>
              <w:pStyle w:val="TableParagraph"/>
              <w:spacing w:line="131" w:lineRule="exact" w:before="13"/>
              <w:ind w:left="231" w:right="246"/>
              <w:jc w:val="center"/>
              <w:rPr>
                <w:sz w:val="13"/>
              </w:rPr>
            </w:pPr>
            <w:r>
              <w:rPr>
                <w:w w:val="105"/>
                <w:sz w:val="13"/>
              </w:rPr>
              <w:t>0.8</w:t>
            </w:r>
          </w:p>
        </w:tc>
      </w:tr>
      <w:tr>
        <w:trPr>
          <w:trHeight w:val="163" w:hRule="atLeast"/>
        </w:trPr>
        <w:tc>
          <w:tcPr>
            <w:tcW w:w="2747" w:type="dxa"/>
          </w:tcPr>
          <w:p>
            <w:pPr>
              <w:pStyle w:val="TableParagraph"/>
              <w:spacing w:line="131" w:lineRule="exact" w:before="13"/>
              <w:ind w:left="213"/>
              <w:rPr>
                <w:sz w:val="13"/>
              </w:rPr>
            </w:pPr>
            <w:r>
              <w:rPr>
                <w:w w:val="105"/>
                <w:sz w:val="13"/>
              </w:rPr>
              <w:t>Negociaciones</w:t>
            </w:r>
          </w:p>
        </w:tc>
        <w:tc>
          <w:tcPr>
            <w:tcW w:w="1189" w:type="dxa"/>
            <w:shd w:val="clear" w:color="auto" w:fill="E1EEDA"/>
          </w:tcPr>
          <w:p>
            <w:pPr>
              <w:pStyle w:val="TableParagraph"/>
              <w:spacing w:line="131" w:lineRule="exact" w:before="13"/>
              <w:ind w:left="216" w:right="192"/>
              <w:jc w:val="center"/>
              <w:rPr>
                <w:sz w:val="13"/>
              </w:rPr>
            </w:pPr>
            <w:r>
              <w:rPr>
                <w:w w:val="105"/>
                <w:sz w:val="13"/>
              </w:rPr>
              <w:t>2.3</w:t>
            </w:r>
          </w:p>
        </w:tc>
        <w:tc>
          <w:tcPr>
            <w:tcW w:w="1016" w:type="dxa"/>
            <w:tcBorders>
              <w:right w:val="single" w:sz="12" w:space="0" w:color="000000"/>
            </w:tcBorders>
            <w:shd w:val="clear" w:color="auto" w:fill="E1EEDA"/>
          </w:tcPr>
          <w:p>
            <w:pPr>
              <w:pStyle w:val="TableParagraph"/>
              <w:spacing w:line="131" w:lineRule="exact" w:before="13"/>
              <w:ind w:left="137" w:right="139"/>
              <w:jc w:val="center"/>
              <w:rPr>
                <w:sz w:val="13"/>
              </w:rPr>
            </w:pPr>
            <w:r>
              <w:rPr>
                <w:w w:val="105"/>
                <w:sz w:val="13"/>
              </w:rPr>
              <w:t>1.8</w:t>
            </w:r>
          </w:p>
        </w:tc>
        <w:tc>
          <w:tcPr>
            <w:tcW w:w="942" w:type="dxa"/>
            <w:tcBorders>
              <w:left w:val="single" w:sz="12" w:space="0" w:color="000000"/>
            </w:tcBorders>
            <w:shd w:val="clear" w:color="auto" w:fill="DDEBF7"/>
          </w:tcPr>
          <w:p>
            <w:pPr>
              <w:pStyle w:val="TableParagraph"/>
              <w:spacing w:line="131" w:lineRule="exact" w:before="13"/>
              <w:ind w:left="367"/>
              <w:rPr>
                <w:sz w:val="13"/>
              </w:rPr>
            </w:pPr>
            <w:r>
              <w:rPr>
                <w:w w:val="105"/>
                <w:sz w:val="13"/>
              </w:rPr>
              <w:t>2.1</w:t>
            </w:r>
          </w:p>
        </w:tc>
        <w:tc>
          <w:tcPr>
            <w:tcW w:w="863" w:type="dxa"/>
            <w:shd w:val="clear" w:color="auto" w:fill="DDEBF7"/>
          </w:tcPr>
          <w:p>
            <w:pPr>
              <w:pStyle w:val="TableParagraph"/>
              <w:spacing w:line="131" w:lineRule="exact" w:before="13"/>
              <w:ind w:left="232" w:right="258"/>
              <w:jc w:val="center"/>
              <w:rPr>
                <w:sz w:val="13"/>
              </w:rPr>
            </w:pPr>
            <w:r>
              <w:rPr>
                <w:w w:val="105"/>
                <w:sz w:val="13"/>
              </w:rPr>
              <w:t>2.5</w:t>
            </w:r>
          </w:p>
        </w:tc>
        <w:tc>
          <w:tcPr>
            <w:tcW w:w="863" w:type="dxa"/>
            <w:shd w:val="clear" w:color="auto" w:fill="DDEBF7"/>
          </w:tcPr>
          <w:p>
            <w:pPr>
              <w:pStyle w:val="TableParagraph"/>
              <w:spacing w:line="131" w:lineRule="exact" w:before="13"/>
              <w:ind w:left="231" w:right="258"/>
              <w:jc w:val="center"/>
              <w:rPr>
                <w:sz w:val="13"/>
              </w:rPr>
            </w:pPr>
            <w:r>
              <w:rPr>
                <w:w w:val="105"/>
                <w:sz w:val="13"/>
              </w:rPr>
              <w:t>2.0</w:t>
            </w:r>
          </w:p>
        </w:tc>
        <w:tc>
          <w:tcPr>
            <w:tcW w:w="863" w:type="dxa"/>
            <w:shd w:val="clear" w:color="auto" w:fill="DDEBF7"/>
          </w:tcPr>
          <w:p>
            <w:pPr>
              <w:pStyle w:val="TableParagraph"/>
              <w:spacing w:line="131" w:lineRule="exact" w:before="13"/>
              <w:ind w:left="231" w:right="258"/>
              <w:jc w:val="center"/>
              <w:rPr>
                <w:sz w:val="13"/>
              </w:rPr>
            </w:pPr>
            <w:r>
              <w:rPr>
                <w:w w:val="105"/>
                <w:sz w:val="13"/>
              </w:rPr>
              <w:t>1.7</w:t>
            </w:r>
          </w:p>
        </w:tc>
        <w:tc>
          <w:tcPr>
            <w:tcW w:w="858" w:type="dxa"/>
            <w:tcBorders>
              <w:right w:val="single" w:sz="12" w:space="0" w:color="000000"/>
            </w:tcBorders>
            <w:shd w:val="clear" w:color="auto" w:fill="DDEBF7"/>
          </w:tcPr>
          <w:p>
            <w:pPr>
              <w:pStyle w:val="TableParagraph"/>
              <w:spacing w:line="131" w:lineRule="exact" w:before="13"/>
              <w:ind w:left="231" w:right="246"/>
              <w:jc w:val="center"/>
              <w:rPr>
                <w:sz w:val="13"/>
              </w:rPr>
            </w:pPr>
            <w:r>
              <w:rPr>
                <w:w w:val="105"/>
                <w:sz w:val="13"/>
              </w:rPr>
              <w:t>1.4</w:t>
            </w:r>
          </w:p>
        </w:tc>
      </w:tr>
      <w:tr>
        <w:trPr>
          <w:trHeight w:val="164" w:hRule="atLeast"/>
        </w:trPr>
        <w:tc>
          <w:tcPr>
            <w:tcW w:w="2747" w:type="dxa"/>
          </w:tcPr>
          <w:p>
            <w:pPr>
              <w:pStyle w:val="TableParagraph"/>
              <w:spacing w:line="131" w:lineRule="exact" w:before="13"/>
              <w:ind w:left="213"/>
              <w:rPr>
                <w:sz w:val="13"/>
              </w:rPr>
            </w:pPr>
            <w:r>
              <w:rPr>
                <w:w w:val="105"/>
                <w:sz w:val="13"/>
              </w:rPr>
              <w:t>Amortizaciones</w:t>
            </w:r>
          </w:p>
        </w:tc>
        <w:tc>
          <w:tcPr>
            <w:tcW w:w="1189" w:type="dxa"/>
            <w:shd w:val="clear" w:color="auto" w:fill="E1EEDA"/>
          </w:tcPr>
          <w:p>
            <w:pPr>
              <w:pStyle w:val="TableParagraph"/>
              <w:spacing w:line="131" w:lineRule="exact" w:before="13"/>
              <w:ind w:left="216" w:right="192"/>
              <w:jc w:val="center"/>
              <w:rPr>
                <w:sz w:val="13"/>
              </w:rPr>
            </w:pPr>
            <w:r>
              <w:rPr>
                <w:w w:val="105"/>
                <w:sz w:val="13"/>
              </w:rPr>
              <w:t>0.1</w:t>
            </w:r>
          </w:p>
        </w:tc>
        <w:tc>
          <w:tcPr>
            <w:tcW w:w="1016" w:type="dxa"/>
            <w:tcBorders>
              <w:right w:val="single" w:sz="12" w:space="0" w:color="000000"/>
            </w:tcBorders>
            <w:shd w:val="clear" w:color="auto" w:fill="E1EEDA"/>
          </w:tcPr>
          <w:p>
            <w:pPr>
              <w:pStyle w:val="TableParagraph"/>
              <w:spacing w:line="131" w:lineRule="exact" w:before="13"/>
              <w:ind w:left="137" w:right="139"/>
              <w:jc w:val="center"/>
              <w:rPr>
                <w:sz w:val="13"/>
              </w:rPr>
            </w:pPr>
            <w:r>
              <w:rPr>
                <w:w w:val="105"/>
                <w:sz w:val="13"/>
              </w:rPr>
              <w:t>0.1</w:t>
            </w:r>
          </w:p>
        </w:tc>
        <w:tc>
          <w:tcPr>
            <w:tcW w:w="942" w:type="dxa"/>
            <w:tcBorders>
              <w:left w:val="single" w:sz="12" w:space="0" w:color="000000"/>
            </w:tcBorders>
            <w:shd w:val="clear" w:color="auto" w:fill="DDEBF7"/>
          </w:tcPr>
          <w:p>
            <w:pPr>
              <w:pStyle w:val="TableParagraph"/>
              <w:spacing w:line="131" w:lineRule="exact" w:before="13"/>
              <w:ind w:left="367"/>
              <w:rPr>
                <w:sz w:val="13"/>
              </w:rPr>
            </w:pPr>
            <w:r>
              <w:rPr>
                <w:w w:val="105"/>
                <w:sz w:val="13"/>
              </w:rPr>
              <w:t>0.4</w:t>
            </w:r>
          </w:p>
        </w:tc>
        <w:tc>
          <w:tcPr>
            <w:tcW w:w="863" w:type="dxa"/>
            <w:shd w:val="clear" w:color="auto" w:fill="DDEBF7"/>
          </w:tcPr>
          <w:p>
            <w:pPr>
              <w:pStyle w:val="TableParagraph"/>
              <w:spacing w:line="131" w:lineRule="exact" w:before="13"/>
              <w:ind w:left="232" w:right="258"/>
              <w:jc w:val="center"/>
              <w:rPr>
                <w:sz w:val="13"/>
              </w:rPr>
            </w:pPr>
            <w:r>
              <w:rPr>
                <w:w w:val="105"/>
                <w:sz w:val="13"/>
              </w:rPr>
              <w:t>0.0</w:t>
            </w:r>
          </w:p>
        </w:tc>
        <w:tc>
          <w:tcPr>
            <w:tcW w:w="863" w:type="dxa"/>
            <w:shd w:val="clear" w:color="auto" w:fill="DDEBF7"/>
          </w:tcPr>
          <w:p>
            <w:pPr>
              <w:pStyle w:val="TableParagraph"/>
              <w:spacing w:line="131" w:lineRule="exact" w:before="13"/>
              <w:ind w:left="231" w:right="258"/>
              <w:jc w:val="center"/>
              <w:rPr>
                <w:sz w:val="13"/>
              </w:rPr>
            </w:pPr>
            <w:r>
              <w:rPr>
                <w:w w:val="105"/>
                <w:sz w:val="13"/>
              </w:rPr>
              <w:t>0.0</w:t>
            </w:r>
          </w:p>
        </w:tc>
        <w:tc>
          <w:tcPr>
            <w:tcW w:w="863" w:type="dxa"/>
            <w:shd w:val="clear" w:color="auto" w:fill="DDEBF7"/>
          </w:tcPr>
          <w:p>
            <w:pPr>
              <w:pStyle w:val="TableParagraph"/>
              <w:spacing w:line="131" w:lineRule="exact" w:before="13"/>
              <w:ind w:left="231" w:right="258"/>
              <w:jc w:val="center"/>
              <w:rPr>
                <w:sz w:val="13"/>
              </w:rPr>
            </w:pPr>
            <w:r>
              <w:rPr>
                <w:w w:val="105"/>
                <w:sz w:val="13"/>
              </w:rPr>
              <w:t>0.0</w:t>
            </w:r>
          </w:p>
        </w:tc>
        <w:tc>
          <w:tcPr>
            <w:tcW w:w="858" w:type="dxa"/>
            <w:tcBorders>
              <w:right w:val="single" w:sz="12" w:space="0" w:color="000000"/>
            </w:tcBorders>
            <w:shd w:val="clear" w:color="auto" w:fill="DDEBF7"/>
          </w:tcPr>
          <w:p>
            <w:pPr>
              <w:pStyle w:val="TableParagraph"/>
              <w:spacing w:line="131" w:lineRule="exact" w:before="13"/>
              <w:ind w:left="231" w:right="246"/>
              <w:jc w:val="center"/>
              <w:rPr>
                <w:sz w:val="13"/>
              </w:rPr>
            </w:pPr>
            <w:r>
              <w:rPr>
                <w:w w:val="105"/>
                <w:sz w:val="13"/>
              </w:rPr>
              <w:t>0.0</w:t>
            </w:r>
          </w:p>
        </w:tc>
      </w:tr>
      <w:tr>
        <w:trPr>
          <w:trHeight w:val="163" w:hRule="atLeast"/>
        </w:trPr>
        <w:tc>
          <w:tcPr>
            <w:tcW w:w="2747" w:type="dxa"/>
          </w:tcPr>
          <w:p>
            <w:pPr>
              <w:pStyle w:val="TableParagraph"/>
              <w:spacing w:line="131" w:lineRule="exact" w:before="13"/>
              <w:ind w:left="213"/>
              <w:rPr>
                <w:sz w:val="13"/>
              </w:rPr>
            </w:pPr>
            <w:r>
              <w:rPr>
                <w:w w:val="105"/>
                <w:sz w:val="13"/>
              </w:rPr>
              <w:t>Amortización (costo de la política monetaria)</w:t>
            </w:r>
          </w:p>
        </w:tc>
        <w:tc>
          <w:tcPr>
            <w:tcW w:w="1189" w:type="dxa"/>
            <w:shd w:val="clear" w:color="auto" w:fill="E1EEDA"/>
          </w:tcPr>
          <w:p>
            <w:pPr>
              <w:pStyle w:val="TableParagraph"/>
              <w:rPr>
                <w:sz w:val="10"/>
              </w:rPr>
            </w:pPr>
          </w:p>
        </w:tc>
        <w:tc>
          <w:tcPr>
            <w:tcW w:w="1016" w:type="dxa"/>
            <w:tcBorders>
              <w:right w:val="single" w:sz="12" w:space="0" w:color="000000"/>
            </w:tcBorders>
            <w:shd w:val="clear" w:color="auto" w:fill="E1EEDA"/>
          </w:tcPr>
          <w:p>
            <w:pPr>
              <w:pStyle w:val="TableParagraph"/>
              <w:rPr>
                <w:sz w:val="10"/>
              </w:rPr>
            </w:pPr>
          </w:p>
        </w:tc>
        <w:tc>
          <w:tcPr>
            <w:tcW w:w="942" w:type="dxa"/>
            <w:tcBorders>
              <w:left w:val="single" w:sz="12" w:space="0" w:color="000000"/>
            </w:tcBorders>
            <w:shd w:val="clear" w:color="auto" w:fill="DDEBF7"/>
          </w:tcPr>
          <w:p>
            <w:pPr>
              <w:pStyle w:val="TableParagraph"/>
              <w:spacing w:line="131" w:lineRule="exact" w:before="13"/>
              <w:ind w:left="367"/>
              <w:rPr>
                <w:sz w:val="13"/>
              </w:rPr>
            </w:pPr>
            <w:r>
              <w:rPr>
                <w:w w:val="105"/>
                <w:sz w:val="13"/>
              </w:rPr>
              <w:t>0.0</w:t>
            </w:r>
          </w:p>
        </w:tc>
        <w:tc>
          <w:tcPr>
            <w:tcW w:w="863" w:type="dxa"/>
            <w:shd w:val="clear" w:color="auto" w:fill="DDEBF7"/>
          </w:tcPr>
          <w:p>
            <w:pPr>
              <w:pStyle w:val="TableParagraph"/>
              <w:rPr>
                <w:sz w:val="10"/>
              </w:rPr>
            </w:pPr>
          </w:p>
        </w:tc>
        <w:tc>
          <w:tcPr>
            <w:tcW w:w="863" w:type="dxa"/>
            <w:shd w:val="clear" w:color="auto" w:fill="DDEBF7"/>
          </w:tcPr>
          <w:p>
            <w:pPr>
              <w:pStyle w:val="TableParagraph"/>
              <w:rPr>
                <w:sz w:val="10"/>
              </w:rPr>
            </w:pPr>
          </w:p>
        </w:tc>
        <w:tc>
          <w:tcPr>
            <w:tcW w:w="863" w:type="dxa"/>
            <w:shd w:val="clear" w:color="auto" w:fill="DDEBF7"/>
          </w:tcPr>
          <w:p>
            <w:pPr>
              <w:pStyle w:val="TableParagraph"/>
              <w:rPr>
                <w:sz w:val="10"/>
              </w:rPr>
            </w:pPr>
          </w:p>
        </w:tc>
        <w:tc>
          <w:tcPr>
            <w:tcW w:w="858" w:type="dxa"/>
            <w:tcBorders>
              <w:right w:val="single" w:sz="12" w:space="0" w:color="000000"/>
            </w:tcBorders>
            <w:shd w:val="clear" w:color="auto" w:fill="DDEBF7"/>
          </w:tcPr>
          <w:p>
            <w:pPr>
              <w:pStyle w:val="TableParagraph"/>
              <w:rPr>
                <w:sz w:val="10"/>
              </w:rPr>
            </w:pPr>
          </w:p>
        </w:tc>
      </w:tr>
      <w:tr>
        <w:trPr>
          <w:trHeight w:val="161" w:hRule="atLeast"/>
        </w:trPr>
        <w:tc>
          <w:tcPr>
            <w:tcW w:w="2747" w:type="dxa"/>
            <w:tcBorders>
              <w:bottom w:val="single" w:sz="12" w:space="0" w:color="000000"/>
            </w:tcBorders>
          </w:tcPr>
          <w:p>
            <w:pPr>
              <w:pStyle w:val="TableParagraph"/>
              <w:spacing w:line="128" w:lineRule="exact" w:before="13"/>
              <w:ind w:left="118"/>
              <w:rPr>
                <w:sz w:val="13"/>
              </w:rPr>
            </w:pPr>
            <w:r>
              <w:rPr>
                <w:w w:val="105"/>
                <w:sz w:val="13"/>
              </w:rPr>
              <w:t>Variación de Caja y Bancos</w:t>
            </w:r>
          </w:p>
        </w:tc>
        <w:tc>
          <w:tcPr>
            <w:tcW w:w="1189" w:type="dxa"/>
            <w:tcBorders>
              <w:bottom w:val="single" w:sz="12" w:space="0" w:color="000000"/>
            </w:tcBorders>
            <w:shd w:val="clear" w:color="auto" w:fill="E1EEDA"/>
          </w:tcPr>
          <w:p>
            <w:pPr>
              <w:pStyle w:val="TableParagraph"/>
              <w:spacing w:line="128" w:lineRule="exact" w:before="13"/>
              <w:ind w:left="216" w:right="192"/>
              <w:jc w:val="center"/>
              <w:rPr>
                <w:sz w:val="13"/>
              </w:rPr>
            </w:pPr>
            <w:r>
              <w:rPr>
                <w:w w:val="105"/>
                <w:sz w:val="13"/>
              </w:rPr>
              <w:t>1.7</w:t>
            </w:r>
          </w:p>
        </w:tc>
        <w:tc>
          <w:tcPr>
            <w:tcW w:w="1016" w:type="dxa"/>
            <w:tcBorders>
              <w:bottom w:val="single" w:sz="12" w:space="0" w:color="000000"/>
              <w:right w:val="single" w:sz="12" w:space="0" w:color="000000"/>
            </w:tcBorders>
            <w:shd w:val="clear" w:color="auto" w:fill="E1EEDA"/>
          </w:tcPr>
          <w:p>
            <w:pPr>
              <w:pStyle w:val="TableParagraph"/>
              <w:spacing w:line="128" w:lineRule="exact" w:before="13"/>
              <w:ind w:left="137" w:right="139"/>
              <w:jc w:val="center"/>
              <w:rPr>
                <w:sz w:val="13"/>
              </w:rPr>
            </w:pPr>
            <w:r>
              <w:rPr>
                <w:w w:val="105"/>
                <w:sz w:val="13"/>
              </w:rPr>
              <w:t>0.4</w:t>
            </w:r>
          </w:p>
        </w:tc>
        <w:tc>
          <w:tcPr>
            <w:tcW w:w="942" w:type="dxa"/>
            <w:tcBorders>
              <w:left w:val="single" w:sz="12" w:space="0" w:color="000000"/>
              <w:bottom w:val="single" w:sz="12" w:space="0" w:color="000000"/>
            </w:tcBorders>
            <w:shd w:val="clear" w:color="auto" w:fill="DDEBF7"/>
          </w:tcPr>
          <w:p>
            <w:pPr>
              <w:pStyle w:val="TableParagraph"/>
              <w:spacing w:line="128" w:lineRule="exact" w:before="13"/>
              <w:ind w:left="367"/>
              <w:rPr>
                <w:sz w:val="13"/>
              </w:rPr>
            </w:pPr>
            <w:r>
              <w:rPr>
                <w:w w:val="105"/>
                <w:sz w:val="13"/>
              </w:rPr>
              <w:t>0.9</w:t>
            </w:r>
          </w:p>
        </w:tc>
        <w:tc>
          <w:tcPr>
            <w:tcW w:w="863" w:type="dxa"/>
            <w:tcBorders>
              <w:bottom w:val="single" w:sz="12" w:space="0" w:color="000000"/>
            </w:tcBorders>
            <w:shd w:val="clear" w:color="auto" w:fill="DDEBF7"/>
          </w:tcPr>
          <w:p>
            <w:pPr>
              <w:pStyle w:val="TableParagraph"/>
              <w:spacing w:line="128" w:lineRule="exact" w:before="13"/>
              <w:ind w:left="232" w:right="258"/>
              <w:jc w:val="center"/>
              <w:rPr>
                <w:sz w:val="13"/>
              </w:rPr>
            </w:pPr>
            <w:r>
              <w:rPr>
                <w:w w:val="105"/>
                <w:sz w:val="13"/>
              </w:rPr>
              <w:t>0.0</w:t>
            </w:r>
          </w:p>
        </w:tc>
        <w:tc>
          <w:tcPr>
            <w:tcW w:w="863" w:type="dxa"/>
            <w:tcBorders>
              <w:bottom w:val="single" w:sz="12" w:space="0" w:color="000000"/>
            </w:tcBorders>
            <w:shd w:val="clear" w:color="auto" w:fill="DDEBF7"/>
          </w:tcPr>
          <w:p>
            <w:pPr>
              <w:pStyle w:val="TableParagraph"/>
              <w:spacing w:line="128" w:lineRule="exact" w:before="13"/>
              <w:ind w:left="231" w:right="258"/>
              <w:jc w:val="center"/>
              <w:rPr>
                <w:sz w:val="13"/>
              </w:rPr>
            </w:pPr>
            <w:r>
              <w:rPr>
                <w:w w:val="105"/>
                <w:sz w:val="13"/>
              </w:rPr>
              <w:t>0.0</w:t>
            </w:r>
          </w:p>
        </w:tc>
        <w:tc>
          <w:tcPr>
            <w:tcW w:w="863" w:type="dxa"/>
            <w:tcBorders>
              <w:bottom w:val="single" w:sz="12" w:space="0" w:color="000000"/>
            </w:tcBorders>
            <w:shd w:val="clear" w:color="auto" w:fill="DDEBF7"/>
          </w:tcPr>
          <w:p>
            <w:pPr>
              <w:pStyle w:val="TableParagraph"/>
              <w:spacing w:line="128" w:lineRule="exact" w:before="13"/>
              <w:ind w:left="231" w:right="258"/>
              <w:jc w:val="center"/>
              <w:rPr>
                <w:sz w:val="13"/>
              </w:rPr>
            </w:pPr>
            <w:r>
              <w:rPr>
                <w:w w:val="105"/>
                <w:sz w:val="13"/>
              </w:rPr>
              <w:t>0.0</w:t>
            </w:r>
          </w:p>
        </w:tc>
        <w:tc>
          <w:tcPr>
            <w:tcW w:w="858" w:type="dxa"/>
            <w:tcBorders>
              <w:bottom w:val="single" w:sz="12" w:space="0" w:color="000000"/>
              <w:right w:val="single" w:sz="12" w:space="0" w:color="000000"/>
            </w:tcBorders>
            <w:shd w:val="clear" w:color="auto" w:fill="DDEBF7"/>
          </w:tcPr>
          <w:p>
            <w:pPr>
              <w:pStyle w:val="TableParagraph"/>
              <w:spacing w:line="128" w:lineRule="exact" w:before="13"/>
              <w:ind w:left="231" w:right="246"/>
              <w:jc w:val="center"/>
              <w:rPr>
                <w:sz w:val="13"/>
              </w:rPr>
            </w:pPr>
            <w:r>
              <w:rPr>
                <w:w w:val="105"/>
                <w:sz w:val="13"/>
              </w:rPr>
              <w:t>0.0</w:t>
            </w:r>
          </w:p>
        </w:tc>
      </w:tr>
    </w:tbl>
    <w:tbl>
      <w:tblPr>
        <w:tblW w:w="0" w:type="auto"/>
        <w:jc w:val="left"/>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24"/>
        <w:gridCol w:w="1480"/>
        <w:gridCol w:w="942"/>
        <w:gridCol w:w="884"/>
        <w:gridCol w:w="863"/>
        <w:gridCol w:w="863"/>
        <w:gridCol w:w="736"/>
      </w:tblGrid>
      <w:tr>
        <w:trPr>
          <w:trHeight w:val="165" w:hRule="atLeast"/>
        </w:trPr>
        <w:tc>
          <w:tcPr>
            <w:tcW w:w="3524" w:type="dxa"/>
          </w:tcPr>
          <w:p>
            <w:pPr>
              <w:pStyle w:val="TableParagraph"/>
              <w:spacing w:line="145" w:lineRule="exact"/>
              <w:ind w:right="740"/>
              <w:jc w:val="right"/>
              <w:rPr>
                <w:b/>
                <w:sz w:val="13"/>
              </w:rPr>
            </w:pPr>
            <w:r>
              <w:rPr>
                <w:b/>
                <w:w w:val="105"/>
                <w:sz w:val="13"/>
              </w:rPr>
              <w:t>PIB a precios corrientes (millones de quetzales)</w:t>
            </w:r>
          </w:p>
        </w:tc>
        <w:tc>
          <w:tcPr>
            <w:tcW w:w="1480" w:type="dxa"/>
          </w:tcPr>
          <w:p>
            <w:pPr>
              <w:pStyle w:val="TableParagraph"/>
              <w:spacing w:line="145" w:lineRule="exact"/>
              <w:ind w:left="696" w:right="197"/>
              <w:jc w:val="center"/>
              <w:rPr>
                <w:sz w:val="13"/>
              </w:rPr>
            </w:pPr>
            <w:r>
              <w:rPr>
                <w:w w:val="105"/>
                <w:sz w:val="13"/>
              </w:rPr>
              <w:t>709,829.8</w:t>
            </w:r>
          </w:p>
        </w:tc>
        <w:tc>
          <w:tcPr>
            <w:tcW w:w="942" w:type="dxa"/>
          </w:tcPr>
          <w:p>
            <w:pPr>
              <w:pStyle w:val="TableParagraph"/>
              <w:spacing w:line="145" w:lineRule="exact"/>
              <w:ind w:left="195" w:right="161"/>
              <w:jc w:val="center"/>
              <w:rPr>
                <w:sz w:val="13"/>
              </w:rPr>
            </w:pPr>
            <w:r>
              <w:rPr>
                <w:w w:val="105"/>
                <w:sz w:val="13"/>
              </w:rPr>
              <w:t>755,122.2</w:t>
            </w:r>
          </w:p>
        </w:tc>
        <w:tc>
          <w:tcPr>
            <w:tcW w:w="884" w:type="dxa"/>
          </w:tcPr>
          <w:p>
            <w:pPr>
              <w:pStyle w:val="TableParagraph"/>
              <w:spacing w:line="145" w:lineRule="exact"/>
              <w:ind w:left="158" w:right="140"/>
              <w:jc w:val="center"/>
              <w:rPr>
                <w:sz w:val="13"/>
              </w:rPr>
            </w:pPr>
            <w:r>
              <w:rPr>
                <w:w w:val="105"/>
                <w:sz w:val="13"/>
              </w:rPr>
              <w:t>801,981.8</w:t>
            </w:r>
          </w:p>
        </w:tc>
        <w:tc>
          <w:tcPr>
            <w:tcW w:w="863" w:type="dxa"/>
          </w:tcPr>
          <w:p>
            <w:pPr>
              <w:pStyle w:val="TableParagraph"/>
              <w:spacing w:line="145" w:lineRule="exact"/>
              <w:ind w:left="123" w:right="123"/>
              <w:jc w:val="center"/>
              <w:rPr>
                <w:sz w:val="13"/>
              </w:rPr>
            </w:pPr>
            <w:r>
              <w:rPr>
                <w:w w:val="105"/>
                <w:sz w:val="13"/>
              </w:rPr>
              <w:t>851,908.5</w:t>
            </w:r>
          </w:p>
        </w:tc>
        <w:tc>
          <w:tcPr>
            <w:tcW w:w="863" w:type="dxa"/>
          </w:tcPr>
          <w:p>
            <w:pPr>
              <w:pStyle w:val="TableParagraph"/>
              <w:spacing w:line="145" w:lineRule="exact"/>
              <w:ind w:left="123" w:right="123"/>
              <w:jc w:val="center"/>
              <w:rPr>
                <w:sz w:val="13"/>
              </w:rPr>
            </w:pPr>
            <w:r>
              <w:rPr>
                <w:w w:val="105"/>
                <w:sz w:val="13"/>
              </w:rPr>
              <w:t>906,567.0</w:t>
            </w:r>
          </w:p>
        </w:tc>
        <w:tc>
          <w:tcPr>
            <w:tcW w:w="736" w:type="dxa"/>
          </w:tcPr>
          <w:p>
            <w:pPr>
              <w:pStyle w:val="TableParagraph"/>
              <w:spacing w:line="145" w:lineRule="exact"/>
              <w:ind w:left="136" w:right="13"/>
              <w:jc w:val="center"/>
              <w:rPr>
                <w:sz w:val="13"/>
              </w:rPr>
            </w:pPr>
            <w:r>
              <w:rPr>
                <w:w w:val="105"/>
                <w:sz w:val="13"/>
              </w:rPr>
              <w:t>964,774.1</w:t>
            </w:r>
          </w:p>
        </w:tc>
      </w:tr>
      <w:tr>
        <w:trPr>
          <w:trHeight w:val="165" w:hRule="atLeast"/>
        </w:trPr>
        <w:tc>
          <w:tcPr>
            <w:tcW w:w="3524" w:type="dxa"/>
          </w:tcPr>
          <w:p>
            <w:pPr>
              <w:pStyle w:val="TableParagraph"/>
              <w:spacing w:line="131" w:lineRule="exact" w:before="14"/>
              <w:ind w:right="733"/>
              <w:jc w:val="right"/>
              <w:rPr>
                <w:b/>
                <w:sz w:val="13"/>
              </w:rPr>
            </w:pPr>
            <w:r>
              <w:rPr>
                <w:b/>
                <w:w w:val="105"/>
                <w:sz w:val="13"/>
              </w:rPr>
              <w:t>Techo Presupuestario</w:t>
            </w:r>
          </w:p>
        </w:tc>
        <w:tc>
          <w:tcPr>
            <w:tcW w:w="1480" w:type="dxa"/>
          </w:tcPr>
          <w:p>
            <w:pPr>
              <w:pStyle w:val="TableParagraph"/>
              <w:spacing w:line="131" w:lineRule="exact" w:before="14"/>
              <w:ind w:left="696" w:right="186"/>
              <w:jc w:val="center"/>
              <w:rPr>
                <w:sz w:val="13"/>
              </w:rPr>
            </w:pPr>
            <w:r>
              <w:rPr>
                <w:w w:val="105"/>
                <w:sz w:val="13"/>
              </w:rPr>
              <w:t>15.1</w:t>
            </w:r>
          </w:p>
        </w:tc>
        <w:tc>
          <w:tcPr>
            <w:tcW w:w="942" w:type="dxa"/>
          </w:tcPr>
          <w:p>
            <w:pPr>
              <w:pStyle w:val="TableParagraph"/>
              <w:spacing w:line="131" w:lineRule="exact" w:before="14"/>
              <w:ind w:left="195" w:right="149"/>
              <w:jc w:val="center"/>
              <w:rPr>
                <w:sz w:val="13"/>
              </w:rPr>
            </w:pPr>
            <w:r>
              <w:rPr>
                <w:w w:val="105"/>
                <w:sz w:val="13"/>
              </w:rPr>
              <w:t>14.9</w:t>
            </w:r>
          </w:p>
        </w:tc>
        <w:tc>
          <w:tcPr>
            <w:tcW w:w="884" w:type="dxa"/>
          </w:tcPr>
          <w:p>
            <w:pPr>
              <w:pStyle w:val="TableParagraph"/>
              <w:spacing w:line="131" w:lineRule="exact" w:before="14"/>
              <w:ind w:left="149" w:right="140"/>
              <w:jc w:val="center"/>
              <w:rPr>
                <w:sz w:val="13"/>
              </w:rPr>
            </w:pPr>
            <w:r>
              <w:rPr>
                <w:w w:val="105"/>
                <w:sz w:val="13"/>
              </w:rPr>
              <w:t>14.1</w:t>
            </w:r>
          </w:p>
        </w:tc>
        <w:tc>
          <w:tcPr>
            <w:tcW w:w="863" w:type="dxa"/>
          </w:tcPr>
          <w:p>
            <w:pPr>
              <w:pStyle w:val="TableParagraph"/>
              <w:spacing w:line="131" w:lineRule="exact" w:before="14"/>
              <w:ind w:left="113" w:right="123"/>
              <w:jc w:val="center"/>
              <w:rPr>
                <w:sz w:val="13"/>
              </w:rPr>
            </w:pPr>
            <w:r>
              <w:rPr>
                <w:w w:val="105"/>
                <w:sz w:val="13"/>
              </w:rPr>
              <w:t>13.6</w:t>
            </w:r>
          </w:p>
        </w:tc>
        <w:tc>
          <w:tcPr>
            <w:tcW w:w="863" w:type="dxa"/>
          </w:tcPr>
          <w:p>
            <w:pPr>
              <w:pStyle w:val="TableParagraph"/>
              <w:spacing w:line="131" w:lineRule="exact" w:before="14"/>
              <w:ind w:left="113" w:right="123"/>
              <w:jc w:val="center"/>
              <w:rPr>
                <w:sz w:val="13"/>
              </w:rPr>
            </w:pPr>
            <w:r>
              <w:rPr>
                <w:w w:val="105"/>
                <w:sz w:val="13"/>
              </w:rPr>
              <w:t>13.3</w:t>
            </w:r>
          </w:p>
        </w:tc>
        <w:tc>
          <w:tcPr>
            <w:tcW w:w="736" w:type="dxa"/>
          </w:tcPr>
          <w:p>
            <w:pPr>
              <w:pStyle w:val="TableParagraph"/>
              <w:spacing w:line="131" w:lineRule="exact" w:before="14"/>
              <w:ind w:left="127" w:right="13"/>
              <w:jc w:val="center"/>
              <w:rPr>
                <w:sz w:val="13"/>
              </w:rPr>
            </w:pPr>
            <w:r>
              <w:rPr>
                <w:w w:val="105"/>
                <w:sz w:val="13"/>
              </w:rPr>
              <w:t>12.9</w:t>
            </w:r>
          </w:p>
        </w:tc>
      </w:tr>
    </w:tbl>
    <w:p>
      <w:pPr>
        <w:spacing w:line="276" w:lineRule="auto" w:before="26"/>
        <w:ind w:left="562" w:right="1596" w:firstLine="0"/>
        <w:jc w:val="left"/>
        <w:rPr>
          <w:sz w:val="16"/>
        </w:rPr>
      </w:pPr>
      <w:r>
        <w:rPr>
          <w:sz w:val="16"/>
        </w:rPr>
        <w:t>*Para 2022 los datos hacen referencia a la estimación de cierre. Para 2023-2027 los datos son de referencia para los techos presupuestarios/ Cifras corresponden al escenario bajo de las proyecciones macroeconómicas del Banguat</w:t>
      </w:r>
    </w:p>
    <w:p>
      <w:pPr>
        <w:spacing w:line="183" w:lineRule="exact" w:before="0"/>
        <w:ind w:left="562" w:right="0" w:firstLine="0"/>
        <w:jc w:val="left"/>
        <w:rPr>
          <w:sz w:val="16"/>
        </w:rPr>
      </w:pPr>
      <w:r>
        <w:rPr>
          <w:sz w:val="16"/>
        </w:rPr>
        <w:t>Fuente: Dirección de Análisis y Política Fiscal</w:t>
      </w:r>
    </w:p>
    <w:p>
      <w:pPr>
        <w:pStyle w:val="BodyText"/>
        <w:spacing w:before="3"/>
        <w:rPr>
          <w:sz w:val="21"/>
        </w:rPr>
      </w:pPr>
    </w:p>
    <w:p>
      <w:pPr>
        <w:spacing w:before="0"/>
        <w:ind w:left="1395" w:right="2532" w:firstLine="0"/>
        <w:jc w:val="center"/>
        <w:rPr>
          <w:b/>
          <w:sz w:val="20"/>
        </w:rPr>
      </w:pPr>
      <w:bookmarkStart w:name="_bookmark224" w:id="291"/>
      <w:bookmarkEnd w:id="291"/>
      <w:r>
        <w:rPr/>
      </w:r>
      <w:r>
        <w:rPr>
          <w:b/>
          <w:i/>
          <w:sz w:val="20"/>
        </w:rPr>
        <w:t>Tabla 25. </w:t>
      </w:r>
      <w:r>
        <w:rPr>
          <w:b/>
          <w:sz w:val="20"/>
        </w:rPr>
        <w:t>Situación financiera estimada para Techos Presupuestarios 2023-2027*</w:t>
      </w:r>
    </w:p>
    <w:p>
      <w:pPr>
        <w:pStyle w:val="BodyText"/>
        <w:spacing w:before="28"/>
        <w:ind w:left="1395" w:right="2532"/>
        <w:jc w:val="center"/>
      </w:pPr>
      <w:r>
        <w:rPr/>
        <w:t>Millones de quetzales</w:t>
      </w:r>
    </w:p>
    <w:p>
      <w:pPr>
        <w:pStyle w:val="BodyText"/>
        <w:spacing w:before="2"/>
        <w:rPr>
          <w:sz w:val="11"/>
        </w:rPr>
      </w:pPr>
    </w:p>
    <w:tbl>
      <w:tblPr>
        <w:tblW w:w="0" w:type="auto"/>
        <w:jc w:val="left"/>
        <w:tblInd w:w="3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63"/>
        <w:gridCol w:w="1196"/>
        <w:gridCol w:w="1022"/>
        <w:gridCol w:w="948"/>
        <w:gridCol w:w="868"/>
        <w:gridCol w:w="868"/>
        <w:gridCol w:w="868"/>
        <w:gridCol w:w="863"/>
      </w:tblGrid>
      <w:tr>
        <w:trPr>
          <w:trHeight w:val="242" w:hRule="atLeast"/>
        </w:trPr>
        <w:tc>
          <w:tcPr>
            <w:tcW w:w="2763" w:type="dxa"/>
            <w:vMerge w:val="restart"/>
            <w:tcBorders>
              <w:bottom w:val="single" w:sz="12" w:space="0" w:color="000000"/>
            </w:tcBorders>
            <w:shd w:val="clear" w:color="auto" w:fill="ECECEC"/>
          </w:tcPr>
          <w:p>
            <w:pPr>
              <w:pStyle w:val="TableParagraph"/>
              <w:spacing w:before="3"/>
              <w:rPr>
                <w:sz w:val="12"/>
              </w:rPr>
            </w:pPr>
          </w:p>
          <w:p>
            <w:pPr>
              <w:pStyle w:val="TableParagraph"/>
              <w:ind w:left="1084" w:right="1069"/>
              <w:jc w:val="center"/>
              <w:rPr>
                <w:b/>
                <w:sz w:val="13"/>
              </w:rPr>
            </w:pPr>
            <w:r>
              <w:rPr>
                <w:b/>
                <w:w w:val="105"/>
                <w:sz w:val="13"/>
              </w:rPr>
              <w:t>Concepto</w:t>
            </w:r>
          </w:p>
        </w:tc>
        <w:tc>
          <w:tcPr>
            <w:tcW w:w="2218" w:type="dxa"/>
            <w:gridSpan w:val="2"/>
            <w:tcBorders>
              <w:right w:val="single" w:sz="12" w:space="0" w:color="000000"/>
            </w:tcBorders>
            <w:shd w:val="clear" w:color="auto" w:fill="E1EEDA"/>
          </w:tcPr>
          <w:p>
            <w:pPr>
              <w:pStyle w:val="TableParagraph"/>
              <w:spacing w:before="45"/>
              <w:ind w:left="958" w:right="924"/>
              <w:jc w:val="center"/>
              <w:rPr>
                <w:b/>
                <w:sz w:val="13"/>
              </w:rPr>
            </w:pPr>
            <w:r>
              <w:rPr>
                <w:b/>
                <w:w w:val="105"/>
                <w:sz w:val="13"/>
              </w:rPr>
              <w:t>2022</w:t>
            </w:r>
          </w:p>
        </w:tc>
        <w:tc>
          <w:tcPr>
            <w:tcW w:w="4415" w:type="dxa"/>
            <w:gridSpan w:val="5"/>
            <w:tcBorders>
              <w:left w:val="single" w:sz="12" w:space="0" w:color="000000"/>
              <w:right w:val="single" w:sz="12" w:space="0" w:color="000000"/>
            </w:tcBorders>
            <w:shd w:val="clear" w:color="auto" w:fill="DDEBF7"/>
          </w:tcPr>
          <w:p>
            <w:pPr>
              <w:pStyle w:val="TableParagraph"/>
              <w:spacing w:before="45"/>
              <w:ind w:left="1866" w:right="1833"/>
              <w:jc w:val="center"/>
              <w:rPr>
                <w:b/>
                <w:sz w:val="13"/>
              </w:rPr>
            </w:pPr>
            <w:r>
              <w:rPr>
                <w:b/>
                <w:w w:val="105"/>
                <w:sz w:val="13"/>
              </w:rPr>
              <w:t>Proyección</w:t>
            </w:r>
          </w:p>
        </w:tc>
      </w:tr>
      <w:tr>
        <w:trPr>
          <w:trHeight w:val="155" w:hRule="atLeast"/>
        </w:trPr>
        <w:tc>
          <w:tcPr>
            <w:tcW w:w="2763" w:type="dxa"/>
            <w:vMerge/>
            <w:tcBorders>
              <w:top w:val="nil"/>
              <w:bottom w:val="single" w:sz="12" w:space="0" w:color="000000"/>
            </w:tcBorders>
            <w:shd w:val="clear" w:color="auto" w:fill="ECECEC"/>
          </w:tcPr>
          <w:p>
            <w:pPr>
              <w:rPr>
                <w:sz w:val="2"/>
                <w:szCs w:val="2"/>
              </w:rPr>
            </w:pPr>
          </w:p>
        </w:tc>
        <w:tc>
          <w:tcPr>
            <w:tcW w:w="1196" w:type="dxa"/>
            <w:tcBorders>
              <w:bottom w:val="single" w:sz="12" w:space="0" w:color="000000"/>
            </w:tcBorders>
            <w:shd w:val="clear" w:color="auto" w:fill="E1EEDA"/>
          </w:tcPr>
          <w:p>
            <w:pPr>
              <w:pStyle w:val="TableParagraph"/>
              <w:spacing w:line="129" w:lineRule="exact" w:before="6"/>
              <w:ind w:left="221" w:right="206"/>
              <w:jc w:val="center"/>
              <w:rPr>
                <w:b/>
                <w:sz w:val="13"/>
              </w:rPr>
            </w:pPr>
            <w:r>
              <w:rPr>
                <w:b/>
                <w:w w:val="105"/>
                <w:sz w:val="13"/>
              </w:rPr>
              <w:t>Presupuesto</w:t>
            </w:r>
          </w:p>
        </w:tc>
        <w:tc>
          <w:tcPr>
            <w:tcW w:w="1022" w:type="dxa"/>
            <w:tcBorders>
              <w:bottom w:val="single" w:sz="12" w:space="0" w:color="000000"/>
              <w:right w:val="single" w:sz="12" w:space="0" w:color="000000"/>
            </w:tcBorders>
            <w:shd w:val="clear" w:color="auto" w:fill="E1EEDA"/>
          </w:tcPr>
          <w:p>
            <w:pPr>
              <w:pStyle w:val="TableParagraph"/>
              <w:spacing w:line="129" w:lineRule="exact" w:before="6"/>
              <w:ind w:left="194"/>
              <w:rPr>
                <w:b/>
                <w:sz w:val="13"/>
              </w:rPr>
            </w:pPr>
            <w:r>
              <w:rPr>
                <w:b/>
                <w:w w:val="105"/>
                <w:sz w:val="13"/>
              </w:rPr>
              <w:t>Estimación</w:t>
            </w:r>
          </w:p>
        </w:tc>
        <w:tc>
          <w:tcPr>
            <w:tcW w:w="948" w:type="dxa"/>
            <w:tcBorders>
              <w:left w:val="single" w:sz="12" w:space="0" w:color="000000"/>
              <w:bottom w:val="single" w:sz="12" w:space="0" w:color="000000"/>
            </w:tcBorders>
            <w:shd w:val="clear" w:color="auto" w:fill="DDEBF7"/>
          </w:tcPr>
          <w:p>
            <w:pPr>
              <w:pStyle w:val="TableParagraph"/>
              <w:spacing w:line="129" w:lineRule="exact" w:before="6"/>
              <w:ind w:left="156" w:right="148"/>
              <w:jc w:val="center"/>
              <w:rPr>
                <w:b/>
                <w:sz w:val="13"/>
              </w:rPr>
            </w:pPr>
            <w:r>
              <w:rPr>
                <w:b/>
                <w:w w:val="105"/>
                <w:sz w:val="13"/>
              </w:rPr>
              <w:t>2023</w:t>
            </w:r>
          </w:p>
        </w:tc>
        <w:tc>
          <w:tcPr>
            <w:tcW w:w="868" w:type="dxa"/>
            <w:tcBorders>
              <w:bottom w:val="single" w:sz="12" w:space="0" w:color="000000"/>
            </w:tcBorders>
            <w:shd w:val="clear" w:color="auto" w:fill="DDEBF7"/>
          </w:tcPr>
          <w:p>
            <w:pPr>
              <w:pStyle w:val="TableParagraph"/>
              <w:spacing w:line="129" w:lineRule="exact" w:before="6"/>
              <w:ind w:left="115" w:right="94"/>
              <w:jc w:val="center"/>
              <w:rPr>
                <w:b/>
                <w:sz w:val="13"/>
              </w:rPr>
            </w:pPr>
            <w:r>
              <w:rPr>
                <w:b/>
                <w:w w:val="105"/>
                <w:sz w:val="13"/>
              </w:rPr>
              <w:t>2024</w:t>
            </w:r>
          </w:p>
        </w:tc>
        <w:tc>
          <w:tcPr>
            <w:tcW w:w="868" w:type="dxa"/>
            <w:tcBorders>
              <w:bottom w:val="single" w:sz="12" w:space="0" w:color="000000"/>
            </w:tcBorders>
            <w:shd w:val="clear" w:color="auto" w:fill="DDEBF7"/>
          </w:tcPr>
          <w:p>
            <w:pPr>
              <w:pStyle w:val="TableParagraph"/>
              <w:spacing w:line="129" w:lineRule="exact" w:before="6"/>
              <w:ind w:left="115" w:right="94"/>
              <w:jc w:val="center"/>
              <w:rPr>
                <w:b/>
                <w:sz w:val="13"/>
              </w:rPr>
            </w:pPr>
            <w:r>
              <w:rPr>
                <w:b/>
                <w:w w:val="105"/>
                <w:sz w:val="13"/>
              </w:rPr>
              <w:t>2025</w:t>
            </w:r>
          </w:p>
        </w:tc>
        <w:tc>
          <w:tcPr>
            <w:tcW w:w="868" w:type="dxa"/>
            <w:tcBorders>
              <w:bottom w:val="single" w:sz="12" w:space="0" w:color="000000"/>
            </w:tcBorders>
            <w:shd w:val="clear" w:color="auto" w:fill="DDEBF7"/>
          </w:tcPr>
          <w:p>
            <w:pPr>
              <w:pStyle w:val="TableParagraph"/>
              <w:spacing w:line="129" w:lineRule="exact" w:before="6"/>
              <w:ind w:left="289"/>
              <w:rPr>
                <w:b/>
                <w:sz w:val="13"/>
              </w:rPr>
            </w:pPr>
            <w:r>
              <w:rPr>
                <w:b/>
                <w:w w:val="105"/>
                <w:sz w:val="13"/>
              </w:rPr>
              <w:t>2026</w:t>
            </w:r>
          </w:p>
        </w:tc>
        <w:tc>
          <w:tcPr>
            <w:tcW w:w="863" w:type="dxa"/>
            <w:tcBorders>
              <w:bottom w:val="single" w:sz="12" w:space="0" w:color="000000"/>
              <w:right w:val="single" w:sz="12" w:space="0" w:color="000000"/>
            </w:tcBorders>
            <w:shd w:val="clear" w:color="auto" w:fill="DDEBF7"/>
          </w:tcPr>
          <w:p>
            <w:pPr>
              <w:pStyle w:val="TableParagraph"/>
              <w:spacing w:line="129" w:lineRule="exact" w:before="6"/>
              <w:ind w:left="116" w:right="82"/>
              <w:jc w:val="center"/>
              <w:rPr>
                <w:b/>
                <w:sz w:val="13"/>
              </w:rPr>
            </w:pPr>
            <w:r>
              <w:rPr>
                <w:b/>
                <w:w w:val="105"/>
                <w:sz w:val="13"/>
              </w:rPr>
              <w:t>2027</w:t>
            </w:r>
          </w:p>
        </w:tc>
      </w:tr>
      <w:tr>
        <w:trPr>
          <w:trHeight w:val="226" w:hRule="atLeast"/>
        </w:trPr>
        <w:tc>
          <w:tcPr>
            <w:tcW w:w="2763" w:type="dxa"/>
            <w:tcBorders>
              <w:top w:val="single" w:sz="12" w:space="0" w:color="000000"/>
            </w:tcBorders>
          </w:tcPr>
          <w:p>
            <w:pPr>
              <w:pStyle w:val="TableParagraph"/>
              <w:spacing w:line="131" w:lineRule="exact" w:before="75"/>
              <w:ind w:left="24"/>
              <w:rPr>
                <w:b/>
                <w:sz w:val="13"/>
              </w:rPr>
            </w:pPr>
            <w:r>
              <w:rPr>
                <w:b/>
                <w:w w:val="105"/>
                <w:sz w:val="13"/>
              </w:rPr>
              <w:t>Ingresos Totales</w:t>
            </w:r>
          </w:p>
        </w:tc>
        <w:tc>
          <w:tcPr>
            <w:tcW w:w="1196" w:type="dxa"/>
            <w:tcBorders>
              <w:top w:val="single" w:sz="12" w:space="0" w:color="000000"/>
            </w:tcBorders>
            <w:shd w:val="clear" w:color="auto" w:fill="E1EEDA"/>
          </w:tcPr>
          <w:p>
            <w:pPr>
              <w:pStyle w:val="TableParagraph"/>
              <w:spacing w:line="131" w:lineRule="exact" w:before="75"/>
              <w:ind w:left="211" w:right="206"/>
              <w:jc w:val="center"/>
              <w:rPr>
                <w:b/>
                <w:sz w:val="13"/>
              </w:rPr>
            </w:pPr>
            <w:r>
              <w:rPr>
                <w:b/>
                <w:w w:val="105"/>
                <w:sz w:val="13"/>
              </w:rPr>
              <w:t>81,579.5</w:t>
            </w:r>
          </w:p>
        </w:tc>
        <w:tc>
          <w:tcPr>
            <w:tcW w:w="1022" w:type="dxa"/>
            <w:tcBorders>
              <w:top w:val="single" w:sz="12" w:space="0" w:color="000000"/>
              <w:right w:val="single" w:sz="12" w:space="0" w:color="000000"/>
            </w:tcBorders>
            <w:shd w:val="clear" w:color="auto" w:fill="E1EEDA"/>
          </w:tcPr>
          <w:p>
            <w:pPr>
              <w:pStyle w:val="TableParagraph"/>
              <w:spacing w:line="131" w:lineRule="exact" w:before="75"/>
              <w:ind w:left="236"/>
              <w:rPr>
                <w:b/>
                <w:sz w:val="13"/>
              </w:rPr>
            </w:pPr>
            <w:r>
              <w:rPr>
                <w:b/>
                <w:w w:val="105"/>
                <w:sz w:val="13"/>
              </w:rPr>
              <w:t>87,182.2</w:t>
            </w:r>
          </w:p>
        </w:tc>
        <w:tc>
          <w:tcPr>
            <w:tcW w:w="948" w:type="dxa"/>
            <w:tcBorders>
              <w:top w:val="single" w:sz="12" w:space="0" w:color="000000"/>
              <w:left w:val="single" w:sz="12" w:space="0" w:color="000000"/>
            </w:tcBorders>
            <w:shd w:val="clear" w:color="auto" w:fill="DDEBF7"/>
          </w:tcPr>
          <w:p>
            <w:pPr>
              <w:pStyle w:val="TableParagraph"/>
              <w:spacing w:line="131" w:lineRule="exact" w:before="75"/>
              <w:ind w:left="115" w:right="153"/>
              <w:jc w:val="center"/>
              <w:rPr>
                <w:b/>
                <w:sz w:val="13"/>
              </w:rPr>
            </w:pPr>
            <w:r>
              <w:rPr>
                <w:b/>
                <w:w w:val="105"/>
                <w:sz w:val="13"/>
              </w:rPr>
              <w:t>89,457.0</w:t>
            </w:r>
          </w:p>
        </w:tc>
        <w:tc>
          <w:tcPr>
            <w:tcW w:w="868" w:type="dxa"/>
            <w:tcBorders>
              <w:top w:val="single" w:sz="12" w:space="0" w:color="000000"/>
            </w:tcBorders>
            <w:shd w:val="clear" w:color="auto" w:fill="DDEBF7"/>
          </w:tcPr>
          <w:p>
            <w:pPr>
              <w:pStyle w:val="TableParagraph"/>
              <w:spacing w:line="131" w:lineRule="exact" w:before="75"/>
              <w:ind w:left="85" w:right="110"/>
              <w:jc w:val="center"/>
              <w:rPr>
                <w:b/>
                <w:sz w:val="13"/>
              </w:rPr>
            </w:pPr>
            <w:r>
              <w:rPr>
                <w:b/>
                <w:w w:val="105"/>
                <w:sz w:val="13"/>
              </w:rPr>
              <w:t>98,147.4</w:t>
            </w:r>
          </w:p>
        </w:tc>
        <w:tc>
          <w:tcPr>
            <w:tcW w:w="868" w:type="dxa"/>
            <w:tcBorders>
              <w:top w:val="single" w:sz="12" w:space="0" w:color="000000"/>
            </w:tcBorders>
            <w:shd w:val="clear" w:color="auto" w:fill="DDEBF7"/>
          </w:tcPr>
          <w:p>
            <w:pPr>
              <w:pStyle w:val="TableParagraph"/>
              <w:spacing w:line="131" w:lineRule="exact" w:before="75"/>
              <w:ind w:left="75" w:right="110"/>
              <w:jc w:val="center"/>
              <w:rPr>
                <w:b/>
                <w:sz w:val="13"/>
              </w:rPr>
            </w:pPr>
            <w:r>
              <w:rPr>
                <w:b/>
                <w:w w:val="105"/>
                <w:sz w:val="13"/>
              </w:rPr>
              <w:t>104,031.3</w:t>
            </w:r>
          </w:p>
        </w:tc>
        <w:tc>
          <w:tcPr>
            <w:tcW w:w="868" w:type="dxa"/>
            <w:tcBorders>
              <w:top w:val="single" w:sz="12" w:space="0" w:color="000000"/>
            </w:tcBorders>
            <w:shd w:val="clear" w:color="auto" w:fill="DDEBF7"/>
          </w:tcPr>
          <w:p>
            <w:pPr>
              <w:pStyle w:val="TableParagraph"/>
              <w:spacing w:line="131" w:lineRule="exact" w:before="75"/>
              <w:ind w:left="119"/>
              <w:rPr>
                <w:b/>
                <w:sz w:val="13"/>
              </w:rPr>
            </w:pPr>
            <w:r>
              <w:rPr>
                <w:b/>
                <w:w w:val="105"/>
                <w:sz w:val="13"/>
              </w:rPr>
              <w:t>110,538.1</w:t>
            </w:r>
          </w:p>
        </w:tc>
        <w:tc>
          <w:tcPr>
            <w:tcW w:w="863" w:type="dxa"/>
            <w:tcBorders>
              <w:top w:val="single" w:sz="12" w:space="0" w:color="000000"/>
              <w:right w:val="single" w:sz="12" w:space="0" w:color="000000"/>
            </w:tcBorders>
            <w:shd w:val="clear" w:color="auto" w:fill="DDEBF7"/>
          </w:tcPr>
          <w:p>
            <w:pPr>
              <w:pStyle w:val="TableParagraph"/>
              <w:spacing w:line="131" w:lineRule="exact" w:before="75"/>
              <w:ind w:left="105" w:right="127"/>
              <w:jc w:val="center"/>
              <w:rPr>
                <w:b/>
                <w:sz w:val="13"/>
              </w:rPr>
            </w:pPr>
            <w:r>
              <w:rPr>
                <w:b/>
                <w:w w:val="105"/>
                <w:sz w:val="13"/>
              </w:rPr>
              <w:t>117,439.6</w:t>
            </w:r>
          </w:p>
        </w:tc>
      </w:tr>
      <w:tr>
        <w:trPr>
          <w:trHeight w:val="196" w:hRule="atLeast"/>
        </w:trPr>
        <w:tc>
          <w:tcPr>
            <w:tcW w:w="2763" w:type="dxa"/>
          </w:tcPr>
          <w:p>
            <w:pPr>
              <w:pStyle w:val="TableParagraph"/>
              <w:spacing w:line="141" w:lineRule="exact" w:before="35"/>
              <w:ind w:left="119"/>
              <w:rPr>
                <w:sz w:val="13"/>
              </w:rPr>
            </w:pPr>
            <w:r>
              <w:rPr>
                <w:w w:val="105"/>
                <w:sz w:val="13"/>
              </w:rPr>
              <w:t>Ingresos Corrientes</w:t>
            </w:r>
          </w:p>
        </w:tc>
        <w:tc>
          <w:tcPr>
            <w:tcW w:w="1196" w:type="dxa"/>
            <w:shd w:val="clear" w:color="auto" w:fill="E1EEDA"/>
          </w:tcPr>
          <w:p>
            <w:pPr>
              <w:pStyle w:val="TableParagraph"/>
              <w:spacing w:line="141" w:lineRule="exact" w:before="35"/>
              <w:ind w:left="221" w:right="205"/>
              <w:jc w:val="center"/>
              <w:rPr>
                <w:sz w:val="13"/>
              </w:rPr>
            </w:pPr>
            <w:r>
              <w:rPr>
                <w:w w:val="105"/>
                <w:sz w:val="13"/>
              </w:rPr>
              <w:t>81,577.7</w:t>
            </w:r>
          </w:p>
        </w:tc>
        <w:tc>
          <w:tcPr>
            <w:tcW w:w="1022" w:type="dxa"/>
            <w:tcBorders>
              <w:right w:val="single" w:sz="12" w:space="0" w:color="000000"/>
            </w:tcBorders>
            <w:shd w:val="clear" w:color="auto" w:fill="E1EEDA"/>
          </w:tcPr>
          <w:p>
            <w:pPr>
              <w:pStyle w:val="TableParagraph"/>
              <w:spacing w:line="141" w:lineRule="exact" w:before="35"/>
              <w:ind w:left="268"/>
              <w:rPr>
                <w:sz w:val="13"/>
              </w:rPr>
            </w:pPr>
            <w:r>
              <w:rPr>
                <w:w w:val="105"/>
                <w:sz w:val="13"/>
              </w:rPr>
              <w:t>87,102.2</w:t>
            </w:r>
          </w:p>
        </w:tc>
        <w:tc>
          <w:tcPr>
            <w:tcW w:w="948" w:type="dxa"/>
            <w:tcBorders>
              <w:left w:val="single" w:sz="12" w:space="0" w:color="000000"/>
            </w:tcBorders>
            <w:shd w:val="clear" w:color="auto" w:fill="DDEBF7"/>
          </w:tcPr>
          <w:p>
            <w:pPr>
              <w:pStyle w:val="TableParagraph"/>
              <w:spacing w:line="141" w:lineRule="exact" w:before="35"/>
              <w:ind w:left="126" w:right="153"/>
              <w:jc w:val="center"/>
              <w:rPr>
                <w:sz w:val="13"/>
              </w:rPr>
            </w:pPr>
            <w:r>
              <w:rPr>
                <w:w w:val="105"/>
                <w:sz w:val="13"/>
              </w:rPr>
              <w:t>89,335.0</w:t>
            </w:r>
          </w:p>
        </w:tc>
        <w:tc>
          <w:tcPr>
            <w:tcW w:w="868" w:type="dxa"/>
            <w:shd w:val="clear" w:color="auto" w:fill="DDEBF7"/>
          </w:tcPr>
          <w:p>
            <w:pPr>
              <w:pStyle w:val="TableParagraph"/>
              <w:spacing w:line="141" w:lineRule="exact" w:before="35"/>
              <w:ind w:left="96" w:right="110"/>
              <w:jc w:val="center"/>
              <w:rPr>
                <w:sz w:val="13"/>
              </w:rPr>
            </w:pPr>
            <w:r>
              <w:rPr>
                <w:w w:val="105"/>
                <w:sz w:val="13"/>
              </w:rPr>
              <w:t>98,025.3</w:t>
            </w:r>
          </w:p>
        </w:tc>
        <w:tc>
          <w:tcPr>
            <w:tcW w:w="868" w:type="dxa"/>
            <w:shd w:val="clear" w:color="auto" w:fill="DDEBF7"/>
          </w:tcPr>
          <w:p>
            <w:pPr>
              <w:pStyle w:val="TableParagraph"/>
              <w:spacing w:line="141" w:lineRule="exact" w:before="35"/>
              <w:ind w:left="96" w:right="110"/>
              <w:jc w:val="center"/>
              <w:rPr>
                <w:sz w:val="13"/>
              </w:rPr>
            </w:pPr>
            <w:r>
              <w:rPr>
                <w:w w:val="105"/>
                <w:sz w:val="13"/>
              </w:rPr>
              <w:t>104,029.1</w:t>
            </w:r>
          </w:p>
        </w:tc>
        <w:tc>
          <w:tcPr>
            <w:tcW w:w="868" w:type="dxa"/>
            <w:shd w:val="clear" w:color="auto" w:fill="DDEBF7"/>
          </w:tcPr>
          <w:p>
            <w:pPr>
              <w:pStyle w:val="TableParagraph"/>
              <w:spacing w:line="141" w:lineRule="exact" w:before="35"/>
              <w:ind w:left="162"/>
              <w:rPr>
                <w:sz w:val="13"/>
              </w:rPr>
            </w:pPr>
            <w:r>
              <w:rPr>
                <w:w w:val="105"/>
                <w:sz w:val="13"/>
              </w:rPr>
              <w:t>110,535.7</w:t>
            </w:r>
          </w:p>
        </w:tc>
        <w:tc>
          <w:tcPr>
            <w:tcW w:w="863" w:type="dxa"/>
            <w:tcBorders>
              <w:right w:val="single" w:sz="12" w:space="0" w:color="000000"/>
            </w:tcBorders>
            <w:shd w:val="clear" w:color="auto" w:fill="DDEBF7"/>
          </w:tcPr>
          <w:p>
            <w:pPr>
              <w:pStyle w:val="TableParagraph"/>
              <w:spacing w:line="141" w:lineRule="exact" w:before="35"/>
              <w:ind w:left="116" w:right="117"/>
              <w:jc w:val="center"/>
              <w:rPr>
                <w:sz w:val="13"/>
              </w:rPr>
            </w:pPr>
            <w:r>
              <w:rPr>
                <w:w w:val="105"/>
                <w:sz w:val="13"/>
              </w:rPr>
              <w:t>117,437.2</w:t>
            </w:r>
          </w:p>
        </w:tc>
      </w:tr>
      <w:tr>
        <w:trPr>
          <w:trHeight w:val="165" w:hRule="atLeast"/>
        </w:trPr>
        <w:tc>
          <w:tcPr>
            <w:tcW w:w="2763" w:type="dxa"/>
          </w:tcPr>
          <w:p>
            <w:pPr>
              <w:pStyle w:val="TableParagraph"/>
              <w:spacing w:line="131" w:lineRule="exact" w:before="14"/>
              <w:ind w:left="214"/>
              <w:rPr>
                <w:sz w:val="13"/>
              </w:rPr>
            </w:pPr>
            <w:r>
              <w:rPr>
                <w:w w:val="105"/>
                <w:sz w:val="13"/>
              </w:rPr>
              <w:t>Tributarios</w:t>
            </w:r>
          </w:p>
        </w:tc>
        <w:tc>
          <w:tcPr>
            <w:tcW w:w="1196" w:type="dxa"/>
            <w:shd w:val="clear" w:color="auto" w:fill="E1EEDA"/>
          </w:tcPr>
          <w:p>
            <w:pPr>
              <w:pStyle w:val="TableParagraph"/>
              <w:spacing w:line="131" w:lineRule="exact" w:before="14"/>
              <w:ind w:left="221" w:right="205"/>
              <w:jc w:val="center"/>
              <w:rPr>
                <w:sz w:val="13"/>
              </w:rPr>
            </w:pPr>
            <w:r>
              <w:rPr>
                <w:w w:val="105"/>
                <w:sz w:val="13"/>
              </w:rPr>
              <w:t>76,315.0</w:t>
            </w:r>
          </w:p>
        </w:tc>
        <w:tc>
          <w:tcPr>
            <w:tcW w:w="1022" w:type="dxa"/>
            <w:tcBorders>
              <w:right w:val="single" w:sz="12" w:space="0" w:color="000000"/>
            </w:tcBorders>
            <w:shd w:val="clear" w:color="auto" w:fill="E1EEDA"/>
          </w:tcPr>
          <w:p>
            <w:pPr>
              <w:pStyle w:val="TableParagraph"/>
              <w:spacing w:line="131" w:lineRule="exact" w:before="14"/>
              <w:ind w:left="268"/>
              <w:rPr>
                <w:sz w:val="13"/>
              </w:rPr>
            </w:pPr>
            <w:r>
              <w:rPr>
                <w:w w:val="105"/>
                <w:sz w:val="13"/>
              </w:rPr>
              <w:t>82,872.9</w:t>
            </w:r>
          </w:p>
        </w:tc>
        <w:tc>
          <w:tcPr>
            <w:tcW w:w="948" w:type="dxa"/>
            <w:tcBorders>
              <w:left w:val="single" w:sz="12" w:space="0" w:color="000000"/>
            </w:tcBorders>
            <w:shd w:val="clear" w:color="auto" w:fill="DDEBF7"/>
          </w:tcPr>
          <w:p>
            <w:pPr>
              <w:pStyle w:val="TableParagraph"/>
              <w:spacing w:line="131" w:lineRule="exact" w:before="14"/>
              <w:ind w:left="126" w:right="153"/>
              <w:jc w:val="center"/>
              <w:rPr>
                <w:sz w:val="13"/>
              </w:rPr>
            </w:pPr>
            <w:r>
              <w:rPr>
                <w:w w:val="105"/>
                <w:sz w:val="13"/>
              </w:rPr>
              <w:t>84,610.7</w:t>
            </w:r>
          </w:p>
        </w:tc>
        <w:tc>
          <w:tcPr>
            <w:tcW w:w="868" w:type="dxa"/>
            <w:shd w:val="clear" w:color="auto" w:fill="DDEBF7"/>
          </w:tcPr>
          <w:p>
            <w:pPr>
              <w:pStyle w:val="TableParagraph"/>
              <w:spacing w:line="131" w:lineRule="exact" w:before="14"/>
              <w:ind w:left="96" w:right="110"/>
              <w:jc w:val="center"/>
              <w:rPr>
                <w:sz w:val="13"/>
              </w:rPr>
            </w:pPr>
            <w:r>
              <w:rPr>
                <w:w w:val="105"/>
                <w:sz w:val="13"/>
              </w:rPr>
              <w:t>93,137.6</w:t>
            </w:r>
          </w:p>
        </w:tc>
        <w:tc>
          <w:tcPr>
            <w:tcW w:w="868" w:type="dxa"/>
            <w:shd w:val="clear" w:color="auto" w:fill="DDEBF7"/>
          </w:tcPr>
          <w:p>
            <w:pPr>
              <w:pStyle w:val="TableParagraph"/>
              <w:spacing w:line="131" w:lineRule="exact" w:before="14"/>
              <w:ind w:left="96" w:right="110"/>
              <w:jc w:val="center"/>
              <w:rPr>
                <w:sz w:val="13"/>
              </w:rPr>
            </w:pPr>
            <w:r>
              <w:rPr>
                <w:w w:val="105"/>
                <w:sz w:val="13"/>
              </w:rPr>
              <w:t>98,912.0</w:t>
            </w:r>
          </w:p>
        </w:tc>
        <w:tc>
          <w:tcPr>
            <w:tcW w:w="868" w:type="dxa"/>
            <w:shd w:val="clear" w:color="auto" w:fill="DDEBF7"/>
          </w:tcPr>
          <w:p>
            <w:pPr>
              <w:pStyle w:val="TableParagraph"/>
              <w:spacing w:line="131" w:lineRule="exact" w:before="14"/>
              <w:ind w:left="162"/>
              <w:rPr>
                <w:sz w:val="13"/>
              </w:rPr>
            </w:pPr>
            <w:r>
              <w:rPr>
                <w:w w:val="105"/>
                <w:sz w:val="13"/>
              </w:rPr>
              <w:t>105,245.0</w:t>
            </w:r>
          </w:p>
        </w:tc>
        <w:tc>
          <w:tcPr>
            <w:tcW w:w="863" w:type="dxa"/>
            <w:tcBorders>
              <w:right w:val="single" w:sz="12" w:space="0" w:color="000000"/>
            </w:tcBorders>
            <w:shd w:val="clear" w:color="auto" w:fill="DDEBF7"/>
          </w:tcPr>
          <w:p>
            <w:pPr>
              <w:pStyle w:val="TableParagraph"/>
              <w:spacing w:line="131" w:lineRule="exact" w:before="14"/>
              <w:ind w:left="116" w:right="117"/>
              <w:jc w:val="center"/>
              <w:rPr>
                <w:sz w:val="13"/>
              </w:rPr>
            </w:pPr>
            <w:r>
              <w:rPr>
                <w:w w:val="105"/>
                <w:sz w:val="13"/>
              </w:rPr>
              <w:t>112,026.7</w:t>
            </w:r>
          </w:p>
        </w:tc>
      </w:tr>
      <w:tr>
        <w:trPr>
          <w:trHeight w:val="164" w:hRule="atLeast"/>
        </w:trPr>
        <w:tc>
          <w:tcPr>
            <w:tcW w:w="2763" w:type="dxa"/>
          </w:tcPr>
          <w:p>
            <w:pPr>
              <w:pStyle w:val="TableParagraph"/>
              <w:spacing w:line="131" w:lineRule="exact" w:before="14"/>
              <w:ind w:left="214"/>
              <w:rPr>
                <w:sz w:val="13"/>
              </w:rPr>
            </w:pPr>
            <w:r>
              <w:rPr>
                <w:w w:val="105"/>
                <w:sz w:val="13"/>
              </w:rPr>
              <w:t>No Tributarios y Donaciones</w:t>
            </w:r>
          </w:p>
        </w:tc>
        <w:tc>
          <w:tcPr>
            <w:tcW w:w="1196" w:type="dxa"/>
            <w:shd w:val="clear" w:color="auto" w:fill="E1EEDA"/>
          </w:tcPr>
          <w:p>
            <w:pPr>
              <w:pStyle w:val="TableParagraph"/>
              <w:spacing w:line="131" w:lineRule="exact" w:before="14"/>
              <w:ind w:left="221" w:right="205"/>
              <w:jc w:val="center"/>
              <w:rPr>
                <w:sz w:val="13"/>
              </w:rPr>
            </w:pPr>
            <w:r>
              <w:rPr>
                <w:w w:val="105"/>
                <w:sz w:val="13"/>
              </w:rPr>
              <w:t>5,262.6</w:t>
            </w:r>
          </w:p>
        </w:tc>
        <w:tc>
          <w:tcPr>
            <w:tcW w:w="1022" w:type="dxa"/>
            <w:tcBorders>
              <w:right w:val="single" w:sz="12" w:space="0" w:color="000000"/>
            </w:tcBorders>
            <w:shd w:val="clear" w:color="auto" w:fill="E1EEDA"/>
          </w:tcPr>
          <w:p>
            <w:pPr>
              <w:pStyle w:val="TableParagraph"/>
              <w:spacing w:line="131" w:lineRule="exact" w:before="14"/>
              <w:ind w:left="300"/>
              <w:rPr>
                <w:sz w:val="13"/>
              </w:rPr>
            </w:pPr>
            <w:r>
              <w:rPr>
                <w:w w:val="105"/>
                <w:sz w:val="13"/>
              </w:rPr>
              <w:t>4,229.3</w:t>
            </w:r>
          </w:p>
        </w:tc>
        <w:tc>
          <w:tcPr>
            <w:tcW w:w="948" w:type="dxa"/>
            <w:tcBorders>
              <w:left w:val="single" w:sz="12" w:space="0" w:color="000000"/>
            </w:tcBorders>
            <w:shd w:val="clear" w:color="auto" w:fill="DDEBF7"/>
          </w:tcPr>
          <w:p>
            <w:pPr>
              <w:pStyle w:val="TableParagraph"/>
              <w:spacing w:line="131" w:lineRule="exact" w:before="14"/>
              <w:ind w:left="126" w:right="153"/>
              <w:jc w:val="center"/>
              <w:rPr>
                <w:sz w:val="13"/>
              </w:rPr>
            </w:pPr>
            <w:r>
              <w:rPr>
                <w:w w:val="105"/>
                <w:sz w:val="13"/>
              </w:rPr>
              <w:t>4,724.3</w:t>
            </w:r>
          </w:p>
        </w:tc>
        <w:tc>
          <w:tcPr>
            <w:tcW w:w="868" w:type="dxa"/>
            <w:shd w:val="clear" w:color="auto" w:fill="DDEBF7"/>
          </w:tcPr>
          <w:p>
            <w:pPr>
              <w:pStyle w:val="TableParagraph"/>
              <w:spacing w:line="131" w:lineRule="exact" w:before="14"/>
              <w:ind w:left="96" w:right="110"/>
              <w:jc w:val="center"/>
              <w:rPr>
                <w:sz w:val="13"/>
              </w:rPr>
            </w:pPr>
            <w:r>
              <w:rPr>
                <w:w w:val="105"/>
                <w:sz w:val="13"/>
              </w:rPr>
              <w:t>4,887.7</w:t>
            </w:r>
          </w:p>
        </w:tc>
        <w:tc>
          <w:tcPr>
            <w:tcW w:w="868" w:type="dxa"/>
            <w:shd w:val="clear" w:color="auto" w:fill="DDEBF7"/>
          </w:tcPr>
          <w:p>
            <w:pPr>
              <w:pStyle w:val="TableParagraph"/>
              <w:spacing w:line="131" w:lineRule="exact" w:before="14"/>
              <w:ind w:left="97" w:right="110"/>
              <w:jc w:val="center"/>
              <w:rPr>
                <w:sz w:val="13"/>
              </w:rPr>
            </w:pPr>
            <w:r>
              <w:rPr>
                <w:w w:val="105"/>
                <w:sz w:val="13"/>
              </w:rPr>
              <w:t>5,117.1</w:t>
            </w:r>
          </w:p>
        </w:tc>
        <w:tc>
          <w:tcPr>
            <w:tcW w:w="868" w:type="dxa"/>
            <w:shd w:val="clear" w:color="auto" w:fill="DDEBF7"/>
          </w:tcPr>
          <w:p>
            <w:pPr>
              <w:pStyle w:val="TableParagraph"/>
              <w:spacing w:line="131" w:lineRule="exact" w:before="14"/>
              <w:ind w:left="225"/>
              <w:rPr>
                <w:sz w:val="13"/>
              </w:rPr>
            </w:pPr>
            <w:r>
              <w:rPr>
                <w:w w:val="105"/>
                <w:sz w:val="13"/>
              </w:rPr>
              <w:t>5,290.8</w:t>
            </w:r>
          </w:p>
        </w:tc>
        <w:tc>
          <w:tcPr>
            <w:tcW w:w="863" w:type="dxa"/>
            <w:tcBorders>
              <w:right w:val="single" w:sz="12" w:space="0" w:color="000000"/>
            </w:tcBorders>
            <w:shd w:val="clear" w:color="auto" w:fill="DDEBF7"/>
          </w:tcPr>
          <w:p>
            <w:pPr>
              <w:pStyle w:val="TableParagraph"/>
              <w:spacing w:line="131" w:lineRule="exact" w:before="14"/>
              <w:ind w:left="116" w:right="116"/>
              <w:jc w:val="center"/>
              <w:rPr>
                <w:sz w:val="13"/>
              </w:rPr>
            </w:pPr>
            <w:r>
              <w:rPr>
                <w:w w:val="105"/>
                <w:sz w:val="13"/>
              </w:rPr>
              <w:t>5,410.5</w:t>
            </w:r>
          </w:p>
        </w:tc>
      </w:tr>
      <w:tr>
        <w:trPr>
          <w:trHeight w:val="164" w:hRule="atLeast"/>
        </w:trPr>
        <w:tc>
          <w:tcPr>
            <w:tcW w:w="2763" w:type="dxa"/>
          </w:tcPr>
          <w:p>
            <w:pPr>
              <w:pStyle w:val="TableParagraph"/>
              <w:spacing w:line="131" w:lineRule="exact" w:before="14"/>
              <w:ind w:left="119"/>
              <w:rPr>
                <w:sz w:val="13"/>
              </w:rPr>
            </w:pPr>
            <w:r>
              <w:rPr>
                <w:w w:val="105"/>
                <w:sz w:val="13"/>
              </w:rPr>
              <w:t>Ingresos de Capital</w:t>
            </w:r>
          </w:p>
        </w:tc>
        <w:tc>
          <w:tcPr>
            <w:tcW w:w="1196" w:type="dxa"/>
            <w:shd w:val="clear" w:color="auto" w:fill="E1EEDA"/>
          </w:tcPr>
          <w:p>
            <w:pPr>
              <w:pStyle w:val="TableParagraph"/>
              <w:spacing w:line="131" w:lineRule="exact" w:before="14"/>
              <w:ind w:left="221" w:right="194"/>
              <w:jc w:val="center"/>
              <w:rPr>
                <w:sz w:val="13"/>
              </w:rPr>
            </w:pPr>
            <w:r>
              <w:rPr>
                <w:w w:val="105"/>
                <w:sz w:val="13"/>
              </w:rPr>
              <w:t>1.8</w:t>
            </w:r>
          </w:p>
        </w:tc>
        <w:tc>
          <w:tcPr>
            <w:tcW w:w="1022" w:type="dxa"/>
            <w:tcBorders>
              <w:right w:val="single" w:sz="12" w:space="0" w:color="000000"/>
            </w:tcBorders>
            <w:shd w:val="clear" w:color="auto" w:fill="E1EEDA"/>
          </w:tcPr>
          <w:p>
            <w:pPr>
              <w:pStyle w:val="TableParagraph"/>
              <w:spacing w:line="131" w:lineRule="exact" w:before="14"/>
              <w:ind w:left="325" w:right="326"/>
              <w:jc w:val="center"/>
              <w:rPr>
                <w:sz w:val="13"/>
              </w:rPr>
            </w:pPr>
            <w:r>
              <w:rPr>
                <w:w w:val="105"/>
                <w:sz w:val="13"/>
              </w:rPr>
              <w:t>80.0</w:t>
            </w:r>
          </w:p>
        </w:tc>
        <w:tc>
          <w:tcPr>
            <w:tcW w:w="948" w:type="dxa"/>
            <w:tcBorders>
              <w:left w:val="single" w:sz="12" w:space="0" w:color="000000"/>
            </w:tcBorders>
            <w:shd w:val="clear" w:color="auto" w:fill="DDEBF7"/>
          </w:tcPr>
          <w:p>
            <w:pPr>
              <w:pStyle w:val="TableParagraph"/>
              <w:spacing w:line="131" w:lineRule="exact" w:before="14"/>
              <w:ind w:left="138" w:right="153"/>
              <w:jc w:val="center"/>
              <w:rPr>
                <w:sz w:val="13"/>
              </w:rPr>
            </w:pPr>
            <w:r>
              <w:rPr>
                <w:w w:val="105"/>
                <w:sz w:val="13"/>
              </w:rPr>
              <w:t>122.0</w:t>
            </w:r>
          </w:p>
        </w:tc>
        <w:tc>
          <w:tcPr>
            <w:tcW w:w="868" w:type="dxa"/>
            <w:shd w:val="clear" w:color="auto" w:fill="DDEBF7"/>
          </w:tcPr>
          <w:p>
            <w:pPr>
              <w:pStyle w:val="TableParagraph"/>
              <w:spacing w:line="131" w:lineRule="exact" w:before="14"/>
              <w:ind w:left="86" w:right="110"/>
              <w:jc w:val="center"/>
              <w:rPr>
                <w:sz w:val="13"/>
              </w:rPr>
            </w:pPr>
            <w:r>
              <w:rPr>
                <w:w w:val="105"/>
                <w:sz w:val="13"/>
              </w:rPr>
              <w:t>122.1</w:t>
            </w:r>
          </w:p>
        </w:tc>
        <w:tc>
          <w:tcPr>
            <w:tcW w:w="868" w:type="dxa"/>
            <w:shd w:val="clear" w:color="auto" w:fill="DDEBF7"/>
          </w:tcPr>
          <w:p>
            <w:pPr>
              <w:pStyle w:val="TableParagraph"/>
              <w:spacing w:line="131" w:lineRule="exact" w:before="14"/>
              <w:ind w:left="86" w:right="110"/>
              <w:jc w:val="center"/>
              <w:rPr>
                <w:sz w:val="13"/>
              </w:rPr>
            </w:pPr>
            <w:r>
              <w:rPr>
                <w:w w:val="105"/>
                <w:sz w:val="13"/>
              </w:rPr>
              <w:t>2.2</w:t>
            </w:r>
          </w:p>
        </w:tc>
        <w:tc>
          <w:tcPr>
            <w:tcW w:w="868" w:type="dxa"/>
            <w:shd w:val="clear" w:color="auto" w:fill="DDEBF7"/>
          </w:tcPr>
          <w:p>
            <w:pPr>
              <w:pStyle w:val="TableParagraph"/>
              <w:spacing w:line="131" w:lineRule="exact" w:before="14"/>
              <w:ind w:left="87" w:right="110"/>
              <w:jc w:val="center"/>
              <w:rPr>
                <w:sz w:val="13"/>
              </w:rPr>
            </w:pPr>
            <w:r>
              <w:rPr>
                <w:w w:val="105"/>
                <w:sz w:val="13"/>
              </w:rPr>
              <w:t>2.3</w:t>
            </w:r>
          </w:p>
        </w:tc>
        <w:tc>
          <w:tcPr>
            <w:tcW w:w="863" w:type="dxa"/>
            <w:tcBorders>
              <w:right w:val="single" w:sz="12" w:space="0" w:color="000000"/>
            </w:tcBorders>
            <w:shd w:val="clear" w:color="auto" w:fill="DDEBF7"/>
          </w:tcPr>
          <w:p>
            <w:pPr>
              <w:pStyle w:val="TableParagraph"/>
              <w:spacing w:line="131" w:lineRule="exact" w:before="14"/>
              <w:ind w:left="116" w:right="126"/>
              <w:jc w:val="center"/>
              <w:rPr>
                <w:sz w:val="13"/>
              </w:rPr>
            </w:pPr>
            <w:r>
              <w:rPr>
                <w:w w:val="105"/>
                <w:sz w:val="13"/>
              </w:rPr>
              <w:t>2.5</w:t>
            </w:r>
          </w:p>
        </w:tc>
      </w:tr>
      <w:tr>
        <w:trPr>
          <w:trHeight w:val="164" w:hRule="atLeast"/>
        </w:trPr>
        <w:tc>
          <w:tcPr>
            <w:tcW w:w="2763" w:type="dxa"/>
          </w:tcPr>
          <w:p>
            <w:pPr>
              <w:pStyle w:val="TableParagraph"/>
              <w:spacing w:line="131" w:lineRule="exact" w:before="14"/>
              <w:ind w:left="24"/>
              <w:rPr>
                <w:b/>
                <w:sz w:val="13"/>
              </w:rPr>
            </w:pPr>
            <w:r>
              <w:rPr>
                <w:b/>
                <w:w w:val="105"/>
                <w:sz w:val="13"/>
              </w:rPr>
              <w:t>Gasto Total</w:t>
            </w:r>
          </w:p>
        </w:tc>
        <w:tc>
          <w:tcPr>
            <w:tcW w:w="1196" w:type="dxa"/>
            <w:shd w:val="clear" w:color="auto" w:fill="E1EEDA"/>
          </w:tcPr>
          <w:p>
            <w:pPr>
              <w:pStyle w:val="TableParagraph"/>
              <w:spacing w:line="131" w:lineRule="exact" w:before="14"/>
              <w:ind w:left="221" w:right="206"/>
              <w:jc w:val="center"/>
              <w:rPr>
                <w:b/>
                <w:sz w:val="13"/>
              </w:rPr>
            </w:pPr>
            <w:r>
              <w:rPr>
                <w:b/>
                <w:w w:val="105"/>
                <w:sz w:val="13"/>
              </w:rPr>
              <w:t>108,337.3</w:t>
            </w:r>
          </w:p>
        </w:tc>
        <w:tc>
          <w:tcPr>
            <w:tcW w:w="1022" w:type="dxa"/>
            <w:tcBorders>
              <w:right w:val="single" w:sz="12" w:space="0" w:color="000000"/>
            </w:tcBorders>
            <w:shd w:val="clear" w:color="auto" w:fill="E1EEDA"/>
          </w:tcPr>
          <w:p>
            <w:pPr>
              <w:pStyle w:val="TableParagraph"/>
              <w:spacing w:line="131" w:lineRule="exact" w:before="14"/>
              <w:ind w:left="204"/>
              <w:rPr>
                <w:b/>
                <w:sz w:val="13"/>
              </w:rPr>
            </w:pPr>
            <w:r>
              <w:rPr>
                <w:b/>
                <w:w w:val="105"/>
                <w:sz w:val="13"/>
              </w:rPr>
              <w:t>104,556.6</w:t>
            </w:r>
          </w:p>
        </w:tc>
        <w:tc>
          <w:tcPr>
            <w:tcW w:w="948" w:type="dxa"/>
            <w:tcBorders>
              <w:left w:val="single" w:sz="12" w:space="0" w:color="000000"/>
            </w:tcBorders>
            <w:shd w:val="clear" w:color="auto" w:fill="DDEBF7"/>
          </w:tcPr>
          <w:p>
            <w:pPr>
              <w:pStyle w:val="TableParagraph"/>
              <w:spacing w:line="131" w:lineRule="exact" w:before="14"/>
              <w:ind w:left="126" w:right="153"/>
              <w:jc w:val="center"/>
              <w:rPr>
                <w:b/>
                <w:sz w:val="13"/>
              </w:rPr>
            </w:pPr>
            <w:r>
              <w:rPr>
                <w:b/>
                <w:w w:val="105"/>
                <w:sz w:val="13"/>
              </w:rPr>
              <w:t>107,865.9</w:t>
            </w:r>
          </w:p>
        </w:tc>
        <w:tc>
          <w:tcPr>
            <w:tcW w:w="868" w:type="dxa"/>
            <w:shd w:val="clear" w:color="auto" w:fill="DDEBF7"/>
          </w:tcPr>
          <w:p>
            <w:pPr>
              <w:pStyle w:val="TableParagraph"/>
              <w:spacing w:line="131" w:lineRule="exact" w:before="14"/>
              <w:ind w:left="74" w:right="110"/>
              <w:jc w:val="center"/>
              <w:rPr>
                <w:b/>
                <w:sz w:val="13"/>
              </w:rPr>
            </w:pPr>
            <w:r>
              <w:rPr>
                <w:b/>
                <w:w w:val="105"/>
                <w:sz w:val="13"/>
              </w:rPr>
              <w:t>109,850.0</w:t>
            </w:r>
          </w:p>
        </w:tc>
        <w:tc>
          <w:tcPr>
            <w:tcW w:w="868" w:type="dxa"/>
            <w:shd w:val="clear" w:color="auto" w:fill="DDEBF7"/>
          </w:tcPr>
          <w:p>
            <w:pPr>
              <w:pStyle w:val="TableParagraph"/>
              <w:spacing w:line="131" w:lineRule="exact" w:before="14"/>
              <w:ind w:left="75" w:right="110"/>
              <w:jc w:val="center"/>
              <w:rPr>
                <w:b/>
                <w:sz w:val="13"/>
              </w:rPr>
            </w:pPr>
            <w:r>
              <w:rPr>
                <w:b/>
                <w:w w:val="105"/>
                <w:sz w:val="13"/>
              </w:rPr>
              <w:t>111,533.5</w:t>
            </w:r>
          </w:p>
        </w:tc>
        <w:tc>
          <w:tcPr>
            <w:tcW w:w="868" w:type="dxa"/>
            <w:shd w:val="clear" w:color="auto" w:fill="DDEBF7"/>
          </w:tcPr>
          <w:p>
            <w:pPr>
              <w:pStyle w:val="TableParagraph"/>
              <w:spacing w:line="131" w:lineRule="exact" w:before="14"/>
              <w:ind w:left="119"/>
              <w:rPr>
                <w:b/>
                <w:sz w:val="13"/>
              </w:rPr>
            </w:pPr>
            <w:r>
              <w:rPr>
                <w:b/>
                <w:w w:val="105"/>
                <w:sz w:val="13"/>
              </w:rPr>
              <w:t>114,288.8</w:t>
            </w:r>
          </w:p>
        </w:tc>
        <w:tc>
          <w:tcPr>
            <w:tcW w:w="863" w:type="dxa"/>
            <w:tcBorders>
              <w:right w:val="single" w:sz="12" w:space="0" w:color="000000"/>
            </w:tcBorders>
            <w:shd w:val="clear" w:color="auto" w:fill="DDEBF7"/>
          </w:tcPr>
          <w:p>
            <w:pPr>
              <w:pStyle w:val="TableParagraph"/>
              <w:spacing w:line="131" w:lineRule="exact" w:before="14"/>
              <w:ind w:left="105" w:right="127"/>
              <w:jc w:val="center"/>
              <w:rPr>
                <w:b/>
                <w:sz w:val="13"/>
              </w:rPr>
            </w:pPr>
            <w:r>
              <w:rPr>
                <w:b/>
                <w:w w:val="105"/>
                <w:sz w:val="13"/>
              </w:rPr>
              <w:t>119,536.3</w:t>
            </w:r>
          </w:p>
        </w:tc>
      </w:tr>
      <w:tr>
        <w:trPr>
          <w:trHeight w:val="165" w:hRule="atLeast"/>
        </w:trPr>
        <w:tc>
          <w:tcPr>
            <w:tcW w:w="2763" w:type="dxa"/>
          </w:tcPr>
          <w:p>
            <w:pPr>
              <w:pStyle w:val="TableParagraph"/>
              <w:spacing w:line="131" w:lineRule="exact" w:before="14"/>
              <w:ind w:left="119"/>
              <w:rPr>
                <w:sz w:val="13"/>
              </w:rPr>
            </w:pPr>
            <w:r>
              <w:rPr>
                <w:w w:val="105"/>
                <w:sz w:val="13"/>
              </w:rPr>
              <w:t>Funcionamiento e Inversión</w:t>
            </w:r>
          </w:p>
        </w:tc>
        <w:tc>
          <w:tcPr>
            <w:tcW w:w="1196" w:type="dxa"/>
            <w:shd w:val="clear" w:color="auto" w:fill="E1EEDA"/>
          </w:tcPr>
          <w:p>
            <w:pPr>
              <w:pStyle w:val="TableParagraph"/>
              <w:spacing w:line="131" w:lineRule="exact" w:before="14"/>
              <w:ind w:left="221" w:right="205"/>
              <w:jc w:val="center"/>
              <w:rPr>
                <w:sz w:val="13"/>
              </w:rPr>
            </w:pPr>
            <w:r>
              <w:rPr>
                <w:w w:val="105"/>
                <w:sz w:val="13"/>
              </w:rPr>
              <w:t>96,951.3</w:t>
            </w:r>
          </w:p>
        </w:tc>
        <w:tc>
          <w:tcPr>
            <w:tcW w:w="1022" w:type="dxa"/>
            <w:tcBorders>
              <w:right w:val="single" w:sz="12" w:space="0" w:color="000000"/>
            </w:tcBorders>
            <w:shd w:val="clear" w:color="auto" w:fill="E1EEDA"/>
          </w:tcPr>
          <w:p>
            <w:pPr>
              <w:pStyle w:val="TableParagraph"/>
              <w:spacing w:line="131" w:lineRule="exact" w:before="14"/>
              <w:ind w:left="236"/>
              <w:rPr>
                <w:sz w:val="13"/>
              </w:rPr>
            </w:pPr>
            <w:r>
              <w:rPr>
                <w:w w:val="105"/>
                <w:sz w:val="13"/>
              </w:rPr>
              <w:t>110,266.1</w:t>
            </w:r>
          </w:p>
        </w:tc>
        <w:tc>
          <w:tcPr>
            <w:tcW w:w="948" w:type="dxa"/>
            <w:tcBorders>
              <w:left w:val="single" w:sz="12" w:space="0" w:color="000000"/>
            </w:tcBorders>
            <w:shd w:val="clear" w:color="auto" w:fill="DDEBF7"/>
          </w:tcPr>
          <w:p>
            <w:pPr>
              <w:pStyle w:val="TableParagraph"/>
              <w:spacing w:line="131" w:lineRule="exact" w:before="14"/>
              <w:ind w:left="126" w:right="153"/>
              <w:jc w:val="center"/>
              <w:rPr>
                <w:sz w:val="13"/>
              </w:rPr>
            </w:pPr>
            <w:r>
              <w:rPr>
                <w:w w:val="105"/>
                <w:sz w:val="13"/>
              </w:rPr>
              <w:t>96,153.0</w:t>
            </w:r>
          </w:p>
        </w:tc>
        <w:tc>
          <w:tcPr>
            <w:tcW w:w="868" w:type="dxa"/>
            <w:shd w:val="clear" w:color="auto" w:fill="DDEBF7"/>
          </w:tcPr>
          <w:p>
            <w:pPr>
              <w:pStyle w:val="TableParagraph"/>
              <w:spacing w:line="131" w:lineRule="exact" w:before="14"/>
              <w:ind w:left="96" w:right="110"/>
              <w:jc w:val="center"/>
              <w:rPr>
                <w:sz w:val="13"/>
              </w:rPr>
            </w:pPr>
            <w:r>
              <w:rPr>
                <w:w w:val="105"/>
                <w:sz w:val="13"/>
              </w:rPr>
              <w:t>96,615.0</w:t>
            </w:r>
          </w:p>
        </w:tc>
        <w:tc>
          <w:tcPr>
            <w:tcW w:w="868" w:type="dxa"/>
            <w:shd w:val="clear" w:color="auto" w:fill="DDEBF7"/>
          </w:tcPr>
          <w:p>
            <w:pPr>
              <w:pStyle w:val="TableParagraph"/>
              <w:spacing w:line="131" w:lineRule="exact" w:before="14"/>
              <w:ind w:left="96" w:right="110"/>
              <w:jc w:val="center"/>
              <w:rPr>
                <w:sz w:val="13"/>
              </w:rPr>
            </w:pPr>
            <w:r>
              <w:rPr>
                <w:w w:val="105"/>
                <w:sz w:val="13"/>
              </w:rPr>
              <w:t>98,506.2</w:t>
            </w:r>
          </w:p>
        </w:tc>
        <w:tc>
          <w:tcPr>
            <w:tcW w:w="868" w:type="dxa"/>
            <w:shd w:val="clear" w:color="auto" w:fill="DDEBF7"/>
          </w:tcPr>
          <w:p>
            <w:pPr>
              <w:pStyle w:val="TableParagraph"/>
              <w:spacing w:line="131" w:lineRule="exact" w:before="14"/>
              <w:ind w:left="162"/>
              <w:rPr>
                <w:sz w:val="13"/>
              </w:rPr>
            </w:pPr>
            <w:r>
              <w:rPr>
                <w:w w:val="105"/>
                <w:sz w:val="13"/>
              </w:rPr>
              <w:t>102,172.1</w:t>
            </w:r>
          </w:p>
        </w:tc>
        <w:tc>
          <w:tcPr>
            <w:tcW w:w="863" w:type="dxa"/>
            <w:tcBorders>
              <w:right w:val="single" w:sz="12" w:space="0" w:color="000000"/>
            </w:tcBorders>
            <w:shd w:val="clear" w:color="auto" w:fill="DDEBF7"/>
          </w:tcPr>
          <w:p>
            <w:pPr>
              <w:pStyle w:val="TableParagraph"/>
              <w:spacing w:line="131" w:lineRule="exact" w:before="14"/>
              <w:ind w:left="116" w:right="117"/>
              <w:jc w:val="center"/>
              <w:rPr>
                <w:sz w:val="13"/>
              </w:rPr>
            </w:pPr>
            <w:r>
              <w:rPr>
                <w:w w:val="105"/>
                <w:sz w:val="13"/>
              </w:rPr>
              <w:t>105,764.2</w:t>
            </w:r>
          </w:p>
        </w:tc>
      </w:tr>
      <w:tr>
        <w:trPr>
          <w:trHeight w:val="164" w:hRule="atLeast"/>
        </w:trPr>
        <w:tc>
          <w:tcPr>
            <w:tcW w:w="2763" w:type="dxa"/>
          </w:tcPr>
          <w:p>
            <w:pPr>
              <w:pStyle w:val="TableParagraph"/>
              <w:spacing w:line="131" w:lineRule="exact" w:before="14"/>
              <w:ind w:left="119"/>
              <w:rPr>
                <w:sz w:val="13"/>
              </w:rPr>
            </w:pPr>
            <w:r>
              <w:rPr>
                <w:w w:val="105"/>
                <w:sz w:val="13"/>
              </w:rPr>
              <w:t>Intereses de la Deuda Pública</w:t>
            </w:r>
          </w:p>
        </w:tc>
        <w:tc>
          <w:tcPr>
            <w:tcW w:w="1196" w:type="dxa"/>
            <w:shd w:val="clear" w:color="auto" w:fill="E1EEDA"/>
          </w:tcPr>
          <w:p>
            <w:pPr>
              <w:pStyle w:val="TableParagraph"/>
              <w:spacing w:line="131" w:lineRule="exact" w:before="14"/>
              <w:ind w:left="221" w:right="205"/>
              <w:jc w:val="center"/>
              <w:rPr>
                <w:sz w:val="13"/>
              </w:rPr>
            </w:pPr>
            <w:r>
              <w:rPr>
                <w:w w:val="105"/>
                <w:sz w:val="13"/>
              </w:rPr>
              <w:t>11,386.1</w:t>
            </w:r>
          </w:p>
        </w:tc>
        <w:tc>
          <w:tcPr>
            <w:tcW w:w="1022" w:type="dxa"/>
            <w:tcBorders>
              <w:right w:val="single" w:sz="12" w:space="0" w:color="000000"/>
            </w:tcBorders>
            <w:shd w:val="clear" w:color="auto" w:fill="E1EEDA"/>
          </w:tcPr>
          <w:p>
            <w:pPr>
              <w:pStyle w:val="TableParagraph"/>
              <w:spacing w:line="131" w:lineRule="exact" w:before="14"/>
              <w:ind w:left="268"/>
              <w:rPr>
                <w:sz w:val="13"/>
              </w:rPr>
            </w:pPr>
            <w:r>
              <w:rPr>
                <w:w w:val="105"/>
                <w:sz w:val="13"/>
              </w:rPr>
              <w:t>12,258.3</w:t>
            </w:r>
          </w:p>
        </w:tc>
        <w:tc>
          <w:tcPr>
            <w:tcW w:w="948" w:type="dxa"/>
            <w:tcBorders>
              <w:left w:val="single" w:sz="12" w:space="0" w:color="000000"/>
            </w:tcBorders>
            <w:shd w:val="clear" w:color="auto" w:fill="DDEBF7"/>
          </w:tcPr>
          <w:p>
            <w:pPr>
              <w:pStyle w:val="TableParagraph"/>
              <w:spacing w:line="131" w:lineRule="exact" w:before="14"/>
              <w:ind w:left="126" w:right="153"/>
              <w:jc w:val="center"/>
              <w:rPr>
                <w:sz w:val="13"/>
              </w:rPr>
            </w:pPr>
            <w:r>
              <w:rPr>
                <w:w w:val="105"/>
                <w:sz w:val="13"/>
              </w:rPr>
              <w:t>11,712.9</w:t>
            </w:r>
          </w:p>
        </w:tc>
        <w:tc>
          <w:tcPr>
            <w:tcW w:w="868" w:type="dxa"/>
            <w:shd w:val="clear" w:color="auto" w:fill="DDEBF7"/>
          </w:tcPr>
          <w:p>
            <w:pPr>
              <w:pStyle w:val="TableParagraph"/>
              <w:spacing w:line="131" w:lineRule="exact" w:before="14"/>
              <w:ind w:left="96" w:right="110"/>
              <w:jc w:val="center"/>
              <w:rPr>
                <w:sz w:val="13"/>
              </w:rPr>
            </w:pPr>
            <w:r>
              <w:rPr>
                <w:w w:val="105"/>
                <w:sz w:val="13"/>
              </w:rPr>
              <w:t>13,235.0</w:t>
            </w:r>
          </w:p>
        </w:tc>
        <w:tc>
          <w:tcPr>
            <w:tcW w:w="868" w:type="dxa"/>
            <w:shd w:val="clear" w:color="auto" w:fill="DDEBF7"/>
          </w:tcPr>
          <w:p>
            <w:pPr>
              <w:pStyle w:val="TableParagraph"/>
              <w:spacing w:line="131" w:lineRule="exact" w:before="14"/>
              <w:ind w:left="96" w:right="110"/>
              <w:jc w:val="center"/>
              <w:rPr>
                <w:sz w:val="13"/>
              </w:rPr>
            </w:pPr>
            <w:r>
              <w:rPr>
                <w:w w:val="105"/>
                <w:sz w:val="13"/>
              </w:rPr>
              <w:t>13,027.3</w:t>
            </w:r>
          </w:p>
        </w:tc>
        <w:tc>
          <w:tcPr>
            <w:tcW w:w="868" w:type="dxa"/>
            <w:shd w:val="clear" w:color="auto" w:fill="DDEBF7"/>
          </w:tcPr>
          <w:p>
            <w:pPr>
              <w:pStyle w:val="TableParagraph"/>
              <w:spacing w:line="131" w:lineRule="exact" w:before="14"/>
              <w:ind w:left="194"/>
              <w:rPr>
                <w:sz w:val="13"/>
              </w:rPr>
            </w:pPr>
            <w:r>
              <w:rPr>
                <w:w w:val="105"/>
                <w:sz w:val="13"/>
              </w:rPr>
              <w:t>12,116.7</w:t>
            </w:r>
          </w:p>
        </w:tc>
        <w:tc>
          <w:tcPr>
            <w:tcW w:w="863" w:type="dxa"/>
            <w:tcBorders>
              <w:right w:val="single" w:sz="12" w:space="0" w:color="000000"/>
            </w:tcBorders>
            <w:shd w:val="clear" w:color="auto" w:fill="DDEBF7"/>
          </w:tcPr>
          <w:p>
            <w:pPr>
              <w:pStyle w:val="TableParagraph"/>
              <w:spacing w:line="131" w:lineRule="exact" w:before="14"/>
              <w:ind w:left="116" w:right="117"/>
              <w:jc w:val="center"/>
              <w:rPr>
                <w:sz w:val="13"/>
              </w:rPr>
            </w:pPr>
            <w:r>
              <w:rPr>
                <w:w w:val="105"/>
                <w:sz w:val="13"/>
              </w:rPr>
              <w:t>13,772.1</w:t>
            </w:r>
          </w:p>
        </w:tc>
      </w:tr>
      <w:tr>
        <w:trPr>
          <w:trHeight w:val="162" w:hRule="atLeast"/>
        </w:trPr>
        <w:tc>
          <w:tcPr>
            <w:tcW w:w="2763" w:type="dxa"/>
            <w:tcBorders>
              <w:bottom w:val="single" w:sz="12" w:space="0" w:color="000000"/>
            </w:tcBorders>
          </w:tcPr>
          <w:p>
            <w:pPr>
              <w:pStyle w:val="TableParagraph"/>
              <w:spacing w:line="129" w:lineRule="exact" w:before="14"/>
              <w:ind w:left="119"/>
              <w:rPr>
                <w:b/>
                <w:sz w:val="13"/>
              </w:rPr>
            </w:pPr>
            <w:r>
              <w:rPr>
                <w:b/>
                <w:color w:val="FF0000"/>
                <w:w w:val="105"/>
                <w:sz w:val="13"/>
              </w:rPr>
              <w:t>Resultado Presupuestario (Déficit)</w:t>
            </w:r>
          </w:p>
        </w:tc>
        <w:tc>
          <w:tcPr>
            <w:tcW w:w="1196" w:type="dxa"/>
            <w:tcBorders>
              <w:bottom w:val="single" w:sz="12" w:space="0" w:color="000000"/>
            </w:tcBorders>
            <w:shd w:val="clear" w:color="auto" w:fill="E1EEDA"/>
          </w:tcPr>
          <w:p>
            <w:pPr>
              <w:pStyle w:val="TableParagraph"/>
              <w:spacing w:line="129" w:lineRule="exact" w:before="14"/>
              <w:ind w:left="211" w:right="206"/>
              <w:jc w:val="center"/>
              <w:rPr>
                <w:b/>
                <w:sz w:val="13"/>
              </w:rPr>
            </w:pPr>
            <w:r>
              <w:rPr>
                <w:b/>
                <w:color w:val="FF0000"/>
                <w:w w:val="105"/>
                <w:sz w:val="13"/>
              </w:rPr>
              <w:t>-26,757.9</w:t>
            </w:r>
          </w:p>
        </w:tc>
        <w:tc>
          <w:tcPr>
            <w:tcW w:w="1022" w:type="dxa"/>
            <w:tcBorders>
              <w:bottom w:val="single" w:sz="12" w:space="0" w:color="000000"/>
              <w:right w:val="single" w:sz="12" w:space="0" w:color="000000"/>
            </w:tcBorders>
            <w:shd w:val="clear" w:color="auto" w:fill="E1EEDA"/>
          </w:tcPr>
          <w:p>
            <w:pPr>
              <w:pStyle w:val="TableParagraph"/>
              <w:spacing w:line="129" w:lineRule="exact" w:before="14"/>
              <w:ind w:left="215"/>
              <w:rPr>
                <w:b/>
                <w:sz w:val="13"/>
              </w:rPr>
            </w:pPr>
            <w:r>
              <w:rPr>
                <w:b/>
                <w:color w:val="FF0000"/>
                <w:w w:val="105"/>
                <w:sz w:val="13"/>
              </w:rPr>
              <w:t>(17,374.5)</w:t>
            </w:r>
          </w:p>
        </w:tc>
        <w:tc>
          <w:tcPr>
            <w:tcW w:w="948" w:type="dxa"/>
            <w:tcBorders>
              <w:left w:val="single" w:sz="12" w:space="0" w:color="000000"/>
              <w:bottom w:val="single" w:sz="12" w:space="0" w:color="000000"/>
            </w:tcBorders>
            <w:shd w:val="clear" w:color="auto" w:fill="DDEBF7"/>
          </w:tcPr>
          <w:p>
            <w:pPr>
              <w:pStyle w:val="TableParagraph"/>
              <w:spacing w:line="129" w:lineRule="exact" w:before="14"/>
              <w:ind w:left="156" w:right="146"/>
              <w:jc w:val="center"/>
              <w:rPr>
                <w:b/>
                <w:sz w:val="13"/>
              </w:rPr>
            </w:pPr>
            <w:r>
              <w:rPr>
                <w:b/>
                <w:color w:val="FF0000"/>
                <w:w w:val="105"/>
                <w:sz w:val="13"/>
              </w:rPr>
              <w:t>(18,408.9)</w:t>
            </w:r>
          </w:p>
        </w:tc>
        <w:tc>
          <w:tcPr>
            <w:tcW w:w="868" w:type="dxa"/>
            <w:tcBorders>
              <w:bottom w:val="single" w:sz="12" w:space="0" w:color="000000"/>
            </w:tcBorders>
            <w:shd w:val="clear" w:color="auto" w:fill="DDEBF7"/>
          </w:tcPr>
          <w:p>
            <w:pPr>
              <w:pStyle w:val="TableParagraph"/>
              <w:spacing w:line="129" w:lineRule="exact" w:before="14"/>
              <w:ind w:left="115" w:right="92"/>
              <w:jc w:val="center"/>
              <w:rPr>
                <w:b/>
                <w:sz w:val="13"/>
              </w:rPr>
            </w:pPr>
            <w:r>
              <w:rPr>
                <w:b/>
                <w:color w:val="FF0000"/>
                <w:w w:val="105"/>
                <w:sz w:val="13"/>
              </w:rPr>
              <w:t>(11,702.6)</w:t>
            </w:r>
          </w:p>
        </w:tc>
        <w:tc>
          <w:tcPr>
            <w:tcW w:w="868" w:type="dxa"/>
            <w:tcBorders>
              <w:bottom w:val="single" w:sz="12" w:space="0" w:color="000000"/>
            </w:tcBorders>
            <w:shd w:val="clear" w:color="auto" w:fill="DDEBF7"/>
          </w:tcPr>
          <w:p>
            <w:pPr>
              <w:pStyle w:val="TableParagraph"/>
              <w:spacing w:line="129" w:lineRule="exact" w:before="14"/>
              <w:ind w:left="115" w:right="102"/>
              <w:jc w:val="center"/>
              <w:rPr>
                <w:b/>
                <w:sz w:val="13"/>
              </w:rPr>
            </w:pPr>
            <w:r>
              <w:rPr>
                <w:b/>
                <w:color w:val="FF0000"/>
                <w:w w:val="105"/>
                <w:sz w:val="13"/>
              </w:rPr>
              <w:t>(7,502.3)</w:t>
            </w:r>
          </w:p>
        </w:tc>
        <w:tc>
          <w:tcPr>
            <w:tcW w:w="868" w:type="dxa"/>
            <w:tcBorders>
              <w:bottom w:val="single" w:sz="12" w:space="0" w:color="000000"/>
            </w:tcBorders>
            <w:shd w:val="clear" w:color="auto" w:fill="DDEBF7"/>
          </w:tcPr>
          <w:p>
            <w:pPr>
              <w:pStyle w:val="TableParagraph"/>
              <w:spacing w:line="129" w:lineRule="exact" w:before="14"/>
              <w:ind w:left="172"/>
              <w:rPr>
                <w:b/>
                <w:sz w:val="13"/>
              </w:rPr>
            </w:pPr>
            <w:r>
              <w:rPr>
                <w:b/>
                <w:color w:val="FF0000"/>
                <w:w w:val="105"/>
                <w:sz w:val="13"/>
              </w:rPr>
              <w:t>(3,750.7)</w:t>
            </w:r>
          </w:p>
        </w:tc>
        <w:tc>
          <w:tcPr>
            <w:tcW w:w="863" w:type="dxa"/>
            <w:tcBorders>
              <w:bottom w:val="single" w:sz="12" w:space="0" w:color="000000"/>
              <w:right w:val="single" w:sz="12" w:space="0" w:color="000000"/>
            </w:tcBorders>
            <w:shd w:val="clear" w:color="auto" w:fill="DDEBF7"/>
          </w:tcPr>
          <w:p>
            <w:pPr>
              <w:pStyle w:val="TableParagraph"/>
              <w:spacing w:line="129" w:lineRule="exact" w:before="14"/>
              <w:ind w:left="116" w:right="90"/>
              <w:jc w:val="center"/>
              <w:rPr>
                <w:b/>
                <w:sz w:val="13"/>
              </w:rPr>
            </w:pPr>
            <w:r>
              <w:rPr>
                <w:b/>
                <w:color w:val="FF0000"/>
                <w:w w:val="105"/>
                <w:sz w:val="13"/>
              </w:rPr>
              <w:t>(2,096.6)</w:t>
            </w:r>
          </w:p>
        </w:tc>
      </w:tr>
      <w:tr>
        <w:trPr>
          <w:trHeight w:val="162" w:hRule="atLeast"/>
        </w:trPr>
        <w:tc>
          <w:tcPr>
            <w:tcW w:w="2763" w:type="dxa"/>
            <w:tcBorders>
              <w:top w:val="single" w:sz="12" w:space="0" w:color="000000"/>
            </w:tcBorders>
          </w:tcPr>
          <w:p>
            <w:pPr>
              <w:pStyle w:val="TableParagraph"/>
              <w:spacing w:line="131" w:lineRule="exact" w:before="11"/>
              <w:ind w:left="24"/>
              <w:rPr>
                <w:b/>
                <w:sz w:val="13"/>
              </w:rPr>
            </w:pPr>
            <w:r>
              <w:rPr>
                <w:b/>
                <w:w w:val="105"/>
                <w:sz w:val="13"/>
              </w:rPr>
              <w:t>Financiamiento</w:t>
            </w:r>
          </w:p>
        </w:tc>
        <w:tc>
          <w:tcPr>
            <w:tcW w:w="1196" w:type="dxa"/>
            <w:tcBorders>
              <w:top w:val="single" w:sz="12" w:space="0" w:color="000000"/>
            </w:tcBorders>
            <w:shd w:val="clear" w:color="auto" w:fill="E1EEDA"/>
          </w:tcPr>
          <w:p>
            <w:pPr>
              <w:pStyle w:val="TableParagraph"/>
              <w:spacing w:line="131" w:lineRule="exact" w:before="11"/>
              <w:ind w:left="211" w:right="206"/>
              <w:jc w:val="center"/>
              <w:rPr>
                <w:b/>
                <w:sz w:val="13"/>
              </w:rPr>
            </w:pPr>
            <w:r>
              <w:rPr>
                <w:b/>
                <w:w w:val="105"/>
                <w:sz w:val="13"/>
              </w:rPr>
              <w:t>26,757.9</w:t>
            </w:r>
          </w:p>
        </w:tc>
        <w:tc>
          <w:tcPr>
            <w:tcW w:w="1022" w:type="dxa"/>
            <w:tcBorders>
              <w:top w:val="single" w:sz="12" w:space="0" w:color="000000"/>
              <w:right w:val="single" w:sz="12" w:space="0" w:color="000000"/>
            </w:tcBorders>
            <w:shd w:val="clear" w:color="auto" w:fill="E1EEDA"/>
          </w:tcPr>
          <w:p>
            <w:pPr>
              <w:pStyle w:val="TableParagraph"/>
              <w:spacing w:line="131" w:lineRule="exact" w:before="11"/>
              <w:ind w:left="236"/>
              <w:rPr>
                <w:b/>
                <w:sz w:val="13"/>
              </w:rPr>
            </w:pPr>
            <w:r>
              <w:rPr>
                <w:b/>
                <w:w w:val="105"/>
                <w:sz w:val="13"/>
              </w:rPr>
              <w:t>17,374.5</w:t>
            </w:r>
          </w:p>
        </w:tc>
        <w:tc>
          <w:tcPr>
            <w:tcW w:w="948" w:type="dxa"/>
            <w:tcBorders>
              <w:top w:val="single" w:sz="12" w:space="0" w:color="000000"/>
              <w:left w:val="single" w:sz="12" w:space="0" w:color="000000"/>
            </w:tcBorders>
            <w:shd w:val="clear" w:color="auto" w:fill="DDEBF7"/>
          </w:tcPr>
          <w:p>
            <w:pPr>
              <w:pStyle w:val="TableParagraph"/>
              <w:spacing w:line="131" w:lineRule="exact" w:before="11"/>
              <w:ind w:left="115" w:right="153"/>
              <w:jc w:val="center"/>
              <w:rPr>
                <w:b/>
                <w:sz w:val="13"/>
              </w:rPr>
            </w:pPr>
            <w:r>
              <w:rPr>
                <w:b/>
                <w:w w:val="105"/>
                <w:sz w:val="13"/>
              </w:rPr>
              <w:t>18,408.9</w:t>
            </w:r>
          </w:p>
        </w:tc>
        <w:tc>
          <w:tcPr>
            <w:tcW w:w="868" w:type="dxa"/>
            <w:tcBorders>
              <w:top w:val="single" w:sz="12" w:space="0" w:color="000000"/>
            </w:tcBorders>
            <w:shd w:val="clear" w:color="auto" w:fill="DDEBF7"/>
          </w:tcPr>
          <w:p>
            <w:pPr>
              <w:pStyle w:val="TableParagraph"/>
              <w:spacing w:line="131" w:lineRule="exact" w:before="11"/>
              <w:ind w:left="85" w:right="110"/>
              <w:jc w:val="center"/>
              <w:rPr>
                <w:b/>
                <w:sz w:val="13"/>
              </w:rPr>
            </w:pPr>
            <w:r>
              <w:rPr>
                <w:b/>
                <w:w w:val="105"/>
                <w:sz w:val="13"/>
              </w:rPr>
              <w:t>11,702.6</w:t>
            </w:r>
          </w:p>
        </w:tc>
        <w:tc>
          <w:tcPr>
            <w:tcW w:w="868" w:type="dxa"/>
            <w:tcBorders>
              <w:top w:val="single" w:sz="12" w:space="0" w:color="000000"/>
            </w:tcBorders>
            <w:shd w:val="clear" w:color="auto" w:fill="DDEBF7"/>
          </w:tcPr>
          <w:p>
            <w:pPr>
              <w:pStyle w:val="TableParagraph"/>
              <w:spacing w:line="131" w:lineRule="exact" w:before="11"/>
              <w:ind w:left="75" w:right="110"/>
              <w:jc w:val="center"/>
              <w:rPr>
                <w:b/>
                <w:sz w:val="13"/>
              </w:rPr>
            </w:pPr>
            <w:r>
              <w:rPr>
                <w:b/>
                <w:w w:val="105"/>
                <w:sz w:val="13"/>
              </w:rPr>
              <w:t>7,502.3</w:t>
            </w:r>
          </w:p>
        </w:tc>
        <w:tc>
          <w:tcPr>
            <w:tcW w:w="868" w:type="dxa"/>
            <w:tcBorders>
              <w:top w:val="single" w:sz="12" w:space="0" w:color="000000"/>
            </w:tcBorders>
            <w:shd w:val="clear" w:color="auto" w:fill="DDEBF7"/>
          </w:tcPr>
          <w:p>
            <w:pPr>
              <w:pStyle w:val="TableParagraph"/>
              <w:spacing w:line="131" w:lineRule="exact" w:before="11"/>
              <w:ind w:left="194"/>
              <w:rPr>
                <w:b/>
                <w:sz w:val="13"/>
              </w:rPr>
            </w:pPr>
            <w:r>
              <w:rPr>
                <w:b/>
                <w:w w:val="105"/>
                <w:sz w:val="13"/>
              </w:rPr>
              <w:t>3,750.7</w:t>
            </w:r>
          </w:p>
        </w:tc>
        <w:tc>
          <w:tcPr>
            <w:tcW w:w="863" w:type="dxa"/>
            <w:tcBorders>
              <w:top w:val="single" w:sz="12" w:space="0" w:color="000000"/>
              <w:right w:val="single" w:sz="12" w:space="0" w:color="000000"/>
            </w:tcBorders>
            <w:shd w:val="clear" w:color="auto" w:fill="DDEBF7"/>
          </w:tcPr>
          <w:p>
            <w:pPr>
              <w:pStyle w:val="TableParagraph"/>
              <w:spacing w:line="131" w:lineRule="exact" w:before="11"/>
              <w:ind w:left="105" w:right="127"/>
              <w:jc w:val="center"/>
              <w:rPr>
                <w:b/>
                <w:sz w:val="13"/>
              </w:rPr>
            </w:pPr>
            <w:r>
              <w:rPr>
                <w:b/>
                <w:w w:val="105"/>
                <w:sz w:val="13"/>
              </w:rPr>
              <w:t>2,096.6</w:t>
            </w:r>
          </w:p>
        </w:tc>
      </w:tr>
      <w:tr>
        <w:trPr>
          <w:trHeight w:val="164" w:hRule="atLeast"/>
        </w:trPr>
        <w:tc>
          <w:tcPr>
            <w:tcW w:w="2763" w:type="dxa"/>
          </w:tcPr>
          <w:p>
            <w:pPr>
              <w:pStyle w:val="TableParagraph"/>
              <w:spacing w:line="131" w:lineRule="exact" w:before="14"/>
              <w:ind w:left="119"/>
              <w:rPr>
                <w:sz w:val="13"/>
              </w:rPr>
            </w:pPr>
            <w:r>
              <w:rPr>
                <w:w w:val="105"/>
                <w:sz w:val="13"/>
              </w:rPr>
              <w:t>Financiamiento Externo Neto</w:t>
            </w:r>
          </w:p>
        </w:tc>
        <w:tc>
          <w:tcPr>
            <w:tcW w:w="1196" w:type="dxa"/>
            <w:shd w:val="clear" w:color="auto" w:fill="E1EEDA"/>
          </w:tcPr>
          <w:p>
            <w:pPr>
              <w:pStyle w:val="TableParagraph"/>
              <w:spacing w:line="131" w:lineRule="exact" w:before="14"/>
              <w:ind w:left="221" w:right="205"/>
              <w:jc w:val="center"/>
              <w:rPr>
                <w:sz w:val="13"/>
              </w:rPr>
            </w:pPr>
            <w:r>
              <w:rPr>
                <w:w w:val="105"/>
                <w:sz w:val="13"/>
              </w:rPr>
              <w:t>-1,474.4</w:t>
            </w:r>
          </w:p>
        </w:tc>
        <w:tc>
          <w:tcPr>
            <w:tcW w:w="1022" w:type="dxa"/>
            <w:tcBorders>
              <w:right w:val="single" w:sz="12" w:space="0" w:color="000000"/>
            </w:tcBorders>
            <w:shd w:val="clear" w:color="auto" w:fill="E1EEDA"/>
          </w:tcPr>
          <w:p>
            <w:pPr>
              <w:pStyle w:val="TableParagraph"/>
              <w:spacing w:line="131" w:lineRule="exact" w:before="14"/>
              <w:ind w:left="300"/>
              <w:rPr>
                <w:sz w:val="13"/>
              </w:rPr>
            </w:pPr>
            <w:r>
              <w:rPr>
                <w:w w:val="105"/>
                <w:sz w:val="13"/>
              </w:rPr>
              <w:t>2,714.1</w:t>
            </w:r>
          </w:p>
        </w:tc>
        <w:tc>
          <w:tcPr>
            <w:tcW w:w="948" w:type="dxa"/>
            <w:tcBorders>
              <w:left w:val="single" w:sz="12" w:space="0" w:color="000000"/>
            </w:tcBorders>
            <w:shd w:val="clear" w:color="auto" w:fill="DDEBF7"/>
          </w:tcPr>
          <w:p>
            <w:pPr>
              <w:pStyle w:val="TableParagraph"/>
              <w:spacing w:line="131" w:lineRule="exact" w:before="14"/>
              <w:ind w:left="156" w:right="145"/>
              <w:jc w:val="center"/>
              <w:rPr>
                <w:sz w:val="13"/>
              </w:rPr>
            </w:pPr>
            <w:r>
              <w:rPr>
                <w:color w:val="FF0000"/>
                <w:w w:val="105"/>
                <w:sz w:val="13"/>
              </w:rPr>
              <w:t>(1,277.7)</w:t>
            </w:r>
          </w:p>
        </w:tc>
        <w:tc>
          <w:tcPr>
            <w:tcW w:w="868" w:type="dxa"/>
            <w:shd w:val="clear" w:color="auto" w:fill="DDEBF7"/>
          </w:tcPr>
          <w:p>
            <w:pPr>
              <w:pStyle w:val="TableParagraph"/>
              <w:spacing w:line="131" w:lineRule="exact" w:before="14"/>
              <w:ind w:left="115" w:right="91"/>
              <w:jc w:val="center"/>
              <w:rPr>
                <w:sz w:val="13"/>
              </w:rPr>
            </w:pPr>
            <w:r>
              <w:rPr>
                <w:color w:val="FF0000"/>
                <w:w w:val="105"/>
                <w:sz w:val="13"/>
              </w:rPr>
              <w:t>(1,449.9)</w:t>
            </w:r>
          </w:p>
        </w:tc>
        <w:tc>
          <w:tcPr>
            <w:tcW w:w="868" w:type="dxa"/>
            <w:shd w:val="clear" w:color="auto" w:fill="DDEBF7"/>
          </w:tcPr>
          <w:p>
            <w:pPr>
              <w:pStyle w:val="TableParagraph"/>
              <w:spacing w:line="131" w:lineRule="exact" w:before="14"/>
              <w:ind w:left="115" w:right="91"/>
              <w:jc w:val="center"/>
              <w:rPr>
                <w:sz w:val="13"/>
              </w:rPr>
            </w:pPr>
            <w:r>
              <w:rPr>
                <w:color w:val="FF0000"/>
                <w:w w:val="105"/>
                <w:sz w:val="13"/>
              </w:rPr>
              <w:t>(3,994.8)</w:t>
            </w:r>
          </w:p>
        </w:tc>
        <w:tc>
          <w:tcPr>
            <w:tcW w:w="868" w:type="dxa"/>
            <w:shd w:val="clear" w:color="auto" w:fill="DDEBF7"/>
          </w:tcPr>
          <w:p>
            <w:pPr>
              <w:pStyle w:val="TableParagraph"/>
              <w:spacing w:line="131" w:lineRule="exact" w:before="14"/>
              <w:ind w:left="204"/>
              <w:rPr>
                <w:sz w:val="13"/>
              </w:rPr>
            </w:pPr>
            <w:r>
              <w:rPr>
                <w:color w:val="FF0000"/>
                <w:w w:val="105"/>
                <w:sz w:val="13"/>
              </w:rPr>
              <w:t>(5,931.9)</w:t>
            </w:r>
          </w:p>
        </w:tc>
        <w:tc>
          <w:tcPr>
            <w:tcW w:w="863" w:type="dxa"/>
            <w:tcBorders>
              <w:right w:val="single" w:sz="12" w:space="0" w:color="000000"/>
            </w:tcBorders>
            <w:shd w:val="clear" w:color="auto" w:fill="DDEBF7"/>
          </w:tcPr>
          <w:p>
            <w:pPr>
              <w:pStyle w:val="TableParagraph"/>
              <w:spacing w:line="131" w:lineRule="exact" w:before="14"/>
              <w:ind w:left="116" w:right="79"/>
              <w:jc w:val="center"/>
              <w:rPr>
                <w:sz w:val="13"/>
              </w:rPr>
            </w:pPr>
            <w:r>
              <w:rPr>
                <w:color w:val="FF0000"/>
                <w:w w:val="105"/>
                <w:sz w:val="13"/>
              </w:rPr>
              <w:t>(5,263.5)</w:t>
            </w:r>
          </w:p>
        </w:tc>
      </w:tr>
      <w:tr>
        <w:trPr>
          <w:trHeight w:val="164" w:hRule="atLeast"/>
        </w:trPr>
        <w:tc>
          <w:tcPr>
            <w:tcW w:w="2763" w:type="dxa"/>
          </w:tcPr>
          <w:p>
            <w:pPr>
              <w:pStyle w:val="TableParagraph"/>
              <w:spacing w:line="131" w:lineRule="exact" w:before="14"/>
              <w:ind w:left="214"/>
              <w:rPr>
                <w:sz w:val="13"/>
              </w:rPr>
            </w:pPr>
            <w:r>
              <w:rPr>
                <w:w w:val="105"/>
                <w:sz w:val="13"/>
              </w:rPr>
              <w:t>Desembolsos</w:t>
            </w:r>
          </w:p>
        </w:tc>
        <w:tc>
          <w:tcPr>
            <w:tcW w:w="1196" w:type="dxa"/>
            <w:shd w:val="clear" w:color="auto" w:fill="E1EEDA"/>
          </w:tcPr>
          <w:p>
            <w:pPr>
              <w:pStyle w:val="TableParagraph"/>
              <w:spacing w:line="131" w:lineRule="exact" w:before="14"/>
              <w:ind w:left="221" w:right="205"/>
              <w:jc w:val="center"/>
              <w:rPr>
                <w:sz w:val="13"/>
              </w:rPr>
            </w:pPr>
            <w:r>
              <w:rPr>
                <w:w w:val="105"/>
                <w:sz w:val="13"/>
              </w:rPr>
              <w:t>2,451.5</w:t>
            </w:r>
          </w:p>
        </w:tc>
        <w:tc>
          <w:tcPr>
            <w:tcW w:w="1022" w:type="dxa"/>
            <w:tcBorders>
              <w:right w:val="single" w:sz="12" w:space="0" w:color="000000"/>
            </w:tcBorders>
            <w:shd w:val="clear" w:color="auto" w:fill="E1EEDA"/>
          </w:tcPr>
          <w:p>
            <w:pPr>
              <w:pStyle w:val="TableParagraph"/>
              <w:spacing w:line="131" w:lineRule="exact" w:before="14"/>
              <w:ind w:left="300"/>
              <w:rPr>
                <w:sz w:val="13"/>
              </w:rPr>
            </w:pPr>
            <w:r>
              <w:rPr>
                <w:w w:val="105"/>
                <w:sz w:val="13"/>
              </w:rPr>
              <w:t>5,461.7</w:t>
            </w:r>
          </w:p>
        </w:tc>
        <w:tc>
          <w:tcPr>
            <w:tcW w:w="948" w:type="dxa"/>
            <w:tcBorders>
              <w:left w:val="single" w:sz="12" w:space="0" w:color="000000"/>
            </w:tcBorders>
            <w:shd w:val="clear" w:color="auto" w:fill="DDEBF7"/>
          </w:tcPr>
          <w:p>
            <w:pPr>
              <w:pStyle w:val="TableParagraph"/>
              <w:spacing w:line="131" w:lineRule="exact" w:before="14"/>
              <w:ind w:left="126" w:right="153"/>
              <w:jc w:val="center"/>
              <w:rPr>
                <w:sz w:val="13"/>
              </w:rPr>
            </w:pPr>
            <w:r>
              <w:rPr>
                <w:w w:val="105"/>
                <w:sz w:val="13"/>
              </w:rPr>
              <w:t>3,096.7</w:t>
            </w:r>
          </w:p>
        </w:tc>
        <w:tc>
          <w:tcPr>
            <w:tcW w:w="868" w:type="dxa"/>
            <w:shd w:val="clear" w:color="auto" w:fill="DDEBF7"/>
          </w:tcPr>
          <w:p>
            <w:pPr>
              <w:pStyle w:val="TableParagraph"/>
              <w:spacing w:line="131" w:lineRule="exact" w:before="14"/>
              <w:ind w:left="96" w:right="110"/>
              <w:jc w:val="center"/>
              <w:rPr>
                <w:sz w:val="13"/>
              </w:rPr>
            </w:pPr>
            <w:r>
              <w:rPr>
                <w:w w:val="105"/>
                <w:sz w:val="13"/>
              </w:rPr>
              <w:t>2,128.4</w:t>
            </w:r>
          </w:p>
        </w:tc>
        <w:tc>
          <w:tcPr>
            <w:tcW w:w="868" w:type="dxa"/>
            <w:shd w:val="clear" w:color="auto" w:fill="DDEBF7"/>
          </w:tcPr>
          <w:p>
            <w:pPr>
              <w:pStyle w:val="TableParagraph"/>
              <w:spacing w:line="131" w:lineRule="exact" w:before="14"/>
              <w:ind w:left="86" w:right="110"/>
              <w:jc w:val="center"/>
              <w:rPr>
                <w:sz w:val="13"/>
              </w:rPr>
            </w:pPr>
            <w:r>
              <w:rPr>
                <w:w w:val="105"/>
                <w:sz w:val="13"/>
              </w:rPr>
              <w:t>510.2</w:t>
            </w:r>
          </w:p>
        </w:tc>
        <w:tc>
          <w:tcPr>
            <w:tcW w:w="868" w:type="dxa"/>
            <w:shd w:val="clear" w:color="auto" w:fill="DDEBF7"/>
          </w:tcPr>
          <w:p>
            <w:pPr>
              <w:pStyle w:val="TableParagraph"/>
              <w:spacing w:line="131" w:lineRule="exact" w:before="14"/>
              <w:ind w:left="268"/>
              <w:rPr>
                <w:sz w:val="13"/>
              </w:rPr>
            </w:pPr>
            <w:r>
              <w:rPr>
                <w:w w:val="105"/>
                <w:sz w:val="13"/>
              </w:rPr>
              <w:t>261.7</w:t>
            </w:r>
          </w:p>
        </w:tc>
        <w:tc>
          <w:tcPr>
            <w:tcW w:w="863" w:type="dxa"/>
            <w:tcBorders>
              <w:right w:val="single" w:sz="12" w:space="0" w:color="000000"/>
            </w:tcBorders>
            <w:shd w:val="clear" w:color="auto" w:fill="DDEBF7"/>
          </w:tcPr>
          <w:p>
            <w:pPr>
              <w:pStyle w:val="TableParagraph"/>
              <w:spacing w:line="131" w:lineRule="exact" w:before="14"/>
              <w:ind w:left="116" w:right="126"/>
              <w:jc w:val="center"/>
              <w:rPr>
                <w:sz w:val="13"/>
              </w:rPr>
            </w:pPr>
            <w:r>
              <w:rPr>
                <w:w w:val="105"/>
                <w:sz w:val="13"/>
              </w:rPr>
              <w:t>0.0</w:t>
            </w:r>
          </w:p>
        </w:tc>
      </w:tr>
      <w:tr>
        <w:trPr>
          <w:trHeight w:val="164" w:hRule="atLeast"/>
        </w:trPr>
        <w:tc>
          <w:tcPr>
            <w:tcW w:w="2763" w:type="dxa"/>
          </w:tcPr>
          <w:p>
            <w:pPr>
              <w:pStyle w:val="TableParagraph"/>
              <w:spacing w:line="131" w:lineRule="exact" w:before="14"/>
              <w:ind w:left="214"/>
              <w:rPr>
                <w:sz w:val="13"/>
              </w:rPr>
            </w:pPr>
            <w:r>
              <w:rPr>
                <w:w w:val="105"/>
                <w:sz w:val="13"/>
              </w:rPr>
              <w:t>Amortizaciones</w:t>
            </w:r>
          </w:p>
        </w:tc>
        <w:tc>
          <w:tcPr>
            <w:tcW w:w="1196" w:type="dxa"/>
            <w:shd w:val="clear" w:color="auto" w:fill="E1EEDA"/>
          </w:tcPr>
          <w:p>
            <w:pPr>
              <w:pStyle w:val="TableParagraph"/>
              <w:spacing w:line="131" w:lineRule="exact" w:before="14"/>
              <w:ind w:left="221" w:right="205"/>
              <w:jc w:val="center"/>
              <w:rPr>
                <w:sz w:val="13"/>
              </w:rPr>
            </w:pPr>
            <w:r>
              <w:rPr>
                <w:w w:val="105"/>
                <w:sz w:val="13"/>
              </w:rPr>
              <w:t>3,925.9</w:t>
            </w:r>
          </w:p>
        </w:tc>
        <w:tc>
          <w:tcPr>
            <w:tcW w:w="1022" w:type="dxa"/>
            <w:tcBorders>
              <w:right w:val="single" w:sz="12" w:space="0" w:color="000000"/>
            </w:tcBorders>
            <w:shd w:val="clear" w:color="auto" w:fill="E1EEDA"/>
          </w:tcPr>
          <w:p>
            <w:pPr>
              <w:pStyle w:val="TableParagraph"/>
              <w:spacing w:line="131" w:lineRule="exact" w:before="14"/>
              <w:ind w:left="300"/>
              <w:rPr>
                <w:sz w:val="13"/>
              </w:rPr>
            </w:pPr>
            <w:r>
              <w:rPr>
                <w:w w:val="105"/>
                <w:sz w:val="13"/>
              </w:rPr>
              <w:t>2,747.6</w:t>
            </w:r>
          </w:p>
        </w:tc>
        <w:tc>
          <w:tcPr>
            <w:tcW w:w="948" w:type="dxa"/>
            <w:tcBorders>
              <w:left w:val="single" w:sz="12" w:space="0" w:color="000000"/>
            </w:tcBorders>
            <w:shd w:val="clear" w:color="auto" w:fill="DDEBF7"/>
          </w:tcPr>
          <w:p>
            <w:pPr>
              <w:pStyle w:val="TableParagraph"/>
              <w:spacing w:line="131" w:lineRule="exact" w:before="14"/>
              <w:ind w:left="126" w:right="153"/>
              <w:jc w:val="center"/>
              <w:rPr>
                <w:sz w:val="13"/>
              </w:rPr>
            </w:pPr>
            <w:r>
              <w:rPr>
                <w:w w:val="105"/>
                <w:sz w:val="13"/>
              </w:rPr>
              <w:t>4,374.4</w:t>
            </w:r>
          </w:p>
        </w:tc>
        <w:tc>
          <w:tcPr>
            <w:tcW w:w="868" w:type="dxa"/>
            <w:shd w:val="clear" w:color="auto" w:fill="DDEBF7"/>
          </w:tcPr>
          <w:p>
            <w:pPr>
              <w:pStyle w:val="TableParagraph"/>
              <w:spacing w:line="131" w:lineRule="exact" w:before="14"/>
              <w:ind w:left="96" w:right="110"/>
              <w:jc w:val="center"/>
              <w:rPr>
                <w:sz w:val="13"/>
              </w:rPr>
            </w:pPr>
            <w:r>
              <w:rPr>
                <w:w w:val="105"/>
                <w:sz w:val="13"/>
              </w:rPr>
              <w:t>3,578.3</w:t>
            </w:r>
          </w:p>
        </w:tc>
        <w:tc>
          <w:tcPr>
            <w:tcW w:w="868" w:type="dxa"/>
            <w:shd w:val="clear" w:color="auto" w:fill="DDEBF7"/>
          </w:tcPr>
          <w:p>
            <w:pPr>
              <w:pStyle w:val="TableParagraph"/>
              <w:spacing w:line="131" w:lineRule="exact" w:before="14"/>
              <w:ind w:left="97" w:right="110"/>
              <w:jc w:val="center"/>
              <w:rPr>
                <w:sz w:val="13"/>
              </w:rPr>
            </w:pPr>
            <w:r>
              <w:rPr>
                <w:w w:val="105"/>
                <w:sz w:val="13"/>
              </w:rPr>
              <w:t>4,505.0</w:t>
            </w:r>
          </w:p>
        </w:tc>
        <w:tc>
          <w:tcPr>
            <w:tcW w:w="868" w:type="dxa"/>
            <w:shd w:val="clear" w:color="auto" w:fill="DDEBF7"/>
          </w:tcPr>
          <w:p>
            <w:pPr>
              <w:pStyle w:val="TableParagraph"/>
              <w:spacing w:line="131" w:lineRule="exact" w:before="14"/>
              <w:ind w:left="225"/>
              <w:rPr>
                <w:sz w:val="13"/>
              </w:rPr>
            </w:pPr>
            <w:r>
              <w:rPr>
                <w:w w:val="105"/>
                <w:sz w:val="13"/>
              </w:rPr>
              <w:t>6,193.6</w:t>
            </w:r>
          </w:p>
        </w:tc>
        <w:tc>
          <w:tcPr>
            <w:tcW w:w="863" w:type="dxa"/>
            <w:tcBorders>
              <w:right w:val="single" w:sz="12" w:space="0" w:color="000000"/>
            </w:tcBorders>
            <w:shd w:val="clear" w:color="auto" w:fill="DDEBF7"/>
          </w:tcPr>
          <w:p>
            <w:pPr>
              <w:pStyle w:val="TableParagraph"/>
              <w:spacing w:line="131" w:lineRule="exact" w:before="14"/>
              <w:ind w:left="116" w:right="116"/>
              <w:jc w:val="center"/>
              <w:rPr>
                <w:sz w:val="13"/>
              </w:rPr>
            </w:pPr>
            <w:r>
              <w:rPr>
                <w:w w:val="105"/>
                <w:sz w:val="13"/>
              </w:rPr>
              <w:t>5,263.5</w:t>
            </w:r>
          </w:p>
        </w:tc>
      </w:tr>
      <w:tr>
        <w:trPr>
          <w:trHeight w:val="165" w:hRule="atLeast"/>
        </w:trPr>
        <w:tc>
          <w:tcPr>
            <w:tcW w:w="2763" w:type="dxa"/>
          </w:tcPr>
          <w:p>
            <w:pPr>
              <w:pStyle w:val="TableParagraph"/>
              <w:spacing w:line="131" w:lineRule="exact" w:before="14"/>
              <w:ind w:left="119"/>
              <w:rPr>
                <w:sz w:val="13"/>
              </w:rPr>
            </w:pPr>
            <w:r>
              <w:rPr>
                <w:w w:val="105"/>
                <w:sz w:val="13"/>
              </w:rPr>
              <w:t>Financiamiento Interno Neto</w:t>
            </w:r>
          </w:p>
        </w:tc>
        <w:tc>
          <w:tcPr>
            <w:tcW w:w="1196" w:type="dxa"/>
            <w:shd w:val="clear" w:color="auto" w:fill="E1EEDA"/>
          </w:tcPr>
          <w:p>
            <w:pPr>
              <w:pStyle w:val="TableParagraph"/>
              <w:spacing w:line="131" w:lineRule="exact" w:before="14"/>
              <w:ind w:left="221" w:right="205"/>
              <w:jc w:val="center"/>
              <w:rPr>
                <w:sz w:val="13"/>
              </w:rPr>
            </w:pPr>
            <w:r>
              <w:rPr>
                <w:w w:val="105"/>
                <w:sz w:val="13"/>
              </w:rPr>
              <w:t>28,232.3</w:t>
            </w:r>
          </w:p>
        </w:tc>
        <w:tc>
          <w:tcPr>
            <w:tcW w:w="1022" w:type="dxa"/>
            <w:tcBorders>
              <w:right w:val="single" w:sz="12" w:space="0" w:color="000000"/>
            </w:tcBorders>
            <w:shd w:val="clear" w:color="auto" w:fill="E1EEDA"/>
          </w:tcPr>
          <w:p>
            <w:pPr>
              <w:pStyle w:val="TableParagraph"/>
              <w:spacing w:line="131" w:lineRule="exact" w:before="14"/>
              <w:ind w:left="268"/>
              <w:rPr>
                <w:sz w:val="13"/>
              </w:rPr>
            </w:pPr>
            <w:r>
              <w:rPr>
                <w:w w:val="105"/>
                <w:sz w:val="13"/>
              </w:rPr>
              <w:t>14,660.3</w:t>
            </w:r>
          </w:p>
        </w:tc>
        <w:tc>
          <w:tcPr>
            <w:tcW w:w="948" w:type="dxa"/>
            <w:tcBorders>
              <w:left w:val="single" w:sz="12" w:space="0" w:color="000000"/>
            </w:tcBorders>
            <w:shd w:val="clear" w:color="auto" w:fill="DDEBF7"/>
          </w:tcPr>
          <w:p>
            <w:pPr>
              <w:pStyle w:val="TableParagraph"/>
              <w:spacing w:line="131" w:lineRule="exact" w:before="14"/>
              <w:ind w:left="126" w:right="153"/>
              <w:jc w:val="center"/>
              <w:rPr>
                <w:sz w:val="13"/>
              </w:rPr>
            </w:pPr>
            <w:r>
              <w:rPr>
                <w:w w:val="105"/>
                <w:sz w:val="13"/>
              </w:rPr>
              <w:t>19,686.6</w:t>
            </w:r>
          </w:p>
        </w:tc>
        <w:tc>
          <w:tcPr>
            <w:tcW w:w="868" w:type="dxa"/>
            <w:shd w:val="clear" w:color="auto" w:fill="DDEBF7"/>
          </w:tcPr>
          <w:p>
            <w:pPr>
              <w:pStyle w:val="TableParagraph"/>
              <w:spacing w:line="131" w:lineRule="exact" w:before="14"/>
              <w:ind w:left="96" w:right="110"/>
              <w:jc w:val="center"/>
              <w:rPr>
                <w:sz w:val="13"/>
              </w:rPr>
            </w:pPr>
            <w:r>
              <w:rPr>
                <w:w w:val="105"/>
                <w:sz w:val="13"/>
              </w:rPr>
              <w:t>13,152.5</w:t>
            </w:r>
          </w:p>
        </w:tc>
        <w:tc>
          <w:tcPr>
            <w:tcW w:w="868" w:type="dxa"/>
            <w:shd w:val="clear" w:color="auto" w:fill="DDEBF7"/>
          </w:tcPr>
          <w:p>
            <w:pPr>
              <w:pStyle w:val="TableParagraph"/>
              <w:spacing w:line="131" w:lineRule="exact" w:before="14"/>
              <w:ind w:left="96" w:right="110"/>
              <w:jc w:val="center"/>
              <w:rPr>
                <w:sz w:val="13"/>
              </w:rPr>
            </w:pPr>
            <w:r>
              <w:rPr>
                <w:w w:val="105"/>
                <w:sz w:val="13"/>
              </w:rPr>
              <w:t>11,497.1</w:t>
            </w:r>
          </w:p>
        </w:tc>
        <w:tc>
          <w:tcPr>
            <w:tcW w:w="868" w:type="dxa"/>
            <w:shd w:val="clear" w:color="auto" w:fill="DDEBF7"/>
          </w:tcPr>
          <w:p>
            <w:pPr>
              <w:pStyle w:val="TableParagraph"/>
              <w:spacing w:line="131" w:lineRule="exact" w:before="14"/>
              <w:ind w:left="225"/>
              <w:rPr>
                <w:sz w:val="13"/>
              </w:rPr>
            </w:pPr>
            <w:r>
              <w:rPr>
                <w:w w:val="105"/>
                <w:sz w:val="13"/>
              </w:rPr>
              <w:t>9,682.6</w:t>
            </w:r>
          </w:p>
        </w:tc>
        <w:tc>
          <w:tcPr>
            <w:tcW w:w="863" w:type="dxa"/>
            <w:tcBorders>
              <w:right w:val="single" w:sz="12" w:space="0" w:color="000000"/>
            </w:tcBorders>
            <w:shd w:val="clear" w:color="auto" w:fill="DDEBF7"/>
          </w:tcPr>
          <w:p>
            <w:pPr>
              <w:pStyle w:val="TableParagraph"/>
              <w:spacing w:line="131" w:lineRule="exact" w:before="14"/>
              <w:ind w:left="116" w:right="116"/>
              <w:jc w:val="center"/>
              <w:rPr>
                <w:sz w:val="13"/>
              </w:rPr>
            </w:pPr>
            <w:r>
              <w:rPr>
                <w:w w:val="105"/>
                <w:sz w:val="13"/>
              </w:rPr>
              <w:t>7,360.1</w:t>
            </w:r>
          </w:p>
        </w:tc>
      </w:tr>
      <w:tr>
        <w:trPr>
          <w:trHeight w:val="164" w:hRule="atLeast"/>
        </w:trPr>
        <w:tc>
          <w:tcPr>
            <w:tcW w:w="2763" w:type="dxa"/>
          </w:tcPr>
          <w:p>
            <w:pPr>
              <w:pStyle w:val="TableParagraph"/>
              <w:spacing w:line="131" w:lineRule="exact" w:before="14"/>
              <w:ind w:left="119"/>
              <w:rPr>
                <w:sz w:val="13"/>
              </w:rPr>
            </w:pPr>
            <w:r>
              <w:rPr>
                <w:w w:val="105"/>
                <w:sz w:val="13"/>
              </w:rPr>
              <w:t>Negociación Neta</w:t>
            </w:r>
          </w:p>
        </w:tc>
        <w:tc>
          <w:tcPr>
            <w:tcW w:w="1196" w:type="dxa"/>
            <w:shd w:val="clear" w:color="auto" w:fill="E1EEDA"/>
          </w:tcPr>
          <w:p>
            <w:pPr>
              <w:pStyle w:val="TableParagraph"/>
              <w:spacing w:line="131" w:lineRule="exact" w:before="14"/>
              <w:ind w:left="221" w:right="205"/>
              <w:jc w:val="center"/>
              <w:rPr>
                <w:sz w:val="13"/>
              </w:rPr>
            </w:pPr>
            <w:r>
              <w:rPr>
                <w:w w:val="105"/>
                <w:sz w:val="13"/>
              </w:rPr>
              <w:t>15,963.1</w:t>
            </w:r>
          </w:p>
        </w:tc>
        <w:tc>
          <w:tcPr>
            <w:tcW w:w="1022" w:type="dxa"/>
            <w:tcBorders>
              <w:right w:val="single" w:sz="12" w:space="0" w:color="000000"/>
            </w:tcBorders>
            <w:shd w:val="clear" w:color="auto" w:fill="E1EEDA"/>
          </w:tcPr>
          <w:p>
            <w:pPr>
              <w:pStyle w:val="TableParagraph"/>
              <w:spacing w:line="131" w:lineRule="exact" w:before="14"/>
              <w:ind w:left="268"/>
              <w:rPr>
                <w:sz w:val="13"/>
              </w:rPr>
            </w:pPr>
            <w:r>
              <w:rPr>
                <w:w w:val="105"/>
                <w:sz w:val="13"/>
              </w:rPr>
              <w:t>12,123.1</w:t>
            </w:r>
          </w:p>
        </w:tc>
        <w:tc>
          <w:tcPr>
            <w:tcW w:w="948" w:type="dxa"/>
            <w:tcBorders>
              <w:left w:val="single" w:sz="12" w:space="0" w:color="000000"/>
            </w:tcBorders>
            <w:shd w:val="clear" w:color="auto" w:fill="DDEBF7"/>
          </w:tcPr>
          <w:p>
            <w:pPr>
              <w:pStyle w:val="TableParagraph"/>
              <w:spacing w:line="131" w:lineRule="exact" w:before="14"/>
              <w:ind w:left="126" w:right="153"/>
              <w:jc w:val="center"/>
              <w:rPr>
                <w:sz w:val="13"/>
              </w:rPr>
            </w:pPr>
            <w:r>
              <w:rPr>
                <w:w w:val="105"/>
                <w:sz w:val="13"/>
              </w:rPr>
              <w:t>12,775.2</w:t>
            </w:r>
          </w:p>
        </w:tc>
        <w:tc>
          <w:tcPr>
            <w:tcW w:w="868" w:type="dxa"/>
            <w:shd w:val="clear" w:color="auto" w:fill="DDEBF7"/>
          </w:tcPr>
          <w:p>
            <w:pPr>
              <w:pStyle w:val="TableParagraph"/>
              <w:spacing w:line="131" w:lineRule="exact" w:before="14"/>
              <w:ind w:left="96" w:right="110"/>
              <w:jc w:val="center"/>
              <w:rPr>
                <w:sz w:val="13"/>
              </w:rPr>
            </w:pPr>
            <w:r>
              <w:rPr>
                <w:w w:val="105"/>
                <w:sz w:val="13"/>
              </w:rPr>
              <w:t>12,988.0</w:t>
            </w:r>
          </w:p>
        </w:tc>
        <w:tc>
          <w:tcPr>
            <w:tcW w:w="868" w:type="dxa"/>
            <w:shd w:val="clear" w:color="auto" w:fill="DDEBF7"/>
          </w:tcPr>
          <w:p>
            <w:pPr>
              <w:pStyle w:val="TableParagraph"/>
              <w:spacing w:line="131" w:lineRule="exact" w:before="14"/>
              <w:ind w:left="96" w:right="110"/>
              <w:jc w:val="center"/>
              <w:rPr>
                <w:sz w:val="13"/>
              </w:rPr>
            </w:pPr>
            <w:r>
              <w:rPr>
                <w:w w:val="105"/>
                <w:sz w:val="13"/>
              </w:rPr>
              <w:t>11,347.0</w:t>
            </w:r>
          </w:p>
        </w:tc>
        <w:tc>
          <w:tcPr>
            <w:tcW w:w="868" w:type="dxa"/>
            <w:shd w:val="clear" w:color="auto" w:fill="DDEBF7"/>
          </w:tcPr>
          <w:p>
            <w:pPr>
              <w:pStyle w:val="TableParagraph"/>
              <w:spacing w:line="131" w:lineRule="exact" w:before="14"/>
              <w:ind w:left="225"/>
              <w:rPr>
                <w:sz w:val="13"/>
              </w:rPr>
            </w:pPr>
            <w:r>
              <w:rPr>
                <w:w w:val="105"/>
                <w:sz w:val="13"/>
              </w:rPr>
              <w:t>9,541.0</w:t>
            </w:r>
          </w:p>
        </w:tc>
        <w:tc>
          <w:tcPr>
            <w:tcW w:w="863" w:type="dxa"/>
            <w:tcBorders>
              <w:right w:val="single" w:sz="12" w:space="0" w:color="000000"/>
            </w:tcBorders>
            <w:shd w:val="clear" w:color="auto" w:fill="DDEBF7"/>
          </w:tcPr>
          <w:p>
            <w:pPr>
              <w:pStyle w:val="TableParagraph"/>
              <w:spacing w:line="131" w:lineRule="exact" w:before="14"/>
              <w:ind w:left="116" w:right="116"/>
              <w:jc w:val="center"/>
              <w:rPr>
                <w:sz w:val="13"/>
              </w:rPr>
            </w:pPr>
            <w:r>
              <w:rPr>
                <w:w w:val="105"/>
                <w:sz w:val="13"/>
              </w:rPr>
              <w:t>7,240.0</w:t>
            </w:r>
          </w:p>
        </w:tc>
      </w:tr>
      <w:tr>
        <w:trPr>
          <w:trHeight w:val="164" w:hRule="atLeast"/>
        </w:trPr>
        <w:tc>
          <w:tcPr>
            <w:tcW w:w="2763" w:type="dxa"/>
          </w:tcPr>
          <w:p>
            <w:pPr>
              <w:pStyle w:val="TableParagraph"/>
              <w:spacing w:line="131" w:lineRule="exact" w:before="14"/>
              <w:ind w:left="214"/>
              <w:rPr>
                <w:sz w:val="13"/>
              </w:rPr>
            </w:pPr>
            <w:r>
              <w:rPr>
                <w:w w:val="105"/>
                <w:sz w:val="13"/>
              </w:rPr>
              <w:t>Negociaciones</w:t>
            </w:r>
          </w:p>
        </w:tc>
        <w:tc>
          <w:tcPr>
            <w:tcW w:w="1196" w:type="dxa"/>
            <w:shd w:val="clear" w:color="auto" w:fill="E1EEDA"/>
          </w:tcPr>
          <w:p>
            <w:pPr>
              <w:pStyle w:val="TableParagraph"/>
              <w:spacing w:line="131" w:lineRule="exact" w:before="14"/>
              <w:ind w:left="221" w:right="205"/>
              <w:jc w:val="center"/>
              <w:rPr>
                <w:sz w:val="13"/>
              </w:rPr>
            </w:pPr>
            <w:r>
              <w:rPr>
                <w:w w:val="105"/>
                <w:sz w:val="13"/>
              </w:rPr>
              <w:t>16,375.0</w:t>
            </w:r>
          </w:p>
        </w:tc>
        <w:tc>
          <w:tcPr>
            <w:tcW w:w="1022" w:type="dxa"/>
            <w:tcBorders>
              <w:right w:val="single" w:sz="12" w:space="0" w:color="000000"/>
            </w:tcBorders>
            <w:shd w:val="clear" w:color="auto" w:fill="E1EEDA"/>
          </w:tcPr>
          <w:p>
            <w:pPr>
              <w:pStyle w:val="TableParagraph"/>
              <w:spacing w:line="131" w:lineRule="exact" w:before="14"/>
              <w:ind w:left="268"/>
              <w:rPr>
                <w:sz w:val="13"/>
              </w:rPr>
            </w:pPr>
            <w:r>
              <w:rPr>
                <w:w w:val="105"/>
                <w:sz w:val="13"/>
              </w:rPr>
              <w:t>12,535.0</w:t>
            </w:r>
          </w:p>
        </w:tc>
        <w:tc>
          <w:tcPr>
            <w:tcW w:w="948" w:type="dxa"/>
            <w:tcBorders>
              <w:left w:val="single" w:sz="12" w:space="0" w:color="000000"/>
            </w:tcBorders>
            <w:shd w:val="clear" w:color="auto" w:fill="DDEBF7"/>
          </w:tcPr>
          <w:p>
            <w:pPr>
              <w:pStyle w:val="TableParagraph"/>
              <w:spacing w:line="131" w:lineRule="exact" w:before="14"/>
              <w:ind w:left="126" w:right="153"/>
              <w:jc w:val="center"/>
              <w:rPr>
                <w:sz w:val="13"/>
              </w:rPr>
            </w:pPr>
            <w:r>
              <w:rPr>
                <w:w w:val="105"/>
                <w:sz w:val="13"/>
              </w:rPr>
              <w:t>15,526.6</w:t>
            </w:r>
          </w:p>
        </w:tc>
        <w:tc>
          <w:tcPr>
            <w:tcW w:w="868" w:type="dxa"/>
            <w:shd w:val="clear" w:color="auto" w:fill="DDEBF7"/>
          </w:tcPr>
          <w:p>
            <w:pPr>
              <w:pStyle w:val="TableParagraph"/>
              <w:spacing w:line="131" w:lineRule="exact" w:before="14"/>
              <w:ind w:left="96" w:right="110"/>
              <w:jc w:val="center"/>
              <w:rPr>
                <w:sz w:val="13"/>
              </w:rPr>
            </w:pPr>
            <w:r>
              <w:rPr>
                <w:w w:val="105"/>
                <w:sz w:val="13"/>
              </w:rPr>
              <w:t>19,775.6</w:t>
            </w:r>
          </w:p>
        </w:tc>
        <w:tc>
          <w:tcPr>
            <w:tcW w:w="868" w:type="dxa"/>
            <w:shd w:val="clear" w:color="auto" w:fill="DDEBF7"/>
          </w:tcPr>
          <w:p>
            <w:pPr>
              <w:pStyle w:val="TableParagraph"/>
              <w:spacing w:line="131" w:lineRule="exact" w:before="14"/>
              <w:ind w:left="96" w:right="110"/>
              <w:jc w:val="center"/>
              <w:rPr>
                <w:sz w:val="13"/>
              </w:rPr>
            </w:pPr>
            <w:r>
              <w:rPr>
                <w:w w:val="105"/>
                <w:sz w:val="13"/>
              </w:rPr>
              <w:t>17,122.3</w:t>
            </w:r>
          </w:p>
        </w:tc>
        <w:tc>
          <w:tcPr>
            <w:tcW w:w="868" w:type="dxa"/>
            <w:shd w:val="clear" w:color="auto" w:fill="DDEBF7"/>
          </w:tcPr>
          <w:p>
            <w:pPr>
              <w:pStyle w:val="TableParagraph"/>
              <w:spacing w:line="131" w:lineRule="exact" w:before="14"/>
              <w:ind w:left="194"/>
              <w:rPr>
                <w:sz w:val="13"/>
              </w:rPr>
            </w:pPr>
            <w:r>
              <w:rPr>
                <w:w w:val="105"/>
                <w:sz w:val="13"/>
              </w:rPr>
              <w:t>15,662.7</w:t>
            </w:r>
          </w:p>
        </w:tc>
        <w:tc>
          <w:tcPr>
            <w:tcW w:w="863" w:type="dxa"/>
            <w:tcBorders>
              <w:right w:val="single" w:sz="12" w:space="0" w:color="000000"/>
            </w:tcBorders>
            <w:shd w:val="clear" w:color="auto" w:fill="DDEBF7"/>
          </w:tcPr>
          <w:p>
            <w:pPr>
              <w:pStyle w:val="TableParagraph"/>
              <w:spacing w:line="131" w:lineRule="exact" w:before="14"/>
              <w:ind w:left="116" w:right="117"/>
              <w:jc w:val="center"/>
              <w:rPr>
                <w:sz w:val="13"/>
              </w:rPr>
            </w:pPr>
            <w:r>
              <w:rPr>
                <w:w w:val="105"/>
                <w:sz w:val="13"/>
              </w:rPr>
              <w:t>13,325.3</w:t>
            </w:r>
          </w:p>
        </w:tc>
      </w:tr>
      <w:tr>
        <w:trPr>
          <w:trHeight w:val="164" w:hRule="atLeast"/>
        </w:trPr>
        <w:tc>
          <w:tcPr>
            <w:tcW w:w="2763" w:type="dxa"/>
          </w:tcPr>
          <w:p>
            <w:pPr>
              <w:pStyle w:val="TableParagraph"/>
              <w:spacing w:line="131" w:lineRule="exact" w:before="14"/>
              <w:ind w:left="214"/>
              <w:rPr>
                <w:sz w:val="13"/>
              </w:rPr>
            </w:pPr>
            <w:r>
              <w:rPr>
                <w:w w:val="105"/>
                <w:sz w:val="13"/>
              </w:rPr>
              <w:t>Amortizaciones</w:t>
            </w:r>
          </w:p>
        </w:tc>
        <w:tc>
          <w:tcPr>
            <w:tcW w:w="1196" w:type="dxa"/>
            <w:shd w:val="clear" w:color="auto" w:fill="E1EEDA"/>
          </w:tcPr>
          <w:p>
            <w:pPr>
              <w:pStyle w:val="TableParagraph"/>
              <w:spacing w:line="131" w:lineRule="exact" w:before="14"/>
              <w:ind w:left="221" w:right="194"/>
              <w:jc w:val="center"/>
              <w:rPr>
                <w:sz w:val="13"/>
              </w:rPr>
            </w:pPr>
            <w:r>
              <w:rPr>
                <w:w w:val="105"/>
                <w:sz w:val="13"/>
              </w:rPr>
              <w:t>411.9</w:t>
            </w:r>
          </w:p>
        </w:tc>
        <w:tc>
          <w:tcPr>
            <w:tcW w:w="1022" w:type="dxa"/>
            <w:tcBorders>
              <w:right w:val="single" w:sz="12" w:space="0" w:color="000000"/>
            </w:tcBorders>
            <w:shd w:val="clear" w:color="auto" w:fill="E1EEDA"/>
          </w:tcPr>
          <w:p>
            <w:pPr>
              <w:pStyle w:val="TableParagraph"/>
              <w:spacing w:line="131" w:lineRule="exact" w:before="14"/>
              <w:ind w:left="326" w:right="326"/>
              <w:jc w:val="center"/>
              <w:rPr>
                <w:sz w:val="13"/>
              </w:rPr>
            </w:pPr>
            <w:r>
              <w:rPr>
                <w:w w:val="105"/>
                <w:sz w:val="13"/>
              </w:rPr>
              <w:t>411.9</w:t>
            </w:r>
          </w:p>
        </w:tc>
        <w:tc>
          <w:tcPr>
            <w:tcW w:w="948" w:type="dxa"/>
            <w:tcBorders>
              <w:left w:val="single" w:sz="12" w:space="0" w:color="000000"/>
            </w:tcBorders>
            <w:shd w:val="clear" w:color="auto" w:fill="DDEBF7"/>
          </w:tcPr>
          <w:p>
            <w:pPr>
              <w:pStyle w:val="TableParagraph"/>
              <w:spacing w:line="131" w:lineRule="exact" w:before="14"/>
              <w:ind w:left="126" w:right="153"/>
              <w:jc w:val="center"/>
              <w:rPr>
                <w:sz w:val="13"/>
              </w:rPr>
            </w:pPr>
            <w:r>
              <w:rPr>
                <w:w w:val="105"/>
                <w:sz w:val="13"/>
              </w:rPr>
              <w:t>2,751.4</w:t>
            </w:r>
          </w:p>
        </w:tc>
        <w:tc>
          <w:tcPr>
            <w:tcW w:w="868" w:type="dxa"/>
            <w:shd w:val="clear" w:color="auto" w:fill="DDEBF7"/>
          </w:tcPr>
          <w:p>
            <w:pPr>
              <w:pStyle w:val="TableParagraph"/>
              <w:spacing w:line="131" w:lineRule="exact" w:before="14"/>
              <w:ind w:left="86" w:right="110"/>
              <w:jc w:val="center"/>
              <w:rPr>
                <w:sz w:val="13"/>
              </w:rPr>
            </w:pPr>
            <w:r>
              <w:rPr>
                <w:w w:val="105"/>
                <w:sz w:val="13"/>
              </w:rPr>
              <w:t>0.0</w:t>
            </w:r>
          </w:p>
        </w:tc>
        <w:tc>
          <w:tcPr>
            <w:tcW w:w="868" w:type="dxa"/>
            <w:shd w:val="clear" w:color="auto" w:fill="DDEBF7"/>
          </w:tcPr>
          <w:p>
            <w:pPr>
              <w:pStyle w:val="TableParagraph"/>
              <w:spacing w:line="131" w:lineRule="exact" w:before="14"/>
              <w:ind w:left="86" w:right="110"/>
              <w:jc w:val="center"/>
              <w:rPr>
                <w:sz w:val="13"/>
              </w:rPr>
            </w:pPr>
            <w:r>
              <w:rPr>
                <w:w w:val="105"/>
                <w:sz w:val="13"/>
              </w:rPr>
              <w:t>0.0</w:t>
            </w:r>
          </w:p>
        </w:tc>
        <w:tc>
          <w:tcPr>
            <w:tcW w:w="868" w:type="dxa"/>
            <w:shd w:val="clear" w:color="auto" w:fill="DDEBF7"/>
          </w:tcPr>
          <w:p>
            <w:pPr>
              <w:pStyle w:val="TableParagraph"/>
              <w:spacing w:line="131" w:lineRule="exact" w:before="14"/>
              <w:ind w:left="87" w:right="110"/>
              <w:jc w:val="center"/>
              <w:rPr>
                <w:sz w:val="13"/>
              </w:rPr>
            </w:pPr>
            <w:r>
              <w:rPr>
                <w:w w:val="105"/>
                <w:sz w:val="13"/>
              </w:rPr>
              <w:t>0.0</w:t>
            </w:r>
          </w:p>
        </w:tc>
        <w:tc>
          <w:tcPr>
            <w:tcW w:w="863" w:type="dxa"/>
            <w:tcBorders>
              <w:right w:val="single" w:sz="12" w:space="0" w:color="000000"/>
            </w:tcBorders>
            <w:shd w:val="clear" w:color="auto" w:fill="DDEBF7"/>
          </w:tcPr>
          <w:p>
            <w:pPr>
              <w:pStyle w:val="TableParagraph"/>
              <w:spacing w:line="131" w:lineRule="exact" w:before="14"/>
              <w:ind w:left="116" w:right="126"/>
              <w:jc w:val="center"/>
              <w:rPr>
                <w:sz w:val="13"/>
              </w:rPr>
            </w:pPr>
            <w:r>
              <w:rPr>
                <w:w w:val="105"/>
                <w:sz w:val="13"/>
              </w:rPr>
              <w:t>0.0</w:t>
            </w:r>
          </w:p>
        </w:tc>
      </w:tr>
      <w:tr>
        <w:trPr>
          <w:trHeight w:val="165" w:hRule="atLeast"/>
        </w:trPr>
        <w:tc>
          <w:tcPr>
            <w:tcW w:w="2763" w:type="dxa"/>
          </w:tcPr>
          <w:p>
            <w:pPr>
              <w:pStyle w:val="TableParagraph"/>
              <w:spacing w:line="131" w:lineRule="exact" w:before="14"/>
              <w:ind w:right="25"/>
              <w:jc w:val="right"/>
              <w:rPr>
                <w:sz w:val="13"/>
              </w:rPr>
            </w:pPr>
            <w:r>
              <w:rPr>
                <w:w w:val="105"/>
                <w:sz w:val="13"/>
              </w:rPr>
              <w:t>Amortización (costo de la política monetaria)</w:t>
            </w:r>
          </w:p>
        </w:tc>
        <w:tc>
          <w:tcPr>
            <w:tcW w:w="1196" w:type="dxa"/>
            <w:shd w:val="clear" w:color="auto" w:fill="E1EEDA"/>
          </w:tcPr>
          <w:p>
            <w:pPr>
              <w:pStyle w:val="TableParagraph"/>
              <w:rPr>
                <w:sz w:val="10"/>
              </w:rPr>
            </w:pPr>
          </w:p>
        </w:tc>
        <w:tc>
          <w:tcPr>
            <w:tcW w:w="1022" w:type="dxa"/>
            <w:tcBorders>
              <w:right w:val="single" w:sz="12" w:space="0" w:color="000000"/>
            </w:tcBorders>
            <w:shd w:val="clear" w:color="auto" w:fill="E1EEDA"/>
          </w:tcPr>
          <w:p>
            <w:pPr>
              <w:pStyle w:val="TableParagraph"/>
              <w:rPr>
                <w:sz w:val="10"/>
              </w:rPr>
            </w:pPr>
          </w:p>
        </w:tc>
        <w:tc>
          <w:tcPr>
            <w:tcW w:w="948" w:type="dxa"/>
            <w:tcBorders>
              <w:left w:val="single" w:sz="12" w:space="0" w:color="000000"/>
            </w:tcBorders>
            <w:shd w:val="clear" w:color="auto" w:fill="DDEBF7"/>
          </w:tcPr>
          <w:p>
            <w:pPr>
              <w:pStyle w:val="TableParagraph"/>
              <w:spacing w:line="131" w:lineRule="exact" w:before="14"/>
              <w:ind w:left="138" w:right="153"/>
              <w:jc w:val="center"/>
              <w:rPr>
                <w:sz w:val="13"/>
              </w:rPr>
            </w:pPr>
            <w:r>
              <w:rPr>
                <w:w w:val="105"/>
                <w:sz w:val="13"/>
              </w:rPr>
              <w:t>54.5</w:t>
            </w:r>
          </w:p>
        </w:tc>
        <w:tc>
          <w:tcPr>
            <w:tcW w:w="868" w:type="dxa"/>
            <w:shd w:val="clear" w:color="auto" w:fill="DDEBF7"/>
          </w:tcPr>
          <w:p>
            <w:pPr>
              <w:pStyle w:val="TableParagraph"/>
              <w:rPr>
                <w:sz w:val="10"/>
              </w:rPr>
            </w:pPr>
          </w:p>
        </w:tc>
        <w:tc>
          <w:tcPr>
            <w:tcW w:w="868" w:type="dxa"/>
            <w:shd w:val="clear" w:color="auto" w:fill="DDEBF7"/>
          </w:tcPr>
          <w:p>
            <w:pPr>
              <w:pStyle w:val="TableParagraph"/>
              <w:rPr>
                <w:sz w:val="10"/>
              </w:rPr>
            </w:pPr>
          </w:p>
        </w:tc>
        <w:tc>
          <w:tcPr>
            <w:tcW w:w="868" w:type="dxa"/>
            <w:shd w:val="clear" w:color="auto" w:fill="DDEBF7"/>
          </w:tcPr>
          <w:p>
            <w:pPr>
              <w:pStyle w:val="TableParagraph"/>
              <w:rPr>
                <w:sz w:val="10"/>
              </w:rPr>
            </w:pPr>
          </w:p>
        </w:tc>
        <w:tc>
          <w:tcPr>
            <w:tcW w:w="863" w:type="dxa"/>
            <w:tcBorders>
              <w:right w:val="single" w:sz="12" w:space="0" w:color="000000"/>
            </w:tcBorders>
            <w:shd w:val="clear" w:color="auto" w:fill="DDEBF7"/>
          </w:tcPr>
          <w:p>
            <w:pPr>
              <w:pStyle w:val="TableParagraph"/>
              <w:rPr>
                <w:sz w:val="10"/>
              </w:rPr>
            </w:pPr>
          </w:p>
        </w:tc>
      </w:tr>
      <w:tr>
        <w:trPr>
          <w:trHeight w:val="162" w:hRule="atLeast"/>
        </w:trPr>
        <w:tc>
          <w:tcPr>
            <w:tcW w:w="2763" w:type="dxa"/>
            <w:tcBorders>
              <w:bottom w:val="single" w:sz="12" w:space="0" w:color="000000"/>
            </w:tcBorders>
          </w:tcPr>
          <w:p>
            <w:pPr>
              <w:pStyle w:val="TableParagraph"/>
              <w:spacing w:line="129" w:lineRule="exact" w:before="14"/>
              <w:ind w:left="119"/>
              <w:rPr>
                <w:sz w:val="13"/>
              </w:rPr>
            </w:pPr>
            <w:r>
              <w:rPr>
                <w:w w:val="105"/>
                <w:sz w:val="13"/>
              </w:rPr>
              <w:t>Variación de Caja y Bancos</w:t>
            </w:r>
          </w:p>
        </w:tc>
        <w:tc>
          <w:tcPr>
            <w:tcW w:w="1196" w:type="dxa"/>
            <w:tcBorders>
              <w:bottom w:val="single" w:sz="12" w:space="0" w:color="000000"/>
            </w:tcBorders>
            <w:shd w:val="clear" w:color="auto" w:fill="E1EEDA"/>
          </w:tcPr>
          <w:p>
            <w:pPr>
              <w:pStyle w:val="TableParagraph"/>
              <w:spacing w:line="129" w:lineRule="exact" w:before="14"/>
              <w:ind w:left="221" w:right="205"/>
              <w:jc w:val="center"/>
              <w:rPr>
                <w:sz w:val="13"/>
              </w:rPr>
            </w:pPr>
            <w:r>
              <w:rPr>
                <w:w w:val="105"/>
                <w:sz w:val="13"/>
              </w:rPr>
              <w:t>12,269.1</w:t>
            </w:r>
          </w:p>
        </w:tc>
        <w:tc>
          <w:tcPr>
            <w:tcW w:w="1022" w:type="dxa"/>
            <w:tcBorders>
              <w:bottom w:val="single" w:sz="12" w:space="0" w:color="000000"/>
              <w:right w:val="single" w:sz="12" w:space="0" w:color="000000"/>
            </w:tcBorders>
            <w:shd w:val="clear" w:color="auto" w:fill="E1EEDA"/>
          </w:tcPr>
          <w:p>
            <w:pPr>
              <w:pStyle w:val="TableParagraph"/>
              <w:spacing w:line="129" w:lineRule="exact" w:before="14"/>
              <w:ind w:left="300"/>
              <w:rPr>
                <w:sz w:val="13"/>
              </w:rPr>
            </w:pPr>
            <w:r>
              <w:rPr>
                <w:w w:val="105"/>
                <w:sz w:val="13"/>
              </w:rPr>
              <w:t>2,537.2</w:t>
            </w:r>
          </w:p>
        </w:tc>
        <w:tc>
          <w:tcPr>
            <w:tcW w:w="948" w:type="dxa"/>
            <w:tcBorders>
              <w:left w:val="single" w:sz="12" w:space="0" w:color="000000"/>
              <w:bottom w:val="single" w:sz="12" w:space="0" w:color="000000"/>
            </w:tcBorders>
            <w:shd w:val="clear" w:color="auto" w:fill="DDEBF7"/>
          </w:tcPr>
          <w:p>
            <w:pPr>
              <w:pStyle w:val="TableParagraph"/>
              <w:spacing w:line="129" w:lineRule="exact" w:before="14"/>
              <w:ind w:left="126" w:right="153"/>
              <w:jc w:val="center"/>
              <w:rPr>
                <w:sz w:val="13"/>
              </w:rPr>
            </w:pPr>
            <w:r>
              <w:rPr>
                <w:w w:val="105"/>
                <w:sz w:val="13"/>
              </w:rPr>
              <w:t>6,965.9</w:t>
            </w:r>
          </w:p>
        </w:tc>
        <w:tc>
          <w:tcPr>
            <w:tcW w:w="868" w:type="dxa"/>
            <w:tcBorders>
              <w:bottom w:val="single" w:sz="12" w:space="0" w:color="000000"/>
            </w:tcBorders>
            <w:shd w:val="clear" w:color="auto" w:fill="DDEBF7"/>
          </w:tcPr>
          <w:p>
            <w:pPr>
              <w:pStyle w:val="TableParagraph"/>
              <w:spacing w:line="129" w:lineRule="exact" w:before="14"/>
              <w:ind w:left="86" w:right="110"/>
              <w:jc w:val="center"/>
              <w:rPr>
                <w:sz w:val="13"/>
              </w:rPr>
            </w:pPr>
            <w:r>
              <w:rPr>
                <w:w w:val="105"/>
                <w:sz w:val="13"/>
              </w:rPr>
              <w:t>164.5</w:t>
            </w:r>
          </w:p>
        </w:tc>
        <w:tc>
          <w:tcPr>
            <w:tcW w:w="868" w:type="dxa"/>
            <w:tcBorders>
              <w:bottom w:val="single" w:sz="12" w:space="0" w:color="000000"/>
            </w:tcBorders>
            <w:shd w:val="clear" w:color="auto" w:fill="DDEBF7"/>
          </w:tcPr>
          <w:p>
            <w:pPr>
              <w:pStyle w:val="TableParagraph"/>
              <w:spacing w:line="129" w:lineRule="exact" w:before="14"/>
              <w:ind w:left="86" w:right="110"/>
              <w:jc w:val="center"/>
              <w:rPr>
                <w:sz w:val="13"/>
              </w:rPr>
            </w:pPr>
            <w:r>
              <w:rPr>
                <w:w w:val="105"/>
                <w:sz w:val="13"/>
              </w:rPr>
              <w:t>150.1</w:t>
            </w:r>
          </w:p>
        </w:tc>
        <w:tc>
          <w:tcPr>
            <w:tcW w:w="868" w:type="dxa"/>
            <w:tcBorders>
              <w:bottom w:val="single" w:sz="12" w:space="0" w:color="000000"/>
            </w:tcBorders>
            <w:shd w:val="clear" w:color="auto" w:fill="DDEBF7"/>
          </w:tcPr>
          <w:p>
            <w:pPr>
              <w:pStyle w:val="TableParagraph"/>
              <w:spacing w:line="129" w:lineRule="exact" w:before="14"/>
              <w:ind w:left="268"/>
              <w:rPr>
                <w:sz w:val="13"/>
              </w:rPr>
            </w:pPr>
            <w:r>
              <w:rPr>
                <w:w w:val="105"/>
                <w:sz w:val="13"/>
              </w:rPr>
              <w:t>141.6</w:t>
            </w:r>
          </w:p>
        </w:tc>
        <w:tc>
          <w:tcPr>
            <w:tcW w:w="863" w:type="dxa"/>
            <w:tcBorders>
              <w:bottom w:val="single" w:sz="12" w:space="0" w:color="000000"/>
              <w:right w:val="single" w:sz="12" w:space="0" w:color="000000"/>
            </w:tcBorders>
            <w:shd w:val="clear" w:color="auto" w:fill="DDEBF7"/>
          </w:tcPr>
          <w:p>
            <w:pPr>
              <w:pStyle w:val="TableParagraph"/>
              <w:spacing w:line="129" w:lineRule="exact" w:before="14"/>
              <w:ind w:left="116" w:right="126"/>
              <w:jc w:val="center"/>
              <w:rPr>
                <w:sz w:val="13"/>
              </w:rPr>
            </w:pPr>
            <w:r>
              <w:rPr>
                <w:w w:val="105"/>
                <w:sz w:val="13"/>
              </w:rPr>
              <w:t>120.1</w:t>
            </w:r>
          </w:p>
        </w:tc>
      </w:tr>
      <w:tr>
        <w:trPr>
          <w:trHeight w:val="176" w:hRule="atLeast"/>
        </w:trPr>
        <w:tc>
          <w:tcPr>
            <w:tcW w:w="2763" w:type="dxa"/>
            <w:tcBorders>
              <w:top w:val="nil"/>
              <w:left w:val="nil"/>
              <w:bottom w:val="nil"/>
              <w:right w:val="nil"/>
            </w:tcBorders>
          </w:tcPr>
          <w:p>
            <w:pPr>
              <w:pStyle w:val="TableParagraph"/>
              <w:spacing w:line="145" w:lineRule="exact" w:before="12"/>
              <w:ind w:right="16"/>
              <w:jc w:val="right"/>
              <w:rPr>
                <w:b/>
                <w:sz w:val="13"/>
              </w:rPr>
            </w:pPr>
            <w:r>
              <w:rPr>
                <w:b/>
                <w:w w:val="105"/>
                <w:sz w:val="13"/>
              </w:rPr>
              <w:t>Total Presupuesto Gasto</w:t>
            </w:r>
          </w:p>
        </w:tc>
        <w:tc>
          <w:tcPr>
            <w:tcW w:w="1196" w:type="dxa"/>
            <w:tcBorders>
              <w:top w:val="nil"/>
              <w:left w:val="nil"/>
              <w:bottom w:val="nil"/>
              <w:right w:val="nil"/>
            </w:tcBorders>
          </w:tcPr>
          <w:p>
            <w:pPr>
              <w:pStyle w:val="TableParagraph"/>
              <w:spacing w:line="145" w:lineRule="exact" w:before="12"/>
              <w:ind w:left="16"/>
              <w:jc w:val="center"/>
              <w:rPr>
                <w:sz w:val="13"/>
              </w:rPr>
            </w:pPr>
            <w:r>
              <w:rPr>
                <w:w w:val="105"/>
                <w:sz w:val="13"/>
              </w:rPr>
              <w:t>112,263.3</w:t>
            </w:r>
          </w:p>
        </w:tc>
        <w:tc>
          <w:tcPr>
            <w:tcW w:w="1022" w:type="dxa"/>
            <w:tcBorders>
              <w:top w:val="nil"/>
              <w:left w:val="nil"/>
              <w:bottom w:val="nil"/>
              <w:right w:val="nil"/>
            </w:tcBorders>
          </w:tcPr>
          <w:p>
            <w:pPr>
              <w:pStyle w:val="TableParagraph"/>
              <w:spacing w:line="145" w:lineRule="exact" w:before="12"/>
              <w:ind w:left="265"/>
              <w:rPr>
                <w:sz w:val="13"/>
              </w:rPr>
            </w:pPr>
            <w:r>
              <w:rPr>
                <w:w w:val="105"/>
                <w:sz w:val="13"/>
              </w:rPr>
              <w:t>107,304.2</w:t>
            </w:r>
          </w:p>
        </w:tc>
        <w:tc>
          <w:tcPr>
            <w:tcW w:w="948" w:type="dxa"/>
            <w:tcBorders>
              <w:top w:val="nil"/>
              <w:left w:val="nil"/>
              <w:bottom w:val="nil"/>
              <w:right w:val="nil"/>
            </w:tcBorders>
          </w:tcPr>
          <w:p>
            <w:pPr>
              <w:pStyle w:val="TableParagraph"/>
              <w:spacing w:line="145" w:lineRule="exact" w:before="12"/>
              <w:ind w:left="191" w:right="171"/>
              <w:jc w:val="center"/>
              <w:rPr>
                <w:sz w:val="13"/>
              </w:rPr>
            </w:pPr>
            <w:r>
              <w:rPr>
                <w:w w:val="105"/>
                <w:sz w:val="13"/>
              </w:rPr>
              <w:t>112,294.8</w:t>
            </w:r>
          </w:p>
        </w:tc>
        <w:tc>
          <w:tcPr>
            <w:tcW w:w="868" w:type="dxa"/>
            <w:tcBorders>
              <w:top w:val="nil"/>
              <w:left w:val="nil"/>
              <w:bottom w:val="nil"/>
              <w:right w:val="nil"/>
            </w:tcBorders>
          </w:tcPr>
          <w:p>
            <w:pPr>
              <w:pStyle w:val="TableParagraph"/>
              <w:spacing w:line="145" w:lineRule="exact" w:before="12"/>
              <w:ind w:left="153" w:right="128"/>
              <w:jc w:val="center"/>
              <w:rPr>
                <w:sz w:val="13"/>
              </w:rPr>
            </w:pPr>
            <w:r>
              <w:rPr>
                <w:w w:val="105"/>
                <w:sz w:val="13"/>
              </w:rPr>
              <w:t>113,428.3</w:t>
            </w:r>
          </w:p>
        </w:tc>
        <w:tc>
          <w:tcPr>
            <w:tcW w:w="868" w:type="dxa"/>
            <w:tcBorders>
              <w:top w:val="nil"/>
              <w:left w:val="nil"/>
              <w:bottom w:val="nil"/>
              <w:right w:val="nil"/>
            </w:tcBorders>
          </w:tcPr>
          <w:p>
            <w:pPr>
              <w:pStyle w:val="TableParagraph"/>
              <w:spacing w:line="145" w:lineRule="exact" w:before="12"/>
              <w:ind w:left="153" w:right="127"/>
              <w:jc w:val="center"/>
              <w:rPr>
                <w:sz w:val="13"/>
              </w:rPr>
            </w:pPr>
            <w:r>
              <w:rPr>
                <w:w w:val="105"/>
                <w:sz w:val="13"/>
              </w:rPr>
              <w:t>116,038.5</w:t>
            </w:r>
          </w:p>
        </w:tc>
        <w:tc>
          <w:tcPr>
            <w:tcW w:w="868" w:type="dxa"/>
            <w:tcBorders>
              <w:top w:val="nil"/>
              <w:left w:val="nil"/>
              <w:bottom w:val="nil"/>
              <w:right w:val="nil"/>
            </w:tcBorders>
          </w:tcPr>
          <w:p>
            <w:pPr>
              <w:pStyle w:val="TableParagraph"/>
              <w:spacing w:line="145" w:lineRule="exact" w:before="12"/>
              <w:ind w:left="191"/>
              <w:rPr>
                <w:sz w:val="13"/>
              </w:rPr>
            </w:pPr>
            <w:r>
              <w:rPr>
                <w:w w:val="105"/>
                <w:sz w:val="13"/>
              </w:rPr>
              <w:t>120,482.4</w:t>
            </w:r>
          </w:p>
        </w:tc>
        <w:tc>
          <w:tcPr>
            <w:tcW w:w="863" w:type="dxa"/>
            <w:tcBorders>
              <w:top w:val="nil"/>
              <w:left w:val="nil"/>
              <w:bottom w:val="nil"/>
              <w:right w:val="nil"/>
            </w:tcBorders>
          </w:tcPr>
          <w:p>
            <w:pPr>
              <w:pStyle w:val="TableParagraph"/>
              <w:spacing w:line="145" w:lineRule="exact" w:before="12"/>
              <w:ind w:left="138" w:right="107"/>
              <w:jc w:val="center"/>
              <w:rPr>
                <w:sz w:val="13"/>
              </w:rPr>
            </w:pPr>
            <w:r>
              <w:rPr>
                <w:w w:val="105"/>
                <w:sz w:val="13"/>
              </w:rPr>
              <w:t>124,799.8</w:t>
            </w:r>
          </w:p>
        </w:tc>
      </w:tr>
      <w:tr>
        <w:trPr>
          <w:trHeight w:val="166" w:hRule="atLeast"/>
        </w:trPr>
        <w:tc>
          <w:tcPr>
            <w:tcW w:w="2763" w:type="dxa"/>
            <w:tcBorders>
              <w:top w:val="nil"/>
              <w:left w:val="nil"/>
              <w:bottom w:val="nil"/>
              <w:right w:val="nil"/>
            </w:tcBorders>
          </w:tcPr>
          <w:p>
            <w:pPr>
              <w:pStyle w:val="TableParagraph"/>
              <w:spacing w:line="131" w:lineRule="exact" w:before="15"/>
              <w:ind w:right="32"/>
              <w:jc w:val="right"/>
              <w:rPr>
                <w:b/>
                <w:sz w:val="13"/>
              </w:rPr>
            </w:pPr>
            <w:r>
              <w:rPr>
                <w:b/>
                <w:w w:val="105"/>
                <w:sz w:val="13"/>
              </w:rPr>
              <w:t>Total Presupuesto Ingresos</w:t>
            </w:r>
          </w:p>
        </w:tc>
        <w:tc>
          <w:tcPr>
            <w:tcW w:w="1196" w:type="dxa"/>
            <w:tcBorders>
              <w:top w:val="nil"/>
              <w:left w:val="nil"/>
              <w:bottom w:val="nil"/>
              <w:right w:val="nil"/>
            </w:tcBorders>
          </w:tcPr>
          <w:p>
            <w:pPr>
              <w:pStyle w:val="TableParagraph"/>
              <w:spacing w:line="131" w:lineRule="exact" w:before="15"/>
              <w:ind w:left="16"/>
              <w:jc w:val="center"/>
              <w:rPr>
                <w:sz w:val="13"/>
              </w:rPr>
            </w:pPr>
            <w:r>
              <w:rPr>
                <w:w w:val="105"/>
                <w:sz w:val="13"/>
              </w:rPr>
              <w:t>112,263.3</w:t>
            </w:r>
          </w:p>
        </w:tc>
        <w:tc>
          <w:tcPr>
            <w:tcW w:w="1022" w:type="dxa"/>
            <w:tcBorders>
              <w:top w:val="nil"/>
              <w:left w:val="nil"/>
              <w:bottom w:val="nil"/>
              <w:right w:val="nil"/>
            </w:tcBorders>
          </w:tcPr>
          <w:p>
            <w:pPr>
              <w:pStyle w:val="TableParagraph"/>
              <w:spacing w:line="131" w:lineRule="exact" w:before="15"/>
              <w:ind w:left="265"/>
              <w:rPr>
                <w:sz w:val="13"/>
              </w:rPr>
            </w:pPr>
            <w:r>
              <w:rPr>
                <w:w w:val="105"/>
                <w:sz w:val="13"/>
              </w:rPr>
              <w:t>107,304.2</w:t>
            </w:r>
          </w:p>
        </w:tc>
        <w:tc>
          <w:tcPr>
            <w:tcW w:w="948" w:type="dxa"/>
            <w:tcBorders>
              <w:top w:val="nil"/>
              <w:left w:val="nil"/>
              <w:bottom w:val="nil"/>
              <w:right w:val="nil"/>
            </w:tcBorders>
          </w:tcPr>
          <w:p>
            <w:pPr>
              <w:pStyle w:val="TableParagraph"/>
              <w:spacing w:line="131" w:lineRule="exact" w:before="15"/>
              <w:ind w:left="191" w:right="171"/>
              <w:jc w:val="center"/>
              <w:rPr>
                <w:sz w:val="13"/>
              </w:rPr>
            </w:pPr>
            <w:r>
              <w:rPr>
                <w:w w:val="105"/>
                <w:sz w:val="13"/>
              </w:rPr>
              <w:t>112,294.8</w:t>
            </w:r>
          </w:p>
        </w:tc>
        <w:tc>
          <w:tcPr>
            <w:tcW w:w="868" w:type="dxa"/>
            <w:tcBorders>
              <w:top w:val="nil"/>
              <w:left w:val="nil"/>
              <w:bottom w:val="nil"/>
              <w:right w:val="nil"/>
            </w:tcBorders>
          </w:tcPr>
          <w:p>
            <w:pPr>
              <w:pStyle w:val="TableParagraph"/>
              <w:spacing w:line="131" w:lineRule="exact" w:before="15"/>
              <w:ind w:left="153" w:right="128"/>
              <w:jc w:val="center"/>
              <w:rPr>
                <w:sz w:val="13"/>
              </w:rPr>
            </w:pPr>
            <w:r>
              <w:rPr>
                <w:w w:val="105"/>
                <w:sz w:val="13"/>
              </w:rPr>
              <w:t>113,428.3</w:t>
            </w:r>
          </w:p>
        </w:tc>
        <w:tc>
          <w:tcPr>
            <w:tcW w:w="868" w:type="dxa"/>
            <w:tcBorders>
              <w:top w:val="nil"/>
              <w:left w:val="nil"/>
              <w:bottom w:val="nil"/>
              <w:right w:val="nil"/>
            </w:tcBorders>
          </w:tcPr>
          <w:p>
            <w:pPr>
              <w:pStyle w:val="TableParagraph"/>
              <w:spacing w:line="131" w:lineRule="exact" w:before="15"/>
              <w:ind w:left="153" w:right="127"/>
              <w:jc w:val="center"/>
              <w:rPr>
                <w:sz w:val="13"/>
              </w:rPr>
            </w:pPr>
            <w:r>
              <w:rPr>
                <w:w w:val="105"/>
                <w:sz w:val="13"/>
              </w:rPr>
              <w:t>116,038.5</w:t>
            </w:r>
          </w:p>
        </w:tc>
        <w:tc>
          <w:tcPr>
            <w:tcW w:w="868" w:type="dxa"/>
            <w:tcBorders>
              <w:top w:val="nil"/>
              <w:left w:val="nil"/>
              <w:bottom w:val="nil"/>
              <w:right w:val="nil"/>
            </w:tcBorders>
          </w:tcPr>
          <w:p>
            <w:pPr>
              <w:pStyle w:val="TableParagraph"/>
              <w:spacing w:line="131" w:lineRule="exact" w:before="15"/>
              <w:ind w:left="191"/>
              <w:rPr>
                <w:sz w:val="13"/>
              </w:rPr>
            </w:pPr>
            <w:r>
              <w:rPr>
                <w:w w:val="105"/>
                <w:sz w:val="13"/>
              </w:rPr>
              <w:t>120,482.4</w:t>
            </w:r>
          </w:p>
        </w:tc>
        <w:tc>
          <w:tcPr>
            <w:tcW w:w="863" w:type="dxa"/>
            <w:tcBorders>
              <w:top w:val="nil"/>
              <w:left w:val="nil"/>
              <w:bottom w:val="nil"/>
              <w:right w:val="nil"/>
            </w:tcBorders>
          </w:tcPr>
          <w:p>
            <w:pPr>
              <w:pStyle w:val="TableParagraph"/>
              <w:spacing w:line="131" w:lineRule="exact" w:before="15"/>
              <w:ind w:left="138" w:right="107"/>
              <w:jc w:val="center"/>
              <w:rPr>
                <w:sz w:val="13"/>
              </w:rPr>
            </w:pPr>
            <w:r>
              <w:rPr>
                <w:w w:val="105"/>
                <w:sz w:val="13"/>
              </w:rPr>
              <w:t>124,799.8</w:t>
            </w:r>
          </w:p>
        </w:tc>
      </w:tr>
    </w:tbl>
    <w:p>
      <w:pPr>
        <w:spacing w:line="278" w:lineRule="auto" w:before="11"/>
        <w:ind w:left="562" w:right="1630" w:firstLine="0"/>
        <w:jc w:val="left"/>
        <w:rPr>
          <w:sz w:val="16"/>
        </w:rPr>
      </w:pPr>
      <w:r>
        <w:rPr>
          <w:sz w:val="16"/>
        </w:rPr>
        <w:t>*Para 2022 los datos hacen referencia a la estimación de cierre. Para 2023-2027 los datos son de referencia para los techos presupuestarios Fuente: Dirección de Análisis y Política Fiscal</w:t>
      </w:r>
    </w:p>
    <w:p>
      <w:pPr>
        <w:spacing w:after="0" w:line="278" w:lineRule="auto"/>
        <w:jc w:val="left"/>
        <w:rPr>
          <w:sz w:val="16"/>
        </w:rPr>
        <w:sectPr>
          <w:pgSz w:w="12240" w:h="15840"/>
          <w:pgMar w:header="715" w:footer="688" w:top="1240" w:bottom="880" w:left="1140" w:right="0"/>
        </w:sectPr>
      </w:pPr>
    </w:p>
    <w:p>
      <w:pPr>
        <w:pStyle w:val="BodyText"/>
        <w:spacing w:line="276" w:lineRule="auto" w:before="162"/>
        <w:ind w:left="562" w:right="1695"/>
        <w:jc w:val="both"/>
      </w:pPr>
      <w:r>
        <w:rPr/>
        <w:t>Por su parte, el financiamiento de mediano plazo será igualmente cubierto en un alto porcentaje con la</w:t>
      </w:r>
      <w:r>
        <w:rPr>
          <w:spacing w:val="-7"/>
        </w:rPr>
        <w:t> </w:t>
      </w:r>
      <w:r>
        <w:rPr/>
        <w:t>Emisión</w:t>
      </w:r>
      <w:r>
        <w:rPr>
          <w:spacing w:val="-6"/>
        </w:rPr>
        <w:t> </w:t>
      </w:r>
      <w:r>
        <w:rPr/>
        <w:t>y</w:t>
      </w:r>
      <w:r>
        <w:rPr>
          <w:spacing w:val="-10"/>
        </w:rPr>
        <w:t> </w:t>
      </w:r>
      <w:r>
        <w:rPr/>
        <w:t>Colocación</w:t>
      </w:r>
      <w:r>
        <w:rPr>
          <w:spacing w:val="-6"/>
        </w:rPr>
        <w:t> </w:t>
      </w:r>
      <w:r>
        <w:rPr/>
        <w:t>de</w:t>
      </w:r>
      <w:r>
        <w:rPr>
          <w:spacing w:val="-8"/>
        </w:rPr>
        <w:t> </w:t>
      </w:r>
      <w:r>
        <w:rPr/>
        <w:t>Bonos</w:t>
      </w:r>
      <w:r>
        <w:rPr>
          <w:spacing w:val="-6"/>
        </w:rPr>
        <w:t> </w:t>
      </w:r>
      <w:r>
        <w:rPr/>
        <w:t>del</w:t>
      </w:r>
      <w:r>
        <w:rPr>
          <w:spacing w:val="-8"/>
        </w:rPr>
        <w:t> </w:t>
      </w:r>
      <w:r>
        <w:rPr/>
        <w:t>Tesoro,</w:t>
      </w:r>
      <w:r>
        <w:rPr>
          <w:spacing w:val="-9"/>
        </w:rPr>
        <w:t> </w:t>
      </w:r>
      <w:r>
        <w:rPr/>
        <w:t>dado</w:t>
      </w:r>
      <w:r>
        <w:rPr>
          <w:spacing w:val="-7"/>
        </w:rPr>
        <w:t> </w:t>
      </w:r>
      <w:r>
        <w:rPr/>
        <w:t>que</w:t>
      </w:r>
      <w:r>
        <w:rPr>
          <w:spacing w:val="-6"/>
        </w:rPr>
        <w:t> </w:t>
      </w:r>
      <w:r>
        <w:rPr/>
        <w:t>se</w:t>
      </w:r>
      <w:r>
        <w:rPr>
          <w:spacing w:val="-6"/>
        </w:rPr>
        <w:t> </w:t>
      </w:r>
      <w:r>
        <w:rPr/>
        <w:t>espera</w:t>
      </w:r>
      <w:r>
        <w:rPr>
          <w:spacing w:val="-7"/>
        </w:rPr>
        <w:t> </w:t>
      </w:r>
      <w:r>
        <w:rPr/>
        <w:t>que</w:t>
      </w:r>
      <w:r>
        <w:rPr>
          <w:spacing w:val="-6"/>
        </w:rPr>
        <w:t> </w:t>
      </w:r>
      <w:r>
        <w:rPr/>
        <w:t>el</w:t>
      </w:r>
      <w:r>
        <w:rPr>
          <w:spacing w:val="-5"/>
        </w:rPr>
        <w:t> </w:t>
      </w:r>
      <w:r>
        <w:rPr/>
        <w:t>financiamiento</w:t>
      </w:r>
      <w:r>
        <w:rPr>
          <w:spacing w:val="-7"/>
        </w:rPr>
        <w:t> </w:t>
      </w:r>
      <w:r>
        <w:rPr/>
        <w:t>externo</w:t>
      </w:r>
      <w:r>
        <w:rPr>
          <w:spacing w:val="-6"/>
        </w:rPr>
        <w:t> </w:t>
      </w:r>
      <w:r>
        <w:rPr/>
        <w:t>neto sea negativo en 2023-2027. Es importante considerar que desde hace algunos años se hace cada vez más</w:t>
      </w:r>
      <w:r>
        <w:rPr>
          <w:spacing w:val="-3"/>
        </w:rPr>
        <w:t> </w:t>
      </w:r>
      <w:r>
        <w:rPr/>
        <w:t>difícil</w:t>
      </w:r>
      <w:r>
        <w:rPr>
          <w:spacing w:val="-3"/>
        </w:rPr>
        <w:t> </w:t>
      </w:r>
      <w:r>
        <w:rPr/>
        <w:t>que</w:t>
      </w:r>
      <w:r>
        <w:rPr>
          <w:spacing w:val="-6"/>
        </w:rPr>
        <w:t> </w:t>
      </w:r>
      <w:r>
        <w:rPr/>
        <w:t>se</w:t>
      </w:r>
      <w:r>
        <w:rPr>
          <w:spacing w:val="-6"/>
        </w:rPr>
        <w:t> </w:t>
      </w:r>
      <w:r>
        <w:rPr/>
        <w:t>aprueben</w:t>
      </w:r>
      <w:r>
        <w:rPr>
          <w:spacing w:val="-9"/>
        </w:rPr>
        <w:t> </w:t>
      </w:r>
      <w:r>
        <w:rPr/>
        <w:t>nuevas</w:t>
      </w:r>
      <w:r>
        <w:rPr>
          <w:spacing w:val="-2"/>
        </w:rPr>
        <w:t> </w:t>
      </w:r>
      <w:r>
        <w:rPr/>
        <w:t>operaciones</w:t>
      </w:r>
      <w:r>
        <w:rPr>
          <w:spacing w:val="-5"/>
        </w:rPr>
        <w:t> </w:t>
      </w:r>
      <w:r>
        <w:rPr/>
        <w:t>por</w:t>
      </w:r>
      <w:r>
        <w:rPr>
          <w:spacing w:val="-5"/>
        </w:rPr>
        <w:t> </w:t>
      </w:r>
      <w:r>
        <w:rPr/>
        <w:t>préstamos</w:t>
      </w:r>
      <w:r>
        <w:rPr>
          <w:spacing w:val="-3"/>
        </w:rPr>
        <w:t> </w:t>
      </w:r>
      <w:r>
        <w:rPr/>
        <w:t>en</w:t>
      </w:r>
      <w:r>
        <w:rPr>
          <w:spacing w:val="-6"/>
        </w:rPr>
        <w:t> </w:t>
      </w:r>
      <w:r>
        <w:rPr/>
        <w:t>el</w:t>
      </w:r>
      <w:r>
        <w:rPr>
          <w:spacing w:val="-5"/>
        </w:rPr>
        <w:t> </w:t>
      </w:r>
      <w:r>
        <w:rPr/>
        <w:t>Congreso</w:t>
      </w:r>
      <w:r>
        <w:rPr>
          <w:spacing w:val="-5"/>
        </w:rPr>
        <w:t> </w:t>
      </w:r>
      <w:r>
        <w:rPr/>
        <w:t>de</w:t>
      </w:r>
      <w:r>
        <w:rPr>
          <w:spacing w:val="-6"/>
        </w:rPr>
        <w:t> </w:t>
      </w:r>
      <w:r>
        <w:rPr/>
        <w:t>la</w:t>
      </w:r>
      <w:r>
        <w:rPr>
          <w:spacing w:val="-6"/>
        </w:rPr>
        <w:t> </w:t>
      </w:r>
      <w:r>
        <w:rPr/>
        <w:t>República,</w:t>
      </w:r>
      <w:r>
        <w:rPr>
          <w:spacing w:val="-6"/>
        </w:rPr>
        <w:t> </w:t>
      </w:r>
      <w:r>
        <w:rPr/>
        <w:t>esto</w:t>
      </w:r>
      <w:r>
        <w:rPr>
          <w:spacing w:val="-4"/>
        </w:rPr>
        <w:t> </w:t>
      </w:r>
      <w:r>
        <w:rPr/>
        <w:t>a pesar de las condiciones favorables con que se negocian, lo que ha dificultado mantener la diversificación del portafolio de la deuda, así como un rezago en algunos temas de interés público que requieren financiamiento y acompañamiento de organismos internacionales. Por ello, para el mediano plazo no se toman en consideración las operaciones de préstamos que se encuentran en gestión</w:t>
      </w:r>
      <w:r>
        <w:rPr>
          <w:spacing w:val="-5"/>
        </w:rPr>
        <w:t> </w:t>
      </w:r>
      <w:r>
        <w:rPr/>
        <w:t>por</w:t>
      </w:r>
      <w:r>
        <w:rPr>
          <w:spacing w:val="-3"/>
        </w:rPr>
        <w:t> </w:t>
      </w:r>
      <w:r>
        <w:rPr/>
        <w:t>la</w:t>
      </w:r>
      <w:r>
        <w:rPr>
          <w:spacing w:val="-3"/>
        </w:rPr>
        <w:t> </w:t>
      </w:r>
      <w:r>
        <w:rPr/>
        <w:t>incertidumbre</w:t>
      </w:r>
      <w:r>
        <w:rPr>
          <w:spacing w:val="-3"/>
        </w:rPr>
        <w:t> </w:t>
      </w:r>
      <w:r>
        <w:rPr/>
        <w:t>que</w:t>
      </w:r>
      <w:r>
        <w:rPr>
          <w:spacing w:val="-3"/>
        </w:rPr>
        <w:t> </w:t>
      </w:r>
      <w:r>
        <w:rPr/>
        <w:t>genera</w:t>
      </w:r>
      <w:r>
        <w:rPr>
          <w:spacing w:val="-3"/>
        </w:rPr>
        <w:t> </w:t>
      </w:r>
      <w:r>
        <w:rPr/>
        <w:t>su</w:t>
      </w:r>
      <w:r>
        <w:rPr>
          <w:spacing w:val="-4"/>
        </w:rPr>
        <w:t> </w:t>
      </w:r>
      <w:r>
        <w:rPr/>
        <w:t>aprobación</w:t>
      </w:r>
      <w:r>
        <w:rPr>
          <w:spacing w:val="-6"/>
        </w:rPr>
        <w:t> </w:t>
      </w:r>
      <w:r>
        <w:rPr/>
        <w:t>por</w:t>
      </w:r>
      <w:r>
        <w:rPr>
          <w:spacing w:val="-3"/>
        </w:rPr>
        <w:t> </w:t>
      </w:r>
      <w:r>
        <w:rPr/>
        <w:t>parte</w:t>
      </w:r>
      <w:r>
        <w:rPr>
          <w:spacing w:val="-3"/>
        </w:rPr>
        <w:t> </w:t>
      </w:r>
      <w:r>
        <w:rPr/>
        <w:t>del</w:t>
      </w:r>
      <w:r>
        <w:rPr>
          <w:spacing w:val="-3"/>
        </w:rPr>
        <w:t> </w:t>
      </w:r>
      <w:r>
        <w:rPr/>
        <w:t>Congreso</w:t>
      </w:r>
      <w:r>
        <w:rPr>
          <w:spacing w:val="-4"/>
        </w:rPr>
        <w:t> </w:t>
      </w:r>
      <w:r>
        <w:rPr/>
        <w:t>de</w:t>
      </w:r>
      <w:r>
        <w:rPr>
          <w:spacing w:val="-6"/>
        </w:rPr>
        <w:t> </w:t>
      </w:r>
      <w:r>
        <w:rPr/>
        <w:t>la</w:t>
      </w:r>
      <w:r>
        <w:rPr>
          <w:spacing w:val="-3"/>
        </w:rPr>
        <w:t> </w:t>
      </w:r>
      <w:r>
        <w:rPr/>
        <w:t>República</w:t>
      </w:r>
      <w:r>
        <w:rPr>
          <w:spacing w:val="-4"/>
        </w:rPr>
        <w:t> </w:t>
      </w:r>
      <w:r>
        <w:rPr/>
        <w:t>y</w:t>
      </w:r>
      <w:r>
        <w:rPr>
          <w:spacing w:val="-6"/>
        </w:rPr>
        <w:t> </w:t>
      </w:r>
      <w:r>
        <w:rPr/>
        <w:t>para darle una mayor certeza a las entidades de su disponibilidad de ejecución</w:t>
      </w:r>
      <w:r>
        <w:rPr>
          <w:spacing w:val="-9"/>
        </w:rPr>
        <w:t> </w:t>
      </w:r>
      <w:r>
        <w:rPr/>
        <w:t>real.</w:t>
      </w:r>
    </w:p>
    <w:p>
      <w:pPr>
        <w:pStyle w:val="BodyText"/>
        <w:spacing w:before="3"/>
        <w:rPr>
          <w:sz w:val="25"/>
        </w:rPr>
      </w:pPr>
    </w:p>
    <w:p>
      <w:pPr>
        <w:pStyle w:val="BodyText"/>
        <w:spacing w:line="276" w:lineRule="auto"/>
        <w:ind w:left="562" w:right="1695"/>
        <w:jc w:val="both"/>
      </w:pPr>
      <w:r>
        <w:rPr/>
        <w:t>En 2023 sería el año que se tiene previsto que se reciban los mayores desembolsos de préstamos con un monto de Q3,096.7 millones, aunque sin superar las amortizaciones previstas para ese año. Entre 2023</w:t>
      </w:r>
      <w:r>
        <w:rPr>
          <w:spacing w:val="-16"/>
        </w:rPr>
        <w:t> </w:t>
      </w:r>
      <w:r>
        <w:rPr/>
        <w:t>y</w:t>
      </w:r>
      <w:r>
        <w:rPr>
          <w:spacing w:val="-18"/>
        </w:rPr>
        <w:t> </w:t>
      </w:r>
      <w:r>
        <w:rPr/>
        <w:t>2027</w:t>
      </w:r>
      <w:r>
        <w:rPr>
          <w:spacing w:val="-16"/>
        </w:rPr>
        <w:t> </w:t>
      </w:r>
      <w:r>
        <w:rPr/>
        <w:t>podrían</w:t>
      </w:r>
      <w:r>
        <w:rPr>
          <w:spacing w:val="-15"/>
        </w:rPr>
        <w:t> </w:t>
      </w:r>
      <w:r>
        <w:rPr/>
        <w:t>realizarse</w:t>
      </w:r>
      <w:r>
        <w:rPr>
          <w:spacing w:val="-15"/>
        </w:rPr>
        <w:t> </w:t>
      </w:r>
      <w:r>
        <w:rPr/>
        <w:t>colocaciones</w:t>
      </w:r>
      <w:r>
        <w:rPr>
          <w:spacing w:val="-15"/>
        </w:rPr>
        <w:t> </w:t>
      </w:r>
      <w:r>
        <w:rPr/>
        <w:t>de</w:t>
      </w:r>
      <w:r>
        <w:rPr>
          <w:spacing w:val="-15"/>
        </w:rPr>
        <w:t> </w:t>
      </w:r>
      <w:r>
        <w:rPr/>
        <w:t>eurobonos</w:t>
      </w:r>
      <w:r>
        <w:rPr>
          <w:spacing w:val="-14"/>
        </w:rPr>
        <w:t> </w:t>
      </w:r>
      <w:r>
        <w:rPr/>
        <w:t>que</w:t>
      </w:r>
      <w:r>
        <w:rPr>
          <w:spacing w:val="-15"/>
        </w:rPr>
        <w:t> </w:t>
      </w:r>
      <w:r>
        <w:rPr/>
        <w:t>serán</w:t>
      </w:r>
      <w:r>
        <w:rPr>
          <w:spacing w:val="-15"/>
        </w:rPr>
        <w:t> </w:t>
      </w:r>
      <w:r>
        <w:rPr/>
        <w:t>por</w:t>
      </w:r>
      <w:r>
        <w:rPr>
          <w:spacing w:val="-15"/>
        </w:rPr>
        <w:t> </w:t>
      </w:r>
      <w:r>
        <w:rPr/>
        <w:t>el</w:t>
      </w:r>
      <w:r>
        <w:rPr>
          <w:spacing w:val="-15"/>
        </w:rPr>
        <w:t> </w:t>
      </w:r>
      <w:r>
        <w:rPr/>
        <w:t>equivalente</w:t>
      </w:r>
      <w:r>
        <w:rPr>
          <w:spacing w:val="-15"/>
        </w:rPr>
        <w:t> </w:t>
      </w:r>
      <w:r>
        <w:rPr/>
        <w:t>al</w:t>
      </w:r>
      <w:r>
        <w:rPr>
          <w:spacing w:val="-15"/>
        </w:rPr>
        <w:t> </w:t>
      </w:r>
      <w:r>
        <w:rPr/>
        <w:t>vencimiento que se espera para esos años, derivado de ello el efecto neto en la colocación es</w:t>
      </w:r>
      <w:r>
        <w:rPr>
          <w:spacing w:val="-17"/>
        </w:rPr>
        <w:t> </w:t>
      </w:r>
      <w:r>
        <w:rPr/>
        <w:t>cero.</w:t>
      </w:r>
    </w:p>
    <w:p>
      <w:pPr>
        <w:pStyle w:val="BodyText"/>
        <w:spacing w:before="8"/>
        <w:rPr>
          <w:sz w:val="25"/>
        </w:rPr>
      </w:pPr>
    </w:p>
    <w:p>
      <w:pPr>
        <w:spacing w:before="0"/>
        <w:ind w:left="2885" w:right="0" w:firstLine="0"/>
        <w:jc w:val="left"/>
        <w:rPr>
          <w:b/>
          <w:sz w:val="22"/>
        </w:rPr>
      </w:pPr>
      <w:bookmarkStart w:name="_bookmark225" w:id="292"/>
      <w:bookmarkEnd w:id="292"/>
      <w:r>
        <w:rPr/>
      </w:r>
      <w:r>
        <w:rPr>
          <w:b/>
          <w:i/>
          <w:sz w:val="20"/>
        </w:rPr>
        <w:t>Gráfico 110. </w:t>
      </w:r>
      <w:r>
        <w:rPr>
          <w:b/>
          <w:sz w:val="22"/>
        </w:rPr>
        <w:t>Déficit fiscal y su financiamiento</w:t>
      </w:r>
    </w:p>
    <w:p>
      <w:pPr>
        <w:spacing w:after="0"/>
        <w:jc w:val="left"/>
        <w:rPr>
          <w:sz w:val="22"/>
        </w:rPr>
        <w:sectPr>
          <w:pgSz w:w="12240" w:h="15840"/>
          <w:pgMar w:header="715" w:footer="688" w:top="1240" w:bottom="880" w:left="1140" w:right="0"/>
        </w:sectPr>
      </w:pPr>
    </w:p>
    <w:p>
      <w:pPr>
        <w:pStyle w:val="Heading3"/>
        <w:spacing w:line="276" w:lineRule="auto" w:before="40"/>
        <w:ind w:left="818"/>
        <w:jc w:val="center"/>
      </w:pPr>
      <w:r>
        <w:rPr/>
        <w:t>Déficit fiscal de techos presupuestarios de mediano plazo</w:t>
      </w:r>
    </w:p>
    <w:p>
      <w:pPr>
        <w:spacing w:line="202" w:lineRule="exact" w:before="0"/>
        <w:ind w:left="825" w:right="0" w:firstLine="0"/>
        <w:jc w:val="center"/>
        <w:rPr>
          <w:sz w:val="18"/>
        </w:rPr>
      </w:pPr>
      <w:r>
        <w:rPr>
          <w:sz w:val="18"/>
        </w:rPr>
        <w:t>2022 - 2027</w:t>
      </w:r>
    </w:p>
    <w:p>
      <w:pPr>
        <w:spacing w:before="31"/>
        <w:ind w:left="823" w:right="0" w:firstLine="0"/>
        <w:jc w:val="center"/>
        <w:rPr>
          <w:sz w:val="18"/>
        </w:rPr>
      </w:pPr>
      <w:r>
        <w:rPr>
          <w:sz w:val="18"/>
        </w:rPr>
        <w:t>Millones de quetzales</w:t>
      </w:r>
    </w:p>
    <w:p>
      <w:pPr>
        <w:spacing w:before="32"/>
        <w:ind w:left="700" w:right="0" w:firstLine="0"/>
        <w:jc w:val="left"/>
        <w:rPr>
          <w:sz w:val="12"/>
        </w:rPr>
      </w:pPr>
      <w:r>
        <w:rPr/>
        <w:pict>
          <v:group style="position:absolute;margin-left:115.080002pt;margin-top:9.381554pt;width:179.65pt;height:88.7pt;mso-position-horizontal-relative:page;mso-position-vertical-relative:paragraph;z-index:253249536" coordorigin="2302,188" coordsize="3593,1774">
            <v:shape style="position:absolute;left:4828;top:199;width:934;height:358" coordorigin="4829,200" coordsize="934,358" path="m5165,200l4829,200,4829,557,5165,557,5165,200m5762,200l5426,200,5426,399,5762,399,5762,200e" filled="true" fillcolor="#a10000" stroked="false">
              <v:path arrowok="t"/>
              <v:fill type="solid"/>
            </v:shape>
            <v:shape style="position:absolute;left:2421;top:187;width:3353;height:1774" coordorigin="2422,188" coordsize="3353,1774" path="m2776,188l2427,188,2422,193,2422,1857,2427,1863,2776,1863,2782,1857,2782,1855,2431,1855,2430,1853,2430,197,2431,196,2782,196,2782,193,2776,188xm2782,196l2772,196,2774,197,2774,1853,2772,1855,2782,1855,2782,196xm2766,204l2438,204,2438,1847,2766,1847,2766,1839,2446,1839,2446,212,2766,212,2766,204xm2766,212l2758,212,2758,1839,2766,1839,2766,212xm3374,188l3025,188,3019,193,3019,1956,3025,1961,3374,1961,3379,1956,3379,1953,3029,1953,3027,1951,3027,197,3029,196,3379,196,3379,193,3374,188xm3379,196l3369,196,3371,197,3371,1951,3369,1953,3379,1953,3379,196xm3363,204l3035,204,3035,1945,3363,1945,3363,1937,3043,1937,3043,212,3363,212,3363,204xm3363,212l3355,212,3355,1937,3363,1937,3363,212xm3974,188l3625,188,3619,193,3619,1320,3625,1325,3974,1325,3979,1320,3979,1317,3629,1317,3627,1315,3627,197,3629,196,3979,196,3979,193,3974,188xm3979,196l3969,196,3971,197,3971,1315,3969,1317,3979,1317,3979,196xm3963,204l3635,204,3635,1309,3963,1309,3963,1301,3643,1301,3643,212,3963,212,3963,204xm3963,212l3955,212,3955,1301,3963,1301,3963,212xm4571,188l4222,188,4217,193,4217,919,4222,924,4571,924,4577,919,4577,916,4227,916,4225,915,4225,197,4227,196,4577,196,4577,193,4571,188xm4577,196l4567,196,4569,197,4569,915,4567,916,4577,916,4577,196xm4561,204l4233,204,4233,908,4561,908,4561,900,4241,900,4241,212,4561,212,4561,204xm4561,212l4553,212,4553,900,4561,900,4561,212xm5171,188l4822,188,4817,193,4817,564,4822,569,5171,569,5177,564,5177,561,4827,561,4825,559,4825,197,4827,196,5177,196,5177,193,5171,188xm5177,196l5167,196,5169,197,5169,559,5167,561,5177,561,5177,196xm5161,204l4833,204,4833,553,5161,553,5161,545,4841,545,4841,212,5161,212,5161,204xm5161,212l5153,212,5153,545,5161,545,5161,212xm5769,188l5420,188,5414,193,5414,405,5420,411,5769,411,5774,405,5774,403,5424,403,5422,401,5422,197,5424,196,5774,196,5774,193,5769,188xm5774,196l5765,196,5766,197,5766,401,5765,403,5774,403,5774,196xm5758,204l5430,204,5430,395,5758,395,5758,387,5438,387,5438,212,5758,212,5758,204xm5758,212l5750,212,5750,387,5758,387,5758,212xe" filled="true" fillcolor="#000000" stroked="false">
              <v:path arrowok="t"/>
              <v:fill type="solid"/>
            </v:shape>
            <v:line style="position:absolute" from="2302,200" to="5894,200" stroked="true" strokeweight=".72pt" strokecolor="#d9d9d9">
              <v:stroke dashstyle="solid"/>
            </v:line>
            <w10:wrap type="none"/>
          </v:group>
        </w:pict>
      </w:r>
      <w:r>
        <w:rPr/>
        <w:pict>
          <v:shape style="position:absolute;margin-left:125.309982pt;margin-top:8.981554pt;width:12pt;height:84.6pt;mso-position-horizontal-relative:page;mso-position-vertical-relative:paragraph;z-index:253252608" type="#_x0000_t202" filled="false" stroked="false">
            <v:textbox inset="0,0,0,0" style="layout-flow:vertical;mso-layout-flow-alt:bottom-to-top">
              <w:txbxContent>
                <w:p>
                  <w:pPr>
                    <w:tabs>
                      <w:tab w:pos="1671" w:val="left" w:leader="none"/>
                    </w:tabs>
                    <w:spacing w:before="12"/>
                    <w:ind w:left="20" w:right="0" w:firstLine="0"/>
                    <w:jc w:val="left"/>
                    <w:rPr>
                      <w:b/>
                      <w:sz w:val="18"/>
                    </w:rPr>
                  </w:pPr>
                  <w:r>
                    <w:rPr>
                      <w:color w:val="FFFFFF"/>
                      <w:sz w:val="18"/>
                      <w:shd w:fill="A10000" w:color="auto" w:val="clear"/>
                    </w:rPr>
                    <w:t> </w:t>
                  </w:r>
                  <w:r>
                    <w:rPr>
                      <w:color w:val="FFFFFF"/>
                      <w:spacing w:val="-30"/>
                      <w:sz w:val="18"/>
                      <w:shd w:fill="A10000" w:color="auto" w:val="clear"/>
                    </w:rPr>
                    <w:t> </w:t>
                  </w:r>
                  <w:r>
                    <w:rPr>
                      <w:b/>
                      <w:color w:val="FFFFFF"/>
                      <w:sz w:val="18"/>
                      <w:shd w:fill="A10000" w:color="auto" w:val="clear"/>
                    </w:rPr>
                    <w:t>-17,374.5</w:t>
                    <w:tab/>
                  </w:r>
                </w:p>
              </w:txbxContent>
            </v:textbox>
            <w10:wrap type="none"/>
          </v:shape>
        </w:pict>
      </w:r>
      <w:r>
        <w:rPr/>
        <w:pict>
          <v:shape style="position:absolute;margin-left:155.239975pt;margin-top:8.981554pt;width:12pt;height:89.5pt;mso-position-horizontal-relative:page;mso-position-vertical-relative:paragraph;z-index:253253632" type="#_x0000_t202" filled="false" stroked="false">
            <v:textbox inset="0,0,0,0" style="layout-flow:vertical;mso-layout-flow-alt:bottom-to-top">
              <w:txbxContent>
                <w:p>
                  <w:pPr>
                    <w:tabs>
                      <w:tab w:pos="1769" w:val="left" w:leader="none"/>
                    </w:tabs>
                    <w:spacing w:before="12"/>
                    <w:ind w:left="20" w:right="0" w:firstLine="0"/>
                    <w:jc w:val="left"/>
                    <w:rPr>
                      <w:b/>
                      <w:sz w:val="18"/>
                    </w:rPr>
                  </w:pPr>
                  <w:r>
                    <w:rPr>
                      <w:color w:val="FFFFFF"/>
                      <w:sz w:val="18"/>
                      <w:shd w:fill="A10000" w:color="auto" w:val="clear"/>
                    </w:rPr>
                    <w:t> </w:t>
                  </w:r>
                  <w:r>
                    <w:rPr>
                      <w:color w:val="FFFFFF"/>
                      <w:spacing w:val="-16"/>
                      <w:sz w:val="18"/>
                      <w:shd w:fill="A10000" w:color="auto" w:val="clear"/>
                    </w:rPr>
                    <w:t> </w:t>
                  </w:r>
                  <w:r>
                    <w:rPr>
                      <w:b/>
                      <w:color w:val="FFFFFF"/>
                      <w:sz w:val="18"/>
                      <w:shd w:fill="A10000" w:color="auto" w:val="clear"/>
                    </w:rPr>
                    <w:t>-18,408.9</w:t>
                    <w:tab/>
                  </w:r>
                </w:p>
              </w:txbxContent>
            </v:textbox>
            <w10:wrap type="none"/>
          </v:shape>
        </w:pict>
      </w:r>
      <w:r>
        <w:rPr/>
        <w:pict>
          <v:shape style="position:absolute;margin-left:184.179977pt;margin-top:8.981554pt;width:12pt;height:55.3pt;mso-position-horizontal-relative:page;mso-position-vertical-relative:paragraph;z-index:253254656" type="#_x0000_t202" filled="false" stroked="false">
            <v:textbox inset="0,0,0,0" style="layout-flow:vertical;mso-layout-flow-alt:bottom-to-top">
              <w:txbxContent>
                <w:p>
                  <w:pPr>
                    <w:tabs>
                      <w:tab w:pos="1085" w:val="left" w:leader="none"/>
                    </w:tabs>
                    <w:spacing w:before="12"/>
                    <w:ind w:left="20" w:right="0" w:firstLine="0"/>
                    <w:jc w:val="left"/>
                    <w:rPr>
                      <w:b/>
                      <w:sz w:val="18"/>
                    </w:rPr>
                  </w:pPr>
                  <w:r>
                    <w:rPr>
                      <w:b/>
                      <w:color w:val="FFFFFF"/>
                      <w:sz w:val="18"/>
                      <w:shd w:fill="A10000" w:color="auto" w:val="clear"/>
                    </w:rPr>
                    <w:t>-11,702.6</w:t>
                    <w:tab/>
                  </w:r>
                </w:p>
              </w:txbxContent>
            </v:textbox>
            <w10:wrap type="none"/>
          </v:shape>
        </w:pict>
      </w:r>
      <w:r>
        <w:rPr>
          <w:color w:val="585858"/>
          <w:sz w:val="12"/>
        </w:rPr>
        <w:t>1,000.0</w:t>
      </w:r>
    </w:p>
    <w:p>
      <w:pPr>
        <w:pStyle w:val="BodyText"/>
        <w:spacing w:before="9"/>
        <w:rPr>
          <w:sz w:val="12"/>
        </w:rPr>
      </w:pPr>
    </w:p>
    <w:p>
      <w:pPr>
        <w:spacing w:before="0"/>
        <w:ind w:left="660" w:right="0" w:firstLine="0"/>
        <w:jc w:val="left"/>
        <w:rPr>
          <w:sz w:val="12"/>
        </w:rPr>
      </w:pPr>
      <w:r>
        <w:rPr/>
        <w:pict>
          <v:shape style="position:absolute;margin-left:214.109985pt;margin-top:-2.270447pt;width:12pt;height:32.3pt;mso-position-horizontal-relative:page;mso-position-vertical-relative:paragraph;z-index:253255680" type="#_x0000_t202" filled="false" stroked="false">
            <v:textbox inset="0,0,0,0" style="layout-flow:vertical;mso-layout-flow-alt:bottom-to-top">
              <w:txbxContent>
                <w:p>
                  <w:pPr>
                    <w:spacing w:before="12"/>
                    <w:ind w:left="20" w:right="0" w:firstLine="0"/>
                    <w:jc w:val="left"/>
                    <w:rPr>
                      <w:b/>
                      <w:sz w:val="18"/>
                    </w:rPr>
                  </w:pPr>
                  <w:r>
                    <w:rPr>
                      <w:b/>
                      <w:color w:val="FFFFFF"/>
                      <w:sz w:val="18"/>
                      <w:shd w:fill="A10000" w:color="auto" w:val="clear"/>
                    </w:rPr>
                    <w:t>-7,502.3</w:t>
                  </w:r>
                </w:p>
              </w:txbxContent>
            </v:textbox>
            <w10:wrap type="none"/>
          </v:shape>
        </w:pict>
      </w:r>
      <w:r>
        <w:rPr/>
        <w:pict>
          <v:shape style="position:absolute;margin-left:271.779968pt;margin-top:9.579553pt;width:12pt;height:32.3pt;mso-position-horizontal-relative:page;mso-position-vertical-relative:paragraph;z-index:253257728" type="#_x0000_t202" filled="false" stroked="false">
            <v:textbox inset="0,0,0,0" style="layout-flow:vertical;mso-layout-flow-alt:bottom-to-top">
              <w:txbxContent>
                <w:p>
                  <w:pPr>
                    <w:spacing w:before="12"/>
                    <w:ind w:left="20" w:right="0" w:firstLine="0"/>
                    <w:jc w:val="left"/>
                    <w:rPr>
                      <w:b/>
                      <w:sz w:val="18"/>
                    </w:rPr>
                  </w:pPr>
                  <w:r>
                    <w:rPr>
                      <w:b/>
                      <w:color w:val="0D0D0D"/>
                      <w:sz w:val="18"/>
                    </w:rPr>
                    <w:t>-2,096.6</w:t>
                  </w:r>
                </w:p>
              </w:txbxContent>
            </v:textbox>
            <w10:wrap type="none"/>
          </v:shape>
        </w:pict>
      </w:r>
      <w:r>
        <w:rPr>
          <w:color w:val="585858"/>
          <w:sz w:val="12"/>
        </w:rPr>
        <w:t>-2,000.0</w:t>
      </w:r>
    </w:p>
    <w:p>
      <w:pPr>
        <w:pStyle w:val="BodyText"/>
        <w:spacing w:before="10"/>
        <w:rPr>
          <w:sz w:val="12"/>
        </w:rPr>
      </w:pPr>
    </w:p>
    <w:p>
      <w:pPr>
        <w:spacing w:before="0"/>
        <w:ind w:left="660" w:right="0" w:firstLine="0"/>
        <w:jc w:val="left"/>
        <w:rPr>
          <w:sz w:val="12"/>
        </w:rPr>
      </w:pPr>
      <w:r>
        <w:rPr/>
        <w:pict>
          <v:shape style="position:absolute;margin-left:244.039978pt;margin-top:.899554pt;width:12pt;height:32.3pt;mso-position-horizontal-relative:page;mso-position-vertical-relative:paragraph;z-index:253256704" type="#_x0000_t202" filled="false" stroked="false">
            <v:textbox inset="0,0,0,0" style="layout-flow:vertical;mso-layout-flow-alt:bottom-to-top">
              <w:txbxContent>
                <w:p>
                  <w:pPr>
                    <w:spacing w:before="12"/>
                    <w:ind w:left="20" w:right="0" w:firstLine="0"/>
                    <w:jc w:val="left"/>
                    <w:rPr>
                      <w:b/>
                      <w:sz w:val="18"/>
                    </w:rPr>
                  </w:pPr>
                  <w:r>
                    <w:rPr>
                      <w:b/>
                      <w:color w:val="0D0D0D"/>
                      <w:sz w:val="18"/>
                    </w:rPr>
                    <w:t>-3,750.7</w:t>
                  </w:r>
                </w:p>
              </w:txbxContent>
            </v:textbox>
            <w10:wrap type="none"/>
          </v:shape>
        </w:pict>
      </w:r>
      <w:r>
        <w:rPr>
          <w:color w:val="585858"/>
          <w:sz w:val="12"/>
        </w:rPr>
        <w:t>-5,000.0</w:t>
      </w:r>
    </w:p>
    <w:p>
      <w:pPr>
        <w:pStyle w:val="BodyText"/>
        <w:spacing w:before="9"/>
        <w:rPr>
          <w:sz w:val="12"/>
        </w:rPr>
      </w:pPr>
    </w:p>
    <w:p>
      <w:pPr>
        <w:spacing w:before="0"/>
        <w:ind w:left="660" w:right="0" w:firstLine="0"/>
        <w:jc w:val="left"/>
        <w:rPr>
          <w:sz w:val="12"/>
        </w:rPr>
      </w:pPr>
      <w:r>
        <w:rPr>
          <w:color w:val="585858"/>
          <w:sz w:val="12"/>
        </w:rPr>
        <w:t>-8,000.0</w:t>
      </w:r>
    </w:p>
    <w:p>
      <w:pPr>
        <w:pStyle w:val="BodyText"/>
        <w:spacing w:before="10"/>
        <w:rPr>
          <w:sz w:val="12"/>
        </w:rPr>
      </w:pPr>
    </w:p>
    <w:p>
      <w:pPr>
        <w:spacing w:before="0"/>
        <w:ind w:left="600" w:right="0" w:firstLine="0"/>
        <w:jc w:val="left"/>
        <w:rPr>
          <w:sz w:val="12"/>
        </w:rPr>
      </w:pPr>
      <w:r>
        <w:rPr>
          <w:color w:val="585858"/>
          <w:sz w:val="12"/>
        </w:rPr>
        <w:t>-11,000.0</w:t>
      </w:r>
    </w:p>
    <w:p>
      <w:pPr>
        <w:pStyle w:val="BodyText"/>
        <w:spacing w:before="9"/>
        <w:rPr>
          <w:sz w:val="12"/>
        </w:rPr>
      </w:pPr>
    </w:p>
    <w:p>
      <w:pPr>
        <w:spacing w:before="0"/>
        <w:ind w:left="600" w:right="0" w:firstLine="0"/>
        <w:jc w:val="left"/>
        <w:rPr>
          <w:sz w:val="12"/>
        </w:rPr>
      </w:pPr>
      <w:r>
        <w:rPr>
          <w:color w:val="585858"/>
          <w:sz w:val="12"/>
        </w:rPr>
        <w:t>-14,000.0</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72"/>
        <w:ind w:left="0" w:right="0" w:firstLine="0"/>
        <w:jc w:val="right"/>
        <w:rPr>
          <w:rFonts w:ascii="Calibri"/>
          <w:sz w:val="12"/>
        </w:rPr>
      </w:pPr>
      <w:r>
        <w:rPr>
          <w:rFonts w:ascii="Calibri"/>
          <w:color w:val="585858"/>
          <w:spacing w:val="-1"/>
          <w:sz w:val="12"/>
        </w:rPr>
        <w:t>100%</w:t>
      </w:r>
    </w:p>
    <w:p>
      <w:pPr>
        <w:spacing w:before="79"/>
        <w:ind w:left="0" w:right="0" w:firstLine="0"/>
        <w:jc w:val="right"/>
        <w:rPr>
          <w:rFonts w:ascii="Calibri"/>
          <w:sz w:val="12"/>
        </w:rPr>
      </w:pPr>
      <w:r>
        <w:rPr>
          <w:rFonts w:ascii="Calibri"/>
          <w:color w:val="585858"/>
          <w:sz w:val="12"/>
        </w:rPr>
        <w:t>80%</w:t>
      </w:r>
    </w:p>
    <w:p>
      <w:pPr>
        <w:spacing w:before="79"/>
        <w:ind w:left="0" w:right="0" w:firstLine="0"/>
        <w:jc w:val="right"/>
        <w:rPr>
          <w:rFonts w:ascii="Calibri"/>
          <w:sz w:val="12"/>
        </w:rPr>
      </w:pPr>
      <w:r>
        <w:rPr>
          <w:rFonts w:ascii="Calibri"/>
          <w:color w:val="585858"/>
          <w:sz w:val="12"/>
        </w:rPr>
        <w:t>60%</w:t>
      </w:r>
    </w:p>
    <w:p>
      <w:pPr>
        <w:spacing w:before="79"/>
        <w:ind w:left="0" w:right="0" w:firstLine="0"/>
        <w:jc w:val="right"/>
        <w:rPr>
          <w:rFonts w:ascii="Calibri"/>
          <w:sz w:val="12"/>
        </w:rPr>
      </w:pPr>
      <w:r>
        <w:rPr>
          <w:rFonts w:ascii="Calibri"/>
          <w:color w:val="585858"/>
          <w:sz w:val="12"/>
        </w:rPr>
        <w:t>40%</w:t>
      </w:r>
    </w:p>
    <w:p>
      <w:pPr>
        <w:spacing w:before="78"/>
        <w:ind w:left="0" w:right="0" w:firstLine="0"/>
        <w:jc w:val="right"/>
        <w:rPr>
          <w:rFonts w:ascii="Calibri"/>
          <w:sz w:val="12"/>
        </w:rPr>
      </w:pPr>
      <w:r>
        <w:rPr>
          <w:rFonts w:ascii="Calibri"/>
          <w:color w:val="585858"/>
          <w:sz w:val="12"/>
        </w:rPr>
        <w:t>20%</w:t>
      </w:r>
    </w:p>
    <w:p>
      <w:pPr>
        <w:spacing w:before="79"/>
        <w:ind w:left="0" w:right="0" w:firstLine="0"/>
        <w:jc w:val="right"/>
        <w:rPr>
          <w:rFonts w:ascii="Calibri"/>
          <w:sz w:val="12"/>
        </w:rPr>
      </w:pPr>
      <w:r>
        <w:rPr>
          <w:rFonts w:ascii="Calibri"/>
          <w:color w:val="585858"/>
          <w:spacing w:val="-1"/>
          <w:sz w:val="12"/>
        </w:rPr>
        <w:t>0%</w:t>
      </w:r>
    </w:p>
    <w:p>
      <w:pPr>
        <w:spacing w:before="79"/>
        <w:ind w:left="0" w:right="0" w:firstLine="0"/>
        <w:jc w:val="right"/>
        <w:rPr>
          <w:rFonts w:ascii="Calibri"/>
          <w:sz w:val="12"/>
        </w:rPr>
      </w:pPr>
      <w:r>
        <w:rPr>
          <w:rFonts w:ascii="Calibri"/>
          <w:color w:val="585858"/>
          <w:spacing w:val="-1"/>
          <w:sz w:val="12"/>
        </w:rPr>
        <w:t>-20%</w:t>
      </w:r>
    </w:p>
    <w:p>
      <w:pPr>
        <w:spacing w:before="79"/>
        <w:ind w:left="0" w:right="0" w:firstLine="0"/>
        <w:jc w:val="right"/>
        <w:rPr>
          <w:rFonts w:ascii="Calibri"/>
          <w:sz w:val="12"/>
        </w:rPr>
      </w:pPr>
      <w:r>
        <w:rPr>
          <w:rFonts w:ascii="Calibri"/>
          <w:color w:val="585858"/>
          <w:spacing w:val="-1"/>
          <w:sz w:val="12"/>
        </w:rPr>
        <w:t>-40%</w:t>
      </w:r>
    </w:p>
    <w:p>
      <w:pPr>
        <w:spacing w:line="109" w:lineRule="exact" w:before="79"/>
        <w:ind w:left="377" w:right="0" w:firstLine="0"/>
        <w:jc w:val="left"/>
        <w:rPr>
          <w:rFonts w:ascii="Calibri"/>
          <w:sz w:val="12"/>
        </w:rPr>
      </w:pPr>
      <w:r>
        <w:rPr>
          <w:rFonts w:ascii="Calibri"/>
          <w:color w:val="585858"/>
          <w:sz w:val="12"/>
        </w:rPr>
        <w:t>-60%</w:t>
      </w:r>
    </w:p>
    <w:p>
      <w:pPr>
        <w:pStyle w:val="Heading3"/>
        <w:spacing w:before="40"/>
        <w:ind w:left="469" w:right="2178"/>
        <w:jc w:val="center"/>
      </w:pPr>
      <w:r>
        <w:rPr>
          <w:b w:val="0"/>
        </w:rPr>
        <w:br w:type="column"/>
      </w:r>
      <w:r>
        <w:rPr/>
        <w:t>Financiamiento del déficit fiscal</w:t>
      </w:r>
    </w:p>
    <w:p>
      <w:pPr>
        <w:spacing w:before="34"/>
        <w:ind w:left="469" w:right="2177" w:firstLine="0"/>
        <w:jc w:val="center"/>
        <w:rPr>
          <w:sz w:val="18"/>
        </w:rPr>
      </w:pPr>
      <w:r>
        <w:rPr>
          <w:sz w:val="18"/>
        </w:rPr>
        <w:t>2022 – 2027</w:t>
      </w:r>
    </w:p>
    <w:p>
      <w:pPr>
        <w:spacing w:before="31"/>
        <w:ind w:left="469" w:right="2176" w:firstLine="0"/>
        <w:jc w:val="center"/>
        <w:rPr>
          <w:sz w:val="18"/>
        </w:rPr>
      </w:pPr>
      <w:r>
        <w:rPr>
          <w:sz w:val="18"/>
        </w:rPr>
        <w:t>Millones de quetzales</w:t>
      </w:r>
    </w:p>
    <w:p>
      <w:pPr>
        <w:pStyle w:val="BodyText"/>
        <w:spacing w:before="8"/>
        <w:rPr>
          <w:sz w:val="13"/>
        </w:rPr>
      </w:pPr>
      <w:r>
        <w:rPr/>
        <w:pict>
          <v:group style="position:absolute;margin-left:331.320007pt;margin-top:9.888642pt;width:204.25pt;height:91pt;mso-position-horizontal-relative:page;mso-position-vertical-relative:paragraph;z-index:-250067968;mso-wrap-distance-left:0;mso-wrap-distance-right:0" coordorigin="6626,198" coordsize="4085,1820">
            <v:line style="position:absolute" from="6634,2010" to="10711,2010" stroked="true" strokeweight=".72pt" strokecolor="#d9d9d9">
              <v:stroke dashstyle="solid"/>
            </v:line>
            <v:line style="position:absolute" from="10591,1784" to="10711,1784" stroked="true" strokeweight=".72pt" strokecolor="#d9d9d9">
              <v:stroke dashstyle="solid"/>
            </v:line>
            <v:line style="position:absolute" from="6634,1784" to="10152,1784" stroked="true" strokeweight=".72pt" strokecolor="#d9d9d9">
              <v:stroke dashstyle="solid"/>
            </v:line>
            <v:line style="position:absolute" from="10591,1559" to="10711,1559" stroked="true" strokeweight=".72pt" strokecolor="#d9d9d9">
              <v:stroke dashstyle="solid"/>
            </v:line>
            <v:line style="position:absolute" from="9912,1559" to="10152,1559" stroked="true" strokeweight=".72pt" strokecolor="#d9d9d9">
              <v:stroke dashstyle="solid"/>
            </v:line>
            <v:line style="position:absolute" from="9233,1559" to="9473,1559" stroked="true" strokeweight=".72pt" strokecolor="#d9d9d9">
              <v:stroke dashstyle="solid"/>
            </v:line>
            <v:line style="position:absolute" from="6634,1559" to="8794,1559" stroked="true" strokeweight=".72pt" strokecolor="#d9d9d9">
              <v:stroke dashstyle="solid"/>
            </v:line>
            <v:line style="position:absolute" from="10591,1107" to="10711,1107" stroked="true" strokeweight=".72pt" strokecolor="#d9d9d9">
              <v:stroke dashstyle="solid"/>
            </v:line>
            <v:line style="position:absolute" from="9912,1107" to="10152,1107" stroked="true" strokeweight=".72pt" strokecolor="#d9d9d9">
              <v:stroke dashstyle="solid"/>
            </v:line>
            <v:line style="position:absolute" from="9233,1107" to="9473,1107" stroked="true" strokeweight=".72pt" strokecolor="#d9d9d9">
              <v:stroke dashstyle="solid"/>
            </v:line>
            <v:line style="position:absolute" from="8554,1107" to="8794,1107" stroked="true" strokeweight=".72pt" strokecolor="#d9d9d9">
              <v:stroke dashstyle="solid"/>
            </v:line>
            <v:line style="position:absolute" from="7872,1107" to="8114,1107" stroked="true" strokeweight=".72pt" strokecolor="#d9d9d9">
              <v:stroke dashstyle="solid"/>
            </v:line>
            <v:line style="position:absolute" from="7193,1107" to="7435,1107" stroked="true" strokeweight=".72pt" strokecolor="#d9d9d9">
              <v:stroke dashstyle="solid"/>
            </v:line>
            <v:line style="position:absolute" from="6634,1107" to="6756,1107" stroked="true" strokeweight=".72pt" strokecolor="#d9d9d9">
              <v:stroke dashstyle="solid"/>
            </v:line>
            <v:line style="position:absolute" from="10591,882" to="10711,882" stroked="true" strokeweight=".72pt" strokecolor="#d9d9d9">
              <v:stroke dashstyle="solid"/>
            </v:line>
            <v:line style="position:absolute" from="9912,882" to="10152,882" stroked="true" strokeweight=".72pt" strokecolor="#d9d9d9">
              <v:stroke dashstyle="solid"/>
            </v:line>
            <v:line style="position:absolute" from="9233,882" to="9473,882" stroked="true" strokeweight=".72pt" strokecolor="#d9d9d9">
              <v:stroke dashstyle="solid"/>
            </v:line>
            <v:line style="position:absolute" from="8554,882" to="8794,882" stroked="true" strokeweight=".72pt" strokecolor="#d9d9d9">
              <v:stroke dashstyle="solid"/>
            </v:line>
            <v:line style="position:absolute" from="7872,882" to="8114,882" stroked="true" strokeweight=".72pt" strokecolor="#d9d9d9">
              <v:stroke dashstyle="solid"/>
            </v:line>
            <v:line style="position:absolute" from="7193,882" to="7435,882" stroked="true" strokeweight=".72pt" strokecolor="#d9d9d9">
              <v:stroke dashstyle="solid"/>
            </v:line>
            <v:line style="position:absolute" from="6634,882" to="6756,882" stroked="true" strokeweight=".72pt" strokecolor="#d9d9d9">
              <v:stroke dashstyle="solid"/>
            </v:line>
            <v:shape style="position:absolute;left:6715;top:917;width:3989;height:528" type="#_x0000_t75" stroked="false">
              <v:imagedata r:id="rId346" o:title=""/>
            </v:shape>
            <v:shape style="position:absolute;left:6715;top:1292;width:590;height:157" type="#_x0000_t75" stroked="false">
              <v:imagedata r:id="rId347" o:title=""/>
            </v:shape>
            <v:line style="position:absolute" from="9912,656" to="10711,656" stroked="true" strokeweight=".72pt" strokecolor="#d9d9d9">
              <v:stroke dashstyle="solid"/>
            </v:line>
            <v:line style="position:absolute" from="9233,656" to="9473,656" stroked="true" strokeweight=".72pt" strokecolor="#d9d9d9">
              <v:stroke dashstyle="solid"/>
            </v:line>
            <v:line style="position:absolute" from="8554,656" to="8794,656" stroked="true" strokeweight=".72pt" strokecolor="#d9d9d9">
              <v:stroke dashstyle="solid"/>
            </v:line>
            <v:line style="position:absolute" from="7872,656" to="8114,656" stroked="true" strokeweight=".72pt" strokecolor="#d9d9d9">
              <v:stroke dashstyle="solid"/>
            </v:line>
            <v:line style="position:absolute" from="7193,656" to="7435,656" stroked="true" strokeweight=".72pt" strokecolor="#d9d9d9">
              <v:stroke dashstyle="solid"/>
            </v:line>
            <v:line style="position:absolute" from="6634,656" to="6756,656" stroked="true" strokeweight=".72pt" strokecolor="#d9d9d9">
              <v:stroke dashstyle="solid"/>
            </v:line>
            <v:line style="position:absolute" from="8554,431" to="10711,431" stroked="true" strokeweight=".72pt" strokecolor="#d9d9d9">
              <v:stroke dashstyle="solid"/>
            </v:line>
            <v:line style="position:absolute" from="7872,431" to="8114,431" stroked="true" strokeweight=".72pt" strokecolor="#d9d9d9">
              <v:stroke dashstyle="solid"/>
            </v:line>
            <v:line style="position:absolute" from="7193,431" to="7435,431" stroked="true" strokeweight=".72pt" strokecolor="#d9d9d9">
              <v:stroke dashstyle="solid"/>
            </v:line>
            <v:line style="position:absolute" from="6634,431" to="6756,431" stroked="true" strokeweight=".72pt" strokecolor="#d9d9d9">
              <v:stroke dashstyle="solid"/>
            </v:line>
            <v:line style="position:absolute" from="6634,205" to="10711,205" stroked="true" strokeweight=".72pt" strokecolor="#d9d9d9">
              <v:stroke dashstyle="solid"/>
            </v:line>
            <v:shape style="position:absolute;left:6715;top:233;width:3989;height:1202" type="#_x0000_t75" stroked="false">
              <v:imagedata r:id="rId348" o:title=""/>
            </v:shape>
            <v:shape style="position:absolute;left:6715;top:204;width:3989;height:1711" type="#_x0000_t75" stroked="false">
              <v:imagedata r:id="rId349" o:title=""/>
            </v:shape>
            <v:rect style="position:absolute;left:6756;top:1169;width:437;height:164" filled="true" fillcolor="#5b9bd4" stroked="false">
              <v:fill type="solid"/>
            </v:rect>
            <v:rect style="position:absolute;left:7435;top:958;width:437;height:375" filled="true" fillcolor="#5b9bd4" stroked="false">
              <v:fill type="solid"/>
            </v:rect>
            <v:line style="position:absolute" from="8114,1327" to="8554,1327" stroked="true" strokeweight=".6pt" strokecolor="#5b9bd4">
              <v:stroke dashstyle="solid"/>
            </v:line>
            <v:line style="position:absolute" from="8794,1327" to="9233,1327" stroked="true" strokeweight=".6pt" strokecolor="#5b9bd4">
              <v:stroke dashstyle="solid"/>
            </v:line>
            <v:line style="position:absolute" from="9473,1328" to="9912,1328" stroked="true" strokeweight=".48pt" strokecolor="#5b9bd4">
              <v:stroke dashstyle="solid"/>
            </v:line>
            <v:line style="position:absolute" from="10152,1328" to="10591,1328" stroked="true" strokeweight=".48pt" strokecolor="#5b9bd4">
              <v:stroke dashstyle="solid"/>
            </v:line>
            <v:line style="position:absolute" from="6756,1334" to="7193,1334" stroked="true" strokeweight=".12pt" strokecolor="#ec7c30">
              <v:stroke dashstyle="solid"/>
            </v:line>
            <v:rect style="position:absolute;left:6756;top:384;width:437;height:785" filled="true" fillcolor="#a4a4a4" stroked="false">
              <v:fill type="solid"/>
            </v:rect>
            <v:rect style="position:absolute;left:7435;top:274;width:437;height:684" filled="true" fillcolor="#a4a4a4" stroked="false">
              <v:fill type="solid"/>
            </v:rect>
            <v:rect style="position:absolute;left:8114;top:317;width:440;height:1004" filled="true" fillcolor="#a4a4a4" stroked="false">
              <v:fill type="solid"/>
            </v:rect>
            <v:rect style="position:absolute;left:8793;top:497;width:440;height:824" filled="true" fillcolor="#a4a4a4" stroked="false">
              <v:fill type="solid"/>
            </v:rect>
            <v:rect style="position:absolute;left:9472;top:634;width:440;height:689" filled="true" fillcolor="#a4a4a4" stroked="false">
              <v:fill type="solid"/>
            </v:rect>
            <v:rect style="position:absolute;left:10152;top:675;width:440;height:648" filled="true" fillcolor="#a4a4a4" stroked="false">
              <v:fill type="solid"/>
            </v:rect>
            <v:rect style="position:absolute;left:6756;top:209;width:437;height:176" filled="true" fillcolor="#ffc000" stroked="false">
              <v:fill type="solid"/>
            </v:rect>
            <v:rect style="position:absolute;left:7435;top:1332;width:437;height:70" filled="true" fillcolor="#ffc000" stroked="false">
              <v:fill type="solid"/>
            </v:rect>
            <v:line style="position:absolute" from="8114,1389" to="8554,1389" stroked="true" strokeweight="5.64pt" strokecolor="#ffc000">
              <v:stroke dashstyle="solid"/>
            </v:line>
            <v:rect style="position:absolute;left:8793;top:1332;width:440;height:291" filled="true" fillcolor="#ffc000" stroked="false">
              <v:fill type="solid"/>
            </v:rect>
            <v:rect style="position:absolute;left:9472;top:1332;width:440;height:428" filled="true" fillcolor="#ffc000" stroked="false">
              <v:fill type="solid"/>
            </v:rect>
            <v:rect style="position:absolute;left:10152;top:1332;width:440;height:471" filled="true" fillcolor="#ffc000" stroked="false">
              <v:fill type="solid"/>
            </v:rect>
            <v:line style="position:absolute" from="6634,2010" to="6634,205" stroked="true" strokeweight=".72pt" strokecolor="#d9d9d9">
              <v:stroke dashstyle="solid"/>
            </v:line>
            <v:line style="position:absolute" from="6634,1333" to="10711,1333" stroked="true" strokeweight=".72pt" strokecolor="#d9d9d9">
              <v:stroke dashstyle="solid"/>
            </v:line>
            <w10:wrap type="topAndBottom"/>
          </v:group>
        </w:pict>
      </w:r>
    </w:p>
    <w:p>
      <w:pPr>
        <w:spacing w:after="0"/>
        <w:rPr>
          <w:sz w:val="13"/>
        </w:rPr>
        <w:sectPr>
          <w:type w:val="continuous"/>
          <w:pgSz w:w="12240" w:h="15840"/>
          <w:pgMar w:top="1500" w:bottom="280" w:left="1140" w:right="0"/>
          <w:cols w:num="3" w:equalWidth="0">
            <w:col w:w="4723" w:space="40"/>
            <w:col w:w="622" w:space="39"/>
            <w:col w:w="5676"/>
          </w:cols>
        </w:sectPr>
      </w:pPr>
    </w:p>
    <w:p>
      <w:pPr>
        <w:spacing w:line="126" w:lineRule="exact" w:before="0"/>
        <w:ind w:left="600" w:right="0" w:firstLine="0"/>
        <w:jc w:val="left"/>
        <w:rPr>
          <w:sz w:val="12"/>
        </w:rPr>
      </w:pPr>
      <w:r>
        <w:rPr>
          <w:color w:val="585858"/>
          <w:sz w:val="12"/>
        </w:rPr>
        <w:t>-17,000.0</w:t>
      </w:r>
    </w:p>
    <w:p>
      <w:pPr>
        <w:pStyle w:val="BodyText"/>
        <w:spacing w:before="9"/>
        <w:rPr>
          <w:sz w:val="12"/>
        </w:rPr>
      </w:pPr>
    </w:p>
    <w:p>
      <w:pPr>
        <w:spacing w:before="0"/>
        <w:ind w:left="600" w:right="0" w:firstLine="0"/>
        <w:jc w:val="left"/>
        <w:rPr>
          <w:sz w:val="12"/>
        </w:rPr>
      </w:pPr>
      <w:r>
        <w:rPr>
          <w:color w:val="585858"/>
          <w:sz w:val="12"/>
        </w:rPr>
        <w:t>-20,000.0</w:t>
      </w:r>
    </w:p>
    <w:p>
      <w:pPr>
        <w:tabs>
          <w:tab w:pos="1289" w:val="left" w:leader="none"/>
          <w:tab w:pos="1969" w:val="left" w:leader="none"/>
          <w:tab w:pos="2648" w:val="left" w:leader="none"/>
          <w:tab w:pos="3328" w:val="left" w:leader="none"/>
          <w:tab w:pos="4007" w:val="left" w:leader="none"/>
        </w:tabs>
        <w:spacing w:before="45"/>
        <w:ind w:left="610" w:right="0" w:firstLine="0"/>
        <w:jc w:val="left"/>
        <w:rPr>
          <w:b/>
          <w:sz w:val="14"/>
        </w:rPr>
      </w:pPr>
      <w:r>
        <w:rPr/>
        <w:br w:type="column"/>
      </w:r>
      <w:r>
        <w:rPr>
          <w:b/>
          <w:color w:val="767070"/>
          <w:spacing w:val="18"/>
          <w:sz w:val="14"/>
        </w:rPr>
        <w:t>2022</w:t>
        <w:tab/>
        <w:t>2023</w:t>
        <w:tab/>
        <w:t>2024</w:t>
        <w:tab/>
        <w:t>2025</w:t>
        <w:tab/>
        <w:t>2026</w:t>
        <w:tab/>
        <w:t>2027</w:t>
      </w:r>
      <w:r>
        <w:rPr>
          <w:b/>
          <w:color w:val="767070"/>
          <w:spacing w:val="-11"/>
          <w:sz w:val="14"/>
        </w:rPr>
        <w:t> </w:t>
      </w:r>
    </w:p>
    <w:p>
      <w:pPr>
        <w:spacing w:before="2"/>
        <w:ind w:left="600" w:right="0" w:firstLine="0"/>
        <w:jc w:val="left"/>
        <w:rPr>
          <w:b/>
          <w:sz w:val="14"/>
        </w:rPr>
      </w:pPr>
      <w:r>
        <w:rPr>
          <w:b/>
          <w:color w:val="767070"/>
          <w:sz w:val="14"/>
        </w:rPr>
        <w:t>E S T .</w:t>
      </w:r>
    </w:p>
    <w:p>
      <w:pPr>
        <w:spacing w:after="0"/>
        <w:jc w:val="left"/>
        <w:rPr>
          <w:sz w:val="14"/>
        </w:rPr>
        <w:sectPr>
          <w:type w:val="continuous"/>
          <w:pgSz w:w="12240" w:h="15840"/>
          <w:pgMar w:top="1500" w:bottom="280" w:left="1140" w:right="0"/>
          <w:cols w:num="2" w:equalWidth="0">
            <w:col w:w="1102" w:space="3936"/>
            <w:col w:w="6062"/>
          </w:cols>
        </w:sectPr>
      </w:pPr>
    </w:p>
    <w:p>
      <w:pPr>
        <w:spacing w:before="23"/>
        <w:ind w:left="0" w:right="0" w:firstLine="0"/>
        <w:jc w:val="right"/>
        <w:rPr>
          <w:sz w:val="16"/>
        </w:rPr>
      </w:pPr>
      <w:r>
        <w:rPr>
          <w:spacing w:val="-1"/>
          <w:sz w:val="16"/>
        </w:rPr>
        <w:t>2022</w:t>
      </w:r>
    </w:p>
    <w:p>
      <w:pPr>
        <w:spacing w:before="0"/>
        <w:ind w:left="0" w:right="36" w:firstLine="0"/>
        <w:jc w:val="right"/>
        <w:rPr>
          <w:sz w:val="16"/>
        </w:rPr>
      </w:pPr>
      <w:r>
        <w:rPr>
          <w:spacing w:val="-1"/>
          <w:sz w:val="16"/>
        </w:rPr>
        <w:t>Est.</w:t>
      </w:r>
    </w:p>
    <w:p>
      <w:pPr>
        <w:spacing w:before="23"/>
        <w:ind w:left="238" w:right="0" w:firstLine="0"/>
        <w:jc w:val="left"/>
        <w:rPr>
          <w:sz w:val="16"/>
        </w:rPr>
      </w:pPr>
      <w:r>
        <w:rPr/>
        <w:br w:type="column"/>
      </w:r>
      <w:r>
        <w:rPr>
          <w:sz w:val="16"/>
        </w:rPr>
        <w:t>2023</w:t>
      </w:r>
    </w:p>
    <w:p>
      <w:pPr>
        <w:spacing w:before="0"/>
        <w:ind w:left="227" w:right="0" w:firstLine="0"/>
        <w:jc w:val="left"/>
        <w:rPr>
          <w:sz w:val="16"/>
        </w:rPr>
      </w:pPr>
      <w:r>
        <w:rPr>
          <w:spacing w:val="-1"/>
          <w:sz w:val="16"/>
        </w:rPr>
        <w:t>Proy.</w:t>
      </w:r>
    </w:p>
    <w:p>
      <w:pPr>
        <w:spacing w:before="23"/>
        <w:ind w:left="227" w:right="0" w:firstLine="0"/>
        <w:jc w:val="left"/>
        <w:rPr>
          <w:sz w:val="16"/>
        </w:rPr>
      </w:pPr>
      <w:r>
        <w:rPr/>
        <w:br w:type="column"/>
      </w:r>
      <w:r>
        <w:rPr>
          <w:sz w:val="16"/>
        </w:rPr>
        <w:t>2024</w:t>
      </w:r>
    </w:p>
    <w:p>
      <w:pPr>
        <w:spacing w:before="0"/>
        <w:ind w:left="216" w:right="0" w:firstLine="0"/>
        <w:jc w:val="left"/>
        <w:rPr>
          <w:sz w:val="16"/>
        </w:rPr>
      </w:pPr>
      <w:r>
        <w:rPr>
          <w:spacing w:val="-1"/>
          <w:sz w:val="16"/>
        </w:rPr>
        <w:t>Proy.</w:t>
      </w:r>
    </w:p>
    <w:p>
      <w:pPr>
        <w:spacing w:before="23"/>
        <w:ind w:left="227" w:right="0" w:firstLine="0"/>
        <w:jc w:val="left"/>
        <w:rPr>
          <w:sz w:val="16"/>
        </w:rPr>
      </w:pPr>
      <w:r>
        <w:rPr/>
        <w:br w:type="column"/>
      </w:r>
      <w:r>
        <w:rPr>
          <w:sz w:val="16"/>
        </w:rPr>
        <w:t>2025</w:t>
      </w:r>
    </w:p>
    <w:p>
      <w:pPr>
        <w:spacing w:before="0"/>
        <w:ind w:left="216" w:right="0" w:firstLine="0"/>
        <w:jc w:val="left"/>
        <w:rPr>
          <w:sz w:val="16"/>
        </w:rPr>
      </w:pPr>
      <w:r>
        <w:rPr>
          <w:spacing w:val="-1"/>
          <w:sz w:val="16"/>
        </w:rPr>
        <w:t>Proy.</w:t>
      </w:r>
    </w:p>
    <w:p>
      <w:pPr>
        <w:spacing w:before="23"/>
        <w:ind w:left="227" w:right="0" w:firstLine="0"/>
        <w:jc w:val="left"/>
        <w:rPr>
          <w:sz w:val="16"/>
        </w:rPr>
      </w:pPr>
      <w:r>
        <w:rPr/>
        <w:br w:type="column"/>
      </w:r>
      <w:r>
        <w:rPr>
          <w:sz w:val="16"/>
        </w:rPr>
        <w:t>2026</w:t>
      </w:r>
    </w:p>
    <w:p>
      <w:pPr>
        <w:spacing w:before="0"/>
        <w:ind w:left="216" w:right="0" w:firstLine="0"/>
        <w:jc w:val="left"/>
        <w:rPr>
          <w:sz w:val="16"/>
        </w:rPr>
      </w:pPr>
      <w:r>
        <w:rPr>
          <w:spacing w:val="-1"/>
          <w:sz w:val="16"/>
        </w:rPr>
        <w:t>Proy.</w:t>
      </w:r>
    </w:p>
    <w:p>
      <w:pPr>
        <w:spacing w:before="23"/>
        <w:ind w:left="227" w:right="0" w:firstLine="0"/>
        <w:jc w:val="left"/>
        <w:rPr>
          <w:sz w:val="16"/>
        </w:rPr>
      </w:pPr>
      <w:r>
        <w:rPr/>
        <w:br w:type="column"/>
      </w:r>
      <w:r>
        <w:rPr>
          <w:sz w:val="16"/>
        </w:rPr>
        <w:t>2027</w:t>
      </w:r>
    </w:p>
    <w:p>
      <w:pPr>
        <w:spacing w:before="0"/>
        <w:ind w:left="216" w:right="0" w:firstLine="0"/>
        <w:jc w:val="left"/>
        <w:rPr>
          <w:sz w:val="16"/>
        </w:rPr>
      </w:pPr>
      <w:r>
        <w:rPr>
          <w:spacing w:val="-1"/>
          <w:sz w:val="16"/>
        </w:rPr>
        <w:t>Proy.</w:t>
      </w:r>
    </w:p>
    <w:p>
      <w:pPr>
        <w:pStyle w:val="BodyText"/>
        <w:spacing w:before="2"/>
        <w:rPr>
          <w:sz w:val="12"/>
        </w:rPr>
      </w:pPr>
      <w:r>
        <w:rPr/>
        <w:br w:type="column"/>
      </w:r>
      <w:r>
        <w:rPr>
          <w:sz w:val="12"/>
        </w:rPr>
      </w:r>
    </w:p>
    <w:p>
      <w:pPr>
        <w:tabs>
          <w:tab w:pos="3011" w:val="left" w:leader="none"/>
        </w:tabs>
        <w:spacing w:line="206" w:lineRule="auto" w:before="0"/>
        <w:ind w:left="772" w:right="1595" w:firstLine="0"/>
        <w:jc w:val="left"/>
        <w:rPr>
          <w:sz w:val="14"/>
        </w:rPr>
      </w:pPr>
      <w:r>
        <w:rPr>
          <w:sz w:val="14"/>
        </w:rPr>
        <w:t>Financiamiento</w:t>
      </w:r>
      <w:r>
        <w:rPr>
          <w:spacing w:val="-4"/>
          <w:sz w:val="14"/>
        </w:rPr>
        <w:t> </w:t>
      </w:r>
      <w:r>
        <w:rPr>
          <w:sz w:val="14"/>
        </w:rPr>
        <w:t>Externo</w:t>
      </w:r>
      <w:r>
        <w:rPr>
          <w:spacing w:val="-1"/>
          <w:sz w:val="14"/>
        </w:rPr>
        <w:t> </w:t>
      </w:r>
      <w:r>
        <w:rPr>
          <w:sz w:val="14"/>
        </w:rPr>
        <w:t>Neto</w:t>
        <w:tab/>
        <w:t>Colocación de Bonos del</w:t>
      </w:r>
      <w:r>
        <w:rPr>
          <w:spacing w:val="-18"/>
          <w:sz w:val="14"/>
        </w:rPr>
        <w:t> </w:t>
      </w:r>
      <w:r>
        <w:rPr>
          <w:sz w:val="14"/>
        </w:rPr>
        <w:t>Tesoro Costo</w:t>
      </w:r>
      <w:r>
        <w:rPr>
          <w:spacing w:val="-3"/>
          <w:sz w:val="14"/>
        </w:rPr>
        <w:t> </w:t>
      </w:r>
      <w:r>
        <w:rPr>
          <w:sz w:val="14"/>
        </w:rPr>
        <w:t>Política</w:t>
      </w:r>
      <w:r>
        <w:rPr>
          <w:spacing w:val="-1"/>
          <w:sz w:val="14"/>
        </w:rPr>
        <w:t> </w:t>
      </w:r>
      <w:r>
        <w:rPr>
          <w:sz w:val="14"/>
        </w:rPr>
        <w:t>Monetaria</w:t>
        <w:tab/>
        <w:t>Uso de</w:t>
      </w:r>
      <w:r>
        <w:rPr>
          <w:spacing w:val="-2"/>
          <w:sz w:val="14"/>
        </w:rPr>
        <w:t> </w:t>
      </w:r>
      <w:r>
        <w:rPr>
          <w:sz w:val="14"/>
        </w:rPr>
        <w:t>caja</w:t>
      </w:r>
    </w:p>
    <w:p>
      <w:pPr>
        <w:spacing w:after="0" w:line="206" w:lineRule="auto"/>
        <w:jc w:val="left"/>
        <w:rPr>
          <w:sz w:val="14"/>
        </w:rPr>
        <w:sectPr>
          <w:type w:val="continuous"/>
          <w:pgSz w:w="12240" w:h="15840"/>
          <w:pgMar w:top="1500" w:bottom="280" w:left="1140" w:right="0"/>
          <w:cols w:num="7" w:equalWidth="0">
            <w:col w:w="1623" w:space="40"/>
            <w:col w:w="570" w:space="39"/>
            <w:col w:w="560" w:space="39"/>
            <w:col w:w="559" w:space="39"/>
            <w:col w:w="559" w:space="40"/>
            <w:col w:w="560" w:space="39"/>
            <w:col w:w="6433"/>
          </w:cols>
        </w:sectPr>
      </w:pPr>
    </w:p>
    <w:p>
      <w:pPr>
        <w:spacing w:before="2"/>
        <w:ind w:left="670" w:right="0" w:firstLine="0"/>
        <w:jc w:val="left"/>
        <w:rPr>
          <w:sz w:val="16"/>
        </w:rPr>
      </w:pPr>
      <w:r>
        <w:rPr/>
        <w:pict>
          <v:group style="position:absolute;margin-left:324pt;margin-top:-12.181235pt;width:3.5pt;height:10.45pt;mso-position-horizontal-relative:page;mso-position-vertical-relative:paragraph;z-index:253250560" coordorigin="6480,-244" coordsize="70,209">
            <v:rect style="position:absolute;left:6480;top:-244;width:70;height:70" filled="true" fillcolor="#ffc000" stroked="false">
              <v:fill type="solid"/>
            </v:rect>
            <v:rect style="position:absolute;left:6480;top:-105;width:70;height:70" filled="true" fillcolor="#ec7c30" stroked="false">
              <v:fill type="solid"/>
            </v:rect>
            <w10:wrap type="none"/>
          </v:group>
        </w:pict>
      </w:r>
      <w:r>
        <w:rPr/>
        <w:pict>
          <v:group style="position:absolute;margin-left:435.959991pt;margin-top:-12.181235pt;width:3.5pt;height:10.45pt;mso-position-horizontal-relative:page;mso-position-vertical-relative:paragraph;z-index:-280068096" coordorigin="8719,-244" coordsize="70,209">
            <v:rect style="position:absolute;left:8719;top:-244;width:70;height:70" filled="true" fillcolor="#a4a4a4" stroked="false">
              <v:fill type="solid"/>
            </v:rect>
            <v:rect style="position:absolute;left:8719;top:-105;width:70;height:70" filled="true" fillcolor="#5b9bd4" stroked="false">
              <v:fill type="solid"/>
            </v:rect>
            <w10:wrap type="none"/>
          </v:group>
        </w:pict>
      </w:r>
      <w:r>
        <w:rPr>
          <w:sz w:val="16"/>
        </w:rPr>
        <w:t>Fuente: Dirección de Análisis y Política Fiscal</w:t>
      </w:r>
    </w:p>
    <w:p>
      <w:pPr>
        <w:pStyle w:val="BodyText"/>
        <w:rPr>
          <w:sz w:val="18"/>
        </w:rPr>
      </w:pPr>
    </w:p>
    <w:p>
      <w:pPr>
        <w:pStyle w:val="BodyText"/>
        <w:spacing w:before="3"/>
        <w:rPr>
          <w:sz w:val="23"/>
        </w:rPr>
      </w:pPr>
    </w:p>
    <w:p>
      <w:pPr>
        <w:pStyle w:val="BodyText"/>
        <w:spacing w:line="276" w:lineRule="auto" w:before="1"/>
        <w:ind w:left="562" w:right="1695"/>
        <w:jc w:val="both"/>
      </w:pPr>
      <w:r>
        <w:rPr/>
        <w:t>Dado que la emisión y colocación de Bonos del Tesoro será la principal fuente financiamiento del déficit fiscal, se prevé que al menos para el 2022-2023, las condiciones financieras podrían endurecerse derivado de las presiones inflacionarias y el traslado de los aumentos de los costes a los consumidores, sobre el particular la Reserva Federal de los Estados Unidos de América ha decidido aumentar la tasa de interés, siendo una estrategia para frenar la inflación y en ese sentido las perspectivas de crecimiento económico están siendo empañadas por la incertidumbre mundial en torno a los eventos geopolíticos. El incremento que se espera, en los títulos de la FED, en 2022 es el de mayor magnitud de los últimos años, por ello las condiciones financieras para acceder a financiamiento</w:t>
      </w:r>
      <w:r>
        <w:rPr>
          <w:spacing w:val="-12"/>
        </w:rPr>
        <w:t> </w:t>
      </w:r>
      <w:r>
        <w:rPr/>
        <w:t>podrían</w:t>
      </w:r>
      <w:r>
        <w:rPr>
          <w:spacing w:val="-11"/>
        </w:rPr>
        <w:t> </w:t>
      </w:r>
      <w:r>
        <w:rPr/>
        <w:t>ser</w:t>
      </w:r>
      <w:r>
        <w:rPr>
          <w:spacing w:val="-13"/>
        </w:rPr>
        <w:t> </w:t>
      </w:r>
      <w:r>
        <w:rPr/>
        <w:t>con</w:t>
      </w:r>
      <w:r>
        <w:rPr>
          <w:spacing w:val="-11"/>
        </w:rPr>
        <w:t> </w:t>
      </w:r>
      <w:r>
        <w:rPr/>
        <w:t>mayores</w:t>
      </w:r>
      <w:r>
        <w:rPr>
          <w:spacing w:val="-11"/>
        </w:rPr>
        <w:t> </w:t>
      </w:r>
      <w:r>
        <w:rPr/>
        <w:t>tasas</w:t>
      </w:r>
      <w:r>
        <w:rPr>
          <w:spacing w:val="-11"/>
        </w:rPr>
        <w:t> </w:t>
      </w:r>
      <w:r>
        <w:rPr/>
        <w:t>de</w:t>
      </w:r>
      <w:r>
        <w:rPr>
          <w:spacing w:val="-10"/>
        </w:rPr>
        <w:t> </w:t>
      </w:r>
      <w:r>
        <w:rPr/>
        <w:t>interés</w:t>
      </w:r>
      <w:r>
        <w:rPr>
          <w:spacing w:val="-11"/>
        </w:rPr>
        <w:t> </w:t>
      </w:r>
      <w:r>
        <w:rPr/>
        <w:t>y</w:t>
      </w:r>
      <w:r>
        <w:rPr>
          <w:spacing w:val="-14"/>
        </w:rPr>
        <w:t> </w:t>
      </w:r>
      <w:r>
        <w:rPr/>
        <w:t>plazos</w:t>
      </w:r>
      <w:r>
        <w:rPr>
          <w:spacing w:val="-8"/>
        </w:rPr>
        <w:t> </w:t>
      </w:r>
      <w:r>
        <w:rPr/>
        <w:t>menores.</w:t>
      </w:r>
      <w:r>
        <w:rPr>
          <w:spacing w:val="-9"/>
        </w:rPr>
        <w:t> </w:t>
      </w:r>
      <w:r>
        <w:rPr/>
        <w:t>Esta</w:t>
      </w:r>
      <w:r>
        <w:rPr>
          <w:spacing w:val="-11"/>
        </w:rPr>
        <w:t> </w:t>
      </w:r>
      <w:r>
        <w:rPr/>
        <w:t>situación</w:t>
      </w:r>
      <w:r>
        <w:rPr>
          <w:spacing w:val="-12"/>
        </w:rPr>
        <w:t> </w:t>
      </w:r>
      <w:r>
        <w:rPr/>
        <w:t>se</w:t>
      </w:r>
      <w:r>
        <w:rPr>
          <w:spacing w:val="-10"/>
        </w:rPr>
        <w:t> </w:t>
      </w:r>
      <w:r>
        <w:rPr/>
        <w:t>replicaría ante la posibilidad de realizar colocaciones en el mercado internacional de capitales a través de Eurobonos, aunque tomando en consideración la calificación del país y la larga trayectoria de cumplimiento y de estabilidad macroeconómica, los costos financieros de estas operaciones estarían por debajo de las realizadas por otros países de la</w:t>
      </w:r>
      <w:r>
        <w:rPr>
          <w:spacing w:val="-12"/>
        </w:rPr>
        <w:t> </w:t>
      </w:r>
      <w:r>
        <w:rPr/>
        <w:t>región.</w:t>
      </w:r>
    </w:p>
    <w:p>
      <w:pPr>
        <w:spacing w:after="0" w:line="276" w:lineRule="auto"/>
        <w:jc w:val="both"/>
        <w:sectPr>
          <w:type w:val="continuous"/>
          <w:pgSz w:w="12240" w:h="15840"/>
          <w:pgMar w:top="1500" w:bottom="280" w:left="1140" w:right="0"/>
        </w:sectPr>
      </w:pPr>
    </w:p>
    <w:p>
      <w:pPr>
        <w:pStyle w:val="BodyText"/>
        <w:spacing w:line="276" w:lineRule="auto" w:before="162"/>
        <w:ind w:left="562" w:right="1693"/>
        <w:jc w:val="both"/>
      </w:pPr>
      <w:r>
        <w:rPr/>
        <w:t>Durante</w:t>
      </w:r>
      <w:r>
        <w:rPr>
          <w:spacing w:val="-3"/>
        </w:rPr>
        <w:t> </w:t>
      </w:r>
      <w:r>
        <w:rPr/>
        <w:t>2022,</w:t>
      </w:r>
      <w:r>
        <w:rPr>
          <w:spacing w:val="-4"/>
        </w:rPr>
        <w:t> </w:t>
      </w:r>
      <w:r>
        <w:rPr/>
        <w:t>se</w:t>
      </w:r>
      <w:r>
        <w:rPr>
          <w:spacing w:val="-3"/>
        </w:rPr>
        <w:t> </w:t>
      </w:r>
      <w:r>
        <w:rPr/>
        <w:t>ha</w:t>
      </w:r>
      <w:r>
        <w:rPr>
          <w:spacing w:val="-5"/>
        </w:rPr>
        <w:t> </w:t>
      </w:r>
      <w:r>
        <w:rPr/>
        <w:t>observado</w:t>
      </w:r>
      <w:r>
        <w:rPr>
          <w:spacing w:val="-3"/>
        </w:rPr>
        <w:t> </w:t>
      </w:r>
      <w:r>
        <w:rPr/>
        <w:t>que</w:t>
      </w:r>
      <w:r>
        <w:rPr>
          <w:spacing w:val="-3"/>
        </w:rPr>
        <w:t> </w:t>
      </w:r>
      <w:r>
        <w:rPr/>
        <w:t>la</w:t>
      </w:r>
      <w:r>
        <w:rPr>
          <w:spacing w:val="-3"/>
        </w:rPr>
        <w:t> </w:t>
      </w:r>
      <w:r>
        <w:rPr/>
        <w:t>tasa</w:t>
      </w:r>
      <w:r>
        <w:rPr>
          <w:spacing w:val="-5"/>
        </w:rPr>
        <w:t> </w:t>
      </w:r>
      <w:r>
        <w:rPr/>
        <w:t>se</w:t>
      </w:r>
      <w:r>
        <w:rPr>
          <w:spacing w:val="-5"/>
        </w:rPr>
        <w:t> </w:t>
      </w:r>
      <w:r>
        <w:rPr/>
        <w:t>ha</w:t>
      </w:r>
      <w:r>
        <w:rPr>
          <w:spacing w:val="-3"/>
        </w:rPr>
        <w:t> </w:t>
      </w:r>
      <w:r>
        <w:rPr/>
        <w:t>mantenido</w:t>
      </w:r>
      <w:r>
        <w:rPr>
          <w:spacing w:val="-5"/>
        </w:rPr>
        <w:t> </w:t>
      </w:r>
      <w:r>
        <w:rPr/>
        <w:t>a</w:t>
      </w:r>
      <w:r>
        <w:rPr>
          <w:spacing w:val="-3"/>
        </w:rPr>
        <w:t> </w:t>
      </w:r>
      <w:r>
        <w:rPr/>
        <w:t>un</w:t>
      </w:r>
      <w:r>
        <w:rPr>
          <w:spacing w:val="-6"/>
        </w:rPr>
        <w:t> </w:t>
      </w:r>
      <w:r>
        <w:rPr/>
        <w:t>nivel</w:t>
      </w:r>
      <w:r>
        <w:rPr>
          <w:spacing w:val="-5"/>
        </w:rPr>
        <w:t> </w:t>
      </w:r>
      <w:r>
        <w:rPr/>
        <w:t>superior</w:t>
      </w:r>
      <w:r>
        <w:rPr>
          <w:spacing w:val="-4"/>
        </w:rPr>
        <w:t> </w:t>
      </w:r>
      <w:r>
        <w:rPr/>
        <w:t>al</w:t>
      </w:r>
      <w:r>
        <w:rPr>
          <w:spacing w:val="-5"/>
        </w:rPr>
        <w:t> </w:t>
      </w:r>
      <w:r>
        <w:rPr/>
        <w:t>observado</w:t>
      </w:r>
      <w:r>
        <w:rPr>
          <w:spacing w:val="-6"/>
        </w:rPr>
        <w:t> </w:t>
      </w:r>
      <w:r>
        <w:rPr/>
        <w:t>en</w:t>
      </w:r>
      <w:r>
        <w:rPr>
          <w:spacing w:val="-2"/>
        </w:rPr>
        <w:t> </w:t>
      </w:r>
      <w:r>
        <w:rPr/>
        <w:t>2020- 2021, siendo de 6.0%. Aunque es importante recordar que durante 2020 se observó una mejora sustancial en la tasa ubicándola en 5.1%, que incluye la colocación de Q10,645.0 millones realizada con el Banco de Guatemala en el contexto del COVID-19, por ello se negociaron condiciones más favorables a los intereses del Estado. Mientras que a lo largo de 2021 se logró mantener la tasa en </w:t>
      </w:r>
      <w:r>
        <w:rPr>
          <w:spacing w:val="-3"/>
        </w:rPr>
        <w:t>el </w:t>
      </w:r>
      <w:r>
        <w:rPr/>
        <w:t>mismo nivel de 2020 derivado de un exceso de liquidez en el mercado financiero nacional y la necesidad de colocar esos recursos por parte de la</w:t>
      </w:r>
      <w:r>
        <w:rPr>
          <w:spacing w:val="-8"/>
        </w:rPr>
        <w:t> </w:t>
      </w:r>
      <w:r>
        <w:rPr/>
        <w:t>banca.</w:t>
      </w:r>
    </w:p>
    <w:p>
      <w:pPr>
        <w:pStyle w:val="BodyText"/>
        <w:spacing w:before="4"/>
        <w:rPr>
          <w:sz w:val="25"/>
        </w:rPr>
      </w:pPr>
    </w:p>
    <w:p>
      <w:pPr>
        <w:pStyle w:val="BodyText"/>
        <w:spacing w:line="276" w:lineRule="auto"/>
        <w:ind w:left="562" w:right="1691"/>
        <w:jc w:val="both"/>
      </w:pPr>
      <w:r>
        <w:rPr/>
        <w:t>En lo que respecta a préstamos externos, se tiene previsto recibir desembolsos para el período 2023- 2026,</w:t>
      </w:r>
      <w:r>
        <w:rPr>
          <w:spacing w:val="-4"/>
        </w:rPr>
        <w:t> </w:t>
      </w:r>
      <w:r>
        <w:rPr/>
        <w:t>en</w:t>
      </w:r>
      <w:r>
        <w:rPr>
          <w:spacing w:val="-4"/>
        </w:rPr>
        <w:t> </w:t>
      </w:r>
      <w:r>
        <w:rPr/>
        <w:t>el</w:t>
      </w:r>
      <w:r>
        <w:rPr>
          <w:spacing w:val="-5"/>
        </w:rPr>
        <w:t> </w:t>
      </w:r>
      <w:r>
        <w:rPr/>
        <w:t>año</w:t>
      </w:r>
      <w:r>
        <w:rPr>
          <w:spacing w:val="-3"/>
        </w:rPr>
        <w:t> </w:t>
      </w:r>
      <w:r>
        <w:rPr/>
        <w:t>2023</w:t>
      </w:r>
      <w:r>
        <w:rPr>
          <w:spacing w:val="-6"/>
        </w:rPr>
        <w:t> </w:t>
      </w:r>
      <w:r>
        <w:rPr/>
        <w:t>se</w:t>
      </w:r>
      <w:r>
        <w:rPr>
          <w:spacing w:val="-6"/>
        </w:rPr>
        <w:t> </w:t>
      </w:r>
      <w:r>
        <w:rPr/>
        <w:t>espera</w:t>
      </w:r>
      <w:r>
        <w:rPr>
          <w:spacing w:val="-6"/>
        </w:rPr>
        <w:t> </w:t>
      </w:r>
      <w:r>
        <w:rPr/>
        <w:t>recibir</w:t>
      </w:r>
      <w:r>
        <w:rPr>
          <w:spacing w:val="-5"/>
        </w:rPr>
        <w:t> </w:t>
      </w:r>
      <w:r>
        <w:rPr/>
        <w:t>el</w:t>
      </w:r>
      <w:r>
        <w:rPr>
          <w:spacing w:val="-3"/>
        </w:rPr>
        <w:t> </w:t>
      </w:r>
      <w:r>
        <w:rPr/>
        <w:t>mayor</w:t>
      </w:r>
      <w:r>
        <w:rPr>
          <w:spacing w:val="-3"/>
        </w:rPr>
        <w:t> </w:t>
      </w:r>
      <w:r>
        <w:rPr/>
        <w:t>desembolso</w:t>
      </w:r>
      <w:r>
        <w:rPr>
          <w:spacing w:val="-6"/>
        </w:rPr>
        <w:t> </w:t>
      </w:r>
      <w:r>
        <w:rPr/>
        <w:t>de</w:t>
      </w:r>
      <w:r>
        <w:rPr>
          <w:spacing w:val="-6"/>
        </w:rPr>
        <w:t> </w:t>
      </w:r>
      <w:r>
        <w:rPr/>
        <w:t>préstamos</w:t>
      </w:r>
      <w:r>
        <w:rPr>
          <w:spacing w:val="-3"/>
        </w:rPr>
        <w:t> </w:t>
      </w:r>
      <w:r>
        <w:rPr/>
        <w:t>externos</w:t>
      </w:r>
      <w:r>
        <w:rPr>
          <w:spacing w:val="-6"/>
        </w:rPr>
        <w:t> </w:t>
      </w:r>
      <w:r>
        <w:rPr/>
        <w:t>por</w:t>
      </w:r>
      <w:r>
        <w:rPr>
          <w:spacing w:val="-5"/>
        </w:rPr>
        <w:t> </w:t>
      </w:r>
      <w:r>
        <w:rPr/>
        <w:t>el</w:t>
      </w:r>
      <w:r>
        <w:rPr>
          <w:spacing w:val="-5"/>
        </w:rPr>
        <w:t> </w:t>
      </w:r>
      <w:r>
        <w:rPr/>
        <w:t>equivalente a Q3,096.7 millones, de los cuales Q1,402.1 millones podrían ser desembolsados por el Banco Centroamericano de Integración Económica (BCIE), siendo el préstamo más significativo correspondiente al Programa de Inversión y Modernización para el Sector Justicia por Q862.0 millones, seguido del Programa de Inversión en Infraestructura y Equipamiento Hospitalario por Q461.8 millones y del Proyecto Vial Franja Transversal del Norte por Q78.3</w:t>
      </w:r>
      <w:r>
        <w:rPr>
          <w:spacing w:val="-16"/>
        </w:rPr>
        <w:t> </w:t>
      </w:r>
      <w:r>
        <w:rPr/>
        <w:t>millones.</w:t>
      </w:r>
    </w:p>
    <w:p>
      <w:pPr>
        <w:pStyle w:val="BodyText"/>
        <w:spacing w:before="2"/>
        <w:rPr>
          <w:sz w:val="25"/>
        </w:rPr>
      </w:pPr>
    </w:p>
    <w:p>
      <w:pPr>
        <w:pStyle w:val="BodyText"/>
        <w:spacing w:line="276" w:lineRule="auto" w:before="1"/>
        <w:ind w:left="562" w:right="1695"/>
        <w:jc w:val="both"/>
      </w:pPr>
      <w:r>
        <w:rPr/>
        <w:t>Por parte del Banco Interamericano de Desarrollo (BID) se espera recibir desembolsos por Q1,317.8 millones, siendo el más importante el del Programa para el Mejoramiento de la Cobertura y Calidad Educativa por Q525.0 millones; del Banco Internacional de Reconstrucción y Fomento (BIRF) se espera recibir Q365.1 millones correspondientes al préstamo Crecer Sano: Proyecto de Nutrición y Salud en Guatemala, del Organismo alemán Kreditanstalt Fur Wiederaufbau se recibirían Q9.3 millones</w:t>
      </w:r>
      <w:r>
        <w:rPr>
          <w:spacing w:val="-3"/>
        </w:rPr>
        <w:t> </w:t>
      </w:r>
      <w:r>
        <w:rPr/>
        <w:t>por</w:t>
      </w:r>
      <w:r>
        <w:rPr>
          <w:spacing w:val="-3"/>
        </w:rPr>
        <w:t> </w:t>
      </w:r>
      <w:r>
        <w:rPr/>
        <w:t>el</w:t>
      </w:r>
      <w:r>
        <w:rPr>
          <w:spacing w:val="-3"/>
        </w:rPr>
        <w:t> </w:t>
      </w:r>
      <w:r>
        <w:rPr/>
        <w:t>Proyecto</w:t>
      </w:r>
      <w:r>
        <w:rPr>
          <w:spacing w:val="-3"/>
        </w:rPr>
        <w:t> </w:t>
      </w:r>
      <w:r>
        <w:rPr/>
        <w:t>de</w:t>
      </w:r>
      <w:r>
        <w:rPr>
          <w:spacing w:val="-6"/>
        </w:rPr>
        <w:t> </w:t>
      </w:r>
      <w:r>
        <w:rPr/>
        <w:t>Educación</w:t>
      </w:r>
      <w:r>
        <w:rPr>
          <w:spacing w:val="-4"/>
        </w:rPr>
        <w:t> </w:t>
      </w:r>
      <w:r>
        <w:rPr/>
        <w:t>Rural</w:t>
      </w:r>
      <w:r>
        <w:rPr>
          <w:spacing w:val="-2"/>
        </w:rPr>
        <w:t> </w:t>
      </w:r>
      <w:r>
        <w:rPr/>
        <w:t>V</w:t>
      </w:r>
      <w:r>
        <w:rPr>
          <w:spacing w:val="-3"/>
        </w:rPr>
        <w:t> </w:t>
      </w:r>
      <w:r>
        <w:rPr/>
        <w:t>(PROEDUC</w:t>
      </w:r>
      <w:r>
        <w:rPr>
          <w:spacing w:val="-5"/>
        </w:rPr>
        <w:t> </w:t>
      </w:r>
      <w:r>
        <w:rPr/>
        <w:t>V)</w:t>
      </w:r>
      <w:r>
        <w:rPr>
          <w:spacing w:val="-3"/>
        </w:rPr>
        <w:t> </w:t>
      </w:r>
      <w:r>
        <w:rPr/>
        <w:t>y</w:t>
      </w:r>
      <w:r>
        <w:rPr>
          <w:spacing w:val="-5"/>
        </w:rPr>
        <w:t> </w:t>
      </w:r>
      <w:r>
        <w:rPr/>
        <w:t>por</w:t>
      </w:r>
      <w:r>
        <w:rPr>
          <w:spacing w:val="-3"/>
        </w:rPr>
        <w:t> </w:t>
      </w:r>
      <w:r>
        <w:rPr/>
        <w:t>último</w:t>
      </w:r>
      <w:r>
        <w:rPr>
          <w:spacing w:val="-4"/>
        </w:rPr>
        <w:t> </w:t>
      </w:r>
      <w:r>
        <w:rPr/>
        <w:t>de</w:t>
      </w:r>
      <w:r>
        <w:rPr>
          <w:spacing w:val="2"/>
        </w:rPr>
        <w:t> </w:t>
      </w:r>
      <w:r>
        <w:rPr/>
        <w:t>la</w:t>
      </w:r>
      <w:r>
        <w:rPr>
          <w:spacing w:val="-2"/>
        </w:rPr>
        <w:t> </w:t>
      </w:r>
      <w:r>
        <w:rPr/>
        <w:t>Agencia</w:t>
      </w:r>
      <w:r>
        <w:rPr>
          <w:spacing w:val="-6"/>
        </w:rPr>
        <w:t> </w:t>
      </w:r>
      <w:r>
        <w:rPr/>
        <w:t>Japonesa de Cooperación Internacional se recibirían Q2.5 millones por el Programa de Mejoramiento </w:t>
      </w:r>
      <w:r>
        <w:rPr>
          <w:spacing w:val="-3"/>
        </w:rPr>
        <w:t>de  </w:t>
      </w:r>
      <w:r>
        <w:rPr/>
        <w:t>Carreteras en</w:t>
      </w:r>
      <w:r>
        <w:rPr>
          <w:spacing w:val="-3"/>
        </w:rPr>
        <w:t> </w:t>
      </w:r>
      <w:r>
        <w:rPr/>
        <w:t>Zonapaz.</w:t>
      </w:r>
    </w:p>
    <w:p>
      <w:pPr>
        <w:pStyle w:val="BodyText"/>
        <w:spacing w:before="3"/>
        <w:rPr>
          <w:sz w:val="25"/>
        </w:rPr>
      </w:pPr>
    </w:p>
    <w:p>
      <w:pPr>
        <w:pStyle w:val="BodyText"/>
        <w:spacing w:line="276" w:lineRule="auto" w:before="1"/>
        <w:ind w:left="562" w:right="1695"/>
        <w:jc w:val="both"/>
      </w:pPr>
      <w:r>
        <w:rPr/>
        <w:t>Asimismo, se prevé que para 2024 se puedan recibir desembolsos de préstamos por Q2,128.4 millones, en 2025 los desembolsos ascenderían a Q510.2 millones, en 2026 a Q261.7 millones y en 2027 de acuerdo a la programación no se espera recibir desembolsos, situación que podría cambiar en función de los préstamos que sean aprobados por el Congreso de la República.</w:t>
      </w:r>
    </w:p>
    <w:p>
      <w:pPr>
        <w:pStyle w:val="Heading3"/>
        <w:spacing w:line="276" w:lineRule="auto" w:before="5"/>
        <w:ind w:left="2026" w:right="3163"/>
        <w:jc w:val="center"/>
      </w:pPr>
      <w:bookmarkStart w:name="_bookmark226" w:id="293"/>
      <w:bookmarkEnd w:id="293"/>
      <w:r>
        <w:rPr>
          <w:b w:val="0"/>
        </w:rPr>
      </w:r>
      <w:r>
        <w:rPr>
          <w:i/>
          <w:sz w:val="20"/>
        </w:rPr>
        <w:t>Gráfico 111. </w:t>
      </w:r>
      <w:r>
        <w:rPr/>
        <w:t>Proyección de Desembolsos de Préstamos Externos 2023-2027</w:t>
      </w:r>
    </w:p>
    <w:p>
      <w:pPr>
        <w:pStyle w:val="BodyText"/>
        <w:spacing w:line="250" w:lineRule="exact" w:after="60"/>
        <w:ind w:left="1395" w:right="2531"/>
        <w:jc w:val="center"/>
      </w:pPr>
      <w:r>
        <w:rPr/>
        <w:t>Cifras en millones de dólares</w:t>
      </w:r>
    </w:p>
    <w:tbl>
      <w:tblPr>
        <w:tblW w:w="0" w:type="auto"/>
        <w:jc w:val="left"/>
        <w:tblInd w:w="4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60"/>
        <w:gridCol w:w="657"/>
        <w:gridCol w:w="3681"/>
        <w:gridCol w:w="657"/>
        <w:gridCol w:w="657"/>
        <w:gridCol w:w="657"/>
        <w:gridCol w:w="657"/>
        <w:gridCol w:w="653"/>
      </w:tblGrid>
      <w:tr>
        <w:trPr>
          <w:trHeight w:val="255" w:hRule="atLeast"/>
        </w:trPr>
        <w:tc>
          <w:tcPr>
            <w:tcW w:w="1360" w:type="dxa"/>
            <w:tcBorders>
              <w:right w:val="single" w:sz="4" w:space="0" w:color="000000"/>
            </w:tcBorders>
            <w:shd w:val="clear" w:color="auto" w:fill="2E75B5"/>
          </w:tcPr>
          <w:p>
            <w:pPr>
              <w:pStyle w:val="TableParagraph"/>
              <w:spacing w:before="58"/>
              <w:ind w:left="88"/>
              <w:rPr>
                <w:b/>
                <w:sz w:val="13"/>
              </w:rPr>
            </w:pPr>
            <w:r>
              <w:rPr>
                <w:b/>
                <w:color w:val="FFFFFF"/>
                <w:w w:val="95"/>
                <w:sz w:val="13"/>
              </w:rPr>
              <w:t>Organismo Financiero</w:t>
            </w:r>
          </w:p>
        </w:tc>
        <w:tc>
          <w:tcPr>
            <w:tcW w:w="657" w:type="dxa"/>
            <w:tcBorders>
              <w:left w:val="single" w:sz="4" w:space="0" w:color="000000"/>
              <w:right w:val="single" w:sz="4" w:space="0" w:color="000000"/>
            </w:tcBorders>
            <w:shd w:val="clear" w:color="auto" w:fill="2E75B5"/>
          </w:tcPr>
          <w:p>
            <w:pPr>
              <w:pStyle w:val="TableParagraph"/>
              <w:spacing w:before="58"/>
              <w:ind w:left="81" w:right="97"/>
              <w:jc w:val="center"/>
              <w:rPr>
                <w:b/>
                <w:sz w:val="13"/>
              </w:rPr>
            </w:pPr>
            <w:r>
              <w:rPr>
                <w:b/>
                <w:color w:val="FFFFFF"/>
                <w:sz w:val="13"/>
              </w:rPr>
              <w:t>No.</w:t>
            </w:r>
          </w:p>
        </w:tc>
        <w:tc>
          <w:tcPr>
            <w:tcW w:w="3681" w:type="dxa"/>
            <w:tcBorders>
              <w:left w:val="single" w:sz="4" w:space="0" w:color="000000"/>
              <w:right w:val="single" w:sz="4" w:space="0" w:color="000000"/>
            </w:tcBorders>
            <w:shd w:val="clear" w:color="auto" w:fill="2E75B5"/>
          </w:tcPr>
          <w:p>
            <w:pPr>
              <w:pStyle w:val="TableParagraph"/>
              <w:spacing w:before="58"/>
              <w:ind w:left="1249" w:right="1242"/>
              <w:jc w:val="center"/>
              <w:rPr>
                <w:b/>
                <w:sz w:val="13"/>
              </w:rPr>
            </w:pPr>
            <w:r>
              <w:rPr>
                <w:b/>
                <w:color w:val="FFFFFF"/>
                <w:sz w:val="13"/>
              </w:rPr>
              <w:t>Préstamos</w:t>
            </w:r>
          </w:p>
        </w:tc>
        <w:tc>
          <w:tcPr>
            <w:tcW w:w="657" w:type="dxa"/>
            <w:tcBorders>
              <w:left w:val="single" w:sz="4" w:space="0" w:color="000000"/>
              <w:right w:val="single" w:sz="4" w:space="0" w:color="000000"/>
            </w:tcBorders>
            <w:shd w:val="clear" w:color="auto" w:fill="2E75B5"/>
          </w:tcPr>
          <w:p>
            <w:pPr>
              <w:pStyle w:val="TableParagraph"/>
              <w:spacing w:before="58"/>
              <w:ind w:left="119" w:right="92"/>
              <w:jc w:val="center"/>
              <w:rPr>
                <w:b/>
                <w:sz w:val="13"/>
              </w:rPr>
            </w:pPr>
            <w:r>
              <w:rPr>
                <w:b/>
                <w:color w:val="FFFFFF"/>
                <w:sz w:val="13"/>
              </w:rPr>
              <w:t>2023</w:t>
            </w:r>
          </w:p>
        </w:tc>
        <w:tc>
          <w:tcPr>
            <w:tcW w:w="657" w:type="dxa"/>
            <w:tcBorders>
              <w:left w:val="single" w:sz="4" w:space="0" w:color="000000"/>
              <w:right w:val="single" w:sz="4" w:space="0" w:color="000000"/>
            </w:tcBorders>
            <w:shd w:val="clear" w:color="auto" w:fill="2E75B5"/>
          </w:tcPr>
          <w:p>
            <w:pPr>
              <w:pStyle w:val="TableParagraph"/>
              <w:spacing w:before="58"/>
              <w:ind w:left="119" w:right="91"/>
              <w:jc w:val="center"/>
              <w:rPr>
                <w:b/>
                <w:sz w:val="13"/>
              </w:rPr>
            </w:pPr>
            <w:r>
              <w:rPr>
                <w:b/>
                <w:color w:val="FFFFFF"/>
                <w:sz w:val="13"/>
              </w:rPr>
              <w:t>2024</w:t>
            </w:r>
          </w:p>
        </w:tc>
        <w:tc>
          <w:tcPr>
            <w:tcW w:w="657" w:type="dxa"/>
            <w:tcBorders>
              <w:left w:val="single" w:sz="4" w:space="0" w:color="000000"/>
              <w:right w:val="single" w:sz="4" w:space="0" w:color="000000"/>
            </w:tcBorders>
            <w:shd w:val="clear" w:color="auto" w:fill="2E75B5"/>
          </w:tcPr>
          <w:p>
            <w:pPr>
              <w:pStyle w:val="TableParagraph"/>
              <w:spacing w:before="58"/>
              <w:ind w:left="119" w:right="91"/>
              <w:jc w:val="center"/>
              <w:rPr>
                <w:b/>
                <w:sz w:val="13"/>
              </w:rPr>
            </w:pPr>
            <w:r>
              <w:rPr>
                <w:b/>
                <w:color w:val="FFFFFF"/>
                <w:sz w:val="13"/>
              </w:rPr>
              <w:t>2025</w:t>
            </w:r>
          </w:p>
        </w:tc>
        <w:tc>
          <w:tcPr>
            <w:tcW w:w="657" w:type="dxa"/>
            <w:tcBorders>
              <w:left w:val="single" w:sz="4" w:space="0" w:color="000000"/>
              <w:right w:val="single" w:sz="4" w:space="0" w:color="000000"/>
            </w:tcBorders>
            <w:shd w:val="clear" w:color="auto" w:fill="2E75B5"/>
          </w:tcPr>
          <w:p>
            <w:pPr>
              <w:pStyle w:val="TableParagraph"/>
              <w:spacing w:before="58"/>
              <w:ind w:right="175"/>
              <w:jc w:val="right"/>
              <w:rPr>
                <w:b/>
                <w:sz w:val="13"/>
              </w:rPr>
            </w:pPr>
            <w:r>
              <w:rPr>
                <w:b/>
                <w:color w:val="FFFFFF"/>
                <w:w w:val="90"/>
                <w:sz w:val="13"/>
              </w:rPr>
              <w:t>2026</w:t>
            </w:r>
          </w:p>
        </w:tc>
        <w:tc>
          <w:tcPr>
            <w:tcW w:w="653" w:type="dxa"/>
            <w:tcBorders>
              <w:left w:val="single" w:sz="4" w:space="0" w:color="000000"/>
            </w:tcBorders>
            <w:shd w:val="clear" w:color="auto" w:fill="2E75B5"/>
          </w:tcPr>
          <w:p>
            <w:pPr>
              <w:pStyle w:val="TableParagraph"/>
              <w:spacing w:before="58"/>
              <w:ind w:left="188" w:right="149"/>
              <w:jc w:val="center"/>
              <w:rPr>
                <w:b/>
                <w:sz w:val="13"/>
              </w:rPr>
            </w:pPr>
            <w:r>
              <w:rPr>
                <w:b/>
                <w:color w:val="FFFFFF"/>
                <w:sz w:val="13"/>
              </w:rPr>
              <w:t>2027</w:t>
            </w:r>
          </w:p>
        </w:tc>
      </w:tr>
      <w:tr>
        <w:trPr>
          <w:trHeight w:val="161" w:hRule="atLeast"/>
        </w:trPr>
        <w:tc>
          <w:tcPr>
            <w:tcW w:w="1360" w:type="dxa"/>
            <w:tcBorders>
              <w:right w:val="single" w:sz="4" w:space="0" w:color="000000"/>
            </w:tcBorders>
          </w:tcPr>
          <w:p>
            <w:pPr>
              <w:pStyle w:val="TableParagraph"/>
              <w:rPr>
                <w:sz w:val="10"/>
              </w:rPr>
            </w:pPr>
          </w:p>
        </w:tc>
        <w:tc>
          <w:tcPr>
            <w:tcW w:w="657" w:type="dxa"/>
            <w:tcBorders>
              <w:left w:val="single" w:sz="4" w:space="0" w:color="000000"/>
              <w:right w:val="single" w:sz="4" w:space="0" w:color="000000"/>
            </w:tcBorders>
          </w:tcPr>
          <w:p>
            <w:pPr>
              <w:pStyle w:val="TableParagraph"/>
              <w:rPr>
                <w:sz w:val="10"/>
              </w:rPr>
            </w:pPr>
          </w:p>
        </w:tc>
        <w:tc>
          <w:tcPr>
            <w:tcW w:w="3681" w:type="dxa"/>
            <w:tcBorders>
              <w:left w:val="single" w:sz="4" w:space="0" w:color="000000"/>
              <w:right w:val="single" w:sz="4" w:space="0" w:color="000000"/>
            </w:tcBorders>
          </w:tcPr>
          <w:p>
            <w:pPr>
              <w:pStyle w:val="TableParagraph"/>
              <w:spacing w:line="134" w:lineRule="exact" w:before="7"/>
              <w:ind w:left="1258" w:right="1242"/>
              <w:jc w:val="center"/>
              <w:rPr>
                <w:b/>
                <w:sz w:val="13"/>
              </w:rPr>
            </w:pPr>
            <w:r>
              <w:rPr>
                <w:b/>
                <w:sz w:val="13"/>
              </w:rPr>
              <w:t>TOTAL GENERAL</w:t>
            </w:r>
          </w:p>
        </w:tc>
        <w:tc>
          <w:tcPr>
            <w:tcW w:w="657" w:type="dxa"/>
            <w:tcBorders>
              <w:left w:val="single" w:sz="4" w:space="0" w:color="000000"/>
              <w:right w:val="single" w:sz="4" w:space="0" w:color="000000"/>
            </w:tcBorders>
          </w:tcPr>
          <w:p>
            <w:pPr>
              <w:pStyle w:val="TableParagraph"/>
              <w:spacing w:line="134" w:lineRule="exact" w:before="7"/>
              <w:ind w:left="119" w:right="97"/>
              <w:jc w:val="center"/>
              <w:rPr>
                <w:b/>
                <w:sz w:val="13"/>
              </w:rPr>
            </w:pPr>
            <w:r>
              <w:rPr>
                <w:b/>
                <w:sz w:val="13"/>
              </w:rPr>
              <w:t>3,096.7</w:t>
            </w:r>
          </w:p>
        </w:tc>
        <w:tc>
          <w:tcPr>
            <w:tcW w:w="657" w:type="dxa"/>
            <w:tcBorders>
              <w:left w:val="single" w:sz="4" w:space="0" w:color="000000"/>
              <w:right w:val="single" w:sz="4" w:space="0" w:color="000000"/>
            </w:tcBorders>
          </w:tcPr>
          <w:p>
            <w:pPr>
              <w:pStyle w:val="TableParagraph"/>
              <w:spacing w:line="134" w:lineRule="exact" w:before="7"/>
              <w:ind w:left="119" w:right="96"/>
              <w:jc w:val="center"/>
              <w:rPr>
                <w:b/>
                <w:sz w:val="13"/>
              </w:rPr>
            </w:pPr>
            <w:r>
              <w:rPr>
                <w:b/>
                <w:sz w:val="13"/>
              </w:rPr>
              <w:t>2,128.4</w:t>
            </w:r>
          </w:p>
        </w:tc>
        <w:tc>
          <w:tcPr>
            <w:tcW w:w="657" w:type="dxa"/>
            <w:tcBorders>
              <w:left w:val="single" w:sz="4" w:space="0" w:color="000000"/>
              <w:right w:val="single" w:sz="4" w:space="0" w:color="000000"/>
            </w:tcBorders>
          </w:tcPr>
          <w:p>
            <w:pPr>
              <w:pStyle w:val="TableParagraph"/>
              <w:spacing w:line="134" w:lineRule="exact" w:before="7"/>
              <w:ind w:left="119" w:right="95"/>
              <w:jc w:val="center"/>
              <w:rPr>
                <w:b/>
                <w:sz w:val="13"/>
              </w:rPr>
            </w:pPr>
            <w:r>
              <w:rPr>
                <w:b/>
                <w:sz w:val="13"/>
              </w:rPr>
              <w:t>510.2</w:t>
            </w:r>
          </w:p>
        </w:tc>
        <w:tc>
          <w:tcPr>
            <w:tcW w:w="657" w:type="dxa"/>
            <w:tcBorders>
              <w:left w:val="single" w:sz="4" w:space="0" w:color="000000"/>
              <w:right w:val="single" w:sz="4" w:space="0" w:color="000000"/>
            </w:tcBorders>
          </w:tcPr>
          <w:p>
            <w:pPr>
              <w:pStyle w:val="TableParagraph"/>
              <w:spacing w:line="134" w:lineRule="exact" w:before="7"/>
              <w:ind w:right="163"/>
              <w:jc w:val="right"/>
              <w:rPr>
                <w:b/>
                <w:sz w:val="13"/>
              </w:rPr>
            </w:pPr>
            <w:r>
              <w:rPr>
                <w:b/>
                <w:w w:val="95"/>
                <w:sz w:val="13"/>
              </w:rPr>
              <w:t>261.7</w:t>
            </w:r>
          </w:p>
        </w:tc>
        <w:tc>
          <w:tcPr>
            <w:tcW w:w="653" w:type="dxa"/>
            <w:tcBorders>
              <w:left w:val="single" w:sz="4" w:space="0" w:color="000000"/>
            </w:tcBorders>
          </w:tcPr>
          <w:p>
            <w:pPr>
              <w:pStyle w:val="TableParagraph"/>
              <w:spacing w:line="134" w:lineRule="exact" w:before="7"/>
              <w:ind w:left="184" w:right="149"/>
              <w:jc w:val="center"/>
              <w:rPr>
                <w:b/>
                <w:sz w:val="13"/>
              </w:rPr>
            </w:pPr>
            <w:r>
              <w:rPr>
                <w:b/>
                <w:sz w:val="13"/>
              </w:rPr>
              <w:t>0.0</w:t>
            </w:r>
          </w:p>
        </w:tc>
      </w:tr>
      <w:tr>
        <w:trPr>
          <w:trHeight w:val="506" w:hRule="atLeast"/>
        </w:trPr>
        <w:tc>
          <w:tcPr>
            <w:tcW w:w="1360" w:type="dxa"/>
            <w:tcBorders>
              <w:right w:val="single" w:sz="4" w:space="0" w:color="000000"/>
            </w:tcBorders>
          </w:tcPr>
          <w:p>
            <w:pPr>
              <w:pStyle w:val="TableParagraph"/>
              <w:spacing w:line="164" w:lineRule="exact" w:before="5"/>
              <w:ind w:left="30" w:right="18"/>
              <w:jc w:val="center"/>
              <w:rPr>
                <w:b/>
                <w:sz w:val="13"/>
              </w:rPr>
            </w:pPr>
            <w:r>
              <w:rPr>
                <w:b/>
                <w:w w:val="95"/>
                <w:sz w:val="13"/>
              </w:rPr>
              <w:t>Banco Centroamericano </w:t>
            </w:r>
            <w:r>
              <w:rPr>
                <w:b/>
                <w:sz w:val="13"/>
              </w:rPr>
              <w:t>de Integracion Economica (BCIE)</w:t>
            </w:r>
          </w:p>
        </w:tc>
        <w:tc>
          <w:tcPr>
            <w:tcW w:w="657" w:type="dxa"/>
            <w:tcBorders>
              <w:left w:val="single" w:sz="4" w:space="0" w:color="000000"/>
              <w:right w:val="single" w:sz="4" w:space="0" w:color="000000"/>
            </w:tcBorders>
          </w:tcPr>
          <w:p>
            <w:pPr>
              <w:pStyle w:val="TableParagraph"/>
              <w:spacing w:before="6"/>
              <w:ind w:left="21"/>
              <w:jc w:val="center"/>
              <w:rPr>
                <w:sz w:val="13"/>
              </w:rPr>
            </w:pPr>
            <w:r>
              <w:rPr>
                <w:w w:val="94"/>
                <w:sz w:val="13"/>
              </w:rPr>
              <w:t>1</w:t>
            </w:r>
          </w:p>
          <w:p>
            <w:pPr>
              <w:pStyle w:val="TableParagraph"/>
              <w:spacing w:before="23"/>
              <w:ind w:left="21"/>
              <w:jc w:val="center"/>
              <w:rPr>
                <w:sz w:val="13"/>
              </w:rPr>
            </w:pPr>
            <w:r>
              <w:rPr>
                <w:w w:val="94"/>
                <w:sz w:val="13"/>
              </w:rPr>
              <w:t>2</w:t>
            </w:r>
          </w:p>
          <w:p>
            <w:pPr>
              <w:pStyle w:val="TableParagraph"/>
              <w:spacing w:line="135" w:lineRule="exact" w:before="23"/>
              <w:ind w:left="21"/>
              <w:jc w:val="center"/>
              <w:rPr>
                <w:sz w:val="13"/>
              </w:rPr>
            </w:pPr>
            <w:r>
              <w:rPr>
                <w:w w:val="94"/>
                <w:sz w:val="13"/>
              </w:rPr>
              <w:t>3</w:t>
            </w:r>
          </w:p>
        </w:tc>
        <w:tc>
          <w:tcPr>
            <w:tcW w:w="3681" w:type="dxa"/>
            <w:tcBorders>
              <w:left w:val="single" w:sz="4" w:space="0" w:color="000000"/>
              <w:right w:val="single" w:sz="4" w:space="0" w:color="000000"/>
            </w:tcBorders>
          </w:tcPr>
          <w:p>
            <w:pPr>
              <w:pStyle w:val="TableParagraph"/>
              <w:spacing w:before="6"/>
              <w:ind w:left="24"/>
              <w:rPr>
                <w:sz w:val="13"/>
              </w:rPr>
            </w:pPr>
            <w:r>
              <w:rPr>
                <w:sz w:val="13"/>
              </w:rPr>
              <w:t>Proyecto Vial Franja Transversal del Norte</w:t>
            </w:r>
          </w:p>
          <w:p>
            <w:pPr>
              <w:pStyle w:val="TableParagraph"/>
              <w:spacing w:line="170" w:lineRule="atLeast" w:before="3"/>
              <w:ind w:left="24" w:right="84"/>
              <w:rPr>
                <w:sz w:val="13"/>
              </w:rPr>
            </w:pPr>
            <w:r>
              <w:rPr>
                <w:sz w:val="13"/>
              </w:rPr>
              <w:t>Programa </w:t>
            </w:r>
            <w:r>
              <w:rPr>
                <w:spacing w:val="-3"/>
                <w:sz w:val="13"/>
              </w:rPr>
              <w:t>de Inversión </w:t>
            </w:r>
            <w:r>
              <w:rPr>
                <w:sz w:val="13"/>
              </w:rPr>
              <w:t>y </w:t>
            </w:r>
            <w:r>
              <w:rPr>
                <w:spacing w:val="-4"/>
                <w:sz w:val="13"/>
              </w:rPr>
              <w:t>Modernización </w:t>
            </w:r>
            <w:r>
              <w:rPr>
                <w:sz w:val="13"/>
              </w:rPr>
              <w:t>para el Sector </w:t>
            </w:r>
            <w:r>
              <w:rPr>
                <w:spacing w:val="-3"/>
                <w:sz w:val="13"/>
              </w:rPr>
              <w:t>Justicia </w:t>
            </w:r>
            <w:r>
              <w:rPr>
                <w:w w:val="95"/>
                <w:sz w:val="13"/>
              </w:rPr>
              <w:t>Programa </w:t>
            </w:r>
            <w:r>
              <w:rPr>
                <w:spacing w:val="-3"/>
                <w:w w:val="95"/>
                <w:sz w:val="13"/>
              </w:rPr>
              <w:t>de Inversión </w:t>
            </w:r>
            <w:r>
              <w:rPr>
                <w:w w:val="95"/>
                <w:sz w:val="13"/>
              </w:rPr>
              <w:t>en Infraestructura y </w:t>
            </w:r>
            <w:r>
              <w:rPr>
                <w:spacing w:val="-4"/>
                <w:w w:val="95"/>
                <w:sz w:val="13"/>
              </w:rPr>
              <w:t>Equipamiento </w:t>
            </w:r>
            <w:r>
              <w:rPr>
                <w:spacing w:val="-3"/>
                <w:w w:val="95"/>
                <w:sz w:val="13"/>
              </w:rPr>
              <w:t>Hospitalario</w:t>
            </w:r>
          </w:p>
        </w:tc>
        <w:tc>
          <w:tcPr>
            <w:tcW w:w="657" w:type="dxa"/>
            <w:tcBorders>
              <w:left w:val="single" w:sz="4" w:space="0" w:color="000000"/>
              <w:right w:val="single" w:sz="4" w:space="0" w:color="000000"/>
            </w:tcBorders>
          </w:tcPr>
          <w:p>
            <w:pPr>
              <w:pStyle w:val="TableParagraph"/>
              <w:spacing w:before="6"/>
              <w:ind w:left="230"/>
              <w:rPr>
                <w:sz w:val="13"/>
              </w:rPr>
            </w:pPr>
            <w:r>
              <w:rPr>
                <w:spacing w:val="-3"/>
                <w:sz w:val="13"/>
              </w:rPr>
              <w:t>78.3</w:t>
            </w:r>
          </w:p>
          <w:p>
            <w:pPr>
              <w:pStyle w:val="TableParagraph"/>
              <w:spacing w:before="23"/>
              <w:ind w:left="205"/>
              <w:rPr>
                <w:sz w:val="13"/>
              </w:rPr>
            </w:pPr>
            <w:r>
              <w:rPr>
                <w:spacing w:val="-3"/>
                <w:sz w:val="13"/>
              </w:rPr>
              <w:t>862.0</w:t>
            </w:r>
          </w:p>
          <w:p>
            <w:pPr>
              <w:pStyle w:val="TableParagraph"/>
              <w:spacing w:line="135" w:lineRule="exact" w:before="23"/>
              <w:ind w:left="205"/>
              <w:rPr>
                <w:sz w:val="13"/>
              </w:rPr>
            </w:pPr>
            <w:r>
              <w:rPr>
                <w:spacing w:val="-3"/>
                <w:sz w:val="13"/>
              </w:rPr>
              <w:t>461.8</w:t>
            </w:r>
          </w:p>
        </w:tc>
        <w:tc>
          <w:tcPr>
            <w:tcW w:w="657" w:type="dxa"/>
            <w:tcBorders>
              <w:left w:val="single" w:sz="4" w:space="0" w:color="000000"/>
              <w:right w:val="single" w:sz="4" w:space="0" w:color="000000"/>
            </w:tcBorders>
          </w:tcPr>
          <w:p>
            <w:pPr>
              <w:pStyle w:val="TableParagraph"/>
              <w:spacing w:before="6"/>
              <w:ind w:left="119" w:right="87"/>
              <w:jc w:val="center"/>
              <w:rPr>
                <w:sz w:val="13"/>
              </w:rPr>
            </w:pPr>
            <w:r>
              <w:rPr>
                <w:sz w:val="13"/>
              </w:rPr>
              <w:t>0.0</w:t>
            </w:r>
          </w:p>
          <w:p>
            <w:pPr>
              <w:pStyle w:val="TableParagraph"/>
              <w:spacing w:before="23"/>
              <w:ind w:left="119" w:right="87"/>
              <w:jc w:val="center"/>
              <w:rPr>
                <w:sz w:val="13"/>
              </w:rPr>
            </w:pPr>
            <w:r>
              <w:rPr>
                <w:spacing w:val="-3"/>
                <w:sz w:val="13"/>
              </w:rPr>
              <w:t>445.1</w:t>
            </w:r>
          </w:p>
          <w:p>
            <w:pPr>
              <w:pStyle w:val="TableParagraph"/>
              <w:spacing w:line="135" w:lineRule="exact" w:before="23"/>
              <w:ind w:left="119" w:right="87"/>
              <w:jc w:val="center"/>
              <w:rPr>
                <w:sz w:val="13"/>
              </w:rPr>
            </w:pPr>
            <w:r>
              <w:rPr>
                <w:spacing w:val="-3"/>
                <w:sz w:val="13"/>
              </w:rPr>
              <w:t>867.9</w:t>
            </w:r>
          </w:p>
        </w:tc>
        <w:tc>
          <w:tcPr>
            <w:tcW w:w="657" w:type="dxa"/>
            <w:tcBorders>
              <w:left w:val="single" w:sz="4" w:space="0" w:color="000000"/>
              <w:right w:val="single" w:sz="4" w:space="0" w:color="000000"/>
            </w:tcBorders>
          </w:tcPr>
          <w:p>
            <w:pPr>
              <w:pStyle w:val="TableParagraph"/>
              <w:spacing w:before="6"/>
              <w:ind w:left="119" w:right="86"/>
              <w:jc w:val="center"/>
              <w:rPr>
                <w:sz w:val="13"/>
              </w:rPr>
            </w:pPr>
            <w:r>
              <w:rPr>
                <w:sz w:val="13"/>
              </w:rPr>
              <w:t>0.0</w:t>
            </w:r>
          </w:p>
          <w:p>
            <w:pPr>
              <w:pStyle w:val="TableParagraph"/>
              <w:spacing w:before="23"/>
              <w:ind w:left="119" w:right="86"/>
              <w:jc w:val="center"/>
              <w:rPr>
                <w:sz w:val="13"/>
              </w:rPr>
            </w:pPr>
            <w:r>
              <w:rPr>
                <w:sz w:val="13"/>
              </w:rPr>
              <w:t>260.9</w:t>
            </w:r>
          </w:p>
          <w:p>
            <w:pPr>
              <w:pStyle w:val="TableParagraph"/>
              <w:spacing w:line="135" w:lineRule="exact" w:before="23"/>
              <w:ind w:left="119" w:right="86"/>
              <w:jc w:val="center"/>
              <w:rPr>
                <w:sz w:val="13"/>
              </w:rPr>
            </w:pPr>
            <w:r>
              <w:rPr>
                <w:sz w:val="13"/>
              </w:rPr>
              <w:t>1.1</w:t>
            </w:r>
          </w:p>
        </w:tc>
        <w:tc>
          <w:tcPr>
            <w:tcW w:w="657" w:type="dxa"/>
            <w:tcBorders>
              <w:left w:val="single" w:sz="4" w:space="0" w:color="000000"/>
              <w:right w:val="single" w:sz="4" w:space="0" w:color="000000"/>
            </w:tcBorders>
          </w:tcPr>
          <w:p>
            <w:pPr>
              <w:pStyle w:val="TableParagraph"/>
              <w:spacing w:before="6"/>
              <w:ind w:left="119" w:right="85"/>
              <w:jc w:val="center"/>
              <w:rPr>
                <w:sz w:val="13"/>
              </w:rPr>
            </w:pPr>
            <w:r>
              <w:rPr>
                <w:sz w:val="13"/>
              </w:rPr>
              <w:t>0.0</w:t>
            </w:r>
          </w:p>
          <w:p>
            <w:pPr>
              <w:pStyle w:val="TableParagraph"/>
              <w:spacing w:before="23"/>
              <w:ind w:left="119" w:right="85"/>
              <w:jc w:val="center"/>
              <w:rPr>
                <w:sz w:val="13"/>
              </w:rPr>
            </w:pPr>
            <w:r>
              <w:rPr>
                <w:sz w:val="13"/>
              </w:rPr>
              <w:t>199.9</w:t>
            </w:r>
          </w:p>
          <w:p>
            <w:pPr>
              <w:pStyle w:val="TableParagraph"/>
              <w:spacing w:line="135" w:lineRule="exact" w:before="23"/>
              <w:ind w:left="119" w:right="85"/>
              <w:jc w:val="center"/>
              <w:rPr>
                <w:sz w:val="13"/>
              </w:rPr>
            </w:pPr>
            <w:r>
              <w:rPr>
                <w:sz w:val="13"/>
              </w:rPr>
              <w:t>0.0</w:t>
            </w:r>
          </w:p>
        </w:tc>
        <w:tc>
          <w:tcPr>
            <w:tcW w:w="653" w:type="dxa"/>
            <w:tcBorders>
              <w:left w:val="single" w:sz="4" w:space="0" w:color="000000"/>
            </w:tcBorders>
          </w:tcPr>
          <w:p>
            <w:pPr>
              <w:pStyle w:val="TableParagraph"/>
              <w:spacing w:before="6"/>
              <w:ind w:left="188" w:right="145"/>
              <w:jc w:val="center"/>
              <w:rPr>
                <w:sz w:val="13"/>
              </w:rPr>
            </w:pPr>
            <w:r>
              <w:rPr>
                <w:sz w:val="13"/>
              </w:rPr>
              <w:t>0.0</w:t>
            </w:r>
          </w:p>
          <w:p>
            <w:pPr>
              <w:pStyle w:val="TableParagraph"/>
              <w:spacing w:before="23"/>
              <w:ind w:left="188" w:right="145"/>
              <w:jc w:val="center"/>
              <w:rPr>
                <w:sz w:val="13"/>
              </w:rPr>
            </w:pPr>
            <w:r>
              <w:rPr>
                <w:sz w:val="13"/>
              </w:rPr>
              <w:t>0.0</w:t>
            </w:r>
          </w:p>
          <w:p>
            <w:pPr>
              <w:pStyle w:val="TableParagraph"/>
              <w:spacing w:line="135" w:lineRule="exact" w:before="23"/>
              <w:ind w:left="188" w:right="145"/>
              <w:jc w:val="center"/>
              <w:rPr>
                <w:sz w:val="13"/>
              </w:rPr>
            </w:pPr>
            <w:r>
              <w:rPr>
                <w:sz w:val="13"/>
              </w:rPr>
              <w:t>0.0</w:t>
            </w:r>
          </w:p>
        </w:tc>
      </w:tr>
      <w:tr>
        <w:trPr>
          <w:trHeight w:val="851" w:hRule="atLeast"/>
        </w:trPr>
        <w:tc>
          <w:tcPr>
            <w:tcW w:w="1360" w:type="dxa"/>
            <w:tcBorders>
              <w:right w:val="single" w:sz="4" w:space="0" w:color="000000"/>
            </w:tcBorders>
          </w:tcPr>
          <w:p>
            <w:pPr>
              <w:pStyle w:val="TableParagraph"/>
              <w:rPr>
                <w:sz w:val="14"/>
              </w:rPr>
            </w:pPr>
          </w:p>
          <w:p>
            <w:pPr>
              <w:pStyle w:val="TableParagraph"/>
              <w:spacing w:line="264" w:lineRule="auto" w:before="113"/>
              <w:ind w:left="137" w:right="62" w:hanging="58"/>
              <w:rPr>
                <w:b/>
                <w:sz w:val="13"/>
              </w:rPr>
            </w:pPr>
            <w:r>
              <w:rPr>
                <w:b/>
                <w:w w:val="95"/>
                <w:sz w:val="13"/>
              </w:rPr>
              <w:t>Banco Interamericano </w:t>
            </w:r>
            <w:r>
              <w:rPr>
                <w:b/>
                <w:sz w:val="13"/>
              </w:rPr>
              <w:t>de Desarrollo (BID)</w:t>
            </w:r>
          </w:p>
        </w:tc>
        <w:tc>
          <w:tcPr>
            <w:tcW w:w="657" w:type="dxa"/>
            <w:tcBorders>
              <w:left w:val="single" w:sz="4" w:space="0" w:color="000000"/>
              <w:right w:val="single" w:sz="4" w:space="0" w:color="000000"/>
            </w:tcBorders>
          </w:tcPr>
          <w:p>
            <w:pPr>
              <w:pStyle w:val="TableParagraph"/>
              <w:spacing w:before="6"/>
              <w:ind w:left="21"/>
              <w:jc w:val="center"/>
              <w:rPr>
                <w:sz w:val="13"/>
              </w:rPr>
            </w:pPr>
            <w:r>
              <w:rPr>
                <w:w w:val="94"/>
                <w:sz w:val="13"/>
              </w:rPr>
              <w:t>4</w:t>
            </w:r>
          </w:p>
          <w:p>
            <w:pPr>
              <w:pStyle w:val="TableParagraph"/>
              <w:spacing w:before="23"/>
              <w:ind w:left="21"/>
              <w:jc w:val="center"/>
              <w:rPr>
                <w:sz w:val="13"/>
              </w:rPr>
            </w:pPr>
            <w:r>
              <w:rPr>
                <w:w w:val="94"/>
                <w:sz w:val="13"/>
              </w:rPr>
              <w:t>5</w:t>
            </w:r>
          </w:p>
          <w:p>
            <w:pPr>
              <w:pStyle w:val="TableParagraph"/>
              <w:spacing w:before="110"/>
              <w:ind w:left="21"/>
              <w:jc w:val="center"/>
              <w:rPr>
                <w:sz w:val="13"/>
              </w:rPr>
            </w:pPr>
            <w:r>
              <w:rPr>
                <w:w w:val="94"/>
                <w:sz w:val="13"/>
              </w:rPr>
              <w:t>6</w:t>
            </w:r>
          </w:p>
          <w:p>
            <w:pPr>
              <w:pStyle w:val="TableParagraph"/>
              <w:spacing w:line="134" w:lineRule="exact" w:before="109"/>
              <w:ind w:left="21"/>
              <w:jc w:val="center"/>
              <w:rPr>
                <w:sz w:val="13"/>
              </w:rPr>
            </w:pPr>
            <w:r>
              <w:rPr>
                <w:w w:val="94"/>
                <w:sz w:val="13"/>
              </w:rPr>
              <w:t>7</w:t>
            </w:r>
          </w:p>
        </w:tc>
        <w:tc>
          <w:tcPr>
            <w:tcW w:w="3681" w:type="dxa"/>
            <w:tcBorders>
              <w:left w:val="single" w:sz="4" w:space="0" w:color="000000"/>
              <w:right w:val="single" w:sz="4" w:space="0" w:color="000000"/>
            </w:tcBorders>
          </w:tcPr>
          <w:p>
            <w:pPr>
              <w:pStyle w:val="TableParagraph"/>
              <w:spacing w:line="276" w:lineRule="auto" w:before="6"/>
              <w:ind w:left="24" w:right="84"/>
              <w:rPr>
                <w:sz w:val="13"/>
              </w:rPr>
            </w:pPr>
            <w:r>
              <w:rPr>
                <w:sz w:val="13"/>
              </w:rPr>
              <w:t>Programa para el </w:t>
            </w:r>
            <w:r>
              <w:rPr>
                <w:spacing w:val="-3"/>
                <w:sz w:val="13"/>
              </w:rPr>
              <w:t>Mejoramiento de </w:t>
            </w:r>
            <w:r>
              <w:rPr>
                <w:spacing w:val="-5"/>
                <w:sz w:val="13"/>
              </w:rPr>
              <w:t>la </w:t>
            </w:r>
            <w:r>
              <w:rPr>
                <w:sz w:val="13"/>
              </w:rPr>
              <w:t>Cobertura y </w:t>
            </w:r>
            <w:r>
              <w:rPr>
                <w:spacing w:val="-3"/>
                <w:sz w:val="13"/>
              </w:rPr>
              <w:t>Calidad Educativa </w:t>
            </w:r>
            <w:r>
              <w:rPr>
                <w:sz w:val="13"/>
              </w:rPr>
              <w:t>Programa </w:t>
            </w:r>
            <w:r>
              <w:rPr>
                <w:spacing w:val="-3"/>
                <w:sz w:val="13"/>
              </w:rPr>
              <w:t>de Fortalecimiento </w:t>
            </w:r>
            <w:r>
              <w:rPr>
                <w:sz w:val="13"/>
              </w:rPr>
              <w:t>y </w:t>
            </w:r>
            <w:r>
              <w:rPr>
                <w:spacing w:val="-4"/>
                <w:sz w:val="13"/>
              </w:rPr>
              <w:t>Modernización </w:t>
            </w:r>
            <w:r>
              <w:rPr>
                <w:sz w:val="13"/>
              </w:rPr>
              <w:t>del </w:t>
            </w:r>
            <w:r>
              <w:rPr>
                <w:spacing w:val="-4"/>
                <w:sz w:val="13"/>
              </w:rPr>
              <w:t>Ministerio Público </w:t>
            </w:r>
            <w:r>
              <w:rPr>
                <w:sz w:val="13"/>
              </w:rPr>
              <w:t>Programa</w:t>
            </w:r>
            <w:r>
              <w:rPr>
                <w:spacing w:val="-15"/>
                <w:sz w:val="13"/>
              </w:rPr>
              <w:t> </w:t>
            </w:r>
            <w:r>
              <w:rPr>
                <w:spacing w:val="-3"/>
                <w:sz w:val="13"/>
              </w:rPr>
              <w:t>de</w:t>
            </w:r>
            <w:r>
              <w:rPr>
                <w:spacing w:val="-15"/>
                <w:sz w:val="13"/>
              </w:rPr>
              <w:t> </w:t>
            </w:r>
            <w:r>
              <w:rPr>
                <w:spacing w:val="-3"/>
                <w:sz w:val="13"/>
              </w:rPr>
              <w:t>Fortalecimiento</w:t>
            </w:r>
            <w:r>
              <w:rPr>
                <w:spacing w:val="-18"/>
                <w:sz w:val="13"/>
              </w:rPr>
              <w:t> </w:t>
            </w:r>
            <w:r>
              <w:rPr>
                <w:spacing w:val="-3"/>
                <w:sz w:val="13"/>
              </w:rPr>
              <w:t>de</w:t>
            </w:r>
            <w:r>
              <w:rPr>
                <w:spacing w:val="-15"/>
                <w:sz w:val="13"/>
              </w:rPr>
              <w:t> </w:t>
            </w:r>
            <w:r>
              <w:rPr>
                <w:spacing w:val="-5"/>
                <w:sz w:val="13"/>
              </w:rPr>
              <w:t>la</w:t>
            </w:r>
            <w:r>
              <w:rPr>
                <w:spacing w:val="-14"/>
                <w:sz w:val="13"/>
              </w:rPr>
              <w:t> </w:t>
            </w:r>
            <w:r>
              <w:rPr>
                <w:sz w:val="13"/>
              </w:rPr>
              <w:t>Red</w:t>
            </w:r>
            <w:r>
              <w:rPr>
                <w:spacing w:val="-18"/>
                <w:sz w:val="13"/>
              </w:rPr>
              <w:t> </w:t>
            </w:r>
            <w:r>
              <w:rPr>
                <w:spacing w:val="-3"/>
                <w:sz w:val="13"/>
              </w:rPr>
              <w:t>Institucional</w:t>
            </w:r>
            <w:r>
              <w:rPr>
                <w:spacing w:val="-21"/>
                <w:sz w:val="13"/>
              </w:rPr>
              <w:t> </w:t>
            </w:r>
            <w:r>
              <w:rPr>
                <w:spacing w:val="-3"/>
                <w:sz w:val="13"/>
              </w:rPr>
              <w:t>de</w:t>
            </w:r>
            <w:r>
              <w:rPr>
                <w:spacing w:val="-15"/>
                <w:sz w:val="13"/>
              </w:rPr>
              <w:t> </w:t>
            </w:r>
            <w:r>
              <w:rPr>
                <w:spacing w:val="-4"/>
                <w:sz w:val="13"/>
              </w:rPr>
              <w:t>Servicios</w:t>
            </w:r>
            <w:r>
              <w:rPr>
                <w:spacing w:val="-15"/>
                <w:sz w:val="13"/>
              </w:rPr>
              <w:t> </w:t>
            </w:r>
            <w:r>
              <w:rPr>
                <w:spacing w:val="-3"/>
                <w:sz w:val="13"/>
              </w:rPr>
              <w:t>de</w:t>
            </w:r>
            <w:r>
              <w:rPr>
                <w:spacing w:val="-15"/>
                <w:sz w:val="13"/>
              </w:rPr>
              <w:t> </w:t>
            </w:r>
            <w:r>
              <w:rPr>
                <w:spacing w:val="-4"/>
                <w:sz w:val="13"/>
              </w:rPr>
              <w:t>Salud </w:t>
            </w:r>
            <w:r>
              <w:rPr>
                <w:sz w:val="13"/>
              </w:rPr>
              <w:t>(PRORISS)</w:t>
            </w:r>
          </w:p>
          <w:p>
            <w:pPr>
              <w:pStyle w:val="TableParagraph"/>
              <w:spacing w:line="134" w:lineRule="exact" w:before="3"/>
              <w:ind w:left="24"/>
              <w:rPr>
                <w:sz w:val="13"/>
              </w:rPr>
            </w:pPr>
            <w:r>
              <w:rPr>
                <w:sz w:val="13"/>
              </w:rPr>
              <w:t>Programa de Desarrollo de la Infraestructura Vial</w:t>
            </w:r>
          </w:p>
        </w:tc>
        <w:tc>
          <w:tcPr>
            <w:tcW w:w="657" w:type="dxa"/>
            <w:tcBorders>
              <w:left w:val="single" w:sz="4" w:space="0" w:color="000000"/>
              <w:right w:val="single" w:sz="4" w:space="0" w:color="000000"/>
            </w:tcBorders>
          </w:tcPr>
          <w:p>
            <w:pPr>
              <w:pStyle w:val="TableParagraph"/>
              <w:spacing w:before="6"/>
              <w:ind w:left="205"/>
              <w:rPr>
                <w:sz w:val="13"/>
              </w:rPr>
            </w:pPr>
            <w:r>
              <w:rPr>
                <w:spacing w:val="-3"/>
                <w:sz w:val="13"/>
              </w:rPr>
              <w:t>525.0</w:t>
            </w:r>
          </w:p>
          <w:p>
            <w:pPr>
              <w:pStyle w:val="TableParagraph"/>
              <w:spacing w:before="23"/>
              <w:ind w:left="205"/>
              <w:rPr>
                <w:sz w:val="13"/>
              </w:rPr>
            </w:pPr>
            <w:r>
              <w:rPr>
                <w:spacing w:val="-3"/>
                <w:sz w:val="13"/>
              </w:rPr>
              <w:t>140.9</w:t>
            </w:r>
          </w:p>
          <w:p>
            <w:pPr>
              <w:pStyle w:val="TableParagraph"/>
              <w:spacing w:before="110"/>
              <w:ind w:left="205"/>
              <w:rPr>
                <w:sz w:val="13"/>
              </w:rPr>
            </w:pPr>
            <w:r>
              <w:rPr>
                <w:spacing w:val="-3"/>
                <w:sz w:val="13"/>
              </w:rPr>
              <w:t>237.0</w:t>
            </w:r>
          </w:p>
          <w:p>
            <w:pPr>
              <w:pStyle w:val="TableParagraph"/>
              <w:spacing w:line="134" w:lineRule="exact" w:before="109"/>
              <w:ind w:left="205"/>
              <w:rPr>
                <w:sz w:val="13"/>
              </w:rPr>
            </w:pPr>
            <w:r>
              <w:rPr>
                <w:spacing w:val="-3"/>
                <w:sz w:val="13"/>
              </w:rPr>
              <w:t>414.8</w:t>
            </w:r>
          </w:p>
        </w:tc>
        <w:tc>
          <w:tcPr>
            <w:tcW w:w="657" w:type="dxa"/>
            <w:tcBorders>
              <w:left w:val="single" w:sz="4" w:space="0" w:color="000000"/>
              <w:right w:val="single" w:sz="4" w:space="0" w:color="000000"/>
            </w:tcBorders>
          </w:tcPr>
          <w:p>
            <w:pPr>
              <w:pStyle w:val="TableParagraph"/>
              <w:spacing w:before="6"/>
              <w:ind w:left="119" w:right="87"/>
              <w:jc w:val="center"/>
              <w:rPr>
                <w:sz w:val="13"/>
              </w:rPr>
            </w:pPr>
            <w:r>
              <w:rPr>
                <w:sz w:val="13"/>
              </w:rPr>
              <w:t>0.0</w:t>
            </w:r>
          </w:p>
          <w:p>
            <w:pPr>
              <w:pStyle w:val="TableParagraph"/>
              <w:spacing w:before="23"/>
              <w:ind w:left="119" w:right="87"/>
              <w:jc w:val="center"/>
              <w:rPr>
                <w:sz w:val="13"/>
              </w:rPr>
            </w:pPr>
            <w:r>
              <w:rPr>
                <w:spacing w:val="-3"/>
                <w:sz w:val="13"/>
              </w:rPr>
              <w:t>176.5</w:t>
            </w:r>
          </w:p>
          <w:p>
            <w:pPr>
              <w:pStyle w:val="TableParagraph"/>
              <w:spacing w:before="110"/>
              <w:ind w:left="119" w:right="87"/>
              <w:jc w:val="center"/>
              <w:rPr>
                <w:sz w:val="13"/>
              </w:rPr>
            </w:pPr>
            <w:r>
              <w:rPr>
                <w:spacing w:val="-3"/>
                <w:sz w:val="13"/>
              </w:rPr>
              <w:t>238.8</w:t>
            </w:r>
          </w:p>
          <w:p>
            <w:pPr>
              <w:pStyle w:val="TableParagraph"/>
              <w:spacing w:line="134" w:lineRule="exact" w:before="109"/>
              <w:ind w:left="119" w:right="87"/>
              <w:jc w:val="center"/>
              <w:rPr>
                <w:sz w:val="13"/>
              </w:rPr>
            </w:pPr>
            <w:r>
              <w:rPr>
                <w:spacing w:val="-3"/>
                <w:sz w:val="13"/>
              </w:rPr>
              <w:t>369.6</w:t>
            </w:r>
          </w:p>
        </w:tc>
        <w:tc>
          <w:tcPr>
            <w:tcW w:w="657" w:type="dxa"/>
            <w:tcBorders>
              <w:left w:val="single" w:sz="4" w:space="0" w:color="000000"/>
              <w:right w:val="single" w:sz="4" w:space="0" w:color="000000"/>
            </w:tcBorders>
          </w:tcPr>
          <w:p>
            <w:pPr>
              <w:pStyle w:val="TableParagraph"/>
              <w:spacing w:before="6"/>
              <w:ind w:left="119" w:right="86"/>
              <w:jc w:val="center"/>
              <w:rPr>
                <w:sz w:val="13"/>
              </w:rPr>
            </w:pPr>
            <w:r>
              <w:rPr>
                <w:sz w:val="13"/>
              </w:rPr>
              <w:t>0.0</w:t>
            </w:r>
          </w:p>
          <w:p>
            <w:pPr>
              <w:pStyle w:val="TableParagraph"/>
              <w:spacing w:before="23"/>
              <w:ind w:left="119" w:right="86"/>
              <w:jc w:val="center"/>
              <w:rPr>
                <w:sz w:val="13"/>
              </w:rPr>
            </w:pPr>
            <w:r>
              <w:rPr>
                <w:sz w:val="13"/>
              </w:rPr>
              <w:t>1.5</w:t>
            </w:r>
          </w:p>
          <w:p>
            <w:pPr>
              <w:pStyle w:val="TableParagraph"/>
              <w:spacing w:before="110"/>
              <w:ind w:left="119" w:right="86"/>
              <w:jc w:val="center"/>
              <w:rPr>
                <w:sz w:val="13"/>
              </w:rPr>
            </w:pPr>
            <w:r>
              <w:rPr>
                <w:spacing w:val="-3"/>
                <w:sz w:val="13"/>
              </w:rPr>
              <w:t>169.0</w:t>
            </w:r>
          </w:p>
          <w:p>
            <w:pPr>
              <w:pStyle w:val="TableParagraph"/>
              <w:spacing w:line="134" w:lineRule="exact" w:before="109"/>
              <w:ind w:left="119" w:right="95"/>
              <w:jc w:val="center"/>
              <w:rPr>
                <w:sz w:val="13"/>
              </w:rPr>
            </w:pPr>
            <w:r>
              <w:rPr>
                <w:spacing w:val="-3"/>
                <w:sz w:val="13"/>
              </w:rPr>
              <w:t>77.7</w:t>
            </w:r>
          </w:p>
        </w:tc>
        <w:tc>
          <w:tcPr>
            <w:tcW w:w="657" w:type="dxa"/>
            <w:tcBorders>
              <w:left w:val="single" w:sz="4" w:space="0" w:color="000000"/>
              <w:right w:val="single" w:sz="4" w:space="0" w:color="000000"/>
            </w:tcBorders>
          </w:tcPr>
          <w:p>
            <w:pPr>
              <w:pStyle w:val="TableParagraph"/>
              <w:spacing w:before="6"/>
              <w:ind w:left="119" w:right="85"/>
              <w:jc w:val="center"/>
              <w:rPr>
                <w:sz w:val="13"/>
              </w:rPr>
            </w:pPr>
            <w:r>
              <w:rPr>
                <w:sz w:val="13"/>
              </w:rPr>
              <w:t>0.0</w:t>
            </w:r>
          </w:p>
          <w:p>
            <w:pPr>
              <w:pStyle w:val="TableParagraph"/>
              <w:spacing w:before="23"/>
              <w:ind w:left="119" w:right="85"/>
              <w:jc w:val="center"/>
              <w:rPr>
                <w:sz w:val="13"/>
              </w:rPr>
            </w:pPr>
            <w:r>
              <w:rPr>
                <w:sz w:val="13"/>
              </w:rPr>
              <w:t>0.0</w:t>
            </w:r>
          </w:p>
          <w:p>
            <w:pPr>
              <w:pStyle w:val="TableParagraph"/>
              <w:spacing w:before="110"/>
              <w:ind w:left="119" w:right="93"/>
              <w:jc w:val="center"/>
              <w:rPr>
                <w:sz w:val="13"/>
              </w:rPr>
            </w:pPr>
            <w:r>
              <w:rPr>
                <w:spacing w:val="-3"/>
                <w:sz w:val="13"/>
              </w:rPr>
              <w:t>60.5</w:t>
            </w:r>
          </w:p>
          <w:p>
            <w:pPr>
              <w:pStyle w:val="TableParagraph"/>
              <w:spacing w:line="134" w:lineRule="exact" w:before="109"/>
              <w:ind w:left="119" w:right="85"/>
              <w:jc w:val="center"/>
              <w:rPr>
                <w:sz w:val="13"/>
              </w:rPr>
            </w:pPr>
            <w:r>
              <w:rPr>
                <w:sz w:val="13"/>
              </w:rPr>
              <w:t>1.4</w:t>
            </w:r>
          </w:p>
        </w:tc>
        <w:tc>
          <w:tcPr>
            <w:tcW w:w="653" w:type="dxa"/>
            <w:tcBorders>
              <w:left w:val="single" w:sz="4" w:space="0" w:color="000000"/>
            </w:tcBorders>
          </w:tcPr>
          <w:p>
            <w:pPr>
              <w:pStyle w:val="TableParagraph"/>
              <w:spacing w:before="6"/>
              <w:ind w:left="188" w:right="145"/>
              <w:jc w:val="center"/>
              <w:rPr>
                <w:sz w:val="13"/>
              </w:rPr>
            </w:pPr>
            <w:r>
              <w:rPr>
                <w:sz w:val="13"/>
              </w:rPr>
              <w:t>0.0</w:t>
            </w:r>
          </w:p>
          <w:p>
            <w:pPr>
              <w:pStyle w:val="TableParagraph"/>
              <w:spacing w:before="23"/>
              <w:ind w:left="188" w:right="145"/>
              <w:jc w:val="center"/>
              <w:rPr>
                <w:sz w:val="13"/>
              </w:rPr>
            </w:pPr>
            <w:r>
              <w:rPr>
                <w:sz w:val="13"/>
              </w:rPr>
              <w:t>0.0</w:t>
            </w:r>
          </w:p>
          <w:p>
            <w:pPr>
              <w:pStyle w:val="TableParagraph"/>
              <w:spacing w:before="110"/>
              <w:ind w:left="188" w:right="145"/>
              <w:jc w:val="center"/>
              <w:rPr>
                <w:sz w:val="13"/>
              </w:rPr>
            </w:pPr>
            <w:r>
              <w:rPr>
                <w:sz w:val="13"/>
              </w:rPr>
              <w:t>0.0</w:t>
            </w:r>
          </w:p>
          <w:p>
            <w:pPr>
              <w:pStyle w:val="TableParagraph"/>
              <w:spacing w:line="134" w:lineRule="exact" w:before="109"/>
              <w:ind w:left="188" w:right="145"/>
              <w:jc w:val="center"/>
              <w:rPr>
                <w:sz w:val="13"/>
              </w:rPr>
            </w:pPr>
            <w:r>
              <w:rPr>
                <w:sz w:val="13"/>
              </w:rPr>
              <w:t>0.0</w:t>
            </w:r>
          </w:p>
        </w:tc>
      </w:tr>
      <w:tr>
        <w:trPr>
          <w:trHeight w:val="532" w:hRule="atLeast"/>
        </w:trPr>
        <w:tc>
          <w:tcPr>
            <w:tcW w:w="1360" w:type="dxa"/>
            <w:tcBorders>
              <w:right w:val="single" w:sz="4" w:space="0" w:color="000000"/>
            </w:tcBorders>
          </w:tcPr>
          <w:p>
            <w:pPr>
              <w:pStyle w:val="TableParagraph"/>
              <w:spacing w:line="164" w:lineRule="exact" w:before="23"/>
              <w:ind w:left="211" w:right="42" w:hanging="157"/>
              <w:rPr>
                <w:b/>
                <w:sz w:val="13"/>
              </w:rPr>
            </w:pPr>
            <w:r>
              <w:rPr>
                <w:b/>
                <w:w w:val="95"/>
                <w:sz w:val="13"/>
              </w:rPr>
              <w:t>Banco Internacional de </w:t>
            </w:r>
            <w:r>
              <w:rPr>
                <w:b/>
                <w:sz w:val="13"/>
              </w:rPr>
              <w:t>Reconstruccion y Fomento (BIRF)</w:t>
            </w:r>
          </w:p>
        </w:tc>
        <w:tc>
          <w:tcPr>
            <w:tcW w:w="657" w:type="dxa"/>
            <w:tcBorders>
              <w:left w:val="single" w:sz="4" w:space="0" w:color="000000"/>
              <w:right w:val="single" w:sz="4" w:space="0" w:color="000000"/>
            </w:tcBorders>
          </w:tcPr>
          <w:p>
            <w:pPr>
              <w:pStyle w:val="TableParagraph"/>
              <w:spacing w:before="1"/>
              <w:rPr>
                <w:sz w:val="17"/>
              </w:rPr>
            </w:pPr>
          </w:p>
          <w:p>
            <w:pPr>
              <w:pStyle w:val="TableParagraph"/>
              <w:ind w:left="21"/>
              <w:jc w:val="center"/>
              <w:rPr>
                <w:sz w:val="13"/>
              </w:rPr>
            </w:pPr>
            <w:r>
              <w:rPr>
                <w:w w:val="94"/>
                <w:sz w:val="13"/>
              </w:rPr>
              <w:t>8</w:t>
            </w:r>
          </w:p>
        </w:tc>
        <w:tc>
          <w:tcPr>
            <w:tcW w:w="3681" w:type="dxa"/>
            <w:tcBorders>
              <w:left w:val="single" w:sz="4" w:space="0" w:color="000000"/>
              <w:right w:val="single" w:sz="4" w:space="0" w:color="000000"/>
            </w:tcBorders>
          </w:tcPr>
          <w:p>
            <w:pPr>
              <w:pStyle w:val="TableParagraph"/>
              <w:spacing w:before="1"/>
              <w:rPr>
                <w:sz w:val="17"/>
              </w:rPr>
            </w:pPr>
          </w:p>
          <w:p>
            <w:pPr>
              <w:pStyle w:val="TableParagraph"/>
              <w:ind w:left="24"/>
              <w:rPr>
                <w:sz w:val="13"/>
              </w:rPr>
            </w:pPr>
            <w:r>
              <w:rPr>
                <w:sz w:val="13"/>
              </w:rPr>
              <w:t>Crecer Sano: Proyecto de Nutrición y Salud en Guatemala</w:t>
            </w:r>
          </w:p>
        </w:tc>
        <w:tc>
          <w:tcPr>
            <w:tcW w:w="657" w:type="dxa"/>
            <w:tcBorders>
              <w:left w:val="single" w:sz="4" w:space="0" w:color="000000"/>
              <w:right w:val="single" w:sz="4" w:space="0" w:color="000000"/>
            </w:tcBorders>
          </w:tcPr>
          <w:p>
            <w:pPr>
              <w:pStyle w:val="TableParagraph"/>
              <w:spacing w:before="1"/>
              <w:rPr>
                <w:sz w:val="17"/>
              </w:rPr>
            </w:pPr>
          </w:p>
          <w:p>
            <w:pPr>
              <w:pStyle w:val="TableParagraph"/>
              <w:ind w:left="119" w:right="88"/>
              <w:jc w:val="center"/>
              <w:rPr>
                <w:sz w:val="13"/>
              </w:rPr>
            </w:pPr>
            <w:r>
              <w:rPr>
                <w:sz w:val="13"/>
              </w:rPr>
              <w:t>365.1</w:t>
            </w:r>
          </w:p>
        </w:tc>
        <w:tc>
          <w:tcPr>
            <w:tcW w:w="657" w:type="dxa"/>
            <w:tcBorders>
              <w:left w:val="single" w:sz="4" w:space="0" w:color="000000"/>
              <w:right w:val="single" w:sz="4" w:space="0" w:color="000000"/>
            </w:tcBorders>
          </w:tcPr>
          <w:p>
            <w:pPr>
              <w:pStyle w:val="TableParagraph"/>
              <w:spacing w:before="1"/>
              <w:rPr>
                <w:sz w:val="17"/>
              </w:rPr>
            </w:pPr>
          </w:p>
          <w:p>
            <w:pPr>
              <w:pStyle w:val="TableParagraph"/>
              <w:ind w:left="119" w:right="87"/>
              <w:jc w:val="center"/>
              <w:rPr>
                <w:sz w:val="13"/>
              </w:rPr>
            </w:pPr>
            <w:r>
              <w:rPr>
                <w:sz w:val="13"/>
              </w:rPr>
              <w:t>0.6</w:t>
            </w:r>
          </w:p>
        </w:tc>
        <w:tc>
          <w:tcPr>
            <w:tcW w:w="657" w:type="dxa"/>
            <w:tcBorders>
              <w:left w:val="single" w:sz="4" w:space="0" w:color="000000"/>
              <w:right w:val="single" w:sz="4" w:space="0" w:color="000000"/>
            </w:tcBorders>
          </w:tcPr>
          <w:p>
            <w:pPr>
              <w:pStyle w:val="TableParagraph"/>
              <w:spacing w:before="1"/>
              <w:rPr>
                <w:sz w:val="17"/>
              </w:rPr>
            </w:pPr>
          </w:p>
          <w:p>
            <w:pPr>
              <w:pStyle w:val="TableParagraph"/>
              <w:ind w:left="119" w:right="86"/>
              <w:jc w:val="center"/>
              <w:rPr>
                <w:sz w:val="13"/>
              </w:rPr>
            </w:pPr>
            <w:r>
              <w:rPr>
                <w:sz w:val="13"/>
              </w:rPr>
              <w:t>0.0</w:t>
            </w:r>
          </w:p>
        </w:tc>
        <w:tc>
          <w:tcPr>
            <w:tcW w:w="657" w:type="dxa"/>
            <w:tcBorders>
              <w:left w:val="single" w:sz="4" w:space="0" w:color="000000"/>
              <w:right w:val="single" w:sz="4" w:space="0" w:color="000000"/>
            </w:tcBorders>
          </w:tcPr>
          <w:p>
            <w:pPr>
              <w:pStyle w:val="TableParagraph"/>
              <w:spacing w:before="1"/>
              <w:rPr>
                <w:sz w:val="17"/>
              </w:rPr>
            </w:pPr>
          </w:p>
          <w:p>
            <w:pPr>
              <w:pStyle w:val="TableParagraph"/>
              <w:ind w:right="228"/>
              <w:jc w:val="right"/>
              <w:rPr>
                <w:sz w:val="13"/>
              </w:rPr>
            </w:pPr>
            <w:r>
              <w:rPr>
                <w:w w:val="95"/>
                <w:sz w:val="13"/>
              </w:rPr>
              <w:t>0.0</w:t>
            </w:r>
          </w:p>
        </w:tc>
        <w:tc>
          <w:tcPr>
            <w:tcW w:w="653" w:type="dxa"/>
            <w:tcBorders>
              <w:left w:val="single" w:sz="4" w:space="0" w:color="000000"/>
            </w:tcBorders>
          </w:tcPr>
          <w:p>
            <w:pPr>
              <w:pStyle w:val="TableParagraph"/>
              <w:spacing w:before="1"/>
              <w:rPr>
                <w:sz w:val="17"/>
              </w:rPr>
            </w:pPr>
          </w:p>
          <w:p>
            <w:pPr>
              <w:pStyle w:val="TableParagraph"/>
              <w:ind w:left="188" w:right="145"/>
              <w:jc w:val="center"/>
              <w:rPr>
                <w:sz w:val="13"/>
              </w:rPr>
            </w:pPr>
            <w:r>
              <w:rPr>
                <w:sz w:val="13"/>
              </w:rPr>
              <w:t>0.0</w:t>
            </w:r>
          </w:p>
        </w:tc>
      </w:tr>
      <w:tr>
        <w:trPr>
          <w:trHeight w:val="445" w:hRule="atLeast"/>
        </w:trPr>
        <w:tc>
          <w:tcPr>
            <w:tcW w:w="1360" w:type="dxa"/>
            <w:tcBorders>
              <w:right w:val="single" w:sz="4" w:space="0" w:color="000000"/>
            </w:tcBorders>
          </w:tcPr>
          <w:p>
            <w:pPr>
              <w:pStyle w:val="TableParagraph"/>
              <w:spacing w:line="264" w:lineRule="auto" w:before="75"/>
              <w:ind w:left="310" w:hanging="99"/>
              <w:rPr>
                <w:b/>
                <w:sz w:val="13"/>
              </w:rPr>
            </w:pPr>
            <w:r>
              <w:rPr>
                <w:b/>
                <w:w w:val="95"/>
                <w:sz w:val="13"/>
              </w:rPr>
              <w:t>Kreditanstalt Fur </w:t>
            </w:r>
            <w:r>
              <w:rPr>
                <w:b/>
                <w:sz w:val="13"/>
              </w:rPr>
              <w:t>Wiederaufbau</w:t>
            </w:r>
          </w:p>
        </w:tc>
        <w:tc>
          <w:tcPr>
            <w:tcW w:w="657" w:type="dxa"/>
            <w:tcBorders>
              <w:left w:val="single" w:sz="4" w:space="0" w:color="000000"/>
              <w:right w:val="single" w:sz="4" w:space="0" w:color="000000"/>
            </w:tcBorders>
          </w:tcPr>
          <w:p>
            <w:pPr>
              <w:pStyle w:val="TableParagraph"/>
              <w:spacing w:before="4"/>
              <w:rPr>
                <w:sz w:val="13"/>
              </w:rPr>
            </w:pPr>
          </w:p>
          <w:p>
            <w:pPr>
              <w:pStyle w:val="TableParagraph"/>
              <w:ind w:left="21"/>
              <w:jc w:val="center"/>
              <w:rPr>
                <w:sz w:val="13"/>
              </w:rPr>
            </w:pPr>
            <w:r>
              <w:rPr>
                <w:w w:val="94"/>
                <w:sz w:val="13"/>
              </w:rPr>
              <w:t>9</w:t>
            </w:r>
          </w:p>
        </w:tc>
        <w:tc>
          <w:tcPr>
            <w:tcW w:w="3681" w:type="dxa"/>
            <w:tcBorders>
              <w:left w:val="single" w:sz="4" w:space="0" w:color="000000"/>
              <w:right w:val="single" w:sz="4" w:space="0" w:color="000000"/>
            </w:tcBorders>
          </w:tcPr>
          <w:p>
            <w:pPr>
              <w:pStyle w:val="TableParagraph"/>
              <w:spacing w:before="4"/>
              <w:rPr>
                <w:sz w:val="13"/>
              </w:rPr>
            </w:pPr>
          </w:p>
          <w:p>
            <w:pPr>
              <w:pStyle w:val="TableParagraph"/>
              <w:ind w:left="24"/>
              <w:rPr>
                <w:sz w:val="13"/>
              </w:rPr>
            </w:pPr>
            <w:r>
              <w:rPr>
                <w:sz w:val="13"/>
              </w:rPr>
              <w:t>Proyecto de Educación Rural V (PROEDUC V)</w:t>
            </w:r>
          </w:p>
        </w:tc>
        <w:tc>
          <w:tcPr>
            <w:tcW w:w="657" w:type="dxa"/>
            <w:tcBorders>
              <w:left w:val="single" w:sz="4" w:space="0" w:color="000000"/>
              <w:right w:val="single" w:sz="4" w:space="0" w:color="000000"/>
            </w:tcBorders>
          </w:tcPr>
          <w:p>
            <w:pPr>
              <w:pStyle w:val="TableParagraph"/>
              <w:spacing w:before="4"/>
              <w:rPr>
                <w:sz w:val="13"/>
              </w:rPr>
            </w:pPr>
          </w:p>
          <w:p>
            <w:pPr>
              <w:pStyle w:val="TableParagraph"/>
              <w:ind w:left="119" w:right="88"/>
              <w:jc w:val="center"/>
              <w:rPr>
                <w:sz w:val="13"/>
              </w:rPr>
            </w:pPr>
            <w:r>
              <w:rPr>
                <w:sz w:val="13"/>
              </w:rPr>
              <w:t>9.3</w:t>
            </w:r>
          </w:p>
        </w:tc>
        <w:tc>
          <w:tcPr>
            <w:tcW w:w="657" w:type="dxa"/>
            <w:tcBorders>
              <w:left w:val="single" w:sz="4" w:space="0" w:color="000000"/>
              <w:right w:val="single" w:sz="4" w:space="0" w:color="000000"/>
            </w:tcBorders>
          </w:tcPr>
          <w:p>
            <w:pPr>
              <w:pStyle w:val="TableParagraph"/>
              <w:spacing w:before="4"/>
              <w:rPr>
                <w:sz w:val="13"/>
              </w:rPr>
            </w:pPr>
          </w:p>
          <w:p>
            <w:pPr>
              <w:pStyle w:val="TableParagraph"/>
              <w:ind w:left="119" w:right="95"/>
              <w:jc w:val="center"/>
              <w:rPr>
                <w:sz w:val="13"/>
              </w:rPr>
            </w:pPr>
            <w:r>
              <w:rPr>
                <w:sz w:val="13"/>
              </w:rPr>
              <w:t>29.9</w:t>
            </w:r>
          </w:p>
        </w:tc>
        <w:tc>
          <w:tcPr>
            <w:tcW w:w="657" w:type="dxa"/>
            <w:tcBorders>
              <w:left w:val="single" w:sz="4" w:space="0" w:color="000000"/>
              <w:right w:val="single" w:sz="4" w:space="0" w:color="000000"/>
            </w:tcBorders>
          </w:tcPr>
          <w:p>
            <w:pPr>
              <w:pStyle w:val="TableParagraph"/>
              <w:spacing w:before="4"/>
              <w:rPr>
                <w:sz w:val="13"/>
              </w:rPr>
            </w:pPr>
          </w:p>
          <w:p>
            <w:pPr>
              <w:pStyle w:val="TableParagraph"/>
              <w:ind w:left="119" w:right="86"/>
              <w:jc w:val="center"/>
              <w:rPr>
                <w:sz w:val="13"/>
              </w:rPr>
            </w:pPr>
            <w:r>
              <w:rPr>
                <w:sz w:val="13"/>
              </w:rPr>
              <w:t>0.0</w:t>
            </w:r>
          </w:p>
        </w:tc>
        <w:tc>
          <w:tcPr>
            <w:tcW w:w="657" w:type="dxa"/>
            <w:tcBorders>
              <w:left w:val="single" w:sz="4" w:space="0" w:color="000000"/>
              <w:right w:val="single" w:sz="4" w:space="0" w:color="000000"/>
            </w:tcBorders>
          </w:tcPr>
          <w:p>
            <w:pPr>
              <w:pStyle w:val="TableParagraph"/>
              <w:spacing w:before="4"/>
              <w:rPr>
                <w:sz w:val="13"/>
              </w:rPr>
            </w:pPr>
          </w:p>
          <w:p>
            <w:pPr>
              <w:pStyle w:val="TableParagraph"/>
              <w:ind w:right="228"/>
              <w:jc w:val="right"/>
              <w:rPr>
                <w:sz w:val="13"/>
              </w:rPr>
            </w:pPr>
            <w:r>
              <w:rPr>
                <w:w w:val="95"/>
                <w:sz w:val="13"/>
              </w:rPr>
              <w:t>0.0</w:t>
            </w:r>
          </w:p>
        </w:tc>
        <w:tc>
          <w:tcPr>
            <w:tcW w:w="653" w:type="dxa"/>
            <w:tcBorders>
              <w:left w:val="single" w:sz="4" w:space="0" w:color="000000"/>
            </w:tcBorders>
          </w:tcPr>
          <w:p>
            <w:pPr>
              <w:pStyle w:val="TableParagraph"/>
              <w:spacing w:before="4"/>
              <w:rPr>
                <w:sz w:val="13"/>
              </w:rPr>
            </w:pPr>
          </w:p>
          <w:p>
            <w:pPr>
              <w:pStyle w:val="TableParagraph"/>
              <w:ind w:left="188" w:right="145"/>
              <w:jc w:val="center"/>
              <w:rPr>
                <w:sz w:val="13"/>
              </w:rPr>
            </w:pPr>
            <w:r>
              <w:rPr>
                <w:sz w:val="13"/>
              </w:rPr>
              <w:t>0.0</w:t>
            </w:r>
          </w:p>
        </w:tc>
      </w:tr>
      <w:tr>
        <w:trPr>
          <w:trHeight w:val="549" w:hRule="atLeast"/>
        </w:trPr>
        <w:tc>
          <w:tcPr>
            <w:tcW w:w="1360" w:type="dxa"/>
            <w:tcBorders>
              <w:right w:val="single" w:sz="4" w:space="0" w:color="000000"/>
            </w:tcBorders>
          </w:tcPr>
          <w:p>
            <w:pPr>
              <w:pStyle w:val="TableParagraph"/>
              <w:spacing w:line="164" w:lineRule="exact" w:before="40"/>
              <w:ind w:left="326" w:hanging="214"/>
              <w:rPr>
                <w:b/>
                <w:sz w:val="13"/>
              </w:rPr>
            </w:pPr>
            <w:r>
              <w:rPr>
                <w:b/>
                <w:sz w:val="13"/>
              </w:rPr>
              <w:t>Agencia Japonesa de Cooperacion Internacional</w:t>
            </w:r>
          </w:p>
        </w:tc>
        <w:tc>
          <w:tcPr>
            <w:tcW w:w="657" w:type="dxa"/>
            <w:tcBorders>
              <w:left w:val="single" w:sz="4" w:space="0" w:color="000000"/>
              <w:right w:val="single" w:sz="4" w:space="0" w:color="000000"/>
            </w:tcBorders>
          </w:tcPr>
          <w:p>
            <w:pPr>
              <w:pStyle w:val="TableParagraph"/>
              <w:spacing w:before="9"/>
              <w:rPr>
                <w:sz w:val="17"/>
              </w:rPr>
            </w:pPr>
          </w:p>
          <w:p>
            <w:pPr>
              <w:pStyle w:val="TableParagraph"/>
              <w:ind w:left="119" w:right="94"/>
              <w:jc w:val="center"/>
              <w:rPr>
                <w:sz w:val="13"/>
              </w:rPr>
            </w:pPr>
            <w:r>
              <w:rPr>
                <w:sz w:val="13"/>
              </w:rPr>
              <w:t>10</w:t>
            </w:r>
          </w:p>
        </w:tc>
        <w:tc>
          <w:tcPr>
            <w:tcW w:w="3681" w:type="dxa"/>
            <w:tcBorders>
              <w:left w:val="single" w:sz="4" w:space="0" w:color="000000"/>
              <w:right w:val="single" w:sz="4" w:space="0" w:color="000000"/>
            </w:tcBorders>
          </w:tcPr>
          <w:p>
            <w:pPr>
              <w:pStyle w:val="TableParagraph"/>
              <w:spacing w:before="9"/>
              <w:rPr>
                <w:sz w:val="17"/>
              </w:rPr>
            </w:pPr>
          </w:p>
          <w:p>
            <w:pPr>
              <w:pStyle w:val="TableParagraph"/>
              <w:ind w:left="24"/>
              <w:rPr>
                <w:sz w:val="13"/>
              </w:rPr>
            </w:pPr>
            <w:r>
              <w:rPr>
                <w:sz w:val="13"/>
              </w:rPr>
              <w:t>Programa de Mejoramiento de Carreteras en Zonapaz</w:t>
            </w:r>
          </w:p>
        </w:tc>
        <w:tc>
          <w:tcPr>
            <w:tcW w:w="657" w:type="dxa"/>
            <w:tcBorders>
              <w:left w:val="single" w:sz="4" w:space="0" w:color="000000"/>
              <w:right w:val="single" w:sz="4" w:space="0" w:color="000000"/>
            </w:tcBorders>
          </w:tcPr>
          <w:p>
            <w:pPr>
              <w:pStyle w:val="TableParagraph"/>
              <w:spacing w:before="9"/>
              <w:rPr>
                <w:sz w:val="17"/>
              </w:rPr>
            </w:pPr>
          </w:p>
          <w:p>
            <w:pPr>
              <w:pStyle w:val="TableParagraph"/>
              <w:ind w:left="119" w:right="88"/>
              <w:jc w:val="center"/>
              <w:rPr>
                <w:sz w:val="13"/>
              </w:rPr>
            </w:pPr>
            <w:r>
              <w:rPr>
                <w:sz w:val="13"/>
              </w:rPr>
              <w:t>2.5</w:t>
            </w:r>
          </w:p>
        </w:tc>
        <w:tc>
          <w:tcPr>
            <w:tcW w:w="657" w:type="dxa"/>
            <w:tcBorders>
              <w:left w:val="single" w:sz="4" w:space="0" w:color="000000"/>
              <w:right w:val="single" w:sz="4" w:space="0" w:color="000000"/>
            </w:tcBorders>
          </w:tcPr>
          <w:p>
            <w:pPr>
              <w:pStyle w:val="TableParagraph"/>
              <w:spacing w:before="9"/>
              <w:rPr>
                <w:sz w:val="17"/>
              </w:rPr>
            </w:pPr>
          </w:p>
          <w:p>
            <w:pPr>
              <w:pStyle w:val="TableParagraph"/>
              <w:ind w:left="119" w:right="87"/>
              <w:jc w:val="center"/>
              <w:rPr>
                <w:sz w:val="13"/>
              </w:rPr>
            </w:pPr>
            <w:r>
              <w:rPr>
                <w:sz w:val="13"/>
              </w:rPr>
              <w:t>0.0</w:t>
            </w:r>
          </w:p>
        </w:tc>
        <w:tc>
          <w:tcPr>
            <w:tcW w:w="657" w:type="dxa"/>
            <w:tcBorders>
              <w:left w:val="single" w:sz="4" w:space="0" w:color="000000"/>
              <w:right w:val="single" w:sz="4" w:space="0" w:color="000000"/>
            </w:tcBorders>
          </w:tcPr>
          <w:p>
            <w:pPr>
              <w:pStyle w:val="TableParagraph"/>
              <w:spacing w:before="9"/>
              <w:rPr>
                <w:sz w:val="17"/>
              </w:rPr>
            </w:pPr>
          </w:p>
          <w:p>
            <w:pPr>
              <w:pStyle w:val="TableParagraph"/>
              <w:ind w:left="119" w:right="86"/>
              <w:jc w:val="center"/>
              <w:rPr>
                <w:sz w:val="13"/>
              </w:rPr>
            </w:pPr>
            <w:r>
              <w:rPr>
                <w:sz w:val="13"/>
              </w:rPr>
              <w:t>0.0</w:t>
            </w:r>
          </w:p>
        </w:tc>
        <w:tc>
          <w:tcPr>
            <w:tcW w:w="657" w:type="dxa"/>
            <w:tcBorders>
              <w:left w:val="single" w:sz="4" w:space="0" w:color="000000"/>
              <w:right w:val="single" w:sz="4" w:space="0" w:color="000000"/>
            </w:tcBorders>
          </w:tcPr>
          <w:p>
            <w:pPr>
              <w:pStyle w:val="TableParagraph"/>
              <w:spacing w:before="9"/>
              <w:rPr>
                <w:sz w:val="17"/>
              </w:rPr>
            </w:pPr>
          </w:p>
          <w:p>
            <w:pPr>
              <w:pStyle w:val="TableParagraph"/>
              <w:ind w:right="228"/>
              <w:jc w:val="right"/>
              <w:rPr>
                <w:sz w:val="13"/>
              </w:rPr>
            </w:pPr>
            <w:r>
              <w:rPr>
                <w:w w:val="95"/>
                <w:sz w:val="13"/>
              </w:rPr>
              <w:t>0.0</w:t>
            </w:r>
          </w:p>
        </w:tc>
        <w:tc>
          <w:tcPr>
            <w:tcW w:w="653" w:type="dxa"/>
            <w:tcBorders>
              <w:left w:val="single" w:sz="4" w:space="0" w:color="000000"/>
            </w:tcBorders>
          </w:tcPr>
          <w:p>
            <w:pPr>
              <w:pStyle w:val="TableParagraph"/>
              <w:spacing w:before="9"/>
              <w:rPr>
                <w:sz w:val="17"/>
              </w:rPr>
            </w:pPr>
          </w:p>
          <w:p>
            <w:pPr>
              <w:pStyle w:val="TableParagraph"/>
              <w:ind w:left="188" w:right="145"/>
              <w:jc w:val="center"/>
              <w:rPr>
                <w:sz w:val="13"/>
              </w:rPr>
            </w:pPr>
            <w:r>
              <w:rPr>
                <w:sz w:val="13"/>
              </w:rPr>
              <w:t>0.0</w:t>
            </w:r>
          </w:p>
        </w:tc>
      </w:tr>
    </w:tbl>
    <w:p>
      <w:pPr>
        <w:spacing w:before="0"/>
        <w:ind w:left="562" w:right="0" w:firstLine="0"/>
        <w:jc w:val="both"/>
        <w:rPr>
          <w:sz w:val="16"/>
        </w:rPr>
      </w:pPr>
      <w:r>
        <w:rPr>
          <w:sz w:val="16"/>
        </w:rPr>
        <w:t>Fuente: Dirección de Crédito Público</w:t>
      </w:r>
    </w:p>
    <w:p>
      <w:pPr>
        <w:spacing w:after="0"/>
        <w:jc w:val="both"/>
        <w:rPr>
          <w:sz w:val="16"/>
        </w:rPr>
        <w:sectPr>
          <w:pgSz w:w="12240" w:h="15840"/>
          <w:pgMar w:header="715" w:footer="688" w:top="1240" w:bottom="880" w:left="1140" w:right="0"/>
        </w:sectPr>
      </w:pPr>
    </w:p>
    <w:p>
      <w:pPr>
        <w:pStyle w:val="Heading2"/>
        <w:numPr>
          <w:ilvl w:val="1"/>
          <w:numId w:val="39"/>
        </w:numPr>
        <w:tabs>
          <w:tab w:pos="1354" w:val="left" w:leader="none"/>
        </w:tabs>
        <w:spacing w:line="240" w:lineRule="auto" w:before="167" w:after="0"/>
        <w:ind w:left="1354" w:right="0" w:hanging="433"/>
        <w:jc w:val="left"/>
      </w:pPr>
      <w:bookmarkStart w:name="_bookmark227" w:id="294"/>
      <w:bookmarkEnd w:id="294"/>
      <w:r>
        <w:rPr>
          <w:b w:val="0"/>
        </w:rPr>
      </w:r>
      <w:bookmarkStart w:name="_bookmark227" w:id="295"/>
      <w:bookmarkEnd w:id="295"/>
      <w:r>
        <w:rPr/>
        <w:t>P</w:t>
      </w:r>
      <w:r>
        <w:rPr/>
        <w:t>erspectivas del endeudamiento</w:t>
      </w:r>
      <w:r>
        <w:rPr>
          <w:spacing w:val="-1"/>
        </w:rPr>
        <w:t> </w:t>
      </w:r>
      <w:r>
        <w:rPr/>
        <w:t>público</w:t>
      </w:r>
    </w:p>
    <w:p>
      <w:pPr>
        <w:pStyle w:val="BodyText"/>
        <w:spacing w:before="4"/>
        <w:rPr>
          <w:b/>
          <w:sz w:val="28"/>
        </w:rPr>
      </w:pPr>
    </w:p>
    <w:p>
      <w:pPr>
        <w:pStyle w:val="BodyText"/>
        <w:spacing w:line="276" w:lineRule="auto" w:before="1"/>
        <w:ind w:left="562" w:right="1695"/>
        <w:jc w:val="both"/>
      </w:pPr>
      <w:r>
        <w:rPr/>
        <w:t>En</w:t>
      </w:r>
      <w:r>
        <w:rPr>
          <w:spacing w:val="-4"/>
        </w:rPr>
        <w:t> </w:t>
      </w:r>
      <w:r>
        <w:rPr/>
        <w:t>cuanto</w:t>
      </w:r>
      <w:r>
        <w:rPr>
          <w:spacing w:val="-4"/>
        </w:rPr>
        <w:t> </w:t>
      </w:r>
      <w:r>
        <w:rPr/>
        <w:t>a</w:t>
      </w:r>
      <w:r>
        <w:rPr>
          <w:spacing w:val="-3"/>
        </w:rPr>
        <w:t> </w:t>
      </w:r>
      <w:r>
        <w:rPr/>
        <w:t>las</w:t>
      </w:r>
      <w:r>
        <w:rPr>
          <w:spacing w:val="-3"/>
        </w:rPr>
        <w:t> </w:t>
      </w:r>
      <w:r>
        <w:rPr/>
        <w:t>perspectivas</w:t>
      </w:r>
      <w:r>
        <w:rPr>
          <w:spacing w:val="-3"/>
        </w:rPr>
        <w:t> </w:t>
      </w:r>
      <w:r>
        <w:rPr/>
        <w:t>de</w:t>
      </w:r>
      <w:r>
        <w:rPr>
          <w:spacing w:val="-3"/>
        </w:rPr>
        <w:t> </w:t>
      </w:r>
      <w:r>
        <w:rPr/>
        <w:t>mediano</w:t>
      </w:r>
      <w:r>
        <w:rPr>
          <w:spacing w:val="-3"/>
        </w:rPr>
        <w:t> </w:t>
      </w:r>
      <w:r>
        <w:rPr/>
        <w:t>plazo</w:t>
      </w:r>
      <w:r>
        <w:rPr>
          <w:spacing w:val="-2"/>
        </w:rPr>
        <w:t> </w:t>
      </w:r>
      <w:r>
        <w:rPr/>
        <w:t>de</w:t>
      </w:r>
      <w:r>
        <w:rPr>
          <w:spacing w:val="-3"/>
        </w:rPr>
        <w:t> </w:t>
      </w:r>
      <w:r>
        <w:rPr/>
        <w:t>la</w:t>
      </w:r>
      <w:r>
        <w:rPr>
          <w:spacing w:val="-3"/>
        </w:rPr>
        <w:t> </w:t>
      </w:r>
      <w:r>
        <w:rPr/>
        <w:t>deuda</w:t>
      </w:r>
      <w:r>
        <w:rPr>
          <w:spacing w:val="-3"/>
        </w:rPr>
        <w:t> </w:t>
      </w:r>
      <w:r>
        <w:rPr/>
        <w:t>pública</w:t>
      </w:r>
      <w:r>
        <w:rPr>
          <w:spacing w:val="-3"/>
        </w:rPr>
        <w:t> </w:t>
      </w:r>
      <w:r>
        <w:rPr/>
        <w:t>de</w:t>
      </w:r>
      <w:r>
        <w:rPr>
          <w:spacing w:val="-3"/>
        </w:rPr>
        <w:t> </w:t>
      </w:r>
      <w:r>
        <w:rPr/>
        <w:t>Guatemala,</w:t>
      </w:r>
      <w:r>
        <w:rPr>
          <w:spacing w:val="-4"/>
        </w:rPr>
        <w:t> </w:t>
      </w:r>
      <w:r>
        <w:rPr/>
        <w:t>según</w:t>
      </w:r>
      <w:r>
        <w:rPr>
          <w:spacing w:val="-4"/>
        </w:rPr>
        <w:t> </w:t>
      </w:r>
      <w:r>
        <w:rPr/>
        <w:t>la</w:t>
      </w:r>
      <w:r>
        <w:rPr>
          <w:spacing w:val="-3"/>
        </w:rPr>
        <w:t> </w:t>
      </w:r>
      <w:r>
        <w:rPr/>
        <w:t>propuesta de techos presupuestarios para 2023, ubicaría este indicador de deuda/PIB en 30.7% y mostraría una reducción significativa hasta ubicarse en 26.6% al 2027. Este nivel es el más bajo en toda Centroamérica</w:t>
      </w:r>
      <w:r>
        <w:rPr>
          <w:spacing w:val="-19"/>
        </w:rPr>
        <w:t> </w:t>
      </w:r>
      <w:r>
        <w:rPr/>
        <w:t>incluyendo</w:t>
      </w:r>
      <w:r>
        <w:rPr>
          <w:spacing w:val="-15"/>
        </w:rPr>
        <w:t> </w:t>
      </w:r>
      <w:r>
        <w:rPr/>
        <w:t>a</w:t>
      </w:r>
      <w:r>
        <w:rPr>
          <w:spacing w:val="-19"/>
        </w:rPr>
        <w:t> </w:t>
      </w:r>
      <w:r>
        <w:rPr/>
        <w:t>República</w:t>
      </w:r>
      <w:r>
        <w:rPr>
          <w:spacing w:val="-15"/>
        </w:rPr>
        <w:t> </w:t>
      </w:r>
      <w:r>
        <w:rPr/>
        <w:t>Dominicana.</w:t>
      </w:r>
      <w:r>
        <w:rPr>
          <w:spacing w:val="23"/>
        </w:rPr>
        <w:t> </w:t>
      </w:r>
      <w:r>
        <w:rPr/>
        <w:t>Asimismo,</w:t>
      </w:r>
      <w:r>
        <w:rPr>
          <w:spacing w:val="-17"/>
        </w:rPr>
        <w:t> </w:t>
      </w:r>
      <w:r>
        <w:rPr/>
        <w:t>este</w:t>
      </w:r>
      <w:r>
        <w:rPr>
          <w:spacing w:val="-15"/>
        </w:rPr>
        <w:t> </w:t>
      </w:r>
      <w:r>
        <w:rPr/>
        <w:t>indicador</w:t>
      </w:r>
      <w:r>
        <w:rPr>
          <w:spacing w:val="-16"/>
        </w:rPr>
        <w:t> </w:t>
      </w:r>
      <w:r>
        <w:rPr/>
        <w:t>muestra</w:t>
      </w:r>
      <w:r>
        <w:rPr>
          <w:spacing w:val="-15"/>
        </w:rPr>
        <w:t> </w:t>
      </w:r>
      <w:r>
        <w:rPr/>
        <w:t>una</w:t>
      </w:r>
      <w:r>
        <w:rPr>
          <w:spacing w:val="-16"/>
        </w:rPr>
        <w:t> </w:t>
      </w:r>
      <w:r>
        <w:rPr/>
        <w:t>tendencia sostenible que se encuentra en el mediano plazo por debajo del benchmark para un país de ingreso medio alto, que podría estar entre 50% - 60%, según lo establecen organismos financieros internacionales como el Fondo Monetario Internacional y el Banco Mundial. Esta proyección </w:t>
      </w:r>
      <w:r>
        <w:rPr>
          <w:spacing w:val="-3"/>
        </w:rPr>
        <w:t>es </w:t>
      </w:r>
      <w:r>
        <w:rPr/>
        <w:t>consistente con una gradual consolidación fiscal que inició en 2021 después de que todos los indicadores fiscales sufrieran cambios significativos por la crisis del</w:t>
      </w:r>
      <w:r>
        <w:rPr>
          <w:spacing w:val="-9"/>
        </w:rPr>
        <w:t> </w:t>
      </w:r>
      <w:r>
        <w:rPr/>
        <w:t>COVID-19.</w:t>
      </w:r>
    </w:p>
    <w:p>
      <w:pPr>
        <w:pStyle w:val="BodyText"/>
        <w:spacing w:before="2"/>
        <w:rPr>
          <w:sz w:val="25"/>
        </w:rPr>
      </w:pPr>
    </w:p>
    <w:p>
      <w:pPr>
        <w:pStyle w:val="BodyText"/>
        <w:spacing w:line="276" w:lineRule="auto" w:before="1"/>
        <w:ind w:left="562" w:right="1693"/>
        <w:jc w:val="both"/>
      </w:pPr>
      <w:r>
        <w:rPr/>
        <w:t>En</w:t>
      </w:r>
      <w:r>
        <w:rPr>
          <w:spacing w:val="-10"/>
        </w:rPr>
        <w:t> </w:t>
      </w:r>
      <w:r>
        <w:rPr/>
        <w:t>cuanto</w:t>
      </w:r>
      <w:r>
        <w:rPr>
          <w:spacing w:val="-11"/>
        </w:rPr>
        <w:t> </w:t>
      </w:r>
      <w:r>
        <w:rPr/>
        <w:t>al</w:t>
      </w:r>
      <w:r>
        <w:rPr>
          <w:spacing w:val="-10"/>
        </w:rPr>
        <w:t> </w:t>
      </w:r>
      <w:r>
        <w:rPr/>
        <w:t>indicador</w:t>
      </w:r>
      <w:r>
        <w:rPr>
          <w:spacing w:val="-10"/>
        </w:rPr>
        <w:t> </w:t>
      </w:r>
      <w:r>
        <w:rPr/>
        <w:t>de</w:t>
      </w:r>
      <w:r>
        <w:rPr>
          <w:spacing w:val="-12"/>
        </w:rPr>
        <w:t> </w:t>
      </w:r>
      <w:r>
        <w:rPr/>
        <w:t>deuda/ingresos</w:t>
      </w:r>
      <w:r>
        <w:rPr>
          <w:spacing w:val="-10"/>
        </w:rPr>
        <w:t> </w:t>
      </w:r>
      <w:r>
        <w:rPr/>
        <w:t>fiscales</w:t>
      </w:r>
      <w:r>
        <w:rPr>
          <w:spacing w:val="-8"/>
        </w:rPr>
        <w:t> </w:t>
      </w:r>
      <w:r>
        <w:rPr/>
        <w:t>se</w:t>
      </w:r>
      <w:r>
        <w:rPr>
          <w:spacing w:val="-11"/>
        </w:rPr>
        <w:t> </w:t>
      </w:r>
      <w:r>
        <w:rPr/>
        <w:t>estima</w:t>
      </w:r>
      <w:r>
        <w:rPr>
          <w:spacing w:val="-9"/>
        </w:rPr>
        <w:t> </w:t>
      </w:r>
      <w:r>
        <w:rPr/>
        <w:t>que</w:t>
      </w:r>
      <w:r>
        <w:rPr>
          <w:spacing w:val="-8"/>
        </w:rPr>
        <w:t> </w:t>
      </w:r>
      <w:r>
        <w:rPr/>
        <w:t>podría</w:t>
      </w:r>
      <w:r>
        <w:rPr>
          <w:spacing w:val="-11"/>
        </w:rPr>
        <w:t> </w:t>
      </w:r>
      <w:r>
        <w:rPr/>
        <w:t>ubicarse</w:t>
      </w:r>
      <w:r>
        <w:rPr>
          <w:spacing w:val="-10"/>
        </w:rPr>
        <w:t> </w:t>
      </w:r>
      <w:r>
        <w:rPr/>
        <w:t>para</w:t>
      </w:r>
      <w:r>
        <w:rPr>
          <w:spacing w:val="-9"/>
        </w:rPr>
        <w:t> </w:t>
      </w:r>
      <w:r>
        <w:rPr/>
        <w:t>2023</w:t>
      </w:r>
      <w:r>
        <w:rPr>
          <w:spacing w:val="-11"/>
        </w:rPr>
        <w:t> </w:t>
      </w:r>
      <w:r>
        <w:rPr/>
        <w:t>en</w:t>
      </w:r>
      <w:r>
        <w:rPr>
          <w:spacing w:val="-11"/>
        </w:rPr>
        <w:t> </w:t>
      </w:r>
      <w:r>
        <w:rPr/>
        <w:t>259.5%, para</w:t>
      </w:r>
      <w:r>
        <w:rPr>
          <w:spacing w:val="-8"/>
        </w:rPr>
        <w:t> </w:t>
      </w:r>
      <w:r>
        <w:rPr/>
        <w:t>2024</w:t>
      </w:r>
      <w:r>
        <w:rPr>
          <w:spacing w:val="-8"/>
        </w:rPr>
        <w:t> </w:t>
      </w:r>
      <w:r>
        <w:rPr/>
        <w:t>se</w:t>
      </w:r>
      <w:r>
        <w:rPr>
          <w:spacing w:val="-7"/>
        </w:rPr>
        <w:t> </w:t>
      </w:r>
      <w:r>
        <w:rPr/>
        <w:t>prevé</w:t>
      </w:r>
      <w:r>
        <w:rPr>
          <w:spacing w:val="-8"/>
        </w:rPr>
        <w:t> </w:t>
      </w:r>
      <w:r>
        <w:rPr/>
        <w:t>que</w:t>
      </w:r>
      <w:r>
        <w:rPr>
          <w:spacing w:val="-8"/>
        </w:rPr>
        <w:t> </w:t>
      </w:r>
      <w:r>
        <w:rPr/>
        <w:t>podría</w:t>
      </w:r>
      <w:r>
        <w:rPr>
          <w:spacing w:val="-7"/>
        </w:rPr>
        <w:t> </w:t>
      </w:r>
      <w:r>
        <w:rPr/>
        <w:t>situarse</w:t>
      </w:r>
      <w:r>
        <w:rPr>
          <w:spacing w:val="-8"/>
        </w:rPr>
        <w:t> </w:t>
      </w:r>
      <w:r>
        <w:rPr/>
        <w:t>en</w:t>
      </w:r>
      <w:r>
        <w:rPr>
          <w:spacing w:val="-8"/>
        </w:rPr>
        <w:t> </w:t>
      </w:r>
      <w:r>
        <w:rPr/>
        <w:t>248.2%</w:t>
      </w:r>
      <w:r>
        <w:rPr>
          <w:spacing w:val="-8"/>
        </w:rPr>
        <w:t> </w:t>
      </w:r>
      <w:r>
        <w:rPr/>
        <w:t>del</w:t>
      </w:r>
      <w:r>
        <w:rPr>
          <w:spacing w:val="-7"/>
        </w:rPr>
        <w:t> </w:t>
      </w:r>
      <w:r>
        <w:rPr/>
        <w:t>PIB</w:t>
      </w:r>
      <w:r>
        <w:rPr>
          <w:spacing w:val="-8"/>
        </w:rPr>
        <w:t> </w:t>
      </w:r>
      <w:r>
        <w:rPr/>
        <w:t>y</w:t>
      </w:r>
      <w:r>
        <w:rPr>
          <w:spacing w:val="-7"/>
        </w:rPr>
        <w:t> </w:t>
      </w:r>
      <w:r>
        <w:rPr/>
        <w:t>para</w:t>
      </w:r>
      <w:r>
        <w:rPr>
          <w:spacing w:val="-7"/>
        </w:rPr>
        <w:t> </w:t>
      </w:r>
      <w:r>
        <w:rPr/>
        <w:t>2025</w:t>
      </w:r>
      <w:r>
        <w:rPr>
          <w:spacing w:val="-8"/>
        </w:rPr>
        <w:t> </w:t>
      </w:r>
      <w:r>
        <w:rPr/>
        <w:t>este</w:t>
      </w:r>
      <w:r>
        <w:rPr>
          <w:spacing w:val="-8"/>
        </w:rPr>
        <w:t> </w:t>
      </w:r>
      <w:r>
        <w:rPr/>
        <w:t>indicador</w:t>
      </w:r>
      <w:r>
        <w:rPr>
          <w:spacing w:val="-7"/>
        </w:rPr>
        <w:t> </w:t>
      </w:r>
      <w:r>
        <w:rPr/>
        <w:t>podría</w:t>
      </w:r>
      <w:r>
        <w:rPr>
          <w:spacing w:val="-7"/>
        </w:rPr>
        <w:t> </w:t>
      </w:r>
      <w:r>
        <w:rPr/>
        <w:t>reducirse a 241.2%. El máximo recomendado para países de ingreso bajo oscila entre 250% y 300%. Sin embargo, este indicador no aplica para economías de ingreso medio alto como Guatemala, que no precisa</w:t>
      </w:r>
      <w:r>
        <w:rPr>
          <w:spacing w:val="-9"/>
        </w:rPr>
        <w:t> </w:t>
      </w:r>
      <w:r>
        <w:rPr/>
        <w:t>de</w:t>
      </w:r>
      <w:r>
        <w:rPr>
          <w:spacing w:val="-7"/>
        </w:rPr>
        <w:t> </w:t>
      </w:r>
      <w:r>
        <w:rPr/>
        <w:t>un</w:t>
      </w:r>
      <w:r>
        <w:rPr>
          <w:spacing w:val="-7"/>
        </w:rPr>
        <w:t> </w:t>
      </w:r>
      <w:r>
        <w:rPr/>
        <w:t>máximo</w:t>
      </w:r>
      <w:r>
        <w:rPr>
          <w:spacing w:val="-7"/>
        </w:rPr>
        <w:t> </w:t>
      </w:r>
      <w:r>
        <w:rPr/>
        <w:t>para</w:t>
      </w:r>
      <w:r>
        <w:rPr>
          <w:spacing w:val="-8"/>
        </w:rPr>
        <w:t> </w:t>
      </w:r>
      <w:r>
        <w:rPr/>
        <w:t>estas</w:t>
      </w:r>
      <w:r>
        <w:rPr>
          <w:spacing w:val="-7"/>
        </w:rPr>
        <w:t> </w:t>
      </w:r>
      <w:r>
        <w:rPr/>
        <w:t>economías.</w:t>
      </w:r>
      <w:r>
        <w:rPr>
          <w:spacing w:val="-5"/>
        </w:rPr>
        <w:t> </w:t>
      </w:r>
      <w:r>
        <w:rPr/>
        <w:t>No</w:t>
      </w:r>
      <w:r>
        <w:rPr>
          <w:spacing w:val="-10"/>
        </w:rPr>
        <w:t> </w:t>
      </w:r>
      <w:r>
        <w:rPr/>
        <w:t>obstante,</w:t>
      </w:r>
      <w:r>
        <w:rPr>
          <w:spacing w:val="-5"/>
        </w:rPr>
        <w:t> </w:t>
      </w:r>
      <w:r>
        <w:rPr/>
        <w:t>se</w:t>
      </w:r>
      <w:r>
        <w:rPr>
          <w:spacing w:val="-7"/>
        </w:rPr>
        <w:t> </w:t>
      </w:r>
      <w:r>
        <w:rPr/>
        <w:t>le</w:t>
      </w:r>
      <w:r>
        <w:rPr>
          <w:spacing w:val="-7"/>
        </w:rPr>
        <w:t> </w:t>
      </w:r>
      <w:r>
        <w:rPr/>
        <w:t>sigue</w:t>
      </w:r>
      <w:r>
        <w:rPr>
          <w:spacing w:val="-7"/>
        </w:rPr>
        <w:t> </w:t>
      </w:r>
      <w:r>
        <w:rPr/>
        <w:t>dando</w:t>
      </w:r>
      <w:r>
        <w:rPr>
          <w:spacing w:val="-6"/>
        </w:rPr>
        <w:t> </w:t>
      </w:r>
      <w:r>
        <w:rPr/>
        <w:t>seguimiento</w:t>
      </w:r>
      <w:r>
        <w:rPr>
          <w:spacing w:val="-7"/>
        </w:rPr>
        <w:t> </w:t>
      </w:r>
      <w:r>
        <w:rPr/>
        <w:t>por</w:t>
      </w:r>
      <w:r>
        <w:rPr>
          <w:spacing w:val="-6"/>
        </w:rPr>
        <w:t> </w:t>
      </w:r>
      <w:r>
        <w:rPr/>
        <w:t>el</w:t>
      </w:r>
      <w:r>
        <w:rPr>
          <w:spacing w:val="-6"/>
        </w:rPr>
        <w:t> </w:t>
      </w:r>
      <w:r>
        <w:rPr/>
        <w:t>efecto que tiene en la capacidad efectiva para hacer frente a los compromisos de deuda. La principal razón por</w:t>
      </w:r>
      <w:r>
        <w:rPr>
          <w:spacing w:val="-6"/>
        </w:rPr>
        <w:t> </w:t>
      </w:r>
      <w:r>
        <w:rPr/>
        <w:t>la</w:t>
      </w:r>
      <w:r>
        <w:rPr>
          <w:spacing w:val="-6"/>
        </w:rPr>
        <w:t> </w:t>
      </w:r>
      <w:r>
        <w:rPr/>
        <w:t>que</w:t>
      </w:r>
      <w:r>
        <w:rPr>
          <w:spacing w:val="-8"/>
        </w:rPr>
        <w:t> </w:t>
      </w:r>
      <w:r>
        <w:rPr/>
        <w:t>el</w:t>
      </w:r>
      <w:r>
        <w:rPr>
          <w:spacing w:val="-8"/>
        </w:rPr>
        <w:t> </w:t>
      </w:r>
      <w:r>
        <w:rPr/>
        <w:t>indicador</w:t>
      </w:r>
      <w:r>
        <w:rPr>
          <w:spacing w:val="-5"/>
        </w:rPr>
        <w:t> </w:t>
      </w:r>
      <w:r>
        <w:rPr/>
        <w:t>tuvo</w:t>
      </w:r>
      <w:r>
        <w:rPr>
          <w:spacing w:val="-6"/>
        </w:rPr>
        <w:t> </w:t>
      </w:r>
      <w:r>
        <w:rPr/>
        <w:t>un</w:t>
      </w:r>
      <w:r>
        <w:rPr>
          <w:spacing w:val="-6"/>
        </w:rPr>
        <w:t> </w:t>
      </w:r>
      <w:r>
        <w:rPr/>
        <w:t>nivel</w:t>
      </w:r>
      <w:r>
        <w:rPr>
          <w:spacing w:val="-6"/>
        </w:rPr>
        <w:t> </w:t>
      </w:r>
      <w:r>
        <w:rPr/>
        <w:t>relativamente</w:t>
      </w:r>
      <w:r>
        <w:rPr>
          <w:spacing w:val="-6"/>
        </w:rPr>
        <w:t> </w:t>
      </w:r>
      <w:r>
        <w:rPr/>
        <w:t>alto</w:t>
      </w:r>
      <w:r>
        <w:rPr>
          <w:spacing w:val="-9"/>
        </w:rPr>
        <w:t> </w:t>
      </w:r>
      <w:r>
        <w:rPr/>
        <w:t>fue</w:t>
      </w:r>
      <w:r>
        <w:rPr>
          <w:spacing w:val="-2"/>
        </w:rPr>
        <w:t> </w:t>
      </w:r>
      <w:r>
        <w:rPr/>
        <w:t>por</w:t>
      </w:r>
      <w:r>
        <w:rPr>
          <w:spacing w:val="-5"/>
        </w:rPr>
        <w:t> </w:t>
      </w:r>
      <w:r>
        <w:rPr/>
        <w:t>el</w:t>
      </w:r>
      <w:r>
        <w:rPr>
          <w:spacing w:val="-5"/>
        </w:rPr>
        <w:t> </w:t>
      </w:r>
      <w:r>
        <w:rPr/>
        <w:t>fuerte</w:t>
      </w:r>
      <w:r>
        <w:rPr>
          <w:spacing w:val="-6"/>
        </w:rPr>
        <w:t> </w:t>
      </w:r>
      <w:r>
        <w:rPr/>
        <w:t>aumento</w:t>
      </w:r>
      <w:r>
        <w:rPr>
          <w:spacing w:val="-6"/>
        </w:rPr>
        <w:t> </w:t>
      </w:r>
      <w:r>
        <w:rPr/>
        <w:t>de</w:t>
      </w:r>
      <w:r>
        <w:rPr>
          <w:spacing w:val="-7"/>
        </w:rPr>
        <w:t> </w:t>
      </w:r>
      <w:r>
        <w:rPr/>
        <w:t>la</w:t>
      </w:r>
      <w:r>
        <w:rPr>
          <w:spacing w:val="-6"/>
        </w:rPr>
        <w:t> </w:t>
      </w:r>
      <w:r>
        <w:rPr/>
        <w:t>deuda</w:t>
      </w:r>
      <w:r>
        <w:rPr>
          <w:spacing w:val="-8"/>
        </w:rPr>
        <w:t> </w:t>
      </w:r>
      <w:r>
        <w:rPr/>
        <w:t>en</w:t>
      </w:r>
      <w:r>
        <w:rPr>
          <w:spacing w:val="-6"/>
        </w:rPr>
        <w:t> </w:t>
      </w:r>
      <w:r>
        <w:rPr/>
        <w:t>2020 para</w:t>
      </w:r>
      <w:r>
        <w:rPr>
          <w:spacing w:val="-6"/>
        </w:rPr>
        <w:t> </w:t>
      </w:r>
      <w:r>
        <w:rPr/>
        <w:t>poder</w:t>
      </w:r>
      <w:r>
        <w:rPr>
          <w:spacing w:val="-3"/>
        </w:rPr>
        <w:t> </w:t>
      </w:r>
      <w:r>
        <w:rPr/>
        <w:t>contrarrestar</w:t>
      </w:r>
      <w:r>
        <w:rPr>
          <w:spacing w:val="-5"/>
        </w:rPr>
        <w:t> </w:t>
      </w:r>
      <w:r>
        <w:rPr/>
        <w:t>los</w:t>
      </w:r>
      <w:r>
        <w:rPr>
          <w:spacing w:val="-6"/>
        </w:rPr>
        <w:t> </w:t>
      </w:r>
      <w:r>
        <w:rPr/>
        <w:t>efectos</w:t>
      </w:r>
      <w:r>
        <w:rPr>
          <w:spacing w:val="-3"/>
        </w:rPr>
        <w:t> </w:t>
      </w:r>
      <w:r>
        <w:rPr/>
        <w:t>de</w:t>
      </w:r>
      <w:r>
        <w:rPr>
          <w:spacing w:val="-6"/>
        </w:rPr>
        <w:t> </w:t>
      </w:r>
      <w:r>
        <w:rPr/>
        <w:t>la</w:t>
      </w:r>
      <w:r>
        <w:rPr>
          <w:spacing w:val="-6"/>
        </w:rPr>
        <w:t> </w:t>
      </w:r>
      <w:r>
        <w:rPr/>
        <w:t>pandemia,</w:t>
      </w:r>
      <w:r>
        <w:rPr>
          <w:spacing w:val="-3"/>
        </w:rPr>
        <w:t> </w:t>
      </w:r>
      <w:r>
        <w:rPr/>
        <w:t>además</w:t>
      </w:r>
      <w:r>
        <w:rPr>
          <w:spacing w:val="-3"/>
        </w:rPr>
        <w:t> </w:t>
      </w:r>
      <w:r>
        <w:rPr/>
        <w:t>de</w:t>
      </w:r>
      <w:r>
        <w:rPr>
          <w:spacing w:val="-2"/>
        </w:rPr>
        <w:t> </w:t>
      </w:r>
      <w:r>
        <w:rPr/>
        <w:t>la</w:t>
      </w:r>
      <w:r>
        <w:rPr>
          <w:spacing w:val="-6"/>
        </w:rPr>
        <w:t> </w:t>
      </w:r>
      <w:r>
        <w:rPr/>
        <w:t>caída</w:t>
      </w:r>
      <w:r>
        <w:rPr>
          <w:spacing w:val="-6"/>
        </w:rPr>
        <w:t> </w:t>
      </w:r>
      <w:r>
        <w:rPr/>
        <w:t>de</w:t>
      </w:r>
      <w:r>
        <w:rPr>
          <w:spacing w:val="-6"/>
        </w:rPr>
        <w:t> </w:t>
      </w:r>
      <w:r>
        <w:rPr/>
        <w:t>los</w:t>
      </w:r>
      <w:r>
        <w:rPr>
          <w:spacing w:val="-5"/>
        </w:rPr>
        <w:t> </w:t>
      </w:r>
      <w:r>
        <w:rPr/>
        <w:t>ingresos</w:t>
      </w:r>
      <w:r>
        <w:rPr>
          <w:spacing w:val="-5"/>
        </w:rPr>
        <w:t> </w:t>
      </w:r>
      <w:r>
        <w:rPr/>
        <w:t>tributarios,</w:t>
      </w:r>
      <w:r>
        <w:rPr>
          <w:spacing w:val="-3"/>
        </w:rPr>
        <w:t> </w:t>
      </w:r>
      <w:r>
        <w:rPr/>
        <w:t>en el mediano plazo se podría retornar a los valores observados previo a la crisis del COVID-19, la relación deuda / ingreso se mantendría con una tendencia descendente hasta alcanzar un 218.4% en 2027.</w:t>
      </w:r>
    </w:p>
    <w:p>
      <w:pPr>
        <w:pStyle w:val="BodyText"/>
        <w:spacing w:before="9"/>
        <w:rPr>
          <w:sz w:val="25"/>
        </w:rPr>
      </w:pPr>
    </w:p>
    <w:p>
      <w:pPr>
        <w:spacing w:before="0"/>
        <w:ind w:left="2256" w:right="0" w:firstLine="0"/>
        <w:jc w:val="left"/>
        <w:rPr>
          <w:b/>
          <w:sz w:val="22"/>
        </w:rPr>
      </w:pPr>
      <w:bookmarkStart w:name="_bookmark228" w:id="296"/>
      <w:bookmarkEnd w:id="296"/>
      <w:r>
        <w:rPr/>
      </w:r>
      <w:r>
        <w:rPr>
          <w:b/>
          <w:i/>
          <w:sz w:val="20"/>
        </w:rPr>
        <w:t>Gráfico 112. </w:t>
      </w:r>
      <w:r>
        <w:rPr>
          <w:b/>
          <w:sz w:val="22"/>
        </w:rPr>
        <w:t>Indicadores de Solvencia de la Deuda Pública</w:t>
      </w:r>
    </w:p>
    <w:p>
      <w:pPr>
        <w:spacing w:after="0"/>
        <w:jc w:val="left"/>
        <w:rPr>
          <w:sz w:val="22"/>
        </w:rPr>
        <w:sectPr>
          <w:pgSz w:w="12240" w:h="15840"/>
          <w:pgMar w:header="715" w:footer="688" w:top="1240" w:bottom="880" w:left="1140" w:right="0"/>
        </w:sectPr>
      </w:pPr>
    </w:p>
    <w:p>
      <w:pPr>
        <w:pStyle w:val="Heading3"/>
        <w:spacing w:before="152"/>
        <w:ind w:left="2426" w:right="-15" w:hanging="432"/>
      </w:pPr>
      <w:r>
        <w:rPr/>
        <w:t>Relación deuda/PIB Porcentaje</w:t>
      </w:r>
    </w:p>
    <w:p>
      <w:pPr>
        <w:spacing w:before="191"/>
        <w:ind w:left="2925" w:right="2218" w:hanging="1011"/>
        <w:jc w:val="left"/>
        <w:rPr>
          <w:b/>
          <w:sz w:val="22"/>
        </w:rPr>
      </w:pPr>
      <w:r>
        <w:rPr/>
        <w:br w:type="column"/>
      </w:r>
      <w:r>
        <w:rPr>
          <w:b/>
          <w:sz w:val="22"/>
        </w:rPr>
        <w:t>Relación deuda/Ingresos fiscales Porcentaje</w:t>
      </w:r>
    </w:p>
    <w:p>
      <w:pPr>
        <w:spacing w:before="76"/>
        <w:ind w:left="1582" w:right="0" w:firstLine="0"/>
        <w:jc w:val="left"/>
        <w:rPr>
          <w:b/>
          <w:sz w:val="18"/>
        </w:rPr>
      </w:pPr>
      <w:r>
        <w:rPr/>
        <w:pict>
          <v:group style="position:absolute;margin-left:101.400002pt;margin-top:5.382313pt;width:205.45pt;height:142.65pt;mso-position-horizontal-relative:page;mso-position-vertical-relative:paragraph;z-index:253275136" coordorigin="2028,108" coordsize="4109,2853">
            <v:shape style="position:absolute;left:2049;top:303;width:576;height:2657" type="#_x0000_t75" stroked="false">
              <v:imagedata r:id="rId350" o:title=""/>
            </v:shape>
            <v:shape style="position:absolute;left:2560;top:570;width:578;height:2391" type="#_x0000_t75" stroked="false">
              <v:imagedata r:id="rId351" o:title=""/>
            </v:shape>
            <v:shape style="position:absolute;left:3072;top:493;width:3065;height:2468" type="#_x0000_t75" stroked="false">
              <v:imagedata r:id="rId352" o:title=""/>
            </v:shape>
            <v:rect style="position:absolute;left:2080;top:394;width:408;height:2554" filled="true" fillcolor="#ffff00" stroked="false">
              <v:fill type="solid"/>
            </v:rect>
            <v:rect style="position:absolute;left:2080;top:394;width:408;height:2554" filled="false" stroked="true" strokeweight=".72pt" strokecolor="#000000">
              <v:stroke dashstyle="solid"/>
            </v:rect>
            <v:rect style="position:absolute;left:2592;top:661;width:411;height:2288" filled="true" fillcolor="#ffff00" stroked="false">
              <v:fill type="solid"/>
            </v:rect>
            <v:rect style="position:absolute;left:2592;top:661;width:411;height:2288" filled="false" stroked="true" strokeweight=".72pt" strokecolor="#000000">
              <v:stroke dashstyle="solid"/>
            </v:rect>
            <v:shape style="position:absolute;left:3103;top:584;width:2969;height:2364" coordorigin="3103,584" coordsize="2969,2364" path="m3514,584l3103,584,3103,2948,3514,2948,3514,584m4025,688l3614,688,3614,2948,4025,2948,4025,688m4536,788l4128,788,4128,2948,4536,2948,4536,788m5047,1091l4639,1091,4639,2948,5047,2948,5047,1091m5561,1564l5150,1564,5150,2948,5561,2948,5561,1564m6072,2070l5662,2070,5662,2948,6072,2948,6072,2070e" filled="true" fillcolor="#ffc000" stroked="false">
              <v:path arrowok="t"/>
              <v:fill type="solid"/>
            </v:shape>
            <v:shape style="position:absolute;left:0;top:6464;width:2969;height:2364" coordorigin="0,6464" coordsize="2969,2364" path="m3103,584l3514,584,3514,2948,3103,2948,3103,584xm3614,688l4025,688,4025,2948,3614,2948,3614,688xm4128,788l4536,788,4536,2948,4128,2948,4128,788xm4639,1091l5047,1091,5047,2948,4639,2948,4639,1091xm5150,1564l5561,1564,5561,2948,5150,2948,5150,1564xm5662,2070l6072,2070,6072,2948,5662,2948,5662,2070xe" filled="false" stroked="true" strokeweight=".72pt" strokecolor="#000000">
              <v:path arrowok="t"/>
              <v:stroke dashstyle="solid"/>
            </v:shape>
            <v:line style="position:absolute" from="2028,2948" to="6122,2948" stroked="true" strokeweight=".72pt" strokecolor="#d9d9d9">
              <v:stroke dashstyle="solid"/>
            </v:line>
            <v:shape style="position:absolute;left:2124;top:107;width:338;height:200" type="#_x0000_t202" filled="false" stroked="false">
              <v:textbox inset="0,0,0,0">
                <w:txbxContent>
                  <w:p>
                    <w:pPr>
                      <w:spacing w:line="199" w:lineRule="exact" w:before="0"/>
                      <w:ind w:left="0" w:right="0" w:firstLine="0"/>
                      <w:jc w:val="left"/>
                      <w:rPr>
                        <w:b/>
                        <w:sz w:val="18"/>
                      </w:rPr>
                    </w:pPr>
                    <w:r>
                      <w:rPr>
                        <w:b/>
                        <w:sz w:val="18"/>
                      </w:rPr>
                      <w:t>31.6</w:t>
                    </w:r>
                  </w:p>
                </w:txbxContent>
              </v:textbox>
              <w10:wrap type="none"/>
            </v:shape>
            <v:shape style="position:absolute;left:2636;top:373;width:338;height:200" type="#_x0000_t202" filled="false" stroked="false">
              <v:textbox inset="0,0,0,0">
                <w:txbxContent>
                  <w:p>
                    <w:pPr>
                      <w:spacing w:line="199" w:lineRule="exact" w:before="0"/>
                      <w:ind w:left="0" w:right="0" w:firstLine="0"/>
                      <w:jc w:val="left"/>
                      <w:rPr>
                        <w:b/>
                        <w:sz w:val="18"/>
                      </w:rPr>
                    </w:pPr>
                    <w:r>
                      <w:rPr>
                        <w:b/>
                        <w:sz w:val="18"/>
                      </w:rPr>
                      <w:t>30.8</w:t>
                    </w:r>
                  </w:p>
                </w:txbxContent>
              </v:textbox>
              <w10:wrap type="none"/>
            </v:shape>
            <v:shape style="position:absolute;left:3148;top:297;width:338;height:200" type="#_x0000_t202" filled="false" stroked="false">
              <v:textbox inset="0,0,0,0">
                <w:txbxContent>
                  <w:p>
                    <w:pPr>
                      <w:spacing w:line="199" w:lineRule="exact" w:before="0"/>
                      <w:ind w:left="0" w:right="0" w:firstLine="0"/>
                      <w:jc w:val="left"/>
                      <w:rPr>
                        <w:b/>
                        <w:sz w:val="18"/>
                      </w:rPr>
                    </w:pPr>
                    <w:r>
                      <w:rPr>
                        <w:b/>
                        <w:sz w:val="18"/>
                      </w:rPr>
                      <w:t>31.0</w:t>
                    </w:r>
                  </w:p>
                </w:txbxContent>
              </v:textbox>
              <w10:wrap type="none"/>
            </v:shape>
            <v:shape style="position:absolute;left:3660;top:398;width:338;height:200" type="#_x0000_t202" filled="false" stroked="false">
              <v:textbox inset="0,0,0,0">
                <w:txbxContent>
                  <w:p>
                    <w:pPr>
                      <w:spacing w:line="199" w:lineRule="exact" w:before="0"/>
                      <w:ind w:left="0" w:right="0" w:firstLine="0"/>
                      <w:jc w:val="left"/>
                      <w:rPr>
                        <w:b/>
                        <w:sz w:val="18"/>
                      </w:rPr>
                    </w:pPr>
                    <w:r>
                      <w:rPr>
                        <w:b/>
                        <w:sz w:val="18"/>
                      </w:rPr>
                      <w:t>30.7</w:t>
                    </w:r>
                  </w:p>
                </w:txbxContent>
              </v:textbox>
              <w10:wrap type="none"/>
            </v:shape>
            <v:shape style="position:absolute;left:4172;top:499;width:338;height:200" type="#_x0000_t202" filled="false" stroked="false">
              <v:textbox inset="0,0,0,0">
                <w:txbxContent>
                  <w:p>
                    <w:pPr>
                      <w:spacing w:line="199" w:lineRule="exact" w:before="0"/>
                      <w:ind w:left="0" w:right="0" w:firstLine="0"/>
                      <w:jc w:val="left"/>
                      <w:rPr>
                        <w:b/>
                        <w:sz w:val="18"/>
                      </w:rPr>
                    </w:pPr>
                    <w:r>
                      <w:rPr>
                        <w:b/>
                        <w:sz w:val="18"/>
                      </w:rPr>
                      <w:t>30.4</w:t>
                    </w:r>
                  </w:p>
                </w:txbxContent>
              </v:textbox>
              <w10:wrap type="none"/>
            </v:shape>
            <v:shape style="position:absolute;left:4683;top:803;width:338;height:200" type="#_x0000_t202" filled="false" stroked="false">
              <v:textbox inset="0,0,0,0">
                <w:txbxContent>
                  <w:p>
                    <w:pPr>
                      <w:spacing w:line="199" w:lineRule="exact" w:before="0"/>
                      <w:ind w:left="0" w:right="0" w:firstLine="0"/>
                      <w:jc w:val="left"/>
                      <w:rPr>
                        <w:b/>
                        <w:sz w:val="18"/>
                      </w:rPr>
                    </w:pPr>
                    <w:r>
                      <w:rPr>
                        <w:b/>
                        <w:sz w:val="18"/>
                      </w:rPr>
                      <w:t>29.5</w:t>
                    </w:r>
                  </w:p>
                </w:txbxContent>
              </v:textbox>
              <w10:wrap type="none"/>
            </v:shape>
            <v:shape style="position:absolute;left:5195;top:1276;width:338;height:200" type="#_x0000_t202" filled="false" stroked="false">
              <v:textbox inset="0,0,0,0">
                <w:txbxContent>
                  <w:p>
                    <w:pPr>
                      <w:spacing w:line="199" w:lineRule="exact" w:before="0"/>
                      <w:ind w:left="0" w:right="0" w:firstLine="0"/>
                      <w:jc w:val="left"/>
                      <w:rPr>
                        <w:b/>
                        <w:sz w:val="18"/>
                      </w:rPr>
                    </w:pPr>
                    <w:r>
                      <w:rPr>
                        <w:b/>
                        <w:sz w:val="18"/>
                      </w:rPr>
                      <w:t>28.1</w:t>
                    </w:r>
                  </w:p>
                </w:txbxContent>
              </v:textbox>
              <w10:wrap type="none"/>
            </v:shape>
            <v:shape style="position:absolute;left:5707;top:1782;width:338;height:200" type="#_x0000_t202" filled="false" stroked="false">
              <v:textbox inset="0,0,0,0">
                <w:txbxContent>
                  <w:p>
                    <w:pPr>
                      <w:spacing w:line="199" w:lineRule="exact" w:before="0"/>
                      <w:ind w:left="0" w:right="0" w:firstLine="0"/>
                      <w:jc w:val="left"/>
                      <w:rPr>
                        <w:b/>
                        <w:sz w:val="18"/>
                      </w:rPr>
                    </w:pPr>
                    <w:r>
                      <w:rPr>
                        <w:b/>
                        <w:sz w:val="18"/>
                      </w:rPr>
                      <w:t>26.6</w:t>
                    </w:r>
                  </w:p>
                </w:txbxContent>
              </v:textbox>
              <w10:wrap type="none"/>
            </v:shape>
            <w10:wrap type="none"/>
          </v:group>
        </w:pict>
      </w:r>
      <w:r>
        <w:rPr>
          <w:b/>
          <w:sz w:val="18"/>
        </w:rPr>
        <w:t>295.3</w:t>
      </w:r>
    </w:p>
    <w:p>
      <w:pPr>
        <w:spacing w:after="0"/>
        <w:jc w:val="left"/>
        <w:rPr>
          <w:sz w:val="18"/>
        </w:rPr>
        <w:sectPr>
          <w:type w:val="continuous"/>
          <w:pgSz w:w="12240" w:h="15840"/>
          <w:pgMar w:top="1500" w:bottom="280" w:left="1140" w:right="0"/>
          <w:cols w:num="2" w:equalWidth="0">
            <w:col w:w="3876" w:space="40"/>
            <w:col w:w="7184"/>
          </w:cols>
        </w:sectPr>
      </w:pPr>
    </w:p>
    <w:p>
      <w:pPr>
        <w:pStyle w:val="BodyText"/>
        <w:spacing w:before="5"/>
        <w:rPr>
          <w:b/>
          <w:sz w:val="3"/>
        </w:rPr>
      </w:pPr>
    </w:p>
    <w:p>
      <w:pPr>
        <w:pStyle w:val="BodyText"/>
        <w:ind w:left="5459"/>
        <w:rPr>
          <w:sz w:val="20"/>
        </w:rPr>
      </w:pPr>
      <w:r>
        <w:rPr>
          <w:sz w:val="20"/>
        </w:rPr>
        <w:pict>
          <v:group style="width:188.9pt;height:128.65pt;mso-position-horizontal-relative:char;mso-position-vertical-relative:line" coordorigin="0,0" coordsize="3778,2573">
            <v:shape style="position:absolute;left:0;top:0;width:545;height:2573" type="#_x0000_t75" stroked="false">
              <v:imagedata r:id="rId353" o:title=""/>
            </v:shape>
            <v:shape style="position:absolute;left:468;top:1228;width:547;height:1344" type="#_x0000_t75" stroked="false">
              <v:imagedata r:id="rId354" o:title=""/>
            </v:shape>
            <v:shape style="position:absolute;left:938;top:672;width:2840;height:1901" type="#_x0000_t75" stroked="false">
              <v:imagedata r:id="rId355" o:title=""/>
            </v:shape>
            <v:rect style="position:absolute;left:45;top:48;width:380;height:2513" filled="true" fillcolor="#2d75b6" stroked="false">
              <v:fill type="solid"/>
            </v:rect>
            <v:rect style="position:absolute;left:45;top:48;width:380;height:2513" filled="false" stroked="true" strokeweight=".72pt" strokecolor="#000000">
              <v:stroke dashstyle="solid"/>
            </v:rect>
            <v:rect style="position:absolute;left:516;top:1276;width:380;height:1284" filled="true" fillcolor="#2d75b6" stroked="false">
              <v:fill type="solid"/>
            </v:rect>
            <v:rect style="position:absolute;left:516;top:1276;width:380;height:1284" filled="false" stroked="true" strokeweight=".72pt" strokecolor="#000000">
              <v:stroke dashstyle="solid"/>
            </v:rect>
            <v:rect style="position:absolute;left:986;top:720;width:380;height:1841" filled="true" fillcolor="#1f4e79" stroked="false">
              <v:fill type="solid"/>
            </v:rect>
            <v:rect style="position:absolute;left:1456;top:991;width:380;height:1570" filled="true" fillcolor="#1f4e79" stroked="false">
              <v:fill type="solid"/>
            </v:rect>
            <v:rect style="position:absolute;left:1927;top:1288;width:380;height:1272" filled="true" fillcolor="#1f4e79" stroked="false">
              <v:fill type="solid"/>
            </v:rect>
            <v:rect style="position:absolute;left:2397;top:1473;width:380;height:1088" filled="true" fillcolor="#1f4e79" stroked="false">
              <v:fill type="solid"/>
            </v:rect>
            <v:rect style="position:absolute;left:2868;top:1764;width:380;height:797" filled="true" fillcolor="#1f4e79" stroked="false">
              <v:fill type="solid"/>
            </v:rect>
            <v:rect style="position:absolute;left:3338;top:2076;width:380;height:485" filled="true" fillcolor="#1f4e79" stroked="false">
              <v:fill type="solid"/>
            </v:rect>
            <v:rect style="position:absolute;left:986;top:720;width:380;height:1841" filled="false" stroked="true" strokeweight=".72pt" strokecolor="#000000">
              <v:stroke dashstyle="solid"/>
            </v:rect>
            <v:rect style="position:absolute;left:1456;top:991;width:380;height:1570" filled="false" stroked="true" strokeweight=".72pt" strokecolor="#000000">
              <v:stroke dashstyle="solid"/>
            </v:rect>
            <v:rect style="position:absolute;left:1927;top:1288;width:380;height:1272" filled="false" stroked="true" strokeweight=".72pt" strokecolor="#000000">
              <v:stroke dashstyle="solid"/>
            </v:rect>
            <v:rect style="position:absolute;left:2397;top:1473;width:380;height:1088" filled="false" stroked="true" strokeweight=".72pt" strokecolor="#000000">
              <v:stroke dashstyle="solid"/>
            </v:rect>
            <v:rect style="position:absolute;left:2868;top:1764;width:380;height:797" filled="false" stroked="true" strokeweight=".72pt" strokecolor="#000000">
              <v:stroke dashstyle="solid"/>
            </v:rect>
            <v:rect style="position:absolute;left:3338;top:2076;width:380;height:485" filled="false" stroked="true" strokeweight=".72pt" strokecolor="#000000">
              <v:stroke dashstyle="solid"/>
            </v:rect>
            <v:line style="position:absolute" from="0,2561" to="3763,2561" stroked="true" strokeweight=".72pt" strokecolor="#d9d9d9">
              <v:stroke dashstyle="solid"/>
            </v:line>
            <v:shape style="position:absolute;left:971;top:432;width:429;height:200" type="#_x0000_t202" filled="false" stroked="false">
              <v:textbox inset="0,0,0,0">
                <w:txbxContent>
                  <w:p>
                    <w:pPr>
                      <w:spacing w:line="199" w:lineRule="exact" w:before="0"/>
                      <w:ind w:left="0" w:right="0" w:firstLine="0"/>
                      <w:jc w:val="left"/>
                      <w:rPr>
                        <w:b/>
                        <w:sz w:val="18"/>
                      </w:rPr>
                    </w:pPr>
                    <w:r>
                      <w:rPr>
                        <w:b/>
                        <w:sz w:val="18"/>
                      </w:rPr>
                      <w:t>269.8</w:t>
                    </w:r>
                  </w:p>
                </w:txbxContent>
              </v:textbox>
              <w10:wrap type="none"/>
            </v:shape>
            <v:shape style="position:absolute;left:1441;top:704;width:429;height:200" type="#_x0000_t202" filled="false" stroked="false">
              <v:textbox inset="0,0,0,0">
                <w:txbxContent>
                  <w:p>
                    <w:pPr>
                      <w:spacing w:line="199" w:lineRule="exact" w:before="0"/>
                      <w:ind w:left="0" w:right="0" w:firstLine="0"/>
                      <w:jc w:val="left"/>
                      <w:rPr>
                        <w:b/>
                        <w:sz w:val="18"/>
                      </w:rPr>
                    </w:pPr>
                    <w:r>
                      <w:rPr>
                        <w:b/>
                        <w:sz w:val="18"/>
                      </w:rPr>
                      <w:t>259.5</w:t>
                    </w:r>
                  </w:p>
                </w:txbxContent>
              </v:textbox>
              <w10:wrap type="none"/>
            </v:shape>
            <v:shape style="position:absolute;left:500;top:989;width:429;height:200" type="#_x0000_t202" filled="false" stroked="false">
              <v:textbox inset="0,0,0,0">
                <w:txbxContent>
                  <w:p>
                    <w:pPr>
                      <w:spacing w:line="199" w:lineRule="exact" w:before="0"/>
                      <w:ind w:left="0" w:right="0" w:firstLine="0"/>
                      <w:jc w:val="left"/>
                      <w:rPr>
                        <w:b/>
                        <w:sz w:val="18"/>
                      </w:rPr>
                    </w:pPr>
                    <w:r>
                      <w:rPr>
                        <w:b/>
                        <w:sz w:val="18"/>
                      </w:rPr>
                      <w:t>248.7</w:t>
                    </w:r>
                  </w:p>
                </w:txbxContent>
              </v:textbox>
              <w10:wrap type="none"/>
            </v:shape>
            <v:shape style="position:absolute;left:1911;top:1002;width:429;height:200" type="#_x0000_t202" filled="false" stroked="false">
              <v:textbox inset="0,0,0,0">
                <w:txbxContent>
                  <w:p>
                    <w:pPr>
                      <w:spacing w:line="199" w:lineRule="exact" w:before="0"/>
                      <w:ind w:left="0" w:right="0" w:firstLine="0"/>
                      <w:jc w:val="left"/>
                      <w:rPr>
                        <w:b/>
                        <w:sz w:val="18"/>
                      </w:rPr>
                    </w:pPr>
                    <w:r>
                      <w:rPr>
                        <w:b/>
                        <w:sz w:val="18"/>
                      </w:rPr>
                      <w:t>248.2</w:t>
                    </w:r>
                  </w:p>
                </w:txbxContent>
              </v:textbox>
              <w10:wrap type="none"/>
            </v:shape>
            <v:shape style="position:absolute;left:2382;top:1186;width:429;height:200" type="#_x0000_t202" filled="false" stroked="false">
              <v:textbox inset="0,0,0,0">
                <w:txbxContent>
                  <w:p>
                    <w:pPr>
                      <w:spacing w:line="199" w:lineRule="exact" w:before="0"/>
                      <w:ind w:left="0" w:right="0" w:firstLine="0"/>
                      <w:jc w:val="left"/>
                      <w:rPr>
                        <w:b/>
                        <w:sz w:val="18"/>
                      </w:rPr>
                    </w:pPr>
                    <w:r>
                      <w:rPr>
                        <w:b/>
                        <w:sz w:val="18"/>
                      </w:rPr>
                      <w:t>241.2</w:t>
                    </w:r>
                  </w:p>
                </w:txbxContent>
              </v:textbox>
              <w10:wrap type="none"/>
            </v:shape>
            <v:shape style="position:absolute;left:2852;top:1476;width:429;height:200" type="#_x0000_t202" filled="false" stroked="false">
              <v:textbox inset="0,0,0,0">
                <w:txbxContent>
                  <w:p>
                    <w:pPr>
                      <w:spacing w:line="199" w:lineRule="exact" w:before="0"/>
                      <w:ind w:left="0" w:right="0" w:firstLine="0"/>
                      <w:jc w:val="left"/>
                      <w:rPr>
                        <w:b/>
                        <w:sz w:val="18"/>
                      </w:rPr>
                    </w:pPr>
                    <w:r>
                      <w:rPr>
                        <w:b/>
                        <w:sz w:val="18"/>
                      </w:rPr>
                      <w:t>230.2</w:t>
                    </w:r>
                  </w:p>
                </w:txbxContent>
              </v:textbox>
              <w10:wrap type="none"/>
            </v:shape>
            <v:shape style="position:absolute;left:3323;top:1787;width:429;height:200" type="#_x0000_t202" filled="false" stroked="false">
              <v:textbox inset="0,0,0,0">
                <w:txbxContent>
                  <w:p>
                    <w:pPr>
                      <w:spacing w:line="199" w:lineRule="exact" w:before="0"/>
                      <w:ind w:left="0" w:right="0" w:firstLine="0"/>
                      <w:jc w:val="left"/>
                      <w:rPr>
                        <w:b/>
                        <w:sz w:val="18"/>
                      </w:rPr>
                    </w:pPr>
                    <w:r>
                      <w:rPr>
                        <w:b/>
                        <w:sz w:val="18"/>
                      </w:rPr>
                      <w:t>218.4</w:t>
                    </w:r>
                  </w:p>
                </w:txbxContent>
              </v:textbox>
              <w10:wrap type="none"/>
            </v:shape>
          </v:group>
        </w:pict>
      </w:r>
      <w:r>
        <w:rPr>
          <w:sz w:val="20"/>
        </w:rPr>
      </w:r>
    </w:p>
    <w:p>
      <w:pPr>
        <w:spacing w:after="0"/>
        <w:rPr>
          <w:sz w:val="20"/>
        </w:rPr>
        <w:sectPr>
          <w:type w:val="continuous"/>
          <w:pgSz w:w="12240" w:h="15840"/>
          <w:pgMar w:top="1500" w:bottom="280" w:left="1140" w:right="0"/>
        </w:sectPr>
      </w:pPr>
    </w:p>
    <w:p>
      <w:pPr>
        <w:spacing w:before="114"/>
        <w:ind w:left="985" w:right="0" w:firstLine="0"/>
        <w:jc w:val="left"/>
        <w:rPr>
          <w:sz w:val="16"/>
        </w:rPr>
      </w:pPr>
      <w:r>
        <w:rPr>
          <w:color w:val="585858"/>
          <w:sz w:val="16"/>
        </w:rPr>
        <w:t>2020 2021 2022 2023 2024 2025 2026 2027</w:t>
      </w:r>
    </w:p>
    <w:p>
      <w:pPr>
        <w:pStyle w:val="BodyText"/>
        <w:spacing w:before="4"/>
        <w:rPr>
          <w:sz w:val="14"/>
        </w:rPr>
      </w:pPr>
    </w:p>
    <w:p>
      <w:pPr>
        <w:spacing w:before="1"/>
        <w:ind w:left="662" w:right="0" w:firstLine="0"/>
        <w:jc w:val="left"/>
        <w:rPr>
          <w:sz w:val="16"/>
        </w:rPr>
      </w:pPr>
      <w:r>
        <w:rPr>
          <w:sz w:val="16"/>
        </w:rPr>
        <w:t>Fuente: Dirección de Análisis y Política Fiscal</w:t>
      </w:r>
    </w:p>
    <w:p>
      <w:pPr>
        <w:spacing w:before="49"/>
        <w:ind w:left="615" w:right="0" w:firstLine="0"/>
        <w:jc w:val="left"/>
        <w:rPr>
          <w:sz w:val="16"/>
        </w:rPr>
      </w:pPr>
      <w:r>
        <w:rPr/>
        <w:br w:type="column"/>
      </w:r>
      <w:r>
        <w:rPr>
          <w:color w:val="585858"/>
          <w:sz w:val="16"/>
        </w:rPr>
        <w:t>2020 2021 2022 2023 2024 2025 2026 2027</w:t>
      </w:r>
    </w:p>
    <w:p>
      <w:pPr>
        <w:spacing w:after="0"/>
        <w:jc w:val="left"/>
        <w:rPr>
          <w:sz w:val="16"/>
        </w:rPr>
        <w:sectPr>
          <w:type w:val="continuous"/>
          <w:pgSz w:w="12240" w:h="15840"/>
          <w:pgMar w:top="1500" w:bottom="280" w:left="1140" w:right="0"/>
          <w:cols w:num="2" w:equalWidth="0">
            <w:col w:w="4889" w:space="40"/>
            <w:col w:w="6171"/>
          </w:cols>
        </w:sectPr>
      </w:pPr>
    </w:p>
    <w:p>
      <w:pPr>
        <w:pStyle w:val="BodyText"/>
        <w:spacing w:line="276" w:lineRule="auto" w:before="187"/>
        <w:ind w:left="562" w:right="1704"/>
      </w:pPr>
      <w:r>
        <w:rPr/>
        <w:t>Lo anterior muestra que la deuda en el mediano plazo se perfila en niveles sostenibles, es decir, el gobierno podrá tener la capacidad para atender los compromisos en el corto y mediano plazo.</w:t>
      </w:r>
    </w:p>
    <w:p>
      <w:pPr>
        <w:spacing w:after="0" w:line="276" w:lineRule="auto"/>
        <w:sectPr>
          <w:type w:val="continuous"/>
          <w:pgSz w:w="12240" w:h="15840"/>
          <w:pgMar w:top="1500" w:bottom="280" w:left="1140" w:right="0"/>
        </w:sectPr>
      </w:pPr>
    </w:p>
    <w:p>
      <w:pPr>
        <w:pStyle w:val="BodyText"/>
        <w:rPr>
          <w:sz w:val="9"/>
        </w:rPr>
      </w:pPr>
    </w:p>
    <w:p>
      <w:pPr>
        <w:pStyle w:val="Heading3"/>
        <w:spacing w:before="92"/>
        <w:ind w:left="2150"/>
      </w:pPr>
      <w:r>
        <w:rPr/>
        <w:t>Estrategia de Gestión de Deuda de mediano plazo 2022-2026</w:t>
      </w:r>
    </w:p>
    <w:p>
      <w:pPr>
        <w:pStyle w:val="BodyText"/>
        <w:spacing w:line="276" w:lineRule="auto" w:before="194"/>
        <w:ind w:left="562" w:right="1696"/>
        <w:jc w:val="both"/>
      </w:pPr>
      <w:r>
        <w:rPr/>
        <w:t>Por</w:t>
      </w:r>
      <w:r>
        <w:rPr>
          <w:spacing w:val="-14"/>
        </w:rPr>
        <w:t> </w:t>
      </w:r>
      <w:r>
        <w:rPr/>
        <w:t>medio</w:t>
      </w:r>
      <w:r>
        <w:rPr>
          <w:spacing w:val="-16"/>
        </w:rPr>
        <w:t> </w:t>
      </w:r>
      <w:r>
        <w:rPr/>
        <w:t>del</w:t>
      </w:r>
      <w:r>
        <w:rPr>
          <w:spacing w:val="-13"/>
        </w:rPr>
        <w:t> </w:t>
      </w:r>
      <w:r>
        <w:rPr/>
        <w:t>Acuerdo</w:t>
      </w:r>
      <w:r>
        <w:rPr>
          <w:spacing w:val="-16"/>
        </w:rPr>
        <w:t> </w:t>
      </w:r>
      <w:r>
        <w:rPr/>
        <w:t>Ministerial</w:t>
      </w:r>
      <w:r>
        <w:rPr>
          <w:spacing w:val="-13"/>
        </w:rPr>
        <w:t> </w:t>
      </w:r>
      <w:r>
        <w:rPr/>
        <w:t>484-2022</w:t>
      </w:r>
      <w:r>
        <w:rPr>
          <w:spacing w:val="-13"/>
        </w:rPr>
        <w:t> </w:t>
      </w:r>
      <w:r>
        <w:rPr/>
        <w:t>se</w:t>
      </w:r>
      <w:r>
        <w:rPr>
          <w:spacing w:val="-15"/>
        </w:rPr>
        <w:t> </w:t>
      </w:r>
      <w:r>
        <w:rPr/>
        <w:t>aprobó</w:t>
      </w:r>
      <w:r>
        <w:rPr>
          <w:spacing w:val="-19"/>
        </w:rPr>
        <w:t> </w:t>
      </w:r>
      <w:r>
        <w:rPr/>
        <w:t>la</w:t>
      </w:r>
      <w:r>
        <w:rPr>
          <w:spacing w:val="-15"/>
        </w:rPr>
        <w:t> </w:t>
      </w:r>
      <w:r>
        <w:rPr/>
        <w:t>“Estrategia</w:t>
      </w:r>
      <w:r>
        <w:rPr>
          <w:spacing w:val="-16"/>
        </w:rPr>
        <w:t> </w:t>
      </w:r>
      <w:r>
        <w:rPr/>
        <w:t>de</w:t>
      </w:r>
      <w:r>
        <w:rPr>
          <w:spacing w:val="-15"/>
        </w:rPr>
        <w:t> </w:t>
      </w:r>
      <w:r>
        <w:rPr/>
        <w:t>Gestión</w:t>
      </w:r>
      <w:r>
        <w:rPr>
          <w:spacing w:val="-13"/>
        </w:rPr>
        <w:t> </w:t>
      </w:r>
      <w:r>
        <w:rPr/>
        <w:t>de</w:t>
      </w:r>
      <w:r>
        <w:rPr>
          <w:spacing w:val="-16"/>
        </w:rPr>
        <w:t> </w:t>
      </w:r>
      <w:r>
        <w:rPr/>
        <w:t>deuda</w:t>
      </w:r>
      <w:r>
        <w:rPr>
          <w:spacing w:val="-15"/>
        </w:rPr>
        <w:t> </w:t>
      </w:r>
      <w:r>
        <w:rPr/>
        <w:t>de</w:t>
      </w:r>
      <w:r>
        <w:rPr>
          <w:spacing w:val="-16"/>
        </w:rPr>
        <w:t> </w:t>
      </w:r>
      <w:r>
        <w:rPr/>
        <w:t>mediano plazo 2022-2026” tomando en consideración que los estándares y buenas prácticas internacionales recomiendan</w:t>
      </w:r>
      <w:r>
        <w:rPr>
          <w:spacing w:val="-7"/>
        </w:rPr>
        <w:t> </w:t>
      </w:r>
      <w:r>
        <w:rPr/>
        <w:t>formular</w:t>
      </w:r>
      <w:r>
        <w:rPr>
          <w:spacing w:val="-6"/>
        </w:rPr>
        <w:t> </w:t>
      </w:r>
      <w:r>
        <w:rPr/>
        <w:t>una</w:t>
      </w:r>
      <w:r>
        <w:rPr>
          <w:spacing w:val="-8"/>
        </w:rPr>
        <w:t> </w:t>
      </w:r>
      <w:r>
        <w:rPr/>
        <w:t>estrategia</w:t>
      </w:r>
      <w:r>
        <w:rPr>
          <w:spacing w:val="-7"/>
        </w:rPr>
        <w:t> </w:t>
      </w:r>
      <w:r>
        <w:rPr/>
        <w:t>de</w:t>
      </w:r>
      <w:r>
        <w:rPr>
          <w:spacing w:val="-7"/>
        </w:rPr>
        <w:t> </w:t>
      </w:r>
      <w:r>
        <w:rPr/>
        <w:t>esta</w:t>
      </w:r>
      <w:r>
        <w:rPr>
          <w:spacing w:val="-6"/>
        </w:rPr>
        <w:t> </w:t>
      </w:r>
      <w:r>
        <w:rPr/>
        <w:t>índole,</w:t>
      </w:r>
      <w:r>
        <w:rPr>
          <w:spacing w:val="-9"/>
        </w:rPr>
        <w:t> </w:t>
      </w:r>
      <w:r>
        <w:rPr/>
        <w:t>que</w:t>
      </w:r>
      <w:r>
        <w:rPr>
          <w:spacing w:val="-7"/>
        </w:rPr>
        <w:t> </w:t>
      </w:r>
      <w:r>
        <w:rPr/>
        <w:t>le</w:t>
      </w:r>
      <w:r>
        <w:rPr>
          <w:spacing w:val="-6"/>
        </w:rPr>
        <w:t> </w:t>
      </w:r>
      <w:r>
        <w:rPr/>
        <w:t>permita</w:t>
      </w:r>
      <w:r>
        <w:rPr>
          <w:spacing w:val="-7"/>
        </w:rPr>
        <w:t> </w:t>
      </w:r>
      <w:r>
        <w:rPr/>
        <w:t>al</w:t>
      </w:r>
      <w:r>
        <w:rPr>
          <w:spacing w:val="-6"/>
        </w:rPr>
        <w:t> </w:t>
      </w:r>
      <w:r>
        <w:rPr/>
        <w:t>gobierno</w:t>
      </w:r>
      <w:r>
        <w:rPr>
          <w:spacing w:val="-6"/>
        </w:rPr>
        <w:t> </w:t>
      </w:r>
      <w:r>
        <w:rPr/>
        <w:t>planificar</w:t>
      </w:r>
      <w:r>
        <w:rPr>
          <w:spacing w:val="-6"/>
        </w:rPr>
        <w:t> </w:t>
      </w:r>
      <w:r>
        <w:rPr/>
        <w:t>tomando</w:t>
      </w:r>
      <w:r>
        <w:rPr>
          <w:spacing w:val="-7"/>
        </w:rPr>
        <w:t> </w:t>
      </w:r>
      <w:r>
        <w:rPr/>
        <w:t>en cuenta</w:t>
      </w:r>
      <w:r>
        <w:rPr>
          <w:spacing w:val="-7"/>
        </w:rPr>
        <w:t> </w:t>
      </w:r>
      <w:r>
        <w:rPr/>
        <w:t>las</w:t>
      </w:r>
      <w:r>
        <w:rPr>
          <w:spacing w:val="-6"/>
        </w:rPr>
        <w:t> </w:t>
      </w:r>
      <w:r>
        <w:rPr/>
        <w:t>alternativas</w:t>
      </w:r>
      <w:r>
        <w:rPr>
          <w:spacing w:val="-3"/>
        </w:rPr>
        <w:t> </w:t>
      </w:r>
      <w:r>
        <w:rPr/>
        <w:t>de</w:t>
      </w:r>
      <w:r>
        <w:rPr>
          <w:spacing w:val="-7"/>
        </w:rPr>
        <w:t> </w:t>
      </w:r>
      <w:r>
        <w:rPr/>
        <w:t>financiamiento</w:t>
      </w:r>
      <w:r>
        <w:rPr>
          <w:spacing w:val="-6"/>
        </w:rPr>
        <w:t> </w:t>
      </w:r>
      <w:r>
        <w:rPr/>
        <w:t>para</w:t>
      </w:r>
      <w:r>
        <w:rPr>
          <w:spacing w:val="-7"/>
        </w:rPr>
        <w:t> </w:t>
      </w:r>
      <w:r>
        <w:rPr/>
        <w:t>lograr</w:t>
      </w:r>
      <w:r>
        <w:rPr>
          <w:spacing w:val="-5"/>
        </w:rPr>
        <w:t> </w:t>
      </w:r>
      <w:r>
        <w:rPr/>
        <w:t>la</w:t>
      </w:r>
      <w:r>
        <w:rPr>
          <w:spacing w:val="-7"/>
        </w:rPr>
        <w:t> </w:t>
      </w:r>
      <w:r>
        <w:rPr/>
        <w:t>composición</w:t>
      </w:r>
      <w:r>
        <w:rPr>
          <w:spacing w:val="-4"/>
        </w:rPr>
        <w:t> </w:t>
      </w:r>
      <w:r>
        <w:rPr/>
        <w:t>deseada</w:t>
      </w:r>
      <w:r>
        <w:rPr>
          <w:spacing w:val="-7"/>
        </w:rPr>
        <w:t> </w:t>
      </w:r>
      <w:r>
        <w:rPr/>
        <w:t>del</w:t>
      </w:r>
      <w:r>
        <w:rPr>
          <w:spacing w:val="-6"/>
        </w:rPr>
        <w:t> </w:t>
      </w:r>
      <w:r>
        <w:rPr/>
        <w:t>portafolio</w:t>
      </w:r>
      <w:r>
        <w:rPr>
          <w:spacing w:val="-6"/>
        </w:rPr>
        <w:t> </w:t>
      </w:r>
      <w:r>
        <w:rPr/>
        <w:t>de</w:t>
      </w:r>
      <w:r>
        <w:rPr>
          <w:spacing w:val="-7"/>
        </w:rPr>
        <w:t> </w:t>
      </w:r>
      <w:r>
        <w:rPr/>
        <w:t>deuda.</w:t>
      </w:r>
    </w:p>
    <w:p>
      <w:pPr>
        <w:pStyle w:val="BodyText"/>
        <w:spacing w:line="273" w:lineRule="auto" w:before="161"/>
        <w:ind w:left="562" w:right="1697"/>
        <w:jc w:val="both"/>
      </w:pPr>
      <w:r>
        <w:rPr/>
        <w:t>Contar</w:t>
      </w:r>
      <w:r>
        <w:rPr>
          <w:spacing w:val="-15"/>
        </w:rPr>
        <w:t> </w:t>
      </w:r>
      <w:r>
        <w:rPr/>
        <w:t>con</w:t>
      </w:r>
      <w:r>
        <w:rPr>
          <w:spacing w:val="-15"/>
        </w:rPr>
        <w:t> </w:t>
      </w:r>
      <w:r>
        <w:rPr/>
        <w:t>una</w:t>
      </w:r>
      <w:r>
        <w:rPr>
          <w:spacing w:val="-15"/>
        </w:rPr>
        <w:t> </w:t>
      </w:r>
      <w:r>
        <w:rPr/>
        <w:t>adecuada</w:t>
      </w:r>
      <w:r>
        <w:rPr>
          <w:spacing w:val="-15"/>
        </w:rPr>
        <w:t> </w:t>
      </w:r>
      <w:r>
        <w:rPr/>
        <w:t>estrategia</w:t>
      </w:r>
      <w:r>
        <w:rPr>
          <w:spacing w:val="-15"/>
        </w:rPr>
        <w:t> </w:t>
      </w:r>
      <w:r>
        <w:rPr/>
        <w:t>de</w:t>
      </w:r>
      <w:r>
        <w:rPr>
          <w:spacing w:val="-13"/>
        </w:rPr>
        <w:t> </w:t>
      </w:r>
      <w:r>
        <w:rPr/>
        <w:t>gestión</w:t>
      </w:r>
      <w:r>
        <w:rPr>
          <w:spacing w:val="-16"/>
        </w:rPr>
        <w:t> </w:t>
      </w:r>
      <w:r>
        <w:rPr/>
        <w:t>de</w:t>
      </w:r>
      <w:r>
        <w:rPr>
          <w:spacing w:val="-14"/>
        </w:rPr>
        <w:t> </w:t>
      </w:r>
      <w:r>
        <w:rPr/>
        <w:t>deuda</w:t>
      </w:r>
      <w:r>
        <w:rPr>
          <w:spacing w:val="-15"/>
        </w:rPr>
        <w:t> </w:t>
      </w:r>
      <w:r>
        <w:rPr/>
        <w:t>le</w:t>
      </w:r>
      <w:r>
        <w:rPr>
          <w:spacing w:val="-13"/>
        </w:rPr>
        <w:t> </w:t>
      </w:r>
      <w:r>
        <w:rPr/>
        <w:t>permitirá</w:t>
      </w:r>
      <w:r>
        <w:rPr>
          <w:spacing w:val="-15"/>
        </w:rPr>
        <w:t> </w:t>
      </w:r>
      <w:r>
        <w:rPr/>
        <w:t>al</w:t>
      </w:r>
      <w:r>
        <w:rPr>
          <w:spacing w:val="-12"/>
        </w:rPr>
        <w:t> </w:t>
      </w:r>
      <w:r>
        <w:rPr/>
        <w:t>gobierno</w:t>
      </w:r>
      <w:r>
        <w:rPr>
          <w:spacing w:val="-12"/>
        </w:rPr>
        <w:t> </w:t>
      </w:r>
      <w:r>
        <w:rPr/>
        <w:t>alcanzar</w:t>
      </w:r>
      <w:r>
        <w:rPr>
          <w:spacing w:val="-13"/>
        </w:rPr>
        <w:t> </w:t>
      </w:r>
      <w:r>
        <w:rPr/>
        <w:t>sus</w:t>
      </w:r>
      <w:r>
        <w:rPr>
          <w:spacing w:val="-15"/>
        </w:rPr>
        <w:t> </w:t>
      </w:r>
      <w:r>
        <w:rPr/>
        <w:t>objetivos estratégicos, en materia de gestión de deuda, y además puede ayudar a fortalecer una administración financiera</w:t>
      </w:r>
      <w:r>
        <w:rPr>
          <w:spacing w:val="-1"/>
        </w:rPr>
        <w:t> </w:t>
      </w:r>
      <w:r>
        <w:rPr/>
        <w:t>responsable.</w:t>
      </w:r>
    </w:p>
    <w:p>
      <w:pPr>
        <w:pStyle w:val="BodyText"/>
        <w:spacing w:line="276" w:lineRule="auto" w:before="167"/>
        <w:ind w:left="562" w:right="1699"/>
        <w:jc w:val="both"/>
      </w:pPr>
      <w:r>
        <w:rPr/>
        <w:t>La Estrategia de Gestión de Deuda se realizó tomando en consideración el presupuesto multianual 2022-2026, derivado de ello se observó que las necesidades brutas de financiamiento (NBF) durante el período considerado serían en promedio del 3.3% del PIB.</w:t>
      </w:r>
    </w:p>
    <w:p>
      <w:pPr>
        <w:pStyle w:val="BodyText"/>
        <w:spacing w:before="7"/>
        <w:rPr>
          <w:sz w:val="19"/>
        </w:rPr>
      </w:pPr>
    </w:p>
    <w:p>
      <w:pPr>
        <w:pStyle w:val="Heading2"/>
        <w:spacing w:before="90"/>
        <w:ind w:left="4461" w:right="3445" w:hanging="2112"/>
      </w:pPr>
      <w:r>
        <w:rPr/>
        <w:t>Estructura del Financiamiento en el Mediano Plazo 2022-2026</w:t>
      </w:r>
    </w:p>
    <w:p>
      <w:pPr>
        <w:pStyle w:val="BodyText"/>
        <w:spacing w:before="1"/>
        <w:rPr>
          <w:b/>
          <w:sz w:val="26"/>
        </w:rPr>
      </w:pPr>
    </w:p>
    <w:p>
      <w:pPr>
        <w:spacing w:before="91"/>
        <w:ind w:left="1395" w:right="938" w:firstLine="0"/>
        <w:jc w:val="center"/>
        <w:rPr>
          <w:b/>
          <w:sz w:val="20"/>
        </w:rPr>
      </w:pPr>
      <w:r>
        <w:rPr>
          <w:b/>
          <w:color w:val="585858"/>
          <w:sz w:val="20"/>
        </w:rPr>
        <w:t>Bonos Internos ME; 5.0%</w:t>
      </w:r>
    </w:p>
    <w:p>
      <w:pPr>
        <w:pStyle w:val="BodyText"/>
        <w:spacing w:before="6"/>
        <w:rPr>
          <w:b/>
          <w:sz w:val="13"/>
        </w:rPr>
      </w:pPr>
    </w:p>
    <w:p>
      <w:pPr>
        <w:spacing w:after="0"/>
        <w:rPr>
          <w:sz w:val="13"/>
        </w:rPr>
        <w:sectPr>
          <w:pgSz w:w="12240" w:h="15840"/>
          <w:pgMar w:header="715" w:footer="688" w:top="1240" w:bottom="880" w:left="1140" w:right="0"/>
        </w:sectPr>
      </w:pPr>
    </w:p>
    <w:p>
      <w:pPr>
        <w:pStyle w:val="BodyText"/>
        <w:rPr>
          <w:b/>
        </w:rPr>
      </w:pPr>
    </w:p>
    <w:p>
      <w:pPr>
        <w:pStyle w:val="BodyText"/>
        <w:spacing w:before="5"/>
        <w:rPr>
          <w:b/>
          <w:sz w:val="26"/>
        </w:rPr>
      </w:pPr>
    </w:p>
    <w:p>
      <w:pPr>
        <w:spacing w:before="0"/>
        <w:ind w:left="2951" w:right="0" w:firstLine="3"/>
        <w:jc w:val="center"/>
        <w:rPr>
          <w:b/>
          <w:sz w:val="20"/>
        </w:rPr>
      </w:pPr>
      <w:r>
        <w:rPr>
          <w:b/>
          <w:color w:val="FFFFFF"/>
          <w:sz w:val="20"/>
        </w:rPr>
        <w:t>Bonos Internos MN; 65.0%</w:t>
      </w:r>
    </w:p>
    <w:p>
      <w:pPr>
        <w:pStyle w:val="BodyText"/>
        <w:rPr>
          <w:b/>
        </w:rPr>
      </w:pPr>
      <w:r>
        <w:rPr/>
        <w:br w:type="column"/>
      </w:r>
      <w:r>
        <w:rPr>
          <w:b/>
        </w:rPr>
      </w:r>
    </w:p>
    <w:p>
      <w:pPr>
        <w:pStyle w:val="BodyText"/>
        <w:rPr>
          <w:b/>
        </w:rPr>
      </w:pPr>
    </w:p>
    <w:p>
      <w:pPr>
        <w:pStyle w:val="BodyText"/>
        <w:spacing w:before="9"/>
        <w:rPr>
          <w:b/>
          <w:sz w:val="32"/>
        </w:rPr>
      </w:pPr>
    </w:p>
    <w:p>
      <w:pPr>
        <w:spacing w:before="0"/>
        <w:ind w:left="446" w:right="-17" w:firstLine="14"/>
        <w:jc w:val="left"/>
        <w:rPr>
          <w:b/>
          <w:sz w:val="20"/>
        </w:rPr>
      </w:pPr>
      <w:r>
        <w:rPr>
          <w:b/>
          <w:color w:val="585858"/>
          <w:sz w:val="20"/>
        </w:rPr>
        <w:t>Financiamiento Externo; 30.0%</w:t>
      </w:r>
    </w:p>
    <w:p>
      <w:pPr>
        <w:spacing w:before="91"/>
        <w:ind w:left="1436" w:right="2475" w:firstLine="226"/>
        <w:jc w:val="left"/>
        <w:rPr>
          <w:b/>
          <w:sz w:val="20"/>
        </w:rPr>
      </w:pPr>
      <w:r>
        <w:rPr/>
        <w:br w:type="column"/>
      </w:r>
      <w:r>
        <w:rPr>
          <w:b/>
          <w:color w:val="585858"/>
          <w:sz w:val="20"/>
        </w:rPr>
        <w:t>Préstamos Externos; 7.0%</w:t>
      </w:r>
    </w:p>
    <w:p>
      <w:pPr>
        <w:pStyle w:val="BodyText"/>
        <w:rPr>
          <w:b/>
        </w:rPr>
      </w:pPr>
    </w:p>
    <w:p>
      <w:pPr>
        <w:spacing w:before="177"/>
        <w:ind w:left="1517" w:right="2706" w:firstLine="0"/>
        <w:jc w:val="center"/>
        <w:rPr>
          <w:b/>
          <w:sz w:val="20"/>
        </w:rPr>
      </w:pPr>
      <w:r>
        <w:rPr>
          <w:b/>
          <w:color w:val="585858"/>
          <w:sz w:val="20"/>
        </w:rPr>
        <w:t>Eurobonos; 23.0%</w:t>
      </w:r>
    </w:p>
    <w:p>
      <w:pPr>
        <w:spacing w:after="0"/>
        <w:jc w:val="center"/>
        <w:rPr>
          <w:sz w:val="20"/>
        </w:rPr>
        <w:sectPr>
          <w:type w:val="continuous"/>
          <w:pgSz w:w="12240" w:h="15840"/>
          <w:pgMar w:top="1500" w:bottom="280" w:left="1140" w:right="0"/>
          <w:cols w:num="3" w:equalWidth="0">
            <w:col w:w="3951" w:space="40"/>
            <w:col w:w="1805" w:space="39"/>
            <w:col w:w="5265"/>
          </w:cols>
        </w:sectPr>
      </w:pPr>
    </w:p>
    <w:p>
      <w:pPr>
        <w:pStyle w:val="BodyText"/>
        <w:rPr>
          <w:b/>
          <w:sz w:val="20"/>
        </w:rPr>
      </w:pPr>
      <w:r>
        <w:rPr/>
        <w:pict>
          <v:group style="position:absolute;margin-left:79.704002pt;margin-top:70.919998pt;width:453.2pt;height:644.4pt;mso-position-horizontal-relative:page;mso-position-vertical-relative:page;z-index:-280043520" coordorigin="1594,1418" coordsize="9064,12888">
            <v:rect style="position:absolute;left:1594;top:1427;width:9055;height:471" filled="true" fillcolor="#deeaf6" stroked="false">
              <v:fill type="solid"/>
            </v:rect>
            <v:line style="position:absolute" from="1613,1423" to="10648,1423" stroked="true" strokeweight=".48pt" strokecolor="#000000">
              <v:stroke dashstyle="solid"/>
            </v:line>
            <v:shape style="position:absolute;left:1594;top:1898;width:9055;height:12398" coordorigin="1594,1899" coordsize="9055,12398" path="m10648,13984l1594,13984,1594,14296,10648,14296,10648,13984m10648,12078l1594,12078,1594,12530,1594,12820,1594,13113,1594,13404,1594,13694,1594,13694,1594,13984,10648,13984,10648,13694,10648,13694,10648,13404,10648,13113,10648,12820,10648,12530,10648,12078m10648,5288l1594,5288,1594,9431,1594,9721,1594,10014,1594,10465,1594,10756,1594,11207,1594,11497,1594,11788,1594,12078,10648,12078,10648,11788,10648,11497,10648,11207,10648,10756,10648,10465,10648,10014,10648,9721,10648,9431,10648,5288m10648,4839l1594,4839,1594,5288,10648,5288,10648,4839m10648,4546l1594,4546,1594,4839,10648,4839,10648,4546m10648,3224l1594,3224,1594,3514,1594,3804,1594,4256,1594,4546,10648,4546,10648,4256,10648,3804,10648,3514,10648,3224m10648,1899l1594,1899,1594,2189,1594,2482,1594,2772,1594,3224,10648,3224,10648,2772,10648,2482,10648,2189,10648,1899e" filled="true" fillcolor="#deeaf6" stroked="false">
              <v:path arrowok="t"/>
              <v:fill type="solid"/>
            </v:shape>
            <v:line style="position:absolute" from="1613,14301" to="10648,14301" stroked="true" strokeweight=".48pt" strokecolor="#000000">
              <v:stroke dashstyle="solid"/>
            </v:line>
            <v:line style="position:absolute" from="1608,1418" to="1608,14306" stroked="true" strokeweight=".48pt" strokecolor="#000000">
              <v:stroke dashstyle="solid"/>
            </v:line>
            <v:line style="position:absolute" from="10653,1418" to="10653,14306" stroked="true" strokeweight=".48pt" strokecolor="#000000">
              <v:stroke dashstyle="solid"/>
            </v:line>
            <v:rect style="position:absolute;left:2344;top:5287;width:7551;height:3946" filled="true" fillcolor="#deebf7" stroked="false">
              <v:fill type="solid"/>
            </v:rect>
            <v:line style="position:absolute" from="6048,6725" to="7301,6806" stroked="true" strokeweight=".72pt" strokecolor="#a6a6a6">
              <v:stroke dashstyle="solid"/>
            </v:line>
            <v:line style="position:absolute" from="6048,8947" to="7301,8866" stroked="true" strokeweight=".72pt" strokecolor="#a6a6a6">
              <v:stroke dashstyle="solid"/>
            </v:line>
            <v:shape style="position:absolute;left:3867;top:6462;width:2182;height:2748" coordorigin="3868,6462" coordsize="2182,2748" path="m5215,6462l5139,6466,5064,6474,4989,6485,4916,6501,4843,6521,4771,6545,4700,6573,4631,6605,4564,6641,4498,6681,4434,6724,4374,6770,4318,6819,4264,6870,4214,6923,4167,6979,4124,7036,4084,7096,4047,7157,4013,7219,3983,7284,3957,7349,3933,7416,3914,7483,3897,7552,3885,7621,3875,7690,3870,7761,3868,7831,3869,7901,3874,7972,3883,8042,3896,8112,3912,8182,3932,8251,3955,8319,3983,8386,4014,8452,4049,8517,4088,8581,4130,8643,4176,8703,4225,8759,4276,8813,4329,8863,4384,8910,4442,8953,4501,8993,4563,9030,4625,9064,4689,9094,4755,9120,4821,9144,4889,9163,4957,9180,5027,9192,5096,9202,5166,9207,5237,9209,5307,9208,5378,9203,5448,9194,5518,9182,5588,9165,5656,9146,5725,9122,5792,9095,5858,9063,5923,9028,5987,8990,6049,8947,5241,7836,5666,6529,5592,6507,5517,6490,5442,6477,5366,6468,5290,6463,5215,6462xe" filled="true" fillcolor="#335799" stroked="false">
              <v:path arrowok="t"/>
              <v:fill type="solid"/>
            </v:shape>
            <v:shape style="position:absolute;left:3867;top:6462;width:2182;height:2748" coordorigin="3868,6462" coordsize="2182,2748" path="m6049,8947l5987,8990,5923,9028,5858,9063,5792,9095,5725,9122,5656,9146,5588,9165,5518,9182,5448,9194,5378,9203,5307,9208,5237,9209,5166,9207,5096,9202,5027,9192,4957,9180,4889,9163,4821,9144,4755,9120,4689,9094,4625,9064,4563,9030,4501,8993,4442,8953,4384,8910,4329,8863,4276,8813,4225,8759,4176,8703,4130,8643,4088,8581,4049,8517,4014,8452,3983,8386,3955,8319,3932,8251,3912,8182,3896,8112,3883,8042,3874,7972,3869,7901,3868,7831,3870,7761,3875,7690,3885,7621,3897,7552,3914,7483,3933,7416,3957,7349,3983,7284,4013,7219,4047,7157,4084,7096,4124,7036,4167,6979,4214,6923,4264,6870,4318,6819,4374,6770,4434,6724,4498,6681,4564,6641,4631,6605,4700,6573,4771,6545,4843,6521,4916,6501,4989,6485,5064,6474,5139,6466,5215,6462,5290,6463,5366,6468,5442,6477,5517,6490,5592,6507,5666,6529,5241,7836,6049,8947xe" filled="false" stroked="true" strokeweight="1.56pt" strokecolor="#ffffff">
              <v:path arrowok="t"/>
              <v:stroke dashstyle="solid"/>
            </v:shape>
            <v:shape style="position:absolute;left:5241;top:6529;width:808;height:1307" coordorigin="5241,6529" coordsize="808,1307" path="m5666,6529l5241,7836,6049,6724,5977,6676,5903,6632,5826,6593,5747,6558,5666,6529xe" filled="true" fillcolor="#3e6ab7" stroked="false">
              <v:path arrowok="t"/>
              <v:fill type="solid"/>
            </v:shape>
            <v:shape style="position:absolute;left:5241;top:6529;width:808;height:1307" coordorigin="5241,6529" coordsize="808,1307" path="m5666,6529l5747,6558,5826,6593,5903,6632,5977,6676,6049,6724,5241,7836,5666,6529xe" filled="false" stroked="true" strokeweight="1.56pt" strokecolor="#ffffff">
              <v:path arrowok="t"/>
              <v:stroke dashstyle="solid"/>
            </v:shape>
            <v:rect style="position:absolute;left:7302;top:6805;width:1030;height:480" filled="true" fillcolor="#7991ce" stroked="false">
              <v:fill type="solid"/>
            </v:rect>
            <v:rect style="position:absolute;left:7302;top:6805;width:1030;height:480" filled="false" stroked="true" strokeweight="1.56pt" strokecolor="#ffffff">
              <v:stroke dashstyle="solid"/>
            </v:rect>
            <v:rect style="position:absolute;left:7302;top:7285;width:1030;height:1582" filled="true" fillcolor="#b3bddf" stroked="false">
              <v:fill type="solid"/>
            </v:rect>
            <v:rect style="position:absolute;left:7302;top:7285;width:1030;height:1582" filled="false" stroked="true" strokeweight="1.56pt" strokecolor="#ffffff">
              <v:stroke dashstyle="solid"/>
            </v:rect>
            <v:shape style="position:absolute;left:5241;top:6724;width:1374;height:2223" coordorigin="5241,6724" coordsize="1374,2223" path="m6049,6724l5241,7836,6049,8947,6117,8894,6182,8837,6243,8776,6300,8711,6353,8643,6395,8581,6434,8517,6469,8452,6500,8386,6528,8319,6551,8251,6571,8182,6587,8112,6600,8042,6609,7972,6614,7901,6615,7831,6613,7761,6607,7690,6598,7621,6585,7552,6569,7483,6549,7416,6526,7349,6500,7284,6469,7219,6436,7157,6399,7096,6359,7036,6315,6979,6269,6923,6219,6870,6165,6819,6109,6770,6049,6724xe" filled="true" fillcolor="#dce0ee" stroked="false">
              <v:path arrowok="t"/>
              <v:fill type="solid"/>
            </v:shape>
            <v:shape style="position:absolute;left:5241;top:6724;width:1374;height:2223" coordorigin="5241,6724" coordsize="1374,2223" path="m6049,6724l6109,6770,6165,6819,6219,6870,6269,6923,6315,6979,6359,7036,6399,7096,6436,7157,6469,7219,6500,7284,6526,7349,6549,7416,6569,7483,6585,7552,6598,7621,6607,7690,6613,7761,6615,7831,6614,7901,6609,7972,6600,8042,6587,8112,6571,8182,6551,8251,6528,8319,6500,8386,6469,8452,6434,8517,6395,8581,6353,8643,6300,8711,6243,8776,6182,8837,6117,8894,6049,8947,5241,7836,6049,6724xe" filled="false" stroked="true" strokeweight="1.56pt" strokecolor="#ffffff">
              <v:path arrowok="t"/>
              <v:stroke dashstyle="solid"/>
            </v:shape>
            <v:shape style="position:absolute;left:8332;top:7975;width:120;height:101" coordorigin="8333,7975" coordsize="120,101" path="m8333,8076l8362,7975,8453,7975e" filled="false" stroked="true" strokeweight=".72pt" strokecolor="#a6a6a6">
              <v:path arrowok="t"/>
              <v:stroke dashstyle="solid"/>
            </v:shape>
            <w10:wrap type="none"/>
          </v:group>
        </w:pict>
      </w:r>
    </w:p>
    <w:p>
      <w:pPr>
        <w:pStyle w:val="BodyText"/>
        <w:rPr>
          <w:b/>
          <w:sz w:val="20"/>
        </w:rPr>
      </w:pPr>
    </w:p>
    <w:p>
      <w:pPr>
        <w:pStyle w:val="BodyText"/>
        <w:rPr>
          <w:b/>
          <w:sz w:val="20"/>
        </w:rPr>
      </w:pPr>
    </w:p>
    <w:p>
      <w:pPr>
        <w:pStyle w:val="BodyText"/>
        <w:rPr>
          <w:b/>
          <w:sz w:val="20"/>
        </w:rPr>
      </w:pPr>
    </w:p>
    <w:p>
      <w:pPr>
        <w:pStyle w:val="BodyText"/>
        <w:spacing w:before="11"/>
        <w:rPr>
          <w:b/>
          <w:sz w:val="17"/>
        </w:rPr>
      </w:pPr>
    </w:p>
    <w:p>
      <w:pPr>
        <w:pStyle w:val="BodyText"/>
        <w:spacing w:line="276" w:lineRule="auto" w:before="91"/>
        <w:ind w:left="562" w:right="1697"/>
        <w:jc w:val="both"/>
      </w:pPr>
      <w:r>
        <w:rPr/>
        <w:t>En relación al plazo de los bonos del tesoro emitidos en el mercado interno, se espera mayor participación</w:t>
      </w:r>
      <w:r>
        <w:rPr>
          <w:spacing w:val="-13"/>
        </w:rPr>
        <w:t> </w:t>
      </w:r>
      <w:r>
        <w:rPr/>
        <w:t>de</w:t>
      </w:r>
      <w:r>
        <w:rPr>
          <w:spacing w:val="-12"/>
        </w:rPr>
        <w:t> </w:t>
      </w:r>
      <w:r>
        <w:rPr/>
        <w:t>los</w:t>
      </w:r>
      <w:r>
        <w:rPr>
          <w:spacing w:val="-12"/>
        </w:rPr>
        <w:t> </w:t>
      </w:r>
      <w:r>
        <w:rPr/>
        <w:t>bonos</w:t>
      </w:r>
      <w:r>
        <w:rPr>
          <w:spacing w:val="-13"/>
        </w:rPr>
        <w:t> </w:t>
      </w:r>
      <w:r>
        <w:rPr/>
        <w:t>de</w:t>
      </w:r>
      <w:r>
        <w:rPr>
          <w:spacing w:val="-9"/>
        </w:rPr>
        <w:t> </w:t>
      </w:r>
      <w:r>
        <w:rPr/>
        <w:t>10,</w:t>
      </w:r>
      <w:r>
        <w:rPr>
          <w:spacing w:val="-10"/>
        </w:rPr>
        <w:t> </w:t>
      </w:r>
      <w:r>
        <w:rPr/>
        <w:t>15</w:t>
      </w:r>
      <w:r>
        <w:rPr>
          <w:spacing w:val="-11"/>
        </w:rPr>
        <w:t> </w:t>
      </w:r>
      <w:r>
        <w:rPr/>
        <w:t>y</w:t>
      </w:r>
      <w:r>
        <w:rPr>
          <w:spacing w:val="-12"/>
        </w:rPr>
        <w:t> </w:t>
      </w:r>
      <w:r>
        <w:rPr/>
        <w:t>20</w:t>
      </w:r>
      <w:r>
        <w:rPr>
          <w:spacing w:val="-12"/>
        </w:rPr>
        <w:t> </w:t>
      </w:r>
      <w:r>
        <w:rPr/>
        <w:t>años,</w:t>
      </w:r>
      <w:r>
        <w:rPr>
          <w:spacing w:val="-13"/>
        </w:rPr>
        <w:t> </w:t>
      </w:r>
      <w:r>
        <w:rPr/>
        <w:t>los</w:t>
      </w:r>
      <w:r>
        <w:rPr>
          <w:spacing w:val="-12"/>
        </w:rPr>
        <w:t> </w:t>
      </w:r>
      <w:r>
        <w:rPr/>
        <w:t>bonos</w:t>
      </w:r>
      <w:r>
        <w:rPr>
          <w:spacing w:val="-9"/>
        </w:rPr>
        <w:t> </w:t>
      </w:r>
      <w:r>
        <w:rPr/>
        <w:t>destinados</w:t>
      </w:r>
      <w:r>
        <w:rPr>
          <w:spacing w:val="-12"/>
        </w:rPr>
        <w:t> </w:t>
      </w:r>
      <w:r>
        <w:rPr/>
        <w:t>a</w:t>
      </w:r>
      <w:r>
        <w:rPr>
          <w:spacing w:val="-9"/>
        </w:rPr>
        <w:t> </w:t>
      </w:r>
      <w:r>
        <w:rPr/>
        <w:t>pequeños</w:t>
      </w:r>
      <w:r>
        <w:rPr>
          <w:spacing w:val="-9"/>
        </w:rPr>
        <w:t> </w:t>
      </w:r>
      <w:r>
        <w:rPr/>
        <w:t>inversionistas</w:t>
      </w:r>
      <w:r>
        <w:rPr>
          <w:spacing w:val="-13"/>
        </w:rPr>
        <w:t> </w:t>
      </w:r>
      <w:r>
        <w:rPr/>
        <w:t>(plazos 1, 2 y 3 años) podría estar en torno al 3.0% del financiamiento</w:t>
      </w:r>
      <w:r>
        <w:rPr>
          <w:spacing w:val="-10"/>
        </w:rPr>
        <w:t> </w:t>
      </w:r>
      <w:r>
        <w:rPr/>
        <w:t>bruto.</w:t>
      </w:r>
    </w:p>
    <w:p>
      <w:pPr>
        <w:pStyle w:val="BodyText"/>
        <w:spacing w:line="273" w:lineRule="auto" w:before="162"/>
        <w:ind w:left="562" w:right="1701"/>
        <w:jc w:val="both"/>
      </w:pPr>
      <w:r>
        <w:rPr/>
        <w:t>La estrategia de gestión de deuda considera la emisión de Eurobonos en dólares, con el objeto de mantener presencia en el mercado de capitales y de esta manera diversificar el financiamiento.</w:t>
      </w:r>
    </w:p>
    <w:p>
      <w:pPr>
        <w:pStyle w:val="BodyText"/>
        <w:spacing w:line="276" w:lineRule="auto" w:before="165"/>
        <w:ind w:left="562" w:right="1695"/>
        <w:jc w:val="both"/>
      </w:pPr>
      <w:r>
        <w:rPr/>
        <w:t>Entre algunas metas clave de la deuda resalta que para el final del período (2026), la tasa de interés implícita (los intereses pagados en un año respecto al saldo de deuda) podría ser de 6.6 (±)0.5, la deuda a tasa fija respecto al total se mantendría o podría ser superior al 84.0% y la deuda en moneda extranjera sería inferior o igual al 40.0% del total.</w:t>
      </w:r>
    </w:p>
    <w:p>
      <w:pPr>
        <w:pStyle w:val="BodyText"/>
        <w:spacing w:line="276" w:lineRule="auto" w:before="159"/>
        <w:ind w:left="562" w:right="1696"/>
        <w:jc w:val="both"/>
      </w:pPr>
      <w:r>
        <w:rPr/>
        <w:t>En relación al riesgo de refinanciamiento, la deuda que vence en un año como porcentaje del total podría</w:t>
      </w:r>
      <w:r>
        <w:rPr>
          <w:spacing w:val="-7"/>
        </w:rPr>
        <w:t> </w:t>
      </w:r>
      <w:r>
        <w:rPr/>
        <w:t>aumentar</w:t>
      </w:r>
      <w:r>
        <w:rPr>
          <w:spacing w:val="-5"/>
        </w:rPr>
        <w:t> </w:t>
      </w:r>
      <w:r>
        <w:rPr/>
        <w:t>en</w:t>
      </w:r>
      <w:r>
        <w:rPr>
          <w:spacing w:val="-7"/>
        </w:rPr>
        <w:t> </w:t>
      </w:r>
      <w:r>
        <w:rPr/>
        <w:t>0.3%</w:t>
      </w:r>
      <w:r>
        <w:rPr>
          <w:spacing w:val="-5"/>
        </w:rPr>
        <w:t> </w:t>
      </w:r>
      <w:r>
        <w:rPr/>
        <w:t>(±)</w:t>
      </w:r>
      <w:r>
        <w:rPr>
          <w:spacing w:val="-6"/>
        </w:rPr>
        <w:t> </w:t>
      </w:r>
      <w:r>
        <w:rPr/>
        <w:t>1.0,</w:t>
      </w:r>
      <w:r>
        <w:rPr>
          <w:spacing w:val="-7"/>
        </w:rPr>
        <w:t> </w:t>
      </w:r>
      <w:r>
        <w:rPr/>
        <w:t>lo</w:t>
      </w:r>
      <w:r>
        <w:rPr>
          <w:spacing w:val="-7"/>
        </w:rPr>
        <w:t> </w:t>
      </w:r>
      <w:r>
        <w:rPr/>
        <w:t>que</w:t>
      </w:r>
      <w:r>
        <w:rPr>
          <w:spacing w:val="-6"/>
        </w:rPr>
        <w:t> </w:t>
      </w:r>
      <w:r>
        <w:rPr/>
        <w:t>significa</w:t>
      </w:r>
      <w:r>
        <w:rPr>
          <w:spacing w:val="-8"/>
        </w:rPr>
        <w:t> </w:t>
      </w:r>
      <w:r>
        <w:rPr/>
        <w:t>un</w:t>
      </w:r>
      <w:r>
        <w:rPr>
          <w:spacing w:val="-7"/>
        </w:rPr>
        <w:t> </w:t>
      </w:r>
      <w:r>
        <w:rPr/>
        <w:t>ligero</w:t>
      </w:r>
      <w:r>
        <w:rPr>
          <w:spacing w:val="-6"/>
        </w:rPr>
        <w:t> </w:t>
      </w:r>
      <w:r>
        <w:rPr/>
        <w:t>aumento</w:t>
      </w:r>
      <w:r>
        <w:rPr>
          <w:spacing w:val="-7"/>
        </w:rPr>
        <w:t> </w:t>
      </w:r>
      <w:r>
        <w:rPr/>
        <w:t>en</w:t>
      </w:r>
      <w:r>
        <w:rPr>
          <w:spacing w:val="-8"/>
        </w:rPr>
        <w:t> </w:t>
      </w:r>
      <w:r>
        <w:rPr/>
        <w:t>el</w:t>
      </w:r>
      <w:r>
        <w:rPr>
          <w:spacing w:val="-7"/>
        </w:rPr>
        <w:t> </w:t>
      </w:r>
      <w:r>
        <w:rPr/>
        <w:t>riesgo</w:t>
      </w:r>
      <w:r>
        <w:rPr>
          <w:spacing w:val="-7"/>
        </w:rPr>
        <w:t> </w:t>
      </w:r>
      <w:r>
        <w:rPr/>
        <w:t>de</w:t>
      </w:r>
      <w:r>
        <w:rPr>
          <w:spacing w:val="-8"/>
        </w:rPr>
        <w:t> </w:t>
      </w:r>
      <w:r>
        <w:rPr/>
        <w:t>refinanciamiento, esto</w:t>
      </w:r>
      <w:r>
        <w:rPr>
          <w:spacing w:val="-9"/>
        </w:rPr>
        <w:t> </w:t>
      </w:r>
      <w:r>
        <w:rPr/>
        <w:t>se</w:t>
      </w:r>
      <w:r>
        <w:rPr>
          <w:spacing w:val="-7"/>
        </w:rPr>
        <w:t> </w:t>
      </w:r>
      <w:r>
        <w:rPr/>
        <w:t>podría</w:t>
      </w:r>
      <w:r>
        <w:rPr>
          <w:spacing w:val="-7"/>
        </w:rPr>
        <w:t> </w:t>
      </w:r>
      <w:r>
        <w:rPr/>
        <w:t>explicar</w:t>
      </w:r>
      <w:r>
        <w:rPr>
          <w:spacing w:val="-7"/>
        </w:rPr>
        <w:t> </w:t>
      </w:r>
      <w:r>
        <w:rPr/>
        <w:t>por</w:t>
      </w:r>
      <w:r>
        <w:rPr>
          <w:spacing w:val="-7"/>
        </w:rPr>
        <w:t> </w:t>
      </w:r>
      <w:r>
        <w:rPr/>
        <w:t>el</w:t>
      </w:r>
      <w:r>
        <w:rPr>
          <w:spacing w:val="-4"/>
        </w:rPr>
        <w:t> </w:t>
      </w:r>
      <w:r>
        <w:rPr/>
        <w:t>aumento</w:t>
      </w:r>
      <w:r>
        <w:rPr>
          <w:spacing w:val="-8"/>
        </w:rPr>
        <w:t> </w:t>
      </w:r>
      <w:r>
        <w:rPr/>
        <w:t>de</w:t>
      </w:r>
      <w:r>
        <w:rPr>
          <w:spacing w:val="-7"/>
        </w:rPr>
        <w:t> </w:t>
      </w:r>
      <w:r>
        <w:rPr/>
        <w:t>los</w:t>
      </w:r>
      <w:r>
        <w:rPr>
          <w:spacing w:val="-4"/>
        </w:rPr>
        <w:t> </w:t>
      </w:r>
      <w:r>
        <w:rPr/>
        <w:t>montos</w:t>
      </w:r>
      <w:r>
        <w:rPr>
          <w:spacing w:val="-5"/>
        </w:rPr>
        <w:t> </w:t>
      </w:r>
      <w:r>
        <w:rPr/>
        <w:t>colocados</w:t>
      </w:r>
      <w:r>
        <w:rPr>
          <w:spacing w:val="-7"/>
        </w:rPr>
        <w:t> </w:t>
      </w:r>
      <w:r>
        <w:rPr/>
        <w:t>en</w:t>
      </w:r>
      <w:r>
        <w:rPr>
          <w:spacing w:val="-7"/>
        </w:rPr>
        <w:t> </w:t>
      </w:r>
      <w:r>
        <w:rPr/>
        <w:t>los</w:t>
      </w:r>
      <w:r>
        <w:rPr>
          <w:spacing w:val="-7"/>
        </w:rPr>
        <w:t> </w:t>
      </w:r>
      <w:r>
        <w:rPr/>
        <w:t>plazos</w:t>
      </w:r>
      <w:r>
        <w:rPr>
          <w:spacing w:val="-4"/>
        </w:rPr>
        <w:t> </w:t>
      </w:r>
      <w:r>
        <w:rPr/>
        <w:t>de</w:t>
      </w:r>
      <w:r>
        <w:rPr>
          <w:spacing w:val="-7"/>
        </w:rPr>
        <w:t> </w:t>
      </w:r>
      <w:r>
        <w:rPr/>
        <w:t>1</w:t>
      </w:r>
      <w:r>
        <w:rPr>
          <w:spacing w:val="-6"/>
        </w:rPr>
        <w:t> </w:t>
      </w:r>
      <w:r>
        <w:rPr/>
        <w:t>a</w:t>
      </w:r>
      <w:r>
        <w:rPr>
          <w:spacing w:val="-10"/>
        </w:rPr>
        <w:t> </w:t>
      </w:r>
      <w:r>
        <w:rPr/>
        <w:t>3</w:t>
      </w:r>
      <w:r>
        <w:rPr>
          <w:spacing w:val="-5"/>
        </w:rPr>
        <w:t> </w:t>
      </w:r>
      <w:r>
        <w:rPr/>
        <w:t>años</w:t>
      </w:r>
      <w:r>
        <w:rPr>
          <w:spacing w:val="-7"/>
        </w:rPr>
        <w:t> </w:t>
      </w:r>
      <w:r>
        <w:rPr/>
        <w:t>destinados a pequeños inversionistas cuyas colocaciones han ido en aumento. No obstante, en promedio se observa</w:t>
      </w:r>
      <w:r>
        <w:rPr>
          <w:spacing w:val="-4"/>
        </w:rPr>
        <w:t> </w:t>
      </w:r>
      <w:r>
        <w:rPr/>
        <w:t>que</w:t>
      </w:r>
      <w:r>
        <w:rPr>
          <w:spacing w:val="-3"/>
        </w:rPr>
        <w:t> </w:t>
      </w:r>
      <w:r>
        <w:rPr/>
        <w:t>el</w:t>
      </w:r>
      <w:r>
        <w:rPr>
          <w:spacing w:val="-6"/>
        </w:rPr>
        <w:t> </w:t>
      </w:r>
      <w:r>
        <w:rPr/>
        <w:t>riesgo</w:t>
      </w:r>
      <w:r>
        <w:rPr>
          <w:spacing w:val="-4"/>
        </w:rPr>
        <w:t> </w:t>
      </w:r>
      <w:r>
        <w:rPr/>
        <w:t>de</w:t>
      </w:r>
      <w:r>
        <w:rPr>
          <w:spacing w:val="-3"/>
        </w:rPr>
        <w:t> </w:t>
      </w:r>
      <w:r>
        <w:rPr/>
        <w:t>refinanciamiento</w:t>
      </w:r>
      <w:r>
        <w:rPr>
          <w:spacing w:val="-5"/>
        </w:rPr>
        <w:t> </w:t>
      </w:r>
      <w:r>
        <w:rPr/>
        <w:t>se</w:t>
      </w:r>
      <w:r>
        <w:rPr>
          <w:spacing w:val="-6"/>
        </w:rPr>
        <w:t> </w:t>
      </w:r>
      <w:r>
        <w:rPr/>
        <w:t>reduciría,</w:t>
      </w:r>
      <w:r>
        <w:rPr>
          <w:spacing w:val="-6"/>
        </w:rPr>
        <w:t> </w:t>
      </w:r>
      <w:r>
        <w:rPr/>
        <w:t>ya</w:t>
      </w:r>
      <w:r>
        <w:rPr>
          <w:spacing w:val="-4"/>
        </w:rPr>
        <w:t> </w:t>
      </w:r>
      <w:r>
        <w:rPr/>
        <w:t>que</w:t>
      </w:r>
      <w:r>
        <w:rPr>
          <w:spacing w:val="-3"/>
        </w:rPr>
        <w:t> </w:t>
      </w:r>
      <w:r>
        <w:rPr/>
        <w:t>el</w:t>
      </w:r>
      <w:r>
        <w:rPr>
          <w:spacing w:val="-4"/>
        </w:rPr>
        <w:t> </w:t>
      </w:r>
      <w:r>
        <w:rPr/>
        <w:t>indicador</w:t>
      </w:r>
      <w:r>
        <w:rPr>
          <w:spacing w:val="-3"/>
        </w:rPr>
        <w:t> </w:t>
      </w:r>
      <w:r>
        <w:rPr/>
        <w:t>de</w:t>
      </w:r>
      <w:r>
        <w:rPr>
          <w:spacing w:val="-6"/>
        </w:rPr>
        <w:t> </w:t>
      </w:r>
      <w:r>
        <w:rPr/>
        <w:t>tiempo</w:t>
      </w:r>
      <w:r>
        <w:rPr>
          <w:spacing w:val="-5"/>
        </w:rPr>
        <w:t> </w:t>
      </w:r>
      <w:r>
        <w:rPr/>
        <w:t>promedio</w:t>
      </w:r>
      <w:r>
        <w:rPr>
          <w:spacing w:val="-4"/>
        </w:rPr>
        <w:t> </w:t>
      </w:r>
      <w:r>
        <w:rPr/>
        <w:t>hasta el vencimiento (ATM) del portafolio total podría pasar de 10.7 a 11.9 años (±)</w:t>
      </w:r>
      <w:r>
        <w:rPr>
          <w:spacing w:val="-11"/>
        </w:rPr>
        <w:t> </w:t>
      </w:r>
      <w:r>
        <w:rPr/>
        <w:t>1.0.</w:t>
      </w:r>
    </w:p>
    <w:p>
      <w:pPr>
        <w:spacing w:after="0" w:line="276" w:lineRule="auto"/>
        <w:jc w:val="both"/>
        <w:sectPr>
          <w:type w:val="continuous"/>
          <w:pgSz w:w="12240" w:h="15840"/>
          <w:pgMar w:top="1500" w:bottom="280" w:left="1140" w:right="0"/>
        </w:sectPr>
      </w:pPr>
    </w:p>
    <w:p>
      <w:pPr>
        <w:pStyle w:val="BodyText"/>
        <w:spacing w:before="7"/>
        <w:rPr>
          <w:sz w:val="14"/>
        </w:rPr>
      </w:pPr>
    </w:p>
    <w:p>
      <w:pPr>
        <w:pStyle w:val="BodyText"/>
        <w:ind w:left="463"/>
        <w:rPr>
          <w:sz w:val="20"/>
        </w:rPr>
      </w:pPr>
      <w:r>
        <w:rPr>
          <w:sz w:val="20"/>
        </w:rPr>
        <w:pict>
          <v:shape style="width:452.25pt;height:68.7pt;mso-position-horizontal-relative:char;mso-position-vertical-relative:line" type="#_x0000_t202" filled="true" fillcolor="#deeaf6" stroked="true" strokeweight=".48pt" strokecolor="#000000">
            <w10:anchorlock/>
            <v:textbox inset="0,0,0,0">
              <w:txbxContent>
                <w:p>
                  <w:pPr>
                    <w:pStyle w:val="BodyText"/>
                    <w:spacing w:before="13"/>
                    <w:ind w:left="88"/>
                  </w:pPr>
                  <w:r>
                    <w:rPr/>
                    <w:t>Dentro de los objetivos específicos más relevantes de la estrategia se encuentran:</w:t>
                  </w:r>
                </w:p>
                <w:p>
                  <w:pPr>
                    <w:pStyle w:val="BodyText"/>
                    <w:numPr>
                      <w:ilvl w:val="0"/>
                      <w:numId w:val="51"/>
                    </w:numPr>
                    <w:tabs>
                      <w:tab w:pos="448" w:val="left" w:leader="none"/>
                      <w:tab w:pos="449" w:val="left" w:leader="none"/>
                    </w:tabs>
                    <w:spacing w:line="276" w:lineRule="auto" w:before="198" w:after="0"/>
                    <w:ind w:left="448" w:right="109" w:hanging="360"/>
                    <w:jc w:val="left"/>
                  </w:pPr>
                  <w:r>
                    <w:rPr/>
                    <w:t>Promover la reducción de la exposición del portafolio de la deuda al riesgo cambiario, sin sacrificar la diversificación de las fuentes</w:t>
                  </w:r>
                  <w:r>
                    <w:rPr>
                      <w:spacing w:val="-9"/>
                    </w:rPr>
                    <w:t> </w:t>
                  </w:r>
                  <w:r>
                    <w:rPr/>
                    <w:t>financieras</w:t>
                  </w:r>
                </w:p>
                <w:p>
                  <w:pPr>
                    <w:pStyle w:val="BodyText"/>
                    <w:numPr>
                      <w:ilvl w:val="0"/>
                      <w:numId w:val="51"/>
                    </w:numPr>
                    <w:tabs>
                      <w:tab w:pos="448" w:val="left" w:leader="none"/>
                      <w:tab w:pos="449" w:val="left" w:leader="none"/>
                    </w:tabs>
                    <w:spacing w:line="240" w:lineRule="auto" w:before="2" w:after="0"/>
                    <w:ind w:left="448" w:right="0" w:hanging="361"/>
                    <w:jc w:val="left"/>
                  </w:pPr>
                  <w:r>
                    <w:rPr/>
                    <w:t>Gestionar el riesgo de refinanciamiento para mantenerlo en niveles</w:t>
                  </w:r>
                  <w:r>
                    <w:rPr>
                      <w:spacing w:val="-6"/>
                    </w:rPr>
                    <w:t> </w:t>
                  </w:r>
                  <w:r>
                    <w:rPr/>
                    <w:t>adecuados.</w:t>
                  </w:r>
                </w:p>
              </w:txbxContent>
            </v:textbox>
            <v:fill type="solid"/>
            <v:stroke dashstyle="solid"/>
          </v:shape>
        </w:pict>
      </w:r>
      <w:r>
        <w:rPr>
          <w:sz w:val="20"/>
        </w:rPr>
      </w:r>
    </w:p>
    <w:p>
      <w:pPr>
        <w:pStyle w:val="BodyText"/>
        <w:spacing w:before="7"/>
        <w:rPr>
          <w:sz w:val="16"/>
        </w:rPr>
      </w:pPr>
    </w:p>
    <w:p>
      <w:pPr>
        <w:pStyle w:val="Heading2"/>
        <w:numPr>
          <w:ilvl w:val="0"/>
          <w:numId w:val="52"/>
        </w:numPr>
        <w:tabs>
          <w:tab w:pos="922" w:val="left" w:leader="none"/>
        </w:tabs>
        <w:spacing w:line="240" w:lineRule="auto" w:before="90" w:after="0"/>
        <w:ind w:left="922" w:right="0" w:hanging="360"/>
        <w:jc w:val="left"/>
      </w:pPr>
      <w:bookmarkStart w:name="_bookmark229" w:id="297"/>
      <w:bookmarkEnd w:id="297"/>
      <w:r>
        <w:rPr>
          <w:b w:val="0"/>
        </w:rPr>
      </w:r>
      <w:bookmarkStart w:name="_bookmark229" w:id="298"/>
      <w:bookmarkEnd w:id="298"/>
      <w:r>
        <w:rPr/>
        <w:t>La</w:t>
      </w:r>
      <w:r>
        <w:rPr/>
        <w:t> orientación de la política</w:t>
      </w:r>
      <w:r>
        <w:rPr>
          <w:spacing w:val="-1"/>
        </w:rPr>
        <w:t> </w:t>
      </w:r>
      <w:r>
        <w:rPr/>
        <w:t>fiscal</w:t>
      </w:r>
    </w:p>
    <w:p>
      <w:pPr>
        <w:pStyle w:val="BodyText"/>
        <w:spacing w:before="3"/>
        <w:rPr>
          <w:b/>
          <w:sz w:val="28"/>
        </w:rPr>
      </w:pPr>
    </w:p>
    <w:p>
      <w:pPr>
        <w:pStyle w:val="BodyText"/>
        <w:spacing w:line="276" w:lineRule="auto" w:before="1"/>
        <w:ind w:left="562" w:right="1691"/>
        <w:jc w:val="both"/>
      </w:pPr>
      <w:r>
        <w:rPr/>
        <w:t>Los resultados financieros sugieren que la política fiscal para el período 2005 – 2019, fue levemente contractiva en la mayor parte de los años hasta 2016, a excepción de los años (2005, 2006, 2009 y 2014) en donde la política fiscal fue expansiva. En toda la serie histórica se observa que la mayor expansión</w:t>
      </w:r>
      <w:r>
        <w:rPr>
          <w:spacing w:val="-6"/>
        </w:rPr>
        <w:t> </w:t>
      </w:r>
      <w:r>
        <w:rPr/>
        <w:t>se</w:t>
      </w:r>
      <w:r>
        <w:rPr>
          <w:spacing w:val="-6"/>
        </w:rPr>
        <w:t> </w:t>
      </w:r>
      <w:r>
        <w:rPr/>
        <w:t>dio</w:t>
      </w:r>
      <w:r>
        <w:rPr>
          <w:spacing w:val="-6"/>
        </w:rPr>
        <w:t> </w:t>
      </w:r>
      <w:r>
        <w:rPr/>
        <w:t>en</w:t>
      </w:r>
      <w:r>
        <w:rPr>
          <w:spacing w:val="-6"/>
        </w:rPr>
        <w:t> </w:t>
      </w:r>
      <w:r>
        <w:rPr/>
        <w:t>2009,</w:t>
      </w:r>
      <w:r>
        <w:rPr>
          <w:spacing w:val="-5"/>
        </w:rPr>
        <w:t> </w:t>
      </w:r>
      <w:r>
        <w:rPr/>
        <w:t>debido</w:t>
      </w:r>
      <w:r>
        <w:rPr>
          <w:spacing w:val="-9"/>
        </w:rPr>
        <w:t> </w:t>
      </w:r>
      <w:r>
        <w:rPr/>
        <w:t>al</w:t>
      </w:r>
      <w:r>
        <w:rPr>
          <w:spacing w:val="-5"/>
        </w:rPr>
        <w:t> </w:t>
      </w:r>
      <w:r>
        <w:rPr/>
        <w:t>efecto</w:t>
      </w:r>
      <w:r>
        <w:rPr>
          <w:spacing w:val="-6"/>
        </w:rPr>
        <w:t> </w:t>
      </w:r>
      <w:r>
        <w:rPr/>
        <w:t>de</w:t>
      </w:r>
      <w:r>
        <w:rPr>
          <w:spacing w:val="-7"/>
        </w:rPr>
        <w:t> </w:t>
      </w:r>
      <w:r>
        <w:rPr/>
        <w:t>la</w:t>
      </w:r>
      <w:r>
        <w:rPr>
          <w:spacing w:val="-6"/>
        </w:rPr>
        <w:t> </w:t>
      </w:r>
      <w:r>
        <w:rPr/>
        <w:t>crisis</w:t>
      </w:r>
      <w:r>
        <w:rPr>
          <w:spacing w:val="-8"/>
        </w:rPr>
        <w:t> </w:t>
      </w:r>
      <w:r>
        <w:rPr/>
        <w:t>económica</w:t>
      </w:r>
      <w:r>
        <w:rPr>
          <w:spacing w:val="-6"/>
        </w:rPr>
        <w:t> </w:t>
      </w:r>
      <w:r>
        <w:rPr/>
        <w:t>internacional,</w:t>
      </w:r>
      <w:r>
        <w:rPr>
          <w:spacing w:val="-5"/>
        </w:rPr>
        <w:t> </w:t>
      </w:r>
      <w:r>
        <w:rPr/>
        <w:t>en</w:t>
      </w:r>
      <w:r>
        <w:rPr>
          <w:spacing w:val="-8"/>
        </w:rPr>
        <w:t> </w:t>
      </w:r>
      <w:r>
        <w:rPr/>
        <w:t>donde</w:t>
      </w:r>
      <w:r>
        <w:rPr>
          <w:spacing w:val="-6"/>
        </w:rPr>
        <w:t> </w:t>
      </w:r>
      <w:r>
        <w:rPr/>
        <w:t>el</w:t>
      </w:r>
      <w:r>
        <w:rPr>
          <w:spacing w:val="-5"/>
        </w:rPr>
        <w:t> </w:t>
      </w:r>
      <w:r>
        <w:rPr/>
        <w:t>gobierno para contrarrestar dicho efecto en la economía aumentó el gasto público y no tomó medidas para contener</w:t>
      </w:r>
      <w:r>
        <w:rPr>
          <w:spacing w:val="-6"/>
        </w:rPr>
        <w:t> </w:t>
      </w:r>
      <w:r>
        <w:rPr/>
        <w:t>el</w:t>
      </w:r>
      <w:r>
        <w:rPr>
          <w:spacing w:val="-4"/>
        </w:rPr>
        <w:t> </w:t>
      </w:r>
      <w:r>
        <w:rPr/>
        <w:t>ajuste</w:t>
      </w:r>
      <w:r>
        <w:rPr>
          <w:spacing w:val="-6"/>
        </w:rPr>
        <w:t> </w:t>
      </w:r>
      <w:r>
        <w:rPr/>
        <w:t>automático</w:t>
      </w:r>
      <w:r>
        <w:rPr>
          <w:spacing w:val="-5"/>
        </w:rPr>
        <w:t> </w:t>
      </w:r>
      <w:r>
        <w:rPr/>
        <w:t>(a</w:t>
      </w:r>
      <w:r>
        <w:rPr>
          <w:spacing w:val="-6"/>
        </w:rPr>
        <w:t> </w:t>
      </w:r>
      <w:r>
        <w:rPr/>
        <w:t>la</w:t>
      </w:r>
      <w:r>
        <w:rPr>
          <w:spacing w:val="-4"/>
        </w:rPr>
        <w:t> </w:t>
      </w:r>
      <w:r>
        <w:rPr/>
        <w:t>baja)</w:t>
      </w:r>
      <w:r>
        <w:rPr>
          <w:spacing w:val="-5"/>
        </w:rPr>
        <w:t> </w:t>
      </w:r>
      <w:r>
        <w:rPr/>
        <w:t>de</w:t>
      </w:r>
      <w:r>
        <w:rPr>
          <w:spacing w:val="-7"/>
        </w:rPr>
        <w:t> </w:t>
      </w:r>
      <w:r>
        <w:rPr/>
        <w:t>la</w:t>
      </w:r>
      <w:r>
        <w:rPr>
          <w:spacing w:val="-6"/>
        </w:rPr>
        <w:t> </w:t>
      </w:r>
      <w:r>
        <w:rPr/>
        <w:t>recaudación</w:t>
      </w:r>
      <w:r>
        <w:rPr>
          <w:spacing w:val="-5"/>
        </w:rPr>
        <w:t> </w:t>
      </w:r>
      <w:r>
        <w:rPr/>
        <w:t>tributaria</w:t>
      </w:r>
      <w:r>
        <w:rPr>
          <w:spacing w:val="-3"/>
        </w:rPr>
        <w:t> </w:t>
      </w:r>
      <w:r>
        <w:rPr/>
        <w:t>producto</w:t>
      </w:r>
      <w:r>
        <w:rPr>
          <w:spacing w:val="-7"/>
        </w:rPr>
        <w:t> </w:t>
      </w:r>
      <w:r>
        <w:rPr/>
        <w:t>de</w:t>
      </w:r>
      <w:r>
        <w:rPr>
          <w:spacing w:val="-6"/>
        </w:rPr>
        <w:t> </w:t>
      </w:r>
      <w:r>
        <w:rPr/>
        <w:t>la</w:t>
      </w:r>
      <w:r>
        <w:rPr>
          <w:spacing w:val="-7"/>
        </w:rPr>
        <w:t> </w:t>
      </w:r>
      <w:r>
        <w:rPr/>
        <w:t>crisis,</w:t>
      </w:r>
      <w:r>
        <w:rPr>
          <w:spacing w:val="-6"/>
        </w:rPr>
        <w:t> </w:t>
      </w:r>
      <w:r>
        <w:rPr/>
        <w:t>lo</w:t>
      </w:r>
      <w:r>
        <w:rPr>
          <w:spacing w:val="-5"/>
        </w:rPr>
        <w:t> </w:t>
      </w:r>
      <w:r>
        <w:rPr/>
        <w:t>que</w:t>
      </w:r>
      <w:r>
        <w:rPr>
          <w:spacing w:val="-6"/>
        </w:rPr>
        <w:t> </w:t>
      </w:r>
      <w:r>
        <w:rPr/>
        <w:t>tuvo un</w:t>
      </w:r>
      <w:r>
        <w:rPr>
          <w:spacing w:val="-13"/>
        </w:rPr>
        <w:t> </w:t>
      </w:r>
      <w:r>
        <w:rPr/>
        <w:t>efecto</w:t>
      </w:r>
      <w:r>
        <w:rPr>
          <w:spacing w:val="-13"/>
        </w:rPr>
        <w:t> </w:t>
      </w:r>
      <w:r>
        <w:rPr/>
        <w:t>expansivo</w:t>
      </w:r>
      <w:r>
        <w:rPr>
          <w:spacing w:val="-13"/>
        </w:rPr>
        <w:t> </w:t>
      </w:r>
      <w:r>
        <w:rPr/>
        <w:t>en</w:t>
      </w:r>
      <w:r>
        <w:rPr>
          <w:spacing w:val="-13"/>
        </w:rPr>
        <w:t> </w:t>
      </w:r>
      <w:r>
        <w:rPr/>
        <w:t>la</w:t>
      </w:r>
      <w:r>
        <w:rPr>
          <w:spacing w:val="-12"/>
        </w:rPr>
        <w:t> </w:t>
      </w:r>
      <w:r>
        <w:rPr/>
        <w:t>política</w:t>
      </w:r>
      <w:r>
        <w:rPr>
          <w:spacing w:val="-13"/>
        </w:rPr>
        <w:t> </w:t>
      </w:r>
      <w:r>
        <w:rPr/>
        <w:t>fiscal.</w:t>
      </w:r>
      <w:r>
        <w:rPr>
          <w:spacing w:val="-13"/>
        </w:rPr>
        <w:t> </w:t>
      </w:r>
      <w:r>
        <w:rPr/>
        <w:t>Después,</w:t>
      </w:r>
      <w:r>
        <w:rPr>
          <w:spacing w:val="-13"/>
        </w:rPr>
        <w:t> </w:t>
      </w:r>
      <w:r>
        <w:rPr/>
        <w:t>de</w:t>
      </w:r>
      <w:r>
        <w:rPr>
          <w:spacing w:val="-15"/>
        </w:rPr>
        <w:t> </w:t>
      </w:r>
      <w:r>
        <w:rPr/>
        <w:t>esos</w:t>
      </w:r>
      <w:r>
        <w:rPr>
          <w:spacing w:val="-12"/>
        </w:rPr>
        <w:t> </w:t>
      </w:r>
      <w:r>
        <w:rPr/>
        <w:t>años</w:t>
      </w:r>
      <w:r>
        <w:rPr>
          <w:spacing w:val="-13"/>
        </w:rPr>
        <w:t> </w:t>
      </w:r>
      <w:r>
        <w:rPr/>
        <w:t>la</w:t>
      </w:r>
      <w:r>
        <w:rPr>
          <w:spacing w:val="-13"/>
        </w:rPr>
        <w:t> </w:t>
      </w:r>
      <w:r>
        <w:rPr/>
        <w:t>política</w:t>
      </w:r>
      <w:r>
        <w:rPr>
          <w:spacing w:val="-15"/>
        </w:rPr>
        <w:t> </w:t>
      </w:r>
      <w:r>
        <w:rPr/>
        <w:t>fiscal</w:t>
      </w:r>
      <w:r>
        <w:rPr>
          <w:spacing w:val="-12"/>
        </w:rPr>
        <w:t> </w:t>
      </w:r>
      <w:r>
        <w:rPr/>
        <w:t>fue</w:t>
      </w:r>
      <w:r>
        <w:rPr>
          <w:spacing w:val="-12"/>
        </w:rPr>
        <w:t> </w:t>
      </w:r>
      <w:r>
        <w:rPr/>
        <w:t>contractiva</w:t>
      </w:r>
      <w:r>
        <w:rPr>
          <w:spacing w:val="-13"/>
        </w:rPr>
        <w:t> </w:t>
      </w:r>
      <w:r>
        <w:rPr/>
        <w:t>(2010- 2016) situación que se agudizó en los años 2015 en donde el gasto se contrajo fuertemente, en parte porque la economía se encontraba por encima de su nivel potencial, pero también por una política fiscal deliberada de contención de gasto asociado a los problemas de liquidez del</w:t>
      </w:r>
      <w:r>
        <w:rPr>
          <w:spacing w:val="-16"/>
        </w:rPr>
        <w:t> </w:t>
      </w:r>
      <w:r>
        <w:rPr/>
        <w:t>gobierno.</w:t>
      </w:r>
    </w:p>
    <w:p>
      <w:pPr>
        <w:pStyle w:val="BodyText"/>
        <w:spacing w:before="2"/>
        <w:rPr>
          <w:sz w:val="25"/>
        </w:rPr>
      </w:pPr>
    </w:p>
    <w:p>
      <w:pPr>
        <w:pStyle w:val="BodyText"/>
        <w:spacing w:line="276" w:lineRule="auto" w:before="1"/>
        <w:ind w:left="562" w:right="1695"/>
        <w:jc w:val="both"/>
      </w:pPr>
      <w:r>
        <w:rPr/>
        <w:t>A partir de 2017 esto cambió, la política fiscal empezó a ser expansiva al principio por la relajación, no</w:t>
      </w:r>
      <w:r>
        <w:rPr>
          <w:spacing w:val="-5"/>
        </w:rPr>
        <w:t> </w:t>
      </w:r>
      <w:r>
        <w:rPr/>
        <w:t>deliberada,</w:t>
      </w:r>
      <w:r>
        <w:rPr>
          <w:spacing w:val="-4"/>
        </w:rPr>
        <w:t> </w:t>
      </w:r>
      <w:r>
        <w:rPr/>
        <w:t>por</w:t>
      </w:r>
      <w:r>
        <w:rPr>
          <w:spacing w:val="-3"/>
        </w:rPr>
        <w:t> </w:t>
      </w:r>
      <w:r>
        <w:rPr/>
        <w:t>el</w:t>
      </w:r>
      <w:r>
        <w:rPr>
          <w:spacing w:val="-4"/>
        </w:rPr>
        <w:t> </w:t>
      </w:r>
      <w:r>
        <w:rPr/>
        <w:t>lado</w:t>
      </w:r>
      <w:r>
        <w:rPr>
          <w:spacing w:val="-3"/>
        </w:rPr>
        <w:t> </w:t>
      </w:r>
      <w:r>
        <w:rPr/>
        <w:t>del</w:t>
      </w:r>
      <w:r>
        <w:rPr>
          <w:spacing w:val="-5"/>
        </w:rPr>
        <w:t> </w:t>
      </w:r>
      <w:r>
        <w:rPr/>
        <w:t>ingreso</w:t>
      </w:r>
      <w:r>
        <w:rPr>
          <w:spacing w:val="-5"/>
        </w:rPr>
        <w:t> </w:t>
      </w:r>
      <w:r>
        <w:rPr/>
        <w:t>por</w:t>
      </w:r>
      <w:r>
        <w:rPr>
          <w:spacing w:val="-5"/>
        </w:rPr>
        <w:t> </w:t>
      </w:r>
      <w:r>
        <w:rPr/>
        <w:t>la</w:t>
      </w:r>
      <w:r>
        <w:rPr>
          <w:spacing w:val="-6"/>
        </w:rPr>
        <w:t> </w:t>
      </w:r>
      <w:r>
        <w:rPr/>
        <w:t>reducción</w:t>
      </w:r>
      <w:r>
        <w:rPr>
          <w:spacing w:val="-6"/>
        </w:rPr>
        <w:t> </w:t>
      </w:r>
      <w:r>
        <w:rPr/>
        <w:t>en</w:t>
      </w:r>
      <w:r>
        <w:rPr>
          <w:spacing w:val="-4"/>
        </w:rPr>
        <w:t> </w:t>
      </w:r>
      <w:r>
        <w:rPr/>
        <w:t>la</w:t>
      </w:r>
      <w:r>
        <w:rPr>
          <w:spacing w:val="-6"/>
        </w:rPr>
        <w:t> </w:t>
      </w:r>
      <w:r>
        <w:rPr/>
        <w:t>carga</w:t>
      </w:r>
      <w:r>
        <w:rPr>
          <w:spacing w:val="-3"/>
        </w:rPr>
        <w:t> </w:t>
      </w:r>
      <w:r>
        <w:rPr/>
        <w:t>tributaria</w:t>
      </w:r>
      <w:r>
        <w:rPr>
          <w:spacing w:val="-7"/>
        </w:rPr>
        <w:t> </w:t>
      </w:r>
      <w:r>
        <w:rPr/>
        <w:t>y</w:t>
      </w:r>
      <w:r>
        <w:rPr>
          <w:spacing w:val="-6"/>
        </w:rPr>
        <w:t> </w:t>
      </w:r>
      <w:r>
        <w:rPr/>
        <w:t>posteriormente</w:t>
      </w:r>
      <w:r>
        <w:rPr>
          <w:spacing w:val="-3"/>
        </w:rPr>
        <w:t> </w:t>
      </w:r>
      <w:r>
        <w:rPr/>
        <w:t>por</w:t>
      </w:r>
      <w:r>
        <w:rPr>
          <w:spacing w:val="-4"/>
        </w:rPr>
        <w:t> </w:t>
      </w:r>
      <w:r>
        <w:rPr/>
        <w:t>una mayor expansión de gasto, importante indicar acá el efecto que tuvo al aumento de la inversión pública en 2018 y</w:t>
      </w:r>
      <w:r>
        <w:rPr>
          <w:spacing w:val="-7"/>
        </w:rPr>
        <w:t> </w:t>
      </w:r>
      <w:r>
        <w:rPr/>
        <w:t>2019.</w:t>
      </w:r>
    </w:p>
    <w:p>
      <w:pPr>
        <w:pStyle w:val="BodyText"/>
        <w:spacing w:line="276" w:lineRule="auto" w:before="187"/>
        <w:ind w:left="562" w:right="1696"/>
        <w:jc w:val="both"/>
      </w:pPr>
      <w:r>
        <w:rPr/>
        <w:t>En 2020 se dio un fuerte estímulo fiscal, el cual permitió sostener el gasto público a pesar de la contracción</w:t>
      </w:r>
      <w:r>
        <w:rPr>
          <w:spacing w:val="-5"/>
        </w:rPr>
        <w:t> </w:t>
      </w:r>
      <w:r>
        <w:rPr/>
        <w:t>económica</w:t>
      </w:r>
      <w:r>
        <w:rPr>
          <w:spacing w:val="-4"/>
        </w:rPr>
        <w:t> </w:t>
      </w:r>
      <w:r>
        <w:rPr/>
        <w:t>y</w:t>
      </w:r>
      <w:r>
        <w:rPr>
          <w:spacing w:val="-6"/>
        </w:rPr>
        <w:t> </w:t>
      </w:r>
      <w:r>
        <w:rPr/>
        <w:t>la</w:t>
      </w:r>
      <w:r>
        <w:rPr>
          <w:spacing w:val="-3"/>
        </w:rPr>
        <w:t> </w:t>
      </w:r>
      <w:r>
        <w:rPr/>
        <w:t>menor</w:t>
      </w:r>
      <w:r>
        <w:rPr>
          <w:spacing w:val="-4"/>
        </w:rPr>
        <w:t> </w:t>
      </w:r>
      <w:r>
        <w:rPr/>
        <w:t>disponibilidad</w:t>
      </w:r>
      <w:r>
        <w:rPr>
          <w:spacing w:val="-3"/>
        </w:rPr>
        <w:t> </w:t>
      </w:r>
      <w:r>
        <w:rPr/>
        <w:t>de</w:t>
      </w:r>
      <w:r>
        <w:rPr>
          <w:spacing w:val="-4"/>
        </w:rPr>
        <w:t> </w:t>
      </w:r>
      <w:r>
        <w:rPr/>
        <w:t>recursos</w:t>
      </w:r>
      <w:r>
        <w:rPr>
          <w:spacing w:val="-4"/>
        </w:rPr>
        <w:t> </w:t>
      </w:r>
      <w:r>
        <w:rPr/>
        <w:t>tributarios</w:t>
      </w:r>
      <w:r>
        <w:rPr>
          <w:spacing w:val="-3"/>
        </w:rPr>
        <w:t> </w:t>
      </w:r>
      <w:r>
        <w:rPr/>
        <w:t>por</w:t>
      </w:r>
      <w:r>
        <w:rPr>
          <w:spacing w:val="-6"/>
        </w:rPr>
        <w:t> </w:t>
      </w:r>
      <w:r>
        <w:rPr/>
        <w:t>la</w:t>
      </w:r>
      <w:r>
        <w:rPr>
          <w:spacing w:val="-3"/>
        </w:rPr>
        <w:t> </w:t>
      </w:r>
      <w:r>
        <w:rPr/>
        <w:t>crisis</w:t>
      </w:r>
      <w:r>
        <w:rPr>
          <w:spacing w:val="-4"/>
        </w:rPr>
        <w:t> </w:t>
      </w:r>
      <w:r>
        <w:rPr/>
        <w:t>del</w:t>
      </w:r>
      <w:r>
        <w:rPr>
          <w:spacing w:val="-4"/>
        </w:rPr>
        <w:t> </w:t>
      </w:r>
      <w:r>
        <w:rPr/>
        <w:t>COVID-19, el gobierno no tomó medidas para contener el ajuste automático (a la baja) que se reportaba en la recaudación</w:t>
      </w:r>
      <w:r>
        <w:rPr>
          <w:spacing w:val="-10"/>
        </w:rPr>
        <w:t> </w:t>
      </w:r>
      <w:r>
        <w:rPr/>
        <w:t>tributaria,</w:t>
      </w:r>
      <w:r>
        <w:rPr>
          <w:spacing w:val="-8"/>
        </w:rPr>
        <w:t> </w:t>
      </w:r>
      <w:r>
        <w:rPr/>
        <w:t>con</w:t>
      </w:r>
      <w:r>
        <w:rPr>
          <w:spacing w:val="-9"/>
        </w:rPr>
        <w:t> </w:t>
      </w:r>
      <w:r>
        <w:rPr/>
        <w:t>un</w:t>
      </w:r>
      <w:r>
        <w:rPr>
          <w:spacing w:val="-7"/>
        </w:rPr>
        <w:t> </w:t>
      </w:r>
      <w:r>
        <w:rPr/>
        <w:t>efecto</w:t>
      </w:r>
      <w:r>
        <w:rPr>
          <w:spacing w:val="-6"/>
        </w:rPr>
        <w:t> </w:t>
      </w:r>
      <w:r>
        <w:rPr/>
        <w:t>expansivo</w:t>
      </w:r>
      <w:r>
        <w:rPr>
          <w:spacing w:val="-7"/>
        </w:rPr>
        <w:t> </w:t>
      </w:r>
      <w:r>
        <w:rPr/>
        <w:t>en</w:t>
      </w:r>
      <w:r>
        <w:rPr>
          <w:spacing w:val="-6"/>
        </w:rPr>
        <w:t> </w:t>
      </w:r>
      <w:r>
        <w:rPr/>
        <w:t>la</w:t>
      </w:r>
      <w:r>
        <w:rPr>
          <w:spacing w:val="-9"/>
        </w:rPr>
        <w:t> </w:t>
      </w:r>
      <w:r>
        <w:rPr/>
        <w:t>política</w:t>
      </w:r>
      <w:r>
        <w:rPr>
          <w:spacing w:val="-6"/>
        </w:rPr>
        <w:t> </w:t>
      </w:r>
      <w:r>
        <w:rPr/>
        <w:t>fiscal,</w:t>
      </w:r>
      <w:r>
        <w:rPr>
          <w:spacing w:val="-7"/>
        </w:rPr>
        <w:t> </w:t>
      </w:r>
      <w:r>
        <w:rPr/>
        <w:t>mediante</w:t>
      </w:r>
      <w:r>
        <w:rPr>
          <w:spacing w:val="-6"/>
        </w:rPr>
        <w:t> </w:t>
      </w:r>
      <w:r>
        <w:rPr/>
        <w:t>un</w:t>
      </w:r>
      <w:r>
        <w:rPr>
          <w:spacing w:val="-7"/>
        </w:rPr>
        <w:t> </w:t>
      </w:r>
      <w:r>
        <w:rPr/>
        <w:t>aumento</w:t>
      </w:r>
      <w:r>
        <w:rPr>
          <w:spacing w:val="-7"/>
        </w:rPr>
        <w:t> </w:t>
      </w:r>
      <w:r>
        <w:rPr/>
        <w:t>importante en el gasto público financiado principalmente con la generación de deuda</w:t>
      </w:r>
      <w:r>
        <w:rPr>
          <w:spacing w:val="-11"/>
        </w:rPr>
        <w:t> </w:t>
      </w:r>
      <w:r>
        <w:rPr/>
        <w:t>pública.</w:t>
      </w:r>
    </w:p>
    <w:p>
      <w:pPr>
        <w:pStyle w:val="BodyText"/>
        <w:spacing w:before="3"/>
        <w:rPr>
          <w:sz w:val="25"/>
        </w:rPr>
      </w:pPr>
    </w:p>
    <w:p>
      <w:pPr>
        <w:pStyle w:val="BodyText"/>
        <w:spacing w:line="276" w:lineRule="auto"/>
        <w:ind w:left="562" w:right="1696"/>
        <w:jc w:val="both"/>
      </w:pPr>
      <w:r>
        <w:rPr/>
        <w:t>Por el contrario, en 2021 se observó una fuerte recuperación económica en forma de V, la cual </w:t>
      </w:r>
      <w:r>
        <w:rPr>
          <w:spacing w:val="-3"/>
        </w:rPr>
        <w:t>se </w:t>
      </w:r>
      <w:r>
        <w:rPr/>
        <w:t>produce</w:t>
      </w:r>
      <w:r>
        <w:rPr>
          <w:spacing w:val="-4"/>
        </w:rPr>
        <w:t> </w:t>
      </w:r>
      <w:r>
        <w:rPr/>
        <w:t>luego</w:t>
      </w:r>
      <w:r>
        <w:rPr>
          <w:spacing w:val="-4"/>
        </w:rPr>
        <w:t> </w:t>
      </w:r>
      <w:r>
        <w:rPr/>
        <w:t>de</w:t>
      </w:r>
      <w:r>
        <w:rPr>
          <w:spacing w:val="-3"/>
        </w:rPr>
        <w:t> </w:t>
      </w:r>
      <w:r>
        <w:rPr/>
        <w:t>un</w:t>
      </w:r>
      <w:r>
        <w:rPr>
          <w:spacing w:val="-4"/>
        </w:rPr>
        <w:t> </w:t>
      </w:r>
      <w:r>
        <w:rPr/>
        <w:t>parón</w:t>
      </w:r>
      <w:r>
        <w:rPr>
          <w:spacing w:val="-6"/>
        </w:rPr>
        <w:t> </w:t>
      </w:r>
      <w:r>
        <w:rPr/>
        <w:t>brusco</w:t>
      </w:r>
      <w:r>
        <w:rPr>
          <w:spacing w:val="-4"/>
        </w:rPr>
        <w:t> </w:t>
      </w:r>
      <w:r>
        <w:rPr/>
        <w:t>del</w:t>
      </w:r>
      <w:r>
        <w:rPr>
          <w:spacing w:val="-3"/>
        </w:rPr>
        <w:t> </w:t>
      </w:r>
      <w:r>
        <w:rPr/>
        <w:t>crecimiento</w:t>
      </w:r>
      <w:r>
        <w:rPr>
          <w:spacing w:val="-4"/>
        </w:rPr>
        <w:t> </w:t>
      </w:r>
      <w:r>
        <w:rPr/>
        <w:t>de</w:t>
      </w:r>
      <w:r>
        <w:rPr>
          <w:spacing w:val="-3"/>
        </w:rPr>
        <w:t> </w:t>
      </w:r>
      <w:r>
        <w:rPr/>
        <w:t>la</w:t>
      </w:r>
      <w:r>
        <w:rPr>
          <w:spacing w:val="-3"/>
        </w:rPr>
        <w:t> </w:t>
      </w:r>
      <w:r>
        <w:rPr/>
        <w:t>economía,</w:t>
      </w:r>
      <w:r>
        <w:rPr>
          <w:spacing w:val="-3"/>
        </w:rPr>
        <w:t> </w:t>
      </w:r>
      <w:r>
        <w:rPr/>
        <w:t>pero</w:t>
      </w:r>
      <w:r>
        <w:rPr>
          <w:spacing w:val="-6"/>
        </w:rPr>
        <w:t> </w:t>
      </w:r>
      <w:r>
        <w:rPr/>
        <w:t>una</w:t>
      </w:r>
      <w:r>
        <w:rPr>
          <w:spacing w:val="-4"/>
        </w:rPr>
        <w:t> </w:t>
      </w:r>
      <w:r>
        <w:rPr/>
        <w:t>vuelta</w:t>
      </w:r>
      <w:r>
        <w:rPr>
          <w:spacing w:val="-3"/>
        </w:rPr>
        <w:t> </w:t>
      </w:r>
      <w:r>
        <w:rPr/>
        <w:t>a</w:t>
      </w:r>
      <w:r>
        <w:rPr>
          <w:spacing w:val="-3"/>
        </w:rPr>
        <w:t> </w:t>
      </w:r>
      <w:r>
        <w:rPr/>
        <w:t>la</w:t>
      </w:r>
      <w:r>
        <w:rPr>
          <w:spacing w:val="-3"/>
        </w:rPr>
        <w:t> </w:t>
      </w:r>
      <w:r>
        <w:rPr/>
        <w:t>“normalidad” que también fue bastante rápida. Este es el escenario de recuperación que los expertos consideran como el más dinámico, derivado de esta recuperación, los ingresos tributarios crecieron a tasas </w:t>
      </w:r>
      <w:r>
        <w:rPr>
          <w:spacing w:val="-3"/>
        </w:rPr>
        <w:t>no </w:t>
      </w:r>
      <w:r>
        <w:rPr/>
        <w:t>vistas en años anteriores, y el gasto público fue moderado, revelando que la postura del gobierno en este año fue contractiva y</w:t>
      </w:r>
      <w:r>
        <w:rPr>
          <w:spacing w:val="-9"/>
        </w:rPr>
        <w:t> </w:t>
      </w:r>
      <w:r>
        <w:rPr/>
        <w:t>contracíclica.</w:t>
      </w:r>
    </w:p>
    <w:p>
      <w:pPr>
        <w:pStyle w:val="BodyText"/>
        <w:spacing w:before="3"/>
        <w:rPr>
          <w:sz w:val="25"/>
        </w:rPr>
      </w:pPr>
    </w:p>
    <w:p>
      <w:pPr>
        <w:pStyle w:val="BodyText"/>
        <w:spacing w:line="276" w:lineRule="auto"/>
        <w:ind w:left="562" w:right="1695"/>
        <w:jc w:val="both"/>
      </w:pPr>
      <w:r>
        <w:rPr/>
        <w:t>Se optó por una política fiscal de menor intervención, derivado que la actividad económica desde el primer trimestre mostró signos de recuperación y tomando en consideración que la evolución del gasto público afecta de forma directa a la actividad económica, se reflexionó sobre un gasto público más moderado, siendo la mejor estrategia a seguir en 2021. Derivado de la política fiscal adoptada, la trayectoria en el comportamiento de variables fiscales como el déficit fiscal y la deuda pública mostraron una mejor posición respecto a lo observado en 2020.</w:t>
      </w:r>
    </w:p>
    <w:p>
      <w:pPr>
        <w:spacing w:after="0" w:line="276" w:lineRule="auto"/>
        <w:jc w:val="both"/>
        <w:sectPr>
          <w:pgSz w:w="12240" w:h="15840"/>
          <w:pgMar w:header="715" w:footer="688" w:top="1240" w:bottom="880" w:left="1140" w:right="0"/>
        </w:sectPr>
      </w:pPr>
    </w:p>
    <w:p>
      <w:pPr>
        <w:pStyle w:val="BodyText"/>
        <w:spacing w:line="276" w:lineRule="auto" w:before="162"/>
        <w:ind w:left="562" w:right="1697"/>
        <w:jc w:val="both"/>
      </w:pPr>
      <w:r>
        <w:rPr/>
        <w:t>En el mediano plazo, según las proyecciones del presupuesto multianual, en 2022 </w:t>
      </w:r>
      <w:r>
        <w:rPr>
          <w:spacing w:val="3"/>
        </w:rPr>
        <w:t>la </w:t>
      </w:r>
      <w:r>
        <w:rPr/>
        <w:t>política fiscal podría</w:t>
      </w:r>
      <w:r>
        <w:rPr>
          <w:spacing w:val="-9"/>
        </w:rPr>
        <w:t> </w:t>
      </w:r>
      <w:r>
        <w:rPr/>
        <w:t>ser</w:t>
      </w:r>
      <w:r>
        <w:rPr>
          <w:spacing w:val="-8"/>
        </w:rPr>
        <w:t> </w:t>
      </w:r>
      <w:r>
        <w:rPr/>
        <w:t>expansiva</w:t>
      </w:r>
      <w:r>
        <w:rPr>
          <w:spacing w:val="-8"/>
        </w:rPr>
        <w:t> </w:t>
      </w:r>
      <w:r>
        <w:rPr/>
        <w:t>y</w:t>
      </w:r>
      <w:r>
        <w:rPr>
          <w:spacing w:val="-11"/>
        </w:rPr>
        <w:t> </w:t>
      </w:r>
      <w:r>
        <w:rPr/>
        <w:t>contra</w:t>
      </w:r>
      <w:r>
        <w:rPr>
          <w:spacing w:val="-8"/>
        </w:rPr>
        <w:t> </w:t>
      </w:r>
      <w:r>
        <w:rPr/>
        <w:t>cíclica,</w:t>
      </w:r>
      <w:r>
        <w:rPr>
          <w:spacing w:val="-12"/>
        </w:rPr>
        <w:t> </w:t>
      </w:r>
      <w:r>
        <w:rPr/>
        <w:t>el</w:t>
      </w:r>
      <w:r>
        <w:rPr>
          <w:spacing w:val="-7"/>
        </w:rPr>
        <w:t> </w:t>
      </w:r>
      <w:r>
        <w:rPr/>
        <w:t>proyecto</w:t>
      </w:r>
      <w:r>
        <w:rPr>
          <w:spacing w:val="-11"/>
        </w:rPr>
        <w:t> </w:t>
      </w:r>
      <w:r>
        <w:rPr/>
        <w:t>de</w:t>
      </w:r>
      <w:r>
        <w:rPr>
          <w:spacing w:val="-8"/>
        </w:rPr>
        <w:t> </w:t>
      </w:r>
      <w:r>
        <w:rPr/>
        <w:t>presupuesto</w:t>
      </w:r>
      <w:r>
        <w:rPr>
          <w:spacing w:val="-11"/>
        </w:rPr>
        <w:t> </w:t>
      </w:r>
      <w:r>
        <w:rPr/>
        <w:t>fue</w:t>
      </w:r>
      <w:r>
        <w:rPr>
          <w:spacing w:val="-8"/>
        </w:rPr>
        <w:t> </w:t>
      </w:r>
      <w:r>
        <w:rPr/>
        <w:t>aprobado</w:t>
      </w:r>
      <w:r>
        <w:rPr>
          <w:spacing w:val="-11"/>
        </w:rPr>
        <w:t> </w:t>
      </w:r>
      <w:r>
        <w:rPr/>
        <w:t>luego</w:t>
      </w:r>
      <w:r>
        <w:rPr>
          <w:spacing w:val="-9"/>
        </w:rPr>
        <w:t> </w:t>
      </w:r>
      <w:r>
        <w:rPr/>
        <w:t>de</w:t>
      </w:r>
      <w:r>
        <w:rPr>
          <w:spacing w:val="-8"/>
        </w:rPr>
        <w:t> </w:t>
      </w:r>
      <w:r>
        <w:rPr/>
        <w:t>dos</w:t>
      </w:r>
      <w:r>
        <w:rPr>
          <w:spacing w:val="-10"/>
        </w:rPr>
        <w:t> </w:t>
      </w:r>
      <w:r>
        <w:rPr/>
        <w:t>ejercicios fiscales sin contar con un presupuesto aprobado por parte del Organismo Legislativo, dando certeza de gasto a las entidades del gobierno y adicionalmente el gasto público crecería impulsado por las medidas para mitigar el efecto económico del alza de los precios sobre la población guatemalteca, siendo este un gasto adicional, en 2023 según el proyecto de presupuesto podría ser ligeramente expansiva</w:t>
      </w:r>
      <w:r>
        <w:rPr>
          <w:spacing w:val="-4"/>
        </w:rPr>
        <w:t> </w:t>
      </w:r>
      <w:r>
        <w:rPr/>
        <w:t>y</w:t>
      </w:r>
      <w:r>
        <w:rPr>
          <w:spacing w:val="-7"/>
        </w:rPr>
        <w:t> </w:t>
      </w:r>
      <w:r>
        <w:rPr/>
        <w:t>a</w:t>
      </w:r>
      <w:r>
        <w:rPr>
          <w:spacing w:val="-3"/>
        </w:rPr>
        <w:t> </w:t>
      </w:r>
      <w:r>
        <w:rPr/>
        <w:t>partir</w:t>
      </w:r>
      <w:r>
        <w:rPr>
          <w:spacing w:val="-4"/>
        </w:rPr>
        <w:t> </w:t>
      </w:r>
      <w:r>
        <w:rPr/>
        <w:t>de</w:t>
      </w:r>
      <w:r>
        <w:rPr>
          <w:spacing w:val="-4"/>
        </w:rPr>
        <w:t> </w:t>
      </w:r>
      <w:r>
        <w:rPr/>
        <w:t>2024</w:t>
      </w:r>
      <w:r>
        <w:rPr>
          <w:spacing w:val="-4"/>
        </w:rPr>
        <w:t> </w:t>
      </w:r>
      <w:r>
        <w:rPr/>
        <w:t>a</w:t>
      </w:r>
      <w:r>
        <w:rPr>
          <w:spacing w:val="-7"/>
        </w:rPr>
        <w:t> </w:t>
      </w:r>
      <w:r>
        <w:rPr/>
        <w:t>2027</w:t>
      </w:r>
      <w:r>
        <w:rPr>
          <w:spacing w:val="-6"/>
        </w:rPr>
        <w:t> </w:t>
      </w:r>
      <w:r>
        <w:rPr/>
        <w:t>la</w:t>
      </w:r>
      <w:r>
        <w:rPr>
          <w:spacing w:val="-7"/>
        </w:rPr>
        <w:t> </w:t>
      </w:r>
      <w:r>
        <w:rPr/>
        <w:t>política</w:t>
      </w:r>
      <w:r>
        <w:rPr>
          <w:spacing w:val="-6"/>
        </w:rPr>
        <w:t> </w:t>
      </w:r>
      <w:r>
        <w:rPr/>
        <w:t>cambiará</w:t>
      </w:r>
      <w:r>
        <w:rPr>
          <w:spacing w:val="-4"/>
        </w:rPr>
        <w:t> </w:t>
      </w:r>
      <w:r>
        <w:rPr/>
        <w:t>para</w:t>
      </w:r>
      <w:r>
        <w:rPr>
          <w:spacing w:val="-6"/>
        </w:rPr>
        <w:t> </w:t>
      </w:r>
      <w:r>
        <w:rPr/>
        <w:t>ser</w:t>
      </w:r>
      <w:r>
        <w:rPr>
          <w:spacing w:val="-6"/>
        </w:rPr>
        <w:t> </w:t>
      </w:r>
      <w:r>
        <w:rPr/>
        <w:t>levemente</w:t>
      </w:r>
      <w:r>
        <w:rPr>
          <w:spacing w:val="-4"/>
        </w:rPr>
        <w:t> </w:t>
      </w:r>
      <w:r>
        <w:rPr/>
        <w:t>contractiva,</w:t>
      </w:r>
      <w:r>
        <w:rPr>
          <w:spacing w:val="-6"/>
        </w:rPr>
        <w:t> </w:t>
      </w:r>
      <w:r>
        <w:rPr/>
        <w:t>debido</w:t>
      </w:r>
      <w:r>
        <w:rPr>
          <w:spacing w:val="-7"/>
        </w:rPr>
        <w:t> </w:t>
      </w:r>
      <w:r>
        <w:rPr/>
        <w:t>a</w:t>
      </w:r>
      <w:r>
        <w:rPr>
          <w:spacing w:val="-3"/>
        </w:rPr>
        <w:t> </w:t>
      </w:r>
      <w:r>
        <w:rPr/>
        <w:t>que las medidas sanitarias adoptadas por la pandemia COVID-19 se han moderado, así como la eliminación de las medidas temporales para mitigar el alza de precios en los combustibles en</w:t>
      </w:r>
      <w:r>
        <w:rPr>
          <w:spacing w:val="-22"/>
        </w:rPr>
        <w:t> </w:t>
      </w:r>
      <w:r>
        <w:rPr/>
        <w:t>2022.</w:t>
      </w:r>
    </w:p>
    <w:p>
      <w:pPr>
        <w:pStyle w:val="BodyText"/>
        <w:spacing w:before="8"/>
        <w:rPr>
          <w:sz w:val="25"/>
        </w:rPr>
      </w:pPr>
    </w:p>
    <w:p>
      <w:pPr>
        <w:spacing w:before="0"/>
        <w:ind w:left="1395" w:right="2530" w:firstLine="0"/>
        <w:jc w:val="center"/>
        <w:rPr>
          <w:b/>
          <w:sz w:val="22"/>
        </w:rPr>
      </w:pPr>
      <w:bookmarkStart w:name="_bookmark230" w:id="299"/>
      <w:bookmarkEnd w:id="299"/>
      <w:r>
        <w:rPr/>
      </w:r>
      <w:r>
        <w:rPr>
          <w:b/>
          <w:i/>
          <w:sz w:val="20"/>
        </w:rPr>
        <w:t>Gráfico 113.  </w:t>
      </w:r>
      <w:r>
        <w:rPr>
          <w:b/>
          <w:sz w:val="22"/>
        </w:rPr>
        <w:t>Impulso fiscal</w:t>
      </w:r>
    </w:p>
    <w:p>
      <w:pPr>
        <w:pStyle w:val="BodyText"/>
        <w:spacing w:before="33"/>
        <w:ind w:left="1395" w:right="2533"/>
        <w:jc w:val="center"/>
      </w:pPr>
      <w:r>
        <w:rPr/>
        <w:drawing>
          <wp:anchor distT="0" distB="0" distL="0" distR="0" allowOverlap="1" layoutInCell="1" locked="0" behindDoc="0" simplePos="0" relativeHeight="1582">
            <wp:simplePos x="0" y="0"/>
            <wp:positionH relativeFrom="page">
              <wp:posOffset>1362455</wp:posOffset>
            </wp:positionH>
            <wp:positionV relativeFrom="paragraph">
              <wp:posOffset>209036</wp:posOffset>
            </wp:positionV>
            <wp:extent cx="5046185" cy="2952750"/>
            <wp:effectExtent l="0" t="0" r="0" b="0"/>
            <wp:wrapTopAndBottom/>
            <wp:docPr id="123" name="image348.jpeg"/>
            <wp:cNvGraphicFramePr>
              <a:graphicFrameLocks noChangeAspect="1"/>
            </wp:cNvGraphicFramePr>
            <a:graphic>
              <a:graphicData uri="http://schemas.openxmlformats.org/drawingml/2006/picture">
                <pic:pic>
                  <pic:nvPicPr>
                    <pic:cNvPr id="124" name="image348.jpeg"/>
                    <pic:cNvPicPr/>
                  </pic:nvPicPr>
                  <pic:blipFill>
                    <a:blip r:embed="rId356" cstate="print"/>
                    <a:stretch>
                      <a:fillRect/>
                    </a:stretch>
                  </pic:blipFill>
                  <pic:spPr>
                    <a:xfrm>
                      <a:off x="0" y="0"/>
                      <a:ext cx="5046185" cy="2952750"/>
                    </a:xfrm>
                    <a:prstGeom prst="rect">
                      <a:avLst/>
                    </a:prstGeom>
                  </pic:spPr>
                </pic:pic>
              </a:graphicData>
            </a:graphic>
          </wp:anchor>
        </w:drawing>
      </w:r>
      <w:r>
        <w:rPr/>
        <w:t>Puntos porcentuales del PIB potencial</w:t>
      </w:r>
    </w:p>
    <w:p>
      <w:pPr>
        <w:spacing w:before="11"/>
        <w:ind w:left="1445" w:right="0" w:firstLine="0"/>
        <w:jc w:val="left"/>
        <w:rPr>
          <w:sz w:val="16"/>
        </w:rPr>
      </w:pPr>
      <w:r>
        <w:rPr>
          <w:sz w:val="16"/>
        </w:rPr>
        <w:t>Fuente: Dirección de Análisis y Política Fiscal</w:t>
      </w:r>
    </w:p>
    <w:p>
      <w:pPr>
        <w:pStyle w:val="BodyText"/>
        <w:rPr>
          <w:sz w:val="18"/>
        </w:rPr>
      </w:pPr>
    </w:p>
    <w:p>
      <w:pPr>
        <w:pStyle w:val="BodyText"/>
        <w:spacing w:line="276" w:lineRule="auto" w:before="108"/>
        <w:ind w:left="562" w:right="1698"/>
        <w:jc w:val="both"/>
      </w:pPr>
      <w:r>
        <w:rPr/>
        <w:t>Con</w:t>
      </w:r>
      <w:r>
        <w:rPr>
          <w:spacing w:val="-10"/>
        </w:rPr>
        <w:t> </w:t>
      </w:r>
      <w:r>
        <w:rPr/>
        <w:t>base</w:t>
      </w:r>
      <w:r>
        <w:rPr>
          <w:spacing w:val="-9"/>
        </w:rPr>
        <w:t> </w:t>
      </w:r>
      <w:r>
        <w:rPr/>
        <w:t>a</w:t>
      </w:r>
      <w:r>
        <w:rPr>
          <w:spacing w:val="-10"/>
        </w:rPr>
        <w:t> </w:t>
      </w:r>
      <w:r>
        <w:rPr/>
        <w:t>los</w:t>
      </w:r>
      <w:r>
        <w:rPr>
          <w:spacing w:val="-12"/>
        </w:rPr>
        <w:t> </w:t>
      </w:r>
      <w:r>
        <w:rPr/>
        <w:t>resultados</w:t>
      </w:r>
      <w:r>
        <w:rPr>
          <w:spacing w:val="-9"/>
        </w:rPr>
        <w:t> </w:t>
      </w:r>
      <w:r>
        <w:rPr/>
        <w:t>del</w:t>
      </w:r>
      <w:r>
        <w:rPr>
          <w:spacing w:val="-8"/>
        </w:rPr>
        <w:t> </w:t>
      </w:r>
      <w:r>
        <w:rPr/>
        <w:t>impulso</w:t>
      </w:r>
      <w:r>
        <w:rPr>
          <w:spacing w:val="-12"/>
        </w:rPr>
        <w:t> </w:t>
      </w:r>
      <w:r>
        <w:rPr/>
        <w:t>fiscal</w:t>
      </w:r>
      <w:r>
        <w:rPr>
          <w:spacing w:val="-8"/>
        </w:rPr>
        <w:t> </w:t>
      </w:r>
      <w:r>
        <w:rPr/>
        <w:t>y</w:t>
      </w:r>
      <w:r>
        <w:rPr>
          <w:spacing w:val="-11"/>
        </w:rPr>
        <w:t> </w:t>
      </w:r>
      <w:r>
        <w:rPr/>
        <w:t>la</w:t>
      </w:r>
      <w:r>
        <w:rPr>
          <w:spacing w:val="-9"/>
        </w:rPr>
        <w:t> </w:t>
      </w:r>
      <w:r>
        <w:rPr/>
        <w:t>relación</w:t>
      </w:r>
      <w:r>
        <w:rPr>
          <w:spacing w:val="-9"/>
        </w:rPr>
        <w:t> </w:t>
      </w:r>
      <w:r>
        <w:rPr/>
        <w:t>de</w:t>
      </w:r>
      <w:r>
        <w:rPr>
          <w:spacing w:val="-9"/>
        </w:rPr>
        <w:t> </w:t>
      </w:r>
      <w:r>
        <w:rPr/>
        <w:t>este</w:t>
      </w:r>
      <w:r>
        <w:rPr>
          <w:spacing w:val="-9"/>
        </w:rPr>
        <w:t> </w:t>
      </w:r>
      <w:r>
        <w:rPr/>
        <w:t>indicador</w:t>
      </w:r>
      <w:r>
        <w:rPr>
          <w:spacing w:val="-9"/>
        </w:rPr>
        <w:t> </w:t>
      </w:r>
      <w:r>
        <w:rPr/>
        <w:t>con</w:t>
      </w:r>
      <w:r>
        <w:rPr>
          <w:spacing w:val="-9"/>
        </w:rPr>
        <w:t> </w:t>
      </w:r>
      <w:r>
        <w:rPr/>
        <w:t>la</w:t>
      </w:r>
      <w:r>
        <w:rPr>
          <w:spacing w:val="-9"/>
        </w:rPr>
        <w:t> </w:t>
      </w:r>
      <w:r>
        <w:rPr/>
        <w:t>brecha</w:t>
      </w:r>
      <w:r>
        <w:rPr>
          <w:spacing w:val="-9"/>
        </w:rPr>
        <w:t> </w:t>
      </w:r>
      <w:r>
        <w:rPr/>
        <w:t>del</w:t>
      </w:r>
      <w:r>
        <w:rPr>
          <w:spacing w:val="-10"/>
        </w:rPr>
        <w:t> </w:t>
      </w:r>
      <w:r>
        <w:rPr/>
        <w:t>producto, nos indica que para los años 2020 la política fiscal fue marcadamente contra cíclica. Para 2021 nuevamente</w:t>
      </w:r>
      <w:r>
        <w:rPr>
          <w:spacing w:val="-4"/>
        </w:rPr>
        <w:t> </w:t>
      </w:r>
      <w:r>
        <w:rPr/>
        <w:t>la</w:t>
      </w:r>
      <w:r>
        <w:rPr>
          <w:spacing w:val="-4"/>
        </w:rPr>
        <w:t> </w:t>
      </w:r>
      <w:r>
        <w:rPr/>
        <w:t>política</w:t>
      </w:r>
      <w:r>
        <w:rPr>
          <w:spacing w:val="-7"/>
        </w:rPr>
        <w:t> </w:t>
      </w:r>
      <w:r>
        <w:rPr/>
        <w:t>fiscal</w:t>
      </w:r>
      <w:r>
        <w:rPr>
          <w:spacing w:val="-3"/>
        </w:rPr>
        <w:t> </w:t>
      </w:r>
      <w:r>
        <w:rPr/>
        <w:t>fue</w:t>
      </w:r>
      <w:r>
        <w:rPr>
          <w:spacing w:val="-4"/>
        </w:rPr>
        <w:t> </w:t>
      </w:r>
      <w:r>
        <w:rPr/>
        <w:t>contra</w:t>
      </w:r>
      <w:r>
        <w:rPr>
          <w:spacing w:val="-4"/>
        </w:rPr>
        <w:t> </w:t>
      </w:r>
      <w:r>
        <w:rPr/>
        <w:t>cíclica,</w:t>
      </w:r>
      <w:r>
        <w:rPr>
          <w:spacing w:val="-5"/>
        </w:rPr>
        <w:t> </w:t>
      </w:r>
      <w:r>
        <w:rPr/>
        <w:t>dado</w:t>
      </w:r>
      <w:r>
        <w:rPr>
          <w:spacing w:val="-3"/>
        </w:rPr>
        <w:t> </w:t>
      </w:r>
      <w:r>
        <w:rPr/>
        <w:t>que</w:t>
      </w:r>
      <w:r>
        <w:rPr>
          <w:spacing w:val="-4"/>
        </w:rPr>
        <w:t> </w:t>
      </w:r>
      <w:r>
        <w:rPr/>
        <w:t>con</w:t>
      </w:r>
      <w:r>
        <w:rPr>
          <w:spacing w:val="-4"/>
        </w:rPr>
        <w:t> </w:t>
      </w:r>
      <w:r>
        <w:rPr/>
        <w:t>un</w:t>
      </w:r>
      <w:r>
        <w:rPr>
          <w:spacing w:val="-7"/>
        </w:rPr>
        <w:t> </w:t>
      </w:r>
      <w:r>
        <w:rPr/>
        <w:t>crecimiento</w:t>
      </w:r>
      <w:r>
        <w:rPr>
          <w:spacing w:val="-4"/>
        </w:rPr>
        <w:t> </w:t>
      </w:r>
      <w:r>
        <w:rPr/>
        <w:t>del</w:t>
      </w:r>
      <w:r>
        <w:rPr>
          <w:spacing w:val="-4"/>
        </w:rPr>
        <w:t> </w:t>
      </w:r>
      <w:r>
        <w:rPr/>
        <w:t>8.0%,</w:t>
      </w:r>
      <w:r>
        <w:rPr>
          <w:spacing w:val="-5"/>
        </w:rPr>
        <w:t> </w:t>
      </w:r>
      <w:r>
        <w:rPr/>
        <w:t>por</w:t>
      </w:r>
      <w:r>
        <w:rPr>
          <w:spacing w:val="-3"/>
        </w:rPr>
        <w:t> </w:t>
      </w:r>
      <w:r>
        <w:rPr/>
        <w:t>arriba</w:t>
      </w:r>
      <w:r>
        <w:rPr>
          <w:spacing w:val="-4"/>
        </w:rPr>
        <w:t> </w:t>
      </w:r>
      <w:r>
        <w:rPr/>
        <w:t>del PIB potencial, se dio una fuerte contracción del gasto</w:t>
      </w:r>
      <w:r>
        <w:rPr>
          <w:spacing w:val="-3"/>
        </w:rPr>
        <w:t> </w:t>
      </w:r>
      <w:r>
        <w:rPr/>
        <w:t>público.</w:t>
      </w:r>
    </w:p>
    <w:p>
      <w:pPr>
        <w:pStyle w:val="BodyText"/>
        <w:spacing w:before="3"/>
        <w:rPr>
          <w:sz w:val="25"/>
        </w:rPr>
      </w:pPr>
    </w:p>
    <w:p>
      <w:pPr>
        <w:pStyle w:val="BodyText"/>
        <w:spacing w:line="276" w:lineRule="auto"/>
        <w:ind w:left="562" w:right="1700"/>
        <w:jc w:val="both"/>
      </w:pPr>
      <w:r>
        <w:rPr/>
        <w:t>En 2022 se espera que la política fiscal sea nuevamente contra cíclica, derivado que se espera un aumento importante de los gastos relacionados a las transferencias corrientes, los bienes y servicios y la inversión real directa, al mismo tiempo los ingresos se mantendrán elevados y el crecimiento económico podría estar cerca de su potencial (3.5%), pero menor al nivel observado en 2021.</w:t>
      </w:r>
    </w:p>
    <w:p>
      <w:pPr>
        <w:pStyle w:val="BodyText"/>
        <w:spacing w:before="3"/>
        <w:rPr>
          <w:sz w:val="25"/>
        </w:rPr>
      </w:pPr>
    </w:p>
    <w:p>
      <w:pPr>
        <w:pStyle w:val="BodyText"/>
        <w:spacing w:line="276" w:lineRule="auto" w:before="1"/>
        <w:ind w:left="562" w:right="1698"/>
        <w:jc w:val="both"/>
      </w:pPr>
      <w:r>
        <w:rPr/>
        <w:t>En 2023 después de la expansión de la política fiscal en 2022, se busca normalizar el desempeño fiscal, lo que podría generar que esta sea neutral o levemente procíclica en dicho año. Sin embargo, se prevé que para el período 2024–2027 la orientación de la política fiscal en la mayoría de los años podría ser levemente contra cíclica a neutral, como lo recomienda la literatura económica, ya que,</w:t>
      </w:r>
    </w:p>
    <w:p>
      <w:pPr>
        <w:spacing w:after="0" w:line="276" w:lineRule="auto"/>
        <w:jc w:val="both"/>
        <w:sectPr>
          <w:pgSz w:w="12240" w:h="15840"/>
          <w:pgMar w:header="715" w:footer="688" w:top="1240" w:bottom="880" w:left="1140" w:right="0"/>
        </w:sectPr>
      </w:pPr>
    </w:p>
    <w:p>
      <w:pPr>
        <w:pStyle w:val="BodyText"/>
        <w:spacing w:line="276" w:lineRule="auto" w:before="162"/>
        <w:ind w:left="562" w:right="1698"/>
        <w:jc w:val="both"/>
      </w:pPr>
      <w:r>
        <w:rPr/>
        <w:t>ante un período de crecimiento económico en donde la economía opera en el potencial o muy cerca de</w:t>
      </w:r>
      <w:r>
        <w:rPr>
          <w:spacing w:val="-13"/>
        </w:rPr>
        <w:t> </w:t>
      </w:r>
      <w:r>
        <w:rPr/>
        <w:t>él,</w:t>
      </w:r>
      <w:r>
        <w:rPr>
          <w:spacing w:val="-13"/>
        </w:rPr>
        <w:t> </w:t>
      </w:r>
      <w:r>
        <w:rPr/>
        <w:t>la</w:t>
      </w:r>
      <w:r>
        <w:rPr>
          <w:spacing w:val="-15"/>
        </w:rPr>
        <w:t> </w:t>
      </w:r>
      <w:r>
        <w:rPr/>
        <w:t>respuesta</w:t>
      </w:r>
      <w:r>
        <w:rPr>
          <w:spacing w:val="-13"/>
        </w:rPr>
        <w:t> </w:t>
      </w:r>
      <w:r>
        <w:rPr/>
        <w:t>de</w:t>
      </w:r>
      <w:r>
        <w:rPr>
          <w:spacing w:val="-13"/>
        </w:rPr>
        <w:t> </w:t>
      </w:r>
      <w:r>
        <w:rPr/>
        <w:t>la</w:t>
      </w:r>
      <w:r>
        <w:rPr>
          <w:spacing w:val="-11"/>
        </w:rPr>
        <w:t> </w:t>
      </w:r>
      <w:r>
        <w:rPr/>
        <w:t>política</w:t>
      </w:r>
      <w:r>
        <w:rPr>
          <w:spacing w:val="-13"/>
        </w:rPr>
        <w:t> </w:t>
      </w:r>
      <w:r>
        <w:rPr/>
        <w:t>fiscal</w:t>
      </w:r>
      <w:r>
        <w:rPr>
          <w:spacing w:val="-12"/>
        </w:rPr>
        <w:t> </w:t>
      </w:r>
      <w:r>
        <w:rPr/>
        <w:t>será</w:t>
      </w:r>
      <w:r>
        <w:rPr>
          <w:spacing w:val="-13"/>
        </w:rPr>
        <w:t> </w:t>
      </w:r>
      <w:r>
        <w:rPr/>
        <w:t>neutral</w:t>
      </w:r>
      <w:r>
        <w:rPr>
          <w:spacing w:val="-12"/>
        </w:rPr>
        <w:t> </w:t>
      </w:r>
      <w:r>
        <w:rPr/>
        <w:t>o</w:t>
      </w:r>
      <w:r>
        <w:rPr>
          <w:spacing w:val="-12"/>
        </w:rPr>
        <w:t> </w:t>
      </w:r>
      <w:r>
        <w:rPr/>
        <w:t>contractiva</w:t>
      </w:r>
      <w:r>
        <w:rPr>
          <w:spacing w:val="-13"/>
        </w:rPr>
        <w:t> </w:t>
      </w:r>
      <w:r>
        <w:rPr/>
        <w:t>con</w:t>
      </w:r>
      <w:r>
        <w:rPr>
          <w:spacing w:val="-13"/>
        </w:rPr>
        <w:t> </w:t>
      </w:r>
      <w:r>
        <w:rPr/>
        <w:t>un</w:t>
      </w:r>
      <w:r>
        <w:rPr>
          <w:spacing w:val="-13"/>
        </w:rPr>
        <w:t> </w:t>
      </w:r>
      <w:r>
        <w:rPr/>
        <w:t>menor</w:t>
      </w:r>
      <w:r>
        <w:rPr>
          <w:spacing w:val="-12"/>
        </w:rPr>
        <w:t> </w:t>
      </w:r>
      <w:r>
        <w:rPr/>
        <w:t>gasto</w:t>
      </w:r>
      <w:r>
        <w:rPr>
          <w:spacing w:val="-13"/>
        </w:rPr>
        <w:t> </w:t>
      </w:r>
      <w:r>
        <w:rPr/>
        <w:t>público,</w:t>
      </w:r>
      <w:r>
        <w:rPr>
          <w:spacing w:val="-12"/>
        </w:rPr>
        <w:t> </w:t>
      </w:r>
      <w:r>
        <w:rPr/>
        <w:t>apoyando así también a reducir la volatilidad de la economía y fomentar un crecimiento ordenado y sostenido en la actividad económica. Sin embargo, esto puede sufrir algunas variaciones de acuerdo con la orientación de política fiscal que pretenda realizar la próxima administración pública y los acontecimientos en el entorno económico y político</w:t>
      </w:r>
      <w:r>
        <w:rPr>
          <w:spacing w:val="-7"/>
        </w:rPr>
        <w:t> </w:t>
      </w:r>
      <w:r>
        <w:rPr/>
        <w:t>internacional.</w:t>
      </w:r>
    </w:p>
    <w:p>
      <w:pPr>
        <w:pStyle w:val="BodyText"/>
        <w:spacing w:before="7"/>
        <w:rPr>
          <w:sz w:val="25"/>
        </w:rPr>
      </w:pPr>
    </w:p>
    <w:p>
      <w:pPr>
        <w:spacing w:before="0"/>
        <w:ind w:left="2989" w:right="0" w:firstLine="0"/>
        <w:jc w:val="left"/>
        <w:rPr>
          <w:b/>
          <w:i/>
          <w:sz w:val="22"/>
        </w:rPr>
      </w:pPr>
      <w:r>
        <w:rPr/>
        <w:drawing>
          <wp:anchor distT="0" distB="0" distL="0" distR="0" allowOverlap="1" layoutInCell="1" locked="0" behindDoc="0" simplePos="0" relativeHeight="1583">
            <wp:simplePos x="0" y="0"/>
            <wp:positionH relativeFrom="page">
              <wp:posOffset>1418844</wp:posOffset>
            </wp:positionH>
            <wp:positionV relativeFrom="paragraph">
              <wp:posOffset>186556</wp:posOffset>
            </wp:positionV>
            <wp:extent cx="4869535" cy="2676525"/>
            <wp:effectExtent l="0" t="0" r="0" b="0"/>
            <wp:wrapTopAndBottom/>
            <wp:docPr id="125" name="image349.jpeg"/>
            <wp:cNvGraphicFramePr>
              <a:graphicFrameLocks noChangeAspect="1"/>
            </wp:cNvGraphicFramePr>
            <a:graphic>
              <a:graphicData uri="http://schemas.openxmlformats.org/drawingml/2006/picture">
                <pic:pic>
                  <pic:nvPicPr>
                    <pic:cNvPr id="126" name="image349.jpeg"/>
                    <pic:cNvPicPr/>
                  </pic:nvPicPr>
                  <pic:blipFill>
                    <a:blip r:embed="rId357" cstate="print"/>
                    <a:stretch>
                      <a:fillRect/>
                    </a:stretch>
                  </pic:blipFill>
                  <pic:spPr>
                    <a:xfrm>
                      <a:off x="0" y="0"/>
                      <a:ext cx="4869535" cy="2676525"/>
                    </a:xfrm>
                    <a:prstGeom prst="rect">
                      <a:avLst/>
                    </a:prstGeom>
                  </pic:spPr>
                </pic:pic>
              </a:graphicData>
            </a:graphic>
          </wp:anchor>
        </w:drawing>
      </w:r>
      <w:bookmarkStart w:name="_bookmark231" w:id="300"/>
      <w:bookmarkEnd w:id="300"/>
      <w:r>
        <w:rPr/>
      </w:r>
      <w:r>
        <w:rPr>
          <w:b/>
          <w:i/>
          <w:sz w:val="20"/>
        </w:rPr>
        <w:t>Gráfico 114. </w:t>
      </w:r>
      <w:r>
        <w:rPr>
          <w:b/>
          <w:i/>
          <w:sz w:val="22"/>
        </w:rPr>
        <w:t>Orientación de la política fiscal</w:t>
      </w:r>
    </w:p>
    <w:p>
      <w:pPr>
        <w:spacing w:before="182"/>
        <w:ind w:left="1224" w:right="0" w:firstLine="0"/>
        <w:jc w:val="left"/>
        <w:rPr>
          <w:sz w:val="16"/>
        </w:rPr>
      </w:pPr>
      <w:r>
        <w:rPr>
          <w:sz w:val="16"/>
        </w:rPr>
        <w:t>Fuente: Dirección de Análisis y Política Fiscal</w:t>
      </w:r>
    </w:p>
    <w:p>
      <w:pPr>
        <w:pStyle w:val="BodyText"/>
        <w:rPr>
          <w:sz w:val="18"/>
        </w:rPr>
      </w:pPr>
    </w:p>
    <w:p>
      <w:pPr>
        <w:pStyle w:val="BodyText"/>
        <w:rPr>
          <w:sz w:val="24"/>
        </w:rPr>
      </w:pPr>
    </w:p>
    <w:p>
      <w:pPr>
        <w:pStyle w:val="Heading2"/>
        <w:numPr>
          <w:ilvl w:val="0"/>
          <w:numId w:val="52"/>
        </w:numPr>
        <w:tabs>
          <w:tab w:pos="922" w:val="left" w:leader="none"/>
        </w:tabs>
        <w:spacing w:line="276" w:lineRule="auto" w:before="0" w:after="0"/>
        <w:ind w:left="921" w:right="2091" w:hanging="360"/>
        <w:jc w:val="left"/>
      </w:pPr>
      <w:bookmarkStart w:name="_bookmark232" w:id="301"/>
      <w:bookmarkEnd w:id="301"/>
      <w:r>
        <w:rPr>
          <w:b w:val="0"/>
        </w:rPr>
      </w:r>
      <w:bookmarkStart w:name="_bookmark232" w:id="302"/>
      <w:bookmarkEnd w:id="302"/>
      <w:r>
        <w:rPr/>
        <w:t>B</w:t>
      </w:r>
      <w:r>
        <w:rPr/>
        <w:t>rechas para alcanzar las metas propuestas en la Política General de</w:t>
      </w:r>
      <w:r>
        <w:rPr>
          <w:spacing w:val="-21"/>
        </w:rPr>
        <w:t> </w:t>
      </w:r>
      <w:r>
        <w:rPr/>
        <w:t>Gobierno hacia 2023</w:t>
      </w:r>
    </w:p>
    <w:p>
      <w:pPr>
        <w:pStyle w:val="BodyText"/>
        <w:spacing w:before="8"/>
        <w:rPr>
          <w:b/>
          <w:sz w:val="24"/>
        </w:rPr>
      </w:pPr>
    </w:p>
    <w:p>
      <w:pPr>
        <w:pStyle w:val="BodyText"/>
        <w:spacing w:line="276" w:lineRule="auto"/>
        <w:ind w:left="562" w:right="1696"/>
        <w:jc w:val="both"/>
      </w:pPr>
      <w:r>
        <w:rPr/>
        <w:t>Derivado</w:t>
      </w:r>
      <w:r>
        <w:rPr>
          <w:spacing w:val="-10"/>
        </w:rPr>
        <w:t> </w:t>
      </w:r>
      <w:r>
        <w:rPr/>
        <w:t>de</w:t>
      </w:r>
      <w:r>
        <w:rPr>
          <w:spacing w:val="-9"/>
        </w:rPr>
        <w:t> </w:t>
      </w:r>
      <w:r>
        <w:rPr/>
        <w:t>la</w:t>
      </w:r>
      <w:r>
        <w:rPr>
          <w:spacing w:val="-9"/>
        </w:rPr>
        <w:t> </w:t>
      </w:r>
      <w:r>
        <w:rPr/>
        <w:t>evaluación</w:t>
      </w:r>
      <w:r>
        <w:rPr>
          <w:spacing w:val="-11"/>
        </w:rPr>
        <w:t> </w:t>
      </w:r>
      <w:r>
        <w:rPr/>
        <w:t>que</w:t>
      </w:r>
      <w:r>
        <w:rPr>
          <w:spacing w:val="-9"/>
        </w:rPr>
        <w:t> </w:t>
      </w:r>
      <w:r>
        <w:rPr/>
        <w:t>realiza</w:t>
      </w:r>
      <w:r>
        <w:rPr>
          <w:spacing w:val="-9"/>
        </w:rPr>
        <w:t> </w:t>
      </w:r>
      <w:r>
        <w:rPr/>
        <w:t>la</w:t>
      </w:r>
      <w:r>
        <w:rPr>
          <w:spacing w:val="-12"/>
        </w:rPr>
        <w:t> </w:t>
      </w:r>
      <w:r>
        <w:rPr/>
        <w:t>Secretaría</w:t>
      </w:r>
      <w:r>
        <w:rPr>
          <w:spacing w:val="-12"/>
        </w:rPr>
        <w:t> </w:t>
      </w:r>
      <w:r>
        <w:rPr/>
        <w:t>de</w:t>
      </w:r>
      <w:r>
        <w:rPr>
          <w:spacing w:val="-10"/>
        </w:rPr>
        <w:t> </w:t>
      </w:r>
      <w:r>
        <w:rPr/>
        <w:t>Planificación</w:t>
      </w:r>
      <w:r>
        <w:rPr>
          <w:spacing w:val="-12"/>
        </w:rPr>
        <w:t> </w:t>
      </w:r>
      <w:r>
        <w:rPr/>
        <w:t>y</w:t>
      </w:r>
      <w:r>
        <w:rPr>
          <w:spacing w:val="-12"/>
        </w:rPr>
        <w:t> </w:t>
      </w:r>
      <w:r>
        <w:rPr/>
        <w:t>Programación</w:t>
      </w:r>
      <w:r>
        <w:rPr>
          <w:spacing w:val="-10"/>
        </w:rPr>
        <w:t> </w:t>
      </w:r>
      <w:r>
        <w:rPr/>
        <w:t>de</w:t>
      </w:r>
      <w:r>
        <w:rPr>
          <w:spacing w:val="-12"/>
        </w:rPr>
        <w:t> </w:t>
      </w:r>
      <w:r>
        <w:rPr/>
        <w:t>la</w:t>
      </w:r>
      <w:r>
        <w:rPr>
          <w:spacing w:val="-9"/>
        </w:rPr>
        <w:t> </w:t>
      </w:r>
      <w:r>
        <w:rPr/>
        <w:t>Presidencia (SEGEPLAN) respecto al desarrollo de la Política General de Gobierno 2020-2024, se realiza un seguimiento</w:t>
      </w:r>
      <w:r>
        <w:rPr>
          <w:spacing w:val="-7"/>
        </w:rPr>
        <w:t> </w:t>
      </w:r>
      <w:r>
        <w:rPr/>
        <w:t>hacia</w:t>
      </w:r>
      <w:r>
        <w:rPr>
          <w:spacing w:val="-6"/>
        </w:rPr>
        <w:t> </w:t>
      </w:r>
      <w:r>
        <w:rPr/>
        <w:t>el</w:t>
      </w:r>
      <w:r>
        <w:rPr>
          <w:spacing w:val="-8"/>
        </w:rPr>
        <w:t> </w:t>
      </w:r>
      <w:r>
        <w:rPr/>
        <w:t>cumplimiento</w:t>
      </w:r>
      <w:r>
        <w:rPr>
          <w:spacing w:val="-7"/>
        </w:rPr>
        <w:t> </w:t>
      </w:r>
      <w:r>
        <w:rPr/>
        <w:t>para</w:t>
      </w:r>
      <w:r>
        <w:rPr>
          <w:spacing w:val="-8"/>
        </w:rPr>
        <w:t> </w:t>
      </w:r>
      <w:r>
        <w:rPr/>
        <w:t>el</w:t>
      </w:r>
      <w:r>
        <w:rPr>
          <w:spacing w:val="-5"/>
        </w:rPr>
        <w:t> </w:t>
      </w:r>
      <w:r>
        <w:rPr/>
        <w:t>2023,</w:t>
      </w:r>
      <w:r>
        <w:rPr>
          <w:spacing w:val="-9"/>
        </w:rPr>
        <w:t> </w:t>
      </w:r>
      <w:r>
        <w:rPr/>
        <w:t>tomando</w:t>
      </w:r>
      <w:r>
        <w:rPr>
          <w:spacing w:val="-7"/>
        </w:rPr>
        <w:t> </w:t>
      </w:r>
      <w:r>
        <w:rPr/>
        <w:t>en</w:t>
      </w:r>
      <w:r>
        <w:rPr>
          <w:spacing w:val="-8"/>
        </w:rPr>
        <w:t> </w:t>
      </w:r>
      <w:r>
        <w:rPr/>
        <w:t>consideración</w:t>
      </w:r>
      <w:r>
        <w:rPr>
          <w:spacing w:val="-9"/>
        </w:rPr>
        <w:t> </w:t>
      </w:r>
      <w:r>
        <w:rPr/>
        <w:t>los</w:t>
      </w:r>
      <w:r>
        <w:rPr>
          <w:spacing w:val="-6"/>
        </w:rPr>
        <w:t> </w:t>
      </w:r>
      <w:r>
        <w:rPr/>
        <w:t>avances</w:t>
      </w:r>
      <w:r>
        <w:rPr>
          <w:spacing w:val="-9"/>
        </w:rPr>
        <w:t> </w:t>
      </w:r>
      <w:r>
        <w:rPr/>
        <w:t>que</w:t>
      </w:r>
      <w:r>
        <w:rPr>
          <w:spacing w:val="-8"/>
        </w:rPr>
        <w:t> </w:t>
      </w:r>
      <w:r>
        <w:rPr/>
        <w:t>se</w:t>
      </w:r>
      <w:r>
        <w:rPr>
          <w:spacing w:val="-8"/>
        </w:rPr>
        <w:t> </w:t>
      </w:r>
      <w:r>
        <w:rPr/>
        <w:t>tienen al cierre de</w:t>
      </w:r>
      <w:r>
        <w:rPr>
          <w:spacing w:val="-2"/>
        </w:rPr>
        <w:t> </w:t>
      </w:r>
      <w:r>
        <w:rPr/>
        <w:t>2021.</w:t>
      </w:r>
    </w:p>
    <w:p>
      <w:pPr>
        <w:pStyle w:val="BodyText"/>
        <w:spacing w:before="3"/>
        <w:rPr>
          <w:sz w:val="25"/>
        </w:rPr>
      </w:pPr>
    </w:p>
    <w:p>
      <w:pPr>
        <w:pStyle w:val="BodyText"/>
        <w:spacing w:line="276" w:lineRule="auto"/>
        <w:ind w:left="562" w:right="1695"/>
        <w:jc w:val="both"/>
      </w:pPr>
      <w:r>
        <w:rPr/>
        <w:t>Se estableció que 7 metas ya han sido cumplidas anticipadamente, según lo previsto para el 2023, </w:t>
      </w:r>
      <w:r>
        <w:rPr>
          <w:rFonts w:ascii="Calibri" w:hAnsi="Calibri"/>
        </w:rPr>
        <w:t>s</w:t>
      </w:r>
      <w:r>
        <w:rPr/>
        <w:t>iendo estas metas: la tasa de crecimiento del PIB real, solvencia del sistema bancario, cobertura del nivel primario, morbilidad infantil, programa de transferencias condicionadas, adultos mayores atendidos por el programa de pensiones y el incremento de raciones servidas en comedores</w:t>
      </w:r>
      <w:r>
        <w:rPr>
          <w:spacing w:val="-26"/>
        </w:rPr>
        <w:t> </w:t>
      </w:r>
      <w:r>
        <w:rPr/>
        <w:t>sociales.</w:t>
      </w:r>
    </w:p>
    <w:p>
      <w:pPr>
        <w:pStyle w:val="BodyText"/>
        <w:spacing w:before="5"/>
        <w:rPr>
          <w:sz w:val="25"/>
        </w:rPr>
      </w:pPr>
    </w:p>
    <w:p>
      <w:pPr>
        <w:pStyle w:val="BodyText"/>
        <w:spacing w:line="276" w:lineRule="auto"/>
        <w:ind w:left="562" w:right="1696"/>
        <w:jc w:val="both"/>
      </w:pPr>
      <w:r>
        <w:rPr/>
        <w:t>Asimismo, se identificaron 43 metas que muestran una brecha que debe priorizarse para ser alcanzadas</w:t>
      </w:r>
      <w:r>
        <w:rPr>
          <w:spacing w:val="-8"/>
        </w:rPr>
        <w:t> </w:t>
      </w:r>
      <w:r>
        <w:rPr/>
        <w:t>al</w:t>
      </w:r>
      <w:r>
        <w:rPr>
          <w:spacing w:val="-9"/>
        </w:rPr>
        <w:t> </w:t>
      </w:r>
      <w:r>
        <w:rPr/>
        <w:t>final</w:t>
      </w:r>
      <w:r>
        <w:rPr>
          <w:spacing w:val="-7"/>
        </w:rPr>
        <w:t> </w:t>
      </w:r>
      <w:r>
        <w:rPr/>
        <w:t>de</w:t>
      </w:r>
      <w:r>
        <w:rPr>
          <w:spacing w:val="-7"/>
        </w:rPr>
        <w:t> </w:t>
      </w:r>
      <w:r>
        <w:rPr/>
        <w:t>la</w:t>
      </w:r>
      <w:r>
        <w:rPr>
          <w:spacing w:val="-7"/>
        </w:rPr>
        <w:t> </w:t>
      </w:r>
      <w:r>
        <w:rPr/>
        <w:t>presente</w:t>
      </w:r>
      <w:r>
        <w:rPr>
          <w:spacing w:val="-8"/>
        </w:rPr>
        <w:t> </w:t>
      </w:r>
      <w:r>
        <w:rPr/>
        <w:t>administración,</w:t>
      </w:r>
      <w:r>
        <w:rPr>
          <w:spacing w:val="-7"/>
        </w:rPr>
        <w:t> </w:t>
      </w:r>
      <w:r>
        <w:rPr/>
        <w:t>el</w:t>
      </w:r>
      <w:r>
        <w:rPr>
          <w:spacing w:val="-7"/>
        </w:rPr>
        <w:t> </w:t>
      </w:r>
      <w:r>
        <w:rPr/>
        <w:t>pilar</w:t>
      </w:r>
      <w:r>
        <w:rPr>
          <w:spacing w:val="-6"/>
        </w:rPr>
        <w:t> </w:t>
      </w:r>
      <w:r>
        <w:rPr/>
        <w:t>1:</w:t>
      </w:r>
      <w:r>
        <w:rPr>
          <w:spacing w:val="-7"/>
        </w:rPr>
        <w:t> </w:t>
      </w:r>
      <w:r>
        <w:rPr/>
        <w:t>Economía,</w:t>
      </w:r>
      <w:r>
        <w:rPr>
          <w:spacing w:val="-7"/>
        </w:rPr>
        <w:t> </w:t>
      </w:r>
      <w:r>
        <w:rPr/>
        <w:t>Competitividad</w:t>
      </w:r>
      <w:r>
        <w:rPr>
          <w:spacing w:val="-7"/>
        </w:rPr>
        <w:t> </w:t>
      </w:r>
      <w:r>
        <w:rPr/>
        <w:t>y</w:t>
      </w:r>
      <w:r>
        <w:rPr>
          <w:spacing w:val="-11"/>
        </w:rPr>
        <w:t> </w:t>
      </w:r>
      <w:r>
        <w:rPr/>
        <w:t>Prosperidad cuenta con 7 metas con brecha, el pilar 2: Desarrollo Social es el que requiere mayor atención y priorización por tener 20 metas con brecha, siendo en donde se tiene que realizar los mayores esfuerzos para lograr cumplir las metas establecidas, el pilar 3: Gobernabilidad y Seguridad en Desarrollo</w:t>
      </w:r>
      <w:r>
        <w:rPr>
          <w:spacing w:val="23"/>
        </w:rPr>
        <w:t> </w:t>
      </w:r>
      <w:r>
        <w:rPr/>
        <w:t>cuenta</w:t>
      </w:r>
      <w:r>
        <w:rPr>
          <w:spacing w:val="23"/>
        </w:rPr>
        <w:t> </w:t>
      </w:r>
      <w:r>
        <w:rPr/>
        <w:t>con</w:t>
      </w:r>
      <w:r>
        <w:rPr>
          <w:spacing w:val="24"/>
        </w:rPr>
        <w:t> </w:t>
      </w:r>
      <w:r>
        <w:rPr/>
        <w:t>6</w:t>
      </w:r>
      <w:r>
        <w:rPr>
          <w:spacing w:val="23"/>
        </w:rPr>
        <w:t> </w:t>
      </w:r>
      <w:r>
        <w:rPr/>
        <w:t>metas</w:t>
      </w:r>
      <w:r>
        <w:rPr>
          <w:spacing w:val="22"/>
        </w:rPr>
        <w:t> </w:t>
      </w:r>
      <w:r>
        <w:rPr/>
        <w:t>con</w:t>
      </w:r>
      <w:r>
        <w:rPr>
          <w:spacing w:val="23"/>
        </w:rPr>
        <w:t> </w:t>
      </w:r>
      <w:r>
        <w:rPr/>
        <w:t>brecha,</w:t>
      </w:r>
      <w:r>
        <w:rPr>
          <w:spacing w:val="21"/>
        </w:rPr>
        <w:t> </w:t>
      </w:r>
      <w:r>
        <w:rPr/>
        <w:t>el</w:t>
      </w:r>
      <w:r>
        <w:rPr>
          <w:spacing w:val="24"/>
        </w:rPr>
        <w:t> </w:t>
      </w:r>
      <w:r>
        <w:rPr/>
        <w:t>pilar</w:t>
      </w:r>
      <w:r>
        <w:rPr>
          <w:spacing w:val="23"/>
        </w:rPr>
        <w:t> </w:t>
      </w:r>
      <w:r>
        <w:rPr/>
        <w:t>4:</w:t>
      </w:r>
      <w:r>
        <w:rPr>
          <w:spacing w:val="22"/>
        </w:rPr>
        <w:t> </w:t>
      </w:r>
      <w:r>
        <w:rPr/>
        <w:t>Estado</w:t>
      </w:r>
      <w:r>
        <w:rPr>
          <w:spacing w:val="23"/>
        </w:rPr>
        <w:t> </w:t>
      </w:r>
      <w:r>
        <w:rPr/>
        <w:t>responsable,</w:t>
      </w:r>
      <w:r>
        <w:rPr>
          <w:spacing w:val="21"/>
        </w:rPr>
        <w:t> </w:t>
      </w:r>
      <w:r>
        <w:rPr/>
        <w:t>transparente</w:t>
      </w:r>
      <w:r>
        <w:rPr>
          <w:spacing w:val="23"/>
        </w:rPr>
        <w:t> </w:t>
      </w:r>
      <w:r>
        <w:rPr/>
        <w:t>y</w:t>
      </w:r>
      <w:r>
        <w:rPr>
          <w:spacing w:val="21"/>
        </w:rPr>
        <w:t> </w:t>
      </w:r>
      <w:r>
        <w:rPr/>
        <w:t>efectivo</w:t>
      </w:r>
    </w:p>
    <w:p>
      <w:pPr>
        <w:spacing w:after="0" w:line="276" w:lineRule="auto"/>
        <w:jc w:val="both"/>
        <w:sectPr>
          <w:pgSz w:w="12240" w:h="15840"/>
          <w:pgMar w:header="715" w:footer="688" w:top="1240" w:bottom="880" w:left="1140" w:right="0"/>
        </w:sectPr>
      </w:pPr>
    </w:p>
    <w:p>
      <w:pPr>
        <w:pStyle w:val="BodyText"/>
        <w:spacing w:line="276" w:lineRule="auto" w:before="162"/>
        <w:ind w:left="562" w:right="1617"/>
      </w:pPr>
      <w:r>
        <w:rPr/>
        <w:t>cuenta también con 6 metas con brecha y el pilar 5: Relaciones con el mundo cuenta con 4 metas con brecha hacia 2023.</w:t>
      </w:r>
    </w:p>
    <w:p>
      <w:pPr>
        <w:pStyle w:val="BodyText"/>
        <w:spacing w:before="9"/>
        <w:rPr>
          <w:sz w:val="25"/>
        </w:rPr>
      </w:pPr>
    </w:p>
    <w:p>
      <w:pPr>
        <w:spacing w:before="0"/>
        <w:ind w:left="1992" w:right="0" w:firstLine="0"/>
        <w:jc w:val="left"/>
        <w:rPr>
          <w:b/>
          <w:sz w:val="20"/>
        </w:rPr>
      </w:pPr>
      <w:bookmarkStart w:name="_bookmark233" w:id="303"/>
      <w:bookmarkEnd w:id="303"/>
      <w:r>
        <w:rPr/>
      </w:r>
      <w:r>
        <w:rPr>
          <w:b/>
          <w:i/>
          <w:sz w:val="20"/>
        </w:rPr>
        <w:t>Gráfico 115. </w:t>
      </w:r>
      <w:r>
        <w:rPr>
          <w:b/>
          <w:sz w:val="20"/>
        </w:rPr>
        <w:t>Resultados de brechas de las metas de la PGG 2021-2023</w:t>
      </w:r>
    </w:p>
    <w:p>
      <w:pPr>
        <w:pStyle w:val="BodyText"/>
        <w:spacing w:before="10"/>
        <w:rPr>
          <w:b/>
          <w:sz w:val="28"/>
        </w:rPr>
      </w:pPr>
      <w:r>
        <w:rPr/>
        <w:pict>
          <v:group style="position:absolute;margin-left:142.509995pt;margin-top:18.584667pt;width:319pt;height:206.25pt;mso-position-horizontal-relative:page;mso-position-vertical-relative:paragraph;z-index:-250027008;mso-wrap-distance-left:0;mso-wrap-distance-right:0" coordorigin="2850,372" coordsize="6380,4125">
            <v:shape style="position:absolute;left:2871;top:1531;width:2095;height:1806" type="#_x0000_t75" stroked="false">
              <v:imagedata r:id="rId358" o:title=""/>
            </v:shape>
            <v:shape style="position:absolute;left:3040;top:1451;width:1968;height:1025" type="#_x0000_t75" stroked="false">
              <v:imagedata r:id="rId359" o:title=""/>
            </v:shape>
            <v:shape style="position:absolute;left:3266;top:371;width:3938;height:4125" type="#_x0000_t75" stroked="false">
              <v:imagedata r:id="rId360" o:title=""/>
            </v:shape>
            <v:shape style="position:absolute;left:7321;top:616;width:1909;height:727" type="#_x0000_t75" stroked="false">
              <v:imagedata r:id="rId361" o:title=""/>
            </v:shape>
            <v:shape style="position:absolute;left:7291;top:1158;width:1939;height:1817" type="#_x0000_t75" stroked="false">
              <v:imagedata r:id="rId362" o:title=""/>
            </v:shape>
            <v:shape style="position:absolute;left:7291;top:2790;width:1939;height:674" type="#_x0000_t75" stroked="false">
              <v:imagedata r:id="rId363" o:title=""/>
            </v:shape>
            <v:shape style="position:absolute;left:7291;top:3280;width:1939;height:674" type="#_x0000_t75" stroked="false">
              <v:imagedata r:id="rId363" o:title=""/>
            </v:shape>
            <v:shape style="position:absolute;left:7291;top:3770;width:1939;height:511" type="#_x0000_t75" stroked="false">
              <v:imagedata r:id="rId364" o:title=""/>
            </v:shape>
            <v:line style="position:absolute" from="5304,439" to="7349,645" stroked="true" strokeweight=".72pt" strokecolor="#a6a6a6">
              <v:stroke dashstyle="solid"/>
            </v:line>
            <v:line style="position:absolute" from="5304,4360" to="7349,4154" stroked="true" strokeweight=".72pt" strokecolor="#a6a6a6">
              <v:stroke dashstyle="solid"/>
            </v:line>
            <v:shape style="position:absolute;left:2899;top:1560;width:1971;height:1678" coordorigin="2899,1560" coordsize="1971,1678" path="m3087,1560l3054,1633,3025,1707,2998,1782,2975,1857,2955,1934,2938,2010,2924,2088,2913,2165,2905,2243,2901,2321,2899,2399,2901,2477,2905,2556,2913,2633,2924,2711,2938,2788,2955,2865,2975,2941,2998,3017,3025,3091,3054,3165,3087,3238,4870,2399,3087,1560xe" filled="true" fillcolor="#ffc000" stroked="false">
              <v:path arrowok="t"/>
              <v:fill type="solid"/>
            </v:shape>
            <v:shape style="position:absolute;left:2899;top:1560;width:1971;height:1678" coordorigin="2899,1560" coordsize="1971,1678" path="m3087,3238l3054,3165,3025,3091,2998,3017,2975,2941,2955,2865,2938,2788,2924,2711,2913,2633,2905,2556,2901,2477,2899,2399,2901,2321,2905,2243,2913,2165,2924,2088,2938,2010,2955,1934,2975,1857,2998,1782,3025,1707,3054,1633,3087,1560,4870,2399,3087,3238xe" filled="false" stroked="true" strokeweight="1.56pt" strokecolor="#ffffff">
              <v:path arrowok="t"/>
              <v:stroke dashstyle="solid"/>
            </v:shape>
            <v:line style="position:absolute" from="3098,1510" to="4881,2349" stroked="true" strokeweight="1.56pt" strokecolor="#ffffff">
              <v:stroke dashstyle="solid"/>
            </v:line>
            <v:line style="position:absolute" from="3098,1510" to="4881,2349" stroked="true" strokeweight="1.56pt" strokecolor="#ffffff">
              <v:stroke dashstyle="solid"/>
            </v:line>
            <v:rect style="position:absolute;left:7347;top:644;width:1755;height:572" filled="true" fillcolor="#9e470e" stroked="false">
              <v:fill type="solid"/>
            </v:rect>
            <v:rect style="position:absolute;left:7347;top:644;width:1755;height:572" filled="false" stroked="true" strokeweight="1.56pt" strokecolor="#ffffff">
              <v:stroke dashstyle="solid"/>
            </v:rect>
            <v:rect style="position:absolute;left:7347;top:1215;width:1755;height:1632" filled="true" fillcolor="#997300" stroked="false">
              <v:fill type="solid"/>
            </v:rect>
            <v:rect style="position:absolute;left:7347;top:1215;width:1755;height:1632" filled="false" stroked="true" strokeweight="1.56pt" strokecolor="#ffffff">
              <v:stroke dashstyle="solid"/>
            </v:rect>
            <v:rect style="position:absolute;left:7347;top:2847;width:1755;height:490" filled="true" fillcolor="#43682b" stroked="false">
              <v:fill type="solid"/>
            </v:rect>
            <v:rect style="position:absolute;left:7347;top:2847;width:1755;height:490" filled="false" stroked="true" strokeweight="1.56pt" strokecolor="#ffffff">
              <v:stroke dashstyle="solid"/>
            </v:rect>
            <v:rect style="position:absolute;left:7347;top:3336;width:1755;height:490" filled="true" fillcolor="#f0965a" stroked="false">
              <v:fill type="solid"/>
            </v:rect>
            <v:rect style="position:absolute;left:7347;top:3336;width:1755;height:490" filled="false" stroked="true" strokeweight="1.56pt" strokecolor="#ffffff">
              <v:stroke dashstyle="solid"/>
            </v:rect>
            <v:rect style="position:absolute;left:7347;top:3826;width:1755;height:327" filled="true" fillcolor="#8faadc" stroked="false">
              <v:fill type="solid"/>
            </v:rect>
            <v:rect style="position:absolute;left:7347;top:3826;width:1755;height:327" filled="false" stroked="true" strokeweight="1.56pt" strokecolor="#ffffff">
              <v:stroke dashstyle="solid"/>
            </v:rect>
            <v:shape style="position:absolute;left:3323;top:428;width:3754;height:3942" coordorigin="3323,428" coordsize="3754,3942" path="m5096,428l5025,430,4954,434,4884,441,4814,451,4744,462,4675,477,4607,493,4539,512,4472,534,4406,558,4340,584,4276,612,4213,643,4150,676,4089,711,4029,749,3971,788,3914,830,3858,874,3803,920,3751,969,3699,1019,3650,1071,3602,1126,3556,1182,3512,1240,3470,1300,3430,1363,3393,1427,3357,1493,3323,1560,5106,2399,3323,3238,3359,3311,3398,3381,3439,3450,3483,3517,3530,3582,3579,3645,3631,3705,3685,3764,3741,3820,3800,3875,3861,3926,3924,3975,3989,4022,4055,4066,4124,4108,4195,4146,4267,4182,4336,4213,4406,4241,4476,4266,4546,4289,4617,4308,4688,4325,4759,4339,4831,4351,4902,4360,4974,4366,5045,4369,5116,4370,5187,4368,5258,4364,5329,4357,5399,4348,5468,4336,5537,4322,5606,4305,5674,4286,5741,4265,5807,4241,5872,4215,5936,4186,6000,4156,6062,4123,6123,4087,6183,4050,6242,4010,6299,3968,6355,3924,6409,3878,6462,3830,6513,3780,6563,3727,6610,3673,6656,3617,6700,3558,6742,3498,6782,3436,6820,3372,6856,3306,6889,3238,6920,3169,6948,3100,6973,3030,6996,2959,7015,2889,7032,2818,7046,2746,7058,2675,7067,2603,7073,2532,7076,2461,7077,2389,7075,2318,7071,2247,7064,2177,7055,2107,7043,2037,7029,1968,7012,1900,6993,1832,6972,1765,6948,1699,6922,1634,6893,1569,6862,1506,6829,1444,6794,1382,6757,1323,6717,1264,6675,1207,6631,1151,6585,1096,6537,1044,6487,993,6434,943,6380,895,6324,849,6265,805,6205,763,6143,724,6079,686,6013,650,5945,616,5876,586,5807,558,5737,532,5666,510,5595,490,5524,473,5453,459,5382,448,5310,439,5239,433,5167,429,5096,428xe" filled="true" fillcolor="#92d050" stroked="false">
              <v:path arrowok="t"/>
              <v:fill type="solid"/>
            </v:shape>
            <v:shape style="position:absolute;left:3323;top:428;width:3754;height:3942" coordorigin="3323,428" coordsize="3754,3942" path="m3323,1560l3357,1493,3393,1427,3430,1363,3470,1300,3512,1240,3556,1182,3602,1126,3650,1071,3699,1019,3751,969,3803,920,3858,874,3914,830,3971,788,4029,749,4089,711,4150,676,4213,643,4276,612,4340,584,4406,558,4472,534,4539,512,4607,493,4675,477,4744,462,4814,451,4884,441,4954,434,5025,430,5096,428,5167,429,5239,433,5310,439,5382,448,5453,459,5524,473,5595,490,5666,510,5737,532,5807,558,5876,586,5945,616,6013,650,6079,686,6143,724,6205,763,6265,805,6324,849,6380,895,6434,943,6487,993,6537,1044,6585,1096,6631,1151,6675,1207,6717,1264,6757,1323,6794,1382,6829,1444,6862,1506,6893,1569,6922,1634,6948,1699,6972,1765,6993,1832,7012,1900,7029,1968,7043,2037,7055,2107,7064,2177,7071,2247,7075,2318,7077,2389,7076,2461,7073,2532,7067,2603,7058,2675,7046,2746,7032,2818,7015,2889,6996,2959,6973,3030,6948,3100,6920,3169,6889,3238,6856,3306,6820,3372,6782,3436,6742,3498,6700,3558,6656,3617,6610,3673,6563,3727,6513,3780,6462,3830,6409,3878,6355,3924,6299,3968,6242,4010,6183,4050,6123,4087,6062,4123,6000,4156,5936,4186,5872,4215,5807,4241,5741,4265,5674,4286,5606,4305,5537,4322,5468,4336,5399,4348,5329,4357,5258,4364,5187,4368,5116,4370,5045,4369,4974,4366,4902,4360,4831,4351,4759,4339,4688,4325,4617,4308,4546,4289,4476,4266,4406,4241,4336,4213,4267,4182,4195,4146,4124,4108,4055,4066,3989,4022,3924,3975,3861,3926,3800,3875,3741,3820,3685,3764,3631,3705,3579,3645,3530,3582,3483,3517,3439,3450,3398,3381,3359,3311,3323,3238,5106,2399,3323,1560xe" filled="false" stroked="true" strokeweight="1.56pt" strokecolor="#ffffff">
              <v:path arrowok="t"/>
              <v:stroke dashstyle="solid"/>
            </v:shape>
            <v:shape style="position:absolute;left:2850;top:2116;width:1360;height:542" type="#_x0000_t202" filled="false" stroked="false">
              <v:textbox inset="0,0,0,0">
                <w:txbxContent>
                  <w:p>
                    <w:pPr>
                      <w:spacing w:line="240" w:lineRule="auto" w:before="0"/>
                      <w:ind w:left="0" w:right="-1" w:firstLine="357"/>
                      <w:jc w:val="left"/>
                      <w:rPr>
                        <w:b/>
                        <w:sz w:val="24"/>
                      </w:rPr>
                    </w:pPr>
                    <w:r>
                      <w:rPr>
                        <w:b/>
                        <w:sz w:val="24"/>
                      </w:rPr>
                      <w:t>Metas Superadas; 7</w:t>
                    </w:r>
                  </w:p>
                </w:txbxContent>
              </v:textbox>
              <w10:wrap type="none"/>
            </v:shape>
            <v:shape style="position:absolute;left:4212;top:2857;width:2210;height:266" type="#_x0000_t202" filled="false" stroked="false">
              <v:textbox inset="0,0,0,0">
                <w:txbxContent>
                  <w:p>
                    <w:pPr>
                      <w:spacing w:line="266" w:lineRule="exact" w:before="0"/>
                      <w:ind w:left="0" w:right="0" w:firstLine="0"/>
                      <w:jc w:val="left"/>
                      <w:rPr>
                        <w:b/>
                        <w:sz w:val="24"/>
                      </w:rPr>
                    </w:pPr>
                    <w:r>
                      <w:rPr>
                        <w:b/>
                        <w:sz w:val="24"/>
                      </w:rPr>
                      <w:t>Metas con brecha; 43</w:t>
                    </w:r>
                  </w:p>
                </w:txbxContent>
              </v:textbox>
              <w10:wrap type="none"/>
            </v:shape>
            <v:shape style="position:absolute;left:9108;top:3085;width:120;height:221" type="#_x0000_t202" filled="false" stroked="false">
              <v:textbox inset="0,0,0,0">
                <w:txbxContent>
                  <w:p>
                    <w:pPr>
                      <w:spacing w:line="221" w:lineRule="exact" w:before="0"/>
                      <w:ind w:left="0" w:right="0" w:firstLine="0"/>
                      <w:jc w:val="left"/>
                      <w:rPr>
                        <w:b/>
                        <w:sz w:val="20"/>
                      </w:rPr>
                    </w:pPr>
                    <w:r>
                      <w:rPr>
                        <w:b/>
                        <w:color w:val="FFFFFF"/>
                        <w:w w:val="99"/>
                        <w:sz w:val="20"/>
                      </w:rPr>
                      <w:t>6</w:t>
                    </w:r>
                  </w:p>
                </w:txbxContent>
              </v:textbox>
              <w10:wrap type="none"/>
            </v:shape>
            <v:shape style="position:absolute;left:7720;top:4111;width:1380;height:221" type="#_x0000_t202" filled="false" stroked="false">
              <v:textbox inset="0,0,0,0">
                <w:txbxContent>
                  <w:p>
                    <w:pPr>
                      <w:spacing w:line="221" w:lineRule="exact" w:before="0"/>
                      <w:ind w:left="0" w:right="0" w:firstLine="0"/>
                      <w:jc w:val="left"/>
                      <w:rPr>
                        <w:b/>
                        <w:sz w:val="20"/>
                      </w:rPr>
                    </w:pPr>
                    <w:r>
                      <w:rPr>
                        <w:b/>
                        <w:sz w:val="20"/>
                      </w:rPr>
                      <w:t>con el mundo; 4</w:t>
                    </w:r>
                  </w:p>
                </w:txbxContent>
              </v:textbox>
              <w10:wrap type="none"/>
            </v:shape>
            <v:shape style="position:absolute;left:7347;top:3826;width:1755;height:327" type="#_x0000_t202" filled="false" stroked="false">
              <v:textbox inset="0,0,0,0">
                <w:txbxContent>
                  <w:p>
                    <w:pPr>
                      <w:spacing w:before="46"/>
                      <w:ind w:left="288" w:right="-72" w:firstLine="0"/>
                      <w:jc w:val="left"/>
                      <w:rPr>
                        <w:b/>
                        <w:sz w:val="20"/>
                      </w:rPr>
                    </w:pPr>
                    <w:r>
                      <w:rPr>
                        <w:b/>
                        <w:sz w:val="20"/>
                      </w:rPr>
                      <w:t>Pilar 5</w:t>
                    </w:r>
                    <w:r>
                      <w:rPr>
                        <w:b/>
                        <w:spacing w:val="-10"/>
                        <w:sz w:val="20"/>
                      </w:rPr>
                      <w:t> </w:t>
                    </w:r>
                    <w:r>
                      <w:rPr>
                        <w:b/>
                        <w:sz w:val="20"/>
                      </w:rPr>
                      <w:t>Relaciones</w:t>
                    </w:r>
                  </w:p>
                </w:txbxContent>
              </v:textbox>
              <w10:wrap type="none"/>
            </v:shape>
            <v:shape style="position:absolute;left:7347;top:3336;width:1755;height:490" type="#_x0000_t202" filled="false" stroked="false">
              <v:textbox inset="0,0,0,0">
                <w:txbxContent>
                  <w:p>
                    <w:pPr>
                      <w:spacing w:line="228" w:lineRule="exact" w:before="0"/>
                      <w:ind w:left="472" w:right="0" w:firstLine="0"/>
                      <w:jc w:val="left"/>
                      <w:rPr>
                        <w:b/>
                        <w:sz w:val="20"/>
                      </w:rPr>
                    </w:pPr>
                    <w:r>
                      <w:rPr>
                        <w:b/>
                        <w:sz w:val="20"/>
                      </w:rPr>
                      <w:t>Pilar 4</w:t>
                    </w:r>
                    <w:r>
                      <w:rPr>
                        <w:b/>
                        <w:spacing w:val="-9"/>
                        <w:sz w:val="20"/>
                      </w:rPr>
                      <w:t> </w:t>
                    </w:r>
                    <w:r>
                      <w:rPr>
                        <w:b/>
                        <w:sz w:val="20"/>
                      </w:rPr>
                      <w:t>Estado</w:t>
                    </w:r>
                  </w:p>
                  <w:p>
                    <w:pPr>
                      <w:spacing w:before="0"/>
                      <w:ind w:left="463" w:right="0" w:firstLine="0"/>
                      <w:jc w:val="left"/>
                      <w:rPr>
                        <w:b/>
                        <w:sz w:val="20"/>
                      </w:rPr>
                    </w:pPr>
                    <w:r>
                      <w:rPr>
                        <w:b/>
                        <w:sz w:val="20"/>
                      </w:rPr>
                      <w:t>responsable;</w:t>
                    </w:r>
                    <w:r>
                      <w:rPr>
                        <w:b/>
                        <w:spacing w:val="-8"/>
                        <w:sz w:val="20"/>
                      </w:rPr>
                      <w:t> </w:t>
                    </w:r>
                    <w:r>
                      <w:rPr>
                        <w:b/>
                        <w:sz w:val="20"/>
                      </w:rPr>
                      <w:t>6</w:t>
                    </w:r>
                  </w:p>
                </w:txbxContent>
              </v:textbox>
              <w10:wrap type="none"/>
            </v:shape>
            <v:shape style="position:absolute;left:7347;top:2847;width:1755;height:490" type="#_x0000_t202" filled="false" stroked="false">
              <v:textbox inset="0,0,0,0">
                <w:txbxContent>
                  <w:p>
                    <w:pPr>
                      <w:spacing w:before="0"/>
                      <w:ind w:left="238" w:right="24" w:firstLine="523"/>
                      <w:jc w:val="left"/>
                      <w:rPr>
                        <w:b/>
                        <w:sz w:val="20"/>
                      </w:rPr>
                    </w:pPr>
                    <w:r>
                      <w:rPr>
                        <w:b/>
                        <w:color w:val="FFFFFF"/>
                        <w:sz w:val="20"/>
                      </w:rPr>
                      <w:t>Pilar 3 Gobernabilidad ;</w:t>
                    </w:r>
                  </w:p>
                </w:txbxContent>
              </v:textbox>
              <w10:wrap type="none"/>
            </v:shape>
            <v:shape style="position:absolute;left:7347;top:1215;width:1755;height:1632" type="#_x0000_t202" filled="false" stroked="false">
              <v:textbox inset="0,0,0,0">
                <w:txbxContent>
                  <w:p>
                    <w:pPr>
                      <w:spacing w:line="240" w:lineRule="auto" w:before="0"/>
                      <w:rPr>
                        <w:b/>
                        <w:sz w:val="22"/>
                      </w:rPr>
                    </w:pPr>
                  </w:p>
                  <w:p>
                    <w:pPr>
                      <w:spacing w:line="240" w:lineRule="auto" w:before="7"/>
                      <w:rPr>
                        <w:b/>
                        <w:sz w:val="21"/>
                      </w:rPr>
                    </w:pPr>
                  </w:p>
                  <w:p>
                    <w:pPr>
                      <w:spacing w:line="241" w:lineRule="exact" w:before="0"/>
                      <w:ind w:left="421" w:right="13" w:firstLine="0"/>
                      <w:jc w:val="center"/>
                      <w:rPr>
                        <w:b/>
                        <w:sz w:val="21"/>
                      </w:rPr>
                    </w:pPr>
                    <w:r>
                      <w:rPr>
                        <w:b/>
                        <w:color w:val="FFFFFF"/>
                        <w:sz w:val="21"/>
                      </w:rPr>
                      <w:t>Pilar 2</w:t>
                    </w:r>
                  </w:p>
                  <w:p>
                    <w:pPr>
                      <w:spacing w:line="241" w:lineRule="exact" w:before="0"/>
                      <w:ind w:left="421" w:right="15" w:firstLine="0"/>
                      <w:jc w:val="center"/>
                      <w:rPr>
                        <w:b/>
                        <w:sz w:val="21"/>
                      </w:rPr>
                    </w:pPr>
                    <w:r>
                      <w:rPr>
                        <w:b/>
                        <w:color w:val="FFFFFF"/>
                        <w:sz w:val="21"/>
                      </w:rPr>
                      <w:t>Desarrollo; 20</w:t>
                    </w:r>
                  </w:p>
                </w:txbxContent>
              </v:textbox>
              <w10:wrap type="none"/>
            </v:shape>
            <v:shape style="position:absolute;left:7347;top:644;width:1755;height:572" type="#_x0000_t202" filled="false" stroked="false">
              <v:textbox inset="0,0,0,0">
                <w:txbxContent>
                  <w:p>
                    <w:pPr>
                      <w:spacing w:line="241" w:lineRule="exact" w:before="46"/>
                      <w:ind w:left="364" w:right="15" w:firstLine="0"/>
                      <w:jc w:val="center"/>
                      <w:rPr>
                        <w:b/>
                        <w:sz w:val="21"/>
                      </w:rPr>
                    </w:pPr>
                    <w:r>
                      <w:rPr>
                        <w:b/>
                        <w:color w:val="FFFFFF"/>
                        <w:sz w:val="21"/>
                      </w:rPr>
                      <w:t>Pilar 1</w:t>
                    </w:r>
                  </w:p>
                  <w:p>
                    <w:pPr>
                      <w:spacing w:line="241" w:lineRule="exact" w:before="0"/>
                      <w:ind w:left="362" w:right="15" w:firstLine="0"/>
                      <w:jc w:val="center"/>
                      <w:rPr>
                        <w:b/>
                        <w:sz w:val="21"/>
                      </w:rPr>
                    </w:pPr>
                    <w:r>
                      <w:rPr>
                        <w:b/>
                        <w:color w:val="FFFFFF"/>
                        <w:sz w:val="21"/>
                      </w:rPr>
                      <w:t>Economía; 7</w:t>
                    </w:r>
                  </w:p>
                </w:txbxContent>
              </v:textbox>
              <w10:wrap type="none"/>
            </v:shape>
            <w10:wrap type="topAndBottom"/>
          </v:group>
        </w:pict>
      </w:r>
    </w:p>
    <w:p>
      <w:pPr>
        <w:pStyle w:val="BodyText"/>
        <w:rPr>
          <w:b/>
        </w:rPr>
      </w:pPr>
    </w:p>
    <w:p>
      <w:pPr>
        <w:spacing w:before="0"/>
        <w:ind w:left="562" w:right="0" w:firstLine="0"/>
        <w:jc w:val="left"/>
        <w:rPr>
          <w:sz w:val="18"/>
        </w:rPr>
      </w:pPr>
      <w:r>
        <w:rPr>
          <w:sz w:val="18"/>
        </w:rPr>
        <w:t>Fuente: Segeplan</w:t>
      </w:r>
    </w:p>
    <w:p>
      <w:pPr>
        <w:pStyle w:val="BodyText"/>
        <w:spacing w:before="3"/>
        <w:rPr>
          <w:sz w:val="28"/>
        </w:rPr>
      </w:pPr>
    </w:p>
    <w:p>
      <w:pPr>
        <w:pStyle w:val="Heading2"/>
        <w:numPr>
          <w:ilvl w:val="1"/>
          <w:numId w:val="52"/>
        </w:numPr>
        <w:tabs>
          <w:tab w:pos="1354" w:val="left" w:leader="none"/>
        </w:tabs>
        <w:spacing w:line="240" w:lineRule="auto" w:before="0" w:after="0"/>
        <w:ind w:left="1354" w:right="0" w:hanging="433"/>
        <w:jc w:val="left"/>
      </w:pPr>
      <w:bookmarkStart w:name="_bookmark234" w:id="304"/>
      <w:bookmarkEnd w:id="304"/>
      <w:r>
        <w:rPr>
          <w:b w:val="0"/>
        </w:rPr>
      </w:r>
      <w:bookmarkStart w:name="_bookmark234" w:id="305"/>
      <w:bookmarkEnd w:id="305"/>
      <w:r>
        <w:rPr/>
        <w:t>A</w:t>
      </w:r>
      <w:r>
        <w:rPr/>
        <w:t>cciones propuestas por Segeplan para mejorar el desempeño de las</w:t>
      </w:r>
      <w:r>
        <w:rPr>
          <w:spacing w:val="-7"/>
        </w:rPr>
        <w:t> </w:t>
      </w:r>
      <w:r>
        <w:rPr/>
        <w:t>metas</w:t>
      </w:r>
    </w:p>
    <w:p>
      <w:pPr>
        <w:pStyle w:val="BodyText"/>
        <w:rPr>
          <w:b/>
          <w:sz w:val="29"/>
        </w:rPr>
      </w:pPr>
    </w:p>
    <w:p>
      <w:pPr>
        <w:pStyle w:val="Heading3"/>
        <w:ind w:left="562"/>
      </w:pPr>
      <w:r>
        <w:rPr/>
        <w:t>Pilar 1: Economía, Competitividad y Prosperidad</w:t>
      </w:r>
    </w:p>
    <w:p>
      <w:pPr>
        <w:pStyle w:val="BodyText"/>
        <w:spacing w:before="4"/>
        <w:rPr>
          <w:b/>
          <w:sz w:val="23"/>
        </w:rPr>
      </w:pPr>
    </w:p>
    <w:p>
      <w:pPr>
        <w:pStyle w:val="ListParagraph"/>
        <w:numPr>
          <w:ilvl w:val="0"/>
          <w:numId w:val="53"/>
        </w:numPr>
        <w:tabs>
          <w:tab w:pos="1282" w:val="left" w:leader="none"/>
        </w:tabs>
        <w:spacing w:line="276" w:lineRule="auto" w:before="0" w:after="0"/>
        <w:ind w:left="1282" w:right="1696" w:hanging="360"/>
        <w:jc w:val="both"/>
        <w:rPr>
          <w:rFonts w:ascii="Symbol" w:hAnsi="Symbol"/>
          <w:sz w:val="22"/>
        </w:rPr>
      </w:pPr>
      <w:r>
        <w:rPr>
          <w:sz w:val="22"/>
        </w:rPr>
        <w:t>Tomando</w:t>
      </w:r>
      <w:r>
        <w:rPr>
          <w:spacing w:val="-7"/>
          <w:sz w:val="22"/>
        </w:rPr>
        <w:t> </w:t>
      </w:r>
      <w:r>
        <w:rPr>
          <w:sz w:val="22"/>
        </w:rPr>
        <w:t>en</w:t>
      </w:r>
      <w:r>
        <w:rPr>
          <w:spacing w:val="-7"/>
          <w:sz w:val="22"/>
        </w:rPr>
        <w:t> </w:t>
      </w:r>
      <w:r>
        <w:rPr>
          <w:sz w:val="22"/>
        </w:rPr>
        <w:t>consideración</w:t>
      </w:r>
      <w:r>
        <w:rPr>
          <w:spacing w:val="-10"/>
          <w:sz w:val="22"/>
        </w:rPr>
        <w:t> </w:t>
      </w:r>
      <w:r>
        <w:rPr>
          <w:sz w:val="22"/>
        </w:rPr>
        <w:t>que</w:t>
      </w:r>
      <w:r>
        <w:rPr>
          <w:spacing w:val="-6"/>
          <w:sz w:val="22"/>
        </w:rPr>
        <w:t> </w:t>
      </w:r>
      <w:r>
        <w:rPr>
          <w:sz w:val="22"/>
        </w:rPr>
        <w:t>no</w:t>
      </w:r>
      <w:r>
        <w:rPr>
          <w:spacing w:val="-7"/>
          <w:sz w:val="22"/>
        </w:rPr>
        <w:t> </w:t>
      </w:r>
      <w:r>
        <w:rPr>
          <w:sz w:val="22"/>
        </w:rPr>
        <w:t>existe</w:t>
      </w:r>
      <w:r>
        <w:rPr>
          <w:spacing w:val="-7"/>
          <w:sz w:val="22"/>
        </w:rPr>
        <w:t> </w:t>
      </w:r>
      <w:r>
        <w:rPr>
          <w:sz w:val="22"/>
        </w:rPr>
        <w:t>una</w:t>
      </w:r>
      <w:r>
        <w:rPr>
          <w:spacing w:val="-6"/>
          <w:sz w:val="22"/>
        </w:rPr>
        <w:t> </w:t>
      </w:r>
      <w:r>
        <w:rPr>
          <w:sz w:val="22"/>
        </w:rPr>
        <w:t>nueva</w:t>
      </w:r>
      <w:r>
        <w:rPr>
          <w:spacing w:val="-7"/>
          <w:sz w:val="22"/>
        </w:rPr>
        <w:t> </w:t>
      </w:r>
      <w:r>
        <w:rPr>
          <w:sz w:val="22"/>
        </w:rPr>
        <w:t>evaluación</w:t>
      </w:r>
      <w:r>
        <w:rPr>
          <w:spacing w:val="-7"/>
          <w:sz w:val="22"/>
        </w:rPr>
        <w:t> </w:t>
      </w:r>
      <w:r>
        <w:rPr>
          <w:sz w:val="22"/>
        </w:rPr>
        <w:t>del</w:t>
      </w:r>
      <w:r>
        <w:rPr>
          <w:spacing w:val="-6"/>
          <w:sz w:val="22"/>
        </w:rPr>
        <w:t> </w:t>
      </w:r>
      <w:r>
        <w:rPr>
          <w:sz w:val="22"/>
        </w:rPr>
        <w:t>Índice</w:t>
      </w:r>
      <w:r>
        <w:rPr>
          <w:spacing w:val="-3"/>
          <w:sz w:val="22"/>
        </w:rPr>
        <w:t> </w:t>
      </w:r>
      <w:r>
        <w:rPr>
          <w:sz w:val="22"/>
        </w:rPr>
        <w:t>de</w:t>
      </w:r>
      <w:r>
        <w:rPr>
          <w:spacing w:val="-7"/>
          <w:sz w:val="22"/>
        </w:rPr>
        <w:t> </w:t>
      </w:r>
      <w:r>
        <w:rPr>
          <w:sz w:val="22"/>
        </w:rPr>
        <w:t>Competitividad Global y que el Índice de Doing Business no se realizará más por parte del Banco Mundial, que permita conocer los avances del país, se recomienda utilizar un indicador análogo o la creación de una metodología de evaluación que permitan medir y calificar las variables que comprenden cada uno de los índices</w:t>
      </w:r>
      <w:r>
        <w:rPr>
          <w:spacing w:val="-3"/>
          <w:sz w:val="22"/>
        </w:rPr>
        <w:t> </w:t>
      </w:r>
      <w:r>
        <w:rPr>
          <w:sz w:val="22"/>
        </w:rPr>
        <w:t>internacionales.</w:t>
      </w:r>
    </w:p>
    <w:p>
      <w:pPr>
        <w:pStyle w:val="ListParagraph"/>
        <w:numPr>
          <w:ilvl w:val="0"/>
          <w:numId w:val="53"/>
        </w:numPr>
        <w:tabs>
          <w:tab w:pos="1282" w:val="left" w:leader="none"/>
        </w:tabs>
        <w:spacing w:line="276" w:lineRule="auto" w:before="0" w:after="0"/>
        <w:ind w:left="1282" w:right="1695" w:hanging="360"/>
        <w:jc w:val="both"/>
        <w:rPr>
          <w:rFonts w:ascii="Symbol" w:hAnsi="Symbol"/>
          <w:sz w:val="22"/>
        </w:rPr>
      </w:pPr>
      <w:r>
        <w:rPr>
          <w:sz w:val="22"/>
        </w:rPr>
        <w:t>Según el MAGA, para el año 2022 se espera elevar la asignación de recursos destinados </w:t>
      </w:r>
      <w:r>
        <w:rPr>
          <w:spacing w:val="-3"/>
          <w:sz w:val="22"/>
        </w:rPr>
        <w:t>al </w:t>
      </w:r>
      <w:r>
        <w:rPr>
          <w:sz w:val="22"/>
        </w:rPr>
        <w:t>seguro agrícola a Q10.0 millones, asegurando el cumplimiento de la meta en el último año. Por lo tanto, se recomienda incrementar significativamente la asignación presupuestaria y mejorar la ejecución en los próximos</w:t>
      </w:r>
      <w:r>
        <w:rPr>
          <w:spacing w:val="-7"/>
          <w:sz w:val="22"/>
        </w:rPr>
        <w:t> </w:t>
      </w:r>
      <w:r>
        <w:rPr>
          <w:sz w:val="22"/>
        </w:rPr>
        <w:t>años.</w:t>
      </w:r>
    </w:p>
    <w:p>
      <w:pPr>
        <w:pStyle w:val="ListParagraph"/>
        <w:numPr>
          <w:ilvl w:val="0"/>
          <w:numId w:val="53"/>
        </w:numPr>
        <w:tabs>
          <w:tab w:pos="1282" w:val="left" w:leader="none"/>
        </w:tabs>
        <w:spacing w:line="276" w:lineRule="auto" w:before="0" w:after="0"/>
        <w:ind w:left="1282" w:right="1699" w:hanging="360"/>
        <w:jc w:val="both"/>
        <w:rPr>
          <w:rFonts w:ascii="Symbol" w:hAnsi="Symbol"/>
          <w:sz w:val="22"/>
        </w:rPr>
      </w:pPr>
      <w:r>
        <w:rPr>
          <w:sz w:val="22"/>
        </w:rPr>
        <w:t>El</w:t>
      </w:r>
      <w:r>
        <w:rPr>
          <w:spacing w:val="-7"/>
          <w:sz w:val="22"/>
        </w:rPr>
        <w:t> </w:t>
      </w:r>
      <w:r>
        <w:rPr>
          <w:sz w:val="22"/>
        </w:rPr>
        <w:t>Ministerio</w:t>
      </w:r>
      <w:r>
        <w:rPr>
          <w:spacing w:val="-10"/>
          <w:sz w:val="22"/>
        </w:rPr>
        <w:t> </w:t>
      </w:r>
      <w:r>
        <w:rPr>
          <w:sz w:val="22"/>
        </w:rPr>
        <w:t>de</w:t>
      </w:r>
      <w:r>
        <w:rPr>
          <w:spacing w:val="-7"/>
          <w:sz w:val="22"/>
        </w:rPr>
        <w:t> </w:t>
      </w:r>
      <w:r>
        <w:rPr>
          <w:sz w:val="22"/>
        </w:rPr>
        <w:t>Economía</w:t>
      </w:r>
      <w:r>
        <w:rPr>
          <w:spacing w:val="-9"/>
          <w:sz w:val="22"/>
        </w:rPr>
        <w:t> </w:t>
      </w:r>
      <w:r>
        <w:rPr>
          <w:sz w:val="22"/>
        </w:rPr>
        <w:t>como</w:t>
      </w:r>
      <w:r>
        <w:rPr>
          <w:spacing w:val="-7"/>
          <w:sz w:val="22"/>
        </w:rPr>
        <w:t> </w:t>
      </w:r>
      <w:r>
        <w:rPr>
          <w:sz w:val="22"/>
        </w:rPr>
        <w:t>rector</w:t>
      </w:r>
      <w:r>
        <w:rPr>
          <w:spacing w:val="-9"/>
          <w:sz w:val="22"/>
        </w:rPr>
        <w:t> </w:t>
      </w:r>
      <w:r>
        <w:rPr>
          <w:sz w:val="22"/>
        </w:rPr>
        <w:t>del</w:t>
      </w:r>
      <w:r>
        <w:rPr>
          <w:spacing w:val="-6"/>
          <w:sz w:val="22"/>
        </w:rPr>
        <w:t> </w:t>
      </w:r>
      <w:r>
        <w:rPr>
          <w:sz w:val="22"/>
        </w:rPr>
        <w:t>sector</w:t>
      </w:r>
      <w:r>
        <w:rPr>
          <w:spacing w:val="-9"/>
          <w:sz w:val="22"/>
        </w:rPr>
        <w:t> </w:t>
      </w:r>
      <w:r>
        <w:rPr>
          <w:sz w:val="22"/>
        </w:rPr>
        <w:t>económico</w:t>
      </w:r>
      <w:r>
        <w:rPr>
          <w:spacing w:val="-8"/>
          <w:sz w:val="22"/>
        </w:rPr>
        <w:t> </w:t>
      </w:r>
      <w:r>
        <w:rPr>
          <w:sz w:val="22"/>
        </w:rPr>
        <w:t>debe</w:t>
      </w:r>
      <w:r>
        <w:rPr>
          <w:spacing w:val="-9"/>
          <w:sz w:val="22"/>
        </w:rPr>
        <w:t> </w:t>
      </w:r>
      <w:r>
        <w:rPr>
          <w:sz w:val="22"/>
        </w:rPr>
        <w:t>continuar</w:t>
      </w:r>
      <w:r>
        <w:rPr>
          <w:spacing w:val="-6"/>
          <w:sz w:val="22"/>
        </w:rPr>
        <w:t> </w:t>
      </w:r>
      <w:r>
        <w:rPr>
          <w:sz w:val="22"/>
        </w:rPr>
        <w:t>fomentando</w:t>
      </w:r>
      <w:r>
        <w:rPr>
          <w:spacing w:val="-9"/>
          <w:sz w:val="22"/>
        </w:rPr>
        <w:t> </w:t>
      </w:r>
      <w:r>
        <w:rPr>
          <w:sz w:val="22"/>
        </w:rPr>
        <w:t>los espacios de coordinación e integración de las entidades involucradas del sector, alianza público-privada, para mantener la sostenibilidad en el crecimiento del PIB, contribuir a la generación de inversión, integración económica, fortalecimiento de las capacidades técnicas y financieras de micro, pequeñas y medianas empresas, MIPYMES, la generación de inversión por parte del sector turístico y la asistencia a los derechos del</w:t>
      </w:r>
      <w:r>
        <w:rPr>
          <w:spacing w:val="-20"/>
          <w:sz w:val="22"/>
        </w:rPr>
        <w:t> </w:t>
      </w:r>
      <w:r>
        <w:rPr>
          <w:sz w:val="22"/>
        </w:rPr>
        <w:t>consumidor.</w:t>
      </w:r>
    </w:p>
    <w:p>
      <w:pPr>
        <w:spacing w:after="0" w:line="276" w:lineRule="auto"/>
        <w:jc w:val="both"/>
        <w:rPr>
          <w:rFonts w:ascii="Symbol" w:hAnsi="Symbol"/>
          <w:sz w:val="22"/>
        </w:rPr>
        <w:sectPr>
          <w:pgSz w:w="12240" w:h="15840"/>
          <w:pgMar w:header="715" w:footer="688" w:top="1240" w:bottom="880" w:left="1140" w:right="0"/>
        </w:sectPr>
      </w:pPr>
    </w:p>
    <w:p>
      <w:pPr>
        <w:pStyle w:val="Heading3"/>
        <w:spacing w:before="167"/>
        <w:ind w:left="562"/>
      </w:pPr>
      <w:r>
        <w:rPr/>
        <w:t>Pilar 2: Desarrollo Social</w:t>
      </w:r>
    </w:p>
    <w:p>
      <w:pPr>
        <w:pStyle w:val="BodyText"/>
        <w:spacing w:before="6"/>
        <w:rPr>
          <w:b/>
          <w:sz w:val="23"/>
        </w:rPr>
      </w:pPr>
    </w:p>
    <w:p>
      <w:pPr>
        <w:pStyle w:val="ListParagraph"/>
        <w:numPr>
          <w:ilvl w:val="0"/>
          <w:numId w:val="53"/>
        </w:numPr>
        <w:tabs>
          <w:tab w:pos="1282" w:val="left" w:leader="none"/>
        </w:tabs>
        <w:spacing w:line="276" w:lineRule="auto" w:before="0" w:after="0"/>
        <w:ind w:left="1282" w:right="1696" w:hanging="360"/>
        <w:jc w:val="both"/>
        <w:rPr>
          <w:rFonts w:ascii="Symbol" w:hAnsi="Symbol"/>
          <w:sz w:val="18"/>
        </w:rPr>
      </w:pPr>
      <w:r>
        <w:rPr>
          <w:sz w:val="22"/>
        </w:rPr>
        <w:t>En materia de Educación, será preciso priorizar el aumento de la tasa de cobertura del nivel básico, la tasa de cobertura del nivel diversificado, seguro médico escolar, número de maestros graduados a nivel de licenciatura, becas escolares a nivel básico y diversificado y la inversión en la alimentación escolar. En lo que refiere a la reducción del Analfabetismo, será necesario ampliar el presupuesto, así como también el recurso humano, para cerrar la brecha del analfabetismo.</w:t>
      </w:r>
    </w:p>
    <w:p>
      <w:pPr>
        <w:pStyle w:val="ListParagraph"/>
        <w:numPr>
          <w:ilvl w:val="0"/>
          <w:numId w:val="53"/>
        </w:numPr>
        <w:tabs>
          <w:tab w:pos="1282" w:val="left" w:leader="none"/>
        </w:tabs>
        <w:spacing w:line="276" w:lineRule="auto" w:before="0" w:after="0"/>
        <w:ind w:left="1282" w:right="1702" w:hanging="360"/>
        <w:jc w:val="both"/>
        <w:rPr>
          <w:rFonts w:ascii="Symbol" w:hAnsi="Symbol"/>
          <w:sz w:val="22"/>
        </w:rPr>
      </w:pPr>
      <w:r>
        <w:rPr>
          <w:sz w:val="22"/>
        </w:rPr>
        <w:t>En materia de Salud, las metas: Razón de la Mortalidad Materna (RMM), y la Disminución de la Tasa de Desnutrición Crónica, deben ser actualizados en la siguiente ENSMI para determinar la situación de cada indicador. Por lo tanto, será preciso priorizar los recursos (financieros, tecnológicos y administrativos) para el plazo que requiere su</w:t>
      </w:r>
      <w:r>
        <w:rPr>
          <w:spacing w:val="-20"/>
          <w:sz w:val="22"/>
        </w:rPr>
        <w:t> </w:t>
      </w:r>
      <w:r>
        <w:rPr>
          <w:sz w:val="22"/>
        </w:rPr>
        <w:t>implementación.</w:t>
      </w:r>
    </w:p>
    <w:p>
      <w:pPr>
        <w:pStyle w:val="ListParagraph"/>
        <w:numPr>
          <w:ilvl w:val="0"/>
          <w:numId w:val="53"/>
        </w:numPr>
        <w:tabs>
          <w:tab w:pos="1282" w:val="left" w:leader="none"/>
        </w:tabs>
        <w:spacing w:line="276" w:lineRule="auto" w:before="0" w:after="0"/>
        <w:ind w:left="1282" w:right="1696" w:hanging="360"/>
        <w:jc w:val="both"/>
        <w:rPr>
          <w:rFonts w:ascii="Symbol" w:hAnsi="Symbol"/>
          <w:sz w:val="22"/>
        </w:rPr>
      </w:pPr>
      <w:r>
        <w:rPr>
          <w:sz w:val="22"/>
        </w:rPr>
        <w:t>En materia de protección social, será preciso priorizar el aumento de la asignación presupuestaria</w:t>
      </w:r>
      <w:r>
        <w:rPr>
          <w:spacing w:val="-7"/>
          <w:sz w:val="22"/>
        </w:rPr>
        <w:t> </w:t>
      </w:r>
      <w:r>
        <w:rPr>
          <w:sz w:val="22"/>
        </w:rPr>
        <w:t>de</w:t>
      </w:r>
      <w:r>
        <w:rPr>
          <w:spacing w:val="-9"/>
          <w:sz w:val="22"/>
        </w:rPr>
        <w:t> </w:t>
      </w:r>
      <w:r>
        <w:rPr>
          <w:sz w:val="22"/>
        </w:rPr>
        <w:t>las</w:t>
      </w:r>
      <w:r>
        <w:rPr>
          <w:spacing w:val="-8"/>
          <w:sz w:val="22"/>
        </w:rPr>
        <w:t> </w:t>
      </w:r>
      <w:r>
        <w:rPr>
          <w:sz w:val="22"/>
        </w:rPr>
        <w:t>siguientes</w:t>
      </w:r>
      <w:r>
        <w:rPr>
          <w:spacing w:val="-6"/>
          <w:sz w:val="22"/>
        </w:rPr>
        <w:t> </w:t>
      </w:r>
      <w:r>
        <w:rPr>
          <w:sz w:val="22"/>
        </w:rPr>
        <w:t>metas:</w:t>
      </w:r>
      <w:r>
        <w:rPr>
          <w:spacing w:val="-7"/>
          <w:sz w:val="22"/>
        </w:rPr>
        <w:t> </w:t>
      </w:r>
      <w:r>
        <w:rPr>
          <w:sz w:val="22"/>
        </w:rPr>
        <w:t>la</w:t>
      </w:r>
      <w:r>
        <w:rPr>
          <w:spacing w:val="-7"/>
          <w:sz w:val="22"/>
        </w:rPr>
        <w:t> </w:t>
      </w:r>
      <w:r>
        <w:rPr>
          <w:sz w:val="22"/>
        </w:rPr>
        <w:t>creación</w:t>
      </w:r>
      <w:r>
        <w:rPr>
          <w:spacing w:val="-7"/>
          <w:sz w:val="22"/>
        </w:rPr>
        <w:t> </w:t>
      </w:r>
      <w:r>
        <w:rPr>
          <w:sz w:val="22"/>
        </w:rPr>
        <w:t>del</w:t>
      </w:r>
      <w:r>
        <w:rPr>
          <w:spacing w:val="-5"/>
          <w:sz w:val="22"/>
        </w:rPr>
        <w:t> </w:t>
      </w:r>
      <w:r>
        <w:rPr>
          <w:sz w:val="22"/>
        </w:rPr>
        <w:t>fondo</w:t>
      </w:r>
      <w:r>
        <w:rPr>
          <w:spacing w:val="-7"/>
          <w:sz w:val="22"/>
        </w:rPr>
        <w:t> </w:t>
      </w:r>
      <w:r>
        <w:rPr>
          <w:sz w:val="22"/>
        </w:rPr>
        <w:t>de</w:t>
      </w:r>
      <w:r>
        <w:rPr>
          <w:spacing w:val="-8"/>
          <w:sz w:val="22"/>
        </w:rPr>
        <w:t> </w:t>
      </w:r>
      <w:r>
        <w:rPr>
          <w:sz w:val="22"/>
        </w:rPr>
        <w:t>subsidio</w:t>
      </w:r>
      <w:r>
        <w:rPr>
          <w:spacing w:val="-7"/>
          <w:sz w:val="22"/>
        </w:rPr>
        <w:t> </w:t>
      </w:r>
      <w:r>
        <w:rPr>
          <w:sz w:val="22"/>
        </w:rPr>
        <w:t>para</w:t>
      </w:r>
      <w:r>
        <w:rPr>
          <w:spacing w:val="-9"/>
          <w:sz w:val="22"/>
        </w:rPr>
        <w:t> </w:t>
      </w:r>
      <w:r>
        <w:rPr>
          <w:sz w:val="22"/>
        </w:rPr>
        <w:t>la</w:t>
      </w:r>
      <w:r>
        <w:rPr>
          <w:spacing w:val="-6"/>
          <w:sz w:val="22"/>
        </w:rPr>
        <w:t> </w:t>
      </w:r>
      <w:r>
        <w:rPr>
          <w:sz w:val="22"/>
        </w:rPr>
        <w:t>construcción de vivienda social, la construcción de viviendas sociales, incremento del monto asignado al Fondo Social para la Atención a Desastres. Respecto a la reducción de la pobreza general y pobreza extrema, será preciso propiciar acciones para la elaboración y publicación de la siguiente –ENCOVI- que permita actualizar la situación de los indicadores y tomar medidas correctivas.</w:t>
      </w:r>
    </w:p>
    <w:p>
      <w:pPr>
        <w:pStyle w:val="BodyText"/>
        <w:spacing w:before="2"/>
        <w:rPr>
          <w:sz w:val="25"/>
        </w:rPr>
      </w:pPr>
    </w:p>
    <w:p>
      <w:pPr>
        <w:pStyle w:val="Heading3"/>
        <w:ind w:left="562"/>
      </w:pPr>
      <w:r>
        <w:rPr/>
        <w:t>Pilar 3: Gobernabilidad y Seguridad en Desarrollo</w:t>
      </w:r>
    </w:p>
    <w:p>
      <w:pPr>
        <w:pStyle w:val="BodyText"/>
        <w:spacing w:before="7"/>
        <w:rPr>
          <w:b/>
          <w:sz w:val="23"/>
        </w:rPr>
      </w:pPr>
    </w:p>
    <w:p>
      <w:pPr>
        <w:pStyle w:val="ListParagraph"/>
        <w:numPr>
          <w:ilvl w:val="0"/>
          <w:numId w:val="53"/>
        </w:numPr>
        <w:tabs>
          <w:tab w:pos="1282" w:val="left" w:leader="none"/>
        </w:tabs>
        <w:spacing w:line="276" w:lineRule="auto" w:before="0" w:after="0"/>
        <w:ind w:left="1282" w:right="1697" w:hanging="360"/>
        <w:jc w:val="both"/>
        <w:rPr>
          <w:rFonts w:ascii="Symbol" w:hAnsi="Symbol"/>
          <w:sz w:val="22"/>
        </w:rPr>
      </w:pPr>
      <w:r>
        <w:rPr>
          <w:sz w:val="22"/>
        </w:rPr>
        <w:t>En la meta que trata lo referente a la construcción de centros penitenciarios, no se alcanzó debido al desvío de los recursos originalmente asignados para esta meta a la emergencia del COVID-19. Sin embargo, en 2021 se logró la aprobación del proyecto para la construcción del Centro de Cumplimiento de Condena para Hombres en Masagua, Escuintla, cuya construcción está planificada para 2022. Sería de suma relevancia cualquier apoyo internacional.</w:t>
      </w:r>
    </w:p>
    <w:p>
      <w:pPr>
        <w:pStyle w:val="ListParagraph"/>
        <w:numPr>
          <w:ilvl w:val="0"/>
          <w:numId w:val="53"/>
        </w:numPr>
        <w:tabs>
          <w:tab w:pos="1282" w:val="left" w:leader="none"/>
        </w:tabs>
        <w:spacing w:line="276" w:lineRule="auto" w:before="0" w:after="0"/>
        <w:ind w:left="1282" w:right="1696" w:hanging="360"/>
        <w:jc w:val="both"/>
        <w:rPr>
          <w:rFonts w:ascii="Symbol" w:hAnsi="Symbol"/>
          <w:sz w:val="22"/>
        </w:rPr>
      </w:pPr>
      <w:r>
        <w:rPr>
          <w:sz w:val="22"/>
        </w:rPr>
        <w:t>Respecto a la meta que se ocupa del incremento en 5,000 del número de agentes de la PNC para 2023, en el año 2020 no se pudo formar agentes debido al desvío de los fondos para la atención de la emergencia del COVID-19 y a la suspensión de las actividades de formación de agentes provocada por la misma. Sin embargo, en 2021 se logró la formación de 1,513 agentes. Para alcanzar la cifra exacta, y tomando en cuenta las limitaciones presupuestarias que podrían suscitarse, sería relevante el respaldo internacional para alcanzar esta meta que requiere recursos</w:t>
      </w:r>
      <w:r>
        <w:rPr>
          <w:spacing w:val="-3"/>
          <w:sz w:val="22"/>
        </w:rPr>
        <w:t> </w:t>
      </w:r>
      <w:r>
        <w:rPr>
          <w:sz w:val="22"/>
        </w:rPr>
        <w:t>financieros.</w:t>
      </w:r>
    </w:p>
    <w:p>
      <w:pPr>
        <w:pStyle w:val="ListParagraph"/>
        <w:numPr>
          <w:ilvl w:val="0"/>
          <w:numId w:val="53"/>
        </w:numPr>
        <w:tabs>
          <w:tab w:pos="1282" w:val="left" w:leader="none"/>
        </w:tabs>
        <w:spacing w:line="276" w:lineRule="auto" w:before="0" w:after="0"/>
        <w:ind w:left="1282" w:right="1695" w:hanging="360"/>
        <w:jc w:val="both"/>
        <w:rPr>
          <w:rFonts w:ascii="Symbol" w:hAnsi="Symbol"/>
          <w:sz w:val="22"/>
        </w:rPr>
      </w:pPr>
      <w:r>
        <w:rPr>
          <w:sz w:val="22"/>
        </w:rPr>
        <w:t>Se</w:t>
      </w:r>
      <w:r>
        <w:rPr>
          <w:spacing w:val="-9"/>
          <w:sz w:val="22"/>
        </w:rPr>
        <w:t> </w:t>
      </w:r>
      <w:r>
        <w:rPr>
          <w:sz w:val="22"/>
        </w:rPr>
        <w:t>deben</w:t>
      </w:r>
      <w:r>
        <w:rPr>
          <w:spacing w:val="-12"/>
          <w:sz w:val="22"/>
        </w:rPr>
        <w:t> </w:t>
      </w:r>
      <w:r>
        <w:rPr>
          <w:sz w:val="22"/>
        </w:rPr>
        <w:t>redoblar</w:t>
      </w:r>
      <w:r>
        <w:rPr>
          <w:spacing w:val="-9"/>
          <w:sz w:val="22"/>
        </w:rPr>
        <w:t> </w:t>
      </w:r>
      <w:r>
        <w:rPr>
          <w:sz w:val="22"/>
        </w:rPr>
        <w:t>los</w:t>
      </w:r>
      <w:r>
        <w:rPr>
          <w:spacing w:val="-9"/>
          <w:sz w:val="22"/>
        </w:rPr>
        <w:t> </w:t>
      </w:r>
      <w:r>
        <w:rPr>
          <w:sz w:val="22"/>
        </w:rPr>
        <w:t>esfuerzos</w:t>
      </w:r>
      <w:r>
        <w:rPr>
          <w:spacing w:val="-9"/>
          <w:sz w:val="22"/>
        </w:rPr>
        <w:t> </w:t>
      </w:r>
      <w:r>
        <w:rPr>
          <w:sz w:val="22"/>
        </w:rPr>
        <w:t>en</w:t>
      </w:r>
      <w:r>
        <w:rPr>
          <w:spacing w:val="-9"/>
          <w:sz w:val="22"/>
        </w:rPr>
        <w:t> </w:t>
      </w:r>
      <w:r>
        <w:rPr>
          <w:sz w:val="22"/>
        </w:rPr>
        <w:t>materia</w:t>
      </w:r>
      <w:r>
        <w:rPr>
          <w:spacing w:val="-9"/>
          <w:sz w:val="22"/>
        </w:rPr>
        <w:t> </w:t>
      </w:r>
      <w:r>
        <w:rPr>
          <w:sz w:val="22"/>
        </w:rPr>
        <w:t>de</w:t>
      </w:r>
      <w:r>
        <w:rPr>
          <w:spacing w:val="-9"/>
          <w:sz w:val="22"/>
        </w:rPr>
        <w:t> </w:t>
      </w:r>
      <w:r>
        <w:rPr>
          <w:sz w:val="22"/>
        </w:rPr>
        <w:t>patrullajes,</w:t>
      </w:r>
      <w:r>
        <w:rPr>
          <w:spacing w:val="-9"/>
          <w:sz w:val="22"/>
        </w:rPr>
        <w:t> </w:t>
      </w:r>
      <w:r>
        <w:rPr>
          <w:sz w:val="22"/>
        </w:rPr>
        <w:t>investigación</w:t>
      </w:r>
      <w:r>
        <w:rPr>
          <w:spacing w:val="-10"/>
          <w:sz w:val="22"/>
        </w:rPr>
        <w:t> </w:t>
      </w:r>
      <w:r>
        <w:rPr>
          <w:sz w:val="22"/>
        </w:rPr>
        <w:t>criminal,</w:t>
      </w:r>
      <w:r>
        <w:rPr>
          <w:spacing w:val="-10"/>
          <w:sz w:val="22"/>
        </w:rPr>
        <w:t> </w:t>
      </w:r>
      <w:r>
        <w:rPr>
          <w:sz w:val="22"/>
        </w:rPr>
        <w:t>destrucción de</w:t>
      </w:r>
      <w:r>
        <w:rPr>
          <w:spacing w:val="-14"/>
          <w:sz w:val="22"/>
        </w:rPr>
        <w:t> </w:t>
      </w:r>
      <w:r>
        <w:rPr>
          <w:sz w:val="22"/>
        </w:rPr>
        <w:t>estructuras</w:t>
      </w:r>
      <w:r>
        <w:rPr>
          <w:spacing w:val="-14"/>
          <w:sz w:val="22"/>
        </w:rPr>
        <w:t> </w:t>
      </w:r>
      <w:r>
        <w:rPr>
          <w:sz w:val="22"/>
        </w:rPr>
        <w:t>criminales,</w:t>
      </w:r>
      <w:r>
        <w:rPr>
          <w:spacing w:val="-17"/>
          <w:sz w:val="22"/>
        </w:rPr>
        <w:t> </w:t>
      </w:r>
      <w:r>
        <w:rPr>
          <w:sz w:val="22"/>
        </w:rPr>
        <w:t>así</w:t>
      </w:r>
      <w:r>
        <w:rPr>
          <w:spacing w:val="-13"/>
          <w:sz w:val="22"/>
        </w:rPr>
        <w:t> </w:t>
      </w:r>
      <w:r>
        <w:rPr>
          <w:sz w:val="22"/>
        </w:rPr>
        <w:t>como</w:t>
      </w:r>
      <w:r>
        <w:rPr>
          <w:spacing w:val="-13"/>
          <w:sz w:val="22"/>
        </w:rPr>
        <w:t> </w:t>
      </w:r>
      <w:r>
        <w:rPr>
          <w:sz w:val="22"/>
        </w:rPr>
        <w:t>en</w:t>
      </w:r>
      <w:r>
        <w:rPr>
          <w:spacing w:val="-14"/>
          <w:sz w:val="22"/>
        </w:rPr>
        <w:t> </w:t>
      </w:r>
      <w:r>
        <w:rPr>
          <w:sz w:val="22"/>
        </w:rPr>
        <w:t>los</w:t>
      </w:r>
      <w:r>
        <w:rPr>
          <w:spacing w:val="-14"/>
          <w:sz w:val="22"/>
        </w:rPr>
        <w:t> </w:t>
      </w:r>
      <w:r>
        <w:rPr>
          <w:sz w:val="22"/>
        </w:rPr>
        <w:t>campos</w:t>
      </w:r>
      <w:r>
        <w:rPr>
          <w:spacing w:val="-14"/>
          <w:sz w:val="22"/>
        </w:rPr>
        <w:t> </w:t>
      </w:r>
      <w:r>
        <w:rPr>
          <w:sz w:val="22"/>
        </w:rPr>
        <w:t>de</w:t>
      </w:r>
      <w:r>
        <w:rPr>
          <w:spacing w:val="-16"/>
          <w:sz w:val="22"/>
        </w:rPr>
        <w:t> </w:t>
      </w:r>
      <w:r>
        <w:rPr>
          <w:sz w:val="22"/>
        </w:rPr>
        <w:t>la</w:t>
      </w:r>
      <w:r>
        <w:rPr>
          <w:spacing w:val="-14"/>
          <w:sz w:val="22"/>
        </w:rPr>
        <w:t> </w:t>
      </w:r>
      <w:r>
        <w:rPr>
          <w:sz w:val="22"/>
        </w:rPr>
        <w:t>seguridad</w:t>
      </w:r>
      <w:r>
        <w:rPr>
          <w:spacing w:val="-15"/>
          <w:sz w:val="22"/>
        </w:rPr>
        <w:t> </w:t>
      </w:r>
      <w:r>
        <w:rPr>
          <w:sz w:val="22"/>
        </w:rPr>
        <w:t>comunitaria</w:t>
      </w:r>
      <w:r>
        <w:rPr>
          <w:spacing w:val="-14"/>
          <w:sz w:val="22"/>
        </w:rPr>
        <w:t> </w:t>
      </w:r>
      <w:r>
        <w:rPr>
          <w:sz w:val="22"/>
        </w:rPr>
        <w:t>y</w:t>
      </w:r>
      <w:r>
        <w:rPr>
          <w:spacing w:val="-17"/>
          <w:sz w:val="22"/>
        </w:rPr>
        <w:t> </w:t>
      </w:r>
      <w:r>
        <w:rPr>
          <w:sz w:val="22"/>
        </w:rPr>
        <w:t>la</w:t>
      </w:r>
      <w:r>
        <w:rPr>
          <w:spacing w:val="-14"/>
          <w:sz w:val="22"/>
        </w:rPr>
        <w:t> </w:t>
      </w:r>
      <w:r>
        <w:rPr>
          <w:sz w:val="22"/>
        </w:rPr>
        <w:t>prevención de la violencia, para mantener a la baja las cifras anuales. Sin embargo, este accionar debe complementarse</w:t>
      </w:r>
      <w:r>
        <w:rPr>
          <w:spacing w:val="-9"/>
          <w:sz w:val="22"/>
        </w:rPr>
        <w:t> </w:t>
      </w:r>
      <w:r>
        <w:rPr>
          <w:sz w:val="22"/>
        </w:rPr>
        <w:t>con</w:t>
      </w:r>
      <w:r>
        <w:rPr>
          <w:spacing w:val="-8"/>
          <w:sz w:val="22"/>
        </w:rPr>
        <w:t> </w:t>
      </w:r>
      <w:r>
        <w:rPr>
          <w:sz w:val="22"/>
        </w:rPr>
        <w:t>una</w:t>
      </w:r>
      <w:r>
        <w:rPr>
          <w:spacing w:val="-9"/>
          <w:sz w:val="22"/>
        </w:rPr>
        <w:t> </w:t>
      </w:r>
      <w:r>
        <w:rPr>
          <w:sz w:val="22"/>
        </w:rPr>
        <w:t>modificación</w:t>
      </w:r>
      <w:r>
        <w:rPr>
          <w:spacing w:val="-6"/>
          <w:sz w:val="22"/>
        </w:rPr>
        <w:t> </w:t>
      </w:r>
      <w:r>
        <w:rPr>
          <w:sz w:val="22"/>
        </w:rPr>
        <w:t>de</w:t>
      </w:r>
      <w:r>
        <w:rPr>
          <w:spacing w:val="-8"/>
          <w:sz w:val="22"/>
        </w:rPr>
        <w:t> </w:t>
      </w:r>
      <w:r>
        <w:rPr>
          <w:sz w:val="22"/>
        </w:rPr>
        <w:t>la</w:t>
      </w:r>
      <w:r>
        <w:rPr>
          <w:spacing w:val="-9"/>
          <w:sz w:val="22"/>
        </w:rPr>
        <w:t> </w:t>
      </w:r>
      <w:r>
        <w:rPr>
          <w:sz w:val="22"/>
        </w:rPr>
        <w:t>tasa</w:t>
      </w:r>
      <w:r>
        <w:rPr>
          <w:spacing w:val="-6"/>
          <w:sz w:val="22"/>
        </w:rPr>
        <w:t> </w:t>
      </w:r>
      <w:r>
        <w:rPr>
          <w:sz w:val="22"/>
        </w:rPr>
        <w:t>proyectada</w:t>
      </w:r>
      <w:r>
        <w:rPr>
          <w:spacing w:val="-7"/>
          <w:sz w:val="22"/>
        </w:rPr>
        <w:t> </w:t>
      </w:r>
      <w:r>
        <w:rPr>
          <w:sz w:val="22"/>
        </w:rPr>
        <w:t>como</w:t>
      </w:r>
      <w:r>
        <w:rPr>
          <w:spacing w:val="-6"/>
          <w:sz w:val="22"/>
        </w:rPr>
        <w:t> </w:t>
      </w:r>
      <w:r>
        <w:rPr>
          <w:sz w:val="22"/>
        </w:rPr>
        <w:t>meta,</w:t>
      </w:r>
      <w:r>
        <w:rPr>
          <w:spacing w:val="-6"/>
          <w:sz w:val="22"/>
        </w:rPr>
        <w:t> </w:t>
      </w:r>
      <w:r>
        <w:rPr>
          <w:sz w:val="22"/>
        </w:rPr>
        <w:t>del</w:t>
      </w:r>
      <w:r>
        <w:rPr>
          <w:spacing w:val="-8"/>
          <w:sz w:val="22"/>
        </w:rPr>
        <w:t> </w:t>
      </w:r>
      <w:r>
        <w:rPr>
          <w:sz w:val="22"/>
        </w:rPr>
        <w:t>16.2</w:t>
      </w:r>
      <w:r>
        <w:rPr>
          <w:spacing w:val="-9"/>
          <w:sz w:val="22"/>
        </w:rPr>
        <w:t> </w:t>
      </w:r>
      <w:r>
        <w:rPr>
          <w:sz w:val="22"/>
        </w:rPr>
        <w:t>actual</w:t>
      </w:r>
      <w:r>
        <w:rPr>
          <w:spacing w:val="-5"/>
          <w:sz w:val="22"/>
        </w:rPr>
        <w:t> </w:t>
      </w:r>
      <w:r>
        <w:rPr>
          <w:sz w:val="22"/>
        </w:rPr>
        <w:t>debe elevarse al 17.1, más acorde con la actual realidad demográfica del país según el Ministerio de</w:t>
      </w:r>
      <w:r>
        <w:rPr>
          <w:spacing w:val="-1"/>
          <w:sz w:val="22"/>
        </w:rPr>
        <w:t> </w:t>
      </w:r>
      <w:r>
        <w:rPr>
          <w:sz w:val="22"/>
        </w:rPr>
        <w:t>Gobernación.</w:t>
      </w:r>
    </w:p>
    <w:p>
      <w:pPr>
        <w:spacing w:after="0" w:line="276" w:lineRule="auto"/>
        <w:jc w:val="both"/>
        <w:rPr>
          <w:rFonts w:ascii="Symbol" w:hAnsi="Symbol"/>
          <w:sz w:val="22"/>
        </w:rPr>
        <w:sectPr>
          <w:pgSz w:w="12240" w:h="15840"/>
          <w:pgMar w:header="715" w:footer="688" w:top="1240" w:bottom="880" w:left="1140" w:right="0"/>
        </w:sectPr>
      </w:pPr>
    </w:p>
    <w:p>
      <w:pPr>
        <w:pStyle w:val="Heading3"/>
        <w:spacing w:before="167"/>
        <w:ind w:left="562"/>
      </w:pPr>
      <w:r>
        <w:rPr/>
        <w:t>Pilar 4: Estado responsable, transparente y efectivo</w:t>
      </w:r>
    </w:p>
    <w:p>
      <w:pPr>
        <w:pStyle w:val="BodyText"/>
        <w:rPr>
          <w:b/>
          <w:sz w:val="28"/>
        </w:rPr>
      </w:pPr>
    </w:p>
    <w:p>
      <w:pPr>
        <w:pStyle w:val="ListParagraph"/>
        <w:numPr>
          <w:ilvl w:val="0"/>
          <w:numId w:val="53"/>
        </w:numPr>
        <w:tabs>
          <w:tab w:pos="1282" w:val="left" w:leader="none"/>
        </w:tabs>
        <w:spacing w:line="276" w:lineRule="auto" w:before="0" w:after="0"/>
        <w:ind w:left="1282" w:right="1700" w:hanging="360"/>
        <w:jc w:val="both"/>
        <w:rPr>
          <w:rFonts w:ascii="Symbol" w:hAnsi="Symbol"/>
          <w:sz w:val="22"/>
        </w:rPr>
      </w:pPr>
      <w:r>
        <w:rPr>
          <w:sz w:val="22"/>
        </w:rPr>
        <w:t>Para la meta que refiere a cobertura forestal del territorio nacional será preciso el pago oportuno de los incentivos forestales a todos los beneficiarios de los programas, porque esa inyección de efectivo, será fundamental para la reactivación de la economía local y además permitirá que los productores forestales beneficiarios, mantengan e incrementen la credibilidad en esos programas. En ese contexto, será preciso contar con los fondos requeridos tanto para PROBOSQUE como para</w:t>
      </w:r>
      <w:r>
        <w:rPr>
          <w:spacing w:val="-4"/>
          <w:sz w:val="22"/>
        </w:rPr>
        <w:t> </w:t>
      </w:r>
      <w:r>
        <w:rPr>
          <w:sz w:val="22"/>
        </w:rPr>
        <w:t>PINPEP.</w:t>
      </w:r>
    </w:p>
    <w:p>
      <w:pPr>
        <w:pStyle w:val="ListParagraph"/>
        <w:numPr>
          <w:ilvl w:val="0"/>
          <w:numId w:val="53"/>
        </w:numPr>
        <w:tabs>
          <w:tab w:pos="1282" w:val="left" w:leader="none"/>
        </w:tabs>
        <w:spacing w:line="276" w:lineRule="auto" w:before="0" w:after="0"/>
        <w:ind w:left="1282" w:right="1697" w:hanging="360"/>
        <w:jc w:val="both"/>
        <w:rPr>
          <w:rFonts w:ascii="Symbol" w:hAnsi="Symbol"/>
          <w:sz w:val="22"/>
        </w:rPr>
      </w:pPr>
      <w:r>
        <w:rPr>
          <w:sz w:val="22"/>
        </w:rPr>
        <w:t>Respecto a las metas que refieren a los Ministerios con programa de E-goverment, implementación de la descentralización, implementación del Sistema Nacional de Planificación,</w:t>
      </w:r>
      <w:r>
        <w:rPr>
          <w:spacing w:val="-18"/>
          <w:sz w:val="22"/>
        </w:rPr>
        <w:t> </w:t>
      </w:r>
      <w:r>
        <w:rPr>
          <w:sz w:val="22"/>
        </w:rPr>
        <w:t>implementación</w:t>
      </w:r>
      <w:r>
        <w:rPr>
          <w:spacing w:val="-15"/>
          <w:sz w:val="22"/>
        </w:rPr>
        <w:t> </w:t>
      </w:r>
      <w:r>
        <w:rPr>
          <w:sz w:val="22"/>
        </w:rPr>
        <w:t>de</w:t>
      </w:r>
      <w:r>
        <w:rPr>
          <w:spacing w:val="-15"/>
          <w:sz w:val="22"/>
        </w:rPr>
        <w:t> </w:t>
      </w:r>
      <w:r>
        <w:rPr>
          <w:sz w:val="22"/>
        </w:rPr>
        <w:t>Planes</w:t>
      </w:r>
      <w:r>
        <w:rPr>
          <w:spacing w:val="-15"/>
          <w:sz w:val="22"/>
        </w:rPr>
        <w:t> </w:t>
      </w:r>
      <w:r>
        <w:rPr>
          <w:sz w:val="22"/>
        </w:rPr>
        <w:t>de</w:t>
      </w:r>
      <w:r>
        <w:rPr>
          <w:spacing w:val="-15"/>
          <w:sz w:val="22"/>
        </w:rPr>
        <w:t> </w:t>
      </w:r>
      <w:r>
        <w:rPr>
          <w:sz w:val="22"/>
        </w:rPr>
        <w:t>Desarrollo</w:t>
      </w:r>
      <w:r>
        <w:rPr>
          <w:spacing w:val="-18"/>
          <w:sz w:val="22"/>
        </w:rPr>
        <w:t> </w:t>
      </w:r>
      <w:r>
        <w:rPr>
          <w:sz w:val="22"/>
        </w:rPr>
        <w:t>Municipal</w:t>
      </w:r>
      <w:r>
        <w:rPr>
          <w:spacing w:val="-14"/>
          <w:sz w:val="22"/>
        </w:rPr>
        <w:t> </w:t>
      </w:r>
      <w:r>
        <w:rPr>
          <w:sz w:val="22"/>
        </w:rPr>
        <w:t>y</w:t>
      </w:r>
      <w:r>
        <w:rPr>
          <w:spacing w:val="-17"/>
          <w:sz w:val="22"/>
        </w:rPr>
        <w:t> </w:t>
      </w:r>
      <w:r>
        <w:rPr>
          <w:sz w:val="22"/>
        </w:rPr>
        <w:t>Ordenamiento</w:t>
      </w:r>
      <w:r>
        <w:rPr>
          <w:spacing w:val="-18"/>
          <w:sz w:val="22"/>
        </w:rPr>
        <w:t> </w:t>
      </w:r>
      <w:r>
        <w:rPr>
          <w:sz w:val="22"/>
        </w:rPr>
        <w:t>Territorial y las iniciativas de Ley presentadas al Congreso de la República; será preciso mantener el resultado positivo en los próximos</w:t>
      </w:r>
      <w:r>
        <w:rPr>
          <w:spacing w:val="-5"/>
          <w:sz w:val="22"/>
        </w:rPr>
        <w:t> </w:t>
      </w:r>
      <w:r>
        <w:rPr>
          <w:sz w:val="22"/>
        </w:rPr>
        <w:t>años.</w:t>
      </w:r>
    </w:p>
    <w:p>
      <w:pPr>
        <w:pStyle w:val="BodyText"/>
        <w:spacing w:before="4"/>
        <w:rPr>
          <w:sz w:val="25"/>
        </w:rPr>
      </w:pPr>
    </w:p>
    <w:p>
      <w:pPr>
        <w:pStyle w:val="Heading3"/>
        <w:ind w:left="562"/>
      </w:pPr>
      <w:r>
        <w:rPr/>
        <w:t>Pilar 5: Relaciones con el mundo</w:t>
      </w:r>
    </w:p>
    <w:p>
      <w:pPr>
        <w:pStyle w:val="BodyText"/>
        <w:spacing w:before="2"/>
        <w:rPr>
          <w:b/>
          <w:sz w:val="28"/>
        </w:rPr>
      </w:pPr>
    </w:p>
    <w:p>
      <w:pPr>
        <w:pStyle w:val="ListParagraph"/>
        <w:numPr>
          <w:ilvl w:val="0"/>
          <w:numId w:val="53"/>
        </w:numPr>
        <w:tabs>
          <w:tab w:pos="1282" w:val="left" w:leader="none"/>
        </w:tabs>
        <w:spacing w:line="273" w:lineRule="auto" w:before="0" w:after="0"/>
        <w:ind w:left="1282" w:right="1696" w:hanging="360"/>
        <w:jc w:val="both"/>
        <w:rPr>
          <w:rFonts w:ascii="Symbol" w:hAnsi="Symbol"/>
          <w:sz w:val="22"/>
        </w:rPr>
      </w:pPr>
      <w:r>
        <w:rPr>
          <w:sz w:val="22"/>
        </w:rPr>
        <w:t>Priorizar</w:t>
      </w:r>
      <w:r>
        <w:rPr>
          <w:spacing w:val="-9"/>
          <w:sz w:val="22"/>
        </w:rPr>
        <w:t> </w:t>
      </w:r>
      <w:r>
        <w:rPr>
          <w:sz w:val="22"/>
        </w:rPr>
        <w:t>las</w:t>
      </w:r>
      <w:r>
        <w:rPr>
          <w:spacing w:val="-9"/>
          <w:sz w:val="22"/>
        </w:rPr>
        <w:t> </w:t>
      </w:r>
      <w:r>
        <w:rPr>
          <w:sz w:val="22"/>
        </w:rPr>
        <w:t>acciones</w:t>
      </w:r>
      <w:r>
        <w:rPr>
          <w:spacing w:val="-7"/>
          <w:sz w:val="22"/>
        </w:rPr>
        <w:t> </w:t>
      </w:r>
      <w:r>
        <w:rPr>
          <w:sz w:val="22"/>
        </w:rPr>
        <w:t>que</w:t>
      </w:r>
      <w:r>
        <w:rPr>
          <w:spacing w:val="-7"/>
          <w:sz w:val="22"/>
        </w:rPr>
        <w:t> </w:t>
      </w:r>
      <w:r>
        <w:rPr>
          <w:sz w:val="22"/>
        </w:rPr>
        <w:t>permitan</w:t>
      </w:r>
      <w:r>
        <w:rPr>
          <w:spacing w:val="-8"/>
          <w:sz w:val="22"/>
        </w:rPr>
        <w:t> </w:t>
      </w:r>
      <w:r>
        <w:rPr>
          <w:sz w:val="22"/>
        </w:rPr>
        <w:t>que</w:t>
      </w:r>
      <w:r>
        <w:rPr>
          <w:spacing w:val="-7"/>
          <w:sz w:val="22"/>
        </w:rPr>
        <w:t> </w:t>
      </w:r>
      <w:r>
        <w:rPr>
          <w:sz w:val="22"/>
        </w:rPr>
        <w:t>la</w:t>
      </w:r>
      <w:r>
        <w:rPr>
          <w:spacing w:val="-8"/>
          <w:sz w:val="22"/>
        </w:rPr>
        <w:t> </w:t>
      </w:r>
      <w:r>
        <w:rPr>
          <w:sz w:val="22"/>
        </w:rPr>
        <w:t>Política</w:t>
      </w:r>
      <w:r>
        <w:rPr>
          <w:spacing w:val="-8"/>
          <w:sz w:val="22"/>
        </w:rPr>
        <w:t> </w:t>
      </w:r>
      <w:r>
        <w:rPr>
          <w:sz w:val="22"/>
        </w:rPr>
        <w:t>Migratoria</w:t>
      </w:r>
      <w:r>
        <w:rPr>
          <w:spacing w:val="-7"/>
          <w:sz w:val="22"/>
        </w:rPr>
        <w:t> </w:t>
      </w:r>
      <w:r>
        <w:rPr>
          <w:sz w:val="22"/>
        </w:rPr>
        <w:t>finalice</w:t>
      </w:r>
      <w:r>
        <w:rPr>
          <w:spacing w:val="-6"/>
          <w:sz w:val="22"/>
        </w:rPr>
        <w:t> </w:t>
      </w:r>
      <w:r>
        <w:rPr>
          <w:sz w:val="22"/>
        </w:rPr>
        <w:t>los</w:t>
      </w:r>
      <w:r>
        <w:rPr>
          <w:spacing w:val="-6"/>
          <w:sz w:val="22"/>
        </w:rPr>
        <w:t> </w:t>
      </w:r>
      <w:r>
        <w:rPr>
          <w:sz w:val="22"/>
        </w:rPr>
        <w:t>ejercicios</w:t>
      </w:r>
      <w:r>
        <w:rPr>
          <w:spacing w:val="-8"/>
          <w:sz w:val="22"/>
        </w:rPr>
        <w:t> </w:t>
      </w:r>
      <w:r>
        <w:rPr>
          <w:sz w:val="22"/>
        </w:rPr>
        <w:t>que</w:t>
      </w:r>
      <w:r>
        <w:rPr>
          <w:spacing w:val="-9"/>
          <w:sz w:val="22"/>
        </w:rPr>
        <w:t> </w:t>
      </w:r>
      <w:r>
        <w:rPr>
          <w:sz w:val="22"/>
        </w:rPr>
        <w:t>tiene pendiente, de tal manera que la misma pueda quedar definida al</w:t>
      </w:r>
      <w:r>
        <w:rPr>
          <w:spacing w:val="-5"/>
          <w:sz w:val="22"/>
        </w:rPr>
        <w:t> </w:t>
      </w:r>
      <w:r>
        <w:rPr>
          <w:sz w:val="22"/>
        </w:rPr>
        <w:t>2023.</w:t>
      </w:r>
    </w:p>
    <w:p>
      <w:pPr>
        <w:pStyle w:val="ListParagraph"/>
        <w:numPr>
          <w:ilvl w:val="0"/>
          <w:numId w:val="53"/>
        </w:numPr>
        <w:tabs>
          <w:tab w:pos="1282" w:val="left" w:leader="none"/>
        </w:tabs>
        <w:spacing w:line="273" w:lineRule="auto" w:before="2" w:after="0"/>
        <w:ind w:left="1282" w:right="1704" w:hanging="360"/>
        <w:jc w:val="both"/>
        <w:rPr>
          <w:rFonts w:ascii="Symbol" w:hAnsi="Symbol"/>
          <w:sz w:val="22"/>
        </w:rPr>
      </w:pPr>
      <w:r>
        <w:rPr>
          <w:sz w:val="22"/>
        </w:rPr>
        <w:t>Respecto al aumento de consulados guatemaltecos, será precioso procurar los recursos financieros que requiere su</w:t>
      </w:r>
      <w:r>
        <w:rPr>
          <w:spacing w:val="-7"/>
          <w:sz w:val="22"/>
        </w:rPr>
        <w:t> </w:t>
      </w:r>
      <w:r>
        <w:rPr>
          <w:sz w:val="22"/>
        </w:rPr>
        <w:t>implementación.</w:t>
      </w:r>
    </w:p>
    <w:p>
      <w:pPr>
        <w:pStyle w:val="BodyText"/>
        <w:spacing w:line="276" w:lineRule="auto" w:before="3"/>
        <w:ind w:left="562" w:right="1697"/>
        <w:jc w:val="both"/>
      </w:pPr>
      <w:r>
        <w:rPr/>
        <w:t>De</w:t>
      </w:r>
      <w:r>
        <w:rPr>
          <w:spacing w:val="-4"/>
        </w:rPr>
        <w:t> </w:t>
      </w:r>
      <w:r>
        <w:rPr/>
        <w:t>la</w:t>
      </w:r>
      <w:r>
        <w:rPr>
          <w:spacing w:val="-3"/>
        </w:rPr>
        <w:t> </w:t>
      </w:r>
      <w:r>
        <w:rPr/>
        <w:t>meta</w:t>
      </w:r>
      <w:r>
        <w:rPr>
          <w:spacing w:val="-3"/>
        </w:rPr>
        <w:t> </w:t>
      </w:r>
      <w:r>
        <w:rPr/>
        <w:t>que</w:t>
      </w:r>
      <w:r>
        <w:rPr>
          <w:spacing w:val="-3"/>
        </w:rPr>
        <w:t> </w:t>
      </w:r>
      <w:r>
        <w:rPr/>
        <w:t>se</w:t>
      </w:r>
      <w:r>
        <w:rPr>
          <w:spacing w:val="-3"/>
        </w:rPr>
        <w:t> </w:t>
      </w:r>
      <w:r>
        <w:rPr/>
        <w:t>refiere</w:t>
      </w:r>
      <w:r>
        <w:rPr>
          <w:spacing w:val="-3"/>
        </w:rPr>
        <w:t> </w:t>
      </w:r>
      <w:r>
        <w:rPr/>
        <w:t>a</w:t>
      </w:r>
      <w:r>
        <w:rPr>
          <w:spacing w:val="-3"/>
        </w:rPr>
        <w:t> </w:t>
      </w:r>
      <w:r>
        <w:rPr/>
        <w:t>la</w:t>
      </w:r>
      <w:r>
        <w:rPr>
          <w:spacing w:val="-3"/>
        </w:rPr>
        <w:t> </w:t>
      </w:r>
      <w:r>
        <w:rPr/>
        <w:t>mejora</w:t>
      </w:r>
      <w:r>
        <w:rPr>
          <w:spacing w:val="-3"/>
        </w:rPr>
        <w:t> </w:t>
      </w:r>
      <w:r>
        <w:rPr/>
        <w:t>de</w:t>
      </w:r>
      <w:r>
        <w:rPr>
          <w:spacing w:val="-3"/>
        </w:rPr>
        <w:t> </w:t>
      </w:r>
      <w:r>
        <w:rPr/>
        <w:t>la</w:t>
      </w:r>
      <w:r>
        <w:rPr>
          <w:spacing w:val="-3"/>
        </w:rPr>
        <w:t> </w:t>
      </w:r>
      <w:r>
        <w:rPr/>
        <w:t>calificación</w:t>
      </w:r>
      <w:r>
        <w:rPr>
          <w:spacing w:val="-6"/>
        </w:rPr>
        <w:t> </w:t>
      </w:r>
      <w:r>
        <w:rPr/>
        <w:t>del</w:t>
      </w:r>
      <w:r>
        <w:rPr>
          <w:spacing w:val="-3"/>
        </w:rPr>
        <w:t> </w:t>
      </w:r>
      <w:r>
        <w:rPr/>
        <w:t>índice</w:t>
      </w:r>
      <w:r>
        <w:rPr>
          <w:spacing w:val="-3"/>
        </w:rPr>
        <w:t> </w:t>
      </w:r>
      <w:r>
        <w:rPr/>
        <w:t>de</w:t>
      </w:r>
      <w:r>
        <w:rPr>
          <w:spacing w:val="-3"/>
        </w:rPr>
        <w:t> </w:t>
      </w:r>
      <w:r>
        <w:rPr/>
        <w:t>competitividad</w:t>
      </w:r>
      <w:r>
        <w:rPr>
          <w:spacing w:val="-4"/>
        </w:rPr>
        <w:t> </w:t>
      </w:r>
      <w:r>
        <w:rPr/>
        <w:t>turística,</w:t>
      </w:r>
      <w:r>
        <w:rPr>
          <w:spacing w:val="-3"/>
        </w:rPr>
        <w:t> </w:t>
      </w:r>
      <w:r>
        <w:rPr/>
        <w:t>se</w:t>
      </w:r>
      <w:r>
        <w:rPr>
          <w:spacing w:val="-3"/>
        </w:rPr>
        <w:t> </w:t>
      </w:r>
      <w:r>
        <w:rPr/>
        <w:t>debe reactivar la Mesa Multisectorial de Turismo Sostenible con las entidades responsables del turismo y aliados estratégicos. Asimismo, será importante coordinar acciones con FUNDESA, quien es la entidad facilitadora de levantar información del sector empresarial ante el Foro Económico Mundial sobre el índice de competitividad</w:t>
      </w:r>
      <w:r>
        <w:rPr>
          <w:spacing w:val="-7"/>
        </w:rPr>
        <w:t> </w:t>
      </w:r>
      <w:r>
        <w:rPr/>
        <w:t>turística.</w:t>
      </w:r>
    </w:p>
    <w:p>
      <w:pPr>
        <w:spacing w:after="0" w:line="276" w:lineRule="auto"/>
        <w:jc w:val="both"/>
        <w:sectPr>
          <w:pgSz w:w="12240" w:h="15840"/>
          <w:pgMar w:header="715" w:footer="688" w:top="1240" w:bottom="880" w:left="11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spacing w:before="79"/>
        <w:ind w:left="1395" w:right="2529" w:firstLine="0"/>
        <w:jc w:val="center"/>
        <w:rPr>
          <w:b/>
          <w:sz w:val="52"/>
        </w:rPr>
      </w:pPr>
      <w:bookmarkStart w:name="_TOC_250000" w:id="306"/>
      <w:bookmarkEnd w:id="306"/>
      <w:r>
        <w:rPr>
          <w:b/>
          <w:sz w:val="52"/>
        </w:rPr>
        <w:t>Anexos</w:t>
      </w:r>
    </w:p>
    <w:p>
      <w:pPr>
        <w:spacing w:after="0"/>
        <w:jc w:val="center"/>
        <w:rPr>
          <w:sz w:val="52"/>
        </w:rPr>
        <w:sectPr>
          <w:pgSz w:w="12240" w:h="15840"/>
          <w:pgMar w:header="715" w:footer="688" w:top="1240" w:bottom="880" w:left="1140" w:right="0"/>
        </w:sectPr>
      </w:pPr>
    </w:p>
    <w:p>
      <w:pPr>
        <w:pStyle w:val="Heading2"/>
        <w:numPr>
          <w:ilvl w:val="0"/>
          <w:numId w:val="54"/>
        </w:numPr>
        <w:tabs>
          <w:tab w:pos="1282" w:val="left" w:leader="none"/>
        </w:tabs>
        <w:spacing w:line="240" w:lineRule="auto" w:before="167" w:after="0"/>
        <w:ind w:left="1282" w:right="0" w:hanging="361"/>
        <w:jc w:val="left"/>
      </w:pPr>
      <w:r>
        <w:rPr/>
        <w:t>Estadísticas de las finanzas conforme a los estándares</w:t>
      </w:r>
      <w:r>
        <w:rPr>
          <w:spacing w:val="-6"/>
        </w:rPr>
        <w:t> </w:t>
      </w:r>
      <w:r>
        <w:rPr/>
        <w:t>internacionales</w:t>
      </w:r>
    </w:p>
    <w:p>
      <w:pPr>
        <w:pStyle w:val="BodyText"/>
        <w:spacing w:before="8"/>
        <w:rPr>
          <w:b/>
          <w:sz w:val="30"/>
        </w:rPr>
      </w:pPr>
    </w:p>
    <w:p>
      <w:pPr>
        <w:pStyle w:val="BodyText"/>
        <w:spacing w:line="276" w:lineRule="auto"/>
        <w:ind w:left="562" w:right="1693"/>
        <w:jc w:val="both"/>
      </w:pPr>
      <w:r>
        <w:rPr/>
        <w:t>Guatemala paulatinamente ha estado en un proceso para implementar las normas internacionales de complicaión</w:t>
      </w:r>
      <w:r>
        <w:rPr>
          <w:spacing w:val="-3"/>
        </w:rPr>
        <w:t> </w:t>
      </w:r>
      <w:r>
        <w:rPr/>
        <w:t>y</w:t>
      </w:r>
      <w:r>
        <w:rPr>
          <w:spacing w:val="-4"/>
        </w:rPr>
        <w:t> </w:t>
      </w:r>
      <w:r>
        <w:rPr/>
        <w:t>presentación</w:t>
      </w:r>
      <w:r>
        <w:rPr>
          <w:spacing w:val="-5"/>
        </w:rPr>
        <w:t> </w:t>
      </w:r>
      <w:r>
        <w:rPr/>
        <w:t>de</w:t>
      </w:r>
      <w:r>
        <w:rPr>
          <w:spacing w:val="-4"/>
        </w:rPr>
        <w:t> </w:t>
      </w:r>
      <w:r>
        <w:rPr/>
        <w:t>las</w:t>
      </w:r>
      <w:r>
        <w:rPr>
          <w:spacing w:val="-2"/>
        </w:rPr>
        <w:t> </w:t>
      </w:r>
      <w:r>
        <w:rPr/>
        <w:t>Estadísticas</w:t>
      </w:r>
      <w:r>
        <w:rPr>
          <w:spacing w:val="-4"/>
        </w:rPr>
        <w:t> </w:t>
      </w:r>
      <w:r>
        <w:rPr/>
        <w:t>de</w:t>
      </w:r>
      <w:r>
        <w:rPr>
          <w:spacing w:val="-4"/>
        </w:rPr>
        <w:t> </w:t>
      </w:r>
      <w:r>
        <w:rPr/>
        <w:t>Finanzas</w:t>
      </w:r>
      <w:r>
        <w:rPr>
          <w:spacing w:val="-2"/>
        </w:rPr>
        <w:t> </w:t>
      </w:r>
      <w:r>
        <w:rPr/>
        <w:t>Públicas</w:t>
      </w:r>
      <w:r>
        <w:rPr>
          <w:spacing w:val="-1"/>
        </w:rPr>
        <w:t> </w:t>
      </w:r>
      <w:r>
        <w:rPr/>
        <w:t>-EFP-</w:t>
      </w:r>
      <w:r>
        <w:rPr>
          <w:spacing w:val="-5"/>
        </w:rPr>
        <w:t> </w:t>
      </w:r>
      <w:r>
        <w:rPr/>
        <w:t>la</w:t>
      </w:r>
      <w:r>
        <w:rPr>
          <w:spacing w:val="-3"/>
        </w:rPr>
        <w:t> </w:t>
      </w:r>
      <w:r>
        <w:rPr/>
        <w:t>cuales</w:t>
      </w:r>
      <w:r>
        <w:rPr>
          <w:spacing w:val="-3"/>
        </w:rPr>
        <w:t> </w:t>
      </w:r>
      <w:r>
        <w:rPr/>
        <w:t>son</w:t>
      </w:r>
      <w:r>
        <w:rPr>
          <w:spacing w:val="-4"/>
        </w:rPr>
        <w:t> </w:t>
      </w:r>
      <w:r>
        <w:rPr/>
        <w:t>establecidas por el Fondo Monetario Internacional -FMI- en su Manual de Estadísticas de las Finanzas Públicas - MEFP- y su ultima versión de</w:t>
      </w:r>
      <w:r>
        <w:rPr>
          <w:spacing w:val="-9"/>
        </w:rPr>
        <w:t> </w:t>
      </w:r>
      <w:r>
        <w:rPr/>
        <w:t>2014.</w:t>
      </w:r>
    </w:p>
    <w:p>
      <w:pPr>
        <w:pStyle w:val="BodyText"/>
        <w:spacing w:before="3"/>
        <w:rPr>
          <w:sz w:val="25"/>
        </w:rPr>
      </w:pPr>
    </w:p>
    <w:p>
      <w:pPr>
        <w:pStyle w:val="BodyText"/>
        <w:spacing w:line="276" w:lineRule="auto"/>
        <w:ind w:left="562" w:right="1697"/>
        <w:jc w:val="both"/>
      </w:pPr>
      <w:r>
        <w:rPr/>
        <w:t>Las EFP denominadas como metodologia nacional, hace referencia a las cifras que han sido presentadas historicamente y estas siguien los lineamientos del Manual de Clasificaciones Presupuestarias para el Sector Público, sin embargo, estas directricas tienen una mayor semejanza con la versión original de 1986 del MEFP que con respecto al de 2014, por lo tanto, existen difierencias conceptuales entre la información que se presenta en este anexo y la información que se presenta en el resto del documento, asi mismo estas diferencias se explicaran en el presente anexo.</w:t>
      </w:r>
    </w:p>
    <w:p>
      <w:pPr>
        <w:pStyle w:val="BodyText"/>
        <w:spacing w:before="5"/>
        <w:rPr>
          <w:sz w:val="25"/>
        </w:rPr>
      </w:pPr>
    </w:p>
    <w:p>
      <w:pPr>
        <w:pStyle w:val="BodyText"/>
        <w:spacing w:line="276" w:lineRule="auto"/>
        <w:ind w:left="562" w:right="1698"/>
        <w:jc w:val="both"/>
      </w:pPr>
      <w:r>
        <w:rPr/>
        <w:t>Una de las diferencias mas importantes a resaltar es que las estadísticas en metodología del 2014 permiten tener una mejor integración de las cifras EFP con las demás cuentas macroeconómicas, elaboradas bajo los principios de devengo, específicamente, las estadísticas de balanza de pagos y posición de inversión internacional, las estadísticas monetarias y financieras, y el sistema de cuentas nacionales de Naciones Unidas; Además de permitir la posibilidad de hacer una comparación de las estadísticas nacionales con otros países.</w:t>
      </w:r>
    </w:p>
    <w:p>
      <w:pPr>
        <w:pStyle w:val="BodyText"/>
        <w:spacing w:before="2"/>
        <w:rPr>
          <w:sz w:val="25"/>
        </w:rPr>
      </w:pPr>
    </w:p>
    <w:p>
      <w:pPr>
        <w:pStyle w:val="BodyText"/>
        <w:spacing w:line="276" w:lineRule="auto" w:before="1"/>
        <w:ind w:left="562" w:right="1697"/>
        <w:jc w:val="both"/>
      </w:pPr>
      <w:r>
        <w:rPr/>
        <w:t>Otro aspecto importante para mencionar es que las cifras que se muestran a continuación corresponden a lo que se denomina en el estándar internacional como Gobierno Central Presupuestario y Gobierno General. En el caso del primero, se incluyen a toda unidad de gobierno que dependan principalmente de un presupuesto principal o general, que en el caso de Guatemala se entendería a las entidades que están incluidas en el Presupuesto General de Ingresos y Egresos del Estado (en este caso son la Presidencia de la República, Ministerios de Estado, Secretarías y Otras Dependencias del Ejecutivo e incluyendo a la Procuraduría General de la Nación) mientras que para Gobierno General se adiciona a las entidad que conforman el Gobierno Central Extrapresupuestario (entidades descentralizadas y autónomas), los Gobierno Locales (municipalidades y mancomunidades)</w:t>
      </w:r>
      <w:r>
        <w:rPr>
          <w:spacing w:val="-5"/>
        </w:rPr>
        <w:t> </w:t>
      </w:r>
      <w:r>
        <w:rPr/>
        <w:t>y</w:t>
      </w:r>
      <w:r>
        <w:rPr>
          <w:spacing w:val="-8"/>
        </w:rPr>
        <w:t> </w:t>
      </w:r>
      <w:r>
        <w:rPr/>
        <w:t>los</w:t>
      </w:r>
      <w:r>
        <w:rPr>
          <w:spacing w:val="-5"/>
        </w:rPr>
        <w:t> </w:t>
      </w:r>
      <w:r>
        <w:rPr/>
        <w:t>Fondos</w:t>
      </w:r>
      <w:r>
        <w:rPr>
          <w:spacing w:val="-4"/>
        </w:rPr>
        <w:t> </w:t>
      </w:r>
      <w:r>
        <w:rPr/>
        <w:t>de</w:t>
      </w:r>
      <w:r>
        <w:rPr>
          <w:spacing w:val="-5"/>
        </w:rPr>
        <w:t> </w:t>
      </w:r>
      <w:r>
        <w:rPr/>
        <w:t>Seguridad</w:t>
      </w:r>
      <w:r>
        <w:rPr>
          <w:spacing w:val="-5"/>
        </w:rPr>
        <w:t> </w:t>
      </w:r>
      <w:r>
        <w:rPr/>
        <w:t>Social</w:t>
      </w:r>
      <w:r>
        <w:rPr>
          <w:spacing w:val="-6"/>
        </w:rPr>
        <w:t> </w:t>
      </w:r>
      <w:r>
        <w:rPr/>
        <w:t>(incluye</w:t>
      </w:r>
      <w:r>
        <w:rPr>
          <w:spacing w:val="-5"/>
        </w:rPr>
        <w:t> </w:t>
      </w:r>
      <w:r>
        <w:rPr/>
        <w:t>el</w:t>
      </w:r>
      <w:r>
        <w:rPr>
          <w:spacing w:val="-5"/>
        </w:rPr>
        <w:t> </w:t>
      </w:r>
      <w:r>
        <w:rPr/>
        <w:t>Instituto</w:t>
      </w:r>
      <w:r>
        <w:rPr>
          <w:spacing w:val="-7"/>
        </w:rPr>
        <w:t> </w:t>
      </w:r>
      <w:r>
        <w:rPr/>
        <w:t>Guatemalteco</w:t>
      </w:r>
      <w:r>
        <w:rPr>
          <w:spacing w:val="-5"/>
        </w:rPr>
        <w:t> </w:t>
      </w:r>
      <w:r>
        <w:rPr/>
        <w:t>de</w:t>
      </w:r>
      <w:r>
        <w:rPr>
          <w:spacing w:val="-5"/>
        </w:rPr>
        <w:t> </w:t>
      </w:r>
      <w:r>
        <w:rPr/>
        <w:t>Seguridad Social,</w:t>
      </w:r>
      <w:r>
        <w:rPr>
          <w:spacing w:val="-14"/>
        </w:rPr>
        <w:t> </w:t>
      </w:r>
      <w:r>
        <w:rPr/>
        <w:t>Institución</w:t>
      </w:r>
      <w:r>
        <w:rPr>
          <w:spacing w:val="-14"/>
        </w:rPr>
        <w:t> </w:t>
      </w:r>
      <w:r>
        <w:rPr/>
        <w:t>de</w:t>
      </w:r>
      <w:r>
        <w:rPr>
          <w:spacing w:val="-14"/>
        </w:rPr>
        <w:t> </w:t>
      </w:r>
      <w:r>
        <w:rPr/>
        <w:t>Previsión</w:t>
      </w:r>
      <w:r>
        <w:rPr>
          <w:spacing w:val="-14"/>
        </w:rPr>
        <w:t> </w:t>
      </w:r>
      <w:r>
        <w:rPr/>
        <w:t>Militar</w:t>
      </w:r>
      <w:r>
        <w:rPr>
          <w:spacing w:val="-12"/>
        </w:rPr>
        <w:t> </w:t>
      </w:r>
      <w:r>
        <w:rPr/>
        <w:t>y</w:t>
      </w:r>
      <w:r>
        <w:rPr>
          <w:spacing w:val="-17"/>
        </w:rPr>
        <w:t> </w:t>
      </w:r>
      <w:r>
        <w:rPr/>
        <w:t>el</w:t>
      </w:r>
      <w:r>
        <w:rPr>
          <w:spacing w:val="-13"/>
        </w:rPr>
        <w:t> </w:t>
      </w:r>
      <w:r>
        <w:rPr/>
        <w:t>Plan</w:t>
      </w:r>
      <w:r>
        <w:rPr>
          <w:spacing w:val="-14"/>
        </w:rPr>
        <w:t> </w:t>
      </w:r>
      <w:r>
        <w:rPr/>
        <w:t>de</w:t>
      </w:r>
      <w:r>
        <w:rPr>
          <w:spacing w:val="-13"/>
        </w:rPr>
        <w:t> </w:t>
      </w:r>
      <w:r>
        <w:rPr/>
        <w:t>Prestaciones</w:t>
      </w:r>
      <w:r>
        <w:rPr>
          <w:spacing w:val="-14"/>
        </w:rPr>
        <w:t> </w:t>
      </w:r>
      <w:r>
        <w:rPr/>
        <w:t>del</w:t>
      </w:r>
      <w:r>
        <w:rPr>
          <w:spacing w:val="-13"/>
        </w:rPr>
        <w:t> </w:t>
      </w:r>
      <w:r>
        <w:rPr/>
        <w:t>Empleado</w:t>
      </w:r>
      <w:r>
        <w:rPr>
          <w:spacing w:val="-17"/>
        </w:rPr>
        <w:t> </w:t>
      </w:r>
      <w:r>
        <w:rPr/>
        <w:t>Municipal)</w:t>
      </w:r>
      <w:r>
        <w:rPr>
          <w:spacing w:val="-13"/>
        </w:rPr>
        <w:t> </w:t>
      </w:r>
      <w:r>
        <w:rPr/>
        <w:t>y</w:t>
      </w:r>
      <w:r>
        <w:rPr>
          <w:spacing w:val="-17"/>
        </w:rPr>
        <w:t> </w:t>
      </w:r>
      <w:r>
        <w:rPr/>
        <w:t>sus</w:t>
      </w:r>
      <w:r>
        <w:rPr>
          <w:spacing w:val="-13"/>
        </w:rPr>
        <w:t> </w:t>
      </w:r>
      <w:r>
        <w:rPr/>
        <w:t>cifras se presenta, consolidadas, es decir, eliminando las transacciones recíprocas entre las unidades institucionales que la conforman a este</w:t>
      </w:r>
      <w:r>
        <w:rPr>
          <w:spacing w:val="-5"/>
        </w:rPr>
        <w:t> </w:t>
      </w:r>
      <w:r>
        <w:rPr/>
        <w:t>subsector.</w:t>
      </w:r>
    </w:p>
    <w:p>
      <w:pPr>
        <w:pStyle w:val="BodyText"/>
        <w:spacing w:line="276" w:lineRule="auto" w:before="120"/>
        <w:ind w:left="562" w:right="1701"/>
        <w:jc w:val="both"/>
      </w:pPr>
      <w:r>
        <w:rPr/>
        <w:t>Por último, se debe de enfateizar que la metodología 2014 aun se encuentra en un proceso de desarrollo y perfeccionamiento, por lo cual, conforme el mismo continue avanzando se estará mejorando la informción asi como ampliando la cobertura de las mismas, es decir, incluir otras entidades que pertenecen al Sector Público.</w:t>
      </w:r>
    </w:p>
    <w:p>
      <w:pPr>
        <w:pStyle w:val="BodyText"/>
        <w:spacing w:before="1"/>
        <w:rPr>
          <w:sz w:val="28"/>
        </w:rPr>
      </w:pPr>
    </w:p>
    <w:p>
      <w:pPr>
        <w:pStyle w:val="Heading3"/>
        <w:numPr>
          <w:ilvl w:val="1"/>
          <w:numId w:val="54"/>
        </w:numPr>
        <w:tabs>
          <w:tab w:pos="1282" w:val="left" w:leader="none"/>
        </w:tabs>
        <w:spacing w:line="240" w:lineRule="auto" w:before="0" w:after="0"/>
        <w:ind w:left="1282" w:right="0" w:hanging="361"/>
        <w:jc w:val="left"/>
      </w:pPr>
      <w:bookmarkStart w:name="_bookmark235" w:id="307"/>
      <w:bookmarkEnd w:id="307"/>
      <w:r>
        <w:rPr>
          <w:b w:val="0"/>
        </w:rPr>
      </w:r>
      <w:bookmarkStart w:name="_bookmark235" w:id="308"/>
      <w:bookmarkEnd w:id="308"/>
      <w:r>
        <w:rPr/>
        <w:t>L</w:t>
      </w:r>
      <w:r>
        <w:rPr/>
        <w:t>os Ingresos del Gobierno Central</w:t>
      </w:r>
      <w:r>
        <w:rPr>
          <w:spacing w:val="-2"/>
        </w:rPr>
        <w:t> </w:t>
      </w:r>
      <w:r>
        <w:rPr/>
        <w:t>Presupuestario</w:t>
      </w:r>
    </w:p>
    <w:p>
      <w:pPr>
        <w:pStyle w:val="BodyText"/>
        <w:spacing w:before="3"/>
        <w:rPr>
          <w:b/>
          <w:sz w:val="28"/>
        </w:rPr>
      </w:pPr>
    </w:p>
    <w:p>
      <w:pPr>
        <w:pStyle w:val="BodyText"/>
        <w:spacing w:line="276" w:lineRule="auto"/>
        <w:ind w:left="562" w:right="1698"/>
        <w:jc w:val="both"/>
      </w:pPr>
      <w:r>
        <w:rPr/>
        <w:t>En los estándares internacionales existe una diferencia sobre la definición de qué es un ingreso, entendiéndose</w:t>
      </w:r>
      <w:r>
        <w:rPr>
          <w:spacing w:val="-4"/>
        </w:rPr>
        <w:t> </w:t>
      </w:r>
      <w:r>
        <w:rPr/>
        <w:t>a</w:t>
      </w:r>
      <w:r>
        <w:rPr>
          <w:spacing w:val="-3"/>
        </w:rPr>
        <w:t> </w:t>
      </w:r>
      <w:r>
        <w:rPr/>
        <w:t>estos</w:t>
      </w:r>
      <w:r>
        <w:rPr>
          <w:spacing w:val="-5"/>
        </w:rPr>
        <w:t> </w:t>
      </w:r>
      <w:r>
        <w:rPr/>
        <w:t>solamente</w:t>
      </w:r>
      <w:r>
        <w:rPr>
          <w:spacing w:val="-4"/>
        </w:rPr>
        <w:t> </w:t>
      </w:r>
      <w:r>
        <w:rPr/>
        <w:t>como</w:t>
      </w:r>
      <w:r>
        <w:rPr>
          <w:spacing w:val="-4"/>
        </w:rPr>
        <w:t> </w:t>
      </w:r>
      <w:r>
        <w:rPr/>
        <w:t>aqueas</w:t>
      </w:r>
      <w:r>
        <w:rPr>
          <w:spacing w:val="-3"/>
        </w:rPr>
        <w:t> </w:t>
      </w:r>
      <w:r>
        <w:rPr/>
        <w:t>operaciones</w:t>
      </w:r>
      <w:r>
        <w:rPr>
          <w:spacing w:val="-3"/>
        </w:rPr>
        <w:t> </w:t>
      </w:r>
      <w:r>
        <w:rPr/>
        <w:t>que</w:t>
      </w:r>
      <w:r>
        <w:rPr>
          <w:spacing w:val="-4"/>
        </w:rPr>
        <w:t> </w:t>
      </w:r>
      <w:r>
        <w:rPr/>
        <w:t>generan</w:t>
      </w:r>
      <w:r>
        <w:rPr>
          <w:spacing w:val="-3"/>
        </w:rPr>
        <w:t> </w:t>
      </w:r>
      <w:r>
        <w:rPr/>
        <w:t>un</w:t>
      </w:r>
      <w:r>
        <w:rPr>
          <w:spacing w:val="-4"/>
        </w:rPr>
        <w:t> </w:t>
      </w:r>
      <w:r>
        <w:rPr/>
        <w:t>aumento</w:t>
      </w:r>
      <w:r>
        <w:rPr>
          <w:spacing w:val="-5"/>
        </w:rPr>
        <w:t> </w:t>
      </w:r>
      <w:r>
        <w:rPr/>
        <w:t>en</w:t>
      </w:r>
      <w:r>
        <w:rPr>
          <w:spacing w:val="-3"/>
        </w:rPr>
        <w:t> </w:t>
      </w:r>
      <w:r>
        <w:rPr/>
        <w:t>el</w:t>
      </w:r>
      <w:r>
        <w:rPr>
          <w:spacing w:val="-3"/>
        </w:rPr>
        <w:t> </w:t>
      </w:r>
      <w:r>
        <w:rPr/>
        <w:t>patrimonio neto</w:t>
      </w:r>
      <w:r>
        <w:rPr>
          <w:spacing w:val="12"/>
        </w:rPr>
        <w:t> </w:t>
      </w:r>
      <w:r>
        <w:rPr/>
        <w:t>como</w:t>
      </w:r>
      <w:r>
        <w:rPr>
          <w:spacing w:val="14"/>
        </w:rPr>
        <w:t> </w:t>
      </w:r>
      <w:r>
        <w:rPr/>
        <w:t>consecuencia</w:t>
      </w:r>
      <w:r>
        <w:rPr>
          <w:spacing w:val="16"/>
        </w:rPr>
        <w:t> </w:t>
      </w:r>
      <w:r>
        <w:rPr/>
        <w:t>de</w:t>
      </w:r>
      <w:r>
        <w:rPr>
          <w:spacing w:val="15"/>
        </w:rPr>
        <w:t> </w:t>
      </w:r>
      <w:r>
        <w:rPr/>
        <w:t>un</w:t>
      </w:r>
      <w:r>
        <w:rPr>
          <w:spacing w:val="12"/>
        </w:rPr>
        <w:t> </w:t>
      </w:r>
      <w:r>
        <w:rPr/>
        <w:t>acuerdo</w:t>
      </w:r>
      <w:r>
        <w:rPr>
          <w:spacing w:val="13"/>
        </w:rPr>
        <w:t> </w:t>
      </w:r>
      <w:r>
        <w:rPr/>
        <w:t>mutuo</w:t>
      </w:r>
      <w:r>
        <w:rPr>
          <w:spacing w:val="14"/>
        </w:rPr>
        <w:t> </w:t>
      </w:r>
      <w:r>
        <w:rPr/>
        <w:t>entre</w:t>
      </w:r>
      <w:r>
        <w:rPr>
          <w:spacing w:val="12"/>
        </w:rPr>
        <w:t> </w:t>
      </w:r>
      <w:r>
        <w:rPr/>
        <w:t>diferentes</w:t>
      </w:r>
      <w:r>
        <w:rPr>
          <w:spacing w:val="20"/>
        </w:rPr>
        <w:t> </w:t>
      </w:r>
      <w:r>
        <w:rPr/>
        <w:t>unidades</w:t>
      </w:r>
      <w:r>
        <w:rPr>
          <w:spacing w:val="13"/>
        </w:rPr>
        <w:t> </w:t>
      </w:r>
      <w:r>
        <w:rPr/>
        <w:t>institucionales</w:t>
      </w:r>
      <w:r>
        <w:rPr>
          <w:spacing w:val="13"/>
        </w:rPr>
        <w:t> </w:t>
      </w:r>
      <w:r>
        <w:rPr/>
        <w:t>y</w:t>
      </w:r>
      <w:r>
        <w:rPr>
          <w:spacing w:val="13"/>
        </w:rPr>
        <w:t> </w:t>
      </w:r>
      <w:r>
        <w:rPr/>
        <w:t>esto</w:t>
      </w:r>
      <w:r>
        <w:rPr>
          <w:spacing w:val="12"/>
        </w:rPr>
        <w:t> </w:t>
      </w:r>
      <w:r>
        <w:rPr/>
        <w:t>crea</w:t>
      </w:r>
    </w:p>
    <w:p>
      <w:pPr>
        <w:spacing w:after="0" w:line="276" w:lineRule="auto"/>
        <w:jc w:val="both"/>
        <w:sectPr>
          <w:pgSz w:w="12240" w:h="15840"/>
          <w:pgMar w:header="715" w:footer="688" w:top="1240" w:bottom="880" w:left="1140" w:right="0"/>
        </w:sectPr>
      </w:pPr>
    </w:p>
    <w:p>
      <w:pPr>
        <w:pStyle w:val="BodyText"/>
        <w:spacing w:line="276" w:lineRule="auto" w:before="162"/>
        <w:ind w:left="562" w:right="1700"/>
        <w:jc w:val="both"/>
      </w:pPr>
      <w:r>
        <w:rPr/>
        <w:t>una diferencia en la forma de clasificar algunas operaciones que no tienen efecto en el patrimonio, creando así la categoría de transacciones en activos y pasivos y la de otros flujos económicos que</w:t>
      </w:r>
      <w:r>
        <w:rPr>
          <w:spacing w:val="-31"/>
        </w:rPr>
        <w:t> </w:t>
      </w:r>
      <w:r>
        <w:rPr/>
        <w:t>no existen en las clasificaciones</w:t>
      </w:r>
      <w:r>
        <w:rPr>
          <w:spacing w:val="-5"/>
        </w:rPr>
        <w:t> </w:t>
      </w:r>
      <w:r>
        <w:rPr/>
        <w:t>nacionales.</w:t>
      </w:r>
    </w:p>
    <w:p>
      <w:pPr>
        <w:pStyle w:val="BodyText"/>
        <w:spacing w:before="4"/>
        <w:rPr>
          <w:sz w:val="25"/>
        </w:rPr>
      </w:pPr>
    </w:p>
    <w:p>
      <w:pPr>
        <w:pStyle w:val="BodyText"/>
        <w:spacing w:line="276" w:lineRule="auto"/>
        <w:ind w:left="562" w:right="1700"/>
        <w:jc w:val="both"/>
      </w:pPr>
      <w:r>
        <w:rPr/>
        <w:t>De esta forma, los ingresos del Gobierno Central Presupuestario siguiendo los lineamientos internacionales del FMI, se sitúan para 2021 en torno al 12.7% del PIB, siendo mayor en 0.3 puntos porcentual respecto a los 12.4% del PIB que se observa en la metodología nación.</w:t>
      </w:r>
    </w:p>
    <w:p>
      <w:pPr>
        <w:pStyle w:val="BodyText"/>
        <w:spacing w:before="4"/>
        <w:rPr>
          <w:sz w:val="25"/>
        </w:rPr>
      </w:pPr>
    </w:p>
    <w:p>
      <w:pPr>
        <w:pStyle w:val="BodyText"/>
        <w:ind w:left="562"/>
        <w:jc w:val="both"/>
      </w:pPr>
      <w:r>
        <w:rPr/>
        <w:t>En buena medida, las diferencias que se pueden encontrar entre ambas metodologías se explican por:</w:t>
      </w:r>
    </w:p>
    <w:p>
      <w:pPr>
        <w:pStyle w:val="BodyText"/>
        <w:spacing w:before="4"/>
        <w:rPr>
          <w:sz w:val="28"/>
        </w:rPr>
      </w:pPr>
    </w:p>
    <w:p>
      <w:pPr>
        <w:pStyle w:val="ListParagraph"/>
        <w:numPr>
          <w:ilvl w:val="0"/>
          <w:numId w:val="55"/>
        </w:numPr>
        <w:tabs>
          <w:tab w:pos="922" w:val="left" w:leader="none"/>
        </w:tabs>
        <w:spacing w:line="276" w:lineRule="auto" w:before="0" w:after="0"/>
        <w:ind w:left="921" w:right="1697" w:hanging="360"/>
        <w:jc w:val="both"/>
        <w:rPr>
          <w:sz w:val="22"/>
        </w:rPr>
      </w:pPr>
      <w:r>
        <w:rPr>
          <w:sz w:val="22"/>
          <w:u w:val="single"/>
        </w:rPr>
        <w:t>Los</w:t>
      </w:r>
      <w:r>
        <w:rPr>
          <w:spacing w:val="-12"/>
          <w:sz w:val="22"/>
          <w:u w:val="single"/>
        </w:rPr>
        <w:t> </w:t>
      </w:r>
      <w:r>
        <w:rPr>
          <w:sz w:val="22"/>
          <w:u w:val="single"/>
        </w:rPr>
        <w:t>impuestos</w:t>
      </w:r>
      <w:r>
        <w:rPr>
          <w:sz w:val="22"/>
        </w:rPr>
        <w:t>:</w:t>
      </w:r>
      <w:r>
        <w:rPr>
          <w:spacing w:val="-10"/>
          <w:sz w:val="22"/>
        </w:rPr>
        <w:t> </w:t>
      </w:r>
      <w:r>
        <w:rPr>
          <w:sz w:val="22"/>
        </w:rPr>
        <w:t>estos</w:t>
      </w:r>
      <w:r>
        <w:rPr>
          <w:spacing w:val="-11"/>
          <w:sz w:val="22"/>
        </w:rPr>
        <w:t> </w:t>
      </w:r>
      <w:r>
        <w:rPr>
          <w:sz w:val="22"/>
        </w:rPr>
        <w:t>asemejan</w:t>
      </w:r>
      <w:r>
        <w:rPr>
          <w:spacing w:val="-10"/>
          <w:sz w:val="22"/>
        </w:rPr>
        <w:t> </w:t>
      </w:r>
      <w:r>
        <w:rPr>
          <w:sz w:val="22"/>
        </w:rPr>
        <w:t>a</w:t>
      </w:r>
      <w:r>
        <w:rPr>
          <w:spacing w:val="-13"/>
          <w:sz w:val="22"/>
        </w:rPr>
        <w:t> </w:t>
      </w:r>
      <w:r>
        <w:rPr>
          <w:sz w:val="22"/>
        </w:rPr>
        <w:t>los</w:t>
      </w:r>
      <w:r>
        <w:rPr>
          <w:spacing w:val="-13"/>
          <w:sz w:val="22"/>
        </w:rPr>
        <w:t> </w:t>
      </w:r>
      <w:r>
        <w:rPr>
          <w:sz w:val="22"/>
        </w:rPr>
        <w:t>ingresos</w:t>
      </w:r>
      <w:r>
        <w:rPr>
          <w:spacing w:val="-14"/>
          <w:sz w:val="22"/>
        </w:rPr>
        <w:t> </w:t>
      </w:r>
      <w:r>
        <w:rPr>
          <w:sz w:val="22"/>
        </w:rPr>
        <w:t>tributarios</w:t>
      </w:r>
      <w:r>
        <w:rPr>
          <w:spacing w:val="-13"/>
          <w:sz w:val="22"/>
        </w:rPr>
        <w:t> </w:t>
      </w:r>
      <w:r>
        <w:rPr>
          <w:sz w:val="22"/>
        </w:rPr>
        <w:t>en</w:t>
      </w:r>
      <w:r>
        <w:rPr>
          <w:spacing w:val="-10"/>
          <w:sz w:val="22"/>
        </w:rPr>
        <w:t> </w:t>
      </w:r>
      <w:r>
        <w:rPr>
          <w:sz w:val="22"/>
        </w:rPr>
        <w:t>la</w:t>
      </w:r>
      <w:r>
        <w:rPr>
          <w:spacing w:val="-11"/>
          <w:sz w:val="22"/>
        </w:rPr>
        <w:t> </w:t>
      </w:r>
      <w:r>
        <w:rPr>
          <w:sz w:val="22"/>
        </w:rPr>
        <w:t>metodología</w:t>
      </w:r>
      <w:r>
        <w:rPr>
          <w:spacing w:val="-10"/>
          <w:sz w:val="22"/>
        </w:rPr>
        <w:t> </w:t>
      </w:r>
      <w:r>
        <w:rPr>
          <w:sz w:val="22"/>
        </w:rPr>
        <w:t>nacional,</w:t>
      </w:r>
      <w:r>
        <w:rPr>
          <w:spacing w:val="-13"/>
          <w:sz w:val="22"/>
        </w:rPr>
        <w:t> </w:t>
      </w:r>
      <w:r>
        <w:rPr>
          <w:sz w:val="22"/>
        </w:rPr>
        <w:t>sin</w:t>
      </w:r>
      <w:r>
        <w:rPr>
          <w:spacing w:val="-12"/>
          <w:sz w:val="22"/>
        </w:rPr>
        <w:t> </w:t>
      </w:r>
      <w:r>
        <w:rPr>
          <w:sz w:val="22"/>
        </w:rPr>
        <w:t>embargo, la</w:t>
      </w:r>
      <w:r>
        <w:rPr>
          <w:spacing w:val="-2"/>
          <w:sz w:val="22"/>
        </w:rPr>
        <w:t> </w:t>
      </w:r>
      <w:r>
        <w:rPr>
          <w:sz w:val="22"/>
        </w:rPr>
        <w:t>principal</w:t>
      </w:r>
      <w:r>
        <w:rPr>
          <w:spacing w:val="-3"/>
          <w:sz w:val="22"/>
        </w:rPr>
        <w:t> </w:t>
      </w:r>
      <w:r>
        <w:rPr>
          <w:sz w:val="22"/>
        </w:rPr>
        <w:t>diferencia</w:t>
      </w:r>
      <w:r>
        <w:rPr>
          <w:spacing w:val="-4"/>
          <w:sz w:val="22"/>
        </w:rPr>
        <w:t> </w:t>
      </w:r>
      <w:r>
        <w:rPr>
          <w:sz w:val="22"/>
        </w:rPr>
        <w:t>en</w:t>
      </w:r>
      <w:r>
        <w:rPr>
          <w:spacing w:val="-3"/>
          <w:sz w:val="22"/>
        </w:rPr>
        <w:t> </w:t>
      </w:r>
      <w:r>
        <w:rPr>
          <w:sz w:val="22"/>
        </w:rPr>
        <w:t>los</w:t>
      </w:r>
      <w:r>
        <w:rPr>
          <w:spacing w:val="-2"/>
          <w:sz w:val="22"/>
        </w:rPr>
        <w:t> </w:t>
      </w:r>
      <w:r>
        <w:rPr>
          <w:sz w:val="22"/>
        </w:rPr>
        <w:t>estándares</w:t>
      </w:r>
      <w:r>
        <w:rPr>
          <w:spacing w:val="-4"/>
          <w:sz w:val="22"/>
        </w:rPr>
        <w:t> </w:t>
      </w:r>
      <w:r>
        <w:rPr>
          <w:sz w:val="22"/>
        </w:rPr>
        <w:t>internacionales</w:t>
      </w:r>
      <w:r>
        <w:rPr>
          <w:spacing w:val="-4"/>
          <w:sz w:val="22"/>
        </w:rPr>
        <w:t> </w:t>
      </w:r>
      <w:r>
        <w:rPr>
          <w:sz w:val="22"/>
        </w:rPr>
        <w:t>es</w:t>
      </w:r>
      <w:r>
        <w:rPr>
          <w:spacing w:val="-3"/>
          <w:sz w:val="22"/>
        </w:rPr>
        <w:t> </w:t>
      </w:r>
      <w:r>
        <w:rPr>
          <w:sz w:val="22"/>
        </w:rPr>
        <w:t>que</w:t>
      </w:r>
      <w:r>
        <w:rPr>
          <w:spacing w:val="-4"/>
          <w:sz w:val="22"/>
        </w:rPr>
        <w:t> </w:t>
      </w:r>
      <w:r>
        <w:rPr>
          <w:sz w:val="22"/>
        </w:rPr>
        <w:t>los</w:t>
      </w:r>
      <w:r>
        <w:rPr>
          <w:spacing w:val="-4"/>
          <w:sz w:val="22"/>
        </w:rPr>
        <w:t> </w:t>
      </w:r>
      <w:r>
        <w:rPr>
          <w:sz w:val="22"/>
        </w:rPr>
        <w:t>interés,</w:t>
      </w:r>
      <w:r>
        <w:rPr>
          <w:spacing w:val="-1"/>
          <w:sz w:val="22"/>
        </w:rPr>
        <w:t> </w:t>
      </w:r>
      <w:r>
        <w:rPr>
          <w:sz w:val="22"/>
        </w:rPr>
        <w:t>moras</w:t>
      </w:r>
      <w:r>
        <w:rPr>
          <w:spacing w:val="-4"/>
          <w:sz w:val="22"/>
        </w:rPr>
        <w:t> </w:t>
      </w:r>
      <w:r>
        <w:rPr>
          <w:sz w:val="22"/>
        </w:rPr>
        <w:t>y</w:t>
      </w:r>
      <w:r>
        <w:rPr>
          <w:spacing w:val="-5"/>
          <w:sz w:val="22"/>
        </w:rPr>
        <w:t> </w:t>
      </w:r>
      <w:r>
        <w:rPr>
          <w:sz w:val="22"/>
        </w:rPr>
        <w:t>multas</w:t>
      </w:r>
      <w:r>
        <w:rPr>
          <w:spacing w:val="-2"/>
          <w:sz w:val="22"/>
        </w:rPr>
        <w:t> </w:t>
      </w:r>
      <w:r>
        <w:rPr>
          <w:sz w:val="22"/>
        </w:rPr>
        <w:t>que</w:t>
      </w:r>
      <w:r>
        <w:rPr>
          <w:spacing w:val="-1"/>
          <w:sz w:val="22"/>
        </w:rPr>
        <w:t> </w:t>
      </w:r>
      <w:r>
        <w:rPr>
          <w:sz w:val="22"/>
        </w:rPr>
        <w:t>se recaudan por concepto de un impuesto, no puede ser considerado como parte del mismo y</w:t>
      </w:r>
      <w:r>
        <w:rPr>
          <w:spacing w:val="-34"/>
          <w:sz w:val="22"/>
        </w:rPr>
        <w:t> </w:t>
      </w:r>
      <w:r>
        <w:rPr>
          <w:sz w:val="22"/>
        </w:rPr>
        <w:t>deben de ser clasificados en una cuenta aparte en la categoría de otros ingresos además, las regalías petroleras</w:t>
      </w:r>
      <w:r>
        <w:rPr>
          <w:spacing w:val="-4"/>
          <w:sz w:val="22"/>
        </w:rPr>
        <w:t> </w:t>
      </w:r>
      <w:r>
        <w:rPr>
          <w:sz w:val="22"/>
        </w:rPr>
        <w:t>e</w:t>
      </w:r>
      <w:r>
        <w:rPr>
          <w:spacing w:val="-3"/>
          <w:sz w:val="22"/>
        </w:rPr>
        <w:t> </w:t>
      </w:r>
      <w:r>
        <w:rPr>
          <w:sz w:val="22"/>
        </w:rPr>
        <w:t>hidrocarburos</w:t>
      </w:r>
      <w:r>
        <w:rPr>
          <w:spacing w:val="-3"/>
          <w:sz w:val="22"/>
        </w:rPr>
        <w:t> </w:t>
      </w:r>
      <w:r>
        <w:rPr>
          <w:sz w:val="22"/>
        </w:rPr>
        <w:t>compartibles</w:t>
      </w:r>
      <w:r>
        <w:rPr>
          <w:spacing w:val="-4"/>
          <w:sz w:val="22"/>
        </w:rPr>
        <w:t> </w:t>
      </w:r>
      <w:r>
        <w:rPr>
          <w:sz w:val="22"/>
        </w:rPr>
        <w:t>dejan</w:t>
      </w:r>
      <w:r>
        <w:rPr>
          <w:spacing w:val="-3"/>
          <w:sz w:val="22"/>
        </w:rPr>
        <w:t> </w:t>
      </w:r>
      <w:r>
        <w:rPr>
          <w:sz w:val="22"/>
        </w:rPr>
        <w:t>de</w:t>
      </w:r>
      <w:r>
        <w:rPr>
          <w:spacing w:val="-6"/>
          <w:sz w:val="22"/>
        </w:rPr>
        <w:t> </w:t>
      </w:r>
      <w:r>
        <w:rPr>
          <w:sz w:val="22"/>
        </w:rPr>
        <w:t>ser</w:t>
      </w:r>
      <w:r>
        <w:rPr>
          <w:spacing w:val="-4"/>
          <w:sz w:val="22"/>
        </w:rPr>
        <w:t> </w:t>
      </w:r>
      <w:r>
        <w:rPr>
          <w:sz w:val="22"/>
        </w:rPr>
        <w:t>un</w:t>
      </w:r>
      <w:r>
        <w:rPr>
          <w:spacing w:val="-6"/>
          <w:sz w:val="22"/>
        </w:rPr>
        <w:t> </w:t>
      </w:r>
      <w:r>
        <w:rPr>
          <w:sz w:val="22"/>
        </w:rPr>
        <w:t>impuesto</w:t>
      </w:r>
      <w:r>
        <w:rPr>
          <w:spacing w:val="-4"/>
          <w:sz w:val="22"/>
        </w:rPr>
        <w:t> </w:t>
      </w:r>
      <w:r>
        <w:rPr>
          <w:sz w:val="22"/>
        </w:rPr>
        <w:t>para</w:t>
      </w:r>
      <w:r>
        <w:rPr>
          <w:spacing w:val="-6"/>
          <w:sz w:val="22"/>
        </w:rPr>
        <w:t> </w:t>
      </w:r>
      <w:r>
        <w:rPr>
          <w:sz w:val="22"/>
        </w:rPr>
        <w:t>convertirse</w:t>
      </w:r>
      <w:r>
        <w:rPr>
          <w:spacing w:val="-7"/>
          <w:sz w:val="22"/>
        </w:rPr>
        <w:t> </w:t>
      </w:r>
      <w:r>
        <w:rPr>
          <w:sz w:val="22"/>
        </w:rPr>
        <w:t>en</w:t>
      </w:r>
      <w:r>
        <w:rPr>
          <w:spacing w:val="-3"/>
          <w:sz w:val="22"/>
        </w:rPr>
        <w:t> </w:t>
      </w:r>
      <w:r>
        <w:rPr>
          <w:sz w:val="22"/>
        </w:rPr>
        <w:t>arriendo</w:t>
      </w:r>
      <w:r>
        <w:rPr>
          <w:spacing w:val="-3"/>
          <w:sz w:val="22"/>
        </w:rPr>
        <w:t> de </w:t>
      </w:r>
      <w:r>
        <w:rPr>
          <w:sz w:val="22"/>
        </w:rPr>
        <w:t>recursos naturales dentro de la categoría de otros</w:t>
      </w:r>
      <w:r>
        <w:rPr>
          <w:spacing w:val="-6"/>
          <w:sz w:val="22"/>
        </w:rPr>
        <w:t> </w:t>
      </w:r>
      <w:r>
        <w:rPr>
          <w:sz w:val="22"/>
        </w:rPr>
        <w:t>ingresos.</w:t>
      </w:r>
    </w:p>
    <w:p>
      <w:pPr>
        <w:pStyle w:val="BodyText"/>
        <w:spacing w:before="2"/>
        <w:rPr>
          <w:sz w:val="25"/>
        </w:rPr>
      </w:pPr>
    </w:p>
    <w:p>
      <w:pPr>
        <w:pStyle w:val="BodyText"/>
        <w:spacing w:line="276" w:lineRule="auto"/>
        <w:ind w:left="921" w:right="1697"/>
        <w:jc w:val="both"/>
      </w:pPr>
      <w:r>
        <w:rPr/>
        <w:t>Tomando en consideración lo anterior, se observa que los ingresos por impuestos del Gobierno Central Presupuestario, para el año 2021, equivalen al 11.6% del PIB mientras que, en la metodología nacional, estos son el 11.7% del PIB (una disminución de 0.1 puntos porcentuales.</w:t>
      </w:r>
    </w:p>
    <w:p>
      <w:pPr>
        <w:pStyle w:val="BodyText"/>
        <w:spacing w:line="276" w:lineRule="auto" w:before="159"/>
        <w:ind w:left="921" w:right="1696"/>
        <w:jc w:val="both"/>
      </w:pPr>
      <w:r>
        <w:rPr/>
        <w:t>Los impuestos con mayor importancia son los aplicados sobre los bienes y servicios que representan el 6.7% del PIB y que cabe mencionar incluye al impuesto al valor agregado que equivale al 5.5% del PIB (en metodología nacional equivale al 5.6% del PIB) y los impuestos sobre el ingreso, las utilidades y las ganancias son el 4.3% del PIB (además del ISR también incluye al ISO, el IEMA y IETAP) mientras que, en metodología nacional, en su conjunto equivalen al 4.3% del PIB.</w:t>
      </w:r>
    </w:p>
    <w:p>
      <w:pPr>
        <w:pStyle w:val="ListParagraph"/>
        <w:numPr>
          <w:ilvl w:val="0"/>
          <w:numId w:val="55"/>
        </w:numPr>
        <w:tabs>
          <w:tab w:pos="922" w:val="left" w:leader="none"/>
        </w:tabs>
        <w:spacing w:line="276" w:lineRule="auto" w:before="159" w:after="0"/>
        <w:ind w:left="921" w:right="1695" w:hanging="360"/>
        <w:jc w:val="both"/>
        <w:rPr>
          <w:sz w:val="22"/>
        </w:rPr>
      </w:pPr>
      <w:r>
        <w:rPr>
          <w:sz w:val="22"/>
          <w:u w:val="single"/>
        </w:rPr>
        <w:t>Las</w:t>
      </w:r>
      <w:r>
        <w:rPr>
          <w:spacing w:val="-7"/>
          <w:sz w:val="22"/>
          <w:u w:val="single"/>
        </w:rPr>
        <w:t> </w:t>
      </w:r>
      <w:r>
        <w:rPr>
          <w:sz w:val="22"/>
          <w:u w:val="single"/>
        </w:rPr>
        <w:t>contribuciones</w:t>
      </w:r>
      <w:r>
        <w:rPr>
          <w:spacing w:val="-7"/>
          <w:sz w:val="22"/>
          <w:u w:val="single"/>
        </w:rPr>
        <w:t> </w:t>
      </w:r>
      <w:r>
        <w:rPr>
          <w:sz w:val="22"/>
          <w:u w:val="single"/>
        </w:rPr>
        <w:t>sociales</w:t>
      </w:r>
      <w:r>
        <w:rPr>
          <w:spacing w:val="-8"/>
          <w:sz w:val="22"/>
        </w:rPr>
        <w:t> </w:t>
      </w:r>
      <w:r>
        <w:rPr>
          <w:sz w:val="22"/>
        </w:rPr>
        <w:t>son</w:t>
      </w:r>
      <w:r>
        <w:rPr>
          <w:spacing w:val="-5"/>
          <w:sz w:val="22"/>
        </w:rPr>
        <w:t> </w:t>
      </w:r>
      <w:r>
        <w:rPr>
          <w:sz w:val="22"/>
        </w:rPr>
        <w:t>los</w:t>
      </w:r>
      <w:r>
        <w:rPr>
          <w:spacing w:val="-6"/>
          <w:sz w:val="22"/>
        </w:rPr>
        <w:t> </w:t>
      </w:r>
      <w:r>
        <w:rPr>
          <w:sz w:val="22"/>
        </w:rPr>
        <w:t>ingresos</w:t>
      </w:r>
      <w:r>
        <w:rPr>
          <w:spacing w:val="-6"/>
          <w:sz w:val="22"/>
        </w:rPr>
        <w:t> </w:t>
      </w:r>
      <w:r>
        <w:rPr>
          <w:sz w:val="22"/>
        </w:rPr>
        <w:t>recibidos</w:t>
      </w:r>
      <w:r>
        <w:rPr>
          <w:spacing w:val="-7"/>
          <w:sz w:val="22"/>
        </w:rPr>
        <w:t> </w:t>
      </w:r>
      <w:r>
        <w:rPr>
          <w:sz w:val="22"/>
        </w:rPr>
        <w:t>por</w:t>
      </w:r>
      <w:r>
        <w:rPr>
          <w:spacing w:val="-6"/>
          <w:sz w:val="22"/>
        </w:rPr>
        <w:t> </w:t>
      </w:r>
      <w:r>
        <w:rPr>
          <w:sz w:val="22"/>
        </w:rPr>
        <w:t>concepto</w:t>
      </w:r>
      <w:r>
        <w:rPr>
          <w:spacing w:val="-6"/>
          <w:sz w:val="22"/>
        </w:rPr>
        <w:t> </w:t>
      </w:r>
      <w:r>
        <w:rPr>
          <w:sz w:val="22"/>
        </w:rPr>
        <w:t>de</w:t>
      </w:r>
      <w:r>
        <w:rPr>
          <w:spacing w:val="-7"/>
          <w:sz w:val="22"/>
        </w:rPr>
        <w:t> </w:t>
      </w:r>
      <w:r>
        <w:rPr>
          <w:sz w:val="22"/>
        </w:rPr>
        <w:t>prestaciones</w:t>
      </w:r>
      <w:r>
        <w:rPr>
          <w:spacing w:val="-7"/>
          <w:sz w:val="22"/>
        </w:rPr>
        <w:t> </w:t>
      </w:r>
      <w:r>
        <w:rPr>
          <w:sz w:val="22"/>
        </w:rPr>
        <w:t>sociales.</w:t>
      </w:r>
      <w:r>
        <w:rPr>
          <w:spacing w:val="-6"/>
          <w:sz w:val="22"/>
        </w:rPr>
        <w:t> </w:t>
      </w:r>
      <w:r>
        <w:rPr>
          <w:sz w:val="22"/>
        </w:rPr>
        <w:t>Las mismas pueden ser efectivas o imputadas y cabe resaltar que este último tipo implica un cambio metodológico</w:t>
      </w:r>
      <w:r>
        <w:rPr>
          <w:spacing w:val="-14"/>
          <w:sz w:val="22"/>
        </w:rPr>
        <w:t> </w:t>
      </w:r>
      <w:r>
        <w:rPr>
          <w:sz w:val="22"/>
        </w:rPr>
        <w:t>importante</w:t>
      </w:r>
      <w:r>
        <w:rPr>
          <w:spacing w:val="-13"/>
          <w:sz w:val="22"/>
        </w:rPr>
        <w:t> </w:t>
      </w:r>
      <w:r>
        <w:rPr>
          <w:sz w:val="22"/>
        </w:rPr>
        <w:t>respecto</w:t>
      </w:r>
      <w:r>
        <w:rPr>
          <w:spacing w:val="-13"/>
          <w:sz w:val="22"/>
        </w:rPr>
        <w:t> </w:t>
      </w:r>
      <w:r>
        <w:rPr>
          <w:sz w:val="22"/>
        </w:rPr>
        <w:t>al</w:t>
      </w:r>
      <w:r>
        <w:rPr>
          <w:spacing w:val="-13"/>
          <w:sz w:val="22"/>
        </w:rPr>
        <w:t> </w:t>
      </w:r>
      <w:r>
        <w:rPr>
          <w:sz w:val="22"/>
        </w:rPr>
        <w:t>estándar</w:t>
      </w:r>
      <w:r>
        <w:rPr>
          <w:spacing w:val="-12"/>
          <w:sz w:val="22"/>
        </w:rPr>
        <w:t> </w:t>
      </w:r>
      <w:r>
        <w:rPr>
          <w:sz w:val="22"/>
        </w:rPr>
        <w:t>nacional</w:t>
      </w:r>
      <w:r>
        <w:rPr>
          <w:spacing w:val="-14"/>
          <w:sz w:val="22"/>
        </w:rPr>
        <w:t> </w:t>
      </w:r>
      <w:r>
        <w:rPr>
          <w:sz w:val="22"/>
        </w:rPr>
        <w:t>dado</w:t>
      </w:r>
      <w:r>
        <w:rPr>
          <w:spacing w:val="-11"/>
          <w:sz w:val="22"/>
        </w:rPr>
        <w:t> </w:t>
      </w:r>
      <w:r>
        <w:rPr>
          <w:sz w:val="22"/>
        </w:rPr>
        <w:t>que</w:t>
      </w:r>
      <w:r>
        <w:rPr>
          <w:spacing w:val="-14"/>
          <w:sz w:val="22"/>
        </w:rPr>
        <w:t> </w:t>
      </w:r>
      <w:r>
        <w:rPr>
          <w:sz w:val="22"/>
        </w:rPr>
        <w:t>en</w:t>
      </w:r>
      <w:r>
        <w:rPr>
          <w:spacing w:val="-13"/>
          <w:sz w:val="22"/>
        </w:rPr>
        <w:t> </w:t>
      </w:r>
      <w:r>
        <w:rPr>
          <w:sz w:val="22"/>
        </w:rPr>
        <w:t>los</w:t>
      </w:r>
      <w:r>
        <w:rPr>
          <w:spacing w:val="-13"/>
          <w:sz w:val="22"/>
        </w:rPr>
        <w:t> </w:t>
      </w:r>
      <w:r>
        <w:rPr>
          <w:sz w:val="22"/>
        </w:rPr>
        <w:t>estándares</w:t>
      </w:r>
      <w:r>
        <w:rPr>
          <w:spacing w:val="-12"/>
          <w:sz w:val="22"/>
        </w:rPr>
        <w:t> </w:t>
      </w:r>
      <w:r>
        <w:rPr>
          <w:sz w:val="22"/>
        </w:rPr>
        <w:t>internacionales se busca reflejar de mejor manera la naturaleza económica de las operaciones del sector público con el fin de poder medir el impacto que estas poseen en la</w:t>
      </w:r>
      <w:r>
        <w:rPr>
          <w:spacing w:val="-8"/>
          <w:sz w:val="22"/>
        </w:rPr>
        <w:t> </w:t>
      </w:r>
      <w:r>
        <w:rPr>
          <w:sz w:val="22"/>
        </w:rPr>
        <w:t>economía.</w:t>
      </w:r>
    </w:p>
    <w:p>
      <w:pPr>
        <w:pStyle w:val="BodyText"/>
        <w:spacing w:before="2"/>
        <w:rPr>
          <w:sz w:val="25"/>
        </w:rPr>
      </w:pPr>
    </w:p>
    <w:p>
      <w:pPr>
        <w:pStyle w:val="BodyText"/>
        <w:spacing w:line="276" w:lineRule="auto"/>
        <w:ind w:left="921" w:right="1695"/>
        <w:jc w:val="both"/>
      </w:pPr>
      <w:r>
        <w:rPr/>
        <w:t>Los ingresos por contribuciones imputadas incluyen los montos del aporte que realiza el Estado para realizar el pago de indemnizaciones, prestaciones póstumas, pago de vacaciones por retiro, la ayuda para funerales, el complemento necesario para cumplir con las pensiones y las jubilaciones otorgadas a los empleados. Estas transacciones se deben de imputar en el estándar internacional ya que las mismas forman parte de dos naturalezas económicas, tanto de las Remuneraciones como de las Prestaciones sociales relacionadas al empleo, es decir, estas son parte de los derechos que poseen a los trabajadores por formar parte de estas unidades institucionales de sector público y su vez es un gasto que asume el Estado para hacer uso de sus servicios. Es oportuno aclarar que la imputación se utiliza para reflejar el verdadero impacto económico de esas operaciones, se lleva a cabo el registro en el gasto y en el ingreso simultáneamente por lo que tiene un impacto a nivel de resultado operativo.</w:t>
      </w:r>
    </w:p>
    <w:p>
      <w:pPr>
        <w:spacing w:after="0" w:line="276" w:lineRule="auto"/>
        <w:jc w:val="both"/>
        <w:sectPr>
          <w:pgSz w:w="12240" w:h="15840"/>
          <w:pgMar w:header="715" w:footer="688" w:top="1240" w:bottom="880" w:left="1140" w:right="0"/>
        </w:sectPr>
      </w:pPr>
    </w:p>
    <w:p>
      <w:pPr>
        <w:pStyle w:val="BodyText"/>
        <w:rPr>
          <w:sz w:val="20"/>
        </w:rPr>
      </w:pPr>
    </w:p>
    <w:p>
      <w:pPr>
        <w:pStyle w:val="BodyText"/>
        <w:spacing w:before="4"/>
        <w:rPr>
          <w:sz w:val="19"/>
        </w:rPr>
      </w:pPr>
    </w:p>
    <w:p>
      <w:pPr>
        <w:pStyle w:val="BodyText"/>
        <w:spacing w:line="276" w:lineRule="auto"/>
        <w:ind w:left="921" w:right="1698"/>
        <w:jc w:val="both"/>
      </w:pPr>
      <w:r>
        <w:rPr/>
        <w:t>Las contribuciones sociales del Gobierno Central Presupuestario representan el 0.8% del PIB en 2021 y es importante mencionar que la totalidad proviene de Otras Contribuciones Sociales, las cuales se constituyen por las contribuciones de los empleados (0.40% del PIB), contribuciones de los empleadores (0.01% del PIB) y las contribuciones imputadas (0.39% del PIB).</w:t>
      </w:r>
    </w:p>
    <w:p>
      <w:pPr>
        <w:pStyle w:val="BodyText"/>
        <w:spacing w:before="2"/>
        <w:rPr>
          <w:sz w:val="25"/>
        </w:rPr>
      </w:pPr>
    </w:p>
    <w:p>
      <w:pPr>
        <w:pStyle w:val="ListParagraph"/>
        <w:numPr>
          <w:ilvl w:val="0"/>
          <w:numId w:val="55"/>
        </w:numPr>
        <w:tabs>
          <w:tab w:pos="921" w:val="left" w:leader="none"/>
          <w:tab w:pos="922" w:val="left" w:leader="none"/>
        </w:tabs>
        <w:spacing w:line="273" w:lineRule="auto" w:before="0" w:after="0"/>
        <w:ind w:left="921" w:right="1702" w:hanging="360"/>
        <w:jc w:val="left"/>
        <w:rPr>
          <w:sz w:val="22"/>
        </w:rPr>
      </w:pPr>
      <w:r>
        <w:rPr>
          <w:sz w:val="22"/>
          <w:u w:val="single"/>
        </w:rPr>
        <w:t>Las donaciones</w:t>
      </w:r>
      <w:r>
        <w:rPr>
          <w:sz w:val="22"/>
        </w:rPr>
        <w:t> son transferencias recibidas de otras entidades, que no constituyen subsidio o contribución social. Estos se dividen</w:t>
      </w:r>
      <w:r>
        <w:rPr>
          <w:spacing w:val="-5"/>
          <w:sz w:val="22"/>
        </w:rPr>
        <w:t> </w:t>
      </w:r>
      <w:r>
        <w:rPr>
          <w:sz w:val="22"/>
        </w:rPr>
        <w:t>en:</w:t>
      </w:r>
    </w:p>
    <w:p>
      <w:pPr>
        <w:pStyle w:val="BodyText"/>
        <w:spacing w:before="6"/>
        <w:rPr>
          <w:sz w:val="25"/>
        </w:rPr>
      </w:pPr>
    </w:p>
    <w:p>
      <w:pPr>
        <w:pStyle w:val="ListParagraph"/>
        <w:numPr>
          <w:ilvl w:val="1"/>
          <w:numId w:val="55"/>
        </w:numPr>
        <w:tabs>
          <w:tab w:pos="1281" w:val="left" w:leader="none"/>
          <w:tab w:pos="1282" w:val="left" w:leader="none"/>
        </w:tabs>
        <w:spacing w:line="240" w:lineRule="auto" w:before="0" w:after="0"/>
        <w:ind w:left="1282" w:right="0" w:hanging="361"/>
        <w:jc w:val="left"/>
        <w:rPr>
          <w:sz w:val="22"/>
        </w:rPr>
      </w:pPr>
      <w:r>
        <w:rPr>
          <w:sz w:val="22"/>
        </w:rPr>
        <w:t>De gobiernos</w:t>
      </w:r>
      <w:r>
        <w:rPr>
          <w:spacing w:val="-1"/>
          <w:sz w:val="22"/>
        </w:rPr>
        <w:t> </w:t>
      </w:r>
      <w:r>
        <w:rPr>
          <w:sz w:val="22"/>
        </w:rPr>
        <w:t>extranjeros</w:t>
      </w:r>
    </w:p>
    <w:p>
      <w:pPr>
        <w:pStyle w:val="ListParagraph"/>
        <w:numPr>
          <w:ilvl w:val="1"/>
          <w:numId w:val="55"/>
        </w:numPr>
        <w:tabs>
          <w:tab w:pos="1281" w:val="left" w:leader="none"/>
          <w:tab w:pos="1282" w:val="left" w:leader="none"/>
        </w:tabs>
        <w:spacing w:line="240" w:lineRule="auto" w:before="22" w:after="0"/>
        <w:ind w:left="1282" w:right="0" w:hanging="361"/>
        <w:jc w:val="left"/>
        <w:rPr>
          <w:sz w:val="22"/>
        </w:rPr>
      </w:pPr>
      <w:r>
        <w:rPr>
          <w:sz w:val="22"/>
        </w:rPr>
        <w:t>De organismos</w:t>
      </w:r>
      <w:r>
        <w:rPr>
          <w:spacing w:val="-1"/>
          <w:sz w:val="22"/>
        </w:rPr>
        <w:t> </w:t>
      </w:r>
      <w:r>
        <w:rPr>
          <w:sz w:val="22"/>
        </w:rPr>
        <w:t>internacionales</w:t>
      </w:r>
    </w:p>
    <w:p>
      <w:pPr>
        <w:pStyle w:val="ListParagraph"/>
        <w:numPr>
          <w:ilvl w:val="1"/>
          <w:numId w:val="55"/>
        </w:numPr>
        <w:tabs>
          <w:tab w:pos="1281" w:val="left" w:leader="none"/>
          <w:tab w:pos="1282" w:val="left" w:leader="none"/>
        </w:tabs>
        <w:spacing w:line="240" w:lineRule="auto" w:before="19" w:after="0"/>
        <w:ind w:left="1282" w:right="0" w:hanging="361"/>
        <w:jc w:val="left"/>
        <w:rPr>
          <w:sz w:val="22"/>
        </w:rPr>
      </w:pPr>
      <w:r>
        <w:rPr>
          <w:sz w:val="22"/>
        </w:rPr>
        <w:t>De otras unidades del gobierno general</w:t>
      </w:r>
    </w:p>
    <w:p>
      <w:pPr>
        <w:pStyle w:val="BodyText"/>
        <w:spacing w:before="10"/>
        <w:rPr>
          <w:sz w:val="26"/>
        </w:rPr>
      </w:pPr>
    </w:p>
    <w:p>
      <w:pPr>
        <w:pStyle w:val="BodyText"/>
        <w:spacing w:line="276" w:lineRule="auto" w:before="1"/>
        <w:ind w:left="921" w:right="1695"/>
        <w:jc w:val="both"/>
      </w:pPr>
      <w:r>
        <w:rPr/>
        <w:t>En materia de estándares internacionales, las donaciones que recibe el Gobierno Central Presupuestario en 2021 es de 0.03% del PIB y en la metodología nacional, estas se denominan transferencias corrientes y de capital, aunque, existen algunas diferencias específicas y son perfectamente comparables.</w:t>
      </w:r>
    </w:p>
    <w:p>
      <w:pPr>
        <w:pStyle w:val="BodyText"/>
        <w:spacing w:before="1"/>
        <w:rPr>
          <w:sz w:val="25"/>
        </w:rPr>
      </w:pPr>
    </w:p>
    <w:p>
      <w:pPr>
        <w:pStyle w:val="ListParagraph"/>
        <w:numPr>
          <w:ilvl w:val="0"/>
          <w:numId w:val="55"/>
        </w:numPr>
        <w:tabs>
          <w:tab w:pos="921" w:val="left" w:leader="none"/>
          <w:tab w:pos="922" w:val="left" w:leader="none"/>
        </w:tabs>
        <w:spacing w:line="240" w:lineRule="auto" w:before="0" w:after="0"/>
        <w:ind w:left="922" w:right="0" w:hanging="360"/>
        <w:jc w:val="left"/>
        <w:rPr>
          <w:sz w:val="22"/>
        </w:rPr>
      </w:pPr>
      <w:r>
        <w:rPr>
          <w:sz w:val="22"/>
          <w:u w:val="single"/>
        </w:rPr>
        <w:t>Los otros ingresos</w:t>
      </w:r>
      <w:r>
        <w:rPr>
          <w:sz w:val="22"/>
        </w:rPr>
        <w:t> contemplan las siguientes</w:t>
      </w:r>
      <w:r>
        <w:rPr>
          <w:spacing w:val="-6"/>
          <w:sz w:val="22"/>
        </w:rPr>
        <w:t> </w:t>
      </w:r>
      <w:r>
        <w:rPr>
          <w:sz w:val="22"/>
        </w:rPr>
        <w:t>divisiones:</w:t>
      </w:r>
    </w:p>
    <w:p>
      <w:pPr>
        <w:pStyle w:val="BodyText"/>
        <w:spacing w:before="8"/>
        <w:rPr>
          <w:sz w:val="20"/>
        </w:rPr>
      </w:pPr>
    </w:p>
    <w:p>
      <w:pPr>
        <w:pStyle w:val="ListParagraph"/>
        <w:numPr>
          <w:ilvl w:val="1"/>
          <w:numId w:val="55"/>
        </w:numPr>
        <w:tabs>
          <w:tab w:pos="1281" w:val="left" w:leader="none"/>
          <w:tab w:pos="1282" w:val="left" w:leader="none"/>
        </w:tabs>
        <w:spacing w:line="240" w:lineRule="auto" w:before="92" w:after="0"/>
        <w:ind w:left="1282" w:right="0" w:hanging="361"/>
        <w:jc w:val="left"/>
        <w:rPr>
          <w:sz w:val="22"/>
        </w:rPr>
      </w:pPr>
      <w:r>
        <w:rPr>
          <w:sz w:val="22"/>
        </w:rPr>
        <w:t>Renta de la</w:t>
      </w:r>
      <w:r>
        <w:rPr>
          <w:spacing w:val="-1"/>
          <w:sz w:val="22"/>
        </w:rPr>
        <w:t> </w:t>
      </w:r>
      <w:r>
        <w:rPr>
          <w:sz w:val="22"/>
        </w:rPr>
        <w:t>propiedad</w:t>
      </w:r>
    </w:p>
    <w:p>
      <w:pPr>
        <w:pStyle w:val="ListParagraph"/>
        <w:numPr>
          <w:ilvl w:val="1"/>
          <w:numId w:val="55"/>
        </w:numPr>
        <w:tabs>
          <w:tab w:pos="1281" w:val="left" w:leader="none"/>
          <w:tab w:pos="1282" w:val="left" w:leader="none"/>
        </w:tabs>
        <w:spacing w:line="240" w:lineRule="auto" w:before="21" w:after="0"/>
        <w:ind w:left="1282" w:right="0" w:hanging="361"/>
        <w:jc w:val="left"/>
        <w:rPr>
          <w:sz w:val="22"/>
        </w:rPr>
      </w:pPr>
      <w:r>
        <w:rPr>
          <w:sz w:val="22"/>
        </w:rPr>
        <w:t>Ventas de bienes y</w:t>
      </w:r>
      <w:r>
        <w:rPr>
          <w:spacing w:val="-6"/>
          <w:sz w:val="22"/>
        </w:rPr>
        <w:t> </w:t>
      </w:r>
      <w:r>
        <w:rPr>
          <w:sz w:val="22"/>
        </w:rPr>
        <w:t>servicios</w:t>
      </w:r>
    </w:p>
    <w:p>
      <w:pPr>
        <w:pStyle w:val="ListParagraph"/>
        <w:numPr>
          <w:ilvl w:val="1"/>
          <w:numId w:val="55"/>
        </w:numPr>
        <w:tabs>
          <w:tab w:pos="1281" w:val="left" w:leader="none"/>
          <w:tab w:pos="1282" w:val="left" w:leader="none"/>
        </w:tabs>
        <w:spacing w:line="240" w:lineRule="auto" w:before="19" w:after="0"/>
        <w:ind w:left="1282" w:right="0" w:hanging="361"/>
        <w:jc w:val="left"/>
        <w:rPr>
          <w:sz w:val="22"/>
        </w:rPr>
      </w:pPr>
      <w:r>
        <w:rPr>
          <w:sz w:val="22"/>
        </w:rPr>
        <w:t>Multas, sanciones pecuniarias y depósitos en caución</w:t>
      </w:r>
      <w:r>
        <w:rPr>
          <w:spacing w:val="-13"/>
          <w:sz w:val="22"/>
        </w:rPr>
        <w:t> </w:t>
      </w:r>
      <w:r>
        <w:rPr>
          <w:sz w:val="22"/>
        </w:rPr>
        <w:t>transferidos</w:t>
      </w:r>
    </w:p>
    <w:p>
      <w:pPr>
        <w:pStyle w:val="ListParagraph"/>
        <w:numPr>
          <w:ilvl w:val="1"/>
          <w:numId w:val="55"/>
        </w:numPr>
        <w:tabs>
          <w:tab w:pos="1281" w:val="left" w:leader="none"/>
          <w:tab w:pos="1282" w:val="left" w:leader="none"/>
        </w:tabs>
        <w:spacing w:line="240" w:lineRule="auto" w:before="19" w:after="0"/>
        <w:ind w:left="1282" w:right="0" w:hanging="361"/>
        <w:jc w:val="left"/>
        <w:rPr>
          <w:sz w:val="22"/>
        </w:rPr>
      </w:pPr>
      <w:r>
        <w:rPr>
          <w:sz w:val="22"/>
        </w:rPr>
        <w:t>Transferencias no clasificadas en otra</w:t>
      </w:r>
      <w:r>
        <w:rPr>
          <w:spacing w:val="-5"/>
          <w:sz w:val="22"/>
        </w:rPr>
        <w:t> </w:t>
      </w:r>
      <w:r>
        <w:rPr>
          <w:sz w:val="22"/>
        </w:rPr>
        <w:t>partida</w:t>
      </w:r>
    </w:p>
    <w:p>
      <w:pPr>
        <w:pStyle w:val="ListParagraph"/>
        <w:numPr>
          <w:ilvl w:val="1"/>
          <w:numId w:val="55"/>
        </w:numPr>
        <w:tabs>
          <w:tab w:pos="1281" w:val="left" w:leader="none"/>
          <w:tab w:pos="1282" w:val="left" w:leader="none"/>
        </w:tabs>
        <w:spacing w:line="256" w:lineRule="auto" w:before="19" w:after="0"/>
        <w:ind w:left="1282" w:right="1701" w:hanging="360"/>
        <w:jc w:val="left"/>
        <w:rPr>
          <w:sz w:val="22"/>
        </w:rPr>
      </w:pPr>
      <w:r>
        <w:rPr>
          <w:sz w:val="22"/>
        </w:rPr>
        <w:t>Primas,</w:t>
      </w:r>
      <w:r>
        <w:rPr>
          <w:spacing w:val="-5"/>
          <w:sz w:val="22"/>
        </w:rPr>
        <w:t> </w:t>
      </w:r>
      <w:r>
        <w:rPr>
          <w:sz w:val="22"/>
        </w:rPr>
        <w:t>tasas</w:t>
      </w:r>
      <w:r>
        <w:rPr>
          <w:spacing w:val="-3"/>
          <w:sz w:val="22"/>
        </w:rPr>
        <w:t> </w:t>
      </w:r>
      <w:r>
        <w:rPr>
          <w:sz w:val="22"/>
        </w:rPr>
        <w:t>e</w:t>
      </w:r>
      <w:r>
        <w:rPr>
          <w:spacing w:val="-3"/>
          <w:sz w:val="22"/>
        </w:rPr>
        <w:t> </w:t>
      </w:r>
      <w:r>
        <w:rPr>
          <w:sz w:val="22"/>
        </w:rPr>
        <w:t>indemnizaciones</w:t>
      </w:r>
      <w:r>
        <w:rPr>
          <w:spacing w:val="-4"/>
          <w:sz w:val="22"/>
        </w:rPr>
        <w:t> </w:t>
      </w:r>
      <w:r>
        <w:rPr>
          <w:sz w:val="22"/>
        </w:rPr>
        <w:t>relacionadas</w:t>
      </w:r>
      <w:r>
        <w:rPr>
          <w:spacing w:val="-3"/>
          <w:sz w:val="22"/>
        </w:rPr>
        <w:t> </w:t>
      </w:r>
      <w:r>
        <w:rPr>
          <w:sz w:val="22"/>
        </w:rPr>
        <w:t>con</w:t>
      </w:r>
      <w:r>
        <w:rPr>
          <w:spacing w:val="-3"/>
          <w:sz w:val="22"/>
        </w:rPr>
        <w:t> </w:t>
      </w:r>
      <w:r>
        <w:rPr>
          <w:sz w:val="22"/>
        </w:rPr>
        <w:t>seguros</w:t>
      </w:r>
      <w:r>
        <w:rPr>
          <w:spacing w:val="-4"/>
          <w:sz w:val="22"/>
        </w:rPr>
        <w:t> </w:t>
      </w:r>
      <w:r>
        <w:rPr>
          <w:sz w:val="22"/>
        </w:rPr>
        <w:t>no</w:t>
      </w:r>
      <w:r>
        <w:rPr>
          <w:spacing w:val="-4"/>
          <w:sz w:val="22"/>
        </w:rPr>
        <w:t> </w:t>
      </w:r>
      <w:r>
        <w:rPr>
          <w:sz w:val="22"/>
        </w:rPr>
        <w:t>de</w:t>
      </w:r>
      <w:r>
        <w:rPr>
          <w:spacing w:val="-3"/>
          <w:sz w:val="22"/>
        </w:rPr>
        <w:t> </w:t>
      </w:r>
      <w:r>
        <w:rPr>
          <w:sz w:val="22"/>
        </w:rPr>
        <w:t>vida</w:t>
      </w:r>
      <w:r>
        <w:rPr>
          <w:spacing w:val="-4"/>
          <w:sz w:val="22"/>
        </w:rPr>
        <w:t> </w:t>
      </w:r>
      <w:r>
        <w:rPr>
          <w:sz w:val="22"/>
        </w:rPr>
        <w:t>y</w:t>
      </w:r>
      <w:r>
        <w:rPr>
          <w:spacing w:val="-6"/>
          <w:sz w:val="22"/>
        </w:rPr>
        <w:t> </w:t>
      </w:r>
      <w:r>
        <w:rPr>
          <w:sz w:val="22"/>
        </w:rPr>
        <w:t>sistemas</w:t>
      </w:r>
      <w:r>
        <w:rPr>
          <w:spacing w:val="-3"/>
          <w:sz w:val="22"/>
        </w:rPr>
        <w:t> </w:t>
      </w:r>
      <w:r>
        <w:rPr>
          <w:sz w:val="22"/>
        </w:rPr>
        <w:t>de</w:t>
      </w:r>
      <w:r>
        <w:rPr>
          <w:spacing w:val="-4"/>
          <w:sz w:val="22"/>
        </w:rPr>
        <w:t> </w:t>
      </w:r>
      <w:r>
        <w:rPr>
          <w:sz w:val="22"/>
        </w:rPr>
        <w:t>garantías estandarizadas</w:t>
      </w:r>
    </w:p>
    <w:p>
      <w:pPr>
        <w:pStyle w:val="BodyText"/>
        <w:spacing w:before="4"/>
        <w:rPr>
          <w:sz w:val="27"/>
        </w:rPr>
      </w:pPr>
    </w:p>
    <w:p>
      <w:pPr>
        <w:pStyle w:val="BodyText"/>
        <w:spacing w:line="276" w:lineRule="auto"/>
        <w:ind w:left="921" w:right="1699"/>
        <w:jc w:val="both"/>
      </w:pPr>
      <w:r>
        <w:rPr/>
        <w:t>Los ingresos clasificados como Otros Ingresos, son equivalentes al 0.28% del PIB para el Gobierno Central Presupuestario y estos provienen de la venta de bienes y servicios (0.11% del PIB), las Multas, sanciones pecuniarias y depósitos en caución transferidos (0.10% del PIB), las rentas</w:t>
      </w:r>
      <w:r>
        <w:rPr>
          <w:spacing w:val="-15"/>
        </w:rPr>
        <w:t> </w:t>
      </w:r>
      <w:r>
        <w:rPr/>
        <w:t>de</w:t>
      </w:r>
      <w:r>
        <w:rPr>
          <w:spacing w:val="-15"/>
        </w:rPr>
        <w:t> </w:t>
      </w:r>
      <w:r>
        <w:rPr/>
        <w:t>la</w:t>
      </w:r>
      <w:r>
        <w:rPr>
          <w:spacing w:val="-15"/>
        </w:rPr>
        <w:t> </w:t>
      </w:r>
      <w:r>
        <w:rPr/>
        <w:t>propiedad</w:t>
      </w:r>
      <w:r>
        <w:rPr>
          <w:spacing w:val="-15"/>
        </w:rPr>
        <w:t> </w:t>
      </w:r>
      <w:r>
        <w:rPr/>
        <w:t>(0.05%</w:t>
      </w:r>
      <w:r>
        <w:rPr>
          <w:spacing w:val="-13"/>
        </w:rPr>
        <w:t> </w:t>
      </w:r>
      <w:r>
        <w:rPr/>
        <w:t>del</w:t>
      </w:r>
      <w:r>
        <w:rPr>
          <w:spacing w:val="-12"/>
        </w:rPr>
        <w:t> </w:t>
      </w:r>
      <w:r>
        <w:rPr/>
        <w:t>PIB)</w:t>
      </w:r>
      <w:r>
        <w:rPr>
          <w:spacing w:val="-13"/>
        </w:rPr>
        <w:t> </w:t>
      </w:r>
      <w:r>
        <w:rPr/>
        <w:t>y</w:t>
      </w:r>
      <w:r>
        <w:rPr>
          <w:spacing w:val="-16"/>
        </w:rPr>
        <w:t> </w:t>
      </w:r>
      <w:r>
        <w:rPr/>
        <w:t>las</w:t>
      </w:r>
      <w:r>
        <w:rPr>
          <w:spacing w:val="-17"/>
        </w:rPr>
        <w:t> </w:t>
      </w:r>
      <w:r>
        <w:rPr/>
        <w:t>Transferencias</w:t>
      </w:r>
      <w:r>
        <w:rPr>
          <w:spacing w:val="-15"/>
        </w:rPr>
        <w:t> </w:t>
      </w:r>
      <w:r>
        <w:rPr/>
        <w:t>no</w:t>
      </w:r>
      <w:r>
        <w:rPr>
          <w:spacing w:val="-16"/>
        </w:rPr>
        <w:t> </w:t>
      </w:r>
      <w:r>
        <w:rPr/>
        <w:t>Clasificadas</w:t>
      </w:r>
      <w:r>
        <w:rPr>
          <w:spacing w:val="-13"/>
        </w:rPr>
        <w:t> </w:t>
      </w:r>
      <w:r>
        <w:rPr/>
        <w:t>en</w:t>
      </w:r>
      <w:r>
        <w:rPr>
          <w:spacing w:val="-14"/>
        </w:rPr>
        <w:t> </w:t>
      </w:r>
      <w:r>
        <w:rPr/>
        <w:t>otra</w:t>
      </w:r>
      <w:r>
        <w:rPr>
          <w:spacing w:val="-18"/>
        </w:rPr>
        <w:t> </w:t>
      </w:r>
      <w:r>
        <w:rPr/>
        <w:t>partida</w:t>
      </w:r>
      <w:r>
        <w:rPr>
          <w:spacing w:val="-15"/>
        </w:rPr>
        <w:t> </w:t>
      </w:r>
      <w:r>
        <w:rPr/>
        <w:t>(0.01% del PIB).</w:t>
      </w:r>
    </w:p>
    <w:p>
      <w:pPr>
        <w:pStyle w:val="BodyText"/>
        <w:spacing w:before="1"/>
        <w:rPr>
          <w:sz w:val="25"/>
        </w:rPr>
      </w:pPr>
    </w:p>
    <w:p>
      <w:pPr>
        <w:pStyle w:val="ListParagraph"/>
        <w:numPr>
          <w:ilvl w:val="0"/>
          <w:numId w:val="55"/>
        </w:numPr>
        <w:tabs>
          <w:tab w:pos="922" w:val="left" w:leader="none"/>
        </w:tabs>
        <w:spacing w:line="276" w:lineRule="auto" w:before="0" w:after="0"/>
        <w:ind w:left="921" w:right="1695" w:hanging="360"/>
        <w:jc w:val="both"/>
        <w:rPr>
          <w:sz w:val="22"/>
        </w:rPr>
      </w:pPr>
      <w:r>
        <w:rPr>
          <w:sz w:val="22"/>
        </w:rPr>
        <w:t>Otros cambios metodológicos que explican las variaciones entre metodología, son la extinción de dominio y las ganancias por operaciones cambiarias dejan de formar parte de los ingresos y pasan</w:t>
      </w:r>
      <w:r>
        <w:rPr>
          <w:spacing w:val="-14"/>
          <w:sz w:val="22"/>
        </w:rPr>
        <w:t> </w:t>
      </w:r>
      <w:r>
        <w:rPr>
          <w:sz w:val="22"/>
        </w:rPr>
        <w:t>a</w:t>
      </w:r>
      <w:r>
        <w:rPr>
          <w:spacing w:val="-10"/>
          <w:sz w:val="22"/>
        </w:rPr>
        <w:t> </w:t>
      </w:r>
      <w:r>
        <w:rPr>
          <w:sz w:val="22"/>
        </w:rPr>
        <w:t>formar</w:t>
      </w:r>
      <w:r>
        <w:rPr>
          <w:spacing w:val="-10"/>
          <w:sz w:val="22"/>
        </w:rPr>
        <w:t> </w:t>
      </w:r>
      <w:r>
        <w:rPr>
          <w:sz w:val="22"/>
        </w:rPr>
        <w:t>parte</w:t>
      </w:r>
      <w:r>
        <w:rPr>
          <w:spacing w:val="-11"/>
          <w:sz w:val="22"/>
        </w:rPr>
        <w:t> </w:t>
      </w:r>
      <w:r>
        <w:rPr>
          <w:sz w:val="22"/>
        </w:rPr>
        <w:t>de</w:t>
      </w:r>
      <w:r>
        <w:rPr>
          <w:spacing w:val="-13"/>
          <w:sz w:val="22"/>
        </w:rPr>
        <w:t> </w:t>
      </w:r>
      <w:r>
        <w:rPr>
          <w:sz w:val="22"/>
        </w:rPr>
        <w:t>la</w:t>
      </w:r>
      <w:r>
        <w:rPr>
          <w:spacing w:val="-13"/>
          <w:sz w:val="22"/>
        </w:rPr>
        <w:t> </w:t>
      </w:r>
      <w:r>
        <w:rPr>
          <w:sz w:val="22"/>
        </w:rPr>
        <w:t>categoría</w:t>
      </w:r>
      <w:r>
        <w:rPr>
          <w:spacing w:val="-11"/>
          <w:sz w:val="22"/>
        </w:rPr>
        <w:t> </w:t>
      </w:r>
      <w:r>
        <w:rPr>
          <w:sz w:val="22"/>
        </w:rPr>
        <w:t>de</w:t>
      </w:r>
      <w:r>
        <w:rPr>
          <w:spacing w:val="-13"/>
          <w:sz w:val="22"/>
        </w:rPr>
        <w:t> </w:t>
      </w:r>
      <w:r>
        <w:rPr>
          <w:sz w:val="22"/>
        </w:rPr>
        <w:t>otros</w:t>
      </w:r>
      <w:r>
        <w:rPr>
          <w:spacing w:val="-13"/>
          <w:sz w:val="22"/>
        </w:rPr>
        <w:t> </w:t>
      </w:r>
      <w:r>
        <w:rPr>
          <w:sz w:val="22"/>
        </w:rPr>
        <w:t>flujos</w:t>
      </w:r>
      <w:r>
        <w:rPr>
          <w:spacing w:val="-11"/>
          <w:sz w:val="22"/>
        </w:rPr>
        <w:t> </w:t>
      </w:r>
      <w:r>
        <w:rPr>
          <w:sz w:val="22"/>
        </w:rPr>
        <w:t>económicos.</w:t>
      </w:r>
      <w:r>
        <w:rPr>
          <w:spacing w:val="-11"/>
          <w:sz w:val="22"/>
        </w:rPr>
        <w:t> </w:t>
      </w:r>
      <w:r>
        <w:rPr>
          <w:sz w:val="22"/>
        </w:rPr>
        <w:t>Cabe</w:t>
      </w:r>
      <w:r>
        <w:rPr>
          <w:spacing w:val="-10"/>
          <w:sz w:val="22"/>
        </w:rPr>
        <w:t> </w:t>
      </w:r>
      <w:r>
        <w:rPr>
          <w:sz w:val="22"/>
        </w:rPr>
        <w:t>mencionar</w:t>
      </w:r>
      <w:r>
        <w:rPr>
          <w:spacing w:val="-12"/>
          <w:sz w:val="22"/>
        </w:rPr>
        <w:t> </w:t>
      </w:r>
      <w:r>
        <w:rPr>
          <w:sz w:val="22"/>
        </w:rPr>
        <w:t>que</w:t>
      </w:r>
      <w:r>
        <w:rPr>
          <w:spacing w:val="-11"/>
          <w:sz w:val="22"/>
        </w:rPr>
        <w:t> </w:t>
      </w:r>
      <w:r>
        <w:rPr>
          <w:sz w:val="22"/>
        </w:rPr>
        <w:t>de</w:t>
      </w:r>
      <w:r>
        <w:rPr>
          <w:spacing w:val="-11"/>
          <w:sz w:val="22"/>
        </w:rPr>
        <w:t> </w:t>
      </w:r>
      <w:r>
        <w:rPr>
          <w:sz w:val="22"/>
        </w:rPr>
        <w:t>momento aún no se ha implementado esta categoría en las EFP según Estándares</w:t>
      </w:r>
      <w:r>
        <w:rPr>
          <w:spacing w:val="-14"/>
          <w:sz w:val="22"/>
        </w:rPr>
        <w:t> </w:t>
      </w:r>
      <w:r>
        <w:rPr>
          <w:sz w:val="22"/>
        </w:rPr>
        <w:t>Internacionales.</w:t>
      </w:r>
    </w:p>
    <w:p>
      <w:pPr>
        <w:pStyle w:val="BodyText"/>
        <w:spacing w:before="8"/>
        <w:rPr>
          <w:sz w:val="25"/>
        </w:rPr>
      </w:pPr>
    </w:p>
    <w:p>
      <w:pPr>
        <w:pStyle w:val="Heading3"/>
        <w:numPr>
          <w:ilvl w:val="1"/>
          <w:numId w:val="54"/>
        </w:numPr>
        <w:tabs>
          <w:tab w:pos="1282" w:val="left" w:leader="none"/>
        </w:tabs>
        <w:spacing w:line="240" w:lineRule="auto" w:before="0" w:after="0"/>
        <w:ind w:left="1282" w:right="0" w:hanging="361"/>
        <w:jc w:val="left"/>
      </w:pPr>
      <w:bookmarkStart w:name="_bookmark236" w:id="309"/>
      <w:bookmarkEnd w:id="309"/>
      <w:r>
        <w:rPr>
          <w:b w:val="0"/>
        </w:rPr>
      </w:r>
      <w:bookmarkStart w:name="_bookmark236" w:id="310"/>
      <w:bookmarkEnd w:id="310"/>
      <w:r>
        <w:rPr/>
        <w:t>E</w:t>
      </w:r>
      <w:r>
        <w:rPr/>
        <w:t>l gasto del Gobierno Central</w:t>
      </w:r>
      <w:r>
        <w:rPr>
          <w:spacing w:val="-3"/>
        </w:rPr>
        <w:t> </w:t>
      </w:r>
      <w:r>
        <w:rPr/>
        <w:t>Presupuestario</w:t>
      </w:r>
    </w:p>
    <w:p>
      <w:pPr>
        <w:pStyle w:val="BodyText"/>
        <w:spacing w:before="1"/>
        <w:rPr>
          <w:b/>
          <w:sz w:val="28"/>
        </w:rPr>
      </w:pPr>
    </w:p>
    <w:p>
      <w:pPr>
        <w:pStyle w:val="BodyText"/>
        <w:spacing w:line="276" w:lineRule="auto"/>
        <w:ind w:left="562" w:right="1698"/>
        <w:jc w:val="both"/>
      </w:pPr>
      <w:r>
        <w:rPr/>
        <w:t>En los estándares internacionales, se considera como un gasto a toda transacción que genera una disminución en el patrimonio neto y esto plantea una diferencia conceptual importante respecto a la definición nacional, por lo tanto, estas cifras no pueden ser comparables entre sí. Según los</w:t>
      </w:r>
    </w:p>
    <w:p>
      <w:pPr>
        <w:spacing w:after="0" w:line="276" w:lineRule="auto"/>
        <w:jc w:val="both"/>
        <w:sectPr>
          <w:pgSz w:w="12240" w:h="15840"/>
          <w:pgMar w:header="715" w:footer="688" w:top="1240" w:bottom="880" w:left="1140" w:right="0"/>
        </w:sectPr>
      </w:pPr>
    </w:p>
    <w:p>
      <w:pPr>
        <w:pStyle w:val="BodyText"/>
        <w:spacing w:line="276" w:lineRule="auto" w:before="162"/>
        <w:ind w:left="562" w:right="1630"/>
      </w:pPr>
      <w:r>
        <w:rPr/>
        <w:t>lineamientos</w:t>
      </w:r>
      <w:r>
        <w:rPr>
          <w:spacing w:val="-9"/>
        </w:rPr>
        <w:t> </w:t>
      </w:r>
      <w:r>
        <w:rPr/>
        <w:t>del</w:t>
      </w:r>
      <w:r>
        <w:rPr>
          <w:spacing w:val="-10"/>
        </w:rPr>
        <w:t> </w:t>
      </w:r>
      <w:r>
        <w:rPr/>
        <w:t>MEFP</w:t>
      </w:r>
      <w:r>
        <w:rPr>
          <w:spacing w:val="-10"/>
        </w:rPr>
        <w:t> </w:t>
      </w:r>
      <w:r>
        <w:rPr/>
        <w:t>2014,</w:t>
      </w:r>
      <w:r>
        <w:rPr>
          <w:spacing w:val="-9"/>
        </w:rPr>
        <w:t> </w:t>
      </w:r>
      <w:r>
        <w:rPr/>
        <w:t>el</w:t>
      </w:r>
      <w:r>
        <w:rPr>
          <w:spacing w:val="-8"/>
        </w:rPr>
        <w:t> </w:t>
      </w:r>
      <w:r>
        <w:rPr/>
        <w:t>Gobierno</w:t>
      </w:r>
      <w:r>
        <w:rPr>
          <w:spacing w:val="-9"/>
        </w:rPr>
        <w:t> </w:t>
      </w:r>
      <w:r>
        <w:rPr/>
        <w:t>Central</w:t>
      </w:r>
      <w:r>
        <w:rPr>
          <w:spacing w:val="-9"/>
        </w:rPr>
        <w:t> </w:t>
      </w:r>
      <w:r>
        <w:rPr/>
        <w:t>Presupuestario</w:t>
      </w:r>
      <w:r>
        <w:rPr>
          <w:spacing w:val="-9"/>
        </w:rPr>
        <w:t> </w:t>
      </w:r>
      <w:r>
        <w:rPr/>
        <w:t>para</w:t>
      </w:r>
      <w:r>
        <w:rPr>
          <w:spacing w:val="-9"/>
        </w:rPr>
        <w:t> </w:t>
      </w:r>
      <w:r>
        <w:rPr/>
        <w:t>el</w:t>
      </w:r>
      <w:r>
        <w:rPr>
          <w:spacing w:val="-8"/>
        </w:rPr>
        <w:t> </w:t>
      </w:r>
      <w:r>
        <w:rPr/>
        <w:t>año</w:t>
      </w:r>
      <w:r>
        <w:rPr>
          <w:spacing w:val="-9"/>
        </w:rPr>
        <w:t> </w:t>
      </w:r>
      <w:r>
        <w:rPr/>
        <w:t>2021</w:t>
      </w:r>
      <w:r>
        <w:rPr>
          <w:spacing w:val="-12"/>
        </w:rPr>
        <w:t> </w:t>
      </w:r>
      <w:r>
        <w:rPr/>
        <w:t>equivale</w:t>
      </w:r>
      <w:r>
        <w:rPr>
          <w:spacing w:val="-10"/>
        </w:rPr>
        <w:t> </w:t>
      </w:r>
      <w:r>
        <w:rPr/>
        <w:t>al</w:t>
      </w:r>
      <w:r>
        <w:rPr>
          <w:spacing w:val="-8"/>
        </w:rPr>
        <w:t> </w:t>
      </w:r>
      <w:r>
        <w:rPr/>
        <w:t>13.3% del PIB y con forme a la metodología nacional, este sería de 13.5% del</w:t>
      </w:r>
      <w:r>
        <w:rPr>
          <w:spacing w:val="-12"/>
        </w:rPr>
        <w:t> </w:t>
      </w:r>
      <w:r>
        <w:rPr/>
        <w:t>PIB.</w:t>
      </w:r>
    </w:p>
    <w:p>
      <w:pPr>
        <w:pStyle w:val="BodyText"/>
        <w:spacing w:before="2"/>
        <w:rPr>
          <w:sz w:val="25"/>
        </w:rPr>
      </w:pPr>
    </w:p>
    <w:p>
      <w:pPr>
        <w:pStyle w:val="BodyText"/>
        <w:ind w:left="562"/>
      </w:pPr>
      <w:r>
        <w:rPr/>
        <w:t>Las principales diferencias metodológicas en el gasto se pueden dividir así:</w:t>
      </w:r>
    </w:p>
    <w:p>
      <w:pPr>
        <w:pStyle w:val="BodyText"/>
        <w:spacing w:before="7"/>
        <w:rPr>
          <w:sz w:val="28"/>
        </w:rPr>
      </w:pPr>
    </w:p>
    <w:p>
      <w:pPr>
        <w:pStyle w:val="ListParagraph"/>
        <w:numPr>
          <w:ilvl w:val="0"/>
          <w:numId w:val="55"/>
        </w:numPr>
        <w:tabs>
          <w:tab w:pos="922" w:val="left" w:leader="none"/>
        </w:tabs>
        <w:spacing w:line="276" w:lineRule="auto" w:before="0" w:after="0"/>
        <w:ind w:left="921" w:right="1697" w:hanging="360"/>
        <w:jc w:val="both"/>
        <w:rPr>
          <w:sz w:val="22"/>
        </w:rPr>
      </w:pPr>
      <w:r>
        <w:rPr>
          <w:sz w:val="22"/>
          <w:u w:val="single"/>
        </w:rPr>
        <w:t>La remuneración a los empleados</w:t>
      </w:r>
      <w:r>
        <w:rPr>
          <w:sz w:val="22"/>
        </w:rPr>
        <w:t> incluye la remuneración total, en efectivo o especie, considerada en el período analizado, dada la relación empleador-empleado y excluye los</w:t>
      </w:r>
      <w:r>
        <w:rPr>
          <w:spacing w:val="-30"/>
          <w:sz w:val="22"/>
        </w:rPr>
        <w:t> </w:t>
      </w:r>
      <w:r>
        <w:rPr>
          <w:sz w:val="22"/>
        </w:rPr>
        <w:t>montos relacionados</w:t>
      </w:r>
      <w:r>
        <w:rPr>
          <w:spacing w:val="-15"/>
          <w:sz w:val="22"/>
        </w:rPr>
        <w:t> </w:t>
      </w:r>
      <w:r>
        <w:rPr>
          <w:sz w:val="22"/>
        </w:rPr>
        <w:t>con</w:t>
      </w:r>
      <w:r>
        <w:rPr>
          <w:spacing w:val="-15"/>
          <w:sz w:val="22"/>
        </w:rPr>
        <w:t> </w:t>
      </w:r>
      <w:r>
        <w:rPr>
          <w:sz w:val="22"/>
        </w:rPr>
        <w:t>la</w:t>
      </w:r>
      <w:r>
        <w:rPr>
          <w:spacing w:val="-15"/>
          <w:sz w:val="22"/>
        </w:rPr>
        <w:t> </w:t>
      </w:r>
      <w:r>
        <w:rPr>
          <w:sz w:val="22"/>
        </w:rPr>
        <w:t>formación</w:t>
      </w:r>
      <w:r>
        <w:rPr>
          <w:spacing w:val="-16"/>
          <w:sz w:val="22"/>
        </w:rPr>
        <w:t> </w:t>
      </w:r>
      <w:r>
        <w:rPr>
          <w:sz w:val="22"/>
        </w:rPr>
        <w:t>de</w:t>
      </w:r>
      <w:r>
        <w:rPr>
          <w:spacing w:val="-14"/>
          <w:sz w:val="22"/>
        </w:rPr>
        <w:t> </w:t>
      </w:r>
      <w:r>
        <w:rPr>
          <w:sz w:val="22"/>
        </w:rPr>
        <w:t>capital.</w:t>
      </w:r>
      <w:r>
        <w:rPr>
          <w:spacing w:val="-16"/>
          <w:sz w:val="22"/>
        </w:rPr>
        <w:t> </w:t>
      </w:r>
      <w:r>
        <w:rPr>
          <w:sz w:val="22"/>
        </w:rPr>
        <w:t>Es</w:t>
      </w:r>
      <w:r>
        <w:rPr>
          <w:spacing w:val="-16"/>
          <w:sz w:val="22"/>
        </w:rPr>
        <w:t> </w:t>
      </w:r>
      <w:r>
        <w:rPr>
          <w:sz w:val="22"/>
        </w:rPr>
        <w:t>oportuno</w:t>
      </w:r>
      <w:r>
        <w:rPr>
          <w:spacing w:val="-18"/>
          <w:sz w:val="22"/>
        </w:rPr>
        <w:t> </w:t>
      </w:r>
      <w:r>
        <w:rPr>
          <w:sz w:val="22"/>
        </w:rPr>
        <w:t>mencionar</w:t>
      </w:r>
      <w:r>
        <w:rPr>
          <w:spacing w:val="-14"/>
          <w:sz w:val="22"/>
        </w:rPr>
        <w:t> </w:t>
      </w:r>
      <w:r>
        <w:rPr>
          <w:sz w:val="22"/>
        </w:rPr>
        <w:t>que</w:t>
      </w:r>
      <w:r>
        <w:rPr>
          <w:spacing w:val="-18"/>
          <w:sz w:val="22"/>
        </w:rPr>
        <w:t> </w:t>
      </w:r>
      <w:r>
        <w:rPr>
          <w:sz w:val="22"/>
        </w:rPr>
        <w:t>en</w:t>
      </w:r>
      <w:r>
        <w:rPr>
          <w:spacing w:val="-15"/>
          <w:sz w:val="22"/>
        </w:rPr>
        <w:t> </w:t>
      </w:r>
      <w:r>
        <w:rPr>
          <w:sz w:val="22"/>
        </w:rPr>
        <w:t>esta</w:t>
      </w:r>
      <w:r>
        <w:rPr>
          <w:spacing w:val="-15"/>
          <w:sz w:val="22"/>
        </w:rPr>
        <w:t> </w:t>
      </w:r>
      <w:r>
        <w:rPr>
          <w:sz w:val="22"/>
        </w:rPr>
        <w:t>categoría</w:t>
      </w:r>
      <w:r>
        <w:rPr>
          <w:spacing w:val="-17"/>
          <w:sz w:val="22"/>
        </w:rPr>
        <w:t> </w:t>
      </w:r>
      <w:r>
        <w:rPr>
          <w:sz w:val="22"/>
        </w:rPr>
        <w:t>se</w:t>
      </w:r>
      <w:r>
        <w:rPr>
          <w:spacing w:val="-15"/>
          <w:sz w:val="22"/>
        </w:rPr>
        <w:t> </w:t>
      </w:r>
      <w:r>
        <w:rPr>
          <w:sz w:val="22"/>
        </w:rPr>
        <w:t>incluyen gastos por contribuciones sociales imputadas de los</w:t>
      </w:r>
      <w:r>
        <w:rPr>
          <w:spacing w:val="-8"/>
          <w:sz w:val="22"/>
        </w:rPr>
        <w:t> </w:t>
      </w:r>
      <w:r>
        <w:rPr>
          <w:sz w:val="22"/>
        </w:rPr>
        <w:t>empleadores</w:t>
      </w:r>
    </w:p>
    <w:p>
      <w:pPr>
        <w:pStyle w:val="BodyText"/>
        <w:spacing w:before="2"/>
        <w:rPr>
          <w:sz w:val="25"/>
        </w:rPr>
      </w:pPr>
    </w:p>
    <w:p>
      <w:pPr>
        <w:pStyle w:val="BodyText"/>
        <w:spacing w:line="276" w:lineRule="auto"/>
        <w:ind w:left="921" w:right="1698"/>
        <w:jc w:val="both"/>
      </w:pPr>
      <w:r>
        <w:rPr/>
        <w:t>Las</w:t>
      </w:r>
      <w:r>
        <w:rPr>
          <w:spacing w:val="-14"/>
        </w:rPr>
        <w:t> </w:t>
      </w:r>
      <w:r>
        <w:rPr/>
        <w:t>remuneraciones</w:t>
      </w:r>
      <w:r>
        <w:rPr>
          <w:spacing w:val="-14"/>
        </w:rPr>
        <w:t> </w:t>
      </w:r>
      <w:r>
        <w:rPr/>
        <w:t>del</w:t>
      </w:r>
      <w:r>
        <w:rPr>
          <w:spacing w:val="-13"/>
        </w:rPr>
        <w:t> </w:t>
      </w:r>
      <w:r>
        <w:rPr/>
        <w:t>Gobierno</w:t>
      </w:r>
      <w:r>
        <w:rPr>
          <w:spacing w:val="-14"/>
        </w:rPr>
        <w:t> </w:t>
      </w:r>
      <w:r>
        <w:rPr/>
        <w:t>Central</w:t>
      </w:r>
      <w:r>
        <w:rPr>
          <w:spacing w:val="-12"/>
        </w:rPr>
        <w:t> </w:t>
      </w:r>
      <w:r>
        <w:rPr/>
        <w:t>Presupuestario</w:t>
      </w:r>
      <w:r>
        <w:rPr>
          <w:spacing w:val="-14"/>
        </w:rPr>
        <w:t> </w:t>
      </w:r>
      <w:r>
        <w:rPr/>
        <w:t>ascienden</w:t>
      </w:r>
      <w:r>
        <w:rPr>
          <w:spacing w:val="-14"/>
        </w:rPr>
        <w:t> </w:t>
      </w:r>
      <w:r>
        <w:rPr/>
        <w:t>a</w:t>
      </w:r>
      <w:r>
        <w:rPr>
          <w:spacing w:val="-14"/>
        </w:rPr>
        <w:t> </w:t>
      </w:r>
      <w:r>
        <w:rPr/>
        <w:t>4.6%</w:t>
      </w:r>
      <w:r>
        <w:rPr>
          <w:spacing w:val="-13"/>
        </w:rPr>
        <w:t> </w:t>
      </w:r>
      <w:r>
        <w:rPr/>
        <w:t>del</w:t>
      </w:r>
      <w:r>
        <w:rPr>
          <w:spacing w:val="-13"/>
        </w:rPr>
        <w:t> </w:t>
      </w:r>
      <w:r>
        <w:rPr/>
        <w:t>PIB</w:t>
      </w:r>
      <w:r>
        <w:rPr>
          <w:spacing w:val="-13"/>
        </w:rPr>
        <w:t> </w:t>
      </w:r>
      <w:r>
        <w:rPr/>
        <w:t>y</w:t>
      </w:r>
      <w:r>
        <w:rPr>
          <w:spacing w:val="-17"/>
        </w:rPr>
        <w:t> </w:t>
      </w:r>
      <w:r>
        <w:rPr/>
        <w:t>delos</w:t>
      </w:r>
      <w:r>
        <w:rPr>
          <w:spacing w:val="-13"/>
        </w:rPr>
        <w:t> </w:t>
      </w:r>
      <w:r>
        <w:rPr/>
        <w:t>cuales los sueldos y salarios son el 4.1% del PIB y las contribuciones sociales de empleadores el 0.5% del</w:t>
      </w:r>
      <w:r>
        <w:rPr>
          <w:spacing w:val="-3"/>
        </w:rPr>
        <w:t> </w:t>
      </w:r>
      <w:r>
        <w:rPr/>
        <w:t>PIB</w:t>
      </w:r>
      <w:r>
        <w:rPr>
          <w:spacing w:val="-5"/>
        </w:rPr>
        <w:t> </w:t>
      </w:r>
      <w:r>
        <w:rPr/>
        <w:t>(este</w:t>
      </w:r>
      <w:r>
        <w:rPr>
          <w:spacing w:val="-3"/>
        </w:rPr>
        <w:t> </w:t>
      </w:r>
      <w:r>
        <w:rPr/>
        <w:t>último</w:t>
      </w:r>
      <w:r>
        <w:rPr>
          <w:spacing w:val="-4"/>
        </w:rPr>
        <w:t> </w:t>
      </w:r>
      <w:r>
        <w:rPr/>
        <w:t>incluye</w:t>
      </w:r>
      <w:r>
        <w:rPr>
          <w:spacing w:val="-3"/>
        </w:rPr>
        <w:t> </w:t>
      </w:r>
      <w:r>
        <w:rPr/>
        <w:t>un</w:t>
      </w:r>
      <w:r>
        <w:rPr>
          <w:spacing w:val="-4"/>
        </w:rPr>
        <w:t> </w:t>
      </w:r>
      <w:r>
        <w:rPr/>
        <w:t>0.4%</w:t>
      </w:r>
      <w:r>
        <w:rPr>
          <w:spacing w:val="-3"/>
        </w:rPr>
        <w:t> </w:t>
      </w:r>
      <w:r>
        <w:rPr/>
        <w:t>del</w:t>
      </w:r>
      <w:r>
        <w:rPr>
          <w:spacing w:val="-3"/>
        </w:rPr>
        <w:t> </w:t>
      </w:r>
      <w:r>
        <w:rPr/>
        <w:t>PIB</w:t>
      </w:r>
      <w:r>
        <w:rPr>
          <w:spacing w:val="-5"/>
        </w:rPr>
        <w:t> </w:t>
      </w:r>
      <w:r>
        <w:rPr/>
        <w:t>por</w:t>
      </w:r>
      <w:r>
        <w:rPr>
          <w:spacing w:val="-3"/>
        </w:rPr>
        <w:t> </w:t>
      </w:r>
      <w:r>
        <w:rPr/>
        <w:t>concepto</w:t>
      </w:r>
      <w:r>
        <w:rPr>
          <w:spacing w:val="-4"/>
        </w:rPr>
        <w:t> </w:t>
      </w:r>
      <w:r>
        <w:rPr/>
        <w:t>de</w:t>
      </w:r>
      <w:r>
        <w:rPr>
          <w:spacing w:val="-3"/>
        </w:rPr>
        <w:t> </w:t>
      </w:r>
      <w:r>
        <w:rPr/>
        <w:t>contribuciones</w:t>
      </w:r>
      <w:r>
        <w:rPr>
          <w:spacing w:val="-3"/>
        </w:rPr>
        <w:t> </w:t>
      </w:r>
      <w:r>
        <w:rPr/>
        <w:t>sociales</w:t>
      </w:r>
      <w:r>
        <w:rPr>
          <w:spacing w:val="-5"/>
        </w:rPr>
        <w:t> </w:t>
      </w:r>
      <w:r>
        <w:rPr/>
        <w:t>imputadas que realizan los empleadores para pagar indemnizaciones, prestaciones póstumas, pago de vacaciones por retiro, la ayuda para funerales, las pensiones y las jubilaciones que forman parte de las prestaciones laborales de los</w:t>
      </w:r>
      <w:r>
        <w:rPr>
          <w:spacing w:val="-3"/>
        </w:rPr>
        <w:t> </w:t>
      </w:r>
      <w:r>
        <w:rPr/>
        <w:t>trabajadores).</w:t>
      </w:r>
    </w:p>
    <w:p>
      <w:pPr>
        <w:pStyle w:val="BodyText"/>
        <w:spacing w:before="2"/>
        <w:rPr>
          <w:sz w:val="25"/>
        </w:rPr>
      </w:pPr>
    </w:p>
    <w:p>
      <w:pPr>
        <w:pStyle w:val="ListParagraph"/>
        <w:numPr>
          <w:ilvl w:val="0"/>
          <w:numId w:val="55"/>
        </w:numPr>
        <w:tabs>
          <w:tab w:pos="922" w:val="left" w:leader="none"/>
        </w:tabs>
        <w:spacing w:line="276" w:lineRule="auto" w:before="0" w:after="0"/>
        <w:ind w:left="921" w:right="1697" w:hanging="360"/>
        <w:jc w:val="both"/>
        <w:rPr>
          <w:sz w:val="22"/>
        </w:rPr>
      </w:pPr>
      <w:r>
        <w:rPr>
          <w:sz w:val="22"/>
          <w:u w:val="single"/>
        </w:rPr>
        <w:t>El uso de bienes y servicios</w:t>
      </w:r>
      <w:r>
        <w:rPr>
          <w:sz w:val="22"/>
        </w:rPr>
        <w:t> comprende el valor total de bienes y servicios utilizados para la producción</w:t>
      </w:r>
      <w:r>
        <w:rPr>
          <w:spacing w:val="-4"/>
          <w:sz w:val="22"/>
        </w:rPr>
        <w:t> </w:t>
      </w:r>
      <w:r>
        <w:rPr>
          <w:sz w:val="22"/>
        </w:rPr>
        <w:t>de</w:t>
      </w:r>
      <w:r>
        <w:rPr>
          <w:spacing w:val="-2"/>
          <w:sz w:val="22"/>
        </w:rPr>
        <w:t> </w:t>
      </w:r>
      <w:r>
        <w:rPr>
          <w:sz w:val="22"/>
        </w:rPr>
        <w:t>bienes</w:t>
      </w:r>
      <w:r>
        <w:rPr>
          <w:spacing w:val="-2"/>
          <w:sz w:val="22"/>
        </w:rPr>
        <w:t> </w:t>
      </w:r>
      <w:r>
        <w:rPr>
          <w:sz w:val="22"/>
        </w:rPr>
        <w:t>y</w:t>
      </w:r>
      <w:r>
        <w:rPr>
          <w:spacing w:val="-5"/>
          <w:sz w:val="22"/>
        </w:rPr>
        <w:t> </w:t>
      </w:r>
      <w:r>
        <w:rPr>
          <w:sz w:val="22"/>
        </w:rPr>
        <w:t>servicios</w:t>
      </w:r>
      <w:r>
        <w:rPr>
          <w:spacing w:val="-3"/>
          <w:sz w:val="22"/>
        </w:rPr>
        <w:t> </w:t>
      </w:r>
      <w:r>
        <w:rPr>
          <w:sz w:val="22"/>
        </w:rPr>
        <w:t>de</w:t>
      </w:r>
      <w:r>
        <w:rPr>
          <w:spacing w:val="-2"/>
          <w:sz w:val="22"/>
        </w:rPr>
        <w:t> </w:t>
      </w:r>
      <w:r>
        <w:rPr>
          <w:sz w:val="22"/>
        </w:rPr>
        <w:t>mercado</w:t>
      </w:r>
      <w:r>
        <w:rPr>
          <w:spacing w:val="-4"/>
          <w:sz w:val="22"/>
        </w:rPr>
        <w:t> </w:t>
      </w:r>
      <w:r>
        <w:rPr>
          <w:sz w:val="22"/>
        </w:rPr>
        <w:t>y</w:t>
      </w:r>
      <w:r>
        <w:rPr>
          <w:spacing w:val="-5"/>
          <w:sz w:val="22"/>
        </w:rPr>
        <w:t> </w:t>
      </w:r>
      <w:r>
        <w:rPr>
          <w:sz w:val="22"/>
        </w:rPr>
        <w:t>de</w:t>
      </w:r>
      <w:r>
        <w:rPr>
          <w:spacing w:val="-3"/>
          <w:sz w:val="22"/>
        </w:rPr>
        <w:t> </w:t>
      </w:r>
      <w:r>
        <w:rPr>
          <w:sz w:val="22"/>
        </w:rPr>
        <w:t>no</w:t>
      </w:r>
      <w:r>
        <w:rPr>
          <w:spacing w:val="-3"/>
          <w:sz w:val="22"/>
        </w:rPr>
        <w:t> </w:t>
      </w:r>
      <w:r>
        <w:rPr>
          <w:sz w:val="22"/>
        </w:rPr>
        <w:t>mercado,</w:t>
      </w:r>
      <w:r>
        <w:rPr>
          <w:spacing w:val="-4"/>
          <w:sz w:val="22"/>
        </w:rPr>
        <w:t> </w:t>
      </w:r>
      <w:r>
        <w:rPr>
          <w:sz w:val="22"/>
        </w:rPr>
        <w:t>sin</w:t>
      </w:r>
      <w:r>
        <w:rPr>
          <w:spacing w:val="-3"/>
          <w:sz w:val="22"/>
        </w:rPr>
        <w:t> </w:t>
      </w:r>
      <w:r>
        <w:rPr>
          <w:sz w:val="22"/>
        </w:rPr>
        <w:t>el</w:t>
      </w:r>
      <w:r>
        <w:rPr>
          <w:spacing w:val="-5"/>
          <w:sz w:val="22"/>
        </w:rPr>
        <w:t> </w:t>
      </w:r>
      <w:r>
        <w:rPr>
          <w:sz w:val="22"/>
        </w:rPr>
        <w:t>consumo</w:t>
      </w:r>
      <w:r>
        <w:rPr>
          <w:spacing w:val="-3"/>
          <w:sz w:val="22"/>
        </w:rPr>
        <w:t> </w:t>
      </w:r>
      <w:r>
        <w:rPr>
          <w:sz w:val="22"/>
        </w:rPr>
        <w:t>de</w:t>
      </w:r>
      <w:r>
        <w:rPr>
          <w:spacing w:val="-3"/>
          <w:sz w:val="22"/>
        </w:rPr>
        <w:t> </w:t>
      </w:r>
      <w:r>
        <w:rPr>
          <w:sz w:val="22"/>
        </w:rPr>
        <w:t>capital</w:t>
      </w:r>
      <w:r>
        <w:rPr>
          <w:spacing w:val="-4"/>
          <w:sz w:val="22"/>
        </w:rPr>
        <w:t> </w:t>
      </w:r>
      <w:r>
        <w:rPr>
          <w:sz w:val="22"/>
        </w:rPr>
        <w:t>fijo.</w:t>
      </w:r>
      <w:r>
        <w:rPr>
          <w:spacing w:val="-4"/>
          <w:sz w:val="22"/>
        </w:rPr>
        <w:t> </w:t>
      </w:r>
      <w:r>
        <w:rPr>
          <w:sz w:val="22"/>
        </w:rPr>
        <w:t>En estos</w:t>
      </w:r>
      <w:r>
        <w:rPr>
          <w:spacing w:val="-9"/>
          <w:sz w:val="22"/>
        </w:rPr>
        <w:t> </w:t>
      </w:r>
      <w:r>
        <w:rPr>
          <w:sz w:val="22"/>
        </w:rPr>
        <w:t>se</w:t>
      </w:r>
      <w:r>
        <w:rPr>
          <w:spacing w:val="-10"/>
          <w:sz w:val="22"/>
        </w:rPr>
        <w:t> </w:t>
      </w:r>
      <w:r>
        <w:rPr>
          <w:sz w:val="22"/>
        </w:rPr>
        <w:t>incluye</w:t>
      </w:r>
      <w:r>
        <w:rPr>
          <w:spacing w:val="-8"/>
          <w:sz w:val="22"/>
        </w:rPr>
        <w:t> </w:t>
      </w:r>
      <w:r>
        <w:rPr>
          <w:sz w:val="22"/>
        </w:rPr>
        <w:t>el</w:t>
      </w:r>
      <w:r>
        <w:rPr>
          <w:spacing w:val="-8"/>
          <w:sz w:val="22"/>
        </w:rPr>
        <w:t> </w:t>
      </w:r>
      <w:r>
        <w:rPr>
          <w:sz w:val="22"/>
        </w:rPr>
        <w:t>uso</w:t>
      </w:r>
      <w:r>
        <w:rPr>
          <w:spacing w:val="-10"/>
          <w:sz w:val="22"/>
        </w:rPr>
        <w:t> </w:t>
      </w:r>
      <w:r>
        <w:rPr>
          <w:sz w:val="22"/>
        </w:rPr>
        <w:t>de</w:t>
      </w:r>
      <w:r>
        <w:rPr>
          <w:spacing w:val="-8"/>
          <w:sz w:val="22"/>
        </w:rPr>
        <w:t> </w:t>
      </w:r>
      <w:r>
        <w:rPr>
          <w:sz w:val="22"/>
        </w:rPr>
        <w:t>bienes</w:t>
      </w:r>
      <w:r>
        <w:rPr>
          <w:spacing w:val="-8"/>
          <w:sz w:val="22"/>
        </w:rPr>
        <w:t> </w:t>
      </w:r>
      <w:r>
        <w:rPr>
          <w:sz w:val="22"/>
        </w:rPr>
        <w:t>y</w:t>
      </w:r>
      <w:r>
        <w:rPr>
          <w:spacing w:val="-11"/>
          <w:sz w:val="22"/>
        </w:rPr>
        <w:t> </w:t>
      </w:r>
      <w:r>
        <w:rPr>
          <w:sz w:val="22"/>
        </w:rPr>
        <w:t>servicios</w:t>
      </w:r>
      <w:r>
        <w:rPr>
          <w:spacing w:val="-8"/>
          <w:sz w:val="22"/>
        </w:rPr>
        <w:t> </w:t>
      </w:r>
      <w:r>
        <w:rPr>
          <w:sz w:val="22"/>
        </w:rPr>
        <w:t>en</w:t>
      </w:r>
      <w:r>
        <w:rPr>
          <w:spacing w:val="-10"/>
          <w:sz w:val="22"/>
        </w:rPr>
        <w:t> </w:t>
      </w:r>
      <w:r>
        <w:rPr>
          <w:sz w:val="22"/>
        </w:rPr>
        <w:t>la</w:t>
      </w:r>
      <w:r>
        <w:rPr>
          <w:spacing w:val="-10"/>
          <w:sz w:val="22"/>
        </w:rPr>
        <w:t> </w:t>
      </w:r>
      <w:r>
        <w:rPr>
          <w:sz w:val="22"/>
        </w:rPr>
        <w:t>formación</w:t>
      </w:r>
      <w:r>
        <w:rPr>
          <w:spacing w:val="-9"/>
          <w:sz w:val="22"/>
        </w:rPr>
        <w:t> </w:t>
      </w:r>
      <w:r>
        <w:rPr>
          <w:sz w:val="22"/>
        </w:rPr>
        <w:t>de</w:t>
      </w:r>
      <w:r>
        <w:rPr>
          <w:spacing w:val="-8"/>
          <w:sz w:val="22"/>
        </w:rPr>
        <w:t> </w:t>
      </w:r>
      <w:r>
        <w:rPr>
          <w:sz w:val="22"/>
        </w:rPr>
        <w:t>capital</w:t>
      </w:r>
      <w:r>
        <w:rPr>
          <w:spacing w:val="-10"/>
          <w:sz w:val="22"/>
        </w:rPr>
        <w:t> </w:t>
      </w:r>
      <w:r>
        <w:rPr>
          <w:sz w:val="22"/>
        </w:rPr>
        <w:t>por</w:t>
      </w:r>
      <w:r>
        <w:rPr>
          <w:spacing w:val="-10"/>
          <w:sz w:val="22"/>
        </w:rPr>
        <w:t> </w:t>
      </w:r>
      <w:r>
        <w:rPr>
          <w:sz w:val="22"/>
        </w:rPr>
        <w:t>cuenta</w:t>
      </w:r>
      <w:r>
        <w:rPr>
          <w:spacing w:val="-8"/>
          <w:sz w:val="22"/>
        </w:rPr>
        <w:t> </w:t>
      </w:r>
      <w:r>
        <w:rPr>
          <w:sz w:val="22"/>
        </w:rPr>
        <w:t>propia,</w:t>
      </w:r>
      <w:r>
        <w:rPr>
          <w:spacing w:val="-8"/>
          <w:sz w:val="22"/>
        </w:rPr>
        <w:t> </w:t>
      </w:r>
      <w:r>
        <w:rPr>
          <w:sz w:val="22"/>
        </w:rPr>
        <w:t>y</w:t>
      </w:r>
      <w:r>
        <w:rPr>
          <w:spacing w:val="-11"/>
          <w:sz w:val="22"/>
        </w:rPr>
        <w:t> </w:t>
      </w:r>
      <w:r>
        <w:rPr>
          <w:sz w:val="22"/>
        </w:rPr>
        <w:t>bienes que</w:t>
      </w:r>
      <w:r>
        <w:rPr>
          <w:spacing w:val="-8"/>
          <w:sz w:val="22"/>
        </w:rPr>
        <w:t> </w:t>
      </w:r>
      <w:r>
        <w:rPr>
          <w:sz w:val="22"/>
        </w:rPr>
        <w:t>el</w:t>
      </w:r>
      <w:r>
        <w:rPr>
          <w:spacing w:val="-6"/>
          <w:sz w:val="22"/>
        </w:rPr>
        <w:t> </w:t>
      </w:r>
      <w:r>
        <w:rPr>
          <w:sz w:val="22"/>
        </w:rPr>
        <w:t>gobierno</w:t>
      </w:r>
      <w:r>
        <w:rPr>
          <w:spacing w:val="-7"/>
          <w:sz w:val="22"/>
        </w:rPr>
        <w:t> </w:t>
      </w:r>
      <w:r>
        <w:rPr>
          <w:sz w:val="22"/>
        </w:rPr>
        <w:t>adquiere</w:t>
      </w:r>
      <w:r>
        <w:rPr>
          <w:spacing w:val="-10"/>
          <w:sz w:val="22"/>
        </w:rPr>
        <w:t> </w:t>
      </w:r>
      <w:r>
        <w:rPr>
          <w:sz w:val="22"/>
        </w:rPr>
        <w:t>y</w:t>
      </w:r>
      <w:r>
        <w:rPr>
          <w:spacing w:val="-10"/>
          <w:sz w:val="22"/>
        </w:rPr>
        <w:t> </w:t>
      </w:r>
      <w:r>
        <w:rPr>
          <w:sz w:val="22"/>
        </w:rPr>
        <w:t>distribuye</w:t>
      </w:r>
      <w:r>
        <w:rPr>
          <w:spacing w:val="-7"/>
          <w:sz w:val="22"/>
        </w:rPr>
        <w:t> </w:t>
      </w:r>
      <w:r>
        <w:rPr>
          <w:sz w:val="22"/>
        </w:rPr>
        <w:t>sin</w:t>
      </w:r>
      <w:r>
        <w:rPr>
          <w:spacing w:val="-10"/>
          <w:sz w:val="22"/>
        </w:rPr>
        <w:t> </w:t>
      </w:r>
      <w:r>
        <w:rPr>
          <w:sz w:val="22"/>
        </w:rPr>
        <w:t>transformación</w:t>
      </w:r>
      <w:r>
        <w:rPr>
          <w:spacing w:val="-7"/>
          <w:sz w:val="22"/>
        </w:rPr>
        <w:t> </w:t>
      </w:r>
      <w:r>
        <w:rPr>
          <w:sz w:val="22"/>
        </w:rPr>
        <w:t>alguna.</w:t>
      </w:r>
      <w:r>
        <w:rPr>
          <w:spacing w:val="-8"/>
          <w:sz w:val="22"/>
        </w:rPr>
        <w:t> </w:t>
      </w:r>
      <w:r>
        <w:rPr>
          <w:sz w:val="22"/>
        </w:rPr>
        <w:t>Entre</w:t>
      </w:r>
      <w:r>
        <w:rPr>
          <w:spacing w:val="-9"/>
          <w:sz w:val="22"/>
        </w:rPr>
        <w:t> </w:t>
      </w:r>
      <w:r>
        <w:rPr>
          <w:sz w:val="22"/>
        </w:rPr>
        <w:t>las</w:t>
      </w:r>
      <w:r>
        <w:rPr>
          <w:spacing w:val="-9"/>
          <w:sz w:val="22"/>
        </w:rPr>
        <w:t> </w:t>
      </w:r>
      <w:r>
        <w:rPr>
          <w:sz w:val="22"/>
        </w:rPr>
        <w:t>principales</w:t>
      </w:r>
      <w:r>
        <w:rPr>
          <w:spacing w:val="-9"/>
          <w:sz w:val="22"/>
        </w:rPr>
        <w:t> </w:t>
      </w:r>
      <w:r>
        <w:rPr>
          <w:sz w:val="22"/>
        </w:rPr>
        <w:t>diferencias con la metodología nacional se encuentra la no inclusión de equipo militar, sentencias judiciales y las primas y gastos de seguros y</w:t>
      </w:r>
      <w:r>
        <w:rPr>
          <w:spacing w:val="-7"/>
          <w:sz w:val="22"/>
        </w:rPr>
        <w:t> </w:t>
      </w:r>
      <w:r>
        <w:rPr>
          <w:sz w:val="22"/>
        </w:rPr>
        <w:t>fianzas.</w:t>
      </w:r>
    </w:p>
    <w:p>
      <w:pPr>
        <w:pStyle w:val="BodyText"/>
        <w:spacing w:before="1"/>
        <w:rPr>
          <w:sz w:val="25"/>
        </w:rPr>
      </w:pPr>
    </w:p>
    <w:p>
      <w:pPr>
        <w:pStyle w:val="BodyText"/>
        <w:spacing w:line="276" w:lineRule="auto"/>
        <w:ind w:left="921" w:right="1695"/>
        <w:jc w:val="both"/>
      </w:pPr>
      <w:r>
        <w:rPr/>
        <w:t>En</w:t>
      </w:r>
      <w:r>
        <w:rPr>
          <w:spacing w:val="-5"/>
        </w:rPr>
        <w:t> </w:t>
      </w:r>
      <w:r>
        <w:rPr/>
        <w:t>materia</w:t>
      </w:r>
      <w:r>
        <w:rPr>
          <w:spacing w:val="-6"/>
        </w:rPr>
        <w:t> </w:t>
      </w:r>
      <w:r>
        <w:rPr/>
        <w:t>de</w:t>
      </w:r>
      <w:r>
        <w:rPr>
          <w:spacing w:val="-4"/>
        </w:rPr>
        <w:t> </w:t>
      </w:r>
      <w:r>
        <w:rPr/>
        <w:t>Uso</w:t>
      </w:r>
      <w:r>
        <w:rPr>
          <w:spacing w:val="-3"/>
        </w:rPr>
        <w:t> </w:t>
      </w:r>
      <w:r>
        <w:rPr/>
        <w:t>de</w:t>
      </w:r>
      <w:r>
        <w:rPr>
          <w:spacing w:val="-3"/>
        </w:rPr>
        <w:t> </w:t>
      </w:r>
      <w:r>
        <w:rPr/>
        <w:t>bienes</w:t>
      </w:r>
      <w:r>
        <w:rPr>
          <w:spacing w:val="-4"/>
        </w:rPr>
        <w:t> </w:t>
      </w:r>
      <w:r>
        <w:rPr/>
        <w:t>y</w:t>
      </w:r>
      <w:r>
        <w:rPr>
          <w:spacing w:val="-6"/>
        </w:rPr>
        <w:t> </w:t>
      </w:r>
      <w:r>
        <w:rPr/>
        <w:t>servicios,</w:t>
      </w:r>
      <w:r>
        <w:rPr>
          <w:spacing w:val="-3"/>
        </w:rPr>
        <w:t> </w:t>
      </w:r>
      <w:r>
        <w:rPr/>
        <w:t>el</w:t>
      </w:r>
      <w:r>
        <w:rPr>
          <w:spacing w:val="-4"/>
        </w:rPr>
        <w:t> </w:t>
      </w:r>
      <w:r>
        <w:rPr/>
        <w:t>Gobierno</w:t>
      </w:r>
      <w:r>
        <w:rPr>
          <w:spacing w:val="-4"/>
        </w:rPr>
        <w:t> </w:t>
      </w:r>
      <w:r>
        <w:rPr/>
        <w:t>Central</w:t>
      </w:r>
      <w:r>
        <w:rPr>
          <w:spacing w:val="-3"/>
        </w:rPr>
        <w:t> </w:t>
      </w:r>
      <w:r>
        <w:rPr/>
        <w:t>Presupuestario</w:t>
      </w:r>
      <w:r>
        <w:rPr>
          <w:spacing w:val="-5"/>
        </w:rPr>
        <w:t> </w:t>
      </w:r>
      <w:r>
        <w:rPr/>
        <w:t>gasta</w:t>
      </w:r>
      <w:r>
        <w:rPr>
          <w:spacing w:val="-6"/>
        </w:rPr>
        <w:t> </w:t>
      </w:r>
      <w:r>
        <w:rPr/>
        <w:t>el</w:t>
      </w:r>
      <w:r>
        <w:rPr>
          <w:spacing w:val="-3"/>
        </w:rPr>
        <w:t> </w:t>
      </w:r>
      <w:r>
        <w:rPr/>
        <w:t>equivalente al</w:t>
      </w:r>
      <w:r>
        <w:rPr>
          <w:spacing w:val="-7"/>
        </w:rPr>
        <w:t> </w:t>
      </w:r>
      <w:r>
        <w:rPr/>
        <w:t>2.0%</w:t>
      </w:r>
      <w:r>
        <w:rPr>
          <w:spacing w:val="-10"/>
        </w:rPr>
        <w:t> </w:t>
      </w:r>
      <w:r>
        <w:rPr/>
        <w:t>del</w:t>
      </w:r>
      <w:r>
        <w:rPr>
          <w:spacing w:val="-8"/>
        </w:rPr>
        <w:t> </w:t>
      </w:r>
      <w:r>
        <w:rPr/>
        <w:t>PIB</w:t>
      </w:r>
      <w:r>
        <w:rPr>
          <w:spacing w:val="-9"/>
        </w:rPr>
        <w:t> </w:t>
      </w:r>
      <w:r>
        <w:rPr/>
        <w:t>mientras</w:t>
      </w:r>
      <w:r>
        <w:rPr>
          <w:spacing w:val="-9"/>
        </w:rPr>
        <w:t> </w:t>
      </w:r>
      <w:r>
        <w:rPr/>
        <w:t>que,</w:t>
      </w:r>
      <w:r>
        <w:rPr>
          <w:spacing w:val="-8"/>
        </w:rPr>
        <w:t> </w:t>
      </w:r>
      <w:r>
        <w:rPr/>
        <w:t>desde</w:t>
      </w:r>
      <w:r>
        <w:rPr>
          <w:spacing w:val="-10"/>
        </w:rPr>
        <w:t> </w:t>
      </w:r>
      <w:r>
        <w:rPr/>
        <w:t>la</w:t>
      </w:r>
      <w:r>
        <w:rPr>
          <w:spacing w:val="-11"/>
        </w:rPr>
        <w:t> </w:t>
      </w:r>
      <w:r>
        <w:rPr/>
        <w:t>perspectiva</w:t>
      </w:r>
      <w:r>
        <w:rPr>
          <w:spacing w:val="-8"/>
        </w:rPr>
        <w:t> </w:t>
      </w:r>
      <w:r>
        <w:rPr/>
        <w:t>del</w:t>
      </w:r>
      <w:r>
        <w:rPr>
          <w:spacing w:val="-7"/>
        </w:rPr>
        <w:t> </w:t>
      </w:r>
      <w:r>
        <w:rPr/>
        <w:t>estándar</w:t>
      </w:r>
      <w:r>
        <w:rPr>
          <w:spacing w:val="-10"/>
        </w:rPr>
        <w:t> </w:t>
      </w:r>
      <w:r>
        <w:rPr/>
        <w:t>nacional,</w:t>
      </w:r>
      <w:r>
        <w:rPr>
          <w:spacing w:val="-11"/>
        </w:rPr>
        <w:t> </w:t>
      </w:r>
      <w:r>
        <w:rPr/>
        <w:t>este</w:t>
      </w:r>
      <w:r>
        <w:rPr>
          <w:spacing w:val="-11"/>
        </w:rPr>
        <w:t> </w:t>
      </w:r>
      <w:r>
        <w:rPr/>
        <w:t>es</w:t>
      </w:r>
      <w:r>
        <w:rPr>
          <w:spacing w:val="-10"/>
        </w:rPr>
        <w:t> </w:t>
      </w:r>
      <w:r>
        <w:rPr/>
        <w:t>de</w:t>
      </w:r>
      <w:r>
        <w:rPr>
          <w:spacing w:val="-10"/>
        </w:rPr>
        <w:t> </w:t>
      </w:r>
      <w:r>
        <w:rPr/>
        <w:t>2.1%</w:t>
      </w:r>
      <w:r>
        <w:rPr>
          <w:spacing w:val="-10"/>
        </w:rPr>
        <w:t> </w:t>
      </w:r>
      <w:r>
        <w:rPr/>
        <w:t>del</w:t>
      </w:r>
      <w:r>
        <w:rPr>
          <w:spacing w:val="-10"/>
        </w:rPr>
        <w:t> </w:t>
      </w:r>
      <w:r>
        <w:rPr>
          <w:spacing w:val="-3"/>
        </w:rPr>
        <w:t>PIB.</w:t>
      </w:r>
    </w:p>
    <w:p>
      <w:pPr>
        <w:pStyle w:val="BodyText"/>
        <w:spacing w:before="3"/>
        <w:rPr>
          <w:sz w:val="25"/>
        </w:rPr>
      </w:pPr>
    </w:p>
    <w:p>
      <w:pPr>
        <w:pStyle w:val="ListParagraph"/>
        <w:numPr>
          <w:ilvl w:val="0"/>
          <w:numId w:val="55"/>
        </w:numPr>
        <w:tabs>
          <w:tab w:pos="922" w:val="left" w:leader="none"/>
        </w:tabs>
        <w:spacing w:line="276" w:lineRule="auto" w:before="0" w:after="0"/>
        <w:ind w:left="921" w:right="1698" w:hanging="360"/>
        <w:jc w:val="both"/>
        <w:rPr>
          <w:sz w:val="22"/>
        </w:rPr>
      </w:pPr>
      <w:r>
        <w:rPr>
          <w:sz w:val="22"/>
          <w:u w:val="single"/>
        </w:rPr>
        <w:t>Consumo de capital fijo,</w:t>
      </w:r>
      <w:r>
        <w:rPr>
          <w:sz w:val="22"/>
        </w:rPr>
        <w:t> este se define como el consumo o disminución de activos fijos para la producción de un bien o servicio, el cual causa deterioro, pérdida de valor o daños en el activo. Cabe</w:t>
      </w:r>
      <w:r>
        <w:rPr>
          <w:spacing w:val="-7"/>
          <w:sz w:val="22"/>
        </w:rPr>
        <w:t> </w:t>
      </w:r>
      <w:r>
        <w:rPr>
          <w:sz w:val="22"/>
        </w:rPr>
        <w:t>resaltar</w:t>
      </w:r>
      <w:r>
        <w:rPr>
          <w:spacing w:val="-8"/>
          <w:sz w:val="22"/>
        </w:rPr>
        <w:t> </w:t>
      </w:r>
      <w:r>
        <w:rPr>
          <w:sz w:val="22"/>
        </w:rPr>
        <w:t>que</w:t>
      </w:r>
      <w:r>
        <w:rPr>
          <w:spacing w:val="-8"/>
          <w:sz w:val="22"/>
        </w:rPr>
        <w:t> </w:t>
      </w:r>
      <w:r>
        <w:rPr>
          <w:sz w:val="22"/>
        </w:rPr>
        <w:t>actualmente</w:t>
      </w:r>
      <w:r>
        <w:rPr>
          <w:spacing w:val="-9"/>
          <w:sz w:val="22"/>
        </w:rPr>
        <w:t> </w:t>
      </w:r>
      <w:r>
        <w:rPr>
          <w:sz w:val="22"/>
        </w:rPr>
        <w:t>aún</w:t>
      </w:r>
      <w:r>
        <w:rPr>
          <w:spacing w:val="-7"/>
          <w:sz w:val="22"/>
        </w:rPr>
        <w:t> </w:t>
      </w:r>
      <w:r>
        <w:rPr>
          <w:sz w:val="22"/>
        </w:rPr>
        <w:t>no</w:t>
      </w:r>
      <w:r>
        <w:rPr>
          <w:spacing w:val="-6"/>
          <w:sz w:val="22"/>
        </w:rPr>
        <w:t> </w:t>
      </w:r>
      <w:r>
        <w:rPr>
          <w:sz w:val="22"/>
        </w:rPr>
        <w:t>se</w:t>
      </w:r>
      <w:r>
        <w:rPr>
          <w:spacing w:val="-7"/>
          <w:sz w:val="22"/>
        </w:rPr>
        <w:t> </w:t>
      </w:r>
      <w:r>
        <w:rPr>
          <w:sz w:val="22"/>
        </w:rPr>
        <w:t>presenta</w:t>
      </w:r>
      <w:r>
        <w:rPr>
          <w:spacing w:val="-8"/>
          <w:sz w:val="22"/>
        </w:rPr>
        <w:t> </w:t>
      </w:r>
      <w:r>
        <w:rPr>
          <w:sz w:val="22"/>
        </w:rPr>
        <w:t>información</w:t>
      </w:r>
      <w:r>
        <w:rPr>
          <w:spacing w:val="-7"/>
          <w:sz w:val="22"/>
        </w:rPr>
        <w:t> </w:t>
      </w:r>
      <w:r>
        <w:rPr>
          <w:sz w:val="22"/>
        </w:rPr>
        <w:t>de</w:t>
      </w:r>
      <w:r>
        <w:rPr>
          <w:spacing w:val="-9"/>
          <w:sz w:val="22"/>
        </w:rPr>
        <w:t> </w:t>
      </w:r>
      <w:r>
        <w:rPr>
          <w:sz w:val="22"/>
        </w:rPr>
        <w:t>esta</w:t>
      </w:r>
      <w:r>
        <w:rPr>
          <w:spacing w:val="-6"/>
          <w:sz w:val="22"/>
        </w:rPr>
        <w:t> </w:t>
      </w:r>
      <w:r>
        <w:rPr>
          <w:sz w:val="22"/>
        </w:rPr>
        <w:t>cuenta</w:t>
      </w:r>
      <w:r>
        <w:rPr>
          <w:spacing w:val="-7"/>
          <w:sz w:val="22"/>
        </w:rPr>
        <w:t> </w:t>
      </w:r>
      <w:r>
        <w:rPr>
          <w:sz w:val="22"/>
        </w:rPr>
        <w:t>y</w:t>
      </w:r>
      <w:r>
        <w:rPr>
          <w:spacing w:val="-9"/>
          <w:sz w:val="22"/>
        </w:rPr>
        <w:t> </w:t>
      </w:r>
      <w:r>
        <w:rPr>
          <w:sz w:val="22"/>
        </w:rPr>
        <w:t>la</w:t>
      </w:r>
      <w:r>
        <w:rPr>
          <w:spacing w:val="-9"/>
          <w:sz w:val="22"/>
        </w:rPr>
        <w:t> </w:t>
      </w:r>
      <w:r>
        <w:rPr>
          <w:sz w:val="22"/>
        </w:rPr>
        <w:t>misma</w:t>
      </w:r>
      <w:r>
        <w:rPr>
          <w:spacing w:val="-7"/>
          <w:sz w:val="22"/>
        </w:rPr>
        <w:t> </w:t>
      </w:r>
      <w:r>
        <w:rPr>
          <w:sz w:val="22"/>
        </w:rPr>
        <w:t>se</w:t>
      </w:r>
      <w:r>
        <w:rPr>
          <w:spacing w:val="-6"/>
          <w:sz w:val="22"/>
        </w:rPr>
        <w:t> </w:t>
      </w:r>
      <w:r>
        <w:rPr>
          <w:sz w:val="22"/>
        </w:rPr>
        <w:t>estará incorporando conforme se progrese la implementación de los estándares</w:t>
      </w:r>
      <w:r>
        <w:rPr>
          <w:spacing w:val="-19"/>
          <w:sz w:val="22"/>
        </w:rPr>
        <w:t> </w:t>
      </w:r>
      <w:r>
        <w:rPr>
          <w:sz w:val="22"/>
        </w:rPr>
        <w:t>internacionales.</w:t>
      </w:r>
    </w:p>
    <w:p>
      <w:pPr>
        <w:pStyle w:val="BodyText"/>
        <w:spacing w:before="1"/>
        <w:rPr>
          <w:sz w:val="25"/>
        </w:rPr>
      </w:pPr>
    </w:p>
    <w:p>
      <w:pPr>
        <w:pStyle w:val="ListParagraph"/>
        <w:numPr>
          <w:ilvl w:val="0"/>
          <w:numId w:val="55"/>
        </w:numPr>
        <w:tabs>
          <w:tab w:pos="922" w:val="left" w:leader="none"/>
        </w:tabs>
        <w:spacing w:line="276" w:lineRule="auto" w:before="0" w:after="0"/>
        <w:ind w:left="921" w:right="1701" w:hanging="360"/>
        <w:jc w:val="both"/>
        <w:rPr>
          <w:sz w:val="22"/>
        </w:rPr>
      </w:pPr>
      <w:r>
        <w:rPr>
          <w:sz w:val="22"/>
          <w:u w:val="single"/>
        </w:rPr>
        <w:t>Los intereses</w:t>
      </w:r>
      <w:r>
        <w:rPr>
          <w:sz w:val="22"/>
        </w:rPr>
        <w:t> son el retorno que reciben los propietarios de cierto tipo de activos financieros por poner a disposición de otros activos. En los estándares internacionales los descuentos de deuda no forman parte de la categoría de intereses, estos pasan a formar parte de la sección de transacciones en activos y</w:t>
      </w:r>
      <w:r>
        <w:rPr>
          <w:spacing w:val="-5"/>
          <w:sz w:val="22"/>
        </w:rPr>
        <w:t> </w:t>
      </w:r>
      <w:r>
        <w:rPr>
          <w:sz w:val="22"/>
        </w:rPr>
        <w:t>pasivos.</w:t>
      </w:r>
    </w:p>
    <w:p>
      <w:pPr>
        <w:pStyle w:val="BodyText"/>
        <w:spacing w:before="1"/>
        <w:rPr>
          <w:sz w:val="25"/>
        </w:rPr>
      </w:pPr>
    </w:p>
    <w:p>
      <w:pPr>
        <w:pStyle w:val="BodyText"/>
        <w:spacing w:line="278" w:lineRule="auto"/>
        <w:ind w:left="921" w:right="1701"/>
        <w:jc w:val="both"/>
      </w:pPr>
      <w:r>
        <w:rPr/>
        <w:t>El</w:t>
      </w:r>
      <w:r>
        <w:rPr>
          <w:spacing w:val="-9"/>
        </w:rPr>
        <w:t> </w:t>
      </w:r>
      <w:r>
        <w:rPr/>
        <w:t>gasto</w:t>
      </w:r>
      <w:r>
        <w:rPr>
          <w:spacing w:val="-12"/>
        </w:rPr>
        <w:t> </w:t>
      </w:r>
      <w:r>
        <w:rPr/>
        <w:t>realizado</w:t>
      </w:r>
      <w:r>
        <w:rPr>
          <w:spacing w:val="-8"/>
        </w:rPr>
        <w:t> </w:t>
      </w:r>
      <w:r>
        <w:rPr/>
        <w:t>para</w:t>
      </w:r>
      <w:r>
        <w:rPr>
          <w:spacing w:val="-9"/>
        </w:rPr>
        <w:t> </w:t>
      </w:r>
      <w:r>
        <w:rPr/>
        <w:t>el</w:t>
      </w:r>
      <w:r>
        <w:rPr>
          <w:spacing w:val="-9"/>
        </w:rPr>
        <w:t> </w:t>
      </w:r>
      <w:r>
        <w:rPr/>
        <w:t>pago</w:t>
      </w:r>
      <w:r>
        <w:rPr>
          <w:spacing w:val="-9"/>
        </w:rPr>
        <w:t> </w:t>
      </w:r>
      <w:r>
        <w:rPr/>
        <w:t>de</w:t>
      </w:r>
      <w:r>
        <w:rPr>
          <w:spacing w:val="-9"/>
        </w:rPr>
        <w:t> </w:t>
      </w:r>
      <w:r>
        <w:rPr/>
        <w:t>intereses</w:t>
      </w:r>
      <w:r>
        <w:rPr>
          <w:spacing w:val="-12"/>
        </w:rPr>
        <w:t> </w:t>
      </w:r>
      <w:r>
        <w:rPr/>
        <w:t>Gobierno</w:t>
      </w:r>
      <w:r>
        <w:rPr>
          <w:spacing w:val="-11"/>
        </w:rPr>
        <w:t> </w:t>
      </w:r>
      <w:r>
        <w:rPr/>
        <w:t>Central</w:t>
      </w:r>
      <w:r>
        <w:rPr>
          <w:spacing w:val="-11"/>
        </w:rPr>
        <w:t> </w:t>
      </w:r>
      <w:r>
        <w:rPr/>
        <w:t>Presupuestario</w:t>
      </w:r>
      <w:r>
        <w:rPr>
          <w:spacing w:val="-9"/>
        </w:rPr>
        <w:t> </w:t>
      </w:r>
      <w:r>
        <w:rPr/>
        <w:t>son</w:t>
      </w:r>
      <w:r>
        <w:rPr>
          <w:spacing w:val="-10"/>
        </w:rPr>
        <w:t> </w:t>
      </w:r>
      <w:r>
        <w:rPr/>
        <w:t>de</w:t>
      </w:r>
      <w:r>
        <w:rPr>
          <w:spacing w:val="-12"/>
        </w:rPr>
        <w:t> </w:t>
      </w:r>
      <w:r>
        <w:rPr/>
        <w:t>1.7%</w:t>
      </w:r>
      <w:r>
        <w:rPr>
          <w:spacing w:val="-10"/>
        </w:rPr>
        <w:t> </w:t>
      </w:r>
      <w:r>
        <w:rPr/>
        <w:t>del</w:t>
      </w:r>
      <w:r>
        <w:rPr>
          <w:spacing w:val="-11"/>
        </w:rPr>
        <w:t> </w:t>
      </w:r>
      <w:r>
        <w:rPr/>
        <w:t>PIB en 2021 acorde al MEFP</w:t>
      </w:r>
      <w:r>
        <w:rPr>
          <w:spacing w:val="-6"/>
        </w:rPr>
        <w:t> </w:t>
      </w:r>
      <w:r>
        <w:rPr/>
        <w:t>2014.</w:t>
      </w:r>
    </w:p>
    <w:p>
      <w:pPr>
        <w:pStyle w:val="BodyText"/>
        <w:spacing w:before="9"/>
        <w:rPr>
          <w:sz w:val="24"/>
        </w:rPr>
      </w:pPr>
    </w:p>
    <w:p>
      <w:pPr>
        <w:pStyle w:val="ListParagraph"/>
        <w:numPr>
          <w:ilvl w:val="0"/>
          <w:numId w:val="55"/>
        </w:numPr>
        <w:tabs>
          <w:tab w:pos="922" w:val="left" w:leader="none"/>
        </w:tabs>
        <w:spacing w:line="276" w:lineRule="auto" w:before="0" w:after="0"/>
        <w:ind w:left="921" w:right="1701" w:hanging="360"/>
        <w:jc w:val="both"/>
        <w:rPr>
          <w:sz w:val="22"/>
        </w:rPr>
      </w:pPr>
      <w:r>
        <w:rPr>
          <w:sz w:val="22"/>
          <w:u w:val="single"/>
        </w:rPr>
        <w:t>El subsidio</w:t>
      </w:r>
      <w:r>
        <w:rPr>
          <w:sz w:val="22"/>
        </w:rPr>
        <w:t> muestra las transferencias sin contrapartida que el gobierno hace a empresas de acuerdo con los niveles de su actividad productiva o según el nivel de bienes o servicios producidos. Esta categoría es exclusiva para los estándares</w:t>
      </w:r>
      <w:r>
        <w:rPr>
          <w:spacing w:val="-8"/>
          <w:sz w:val="22"/>
        </w:rPr>
        <w:t> </w:t>
      </w:r>
      <w:r>
        <w:rPr>
          <w:sz w:val="22"/>
        </w:rPr>
        <w:t>internacionales.</w:t>
      </w:r>
    </w:p>
    <w:p>
      <w:pPr>
        <w:spacing w:after="0" w:line="276" w:lineRule="auto"/>
        <w:jc w:val="both"/>
        <w:rPr>
          <w:sz w:val="22"/>
        </w:rPr>
        <w:sectPr>
          <w:pgSz w:w="12240" w:h="15840"/>
          <w:pgMar w:header="715" w:footer="688" w:top="1240" w:bottom="880" w:left="1140" w:right="0"/>
        </w:sectPr>
      </w:pPr>
    </w:p>
    <w:p>
      <w:pPr>
        <w:pStyle w:val="BodyText"/>
        <w:spacing w:line="276" w:lineRule="auto" w:before="162"/>
        <w:ind w:left="921" w:right="1696"/>
        <w:jc w:val="both"/>
      </w:pPr>
      <w:r>
        <w:rPr/>
        <w:t>Para el año 2021, los subsidios del Gobierno Central Presupuestario fueron equivalentes al</w:t>
      </w:r>
      <w:r>
        <w:rPr>
          <w:spacing w:val="-31"/>
        </w:rPr>
        <w:t> </w:t>
      </w:r>
      <w:r>
        <w:rPr/>
        <w:t>0.1% del PIB y en el estándar nacional, no existe una categoría específica para esta</w:t>
      </w:r>
      <w:r>
        <w:rPr>
          <w:spacing w:val="-21"/>
        </w:rPr>
        <w:t> </w:t>
      </w:r>
      <w:r>
        <w:rPr/>
        <w:t>descripción.</w:t>
      </w:r>
    </w:p>
    <w:p>
      <w:pPr>
        <w:pStyle w:val="BodyText"/>
        <w:spacing w:before="1"/>
        <w:rPr>
          <w:sz w:val="25"/>
        </w:rPr>
      </w:pPr>
    </w:p>
    <w:p>
      <w:pPr>
        <w:pStyle w:val="ListParagraph"/>
        <w:numPr>
          <w:ilvl w:val="0"/>
          <w:numId w:val="55"/>
        </w:numPr>
        <w:tabs>
          <w:tab w:pos="922" w:val="left" w:leader="none"/>
        </w:tabs>
        <w:spacing w:line="276" w:lineRule="auto" w:before="0" w:after="0"/>
        <w:ind w:left="921" w:right="1697" w:hanging="360"/>
        <w:jc w:val="both"/>
        <w:rPr>
          <w:sz w:val="22"/>
        </w:rPr>
      </w:pPr>
      <w:r>
        <w:rPr>
          <w:sz w:val="22"/>
          <w:u w:val="single"/>
        </w:rPr>
        <w:t>Las</w:t>
      </w:r>
      <w:r>
        <w:rPr>
          <w:spacing w:val="-9"/>
          <w:sz w:val="22"/>
          <w:u w:val="single"/>
        </w:rPr>
        <w:t> </w:t>
      </w:r>
      <w:r>
        <w:rPr>
          <w:sz w:val="22"/>
          <w:u w:val="single"/>
        </w:rPr>
        <w:t>donaciones</w:t>
      </w:r>
      <w:r>
        <w:rPr>
          <w:spacing w:val="-10"/>
          <w:sz w:val="22"/>
        </w:rPr>
        <w:t> </w:t>
      </w:r>
      <w:r>
        <w:rPr>
          <w:sz w:val="22"/>
        </w:rPr>
        <w:t>son</w:t>
      </w:r>
      <w:r>
        <w:rPr>
          <w:spacing w:val="-11"/>
          <w:sz w:val="22"/>
        </w:rPr>
        <w:t> </w:t>
      </w:r>
      <w:r>
        <w:rPr>
          <w:sz w:val="22"/>
        </w:rPr>
        <w:t>transferencias</w:t>
      </w:r>
      <w:r>
        <w:rPr>
          <w:spacing w:val="-10"/>
          <w:sz w:val="22"/>
        </w:rPr>
        <w:t> </w:t>
      </w:r>
      <w:r>
        <w:rPr>
          <w:sz w:val="22"/>
        </w:rPr>
        <w:t>que</w:t>
      </w:r>
      <w:r>
        <w:rPr>
          <w:spacing w:val="-11"/>
          <w:sz w:val="22"/>
        </w:rPr>
        <w:t> </w:t>
      </w:r>
      <w:r>
        <w:rPr>
          <w:sz w:val="22"/>
        </w:rPr>
        <w:t>se</w:t>
      </w:r>
      <w:r>
        <w:rPr>
          <w:spacing w:val="-10"/>
          <w:sz w:val="22"/>
        </w:rPr>
        <w:t> </w:t>
      </w:r>
      <w:r>
        <w:rPr>
          <w:sz w:val="22"/>
        </w:rPr>
        <w:t>pagan</w:t>
      </w:r>
      <w:r>
        <w:rPr>
          <w:spacing w:val="-11"/>
          <w:sz w:val="22"/>
        </w:rPr>
        <w:t> </w:t>
      </w:r>
      <w:r>
        <w:rPr>
          <w:sz w:val="22"/>
        </w:rPr>
        <w:t>a</w:t>
      </w:r>
      <w:r>
        <w:rPr>
          <w:spacing w:val="-11"/>
          <w:sz w:val="22"/>
        </w:rPr>
        <w:t> </w:t>
      </w:r>
      <w:r>
        <w:rPr>
          <w:sz w:val="22"/>
        </w:rPr>
        <w:t>otras</w:t>
      </w:r>
      <w:r>
        <w:rPr>
          <w:spacing w:val="-12"/>
          <w:sz w:val="22"/>
        </w:rPr>
        <w:t> </w:t>
      </w:r>
      <w:r>
        <w:rPr>
          <w:sz w:val="22"/>
        </w:rPr>
        <w:t>unidades</w:t>
      </w:r>
      <w:r>
        <w:rPr>
          <w:spacing w:val="-10"/>
          <w:sz w:val="22"/>
        </w:rPr>
        <w:t> </w:t>
      </w:r>
      <w:r>
        <w:rPr>
          <w:sz w:val="22"/>
        </w:rPr>
        <w:t>de</w:t>
      </w:r>
      <w:r>
        <w:rPr>
          <w:spacing w:val="-11"/>
          <w:sz w:val="22"/>
        </w:rPr>
        <w:t> </w:t>
      </w:r>
      <w:r>
        <w:rPr>
          <w:sz w:val="22"/>
        </w:rPr>
        <w:t>gobierno</w:t>
      </w:r>
      <w:r>
        <w:rPr>
          <w:spacing w:val="-9"/>
          <w:sz w:val="22"/>
        </w:rPr>
        <w:t> </w:t>
      </w:r>
      <w:r>
        <w:rPr>
          <w:sz w:val="22"/>
        </w:rPr>
        <w:t>general,</w:t>
      </w:r>
      <w:r>
        <w:rPr>
          <w:spacing w:val="-11"/>
          <w:sz w:val="22"/>
        </w:rPr>
        <w:t> </w:t>
      </w:r>
      <w:r>
        <w:rPr>
          <w:sz w:val="22"/>
        </w:rPr>
        <w:t>a</w:t>
      </w:r>
      <w:r>
        <w:rPr>
          <w:spacing w:val="-8"/>
          <w:sz w:val="22"/>
        </w:rPr>
        <w:t> </w:t>
      </w:r>
      <w:r>
        <w:rPr>
          <w:sz w:val="22"/>
        </w:rPr>
        <w:t>gobiernos extranjeros</w:t>
      </w:r>
      <w:r>
        <w:rPr>
          <w:spacing w:val="-9"/>
          <w:sz w:val="22"/>
        </w:rPr>
        <w:t> </w:t>
      </w:r>
      <w:r>
        <w:rPr>
          <w:sz w:val="22"/>
        </w:rPr>
        <w:t>o</w:t>
      </w:r>
      <w:r>
        <w:rPr>
          <w:spacing w:val="-9"/>
          <w:sz w:val="22"/>
        </w:rPr>
        <w:t> </w:t>
      </w:r>
      <w:r>
        <w:rPr>
          <w:sz w:val="22"/>
        </w:rPr>
        <w:t>a</w:t>
      </w:r>
      <w:r>
        <w:rPr>
          <w:spacing w:val="-11"/>
          <w:sz w:val="22"/>
        </w:rPr>
        <w:t> </w:t>
      </w:r>
      <w:r>
        <w:rPr>
          <w:sz w:val="22"/>
        </w:rPr>
        <w:t>organismos</w:t>
      </w:r>
      <w:r>
        <w:rPr>
          <w:spacing w:val="-8"/>
          <w:sz w:val="22"/>
        </w:rPr>
        <w:t> </w:t>
      </w:r>
      <w:r>
        <w:rPr>
          <w:sz w:val="22"/>
        </w:rPr>
        <w:t>internacionales,</w:t>
      </w:r>
      <w:r>
        <w:rPr>
          <w:spacing w:val="-9"/>
          <w:sz w:val="22"/>
        </w:rPr>
        <w:t> </w:t>
      </w:r>
      <w:r>
        <w:rPr>
          <w:sz w:val="22"/>
        </w:rPr>
        <w:t>que</w:t>
      </w:r>
      <w:r>
        <w:rPr>
          <w:spacing w:val="-11"/>
          <w:sz w:val="22"/>
        </w:rPr>
        <w:t> </w:t>
      </w:r>
      <w:r>
        <w:rPr>
          <w:sz w:val="22"/>
        </w:rPr>
        <w:t>no</w:t>
      </w:r>
      <w:r>
        <w:rPr>
          <w:spacing w:val="-9"/>
          <w:sz w:val="22"/>
        </w:rPr>
        <w:t> </w:t>
      </w:r>
      <w:r>
        <w:rPr>
          <w:sz w:val="22"/>
        </w:rPr>
        <w:t>encajan</w:t>
      </w:r>
      <w:r>
        <w:rPr>
          <w:spacing w:val="-10"/>
          <w:sz w:val="22"/>
        </w:rPr>
        <w:t> </w:t>
      </w:r>
      <w:r>
        <w:rPr>
          <w:sz w:val="22"/>
        </w:rPr>
        <w:t>en</w:t>
      </w:r>
      <w:r>
        <w:rPr>
          <w:spacing w:val="-9"/>
          <w:sz w:val="22"/>
        </w:rPr>
        <w:t> </w:t>
      </w:r>
      <w:r>
        <w:rPr>
          <w:sz w:val="22"/>
        </w:rPr>
        <w:t>la</w:t>
      </w:r>
      <w:r>
        <w:rPr>
          <w:spacing w:val="-12"/>
          <w:sz w:val="22"/>
        </w:rPr>
        <w:t> </w:t>
      </w:r>
      <w:r>
        <w:rPr>
          <w:sz w:val="22"/>
        </w:rPr>
        <w:t>definición</w:t>
      </w:r>
      <w:r>
        <w:rPr>
          <w:spacing w:val="-9"/>
          <w:sz w:val="22"/>
        </w:rPr>
        <w:t> </w:t>
      </w:r>
      <w:r>
        <w:rPr>
          <w:sz w:val="22"/>
        </w:rPr>
        <w:t>de</w:t>
      </w:r>
      <w:r>
        <w:rPr>
          <w:spacing w:val="-11"/>
          <w:sz w:val="22"/>
        </w:rPr>
        <w:t> </w:t>
      </w:r>
      <w:r>
        <w:rPr>
          <w:sz w:val="22"/>
        </w:rPr>
        <w:t>impuesto,</w:t>
      </w:r>
      <w:r>
        <w:rPr>
          <w:spacing w:val="-12"/>
          <w:sz w:val="22"/>
        </w:rPr>
        <w:t> </w:t>
      </w:r>
      <w:r>
        <w:rPr>
          <w:sz w:val="22"/>
        </w:rPr>
        <w:t>subsidio o contribución</w:t>
      </w:r>
      <w:r>
        <w:rPr>
          <w:spacing w:val="-1"/>
          <w:sz w:val="22"/>
        </w:rPr>
        <w:t> </w:t>
      </w:r>
      <w:r>
        <w:rPr>
          <w:sz w:val="22"/>
        </w:rPr>
        <w:t>social.</w:t>
      </w:r>
    </w:p>
    <w:p>
      <w:pPr>
        <w:pStyle w:val="BodyText"/>
        <w:spacing w:before="3"/>
        <w:rPr>
          <w:sz w:val="25"/>
        </w:rPr>
      </w:pPr>
    </w:p>
    <w:p>
      <w:pPr>
        <w:pStyle w:val="BodyText"/>
        <w:spacing w:line="276" w:lineRule="auto"/>
        <w:ind w:left="921" w:right="1702"/>
        <w:jc w:val="both"/>
      </w:pPr>
      <w:r>
        <w:rPr/>
        <w:t>Las donaciones que realiza el Gobierno Central Presupuestario equivalen al 3.2% del PIB y des estas, la mayoría se realizan a entidades públicas que pertenecen al Gobierno General las cuales incluye a los aportes que se brindan a la Universidad San Carlos de Guatemala, las Municipalidades y otras entidades descentralizadas y autónomas.</w:t>
      </w:r>
    </w:p>
    <w:p>
      <w:pPr>
        <w:pStyle w:val="BodyText"/>
        <w:spacing w:before="1"/>
        <w:rPr>
          <w:sz w:val="25"/>
        </w:rPr>
      </w:pPr>
    </w:p>
    <w:p>
      <w:pPr>
        <w:pStyle w:val="ListParagraph"/>
        <w:numPr>
          <w:ilvl w:val="0"/>
          <w:numId w:val="55"/>
        </w:numPr>
        <w:tabs>
          <w:tab w:pos="922" w:val="left" w:leader="none"/>
        </w:tabs>
        <w:spacing w:line="276" w:lineRule="auto" w:before="1" w:after="0"/>
        <w:ind w:left="921" w:right="1696" w:hanging="360"/>
        <w:jc w:val="both"/>
        <w:rPr>
          <w:sz w:val="22"/>
        </w:rPr>
      </w:pPr>
      <w:r>
        <w:rPr>
          <w:sz w:val="22"/>
          <w:u w:val="single"/>
        </w:rPr>
        <w:t>Las prestaciones sociales</w:t>
      </w:r>
      <w:r>
        <w:rPr>
          <w:sz w:val="22"/>
        </w:rPr>
        <w:t> son las transferencias que reciben los hogares y los trabajadores de las entidades</w:t>
      </w:r>
      <w:r>
        <w:rPr>
          <w:spacing w:val="-11"/>
          <w:sz w:val="22"/>
        </w:rPr>
        <w:t> </w:t>
      </w:r>
      <w:r>
        <w:rPr>
          <w:sz w:val="22"/>
        </w:rPr>
        <w:t>públicas,</w:t>
      </w:r>
      <w:r>
        <w:rPr>
          <w:spacing w:val="-11"/>
          <w:sz w:val="22"/>
        </w:rPr>
        <w:t> </w:t>
      </w:r>
      <w:r>
        <w:rPr>
          <w:sz w:val="22"/>
        </w:rPr>
        <w:t>con</w:t>
      </w:r>
      <w:r>
        <w:rPr>
          <w:spacing w:val="-11"/>
          <w:sz w:val="22"/>
        </w:rPr>
        <w:t> </w:t>
      </w:r>
      <w:r>
        <w:rPr>
          <w:sz w:val="22"/>
        </w:rPr>
        <w:t>el</w:t>
      </w:r>
      <w:r>
        <w:rPr>
          <w:spacing w:val="-13"/>
          <w:sz w:val="22"/>
        </w:rPr>
        <w:t> </w:t>
      </w:r>
      <w:r>
        <w:rPr>
          <w:sz w:val="22"/>
        </w:rPr>
        <w:t>fin</w:t>
      </w:r>
      <w:r>
        <w:rPr>
          <w:spacing w:val="-11"/>
          <w:sz w:val="22"/>
        </w:rPr>
        <w:t> </w:t>
      </w:r>
      <w:r>
        <w:rPr>
          <w:sz w:val="22"/>
        </w:rPr>
        <w:t>de</w:t>
      </w:r>
      <w:r>
        <w:rPr>
          <w:spacing w:val="-14"/>
          <w:sz w:val="22"/>
        </w:rPr>
        <w:t> </w:t>
      </w:r>
      <w:r>
        <w:rPr>
          <w:sz w:val="22"/>
        </w:rPr>
        <w:t>atender</w:t>
      </w:r>
      <w:r>
        <w:rPr>
          <w:spacing w:val="-13"/>
          <w:sz w:val="22"/>
        </w:rPr>
        <w:t> </w:t>
      </w:r>
      <w:r>
        <w:rPr>
          <w:sz w:val="22"/>
        </w:rPr>
        <w:t>las</w:t>
      </w:r>
      <w:r>
        <w:rPr>
          <w:spacing w:val="-13"/>
          <w:sz w:val="22"/>
        </w:rPr>
        <w:t> </w:t>
      </w:r>
      <w:r>
        <w:rPr>
          <w:sz w:val="22"/>
        </w:rPr>
        <w:t>necesidades</w:t>
      </w:r>
      <w:r>
        <w:rPr>
          <w:spacing w:val="-13"/>
          <w:sz w:val="22"/>
        </w:rPr>
        <w:t> </w:t>
      </w:r>
      <w:r>
        <w:rPr>
          <w:sz w:val="22"/>
        </w:rPr>
        <w:t>que</w:t>
      </w:r>
      <w:r>
        <w:rPr>
          <w:spacing w:val="-14"/>
          <w:sz w:val="22"/>
        </w:rPr>
        <w:t> </w:t>
      </w:r>
      <w:r>
        <w:rPr>
          <w:sz w:val="22"/>
        </w:rPr>
        <w:t>surgen</w:t>
      </w:r>
      <w:r>
        <w:rPr>
          <w:spacing w:val="-14"/>
          <w:sz w:val="22"/>
        </w:rPr>
        <w:t> </w:t>
      </w:r>
      <w:r>
        <w:rPr>
          <w:sz w:val="22"/>
        </w:rPr>
        <w:t>por</w:t>
      </w:r>
      <w:r>
        <w:rPr>
          <w:spacing w:val="-12"/>
          <w:sz w:val="22"/>
        </w:rPr>
        <w:t> </w:t>
      </w:r>
      <w:r>
        <w:rPr>
          <w:sz w:val="22"/>
        </w:rPr>
        <w:t>los</w:t>
      </w:r>
      <w:r>
        <w:rPr>
          <w:spacing w:val="-11"/>
          <w:sz w:val="22"/>
        </w:rPr>
        <w:t> </w:t>
      </w:r>
      <w:r>
        <w:rPr>
          <w:sz w:val="22"/>
        </w:rPr>
        <w:t>riesgos</w:t>
      </w:r>
      <w:r>
        <w:rPr>
          <w:spacing w:val="-10"/>
          <w:sz w:val="22"/>
        </w:rPr>
        <w:t> </w:t>
      </w:r>
      <w:r>
        <w:rPr>
          <w:sz w:val="22"/>
        </w:rPr>
        <w:t>sociales,</w:t>
      </w:r>
      <w:r>
        <w:rPr>
          <w:spacing w:val="-12"/>
          <w:sz w:val="22"/>
        </w:rPr>
        <w:t> </w:t>
      </w:r>
      <w:r>
        <w:rPr>
          <w:sz w:val="22"/>
        </w:rPr>
        <w:t>como son</w:t>
      </w:r>
      <w:r>
        <w:rPr>
          <w:spacing w:val="-11"/>
          <w:sz w:val="22"/>
        </w:rPr>
        <w:t> </w:t>
      </w:r>
      <w:r>
        <w:rPr>
          <w:sz w:val="22"/>
        </w:rPr>
        <w:t>las</w:t>
      </w:r>
      <w:r>
        <w:rPr>
          <w:spacing w:val="-11"/>
          <w:sz w:val="22"/>
        </w:rPr>
        <w:t> </w:t>
      </w:r>
      <w:r>
        <w:rPr>
          <w:sz w:val="22"/>
        </w:rPr>
        <w:t>enfermedades,</w:t>
      </w:r>
      <w:r>
        <w:rPr>
          <w:spacing w:val="-12"/>
          <w:sz w:val="22"/>
        </w:rPr>
        <w:t> </w:t>
      </w:r>
      <w:r>
        <w:rPr>
          <w:sz w:val="22"/>
        </w:rPr>
        <w:t>el</w:t>
      </w:r>
      <w:r>
        <w:rPr>
          <w:spacing w:val="-11"/>
          <w:sz w:val="22"/>
        </w:rPr>
        <w:t> </w:t>
      </w:r>
      <w:r>
        <w:rPr>
          <w:sz w:val="22"/>
        </w:rPr>
        <w:t>desempleo,</w:t>
      </w:r>
      <w:r>
        <w:rPr>
          <w:spacing w:val="-10"/>
          <w:sz w:val="22"/>
        </w:rPr>
        <w:t> </w:t>
      </w:r>
      <w:r>
        <w:rPr>
          <w:sz w:val="22"/>
        </w:rPr>
        <w:t>la</w:t>
      </w:r>
      <w:r>
        <w:rPr>
          <w:spacing w:val="-11"/>
          <w:sz w:val="22"/>
        </w:rPr>
        <w:t> </w:t>
      </w:r>
      <w:r>
        <w:rPr>
          <w:sz w:val="22"/>
        </w:rPr>
        <w:t>vejez,</w:t>
      </w:r>
      <w:r>
        <w:rPr>
          <w:spacing w:val="-12"/>
          <w:sz w:val="22"/>
        </w:rPr>
        <w:t> </w:t>
      </w:r>
      <w:r>
        <w:rPr>
          <w:sz w:val="22"/>
        </w:rPr>
        <w:t>la</w:t>
      </w:r>
      <w:r>
        <w:rPr>
          <w:spacing w:val="-11"/>
          <w:sz w:val="22"/>
        </w:rPr>
        <w:t> </w:t>
      </w:r>
      <w:r>
        <w:rPr>
          <w:sz w:val="22"/>
        </w:rPr>
        <w:t>vivienda,</w:t>
      </w:r>
      <w:r>
        <w:rPr>
          <w:spacing w:val="-12"/>
          <w:sz w:val="22"/>
        </w:rPr>
        <w:t> </w:t>
      </w:r>
      <w:r>
        <w:rPr>
          <w:sz w:val="22"/>
        </w:rPr>
        <w:t>la</w:t>
      </w:r>
      <w:r>
        <w:rPr>
          <w:spacing w:val="-13"/>
          <w:sz w:val="22"/>
        </w:rPr>
        <w:t> </w:t>
      </w:r>
      <w:r>
        <w:rPr>
          <w:sz w:val="22"/>
        </w:rPr>
        <w:t>educación</w:t>
      </w:r>
      <w:r>
        <w:rPr>
          <w:spacing w:val="-12"/>
          <w:sz w:val="22"/>
        </w:rPr>
        <w:t> </w:t>
      </w:r>
      <w:r>
        <w:rPr>
          <w:sz w:val="22"/>
        </w:rPr>
        <w:t>y</w:t>
      </w:r>
      <w:r>
        <w:rPr>
          <w:spacing w:val="-14"/>
          <w:sz w:val="22"/>
        </w:rPr>
        <w:t> </w:t>
      </w:r>
      <w:r>
        <w:rPr>
          <w:sz w:val="22"/>
        </w:rPr>
        <w:t>circunstancias</w:t>
      </w:r>
      <w:r>
        <w:rPr>
          <w:spacing w:val="-10"/>
          <w:sz w:val="22"/>
        </w:rPr>
        <w:t> </w:t>
      </w:r>
      <w:r>
        <w:rPr>
          <w:sz w:val="22"/>
        </w:rPr>
        <w:t>similares.</w:t>
      </w:r>
    </w:p>
    <w:p>
      <w:pPr>
        <w:pStyle w:val="BodyText"/>
        <w:spacing w:before="3"/>
        <w:rPr>
          <w:sz w:val="25"/>
        </w:rPr>
      </w:pPr>
    </w:p>
    <w:p>
      <w:pPr>
        <w:pStyle w:val="BodyText"/>
        <w:spacing w:line="276" w:lineRule="auto"/>
        <w:ind w:left="921" w:right="1700"/>
        <w:jc w:val="both"/>
      </w:pPr>
      <w:r>
        <w:rPr/>
        <w:t>El total de prestaciones sociales que otorgó el Gobierno Central Presupuestario en 2021, equivalen</w:t>
      </w:r>
      <w:r>
        <w:rPr>
          <w:spacing w:val="-5"/>
        </w:rPr>
        <w:t> </w:t>
      </w:r>
      <w:r>
        <w:rPr/>
        <w:t>a</w:t>
      </w:r>
      <w:r>
        <w:rPr>
          <w:spacing w:val="-7"/>
        </w:rPr>
        <w:t> </w:t>
      </w:r>
      <w:r>
        <w:rPr/>
        <w:t>0.9%</w:t>
      </w:r>
      <w:r>
        <w:rPr>
          <w:spacing w:val="-6"/>
        </w:rPr>
        <w:t> </w:t>
      </w:r>
      <w:r>
        <w:rPr/>
        <w:t>del</w:t>
      </w:r>
      <w:r>
        <w:rPr>
          <w:spacing w:val="-5"/>
        </w:rPr>
        <w:t> </w:t>
      </w:r>
      <w:r>
        <w:rPr/>
        <w:t>PIB</w:t>
      </w:r>
      <w:r>
        <w:rPr>
          <w:spacing w:val="-6"/>
        </w:rPr>
        <w:t> </w:t>
      </w:r>
      <w:r>
        <w:rPr/>
        <w:t>de</w:t>
      </w:r>
      <w:r>
        <w:rPr>
          <w:spacing w:val="-4"/>
        </w:rPr>
        <w:t> </w:t>
      </w:r>
      <w:r>
        <w:rPr/>
        <w:t>los</w:t>
      </w:r>
      <w:r>
        <w:rPr>
          <w:spacing w:val="-6"/>
        </w:rPr>
        <w:t> </w:t>
      </w:r>
      <w:r>
        <w:rPr/>
        <w:t>cuales</w:t>
      </w:r>
      <w:r>
        <w:rPr>
          <w:spacing w:val="-6"/>
        </w:rPr>
        <w:t> </w:t>
      </w:r>
      <w:r>
        <w:rPr/>
        <w:t>el</w:t>
      </w:r>
      <w:r>
        <w:rPr>
          <w:spacing w:val="-4"/>
        </w:rPr>
        <w:t> </w:t>
      </w:r>
      <w:r>
        <w:rPr/>
        <w:t>0.1%</w:t>
      </w:r>
      <w:r>
        <w:rPr>
          <w:spacing w:val="-6"/>
        </w:rPr>
        <w:t> </w:t>
      </w:r>
      <w:r>
        <w:rPr/>
        <w:t>del</w:t>
      </w:r>
      <w:r>
        <w:rPr>
          <w:spacing w:val="-3"/>
        </w:rPr>
        <w:t> </w:t>
      </w:r>
      <w:r>
        <w:rPr/>
        <w:t>PIB</w:t>
      </w:r>
      <w:r>
        <w:rPr>
          <w:spacing w:val="-3"/>
        </w:rPr>
        <w:t> </w:t>
      </w:r>
      <w:r>
        <w:rPr/>
        <w:t>se</w:t>
      </w:r>
      <w:r>
        <w:rPr>
          <w:spacing w:val="-6"/>
        </w:rPr>
        <w:t> </w:t>
      </w:r>
      <w:r>
        <w:rPr/>
        <w:t>produce</w:t>
      </w:r>
      <w:r>
        <w:rPr>
          <w:spacing w:val="-6"/>
        </w:rPr>
        <w:t> </w:t>
      </w:r>
      <w:r>
        <w:rPr/>
        <w:t>por</w:t>
      </w:r>
      <w:r>
        <w:rPr>
          <w:spacing w:val="-3"/>
        </w:rPr>
        <w:t> </w:t>
      </w:r>
      <w:r>
        <w:rPr/>
        <w:t>prestaciones</w:t>
      </w:r>
      <w:r>
        <w:rPr>
          <w:spacing w:val="-4"/>
        </w:rPr>
        <w:t> </w:t>
      </w:r>
      <w:r>
        <w:rPr/>
        <w:t>de</w:t>
      </w:r>
      <w:r>
        <w:rPr>
          <w:spacing w:val="-7"/>
        </w:rPr>
        <w:t> </w:t>
      </w:r>
      <w:r>
        <w:rPr/>
        <w:t>asistencia social y 0.8% del PIB en prestaciones sociales relacionadas con el</w:t>
      </w:r>
      <w:r>
        <w:rPr>
          <w:spacing w:val="-10"/>
        </w:rPr>
        <w:t> </w:t>
      </w:r>
      <w:r>
        <w:rPr/>
        <w:t>empleo.</w:t>
      </w:r>
    </w:p>
    <w:p>
      <w:pPr>
        <w:pStyle w:val="BodyText"/>
        <w:rPr>
          <w:sz w:val="25"/>
        </w:rPr>
      </w:pPr>
    </w:p>
    <w:p>
      <w:pPr>
        <w:pStyle w:val="ListParagraph"/>
        <w:numPr>
          <w:ilvl w:val="0"/>
          <w:numId w:val="55"/>
        </w:numPr>
        <w:tabs>
          <w:tab w:pos="922" w:val="left" w:leader="none"/>
        </w:tabs>
        <w:spacing w:line="276" w:lineRule="auto" w:before="0" w:after="0"/>
        <w:ind w:left="921" w:right="1699" w:hanging="360"/>
        <w:jc w:val="both"/>
        <w:rPr>
          <w:sz w:val="22"/>
        </w:rPr>
      </w:pPr>
      <w:r>
        <w:rPr>
          <w:sz w:val="22"/>
          <w:u w:val="single"/>
        </w:rPr>
        <w:t>Otros Gastos,</w:t>
      </w:r>
      <w:r>
        <w:rPr>
          <w:sz w:val="22"/>
        </w:rPr>
        <w:t> en este se incluyen los gastos de propiedad diferentes de intereses, como, gasto en arriendo o inversión de recursos naturales o de activos financieros; también considera las transferencias no incluidas en otras partidas, y primas, tasas e indemnizaciones pagaderas por seguros no de vida y sistemas de garantías</w:t>
      </w:r>
      <w:r>
        <w:rPr>
          <w:spacing w:val="-8"/>
          <w:sz w:val="22"/>
        </w:rPr>
        <w:t> </w:t>
      </w:r>
      <w:r>
        <w:rPr>
          <w:sz w:val="22"/>
        </w:rPr>
        <w:t>estandarizadas.</w:t>
      </w:r>
    </w:p>
    <w:p>
      <w:pPr>
        <w:pStyle w:val="BodyText"/>
        <w:spacing w:before="3"/>
        <w:rPr>
          <w:sz w:val="25"/>
        </w:rPr>
      </w:pPr>
    </w:p>
    <w:p>
      <w:pPr>
        <w:pStyle w:val="BodyText"/>
        <w:spacing w:line="276" w:lineRule="auto"/>
        <w:ind w:left="921" w:right="1698"/>
        <w:jc w:val="both"/>
      </w:pPr>
      <w:r>
        <w:rPr/>
        <w:t>Para el 2021, el gasto en esta categoría ascienda a 0.8% del PIB y principalmente es producto</w:t>
      </w:r>
      <w:r>
        <w:rPr>
          <w:spacing w:val="-34"/>
        </w:rPr>
        <w:t> </w:t>
      </w:r>
      <w:r>
        <w:rPr/>
        <w:t>de las transferencias no clasificadas en otra partida que equivale al 0.7% del</w:t>
      </w:r>
      <w:r>
        <w:rPr>
          <w:spacing w:val="-8"/>
        </w:rPr>
        <w:t> </w:t>
      </w:r>
      <w:r>
        <w:rPr/>
        <w:t>PIB.</w:t>
      </w:r>
    </w:p>
    <w:p>
      <w:pPr>
        <w:pStyle w:val="BodyText"/>
        <w:spacing w:before="9"/>
        <w:rPr>
          <w:sz w:val="25"/>
        </w:rPr>
      </w:pPr>
    </w:p>
    <w:p>
      <w:pPr>
        <w:pStyle w:val="Heading3"/>
        <w:numPr>
          <w:ilvl w:val="1"/>
          <w:numId w:val="54"/>
        </w:numPr>
        <w:tabs>
          <w:tab w:pos="1282" w:val="left" w:leader="none"/>
        </w:tabs>
        <w:spacing w:line="240" w:lineRule="auto" w:before="0" w:after="0"/>
        <w:ind w:left="1282" w:right="0" w:hanging="361"/>
        <w:jc w:val="left"/>
      </w:pPr>
      <w:bookmarkStart w:name="_bookmark237" w:id="311"/>
      <w:bookmarkEnd w:id="311"/>
      <w:r>
        <w:rPr>
          <w:b w:val="0"/>
        </w:rPr>
      </w:r>
      <w:bookmarkStart w:name="_bookmark237" w:id="312"/>
      <w:bookmarkEnd w:id="312"/>
      <w:r>
        <w:rPr/>
        <w:t>T</w:t>
      </w:r>
      <w:r>
        <w:rPr/>
        <w:t>ransacciones en Activos no Financieros del Gobierno Central</w:t>
      </w:r>
      <w:r>
        <w:rPr>
          <w:spacing w:val="-7"/>
        </w:rPr>
        <w:t> </w:t>
      </w:r>
      <w:r>
        <w:rPr/>
        <w:t>Presupuestario</w:t>
      </w:r>
    </w:p>
    <w:p>
      <w:pPr>
        <w:pStyle w:val="BodyText"/>
        <w:spacing w:before="1"/>
        <w:rPr>
          <w:b/>
          <w:sz w:val="28"/>
        </w:rPr>
      </w:pPr>
    </w:p>
    <w:p>
      <w:pPr>
        <w:pStyle w:val="BodyText"/>
        <w:spacing w:line="276" w:lineRule="auto"/>
        <w:ind w:left="562" w:right="1699"/>
        <w:jc w:val="both"/>
      </w:pPr>
      <w:r>
        <w:rPr/>
        <w:t>Las transacciones en activos y pasivos son todas aquellas que no generan una variación en el patrimonio neto, sobre este concepto se puede presentar tanto información de saldos como flujos y a su vez, estos pueden corresponder a lo que se considera como unas transacciones o a la clasificación de otros flujos económicos. Cabe resaltar que, estos no pueden compararse directamente con la metodología nacional dado que no existe esta clasificación y las operaciones solamente son clasificadas por ingreso o gasto.</w:t>
      </w:r>
    </w:p>
    <w:p>
      <w:pPr>
        <w:pStyle w:val="BodyText"/>
        <w:spacing w:line="276" w:lineRule="auto" w:before="120"/>
        <w:ind w:left="562" w:right="1697"/>
        <w:jc w:val="both"/>
      </w:pPr>
      <w:r>
        <w:rPr/>
        <w:t>Las</w:t>
      </w:r>
      <w:r>
        <w:rPr>
          <w:spacing w:val="-11"/>
        </w:rPr>
        <w:t> </w:t>
      </w:r>
      <w:r>
        <w:rPr/>
        <w:t>transacciones</w:t>
      </w:r>
      <w:r>
        <w:rPr>
          <w:spacing w:val="-10"/>
        </w:rPr>
        <w:t> </w:t>
      </w:r>
      <w:r>
        <w:rPr/>
        <w:t>se</w:t>
      </w:r>
      <w:r>
        <w:rPr>
          <w:spacing w:val="-10"/>
        </w:rPr>
        <w:t> </w:t>
      </w:r>
      <w:r>
        <w:rPr/>
        <w:t>dividen</w:t>
      </w:r>
      <w:r>
        <w:rPr>
          <w:spacing w:val="-9"/>
        </w:rPr>
        <w:t> </w:t>
      </w:r>
      <w:r>
        <w:rPr/>
        <w:t>en</w:t>
      </w:r>
      <w:r>
        <w:rPr>
          <w:spacing w:val="-10"/>
        </w:rPr>
        <w:t> </w:t>
      </w:r>
      <w:r>
        <w:rPr/>
        <w:t>activos</w:t>
      </w:r>
      <w:r>
        <w:rPr>
          <w:spacing w:val="-9"/>
        </w:rPr>
        <w:t> </w:t>
      </w:r>
      <w:r>
        <w:rPr/>
        <w:t>no</w:t>
      </w:r>
      <w:r>
        <w:rPr>
          <w:spacing w:val="-11"/>
        </w:rPr>
        <w:t> </w:t>
      </w:r>
      <w:r>
        <w:rPr/>
        <w:t>financieros</w:t>
      </w:r>
      <w:r>
        <w:rPr>
          <w:spacing w:val="-10"/>
        </w:rPr>
        <w:t> </w:t>
      </w:r>
      <w:r>
        <w:rPr/>
        <w:t>y</w:t>
      </w:r>
      <w:r>
        <w:rPr>
          <w:spacing w:val="-11"/>
        </w:rPr>
        <w:t> </w:t>
      </w:r>
      <w:r>
        <w:rPr/>
        <w:t>activos</w:t>
      </w:r>
      <w:r>
        <w:rPr>
          <w:spacing w:val="-8"/>
        </w:rPr>
        <w:t> </w:t>
      </w:r>
      <w:r>
        <w:rPr/>
        <w:t>y</w:t>
      </w:r>
      <w:r>
        <w:rPr>
          <w:spacing w:val="-11"/>
        </w:rPr>
        <w:t> </w:t>
      </w:r>
      <w:r>
        <w:rPr/>
        <w:t>pasivos</w:t>
      </w:r>
      <w:r>
        <w:rPr>
          <w:spacing w:val="-10"/>
        </w:rPr>
        <w:t> </w:t>
      </w:r>
      <w:r>
        <w:rPr/>
        <w:t>financieros,</w:t>
      </w:r>
      <w:r>
        <w:rPr>
          <w:spacing w:val="-11"/>
        </w:rPr>
        <w:t> </w:t>
      </w:r>
      <w:r>
        <w:rPr/>
        <w:t>siendo</w:t>
      </w:r>
      <w:r>
        <w:rPr>
          <w:spacing w:val="-10"/>
        </w:rPr>
        <w:t> </w:t>
      </w:r>
      <w:r>
        <w:rPr/>
        <w:t>en</w:t>
      </w:r>
      <w:r>
        <w:rPr>
          <w:spacing w:val="-10"/>
        </w:rPr>
        <w:t> </w:t>
      </w:r>
      <w:r>
        <w:rPr/>
        <w:t>estos dos últimos donde se presenta la información sobre los mecanismos financiamiento para cubrir el endeudamiento o bien para reflejar los préstamos que se otorga ante un resultado superavitario en el estado de operaciones. En los activos no Financieros se puede dividir en los producidos y los </w:t>
      </w:r>
      <w:r>
        <w:rPr>
          <w:spacing w:val="-3"/>
        </w:rPr>
        <w:t>no  </w:t>
      </w:r>
      <w:r>
        <w:rPr/>
        <w:t>producidos.</w:t>
      </w:r>
    </w:p>
    <w:p>
      <w:pPr>
        <w:pStyle w:val="BodyText"/>
        <w:spacing w:before="122"/>
        <w:ind w:left="562"/>
        <w:jc w:val="both"/>
      </w:pPr>
      <w:r>
        <w:rPr/>
        <w:t>Los activos producidos, abarcan:</w:t>
      </w:r>
    </w:p>
    <w:p>
      <w:pPr>
        <w:spacing w:after="0"/>
        <w:jc w:val="both"/>
        <w:sectPr>
          <w:pgSz w:w="12240" w:h="15840"/>
          <w:pgMar w:header="715" w:footer="688" w:top="1240" w:bottom="880" w:left="1140" w:right="0"/>
        </w:sectPr>
      </w:pPr>
    </w:p>
    <w:p>
      <w:pPr>
        <w:pStyle w:val="ListParagraph"/>
        <w:numPr>
          <w:ilvl w:val="0"/>
          <w:numId w:val="55"/>
        </w:numPr>
        <w:tabs>
          <w:tab w:pos="922" w:val="left" w:leader="none"/>
        </w:tabs>
        <w:spacing w:line="276" w:lineRule="auto" w:before="161" w:after="0"/>
        <w:ind w:left="921" w:right="1700" w:hanging="360"/>
        <w:jc w:val="both"/>
        <w:rPr>
          <w:sz w:val="22"/>
        </w:rPr>
      </w:pPr>
      <w:r>
        <w:rPr>
          <w:sz w:val="22"/>
          <w:u w:val="single"/>
        </w:rPr>
        <w:t>Activos fijos:</w:t>
      </w:r>
      <w:r>
        <w:rPr>
          <w:sz w:val="22"/>
        </w:rPr>
        <w:t> son activos producidos utilizados en el proceso productivo por más de un año y se clasifican en edificios y estructuras, maquinaria y equipo, otros activos fijos y sistemas de armamentos.</w:t>
      </w:r>
    </w:p>
    <w:p>
      <w:pPr>
        <w:pStyle w:val="BodyText"/>
        <w:rPr>
          <w:sz w:val="25"/>
        </w:rPr>
      </w:pPr>
    </w:p>
    <w:p>
      <w:pPr>
        <w:pStyle w:val="BodyText"/>
        <w:spacing w:line="276" w:lineRule="auto"/>
        <w:ind w:left="921" w:right="1697"/>
        <w:jc w:val="both"/>
      </w:pPr>
      <w:r>
        <w:rPr/>
        <w:t>Los Activos Fijos adquiridos por el Gobierno Central Presupuestario equivalen al 0.6% del PIB en 2021 y representa practicante la totalidad de la inversión bruta en activos no financieros. Este está conformado por la adquisición de edificios y estructuras (incluye la construcción de carreteras) que equivale el 0.5% del PIB y maquinaria y equipo por 0.1% del PIB.</w:t>
      </w:r>
    </w:p>
    <w:p>
      <w:pPr>
        <w:pStyle w:val="BodyText"/>
        <w:spacing w:before="2"/>
        <w:rPr>
          <w:sz w:val="25"/>
        </w:rPr>
      </w:pPr>
    </w:p>
    <w:p>
      <w:pPr>
        <w:pStyle w:val="ListParagraph"/>
        <w:numPr>
          <w:ilvl w:val="0"/>
          <w:numId w:val="55"/>
        </w:numPr>
        <w:tabs>
          <w:tab w:pos="922" w:val="left" w:leader="none"/>
        </w:tabs>
        <w:spacing w:line="276" w:lineRule="auto" w:before="0" w:after="0"/>
        <w:ind w:left="921" w:right="1696" w:hanging="360"/>
        <w:jc w:val="both"/>
        <w:rPr>
          <w:sz w:val="22"/>
        </w:rPr>
      </w:pPr>
      <w:r>
        <w:rPr>
          <w:sz w:val="22"/>
          <w:u w:val="single"/>
        </w:rPr>
        <w:t>Existencias:</w:t>
      </w:r>
      <w:r>
        <w:rPr>
          <w:sz w:val="22"/>
        </w:rPr>
        <w:t> son bienes y servicios producidos y que se mantienen ya sea para ser vendidos, ser utilizados en la producción o ser destinados a otro uso en una fecha posterior. Entre estos se encuentran</w:t>
      </w:r>
      <w:r>
        <w:rPr>
          <w:spacing w:val="-11"/>
          <w:sz w:val="22"/>
        </w:rPr>
        <w:t> </w:t>
      </w:r>
      <w:r>
        <w:rPr>
          <w:sz w:val="22"/>
        </w:rPr>
        <w:t>materiales</w:t>
      </w:r>
      <w:r>
        <w:rPr>
          <w:spacing w:val="-11"/>
          <w:sz w:val="22"/>
        </w:rPr>
        <w:t> </w:t>
      </w:r>
      <w:r>
        <w:rPr>
          <w:sz w:val="22"/>
        </w:rPr>
        <w:t>y</w:t>
      </w:r>
      <w:r>
        <w:rPr>
          <w:spacing w:val="-14"/>
          <w:sz w:val="22"/>
        </w:rPr>
        <w:t> </w:t>
      </w:r>
      <w:r>
        <w:rPr>
          <w:sz w:val="22"/>
        </w:rPr>
        <w:t>suministros,</w:t>
      </w:r>
      <w:r>
        <w:rPr>
          <w:spacing w:val="-10"/>
          <w:sz w:val="22"/>
        </w:rPr>
        <w:t> </w:t>
      </w:r>
      <w:r>
        <w:rPr>
          <w:sz w:val="22"/>
        </w:rPr>
        <w:t>trabajos</w:t>
      </w:r>
      <w:r>
        <w:rPr>
          <w:spacing w:val="-14"/>
          <w:sz w:val="22"/>
        </w:rPr>
        <w:t> </w:t>
      </w:r>
      <w:r>
        <w:rPr>
          <w:sz w:val="22"/>
        </w:rPr>
        <w:t>en</w:t>
      </w:r>
      <w:r>
        <w:rPr>
          <w:spacing w:val="-11"/>
          <w:sz w:val="22"/>
        </w:rPr>
        <w:t> </w:t>
      </w:r>
      <w:r>
        <w:rPr>
          <w:sz w:val="22"/>
        </w:rPr>
        <w:t>curso,</w:t>
      </w:r>
      <w:r>
        <w:rPr>
          <w:spacing w:val="-13"/>
          <w:sz w:val="22"/>
        </w:rPr>
        <w:t> </w:t>
      </w:r>
      <w:r>
        <w:rPr>
          <w:sz w:val="22"/>
        </w:rPr>
        <w:t>productos</w:t>
      </w:r>
      <w:r>
        <w:rPr>
          <w:spacing w:val="-14"/>
          <w:sz w:val="22"/>
        </w:rPr>
        <w:t> </w:t>
      </w:r>
      <w:r>
        <w:rPr>
          <w:sz w:val="22"/>
        </w:rPr>
        <w:t>terminados,</w:t>
      </w:r>
      <w:r>
        <w:rPr>
          <w:spacing w:val="-8"/>
          <w:sz w:val="22"/>
        </w:rPr>
        <w:t> </w:t>
      </w:r>
      <w:r>
        <w:rPr>
          <w:sz w:val="22"/>
        </w:rPr>
        <w:t>bienes</w:t>
      </w:r>
      <w:r>
        <w:rPr>
          <w:spacing w:val="-10"/>
          <w:sz w:val="22"/>
        </w:rPr>
        <w:t> </w:t>
      </w:r>
      <w:r>
        <w:rPr>
          <w:sz w:val="22"/>
        </w:rPr>
        <w:t>para</w:t>
      </w:r>
      <w:r>
        <w:rPr>
          <w:spacing w:val="-11"/>
          <w:sz w:val="22"/>
        </w:rPr>
        <w:t> </w:t>
      </w:r>
      <w:r>
        <w:rPr>
          <w:sz w:val="22"/>
        </w:rPr>
        <w:t>reventa y existencias</w:t>
      </w:r>
      <w:r>
        <w:rPr>
          <w:spacing w:val="-4"/>
          <w:sz w:val="22"/>
        </w:rPr>
        <w:t> </w:t>
      </w:r>
      <w:r>
        <w:rPr>
          <w:sz w:val="22"/>
        </w:rPr>
        <w:t>militares</w:t>
      </w:r>
    </w:p>
    <w:p>
      <w:pPr>
        <w:pStyle w:val="BodyText"/>
        <w:spacing w:before="2"/>
        <w:rPr>
          <w:sz w:val="25"/>
        </w:rPr>
      </w:pPr>
    </w:p>
    <w:p>
      <w:pPr>
        <w:pStyle w:val="ListParagraph"/>
        <w:numPr>
          <w:ilvl w:val="0"/>
          <w:numId w:val="55"/>
        </w:numPr>
        <w:tabs>
          <w:tab w:pos="922" w:val="left" w:leader="none"/>
        </w:tabs>
        <w:spacing w:line="276" w:lineRule="auto" w:before="0" w:after="0"/>
        <w:ind w:left="921" w:right="1697" w:hanging="360"/>
        <w:jc w:val="both"/>
        <w:rPr>
          <w:sz w:val="22"/>
        </w:rPr>
      </w:pPr>
      <w:r>
        <w:rPr>
          <w:sz w:val="22"/>
          <w:u w:val="single"/>
        </w:rPr>
        <w:t>Los</w:t>
      </w:r>
      <w:r>
        <w:rPr>
          <w:spacing w:val="-15"/>
          <w:sz w:val="22"/>
          <w:u w:val="single"/>
        </w:rPr>
        <w:t> </w:t>
      </w:r>
      <w:r>
        <w:rPr>
          <w:sz w:val="22"/>
          <w:u w:val="single"/>
        </w:rPr>
        <w:t>objetos</w:t>
      </w:r>
      <w:r>
        <w:rPr>
          <w:spacing w:val="-14"/>
          <w:sz w:val="22"/>
          <w:u w:val="single"/>
        </w:rPr>
        <w:t> </w:t>
      </w:r>
      <w:r>
        <w:rPr>
          <w:sz w:val="22"/>
          <w:u w:val="single"/>
        </w:rPr>
        <w:t>de</w:t>
      </w:r>
      <w:r>
        <w:rPr>
          <w:spacing w:val="-14"/>
          <w:sz w:val="22"/>
          <w:u w:val="single"/>
        </w:rPr>
        <w:t> </w:t>
      </w:r>
      <w:r>
        <w:rPr>
          <w:sz w:val="22"/>
          <w:u w:val="single"/>
        </w:rPr>
        <w:t>valor</w:t>
      </w:r>
      <w:r>
        <w:rPr>
          <w:spacing w:val="-13"/>
          <w:sz w:val="22"/>
        </w:rPr>
        <w:t> </w:t>
      </w:r>
      <w:r>
        <w:rPr>
          <w:sz w:val="22"/>
        </w:rPr>
        <w:t>son</w:t>
      </w:r>
      <w:r>
        <w:rPr>
          <w:spacing w:val="-14"/>
          <w:sz w:val="22"/>
        </w:rPr>
        <w:t> </w:t>
      </w:r>
      <w:r>
        <w:rPr>
          <w:sz w:val="22"/>
        </w:rPr>
        <w:t>activos</w:t>
      </w:r>
      <w:r>
        <w:rPr>
          <w:spacing w:val="-14"/>
          <w:sz w:val="22"/>
        </w:rPr>
        <w:t> </w:t>
      </w:r>
      <w:r>
        <w:rPr>
          <w:sz w:val="22"/>
        </w:rPr>
        <w:t>producidos</w:t>
      </w:r>
      <w:r>
        <w:rPr>
          <w:spacing w:val="-14"/>
          <w:sz w:val="22"/>
        </w:rPr>
        <w:t> </w:t>
      </w:r>
      <w:r>
        <w:rPr>
          <w:sz w:val="22"/>
        </w:rPr>
        <w:t>que</w:t>
      </w:r>
      <w:r>
        <w:rPr>
          <w:spacing w:val="-14"/>
          <w:sz w:val="22"/>
        </w:rPr>
        <w:t> </w:t>
      </w:r>
      <w:r>
        <w:rPr>
          <w:sz w:val="22"/>
        </w:rPr>
        <w:t>no</w:t>
      </w:r>
      <w:r>
        <w:rPr>
          <w:spacing w:val="-15"/>
          <w:sz w:val="22"/>
        </w:rPr>
        <w:t> </w:t>
      </w:r>
      <w:r>
        <w:rPr>
          <w:sz w:val="22"/>
        </w:rPr>
        <w:t>son</w:t>
      </w:r>
      <w:r>
        <w:rPr>
          <w:spacing w:val="-17"/>
          <w:sz w:val="22"/>
        </w:rPr>
        <w:t> </w:t>
      </w:r>
      <w:r>
        <w:rPr>
          <w:sz w:val="22"/>
        </w:rPr>
        <w:t>utilizados</w:t>
      </w:r>
      <w:r>
        <w:rPr>
          <w:spacing w:val="-14"/>
          <w:sz w:val="22"/>
        </w:rPr>
        <w:t> </w:t>
      </w:r>
      <w:r>
        <w:rPr>
          <w:sz w:val="22"/>
        </w:rPr>
        <w:t>principalmente</w:t>
      </w:r>
      <w:r>
        <w:rPr>
          <w:spacing w:val="-14"/>
          <w:sz w:val="22"/>
        </w:rPr>
        <w:t> </w:t>
      </w:r>
      <w:r>
        <w:rPr>
          <w:sz w:val="22"/>
        </w:rPr>
        <w:t>para</w:t>
      </w:r>
      <w:r>
        <w:rPr>
          <w:spacing w:val="-14"/>
          <w:sz w:val="22"/>
        </w:rPr>
        <w:t> </w:t>
      </w:r>
      <w:r>
        <w:rPr>
          <w:sz w:val="22"/>
        </w:rPr>
        <w:t>producción o consumo, se espera aumente su valor o se mantenga y no se deterioren. Incluye pinturas, esculturas, joyas, oro monetario y otros. Las transferencias de objetos de valor se relacionan con la adquisición o disposición del bien al precio de venta o compra y considerando cualquier</w:t>
      </w:r>
      <w:r>
        <w:rPr>
          <w:spacing w:val="-31"/>
          <w:sz w:val="22"/>
        </w:rPr>
        <w:t> </w:t>
      </w:r>
      <w:r>
        <w:rPr>
          <w:sz w:val="22"/>
        </w:rPr>
        <w:t>costo adicional de la</w:t>
      </w:r>
      <w:r>
        <w:rPr>
          <w:spacing w:val="-2"/>
          <w:sz w:val="22"/>
        </w:rPr>
        <w:t> </w:t>
      </w:r>
      <w:r>
        <w:rPr>
          <w:sz w:val="22"/>
        </w:rPr>
        <w:t>transacción.</w:t>
      </w:r>
    </w:p>
    <w:p>
      <w:pPr>
        <w:pStyle w:val="BodyText"/>
        <w:spacing w:before="2"/>
        <w:rPr>
          <w:sz w:val="25"/>
        </w:rPr>
      </w:pPr>
    </w:p>
    <w:p>
      <w:pPr>
        <w:pStyle w:val="BodyText"/>
        <w:ind w:left="562"/>
      </w:pPr>
      <w:r>
        <w:rPr/>
        <w:t>Los activos no producidos son:</w:t>
      </w:r>
    </w:p>
    <w:p>
      <w:pPr>
        <w:pStyle w:val="BodyText"/>
        <w:spacing w:before="4"/>
        <w:rPr>
          <w:sz w:val="28"/>
        </w:rPr>
      </w:pPr>
    </w:p>
    <w:p>
      <w:pPr>
        <w:pStyle w:val="ListParagraph"/>
        <w:numPr>
          <w:ilvl w:val="0"/>
          <w:numId w:val="55"/>
        </w:numPr>
        <w:tabs>
          <w:tab w:pos="922" w:val="left" w:leader="none"/>
        </w:tabs>
        <w:spacing w:line="276" w:lineRule="auto" w:before="0" w:after="0"/>
        <w:ind w:left="921" w:right="1695" w:hanging="360"/>
        <w:jc w:val="both"/>
        <w:rPr>
          <w:sz w:val="22"/>
        </w:rPr>
      </w:pPr>
      <w:r>
        <w:rPr>
          <w:sz w:val="22"/>
          <w:u w:val="single"/>
        </w:rPr>
        <w:t>Tierras y terrenos</w:t>
      </w:r>
      <w:r>
        <w:rPr>
          <w:sz w:val="22"/>
        </w:rPr>
        <w:t> incluye el suelo sobre el cual se ha adquirido derecho de propiedad y del cual es posible generar beneficios económicos. Para este rubro no se consideran terrenos donde </w:t>
      </w:r>
      <w:r>
        <w:rPr>
          <w:spacing w:val="-3"/>
          <w:sz w:val="22"/>
        </w:rPr>
        <w:t>se </w:t>
      </w:r>
      <w:r>
        <w:rPr>
          <w:sz w:val="22"/>
        </w:rPr>
        <w:t>encuentran construcciones como edificios o carreteras, cultivos o plantaciones de árboles o animales, recursos hídricos del subsuelo y el</w:t>
      </w:r>
      <w:r>
        <w:rPr>
          <w:spacing w:val="-10"/>
          <w:sz w:val="22"/>
        </w:rPr>
        <w:t> </w:t>
      </w:r>
      <w:r>
        <w:rPr>
          <w:sz w:val="22"/>
        </w:rPr>
        <w:t>subsuelo.</w:t>
      </w:r>
    </w:p>
    <w:p>
      <w:pPr>
        <w:pStyle w:val="BodyText"/>
        <w:spacing w:before="1"/>
        <w:rPr>
          <w:sz w:val="25"/>
        </w:rPr>
      </w:pPr>
    </w:p>
    <w:p>
      <w:pPr>
        <w:pStyle w:val="ListParagraph"/>
        <w:numPr>
          <w:ilvl w:val="0"/>
          <w:numId w:val="55"/>
        </w:numPr>
        <w:tabs>
          <w:tab w:pos="922" w:val="left" w:leader="none"/>
        </w:tabs>
        <w:spacing w:line="276" w:lineRule="auto" w:before="1" w:after="0"/>
        <w:ind w:left="921" w:right="1700" w:hanging="360"/>
        <w:jc w:val="both"/>
        <w:rPr>
          <w:sz w:val="22"/>
        </w:rPr>
      </w:pPr>
      <w:r>
        <w:rPr>
          <w:sz w:val="22"/>
          <w:u w:val="single"/>
        </w:rPr>
        <w:t>Los recursos minerales y energéticos</w:t>
      </w:r>
      <w:r>
        <w:rPr>
          <w:sz w:val="22"/>
        </w:rPr>
        <w:t> reflejan las reservas minerales y energéticas que son explotables económicamente. Las transacciones se dan por traspaso de la propiedad de estos recursos. En el caso del gobierno (presupuestario), no adquiere o dispone de este activo, ya que siempre es el propietario legal y únicamente arrienda su uso; por ello, al encontrar un nuevo yacimiento o mina o recurso, se registra una variación en el volumen (OFE) de este</w:t>
      </w:r>
      <w:r>
        <w:rPr>
          <w:spacing w:val="-16"/>
          <w:sz w:val="22"/>
        </w:rPr>
        <w:t> </w:t>
      </w:r>
      <w:r>
        <w:rPr>
          <w:sz w:val="22"/>
        </w:rPr>
        <w:t>activo.</w:t>
      </w:r>
    </w:p>
    <w:p>
      <w:pPr>
        <w:pStyle w:val="BodyText"/>
        <w:rPr>
          <w:sz w:val="25"/>
        </w:rPr>
      </w:pPr>
    </w:p>
    <w:p>
      <w:pPr>
        <w:pStyle w:val="ListParagraph"/>
        <w:numPr>
          <w:ilvl w:val="0"/>
          <w:numId w:val="55"/>
        </w:numPr>
        <w:tabs>
          <w:tab w:pos="922" w:val="left" w:leader="none"/>
        </w:tabs>
        <w:spacing w:line="276" w:lineRule="auto" w:before="0" w:after="0"/>
        <w:ind w:left="921" w:right="1698" w:hanging="360"/>
        <w:jc w:val="both"/>
        <w:rPr>
          <w:sz w:val="22"/>
        </w:rPr>
      </w:pPr>
      <w:r>
        <w:rPr>
          <w:sz w:val="22"/>
          <w:u w:val="single"/>
        </w:rPr>
        <w:t>Otros activos de origen natural</w:t>
      </w:r>
      <w:r>
        <w:rPr>
          <w:sz w:val="22"/>
        </w:rPr>
        <w:t> consideran los recursos biológicos no cultivados como animales y plantas cuyo crecimiento o regeneración no se controla, como bosques vírgenes; también incluye</w:t>
      </w:r>
      <w:r>
        <w:rPr>
          <w:spacing w:val="-9"/>
          <w:sz w:val="22"/>
        </w:rPr>
        <w:t> </w:t>
      </w:r>
      <w:r>
        <w:rPr>
          <w:sz w:val="22"/>
        </w:rPr>
        <w:t>recursos</w:t>
      </w:r>
      <w:r>
        <w:rPr>
          <w:spacing w:val="-9"/>
          <w:sz w:val="22"/>
        </w:rPr>
        <w:t> </w:t>
      </w:r>
      <w:r>
        <w:rPr>
          <w:sz w:val="22"/>
        </w:rPr>
        <w:t>hídricos</w:t>
      </w:r>
      <w:r>
        <w:rPr>
          <w:spacing w:val="-10"/>
          <w:sz w:val="22"/>
        </w:rPr>
        <w:t> </w:t>
      </w:r>
      <w:r>
        <w:rPr>
          <w:sz w:val="22"/>
        </w:rPr>
        <w:t>utilizados</w:t>
      </w:r>
      <w:r>
        <w:rPr>
          <w:spacing w:val="-9"/>
          <w:sz w:val="22"/>
        </w:rPr>
        <w:t> </w:t>
      </w:r>
      <w:r>
        <w:rPr>
          <w:sz w:val="22"/>
        </w:rPr>
        <w:t>para</w:t>
      </w:r>
      <w:r>
        <w:rPr>
          <w:spacing w:val="-11"/>
          <w:sz w:val="22"/>
        </w:rPr>
        <w:t> </w:t>
      </w:r>
      <w:r>
        <w:rPr>
          <w:sz w:val="22"/>
        </w:rPr>
        <w:t>la</w:t>
      </w:r>
      <w:r>
        <w:rPr>
          <w:spacing w:val="-8"/>
          <w:sz w:val="22"/>
        </w:rPr>
        <w:t> </w:t>
      </w:r>
      <w:r>
        <w:rPr>
          <w:sz w:val="22"/>
        </w:rPr>
        <w:t>extracción</w:t>
      </w:r>
      <w:r>
        <w:rPr>
          <w:spacing w:val="-10"/>
          <w:sz w:val="22"/>
        </w:rPr>
        <w:t> </w:t>
      </w:r>
      <w:r>
        <w:rPr>
          <w:sz w:val="22"/>
        </w:rPr>
        <w:t>y</w:t>
      </w:r>
      <w:r>
        <w:rPr>
          <w:spacing w:val="-13"/>
          <w:sz w:val="22"/>
        </w:rPr>
        <w:t> </w:t>
      </w:r>
      <w:r>
        <w:rPr>
          <w:sz w:val="22"/>
        </w:rPr>
        <w:t>otros</w:t>
      </w:r>
      <w:r>
        <w:rPr>
          <w:spacing w:val="-9"/>
          <w:sz w:val="22"/>
        </w:rPr>
        <w:t> </w:t>
      </w:r>
      <w:r>
        <w:rPr>
          <w:sz w:val="22"/>
        </w:rPr>
        <w:t>recursos</w:t>
      </w:r>
      <w:r>
        <w:rPr>
          <w:spacing w:val="-11"/>
          <w:sz w:val="22"/>
        </w:rPr>
        <w:t> </w:t>
      </w:r>
      <w:r>
        <w:rPr>
          <w:sz w:val="22"/>
        </w:rPr>
        <w:t>naturales</w:t>
      </w:r>
      <w:r>
        <w:rPr>
          <w:spacing w:val="-10"/>
          <w:sz w:val="22"/>
        </w:rPr>
        <w:t> </w:t>
      </w:r>
      <w:r>
        <w:rPr>
          <w:sz w:val="22"/>
        </w:rPr>
        <w:t>como</w:t>
      </w:r>
      <w:r>
        <w:rPr>
          <w:spacing w:val="-10"/>
          <w:sz w:val="22"/>
        </w:rPr>
        <w:t> </w:t>
      </w:r>
      <w:r>
        <w:rPr>
          <w:sz w:val="22"/>
        </w:rPr>
        <w:t>el</w:t>
      </w:r>
      <w:r>
        <w:rPr>
          <w:spacing w:val="-8"/>
          <w:sz w:val="22"/>
        </w:rPr>
        <w:t> </w:t>
      </w:r>
      <w:r>
        <w:rPr>
          <w:sz w:val="22"/>
        </w:rPr>
        <w:t>espectro electromagnético. Las transacciones de estos activos se dan por la transferencia de la propiedad de estos activos a otras</w:t>
      </w:r>
      <w:r>
        <w:rPr>
          <w:spacing w:val="-3"/>
          <w:sz w:val="22"/>
        </w:rPr>
        <w:t> </w:t>
      </w:r>
      <w:r>
        <w:rPr>
          <w:sz w:val="22"/>
        </w:rPr>
        <w:t>entidades.</w:t>
      </w:r>
    </w:p>
    <w:p>
      <w:pPr>
        <w:pStyle w:val="BodyText"/>
        <w:spacing w:before="1"/>
        <w:rPr>
          <w:sz w:val="25"/>
        </w:rPr>
      </w:pPr>
    </w:p>
    <w:p>
      <w:pPr>
        <w:pStyle w:val="ListParagraph"/>
        <w:numPr>
          <w:ilvl w:val="0"/>
          <w:numId w:val="55"/>
        </w:numPr>
        <w:tabs>
          <w:tab w:pos="922" w:val="left" w:leader="none"/>
        </w:tabs>
        <w:spacing w:line="273" w:lineRule="auto" w:before="0" w:after="0"/>
        <w:ind w:left="921" w:right="1696" w:hanging="360"/>
        <w:jc w:val="both"/>
        <w:rPr>
          <w:sz w:val="22"/>
        </w:rPr>
      </w:pPr>
      <w:r>
        <w:rPr>
          <w:sz w:val="22"/>
          <w:u w:val="single"/>
        </w:rPr>
        <w:t>Los</w:t>
      </w:r>
      <w:r>
        <w:rPr>
          <w:spacing w:val="-12"/>
          <w:sz w:val="22"/>
          <w:u w:val="single"/>
        </w:rPr>
        <w:t> </w:t>
      </w:r>
      <w:r>
        <w:rPr>
          <w:sz w:val="22"/>
          <w:u w:val="single"/>
        </w:rPr>
        <w:t>activos</w:t>
      </w:r>
      <w:r>
        <w:rPr>
          <w:spacing w:val="-14"/>
          <w:sz w:val="22"/>
          <w:u w:val="single"/>
        </w:rPr>
        <w:t> </w:t>
      </w:r>
      <w:r>
        <w:rPr>
          <w:sz w:val="22"/>
          <w:u w:val="single"/>
        </w:rPr>
        <w:t>intangibles</w:t>
      </w:r>
      <w:r>
        <w:rPr>
          <w:spacing w:val="-12"/>
          <w:sz w:val="22"/>
        </w:rPr>
        <w:t> </w:t>
      </w:r>
      <w:r>
        <w:rPr>
          <w:sz w:val="22"/>
        </w:rPr>
        <w:t>no</w:t>
      </w:r>
      <w:r>
        <w:rPr>
          <w:spacing w:val="-11"/>
          <w:sz w:val="22"/>
        </w:rPr>
        <w:t> </w:t>
      </w:r>
      <w:r>
        <w:rPr>
          <w:sz w:val="22"/>
        </w:rPr>
        <w:t>producidos</w:t>
      </w:r>
      <w:r>
        <w:rPr>
          <w:spacing w:val="-14"/>
          <w:sz w:val="22"/>
        </w:rPr>
        <w:t> </w:t>
      </w:r>
      <w:r>
        <w:rPr>
          <w:sz w:val="22"/>
        </w:rPr>
        <w:t>abarcan</w:t>
      </w:r>
      <w:r>
        <w:rPr>
          <w:spacing w:val="-11"/>
          <w:sz w:val="22"/>
        </w:rPr>
        <w:t> </w:t>
      </w:r>
      <w:r>
        <w:rPr>
          <w:sz w:val="22"/>
        </w:rPr>
        <w:t>contratos,</w:t>
      </w:r>
      <w:r>
        <w:rPr>
          <w:spacing w:val="-12"/>
          <w:sz w:val="22"/>
        </w:rPr>
        <w:t> </w:t>
      </w:r>
      <w:r>
        <w:rPr>
          <w:sz w:val="22"/>
        </w:rPr>
        <w:t>arriendos,</w:t>
      </w:r>
      <w:r>
        <w:rPr>
          <w:spacing w:val="-13"/>
          <w:sz w:val="22"/>
        </w:rPr>
        <w:t> </w:t>
      </w:r>
      <w:r>
        <w:rPr>
          <w:sz w:val="22"/>
        </w:rPr>
        <w:t>licencias,</w:t>
      </w:r>
      <w:r>
        <w:rPr>
          <w:spacing w:val="-14"/>
          <w:sz w:val="22"/>
        </w:rPr>
        <w:t> </w:t>
      </w:r>
      <w:r>
        <w:rPr>
          <w:sz w:val="22"/>
        </w:rPr>
        <w:t>fondos</w:t>
      </w:r>
      <w:r>
        <w:rPr>
          <w:spacing w:val="-11"/>
          <w:sz w:val="22"/>
        </w:rPr>
        <w:t> </w:t>
      </w:r>
      <w:r>
        <w:rPr>
          <w:sz w:val="22"/>
        </w:rPr>
        <w:t>de</w:t>
      </w:r>
      <w:r>
        <w:rPr>
          <w:spacing w:val="-13"/>
          <w:sz w:val="22"/>
        </w:rPr>
        <w:t> </w:t>
      </w:r>
      <w:r>
        <w:rPr>
          <w:sz w:val="22"/>
        </w:rPr>
        <w:t>comercio y activos de</w:t>
      </w:r>
      <w:r>
        <w:rPr>
          <w:spacing w:val="-6"/>
          <w:sz w:val="22"/>
        </w:rPr>
        <w:t> </w:t>
      </w:r>
      <w:r>
        <w:rPr>
          <w:sz w:val="22"/>
        </w:rPr>
        <w:t>comercialización.</w:t>
      </w:r>
    </w:p>
    <w:p>
      <w:pPr>
        <w:spacing w:after="0" w:line="273" w:lineRule="auto"/>
        <w:jc w:val="both"/>
        <w:rPr>
          <w:sz w:val="22"/>
        </w:rPr>
        <w:sectPr>
          <w:pgSz w:w="12240" w:h="15840"/>
          <w:pgMar w:header="715" w:footer="688" w:top="1240" w:bottom="880" w:left="1140" w:right="0"/>
        </w:sectPr>
      </w:pPr>
    </w:p>
    <w:p>
      <w:pPr>
        <w:pStyle w:val="Heading3"/>
        <w:numPr>
          <w:ilvl w:val="1"/>
          <w:numId w:val="54"/>
        </w:numPr>
        <w:tabs>
          <w:tab w:pos="1282" w:val="left" w:leader="none"/>
        </w:tabs>
        <w:spacing w:line="240" w:lineRule="auto" w:before="167" w:after="0"/>
        <w:ind w:left="1282" w:right="0" w:hanging="361"/>
        <w:jc w:val="left"/>
      </w:pPr>
      <w:bookmarkStart w:name="_bookmark238" w:id="313"/>
      <w:bookmarkEnd w:id="313"/>
      <w:r>
        <w:rPr>
          <w:b w:val="0"/>
        </w:rPr>
      </w:r>
      <w:bookmarkStart w:name="_bookmark238" w:id="314"/>
      <w:bookmarkEnd w:id="314"/>
      <w:r>
        <w:rPr/>
        <w:t>E</w:t>
      </w:r>
      <w:r>
        <w:rPr/>
        <w:t>rogación del Gobierno Central</w:t>
      </w:r>
      <w:r>
        <w:rPr>
          <w:spacing w:val="-5"/>
        </w:rPr>
        <w:t> </w:t>
      </w:r>
      <w:r>
        <w:rPr/>
        <w:t>Presupuestario</w:t>
      </w:r>
    </w:p>
    <w:p>
      <w:pPr>
        <w:pStyle w:val="BodyText"/>
        <w:spacing w:before="1"/>
        <w:rPr>
          <w:b/>
          <w:sz w:val="28"/>
        </w:rPr>
      </w:pPr>
    </w:p>
    <w:p>
      <w:pPr>
        <w:pStyle w:val="BodyText"/>
        <w:spacing w:line="276" w:lineRule="auto"/>
        <w:ind w:left="562" w:right="1700"/>
        <w:jc w:val="both"/>
      </w:pPr>
      <w:r>
        <w:rPr/>
        <w:t>La erogación en los estándares internacionales se define como la suma de los gastos y la inversión realizada en activos no financieros. Cabe resaltar que este concepto tiene mayor parecido lo que se conoce como gasto total en la metodología nacional, aunque poseen algunas diferencias que no les permiten ser perfectamente comparables.</w:t>
      </w:r>
    </w:p>
    <w:p>
      <w:pPr>
        <w:pStyle w:val="BodyText"/>
        <w:spacing w:line="276" w:lineRule="auto" w:before="161"/>
        <w:ind w:left="562" w:right="1697"/>
        <w:jc w:val="both"/>
      </w:pPr>
      <w:r>
        <w:rPr/>
        <w:t>El Gobierno Central Presupuestario para 2021 tuvo una erogación del 13.8% del PIB y esta cifra es superior en 0.3 puntos porcentuales respecto a la metodología nacional en el cual el gasto público es de 13.5% del PIB. En buena medida, esta diferencia se explica principalmente por qué en los estándares internacionales, las devoluciones de impuestos dejan de formar parte de los gastos para pasar a disminuir a los ingresos, las inversiones financieras se consideran como parte de los activos financieros y no son parte del gasto, además de la inclusión de las contribuciones sociales</w:t>
      </w:r>
      <w:r>
        <w:rPr>
          <w:spacing w:val="-37"/>
        </w:rPr>
        <w:t> </w:t>
      </w:r>
      <w:r>
        <w:rPr/>
        <w:t>imputadas de los</w:t>
      </w:r>
      <w:r>
        <w:rPr>
          <w:spacing w:val="-1"/>
        </w:rPr>
        <w:t> </w:t>
      </w:r>
      <w:r>
        <w:rPr/>
        <w:t>empleadores.</w:t>
      </w:r>
    </w:p>
    <w:p>
      <w:pPr>
        <w:pStyle w:val="Heading3"/>
        <w:numPr>
          <w:ilvl w:val="1"/>
          <w:numId w:val="54"/>
        </w:numPr>
        <w:tabs>
          <w:tab w:pos="1282" w:val="left" w:leader="none"/>
        </w:tabs>
        <w:spacing w:line="240" w:lineRule="auto" w:before="165" w:after="0"/>
        <w:ind w:left="1282" w:right="0" w:hanging="361"/>
        <w:jc w:val="left"/>
      </w:pPr>
      <w:bookmarkStart w:name="_bookmark239" w:id="315"/>
      <w:bookmarkEnd w:id="315"/>
      <w:r>
        <w:rPr>
          <w:b w:val="0"/>
        </w:rPr>
      </w:r>
      <w:bookmarkStart w:name="_bookmark239" w:id="316"/>
      <w:bookmarkEnd w:id="316"/>
      <w:r>
        <w:rPr/>
        <w:t>T</w:t>
      </w:r>
      <w:r>
        <w:rPr/>
        <w:t>ransacciones en Activos y Pasivos Financieros</w:t>
      </w:r>
      <w:r>
        <w:rPr>
          <w:spacing w:val="-6"/>
        </w:rPr>
        <w:t> </w:t>
      </w:r>
      <w:r>
        <w:rPr/>
        <w:t>(Financiamiento)</w:t>
      </w:r>
    </w:p>
    <w:p>
      <w:pPr>
        <w:pStyle w:val="BodyText"/>
        <w:spacing w:before="1"/>
        <w:rPr>
          <w:b/>
          <w:sz w:val="28"/>
        </w:rPr>
      </w:pPr>
    </w:p>
    <w:p>
      <w:pPr>
        <w:pStyle w:val="BodyText"/>
        <w:spacing w:line="276" w:lineRule="auto"/>
        <w:ind w:left="562" w:right="1693"/>
        <w:jc w:val="both"/>
      </w:pPr>
      <w:r>
        <w:rPr/>
        <w:t>Las transacciones en activos y pasivos financieros reflejan los instrumentos utilizados para financiar o invertir (dependiendo de la diferencia que existe entre los ingresos y las erogaciones). En caso de tener</w:t>
      </w:r>
      <w:r>
        <w:rPr>
          <w:spacing w:val="-4"/>
        </w:rPr>
        <w:t> </w:t>
      </w:r>
      <w:r>
        <w:rPr/>
        <w:t>una</w:t>
      </w:r>
      <w:r>
        <w:rPr>
          <w:spacing w:val="-7"/>
        </w:rPr>
        <w:t> </w:t>
      </w:r>
      <w:r>
        <w:rPr/>
        <w:t>diferencia</w:t>
      </w:r>
      <w:r>
        <w:rPr>
          <w:spacing w:val="-3"/>
        </w:rPr>
        <w:t> </w:t>
      </w:r>
      <w:r>
        <w:rPr/>
        <w:t>negativa,</w:t>
      </w:r>
      <w:r>
        <w:rPr>
          <w:spacing w:val="-4"/>
        </w:rPr>
        <w:t> </w:t>
      </w:r>
      <w:r>
        <w:rPr/>
        <w:t>quiere</w:t>
      </w:r>
      <w:r>
        <w:rPr>
          <w:spacing w:val="-6"/>
        </w:rPr>
        <w:t> </w:t>
      </w:r>
      <w:r>
        <w:rPr/>
        <w:t>decir</w:t>
      </w:r>
      <w:r>
        <w:rPr>
          <w:spacing w:val="-4"/>
        </w:rPr>
        <w:t> </w:t>
      </w:r>
      <w:r>
        <w:rPr/>
        <w:t>que</w:t>
      </w:r>
      <w:r>
        <w:rPr>
          <w:spacing w:val="-3"/>
        </w:rPr>
        <w:t> </w:t>
      </w:r>
      <w:r>
        <w:rPr/>
        <w:t>existe</w:t>
      </w:r>
      <w:r>
        <w:rPr>
          <w:spacing w:val="-4"/>
        </w:rPr>
        <w:t> </w:t>
      </w:r>
      <w:r>
        <w:rPr/>
        <w:t>un</w:t>
      </w:r>
      <w:r>
        <w:rPr>
          <w:spacing w:val="-6"/>
        </w:rPr>
        <w:t> </w:t>
      </w:r>
      <w:r>
        <w:rPr/>
        <w:t>déficit</w:t>
      </w:r>
      <w:r>
        <w:rPr>
          <w:spacing w:val="-4"/>
        </w:rPr>
        <w:t> </w:t>
      </w:r>
      <w:r>
        <w:rPr/>
        <w:t>el</w:t>
      </w:r>
      <w:r>
        <w:rPr>
          <w:spacing w:val="-3"/>
        </w:rPr>
        <w:t> </w:t>
      </w:r>
      <w:r>
        <w:rPr/>
        <w:t>cual</w:t>
      </w:r>
      <w:r>
        <w:rPr>
          <w:spacing w:val="-4"/>
        </w:rPr>
        <w:t> </w:t>
      </w:r>
      <w:r>
        <w:rPr/>
        <w:t>debe</w:t>
      </w:r>
      <w:r>
        <w:rPr>
          <w:spacing w:val="-4"/>
        </w:rPr>
        <w:t> </w:t>
      </w:r>
      <w:r>
        <w:rPr/>
        <w:t>de</w:t>
      </w:r>
      <w:r>
        <w:rPr>
          <w:spacing w:val="-3"/>
        </w:rPr>
        <w:t> </w:t>
      </w:r>
      <w:r>
        <w:rPr/>
        <w:t>financiarse</w:t>
      </w:r>
      <w:r>
        <w:rPr>
          <w:spacing w:val="-7"/>
        </w:rPr>
        <w:t> </w:t>
      </w:r>
      <w:r>
        <w:rPr/>
        <w:t>por</w:t>
      </w:r>
      <w:r>
        <w:rPr>
          <w:spacing w:val="-3"/>
        </w:rPr>
        <w:t> </w:t>
      </w:r>
      <w:r>
        <w:rPr/>
        <w:t>medio del</w:t>
      </w:r>
      <w:r>
        <w:rPr>
          <w:spacing w:val="-8"/>
        </w:rPr>
        <w:t> </w:t>
      </w:r>
      <w:r>
        <w:rPr/>
        <w:t>aumento</w:t>
      </w:r>
      <w:r>
        <w:rPr>
          <w:spacing w:val="-6"/>
        </w:rPr>
        <w:t> </w:t>
      </w:r>
      <w:r>
        <w:rPr/>
        <w:t>de</w:t>
      </w:r>
      <w:r>
        <w:rPr>
          <w:spacing w:val="-8"/>
        </w:rPr>
        <w:t> </w:t>
      </w:r>
      <w:r>
        <w:rPr/>
        <w:t>pasivos</w:t>
      </w:r>
      <w:r>
        <w:rPr>
          <w:spacing w:val="-5"/>
        </w:rPr>
        <w:t> </w:t>
      </w:r>
      <w:r>
        <w:rPr/>
        <w:t>financieros</w:t>
      </w:r>
      <w:r>
        <w:rPr>
          <w:spacing w:val="-8"/>
        </w:rPr>
        <w:t> </w:t>
      </w:r>
      <w:r>
        <w:rPr/>
        <w:t>o</w:t>
      </w:r>
      <w:r>
        <w:rPr>
          <w:spacing w:val="-10"/>
        </w:rPr>
        <w:t> </w:t>
      </w:r>
      <w:r>
        <w:rPr/>
        <w:t>la</w:t>
      </w:r>
      <w:r>
        <w:rPr>
          <w:spacing w:val="-8"/>
        </w:rPr>
        <w:t> </w:t>
      </w:r>
      <w:r>
        <w:rPr/>
        <w:t>reducción</w:t>
      </w:r>
      <w:r>
        <w:rPr>
          <w:spacing w:val="-6"/>
        </w:rPr>
        <w:t> </w:t>
      </w:r>
      <w:r>
        <w:rPr/>
        <w:t>de</w:t>
      </w:r>
      <w:r>
        <w:rPr>
          <w:spacing w:val="-6"/>
        </w:rPr>
        <w:t> </w:t>
      </w:r>
      <w:r>
        <w:rPr/>
        <w:t>activos</w:t>
      </w:r>
      <w:r>
        <w:rPr>
          <w:spacing w:val="-5"/>
        </w:rPr>
        <w:t> </w:t>
      </w:r>
      <w:r>
        <w:rPr/>
        <w:t>financieros,</w:t>
      </w:r>
      <w:r>
        <w:rPr>
          <w:spacing w:val="-7"/>
        </w:rPr>
        <w:t> </w:t>
      </w:r>
      <w:r>
        <w:rPr/>
        <w:t>mientras</w:t>
      </w:r>
      <w:r>
        <w:rPr>
          <w:spacing w:val="-10"/>
        </w:rPr>
        <w:t> </w:t>
      </w:r>
      <w:r>
        <w:rPr/>
        <w:t>que</w:t>
      </w:r>
      <w:r>
        <w:rPr>
          <w:spacing w:val="-6"/>
        </w:rPr>
        <w:t> </w:t>
      </w:r>
      <w:r>
        <w:rPr/>
        <w:t>una</w:t>
      </w:r>
      <w:r>
        <w:rPr>
          <w:spacing w:val="-6"/>
        </w:rPr>
        <w:t> </w:t>
      </w:r>
      <w:r>
        <w:rPr/>
        <w:t>diferencia positiva, permite tener una posición superavitaria que puede utilizarse para otorgar préstamos (aumento de activos) o reducir cuentas de</w:t>
      </w:r>
      <w:r>
        <w:rPr>
          <w:spacing w:val="-7"/>
        </w:rPr>
        <w:t> </w:t>
      </w:r>
      <w:r>
        <w:rPr/>
        <w:t>pasivos.</w:t>
      </w:r>
    </w:p>
    <w:p>
      <w:pPr>
        <w:pStyle w:val="BodyText"/>
        <w:spacing w:line="276" w:lineRule="auto" w:before="160"/>
        <w:ind w:left="562" w:right="1699"/>
        <w:jc w:val="both"/>
      </w:pPr>
      <w:r>
        <w:rPr/>
        <w:t>Los activos financieros del Gobierno Central Presupuestario en 2021 se incrementaron en 1.84% del PIB, explicado principalmente por incremento en la cuenta de Billetes y Monedas y Depósitos (la disponibilidad en la caja y bancos) por el 1.82% del PIB y las participaciones de capital y en fondos de</w:t>
      </w:r>
      <w:r>
        <w:rPr>
          <w:spacing w:val="-8"/>
        </w:rPr>
        <w:t> </w:t>
      </w:r>
      <w:r>
        <w:rPr/>
        <w:t>inversión</w:t>
      </w:r>
      <w:r>
        <w:rPr>
          <w:spacing w:val="-9"/>
        </w:rPr>
        <w:t> </w:t>
      </w:r>
      <w:r>
        <w:rPr/>
        <w:t>por</w:t>
      </w:r>
      <w:r>
        <w:rPr>
          <w:spacing w:val="-8"/>
        </w:rPr>
        <w:t> </w:t>
      </w:r>
      <w:r>
        <w:rPr/>
        <w:t>0.03%</w:t>
      </w:r>
      <w:r>
        <w:rPr>
          <w:spacing w:val="-8"/>
        </w:rPr>
        <w:t> </w:t>
      </w:r>
      <w:r>
        <w:rPr/>
        <w:t>del</w:t>
      </w:r>
      <w:r>
        <w:rPr>
          <w:spacing w:val="-10"/>
        </w:rPr>
        <w:t> </w:t>
      </w:r>
      <w:r>
        <w:rPr/>
        <w:t>PIB</w:t>
      </w:r>
      <w:r>
        <w:rPr>
          <w:spacing w:val="-7"/>
        </w:rPr>
        <w:t> </w:t>
      </w:r>
      <w:r>
        <w:rPr/>
        <w:t>mientras</w:t>
      </w:r>
      <w:r>
        <w:rPr>
          <w:spacing w:val="-8"/>
        </w:rPr>
        <w:t> </w:t>
      </w:r>
      <w:r>
        <w:rPr/>
        <w:t>que</w:t>
      </w:r>
      <w:r>
        <w:rPr>
          <w:spacing w:val="-8"/>
        </w:rPr>
        <w:t> </w:t>
      </w:r>
      <w:r>
        <w:rPr/>
        <w:t>los</w:t>
      </w:r>
      <w:r>
        <w:rPr>
          <w:spacing w:val="-8"/>
        </w:rPr>
        <w:t> </w:t>
      </w:r>
      <w:r>
        <w:rPr/>
        <w:t>préstamos</w:t>
      </w:r>
      <w:r>
        <w:rPr>
          <w:spacing w:val="-8"/>
        </w:rPr>
        <w:t> </w:t>
      </w:r>
      <w:r>
        <w:rPr/>
        <w:t>otorgados</w:t>
      </w:r>
      <w:r>
        <w:rPr>
          <w:spacing w:val="-8"/>
        </w:rPr>
        <w:t> </w:t>
      </w:r>
      <w:r>
        <w:rPr/>
        <w:t>se</w:t>
      </w:r>
      <w:r>
        <w:rPr>
          <w:spacing w:val="-8"/>
        </w:rPr>
        <w:t> </w:t>
      </w:r>
      <w:r>
        <w:rPr/>
        <w:t>redujeron</w:t>
      </w:r>
      <w:r>
        <w:rPr>
          <w:spacing w:val="-11"/>
        </w:rPr>
        <w:t> </w:t>
      </w:r>
      <w:r>
        <w:rPr/>
        <w:t>en</w:t>
      </w:r>
      <w:r>
        <w:rPr>
          <w:spacing w:val="-8"/>
        </w:rPr>
        <w:t> </w:t>
      </w:r>
      <w:r>
        <w:rPr/>
        <w:t>0.01%</w:t>
      </w:r>
      <w:r>
        <w:rPr>
          <w:spacing w:val="-8"/>
        </w:rPr>
        <w:t> </w:t>
      </w:r>
      <w:r>
        <w:rPr/>
        <w:t>del</w:t>
      </w:r>
      <w:r>
        <w:rPr>
          <w:spacing w:val="-7"/>
        </w:rPr>
        <w:t> </w:t>
      </w:r>
      <w:r>
        <w:rPr/>
        <w:t>PIB.</w:t>
      </w:r>
    </w:p>
    <w:p>
      <w:pPr>
        <w:pStyle w:val="BodyText"/>
        <w:spacing w:line="273" w:lineRule="auto" w:before="162"/>
        <w:ind w:left="562" w:right="1699"/>
        <w:jc w:val="both"/>
      </w:pPr>
      <w:r>
        <w:rPr/>
        <w:t>En</w:t>
      </w:r>
      <w:r>
        <w:rPr>
          <w:spacing w:val="-5"/>
        </w:rPr>
        <w:t> </w:t>
      </w:r>
      <w:r>
        <w:rPr/>
        <w:t>cuento</w:t>
      </w:r>
      <w:r>
        <w:rPr>
          <w:spacing w:val="-6"/>
        </w:rPr>
        <w:t> </w:t>
      </w:r>
      <w:r>
        <w:rPr/>
        <w:t>a</w:t>
      </w:r>
      <w:r>
        <w:rPr>
          <w:spacing w:val="-4"/>
        </w:rPr>
        <w:t> </w:t>
      </w:r>
      <w:r>
        <w:rPr/>
        <w:t>los</w:t>
      </w:r>
      <w:r>
        <w:rPr>
          <w:spacing w:val="-3"/>
        </w:rPr>
        <w:t> </w:t>
      </w:r>
      <w:r>
        <w:rPr/>
        <w:t>pasivos</w:t>
      </w:r>
      <w:r>
        <w:rPr>
          <w:spacing w:val="-6"/>
        </w:rPr>
        <w:t> </w:t>
      </w:r>
      <w:r>
        <w:rPr/>
        <w:t>financieros,</w:t>
      </w:r>
      <w:r>
        <w:rPr>
          <w:spacing w:val="-6"/>
        </w:rPr>
        <w:t> </w:t>
      </w:r>
      <w:r>
        <w:rPr/>
        <w:t>estos</w:t>
      </w:r>
      <w:r>
        <w:rPr>
          <w:spacing w:val="-6"/>
        </w:rPr>
        <w:t> </w:t>
      </w:r>
      <w:r>
        <w:rPr/>
        <w:t>se</w:t>
      </w:r>
      <w:r>
        <w:rPr>
          <w:spacing w:val="-7"/>
        </w:rPr>
        <w:t> </w:t>
      </w:r>
      <w:r>
        <w:rPr/>
        <w:t>incrementaron</w:t>
      </w:r>
      <w:r>
        <w:rPr>
          <w:spacing w:val="-4"/>
        </w:rPr>
        <w:t> </w:t>
      </w:r>
      <w:r>
        <w:rPr/>
        <w:t>en</w:t>
      </w:r>
      <w:r>
        <w:rPr>
          <w:spacing w:val="-5"/>
        </w:rPr>
        <w:t> </w:t>
      </w:r>
      <w:r>
        <w:rPr/>
        <w:t>2.9%</w:t>
      </w:r>
      <w:r>
        <w:rPr>
          <w:spacing w:val="-3"/>
        </w:rPr>
        <w:t> </w:t>
      </w:r>
      <w:r>
        <w:rPr/>
        <w:t>del</w:t>
      </w:r>
      <w:r>
        <w:rPr>
          <w:spacing w:val="-4"/>
        </w:rPr>
        <w:t> </w:t>
      </w:r>
      <w:r>
        <w:rPr/>
        <w:t>PIB</w:t>
      </w:r>
      <w:r>
        <w:rPr>
          <w:spacing w:val="-5"/>
        </w:rPr>
        <w:t> </w:t>
      </w:r>
      <w:r>
        <w:rPr/>
        <w:t>derivado</w:t>
      </w:r>
      <w:r>
        <w:rPr>
          <w:spacing w:val="-5"/>
        </w:rPr>
        <w:t> </w:t>
      </w:r>
      <w:r>
        <w:rPr/>
        <w:t>de</w:t>
      </w:r>
      <w:r>
        <w:rPr>
          <w:spacing w:val="-3"/>
        </w:rPr>
        <w:t> </w:t>
      </w:r>
      <w:r>
        <w:rPr/>
        <w:t>un</w:t>
      </w:r>
      <w:r>
        <w:rPr>
          <w:spacing w:val="-4"/>
        </w:rPr>
        <w:t> </w:t>
      </w:r>
      <w:r>
        <w:rPr/>
        <w:t>aumento de títulos de deuda (bonos del tesoro) por 3.3% del PIB y una disminución (amortización) de préstamos por 0.4% del PIB durante el</w:t>
      </w:r>
      <w:r>
        <w:rPr>
          <w:spacing w:val="-1"/>
        </w:rPr>
        <w:t> </w:t>
      </w:r>
      <w:r>
        <w:rPr/>
        <w:t>2021.</w:t>
      </w:r>
    </w:p>
    <w:p>
      <w:pPr>
        <w:pStyle w:val="BodyText"/>
        <w:spacing w:line="276" w:lineRule="auto" w:before="167"/>
        <w:ind w:left="562" w:right="1699"/>
        <w:jc w:val="both"/>
      </w:pPr>
      <w:r>
        <w:rPr/>
        <w:t>Cabe resaltar que dentro de los estándares internacionales existe un indicador denominado como discrepancias estadísticas, el cual representa la diferencia entre las cuentas de financiamiento y el endeudamiento (ingresos menos erogaciones). Estas discrepancias se producen derivado a diversas razones, entre la que se puede mencionar el momento de registro, la cobertura de las cifras y la metodología para determinar la información en la cuenta de Billetes y Moneda y Depósitos (la cual se obtiene como una variación de entre las cifras de la cuenta de caja y bancos según los datos del balance de general) y en 2021 este se sitúa entorno 0.11% del PIB.</w:t>
      </w:r>
    </w:p>
    <w:p>
      <w:pPr>
        <w:spacing w:after="0" w:line="276" w:lineRule="auto"/>
        <w:jc w:val="both"/>
        <w:sectPr>
          <w:pgSz w:w="12240" w:h="15840"/>
          <w:pgMar w:header="715" w:footer="688" w:top="1240" w:bottom="880" w:left="1140" w:right="0"/>
        </w:sectPr>
      </w:pPr>
    </w:p>
    <w:p>
      <w:pPr>
        <w:pStyle w:val="Heading3"/>
        <w:spacing w:line="276" w:lineRule="auto" w:before="167"/>
        <w:ind w:left="1646" w:right="2788"/>
        <w:jc w:val="center"/>
      </w:pPr>
      <w:r>
        <w:rPr/>
        <w:t>Diferencia entre metodología nacional y los estándares internacionales Del Gobierno Central Presupuestario</w:t>
      </w:r>
    </w:p>
    <w:p>
      <w:pPr>
        <w:spacing w:line="252" w:lineRule="exact" w:before="0"/>
        <w:ind w:left="1395" w:right="2531" w:firstLine="0"/>
        <w:jc w:val="center"/>
        <w:rPr>
          <w:b/>
          <w:sz w:val="22"/>
        </w:rPr>
      </w:pPr>
      <w:r>
        <w:rPr>
          <w:b/>
          <w:sz w:val="22"/>
        </w:rPr>
        <w:t>Porcentajes del PIB</w:t>
      </w:r>
    </w:p>
    <w:p>
      <w:pPr>
        <w:pStyle w:val="BodyText"/>
        <w:spacing w:before="32" w:after="47"/>
        <w:ind w:left="1395" w:right="2528"/>
        <w:jc w:val="center"/>
      </w:pPr>
      <w:r>
        <w:rPr/>
        <w:t>Año 2021</w:t>
      </w:r>
    </w:p>
    <w:tbl>
      <w:tblPr>
        <w:tblW w:w="0" w:type="auto"/>
        <w:jc w:val="left"/>
        <w:tblInd w:w="7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42"/>
        <w:gridCol w:w="1815"/>
        <w:gridCol w:w="780"/>
        <w:gridCol w:w="780"/>
        <w:gridCol w:w="744"/>
        <w:gridCol w:w="3711"/>
      </w:tblGrid>
      <w:tr>
        <w:trPr>
          <w:trHeight w:val="723" w:hRule="atLeast"/>
        </w:trPr>
        <w:tc>
          <w:tcPr>
            <w:tcW w:w="742" w:type="dxa"/>
            <w:shd w:val="clear" w:color="auto" w:fill="44536A"/>
          </w:tcPr>
          <w:p>
            <w:pPr>
              <w:pStyle w:val="TableParagraph"/>
              <w:spacing w:before="6"/>
              <w:rPr>
                <w:sz w:val="17"/>
              </w:rPr>
            </w:pPr>
          </w:p>
          <w:p>
            <w:pPr>
              <w:pStyle w:val="TableParagraph"/>
              <w:spacing w:line="276" w:lineRule="auto"/>
              <w:ind w:left="198" w:right="152" w:hanging="15"/>
              <w:rPr>
                <w:b/>
                <w:sz w:val="12"/>
              </w:rPr>
            </w:pPr>
            <w:r>
              <w:rPr>
                <w:b/>
                <w:color w:val="FFFFFF"/>
                <w:sz w:val="12"/>
              </w:rPr>
              <w:t>Código MEFP</w:t>
            </w:r>
          </w:p>
        </w:tc>
        <w:tc>
          <w:tcPr>
            <w:tcW w:w="1815" w:type="dxa"/>
            <w:shd w:val="clear" w:color="auto" w:fill="44536A"/>
          </w:tcPr>
          <w:p>
            <w:pPr>
              <w:pStyle w:val="TableParagraph"/>
              <w:rPr>
                <w:sz w:val="12"/>
              </w:rPr>
            </w:pPr>
          </w:p>
          <w:p>
            <w:pPr>
              <w:pStyle w:val="TableParagraph"/>
              <w:spacing w:before="5"/>
              <w:rPr>
                <w:sz w:val="12"/>
              </w:rPr>
            </w:pPr>
          </w:p>
          <w:p>
            <w:pPr>
              <w:pStyle w:val="TableParagraph"/>
              <w:ind w:left="601"/>
              <w:rPr>
                <w:b/>
                <w:sz w:val="12"/>
              </w:rPr>
            </w:pPr>
            <w:r>
              <w:rPr>
                <w:b/>
                <w:color w:val="FFFFFF"/>
                <w:sz w:val="12"/>
              </w:rPr>
              <w:t>Descripción</w:t>
            </w:r>
          </w:p>
        </w:tc>
        <w:tc>
          <w:tcPr>
            <w:tcW w:w="780" w:type="dxa"/>
            <w:shd w:val="clear" w:color="auto" w:fill="44536A"/>
          </w:tcPr>
          <w:p>
            <w:pPr>
              <w:pStyle w:val="TableParagraph"/>
              <w:spacing w:before="6"/>
              <w:rPr>
                <w:sz w:val="17"/>
              </w:rPr>
            </w:pPr>
          </w:p>
          <w:p>
            <w:pPr>
              <w:pStyle w:val="TableParagraph"/>
              <w:spacing w:line="276" w:lineRule="auto"/>
              <w:ind w:left="138" w:right="32" w:hanging="70"/>
              <w:rPr>
                <w:b/>
                <w:sz w:val="12"/>
              </w:rPr>
            </w:pPr>
            <w:r>
              <w:rPr>
                <w:b/>
                <w:color w:val="FFFFFF"/>
                <w:sz w:val="12"/>
              </w:rPr>
              <w:t>Metodología MFP2014</w:t>
            </w:r>
          </w:p>
        </w:tc>
        <w:tc>
          <w:tcPr>
            <w:tcW w:w="780" w:type="dxa"/>
            <w:shd w:val="clear" w:color="auto" w:fill="44536A"/>
          </w:tcPr>
          <w:p>
            <w:pPr>
              <w:pStyle w:val="TableParagraph"/>
              <w:spacing w:before="6"/>
              <w:rPr>
                <w:sz w:val="17"/>
              </w:rPr>
            </w:pPr>
          </w:p>
          <w:p>
            <w:pPr>
              <w:pStyle w:val="TableParagraph"/>
              <w:spacing w:line="276" w:lineRule="auto"/>
              <w:ind w:left="171" w:right="33" w:hanging="104"/>
              <w:rPr>
                <w:b/>
                <w:sz w:val="12"/>
              </w:rPr>
            </w:pPr>
            <w:r>
              <w:rPr>
                <w:b/>
                <w:color w:val="FFFFFF"/>
                <w:sz w:val="12"/>
              </w:rPr>
              <w:t>Metodología nacional</w:t>
            </w:r>
          </w:p>
        </w:tc>
        <w:tc>
          <w:tcPr>
            <w:tcW w:w="744" w:type="dxa"/>
            <w:shd w:val="clear" w:color="auto" w:fill="44536A"/>
          </w:tcPr>
          <w:p>
            <w:pPr>
              <w:pStyle w:val="TableParagraph"/>
              <w:rPr>
                <w:sz w:val="12"/>
              </w:rPr>
            </w:pPr>
          </w:p>
          <w:p>
            <w:pPr>
              <w:pStyle w:val="TableParagraph"/>
              <w:spacing w:before="5"/>
              <w:rPr>
                <w:sz w:val="12"/>
              </w:rPr>
            </w:pPr>
          </w:p>
          <w:p>
            <w:pPr>
              <w:pStyle w:val="TableParagraph"/>
              <w:ind w:left="82" w:right="67"/>
              <w:jc w:val="center"/>
              <w:rPr>
                <w:b/>
                <w:sz w:val="12"/>
              </w:rPr>
            </w:pPr>
            <w:r>
              <w:rPr>
                <w:b/>
                <w:color w:val="FFFFFF"/>
                <w:sz w:val="12"/>
              </w:rPr>
              <w:t>Diferencia</w:t>
            </w:r>
          </w:p>
        </w:tc>
        <w:tc>
          <w:tcPr>
            <w:tcW w:w="3711" w:type="dxa"/>
            <w:shd w:val="clear" w:color="auto" w:fill="44536A"/>
          </w:tcPr>
          <w:p>
            <w:pPr>
              <w:pStyle w:val="TableParagraph"/>
              <w:rPr>
                <w:sz w:val="12"/>
              </w:rPr>
            </w:pPr>
          </w:p>
          <w:p>
            <w:pPr>
              <w:pStyle w:val="TableParagraph"/>
              <w:spacing w:before="5"/>
              <w:rPr>
                <w:sz w:val="12"/>
              </w:rPr>
            </w:pPr>
          </w:p>
          <w:p>
            <w:pPr>
              <w:pStyle w:val="TableParagraph"/>
              <w:ind w:left="1206"/>
              <w:rPr>
                <w:b/>
                <w:sz w:val="12"/>
              </w:rPr>
            </w:pPr>
            <w:r>
              <w:rPr>
                <w:b/>
                <w:color w:val="FFFFFF"/>
                <w:sz w:val="12"/>
              </w:rPr>
              <w:t>Explicación de diferencia</w:t>
            </w:r>
          </w:p>
        </w:tc>
      </w:tr>
      <w:tr>
        <w:trPr>
          <w:trHeight w:val="301" w:hRule="atLeast"/>
        </w:trPr>
        <w:tc>
          <w:tcPr>
            <w:tcW w:w="8572" w:type="dxa"/>
            <w:gridSpan w:val="6"/>
            <w:shd w:val="clear" w:color="auto" w:fill="A6A6A6"/>
          </w:tcPr>
          <w:p>
            <w:pPr>
              <w:pStyle w:val="TableParagraph"/>
              <w:spacing w:before="70"/>
              <w:ind w:left="3101" w:right="3087"/>
              <w:jc w:val="center"/>
              <w:rPr>
                <w:b/>
                <w:sz w:val="12"/>
              </w:rPr>
            </w:pPr>
            <w:r>
              <w:rPr>
                <w:b/>
                <w:sz w:val="12"/>
              </w:rPr>
              <w:t>Transacciones que afectan el patrimonio neto</w:t>
            </w:r>
          </w:p>
        </w:tc>
      </w:tr>
      <w:tr>
        <w:trPr>
          <w:trHeight w:val="832" w:hRule="atLeast"/>
        </w:trPr>
        <w:tc>
          <w:tcPr>
            <w:tcW w:w="742" w:type="dxa"/>
            <w:tcBorders>
              <w:bottom w:val="single" w:sz="4" w:space="0" w:color="000000"/>
              <w:right w:val="single" w:sz="4" w:space="0" w:color="000000"/>
            </w:tcBorders>
            <w:shd w:val="clear" w:color="auto" w:fill="8495AF"/>
          </w:tcPr>
          <w:p>
            <w:pPr>
              <w:pStyle w:val="TableParagraph"/>
              <w:rPr>
                <w:sz w:val="12"/>
              </w:rPr>
            </w:pPr>
          </w:p>
          <w:p>
            <w:pPr>
              <w:pStyle w:val="TableParagraph"/>
              <w:spacing w:before="2"/>
              <w:rPr>
                <w:sz w:val="17"/>
              </w:rPr>
            </w:pPr>
          </w:p>
          <w:p>
            <w:pPr>
              <w:pStyle w:val="TableParagraph"/>
              <w:spacing w:before="1"/>
              <w:ind w:left="8"/>
              <w:jc w:val="center"/>
              <w:rPr>
                <w:b/>
                <w:i/>
                <w:sz w:val="12"/>
              </w:rPr>
            </w:pPr>
            <w:r>
              <w:rPr>
                <w:b/>
                <w:i/>
                <w:color w:val="FFFFFF"/>
                <w:sz w:val="12"/>
              </w:rPr>
              <w:t>1</w:t>
            </w:r>
          </w:p>
        </w:tc>
        <w:tc>
          <w:tcPr>
            <w:tcW w:w="1815" w:type="dxa"/>
            <w:tcBorders>
              <w:left w:val="single" w:sz="4" w:space="0" w:color="000000"/>
              <w:bottom w:val="single" w:sz="4" w:space="0" w:color="000000"/>
              <w:right w:val="single" w:sz="4" w:space="0" w:color="000000"/>
            </w:tcBorders>
          </w:tcPr>
          <w:p>
            <w:pPr>
              <w:pStyle w:val="TableParagraph"/>
              <w:rPr>
                <w:sz w:val="12"/>
              </w:rPr>
            </w:pPr>
          </w:p>
          <w:p>
            <w:pPr>
              <w:pStyle w:val="TableParagraph"/>
              <w:spacing w:before="2"/>
              <w:rPr>
                <w:sz w:val="17"/>
              </w:rPr>
            </w:pPr>
          </w:p>
          <w:p>
            <w:pPr>
              <w:pStyle w:val="TableParagraph"/>
              <w:spacing w:before="1"/>
              <w:ind w:left="73"/>
              <w:rPr>
                <w:b/>
                <w:i/>
                <w:sz w:val="12"/>
              </w:rPr>
            </w:pPr>
            <w:r>
              <w:rPr>
                <w:b/>
                <w:i/>
                <w:sz w:val="12"/>
              </w:rPr>
              <w:t>Ingreso</w:t>
            </w:r>
          </w:p>
        </w:tc>
        <w:tc>
          <w:tcPr>
            <w:tcW w:w="780" w:type="dxa"/>
            <w:tcBorders>
              <w:left w:val="single" w:sz="4" w:space="0" w:color="000000"/>
              <w:bottom w:val="single" w:sz="4" w:space="0" w:color="000000"/>
              <w:right w:val="single" w:sz="4" w:space="0" w:color="000000"/>
            </w:tcBorders>
          </w:tcPr>
          <w:p>
            <w:pPr>
              <w:pStyle w:val="TableParagraph"/>
              <w:rPr>
                <w:sz w:val="12"/>
              </w:rPr>
            </w:pPr>
          </w:p>
          <w:p>
            <w:pPr>
              <w:pStyle w:val="TableParagraph"/>
              <w:spacing w:before="2"/>
              <w:rPr>
                <w:sz w:val="17"/>
              </w:rPr>
            </w:pPr>
          </w:p>
          <w:p>
            <w:pPr>
              <w:pStyle w:val="TableParagraph"/>
              <w:spacing w:before="1"/>
              <w:ind w:left="164" w:right="144"/>
              <w:jc w:val="center"/>
              <w:rPr>
                <w:b/>
                <w:i/>
                <w:sz w:val="12"/>
              </w:rPr>
            </w:pPr>
            <w:r>
              <w:rPr>
                <w:b/>
                <w:i/>
                <w:sz w:val="12"/>
              </w:rPr>
              <w:t>84,358.6</w:t>
            </w:r>
          </w:p>
        </w:tc>
        <w:tc>
          <w:tcPr>
            <w:tcW w:w="780" w:type="dxa"/>
            <w:tcBorders>
              <w:left w:val="single" w:sz="4" w:space="0" w:color="000000"/>
              <w:bottom w:val="single" w:sz="4" w:space="0" w:color="000000"/>
              <w:right w:val="single" w:sz="4" w:space="0" w:color="000000"/>
            </w:tcBorders>
          </w:tcPr>
          <w:p>
            <w:pPr>
              <w:pStyle w:val="TableParagraph"/>
              <w:rPr>
                <w:sz w:val="12"/>
              </w:rPr>
            </w:pPr>
          </w:p>
          <w:p>
            <w:pPr>
              <w:pStyle w:val="TableParagraph"/>
              <w:spacing w:before="2"/>
              <w:rPr>
                <w:sz w:val="17"/>
              </w:rPr>
            </w:pPr>
          </w:p>
          <w:p>
            <w:pPr>
              <w:pStyle w:val="TableParagraph"/>
              <w:spacing w:before="1"/>
              <w:ind w:left="164" w:right="144"/>
              <w:jc w:val="center"/>
              <w:rPr>
                <w:b/>
                <w:i/>
                <w:sz w:val="12"/>
              </w:rPr>
            </w:pPr>
            <w:r>
              <w:rPr>
                <w:b/>
                <w:i/>
                <w:sz w:val="12"/>
              </w:rPr>
              <w:t>82,295.0</w:t>
            </w:r>
          </w:p>
        </w:tc>
        <w:tc>
          <w:tcPr>
            <w:tcW w:w="744" w:type="dxa"/>
            <w:tcBorders>
              <w:left w:val="single" w:sz="4" w:space="0" w:color="000000"/>
              <w:bottom w:val="single" w:sz="4" w:space="0" w:color="000000"/>
              <w:right w:val="single" w:sz="4" w:space="0" w:color="000000"/>
            </w:tcBorders>
          </w:tcPr>
          <w:p>
            <w:pPr>
              <w:pStyle w:val="TableParagraph"/>
              <w:rPr>
                <w:sz w:val="12"/>
              </w:rPr>
            </w:pPr>
          </w:p>
          <w:p>
            <w:pPr>
              <w:pStyle w:val="TableParagraph"/>
              <w:spacing w:before="2"/>
              <w:rPr>
                <w:sz w:val="17"/>
              </w:rPr>
            </w:pPr>
          </w:p>
          <w:p>
            <w:pPr>
              <w:pStyle w:val="TableParagraph"/>
              <w:spacing w:before="1"/>
              <w:ind w:left="127" w:right="107"/>
              <w:jc w:val="center"/>
              <w:rPr>
                <w:b/>
                <w:i/>
                <w:sz w:val="12"/>
              </w:rPr>
            </w:pPr>
            <w:r>
              <w:rPr>
                <w:b/>
                <w:i/>
                <w:sz w:val="12"/>
              </w:rPr>
              <w:t>2,063.7</w:t>
            </w:r>
          </w:p>
        </w:tc>
        <w:tc>
          <w:tcPr>
            <w:tcW w:w="3711" w:type="dxa"/>
            <w:tcBorders>
              <w:left w:val="single" w:sz="4" w:space="0" w:color="000000"/>
              <w:bottom w:val="single" w:sz="4" w:space="0" w:color="000000"/>
            </w:tcBorders>
          </w:tcPr>
          <w:p>
            <w:pPr>
              <w:pStyle w:val="TableParagraph"/>
              <w:spacing w:line="112" w:lineRule="exact"/>
              <w:ind w:left="74"/>
              <w:rPr>
                <w:i/>
                <w:sz w:val="10"/>
              </w:rPr>
            </w:pPr>
            <w:r>
              <w:rPr>
                <w:i/>
                <w:sz w:val="10"/>
              </w:rPr>
              <w:t>(-) Devoluciones</w:t>
            </w:r>
          </w:p>
          <w:p>
            <w:pPr>
              <w:pStyle w:val="TableParagraph"/>
              <w:spacing w:line="280" w:lineRule="auto" w:before="26"/>
              <w:ind w:left="74" w:right="263"/>
              <w:rPr>
                <w:i/>
                <w:sz w:val="10"/>
              </w:rPr>
            </w:pPr>
            <w:r>
              <w:rPr>
                <w:i/>
                <w:sz w:val="10"/>
              </w:rPr>
              <w:t>(-) Ingresos de capital (exceptuando transferencias de capital de la Administración </w:t>
            </w:r>
            <w:r>
              <w:rPr>
                <w:i/>
                <w:sz w:val="10"/>
              </w:rPr>
              <w:t>Central)</w:t>
            </w:r>
          </w:p>
          <w:p>
            <w:pPr>
              <w:pStyle w:val="TableParagraph"/>
              <w:spacing w:before="7"/>
              <w:ind w:left="74"/>
              <w:rPr>
                <w:i/>
                <w:sz w:val="10"/>
              </w:rPr>
            </w:pPr>
            <w:r>
              <w:rPr>
                <w:i/>
                <w:sz w:val="10"/>
              </w:rPr>
              <w:t>(-) Diferencias por fluctuaciones cambiarias</w:t>
            </w:r>
          </w:p>
          <w:p>
            <w:pPr>
              <w:pStyle w:val="TableParagraph"/>
              <w:spacing w:line="140" w:lineRule="atLeast" w:before="2"/>
              <w:ind w:left="74" w:right="1488"/>
              <w:rPr>
                <w:i/>
                <w:sz w:val="10"/>
              </w:rPr>
            </w:pPr>
            <w:r>
              <w:rPr>
                <w:i/>
                <w:sz w:val="10"/>
              </w:rPr>
              <w:t>(-) Recursos provenientes de la extinción de dominio </w:t>
            </w:r>
            <w:r>
              <w:rPr>
                <w:i/>
                <w:sz w:val="10"/>
              </w:rPr>
              <w:t>(+) Contribuciones Sociales Imputadas</w:t>
            </w:r>
          </w:p>
        </w:tc>
      </w:tr>
      <w:tr>
        <w:trPr>
          <w:trHeight w:val="561" w:hRule="atLeast"/>
        </w:trPr>
        <w:tc>
          <w:tcPr>
            <w:tcW w:w="742" w:type="dxa"/>
            <w:tcBorders>
              <w:top w:val="single" w:sz="4" w:space="0" w:color="000000"/>
              <w:bottom w:val="single" w:sz="4" w:space="0" w:color="000000"/>
              <w:right w:val="single" w:sz="4" w:space="0" w:color="000000"/>
            </w:tcBorders>
            <w:shd w:val="clear" w:color="auto" w:fill="8495AF"/>
          </w:tcPr>
          <w:p>
            <w:pPr>
              <w:pStyle w:val="TableParagraph"/>
              <w:spacing w:before="4"/>
              <w:rPr>
                <w:sz w:val="17"/>
              </w:rPr>
            </w:pPr>
          </w:p>
          <w:p>
            <w:pPr>
              <w:pStyle w:val="TableParagraph"/>
              <w:ind w:left="80" w:right="69"/>
              <w:jc w:val="center"/>
              <w:rPr>
                <w:b/>
                <w:sz w:val="12"/>
              </w:rPr>
            </w:pPr>
            <w:r>
              <w:rPr>
                <w:b/>
                <w:color w:val="FFFFFF"/>
                <w:sz w:val="12"/>
              </w:rPr>
              <w:t>11</w:t>
            </w:r>
          </w:p>
        </w:tc>
        <w:tc>
          <w:tcPr>
            <w:tcW w:w="1815"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before="1"/>
              <w:rPr>
                <w:sz w:val="17"/>
              </w:rPr>
            </w:pPr>
          </w:p>
          <w:p>
            <w:pPr>
              <w:pStyle w:val="TableParagraph"/>
              <w:spacing w:before="1"/>
              <w:ind w:left="193"/>
              <w:rPr>
                <w:sz w:val="12"/>
              </w:rPr>
            </w:pPr>
            <w:r>
              <w:rPr>
                <w:sz w:val="12"/>
              </w:rPr>
              <w:t>Impuestos</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before="1"/>
              <w:rPr>
                <w:sz w:val="17"/>
              </w:rPr>
            </w:pPr>
          </w:p>
          <w:p>
            <w:pPr>
              <w:pStyle w:val="TableParagraph"/>
              <w:spacing w:before="1"/>
              <w:ind w:left="164" w:right="144"/>
              <w:jc w:val="center"/>
              <w:rPr>
                <w:sz w:val="12"/>
              </w:rPr>
            </w:pPr>
            <w:r>
              <w:rPr>
                <w:sz w:val="12"/>
              </w:rPr>
              <w:t>77,300.1</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before="1"/>
              <w:rPr>
                <w:sz w:val="17"/>
              </w:rPr>
            </w:pPr>
          </w:p>
          <w:p>
            <w:pPr>
              <w:pStyle w:val="TableParagraph"/>
              <w:spacing w:before="1"/>
              <w:ind w:left="164" w:right="144"/>
              <w:jc w:val="center"/>
              <w:rPr>
                <w:sz w:val="12"/>
              </w:rPr>
            </w:pPr>
            <w:r>
              <w:rPr>
                <w:sz w:val="12"/>
              </w:rPr>
              <w:t>78,019.1</w:t>
            </w:r>
          </w:p>
        </w:tc>
        <w:tc>
          <w:tcPr>
            <w:tcW w:w="744"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before="1"/>
              <w:rPr>
                <w:sz w:val="17"/>
              </w:rPr>
            </w:pPr>
          </w:p>
          <w:p>
            <w:pPr>
              <w:pStyle w:val="TableParagraph"/>
              <w:spacing w:before="1"/>
              <w:ind w:left="125" w:right="107"/>
              <w:jc w:val="center"/>
              <w:rPr>
                <w:sz w:val="12"/>
              </w:rPr>
            </w:pPr>
            <w:r>
              <w:rPr>
                <w:sz w:val="12"/>
              </w:rPr>
              <w:t>-718.9</w:t>
            </w:r>
          </w:p>
        </w:tc>
        <w:tc>
          <w:tcPr>
            <w:tcW w:w="3711" w:type="dxa"/>
            <w:tcBorders>
              <w:top w:val="single" w:sz="4" w:space="0" w:color="000000"/>
              <w:left w:val="single" w:sz="4" w:space="0" w:color="000000"/>
              <w:bottom w:val="single" w:sz="4" w:space="0" w:color="000000"/>
            </w:tcBorders>
            <w:shd w:val="clear" w:color="auto" w:fill="ECECEC"/>
          </w:tcPr>
          <w:p>
            <w:pPr>
              <w:pStyle w:val="TableParagraph"/>
              <w:spacing w:line="295" w:lineRule="auto"/>
              <w:ind w:left="74" w:right="2947"/>
              <w:rPr>
                <w:i/>
                <w:sz w:val="10"/>
              </w:rPr>
            </w:pPr>
            <w:r>
              <w:rPr>
                <w:i/>
                <w:sz w:val="10"/>
              </w:rPr>
              <w:t>(-) Devoluciones </w:t>
            </w:r>
            <w:r>
              <w:rPr>
                <w:i/>
                <w:sz w:val="10"/>
              </w:rPr>
              <w:t>(-) Regalías</w:t>
            </w:r>
          </w:p>
          <w:p>
            <w:pPr>
              <w:pStyle w:val="TableParagraph"/>
              <w:ind w:left="74"/>
              <w:rPr>
                <w:i/>
                <w:sz w:val="10"/>
              </w:rPr>
            </w:pPr>
            <w:r>
              <w:rPr>
                <w:i/>
                <w:sz w:val="10"/>
              </w:rPr>
              <w:t>(-) Intereses, Multas y Mora</w:t>
            </w:r>
          </w:p>
          <w:p>
            <w:pPr>
              <w:pStyle w:val="TableParagraph"/>
              <w:spacing w:before="27"/>
              <w:ind w:left="74"/>
              <w:rPr>
                <w:i/>
                <w:sz w:val="10"/>
              </w:rPr>
            </w:pPr>
            <w:r>
              <w:rPr>
                <w:i/>
                <w:sz w:val="10"/>
              </w:rPr>
              <w:t>(+) Tasas consideradas como impuestos</w:t>
            </w:r>
          </w:p>
        </w:tc>
      </w:tr>
      <w:tr>
        <w:trPr>
          <w:trHeight w:val="158" w:hRule="atLeast"/>
        </w:trPr>
        <w:tc>
          <w:tcPr>
            <w:tcW w:w="742" w:type="dxa"/>
            <w:tcBorders>
              <w:top w:val="single" w:sz="4" w:space="0" w:color="000000"/>
              <w:bottom w:val="single" w:sz="4" w:space="0" w:color="000000"/>
              <w:right w:val="single" w:sz="4" w:space="0" w:color="000000"/>
            </w:tcBorders>
            <w:shd w:val="clear" w:color="auto" w:fill="8495AF"/>
          </w:tcPr>
          <w:p>
            <w:pPr>
              <w:pStyle w:val="TableParagraph"/>
              <w:spacing w:line="136" w:lineRule="exact"/>
              <w:ind w:left="80" w:right="69"/>
              <w:jc w:val="center"/>
              <w:rPr>
                <w:b/>
                <w:sz w:val="12"/>
              </w:rPr>
            </w:pPr>
            <w:r>
              <w:rPr>
                <w:b/>
                <w:color w:val="FFFFFF"/>
                <w:sz w:val="12"/>
              </w:rPr>
              <w:t>12</w:t>
            </w:r>
          </w:p>
        </w:tc>
        <w:tc>
          <w:tcPr>
            <w:tcW w:w="181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193"/>
              <w:rPr>
                <w:sz w:val="12"/>
              </w:rPr>
            </w:pPr>
            <w:r>
              <w:rPr>
                <w:sz w:val="12"/>
              </w:rPr>
              <w:t>Contribuciones sociales</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162" w:right="144"/>
              <w:jc w:val="center"/>
              <w:rPr>
                <w:sz w:val="12"/>
              </w:rPr>
            </w:pPr>
            <w:r>
              <w:rPr>
                <w:sz w:val="12"/>
              </w:rPr>
              <w:t>5,007.3</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162" w:right="144"/>
              <w:jc w:val="center"/>
              <w:rPr>
                <w:sz w:val="12"/>
              </w:rPr>
            </w:pPr>
            <w:r>
              <w:rPr>
                <w:sz w:val="12"/>
              </w:rPr>
              <w:t>2,669.8</w:t>
            </w:r>
          </w:p>
        </w:tc>
        <w:tc>
          <w:tcPr>
            <w:tcW w:w="744"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127" w:right="107"/>
              <w:jc w:val="center"/>
              <w:rPr>
                <w:sz w:val="12"/>
              </w:rPr>
            </w:pPr>
            <w:r>
              <w:rPr>
                <w:sz w:val="12"/>
              </w:rPr>
              <w:t>2,337.4</w:t>
            </w:r>
          </w:p>
        </w:tc>
        <w:tc>
          <w:tcPr>
            <w:tcW w:w="3711" w:type="dxa"/>
            <w:tcBorders>
              <w:top w:val="single" w:sz="4" w:space="0" w:color="000000"/>
              <w:left w:val="single" w:sz="4" w:space="0" w:color="000000"/>
              <w:bottom w:val="single" w:sz="4" w:space="0" w:color="000000"/>
            </w:tcBorders>
          </w:tcPr>
          <w:p>
            <w:pPr>
              <w:pStyle w:val="TableParagraph"/>
              <w:spacing w:before="9"/>
              <w:ind w:left="74"/>
              <w:rPr>
                <w:i/>
                <w:sz w:val="10"/>
              </w:rPr>
            </w:pPr>
            <w:r>
              <w:rPr>
                <w:i/>
                <w:sz w:val="10"/>
              </w:rPr>
              <w:t>(+) Contribuciones Sociales Imputadas</w:t>
            </w:r>
          </w:p>
        </w:tc>
      </w:tr>
      <w:tr>
        <w:trPr>
          <w:trHeight w:val="263" w:hRule="atLeast"/>
        </w:trPr>
        <w:tc>
          <w:tcPr>
            <w:tcW w:w="742" w:type="dxa"/>
            <w:tcBorders>
              <w:top w:val="single" w:sz="4" w:space="0" w:color="000000"/>
              <w:bottom w:val="single" w:sz="4" w:space="0" w:color="000000"/>
              <w:right w:val="single" w:sz="4" w:space="0" w:color="000000"/>
            </w:tcBorders>
            <w:shd w:val="clear" w:color="auto" w:fill="8495AF"/>
          </w:tcPr>
          <w:p>
            <w:pPr>
              <w:pStyle w:val="TableParagraph"/>
              <w:spacing w:before="51"/>
              <w:ind w:left="80" w:right="69"/>
              <w:jc w:val="center"/>
              <w:rPr>
                <w:b/>
                <w:sz w:val="12"/>
              </w:rPr>
            </w:pPr>
            <w:r>
              <w:rPr>
                <w:b/>
                <w:color w:val="FFFFFF"/>
                <w:sz w:val="12"/>
              </w:rPr>
              <w:t>13</w:t>
            </w:r>
          </w:p>
        </w:tc>
        <w:tc>
          <w:tcPr>
            <w:tcW w:w="1815"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before="48"/>
              <w:ind w:left="193"/>
              <w:rPr>
                <w:sz w:val="12"/>
              </w:rPr>
            </w:pPr>
            <w:r>
              <w:rPr>
                <w:sz w:val="12"/>
              </w:rPr>
              <w:t>Donaciones</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before="48"/>
              <w:ind w:left="162" w:right="144"/>
              <w:jc w:val="center"/>
              <w:rPr>
                <w:sz w:val="12"/>
              </w:rPr>
            </w:pPr>
            <w:r>
              <w:rPr>
                <w:sz w:val="12"/>
              </w:rPr>
              <w:t>184.9</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before="48"/>
              <w:ind w:left="162" w:right="144"/>
              <w:jc w:val="center"/>
              <w:rPr>
                <w:sz w:val="12"/>
              </w:rPr>
            </w:pPr>
            <w:r>
              <w:rPr>
                <w:sz w:val="12"/>
              </w:rPr>
              <w:t>124.1</w:t>
            </w:r>
          </w:p>
        </w:tc>
        <w:tc>
          <w:tcPr>
            <w:tcW w:w="744"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before="48"/>
              <w:ind w:left="125" w:right="107"/>
              <w:jc w:val="center"/>
              <w:rPr>
                <w:sz w:val="12"/>
              </w:rPr>
            </w:pPr>
            <w:r>
              <w:rPr>
                <w:sz w:val="12"/>
              </w:rPr>
              <w:t>60.8</w:t>
            </w:r>
          </w:p>
        </w:tc>
        <w:tc>
          <w:tcPr>
            <w:tcW w:w="3711" w:type="dxa"/>
            <w:tcBorders>
              <w:top w:val="single" w:sz="4" w:space="0" w:color="000000"/>
              <w:left w:val="single" w:sz="4" w:space="0" w:color="000000"/>
              <w:bottom w:val="single" w:sz="4" w:space="0" w:color="000000"/>
            </w:tcBorders>
            <w:shd w:val="clear" w:color="auto" w:fill="ECECEC"/>
          </w:tcPr>
          <w:p>
            <w:pPr>
              <w:pStyle w:val="TableParagraph"/>
              <w:spacing w:line="113" w:lineRule="exact"/>
              <w:ind w:left="74"/>
              <w:rPr>
                <w:i/>
                <w:sz w:val="10"/>
              </w:rPr>
            </w:pPr>
            <w:r>
              <w:rPr>
                <w:i/>
                <w:sz w:val="10"/>
              </w:rPr>
              <w:t>(+) Transferencias corrientes y de capital, Recibidas de Entidades Públicas u</w:t>
            </w:r>
          </w:p>
          <w:p>
            <w:pPr>
              <w:pStyle w:val="TableParagraph"/>
              <w:spacing w:line="114" w:lineRule="exact" w:before="17"/>
              <w:ind w:left="74"/>
              <w:rPr>
                <w:i/>
                <w:sz w:val="10"/>
              </w:rPr>
            </w:pPr>
            <w:r>
              <w:rPr>
                <w:i/>
                <w:sz w:val="10"/>
              </w:rPr>
              <w:t>Organismos internacionales</w:t>
            </w:r>
          </w:p>
        </w:tc>
      </w:tr>
      <w:tr>
        <w:trPr>
          <w:trHeight w:val="844" w:hRule="atLeast"/>
        </w:trPr>
        <w:tc>
          <w:tcPr>
            <w:tcW w:w="742" w:type="dxa"/>
            <w:tcBorders>
              <w:top w:val="single" w:sz="4" w:space="0" w:color="000000"/>
              <w:bottom w:val="single" w:sz="4" w:space="0" w:color="000000"/>
              <w:right w:val="single" w:sz="4" w:space="0" w:color="000000"/>
            </w:tcBorders>
            <w:shd w:val="clear" w:color="auto" w:fill="8495AF"/>
          </w:tcPr>
          <w:p>
            <w:pPr>
              <w:pStyle w:val="TableParagraph"/>
              <w:rPr>
                <w:sz w:val="12"/>
              </w:rPr>
            </w:pPr>
          </w:p>
          <w:p>
            <w:pPr>
              <w:pStyle w:val="TableParagraph"/>
              <w:spacing w:before="7"/>
              <w:rPr>
                <w:sz w:val="17"/>
              </w:rPr>
            </w:pPr>
          </w:p>
          <w:p>
            <w:pPr>
              <w:pStyle w:val="TableParagraph"/>
              <w:spacing w:before="1"/>
              <w:ind w:left="80" w:right="69"/>
              <w:jc w:val="center"/>
              <w:rPr>
                <w:b/>
                <w:sz w:val="12"/>
              </w:rPr>
            </w:pPr>
            <w:r>
              <w:rPr>
                <w:b/>
                <w:color w:val="FFFFFF"/>
                <w:sz w:val="12"/>
              </w:rPr>
              <w:t>14</w:t>
            </w:r>
          </w:p>
        </w:tc>
        <w:tc>
          <w:tcPr>
            <w:tcW w:w="1815" w:type="dxa"/>
            <w:tcBorders>
              <w:top w:val="single" w:sz="4" w:space="0" w:color="000000"/>
              <w:left w:val="single" w:sz="4" w:space="0" w:color="000000"/>
              <w:bottom w:val="single" w:sz="4" w:space="0" w:color="000000"/>
              <w:right w:val="single" w:sz="4" w:space="0" w:color="000000"/>
            </w:tcBorders>
          </w:tcPr>
          <w:p>
            <w:pPr>
              <w:pStyle w:val="TableParagraph"/>
              <w:rPr>
                <w:sz w:val="12"/>
              </w:rPr>
            </w:pPr>
          </w:p>
          <w:p>
            <w:pPr>
              <w:pStyle w:val="TableParagraph"/>
              <w:spacing w:before="5"/>
              <w:rPr>
                <w:sz w:val="17"/>
              </w:rPr>
            </w:pPr>
          </w:p>
          <w:p>
            <w:pPr>
              <w:pStyle w:val="TableParagraph"/>
              <w:ind w:left="193"/>
              <w:rPr>
                <w:sz w:val="12"/>
              </w:rPr>
            </w:pPr>
            <w:r>
              <w:rPr>
                <w:sz w:val="12"/>
              </w:rPr>
              <w:t>Otros ingresos</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rPr>
                <w:sz w:val="12"/>
              </w:rPr>
            </w:pPr>
          </w:p>
          <w:p>
            <w:pPr>
              <w:pStyle w:val="TableParagraph"/>
              <w:spacing w:before="5"/>
              <w:rPr>
                <w:sz w:val="17"/>
              </w:rPr>
            </w:pPr>
          </w:p>
          <w:p>
            <w:pPr>
              <w:pStyle w:val="TableParagraph"/>
              <w:ind w:left="162" w:right="144"/>
              <w:jc w:val="center"/>
              <w:rPr>
                <w:sz w:val="12"/>
              </w:rPr>
            </w:pPr>
            <w:r>
              <w:rPr>
                <w:sz w:val="12"/>
              </w:rPr>
              <w:t>1,866.3</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rPr>
                <w:sz w:val="12"/>
              </w:rPr>
            </w:pPr>
          </w:p>
          <w:p>
            <w:pPr>
              <w:pStyle w:val="TableParagraph"/>
              <w:spacing w:before="5"/>
              <w:rPr>
                <w:sz w:val="17"/>
              </w:rPr>
            </w:pPr>
          </w:p>
          <w:p>
            <w:pPr>
              <w:pStyle w:val="TableParagraph"/>
              <w:ind w:left="162" w:right="144"/>
              <w:jc w:val="center"/>
              <w:rPr>
                <w:sz w:val="12"/>
              </w:rPr>
            </w:pPr>
            <w:r>
              <w:rPr>
                <w:sz w:val="12"/>
              </w:rPr>
              <w:t>1,299.3</w:t>
            </w:r>
          </w:p>
        </w:tc>
        <w:tc>
          <w:tcPr>
            <w:tcW w:w="744" w:type="dxa"/>
            <w:tcBorders>
              <w:top w:val="single" w:sz="4" w:space="0" w:color="000000"/>
              <w:left w:val="single" w:sz="4" w:space="0" w:color="000000"/>
              <w:bottom w:val="single" w:sz="4" w:space="0" w:color="000000"/>
              <w:right w:val="single" w:sz="4" w:space="0" w:color="000000"/>
            </w:tcBorders>
          </w:tcPr>
          <w:p>
            <w:pPr>
              <w:pStyle w:val="TableParagraph"/>
              <w:rPr>
                <w:sz w:val="12"/>
              </w:rPr>
            </w:pPr>
          </w:p>
          <w:p>
            <w:pPr>
              <w:pStyle w:val="TableParagraph"/>
              <w:spacing w:before="5"/>
              <w:rPr>
                <w:sz w:val="17"/>
              </w:rPr>
            </w:pPr>
          </w:p>
          <w:p>
            <w:pPr>
              <w:pStyle w:val="TableParagraph"/>
              <w:ind w:left="122" w:right="107"/>
              <w:jc w:val="center"/>
              <w:rPr>
                <w:sz w:val="12"/>
              </w:rPr>
            </w:pPr>
            <w:r>
              <w:rPr>
                <w:sz w:val="12"/>
              </w:rPr>
              <w:t>567.1</w:t>
            </w:r>
          </w:p>
        </w:tc>
        <w:tc>
          <w:tcPr>
            <w:tcW w:w="3711" w:type="dxa"/>
            <w:tcBorders>
              <w:top w:val="single" w:sz="4" w:space="0" w:color="000000"/>
              <w:left w:val="single" w:sz="4" w:space="0" w:color="000000"/>
              <w:bottom w:val="single" w:sz="4" w:space="0" w:color="000000"/>
            </w:tcBorders>
          </w:tcPr>
          <w:p>
            <w:pPr>
              <w:pStyle w:val="TableParagraph"/>
              <w:spacing w:line="113" w:lineRule="exact"/>
              <w:ind w:left="74"/>
              <w:rPr>
                <w:i/>
                <w:sz w:val="10"/>
              </w:rPr>
            </w:pPr>
            <w:r>
              <w:rPr>
                <w:i/>
                <w:sz w:val="10"/>
              </w:rPr>
              <w:t>(+) Regalías</w:t>
            </w:r>
          </w:p>
          <w:p>
            <w:pPr>
              <w:pStyle w:val="TableParagraph"/>
              <w:spacing w:before="29"/>
              <w:ind w:left="74"/>
              <w:rPr>
                <w:i/>
                <w:sz w:val="10"/>
              </w:rPr>
            </w:pPr>
            <w:r>
              <w:rPr>
                <w:i/>
                <w:sz w:val="10"/>
              </w:rPr>
              <w:t>(+) Intereses, Multas y Mora</w:t>
            </w:r>
          </w:p>
          <w:p>
            <w:pPr>
              <w:pStyle w:val="TableParagraph"/>
              <w:spacing w:before="26"/>
              <w:ind w:left="74"/>
              <w:rPr>
                <w:i/>
                <w:sz w:val="10"/>
              </w:rPr>
            </w:pPr>
            <w:r>
              <w:rPr>
                <w:i/>
                <w:sz w:val="10"/>
              </w:rPr>
              <w:t>(-) Tasas consideradas como impuestos</w:t>
            </w:r>
          </w:p>
          <w:p>
            <w:pPr>
              <w:pStyle w:val="TableParagraph"/>
              <w:spacing w:before="27"/>
              <w:ind w:left="74"/>
              <w:rPr>
                <w:i/>
                <w:sz w:val="10"/>
              </w:rPr>
            </w:pPr>
            <w:r>
              <w:rPr>
                <w:i/>
                <w:sz w:val="10"/>
              </w:rPr>
              <w:t>(-) Diferencias por fluctuaciones cambiarias</w:t>
            </w:r>
          </w:p>
          <w:p>
            <w:pPr>
              <w:pStyle w:val="TableParagraph"/>
              <w:spacing w:line="144" w:lineRule="exact" w:before="5"/>
              <w:ind w:left="74" w:right="1504"/>
              <w:rPr>
                <w:i/>
                <w:sz w:val="10"/>
              </w:rPr>
            </w:pPr>
            <w:r>
              <w:rPr>
                <w:i/>
                <w:sz w:val="10"/>
              </w:rPr>
              <w:t>(-) Transferencias corrientes de Entidades Públicas </w:t>
            </w:r>
            <w:r>
              <w:rPr>
                <w:i/>
                <w:sz w:val="10"/>
              </w:rPr>
              <w:t>(-) Recursos provenientes de la extinción de dominio</w:t>
            </w:r>
          </w:p>
        </w:tc>
      </w:tr>
      <w:tr>
        <w:trPr>
          <w:trHeight w:val="158" w:hRule="atLeast"/>
        </w:trPr>
        <w:tc>
          <w:tcPr>
            <w:tcW w:w="742" w:type="dxa"/>
            <w:tcBorders>
              <w:top w:val="single" w:sz="4" w:space="0" w:color="000000"/>
              <w:bottom w:val="single" w:sz="4" w:space="0" w:color="000000"/>
              <w:right w:val="single" w:sz="4" w:space="0" w:color="000000"/>
            </w:tcBorders>
            <w:shd w:val="clear" w:color="auto" w:fill="8495AF"/>
          </w:tcPr>
          <w:p>
            <w:pPr>
              <w:pStyle w:val="TableParagraph"/>
              <w:spacing w:line="136" w:lineRule="exact"/>
              <w:ind w:left="80" w:right="69"/>
              <w:jc w:val="center"/>
              <w:rPr>
                <w:b/>
                <w:sz w:val="12"/>
              </w:rPr>
            </w:pPr>
            <w:r>
              <w:rPr>
                <w:b/>
                <w:color w:val="FFFFFF"/>
                <w:sz w:val="12"/>
              </w:rPr>
              <w:t>N/A</w:t>
            </w:r>
          </w:p>
        </w:tc>
        <w:tc>
          <w:tcPr>
            <w:tcW w:w="1815"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34" w:lineRule="exact"/>
              <w:ind w:left="193"/>
              <w:rPr>
                <w:sz w:val="8"/>
              </w:rPr>
            </w:pPr>
            <w:r>
              <w:rPr>
                <w:sz w:val="12"/>
              </w:rPr>
              <w:t>Ingresos de capital </w:t>
            </w:r>
            <w:r>
              <w:rPr>
                <w:position w:val="4"/>
                <w:sz w:val="8"/>
              </w:rPr>
              <w:t>1/</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sz w:val="10"/>
              </w:rPr>
            </w:pP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34" w:lineRule="exact"/>
              <w:ind w:left="162" w:right="144"/>
              <w:jc w:val="center"/>
              <w:rPr>
                <w:sz w:val="12"/>
              </w:rPr>
            </w:pPr>
            <w:r>
              <w:rPr>
                <w:sz w:val="12"/>
              </w:rPr>
              <w:t>182.7</w:t>
            </w:r>
          </w:p>
        </w:tc>
        <w:tc>
          <w:tcPr>
            <w:tcW w:w="744"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34" w:lineRule="exact"/>
              <w:ind w:left="125" w:right="107"/>
              <w:jc w:val="center"/>
              <w:rPr>
                <w:sz w:val="12"/>
              </w:rPr>
            </w:pPr>
            <w:r>
              <w:rPr>
                <w:sz w:val="12"/>
              </w:rPr>
              <w:t>-182.7</w:t>
            </w:r>
          </w:p>
        </w:tc>
        <w:tc>
          <w:tcPr>
            <w:tcW w:w="3711" w:type="dxa"/>
            <w:tcBorders>
              <w:top w:val="single" w:sz="4" w:space="0" w:color="000000"/>
              <w:left w:val="single" w:sz="4" w:space="0" w:color="000000"/>
              <w:bottom w:val="single" w:sz="4" w:space="0" w:color="000000"/>
            </w:tcBorders>
            <w:shd w:val="clear" w:color="auto" w:fill="ECECEC"/>
          </w:tcPr>
          <w:p>
            <w:pPr>
              <w:pStyle w:val="TableParagraph"/>
              <w:spacing w:before="9"/>
              <w:ind w:left="74"/>
              <w:rPr>
                <w:i/>
                <w:sz w:val="10"/>
              </w:rPr>
            </w:pPr>
            <w:r>
              <w:rPr>
                <w:i/>
                <w:sz w:val="10"/>
              </w:rPr>
              <w:t>(-) Ingresos de capital</w:t>
            </w:r>
          </w:p>
        </w:tc>
      </w:tr>
      <w:tr>
        <w:trPr>
          <w:trHeight w:val="700" w:hRule="atLeast"/>
        </w:trPr>
        <w:tc>
          <w:tcPr>
            <w:tcW w:w="742" w:type="dxa"/>
            <w:tcBorders>
              <w:top w:val="single" w:sz="4" w:space="0" w:color="000000"/>
              <w:bottom w:val="single" w:sz="4" w:space="0" w:color="000000"/>
              <w:right w:val="single" w:sz="4" w:space="0" w:color="000000"/>
            </w:tcBorders>
            <w:shd w:val="clear" w:color="auto" w:fill="8495AF"/>
          </w:tcPr>
          <w:p>
            <w:pPr>
              <w:pStyle w:val="TableParagraph"/>
              <w:rPr>
                <w:sz w:val="12"/>
              </w:rPr>
            </w:pPr>
          </w:p>
          <w:p>
            <w:pPr>
              <w:pStyle w:val="TableParagraph"/>
              <w:spacing w:before="4"/>
              <w:rPr>
                <w:sz w:val="11"/>
              </w:rPr>
            </w:pPr>
          </w:p>
          <w:p>
            <w:pPr>
              <w:pStyle w:val="TableParagraph"/>
              <w:spacing w:before="1"/>
              <w:ind w:left="8"/>
              <w:jc w:val="center"/>
              <w:rPr>
                <w:b/>
                <w:i/>
                <w:sz w:val="12"/>
              </w:rPr>
            </w:pPr>
            <w:r>
              <w:rPr>
                <w:b/>
                <w:i/>
                <w:color w:val="FFFFFF"/>
                <w:sz w:val="12"/>
              </w:rPr>
              <w:t>2</w:t>
            </w:r>
          </w:p>
        </w:tc>
        <w:tc>
          <w:tcPr>
            <w:tcW w:w="1815" w:type="dxa"/>
            <w:tcBorders>
              <w:top w:val="single" w:sz="4" w:space="0" w:color="000000"/>
              <w:left w:val="single" w:sz="4" w:space="0" w:color="000000"/>
              <w:bottom w:val="single" w:sz="4" w:space="0" w:color="000000"/>
              <w:right w:val="single" w:sz="4" w:space="0" w:color="000000"/>
            </w:tcBorders>
          </w:tcPr>
          <w:p>
            <w:pPr>
              <w:pStyle w:val="TableParagraph"/>
              <w:rPr>
                <w:sz w:val="12"/>
              </w:rPr>
            </w:pPr>
          </w:p>
          <w:p>
            <w:pPr>
              <w:pStyle w:val="TableParagraph"/>
              <w:spacing w:before="4"/>
              <w:rPr>
                <w:sz w:val="11"/>
              </w:rPr>
            </w:pPr>
          </w:p>
          <w:p>
            <w:pPr>
              <w:pStyle w:val="TableParagraph"/>
              <w:spacing w:before="1"/>
              <w:ind w:left="73"/>
              <w:rPr>
                <w:b/>
                <w:i/>
                <w:sz w:val="12"/>
              </w:rPr>
            </w:pPr>
            <w:r>
              <w:rPr>
                <w:b/>
                <w:i/>
                <w:sz w:val="12"/>
              </w:rPr>
              <w:t>Gasto</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rPr>
                <w:sz w:val="12"/>
              </w:rPr>
            </w:pPr>
          </w:p>
          <w:p>
            <w:pPr>
              <w:pStyle w:val="TableParagraph"/>
              <w:spacing w:before="4"/>
              <w:rPr>
                <w:sz w:val="11"/>
              </w:rPr>
            </w:pPr>
          </w:p>
          <w:p>
            <w:pPr>
              <w:pStyle w:val="TableParagraph"/>
              <w:spacing w:before="1"/>
              <w:ind w:left="164" w:right="144"/>
              <w:jc w:val="center"/>
              <w:rPr>
                <w:b/>
                <w:i/>
                <w:sz w:val="12"/>
              </w:rPr>
            </w:pPr>
            <w:r>
              <w:rPr>
                <w:b/>
                <w:i/>
                <w:sz w:val="12"/>
              </w:rPr>
              <w:t>88,294.8</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rPr>
                <w:sz w:val="12"/>
              </w:rPr>
            </w:pPr>
          </w:p>
          <w:p>
            <w:pPr>
              <w:pStyle w:val="TableParagraph"/>
              <w:spacing w:before="4"/>
              <w:rPr>
                <w:sz w:val="11"/>
              </w:rPr>
            </w:pPr>
          </w:p>
          <w:p>
            <w:pPr>
              <w:pStyle w:val="TableParagraph"/>
              <w:spacing w:before="1"/>
              <w:ind w:left="164" w:right="144"/>
              <w:jc w:val="center"/>
              <w:rPr>
                <w:b/>
                <w:sz w:val="12"/>
              </w:rPr>
            </w:pPr>
            <w:r>
              <w:rPr>
                <w:b/>
                <w:sz w:val="12"/>
              </w:rPr>
              <w:t>90,065.8</w:t>
            </w:r>
          </w:p>
        </w:tc>
        <w:tc>
          <w:tcPr>
            <w:tcW w:w="744" w:type="dxa"/>
            <w:tcBorders>
              <w:top w:val="single" w:sz="4" w:space="0" w:color="000000"/>
              <w:left w:val="single" w:sz="4" w:space="0" w:color="000000"/>
              <w:bottom w:val="single" w:sz="4" w:space="0" w:color="000000"/>
              <w:right w:val="single" w:sz="4" w:space="0" w:color="000000"/>
            </w:tcBorders>
          </w:tcPr>
          <w:p>
            <w:pPr>
              <w:pStyle w:val="TableParagraph"/>
              <w:rPr>
                <w:sz w:val="12"/>
              </w:rPr>
            </w:pPr>
          </w:p>
          <w:p>
            <w:pPr>
              <w:pStyle w:val="TableParagraph"/>
              <w:spacing w:before="4"/>
              <w:rPr>
                <w:sz w:val="11"/>
              </w:rPr>
            </w:pPr>
          </w:p>
          <w:p>
            <w:pPr>
              <w:pStyle w:val="TableParagraph"/>
              <w:spacing w:before="1"/>
              <w:ind w:left="125" w:right="107"/>
              <w:jc w:val="center"/>
              <w:rPr>
                <w:b/>
                <w:i/>
                <w:sz w:val="12"/>
              </w:rPr>
            </w:pPr>
            <w:r>
              <w:rPr>
                <w:b/>
                <w:i/>
                <w:sz w:val="12"/>
              </w:rPr>
              <w:t>-1,771.0</w:t>
            </w:r>
          </w:p>
        </w:tc>
        <w:tc>
          <w:tcPr>
            <w:tcW w:w="3711" w:type="dxa"/>
            <w:tcBorders>
              <w:top w:val="single" w:sz="4" w:space="0" w:color="000000"/>
              <w:left w:val="single" w:sz="4" w:space="0" w:color="000000"/>
              <w:bottom w:val="single" w:sz="4" w:space="0" w:color="000000"/>
            </w:tcBorders>
          </w:tcPr>
          <w:p>
            <w:pPr>
              <w:pStyle w:val="TableParagraph"/>
              <w:spacing w:line="300" w:lineRule="auto"/>
              <w:ind w:left="74" w:right="2281"/>
              <w:rPr>
                <w:i/>
                <w:sz w:val="10"/>
              </w:rPr>
            </w:pPr>
            <w:r>
              <w:rPr>
                <w:i/>
                <w:sz w:val="10"/>
              </w:rPr>
              <w:t>(-) Equipo militar y de Seguridad </w:t>
            </w:r>
            <w:r>
              <w:rPr>
                <w:i/>
                <w:sz w:val="10"/>
              </w:rPr>
              <w:t>(-) Devoluciones</w:t>
            </w:r>
          </w:p>
          <w:p>
            <w:pPr>
              <w:pStyle w:val="TableParagraph"/>
              <w:spacing w:line="113" w:lineRule="exact"/>
              <w:ind w:left="74"/>
              <w:rPr>
                <w:i/>
                <w:sz w:val="10"/>
              </w:rPr>
            </w:pPr>
            <w:r>
              <w:rPr>
                <w:i/>
                <w:sz w:val="10"/>
              </w:rPr>
              <w:t>(-) Descuentos de deuda</w:t>
            </w:r>
          </w:p>
          <w:p>
            <w:pPr>
              <w:pStyle w:val="TableParagraph"/>
              <w:spacing w:line="140" w:lineRule="atLeast"/>
              <w:ind w:left="74" w:right="2020"/>
              <w:rPr>
                <w:i/>
                <w:sz w:val="10"/>
              </w:rPr>
            </w:pPr>
            <w:r>
              <w:rPr>
                <w:i/>
                <w:sz w:val="10"/>
              </w:rPr>
              <w:t>(-) Inversión Real Directa y Financiera </w:t>
            </w:r>
            <w:r>
              <w:rPr>
                <w:i/>
                <w:sz w:val="10"/>
              </w:rPr>
              <w:t>(+) Contribuciones Sociales Imputadas</w:t>
            </w:r>
          </w:p>
        </w:tc>
      </w:tr>
      <w:tr>
        <w:trPr>
          <w:trHeight w:val="417" w:hRule="atLeast"/>
        </w:trPr>
        <w:tc>
          <w:tcPr>
            <w:tcW w:w="742" w:type="dxa"/>
            <w:tcBorders>
              <w:top w:val="single" w:sz="4" w:space="0" w:color="000000"/>
              <w:bottom w:val="single" w:sz="4" w:space="0" w:color="000000"/>
              <w:right w:val="single" w:sz="4" w:space="0" w:color="000000"/>
            </w:tcBorders>
            <w:shd w:val="clear" w:color="auto" w:fill="8495AF"/>
          </w:tcPr>
          <w:p>
            <w:pPr>
              <w:pStyle w:val="TableParagraph"/>
              <w:spacing w:before="1"/>
              <w:rPr>
                <w:sz w:val="11"/>
              </w:rPr>
            </w:pPr>
          </w:p>
          <w:p>
            <w:pPr>
              <w:pStyle w:val="TableParagraph"/>
              <w:ind w:left="80" w:right="69"/>
              <w:jc w:val="center"/>
              <w:rPr>
                <w:b/>
                <w:sz w:val="12"/>
              </w:rPr>
            </w:pPr>
            <w:r>
              <w:rPr>
                <w:b/>
                <w:color w:val="FFFFFF"/>
                <w:sz w:val="12"/>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before="10"/>
              <w:rPr>
                <w:sz w:val="10"/>
              </w:rPr>
            </w:pPr>
          </w:p>
          <w:p>
            <w:pPr>
              <w:pStyle w:val="TableParagraph"/>
              <w:ind w:left="193"/>
              <w:rPr>
                <w:sz w:val="12"/>
              </w:rPr>
            </w:pPr>
            <w:r>
              <w:rPr>
                <w:sz w:val="12"/>
              </w:rPr>
              <w:t>Remuneración a los empleados</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before="10"/>
              <w:rPr>
                <w:sz w:val="10"/>
              </w:rPr>
            </w:pPr>
          </w:p>
          <w:p>
            <w:pPr>
              <w:pStyle w:val="TableParagraph"/>
              <w:ind w:left="164" w:right="144"/>
              <w:jc w:val="center"/>
              <w:rPr>
                <w:sz w:val="12"/>
              </w:rPr>
            </w:pPr>
            <w:r>
              <w:rPr>
                <w:sz w:val="12"/>
              </w:rPr>
              <w:t>30,875.9</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before="10"/>
              <w:rPr>
                <w:sz w:val="10"/>
              </w:rPr>
            </w:pPr>
          </w:p>
          <w:p>
            <w:pPr>
              <w:pStyle w:val="TableParagraph"/>
              <w:ind w:left="164" w:right="144"/>
              <w:jc w:val="center"/>
              <w:rPr>
                <w:sz w:val="12"/>
              </w:rPr>
            </w:pPr>
            <w:r>
              <w:rPr>
                <w:sz w:val="12"/>
              </w:rPr>
              <w:t>28,675.1</w:t>
            </w:r>
          </w:p>
        </w:tc>
        <w:tc>
          <w:tcPr>
            <w:tcW w:w="744"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before="10"/>
              <w:rPr>
                <w:sz w:val="10"/>
              </w:rPr>
            </w:pPr>
          </w:p>
          <w:p>
            <w:pPr>
              <w:pStyle w:val="TableParagraph"/>
              <w:ind w:left="127" w:right="107"/>
              <w:jc w:val="center"/>
              <w:rPr>
                <w:sz w:val="12"/>
              </w:rPr>
            </w:pPr>
            <w:r>
              <w:rPr>
                <w:sz w:val="12"/>
              </w:rPr>
              <w:t>2,200.8</w:t>
            </w:r>
          </w:p>
        </w:tc>
        <w:tc>
          <w:tcPr>
            <w:tcW w:w="3711" w:type="dxa"/>
            <w:tcBorders>
              <w:top w:val="single" w:sz="4" w:space="0" w:color="000000"/>
              <w:left w:val="single" w:sz="4" w:space="0" w:color="000000"/>
              <w:bottom w:val="single" w:sz="4" w:space="0" w:color="000000"/>
            </w:tcBorders>
            <w:shd w:val="clear" w:color="auto" w:fill="ECECEC"/>
          </w:tcPr>
          <w:p>
            <w:pPr>
              <w:pStyle w:val="TableParagraph"/>
              <w:ind w:left="74"/>
              <w:rPr>
                <w:i/>
                <w:sz w:val="10"/>
              </w:rPr>
            </w:pPr>
            <w:r>
              <w:rPr>
                <w:i/>
                <w:sz w:val="10"/>
              </w:rPr>
              <w:t>(-) Indemnizaciones</w:t>
            </w:r>
          </w:p>
          <w:p>
            <w:pPr>
              <w:pStyle w:val="TableParagraph"/>
              <w:spacing w:before="26"/>
              <w:ind w:left="74"/>
              <w:rPr>
                <w:i/>
                <w:sz w:val="10"/>
              </w:rPr>
            </w:pPr>
            <w:r>
              <w:rPr>
                <w:i/>
                <w:sz w:val="10"/>
              </w:rPr>
              <w:t>(-) Vacaciones pagados por retiro</w:t>
            </w:r>
          </w:p>
          <w:p>
            <w:pPr>
              <w:pStyle w:val="TableParagraph"/>
              <w:spacing w:line="114" w:lineRule="exact" w:before="27"/>
              <w:ind w:left="74"/>
              <w:rPr>
                <w:i/>
                <w:sz w:val="10"/>
              </w:rPr>
            </w:pPr>
            <w:r>
              <w:rPr>
                <w:i/>
                <w:sz w:val="10"/>
              </w:rPr>
              <w:t>(+) Contribuciones Sociales Imputadas</w:t>
            </w:r>
          </w:p>
        </w:tc>
      </w:tr>
      <w:tr>
        <w:trPr>
          <w:trHeight w:val="986" w:hRule="atLeast"/>
        </w:trPr>
        <w:tc>
          <w:tcPr>
            <w:tcW w:w="742" w:type="dxa"/>
            <w:tcBorders>
              <w:top w:val="single" w:sz="4" w:space="0" w:color="000000"/>
              <w:bottom w:val="single" w:sz="4" w:space="0" w:color="000000"/>
              <w:right w:val="single" w:sz="4" w:space="0" w:color="000000"/>
            </w:tcBorders>
            <w:shd w:val="clear" w:color="auto" w:fill="8495AF"/>
          </w:tcPr>
          <w:p>
            <w:pPr>
              <w:pStyle w:val="TableParagraph"/>
              <w:rPr>
                <w:sz w:val="12"/>
              </w:rPr>
            </w:pPr>
          </w:p>
          <w:p>
            <w:pPr>
              <w:pStyle w:val="TableParagraph"/>
              <w:rPr>
                <w:sz w:val="12"/>
              </w:rPr>
            </w:pPr>
          </w:p>
          <w:p>
            <w:pPr>
              <w:pStyle w:val="TableParagraph"/>
              <w:spacing w:before="10"/>
              <w:rPr>
                <w:sz w:val="11"/>
              </w:rPr>
            </w:pPr>
          </w:p>
          <w:p>
            <w:pPr>
              <w:pStyle w:val="TableParagraph"/>
              <w:spacing w:before="1"/>
              <w:ind w:left="80" w:right="69"/>
              <w:jc w:val="center"/>
              <w:rPr>
                <w:b/>
                <w:sz w:val="12"/>
              </w:rPr>
            </w:pPr>
            <w:r>
              <w:rPr>
                <w:b/>
                <w:color w:val="FFFFFF"/>
                <w:sz w:val="12"/>
              </w:rPr>
              <w:t>22</w:t>
            </w:r>
          </w:p>
        </w:tc>
        <w:tc>
          <w:tcPr>
            <w:tcW w:w="1815" w:type="dxa"/>
            <w:tcBorders>
              <w:top w:val="single" w:sz="4" w:space="0" w:color="000000"/>
              <w:left w:val="single" w:sz="4" w:space="0" w:color="000000"/>
              <w:bottom w:val="single" w:sz="4" w:space="0" w:color="000000"/>
              <w:right w:val="single" w:sz="4" w:space="0" w:color="000000"/>
            </w:tcBorders>
          </w:tcPr>
          <w:p>
            <w:pPr>
              <w:pStyle w:val="TableParagraph"/>
              <w:rPr>
                <w:sz w:val="12"/>
              </w:rPr>
            </w:pPr>
          </w:p>
          <w:p>
            <w:pPr>
              <w:pStyle w:val="TableParagraph"/>
              <w:rPr>
                <w:sz w:val="12"/>
              </w:rPr>
            </w:pPr>
          </w:p>
          <w:p>
            <w:pPr>
              <w:pStyle w:val="TableParagraph"/>
              <w:spacing w:before="8"/>
              <w:rPr>
                <w:sz w:val="11"/>
              </w:rPr>
            </w:pPr>
          </w:p>
          <w:p>
            <w:pPr>
              <w:pStyle w:val="TableParagraph"/>
              <w:ind w:left="193"/>
              <w:rPr>
                <w:sz w:val="12"/>
              </w:rPr>
            </w:pPr>
            <w:r>
              <w:rPr>
                <w:sz w:val="12"/>
              </w:rPr>
              <w:t>Uso de bienes y servicios</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rPr>
                <w:sz w:val="12"/>
              </w:rPr>
            </w:pPr>
          </w:p>
          <w:p>
            <w:pPr>
              <w:pStyle w:val="TableParagraph"/>
              <w:rPr>
                <w:sz w:val="12"/>
              </w:rPr>
            </w:pPr>
          </w:p>
          <w:p>
            <w:pPr>
              <w:pStyle w:val="TableParagraph"/>
              <w:spacing w:before="8"/>
              <w:rPr>
                <w:sz w:val="11"/>
              </w:rPr>
            </w:pPr>
          </w:p>
          <w:p>
            <w:pPr>
              <w:pStyle w:val="TableParagraph"/>
              <w:ind w:left="164" w:right="144"/>
              <w:jc w:val="center"/>
              <w:rPr>
                <w:sz w:val="12"/>
              </w:rPr>
            </w:pPr>
            <w:r>
              <w:rPr>
                <w:sz w:val="12"/>
              </w:rPr>
              <w:t>13,254.2</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rPr>
                <w:sz w:val="12"/>
              </w:rPr>
            </w:pPr>
          </w:p>
          <w:p>
            <w:pPr>
              <w:pStyle w:val="TableParagraph"/>
              <w:rPr>
                <w:sz w:val="12"/>
              </w:rPr>
            </w:pPr>
          </w:p>
          <w:p>
            <w:pPr>
              <w:pStyle w:val="TableParagraph"/>
              <w:spacing w:before="8"/>
              <w:rPr>
                <w:sz w:val="11"/>
              </w:rPr>
            </w:pPr>
          </w:p>
          <w:p>
            <w:pPr>
              <w:pStyle w:val="TableParagraph"/>
              <w:ind w:left="164" w:right="144"/>
              <w:jc w:val="center"/>
              <w:rPr>
                <w:sz w:val="12"/>
              </w:rPr>
            </w:pPr>
            <w:r>
              <w:rPr>
                <w:sz w:val="12"/>
              </w:rPr>
              <w:t>13,758.6</w:t>
            </w:r>
          </w:p>
        </w:tc>
        <w:tc>
          <w:tcPr>
            <w:tcW w:w="744" w:type="dxa"/>
            <w:tcBorders>
              <w:top w:val="single" w:sz="4" w:space="0" w:color="000000"/>
              <w:left w:val="single" w:sz="4" w:space="0" w:color="000000"/>
              <w:bottom w:val="single" w:sz="4" w:space="0" w:color="000000"/>
              <w:right w:val="single" w:sz="4" w:space="0" w:color="000000"/>
            </w:tcBorders>
          </w:tcPr>
          <w:p>
            <w:pPr>
              <w:pStyle w:val="TableParagraph"/>
              <w:rPr>
                <w:sz w:val="12"/>
              </w:rPr>
            </w:pPr>
          </w:p>
          <w:p>
            <w:pPr>
              <w:pStyle w:val="TableParagraph"/>
              <w:rPr>
                <w:sz w:val="12"/>
              </w:rPr>
            </w:pPr>
          </w:p>
          <w:p>
            <w:pPr>
              <w:pStyle w:val="TableParagraph"/>
              <w:spacing w:before="8"/>
              <w:rPr>
                <w:sz w:val="11"/>
              </w:rPr>
            </w:pPr>
          </w:p>
          <w:p>
            <w:pPr>
              <w:pStyle w:val="TableParagraph"/>
              <w:ind w:left="125" w:right="107"/>
              <w:jc w:val="center"/>
              <w:rPr>
                <w:sz w:val="12"/>
              </w:rPr>
            </w:pPr>
            <w:r>
              <w:rPr>
                <w:sz w:val="12"/>
              </w:rPr>
              <w:t>-504.4</w:t>
            </w:r>
          </w:p>
        </w:tc>
        <w:tc>
          <w:tcPr>
            <w:tcW w:w="3711" w:type="dxa"/>
            <w:tcBorders>
              <w:top w:val="single" w:sz="4" w:space="0" w:color="000000"/>
              <w:left w:val="single" w:sz="4" w:space="0" w:color="000000"/>
              <w:bottom w:val="single" w:sz="4" w:space="0" w:color="000000"/>
            </w:tcBorders>
          </w:tcPr>
          <w:p>
            <w:pPr>
              <w:pStyle w:val="TableParagraph"/>
              <w:spacing w:line="300" w:lineRule="auto"/>
              <w:ind w:left="74" w:right="2021"/>
              <w:rPr>
                <w:i/>
                <w:sz w:val="10"/>
              </w:rPr>
            </w:pPr>
            <w:r>
              <w:rPr>
                <w:i/>
                <w:sz w:val="10"/>
              </w:rPr>
              <w:t>(-) Primas y gastos de seguros y fianzas </w:t>
            </w:r>
            <w:r>
              <w:rPr>
                <w:i/>
                <w:sz w:val="10"/>
              </w:rPr>
              <w:t>(-) Equipo militar y de Seguridad</w:t>
            </w:r>
          </w:p>
          <w:p>
            <w:pPr>
              <w:pStyle w:val="TableParagraph"/>
              <w:spacing w:line="295" w:lineRule="auto"/>
              <w:ind w:left="74" w:right="1981"/>
              <w:rPr>
                <w:i/>
                <w:sz w:val="10"/>
              </w:rPr>
            </w:pPr>
            <w:r>
              <w:rPr>
                <w:i/>
                <w:sz w:val="10"/>
              </w:rPr>
              <w:t>(+) Arrendamiento de Tierra y Terrenos </w:t>
            </w:r>
            <w:r>
              <w:rPr>
                <w:i/>
                <w:sz w:val="10"/>
              </w:rPr>
              <w:t>(+) Derechos sobre Bienes Intangibles</w:t>
            </w:r>
          </w:p>
          <w:p>
            <w:pPr>
              <w:pStyle w:val="TableParagraph"/>
              <w:spacing w:line="300" w:lineRule="auto"/>
              <w:ind w:left="74" w:right="1882"/>
              <w:rPr>
                <w:i/>
                <w:sz w:val="10"/>
              </w:rPr>
            </w:pPr>
            <w:r>
              <w:rPr>
                <w:i/>
                <w:sz w:val="10"/>
              </w:rPr>
              <w:t>(-) Gastos por Emergencias y Calamidades </w:t>
            </w:r>
            <w:r>
              <w:rPr>
                <w:i/>
                <w:sz w:val="10"/>
              </w:rPr>
              <w:t>(-) Sentencias Judiciales</w:t>
            </w:r>
          </w:p>
          <w:p>
            <w:pPr>
              <w:pStyle w:val="TableParagraph"/>
              <w:spacing w:line="112" w:lineRule="exact"/>
              <w:ind w:left="74"/>
              <w:rPr>
                <w:i/>
                <w:sz w:val="10"/>
              </w:rPr>
            </w:pPr>
            <w:r>
              <w:rPr>
                <w:i/>
                <w:sz w:val="10"/>
              </w:rPr>
              <w:t>(-) Gastos no previstos (para funcionamiento)</w:t>
            </w:r>
          </w:p>
        </w:tc>
      </w:tr>
      <w:tr>
        <w:trPr>
          <w:trHeight w:val="157" w:hRule="atLeast"/>
        </w:trPr>
        <w:tc>
          <w:tcPr>
            <w:tcW w:w="742" w:type="dxa"/>
            <w:tcBorders>
              <w:top w:val="single" w:sz="4" w:space="0" w:color="000000"/>
              <w:bottom w:val="single" w:sz="4" w:space="0" w:color="000000"/>
              <w:right w:val="single" w:sz="4" w:space="0" w:color="000000"/>
            </w:tcBorders>
            <w:shd w:val="clear" w:color="auto" w:fill="8495AF"/>
          </w:tcPr>
          <w:p>
            <w:pPr>
              <w:pStyle w:val="TableParagraph"/>
              <w:spacing w:line="136" w:lineRule="exact"/>
              <w:ind w:left="80" w:right="69"/>
              <w:jc w:val="center"/>
              <w:rPr>
                <w:b/>
                <w:sz w:val="12"/>
              </w:rPr>
            </w:pPr>
            <w:r>
              <w:rPr>
                <w:b/>
                <w:color w:val="FFFFFF"/>
                <w:sz w:val="12"/>
              </w:rPr>
              <w:t>24</w:t>
            </w:r>
          </w:p>
        </w:tc>
        <w:tc>
          <w:tcPr>
            <w:tcW w:w="1815"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34" w:lineRule="exact"/>
              <w:ind w:left="193"/>
              <w:rPr>
                <w:sz w:val="12"/>
              </w:rPr>
            </w:pPr>
            <w:r>
              <w:rPr>
                <w:sz w:val="12"/>
              </w:rPr>
              <w:t>Intereses</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34" w:lineRule="exact"/>
              <w:ind w:left="164" w:right="144"/>
              <w:jc w:val="center"/>
              <w:rPr>
                <w:sz w:val="12"/>
              </w:rPr>
            </w:pPr>
            <w:r>
              <w:rPr>
                <w:sz w:val="12"/>
              </w:rPr>
              <w:t>11,394.5</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34" w:lineRule="exact"/>
              <w:ind w:left="164" w:right="144"/>
              <w:jc w:val="center"/>
              <w:rPr>
                <w:sz w:val="12"/>
              </w:rPr>
            </w:pPr>
            <w:r>
              <w:rPr>
                <w:sz w:val="12"/>
              </w:rPr>
              <w:t>11,545.8</w:t>
            </w:r>
          </w:p>
        </w:tc>
        <w:tc>
          <w:tcPr>
            <w:tcW w:w="744"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34" w:lineRule="exact"/>
              <w:ind w:left="125" w:right="107"/>
              <w:jc w:val="center"/>
              <w:rPr>
                <w:sz w:val="12"/>
              </w:rPr>
            </w:pPr>
            <w:r>
              <w:rPr>
                <w:sz w:val="12"/>
              </w:rPr>
              <w:t>-151.3</w:t>
            </w:r>
          </w:p>
        </w:tc>
        <w:tc>
          <w:tcPr>
            <w:tcW w:w="3711" w:type="dxa"/>
            <w:tcBorders>
              <w:top w:val="single" w:sz="4" w:space="0" w:color="000000"/>
              <w:left w:val="single" w:sz="4" w:space="0" w:color="000000"/>
              <w:bottom w:val="single" w:sz="4" w:space="0" w:color="000000"/>
            </w:tcBorders>
            <w:shd w:val="clear" w:color="auto" w:fill="ECECEC"/>
          </w:tcPr>
          <w:p>
            <w:pPr>
              <w:pStyle w:val="TableParagraph"/>
              <w:spacing w:before="12"/>
              <w:ind w:left="74"/>
              <w:rPr>
                <w:i/>
                <w:sz w:val="10"/>
              </w:rPr>
            </w:pPr>
            <w:r>
              <w:rPr>
                <w:i/>
                <w:sz w:val="10"/>
              </w:rPr>
              <w:t>(-) Descuentos de deuda</w:t>
            </w:r>
          </w:p>
        </w:tc>
      </w:tr>
      <w:tr>
        <w:trPr>
          <w:trHeight w:val="160" w:hRule="atLeast"/>
        </w:trPr>
        <w:tc>
          <w:tcPr>
            <w:tcW w:w="742" w:type="dxa"/>
            <w:tcBorders>
              <w:top w:val="single" w:sz="4" w:space="0" w:color="000000"/>
              <w:bottom w:val="single" w:sz="4" w:space="0" w:color="000000"/>
              <w:right w:val="single" w:sz="4" w:space="0" w:color="000000"/>
            </w:tcBorders>
            <w:shd w:val="clear" w:color="auto" w:fill="8495AF"/>
          </w:tcPr>
          <w:p>
            <w:pPr>
              <w:pStyle w:val="TableParagraph"/>
              <w:ind w:left="80" w:right="69"/>
              <w:jc w:val="center"/>
              <w:rPr>
                <w:b/>
                <w:sz w:val="12"/>
              </w:rPr>
            </w:pPr>
            <w:r>
              <w:rPr>
                <w:b/>
                <w:color w:val="FFFFFF"/>
                <w:sz w:val="12"/>
              </w:rPr>
              <w:t>25</w:t>
            </w:r>
          </w:p>
        </w:tc>
        <w:tc>
          <w:tcPr>
            <w:tcW w:w="1815"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left="193"/>
              <w:rPr>
                <w:sz w:val="12"/>
              </w:rPr>
            </w:pPr>
            <w:r>
              <w:rPr>
                <w:sz w:val="12"/>
              </w:rPr>
              <w:t>Subsidios</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left="162" w:right="144"/>
              <w:jc w:val="center"/>
              <w:rPr>
                <w:sz w:val="12"/>
              </w:rPr>
            </w:pPr>
            <w:r>
              <w:rPr>
                <w:sz w:val="12"/>
              </w:rPr>
              <w:t>455.2</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rPr>
                <w:sz w:val="10"/>
              </w:rPr>
            </w:pPr>
          </w:p>
        </w:tc>
        <w:tc>
          <w:tcPr>
            <w:tcW w:w="744"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left="122" w:right="107"/>
              <w:jc w:val="center"/>
              <w:rPr>
                <w:sz w:val="12"/>
              </w:rPr>
            </w:pPr>
            <w:r>
              <w:rPr>
                <w:sz w:val="12"/>
              </w:rPr>
              <w:t>455.2</w:t>
            </w:r>
          </w:p>
        </w:tc>
        <w:tc>
          <w:tcPr>
            <w:tcW w:w="3711" w:type="dxa"/>
            <w:tcBorders>
              <w:top w:val="single" w:sz="4" w:space="0" w:color="000000"/>
              <w:left w:val="single" w:sz="4" w:space="0" w:color="000000"/>
              <w:bottom w:val="single" w:sz="4" w:space="0" w:color="000000"/>
            </w:tcBorders>
          </w:tcPr>
          <w:p>
            <w:pPr>
              <w:pStyle w:val="TableParagraph"/>
              <w:spacing w:before="12"/>
              <w:ind w:left="74"/>
              <w:rPr>
                <w:i/>
                <w:sz w:val="10"/>
              </w:rPr>
            </w:pPr>
            <w:r>
              <w:rPr>
                <w:i/>
                <w:sz w:val="10"/>
              </w:rPr>
              <w:t>(+) Transferencias corrientes y de capital a Empresas</w:t>
            </w:r>
          </w:p>
        </w:tc>
      </w:tr>
      <w:tr>
        <w:trPr>
          <w:trHeight w:val="558" w:hRule="atLeast"/>
        </w:trPr>
        <w:tc>
          <w:tcPr>
            <w:tcW w:w="742" w:type="dxa"/>
            <w:tcBorders>
              <w:top w:val="single" w:sz="4" w:space="0" w:color="000000"/>
              <w:bottom w:val="single" w:sz="4" w:space="0" w:color="000000"/>
              <w:right w:val="single" w:sz="4" w:space="0" w:color="000000"/>
            </w:tcBorders>
            <w:shd w:val="clear" w:color="auto" w:fill="8495AF"/>
          </w:tcPr>
          <w:p>
            <w:pPr>
              <w:pStyle w:val="TableParagraph"/>
              <w:spacing w:before="1"/>
              <w:rPr>
                <w:sz w:val="17"/>
              </w:rPr>
            </w:pPr>
          </w:p>
          <w:p>
            <w:pPr>
              <w:pStyle w:val="TableParagraph"/>
              <w:spacing w:before="1"/>
              <w:ind w:left="80" w:right="69"/>
              <w:jc w:val="center"/>
              <w:rPr>
                <w:b/>
                <w:sz w:val="12"/>
              </w:rPr>
            </w:pPr>
            <w:r>
              <w:rPr>
                <w:b/>
                <w:color w:val="FFFFFF"/>
                <w:sz w:val="12"/>
              </w:rPr>
              <w:t>26</w:t>
            </w:r>
          </w:p>
        </w:tc>
        <w:tc>
          <w:tcPr>
            <w:tcW w:w="1815"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before="10"/>
              <w:rPr>
                <w:sz w:val="16"/>
              </w:rPr>
            </w:pPr>
          </w:p>
          <w:p>
            <w:pPr>
              <w:pStyle w:val="TableParagraph"/>
              <w:spacing w:before="1"/>
              <w:ind w:left="193"/>
              <w:rPr>
                <w:sz w:val="12"/>
              </w:rPr>
            </w:pPr>
            <w:r>
              <w:rPr>
                <w:sz w:val="12"/>
              </w:rPr>
              <w:t>Donaciones</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before="10"/>
              <w:rPr>
                <w:sz w:val="16"/>
              </w:rPr>
            </w:pPr>
          </w:p>
          <w:p>
            <w:pPr>
              <w:pStyle w:val="TableParagraph"/>
              <w:spacing w:before="1"/>
              <w:ind w:left="164" w:right="144"/>
              <w:jc w:val="center"/>
              <w:rPr>
                <w:sz w:val="12"/>
              </w:rPr>
            </w:pPr>
            <w:r>
              <w:rPr>
                <w:sz w:val="12"/>
              </w:rPr>
              <w:t>21,045.2</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sz w:val="10"/>
              </w:rPr>
            </w:pPr>
          </w:p>
        </w:tc>
        <w:tc>
          <w:tcPr>
            <w:tcW w:w="744"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before="10"/>
              <w:rPr>
                <w:sz w:val="16"/>
              </w:rPr>
            </w:pPr>
          </w:p>
          <w:p>
            <w:pPr>
              <w:pStyle w:val="TableParagraph"/>
              <w:spacing w:before="1"/>
              <w:ind w:left="125" w:right="107"/>
              <w:jc w:val="center"/>
              <w:rPr>
                <w:sz w:val="12"/>
              </w:rPr>
            </w:pPr>
            <w:r>
              <w:rPr>
                <w:sz w:val="12"/>
              </w:rPr>
              <w:t>21,045.2</w:t>
            </w:r>
          </w:p>
        </w:tc>
        <w:tc>
          <w:tcPr>
            <w:tcW w:w="3711" w:type="dxa"/>
            <w:tcBorders>
              <w:top w:val="single" w:sz="4" w:space="0" w:color="000000"/>
              <w:left w:val="single" w:sz="4" w:space="0" w:color="000000"/>
              <w:bottom w:val="single" w:sz="4" w:space="0" w:color="000000"/>
            </w:tcBorders>
            <w:shd w:val="clear" w:color="auto" w:fill="ECECEC"/>
          </w:tcPr>
          <w:p>
            <w:pPr>
              <w:pStyle w:val="TableParagraph"/>
              <w:spacing w:line="113" w:lineRule="exact"/>
              <w:ind w:left="74"/>
              <w:rPr>
                <w:i/>
                <w:sz w:val="10"/>
              </w:rPr>
            </w:pPr>
            <w:r>
              <w:rPr>
                <w:i/>
                <w:sz w:val="10"/>
              </w:rPr>
              <w:t>(+) Transferencias corrientes y de capital al Resto del Sector Público</w:t>
            </w:r>
          </w:p>
          <w:p>
            <w:pPr>
              <w:pStyle w:val="TableParagraph"/>
              <w:spacing w:line="295" w:lineRule="auto" w:before="26"/>
              <w:ind w:left="74" w:right="738"/>
              <w:rPr>
                <w:i/>
                <w:sz w:val="10"/>
              </w:rPr>
            </w:pPr>
            <w:r>
              <w:rPr>
                <w:i/>
                <w:sz w:val="10"/>
              </w:rPr>
              <w:t>(-) Transferencias corrientes y de capital a algunas Entidades Públicas </w:t>
            </w:r>
            <w:r>
              <w:rPr>
                <w:i/>
                <w:sz w:val="10"/>
              </w:rPr>
              <w:t>(+) Gastos por Emergencias y Calamidades</w:t>
            </w:r>
          </w:p>
          <w:p>
            <w:pPr>
              <w:pStyle w:val="TableParagraph"/>
              <w:spacing w:line="114" w:lineRule="exact" w:before="3"/>
              <w:ind w:left="74"/>
              <w:rPr>
                <w:i/>
                <w:sz w:val="10"/>
              </w:rPr>
            </w:pPr>
            <w:r>
              <w:rPr>
                <w:i/>
                <w:sz w:val="10"/>
              </w:rPr>
              <w:t>(+) Transferencias al Sector Externo</w:t>
            </w:r>
          </w:p>
        </w:tc>
      </w:tr>
      <w:tr>
        <w:trPr>
          <w:trHeight w:val="316" w:hRule="atLeast"/>
        </w:trPr>
        <w:tc>
          <w:tcPr>
            <w:tcW w:w="742" w:type="dxa"/>
            <w:tcBorders>
              <w:top w:val="single" w:sz="4" w:space="0" w:color="000000"/>
              <w:bottom w:val="single" w:sz="4" w:space="0" w:color="000000"/>
              <w:right w:val="single" w:sz="4" w:space="0" w:color="000000"/>
            </w:tcBorders>
            <w:shd w:val="clear" w:color="auto" w:fill="8495AF"/>
          </w:tcPr>
          <w:p>
            <w:pPr>
              <w:pStyle w:val="TableParagraph"/>
              <w:spacing w:before="77"/>
              <w:ind w:left="80" w:right="69"/>
              <w:jc w:val="center"/>
              <w:rPr>
                <w:b/>
                <w:sz w:val="12"/>
              </w:rPr>
            </w:pPr>
            <w:r>
              <w:rPr>
                <w:b/>
                <w:color w:val="FFFFFF"/>
                <w:sz w:val="12"/>
              </w:rPr>
              <w:t>N/A</w:t>
            </w:r>
          </w:p>
        </w:tc>
        <w:tc>
          <w:tcPr>
            <w:tcW w:w="181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246"/>
              <w:rPr>
                <w:sz w:val="12"/>
              </w:rPr>
            </w:pPr>
            <w:r>
              <w:rPr>
                <w:sz w:val="12"/>
              </w:rPr>
              <w:t>Transferencias corrientes y de</w:t>
            </w:r>
          </w:p>
          <w:p>
            <w:pPr>
              <w:pStyle w:val="TableParagraph"/>
              <w:spacing w:before="17"/>
              <w:ind w:left="246"/>
              <w:rPr>
                <w:sz w:val="8"/>
              </w:rPr>
            </w:pPr>
            <w:r>
              <w:rPr>
                <w:sz w:val="12"/>
              </w:rPr>
              <w:t>capital </w:t>
            </w:r>
            <w:r>
              <w:rPr>
                <w:position w:val="4"/>
                <w:sz w:val="8"/>
              </w:rPr>
              <w:t>1/</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rPr>
                <w:sz w:val="10"/>
              </w:rPr>
            </w:pP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before="75"/>
              <w:ind w:left="164" w:right="144"/>
              <w:jc w:val="center"/>
              <w:rPr>
                <w:sz w:val="12"/>
              </w:rPr>
            </w:pPr>
            <w:r>
              <w:rPr>
                <w:sz w:val="12"/>
              </w:rPr>
              <w:t>26,623.7</w:t>
            </w:r>
          </w:p>
        </w:tc>
        <w:tc>
          <w:tcPr>
            <w:tcW w:w="744" w:type="dxa"/>
            <w:tcBorders>
              <w:top w:val="single" w:sz="4" w:space="0" w:color="000000"/>
              <w:left w:val="single" w:sz="4" w:space="0" w:color="000000"/>
              <w:bottom w:val="single" w:sz="4" w:space="0" w:color="000000"/>
              <w:right w:val="single" w:sz="4" w:space="0" w:color="000000"/>
            </w:tcBorders>
          </w:tcPr>
          <w:p>
            <w:pPr>
              <w:pStyle w:val="TableParagraph"/>
              <w:spacing w:before="75"/>
              <w:ind w:left="127" w:right="107"/>
              <w:jc w:val="center"/>
              <w:rPr>
                <w:sz w:val="12"/>
              </w:rPr>
            </w:pPr>
            <w:r>
              <w:rPr>
                <w:sz w:val="12"/>
              </w:rPr>
              <w:t>-26,623.7</w:t>
            </w:r>
          </w:p>
        </w:tc>
        <w:tc>
          <w:tcPr>
            <w:tcW w:w="3711" w:type="dxa"/>
            <w:tcBorders>
              <w:top w:val="single" w:sz="4" w:space="0" w:color="000000"/>
              <w:left w:val="single" w:sz="4" w:space="0" w:color="000000"/>
              <w:bottom w:val="single" w:sz="4" w:space="0" w:color="000000"/>
            </w:tcBorders>
          </w:tcPr>
          <w:p>
            <w:pPr>
              <w:pStyle w:val="TableParagraph"/>
              <w:rPr>
                <w:sz w:val="10"/>
              </w:rPr>
            </w:pPr>
          </w:p>
        </w:tc>
      </w:tr>
      <w:tr>
        <w:trPr>
          <w:trHeight w:val="558" w:hRule="atLeast"/>
        </w:trPr>
        <w:tc>
          <w:tcPr>
            <w:tcW w:w="742" w:type="dxa"/>
            <w:tcBorders>
              <w:top w:val="single" w:sz="4" w:space="0" w:color="000000"/>
              <w:bottom w:val="single" w:sz="4" w:space="0" w:color="000000"/>
              <w:right w:val="single" w:sz="4" w:space="0" w:color="000000"/>
            </w:tcBorders>
            <w:shd w:val="clear" w:color="auto" w:fill="8495AF"/>
          </w:tcPr>
          <w:p>
            <w:pPr>
              <w:pStyle w:val="TableParagraph"/>
              <w:spacing w:before="4"/>
              <w:rPr>
                <w:sz w:val="17"/>
              </w:rPr>
            </w:pPr>
          </w:p>
          <w:p>
            <w:pPr>
              <w:pStyle w:val="TableParagraph"/>
              <w:ind w:left="80" w:right="69"/>
              <w:jc w:val="center"/>
              <w:rPr>
                <w:b/>
                <w:sz w:val="12"/>
              </w:rPr>
            </w:pPr>
            <w:r>
              <w:rPr>
                <w:b/>
                <w:color w:val="FFFFFF"/>
                <w:sz w:val="12"/>
              </w:rPr>
              <w:t>27</w:t>
            </w:r>
          </w:p>
        </w:tc>
        <w:tc>
          <w:tcPr>
            <w:tcW w:w="1815"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before="1"/>
              <w:rPr>
                <w:sz w:val="17"/>
              </w:rPr>
            </w:pPr>
          </w:p>
          <w:p>
            <w:pPr>
              <w:pStyle w:val="TableParagraph"/>
              <w:spacing w:before="1"/>
              <w:ind w:left="193"/>
              <w:rPr>
                <w:sz w:val="12"/>
              </w:rPr>
            </w:pPr>
            <w:r>
              <w:rPr>
                <w:sz w:val="12"/>
              </w:rPr>
              <w:t>Prestaciones sociales</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before="1"/>
              <w:rPr>
                <w:sz w:val="17"/>
              </w:rPr>
            </w:pPr>
          </w:p>
          <w:p>
            <w:pPr>
              <w:pStyle w:val="TableParagraph"/>
              <w:spacing w:before="1"/>
              <w:ind w:left="162" w:right="144"/>
              <w:jc w:val="center"/>
              <w:rPr>
                <w:sz w:val="12"/>
              </w:rPr>
            </w:pPr>
            <w:r>
              <w:rPr>
                <w:sz w:val="12"/>
              </w:rPr>
              <w:t>5,990.5</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before="1"/>
              <w:rPr>
                <w:sz w:val="17"/>
              </w:rPr>
            </w:pPr>
          </w:p>
          <w:p>
            <w:pPr>
              <w:pStyle w:val="TableParagraph"/>
              <w:spacing w:before="1"/>
              <w:ind w:left="162" w:right="144"/>
              <w:jc w:val="center"/>
              <w:rPr>
                <w:sz w:val="12"/>
              </w:rPr>
            </w:pPr>
            <w:r>
              <w:rPr>
                <w:sz w:val="12"/>
              </w:rPr>
              <w:t>5,362.7</w:t>
            </w:r>
          </w:p>
        </w:tc>
        <w:tc>
          <w:tcPr>
            <w:tcW w:w="744"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before="1"/>
              <w:rPr>
                <w:sz w:val="17"/>
              </w:rPr>
            </w:pPr>
          </w:p>
          <w:p>
            <w:pPr>
              <w:pStyle w:val="TableParagraph"/>
              <w:spacing w:before="1"/>
              <w:ind w:left="122" w:right="107"/>
              <w:jc w:val="center"/>
              <w:rPr>
                <w:sz w:val="12"/>
              </w:rPr>
            </w:pPr>
            <w:r>
              <w:rPr>
                <w:sz w:val="12"/>
              </w:rPr>
              <w:t>627.8</w:t>
            </w:r>
          </w:p>
        </w:tc>
        <w:tc>
          <w:tcPr>
            <w:tcW w:w="3711" w:type="dxa"/>
            <w:tcBorders>
              <w:top w:val="single" w:sz="4" w:space="0" w:color="000000"/>
              <w:left w:val="single" w:sz="4" w:space="0" w:color="000000"/>
              <w:bottom w:val="single" w:sz="4" w:space="0" w:color="000000"/>
            </w:tcBorders>
            <w:shd w:val="clear" w:color="auto" w:fill="ECECEC"/>
          </w:tcPr>
          <w:p>
            <w:pPr>
              <w:pStyle w:val="TableParagraph"/>
              <w:spacing w:line="113" w:lineRule="exact"/>
              <w:ind w:left="74"/>
              <w:rPr>
                <w:i/>
                <w:sz w:val="10"/>
              </w:rPr>
            </w:pPr>
            <w:r>
              <w:rPr>
                <w:i/>
                <w:sz w:val="10"/>
              </w:rPr>
              <w:t>(+) Indemnizaciones</w:t>
            </w:r>
          </w:p>
          <w:p>
            <w:pPr>
              <w:pStyle w:val="TableParagraph"/>
              <w:spacing w:line="295" w:lineRule="auto" w:before="29"/>
              <w:ind w:left="74" w:right="2201"/>
              <w:rPr>
                <w:i/>
                <w:sz w:val="10"/>
              </w:rPr>
            </w:pPr>
            <w:r>
              <w:rPr>
                <w:i/>
                <w:sz w:val="10"/>
              </w:rPr>
              <w:t>(+) Vacaciones pagadas por retiro </w:t>
            </w:r>
            <w:r>
              <w:rPr>
                <w:i/>
                <w:sz w:val="10"/>
              </w:rPr>
              <w:t>(+) Ayuda a Funerales</w:t>
            </w:r>
          </w:p>
          <w:p>
            <w:pPr>
              <w:pStyle w:val="TableParagraph"/>
              <w:spacing w:line="114" w:lineRule="exact"/>
              <w:ind w:left="74"/>
              <w:rPr>
                <w:i/>
                <w:sz w:val="10"/>
              </w:rPr>
            </w:pPr>
            <w:r>
              <w:rPr>
                <w:i/>
                <w:sz w:val="10"/>
              </w:rPr>
              <w:t>(+) Prestaciones Póstumas</w:t>
            </w:r>
          </w:p>
        </w:tc>
      </w:tr>
      <w:tr>
        <w:trPr>
          <w:trHeight w:val="1413" w:hRule="atLeast"/>
        </w:trPr>
        <w:tc>
          <w:tcPr>
            <w:tcW w:w="742" w:type="dxa"/>
            <w:tcBorders>
              <w:top w:val="single" w:sz="4" w:space="0" w:color="000000"/>
              <w:bottom w:val="single" w:sz="4" w:space="0" w:color="000000"/>
              <w:right w:val="single" w:sz="4" w:space="0" w:color="000000"/>
            </w:tcBorders>
            <w:shd w:val="clear" w:color="auto" w:fill="8495AF"/>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75"/>
              <w:ind w:left="80" w:right="69"/>
              <w:jc w:val="center"/>
              <w:rPr>
                <w:b/>
                <w:sz w:val="12"/>
              </w:rPr>
            </w:pPr>
            <w:r>
              <w:rPr>
                <w:b/>
                <w:color w:val="FFFFFF"/>
                <w:sz w:val="12"/>
              </w:rPr>
              <w:t>28</w:t>
            </w:r>
          </w:p>
        </w:tc>
        <w:tc>
          <w:tcPr>
            <w:tcW w:w="1815"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rPr>
                <w:sz w:val="14"/>
              </w:rPr>
            </w:pPr>
          </w:p>
          <w:p>
            <w:pPr>
              <w:pStyle w:val="TableParagraph"/>
              <w:rPr>
                <w:sz w:val="14"/>
              </w:rPr>
            </w:pPr>
          </w:p>
          <w:p>
            <w:pPr>
              <w:pStyle w:val="TableParagraph"/>
              <w:rPr>
                <w:sz w:val="12"/>
              </w:rPr>
            </w:pPr>
          </w:p>
          <w:p>
            <w:pPr>
              <w:pStyle w:val="TableParagraph"/>
              <w:spacing w:before="1"/>
              <w:ind w:left="193"/>
              <w:rPr>
                <w:sz w:val="8"/>
              </w:rPr>
            </w:pPr>
            <w:r>
              <w:rPr>
                <w:sz w:val="12"/>
              </w:rPr>
              <w:t>Otros gastos </w:t>
            </w:r>
            <w:r>
              <w:rPr>
                <w:position w:val="4"/>
                <w:sz w:val="8"/>
              </w:rPr>
              <w:t>2/</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72"/>
              <w:ind w:left="162" w:right="144"/>
              <w:jc w:val="center"/>
              <w:rPr>
                <w:sz w:val="12"/>
              </w:rPr>
            </w:pPr>
            <w:r>
              <w:rPr>
                <w:sz w:val="12"/>
              </w:rPr>
              <w:t>5,279.2</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72"/>
              <w:ind w:left="162" w:right="144"/>
              <w:jc w:val="center"/>
              <w:rPr>
                <w:sz w:val="12"/>
              </w:rPr>
            </w:pPr>
            <w:r>
              <w:rPr>
                <w:sz w:val="12"/>
              </w:rPr>
              <w:t>4,099.9</w:t>
            </w:r>
          </w:p>
        </w:tc>
        <w:tc>
          <w:tcPr>
            <w:tcW w:w="744" w:type="dxa"/>
            <w:tcBorders>
              <w:top w:val="single" w:sz="4" w:space="0" w:color="000000"/>
              <w:left w:val="single" w:sz="4" w:space="0" w:color="000000"/>
              <w:bottom w:val="single" w:sz="4" w:space="0" w:color="000000"/>
              <w:right w:val="single" w:sz="4" w:space="0" w:color="000000"/>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72"/>
              <w:ind w:left="127" w:right="107"/>
              <w:jc w:val="center"/>
              <w:rPr>
                <w:sz w:val="12"/>
              </w:rPr>
            </w:pPr>
            <w:r>
              <w:rPr>
                <w:sz w:val="12"/>
              </w:rPr>
              <w:t>1,179.3</w:t>
            </w:r>
          </w:p>
        </w:tc>
        <w:tc>
          <w:tcPr>
            <w:tcW w:w="3711" w:type="dxa"/>
            <w:tcBorders>
              <w:top w:val="single" w:sz="4" w:space="0" w:color="000000"/>
              <w:left w:val="single" w:sz="4" w:space="0" w:color="000000"/>
              <w:bottom w:val="single" w:sz="4" w:space="0" w:color="000000"/>
            </w:tcBorders>
          </w:tcPr>
          <w:p>
            <w:pPr>
              <w:pStyle w:val="TableParagraph"/>
              <w:spacing w:line="297" w:lineRule="auto"/>
              <w:ind w:left="74" w:right="2031"/>
              <w:jc w:val="both"/>
              <w:rPr>
                <w:i/>
                <w:sz w:val="10"/>
              </w:rPr>
            </w:pPr>
            <w:r>
              <w:rPr>
                <w:i/>
                <w:sz w:val="10"/>
              </w:rPr>
              <w:t>(-) Inversión Real Directa y Financiera </w:t>
            </w:r>
            <w:r>
              <w:rPr>
                <w:i/>
                <w:sz w:val="10"/>
              </w:rPr>
              <w:t>(-) Arrendamiento de Tierra y Terrenos (-) Derechos sobre Bienes Intangibles</w:t>
            </w:r>
          </w:p>
          <w:p>
            <w:pPr>
              <w:pStyle w:val="TableParagraph"/>
              <w:spacing w:line="295" w:lineRule="auto"/>
              <w:ind w:left="74" w:right="1787"/>
              <w:rPr>
                <w:i/>
                <w:sz w:val="10"/>
              </w:rPr>
            </w:pPr>
            <w:r>
              <w:rPr>
                <w:i/>
                <w:sz w:val="10"/>
              </w:rPr>
              <w:t>(+) Otras Transferencias corrientes y capital </w:t>
            </w:r>
            <w:r>
              <w:rPr>
                <w:i/>
                <w:sz w:val="10"/>
              </w:rPr>
              <w:t>(+) Impuestos y Tasas</w:t>
            </w:r>
          </w:p>
          <w:p>
            <w:pPr>
              <w:pStyle w:val="TableParagraph"/>
              <w:ind w:left="74"/>
              <w:rPr>
                <w:i/>
                <w:sz w:val="10"/>
              </w:rPr>
            </w:pPr>
            <w:r>
              <w:rPr>
                <w:i/>
                <w:sz w:val="10"/>
              </w:rPr>
              <w:t>(-) Devoluciones</w:t>
            </w:r>
          </w:p>
          <w:p>
            <w:pPr>
              <w:pStyle w:val="TableParagraph"/>
              <w:spacing w:before="26"/>
              <w:ind w:left="74"/>
              <w:rPr>
                <w:i/>
                <w:sz w:val="10"/>
              </w:rPr>
            </w:pPr>
            <w:r>
              <w:rPr>
                <w:i/>
                <w:sz w:val="10"/>
              </w:rPr>
              <w:t>(+) Sentencias Judiciales</w:t>
            </w:r>
          </w:p>
          <w:p>
            <w:pPr>
              <w:pStyle w:val="TableParagraph"/>
              <w:spacing w:line="300" w:lineRule="auto" w:before="27"/>
              <w:ind w:left="74" w:right="2312"/>
              <w:rPr>
                <w:i/>
                <w:sz w:val="10"/>
              </w:rPr>
            </w:pPr>
            <w:r>
              <w:rPr>
                <w:i/>
                <w:sz w:val="10"/>
              </w:rPr>
              <w:t>(+) Gastos no previstos (totales) </w:t>
            </w:r>
            <w:r>
              <w:rPr>
                <w:i/>
                <w:sz w:val="10"/>
              </w:rPr>
              <w:t>(-) Ayuda a Funerales</w:t>
            </w:r>
          </w:p>
          <w:p>
            <w:pPr>
              <w:pStyle w:val="TableParagraph"/>
              <w:spacing w:line="112" w:lineRule="exact"/>
              <w:ind w:left="74"/>
              <w:rPr>
                <w:i/>
                <w:sz w:val="10"/>
              </w:rPr>
            </w:pPr>
            <w:r>
              <w:rPr>
                <w:i/>
                <w:sz w:val="10"/>
              </w:rPr>
              <w:t>(-) Prestaciones Póstumas</w:t>
            </w:r>
          </w:p>
        </w:tc>
      </w:tr>
      <w:tr>
        <w:trPr>
          <w:trHeight w:val="160" w:hRule="atLeast"/>
        </w:trPr>
        <w:tc>
          <w:tcPr>
            <w:tcW w:w="742" w:type="dxa"/>
            <w:tcBorders>
              <w:top w:val="single" w:sz="4" w:space="0" w:color="000000"/>
              <w:right w:val="single" w:sz="4" w:space="0" w:color="000000"/>
            </w:tcBorders>
            <w:shd w:val="clear" w:color="auto" w:fill="8495AF"/>
          </w:tcPr>
          <w:p>
            <w:pPr>
              <w:pStyle w:val="TableParagraph"/>
              <w:spacing w:line="136" w:lineRule="exact"/>
              <w:ind w:left="81" w:right="69"/>
              <w:jc w:val="center"/>
              <w:rPr>
                <w:b/>
                <w:sz w:val="12"/>
              </w:rPr>
            </w:pPr>
            <w:r>
              <w:rPr>
                <w:b/>
                <w:color w:val="FFFFFF"/>
                <w:sz w:val="12"/>
              </w:rPr>
              <w:t>NOB</w:t>
            </w:r>
          </w:p>
        </w:tc>
        <w:tc>
          <w:tcPr>
            <w:tcW w:w="1815" w:type="dxa"/>
            <w:tcBorders>
              <w:top w:val="single" w:sz="4" w:space="0" w:color="000000"/>
              <w:left w:val="single" w:sz="4" w:space="0" w:color="000000"/>
              <w:right w:val="single" w:sz="4" w:space="0" w:color="000000"/>
            </w:tcBorders>
            <w:shd w:val="clear" w:color="auto" w:fill="ECECEC"/>
          </w:tcPr>
          <w:p>
            <w:pPr>
              <w:pStyle w:val="TableParagraph"/>
              <w:spacing w:line="136" w:lineRule="exact"/>
              <w:ind w:left="73"/>
              <w:rPr>
                <w:b/>
                <w:sz w:val="12"/>
              </w:rPr>
            </w:pPr>
            <w:r>
              <w:rPr>
                <w:b/>
                <w:sz w:val="12"/>
              </w:rPr>
              <w:t>Resultado Operativo Neto (1-2)</w:t>
            </w:r>
          </w:p>
        </w:tc>
        <w:tc>
          <w:tcPr>
            <w:tcW w:w="780" w:type="dxa"/>
            <w:tcBorders>
              <w:top w:val="single" w:sz="4" w:space="0" w:color="000000"/>
              <w:left w:val="single" w:sz="4" w:space="0" w:color="000000"/>
              <w:right w:val="single" w:sz="4" w:space="0" w:color="000000"/>
            </w:tcBorders>
            <w:shd w:val="clear" w:color="auto" w:fill="ECECEC"/>
          </w:tcPr>
          <w:p>
            <w:pPr>
              <w:pStyle w:val="TableParagraph"/>
              <w:spacing w:line="136" w:lineRule="exact"/>
              <w:ind w:left="164" w:right="144"/>
              <w:jc w:val="center"/>
              <w:rPr>
                <w:b/>
                <w:sz w:val="12"/>
              </w:rPr>
            </w:pPr>
            <w:r>
              <w:rPr>
                <w:b/>
                <w:sz w:val="12"/>
              </w:rPr>
              <w:t>-3,936.2</w:t>
            </w:r>
          </w:p>
        </w:tc>
        <w:tc>
          <w:tcPr>
            <w:tcW w:w="780" w:type="dxa"/>
            <w:tcBorders>
              <w:top w:val="single" w:sz="4" w:space="0" w:color="000000"/>
              <w:left w:val="single" w:sz="4" w:space="0" w:color="000000"/>
              <w:right w:val="single" w:sz="4" w:space="0" w:color="000000"/>
            </w:tcBorders>
            <w:shd w:val="clear" w:color="auto" w:fill="ECECEC"/>
          </w:tcPr>
          <w:p>
            <w:pPr>
              <w:pStyle w:val="TableParagraph"/>
              <w:spacing w:line="136" w:lineRule="exact"/>
              <w:ind w:left="164" w:right="144"/>
              <w:jc w:val="center"/>
              <w:rPr>
                <w:b/>
                <w:sz w:val="12"/>
              </w:rPr>
            </w:pPr>
            <w:r>
              <w:rPr>
                <w:b/>
                <w:sz w:val="12"/>
              </w:rPr>
              <w:t>-7,770.8</w:t>
            </w:r>
          </w:p>
        </w:tc>
        <w:tc>
          <w:tcPr>
            <w:tcW w:w="744" w:type="dxa"/>
            <w:tcBorders>
              <w:top w:val="single" w:sz="4" w:space="0" w:color="000000"/>
              <w:left w:val="single" w:sz="4" w:space="0" w:color="000000"/>
              <w:right w:val="single" w:sz="4" w:space="0" w:color="000000"/>
            </w:tcBorders>
            <w:shd w:val="clear" w:color="auto" w:fill="ECECEC"/>
          </w:tcPr>
          <w:p>
            <w:pPr>
              <w:pStyle w:val="TableParagraph"/>
              <w:spacing w:line="136" w:lineRule="exact"/>
              <w:ind w:left="127" w:right="107"/>
              <w:jc w:val="center"/>
              <w:rPr>
                <w:b/>
                <w:sz w:val="12"/>
              </w:rPr>
            </w:pPr>
            <w:r>
              <w:rPr>
                <w:b/>
                <w:sz w:val="12"/>
              </w:rPr>
              <w:t>3,834.7</w:t>
            </w:r>
          </w:p>
        </w:tc>
        <w:tc>
          <w:tcPr>
            <w:tcW w:w="3711" w:type="dxa"/>
            <w:tcBorders>
              <w:top w:val="single" w:sz="4" w:space="0" w:color="000000"/>
              <w:left w:val="single" w:sz="4" w:space="0" w:color="000000"/>
            </w:tcBorders>
            <w:shd w:val="clear" w:color="auto" w:fill="ECECEC"/>
          </w:tcPr>
          <w:p>
            <w:pPr>
              <w:pStyle w:val="TableParagraph"/>
              <w:rPr>
                <w:sz w:val="10"/>
              </w:rPr>
            </w:pPr>
          </w:p>
        </w:tc>
      </w:tr>
    </w:tbl>
    <w:p>
      <w:pPr>
        <w:spacing w:after="0"/>
        <w:rPr>
          <w:sz w:val="10"/>
        </w:rPr>
        <w:sectPr>
          <w:pgSz w:w="12240" w:h="15840"/>
          <w:pgMar w:header="715" w:footer="688" w:top="1240" w:bottom="880" w:left="1140" w:right="0"/>
        </w:sectPr>
      </w:pPr>
    </w:p>
    <w:p>
      <w:pPr>
        <w:pStyle w:val="BodyText"/>
        <w:spacing w:before="7"/>
        <w:rPr>
          <w:sz w:val="14"/>
        </w:rPr>
      </w:pPr>
    </w:p>
    <w:tbl>
      <w:tblPr>
        <w:tblW w:w="0" w:type="auto"/>
        <w:jc w:val="left"/>
        <w:tblInd w:w="7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51"/>
        <w:gridCol w:w="1757"/>
        <w:gridCol w:w="780"/>
        <w:gridCol w:w="780"/>
        <w:gridCol w:w="747"/>
        <w:gridCol w:w="3692"/>
      </w:tblGrid>
      <w:tr>
        <w:trPr>
          <w:trHeight w:val="614" w:hRule="atLeast"/>
        </w:trPr>
        <w:tc>
          <w:tcPr>
            <w:tcW w:w="751" w:type="dxa"/>
            <w:shd w:val="clear" w:color="auto" w:fill="44536A"/>
          </w:tcPr>
          <w:p>
            <w:pPr>
              <w:pStyle w:val="TableParagraph"/>
              <w:spacing w:before="8"/>
              <w:rPr>
                <w:sz w:val="12"/>
              </w:rPr>
            </w:pPr>
          </w:p>
          <w:p>
            <w:pPr>
              <w:pStyle w:val="TableParagraph"/>
              <w:spacing w:line="276" w:lineRule="auto"/>
              <w:ind w:left="203" w:right="156" w:hanging="15"/>
              <w:rPr>
                <w:b/>
                <w:sz w:val="12"/>
              </w:rPr>
            </w:pPr>
            <w:r>
              <w:rPr>
                <w:b/>
                <w:color w:val="FFFFFF"/>
                <w:sz w:val="12"/>
              </w:rPr>
              <w:t>Código MEFP</w:t>
            </w:r>
          </w:p>
        </w:tc>
        <w:tc>
          <w:tcPr>
            <w:tcW w:w="1757" w:type="dxa"/>
            <w:shd w:val="clear" w:color="auto" w:fill="44536A"/>
          </w:tcPr>
          <w:p>
            <w:pPr>
              <w:pStyle w:val="TableParagraph"/>
              <w:rPr>
                <w:sz w:val="12"/>
              </w:rPr>
            </w:pPr>
          </w:p>
          <w:p>
            <w:pPr>
              <w:pStyle w:val="TableParagraph"/>
              <w:spacing w:before="88"/>
              <w:ind w:left="573"/>
              <w:rPr>
                <w:b/>
                <w:sz w:val="12"/>
              </w:rPr>
            </w:pPr>
            <w:r>
              <w:rPr>
                <w:b/>
                <w:color w:val="FFFFFF"/>
                <w:sz w:val="12"/>
              </w:rPr>
              <w:t>Descripción</w:t>
            </w:r>
          </w:p>
        </w:tc>
        <w:tc>
          <w:tcPr>
            <w:tcW w:w="780" w:type="dxa"/>
            <w:shd w:val="clear" w:color="auto" w:fill="44536A"/>
          </w:tcPr>
          <w:p>
            <w:pPr>
              <w:pStyle w:val="TableParagraph"/>
              <w:spacing w:before="8"/>
              <w:rPr>
                <w:sz w:val="12"/>
              </w:rPr>
            </w:pPr>
          </w:p>
          <w:p>
            <w:pPr>
              <w:pStyle w:val="TableParagraph"/>
              <w:spacing w:line="276" w:lineRule="auto"/>
              <w:ind w:left="139" w:right="31" w:hanging="70"/>
              <w:rPr>
                <w:b/>
                <w:sz w:val="12"/>
              </w:rPr>
            </w:pPr>
            <w:r>
              <w:rPr>
                <w:b/>
                <w:color w:val="FFFFFF"/>
                <w:sz w:val="12"/>
              </w:rPr>
              <w:t>Metodología MFP2014</w:t>
            </w:r>
          </w:p>
        </w:tc>
        <w:tc>
          <w:tcPr>
            <w:tcW w:w="780" w:type="dxa"/>
            <w:shd w:val="clear" w:color="auto" w:fill="44536A"/>
          </w:tcPr>
          <w:p>
            <w:pPr>
              <w:pStyle w:val="TableParagraph"/>
              <w:spacing w:before="8"/>
              <w:rPr>
                <w:sz w:val="12"/>
              </w:rPr>
            </w:pPr>
          </w:p>
          <w:p>
            <w:pPr>
              <w:pStyle w:val="TableParagraph"/>
              <w:spacing w:line="276" w:lineRule="auto"/>
              <w:ind w:left="172" w:right="32" w:hanging="104"/>
              <w:rPr>
                <w:b/>
                <w:sz w:val="12"/>
              </w:rPr>
            </w:pPr>
            <w:r>
              <w:rPr>
                <w:b/>
                <w:color w:val="FFFFFF"/>
                <w:sz w:val="12"/>
              </w:rPr>
              <w:t>Metodología nacional</w:t>
            </w:r>
          </w:p>
        </w:tc>
        <w:tc>
          <w:tcPr>
            <w:tcW w:w="747" w:type="dxa"/>
            <w:shd w:val="clear" w:color="auto" w:fill="44536A"/>
          </w:tcPr>
          <w:p>
            <w:pPr>
              <w:pStyle w:val="TableParagraph"/>
              <w:rPr>
                <w:sz w:val="12"/>
              </w:rPr>
            </w:pPr>
          </w:p>
          <w:p>
            <w:pPr>
              <w:pStyle w:val="TableParagraph"/>
              <w:spacing w:before="88"/>
              <w:ind w:left="83" w:right="69"/>
              <w:jc w:val="center"/>
              <w:rPr>
                <w:b/>
                <w:sz w:val="12"/>
              </w:rPr>
            </w:pPr>
            <w:r>
              <w:rPr>
                <w:b/>
                <w:color w:val="FFFFFF"/>
                <w:sz w:val="12"/>
              </w:rPr>
              <w:t>Diferencia</w:t>
            </w:r>
          </w:p>
        </w:tc>
        <w:tc>
          <w:tcPr>
            <w:tcW w:w="3692" w:type="dxa"/>
            <w:shd w:val="clear" w:color="auto" w:fill="44536A"/>
          </w:tcPr>
          <w:p>
            <w:pPr>
              <w:pStyle w:val="TableParagraph"/>
              <w:rPr>
                <w:sz w:val="12"/>
              </w:rPr>
            </w:pPr>
          </w:p>
          <w:p>
            <w:pPr>
              <w:pStyle w:val="TableParagraph"/>
              <w:spacing w:before="88"/>
              <w:ind w:left="1197"/>
              <w:rPr>
                <w:b/>
                <w:sz w:val="12"/>
              </w:rPr>
            </w:pPr>
            <w:r>
              <w:rPr>
                <w:b/>
                <w:color w:val="FFFFFF"/>
                <w:sz w:val="12"/>
              </w:rPr>
              <w:t>Explicación de diferencia</w:t>
            </w:r>
          </w:p>
        </w:tc>
      </w:tr>
      <w:tr>
        <w:trPr>
          <w:trHeight w:val="272" w:hRule="atLeast"/>
        </w:trPr>
        <w:tc>
          <w:tcPr>
            <w:tcW w:w="8507" w:type="dxa"/>
            <w:gridSpan w:val="6"/>
            <w:shd w:val="clear" w:color="auto" w:fill="A6A6A6"/>
          </w:tcPr>
          <w:p>
            <w:pPr>
              <w:pStyle w:val="TableParagraph"/>
              <w:spacing w:before="55"/>
              <w:ind w:left="3176" w:right="3160"/>
              <w:jc w:val="center"/>
              <w:rPr>
                <w:b/>
                <w:sz w:val="12"/>
              </w:rPr>
            </w:pPr>
            <w:r>
              <w:rPr>
                <w:b/>
                <w:sz w:val="12"/>
              </w:rPr>
              <w:t>Transacciones en activos no financieros </w:t>
            </w:r>
            <w:r>
              <w:rPr>
                <w:b/>
                <w:sz w:val="12"/>
                <w:vertAlign w:val="superscript"/>
              </w:rPr>
              <w:t>3/</w:t>
            </w:r>
          </w:p>
        </w:tc>
      </w:tr>
      <w:tr>
        <w:trPr>
          <w:trHeight w:val="160" w:hRule="atLeast"/>
        </w:trPr>
        <w:tc>
          <w:tcPr>
            <w:tcW w:w="751" w:type="dxa"/>
            <w:tcBorders>
              <w:bottom w:val="single" w:sz="4" w:space="0" w:color="000000"/>
              <w:right w:val="single" w:sz="4" w:space="0" w:color="000000"/>
            </w:tcBorders>
            <w:shd w:val="clear" w:color="auto" w:fill="8495AF"/>
          </w:tcPr>
          <w:p>
            <w:pPr>
              <w:pStyle w:val="TableParagraph"/>
              <w:ind w:left="24" w:right="13"/>
              <w:jc w:val="center"/>
              <w:rPr>
                <w:b/>
                <w:i/>
                <w:sz w:val="12"/>
              </w:rPr>
            </w:pPr>
            <w:r>
              <w:rPr>
                <w:b/>
                <w:i/>
                <w:color w:val="FFFFFF"/>
                <w:sz w:val="12"/>
              </w:rPr>
              <w:t>31</w:t>
            </w:r>
          </w:p>
        </w:tc>
        <w:tc>
          <w:tcPr>
            <w:tcW w:w="1757" w:type="dxa"/>
            <w:tcBorders>
              <w:left w:val="single" w:sz="4" w:space="0" w:color="000000"/>
              <w:bottom w:val="single" w:sz="4" w:space="0" w:color="000000"/>
              <w:right w:val="single" w:sz="4" w:space="0" w:color="000000"/>
            </w:tcBorders>
          </w:tcPr>
          <w:p>
            <w:pPr>
              <w:pStyle w:val="TableParagraph"/>
              <w:ind w:left="74"/>
              <w:rPr>
                <w:b/>
                <w:i/>
                <w:sz w:val="12"/>
              </w:rPr>
            </w:pPr>
            <w:r>
              <w:rPr>
                <w:b/>
                <w:i/>
                <w:sz w:val="12"/>
              </w:rPr>
              <w:t>Activos no financieros</w:t>
            </w:r>
          </w:p>
        </w:tc>
        <w:tc>
          <w:tcPr>
            <w:tcW w:w="780" w:type="dxa"/>
            <w:tcBorders>
              <w:left w:val="single" w:sz="4" w:space="0" w:color="000000"/>
              <w:bottom w:val="single" w:sz="4" w:space="0" w:color="000000"/>
              <w:right w:val="single" w:sz="4" w:space="0" w:color="000000"/>
            </w:tcBorders>
          </w:tcPr>
          <w:p>
            <w:pPr>
              <w:pStyle w:val="TableParagraph"/>
              <w:ind w:left="164" w:right="144"/>
              <w:jc w:val="center"/>
              <w:rPr>
                <w:b/>
                <w:i/>
                <w:sz w:val="12"/>
              </w:rPr>
            </w:pPr>
            <w:r>
              <w:rPr>
                <w:b/>
                <w:i/>
                <w:sz w:val="12"/>
              </w:rPr>
              <w:t>3,748.9</w:t>
            </w:r>
          </w:p>
        </w:tc>
        <w:tc>
          <w:tcPr>
            <w:tcW w:w="780" w:type="dxa"/>
            <w:tcBorders>
              <w:left w:val="single" w:sz="4" w:space="0" w:color="000000"/>
              <w:bottom w:val="single" w:sz="4" w:space="0" w:color="000000"/>
              <w:right w:val="single" w:sz="4" w:space="0" w:color="000000"/>
            </w:tcBorders>
          </w:tcPr>
          <w:p>
            <w:pPr>
              <w:pStyle w:val="TableParagraph"/>
              <w:rPr>
                <w:sz w:val="10"/>
              </w:rPr>
            </w:pPr>
          </w:p>
        </w:tc>
        <w:tc>
          <w:tcPr>
            <w:tcW w:w="747" w:type="dxa"/>
            <w:tcBorders>
              <w:left w:val="single" w:sz="4" w:space="0" w:color="000000"/>
              <w:bottom w:val="single" w:sz="4" w:space="0" w:color="000000"/>
              <w:right w:val="single" w:sz="4" w:space="0" w:color="000000"/>
            </w:tcBorders>
          </w:tcPr>
          <w:p>
            <w:pPr>
              <w:pStyle w:val="TableParagraph"/>
              <w:ind w:left="147" w:right="128"/>
              <w:jc w:val="center"/>
              <w:rPr>
                <w:b/>
                <w:sz w:val="12"/>
              </w:rPr>
            </w:pPr>
            <w:r>
              <w:rPr>
                <w:b/>
                <w:sz w:val="12"/>
              </w:rPr>
              <w:t>3,748.9</w:t>
            </w:r>
          </w:p>
        </w:tc>
        <w:tc>
          <w:tcPr>
            <w:tcW w:w="3692" w:type="dxa"/>
            <w:tcBorders>
              <w:left w:val="single" w:sz="4" w:space="0" w:color="000000"/>
              <w:bottom w:val="single" w:sz="4" w:space="0" w:color="000000"/>
            </w:tcBorders>
          </w:tcPr>
          <w:p>
            <w:pPr>
              <w:pStyle w:val="TableParagraph"/>
              <w:rPr>
                <w:sz w:val="10"/>
              </w:rPr>
            </w:pPr>
          </w:p>
        </w:tc>
      </w:tr>
      <w:tr>
        <w:trPr>
          <w:trHeight w:val="844" w:hRule="atLeast"/>
        </w:trPr>
        <w:tc>
          <w:tcPr>
            <w:tcW w:w="751" w:type="dxa"/>
            <w:tcBorders>
              <w:top w:val="single" w:sz="4" w:space="0" w:color="000000"/>
              <w:bottom w:val="single" w:sz="4" w:space="0" w:color="000000"/>
              <w:right w:val="single" w:sz="4" w:space="0" w:color="000000"/>
            </w:tcBorders>
            <w:shd w:val="clear" w:color="auto" w:fill="8495AF"/>
          </w:tcPr>
          <w:p>
            <w:pPr>
              <w:pStyle w:val="TableParagraph"/>
              <w:rPr>
                <w:sz w:val="12"/>
              </w:rPr>
            </w:pPr>
          </w:p>
          <w:p>
            <w:pPr>
              <w:pStyle w:val="TableParagraph"/>
              <w:spacing w:before="7"/>
              <w:rPr>
                <w:sz w:val="17"/>
              </w:rPr>
            </w:pPr>
          </w:p>
          <w:p>
            <w:pPr>
              <w:pStyle w:val="TableParagraph"/>
              <w:spacing w:before="1"/>
              <w:ind w:left="22" w:right="13"/>
              <w:jc w:val="center"/>
              <w:rPr>
                <w:b/>
                <w:i/>
                <w:sz w:val="12"/>
              </w:rPr>
            </w:pPr>
            <w:r>
              <w:rPr>
                <w:b/>
                <w:i/>
                <w:color w:val="FFFFFF"/>
                <w:sz w:val="12"/>
              </w:rPr>
              <w:t>311</w:t>
            </w:r>
          </w:p>
        </w:tc>
        <w:tc>
          <w:tcPr>
            <w:tcW w:w="175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sz w:val="12"/>
              </w:rPr>
            </w:pPr>
          </w:p>
          <w:p>
            <w:pPr>
              <w:pStyle w:val="TableParagraph"/>
              <w:spacing w:before="5"/>
              <w:rPr>
                <w:sz w:val="17"/>
              </w:rPr>
            </w:pPr>
          </w:p>
          <w:p>
            <w:pPr>
              <w:pStyle w:val="TableParagraph"/>
              <w:ind w:left="194"/>
              <w:rPr>
                <w:i/>
                <w:sz w:val="12"/>
              </w:rPr>
            </w:pPr>
            <w:r>
              <w:rPr>
                <w:i/>
                <w:sz w:val="12"/>
              </w:rPr>
              <w:t>Activos fijos</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sz w:val="12"/>
              </w:rPr>
            </w:pPr>
          </w:p>
          <w:p>
            <w:pPr>
              <w:pStyle w:val="TableParagraph"/>
              <w:spacing w:before="5"/>
              <w:rPr>
                <w:sz w:val="17"/>
              </w:rPr>
            </w:pPr>
          </w:p>
          <w:p>
            <w:pPr>
              <w:pStyle w:val="TableParagraph"/>
              <w:ind w:left="164" w:right="144"/>
              <w:jc w:val="center"/>
              <w:rPr>
                <w:i/>
                <w:sz w:val="12"/>
              </w:rPr>
            </w:pPr>
            <w:r>
              <w:rPr>
                <w:i/>
                <w:sz w:val="12"/>
              </w:rPr>
              <w:t>3,742.3</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sz w:val="16"/>
              </w:rPr>
            </w:pPr>
          </w:p>
        </w:tc>
        <w:tc>
          <w:tcPr>
            <w:tcW w:w="74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sz w:val="12"/>
              </w:rPr>
            </w:pPr>
          </w:p>
          <w:p>
            <w:pPr>
              <w:pStyle w:val="TableParagraph"/>
              <w:spacing w:before="5"/>
              <w:rPr>
                <w:sz w:val="17"/>
              </w:rPr>
            </w:pPr>
          </w:p>
          <w:p>
            <w:pPr>
              <w:pStyle w:val="TableParagraph"/>
              <w:ind w:left="147" w:right="128"/>
              <w:jc w:val="center"/>
              <w:rPr>
                <w:sz w:val="12"/>
              </w:rPr>
            </w:pPr>
            <w:r>
              <w:rPr>
                <w:sz w:val="12"/>
              </w:rPr>
              <w:t>3,742.3</w:t>
            </w:r>
          </w:p>
        </w:tc>
        <w:tc>
          <w:tcPr>
            <w:tcW w:w="3692" w:type="dxa"/>
            <w:tcBorders>
              <w:top w:val="single" w:sz="4" w:space="0" w:color="000000"/>
              <w:left w:val="single" w:sz="4" w:space="0" w:color="000000"/>
              <w:bottom w:val="single" w:sz="4" w:space="0" w:color="000000"/>
            </w:tcBorders>
            <w:shd w:val="clear" w:color="auto" w:fill="ECECEC"/>
          </w:tcPr>
          <w:p>
            <w:pPr>
              <w:pStyle w:val="TableParagraph"/>
              <w:spacing w:line="295" w:lineRule="auto"/>
              <w:ind w:left="74" w:right="1968"/>
              <w:rPr>
                <w:i/>
                <w:sz w:val="10"/>
              </w:rPr>
            </w:pPr>
            <w:r>
              <w:rPr>
                <w:i/>
                <w:sz w:val="10"/>
              </w:rPr>
              <w:t>(+) Inversión Real Directa y Financiera </w:t>
            </w:r>
            <w:r>
              <w:rPr>
                <w:i/>
                <w:sz w:val="10"/>
              </w:rPr>
              <w:t>(+) Equipo militar y de Seguridad</w:t>
            </w:r>
          </w:p>
          <w:p>
            <w:pPr>
              <w:pStyle w:val="TableParagraph"/>
              <w:ind w:left="74"/>
              <w:rPr>
                <w:i/>
                <w:sz w:val="10"/>
              </w:rPr>
            </w:pPr>
            <w:r>
              <w:rPr>
                <w:i/>
                <w:sz w:val="10"/>
              </w:rPr>
              <w:t>(-) Tierras y Terrenos</w:t>
            </w:r>
          </w:p>
          <w:p>
            <w:pPr>
              <w:pStyle w:val="TableParagraph"/>
              <w:spacing w:line="295" w:lineRule="auto" w:before="27"/>
              <w:ind w:left="74" w:right="2210"/>
              <w:rPr>
                <w:i/>
                <w:sz w:val="10"/>
              </w:rPr>
            </w:pPr>
            <w:r>
              <w:rPr>
                <w:i/>
                <w:sz w:val="10"/>
              </w:rPr>
              <w:t>(-) Libros y objetos coleccionables </w:t>
            </w:r>
            <w:r>
              <w:rPr>
                <w:i/>
                <w:sz w:val="10"/>
              </w:rPr>
              <w:t>(-) Obras de arte</w:t>
            </w:r>
          </w:p>
          <w:p>
            <w:pPr>
              <w:pStyle w:val="TableParagraph"/>
              <w:ind w:left="74"/>
              <w:rPr>
                <w:i/>
                <w:sz w:val="10"/>
              </w:rPr>
            </w:pPr>
            <w:r>
              <w:rPr>
                <w:i/>
                <w:sz w:val="10"/>
              </w:rPr>
              <w:t>(-) Gastos no previstos (inversión)</w:t>
            </w:r>
          </w:p>
        </w:tc>
      </w:tr>
      <w:tr>
        <w:trPr>
          <w:trHeight w:val="273" w:hRule="atLeast"/>
        </w:trPr>
        <w:tc>
          <w:tcPr>
            <w:tcW w:w="751" w:type="dxa"/>
            <w:tcBorders>
              <w:top w:val="single" w:sz="4" w:space="0" w:color="000000"/>
              <w:bottom w:val="single" w:sz="4" w:space="0" w:color="000000"/>
              <w:right w:val="single" w:sz="4" w:space="0" w:color="000000"/>
            </w:tcBorders>
            <w:shd w:val="clear" w:color="auto" w:fill="8495AF"/>
          </w:tcPr>
          <w:p>
            <w:pPr>
              <w:pStyle w:val="TableParagraph"/>
              <w:spacing w:before="55"/>
              <w:ind w:left="22" w:right="13"/>
              <w:jc w:val="center"/>
              <w:rPr>
                <w:b/>
                <w:i/>
                <w:sz w:val="12"/>
              </w:rPr>
            </w:pPr>
            <w:r>
              <w:rPr>
                <w:b/>
                <w:i/>
                <w:color w:val="FFFFFF"/>
                <w:sz w:val="12"/>
              </w:rPr>
              <w:t>313</w:t>
            </w:r>
          </w:p>
        </w:tc>
        <w:tc>
          <w:tcPr>
            <w:tcW w:w="1757" w:type="dxa"/>
            <w:tcBorders>
              <w:top w:val="single" w:sz="4" w:space="0" w:color="000000"/>
              <w:left w:val="single" w:sz="4" w:space="0" w:color="000000"/>
              <w:bottom w:val="single" w:sz="4" w:space="0" w:color="000000"/>
              <w:right w:val="single" w:sz="4" w:space="0" w:color="000000"/>
            </w:tcBorders>
          </w:tcPr>
          <w:p>
            <w:pPr>
              <w:pStyle w:val="TableParagraph"/>
              <w:spacing w:before="53"/>
              <w:ind w:left="194"/>
              <w:rPr>
                <w:i/>
                <w:sz w:val="12"/>
              </w:rPr>
            </w:pPr>
            <w:r>
              <w:rPr>
                <w:i/>
                <w:sz w:val="12"/>
              </w:rPr>
              <w:t>Objetos de valor</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before="53"/>
              <w:ind w:left="164" w:right="144"/>
              <w:jc w:val="center"/>
              <w:rPr>
                <w:i/>
                <w:sz w:val="12"/>
              </w:rPr>
            </w:pPr>
            <w:r>
              <w:rPr>
                <w:i/>
                <w:sz w:val="12"/>
              </w:rPr>
              <w:t>0.0</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7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3692" w:type="dxa"/>
            <w:tcBorders>
              <w:top w:val="single" w:sz="4" w:space="0" w:color="000000"/>
              <w:left w:val="single" w:sz="4" w:space="0" w:color="000000"/>
              <w:bottom w:val="single" w:sz="4" w:space="0" w:color="000000"/>
            </w:tcBorders>
          </w:tcPr>
          <w:p>
            <w:pPr>
              <w:pStyle w:val="TableParagraph"/>
              <w:spacing w:line="113" w:lineRule="exact"/>
              <w:ind w:left="74"/>
              <w:rPr>
                <w:i/>
                <w:sz w:val="10"/>
              </w:rPr>
            </w:pPr>
            <w:r>
              <w:rPr>
                <w:i/>
                <w:sz w:val="10"/>
              </w:rPr>
              <w:t>(+) Libros y objetos coleccionables</w:t>
            </w:r>
          </w:p>
          <w:p>
            <w:pPr>
              <w:pStyle w:val="TableParagraph"/>
              <w:spacing w:line="114" w:lineRule="exact" w:before="26"/>
              <w:ind w:left="74"/>
              <w:rPr>
                <w:i/>
                <w:sz w:val="10"/>
              </w:rPr>
            </w:pPr>
            <w:r>
              <w:rPr>
                <w:i/>
                <w:sz w:val="10"/>
              </w:rPr>
              <w:t>(+) Obras de arte</w:t>
            </w:r>
          </w:p>
        </w:tc>
      </w:tr>
      <w:tr>
        <w:trPr>
          <w:trHeight w:val="157" w:hRule="atLeast"/>
        </w:trPr>
        <w:tc>
          <w:tcPr>
            <w:tcW w:w="751" w:type="dxa"/>
            <w:tcBorders>
              <w:top w:val="single" w:sz="4" w:space="0" w:color="000000"/>
              <w:bottom w:val="single" w:sz="4" w:space="0" w:color="000000"/>
              <w:right w:val="single" w:sz="4" w:space="0" w:color="000000"/>
            </w:tcBorders>
            <w:shd w:val="clear" w:color="auto" w:fill="8495AF"/>
          </w:tcPr>
          <w:p>
            <w:pPr>
              <w:pStyle w:val="TableParagraph"/>
              <w:spacing w:line="136" w:lineRule="exact"/>
              <w:ind w:left="22" w:right="13"/>
              <w:jc w:val="center"/>
              <w:rPr>
                <w:b/>
                <w:i/>
                <w:sz w:val="12"/>
              </w:rPr>
            </w:pPr>
            <w:r>
              <w:rPr>
                <w:b/>
                <w:i/>
                <w:color w:val="FFFFFF"/>
                <w:sz w:val="12"/>
              </w:rPr>
              <w:t>314</w:t>
            </w:r>
          </w:p>
        </w:tc>
        <w:tc>
          <w:tcPr>
            <w:tcW w:w="175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34" w:lineRule="exact"/>
              <w:ind w:left="194"/>
              <w:rPr>
                <w:i/>
                <w:sz w:val="12"/>
              </w:rPr>
            </w:pPr>
            <w:r>
              <w:rPr>
                <w:i/>
                <w:sz w:val="12"/>
              </w:rPr>
              <w:t>Activos no producidos</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34" w:lineRule="exact"/>
              <w:ind w:left="164" w:right="144"/>
              <w:jc w:val="center"/>
              <w:rPr>
                <w:i/>
                <w:sz w:val="12"/>
              </w:rPr>
            </w:pPr>
            <w:r>
              <w:rPr>
                <w:i/>
                <w:sz w:val="12"/>
              </w:rPr>
              <w:t>6.6</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sz w:val="10"/>
              </w:rPr>
            </w:pPr>
          </w:p>
        </w:tc>
        <w:tc>
          <w:tcPr>
            <w:tcW w:w="74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34" w:lineRule="exact"/>
              <w:ind w:left="144" w:right="130"/>
              <w:jc w:val="center"/>
              <w:rPr>
                <w:sz w:val="12"/>
              </w:rPr>
            </w:pPr>
            <w:r>
              <w:rPr>
                <w:sz w:val="12"/>
              </w:rPr>
              <w:t>6.6</w:t>
            </w:r>
          </w:p>
        </w:tc>
        <w:tc>
          <w:tcPr>
            <w:tcW w:w="3692" w:type="dxa"/>
            <w:tcBorders>
              <w:top w:val="single" w:sz="4" w:space="0" w:color="000000"/>
              <w:left w:val="single" w:sz="4" w:space="0" w:color="000000"/>
              <w:bottom w:val="single" w:sz="4" w:space="0" w:color="000000"/>
            </w:tcBorders>
            <w:shd w:val="clear" w:color="auto" w:fill="ECECEC"/>
          </w:tcPr>
          <w:p>
            <w:pPr>
              <w:pStyle w:val="TableParagraph"/>
              <w:spacing w:before="12"/>
              <w:ind w:left="74"/>
              <w:rPr>
                <w:i/>
                <w:sz w:val="10"/>
              </w:rPr>
            </w:pPr>
            <w:r>
              <w:rPr>
                <w:i/>
                <w:sz w:val="10"/>
              </w:rPr>
              <w:t>(+) Tierras y Terrenos</w:t>
            </w:r>
          </w:p>
        </w:tc>
      </w:tr>
      <w:tr>
        <w:trPr>
          <w:trHeight w:val="160" w:hRule="atLeast"/>
        </w:trPr>
        <w:tc>
          <w:tcPr>
            <w:tcW w:w="751" w:type="dxa"/>
            <w:tcBorders>
              <w:top w:val="single" w:sz="4" w:space="0" w:color="000000"/>
              <w:bottom w:val="single" w:sz="4" w:space="0" w:color="000000"/>
              <w:right w:val="single" w:sz="4" w:space="0" w:color="000000"/>
            </w:tcBorders>
            <w:shd w:val="clear" w:color="auto" w:fill="8495AF"/>
          </w:tcPr>
          <w:p>
            <w:pPr>
              <w:pStyle w:val="TableParagraph"/>
              <w:ind w:left="23" w:right="13"/>
              <w:jc w:val="center"/>
              <w:rPr>
                <w:b/>
                <w:i/>
                <w:sz w:val="12"/>
              </w:rPr>
            </w:pPr>
            <w:r>
              <w:rPr>
                <w:b/>
                <w:i/>
                <w:color w:val="FFFFFF"/>
                <w:sz w:val="12"/>
              </w:rPr>
              <w:t>2M</w:t>
            </w:r>
          </w:p>
        </w:tc>
        <w:tc>
          <w:tcPr>
            <w:tcW w:w="1757" w:type="dxa"/>
            <w:tcBorders>
              <w:top w:val="single" w:sz="4" w:space="0" w:color="000000"/>
              <w:left w:val="single" w:sz="4" w:space="0" w:color="000000"/>
              <w:bottom w:val="single" w:sz="4" w:space="0" w:color="000000"/>
              <w:right w:val="single" w:sz="4" w:space="0" w:color="000000"/>
            </w:tcBorders>
          </w:tcPr>
          <w:p>
            <w:pPr>
              <w:pStyle w:val="TableParagraph"/>
              <w:ind w:left="74"/>
              <w:rPr>
                <w:b/>
                <w:i/>
                <w:sz w:val="12"/>
              </w:rPr>
            </w:pPr>
            <w:r>
              <w:rPr>
                <w:b/>
                <w:i/>
                <w:sz w:val="12"/>
              </w:rPr>
              <w:t>Erogación (2+31)</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ind w:left="165" w:right="143"/>
              <w:jc w:val="center"/>
              <w:rPr>
                <w:b/>
                <w:i/>
                <w:sz w:val="12"/>
              </w:rPr>
            </w:pPr>
            <w:r>
              <w:rPr>
                <w:b/>
                <w:i/>
                <w:sz w:val="12"/>
              </w:rPr>
              <w:t>92,043.7</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rPr>
                <w:sz w:val="10"/>
              </w:rPr>
            </w:pPr>
          </w:p>
        </w:tc>
        <w:tc>
          <w:tcPr>
            <w:tcW w:w="747" w:type="dxa"/>
            <w:tcBorders>
              <w:top w:val="single" w:sz="4" w:space="0" w:color="000000"/>
              <w:left w:val="single" w:sz="4" w:space="0" w:color="000000"/>
              <w:bottom w:val="single" w:sz="4" w:space="0" w:color="000000"/>
              <w:right w:val="single" w:sz="4" w:space="0" w:color="000000"/>
            </w:tcBorders>
          </w:tcPr>
          <w:p>
            <w:pPr>
              <w:pStyle w:val="TableParagraph"/>
              <w:ind w:left="147" w:right="130"/>
              <w:jc w:val="center"/>
              <w:rPr>
                <w:b/>
                <w:sz w:val="12"/>
              </w:rPr>
            </w:pPr>
            <w:r>
              <w:rPr>
                <w:b/>
                <w:sz w:val="12"/>
              </w:rPr>
              <w:t>92,043.7</w:t>
            </w:r>
          </w:p>
        </w:tc>
        <w:tc>
          <w:tcPr>
            <w:tcW w:w="3692" w:type="dxa"/>
            <w:tcBorders>
              <w:top w:val="single" w:sz="4" w:space="0" w:color="000000"/>
              <w:left w:val="single" w:sz="4" w:space="0" w:color="000000"/>
              <w:bottom w:val="single" w:sz="4" w:space="0" w:color="000000"/>
            </w:tcBorders>
          </w:tcPr>
          <w:p>
            <w:pPr>
              <w:pStyle w:val="TableParagraph"/>
              <w:rPr>
                <w:sz w:val="10"/>
              </w:rPr>
            </w:pPr>
          </w:p>
        </w:tc>
      </w:tr>
      <w:tr>
        <w:trPr>
          <w:trHeight w:val="892" w:hRule="atLeast"/>
        </w:trPr>
        <w:tc>
          <w:tcPr>
            <w:tcW w:w="751" w:type="dxa"/>
            <w:tcBorders>
              <w:top w:val="single" w:sz="4" w:space="0" w:color="000000"/>
              <w:right w:val="single" w:sz="4" w:space="0" w:color="000000"/>
            </w:tcBorders>
            <w:shd w:val="clear" w:color="auto" w:fill="8495AF"/>
          </w:tcPr>
          <w:p>
            <w:pPr>
              <w:pStyle w:val="TableParagraph"/>
              <w:rPr>
                <w:sz w:val="12"/>
              </w:rPr>
            </w:pPr>
          </w:p>
          <w:p>
            <w:pPr>
              <w:pStyle w:val="TableParagraph"/>
              <w:rPr>
                <w:sz w:val="12"/>
              </w:rPr>
            </w:pPr>
          </w:p>
          <w:p>
            <w:pPr>
              <w:pStyle w:val="TableParagraph"/>
              <w:spacing w:before="89"/>
              <w:ind w:left="25" w:right="13"/>
              <w:jc w:val="center"/>
              <w:rPr>
                <w:b/>
                <w:i/>
                <w:sz w:val="12"/>
              </w:rPr>
            </w:pPr>
            <w:r>
              <w:rPr>
                <w:b/>
                <w:i/>
                <w:color w:val="FFFFFF"/>
                <w:sz w:val="12"/>
              </w:rPr>
              <w:t>NLB</w:t>
            </w:r>
          </w:p>
        </w:tc>
        <w:tc>
          <w:tcPr>
            <w:tcW w:w="1757" w:type="dxa"/>
            <w:tcBorders>
              <w:top w:val="single" w:sz="4" w:space="0" w:color="000000"/>
              <w:left w:val="single" w:sz="4" w:space="0" w:color="000000"/>
              <w:right w:val="single" w:sz="4" w:space="0" w:color="000000"/>
            </w:tcBorders>
            <w:shd w:val="clear" w:color="auto" w:fill="ECECEC"/>
          </w:tcPr>
          <w:p>
            <w:pPr>
              <w:pStyle w:val="TableParagraph"/>
              <w:spacing w:before="11"/>
              <w:rPr>
                <w:sz w:val="17"/>
              </w:rPr>
            </w:pPr>
          </w:p>
          <w:p>
            <w:pPr>
              <w:pStyle w:val="TableParagraph"/>
              <w:spacing w:line="276" w:lineRule="auto"/>
              <w:ind w:left="74" w:right="69"/>
              <w:rPr>
                <w:b/>
                <w:i/>
                <w:sz w:val="12"/>
              </w:rPr>
            </w:pPr>
            <w:r>
              <w:rPr>
                <w:b/>
                <w:i/>
                <w:sz w:val="12"/>
              </w:rPr>
              <w:t>Préstamo neto (+) / </w:t>
            </w:r>
            <w:r>
              <w:rPr>
                <w:b/>
                <w:i/>
                <w:sz w:val="12"/>
              </w:rPr>
              <w:t>endeudamiento neto (-) (1-2-31) o (1-2M)</w:t>
            </w:r>
          </w:p>
        </w:tc>
        <w:tc>
          <w:tcPr>
            <w:tcW w:w="780" w:type="dxa"/>
            <w:tcBorders>
              <w:top w:val="single" w:sz="4" w:space="0" w:color="000000"/>
              <w:left w:val="single" w:sz="4" w:space="0" w:color="000000"/>
              <w:right w:val="single" w:sz="4" w:space="0" w:color="000000"/>
            </w:tcBorders>
            <w:shd w:val="clear" w:color="auto" w:fill="ECECEC"/>
          </w:tcPr>
          <w:p>
            <w:pPr>
              <w:pStyle w:val="TableParagraph"/>
              <w:rPr>
                <w:sz w:val="12"/>
              </w:rPr>
            </w:pPr>
          </w:p>
          <w:p>
            <w:pPr>
              <w:pStyle w:val="TableParagraph"/>
              <w:rPr>
                <w:sz w:val="12"/>
              </w:rPr>
            </w:pPr>
          </w:p>
          <w:p>
            <w:pPr>
              <w:pStyle w:val="TableParagraph"/>
              <w:spacing w:before="89"/>
              <w:ind w:left="165" w:right="143"/>
              <w:jc w:val="center"/>
              <w:rPr>
                <w:b/>
                <w:i/>
                <w:sz w:val="12"/>
              </w:rPr>
            </w:pPr>
            <w:r>
              <w:rPr>
                <w:b/>
                <w:i/>
                <w:sz w:val="12"/>
              </w:rPr>
              <w:t>-7,685.0</w:t>
            </w:r>
          </w:p>
        </w:tc>
        <w:tc>
          <w:tcPr>
            <w:tcW w:w="780" w:type="dxa"/>
            <w:tcBorders>
              <w:top w:val="single" w:sz="4" w:space="0" w:color="000000"/>
              <w:left w:val="single" w:sz="4" w:space="0" w:color="000000"/>
              <w:right w:val="single" w:sz="4" w:space="0" w:color="000000"/>
            </w:tcBorders>
            <w:shd w:val="clear" w:color="auto" w:fill="ECECEC"/>
          </w:tcPr>
          <w:p>
            <w:pPr>
              <w:pStyle w:val="TableParagraph"/>
              <w:rPr>
                <w:sz w:val="12"/>
              </w:rPr>
            </w:pPr>
          </w:p>
          <w:p>
            <w:pPr>
              <w:pStyle w:val="TableParagraph"/>
              <w:rPr>
                <w:sz w:val="12"/>
              </w:rPr>
            </w:pPr>
          </w:p>
          <w:p>
            <w:pPr>
              <w:pStyle w:val="TableParagraph"/>
              <w:spacing w:before="89"/>
              <w:ind w:left="194"/>
              <w:rPr>
                <w:b/>
                <w:i/>
                <w:sz w:val="12"/>
              </w:rPr>
            </w:pPr>
            <w:r>
              <w:rPr>
                <w:b/>
                <w:i/>
                <w:sz w:val="12"/>
              </w:rPr>
              <w:t>-7,770.8</w:t>
            </w:r>
          </w:p>
        </w:tc>
        <w:tc>
          <w:tcPr>
            <w:tcW w:w="747" w:type="dxa"/>
            <w:tcBorders>
              <w:top w:val="single" w:sz="4" w:space="0" w:color="000000"/>
              <w:left w:val="single" w:sz="4" w:space="0" w:color="000000"/>
              <w:right w:val="single" w:sz="4" w:space="0" w:color="000000"/>
            </w:tcBorders>
            <w:shd w:val="clear" w:color="auto" w:fill="ECECEC"/>
          </w:tcPr>
          <w:p>
            <w:pPr>
              <w:pStyle w:val="TableParagraph"/>
              <w:rPr>
                <w:sz w:val="12"/>
              </w:rPr>
            </w:pPr>
          </w:p>
          <w:p>
            <w:pPr>
              <w:pStyle w:val="TableParagraph"/>
              <w:rPr>
                <w:sz w:val="12"/>
              </w:rPr>
            </w:pPr>
          </w:p>
          <w:p>
            <w:pPr>
              <w:pStyle w:val="TableParagraph"/>
              <w:spacing w:before="89"/>
              <w:ind w:left="147" w:right="130"/>
              <w:jc w:val="center"/>
              <w:rPr>
                <w:b/>
                <w:i/>
                <w:sz w:val="12"/>
              </w:rPr>
            </w:pPr>
            <w:r>
              <w:rPr>
                <w:b/>
                <w:i/>
                <w:sz w:val="12"/>
              </w:rPr>
              <w:t>85.8</w:t>
            </w:r>
          </w:p>
        </w:tc>
        <w:tc>
          <w:tcPr>
            <w:tcW w:w="3692" w:type="dxa"/>
            <w:tcBorders>
              <w:top w:val="single" w:sz="4" w:space="0" w:color="000000"/>
              <w:left w:val="single" w:sz="4" w:space="0" w:color="000000"/>
            </w:tcBorders>
            <w:shd w:val="clear" w:color="auto" w:fill="ECECEC"/>
          </w:tcPr>
          <w:p>
            <w:pPr>
              <w:pStyle w:val="TableParagraph"/>
              <w:ind w:left="74"/>
              <w:rPr>
                <w:b/>
                <w:i/>
                <w:sz w:val="10"/>
              </w:rPr>
            </w:pPr>
            <w:r>
              <w:rPr>
                <w:b/>
                <w:i/>
                <w:sz w:val="10"/>
              </w:rPr>
              <w:t>En los ingresos</w:t>
            </w:r>
          </w:p>
          <w:p>
            <w:pPr>
              <w:pStyle w:val="TableParagraph"/>
              <w:spacing w:line="321" w:lineRule="auto" w:before="34"/>
              <w:ind w:left="74" w:right="1810"/>
              <w:rPr>
                <w:i/>
                <w:sz w:val="10"/>
              </w:rPr>
            </w:pPr>
            <w:r>
              <w:rPr>
                <w:i/>
                <w:sz w:val="10"/>
              </w:rPr>
              <w:t>(-) Diferencias por fluctuaciones cambiarias </w:t>
            </w:r>
            <w:r>
              <w:rPr>
                <w:i/>
                <w:sz w:val="10"/>
              </w:rPr>
              <w:t>(-) Algunos ingresos de capital</w:t>
            </w:r>
          </w:p>
          <w:p>
            <w:pPr>
              <w:pStyle w:val="TableParagraph"/>
              <w:spacing w:line="114" w:lineRule="exact"/>
              <w:ind w:left="74"/>
              <w:rPr>
                <w:b/>
                <w:i/>
                <w:sz w:val="10"/>
              </w:rPr>
            </w:pPr>
            <w:r>
              <w:rPr>
                <w:b/>
                <w:i/>
                <w:sz w:val="10"/>
              </w:rPr>
              <w:t>En el gasto</w:t>
            </w:r>
          </w:p>
          <w:p>
            <w:pPr>
              <w:pStyle w:val="TableParagraph"/>
              <w:spacing w:line="150" w:lineRule="atLeast" w:before="1"/>
              <w:ind w:left="74" w:right="2537"/>
              <w:rPr>
                <w:i/>
                <w:sz w:val="10"/>
              </w:rPr>
            </w:pPr>
            <w:r>
              <w:rPr>
                <w:i/>
                <w:sz w:val="10"/>
              </w:rPr>
              <w:t>(-) Inversiones financieras </w:t>
            </w:r>
            <w:r>
              <w:rPr>
                <w:i/>
                <w:sz w:val="10"/>
              </w:rPr>
              <w:t>(-) Descuentos de deuda</w:t>
            </w:r>
          </w:p>
        </w:tc>
      </w:tr>
    </w:tbl>
    <w:p>
      <w:pPr>
        <w:pStyle w:val="BodyText"/>
        <w:spacing w:before="8"/>
        <w:rPr>
          <w:sz w:val="10"/>
        </w:rPr>
      </w:pPr>
    </w:p>
    <w:p>
      <w:pPr>
        <w:spacing w:before="91"/>
        <w:ind w:left="562" w:right="0" w:firstLine="0"/>
        <w:jc w:val="left"/>
        <w:rPr>
          <w:b/>
          <w:sz w:val="20"/>
        </w:rPr>
      </w:pPr>
      <w:r>
        <w:rPr>
          <w:b/>
          <w:sz w:val="20"/>
        </w:rPr>
        <w:t>Notas:</w:t>
      </w:r>
    </w:p>
    <w:p>
      <w:pPr>
        <w:spacing w:before="30"/>
        <w:ind w:left="562" w:right="0" w:firstLine="0"/>
        <w:jc w:val="left"/>
        <w:rPr>
          <w:i/>
          <w:sz w:val="14"/>
        </w:rPr>
      </w:pPr>
      <w:r>
        <w:rPr>
          <w:i/>
          <w:sz w:val="14"/>
        </w:rPr>
        <w:t>1/ Dicha cuenta no aplica para la metodología MEFP2014 dado que solamente existe en las cuentas de la metodología nacional.</w:t>
      </w:r>
    </w:p>
    <w:p>
      <w:pPr>
        <w:spacing w:line="276" w:lineRule="auto" w:before="24"/>
        <w:ind w:left="703" w:right="1789" w:hanging="142"/>
        <w:jc w:val="left"/>
        <w:rPr>
          <w:i/>
          <w:sz w:val="14"/>
        </w:rPr>
      </w:pPr>
      <w:r>
        <w:rPr>
          <w:i/>
          <w:sz w:val="14"/>
        </w:rPr>
        <w:t>2/ La cifra correspondiente al monto en la metodología nacional, contempla a todo gasto en la situación financiero que no haya sido incluido ninguna otra </w:t>
      </w:r>
      <w:r>
        <w:rPr>
          <w:i/>
          <w:sz w:val="14"/>
        </w:rPr>
        <w:t>cuenta.</w:t>
      </w:r>
    </w:p>
    <w:p>
      <w:pPr>
        <w:spacing w:line="276" w:lineRule="auto" w:before="0"/>
        <w:ind w:left="703" w:right="1688" w:hanging="142"/>
        <w:jc w:val="left"/>
        <w:rPr>
          <w:i/>
          <w:sz w:val="14"/>
        </w:rPr>
      </w:pPr>
      <w:r>
        <w:rPr>
          <w:i/>
          <w:sz w:val="14"/>
        </w:rPr>
        <w:t>3/ En la metodología nacional no existe las cuentas de transacciones en activos no financieros por lo tanto no se cuenta con un punto de comparación con la </w:t>
      </w:r>
      <w:r>
        <w:rPr>
          <w:i/>
          <w:sz w:val="14"/>
        </w:rPr>
        <w:t>metodología MEFP2014</w:t>
      </w:r>
    </w:p>
    <w:p>
      <w:pPr>
        <w:pStyle w:val="BodyText"/>
        <w:spacing w:before="7"/>
        <w:rPr>
          <w:i/>
          <w:sz w:val="18"/>
        </w:rPr>
      </w:pPr>
    </w:p>
    <w:p>
      <w:pPr>
        <w:pStyle w:val="Heading3"/>
        <w:numPr>
          <w:ilvl w:val="1"/>
          <w:numId w:val="54"/>
        </w:numPr>
        <w:tabs>
          <w:tab w:pos="1282" w:val="left" w:leader="none"/>
        </w:tabs>
        <w:spacing w:line="240" w:lineRule="auto" w:before="1" w:after="0"/>
        <w:ind w:left="1282" w:right="0" w:hanging="361"/>
        <w:jc w:val="left"/>
      </w:pPr>
      <w:bookmarkStart w:name="_bookmark240" w:id="317"/>
      <w:bookmarkEnd w:id="317"/>
      <w:r>
        <w:rPr>
          <w:b w:val="0"/>
        </w:rPr>
      </w:r>
      <w:bookmarkStart w:name="_bookmark240" w:id="318"/>
      <w:bookmarkEnd w:id="318"/>
      <w:r>
        <w:rPr/>
        <w:t>E</w:t>
      </w:r>
      <w:r>
        <w:rPr/>
        <w:t>l Gobierno General en las</w:t>
      </w:r>
      <w:r>
        <w:rPr>
          <w:spacing w:val="-2"/>
        </w:rPr>
        <w:t> </w:t>
      </w:r>
      <w:r>
        <w:rPr/>
        <w:t>EFP</w:t>
      </w:r>
    </w:p>
    <w:p>
      <w:pPr>
        <w:pStyle w:val="BodyText"/>
        <w:rPr>
          <w:b/>
          <w:sz w:val="28"/>
        </w:rPr>
      </w:pPr>
    </w:p>
    <w:p>
      <w:pPr>
        <w:pStyle w:val="BodyText"/>
        <w:spacing w:line="276" w:lineRule="auto" w:before="1"/>
        <w:ind w:left="562" w:right="1696"/>
        <w:jc w:val="both"/>
      </w:pPr>
      <w:r>
        <w:rPr/>
        <w:t>Es</w:t>
      </w:r>
      <w:r>
        <w:rPr>
          <w:spacing w:val="-7"/>
        </w:rPr>
        <w:t> </w:t>
      </w:r>
      <w:r>
        <w:rPr/>
        <w:t>importante</w:t>
      </w:r>
      <w:r>
        <w:rPr>
          <w:spacing w:val="-6"/>
        </w:rPr>
        <w:t> </w:t>
      </w:r>
      <w:r>
        <w:rPr/>
        <w:t>resaltar</w:t>
      </w:r>
      <w:r>
        <w:rPr>
          <w:spacing w:val="-5"/>
        </w:rPr>
        <w:t> </w:t>
      </w:r>
      <w:r>
        <w:rPr/>
        <w:t>cuando</w:t>
      </w:r>
      <w:r>
        <w:rPr>
          <w:spacing w:val="-7"/>
        </w:rPr>
        <w:t> </w:t>
      </w:r>
      <w:r>
        <w:rPr/>
        <w:t>se</w:t>
      </w:r>
      <w:r>
        <w:rPr>
          <w:spacing w:val="-6"/>
        </w:rPr>
        <w:t> </w:t>
      </w:r>
      <w:r>
        <w:rPr/>
        <w:t>habla</w:t>
      </w:r>
      <w:r>
        <w:rPr>
          <w:spacing w:val="-6"/>
        </w:rPr>
        <w:t> </w:t>
      </w:r>
      <w:r>
        <w:rPr/>
        <w:t>de</w:t>
      </w:r>
      <w:r>
        <w:rPr>
          <w:spacing w:val="-7"/>
        </w:rPr>
        <w:t> </w:t>
      </w:r>
      <w:r>
        <w:rPr/>
        <w:t>Sector</w:t>
      </w:r>
      <w:r>
        <w:rPr>
          <w:spacing w:val="-5"/>
        </w:rPr>
        <w:t> </w:t>
      </w:r>
      <w:r>
        <w:rPr/>
        <w:t>Público,</w:t>
      </w:r>
      <w:r>
        <w:rPr>
          <w:spacing w:val="-6"/>
        </w:rPr>
        <w:t> </w:t>
      </w:r>
      <w:r>
        <w:rPr/>
        <w:t>este</w:t>
      </w:r>
      <w:r>
        <w:rPr>
          <w:spacing w:val="-6"/>
        </w:rPr>
        <w:t> </w:t>
      </w:r>
      <w:r>
        <w:rPr/>
        <w:t>posee</w:t>
      </w:r>
      <w:r>
        <w:rPr>
          <w:spacing w:val="-7"/>
        </w:rPr>
        <w:t> </w:t>
      </w:r>
      <w:r>
        <w:rPr/>
        <w:t>varios</w:t>
      </w:r>
      <w:r>
        <w:rPr>
          <w:spacing w:val="-6"/>
        </w:rPr>
        <w:t> </w:t>
      </w:r>
      <w:r>
        <w:rPr/>
        <w:t>niveles</w:t>
      </w:r>
      <w:r>
        <w:rPr>
          <w:spacing w:val="-6"/>
        </w:rPr>
        <w:t> </w:t>
      </w:r>
      <w:r>
        <w:rPr/>
        <w:t>y</w:t>
      </w:r>
      <w:r>
        <w:rPr>
          <w:spacing w:val="-9"/>
        </w:rPr>
        <w:t> </w:t>
      </w:r>
      <w:r>
        <w:rPr/>
        <w:t>se</w:t>
      </w:r>
      <w:r>
        <w:rPr>
          <w:spacing w:val="-7"/>
        </w:rPr>
        <w:t> </w:t>
      </w:r>
      <w:r>
        <w:rPr/>
        <w:t>divide</w:t>
      </w:r>
      <w:r>
        <w:rPr>
          <w:spacing w:val="-6"/>
        </w:rPr>
        <w:t> </w:t>
      </w:r>
      <w:r>
        <w:rPr/>
        <w:t>en</w:t>
      </w:r>
      <w:r>
        <w:rPr>
          <w:spacing w:val="-6"/>
        </w:rPr>
        <w:t> </w:t>
      </w:r>
      <w:r>
        <w:rPr/>
        <w:t>dos grandes</w:t>
      </w:r>
      <w:r>
        <w:rPr>
          <w:spacing w:val="-4"/>
        </w:rPr>
        <w:t> </w:t>
      </w:r>
      <w:r>
        <w:rPr/>
        <w:t>grupos,</w:t>
      </w:r>
      <w:r>
        <w:rPr>
          <w:spacing w:val="-7"/>
        </w:rPr>
        <w:t> </w:t>
      </w:r>
      <w:r>
        <w:rPr/>
        <w:t>el</w:t>
      </w:r>
      <w:r>
        <w:rPr>
          <w:spacing w:val="-5"/>
        </w:rPr>
        <w:t> </w:t>
      </w:r>
      <w:r>
        <w:rPr/>
        <w:t>primero</w:t>
      </w:r>
      <w:r>
        <w:rPr>
          <w:spacing w:val="-7"/>
        </w:rPr>
        <w:t> </w:t>
      </w:r>
      <w:r>
        <w:rPr/>
        <w:t>de</w:t>
      </w:r>
      <w:r>
        <w:rPr>
          <w:spacing w:val="-4"/>
        </w:rPr>
        <w:t> </w:t>
      </w:r>
      <w:r>
        <w:rPr/>
        <w:t>ellos</w:t>
      </w:r>
      <w:r>
        <w:rPr>
          <w:spacing w:val="-4"/>
        </w:rPr>
        <w:t> </w:t>
      </w:r>
      <w:r>
        <w:rPr/>
        <w:t>son</w:t>
      </w:r>
      <w:r>
        <w:rPr>
          <w:spacing w:val="-6"/>
        </w:rPr>
        <w:t> </w:t>
      </w:r>
      <w:r>
        <w:rPr/>
        <w:t>las</w:t>
      </w:r>
      <w:r>
        <w:rPr>
          <w:spacing w:val="-6"/>
        </w:rPr>
        <w:t> </w:t>
      </w:r>
      <w:r>
        <w:rPr/>
        <w:t>Sociedades</w:t>
      </w:r>
      <w:r>
        <w:rPr>
          <w:spacing w:val="-8"/>
        </w:rPr>
        <w:t> </w:t>
      </w:r>
      <w:r>
        <w:rPr/>
        <w:t>Pública</w:t>
      </w:r>
      <w:r>
        <w:rPr>
          <w:spacing w:val="-7"/>
        </w:rPr>
        <w:t> </w:t>
      </w:r>
      <w:r>
        <w:rPr/>
        <w:t>(un</w:t>
      </w:r>
      <w:r>
        <w:rPr>
          <w:spacing w:val="-7"/>
        </w:rPr>
        <w:t> </w:t>
      </w:r>
      <w:r>
        <w:rPr/>
        <w:t>grupo</w:t>
      </w:r>
      <w:r>
        <w:rPr>
          <w:spacing w:val="-4"/>
        </w:rPr>
        <w:t> </w:t>
      </w:r>
      <w:r>
        <w:rPr/>
        <w:t>de</w:t>
      </w:r>
      <w:r>
        <w:rPr>
          <w:spacing w:val="-4"/>
        </w:rPr>
        <w:t> </w:t>
      </w:r>
      <w:r>
        <w:rPr/>
        <w:t>entidades</w:t>
      </w:r>
      <w:r>
        <w:rPr>
          <w:spacing w:val="-4"/>
        </w:rPr>
        <w:t> </w:t>
      </w:r>
      <w:r>
        <w:rPr/>
        <w:t>que</w:t>
      </w:r>
      <w:r>
        <w:rPr>
          <w:spacing w:val="-6"/>
        </w:rPr>
        <w:t> </w:t>
      </w:r>
      <w:r>
        <w:rPr/>
        <w:t>están</w:t>
      </w:r>
      <w:r>
        <w:rPr>
          <w:spacing w:val="-4"/>
        </w:rPr>
        <w:t> </w:t>
      </w:r>
      <w:r>
        <w:rPr/>
        <w:t>bajo el</w:t>
      </w:r>
      <w:r>
        <w:rPr>
          <w:spacing w:val="-3"/>
        </w:rPr>
        <w:t> </w:t>
      </w:r>
      <w:r>
        <w:rPr/>
        <w:t>control</w:t>
      </w:r>
      <w:r>
        <w:rPr>
          <w:spacing w:val="-3"/>
        </w:rPr>
        <w:t> </w:t>
      </w:r>
      <w:r>
        <w:rPr/>
        <w:t>directo</w:t>
      </w:r>
      <w:r>
        <w:rPr>
          <w:spacing w:val="-4"/>
        </w:rPr>
        <w:t> </w:t>
      </w:r>
      <w:r>
        <w:rPr/>
        <w:t>o</w:t>
      </w:r>
      <w:r>
        <w:rPr>
          <w:spacing w:val="-6"/>
        </w:rPr>
        <w:t> </w:t>
      </w:r>
      <w:r>
        <w:rPr/>
        <w:t>indirecto</w:t>
      </w:r>
      <w:r>
        <w:rPr>
          <w:spacing w:val="-4"/>
        </w:rPr>
        <w:t> </w:t>
      </w:r>
      <w:r>
        <w:rPr/>
        <w:t>del</w:t>
      </w:r>
      <w:r>
        <w:rPr>
          <w:spacing w:val="-3"/>
        </w:rPr>
        <w:t> </w:t>
      </w:r>
      <w:r>
        <w:rPr/>
        <w:t>gobierno</w:t>
      </w:r>
      <w:r>
        <w:rPr>
          <w:spacing w:val="-4"/>
        </w:rPr>
        <w:t> </w:t>
      </w:r>
      <w:r>
        <w:rPr/>
        <w:t>y</w:t>
      </w:r>
      <w:r>
        <w:rPr>
          <w:spacing w:val="-6"/>
        </w:rPr>
        <w:t> </w:t>
      </w:r>
      <w:r>
        <w:rPr/>
        <w:t>que</w:t>
      </w:r>
      <w:r>
        <w:rPr>
          <w:spacing w:val="-3"/>
        </w:rPr>
        <w:t> </w:t>
      </w:r>
      <w:r>
        <w:rPr/>
        <w:t>pueden</w:t>
      </w:r>
      <w:r>
        <w:rPr>
          <w:spacing w:val="-4"/>
        </w:rPr>
        <w:t> </w:t>
      </w:r>
      <w:r>
        <w:rPr/>
        <w:t>generar</w:t>
      </w:r>
      <w:r>
        <w:rPr>
          <w:spacing w:val="-3"/>
        </w:rPr>
        <w:t> </w:t>
      </w:r>
      <w:r>
        <w:rPr/>
        <w:t>utilidades</w:t>
      </w:r>
      <w:r>
        <w:rPr>
          <w:spacing w:val="-3"/>
        </w:rPr>
        <w:t> </w:t>
      </w:r>
      <w:r>
        <w:rPr/>
        <w:t>o</w:t>
      </w:r>
      <w:r>
        <w:rPr>
          <w:spacing w:val="-4"/>
        </w:rPr>
        <w:t> </w:t>
      </w:r>
      <w:r>
        <w:rPr/>
        <w:t>ganancias</w:t>
      </w:r>
      <w:r>
        <w:rPr>
          <w:spacing w:val="-3"/>
        </w:rPr>
        <w:t> </w:t>
      </w:r>
      <w:r>
        <w:rPr/>
        <w:t>financieras)</w:t>
      </w:r>
      <w:r>
        <w:rPr>
          <w:spacing w:val="-3"/>
        </w:rPr>
        <w:t> </w:t>
      </w:r>
      <w:r>
        <w:rPr/>
        <w:t>y el segundo son las entidades que pertenecen al Gobierno</w:t>
      </w:r>
      <w:r>
        <w:rPr>
          <w:spacing w:val="-7"/>
        </w:rPr>
        <w:t> </w:t>
      </w:r>
      <w:r>
        <w:rPr/>
        <w:t>General.</w:t>
      </w:r>
    </w:p>
    <w:p>
      <w:pPr>
        <w:pStyle w:val="BodyText"/>
        <w:spacing w:before="3"/>
        <w:rPr>
          <w:sz w:val="25"/>
        </w:rPr>
      </w:pPr>
    </w:p>
    <w:p>
      <w:pPr>
        <w:pStyle w:val="BodyText"/>
        <w:spacing w:line="276" w:lineRule="auto"/>
        <w:ind w:left="562" w:right="1699"/>
        <w:jc w:val="both"/>
      </w:pPr>
      <w:r>
        <w:rPr/>
        <w:t>El Gobierno General, según el Manual de Estadísticas de las Finanzas Públicas 2014, son las entidades que tienen como finalidad el llevar a cabo una función de gobierno y el mismo cuenta con tres subdivisiones, estas son:</w:t>
      </w:r>
    </w:p>
    <w:p>
      <w:pPr>
        <w:pStyle w:val="BodyText"/>
        <w:spacing w:before="4"/>
        <w:rPr>
          <w:sz w:val="25"/>
        </w:rPr>
      </w:pPr>
    </w:p>
    <w:p>
      <w:pPr>
        <w:pStyle w:val="ListParagraph"/>
        <w:numPr>
          <w:ilvl w:val="0"/>
          <w:numId w:val="56"/>
        </w:numPr>
        <w:tabs>
          <w:tab w:pos="922" w:val="left" w:leader="none"/>
        </w:tabs>
        <w:spacing w:line="276" w:lineRule="auto" w:before="0" w:after="0"/>
        <w:ind w:left="921" w:right="1700" w:hanging="360"/>
        <w:jc w:val="left"/>
        <w:rPr>
          <w:sz w:val="22"/>
        </w:rPr>
      </w:pPr>
      <w:r>
        <w:rPr>
          <w:b/>
          <w:sz w:val="22"/>
        </w:rPr>
        <w:t>El Gobierno Central: </w:t>
      </w:r>
      <w:r>
        <w:rPr>
          <w:sz w:val="22"/>
        </w:rPr>
        <w:t>Se constituye por dos subtipos, las entidades del Gobierno Central Presupuestario y el Gobierno Central</w:t>
      </w:r>
      <w:r>
        <w:rPr>
          <w:spacing w:val="-5"/>
          <w:sz w:val="22"/>
        </w:rPr>
        <w:t> </w:t>
      </w:r>
      <w:r>
        <w:rPr>
          <w:sz w:val="22"/>
        </w:rPr>
        <w:t>Extrapresupuestario.</w:t>
      </w:r>
    </w:p>
    <w:p>
      <w:pPr>
        <w:pStyle w:val="BodyText"/>
        <w:spacing w:before="4"/>
        <w:rPr>
          <w:sz w:val="25"/>
        </w:rPr>
      </w:pPr>
    </w:p>
    <w:p>
      <w:pPr>
        <w:pStyle w:val="ListParagraph"/>
        <w:numPr>
          <w:ilvl w:val="1"/>
          <w:numId w:val="56"/>
        </w:numPr>
        <w:tabs>
          <w:tab w:pos="1270" w:val="left" w:leader="none"/>
        </w:tabs>
        <w:spacing w:line="276" w:lineRule="auto" w:before="0" w:after="0"/>
        <w:ind w:left="1270" w:right="1697" w:hanging="476"/>
        <w:jc w:val="both"/>
        <w:rPr>
          <w:sz w:val="22"/>
        </w:rPr>
      </w:pPr>
      <w:r>
        <w:rPr>
          <w:b/>
          <w:sz w:val="22"/>
        </w:rPr>
        <w:t>Gobierno Central Presupuestario: </w:t>
      </w:r>
      <w:r>
        <w:rPr>
          <w:sz w:val="22"/>
        </w:rPr>
        <w:t>Son todas las entidades que tengan una dependencia de un presupuesto principal o general, en el caso de Guatemala, estas son las que forman parte de Presupuesto General de Ingresos y Egresos del Estado (estas son Presidencia de la República, Ministerios de Estado, Secretarias y Otras Dependencias del Ejecutivo, la Procuraduría</w:t>
      </w:r>
      <w:r>
        <w:rPr>
          <w:spacing w:val="-5"/>
          <w:sz w:val="22"/>
        </w:rPr>
        <w:t> </w:t>
      </w:r>
      <w:r>
        <w:rPr>
          <w:sz w:val="22"/>
        </w:rPr>
        <w:t>General</w:t>
      </w:r>
      <w:r>
        <w:rPr>
          <w:spacing w:val="-6"/>
          <w:sz w:val="22"/>
        </w:rPr>
        <w:t> </w:t>
      </w:r>
      <w:r>
        <w:rPr>
          <w:sz w:val="22"/>
        </w:rPr>
        <w:t>de</w:t>
      </w:r>
      <w:r>
        <w:rPr>
          <w:spacing w:val="-8"/>
          <w:sz w:val="22"/>
        </w:rPr>
        <w:t> </w:t>
      </w:r>
      <w:r>
        <w:rPr>
          <w:sz w:val="22"/>
        </w:rPr>
        <w:t>la</w:t>
      </w:r>
      <w:r>
        <w:rPr>
          <w:spacing w:val="-9"/>
          <w:sz w:val="22"/>
        </w:rPr>
        <w:t> </w:t>
      </w:r>
      <w:r>
        <w:rPr>
          <w:sz w:val="22"/>
        </w:rPr>
        <w:t>Nación,</w:t>
      </w:r>
      <w:r>
        <w:rPr>
          <w:spacing w:val="-7"/>
          <w:sz w:val="22"/>
        </w:rPr>
        <w:t> </w:t>
      </w:r>
      <w:r>
        <w:rPr>
          <w:sz w:val="22"/>
        </w:rPr>
        <w:t>entidades</w:t>
      </w:r>
      <w:r>
        <w:rPr>
          <w:spacing w:val="-5"/>
          <w:sz w:val="22"/>
        </w:rPr>
        <w:t> </w:t>
      </w:r>
      <w:r>
        <w:rPr>
          <w:sz w:val="22"/>
        </w:rPr>
        <w:t>virtuales</w:t>
      </w:r>
      <w:r>
        <w:rPr>
          <w:spacing w:val="-9"/>
          <w:sz w:val="22"/>
        </w:rPr>
        <w:t> </w:t>
      </w:r>
      <w:r>
        <w:rPr>
          <w:sz w:val="22"/>
        </w:rPr>
        <w:t>como</w:t>
      </w:r>
      <w:r>
        <w:rPr>
          <w:spacing w:val="-5"/>
          <w:sz w:val="22"/>
        </w:rPr>
        <w:t> </w:t>
      </w:r>
      <w:r>
        <w:rPr>
          <w:sz w:val="22"/>
        </w:rPr>
        <w:t>el</w:t>
      </w:r>
      <w:r>
        <w:rPr>
          <w:spacing w:val="-5"/>
          <w:sz w:val="22"/>
        </w:rPr>
        <w:t> </w:t>
      </w:r>
      <w:r>
        <w:rPr>
          <w:sz w:val="22"/>
        </w:rPr>
        <w:t>Servicio</w:t>
      </w:r>
      <w:r>
        <w:rPr>
          <w:spacing w:val="-5"/>
          <w:sz w:val="22"/>
        </w:rPr>
        <w:t> </w:t>
      </w:r>
      <w:r>
        <w:rPr>
          <w:sz w:val="22"/>
        </w:rPr>
        <w:t>de</w:t>
      </w:r>
      <w:r>
        <w:rPr>
          <w:spacing w:val="-8"/>
          <w:sz w:val="22"/>
        </w:rPr>
        <w:t> </w:t>
      </w:r>
      <w:r>
        <w:rPr>
          <w:sz w:val="22"/>
        </w:rPr>
        <w:t>la</w:t>
      </w:r>
      <w:r>
        <w:rPr>
          <w:spacing w:val="-4"/>
          <w:sz w:val="22"/>
        </w:rPr>
        <w:t> </w:t>
      </w:r>
      <w:r>
        <w:rPr>
          <w:sz w:val="22"/>
        </w:rPr>
        <w:t>Deuda</w:t>
      </w:r>
      <w:r>
        <w:rPr>
          <w:spacing w:val="-4"/>
          <w:sz w:val="22"/>
        </w:rPr>
        <w:t> </w:t>
      </w:r>
      <w:r>
        <w:rPr>
          <w:sz w:val="22"/>
        </w:rPr>
        <w:t>Pública y las Obligaciones del Estado a Cargo del</w:t>
      </w:r>
      <w:r>
        <w:rPr>
          <w:spacing w:val="-6"/>
          <w:sz w:val="22"/>
        </w:rPr>
        <w:t> </w:t>
      </w:r>
      <w:r>
        <w:rPr>
          <w:sz w:val="22"/>
        </w:rPr>
        <w:t>Tesoro).</w:t>
      </w:r>
    </w:p>
    <w:p>
      <w:pPr>
        <w:pStyle w:val="BodyText"/>
        <w:spacing w:before="3"/>
        <w:rPr>
          <w:sz w:val="25"/>
        </w:rPr>
      </w:pPr>
    </w:p>
    <w:p>
      <w:pPr>
        <w:pStyle w:val="ListParagraph"/>
        <w:numPr>
          <w:ilvl w:val="1"/>
          <w:numId w:val="56"/>
        </w:numPr>
        <w:tabs>
          <w:tab w:pos="1270" w:val="left" w:leader="none"/>
        </w:tabs>
        <w:spacing w:line="276" w:lineRule="auto" w:before="0" w:after="0"/>
        <w:ind w:left="1270" w:right="1694" w:hanging="538"/>
        <w:jc w:val="both"/>
        <w:rPr>
          <w:sz w:val="22"/>
        </w:rPr>
      </w:pPr>
      <w:r>
        <w:rPr>
          <w:b/>
          <w:sz w:val="22"/>
        </w:rPr>
        <w:t>Gobierno</w:t>
      </w:r>
      <w:r>
        <w:rPr>
          <w:b/>
          <w:spacing w:val="-13"/>
          <w:sz w:val="22"/>
        </w:rPr>
        <w:t> </w:t>
      </w:r>
      <w:r>
        <w:rPr>
          <w:b/>
          <w:sz w:val="22"/>
        </w:rPr>
        <w:t>Central</w:t>
      </w:r>
      <w:r>
        <w:rPr>
          <w:b/>
          <w:spacing w:val="-12"/>
          <w:sz w:val="22"/>
        </w:rPr>
        <w:t> </w:t>
      </w:r>
      <w:r>
        <w:rPr>
          <w:b/>
          <w:sz w:val="22"/>
        </w:rPr>
        <w:t>Extrapresupuestario:</w:t>
      </w:r>
      <w:r>
        <w:rPr>
          <w:b/>
          <w:spacing w:val="-8"/>
          <w:sz w:val="22"/>
        </w:rPr>
        <w:t> </w:t>
      </w:r>
      <w:r>
        <w:rPr>
          <w:sz w:val="22"/>
        </w:rPr>
        <w:t>Son</w:t>
      </w:r>
      <w:r>
        <w:rPr>
          <w:spacing w:val="-11"/>
          <w:sz w:val="22"/>
        </w:rPr>
        <w:t> </w:t>
      </w:r>
      <w:r>
        <w:rPr>
          <w:sz w:val="22"/>
        </w:rPr>
        <w:t>entidades</w:t>
      </w:r>
      <w:r>
        <w:rPr>
          <w:spacing w:val="-10"/>
          <w:sz w:val="22"/>
        </w:rPr>
        <w:t> </w:t>
      </w:r>
      <w:r>
        <w:rPr>
          <w:sz w:val="22"/>
        </w:rPr>
        <w:t>que</w:t>
      </w:r>
      <w:r>
        <w:rPr>
          <w:spacing w:val="-11"/>
          <w:sz w:val="22"/>
        </w:rPr>
        <w:t> </w:t>
      </w:r>
      <w:r>
        <w:rPr>
          <w:sz w:val="22"/>
        </w:rPr>
        <w:t>no</w:t>
      </w:r>
      <w:r>
        <w:rPr>
          <w:spacing w:val="-10"/>
          <w:sz w:val="22"/>
        </w:rPr>
        <w:t> </w:t>
      </w:r>
      <w:r>
        <w:rPr>
          <w:sz w:val="22"/>
        </w:rPr>
        <w:t>dependen</w:t>
      </w:r>
      <w:r>
        <w:rPr>
          <w:spacing w:val="-11"/>
          <w:sz w:val="22"/>
        </w:rPr>
        <w:t> </w:t>
      </w:r>
      <w:r>
        <w:rPr>
          <w:sz w:val="22"/>
        </w:rPr>
        <w:t>de</w:t>
      </w:r>
      <w:r>
        <w:rPr>
          <w:spacing w:val="-10"/>
          <w:sz w:val="22"/>
        </w:rPr>
        <w:t> </w:t>
      </w:r>
      <w:r>
        <w:rPr>
          <w:sz w:val="22"/>
        </w:rPr>
        <w:t>un</w:t>
      </w:r>
      <w:r>
        <w:rPr>
          <w:spacing w:val="-11"/>
          <w:sz w:val="22"/>
        </w:rPr>
        <w:t> </w:t>
      </w:r>
      <w:r>
        <w:rPr>
          <w:sz w:val="22"/>
        </w:rPr>
        <w:t>presupuesto principal o general y en el caso de Guatemala, son principalmente las entidades descentralizadas y autónomas como, por ejemplo, la Universidad de San Carlos de Guatemala.</w:t>
      </w:r>
    </w:p>
    <w:p>
      <w:pPr>
        <w:spacing w:after="0" w:line="276" w:lineRule="auto"/>
        <w:jc w:val="both"/>
        <w:rPr>
          <w:sz w:val="22"/>
        </w:rPr>
        <w:sectPr>
          <w:pgSz w:w="12240" w:h="15840"/>
          <w:pgMar w:header="715" w:footer="688" w:top="1240" w:bottom="880" w:left="1140" w:right="0"/>
        </w:sectPr>
      </w:pPr>
    </w:p>
    <w:p>
      <w:pPr>
        <w:pStyle w:val="ListParagraph"/>
        <w:numPr>
          <w:ilvl w:val="0"/>
          <w:numId w:val="56"/>
        </w:numPr>
        <w:tabs>
          <w:tab w:pos="922" w:val="left" w:leader="none"/>
        </w:tabs>
        <w:spacing w:line="276" w:lineRule="auto" w:before="162" w:after="0"/>
        <w:ind w:left="921" w:right="1700" w:hanging="360"/>
        <w:jc w:val="both"/>
        <w:rPr>
          <w:sz w:val="22"/>
        </w:rPr>
      </w:pPr>
      <w:r>
        <w:rPr>
          <w:b/>
          <w:sz w:val="22"/>
        </w:rPr>
        <w:t>Gobiernos Locales: </w:t>
      </w:r>
      <w:r>
        <w:rPr>
          <w:sz w:val="22"/>
        </w:rPr>
        <w:t>Comprende a las entidades cuya protestad fiscal, legislativa y ejecutiva se extiende</w:t>
      </w:r>
      <w:r>
        <w:rPr>
          <w:spacing w:val="-10"/>
          <w:sz w:val="22"/>
        </w:rPr>
        <w:t> </w:t>
      </w:r>
      <w:r>
        <w:rPr>
          <w:sz w:val="22"/>
        </w:rPr>
        <w:t>sobre</w:t>
      </w:r>
      <w:r>
        <w:rPr>
          <w:spacing w:val="-9"/>
          <w:sz w:val="22"/>
        </w:rPr>
        <w:t> </w:t>
      </w:r>
      <w:r>
        <w:rPr>
          <w:sz w:val="22"/>
        </w:rPr>
        <w:t>áreas</w:t>
      </w:r>
      <w:r>
        <w:rPr>
          <w:spacing w:val="-6"/>
          <w:sz w:val="22"/>
        </w:rPr>
        <w:t> </w:t>
      </w:r>
      <w:r>
        <w:rPr>
          <w:sz w:val="22"/>
        </w:rPr>
        <w:t>geográficas</w:t>
      </w:r>
      <w:r>
        <w:rPr>
          <w:spacing w:val="-9"/>
          <w:sz w:val="22"/>
        </w:rPr>
        <w:t> </w:t>
      </w:r>
      <w:r>
        <w:rPr>
          <w:sz w:val="22"/>
        </w:rPr>
        <w:t>específicas</w:t>
      </w:r>
      <w:r>
        <w:rPr>
          <w:spacing w:val="-6"/>
          <w:sz w:val="22"/>
        </w:rPr>
        <w:t> </w:t>
      </w:r>
      <w:r>
        <w:rPr>
          <w:sz w:val="22"/>
        </w:rPr>
        <w:t>y</w:t>
      </w:r>
      <w:r>
        <w:rPr>
          <w:spacing w:val="-10"/>
          <w:sz w:val="22"/>
        </w:rPr>
        <w:t> </w:t>
      </w:r>
      <w:r>
        <w:rPr>
          <w:sz w:val="22"/>
        </w:rPr>
        <w:t>delimitadas,</w:t>
      </w:r>
      <w:r>
        <w:rPr>
          <w:spacing w:val="-7"/>
          <w:sz w:val="22"/>
        </w:rPr>
        <w:t> </w:t>
      </w:r>
      <w:r>
        <w:rPr>
          <w:sz w:val="22"/>
        </w:rPr>
        <w:t>en</w:t>
      </w:r>
      <w:r>
        <w:rPr>
          <w:spacing w:val="-7"/>
          <w:sz w:val="22"/>
        </w:rPr>
        <w:t> </w:t>
      </w:r>
      <w:r>
        <w:rPr>
          <w:sz w:val="22"/>
        </w:rPr>
        <w:t>el</w:t>
      </w:r>
      <w:r>
        <w:rPr>
          <w:spacing w:val="-6"/>
          <w:sz w:val="22"/>
        </w:rPr>
        <w:t> </w:t>
      </w:r>
      <w:r>
        <w:rPr>
          <w:sz w:val="22"/>
        </w:rPr>
        <w:t>caso</w:t>
      </w:r>
      <w:r>
        <w:rPr>
          <w:spacing w:val="-7"/>
          <w:sz w:val="22"/>
        </w:rPr>
        <w:t> </w:t>
      </w:r>
      <w:r>
        <w:rPr>
          <w:sz w:val="22"/>
        </w:rPr>
        <w:t>de</w:t>
      </w:r>
      <w:r>
        <w:rPr>
          <w:spacing w:val="-7"/>
          <w:sz w:val="22"/>
        </w:rPr>
        <w:t> </w:t>
      </w:r>
      <w:r>
        <w:rPr>
          <w:sz w:val="22"/>
        </w:rPr>
        <w:t>Guatemala,</w:t>
      </w:r>
      <w:r>
        <w:rPr>
          <w:spacing w:val="-7"/>
          <w:sz w:val="22"/>
        </w:rPr>
        <w:t> </w:t>
      </w:r>
      <w:r>
        <w:rPr>
          <w:sz w:val="22"/>
        </w:rPr>
        <w:t>se</w:t>
      </w:r>
      <w:r>
        <w:rPr>
          <w:spacing w:val="-10"/>
          <w:sz w:val="22"/>
        </w:rPr>
        <w:t> </w:t>
      </w:r>
      <w:r>
        <w:rPr>
          <w:sz w:val="22"/>
        </w:rPr>
        <w:t>conforma por las municipalidades y las</w:t>
      </w:r>
      <w:r>
        <w:rPr>
          <w:spacing w:val="-3"/>
          <w:sz w:val="22"/>
        </w:rPr>
        <w:t> </w:t>
      </w:r>
      <w:r>
        <w:rPr>
          <w:sz w:val="22"/>
        </w:rPr>
        <w:t>mancomunidades.</w:t>
      </w:r>
    </w:p>
    <w:p>
      <w:pPr>
        <w:pStyle w:val="BodyText"/>
        <w:rPr>
          <w:sz w:val="24"/>
        </w:rPr>
      </w:pPr>
    </w:p>
    <w:p>
      <w:pPr>
        <w:pStyle w:val="ListParagraph"/>
        <w:numPr>
          <w:ilvl w:val="0"/>
          <w:numId w:val="56"/>
        </w:numPr>
        <w:tabs>
          <w:tab w:pos="922" w:val="left" w:leader="none"/>
        </w:tabs>
        <w:spacing w:line="276" w:lineRule="auto" w:before="174" w:after="0"/>
        <w:ind w:left="921" w:right="1699" w:hanging="360"/>
        <w:jc w:val="both"/>
        <w:rPr>
          <w:sz w:val="22"/>
        </w:rPr>
      </w:pPr>
      <w:r>
        <w:rPr>
          <w:b/>
          <w:sz w:val="22"/>
        </w:rPr>
        <w:t>Fondos de Seguridad Social: </w:t>
      </w:r>
      <w:r>
        <w:rPr>
          <w:sz w:val="22"/>
        </w:rPr>
        <w:t>Son entidades dedicadas a realizar operaciones de sistemas de seguridad</w:t>
      </w:r>
      <w:r>
        <w:rPr>
          <w:spacing w:val="-12"/>
          <w:sz w:val="22"/>
        </w:rPr>
        <w:t> </w:t>
      </w:r>
      <w:r>
        <w:rPr>
          <w:sz w:val="22"/>
        </w:rPr>
        <w:t>social,</w:t>
      </w:r>
      <w:r>
        <w:rPr>
          <w:spacing w:val="-13"/>
          <w:sz w:val="22"/>
        </w:rPr>
        <w:t> </w:t>
      </w:r>
      <w:r>
        <w:rPr>
          <w:sz w:val="22"/>
        </w:rPr>
        <w:t>es</w:t>
      </w:r>
      <w:r>
        <w:rPr>
          <w:spacing w:val="-13"/>
          <w:sz w:val="22"/>
        </w:rPr>
        <w:t> </w:t>
      </w:r>
      <w:r>
        <w:rPr>
          <w:sz w:val="22"/>
        </w:rPr>
        <w:t>decir,</w:t>
      </w:r>
      <w:r>
        <w:rPr>
          <w:spacing w:val="-14"/>
          <w:sz w:val="22"/>
        </w:rPr>
        <w:t> </w:t>
      </w:r>
      <w:r>
        <w:rPr>
          <w:sz w:val="22"/>
        </w:rPr>
        <w:t>que</w:t>
      </w:r>
      <w:r>
        <w:rPr>
          <w:spacing w:val="-11"/>
          <w:sz w:val="22"/>
        </w:rPr>
        <w:t> </w:t>
      </w:r>
      <w:r>
        <w:rPr>
          <w:sz w:val="22"/>
        </w:rPr>
        <w:t>busquen</w:t>
      </w:r>
      <w:r>
        <w:rPr>
          <w:spacing w:val="-13"/>
          <w:sz w:val="22"/>
        </w:rPr>
        <w:t> </w:t>
      </w:r>
      <w:r>
        <w:rPr>
          <w:sz w:val="22"/>
        </w:rPr>
        <w:t>cubrir</w:t>
      </w:r>
      <w:r>
        <w:rPr>
          <w:spacing w:val="-11"/>
          <w:sz w:val="22"/>
        </w:rPr>
        <w:t> </w:t>
      </w:r>
      <w:r>
        <w:rPr>
          <w:sz w:val="22"/>
        </w:rPr>
        <w:t>a</w:t>
      </w:r>
      <w:r>
        <w:rPr>
          <w:spacing w:val="-13"/>
          <w:sz w:val="22"/>
        </w:rPr>
        <w:t> </w:t>
      </w:r>
      <w:r>
        <w:rPr>
          <w:sz w:val="22"/>
        </w:rPr>
        <w:t>la</w:t>
      </w:r>
      <w:r>
        <w:rPr>
          <w:spacing w:val="-13"/>
          <w:sz w:val="22"/>
        </w:rPr>
        <w:t> </w:t>
      </w:r>
      <w:r>
        <w:rPr>
          <w:sz w:val="22"/>
        </w:rPr>
        <w:t>comunidad</w:t>
      </w:r>
      <w:r>
        <w:rPr>
          <w:spacing w:val="-14"/>
          <w:sz w:val="22"/>
        </w:rPr>
        <w:t> </w:t>
      </w:r>
      <w:r>
        <w:rPr>
          <w:sz w:val="22"/>
        </w:rPr>
        <w:t>ante</w:t>
      </w:r>
      <w:r>
        <w:rPr>
          <w:spacing w:val="-13"/>
          <w:sz w:val="22"/>
        </w:rPr>
        <w:t> </w:t>
      </w:r>
      <w:r>
        <w:rPr>
          <w:sz w:val="22"/>
        </w:rPr>
        <w:t>riesgos</w:t>
      </w:r>
      <w:r>
        <w:rPr>
          <w:spacing w:val="-10"/>
          <w:sz w:val="22"/>
        </w:rPr>
        <w:t> </w:t>
      </w:r>
      <w:r>
        <w:rPr>
          <w:sz w:val="22"/>
        </w:rPr>
        <w:t>sociales.</w:t>
      </w:r>
      <w:r>
        <w:rPr>
          <w:spacing w:val="-14"/>
          <w:sz w:val="22"/>
        </w:rPr>
        <w:t> </w:t>
      </w:r>
      <w:r>
        <w:rPr>
          <w:sz w:val="22"/>
        </w:rPr>
        <w:t>En</w:t>
      </w:r>
      <w:r>
        <w:rPr>
          <w:spacing w:val="-11"/>
          <w:sz w:val="22"/>
        </w:rPr>
        <w:t> </w:t>
      </w:r>
      <w:r>
        <w:rPr>
          <w:sz w:val="22"/>
        </w:rPr>
        <w:t>Guatemala este grupo institucional se conforma por el Instituto Guatemalteco de Seguridad Social, el Instituto de Previsión Militar y el Plan de Prestaciones del Empleado</w:t>
      </w:r>
      <w:r>
        <w:rPr>
          <w:spacing w:val="-12"/>
          <w:sz w:val="22"/>
        </w:rPr>
        <w:t> </w:t>
      </w:r>
      <w:r>
        <w:rPr>
          <w:sz w:val="22"/>
        </w:rPr>
        <w:t>Municipal.</w:t>
      </w:r>
    </w:p>
    <w:p>
      <w:pPr>
        <w:pStyle w:val="BodyText"/>
        <w:rPr>
          <w:sz w:val="24"/>
        </w:rPr>
      </w:pPr>
    </w:p>
    <w:p>
      <w:pPr>
        <w:pStyle w:val="Heading3"/>
        <w:spacing w:before="197"/>
        <w:ind w:left="2590"/>
      </w:pPr>
      <w:r>
        <w:rPr/>
        <w:t>Sectorización del Sector Público según MEFP 2014</w:t>
      </w:r>
    </w:p>
    <w:p>
      <w:pPr>
        <w:pStyle w:val="BodyText"/>
        <w:spacing w:before="6"/>
        <w:rPr>
          <w:b/>
          <w:sz w:val="23"/>
        </w:rPr>
      </w:pPr>
      <w:r>
        <w:rPr/>
        <w:pict>
          <v:group style="position:absolute;margin-left:85.103996pt;margin-top:15.502565pt;width:453.2pt;height:223.45pt;mso-position-horizontal-relative:page;mso-position-vertical-relative:paragraph;z-index:-250010624;mso-wrap-distance-left:0;mso-wrap-distance-right:0" coordorigin="1702,310" coordsize="9064,4469">
            <v:shape style="position:absolute;left:6943;top:3595;width:305;height:327" coordorigin="6943,3596" coordsize="305,327" path="m6943,3596l7095,3596,7095,3923,7247,3923e" filled="false" stroked="true" strokeweight=".96pt" strokecolor="#5b9bd4">
              <v:path arrowok="t"/>
              <v:stroke dashstyle="solid"/>
            </v:shape>
            <v:shape style="position:absolute;left:6943;top:3266;width:305;height:327" coordorigin="6943,3267" coordsize="305,327" path="m6943,3594l7095,3594,7095,3267,7247,3267e" filled="false" stroked="true" strokeweight=".96pt" strokecolor="#5b9bd4">
              <v:path arrowok="t"/>
              <v:stroke dashstyle="solid"/>
            </v:shape>
            <v:shape style="position:absolute;left:5116;top:3266;width:305;height:327" coordorigin="5117,3267" coordsize="305,327" path="m5117,3267l5269,3267,5269,3594,5421,3594e" filled="false" stroked="true" strokeweight=".96pt" strokecolor="#6fac46">
              <v:path arrowok="t"/>
              <v:stroke dashstyle="solid"/>
            </v:shape>
            <v:shape style="position:absolute;left:5116;top:2940;width:305;height:327" coordorigin="5117,2940" coordsize="305,327" path="m5117,3267l5269,3267,5269,2940,5421,2940e" filled="false" stroked="true" strokeweight=".96pt" strokecolor="#6fac46">
              <v:path arrowok="t"/>
              <v:stroke dashstyle="solid"/>
            </v:shape>
            <v:shape style="position:absolute;left:3290;top:2448;width:305;height:818" coordorigin="3290,2448" coordsize="305,818" path="m3290,2448l3443,2448,3443,3266,3595,3266e" filled="false" stroked="true" strokeweight=".96pt" strokecolor="#4471c4">
              <v:path arrowok="t"/>
              <v:stroke dashstyle="solid"/>
            </v:shape>
            <v:shape style="position:absolute;left:3290;top:1706;width:343;height:742" coordorigin="3290,1707" coordsize="343,742" path="m3290,2448l3481,2448,3481,1707,3633,1707e" filled="false" stroked="true" strokeweight=".96pt" strokecolor="#4471c4">
              <v:path arrowok="t"/>
              <v:stroke dashstyle="solid"/>
            </v:shape>
            <v:shape style="position:absolute;left:1706;top:2638;width:1723;height:665" type="#_x0000_t75" stroked="false">
              <v:imagedata r:id="rId365" o:title=""/>
            </v:shape>
            <v:shape style="position:absolute;left:1718;top:2081;width:1694;height:636" type="#_x0000_t75" stroked="false">
              <v:imagedata r:id="rId366" o:title=""/>
            </v:shape>
            <v:shape style="position:absolute;left:1924;top:2174;width:1279;height:477" type="#_x0000_t75" stroked="false">
              <v:imagedata r:id="rId367" o:title=""/>
            </v:shape>
            <v:shape style="position:absolute;left:5155;top:1706;width:267;height:578" coordorigin="5155,1707" coordsize="267,578" path="m5155,1707l5269,1707,5269,2285,5421,2285e" filled="false" stroked="true" strokeweight=".96pt" strokecolor="#6fac46">
              <v:path arrowok="t"/>
              <v:stroke dashstyle="solid"/>
            </v:shape>
            <v:shape style="position:absolute;left:5155;top:1632;width:267;height:76" coordorigin="5155,1632" coordsize="267,76" path="m5155,1708l5269,1708,5269,1632,5421,1632e" filled="false" stroked="true" strokeweight=".96pt" strokecolor="#6fac46">
              <v:path arrowok="t"/>
              <v:stroke dashstyle="solid"/>
            </v:shape>
            <v:shape style="position:absolute;left:5155;top:977;width:267;height:731" coordorigin="5155,977" coordsize="267,731" path="m5155,1707l5269,1707,5269,977,5421,977e" filled="false" stroked="true" strokeweight=".96pt" strokecolor="#6fac46">
              <v:path arrowok="t"/>
              <v:stroke dashstyle="solid"/>
            </v:shape>
            <v:shape style="position:absolute;left:3571;top:1896;width:1723;height:665" type="#_x0000_t75" stroked="false">
              <v:imagedata r:id="rId368" o:title=""/>
            </v:shape>
            <v:shape style="position:absolute;left:3583;top:1339;width:1694;height:636" type="#_x0000_t75" stroked="false">
              <v:imagedata r:id="rId366" o:title=""/>
            </v:shape>
            <v:shape style="position:absolute;left:3686;top:1433;width:1483;height:477" type="#_x0000_t75" stroked="false">
              <v:imagedata r:id="rId369" o:title=""/>
            </v:shape>
            <v:rect style="position:absolute;left:3633;top:1476;width:1522;height:464" filled="true" fillcolor="#4471c4" stroked="false">
              <v:fill type="solid"/>
            </v:rect>
            <v:shape style="position:absolute;left:6943;top:977;width:305;height:327" coordorigin="6943,977" coordsize="305,327" path="m6943,977l7095,977,7095,1304,7247,1304e" filled="false" stroked="true" strokeweight=".96pt" strokecolor="#5b9bd4">
              <v:path arrowok="t"/>
              <v:stroke dashstyle="solid"/>
            </v:shape>
            <v:shape style="position:absolute;left:6943;top:689;width:305;height:288" coordorigin="6943,689" coordsize="305,288" path="m6943,977l7095,977,7095,689,7247,689e" filled="false" stroked="true" strokeweight=".96pt" strokecolor="#5b9bd4">
              <v:path arrowok="t"/>
              <v:stroke dashstyle="solid"/>
            </v:shape>
            <v:shape style="position:absolute;left:5359;top:1166;width:1723;height:667" type="#_x0000_t75" stroked="false">
              <v:imagedata r:id="rId370" o:title=""/>
            </v:shape>
            <v:shape style="position:absolute;left:5371;top:607;width:1694;height:638" type="#_x0000_t75" stroked="false">
              <v:imagedata r:id="rId371" o:title=""/>
            </v:shape>
            <v:shape style="position:absolute;left:5488;top:701;width:1454;height:477" type="#_x0000_t75" stroked="false">
              <v:imagedata r:id="rId372" o:title=""/>
            </v:shape>
            <v:rect style="position:absolute;left:5421;top:744;width:1522;height:466" filled="true" fillcolor="#6fac46" stroked="false">
              <v:fill type="solid"/>
            </v:rect>
            <v:shape style="position:absolute;left:7176;top:890;width:1745;height:689" type="#_x0000_t75" stroked="false">
              <v:imagedata r:id="rId373" o:title=""/>
            </v:shape>
            <v:shape style="position:absolute;left:7188;top:310;width:1716;height:660" type="#_x0000_t75" stroked="false">
              <v:imagedata r:id="rId374" o:title=""/>
            </v:shape>
            <v:shape style="position:absolute;left:7401;top:415;width:1284;height:475" type="#_x0000_t75" stroked="false">
              <v:imagedata r:id="rId375" o:title=""/>
            </v:shape>
            <v:rect style="position:absolute;left:7249;top:457;width:1522;height:466" filled="true" fillcolor="#fff1cc" stroked="false">
              <v:fill type="solid"/>
            </v:rect>
            <v:shape style="position:absolute;left:7185;top:1493;width:1723;height:667" type="#_x0000_t75" stroked="false">
              <v:imagedata r:id="rId376" o:title=""/>
            </v:shape>
            <v:shape style="position:absolute;left:7197;top:934;width:1694;height:638" type="#_x0000_t75" stroked="false">
              <v:imagedata r:id="rId371" o:title=""/>
            </v:shape>
            <v:shape style="position:absolute;left:7233;top:1029;width:1658;height:477" type="#_x0000_t75" stroked="false">
              <v:imagedata r:id="rId377" o:title=""/>
            </v:shape>
            <v:shape style="position:absolute;left:5359;top:1819;width:1723;height:665" type="#_x0000_t75" stroked="false">
              <v:imagedata r:id="rId378" o:title=""/>
            </v:shape>
            <v:shape style="position:absolute;left:5371;top:1262;width:1694;height:636" type="#_x0000_t75" stroked="false">
              <v:imagedata r:id="rId379" o:title=""/>
            </v:shape>
            <v:shape style="position:absolute;left:5479;top:1356;width:1474;height:477" type="#_x0000_t75" stroked="false">
              <v:imagedata r:id="rId380" o:title=""/>
            </v:shape>
            <v:rect style="position:absolute;left:5421;top:1399;width:1522;height:464" filled="true" fillcolor="#6fac46" stroked="false">
              <v:fill type="solid"/>
            </v:rect>
            <v:shape style="position:absolute;left:5359;top:2460;width:1759;height:679" type="#_x0000_t75" stroked="false">
              <v:imagedata r:id="rId381" o:title=""/>
            </v:shape>
            <v:shape style="position:absolute;left:5371;top:1917;width:1694;height:636" type="#_x0000_t75" stroked="false">
              <v:imagedata r:id="rId379" o:title=""/>
            </v:shape>
            <v:shape style="position:absolute;left:5368;top:1927;width:1730;height:643" type="#_x0000_t75" stroked="false">
              <v:imagedata r:id="rId382" o:title=""/>
            </v:shape>
            <v:rect style="position:absolute;left:5421;top:2054;width:1522;height:464" filled="true" fillcolor="#6fac46" stroked="false">
              <v:fill type="solid"/>
            </v:rect>
            <v:shape style="position:absolute;left:3532;top:3456;width:1723;height:665" type="#_x0000_t75" stroked="false">
              <v:imagedata r:id="rId368" o:title=""/>
            </v:shape>
            <v:shape style="position:absolute;left:3544;top:2899;width:1694;height:636" type="#_x0000_t75" stroked="false">
              <v:imagedata r:id="rId379" o:title=""/>
            </v:shape>
            <v:shape style="position:absolute;left:3566;top:2993;width:1646;height:477" type="#_x0000_t75" stroked="false">
              <v:imagedata r:id="rId383" o:title=""/>
            </v:shape>
            <v:rect style="position:absolute;left:3595;top:3036;width:1522;height:464" filled="true" fillcolor="#4471c4" stroked="false">
              <v:fill type="solid"/>
            </v:rect>
            <v:shape style="position:absolute;left:5359;top:3130;width:1723;height:667" type="#_x0000_t75" stroked="false">
              <v:imagedata r:id="rId370" o:title=""/>
            </v:shape>
            <v:shape style="position:absolute;left:5371;top:2570;width:1694;height:638" type="#_x0000_t75" stroked="false">
              <v:imagedata r:id="rId384" o:title=""/>
            </v:shape>
            <v:shape style="position:absolute;left:5575;top:2666;width:1281;height:475" type="#_x0000_t75" stroked="false">
              <v:imagedata r:id="rId385" o:title=""/>
            </v:shape>
            <v:rect style="position:absolute;left:5421;top:2707;width:1522;height:466" filled="true" fillcolor="#6fac46" stroked="false">
              <v:fill type="solid"/>
            </v:rect>
            <v:shape style="position:absolute;left:5359;top:3782;width:1723;height:665" type="#_x0000_t75" stroked="false">
              <v:imagedata r:id="rId378" o:title=""/>
            </v:shape>
            <v:shape style="position:absolute;left:5371;top:3225;width:1694;height:636" type="#_x0000_t75" stroked="false">
              <v:imagedata r:id="rId386" o:title=""/>
            </v:shape>
            <v:shape style="position:absolute;left:5676;top:3319;width:1080;height:477" type="#_x0000_t75" stroked="false">
              <v:imagedata r:id="rId387" o:title=""/>
            </v:shape>
            <v:rect style="position:absolute;left:5421;top:3362;width:1522;height:464" filled="true" fillcolor="#6fac46" stroked="false">
              <v:fill type="solid"/>
            </v:rect>
            <v:shape style="position:absolute;left:8769;top:3266;width:305;height:327" coordorigin="8770,3267" coordsize="305,327" path="m8770,3267l8922,3267,8922,3594,9074,3594e" filled="false" stroked="true" strokeweight=".96pt" strokecolor="#5b9bd4">
              <v:path arrowok="t"/>
              <v:stroke dashstyle="solid"/>
            </v:shape>
            <v:shape style="position:absolute;left:8769;top:2940;width:305;height:327" coordorigin="8770,2940" coordsize="305,327" path="m8770,3267l8922,3267,8922,2940,9074,2940e" filled="false" stroked="true" strokeweight=".96pt" strokecolor="#5b9bd4">
              <v:path arrowok="t"/>
              <v:stroke dashstyle="solid"/>
            </v:shape>
            <v:shape style="position:absolute;left:7185;top:3456;width:1723;height:665" type="#_x0000_t75" stroked="false">
              <v:imagedata r:id="rId388" o:title=""/>
            </v:shape>
            <v:shape style="position:absolute;left:7197;top:2899;width:1694;height:636" type="#_x0000_t75" stroked="false">
              <v:imagedata r:id="rId386" o:title=""/>
            </v:shape>
            <v:shape style="position:absolute;left:7488;top:2993;width:1109;height:477" type="#_x0000_t75" stroked="false">
              <v:imagedata r:id="rId389" o:title=""/>
            </v:shape>
            <v:rect style="position:absolute;left:7248;top:3036;width:1522;height:464" filled="true" fillcolor="#5b9bd4" stroked="false">
              <v:fill type="solid"/>
            </v:rect>
            <v:shape style="position:absolute;left:9012;top:3130;width:1723;height:667" type="#_x0000_t75" stroked="false">
              <v:imagedata r:id="rId390" o:title=""/>
            </v:shape>
            <v:shape style="position:absolute;left:9024;top:2570;width:1694;height:638" type="#_x0000_t75" stroked="false">
              <v:imagedata r:id="rId391" o:title=""/>
            </v:shape>
            <v:shape style="position:absolute;left:9242;top:2666;width:1260;height:475" type="#_x0000_t75" stroked="false">
              <v:imagedata r:id="rId392" o:title=""/>
            </v:shape>
            <v:rect style="position:absolute;left:9074;top:2707;width:1522;height:466" filled="true" fillcolor="#aeabab" stroked="false">
              <v:fill type="solid"/>
            </v:rect>
            <v:shape style="position:absolute;left:9012;top:3766;width:1755;height:682" type="#_x0000_t75" stroked="false">
              <v:imagedata r:id="rId393" o:title=""/>
            </v:shape>
            <v:shape style="position:absolute;left:9024;top:3225;width:1694;height:636" type="#_x0000_t75" stroked="false">
              <v:imagedata r:id="rId394" o:title=""/>
            </v:shape>
            <v:shape style="position:absolute;left:9028;top:3238;width:1721;height:641" type="#_x0000_t75" stroked="false">
              <v:imagedata r:id="rId395" o:title=""/>
            </v:shape>
            <v:rect style="position:absolute;left:9074;top:3362;width:1522;height:464" filled="true" fillcolor="#aeabab" stroked="false">
              <v:fill type="solid"/>
            </v:rect>
            <v:shape style="position:absolute;left:7185;top:4097;width:1723;height:682" type="#_x0000_t75" stroked="false">
              <v:imagedata r:id="rId396" o:title=""/>
            </v:shape>
            <v:shape style="position:absolute;left:7197;top:3552;width:1694;height:638" type="#_x0000_t75" stroked="false">
              <v:imagedata r:id="rId397" o:title=""/>
            </v:shape>
            <v:shape style="position:absolute;left:7233;top:3564;width:1620;height:643" type="#_x0000_t75" stroked="false">
              <v:imagedata r:id="rId398" o:title=""/>
            </v:shape>
            <v:rect style="position:absolute;left:7248;top:3689;width:1522;height:466" filled="true" fillcolor="#5b9bd4" stroked="false">
              <v:fill type="solid"/>
            </v:rect>
            <v:shape style="position:absolute;left:1702;top:4476;width:4012;height:179" type="#_x0000_t202" filled="false" stroked="false">
              <v:textbox inset="0,0,0,0">
                <w:txbxContent>
                  <w:p>
                    <w:pPr>
                      <w:spacing w:line="178" w:lineRule="exact" w:before="0"/>
                      <w:ind w:left="0" w:right="0" w:firstLine="0"/>
                      <w:jc w:val="left"/>
                      <w:rPr>
                        <w:sz w:val="16"/>
                      </w:rPr>
                    </w:pPr>
                    <w:r>
                      <w:rPr>
                        <w:sz w:val="16"/>
                      </w:rPr>
                      <w:t>Fuente: Manual de Estadísticas de las Finanzas Públicas 2014.</w:t>
                    </w:r>
                  </w:p>
                </w:txbxContent>
              </v:textbox>
              <w10:wrap type="none"/>
            </v:shape>
            <v:shape style="position:absolute;left:7248;top:3689;width:1522;height:466" type="#_x0000_t202" filled="false" stroked="true" strokeweight=".96pt" strokecolor="#000000">
              <v:textbox inset="0,0,0,0">
                <w:txbxContent>
                  <w:p>
                    <w:pPr>
                      <w:spacing w:line="216" w:lineRule="auto" w:before="56"/>
                      <w:ind w:left="112" w:right="95" w:firstLine="98"/>
                      <w:jc w:val="left"/>
                      <w:rPr>
                        <w:sz w:val="16"/>
                      </w:rPr>
                    </w:pPr>
                    <w:r>
                      <w:rPr>
                        <w:color w:val="FFFFFF"/>
                        <w:sz w:val="16"/>
                      </w:rPr>
                      <w:t>Otras sociedades públicas financieras</w:t>
                    </w:r>
                  </w:p>
                </w:txbxContent>
              </v:textbox>
              <v:stroke dashstyle="solid"/>
              <w10:wrap type="none"/>
            </v:shape>
            <v:shape style="position:absolute;left:9074;top:3362;width:1522;height:464" type="#_x0000_t202" filled="false" stroked="true" strokeweight=".96pt" strokecolor="#000000">
              <v:textbox inset="0,0,0,0">
                <w:txbxContent>
                  <w:p>
                    <w:pPr>
                      <w:spacing w:line="216" w:lineRule="auto" w:before="55"/>
                      <w:ind w:left="175" w:right="61" w:hanging="96"/>
                      <w:jc w:val="left"/>
                      <w:rPr>
                        <w:sz w:val="16"/>
                      </w:rPr>
                    </w:pPr>
                    <w:r>
                      <w:rPr>
                        <w:color w:val="FFFFFF"/>
                        <w:sz w:val="16"/>
                      </w:rPr>
                      <w:t>De deposito distintas del Banco Central</w:t>
                    </w:r>
                  </w:p>
                </w:txbxContent>
              </v:textbox>
              <v:stroke dashstyle="solid"/>
              <w10:wrap type="none"/>
            </v:shape>
            <v:shape style="position:absolute;left:5421;top:3362;width:1522;height:464" type="#_x0000_t202" filled="false" stroked="true" strokeweight=".96pt" strokecolor="#000000">
              <v:textbox inset="0,0,0,0">
                <w:txbxContent>
                  <w:p>
                    <w:pPr>
                      <w:spacing w:before="123"/>
                      <w:ind w:left="381" w:right="0" w:firstLine="0"/>
                      <w:jc w:val="left"/>
                      <w:rPr>
                        <w:sz w:val="16"/>
                      </w:rPr>
                    </w:pPr>
                    <w:r>
                      <w:rPr>
                        <w:color w:val="FFFFFF"/>
                        <w:sz w:val="16"/>
                      </w:rPr>
                      <w:t>Financieras</w:t>
                    </w:r>
                  </w:p>
                </w:txbxContent>
              </v:textbox>
              <v:stroke dashstyle="solid"/>
              <w10:wrap type="none"/>
            </v:shape>
            <v:shape style="position:absolute;left:7248;top:3036;width:1522;height:464" type="#_x0000_t202" filled="false" stroked="true" strokeweight=".96pt" strokecolor="#000000">
              <v:textbox inset="0,0,0,0">
                <w:txbxContent>
                  <w:p>
                    <w:pPr>
                      <w:spacing w:before="122"/>
                      <w:ind w:left="366" w:right="0" w:firstLine="0"/>
                      <w:jc w:val="left"/>
                      <w:rPr>
                        <w:sz w:val="16"/>
                      </w:rPr>
                    </w:pPr>
                    <w:r>
                      <w:rPr>
                        <w:color w:val="FFFFFF"/>
                        <w:sz w:val="16"/>
                      </w:rPr>
                      <w:t>De deposito</w:t>
                    </w:r>
                  </w:p>
                </w:txbxContent>
              </v:textbox>
              <v:stroke dashstyle="solid"/>
              <w10:wrap type="none"/>
            </v:shape>
            <v:shape style="position:absolute;left:3614;top:3036;width:1522;height:464" type="#_x0000_t202" filled="false" stroked="true" strokeweight=".96pt" strokecolor="#000000">
              <v:textbox inset="0,0,0,0">
                <w:txbxContent>
                  <w:p>
                    <w:pPr>
                      <w:spacing w:before="122"/>
                      <w:ind w:left="78" w:right="0" w:firstLine="0"/>
                      <w:jc w:val="left"/>
                      <w:rPr>
                        <w:sz w:val="16"/>
                      </w:rPr>
                    </w:pPr>
                    <w:r>
                      <w:rPr>
                        <w:color w:val="FFFFFF"/>
                        <w:sz w:val="16"/>
                      </w:rPr>
                      <w:t>Sociedades Públicas</w:t>
                    </w:r>
                  </w:p>
                </w:txbxContent>
              </v:textbox>
              <v:stroke dashstyle="solid"/>
              <w10:wrap type="none"/>
            </v:shape>
            <v:shape style="position:absolute;left:9074;top:2707;width:1522;height:466" type="#_x0000_t202" filled="false" stroked="true" strokeweight=".96pt" strokecolor="#000000">
              <v:textbox inset="0,0,0,0">
                <w:txbxContent>
                  <w:p>
                    <w:pPr>
                      <w:spacing w:before="124"/>
                      <w:ind w:left="292" w:right="0" w:firstLine="0"/>
                      <w:jc w:val="left"/>
                      <w:rPr>
                        <w:sz w:val="16"/>
                      </w:rPr>
                    </w:pPr>
                    <w:r>
                      <w:rPr>
                        <w:color w:val="FFFFFF"/>
                        <w:sz w:val="16"/>
                      </w:rPr>
                      <w:t>Banco Central</w:t>
                    </w:r>
                  </w:p>
                </w:txbxContent>
              </v:textbox>
              <v:stroke dashstyle="solid"/>
              <w10:wrap type="none"/>
            </v:shape>
            <v:shape style="position:absolute;left:5421;top:2707;width:1522;height:466" type="#_x0000_t202" filled="false" stroked="true" strokeweight=".96pt" strokecolor="#000000">
              <v:textbox inset="0,0,0,0">
                <w:txbxContent>
                  <w:p>
                    <w:pPr>
                      <w:spacing w:before="124"/>
                      <w:ind w:left="280" w:right="0" w:firstLine="0"/>
                      <w:jc w:val="left"/>
                      <w:rPr>
                        <w:sz w:val="16"/>
                      </w:rPr>
                    </w:pPr>
                    <w:r>
                      <w:rPr>
                        <w:color w:val="FFFFFF"/>
                        <w:sz w:val="16"/>
                      </w:rPr>
                      <w:t>No financieras</w:t>
                    </w:r>
                  </w:p>
                </w:txbxContent>
              </v:textbox>
              <v:stroke dashstyle="solid"/>
              <w10:wrap type="none"/>
            </v:shape>
            <v:shape style="position:absolute;left:5421;top:2054;width:1522;height:464" type="#_x0000_t202" filled="false" stroked="true" strokeweight=".96pt" strokecolor="#000000">
              <v:textbox inset="0,0,0,0">
                <w:txbxContent>
                  <w:p>
                    <w:pPr>
                      <w:spacing w:line="216" w:lineRule="auto" w:before="54"/>
                      <w:ind w:left="551" w:right="58" w:hanging="478"/>
                      <w:jc w:val="left"/>
                      <w:rPr>
                        <w:sz w:val="16"/>
                      </w:rPr>
                    </w:pPr>
                    <w:r>
                      <w:rPr>
                        <w:color w:val="FFFFFF"/>
                        <w:sz w:val="16"/>
                      </w:rPr>
                      <w:t>Fondos de Seguridad Social</w:t>
                    </w:r>
                  </w:p>
                </w:txbxContent>
              </v:textbox>
              <v:stroke dashstyle="solid"/>
              <w10:wrap type="none"/>
            </v:shape>
            <v:shape style="position:absolute;left:5421;top:1438;width:1522;height:464" type="#_x0000_t202" filled="false" stroked="true" strokeweight=".96pt" strokecolor="#000000">
              <v:textbox inset="0,0,0,0">
                <w:txbxContent>
                  <w:p>
                    <w:pPr>
                      <w:spacing w:before="84"/>
                      <w:ind w:left="184" w:right="0" w:firstLine="0"/>
                      <w:jc w:val="left"/>
                      <w:rPr>
                        <w:sz w:val="16"/>
                      </w:rPr>
                    </w:pPr>
                    <w:r>
                      <w:rPr>
                        <w:color w:val="FFFFFF"/>
                        <w:sz w:val="16"/>
                      </w:rPr>
                      <w:t>Gobierno Locales</w:t>
                    </w:r>
                  </w:p>
                </w:txbxContent>
              </v:textbox>
              <v:stroke dashstyle="solid"/>
              <w10:wrap type="none"/>
            </v:shape>
            <v:shape style="position:absolute;left:3614;top:1438;width:1522;height:464" type="#_x0000_t202" filled="false" stroked="true" strokeweight=".96pt" strokecolor="#000000">
              <v:textbox inset="0,0,0,0">
                <w:txbxContent>
                  <w:p>
                    <w:pPr>
                      <w:spacing w:before="160"/>
                      <w:ind w:left="197" w:right="0" w:firstLine="0"/>
                      <w:jc w:val="left"/>
                      <w:rPr>
                        <w:sz w:val="16"/>
                      </w:rPr>
                    </w:pPr>
                    <w:r>
                      <w:rPr>
                        <w:color w:val="FFFFFF"/>
                        <w:sz w:val="16"/>
                      </w:rPr>
                      <w:t>Gobierno General</w:t>
                    </w:r>
                  </w:p>
                </w:txbxContent>
              </v:textbox>
              <v:stroke dashstyle="solid"/>
              <w10:wrap type="none"/>
            </v:shape>
            <v:shape style="position:absolute;left:7248;top:1070;width:1522;height:466" type="#_x0000_t202" filled="true" fillcolor="#5b9bd4" stroked="true" strokeweight=".96pt" strokecolor="#000000">
              <v:textbox inset="0,0,0,0">
                <w:txbxContent>
                  <w:p>
                    <w:pPr>
                      <w:spacing w:before="124"/>
                      <w:ind w:left="109" w:right="0" w:firstLine="0"/>
                      <w:jc w:val="left"/>
                      <w:rPr>
                        <w:sz w:val="16"/>
                      </w:rPr>
                    </w:pPr>
                    <w:r>
                      <w:rPr>
                        <w:color w:val="FFFFFF"/>
                        <w:sz w:val="16"/>
                      </w:rPr>
                      <w:t>Extrapresupuestario</w:t>
                    </w:r>
                  </w:p>
                </w:txbxContent>
              </v:textbox>
              <v:fill type="solid"/>
              <v:stroke dashstyle="solid"/>
              <w10:wrap type="none"/>
            </v:shape>
            <v:shape style="position:absolute;left:5421;top:744;width:1522;height:466" type="#_x0000_t202" filled="false" stroked="true" strokeweight=".96pt" strokecolor="#000000">
              <v:textbox inset="0,0,0,0">
                <w:txbxContent>
                  <w:p>
                    <w:pPr>
                      <w:spacing w:before="123"/>
                      <w:ind w:left="193" w:right="0" w:firstLine="0"/>
                      <w:jc w:val="left"/>
                      <w:rPr>
                        <w:sz w:val="16"/>
                      </w:rPr>
                    </w:pPr>
                    <w:r>
                      <w:rPr>
                        <w:color w:val="FFFFFF"/>
                        <w:sz w:val="16"/>
                      </w:rPr>
                      <w:t>Gobierno Central</w:t>
                    </w:r>
                  </w:p>
                </w:txbxContent>
              </v:textbox>
              <v:stroke dashstyle="solid"/>
              <w10:wrap type="none"/>
            </v:shape>
            <v:shape style="position:absolute;left:7248;top:457;width:1522;height:466" type="#_x0000_t202" filled="false" stroked="true" strokeweight="2.04pt" strokecolor="#ff0000">
              <v:textbox inset="0,0,0,0">
                <w:txbxContent>
                  <w:p>
                    <w:pPr>
                      <w:spacing w:before="112"/>
                      <w:ind w:left="269" w:right="0" w:firstLine="0"/>
                      <w:jc w:val="left"/>
                      <w:rPr>
                        <w:sz w:val="16"/>
                      </w:rPr>
                    </w:pPr>
                    <w:r>
                      <w:rPr>
                        <w:sz w:val="16"/>
                      </w:rPr>
                      <w:t>Presupuestario</w:t>
                    </w:r>
                  </w:p>
                </w:txbxContent>
              </v:textbox>
              <v:stroke dashstyle="shortdash"/>
              <w10:wrap type="none"/>
            </v:shape>
            <v:shape style="position:absolute;left:1768;top:2218;width:1522;height:464" type="#_x0000_t202" filled="true" fillcolor="#a4a4a4" stroked="true" strokeweight=".96pt" strokecolor="#000000">
              <v:textbox inset="0,0,0,0">
                <w:txbxContent>
                  <w:p>
                    <w:pPr>
                      <w:spacing w:before="123"/>
                      <w:ind w:left="281" w:right="0" w:firstLine="0"/>
                      <w:jc w:val="left"/>
                      <w:rPr>
                        <w:sz w:val="16"/>
                      </w:rPr>
                    </w:pPr>
                    <w:r>
                      <w:rPr>
                        <w:color w:val="FFFFFF"/>
                        <w:sz w:val="16"/>
                      </w:rPr>
                      <w:t>Sector Público</w:t>
                    </w:r>
                  </w:p>
                </w:txbxContent>
              </v:textbox>
              <v:fill type="solid"/>
              <v:stroke dashstyle="solid"/>
              <w10:wrap type="none"/>
            </v:shape>
            <w10:wrap type="topAndBottom"/>
          </v:group>
        </w:pict>
      </w:r>
    </w:p>
    <w:p>
      <w:pPr>
        <w:pStyle w:val="ListParagraph"/>
        <w:numPr>
          <w:ilvl w:val="1"/>
          <w:numId w:val="54"/>
        </w:numPr>
        <w:tabs>
          <w:tab w:pos="1282" w:val="left" w:leader="none"/>
        </w:tabs>
        <w:spacing w:line="240" w:lineRule="auto" w:before="115" w:after="0"/>
        <w:ind w:left="1282" w:right="0" w:hanging="361"/>
        <w:jc w:val="left"/>
        <w:rPr>
          <w:b/>
          <w:sz w:val="22"/>
        </w:rPr>
      </w:pPr>
      <w:bookmarkStart w:name="_bookmark241" w:id="319"/>
      <w:bookmarkEnd w:id="319"/>
      <w:r>
        <w:rPr/>
      </w:r>
      <w:bookmarkStart w:name="_bookmark241" w:id="320"/>
      <w:bookmarkEnd w:id="320"/>
      <w:r>
        <w:rPr>
          <w:b/>
          <w:sz w:val="22"/>
        </w:rPr>
        <w:t>L</w:t>
      </w:r>
      <w:r>
        <w:rPr>
          <w:b/>
          <w:sz w:val="22"/>
        </w:rPr>
        <w:t>os Ingresos del Gobierno General</w:t>
      </w:r>
    </w:p>
    <w:p>
      <w:pPr>
        <w:pStyle w:val="BodyText"/>
        <w:spacing w:before="1"/>
        <w:rPr>
          <w:b/>
          <w:sz w:val="28"/>
        </w:rPr>
      </w:pPr>
    </w:p>
    <w:p>
      <w:pPr>
        <w:pStyle w:val="BodyText"/>
        <w:spacing w:line="276" w:lineRule="auto"/>
        <w:ind w:left="562" w:right="1697"/>
        <w:jc w:val="both"/>
      </w:pPr>
      <w:r>
        <w:rPr/>
        <w:t>Al</w:t>
      </w:r>
      <w:r>
        <w:rPr>
          <w:spacing w:val="-12"/>
        </w:rPr>
        <w:t> </w:t>
      </w:r>
      <w:r>
        <w:rPr/>
        <w:t>ampliar</w:t>
      </w:r>
      <w:r>
        <w:rPr>
          <w:spacing w:val="-11"/>
        </w:rPr>
        <w:t> </w:t>
      </w:r>
      <w:r>
        <w:rPr/>
        <w:t>la</w:t>
      </w:r>
      <w:r>
        <w:rPr>
          <w:spacing w:val="-11"/>
        </w:rPr>
        <w:t> </w:t>
      </w:r>
      <w:r>
        <w:rPr/>
        <w:t>cobertura</w:t>
      </w:r>
      <w:r>
        <w:rPr>
          <w:spacing w:val="-14"/>
        </w:rPr>
        <w:t> </w:t>
      </w:r>
      <w:r>
        <w:rPr/>
        <w:t>e</w:t>
      </w:r>
      <w:r>
        <w:rPr>
          <w:spacing w:val="-11"/>
        </w:rPr>
        <w:t> </w:t>
      </w:r>
      <w:r>
        <w:rPr/>
        <w:t>incluir</w:t>
      </w:r>
      <w:r>
        <w:rPr>
          <w:spacing w:val="-11"/>
        </w:rPr>
        <w:t> </w:t>
      </w:r>
      <w:r>
        <w:rPr/>
        <w:t>a</w:t>
      </w:r>
      <w:r>
        <w:rPr>
          <w:spacing w:val="-11"/>
        </w:rPr>
        <w:t> </w:t>
      </w:r>
      <w:r>
        <w:rPr/>
        <w:t>las</w:t>
      </w:r>
      <w:r>
        <w:rPr>
          <w:spacing w:val="-11"/>
        </w:rPr>
        <w:t> </w:t>
      </w:r>
      <w:r>
        <w:rPr/>
        <w:t>entidades</w:t>
      </w:r>
      <w:r>
        <w:rPr>
          <w:spacing w:val="-11"/>
        </w:rPr>
        <w:t> </w:t>
      </w:r>
      <w:r>
        <w:rPr/>
        <w:t>del</w:t>
      </w:r>
      <w:r>
        <w:rPr>
          <w:spacing w:val="-11"/>
        </w:rPr>
        <w:t> </w:t>
      </w:r>
      <w:r>
        <w:rPr/>
        <w:t>Gobierno</w:t>
      </w:r>
      <w:r>
        <w:rPr>
          <w:spacing w:val="-12"/>
        </w:rPr>
        <w:t> </w:t>
      </w:r>
      <w:r>
        <w:rPr/>
        <w:t>Central</w:t>
      </w:r>
      <w:r>
        <w:rPr>
          <w:spacing w:val="-11"/>
        </w:rPr>
        <w:t> </w:t>
      </w:r>
      <w:r>
        <w:rPr/>
        <w:t>Extrapresupuestario,</w:t>
      </w:r>
      <w:r>
        <w:rPr>
          <w:spacing w:val="-12"/>
        </w:rPr>
        <w:t> </w:t>
      </w:r>
      <w:r>
        <w:rPr/>
        <w:t>los</w:t>
      </w:r>
      <w:r>
        <w:rPr>
          <w:spacing w:val="-11"/>
        </w:rPr>
        <w:t> </w:t>
      </w:r>
      <w:r>
        <w:rPr/>
        <w:t>Fondos de</w:t>
      </w:r>
      <w:r>
        <w:rPr>
          <w:spacing w:val="-2"/>
        </w:rPr>
        <w:t> </w:t>
      </w:r>
      <w:r>
        <w:rPr/>
        <w:t>Seguridad</w:t>
      </w:r>
      <w:r>
        <w:rPr>
          <w:spacing w:val="-4"/>
        </w:rPr>
        <w:t> </w:t>
      </w:r>
      <w:r>
        <w:rPr/>
        <w:t>Social</w:t>
      </w:r>
      <w:r>
        <w:rPr>
          <w:spacing w:val="-1"/>
        </w:rPr>
        <w:t> </w:t>
      </w:r>
      <w:r>
        <w:rPr/>
        <w:t>y</w:t>
      </w:r>
      <w:r>
        <w:rPr>
          <w:spacing w:val="-4"/>
        </w:rPr>
        <w:t> </w:t>
      </w:r>
      <w:r>
        <w:rPr/>
        <w:t>los</w:t>
      </w:r>
      <w:r>
        <w:rPr>
          <w:spacing w:val="-2"/>
        </w:rPr>
        <w:t> </w:t>
      </w:r>
      <w:r>
        <w:rPr/>
        <w:t>Gobiernos</w:t>
      </w:r>
      <w:r>
        <w:rPr>
          <w:spacing w:val="-4"/>
        </w:rPr>
        <w:t> </w:t>
      </w:r>
      <w:r>
        <w:rPr/>
        <w:t>Locales</w:t>
      </w:r>
      <w:r>
        <w:rPr>
          <w:spacing w:val="-3"/>
        </w:rPr>
        <w:t> </w:t>
      </w:r>
      <w:r>
        <w:rPr/>
        <w:t>en</w:t>
      </w:r>
      <w:r>
        <w:rPr>
          <w:spacing w:val="-4"/>
        </w:rPr>
        <w:t> </w:t>
      </w:r>
      <w:r>
        <w:rPr/>
        <w:t>conjunto</w:t>
      </w:r>
      <w:r>
        <w:rPr>
          <w:spacing w:val="-5"/>
        </w:rPr>
        <w:t> </w:t>
      </w:r>
      <w:r>
        <w:rPr/>
        <w:t>con</w:t>
      </w:r>
      <w:r>
        <w:rPr>
          <w:spacing w:val="-3"/>
        </w:rPr>
        <w:t> </w:t>
      </w:r>
      <w:r>
        <w:rPr/>
        <w:t>el</w:t>
      </w:r>
      <w:r>
        <w:rPr>
          <w:spacing w:val="-3"/>
        </w:rPr>
        <w:t> </w:t>
      </w:r>
      <w:r>
        <w:rPr/>
        <w:t>Gobierno</w:t>
      </w:r>
      <w:r>
        <w:rPr>
          <w:spacing w:val="-2"/>
        </w:rPr>
        <w:t> </w:t>
      </w:r>
      <w:r>
        <w:rPr/>
        <w:t>Central</w:t>
      </w:r>
      <w:r>
        <w:rPr>
          <w:spacing w:val="-5"/>
        </w:rPr>
        <w:t> </w:t>
      </w:r>
      <w:r>
        <w:rPr/>
        <w:t>Presupuestario,</w:t>
      </w:r>
      <w:r>
        <w:rPr>
          <w:spacing w:val="-5"/>
        </w:rPr>
        <w:t> </w:t>
      </w:r>
      <w:r>
        <w:rPr/>
        <w:t>se observa que los ingresos totales se incrementan en 3.4 puntos porcentuales del PIB, siendo estos el equivalente al 16.2% del PIB en el</w:t>
      </w:r>
      <w:r>
        <w:rPr>
          <w:spacing w:val="-7"/>
        </w:rPr>
        <w:t> </w:t>
      </w:r>
      <w:r>
        <w:rPr/>
        <w:t>2021.</w:t>
      </w:r>
    </w:p>
    <w:p>
      <w:pPr>
        <w:pStyle w:val="BodyText"/>
        <w:spacing w:before="3"/>
        <w:rPr>
          <w:sz w:val="25"/>
        </w:rPr>
      </w:pPr>
    </w:p>
    <w:p>
      <w:pPr>
        <w:pStyle w:val="BodyText"/>
        <w:spacing w:line="276" w:lineRule="auto"/>
        <w:ind w:left="562" w:right="1699"/>
        <w:jc w:val="both"/>
      </w:pPr>
      <w:r>
        <w:rPr/>
        <w:t>En</w:t>
      </w:r>
      <w:r>
        <w:rPr>
          <w:spacing w:val="-8"/>
        </w:rPr>
        <w:t> </w:t>
      </w:r>
      <w:r>
        <w:rPr/>
        <w:t>materia</w:t>
      </w:r>
      <w:r>
        <w:rPr>
          <w:spacing w:val="-6"/>
        </w:rPr>
        <w:t> </w:t>
      </w:r>
      <w:r>
        <w:rPr/>
        <w:t>de</w:t>
      </w:r>
      <w:r>
        <w:rPr>
          <w:spacing w:val="-6"/>
        </w:rPr>
        <w:t> </w:t>
      </w:r>
      <w:r>
        <w:rPr/>
        <w:t>impuestos,</w:t>
      </w:r>
      <w:r>
        <w:rPr>
          <w:spacing w:val="-9"/>
        </w:rPr>
        <w:t> </w:t>
      </w:r>
      <w:r>
        <w:rPr/>
        <w:t>el</w:t>
      </w:r>
      <w:r>
        <w:rPr>
          <w:spacing w:val="-7"/>
        </w:rPr>
        <w:t> </w:t>
      </w:r>
      <w:r>
        <w:rPr/>
        <w:t>aumento</w:t>
      </w:r>
      <w:r>
        <w:rPr>
          <w:spacing w:val="-6"/>
        </w:rPr>
        <w:t> </w:t>
      </w:r>
      <w:r>
        <w:rPr/>
        <w:t>es</w:t>
      </w:r>
      <w:r>
        <w:rPr>
          <w:spacing w:val="-6"/>
        </w:rPr>
        <w:t> </w:t>
      </w:r>
      <w:r>
        <w:rPr/>
        <w:t>de</w:t>
      </w:r>
      <w:r>
        <w:rPr>
          <w:spacing w:val="-7"/>
        </w:rPr>
        <w:t> </w:t>
      </w:r>
      <w:r>
        <w:rPr/>
        <w:t>0.53</w:t>
      </w:r>
      <w:r>
        <w:rPr>
          <w:spacing w:val="-9"/>
        </w:rPr>
        <w:t> </w:t>
      </w:r>
      <w:r>
        <w:rPr/>
        <w:t>puntos</w:t>
      </w:r>
      <w:r>
        <w:rPr>
          <w:spacing w:val="-11"/>
        </w:rPr>
        <w:t> </w:t>
      </w:r>
      <w:r>
        <w:rPr/>
        <w:t>porcentuales</w:t>
      </w:r>
      <w:r>
        <w:rPr>
          <w:spacing w:val="-6"/>
        </w:rPr>
        <w:t> </w:t>
      </w:r>
      <w:r>
        <w:rPr/>
        <w:t>alcanzando</w:t>
      </w:r>
      <w:r>
        <w:rPr>
          <w:spacing w:val="-6"/>
        </w:rPr>
        <w:t> </w:t>
      </w:r>
      <w:r>
        <w:rPr/>
        <w:t>un</w:t>
      </w:r>
      <w:r>
        <w:rPr>
          <w:spacing w:val="-10"/>
        </w:rPr>
        <w:t> </w:t>
      </w:r>
      <w:r>
        <w:rPr/>
        <w:t>12.2%</w:t>
      </w:r>
      <w:r>
        <w:rPr>
          <w:spacing w:val="-5"/>
        </w:rPr>
        <w:t> </w:t>
      </w:r>
      <w:r>
        <w:rPr/>
        <w:t>del</w:t>
      </w:r>
      <w:r>
        <w:rPr>
          <w:spacing w:val="-5"/>
        </w:rPr>
        <w:t> </w:t>
      </w:r>
      <w:r>
        <w:rPr/>
        <w:t>PIB</w:t>
      </w:r>
      <w:r>
        <w:rPr>
          <w:spacing w:val="-7"/>
        </w:rPr>
        <w:t> </w:t>
      </w:r>
      <w:r>
        <w:rPr/>
        <w:t>en dicho año y explicado principalmente por la inclusión de los Gobierno Locales, quienes tienen a </w:t>
      </w:r>
      <w:r>
        <w:rPr>
          <w:spacing w:val="-3"/>
        </w:rPr>
        <w:t>su </w:t>
      </w:r>
      <w:r>
        <w:rPr/>
        <w:t>cargo</w:t>
      </w:r>
      <w:r>
        <w:rPr>
          <w:spacing w:val="-9"/>
        </w:rPr>
        <w:t> </w:t>
      </w:r>
      <w:r>
        <w:rPr/>
        <w:t>la</w:t>
      </w:r>
      <w:r>
        <w:rPr>
          <w:spacing w:val="-8"/>
        </w:rPr>
        <w:t> </w:t>
      </w:r>
      <w:r>
        <w:rPr/>
        <w:t>recaudación</w:t>
      </w:r>
      <w:r>
        <w:rPr>
          <w:spacing w:val="-9"/>
        </w:rPr>
        <w:t> </w:t>
      </w:r>
      <w:r>
        <w:rPr/>
        <w:t>del</w:t>
      </w:r>
      <w:r>
        <w:rPr>
          <w:spacing w:val="-8"/>
        </w:rPr>
        <w:t> </w:t>
      </w:r>
      <w:r>
        <w:rPr/>
        <w:t>IUSI</w:t>
      </w:r>
      <w:r>
        <w:rPr>
          <w:spacing w:val="-10"/>
        </w:rPr>
        <w:t> </w:t>
      </w:r>
      <w:r>
        <w:rPr/>
        <w:t>y</w:t>
      </w:r>
      <w:r>
        <w:rPr>
          <w:spacing w:val="-11"/>
        </w:rPr>
        <w:t> </w:t>
      </w:r>
      <w:r>
        <w:rPr/>
        <w:t>algunas</w:t>
      </w:r>
      <w:r>
        <w:rPr>
          <w:spacing w:val="-7"/>
        </w:rPr>
        <w:t> </w:t>
      </w:r>
      <w:r>
        <w:rPr/>
        <w:t>tasas</w:t>
      </w:r>
      <w:r>
        <w:rPr>
          <w:spacing w:val="-8"/>
        </w:rPr>
        <w:t> </w:t>
      </w:r>
      <w:r>
        <w:rPr/>
        <w:t>que</w:t>
      </w:r>
      <w:r>
        <w:rPr>
          <w:spacing w:val="-11"/>
        </w:rPr>
        <w:t> </w:t>
      </w:r>
      <w:r>
        <w:rPr/>
        <w:t>en</w:t>
      </w:r>
      <w:r>
        <w:rPr>
          <w:spacing w:val="-8"/>
        </w:rPr>
        <w:t> </w:t>
      </w:r>
      <w:r>
        <w:rPr/>
        <w:t>el</w:t>
      </w:r>
      <w:r>
        <w:rPr>
          <w:spacing w:val="-10"/>
        </w:rPr>
        <w:t> </w:t>
      </w:r>
      <w:r>
        <w:rPr/>
        <w:t>estándar</w:t>
      </w:r>
      <w:r>
        <w:rPr>
          <w:spacing w:val="-8"/>
        </w:rPr>
        <w:t> </w:t>
      </w:r>
      <w:r>
        <w:rPr/>
        <w:t>internacional</w:t>
      </w:r>
      <w:r>
        <w:rPr>
          <w:spacing w:val="-8"/>
        </w:rPr>
        <w:t> </w:t>
      </w:r>
      <w:r>
        <w:rPr/>
        <w:t>son</w:t>
      </w:r>
      <w:r>
        <w:rPr>
          <w:spacing w:val="-9"/>
        </w:rPr>
        <w:t> </w:t>
      </w:r>
      <w:r>
        <w:rPr/>
        <w:t>consideradas</w:t>
      </w:r>
      <w:r>
        <w:rPr>
          <w:spacing w:val="-8"/>
        </w:rPr>
        <w:t> </w:t>
      </w:r>
      <w:r>
        <w:rPr/>
        <w:t>como impuestos.</w:t>
      </w:r>
    </w:p>
    <w:p>
      <w:pPr>
        <w:spacing w:after="0" w:line="276" w:lineRule="auto"/>
        <w:jc w:val="both"/>
        <w:sectPr>
          <w:pgSz w:w="12240" w:h="15840"/>
          <w:pgMar w:header="715" w:footer="688" w:top="1240" w:bottom="880" w:left="1140" w:right="0"/>
        </w:sectPr>
      </w:pPr>
    </w:p>
    <w:p>
      <w:pPr>
        <w:pStyle w:val="BodyText"/>
        <w:spacing w:before="4"/>
        <w:rPr>
          <w:sz w:val="9"/>
        </w:rPr>
      </w:pPr>
    </w:p>
    <w:p>
      <w:pPr>
        <w:pStyle w:val="Heading2"/>
        <w:spacing w:before="90"/>
        <w:ind w:left="2818" w:right="3675"/>
        <w:jc w:val="center"/>
      </w:pPr>
      <w:r>
        <w:rPr/>
        <w:t>Impuestos según Estandares Intarnacionales Para el año 2021</w:t>
      </w:r>
    </w:p>
    <w:p>
      <w:pPr>
        <w:pStyle w:val="BodyText"/>
        <w:spacing w:before="1"/>
        <w:ind w:left="1395" w:right="2250"/>
        <w:jc w:val="center"/>
      </w:pPr>
      <w:r>
        <w:rPr/>
        <w:t>Como porcentajes del PIB</w:t>
      </w:r>
    </w:p>
    <w:p>
      <w:pPr>
        <w:tabs>
          <w:tab w:pos="2720" w:val="left" w:leader="none"/>
        </w:tabs>
        <w:spacing w:before="109"/>
        <w:ind w:left="0" w:right="187" w:firstLine="0"/>
        <w:jc w:val="center"/>
        <w:rPr>
          <w:sz w:val="18"/>
        </w:rPr>
      </w:pPr>
      <w:r>
        <w:rPr/>
        <w:pict>
          <v:group style="position:absolute;margin-left:222.600006pt;margin-top:8.402314pt;width:5.2pt;height:5.3pt;mso-position-horizontal-relative:page;mso-position-vertical-relative:paragraph;z-index:253313024" coordorigin="4452,168" coordsize="104,106">
            <v:rect style="position:absolute;left:4459;top:175;width:89;height:92" filled="true" fillcolor="#6fac46" stroked="false">
              <v:fill type="solid"/>
            </v:rect>
            <v:rect style="position:absolute;left:4459;top:175;width:89;height:92" filled="false" stroked="true" strokeweight=".72pt" strokecolor="#000000">
              <v:stroke dashstyle="solid"/>
            </v:rect>
            <w10:wrap type="none"/>
          </v:group>
        </w:pict>
      </w:r>
      <w:r>
        <w:rPr/>
        <w:pict>
          <v:group style="position:absolute;margin-left:358.679993pt;margin-top:8.402314pt;width:5.2pt;height:5.3pt;mso-position-horizontal-relative:page;mso-position-vertical-relative:paragraph;z-index:-280005632" coordorigin="7174,168" coordsize="104,106">
            <v:rect style="position:absolute;left:7180;top:175;width:89;height:92" filled="true" fillcolor="#4471c4" stroked="false">
              <v:fill type="solid"/>
            </v:rect>
            <v:rect style="position:absolute;left:7180;top:175;width:89;height:92" filled="false" stroked="true" strokeweight=".72pt" strokecolor="#000000">
              <v:stroke dashstyle="solid"/>
            </v:rect>
            <w10:wrap type="none"/>
          </v:group>
        </w:pict>
      </w:r>
      <w:r>
        <w:rPr>
          <w:sz w:val="18"/>
        </w:rPr>
        <w:t>Gobierno</w:t>
      </w:r>
      <w:r>
        <w:rPr>
          <w:spacing w:val="-4"/>
          <w:sz w:val="18"/>
        </w:rPr>
        <w:t> </w:t>
      </w:r>
      <w:r>
        <w:rPr>
          <w:sz w:val="18"/>
        </w:rPr>
        <w:t>Central</w:t>
      </w:r>
      <w:r>
        <w:rPr>
          <w:spacing w:val="-2"/>
          <w:sz w:val="18"/>
        </w:rPr>
        <w:t> </w:t>
      </w:r>
      <w:r>
        <w:rPr>
          <w:sz w:val="18"/>
        </w:rPr>
        <w:t>Presupuestario</w:t>
        <w:tab/>
        <w:t>Gobierno</w:t>
      </w:r>
      <w:r>
        <w:rPr>
          <w:spacing w:val="-1"/>
          <w:sz w:val="18"/>
        </w:rPr>
        <w:t> </w:t>
      </w:r>
      <w:r>
        <w:rPr>
          <w:sz w:val="18"/>
        </w:rPr>
        <w:t>General</w:t>
      </w:r>
    </w:p>
    <w:p>
      <w:pPr>
        <w:pStyle w:val="BodyText"/>
        <w:spacing w:before="9"/>
        <w:rPr>
          <w:sz w:val="18"/>
        </w:rPr>
      </w:pPr>
    </w:p>
    <w:p>
      <w:pPr>
        <w:spacing w:line="523" w:lineRule="auto" w:before="0"/>
        <w:ind w:left="1241" w:right="5880" w:firstLine="2227"/>
        <w:jc w:val="left"/>
        <w:rPr>
          <w:b/>
          <w:sz w:val="16"/>
        </w:rPr>
      </w:pPr>
      <w:r>
        <w:rPr/>
        <w:pict>
          <v:group style="position:absolute;margin-left:290.640015pt;margin-top:-5.37126pt;width:226.5pt;height:141.15pt;mso-position-horizontal-relative:page;mso-position-vertical-relative:paragraph;z-index:253312000" coordorigin="5813,-107" coordsize="4530,2823">
            <v:shape style="position:absolute;left:0;top:10646;width:4440;height:2408" coordorigin="0,10647" coordsize="4440,2408" path="m5861,2708l10301,2708m5861,2307l10301,2307m5861,1906l10301,1906m5861,1503l10301,1503m5861,1102l10301,1102m5861,701l10301,701m5861,301l10301,301e" filled="false" stroked="true" strokeweight=".72pt" strokecolor="#d9d9d9">
              <v:path arrowok="t"/>
              <v:stroke dashstyle="solid"/>
            </v:shape>
            <v:shape style="position:absolute;left:5858;top:367;width:3720;height:2333" type="#_x0000_t75" stroked="false">
              <v:imagedata r:id="rId399" o:title=""/>
            </v:shape>
            <v:line style="position:absolute" from="5861,-100" to="10301,-100" stroked="true" strokeweight=".72pt" strokecolor="#d9d9d9">
              <v:stroke dashstyle="solid"/>
            </v:line>
            <v:shape style="position:absolute;left:5858;top:-101;width:3564;height:2640" type="#_x0000_t75" stroked="false">
              <v:imagedata r:id="rId400" o:title=""/>
            </v:shape>
            <v:shape style="position:absolute;left:5860;top:1303;width:3598;height:1364" coordorigin="5861,1304" coordsize="3598,1364" path="m6024,1304l5861,1304,5861,1465,6024,1465,6024,1304m7126,1705l5861,1705,5861,1865,7126,1865,7126,1705m7915,2105l5861,2105,5861,2266,7915,2266,7915,2105m9458,2506l5861,2506,5861,2667,9458,2667,9458,2506e" filled="true" fillcolor="#4471c4" stroked="false">
              <v:path arrowok="t"/>
              <v:fill type="solid"/>
            </v:shape>
            <v:line style="position:absolute" from="5892,903" to="5892,1064" stroked="true" strokeweight="3.12pt" strokecolor="#4471c4">
              <v:stroke dashstyle="solid"/>
            </v:line>
            <v:rect style="position:absolute;left:5860;top:502;width:24;height:161" filled="true" fillcolor="#4471c4" stroked="false">
              <v:fill type="solid"/>
            </v:rect>
            <v:shape style="position:absolute;left:-3598;top:11290;width:3598;height:1764" coordorigin="-3598,11290" coordsize="3598,1764" path="m9458,2667l5861,2667,5861,2506,9458,2506,9458,2667xm7915,2266l5861,2266,5861,2105,7915,2105,7915,2266xm7126,1865l5861,1865,5861,1705,7126,1705,7126,1865xm6024,1465l5861,1465,5861,1304,6024,1304,6024,1465xm5923,1064l5861,1064,5861,903,5923,903,5923,1064xe" filled="false" stroked="true" strokeweight=".72pt" strokecolor="#000000">
              <v:path arrowok="t"/>
              <v:stroke dashstyle="solid"/>
            </v:shape>
            <v:rect style="position:absolute;left:5853;top:494;width:39;height:176" filled="true" fillcolor="#000000" stroked="false">
              <v:fill type="solid"/>
            </v:rect>
            <v:shape style="position:absolute;left:5860;top:1142;width:3442;height:1364" coordorigin="5861,1143" coordsize="3442,1364" path="m6024,1143l5861,1143,5861,1304,6024,1304,6024,1143m7126,1544l5861,1544,5861,1705,7126,1705,7126,1544m7848,1945l5861,1945,5861,2105,7848,2105,7848,1945m9302,2345l5861,2345,5861,2506,9302,2506,9302,2345e" filled="true" fillcolor="#6fac46" stroked="false">
              <v:path arrowok="t"/>
              <v:fill type="solid"/>
            </v:shape>
            <v:line style="position:absolute" from="5862,742" to="5862,903" stroked="true" strokeweight=".12pt" strokecolor="#6fac46">
              <v:stroke dashstyle="solid"/>
            </v:line>
            <v:rect style="position:absolute;left:5860;top:-60;width:22;height:161" filled="true" fillcolor="#6fac46" stroked="false">
              <v:fill type="solid"/>
            </v:rect>
            <v:shape style="position:absolute;left:-3442;top:11690;width:3442;height:1364" coordorigin="-3442,11691" coordsize="3442,1364" path="m9302,2506l5861,2506,5861,2345,9302,2345,9302,2506xm7848,2105l5861,2105,5861,1945,7848,1945,7848,2105xm7126,1705l5861,1705,5861,1544,7126,1544,7126,1705xm6024,1304l5861,1304,5861,1143,6024,1143,6024,1304xe" filled="false" stroked="true" strokeweight=".72pt" strokecolor="#000000">
              <v:path arrowok="t"/>
              <v:stroke dashstyle="solid"/>
            </v:shape>
            <v:line style="position:absolute" from="5862,735" to="5862,910" stroked="true" strokeweight=".84pt" strokecolor="#000000">
              <v:stroke dashstyle="solid"/>
            </v:line>
            <v:rect style="position:absolute;left:5853;top:-67;width:36;height:176" filled="true" fillcolor="#000000" stroked="false">
              <v:fill type="solid"/>
            </v:rect>
            <v:line style="position:absolute" from="5861,2708" to="5861,-100" stroked="true" strokeweight=".72pt" strokecolor="#d9d9d9">
              <v:stroke dashstyle="solid"/>
            </v:line>
            <v:shape style="position:absolute;left:0;top:10246;width:48;height:2808" coordorigin="0,10246" coordsize="48,2808" path="m5813,2708l5861,2708m5813,2307l5861,2307m5813,1906l5861,1906m5813,1503l5861,1503m5813,1102l5861,1102m5813,701l5861,701m5813,301l5861,301m5813,-100l5861,-100e" filled="false" stroked="true" strokeweight=".72pt" strokecolor="#d9d9d9">
              <v:path arrowok="t"/>
              <v:stroke dashstyle="solid"/>
            </v:shape>
            <v:line style="position:absolute" from="5860,2299" to="10342,2299" stroked="true" strokeweight="1.56pt" strokecolor="#000000">
              <v:stroke dashstyle="shortdash"/>
            </v:line>
            <v:shape style="position:absolute;left:6003;top:-35;width:197;height:140" type="#_x0000_t202" filled="false" stroked="false">
              <v:textbox inset="0,0,0,0">
                <w:txbxContent>
                  <w:p>
                    <w:pPr>
                      <w:spacing w:line="139" w:lineRule="exact" w:before="0"/>
                      <w:ind w:left="0" w:right="0" w:firstLine="0"/>
                      <w:jc w:val="left"/>
                      <w:rPr>
                        <w:rFonts w:ascii="Calibri"/>
                        <w:sz w:val="14"/>
                      </w:rPr>
                    </w:pPr>
                    <w:r>
                      <w:rPr>
                        <w:rFonts w:ascii="Calibri"/>
                        <w:color w:val="538235"/>
                        <w:sz w:val="14"/>
                      </w:rPr>
                      <w:t>0.1</w:t>
                    </w:r>
                  </w:p>
                </w:txbxContent>
              </v:textbox>
              <w10:wrap type="none"/>
            </v:shape>
            <v:shape style="position:absolute;left:5982;top:507;width:359;height:957" type="#_x0000_t202" filled="false" stroked="false">
              <v:textbox inset="0,0,0,0">
                <w:txbxContent>
                  <w:p>
                    <w:pPr>
                      <w:spacing w:line="154" w:lineRule="exact" w:before="0"/>
                      <w:ind w:left="21" w:right="0" w:firstLine="0"/>
                      <w:jc w:val="left"/>
                      <w:rPr>
                        <w:sz w:val="14"/>
                      </w:rPr>
                    </w:pPr>
                    <w:r>
                      <w:rPr>
                        <w:color w:val="006FC0"/>
                        <w:sz w:val="14"/>
                      </w:rPr>
                      <w:t>0.1</w:t>
                    </w:r>
                  </w:p>
                  <w:p>
                    <w:pPr>
                      <w:spacing w:line="167" w:lineRule="exact" w:before="77"/>
                      <w:ind w:left="0" w:right="0" w:firstLine="0"/>
                      <w:jc w:val="left"/>
                      <w:rPr>
                        <w:rFonts w:ascii="Calibri"/>
                        <w:sz w:val="14"/>
                      </w:rPr>
                    </w:pPr>
                    <w:r>
                      <w:rPr>
                        <w:rFonts w:ascii="Calibri"/>
                        <w:color w:val="538235"/>
                        <w:sz w:val="14"/>
                      </w:rPr>
                      <w:t>0.0</w:t>
                    </w:r>
                  </w:p>
                  <w:p>
                    <w:pPr>
                      <w:spacing w:line="157" w:lineRule="exact" w:before="0"/>
                      <w:ind w:left="61" w:right="0" w:firstLine="0"/>
                      <w:jc w:val="left"/>
                      <w:rPr>
                        <w:sz w:val="14"/>
                      </w:rPr>
                    </w:pPr>
                    <w:r>
                      <w:rPr>
                        <w:color w:val="006FC0"/>
                        <w:sz w:val="14"/>
                      </w:rPr>
                      <w:t>0.2</w:t>
                    </w:r>
                  </w:p>
                  <w:p>
                    <w:pPr>
                      <w:spacing w:line="167" w:lineRule="exact" w:before="76"/>
                      <w:ind w:left="162" w:right="0" w:firstLine="0"/>
                      <w:jc w:val="left"/>
                      <w:rPr>
                        <w:rFonts w:ascii="Calibri"/>
                        <w:sz w:val="14"/>
                      </w:rPr>
                    </w:pPr>
                    <w:r>
                      <w:rPr>
                        <w:rFonts w:ascii="Calibri"/>
                        <w:color w:val="538235"/>
                        <w:sz w:val="14"/>
                      </w:rPr>
                      <w:t>0.6</w:t>
                    </w:r>
                  </w:p>
                  <w:p>
                    <w:pPr>
                      <w:spacing w:line="157" w:lineRule="exact" w:before="0"/>
                      <w:ind w:left="161" w:right="0" w:firstLine="0"/>
                      <w:jc w:val="left"/>
                      <w:rPr>
                        <w:sz w:val="14"/>
                      </w:rPr>
                    </w:pPr>
                    <w:r>
                      <w:rPr>
                        <w:color w:val="006FC0"/>
                        <w:sz w:val="14"/>
                      </w:rPr>
                      <w:t>0.6</w:t>
                    </w:r>
                  </w:p>
                </w:txbxContent>
              </v:textbox>
              <w10:wrap type="none"/>
            </v:shape>
            <v:shape style="position:absolute;left:7244;top:1569;width:198;height:296" type="#_x0000_t202" filled="false" stroked="false">
              <v:textbox inset="0,0,0,0">
                <w:txbxContent>
                  <w:p>
                    <w:pPr>
                      <w:spacing w:line="138" w:lineRule="exact" w:before="0"/>
                      <w:ind w:left="0" w:right="0" w:firstLine="0"/>
                      <w:jc w:val="left"/>
                      <w:rPr>
                        <w:rFonts w:ascii="Calibri"/>
                        <w:sz w:val="14"/>
                      </w:rPr>
                    </w:pPr>
                    <w:r>
                      <w:rPr>
                        <w:rFonts w:ascii="Calibri"/>
                        <w:color w:val="538235"/>
                        <w:sz w:val="14"/>
                      </w:rPr>
                      <w:t>4.3</w:t>
                    </w:r>
                  </w:p>
                  <w:p>
                    <w:pPr>
                      <w:spacing w:line="157" w:lineRule="exact" w:before="0"/>
                      <w:ind w:left="0" w:right="0" w:firstLine="0"/>
                      <w:jc w:val="left"/>
                      <w:rPr>
                        <w:sz w:val="14"/>
                      </w:rPr>
                    </w:pPr>
                    <w:r>
                      <w:rPr>
                        <w:color w:val="006FC0"/>
                        <w:sz w:val="14"/>
                      </w:rPr>
                      <w:t>4.3</w:t>
                    </w:r>
                  </w:p>
                </w:txbxContent>
              </v:textbox>
              <w10:wrap type="none"/>
            </v:shape>
            <v:shape style="position:absolute;left:7970;top:1970;width:259;height:296" type="#_x0000_t202" filled="false" stroked="false">
              <v:textbox inset="0,0,0,0">
                <w:txbxContent>
                  <w:p>
                    <w:pPr>
                      <w:spacing w:line="138" w:lineRule="exact" w:before="0"/>
                      <w:ind w:left="0" w:right="0" w:firstLine="0"/>
                      <w:jc w:val="left"/>
                      <w:rPr>
                        <w:rFonts w:ascii="Calibri"/>
                        <w:sz w:val="14"/>
                      </w:rPr>
                    </w:pPr>
                    <w:r>
                      <w:rPr>
                        <w:rFonts w:ascii="Calibri"/>
                        <w:color w:val="538235"/>
                        <w:sz w:val="14"/>
                      </w:rPr>
                      <w:t>6.7</w:t>
                    </w:r>
                  </w:p>
                  <w:p>
                    <w:pPr>
                      <w:spacing w:line="157" w:lineRule="exact" w:before="0"/>
                      <w:ind w:left="63" w:right="0" w:firstLine="0"/>
                      <w:jc w:val="left"/>
                      <w:rPr>
                        <w:sz w:val="14"/>
                      </w:rPr>
                    </w:pPr>
                    <w:r>
                      <w:rPr>
                        <w:color w:val="006FC0"/>
                        <w:sz w:val="14"/>
                      </w:rPr>
                      <w:t>6.9</w:t>
                    </w:r>
                  </w:p>
                </w:txbxContent>
              </v:textbox>
              <w10:wrap type="none"/>
            </v:shape>
            <v:shape style="position:absolute;left:9424;top:2371;width:421;height:295" type="#_x0000_t202" filled="false" stroked="false">
              <v:textbox inset="0,0,0,0">
                <w:txbxContent>
                  <w:p>
                    <w:pPr>
                      <w:spacing w:line="138" w:lineRule="exact" w:before="0"/>
                      <w:ind w:left="0" w:right="0" w:firstLine="0"/>
                      <w:jc w:val="left"/>
                      <w:rPr>
                        <w:rFonts w:ascii="Calibri"/>
                        <w:sz w:val="14"/>
                      </w:rPr>
                    </w:pPr>
                    <w:r>
                      <w:rPr>
                        <w:rFonts w:ascii="Calibri"/>
                        <w:color w:val="538235"/>
                        <w:sz w:val="14"/>
                      </w:rPr>
                      <w:t>11.6</w:t>
                    </w:r>
                  </w:p>
                  <w:p>
                    <w:pPr>
                      <w:spacing w:line="157" w:lineRule="exact" w:before="0"/>
                      <w:ind w:left="156" w:right="0" w:firstLine="0"/>
                      <w:jc w:val="left"/>
                      <w:rPr>
                        <w:sz w:val="14"/>
                      </w:rPr>
                    </w:pPr>
                    <w:r>
                      <w:rPr>
                        <w:color w:val="006FC0"/>
                        <w:sz w:val="14"/>
                      </w:rPr>
                      <w:t>12.2</w:t>
                    </w:r>
                  </w:p>
                </w:txbxContent>
              </v:textbox>
              <w10:wrap type="none"/>
            </v:shape>
            <w10:wrap type="none"/>
          </v:group>
        </w:pict>
      </w:r>
      <w:r>
        <w:rPr>
          <w:b/>
          <w:sz w:val="16"/>
        </w:rPr>
        <w:t>Otros </w:t>
      </w:r>
      <w:r>
        <w:rPr>
          <w:b/>
          <w:spacing w:val="-3"/>
          <w:sz w:val="16"/>
        </w:rPr>
        <w:t>impuestos </w:t>
      </w:r>
      <w:r>
        <w:rPr>
          <w:b/>
          <w:sz w:val="16"/>
        </w:rPr>
        <w:t>Impuestos sobre la nómina y la fuerza de</w:t>
      </w:r>
      <w:r>
        <w:rPr>
          <w:b/>
          <w:spacing w:val="-22"/>
          <w:sz w:val="16"/>
        </w:rPr>
        <w:t> </w:t>
      </w:r>
      <w:r>
        <w:rPr>
          <w:b/>
          <w:sz w:val="16"/>
        </w:rPr>
        <w:t>trabajo</w:t>
      </w:r>
    </w:p>
    <w:p>
      <w:pPr>
        <w:spacing w:before="1"/>
        <w:ind w:left="0" w:right="6513" w:firstLine="0"/>
        <w:jc w:val="right"/>
        <w:rPr>
          <w:b/>
          <w:sz w:val="16"/>
        </w:rPr>
      </w:pPr>
      <w:r>
        <w:rPr>
          <w:b/>
          <w:sz w:val="16"/>
        </w:rPr>
        <w:t>Impuestos sobre la</w:t>
      </w:r>
      <w:r>
        <w:rPr>
          <w:b/>
          <w:spacing w:val="-14"/>
          <w:sz w:val="16"/>
        </w:rPr>
        <w:t> </w:t>
      </w:r>
      <w:r>
        <w:rPr>
          <w:b/>
          <w:sz w:val="16"/>
        </w:rPr>
        <w:t>propiedad</w:t>
      </w:r>
    </w:p>
    <w:p>
      <w:pPr>
        <w:spacing w:before="125"/>
        <w:ind w:left="2442" w:right="6496" w:hanging="1102"/>
        <w:jc w:val="left"/>
        <w:rPr>
          <w:b/>
          <w:sz w:val="16"/>
        </w:rPr>
      </w:pPr>
      <w:r>
        <w:rPr>
          <w:b/>
          <w:sz w:val="16"/>
        </w:rPr>
        <w:t>Impuestos sobre el comercio y las transacciones internacionales</w:t>
      </w:r>
    </w:p>
    <w:p>
      <w:pPr>
        <w:spacing w:before="32"/>
        <w:ind w:left="2330" w:right="6497" w:hanging="1592"/>
        <w:jc w:val="left"/>
        <w:rPr>
          <w:b/>
          <w:sz w:val="16"/>
        </w:rPr>
      </w:pPr>
      <w:r>
        <w:rPr>
          <w:b/>
          <w:sz w:val="16"/>
        </w:rPr>
        <w:t>Impuestos sobre el ingreso, las utilidades y las ganancias de capital</w:t>
      </w:r>
    </w:p>
    <w:p>
      <w:pPr>
        <w:spacing w:before="126"/>
        <w:ind w:left="0" w:right="6514" w:firstLine="0"/>
        <w:jc w:val="right"/>
        <w:rPr>
          <w:b/>
          <w:sz w:val="16"/>
        </w:rPr>
      </w:pPr>
      <w:r>
        <w:rPr>
          <w:b/>
          <w:sz w:val="16"/>
        </w:rPr>
        <w:t>Impuestos sobre los bienes y</w:t>
      </w:r>
      <w:r>
        <w:rPr>
          <w:b/>
          <w:spacing w:val="-20"/>
          <w:sz w:val="16"/>
        </w:rPr>
        <w:t> </w:t>
      </w:r>
      <w:r>
        <w:rPr>
          <w:b/>
          <w:sz w:val="16"/>
        </w:rPr>
        <w:t>servicios</w:t>
      </w:r>
    </w:p>
    <w:p>
      <w:pPr>
        <w:pStyle w:val="BodyText"/>
        <w:spacing w:before="10"/>
        <w:rPr>
          <w:b/>
          <w:sz w:val="18"/>
        </w:rPr>
      </w:pPr>
    </w:p>
    <w:p>
      <w:pPr>
        <w:spacing w:before="0"/>
        <w:ind w:left="0" w:right="6512" w:firstLine="0"/>
        <w:jc w:val="right"/>
        <w:rPr>
          <w:b/>
          <w:sz w:val="16"/>
        </w:rPr>
      </w:pPr>
      <w:r>
        <w:rPr>
          <w:b/>
          <w:spacing w:val="-1"/>
          <w:sz w:val="16"/>
        </w:rPr>
        <w:t>Impuestos</w:t>
      </w:r>
    </w:p>
    <w:p>
      <w:pPr>
        <w:pStyle w:val="BodyText"/>
        <w:spacing w:before="2"/>
        <w:rPr>
          <w:b/>
          <w:sz w:val="11"/>
        </w:rPr>
      </w:pPr>
    </w:p>
    <w:p>
      <w:pPr>
        <w:spacing w:before="94"/>
        <w:ind w:left="562" w:right="0" w:firstLine="0"/>
        <w:jc w:val="both"/>
        <w:rPr>
          <w:sz w:val="16"/>
        </w:rPr>
      </w:pPr>
      <w:r>
        <w:rPr>
          <w:sz w:val="16"/>
        </w:rPr>
        <w:t>Fuente: Dirección de Análisis y Política Fiscal</w:t>
      </w:r>
    </w:p>
    <w:p>
      <w:pPr>
        <w:pStyle w:val="BodyText"/>
        <w:rPr>
          <w:sz w:val="23"/>
        </w:rPr>
      </w:pPr>
    </w:p>
    <w:p>
      <w:pPr>
        <w:pStyle w:val="BodyText"/>
        <w:spacing w:line="276" w:lineRule="auto"/>
        <w:ind w:left="562" w:right="1698"/>
        <w:jc w:val="both"/>
      </w:pPr>
      <w:r>
        <w:rPr/>
        <w:t>Gracias a la inclusión de los Fondos de Seguridad Social, los ingresos por contribuciones sociales también</w:t>
      </w:r>
      <w:r>
        <w:rPr>
          <w:spacing w:val="-4"/>
        </w:rPr>
        <w:t> </w:t>
      </w:r>
      <w:r>
        <w:rPr/>
        <w:t>aumentan</w:t>
      </w:r>
      <w:r>
        <w:rPr>
          <w:spacing w:val="-3"/>
        </w:rPr>
        <w:t> </w:t>
      </w:r>
      <w:r>
        <w:rPr/>
        <w:t>en</w:t>
      </w:r>
      <w:r>
        <w:rPr>
          <w:spacing w:val="-5"/>
        </w:rPr>
        <w:t> </w:t>
      </w:r>
      <w:r>
        <w:rPr/>
        <w:t>2</w:t>
      </w:r>
      <w:r>
        <w:rPr>
          <w:spacing w:val="-4"/>
        </w:rPr>
        <w:t> </w:t>
      </w:r>
      <w:r>
        <w:rPr/>
        <w:t>puntos</w:t>
      </w:r>
      <w:r>
        <w:rPr>
          <w:spacing w:val="-3"/>
        </w:rPr>
        <w:t> </w:t>
      </w:r>
      <w:r>
        <w:rPr/>
        <w:t>porcentuales,</w:t>
      </w:r>
      <w:r>
        <w:rPr>
          <w:spacing w:val="-4"/>
        </w:rPr>
        <w:t> </w:t>
      </w:r>
      <w:r>
        <w:rPr/>
        <w:t>colocándose</w:t>
      </w:r>
      <w:r>
        <w:rPr>
          <w:spacing w:val="-3"/>
        </w:rPr>
        <w:t> </w:t>
      </w:r>
      <w:r>
        <w:rPr/>
        <w:t>entorno</w:t>
      </w:r>
      <w:r>
        <w:rPr>
          <w:spacing w:val="-6"/>
        </w:rPr>
        <w:t> </w:t>
      </w:r>
      <w:r>
        <w:rPr/>
        <w:t>al</w:t>
      </w:r>
      <w:r>
        <w:rPr>
          <w:spacing w:val="-4"/>
        </w:rPr>
        <w:t> </w:t>
      </w:r>
      <w:r>
        <w:rPr/>
        <w:t>2.77%</w:t>
      </w:r>
      <w:r>
        <w:rPr>
          <w:spacing w:val="-3"/>
        </w:rPr>
        <w:t> </w:t>
      </w:r>
      <w:r>
        <w:rPr/>
        <w:t>del</w:t>
      </w:r>
      <w:r>
        <w:rPr>
          <w:spacing w:val="-3"/>
        </w:rPr>
        <w:t> </w:t>
      </w:r>
      <w:r>
        <w:rPr/>
        <w:t>PIB.</w:t>
      </w:r>
      <w:r>
        <w:rPr>
          <w:spacing w:val="-5"/>
        </w:rPr>
        <w:t> </w:t>
      </w:r>
      <w:r>
        <w:rPr/>
        <w:t>Por</w:t>
      </w:r>
      <w:r>
        <w:rPr>
          <w:spacing w:val="-3"/>
        </w:rPr>
        <w:t> </w:t>
      </w:r>
      <w:r>
        <w:rPr/>
        <w:t>concepto</w:t>
      </w:r>
      <w:r>
        <w:rPr>
          <w:spacing w:val="-6"/>
        </w:rPr>
        <w:t> </w:t>
      </w:r>
      <w:r>
        <w:rPr/>
        <w:t>de contribuciones a la seguridad social se recaudan 1.84% del PIB y por otras contribuciones sociales, el 0.93% del</w:t>
      </w:r>
      <w:r>
        <w:rPr>
          <w:spacing w:val="1"/>
        </w:rPr>
        <w:t> </w:t>
      </w:r>
      <w:r>
        <w:rPr/>
        <w:t>PIB</w:t>
      </w:r>
    </w:p>
    <w:p>
      <w:pPr>
        <w:pStyle w:val="BodyText"/>
        <w:spacing w:before="7"/>
        <w:rPr>
          <w:sz w:val="20"/>
        </w:rPr>
      </w:pPr>
    </w:p>
    <w:p>
      <w:pPr>
        <w:pStyle w:val="Heading2"/>
        <w:spacing w:before="90"/>
        <w:ind w:left="1646" w:right="3088"/>
        <w:jc w:val="center"/>
      </w:pPr>
      <w:r>
        <w:rPr/>
        <w:t>Contribuciones Sociales Según los Estandares Internacionales Para el año 2021</w:t>
      </w:r>
    </w:p>
    <w:p>
      <w:pPr>
        <w:pStyle w:val="BodyText"/>
        <w:spacing w:before="2"/>
        <w:ind w:left="1103" w:right="2542"/>
        <w:jc w:val="center"/>
      </w:pPr>
      <w:r>
        <w:rPr/>
        <w:pict>
          <v:group style="position:absolute;margin-left:110.400002pt;margin-top:12.519497pt;width:414.5pt;height:130.4pt;mso-position-horizontal-relative:page;mso-position-vertical-relative:paragraph;z-index:-279998464" coordorigin="2208,250" coordsize="8290,2608">
            <v:shape style="position:absolute;left:0;top:7749;width:8276;height:1995" coordorigin="0,7750" coordsize="8276,1995" path="m2215,694l2215,2688m4973,694l4973,2688m7733,694l7733,2688m10490,694l10490,2688e" filled="false" stroked="true" strokeweight=".72pt" strokecolor="#d9d9d9">
              <v:path arrowok="t"/>
              <v:stroke dashstyle="solid"/>
            </v:shape>
            <v:shape style="position:absolute;left:0;top:7749;width:8276;height:48" coordorigin="0,7750" coordsize="8276,48" path="m2215,2239l10490,2239m2215,2239l2215,2287m4973,2239l4973,2287m7733,2239l7733,2287m10490,2239l10490,2287e" filled="false" stroked="true" strokeweight=".72pt" strokecolor="#d9d9d9">
              <v:path arrowok="t"/>
              <v:stroke dashstyle="solid"/>
            </v:shape>
            <v:shape style="position:absolute;left:3247;top:1689;width:770;height:257" type="#_x0000_t75" stroked="false">
              <v:imagedata r:id="rId401" o:title=""/>
            </v:shape>
            <v:shape style="position:absolute;left:5992;top:2049;width:799;height:286" type="#_x0000_t75" stroked="false">
              <v:imagedata r:id="rId402" o:title=""/>
            </v:shape>
            <v:shape style="position:absolute;left:8765;top:1689;width:770;height:257" type="#_x0000_t75" stroked="false">
              <v:imagedata r:id="rId401" o:title=""/>
            </v:shape>
            <v:shape style="position:absolute;left:3254;top:694;width:770;height:253" type="#_x0000_t75" stroked="false">
              <v:imagedata r:id="rId403" o:title=""/>
            </v:shape>
            <v:shape style="position:absolute;left:6014;top:1157;width:770;height:253" type="#_x0000_t75" stroked="false">
              <v:imagedata r:id="rId403" o:title=""/>
            </v:shape>
            <v:shape style="position:absolute;left:8757;top:1596;width:799;height:283" type="#_x0000_t75" stroked="false">
              <v:imagedata r:id="rId404" o:title=""/>
            </v:shape>
            <v:shape style="position:absolute;left:3266;top:1792;width:648;height:134" type="#_x0000_t75" stroked="false">
              <v:imagedata r:id="rId405" o:title=""/>
            </v:shape>
            <v:shape style="position:absolute;left:6026;top:2167;width:648;height:134" type="#_x0000_t75" stroked="false">
              <v:imagedata r:id="rId405" o:title=""/>
            </v:shape>
            <v:shape style="position:absolute;left:8784;top:1792;width:648;height:134" type="#_x0000_t75" stroked="false">
              <v:imagedata r:id="rId405" o:title=""/>
            </v:shape>
            <v:shape style="position:absolute;left:3429;top:693;width:5913;height:1584" type="#_x0000_t75" stroked="false">
              <v:imagedata r:id="rId406" o:title=""/>
            </v:shape>
            <v:shape style="position:absolute;left:3532;top:859;width:5638;height:1332" coordorigin="3533,859" coordsize="5638,1332" path="m3605,959l3581,959,3581,1055,3605,1055,3605,959xm3593,859l3533,979,3581,979,3581,959,3643,959,3593,859xm3643,959l3605,959,3605,979,3653,979,3643,959xm3605,1127l3581,1127,3581,1223,3605,1223,3605,1127xm3605,1295l3581,1295,3581,1391,3605,1391,3605,1295xm3605,1463l3581,1463,3581,1559,3605,1559,3605,1463xm3605,1631l3581,1631,3581,1727,3605,1727,3605,1631xm3605,1799l3581,1799,3581,1865,3605,1865,3605,1799xm6365,1422l6341,1422,6341,1518,6365,1518,6365,1422xm6353,1322l6293,1442,6341,1442,6341,1422,6403,1422,6353,1322xm6403,1422l6365,1422,6365,1442,6413,1442,6403,1422xm6365,1590l6341,1590,6341,1686,6365,1686,6365,1590xm6365,1758l6341,1758,6341,1854,6365,1854,6365,1758xm6365,1926l6341,1926,6341,2022,6365,2022,6365,1926xm6365,2094l6341,2094,6341,2190,6365,2190,6365,2094xm9110,1776l9050,1896,9170,1896,9110,1776xe" filled="true" fillcolor="#ec7c30" stroked="false">
              <v:path arrowok="t"/>
              <v:fill type="solid"/>
            </v:shape>
            <v:shape style="position:absolute;left:3266;top:787;width:648;height:134" type="#_x0000_t75" stroked="false">
              <v:imagedata r:id="rId407" o:title=""/>
            </v:shape>
            <v:shape style="position:absolute;left:6026;top:1250;width:648;height:134" type="#_x0000_t75" stroked="false">
              <v:imagedata r:id="rId407" o:title=""/>
            </v:shape>
            <v:shape style="position:absolute;left:8784;top:1704;width:648;height:134" type="#_x0000_t75" stroked="false">
              <v:imagedata r:id="rId407" o:title=""/>
            </v:shape>
            <v:line style="position:absolute" from="4991,306" to="4991,2827" stroked="true" strokeweight="1.56pt" strokecolor="#000000">
              <v:stroke dashstyle="shortdash"/>
            </v:line>
            <v:shape style="position:absolute;left:3435;top:250;width:338;height:200" type="#_x0000_t202" filled="false" stroked="false">
              <v:textbox inset="0,0,0,0">
                <w:txbxContent>
                  <w:p>
                    <w:pPr>
                      <w:spacing w:line="199" w:lineRule="exact" w:before="0"/>
                      <w:ind w:left="0" w:right="0" w:firstLine="0"/>
                      <w:jc w:val="left"/>
                      <w:rPr>
                        <w:sz w:val="18"/>
                      </w:rPr>
                    </w:pPr>
                    <w:r>
                      <w:rPr>
                        <w:color w:val="4471C4"/>
                        <w:sz w:val="18"/>
                      </w:rPr>
                      <w:t>2.77</w:t>
                    </w:r>
                  </w:p>
                </w:txbxContent>
              </v:textbox>
              <w10:wrap type="none"/>
            </v:shape>
            <v:shape style="position:absolute;left:6194;top:713;width:338;height:200" type="#_x0000_t202" filled="false" stroked="false">
              <v:textbox inset="0,0,0,0">
                <w:txbxContent>
                  <w:p>
                    <w:pPr>
                      <w:spacing w:line="199" w:lineRule="exact" w:before="0"/>
                      <w:ind w:left="0" w:right="0" w:firstLine="0"/>
                      <w:jc w:val="left"/>
                      <w:rPr>
                        <w:sz w:val="18"/>
                      </w:rPr>
                    </w:pPr>
                    <w:r>
                      <w:rPr>
                        <w:color w:val="4471C4"/>
                        <w:sz w:val="18"/>
                      </w:rPr>
                      <w:t>1.84</w:t>
                    </w:r>
                  </w:p>
                </w:txbxContent>
              </v:textbox>
              <w10:wrap type="none"/>
            </v:shape>
            <v:shape style="position:absolute;left:8954;top:1167;width:338;height:200" type="#_x0000_t202" filled="false" stroked="false">
              <v:textbox inset="0,0,0,0">
                <w:txbxContent>
                  <w:p>
                    <w:pPr>
                      <w:spacing w:line="199" w:lineRule="exact" w:before="0"/>
                      <w:ind w:left="0" w:right="0" w:firstLine="0"/>
                      <w:jc w:val="left"/>
                      <w:rPr>
                        <w:sz w:val="18"/>
                      </w:rPr>
                    </w:pPr>
                    <w:r>
                      <w:rPr>
                        <w:color w:val="4471C4"/>
                        <w:sz w:val="18"/>
                      </w:rPr>
                      <w:t>0.93</w:t>
                    </w:r>
                  </w:p>
                </w:txbxContent>
              </v:textbox>
              <w10:wrap type="none"/>
            </v:shape>
            <v:shape style="position:absolute;left:3435;top:2282;width:338;height:200" type="#_x0000_t202" filled="false" stroked="false">
              <v:textbox inset="0,0,0,0">
                <w:txbxContent>
                  <w:p>
                    <w:pPr>
                      <w:spacing w:line="199" w:lineRule="exact" w:before="0"/>
                      <w:ind w:left="0" w:right="0" w:firstLine="0"/>
                      <w:jc w:val="left"/>
                      <w:rPr>
                        <w:b/>
                        <w:sz w:val="18"/>
                      </w:rPr>
                    </w:pPr>
                    <w:r>
                      <w:rPr>
                        <w:b/>
                        <w:color w:val="538235"/>
                        <w:sz w:val="18"/>
                      </w:rPr>
                      <w:t>0.75</w:t>
                    </w:r>
                  </w:p>
                </w:txbxContent>
              </v:textbox>
              <w10:wrap type="none"/>
            </v:shape>
            <v:shape style="position:absolute;left:8954;top:2282;width:338;height:200" type="#_x0000_t202" filled="false" stroked="false">
              <v:textbox inset="0,0,0,0">
                <w:txbxContent>
                  <w:p>
                    <w:pPr>
                      <w:spacing w:line="199" w:lineRule="exact" w:before="0"/>
                      <w:ind w:left="0" w:right="0" w:firstLine="0"/>
                      <w:jc w:val="left"/>
                      <w:rPr>
                        <w:b/>
                        <w:sz w:val="18"/>
                      </w:rPr>
                    </w:pPr>
                    <w:r>
                      <w:rPr>
                        <w:b/>
                        <w:color w:val="538235"/>
                        <w:sz w:val="18"/>
                      </w:rPr>
                      <w:t>0.75</w:t>
                    </w:r>
                  </w:p>
                </w:txbxContent>
              </v:textbox>
              <w10:wrap type="none"/>
            </v:shape>
            <v:shape style="position:absolute;left:6194;top:2658;width:338;height:200" type="#_x0000_t202" filled="false" stroked="false">
              <v:textbox inset="0,0,0,0">
                <w:txbxContent>
                  <w:p>
                    <w:pPr>
                      <w:spacing w:line="199" w:lineRule="exact" w:before="0"/>
                      <w:ind w:left="0" w:right="0" w:firstLine="0"/>
                      <w:jc w:val="left"/>
                      <w:rPr>
                        <w:b/>
                        <w:sz w:val="18"/>
                      </w:rPr>
                    </w:pPr>
                    <w:r>
                      <w:rPr>
                        <w:b/>
                        <w:color w:val="538235"/>
                        <w:sz w:val="18"/>
                      </w:rPr>
                      <w:t>0.00</w:t>
                    </w:r>
                  </w:p>
                </w:txbxContent>
              </v:textbox>
              <w10:wrap type="none"/>
            </v:shape>
            <w10:wrap type="none"/>
          </v:group>
        </w:pict>
      </w:r>
      <w:r>
        <w:rPr/>
        <w:t>Como porcentajes del PIB</w:t>
      </w:r>
    </w:p>
    <w:p>
      <w:pPr>
        <w:pStyle w:val="BodyText"/>
        <w:spacing w:before="7"/>
        <w:rPr>
          <w:sz w:val="20"/>
        </w:rPr>
      </w:pPr>
    </w:p>
    <w:p>
      <w:pPr>
        <w:spacing w:after="0"/>
        <w:rPr>
          <w:sz w:val="20"/>
        </w:rPr>
        <w:sectPr>
          <w:pgSz w:w="12240" w:h="15840"/>
          <w:pgMar w:header="715" w:footer="688" w:top="1240" w:bottom="880" w:left="1140" w:right="0"/>
        </w:sectPr>
      </w:pPr>
    </w:p>
    <w:p>
      <w:pPr>
        <w:spacing w:before="92"/>
        <w:ind w:left="0" w:right="0" w:firstLine="0"/>
        <w:jc w:val="right"/>
        <w:rPr>
          <w:sz w:val="18"/>
        </w:rPr>
      </w:pPr>
      <w:r>
        <w:rPr>
          <w:color w:val="585858"/>
          <w:spacing w:val="-1"/>
          <w:sz w:val="18"/>
        </w:rPr>
        <w:t>3.1</w:t>
      </w:r>
    </w:p>
    <w:p>
      <w:pPr>
        <w:spacing w:before="42"/>
        <w:ind w:left="0" w:right="0" w:firstLine="0"/>
        <w:jc w:val="right"/>
        <w:rPr>
          <w:sz w:val="18"/>
        </w:rPr>
      </w:pPr>
      <w:r>
        <w:rPr>
          <w:color w:val="585858"/>
          <w:spacing w:val="-1"/>
          <w:sz w:val="18"/>
        </w:rPr>
        <w:t>2.6</w:t>
      </w:r>
    </w:p>
    <w:p>
      <w:pPr>
        <w:spacing w:before="43"/>
        <w:ind w:left="0" w:right="0" w:firstLine="0"/>
        <w:jc w:val="right"/>
        <w:rPr>
          <w:sz w:val="18"/>
        </w:rPr>
      </w:pPr>
      <w:r>
        <w:rPr>
          <w:color w:val="585858"/>
          <w:spacing w:val="-1"/>
          <w:sz w:val="18"/>
        </w:rPr>
        <w:t>2.1</w:t>
      </w:r>
    </w:p>
    <w:p>
      <w:pPr>
        <w:spacing w:before="42"/>
        <w:ind w:left="0" w:right="0" w:firstLine="0"/>
        <w:jc w:val="right"/>
        <w:rPr>
          <w:sz w:val="18"/>
        </w:rPr>
      </w:pPr>
      <w:r>
        <w:rPr>
          <w:color w:val="585858"/>
          <w:spacing w:val="-1"/>
          <w:sz w:val="18"/>
        </w:rPr>
        <w:t>1.6</w:t>
      </w:r>
    </w:p>
    <w:p>
      <w:pPr>
        <w:spacing w:before="42"/>
        <w:ind w:left="0" w:right="0" w:firstLine="0"/>
        <w:jc w:val="right"/>
        <w:rPr>
          <w:sz w:val="18"/>
        </w:rPr>
      </w:pPr>
      <w:r>
        <w:rPr>
          <w:color w:val="585858"/>
          <w:spacing w:val="-1"/>
          <w:sz w:val="18"/>
        </w:rPr>
        <w:t>1.1</w:t>
      </w:r>
    </w:p>
    <w:p>
      <w:pPr>
        <w:spacing w:before="42"/>
        <w:ind w:left="0" w:right="0" w:firstLine="0"/>
        <w:jc w:val="right"/>
        <w:rPr>
          <w:sz w:val="18"/>
        </w:rPr>
      </w:pPr>
      <w:r>
        <w:rPr>
          <w:color w:val="585858"/>
          <w:spacing w:val="-1"/>
          <w:sz w:val="18"/>
        </w:rPr>
        <w:t>0.6</w:t>
      </w:r>
    </w:p>
    <w:p>
      <w:pPr>
        <w:spacing w:before="42"/>
        <w:ind w:left="0" w:right="0" w:firstLine="0"/>
        <w:jc w:val="right"/>
        <w:rPr>
          <w:sz w:val="18"/>
        </w:rPr>
      </w:pPr>
      <w:r>
        <w:rPr>
          <w:color w:val="585858"/>
          <w:spacing w:val="-1"/>
          <w:sz w:val="18"/>
        </w:rPr>
        <w:t>0.1</w:t>
      </w:r>
    </w:p>
    <w:p>
      <w:pPr>
        <w:spacing w:before="42"/>
        <w:ind w:left="0" w:right="0" w:firstLine="0"/>
        <w:jc w:val="right"/>
        <w:rPr>
          <w:sz w:val="18"/>
        </w:rPr>
      </w:pPr>
      <w:r>
        <w:rPr>
          <w:color w:val="585858"/>
          <w:spacing w:val="-1"/>
          <w:sz w:val="18"/>
        </w:rPr>
        <w:t>-0.4</w:t>
      </w:r>
    </w:p>
    <w:p>
      <w:pPr>
        <w:spacing w:before="43"/>
        <w:ind w:left="0" w:right="0" w:firstLine="0"/>
        <w:jc w:val="right"/>
        <w:rPr>
          <w:sz w:val="18"/>
        </w:rPr>
      </w:pPr>
      <w:r>
        <w:rPr>
          <w:color w:val="585858"/>
          <w:spacing w:val="-1"/>
          <w:sz w:val="18"/>
        </w:rPr>
        <w:t>-0.9</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8"/>
        </w:rPr>
      </w:pPr>
    </w:p>
    <w:p>
      <w:pPr>
        <w:spacing w:before="1"/>
        <w:ind w:left="520" w:right="0" w:firstLine="0"/>
        <w:jc w:val="left"/>
        <w:rPr>
          <w:b/>
          <w:sz w:val="16"/>
        </w:rPr>
      </w:pPr>
      <w:r>
        <w:rPr>
          <w:b/>
          <w:sz w:val="16"/>
        </w:rPr>
        <w:t>Total Contribuciones</w:t>
      </w:r>
      <w:r>
        <w:rPr>
          <w:b/>
          <w:spacing w:val="-13"/>
          <w:sz w:val="16"/>
        </w:rPr>
        <w:t> </w:t>
      </w:r>
      <w:r>
        <w:rPr>
          <w:b/>
          <w:sz w:val="16"/>
        </w:rPr>
        <w:t>Sociales</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7"/>
        <w:rPr>
          <w:b/>
          <w:sz w:val="18"/>
        </w:rPr>
      </w:pPr>
    </w:p>
    <w:p>
      <w:pPr>
        <w:spacing w:before="1"/>
        <w:ind w:left="467" w:right="0" w:firstLine="0"/>
        <w:jc w:val="left"/>
        <w:rPr>
          <w:b/>
          <w:sz w:val="16"/>
        </w:rPr>
      </w:pPr>
      <w:r>
        <w:rPr>
          <w:b/>
          <w:sz w:val="16"/>
        </w:rPr>
        <w:t>Contribuciones a la seguridad</w:t>
      </w:r>
      <w:r>
        <w:rPr>
          <w:b/>
          <w:spacing w:val="-17"/>
          <w:sz w:val="16"/>
        </w:rPr>
        <w:t> </w:t>
      </w:r>
      <w:r>
        <w:rPr>
          <w:b/>
          <w:sz w:val="16"/>
        </w:rPr>
        <w:t>social</w:t>
      </w:r>
    </w:p>
    <w:p>
      <w:pPr>
        <w:pStyle w:val="BodyText"/>
        <w:rPr>
          <w:b/>
          <w:sz w:val="14"/>
        </w:rPr>
      </w:pPr>
      <w:r>
        <w:rPr/>
        <w:br w:type="column"/>
      </w:r>
      <w:r>
        <w:rPr>
          <w:b/>
          <w:sz w:val="14"/>
        </w:rPr>
      </w: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spacing w:before="7"/>
        <w:rPr>
          <w:b/>
          <w:sz w:val="16"/>
        </w:rPr>
      </w:pPr>
    </w:p>
    <w:p>
      <w:pPr>
        <w:spacing w:line="283" w:lineRule="auto" w:before="1"/>
        <w:ind w:left="677" w:right="2101" w:hanging="188"/>
        <w:jc w:val="both"/>
        <w:rPr>
          <w:sz w:val="14"/>
        </w:rPr>
      </w:pPr>
      <w:r>
        <w:rPr>
          <w:b/>
          <w:sz w:val="16"/>
        </w:rPr>
        <w:t>Otras contribuciones sociales </w:t>
      </w:r>
      <w:r>
        <w:rPr>
          <w:color w:val="6FAC46"/>
          <w:sz w:val="14"/>
        </w:rPr>
        <w:t>Gobierno Central</w:t>
      </w:r>
      <w:r>
        <w:rPr>
          <w:color w:val="6FAC46"/>
          <w:spacing w:val="-13"/>
          <w:sz w:val="14"/>
        </w:rPr>
        <w:t> </w:t>
      </w:r>
      <w:r>
        <w:rPr>
          <w:color w:val="6FAC46"/>
          <w:sz w:val="14"/>
        </w:rPr>
        <w:t>Presupuestario </w:t>
      </w:r>
      <w:r>
        <w:rPr>
          <w:color w:val="4471C4"/>
          <w:sz w:val="14"/>
        </w:rPr>
        <w:t>Gobierno</w:t>
      </w:r>
      <w:r>
        <w:rPr>
          <w:color w:val="4471C4"/>
          <w:spacing w:val="-1"/>
          <w:sz w:val="14"/>
        </w:rPr>
        <w:t> </w:t>
      </w:r>
      <w:r>
        <w:rPr>
          <w:color w:val="4471C4"/>
          <w:sz w:val="14"/>
        </w:rPr>
        <w:t>General</w:t>
      </w:r>
    </w:p>
    <w:p>
      <w:pPr>
        <w:spacing w:after="0" w:line="283" w:lineRule="auto"/>
        <w:jc w:val="both"/>
        <w:rPr>
          <w:sz w:val="14"/>
        </w:rPr>
        <w:sectPr>
          <w:type w:val="continuous"/>
          <w:pgSz w:w="12240" w:h="15840"/>
          <w:pgMar w:top="1500" w:bottom="280" w:left="1140" w:right="0"/>
          <w:cols w:num="4" w:equalWidth="0">
            <w:col w:w="876" w:space="40"/>
            <w:col w:w="2555" w:space="39"/>
            <w:col w:w="2938" w:space="40"/>
            <w:col w:w="4612"/>
          </w:cols>
        </w:sectPr>
      </w:pPr>
    </w:p>
    <w:p>
      <w:pPr>
        <w:spacing w:before="40"/>
        <w:ind w:left="562" w:right="0" w:firstLine="0"/>
        <w:jc w:val="both"/>
        <w:rPr>
          <w:sz w:val="16"/>
        </w:rPr>
      </w:pPr>
      <w:r>
        <w:rPr>
          <w:sz w:val="16"/>
        </w:rPr>
        <w:t>Fuente: Dirección de Análisis y Política Fiscal</w:t>
      </w:r>
    </w:p>
    <w:p>
      <w:pPr>
        <w:pStyle w:val="BodyText"/>
        <w:rPr>
          <w:sz w:val="23"/>
        </w:rPr>
      </w:pPr>
    </w:p>
    <w:p>
      <w:pPr>
        <w:pStyle w:val="BodyText"/>
        <w:spacing w:line="276" w:lineRule="auto"/>
        <w:ind w:left="562" w:right="1694"/>
        <w:jc w:val="both"/>
      </w:pPr>
      <w:r>
        <w:rPr/>
        <w:t>Los otros ingresos se incrementan en 0.9 puntos porcentuales respecto al Gobierno Central Presupuestario</w:t>
      </w:r>
      <w:r>
        <w:rPr>
          <w:spacing w:val="-7"/>
        </w:rPr>
        <w:t> </w:t>
      </w:r>
      <w:r>
        <w:rPr/>
        <w:t>y</w:t>
      </w:r>
      <w:r>
        <w:rPr>
          <w:spacing w:val="-6"/>
        </w:rPr>
        <w:t> </w:t>
      </w:r>
      <w:r>
        <w:rPr/>
        <w:t>situándose</w:t>
      </w:r>
      <w:r>
        <w:rPr>
          <w:spacing w:val="-5"/>
        </w:rPr>
        <w:t> </w:t>
      </w:r>
      <w:r>
        <w:rPr/>
        <w:t>en</w:t>
      </w:r>
      <w:r>
        <w:rPr>
          <w:spacing w:val="-7"/>
        </w:rPr>
        <w:t> </w:t>
      </w:r>
      <w:r>
        <w:rPr/>
        <w:t>torno</w:t>
      </w:r>
      <w:r>
        <w:rPr>
          <w:spacing w:val="-4"/>
        </w:rPr>
        <w:t> </w:t>
      </w:r>
      <w:r>
        <w:rPr/>
        <w:t>al</w:t>
      </w:r>
      <w:r>
        <w:rPr>
          <w:spacing w:val="-3"/>
        </w:rPr>
        <w:t> </w:t>
      </w:r>
      <w:r>
        <w:rPr/>
        <w:t>1.2%</w:t>
      </w:r>
      <w:r>
        <w:rPr>
          <w:spacing w:val="-4"/>
        </w:rPr>
        <w:t> </w:t>
      </w:r>
      <w:r>
        <w:rPr/>
        <w:t>del</w:t>
      </w:r>
      <w:r>
        <w:rPr>
          <w:spacing w:val="-3"/>
        </w:rPr>
        <w:t> </w:t>
      </w:r>
      <w:r>
        <w:rPr/>
        <w:t>PIB</w:t>
      </w:r>
      <w:r>
        <w:rPr>
          <w:spacing w:val="-6"/>
        </w:rPr>
        <w:t> </w:t>
      </w:r>
      <w:r>
        <w:rPr/>
        <w:t>en</w:t>
      </w:r>
      <w:r>
        <w:rPr>
          <w:spacing w:val="-3"/>
        </w:rPr>
        <w:t> </w:t>
      </w:r>
      <w:r>
        <w:rPr/>
        <w:t>2021.</w:t>
      </w:r>
      <w:r>
        <w:rPr>
          <w:spacing w:val="-4"/>
        </w:rPr>
        <w:t> </w:t>
      </w:r>
      <w:r>
        <w:rPr/>
        <w:t>En</w:t>
      </w:r>
      <w:r>
        <w:rPr>
          <w:spacing w:val="-5"/>
        </w:rPr>
        <w:t> </w:t>
      </w:r>
      <w:r>
        <w:rPr/>
        <w:t>esta</w:t>
      </w:r>
      <w:r>
        <w:rPr>
          <w:spacing w:val="-6"/>
        </w:rPr>
        <w:t> </w:t>
      </w:r>
      <w:r>
        <w:rPr/>
        <w:t>categoría,</w:t>
      </w:r>
      <w:r>
        <w:rPr>
          <w:spacing w:val="-6"/>
        </w:rPr>
        <w:t> </w:t>
      </w:r>
      <w:r>
        <w:rPr/>
        <w:t>la</w:t>
      </w:r>
      <w:r>
        <w:rPr>
          <w:spacing w:val="-4"/>
        </w:rPr>
        <w:t> </w:t>
      </w:r>
      <w:r>
        <w:rPr/>
        <w:t>venta</w:t>
      </w:r>
      <w:r>
        <w:rPr>
          <w:spacing w:val="-3"/>
        </w:rPr>
        <w:t> </w:t>
      </w:r>
      <w:r>
        <w:rPr/>
        <w:t>de</w:t>
      </w:r>
      <w:r>
        <w:rPr>
          <w:spacing w:val="-3"/>
        </w:rPr>
        <w:t> </w:t>
      </w:r>
      <w:r>
        <w:rPr/>
        <w:t>bienes</w:t>
      </w:r>
      <w:r>
        <w:rPr>
          <w:spacing w:val="-4"/>
        </w:rPr>
        <w:t> </w:t>
      </w:r>
      <w:r>
        <w:rPr/>
        <w:t>y servicios son los más sobresalientes siendo el 0.6% del PIB, seguidos de las rentas de la propiedad (intereses, dividendos y arriendo de activos públicos naturales) con el 0.3% del PIB. luego se encuentran</w:t>
      </w:r>
      <w:r>
        <w:rPr>
          <w:spacing w:val="-9"/>
        </w:rPr>
        <w:t> </w:t>
      </w:r>
      <w:r>
        <w:rPr/>
        <w:t>las</w:t>
      </w:r>
      <w:r>
        <w:rPr>
          <w:spacing w:val="-8"/>
        </w:rPr>
        <w:t> </w:t>
      </w:r>
      <w:r>
        <w:rPr/>
        <w:t>multas,</w:t>
      </w:r>
      <w:r>
        <w:rPr>
          <w:spacing w:val="-11"/>
        </w:rPr>
        <w:t> </w:t>
      </w:r>
      <w:r>
        <w:rPr/>
        <w:t>sanciones</w:t>
      </w:r>
      <w:r>
        <w:rPr>
          <w:spacing w:val="-8"/>
        </w:rPr>
        <w:t> </w:t>
      </w:r>
      <w:r>
        <w:rPr/>
        <w:t>pecuniarias</w:t>
      </w:r>
      <w:r>
        <w:rPr>
          <w:spacing w:val="-8"/>
        </w:rPr>
        <w:t> </w:t>
      </w:r>
      <w:r>
        <w:rPr/>
        <w:t>y</w:t>
      </w:r>
      <w:r>
        <w:rPr>
          <w:spacing w:val="-11"/>
        </w:rPr>
        <w:t> </w:t>
      </w:r>
      <w:r>
        <w:rPr/>
        <w:t>depósitos</w:t>
      </w:r>
      <w:r>
        <w:rPr>
          <w:spacing w:val="-8"/>
        </w:rPr>
        <w:t> </w:t>
      </w:r>
      <w:r>
        <w:rPr/>
        <w:t>de</w:t>
      </w:r>
      <w:r>
        <w:rPr>
          <w:spacing w:val="-8"/>
        </w:rPr>
        <w:t> </w:t>
      </w:r>
      <w:r>
        <w:rPr/>
        <w:t>caución</w:t>
      </w:r>
      <w:r>
        <w:rPr>
          <w:spacing w:val="-11"/>
        </w:rPr>
        <w:t> </w:t>
      </w:r>
      <w:r>
        <w:rPr/>
        <w:t>con</w:t>
      </w:r>
      <w:r>
        <w:rPr>
          <w:spacing w:val="-8"/>
        </w:rPr>
        <w:t> </w:t>
      </w:r>
      <w:r>
        <w:rPr/>
        <w:t>el</w:t>
      </w:r>
      <w:r>
        <w:rPr>
          <w:spacing w:val="-8"/>
        </w:rPr>
        <w:t> </w:t>
      </w:r>
      <w:r>
        <w:rPr/>
        <w:t>0.2%</w:t>
      </w:r>
      <w:r>
        <w:rPr>
          <w:spacing w:val="-8"/>
        </w:rPr>
        <w:t> </w:t>
      </w:r>
      <w:r>
        <w:rPr/>
        <w:t>del</w:t>
      </w:r>
      <w:r>
        <w:rPr>
          <w:spacing w:val="-8"/>
        </w:rPr>
        <w:t> </w:t>
      </w:r>
      <w:r>
        <w:rPr/>
        <w:t>PIB</w:t>
      </w:r>
      <w:r>
        <w:rPr>
          <w:spacing w:val="-7"/>
        </w:rPr>
        <w:t> </w:t>
      </w:r>
      <w:r>
        <w:rPr/>
        <w:t>y</w:t>
      </w:r>
      <w:r>
        <w:rPr>
          <w:spacing w:val="-11"/>
        </w:rPr>
        <w:t> </w:t>
      </w:r>
      <w:r>
        <w:rPr/>
        <w:t>por</w:t>
      </w:r>
      <w:r>
        <w:rPr>
          <w:spacing w:val="-8"/>
        </w:rPr>
        <w:t> </w:t>
      </w:r>
      <w:r>
        <w:rPr/>
        <w:t>ultimo las transferencias no clasificadas en otra parte con el 0.1% del</w:t>
      </w:r>
      <w:r>
        <w:rPr>
          <w:spacing w:val="-9"/>
        </w:rPr>
        <w:t> </w:t>
      </w:r>
      <w:r>
        <w:rPr/>
        <w:t>PIB.</w:t>
      </w:r>
    </w:p>
    <w:p>
      <w:pPr>
        <w:spacing w:after="0" w:line="276" w:lineRule="auto"/>
        <w:jc w:val="both"/>
        <w:sectPr>
          <w:type w:val="continuous"/>
          <w:pgSz w:w="12240" w:h="15840"/>
          <w:pgMar w:top="1500" w:bottom="280" w:left="1140" w:right="0"/>
        </w:sectPr>
      </w:pPr>
    </w:p>
    <w:p>
      <w:pPr>
        <w:pStyle w:val="BodyText"/>
        <w:spacing w:before="4"/>
        <w:rPr>
          <w:sz w:val="9"/>
        </w:rPr>
      </w:pPr>
    </w:p>
    <w:p>
      <w:pPr>
        <w:pStyle w:val="Heading2"/>
        <w:spacing w:before="90"/>
        <w:ind w:left="2238" w:right="3432"/>
        <w:jc w:val="center"/>
      </w:pPr>
      <w:r>
        <w:rPr/>
        <w:t>Otros Ingresos Según los Estandares Internacionales Para el año 2021</w:t>
      </w:r>
    </w:p>
    <w:p>
      <w:pPr>
        <w:pStyle w:val="BodyText"/>
        <w:spacing w:line="240" w:lineRule="exact" w:before="1"/>
        <w:ind w:left="1349" w:right="2542"/>
        <w:jc w:val="center"/>
      </w:pPr>
      <w:r>
        <w:rPr/>
        <w:pict>
          <v:group style="position:absolute;margin-left:84.720001pt;margin-top:10.329515pt;width:436.35pt;height:93.35pt;mso-position-horizontal-relative:page;mso-position-vertical-relative:paragraph;z-index:-279997440" coordorigin="1694,207" coordsize="8727,1867">
            <v:shape style="position:absolute;left:0;top:13839;width:6970;height:1448" coordorigin="0,13840" coordsize="6970,1448" path="m1702,234l1702,1681m3444,234l3444,1681m5186,234l5186,1681m6929,234l6929,1681m8671,234l8671,1681e" filled="false" stroked="true" strokeweight=".72pt" strokecolor="#d9d9d9">
              <v:path arrowok="t"/>
              <v:stroke dashstyle="solid"/>
            </v:shape>
            <v:shape style="position:absolute;left:1956;top:1275;width:7706;height:418" type="#_x0000_t75" stroked="false">
              <v:imagedata r:id="rId408" o:title=""/>
            </v:shape>
            <v:shape style="position:absolute;left:2524;top:390;width:7704;height:1304" type="#_x0000_t75" stroked="false">
              <v:imagedata r:id="rId409" o:title=""/>
            </v:shape>
            <v:rect style="position:absolute;left:2004;top:1410;width:569;height:272" filled="true" fillcolor="#6fac46" stroked="false">
              <v:fill type="solid"/>
            </v:rect>
            <v:line style="position:absolute" from="3746,1627" to="4315,1627" stroked="true" strokeweight="5.4pt" strokecolor="#6fac46">
              <v:stroke dashstyle="solid"/>
            </v:line>
            <v:line style="position:absolute" from="5489,1656" to="6058,1656" stroked="true" strokeweight="2.52pt" strokecolor="#6fac46">
              <v:stroke dashstyle="solid"/>
            </v:line>
            <v:line style="position:absolute" from="7231,1631" to="7800,1631" stroked="true" strokeweight="5.04pt" strokecolor="#6fac46">
              <v:stroke dashstyle="solid"/>
            </v:line>
            <v:line style="position:absolute" from="8974,1674" to="9542,1674" stroked="true" strokeweight=".72pt" strokecolor="#6fac46">
              <v:stroke dashstyle="solid"/>
            </v:line>
            <v:shape style="position:absolute;left:0;top:13839;width:5796;height:272" coordorigin="0,13840" coordsize="5796,272" path="m2004,1410l2573,1410,2573,1681,2004,1681,2004,1410xm3746,1573l4315,1573,4315,1681,3746,1681,3746,1573xm5489,1631l6058,1631,6058,1681,5489,1681,5489,1631xm7231,1581l7800,1581,7800,1681,7231,1681,7231,1581xe" filled="false" stroked="true" strokeweight=".72pt" strokecolor="#000000">
              <v:path arrowok="t"/>
              <v:stroke dashstyle="solid"/>
            </v:shape>
            <v:line style="position:absolute" from="8966,1674" to="9550,1674" stroked="true" strokeweight="1.44pt" strokecolor="#000000">
              <v:stroke dashstyle="solid"/>
            </v:line>
            <v:shape style="position:absolute;left:2572;top:524;width:5794;height:1157" coordorigin="2573,525" coordsize="5794,1157" path="m3139,525l2573,525,2573,1681,3139,1681,3139,525m4882,1077l4315,1077,4315,1681,4882,1681,4882,1077m6624,1372l6058,1372,6058,1681,6624,1681,6624,1372m8366,1523l7800,1523,7800,1681,8366,1681,8366,1523e" filled="true" fillcolor="#4471c4" stroked="false">
              <v:path arrowok="t"/>
              <v:fill type="solid"/>
            </v:shape>
            <v:line style="position:absolute" from="9542,1638" to="10109,1638" stroked="true" strokeweight="4.32pt" strokecolor="#4471c4">
              <v:stroke dashstyle="solid"/>
            </v:line>
            <v:shape style="position:absolute;left:0;top:13839;width:7536;height:1157" coordorigin="0,13840" coordsize="7536,1157" path="m2573,525l3139,525,3139,1681,2573,1681,2573,525xm4315,1077l4882,1077,4882,1681,4315,1681,4315,1077xm6058,1372l6624,1372,6624,1681,6058,1681,6058,1372xm7800,1523l8366,1523,8366,1681,7800,1681,7800,1523xm9542,1595l10109,1595,10109,1681,9542,1681,9542,1595xe" filled="false" stroked="true" strokeweight=".72pt" strokecolor="#000000">
              <v:path arrowok="t"/>
              <v:stroke dashstyle="solid"/>
            </v:shape>
            <v:line style="position:absolute" from="10414,234" to="10414,1681" stroked="true" strokeweight=".72pt" strokecolor="#d9d9d9">
              <v:stroke dashstyle="solid"/>
            </v:line>
            <v:shape style="position:absolute;left:0;top:13839;width:8712;height:46" coordorigin="0,13840" coordsize="8712,46" path="m1702,1681l10414,1681m1702,1681l1702,1727m3444,1681l3444,1727m5186,1681l5186,1727m6929,1681l6929,1727m8671,1681l8671,1727m10414,1681l10414,1727e" filled="false" stroked="true" strokeweight=".72pt" strokecolor="#d9d9d9">
              <v:path arrowok="t"/>
              <v:stroke dashstyle="solid"/>
            </v:shape>
            <v:rect style="position:absolute;left:8500;top:313;width:70;height:70" filled="true" fillcolor="#6fac46" stroked="false">
              <v:fill type="solid"/>
            </v:rect>
            <v:rect style="position:absolute;left:8500;top:313;width:70;height:70" filled="false" stroked="true" strokeweight=".72pt" strokecolor="#000000">
              <v:stroke dashstyle="solid"/>
            </v:rect>
            <v:rect style="position:absolute;left:8500;top:507;width:70;height:70" filled="true" fillcolor="#4471c4" stroked="false">
              <v:fill type="solid"/>
            </v:rect>
            <v:rect style="position:absolute;left:8500;top:507;width:70;height:70" filled="false" stroked="true" strokeweight=".72pt" strokecolor="#000000">
              <v:stroke dashstyle="solid"/>
            </v:rect>
            <v:line style="position:absolute" from="3424,207" to="3424,2073" stroked="true" strokeweight="1.56pt" strokecolor="#000000">
              <v:stroke dashstyle="shortdash"/>
            </v:line>
            <w10:wrap type="none"/>
          </v:group>
        </w:pict>
      </w:r>
      <w:r>
        <w:rPr/>
        <w:t>Como porcentajes del PIB</w:t>
      </w:r>
    </w:p>
    <w:p>
      <w:pPr>
        <w:tabs>
          <w:tab w:pos="7459" w:val="left" w:leader="none"/>
        </w:tabs>
        <w:spacing w:line="194" w:lineRule="exact" w:before="0"/>
        <w:ind w:left="1601" w:right="0" w:firstLine="0"/>
        <w:jc w:val="left"/>
        <w:rPr>
          <w:sz w:val="14"/>
        </w:rPr>
      </w:pPr>
      <w:r>
        <w:rPr>
          <w:color w:val="4471C4"/>
          <w:sz w:val="18"/>
        </w:rPr>
        <w:t>1.2</w:t>
        <w:tab/>
      </w:r>
      <w:r>
        <w:rPr>
          <w:sz w:val="14"/>
        </w:rPr>
        <w:t>Gobierno Central</w:t>
      </w:r>
      <w:r>
        <w:rPr>
          <w:spacing w:val="-1"/>
          <w:sz w:val="14"/>
        </w:rPr>
        <w:t> </w:t>
      </w:r>
      <w:r>
        <w:rPr>
          <w:sz w:val="14"/>
        </w:rPr>
        <w:t>Presupuestario</w:t>
      </w:r>
    </w:p>
    <w:p>
      <w:pPr>
        <w:spacing w:before="20"/>
        <w:ind w:left="0" w:right="2633" w:firstLine="0"/>
        <w:jc w:val="right"/>
        <w:rPr>
          <w:sz w:val="14"/>
        </w:rPr>
      </w:pPr>
      <w:r>
        <w:rPr>
          <w:sz w:val="14"/>
        </w:rPr>
        <w:t>Gobierno General</w:t>
      </w:r>
    </w:p>
    <w:p>
      <w:pPr>
        <w:spacing w:after="0"/>
        <w:jc w:val="right"/>
        <w:rPr>
          <w:sz w:val="14"/>
        </w:rPr>
        <w:sectPr>
          <w:pgSz w:w="12240" w:h="15840"/>
          <w:pgMar w:header="715" w:footer="688" w:top="1240" w:bottom="880" w:left="1140" w:right="0"/>
        </w:sectPr>
      </w:pPr>
    </w:p>
    <w:p>
      <w:pPr>
        <w:pStyle w:val="BodyText"/>
        <w:rPr>
          <w:sz w:val="20"/>
        </w:rPr>
      </w:pPr>
    </w:p>
    <w:p>
      <w:pPr>
        <w:pStyle w:val="BodyText"/>
        <w:spacing w:before="2"/>
        <w:rPr>
          <w:sz w:val="23"/>
        </w:rPr>
      </w:pPr>
    </w:p>
    <w:p>
      <w:pPr>
        <w:spacing w:before="0"/>
        <w:ind w:left="0" w:right="38" w:firstLine="0"/>
        <w:jc w:val="right"/>
        <w:rPr>
          <w:b/>
          <w:sz w:val="18"/>
        </w:rPr>
      </w:pPr>
      <w:r>
        <w:rPr>
          <w:b/>
          <w:color w:val="6FAC46"/>
          <w:sz w:val="18"/>
        </w:rPr>
        <w:t>0.3</w:t>
      </w:r>
    </w:p>
    <w:p>
      <w:pPr>
        <w:pStyle w:val="BodyText"/>
        <w:rPr>
          <w:b/>
          <w:sz w:val="20"/>
        </w:rPr>
      </w:pPr>
      <w:r>
        <w:rPr/>
        <w:br w:type="column"/>
      </w:r>
      <w:r>
        <w:rPr>
          <w:b/>
          <w:sz w:val="20"/>
        </w:rPr>
      </w:r>
    </w:p>
    <w:p>
      <w:pPr>
        <w:pStyle w:val="BodyText"/>
        <w:rPr>
          <w:b/>
          <w:sz w:val="20"/>
        </w:rPr>
      </w:pPr>
    </w:p>
    <w:p>
      <w:pPr>
        <w:pStyle w:val="BodyText"/>
        <w:spacing w:before="6"/>
        <w:rPr>
          <w:b/>
          <w:sz w:val="17"/>
        </w:rPr>
      </w:pPr>
    </w:p>
    <w:p>
      <w:pPr>
        <w:spacing w:before="0"/>
        <w:ind w:left="0" w:right="0" w:firstLine="0"/>
        <w:jc w:val="right"/>
        <w:rPr>
          <w:b/>
          <w:sz w:val="18"/>
        </w:rPr>
      </w:pPr>
      <w:r>
        <w:rPr>
          <w:b/>
          <w:color w:val="6FAC46"/>
          <w:sz w:val="18"/>
        </w:rPr>
        <w:t>0.1</w:t>
      </w:r>
    </w:p>
    <w:p>
      <w:pPr>
        <w:spacing w:before="163"/>
        <w:ind w:left="301" w:right="0" w:firstLine="0"/>
        <w:jc w:val="left"/>
        <w:rPr>
          <w:sz w:val="18"/>
        </w:rPr>
      </w:pPr>
      <w:r>
        <w:rPr/>
        <w:br w:type="column"/>
      </w:r>
      <w:r>
        <w:rPr>
          <w:color w:val="4471C4"/>
          <w:sz w:val="18"/>
        </w:rPr>
        <w:t>0.6</w:t>
      </w:r>
    </w:p>
    <w:p>
      <w:pPr>
        <w:pStyle w:val="BodyText"/>
        <w:rPr>
          <w:sz w:val="20"/>
        </w:rPr>
      </w:pPr>
      <w:r>
        <w:rPr/>
        <w:br w:type="column"/>
      </w:r>
      <w:r>
        <w:rPr>
          <w:sz w:val="20"/>
        </w:rPr>
      </w:r>
    </w:p>
    <w:p>
      <w:pPr>
        <w:pStyle w:val="BodyText"/>
        <w:rPr>
          <w:sz w:val="20"/>
        </w:rPr>
      </w:pPr>
    </w:p>
    <w:p>
      <w:pPr>
        <w:pStyle w:val="BodyText"/>
        <w:spacing w:before="4"/>
      </w:pPr>
    </w:p>
    <w:p>
      <w:pPr>
        <w:spacing w:before="0"/>
        <w:ind w:left="0" w:right="0" w:firstLine="0"/>
        <w:jc w:val="right"/>
        <w:rPr>
          <w:b/>
          <w:sz w:val="18"/>
        </w:rPr>
      </w:pPr>
      <w:r>
        <w:rPr>
          <w:b/>
          <w:color w:val="6FAC46"/>
          <w:sz w:val="18"/>
        </w:rPr>
        <w:t>0.1</w:t>
      </w:r>
    </w:p>
    <w:p>
      <w:pPr>
        <w:pStyle w:val="BodyText"/>
        <w:rPr>
          <w:b/>
          <w:sz w:val="20"/>
        </w:rPr>
      </w:pPr>
      <w:r>
        <w:rPr/>
        <w:br w:type="column"/>
      </w:r>
      <w:r>
        <w:rPr>
          <w:b/>
          <w:sz w:val="20"/>
        </w:rPr>
      </w:r>
    </w:p>
    <w:p>
      <w:pPr>
        <w:pStyle w:val="BodyText"/>
        <w:spacing w:before="10"/>
        <w:rPr>
          <w:b/>
          <w:sz w:val="19"/>
        </w:rPr>
      </w:pPr>
    </w:p>
    <w:p>
      <w:pPr>
        <w:spacing w:before="0"/>
        <w:ind w:left="301" w:right="0" w:firstLine="0"/>
        <w:jc w:val="left"/>
        <w:rPr>
          <w:sz w:val="18"/>
        </w:rPr>
      </w:pPr>
      <w:r>
        <w:rPr>
          <w:color w:val="4471C4"/>
          <w:sz w:val="18"/>
        </w:rPr>
        <w:t>0.3</w:t>
      </w:r>
    </w:p>
    <w:p>
      <w:pPr>
        <w:pStyle w:val="BodyText"/>
        <w:rPr>
          <w:sz w:val="20"/>
        </w:rPr>
      </w:pPr>
      <w:r>
        <w:rPr/>
        <w:br w:type="column"/>
      </w:r>
      <w:r>
        <w:rPr>
          <w:sz w:val="20"/>
        </w:rPr>
      </w:r>
    </w:p>
    <w:p>
      <w:pPr>
        <w:pStyle w:val="BodyText"/>
        <w:rPr>
          <w:sz w:val="20"/>
        </w:rPr>
      </w:pPr>
    </w:p>
    <w:p>
      <w:pPr>
        <w:pStyle w:val="BodyText"/>
        <w:rPr>
          <w:sz w:val="18"/>
        </w:rPr>
      </w:pPr>
    </w:p>
    <w:p>
      <w:pPr>
        <w:spacing w:before="0"/>
        <w:ind w:left="0" w:right="0" w:firstLine="0"/>
        <w:jc w:val="right"/>
        <w:rPr>
          <w:b/>
          <w:sz w:val="18"/>
        </w:rPr>
      </w:pPr>
      <w:r>
        <w:rPr>
          <w:b/>
          <w:color w:val="6FAC46"/>
          <w:sz w:val="18"/>
        </w:rPr>
        <w:t>0.1</w:t>
      </w:r>
    </w:p>
    <w:p>
      <w:pPr>
        <w:pStyle w:val="BodyText"/>
        <w:rPr>
          <w:b/>
          <w:sz w:val="20"/>
        </w:rPr>
      </w:pPr>
      <w:r>
        <w:rPr/>
        <w:br w:type="column"/>
      </w:r>
      <w:r>
        <w:rPr>
          <w:b/>
          <w:sz w:val="20"/>
        </w:rPr>
      </w:r>
    </w:p>
    <w:p>
      <w:pPr>
        <w:pStyle w:val="BodyText"/>
        <w:rPr>
          <w:b/>
          <w:sz w:val="20"/>
        </w:rPr>
      </w:pPr>
    </w:p>
    <w:p>
      <w:pPr>
        <w:spacing w:before="151"/>
        <w:ind w:left="301" w:right="0" w:firstLine="0"/>
        <w:jc w:val="left"/>
        <w:rPr>
          <w:sz w:val="18"/>
        </w:rPr>
      </w:pPr>
      <w:r>
        <w:rPr>
          <w:color w:val="4471C4"/>
          <w:sz w:val="18"/>
        </w:rPr>
        <w:t>0.2</w:t>
      </w:r>
    </w:p>
    <w:p>
      <w:pPr>
        <w:pStyle w:val="BodyText"/>
        <w:rPr>
          <w:sz w:val="20"/>
        </w:rPr>
      </w:pPr>
      <w:r>
        <w:rPr/>
        <w:br w:type="column"/>
      </w:r>
      <w:r>
        <w:rPr>
          <w:sz w:val="20"/>
        </w:rPr>
      </w:r>
    </w:p>
    <w:p>
      <w:pPr>
        <w:pStyle w:val="BodyText"/>
        <w:rPr>
          <w:sz w:val="20"/>
        </w:rPr>
      </w:pPr>
    </w:p>
    <w:p>
      <w:pPr>
        <w:pStyle w:val="BodyText"/>
        <w:spacing w:before="6"/>
        <w:rPr>
          <w:sz w:val="25"/>
        </w:rPr>
      </w:pPr>
    </w:p>
    <w:p>
      <w:pPr>
        <w:spacing w:before="0"/>
        <w:ind w:left="0" w:right="0" w:firstLine="0"/>
        <w:jc w:val="right"/>
        <w:rPr>
          <w:b/>
          <w:sz w:val="18"/>
        </w:rPr>
      </w:pPr>
      <w:r>
        <w:rPr>
          <w:b/>
          <w:color w:val="6FAC46"/>
          <w:sz w:val="18"/>
        </w:rPr>
        <w:t>0.0</w:t>
      </w:r>
    </w:p>
    <w:p>
      <w:pPr>
        <w:pStyle w:val="BodyText"/>
        <w:rPr>
          <w:b/>
          <w:sz w:val="20"/>
        </w:rPr>
      </w:pPr>
      <w:r>
        <w:rPr/>
        <w:br w:type="column"/>
      </w:r>
      <w:r>
        <w:rPr>
          <w:b/>
          <w:sz w:val="20"/>
        </w:rPr>
      </w:r>
    </w:p>
    <w:p>
      <w:pPr>
        <w:pStyle w:val="BodyText"/>
        <w:rPr>
          <w:b/>
          <w:sz w:val="20"/>
        </w:rPr>
      </w:pPr>
    </w:p>
    <w:p>
      <w:pPr>
        <w:pStyle w:val="BodyText"/>
        <w:spacing w:before="3"/>
        <w:rPr>
          <w:b/>
          <w:sz w:val="19"/>
        </w:rPr>
      </w:pPr>
    </w:p>
    <w:p>
      <w:pPr>
        <w:spacing w:before="0"/>
        <w:ind w:left="300" w:right="0" w:firstLine="0"/>
        <w:jc w:val="left"/>
        <w:rPr>
          <w:sz w:val="18"/>
        </w:rPr>
      </w:pPr>
      <w:r>
        <w:rPr>
          <w:color w:val="4471C4"/>
          <w:sz w:val="18"/>
        </w:rPr>
        <w:t>0.1</w:t>
      </w:r>
    </w:p>
    <w:p>
      <w:pPr>
        <w:spacing w:after="0"/>
        <w:jc w:val="left"/>
        <w:rPr>
          <w:sz w:val="18"/>
        </w:rPr>
        <w:sectPr>
          <w:type w:val="continuous"/>
          <w:pgSz w:w="12240" w:h="15840"/>
          <w:pgMar w:top="1500" w:bottom="280" w:left="1140" w:right="0"/>
          <w:cols w:num="9" w:equalWidth="0">
            <w:col w:w="1301" w:space="441"/>
            <w:col w:w="1261" w:space="40"/>
            <w:col w:w="528" w:space="39"/>
            <w:col w:w="1135" w:space="40"/>
            <w:col w:w="528" w:space="40"/>
            <w:col w:w="1135" w:space="40"/>
            <w:col w:w="528" w:space="40"/>
            <w:col w:w="1135" w:space="40"/>
            <w:col w:w="2829"/>
          </w:cols>
        </w:sectPr>
      </w:pPr>
    </w:p>
    <w:p>
      <w:pPr>
        <w:pStyle w:val="BodyText"/>
        <w:spacing w:before="7"/>
        <w:rPr>
          <w:sz w:val="16"/>
        </w:rPr>
      </w:pPr>
    </w:p>
    <w:p>
      <w:pPr>
        <w:spacing w:before="0"/>
        <w:ind w:left="734" w:right="0" w:firstLine="0"/>
        <w:jc w:val="left"/>
        <w:rPr>
          <w:b/>
          <w:sz w:val="16"/>
        </w:rPr>
      </w:pPr>
      <w:r>
        <w:rPr>
          <w:b/>
          <w:sz w:val="16"/>
        </w:rPr>
        <w:t>Total Otros ingresos</w:t>
      </w:r>
    </w:p>
    <w:p>
      <w:pPr>
        <w:pStyle w:val="BodyText"/>
        <w:spacing w:before="7"/>
        <w:rPr>
          <w:b/>
          <w:sz w:val="16"/>
        </w:rPr>
      </w:pPr>
      <w:r>
        <w:rPr/>
        <w:br w:type="column"/>
      </w:r>
      <w:r>
        <w:rPr>
          <w:b/>
          <w:sz w:val="16"/>
        </w:rPr>
      </w:r>
    </w:p>
    <w:p>
      <w:pPr>
        <w:spacing w:before="0"/>
        <w:ind w:left="406" w:right="0" w:firstLine="0"/>
        <w:jc w:val="left"/>
        <w:rPr>
          <w:b/>
          <w:sz w:val="16"/>
        </w:rPr>
      </w:pPr>
      <w:r>
        <w:rPr>
          <w:b/>
          <w:sz w:val="16"/>
        </w:rPr>
        <w:t>Venta de bienes y</w:t>
      </w:r>
    </w:p>
    <w:p>
      <w:pPr>
        <w:pStyle w:val="BodyText"/>
        <w:spacing w:before="7"/>
        <w:rPr>
          <w:b/>
          <w:sz w:val="16"/>
        </w:rPr>
      </w:pPr>
      <w:r>
        <w:rPr/>
        <w:br w:type="column"/>
      </w:r>
      <w:r>
        <w:rPr>
          <w:b/>
          <w:sz w:val="16"/>
        </w:rPr>
      </w:r>
    </w:p>
    <w:p>
      <w:pPr>
        <w:tabs>
          <w:tab w:pos="2243" w:val="left" w:leader="none"/>
        </w:tabs>
        <w:spacing w:before="0"/>
        <w:ind w:left="316" w:right="0" w:firstLine="0"/>
        <w:jc w:val="left"/>
        <w:rPr>
          <w:b/>
          <w:sz w:val="16"/>
        </w:rPr>
      </w:pPr>
      <w:r>
        <w:rPr>
          <w:b/>
          <w:sz w:val="16"/>
        </w:rPr>
        <w:t>Rentas de</w:t>
      </w:r>
      <w:r>
        <w:rPr>
          <w:b/>
          <w:spacing w:val="-5"/>
          <w:sz w:val="16"/>
        </w:rPr>
        <w:t> </w:t>
      </w:r>
      <w:r>
        <w:rPr>
          <w:b/>
          <w:sz w:val="16"/>
        </w:rPr>
        <w:t>la</w:t>
      </w:r>
      <w:r>
        <w:rPr>
          <w:b/>
          <w:spacing w:val="-3"/>
          <w:sz w:val="16"/>
        </w:rPr>
        <w:t> </w:t>
      </w:r>
      <w:r>
        <w:rPr>
          <w:b/>
          <w:sz w:val="16"/>
        </w:rPr>
        <w:t>propiedad</w:t>
        <w:tab/>
        <w:t>Multas,</w:t>
      </w:r>
      <w:r>
        <w:rPr>
          <w:b/>
          <w:spacing w:val="5"/>
          <w:sz w:val="16"/>
        </w:rPr>
        <w:t> </w:t>
      </w:r>
      <w:r>
        <w:rPr>
          <w:b/>
          <w:spacing w:val="-3"/>
          <w:sz w:val="16"/>
        </w:rPr>
        <w:t>sanciones</w:t>
      </w:r>
    </w:p>
    <w:p>
      <w:pPr>
        <w:pStyle w:val="BodyText"/>
        <w:spacing w:before="7"/>
        <w:rPr>
          <w:b/>
          <w:sz w:val="16"/>
        </w:rPr>
      </w:pPr>
      <w:r>
        <w:rPr/>
        <w:br w:type="column"/>
      </w:r>
      <w:r>
        <w:rPr>
          <w:b/>
          <w:sz w:val="16"/>
        </w:rPr>
      </w:r>
    </w:p>
    <w:p>
      <w:pPr>
        <w:spacing w:before="0"/>
        <w:ind w:left="482" w:right="0" w:firstLine="0"/>
        <w:jc w:val="left"/>
        <w:rPr>
          <w:b/>
          <w:sz w:val="16"/>
        </w:rPr>
      </w:pPr>
      <w:r>
        <w:rPr>
          <w:b/>
          <w:sz w:val="16"/>
        </w:rPr>
        <w:t>Transferencias no</w:t>
      </w:r>
    </w:p>
    <w:p>
      <w:pPr>
        <w:spacing w:after="0"/>
        <w:jc w:val="left"/>
        <w:rPr>
          <w:sz w:val="16"/>
        </w:rPr>
        <w:sectPr>
          <w:type w:val="continuous"/>
          <w:pgSz w:w="12240" w:h="15840"/>
          <w:pgMar w:top="1500" w:bottom="280" w:left="1140" w:right="0"/>
          <w:cols w:num="4" w:equalWidth="0">
            <w:col w:w="2131" w:space="40"/>
            <w:col w:w="1603" w:space="39"/>
            <w:col w:w="3453" w:space="39"/>
            <w:col w:w="3795"/>
          </w:cols>
        </w:sectPr>
      </w:pPr>
    </w:p>
    <w:p>
      <w:pPr>
        <w:spacing w:before="0"/>
        <w:ind w:left="0" w:right="0" w:firstLine="0"/>
        <w:jc w:val="right"/>
        <w:rPr>
          <w:b/>
          <w:sz w:val="16"/>
        </w:rPr>
      </w:pPr>
      <w:r>
        <w:rPr>
          <w:b/>
          <w:sz w:val="16"/>
        </w:rPr>
        <w:t>servicios</w:t>
      </w:r>
    </w:p>
    <w:p>
      <w:pPr>
        <w:spacing w:before="0"/>
        <w:ind w:left="2357" w:right="1757" w:firstLine="4"/>
        <w:jc w:val="left"/>
        <w:rPr>
          <w:b/>
          <w:sz w:val="16"/>
        </w:rPr>
      </w:pPr>
      <w:r>
        <w:rPr/>
        <w:br w:type="column"/>
      </w:r>
      <w:r>
        <w:rPr>
          <w:b/>
          <w:sz w:val="16"/>
        </w:rPr>
        <w:t>pecuniarias y depósitos clasificadas en otra parte en caución transferidos</w:t>
      </w:r>
    </w:p>
    <w:p>
      <w:pPr>
        <w:spacing w:after="0"/>
        <w:jc w:val="left"/>
        <w:rPr>
          <w:sz w:val="16"/>
        </w:rPr>
        <w:sectPr>
          <w:type w:val="continuous"/>
          <w:pgSz w:w="12240" w:h="15840"/>
          <w:pgMar w:top="1500" w:bottom="280" w:left="1140" w:right="0"/>
          <w:cols w:num="2" w:equalWidth="0">
            <w:col w:w="3468" w:space="40"/>
            <w:col w:w="7592"/>
          </w:cols>
        </w:sectPr>
      </w:pPr>
    </w:p>
    <w:p>
      <w:pPr>
        <w:pStyle w:val="BodyText"/>
        <w:spacing w:before="7"/>
        <w:rPr>
          <w:b/>
          <w:sz w:val="25"/>
        </w:rPr>
      </w:pPr>
    </w:p>
    <w:p>
      <w:pPr>
        <w:spacing w:before="94"/>
        <w:ind w:left="562" w:right="0" w:firstLine="0"/>
        <w:jc w:val="both"/>
        <w:rPr>
          <w:sz w:val="16"/>
        </w:rPr>
      </w:pPr>
      <w:r>
        <w:rPr>
          <w:sz w:val="16"/>
        </w:rPr>
        <w:t>Fuente: Dirección de Análisis y Política Fiscal</w:t>
      </w:r>
    </w:p>
    <w:p>
      <w:pPr>
        <w:pStyle w:val="BodyText"/>
        <w:spacing w:before="5"/>
        <w:rPr>
          <w:sz w:val="23"/>
        </w:rPr>
      </w:pPr>
    </w:p>
    <w:p>
      <w:pPr>
        <w:pStyle w:val="Heading3"/>
        <w:numPr>
          <w:ilvl w:val="1"/>
          <w:numId w:val="54"/>
        </w:numPr>
        <w:tabs>
          <w:tab w:pos="1282" w:val="left" w:leader="none"/>
        </w:tabs>
        <w:spacing w:line="240" w:lineRule="auto" w:before="0" w:after="0"/>
        <w:ind w:left="1282" w:right="0" w:hanging="361"/>
        <w:jc w:val="left"/>
      </w:pPr>
      <w:bookmarkStart w:name="_bookmark242" w:id="321"/>
      <w:bookmarkEnd w:id="321"/>
      <w:r>
        <w:rPr>
          <w:b w:val="0"/>
        </w:rPr>
      </w:r>
      <w:bookmarkStart w:name="_bookmark242" w:id="322"/>
      <w:bookmarkEnd w:id="322"/>
      <w:r>
        <w:rPr/>
        <w:t>E</w:t>
      </w:r>
      <w:r>
        <w:rPr/>
        <w:t>l gasto del Gobierno Central</w:t>
      </w:r>
      <w:r>
        <w:rPr>
          <w:spacing w:val="-3"/>
        </w:rPr>
        <w:t> </w:t>
      </w:r>
      <w:r>
        <w:rPr/>
        <w:t>Presupuestario</w:t>
      </w:r>
    </w:p>
    <w:p>
      <w:pPr>
        <w:pStyle w:val="BodyText"/>
        <w:spacing w:before="1"/>
        <w:rPr>
          <w:b/>
          <w:sz w:val="28"/>
        </w:rPr>
      </w:pPr>
    </w:p>
    <w:p>
      <w:pPr>
        <w:pStyle w:val="BodyText"/>
        <w:spacing w:line="276" w:lineRule="auto"/>
        <w:ind w:left="562" w:right="1699"/>
        <w:jc w:val="both"/>
      </w:pPr>
      <w:r>
        <w:rPr/>
        <w:t>En cuanto al gasto a nivel de Gobierno General, este aumenta en 1.2 puntos porcentuales respecto al Gobierno Central Presupuestario y alcanzando los 14.5% del PIB para 2021. El mayor gasto que realiza este sector es el destinado al pago de remuneraciones a los empleados con 7.3% del PIB, seguido del uso de bienes y servicios con el 2.9% del PIB, luego las prestaciones sociales con 1.8% del PIB, siguen los intereses con el 1.5% del PIB, la categoría de otros gastos con el 0.9% del PIB seguido de los subsidios y por ultimo las donaciones con 0.04% del PIB.</w:t>
      </w:r>
    </w:p>
    <w:p>
      <w:pPr>
        <w:pStyle w:val="BodyText"/>
        <w:spacing w:line="276" w:lineRule="auto" w:before="160"/>
        <w:ind w:left="562" w:right="1700"/>
        <w:jc w:val="both"/>
      </w:pPr>
      <w:r>
        <w:rPr/>
        <w:t>Es oportuno comentar sobre el caso de las donaciones para el Gobierno Central Presupuestario que equivalen al 3.2% del PIB, pero a nivel del Gobierno General, estas disminuyan al 0%. Esto se debe a</w:t>
      </w:r>
      <w:r>
        <w:rPr>
          <w:spacing w:val="-9"/>
        </w:rPr>
        <w:t> </w:t>
      </w:r>
      <w:r>
        <w:rPr/>
        <w:t>que</w:t>
      </w:r>
      <w:r>
        <w:rPr>
          <w:spacing w:val="-12"/>
        </w:rPr>
        <w:t> </w:t>
      </w:r>
      <w:r>
        <w:rPr/>
        <w:t>el</w:t>
      </w:r>
      <w:r>
        <w:rPr>
          <w:spacing w:val="-10"/>
        </w:rPr>
        <w:t> </w:t>
      </w:r>
      <w:r>
        <w:rPr/>
        <w:t>proceso</w:t>
      </w:r>
      <w:r>
        <w:rPr>
          <w:spacing w:val="-9"/>
        </w:rPr>
        <w:t> </w:t>
      </w:r>
      <w:r>
        <w:rPr/>
        <w:t>de</w:t>
      </w:r>
      <w:r>
        <w:rPr>
          <w:spacing w:val="-9"/>
        </w:rPr>
        <w:t> </w:t>
      </w:r>
      <w:r>
        <w:rPr/>
        <w:t>consolidación</w:t>
      </w:r>
      <w:r>
        <w:rPr>
          <w:spacing w:val="-12"/>
        </w:rPr>
        <w:t> </w:t>
      </w:r>
      <w:r>
        <w:rPr/>
        <w:t>implica</w:t>
      </w:r>
      <w:r>
        <w:rPr>
          <w:spacing w:val="-10"/>
        </w:rPr>
        <w:t> </w:t>
      </w:r>
      <w:r>
        <w:rPr/>
        <w:t>la</w:t>
      </w:r>
      <w:r>
        <w:rPr>
          <w:spacing w:val="-11"/>
        </w:rPr>
        <w:t> </w:t>
      </w:r>
      <w:r>
        <w:rPr/>
        <w:t>eliminación</w:t>
      </w:r>
      <w:r>
        <w:rPr>
          <w:spacing w:val="-10"/>
        </w:rPr>
        <w:t> </w:t>
      </w:r>
      <w:r>
        <w:rPr/>
        <w:t>de</w:t>
      </w:r>
      <w:r>
        <w:rPr>
          <w:spacing w:val="-11"/>
        </w:rPr>
        <w:t> </w:t>
      </w:r>
      <w:r>
        <w:rPr/>
        <w:t>transacciones</w:t>
      </w:r>
      <w:r>
        <w:rPr>
          <w:spacing w:val="-9"/>
        </w:rPr>
        <w:t> </w:t>
      </w:r>
      <w:r>
        <w:rPr/>
        <w:t>recíprocas</w:t>
      </w:r>
      <w:r>
        <w:rPr>
          <w:spacing w:val="-9"/>
        </w:rPr>
        <w:t> </w:t>
      </w:r>
      <w:r>
        <w:rPr/>
        <w:t>y</w:t>
      </w:r>
      <w:r>
        <w:rPr>
          <w:spacing w:val="-11"/>
        </w:rPr>
        <w:t> </w:t>
      </w:r>
      <w:r>
        <w:rPr/>
        <w:t>en</w:t>
      </w:r>
      <w:r>
        <w:rPr>
          <w:spacing w:val="-11"/>
        </w:rPr>
        <w:t> </w:t>
      </w:r>
      <w:r>
        <w:rPr/>
        <w:t>su</w:t>
      </w:r>
      <w:r>
        <w:rPr>
          <w:spacing w:val="-9"/>
        </w:rPr>
        <w:t> </w:t>
      </w:r>
      <w:r>
        <w:rPr/>
        <w:t>mayoría, estas</w:t>
      </w:r>
      <w:r>
        <w:rPr>
          <w:spacing w:val="-12"/>
        </w:rPr>
        <w:t> </w:t>
      </w:r>
      <w:r>
        <w:rPr/>
        <w:t>son</w:t>
      </w:r>
      <w:r>
        <w:rPr>
          <w:spacing w:val="-14"/>
        </w:rPr>
        <w:t> </w:t>
      </w:r>
      <w:r>
        <w:rPr/>
        <w:t>transferencias</w:t>
      </w:r>
      <w:r>
        <w:rPr>
          <w:spacing w:val="-14"/>
        </w:rPr>
        <w:t> </w:t>
      </w:r>
      <w:r>
        <w:rPr/>
        <w:t>que</w:t>
      </w:r>
      <w:r>
        <w:rPr>
          <w:spacing w:val="-14"/>
        </w:rPr>
        <w:t> </w:t>
      </w:r>
      <w:r>
        <w:rPr/>
        <w:t>se</w:t>
      </w:r>
      <w:r>
        <w:rPr>
          <w:spacing w:val="-11"/>
        </w:rPr>
        <w:t> </w:t>
      </w:r>
      <w:r>
        <w:rPr/>
        <w:t>realizan</w:t>
      </w:r>
      <w:r>
        <w:rPr>
          <w:spacing w:val="-11"/>
        </w:rPr>
        <w:t> </w:t>
      </w:r>
      <w:r>
        <w:rPr/>
        <w:t>desde</w:t>
      </w:r>
      <w:r>
        <w:rPr>
          <w:spacing w:val="-14"/>
        </w:rPr>
        <w:t> </w:t>
      </w:r>
      <w:r>
        <w:rPr/>
        <w:t>el</w:t>
      </w:r>
      <w:r>
        <w:rPr>
          <w:spacing w:val="-11"/>
        </w:rPr>
        <w:t> </w:t>
      </w:r>
      <w:r>
        <w:rPr/>
        <w:t>Gobierno</w:t>
      </w:r>
      <w:r>
        <w:rPr>
          <w:spacing w:val="-12"/>
        </w:rPr>
        <w:t> </w:t>
      </w:r>
      <w:r>
        <w:rPr/>
        <w:t>Central</w:t>
      </w:r>
      <w:r>
        <w:rPr>
          <w:spacing w:val="-12"/>
        </w:rPr>
        <w:t> </w:t>
      </w:r>
      <w:r>
        <w:rPr/>
        <w:t>Presupuestario</w:t>
      </w:r>
      <w:r>
        <w:rPr>
          <w:spacing w:val="-14"/>
        </w:rPr>
        <w:t> </w:t>
      </w:r>
      <w:r>
        <w:rPr/>
        <w:t>al</w:t>
      </w:r>
      <w:r>
        <w:rPr>
          <w:spacing w:val="-15"/>
        </w:rPr>
        <w:t> </w:t>
      </w:r>
      <w:r>
        <w:rPr/>
        <w:t>resto</w:t>
      </w:r>
      <w:r>
        <w:rPr>
          <w:spacing w:val="-12"/>
        </w:rPr>
        <w:t> </w:t>
      </w:r>
      <w:r>
        <w:rPr/>
        <w:t>de</w:t>
      </w:r>
      <w:r>
        <w:rPr>
          <w:spacing w:val="-11"/>
        </w:rPr>
        <w:t> </w:t>
      </w:r>
      <w:r>
        <w:rPr/>
        <w:t>entidades públicas para financiar su</w:t>
      </w:r>
      <w:r>
        <w:rPr>
          <w:spacing w:val="-5"/>
        </w:rPr>
        <w:t> </w:t>
      </w:r>
      <w:r>
        <w:rPr/>
        <w:t>gasto.</w:t>
      </w:r>
    </w:p>
    <w:p>
      <w:pPr>
        <w:pStyle w:val="Heading2"/>
        <w:spacing w:before="197"/>
        <w:ind w:left="2805" w:right="3675"/>
        <w:jc w:val="center"/>
      </w:pPr>
      <w:r>
        <w:rPr/>
        <w:t>Gastos según los Estandares Internacionales Para el año 2021</w:t>
      </w:r>
    </w:p>
    <w:p>
      <w:pPr>
        <w:pStyle w:val="BodyText"/>
        <w:spacing w:before="2"/>
        <w:ind w:left="1395" w:right="2260"/>
        <w:jc w:val="center"/>
      </w:pPr>
      <w:r>
        <w:rPr/>
        <w:t>Como porecentajes del PIB</w:t>
      </w:r>
    </w:p>
    <w:p>
      <w:pPr>
        <w:pStyle w:val="BodyText"/>
        <w:spacing w:before="10"/>
        <w:rPr>
          <w:sz w:val="9"/>
        </w:rPr>
      </w:pPr>
    </w:p>
    <w:p>
      <w:pPr>
        <w:spacing w:before="93"/>
        <w:ind w:left="0" w:right="8131" w:firstLine="0"/>
        <w:jc w:val="right"/>
        <w:rPr>
          <w:b/>
          <w:sz w:val="18"/>
        </w:rPr>
      </w:pPr>
      <w:r>
        <w:rPr/>
        <w:pict>
          <v:group style="position:absolute;margin-left:209.160004pt;margin-top:-2.087664pt;width:331.2pt;height:191.4pt;mso-position-horizontal-relative:page;mso-position-vertical-relative:paragraph;z-index:253335552" coordorigin="4183,-42" coordsize="6624,3828">
            <v:shape style="position:absolute;left:0;top:2286;width:6550;height:3339" coordorigin="0,2286" coordsize="6550,3339" path="m4258,3779l10807,3779m4258,3301l10807,3301m4258,2826l10807,2826m4258,2349l10807,2349m4258,1871l10807,1871m4258,1396l10807,1396m4258,918l10807,918m4258,441l10807,441e" filled="false" stroked="true" strokeweight=".72pt" strokecolor="#d9d9d9">
              <v:path arrowok="t"/>
              <v:stroke dashstyle="solid"/>
            </v:shape>
            <v:shape style="position:absolute;left:4257;top:68;width:6062;height:3696" type="#_x0000_t75" stroked="false">
              <v:imagedata r:id="rId410" o:title=""/>
            </v:shape>
            <v:line style="position:absolute" from="4258,-35" to="10807,-35" stroked="true" strokeweight=".72pt" strokecolor="#d9d9d9">
              <v:stroke dashstyle="solid"/>
            </v:line>
            <v:shape style="position:absolute;left:4257;top:-37;width:5556;height:3612" type="#_x0000_t75" stroked="false">
              <v:imagedata r:id="rId411" o:title=""/>
            </v:shape>
            <v:shape style="position:absolute;left:4257;top:1155;width:5943;height:2576" coordorigin="4258,1156" coordsize="5943,2576" path="m4618,1156l4258,1156,4258,1348,4618,1348,4618,1156m4894,1633l4258,1633,4258,1825,4894,1825,4894,1633m4985,2111l4258,2111,4258,2301,4985,2301,4985,2111m5453,2586l4258,2586,4258,2778,5453,2778,5453,2586m7241,3064l4258,3064,4258,3256,7241,3256,7241,3064m10200,3541l4258,3541,4258,3731,10200,3731,10200,3541e" filled="true" fillcolor="#4471c4" stroked="false">
              <v:path arrowok="t"/>
              <v:fill type="solid"/>
            </v:shape>
            <v:rect style="position:absolute;left:4257;top:680;width:32;height:190" filled="true" fillcolor="#4471c4" stroked="false">
              <v:fill type="solid"/>
            </v:rect>
            <v:line style="position:absolute" from="4266,203" to="4266,395" stroked="true" strokeweight=".84pt" strokecolor="#4471c4">
              <v:stroke dashstyle="solid"/>
            </v:line>
            <v:shape style="position:absolute;left:-5943;top:3049;width:5943;height:2576" coordorigin="-5942,3049" coordsize="5943,2576" path="m10200,3731l4258,3731,4258,3541,10200,3541,10200,3731xm7241,3256l4258,3256,4258,3064,7241,3064,7241,3256xm5453,2778l4258,2778,4258,2586,5453,2586,5453,2778xm4985,2301l4258,2301,4258,2111,4985,2111,4985,2301xm4894,1825l4258,1825,4258,1633,4894,1633,4894,1825xm4618,1348l4258,1348,4258,1156,4618,1156,4618,1348xe" filled="false" stroked="true" strokeweight=".72pt" strokecolor="#000000">
              <v:path arrowok="t"/>
              <v:stroke dashstyle="solid"/>
            </v:shape>
            <v:rect style="position:absolute;left:4250;top:673;width:46;height:204" filled="true" fillcolor="#000000" stroked="false">
              <v:fill type="solid"/>
            </v:rect>
            <v:line style="position:absolute" from="4266,196" to="4266,402" stroked="true" strokeweight="1.56pt" strokecolor="#000000">
              <v:stroke dashstyle="solid"/>
            </v:line>
            <v:shape style="position:absolute;left:4257;top:966;width:5436;height:2576" coordorigin="4258,966" coordsize="5436,2576" path="m4584,966l4258,966,4258,1156,4584,1156,4584,966m4627,1919l4258,1919,4258,2111,4627,2111,4627,1919m4961,1444l4258,1444,4258,1633,4961,1633,4961,1444m5074,2397l4258,2397,4258,2586,5074,2586,5074,2397m6158,2874l4258,2874,4258,3064,6158,3064,6158,2874m9694,3349l4258,3349,4258,3541,9694,3541,9694,3349e" filled="true" fillcolor="#6fac46" stroked="false">
              <v:path arrowok="t"/>
              <v:fill type="solid"/>
            </v:shape>
            <v:rect style="position:absolute;left:4257;top:488;width:29;height:192" filled="true" fillcolor="#6fac46" stroked="false">
              <v:fill type="solid"/>
            </v:rect>
            <v:rect style="position:absolute;left:4257;top:13;width:1296;height:190" filled="true" fillcolor="#6fac46" stroked="false">
              <v:fill type="solid"/>
            </v:rect>
            <v:shape style="position:absolute;left:-5436;top:3049;width:5436;height:2576" coordorigin="-5436,3049" coordsize="5436,2576" path="m9694,3541l4258,3541,4258,3349,9694,3349,9694,3541xm6158,3064l4258,3064,4258,2874,6158,2874,6158,3064xm5074,2586l4258,2586,4258,2397,5074,2397,5074,2586xm4627,2111l4258,2111,4258,1919,4627,1919,4627,2111xm4961,1633l4258,1633,4258,1444,4961,1444,4961,1633xm4584,1156l4258,1156,4258,966,4584,966,4584,1156xe" filled="false" stroked="true" strokeweight=".72pt" strokecolor="#000000">
              <v:path arrowok="t"/>
              <v:stroke dashstyle="solid"/>
            </v:shape>
            <v:rect style="position:absolute;left:4250;top:481;width:44;height:207" filled="true" fillcolor="#000000" stroked="false">
              <v:fill type="solid"/>
            </v:rect>
            <v:rect style="position:absolute;left:4257;top:13;width:1296;height:190" filled="false" stroked="true" strokeweight=".72pt" strokecolor="#000000">
              <v:stroke dashstyle="solid"/>
            </v:rect>
            <v:line style="position:absolute" from="4258,3779" to="4258,-35" stroked="true" strokeweight=".72pt" strokecolor="#d9d9d9">
              <v:stroke dashstyle="solid"/>
            </v:line>
            <v:shape style="position:absolute;left:0;top:1811;width:53;height:3814" coordorigin="0,1811" coordsize="53,3814" path="m4205,3779l4258,3779m4205,3301l4258,3301m4205,2826l4258,2826m4205,2349l4258,2349m4205,1871l4258,1871m4205,1396l4258,1396m4205,918l4258,918m4205,441l4258,441m4205,-35l4258,-35e" filled="false" stroked="true" strokeweight=".72pt" strokecolor="#d9d9d9">
              <v:path arrowok="t"/>
              <v:stroke dashstyle="solid"/>
            </v:shape>
            <v:rect style="position:absolute;left:8510;top:13;width:72;height:72" filled="true" fillcolor="#6fac46" stroked="false">
              <v:fill type="solid"/>
            </v:rect>
            <v:rect style="position:absolute;left:8510;top:13;width:72;height:72" filled="false" stroked="true" strokeweight=".72pt" strokecolor="#000000">
              <v:stroke dashstyle="solid"/>
            </v:rect>
            <v:rect style="position:absolute;left:8510;top:171;width:72;height:70" filled="true" fillcolor="#4471c4" stroked="false">
              <v:fill type="solid"/>
            </v:rect>
            <v:rect style="position:absolute;left:8510;top:171;width:72;height:70" filled="false" stroked="true" strokeweight=".72pt" strokecolor="#000000">
              <v:stroke dashstyle="solid"/>
            </v:rect>
            <v:line style="position:absolute" from="4199,3306" to="10776,3291" stroked="true" strokeweight="1.56pt" strokecolor="#000000">
              <v:stroke dashstyle="shortdash"/>
            </v:line>
            <v:shape style="position:absolute;left:5673;top:22;width:223;height:179" type="#_x0000_t202" filled="false" stroked="false">
              <v:textbox inset="0,0,0,0">
                <w:txbxContent>
                  <w:p>
                    <w:pPr>
                      <w:spacing w:line="178" w:lineRule="exact" w:before="0"/>
                      <w:ind w:left="0" w:right="0" w:firstLine="0"/>
                      <w:jc w:val="left"/>
                      <w:rPr>
                        <w:b/>
                        <w:sz w:val="16"/>
                      </w:rPr>
                    </w:pPr>
                    <w:r>
                      <w:rPr>
                        <w:b/>
                        <w:color w:val="6FAC46"/>
                        <w:sz w:val="16"/>
                      </w:rPr>
                      <w:t>3.2</w:t>
                    </w:r>
                  </w:p>
                </w:txbxContent>
              </v:textbox>
              <w10:wrap type="none"/>
            </v:shape>
            <v:shape style="position:absolute;left:4394;top:213;width:236;height:655" type="#_x0000_t202" filled="false" stroked="false">
              <v:textbox inset="0,0,0,0">
                <w:txbxContent>
                  <w:p>
                    <w:pPr>
                      <w:spacing w:line="178" w:lineRule="exact" w:before="0"/>
                      <w:ind w:left="0" w:right="0" w:firstLine="0"/>
                      <w:jc w:val="left"/>
                      <w:rPr>
                        <w:b/>
                        <w:sz w:val="16"/>
                      </w:rPr>
                    </w:pPr>
                    <w:r>
                      <w:rPr>
                        <w:b/>
                        <w:color w:val="5B9BD4"/>
                        <w:sz w:val="16"/>
                      </w:rPr>
                      <w:t>0.0</w:t>
                    </w:r>
                  </w:p>
                  <w:p>
                    <w:pPr>
                      <w:spacing w:before="102"/>
                      <w:ind w:left="11" w:right="0" w:firstLine="0"/>
                      <w:jc w:val="left"/>
                      <w:rPr>
                        <w:b/>
                        <w:sz w:val="16"/>
                      </w:rPr>
                    </w:pPr>
                    <w:r>
                      <w:rPr>
                        <w:b/>
                        <w:color w:val="6FAC46"/>
                        <w:sz w:val="16"/>
                      </w:rPr>
                      <w:t>0.1</w:t>
                    </w:r>
                  </w:p>
                  <w:p>
                    <w:pPr>
                      <w:spacing w:before="7"/>
                      <w:ind w:left="13" w:right="0" w:firstLine="0"/>
                      <w:jc w:val="left"/>
                      <w:rPr>
                        <w:b/>
                        <w:sz w:val="16"/>
                      </w:rPr>
                    </w:pPr>
                    <w:r>
                      <w:rPr>
                        <w:b/>
                        <w:color w:val="5B9BD4"/>
                        <w:sz w:val="16"/>
                      </w:rPr>
                      <w:t>0.1</w:t>
                    </w:r>
                  </w:p>
                </w:txbxContent>
              </v:textbox>
              <w10:wrap type="none"/>
            </v:shape>
            <v:shape style="position:absolute;left:8610;top:-30;width:1853;height:311" type="#_x0000_t202" filled="false" stroked="false">
              <v:textbox inset="0,0,0,0">
                <w:txbxContent>
                  <w:p>
                    <w:pPr>
                      <w:spacing w:line="232" w:lineRule="auto" w:before="0"/>
                      <w:ind w:left="0" w:right="-3" w:firstLine="0"/>
                      <w:jc w:val="left"/>
                      <w:rPr>
                        <w:sz w:val="14"/>
                      </w:rPr>
                    </w:pPr>
                    <w:r>
                      <w:rPr>
                        <w:sz w:val="14"/>
                      </w:rPr>
                      <w:t>Gobierno Central Presupuestario Gobierno General</w:t>
                    </w:r>
                  </w:p>
                </w:txbxContent>
              </v:textbox>
              <w10:wrap type="none"/>
            </v:shape>
            <v:shape style="position:absolute;left:4702;top:976;width:257;height:370" type="#_x0000_t202" filled="false" stroked="false">
              <v:textbox inset="0,0,0,0">
                <w:txbxContent>
                  <w:p>
                    <w:pPr>
                      <w:spacing w:line="178" w:lineRule="exact" w:before="0"/>
                      <w:ind w:left="0" w:right="0" w:firstLine="0"/>
                      <w:jc w:val="left"/>
                      <w:rPr>
                        <w:b/>
                        <w:sz w:val="16"/>
                      </w:rPr>
                    </w:pPr>
                    <w:r>
                      <w:rPr>
                        <w:b/>
                        <w:color w:val="6FAC46"/>
                        <w:sz w:val="16"/>
                      </w:rPr>
                      <w:t>0.8</w:t>
                    </w:r>
                  </w:p>
                  <w:p>
                    <w:pPr>
                      <w:spacing w:before="7"/>
                      <w:ind w:left="33" w:right="0" w:firstLine="0"/>
                      <w:jc w:val="left"/>
                      <w:rPr>
                        <w:b/>
                        <w:sz w:val="16"/>
                      </w:rPr>
                    </w:pPr>
                    <w:r>
                      <w:rPr>
                        <w:b/>
                        <w:color w:val="5B9BD4"/>
                        <w:sz w:val="16"/>
                      </w:rPr>
                      <w:t>0.9</w:t>
                    </w:r>
                  </w:p>
                </w:txbxContent>
              </v:textbox>
              <w10:wrap type="none"/>
            </v:shape>
            <v:shape style="position:absolute;left:5011;top:1453;width:290;height:369" type="#_x0000_t202" filled="false" stroked="false">
              <v:textbox inset="0,0,0,0">
                <w:txbxContent>
                  <w:p>
                    <w:pPr>
                      <w:spacing w:line="178" w:lineRule="exact" w:before="0"/>
                      <w:ind w:left="67" w:right="0" w:firstLine="0"/>
                      <w:jc w:val="left"/>
                      <w:rPr>
                        <w:b/>
                        <w:sz w:val="16"/>
                      </w:rPr>
                    </w:pPr>
                    <w:r>
                      <w:rPr>
                        <w:b/>
                        <w:color w:val="6FAC46"/>
                        <w:sz w:val="16"/>
                      </w:rPr>
                      <w:t>1.7</w:t>
                    </w:r>
                  </w:p>
                  <w:p>
                    <w:pPr>
                      <w:spacing w:before="6"/>
                      <w:ind w:left="0" w:right="0" w:firstLine="0"/>
                      <w:jc w:val="left"/>
                      <w:rPr>
                        <w:b/>
                        <w:sz w:val="16"/>
                      </w:rPr>
                    </w:pPr>
                    <w:r>
                      <w:rPr>
                        <w:b/>
                        <w:color w:val="5B9BD4"/>
                        <w:sz w:val="16"/>
                      </w:rPr>
                      <w:t>1.5</w:t>
                    </w:r>
                  </w:p>
                </w:txbxContent>
              </v:textbox>
              <w10:wrap type="none"/>
            </v:shape>
            <v:shape style="position:absolute;left:4746;top:1930;width:223;height:179" type="#_x0000_t202" filled="false" stroked="false">
              <v:textbox inset="0,0,0,0">
                <w:txbxContent>
                  <w:p>
                    <w:pPr>
                      <w:spacing w:line="178" w:lineRule="exact" w:before="0"/>
                      <w:ind w:left="0" w:right="0" w:firstLine="0"/>
                      <w:jc w:val="left"/>
                      <w:rPr>
                        <w:b/>
                        <w:sz w:val="16"/>
                      </w:rPr>
                    </w:pPr>
                    <w:r>
                      <w:rPr>
                        <w:b/>
                        <w:color w:val="6FAC46"/>
                        <w:sz w:val="16"/>
                      </w:rPr>
                      <w:t>0.9</w:t>
                    </w:r>
                  </w:p>
                </w:txbxContent>
              </v:textbox>
              <w10:wrap type="none"/>
            </v:shape>
            <v:shape style="position:absolute;left:5104;top:2121;width:312;height:465" type="#_x0000_t202" filled="false" stroked="false">
              <v:textbox inset="0,0,0,0">
                <w:txbxContent>
                  <w:p>
                    <w:pPr>
                      <w:spacing w:line="178" w:lineRule="exact" w:before="0"/>
                      <w:ind w:left="0" w:right="0" w:firstLine="0"/>
                      <w:jc w:val="left"/>
                      <w:rPr>
                        <w:b/>
                        <w:sz w:val="16"/>
                      </w:rPr>
                    </w:pPr>
                    <w:r>
                      <w:rPr>
                        <w:b/>
                        <w:color w:val="5B9BD4"/>
                        <w:sz w:val="16"/>
                      </w:rPr>
                      <w:t>1.8</w:t>
                    </w:r>
                  </w:p>
                  <w:p>
                    <w:pPr>
                      <w:spacing w:before="102"/>
                      <w:ind w:left="89" w:right="0" w:firstLine="0"/>
                      <w:jc w:val="left"/>
                      <w:rPr>
                        <w:b/>
                        <w:sz w:val="16"/>
                      </w:rPr>
                    </w:pPr>
                    <w:r>
                      <w:rPr>
                        <w:b/>
                        <w:color w:val="6FAC46"/>
                        <w:sz w:val="16"/>
                      </w:rPr>
                      <w:t>2.0</w:t>
                    </w:r>
                  </w:p>
                </w:txbxContent>
              </v:textbox>
              <w10:wrap type="none"/>
            </v:shape>
            <v:shape style="position:absolute;left:5572;top:2597;width:223;height:179" type="#_x0000_t202" filled="false" stroked="false">
              <v:textbox inset="0,0,0,0">
                <w:txbxContent>
                  <w:p>
                    <w:pPr>
                      <w:spacing w:line="178" w:lineRule="exact" w:before="0"/>
                      <w:ind w:left="0" w:right="0" w:firstLine="0"/>
                      <w:jc w:val="left"/>
                      <w:rPr>
                        <w:b/>
                        <w:sz w:val="16"/>
                      </w:rPr>
                    </w:pPr>
                    <w:r>
                      <w:rPr>
                        <w:b/>
                        <w:color w:val="5B9BD4"/>
                        <w:sz w:val="16"/>
                      </w:rPr>
                      <w:t>2.9</w:t>
                    </w:r>
                  </w:p>
                </w:txbxContent>
              </v:textbox>
              <w10:wrap type="none"/>
            </v:shape>
            <v:shape style="position:absolute;left:6278;top:2884;width:223;height:179" type="#_x0000_t202" filled="false" stroked="false">
              <v:textbox inset="0,0,0,0">
                <w:txbxContent>
                  <w:p>
                    <w:pPr>
                      <w:spacing w:line="178" w:lineRule="exact" w:before="0"/>
                      <w:ind w:left="0" w:right="0" w:firstLine="0"/>
                      <w:jc w:val="left"/>
                      <w:rPr>
                        <w:b/>
                        <w:sz w:val="16"/>
                      </w:rPr>
                    </w:pPr>
                    <w:r>
                      <w:rPr>
                        <w:b/>
                        <w:color w:val="6FAC46"/>
                        <w:sz w:val="16"/>
                      </w:rPr>
                      <w:t>4.6</w:t>
                    </w:r>
                  </w:p>
                </w:txbxContent>
              </v:textbox>
              <w10:wrap type="none"/>
            </v:shape>
            <v:shape style="position:absolute;left:7359;top:3074;width:223;height:179" type="#_x0000_t202" filled="false" stroked="false">
              <v:textbox inset="0,0,0,0">
                <w:txbxContent>
                  <w:p>
                    <w:pPr>
                      <w:spacing w:line="178" w:lineRule="exact" w:before="0"/>
                      <w:ind w:left="0" w:right="0" w:firstLine="0"/>
                      <w:jc w:val="left"/>
                      <w:rPr>
                        <w:b/>
                        <w:sz w:val="16"/>
                      </w:rPr>
                    </w:pPr>
                    <w:r>
                      <w:rPr>
                        <w:b/>
                        <w:color w:val="5B9BD4"/>
                        <w:sz w:val="16"/>
                      </w:rPr>
                      <w:t>7.3</w:t>
                    </w:r>
                  </w:p>
                </w:txbxContent>
              </v:textbox>
              <w10:wrap type="none"/>
            </v:shape>
            <v:shape style="position:absolute;left:9812;top:3360;width:304;height:179" type="#_x0000_t202" filled="false" stroked="false">
              <v:textbox inset="0,0,0,0">
                <w:txbxContent>
                  <w:p>
                    <w:pPr>
                      <w:spacing w:line="178" w:lineRule="exact" w:before="0"/>
                      <w:ind w:left="0" w:right="0" w:firstLine="0"/>
                      <w:jc w:val="left"/>
                      <w:rPr>
                        <w:b/>
                        <w:sz w:val="16"/>
                      </w:rPr>
                    </w:pPr>
                    <w:r>
                      <w:rPr>
                        <w:b/>
                        <w:color w:val="6FAC46"/>
                        <w:sz w:val="16"/>
                      </w:rPr>
                      <w:t>13.3</w:t>
                    </w:r>
                  </w:p>
                </w:txbxContent>
              </v:textbox>
              <w10:wrap type="none"/>
            </v:shape>
            <v:shape style="position:absolute;left:10320;top:3551;width:304;height:179" type="#_x0000_t202" filled="false" stroked="false">
              <v:textbox inset="0,0,0,0">
                <w:txbxContent>
                  <w:p>
                    <w:pPr>
                      <w:spacing w:line="178" w:lineRule="exact" w:before="0"/>
                      <w:ind w:left="0" w:right="0" w:firstLine="0"/>
                      <w:jc w:val="left"/>
                      <w:rPr>
                        <w:b/>
                        <w:sz w:val="16"/>
                      </w:rPr>
                    </w:pPr>
                    <w:r>
                      <w:rPr>
                        <w:b/>
                        <w:color w:val="5B9BD4"/>
                        <w:sz w:val="16"/>
                      </w:rPr>
                      <w:t>14.5</w:t>
                    </w:r>
                  </w:p>
                </w:txbxContent>
              </v:textbox>
              <w10:wrap type="none"/>
            </v:shape>
            <w10:wrap type="none"/>
          </v:group>
        </w:pict>
      </w:r>
      <w:r>
        <w:rPr>
          <w:b/>
          <w:spacing w:val="-1"/>
          <w:sz w:val="18"/>
        </w:rPr>
        <w:t>Donaciones</w:t>
      </w:r>
    </w:p>
    <w:p>
      <w:pPr>
        <w:pStyle w:val="BodyText"/>
        <w:spacing w:before="5"/>
        <w:rPr>
          <w:b/>
          <w:sz w:val="23"/>
        </w:rPr>
      </w:pPr>
    </w:p>
    <w:p>
      <w:pPr>
        <w:spacing w:line="552" w:lineRule="auto" w:before="1"/>
        <w:ind w:left="1381" w:right="8131" w:firstLine="854"/>
        <w:jc w:val="right"/>
        <w:rPr>
          <w:b/>
          <w:sz w:val="18"/>
        </w:rPr>
      </w:pPr>
      <w:r>
        <w:rPr>
          <w:b/>
          <w:spacing w:val="-1"/>
          <w:sz w:val="18"/>
        </w:rPr>
        <w:t>Subsidios </w:t>
      </w:r>
      <w:r>
        <w:rPr>
          <w:b/>
          <w:sz w:val="18"/>
        </w:rPr>
        <w:t>Otros</w:t>
      </w:r>
      <w:r>
        <w:rPr>
          <w:b/>
          <w:spacing w:val="-6"/>
          <w:sz w:val="18"/>
        </w:rPr>
        <w:t> </w:t>
      </w:r>
      <w:r>
        <w:rPr>
          <w:b/>
          <w:sz w:val="18"/>
        </w:rPr>
        <w:t>gastos </w:t>
      </w:r>
      <w:r>
        <w:rPr>
          <w:b/>
          <w:spacing w:val="-1"/>
          <w:sz w:val="18"/>
        </w:rPr>
        <w:t>Intereses</w:t>
      </w:r>
      <w:r>
        <w:rPr>
          <w:b/>
          <w:sz w:val="18"/>
        </w:rPr>
        <w:t> Prestaciones</w:t>
      </w:r>
      <w:r>
        <w:rPr>
          <w:b/>
          <w:spacing w:val="-8"/>
          <w:sz w:val="18"/>
        </w:rPr>
        <w:t> </w:t>
      </w:r>
      <w:r>
        <w:rPr>
          <w:b/>
          <w:sz w:val="18"/>
        </w:rPr>
        <w:t>sociales</w:t>
      </w:r>
    </w:p>
    <w:p>
      <w:pPr>
        <w:spacing w:before="2"/>
        <w:ind w:left="0" w:right="8133" w:firstLine="0"/>
        <w:jc w:val="right"/>
        <w:rPr>
          <w:b/>
          <w:sz w:val="18"/>
        </w:rPr>
      </w:pPr>
      <w:r>
        <w:rPr>
          <w:b/>
          <w:sz w:val="18"/>
        </w:rPr>
        <w:t>Uso de bienes y</w:t>
      </w:r>
      <w:r>
        <w:rPr>
          <w:b/>
          <w:spacing w:val="-8"/>
          <w:sz w:val="18"/>
        </w:rPr>
        <w:t> </w:t>
      </w:r>
      <w:r>
        <w:rPr>
          <w:b/>
          <w:sz w:val="18"/>
        </w:rPr>
        <w:t>servicios</w:t>
      </w:r>
    </w:p>
    <w:p>
      <w:pPr>
        <w:spacing w:before="167"/>
        <w:ind w:left="1801" w:right="8114" w:hanging="355"/>
        <w:jc w:val="left"/>
        <w:rPr>
          <w:b/>
          <w:sz w:val="18"/>
        </w:rPr>
      </w:pPr>
      <w:r>
        <w:rPr>
          <w:b/>
          <w:sz w:val="18"/>
        </w:rPr>
        <w:t>Remuneración a los empleados</w:t>
      </w:r>
    </w:p>
    <w:p>
      <w:pPr>
        <w:spacing w:before="166"/>
        <w:ind w:left="2335" w:right="0" w:firstLine="0"/>
        <w:jc w:val="left"/>
        <w:rPr>
          <w:b/>
          <w:sz w:val="18"/>
        </w:rPr>
      </w:pPr>
      <w:r>
        <w:rPr>
          <w:b/>
          <w:sz w:val="18"/>
        </w:rPr>
        <w:t>GASTO</w:t>
      </w:r>
    </w:p>
    <w:p>
      <w:pPr>
        <w:pStyle w:val="BodyText"/>
        <w:spacing w:before="4"/>
        <w:rPr>
          <w:b/>
          <w:sz w:val="16"/>
        </w:rPr>
      </w:pPr>
    </w:p>
    <w:p>
      <w:pPr>
        <w:spacing w:before="0"/>
        <w:ind w:left="562" w:right="0" w:firstLine="0"/>
        <w:jc w:val="left"/>
        <w:rPr>
          <w:sz w:val="16"/>
        </w:rPr>
      </w:pPr>
      <w:r>
        <w:rPr>
          <w:sz w:val="16"/>
        </w:rPr>
        <w:t>Fuente: Dirección de Análisis y Política Fiscal</w:t>
      </w:r>
    </w:p>
    <w:p>
      <w:pPr>
        <w:spacing w:after="0"/>
        <w:jc w:val="left"/>
        <w:rPr>
          <w:sz w:val="16"/>
        </w:rPr>
        <w:sectPr>
          <w:type w:val="continuous"/>
          <w:pgSz w:w="12240" w:h="15840"/>
          <w:pgMar w:top="1500" w:bottom="280" w:left="1140" w:right="0"/>
        </w:sectPr>
      </w:pPr>
    </w:p>
    <w:p>
      <w:pPr>
        <w:pStyle w:val="Heading3"/>
        <w:numPr>
          <w:ilvl w:val="1"/>
          <w:numId w:val="54"/>
        </w:numPr>
        <w:tabs>
          <w:tab w:pos="1282" w:val="left" w:leader="none"/>
        </w:tabs>
        <w:spacing w:line="240" w:lineRule="auto" w:before="167" w:after="0"/>
        <w:ind w:left="1282" w:right="0" w:hanging="361"/>
        <w:jc w:val="left"/>
      </w:pPr>
      <w:bookmarkStart w:name="_bookmark243" w:id="323"/>
      <w:bookmarkEnd w:id="323"/>
      <w:r>
        <w:rPr>
          <w:b w:val="0"/>
        </w:rPr>
      </w:r>
      <w:bookmarkStart w:name="_bookmark243" w:id="324"/>
      <w:bookmarkEnd w:id="324"/>
      <w:r>
        <w:rPr/>
        <w:t>T</w:t>
      </w:r>
      <w:r>
        <w:rPr/>
        <w:t>ransacciones en Activos no Financieros del Gobierno</w:t>
      </w:r>
      <w:r>
        <w:rPr>
          <w:spacing w:val="-3"/>
        </w:rPr>
        <w:t> </w:t>
      </w:r>
      <w:r>
        <w:rPr/>
        <w:t>General</w:t>
      </w:r>
    </w:p>
    <w:p>
      <w:pPr>
        <w:pStyle w:val="BodyText"/>
        <w:spacing w:before="1"/>
        <w:rPr>
          <w:b/>
          <w:sz w:val="28"/>
        </w:rPr>
      </w:pPr>
    </w:p>
    <w:p>
      <w:pPr>
        <w:pStyle w:val="BodyText"/>
        <w:spacing w:line="276" w:lineRule="auto"/>
        <w:ind w:left="562" w:right="1697"/>
        <w:jc w:val="both"/>
      </w:pPr>
      <w:r>
        <w:rPr/>
        <w:t>Esta categoría indica la inversión que realiza los diversos niveles de gobiernos en activos fijos, las variaciones de existencias, los objetos de valor y los activos no producidos. A nivel de Gobierno General, la inversión aumenta considerablemente en 1.7 puntos porcentuales respecto al Gobierno Central Presupuestario (explicado principalmente por la inclusión de los Gobiernos Locales) y al alcanzando el equivalente a 2.3% del PIB.</w:t>
      </w:r>
    </w:p>
    <w:p>
      <w:pPr>
        <w:pStyle w:val="Heading2"/>
        <w:spacing w:before="196"/>
        <w:ind w:left="2285"/>
      </w:pPr>
      <w:r>
        <w:rPr/>
        <w:t>Inversión bruta en activos no financieros 2019-2021</w:t>
      </w:r>
    </w:p>
    <w:p>
      <w:pPr>
        <w:spacing w:after="0"/>
        <w:sectPr>
          <w:pgSz w:w="12240" w:h="15840"/>
          <w:pgMar w:header="715" w:footer="688" w:top="1240" w:bottom="880" w:left="1140" w:right="0"/>
        </w:sectPr>
      </w:pPr>
    </w:p>
    <w:p>
      <w:pPr>
        <w:pStyle w:val="BodyText"/>
        <w:spacing w:before="7"/>
        <w:rPr>
          <w:b/>
          <w:sz w:val="29"/>
        </w:rPr>
      </w:pPr>
    </w:p>
    <w:p>
      <w:pPr>
        <w:spacing w:before="1"/>
        <w:ind w:left="0" w:right="38" w:firstLine="0"/>
        <w:jc w:val="right"/>
        <w:rPr>
          <w:sz w:val="18"/>
        </w:rPr>
      </w:pPr>
      <w:r>
        <w:rPr>
          <w:color w:val="585858"/>
          <w:spacing w:val="-1"/>
          <w:sz w:val="18"/>
        </w:rPr>
        <w:t>3.1</w:t>
      </w:r>
    </w:p>
    <w:p>
      <w:pPr>
        <w:pStyle w:val="BodyText"/>
        <w:spacing w:before="3"/>
        <w:rPr>
          <w:sz w:val="16"/>
        </w:rPr>
      </w:pPr>
    </w:p>
    <w:p>
      <w:pPr>
        <w:spacing w:before="0"/>
        <w:ind w:left="0" w:right="38" w:firstLine="0"/>
        <w:jc w:val="right"/>
        <w:rPr>
          <w:sz w:val="18"/>
        </w:rPr>
      </w:pPr>
      <w:r>
        <w:rPr>
          <w:color w:val="585858"/>
          <w:spacing w:val="-1"/>
          <w:sz w:val="18"/>
        </w:rPr>
        <w:t>2.1</w:t>
      </w:r>
    </w:p>
    <w:p>
      <w:pPr>
        <w:pStyle w:val="BodyText"/>
        <w:spacing w:before="3"/>
        <w:rPr>
          <w:sz w:val="16"/>
        </w:rPr>
      </w:pPr>
    </w:p>
    <w:p>
      <w:pPr>
        <w:spacing w:before="0"/>
        <w:ind w:left="0" w:right="38" w:firstLine="0"/>
        <w:jc w:val="right"/>
        <w:rPr>
          <w:sz w:val="18"/>
        </w:rPr>
      </w:pPr>
      <w:r>
        <w:rPr>
          <w:color w:val="585858"/>
          <w:spacing w:val="-1"/>
          <w:sz w:val="18"/>
        </w:rPr>
        <w:t>1.1</w:t>
      </w:r>
    </w:p>
    <w:p>
      <w:pPr>
        <w:pStyle w:val="BodyText"/>
        <w:spacing w:before="3"/>
        <w:rPr>
          <w:sz w:val="16"/>
        </w:rPr>
      </w:pPr>
    </w:p>
    <w:p>
      <w:pPr>
        <w:spacing w:before="0"/>
        <w:ind w:left="0" w:right="38" w:firstLine="0"/>
        <w:jc w:val="right"/>
        <w:rPr>
          <w:sz w:val="18"/>
        </w:rPr>
      </w:pPr>
      <w:r>
        <w:rPr>
          <w:color w:val="585858"/>
          <w:spacing w:val="-1"/>
          <w:sz w:val="18"/>
        </w:rPr>
        <w:t>0.1</w:t>
      </w:r>
    </w:p>
    <w:p>
      <w:pPr>
        <w:pStyle w:val="BodyText"/>
        <w:spacing w:before="3"/>
        <w:rPr>
          <w:sz w:val="16"/>
        </w:rPr>
      </w:pPr>
    </w:p>
    <w:p>
      <w:pPr>
        <w:spacing w:line="205" w:lineRule="exact" w:before="1"/>
        <w:ind w:left="627" w:right="0" w:firstLine="0"/>
        <w:jc w:val="left"/>
        <w:rPr>
          <w:sz w:val="18"/>
        </w:rPr>
      </w:pPr>
      <w:r>
        <w:rPr>
          <w:color w:val="585858"/>
          <w:sz w:val="18"/>
        </w:rPr>
        <w:t>-0.9</w:t>
      </w:r>
    </w:p>
    <w:p>
      <w:pPr>
        <w:spacing w:before="43"/>
        <w:ind w:left="0" w:right="38" w:firstLine="0"/>
        <w:jc w:val="right"/>
        <w:rPr>
          <w:sz w:val="18"/>
        </w:rPr>
      </w:pPr>
      <w:r>
        <w:rPr/>
        <w:br w:type="column"/>
      </w:r>
      <w:r>
        <w:rPr>
          <w:color w:val="4471C4"/>
          <w:sz w:val="18"/>
        </w:rPr>
        <w:t>2.6</w:t>
      </w:r>
    </w:p>
    <w:p>
      <w:pPr>
        <w:pStyle w:val="BodyText"/>
        <w:spacing w:before="2"/>
        <w:ind w:left="627"/>
      </w:pPr>
      <w:r>
        <w:rPr/>
        <w:br w:type="column"/>
      </w:r>
      <w:r>
        <w:rPr/>
        <w:t>Como porcentajes del PIB</w:t>
      </w:r>
    </w:p>
    <w:p>
      <w:pPr>
        <w:spacing w:before="49"/>
        <w:ind w:left="0" w:right="752" w:firstLine="0"/>
        <w:jc w:val="right"/>
        <w:rPr>
          <w:sz w:val="18"/>
        </w:rPr>
      </w:pPr>
      <w:r>
        <w:rPr/>
        <w:pict>
          <v:group style="position:absolute;margin-left:112.199997pt;margin-top:9.792327pt;width:414.5pt;height:82.45pt;mso-position-horizontal-relative:page;mso-position-vertical-relative:paragraph;z-index:-279980032" coordorigin="2244,196" coordsize="8290,1649">
            <v:shape style="position:absolute;left:0;top:11665;width:8276;height:1577" coordorigin="0,11665" coordsize="8276,1577" path="m2251,198l2251,1775m5009,198l5009,1775m7769,198l7769,1775m10526,198l10526,1775e" filled="false" stroked="true" strokeweight=".72pt" strokecolor="#d9d9d9">
              <v:path arrowok="t"/>
              <v:stroke dashstyle="solid"/>
            </v:shape>
            <v:shape style="position:absolute;left:0;top:11665;width:8276;height:48" coordorigin="0,11665" coordsize="8276,48" path="m2251,1420l10526,1420m2251,1420l2251,1468m5009,1420l5009,1468m7769,1420l7769,1468m10526,1420l10526,1468e" filled="false" stroked="true" strokeweight=".72pt" strokecolor="#d9d9d9">
              <v:path arrowok="t"/>
              <v:stroke dashstyle="solid"/>
            </v:shape>
            <v:shape style="position:absolute;left:3283;top:913;width:770;height:257" type="#_x0000_t75" stroked="false">
              <v:imagedata r:id="rId401" o:title=""/>
            </v:shape>
            <v:shape style="position:absolute;left:6043;top:1052;width:770;height:257" type="#_x0000_t75" stroked="false">
              <v:imagedata r:id="rId401" o:title=""/>
            </v:shape>
            <v:shape style="position:absolute;left:8803;top:1021;width:770;height:257" type="#_x0000_t75" stroked="false">
              <v:imagedata r:id="rId401" o:title=""/>
            </v:shape>
            <v:shape style="position:absolute;left:3290;top:239;width:770;height:253" type="#_x0000_t75" stroked="false">
              <v:imagedata r:id="rId403" o:title=""/>
            </v:shape>
            <v:shape style="position:absolute;left:6050;top:498;width:770;height:253" type="#_x0000_t75" stroked="false">
              <v:imagedata r:id="rId403" o:title=""/>
            </v:shape>
            <v:shape style="position:absolute;left:8810;top:361;width:770;height:253" type="#_x0000_t75" stroked="false">
              <v:imagedata r:id="rId403" o:title=""/>
            </v:shape>
            <v:shape style="position:absolute;left:3302;top:1016;width:648;height:134" type="#_x0000_t75" stroked="false">
              <v:imagedata r:id="rId405" o:title=""/>
            </v:shape>
            <v:shape style="position:absolute;left:6062;top:1155;width:648;height:134" type="#_x0000_t75" stroked="false">
              <v:imagedata r:id="rId405" o:title=""/>
            </v:shape>
            <v:shape style="position:absolute;left:8822;top:1124;width:648;height:134" type="#_x0000_t75" stroked="false">
              <v:imagedata r:id="rId405" o:title=""/>
            </v:shape>
            <v:shape style="position:absolute;left:3465;top:195;width:5916;height:1070" type="#_x0000_t75" stroked="false">
              <v:imagedata r:id="rId412" o:title=""/>
            </v:shape>
            <v:shape style="position:absolute;left:3568;top:404;width:5640;height:792" coordorigin="3569,405" coordsize="5640,792" path="m3641,505l3617,505,3617,601,3641,601,3641,505xm3629,405l3569,525,3617,525,3617,505,3679,505,3629,405xm3679,505l3641,505,3641,525,3689,525,3679,505xm3641,673l3617,673,3617,769,3641,769,3641,673xm3641,841l3617,841,3617,937,3641,937,3641,841xm3641,1009l3617,1009,3617,1089,3641,1089,3641,1009xm6401,764l6377,764,6377,860,6401,860,6401,764xm6389,664l6329,784,6377,784,6377,764,6439,764,6389,664xm6439,764l6401,764,6401,784,6449,784,6439,764xm6401,932l6377,932,6377,1028,6401,1028,6401,932xm6401,1100l6377,1100,6377,1196,6401,1196,6401,1100xm9161,627l9137,627,9137,723,9161,723,9161,627xm9149,527l9089,647,9137,647,9137,627,9199,627,9149,527xm9199,627l9161,627,9161,647,9209,647,9199,627xm9161,795l9137,795,9137,891,9161,891,9161,795xm9161,963l9137,963,9137,1059,9161,1059,9161,963xm9161,1131l9137,1131,9137,1197,9161,1197,9161,1131xe" filled="true" fillcolor="#ec7c30" stroked="false">
              <v:path arrowok="t"/>
              <v:fill type="solid"/>
            </v:shape>
            <v:shape style="position:absolute;left:3302;top:332;width:648;height:134" type="#_x0000_t75" stroked="false">
              <v:imagedata r:id="rId407" o:title=""/>
            </v:shape>
            <v:shape style="position:absolute;left:6062;top:591;width:648;height:134" type="#_x0000_t75" stroked="false">
              <v:imagedata r:id="rId407" o:title=""/>
            </v:shape>
            <v:shape style="position:absolute;left:8822;top:455;width:648;height:134" type="#_x0000_t75" stroked="false">
              <v:imagedata r:id="rId407" o:title=""/>
            </v:shape>
            <v:shape style="position:absolute;left:3517;top:1507;width:247;height:200" type="#_x0000_t202" filled="false" stroked="false">
              <v:textbox inset="0,0,0,0">
                <w:txbxContent>
                  <w:p>
                    <w:pPr>
                      <w:spacing w:line="199" w:lineRule="exact" w:before="0"/>
                      <w:ind w:left="0" w:right="0" w:firstLine="0"/>
                      <w:jc w:val="left"/>
                      <w:rPr>
                        <w:b/>
                        <w:sz w:val="18"/>
                      </w:rPr>
                    </w:pPr>
                    <w:r>
                      <w:rPr>
                        <w:b/>
                        <w:color w:val="538235"/>
                        <w:sz w:val="18"/>
                      </w:rPr>
                      <w:t>0.8</w:t>
                    </w:r>
                  </w:p>
                </w:txbxContent>
              </v:textbox>
              <w10:wrap type="none"/>
            </v:shape>
            <v:shape style="position:absolute;left:6276;top:1645;width:247;height:200" type="#_x0000_t202" filled="false" stroked="false">
              <v:textbox inset="0,0,0,0">
                <w:txbxContent>
                  <w:p>
                    <w:pPr>
                      <w:spacing w:line="199" w:lineRule="exact" w:before="0"/>
                      <w:ind w:left="0" w:right="0" w:firstLine="0"/>
                      <w:jc w:val="left"/>
                      <w:rPr>
                        <w:b/>
                        <w:sz w:val="18"/>
                      </w:rPr>
                    </w:pPr>
                    <w:r>
                      <w:rPr>
                        <w:b/>
                        <w:color w:val="538235"/>
                        <w:sz w:val="18"/>
                      </w:rPr>
                      <w:t>0.5</w:t>
                    </w:r>
                  </w:p>
                </w:txbxContent>
              </v:textbox>
              <w10:wrap type="none"/>
            </v:shape>
            <v:shape style="position:absolute;left:9036;top:1615;width:247;height:200" type="#_x0000_t202" filled="false" stroked="false">
              <v:textbox inset="0,0,0,0">
                <w:txbxContent>
                  <w:p>
                    <w:pPr>
                      <w:spacing w:line="199" w:lineRule="exact" w:before="0"/>
                      <w:ind w:left="0" w:right="0" w:firstLine="0"/>
                      <w:jc w:val="left"/>
                      <w:rPr>
                        <w:b/>
                        <w:sz w:val="18"/>
                      </w:rPr>
                    </w:pPr>
                    <w:r>
                      <w:rPr>
                        <w:b/>
                        <w:color w:val="538235"/>
                        <w:sz w:val="18"/>
                      </w:rPr>
                      <w:t>0.6</w:t>
                    </w:r>
                  </w:p>
                </w:txbxContent>
              </v:textbox>
              <w10:wrap type="none"/>
            </v:shape>
            <w10:wrap type="none"/>
          </v:group>
        </w:pict>
      </w:r>
      <w:r>
        <w:rPr>
          <w:color w:val="4471C4"/>
          <w:sz w:val="18"/>
        </w:rPr>
        <w:t>1.9</w:t>
      </w:r>
    </w:p>
    <w:p>
      <w:pPr>
        <w:spacing w:before="165"/>
        <w:ind w:left="627" w:right="0" w:firstLine="0"/>
        <w:jc w:val="left"/>
        <w:rPr>
          <w:sz w:val="18"/>
        </w:rPr>
      </w:pPr>
      <w:r>
        <w:rPr/>
        <w:br w:type="column"/>
      </w:r>
      <w:r>
        <w:rPr>
          <w:color w:val="4471C4"/>
          <w:sz w:val="18"/>
        </w:rPr>
        <w:t>2.3</w:t>
      </w:r>
    </w:p>
    <w:p>
      <w:pPr>
        <w:spacing w:after="0"/>
        <w:jc w:val="left"/>
        <w:rPr>
          <w:sz w:val="18"/>
        </w:rPr>
        <w:sectPr>
          <w:type w:val="continuous"/>
          <w:pgSz w:w="12240" w:h="15840"/>
          <w:pgMar w:top="1500" w:bottom="280" w:left="1140" w:right="0"/>
          <w:cols w:num="4" w:equalWidth="0">
            <w:col w:w="952" w:space="797"/>
            <w:col w:w="894" w:space="496"/>
            <w:col w:w="2978" w:space="1151"/>
            <w:col w:w="3832"/>
          </w:cols>
        </w:sectPr>
      </w:pPr>
    </w:p>
    <w:p>
      <w:pPr>
        <w:tabs>
          <w:tab w:pos="5089" w:val="left" w:leader="none"/>
          <w:tab w:pos="7849" w:val="left" w:leader="none"/>
        </w:tabs>
        <w:spacing w:line="160" w:lineRule="exact" w:before="0"/>
        <w:ind w:left="2330" w:right="0" w:firstLine="0"/>
        <w:jc w:val="left"/>
        <w:rPr>
          <w:b/>
          <w:sz w:val="16"/>
        </w:rPr>
      </w:pPr>
      <w:r>
        <w:rPr>
          <w:b/>
          <w:sz w:val="16"/>
        </w:rPr>
        <w:t>2019</w:t>
        <w:tab/>
        <w:t>2020</w:t>
        <w:tab/>
        <w:t>2021</w:t>
      </w:r>
    </w:p>
    <w:p>
      <w:pPr>
        <w:spacing w:line="143" w:lineRule="exact" w:before="0"/>
        <w:ind w:left="7368" w:right="0" w:firstLine="0"/>
        <w:jc w:val="left"/>
        <w:rPr>
          <w:sz w:val="14"/>
        </w:rPr>
      </w:pPr>
      <w:r>
        <w:rPr/>
        <w:drawing>
          <wp:anchor distT="0" distB="0" distL="0" distR="0" allowOverlap="1" layoutInCell="1" locked="0" behindDoc="0" simplePos="0" relativeHeight="253340672">
            <wp:simplePos x="0" y="0"/>
            <wp:positionH relativeFrom="page">
              <wp:posOffset>5340730</wp:posOffset>
            </wp:positionH>
            <wp:positionV relativeFrom="paragraph">
              <wp:posOffset>43527</wp:posOffset>
            </wp:positionV>
            <wp:extent cx="48895" cy="9525"/>
            <wp:effectExtent l="0" t="0" r="0" b="0"/>
            <wp:wrapNone/>
            <wp:docPr id="127" name="image405.png"/>
            <wp:cNvGraphicFramePr>
              <a:graphicFrameLocks noChangeAspect="1"/>
            </wp:cNvGraphicFramePr>
            <a:graphic>
              <a:graphicData uri="http://schemas.openxmlformats.org/drawingml/2006/picture">
                <pic:pic>
                  <pic:nvPicPr>
                    <pic:cNvPr id="128" name="image405.png"/>
                    <pic:cNvPicPr/>
                  </pic:nvPicPr>
                  <pic:blipFill>
                    <a:blip r:embed="rId413" cstate="print"/>
                    <a:stretch>
                      <a:fillRect/>
                    </a:stretch>
                  </pic:blipFill>
                  <pic:spPr>
                    <a:xfrm>
                      <a:off x="0" y="0"/>
                      <a:ext cx="48895" cy="9525"/>
                    </a:xfrm>
                    <a:prstGeom prst="rect">
                      <a:avLst/>
                    </a:prstGeom>
                  </pic:spPr>
                </pic:pic>
              </a:graphicData>
            </a:graphic>
          </wp:anchor>
        </w:drawing>
      </w:r>
      <w:r>
        <w:rPr>
          <w:color w:val="6FAC46"/>
          <w:sz w:val="14"/>
        </w:rPr>
        <w:t>Gobierno Central Presupuestario</w:t>
      </w:r>
    </w:p>
    <w:p>
      <w:pPr>
        <w:spacing w:before="37"/>
        <w:ind w:left="7368" w:right="0" w:firstLine="0"/>
        <w:jc w:val="left"/>
        <w:rPr>
          <w:sz w:val="14"/>
        </w:rPr>
      </w:pPr>
      <w:r>
        <w:rPr/>
        <w:drawing>
          <wp:anchor distT="0" distB="0" distL="0" distR="0" allowOverlap="1" layoutInCell="1" locked="0" behindDoc="0" simplePos="0" relativeHeight="253341696">
            <wp:simplePos x="0" y="0"/>
            <wp:positionH relativeFrom="page">
              <wp:posOffset>5340730</wp:posOffset>
            </wp:positionH>
            <wp:positionV relativeFrom="paragraph">
              <wp:posOffset>77281</wp:posOffset>
            </wp:positionV>
            <wp:extent cx="48895" cy="9525"/>
            <wp:effectExtent l="0" t="0" r="0" b="0"/>
            <wp:wrapNone/>
            <wp:docPr id="129" name="image406.png"/>
            <wp:cNvGraphicFramePr>
              <a:graphicFrameLocks noChangeAspect="1"/>
            </wp:cNvGraphicFramePr>
            <a:graphic>
              <a:graphicData uri="http://schemas.openxmlformats.org/drawingml/2006/picture">
                <pic:pic>
                  <pic:nvPicPr>
                    <pic:cNvPr id="130" name="image406.png"/>
                    <pic:cNvPicPr/>
                  </pic:nvPicPr>
                  <pic:blipFill>
                    <a:blip r:embed="rId414" cstate="print"/>
                    <a:stretch>
                      <a:fillRect/>
                    </a:stretch>
                  </pic:blipFill>
                  <pic:spPr>
                    <a:xfrm>
                      <a:off x="0" y="0"/>
                      <a:ext cx="48895" cy="9525"/>
                    </a:xfrm>
                    <a:prstGeom prst="rect">
                      <a:avLst/>
                    </a:prstGeom>
                  </pic:spPr>
                </pic:pic>
              </a:graphicData>
            </a:graphic>
          </wp:anchor>
        </w:drawing>
      </w:r>
      <w:r>
        <w:rPr>
          <w:color w:val="4471C4"/>
          <w:sz w:val="14"/>
        </w:rPr>
        <w:t>Gobierno General</w:t>
      </w:r>
    </w:p>
    <w:p>
      <w:pPr>
        <w:spacing w:before="58"/>
        <w:ind w:left="562" w:right="0" w:firstLine="0"/>
        <w:jc w:val="both"/>
        <w:rPr>
          <w:sz w:val="16"/>
        </w:rPr>
      </w:pPr>
      <w:r>
        <w:rPr>
          <w:sz w:val="16"/>
        </w:rPr>
        <w:t>Fuente: Dirección de Análisis y Política Fiscal</w:t>
      </w:r>
    </w:p>
    <w:p>
      <w:pPr>
        <w:pStyle w:val="BodyText"/>
        <w:spacing w:before="8"/>
        <w:rPr>
          <w:sz w:val="16"/>
        </w:rPr>
      </w:pPr>
    </w:p>
    <w:p>
      <w:pPr>
        <w:pStyle w:val="Heading3"/>
        <w:numPr>
          <w:ilvl w:val="1"/>
          <w:numId w:val="54"/>
        </w:numPr>
        <w:tabs>
          <w:tab w:pos="1270" w:val="left" w:leader="none"/>
        </w:tabs>
        <w:spacing w:line="240" w:lineRule="auto" w:before="0" w:after="0"/>
        <w:ind w:left="1270" w:right="0" w:hanging="502"/>
        <w:jc w:val="left"/>
      </w:pPr>
      <w:bookmarkStart w:name="_bookmark244" w:id="325"/>
      <w:bookmarkEnd w:id="325"/>
      <w:r>
        <w:rPr>
          <w:b w:val="0"/>
        </w:rPr>
      </w:r>
      <w:bookmarkStart w:name="_bookmark244" w:id="326"/>
      <w:bookmarkEnd w:id="326"/>
      <w:r>
        <w:rPr/>
        <w:t>E</w:t>
      </w:r>
      <w:r>
        <w:rPr/>
        <w:t>rogación del Gobierno</w:t>
      </w:r>
      <w:r>
        <w:rPr>
          <w:spacing w:val="-3"/>
        </w:rPr>
        <w:t> </w:t>
      </w:r>
      <w:r>
        <w:rPr/>
        <w:t>General</w:t>
      </w:r>
    </w:p>
    <w:p>
      <w:pPr>
        <w:pStyle w:val="BodyText"/>
        <w:spacing w:before="1"/>
        <w:rPr>
          <w:b/>
          <w:sz w:val="28"/>
        </w:rPr>
      </w:pPr>
    </w:p>
    <w:p>
      <w:pPr>
        <w:pStyle w:val="BodyText"/>
        <w:spacing w:line="276" w:lineRule="auto"/>
        <w:ind w:left="562" w:right="1694"/>
        <w:jc w:val="both"/>
      </w:pPr>
      <w:r>
        <w:rPr/>
        <w:t>Con relación a la erogación total que se realiza a nivel de Gobierno General, para el 2021 es equivalente al 16.1% del PIB y estes es un aumento de 3 punto porcentuales con respecto a lo observado a nivel de Gobierno Central Presupuestario. Las funciones con mayor erogación son las destinadas a Servicios Públicos Generales que alcanza el 3.5% del PIB, seguido de las destinadas a educación con el 3.3% del PIB, luego la Protección Social y las de Salud con el 2.5% del PIB cada una</w:t>
      </w:r>
      <w:r>
        <w:rPr>
          <w:spacing w:val="-6"/>
        </w:rPr>
        <w:t> </w:t>
      </w:r>
      <w:r>
        <w:rPr/>
        <w:t>mientras</w:t>
      </w:r>
      <w:r>
        <w:rPr>
          <w:spacing w:val="-6"/>
        </w:rPr>
        <w:t> </w:t>
      </w:r>
      <w:r>
        <w:rPr/>
        <w:t>que</w:t>
      </w:r>
      <w:r>
        <w:rPr>
          <w:spacing w:val="-7"/>
        </w:rPr>
        <w:t> </w:t>
      </w:r>
      <w:r>
        <w:rPr/>
        <w:t>las</w:t>
      </w:r>
      <w:r>
        <w:rPr>
          <w:spacing w:val="-6"/>
        </w:rPr>
        <w:t> </w:t>
      </w:r>
      <w:r>
        <w:rPr/>
        <w:t>que</w:t>
      </w:r>
      <w:r>
        <w:rPr>
          <w:spacing w:val="-6"/>
        </w:rPr>
        <w:t> </w:t>
      </w:r>
      <w:r>
        <w:rPr/>
        <w:t>poseen</w:t>
      </w:r>
      <w:r>
        <w:rPr>
          <w:spacing w:val="-6"/>
        </w:rPr>
        <w:t> </w:t>
      </w:r>
      <w:r>
        <w:rPr/>
        <w:t>una</w:t>
      </w:r>
      <w:r>
        <w:rPr>
          <w:spacing w:val="-6"/>
        </w:rPr>
        <w:t> </w:t>
      </w:r>
      <w:r>
        <w:rPr/>
        <w:t>menor</w:t>
      </w:r>
      <w:r>
        <w:rPr>
          <w:spacing w:val="-5"/>
        </w:rPr>
        <w:t> </w:t>
      </w:r>
      <w:r>
        <w:rPr/>
        <w:t>Erogación</w:t>
      </w:r>
      <w:r>
        <w:rPr>
          <w:spacing w:val="-9"/>
        </w:rPr>
        <w:t> </w:t>
      </w:r>
      <w:r>
        <w:rPr/>
        <w:t>son</w:t>
      </w:r>
      <w:r>
        <w:rPr>
          <w:spacing w:val="-6"/>
        </w:rPr>
        <w:t> </w:t>
      </w:r>
      <w:r>
        <w:rPr/>
        <w:t>Defensa</w:t>
      </w:r>
      <w:r>
        <w:rPr>
          <w:spacing w:val="-5"/>
        </w:rPr>
        <w:t> </w:t>
      </w:r>
      <w:r>
        <w:rPr/>
        <w:t>con</w:t>
      </w:r>
      <w:r>
        <w:rPr>
          <w:spacing w:val="-6"/>
        </w:rPr>
        <w:t> </w:t>
      </w:r>
      <w:r>
        <w:rPr/>
        <w:t>el</w:t>
      </w:r>
      <w:r>
        <w:rPr>
          <w:spacing w:val="-7"/>
        </w:rPr>
        <w:t> </w:t>
      </w:r>
      <w:r>
        <w:rPr/>
        <w:t>0.3%</w:t>
      </w:r>
      <w:r>
        <w:rPr>
          <w:spacing w:val="-5"/>
        </w:rPr>
        <w:t> </w:t>
      </w:r>
      <w:r>
        <w:rPr/>
        <w:t>del</w:t>
      </w:r>
      <w:r>
        <w:rPr>
          <w:spacing w:val="-5"/>
        </w:rPr>
        <w:t> </w:t>
      </w:r>
      <w:r>
        <w:rPr/>
        <w:t>PIB,</w:t>
      </w:r>
      <w:r>
        <w:rPr>
          <w:spacing w:val="-6"/>
        </w:rPr>
        <w:t> </w:t>
      </w:r>
      <w:r>
        <w:rPr/>
        <w:t>Actividades recreativas, cultura y religión con el 0.3% del PIB, Protección del medio ambiente con el 0.4% del PIB y los de Vivienda y Servicios Comunitarios con el 0.6% del</w:t>
      </w:r>
      <w:r>
        <w:rPr>
          <w:spacing w:val="-16"/>
        </w:rPr>
        <w:t> </w:t>
      </w:r>
      <w:r>
        <w:rPr/>
        <w:t>PIB.</w:t>
      </w:r>
    </w:p>
    <w:p>
      <w:pPr>
        <w:pStyle w:val="Heading2"/>
        <w:spacing w:before="196"/>
        <w:ind w:left="1395" w:right="2519"/>
        <w:jc w:val="center"/>
      </w:pPr>
      <w:r>
        <w:rPr/>
        <w:t>Erogaciones por Funciones del Gobierno</w:t>
      </w:r>
    </w:p>
    <w:p>
      <w:pPr>
        <w:spacing w:before="1"/>
        <w:ind w:left="1395" w:right="2514" w:firstLine="0"/>
        <w:jc w:val="center"/>
        <w:rPr>
          <w:b/>
          <w:sz w:val="24"/>
        </w:rPr>
      </w:pPr>
      <w:r>
        <w:rPr>
          <w:b/>
          <w:sz w:val="24"/>
        </w:rPr>
        <w:t>Para el año 2021</w:t>
      </w:r>
    </w:p>
    <w:p>
      <w:pPr>
        <w:pStyle w:val="BodyText"/>
        <w:spacing w:before="2"/>
        <w:ind w:left="1395" w:right="2515"/>
        <w:jc w:val="center"/>
      </w:pPr>
      <w:r>
        <w:rPr/>
        <w:pict>
          <v:group style="position:absolute;margin-left:260.279999pt;margin-top:13.729533pt;width:273.25pt;height:154.2pt;mso-position-horizontal-relative:page;mso-position-vertical-relative:paragraph;z-index:253352960" coordorigin="5206,275" coordsize="5465,3084">
            <v:shape style="position:absolute;left:6571;top:281;width:2710;height:3070" coordorigin="6571,282" coordsize="2710,3070" path="m6571,282l6571,3109m6571,3315l6571,3351m7925,3315l7925,3351m9281,3315l9281,3351e" filled="false" stroked="true" strokeweight=".72pt" strokecolor="#d9d9d9">
              <v:path arrowok="t"/>
              <v:stroke dashstyle="solid"/>
            </v:shape>
            <v:line style="position:absolute" from="10637,282" to="10637,3351" stroked="true" strokeweight=".72pt" strokecolor="#d9d9d9">
              <v:stroke dashstyle="solid"/>
            </v:line>
            <v:line style="position:absolute" from="5215,3351" to="10637,3351" stroked="true" strokeweight=".72pt" strokecolor="#d9d9d9">
              <v:stroke dashstyle="solid"/>
            </v:line>
            <v:shape style="position:absolute;left:7924;top:281;width:1356;height:2931" coordorigin="7925,282" coordsize="1356,2931" path="m7925,282l7925,3109m9281,282l9281,3212e" filled="false" stroked="true" strokeweight=".72pt" strokecolor="#d9d9d9">
              <v:path arrowok="t"/>
              <v:stroke dashstyle="solid"/>
            </v:shape>
            <v:shape style="position:absolute;left:0;top:2139;width:5422;height:2792" coordorigin="0,2139" coordsize="5422,2792" path="m5215,3073l10637,3073m5215,2795l10637,2795m5215,2514l10637,2514m5215,2235l10637,2235m5215,1957l10637,1957m5215,1679l10637,1679m5215,1398l10637,1398m5215,1119l10637,1119m5215,841l10637,841m5215,560l10637,560m5215,282l10637,282e" filled="false" stroked="true" strokeweight=".72pt" strokecolor="#d9d9d9">
              <v:path arrowok="t"/>
              <v:stroke dashstyle="solid"/>
            </v:shape>
            <v:shape style="position:absolute;left:5215;top:284;width:4670;height:3067" type="#_x0000_t75" stroked="false">
              <v:imagedata r:id="rId415" o:title=""/>
            </v:shape>
            <v:shape style="position:absolute;left:5215;top:279;width:3873;height:2969" type="#_x0000_t75" stroked="false">
              <v:imagedata r:id="rId416" o:title=""/>
            </v:shape>
            <v:shape style="position:absolute;left:5215;top:2985;width:4548;height:279" coordorigin="5215,2985" coordsize="4548,279" path="m5215,3264l9763,3264m5215,2985l6156,2985e" filled="false" stroked="true" strokeweight="5.16pt" strokecolor="#4471c4">
              <v:path arrowok="t"/>
              <v:stroke dashstyle="solid"/>
            </v:shape>
            <v:line style="position:absolute" from="5215,2706" to="6108,2706" stroked="true" strokeweight="5.04pt" strokecolor="#4471c4">
              <v:stroke dashstyle="solid"/>
            </v:line>
            <v:shape style="position:absolute;left:5215;top:2147;width:680;height:279" coordorigin="5215,2148" coordsize="680,279" path="m5215,2426l5894,2426m5215,2148l5880,2148e" filled="false" stroked="true" strokeweight="5.16pt" strokecolor="#4471c4">
              <v:path arrowok="t"/>
              <v:stroke dashstyle="solid"/>
            </v:shape>
            <v:line style="position:absolute" from="5215,1868" to="5724,1868" stroked="true" strokeweight="5.04pt" strokecolor="#4471c4">
              <v:stroke dashstyle="solid"/>
            </v:line>
            <v:line style="position:absolute" from="5215,1589" to="5676,1589" stroked="true" strokeweight="5.16pt" strokecolor="#4471c4">
              <v:stroke dashstyle="solid"/>
            </v:line>
            <v:line style="position:absolute" from="5215,1310" to="5376,1310" stroked="true" strokeweight="5.16pt" strokecolor="#4471c4">
              <v:stroke dashstyle="solid"/>
            </v:line>
            <v:shape style="position:absolute;left:5215;top:421;width:99;height:663" coordorigin="5215,421" coordsize="99,663" path="m5287,421l5215,421,5215,524,5287,524,5287,421m5290,699l5215,699,5215,803,5290,803,5290,699m5314,980l5215,980,5215,1083,5314,1083,5314,980e" filled="true" fillcolor="#4471c4" stroked="false">
              <v:path arrowok="t"/>
              <v:fill type="solid"/>
            </v:shape>
            <v:shape style="position:absolute;left:-4548;top:2314;width:4548;height:2895" coordorigin="-4548,2315" coordsize="4548,2895" path="m9763,3315l5215,3315,5215,3212,9763,3212,9763,3315xm6156,3037l5215,3037,5215,2934,6156,2934,6156,3037xm6108,2756l5215,2756,5215,2655,6108,2655,6108,2756xm5894,2478l5215,2478,5215,2375,5894,2375,5894,2478xm5880,2199l5215,2199,5215,2096,5880,2096,5880,2199xm5724,1919l5215,1919,5215,1818,5724,1818,5724,1919xm5676,1640l5215,1640,5215,1537,5676,1537,5676,1640xm5376,1362l5215,1362,5215,1259,5376,1259,5376,1362xm5314,1083l5215,1083,5215,980,5314,980,5314,1083xm5290,803l5215,803,5215,699,5290,699,5290,803xm5287,524l5215,524,5215,421,5287,421,5287,524xe" filled="false" stroked="true" strokeweight=".96pt" strokecolor="#000000">
              <v:path arrowok="t"/>
              <v:stroke dashstyle="solid"/>
            </v:shape>
            <v:shape style="position:absolute;left:5215;top:2603;width:3752;height:557" coordorigin="5215,2604" coordsize="3752,557" path="m5215,3161l8966,3161m5215,2882l5952,2882m5215,2604l6060,2604e" filled="false" stroked="true" strokeweight="5.16pt" strokecolor="#6fac46">
              <v:path arrowok="t"/>
              <v:stroke dashstyle="solid"/>
            </v:shape>
            <v:line style="position:absolute" from="5215,2324" to="5650,2324" stroked="true" strokeweight="5.04pt" strokecolor="#6fac46">
              <v:stroke dashstyle="solid"/>
            </v:line>
            <v:line style="position:absolute" from="5215,2045" to="5635,2045" stroked="true" strokeweight="5.16pt" strokecolor="#6fac46">
              <v:stroke dashstyle="solid"/>
            </v:line>
            <v:line style="position:absolute" from="5215,1766" to="5666,1766" stroked="true" strokeweight="5.16pt" strokecolor="#6fac46">
              <v:stroke dashstyle="solid"/>
            </v:line>
            <v:line style="position:absolute" from="5215,1487" to="5558,1487" stroked="true" strokeweight="5.04pt" strokecolor="#6fac46">
              <v:stroke dashstyle="solid"/>
            </v:line>
            <v:line style="position:absolute" from="5215,1207" to="5568,1207" stroked="true" strokeweight="5.16pt" strokecolor="#6fac46">
              <v:stroke dashstyle="solid"/>
            </v:line>
            <v:shape style="position:absolute;left:5215;top:317;width:72;height:663" coordorigin="5215,318" coordsize="72,663" path="m5261,599l5215,599,5215,699,5261,699,5261,599m5268,877l5215,877,5215,980,5268,980,5268,877m5287,318l5215,318,5215,421,5287,421,5287,318e" filled="true" fillcolor="#6fac46" stroked="false">
              <v:path arrowok="t"/>
              <v:fill type="solid"/>
            </v:shape>
            <v:shape style="position:absolute;left:-3752;top:2314;width:3752;height:2895" coordorigin="-3751,2315" coordsize="3752,2895" path="m8966,3212l5215,3212,5215,3109,8966,3109,8966,3212xm5952,2934l5215,2934,5215,2831,5952,2831,5952,2934xm6060,2655l5215,2655,5215,2552,6060,2552,6060,2655xm5650,2375l5215,2375,5215,2274,5650,2274,5650,2375xm5635,2096l5215,2096,5215,1993,5635,1993,5635,2096xm5666,1818l5215,1818,5215,1715,5666,1715,5666,1818xm5558,1537l5215,1537,5215,1436,5558,1436,5558,1537xm5568,1259l5215,1259,5215,1155,5568,1155,5568,1259xm5268,980l5215,980,5215,877,5268,877,5268,980xm5261,699l5215,699,5215,599,5261,599,5261,699xm5287,421l5215,421,5215,318,5287,318,5287,421xe" filled="false" stroked="true" strokeweight=".96pt" strokecolor="#000000">
              <v:path arrowok="t"/>
              <v:stroke dashstyle="solid"/>
            </v:shape>
            <v:line style="position:absolute" from="5215,3351" to="5215,282" stroked="true" strokeweight=".24pt" strokecolor="#d9d9d9">
              <v:stroke dashstyle="solid"/>
            </v:line>
            <v:rect style="position:absolute;left:8073;top:653;width:70;height:70" filled="true" fillcolor="#6fac46" stroked="false">
              <v:fill type="solid"/>
            </v:rect>
            <v:rect style="position:absolute;left:8073;top:653;width:70;height:70" filled="false" stroked="true" strokeweight=".96pt" strokecolor="#000000">
              <v:stroke dashstyle="solid"/>
            </v:rect>
            <v:rect style="position:absolute;left:8073;top:829;width:70;height:70" filled="true" fillcolor="#4471c4" stroked="false">
              <v:fill type="solid"/>
            </v:rect>
            <v:rect style="position:absolute;left:8073;top:829;width:70;height:70" filled="false" stroked="true" strokeweight=".96pt" strokecolor="#000000">
              <v:stroke dashstyle="solid"/>
            </v:rect>
            <v:line style="position:absolute" from="5216,3067" to="10670,3067" stroked="true" strokeweight="1.56pt" strokecolor="#000000">
              <v:stroke dashstyle="shortdash"/>
            </v:line>
            <v:shape style="position:absolute;left:5381;top:323;width:225;height:781" type="#_x0000_t202" filled="false" stroked="false">
              <v:textbox inset="0,0,0,0">
                <w:txbxContent>
                  <w:p>
                    <w:pPr>
                      <w:spacing w:line="100" w:lineRule="exact" w:before="0"/>
                      <w:ind w:left="27" w:right="0" w:firstLine="0"/>
                      <w:jc w:val="left"/>
                      <w:rPr>
                        <w:rFonts w:ascii="Calibri"/>
                        <w:b/>
                        <w:sz w:val="12"/>
                      </w:rPr>
                    </w:pPr>
                    <w:r>
                      <w:rPr>
                        <w:rFonts w:ascii="Calibri"/>
                        <w:b/>
                        <w:color w:val="538235"/>
                        <w:sz w:val="12"/>
                      </w:rPr>
                      <w:t>0.3</w:t>
                    </w:r>
                  </w:p>
                  <w:p>
                    <w:pPr>
                      <w:spacing w:line="125" w:lineRule="exact" w:before="0"/>
                      <w:ind w:left="27" w:right="0" w:firstLine="0"/>
                      <w:jc w:val="left"/>
                      <w:rPr>
                        <w:rFonts w:ascii="Calibri"/>
                        <w:b/>
                        <w:sz w:val="12"/>
                      </w:rPr>
                    </w:pPr>
                    <w:r>
                      <w:rPr>
                        <w:rFonts w:ascii="Calibri"/>
                        <w:b/>
                        <w:color w:val="4471C4"/>
                        <w:sz w:val="12"/>
                      </w:rPr>
                      <w:t>0.3</w:t>
                    </w:r>
                  </w:p>
                  <w:p>
                    <w:pPr>
                      <w:spacing w:line="125" w:lineRule="exact" w:before="30"/>
                      <w:ind w:left="0" w:right="0" w:firstLine="0"/>
                      <w:jc w:val="left"/>
                      <w:rPr>
                        <w:rFonts w:ascii="Calibri"/>
                        <w:b/>
                        <w:sz w:val="12"/>
                      </w:rPr>
                    </w:pPr>
                    <w:r>
                      <w:rPr>
                        <w:rFonts w:ascii="Calibri"/>
                        <w:b/>
                        <w:color w:val="538235"/>
                        <w:sz w:val="12"/>
                      </w:rPr>
                      <w:t>0.2</w:t>
                    </w:r>
                  </w:p>
                  <w:p>
                    <w:pPr>
                      <w:spacing w:line="125" w:lineRule="exact" w:before="0"/>
                      <w:ind w:left="28" w:right="0" w:firstLine="0"/>
                      <w:jc w:val="left"/>
                      <w:rPr>
                        <w:rFonts w:ascii="Calibri"/>
                        <w:b/>
                        <w:sz w:val="12"/>
                      </w:rPr>
                    </w:pPr>
                    <w:r>
                      <w:rPr>
                        <w:rFonts w:ascii="Calibri"/>
                        <w:b/>
                        <w:color w:val="4471C4"/>
                        <w:sz w:val="12"/>
                      </w:rPr>
                      <w:t>0.3</w:t>
                    </w:r>
                  </w:p>
                  <w:p>
                    <w:pPr>
                      <w:spacing w:line="124" w:lineRule="exact" w:before="30"/>
                      <w:ind w:left="6" w:right="0" w:firstLine="0"/>
                      <w:jc w:val="left"/>
                      <w:rPr>
                        <w:rFonts w:ascii="Calibri"/>
                        <w:b/>
                        <w:sz w:val="12"/>
                      </w:rPr>
                    </w:pPr>
                    <w:r>
                      <w:rPr>
                        <w:rFonts w:ascii="Calibri"/>
                        <w:b/>
                        <w:color w:val="538235"/>
                        <w:sz w:val="12"/>
                      </w:rPr>
                      <w:t>0.2</w:t>
                    </w:r>
                  </w:p>
                  <w:p>
                    <w:pPr>
                      <w:spacing w:line="122" w:lineRule="exact" w:before="0"/>
                      <w:ind w:left="52" w:right="0" w:firstLine="0"/>
                      <w:jc w:val="left"/>
                      <w:rPr>
                        <w:rFonts w:ascii="Calibri"/>
                        <w:b/>
                        <w:sz w:val="12"/>
                      </w:rPr>
                    </w:pPr>
                    <w:r>
                      <w:rPr>
                        <w:rFonts w:ascii="Calibri"/>
                        <w:b/>
                        <w:color w:val="4471C4"/>
                        <w:sz w:val="12"/>
                      </w:rPr>
                      <w:t>0.4</w:t>
                    </w:r>
                  </w:p>
                </w:txbxContent>
              </v:textbox>
              <w10:wrap type="none"/>
            </v:shape>
            <v:shape style="position:absolute;left:8173;top:609;width:1853;height:328" type="#_x0000_t202" filled="false" stroked="false">
              <v:textbox inset="0,0,0,0">
                <w:txbxContent>
                  <w:p>
                    <w:pPr>
                      <w:spacing w:line="259" w:lineRule="auto" w:before="0"/>
                      <w:ind w:left="0" w:right="-3" w:firstLine="0"/>
                      <w:jc w:val="left"/>
                      <w:rPr>
                        <w:sz w:val="14"/>
                      </w:rPr>
                    </w:pPr>
                    <w:r>
                      <w:rPr>
                        <w:sz w:val="14"/>
                      </w:rPr>
                      <w:t>Gobierno Central Presupuestario Gobierno General</w:t>
                    </w:r>
                  </w:p>
                </w:txbxContent>
              </v:textbox>
              <w10:wrap type="none"/>
            </v:shape>
            <v:shape style="position:absolute;left:5689;top:1161;width:172;height:120" type="#_x0000_t202" filled="false" stroked="false">
              <v:textbox inset="0,0,0,0">
                <w:txbxContent>
                  <w:p>
                    <w:pPr>
                      <w:spacing w:line="120" w:lineRule="exact" w:before="0"/>
                      <w:ind w:left="0" w:right="0" w:firstLine="0"/>
                      <w:jc w:val="left"/>
                      <w:rPr>
                        <w:rFonts w:ascii="Calibri"/>
                        <w:b/>
                        <w:sz w:val="12"/>
                      </w:rPr>
                    </w:pPr>
                    <w:r>
                      <w:rPr>
                        <w:rFonts w:ascii="Calibri"/>
                        <w:b/>
                        <w:color w:val="538235"/>
                        <w:sz w:val="12"/>
                      </w:rPr>
                      <w:t>1.3</w:t>
                    </w:r>
                  </w:p>
                </w:txbxContent>
              </v:textbox>
              <w10:wrap type="none"/>
            </v:shape>
            <v:shape style="position:absolute;left:5496;top:1263;width:172;height:120" type="#_x0000_t202" filled="false" stroked="false">
              <v:textbox inset="0,0,0,0">
                <w:txbxContent>
                  <w:p>
                    <w:pPr>
                      <w:spacing w:line="120" w:lineRule="exact" w:before="0"/>
                      <w:ind w:left="0" w:right="0" w:firstLine="0"/>
                      <w:jc w:val="left"/>
                      <w:rPr>
                        <w:rFonts w:ascii="Calibri"/>
                        <w:b/>
                        <w:sz w:val="12"/>
                      </w:rPr>
                    </w:pPr>
                    <w:r>
                      <w:rPr>
                        <w:rFonts w:ascii="Calibri"/>
                        <w:b/>
                        <w:color w:val="4471C4"/>
                        <w:sz w:val="12"/>
                      </w:rPr>
                      <w:t>0.6</w:t>
                    </w:r>
                  </w:p>
                </w:txbxContent>
              </v:textbox>
              <w10:wrap type="none"/>
            </v:shape>
            <v:shape style="position:absolute;left:5679;top:1440;width:336;height:679" type="#_x0000_t202" filled="false" stroked="false">
              <v:textbox inset="0,0,0,0">
                <w:txbxContent>
                  <w:p>
                    <w:pPr>
                      <w:spacing w:line="100" w:lineRule="exact" w:before="0"/>
                      <w:ind w:left="0" w:right="0" w:firstLine="0"/>
                      <w:jc w:val="left"/>
                      <w:rPr>
                        <w:rFonts w:ascii="Calibri"/>
                        <w:b/>
                        <w:sz w:val="12"/>
                      </w:rPr>
                    </w:pPr>
                    <w:r>
                      <w:rPr>
                        <w:rFonts w:ascii="Calibri"/>
                        <w:b/>
                        <w:color w:val="538235"/>
                        <w:sz w:val="12"/>
                      </w:rPr>
                      <w:t>1.3</w:t>
                    </w:r>
                  </w:p>
                  <w:p>
                    <w:pPr>
                      <w:spacing w:line="125" w:lineRule="exact" w:before="0"/>
                      <w:ind w:left="118" w:right="0" w:firstLine="0"/>
                      <w:jc w:val="left"/>
                      <w:rPr>
                        <w:rFonts w:ascii="Calibri"/>
                        <w:b/>
                        <w:sz w:val="12"/>
                      </w:rPr>
                    </w:pPr>
                    <w:r>
                      <w:rPr>
                        <w:rFonts w:ascii="Calibri"/>
                        <w:b/>
                        <w:color w:val="4471C4"/>
                        <w:sz w:val="12"/>
                      </w:rPr>
                      <w:t>1.7</w:t>
                    </w:r>
                  </w:p>
                  <w:p>
                    <w:pPr>
                      <w:spacing w:line="124" w:lineRule="exact" w:before="30"/>
                      <w:ind w:left="106" w:right="0" w:firstLine="0"/>
                      <w:jc w:val="left"/>
                      <w:rPr>
                        <w:rFonts w:ascii="Calibri"/>
                        <w:b/>
                        <w:sz w:val="12"/>
                      </w:rPr>
                    </w:pPr>
                    <w:r>
                      <w:rPr>
                        <w:rFonts w:ascii="Calibri"/>
                        <w:b/>
                        <w:color w:val="538235"/>
                        <w:sz w:val="12"/>
                      </w:rPr>
                      <w:t>1.7</w:t>
                    </w:r>
                  </w:p>
                  <w:p>
                    <w:pPr>
                      <w:spacing w:line="124" w:lineRule="exact" w:before="0"/>
                      <w:ind w:left="164" w:right="0" w:firstLine="0"/>
                      <w:jc w:val="left"/>
                      <w:rPr>
                        <w:rFonts w:ascii="Calibri"/>
                        <w:b/>
                        <w:sz w:val="12"/>
                      </w:rPr>
                    </w:pPr>
                    <w:r>
                      <w:rPr>
                        <w:rFonts w:ascii="Calibri"/>
                        <w:b/>
                        <w:color w:val="4471C4"/>
                        <w:sz w:val="12"/>
                      </w:rPr>
                      <w:t>1.9</w:t>
                    </w:r>
                  </w:p>
                  <w:p>
                    <w:pPr>
                      <w:spacing w:line="144" w:lineRule="exact" w:before="30"/>
                      <w:ind w:left="75" w:right="0" w:firstLine="0"/>
                      <w:jc w:val="left"/>
                      <w:rPr>
                        <w:rFonts w:ascii="Calibri"/>
                        <w:b/>
                        <w:sz w:val="12"/>
                      </w:rPr>
                    </w:pPr>
                    <w:r>
                      <w:rPr>
                        <w:rFonts w:ascii="Calibri"/>
                        <w:b/>
                        <w:color w:val="538235"/>
                        <w:sz w:val="12"/>
                      </w:rPr>
                      <w:t>1.5</w:t>
                    </w:r>
                  </w:p>
                </w:txbxContent>
              </v:textbox>
              <w10:wrap type="none"/>
            </v:shape>
            <v:shape style="position:absolute;left:6002;top:2101;width:172;height:120" type="#_x0000_t202" filled="false" stroked="false">
              <v:textbox inset="0,0,0,0">
                <w:txbxContent>
                  <w:p>
                    <w:pPr>
                      <w:spacing w:line="120" w:lineRule="exact" w:before="0"/>
                      <w:ind w:left="0" w:right="0" w:firstLine="0"/>
                      <w:jc w:val="left"/>
                      <w:rPr>
                        <w:rFonts w:ascii="Calibri"/>
                        <w:b/>
                        <w:sz w:val="12"/>
                      </w:rPr>
                    </w:pPr>
                    <w:r>
                      <w:rPr>
                        <w:rFonts w:ascii="Calibri"/>
                        <w:b/>
                        <w:color w:val="4471C4"/>
                        <w:sz w:val="12"/>
                      </w:rPr>
                      <w:t>2.5</w:t>
                    </w:r>
                  </w:p>
                </w:txbxContent>
              </v:textbox>
              <w10:wrap type="none"/>
            </v:shape>
            <v:shape style="position:absolute;left:5771;top:2277;width:172;height:120" type="#_x0000_t202" filled="false" stroked="false">
              <v:textbox inset="0,0,0,0">
                <w:txbxContent>
                  <w:p>
                    <w:pPr>
                      <w:spacing w:line="120" w:lineRule="exact" w:before="0"/>
                      <w:ind w:left="0" w:right="0" w:firstLine="0"/>
                      <w:jc w:val="left"/>
                      <w:rPr>
                        <w:rFonts w:ascii="Calibri"/>
                        <w:b/>
                        <w:sz w:val="12"/>
                      </w:rPr>
                    </w:pPr>
                    <w:r>
                      <w:rPr>
                        <w:rFonts w:ascii="Calibri"/>
                        <w:b/>
                        <w:color w:val="538235"/>
                        <w:sz w:val="12"/>
                      </w:rPr>
                      <w:t>1.6</w:t>
                    </w:r>
                  </w:p>
                </w:txbxContent>
              </v:textbox>
              <w10:wrap type="none"/>
            </v:shape>
            <v:shape style="position:absolute;left:6015;top:2380;width:432;height:679" type="#_x0000_t202" filled="false" stroked="false">
              <v:textbox inset="0,0,0,0">
                <w:txbxContent>
                  <w:p>
                    <w:pPr>
                      <w:spacing w:line="122" w:lineRule="exact" w:before="0"/>
                      <w:ind w:left="0" w:right="0" w:firstLine="0"/>
                      <w:jc w:val="left"/>
                      <w:rPr>
                        <w:rFonts w:ascii="Calibri"/>
                        <w:b/>
                        <w:sz w:val="12"/>
                      </w:rPr>
                    </w:pPr>
                    <w:r>
                      <w:rPr>
                        <w:rFonts w:ascii="Calibri"/>
                        <w:b/>
                        <w:color w:val="4471C4"/>
                        <w:sz w:val="12"/>
                      </w:rPr>
                      <w:t>2.5</w:t>
                    </w:r>
                  </w:p>
                  <w:p>
                    <w:pPr>
                      <w:spacing w:line="125" w:lineRule="exact" w:before="29"/>
                      <w:ind w:left="166" w:right="0" w:firstLine="0"/>
                      <w:jc w:val="left"/>
                      <w:rPr>
                        <w:rFonts w:ascii="Calibri"/>
                        <w:b/>
                        <w:sz w:val="12"/>
                      </w:rPr>
                    </w:pPr>
                    <w:r>
                      <w:rPr>
                        <w:rFonts w:ascii="Calibri"/>
                        <w:b/>
                        <w:color w:val="538235"/>
                        <w:sz w:val="12"/>
                      </w:rPr>
                      <w:t>3.1</w:t>
                    </w:r>
                  </w:p>
                  <w:p>
                    <w:pPr>
                      <w:spacing w:line="125" w:lineRule="exact" w:before="0"/>
                      <w:ind w:left="212" w:right="0" w:firstLine="0"/>
                      <w:jc w:val="left"/>
                      <w:rPr>
                        <w:rFonts w:ascii="Calibri"/>
                        <w:b/>
                        <w:sz w:val="12"/>
                      </w:rPr>
                    </w:pPr>
                    <w:r>
                      <w:rPr>
                        <w:rFonts w:ascii="Calibri"/>
                        <w:b/>
                        <w:color w:val="4471C4"/>
                        <w:sz w:val="12"/>
                      </w:rPr>
                      <w:t>3.3</w:t>
                    </w:r>
                  </w:p>
                  <w:p>
                    <w:pPr>
                      <w:spacing w:line="125" w:lineRule="exact" w:before="31"/>
                      <w:ind w:left="58" w:right="0" w:firstLine="0"/>
                      <w:jc w:val="left"/>
                      <w:rPr>
                        <w:rFonts w:ascii="Calibri"/>
                        <w:b/>
                        <w:sz w:val="12"/>
                      </w:rPr>
                    </w:pPr>
                    <w:r>
                      <w:rPr>
                        <w:rFonts w:ascii="Calibri"/>
                        <w:b/>
                        <w:color w:val="538235"/>
                        <w:sz w:val="12"/>
                      </w:rPr>
                      <w:t>2.7</w:t>
                    </w:r>
                  </w:p>
                  <w:p>
                    <w:pPr>
                      <w:spacing w:line="122" w:lineRule="exact" w:before="0"/>
                      <w:ind w:left="260" w:right="0" w:firstLine="0"/>
                      <w:jc w:val="left"/>
                      <w:rPr>
                        <w:rFonts w:ascii="Calibri"/>
                        <w:b/>
                        <w:sz w:val="12"/>
                      </w:rPr>
                    </w:pPr>
                    <w:r>
                      <w:rPr>
                        <w:rFonts w:ascii="Calibri"/>
                        <w:b/>
                        <w:color w:val="4471C4"/>
                        <w:sz w:val="12"/>
                      </w:rPr>
                      <w:t>3.5</w:t>
                    </w:r>
                  </w:p>
                </w:txbxContent>
              </v:textbox>
              <w10:wrap type="none"/>
            </v:shape>
            <v:shape style="position:absolute;left:9089;top:3115;width:232;height:120" type="#_x0000_t202" filled="false" stroked="false">
              <v:textbox inset="0,0,0,0">
                <w:txbxContent>
                  <w:p>
                    <w:pPr>
                      <w:spacing w:line="120" w:lineRule="exact" w:before="0"/>
                      <w:ind w:left="0" w:right="0" w:firstLine="0"/>
                      <w:jc w:val="left"/>
                      <w:rPr>
                        <w:rFonts w:ascii="Calibri"/>
                        <w:b/>
                        <w:sz w:val="12"/>
                      </w:rPr>
                    </w:pPr>
                    <w:r>
                      <w:rPr>
                        <w:rFonts w:ascii="Calibri"/>
                        <w:b/>
                        <w:color w:val="538235"/>
                        <w:sz w:val="12"/>
                      </w:rPr>
                      <w:t>13.8</w:t>
                    </w:r>
                  </w:p>
                </w:txbxContent>
              </v:textbox>
              <w10:wrap type="none"/>
            </v:shape>
            <v:shape style="position:absolute;left:9887;top:3202;width:232;height:120" type="#_x0000_t202" filled="false" stroked="false">
              <v:textbox inset="0,0,0,0">
                <w:txbxContent>
                  <w:p>
                    <w:pPr>
                      <w:spacing w:line="120" w:lineRule="exact" w:before="0"/>
                      <w:ind w:left="0" w:right="0" w:firstLine="0"/>
                      <w:jc w:val="left"/>
                      <w:rPr>
                        <w:rFonts w:ascii="Calibri"/>
                        <w:b/>
                        <w:sz w:val="12"/>
                      </w:rPr>
                    </w:pPr>
                    <w:r>
                      <w:rPr>
                        <w:rFonts w:ascii="Calibri"/>
                        <w:b/>
                        <w:color w:val="4471C4"/>
                        <w:sz w:val="12"/>
                      </w:rPr>
                      <w:t>16.8</w:t>
                    </w:r>
                  </w:p>
                </w:txbxContent>
              </v:textbox>
              <w10:wrap type="none"/>
            </v:shape>
            <w10:wrap type="none"/>
          </v:group>
        </w:pict>
      </w:r>
      <w:r>
        <w:rPr/>
        <w:t>Como porecentajes del PIB</w:t>
      </w:r>
    </w:p>
    <w:p>
      <w:pPr>
        <w:spacing w:line="324" w:lineRule="auto" w:before="56"/>
        <w:ind w:left="708" w:right="7174" w:firstLine="2604"/>
        <w:jc w:val="right"/>
        <w:rPr>
          <w:b/>
          <w:sz w:val="18"/>
        </w:rPr>
      </w:pPr>
      <w:r>
        <w:rPr>
          <w:b/>
          <w:spacing w:val="-1"/>
          <w:sz w:val="18"/>
        </w:rPr>
        <w:t>Defensa </w:t>
      </w:r>
      <w:r>
        <w:rPr>
          <w:b/>
          <w:sz w:val="18"/>
        </w:rPr>
        <w:t>Actividades recreativas, cultura</w:t>
      </w:r>
      <w:r>
        <w:rPr>
          <w:b/>
          <w:spacing w:val="-13"/>
          <w:sz w:val="18"/>
        </w:rPr>
        <w:t> </w:t>
      </w:r>
      <w:r>
        <w:rPr>
          <w:b/>
          <w:sz w:val="18"/>
        </w:rPr>
        <w:t>y</w:t>
      </w:r>
      <w:r>
        <w:rPr>
          <w:b/>
          <w:spacing w:val="-3"/>
          <w:sz w:val="18"/>
        </w:rPr>
        <w:t> </w:t>
      </w:r>
      <w:r>
        <w:rPr>
          <w:b/>
          <w:sz w:val="18"/>
        </w:rPr>
        <w:t>religión Protección del medio</w:t>
      </w:r>
      <w:r>
        <w:rPr>
          <w:b/>
          <w:spacing w:val="-10"/>
          <w:sz w:val="18"/>
        </w:rPr>
        <w:t> </w:t>
      </w:r>
      <w:r>
        <w:rPr>
          <w:b/>
          <w:sz w:val="18"/>
        </w:rPr>
        <w:t>ambiente</w:t>
      </w:r>
    </w:p>
    <w:p>
      <w:pPr>
        <w:spacing w:line="206" w:lineRule="exact" w:before="0"/>
        <w:ind w:left="0" w:right="7176" w:firstLine="0"/>
        <w:jc w:val="right"/>
        <w:rPr>
          <w:b/>
          <w:sz w:val="18"/>
        </w:rPr>
      </w:pPr>
      <w:r>
        <w:rPr>
          <w:b/>
          <w:sz w:val="18"/>
        </w:rPr>
        <w:t>Vivienda y servicios</w:t>
      </w:r>
      <w:r>
        <w:rPr>
          <w:b/>
          <w:spacing w:val="-13"/>
          <w:sz w:val="18"/>
        </w:rPr>
        <w:t> </w:t>
      </w:r>
      <w:r>
        <w:rPr>
          <w:b/>
          <w:sz w:val="18"/>
        </w:rPr>
        <w:t>comunitarios</w:t>
      </w:r>
    </w:p>
    <w:p>
      <w:pPr>
        <w:spacing w:line="324" w:lineRule="auto" w:before="72"/>
        <w:ind w:left="1867" w:right="7174" w:firstLine="510"/>
        <w:jc w:val="right"/>
        <w:rPr>
          <w:b/>
          <w:sz w:val="18"/>
        </w:rPr>
      </w:pPr>
      <w:r>
        <w:rPr>
          <w:b/>
          <w:sz w:val="18"/>
        </w:rPr>
        <w:t>Asuntos</w:t>
      </w:r>
      <w:r>
        <w:rPr>
          <w:b/>
          <w:spacing w:val="-8"/>
          <w:sz w:val="18"/>
        </w:rPr>
        <w:t> </w:t>
      </w:r>
      <w:r>
        <w:rPr>
          <w:b/>
          <w:sz w:val="18"/>
        </w:rPr>
        <w:t>económicos Orden público y</w:t>
      </w:r>
      <w:r>
        <w:rPr>
          <w:b/>
          <w:spacing w:val="-10"/>
          <w:sz w:val="18"/>
        </w:rPr>
        <w:t> </w:t>
      </w:r>
      <w:r>
        <w:rPr>
          <w:b/>
          <w:sz w:val="18"/>
        </w:rPr>
        <w:t>seguridad</w:t>
      </w:r>
    </w:p>
    <w:p>
      <w:pPr>
        <w:spacing w:line="324" w:lineRule="auto" w:before="0"/>
        <w:ind w:left="2628" w:right="7174" w:firstLine="854"/>
        <w:jc w:val="right"/>
        <w:rPr>
          <w:b/>
          <w:sz w:val="18"/>
        </w:rPr>
      </w:pPr>
      <w:r>
        <w:rPr>
          <w:b/>
          <w:spacing w:val="-1"/>
          <w:sz w:val="18"/>
        </w:rPr>
        <w:t>Salud </w:t>
      </w:r>
      <w:r>
        <w:rPr>
          <w:b/>
          <w:sz w:val="18"/>
        </w:rPr>
        <w:t>Protección</w:t>
      </w:r>
      <w:r>
        <w:rPr>
          <w:b/>
          <w:spacing w:val="1"/>
          <w:sz w:val="18"/>
        </w:rPr>
        <w:t> </w:t>
      </w:r>
      <w:r>
        <w:rPr>
          <w:b/>
          <w:spacing w:val="-3"/>
          <w:sz w:val="18"/>
        </w:rPr>
        <w:t>social</w:t>
      </w:r>
    </w:p>
    <w:p>
      <w:pPr>
        <w:spacing w:line="324" w:lineRule="auto" w:before="0"/>
        <w:ind w:left="1783" w:right="7175" w:firstLine="1329"/>
        <w:jc w:val="right"/>
        <w:rPr>
          <w:b/>
          <w:sz w:val="18"/>
        </w:rPr>
      </w:pPr>
      <w:r>
        <w:rPr>
          <w:b/>
          <w:spacing w:val="-1"/>
          <w:sz w:val="18"/>
        </w:rPr>
        <w:t>Educación </w:t>
      </w:r>
      <w:r>
        <w:rPr>
          <w:b/>
          <w:sz w:val="18"/>
        </w:rPr>
        <w:t>Servicios públicos</w:t>
      </w:r>
      <w:r>
        <w:rPr>
          <w:b/>
          <w:spacing w:val="-12"/>
          <w:sz w:val="18"/>
        </w:rPr>
        <w:t> </w:t>
      </w:r>
      <w:r>
        <w:rPr>
          <w:b/>
          <w:sz w:val="18"/>
        </w:rPr>
        <w:t>generales</w:t>
      </w:r>
    </w:p>
    <w:p>
      <w:pPr>
        <w:spacing w:line="206" w:lineRule="exact" w:before="0"/>
        <w:ind w:left="0" w:right="7175" w:firstLine="0"/>
        <w:jc w:val="right"/>
        <w:rPr>
          <w:b/>
          <w:sz w:val="18"/>
        </w:rPr>
      </w:pPr>
      <w:r>
        <w:rPr>
          <w:b/>
          <w:sz w:val="18"/>
        </w:rPr>
        <w:t>Total de</w:t>
      </w:r>
      <w:r>
        <w:rPr>
          <w:b/>
          <w:spacing w:val="-7"/>
          <w:sz w:val="18"/>
        </w:rPr>
        <w:t> </w:t>
      </w:r>
      <w:r>
        <w:rPr>
          <w:b/>
          <w:sz w:val="18"/>
        </w:rPr>
        <w:t>Erogación</w:t>
      </w:r>
    </w:p>
    <w:p>
      <w:pPr>
        <w:spacing w:before="78"/>
        <w:ind w:left="562" w:right="0" w:firstLine="0"/>
        <w:jc w:val="both"/>
        <w:rPr>
          <w:sz w:val="16"/>
        </w:rPr>
      </w:pPr>
      <w:r>
        <w:rPr>
          <w:sz w:val="16"/>
        </w:rPr>
        <w:t>Fuente: Dirección de Análisis y Política Fiscal</w:t>
      </w:r>
    </w:p>
    <w:p>
      <w:pPr>
        <w:spacing w:after="0"/>
        <w:jc w:val="both"/>
        <w:rPr>
          <w:sz w:val="16"/>
        </w:rPr>
        <w:sectPr>
          <w:type w:val="continuous"/>
          <w:pgSz w:w="12240" w:h="15840"/>
          <w:pgMar w:top="1500" w:bottom="280" w:left="1140" w:right="0"/>
        </w:sectPr>
      </w:pPr>
    </w:p>
    <w:p>
      <w:pPr>
        <w:pStyle w:val="Heading3"/>
        <w:numPr>
          <w:ilvl w:val="1"/>
          <w:numId w:val="54"/>
        </w:numPr>
        <w:tabs>
          <w:tab w:pos="1270" w:val="left" w:leader="none"/>
        </w:tabs>
        <w:spacing w:line="240" w:lineRule="auto" w:before="167" w:after="0"/>
        <w:ind w:left="1270" w:right="0" w:hanging="502"/>
        <w:jc w:val="left"/>
      </w:pPr>
      <w:bookmarkStart w:name="_bookmark245" w:id="327"/>
      <w:bookmarkEnd w:id="327"/>
      <w:r>
        <w:rPr>
          <w:b w:val="0"/>
        </w:rPr>
      </w:r>
      <w:bookmarkStart w:name="_bookmark245" w:id="328"/>
      <w:bookmarkEnd w:id="328"/>
      <w:r>
        <w:rPr/>
        <w:t>Es</w:t>
      </w:r>
      <w:r>
        <w:rPr/>
        <w:t>tado de operaciones del Gobierno Central Presupuestario y el gobierno</w:t>
      </w:r>
      <w:r>
        <w:rPr>
          <w:spacing w:val="-12"/>
        </w:rPr>
        <w:t> </w:t>
      </w:r>
      <w:r>
        <w:rPr/>
        <w:t>General</w:t>
      </w:r>
    </w:p>
    <w:p>
      <w:pPr>
        <w:pStyle w:val="BodyText"/>
        <w:spacing w:before="1"/>
        <w:rPr>
          <w:b/>
          <w:sz w:val="28"/>
        </w:rPr>
      </w:pPr>
    </w:p>
    <w:p>
      <w:pPr>
        <w:pStyle w:val="BodyText"/>
        <w:spacing w:line="276" w:lineRule="auto"/>
        <w:ind w:left="562" w:right="1699"/>
        <w:jc w:val="both"/>
      </w:pPr>
      <w:r>
        <w:rPr/>
        <w:t>El Estado de Operaciones se divide en dos partidas analíticas de resultado, el primero de ellas es la diferencia entre los ingresos y gastos que se denomina resultado operativo y es un indicador de sostenibilidad de las operaciones, mientras que el segundo es el endeudamiento o préstamo neto que es</w:t>
      </w:r>
      <w:r>
        <w:rPr>
          <w:spacing w:val="-6"/>
        </w:rPr>
        <w:t> </w:t>
      </w:r>
      <w:r>
        <w:rPr/>
        <w:t>la</w:t>
      </w:r>
      <w:r>
        <w:rPr>
          <w:spacing w:val="-7"/>
        </w:rPr>
        <w:t> </w:t>
      </w:r>
      <w:r>
        <w:rPr/>
        <w:t>diferencia</w:t>
      </w:r>
      <w:r>
        <w:rPr>
          <w:spacing w:val="-8"/>
        </w:rPr>
        <w:t> </w:t>
      </w:r>
      <w:r>
        <w:rPr/>
        <w:t>entre</w:t>
      </w:r>
      <w:r>
        <w:rPr>
          <w:spacing w:val="-9"/>
        </w:rPr>
        <w:t> </w:t>
      </w:r>
      <w:r>
        <w:rPr/>
        <w:t>los</w:t>
      </w:r>
      <w:r>
        <w:rPr>
          <w:spacing w:val="-6"/>
        </w:rPr>
        <w:t> </w:t>
      </w:r>
      <w:r>
        <w:rPr/>
        <w:t>ingresos</w:t>
      </w:r>
      <w:r>
        <w:rPr>
          <w:spacing w:val="-7"/>
        </w:rPr>
        <w:t> </w:t>
      </w:r>
      <w:r>
        <w:rPr/>
        <w:t>y</w:t>
      </w:r>
      <w:r>
        <w:rPr>
          <w:spacing w:val="-9"/>
        </w:rPr>
        <w:t> </w:t>
      </w:r>
      <w:r>
        <w:rPr/>
        <w:t>las</w:t>
      </w:r>
      <w:r>
        <w:rPr>
          <w:spacing w:val="-9"/>
        </w:rPr>
        <w:t> </w:t>
      </w:r>
      <w:r>
        <w:rPr/>
        <w:t>erogaciones</w:t>
      </w:r>
      <w:r>
        <w:rPr>
          <w:spacing w:val="-7"/>
        </w:rPr>
        <w:t> </w:t>
      </w:r>
      <w:r>
        <w:rPr/>
        <w:t>(que</w:t>
      </w:r>
      <w:r>
        <w:rPr>
          <w:spacing w:val="-8"/>
        </w:rPr>
        <w:t> </w:t>
      </w:r>
      <w:r>
        <w:rPr/>
        <w:t>incluye</w:t>
      </w:r>
      <w:r>
        <w:rPr>
          <w:spacing w:val="-7"/>
        </w:rPr>
        <w:t> </w:t>
      </w:r>
      <w:r>
        <w:rPr/>
        <w:t>los</w:t>
      </w:r>
      <w:r>
        <w:rPr>
          <w:spacing w:val="-6"/>
        </w:rPr>
        <w:t> </w:t>
      </w:r>
      <w:r>
        <w:rPr/>
        <w:t>gastos</w:t>
      </w:r>
      <w:r>
        <w:rPr>
          <w:spacing w:val="-7"/>
        </w:rPr>
        <w:t> </w:t>
      </w:r>
      <w:r>
        <w:rPr/>
        <w:t>y</w:t>
      </w:r>
      <w:r>
        <w:rPr>
          <w:spacing w:val="-9"/>
        </w:rPr>
        <w:t> </w:t>
      </w:r>
      <w:r>
        <w:rPr/>
        <w:t>la</w:t>
      </w:r>
      <w:r>
        <w:rPr>
          <w:spacing w:val="-9"/>
        </w:rPr>
        <w:t> </w:t>
      </w:r>
      <w:r>
        <w:rPr/>
        <w:t>inversión</w:t>
      </w:r>
      <w:r>
        <w:rPr>
          <w:spacing w:val="-6"/>
        </w:rPr>
        <w:t> </w:t>
      </w:r>
      <w:r>
        <w:rPr/>
        <w:t>realizada</w:t>
      </w:r>
      <w:r>
        <w:rPr>
          <w:spacing w:val="-9"/>
        </w:rPr>
        <w:t> </w:t>
      </w:r>
      <w:r>
        <w:rPr/>
        <w:t>en activos</w:t>
      </w:r>
      <w:r>
        <w:rPr>
          <w:spacing w:val="-3"/>
        </w:rPr>
        <w:t> </w:t>
      </w:r>
      <w:r>
        <w:rPr/>
        <w:t>no</w:t>
      </w:r>
      <w:r>
        <w:rPr>
          <w:spacing w:val="-4"/>
        </w:rPr>
        <w:t> </w:t>
      </w:r>
      <w:r>
        <w:rPr/>
        <w:t>financieros),</w:t>
      </w:r>
      <w:r>
        <w:rPr>
          <w:spacing w:val="-4"/>
        </w:rPr>
        <w:t> </w:t>
      </w:r>
      <w:r>
        <w:rPr/>
        <w:t>este</w:t>
      </w:r>
      <w:r>
        <w:rPr>
          <w:spacing w:val="-6"/>
        </w:rPr>
        <w:t> </w:t>
      </w:r>
      <w:r>
        <w:rPr/>
        <w:t>puede</w:t>
      </w:r>
      <w:r>
        <w:rPr>
          <w:spacing w:val="-3"/>
        </w:rPr>
        <w:t> </w:t>
      </w:r>
      <w:r>
        <w:rPr/>
        <w:t>considerarse</w:t>
      </w:r>
      <w:r>
        <w:rPr>
          <w:spacing w:val="-3"/>
        </w:rPr>
        <w:t> </w:t>
      </w:r>
      <w:r>
        <w:rPr/>
        <w:t>como</w:t>
      </w:r>
      <w:r>
        <w:rPr>
          <w:spacing w:val="-4"/>
        </w:rPr>
        <w:t> </w:t>
      </w:r>
      <w:r>
        <w:rPr/>
        <w:t>un</w:t>
      </w:r>
      <w:r>
        <w:rPr>
          <w:spacing w:val="-3"/>
        </w:rPr>
        <w:t> </w:t>
      </w:r>
      <w:r>
        <w:rPr/>
        <w:t>indicador</w:t>
      </w:r>
      <w:r>
        <w:rPr>
          <w:spacing w:val="-3"/>
        </w:rPr>
        <w:t> </w:t>
      </w:r>
      <w:r>
        <w:rPr/>
        <w:t>del</w:t>
      </w:r>
      <w:r>
        <w:rPr>
          <w:spacing w:val="-3"/>
        </w:rPr>
        <w:t> </w:t>
      </w:r>
      <w:r>
        <w:rPr/>
        <w:t>grado</w:t>
      </w:r>
      <w:r>
        <w:rPr>
          <w:spacing w:val="-3"/>
        </w:rPr>
        <w:t> </w:t>
      </w:r>
      <w:r>
        <w:rPr/>
        <w:t>en</w:t>
      </w:r>
      <w:r>
        <w:rPr>
          <w:spacing w:val="-3"/>
        </w:rPr>
        <w:t> </w:t>
      </w:r>
      <w:r>
        <w:rPr/>
        <w:t>que</w:t>
      </w:r>
      <w:r>
        <w:rPr>
          <w:spacing w:val="-3"/>
        </w:rPr>
        <w:t> </w:t>
      </w:r>
      <w:r>
        <w:rPr/>
        <w:t>el</w:t>
      </w:r>
      <w:r>
        <w:rPr>
          <w:spacing w:val="-3"/>
        </w:rPr>
        <w:t> </w:t>
      </w:r>
      <w:r>
        <w:rPr/>
        <w:t>gobierno</w:t>
      </w:r>
      <w:r>
        <w:rPr>
          <w:spacing w:val="-4"/>
        </w:rPr>
        <w:t> </w:t>
      </w:r>
      <w:r>
        <w:rPr/>
        <w:t>está colocando recursos financieros a disposición de otros sectores en la</w:t>
      </w:r>
      <w:r>
        <w:rPr>
          <w:spacing w:val="-12"/>
        </w:rPr>
        <w:t> </w:t>
      </w:r>
      <w:r>
        <w:rPr/>
        <w:t>economía.</w:t>
      </w:r>
    </w:p>
    <w:p>
      <w:pPr>
        <w:pStyle w:val="BodyText"/>
        <w:spacing w:before="5"/>
        <w:rPr>
          <w:sz w:val="25"/>
        </w:rPr>
      </w:pPr>
    </w:p>
    <w:p>
      <w:pPr>
        <w:pStyle w:val="BodyText"/>
        <w:spacing w:line="276" w:lineRule="auto"/>
        <w:ind w:left="562" w:right="1699"/>
        <w:jc w:val="both"/>
      </w:pPr>
      <w:r>
        <w:rPr/>
        <w:t>En cuanto al primero de estos indicadores, para el año 2021 se observa que Gobierno Central Presupuestario posee un resultado operativo negativo en 0.6% del PIB a nivel de Gobierno General se torna positivo por el equivalente del 1.7% del PIB. La diferencia entre ambos resultados es que el resultado operativo bruto del Gobierno Central Extrapresupuestario, los Gobiernos Locales y los Fondos de Seguridad Social fueron positivos por 0.2%, 1.5% y 0.6% del PIB respectivamente.</w:t>
      </w:r>
    </w:p>
    <w:p>
      <w:pPr>
        <w:pStyle w:val="BodyText"/>
        <w:spacing w:before="10"/>
        <w:rPr>
          <w:sz w:val="20"/>
        </w:rPr>
      </w:pPr>
    </w:p>
    <w:p>
      <w:pPr>
        <w:pStyle w:val="BodyText"/>
        <w:spacing w:line="276" w:lineRule="auto"/>
        <w:ind w:left="562" w:right="1701"/>
        <w:jc w:val="both"/>
      </w:pPr>
      <w:r>
        <w:rPr/>
        <w:t>En cuanto al segunda de las partidas analíticas, el Gobierno Central Presupuestario tuvo un endeudamiento neto (déficit) por el 1.2% del PIB mientras que, a nivel de Gobierno General, este continúa siendo negativo, pero mejora situándose en 0.6% del PIB.</w:t>
      </w:r>
    </w:p>
    <w:p>
      <w:pPr>
        <w:pStyle w:val="BodyText"/>
        <w:spacing w:before="4"/>
        <w:rPr>
          <w:sz w:val="21"/>
        </w:rPr>
      </w:pPr>
    </w:p>
    <w:p>
      <w:pPr>
        <w:pStyle w:val="Heading3"/>
        <w:ind w:left="639" w:right="1775"/>
        <w:jc w:val="center"/>
      </w:pPr>
      <w:r>
        <w:rPr/>
        <w:t>Estado de Operaciones del Gobierno Central Presupuestario y el Gobierno General</w:t>
      </w:r>
    </w:p>
    <w:p>
      <w:pPr>
        <w:pStyle w:val="BodyText"/>
        <w:spacing w:before="33"/>
        <w:ind w:left="1395" w:right="2529"/>
        <w:jc w:val="center"/>
      </w:pPr>
      <w:r>
        <w:rPr/>
        <w:t>Para el año 2021</w:t>
      </w:r>
    </w:p>
    <w:p>
      <w:pPr>
        <w:pStyle w:val="BodyText"/>
        <w:spacing w:before="2"/>
      </w:pPr>
    </w:p>
    <w:tbl>
      <w:tblPr>
        <w:tblW w:w="0" w:type="auto"/>
        <w:jc w:val="left"/>
        <w:tblInd w:w="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2"/>
        <w:gridCol w:w="3890"/>
        <w:gridCol w:w="1058"/>
        <w:gridCol w:w="718"/>
        <w:gridCol w:w="1100"/>
        <w:gridCol w:w="734"/>
      </w:tblGrid>
      <w:tr>
        <w:trPr>
          <w:trHeight w:val="198" w:hRule="atLeast"/>
        </w:trPr>
        <w:tc>
          <w:tcPr>
            <w:tcW w:w="4592" w:type="dxa"/>
            <w:gridSpan w:val="2"/>
            <w:tcBorders>
              <w:bottom w:val="single" w:sz="8" w:space="0" w:color="000000"/>
              <w:right w:val="single" w:sz="8" w:space="0" w:color="000000"/>
            </w:tcBorders>
          </w:tcPr>
          <w:p>
            <w:pPr>
              <w:pStyle w:val="TableParagraph"/>
              <w:rPr>
                <w:sz w:val="12"/>
              </w:rPr>
            </w:pPr>
          </w:p>
        </w:tc>
        <w:tc>
          <w:tcPr>
            <w:tcW w:w="1776" w:type="dxa"/>
            <w:gridSpan w:val="2"/>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before="5"/>
              <w:ind w:left="136"/>
              <w:rPr>
                <w:b/>
                <w:sz w:val="14"/>
              </w:rPr>
            </w:pPr>
            <w:r>
              <w:rPr>
                <w:b/>
                <w:sz w:val="14"/>
              </w:rPr>
              <w:t>En millones de Quetzales</w:t>
            </w:r>
          </w:p>
        </w:tc>
        <w:tc>
          <w:tcPr>
            <w:tcW w:w="1834" w:type="dxa"/>
            <w:gridSpan w:val="2"/>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before="5"/>
              <w:ind w:left="131"/>
              <w:rPr>
                <w:b/>
                <w:sz w:val="14"/>
              </w:rPr>
            </w:pPr>
            <w:r>
              <w:rPr>
                <w:b/>
                <w:sz w:val="14"/>
              </w:rPr>
              <w:t>Como porcentajes del PIB</w:t>
            </w:r>
          </w:p>
        </w:tc>
      </w:tr>
      <w:tr>
        <w:trPr>
          <w:trHeight w:val="572" w:hRule="atLeast"/>
        </w:trPr>
        <w:tc>
          <w:tcPr>
            <w:tcW w:w="702" w:type="dxa"/>
            <w:tcBorders>
              <w:top w:val="single" w:sz="8" w:space="0" w:color="000000"/>
              <w:left w:val="single" w:sz="8" w:space="0" w:color="000000"/>
              <w:bottom w:val="single" w:sz="8" w:space="0" w:color="000000"/>
            </w:tcBorders>
            <w:shd w:val="clear" w:color="auto" w:fill="44536A"/>
          </w:tcPr>
          <w:p>
            <w:pPr>
              <w:pStyle w:val="TableParagraph"/>
              <w:spacing w:line="276" w:lineRule="auto" w:before="101"/>
              <w:ind w:left="174" w:right="85" w:hanging="15"/>
              <w:rPr>
                <w:b/>
                <w:sz w:val="14"/>
              </w:rPr>
            </w:pPr>
            <w:r>
              <w:rPr>
                <w:b/>
                <w:color w:val="FFFFFF"/>
                <w:sz w:val="14"/>
              </w:rPr>
              <w:t>Código MEFP</w:t>
            </w:r>
          </w:p>
        </w:tc>
        <w:tc>
          <w:tcPr>
            <w:tcW w:w="3890" w:type="dxa"/>
            <w:tcBorders>
              <w:top w:val="single" w:sz="8" w:space="0" w:color="000000"/>
              <w:bottom w:val="single" w:sz="8" w:space="0" w:color="000000"/>
              <w:right w:val="single" w:sz="8" w:space="0" w:color="000000"/>
            </w:tcBorders>
            <w:shd w:val="clear" w:color="auto" w:fill="44536A"/>
          </w:tcPr>
          <w:p>
            <w:pPr>
              <w:pStyle w:val="TableParagraph"/>
              <w:spacing w:before="8"/>
              <w:rPr>
                <w:sz w:val="16"/>
              </w:rPr>
            </w:pPr>
          </w:p>
          <w:p>
            <w:pPr>
              <w:pStyle w:val="TableParagraph"/>
              <w:spacing w:before="1"/>
              <w:ind w:left="1600" w:right="1531"/>
              <w:jc w:val="center"/>
              <w:rPr>
                <w:b/>
                <w:sz w:val="14"/>
              </w:rPr>
            </w:pPr>
            <w:r>
              <w:rPr>
                <w:b/>
                <w:color w:val="FFFFFF"/>
                <w:sz w:val="14"/>
              </w:rPr>
              <w:t>Descripción</w:t>
            </w:r>
          </w:p>
        </w:tc>
        <w:tc>
          <w:tcPr>
            <w:tcW w:w="1058" w:type="dxa"/>
            <w:tcBorders>
              <w:top w:val="single" w:sz="8" w:space="0" w:color="000000"/>
              <w:left w:val="single" w:sz="8" w:space="0" w:color="000000"/>
              <w:bottom w:val="single" w:sz="8" w:space="0" w:color="000000"/>
            </w:tcBorders>
            <w:shd w:val="clear" w:color="auto" w:fill="44536A"/>
          </w:tcPr>
          <w:p>
            <w:pPr>
              <w:pStyle w:val="TableParagraph"/>
              <w:spacing w:line="276" w:lineRule="auto" w:before="8"/>
              <w:ind w:left="57" w:right="42"/>
              <w:jc w:val="center"/>
              <w:rPr>
                <w:b/>
                <w:sz w:val="14"/>
              </w:rPr>
            </w:pPr>
            <w:r>
              <w:rPr>
                <w:b/>
                <w:color w:val="FFFFFF"/>
                <w:w w:val="95"/>
                <w:sz w:val="14"/>
              </w:rPr>
              <w:t>Gobierno </w:t>
            </w:r>
            <w:r>
              <w:rPr>
                <w:b/>
                <w:color w:val="FFFFFF"/>
                <w:sz w:val="14"/>
              </w:rPr>
              <w:t>Central</w:t>
            </w:r>
          </w:p>
          <w:p>
            <w:pPr>
              <w:pStyle w:val="TableParagraph"/>
              <w:spacing w:line="160" w:lineRule="exact"/>
              <w:ind w:left="57" w:right="47"/>
              <w:jc w:val="center"/>
              <w:rPr>
                <w:b/>
                <w:sz w:val="14"/>
              </w:rPr>
            </w:pPr>
            <w:r>
              <w:rPr>
                <w:b/>
                <w:color w:val="FFFFFF"/>
                <w:sz w:val="14"/>
              </w:rPr>
              <w:t>Presupuestario</w:t>
            </w:r>
          </w:p>
        </w:tc>
        <w:tc>
          <w:tcPr>
            <w:tcW w:w="718" w:type="dxa"/>
            <w:tcBorders>
              <w:top w:val="single" w:sz="8" w:space="0" w:color="000000"/>
              <w:bottom w:val="single" w:sz="8" w:space="0" w:color="000000"/>
              <w:right w:val="single" w:sz="8" w:space="0" w:color="000000"/>
            </w:tcBorders>
            <w:shd w:val="clear" w:color="auto" w:fill="44536A"/>
          </w:tcPr>
          <w:p>
            <w:pPr>
              <w:pStyle w:val="TableParagraph"/>
              <w:spacing w:line="276" w:lineRule="auto" w:before="101"/>
              <w:ind w:left="127" w:right="34" w:hanging="41"/>
              <w:rPr>
                <w:b/>
                <w:sz w:val="14"/>
              </w:rPr>
            </w:pPr>
            <w:r>
              <w:rPr>
                <w:b/>
                <w:color w:val="FFFFFF"/>
                <w:sz w:val="14"/>
              </w:rPr>
              <w:t>Gobierno General</w:t>
            </w:r>
          </w:p>
        </w:tc>
        <w:tc>
          <w:tcPr>
            <w:tcW w:w="1100" w:type="dxa"/>
            <w:tcBorders>
              <w:top w:val="single" w:sz="8" w:space="0" w:color="000000"/>
              <w:left w:val="single" w:sz="8" w:space="0" w:color="000000"/>
              <w:bottom w:val="single" w:sz="8" w:space="0" w:color="000000"/>
            </w:tcBorders>
            <w:shd w:val="clear" w:color="auto" w:fill="44536A"/>
          </w:tcPr>
          <w:p>
            <w:pPr>
              <w:pStyle w:val="TableParagraph"/>
              <w:spacing w:line="276" w:lineRule="auto" w:before="8"/>
              <w:ind w:left="84" w:right="54"/>
              <w:jc w:val="center"/>
              <w:rPr>
                <w:b/>
                <w:sz w:val="14"/>
              </w:rPr>
            </w:pPr>
            <w:r>
              <w:rPr>
                <w:b/>
                <w:color w:val="FFFFFF"/>
                <w:w w:val="95"/>
                <w:sz w:val="14"/>
              </w:rPr>
              <w:t>Gobierno </w:t>
            </w:r>
            <w:r>
              <w:rPr>
                <w:b/>
                <w:color w:val="FFFFFF"/>
                <w:sz w:val="14"/>
              </w:rPr>
              <w:t>Central</w:t>
            </w:r>
          </w:p>
          <w:p>
            <w:pPr>
              <w:pStyle w:val="TableParagraph"/>
              <w:spacing w:line="160" w:lineRule="exact"/>
              <w:ind w:left="84" w:right="63"/>
              <w:jc w:val="center"/>
              <w:rPr>
                <w:b/>
                <w:sz w:val="14"/>
              </w:rPr>
            </w:pPr>
            <w:r>
              <w:rPr>
                <w:b/>
                <w:color w:val="FFFFFF"/>
                <w:sz w:val="14"/>
              </w:rPr>
              <w:t>Presupuestario</w:t>
            </w:r>
          </w:p>
        </w:tc>
        <w:tc>
          <w:tcPr>
            <w:tcW w:w="734" w:type="dxa"/>
            <w:tcBorders>
              <w:top w:val="single" w:sz="8" w:space="0" w:color="000000"/>
              <w:bottom w:val="single" w:sz="8" w:space="0" w:color="000000"/>
              <w:right w:val="single" w:sz="8" w:space="0" w:color="000000"/>
            </w:tcBorders>
            <w:shd w:val="clear" w:color="auto" w:fill="44536A"/>
          </w:tcPr>
          <w:p>
            <w:pPr>
              <w:pStyle w:val="TableParagraph"/>
              <w:spacing w:line="276" w:lineRule="auto" w:before="101"/>
              <w:ind w:left="144" w:hanging="41"/>
              <w:rPr>
                <w:b/>
                <w:sz w:val="14"/>
              </w:rPr>
            </w:pPr>
            <w:r>
              <w:rPr>
                <w:b/>
                <w:color w:val="FFFFFF"/>
                <w:w w:val="95"/>
                <w:sz w:val="14"/>
              </w:rPr>
              <w:t>Gobierno </w:t>
            </w:r>
            <w:r>
              <w:rPr>
                <w:b/>
                <w:color w:val="FFFFFF"/>
                <w:sz w:val="14"/>
              </w:rPr>
              <w:t>General</w:t>
            </w:r>
          </w:p>
        </w:tc>
      </w:tr>
      <w:tr>
        <w:trPr>
          <w:trHeight w:val="176" w:hRule="atLeast"/>
        </w:trPr>
        <w:tc>
          <w:tcPr>
            <w:tcW w:w="702" w:type="dxa"/>
            <w:tcBorders>
              <w:top w:val="single" w:sz="8" w:space="0" w:color="000000"/>
              <w:left w:val="single" w:sz="8" w:space="0" w:color="000000"/>
            </w:tcBorders>
          </w:tcPr>
          <w:p>
            <w:pPr>
              <w:pStyle w:val="TableParagraph"/>
              <w:spacing w:line="155" w:lineRule="exact" w:before="1"/>
              <w:ind w:left="53"/>
              <w:jc w:val="center"/>
              <w:rPr>
                <w:b/>
                <w:sz w:val="14"/>
              </w:rPr>
            </w:pPr>
            <w:r>
              <w:rPr>
                <w:b/>
                <w:w w:val="99"/>
                <w:sz w:val="14"/>
              </w:rPr>
              <w:t>1</w:t>
            </w:r>
          </w:p>
        </w:tc>
        <w:tc>
          <w:tcPr>
            <w:tcW w:w="3890" w:type="dxa"/>
            <w:tcBorders>
              <w:top w:val="single" w:sz="8" w:space="0" w:color="000000"/>
              <w:right w:val="single" w:sz="8" w:space="0" w:color="000000"/>
            </w:tcBorders>
          </w:tcPr>
          <w:p>
            <w:pPr>
              <w:pStyle w:val="TableParagraph"/>
              <w:spacing w:line="155" w:lineRule="exact" w:before="1"/>
              <w:ind w:left="123"/>
              <w:rPr>
                <w:b/>
                <w:sz w:val="14"/>
              </w:rPr>
            </w:pPr>
            <w:r>
              <w:rPr>
                <w:b/>
                <w:sz w:val="14"/>
              </w:rPr>
              <w:t>INGRESO</w:t>
            </w:r>
          </w:p>
        </w:tc>
        <w:tc>
          <w:tcPr>
            <w:tcW w:w="1058" w:type="dxa"/>
            <w:tcBorders>
              <w:top w:val="single" w:sz="8" w:space="0" w:color="000000"/>
              <w:left w:val="single" w:sz="8" w:space="0" w:color="000000"/>
            </w:tcBorders>
          </w:tcPr>
          <w:p>
            <w:pPr>
              <w:pStyle w:val="TableParagraph"/>
              <w:spacing w:line="155" w:lineRule="exact" w:before="1"/>
              <w:ind w:left="57" w:right="45"/>
              <w:jc w:val="center"/>
              <w:rPr>
                <w:b/>
                <w:sz w:val="14"/>
              </w:rPr>
            </w:pPr>
            <w:r>
              <w:rPr>
                <w:b/>
                <w:sz w:val="14"/>
              </w:rPr>
              <w:t>84,358.6</w:t>
            </w:r>
          </w:p>
        </w:tc>
        <w:tc>
          <w:tcPr>
            <w:tcW w:w="718" w:type="dxa"/>
            <w:tcBorders>
              <w:top w:val="single" w:sz="8" w:space="0" w:color="000000"/>
              <w:right w:val="single" w:sz="8" w:space="0" w:color="000000"/>
            </w:tcBorders>
          </w:tcPr>
          <w:p>
            <w:pPr>
              <w:pStyle w:val="TableParagraph"/>
              <w:spacing w:line="155" w:lineRule="exact" w:before="1"/>
              <w:ind w:left="68" w:right="39"/>
              <w:jc w:val="center"/>
              <w:rPr>
                <w:b/>
                <w:sz w:val="14"/>
              </w:rPr>
            </w:pPr>
            <w:r>
              <w:rPr>
                <w:b/>
                <w:sz w:val="14"/>
              </w:rPr>
              <w:t>107,519.8</w:t>
            </w:r>
          </w:p>
        </w:tc>
        <w:tc>
          <w:tcPr>
            <w:tcW w:w="1100" w:type="dxa"/>
            <w:tcBorders>
              <w:top w:val="single" w:sz="8" w:space="0" w:color="000000"/>
              <w:left w:val="single" w:sz="8" w:space="0" w:color="000000"/>
            </w:tcBorders>
          </w:tcPr>
          <w:p>
            <w:pPr>
              <w:pStyle w:val="TableParagraph"/>
              <w:spacing w:line="155" w:lineRule="exact" w:before="1"/>
              <w:ind w:left="434"/>
              <w:rPr>
                <w:b/>
                <w:sz w:val="14"/>
              </w:rPr>
            </w:pPr>
            <w:r>
              <w:rPr>
                <w:b/>
                <w:sz w:val="14"/>
              </w:rPr>
              <w:t>12.7</w:t>
            </w:r>
          </w:p>
        </w:tc>
        <w:tc>
          <w:tcPr>
            <w:tcW w:w="734" w:type="dxa"/>
            <w:tcBorders>
              <w:top w:val="single" w:sz="8" w:space="0" w:color="000000"/>
              <w:right w:val="single" w:sz="8" w:space="0" w:color="41709C"/>
            </w:tcBorders>
          </w:tcPr>
          <w:p>
            <w:pPr>
              <w:pStyle w:val="TableParagraph"/>
              <w:spacing w:line="155" w:lineRule="exact" w:before="1"/>
              <w:ind w:left="264"/>
              <w:rPr>
                <w:b/>
                <w:sz w:val="14"/>
              </w:rPr>
            </w:pPr>
            <w:r>
              <w:rPr>
                <w:b/>
                <w:sz w:val="14"/>
              </w:rPr>
              <w:t>16.2</w:t>
            </w:r>
          </w:p>
        </w:tc>
      </w:tr>
      <w:tr>
        <w:trPr>
          <w:trHeight w:val="185" w:hRule="atLeast"/>
        </w:trPr>
        <w:tc>
          <w:tcPr>
            <w:tcW w:w="702" w:type="dxa"/>
            <w:tcBorders>
              <w:left w:val="single" w:sz="8" w:space="0" w:color="000000"/>
            </w:tcBorders>
          </w:tcPr>
          <w:p>
            <w:pPr>
              <w:pStyle w:val="TableParagraph"/>
              <w:spacing w:line="157" w:lineRule="exact" w:before="7"/>
              <w:ind w:left="179" w:right="128"/>
              <w:jc w:val="center"/>
              <w:rPr>
                <w:sz w:val="14"/>
              </w:rPr>
            </w:pPr>
            <w:r>
              <w:rPr>
                <w:sz w:val="14"/>
              </w:rPr>
              <w:t>11</w:t>
            </w:r>
          </w:p>
        </w:tc>
        <w:tc>
          <w:tcPr>
            <w:tcW w:w="3890" w:type="dxa"/>
            <w:tcBorders>
              <w:right w:val="single" w:sz="8" w:space="0" w:color="000000"/>
            </w:tcBorders>
          </w:tcPr>
          <w:p>
            <w:pPr>
              <w:pStyle w:val="TableParagraph"/>
              <w:spacing w:line="157" w:lineRule="exact" w:before="7"/>
              <w:ind w:left="293"/>
              <w:rPr>
                <w:sz w:val="14"/>
              </w:rPr>
            </w:pPr>
            <w:r>
              <w:rPr>
                <w:sz w:val="14"/>
              </w:rPr>
              <w:t>Impuestos</w:t>
            </w:r>
          </w:p>
        </w:tc>
        <w:tc>
          <w:tcPr>
            <w:tcW w:w="1058" w:type="dxa"/>
            <w:tcBorders>
              <w:left w:val="single" w:sz="8" w:space="0" w:color="000000"/>
            </w:tcBorders>
          </w:tcPr>
          <w:p>
            <w:pPr>
              <w:pStyle w:val="TableParagraph"/>
              <w:spacing w:line="157" w:lineRule="exact" w:before="7"/>
              <w:ind w:left="57" w:right="45"/>
              <w:jc w:val="center"/>
              <w:rPr>
                <w:sz w:val="14"/>
              </w:rPr>
            </w:pPr>
            <w:r>
              <w:rPr>
                <w:sz w:val="14"/>
              </w:rPr>
              <w:t>77,300.1</w:t>
            </w:r>
          </w:p>
        </w:tc>
        <w:tc>
          <w:tcPr>
            <w:tcW w:w="718" w:type="dxa"/>
            <w:tcBorders>
              <w:right w:val="single" w:sz="8" w:space="0" w:color="000000"/>
            </w:tcBorders>
          </w:tcPr>
          <w:p>
            <w:pPr>
              <w:pStyle w:val="TableParagraph"/>
              <w:spacing w:line="157" w:lineRule="exact" w:before="7"/>
              <w:ind w:left="68" w:right="36"/>
              <w:jc w:val="center"/>
              <w:rPr>
                <w:sz w:val="14"/>
              </w:rPr>
            </w:pPr>
            <w:r>
              <w:rPr>
                <w:sz w:val="14"/>
              </w:rPr>
              <w:t>80,846.3</w:t>
            </w:r>
          </w:p>
        </w:tc>
        <w:tc>
          <w:tcPr>
            <w:tcW w:w="1100" w:type="dxa"/>
            <w:tcBorders>
              <w:left w:val="single" w:sz="8" w:space="0" w:color="000000"/>
            </w:tcBorders>
          </w:tcPr>
          <w:p>
            <w:pPr>
              <w:pStyle w:val="TableParagraph"/>
              <w:spacing w:line="157" w:lineRule="exact" w:before="7"/>
              <w:ind w:left="434"/>
              <w:rPr>
                <w:sz w:val="14"/>
              </w:rPr>
            </w:pPr>
            <w:r>
              <w:rPr>
                <w:sz w:val="14"/>
              </w:rPr>
              <w:t>11.6</w:t>
            </w:r>
          </w:p>
        </w:tc>
        <w:tc>
          <w:tcPr>
            <w:tcW w:w="734" w:type="dxa"/>
            <w:tcBorders>
              <w:right w:val="single" w:sz="8" w:space="0" w:color="41709C"/>
            </w:tcBorders>
          </w:tcPr>
          <w:p>
            <w:pPr>
              <w:pStyle w:val="TableParagraph"/>
              <w:spacing w:line="157" w:lineRule="exact" w:before="7"/>
              <w:ind w:left="264"/>
              <w:rPr>
                <w:sz w:val="14"/>
              </w:rPr>
            </w:pPr>
            <w:r>
              <w:rPr>
                <w:sz w:val="14"/>
              </w:rPr>
              <w:t>12.2</w:t>
            </w:r>
          </w:p>
        </w:tc>
      </w:tr>
      <w:tr>
        <w:trPr>
          <w:trHeight w:val="186" w:hRule="atLeast"/>
        </w:trPr>
        <w:tc>
          <w:tcPr>
            <w:tcW w:w="702" w:type="dxa"/>
            <w:tcBorders>
              <w:left w:val="single" w:sz="8" w:space="0" w:color="000000"/>
            </w:tcBorders>
          </w:tcPr>
          <w:p>
            <w:pPr>
              <w:pStyle w:val="TableParagraph"/>
              <w:spacing w:line="156" w:lineRule="exact" w:before="10"/>
              <w:ind w:left="179" w:right="128"/>
              <w:jc w:val="center"/>
              <w:rPr>
                <w:sz w:val="14"/>
              </w:rPr>
            </w:pPr>
            <w:r>
              <w:rPr>
                <w:sz w:val="14"/>
              </w:rPr>
              <w:t>12</w:t>
            </w:r>
          </w:p>
        </w:tc>
        <w:tc>
          <w:tcPr>
            <w:tcW w:w="3890" w:type="dxa"/>
            <w:tcBorders>
              <w:right w:val="single" w:sz="8" w:space="0" w:color="000000"/>
            </w:tcBorders>
          </w:tcPr>
          <w:p>
            <w:pPr>
              <w:pStyle w:val="TableParagraph"/>
              <w:spacing w:line="156" w:lineRule="exact" w:before="10"/>
              <w:ind w:left="293"/>
              <w:rPr>
                <w:sz w:val="14"/>
              </w:rPr>
            </w:pPr>
            <w:r>
              <w:rPr>
                <w:sz w:val="14"/>
              </w:rPr>
              <w:t>Contribuciones sociales</w:t>
            </w:r>
          </w:p>
        </w:tc>
        <w:tc>
          <w:tcPr>
            <w:tcW w:w="1058" w:type="dxa"/>
            <w:tcBorders>
              <w:left w:val="single" w:sz="8" w:space="0" w:color="000000"/>
            </w:tcBorders>
          </w:tcPr>
          <w:p>
            <w:pPr>
              <w:pStyle w:val="TableParagraph"/>
              <w:spacing w:line="156" w:lineRule="exact" w:before="10"/>
              <w:ind w:left="56" w:right="47"/>
              <w:jc w:val="center"/>
              <w:rPr>
                <w:sz w:val="14"/>
              </w:rPr>
            </w:pPr>
            <w:r>
              <w:rPr>
                <w:sz w:val="14"/>
              </w:rPr>
              <w:t>5,007.3</w:t>
            </w:r>
          </w:p>
        </w:tc>
        <w:tc>
          <w:tcPr>
            <w:tcW w:w="718" w:type="dxa"/>
            <w:tcBorders>
              <w:right w:val="single" w:sz="8" w:space="0" w:color="000000"/>
            </w:tcBorders>
          </w:tcPr>
          <w:p>
            <w:pPr>
              <w:pStyle w:val="TableParagraph"/>
              <w:spacing w:line="156" w:lineRule="exact" w:before="10"/>
              <w:ind w:left="68" w:right="36"/>
              <w:jc w:val="center"/>
              <w:rPr>
                <w:sz w:val="14"/>
              </w:rPr>
            </w:pPr>
            <w:r>
              <w:rPr>
                <w:sz w:val="14"/>
              </w:rPr>
              <w:t>18,424.9</w:t>
            </w:r>
          </w:p>
        </w:tc>
        <w:tc>
          <w:tcPr>
            <w:tcW w:w="1100" w:type="dxa"/>
            <w:tcBorders>
              <w:left w:val="single" w:sz="8" w:space="0" w:color="000000"/>
            </w:tcBorders>
          </w:tcPr>
          <w:p>
            <w:pPr>
              <w:pStyle w:val="TableParagraph"/>
              <w:spacing w:line="156" w:lineRule="exact" w:before="10"/>
              <w:ind w:left="470"/>
              <w:rPr>
                <w:sz w:val="14"/>
              </w:rPr>
            </w:pPr>
            <w:r>
              <w:rPr>
                <w:sz w:val="14"/>
              </w:rPr>
              <w:t>0.8</w:t>
            </w:r>
          </w:p>
        </w:tc>
        <w:tc>
          <w:tcPr>
            <w:tcW w:w="734" w:type="dxa"/>
            <w:tcBorders>
              <w:right w:val="single" w:sz="8" w:space="0" w:color="41709C"/>
            </w:tcBorders>
          </w:tcPr>
          <w:p>
            <w:pPr>
              <w:pStyle w:val="TableParagraph"/>
              <w:spacing w:line="156" w:lineRule="exact" w:before="10"/>
              <w:ind w:left="297"/>
              <w:rPr>
                <w:sz w:val="14"/>
              </w:rPr>
            </w:pPr>
            <w:r>
              <w:rPr>
                <w:sz w:val="14"/>
              </w:rPr>
              <w:t>2.8</w:t>
            </w:r>
          </w:p>
        </w:tc>
      </w:tr>
      <w:tr>
        <w:trPr>
          <w:trHeight w:val="186" w:hRule="atLeast"/>
        </w:trPr>
        <w:tc>
          <w:tcPr>
            <w:tcW w:w="702" w:type="dxa"/>
            <w:tcBorders>
              <w:left w:val="single" w:sz="8" w:space="0" w:color="000000"/>
            </w:tcBorders>
          </w:tcPr>
          <w:p>
            <w:pPr>
              <w:pStyle w:val="TableParagraph"/>
              <w:spacing w:line="157" w:lineRule="exact" w:before="8"/>
              <w:ind w:left="179" w:right="128"/>
              <w:jc w:val="center"/>
              <w:rPr>
                <w:sz w:val="14"/>
              </w:rPr>
            </w:pPr>
            <w:r>
              <w:rPr>
                <w:sz w:val="14"/>
              </w:rPr>
              <w:t>13</w:t>
            </w:r>
          </w:p>
        </w:tc>
        <w:tc>
          <w:tcPr>
            <w:tcW w:w="3890" w:type="dxa"/>
            <w:tcBorders>
              <w:right w:val="single" w:sz="8" w:space="0" w:color="000000"/>
            </w:tcBorders>
          </w:tcPr>
          <w:p>
            <w:pPr>
              <w:pStyle w:val="TableParagraph"/>
              <w:spacing w:line="157" w:lineRule="exact" w:before="8"/>
              <w:ind w:left="293"/>
              <w:rPr>
                <w:sz w:val="14"/>
              </w:rPr>
            </w:pPr>
            <w:r>
              <w:rPr>
                <w:sz w:val="14"/>
              </w:rPr>
              <w:t>Donaciones</w:t>
            </w:r>
          </w:p>
        </w:tc>
        <w:tc>
          <w:tcPr>
            <w:tcW w:w="1058" w:type="dxa"/>
            <w:tcBorders>
              <w:left w:val="single" w:sz="8" w:space="0" w:color="000000"/>
            </w:tcBorders>
          </w:tcPr>
          <w:p>
            <w:pPr>
              <w:pStyle w:val="TableParagraph"/>
              <w:spacing w:line="157" w:lineRule="exact" w:before="8"/>
              <w:ind w:left="56" w:right="47"/>
              <w:jc w:val="center"/>
              <w:rPr>
                <w:sz w:val="14"/>
              </w:rPr>
            </w:pPr>
            <w:r>
              <w:rPr>
                <w:sz w:val="14"/>
              </w:rPr>
              <w:t>184.9</w:t>
            </w:r>
          </w:p>
        </w:tc>
        <w:tc>
          <w:tcPr>
            <w:tcW w:w="718" w:type="dxa"/>
            <w:tcBorders>
              <w:right w:val="single" w:sz="8" w:space="0" w:color="000000"/>
            </w:tcBorders>
          </w:tcPr>
          <w:p>
            <w:pPr>
              <w:pStyle w:val="TableParagraph"/>
              <w:spacing w:line="157" w:lineRule="exact" w:before="8"/>
              <w:ind w:left="68" w:right="39"/>
              <w:jc w:val="center"/>
              <w:rPr>
                <w:sz w:val="14"/>
              </w:rPr>
            </w:pPr>
            <w:r>
              <w:rPr>
                <w:sz w:val="14"/>
              </w:rPr>
              <w:t>285.9</w:t>
            </w:r>
          </w:p>
        </w:tc>
        <w:tc>
          <w:tcPr>
            <w:tcW w:w="1100" w:type="dxa"/>
            <w:tcBorders>
              <w:left w:val="single" w:sz="8" w:space="0" w:color="000000"/>
            </w:tcBorders>
          </w:tcPr>
          <w:p>
            <w:pPr>
              <w:pStyle w:val="TableParagraph"/>
              <w:spacing w:line="157" w:lineRule="exact" w:before="8"/>
              <w:ind w:left="470"/>
              <w:rPr>
                <w:sz w:val="14"/>
              </w:rPr>
            </w:pPr>
            <w:r>
              <w:rPr>
                <w:sz w:val="14"/>
              </w:rPr>
              <w:t>0.0</w:t>
            </w:r>
          </w:p>
        </w:tc>
        <w:tc>
          <w:tcPr>
            <w:tcW w:w="734" w:type="dxa"/>
            <w:tcBorders>
              <w:right w:val="single" w:sz="8" w:space="0" w:color="41709C"/>
            </w:tcBorders>
          </w:tcPr>
          <w:p>
            <w:pPr>
              <w:pStyle w:val="TableParagraph"/>
              <w:spacing w:line="157" w:lineRule="exact" w:before="8"/>
              <w:ind w:left="297"/>
              <w:rPr>
                <w:sz w:val="14"/>
              </w:rPr>
            </w:pPr>
            <w:r>
              <w:rPr>
                <w:sz w:val="14"/>
              </w:rPr>
              <w:t>0.0</w:t>
            </w:r>
          </w:p>
        </w:tc>
      </w:tr>
      <w:tr>
        <w:trPr>
          <w:trHeight w:val="187" w:hRule="atLeast"/>
        </w:trPr>
        <w:tc>
          <w:tcPr>
            <w:tcW w:w="702" w:type="dxa"/>
            <w:tcBorders>
              <w:left w:val="single" w:sz="8" w:space="0" w:color="000000"/>
            </w:tcBorders>
          </w:tcPr>
          <w:p>
            <w:pPr>
              <w:pStyle w:val="TableParagraph"/>
              <w:spacing w:line="157" w:lineRule="exact" w:before="10"/>
              <w:ind w:left="179" w:right="128"/>
              <w:jc w:val="center"/>
              <w:rPr>
                <w:sz w:val="14"/>
              </w:rPr>
            </w:pPr>
            <w:r>
              <w:rPr>
                <w:sz w:val="14"/>
              </w:rPr>
              <w:t>14</w:t>
            </w:r>
          </w:p>
        </w:tc>
        <w:tc>
          <w:tcPr>
            <w:tcW w:w="3890" w:type="dxa"/>
            <w:tcBorders>
              <w:right w:val="single" w:sz="8" w:space="0" w:color="000000"/>
            </w:tcBorders>
          </w:tcPr>
          <w:p>
            <w:pPr>
              <w:pStyle w:val="TableParagraph"/>
              <w:spacing w:line="157" w:lineRule="exact" w:before="10"/>
              <w:ind w:left="293"/>
              <w:rPr>
                <w:sz w:val="14"/>
              </w:rPr>
            </w:pPr>
            <w:r>
              <w:rPr>
                <w:sz w:val="14"/>
              </w:rPr>
              <w:t>Otros ingresos</w:t>
            </w:r>
          </w:p>
        </w:tc>
        <w:tc>
          <w:tcPr>
            <w:tcW w:w="1058" w:type="dxa"/>
            <w:tcBorders>
              <w:left w:val="single" w:sz="8" w:space="0" w:color="000000"/>
            </w:tcBorders>
          </w:tcPr>
          <w:p>
            <w:pPr>
              <w:pStyle w:val="TableParagraph"/>
              <w:spacing w:line="157" w:lineRule="exact" w:before="10"/>
              <w:ind w:left="56" w:right="47"/>
              <w:jc w:val="center"/>
              <w:rPr>
                <w:sz w:val="14"/>
              </w:rPr>
            </w:pPr>
            <w:r>
              <w:rPr>
                <w:sz w:val="14"/>
              </w:rPr>
              <w:t>1,866.3</w:t>
            </w:r>
          </w:p>
        </w:tc>
        <w:tc>
          <w:tcPr>
            <w:tcW w:w="718" w:type="dxa"/>
            <w:tcBorders>
              <w:right w:val="single" w:sz="8" w:space="0" w:color="000000"/>
            </w:tcBorders>
          </w:tcPr>
          <w:p>
            <w:pPr>
              <w:pStyle w:val="TableParagraph"/>
              <w:spacing w:line="157" w:lineRule="exact" w:before="10"/>
              <w:ind w:left="68" w:right="39"/>
              <w:jc w:val="center"/>
              <w:rPr>
                <w:sz w:val="14"/>
              </w:rPr>
            </w:pPr>
            <w:r>
              <w:rPr>
                <w:sz w:val="14"/>
              </w:rPr>
              <w:t>7,962.7</w:t>
            </w:r>
          </w:p>
        </w:tc>
        <w:tc>
          <w:tcPr>
            <w:tcW w:w="1100" w:type="dxa"/>
            <w:tcBorders>
              <w:left w:val="single" w:sz="8" w:space="0" w:color="000000"/>
            </w:tcBorders>
          </w:tcPr>
          <w:p>
            <w:pPr>
              <w:pStyle w:val="TableParagraph"/>
              <w:spacing w:line="157" w:lineRule="exact" w:before="10"/>
              <w:ind w:left="470"/>
              <w:rPr>
                <w:sz w:val="14"/>
              </w:rPr>
            </w:pPr>
            <w:r>
              <w:rPr>
                <w:sz w:val="14"/>
              </w:rPr>
              <w:t>0.3</w:t>
            </w:r>
          </w:p>
        </w:tc>
        <w:tc>
          <w:tcPr>
            <w:tcW w:w="734" w:type="dxa"/>
            <w:tcBorders>
              <w:right w:val="single" w:sz="8" w:space="0" w:color="41709C"/>
            </w:tcBorders>
          </w:tcPr>
          <w:p>
            <w:pPr>
              <w:pStyle w:val="TableParagraph"/>
              <w:spacing w:line="157" w:lineRule="exact" w:before="10"/>
              <w:ind w:left="297"/>
              <w:rPr>
                <w:sz w:val="14"/>
              </w:rPr>
            </w:pPr>
            <w:r>
              <w:rPr>
                <w:sz w:val="14"/>
              </w:rPr>
              <w:t>1.2</w:t>
            </w:r>
          </w:p>
        </w:tc>
      </w:tr>
      <w:tr>
        <w:trPr>
          <w:trHeight w:val="185" w:hRule="atLeast"/>
        </w:trPr>
        <w:tc>
          <w:tcPr>
            <w:tcW w:w="702" w:type="dxa"/>
            <w:tcBorders>
              <w:left w:val="single" w:sz="8" w:space="0" w:color="000000"/>
            </w:tcBorders>
          </w:tcPr>
          <w:p>
            <w:pPr>
              <w:pStyle w:val="TableParagraph"/>
              <w:spacing w:line="156" w:lineRule="exact" w:before="10"/>
              <w:ind w:left="53"/>
              <w:jc w:val="center"/>
              <w:rPr>
                <w:b/>
                <w:sz w:val="14"/>
              </w:rPr>
            </w:pPr>
            <w:r>
              <w:rPr>
                <w:b/>
                <w:w w:val="99"/>
                <w:sz w:val="14"/>
              </w:rPr>
              <w:t>2</w:t>
            </w:r>
          </w:p>
        </w:tc>
        <w:tc>
          <w:tcPr>
            <w:tcW w:w="3890" w:type="dxa"/>
            <w:tcBorders>
              <w:right w:val="single" w:sz="8" w:space="0" w:color="000000"/>
            </w:tcBorders>
          </w:tcPr>
          <w:p>
            <w:pPr>
              <w:pStyle w:val="TableParagraph"/>
              <w:spacing w:line="156" w:lineRule="exact" w:before="10"/>
              <w:ind w:left="123"/>
              <w:rPr>
                <w:b/>
                <w:sz w:val="14"/>
              </w:rPr>
            </w:pPr>
            <w:r>
              <w:rPr>
                <w:b/>
                <w:sz w:val="14"/>
              </w:rPr>
              <w:t>GASTO</w:t>
            </w:r>
          </w:p>
        </w:tc>
        <w:tc>
          <w:tcPr>
            <w:tcW w:w="1058" w:type="dxa"/>
            <w:tcBorders>
              <w:left w:val="single" w:sz="8" w:space="0" w:color="000000"/>
            </w:tcBorders>
          </w:tcPr>
          <w:p>
            <w:pPr>
              <w:pStyle w:val="TableParagraph"/>
              <w:spacing w:line="156" w:lineRule="exact" w:before="10"/>
              <w:ind w:left="57" w:right="45"/>
              <w:jc w:val="center"/>
              <w:rPr>
                <w:b/>
                <w:sz w:val="14"/>
              </w:rPr>
            </w:pPr>
            <w:r>
              <w:rPr>
                <w:b/>
                <w:sz w:val="14"/>
              </w:rPr>
              <w:t>88,294.8</w:t>
            </w:r>
          </w:p>
        </w:tc>
        <w:tc>
          <w:tcPr>
            <w:tcW w:w="718" w:type="dxa"/>
            <w:tcBorders>
              <w:right w:val="single" w:sz="8" w:space="0" w:color="000000"/>
            </w:tcBorders>
          </w:tcPr>
          <w:p>
            <w:pPr>
              <w:pStyle w:val="TableParagraph"/>
              <w:spacing w:line="156" w:lineRule="exact" w:before="10"/>
              <w:ind w:left="68" w:right="36"/>
              <w:jc w:val="center"/>
              <w:rPr>
                <w:b/>
                <w:sz w:val="14"/>
              </w:rPr>
            </w:pPr>
            <w:r>
              <w:rPr>
                <w:b/>
                <w:sz w:val="14"/>
              </w:rPr>
              <w:t>96,546.0</w:t>
            </w:r>
          </w:p>
        </w:tc>
        <w:tc>
          <w:tcPr>
            <w:tcW w:w="1100" w:type="dxa"/>
            <w:tcBorders>
              <w:left w:val="single" w:sz="8" w:space="0" w:color="000000"/>
            </w:tcBorders>
          </w:tcPr>
          <w:p>
            <w:pPr>
              <w:pStyle w:val="TableParagraph"/>
              <w:spacing w:line="156" w:lineRule="exact" w:before="10"/>
              <w:ind w:left="434"/>
              <w:rPr>
                <w:b/>
                <w:sz w:val="14"/>
              </w:rPr>
            </w:pPr>
            <w:r>
              <w:rPr>
                <w:b/>
                <w:sz w:val="14"/>
              </w:rPr>
              <w:t>13.3</w:t>
            </w:r>
          </w:p>
        </w:tc>
        <w:tc>
          <w:tcPr>
            <w:tcW w:w="734" w:type="dxa"/>
            <w:tcBorders>
              <w:right w:val="single" w:sz="8" w:space="0" w:color="41709C"/>
            </w:tcBorders>
          </w:tcPr>
          <w:p>
            <w:pPr>
              <w:pStyle w:val="TableParagraph"/>
              <w:spacing w:line="156" w:lineRule="exact" w:before="10"/>
              <w:ind w:left="264"/>
              <w:rPr>
                <w:b/>
                <w:sz w:val="14"/>
              </w:rPr>
            </w:pPr>
            <w:r>
              <w:rPr>
                <w:b/>
                <w:sz w:val="14"/>
              </w:rPr>
              <w:t>14.5</w:t>
            </w:r>
          </w:p>
        </w:tc>
      </w:tr>
      <w:tr>
        <w:trPr>
          <w:trHeight w:val="184" w:hRule="atLeast"/>
        </w:trPr>
        <w:tc>
          <w:tcPr>
            <w:tcW w:w="702" w:type="dxa"/>
            <w:tcBorders>
              <w:left w:val="single" w:sz="8" w:space="0" w:color="000000"/>
            </w:tcBorders>
          </w:tcPr>
          <w:p>
            <w:pPr>
              <w:pStyle w:val="TableParagraph"/>
              <w:spacing w:line="156" w:lineRule="exact" w:before="8"/>
              <w:ind w:left="179" w:right="128"/>
              <w:jc w:val="center"/>
              <w:rPr>
                <w:sz w:val="14"/>
              </w:rPr>
            </w:pPr>
            <w:r>
              <w:rPr>
                <w:sz w:val="14"/>
              </w:rPr>
              <w:t>21</w:t>
            </w:r>
          </w:p>
        </w:tc>
        <w:tc>
          <w:tcPr>
            <w:tcW w:w="3890" w:type="dxa"/>
            <w:tcBorders>
              <w:right w:val="single" w:sz="8" w:space="0" w:color="000000"/>
            </w:tcBorders>
          </w:tcPr>
          <w:p>
            <w:pPr>
              <w:pStyle w:val="TableParagraph"/>
              <w:spacing w:line="156" w:lineRule="exact" w:before="8"/>
              <w:ind w:left="293"/>
              <w:rPr>
                <w:sz w:val="14"/>
              </w:rPr>
            </w:pPr>
            <w:r>
              <w:rPr>
                <w:sz w:val="14"/>
              </w:rPr>
              <w:t>Remuneración a los empleados</w:t>
            </w:r>
          </w:p>
        </w:tc>
        <w:tc>
          <w:tcPr>
            <w:tcW w:w="1058" w:type="dxa"/>
            <w:tcBorders>
              <w:left w:val="single" w:sz="8" w:space="0" w:color="000000"/>
            </w:tcBorders>
          </w:tcPr>
          <w:p>
            <w:pPr>
              <w:pStyle w:val="TableParagraph"/>
              <w:spacing w:line="156" w:lineRule="exact" w:before="8"/>
              <w:ind w:left="57" w:right="45"/>
              <w:jc w:val="center"/>
              <w:rPr>
                <w:sz w:val="14"/>
              </w:rPr>
            </w:pPr>
            <w:r>
              <w:rPr>
                <w:sz w:val="14"/>
              </w:rPr>
              <w:t>30,875.9</w:t>
            </w:r>
          </w:p>
        </w:tc>
        <w:tc>
          <w:tcPr>
            <w:tcW w:w="718" w:type="dxa"/>
            <w:tcBorders>
              <w:right w:val="single" w:sz="8" w:space="0" w:color="000000"/>
            </w:tcBorders>
          </w:tcPr>
          <w:p>
            <w:pPr>
              <w:pStyle w:val="TableParagraph"/>
              <w:spacing w:line="156" w:lineRule="exact" w:before="8"/>
              <w:ind w:left="68" w:right="36"/>
              <w:jc w:val="center"/>
              <w:rPr>
                <w:sz w:val="14"/>
              </w:rPr>
            </w:pPr>
            <w:r>
              <w:rPr>
                <w:sz w:val="14"/>
              </w:rPr>
              <w:t>48,444.4</w:t>
            </w:r>
          </w:p>
        </w:tc>
        <w:tc>
          <w:tcPr>
            <w:tcW w:w="1100" w:type="dxa"/>
            <w:tcBorders>
              <w:left w:val="single" w:sz="8" w:space="0" w:color="000000"/>
            </w:tcBorders>
          </w:tcPr>
          <w:p>
            <w:pPr>
              <w:pStyle w:val="TableParagraph"/>
              <w:spacing w:line="156" w:lineRule="exact" w:before="8"/>
              <w:ind w:left="470"/>
              <w:rPr>
                <w:sz w:val="14"/>
              </w:rPr>
            </w:pPr>
            <w:r>
              <w:rPr>
                <w:sz w:val="14"/>
              </w:rPr>
              <w:t>4.6</w:t>
            </w:r>
          </w:p>
        </w:tc>
        <w:tc>
          <w:tcPr>
            <w:tcW w:w="734" w:type="dxa"/>
            <w:tcBorders>
              <w:right w:val="single" w:sz="8" w:space="0" w:color="41709C"/>
            </w:tcBorders>
          </w:tcPr>
          <w:p>
            <w:pPr>
              <w:pStyle w:val="TableParagraph"/>
              <w:spacing w:line="156" w:lineRule="exact" w:before="8"/>
              <w:ind w:left="297"/>
              <w:rPr>
                <w:sz w:val="14"/>
              </w:rPr>
            </w:pPr>
            <w:r>
              <w:rPr>
                <w:sz w:val="14"/>
              </w:rPr>
              <w:t>7.3</w:t>
            </w:r>
          </w:p>
        </w:tc>
      </w:tr>
      <w:tr>
        <w:trPr>
          <w:trHeight w:val="186" w:hRule="atLeast"/>
        </w:trPr>
        <w:tc>
          <w:tcPr>
            <w:tcW w:w="702" w:type="dxa"/>
            <w:tcBorders>
              <w:left w:val="single" w:sz="8" w:space="0" w:color="000000"/>
            </w:tcBorders>
          </w:tcPr>
          <w:p>
            <w:pPr>
              <w:pStyle w:val="TableParagraph"/>
              <w:spacing w:line="157" w:lineRule="exact" w:before="8"/>
              <w:ind w:left="179" w:right="128"/>
              <w:jc w:val="center"/>
              <w:rPr>
                <w:sz w:val="14"/>
              </w:rPr>
            </w:pPr>
            <w:r>
              <w:rPr>
                <w:sz w:val="14"/>
              </w:rPr>
              <w:t>22</w:t>
            </w:r>
          </w:p>
        </w:tc>
        <w:tc>
          <w:tcPr>
            <w:tcW w:w="3890" w:type="dxa"/>
            <w:tcBorders>
              <w:right w:val="single" w:sz="8" w:space="0" w:color="000000"/>
            </w:tcBorders>
          </w:tcPr>
          <w:p>
            <w:pPr>
              <w:pStyle w:val="TableParagraph"/>
              <w:spacing w:line="157" w:lineRule="exact" w:before="8"/>
              <w:ind w:left="293"/>
              <w:rPr>
                <w:sz w:val="14"/>
              </w:rPr>
            </w:pPr>
            <w:r>
              <w:rPr>
                <w:sz w:val="14"/>
              </w:rPr>
              <w:t>Uso de bienes y servicios</w:t>
            </w:r>
          </w:p>
        </w:tc>
        <w:tc>
          <w:tcPr>
            <w:tcW w:w="1058" w:type="dxa"/>
            <w:tcBorders>
              <w:left w:val="single" w:sz="8" w:space="0" w:color="000000"/>
            </w:tcBorders>
          </w:tcPr>
          <w:p>
            <w:pPr>
              <w:pStyle w:val="TableParagraph"/>
              <w:spacing w:line="157" w:lineRule="exact" w:before="8"/>
              <w:ind w:left="57" w:right="45"/>
              <w:jc w:val="center"/>
              <w:rPr>
                <w:sz w:val="14"/>
              </w:rPr>
            </w:pPr>
            <w:r>
              <w:rPr>
                <w:sz w:val="14"/>
              </w:rPr>
              <w:t>13,254.2</w:t>
            </w:r>
          </w:p>
        </w:tc>
        <w:tc>
          <w:tcPr>
            <w:tcW w:w="718" w:type="dxa"/>
            <w:tcBorders>
              <w:right w:val="single" w:sz="8" w:space="0" w:color="000000"/>
            </w:tcBorders>
          </w:tcPr>
          <w:p>
            <w:pPr>
              <w:pStyle w:val="TableParagraph"/>
              <w:spacing w:line="157" w:lineRule="exact" w:before="8"/>
              <w:ind w:left="68" w:right="36"/>
              <w:jc w:val="center"/>
              <w:rPr>
                <w:sz w:val="14"/>
              </w:rPr>
            </w:pPr>
            <w:r>
              <w:rPr>
                <w:sz w:val="14"/>
              </w:rPr>
              <w:t>19,412.2</w:t>
            </w:r>
          </w:p>
        </w:tc>
        <w:tc>
          <w:tcPr>
            <w:tcW w:w="1100" w:type="dxa"/>
            <w:tcBorders>
              <w:left w:val="single" w:sz="8" w:space="0" w:color="000000"/>
            </w:tcBorders>
          </w:tcPr>
          <w:p>
            <w:pPr>
              <w:pStyle w:val="TableParagraph"/>
              <w:spacing w:line="157" w:lineRule="exact" w:before="8"/>
              <w:ind w:left="470"/>
              <w:rPr>
                <w:sz w:val="14"/>
              </w:rPr>
            </w:pPr>
            <w:r>
              <w:rPr>
                <w:sz w:val="14"/>
              </w:rPr>
              <w:t>2.0</w:t>
            </w:r>
          </w:p>
        </w:tc>
        <w:tc>
          <w:tcPr>
            <w:tcW w:w="734" w:type="dxa"/>
            <w:tcBorders>
              <w:right w:val="single" w:sz="8" w:space="0" w:color="41709C"/>
            </w:tcBorders>
          </w:tcPr>
          <w:p>
            <w:pPr>
              <w:pStyle w:val="TableParagraph"/>
              <w:spacing w:line="157" w:lineRule="exact" w:before="8"/>
              <w:ind w:left="297"/>
              <w:rPr>
                <w:sz w:val="14"/>
              </w:rPr>
            </w:pPr>
            <w:r>
              <w:rPr>
                <w:sz w:val="14"/>
              </w:rPr>
              <w:t>2.9</w:t>
            </w:r>
          </w:p>
        </w:tc>
      </w:tr>
      <w:tr>
        <w:trPr>
          <w:trHeight w:val="186" w:hRule="atLeast"/>
        </w:trPr>
        <w:tc>
          <w:tcPr>
            <w:tcW w:w="702" w:type="dxa"/>
            <w:tcBorders>
              <w:left w:val="single" w:sz="8" w:space="0" w:color="000000"/>
            </w:tcBorders>
          </w:tcPr>
          <w:p>
            <w:pPr>
              <w:pStyle w:val="TableParagraph"/>
              <w:spacing w:line="156" w:lineRule="exact" w:before="10"/>
              <w:ind w:left="179" w:right="128"/>
              <w:jc w:val="center"/>
              <w:rPr>
                <w:sz w:val="14"/>
              </w:rPr>
            </w:pPr>
            <w:r>
              <w:rPr>
                <w:sz w:val="14"/>
              </w:rPr>
              <w:t>24</w:t>
            </w:r>
          </w:p>
        </w:tc>
        <w:tc>
          <w:tcPr>
            <w:tcW w:w="3890" w:type="dxa"/>
            <w:tcBorders>
              <w:right w:val="single" w:sz="8" w:space="0" w:color="000000"/>
            </w:tcBorders>
          </w:tcPr>
          <w:p>
            <w:pPr>
              <w:pStyle w:val="TableParagraph"/>
              <w:spacing w:line="156" w:lineRule="exact" w:before="10"/>
              <w:ind w:left="293"/>
              <w:rPr>
                <w:sz w:val="14"/>
              </w:rPr>
            </w:pPr>
            <w:r>
              <w:rPr>
                <w:sz w:val="14"/>
              </w:rPr>
              <w:t>Intereses</w:t>
            </w:r>
          </w:p>
        </w:tc>
        <w:tc>
          <w:tcPr>
            <w:tcW w:w="1058" w:type="dxa"/>
            <w:tcBorders>
              <w:left w:val="single" w:sz="8" w:space="0" w:color="000000"/>
            </w:tcBorders>
          </w:tcPr>
          <w:p>
            <w:pPr>
              <w:pStyle w:val="TableParagraph"/>
              <w:spacing w:line="156" w:lineRule="exact" w:before="10"/>
              <w:ind w:left="57" w:right="45"/>
              <w:jc w:val="center"/>
              <w:rPr>
                <w:sz w:val="14"/>
              </w:rPr>
            </w:pPr>
            <w:r>
              <w:rPr>
                <w:sz w:val="14"/>
              </w:rPr>
              <w:t>11,394.5</w:t>
            </w:r>
          </w:p>
        </w:tc>
        <w:tc>
          <w:tcPr>
            <w:tcW w:w="718" w:type="dxa"/>
            <w:tcBorders>
              <w:right w:val="single" w:sz="8" w:space="0" w:color="000000"/>
            </w:tcBorders>
          </w:tcPr>
          <w:p>
            <w:pPr>
              <w:pStyle w:val="TableParagraph"/>
              <w:spacing w:line="156" w:lineRule="exact" w:before="10"/>
              <w:ind w:left="68" w:right="36"/>
              <w:jc w:val="center"/>
              <w:rPr>
                <w:sz w:val="14"/>
              </w:rPr>
            </w:pPr>
            <w:r>
              <w:rPr>
                <w:sz w:val="14"/>
              </w:rPr>
              <w:t>10,302.9</w:t>
            </w:r>
          </w:p>
        </w:tc>
        <w:tc>
          <w:tcPr>
            <w:tcW w:w="1100" w:type="dxa"/>
            <w:tcBorders>
              <w:left w:val="single" w:sz="8" w:space="0" w:color="000000"/>
            </w:tcBorders>
          </w:tcPr>
          <w:p>
            <w:pPr>
              <w:pStyle w:val="TableParagraph"/>
              <w:spacing w:line="156" w:lineRule="exact" w:before="10"/>
              <w:ind w:left="470"/>
              <w:rPr>
                <w:sz w:val="14"/>
              </w:rPr>
            </w:pPr>
            <w:r>
              <w:rPr>
                <w:sz w:val="14"/>
              </w:rPr>
              <w:t>1.7</w:t>
            </w:r>
          </w:p>
        </w:tc>
        <w:tc>
          <w:tcPr>
            <w:tcW w:w="734" w:type="dxa"/>
            <w:tcBorders>
              <w:right w:val="single" w:sz="8" w:space="0" w:color="41709C"/>
            </w:tcBorders>
          </w:tcPr>
          <w:p>
            <w:pPr>
              <w:pStyle w:val="TableParagraph"/>
              <w:spacing w:line="156" w:lineRule="exact" w:before="10"/>
              <w:ind w:left="297"/>
              <w:rPr>
                <w:sz w:val="14"/>
              </w:rPr>
            </w:pPr>
            <w:r>
              <w:rPr>
                <w:sz w:val="14"/>
              </w:rPr>
              <w:t>1.5</w:t>
            </w:r>
          </w:p>
        </w:tc>
      </w:tr>
      <w:tr>
        <w:trPr>
          <w:trHeight w:val="186" w:hRule="atLeast"/>
        </w:trPr>
        <w:tc>
          <w:tcPr>
            <w:tcW w:w="702" w:type="dxa"/>
            <w:tcBorders>
              <w:left w:val="single" w:sz="8" w:space="0" w:color="000000"/>
            </w:tcBorders>
          </w:tcPr>
          <w:p>
            <w:pPr>
              <w:pStyle w:val="TableParagraph"/>
              <w:spacing w:line="157" w:lineRule="exact" w:before="8"/>
              <w:ind w:left="179" w:right="128"/>
              <w:jc w:val="center"/>
              <w:rPr>
                <w:sz w:val="14"/>
              </w:rPr>
            </w:pPr>
            <w:r>
              <w:rPr>
                <w:sz w:val="14"/>
              </w:rPr>
              <w:t>25</w:t>
            </w:r>
          </w:p>
        </w:tc>
        <w:tc>
          <w:tcPr>
            <w:tcW w:w="3890" w:type="dxa"/>
            <w:tcBorders>
              <w:right w:val="single" w:sz="8" w:space="0" w:color="000000"/>
            </w:tcBorders>
          </w:tcPr>
          <w:p>
            <w:pPr>
              <w:pStyle w:val="TableParagraph"/>
              <w:spacing w:line="157" w:lineRule="exact" w:before="8"/>
              <w:ind w:left="293"/>
              <w:rPr>
                <w:sz w:val="14"/>
              </w:rPr>
            </w:pPr>
            <w:r>
              <w:rPr>
                <w:sz w:val="14"/>
              </w:rPr>
              <w:t>Subsidios</w:t>
            </w:r>
          </w:p>
        </w:tc>
        <w:tc>
          <w:tcPr>
            <w:tcW w:w="1058" w:type="dxa"/>
            <w:tcBorders>
              <w:left w:val="single" w:sz="8" w:space="0" w:color="000000"/>
            </w:tcBorders>
          </w:tcPr>
          <w:p>
            <w:pPr>
              <w:pStyle w:val="TableParagraph"/>
              <w:spacing w:line="157" w:lineRule="exact" w:before="8"/>
              <w:ind w:left="56" w:right="47"/>
              <w:jc w:val="center"/>
              <w:rPr>
                <w:sz w:val="14"/>
              </w:rPr>
            </w:pPr>
            <w:r>
              <w:rPr>
                <w:sz w:val="14"/>
              </w:rPr>
              <w:t>455.2</w:t>
            </w:r>
          </w:p>
        </w:tc>
        <w:tc>
          <w:tcPr>
            <w:tcW w:w="718" w:type="dxa"/>
            <w:tcBorders>
              <w:right w:val="single" w:sz="8" w:space="0" w:color="000000"/>
            </w:tcBorders>
          </w:tcPr>
          <w:p>
            <w:pPr>
              <w:pStyle w:val="TableParagraph"/>
              <w:spacing w:line="157" w:lineRule="exact" w:before="8"/>
              <w:ind w:left="68" w:right="39"/>
              <w:jc w:val="center"/>
              <w:rPr>
                <w:sz w:val="14"/>
              </w:rPr>
            </w:pPr>
            <w:r>
              <w:rPr>
                <w:sz w:val="14"/>
              </w:rPr>
              <w:t>485.0</w:t>
            </w:r>
          </w:p>
        </w:tc>
        <w:tc>
          <w:tcPr>
            <w:tcW w:w="1100" w:type="dxa"/>
            <w:tcBorders>
              <w:left w:val="single" w:sz="8" w:space="0" w:color="000000"/>
            </w:tcBorders>
          </w:tcPr>
          <w:p>
            <w:pPr>
              <w:pStyle w:val="TableParagraph"/>
              <w:spacing w:line="157" w:lineRule="exact" w:before="8"/>
              <w:ind w:left="470"/>
              <w:rPr>
                <w:sz w:val="14"/>
              </w:rPr>
            </w:pPr>
            <w:r>
              <w:rPr>
                <w:sz w:val="14"/>
              </w:rPr>
              <w:t>0.1</w:t>
            </w:r>
          </w:p>
        </w:tc>
        <w:tc>
          <w:tcPr>
            <w:tcW w:w="734" w:type="dxa"/>
            <w:tcBorders>
              <w:right w:val="single" w:sz="8" w:space="0" w:color="41709C"/>
            </w:tcBorders>
          </w:tcPr>
          <w:p>
            <w:pPr>
              <w:pStyle w:val="TableParagraph"/>
              <w:spacing w:line="157" w:lineRule="exact" w:before="8"/>
              <w:ind w:left="297"/>
              <w:rPr>
                <w:sz w:val="14"/>
              </w:rPr>
            </w:pPr>
            <w:r>
              <w:rPr>
                <w:sz w:val="14"/>
              </w:rPr>
              <w:t>0.1</w:t>
            </w:r>
          </w:p>
        </w:tc>
      </w:tr>
      <w:tr>
        <w:trPr>
          <w:trHeight w:val="186" w:hRule="atLeast"/>
        </w:trPr>
        <w:tc>
          <w:tcPr>
            <w:tcW w:w="702" w:type="dxa"/>
            <w:tcBorders>
              <w:left w:val="single" w:sz="8" w:space="0" w:color="000000"/>
            </w:tcBorders>
          </w:tcPr>
          <w:p>
            <w:pPr>
              <w:pStyle w:val="TableParagraph"/>
              <w:spacing w:line="156" w:lineRule="exact" w:before="10"/>
              <w:ind w:left="179" w:right="128"/>
              <w:jc w:val="center"/>
              <w:rPr>
                <w:sz w:val="14"/>
              </w:rPr>
            </w:pPr>
            <w:r>
              <w:rPr>
                <w:sz w:val="14"/>
              </w:rPr>
              <w:t>26</w:t>
            </w:r>
          </w:p>
        </w:tc>
        <w:tc>
          <w:tcPr>
            <w:tcW w:w="3890" w:type="dxa"/>
            <w:tcBorders>
              <w:right w:val="single" w:sz="8" w:space="0" w:color="000000"/>
            </w:tcBorders>
          </w:tcPr>
          <w:p>
            <w:pPr>
              <w:pStyle w:val="TableParagraph"/>
              <w:spacing w:line="156" w:lineRule="exact" w:before="10"/>
              <w:ind w:left="293"/>
              <w:rPr>
                <w:sz w:val="14"/>
              </w:rPr>
            </w:pPr>
            <w:r>
              <w:rPr>
                <w:sz w:val="14"/>
              </w:rPr>
              <w:t>Donaciones</w:t>
            </w:r>
          </w:p>
        </w:tc>
        <w:tc>
          <w:tcPr>
            <w:tcW w:w="1058" w:type="dxa"/>
            <w:tcBorders>
              <w:left w:val="single" w:sz="8" w:space="0" w:color="000000"/>
            </w:tcBorders>
          </w:tcPr>
          <w:p>
            <w:pPr>
              <w:pStyle w:val="TableParagraph"/>
              <w:spacing w:line="156" w:lineRule="exact" w:before="10"/>
              <w:ind w:left="57" w:right="45"/>
              <w:jc w:val="center"/>
              <w:rPr>
                <w:sz w:val="14"/>
              </w:rPr>
            </w:pPr>
            <w:r>
              <w:rPr>
                <w:sz w:val="14"/>
              </w:rPr>
              <w:t>21,045.2</w:t>
            </w:r>
          </w:p>
        </w:tc>
        <w:tc>
          <w:tcPr>
            <w:tcW w:w="718" w:type="dxa"/>
            <w:tcBorders>
              <w:right w:val="single" w:sz="8" w:space="0" w:color="000000"/>
            </w:tcBorders>
          </w:tcPr>
          <w:p>
            <w:pPr>
              <w:pStyle w:val="TableParagraph"/>
              <w:spacing w:line="156" w:lineRule="exact" w:before="10"/>
              <w:ind w:left="68" w:right="39"/>
              <w:jc w:val="center"/>
              <w:rPr>
                <w:sz w:val="14"/>
              </w:rPr>
            </w:pPr>
            <w:r>
              <w:rPr>
                <w:sz w:val="14"/>
              </w:rPr>
              <w:t>266.8</w:t>
            </w:r>
          </w:p>
        </w:tc>
        <w:tc>
          <w:tcPr>
            <w:tcW w:w="1100" w:type="dxa"/>
            <w:tcBorders>
              <w:left w:val="single" w:sz="8" w:space="0" w:color="000000"/>
            </w:tcBorders>
          </w:tcPr>
          <w:p>
            <w:pPr>
              <w:pStyle w:val="TableParagraph"/>
              <w:spacing w:line="156" w:lineRule="exact" w:before="10"/>
              <w:ind w:left="470"/>
              <w:rPr>
                <w:sz w:val="14"/>
              </w:rPr>
            </w:pPr>
            <w:r>
              <w:rPr>
                <w:sz w:val="14"/>
              </w:rPr>
              <w:t>3.2</w:t>
            </w:r>
          </w:p>
        </w:tc>
        <w:tc>
          <w:tcPr>
            <w:tcW w:w="734" w:type="dxa"/>
            <w:tcBorders>
              <w:right w:val="single" w:sz="8" w:space="0" w:color="41709C"/>
            </w:tcBorders>
          </w:tcPr>
          <w:p>
            <w:pPr>
              <w:pStyle w:val="TableParagraph"/>
              <w:spacing w:line="156" w:lineRule="exact" w:before="10"/>
              <w:ind w:left="297"/>
              <w:rPr>
                <w:sz w:val="14"/>
              </w:rPr>
            </w:pPr>
            <w:r>
              <w:rPr>
                <w:sz w:val="14"/>
              </w:rPr>
              <w:t>0.0</w:t>
            </w:r>
          </w:p>
        </w:tc>
      </w:tr>
      <w:tr>
        <w:trPr>
          <w:trHeight w:val="185" w:hRule="atLeast"/>
        </w:trPr>
        <w:tc>
          <w:tcPr>
            <w:tcW w:w="702" w:type="dxa"/>
            <w:tcBorders>
              <w:left w:val="single" w:sz="8" w:space="0" w:color="000000"/>
            </w:tcBorders>
          </w:tcPr>
          <w:p>
            <w:pPr>
              <w:pStyle w:val="TableParagraph"/>
              <w:spacing w:line="157" w:lineRule="exact" w:before="8"/>
              <w:ind w:left="179" w:right="128"/>
              <w:jc w:val="center"/>
              <w:rPr>
                <w:sz w:val="14"/>
              </w:rPr>
            </w:pPr>
            <w:r>
              <w:rPr>
                <w:sz w:val="14"/>
              </w:rPr>
              <w:t>27</w:t>
            </w:r>
          </w:p>
        </w:tc>
        <w:tc>
          <w:tcPr>
            <w:tcW w:w="3890" w:type="dxa"/>
            <w:tcBorders>
              <w:right w:val="single" w:sz="8" w:space="0" w:color="000000"/>
            </w:tcBorders>
          </w:tcPr>
          <w:p>
            <w:pPr>
              <w:pStyle w:val="TableParagraph"/>
              <w:spacing w:line="157" w:lineRule="exact" w:before="8"/>
              <w:ind w:left="293"/>
              <w:rPr>
                <w:sz w:val="14"/>
              </w:rPr>
            </w:pPr>
            <w:r>
              <w:rPr>
                <w:sz w:val="14"/>
              </w:rPr>
              <w:t>Prestaciones sociales</w:t>
            </w:r>
          </w:p>
        </w:tc>
        <w:tc>
          <w:tcPr>
            <w:tcW w:w="1058" w:type="dxa"/>
            <w:tcBorders>
              <w:left w:val="single" w:sz="8" w:space="0" w:color="000000"/>
            </w:tcBorders>
          </w:tcPr>
          <w:p>
            <w:pPr>
              <w:pStyle w:val="TableParagraph"/>
              <w:spacing w:line="157" w:lineRule="exact" w:before="8"/>
              <w:ind w:left="56" w:right="47"/>
              <w:jc w:val="center"/>
              <w:rPr>
                <w:sz w:val="14"/>
              </w:rPr>
            </w:pPr>
            <w:r>
              <w:rPr>
                <w:sz w:val="14"/>
              </w:rPr>
              <w:t>5,990.5</w:t>
            </w:r>
          </w:p>
        </w:tc>
        <w:tc>
          <w:tcPr>
            <w:tcW w:w="718" w:type="dxa"/>
            <w:tcBorders>
              <w:right w:val="single" w:sz="8" w:space="0" w:color="000000"/>
            </w:tcBorders>
          </w:tcPr>
          <w:p>
            <w:pPr>
              <w:pStyle w:val="TableParagraph"/>
              <w:spacing w:line="157" w:lineRule="exact" w:before="8"/>
              <w:ind w:left="68" w:right="36"/>
              <w:jc w:val="center"/>
              <w:rPr>
                <w:sz w:val="14"/>
              </w:rPr>
            </w:pPr>
            <w:r>
              <w:rPr>
                <w:sz w:val="14"/>
              </w:rPr>
              <w:t>11,807.4</w:t>
            </w:r>
          </w:p>
        </w:tc>
        <w:tc>
          <w:tcPr>
            <w:tcW w:w="1100" w:type="dxa"/>
            <w:tcBorders>
              <w:left w:val="single" w:sz="8" w:space="0" w:color="000000"/>
            </w:tcBorders>
          </w:tcPr>
          <w:p>
            <w:pPr>
              <w:pStyle w:val="TableParagraph"/>
              <w:spacing w:line="157" w:lineRule="exact" w:before="8"/>
              <w:ind w:left="470"/>
              <w:rPr>
                <w:sz w:val="14"/>
              </w:rPr>
            </w:pPr>
            <w:r>
              <w:rPr>
                <w:sz w:val="14"/>
              </w:rPr>
              <w:t>0.9</w:t>
            </w:r>
          </w:p>
        </w:tc>
        <w:tc>
          <w:tcPr>
            <w:tcW w:w="734" w:type="dxa"/>
            <w:tcBorders>
              <w:right w:val="single" w:sz="8" w:space="0" w:color="41709C"/>
            </w:tcBorders>
          </w:tcPr>
          <w:p>
            <w:pPr>
              <w:pStyle w:val="TableParagraph"/>
              <w:spacing w:line="157" w:lineRule="exact" w:before="8"/>
              <w:ind w:left="297"/>
              <w:rPr>
                <w:sz w:val="14"/>
              </w:rPr>
            </w:pPr>
            <w:r>
              <w:rPr>
                <w:sz w:val="14"/>
              </w:rPr>
              <w:t>1.8</w:t>
            </w:r>
          </w:p>
        </w:tc>
      </w:tr>
      <w:tr>
        <w:trPr>
          <w:trHeight w:val="198" w:hRule="atLeast"/>
        </w:trPr>
        <w:tc>
          <w:tcPr>
            <w:tcW w:w="702" w:type="dxa"/>
            <w:tcBorders>
              <w:left w:val="single" w:sz="8" w:space="0" w:color="000000"/>
            </w:tcBorders>
          </w:tcPr>
          <w:p>
            <w:pPr>
              <w:pStyle w:val="TableParagraph"/>
              <w:spacing w:before="10"/>
              <w:ind w:left="179" w:right="128"/>
              <w:jc w:val="center"/>
              <w:rPr>
                <w:sz w:val="14"/>
              </w:rPr>
            </w:pPr>
            <w:r>
              <w:rPr>
                <w:sz w:val="14"/>
              </w:rPr>
              <w:t>28</w:t>
            </w:r>
          </w:p>
        </w:tc>
        <w:tc>
          <w:tcPr>
            <w:tcW w:w="3890" w:type="dxa"/>
            <w:tcBorders>
              <w:right w:val="single" w:sz="8" w:space="0" w:color="000000"/>
            </w:tcBorders>
          </w:tcPr>
          <w:p>
            <w:pPr>
              <w:pStyle w:val="TableParagraph"/>
              <w:spacing w:before="10"/>
              <w:ind w:left="293"/>
              <w:rPr>
                <w:sz w:val="14"/>
              </w:rPr>
            </w:pPr>
            <w:r>
              <w:rPr>
                <w:sz w:val="14"/>
              </w:rPr>
              <w:t>Otros gastos</w:t>
            </w:r>
          </w:p>
        </w:tc>
        <w:tc>
          <w:tcPr>
            <w:tcW w:w="1058" w:type="dxa"/>
            <w:tcBorders>
              <w:left w:val="single" w:sz="8" w:space="0" w:color="000000"/>
            </w:tcBorders>
          </w:tcPr>
          <w:p>
            <w:pPr>
              <w:pStyle w:val="TableParagraph"/>
              <w:spacing w:before="10"/>
              <w:ind w:left="56" w:right="47"/>
              <w:jc w:val="center"/>
              <w:rPr>
                <w:sz w:val="14"/>
              </w:rPr>
            </w:pPr>
            <w:r>
              <w:rPr>
                <w:sz w:val="14"/>
              </w:rPr>
              <w:t>5,279.2</w:t>
            </w:r>
          </w:p>
        </w:tc>
        <w:tc>
          <w:tcPr>
            <w:tcW w:w="718" w:type="dxa"/>
            <w:tcBorders>
              <w:right w:val="single" w:sz="8" w:space="0" w:color="000000"/>
            </w:tcBorders>
          </w:tcPr>
          <w:p>
            <w:pPr>
              <w:pStyle w:val="TableParagraph"/>
              <w:spacing w:before="10"/>
              <w:ind w:left="68" w:right="39"/>
              <w:jc w:val="center"/>
              <w:rPr>
                <w:sz w:val="14"/>
              </w:rPr>
            </w:pPr>
            <w:r>
              <w:rPr>
                <w:sz w:val="14"/>
              </w:rPr>
              <w:t>5,827.3</w:t>
            </w:r>
          </w:p>
        </w:tc>
        <w:tc>
          <w:tcPr>
            <w:tcW w:w="1100" w:type="dxa"/>
            <w:tcBorders>
              <w:left w:val="single" w:sz="8" w:space="0" w:color="000000"/>
            </w:tcBorders>
          </w:tcPr>
          <w:p>
            <w:pPr>
              <w:pStyle w:val="TableParagraph"/>
              <w:spacing w:before="10"/>
              <w:ind w:left="470"/>
              <w:rPr>
                <w:sz w:val="14"/>
              </w:rPr>
            </w:pPr>
            <w:r>
              <w:rPr>
                <w:sz w:val="14"/>
              </w:rPr>
              <w:t>0.8</w:t>
            </w:r>
          </w:p>
        </w:tc>
        <w:tc>
          <w:tcPr>
            <w:tcW w:w="734" w:type="dxa"/>
            <w:tcBorders>
              <w:right w:val="single" w:sz="8" w:space="0" w:color="41709C"/>
            </w:tcBorders>
          </w:tcPr>
          <w:p>
            <w:pPr>
              <w:pStyle w:val="TableParagraph"/>
              <w:spacing w:before="10"/>
              <w:ind w:left="297"/>
              <w:rPr>
                <w:sz w:val="14"/>
              </w:rPr>
            </w:pPr>
            <w:r>
              <w:rPr>
                <w:sz w:val="14"/>
              </w:rPr>
              <w:t>0.9</w:t>
            </w:r>
          </w:p>
        </w:tc>
      </w:tr>
      <w:tr>
        <w:trPr>
          <w:trHeight w:val="196" w:hRule="atLeast"/>
        </w:trPr>
        <w:tc>
          <w:tcPr>
            <w:tcW w:w="702" w:type="dxa"/>
            <w:tcBorders>
              <w:left w:val="single" w:sz="8" w:space="0" w:color="000000"/>
              <w:bottom w:val="single" w:sz="8" w:space="0" w:color="000000"/>
            </w:tcBorders>
            <w:shd w:val="clear" w:color="auto" w:fill="D5DCE3"/>
          </w:tcPr>
          <w:p>
            <w:pPr>
              <w:pStyle w:val="TableParagraph"/>
              <w:spacing w:before="6"/>
              <w:ind w:left="179" w:right="129"/>
              <w:jc w:val="center"/>
              <w:rPr>
                <w:b/>
                <w:sz w:val="14"/>
              </w:rPr>
            </w:pPr>
            <w:r>
              <w:rPr>
                <w:b/>
                <w:sz w:val="14"/>
              </w:rPr>
              <w:t>NOB</w:t>
            </w:r>
          </w:p>
        </w:tc>
        <w:tc>
          <w:tcPr>
            <w:tcW w:w="3890" w:type="dxa"/>
            <w:tcBorders>
              <w:bottom w:val="single" w:sz="8" w:space="0" w:color="000000"/>
              <w:right w:val="single" w:sz="8" w:space="0" w:color="000000"/>
            </w:tcBorders>
            <w:shd w:val="clear" w:color="auto" w:fill="D5DCE3"/>
          </w:tcPr>
          <w:p>
            <w:pPr>
              <w:pStyle w:val="TableParagraph"/>
              <w:spacing w:before="6"/>
              <w:ind w:left="123"/>
              <w:rPr>
                <w:b/>
                <w:sz w:val="14"/>
              </w:rPr>
            </w:pPr>
            <w:r>
              <w:rPr>
                <w:b/>
                <w:sz w:val="14"/>
              </w:rPr>
              <w:t>Resultado Operativo (1-2)</w:t>
            </w:r>
          </w:p>
        </w:tc>
        <w:tc>
          <w:tcPr>
            <w:tcW w:w="1058" w:type="dxa"/>
            <w:tcBorders>
              <w:left w:val="single" w:sz="8" w:space="0" w:color="000000"/>
              <w:bottom w:val="single" w:sz="8" w:space="0" w:color="000000"/>
            </w:tcBorders>
            <w:shd w:val="clear" w:color="auto" w:fill="D5DCE3"/>
          </w:tcPr>
          <w:p>
            <w:pPr>
              <w:pStyle w:val="TableParagraph"/>
              <w:spacing w:before="6"/>
              <w:ind w:left="57" w:right="45"/>
              <w:jc w:val="center"/>
              <w:rPr>
                <w:b/>
                <w:sz w:val="14"/>
              </w:rPr>
            </w:pPr>
            <w:r>
              <w:rPr>
                <w:b/>
                <w:sz w:val="14"/>
              </w:rPr>
              <w:t>-3,936.2</w:t>
            </w:r>
          </w:p>
        </w:tc>
        <w:tc>
          <w:tcPr>
            <w:tcW w:w="718" w:type="dxa"/>
            <w:tcBorders>
              <w:bottom w:val="single" w:sz="8" w:space="0" w:color="000000"/>
              <w:right w:val="single" w:sz="8" w:space="0" w:color="000000"/>
            </w:tcBorders>
            <w:shd w:val="clear" w:color="auto" w:fill="D5DCE3"/>
          </w:tcPr>
          <w:p>
            <w:pPr>
              <w:pStyle w:val="TableParagraph"/>
              <w:spacing w:before="6"/>
              <w:ind w:left="68" w:right="36"/>
              <w:jc w:val="center"/>
              <w:rPr>
                <w:b/>
                <w:sz w:val="14"/>
              </w:rPr>
            </w:pPr>
            <w:r>
              <w:rPr>
                <w:b/>
                <w:sz w:val="14"/>
              </w:rPr>
              <w:t>10,973.8</w:t>
            </w:r>
          </w:p>
        </w:tc>
        <w:tc>
          <w:tcPr>
            <w:tcW w:w="1100" w:type="dxa"/>
            <w:tcBorders>
              <w:left w:val="single" w:sz="8" w:space="0" w:color="000000"/>
              <w:bottom w:val="single" w:sz="8" w:space="0" w:color="000000"/>
            </w:tcBorders>
            <w:shd w:val="clear" w:color="auto" w:fill="D5DCE3"/>
          </w:tcPr>
          <w:p>
            <w:pPr>
              <w:pStyle w:val="TableParagraph"/>
              <w:spacing w:before="6"/>
              <w:ind w:left="446"/>
              <w:rPr>
                <w:b/>
                <w:sz w:val="14"/>
              </w:rPr>
            </w:pPr>
            <w:r>
              <w:rPr>
                <w:b/>
                <w:sz w:val="14"/>
              </w:rPr>
              <w:t>-0.6</w:t>
            </w:r>
          </w:p>
        </w:tc>
        <w:tc>
          <w:tcPr>
            <w:tcW w:w="734" w:type="dxa"/>
            <w:tcBorders>
              <w:bottom w:val="single" w:sz="8" w:space="0" w:color="000000"/>
              <w:right w:val="single" w:sz="8" w:space="0" w:color="000000"/>
            </w:tcBorders>
            <w:shd w:val="clear" w:color="auto" w:fill="D5DCE3"/>
          </w:tcPr>
          <w:p>
            <w:pPr>
              <w:pStyle w:val="TableParagraph"/>
              <w:spacing w:before="6"/>
              <w:ind w:left="297"/>
              <w:rPr>
                <w:b/>
                <w:sz w:val="14"/>
              </w:rPr>
            </w:pPr>
            <w:r>
              <w:rPr>
                <w:b/>
                <w:sz w:val="14"/>
              </w:rPr>
              <w:t>1.7</w:t>
            </w:r>
          </w:p>
        </w:tc>
      </w:tr>
      <w:tr>
        <w:trPr>
          <w:trHeight w:val="198" w:hRule="atLeast"/>
        </w:trPr>
        <w:tc>
          <w:tcPr>
            <w:tcW w:w="8202" w:type="dxa"/>
            <w:gridSpan w:val="6"/>
            <w:tcBorders>
              <w:top w:val="single" w:sz="8" w:space="0" w:color="000000"/>
              <w:left w:val="single" w:sz="8" w:space="0" w:color="000000"/>
              <w:bottom w:val="single" w:sz="8" w:space="0" w:color="000000"/>
              <w:right w:val="single" w:sz="8" w:space="0" w:color="000000"/>
            </w:tcBorders>
            <w:shd w:val="clear" w:color="auto" w:fill="E1EED9"/>
          </w:tcPr>
          <w:p>
            <w:pPr>
              <w:pStyle w:val="TableParagraph"/>
              <w:spacing w:before="5"/>
              <w:ind w:left="1466" w:right="1452"/>
              <w:jc w:val="center"/>
              <w:rPr>
                <w:b/>
                <w:sz w:val="14"/>
              </w:rPr>
            </w:pPr>
            <w:r>
              <w:rPr>
                <w:b/>
                <w:sz w:val="14"/>
              </w:rPr>
              <w:t>TRANSACCIONES EN ACTIVOS NO FINANCIEROS</w:t>
            </w:r>
          </w:p>
        </w:tc>
      </w:tr>
      <w:tr>
        <w:trPr>
          <w:trHeight w:val="177" w:hRule="atLeast"/>
        </w:trPr>
        <w:tc>
          <w:tcPr>
            <w:tcW w:w="702" w:type="dxa"/>
            <w:tcBorders>
              <w:top w:val="single" w:sz="8" w:space="0" w:color="000000"/>
              <w:left w:val="single" w:sz="8" w:space="0" w:color="000000"/>
            </w:tcBorders>
          </w:tcPr>
          <w:p>
            <w:pPr>
              <w:pStyle w:val="TableParagraph"/>
              <w:spacing w:line="156" w:lineRule="exact" w:before="1"/>
              <w:ind w:left="179" w:right="128"/>
              <w:jc w:val="center"/>
              <w:rPr>
                <w:b/>
                <w:sz w:val="14"/>
              </w:rPr>
            </w:pPr>
            <w:r>
              <w:rPr>
                <w:b/>
                <w:sz w:val="14"/>
              </w:rPr>
              <w:t>31</w:t>
            </w:r>
          </w:p>
        </w:tc>
        <w:tc>
          <w:tcPr>
            <w:tcW w:w="3890" w:type="dxa"/>
            <w:tcBorders>
              <w:top w:val="single" w:sz="8" w:space="0" w:color="000000"/>
              <w:right w:val="single" w:sz="8" w:space="0" w:color="000000"/>
            </w:tcBorders>
          </w:tcPr>
          <w:p>
            <w:pPr>
              <w:pStyle w:val="TableParagraph"/>
              <w:spacing w:line="156" w:lineRule="exact" w:before="1"/>
              <w:ind w:left="123"/>
              <w:rPr>
                <w:b/>
                <w:sz w:val="14"/>
              </w:rPr>
            </w:pPr>
            <w:r>
              <w:rPr>
                <w:b/>
                <w:sz w:val="14"/>
              </w:rPr>
              <w:t>Inversión neta/bruta en activos no financieros</w:t>
            </w:r>
          </w:p>
        </w:tc>
        <w:tc>
          <w:tcPr>
            <w:tcW w:w="1058" w:type="dxa"/>
            <w:tcBorders>
              <w:top w:val="single" w:sz="8" w:space="0" w:color="000000"/>
              <w:left w:val="single" w:sz="8" w:space="0" w:color="000000"/>
            </w:tcBorders>
          </w:tcPr>
          <w:p>
            <w:pPr>
              <w:pStyle w:val="TableParagraph"/>
              <w:spacing w:line="156" w:lineRule="exact" w:before="1"/>
              <w:ind w:left="56" w:right="47"/>
              <w:jc w:val="center"/>
              <w:rPr>
                <w:b/>
                <w:sz w:val="14"/>
              </w:rPr>
            </w:pPr>
            <w:r>
              <w:rPr>
                <w:b/>
                <w:sz w:val="14"/>
              </w:rPr>
              <w:t>3,748.9</w:t>
            </w:r>
          </w:p>
        </w:tc>
        <w:tc>
          <w:tcPr>
            <w:tcW w:w="718" w:type="dxa"/>
            <w:tcBorders>
              <w:top w:val="single" w:sz="8" w:space="0" w:color="000000"/>
              <w:right w:val="single" w:sz="8" w:space="0" w:color="000000"/>
            </w:tcBorders>
          </w:tcPr>
          <w:p>
            <w:pPr>
              <w:pStyle w:val="TableParagraph"/>
              <w:spacing w:line="156" w:lineRule="exact" w:before="1"/>
              <w:ind w:left="68" w:right="36"/>
              <w:jc w:val="center"/>
              <w:rPr>
                <w:b/>
                <w:sz w:val="14"/>
              </w:rPr>
            </w:pPr>
            <w:r>
              <w:rPr>
                <w:b/>
                <w:sz w:val="14"/>
              </w:rPr>
              <w:t>15,058.8</w:t>
            </w:r>
          </w:p>
        </w:tc>
        <w:tc>
          <w:tcPr>
            <w:tcW w:w="1100" w:type="dxa"/>
            <w:tcBorders>
              <w:top w:val="single" w:sz="8" w:space="0" w:color="000000"/>
              <w:left w:val="single" w:sz="8" w:space="0" w:color="000000"/>
            </w:tcBorders>
          </w:tcPr>
          <w:p>
            <w:pPr>
              <w:pStyle w:val="TableParagraph"/>
              <w:spacing w:line="156" w:lineRule="exact" w:before="1"/>
              <w:ind w:left="470"/>
              <w:rPr>
                <w:b/>
                <w:sz w:val="14"/>
              </w:rPr>
            </w:pPr>
            <w:r>
              <w:rPr>
                <w:b/>
                <w:sz w:val="14"/>
              </w:rPr>
              <w:t>0.6</w:t>
            </w:r>
          </w:p>
        </w:tc>
        <w:tc>
          <w:tcPr>
            <w:tcW w:w="734" w:type="dxa"/>
            <w:tcBorders>
              <w:top w:val="single" w:sz="8" w:space="0" w:color="000000"/>
              <w:right w:val="single" w:sz="8" w:space="0" w:color="000000"/>
            </w:tcBorders>
          </w:tcPr>
          <w:p>
            <w:pPr>
              <w:pStyle w:val="TableParagraph"/>
              <w:spacing w:line="156" w:lineRule="exact" w:before="1"/>
              <w:ind w:left="297"/>
              <w:rPr>
                <w:b/>
                <w:sz w:val="14"/>
              </w:rPr>
            </w:pPr>
            <w:r>
              <w:rPr>
                <w:b/>
                <w:sz w:val="14"/>
              </w:rPr>
              <w:t>2.3</w:t>
            </w:r>
          </w:p>
        </w:tc>
      </w:tr>
      <w:tr>
        <w:trPr>
          <w:trHeight w:val="194" w:hRule="atLeast"/>
        </w:trPr>
        <w:tc>
          <w:tcPr>
            <w:tcW w:w="702" w:type="dxa"/>
            <w:tcBorders>
              <w:left w:val="single" w:sz="8" w:space="0" w:color="000000"/>
            </w:tcBorders>
          </w:tcPr>
          <w:p>
            <w:pPr>
              <w:pStyle w:val="TableParagraph"/>
              <w:spacing w:before="8"/>
              <w:ind w:left="179" w:right="129"/>
              <w:jc w:val="center"/>
              <w:rPr>
                <w:b/>
                <w:sz w:val="14"/>
              </w:rPr>
            </w:pPr>
            <w:r>
              <w:rPr>
                <w:b/>
                <w:sz w:val="14"/>
              </w:rPr>
              <w:t>2M</w:t>
            </w:r>
          </w:p>
        </w:tc>
        <w:tc>
          <w:tcPr>
            <w:tcW w:w="3890" w:type="dxa"/>
            <w:tcBorders>
              <w:right w:val="single" w:sz="8" w:space="0" w:color="000000"/>
            </w:tcBorders>
          </w:tcPr>
          <w:p>
            <w:pPr>
              <w:pStyle w:val="TableParagraph"/>
              <w:spacing w:before="8"/>
              <w:ind w:left="123"/>
              <w:rPr>
                <w:b/>
                <w:sz w:val="14"/>
              </w:rPr>
            </w:pPr>
            <w:r>
              <w:rPr>
                <w:b/>
                <w:sz w:val="14"/>
              </w:rPr>
              <w:t>Erogación (2+31)</w:t>
            </w:r>
          </w:p>
        </w:tc>
        <w:tc>
          <w:tcPr>
            <w:tcW w:w="1058" w:type="dxa"/>
            <w:tcBorders>
              <w:left w:val="single" w:sz="8" w:space="0" w:color="000000"/>
            </w:tcBorders>
          </w:tcPr>
          <w:p>
            <w:pPr>
              <w:pStyle w:val="TableParagraph"/>
              <w:spacing w:before="8"/>
              <w:ind w:left="57" w:right="45"/>
              <w:jc w:val="center"/>
              <w:rPr>
                <w:b/>
                <w:sz w:val="14"/>
              </w:rPr>
            </w:pPr>
            <w:r>
              <w:rPr>
                <w:b/>
                <w:sz w:val="14"/>
              </w:rPr>
              <w:t>92,043.7</w:t>
            </w:r>
          </w:p>
        </w:tc>
        <w:tc>
          <w:tcPr>
            <w:tcW w:w="718" w:type="dxa"/>
            <w:tcBorders>
              <w:right w:val="single" w:sz="8" w:space="0" w:color="000000"/>
            </w:tcBorders>
          </w:tcPr>
          <w:p>
            <w:pPr>
              <w:pStyle w:val="TableParagraph"/>
              <w:spacing w:before="8"/>
              <w:ind w:left="68" w:right="39"/>
              <w:jc w:val="center"/>
              <w:rPr>
                <w:b/>
                <w:sz w:val="14"/>
              </w:rPr>
            </w:pPr>
            <w:r>
              <w:rPr>
                <w:b/>
                <w:sz w:val="14"/>
              </w:rPr>
              <w:t>111,604.8</w:t>
            </w:r>
          </w:p>
        </w:tc>
        <w:tc>
          <w:tcPr>
            <w:tcW w:w="1100" w:type="dxa"/>
            <w:tcBorders>
              <w:left w:val="single" w:sz="8" w:space="0" w:color="000000"/>
            </w:tcBorders>
          </w:tcPr>
          <w:p>
            <w:pPr>
              <w:pStyle w:val="TableParagraph"/>
              <w:spacing w:before="8"/>
              <w:ind w:left="434"/>
              <w:rPr>
                <w:b/>
                <w:sz w:val="14"/>
              </w:rPr>
            </w:pPr>
            <w:r>
              <w:rPr>
                <w:b/>
                <w:sz w:val="14"/>
              </w:rPr>
              <w:t>13.8</w:t>
            </w:r>
          </w:p>
        </w:tc>
        <w:tc>
          <w:tcPr>
            <w:tcW w:w="734" w:type="dxa"/>
            <w:tcBorders>
              <w:right w:val="single" w:sz="8" w:space="0" w:color="000000"/>
            </w:tcBorders>
          </w:tcPr>
          <w:p>
            <w:pPr>
              <w:pStyle w:val="TableParagraph"/>
              <w:spacing w:before="8"/>
              <w:ind w:left="264"/>
              <w:rPr>
                <w:b/>
                <w:sz w:val="14"/>
              </w:rPr>
            </w:pPr>
            <w:r>
              <w:rPr>
                <w:b/>
                <w:sz w:val="14"/>
              </w:rPr>
              <w:t>16.8</w:t>
            </w:r>
          </w:p>
        </w:tc>
      </w:tr>
      <w:tr>
        <w:trPr>
          <w:trHeight w:val="184" w:hRule="atLeast"/>
        </w:trPr>
        <w:tc>
          <w:tcPr>
            <w:tcW w:w="702" w:type="dxa"/>
            <w:tcBorders>
              <w:left w:val="single" w:sz="8" w:space="0" w:color="000000"/>
              <w:bottom w:val="single" w:sz="8" w:space="0" w:color="000000"/>
            </w:tcBorders>
            <w:shd w:val="clear" w:color="auto" w:fill="D5DCE3"/>
          </w:tcPr>
          <w:p>
            <w:pPr>
              <w:pStyle w:val="TableParagraph"/>
              <w:spacing w:line="160" w:lineRule="exact"/>
              <w:ind w:left="179" w:right="129"/>
              <w:jc w:val="center"/>
              <w:rPr>
                <w:b/>
                <w:sz w:val="14"/>
              </w:rPr>
            </w:pPr>
            <w:r>
              <w:rPr>
                <w:b/>
                <w:sz w:val="14"/>
              </w:rPr>
              <w:t>NLB</w:t>
            </w:r>
          </w:p>
        </w:tc>
        <w:tc>
          <w:tcPr>
            <w:tcW w:w="3890" w:type="dxa"/>
            <w:tcBorders>
              <w:bottom w:val="single" w:sz="8" w:space="0" w:color="000000"/>
              <w:right w:val="single" w:sz="8" w:space="0" w:color="000000"/>
            </w:tcBorders>
            <w:shd w:val="clear" w:color="auto" w:fill="D5DCE3"/>
          </w:tcPr>
          <w:p>
            <w:pPr>
              <w:pStyle w:val="TableParagraph"/>
              <w:spacing w:line="160" w:lineRule="exact"/>
              <w:ind w:left="123"/>
              <w:rPr>
                <w:b/>
                <w:sz w:val="14"/>
              </w:rPr>
            </w:pPr>
            <w:r>
              <w:rPr>
                <w:b/>
                <w:sz w:val="14"/>
              </w:rPr>
              <w:t>Préstamo neto (+) / endeudamiento neto (-) (1-2-31) o (1-2M)</w:t>
            </w:r>
          </w:p>
        </w:tc>
        <w:tc>
          <w:tcPr>
            <w:tcW w:w="1058" w:type="dxa"/>
            <w:tcBorders>
              <w:left w:val="single" w:sz="8" w:space="0" w:color="000000"/>
              <w:bottom w:val="single" w:sz="8" w:space="0" w:color="000000"/>
            </w:tcBorders>
            <w:shd w:val="clear" w:color="auto" w:fill="D5DCE3"/>
          </w:tcPr>
          <w:p>
            <w:pPr>
              <w:pStyle w:val="TableParagraph"/>
              <w:spacing w:line="160" w:lineRule="exact"/>
              <w:ind w:left="57" w:right="45"/>
              <w:jc w:val="center"/>
              <w:rPr>
                <w:b/>
                <w:sz w:val="14"/>
              </w:rPr>
            </w:pPr>
            <w:r>
              <w:rPr>
                <w:b/>
                <w:sz w:val="14"/>
              </w:rPr>
              <w:t>-7,685.0</w:t>
            </w:r>
          </w:p>
        </w:tc>
        <w:tc>
          <w:tcPr>
            <w:tcW w:w="718" w:type="dxa"/>
            <w:tcBorders>
              <w:bottom w:val="single" w:sz="8" w:space="0" w:color="000000"/>
              <w:right w:val="single" w:sz="8" w:space="0" w:color="000000"/>
            </w:tcBorders>
            <w:shd w:val="clear" w:color="auto" w:fill="D5DCE3"/>
          </w:tcPr>
          <w:p>
            <w:pPr>
              <w:pStyle w:val="TableParagraph"/>
              <w:spacing w:line="160" w:lineRule="exact"/>
              <w:ind w:left="68" w:right="36"/>
              <w:jc w:val="center"/>
              <w:rPr>
                <w:b/>
                <w:sz w:val="14"/>
              </w:rPr>
            </w:pPr>
            <w:r>
              <w:rPr>
                <w:b/>
                <w:sz w:val="14"/>
              </w:rPr>
              <w:t>-4,085.0</w:t>
            </w:r>
          </w:p>
        </w:tc>
        <w:tc>
          <w:tcPr>
            <w:tcW w:w="1100" w:type="dxa"/>
            <w:tcBorders>
              <w:left w:val="single" w:sz="8" w:space="0" w:color="000000"/>
              <w:bottom w:val="single" w:sz="8" w:space="0" w:color="000000"/>
            </w:tcBorders>
            <w:shd w:val="clear" w:color="auto" w:fill="D5DCE3"/>
          </w:tcPr>
          <w:p>
            <w:pPr>
              <w:pStyle w:val="TableParagraph"/>
              <w:spacing w:line="160" w:lineRule="exact"/>
              <w:ind w:left="446"/>
              <w:rPr>
                <w:b/>
                <w:sz w:val="14"/>
              </w:rPr>
            </w:pPr>
            <w:r>
              <w:rPr>
                <w:b/>
                <w:sz w:val="14"/>
              </w:rPr>
              <w:t>-1.2</w:t>
            </w:r>
          </w:p>
        </w:tc>
        <w:tc>
          <w:tcPr>
            <w:tcW w:w="734" w:type="dxa"/>
            <w:tcBorders>
              <w:bottom w:val="single" w:sz="8" w:space="0" w:color="000000"/>
              <w:right w:val="single" w:sz="8" w:space="0" w:color="000000"/>
            </w:tcBorders>
            <w:shd w:val="clear" w:color="auto" w:fill="D5DCE3"/>
          </w:tcPr>
          <w:p>
            <w:pPr>
              <w:pStyle w:val="TableParagraph"/>
              <w:spacing w:line="160" w:lineRule="exact"/>
              <w:ind w:left="276"/>
              <w:rPr>
                <w:b/>
                <w:sz w:val="14"/>
              </w:rPr>
            </w:pPr>
            <w:r>
              <w:rPr>
                <w:b/>
                <w:sz w:val="14"/>
              </w:rPr>
              <w:t>-0.6</w:t>
            </w:r>
          </w:p>
        </w:tc>
      </w:tr>
      <w:tr>
        <w:trPr>
          <w:trHeight w:val="198" w:hRule="atLeast"/>
        </w:trPr>
        <w:tc>
          <w:tcPr>
            <w:tcW w:w="8202" w:type="dxa"/>
            <w:gridSpan w:val="6"/>
            <w:tcBorders>
              <w:top w:val="single" w:sz="8" w:space="0" w:color="000000"/>
              <w:left w:val="single" w:sz="8" w:space="0" w:color="000000"/>
              <w:bottom w:val="single" w:sz="8" w:space="0" w:color="000000"/>
              <w:right w:val="single" w:sz="8" w:space="0" w:color="000000"/>
            </w:tcBorders>
            <w:shd w:val="clear" w:color="auto" w:fill="E1EED9"/>
          </w:tcPr>
          <w:p>
            <w:pPr>
              <w:pStyle w:val="TableParagraph"/>
              <w:spacing w:before="5"/>
              <w:ind w:left="1466" w:right="1456"/>
              <w:jc w:val="center"/>
              <w:rPr>
                <w:b/>
                <w:sz w:val="14"/>
              </w:rPr>
            </w:pPr>
            <w:r>
              <w:rPr>
                <w:b/>
                <w:sz w:val="14"/>
              </w:rPr>
              <w:t>TRANSACCIONES EN ACTIVOS Y PASIVOS FINANCIEROS (FINANCIMIENTO)</w:t>
            </w:r>
          </w:p>
        </w:tc>
      </w:tr>
      <w:tr>
        <w:trPr>
          <w:trHeight w:val="443" w:hRule="atLeast"/>
        </w:trPr>
        <w:tc>
          <w:tcPr>
            <w:tcW w:w="702" w:type="dxa"/>
            <w:vMerge w:val="restart"/>
            <w:tcBorders>
              <w:top w:val="single" w:sz="8" w:space="0" w:color="000000"/>
              <w:left w:val="single" w:sz="8" w:space="0" w:color="000000"/>
              <w:bottom w:val="single" w:sz="8" w:space="0" w:color="000000"/>
            </w:tcBorders>
          </w:tcPr>
          <w:p>
            <w:pPr>
              <w:pStyle w:val="TableParagraph"/>
              <w:spacing w:before="1"/>
              <w:ind w:left="179" w:right="128"/>
              <w:jc w:val="center"/>
              <w:rPr>
                <w:b/>
                <w:sz w:val="14"/>
              </w:rPr>
            </w:pPr>
            <w:r>
              <w:rPr>
                <w:b/>
                <w:sz w:val="14"/>
              </w:rPr>
              <w:t>32</w:t>
            </w:r>
          </w:p>
          <w:p>
            <w:pPr>
              <w:pStyle w:val="TableParagraph"/>
              <w:spacing w:before="24"/>
              <w:ind w:left="179" w:right="128"/>
              <w:jc w:val="center"/>
              <w:rPr>
                <w:b/>
                <w:sz w:val="14"/>
              </w:rPr>
            </w:pPr>
            <w:r>
              <w:rPr>
                <w:b/>
                <w:sz w:val="14"/>
              </w:rPr>
              <w:t>33</w:t>
            </w:r>
          </w:p>
          <w:p>
            <w:pPr>
              <w:pStyle w:val="TableParagraph"/>
              <w:spacing w:before="11"/>
              <w:rPr>
                <w:sz w:val="17"/>
              </w:rPr>
            </w:pPr>
          </w:p>
          <w:p>
            <w:pPr>
              <w:pStyle w:val="TableParagraph"/>
              <w:ind w:left="179" w:right="129"/>
              <w:jc w:val="center"/>
              <w:rPr>
                <w:sz w:val="14"/>
              </w:rPr>
            </w:pPr>
            <w:r>
              <w:rPr>
                <w:sz w:val="14"/>
              </w:rPr>
              <w:t>NLBz</w:t>
            </w:r>
          </w:p>
        </w:tc>
        <w:tc>
          <w:tcPr>
            <w:tcW w:w="3890" w:type="dxa"/>
            <w:vMerge w:val="restart"/>
            <w:tcBorders>
              <w:top w:val="single" w:sz="8" w:space="0" w:color="000000"/>
              <w:bottom w:val="single" w:sz="8" w:space="0" w:color="000000"/>
              <w:right w:val="single" w:sz="8" w:space="0" w:color="000000"/>
            </w:tcBorders>
          </w:tcPr>
          <w:p>
            <w:pPr>
              <w:pStyle w:val="TableParagraph"/>
              <w:spacing w:line="273" w:lineRule="auto" w:before="1"/>
              <w:ind w:left="123" w:right="1261"/>
              <w:rPr>
                <w:sz w:val="14"/>
              </w:rPr>
            </w:pPr>
            <w:r>
              <w:rPr>
                <w:b/>
                <w:sz w:val="14"/>
              </w:rPr>
              <w:t>Adquisición neta de activos financieros Incurrimiento neto de pasivos </w:t>
            </w:r>
            <w:r>
              <w:rPr>
                <w:sz w:val="14"/>
              </w:rPr>
              <w:t>Discrepancia estadística global:</w:t>
            </w:r>
          </w:p>
          <w:p>
            <w:pPr>
              <w:pStyle w:val="TableParagraph"/>
              <w:spacing w:before="2"/>
              <w:ind w:left="123"/>
              <w:rPr>
                <w:sz w:val="14"/>
              </w:rPr>
            </w:pPr>
            <w:r>
              <w:rPr>
                <w:sz w:val="14"/>
              </w:rPr>
              <w:t>Diferencia entre préstamo/endeudamiento neto y financiamiento</w:t>
            </w:r>
          </w:p>
          <w:p>
            <w:pPr>
              <w:pStyle w:val="TableParagraph"/>
              <w:spacing w:before="23"/>
              <w:ind w:left="123"/>
              <w:rPr>
                <w:sz w:val="14"/>
              </w:rPr>
            </w:pPr>
            <w:r>
              <w:rPr>
                <w:sz w:val="14"/>
              </w:rPr>
              <w:t>(32-33-NLB)</w:t>
            </w:r>
          </w:p>
        </w:tc>
        <w:tc>
          <w:tcPr>
            <w:tcW w:w="1058" w:type="dxa"/>
            <w:tcBorders>
              <w:top w:val="single" w:sz="8" w:space="0" w:color="000000"/>
              <w:left w:val="single" w:sz="8" w:space="0" w:color="000000"/>
            </w:tcBorders>
          </w:tcPr>
          <w:p>
            <w:pPr>
              <w:pStyle w:val="TableParagraph"/>
              <w:spacing w:before="1"/>
              <w:ind w:left="285"/>
              <w:rPr>
                <w:b/>
                <w:sz w:val="14"/>
              </w:rPr>
            </w:pPr>
            <w:r>
              <w:rPr>
                <w:b/>
                <w:sz w:val="14"/>
              </w:rPr>
              <w:t>12,218.4</w:t>
            </w:r>
          </w:p>
          <w:p>
            <w:pPr>
              <w:pStyle w:val="TableParagraph"/>
              <w:spacing w:before="24"/>
              <w:ind w:left="285"/>
              <w:rPr>
                <w:b/>
                <w:sz w:val="14"/>
              </w:rPr>
            </w:pPr>
            <w:r>
              <w:rPr>
                <w:b/>
                <w:sz w:val="14"/>
              </w:rPr>
              <w:t>19,161.4</w:t>
            </w:r>
          </w:p>
        </w:tc>
        <w:tc>
          <w:tcPr>
            <w:tcW w:w="718" w:type="dxa"/>
            <w:tcBorders>
              <w:top w:val="single" w:sz="8" w:space="0" w:color="000000"/>
              <w:right w:val="single" w:sz="8" w:space="0" w:color="000000"/>
            </w:tcBorders>
          </w:tcPr>
          <w:p>
            <w:pPr>
              <w:pStyle w:val="TableParagraph"/>
              <w:spacing w:before="1"/>
              <w:ind w:left="125"/>
              <w:rPr>
                <w:b/>
                <w:sz w:val="14"/>
              </w:rPr>
            </w:pPr>
            <w:r>
              <w:rPr>
                <w:b/>
                <w:sz w:val="14"/>
              </w:rPr>
              <w:t>14,974.6</w:t>
            </w:r>
          </w:p>
          <w:p>
            <w:pPr>
              <w:pStyle w:val="TableParagraph"/>
              <w:spacing w:before="24"/>
              <w:ind w:left="125"/>
              <w:rPr>
                <w:b/>
                <w:sz w:val="14"/>
              </w:rPr>
            </w:pPr>
            <w:r>
              <w:rPr>
                <w:b/>
                <w:sz w:val="14"/>
              </w:rPr>
              <w:t>18,894.9</w:t>
            </w:r>
          </w:p>
        </w:tc>
        <w:tc>
          <w:tcPr>
            <w:tcW w:w="1100" w:type="dxa"/>
            <w:tcBorders>
              <w:top w:val="single" w:sz="8" w:space="0" w:color="000000"/>
              <w:left w:val="single" w:sz="8" w:space="0" w:color="000000"/>
            </w:tcBorders>
          </w:tcPr>
          <w:p>
            <w:pPr>
              <w:pStyle w:val="TableParagraph"/>
              <w:spacing w:before="1"/>
              <w:ind w:left="84" w:right="59"/>
              <w:jc w:val="center"/>
              <w:rPr>
                <w:b/>
                <w:sz w:val="14"/>
              </w:rPr>
            </w:pPr>
            <w:r>
              <w:rPr>
                <w:b/>
                <w:sz w:val="14"/>
              </w:rPr>
              <w:t>1.8</w:t>
            </w:r>
          </w:p>
          <w:p>
            <w:pPr>
              <w:pStyle w:val="TableParagraph"/>
              <w:spacing w:before="24"/>
              <w:ind w:left="84" w:right="59"/>
              <w:jc w:val="center"/>
              <w:rPr>
                <w:b/>
                <w:sz w:val="14"/>
              </w:rPr>
            </w:pPr>
            <w:r>
              <w:rPr>
                <w:b/>
                <w:sz w:val="14"/>
              </w:rPr>
              <w:t>2.9</w:t>
            </w:r>
          </w:p>
        </w:tc>
        <w:tc>
          <w:tcPr>
            <w:tcW w:w="734" w:type="dxa"/>
            <w:tcBorders>
              <w:top w:val="single" w:sz="8" w:space="0" w:color="000000"/>
              <w:right w:val="single" w:sz="8" w:space="0" w:color="000000"/>
            </w:tcBorders>
          </w:tcPr>
          <w:p>
            <w:pPr>
              <w:pStyle w:val="TableParagraph"/>
              <w:spacing w:before="1"/>
              <w:ind w:left="82" w:right="36"/>
              <w:jc w:val="center"/>
              <w:rPr>
                <w:b/>
                <w:sz w:val="14"/>
              </w:rPr>
            </w:pPr>
            <w:r>
              <w:rPr>
                <w:b/>
                <w:sz w:val="14"/>
              </w:rPr>
              <w:t>2.3</w:t>
            </w:r>
          </w:p>
          <w:p>
            <w:pPr>
              <w:pStyle w:val="TableParagraph"/>
              <w:spacing w:before="24"/>
              <w:ind w:left="82" w:right="36"/>
              <w:jc w:val="center"/>
              <w:rPr>
                <w:b/>
                <w:sz w:val="14"/>
              </w:rPr>
            </w:pPr>
            <w:r>
              <w:rPr>
                <w:b/>
                <w:sz w:val="14"/>
              </w:rPr>
              <w:t>2.8</w:t>
            </w:r>
          </w:p>
        </w:tc>
      </w:tr>
      <w:tr>
        <w:trPr>
          <w:trHeight w:val="464" w:hRule="atLeast"/>
        </w:trPr>
        <w:tc>
          <w:tcPr>
            <w:tcW w:w="702" w:type="dxa"/>
            <w:vMerge/>
            <w:tcBorders>
              <w:top w:val="nil"/>
              <w:left w:val="single" w:sz="8" w:space="0" w:color="000000"/>
              <w:bottom w:val="single" w:sz="8" w:space="0" w:color="000000"/>
            </w:tcBorders>
          </w:tcPr>
          <w:p>
            <w:pPr>
              <w:rPr>
                <w:sz w:val="2"/>
                <w:szCs w:val="2"/>
              </w:rPr>
            </w:pPr>
          </w:p>
        </w:tc>
        <w:tc>
          <w:tcPr>
            <w:tcW w:w="3890" w:type="dxa"/>
            <w:vMerge/>
            <w:tcBorders>
              <w:top w:val="nil"/>
              <w:bottom w:val="single" w:sz="8" w:space="0" w:color="000000"/>
              <w:right w:val="single" w:sz="8" w:space="0" w:color="000000"/>
            </w:tcBorders>
          </w:tcPr>
          <w:p>
            <w:pPr>
              <w:rPr>
                <w:sz w:val="2"/>
                <w:szCs w:val="2"/>
              </w:rPr>
            </w:pPr>
          </w:p>
        </w:tc>
        <w:tc>
          <w:tcPr>
            <w:tcW w:w="1058" w:type="dxa"/>
            <w:tcBorders>
              <w:left w:val="single" w:sz="8" w:space="0" w:color="000000"/>
              <w:bottom w:val="single" w:sz="8" w:space="0" w:color="000000"/>
            </w:tcBorders>
          </w:tcPr>
          <w:p>
            <w:pPr>
              <w:pStyle w:val="TableParagraph"/>
              <w:spacing w:before="90"/>
              <w:ind w:left="56" w:right="47"/>
              <w:jc w:val="center"/>
              <w:rPr>
                <w:sz w:val="14"/>
              </w:rPr>
            </w:pPr>
            <w:r>
              <w:rPr>
                <w:sz w:val="14"/>
              </w:rPr>
              <w:t>742.1</w:t>
            </w:r>
          </w:p>
        </w:tc>
        <w:tc>
          <w:tcPr>
            <w:tcW w:w="718" w:type="dxa"/>
            <w:tcBorders>
              <w:bottom w:val="single" w:sz="8" w:space="0" w:color="000000"/>
              <w:right w:val="single" w:sz="8" w:space="0" w:color="000000"/>
            </w:tcBorders>
          </w:tcPr>
          <w:p>
            <w:pPr>
              <w:pStyle w:val="TableParagraph"/>
              <w:spacing w:before="90"/>
              <w:ind w:left="68" w:right="39"/>
              <w:jc w:val="center"/>
              <w:rPr>
                <w:sz w:val="14"/>
              </w:rPr>
            </w:pPr>
            <w:r>
              <w:rPr>
                <w:sz w:val="14"/>
              </w:rPr>
              <w:t>164.7</w:t>
            </w:r>
          </w:p>
        </w:tc>
        <w:tc>
          <w:tcPr>
            <w:tcW w:w="1100" w:type="dxa"/>
            <w:tcBorders>
              <w:left w:val="single" w:sz="8" w:space="0" w:color="000000"/>
              <w:bottom w:val="single" w:sz="8" w:space="0" w:color="000000"/>
            </w:tcBorders>
          </w:tcPr>
          <w:p>
            <w:pPr>
              <w:pStyle w:val="TableParagraph"/>
              <w:spacing w:before="90"/>
              <w:ind w:left="434"/>
              <w:rPr>
                <w:sz w:val="14"/>
              </w:rPr>
            </w:pPr>
            <w:r>
              <w:rPr>
                <w:sz w:val="14"/>
              </w:rPr>
              <w:t>0.11</w:t>
            </w:r>
          </w:p>
        </w:tc>
        <w:tc>
          <w:tcPr>
            <w:tcW w:w="734" w:type="dxa"/>
            <w:tcBorders>
              <w:bottom w:val="single" w:sz="8" w:space="0" w:color="000000"/>
              <w:right w:val="single" w:sz="8" w:space="0" w:color="000000"/>
            </w:tcBorders>
          </w:tcPr>
          <w:p>
            <w:pPr>
              <w:pStyle w:val="TableParagraph"/>
              <w:spacing w:before="90"/>
              <w:ind w:left="264"/>
              <w:rPr>
                <w:sz w:val="14"/>
              </w:rPr>
            </w:pPr>
            <w:r>
              <w:rPr>
                <w:sz w:val="14"/>
              </w:rPr>
              <w:t>0.02</w:t>
            </w:r>
          </w:p>
        </w:tc>
      </w:tr>
    </w:tbl>
    <w:p>
      <w:pPr>
        <w:spacing w:before="0"/>
        <w:ind w:left="804" w:right="0" w:firstLine="0"/>
        <w:jc w:val="left"/>
        <w:rPr>
          <w:sz w:val="16"/>
        </w:rPr>
      </w:pPr>
      <w:r>
        <w:rPr>
          <w:sz w:val="16"/>
        </w:rPr>
        <w:t>Fuente: Dirección de Análisis y Política Fiscal</w:t>
      </w:r>
    </w:p>
    <w:p>
      <w:pPr>
        <w:spacing w:after="0"/>
        <w:jc w:val="left"/>
        <w:rPr>
          <w:sz w:val="16"/>
        </w:rPr>
        <w:sectPr>
          <w:pgSz w:w="12240" w:h="15840"/>
          <w:pgMar w:header="715" w:footer="688" w:top="1240" w:bottom="880" w:left="1140" w:right="0"/>
        </w:sectPr>
      </w:pPr>
    </w:p>
    <w:p>
      <w:pPr>
        <w:pStyle w:val="Heading2"/>
        <w:numPr>
          <w:ilvl w:val="0"/>
          <w:numId w:val="54"/>
        </w:numPr>
        <w:tabs>
          <w:tab w:pos="1282" w:val="left" w:leader="none"/>
        </w:tabs>
        <w:spacing w:line="240" w:lineRule="auto" w:before="167" w:after="0"/>
        <w:ind w:left="1282" w:right="0" w:hanging="361"/>
        <w:jc w:val="left"/>
      </w:pPr>
      <w:bookmarkStart w:name="_bookmark246" w:id="329"/>
      <w:bookmarkEnd w:id="329"/>
      <w:r>
        <w:rPr>
          <w:b w:val="0"/>
        </w:rPr>
      </w:r>
      <w:bookmarkStart w:name="_bookmark246" w:id="330"/>
      <w:bookmarkEnd w:id="330"/>
      <w:r>
        <w:rPr/>
        <w:t>E</w:t>
      </w:r>
      <w:r>
        <w:rPr/>
        <w:t>strategia Fiscal Ambiental</w:t>
      </w:r>
      <w:r>
        <w:rPr>
          <w:spacing w:val="1"/>
        </w:rPr>
        <w:t> </w:t>
      </w:r>
      <w:r>
        <w:rPr/>
        <w:t>(EFA)</w:t>
      </w:r>
    </w:p>
    <w:p>
      <w:pPr>
        <w:pStyle w:val="BodyText"/>
        <w:spacing w:before="4"/>
        <w:rPr>
          <w:b/>
          <w:sz w:val="28"/>
        </w:rPr>
      </w:pPr>
    </w:p>
    <w:p>
      <w:pPr>
        <w:pStyle w:val="BodyText"/>
        <w:spacing w:line="276" w:lineRule="auto" w:before="1"/>
        <w:ind w:left="562" w:right="1698"/>
        <w:jc w:val="both"/>
      </w:pPr>
      <w:r>
        <w:rPr/>
        <w:t>Durante el 2022 se ha trabajado en una serie de acciones para la vinculación de la política fiscal con la política ambiental y los tratados internacionales en materia ambiental y de cambio climático, sin embargo, entre las acciones más relevantes se puede mencionar: la inclusión de acciones específicas tanto a nivel interno como a nivel interinstitucional bajo el marco de los cinco ejes estratégicos de la EFA, los cuales son:</w:t>
      </w:r>
    </w:p>
    <w:p>
      <w:pPr>
        <w:pStyle w:val="ListParagraph"/>
        <w:numPr>
          <w:ilvl w:val="0"/>
          <w:numId w:val="57"/>
        </w:numPr>
        <w:tabs>
          <w:tab w:pos="1341" w:val="left" w:leader="none"/>
          <w:tab w:pos="1342" w:val="left" w:leader="none"/>
        </w:tabs>
        <w:spacing w:line="240" w:lineRule="auto" w:before="159" w:after="0"/>
        <w:ind w:left="1342" w:right="0" w:hanging="361"/>
        <w:jc w:val="left"/>
        <w:rPr>
          <w:sz w:val="22"/>
        </w:rPr>
      </w:pPr>
      <w:r>
        <w:rPr>
          <w:sz w:val="22"/>
        </w:rPr>
        <w:t>Eje 1 Calidad del gasto y compra</w:t>
      </w:r>
      <w:r>
        <w:rPr>
          <w:spacing w:val="-3"/>
          <w:sz w:val="22"/>
        </w:rPr>
        <w:t> </w:t>
      </w:r>
      <w:r>
        <w:rPr>
          <w:sz w:val="22"/>
        </w:rPr>
        <w:t>pública</w:t>
      </w:r>
    </w:p>
    <w:p>
      <w:pPr>
        <w:pStyle w:val="ListParagraph"/>
        <w:numPr>
          <w:ilvl w:val="0"/>
          <w:numId w:val="57"/>
        </w:numPr>
        <w:tabs>
          <w:tab w:pos="1341" w:val="left" w:leader="none"/>
          <w:tab w:pos="1342" w:val="left" w:leader="none"/>
        </w:tabs>
        <w:spacing w:line="240" w:lineRule="auto" w:before="37" w:after="0"/>
        <w:ind w:left="1342" w:right="0" w:hanging="361"/>
        <w:jc w:val="left"/>
        <w:rPr>
          <w:sz w:val="22"/>
        </w:rPr>
      </w:pPr>
      <w:r>
        <w:rPr>
          <w:sz w:val="22"/>
        </w:rPr>
        <w:t>Eje 2 Asistencia Financiera</w:t>
      </w:r>
      <w:r>
        <w:rPr>
          <w:spacing w:val="-3"/>
          <w:sz w:val="22"/>
        </w:rPr>
        <w:t> </w:t>
      </w:r>
      <w:r>
        <w:rPr>
          <w:sz w:val="22"/>
        </w:rPr>
        <w:t>Municipal</w:t>
      </w:r>
    </w:p>
    <w:p>
      <w:pPr>
        <w:pStyle w:val="ListParagraph"/>
        <w:numPr>
          <w:ilvl w:val="0"/>
          <w:numId w:val="57"/>
        </w:numPr>
        <w:tabs>
          <w:tab w:pos="1341" w:val="left" w:leader="none"/>
          <w:tab w:pos="1342" w:val="left" w:leader="none"/>
        </w:tabs>
        <w:spacing w:line="240" w:lineRule="auto" w:before="38" w:after="0"/>
        <w:ind w:left="1342" w:right="0" w:hanging="361"/>
        <w:jc w:val="left"/>
        <w:rPr>
          <w:sz w:val="22"/>
        </w:rPr>
      </w:pPr>
      <w:r>
        <w:rPr>
          <w:sz w:val="22"/>
        </w:rPr>
        <w:t>Eje 3 Modelos Fiscales</w:t>
      </w:r>
      <w:r>
        <w:rPr>
          <w:spacing w:val="-3"/>
          <w:sz w:val="22"/>
        </w:rPr>
        <w:t> </w:t>
      </w:r>
      <w:r>
        <w:rPr>
          <w:sz w:val="22"/>
        </w:rPr>
        <w:t>Ambientales</w:t>
      </w:r>
    </w:p>
    <w:p>
      <w:pPr>
        <w:pStyle w:val="ListParagraph"/>
        <w:numPr>
          <w:ilvl w:val="0"/>
          <w:numId w:val="57"/>
        </w:numPr>
        <w:tabs>
          <w:tab w:pos="1341" w:val="left" w:leader="none"/>
          <w:tab w:pos="1342" w:val="left" w:leader="none"/>
        </w:tabs>
        <w:spacing w:line="240" w:lineRule="auto" w:before="35" w:after="0"/>
        <w:ind w:left="1342" w:right="0" w:hanging="361"/>
        <w:jc w:val="left"/>
        <w:rPr>
          <w:sz w:val="22"/>
        </w:rPr>
      </w:pPr>
      <w:r>
        <w:rPr>
          <w:sz w:val="22"/>
        </w:rPr>
        <w:t>Eje 4 Gestión de riesgos y contingencias</w:t>
      </w:r>
      <w:r>
        <w:rPr>
          <w:spacing w:val="-4"/>
          <w:sz w:val="22"/>
        </w:rPr>
        <w:t> </w:t>
      </w:r>
      <w:r>
        <w:rPr>
          <w:sz w:val="22"/>
        </w:rPr>
        <w:t>ambientales</w:t>
      </w:r>
    </w:p>
    <w:p>
      <w:pPr>
        <w:pStyle w:val="ListParagraph"/>
        <w:numPr>
          <w:ilvl w:val="0"/>
          <w:numId w:val="57"/>
        </w:numPr>
        <w:tabs>
          <w:tab w:pos="1341" w:val="left" w:leader="none"/>
          <w:tab w:pos="1342" w:val="left" w:leader="none"/>
        </w:tabs>
        <w:spacing w:line="415" w:lineRule="auto" w:before="38" w:after="0"/>
        <w:ind w:left="562" w:right="5485" w:firstLine="419"/>
        <w:jc w:val="left"/>
        <w:rPr>
          <w:sz w:val="22"/>
        </w:rPr>
      </w:pPr>
      <w:r>
        <w:rPr>
          <w:sz w:val="22"/>
        </w:rPr>
        <w:t>Eje 5 Acceso a financiamiento verde y climático Dentro de las acciones internas se cuenta</w:t>
      </w:r>
      <w:r>
        <w:rPr>
          <w:spacing w:val="-10"/>
          <w:sz w:val="22"/>
        </w:rPr>
        <w:t> </w:t>
      </w:r>
      <w:r>
        <w:rPr>
          <w:sz w:val="22"/>
        </w:rPr>
        <w:t>con:</w:t>
      </w:r>
    </w:p>
    <w:p>
      <w:pPr>
        <w:pStyle w:val="Heading3"/>
        <w:numPr>
          <w:ilvl w:val="1"/>
          <w:numId w:val="58"/>
        </w:numPr>
        <w:tabs>
          <w:tab w:pos="1354" w:val="left" w:leader="none"/>
        </w:tabs>
        <w:spacing w:line="240" w:lineRule="auto" w:before="20" w:after="0"/>
        <w:ind w:left="1354" w:right="0" w:hanging="433"/>
        <w:jc w:val="left"/>
      </w:pPr>
      <w:bookmarkStart w:name="_bookmark247" w:id="331"/>
      <w:bookmarkEnd w:id="331"/>
      <w:r>
        <w:rPr/>
        <w:t>L</w:t>
      </w:r>
      <w:r>
        <w:rPr/>
        <w:t>ineamientos ambientales en el ámbito del Ministerio de Finanzas</w:t>
      </w:r>
      <w:r>
        <w:rPr>
          <w:spacing w:val="-15"/>
        </w:rPr>
        <w:t> </w:t>
      </w:r>
      <w:r>
        <w:rPr/>
        <w:t>Públicas</w:t>
      </w:r>
    </w:p>
    <w:p>
      <w:pPr>
        <w:pStyle w:val="BodyText"/>
        <w:spacing w:line="276" w:lineRule="auto" w:before="193"/>
        <w:ind w:left="562" w:right="1695"/>
        <w:jc w:val="both"/>
      </w:pPr>
      <w:r>
        <w:rPr/>
        <w:t>El</w:t>
      </w:r>
      <w:r>
        <w:rPr>
          <w:spacing w:val="-4"/>
        </w:rPr>
        <w:t> </w:t>
      </w:r>
      <w:r>
        <w:rPr/>
        <w:t>desarrollo</w:t>
      </w:r>
      <w:r>
        <w:rPr>
          <w:spacing w:val="-7"/>
        </w:rPr>
        <w:t> </w:t>
      </w:r>
      <w:r>
        <w:rPr/>
        <w:t>de</w:t>
      </w:r>
      <w:r>
        <w:rPr>
          <w:spacing w:val="-7"/>
        </w:rPr>
        <w:t> </w:t>
      </w:r>
      <w:r>
        <w:rPr/>
        <w:t>los</w:t>
      </w:r>
      <w:r>
        <w:rPr>
          <w:spacing w:val="-7"/>
        </w:rPr>
        <w:t> </w:t>
      </w:r>
      <w:r>
        <w:rPr/>
        <w:t>lineamientos</w:t>
      </w:r>
      <w:r>
        <w:rPr>
          <w:spacing w:val="-6"/>
        </w:rPr>
        <w:t> </w:t>
      </w:r>
      <w:r>
        <w:rPr/>
        <w:t>ambientales</w:t>
      </w:r>
      <w:r>
        <w:rPr>
          <w:spacing w:val="-6"/>
        </w:rPr>
        <w:t> </w:t>
      </w:r>
      <w:r>
        <w:rPr/>
        <w:t>parte</w:t>
      </w:r>
      <w:r>
        <w:rPr>
          <w:spacing w:val="-7"/>
        </w:rPr>
        <w:t> </w:t>
      </w:r>
      <w:r>
        <w:rPr/>
        <w:t>de</w:t>
      </w:r>
      <w:r>
        <w:rPr>
          <w:spacing w:val="-7"/>
        </w:rPr>
        <w:t> </w:t>
      </w:r>
      <w:r>
        <w:rPr/>
        <w:t>la</w:t>
      </w:r>
      <w:r>
        <w:rPr>
          <w:spacing w:val="-3"/>
        </w:rPr>
        <w:t> </w:t>
      </w:r>
      <w:r>
        <w:rPr/>
        <w:t>adecuada</w:t>
      </w:r>
      <w:r>
        <w:rPr>
          <w:spacing w:val="-4"/>
        </w:rPr>
        <w:t> </w:t>
      </w:r>
      <w:r>
        <w:rPr/>
        <w:t>alineación</w:t>
      </w:r>
      <w:r>
        <w:rPr>
          <w:spacing w:val="-7"/>
        </w:rPr>
        <w:t> </w:t>
      </w:r>
      <w:r>
        <w:rPr/>
        <w:t>de</w:t>
      </w:r>
      <w:r>
        <w:rPr>
          <w:spacing w:val="-7"/>
        </w:rPr>
        <w:t> </w:t>
      </w:r>
      <w:r>
        <w:rPr/>
        <w:t>sus</w:t>
      </w:r>
      <w:r>
        <w:rPr>
          <w:spacing w:val="-4"/>
        </w:rPr>
        <w:t> </w:t>
      </w:r>
      <w:r>
        <w:rPr/>
        <w:t>ejes</w:t>
      </w:r>
      <w:r>
        <w:rPr>
          <w:spacing w:val="-5"/>
        </w:rPr>
        <w:t> </w:t>
      </w:r>
      <w:r>
        <w:rPr/>
        <w:t>estratégicos con la planificación nacional, siendo estos instrumentos: Política General de Gobierno 2020-2024, Plan Nacional de Desarrollo K’atun Nuestra Guatemala 2032, Objetivos de Desarrollo Sostenible, Prioridades Nacionales y Metas Estratégicas de Desarrollo. Asimismo, la vinculación de los ejes estratégicos de la EFA dentro de las direcciones que son miembros de la Mesa Técnica Interna de la EFA es la</w:t>
      </w:r>
      <w:r>
        <w:rPr>
          <w:spacing w:val="-4"/>
        </w:rPr>
        <w:t> </w:t>
      </w:r>
      <w:r>
        <w:rPr/>
        <w:t>siguiente:</w:t>
      </w:r>
    </w:p>
    <w:p>
      <w:pPr>
        <w:spacing w:line="276" w:lineRule="auto" w:before="165"/>
        <w:ind w:left="3778" w:right="4897" w:firstLine="398"/>
        <w:jc w:val="left"/>
        <w:rPr>
          <w:sz w:val="18"/>
        </w:rPr>
      </w:pPr>
      <w:r>
        <w:rPr>
          <w:b/>
          <w:sz w:val="22"/>
        </w:rPr>
        <w:t>Ejes Estratégicos </w:t>
      </w:r>
      <w:r>
        <w:rPr>
          <w:sz w:val="18"/>
        </w:rPr>
        <w:t>Dirección Coordinadora: DAPF Transversales: DIPLANDI / DAJ</w:t>
      </w:r>
    </w:p>
    <w:p>
      <w:pPr>
        <w:pStyle w:val="BodyText"/>
        <w:ind w:left="551"/>
        <w:rPr>
          <w:sz w:val="20"/>
        </w:rPr>
      </w:pPr>
      <w:r>
        <w:rPr>
          <w:sz w:val="20"/>
        </w:rPr>
        <w:pict>
          <v:group style="width:433.3pt;height:226.8pt;mso-position-horizontal-relative:char;mso-position-vertical-relative:line" coordorigin="0,0" coordsize="8666,4536">
            <v:shape style="position:absolute;left:9;top:9;width:2057;height:632" coordorigin="10,10" coordsize="2057,632" path="m1751,10l10,10,10,641,1751,641,2066,325,1751,10xe" filled="true" fillcolor="#ec7c30" stroked="false">
              <v:path arrowok="t"/>
              <v:fill type="solid"/>
            </v:shape>
            <v:shape style="position:absolute;left:9;top:9;width:2057;height:632" coordorigin="10,10" coordsize="2057,632" path="m10,10l1751,10,2066,325,1751,641,10,641,10,10xe" filled="false" stroked="true" strokeweight=".96pt" strokecolor="#000000">
              <v:path arrowok="t"/>
              <v:stroke dashstyle="solid"/>
            </v:shape>
            <v:shape style="position:absolute;left:1656;top:9;width:2057;height:632" coordorigin="1656,10" coordsize="2057,632" path="m3397,10l1656,10,1972,325,1656,641,3397,641,3713,325,3397,10xe" filled="true" fillcolor="#d77951" stroked="false">
              <v:path arrowok="t"/>
              <v:fill type="solid"/>
            </v:shape>
            <v:shape style="position:absolute;left:1656;top:9;width:2057;height:632" coordorigin="1656,10" coordsize="2057,632" path="m1656,10l3397,10,3713,325,3397,641,1656,641,1972,325,1656,10xe" filled="false" stroked="true" strokeweight=".96pt" strokecolor="#000000">
              <v:path arrowok="t"/>
              <v:stroke dashstyle="solid"/>
            </v:shape>
            <v:shape style="position:absolute;left:3300;top:9;width:2057;height:632" coordorigin="3300,10" coordsize="2057,632" path="m5041,10l3300,10,3616,325,3300,641,5041,641,5357,325,5041,10xe" filled="true" fillcolor="#c4816f" stroked="false">
              <v:path arrowok="t"/>
              <v:fill type="solid"/>
            </v:shape>
            <v:shape style="position:absolute;left:3300;top:9;width:2057;height:632" coordorigin="3300,10" coordsize="2057,632" path="m3300,10l5041,10,5357,325,5041,641,3300,641,3616,325,3300,10xe" filled="false" stroked="true" strokeweight=".96pt" strokecolor="#000000">
              <v:path arrowok="t"/>
              <v:stroke dashstyle="solid"/>
            </v:shape>
            <v:shape style="position:absolute;left:4946;top:9;width:2057;height:632" coordorigin="4946,10" coordsize="2057,632" path="m6688,10l4946,10,5262,325,4946,641,6688,641,7003,325,6688,10xe" filled="true" fillcolor="#b4908a" stroked="false">
              <v:path arrowok="t"/>
              <v:fill type="solid"/>
            </v:shape>
            <v:shape style="position:absolute;left:4946;top:9;width:2057;height:632" coordorigin="4946,10" coordsize="2057,632" path="m4946,10l6688,10,7003,325,6688,641,4946,641,5262,325,4946,10xe" filled="false" stroked="true" strokeweight=".96pt" strokecolor="#000000">
              <v:path arrowok="t"/>
              <v:stroke dashstyle="solid"/>
            </v:shape>
            <v:shape style="position:absolute;left:6590;top:9;width:2057;height:632" coordorigin="6590,10" coordsize="2057,632" path="m8332,10l6590,10,6906,325,6590,641,8332,641,8647,325,8332,10xe" filled="true" fillcolor="#a4a4a4" stroked="false">
              <v:path arrowok="t"/>
              <v:fill type="solid"/>
            </v:shape>
            <v:shape style="position:absolute;left:6590;top:9;width:2057;height:632" coordorigin="6590,10" coordsize="2057,632" path="m6590,10l8332,10,8647,325,8332,641,6590,641,6906,325,6590,10xe" filled="false" stroked="true" strokeweight=".96pt" strokecolor="#000000">
              <v:path arrowok="t"/>
              <v:stroke dashstyle="solid"/>
            </v:shape>
            <v:shape style="position:absolute;left:53;top:802;width:1736;height:3504" type="#_x0000_t75" stroked="false">
              <v:imagedata r:id="rId417" o:title=""/>
            </v:shape>
            <v:shape style="position:absolute;left:14;top:1370;width:1797;height:3125" type="#_x0000_t75" stroked="false">
              <v:imagedata r:id="rId418" o:title=""/>
            </v:shape>
            <v:shape style="position:absolute;left:74;top:828;width:1594;height:3382" coordorigin="74,828" coordsize="1594,3382" path="m74,828l74,4210,1668,3533,1668,1504,74,828xe" filled="true" fillcolor="#ec7c30" stroked="false">
              <v:path arrowok="t"/>
              <v:fill type="solid"/>
            </v:shape>
            <v:shape style="position:absolute;left:74;top:828;width:1594;height:3382" coordorigin="74,828" coordsize="1594,3382" path="m74,4210l74,828,1668,1504,1668,3533,74,4210xe" filled="false" stroked="true" strokeweight=".96pt" strokecolor="#000000">
              <v:path arrowok="t"/>
              <v:stroke dashstyle="solid"/>
            </v:shape>
            <v:shape style="position:absolute;left:1735;top:772;width:1766;height:3564" type="#_x0000_t75" stroked="false">
              <v:imagedata r:id="rId419" o:title=""/>
            </v:shape>
            <v:shape style="position:absolute;left:1773;top:609;width:1740;height:3926" type="#_x0000_t75" stroked="false">
              <v:imagedata r:id="rId420" o:title=""/>
            </v:shape>
            <v:shape style="position:absolute;left:1785;top:828;width:1594;height:3382" coordorigin="1786,828" coordsize="1594,3382" path="m1786,828l1786,4210,3379,3533,3379,1504,1786,828xe" filled="true" fillcolor="#d77951" stroked="false">
              <v:path arrowok="t"/>
              <v:fill type="solid"/>
            </v:shape>
            <v:shape style="position:absolute;left:1785;top:828;width:1594;height:3382" coordorigin="1786,828" coordsize="1594,3382" path="m1786,4210l1786,828,3379,1504,3379,3533,1786,4210xe" filled="false" stroked="true" strokeweight=".96pt" strokecolor="#000000">
              <v:path arrowok="t"/>
              <v:stroke dashstyle="solid"/>
            </v:shape>
            <v:shape style="position:absolute;left:3448;top:772;width:1766;height:3564" type="#_x0000_t75" stroked="false">
              <v:imagedata r:id="rId419" o:title=""/>
            </v:shape>
            <v:shape style="position:absolute;left:3472;top:955;width:1769;height:3235" type="#_x0000_t75" stroked="false">
              <v:imagedata r:id="rId421" o:title=""/>
            </v:shape>
            <v:shape style="position:absolute;left:3499;top:828;width:1594;height:3382" coordorigin="3499,828" coordsize="1594,3382" path="m3499,828l3499,4210,5093,3533,5093,1504,3499,828xe" filled="true" fillcolor="#c4816f" stroked="false">
              <v:path arrowok="t"/>
              <v:fill type="solid"/>
            </v:shape>
            <v:shape style="position:absolute;left:3499;top:828;width:1594;height:3382" coordorigin="3499,828" coordsize="1594,3382" path="m3499,4210l3499,828,5093,1504,5093,3533,3499,4210xe" filled="false" stroked="true" strokeweight=".96pt" strokecolor="#000000">
              <v:path arrowok="t"/>
              <v:stroke dashstyle="solid"/>
            </v:shape>
            <v:shape style="position:absolute;left:5162;top:772;width:1766;height:3564" type="#_x0000_t75" stroked="false">
              <v:imagedata r:id="rId419" o:title=""/>
            </v:shape>
            <v:shape style="position:absolute;left:5167;top:676;width:1807;height:3782" type="#_x0000_t75" stroked="false">
              <v:imagedata r:id="rId422" o:title=""/>
            </v:shape>
            <v:shape style="position:absolute;left:5212;top:828;width:1594;height:3382" coordorigin="5213,828" coordsize="1594,3382" path="m5213,828l5213,4210,6806,3533,6806,1504,5213,828xe" filled="true" fillcolor="#b4908a" stroked="false">
              <v:path arrowok="t"/>
              <v:fill type="solid"/>
            </v:shape>
            <v:shape style="position:absolute;left:5212;top:828;width:1594;height:3382" coordorigin="5213,828" coordsize="1594,3382" path="m5213,4210l5213,828,6806,1504,6806,3533,5213,4210xe" filled="false" stroked="true" strokeweight=".96pt" strokecolor="#000000">
              <v:path arrowok="t"/>
              <v:stroke dashstyle="solid"/>
            </v:shape>
            <v:shape style="position:absolute;left:6876;top:772;width:1766;height:3564" type="#_x0000_t75" stroked="false">
              <v:imagedata r:id="rId419" o:title=""/>
            </v:shape>
            <v:shape style="position:absolute;left:6890;top:626;width:1776;height:3876" type="#_x0000_t75" stroked="false">
              <v:imagedata r:id="rId423" o:title=""/>
            </v:shape>
            <v:shape style="position:absolute;left:6926;top:828;width:1594;height:3382" coordorigin="6926,828" coordsize="1594,3382" path="m6926,828l6926,4210,8520,3533,8520,1504,6926,828xe" filled="true" fillcolor="#a4a4a4" stroked="false">
              <v:path arrowok="t"/>
              <v:fill type="solid"/>
            </v:shape>
            <v:shape style="position:absolute;left:6926;top:828;width:1594;height:3382" coordorigin="6926,828" coordsize="1594,3382" path="m6926,4210l6926,828,8520,1504,8520,3533,6926,4210xe" filled="false" stroked="true" strokeweight=".96pt" strokecolor="#000000">
              <v:path arrowok="t"/>
              <v:stroke dashstyle="solid"/>
            </v:shape>
            <v:shape style="position:absolute;left:179;top:142;width:1635;height:380" type="#_x0000_t202" filled="false" stroked="false">
              <v:textbox inset="0,0,0,0">
                <w:txbxContent>
                  <w:p>
                    <w:pPr>
                      <w:spacing w:line="173" w:lineRule="exact" w:before="0"/>
                      <w:ind w:left="-1" w:right="18" w:firstLine="0"/>
                      <w:jc w:val="center"/>
                      <w:rPr>
                        <w:rFonts w:ascii="Calibri"/>
                        <w:b/>
                        <w:sz w:val="18"/>
                      </w:rPr>
                    </w:pPr>
                    <w:r>
                      <w:rPr>
                        <w:rFonts w:ascii="Calibri"/>
                        <w:b/>
                        <w:color w:val="FFFFFF"/>
                        <w:sz w:val="18"/>
                      </w:rPr>
                      <w:t>Interno: DGAE,</w:t>
                    </w:r>
                    <w:r>
                      <w:rPr>
                        <w:rFonts w:ascii="Calibri"/>
                        <w:b/>
                        <w:color w:val="FFFFFF"/>
                        <w:spacing w:val="-9"/>
                        <w:sz w:val="18"/>
                      </w:rPr>
                      <w:t> </w:t>
                    </w:r>
                    <w:r>
                      <w:rPr>
                        <w:rFonts w:ascii="Calibri"/>
                        <w:b/>
                        <w:color w:val="FFFFFF"/>
                        <w:sz w:val="18"/>
                      </w:rPr>
                      <w:t>RGAE,</w:t>
                    </w:r>
                  </w:p>
                  <w:p>
                    <w:pPr>
                      <w:spacing w:line="206" w:lineRule="exact" w:before="0"/>
                      <w:ind w:left="3" w:right="18" w:firstLine="0"/>
                      <w:jc w:val="center"/>
                      <w:rPr>
                        <w:rFonts w:ascii="Calibri"/>
                        <w:b/>
                        <w:sz w:val="18"/>
                      </w:rPr>
                    </w:pPr>
                    <w:r>
                      <w:rPr>
                        <w:rFonts w:ascii="Calibri"/>
                        <w:b/>
                        <w:color w:val="FFFFFF"/>
                        <w:sz w:val="18"/>
                      </w:rPr>
                      <w:t>DAA, DIPLANDI</w:t>
                    </w:r>
                  </w:p>
                </w:txbxContent>
              </v:textbox>
              <w10:wrap type="none"/>
            </v:shape>
            <v:shape style="position:absolute;left:2071;top:240;width:1281;height:180" type="#_x0000_t202" filled="false" stroked="false">
              <v:textbox inset="0,0,0,0">
                <w:txbxContent>
                  <w:p>
                    <w:pPr>
                      <w:spacing w:line="180" w:lineRule="exact" w:before="0"/>
                      <w:ind w:left="0" w:right="0" w:firstLine="0"/>
                      <w:jc w:val="left"/>
                      <w:rPr>
                        <w:rFonts w:ascii="Calibri"/>
                        <w:b/>
                        <w:sz w:val="18"/>
                      </w:rPr>
                    </w:pPr>
                    <w:r>
                      <w:rPr>
                        <w:rFonts w:ascii="Calibri"/>
                        <w:b/>
                        <w:color w:val="FFFFFF"/>
                        <w:sz w:val="18"/>
                      </w:rPr>
                      <w:t>Interno: DAAFIM</w:t>
                    </w:r>
                  </w:p>
                </w:txbxContent>
              </v:textbox>
              <w10:wrap type="none"/>
            </v:shape>
            <v:shape style="position:absolute;left:3827;top:240;width:1065;height:180" type="#_x0000_t202" filled="false" stroked="false">
              <v:textbox inset="0,0,0,0">
                <w:txbxContent>
                  <w:p>
                    <w:pPr>
                      <w:spacing w:line="180" w:lineRule="exact" w:before="0"/>
                      <w:ind w:left="0" w:right="0" w:firstLine="0"/>
                      <w:jc w:val="left"/>
                      <w:rPr>
                        <w:rFonts w:ascii="Calibri"/>
                        <w:b/>
                        <w:sz w:val="18"/>
                      </w:rPr>
                    </w:pPr>
                    <w:r>
                      <w:rPr>
                        <w:rFonts w:ascii="Calibri"/>
                        <w:b/>
                        <w:color w:val="FFFFFF"/>
                        <w:sz w:val="18"/>
                      </w:rPr>
                      <w:t>Interno: DAPF</w:t>
                    </w:r>
                  </w:p>
                </w:txbxContent>
              </v:textbox>
              <w10:wrap type="none"/>
            </v:shape>
            <v:shape style="position:absolute;left:5434;top:142;width:1140;height:380" type="#_x0000_t202" filled="false" stroked="false">
              <v:textbox inset="0,0,0,0">
                <w:txbxContent>
                  <w:p>
                    <w:pPr>
                      <w:spacing w:line="173" w:lineRule="exact" w:before="0"/>
                      <w:ind w:left="64" w:right="0" w:firstLine="0"/>
                      <w:jc w:val="left"/>
                      <w:rPr>
                        <w:rFonts w:ascii="Calibri"/>
                        <w:b/>
                        <w:sz w:val="18"/>
                      </w:rPr>
                    </w:pPr>
                    <w:r>
                      <w:rPr>
                        <w:rFonts w:ascii="Calibri"/>
                        <w:b/>
                        <w:color w:val="FFFFFF"/>
                        <w:sz w:val="18"/>
                      </w:rPr>
                      <w:t>Interno: DTP,</w:t>
                    </w:r>
                  </w:p>
                  <w:p>
                    <w:pPr>
                      <w:spacing w:line="206" w:lineRule="exact" w:before="0"/>
                      <w:ind w:left="0" w:right="0" w:firstLine="0"/>
                      <w:jc w:val="left"/>
                      <w:rPr>
                        <w:rFonts w:ascii="Calibri"/>
                        <w:b/>
                        <w:sz w:val="18"/>
                      </w:rPr>
                    </w:pPr>
                    <w:r>
                      <w:rPr>
                        <w:rFonts w:ascii="Calibri"/>
                        <w:b/>
                        <w:color w:val="FFFFFF"/>
                        <w:sz w:val="18"/>
                      </w:rPr>
                      <w:t>DCP, DAPF,DTF</w:t>
                    </w:r>
                  </w:p>
                </w:txbxContent>
              </v:textbox>
              <w10:wrap type="none"/>
            </v:shape>
            <v:shape style="position:absolute;left:6972;top:240;width:1354;height:180" type="#_x0000_t202" filled="false" stroked="false">
              <v:textbox inset="0,0,0,0">
                <w:txbxContent>
                  <w:p>
                    <w:pPr>
                      <w:spacing w:line="180" w:lineRule="exact" w:before="0"/>
                      <w:ind w:left="0" w:right="0" w:firstLine="0"/>
                      <w:jc w:val="left"/>
                      <w:rPr>
                        <w:rFonts w:ascii="Calibri"/>
                        <w:b/>
                        <w:sz w:val="18"/>
                      </w:rPr>
                    </w:pPr>
                    <w:r>
                      <w:rPr>
                        <w:rFonts w:ascii="Calibri"/>
                        <w:b/>
                        <w:color w:val="FFFFFF"/>
                        <w:sz w:val="18"/>
                      </w:rPr>
                      <w:t>Interno: DCP, DTP</w:t>
                    </w:r>
                  </w:p>
                </w:txbxContent>
              </v:textbox>
              <w10:wrap type="none"/>
            </v:shape>
            <v:shape style="position:absolute;left:186;top:1522;width:1390;height:2739" type="#_x0000_t202" filled="false" stroked="false">
              <v:textbox inset="0,0,0,0">
                <w:txbxContent>
                  <w:p>
                    <w:pPr>
                      <w:spacing w:line="202" w:lineRule="exact" w:before="0"/>
                      <w:ind w:left="98" w:right="0" w:firstLine="0"/>
                      <w:jc w:val="left"/>
                      <w:rPr>
                        <w:rFonts w:ascii="Calibri"/>
                        <w:b/>
                        <w:sz w:val="21"/>
                      </w:rPr>
                    </w:pPr>
                    <w:r>
                      <w:rPr>
                        <w:rFonts w:ascii="Calibri"/>
                        <w:b/>
                        <w:color w:val="FFFFFF"/>
                        <w:sz w:val="21"/>
                      </w:rPr>
                      <w:t>1. Calidad del</w:t>
                    </w:r>
                  </w:p>
                  <w:p>
                    <w:pPr>
                      <w:spacing w:line="216" w:lineRule="auto" w:before="7"/>
                      <w:ind w:left="0" w:right="4" w:firstLine="357"/>
                      <w:jc w:val="left"/>
                      <w:rPr>
                        <w:rFonts w:ascii="Calibri" w:hAnsi="Calibri"/>
                        <w:b/>
                        <w:sz w:val="21"/>
                      </w:rPr>
                    </w:pPr>
                    <w:r>
                      <w:rPr>
                        <w:rFonts w:ascii="Calibri" w:hAnsi="Calibri"/>
                        <w:b/>
                        <w:color w:val="FFFFFF"/>
                        <w:sz w:val="21"/>
                      </w:rPr>
                      <w:t>Gasto y Compra Pública</w:t>
                    </w:r>
                  </w:p>
                  <w:p>
                    <w:pPr>
                      <w:numPr>
                        <w:ilvl w:val="0"/>
                        <w:numId w:val="59"/>
                      </w:numPr>
                      <w:tabs>
                        <w:tab w:pos="168" w:val="left" w:leader="none"/>
                      </w:tabs>
                      <w:spacing w:line="216" w:lineRule="auto" w:before="90"/>
                      <w:ind w:left="511" w:right="83" w:hanging="444"/>
                      <w:jc w:val="left"/>
                      <w:rPr>
                        <w:rFonts w:ascii="Calibri" w:hAnsi="Calibri"/>
                        <w:sz w:val="20"/>
                      </w:rPr>
                    </w:pPr>
                    <w:r>
                      <w:rPr>
                        <w:rFonts w:ascii="Calibri" w:hAnsi="Calibri"/>
                        <w:color w:val="FFFFFF"/>
                        <w:sz w:val="20"/>
                      </w:rPr>
                      <w:t>Reducción </w:t>
                    </w:r>
                    <w:r>
                      <w:rPr>
                        <w:rFonts w:ascii="Calibri" w:hAnsi="Calibri"/>
                        <w:color w:val="FFFFFF"/>
                        <w:spacing w:val="-5"/>
                        <w:sz w:val="20"/>
                      </w:rPr>
                      <w:t>del </w:t>
                    </w:r>
                    <w:r>
                      <w:rPr>
                        <w:rFonts w:ascii="Calibri" w:hAnsi="Calibri"/>
                        <w:color w:val="FFFFFF"/>
                        <w:sz w:val="20"/>
                      </w:rPr>
                      <w:t>gasto</w:t>
                    </w:r>
                  </w:p>
                  <w:p>
                    <w:pPr>
                      <w:spacing w:line="216" w:lineRule="auto" w:before="0"/>
                      <w:ind w:left="129" w:right="55" w:firstLine="0"/>
                      <w:jc w:val="center"/>
                      <w:rPr>
                        <w:rFonts w:ascii="Calibri" w:hAnsi="Calibri"/>
                        <w:sz w:val="20"/>
                      </w:rPr>
                    </w:pPr>
                    <w:r>
                      <w:rPr>
                        <w:rFonts w:ascii="Calibri" w:hAnsi="Calibri"/>
                        <w:color w:val="FFFFFF"/>
                        <w:w w:val="95"/>
                        <w:sz w:val="20"/>
                      </w:rPr>
                      <w:t>administrativo, </w:t>
                    </w:r>
                    <w:r>
                      <w:rPr>
                        <w:rFonts w:ascii="Calibri" w:hAnsi="Calibri"/>
                        <w:color w:val="FFFFFF"/>
                        <w:sz w:val="20"/>
                      </w:rPr>
                      <w:t>compras sostenibles y eficiencia energética en edicios públicos.</w:t>
                    </w:r>
                  </w:p>
                </w:txbxContent>
              </v:textbox>
              <w10:wrap type="none"/>
            </v:shape>
            <v:shape style="position:absolute;left:1945;top:760;width:1301;height:3531" type="#_x0000_t202" filled="false" stroked="false">
              <v:textbox inset="0,0,0,0">
                <w:txbxContent>
                  <w:p>
                    <w:pPr>
                      <w:spacing w:line="202" w:lineRule="exact" w:before="0"/>
                      <w:ind w:left="93" w:right="0" w:firstLine="0"/>
                      <w:jc w:val="left"/>
                      <w:rPr>
                        <w:rFonts w:ascii="Calibri"/>
                        <w:b/>
                        <w:sz w:val="21"/>
                      </w:rPr>
                    </w:pPr>
                    <w:r>
                      <w:rPr>
                        <w:rFonts w:ascii="Calibri"/>
                        <w:b/>
                        <w:color w:val="FFFFFF"/>
                        <w:sz w:val="21"/>
                      </w:rPr>
                      <w:t>2. Asistencia</w:t>
                    </w:r>
                  </w:p>
                  <w:p>
                    <w:pPr>
                      <w:spacing w:line="216" w:lineRule="auto" w:before="7"/>
                      <w:ind w:left="189" w:right="205" w:firstLine="0"/>
                      <w:jc w:val="center"/>
                      <w:rPr>
                        <w:rFonts w:ascii="Calibri"/>
                        <w:b/>
                        <w:sz w:val="21"/>
                      </w:rPr>
                    </w:pPr>
                    <w:r>
                      <w:rPr>
                        <w:rFonts w:ascii="Calibri"/>
                        <w:b/>
                        <w:color w:val="FFFFFF"/>
                        <w:spacing w:val="-1"/>
                        <w:sz w:val="21"/>
                      </w:rPr>
                      <w:t>Financiera </w:t>
                    </w:r>
                    <w:r>
                      <w:rPr>
                        <w:rFonts w:ascii="Calibri"/>
                        <w:b/>
                        <w:color w:val="FFFFFF"/>
                        <w:sz w:val="21"/>
                      </w:rPr>
                      <w:t>Municipal</w:t>
                    </w:r>
                  </w:p>
                  <w:p>
                    <w:pPr>
                      <w:spacing w:line="216" w:lineRule="auto" w:before="91"/>
                      <w:ind w:left="0" w:right="18" w:firstLine="1"/>
                      <w:jc w:val="center"/>
                      <w:rPr>
                        <w:rFonts w:ascii="Calibri" w:hAnsi="Calibri"/>
                        <w:sz w:val="21"/>
                      </w:rPr>
                    </w:pPr>
                    <w:r>
                      <w:rPr>
                        <w:rFonts w:ascii="Calibri" w:hAnsi="Calibri"/>
                        <w:color w:val="FFFFFF"/>
                        <w:sz w:val="21"/>
                      </w:rPr>
                      <w:t>Eficiencia en el ingreso y </w:t>
                    </w:r>
                    <w:r>
                      <w:rPr>
                        <w:rFonts w:ascii="Calibri" w:hAnsi="Calibri"/>
                        <w:color w:val="FFFFFF"/>
                        <w:spacing w:val="-4"/>
                        <w:sz w:val="21"/>
                      </w:rPr>
                      <w:t>gasto </w:t>
                    </w:r>
                    <w:r>
                      <w:rPr>
                        <w:rFonts w:ascii="Calibri" w:hAnsi="Calibri"/>
                        <w:color w:val="FFFFFF"/>
                        <w:sz w:val="21"/>
                      </w:rPr>
                      <w:t>administrativo municipal y calidad del gasto de inversión vinculada al medio ambiente y cambio climático.</w:t>
                    </w:r>
                  </w:p>
                </w:txbxContent>
              </v:textbox>
              <w10:wrap type="none"/>
            </v:shape>
            <v:shape style="position:absolute;left:3644;top:1107;width:1330;height:2840" type="#_x0000_t202" filled="false" stroked="false">
              <v:textbox inset="0,0,0,0">
                <w:txbxContent>
                  <w:p>
                    <w:pPr>
                      <w:spacing w:line="202" w:lineRule="exact" w:before="0"/>
                      <w:ind w:left="167" w:right="0" w:firstLine="0"/>
                      <w:jc w:val="left"/>
                      <w:rPr>
                        <w:rFonts w:ascii="Calibri"/>
                        <w:b/>
                        <w:sz w:val="21"/>
                      </w:rPr>
                    </w:pPr>
                    <w:r>
                      <w:rPr>
                        <w:rFonts w:ascii="Calibri"/>
                        <w:b/>
                        <w:color w:val="FFFFFF"/>
                        <w:sz w:val="21"/>
                      </w:rPr>
                      <w:t>3. Modelos</w:t>
                    </w:r>
                  </w:p>
                  <w:p>
                    <w:pPr>
                      <w:spacing w:line="216" w:lineRule="auto" w:before="7"/>
                      <w:ind w:left="103" w:right="119" w:firstLine="0"/>
                      <w:jc w:val="center"/>
                      <w:rPr>
                        <w:rFonts w:ascii="Calibri"/>
                        <w:b/>
                        <w:sz w:val="21"/>
                      </w:rPr>
                    </w:pPr>
                    <w:r>
                      <w:rPr>
                        <w:rFonts w:ascii="Calibri"/>
                        <w:b/>
                        <w:color w:val="FFFFFF"/>
                        <w:sz w:val="21"/>
                      </w:rPr>
                      <w:t>Fiscales Ambientales</w:t>
                    </w:r>
                  </w:p>
                  <w:p>
                    <w:pPr>
                      <w:spacing w:line="216" w:lineRule="auto" w:before="90"/>
                      <w:ind w:left="0" w:right="18" w:firstLine="2"/>
                      <w:jc w:val="center"/>
                      <w:rPr>
                        <w:rFonts w:ascii="Calibri" w:hAnsi="Calibri"/>
                        <w:sz w:val="21"/>
                      </w:rPr>
                    </w:pPr>
                    <w:r>
                      <w:rPr>
                        <w:rFonts w:ascii="Calibri" w:hAnsi="Calibri"/>
                        <w:color w:val="FFFFFF"/>
                        <w:sz w:val="21"/>
                      </w:rPr>
                      <w:t>Actualización o formulación de nuevos instrumentos financieros tanto por el lado impositivo como incentivos</w:t>
                    </w:r>
                  </w:p>
                </w:txbxContent>
              </v:textbox>
              <w10:wrap type="none"/>
            </v:shape>
            <v:shape style="position:absolute;left:5331;top:827;width:1384;height:3399" type="#_x0000_t202" filled="false" stroked="false">
              <v:textbox inset="0,0,0,0">
                <w:txbxContent>
                  <w:p>
                    <w:pPr>
                      <w:spacing w:line="202" w:lineRule="exact" w:before="0"/>
                      <w:ind w:left="175" w:right="0" w:firstLine="0"/>
                      <w:jc w:val="left"/>
                      <w:rPr>
                        <w:rFonts w:ascii="Calibri"/>
                        <w:b/>
                        <w:sz w:val="21"/>
                      </w:rPr>
                    </w:pPr>
                    <w:r>
                      <w:rPr>
                        <w:rFonts w:ascii="Calibri"/>
                        <w:b/>
                        <w:color w:val="FFFFFF"/>
                        <w:sz w:val="21"/>
                      </w:rPr>
                      <w:t>4. Riesgos y</w:t>
                    </w:r>
                  </w:p>
                  <w:p>
                    <w:pPr>
                      <w:spacing w:line="216" w:lineRule="auto" w:before="7"/>
                      <w:ind w:left="67" w:right="88" w:firstLine="0"/>
                      <w:jc w:val="center"/>
                      <w:rPr>
                        <w:rFonts w:ascii="Calibri"/>
                        <w:b/>
                        <w:sz w:val="21"/>
                      </w:rPr>
                    </w:pPr>
                    <w:r>
                      <w:rPr>
                        <w:rFonts w:ascii="Calibri"/>
                        <w:b/>
                        <w:color w:val="FFFFFF"/>
                        <w:sz w:val="21"/>
                      </w:rPr>
                      <w:t>Contingencias Ambientales</w:t>
                    </w:r>
                  </w:p>
                  <w:p>
                    <w:pPr>
                      <w:spacing w:line="216" w:lineRule="auto" w:before="89"/>
                      <w:ind w:left="-1" w:right="18" w:hanging="2"/>
                      <w:jc w:val="center"/>
                      <w:rPr>
                        <w:rFonts w:ascii="Calibri" w:hAnsi="Calibri"/>
                        <w:sz w:val="20"/>
                      </w:rPr>
                    </w:pPr>
                    <w:r>
                      <w:rPr>
                        <w:rFonts w:ascii="Calibri" w:hAnsi="Calibri"/>
                        <w:color w:val="FFFFFF"/>
                        <w:sz w:val="20"/>
                      </w:rPr>
                      <w:t>Mitigación financiera del Estado en caso de contingencias ambientales e identificación de riesgos fiscales asociados a fenómenos naturales/ contaminación ambiental</w:t>
                    </w:r>
                  </w:p>
                </w:txbxContent>
              </v:textbox>
              <w10:wrap type="none"/>
            </v:shape>
            <v:shape style="position:absolute;left:7064;top:778;width:1345;height:3497" type="#_x0000_t202" filled="false" stroked="false">
              <v:textbox inset="0,0,0,0">
                <w:txbxContent>
                  <w:p>
                    <w:pPr>
                      <w:spacing w:line="202" w:lineRule="exact" w:before="0"/>
                      <w:ind w:left="177" w:right="0" w:firstLine="0"/>
                      <w:jc w:val="left"/>
                      <w:rPr>
                        <w:rFonts w:ascii="Calibri"/>
                        <w:b/>
                        <w:sz w:val="21"/>
                      </w:rPr>
                    </w:pPr>
                    <w:r>
                      <w:rPr>
                        <w:rFonts w:ascii="Calibri"/>
                        <w:b/>
                        <w:color w:val="FFFFFF"/>
                        <w:sz w:val="21"/>
                      </w:rPr>
                      <w:t>5. Acceso a</w:t>
                    </w:r>
                  </w:p>
                  <w:p>
                    <w:pPr>
                      <w:spacing w:line="216" w:lineRule="auto" w:before="7"/>
                      <w:ind w:left="0" w:right="18" w:firstLine="0"/>
                      <w:jc w:val="center"/>
                      <w:rPr>
                        <w:rFonts w:ascii="Calibri" w:hAnsi="Calibri"/>
                        <w:b/>
                        <w:sz w:val="21"/>
                      </w:rPr>
                    </w:pPr>
                    <w:r>
                      <w:rPr>
                        <w:rFonts w:ascii="Calibri" w:hAnsi="Calibri"/>
                        <w:b/>
                        <w:color w:val="FFFFFF"/>
                        <w:sz w:val="21"/>
                      </w:rPr>
                      <w:t>financiamiento verde y climático</w:t>
                    </w:r>
                  </w:p>
                  <w:p>
                    <w:pPr>
                      <w:spacing w:line="216" w:lineRule="auto" w:before="90"/>
                      <w:ind w:left="26" w:right="46" w:firstLine="1"/>
                      <w:jc w:val="center"/>
                      <w:rPr>
                        <w:rFonts w:ascii="Calibri" w:hAnsi="Calibri"/>
                        <w:sz w:val="19"/>
                      </w:rPr>
                    </w:pPr>
                    <w:r>
                      <w:rPr>
                        <w:rFonts w:ascii="Calibri" w:hAnsi="Calibri"/>
                        <w:color w:val="FFFFFF"/>
                        <w:sz w:val="19"/>
                      </w:rPr>
                      <w:t>Soporte técnico para establecer mecanismos y procedimientos de acceso a financiamiento verde nacional e internacional de financiamiento de corto, mediano y largo plazo.</w:t>
                    </w:r>
                  </w:p>
                </w:txbxContent>
              </v:textbox>
              <w10:wrap type="none"/>
            </v:shape>
          </v:group>
        </w:pict>
      </w:r>
      <w:r>
        <w:rPr>
          <w:sz w:val="20"/>
        </w:rPr>
      </w:r>
    </w:p>
    <w:p>
      <w:pPr>
        <w:spacing w:before="52"/>
        <w:ind w:left="562" w:right="0" w:firstLine="0"/>
        <w:jc w:val="left"/>
        <w:rPr>
          <w:sz w:val="16"/>
        </w:rPr>
      </w:pPr>
      <w:r>
        <w:rPr>
          <w:sz w:val="16"/>
        </w:rPr>
        <w:t>Fuente: Dirección de Análisis y Política Fiscal</w:t>
      </w:r>
    </w:p>
    <w:p>
      <w:pPr>
        <w:spacing w:after="0"/>
        <w:jc w:val="left"/>
        <w:rPr>
          <w:sz w:val="16"/>
        </w:rPr>
        <w:sectPr>
          <w:pgSz w:w="12240" w:h="15840"/>
          <w:pgMar w:header="715" w:footer="688" w:top="1240" w:bottom="880" w:left="1140" w:right="0"/>
        </w:sectPr>
      </w:pPr>
    </w:p>
    <w:p>
      <w:pPr>
        <w:pStyle w:val="BodyText"/>
        <w:spacing w:line="276" w:lineRule="auto" w:before="162"/>
        <w:ind w:left="562" w:right="1697"/>
        <w:jc w:val="both"/>
      </w:pPr>
      <w:r>
        <w:rPr/>
        <w:t>Los lineamientos ambientales para la política fiscal que se desarrollaron se focalizan en la reducción de la contaminación causante de los mayores costos y daños a la economía, así como mitigar los efectos del cambio climático, en la perspectiva de que el gobierno de Guatemala cumpla efectivamente con sus compromisos con la sociedad y con la agenda 2030. Los lineamientos ambientales</w:t>
      </w:r>
      <w:r>
        <w:rPr>
          <w:spacing w:val="-13"/>
        </w:rPr>
        <w:t> </w:t>
      </w:r>
      <w:r>
        <w:rPr/>
        <w:t>para</w:t>
      </w:r>
      <w:r>
        <w:rPr>
          <w:spacing w:val="-14"/>
        </w:rPr>
        <w:t> </w:t>
      </w:r>
      <w:r>
        <w:rPr/>
        <w:t>la</w:t>
      </w:r>
      <w:r>
        <w:rPr>
          <w:spacing w:val="-14"/>
        </w:rPr>
        <w:t> </w:t>
      </w:r>
      <w:r>
        <w:rPr/>
        <w:t>política</w:t>
      </w:r>
      <w:r>
        <w:rPr>
          <w:spacing w:val="-15"/>
        </w:rPr>
        <w:t> </w:t>
      </w:r>
      <w:r>
        <w:rPr/>
        <w:t>fiscal</w:t>
      </w:r>
      <w:r>
        <w:rPr>
          <w:spacing w:val="-16"/>
        </w:rPr>
        <w:t> </w:t>
      </w:r>
      <w:r>
        <w:rPr/>
        <w:t>favorecen</w:t>
      </w:r>
      <w:r>
        <w:rPr>
          <w:spacing w:val="-13"/>
        </w:rPr>
        <w:t> </w:t>
      </w:r>
      <w:r>
        <w:rPr/>
        <w:t>las</w:t>
      </w:r>
      <w:r>
        <w:rPr>
          <w:spacing w:val="-13"/>
        </w:rPr>
        <w:t> </w:t>
      </w:r>
      <w:r>
        <w:rPr/>
        <w:t>condiciones</w:t>
      </w:r>
      <w:r>
        <w:rPr>
          <w:spacing w:val="-13"/>
        </w:rPr>
        <w:t> </w:t>
      </w:r>
      <w:r>
        <w:rPr/>
        <w:t>para</w:t>
      </w:r>
      <w:r>
        <w:rPr>
          <w:spacing w:val="-11"/>
        </w:rPr>
        <w:t> </w:t>
      </w:r>
      <w:r>
        <w:rPr/>
        <w:t>generar</w:t>
      </w:r>
      <w:r>
        <w:rPr>
          <w:spacing w:val="-11"/>
        </w:rPr>
        <w:t> </w:t>
      </w:r>
      <w:r>
        <w:rPr/>
        <w:t>cambios</w:t>
      </w:r>
      <w:r>
        <w:rPr>
          <w:spacing w:val="-14"/>
        </w:rPr>
        <w:t> </w:t>
      </w:r>
      <w:r>
        <w:rPr/>
        <w:t>de</w:t>
      </w:r>
      <w:r>
        <w:rPr>
          <w:spacing w:val="-12"/>
        </w:rPr>
        <w:t> </w:t>
      </w:r>
      <w:r>
        <w:rPr/>
        <w:t>comportamiento de los agentes económicos y estimula simultáneamente la incorporación de tecnologías novedosas relacionadas con el reciclaje y la economía circular. En este sentido, es importante remarcar que dichos lineamientos, están en el marco del ámbito de competencia del Ministerio de Finanzas Públicas,</w:t>
      </w:r>
      <w:r>
        <w:rPr>
          <w:spacing w:val="-12"/>
        </w:rPr>
        <w:t> </w:t>
      </w:r>
      <w:r>
        <w:rPr/>
        <w:t>ello</w:t>
      </w:r>
      <w:r>
        <w:rPr>
          <w:spacing w:val="-10"/>
        </w:rPr>
        <w:t> </w:t>
      </w:r>
      <w:r>
        <w:rPr/>
        <w:t>no</w:t>
      </w:r>
      <w:r>
        <w:rPr>
          <w:spacing w:val="-11"/>
        </w:rPr>
        <w:t> </w:t>
      </w:r>
      <w:r>
        <w:rPr/>
        <w:t>descarta</w:t>
      </w:r>
      <w:r>
        <w:rPr>
          <w:spacing w:val="-9"/>
        </w:rPr>
        <w:t> </w:t>
      </w:r>
      <w:r>
        <w:rPr/>
        <w:t>que,</w:t>
      </w:r>
      <w:r>
        <w:rPr>
          <w:spacing w:val="-9"/>
        </w:rPr>
        <w:t> </w:t>
      </w:r>
      <w:r>
        <w:rPr/>
        <w:t>puedan</w:t>
      </w:r>
      <w:r>
        <w:rPr>
          <w:spacing w:val="-9"/>
        </w:rPr>
        <w:t> </w:t>
      </w:r>
      <w:r>
        <w:rPr/>
        <w:t>complementar</w:t>
      </w:r>
      <w:r>
        <w:rPr>
          <w:spacing w:val="-8"/>
        </w:rPr>
        <w:t> </w:t>
      </w:r>
      <w:r>
        <w:rPr/>
        <w:t>o</w:t>
      </w:r>
      <w:r>
        <w:rPr>
          <w:spacing w:val="-12"/>
        </w:rPr>
        <w:t> </w:t>
      </w:r>
      <w:r>
        <w:rPr/>
        <w:t>articularse</w:t>
      </w:r>
      <w:r>
        <w:rPr>
          <w:spacing w:val="-10"/>
        </w:rPr>
        <w:t> </w:t>
      </w:r>
      <w:r>
        <w:rPr/>
        <w:t>con</w:t>
      </w:r>
      <w:r>
        <w:rPr>
          <w:spacing w:val="-9"/>
        </w:rPr>
        <w:t> </w:t>
      </w:r>
      <w:r>
        <w:rPr/>
        <w:t>otras</w:t>
      </w:r>
      <w:r>
        <w:rPr>
          <w:spacing w:val="-9"/>
        </w:rPr>
        <w:t> </w:t>
      </w:r>
      <w:r>
        <w:rPr/>
        <w:t>dependencias</w:t>
      </w:r>
      <w:r>
        <w:rPr>
          <w:spacing w:val="-9"/>
        </w:rPr>
        <w:t> </w:t>
      </w:r>
      <w:r>
        <w:rPr/>
        <w:t>del</w:t>
      </w:r>
      <w:r>
        <w:rPr>
          <w:spacing w:val="-7"/>
        </w:rPr>
        <w:t> </w:t>
      </w:r>
      <w:r>
        <w:rPr/>
        <w:t>Estado.</w:t>
      </w:r>
    </w:p>
    <w:p>
      <w:pPr>
        <w:pStyle w:val="BodyText"/>
        <w:spacing w:before="156"/>
        <w:ind w:left="562"/>
        <w:jc w:val="both"/>
      </w:pPr>
      <w:r>
        <w:rPr/>
        <w:t>Los objetivos específicos de los lineamientos ambientales son:</w:t>
      </w:r>
    </w:p>
    <w:p>
      <w:pPr>
        <w:pStyle w:val="ListParagraph"/>
        <w:numPr>
          <w:ilvl w:val="0"/>
          <w:numId w:val="60"/>
        </w:numPr>
        <w:tabs>
          <w:tab w:pos="1282" w:val="left" w:leader="none"/>
        </w:tabs>
        <w:spacing w:line="276" w:lineRule="auto" w:before="201" w:after="0"/>
        <w:ind w:left="1282" w:right="1695" w:hanging="360"/>
        <w:jc w:val="both"/>
        <w:rPr>
          <w:sz w:val="22"/>
        </w:rPr>
      </w:pPr>
      <w:r>
        <w:rPr>
          <w:sz w:val="22"/>
        </w:rPr>
        <w:t>Reforzar</w:t>
      </w:r>
      <w:r>
        <w:rPr>
          <w:spacing w:val="-6"/>
          <w:sz w:val="22"/>
        </w:rPr>
        <w:t> </w:t>
      </w:r>
      <w:r>
        <w:rPr>
          <w:sz w:val="22"/>
        </w:rPr>
        <w:t>las</w:t>
      </w:r>
      <w:r>
        <w:rPr>
          <w:spacing w:val="-4"/>
          <w:sz w:val="22"/>
        </w:rPr>
        <w:t> </w:t>
      </w:r>
      <w:r>
        <w:rPr>
          <w:sz w:val="22"/>
        </w:rPr>
        <w:t>acciones</w:t>
      </w:r>
      <w:r>
        <w:rPr>
          <w:spacing w:val="-3"/>
          <w:sz w:val="22"/>
        </w:rPr>
        <w:t> </w:t>
      </w:r>
      <w:r>
        <w:rPr>
          <w:sz w:val="22"/>
        </w:rPr>
        <w:t>que</w:t>
      </w:r>
      <w:r>
        <w:rPr>
          <w:spacing w:val="-4"/>
          <w:sz w:val="22"/>
        </w:rPr>
        <w:t> </w:t>
      </w:r>
      <w:r>
        <w:rPr>
          <w:sz w:val="22"/>
        </w:rPr>
        <w:t>estén</w:t>
      </w:r>
      <w:r>
        <w:rPr>
          <w:spacing w:val="-4"/>
          <w:sz w:val="22"/>
        </w:rPr>
        <w:t> </w:t>
      </w:r>
      <w:r>
        <w:rPr>
          <w:sz w:val="22"/>
        </w:rPr>
        <w:t>orientadas</w:t>
      </w:r>
      <w:r>
        <w:rPr>
          <w:spacing w:val="-3"/>
          <w:sz w:val="22"/>
        </w:rPr>
        <w:t> </w:t>
      </w:r>
      <w:r>
        <w:rPr>
          <w:sz w:val="22"/>
        </w:rPr>
        <w:t>a</w:t>
      </w:r>
      <w:r>
        <w:rPr>
          <w:spacing w:val="-4"/>
          <w:sz w:val="22"/>
        </w:rPr>
        <w:t> </w:t>
      </w:r>
      <w:r>
        <w:rPr>
          <w:sz w:val="22"/>
        </w:rPr>
        <w:t>mejorar</w:t>
      </w:r>
      <w:r>
        <w:rPr>
          <w:spacing w:val="-4"/>
          <w:sz w:val="22"/>
        </w:rPr>
        <w:t> </w:t>
      </w:r>
      <w:r>
        <w:rPr>
          <w:sz w:val="22"/>
        </w:rPr>
        <w:t>la</w:t>
      </w:r>
      <w:r>
        <w:rPr>
          <w:spacing w:val="-6"/>
          <w:sz w:val="22"/>
        </w:rPr>
        <w:t> </w:t>
      </w:r>
      <w:r>
        <w:rPr>
          <w:sz w:val="22"/>
        </w:rPr>
        <w:t>calidad</w:t>
      </w:r>
      <w:r>
        <w:rPr>
          <w:spacing w:val="-4"/>
          <w:sz w:val="22"/>
        </w:rPr>
        <w:t> </w:t>
      </w:r>
      <w:r>
        <w:rPr>
          <w:sz w:val="22"/>
        </w:rPr>
        <w:t>del</w:t>
      </w:r>
      <w:r>
        <w:rPr>
          <w:spacing w:val="-4"/>
          <w:sz w:val="22"/>
        </w:rPr>
        <w:t> </w:t>
      </w:r>
      <w:r>
        <w:rPr>
          <w:sz w:val="22"/>
        </w:rPr>
        <w:t>gasto</w:t>
      </w:r>
      <w:r>
        <w:rPr>
          <w:spacing w:val="-4"/>
          <w:sz w:val="22"/>
        </w:rPr>
        <w:t> </w:t>
      </w:r>
      <w:r>
        <w:rPr>
          <w:sz w:val="22"/>
        </w:rPr>
        <w:t>público</w:t>
      </w:r>
      <w:r>
        <w:rPr>
          <w:spacing w:val="-4"/>
          <w:sz w:val="22"/>
        </w:rPr>
        <w:t> </w:t>
      </w:r>
      <w:r>
        <w:rPr>
          <w:sz w:val="22"/>
        </w:rPr>
        <w:t>y</w:t>
      </w:r>
      <w:r>
        <w:rPr>
          <w:spacing w:val="-7"/>
          <w:sz w:val="22"/>
        </w:rPr>
        <w:t> </w:t>
      </w:r>
      <w:r>
        <w:rPr>
          <w:sz w:val="22"/>
        </w:rPr>
        <w:t>orientarlo a una mejor efectividad de los gastos e inversión pública para protección ambiental y al cambio climático, mediante la incorporación de criterios ambientales en compras y adquisiciones de bienes y servicios, tecnologías limpias, prácticas de producción y consumo sostenible en el</w:t>
      </w:r>
      <w:r>
        <w:rPr>
          <w:spacing w:val="-2"/>
          <w:sz w:val="22"/>
        </w:rPr>
        <w:t> </w:t>
      </w:r>
      <w:r>
        <w:rPr>
          <w:sz w:val="22"/>
        </w:rPr>
        <w:t>Estado.</w:t>
      </w:r>
    </w:p>
    <w:p>
      <w:pPr>
        <w:pStyle w:val="BodyText"/>
        <w:spacing w:before="6"/>
        <w:rPr>
          <w:sz w:val="25"/>
        </w:rPr>
      </w:pPr>
    </w:p>
    <w:p>
      <w:pPr>
        <w:pStyle w:val="ListParagraph"/>
        <w:numPr>
          <w:ilvl w:val="0"/>
          <w:numId w:val="60"/>
        </w:numPr>
        <w:tabs>
          <w:tab w:pos="1282" w:val="left" w:leader="none"/>
        </w:tabs>
        <w:spacing w:line="276" w:lineRule="auto" w:before="0" w:after="0"/>
        <w:ind w:left="1282" w:right="1699" w:hanging="360"/>
        <w:jc w:val="both"/>
        <w:rPr>
          <w:sz w:val="22"/>
        </w:rPr>
      </w:pPr>
      <w:r>
        <w:rPr>
          <w:sz w:val="22"/>
        </w:rPr>
        <w:t>Reforzar la asistencia técnica a las municipalidades para el desarrollo herramientas de capacitación,</w:t>
      </w:r>
      <w:r>
        <w:rPr>
          <w:spacing w:val="-14"/>
          <w:sz w:val="22"/>
        </w:rPr>
        <w:t> </w:t>
      </w:r>
      <w:r>
        <w:rPr>
          <w:sz w:val="22"/>
        </w:rPr>
        <w:t>de</w:t>
      </w:r>
      <w:r>
        <w:rPr>
          <w:spacing w:val="-14"/>
          <w:sz w:val="22"/>
        </w:rPr>
        <w:t> </w:t>
      </w:r>
      <w:r>
        <w:rPr>
          <w:sz w:val="22"/>
        </w:rPr>
        <w:t>transparencia</w:t>
      </w:r>
      <w:r>
        <w:rPr>
          <w:spacing w:val="-13"/>
          <w:sz w:val="22"/>
        </w:rPr>
        <w:t> </w:t>
      </w:r>
      <w:r>
        <w:rPr>
          <w:sz w:val="22"/>
        </w:rPr>
        <w:t>fiscal</w:t>
      </w:r>
      <w:r>
        <w:rPr>
          <w:spacing w:val="-13"/>
          <w:sz w:val="22"/>
        </w:rPr>
        <w:t> </w:t>
      </w:r>
      <w:r>
        <w:rPr>
          <w:sz w:val="22"/>
        </w:rPr>
        <w:t>y</w:t>
      </w:r>
      <w:r>
        <w:rPr>
          <w:spacing w:val="-14"/>
          <w:sz w:val="22"/>
        </w:rPr>
        <w:t> </w:t>
      </w:r>
      <w:r>
        <w:rPr>
          <w:sz w:val="22"/>
        </w:rPr>
        <w:t>de</w:t>
      </w:r>
      <w:r>
        <w:rPr>
          <w:spacing w:val="-11"/>
          <w:sz w:val="22"/>
        </w:rPr>
        <w:t> </w:t>
      </w:r>
      <w:r>
        <w:rPr>
          <w:sz w:val="22"/>
        </w:rPr>
        <w:t>gestión</w:t>
      </w:r>
      <w:r>
        <w:rPr>
          <w:spacing w:val="-14"/>
          <w:sz w:val="22"/>
        </w:rPr>
        <w:t> </w:t>
      </w:r>
      <w:r>
        <w:rPr>
          <w:sz w:val="22"/>
        </w:rPr>
        <w:t>de</w:t>
      </w:r>
      <w:r>
        <w:rPr>
          <w:spacing w:val="-14"/>
          <w:sz w:val="22"/>
        </w:rPr>
        <w:t> </w:t>
      </w:r>
      <w:r>
        <w:rPr>
          <w:sz w:val="22"/>
        </w:rPr>
        <w:t>riesgos</w:t>
      </w:r>
      <w:r>
        <w:rPr>
          <w:spacing w:val="-10"/>
          <w:sz w:val="22"/>
        </w:rPr>
        <w:t> </w:t>
      </w:r>
      <w:r>
        <w:rPr>
          <w:sz w:val="22"/>
        </w:rPr>
        <w:t>con</w:t>
      </w:r>
      <w:r>
        <w:rPr>
          <w:spacing w:val="-14"/>
          <w:sz w:val="22"/>
        </w:rPr>
        <w:t> </w:t>
      </w:r>
      <w:r>
        <w:rPr>
          <w:sz w:val="22"/>
        </w:rPr>
        <w:t>el</w:t>
      </w:r>
      <w:r>
        <w:rPr>
          <w:spacing w:val="-13"/>
          <w:sz w:val="22"/>
        </w:rPr>
        <w:t> </w:t>
      </w:r>
      <w:r>
        <w:rPr>
          <w:sz w:val="22"/>
        </w:rPr>
        <w:t>objeto</w:t>
      </w:r>
      <w:r>
        <w:rPr>
          <w:spacing w:val="-11"/>
          <w:sz w:val="22"/>
        </w:rPr>
        <w:t> </w:t>
      </w:r>
      <w:r>
        <w:rPr>
          <w:sz w:val="22"/>
        </w:rPr>
        <w:t>del</w:t>
      </w:r>
      <w:r>
        <w:rPr>
          <w:spacing w:val="-13"/>
          <w:sz w:val="22"/>
        </w:rPr>
        <w:t> </w:t>
      </w:r>
      <w:r>
        <w:rPr>
          <w:sz w:val="22"/>
        </w:rPr>
        <w:t>manejo</w:t>
      </w:r>
      <w:r>
        <w:rPr>
          <w:spacing w:val="-12"/>
          <w:sz w:val="22"/>
        </w:rPr>
        <w:t> </w:t>
      </w:r>
      <w:r>
        <w:rPr>
          <w:sz w:val="22"/>
        </w:rPr>
        <w:t>eficiente del Presupuesto por Resultados y de la calidad del gasto en temas ambientales y de cambio climático.</w:t>
      </w:r>
    </w:p>
    <w:p>
      <w:pPr>
        <w:pStyle w:val="BodyText"/>
        <w:spacing w:before="3"/>
        <w:rPr>
          <w:sz w:val="25"/>
        </w:rPr>
      </w:pPr>
    </w:p>
    <w:p>
      <w:pPr>
        <w:pStyle w:val="ListParagraph"/>
        <w:numPr>
          <w:ilvl w:val="0"/>
          <w:numId w:val="60"/>
        </w:numPr>
        <w:tabs>
          <w:tab w:pos="1282" w:val="left" w:leader="none"/>
        </w:tabs>
        <w:spacing w:line="276" w:lineRule="auto" w:before="0" w:after="0"/>
        <w:ind w:left="1282" w:right="1700" w:hanging="360"/>
        <w:jc w:val="both"/>
        <w:rPr>
          <w:sz w:val="22"/>
        </w:rPr>
      </w:pPr>
      <w:r>
        <w:rPr>
          <w:sz w:val="22"/>
        </w:rPr>
        <w:t>Promover</w:t>
      </w:r>
      <w:r>
        <w:rPr>
          <w:spacing w:val="-6"/>
          <w:sz w:val="22"/>
        </w:rPr>
        <w:t> </w:t>
      </w:r>
      <w:r>
        <w:rPr>
          <w:sz w:val="22"/>
        </w:rPr>
        <w:t>la</w:t>
      </w:r>
      <w:r>
        <w:rPr>
          <w:spacing w:val="-6"/>
          <w:sz w:val="22"/>
        </w:rPr>
        <w:t> </w:t>
      </w:r>
      <w:r>
        <w:rPr>
          <w:sz w:val="22"/>
        </w:rPr>
        <w:t>creación</w:t>
      </w:r>
      <w:r>
        <w:rPr>
          <w:spacing w:val="-7"/>
          <w:sz w:val="22"/>
        </w:rPr>
        <w:t> </w:t>
      </w:r>
      <w:r>
        <w:rPr>
          <w:sz w:val="22"/>
        </w:rPr>
        <w:t>de</w:t>
      </w:r>
      <w:r>
        <w:rPr>
          <w:spacing w:val="-6"/>
          <w:sz w:val="22"/>
        </w:rPr>
        <w:t> </w:t>
      </w:r>
      <w:r>
        <w:rPr>
          <w:sz w:val="22"/>
        </w:rPr>
        <w:t>instrumentos</w:t>
      </w:r>
      <w:r>
        <w:rPr>
          <w:spacing w:val="-9"/>
          <w:sz w:val="22"/>
        </w:rPr>
        <w:t> </w:t>
      </w:r>
      <w:r>
        <w:rPr>
          <w:sz w:val="22"/>
        </w:rPr>
        <w:t>económicos</w:t>
      </w:r>
      <w:r>
        <w:rPr>
          <w:spacing w:val="-5"/>
          <w:sz w:val="22"/>
        </w:rPr>
        <w:t> </w:t>
      </w:r>
      <w:r>
        <w:rPr>
          <w:sz w:val="22"/>
        </w:rPr>
        <w:t>y</w:t>
      </w:r>
      <w:r>
        <w:rPr>
          <w:spacing w:val="-10"/>
          <w:sz w:val="22"/>
        </w:rPr>
        <w:t> </w:t>
      </w:r>
      <w:r>
        <w:rPr>
          <w:sz w:val="22"/>
        </w:rPr>
        <w:t>regulatorios</w:t>
      </w:r>
      <w:r>
        <w:rPr>
          <w:spacing w:val="-8"/>
          <w:sz w:val="22"/>
        </w:rPr>
        <w:t> </w:t>
      </w:r>
      <w:r>
        <w:rPr>
          <w:sz w:val="22"/>
        </w:rPr>
        <w:t>de</w:t>
      </w:r>
      <w:r>
        <w:rPr>
          <w:spacing w:val="-7"/>
          <w:sz w:val="22"/>
        </w:rPr>
        <w:t> </w:t>
      </w:r>
      <w:r>
        <w:rPr>
          <w:sz w:val="22"/>
        </w:rPr>
        <w:t>acuerdo</w:t>
      </w:r>
      <w:r>
        <w:rPr>
          <w:spacing w:val="-6"/>
          <w:sz w:val="22"/>
        </w:rPr>
        <w:t> </w:t>
      </w:r>
      <w:r>
        <w:rPr>
          <w:sz w:val="22"/>
        </w:rPr>
        <w:t>a</w:t>
      </w:r>
      <w:r>
        <w:rPr>
          <w:spacing w:val="-8"/>
          <w:sz w:val="22"/>
        </w:rPr>
        <w:t> </w:t>
      </w:r>
      <w:r>
        <w:rPr>
          <w:sz w:val="22"/>
        </w:rPr>
        <w:t>la</w:t>
      </w:r>
      <w:r>
        <w:rPr>
          <w:spacing w:val="-9"/>
          <w:sz w:val="22"/>
        </w:rPr>
        <w:t> </w:t>
      </w:r>
      <w:r>
        <w:rPr>
          <w:sz w:val="22"/>
        </w:rPr>
        <w:t>facultad</w:t>
      </w:r>
      <w:r>
        <w:rPr>
          <w:spacing w:val="-8"/>
          <w:sz w:val="22"/>
        </w:rPr>
        <w:t> </w:t>
      </w:r>
      <w:r>
        <w:rPr>
          <w:sz w:val="22"/>
        </w:rPr>
        <w:t>del Ministerio de Finanzas Públicas, incluyéndose dentro de ésta, la incorporación de tributos y programas verdes al sistema de financiamiento público actual y modificar los que se consideren oportunos, a efecto pueda cumplirse con los objetivos de estos</w:t>
      </w:r>
      <w:r>
        <w:rPr>
          <w:spacing w:val="-21"/>
          <w:sz w:val="22"/>
        </w:rPr>
        <w:t> </w:t>
      </w:r>
      <w:r>
        <w:rPr>
          <w:sz w:val="22"/>
        </w:rPr>
        <w:t>lineamientos.</w:t>
      </w:r>
    </w:p>
    <w:p>
      <w:pPr>
        <w:pStyle w:val="BodyText"/>
        <w:spacing w:before="3"/>
        <w:rPr>
          <w:sz w:val="25"/>
        </w:rPr>
      </w:pPr>
    </w:p>
    <w:p>
      <w:pPr>
        <w:pStyle w:val="ListParagraph"/>
        <w:numPr>
          <w:ilvl w:val="0"/>
          <w:numId w:val="60"/>
        </w:numPr>
        <w:tabs>
          <w:tab w:pos="1282" w:val="left" w:leader="none"/>
        </w:tabs>
        <w:spacing w:line="276" w:lineRule="auto" w:before="1" w:after="0"/>
        <w:ind w:left="1282" w:right="1702" w:hanging="360"/>
        <w:jc w:val="both"/>
        <w:rPr>
          <w:sz w:val="22"/>
        </w:rPr>
      </w:pPr>
      <w:r>
        <w:rPr>
          <w:sz w:val="22"/>
        </w:rPr>
        <w:t>Contribuir a la construcción de un sistema de gestión del riesgo socioambiental apegado al estado actual de la vulnerabilidad sistémica del país, proveyendo a las instituciones encargados de mejores soportes técnicos y presupuestarios en coordinación con los entes rectores sobre esta materia y velando por el interés de las finanzas</w:t>
      </w:r>
      <w:r>
        <w:rPr>
          <w:spacing w:val="-13"/>
          <w:sz w:val="22"/>
        </w:rPr>
        <w:t> </w:t>
      </w:r>
      <w:r>
        <w:rPr>
          <w:sz w:val="22"/>
        </w:rPr>
        <w:t>públicas.</w:t>
      </w:r>
    </w:p>
    <w:p>
      <w:pPr>
        <w:pStyle w:val="BodyText"/>
        <w:spacing w:before="3"/>
        <w:rPr>
          <w:sz w:val="25"/>
        </w:rPr>
      </w:pPr>
    </w:p>
    <w:p>
      <w:pPr>
        <w:pStyle w:val="ListParagraph"/>
        <w:numPr>
          <w:ilvl w:val="0"/>
          <w:numId w:val="60"/>
        </w:numPr>
        <w:tabs>
          <w:tab w:pos="1282" w:val="left" w:leader="none"/>
        </w:tabs>
        <w:spacing w:line="276" w:lineRule="auto" w:before="0" w:after="0"/>
        <w:ind w:left="1282" w:right="1702" w:hanging="360"/>
        <w:jc w:val="both"/>
        <w:rPr>
          <w:sz w:val="22"/>
        </w:rPr>
      </w:pPr>
      <w:r>
        <w:rPr>
          <w:sz w:val="22"/>
        </w:rPr>
        <w:t>Cooperar al establecimiento de mecanismos y procedimiento de acceso a fuentes de financiamiento verde y climático, tanto nacional como</w:t>
      </w:r>
      <w:r>
        <w:rPr>
          <w:spacing w:val="-6"/>
          <w:sz w:val="22"/>
        </w:rPr>
        <w:t> </w:t>
      </w:r>
      <w:r>
        <w:rPr>
          <w:sz w:val="22"/>
        </w:rPr>
        <w:t>internacional</w:t>
      </w:r>
    </w:p>
    <w:p>
      <w:pPr>
        <w:pStyle w:val="BodyText"/>
        <w:rPr>
          <w:sz w:val="24"/>
        </w:rPr>
      </w:pPr>
    </w:p>
    <w:p>
      <w:pPr>
        <w:pStyle w:val="BodyText"/>
        <w:spacing w:line="276" w:lineRule="auto" w:before="174"/>
        <w:ind w:left="562" w:right="1697"/>
        <w:jc w:val="both"/>
      </w:pPr>
      <w:r>
        <w:rPr/>
        <w:t>Para el cumplimiento de los objetivos planeados, cada eje tiene una serie de acciones que se han incorporado a los Planes Operativos Anuales (POA) de las distintas direcciones del Ministerio, las cuales contienen dirección responsable, direcciones e instituciones del Estado en apoyo al cumplimiento de la acción y temporalidad, cada actividad se realiza para un corto plazo (2023), mediano plazo (2024-2026) o un largo plazo (2027-2032).</w:t>
      </w:r>
    </w:p>
    <w:p>
      <w:pPr>
        <w:spacing w:after="0" w:line="276" w:lineRule="auto"/>
        <w:jc w:val="both"/>
        <w:sectPr>
          <w:pgSz w:w="12240" w:h="15840"/>
          <w:pgMar w:header="715" w:footer="688" w:top="1240" w:bottom="880" w:left="1140" w:right="0"/>
        </w:sectPr>
      </w:pPr>
    </w:p>
    <w:p>
      <w:pPr>
        <w:pStyle w:val="Heading3"/>
        <w:numPr>
          <w:ilvl w:val="1"/>
          <w:numId w:val="58"/>
        </w:numPr>
        <w:tabs>
          <w:tab w:pos="1354" w:val="left" w:leader="none"/>
        </w:tabs>
        <w:spacing w:line="240" w:lineRule="auto" w:before="164" w:after="0"/>
        <w:ind w:left="1354" w:right="0" w:hanging="433"/>
        <w:jc w:val="left"/>
      </w:pPr>
      <w:bookmarkStart w:name="_bookmark248" w:id="332"/>
      <w:bookmarkEnd w:id="332"/>
      <w:r>
        <w:rPr>
          <w:b w:val="0"/>
        </w:rPr>
      </w:r>
      <w:bookmarkStart w:name="_bookmark248" w:id="333"/>
      <w:bookmarkEnd w:id="333"/>
      <w:r>
        <w:rPr/>
        <w:t>L</w:t>
      </w:r>
      <w:r>
        <w:rPr/>
        <w:t>a Alianza para la Acción sobre Economía Verde (PAGE) por sus siglas en</w:t>
      </w:r>
      <w:r>
        <w:rPr>
          <w:spacing w:val="-15"/>
        </w:rPr>
        <w:t> </w:t>
      </w:r>
      <w:r>
        <w:rPr/>
        <w:t>inglés</w:t>
      </w:r>
    </w:p>
    <w:p>
      <w:pPr>
        <w:pStyle w:val="BodyText"/>
        <w:spacing w:line="273" w:lineRule="auto" w:before="197"/>
        <w:ind w:left="562" w:right="1698"/>
        <w:jc w:val="both"/>
      </w:pPr>
      <w:r>
        <w:rPr/>
        <w:t>La Alianza para la Acción sobre Economía Verde (PAGE) por sus siglas en inglés, es un programa que se lanzó en el 2013 y se encuentra conformado por cinco agencias de las Naciones Unidas, las cuales son:</w:t>
      </w:r>
    </w:p>
    <w:p>
      <w:pPr>
        <w:pStyle w:val="BodyText"/>
        <w:spacing w:before="1"/>
        <w:rPr>
          <w:sz w:val="20"/>
        </w:rPr>
      </w:pPr>
    </w:p>
    <w:p>
      <w:pPr>
        <w:pStyle w:val="ListParagraph"/>
        <w:numPr>
          <w:ilvl w:val="0"/>
          <w:numId w:val="61"/>
        </w:numPr>
        <w:tabs>
          <w:tab w:pos="1281" w:val="left" w:leader="none"/>
          <w:tab w:pos="1282" w:val="left" w:leader="none"/>
        </w:tabs>
        <w:spacing w:line="240" w:lineRule="auto" w:before="0" w:after="0"/>
        <w:ind w:left="1282" w:right="0" w:hanging="361"/>
        <w:jc w:val="left"/>
        <w:rPr>
          <w:sz w:val="22"/>
        </w:rPr>
      </w:pPr>
      <w:r>
        <w:rPr>
          <w:sz w:val="22"/>
        </w:rPr>
        <w:t>Instituto de las Naciones Unidas para Formación Profesional e Investigaciones</w:t>
      </w:r>
      <w:r>
        <w:rPr>
          <w:spacing w:val="-9"/>
          <w:sz w:val="22"/>
        </w:rPr>
        <w:t> </w:t>
      </w:r>
      <w:r>
        <w:rPr>
          <w:sz w:val="22"/>
        </w:rPr>
        <w:t>(UNITAR)</w:t>
      </w:r>
    </w:p>
    <w:p>
      <w:pPr>
        <w:pStyle w:val="ListParagraph"/>
        <w:numPr>
          <w:ilvl w:val="0"/>
          <w:numId w:val="61"/>
        </w:numPr>
        <w:tabs>
          <w:tab w:pos="1282" w:val="left" w:leader="none"/>
        </w:tabs>
        <w:spacing w:line="240" w:lineRule="auto" w:before="38" w:after="0"/>
        <w:ind w:left="1282" w:right="0" w:hanging="361"/>
        <w:jc w:val="left"/>
        <w:rPr>
          <w:sz w:val="22"/>
        </w:rPr>
      </w:pPr>
      <w:r>
        <w:rPr>
          <w:sz w:val="22"/>
        </w:rPr>
        <w:t>Programa de las Naciones Unidas para el Medio Ambiente</w:t>
      </w:r>
      <w:r>
        <w:rPr>
          <w:spacing w:val="-5"/>
          <w:sz w:val="22"/>
        </w:rPr>
        <w:t> </w:t>
      </w:r>
      <w:r>
        <w:rPr>
          <w:sz w:val="22"/>
        </w:rPr>
        <w:t>(PNUMA)</w:t>
      </w:r>
    </w:p>
    <w:p>
      <w:pPr>
        <w:pStyle w:val="ListParagraph"/>
        <w:numPr>
          <w:ilvl w:val="0"/>
          <w:numId w:val="61"/>
        </w:numPr>
        <w:tabs>
          <w:tab w:pos="1281" w:val="left" w:leader="none"/>
          <w:tab w:pos="1282" w:val="left" w:leader="none"/>
        </w:tabs>
        <w:spacing w:line="240" w:lineRule="auto" w:before="39" w:after="0"/>
        <w:ind w:left="1282" w:right="0" w:hanging="361"/>
        <w:jc w:val="left"/>
        <w:rPr>
          <w:sz w:val="22"/>
        </w:rPr>
      </w:pPr>
      <w:r>
        <w:rPr>
          <w:sz w:val="22"/>
        </w:rPr>
        <w:t>Programa de las Naciones Unidas para el Desarrollo</w:t>
      </w:r>
      <w:r>
        <w:rPr>
          <w:spacing w:val="-2"/>
          <w:sz w:val="22"/>
        </w:rPr>
        <w:t> </w:t>
      </w:r>
      <w:r>
        <w:rPr>
          <w:sz w:val="22"/>
        </w:rPr>
        <w:t>(PNUD)</w:t>
      </w:r>
    </w:p>
    <w:p>
      <w:pPr>
        <w:pStyle w:val="ListParagraph"/>
        <w:numPr>
          <w:ilvl w:val="0"/>
          <w:numId w:val="61"/>
        </w:numPr>
        <w:tabs>
          <w:tab w:pos="1282" w:val="left" w:leader="none"/>
        </w:tabs>
        <w:spacing w:line="240" w:lineRule="auto" w:before="38" w:after="0"/>
        <w:ind w:left="1282" w:right="0" w:hanging="361"/>
        <w:jc w:val="left"/>
        <w:rPr>
          <w:sz w:val="22"/>
        </w:rPr>
      </w:pPr>
      <w:r>
        <w:rPr>
          <w:sz w:val="22"/>
        </w:rPr>
        <w:t>Organización Internacional del Trabajo (OIT),</w:t>
      </w:r>
      <w:r>
        <w:rPr>
          <w:spacing w:val="-5"/>
          <w:sz w:val="22"/>
        </w:rPr>
        <w:t> </w:t>
      </w:r>
      <w:r>
        <w:rPr>
          <w:sz w:val="22"/>
        </w:rPr>
        <w:t>y</w:t>
      </w:r>
    </w:p>
    <w:p>
      <w:pPr>
        <w:pStyle w:val="ListParagraph"/>
        <w:numPr>
          <w:ilvl w:val="0"/>
          <w:numId w:val="61"/>
        </w:numPr>
        <w:tabs>
          <w:tab w:pos="1281" w:val="left" w:leader="none"/>
          <w:tab w:pos="1282" w:val="left" w:leader="none"/>
        </w:tabs>
        <w:spacing w:line="240" w:lineRule="auto" w:before="35" w:after="0"/>
        <w:ind w:left="1282" w:right="0" w:hanging="361"/>
        <w:jc w:val="left"/>
        <w:rPr>
          <w:sz w:val="22"/>
        </w:rPr>
      </w:pPr>
      <w:r>
        <w:rPr>
          <w:sz w:val="22"/>
        </w:rPr>
        <w:t>Organización de las Naciones Unidas para el Desarrollo Industrial</w:t>
      </w:r>
      <w:r>
        <w:rPr>
          <w:spacing w:val="-1"/>
          <w:sz w:val="22"/>
        </w:rPr>
        <w:t> </w:t>
      </w:r>
      <w:r>
        <w:rPr>
          <w:sz w:val="22"/>
        </w:rPr>
        <w:t>(ONUDI)</w:t>
      </w:r>
    </w:p>
    <w:p>
      <w:pPr>
        <w:pStyle w:val="BodyText"/>
        <w:spacing w:before="1"/>
        <w:rPr>
          <w:sz w:val="23"/>
        </w:rPr>
      </w:pPr>
    </w:p>
    <w:p>
      <w:pPr>
        <w:pStyle w:val="BodyText"/>
        <w:spacing w:line="276" w:lineRule="auto"/>
        <w:ind w:left="562" w:right="1695"/>
        <w:jc w:val="both"/>
      </w:pPr>
      <w:r>
        <w:rPr/>
        <w:t>Estas</w:t>
      </w:r>
      <w:r>
        <w:rPr>
          <w:spacing w:val="-6"/>
        </w:rPr>
        <w:t> </w:t>
      </w:r>
      <w:r>
        <w:rPr/>
        <w:t>apoyan</w:t>
      </w:r>
      <w:r>
        <w:rPr>
          <w:spacing w:val="-3"/>
        </w:rPr>
        <w:t> </w:t>
      </w:r>
      <w:r>
        <w:rPr/>
        <w:t>a</w:t>
      </w:r>
      <w:r>
        <w:rPr>
          <w:spacing w:val="-6"/>
        </w:rPr>
        <w:t> </w:t>
      </w:r>
      <w:r>
        <w:rPr/>
        <w:t>los</w:t>
      </w:r>
      <w:r>
        <w:rPr>
          <w:spacing w:val="-3"/>
        </w:rPr>
        <w:t> </w:t>
      </w:r>
      <w:r>
        <w:rPr/>
        <w:t>países</w:t>
      </w:r>
      <w:r>
        <w:rPr>
          <w:spacing w:val="-6"/>
        </w:rPr>
        <w:t> </w:t>
      </w:r>
      <w:r>
        <w:rPr/>
        <w:t>y</w:t>
      </w:r>
      <w:r>
        <w:rPr>
          <w:spacing w:val="-7"/>
        </w:rPr>
        <w:t> </w:t>
      </w:r>
      <w:r>
        <w:rPr/>
        <w:t>regiones</w:t>
      </w:r>
      <w:r>
        <w:rPr>
          <w:spacing w:val="-5"/>
        </w:rPr>
        <w:t> </w:t>
      </w:r>
      <w:r>
        <w:rPr/>
        <w:t>en</w:t>
      </w:r>
      <w:r>
        <w:rPr>
          <w:spacing w:val="-8"/>
        </w:rPr>
        <w:t> </w:t>
      </w:r>
      <w:r>
        <w:rPr/>
        <w:t>la</w:t>
      </w:r>
      <w:r>
        <w:rPr>
          <w:spacing w:val="-7"/>
        </w:rPr>
        <w:t> </w:t>
      </w:r>
      <w:r>
        <w:rPr/>
        <w:t>reformulación</w:t>
      </w:r>
      <w:r>
        <w:rPr>
          <w:spacing w:val="-4"/>
        </w:rPr>
        <w:t> </w:t>
      </w:r>
      <w:r>
        <w:rPr/>
        <w:t>de</w:t>
      </w:r>
      <w:r>
        <w:rPr>
          <w:spacing w:val="-6"/>
        </w:rPr>
        <w:t> </w:t>
      </w:r>
      <w:r>
        <w:rPr/>
        <w:t>políticas</w:t>
      </w:r>
      <w:r>
        <w:rPr>
          <w:spacing w:val="-6"/>
        </w:rPr>
        <w:t> </w:t>
      </w:r>
      <w:r>
        <w:rPr/>
        <w:t>y</w:t>
      </w:r>
      <w:r>
        <w:rPr>
          <w:spacing w:val="-6"/>
        </w:rPr>
        <w:t> </w:t>
      </w:r>
      <w:r>
        <w:rPr/>
        <w:t>prácticas</w:t>
      </w:r>
      <w:r>
        <w:rPr>
          <w:spacing w:val="-6"/>
        </w:rPr>
        <w:t> </w:t>
      </w:r>
      <w:r>
        <w:rPr/>
        <w:t>económicas</w:t>
      </w:r>
      <w:r>
        <w:rPr>
          <w:spacing w:val="-6"/>
        </w:rPr>
        <w:t> </w:t>
      </w:r>
      <w:r>
        <w:rPr/>
        <w:t>en</w:t>
      </w:r>
      <w:r>
        <w:rPr>
          <w:spacing w:val="-6"/>
        </w:rPr>
        <w:t> </w:t>
      </w:r>
      <w:r>
        <w:rPr/>
        <w:t>torno a la sostenibilidad cuyo objetivo principal es permitir que los países reformulen sus políticas económicas sobre el principio de sostenibilidad e implementen condiciones propicias en términos</w:t>
      </w:r>
      <w:r>
        <w:rPr>
          <w:spacing w:val="-34"/>
        </w:rPr>
        <w:t> </w:t>
      </w:r>
      <w:r>
        <w:rPr/>
        <w:t>de política, reformas, incentivos, modelos de negocio y</w:t>
      </w:r>
      <w:r>
        <w:rPr>
          <w:spacing w:val="-11"/>
        </w:rPr>
        <w:t> </w:t>
      </w:r>
      <w:r>
        <w:rPr/>
        <w:t>alianzas.</w:t>
      </w:r>
    </w:p>
    <w:p>
      <w:pPr>
        <w:pStyle w:val="BodyText"/>
        <w:spacing w:before="8"/>
        <w:rPr>
          <w:sz w:val="19"/>
        </w:rPr>
      </w:pPr>
    </w:p>
    <w:p>
      <w:pPr>
        <w:pStyle w:val="BodyText"/>
        <w:spacing w:line="276" w:lineRule="auto"/>
        <w:ind w:left="562" w:right="1695"/>
        <w:jc w:val="both"/>
      </w:pPr>
      <w:r>
        <w:rPr/>
        <w:t>El</w:t>
      </w:r>
      <w:r>
        <w:rPr>
          <w:spacing w:val="-6"/>
        </w:rPr>
        <w:t> </w:t>
      </w:r>
      <w:r>
        <w:rPr/>
        <w:t>Ministerio</w:t>
      </w:r>
      <w:r>
        <w:rPr>
          <w:spacing w:val="-7"/>
        </w:rPr>
        <w:t> </w:t>
      </w:r>
      <w:r>
        <w:rPr/>
        <w:t>de</w:t>
      </w:r>
      <w:r>
        <w:rPr>
          <w:spacing w:val="-8"/>
        </w:rPr>
        <w:t> </w:t>
      </w:r>
      <w:r>
        <w:rPr/>
        <w:t>Finanzas</w:t>
      </w:r>
      <w:r>
        <w:rPr>
          <w:spacing w:val="-6"/>
        </w:rPr>
        <w:t> </w:t>
      </w:r>
      <w:r>
        <w:rPr/>
        <w:t>Públicas,</w:t>
      </w:r>
      <w:r>
        <w:rPr>
          <w:spacing w:val="-8"/>
        </w:rPr>
        <w:t> </w:t>
      </w:r>
      <w:r>
        <w:rPr/>
        <w:t>en</w:t>
      </w:r>
      <w:r>
        <w:rPr>
          <w:spacing w:val="-9"/>
        </w:rPr>
        <w:t> </w:t>
      </w:r>
      <w:r>
        <w:rPr/>
        <w:t>el</w:t>
      </w:r>
      <w:r>
        <w:rPr>
          <w:spacing w:val="-5"/>
        </w:rPr>
        <w:t> </w:t>
      </w:r>
      <w:r>
        <w:rPr/>
        <w:t>marco</w:t>
      </w:r>
      <w:r>
        <w:rPr>
          <w:spacing w:val="-9"/>
        </w:rPr>
        <w:t> </w:t>
      </w:r>
      <w:r>
        <w:rPr/>
        <w:t>de</w:t>
      </w:r>
      <w:r>
        <w:rPr>
          <w:spacing w:val="-8"/>
        </w:rPr>
        <w:t> </w:t>
      </w:r>
      <w:r>
        <w:rPr/>
        <w:t>la</w:t>
      </w:r>
      <w:r>
        <w:rPr>
          <w:spacing w:val="-7"/>
        </w:rPr>
        <w:t> </w:t>
      </w:r>
      <w:r>
        <w:rPr/>
        <w:t>Estrategia</w:t>
      </w:r>
      <w:r>
        <w:rPr>
          <w:spacing w:val="-9"/>
        </w:rPr>
        <w:t> </w:t>
      </w:r>
      <w:r>
        <w:rPr/>
        <w:t>Fiscal</w:t>
      </w:r>
      <w:r>
        <w:rPr>
          <w:spacing w:val="-5"/>
        </w:rPr>
        <w:t> </w:t>
      </w:r>
      <w:r>
        <w:rPr/>
        <w:t>Ambiental,</w:t>
      </w:r>
      <w:r>
        <w:rPr>
          <w:spacing w:val="-10"/>
        </w:rPr>
        <w:t> </w:t>
      </w:r>
      <w:r>
        <w:rPr/>
        <w:t>aplicó</w:t>
      </w:r>
      <w:r>
        <w:rPr>
          <w:spacing w:val="-6"/>
        </w:rPr>
        <w:t> </w:t>
      </w:r>
      <w:r>
        <w:rPr/>
        <w:t>para</w:t>
      </w:r>
      <w:r>
        <w:rPr>
          <w:spacing w:val="-9"/>
        </w:rPr>
        <w:t> </w:t>
      </w:r>
      <w:r>
        <w:rPr/>
        <w:t>formar parte del programa PAGE, siendo aceptado como tal por parte de las Naciones Unidas y contando con el apoyo de los siguientes Ministerios: Medio Ambiente y Recursos Naturales (MARN), Economía (MINECO), Agricultura, Ganadería y Alimentación (MAGA), Trabajo y Previsión Social (MINTRAB), Programa Nacional de Competitividad de Guatemala (PRONACOM), Instituto Nacional de Bosques (INAB), Consejo Nacional de Áreas Protegidas (CONAP), Universidad del Valle de Guatemala (UVG), Asociación Guatemalteca de Alcaldes y Autoridades Indígenas (AGAAI),</w:t>
      </w:r>
      <w:r>
        <w:rPr>
          <w:spacing w:val="-6"/>
        </w:rPr>
        <w:t> </w:t>
      </w:r>
      <w:r>
        <w:rPr/>
        <w:t>Comisión</w:t>
      </w:r>
      <w:r>
        <w:rPr>
          <w:spacing w:val="-5"/>
        </w:rPr>
        <w:t> </w:t>
      </w:r>
      <w:r>
        <w:rPr/>
        <w:t>Nacional</w:t>
      </w:r>
      <w:r>
        <w:rPr>
          <w:spacing w:val="-5"/>
        </w:rPr>
        <w:t> </w:t>
      </w:r>
      <w:r>
        <w:rPr/>
        <w:t>de</w:t>
      </w:r>
      <w:r>
        <w:rPr>
          <w:spacing w:val="-4"/>
        </w:rPr>
        <w:t> </w:t>
      </w:r>
      <w:r>
        <w:rPr/>
        <w:t>Energía</w:t>
      </w:r>
      <w:r>
        <w:rPr>
          <w:spacing w:val="-4"/>
        </w:rPr>
        <w:t> </w:t>
      </w:r>
      <w:r>
        <w:rPr/>
        <w:t>Eléctrica</w:t>
      </w:r>
      <w:r>
        <w:rPr>
          <w:spacing w:val="-2"/>
        </w:rPr>
        <w:t> </w:t>
      </w:r>
      <w:r>
        <w:rPr/>
        <w:t>(CNEE),</w:t>
      </w:r>
      <w:r>
        <w:rPr>
          <w:spacing w:val="-5"/>
        </w:rPr>
        <w:t> </w:t>
      </w:r>
      <w:r>
        <w:rPr/>
        <w:t>Fundación</w:t>
      </w:r>
      <w:r>
        <w:rPr>
          <w:spacing w:val="-5"/>
        </w:rPr>
        <w:t> </w:t>
      </w:r>
      <w:r>
        <w:rPr/>
        <w:t>Defensores</w:t>
      </w:r>
      <w:r>
        <w:rPr>
          <w:spacing w:val="-5"/>
        </w:rPr>
        <w:t> </w:t>
      </w:r>
      <w:r>
        <w:rPr/>
        <w:t>de</w:t>
      </w:r>
      <w:r>
        <w:rPr>
          <w:spacing w:val="-4"/>
        </w:rPr>
        <w:t> </w:t>
      </w:r>
      <w:r>
        <w:rPr/>
        <w:t>la</w:t>
      </w:r>
      <w:r>
        <w:rPr>
          <w:spacing w:val="-5"/>
        </w:rPr>
        <w:t> </w:t>
      </w:r>
      <w:r>
        <w:rPr/>
        <w:t>Naturaleza (FDN), y el Instituto Privado de Investigación sobre Cambio Climático</w:t>
      </w:r>
      <w:r>
        <w:rPr>
          <w:spacing w:val="-8"/>
        </w:rPr>
        <w:t> </w:t>
      </w:r>
      <w:r>
        <w:rPr/>
        <w:t>(ICC).</w:t>
      </w:r>
    </w:p>
    <w:p>
      <w:pPr>
        <w:pStyle w:val="BodyText"/>
        <w:spacing w:before="5"/>
        <w:rPr>
          <w:sz w:val="19"/>
        </w:rPr>
      </w:pPr>
    </w:p>
    <w:p>
      <w:pPr>
        <w:spacing w:line="276" w:lineRule="auto" w:before="0"/>
        <w:ind w:left="562" w:right="1698" w:firstLine="0"/>
        <w:jc w:val="both"/>
        <w:rPr>
          <w:sz w:val="22"/>
        </w:rPr>
      </w:pPr>
      <w:r>
        <w:rPr>
          <w:sz w:val="22"/>
        </w:rPr>
        <w:t>En</w:t>
      </w:r>
      <w:r>
        <w:rPr>
          <w:spacing w:val="-10"/>
          <w:sz w:val="22"/>
        </w:rPr>
        <w:t> </w:t>
      </w:r>
      <w:r>
        <w:rPr>
          <w:sz w:val="22"/>
        </w:rPr>
        <w:t>Guatemala</w:t>
      </w:r>
      <w:r>
        <w:rPr>
          <w:spacing w:val="-9"/>
          <w:sz w:val="22"/>
        </w:rPr>
        <w:t> </w:t>
      </w:r>
      <w:r>
        <w:rPr>
          <w:sz w:val="22"/>
        </w:rPr>
        <w:t>dicho</w:t>
      </w:r>
      <w:r>
        <w:rPr>
          <w:spacing w:val="-8"/>
          <w:sz w:val="22"/>
        </w:rPr>
        <w:t> </w:t>
      </w:r>
      <w:r>
        <w:rPr>
          <w:sz w:val="22"/>
        </w:rPr>
        <w:t>programa</w:t>
      </w:r>
      <w:r>
        <w:rPr>
          <w:spacing w:val="-9"/>
          <w:sz w:val="22"/>
        </w:rPr>
        <w:t> </w:t>
      </w:r>
      <w:r>
        <w:rPr>
          <w:sz w:val="22"/>
        </w:rPr>
        <w:t>se</w:t>
      </w:r>
      <w:r>
        <w:rPr>
          <w:spacing w:val="-8"/>
          <w:sz w:val="22"/>
        </w:rPr>
        <w:t> </w:t>
      </w:r>
      <w:r>
        <w:rPr>
          <w:sz w:val="22"/>
        </w:rPr>
        <w:t>encuentra</w:t>
      </w:r>
      <w:r>
        <w:rPr>
          <w:spacing w:val="-9"/>
          <w:sz w:val="22"/>
        </w:rPr>
        <w:t> </w:t>
      </w:r>
      <w:r>
        <w:rPr>
          <w:sz w:val="22"/>
        </w:rPr>
        <w:t>registrado</w:t>
      </w:r>
      <w:r>
        <w:rPr>
          <w:spacing w:val="-10"/>
          <w:sz w:val="22"/>
        </w:rPr>
        <w:t> </w:t>
      </w:r>
      <w:r>
        <w:rPr>
          <w:sz w:val="22"/>
        </w:rPr>
        <w:t>y</w:t>
      </w:r>
      <w:r>
        <w:rPr>
          <w:spacing w:val="-12"/>
          <w:sz w:val="22"/>
        </w:rPr>
        <w:t> </w:t>
      </w:r>
      <w:r>
        <w:rPr>
          <w:sz w:val="22"/>
        </w:rPr>
        <w:t>aprobado</w:t>
      </w:r>
      <w:r>
        <w:rPr>
          <w:spacing w:val="-8"/>
          <w:sz w:val="22"/>
        </w:rPr>
        <w:t> </w:t>
      </w:r>
      <w:r>
        <w:rPr>
          <w:sz w:val="22"/>
        </w:rPr>
        <w:t>por</w:t>
      </w:r>
      <w:r>
        <w:rPr>
          <w:spacing w:val="-9"/>
          <w:sz w:val="22"/>
        </w:rPr>
        <w:t> </w:t>
      </w:r>
      <w:r>
        <w:rPr>
          <w:sz w:val="22"/>
        </w:rPr>
        <w:t>medio</w:t>
      </w:r>
      <w:r>
        <w:rPr>
          <w:spacing w:val="-9"/>
          <w:sz w:val="22"/>
        </w:rPr>
        <w:t> </w:t>
      </w:r>
      <w:r>
        <w:rPr>
          <w:sz w:val="22"/>
        </w:rPr>
        <w:t>del</w:t>
      </w:r>
      <w:r>
        <w:rPr>
          <w:spacing w:val="-8"/>
          <w:sz w:val="22"/>
        </w:rPr>
        <w:t> </w:t>
      </w:r>
      <w:r>
        <w:rPr>
          <w:sz w:val="22"/>
        </w:rPr>
        <w:t>Acuerdo</w:t>
      </w:r>
      <w:r>
        <w:rPr>
          <w:spacing w:val="-10"/>
          <w:sz w:val="22"/>
        </w:rPr>
        <w:t> </w:t>
      </w:r>
      <w:r>
        <w:rPr>
          <w:sz w:val="22"/>
        </w:rPr>
        <w:t>Ministerial 407-2021 bajo el nombre de </w:t>
      </w:r>
      <w:r>
        <w:rPr>
          <w:i/>
          <w:sz w:val="22"/>
        </w:rPr>
        <w:t>“Asistencia Técnica para la transición hacia una economía verde en </w:t>
      </w:r>
      <w:r>
        <w:rPr>
          <w:i/>
          <w:sz w:val="22"/>
        </w:rPr>
        <w:t>Guatemala a través de políticas fiscales y económicas verdes</w:t>
      </w:r>
      <w:r>
        <w:rPr>
          <w:sz w:val="22"/>
        </w:rPr>
        <w:t>”, el cual tiene como objetivo</w:t>
      </w:r>
      <w:r>
        <w:rPr>
          <w:spacing w:val="-35"/>
          <w:sz w:val="22"/>
        </w:rPr>
        <w:t> </w:t>
      </w:r>
      <w:r>
        <w:rPr>
          <w:sz w:val="22"/>
        </w:rPr>
        <w:t>fomentar la prosperidad y el crecimiento económico de Guatemala, informando y facilitando la orientación de las políticas fiscales y económicas de Guatemala hacia la</w:t>
      </w:r>
      <w:r>
        <w:rPr>
          <w:spacing w:val="-9"/>
          <w:sz w:val="22"/>
        </w:rPr>
        <w:t> </w:t>
      </w:r>
      <w:r>
        <w:rPr>
          <w:sz w:val="22"/>
        </w:rPr>
        <w:t>sostenibilidad.</w:t>
      </w:r>
    </w:p>
    <w:p>
      <w:pPr>
        <w:pStyle w:val="BodyText"/>
        <w:spacing w:before="7"/>
        <w:rPr>
          <w:sz w:val="19"/>
        </w:rPr>
      </w:pPr>
    </w:p>
    <w:p>
      <w:pPr>
        <w:pStyle w:val="BodyText"/>
        <w:spacing w:line="273" w:lineRule="auto"/>
        <w:ind w:left="562" w:right="1702"/>
        <w:jc w:val="both"/>
      </w:pPr>
      <w:r>
        <w:rPr/>
        <w:t>Dentro</w:t>
      </w:r>
      <w:r>
        <w:rPr>
          <w:spacing w:val="-8"/>
        </w:rPr>
        <w:t> </w:t>
      </w:r>
      <w:r>
        <w:rPr/>
        <w:t>de</w:t>
      </w:r>
      <w:r>
        <w:rPr>
          <w:spacing w:val="-7"/>
        </w:rPr>
        <w:t> </w:t>
      </w:r>
      <w:r>
        <w:rPr/>
        <w:t>las</w:t>
      </w:r>
      <w:r>
        <w:rPr>
          <w:spacing w:val="-6"/>
        </w:rPr>
        <w:t> </w:t>
      </w:r>
      <w:r>
        <w:rPr/>
        <w:t>acciones</w:t>
      </w:r>
      <w:r>
        <w:rPr>
          <w:spacing w:val="-6"/>
        </w:rPr>
        <w:t> </w:t>
      </w:r>
      <w:r>
        <w:rPr/>
        <w:t>a</w:t>
      </w:r>
      <w:r>
        <w:rPr>
          <w:spacing w:val="-7"/>
        </w:rPr>
        <w:t> </w:t>
      </w:r>
      <w:r>
        <w:rPr/>
        <w:t>implementar</w:t>
      </w:r>
      <w:r>
        <w:rPr>
          <w:spacing w:val="-6"/>
        </w:rPr>
        <w:t> </w:t>
      </w:r>
      <w:r>
        <w:rPr/>
        <w:t>bajo</w:t>
      </w:r>
      <w:r>
        <w:rPr>
          <w:spacing w:val="-7"/>
        </w:rPr>
        <w:t> </w:t>
      </w:r>
      <w:r>
        <w:rPr/>
        <w:t>la</w:t>
      </w:r>
      <w:r>
        <w:rPr>
          <w:spacing w:val="-7"/>
        </w:rPr>
        <w:t> </w:t>
      </w:r>
      <w:r>
        <w:rPr/>
        <w:t>rectoría</w:t>
      </w:r>
      <w:r>
        <w:rPr>
          <w:spacing w:val="-8"/>
        </w:rPr>
        <w:t> </w:t>
      </w:r>
      <w:r>
        <w:rPr/>
        <w:t>del</w:t>
      </w:r>
      <w:r>
        <w:rPr>
          <w:spacing w:val="-6"/>
        </w:rPr>
        <w:t> </w:t>
      </w:r>
      <w:r>
        <w:rPr/>
        <w:t>Ministerio</w:t>
      </w:r>
      <w:r>
        <w:rPr>
          <w:spacing w:val="-7"/>
        </w:rPr>
        <w:t> </w:t>
      </w:r>
      <w:r>
        <w:rPr/>
        <w:t>de</w:t>
      </w:r>
      <w:r>
        <w:rPr>
          <w:spacing w:val="-7"/>
        </w:rPr>
        <w:t> </w:t>
      </w:r>
      <w:r>
        <w:rPr/>
        <w:t>Finanzas</w:t>
      </w:r>
      <w:r>
        <w:rPr>
          <w:spacing w:val="-6"/>
        </w:rPr>
        <w:t> </w:t>
      </w:r>
      <w:r>
        <w:rPr/>
        <w:t>públicas,</w:t>
      </w:r>
      <w:r>
        <w:rPr>
          <w:spacing w:val="-7"/>
        </w:rPr>
        <w:t> </w:t>
      </w:r>
      <w:r>
        <w:rPr/>
        <w:t>Ministerio de Economía y Ministerio de Ambiente y Recurso Naturales se puede</w:t>
      </w:r>
      <w:r>
        <w:rPr>
          <w:spacing w:val="-14"/>
        </w:rPr>
        <w:t> </w:t>
      </w:r>
      <w:r>
        <w:rPr/>
        <w:t>mencionar:</w:t>
      </w:r>
    </w:p>
    <w:p>
      <w:pPr>
        <w:spacing w:after="0" w:line="273" w:lineRule="auto"/>
        <w:jc w:val="both"/>
        <w:sectPr>
          <w:pgSz w:w="12240" w:h="15840"/>
          <w:pgMar w:header="715" w:footer="688" w:top="1240" w:bottom="880" w:left="1140" w:right="0"/>
        </w:sectPr>
      </w:pPr>
    </w:p>
    <w:p>
      <w:pPr>
        <w:pStyle w:val="BodyText"/>
        <w:spacing w:before="7"/>
        <w:rPr>
          <w:sz w:val="14"/>
        </w:rPr>
      </w:pPr>
    </w:p>
    <w:p>
      <w:pPr>
        <w:pStyle w:val="BodyText"/>
        <w:ind w:left="2260"/>
        <w:rPr>
          <w:sz w:val="20"/>
        </w:rPr>
      </w:pPr>
      <w:r>
        <w:rPr>
          <w:sz w:val="20"/>
        </w:rPr>
        <w:pict>
          <v:group style="width:280.3pt;height:226.2pt;mso-position-horizontal-relative:char;mso-position-vertical-relative:line" coordorigin="0,0" coordsize="5606,4524">
            <v:shape style="position:absolute;left:1624;top:0;width:2354;height:1584" type="#_x0000_t75" stroked="false">
              <v:imagedata r:id="rId424" o:title=""/>
            </v:shape>
            <v:shape style="position:absolute;left:1653;top:0;width:2301;height:1630" type="#_x0000_t75" stroked="false">
              <v:imagedata r:id="rId425" o:title=""/>
            </v:shape>
            <v:shape style="position:absolute;left:1725;top:60;width:2168;height:1409" type="#_x0000_t75" stroked="false">
              <v:imagedata r:id="rId426" o:title=""/>
            </v:shape>
            <v:shape style="position:absolute;left:1725;top:60;width:2168;height:1409" coordorigin="1726,60" coordsize="2168,1409" path="m1726,295l1738,221,1771,156,1822,105,1886,72,1960,60,3658,60,3732,72,3797,105,3847,156,3881,221,3893,295,3893,1234,3881,1308,3847,1373,3797,1423,3732,1457,3658,1469,1960,1469,1886,1457,1822,1423,1771,1373,1738,1308,1726,1234,1726,295xe" filled="false" stroked="true" strokeweight=".72pt" strokecolor="#1f3863">
              <v:path arrowok="t"/>
              <v:stroke dashstyle="solid"/>
            </v:shape>
            <v:shape style="position:absolute;left:3908;top:1120;width:779;height:1738" coordorigin="3908,1120" coordsize="779,1738" path="m3908,1120l3970,1167,4031,1217,4088,1268,4144,1322,4197,1378,4247,1435,4295,1495,4340,1556,4383,1619,4423,1683,4460,1749,4495,1816,4527,1885,4556,1955,4582,2026,4606,2098,4626,2171,4644,2245,4659,2320,4670,2395,4679,2471,4684,2548,4686,2625,4686,2702,4681,2780,4674,2858e" filled="false" stroked="true" strokeweight=".48pt" strokecolor="#4471c4">
              <v:path arrowok="t"/>
              <v:stroke dashstyle="solid"/>
            </v:shape>
            <v:shape style="position:absolute;left:3252;top:2805;width:2354;height:1594" type="#_x0000_t75" stroked="false">
              <v:imagedata r:id="rId427" o:title=""/>
            </v:shape>
            <v:shape style="position:absolute;left:3278;top:2884;width:2301;height:1466" type="#_x0000_t75" stroked="false">
              <v:imagedata r:id="rId428" o:title=""/>
            </v:shape>
            <v:shape style="position:absolute;left:3352;top:2875;width:2168;height:1409" type="#_x0000_t75" stroked="false">
              <v:imagedata r:id="rId429" o:title=""/>
            </v:shape>
            <v:shape style="position:absolute;left:3352;top:2875;width:2168;height:1409" coordorigin="3353,2875" coordsize="2168,1409" path="m3353,3110l3365,3036,3398,2971,3449,2921,3513,2887,3588,2875,5285,2875,5359,2887,5424,2921,5475,2971,5508,3036,5520,3110,5520,4049,5508,4123,5475,4188,5424,4239,5359,4272,5285,4284,3588,4284,3513,4272,3449,4239,3398,4188,3365,4123,3353,4049,3353,3110xe" filled="false" stroked="true" strokeweight=".72pt" strokecolor="#00af50">
              <v:path arrowok="t"/>
              <v:stroke dashstyle="solid"/>
            </v:shape>
            <v:shape style="position:absolute;left:1917;top:4292;width:1786;height:227" coordorigin="1917,4292" coordsize="1786,227" path="m3703,4292l3633,4329,3561,4361,3489,4391,3416,4418,3342,4442,3267,4462,3192,4479,3116,4493,3040,4504,2963,4512,2887,4517,2810,4518,2733,4517,2657,4512,2580,4504,2504,4493,2428,4479,2353,4462,2278,4442,2204,4418,2131,4391,2059,4361,1987,4329,1917,4292e" filled="false" stroked="true" strokeweight=".48pt" strokecolor="#43ba8d">
              <v:path arrowok="t"/>
              <v:stroke dashstyle="solid"/>
            </v:shape>
            <v:shape style="position:absolute;left:0;top:2805;width:2354;height:1594" type="#_x0000_t75" stroked="false">
              <v:imagedata r:id="rId427" o:title=""/>
            </v:shape>
            <v:shape style="position:absolute;left:64;top:3021;width:2275;height:1197" type="#_x0000_t75" stroked="false">
              <v:imagedata r:id="rId430" o:title=""/>
            </v:shape>
            <v:shape style="position:absolute;left:100;top:2875;width:2168;height:1409" type="#_x0000_t75" stroked="false">
              <v:imagedata r:id="rId431" o:title=""/>
            </v:shape>
            <v:shape style="position:absolute;left:100;top:2875;width:2168;height:1409" coordorigin="101,2875" coordsize="2168,1409" path="m101,3110l113,3036,146,2971,197,2921,261,2887,336,2875,2033,2875,2107,2887,2172,2921,2223,2971,2256,3036,2268,3110,2268,4049,2256,4123,2223,4188,2172,4239,2107,4272,2033,4284,336,4284,261,4272,197,4239,146,4188,113,4123,101,4049,101,3110xe" filled="false" stroked="true" strokeweight=".72pt" strokecolor="#538235">
              <v:path arrowok="t"/>
              <v:stroke dashstyle="solid"/>
            </v:shape>
            <v:shape style="position:absolute;left:933;top:1120;width:779;height:1738" coordorigin="934,1120" coordsize="779,1738" path="m946,2858l939,2780,935,2702,934,2625,936,2548,941,2471,950,2395,961,2320,976,2245,994,2171,1014,2098,1038,2026,1064,1955,1093,1885,1125,1816,1160,1749,1197,1683,1237,1619,1280,1556,1325,1495,1373,1435,1424,1378,1477,1322,1532,1268,1590,1217,1650,1167,1712,1120e" filled="false" stroked="true" strokeweight=".48pt" strokecolor="#6fac46">
              <v:path arrowok="t"/>
              <v:stroke dashstyle="solid"/>
            </v:shape>
            <v:shape style="position:absolute;left:1850;top:99;width:1190;height:200" type="#_x0000_t202" filled="false" stroked="false">
              <v:textbox inset="0,0,0,0">
                <w:txbxContent>
                  <w:p>
                    <w:pPr>
                      <w:spacing w:line="199" w:lineRule="exact" w:before="0"/>
                      <w:ind w:left="0" w:right="0" w:firstLine="0"/>
                      <w:jc w:val="left"/>
                      <w:rPr>
                        <w:sz w:val="18"/>
                      </w:rPr>
                    </w:pPr>
                    <w:r>
                      <w:rPr>
                        <w:color w:val="FFFFFF"/>
                        <w:sz w:val="18"/>
                      </w:rPr>
                      <w:t>Implementación</w:t>
                    </w:r>
                  </w:p>
                </w:txbxContent>
              </v:textbox>
              <w10:wrap type="none"/>
            </v:shape>
            <v:shape style="position:absolute;left:3602;top:99;width:193;height:200" type="#_x0000_t202" filled="false" stroked="false">
              <v:textbox inset="0,0,0,0">
                <w:txbxContent>
                  <w:p>
                    <w:pPr>
                      <w:spacing w:line="199" w:lineRule="exact" w:before="0"/>
                      <w:ind w:left="0" w:right="0" w:firstLine="0"/>
                      <w:jc w:val="left"/>
                      <w:rPr>
                        <w:sz w:val="18"/>
                      </w:rPr>
                    </w:pPr>
                    <w:r>
                      <w:rPr>
                        <w:color w:val="FFFFFF"/>
                        <w:sz w:val="18"/>
                      </w:rPr>
                      <w:t>de</w:t>
                    </w:r>
                  </w:p>
                </w:txbxContent>
              </v:textbox>
              <w10:wrap type="none"/>
            </v:shape>
            <v:shape style="position:absolute;left:1850;top:287;width:1945;height:1131" type="#_x0000_t202" filled="false" stroked="false">
              <v:textbox inset="0,0,0,0">
                <w:txbxContent>
                  <w:p>
                    <w:pPr>
                      <w:spacing w:line="216" w:lineRule="auto" w:before="9"/>
                      <w:ind w:left="0" w:right="18" w:firstLine="0"/>
                      <w:jc w:val="both"/>
                      <w:rPr>
                        <w:sz w:val="18"/>
                      </w:rPr>
                    </w:pPr>
                    <w:r>
                      <w:rPr>
                        <w:color w:val="FFFFFF"/>
                        <w:sz w:val="18"/>
                      </w:rPr>
                      <w:t>modelos económicos que permitan las inversiones amigables con el medio ambiente, la producción más limpia y la reducción de emisiones</w:t>
                    </w:r>
                  </w:p>
                </w:txbxContent>
              </v:textbox>
              <w10:wrap type="none"/>
            </v:shape>
            <v:shape style="position:absolute;left:274;top:3152;width:1842;height:843" type="#_x0000_t202" filled="false" stroked="false">
              <v:textbox inset="0,0,0,0">
                <w:txbxContent>
                  <w:p>
                    <w:pPr>
                      <w:spacing w:line="216" w:lineRule="auto" w:before="9"/>
                      <w:ind w:left="0" w:right="18" w:firstLine="0"/>
                      <w:jc w:val="center"/>
                      <w:rPr>
                        <w:sz w:val="20"/>
                      </w:rPr>
                    </w:pPr>
                    <w:r>
                      <w:rPr>
                        <w:color w:val="FFFFFF"/>
                        <w:sz w:val="20"/>
                      </w:rPr>
                      <w:t>Implementación de los ejes estrategicos de la Estrategia Fiscal Ambiental</w:t>
                    </w:r>
                  </w:p>
                </w:txbxContent>
              </v:textbox>
              <w10:wrap type="none"/>
            </v:shape>
            <v:shape style="position:absolute;left:3476;top:3008;width:1190;height:200" type="#_x0000_t202" filled="false" stroked="false">
              <v:textbox inset="0,0,0,0">
                <w:txbxContent>
                  <w:p>
                    <w:pPr>
                      <w:spacing w:line="199" w:lineRule="exact" w:before="0"/>
                      <w:ind w:left="0" w:right="0" w:firstLine="0"/>
                      <w:jc w:val="left"/>
                      <w:rPr>
                        <w:sz w:val="18"/>
                      </w:rPr>
                    </w:pPr>
                    <w:r>
                      <w:rPr>
                        <w:color w:val="FFFFFF"/>
                        <w:sz w:val="18"/>
                      </w:rPr>
                      <w:t>Implementación</w:t>
                    </w:r>
                  </w:p>
                </w:txbxContent>
              </v:textbox>
              <w10:wrap type="none"/>
            </v:shape>
            <v:shape style="position:absolute;left:5228;top:3008;width:193;height:200" type="#_x0000_t202" filled="false" stroked="false">
              <v:textbox inset="0,0,0,0">
                <w:txbxContent>
                  <w:p>
                    <w:pPr>
                      <w:spacing w:line="199" w:lineRule="exact" w:before="0"/>
                      <w:ind w:left="0" w:right="0" w:firstLine="0"/>
                      <w:jc w:val="left"/>
                      <w:rPr>
                        <w:sz w:val="18"/>
                      </w:rPr>
                    </w:pPr>
                    <w:r>
                      <w:rPr>
                        <w:color w:val="FFFFFF"/>
                        <w:sz w:val="18"/>
                      </w:rPr>
                      <w:t>de</w:t>
                    </w:r>
                  </w:p>
                </w:txbxContent>
              </v:textbox>
              <w10:wrap type="none"/>
            </v:shape>
            <v:shape style="position:absolute;left:3476;top:3195;width:1944;height:944" type="#_x0000_t202" filled="false" stroked="false">
              <v:textbox inset="0,0,0,0">
                <w:txbxContent>
                  <w:p>
                    <w:pPr>
                      <w:spacing w:line="216" w:lineRule="auto" w:before="9"/>
                      <w:ind w:left="0" w:right="18" w:firstLine="0"/>
                      <w:jc w:val="both"/>
                      <w:rPr>
                        <w:sz w:val="18"/>
                      </w:rPr>
                    </w:pPr>
                    <w:r>
                      <w:rPr>
                        <w:color w:val="FFFFFF"/>
                        <w:sz w:val="18"/>
                      </w:rPr>
                      <w:t>acciones que aportan a la adaptación y mitigación del cambio climático en los sectores priorizados por el país.</w:t>
                    </w:r>
                  </w:p>
                </w:txbxContent>
              </v:textbox>
              <w10:wrap type="none"/>
            </v:shape>
          </v:group>
        </w:pict>
      </w:r>
      <w:r>
        <w:rPr>
          <w:sz w:val="20"/>
        </w:rPr>
      </w:r>
    </w:p>
    <w:p>
      <w:pPr>
        <w:pStyle w:val="BodyText"/>
        <w:spacing w:before="8"/>
        <w:rPr>
          <w:sz w:val="28"/>
        </w:rPr>
      </w:pPr>
    </w:p>
    <w:p>
      <w:pPr>
        <w:pStyle w:val="BodyText"/>
        <w:spacing w:line="276" w:lineRule="auto" w:before="92"/>
        <w:ind w:left="562" w:right="1699"/>
        <w:jc w:val="both"/>
      </w:pPr>
      <w:r>
        <w:rPr/>
        <w:t>De</w:t>
      </w:r>
      <w:r>
        <w:rPr>
          <w:spacing w:val="-11"/>
        </w:rPr>
        <w:t> </w:t>
      </w:r>
      <w:r>
        <w:rPr/>
        <w:t>esa</w:t>
      </w:r>
      <w:r>
        <w:rPr>
          <w:spacing w:val="-10"/>
        </w:rPr>
        <w:t> </w:t>
      </w:r>
      <w:r>
        <w:rPr/>
        <w:t>cuenta</w:t>
      </w:r>
      <w:r>
        <w:rPr>
          <w:spacing w:val="-13"/>
        </w:rPr>
        <w:t> </w:t>
      </w:r>
      <w:r>
        <w:rPr/>
        <w:t>el</w:t>
      </w:r>
      <w:r>
        <w:rPr>
          <w:spacing w:val="-11"/>
        </w:rPr>
        <w:t> </w:t>
      </w:r>
      <w:r>
        <w:rPr/>
        <w:t>programa</w:t>
      </w:r>
      <w:r>
        <w:rPr>
          <w:spacing w:val="-10"/>
        </w:rPr>
        <w:t> </w:t>
      </w:r>
      <w:r>
        <w:rPr/>
        <w:t>tiene</w:t>
      </w:r>
      <w:r>
        <w:rPr>
          <w:spacing w:val="-13"/>
        </w:rPr>
        <w:t> </w:t>
      </w:r>
      <w:r>
        <w:rPr/>
        <w:t>una</w:t>
      </w:r>
      <w:r>
        <w:rPr>
          <w:spacing w:val="-13"/>
        </w:rPr>
        <w:t> </w:t>
      </w:r>
      <w:r>
        <w:rPr/>
        <w:t>duración</w:t>
      </w:r>
      <w:r>
        <w:rPr>
          <w:spacing w:val="-12"/>
        </w:rPr>
        <w:t> </w:t>
      </w:r>
      <w:r>
        <w:rPr/>
        <w:t>de</w:t>
      </w:r>
      <w:r>
        <w:rPr>
          <w:spacing w:val="-13"/>
        </w:rPr>
        <w:t> </w:t>
      </w:r>
      <w:r>
        <w:rPr/>
        <w:t>36</w:t>
      </w:r>
      <w:r>
        <w:rPr>
          <w:spacing w:val="32"/>
        </w:rPr>
        <w:t> </w:t>
      </w:r>
      <w:r>
        <w:rPr/>
        <w:t>meses</w:t>
      </w:r>
      <w:r>
        <w:rPr>
          <w:spacing w:val="-13"/>
        </w:rPr>
        <w:t> </w:t>
      </w:r>
      <w:r>
        <w:rPr/>
        <w:t>a</w:t>
      </w:r>
      <w:r>
        <w:rPr>
          <w:spacing w:val="-13"/>
        </w:rPr>
        <w:t> </w:t>
      </w:r>
      <w:r>
        <w:rPr/>
        <w:t>finalizar</w:t>
      </w:r>
      <w:r>
        <w:rPr>
          <w:spacing w:val="-11"/>
        </w:rPr>
        <w:t> </w:t>
      </w:r>
      <w:r>
        <w:rPr/>
        <w:t>en</w:t>
      </w:r>
      <w:r>
        <w:rPr>
          <w:spacing w:val="-13"/>
        </w:rPr>
        <w:t> </w:t>
      </w:r>
      <w:r>
        <w:rPr/>
        <w:t>2024,</w:t>
      </w:r>
      <w:r>
        <w:rPr>
          <w:spacing w:val="-13"/>
        </w:rPr>
        <w:t> </w:t>
      </w:r>
      <w:r>
        <w:rPr/>
        <w:t>vale</w:t>
      </w:r>
      <w:r>
        <w:rPr>
          <w:spacing w:val="-14"/>
        </w:rPr>
        <w:t> </w:t>
      </w:r>
      <w:r>
        <w:rPr/>
        <w:t>la</w:t>
      </w:r>
      <w:r>
        <w:rPr>
          <w:spacing w:val="-13"/>
        </w:rPr>
        <w:t> </w:t>
      </w:r>
      <w:r>
        <w:rPr/>
        <w:t>pena</w:t>
      </w:r>
      <w:r>
        <w:rPr>
          <w:spacing w:val="-13"/>
        </w:rPr>
        <w:t> </w:t>
      </w:r>
      <w:r>
        <w:rPr/>
        <w:t>mencionar que las acciones e iniciativas resultado de PAGE contribuirán a mediano y largo plazo hacia una recuperación económica verde e inclusiva tomando en cuenta </w:t>
      </w:r>
      <w:r>
        <w:rPr>
          <w:spacing w:val="2"/>
        </w:rPr>
        <w:t>la </w:t>
      </w:r>
      <w:r>
        <w:rPr/>
        <w:t>planificación a nivel nacional (Política General de Gobierno 2020-2024, Plan Nacional de Desarrollo K'atun Nuestra Guatemala 2032, Plan para la Recuperación Económica de Guatemala, Política Nacional de Cambio Climático, Plan de Acción Nacional de Cambio Climático, Estrategia Nacional de Desarrollo con Bajas Emisiones, entre otras), la planificación estratégica de PAGE a nivel global y las herramientas que PAGE ofrece a los países miembros en pro de una recuperación económica</w:t>
      </w:r>
      <w:r>
        <w:rPr>
          <w:spacing w:val="-12"/>
        </w:rPr>
        <w:t> </w:t>
      </w:r>
      <w:r>
        <w:rPr/>
        <w:t>verde.</w:t>
      </w:r>
    </w:p>
    <w:p>
      <w:pPr>
        <w:pStyle w:val="BodyText"/>
        <w:spacing w:line="276" w:lineRule="auto" w:before="161"/>
        <w:ind w:left="562" w:right="1697"/>
        <w:jc w:val="both"/>
      </w:pPr>
      <w:r>
        <w:rPr/>
        <w:t>Las</w:t>
      </w:r>
      <w:r>
        <w:rPr>
          <w:spacing w:val="-7"/>
        </w:rPr>
        <w:t> </w:t>
      </w:r>
      <w:r>
        <w:rPr/>
        <w:t>inversiones</w:t>
      </w:r>
      <w:r>
        <w:rPr>
          <w:spacing w:val="-3"/>
        </w:rPr>
        <w:t> </w:t>
      </w:r>
      <w:r>
        <w:rPr/>
        <w:t>en</w:t>
      </w:r>
      <w:r>
        <w:rPr>
          <w:spacing w:val="-5"/>
        </w:rPr>
        <w:t> </w:t>
      </w:r>
      <w:r>
        <w:rPr/>
        <w:t>el</w:t>
      </w:r>
      <w:r>
        <w:rPr>
          <w:spacing w:val="-3"/>
        </w:rPr>
        <w:t> </w:t>
      </w:r>
      <w:r>
        <w:rPr/>
        <w:t>medio</w:t>
      </w:r>
      <w:r>
        <w:rPr>
          <w:spacing w:val="-6"/>
        </w:rPr>
        <w:t> </w:t>
      </w:r>
      <w:r>
        <w:rPr/>
        <w:t>ambiente</w:t>
      </w:r>
      <w:r>
        <w:rPr>
          <w:spacing w:val="-4"/>
        </w:rPr>
        <w:t> </w:t>
      </w:r>
      <w:r>
        <w:rPr/>
        <w:t>y</w:t>
      </w:r>
      <w:r>
        <w:rPr>
          <w:spacing w:val="-6"/>
        </w:rPr>
        <w:t> </w:t>
      </w:r>
      <w:r>
        <w:rPr/>
        <w:t>en</w:t>
      </w:r>
      <w:r>
        <w:rPr>
          <w:spacing w:val="-7"/>
        </w:rPr>
        <w:t> </w:t>
      </w:r>
      <w:r>
        <w:rPr/>
        <w:t>la</w:t>
      </w:r>
      <w:r>
        <w:rPr>
          <w:spacing w:val="-8"/>
        </w:rPr>
        <w:t> </w:t>
      </w:r>
      <w:r>
        <w:rPr/>
        <w:t>inclusión</w:t>
      </w:r>
      <w:r>
        <w:rPr>
          <w:spacing w:val="-6"/>
        </w:rPr>
        <w:t> </w:t>
      </w:r>
      <w:r>
        <w:rPr/>
        <w:t>social</w:t>
      </w:r>
      <w:r>
        <w:rPr>
          <w:spacing w:val="-6"/>
        </w:rPr>
        <w:t> </w:t>
      </w:r>
      <w:r>
        <w:rPr/>
        <w:t>son</w:t>
      </w:r>
      <w:r>
        <w:rPr>
          <w:spacing w:val="-6"/>
        </w:rPr>
        <w:t> </w:t>
      </w:r>
      <w:r>
        <w:rPr/>
        <w:t>motores</w:t>
      </w:r>
      <w:r>
        <w:rPr>
          <w:spacing w:val="-5"/>
        </w:rPr>
        <w:t> </w:t>
      </w:r>
      <w:r>
        <w:rPr/>
        <w:t>de</w:t>
      </w:r>
      <w:r>
        <w:rPr>
          <w:spacing w:val="-7"/>
        </w:rPr>
        <w:t> </w:t>
      </w:r>
      <w:r>
        <w:rPr/>
        <w:t>crecimiento</w:t>
      </w:r>
      <w:r>
        <w:rPr>
          <w:spacing w:val="-4"/>
        </w:rPr>
        <w:t> </w:t>
      </w:r>
      <w:r>
        <w:rPr/>
        <w:t>económico sostenible. En este sentido, las políticas fiscales y económicas tienen un rol importante al permitir que la sociedad transite hacia una economía verde inclusiva. El proyecto PAGE busca incidir en la reformulación de políticas sistémicas con enfoque de sostenibilidad que incluye políticas fiscales verdes; promover reformas macroeconómicas, sectoriales y temáticas que impulsen las inversiones verdes; habilitar un cambio transformador mediante el desarrollo de las capacidades individuales e institucionales.</w:t>
      </w:r>
    </w:p>
    <w:sectPr>
      <w:pgSz w:w="12240" w:h="15840"/>
      <w:pgMar w:header="715" w:footer="688" w:top="1240" w:bottom="880" w:left="11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Calibri">
    <w:altName w:val="Calibri"/>
    <w:charset w:val="0"/>
    <w:family w:val="swiss"/>
    <w:pitch w:val="variable"/>
  </w:font>
  <w:font w:name="Courier New">
    <w:altName w:val="Courier New"/>
    <w:charset w:val="0"/>
    <w:family w:val="modern"/>
    <w:pitch w:val="fixed"/>
  </w:font>
  <w:font w:name="Symbol">
    <w:altName w:val="Symbol"/>
    <w:charset w:val="2"/>
    <w:family w:val="roman"/>
    <w:pitch w:val="variable"/>
  </w:font>
  <w:font w:name="Wingdings">
    <w:altName w:val="Wingdings"/>
    <w:charset w:val="2"/>
    <w:family w:val="auto"/>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579987pt;margin-top:733.171448pt;width:32.6pt;height:10.95pt;mso-position-horizontal-relative:page;mso-position-vertical-relative:page;z-index:-281659392" type="#_x0000_t202" filled="false" stroked="false">
          <v:textbox inset="0,0,0,0">
            <w:txbxContent>
              <w:p>
                <w:pPr>
                  <w:spacing w:before="14"/>
                  <w:ind w:left="20" w:right="0" w:firstLine="0"/>
                  <w:jc w:val="left"/>
                  <w:rPr>
                    <w:b/>
                    <w:sz w:val="16"/>
                  </w:rPr>
                </w:pPr>
                <w:r>
                  <w:rPr>
                    <w:b/>
                    <w:color w:val="1F4E79"/>
                    <w:sz w:val="16"/>
                  </w:rPr>
                  <w:t>pág. </w:t>
                </w:r>
                <w:r>
                  <w:rPr/>
                  <w:fldChar w:fldCharType="begin"/>
                </w:r>
                <w:r>
                  <w:rPr>
                    <w:b/>
                    <w:color w:val="1F4E79"/>
                    <w:sz w:val="16"/>
                  </w:rPr>
                  <w:instrText> PAGE </w:instrText>
                </w:r>
                <w:r>
                  <w:rPr/>
                  <w:fldChar w:fldCharType="separate"/>
                </w:r>
                <w:r>
                  <w:rPr/>
                  <w:t>100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579987pt;margin-top:746.61145pt;width:32.5pt;height:10.95pt;mso-position-horizontal-relative:page;mso-position-vertical-relative:page;z-index:-281656320" type="#_x0000_t202" filled="false" stroked="false">
          <v:textbox inset="0,0,0,0">
            <w:txbxContent>
              <w:p>
                <w:pPr>
                  <w:spacing w:before="14"/>
                  <w:ind w:left="20" w:right="0" w:firstLine="0"/>
                  <w:jc w:val="left"/>
                  <w:rPr>
                    <w:b/>
                    <w:sz w:val="16"/>
                  </w:rPr>
                </w:pPr>
                <w:r>
                  <w:rPr>
                    <w:b/>
                    <w:color w:val="1F4E79"/>
                    <w:sz w:val="16"/>
                  </w:rPr>
                  <w:t>pág. </w:t>
                </w:r>
                <w:r>
                  <w:rPr/>
                  <w:fldChar w:fldCharType="begin"/>
                </w:r>
                <w:r>
                  <w:rPr>
                    <w:b/>
                    <w:color w:val="1F4E79"/>
                    <w:sz w:val="16"/>
                  </w:rPr>
                  <w:instrText> PAGE </w:instrText>
                </w:r>
                <w:r>
                  <w:rPr/>
                  <w:fldChar w:fldCharType="separate"/>
                </w:r>
                <w:r>
                  <w:rPr/>
                  <w:t>136</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599998pt;margin-top:50.16pt;width:556.35pt;height:4.6pt;mso-position-horizontal-relative:page;mso-position-vertical-relative:page;z-index:-281661440" coordorigin="1092,1003" coordsize="11127,92">
          <v:line style="position:absolute" from="1102,1049" to="12209,1049" stroked="true" strokeweight="3.6pt" strokecolor="#5b9bd4">
            <v:stroke dashstyle="solid"/>
          </v:line>
          <v:rect style="position:absolute;left:1101;top:1012;width:11108;height:72" filled="false" stroked="true" strokeweight=".96pt" strokecolor="#41709c">
            <v:stroke dashstyle="solid"/>
          </v:rect>
          <w10:wrap type="none"/>
        </v:group>
      </w:pict>
    </w:r>
    <w:r>
      <w:rPr/>
      <w:pict>
        <v:shapetype id="_x0000_t202" o:spt="202" coordsize="21600,21600" path="m,l,21600r21600,l21600,xe">
          <v:stroke joinstyle="miter"/>
          <v:path gradientshapeok="t" o:connecttype="rect"/>
        </v:shapetype>
        <v:shape style="position:absolute;margin-left:326.529999pt;margin-top:34.762108pt;width:201.5pt;height:14.25pt;mso-position-horizontal-relative:page;mso-position-vertical-relative:page;z-index:-281660416" type="#_x0000_t202" filled="false" stroked="false">
          <v:textbox inset="0,0,0,0">
            <w:txbxContent>
              <w:p>
                <w:pPr>
                  <w:spacing w:before="11"/>
                  <w:ind w:left="20" w:right="0" w:firstLine="0"/>
                  <w:jc w:val="left"/>
                  <w:rPr>
                    <w:b/>
                    <w:sz w:val="22"/>
                  </w:rPr>
                </w:pPr>
                <w:r>
                  <w:rPr>
                    <w:b/>
                    <w:color w:val="1F4E79"/>
                    <w:sz w:val="22"/>
                  </w:rPr>
                  <w:t>Marco Fiscal de Mediano Plazo 2023-2027</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599998pt;margin-top:50.16pt;width:556.35pt;height:4.6pt;mso-position-horizontal-relative:page;mso-position-vertical-relative:page;z-index:-281658368" coordorigin="1092,1003" coordsize="11127,92">
          <v:line style="position:absolute" from="1102,1049" to="12209,1049" stroked="true" strokeweight="3.6pt" strokecolor="#5b9bd4">
            <v:stroke dashstyle="solid"/>
          </v:line>
          <v:rect style="position:absolute;left:1101;top:1012;width:11108;height:72" filled="false" stroked="true" strokeweight=".96pt" strokecolor="#41709c">
            <v:stroke dashstyle="solid"/>
          </v:rect>
          <w10:wrap type="none"/>
        </v:group>
      </w:pict>
    </w:r>
    <w:r>
      <w:rPr/>
      <w:pict>
        <v:shape style="position:absolute;margin-left:326.529999pt;margin-top:34.762108pt;width:201.5pt;height:14.25pt;mso-position-horizontal-relative:page;mso-position-vertical-relative:page;z-index:-281657344" type="#_x0000_t202" filled="false" stroked="false">
          <v:textbox inset="0,0,0,0">
            <w:txbxContent>
              <w:p>
                <w:pPr>
                  <w:spacing w:before="11"/>
                  <w:ind w:left="20" w:right="0" w:firstLine="0"/>
                  <w:jc w:val="left"/>
                  <w:rPr>
                    <w:b/>
                    <w:sz w:val="22"/>
                  </w:rPr>
                </w:pPr>
                <w:r>
                  <w:rPr>
                    <w:b/>
                    <w:color w:val="1F4E79"/>
                    <w:sz w:val="22"/>
                  </w:rPr>
                  <w:t>Marco Fiscal de Mediano Plazo 2023-2027</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0"/>
      <w:numFmt w:val="bullet"/>
      <w:lvlText w:val=""/>
      <w:lvlJc w:val="left"/>
      <w:pPr>
        <w:ind w:left="1282" w:hanging="360"/>
      </w:pPr>
      <w:rPr>
        <w:rFonts w:hint="default" w:ascii="Symbol" w:hAnsi="Symbol" w:eastAsia="Symbol" w:cs="Symbol"/>
        <w:w w:val="100"/>
        <w:sz w:val="22"/>
        <w:szCs w:val="22"/>
        <w:lang w:val="es-gt" w:eastAsia="es-gt" w:bidi="es-gt"/>
      </w:rPr>
    </w:lvl>
    <w:lvl w:ilvl="1">
      <w:start w:val="0"/>
      <w:numFmt w:val="bullet"/>
      <w:lvlText w:val="•"/>
      <w:lvlJc w:val="left"/>
      <w:pPr>
        <w:ind w:left="2262" w:hanging="360"/>
      </w:pPr>
      <w:rPr>
        <w:rFonts w:hint="default"/>
        <w:lang w:val="es-gt" w:eastAsia="es-gt" w:bidi="es-gt"/>
      </w:rPr>
    </w:lvl>
    <w:lvl w:ilvl="2">
      <w:start w:val="0"/>
      <w:numFmt w:val="bullet"/>
      <w:lvlText w:val="•"/>
      <w:lvlJc w:val="left"/>
      <w:pPr>
        <w:ind w:left="3244" w:hanging="360"/>
      </w:pPr>
      <w:rPr>
        <w:rFonts w:hint="default"/>
        <w:lang w:val="es-gt" w:eastAsia="es-gt" w:bidi="es-gt"/>
      </w:rPr>
    </w:lvl>
    <w:lvl w:ilvl="3">
      <w:start w:val="0"/>
      <w:numFmt w:val="bullet"/>
      <w:lvlText w:val="•"/>
      <w:lvlJc w:val="left"/>
      <w:pPr>
        <w:ind w:left="4226" w:hanging="360"/>
      </w:pPr>
      <w:rPr>
        <w:rFonts w:hint="default"/>
        <w:lang w:val="es-gt" w:eastAsia="es-gt" w:bidi="es-gt"/>
      </w:rPr>
    </w:lvl>
    <w:lvl w:ilvl="4">
      <w:start w:val="0"/>
      <w:numFmt w:val="bullet"/>
      <w:lvlText w:val="•"/>
      <w:lvlJc w:val="left"/>
      <w:pPr>
        <w:ind w:left="5208" w:hanging="360"/>
      </w:pPr>
      <w:rPr>
        <w:rFonts w:hint="default"/>
        <w:lang w:val="es-gt" w:eastAsia="es-gt" w:bidi="es-gt"/>
      </w:rPr>
    </w:lvl>
    <w:lvl w:ilvl="5">
      <w:start w:val="0"/>
      <w:numFmt w:val="bullet"/>
      <w:lvlText w:val="•"/>
      <w:lvlJc w:val="left"/>
      <w:pPr>
        <w:ind w:left="6190" w:hanging="360"/>
      </w:pPr>
      <w:rPr>
        <w:rFonts w:hint="default"/>
        <w:lang w:val="es-gt" w:eastAsia="es-gt" w:bidi="es-gt"/>
      </w:rPr>
    </w:lvl>
    <w:lvl w:ilvl="6">
      <w:start w:val="0"/>
      <w:numFmt w:val="bullet"/>
      <w:lvlText w:val="•"/>
      <w:lvlJc w:val="left"/>
      <w:pPr>
        <w:ind w:left="7172" w:hanging="360"/>
      </w:pPr>
      <w:rPr>
        <w:rFonts w:hint="default"/>
        <w:lang w:val="es-gt" w:eastAsia="es-gt" w:bidi="es-gt"/>
      </w:rPr>
    </w:lvl>
    <w:lvl w:ilvl="7">
      <w:start w:val="0"/>
      <w:numFmt w:val="bullet"/>
      <w:lvlText w:val="•"/>
      <w:lvlJc w:val="left"/>
      <w:pPr>
        <w:ind w:left="8154" w:hanging="360"/>
      </w:pPr>
      <w:rPr>
        <w:rFonts w:hint="default"/>
        <w:lang w:val="es-gt" w:eastAsia="es-gt" w:bidi="es-gt"/>
      </w:rPr>
    </w:lvl>
    <w:lvl w:ilvl="8">
      <w:start w:val="0"/>
      <w:numFmt w:val="bullet"/>
      <w:lvlText w:val="•"/>
      <w:lvlJc w:val="left"/>
      <w:pPr>
        <w:ind w:left="9136" w:hanging="360"/>
      </w:pPr>
      <w:rPr>
        <w:rFonts w:hint="default"/>
        <w:lang w:val="es-gt" w:eastAsia="es-gt" w:bidi="es-gt"/>
      </w:rPr>
    </w:lvl>
  </w:abstractNum>
  <w:abstractNum w:abstractNumId="18">
    <w:multiLevelType w:val="hybridMultilevel"/>
    <w:lvl w:ilvl="0">
      <w:start w:val="1"/>
      <w:numFmt w:val="lowerLetter"/>
      <w:lvlText w:val="%1)"/>
      <w:lvlJc w:val="left"/>
      <w:pPr>
        <w:ind w:left="1243" w:hanging="216"/>
        <w:jc w:val="left"/>
      </w:pPr>
      <w:rPr>
        <w:rFonts w:hint="default" w:ascii="Times New Roman" w:hAnsi="Times New Roman" w:eastAsia="Times New Roman" w:cs="Times New Roman"/>
        <w:w w:val="99"/>
        <w:sz w:val="20"/>
        <w:szCs w:val="20"/>
        <w:lang w:val="es-gt" w:eastAsia="es-gt" w:bidi="es-gt"/>
      </w:rPr>
    </w:lvl>
    <w:lvl w:ilvl="1">
      <w:start w:val="0"/>
      <w:numFmt w:val="bullet"/>
      <w:lvlText w:val="•"/>
      <w:lvlJc w:val="left"/>
      <w:pPr>
        <w:ind w:left="2226" w:hanging="216"/>
      </w:pPr>
      <w:rPr>
        <w:rFonts w:hint="default"/>
        <w:lang w:val="es-gt" w:eastAsia="es-gt" w:bidi="es-gt"/>
      </w:rPr>
    </w:lvl>
    <w:lvl w:ilvl="2">
      <w:start w:val="0"/>
      <w:numFmt w:val="bullet"/>
      <w:lvlText w:val="•"/>
      <w:lvlJc w:val="left"/>
      <w:pPr>
        <w:ind w:left="3212" w:hanging="216"/>
      </w:pPr>
      <w:rPr>
        <w:rFonts w:hint="default"/>
        <w:lang w:val="es-gt" w:eastAsia="es-gt" w:bidi="es-gt"/>
      </w:rPr>
    </w:lvl>
    <w:lvl w:ilvl="3">
      <w:start w:val="0"/>
      <w:numFmt w:val="bullet"/>
      <w:lvlText w:val="•"/>
      <w:lvlJc w:val="left"/>
      <w:pPr>
        <w:ind w:left="4198" w:hanging="216"/>
      </w:pPr>
      <w:rPr>
        <w:rFonts w:hint="default"/>
        <w:lang w:val="es-gt" w:eastAsia="es-gt" w:bidi="es-gt"/>
      </w:rPr>
    </w:lvl>
    <w:lvl w:ilvl="4">
      <w:start w:val="0"/>
      <w:numFmt w:val="bullet"/>
      <w:lvlText w:val="•"/>
      <w:lvlJc w:val="left"/>
      <w:pPr>
        <w:ind w:left="5184" w:hanging="216"/>
      </w:pPr>
      <w:rPr>
        <w:rFonts w:hint="default"/>
        <w:lang w:val="es-gt" w:eastAsia="es-gt" w:bidi="es-gt"/>
      </w:rPr>
    </w:lvl>
    <w:lvl w:ilvl="5">
      <w:start w:val="0"/>
      <w:numFmt w:val="bullet"/>
      <w:lvlText w:val="•"/>
      <w:lvlJc w:val="left"/>
      <w:pPr>
        <w:ind w:left="6170" w:hanging="216"/>
      </w:pPr>
      <w:rPr>
        <w:rFonts w:hint="default"/>
        <w:lang w:val="es-gt" w:eastAsia="es-gt" w:bidi="es-gt"/>
      </w:rPr>
    </w:lvl>
    <w:lvl w:ilvl="6">
      <w:start w:val="0"/>
      <w:numFmt w:val="bullet"/>
      <w:lvlText w:val="•"/>
      <w:lvlJc w:val="left"/>
      <w:pPr>
        <w:ind w:left="7156" w:hanging="216"/>
      </w:pPr>
      <w:rPr>
        <w:rFonts w:hint="default"/>
        <w:lang w:val="es-gt" w:eastAsia="es-gt" w:bidi="es-gt"/>
      </w:rPr>
    </w:lvl>
    <w:lvl w:ilvl="7">
      <w:start w:val="0"/>
      <w:numFmt w:val="bullet"/>
      <w:lvlText w:val="•"/>
      <w:lvlJc w:val="left"/>
      <w:pPr>
        <w:ind w:left="8142" w:hanging="216"/>
      </w:pPr>
      <w:rPr>
        <w:rFonts w:hint="default"/>
        <w:lang w:val="es-gt" w:eastAsia="es-gt" w:bidi="es-gt"/>
      </w:rPr>
    </w:lvl>
    <w:lvl w:ilvl="8">
      <w:start w:val="0"/>
      <w:numFmt w:val="bullet"/>
      <w:lvlText w:val="•"/>
      <w:lvlJc w:val="left"/>
      <w:pPr>
        <w:ind w:left="9128" w:hanging="216"/>
      </w:pPr>
      <w:rPr>
        <w:rFonts w:hint="default"/>
        <w:lang w:val="es-gt" w:eastAsia="es-gt" w:bidi="es-gt"/>
      </w:rPr>
    </w:lvl>
  </w:abstractNum>
  <w:abstractNum w:abstractNumId="60">
    <w:multiLevelType w:val="hybridMultilevel"/>
    <w:lvl w:ilvl="0">
      <w:start w:val="1"/>
      <w:numFmt w:val="lowerLetter"/>
      <w:lvlText w:val="%1."/>
      <w:lvlJc w:val="left"/>
      <w:pPr>
        <w:ind w:left="1282" w:hanging="360"/>
        <w:jc w:val="left"/>
      </w:pPr>
      <w:rPr>
        <w:rFonts w:hint="default" w:ascii="Times New Roman" w:hAnsi="Times New Roman" w:eastAsia="Times New Roman" w:cs="Times New Roman"/>
        <w:w w:val="100"/>
        <w:sz w:val="22"/>
        <w:szCs w:val="22"/>
        <w:lang w:val="es-gt" w:eastAsia="es-gt" w:bidi="es-gt"/>
      </w:rPr>
    </w:lvl>
    <w:lvl w:ilvl="1">
      <w:start w:val="0"/>
      <w:numFmt w:val="bullet"/>
      <w:lvlText w:val="•"/>
      <w:lvlJc w:val="left"/>
      <w:pPr>
        <w:ind w:left="2262" w:hanging="360"/>
      </w:pPr>
      <w:rPr>
        <w:rFonts w:hint="default"/>
        <w:lang w:val="es-gt" w:eastAsia="es-gt" w:bidi="es-gt"/>
      </w:rPr>
    </w:lvl>
    <w:lvl w:ilvl="2">
      <w:start w:val="0"/>
      <w:numFmt w:val="bullet"/>
      <w:lvlText w:val="•"/>
      <w:lvlJc w:val="left"/>
      <w:pPr>
        <w:ind w:left="3244" w:hanging="360"/>
      </w:pPr>
      <w:rPr>
        <w:rFonts w:hint="default"/>
        <w:lang w:val="es-gt" w:eastAsia="es-gt" w:bidi="es-gt"/>
      </w:rPr>
    </w:lvl>
    <w:lvl w:ilvl="3">
      <w:start w:val="0"/>
      <w:numFmt w:val="bullet"/>
      <w:lvlText w:val="•"/>
      <w:lvlJc w:val="left"/>
      <w:pPr>
        <w:ind w:left="4226" w:hanging="360"/>
      </w:pPr>
      <w:rPr>
        <w:rFonts w:hint="default"/>
        <w:lang w:val="es-gt" w:eastAsia="es-gt" w:bidi="es-gt"/>
      </w:rPr>
    </w:lvl>
    <w:lvl w:ilvl="4">
      <w:start w:val="0"/>
      <w:numFmt w:val="bullet"/>
      <w:lvlText w:val="•"/>
      <w:lvlJc w:val="left"/>
      <w:pPr>
        <w:ind w:left="5208" w:hanging="360"/>
      </w:pPr>
      <w:rPr>
        <w:rFonts w:hint="default"/>
        <w:lang w:val="es-gt" w:eastAsia="es-gt" w:bidi="es-gt"/>
      </w:rPr>
    </w:lvl>
    <w:lvl w:ilvl="5">
      <w:start w:val="0"/>
      <w:numFmt w:val="bullet"/>
      <w:lvlText w:val="•"/>
      <w:lvlJc w:val="left"/>
      <w:pPr>
        <w:ind w:left="6190" w:hanging="360"/>
      </w:pPr>
      <w:rPr>
        <w:rFonts w:hint="default"/>
        <w:lang w:val="es-gt" w:eastAsia="es-gt" w:bidi="es-gt"/>
      </w:rPr>
    </w:lvl>
    <w:lvl w:ilvl="6">
      <w:start w:val="0"/>
      <w:numFmt w:val="bullet"/>
      <w:lvlText w:val="•"/>
      <w:lvlJc w:val="left"/>
      <w:pPr>
        <w:ind w:left="7172" w:hanging="360"/>
      </w:pPr>
      <w:rPr>
        <w:rFonts w:hint="default"/>
        <w:lang w:val="es-gt" w:eastAsia="es-gt" w:bidi="es-gt"/>
      </w:rPr>
    </w:lvl>
    <w:lvl w:ilvl="7">
      <w:start w:val="0"/>
      <w:numFmt w:val="bullet"/>
      <w:lvlText w:val="•"/>
      <w:lvlJc w:val="left"/>
      <w:pPr>
        <w:ind w:left="8154" w:hanging="360"/>
      </w:pPr>
      <w:rPr>
        <w:rFonts w:hint="default"/>
        <w:lang w:val="es-gt" w:eastAsia="es-gt" w:bidi="es-gt"/>
      </w:rPr>
    </w:lvl>
    <w:lvl w:ilvl="8">
      <w:start w:val="0"/>
      <w:numFmt w:val="bullet"/>
      <w:lvlText w:val="•"/>
      <w:lvlJc w:val="left"/>
      <w:pPr>
        <w:ind w:left="9136" w:hanging="360"/>
      </w:pPr>
      <w:rPr>
        <w:rFonts w:hint="default"/>
        <w:lang w:val="es-gt" w:eastAsia="es-gt" w:bidi="es-gt"/>
      </w:rPr>
    </w:lvl>
  </w:abstractNum>
  <w:abstractNum w:abstractNumId="59">
    <w:multiLevelType w:val="hybridMultilevel"/>
    <w:lvl w:ilvl="0">
      <w:start w:val="0"/>
      <w:numFmt w:val="bullet"/>
      <w:lvlText w:val=""/>
      <w:lvlJc w:val="left"/>
      <w:pPr>
        <w:ind w:left="1282" w:hanging="360"/>
      </w:pPr>
      <w:rPr>
        <w:rFonts w:hint="default" w:ascii="Wingdings" w:hAnsi="Wingdings" w:eastAsia="Wingdings" w:cs="Wingdings"/>
        <w:b/>
        <w:bCs/>
        <w:w w:val="100"/>
        <w:sz w:val="22"/>
        <w:szCs w:val="22"/>
        <w:lang w:val="es-gt" w:eastAsia="es-gt" w:bidi="es-gt"/>
      </w:rPr>
    </w:lvl>
    <w:lvl w:ilvl="1">
      <w:start w:val="0"/>
      <w:numFmt w:val="bullet"/>
      <w:lvlText w:val="•"/>
      <w:lvlJc w:val="left"/>
      <w:pPr>
        <w:ind w:left="2262" w:hanging="360"/>
      </w:pPr>
      <w:rPr>
        <w:rFonts w:hint="default"/>
        <w:lang w:val="es-gt" w:eastAsia="es-gt" w:bidi="es-gt"/>
      </w:rPr>
    </w:lvl>
    <w:lvl w:ilvl="2">
      <w:start w:val="0"/>
      <w:numFmt w:val="bullet"/>
      <w:lvlText w:val="•"/>
      <w:lvlJc w:val="left"/>
      <w:pPr>
        <w:ind w:left="3244" w:hanging="360"/>
      </w:pPr>
      <w:rPr>
        <w:rFonts w:hint="default"/>
        <w:lang w:val="es-gt" w:eastAsia="es-gt" w:bidi="es-gt"/>
      </w:rPr>
    </w:lvl>
    <w:lvl w:ilvl="3">
      <w:start w:val="0"/>
      <w:numFmt w:val="bullet"/>
      <w:lvlText w:val="•"/>
      <w:lvlJc w:val="left"/>
      <w:pPr>
        <w:ind w:left="4226" w:hanging="360"/>
      </w:pPr>
      <w:rPr>
        <w:rFonts w:hint="default"/>
        <w:lang w:val="es-gt" w:eastAsia="es-gt" w:bidi="es-gt"/>
      </w:rPr>
    </w:lvl>
    <w:lvl w:ilvl="4">
      <w:start w:val="0"/>
      <w:numFmt w:val="bullet"/>
      <w:lvlText w:val="•"/>
      <w:lvlJc w:val="left"/>
      <w:pPr>
        <w:ind w:left="5208" w:hanging="360"/>
      </w:pPr>
      <w:rPr>
        <w:rFonts w:hint="default"/>
        <w:lang w:val="es-gt" w:eastAsia="es-gt" w:bidi="es-gt"/>
      </w:rPr>
    </w:lvl>
    <w:lvl w:ilvl="5">
      <w:start w:val="0"/>
      <w:numFmt w:val="bullet"/>
      <w:lvlText w:val="•"/>
      <w:lvlJc w:val="left"/>
      <w:pPr>
        <w:ind w:left="6190" w:hanging="360"/>
      </w:pPr>
      <w:rPr>
        <w:rFonts w:hint="default"/>
        <w:lang w:val="es-gt" w:eastAsia="es-gt" w:bidi="es-gt"/>
      </w:rPr>
    </w:lvl>
    <w:lvl w:ilvl="6">
      <w:start w:val="0"/>
      <w:numFmt w:val="bullet"/>
      <w:lvlText w:val="•"/>
      <w:lvlJc w:val="left"/>
      <w:pPr>
        <w:ind w:left="7172" w:hanging="360"/>
      </w:pPr>
      <w:rPr>
        <w:rFonts w:hint="default"/>
        <w:lang w:val="es-gt" w:eastAsia="es-gt" w:bidi="es-gt"/>
      </w:rPr>
    </w:lvl>
    <w:lvl w:ilvl="7">
      <w:start w:val="0"/>
      <w:numFmt w:val="bullet"/>
      <w:lvlText w:val="•"/>
      <w:lvlJc w:val="left"/>
      <w:pPr>
        <w:ind w:left="8154" w:hanging="360"/>
      </w:pPr>
      <w:rPr>
        <w:rFonts w:hint="default"/>
        <w:lang w:val="es-gt" w:eastAsia="es-gt" w:bidi="es-gt"/>
      </w:rPr>
    </w:lvl>
    <w:lvl w:ilvl="8">
      <w:start w:val="0"/>
      <w:numFmt w:val="bullet"/>
      <w:lvlText w:val="•"/>
      <w:lvlJc w:val="left"/>
      <w:pPr>
        <w:ind w:left="9136" w:hanging="360"/>
      </w:pPr>
      <w:rPr>
        <w:rFonts w:hint="default"/>
        <w:lang w:val="es-gt" w:eastAsia="es-gt" w:bidi="es-gt"/>
      </w:rPr>
    </w:lvl>
  </w:abstractNum>
  <w:abstractNum w:abstractNumId="58">
    <w:multiLevelType w:val="hybridMultilevel"/>
    <w:lvl w:ilvl="0">
      <w:start w:val="0"/>
      <w:numFmt w:val="bullet"/>
      <w:lvlText w:val="•"/>
      <w:lvlJc w:val="left"/>
      <w:pPr>
        <w:ind w:left="511" w:hanging="101"/>
      </w:pPr>
      <w:rPr>
        <w:rFonts w:hint="default" w:ascii="Calibri" w:hAnsi="Calibri" w:eastAsia="Calibri" w:cs="Calibri"/>
        <w:color w:val="FFFFFF"/>
        <w:spacing w:val="1"/>
        <w:w w:val="99"/>
        <w:sz w:val="18"/>
        <w:szCs w:val="18"/>
        <w:lang w:val="es-gt" w:eastAsia="es-gt" w:bidi="es-gt"/>
      </w:rPr>
    </w:lvl>
    <w:lvl w:ilvl="1">
      <w:start w:val="0"/>
      <w:numFmt w:val="bullet"/>
      <w:lvlText w:val="•"/>
      <w:lvlJc w:val="left"/>
      <w:pPr>
        <w:ind w:left="606" w:hanging="101"/>
      </w:pPr>
      <w:rPr>
        <w:rFonts w:hint="default"/>
        <w:lang w:val="es-gt" w:eastAsia="es-gt" w:bidi="es-gt"/>
      </w:rPr>
    </w:lvl>
    <w:lvl w:ilvl="2">
      <w:start w:val="0"/>
      <w:numFmt w:val="bullet"/>
      <w:lvlText w:val="•"/>
      <w:lvlJc w:val="left"/>
      <w:pPr>
        <w:ind w:left="693" w:hanging="101"/>
      </w:pPr>
      <w:rPr>
        <w:rFonts w:hint="default"/>
        <w:lang w:val="es-gt" w:eastAsia="es-gt" w:bidi="es-gt"/>
      </w:rPr>
    </w:lvl>
    <w:lvl w:ilvl="3">
      <w:start w:val="0"/>
      <w:numFmt w:val="bullet"/>
      <w:lvlText w:val="•"/>
      <w:lvlJc w:val="left"/>
      <w:pPr>
        <w:ind w:left="780" w:hanging="101"/>
      </w:pPr>
      <w:rPr>
        <w:rFonts w:hint="default"/>
        <w:lang w:val="es-gt" w:eastAsia="es-gt" w:bidi="es-gt"/>
      </w:rPr>
    </w:lvl>
    <w:lvl w:ilvl="4">
      <w:start w:val="0"/>
      <w:numFmt w:val="bullet"/>
      <w:lvlText w:val="•"/>
      <w:lvlJc w:val="left"/>
      <w:pPr>
        <w:ind w:left="867" w:hanging="101"/>
      </w:pPr>
      <w:rPr>
        <w:rFonts w:hint="default"/>
        <w:lang w:val="es-gt" w:eastAsia="es-gt" w:bidi="es-gt"/>
      </w:rPr>
    </w:lvl>
    <w:lvl w:ilvl="5">
      <w:start w:val="0"/>
      <w:numFmt w:val="bullet"/>
      <w:lvlText w:val="•"/>
      <w:lvlJc w:val="left"/>
      <w:pPr>
        <w:ind w:left="954" w:hanging="101"/>
      </w:pPr>
      <w:rPr>
        <w:rFonts w:hint="default"/>
        <w:lang w:val="es-gt" w:eastAsia="es-gt" w:bidi="es-gt"/>
      </w:rPr>
    </w:lvl>
    <w:lvl w:ilvl="6">
      <w:start w:val="0"/>
      <w:numFmt w:val="bullet"/>
      <w:lvlText w:val="•"/>
      <w:lvlJc w:val="left"/>
      <w:pPr>
        <w:ind w:left="1041" w:hanging="101"/>
      </w:pPr>
      <w:rPr>
        <w:rFonts w:hint="default"/>
        <w:lang w:val="es-gt" w:eastAsia="es-gt" w:bidi="es-gt"/>
      </w:rPr>
    </w:lvl>
    <w:lvl w:ilvl="7">
      <w:start w:val="0"/>
      <w:numFmt w:val="bullet"/>
      <w:lvlText w:val="•"/>
      <w:lvlJc w:val="left"/>
      <w:pPr>
        <w:ind w:left="1128" w:hanging="101"/>
      </w:pPr>
      <w:rPr>
        <w:rFonts w:hint="default"/>
        <w:lang w:val="es-gt" w:eastAsia="es-gt" w:bidi="es-gt"/>
      </w:rPr>
    </w:lvl>
    <w:lvl w:ilvl="8">
      <w:start w:val="0"/>
      <w:numFmt w:val="bullet"/>
      <w:lvlText w:val="•"/>
      <w:lvlJc w:val="left"/>
      <w:pPr>
        <w:ind w:left="1215" w:hanging="101"/>
      </w:pPr>
      <w:rPr>
        <w:rFonts w:hint="default"/>
        <w:lang w:val="es-gt" w:eastAsia="es-gt" w:bidi="es-gt"/>
      </w:rPr>
    </w:lvl>
  </w:abstractNum>
  <w:abstractNum w:abstractNumId="57">
    <w:multiLevelType w:val="hybridMultilevel"/>
    <w:lvl w:ilvl="0">
      <w:start w:val="2"/>
      <w:numFmt w:val="decimal"/>
      <w:lvlText w:val="%1"/>
      <w:lvlJc w:val="left"/>
      <w:pPr>
        <w:ind w:left="1354" w:hanging="432"/>
        <w:jc w:val="left"/>
      </w:pPr>
      <w:rPr>
        <w:rFonts w:hint="default"/>
        <w:lang w:val="es-gt" w:eastAsia="es-gt" w:bidi="es-gt"/>
      </w:rPr>
    </w:lvl>
    <w:lvl w:ilvl="1">
      <w:start w:val="1"/>
      <w:numFmt w:val="decimal"/>
      <w:lvlText w:val="%1.%2."/>
      <w:lvlJc w:val="left"/>
      <w:pPr>
        <w:ind w:left="1354" w:hanging="432"/>
        <w:jc w:val="left"/>
      </w:pPr>
      <w:rPr>
        <w:rFonts w:hint="default" w:ascii="Times New Roman" w:hAnsi="Times New Roman" w:eastAsia="Times New Roman" w:cs="Times New Roman"/>
        <w:b/>
        <w:bCs/>
        <w:w w:val="100"/>
        <w:sz w:val="22"/>
        <w:szCs w:val="22"/>
        <w:lang w:val="es-gt" w:eastAsia="es-gt" w:bidi="es-gt"/>
      </w:rPr>
    </w:lvl>
    <w:lvl w:ilvl="2">
      <w:start w:val="0"/>
      <w:numFmt w:val="bullet"/>
      <w:lvlText w:val="•"/>
      <w:lvlJc w:val="left"/>
      <w:pPr>
        <w:ind w:left="3308" w:hanging="432"/>
      </w:pPr>
      <w:rPr>
        <w:rFonts w:hint="default"/>
        <w:lang w:val="es-gt" w:eastAsia="es-gt" w:bidi="es-gt"/>
      </w:rPr>
    </w:lvl>
    <w:lvl w:ilvl="3">
      <w:start w:val="0"/>
      <w:numFmt w:val="bullet"/>
      <w:lvlText w:val="•"/>
      <w:lvlJc w:val="left"/>
      <w:pPr>
        <w:ind w:left="4282" w:hanging="432"/>
      </w:pPr>
      <w:rPr>
        <w:rFonts w:hint="default"/>
        <w:lang w:val="es-gt" w:eastAsia="es-gt" w:bidi="es-gt"/>
      </w:rPr>
    </w:lvl>
    <w:lvl w:ilvl="4">
      <w:start w:val="0"/>
      <w:numFmt w:val="bullet"/>
      <w:lvlText w:val="•"/>
      <w:lvlJc w:val="left"/>
      <w:pPr>
        <w:ind w:left="5256" w:hanging="432"/>
      </w:pPr>
      <w:rPr>
        <w:rFonts w:hint="default"/>
        <w:lang w:val="es-gt" w:eastAsia="es-gt" w:bidi="es-gt"/>
      </w:rPr>
    </w:lvl>
    <w:lvl w:ilvl="5">
      <w:start w:val="0"/>
      <w:numFmt w:val="bullet"/>
      <w:lvlText w:val="•"/>
      <w:lvlJc w:val="left"/>
      <w:pPr>
        <w:ind w:left="6230" w:hanging="432"/>
      </w:pPr>
      <w:rPr>
        <w:rFonts w:hint="default"/>
        <w:lang w:val="es-gt" w:eastAsia="es-gt" w:bidi="es-gt"/>
      </w:rPr>
    </w:lvl>
    <w:lvl w:ilvl="6">
      <w:start w:val="0"/>
      <w:numFmt w:val="bullet"/>
      <w:lvlText w:val="•"/>
      <w:lvlJc w:val="left"/>
      <w:pPr>
        <w:ind w:left="7204" w:hanging="432"/>
      </w:pPr>
      <w:rPr>
        <w:rFonts w:hint="default"/>
        <w:lang w:val="es-gt" w:eastAsia="es-gt" w:bidi="es-gt"/>
      </w:rPr>
    </w:lvl>
    <w:lvl w:ilvl="7">
      <w:start w:val="0"/>
      <w:numFmt w:val="bullet"/>
      <w:lvlText w:val="•"/>
      <w:lvlJc w:val="left"/>
      <w:pPr>
        <w:ind w:left="8178" w:hanging="432"/>
      </w:pPr>
      <w:rPr>
        <w:rFonts w:hint="default"/>
        <w:lang w:val="es-gt" w:eastAsia="es-gt" w:bidi="es-gt"/>
      </w:rPr>
    </w:lvl>
    <w:lvl w:ilvl="8">
      <w:start w:val="0"/>
      <w:numFmt w:val="bullet"/>
      <w:lvlText w:val="•"/>
      <w:lvlJc w:val="left"/>
      <w:pPr>
        <w:ind w:left="9152" w:hanging="432"/>
      </w:pPr>
      <w:rPr>
        <w:rFonts w:hint="default"/>
        <w:lang w:val="es-gt" w:eastAsia="es-gt" w:bidi="es-gt"/>
      </w:rPr>
    </w:lvl>
  </w:abstractNum>
  <w:abstractNum w:abstractNumId="56">
    <w:multiLevelType w:val="hybridMultilevel"/>
    <w:lvl w:ilvl="0">
      <w:start w:val="0"/>
      <w:numFmt w:val="bullet"/>
      <w:lvlText w:val=""/>
      <w:lvlJc w:val="left"/>
      <w:pPr>
        <w:ind w:left="562" w:hanging="360"/>
      </w:pPr>
      <w:rPr>
        <w:rFonts w:hint="default" w:ascii="Symbol" w:hAnsi="Symbol" w:eastAsia="Symbol" w:cs="Symbol"/>
        <w:w w:val="100"/>
        <w:sz w:val="22"/>
        <w:szCs w:val="22"/>
        <w:lang w:val="es-gt" w:eastAsia="es-gt" w:bidi="es-gt"/>
      </w:rPr>
    </w:lvl>
    <w:lvl w:ilvl="1">
      <w:start w:val="0"/>
      <w:numFmt w:val="bullet"/>
      <w:lvlText w:val="•"/>
      <w:lvlJc w:val="left"/>
      <w:pPr>
        <w:ind w:left="1614" w:hanging="360"/>
      </w:pPr>
      <w:rPr>
        <w:rFonts w:hint="default"/>
        <w:lang w:val="es-gt" w:eastAsia="es-gt" w:bidi="es-gt"/>
      </w:rPr>
    </w:lvl>
    <w:lvl w:ilvl="2">
      <w:start w:val="0"/>
      <w:numFmt w:val="bullet"/>
      <w:lvlText w:val="•"/>
      <w:lvlJc w:val="left"/>
      <w:pPr>
        <w:ind w:left="2668" w:hanging="360"/>
      </w:pPr>
      <w:rPr>
        <w:rFonts w:hint="default"/>
        <w:lang w:val="es-gt" w:eastAsia="es-gt" w:bidi="es-gt"/>
      </w:rPr>
    </w:lvl>
    <w:lvl w:ilvl="3">
      <w:start w:val="0"/>
      <w:numFmt w:val="bullet"/>
      <w:lvlText w:val="•"/>
      <w:lvlJc w:val="left"/>
      <w:pPr>
        <w:ind w:left="3722" w:hanging="360"/>
      </w:pPr>
      <w:rPr>
        <w:rFonts w:hint="default"/>
        <w:lang w:val="es-gt" w:eastAsia="es-gt" w:bidi="es-gt"/>
      </w:rPr>
    </w:lvl>
    <w:lvl w:ilvl="4">
      <w:start w:val="0"/>
      <w:numFmt w:val="bullet"/>
      <w:lvlText w:val="•"/>
      <w:lvlJc w:val="left"/>
      <w:pPr>
        <w:ind w:left="4776" w:hanging="360"/>
      </w:pPr>
      <w:rPr>
        <w:rFonts w:hint="default"/>
        <w:lang w:val="es-gt" w:eastAsia="es-gt" w:bidi="es-gt"/>
      </w:rPr>
    </w:lvl>
    <w:lvl w:ilvl="5">
      <w:start w:val="0"/>
      <w:numFmt w:val="bullet"/>
      <w:lvlText w:val="•"/>
      <w:lvlJc w:val="left"/>
      <w:pPr>
        <w:ind w:left="5830" w:hanging="360"/>
      </w:pPr>
      <w:rPr>
        <w:rFonts w:hint="default"/>
        <w:lang w:val="es-gt" w:eastAsia="es-gt" w:bidi="es-gt"/>
      </w:rPr>
    </w:lvl>
    <w:lvl w:ilvl="6">
      <w:start w:val="0"/>
      <w:numFmt w:val="bullet"/>
      <w:lvlText w:val="•"/>
      <w:lvlJc w:val="left"/>
      <w:pPr>
        <w:ind w:left="6884" w:hanging="360"/>
      </w:pPr>
      <w:rPr>
        <w:rFonts w:hint="default"/>
        <w:lang w:val="es-gt" w:eastAsia="es-gt" w:bidi="es-gt"/>
      </w:rPr>
    </w:lvl>
    <w:lvl w:ilvl="7">
      <w:start w:val="0"/>
      <w:numFmt w:val="bullet"/>
      <w:lvlText w:val="•"/>
      <w:lvlJc w:val="left"/>
      <w:pPr>
        <w:ind w:left="7938" w:hanging="360"/>
      </w:pPr>
      <w:rPr>
        <w:rFonts w:hint="default"/>
        <w:lang w:val="es-gt" w:eastAsia="es-gt" w:bidi="es-gt"/>
      </w:rPr>
    </w:lvl>
    <w:lvl w:ilvl="8">
      <w:start w:val="0"/>
      <w:numFmt w:val="bullet"/>
      <w:lvlText w:val="•"/>
      <w:lvlJc w:val="left"/>
      <w:pPr>
        <w:ind w:left="8992" w:hanging="360"/>
      </w:pPr>
      <w:rPr>
        <w:rFonts w:hint="default"/>
        <w:lang w:val="es-gt" w:eastAsia="es-gt" w:bidi="es-gt"/>
      </w:rPr>
    </w:lvl>
  </w:abstractNum>
  <w:abstractNum w:abstractNumId="55">
    <w:multiLevelType w:val="hybridMultilevel"/>
    <w:lvl w:ilvl="0">
      <w:start w:val="1"/>
      <w:numFmt w:val="lowerLetter"/>
      <w:lvlText w:val="%1)"/>
      <w:lvlJc w:val="left"/>
      <w:pPr>
        <w:ind w:left="922" w:hanging="360"/>
        <w:jc w:val="left"/>
      </w:pPr>
      <w:rPr>
        <w:rFonts w:hint="default" w:ascii="Times New Roman" w:hAnsi="Times New Roman" w:eastAsia="Times New Roman" w:cs="Times New Roman"/>
        <w:b/>
        <w:bCs/>
        <w:w w:val="100"/>
        <w:sz w:val="22"/>
        <w:szCs w:val="22"/>
        <w:lang w:val="es-gt" w:eastAsia="es-gt" w:bidi="es-gt"/>
      </w:rPr>
    </w:lvl>
    <w:lvl w:ilvl="1">
      <w:start w:val="1"/>
      <w:numFmt w:val="lowerRoman"/>
      <w:lvlText w:val="%2."/>
      <w:lvlJc w:val="left"/>
      <w:pPr>
        <w:ind w:left="1270" w:hanging="476"/>
        <w:jc w:val="right"/>
      </w:pPr>
      <w:rPr>
        <w:rFonts w:hint="default" w:ascii="Times New Roman" w:hAnsi="Times New Roman" w:eastAsia="Times New Roman" w:cs="Times New Roman"/>
        <w:b/>
        <w:bCs/>
        <w:spacing w:val="0"/>
        <w:w w:val="100"/>
        <w:sz w:val="22"/>
        <w:szCs w:val="22"/>
        <w:lang w:val="es-gt" w:eastAsia="es-gt" w:bidi="es-gt"/>
      </w:rPr>
    </w:lvl>
    <w:lvl w:ilvl="2">
      <w:start w:val="0"/>
      <w:numFmt w:val="bullet"/>
      <w:lvlText w:val="•"/>
      <w:lvlJc w:val="left"/>
      <w:pPr>
        <w:ind w:left="2371" w:hanging="476"/>
      </w:pPr>
      <w:rPr>
        <w:rFonts w:hint="default"/>
        <w:lang w:val="es-gt" w:eastAsia="es-gt" w:bidi="es-gt"/>
      </w:rPr>
    </w:lvl>
    <w:lvl w:ilvl="3">
      <w:start w:val="0"/>
      <w:numFmt w:val="bullet"/>
      <w:lvlText w:val="•"/>
      <w:lvlJc w:val="left"/>
      <w:pPr>
        <w:ind w:left="3462" w:hanging="476"/>
      </w:pPr>
      <w:rPr>
        <w:rFonts w:hint="default"/>
        <w:lang w:val="es-gt" w:eastAsia="es-gt" w:bidi="es-gt"/>
      </w:rPr>
    </w:lvl>
    <w:lvl w:ilvl="4">
      <w:start w:val="0"/>
      <w:numFmt w:val="bullet"/>
      <w:lvlText w:val="•"/>
      <w:lvlJc w:val="left"/>
      <w:pPr>
        <w:ind w:left="4553" w:hanging="476"/>
      </w:pPr>
      <w:rPr>
        <w:rFonts w:hint="default"/>
        <w:lang w:val="es-gt" w:eastAsia="es-gt" w:bidi="es-gt"/>
      </w:rPr>
    </w:lvl>
    <w:lvl w:ilvl="5">
      <w:start w:val="0"/>
      <w:numFmt w:val="bullet"/>
      <w:lvlText w:val="•"/>
      <w:lvlJc w:val="left"/>
      <w:pPr>
        <w:ind w:left="5644" w:hanging="476"/>
      </w:pPr>
      <w:rPr>
        <w:rFonts w:hint="default"/>
        <w:lang w:val="es-gt" w:eastAsia="es-gt" w:bidi="es-gt"/>
      </w:rPr>
    </w:lvl>
    <w:lvl w:ilvl="6">
      <w:start w:val="0"/>
      <w:numFmt w:val="bullet"/>
      <w:lvlText w:val="•"/>
      <w:lvlJc w:val="left"/>
      <w:pPr>
        <w:ind w:left="6735" w:hanging="476"/>
      </w:pPr>
      <w:rPr>
        <w:rFonts w:hint="default"/>
        <w:lang w:val="es-gt" w:eastAsia="es-gt" w:bidi="es-gt"/>
      </w:rPr>
    </w:lvl>
    <w:lvl w:ilvl="7">
      <w:start w:val="0"/>
      <w:numFmt w:val="bullet"/>
      <w:lvlText w:val="•"/>
      <w:lvlJc w:val="left"/>
      <w:pPr>
        <w:ind w:left="7826" w:hanging="476"/>
      </w:pPr>
      <w:rPr>
        <w:rFonts w:hint="default"/>
        <w:lang w:val="es-gt" w:eastAsia="es-gt" w:bidi="es-gt"/>
      </w:rPr>
    </w:lvl>
    <w:lvl w:ilvl="8">
      <w:start w:val="0"/>
      <w:numFmt w:val="bullet"/>
      <w:lvlText w:val="•"/>
      <w:lvlJc w:val="left"/>
      <w:pPr>
        <w:ind w:left="8917" w:hanging="476"/>
      </w:pPr>
      <w:rPr>
        <w:rFonts w:hint="default"/>
        <w:lang w:val="es-gt" w:eastAsia="es-gt" w:bidi="es-gt"/>
      </w:rPr>
    </w:lvl>
  </w:abstractNum>
  <w:abstractNum w:abstractNumId="54">
    <w:multiLevelType w:val="hybridMultilevel"/>
    <w:lvl w:ilvl="0">
      <w:start w:val="0"/>
      <w:numFmt w:val="bullet"/>
      <w:lvlText w:val=""/>
      <w:lvlJc w:val="left"/>
      <w:pPr>
        <w:ind w:left="922" w:hanging="360"/>
      </w:pPr>
      <w:rPr>
        <w:rFonts w:hint="default" w:ascii="Symbol" w:hAnsi="Symbol" w:eastAsia="Symbol" w:cs="Symbol"/>
        <w:w w:val="100"/>
        <w:sz w:val="22"/>
        <w:szCs w:val="22"/>
        <w:lang w:val="es-gt" w:eastAsia="es-gt" w:bidi="es-gt"/>
      </w:rPr>
    </w:lvl>
    <w:lvl w:ilvl="1">
      <w:start w:val="0"/>
      <w:numFmt w:val="bullet"/>
      <w:lvlText w:val="o"/>
      <w:lvlJc w:val="left"/>
      <w:pPr>
        <w:ind w:left="1282" w:hanging="360"/>
      </w:pPr>
      <w:rPr>
        <w:rFonts w:hint="default" w:ascii="Courier New" w:hAnsi="Courier New" w:eastAsia="Courier New" w:cs="Courier New"/>
        <w:w w:val="100"/>
        <w:sz w:val="22"/>
        <w:szCs w:val="22"/>
        <w:lang w:val="es-gt" w:eastAsia="es-gt" w:bidi="es-gt"/>
      </w:rPr>
    </w:lvl>
    <w:lvl w:ilvl="2">
      <w:start w:val="0"/>
      <w:numFmt w:val="bullet"/>
      <w:lvlText w:val="•"/>
      <w:lvlJc w:val="left"/>
      <w:pPr>
        <w:ind w:left="2371" w:hanging="360"/>
      </w:pPr>
      <w:rPr>
        <w:rFonts w:hint="default"/>
        <w:lang w:val="es-gt" w:eastAsia="es-gt" w:bidi="es-gt"/>
      </w:rPr>
    </w:lvl>
    <w:lvl w:ilvl="3">
      <w:start w:val="0"/>
      <w:numFmt w:val="bullet"/>
      <w:lvlText w:val="•"/>
      <w:lvlJc w:val="left"/>
      <w:pPr>
        <w:ind w:left="3462" w:hanging="360"/>
      </w:pPr>
      <w:rPr>
        <w:rFonts w:hint="default"/>
        <w:lang w:val="es-gt" w:eastAsia="es-gt" w:bidi="es-gt"/>
      </w:rPr>
    </w:lvl>
    <w:lvl w:ilvl="4">
      <w:start w:val="0"/>
      <w:numFmt w:val="bullet"/>
      <w:lvlText w:val="•"/>
      <w:lvlJc w:val="left"/>
      <w:pPr>
        <w:ind w:left="4553" w:hanging="360"/>
      </w:pPr>
      <w:rPr>
        <w:rFonts w:hint="default"/>
        <w:lang w:val="es-gt" w:eastAsia="es-gt" w:bidi="es-gt"/>
      </w:rPr>
    </w:lvl>
    <w:lvl w:ilvl="5">
      <w:start w:val="0"/>
      <w:numFmt w:val="bullet"/>
      <w:lvlText w:val="•"/>
      <w:lvlJc w:val="left"/>
      <w:pPr>
        <w:ind w:left="5644" w:hanging="360"/>
      </w:pPr>
      <w:rPr>
        <w:rFonts w:hint="default"/>
        <w:lang w:val="es-gt" w:eastAsia="es-gt" w:bidi="es-gt"/>
      </w:rPr>
    </w:lvl>
    <w:lvl w:ilvl="6">
      <w:start w:val="0"/>
      <w:numFmt w:val="bullet"/>
      <w:lvlText w:val="•"/>
      <w:lvlJc w:val="left"/>
      <w:pPr>
        <w:ind w:left="6735" w:hanging="360"/>
      </w:pPr>
      <w:rPr>
        <w:rFonts w:hint="default"/>
        <w:lang w:val="es-gt" w:eastAsia="es-gt" w:bidi="es-gt"/>
      </w:rPr>
    </w:lvl>
    <w:lvl w:ilvl="7">
      <w:start w:val="0"/>
      <w:numFmt w:val="bullet"/>
      <w:lvlText w:val="•"/>
      <w:lvlJc w:val="left"/>
      <w:pPr>
        <w:ind w:left="7826" w:hanging="360"/>
      </w:pPr>
      <w:rPr>
        <w:rFonts w:hint="default"/>
        <w:lang w:val="es-gt" w:eastAsia="es-gt" w:bidi="es-gt"/>
      </w:rPr>
    </w:lvl>
    <w:lvl w:ilvl="8">
      <w:start w:val="0"/>
      <w:numFmt w:val="bullet"/>
      <w:lvlText w:val="•"/>
      <w:lvlJc w:val="left"/>
      <w:pPr>
        <w:ind w:left="8917" w:hanging="360"/>
      </w:pPr>
      <w:rPr>
        <w:rFonts w:hint="default"/>
        <w:lang w:val="es-gt" w:eastAsia="es-gt" w:bidi="es-gt"/>
      </w:rPr>
    </w:lvl>
  </w:abstractNum>
  <w:abstractNum w:abstractNumId="53">
    <w:multiLevelType w:val="hybridMultilevel"/>
    <w:lvl w:ilvl="0">
      <w:start w:val="1"/>
      <w:numFmt w:val="decimal"/>
      <w:lvlText w:val="%1."/>
      <w:lvlJc w:val="left"/>
      <w:pPr>
        <w:ind w:left="1282" w:hanging="360"/>
        <w:jc w:val="left"/>
      </w:pPr>
      <w:rPr>
        <w:rFonts w:hint="default" w:ascii="Times New Roman" w:hAnsi="Times New Roman" w:eastAsia="Times New Roman" w:cs="Times New Roman"/>
        <w:b/>
        <w:bCs/>
        <w:spacing w:val="-2"/>
        <w:w w:val="100"/>
        <w:sz w:val="24"/>
        <w:szCs w:val="24"/>
        <w:lang w:val="es-gt" w:eastAsia="es-gt" w:bidi="es-gt"/>
      </w:rPr>
    </w:lvl>
    <w:lvl w:ilvl="1">
      <w:start w:val="1"/>
      <w:numFmt w:val="decimal"/>
      <w:lvlText w:val="%1.%2"/>
      <w:lvlJc w:val="left"/>
      <w:pPr>
        <w:ind w:left="1282" w:hanging="360"/>
        <w:jc w:val="right"/>
      </w:pPr>
      <w:rPr>
        <w:rFonts w:hint="default" w:ascii="Times New Roman" w:hAnsi="Times New Roman" w:eastAsia="Times New Roman" w:cs="Times New Roman"/>
        <w:b/>
        <w:bCs/>
        <w:w w:val="100"/>
        <w:sz w:val="22"/>
        <w:szCs w:val="22"/>
        <w:lang w:val="es-gt" w:eastAsia="es-gt" w:bidi="es-gt"/>
      </w:rPr>
    </w:lvl>
    <w:lvl w:ilvl="2">
      <w:start w:val="0"/>
      <w:numFmt w:val="bullet"/>
      <w:lvlText w:val="•"/>
      <w:lvlJc w:val="left"/>
      <w:pPr>
        <w:ind w:left="3244" w:hanging="360"/>
      </w:pPr>
      <w:rPr>
        <w:rFonts w:hint="default"/>
        <w:lang w:val="es-gt" w:eastAsia="es-gt" w:bidi="es-gt"/>
      </w:rPr>
    </w:lvl>
    <w:lvl w:ilvl="3">
      <w:start w:val="0"/>
      <w:numFmt w:val="bullet"/>
      <w:lvlText w:val="•"/>
      <w:lvlJc w:val="left"/>
      <w:pPr>
        <w:ind w:left="4226" w:hanging="360"/>
      </w:pPr>
      <w:rPr>
        <w:rFonts w:hint="default"/>
        <w:lang w:val="es-gt" w:eastAsia="es-gt" w:bidi="es-gt"/>
      </w:rPr>
    </w:lvl>
    <w:lvl w:ilvl="4">
      <w:start w:val="0"/>
      <w:numFmt w:val="bullet"/>
      <w:lvlText w:val="•"/>
      <w:lvlJc w:val="left"/>
      <w:pPr>
        <w:ind w:left="5208" w:hanging="360"/>
      </w:pPr>
      <w:rPr>
        <w:rFonts w:hint="default"/>
        <w:lang w:val="es-gt" w:eastAsia="es-gt" w:bidi="es-gt"/>
      </w:rPr>
    </w:lvl>
    <w:lvl w:ilvl="5">
      <w:start w:val="0"/>
      <w:numFmt w:val="bullet"/>
      <w:lvlText w:val="•"/>
      <w:lvlJc w:val="left"/>
      <w:pPr>
        <w:ind w:left="6190" w:hanging="360"/>
      </w:pPr>
      <w:rPr>
        <w:rFonts w:hint="default"/>
        <w:lang w:val="es-gt" w:eastAsia="es-gt" w:bidi="es-gt"/>
      </w:rPr>
    </w:lvl>
    <w:lvl w:ilvl="6">
      <w:start w:val="0"/>
      <w:numFmt w:val="bullet"/>
      <w:lvlText w:val="•"/>
      <w:lvlJc w:val="left"/>
      <w:pPr>
        <w:ind w:left="7172" w:hanging="360"/>
      </w:pPr>
      <w:rPr>
        <w:rFonts w:hint="default"/>
        <w:lang w:val="es-gt" w:eastAsia="es-gt" w:bidi="es-gt"/>
      </w:rPr>
    </w:lvl>
    <w:lvl w:ilvl="7">
      <w:start w:val="0"/>
      <w:numFmt w:val="bullet"/>
      <w:lvlText w:val="•"/>
      <w:lvlJc w:val="left"/>
      <w:pPr>
        <w:ind w:left="8154" w:hanging="360"/>
      </w:pPr>
      <w:rPr>
        <w:rFonts w:hint="default"/>
        <w:lang w:val="es-gt" w:eastAsia="es-gt" w:bidi="es-gt"/>
      </w:rPr>
    </w:lvl>
    <w:lvl w:ilvl="8">
      <w:start w:val="0"/>
      <w:numFmt w:val="bullet"/>
      <w:lvlText w:val="•"/>
      <w:lvlJc w:val="left"/>
      <w:pPr>
        <w:ind w:left="9136" w:hanging="360"/>
      </w:pPr>
      <w:rPr>
        <w:rFonts w:hint="default"/>
        <w:lang w:val="es-gt" w:eastAsia="es-gt" w:bidi="es-gt"/>
      </w:rPr>
    </w:lvl>
  </w:abstractNum>
  <w:abstractNum w:abstractNumId="52">
    <w:multiLevelType w:val="hybridMultilevel"/>
    <w:lvl w:ilvl="0">
      <w:start w:val="0"/>
      <w:numFmt w:val="bullet"/>
      <w:lvlText w:val=""/>
      <w:lvlJc w:val="left"/>
      <w:pPr>
        <w:ind w:left="1282" w:hanging="360"/>
      </w:pPr>
      <w:rPr>
        <w:rFonts w:hint="default"/>
        <w:w w:val="100"/>
        <w:lang w:val="es-gt" w:eastAsia="es-gt" w:bidi="es-gt"/>
      </w:rPr>
    </w:lvl>
    <w:lvl w:ilvl="1">
      <w:start w:val="0"/>
      <w:numFmt w:val="bullet"/>
      <w:lvlText w:val="•"/>
      <w:lvlJc w:val="left"/>
      <w:pPr>
        <w:ind w:left="2262" w:hanging="360"/>
      </w:pPr>
      <w:rPr>
        <w:rFonts w:hint="default"/>
        <w:lang w:val="es-gt" w:eastAsia="es-gt" w:bidi="es-gt"/>
      </w:rPr>
    </w:lvl>
    <w:lvl w:ilvl="2">
      <w:start w:val="0"/>
      <w:numFmt w:val="bullet"/>
      <w:lvlText w:val="•"/>
      <w:lvlJc w:val="left"/>
      <w:pPr>
        <w:ind w:left="3244" w:hanging="360"/>
      </w:pPr>
      <w:rPr>
        <w:rFonts w:hint="default"/>
        <w:lang w:val="es-gt" w:eastAsia="es-gt" w:bidi="es-gt"/>
      </w:rPr>
    </w:lvl>
    <w:lvl w:ilvl="3">
      <w:start w:val="0"/>
      <w:numFmt w:val="bullet"/>
      <w:lvlText w:val="•"/>
      <w:lvlJc w:val="left"/>
      <w:pPr>
        <w:ind w:left="4226" w:hanging="360"/>
      </w:pPr>
      <w:rPr>
        <w:rFonts w:hint="default"/>
        <w:lang w:val="es-gt" w:eastAsia="es-gt" w:bidi="es-gt"/>
      </w:rPr>
    </w:lvl>
    <w:lvl w:ilvl="4">
      <w:start w:val="0"/>
      <w:numFmt w:val="bullet"/>
      <w:lvlText w:val="•"/>
      <w:lvlJc w:val="left"/>
      <w:pPr>
        <w:ind w:left="5208" w:hanging="360"/>
      </w:pPr>
      <w:rPr>
        <w:rFonts w:hint="default"/>
        <w:lang w:val="es-gt" w:eastAsia="es-gt" w:bidi="es-gt"/>
      </w:rPr>
    </w:lvl>
    <w:lvl w:ilvl="5">
      <w:start w:val="0"/>
      <w:numFmt w:val="bullet"/>
      <w:lvlText w:val="•"/>
      <w:lvlJc w:val="left"/>
      <w:pPr>
        <w:ind w:left="6190" w:hanging="360"/>
      </w:pPr>
      <w:rPr>
        <w:rFonts w:hint="default"/>
        <w:lang w:val="es-gt" w:eastAsia="es-gt" w:bidi="es-gt"/>
      </w:rPr>
    </w:lvl>
    <w:lvl w:ilvl="6">
      <w:start w:val="0"/>
      <w:numFmt w:val="bullet"/>
      <w:lvlText w:val="•"/>
      <w:lvlJc w:val="left"/>
      <w:pPr>
        <w:ind w:left="7172" w:hanging="360"/>
      </w:pPr>
      <w:rPr>
        <w:rFonts w:hint="default"/>
        <w:lang w:val="es-gt" w:eastAsia="es-gt" w:bidi="es-gt"/>
      </w:rPr>
    </w:lvl>
    <w:lvl w:ilvl="7">
      <w:start w:val="0"/>
      <w:numFmt w:val="bullet"/>
      <w:lvlText w:val="•"/>
      <w:lvlJc w:val="left"/>
      <w:pPr>
        <w:ind w:left="8154" w:hanging="360"/>
      </w:pPr>
      <w:rPr>
        <w:rFonts w:hint="default"/>
        <w:lang w:val="es-gt" w:eastAsia="es-gt" w:bidi="es-gt"/>
      </w:rPr>
    </w:lvl>
    <w:lvl w:ilvl="8">
      <w:start w:val="0"/>
      <w:numFmt w:val="bullet"/>
      <w:lvlText w:val="•"/>
      <w:lvlJc w:val="left"/>
      <w:pPr>
        <w:ind w:left="9136" w:hanging="360"/>
      </w:pPr>
      <w:rPr>
        <w:rFonts w:hint="default"/>
        <w:lang w:val="es-gt" w:eastAsia="es-gt" w:bidi="es-gt"/>
      </w:rPr>
    </w:lvl>
  </w:abstractNum>
  <w:abstractNum w:abstractNumId="51">
    <w:multiLevelType w:val="hybridMultilevel"/>
    <w:lvl w:ilvl="0">
      <w:start w:val="7"/>
      <w:numFmt w:val="decimal"/>
      <w:lvlText w:val="%1."/>
      <w:lvlJc w:val="left"/>
      <w:pPr>
        <w:ind w:left="922" w:hanging="360"/>
        <w:jc w:val="left"/>
      </w:pPr>
      <w:rPr>
        <w:rFonts w:hint="default" w:ascii="Times New Roman" w:hAnsi="Times New Roman" w:eastAsia="Times New Roman" w:cs="Times New Roman"/>
        <w:b/>
        <w:bCs/>
        <w:spacing w:val="-2"/>
        <w:w w:val="100"/>
        <w:sz w:val="24"/>
        <w:szCs w:val="24"/>
        <w:lang w:val="es-gt" w:eastAsia="es-gt" w:bidi="es-gt"/>
      </w:rPr>
    </w:lvl>
    <w:lvl w:ilvl="1">
      <w:start w:val="1"/>
      <w:numFmt w:val="decimal"/>
      <w:lvlText w:val="%1.%2."/>
      <w:lvlJc w:val="left"/>
      <w:pPr>
        <w:ind w:left="1354" w:hanging="432"/>
        <w:jc w:val="left"/>
      </w:pPr>
      <w:rPr>
        <w:rFonts w:hint="default" w:ascii="Times New Roman" w:hAnsi="Times New Roman" w:eastAsia="Times New Roman" w:cs="Times New Roman"/>
        <w:b/>
        <w:bCs/>
        <w:w w:val="100"/>
        <w:sz w:val="24"/>
        <w:szCs w:val="24"/>
        <w:lang w:val="es-gt" w:eastAsia="es-gt" w:bidi="es-gt"/>
      </w:rPr>
    </w:lvl>
    <w:lvl w:ilvl="2">
      <w:start w:val="0"/>
      <w:numFmt w:val="bullet"/>
      <w:lvlText w:val="•"/>
      <w:lvlJc w:val="left"/>
      <w:pPr>
        <w:ind w:left="2442" w:hanging="432"/>
      </w:pPr>
      <w:rPr>
        <w:rFonts w:hint="default"/>
        <w:lang w:val="es-gt" w:eastAsia="es-gt" w:bidi="es-gt"/>
      </w:rPr>
    </w:lvl>
    <w:lvl w:ilvl="3">
      <w:start w:val="0"/>
      <w:numFmt w:val="bullet"/>
      <w:lvlText w:val="•"/>
      <w:lvlJc w:val="left"/>
      <w:pPr>
        <w:ind w:left="3524" w:hanging="432"/>
      </w:pPr>
      <w:rPr>
        <w:rFonts w:hint="default"/>
        <w:lang w:val="es-gt" w:eastAsia="es-gt" w:bidi="es-gt"/>
      </w:rPr>
    </w:lvl>
    <w:lvl w:ilvl="4">
      <w:start w:val="0"/>
      <w:numFmt w:val="bullet"/>
      <w:lvlText w:val="•"/>
      <w:lvlJc w:val="left"/>
      <w:pPr>
        <w:ind w:left="4606" w:hanging="432"/>
      </w:pPr>
      <w:rPr>
        <w:rFonts w:hint="default"/>
        <w:lang w:val="es-gt" w:eastAsia="es-gt" w:bidi="es-gt"/>
      </w:rPr>
    </w:lvl>
    <w:lvl w:ilvl="5">
      <w:start w:val="0"/>
      <w:numFmt w:val="bullet"/>
      <w:lvlText w:val="•"/>
      <w:lvlJc w:val="left"/>
      <w:pPr>
        <w:ind w:left="5688" w:hanging="432"/>
      </w:pPr>
      <w:rPr>
        <w:rFonts w:hint="default"/>
        <w:lang w:val="es-gt" w:eastAsia="es-gt" w:bidi="es-gt"/>
      </w:rPr>
    </w:lvl>
    <w:lvl w:ilvl="6">
      <w:start w:val="0"/>
      <w:numFmt w:val="bullet"/>
      <w:lvlText w:val="•"/>
      <w:lvlJc w:val="left"/>
      <w:pPr>
        <w:ind w:left="6771" w:hanging="432"/>
      </w:pPr>
      <w:rPr>
        <w:rFonts w:hint="default"/>
        <w:lang w:val="es-gt" w:eastAsia="es-gt" w:bidi="es-gt"/>
      </w:rPr>
    </w:lvl>
    <w:lvl w:ilvl="7">
      <w:start w:val="0"/>
      <w:numFmt w:val="bullet"/>
      <w:lvlText w:val="•"/>
      <w:lvlJc w:val="left"/>
      <w:pPr>
        <w:ind w:left="7853" w:hanging="432"/>
      </w:pPr>
      <w:rPr>
        <w:rFonts w:hint="default"/>
        <w:lang w:val="es-gt" w:eastAsia="es-gt" w:bidi="es-gt"/>
      </w:rPr>
    </w:lvl>
    <w:lvl w:ilvl="8">
      <w:start w:val="0"/>
      <w:numFmt w:val="bullet"/>
      <w:lvlText w:val="•"/>
      <w:lvlJc w:val="left"/>
      <w:pPr>
        <w:ind w:left="8935" w:hanging="432"/>
      </w:pPr>
      <w:rPr>
        <w:rFonts w:hint="default"/>
        <w:lang w:val="es-gt" w:eastAsia="es-gt" w:bidi="es-gt"/>
      </w:rPr>
    </w:lvl>
  </w:abstractNum>
  <w:abstractNum w:abstractNumId="50">
    <w:multiLevelType w:val="hybridMultilevel"/>
    <w:lvl w:ilvl="0">
      <w:start w:val="0"/>
      <w:numFmt w:val="bullet"/>
      <w:lvlText w:val=""/>
      <w:lvlJc w:val="left"/>
      <w:pPr>
        <w:ind w:left="448" w:hanging="360"/>
      </w:pPr>
      <w:rPr>
        <w:rFonts w:hint="default" w:ascii="Symbol" w:hAnsi="Symbol" w:eastAsia="Symbol" w:cs="Symbol"/>
        <w:w w:val="99"/>
        <w:sz w:val="14"/>
        <w:szCs w:val="14"/>
        <w:lang w:val="es-gt" w:eastAsia="es-gt" w:bidi="es-gt"/>
      </w:rPr>
    </w:lvl>
    <w:lvl w:ilvl="1">
      <w:start w:val="0"/>
      <w:numFmt w:val="bullet"/>
      <w:lvlText w:val="•"/>
      <w:lvlJc w:val="left"/>
      <w:pPr>
        <w:ind w:left="1299" w:hanging="360"/>
      </w:pPr>
      <w:rPr>
        <w:rFonts w:hint="default"/>
        <w:lang w:val="es-gt" w:eastAsia="es-gt" w:bidi="es-gt"/>
      </w:rPr>
    </w:lvl>
    <w:lvl w:ilvl="2">
      <w:start w:val="0"/>
      <w:numFmt w:val="bullet"/>
      <w:lvlText w:val="•"/>
      <w:lvlJc w:val="left"/>
      <w:pPr>
        <w:ind w:left="2159" w:hanging="360"/>
      </w:pPr>
      <w:rPr>
        <w:rFonts w:hint="default"/>
        <w:lang w:val="es-gt" w:eastAsia="es-gt" w:bidi="es-gt"/>
      </w:rPr>
    </w:lvl>
    <w:lvl w:ilvl="3">
      <w:start w:val="0"/>
      <w:numFmt w:val="bullet"/>
      <w:lvlText w:val="•"/>
      <w:lvlJc w:val="left"/>
      <w:pPr>
        <w:ind w:left="3018" w:hanging="360"/>
      </w:pPr>
      <w:rPr>
        <w:rFonts w:hint="default"/>
        <w:lang w:val="es-gt" w:eastAsia="es-gt" w:bidi="es-gt"/>
      </w:rPr>
    </w:lvl>
    <w:lvl w:ilvl="4">
      <w:start w:val="0"/>
      <w:numFmt w:val="bullet"/>
      <w:lvlText w:val="•"/>
      <w:lvlJc w:val="left"/>
      <w:pPr>
        <w:ind w:left="3878" w:hanging="360"/>
      </w:pPr>
      <w:rPr>
        <w:rFonts w:hint="default"/>
        <w:lang w:val="es-gt" w:eastAsia="es-gt" w:bidi="es-gt"/>
      </w:rPr>
    </w:lvl>
    <w:lvl w:ilvl="5">
      <w:start w:val="0"/>
      <w:numFmt w:val="bullet"/>
      <w:lvlText w:val="•"/>
      <w:lvlJc w:val="left"/>
      <w:pPr>
        <w:ind w:left="4737" w:hanging="360"/>
      </w:pPr>
      <w:rPr>
        <w:rFonts w:hint="default"/>
        <w:lang w:val="es-gt" w:eastAsia="es-gt" w:bidi="es-gt"/>
      </w:rPr>
    </w:lvl>
    <w:lvl w:ilvl="6">
      <w:start w:val="0"/>
      <w:numFmt w:val="bullet"/>
      <w:lvlText w:val="•"/>
      <w:lvlJc w:val="left"/>
      <w:pPr>
        <w:ind w:left="5597" w:hanging="360"/>
      </w:pPr>
      <w:rPr>
        <w:rFonts w:hint="default"/>
        <w:lang w:val="es-gt" w:eastAsia="es-gt" w:bidi="es-gt"/>
      </w:rPr>
    </w:lvl>
    <w:lvl w:ilvl="7">
      <w:start w:val="0"/>
      <w:numFmt w:val="bullet"/>
      <w:lvlText w:val="•"/>
      <w:lvlJc w:val="left"/>
      <w:pPr>
        <w:ind w:left="6456" w:hanging="360"/>
      </w:pPr>
      <w:rPr>
        <w:rFonts w:hint="default"/>
        <w:lang w:val="es-gt" w:eastAsia="es-gt" w:bidi="es-gt"/>
      </w:rPr>
    </w:lvl>
    <w:lvl w:ilvl="8">
      <w:start w:val="0"/>
      <w:numFmt w:val="bullet"/>
      <w:lvlText w:val="•"/>
      <w:lvlJc w:val="left"/>
      <w:pPr>
        <w:ind w:left="7316" w:hanging="360"/>
      </w:pPr>
      <w:rPr>
        <w:rFonts w:hint="default"/>
        <w:lang w:val="es-gt" w:eastAsia="es-gt" w:bidi="es-gt"/>
      </w:rPr>
    </w:lvl>
  </w:abstractNum>
  <w:abstractNum w:abstractNumId="49">
    <w:multiLevelType w:val="hybridMultilevel"/>
    <w:lvl w:ilvl="0">
      <w:start w:val="0"/>
      <w:numFmt w:val="bullet"/>
      <w:lvlText w:val=""/>
      <w:lvlJc w:val="left"/>
      <w:pPr>
        <w:ind w:left="828" w:hanging="360"/>
      </w:pPr>
      <w:rPr>
        <w:rFonts w:hint="default" w:ascii="Wingdings" w:hAnsi="Wingdings" w:eastAsia="Wingdings" w:cs="Wingdings"/>
        <w:w w:val="99"/>
        <w:sz w:val="20"/>
        <w:szCs w:val="20"/>
        <w:lang w:val="es-gt" w:eastAsia="es-gt" w:bidi="es-gt"/>
      </w:rPr>
    </w:lvl>
    <w:lvl w:ilvl="1">
      <w:start w:val="0"/>
      <w:numFmt w:val="bullet"/>
      <w:lvlText w:val="•"/>
      <w:lvlJc w:val="left"/>
      <w:pPr>
        <w:ind w:left="1250" w:hanging="360"/>
      </w:pPr>
      <w:rPr>
        <w:rFonts w:hint="default"/>
        <w:lang w:val="es-gt" w:eastAsia="es-gt" w:bidi="es-gt"/>
      </w:rPr>
    </w:lvl>
    <w:lvl w:ilvl="2">
      <w:start w:val="0"/>
      <w:numFmt w:val="bullet"/>
      <w:lvlText w:val="•"/>
      <w:lvlJc w:val="left"/>
      <w:pPr>
        <w:ind w:left="1681" w:hanging="360"/>
      </w:pPr>
      <w:rPr>
        <w:rFonts w:hint="default"/>
        <w:lang w:val="es-gt" w:eastAsia="es-gt" w:bidi="es-gt"/>
      </w:rPr>
    </w:lvl>
    <w:lvl w:ilvl="3">
      <w:start w:val="0"/>
      <w:numFmt w:val="bullet"/>
      <w:lvlText w:val="•"/>
      <w:lvlJc w:val="left"/>
      <w:pPr>
        <w:ind w:left="2112" w:hanging="360"/>
      </w:pPr>
      <w:rPr>
        <w:rFonts w:hint="default"/>
        <w:lang w:val="es-gt" w:eastAsia="es-gt" w:bidi="es-gt"/>
      </w:rPr>
    </w:lvl>
    <w:lvl w:ilvl="4">
      <w:start w:val="0"/>
      <w:numFmt w:val="bullet"/>
      <w:lvlText w:val="•"/>
      <w:lvlJc w:val="left"/>
      <w:pPr>
        <w:ind w:left="2543" w:hanging="360"/>
      </w:pPr>
      <w:rPr>
        <w:rFonts w:hint="default"/>
        <w:lang w:val="es-gt" w:eastAsia="es-gt" w:bidi="es-gt"/>
      </w:rPr>
    </w:lvl>
    <w:lvl w:ilvl="5">
      <w:start w:val="0"/>
      <w:numFmt w:val="bullet"/>
      <w:lvlText w:val="•"/>
      <w:lvlJc w:val="left"/>
      <w:pPr>
        <w:ind w:left="2974" w:hanging="360"/>
      </w:pPr>
      <w:rPr>
        <w:rFonts w:hint="default"/>
        <w:lang w:val="es-gt" w:eastAsia="es-gt" w:bidi="es-gt"/>
      </w:rPr>
    </w:lvl>
    <w:lvl w:ilvl="6">
      <w:start w:val="0"/>
      <w:numFmt w:val="bullet"/>
      <w:lvlText w:val="•"/>
      <w:lvlJc w:val="left"/>
      <w:pPr>
        <w:ind w:left="3405" w:hanging="360"/>
      </w:pPr>
      <w:rPr>
        <w:rFonts w:hint="default"/>
        <w:lang w:val="es-gt" w:eastAsia="es-gt" w:bidi="es-gt"/>
      </w:rPr>
    </w:lvl>
    <w:lvl w:ilvl="7">
      <w:start w:val="0"/>
      <w:numFmt w:val="bullet"/>
      <w:lvlText w:val="•"/>
      <w:lvlJc w:val="left"/>
      <w:pPr>
        <w:ind w:left="3836" w:hanging="360"/>
      </w:pPr>
      <w:rPr>
        <w:rFonts w:hint="default"/>
        <w:lang w:val="es-gt" w:eastAsia="es-gt" w:bidi="es-gt"/>
      </w:rPr>
    </w:lvl>
    <w:lvl w:ilvl="8">
      <w:start w:val="0"/>
      <w:numFmt w:val="bullet"/>
      <w:lvlText w:val="•"/>
      <w:lvlJc w:val="left"/>
      <w:pPr>
        <w:ind w:left="4267" w:hanging="360"/>
      </w:pPr>
      <w:rPr>
        <w:rFonts w:hint="default"/>
        <w:lang w:val="es-gt" w:eastAsia="es-gt" w:bidi="es-gt"/>
      </w:rPr>
    </w:lvl>
  </w:abstractNum>
  <w:abstractNum w:abstractNumId="48">
    <w:multiLevelType w:val="hybridMultilevel"/>
    <w:lvl w:ilvl="0">
      <w:start w:val="0"/>
      <w:numFmt w:val="bullet"/>
      <w:lvlText w:val=""/>
      <w:lvlJc w:val="left"/>
      <w:pPr>
        <w:ind w:left="828" w:hanging="360"/>
      </w:pPr>
      <w:rPr>
        <w:rFonts w:hint="default" w:ascii="Wingdings" w:hAnsi="Wingdings" w:eastAsia="Wingdings" w:cs="Wingdings"/>
        <w:w w:val="99"/>
        <w:sz w:val="20"/>
        <w:szCs w:val="20"/>
        <w:lang w:val="es-gt" w:eastAsia="es-gt" w:bidi="es-gt"/>
      </w:rPr>
    </w:lvl>
    <w:lvl w:ilvl="1">
      <w:start w:val="0"/>
      <w:numFmt w:val="bullet"/>
      <w:lvlText w:val="•"/>
      <w:lvlJc w:val="left"/>
      <w:pPr>
        <w:ind w:left="1250" w:hanging="360"/>
      </w:pPr>
      <w:rPr>
        <w:rFonts w:hint="default"/>
        <w:lang w:val="es-gt" w:eastAsia="es-gt" w:bidi="es-gt"/>
      </w:rPr>
    </w:lvl>
    <w:lvl w:ilvl="2">
      <w:start w:val="0"/>
      <w:numFmt w:val="bullet"/>
      <w:lvlText w:val="•"/>
      <w:lvlJc w:val="left"/>
      <w:pPr>
        <w:ind w:left="1681" w:hanging="360"/>
      </w:pPr>
      <w:rPr>
        <w:rFonts w:hint="default"/>
        <w:lang w:val="es-gt" w:eastAsia="es-gt" w:bidi="es-gt"/>
      </w:rPr>
    </w:lvl>
    <w:lvl w:ilvl="3">
      <w:start w:val="0"/>
      <w:numFmt w:val="bullet"/>
      <w:lvlText w:val="•"/>
      <w:lvlJc w:val="left"/>
      <w:pPr>
        <w:ind w:left="2112" w:hanging="360"/>
      </w:pPr>
      <w:rPr>
        <w:rFonts w:hint="default"/>
        <w:lang w:val="es-gt" w:eastAsia="es-gt" w:bidi="es-gt"/>
      </w:rPr>
    </w:lvl>
    <w:lvl w:ilvl="4">
      <w:start w:val="0"/>
      <w:numFmt w:val="bullet"/>
      <w:lvlText w:val="•"/>
      <w:lvlJc w:val="left"/>
      <w:pPr>
        <w:ind w:left="2543" w:hanging="360"/>
      </w:pPr>
      <w:rPr>
        <w:rFonts w:hint="default"/>
        <w:lang w:val="es-gt" w:eastAsia="es-gt" w:bidi="es-gt"/>
      </w:rPr>
    </w:lvl>
    <w:lvl w:ilvl="5">
      <w:start w:val="0"/>
      <w:numFmt w:val="bullet"/>
      <w:lvlText w:val="•"/>
      <w:lvlJc w:val="left"/>
      <w:pPr>
        <w:ind w:left="2974" w:hanging="360"/>
      </w:pPr>
      <w:rPr>
        <w:rFonts w:hint="default"/>
        <w:lang w:val="es-gt" w:eastAsia="es-gt" w:bidi="es-gt"/>
      </w:rPr>
    </w:lvl>
    <w:lvl w:ilvl="6">
      <w:start w:val="0"/>
      <w:numFmt w:val="bullet"/>
      <w:lvlText w:val="•"/>
      <w:lvlJc w:val="left"/>
      <w:pPr>
        <w:ind w:left="3405" w:hanging="360"/>
      </w:pPr>
      <w:rPr>
        <w:rFonts w:hint="default"/>
        <w:lang w:val="es-gt" w:eastAsia="es-gt" w:bidi="es-gt"/>
      </w:rPr>
    </w:lvl>
    <w:lvl w:ilvl="7">
      <w:start w:val="0"/>
      <w:numFmt w:val="bullet"/>
      <w:lvlText w:val="•"/>
      <w:lvlJc w:val="left"/>
      <w:pPr>
        <w:ind w:left="3836" w:hanging="360"/>
      </w:pPr>
      <w:rPr>
        <w:rFonts w:hint="default"/>
        <w:lang w:val="es-gt" w:eastAsia="es-gt" w:bidi="es-gt"/>
      </w:rPr>
    </w:lvl>
    <w:lvl w:ilvl="8">
      <w:start w:val="0"/>
      <w:numFmt w:val="bullet"/>
      <w:lvlText w:val="•"/>
      <w:lvlJc w:val="left"/>
      <w:pPr>
        <w:ind w:left="4267" w:hanging="360"/>
      </w:pPr>
      <w:rPr>
        <w:rFonts w:hint="default"/>
        <w:lang w:val="es-gt" w:eastAsia="es-gt" w:bidi="es-gt"/>
      </w:rPr>
    </w:lvl>
  </w:abstractNum>
  <w:abstractNum w:abstractNumId="47">
    <w:multiLevelType w:val="hybridMultilevel"/>
    <w:lvl w:ilvl="0">
      <w:start w:val="0"/>
      <w:numFmt w:val="bullet"/>
      <w:lvlText w:val=""/>
      <w:lvlJc w:val="left"/>
      <w:pPr>
        <w:ind w:left="828" w:hanging="360"/>
      </w:pPr>
      <w:rPr>
        <w:rFonts w:hint="default" w:ascii="Wingdings" w:hAnsi="Wingdings" w:eastAsia="Wingdings" w:cs="Wingdings"/>
        <w:w w:val="99"/>
        <w:sz w:val="20"/>
        <w:szCs w:val="20"/>
        <w:lang w:val="es-gt" w:eastAsia="es-gt" w:bidi="es-gt"/>
      </w:rPr>
    </w:lvl>
    <w:lvl w:ilvl="1">
      <w:start w:val="0"/>
      <w:numFmt w:val="bullet"/>
      <w:lvlText w:val="•"/>
      <w:lvlJc w:val="left"/>
      <w:pPr>
        <w:ind w:left="1250" w:hanging="360"/>
      </w:pPr>
      <w:rPr>
        <w:rFonts w:hint="default"/>
        <w:lang w:val="es-gt" w:eastAsia="es-gt" w:bidi="es-gt"/>
      </w:rPr>
    </w:lvl>
    <w:lvl w:ilvl="2">
      <w:start w:val="0"/>
      <w:numFmt w:val="bullet"/>
      <w:lvlText w:val="•"/>
      <w:lvlJc w:val="left"/>
      <w:pPr>
        <w:ind w:left="1681" w:hanging="360"/>
      </w:pPr>
      <w:rPr>
        <w:rFonts w:hint="default"/>
        <w:lang w:val="es-gt" w:eastAsia="es-gt" w:bidi="es-gt"/>
      </w:rPr>
    </w:lvl>
    <w:lvl w:ilvl="3">
      <w:start w:val="0"/>
      <w:numFmt w:val="bullet"/>
      <w:lvlText w:val="•"/>
      <w:lvlJc w:val="left"/>
      <w:pPr>
        <w:ind w:left="2112" w:hanging="360"/>
      </w:pPr>
      <w:rPr>
        <w:rFonts w:hint="default"/>
        <w:lang w:val="es-gt" w:eastAsia="es-gt" w:bidi="es-gt"/>
      </w:rPr>
    </w:lvl>
    <w:lvl w:ilvl="4">
      <w:start w:val="0"/>
      <w:numFmt w:val="bullet"/>
      <w:lvlText w:val="•"/>
      <w:lvlJc w:val="left"/>
      <w:pPr>
        <w:ind w:left="2543" w:hanging="360"/>
      </w:pPr>
      <w:rPr>
        <w:rFonts w:hint="default"/>
        <w:lang w:val="es-gt" w:eastAsia="es-gt" w:bidi="es-gt"/>
      </w:rPr>
    </w:lvl>
    <w:lvl w:ilvl="5">
      <w:start w:val="0"/>
      <w:numFmt w:val="bullet"/>
      <w:lvlText w:val="•"/>
      <w:lvlJc w:val="left"/>
      <w:pPr>
        <w:ind w:left="2974" w:hanging="360"/>
      </w:pPr>
      <w:rPr>
        <w:rFonts w:hint="default"/>
        <w:lang w:val="es-gt" w:eastAsia="es-gt" w:bidi="es-gt"/>
      </w:rPr>
    </w:lvl>
    <w:lvl w:ilvl="6">
      <w:start w:val="0"/>
      <w:numFmt w:val="bullet"/>
      <w:lvlText w:val="•"/>
      <w:lvlJc w:val="left"/>
      <w:pPr>
        <w:ind w:left="3405" w:hanging="360"/>
      </w:pPr>
      <w:rPr>
        <w:rFonts w:hint="default"/>
        <w:lang w:val="es-gt" w:eastAsia="es-gt" w:bidi="es-gt"/>
      </w:rPr>
    </w:lvl>
    <w:lvl w:ilvl="7">
      <w:start w:val="0"/>
      <w:numFmt w:val="bullet"/>
      <w:lvlText w:val="•"/>
      <w:lvlJc w:val="left"/>
      <w:pPr>
        <w:ind w:left="3836" w:hanging="360"/>
      </w:pPr>
      <w:rPr>
        <w:rFonts w:hint="default"/>
        <w:lang w:val="es-gt" w:eastAsia="es-gt" w:bidi="es-gt"/>
      </w:rPr>
    </w:lvl>
    <w:lvl w:ilvl="8">
      <w:start w:val="0"/>
      <w:numFmt w:val="bullet"/>
      <w:lvlText w:val="•"/>
      <w:lvlJc w:val="left"/>
      <w:pPr>
        <w:ind w:left="4267" w:hanging="360"/>
      </w:pPr>
      <w:rPr>
        <w:rFonts w:hint="default"/>
        <w:lang w:val="es-gt" w:eastAsia="es-gt" w:bidi="es-gt"/>
      </w:rPr>
    </w:lvl>
  </w:abstractNum>
  <w:abstractNum w:abstractNumId="46">
    <w:multiLevelType w:val="hybridMultilevel"/>
    <w:lvl w:ilvl="0">
      <w:start w:val="0"/>
      <w:numFmt w:val="bullet"/>
      <w:lvlText w:val=""/>
      <w:lvlJc w:val="left"/>
      <w:pPr>
        <w:ind w:left="828" w:hanging="360"/>
      </w:pPr>
      <w:rPr>
        <w:rFonts w:hint="default" w:ascii="Wingdings" w:hAnsi="Wingdings" w:eastAsia="Wingdings" w:cs="Wingdings"/>
        <w:w w:val="99"/>
        <w:sz w:val="20"/>
        <w:szCs w:val="20"/>
        <w:lang w:val="es-gt" w:eastAsia="es-gt" w:bidi="es-gt"/>
      </w:rPr>
    </w:lvl>
    <w:lvl w:ilvl="1">
      <w:start w:val="0"/>
      <w:numFmt w:val="bullet"/>
      <w:lvlText w:val="•"/>
      <w:lvlJc w:val="left"/>
      <w:pPr>
        <w:ind w:left="1250" w:hanging="360"/>
      </w:pPr>
      <w:rPr>
        <w:rFonts w:hint="default"/>
        <w:lang w:val="es-gt" w:eastAsia="es-gt" w:bidi="es-gt"/>
      </w:rPr>
    </w:lvl>
    <w:lvl w:ilvl="2">
      <w:start w:val="0"/>
      <w:numFmt w:val="bullet"/>
      <w:lvlText w:val="•"/>
      <w:lvlJc w:val="left"/>
      <w:pPr>
        <w:ind w:left="1681" w:hanging="360"/>
      </w:pPr>
      <w:rPr>
        <w:rFonts w:hint="default"/>
        <w:lang w:val="es-gt" w:eastAsia="es-gt" w:bidi="es-gt"/>
      </w:rPr>
    </w:lvl>
    <w:lvl w:ilvl="3">
      <w:start w:val="0"/>
      <w:numFmt w:val="bullet"/>
      <w:lvlText w:val="•"/>
      <w:lvlJc w:val="left"/>
      <w:pPr>
        <w:ind w:left="2112" w:hanging="360"/>
      </w:pPr>
      <w:rPr>
        <w:rFonts w:hint="default"/>
        <w:lang w:val="es-gt" w:eastAsia="es-gt" w:bidi="es-gt"/>
      </w:rPr>
    </w:lvl>
    <w:lvl w:ilvl="4">
      <w:start w:val="0"/>
      <w:numFmt w:val="bullet"/>
      <w:lvlText w:val="•"/>
      <w:lvlJc w:val="left"/>
      <w:pPr>
        <w:ind w:left="2543" w:hanging="360"/>
      </w:pPr>
      <w:rPr>
        <w:rFonts w:hint="default"/>
        <w:lang w:val="es-gt" w:eastAsia="es-gt" w:bidi="es-gt"/>
      </w:rPr>
    </w:lvl>
    <w:lvl w:ilvl="5">
      <w:start w:val="0"/>
      <w:numFmt w:val="bullet"/>
      <w:lvlText w:val="•"/>
      <w:lvlJc w:val="left"/>
      <w:pPr>
        <w:ind w:left="2974" w:hanging="360"/>
      </w:pPr>
      <w:rPr>
        <w:rFonts w:hint="default"/>
        <w:lang w:val="es-gt" w:eastAsia="es-gt" w:bidi="es-gt"/>
      </w:rPr>
    </w:lvl>
    <w:lvl w:ilvl="6">
      <w:start w:val="0"/>
      <w:numFmt w:val="bullet"/>
      <w:lvlText w:val="•"/>
      <w:lvlJc w:val="left"/>
      <w:pPr>
        <w:ind w:left="3405" w:hanging="360"/>
      </w:pPr>
      <w:rPr>
        <w:rFonts w:hint="default"/>
        <w:lang w:val="es-gt" w:eastAsia="es-gt" w:bidi="es-gt"/>
      </w:rPr>
    </w:lvl>
    <w:lvl w:ilvl="7">
      <w:start w:val="0"/>
      <w:numFmt w:val="bullet"/>
      <w:lvlText w:val="•"/>
      <w:lvlJc w:val="left"/>
      <w:pPr>
        <w:ind w:left="3836" w:hanging="360"/>
      </w:pPr>
      <w:rPr>
        <w:rFonts w:hint="default"/>
        <w:lang w:val="es-gt" w:eastAsia="es-gt" w:bidi="es-gt"/>
      </w:rPr>
    </w:lvl>
    <w:lvl w:ilvl="8">
      <w:start w:val="0"/>
      <w:numFmt w:val="bullet"/>
      <w:lvlText w:val="•"/>
      <w:lvlJc w:val="left"/>
      <w:pPr>
        <w:ind w:left="4267" w:hanging="360"/>
      </w:pPr>
      <w:rPr>
        <w:rFonts w:hint="default"/>
        <w:lang w:val="es-gt" w:eastAsia="es-gt" w:bidi="es-gt"/>
      </w:rPr>
    </w:lvl>
  </w:abstractNum>
  <w:abstractNum w:abstractNumId="45">
    <w:multiLevelType w:val="hybridMultilevel"/>
    <w:lvl w:ilvl="0">
      <w:start w:val="0"/>
      <w:numFmt w:val="bullet"/>
      <w:lvlText w:val=""/>
      <w:lvlJc w:val="left"/>
      <w:pPr>
        <w:ind w:left="828" w:hanging="360"/>
      </w:pPr>
      <w:rPr>
        <w:rFonts w:hint="default" w:ascii="Wingdings" w:hAnsi="Wingdings" w:eastAsia="Wingdings" w:cs="Wingdings"/>
        <w:w w:val="99"/>
        <w:sz w:val="20"/>
        <w:szCs w:val="20"/>
        <w:lang w:val="es-gt" w:eastAsia="es-gt" w:bidi="es-gt"/>
      </w:rPr>
    </w:lvl>
    <w:lvl w:ilvl="1">
      <w:start w:val="0"/>
      <w:numFmt w:val="bullet"/>
      <w:lvlText w:val="•"/>
      <w:lvlJc w:val="left"/>
      <w:pPr>
        <w:ind w:left="1250" w:hanging="360"/>
      </w:pPr>
      <w:rPr>
        <w:rFonts w:hint="default"/>
        <w:lang w:val="es-gt" w:eastAsia="es-gt" w:bidi="es-gt"/>
      </w:rPr>
    </w:lvl>
    <w:lvl w:ilvl="2">
      <w:start w:val="0"/>
      <w:numFmt w:val="bullet"/>
      <w:lvlText w:val="•"/>
      <w:lvlJc w:val="left"/>
      <w:pPr>
        <w:ind w:left="1681" w:hanging="360"/>
      </w:pPr>
      <w:rPr>
        <w:rFonts w:hint="default"/>
        <w:lang w:val="es-gt" w:eastAsia="es-gt" w:bidi="es-gt"/>
      </w:rPr>
    </w:lvl>
    <w:lvl w:ilvl="3">
      <w:start w:val="0"/>
      <w:numFmt w:val="bullet"/>
      <w:lvlText w:val="•"/>
      <w:lvlJc w:val="left"/>
      <w:pPr>
        <w:ind w:left="2112" w:hanging="360"/>
      </w:pPr>
      <w:rPr>
        <w:rFonts w:hint="default"/>
        <w:lang w:val="es-gt" w:eastAsia="es-gt" w:bidi="es-gt"/>
      </w:rPr>
    </w:lvl>
    <w:lvl w:ilvl="4">
      <w:start w:val="0"/>
      <w:numFmt w:val="bullet"/>
      <w:lvlText w:val="•"/>
      <w:lvlJc w:val="left"/>
      <w:pPr>
        <w:ind w:left="2543" w:hanging="360"/>
      </w:pPr>
      <w:rPr>
        <w:rFonts w:hint="default"/>
        <w:lang w:val="es-gt" w:eastAsia="es-gt" w:bidi="es-gt"/>
      </w:rPr>
    </w:lvl>
    <w:lvl w:ilvl="5">
      <w:start w:val="0"/>
      <w:numFmt w:val="bullet"/>
      <w:lvlText w:val="•"/>
      <w:lvlJc w:val="left"/>
      <w:pPr>
        <w:ind w:left="2974" w:hanging="360"/>
      </w:pPr>
      <w:rPr>
        <w:rFonts w:hint="default"/>
        <w:lang w:val="es-gt" w:eastAsia="es-gt" w:bidi="es-gt"/>
      </w:rPr>
    </w:lvl>
    <w:lvl w:ilvl="6">
      <w:start w:val="0"/>
      <w:numFmt w:val="bullet"/>
      <w:lvlText w:val="•"/>
      <w:lvlJc w:val="left"/>
      <w:pPr>
        <w:ind w:left="3405" w:hanging="360"/>
      </w:pPr>
      <w:rPr>
        <w:rFonts w:hint="default"/>
        <w:lang w:val="es-gt" w:eastAsia="es-gt" w:bidi="es-gt"/>
      </w:rPr>
    </w:lvl>
    <w:lvl w:ilvl="7">
      <w:start w:val="0"/>
      <w:numFmt w:val="bullet"/>
      <w:lvlText w:val="•"/>
      <w:lvlJc w:val="left"/>
      <w:pPr>
        <w:ind w:left="3836" w:hanging="360"/>
      </w:pPr>
      <w:rPr>
        <w:rFonts w:hint="default"/>
        <w:lang w:val="es-gt" w:eastAsia="es-gt" w:bidi="es-gt"/>
      </w:rPr>
    </w:lvl>
    <w:lvl w:ilvl="8">
      <w:start w:val="0"/>
      <w:numFmt w:val="bullet"/>
      <w:lvlText w:val="•"/>
      <w:lvlJc w:val="left"/>
      <w:pPr>
        <w:ind w:left="4267" w:hanging="360"/>
      </w:pPr>
      <w:rPr>
        <w:rFonts w:hint="default"/>
        <w:lang w:val="es-gt" w:eastAsia="es-gt" w:bidi="es-gt"/>
      </w:rPr>
    </w:lvl>
  </w:abstractNum>
  <w:abstractNum w:abstractNumId="44">
    <w:multiLevelType w:val="hybridMultilevel"/>
    <w:lvl w:ilvl="0">
      <w:start w:val="0"/>
      <w:numFmt w:val="bullet"/>
      <w:lvlText w:val=""/>
      <w:lvlJc w:val="left"/>
      <w:pPr>
        <w:ind w:left="828" w:hanging="360"/>
      </w:pPr>
      <w:rPr>
        <w:rFonts w:hint="default" w:ascii="Wingdings" w:hAnsi="Wingdings" w:eastAsia="Wingdings" w:cs="Wingdings"/>
        <w:w w:val="99"/>
        <w:sz w:val="20"/>
        <w:szCs w:val="20"/>
        <w:lang w:val="es-gt" w:eastAsia="es-gt" w:bidi="es-gt"/>
      </w:rPr>
    </w:lvl>
    <w:lvl w:ilvl="1">
      <w:start w:val="0"/>
      <w:numFmt w:val="bullet"/>
      <w:lvlText w:val="•"/>
      <w:lvlJc w:val="left"/>
      <w:pPr>
        <w:ind w:left="1092" w:hanging="360"/>
      </w:pPr>
      <w:rPr>
        <w:rFonts w:hint="default"/>
        <w:lang w:val="es-gt" w:eastAsia="es-gt" w:bidi="es-gt"/>
      </w:rPr>
    </w:lvl>
    <w:lvl w:ilvl="2">
      <w:start w:val="0"/>
      <w:numFmt w:val="bullet"/>
      <w:lvlText w:val="•"/>
      <w:lvlJc w:val="left"/>
      <w:pPr>
        <w:ind w:left="1364" w:hanging="360"/>
      </w:pPr>
      <w:rPr>
        <w:rFonts w:hint="default"/>
        <w:lang w:val="es-gt" w:eastAsia="es-gt" w:bidi="es-gt"/>
      </w:rPr>
    </w:lvl>
    <w:lvl w:ilvl="3">
      <w:start w:val="0"/>
      <w:numFmt w:val="bullet"/>
      <w:lvlText w:val="•"/>
      <w:lvlJc w:val="left"/>
      <w:pPr>
        <w:ind w:left="1636" w:hanging="360"/>
      </w:pPr>
      <w:rPr>
        <w:rFonts w:hint="default"/>
        <w:lang w:val="es-gt" w:eastAsia="es-gt" w:bidi="es-gt"/>
      </w:rPr>
    </w:lvl>
    <w:lvl w:ilvl="4">
      <w:start w:val="0"/>
      <w:numFmt w:val="bullet"/>
      <w:lvlText w:val="•"/>
      <w:lvlJc w:val="left"/>
      <w:pPr>
        <w:ind w:left="1908" w:hanging="360"/>
      </w:pPr>
      <w:rPr>
        <w:rFonts w:hint="default"/>
        <w:lang w:val="es-gt" w:eastAsia="es-gt" w:bidi="es-gt"/>
      </w:rPr>
    </w:lvl>
    <w:lvl w:ilvl="5">
      <w:start w:val="0"/>
      <w:numFmt w:val="bullet"/>
      <w:lvlText w:val="•"/>
      <w:lvlJc w:val="left"/>
      <w:pPr>
        <w:ind w:left="2180" w:hanging="360"/>
      </w:pPr>
      <w:rPr>
        <w:rFonts w:hint="default"/>
        <w:lang w:val="es-gt" w:eastAsia="es-gt" w:bidi="es-gt"/>
      </w:rPr>
    </w:lvl>
    <w:lvl w:ilvl="6">
      <w:start w:val="0"/>
      <w:numFmt w:val="bullet"/>
      <w:lvlText w:val="•"/>
      <w:lvlJc w:val="left"/>
      <w:pPr>
        <w:ind w:left="2452" w:hanging="360"/>
      </w:pPr>
      <w:rPr>
        <w:rFonts w:hint="default"/>
        <w:lang w:val="es-gt" w:eastAsia="es-gt" w:bidi="es-gt"/>
      </w:rPr>
    </w:lvl>
    <w:lvl w:ilvl="7">
      <w:start w:val="0"/>
      <w:numFmt w:val="bullet"/>
      <w:lvlText w:val="•"/>
      <w:lvlJc w:val="left"/>
      <w:pPr>
        <w:ind w:left="2724" w:hanging="360"/>
      </w:pPr>
      <w:rPr>
        <w:rFonts w:hint="default"/>
        <w:lang w:val="es-gt" w:eastAsia="es-gt" w:bidi="es-gt"/>
      </w:rPr>
    </w:lvl>
    <w:lvl w:ilvl="8">
      <w:start w:val="0"/>
      <w:numFmt w:val="bullet"/>
      <w:lvlText w:val="•"/>
      <w:lvlJc w:val="left"/>
      <w:pPr>
        <w:ind w:left="2996" w:hanging="360"/>
      </w:pPr>
      <w:rPr>
        <w:rFonts w:hint="default"/>
        <w:lang w:val="es-gt" w:eastAsia="es-gt" w:bidi="es-gt"/>
      </w:rPr>
    </w:lvl>
  </w:abstractNum>
  <w:abstractNum w:abstractNumId="43">
    <w:multiLevelType w:val="hybridMultilevel"/>
    <w:lvl w:ilvl="0">
      <w:start w:val="0"/>
      <w:numFmt w:val="bullet"/>
      <w:lvlText w:val=""/>
      <w:lvlJc w:val="left"/>
      <w:pPr>
        <w:ind w:left="828" w:hanging="360"/>
      </w:pPr>
      <w:rPr>
        <w:rFonts w:hint="default" w:ascii="Wingdings" w:hAnsi="Wingdings" w:eastAsia="Wingdings" w:cs="Wingdings"/>
        <w:w w:val="99"/>
        <w:sz w:val="20"/>
        <w:szCs w:val="20"/>
        <w:lang w:val="es-gt" w:eastAsia="es-gt" w:bidi="es-gt"/>
      </w:rPr>
    </w:lvl>
    <w:lvl w:ilvl="1">
      <w:start w:val="0"/>
      <w:numFmt w:val="bullet"/>
      <w:lvlText w:val="•"/>
      <w:lvlJc w:val="left"/>
      <w:pPr>
        <w:ind w:left="1035" w:hanging="360"/>
      </w:pPr>
      <w:rPr>
        <w:rFonts w:hint="default"/>
        <w:lang w:val="es-gt" w:eastAsia="es-gt" w:bidi="es-gt"/>
      </w:rPr>
    </w:lvl>
    <w:lvl w:ilvl="2">
      <w:start w:val="0"/>
      <w:numFmt w:val="bullet"/>
      <w:lvlText w:val="•"/>
      <w:lvlJc w:val="left"/>
      <w:pPr>
        <w:ind w:left="1250" w:hanging="360"/>
      </w:pPr>
      <w:rPr>
        <w:rFonts w:hint="default"/>
        <w:lang w:val="es-gt" w:eastAsia="es-gt" w:bidi="es-gt"/>
      </w:rPr>
    </w:lvl>
    <w:lvl w:ilvl="3">
      <w:start w:val="0"/>
      <w:numFmt w:val="bullet"/>
      <w:lvlText w:val="•"/>
      <w:lvlJc w:val="left"/>
      <w:pPr>
        <w:ind w:left="1465" w:hanging="360"/>
      </w:pPr>
      <w:rPr>
        <w:rFonts w:hint="default"/>
        <w:lang w:val="es-gt" w:eastAsia="es-gt" w:bidi="es-gt"/>
      </w:rPr>
    </w:lvl>
    <w:lvl w:ilvl="4">
      <w:start w:val="0"/>
      <w:numFmt w:val="bullet"/>
      <w:lvlText w:val="•"/>
      <w:lvlJc w:val="left"/>
      <w:pPr>
        <w:ind w:left="1680" w:hanging="360"/>
      </w:pPr>
      <w:rPr>
        <w:rFonts w:hint="default"/>
        <w:lang w:val="es-gt" w:eastAsia="es-gt" w:bidi="es-gt"/>
      </w:rPr>
    </w:lvl>
    <w:lvl w:ilvl="5">
      <w:start w:val="0"/>
      <w:numFmt w:val="bullet"/>
      <w:lvlText w:val="•"/>
      <w:lvlJc w:val="left"/>
      <w:pPr>
        <w:ind w:left="1895" w:hanging="360"/>
      </w:pPr>
      <w:rPr>
        <w:rFonts w:hint="default"/>
        <w:lang w:val="es-gt" w:eastAsia="es-gt" w:bidi="es-gt"/>
      </w:rPr>
    </w:lvl>
    <w:lvl w:ilvl="6">
      <w:start w:val="0"/>
      <w:numFmt w:val="bullet"/>
      <w:lvlText w:val="•"/>
      <w:lvlJc w:val="left"/>
      <w:pPr>
        <w:ind w:left="2110" w:hanging="360"/>
      </w:pPr>
      <w:rPr>
        <w:rFonts w:hint="default"/>
        <w:lang w:val="es-gt" w:eastAsia="es-gt" w:bidi="es-gt"/>
      </w:rPr>
    </w:lvl>
    <w:lvl w:ilvl="7">
      <w:start w:val="0"/>
      <w:numFmt w:val="bullet"/>
      <w:lvlText w:val="•"/>
      <w:lvlJc w:val="left"/>
      <w:pPr>
        <w:ind w:left="2325" w:hanging="360"/>
      </w:pPr>
      <w:rPr>
        <w:rFonts w:hint="default"/>
        <w:lang w:val="es-gt" w:eastAsia="es-gt" w:bidi="es-gt"/>
      </w:rPr>
    </w:lvl>
    <w:lvl w:ilvl="8">
      <w:start w:val="0"/>
      <w:numFmt w:val="bullet"/>
      <w:lvlText w:val="•"/>
      <w:lvlJc w:val="left"/>
      <w:pPr>
        <w:ind w:left="2540" w:hanging="360"/>
      </w:pPr>
      <w:rPr>
        <w:rFonts w:hint="default"/>
        <w:lang w:val="es-gt" w:eastAsia="es-gt" w:bidi="es-gt"/>
      </w:rPr>
    </w:lvl>
  </w:abstractNum>
  <w:abstractNum w:abstractNumId="42">
    <w:multiLevelType w:val="hybridMultilevel"/>
    <w:lvl w:ilvl="0">
      <w:start w:val="0"/>
      <w:numFmt w:val="bullet"/>
      <w:lvlText w:val=""/>
      <w:lvlJc w:val="left"/>
      <w:pPr>
        <w:ind w:left="828" w:hanging="360"/>
      </w:pPr>
      <w:rPr>
        <w:rFonts w:hint="default" w:ascii="Wingdings" w:hAnsi="Wingdings" w:eastAsia="Wingdings" w:cs="Wingdings"/>
        <w:w w:val="99"/>
        <w:sz w:val="20"/>
        <w:szCs w:val="20"/>
        <w:lang w:val="es-gt" w:eastAsia="es-gt" w:bidi="es-gt"/>
      </w:rPr>
    </w:lvl>
    <w:lvl w:ilvl="1">
      <w:start w:val="0"/>
      <w:numFmt w:val="bullet"/>
      <w:lvlText w:val="•"/>
      <w:lvlJc w:val="left"/>
      <w:pPr>
        <w:ind w:left="1250" w:hanging="360"/>
      </w:pPr>
      <w:rPr>
        <w:rFonts w:hint="default"/>
        <w:lang w:val="es-gt" w:eastAsia="es-gt" w:bidi="es-gt"/>
      </w:rPr>
    </w:lvl>
    <w:lvl w:ilvl="2">
      <w:start w:val="0"/>
      <w:numFmt w:val="bullet"/>
      <w:lvlText w:val="•"/>
      <w:lvlJc w:val="left"/>
      <w:pPr>
        <w:ind w:left="1681" w:hanging="360"/>
      </w:pPr>
      <w:rPr>
        <w:rFonts w:hint="default"/>
        <w:lang w:val="es-gt" w:eastAsia="es-gt" w:bidi="es-gt"/>
      </w:rPr>
    </w:lvl>
    <w:lvl w:ilvl="3">
      <w:start w:val="0"/>
      <w:numFmt w:val="bullet"/>
      <w:lvlText w:val="•"/>
      <w:lvlJc w:val="left"/>
      <w:pPr>
        <w:ind w:left="2111" w:hanging="360"/>
      </w:pPr>
      <w:rPr>
        <w:rFonts w:hint="default"/>
        <w:lang w:val="es-gt" w:eastAsia="es-gt" w:bidi="es-gt"/>
      </w:rPr>
    </w:lvl>
    <w:lvl w:ilvl="4">
      <w:start w:val="0"/>
      <w:numFmt w:val="bullet"/>
      <w:lvlText w:val="•"/>
      <w:lvlJc w:val="left"/>
      <w:pPr>
        <w:ind w:left="2542" w:hanging="360"/>
      </w:pPr>
      <w:rPr>
        <w:rFonts w:hint="default"/>
        <w:lang w:val="es-gt" w:eastAsia="es-gt" w:bidi="es-gt"/>
      </w:rPr>
    </w:lvl>
    <w:lvl w:ilvl="5">
      <w:start w:val="0"/>
      <w:numFmt w:val="bullet"/>
      <w:lvlText w:val="•"/>
      <w:lvlJc w:val="left"/>
      <w:pPr>
        <w:ind w:left="2973" w:hanging="360"/>
      </w:pPr>
      <w:rPr>
        <w:rFonts w:hint="default"/>
        <w:lang w:val="es-gt" w:eastAsia="es-gt" w:bidi="es-gt"/>
      </w:rPr>
    </w:lvl>
    <w:lvl w:ilvl="6">
      <w:start w:val="0"/>
      <w:numFmt w:val="bullet"/>
      <w:lvlText w:val="•"/>
      <w:lvlJc w:val="left"/>
      <w:pPr>
        <w:ind w:left="3403" w:hanging="360"/>
      </w:pPr>
      <w:rPr>
        <w:rFonts w:hint="default"/>
        <w:lang w:val="es-gt" w:eastAsia="es-gt" w:bidi="es-gt"/>
      </w:rPr>
    </w:lvl>
    <w:lvl w:ilvl="7">
      <w:start w:val="0"/>
      <w:numFmt w:val="bullet"/>
      <w:lvlText w:val="•"/>
      <w:lvlJc w:val="left"/>
      <w:pPr>
        <w:ind w:left="3834" w:hanging="360"/>
      </w:pPr>
      <w:rPr>
        <w:rFonts w:hint="default"/>
        <w:lang w:val="es-gt" w:eastAsia="es-gt" w:bidi="es-gt"/>
      </w:rPr>
    </w:lvl>
    <w:lvl w:ilvl="8">
      <w:start w:val="0"/>
      <w:numFmt w:val="bullet"/>
      <w:lvlText w:val="•"/>
      <w:lvlJc w:val="left"/>
      <w:pPr>
        <w:ind w:left="4264" w:hanging="360"/>
      </w:pPr>
      <w:rPr>
        <w:rFonts w:hint="default"/>
        <w:lang w:val="es-gt" w:eastAsia="es-gt" w:bidi="es-gt"/>
      </w:rPr>
    </w:lvl>
  </w:abstractNum>
  <w:abstractNum w:abstractNumId="41">
    <w:multiLevelType w:val="hybridMultilevel"/>
    <w:lvl w:ilvl="0">
      <w:start w:val="0"/>
      <w:numFmt w:val="bullet"/>
      <w:lvlText w:val=""/>
      <w:lvlJc w:val="left"/>
      <w:pPr>
        <w:ind w:left="828" w:hanging="360"/>
      </w:pPr>
      <w:rPr>
        <w:rFonts w:hint="default" w:ascii="Wingdings" w:hAnsi="Wingdings" w:eastAsia="Wingdings" w:cs="Wingdings"/>
        <w:w w:val="99"/>
        <w:sz w:val="20"/>
        <w:szCs w:val="20"/>
        <w:lang w:val="es-gt" w:eastAsia="es-gt" w:bidi="es-gt"/>
      </w:rPr>
    </w:lvl>
    <w:lvl w:ilvl="1">
      <w:start w:val="0"/>
      <w:numFmt w:val="bullet"/>
      <w:lvlText w:val="•"/>
      <w:lvlJc w:val="left"/>
      <w:pPr>
        <w:ind w:left="1250" w:hanging="360"/>
      </w:pPr>
      <w:rPr>
        <w:rFonts w:hint="default"/>
        <w:lang w:val="es-gt" w:eastAsia="es-gt" w:bidi="es-gt"/>
      </w:rPr>
    </w:lvl>
    <w:lvl w:ilvl="2">
      <w:start w:val="0"/>
      <w:numFmt w:val="bullet"/>
      <w:lvlText w:val="•"/>
      <w:lvlJc w:val="left"/>
      <w:pPr>
        <w:ind w:left="1681" w:hanging="360"/>
      </w:pPr>
      <w:rPr>
        <w:rFonts w:hint="default"/>
        <w:lang w:val="es-gt" w:eastAsia="es-gt" w:bidi="es-gt"/>
      </w:rPr>
    </w:lvl>
    <w:lvl w:ilvl="3">
      <w:start w:val="0"/>
      <w:numFmt w:val="bullet"/>
      <w:lvlText w:val="•"/>
      <w:lvlJc w:val="left"/>
      <w:pPr>
        <w:ind w:left="2111" w:hanging="360"/>
      </w:pPr>
      <w:rPr>
        <w:rFonts w:hint="default"/>
        <w:lang w:val="es-gt" w:eastAsia="es-gt" w:bidi="es-gt"/>
      </w:rPr>
    </w:lvl>
    <w:lvl w:ilvl="4">
      <w:start w:val="0"/>
      <w:numFmt w:val="bullet"/>
      <w:lvlText w:val="•"/>
      <w:lvlJc w:val="left"/>
      <w:pPr>
        <w:ind w:left="2542" w:hanging="360"/>
      </w:pPr>
      <w:rPr>
        <w:rFonts w:hint="default"/>
        <w:lang w:val="es-gt" w:eastAsia="es-gt" w:bidi="es-gt"/>
      </w:rPr>
    </w:lvl>
    <w:lvl w:ilvl="5">
      <w:start w:val="0"/>
      <w:numFmt w:val="bullet"/>
      <w:lvlText w:val="•"/>
      <w:lvlJc w:val="left"/>
      <w:pPr>
        <w:ind w:left="2973" w:hanging="360"/>
      </w:pPr>
      <w:rPr>
        <w:rFonts w:hint="default"/>
        <w:lang w:val="es-gt" w:eastAsia="es-gt" w:bidi="es-gt"/>
      </w:rPr>
    </w:lvl>
    <w:lvl w:ilvl="6">
      <w:start w:val="0"/>
      <w:numFmt w:val="bullet"/>
      <w:lvlText w:val="•"/>
      <w:lvlJc w:val="left"/>
      <w:pPr>
        <w:ind w:left="3403" w:hanging="360"/>
      </w:pPr>
      <w:rPr>
        <w:rFonts w:hint="default"/>
        <w:lang w:val="es-gt" w:eastAsia="es-gt" w:bidi="es-gt"/>
      </w:rPr>
    </w:lvl>
    <w:lvl w:ilvl="7">
      <w:start w:val="0"/>
      <w:numFmt w:val="bullet"/>
      <w:lvlText w:val="•"/>
      <w:lvlJc w:val="left"/>
      <w:pPr>
        <w:ind w:left="3834" w:hanging="360"/>
      </w:pPr>
      <w:rPr>
        <w:rFonts w:hint="default"/>
        <w:lang w:val="es-gt" w:eastAsia="es-gt" w:bidi="es-gt"/>
      </w:rPr>
    </w:lvl>
    <w:lvl w:ilvl="8">
      <w:start w:val="0"/>
      <w:numFmt w:val="bullet"/>
      <w:lvlText w:val="•"/>
      <w:lvlJc w:val="left"/>
      <w:pPr>
        <w:ind w:left="4264" w:hanging="360"/>
      </w:pPr>
      <w:rPr>
        <w:rFonts w:hint="default"/>
        <w:lang w:val="es-gt" w:eastAsia="es-gt" w:bidi="es-gt"/>
      </w:rPr>
    </w:lvl>
  </w:abstractNum>
  <w:abstractNum w:abstractNumId="40">
    <w:multiLevelType w:val="hybridMultilevel"/>
    <w:lvl w:ilvl="0">
      <w:start w:val="0"/>
      <w:numFmt w:val="bullet"/>
      <w:lvlText w:val="-"/>
      <w:lvlJc w:val="left"/>
      <w:pPr>
        <w:ind w:left="1414" w:hanging="360"/>
      </w:pPr>
      <w:rPr>
        <w:rFonts w:hint="default" w:ascii="Verdana" w:hAnsi="Verdana" w:eastAsia="Verdana" w:cs="Verdana"/>
        <w:w w:val="100"/>
        <w:sz w:val="22"/>
        <w:szCs w:val="22"/>
        <w:lang w:val="es-gt" w:eastAsia="es-gt" w:bidi="es-gt"/>
      </w:rPr>
    </w:lvl>
    <w:lvl w:ilvl="1">
      <w:start w:val="0"/>
      <w:numFmt w:val="bullet"/>
      <w:lvlText w:val="•"/>
      <w:lvlJc w:val="left"/>
      <w:pPr>
        <w:ind w:left="2388" w:hanging="360"/>
      </w:pPr>
      <w:rPr>
        <w:rFonts w:hint="default"/>
        <w:lang w:val="es-gt" w:eastAsia="es-gt" w:bidi="es-gt"/>
      </w:rPr>
    </w:lvl>
    <w:lvl w:ilvl="2">
      <w:start w:val="0"/>
      <w:numFmt w:val="bullet"/>
      <w:lvlText w:val="•"/>
      <w:lvlJc w:val="left"/>
      <w:pPr>
        <w:ind w:left="3356" w:hanging="360"/>
      </w:pPr>
      <w:rPr>
        <w:rFonts w:hint="default"/>
        <w:lang w:val="es-gt" w:eastAsia="es-gt" w:bidi="es-gt"/>
      </w:rPr>
    </w:lvl>
    <w:lvl w:ilvl="3">
      <w:start w:val="0"/>
      <w:numFmt w:val="bullet"/>
      <w:lvlText w:val="•"/>
      <w:lvlJc w:val="left"/>
      <w:pPr>
        <w:ind w:left="4324" w:hanging="360"/>
      </w:pPr>
      <w:rPr>
        <w:rFonts w:hint="default"/>
        <w:lang w:val="es-gt" w:eastAsia="es-gt" w:bidi="es-gt"/>
      </w:rPr>
    </w:lvl>
    <w:lvl w:ilvl="4">
      <w:start w:val="0"/>
      <w:numFmt w:val="bullet"/>
      <w:lvlText w:val="•"/>
      <w:lvlJc w:val="left"/>
      <w:pPr>
        <w:ind w:left="5292" w:hanging="360"/>
      </w:pPr>
      <w:rPr>
        <w:rFonts w:hint="default"/>
        <w:lang w:val="es-gt" w:eastAsia="es-gt" w:bidi="es-gt"/>
      </w:rPr>
    </w:lvl>
    <w:lvl w:ilvl="5">
      <w:start w:val="0"/>
      <w:numFmt w:val="bullet"/>
      <w:lvlText w:val="•"/>
      <w:lvlJc w:val="left"/>
      <w:pPr>
        <w:ind w:left="6260" w:hanging="360"/>
      </w:pPr>
      <w:rPr>
        <w:rFonts w:hint="default"/>
        <w:lang w:val="es-gt" w:eastAsia="es-gt" w:bidi="es-gt"/>
      </w:rPr>
    </w:lvl>
    <w:lvl w:ilvl="6">
      <w:start w:val="0"/>
      <w:numFmt w:val="bullet"/>
      <w:lvlText w:val="•"/>
      <w:lvlJc w:val="left"/>
      <w:pPr>
        <w:ind w:left="7228" w:hanging="360"/>
      </w:pPr>
      <w:rPr>
        <w:rFonts w:hint="default"/>
        <w:lang w:val="es-gt" w:eastAsia="es-gt" w:bidi="es-gt"/>
      </w:rPr>
    </w:lvl>
    <w:lvl w:ilvl="7">
      <w:start w:val="0"/>
      <w:numFmt w:val="bullet"/>
      <w:lvlText w:val="•"/>
      <w:lvlJc w:val="left"/>
      <w:pPr>
        <w:ind w:left="8196" w:hanging="360"/>
      </w:pPr>
      <w:rPr>
        <w:rFonts w:hint="default"/>
        <w:lang w:val="es-gt" w:eastAsia="es-gt" w:bidi="es-gt"/>
      </w:rPr>
    </w:lvl>
    <w:lvl w:ilvl="8">
      <w:start w:val="0"/>
      <w:numFmt w:val="bullet"/>
      <w:lvlText w:val="•"/>
      <w:lvlJc w:val="left"/>
      <w:pPr>
        <w:ind w:left="9164" w:hanging="360"/>
      </w:pPr>
      <w:rPr>
        <w:rFonts w:hint="default"/>
        <w:lang w:val="es-gt" w:eastAsia="es-gt" w:bidi="es-gt"/>
      </w:rPr>
    </w:lvl>
  </w:abstractNum>
  <w:abstractNum w:abstractNumId="39">
    <w:multiLevelType w:val="hybridMultilevel"/>
    <w:lvl w:ilvl="0">
      <w:start w:val="0"/>
      <w:numFmt w:val="bullet"/>
      <w:lvlText w:val=""/>
      <w:lvlJc w:val="left"/>
      <w:pPr>
        <w:ind w:left="1282" w:hanging="360"/>
      </w:pPr>
      <w:rPr>
        <w:rFonts w:hint="default" w:ascii="Symbol" w:hAnsi="Symbol" w:eastAsia="Symbol" w:cs="Symbol"/>
        <w:w w:val="100"/>
        <w:sz w:val="22"/>
        <w:szCs w:val="22"/>
        <w:lang w:val="es-gt" w:eastAsia="es-gt" w:bidi="es-gt"/>
      </w:rPr>
    </w:lvl>
    <w:lvl w:ilvl="1">
      <w:start w:val="0"/>
      <w:numFmt w:val="bullet"/>
      <w:lvlText w:val="•"/>
      <w:lvlJc w:val="left"/>
      <w:pPr>
        <w:ind w:left="2262" w:hanging="360"/>
      </w:pPr>
      <w:rPr>
        <w:rFonts w:hint="default"/>
        <w:lang w:val="es-gt" w:eastAsia="es-gt" w:bidi="es-gt"/>
      </w:rPr>
    </w:lvl>
    <w:lvl w:ilvl="2">
      <w:start w:val="0"/>
      <w:numFmt w:val="bullet"/>
      <w:lvlText w:val="•"/>
      <w:lvlJc w:val="left"/>
      <w:pPr>
        <w:ind w:left="3244" w:hanging="360"/>
      </w:pPr>
      <w:rPr>
        <w:rFonts w:hint="default"/>
        <w:lang w:val="es-gt" w:eastAsia="es-gt" w:bidi="es-gt"/>
      </w:rPr>
    </w:lvl>
    <w:lvl w:ilvl="3">
      <w:start w:val="0"/>
      <w:numFmt w:val="bullet"/>
      <w:lvlText w:val="•"/>
      <w:lvlJc w:val="left"/>
      <w:pPr>
        <w:ind w:left="4226" w:hanging="360"/>
      </w:pPr>
      <w:rPr>
        <w:rFonts w:hint="default"/>
        <w:lang w:val="es-gt" w:eastAsia="es-gt" w:bidi="es-gt"/>
      </w:rPr>
    </w:lvl>
    <w:lvl w:ilvl="4">
      <w:start w:val="0"/>
      <w:numFmt w:val="bullet"/>
      <w:lvlText w:val="•"/>
      <w:lvlJc w:val="left"/>
      <w:pPr>
        <w:ind w:left="5208" w:hanging="360"/>
      </w:pPr>
      <w:rPr>
        <w:rFonts w:hint="default"/>
        <w:lang w:val="es-gt" w:eastAsia="es-gt" w:bidi="es-gt"/>
      </w:rPr>
    </w:lvl>
    <w:lvl w:ilvl="5">
      <w:start w:val="0"/>
      <w:numFmt w:val="bullet"/>
      <w:lvlText w:val="•"/>
      <w:lvlJc w:val="left"/>
      <w:pPr>
        <w:ind w:left="6190" w:hanging="360"/>
      </w:pPr>
      <w:rPr>
        <w:rFonts w:hint="default"/>
        <w:lang w:val="es-gt" w:eastAsia="es-gt" w:bidi="es-gt"/>
      </w:rPr>
    </w:lvl>
    <w:lvl w:ilvl="6">
      <w:start w:val="0"/>
      <w:numFmt w:val="bullet"/>
      <w:lvlText w:val="•"/>
      <w:lvlJc w:val="left"/>
      <w:pPr>
        <w:ind w:left="7172" w:hanging="360"/>
      </w:pPr>
      <w:rPr>
        <w:rFonts w:hint="default"/>
        <w:lang w:val="es-gt" w:eastAsia="es-gt" w:bidi="es-gt"/>
      </w:rPr>
    </w:lvl>
    <w:lvl w:ilvl="7">
      <w:start w:val="0"/>
      <w:numFmt w:val="bullet"/>
      <w:lvlText w:val="•"/>
      <w:lvlJc w:val="left"/>
      <w:pPr>
        <w:ind w:left="8154" w:hanging="360"/>
      </w:pPr>
      <w:rPr>
        <w:rFonts w:hint="default"/>
        <w:lang w:val="es-gt" w:eastAsia="es-gt" w:bidi="es-gt"/>
      </w:rPr>
    </w:lvl>
    <w:lvl w:ilvl="8">
      <w:start w:val="0"/>
      <w:numFmt w:val="bullet"/>
      <w:lvlText w:val="•"/>
      <w:lvlJc w:val="left"/>
      <w:pPr>
        <w:ind w:left="9136" w:hanging="360"/>
      </w:pPr>
      <w:rPr>
        <w:rFonts w:hint="default"/>
        <w:lang w:val="es-gt" w:eastAsia="es-gt" w:bidi="es-gt"/>
      </w:rPr>
    </w:lvl>
  </w:abstractNum>
  <w:abstractNum w:abstractNumId="38">
    <w:multiLevelType w:val="hybridMultilevel"/>
    <w:lvl w:ilvl="0">
      <w:start w:val="6"/>
      <w:numFmt w:val="decimal"/>
      <w:lvlText w:val="%1."/>
      <w:lvlJc w:val="left"/>
      <w:pPr>
        <w:ind w:left="922" w:hanging="360"/>
        <w:jc w:val="left"/>
      </w:pPr>
      <w:rPr>
        <w:rFonts w:hint="default" w:ascii="Times New Roman" w:hAnsi="Times New Roman" w:eastAsia="Times New Roman" w:cs="Times New Roman"/>
        <w:b/>
        <w:bCs/>
        <w:spacing w:val="-3"/>
        <w:w w:val="100"/>
        <w:sz w:val="24"/>
        <w:szCs w:val="24"/>
        <w:lang w:val="es-gt" w:eastAsia="es-gt" w:bidi="es-gt"/>
      </w:rPr>
    </w:lvl>
    <w:lvl w:ilvl="1">
      <w:start w:val="1"/>
      <w:numFmt w:val="decimal"/>
      <w:lvlText w:val="%1.%2."/>
      <w:lvlJc w:val="left"/>
      <w:pPr>
        <w:ind w:left="1354" w:hanging="432"/>
        <w:jc w:val="left"/>
      </w:pPr>
      <w:rPr>
        <w:rFonts w:hint="default" w:ascii="Times New Roman" w:hAnsi="Times New Roman" w:eastAsia="Times New Roman" w:cs="Times New Roman"/>
        <w:b/>
        <w:bCs/>
        <w:w w:val="100"/>
        <w:sz w:val="24"/>
        <w:szCs w:val="24"/>
        <w:lang w:val="es-gt" w:eastAsia="es-gt" w:bidi="es-gt"/>
      </w:rPr>
    </w:lvl>
    <w:lvl w:ilvl="2">
      <w:start w:val="1"/>
      <w:numFmt w:val="decimal"/>
      <w:lvlText w:val="%1.%2.%3."/>
      <w:lvlJc w:val="left"/>
      <w:pPr>
        <w:ind w:left="1978" w:hanging="696"/>
        <w:jc w:val="left"/>
      </w:pPr>
      <w:rPr>
        <w:rFonts w:hint="default"/>
        <w:b/>
        <w:bCs/>
        <w:spacing w:val="-24"/>
        <w:w w:val="100"/>
        <w:lang w:val="es-gt" w:eastAsia="es-gt" w:bidi="es-gt"/>
      </w:rPr>
    </w:lvl>
    <w:lvl w:ilvl="3">
      <w:start w:val="1"/>
      <w:numFmt w:val="decimal"/>
      <w:lvlText w:val="%1.%2.%3.%4."/>
      <w:lvlJc w:val="left"/>
      <w:pPr>
        <w:ind w:left="2465" w:hanging="824"/>
        <w:jc w:val="left"/>
      </w:pPr>
      <w:rPr>
        <w:rFonts w:hint="default" w:ascii="Times New Roman" w:hAnsi="Times New Roman" w:eastAsia="Times New Roman" w:cs="Times New Roman"/>
        <w:b/>
        <w:bCs/>
        <w:spacing w:val="-17"/>
        <w:w w:val="100"/>
        <w:sz w:val="24"/>
        <w:szCs w:val="24"/>
        <w:lang w:val="es-gt" w:eastAsia="es-gt" w:bidi="es-gt"/>
      </w:rPr>
    </w:lvl>
    <w:lvl w:ilvl="4">
      <w:start w:val="0"/>
      <w:numFmt w:val="bullet"/>
      <w:lvlText w:val="•"/>
      <w:lvlJc w:val="left"/>
      <w:pPr>
        <w:ind w:left="3694" w:hanging="824"/>
      </w:pPr>
      <w:rPr>
        <w:rFonts w:hint="default"/>
        <w:lang w:val="es-gt" w:eastAsia="es-gt" w:bidi="es-gt"/>
      </w:rPr>
    </w:lvl>
    <w:lvl w:ilvl="5">
      <w:start w:val="0"/>
      <w:numFmt w:val="bullet"/>
      <w:lvlText w:val="•"/>
      <w:lvlJc w:val="left"/>
      <w:pPr>
        <w:ind w:left="4928" w:hanging="824"/>
      </w:pPr>
      <w:rPr>
        <w:rFonts w:hint="default"/>
        <w:lang w:val="es-gt" w:eastAsia="es-gt" w:bidi="es-gt"/>
      </w:rPr>
    </w:lvl>
    <w:lvl w:ilvl="6">
      <w:start w:val="0"/>
      <w:numFmt w:val="bullet"/>
      <w:lvlText w:val="•"/>
      <w:lvlJc w:val="left"/>
      <w:pPr>
        <w:ind w:left="6162" w:hanging="824"/>
      </w:pPr>
      <w:rPr>
        <w:rFonts w:hint="default"/>
        <w:lang w:val="es-gt" w:eastAsia="es-gt" w:bidi="es-gt"/>
      </w:rPr>
    </w:lvl>
    <w:lvl w:ilvl="7">
      <w:start w:val="0"/>
      <w:numFmt w:val="bullet"/>
      <w:lvlText w:val="•"/>
      <w:lvlJc w:val="left"/>
      <w:pPr>
        <w:ind w:left="7397" w:hanging="824"/>
      </w:pPr>
      <w:rPr>
        <w:rFonts w:hint="default"/>
        <w:lang w:val="es-gt" w:eastAsia="es-gt" w:bidi="es-gt"/>
      </w:rPr>
    </w:lvl>
    <w:lvl w:ilvl="8">
      <w:start w:val="0"/>
      <w:numFmt w:val="bullet"/>
      <w:lvlText w:val="•"/>
      <w:lvlJc w:val="left"/>
      <w:pPr>
        <w:ind w:left="8631" w:hanging="824"/>
      </w:pPr>
      <w:rPr>
        <w:rFonts w:hint="default"/>
        <w:lang w:val="es-gt" w:eastAsia="es-gt" w:bidi="es-gt"/>
      </w:rPr>
    </w:lvl>
  </w:abstractNum>
  <w:abstractNum w:abstractNumId="37">
    <w:multiLevelType w:val="hybridMultilevel"/>
    <w:lvl w:ilvl="0">
      <w:start w:val="0"/>
      <w:numFmt w:val="bullet"/>
      <w:lvlText w:val=""/>
      <w:lvlJc w:val="left"/>
      <w:pPr>
        <w:ind w:left="467" w:hanging="360"/>
      </w:pPr>
      <w:rPr>
        <w:rFonts w:hint="default" w:ascii="Symbol" w:hAnsi="Symbol" w:eastAsia="Symbol" w:cs="Symbol"/>
        <w:w w:val="100"/>
        <w:sz w:val="22"/>
        <w:szCs w:val="22"/>
        <w:lang w:val="es-gt" w:eastAsia="es-gt" w:bidi="es-gt"/>
      </w:rPr>
    </w:lvl>
    <w:lvl w:ilvl="1">
      <w:start w:val="0"/>
      <w:numFmt w:val="bullet"/>
      <w:lvlText w:val="•"/>
      <w:lvlJc w:val="left"/>
      <w:pPr>
        <w:ind w:left="1319" w:hanging="360"/>
      </w:pPr>
      <w:rPr>
        <w:rFonts w:hint="default"/>
        <w:lang w:val="es-gt" w:eastAsia="es-gt" w:bidi="es-gt"/>
      </w:rPr>
    </w:lvl>
    <w:lvl w:ilvl="2">
      <w:start w:val="0"/>
      <w:numFmt w:val="bullet"/>
      <w:lvlText w:val="•"/>
      <w:lvlJc w:val="left"/>
      <w:pPr>
        <w:ind w:left="2178" w:hanging="360"/>
      </w:pPr>
      <w:rPr>
        <w:rFonts w:hint="default"/>
        <w:lang w:val="es-gt" w:eastAsia="es-gt" w:bidi="es-gt"/>
      </w:rPr>
    </w:lvl>
    <w:lvl w:ilvl="3">
      <w:start w:val="0"/>
      <w:numFmt w:val="bullet"/>
      <w:lvlText w:val="•"/>
      <w:lvlJc w:val="left"/>
      <w:pPr>
        <w:ind w:left="3038" w:hanging="360"/>
      </w:pPr>
      <w:rPr>
        <w:rFonts w:hint="default"/>
        <w:lang w:val="es-gt" w:eastAsia="es-gt" w:bidi="es-gt"/>
      </w:rPr>
    </w:lvl>
    <w:lvl w:ilvl="4">
      <w:start w:val="0"/>
      <w:numFmt w:val="bullet"/>
      <w:lvlText w:val="•"/>
      <w:lvlJc w:val="left"/>
      <w:pPr>
        <w:ind w:left="3897" w:hanging="360"/>
      </w:pPr>
      <w:rPr>
        <w:rFonts w:hint="default"/>
        <w:lang w:val="es-gt" w:eastAsia="es-gt" w:bidi="es-gt"/>
      </w:rPr>
    </w:lvl>
    <w:lvl w:ilvl="5">
      <w:start w:val="0"/>
      <w:numFmt w:val="bullet"/>
      <w:lvlText w:val="•"/>
      <w:lvlJc w:val="left"/>
      <w:pPr>
        <w:ind w:left="4757" w:hanging="360"/>
      </w:pPr>
      <w:rPr>
        <w:rFonts w:hint="default"/>
        <w:lang w:val="es-gt" w:eastAsia="es-gt" w:bidi="es-gt"/>
      </w:rPr>
    </w:lvl>
    <w:lvl w:ilvl="6">
      <w:start w:val="0"/>
      <w:numFmt w:val="bullet"/>
      <w:lvlText w:val="•"/>
      <w:lvlJc w:val="left"/>
      <w:pPr>
        <w:ind w:left="5616" w:hanging="360"/>
      </w:pPr>
      <w:rPr>
        <w:rFonts w:hint="default"/>
        <w:lang w:val="es-gt" w:eastAsia="es-gt" w:bidi="es-gt"/>
      </w:rPr>
    </w:lvl>
    <w:lvl w:ilvl="7">
      <w:start w:val="0"/>
      <w:numFmt w:val="bullet"/>
      <w:lvlText w:val="•"/>
      <w:lvlJc w:val="left"/>
      <w:pPr>
        <w:ind w:left="6476" w:hanging="360"/>
      </w:pPr>
      <w:rPr>
        <w:rFonts w:hint="default"/>
        <w:lang w:val="es-gt" w:eastAsia="es-gt" w:bidi="es-gt"/>
      </w:rPr>
    </w:lvl>
    <w:lvl w:ilvl="8">
      <w:start w:val="0"/>
      <w:numFmt w:val="bullet"/>
      <w:lvlText w:val="•"/>
      <w:lvlJc w:val="left"/>
      <w:pPr>
        <w:ind w:left="7335" w:hanging="360"/>
      </w:pPr>
      <w:rPr>
        <w:rFonts w:hint="default"/>
        <w:lang w:val="es-gt" w:eastAsia="es-gt" w:bidi="es-gt"/>
      </w:rPr>
    </w:lvl>
  </w:abstractNum>
  <w:abstractNum w:abstractNumId="36">
    <w:multiLevelType w:val="hybridMultilevel"/>
    <w:lvl w:ilvl="0">
      <w:start w:val="0"/>
      <w:numFmt w:val="bullet"/>
      <w:lvlText w:val="•"/>
      <w:lvlJc w:val="left"/>
      <w:pPr>
        <w:ind w:left="165" w:hanging="92"/>
      </w:pPr>
      <w:rPr>
        <w:rFonts w:hint="default" w:ascii="Times New Roman" w:hAnsi="Times New Roman" w:eastAsia="Times New Roman" w:cs="Times New Roman"/>
        <w:color w:val="FFFFFF"/>
        <w:w w:val="100"/>
        <w:sz w:val="16"/>
        <w:szCs w:val="16"/>
        <w:lang w:val="es-gt" w:eastAsia="es-gt" w:bidi="es-gt"/>
      </w:rPr>
    </w:lvl>
    <w:lvl w:ilvl="1">
      <w:start w:val="0"/>
      <w:numFmt w:val="bullet"/>
      <w:lvlText w:val="•"/>
      <w:lvlJc w:val="left"/>
      <w:pPr>
        <w:ind w:left="292" w:hanging="92"/>
      </w:pPr>
      <w:rPr>
        <w:rFonts w:hint="default" w:ascii="Times New Roman" w:hAnsi="Times New Roman" w:eastAsia="Times New Roman" w:cs="Times New Roman"/>
        <w:color w:val="FFFFFF"/>
        <w:w w:val="100"/>
        <w:sz w:val="16"/>
        <w:szCs w:val="16"/>
        <w:lang w:val="es-gt" w:eastAsia="es-gt" w:bidi="es-gt"/>
      </w:rPr>
    </w:lvl>
    <w:lvl w:ilvl="2">
      <w:start w:val="0"/>
      <w:numFmt w:val="bullet"/>
      <w:lvlText w:val="•"/>
      <w:lvlJc w:val="left"/>
      <w:pPr>
        <w:ind w:left="457" w:hanging="92"/>
      </w:pPr>
      <w:rPr>
        <w:rFonts w:hint="default"/>
        <w:lang w:val="es-gt" w:eastAsia="es-gt" w:bidi="es-gt"/>
      </w:rPr>
    </w:lvl>
    <w:lvl w:ilvl="3">
      <w:start w:val="0"/>
      <w:numFmt w:val="bullet"/>
      <w:lvlText w:val="•"/>
      <w:lvlJc w:val="left"/>
      <w:pPr>
        <w:ind w:left="614" w:hanging="92"/>
      </w:pPr>
      <w:rPr>
        <w:rFonts w:hint="default"/>
        <w:lang w:val="es-gt" w:eastAsia="es-gt" w:bidi="es-gt"/>
      </w:rPr>
    </w:lvl>
    <w:lvl w:ilvl="4">
      <w:start w:val="0"/>
      <w:numFmt w:val="bullet"/>
      <w:lvlText w:val="•"/>
      <w:lvlJc w:val="left"/>
      <w:pPr>
        <w:ind w:left="771" w:hanging="92"/>
      </w:pPr>
      <w:rPr>
        <w:rFonts w:hint="default"/>
        <w:lang w:val="es-gt" w:eastAsia="es-gt" w:bidi="es-gt"/>
      </w:rPr>
    </w:lvl>
    <w:lvl w:ilvl="5">
      <w:start w:val="0"/>
      <w:numFmt w:val="bullet"/>
      <w:lvlText w:val="•"/>
      <w:lvlJc w:val="left"/>
      <w:pPr>
        <w:ind w:left="928" w:hanging="92"/>
      </w:pPr>
      <w:rPr>
        <w:rFonts w:hint="default"/>
        <w:lang w:val="es-gt" w:eastAsia="es-gt" w:bidi="es-gt"/>
      </w:rPr>
    </w:lvl>
    <w:lvl w:ilvl="6">
      <w:start w:val="0"/>
      <w:numFmt w:val="bullet"/>
      <w:lvlText w:val="•"/>
      <w:lvlJc w:val="left"/>
      <w:pPr>
        <w:ind w:left="1085" w:hanging="92"/>
      </w:pPr>
      <w:rPr>
        <w:rFonts w:hint="default"/>
        <w:lang w:val="es-gt" w:eastAsia="es-gt" w:bidi="es-gt"/>
      </w:rPr>
    </w:lvl>
    <w:lvl w:ilvl="7">
      <w:start w:val="0"/>
      <w:numFmt w:val="bullet"/>
      <w:lvlText w:val="•"/>
      <w:lvlJc w:val="left"/>
      <w:pPr>
        <w:ind w:left="1242" w:hanging="92"/>
      </w:pPr>
      <w:rPr>
        <w:rFonts w:hint="default"/>
        <w:lang w:val="es-gt" w:eastAsia="es-gt" w:bidi="es-gt"/>
      </w:rPr>
    </w:lvl>
    <w:lvl w:ilvl="8">
      <w:start w:val="0"/>
      <w:numFmt w:val="bullet"/>
      <w:lvlText w:val="•"/>
      <w:lvlJc w:val="left"/>
      <w:pPr>
        <w:ind w:left="1399" w:hanging="92"/>
      </w:pPr>
      <w:rPr>
        <w:rFonts w:hint="default"/>
        <w:lang w:val="es-gt" w:eastAsia="es-gt" w:bidi="es-gt"/>
      </w:rPr>
    </w:lvl>
  </w:abstractNum>
  <w:abstractNum w:abstractNumId="35">
    <w:multiLevelType w:val="hybridMultilevel"/>
    <w:lvl w:ilvl="0">
      <w:start w:val="0"/>
      <w:numFmt w:val="bullet"/>
      <w:lvlText w:val="•"/>
      <w:lvlJc w:val="left"/>
      <w:pPr>
        <w:ind w:left="713" w:hanging="92"/>
      </w:pPr>
      <w:rPr>
        <w:rFonts w:hint="default" w:ascii="Times New Roman" w:hAnsi="Times New Roman" w:eastAsia="Times New Roman" w:cs="Times New Roman"/>
        <w:color w:val="FFFFFF"/>
        <w:w w:val="100"/>
        <w:sz w:val="16"/>
        <w:szCs w:val="16"/>
        <w:lang w:val="es-gt" w:eastAsia="es-gt" w:bidi="es-gt"/>
      </w:rPr>
    </w:lvl>
    <w:lvl w:ilvl="1">
      <w:start w:val="0"/>
      <w:numFmt w:val="bullet"/>
      <w:lvlText w:val="•"/>
      <w:lvlJc w:val="left"/>
      <w:pPr>
        <w:ind w:left="864" w:hanging="92"/>
      </w:pPr>
      <w:rPr>
        <w:rFonts w:hint="default" w:ascii="Times New Roman" w:hAnsi="Times New Roman" w:eastAsia="Times New Roman" w:cs="Times New Roman"/>
        <w:color w:val="FFFFFF"/>
        <w:w w:val="100"/>
        <w:sz w:val="16"/>
        <w:szCs w:val="16"/>
        <w:lang w:val="es-gt" w:eastAsia="es-gt" w:bidi="es-gt"/>
      </w:rPr>
    </w:lvl>
    <w:lvl w:ilvl="2">
      <w:start w:val="0"/>
      <w:numFmt w:val="bullet"/>
      <w:lvlText w:val="•"/>
      <w:lvlJc w:val="left"/>
      <w:pPr>
        <w:ind w:left="1021" w:hanging="92"/>
      </w:pPr>
      <w:rPr>
        <w:rFonts w:hint="default"/>
        <w:lang w:val="es-gt" w:eastAsia="es-gt" w:bidi="es-gt"/>
      </w:rPr>
    </w:lvl>
    <w:lvl w:ilvl="3">
      <w:start w:val="0"/>
      <w:numFmt w:val="bullet"/>
      <w:lvlText w:val="•"/>
      <w:lvlJc w:val="left"/>
      <w:pPr>
        <w:ind w:left="1183" w:hanging="92"/>
      </w:pPr>
      <w:rPr>
        <w:rFonts w:hint="default"/>
        <w:lang w:val="es-gt" w:eastAsia="es-gt" w:bidi="es-gt"/>
      </w:rPr>
    </w:lvl>
    <w:lvl w:ilvl="4">
      <w:start w:val="0"/>
      <w:numFmt w:val="bullet"/>
      <w:lvlText w:val="•"/>
      <w:lvlJc w:val="left"/>
      <w:pPr>
        <w:ind w:left="1345" w:hanging="92"/>
      </w:pPr>
      <w:rPr>
        <w:rFonts w:hint="default"/>
        <w:lang w:val="es-gt" w:eastAsia="es-gt" w:bidi="es-gt"/>
      </w:rPr>
    </w:lvl>
    <w:lvl w:ilvl="5">
      <w:start w:val="0"/>
      <w:numFmt w:val="bullet"/>
      <w:lvlText w:val="•"/>
      <w:lvlJc w:val="left"/>
      <w:pPr>
        <w:ind w:left="1507" w:hanging="92"/>
      </w:pPr>
      <w:rPr>
        <w:rFonts w:hint="default"/>
        <w:lang w:val="es-gt" w:eastAsia="es-gt" w:bidi="es-gt"/>
      </w:rPr>
    </w:lvl>
    <w:lvl w:ilvl="6">
      <w:start w:val="0"/>
      <w:numFmt w:val="bullet"/>
      <w:lvlText w:val="•"/>
      <w:lvlJc w:val="left"/>
      <w:pPr>
        <w:ind w:left="1668" w:hanging="92"/>
      </w:pPr>
      <w:rPr>
        <w:rFonts w:hint="default"/>
        <w:lang w:val="es-gt" w:eastAsia="es-gt" w:bidi="es-gt"/>
      </w:rPr>
    </w:lvl>
    <w:lvl w:ilvl="7">
      <w:start w:val="0"/>
      <w:numFmt w:val="bullet"/>
      <w:lvlText w:val="•"/>
      <w:lvlJc w:val="left"/>
      <w:pPr>
        <w:ind w:left="1830" w:hanging="92"/>
      </w:pPr>
      <w:rPr>
        <w:rFonts w:hint="default"/>
        <w:lang w:val="es-gt" w:eastAsia="es-gt" w:bidi="es-gt"/>
      </w:rPr>
    </w:lvl>
    <w:lvl w:ilvl="8">
      <w:start w:val="0"/>
      <w:numFmt w:val="bullet"/>
      <w:lvlText w:val="•"/>
      <w:lvlJc w:val="left"/>
      <w:pPr>
        <w:ind w:left="1992" w:hanging="92"/>
      </w:pPr>
      <w:rPr>
        <w:rFonts w:hint="default"/>
        <w:lang w:val="es-gt" w:eastAsia="es-gt" w:bidi="es-gt"/>
      </w:rPr>
    </w:lvl>
  </w:abstractNum>
  <w:abstractNum w:abstractNumId="34">
    <w:multiLevelType w:val="hybridMultilevel"/>
    <w:lvl w:ilvl="0">
      <w:start w:val="0"/>
      <w:numFmt w:val="bullet"/>
      <w:lvlText w:val="•"/>
      <w:lvlJc w:val="left"/>
      <w:pPr>
        <w:ind w:left="172" w:hanging="92"/>
      </w:pPr>
      <w:rPr>
        <w:rFonts w:hint="default" w:ascii="Times New Roman" w:hAnsi="Times New Roman" w:eastAsia="Times New Roman" w:cs="Times New Roman"/>
        <w:color w:val="FFFFFF"/>
        <w:w w:val="100"/>
        <w:sz w:val="16"/>
        <w:szCs w:val="16"/>
        <w:lang w:val="es-gt" w:eastAsia="es-gt" w:bidi="es-gt"/>
      </w:rPr>
    </w:lvl>
    <w:lvl w:ilvl="1">
      <w:start w:val="0"/>
      <w:numFmt w:val="bullet"/>
      <w:lvlText w:val="•"/>
      <w:lvlJc w:val="left"/>
      <w:pPr>
        <w:ind w:left="303" w:hanging="92"/>
      </w:pPr>
      <w:rPr>
        <w:rFonts w:hint="default"/>
        <w:lang w:val="es-gt" w:eastAsia="es-gt" w:bidi="es-gt"/>
      </w:rPr>
    </w:lvl>
    <w:lvl w:ilvl="2">
      <w:start w:val="0"/>
      <w:numFmt w:val="bullet"/>
      <w:lvlText w:val="•"/>
      <w:lvlJc w:val="left"/>
      <w:pPr>
        <w:ind w:left="426" w:hanging="92"/>
      </w:pPr>
      <w:rPr>
        <w:rFonts w:hint="default"/>
        <w:lang w:val="es-gt" w:eastAsia="es-gt" w:bidi="es-gt"/>
      </w:rPr>
    </w:lvl>
    <w:lvl w:ilvl="3">
      <w:start w:val="0"/>
      <w:numFmt w:val="bullet"/>
      <w:lvlText w:val="•"/>
      <w:lvlJc w:val="left"/>
      <w:pPr>
        <w:ind w:left="550" w:hanging="92"/>
      </w:pPr>
      <w:rPr>
        <w:rFonts w:hint="default"/>
        <w:lang w:val="es-gt" w:eastAsia="es-gt" w:bidi="es-gt"/>
      </w:rPr>
    </w:lvl>
    <w:lvl w:ilvl="4">
      <w:start w:val="0"/>
      <w:numFmt w:val="bullet"/>
      <w:lvlText w:val="•"/>
      <w:lvlJc w:val="left"/>
      <w:pPr>
        <w:ind w:left="673" w:hanging="92"/>
      </w:pPr>
      <w:rPr>
        <w:rFonts w:hint="default"/>
        <w:lang w:val="es-gt" w:eastAsia="es-gt" w:bidi="es-gt"/>
      </w:rPr>
    </w:lvl>
    <w:lvl w:ilvl="5">
      <w:start w:val="0"/>
      <w:numFmt w:val="bullet"/>
      <w:lvlText w:val="•"/>
      <w:lvlJc w:val="left"/>
      <w:pPr>
        <w:ind w:left="797" w:hanging="92"/>
      </w:pPr>
      <w:rPr>
        <w:rFonts w:hint="default"/>
        <w:lang w:val="es-gt" w:eastAsia="es-gt" w:bidi="es-gt"/>
      </w:rPr>
    </w:lvl>
    <w:lvl w:ilvl="6">
      <w:start w:val="0"/>
      <w:numFmt w:val="bullet"/>
      <w:lvlText w:val="•"/>
      <w:lvlJc w:val="left"/>
      <w:pPr>
        <w:ind w:left="920" w:hanging="92"/>
      </w:pPr>
      <w:rPr>
        <w:rFonts w:hint="default"/>
        <w:lang w:val="es-gt" w:eastAsia="es-gt" w:bidi="es-gt"/>
      </w:rPr>
    </w:lvl>
    <w:lvl w:ilvl="7">
      <w:start w:val="0"/>
      <w:numFmt w:val="bullet"/>
      <w:lvlText w:val="•"/>
      <w:lvlJc w:val="left"/>
      <w:pPr>
        <w:ind w:left="1043" w:hanging="92"/>
      </w:pPr>
      <w:rPr>
        <w:rFonts w:hint="default"/>
        <w:lang w:val="es-gt" w:eastAsia="es-gt" w:bidi="es-gt"/>
      </w:rPr>
    </w:lvl>
    <w:lvl w:ilvl="8">
      <w:start w:val="0"/>
      <w:numFmt w:val="bullet"/>
      <w:lvlText w:val="•"/>
      <w:lvlJc w:val="left"/>
      <w:pPr>
        <w:ind w:left="1167" w:hanging="92"/>
      </w:pPr>
      <w:rPr>
        <w:rFonts w:hint="default"/>
        <w:lang w:val="es-gt" w:eastAsia="es-gt" w:bidi="es-gt"/>
      </w:rPr>
    </w:lvl>
  </w:abstractNum>
  <w:abstractNum w:abstractNumId="33">
    <w:multiLevelType w:val="hybridMultilevel"/>
    <w:lvl w:ilvl="0">
      <w:start w:val="0"/>
      <w:numFmt w:val="bullet"/>
      <w:lvlText w:val="•"/>
      <w:lvlJc w:val="left"/>
      <w:pPr>
        <w:ind w:left="91" w:hanging="92"/>
      </w:pPr>
      <w:rPr>
        <w:rFonts w:hint="default" w:ascii="Times New Roman" w:hAnsi="Times New Roman" w:eastAsia="Times New Roman" w:cs="Times New Roman"/>
        <w:color w:val="FFFFFF"/>
        <w:w w:val="100"/>
        <w:sz w:val="16"/>
        <w:szCs w:val="16"/>
        <w:lang w:val="es-gt" w:eastAsia="es-gt" w:bidi="es-gt"/>
      </w:rPr>
    </w:lvl>
    <w:lvl w:ilvl="1">
      <w:start w:val="0"/>
      <w:numFmt w:val="bullet"/>
      <w:lvlText w:val="•"/>
      <w:lvlJc w:val="left"/>
      <w:pPr>
        <w:ind w:left="328" w:hanging="92"/>
      </w:pPr>
      <w:rPr>
        <w:rFonts w:hint="default" w:ascii="Times New Roman" w:hAnsi="Times New Roman" w:eastAsia="Times New Roman" w:cs="Times New Roman"/>
        <w:color w:val="FFFFFF"/>
        <w:w w:val="100"/>
        <w:sz w:val="16"/>
        <w:szCs w:val="16"/>
        <w:lang w:val="es-gt" w:eastAsia="es-gt" w:bidi="es-gt"/>
      </w:rPr>
    </w:lvl>
    <w:lvl w:ilvl="2">
      <w:start w:val="0"/>
      <w:numFmt w:val="bullet"/>
      <w:lvlText w:val="•"/>
      <w:lvlJc w:val="left"/>
      <w:pPr>
        <w:ind w:left="459" w:hanging="92"/>
      </w:pPr>
      <w:rPr>
        <w:rFonts w:hint="default"/>
        <w:lang w:val="es-gt" w:eastAsia="es-gt" w:bidi="es-gt"/>
      </w:rPr>
    </w:lvl>
    <w:lvl w:ilvl="3">
      <w:start w:val="0"/>
      <w:numFmt w:val="bullet"/>
      <w:lvlText w:val="•"/>
      <w:lvlJc w:val="left"/>
      <w:pPr>
        <w:ind w:left="598" w:hanging="92"/>
      </w:pPr>
      <w:rPr>
        <w:rFonts w:hint="default"/>
        <w:lang w:val="es-gt" w:eastAsia="es-gt" w:bidi="es-gt"/>
      </w:rPr>
    </w:lvl>
    <w:lvl w:ilvl="4">
      <w:start w:val="0"/>
      <w:numFmt w:val="bullet"/>
      <w:lvlText w:val="•"/>
      <w:lvlJc w:val="left"/>
      <w:pPr>
        <w:ind w:left="737" w:hanging="92"/>
      </w:pPr>
      <w:rPr>
        <w:rFonts w:hint="default"/>
        <w:lang w:val="es-gt" w:eastAsia="es-gt" w:bidi="es-gt"/>
      </w:rPr>
    </w:lvl>
    <w:lvl w:ilvl="5">
      <w:start w:val="0"/>
      <w:numFmt w:val="bullet"/>
      <w:lvlText w:val="•"/>
      <w:lvlJc w:val="left"/>
      <w:pPr>
        <w:ind w:left="876" w:hanging="92"/>
      </w:pPr>
      <w:rPr>
        <w:rFonts w:hint="default"/>
        <w:lang w:val="es-gt" w:eastAsia="es-gt" w:bidi="es-gt"/>
      </w:rPr>
    </w:lvl>
    <w:lvl w:ilvl="6">
      <w:start w:val="0"/>
      <w:numFmt w:val="bullet"/>
      <w:lvlText w:val="•"/>
      <w:lvlJc w:val="left"/>
      <w:pPr>
        <w:ind w:left="1016" w:hanging="92"/>
      </w:pPr>
      <w:rPr>
        <w:rFonts w:hint="default"/>
        <w:lang w:val="es-gt" w:eastAsia="es-gt" w:bidi="es-gt"/>
      </w:rPr>
    </w:lvl>
    <w:lvl w:ilvl="7">
      <w:start w:val="0"/>
      <w:numFmt w:val="bullet"/>
      <w:lvlText w:val="•"/>
      <w:lvlJc w:val="left"/>
      <w:pPr>
        <w:ind w:left="1155" w:hanging="92"/>
      </w:pPr>
      <w:rPr>
        <w:rFonts w:hint="default"/>
        <w:lang w:val="es-gt" w:eastAsia="es-gt" w:bidi="es-gt"/>
      </w:rPr>
    </w:lvl>
    <w:lvl w:ilvl="8">
      <w:start w:val="0"/>
      <w:numFmt w:val="bullet"/>
      <w:lvlText w:val="•"/>
      <w:lvlJc w:val="left"/>
      <w:pPr>
        <w:ind w:left="1294" w:hanging="92"/>
      </w:pPr>
      <w:rPr>
        <w:rFonts w:hint="default"/>
        <w:lang w:val="es-gt" w:eastAsia="es-gt" w:bidi="es-gt"/>
      </w:rPr>
    </w:lvl>
  </w:abstractNum>
  <w:abstractNum w:abstractNumId="32">
    <w:multiLevelType w:val="hybridMultilevel"/>
    <w:lvl w:ilvl="0">
      <w:start w:val="0"/>
      <w:numFmt w:val="bullet"/>
      <w:lvlText w:val="•"/>
      <w:lvlJc w:val="left"/>
      <w:pPr>
        <w:ind w:left="91" w:hanging="92"/>
      </w:pPr>
      <w:rPr>
        <w:rFonts w:hint="default" w:ascii="Times New Roman" w:hAnsi="Times New Roman" w:eastAsia="Times New Roman" w:cs="Times New Roman"/>
        <w:color w:val="FFFFFF"/>
        <w:w w:val="100"/>
        <w:sz w:val="17"/>
        <w:szCs w:val="17"/>
        <w:lang w:val="es-gt" w:eastAsia="es-gt" w:bidi="es-gt"/>
      </w:rPr>
    </w:lvl>
    <w:lvl w:ilvl="1">
      <w:start w:val="0"/>
      <w:numFmt w:val="bullet"/>
      <w:lvlText w:val="•"/>
      <w:lvlJc w:val="left"/>
      <w:pPr>
        <w:ind w:left="168" w:hanging="92"/>
      </w:pPr>
      <w:rPr>
        <w:rFonts w:hint="default" w:ascii="Times New Roman" w:hAnsi="Times New Roman" w:eastAsia="Times New Roman" w:cs="Times New Roman"/>
        <w:color w:val="FFFFFF"/>
        <w:w w:val="100"/>
        <w:sz w:val="17"/>
        <w:szCs w:val="17"/>
        <w:lang w:val="es-gt" w:eastAsia="es-gt" w:bidi="es-gt"/>
      </w:rPr>
    </w:lvl>
    <w:lvl w:ilvl="2">
      <w:start w:val="0"/>
      <w:numFmt w:val="bullet"/>
      <w:lvlText w:val="•"/>
      <w:lvlJc w:val="left"/>
      <w:pPr>
        <w:ind w:left="315" w:hanging="92"/>
      </w:pPr>
      <w:rPr>
        <w:rFonts w:hint="default"/>
        <w:lang w:val="es-gt" w:eastAsia="es-gt" w:bidi="es-gt"/>
      </w:rPr>
    </w:lvl>
    <w:lvl w:ilvl="3">
      <w:start w:val="0"/>
      <w:numFmt w:val="bullet"/>
      <w:lvlText w:val="•"/>
      <w:lvlJc w:val="left"/>
      <w:pPr>
        <w:ind w:left="470" w:hanging="92"/>
      </w:pPr>
      <w:rPr>
        <w:rFonts w:hint="default"/>
        <w:lang w:val="es-gt" w:eastAsia="es-gt" w:bidi="es-gt"/>
      </w:rPr>
    </w:lvl>
    <w:lvl w:ilvl="4">
      <w:start w:val="0"/>
      <w:numFmt w:val="bullet"/>
      <w:lvlText w:val="•"/>
      <w:lvlJc w:val="left"/>
      <w:pPr>
        <w:ind w:left="625" w:hanging="92"/>
      </w:pPr>
      <w:rPr>
        <w:rFonts w:hint="default"/>
        <w:lang w:val="es-gt" w:eastAsia="es-gt" w:bidi="es-gt"/>
      </w:rPr>
    </w:lvl>
    <w:lvl w:ilvl="5">
      <w:start w:val="0"/>
      <w:numFmt w:val="bullet"/>
      <w:lvlText w:val="•"/>
      <w:lvlJc w:val="left"/>
      <w:pPr>
        <w:ind w:left="781" w:hanging="92"/>
      </w:pPr>
      <w:rPr>
        <w:rFonts w:hint="default"/>
        <w:lang w:val="es-gt" w:eastAsia="es-gt" w:bidi="es-gt"/>
      </w:rPr>
    </w:lvl>
    <w:lvl w:ilvl="6">
      <w:start w:val="0"/>
      <w:numFmt w:val="bullet"/>
      <w:lvlText w:val="•"/>
      <w:lvlJc w:val="left"/>
      <w:pPr>
        <w:ind w:left="936" w:hanging="92"/>
      </w:pPr>
      <w:rPr>
        <w:rFonts w:hint="default"/>
        <w:lang w:val="es-gt" w:eastAsia="es-gt" w:bidi="es-gt"/>
      </w:rPr>
    </w:lvl>
    <w:lvl w:ilvl="7">
      <w:start w:val="0"/>
      <w:numFmt w:val="bullet"/>
      <w:lvlText w:val="•"/>
      <w:lvlJc w:val="left"/>
      <w:pPr>
        <w:ind w:left="1091" w:hanging="92"/>
      </w:pPr>
      <w:rPr>
        <w:rFonts w:hint="default"/>
        <w:lang w:val="es-gt" w:eastAsia="es-gt" w:bidi="es-gt"/>
      </w:rPr>
    </w:lvl>
    <w:lvl w:ilvl="8">
      <w:start w:val="0"/>
      <w:numFmt w:val="bullet"/>
      <w:lvlText w:val="•"/>
      <w:lvlJc w:val="left"/>
      <w:pPr>
        <w:ind w:left="1247" w:hanging="92"/>
      </w:pPr>
      <w:rPr>
        <w:rFonts w:hint="default"/>
        <w:lang w:val="es-gt" w:eastAsia="es-gt" w:bidi="es-gt"/>
      </w:rPr>
    </w:lvl>
  </w:abstractNum>
  <w:abstractNum w:abstractNumId="31">
    <w:multiLevelType w:val="hybridMultilevel"/>
    <w:lvl w:ilvl="0">
      <w:start w:val="1"/>
      <w:numFmt w:val="decimal"/>
      <w:lvlText w:val="%1."/>
      <w:lvlJc w:val="left"/>
      <w:pPr>
        <w:ind w:left="1282" w:hanging="360"/>
        <w:jc w:val="left"/>
      </w:pPr>
      <w:rPr>
        <w:rFonts w:hint="default"/>
        <w:w w:val="100"/>
        <w:lang w:val="es-gt" w:eastAsia="es-gt" w:bidi="es-gt"/>
      </w:rPr>
    </w:lvl>
    <w:lvl w:ilvl="1">
      <w:start w:val="0"/>
      <w:numFmt w:val="bullet"/>
      <w:lvlText w:val="•"/>
      <w:lvlJc w:val="left"/>
      <w:pPr>
        <w:ind w:left="2262" w:hanging="360"/>
      </w:pPr>
      <w:rPr>
        <w:rFonts w:hint="default"/>
        <w:lang w:val="es-gt" w:eastAsia="es-gt" w:bidi="es-gt"/>
      </w:rPr>
    </w:lvl>
    <w:lvl w:ilvl="2">
      <w:start w:val="0"/>
      <w:numFmt w:val="bullet"/>
      <w:lvlText w:val="•"/>
      <w:lvlJc w:val="left"/>
      <w:pPr>
        <w:ind w:left="3244" w:hanging="360"/>
      </w:pPr>
      <w:rPr>
        <w:rFonts w:hint="default"/>
        <w:lang w:val="es-gt" w:eastAsia="es-gt" w:bidi="es-gt"/>
      </w:rPr>
    </w:lvl>
    <w:lvl w:ilvl="3">
      <w:start w:val="0"/>
      <w:numFmt w:val="bullet"/>
      <w:lvlText w:val="•"/>
      <w:lvlJc w:val="left"/>
      <w:pPr>
        <w:ind w:left="4226" w:hanging="360"/>
      </w:pPr>
      <w:rPr>
        <w:rFonts w:hint="default"/>
        <w:lang w:val="es-gt" w:eastAsia="es-gt" w:bidi="es-gt"/>
      </w:rPr>
    </w:lvl>
    <w:lvl w:ilvl="4">
      <w:start w:val="0"/>
      <w:numFmt w:val="bullet"/>
      <w:lvlText w:val="•"/>
      <w:lvlJc w:val="left"/>
      <w:pPr>
        <w:ind w:left="5208" w:hanging="360"/>
      </w:pPr>
      <w:rPr>
        <w:rFonts w:hint="default"/>
        <w:lang w:val="es-gt" w:eastAsia="es-gt" w:bidi="es-gt"/>
      </w:rPr>
    </w:lvl>
    <w:lvl w:ilvl="5">
      <w:start w:val="0"/>
      <w:numFmt w:val="bullet"/>
      <w:lvlText w:val="•"/>
      <w:lvlJc w:val="left"/>
      <w:pPr>
        <w:ind w:left="6190" w:hanging="360"/>
      </w:pPr>
      <w:rPr>
        <w:rFonts w:hint="default"/>
        <w:lang w:val="es-gt" w:eastAsia="es-gt" w:bidi="es-gt"/>
      </w:rPr>
    </w:lvl>
    <w:lvl w:ilvl="6">
      <w:start w:val="0"/>
      <w:numFmt w:val="bullet"/>
      <w:lvlText w:val="•"/>
      <w:lvlJc w:val="left"/>
      <w:pPr>
        <w:ind w:left="7172" w:hanging="360"/>
      </w:pPr>
      <w:rPr>
        <w:rFonts w:hint="default"/>
        <w:lang w:val="es-gt" w:eastAsia="es-gt" w:bidi="es-gt"/>
      </w:rPr>
    </w:lvl>
    <w:lvl w:ilvl="7">
      <w:start w:val="0"/>
      <w:numFmt w:val="bullet"/>
      <w:lvlText w:val="•"/>
      <w:lvlJc w:val="left"/>
      <w:pPr>
        <w:ind w:left="8154" w:hanging="360"/>
      </w:pPr>
      <w:rPr>
        <w:rFonts w:hint="default"/>
        <w:lang w:val="es-gt" w:eastAsia="es-gt" w:bidi="es-gt"/>
      </w:rPr>
    </w:lvl>
    <w:lvl w:ilvl="8">
      <w:start w:val="0"/>
      <w:numFmt w:val="bullet"/>
      <w:lvlText w:val="•"/>
      <w:lvlJc w:val="left"/>
      <w:pPr>
        <w:ind w:left="9136" w:hanging="360"/>
      </w:pPr>
      <w:rPr>
        <w:rFonts w:hint="default"/>
        <w:lang w:val="es-gt" w:eastAsia="es-gt" w:bidi="es-gt"/>
      </w:rPr>
    </w:lvl>
  </w:abstractNum>
  <w:abstractNum w:abstractNumId="29">
    <w:multiLevelType w:val="hybridMultilevel"/>
    <w:lvl w:ilvl="0">
      <w:start w:val="0"/>
      <w:numFmt w:val="bullet"/>
      <w:lvlText w:val=""/>
      <w:lvlJc w:val="left"/>
      <w:pPr>
        <w:ind w:left="1282" w:hanging="360"/>
      </w:pPr>
      <w:rPr>
        <w:rFonts w:hint="default" w:ascii="Symbol" w:hAnsi="Symbol" w:eastAsia="Symbol" w:cs="Symbol"/>
        <w:w w:val="100"/>
        <w:sz w:val="22"/>
        <w:szCs w:val="22"/>
        <w:lang w:val="es-gt" w:eastAsia="es-gt" w:bidi="es-gt"/>
      </w:rPr>
    </w:lvl>
    <w:lvl w:ilvl="1">
      <w:start w:val="0"/>
      <w:numFmt w:val="bullet"/>
      <w:lvlText w:val=""/>
      <w:lvlJc w:val="left"/>
      <w:pPr>
        <w:ind w:left="1630" w:hanging="360"/>
      </w:pPr>
      <w:rPr>
        <w:rFonts w:hint="default" w:ascii="Wingdings" w:hAnsi="Wingdings" w:eastAsia="Wingdings" w:cs="Wingdings"/>
        <w:w w:val="100"/>
        <w:sz w:val="22"/>
        <w:szCs w:val="22"/>
        <w:lang w:val="es-gt" w:eastAsia="es-gt" w:bidi="es-gt"/>
      </w:rPr>
    </w:lvl>
    <w:lvl w:ilvl="2">
      <w:start w:val="0"/>
      <w:numFmt w:val="bullet"/>
      <w:lvlText w:val="•"/>
      <w:lvlJc w:val="left"/>
      <w:pPr>
        <w:ind w:left="2691" w:hanging="360"/>
      </w:pPr>
      <w:rPr>
        <w:rFonts w:hint="default"/>
        <w:lang w:val="es-gt" w:eastAsia="es-gt" w:bidi="es-gt"/>
      </w:rPr>
    </w:lvl>
    <w:lvl w:ilvl="3">
      <w:start w:val="0"/>
      <w:numFmt w:val="bullet"/>
      <w:lvlText w:val="•"/>
      <w:lvlJc w:val="left"/>
      <w:pPr>
        <w:ind w:left="3742" w:hanging="360"/>
      </w:pPr>
      <w:rPr>
        <w:rFonts w:hint="default"/>
        <w:lang w:val="es-gt" w:eastAsia="es-gt" w:bidi="es-gt"/>
      </w:rPr>
    </w:lvl>
    <w:lvl w:ilvl="4">
      <w:start w:val="0"/>
      <w:numFmt w:val="bullet"/>
      <w:lvlText w:val="•"/>
      <w:lvlJc w:val="left"/>
      <w:pPr>
        <w:ind w:left="4793" w:hanging="360"/>
      </w:pPr>
      <w:rPr>
        <w:rFonts w:hint="default"/>
        <w:lang w:val="es-gt" w:eastAsia="es-gt" w:bidi="es-gt"/>
      </w:rPr>
    </w:lvl>
    <w:lvl w:ilvl="5">
      <w:start w:val="0"/>
      <w:numFmt w:val="bullet"/>
      <w:lvlText w:val="•"/>
      <w:lvlJc w:val="left"/>
      <w:pPr>
        <w:ind w:left="5844" w:hanging="360"/>
      </w:pPr>
      <w:rPr>
        <w:rFonts w:hint="default"/>
        <w:lang w:val="es-gt" w:eastAsia="es-gt" w:bidi="es-gt"/>
      </w:rPr>
    </w:lvl>
    <w:lvl w:ilvl="6">
      <w:start w:val="0"/>
      <w:numFmt w:val="bullet"/>
      <w:lvlText w:val="•"/>
      <w:lvlJc w:val="left"/>
      <w:pPr>
        <w:ind w:left="6895" w:hanging="360"/>
      </w:pPr>
      <w:rPr>
        <w:rFonts w:hint="default"/>
        <w:lang w:val="es-gt" w:eastAsia="es-gt" w:bidi="es-gt"/>
      </w:rPr>
    </w:lvl>
    <w:lvl w:ilvl="7">
      <w:start w:val="0"/>
      <w:numFmt w:val="bullet"/>
      <w:lvlText w:val="•"/>
      <w:lvlJc w:val="left"/>
      <w:pPr>
        <w:ind w:left="7946" w:hanging="360"/>
      </w:pPr>
      <w:rPr>
        <w:rFonts w:hint="default"/>
        <w:lang w:val="es-gt" w:eastAsia="es-gt" w:bidi="es-gt"/>
      </w:rPr>
    </w:lvl>
    <w:lvl w:ilvl="8">
      <w:start w:val="0"/>
      <w:numFmt w:val="bullet"/>
      <w:lvlText w:val="•"/>
      <w:lvlJc w:val="left"/>
      <w:pPr>
        <w:ind w:left="8997" w:hanging="360"/>
      </w:pPr>
      <w:rPr>
        <w:rFonts w:hint="default"/>
        <w:lang w:val="es-gt" w:eastAsia="es-gt" w:bidi="es-gt"/>
      </w:rPr>
    </w:lvl>
  </w:abstractNum>
  <w:abstractNum w:abstractNumId="28">
    <w:multiLevelType w:val="hybridMultilevel"/>
    <w:lvl w:ilvl="0">
      <w:start w:val="0"/>
      <w:numFmt w:val="bullet"/>
      <w:lvlText w:val="•"/>
      <w:lvlJc w:val="left"/>
      <w:pPr>
        <w:ind w:left="108" w:hanging="120"/>
      </w:pPr>
      <w:rPr>
        <w:rFonts w:hint="default" w:ascii="Times New Roman" w:hAnsi="Times New Roman" w:eastAsia="Times New Roman" w:cs="Times New Roman"/>
        <w:w w:val="99"/>
        <w:sz w:val="20"/>
        <w:szCs w:val="20"/>
        <w:lang w:val="es-gt" w:eastAsia="es-gt" w:bidi="es-gt"/>
      </w:rPr>
    </w:lvl>
    <w:lvl w:ilvl="1">
      <w:start w:val="0"/>
      <w:numFmt w:val="bullet"/>
      <w:lvlText w:val="•"/>
      <w:lvlJc w:val="left"/>
      <w:pPr>
        <w:ind w:left="995" w:hanging="120"/>
      </w:pPr>
      <w:rPr>
        <w:rFonts w:hint="default"/>
        <w:lang w:val="es-gt" w:eastAsia="es-gt" w:bidi="es-gt"/>
      </w:rPr>
    </w:lvl>
    <w:lvl w:ilvl="2">
      <w:start w:val="0"/>
      <w:numFmt w:val="bullet"/>
      <w:lvlText w:val="•"/>
      <w:lvlJc w:val="left"/>
      <w:pPr>
        <w:ind w:left="1890" w:hanging="120"/>
      </w:pPr>
      <w:rPr>
        <w:rFonts w:hint="default"/>
        <w:lang w:val="es-gt" w:eastAsia="es-gt" w:bidi="es-gt"/>
      </w:rPr>
    </w:lvl>
    <w:lvl w:ilvl="3">
      <w:start w:val="0"/>
      <w:numFmt w:val="bullet"/>
      <w:lvlText w:val="•"/>
      <w:lvlJc w:val="left"/>
      <w:pPr>
        <w:ind w:left="2786" w:hanging="120"/>
      </w:pPr>
      <w:rPr>
        <w:rFonts w:hint="default"/>
        <w:lang w:val="es-gt" w:eastAsia="es-gt" w:bidi="es-gt"/>
      </w:rPr>
    </w:lvl>
    <w:lvl w:ilvl="4">
      <w:start w:val="0"/>
      <w:numFmt w:val="bullet"/>
      <w:lvlText w:val="•"/>
      <w:lvlJc w:val="left"/>
      <w:pPr>
        <w:ind w:left="3681" w:hanging="120"/>
      </w:pPr>
      <w:rPr>
        <w:rFonts w:hint="default"/>
        <w:lang w:val="es-gt" w:eastAsia="es-gt" w:bidi="es-gt"/>
      </w:rPr>
    </w:lvl>
    <w:lvl w:ilvl="5">
      <w:start w:val="0"/>
      <w:numFmt w:val="bullet"/>
      <w:lvlText w:val="•"/>
      <w:lvlJc w:val="left"/>
      <w:pPr>
        <w:ind w:left="4577" w:hanging="120"/>
      </w:pPr>
      <w:rPr>
        <w:rFonts w:hint="default"/>
        <w:lang w:val="es-gt" w:eastAsia="es-gt" w:bidi="es-gt"/>
      </w:rPr>
    </w:lvl>
    <w:lvl w:ilvl="6">
      <w:start w:val="0"/>
      <w:numFmt w:val="bullet"/>
      <w:lvlText w:val="•"/>
      <w:lvlJc w:val="left"/>
      <w:pPr>
        <w:ind w:left="5472" w:hanging="120"/>
      </w:pPr>
      <w:rPr>
        <w:rFonts w:hint="default"/>
        <w:lang w:val="es-gt" w:eastAsia="es-gt" w:bidi="es-gt"/>
      </w:rPr>
    </w:lvl>
    <w:lvl w:ilvl="7">
      <w:start w:val="0"/>
      <w:numFmt w:val="bullet"/>
      <w:lvlText w:val="•"/>
      <w:lvlJc w:val="left"/>
      <w:pPr>
        <w:ind w:left="6368" w:hanging="120"/>
      </w:pPr>
      <w:rPr>
        <w:rFonts w:hint="default"/>
        <w:lang w:val="es-gt" w:eastAsia="es-gt" w:bidi="es-gt"/>
      </w:rPr>
    </w:lvl>
    <w:lvl w:ilvl="8">
      <w:start w:val="0"/>
      <w:numFmt w:val="bullet"/>
      <w:lvlText w:val="•"/>
      <w:lvlJc w:val="left"/>
      <w:pPr>
        <w:ind w:left="7263" w:hanging="120"/>
      </w:pPr>
      <w:rPr>
        <w:rFonts w:hint="default"/>
        <w:lang w:val="es-gt" w:eastAsia="es-gt" w:bidi="es-gt"/>
      </w:rPr>
    </w:lvl>
  </w:abstractNum>
  <w:abstractNum w:abstractNumId="27">
    <w:multiLevelType w:val="hybridMultilevel"/>
    <w:lvl w:ilvl="0">
      <w:start w:val="1"/>
      <w:numFmt w:val="decimal"/>
      <w:lvlText w:val="%1."/>
      <w:lvlJc w:val="left"/>
      <w:pPr>
        <w:ind w:left="1282" w:hanging="360"/>
        <w:jc w:val="left"/>
      </w:pPr>
      <w:rPr>
        <w:rFonts w:hint="default" w:ascii="Times New Roman" w:hAnsi="Times New Roman" w:eastAsia="Times New Roman" w:cs="Times New Roman"/>
        <w:w w:val="100"/>
        <w:sz w:val="22"/>
        <w:szCs w:val="22"/>
        <w:lang w:val="es-gt" w:eastAsia="es-gt" w:bidi="es-gt"/>
      </w:rPr>
    </w:lvl>
    <w:lvl w:ilvl="1">
      <w:start w:val="0"/>
      <w:numFmt w:val="bullet"/>
      <w:lvlText w:val="•"/>
      <w:lvlJc w:val="left"/>
      <w:pPr>
        <w:ind w:left="2262" w:hanging="360"/>
      </w:pPr>
      <w:rPr>
        <w:rFonts w:hint="default"/>
        <w:lang w:val="es-gt" w:eastAsia="es-gt" w:bidi="es-gt"/>
      </w:rPr>
    </w:lvl>
    <w:lvl w:ilvl="2">
      <w:start w:val="0"/>
      <w:numFmt w:val="bullet"/>
      <w:lvlText w:val="•"/>
      <w:lvlJc w:val="left"/>
      <w:pPr>
        <w:ind w:left="3244" w:hanging="360"/>
      </w:pPr>
      <w:rPr>
        <w:rFonts w:hint="default"/>
        <w:lang w:val="es-gt" w:eastAsia="es-gt" w:bidi="es-gt"/>
      </w:rPr>
    </w:lvl>
    <w:lvl w:ilvl="3">
      <w:start w:val="0"/>
      <w:numFmt w:val="bullet"/>
      <w:lvlText w:val="•"/>
      <w:lvlJc w:val="left"/>
      <w:pPr>
        <w:ind w:left="4226" w:hanging="360"/>
      </w:pPr>
      <w:rPr>
        <w:rFonts w:hint="default"/>
        <w:lang w:val="es-gt" w:eastAsia="es-gt" w:bidi="es-gt"/>
      </w:rPr>
    </w:lvl>
    <w:lvl w:ilvl="4">
      <w:start w:val="0"/>
      <w:numFmt w:val="bullet"/>
      <w:lvlText w:val="•"/>
      <w:lvlJc w:val="left"/>
      <w:pPr>
        <w:ind w:left="5208" w:hanging="360"/>
      </w:pPr>
      <w:rPr>
        <w:rFonts w:hint="default"/>
        <w:lang w:val="es-gt" w:eastAsia="es-gt" w:bidi="es-gt"/>
      </w:rPr>
    </w:lvl>
    <w:lvl w:ilvl="5">
      <w:start w:val="0"/>
      <w:numFmt w:val="bullet"/>
      <w:lvlText w:val="•"/>
      <w:lvlJc w:val="left"/>
      <w:pPr>
        <w:ind w:left="6190" w:hanging="360"/>
      </w:pPr>
      <w:rPr>
        <w:rFonts w:hint="default"/>
        <w:lang w:val="es-gt" w:eastAsia="es-gt" w:bidi="es-gt"/>
      </w:rPr>
    </w:lvl>
    <w:lvl w:ilvl="6">
      <w:start w:val="0"/>
      <w:numFmt w:val="bullet"/>
      <w:lvlText w:val="•"/>
      <w:lvlJc w:val="left"/>
      <w:pPr>
        <w:ind w:left="7172" w:hanging="360"/>
      </w:pPr>
      <w:rPr>
        <w:rFonts w:hint="default"/>
        <w:lang w:val="es-gt" w:eastAsia="es-gt" w:bidi="es-gt"/>
      </w:rPr>
    </w:lvl>
    <w:lvl w:ilvl="7">
      <w:start w:val="0"/>
      <w:numFmt w:val="bullet"/>
      <w:lvlText w:val="•"/>
      <w:lvlJc w:val="left"/>
      <w:pPr>
        <w:ind w:left="8154" w:hanging="360"/>
      </w:pPr>
      <w:rPr>
        <w:rFonts w:hint="default"/>
        <w:lang w:val="es-gt" w:eastAsia="es-gt" w:bidi="es-gt"/>
      </w:rPr>
    </w:lvl>
    <w:lvl w:ilvl="8">
      <w:start w:val="0"/>
      <w:numFmt w:val="bullet"/>
      <w:lvlText w:val="•"/>
      <w:lvlJc w:val="left"/>
      <w:pPr>
        <w:ind w:left="9136" w:hanging="360"/>
      </w:pPr>
      <w:rPr>
        <w:rFonts w:hint="default"/>
        <w:lang w:val="es-gt" w:eastAsia="es-gt" w:bidi="es-gt"/>
      </w:rPr>
    </w:lvl>
  </w:abstractNum>
  <w:abstractNum w:abstractNumId="26">
    <w:multiLevelType w:val="hybridMultilevel"/>
    <w:lvl w:ilvl="0">
      <w:start w:val="2"/>
      <w:numFmt w:val="decimal"/>
      <w:lvlText w:val="%1)"/>
      <w:lvlJc w:val="left"/>
      <w:pPr>
        <w:ind w:left="801" w:hanging="240"/>
        <w:jc w:val="left"/>
      </w:pPr>
      <w:rPr>
        <w:rFonts w:hint="default" w:ascii="Times New Roman" w:hAnsi="Times New Roman" w:eastAsia="Times New Roman" w:cs="Times New Roman"/>
        <w:w w:val="100"/>
        <w:sz w:val="22"/>
        <w:szCs w:val="22"/>
        <w:lang w:val="es-gt" w:eastAsia="es-gt" w:bidi="es-gt"/>
      </w:rPr>
    </w:lvl>
    <w:lvl w:ilvl="1">
      <w:start w:val="1"/>
      <w:numFmt w:val="decimal"/>
      <w:lvlText w:val="%2."/>
      <w:lvlJc w:val="left"/>
      <w:pPr>
        <w:ind w:left="1282" w:hanging="360"/>
        <w:jc w:val="left"/>
      </w:pPr>
      <w:rPr>
        <w:rFonts w:hint="default" w:ascii="Times New Roman" w:hAnsi="Times New Roman" w:eastAsia="Times New Roman" w:cs="Times New Roman"/>
        <w:w w:val="100"/>
        <w:sz w:val="22"/>
        <w:szCs w:val="22"/>
        <w:lang w:val="es-gt" w:eastAsia="es-gt" w:bidi="es-gt"/>
      </w:rPr>
    </w:lvl>
    <w:lvl w:ilvl="2">
      <w:start w:val="0"/>
      <w:numFmt w:val="bullet"/>
      <w:lvlText w:val="•"/>
      <w:lvlJc w:val="left"/>
      <w:pPr>
        <w:ind w:left="2371" w:hanging="360"/>
      </w:pPr>
      <w:rPr>
        <w:rFonts w:hint="default"/>
        <w:lang w:val="es-gt" w:eastAsia="es-gt" w:bidi="es-gt"/>
      </w:rPr>
    </w:lvl>
    <w:lvl w:ilvl="3">
      <w:start w:val="0"/>
      <w:numFmt w:val="bullet"/>
      <w:lvlText w:val="•"/>
      <w:lvlJc w:val="left"/>
      <w:pPr>
        <w:ind w:left="3462" w:hanging="360"/>
      </w:pPr>
      <w:rPr>
        <w:rFonts w:hint="default"/>
        <w:lang w:val="es-gt" w:eastAsia="es-gt" w:bidi="es-gt"/>
      </w:rPr>
    </w:lvl>
    <w:lvl w:ilvl="4">
      <w:start w:val="0"/>
      <w:numFmt w:val="bullet"/>
      <w:lvlText w:val="•"/>
      <w:lvlJc w:val="left"/>
      <w:pPr>
        <w:ind w:left="4553" w:hanging="360"/>
      </w:pPr>
      <w:rPr>
        <w:rFonts w:hint="default"/>
        <w:lang w:val="es-gt" w:eastAsia="es-gt" w:bidi="es-gt"/>
      </w:rPr>
    </w:lvl>
    <w:lvl w:ilvl="5">
      <w:start w:val="0"/>
      <w:numFmt w:val="bullet"/>
      <w:lvlText w:val="•"/>
      <w:lvlJc w:val="left"/>
      <w:pPr>
        <w:ind w:left="5644" w:hanging="360"/>
      </w:pPr>
      <w:rPr>
        <w:rFonts w:hint="default"/>
        <w:lang w:val="es-gt" w:eastAsia="es-gt" w:bidi="es-gt"/>
      </w:rPr>
    </w:lvl>
    <w:lvl w:ilvl="6">
      <w:start w:val="0"/>
      <w:numFmt w:val="bullet"/>
      <w:lvlText w:val="•"/>
      <w:lvlJc w:val="left"/>
      <w:pPr>
        <w:ind w:left="6735" w:hanging="360"/>
      </w:pPr>
      <w:rPr>
        <w:rFonts w:hint="default"/>
        <w:lang w:val="es-gt" w:eastAsia="es-gt" w:bidi="es-gt"/>
      </w:rPr>
    </w:lvl>
    <w:lvl w:ilvl="7">
      <w:start w:val="0"/>
      <w:numFmt w:val="bullet"/>
      <w:lvlText w:val="•"/>
      <w:lvlJc w:val="left"/>
      <w:pPr>
        <w:ind w:left="7826" w:hanging="360"/>
      </w:pPr>
      <w:rPr>
        <w:rFonts w:hint="default"/>
        <w:lang w:val="es-gt" w:eastAsia="es-gt" w:bidi="es-gt"/>
      </w:rPr>
    </w:lvl>
    <w:lvl w:ilvl="8">
      <w:start w:val="0"/>
      <w:numFmt w:val="bullet"/>
      <w:lvlText w:val="•"/>
      <w:lvlJc w:val="left"/>
      <w:pPr>
        <w:ind w:left="8917" w:hanging="360"/>
      </w:pPr>
      <w:rPr>
        <w:rFonts w:hint="default"/>
        <w:lang w:val="es-gt" w:eastAsia="es-gt" w:bidi="es-gt"/>
      </w:rPr>
    </w:lvl>
  </w:abstractNum>
  <w:abstractNum w:abstractNumId="25">
    <w:multiLevelType w:val="hybridMultilevel"/>
    <w:lvl w:ilvl="0">
      <w:start w:val="0"/>
      <w:numFmt w:val="bullet"/>
      <w:lvlText w:val=""/>
      <w:lvlJc w:val="left"/>
      <w:pPr>
        <w:ind w:left="1282" w:hanging="360"/>
      </w:pPr>
      <w:rPr>
        <w:rFonts w:hint="default" w:ascii="Symbol" w:hAnsi="Symbol" w:eastAsia="Symbol" w:cs="Symbol"/>
        <w:w w:val="100"/>
        <w:sz w:val="22"/>
        <w:szCs w:val="22"/>
        <w:lang w:val="es-gt" w:eastAsia="es-gt" w:bidi="es-gt"/>
      </w:rPr>
    </w:lvl>
    <w:lvl w:ilvl="1">
      <w:start w:val="0"/>
      <w:numFmt w:val="bullet"/>
      <w:lvlText w:val="•"/>
      <w:lvlJc w:val="left"/>
      <w:pPr>
        <w:ind w:left="2262" w:hanging="360"/>
      </w:pPr>
      <w:rPr>
        <w:rFonts w:hint="default"/>
        <w:lang w:val="es-gt" w:eastAsia="es-gt" w:bidi="es-gt"/>
      </w:rPr>
    </w:lvl>
    <w:lvl w:ilvl="2">
      <w:start w:val="0"/>
      <w:numFmt w:val="bullet"/>
      <w:lvlText w:val="•"/>
      <w:lvlJc w:val="left"/>
      <w:pPr>
        <w:ind w:left="3244" w:hanging="360"/>
      </w:pPr>
      <w:rPr>
        <w:rFonts w:hint="default"/>
        <w:lang w:val="es-gt" w:eastAsia="es-gt" w:bidi="es-gt"/>
      </w:rPr>
    </w:lvl>
    <w:lvl w:ilvl="3">
      <w:start w:val="0"/>
      <w:numFmt w:val="bullet"/>
      <w:lvlText w:val="•"/>
      <w:lvlJc w:val="left"/>
      <w:pPr>
        <w:ind w:left="4226" w:hanging="360"/>
      </w:pPr>
      <w:rPr>
        <w:rFonts w:hint="default"/>
        <w:lang w:val="es-gt" w:eastAsia="es-gt" w:bidi="es-gt"/>
      </w:rPr>
    </w:lvl>
    <w:lvl w:ilvl="4">
      <w:start w:val="0"/>
      <w:numFmt w:val="bullet"/>
      <w:lvlText w:val="•"/>
      <w:lvlJc w:val="left"/>
      <w:pPr>
        <w:ind w:left="5208" w:hanging="360"/>
      </w:pPr>
      <w:rPr>
        <w:rFonts w:hint="default"/>
        <w:lang w:val="es-gt" w:eastAsia="es-gt" w:bidi="es-gt"/>
      </w:rPr>
    </w:lvl>
    <w:lvl w:ilvl="5">
      <w:start w:val="0"/>
      <w:numFmt w:val="bullet"/>
      <w:lvlText w:val="•"/>
      <w:lvlJc w:val="left"/>
      <w:pPr>
        <w:ind w:left="6190" w:hanging="360"/>
      </w:pPr>
      <w:rPr>
        <w:rFonts w:hint="default"/>
        <w:lang w:val="es-gt" w:eastAsia="es-gt" w:bidi="es-gt"/>
      </w:rPr>
    </w:lvl>
    <w:lvl w:ilvl="6">
      <w:start w:val="0"/>
      <w:numFmt w:val="bullet"/>
      <w:lvlText w:val="•"/>
      <w:lvlJc w:val="left"/>
      <w:pPr>
        <w:ind w:left="7172" w:hanging="360"/>
      </w:pPr>
      <w:rPr>
        <w:rFonts w:hint="default"/>
        <w:lang w:val="es-gt" w:eastAsia="es-gt" w:bidi="es-gt"/>
      </w:rPr>
    </w:lvl>
    <w:lvl w:ilvl="7">
      <w:start w:val="0"/>
      <w:numFmt w:val="bullet"/>
      <w:lvlText w:val="•"/>
      <w:lvlJc w:val="left"/>
      <w:pPr>
        <w:ind w:left="8154" w:hanging="360"/>
      </w:pPr>
      <w:rPr>
        <w:rFonts w:hint="default"/>
        <w:lang w:val="es-gt" w:eastAsia="es-gt" w:bidi="es-gt"/>
      </w:rPr>
    </w:lvl>
    <w:lvl w:ilvl="8">
      <w:start w:val="0"/>
      <w:numFmt w:val="bullet"/>
      <w:lvlText w:val="•"/>
      <w:lvlJc w:val="left"/>
      <w:pPr>
        <w:ind w:left="9136" w:hanging="360"/>
      </w:pPr>
      <w:rPr>
        <w:rFonts w:hint="default"/>
        <w:lang w:val="es-gt" w:eastAsia="es-gt" w:bidi="es-gt"/>
      </w:rPr>
    </w:lvl>
  </w:abstractNum>
  <w:abstractNum w:abstractNumId="24">
    <w:multiLevelType w:val="hybridMultilevel"/>
    <w:lvl w:ilvl="0">
      <w:start w:val="0"/>
      <w:numFmt w:val="bullet"/>
      <w:lvlText w:val="-"/>
      <w:lvlJc w:val="left"/>
      <w:pPr>
        <w:ind w:left="1282" w:hanging="360"/>
      </w:pPr>
      <w:rPr>
        <w:rFonts w:hint="default" w:ascii="Verdana" w:hAnsi="Verdana" w:eastAsia="Verdana" w:cs="Verdana"/>
        <w:w w:val="100"/>
        <w:sz w:val="22"/>
        <w:szCs w:val="22"/>
        <w:lang w:val="es-gt" w:eastAsia="es-gt" w:bidi="es-gt"/>
      </w:rPr>
    </w:lvl>
    <w:lvl w:ilvl="1">
      <w:start w:val="0"/>
      <w:numFmt w:val="bullet"/>
      <w:lvlText w:val="•"/>
      <w:lvlJc w:val="left"/>
      <w:pPr>
        <w:ind w:left="2262" w:hanging="360"/>
      </w:pPr>
      <w:rPr>
        <w:rFonts w:hint="default"/>
        <w:lang w:val="es-gt" w:eastAsia="es-gt" w:bidi="es-gt"/>
      </w:rPr>
    </w:lvl>
    <w:lvl w:ilvl="2">
      <w:start w:val="0"/>
      <w:numFmt w:val="bullet"/>
      <w:lvlText w:val="•"/>
      <w:lvlJc w:val="left"/>
      <w:pPr>
        <w:ind w:left="3244" w:hanging="360"/>
      </w:pPr>
      <w:rPr>
        <w:rFonts w:hint="default"/>
        <w:lang w:val="es-gt" w:eastAsia="es-gt" w:bidi="es-gt"/>
      </w:rPr>
    </w:lvl>
    <w:lvl w:ilvl="3">
      <w:start w:val="0"/>
      <w:numFmt w:val="bullet"/>
      <w:lvlText w:val="•"/>
      <w:lvlJc w:val="left"/>
      <w:pPr>
        <w:ind w:left="4226" w:hanging="360"/>
      </w:pPr>
      <w:rPr>
        <w:rFonts w:hint="default"/>
        <w:lang w:val="es-gt" w:eastAsia="es-gt" w:bidi="es-gt"/>
      </w:rPr>
    </w:lvl>
    <w:lvl w:ilvl="4">
      <w:start w:val="0"/>
      <w:numFmt w:val="bullet"/>
      <w:lvlText w:val="•"/>
      <w:lvlJc w:val="left"/>
      <w:pPr>
        <w:ind w:left="5208" w:hanging="360"/>
      </w:pPr>
      <w:rPr>
        <w:rFonts w:hint="default"/>
        <w:lang w:val="es-gt" w:eastAsia="es-gt" w:bidi="es-gt"/>
      </w:rPr>
    </w:lvl>
    <w:lvl w:ilvl="5">
      <w:start w:val="0"/>
      <w:numFmt w:val="bullet"/>
      <w:lvlText w:val="•"/>
      <w:lvlJc w:val="left"/>
      <w:pPr>
        <w:ind w:left="6190" w:hanging="360"/>
      </w:pPr>
      <w:rPr>
        <w:rFonts w:hint="default"/>
        <w:lang w:val="es-gt" w:eastAsia="es-gt" w:bidi="es-gt"/>
      </w:rPr>
    </w:lvl>
    <w:lvl w:ilvl="6">
      <w:start w:val="0"/>
      <w:numFmt w:val="bullet"/>
      <w:lvlText w:val="•"/>
      <w:lvlJc w:val="left"/>
      <w:pPr>
        <w:ind w:left="7172" w:hanging="360"/>
      </w:pPr>
      <w:rPr>
        <w:rFonts w:hint="default"/>
        <w:lang w:val="es-gt" w:eastAsia="es-gt" w:bidi="es-gt"/>
      </w:rPr>
    </w:lvl>
    <w:lvl w:ilvl="7">
      <w:start w:val="0"/>
      <w:numFmt w:val="bullet"/>
      <w:lvlText w:val="•"/>
      <w:lvlJc w:val="left"/>
      <w:pPr>
        <w:ind w:left="8154" w:hanging="360"/>
      </w:pPr>
      <w:rPr>
        <w:rFonts w:hint="default"/>
        <w:lang w:val="es-gt" w:eastAsia="es-gt" w:bidi="es-gt"/>
      </w:rPr>
    </w:lvl>
    <w:lvl w:ilvl="8">
      <w:start w:val="0"/>
      <w:numFmt w:val="bullet"/>
      <w:lvlText w:val="•"/>
      <w:lvlJc w:val="left"/>
      <w:pPr>
        <w:ind w:left="9136" w:hanging="360"/>
      </w:pPr>
      <w:rPr>
        <w:rFonts w:hint="default"/>
        <w:lang w:val="es-gt" w:eastAsia="es-gt" w:bidi="es-gt"/>
      </w:rPr>
    </w:lvl>
  </w:abstractNum>
  <w:abstractNum w:abstractNumId="23">
    <w:multiLevelType w:val="hybridMultilevel"/>
    <w:lvl w:ilvl="0">
      <w:start w:val="5"/>
      <w:numFmt w:val="upperLetter"/>
      <w:lvlText w:val="%1"/>
      <w:lvlJc w:val="left"/>
      <w:pPr>
        <w:ind w:left="1244" w:hanging="1026"/>
        <w:jc w:val="left"/>
      </w:pPr>
      <w:rPr>
        <w:rFonts w:hint="default"/>
        <w:lang w:val="es-gt" w:eastAsia="es-gt" w:bidi="es-gt"/>
      </w:rPr>
    </w:lvl>
    <w:lvl w:ilvl="1">
      <w:start w:val="5"/>
      <w:numFmt w:val="upperLetter"/>
      <w:lvlText w:val="%1.%2"/>
      <w:lvlJc w:val="left"/>
      <w:pPr>
        <w:ind w:left="1244" w:hanging="1026"/>
        <w:jc w:val="left"/>
      </w:pPr>
      <w:rPr>
        <w:rFonts w:hint="default"/>
        <w:lang w:val="es-gt" w:eastAsia="es-gt" w:bidi="es-gt"/>
      </w:rPr>
    </w:lvl>
    <w:lvl w:ilvl="2">
      <w:start w:val="21"/>
      <w:numFmt w:val="upperLetter"/>
      <w:lvlText w:val="%1.%2.%3"/>
      <w:lvlJc w:val="left"/>
      <w:pPr>
        <w:ind w:left="1244" w:hanging="1026"/>
        <w:jc w:val="left"/>
      </w:pPr>
      <w:rPr>
        <w:rFonts w:hint="default"/>
        <w:lang w:val="es-gt" w:eastAsia="es-gt" w:bidi="es-gt"/>
      </w:rPr>
    </w:lvl>
    <w:lvl w:ilvl="3">
      <w:start w:val="21"/>
      <w:numFmt w:val="upperLetter"/>
      <w:lvlText w:val="%1.%2.%3.%4"/>
      <w:lvlJc w:val="left"/>
      <w:pPr>
        <w:ind w:left="1244" w:hanging="1026"/>
        <w:jc w:val="left"/>
      </w:pPr>
      <w:rPr>
        <w:rFonts w:hint="default" w:ascii="Times New Roman" w:hAnsi="Times New Roman" w:eastAsia="Times New Roman" w:cs="Times New Roman"/>
        <w:color w:val="585858"/>
        <w:spacing w:val="-2"/>
        <w:w w:val="99"/>
        <w:sz w:val="14"/>
        <w:szCs w:val="14"/>
        <w:lang w:val="es-gt" w:eastAsia="es-gt" w:bidi="es-gt"/>
      </w:rPr>
    </w:lvl>
    <w:lvl w:ilvl="4">
      <w:start w:val="0"/>
      <w:numFmt w:val="bullet"/>
      <w:lvlText w:val="•"/>
      <w:lvlJc w:val="left"/>
      <w:pPr>
        <w:ind w:left="694" w:hanging="133"/>
      </w:pPr>
      <w:rPr>
        <w:rFonts w:hint="default" w:ascii="Times New Roman" w:hAnsi="Times New Roman" w:eastAsia="Times New Roman" w:cs="Times New Roman"/>
        <w:w w:val="100"/>
        <w:sz w:val="22"/>
        <w:szCs w:val="22"/>
        <w:lang w:val="es-gt" w:eastAsia="es-gt" w:bidi="es-gt"/>
      </w:rPr>
    </w:lvl>
    <w:lvl w:ilvl="5">
      <w:start w:val="0"/>
      <w:numFmt w:val="bullet"/>
      <w:lvlText w:val="-"/>
      <w:lvlJc w:val="left"/>
      <w:pPr>
        <w:ind w:left="1282" w:hanging="360"/>
      </w:pPr>
      <w:rPr>
        <w:rFonts w:hint="default" w:ascii="Verdana" w:hAnsi="Verdana" w:eastAsia="Verdana" w:cs="Verdana"/>
        <w:w w:val="100"/>
        <w:sz w:val="22"/>
        <w:szCs w:val="22"/>
        <w:lang w:val="es-gt" w:eastAsia="es-gt" w:bidi="es-gt"/>
      </w:rPr>
    </w:lvl>
    <w:lvl w:ilvl="6">
      <w:start w:val="0"/>
      <w:numFmt w:val="bullet"/>
      <w:lvlText w:val="•"/>
      <w:lvlJc w:val="left"/>
      <w:pPr>
        <w:ind w:left="4626" w:hanging="360"/>
      </w:pPr>
      <w:rPr>
        <w:rFonts w:hint="default"/>
        <w:lang w:val="es-gt" w:eastAsia="es-gt" w:bidi="es-gt"/>
      </w:rPr>
    </w:lvl>
    <w:lvl w:ilvl="7">
      <w:start w:val="0"/>
      <w:numFmt w:val="bullet"/>
      <w:lvlText w:val="•"/>
      <w:lvlJc w:val="left"/>
      <w:pPr>
        <w:ind w:left="5462" w:hanging="360"/>
      </w:pPr>
      <w:rPr>
        <w:rFonts w:hint="default"/>
        <w:lang w:val="es-gt" w:eastAsia="es-gt" w:bidi="es-gt"/>
      </w:rPr>
    </w:lvl>
    <w:lvl w:ilvl="8">
      <w:start w:val="0"/>
      <w:numFmt w:val="bullet"/>
      <w:lvlText w:val="•"/>
      <w:lvlJc w:val="left"/>
      <w:pPr>
        <w:ind w:left="6299" w:hanging="360"/>
      </w:pPr>
      <w:rPr>
        <w:rFonts w:hint="default"/>
        <w:lang w:val="es-gt" w:eastAsia="es-gt" w:bidi="es-gt"/>
      </w:rPr>
    </w:lvl>
  </w:abstractNum>
  <w:abstractNum w:abstractNumId="22">
    <w:multiLevelType w:val="hybridMultilevel"/>
    <w:lvl w:ilvl="0">
      <w:start w:val="3"/>
      <w:numFmt w:val="decimal"/>
      <w:lvlText w:val="%1"/>
      <w:lvlJc w:val="left"/>
      <w:pPr>
        <w:ind w:left="239" w:hanging="82"/>
        <w:jc w:val="left"/>
      </w:pPr>
      <w:rPr>
        <w:rFonts w:hint="default" w:ascii="Times New Roman" w:hAnsi="Times New Roman" w:eastAsia="Times New Roman" w:cs="Times New Roman"/>
        <w:b/>
        <w:bCs/>
        <w:color w:val="585858"/>
        <w:w w:val="104"/>
        <w:sz w:val="11"/>
        <w:szCs w:val="11"/>
        <w:lang w:val="es-gt" w:eastAsia="es-gt" w:bidi="es-gt"/>
      </w:rPr>
    </w:lvl>
    <w:lvl w:ilvl="1">
      <w:start w:val="0"/>
      <w:numFmt w:val="bullet"/>
      <w:lvlText w:val=""/>
      <w:lvlJc w:val="left"/>
      <w:pPr>
        <w:ind w:left="1282" w:hanging="360"/>
      </w:pPr>
      <w:rPr>
        <w:rFonts w:hint="default" w:ascii="Symbol" w:hAnsi="Symbol" w:eastAsia="Symbol" w:cs="Symbol"/>
        <w:w w:val="100"/>
        <w:sz w:val="22"/>
        <w:szCs w:val="22"/>
        <w:lang w:val="es-gt" w:eastAsia="es-gt" w:bidi="es-gt"/>
      </w:rPr>
    </w:lvl>
    <w:lvl w:ilvl="2">
      <w:start w:val="0"/>
      <w:numFmt w:val="bullet"/>
      <w:lvlText w:val="o"/>
      <w:lvlJc w:val="left"/>
      <w:pPr>
        <w:ind w:left="2002" w:hanging="360"/>
      </w:pPr>
      <w:rPr>
        <w:rFonts w:hint="default" w:ascii="Courier New" w:hAnsi="Courier New" w:eastAsia="Courier New" w:cs="Courier New"/>
        <w:w w:val="100"/>
        <w:sz w:val="22"/>
        <w:szCs w:val="22"/>
        <w:lang w:val="es-gt" w:eastAsia="es-gt" w:bidi="es-gt"/>
      </w:rPr>
    </w:lvl>
    <w:lvl w:ilvl="3">
      <w:start w:val="0"/>
      <w:numFmt w:val="bullet"/>
      <w:lvlText w:val="•"/>
      <w:lvlJc w:val="left"/>
      <w:pPr>
        <w:ind w:left="1807" w:hanging="360"/>
      </w:pPr>
      <w:rPr>
        <w:rFonts w:hint="default"/>
        <w:lang w:val="es-gt" w:eastAsia="es-gt" w:bidi="es-gt"/>
      </w:rPr>
    </w:lvl>
    <w:lvl w:ilvl="4">
      <w:start w:val="0"/>
      <w:numFmt w:val="bullet"/>
      <w:lvlText w:val="•"/>
      <w:lvlJc w:val="left"/>
      <w:pPr>
        <w:ind w:left="1614" w:hanging="360"/>
      </w:pPr>
      <w:rPr>
        <w:rFonts w:hint="default"/>
        <w:lang w:val="es-gt" w:eastAsia="es-gt" w:bidi="es-gt"/>
      </w:rPr>
    </w:lvl>
    <w:lvl w:ilvl="5">
      <w:start w:val="0"/>
      <w:numFmt w:val="bullet"/>
      <w:lvlText w:val="•"/>
      <w:lvlJc w:val="left"/>
      <w:pPr>
        <w:ind w:left="1421" w:hanging="360"/>
      </w:pPr>
      <w:rPr>
        <w:rFonts w:hint="default"/>
        <w:lang w:val="es-gt" w:eastAsia="es-gt" w:bidi="es-gt"/>
      </w:rPr>
    </w:lvl>
    <w:lvl w:ilvl="6">
      <w:start w:val="0"/>
      <w:numFmt w:val="bullet"/>
      <w:lvlText w:val="•"/>
      <w:lvlJc w:val="left"/>
      <w:pPr>
        <w:ind w:left="1228" w:hanging="360"/>
      </w:pPr>
      <w:rPr>
        <w:rFonts w:hint="default"/>
        <w:lang w:val="es-gt" w:eastAsia="es-gt" w:bidi="es-gt"/>
      </w:rPr>
    </w:lvl>
    <w:lvl w:ilvl="7">
      <w:start w:val="0"/>
      <w:numFmt w:val="bullet"/>
      <w:lvlText w:val="•"/>
      <w:lvlJc w:val="left"/>
      <w:pPr>
        <w:ind w:left="1035" w:hanging="360"/>
      </w:pPr>
      <w:rPr>
        <w:rFonts w:hint="default"/>
        <w:lang w:val="es-gt" w:eastAsia="es-gt" w:bidi="es-gt"/>
      </w:rPr>
    </w:lvl>
    <w:lvl w:ilvl="8">
      <w:start w:val="0"/>
      <w:numFmt w:val="bullet"/>
      <w:lvlText w:val="•"/>
      <w:lvlJc w:val="left"/>
      <w:pPr>
        <w:ind w:left="842" w:hanging="360"/>
      </w:pPr>
      <w:rPr>
        <w:rFonts w:hint="default"/>
        <w:lang w:val="es-gt" w:eastAsia="es-gt" w:bidi="es-gt"/>
      </w:rPr>
    </w:lvl>
  </w:abstractNum>
  <w:abstractNum w:abstractNumId="21">
    <w:multiLevelType w:val="hybridMultilevel"/>
    <w:lvl w:ilvl="0">
      <w:start w:val="2"/>
      <w:numFmt w:val="decimal"/>
      <w:lvlText w:val="%1"/>
      <w:lvlJc w:val="left"/>
      <w:pPr>
        <w:ind w:left="1786" w:hanging="696"/>
        <w:jc w:val="left"/>
      </w:pPr>
      <w:rPr>
        <w:rFonts w:hint="default"/>
        <w:lang w:val="es-gt" w:eastAsia="es-gt" w:bidi="es-gt"/>
      </w:rPr>
    </w:lvl>
    <w:lvl w:ilvl="1">
      <w:start w:val="2"/>
      <w:numFmt w:val="decimal"/>
      <w:lvlText w:val="%1.%2"/>
      <w:lvlJc w:val="left"/>
      <w:pPr>
        <w:ind w:left="1786" w:hanging="696"/>
        <w:jc w:val="left"/>
      </w:pPr>
      <w:rPr>
        <w:rFonts w:hint="default"/>
        <w:lang w:val="es-gt" w:eastAsia="es-gt" w:bidi="es-gt"/>
      </w:rPr>
    </w:lvl>
    <w:lvl w:ilvl="2">
      <w:start w:val="1"/>
      <w:numFmt w:val="decimal"/>
      <w:lvlText w:val="%1.%2.%3."/>
      <w:lvlJc w:val="left"/>
      <w:pPr>
        <w:ind w:left="1786" w:hanging="696"/>
        <w:jc w:val="left"/>
      </w:pPr>
      <w:rPr>
        <w:rFonts w:hint="default" w:ascii="Times New Roman" w:hAnsi="Times New Roman" w:eastAsia="Times New Roman" w:cs="Times New Roman"/>
        <w:b/>
        <w:bCs/>
        <w:spacing w:val="-24"/>
        <w:w w:val="100"/>
        <w:sz w:val="24"/>
        <w:szCs w:val="24"/>
        <w:lang w:val="es-gt" w:eastAsia="es-gt" w:bidi="es-gt"/>
      </w:rPr>
    </w:lvl>
    <w:lvl w:ilvl="3">
      <w:start w:val="0"/>
      <w:numFmt w:val="bullet"/>
      <w:lvlText w:val="•"/>
      <w:lvlJc w:val="left"/>
      <w:pPr>
        <w:ind w:left="4576" w:hanging="696"/>
      </w:pPr>
      <w:rPr>
        <w:rFonts w:hint="default"/>
        <w:lang w:val="es-gt" w:eastAsia="es-gt" w:bidi="es-gt"/>
      </w:rPr>
    </w:lvl>
    <w:lvl w:ilvl="4">
      <w:start w:val="0"/>
      <w:numFmt w:val="bullet"/>
      <w:lvlText w:val="•"/>
      <w:lvlJc w:val="left"/>
      <w:pPr>
        <w:ind w:left="5508" w:hanging="696"/>
      </w:pPr>
      <w:rPr>
        <w:rFonts w:hint="default"/>
        <w:lang w:val="es-gt" w:eastAsia="es-gt" w:bidi="es-gt"/>
      </w:rPr>
    </w:lvl>
    <w:lvl w:ilvl="5">
      <w:start w:val="0"/>
      <w:numFmt w:val="bullet"/>
      <w:lvlText w:val="•"/>
      <w:lvlJc w:val="left"/>
      <w:pPr>
        <w:ind w:left="6440" w:hanging="696"/>
      </w:pPr>
      <w:rPr>
        <w:rFonts w:hint="default"/>
        <w:lang w:val="es-gt" w:eastAsia="es-gt" w:bidi="es-gt"/>
      </w:rPr>
    </w:lvl>
    <w:lvl w:ilvl="6">
      <w:start w:val="0"/>
      <w:numFmt w:val="bullet"/>
      <w:lvlText w:val="•"/>
      <w:lvlJc w:val="left"/>
      <w:pPr>
        <w:ind w:left="7372" w:hanging="696"/>
      </w:pPr>
      <w:rPr>
        <w:rFonts w:hint="default"/>
        <w:lang w:val="es-gt" w:eastAsia="es-gt" w:bidi="es-gt"/>
      </w:rPr>
    </w:lvl>
    <w:lvl w:ilvl="7">
      <w:start w:val="0"/>
      <w:numFmt w:val="bullet"/>
      <w:lvlText w:val="•"/>
      <w:lvlJc w:val="left"/>
      <w:pPr>
        <w:ind w:left="8304" w:hanging="696"/>
      </w:pPr>
      <w:rPr>
        <w:rFonts w:hint="default"/>
        <w:lang w:val="es-gt" w:eastAsia="es-gt" w:bidi="es-gt"/>
      </w:rPr>
    </w:lvl>
    <w:lvl w:ilvl="8">
      <w:start w:val="0"/>
      <w:numFmt w:val="bullet"/>
      <w:lvlText w:val="•"/>
      <w:lvlJc w:val="left"/>
      <w:pPr>
        <w:ind w:left="9236" w:hanging="696"/>
      </w:pPr>
      <w:rPr>
        <w:rFonts w:hint="default"/>
        <w:lang w:val="es-gt" w:eastAsia="es-gt" w:bidi="es-gt"/>
      </w:rPr>
    </w:lvl>
  </w:abstractNum>
  <w:abstractNum w:abstractNumId="20">
    <w:multiLevelType w:val="hybridMultilevel"/>
    <w:lvl w:ilvl="0">
      <w:start w:val="2"/>
      <w:numFmt w:val="decimal"/>
      <w:lvlText w:val="%1"/>
      <w:lvlJc w:val="left"/>
      <w:pPr>
        <w:ind w:left="1978" w:hanging="696"/>
        <w:jc w:val="left"/>
      </w:pPr>
      <w:rPr>
        <w:rFonts w:hint="default"/>
        <w:lang w:val="es-gt" w:eastAsia="es-gt" w:bidi="es-gt"/>
      </w:rPr>
    </w:lvl>
    <w:lvl w:ilvl="1">
      <w:start w:val="1"/>
      <w:numFmt w:val="decimal"/>
      <w:lvlText w:val="%1.%2"/>
      <w:lvlJc w:val="left"/>
      <w:pPr>
        <w:ind w:left="1978" w:hanging="696"/>
        <w:jc w:val="left"/>
      </w:pPr>
      <w:rPr>
        <w:rFonts w:hint="default"/>
        <w:lang w:val="es-gt" w:eastAsia="es-gt" w:bidi="es-gt"/>
      </w:rPr>
    </w:lvl>
    <w:lvl w:ilvl="2">
      <w:start w:val="1"/>
      <w:numFmt w:val="decimal"/>
      <w:lvlText w:val="%1.%2.%3."/>
      <w:lvlJc w:val="left"/>
      <w:pPr>
        <w:ind w:left="1978" w:hanging="696"/>
        <w:jc w:val="left"/>
      </w:pPr>
      <w:rPr>
        <w:rFonts w:hint="default" w:ascii="Times New Roman" w:hAnsi="Times New Roman" w:eastAsia="Times New Roman" w:cs="Times New Roman"/>
        <w:b/>
        <w:bCs/>
        <w:spacing w:val="-24"/>
        <w:w w:val="100"/>
        <w:sz w:val="24"/>
        <w:szCs w:val="24"/>
        <w:lang w:val="es-gt" w:eastAsia="es-gt" w:bidi="es-gt"/>
      </w:rPr>
    </w:lvl>
    <w:lvl w:ilvl="3">
      <w:start w:val="0"/>
      <w:numFmt w:val="bullet"/>
      <w:lvlText w:val="•"/>
      <w:lvlJc w:val="left"/>
      <w:pPr>
        <w:ind w:left="4716" w:hanging="696"/>
      </w:pPr>
      <w:rPr>
        <w:rFonts w:hint="default"/>
        <w:lang w:val="es-gt" w:eastAsia="es-gt" w:bidi="es-gt"/>
      </w:rPr>
    </w:lvl>
    <w:lvl w:ilvl="4">
      <w:start w:val="0"/>
      <w:numFmt w:val="bullet"/>
      <w:lvlText w:val="•"/>
      <w:lvlJc w:val="left"/>
      <w:pPr>
        <w:ind w:left="5628" w:hanging="696"/>
      </w:pPr>
      <w:rPr>
        <w:rFonts w:hint="default"/>
        <w:lang w:val="es-gt" w:eastAsia="es-gt" w:bidi="es-gt"/>
      </w:rPr>
    </w:lvl>
    <w:lvl w:ilvl="5">
      <w:start w:val="0"/>
      <w:numFmt w:val="bullet"/>
      <w:lvlText w:val="•"/>
      <w:lvlJc w:val="left"/>
      <w:pPr>
        <w:ind w:left="6540" w:hanging="696"/>
      </w:pPr>
      <w:rPr>
        <w:rFonts w:hint="default"/>
        <w:lang w:val="es-gt" w:eastAsia="es-gt" w:bidi="es-gt"/>
      </w:rPr>
    </w:lvl>
    <w:lvl w:ilvl="6">
      <w:start w:val="0"/>
      <w:numFmt w:val="bullet"/>
      <w:lvlText w:val="•"/>
      <w:lvlJc w:val="left"/>
      <w:pPr>
        <w:ind w:left="7452" w:hanging="696"/>
      </w:pPr>
      <w:rPr>
        <w:rFonts w:hint="default"/>
        <w:lang w:val="es-gt" w:eastAsia="es-gt" w:bidi="es-gt"/>
      </w:rPr>
    </w:lvl>
    <w:lvl w:ilvl="7">
      <w:start w:val="0"/>
      <w:numFmt w:val="bullet"/>
      <w:lvlText w:val="•"/>
      <w:lvlJc w:val="left"/>
      <w:pPr>
        <w:ind w:left="8364" w:hanging="696"/>
      </w:pPr>
      <w:rPr>
        <w:rFonts w:hint="default"/>
        <w:lang w:val="es-gt" w:eastAsia="es-gt" w:bidi="es-gt"/>
      </w:rPr>
    </w:lvl>
    <w:lvl w:ilvl="8">
      <w:start w:val="0"/>
      <w:numFmt w:val="bullet"/>
      <w:lvlText w:val="•"/>
      <w:lvlJc w:val="left"/>
      <w:pPr>
        <w:ind w:left="9276" w:hanging="696"/>
      </w:pPr>
      <w:rPr>
        <w:rFonts w:hint="default"/>
        <w:lang w:val="es-gt" w:eastAsia="es-gt" w:bidi="es-gt"/>
      </w:rPr>
    </w:lvl>
  </w:abstractNum>
  <w:abstractNum w:abstractNumId="19">
    <w:multiLevelType w:val="hybridMultilevel"/>
    <w:lvl w:ilvl="0">
      <w:start w:val="0"/>
      <w:numFmt w:val="bullet"/>
      <w:lvlText w:val=""/>
      <w:lvlJc w:val="left"/>
      <w:pPr>
        <w:ind w:left="1282" w:hanging="360"/>
      </w:pPr>
      <w:rPr>
        <w:rFonts w:hint="default" w:ascii="Symbol" w:hAnsi="Symbol" w:eastAsia="Symbol" w:cs="Symbol"/>
        <w:w w:val="100"/>
        <w:sz w:val="22"/>
        <w:szCs w:val="22"/>
        <w:lang w:val="es-gt" w:eastAsia="es-gt" w:bidi="es-gt"/>
      </w:rPr>
    </w:lvl>
    <w:lvl w:ilvl="1">
      <w:start w:val="0"/>
      <w:numFmt w:val="bullet"/>
      <w:lvlText w:val="o"/>
      <w:lvlJc w:val="left"/>
      <w:pPr>
        <w:ind w:left="2002" w:hanging="360"/>
      </w:pPr>
      <w:rPr>
        <w:rFonts w:hint="default" w:ascii="Courier New" w:hAnsi="Courier New" w:eastAsia="Courier New" w:cs="Courier New"/>
        <w:w w:val="100"/>
        <w:sz w:val="22"/>
        <w:szCs w:val="22"/>
        <w:lang w:val="es-gt" w:eastAsia="es-gt" w:bidi="es-gt"/>
      </w:rPr>
    </w:lvl>
    <w:lvl w:ilvl="2">
      <w:start w:val="0"/>
      <w:numFmt w:val="bullet"/>
      <w:lvlText w:val="•"/>
      <w:lvlJc w:val="left"/>
      <w:pPr>
        <w:ind w:left="3011" w:hanging="360"/>
      </w:pPr>
      <w:rPr>
        <w:rFonts w:hint="default"/>
        <w:lang w:val="es-gt" w:eastAsia="es-gt" w:bidi="es-gt"/>
      </w:rPr>
    </w:lvl>
    <w:lvl w:ilvl="3">
      <w:start w:val="0"/>
      <w:numFmt w:val="bullet"/>
      <w:lvlText w:val="•"/>
      <w:lvlJc w:val="left"/>
      <w:pPr>
        <w:ind w:left="4022" w:hanging="360"/>
      </w:pPr>
      <w:rPr>
        <w:rFonts w:hint="default"/>
        <w:lang w:val="es-gt" w:eastAsia="es-gt" w:bidi="es-gt"/>
      </w:rPr>
    </w:lvl>
    <w:lvl w:ilvl="4">
      <w:start w:val="0"/>
      <w:numFmt w:val="bullet"/>
      <w:lvlText w:val="•"/>
      <w:lvlJc w:val="left"/>
      <w:pPr>
        <w:ind w:left="5033" w:hanging="360"/>
      </w:pPr>
      <w:rPr>
        <w:rFonts w:hint="default"/>
        <w:lang w:val="es-gt" w:eastAsia="es-gt" w:bidi="es-gt"/>
      </w:rPr>
    </w:lvl>
    <w:lvl w:ilvl="5">
      <w:start w:val="0"/>
      <w:numFmt w:val="bullet"/>
      <w:lvlText w:val="•"/>
      <w:lvlJc w:val="left"/>
      <w:pPr>
        <w:ind w:left="6044" w:hanging="360"/>
      </w:pPr>
      <w:rPr>
        <w:rFonts w:hint="default"/>
        <w:lang w:val="es-gt" w:eastAsia="es-gt" w:bidi="es-gt"/>
      </w:rPr>
    </w:lvl>
    <w:lvl w:ilvl="6">
      <w:start w:val="0"/>
      <w:numFmt w:val="bullet"/>
      <w:lvlText w:val="•"/>
      <w:lvlJc w:val="left"/>
      <w:pPr>
        <w:ind w:left="7055" w:hanging="360"/>
      </w:pPr>
      <w:rPr>
        <w:rFonts w:hint="default"/>
        <w:lang w:val="es-gt" w:eastAsia="es-gt" w:bidi="es-gt"/>
      </w:rPr>
    </w:lvl>
    <w:lvl w:ilvl="7">
      <w:start w:val="0"/>
      <w:numFmt w:val="bullet"/>
      <w:lvlText w:val="•"/>
      <w:lvlJc w:val="left"/>
      <w:pPr>
        <w:ind w:left="8066" w:hanging="360"/>
      </w:pPr>
      <w:rPr>
        <w:rFonts w:hint="default"/>
        <w:lang w:val="es-gt" w:eastAsia="es-gt" w:bidi="es-gt"/>
      </w:rPr>
    </w:lvl>
    <w:lvl w:ilvl="8">
      <w:start w:val="0"/>
      <w:numFmt w:val="bullet"/>
      <w:lvlText w:val="•"/>
      <w:lvlJc w:val="left"/>
      <w:pPr>
        <w:ind w:left="9077" w:hanging="360"/>
      </w:pPr>
      <w:rPr>
        <w:rFonts w:hint="default"/>
        <w:lang w:val="es-gt" w:eastAsia="es-gt" w:bidi="es-gt"/>
      </w:rPr>
    </w:lvl>
  </w:abstractNum>
  <w:abstractNum w:abstractNumId="17">
    <w:multiLevelType w:val="hybridMultilevel"/>
    <w:lvl w:ilvl="0">
      <w:start w:val="1"/>
      <w:numFmt w:val="decimal"/>
      <w:lvlText w:val="%1"/>
      <w:lvlJc w:val="left"/>
      <w:pPr>
        <w:ind w:left="1786" w:hanging="696"/>
        <w:jc w:val="left"/>
      </w:pPr>
      <w:rPr>
        <w:rFonts w:hint="default"/>
        <w:lang w:val="es-gt" w:eastAsia="es-gt" w:bidi="es-gt"/>
      </w:rPr>
    </w:lvl>
    <w:lvl w:ilvl="1">
      <w:start w:val="2"/>
      <w:numFmt w:val="decimal"/>
      <w:lvlText w:val="%1.%2"/>
      <w:lvlJc w:val="left"/>
      <w:pPr>
        <w:ind w:left="1786" w:hanging="696"/>
        <w:jc w:val="left"/>
      </w:pPr>
      <w:rPr>
        <w:rFonts w:hint="default"/>
        <w:lang w:val="es-gt" w:eastAsia="es-gt" w:bidi="es-gt"/>
      </w:rPr>
    </w:lvl>
    <w:lvl w:ilvl="2">
      <w:start w:val="1"/>
      <w:numFmt w:val="decimal"/>
      <w:lvlText w:val="%1.%2.%3."/>
      <w:lvlJc w:val="left"/>
      <w:pPr>
        <w:ind w:left="1786" w:hanging="696"/>
        <w:jc w:val="left"/>
      </w:pPr>
      <w:rPr>
        <w:rFonts w:hint="default" w:ascii="Times New Roman" w:hAnsi="Times New Roman" w:eastAsia="Times New Roman" w:cs="Times New Roman"/>
        <w:b/>
        <w:bCs/>
        <w:spacing w:val="-24"/>
        <w:w w:val="100"/>
        <w:sz w:val="24"/>
        <w:szCs w:val="24"/>
        <w:lang w:val="es-gt" w:eastAsia="es-gt" w:bidi="es-gt"/>
      </w:rPr>
    </w:lvl>
    <w:lvl w:ilvl="3">
      <w:start w:val="1"/>
      <w:numFmt w:val="decimal"/>
      <w:lvlText w:val="%1.%2.%3.%4."/>
      <w:lvlJc w:val="left"/>
      <w:pPr>
        <w:ind w:left="2686" w:hanging="1044"/>
        <w:jc w:val="left"/>
      </w:pPr>
      <w:rPr>
        <w:rFonts w:hint="default" w:ascii="Times New Roman" w:hAnsi="Times New Roman" w:eastAsia="Times New Roman" w:cs="Times New Roman"/>
        <w:b/>
        <w:bCs/>
        <w:spacing w:val="-4"/>
        <w:w w:val="100"/>
        <w:sz w:val="24"/>
        <w:szCs w:val="24"/>
        <w:lang w:val="es-gt" w:eastAsia="es-gt" w:bidi="es-gt"/>
      </w:rPr>
    </w:lvl>
    <w:lvl w:ilvl="4">
      <w:start w:val="0"/>
      <w:numFmt w:val="bullet"/>
      <w:lvlText w:val="•"/>
      <w:lvlJc w:val="left"/>
      <w:pPr>
        <w:ind w:left="5486" w:hanging="1044"/>
      </w:pPr>
      <w:rPr>
        <w:rFonts w:hint="default"/>
        <w:lang w:val="es-gt" w:eastAsia="es-gt" w:bidi="es-gt"/>
      </w:rPr>
    </w:lvl>
    <w:lvl w:ilvl="5">
      <w:start w:val="0"/>
      <w:numFmt w:val="bullet"/>
      <w:lvlText w:val="•"/>
      <w:lvlJc w:val="left"/>
      <w:pPr>
        <w:ind w:left="6422" w:hanging="1044"/>
      </w:pPr>
      <w:rPr>
        <w:rFonts w:hint="default"/>
        <w:lang w:val="es-gt" w:eastAsia="es-gt" w:bidi="es-gt"/>
      </w:rPr>
    </w:lvl>
    <w:lvl w:ilvl="6">
      <w:start w:val="0"/>
      <w:numFmt w:val="bullet"/>
      <w:lvlText w:val="•"/>
      <w:lvlJc w:val="left"/>
      <w:pPr>
        <w:ind w:left="7357" w:hanging="1044"/>
      </w:pPr>
      <w:rPr>
        <w:rFonts w:hint="default"/>
        <w:lang w:val="es-gt" w:eastAsia="es-gt" w:bidi="es-gt"/>
      </w:rPr>
    </w:lvl>
    <w:lvl w:ilvl="7">
      <w:start w:val="0"/>
      <w:numFmt w:val="bullet"/>
      <w:lvlText w:val="•"/>
      <w:lvlJc w:val="left"/>
      <w:pPr>
        <w:ind w:left="8293" w:hanging="1044"/>
      </w:pPr>
      <w:rPr>
        <w:rFonts w:hint="default"/>
        <w:lang w:val="es-gt" w:eastAsia="es-gt" w:bidi="es-gt"/>
      </w:rPr>
    </w:lvl>
    <w:lvl w:ilvl="8">
      <w:start w:val="0"/>
      <w:numFmt w:val="bullet"/>
      <w:lvlText w:val="•"/>
      <w:lvlJc w:val="left"/>
      <w:pPr>
        <w:ind w:left="9228" w:hanging="1044"/>
      </w:pPr>
      <w:rPr>
        <w:rFonts w:hint="default"/>
        <w:lang w:val="es-gt" w:eastAsia="es-gt" w:bidi="es-gt"/>
      </w:rPr>
    </w:lvl>
  </w:abstractNum>
  <w:abstractNum w:abstractNumId="16">
    <w:multiLevelType w:val="hybridMultilevel"/>
    <w:lvl w:ilvl="0">
      <w:start w:val="0"/>
      <w:numFmt w:val="bullet"/>
      <w:lvlText w:val="o"/>
      <w:lvlJc w:val="left"/>
      <w:pPr>
        <w:ind w:left="1282" w:hanging="360"/>
      </w:pPr>
      <w:rPr>
        <w:rFonts w:hint="default" w:ascii="Courier New" w:hAnsi="Courier New" w:eastAsia="Courier New" w:cs="Courier New"/>
        <w:w w:val="100"/>
        <w:sz w:val="22"/>
        <w:szCs w:val="22"/>
        <w:lang w:val="es-gt" w:eastAsia="es-gt" w:bidi="es-gt"/>
      </w:rPr>
    </w:lvl>
    <w:lvl w:ilvl="1">
      <w:start w:val="0"/>
      <w:numFmt w:val="bullet"/>
      <w:lvlText w:val="•"/>
      <w:lvlJc w:val="left"/>
      <w:pPr>
        <w:ind w:left="2262" w:hanging="360"/>
      </w:pPr>
      <w:rPr>
        <w:rFonts w:hint="default"/>
        <w:lang w:val="es-gt" w:eastAsia="es-gt" w:bidi="es-gt"/>
      </w:rPr>
    </w:lvl>
    <w:lvl w:ilvl="2">
      <w:start w:val="0"/>
      <w:numFmt w:val="bullet"/>
      <w:lvlText w:val="•"/>
      <w:lvlJc w:val="left"/>
      <w:pPr>
        <w:ind w:left="3244" w:hanging="360"/>
      </w:pPr>
      <w:rPr>
        <w:rFonts w:hint="default"/>
        <w:lang w:val="es-gt" w:eastAsia="es-gt" w:bidi="es-gt"/>
      </w:rPr>
    </w:lvl>
    <w:lvl w:ilvl="3">
      <w:start w:val="0"/>
      <w:numFmt w:val="bullet"/>
      <w:lvlText w:val="•"/>
      <w:lvlJc w:val="left"/>
      <w:pPr>
        <w:ind w:left="4226" w:hanging="360"/>
      </w:pPr>
      <w:rPr>
        <w:rFonts w:hint="default"/>
        <w:lang w:val="es-gt" w:eastAsia="es-gt" w:bidi="es-gt"/>
      </w:rPr>
    </w:lvl>
    <w:lvl w:ilvl="4">
      <w:start w:val="0"/>
      <w:numFmt w:val="bullet"/>
      <w:lvlText w:val="•"/>
      <w:lvlJc w:val="left"/>
      <w:pPr>
        <w:ind w:left="5208" w:hanging="360"/>
      </w:pPr>
      <w:rPr>
        <w:rFonts w:hint="default"/>
        <w:lang w:val="es-gt" w:eastAsia="es-gt" w:bidi="es-gt"/>
      </w:rPr>
    </w:lvl>
    <w:lvl w:ilvl="5">
      <w:start w:val="0"/>
      <w:numFmt w:val="bullet"/>
      <w:lvlText w:val="•"/>
      <w:lvlJc w:val="left"/>
      <w:pPr>
        <w:ind w:left="6190" w:hanging="360"/>
      </w:pPr>
      <w:rPr>
        <w:rFonts w:hint="default"/>
        <w:lang w:val="es-gt" w:eastAsia="es-gt" w:bidi="es-gt"/>
      </w:rPr>
    </w:lvl>
    <w:lvl w:ilvl="6">
      <w:start w:val="0"/>
      <w:numFmt w:val="bullet"/>
      <w:lvlText w:val="•"/>
      <w:lvlJc w:val="left"/>
      <w:pPr>
        <w:ind w:left="7172" w:hanging="360"/>
      </w:pPr>
      <w:rPr>
        <w:rFonts w:hint="default"/>
        <w:lang w:val="es-gt" w:eastAsia="es-gt" w:bidi="es-gt"/>
      </w:rPr>
    </w:lvl>
    <w:lvl w:ilvl="7">
      <w:start w:val="0"/>
      <w:numFmt w:val="bullet"/>
      <w:lvlText w:val="•"/>
      <w:lvlJc w:val="left"/>
      <w:pPr>
        <w:ind w:left="8154" w:hanging="360"/>
      </w:pPr>
      <w:rPr>
        <w:rFonts w:hint="default"/>
        <w:lang w:val="es-gt" w:eastAsia="es-gt" w:bidi="es-gt"/>
      </w:rPr>
    </w:lvl>
    <w:lvl w:ilvl="8">
      <w:start w:val="0"/>
      <w:numFmt w:val="bullet"/>
      <w:lvlText w:val="•"/>
      <w:lvlJc w:val="left"/>
      <w:pPr>
        <w:ind w:left="9136" w:hanging="360"/>
      </w:pPr>
      <w:rPr>
        <w:rFonts w:hint="default"/>
        <w:lang w:val="es-gt" w:eastAsia="es-gt" w:bidi="es-gt"/>
      </w:rPr>
    </w:lvl>
  </w:abstractNum>
  <w:abstractNum w:abstractNumId="15">
    <w:multiLevelType w:val="hybridMultilevel"/>
    <w:lvl w:ilvl="0">
      <w:start w:val="0"/>
      <w:numFmt w:val="bullet"/>
      <w:lvlText w:val=""/>
      <w:lvlJc w:val="left"/>
      <w:pPr>
        <w:ind w:left="1282" w:hanging="360"/>
      </w:pPr>
      <w:rPr>
        <w:rFonts w:hint="default" w:ascii="Symbol" w:hAnsi="Symbol" w:eastAsia="Symbol" w:cs="Symbol"/>
        <w:w w:val="100"/>
        <w:sz w:val="22"/>
        <w:szCs w:val="22"/>
        <w:lang w:val="es-gt" w:eastAsia="es-gt" w:bidi="es-gt"/>
      </w:rPr>
    </w:lvl>
    <w:lvl w:ilvl="1">
      <w:start w:val="0"/>
      <w:numFmt w:val="bullet"/>
      <w:lvlText w:val="•"/>
      <w:lvlJc w:val="left"/>
      <w:pPr>
        <w:ind w:left="2262" w:hanging="360"/>
      </w:pPr>
      <w:rPr>
        <w:rFonts w:hint="default"/>
        <w:lang w:val="es-gt" w:eastAsia="es-gt" w:bidi="es-gt"/>
      </w:rPr>
    </w:lvl>
    <w:lvl w:ilvl="2">
      <w:start w:val="0"/>
      <w:numFmt w:val="bullet"/>
      <w:lvlText w:val="•"/>
      <w:lvlJc w:val="left"/>
      <w:pPr>
        <w:ind w:left="3244" w:hanging="360"/>
      </w:pPr>
      <w:rPr>
        <w:rFonts w:hint="default"/>
        <w:lang w:val="es-gt" w:eastAsia="es-gt" w:bidi="es-gt"/>
      </w:rPr>
    </w:lvl>
    <w:lvl w:ilvl="3">
      <w:start w:val="0"/>
      <w:numFmt w:val="bullet"/>
      <w:lvlText w:val="•"/>
      <w:lvlJc w:val="left"/>
      <w:pPr>
        <w:ind w:left="4226" w:hanging="360"/>
      </w:pPr>
      <w:rPr>
        <w:rFonts w:hint="default"/>
        <w:lang w:val="es-gt" w:eastAsia="es-gt" w:bidi="es-gt"/>
      </w:rPr>
    </w:lvl>
    <w:lvl w:ilvl="4">
      <w:start w:val="0"/>
      <w:numFmt w:val="bullet"/>
      <w:lvlText w:val="•"/>
      <w:lvlJc w:val="left"/>
      <w:pPr>
        <w:ind w:left="5208" w:hanging="360"/>
      </w:pPr>
      <w:rPr>
        <w:rFonts w:hint="default"/>
        <w:lang w:val="es-gt" w:eastAsia="es-gt" w:bidi="es-gt"/>
      </w:rPr>
    </w:lvl>
    <w:lvl w:ilvl="5">
      <w:start w:val="0"/>
      <w:numFmt w:val="bullet"/>
      <w:lvlText w:val="•"/>
      <w:lvlJc w:val="left"/>
      <w:pPr>
        <w:ind w:left="6190" w:hanging="360"/>
      </w:pPr>
      <w:rPr>
        <w:rFonts w:hint="default"/>
        <w:lang w:val="es-gt" w:eastAsia="es-gt" w:bidi="es-gt"/>
      </w:rPr>
    </w:lvl>
    <w:lvl w:ilvl="6">
      <w:start w:val="0"/>
      <w:numFmt w:val="bullet"/>
      <w:lvlText w:val="•"/>
      <w:lvlJc w:val="left"/>
      <w:pPr>
        <w:ind w:left="7172" w:hanging="360"/>
      </w:pPr>
      <w:rPr>
        <w:rFonts w:hint="default"/>
        <w:lang w:val="es-gt" w:eastAsia="es-gt" w:bidi="es-gt"/>
      </w:rPr>
    </w:lvl>
    <w:lvl w:ilvl="7">
      <w:start w:val="0"/>
      <w:numFmt w:val="bullet"/>
      <w:lvlText w:val="•"/>
      <w:lvlJc w:val="left"/>
      <w:pPr>
        <w:ind w:left="8154" w:hanging="360"/>
      </w:pPr>
      <w:rPr>
        <w:rFonts w:hint="default"/>
        <w:lang w:val="es-gt" w:eastAsia="es-gt" w:bidi="es-gt"/>
      </w:rPr>
    </w:lvl>
    <w:lvl w:ilvl="8">
      <w:start w:val="0"/>
      <w:numFmt w:val="bullet"/>
      <w:lvlText w:val="•"/>
      <w:lvlJc w:val="left"/>
      <w:pPr>
        <w:ind w:left="9136" w:hanging="360"/>
      </w:pPr>
      <w:rPr>
        <w:rFonts w:hint="default"/>
        <w:lang w:val="es-gt" w:eastAsia="es-gt" w:bidi="es-gt"/>
      </w:rPr>
    </w:lvl>
  </w:abstractNum>
  <w:abstractNum w:abstractNumId="14">
    <w:multiLevelType w:val="hybridMultilevel"/>
    <w:lvl w:ilvl="0">
      <w:start w:val="1"/>
      <w:numFmt w:val="decimal"/>
      <w:lvlText w:val="%1"/>
      <w:lvlJc w:val="left"/>
      <w:pPr>
        <w:ind w:left="1978" w:hanging="788"/>
        <w:jc w:val="left"/>
      </w:pPr>
      <w:rPr>
        <w:rFonts w:hint="default"/>
        <w:lang w:val="es-gt" w:eastAsia="es-gt" w:bidi="es-gt"/>
      </w:rPr>
    </w:lvl>
    <w:lvl w:ilvl="1">
      <w:start w:val="1"/>
      <w:numFmt w:val="decimal"/>
      <w:lvlText w:val="%1.%2"/>
      <w:lvlJc w:val="left"/>
      <w:pPr>
        <w:ind w:left="1978" w:hanging="788"/>
        <w:jc w:val="left"/>
      </w:pPr>
      <w:rPr>
        <w:rFonts w:hint="default"/>
        <w:lang w:val="es-gt" w:eastAsia="es-gt" w:bidi="es-gt"/>
      </w:rPr>
    </w:lvl>
    <w:lvl w:ilvl="2">
      <w:start w:val="1"/>
      <w:numFmt w:val="decimal"/>
      <w:lvlText w:val="%1.%2.%3"/>
      <w:lvlJc w:val="left"/>
      <w:pPr>
        <w:ind w:left="1978" w:hanging="788"/>
        <w:jc w:val="left"/>
      </w:pPr>
      <w:rPr>
        <w:rFonts w:hint="default"/>
        <w:lang w:val="es-gt" w:eastAsia="es-gt" w:bidi="es-gt"/>
      </w:rPr>
    </w:lvl>
    <w:lvl w:ilvl="3">
      <w:start w:val="1"/>
      <w:numFmt w:val="decimal"/>
      <w:lvlText w:val="%1.%2.%3.%4."/>
      <w:lvlJc w:val="left"/>
      <w:pPr>
        <w:ind w:left="1978" w:hanging="788"/>
        <w:jc w:val="left"/>
      </w:pPr>
      <w:rPr>
        <w:rFonts w:hint="default" w:ascii="Times New Roman" w:hAnsi="Times New Roman" w:eastAsia="Times New Roman" w:cs="Times New Roman"/>
        <w:b/>
        <w:bCs/>
        <w:w w:val="100"/>
        <w:sz w:val="24"/>
        <w:szCs w:val="24"/>
        <w:lang w:val="es-gt" w:eastAsia="es-gt" w:bidi="es-gt"/>
      </w:rPr>
    </w:lvl>
    <w:lvl w:ilvl="4">
      <w:start w:val="0"/>
      <w:numFmt w:val="bullet"/>
      <w:lvlText w:val="•"/>
      <w:lvlJc w:val="left"/>
      <w:pPr>
        <w:ind w:left="5628" w:hanging="788"/>
      </w:pPr>
      <w:rPr>
        <w:rFonts w:hint="default"/>
        <w:lang w:val="es-gt" w:eastAsia="es-gt" w:bidi="es-gt"/>
      </w:rPr>
    </w:lvl>
    <w:lvl w:ilvl="5">
      <w:start w:val="0"/>
      <w:numFmt w:val="bullet"/>
      <w:lvlText w:val="•"/>
      <w:lvlJc w:val="left"/>
      <w:pPr>
        <w:ind w:left="6540" w:hanging="788"/>
      </w:pPr>
      <w:rPr>
        <w:rFonts w:hint="default"/>
        <w:lang w:val="es-gt" w:eastAsia="es-gt" w:bidi="es-gt"/>
      </w:rPr>
    </w:lvl>
    <w:lvl w:ilvl="6">
      <w:start w:val="0"/>
      <w:numFmt w:val="bullet"/>
      <w:lvlText w:val="•"/>
      <w:lvlJc w:val="left"/>
      <w:pPr>
        <w:ind w:left="7452" w:hanging="788"/>
      </w:pPr>
      <w:rPr>
        <w:rFonts w:hint="default"/>
        <w:lang w:val="es-gt" w:eastAsia="es-gt" w:bidi="es-gt"/>
      </w:rPr>
    </w:lvl>
    <w:lvl w:ilvl="7">
      <w:start w:val="0"/>
      <w:numFmt w:val="bullet"/>
      <w:lvlText w:val="•"/>
      <w:lvlJc w:val="left"/>
      <w:pPr>
        <w:ind w:left="8364" w:hanging="788"/>
      </w:pPr>
      <w:rPr>
        <w:rFonts w:hint="default"/>
        <w:lang w:val="es-gt" w:eastAsia="es-gt" w:bidi="es-gt"/>
      </w:rPr>
    </w:lvl>
    <w:lvl w:ilvl="8">
      <w:start w:val="0"/>
      <w:numFmt w:val="bullet"/>
      <w:lvlText w:val="•"/>
      <w:lvlJc w:val="left"/>
      <w:pPr>
        <w:ind w:left="9276" w:hanging="788"/>
      </w:pPr>
      <w:rPr>
        <w:rFonts w:hint="default"/>
        <w:lang w:val="es-gt" w:eastAsia="es-gt" w:bidi="es-gt"/>
      </w:rPr>
    </w:lvl>
  </w:abstractNum>
  <w:abstractNum w:abstractNumId="13">
    <w:multiLevelType w:val="hybridMultilevel"/>
    <w:lvl w:ilvl="0">
      <w:start w:val="1"/>
      <w:numFmt w:val="decimal"/>
      <w:lvlText w:val="%1"/>
      <w:lvlJc w:val="left"/>
      <w:pPr>
        <w:ind w:left="1270" w:hanging="432"/>
        <w:jc w:val="left"/>
      </w:pPr>
      <w:rPr>
        <w:rFonts w:hint="default"/>
        <w:lang w:val="es-gt" w:eastAsia="es-gt" w:bidi="es-gt"/>
      </w:rPr>
    </w:lvl>
    <w:lvl w:ilvl="1">
      <w:start w:val="1"/>
      <w:numFmt w:val="decimal"/>
      <w:lvlText w:val="%1.%2."/>
      <w:lvlJc w:val="left"/>
      <w:pPr>
        <w:ind w:left="1270" w:hanging="432"/>
        <w:jc w:val="left"/>
      </w:pPr>
      <w:rPr>
        <w:rFonts w:hint="default" w:ascii="Times New Roman" w:hAnsi="Times New Roman" w:eastAsia="Times New Roman" w:cs="Times New Roman"/>
        <w:b/>
        <w:bCs/>
        <w:w w:val="100"/>
        <w:sz w:val="24"/>
        <w:szCs w:val="24"/>
        <w:lang w:val="es-gt" w:eastAsia="es-gt" w:bidi="es-gt"/>
      </w:rPr>
    </w:lvl>
    <w:lvl w:ilvl="2">
      <w:start w:val="1"/>
      <w:numFmt w:val="decimal"/>
      <w:lvlText w:val="%1.%2.%3."/>
      <w:lvlJc w:val="left"/>
      <w:pPr>
        <w:ind w:left="1978" w:hanging="696"/>
        <w:jc w:val="left"/>
      </w:pPr>
      <w:rPr>
        <w:rFonts w:hint="default" w:ascii="Times New Roman" w:hAnsi="Times New Roman" w:eastAsia="Times New Roman" w:cs="Times New Roman"/>
        <w:b/>
        <w:bCs/>
        <w:spacing w:val="-24"/>
        <w:w w:val="100"/>
        <w:sz w:val="24"/>
        <w:szCs w:val="24"/>
        <w:lang w:val="es-gt" w:eastAsia="es-gt" w:bidi="es-gt"/>
      </w:rPr>
    </w:lvl>
    <w:lvl w:ilvl="3">
      <w:start w:val="0"/>
      <w:numFmt w:val="bullet"/>
      <w:lvlText w:val="•"/>
      <w:lvlJc w:val="left"/>
      <w:pPr>
        <w:ind w:left="4006" w:hanging="696"/>
      </w:pPr>
      <w:rPr>
        <w:rFonts w:hint="default"/>
        <w:lang w:val="es-gt" w:eastAsia="es-gt" w:bidi="es-gt"/>
      </w:rPr>
    </w:lvl>
    <w:lvl w:ilvl="4">
      <w:start w:val="0"/>
      <w:numFmt w:val="bullet"/>
      <w:lvlText w:val="•"/>
      <w:lvlJc w:val="left"/>
      <w:pPr>
        <w:ind w:left="5020" w:hanging="696"/>
      </w:pPr>
      <w:rPr>
        <w:rFonts w:hint="default"/>
        <w:lang w:val="es-gt" w:eastAsia="es-gt" w:bidi="es-gt"/>
      </w:rPr>
    </w:lvl>
    <w:lvl w:ilvl="5">
      <w:start w:val="0"/>
      <w:numFmt w:val="bullet"/>
      <w:lvlText w:val="•"/>
      <w:lvlJc w:val="left"/>
      <w:pPr>
        <w:ind w:left="6033" w:hanging="696"/>
      </w:pPr>
      <w:rPr>
        <w:rFonts w:hint="default"/>
        <w:lang w:val="es-gt" w:eastAsia="es-gt" w:bidi="es-gt"/>
      </w:rPr>
    </w:lvl>
    <w:lvl w:ilvl="6">
      <w:start w:val="0"/>
      <w:numFmt w:val="bullet"/>
      <w:lvlText w:val="•"/>
      <w:lvlJc w:val="left"/>
      <w:pPr>
        <w:ind w:left="7046" w:hanging="696"/>
      </w:pPr>
      <w:rPr>
        <w:rFonts w:hint="default"/>
        <w:lang w:val="es-gt" w:eastAsia="es-gt" w:bidi="es-gt"/>
      </w:rPr>
    </w:lvl>
    <w:lvl w:ilvl="7">
      <w:start w:val="0"/>
      <w:numFmt w:val="bullet"/>
      <w:lvlText w:val="•"/>
      <w:lvlJc w:val="left"/>
      <w:pPr>
        <w:ind w:left="8060" w:hanging="696"/>
      </w:pPr>
      <w:rPr>
        <w:rFonts w:hint="default"/>
        <w:lang w:val="es-gt" w:eastAsia="es-gt" w:bidi="es-gt"/>
      </w:rPr>
    </w:lvl>
    <w:lvl w:ilvl="8">
      <w:start w:val="0"/>
      <w:numFmt w:val="bullet"/>
      <w:lvlText w:val="•"/>
      <w:lvlJc w:val="left"/>
      <w:pPr>
        <w:ind w:left="9073" w:hanging="696"/>
      </w:pPr>
      <w:rPr>
        <w:rFonts w:hint="default"/>
        <w:lang w:val="es-gt" w:eastAsia="es-gt" w:bidi="es-gt"/>
      </w:rPr>
    </w:lvl>
  </w:abstractNum>
  <w:abstractNum w:abstractNumId="12">
    <w:multiLevelType w:val="hybridMultilevel"/>
    <w:lvl w:ilvl="0">
      <w:start w:val="2"/>
      <w:numFmt w:val="upperRoman"/>
      <w:lvlText w:val="%1."/>
      <w:lvlJc w:val="left"/>
      <w:pPr>
        <w:ind w:left="845" w:hanging="425"/>
        <w:jc w:val="left"/>
      </w:pPr>
      <w:rPr>
        <w:rFonts w:hint="default" w:ascii="Times New Roman" w:hAnsi="Times New Roman" w:eastAsia="Times New Roman" w:cs="Times New Roman"/>
        <w:b/>
        <w:bCs/>
        <w:spacing w:val="0"/>
        <w:w w:val="100"/>
        <w:sz w:val="28"/>
        <w:szCs w:val="28"/>
        <w:lang w:val="es-gt" w:eastAsia="es-gt" w:bidi="es-gt"/>
      </w:rPr>
    </w:lvl>
    <w:lvl w:ilvl="1">
      <w:start w:val="1"/>
      <w:numFmt w:val="decimal"/>
      <w:lvlText w:val="%2."/>
      <w:lvlJc w:val="left"/>
      <w:pPr>
        <w:ind w:left="1128" w:hanging="360"/>
        <w:jc w:val="right"/>
      </w:pPr>
      <w:rPr>
        <w:rFonts w:hint="default" w:ascii="Times New Roman" w:hAnsi="Times New Roman" w:eastAsia="Times New Roman" w:cs="Times New Roman"/>
        <w:b/>
        <w:bCs/>
        <w:spacing w:val="-4"/>
        <w:w w:val="100"/>
        <w:sz w:val="24"/>
        <w:szCs w:val="24"/>
        <w:lang w:val="es-gt" w:eastAsia="es-gt" w:bidi="es-gt"/>
      </w:rPr>
    </w:lvl>
    <w:lvl w:ilvl="2">
      <w:start w:val="1"/>
      <w:numFmt w:val="decimal"/>
      <w:lvlText w:val="%2.%3."/>
      <w:lvlJc w:val="left"/>
      <w:pPr>
        <w:ind w:left="1354" w:hanging="432"/>
        <w:jc w:val="left"/>
      </w:pPr>
      <w:rPr>
        <w:rFonts w:hint="default"/>
        <w:b/>
        <w:bCs/>
        <w:w w:val="100"/>
        <w:lang w:val="es-gt" w:eastAsia="es-gt" w:bidi="es-gt"/>
      </w:rPr>
    </w:lvl>
    <w:lvl w:ilvl="3">
      <w:start w:val="1"/>
      <w:numFmt w:val="decimal"/>
      <w:lvlText w:val="%2.%3.%4."/>
      <w:lvlJc w:val="left"/>
      <w:pPr>
        <w:ind w:left="1841" w:hanging="560"/>
        <w:jc w:val="right"/>
      </w:pPr>
      <w:rPr>
        <w:rFonts w:hint="default"/>
        <w:b/>
        <w:bCs/>
        <w:w w:val="100"/>
        <w:lang w:val="es-gt" w:eastAsia="es-gt" w:bidi="es-gt"/>
      </w:rPr>
    </w:lvl>
    <w:lvl w:ilvl="4">
      <w:start w:val="0"/>
      <w:numFmt w:val="bullet"/>
      <w:lvlText w:val="•"/>
      <w:lvlJc w:val="left"/>
      <w:pPr>
        <w:ind w:left="3162" w:hanging="560"/>
      </w:pPr>
      <w:rPr>
        <w:rFonts w:hint="default"/>
        <w:lang w:val="es-gt" w:eastAsia="es-gt" w:bidi="es-gt"/>
      </w:rPr>
    </w:lvl>
    <w:lvl w:ilvl="5">
      <w:start w:val="0"/>
      <w:numFmt w:val="bullet"/>
      <w:lvlText w:val="•"/>
      <w:lvlJc w:val="left"/>
      <w:pPr>
        <w:ind w:left="4485" w:hanging="560"/>
      </w:pPr>
      <w:rPr>
        <w:rFonts w:hint="default"/>
        <w:lang w:val="es-gt" w:eastAsia="es-gt" w:bidi="es-gt"/>
      </w:rPr>
    </w:lvl>
    <w:lvl w:ilvl="6">
      <w:start w:val="0"/>
      <w:numFmt w:val="bullet"/>
      <w:lvlText w:val="•"/>
      <w:lvlJc w:val="left"/>
      <w:pPr>
        <w:ind w:left="5808" w:hanging="560"/>
      </w:pPr>
      <w:rPr>
        <w:rFonts w:hint="default"/>
        <w:lang w:val="es-gt" w:eastAsia="es-gt" w:bidi="es-gt"/>
      </w:rPr>
    </w:lvl>
    <w:lvl w:ilvl="7">
      <w:start w:val="0"/>
      <w:numFmt w:val="bullet"/>
      <w:lvlText w:val="•"/>
      <w:lvlJc w:val="left"/>
      <w:pPr>
        <w:ind w:left="7131" w:hanging="560"/>
      </w:pPr>
      <w:rPr>
        <w:rFonts w:hint="default"/>
        <w:lang w:val="es-gt" w:eastAsia="es-gt" w:bidi="es-gt"/>
      </w:rPr>
    </w:lvl>
    <w:lvl w:ilvl="8">
      <w:start w:val="0"/>
      <w:numFmt w:val="bullet"/>
      <w:lvlText w:val="•"/>
      <w:lvlJc w:val="left"/>
      <w:pPr>
        <w:ind w:left="8454" w:hanging="560"/>
      </w:pPr>
      <w:rPr>
        <w:rFonts w:hint="default"/>
        <w:lang w:val="es-gt" w:eastAsia="es-gt" w:bidi="es-gt"/>
      </w:rPr>
    </w:lvl>
  </w:abstractNum>
  <w:abstractNum w:abstractNumId="11">
    <w:multiLevelType w:val="hybridMultilevel"/>
    <w:lvl w:ilvl="0">
      <w:start w:val="3"/>
      <w:numFmt w:val="decimal"/>
      <w:lvlText w:val="%1"/>
      <w:lvlJc w:val="left"/>
      <w:pPr>
        <w:ind w:left="2698" w:hanging="720"/>
        <w:jc w:val="left"/>
      </w:pPr>
      <w:rPr>
        <w:rFonts w:hint="default"/>
        <w:lang w:val="es-gt" w:eastAsia="es-gt" w:bidi="es-gt"/>
      </w:rPr>
    </w:lvl>
    <w:lvl w:ilvl="1">
      <w:start w:val="3"/>
      <w:numFmt w:val="decimal"/>
      <w:lvlText w:val="%1.%2"/>
      <w:lvlJc w:val="left"/>
      <w:pPr>
        <w:ind w:left="2698" w:hanging="720"/>
        <w:jc w:val="left"/>
      </w:pPr>
      <w:rPr>
        <w:rFonts w:hint="default"/>
        <w:lang w:val="es-gt" w:eastAsia="es-gt" w:bidi="es-gt"/>
      </w:rPr>
    </w:lvl>
    <w:lvl w:ilvl="2">
      <w:start w:val="1"/>
      <w:numFmt w:val="decimal"/>
      <w:lvlText w:val="%1.%2.%3"/>
      <w:lvlJc w:val="left"/>
      <w:pPr>
        <w:ind w:left="2698" w:hanging="720"/>
        <w:jc w:val="left"/>
      </w:pPr>
      <w:rPr>
        <w:rFonts w:hint="default"/>
        <w:lang w:val="es-gt" w:eastAsia="es-gt" w:bidi="es-gt"/>
      </w:rPr>
    </w:lvl>
    <w:lvl w:ilvl="3">
      <w:start w:val="1"/>
      <w:numFmt w:val="decimal"/>
      <w:lvlText w:val="%1.%2.%3.%4"/>
      <w:lvlJc w:val="left"/>
      <w:pPr>
        <w:ind w:left="2698" w:hanging="720"/>
        <w:jc w:val="left"/>
      </w:pPr>
      <w:rPr>
        <w:rFonts w:hint="default" w:ascii="Times New Roman" w:hAnsi="Times New Roman" w:eastAsia="Times New Roman" w:cs="Times New Roman"/>
        <w:b/>
        <w:bCs/>
        <w:spacing w:val="-1"/>
        <w:w w:val="100"/>
        <w:sz w:val="24"/>
        <w:szCs w:val="24"/>
        <w:lang w:val="es-gt" w:eastAsia="es-gt" w:bidi="es-gt"/>
      </w:rPr>
    </w:lvl>
    <w:lvl w:ilvl="4">
      <w:start w:val="0"/>
      <w:numFmt w:val="bullet"/>
      <w:lvlText w:val="•"/>
      <w:lvlJc w:val="left"/>
      <w:pPr>
        <w:ind w:left="6060" w:hanging="720"/>
      </w:pPr>
      <w:rPr>
        <w:rFonts w:hint="default"/>
        <w:lang w:val="es-gt" w:eastAsia="es-gt" w:bidi="es-gt"/>
      </w:rPr>
    </w:lvl>
    <w:lvl w:ilvl="5">
      <w:start w:val="0"/>
      <w:numFmt w:val="bullet"/>
      <w:lvlText w:val="•"/>
      <w:lvlJc w:val="left"/>
      <w:pPr>
        <w:ind w:left="6900" w:hanging="720"/>
      </w:pPr>
      <w:rPr>
        <w:rFonts w:hint="default"/>
        <w:lang w:val="es-gt" w:eastAsia="es-gt" w:bidi="es-gt"/>
      </w:rPr>
    </w:lvl>
    <w:lvl w:ilvl="6">
      <w:start w:val="0"/>
      <w:numFmt w:val="bullet"/>
      <w:lvlText w:val="•"/>
      <w:lvlJc w:val="left"/>
      <w:pPr>
        <w:ind w:left="7740" w:hanging="720"/>
      </w:pPr>
      <w:rPr>
        <w:rFonts w:hint="default"/>
        <w:lang w:val="es-gt" w:eastAsia="es-gt" w:bidi="es-gt"/>
      </w:rPr>
    </w:lvl>
    <w:lvl w:ilvl="7">
      <w:start w:val="0"/>
      <w:numFmt w:val="bullet"/>
      <w:lvlText w:val="•"/>
      <w:lvlJc w:val="left"/>
      <w:pPr>
        <w:ind w:left="8580" w:hanging="720"/>
      </w:pPr>
      <w:rPr>
        <w:rFonts w:hint="default"/>
        <w:lang w:val="es-gt" w:eastAsia="es-gt" w:bidi="es-gt"/>
      </w:rPr>
    </w:lvl>
    <w:lvl w:ilvl="8">
      <w:start w:val="0"/>
      <w:numFmt w:val="bullet"/>
      <w:lvlText w:val="•"/>
      <w:lvlJc w:val="left"/>
      <w:pPr>
        <w:ind w:left="9420" w:hanging="720"/>
      </w:pPr>
      <w:rPr>
        <w:rFonts w:hint="default"/>
        <w:lang w:val="es-gt" w:eastAsia="es-gt" w:bidi="es-gt"/>
      </w:rPr>
    </w:lvl>
  </w:abstractNum>
  <w:abstractNum w:abstractNumId="10">
    <w:multiLevelType w:val="hybridMultilevel"/>
    <w:lvl w:ilvl="0">
      <w:start w:val="2"/>
      <w:numFmt w:val="decimal"/>
      <w:lvlText w:val="%1."/>
      <w:lvlJc w:val="left"/>
      <w:pPr>
        <w:ind w:left="845" w:hanging="284"/>
        <w:jc w:val="left"/>
      </w:pPr>
      <w:rPr>
        <w:rFonts w:hint="default"/>
        <w:b/>
        <w:bCs/>
        <w:spacing w:val="-17"/>
        <w:w w:val="100"/>
        <w:lang w:val="es-gt" w:eastAsia="es-gt" w:bidi="es-gt"/>
      </w:rPr>
    </w:lvl>
    <w:lvl w:ilvl="1">
      <w:start w:val="1"/>
      <w:numFmt w:val="decimal"/>
      <w:lvlText w:val="%1.%2"/>
      <w:lvlJc w:val="left"/>
      <w:pPr>
        <w:ind w:left="989" w:hanging="360"/>
        <w:jc w:val="left"/>
      </w:pPr>
      <w:rPr>
        <w:rFonts w:hint="default" w:ascii="Times New Roman" w:hAnsi="Times New Roman" w:eastAsia="Times New Roman" w:cs="Times New Roman"/>
        <w:b/>
        <w:bCs/>
        <w:w w:val="100"/>
        <w:sz w:val="24"/>
        <w:szCs w:val="24"/>
        <w:lang w:val="es-gt" w:eastAsia="es-gt" w:bidi="es-gt"/>
      </w:rPr>
    </w:lvl>
    <w:lvl w:ilvl="2">
      <w:start w:val="1"/>
      <w:numFmt w:val="decimal"/>
      <w:lvlText w:val="%1.%2.%3"/>
      <w:lvlJc w:val="left"/>
      <w:pPr>
        <w:ind w:left="1694" w:hanging="720"/>
        <w:jc w:val="left"/>
      </w:pPr>
      <w:rPr>
        <w:rFonts w:hint="default" w:ascii="Times New Roman" w:hAnsi="Times New Roman" w:eastAsia="Times New Roman" w:cs="Times New Roman"/>
        <w:b/>
        <w:bCs/>
        <w:spacing w:val="-3"/>
        <w:w w:val="100"/>
        <w:sz w:val="24"/>
        <w:szCs w:val="24"/>
        <w:lang w:val="es-gt" w:eastAsia="es-gt" w:bidi="es-gt"/>
      </w:rPr>
    </w:lvl>
    <w:lvl w:ilvl="3">
      <w:start w:val="1"/>
      <w:numFmt w:val="decimal"/>
      <w:lvlText w:val="%1.%2.%3.%4"/>
      <w:lvlJc w:val="left"/>
      <w:pPr>
        <w:ind w:left="2040" w:hanging="780"/>
        <w:jc w:val="left"/>
      </w:pPr>
      <w:rPr>
        <w:rFonts w:hint="default" w:ascii="Times New Roman" w:hAnsi="Times New Roman" w:eastAsia="Times New Roman" w:cs="Times New Roman"/>
        <w:b/>
        <w:bCs/>
        <w:spacing w:val="-2"/>
        <w:w w:val="100"/>
        <w:sz w:val="24"/>
        <w:szCs w:val="24"/>
        <w:lang w:val="es-gt" w:eastAsia="es-gt" w:bidi="es-gt"/>
      </w:rPr>
    </w:lvl>
    <w:lvl w:ilvl="4">
      <w:start w:val="0"/>
      <w:numFmt w:val="bullet"/>
      <w:lvlText w:val="•"/>
      <w:lvlJc w:val="left"/>
      <w:pPr>
        <w:ind w:left="1400" w:hanging="780"/>
      </w:pPr>
      <w:rPr>
        <w:rFonts w:hint="default"/>
        <w:lang w:val="es-gt" w:eastAsia="es-gt" w:bidi="es-gt"/>
      </w:rPr>
    </w:lvl>
    <w:lvl w:ilvl="5">
      <w:start w:val="0"/>
      <w:numFmt w:val="bullet"/>
      <w:lvlText w:val="•"/>
      <w:lvlJc w:val="left"/>
      <w:pPr>
        <w:ind w:left="1700" w:hanging="780"/>
      </w:pPr>
      <w:rPr>
        <w:rFonts w:hint="default"/>
        <w:lang w:val="es-gt" w:eastAsia="es-gt" w:bidi="es-gt"/>
      </w:rPr>
    </w:lvl>
    <w:lvl w:ilvl="6">
      <w:start w:val="0"/>
      <w:numFmt w:val="bullet"/>
      <w:lvlText w:val="•"/>
      <w:lvlJc w:val="left"/>
      <w:pPr>
        <w:ind w:left="1840" w:hanging="780"/>
      </w:pPr>
      <w:rPr>
        <w:rFonts w:hint="default"/>
        <w:lang w:val="es-gt" w:eastAsia="es-gt" w:bidi="es-gt"/>
      </w:rPr>
    </w:lvl>
    <w:lvl w:ilvl="7">
      <w:start w:val="0"/>
      <w:numFmt w:val="bullet"/>
      <w:lvlText w:val="•"/>
      <w:lvlJc w:val="left"/>
      <w:pPr>
        <w:ind w:left="1900" w:hanging="780"/>
      </w:pPr>
      <w:rPr>
        <w:rFonts w:hint="default"/>
        <w:lang w:val="es-gt" w:eastAsia="es-gt" w:bidi="es-gt"/>
      </w:rPr>
    </w:lvl>
    <w:lvl w:ilvl="8">
      <w:start w:val="0"/>
      <w:numFmt w:val="bullet"/>
      <w:lvlText w:val="•"/>
      <w:lvlJc w:val="left"/>
      <w:pPr>
        <w:ind w:left="1980" w:hanging="780"/>
      </w:pPr>
      <w:rPr>
        <w:rFonts w:hint="default"/>
        <w:lang w:val="es-gt" w:eastAsia="es-gt" w:bidi="es-gt"/>
      </w:rPr>
    </w:lvl>
  </w:abstractNum>
  <w:abstractNum w:abstractNumId="9">
    <w:multiLevelType w:val="hybridMultilevel"/>
    <w:lvl w:ilvl="0">
      <w:start w:val="1"/>
      <w:numFmt w:val="decimal"/>
      <w:lvlText w:val="%1"/>
      <w:lvlJc w:val="left"/>
      <w:pPr>
        <w:ind w:left="1188" w:hanging="420"/>
        <w:jc w:val="left"/>
      </w:pPr>
      <w:rPr>
        <w:rFonts w:hint="default"/>
        <w:lang w:val="es-gt" w:eastAsia="es-gt" w:bidi="es-gt"/>
      </w:rPr>
    </w:lvl>
    <w:lvl w:ilvl="1">
      <w:start w:val="2"/>
      <w:numFmt w:val="decimal"/>
      <w:lvlText w:val="%1.%2."/>
      <w:lvlJc w:val="left"/>
      <w:pPr>
        <w:ind w:left="1188" w:hanging="420"/>
        <w:jc w:val="left"/>
      </w:pPr>
      <w:rPr>
        <w:rFonts w:hint="default" w:ascii="Times New Roman" w:hAnsi="Times New Roman" w:eastAsia="Times New Roman" w:cs="Times New Roman"/>
        <w:b/>
        <w:bCs/>
        <w:w w:val="100"/>
        <w:sz w:val="24"/>
        <w:szCs w:val="24"/>
        <w:lang w:val="es-gt" w:eastAsia="es-gt" w:bidi="es-gt"/>
      </w:rPr>
    </w:lvl>
    <w:lvl w:ilvl="2">
      <w:start w:val="1"/>
      <w:numFmt w:val="decimal"/>
      <w:lvlText w:val="%1.%2.%3."/>
      <w:lvlJc w:val="left"/>
      <w:pPr>
        <w:ind w:left="1694" w:hanging="605"/>
        <w:jc w:val="left"/>
      </w:pPr>
      <w:rPr>
        <w:rFonts w:hint="default" w:ascii="Times New Roman" w:hAnsi="Times New Roman" w:eastAsia="Times New Roman" w:cs="Times New Roman"/>
        <w:b/>
        <w:bCs/>
        <w:w w:val="100"/>
        <w:sz w:val="24"/>
        <w:szCs w:val="24"/>
        <w:lang w:val="es-gt" w:eastAsia="es-gt" w:bidi="es-gt"/>
      </w:rPr>
    </w:lvl>
    <w:lvl w:ilvl="3">
      <w:start w:val="0"/>
      <w:numFmt w:val="bullet"/>
      <w:lvlText w:val="•"/>
      <w:lvlJc w:val="left"/>
      <w:pPr>
        <w:ind w:left="3788" w:hanging="605"/>
      </w:pPr>
      <w:rPr>
        <w:rFonts w:hint="default"/>
        <w:lang w:val="es-gt" w:eastAsia="es-gt" w:bidi="es-gt"/>
      </w:rPr>
    </w:lvl>
    <w:lvl w:ilvl="4">
      <w:start w:val="0"/>
      <w:numFmt w:val="bullet"/>
      <w:lvlText w:val="•"/>
      <w:lvlJc w:val="left"/>
      <w:pPr>
        <w:ind w:left="4833" w:hanging="605"/>
      </w:pPr>
      <w:rPr>
        <w:rFonts w:hint="default"/>
        <w:lang w:val="es-gt" w:eastAsia="es-gt" w:bidi="es-gt"/>
      </w:rPr>
    </w:lvl>
    <w:lvl w:ilvl="5">
      <w:start w:val="0"/>
      <w:numFmt w:val="bullet"/>
      <w:lvlText w:val="•"/>
      <w:lvlJc w:val="left"/>
      <w:pPr>
        <w:ind w:left="5877" w:hanging="605"/>
      </w:pPr>
      <w:rPr>
        <w:rFonts w:hint="default"/>
        <w:lang w:val="es-gt" w:eastAsia="es-gt" w:bidi="es-gt"/>
      </w:rPr>
    </w:lvl>
    <w:lvl w:ilvl="6">
      <w:start w:val="0"/>
      <w:numFmt w:val="bullet"/>
      <w:lvlText w:val="•"/>
      <w:lvlJc w:val="left"/>
      <w:pPr>
        <w:ind w:left="6922" w:hanging="605"/>
      </w:pPr>
      <w:rPr>
        <w:rFonts w:hint="default"/>
        <w:lang w:val="es-gt" w:eastAsia="es-gt" w:bidi="es-gt"/>
      </w:rPr>
    </w:lvl>
    <w:lvl w:ilvl="7">
      <w:start w:val="0"/>
      <w:numFmt w:val="bullet"/>
      <w:lvlText w:val="•"/>
      <w:lvlJc w:val="left"/>
      <w:pPr>
        <w:ind w:left="7966" w:hanging="605"/>
      </w:pPr>
      <w:rPr>
        <w:rFonts w:hint="default"/>
        <w:lang w:val="es-gt" w:eastAsia="es-gt" w:bidi="es-gt"/>
      </w:rPr>
    </w:lvl>
    <w:lvl w:ilvl="8">
      <w:start w:val="0"/>
      <w:numFmt w:val="bullet"/>
      <w:lvlText w:val="•"/>
      <w:lvlJc w:val="left"/>
      <w:pPr>
        <w:ind w:left="9011" w:hanging="605"/>
      </w:pPr>
      <w:rPr>
        <w:rFonts w:hint="default"/>
        <w:lang w:val="es-gt" w:eastAsia="es-gt" w:bidi="es-gt"/>
      </w:rPr>
    </w:lvl>
  </w:abstractNum>
  <w:abstractNum w:abstractNumId="8">
    <w:multiLevelType w:val="hybridMultilevel"/>
    <w:lvl w:ilvl="0">
      <w:start w:val="1"/>
      <w:numFmt w:val="upperRoman"/>
      <w:lvlText w:val="%1."/>
      <w:lvlJc w:val="left"/>
      <w:pPr>
        <w:ind w:left="703" w:hanging="308"/>
        <w:jc w:val="left"/>
      </w:pPr>
      <w:rPr>
        <w:rFonts w:hint="default" w:ascii="Times New Roman" w:hAnsi="Times New Roman" w:eastAsia="Times New Roman" w:cs="Times New Roman"/>
        <w:b/>
        <w:bCs/>
        <w:spacing w:val="-1"/>
        <w:w w:val="99"/>
        <w:sz w:val="26"/>
        <w:szCs w:val="26"/>
        <w:lang w:val="es-gt" w:eastAsia="es-gt" w:bidi="es-gt"/>
      </w:rPr>
    </w:lvl>
    <w:lvl w:ilvl="1">
      <w:start w:val="1"/>
      <w:numFmt w:val="decimal"/>
      <w:lvlText w:val="%2."/>
      <w:lvlJc w:val="left"/>
      <w:pPr>
        <w:ind w:left="845" w:hanging="284"/>
        <w:jc w:val="left"/>
      </w:pPr>
      <w:rPr>
        <w:rFonts w:hint="default" w:ascii="Times New Roman" w:hAnsi="Times New Roman" w:eastAsia="Times New Roman" w:cs="Times New Roman"/>
        <w:b/>
        <w:bCs/>
        <w:spacing w:val="-17"/>
        <w:w w:val="100"/>
        <w:sz w:val="24"/>
        <w:szCs w:val="24"/>
        <w:lang w:val="es-gt" w:eastAsia="es-gt" w:bidi="es-gt"/>
      </w:rPr>
    </w:lvl>
    <w:lvl w:ilvl="2">
      <w:start w:val="1"/>
      <w:numFmt w:val="decimal"/>
      <w:lvlText w:val="%2.%3."/>
      <w:lvlJc w:val="left"/>
      <w:pPr>
        <w:ind w:left="1188" w:hanging="420"/>
        <w:jc w:val="left"/>
      </w:pPr>
      <w:rPr>
        <w:rFonts w:hint="default" w:ascii="Times New Roman" w:hAnsi="Times New Roman" w:eastAsia="Times New Roman" w:cs="Times New Roman"/>
        <w:b/>
        <w:bCs/>
        <w:w w:val="100"/>
        <w:sz w:val="24"/>
        <w:szCs w:val="24"/>
        <w:lang w:val="es-gt" w:eastAsia="es-gt" w:bidi="es-gt"/>
      </w:rPr>
    </w:lvl>
    <w:lvl w:ilvl="3">
      <w:start w:val="0"/>
      <w:numFmt w:val="bullet"/>
      <w:lvlText w:val="•"/>
      <w:lvlJc w:val="left"/>
      <w:pPr>
        <w:ind w:left="2420" w:hanging="420"/>
      </w:pPr>
      <w:rPr>
        <w:rFonts w:hint="default"/>
        <w:lang w:val="es-gt" w:eastAsia="es-gt" w:bidi="es-gt"/>
      </w:rPr>
    </w:lvl>
    <w:lvl w:ilvl="4">
      <w:start w:val="0"/>
      <w:numFmt w:val="bullet"/>
      <w:lvlText w:val="•"/>
      <w:lvlJc w:val="left"/>
      <w:pPr>
        <w:ind w:left="3660" w:hanging="420"/>
      </w:pPr>
      <w:rPr>
        <w:rFonts w:hint="default"/>
        <w:lang w:val="es-gt" w:eastAsia="es-gt" w:bidi="es-gt"/>
      </w:rPr>
    </w:lvl>
    <w:lvl w:ilvl="5">
      <w:start w:val="0"/>
      <w:numFmt w:val="bullet"/>
      <w:lvlText w:val="•"/>
      <w:lvlJc w:val="left"/>
      <w:pPr>
        <w:ind w:left="4900" w:hanging="420"/>
      </w:pPr>
      <w:rPr>
        <w:rFonts w:hint="default"/>
        <w:lang w:val="es-gt" w:eastAsia="es-gt" w:bidi="es-gt"/>
      </w:rPr>
    </w:lvl>
    <w:lvl w:ilvl="6">
      <w:start w:val="0"/>
      <w:numFmt w:val="bullet"/>
      <w:lvlText w:val="•"/>
      <w:lvlJc w:val="left"/>
      <w:pPr>
        <w:ind w:left="6140" w:hanging="420"/>
      </w:pPr>
      <w:rPr>
        <w:rFonts w:hint="default"/>
        <w:lang w:val="es-gt" w:eastAsia="es-gt" w:bidi="es-gt"/>
      </w:rPr>
    </w:lvl>
    <w:lvl w:ilvl="7">
      <w:start w:val="0"/>
      <w:numFmt w:val="bullet"/>
      <w:lvlText w:val="•"/>
      <w:lvlJc w:val="left"/>
      <w:pPr>
        <w:ind w:left="7380" w:hanging="420"/>
      </w:pPr>
      <w:rPr>
        <w:rFonts w:hint="default"/>
        <w:lang w:val="es-gt" w:eastAsia="es-gt" w:bidi="es-gt"/>
      </w:rPr>
    </w:lvl>
    <w:lvl w:ilvl="8">
      <w:start w:val="0"/>
      <w:numFmt w:val="bullet"/>
      <w:lvlText w:val="•"/>
      <w:lvlJc w:val="left"/>
      <w:pPr>
        <w:ind w:left="8620" w:hanging="420"/>
      </w:pPr>
      <w:rPr>
        <w:rFonts w:hint="default"/>
        <w:lang w:val="es-gt" w:eastAsia="es-gt" w:bidi="es-gt"/>
      </w:rPr>
    </w:lvl>
  </w:abstractNum>
  <w:abstractNum w:abstractNumId="7">
    <w:multiLevelType w:val="hybridMultilevel"/>
    <w:lvl w:ilvl="0">
      <w:start w:val="2"/>
      <w:numFmt w:val="decimal"/>
      <w:lvlText w:val="%1."/>
      <w:lvlJc w:val="left"/>
      <w:pPr>
        <w:ind w:left="1397" w:hanging="615"/>
        <w:jc w:val="left"/>
      </w:pPr>
      <w:rPr>
        <w:rFonts w:hint="default" w:ascii="Times New Roman" w:hAnsi="Times New Roman" w:eastAsia="Times New Roman" w:cs="Times New Roman"/>
        <w:w w:val="100"/>
        <w:sz w:val="22"/>
        <w:szCs w:val="22"/>
        <w:lang w:val="es-gt" w:eastAsia="es-gt" w:bidi="es-gt"/>
      </w:rPr>
    </w:lvl>
    <w:lvl w:ilvl="1">
      <w:start w:val="1"/>
      <w:numFmt w:val="decimal"/>
      <w:lvlText w:val="%1.%2."/>
      <w:lvlJc w:val="left"/>
      <w:pPr>
        <w:ind w:left="1442" w:hanging="660"/>
        <w:jc w:val="left"/>
      </w:pPr>
      <w:rPr>
        <w:rFonts w:hint="default" w:ascii="Times New Roman" w:hAnsi="Times New Roman" w:eastAsia="Times New Roman" w:cs="Times New Roman"/>
        <w:w w:val="100"/>
        <w:sz w:val="22"/>
        <w:szCs w:val="22"/>
        <w:lang w:val="es-gt" w:eastAsia="es-gt" w:bidi="es-gt"/>
      </w:rPr>
    </w:lvl>
    <w:lvl w:ilvl="2">
      <w:start w:val="0"/>
      <w:numFmt w:val="bullet"/>
      <w:lvlText w:val="•"/>
      <w:lvlJc w:val="left"/>
      <w:pPr>
        <w:ind w:left="2513" w:hanging="660"/>
      </w:pPr>
      <w:rPr>
        <w:rFonts w:hint="default"/>
        <w:lang w:val="es-gt" w:eastAsia="es-gt" w:bidi="es-gt"/>
      </w:rPr>
    </w:lvl>
    <w:lvl w:ilvl="3">
      <w:start w:val="0"/>
      <w:numFmt w:val="bullet"/>
      <w:lvlText w:val="•"/>
      <w:lvlJc w:val="left"/>
      <w:pPr>
        <w:ind w:left="3586" w:hanging="660"/>
      </w:pPr>
      <w:rPr>
        <w:rFonts w:hint="default"/>
        <w:lang w:val="es-gt" w:eastAsia="es-gt" w:bidi="es-gt"/>
      </w:rPr>
    </w:lvl>
    <w:lvl w:ilvl="4">
      <w:start w:val="0"/>
      <w:numFmt w:val="bullet"/>
      <w:lvlText w:val="•"/>
      <w:lvlJc w:val="left"/>
      <w:pPr>
        <w:ind w:left="4660" w:hanging="660"/>
      </w:pPr>
      <w:rPr>
        <w:rFonts w:hint="default"/>
        <w:lang w:val="es-gt" w:eastAsia="es-gt" w:bidi="es-gt"/>
      </w:rPr>
    </w:lvl>
    <w:lvl w:ilvl="5">
      <w:start w:val="0"/>
      <w:numFmt w:val="bullet"/>
      <w:lvlText w:val="•"/>
      <w:lvlJc w:val="left"/>
      <w:pPr>
        <w:ind w:left="5733" w:hanging="660"/>
      </w:pPr>
      <w:rPr>
        <w:rFonts w:hint="default"/>
        <w:lang w:val="es-gt" w:eastAsia="es-gt" w:bidi="es-gt"/>
      </w:rPr>
    </w:lvl>
    <w:lvl w:ilvl="6">
      <w:start w:val="0"/>
      <w:numFmt w:val="bullet"/>
      <w:lvlText w:val="•"/>
      <w:lvlJc w:val="left"/>
      <w:pPr>
        <w:ind w:left="6806" w:hanging="660"/>
      </w:pPr>
      <w:rPr>
        <w:rFonts w:hint="default"/>
        <w:lang w:val="es-gt" w:eastAsia="es-gt" w:bidi="es-gt"/>
      </w:rPr>
    </w:lvl>
    <w:lvl w:ilvl="7">
      <w:start w:val="0"/>
      <w:numFmt w:val="bullet"/>
      <w:lvlText w:val="•"/>
      <w:lvlJc w:val="left"/>
      <w:pPr>
        <w:ind w:left="7880" w:hanging="660"/>
      </w:pPr>
      <w:rPr>
        <w:rFonts w:hint="default"/>
        <w:lang w:val="es-gt" w:eastAsia="es-gt" w:bidi="es-gt"/>
      </w:rPr>
    </w:lvl>
    <w:lvl w:ilvl="8">
      <w:start w:val="0"/>
      <w:numFmt w:val="bullet"/>
      <w:lvlText w:val="•"/>
      <w:lvlJc w:val="left"/>
      <w:pPr>
        <w:ind w:left="8953" w:hanging="660"/>
      </w:pPr>
      <w:rPr>
        <w:rFonts w:hint="default"/>
        <w:lang w:val="es-gt" w:eastAsia="es-gt" w:bidi="es-gt"/>
      </w:rPr>
    </w:lvl>
  </w:abstractNum>
  <w:abstractNum w:abstractNumId="6">
    <w:multiLevelType w:val="hybridMultilevel"/>
    <w:lvl w:ilvl="0">
      <w:start w:val="1"/>
      <w:numFmt w:val="decimal"/>
      <w:lvlText w:val="%1"/>
      <w:lvlJc w:val="left"/>
      <w:pPr>
        <w:ind w:left="1414" w:hanging="632"/>
        <w:jc w:val="left"/>
      </w:pPr>
      <w:rPr>
        <w:rFonts w:hint="default"/>
        <w:lang w:val="es-gt" w:eastAsia="es-gt" w:bidi="es-gt"/>
      </w:rPr>
    </w:lvl>
    <w:lvl w:ilvl="1">
      <w:start w:val="1"/>
      <w:numFmt w:val="decimal"/>
      <w:lvlText w:val="%1.%2"/>
      <w:lvlJc w:val="left"/>
      <w:pPr>
        <w:ind w:left="1414" w:hanging="632"/>
        <w:jc w:val="left"/>
      </w:pPr>
      <w:rPr>
        <w:rFonts w:hint="default" w:ascii="Times New Roman" w:hAnsi="Times New Roman" w:eastAsia="Times New Roman" w:cs="Times New Roman"/>
        <w:w w:val="100"/>
        <w:sz w:val="22"/>
        <w:szCs w:val="22"/>
        <w:lang w:val="es-gt" w:eastAsia="es-gt" w:bidi="es-gt"/>
      </w:rPr>
    </w:lvl>
    <w:lvl w:ilvl="2">
      <w:start w:val="0"/>
      <w:numFmt w:val="bullet"/>
      <w:lvlText w:val="•"/>
      <w:lvlJc w:val="left"/>
      <w:pPr>
        <w:ind w:left="3356" w:hanging="632"/>
      </w:pPr>
      <w:rPr>
        <w:rFonts w:hint="default"/>
        <w:lang w:val="es-gt" w:eastAsia="es-gt" w:bidi="es-gt"/>
      </w:rPr>
    </w:lvl>
    <w:lvl w:ilvl="3">
      <w:start w:val="0"/>
      <w:numFmt w:val="bullet"/>
      <w:lvlText w:val="•"/>
      <w:lvlJc w:val="left"/>
      <w:pPr>
        <w:ind w:left="4324" w:hanging="632"/>
      </w:pPr>
      <w:rPr>
        <w:rFonts w:hint="default"/>
        <w:lang w:val="es-gt" w:eastAsia="es-gt" w:bidi="es-gt"/>
      </w:rPr>
    </w:lvl>
    <w:lvl w:ilvl="4">
      <w:start w:val="0"/>
      <w:numFmt w:val="bullet"/>
      <w:lvlText w:val="•"/>
      <w:lvlJc w:val="left"/>
      <w:pPr>
        <w:ind w:left="5292" w:hanging="632"/>
      </w:pPr>
      <w:rPr>
        <w:rFonts w:hint="default"/>
        <w:lang w:val="es-gt" w:eastAsia="es-gt" w:bidi="es-gt"/>
      </w:rPr>
    </w:lvl>
    <w:lvl w:ilvl="5">
      <w:start w:val="0"/>
      <w:numFmt w:val="bullet"/>
      <w:lvlText w:val="•"/>
      <w:lvlJc w:val="left"/>
      <w:pPr>
        <w:ind w:left="6260" w:hanging="632"/>
      </w:pPr>
      <w:rPr>
        <w:rFonts w:hint="default"/>
        <w:lang w:val="es-gt" w:eastAsia="es-gt" w:bidi="es-gt"/>
      </w:rPr>
    </w:lvl>
    <w:lvl w:ilvl="6">
      <w:start w:val="0"/>
      <w:numFmt w:val="bullet"/>
      <w:lvlText w:val="•"/>
      <w:lvlJc w:val="left"/>
      <w:pPr>
        <w:ind w:left="7228" w:hanging="632"/>
      </w:pPr>
      <w:rPr>
        <w:rFonts w:hint="default"/>
        <w:lang w:val="es-gt" w:eastAsia="es-gt" w:bidi="es-gt"/>
      </w:rPr>
    </w:lvl>
    <w:lvl w:ilvl="7">
      <w:start w:val="0"/>
      <w:numFmt w:val="bullet"/>
      <w:lvlText w:val="•"/>
      <w:lvlJc w:val="left"/>
      <w:pPr>
        <w:ind w:left="8196" w:hanging="632"/>
      </w:pPr>
      <w:rPr>
        <w:rFonts w:hint="default"/>
        <w:lang w:val="es-gt" w:eastAsia="es-gt" w:bidi="es-gt"/>
      </w:rPr>
    </w:lvl>
    <w:lvl w:ilvl="8">
      <w:start w:val="0"/>
      <w:numFmt w:val="bullet"/>
      <w:lvlText w:val="•"/>
      <w:lvlJc w:val="left"/>
      <w:pPr>
        <w:ind w:left="9164" w:hanging="632"/>
      </w:pPr>
      <w:rPr>
        <w:rFonts w:hint="default"/>
        <w:lang w:val="es-gt" w:eastAsia="es-gt" w:bidi="es-gt"/>
      </w:rPr>
    </w:lvl>
  </w:abstractNum>
  <w:abstractNum w:abstractNumId="5">
    <w:multiLevelType w:val="hybridMultilevel"/>
    <w:lvl w:ilvl="0">
      <w:start w:val="6"/>
      <w:numFmt w:val="decimal"/>
      <w:lvlText w:val="%1"/>
      <w:lvlJc w:val="left"/>
      <w:pPr>
        <w:ind w:left="2314" w:hanging="761"/>
        <w:jc w:val="left"/>
      </w:pPr>
      <w:rPr>
        <w:rFonts w:hint="default"/>
        <w:lang w:val="es-gt" w:eastAsia="es-gt" w:bidi="es-gt"/>
      </w:rPr>
    </w:lvl>
    <w:lvl w:ilvl="1">
      <w:start w:val="1"/>
      <w:numFmt w:val="decimal"/>
      <w:lvlText w:val="%1.%2"/>
      <w:lvlJc w:val="left"/>
      <w:pPr>
        <w:ind w:left="2314" w:hanging="761"/>
        <w:jc w:val="left"/>
      </w:pPr>
      <w:rPr>
        <w:rFonts w:hint="default"/>
        <w:lang w:val="es-gt" w:eastAsia="es-gt" w:bidi="es-gt"/>
      </w:rPr>
    </w:lvl>
    <w:lvl w:ilvl="2">
      <w:start w:val="2"/>
      <w:numFmt w:val="decimal"/>
      <w:lvlText w:val="%1.%2.%3"/>
      <w:lvlJc w:val="left"/>
      <w:pPr>
        <w:ind w:left="2314" w:hanging="761"/>
        <w:jc w:val="left"/>
      </w:pPr>
      <w:rPr>
        <w:rFonts w:hint="default"/>
        <w:lang w:val="es-gt" w:eastAsia="es-gt" w:bidi="es-gt"/>
      </w:rPr>
    </w:lvl>
    <w:lvl w:ilvl="3">
      <w:start w:val="1"/>
      <w:numFmt w:val="decimal"/>
      <w:lvlText w:val="%1.%2.%3.%4."/>
      <w:lvlJc w:val="left"/>
      <w:pPr>
        <w:ind w:left="2314" w:hanging="761"/>
        <w:jc w:val="left"/>
      </w:pPr>
      <w:rPr>
        <w:rFonts w:hint="default" w:ascii="Times New Roman" w:hAnsi="Times New Roman" w:eastAsia="Times New Roman" w:cs="Times New Roman"/>
        <w:w w:val="100"/>
        <w:sz w:val="22"/>
        <w:szCs w:val="22"/>
        <w:lang w:val="es-gt" w:eastAsia="es-gt" w:bidi="es-gt"/>
      </w:rPr>
    </w:lvl>
    <w:lvl w:ilvl="4">
      <w:start w:val="0"/>
      <w:numFmt w:val="bullet"/>
      <w:lvlText w:val="•"/>
      <w:lvlJc w:val="left"/>
      <w:pPr>
        <w:ind w:left="5832" w:hanging="761"/>
      </w:pPr>
      <w:rPr>
        <w:rFonts w:hint="default"/>
        <w:lang w:val="es-gt" w:eastAsia="es-gt" w:bidi="es-gt"/>
      </w:rPr>
    </w:lvl>
    <w:lvl w:ilvl="5">
      <w:start w:val="0"/>
      <w:numFmt w:val="bullet"/>
      <w:lvlText w:val="•"/>
      <w:lvlJc w:val="left"/>
      <w:pPr>
        <w:ind w:left="6710" w:hanging="761"/>
      </w:pPr>
      <w:rPr>
        <w:rFonts w:hint="default"/>
        <w:lang w:val="es-gt" w:eastAsia="es-gt" w:bidi="es-gt"/>
      </w:rPr>
    </w:lvl>
    <w:lvl w:ilvl="6">
      <w:start w:val="0"/>
      <w:numFmt w:val="bullet"/>
      <w:lvlText w:val="•"/>
      <w:lvlJc w:val="left"/>
      <w:pPr>
        <w:ind w:left="7588" w:hanging="761"/>
      </w:pPr>
      <w:rPr>
        <w:rFonts w:hint="default"/>
        <w:lang w:val="es-gt" w:eastAsia="es-gt" w:bidi="es-gt"/>
      </w:rPr>
    </w:lvl>
    <w:lvl w:ilvl="7">
      <w:start w:val="0"/>
      <w:numFmt w:val="bullet"/>
      <w:lvlText w:val="•"/>
      <w:lvlJc w:val="left"/>
      <w:pPr>
        <w:ind w:left="8466" w:hanging="761"/>
      </w:pPr>
      <w:rPr>
        <w:rFonts w:hint="default"/>
        <w:lang w:val="es-gt" w:eastAsia="es-gt" w:bidi="es-gt"/>
      </w:rPr>
    </w:lvl>
    <w:lvl w:ilvl="8">
      <w:start w:val="0"/>
      <w:numFmt w:val="bullet"/>
      <w:lvlText w:val="•"/>
      <w:lvlJc w:val="left"/>
      <w:pPr>
        <w:ind w:left="9344" w:hanging="761"/>
      </w:pPr>
      <w:rPr>
        <w:rFonts w:hint="default"/>
        <w:lang w:val="es-gt" w:eastAsia="es-gt" w:bidi="es-gt"/>
      </w:rPr>
    </w:lvl>
  </w:abstractNum>
  <w:abstractNum w:abstractNumId="4">
    <w:multiLevelType w:val="hybridMultilevel"/>
    <w:lvl w:ilvl="0">
      <w:start w:val="1"/>
      <w:numFmt w:val="decimal"/>
      <w:lvlText w:val="%1"/>
      <w:lvlJc w:val="left"/>
      <w:pPr>
        <w:ind w:left="2314" w:hanging="761"/>
        <w:jc w:val="left"/>
      </w:pPr>
      <w:rPr>
        <w:rFonts w:hint="default"/>
        <w:lang w:val="es-gt" w:eastAsia="es-gt" w:bidi="es-gt"/>
      </w:rPr>
    </w:lvl>
    <w:lvl w:ilvl="1">
      <w:start w:val="2"/>
      <w:numFmt w:val="decimal"/>
      <w:lvlText w:val="%1.%2"/>
      <w:lvlJc w:val="left"/>
      <w:pPr>
        <w:ind w:left="2314" w:hanging="761"/>
        <w:jc w:val="left"/>
      </w:pPr>
      <w:rPr>
        <w:rFonts w:hint="default"/>
        <w:lang w:val="es-gt" w:eastAsia="es-gt" w:bidi="es-gt"/>
      </w:rPr>
    </w:lvl>
    <w:lvl w:ilvl="2">
      <w:start w:val="1"/>
      <w:numFmt w:val="decimal"/>
      <w:lvlText w:val="%1.%2.%3"/>
      <w:lvlJc w:val="left"/>
      <w:pPr>
        <w:ind w:left="2314" w:hanging="761"/>
        <w:jc w:val="left"/>
      </w:pPr>
      <w:rPr>
        <w:rFonts w:hint="default"/>
        <w:lang w:val="es-gt" w:eastAsia="es-gt" w:bidi="es-gt"/>
      </w:rPr>
    </w:lvl>
    <w:lvl w:ilvl="3">
      <w:start w:val="1"/>
      <w:numFmt w:val="decimal"/>
      <w:lvlText w:val="%1.%2.%3.%4."/>
      <w:lvlJc w:val="left"/>
      <w:pPr>
        <w:ind w:left="2314" w:hanging="761"/>
        <w:jc w:val="left"/>
      </w:pPr>
      <w:rPr>
        <w:rFonts w:hint="default" w:ascii="Times New Roman" w:hAnsi="Times New Roman" w:eastAsia="Times New Roman" w:cs="Times New Roman"/>
        <w:w w:val="100"/>
        <w:sz w:val="22"/>
        <w:szCs w:val="22"/>
        <w:lang w:val="es-gt" w:eastAsia="es-gt" w:bidi="es-gt"/>
      </w:rPr>
    </w:lvl>
    <w:lvl w:ilvl="4">
      <w:start w:val="0"/>
      <w:numFmt w:val="bullet"/>
      <w:lvlText w:val="•"/>
      <w:lvlJc w:val="left"/>
      <w:pPr>
        <w:ind w:left="5832" w:hanging="761"/>
      </w:pPr>
      <w:rPr>
        <w:rFonts w:hint="default"/>
        <w:lang w:val="es-gt" w:eastAsia="es-gt" w:bidi="es-gt"/>
      </w:rPr>
    </w:lvl>
    <w:lvl w:ilvl="5">
      <w:start w:val="0"/>
      <w:numFmt w:val="bullet"/>
      <w:lvlText w:val="•"/>
      <w:lvlJc w:val="left"/>
      <w:pPr>
        <w:ind w:left="6710" w:hanging="761"/>
      </w:pPr>
      <w:rPr>
        <w:rFonts w:hint="default"/>
        <w:lang w:val="es-gt" w:eastAsia="es-gt" w:bidi="es-gt"/>
      </w:rPr>
    </w:lvl>
    <w:lvl w:ilvl="6">
      <w:start w:val="0"/>
      <w:numFmt w:val="bullet"/>
      <w:lvlText w:val="•"/>
      <w:lvlJc w:val="left"/>
      <w:pPr>
        <w:ind w:left="7588" w:hanging="761"/>
      </w:pPr>
      <w:rPr>
        <w:rFonts w:hint="default"/>
        <w:lang w:val="es-gt" w:eastAsia="es-gt" w:bidi="es-gt"/>
      </w:rPr>
    </w:lvl>
    <w:lvl w:ilvl="7">
      <w:start w:val="0"/>
      <w:numFmt w:val="bullet"/>
      <w:lvlText w:val="•"/>
      <w:lvlJc w:val="left"/>
      <w:pPr>
        <w:ind w:left="8466" w:hanging="761"/>
      </w:pPr>
      <w:rPr>
        <w:rFonts w:hint="default"/>
        <w:lang w:val="es-gt" w:eastAsia="es-gt" w:bidi="es-gt"/>
      </w:rPr>
    </w:lvl>
    <w:lvl w:ilvl="8">
      <w:start w:val="0"/>
      <w:numFmt w:val="bullet"/>
      <w:lvlText w:val="•"/>
      <w:lvlJc w:val="left"/>
      <w:pPr>
        <w:ind w:left="9344" w:hanging="761"/>
      </w:pPr>
      <w:rPr>
        <w:rFonts w:hint="default"/>
        <w:lang w:val="es-gt" w:eastAsia="es-gt" w:bidi="es-gt"/>
      </w:rPr>
    </w:lvl>
  </w:abstractNum>
  <w:abstractNum w:abstractNumId="3">
    <w:multiLevelType w:val="hybridMultilevel"/>
    <w:lvl w:ilvl="0">
      <w:start w:val="1"/>
      <w:numFmt w:val="decimal"/>
      <w:lvlText w:val="%1"/>
      <w:lvlJc w:val="left"/>
      <w:pPr>
        <w:ind w:left="2314" w:hanging="761"/>
        <w:jc w:val="left"/>
      </w:pPr>
      <w:rPr>
        <w:rFonts w:hint="default"/>
        <w:lang w:val="es-gt" w:eastAsia="es-gt" w:bidi="es-gt"/>
      </w:rPr>
    </w:lvl>
    <w:lvl w:ilvl="1">
      <w:start w:val="1"/>
      <w:numFmt w:val="decimal"/>
      <w:lvlText w:val="%1.%2"/>
      <w:lvlJc w:val="left"/>
      <w:pPr>
        <w:ind w:left="2314" w:hanging="761"/>
        <w:jc w:val="left"/>
      </w:pPr>
      <w:rPr>
        <w:rFonts w:hint="default"/>
        <w:lang w:val="es-gt" w:eastAsia="es-gt" w:bidi="es-gt"/>
      </w:rPr>
    </w:lvl>
    <w:lvl w:ilvl="2">
      <w:start w:val="1"/>
      <w:numFmt w:val="decimal"/>
      <w:lvlText w:val="%1.%2.%3"/>
      <w:lvlJc w:val="left"/>
      <w:pPr>
        <w:ind w:left="2314" w:hanging="761"/>
        <w:jc w:val="left"/>
      </w:pPr>
      <w:rPr>
        <w:rFonts w:hint="default"/>
        <w:lang w:val="es-gt" w:eastAsia="es-gt" w:bidi="es-gt"/>
      </w:rPr>
    </w:lvl>
    <w:lvl w:ilvl="3">
      <w:start w:val="1"/>
      <w:numFmt w:val="decimal"/>
      <w:lvlText w:val="%1.%2.%3.%4."/>
      <w:lvlJc w:val="left"/>
      <w:pPr>
        <w:ind w:left="2314" w:hanging="761"/>
        <w:jc w:val="left"/>
      </w:pPr>
      <w:rPr>
        <w:rFonts w:hint="default" w:ascii="Times New Roman" w:hAnsi="Times New Roman" w:eastAsia="Times New Roman" w:cs="Times New Roman"/>
        <w:w w:val="100"/>
        <w:sz w:val="22"/>
        <w:szCs w:val="22"/>
        <w:lang w:val="es-gt" w:eastAsia="es-gt" w:bidi="es-gt"/>
      </w:rPr>
    </w:lvl>
    <w:lvl w:ilvl="4">
      <w:start w:val="0"/>
      <w:numFmt w:val="bullet"/>
      <w:lvlText w:val="•"/>
      <w:lvlJc w:val="left"/>
      <w:pPr>
        <w:ind w:left="5832" w:hanging="761"/>
      </w:pPr>
      <w:rPr>
        <w:rFonts w:hint="default"/>
        <w:lang w:val="es-gt" w:eastAsia="es-gt" w:bidi="es-gt"/>
      </w:rPr>
    </w:lvl>
    <w:lvl w:ilvl="5">
      <w:start w:val="0"/>
      <w:numFmt w:val="bullet"/>
      <w:lvlText w:val="•"/>
      <w:lvlJc w:val="left"/>
      <w:pPr>
        <w:ind w:left="6710" w:hanging="761"/>
      </w:pPr>
      <w:rPr>
        <w:rFonts w:hint="default"/>
        <w:lang w:val="es-gt" w:eastAsia="es-gt" w:bidi="es-gt"/>
      </w:rPr>
    </w:lvl>
    <w:lvl w:ilvl="6">
      <w:start w:val="0"/>
      <w:numFmt w:val="bullet"/>
      <w:lvlText w:val="•"/>
      <w:lvlJc w:val="left"/>
      <w:pPr>
        <w:ind w:left="7588" w:hanging="761"/>
      </w:pPr>
      <w:rPr>
        <w:rFonts w:hint="default"/>
        <w:lang w:val="es-gt" w:eastAsia="es-gt" w:bidi="es-gt"/>
      </w:rPr>
    </w:lvl>
    <w:lvl w:ilvl="7">
      <w:start w:val="0"/>
      <w:numFmt w:val="bullet"/>
      <w:lvlText w:val="•"/>
      <w:lvlJc w:val="left"/>
      <w:pPr>
        <w:ind w:left="8466" w:hanging="761"/>
      </w:pPr>
      <w:rPr>
        <w:rFonts w:hint="default"/>
        <w:lang w:val="es-gt" w:eastAsia="es-gt" w:bidi="es-gt"/>
      </w:rPr>
    </w:lvl>
    <w:lvl w:ilvl="8">
      <w:start w:val="0"/>
      <w:numFmt w:val="bullet"/>
      <w:lvlText w:val="•"/>
      <w:lvlJc w:val="left"/>
      <w:pPr>
        <w:ind w:left="9344" w:hanging="761"/>
      </w:pPr>
      <w:rPr>
        <w:rFonts w:hint="default"/>
        <w:lang w:val="es-gt" w:eastAsia="es-gt" w:bidi="es-gt"/>
      </w:rPr>
    </w:lvl>
  </w:abstractNum>
  <w:abstractNum w:abstractNumId="2">
    <w:multiLevelType w:val="hybridMultilevel"/>
    <w:lvl w:ilvl="0">
      <w:start w:val="5"/>
      <w:numFmt w:val="decimal"/>
      <w:lvlText w:val="%1"/>
      <w:lvlJc w:val="left"/>
      <w:pPr>
        <w:ind w:left="2369" w:hanging="761"/>
        <w:jc w:val="left"/>
      </w:pPr>
      <w:rPr>
        <w:rFonts w:hint="default"/>
        <w:lang w:val="es-gt" w:eastAsia="es-gt" w:bidi="es-gt"/>
      </w:rPr>
    </w:lvl>
    <w:lvl w:ilvl="1">
      <w:start w:val="1"/>
      <w:numFmt w:val="decimal"/>
      <w:lvlText w:val="%1.%2"/>
      <w:lvlJc w:val="left"/>
      <w:pPr>
        <w:ind w:left="2369" w:hanging="761"/>
        <w:jc w:val="left"/>
      </w:pPr>
      <w:rPr>
        <w:rFonts w:hint="default"/>
        <w:lang w:val="es-gt" w:eastAsia="es-gt" w:bidi="es-gt"/>
      </w:rPr>
    </w:lvl>
    <w:lvl w:ilvl="2">
      <w:start w:val="2"/>
      <w:numFmt w:val="decimal"/>
      <w:lvlText w:val="%1.%2.%3"/>
      <w:lvlJc w:val="left"/>
      <w:pPr>
        <w:ind w:left="2369" w:hanging="761"/>
        <w:jc w:val="left"/>
      </w:pPr>
      <w:rPr>
        <w:rFonts w:hint="default"/>
        <w:lang w:val="es-gt" w:eastAsia="es-gt" w:bidi="es-gt"/>
      </w:rPr>
    </w:lvl>
    <w:lvl w:ilvl="3">
      <w:start w:val="1"/>
      <w:numFmt w:val="decimal"/>
      <w:lvlText w:val="%1.%2.%3.%4."/>
      <w:lvlJc w:val="left"/>
      <w:pPr>
        <w:ind w:left="2369" w:hanging="761"/>
        <w:jc w:val="left"/>
      </w:pPr>
      <w:rPr>
        <w:rFonts w:hint="default" w:ascii="Times New Roman" w:hAnsi="Times New Roman" w:eastAsia="Times New Roman" w:cs="Times New Roman"/>
        <w:w w:val="100"/>
        <w:sz w:val="22"/>
        <w:szCs w:val="22"/>
        <w:lang w:val="es-gt" w:eastAsia="es-gt" w:bidi="es-gt"/>
      </w:rPr>
    </w:lvl>
    <w:lvl w:ilvl="4">
      <w:start w:val="0"/>
      <w:numFmt w:val="bullet"/>
      <w:lvlText w:val="•"/>
      <w:lvlJc w:val="left"/>
      <w:pPr>
        <w:ind w:left="5856" w:hanging="761"/>
      </w:pPr>
      <w:rPr>
        <w:rFonts w:hint="default"/>
        <w:lang w:val="es-gt" w:eastAsia="es-gt" w:bidi="es-gt"/>
      </w:rPr>
    </w:lvl>
    <w:lvl w:ilvl="5">
      <w:start w:val="0"/>
      <w:numFmt w:val="bullet"/>
      <w:lvlText w:val="•"/>
      <w:lvlJc w:val="left"/>
      <w:pPr>
        <w:ind w:left="6730" w:hanging="761"/>
      </w:pPr>
      <w:rPr>
        <w:rFonts w:hint="default"/>
        <w:lang w:val="es-gt" w:eastAsia="es-gt" w:bidi="es-gt"/>
      </w:rPr>
    </w:lvl>
    <w:lvl w:ilvl="6">
      <w:start w:val="0"/>
      <w:numFmt w:val="bullet"/>
      <w:lvlText w:val="•"/>
      <w:lvlJc w:val="left"/>
      <w:pPr>
        <w:ind w:left="7604" w:hanging="761"/>
      </w:pPr>
      <w:rPr>
        <w:rFonts w:hint="default"/>
        <w:lang w:val="es-gt" w:eastAsia="es-gt" w:bidi="es-gt"/>
      </w:rPr>
    </w:lvl>
    <w:lvl w:ilvl="7">
      <w:start w:val="0"/>
      <w:numFmt w:val="bullet"/>
      <w:lvlText w:val="•"/>
      <w:lvlJc w:val="left"/>
      <w:pPr>
        <w:ind w:left="8478" w:hanging="761"/>
      </w:pPr>
      <w:rPr>
        <w:rFonts w:hint="default"/>
        <w:lang w:val="es-gt" w:eastAsia="es-gt" w:bidi="es-gt"/>
      </w:rPr>
    </w:lvl>
    <w:lvl w:ilvl="8">
      <w:start w:val="0"/>
      <w:numFmt w:val="bullet"/>
      <w:lvlText w:val="•"/>
      <w:lvlJc w:val="left"/>
      <w:pPr>
        <w:ind w:left="9352" w:hanging="761"/>
      </w:pPr>
      <w:rPr>
        <w:rFonts w:hint="default"/>
        <w:lang w:val="es-gt" w:eastAsia="es-gt" w:bidi="es-gt"/>
      </w:rPr>
    </w:lvl>
  </w:abstractNum>
  <w:abstractNum w:abstractNumId="1">
    <w:multiLevelType w:val="hybridMultilevel"/>
    <w:lvl w:ilvl="0">
      <w:start w:val="5"/>
      <w:numFmt w:val="decimal"/>
      <w:lvlText w:val="%1"/>
      <w:lvlJc w:val="left"/>
      <w:pPr>
        <w:ind w:left="2369" w:hanging="761"/>
        <w:jc w:val="left"/>
      </w:pPr>
      <w:rPr>
        <w:rFonts w:hint="default"/>
        <w:lang w:val="es-gt" w:eastAsia="es-gt" w:bidi="es-gt"/>
      </w:rPr>
    </w:lvl>
    <w:lvl w:ilvl="1">
      <w:start w:val="1"/>
      <w:numFmt w:val="decimal"/>
      <w:lvlText w:val="%1.%2"/>
      <w:lvlJc w:val="left"/>
      <w:pPr>
        <w:ind w:left="2369" w:hanging="761"/>
        <w:jc w:val="left"/>
      </w:pPr>
      <w:rPr>
        <w:rFonts w:hint="default"/>
        <w:lang w:val="es-gt" w:eastAsia="es-gt" w:bidi="es-gt"/>
      </w:rPr>
    </w:lvl>
    <w:lvl w:ilvl="2">
      <w:start w:val="1"/>
      <w:numFmt w:val="decimal"/>
      <w:lvlText w:val="%1.%2.%3"/>
      <w:lvlJc w:val="left"/>
      <w:pPr>
        <w:ind w:left="2369" w:hanging="761"/>
        <w:jc w:val="left"/>
      </w:pPr>
      <w:rPr>
        <w:rFonts w:hint="default"/>
        <w:lang w:val="es-gt" w:eastAsia="es-gt" w:bidi="es-gt"/>
      </w:rPr>
    </w:lvl>
    <w:lvl w:ilvl="3">
      <w:start w:val="1"/>
      <w:numFmt w:val="decimal"/>
      <w:lvlText w:val="%1.%2.%3.%4."/>
      <w:lvlJc w:val="left"/>
      <w:pPr>
        <w:ind w:left="2369" w:hanging="761"/>
        <w:jc w:val="left"/>
      </w:pPr>
      <w:rPr>
        <w:rFonts w:hint="default" w:ascii="Times New Roman" w:hAnsi="Times New Roman" w:eastAsia="Times New Roman" w:cs="Times New Roman"/>
        <w:w w:val="100"/>
        <w:sz w:val="22"/>
        <w:szCs w:val="22"/>
        <w:lang w:val="es-gt" w:eastAsia="es-gt" w:bidi="es-gt"/>
      </w:rPr>
    </w:lvl>
    <w:lvl w:ilvl="4">
      <w:start w:val="0"/>
      <w:numFmt w:val="bullet"/>
      <w:lvlText w:val="•"/>
      <w:lvlJc w:val="left"/>
      <w:pPr>
        <w:ind w:left="5856" w:hanging="761"/>
      </w:pPr>
      <w:rPr>
        <w:rFonts w:hint="default"/>
        <w:lang w:val="es-gt" w:eastAsia="es-gt" w:bidi="es-gt"/>
      </w:rPr>
    </w:lvl>
    <w:lvl w:ilvl="5">
      <w:start w:val="0"/>
      <w:numFmt w:val="bullet"/>
      <w:lvlText w:val="•"/>
      <w:lvlJc w:val="left"/>
      <w:pPr>
        <w:ind w:left="6730" w:hanging="761"/>
      </w:pPr>
      <w:rPr>
        <w:rFonts w:hint="default"/>
        <w:lang w:val="es-gt" w:eastAsia="es-gt" w:bidi="es-gt"/>
      </w:rPr>
    </w:lvl>
    <w:lvl w:ilvl="6">
      <w:start w:val="0"/>
      <w:numFmt w:val="bullet"/>
      <w:lvlText w:val="•"/>
      <w:lvlJc w:val="left"/>
      <w:pPr>
        <w:ind w:left="7604" w:hanging="761"/>
      </w:pPr>
      <w:rPr>
        <w:rFonts w:hint="default"/>
        <w:lang w:val="es-gt" w:eastAsia="es-gt" w:bidi="es-gt"/>
      </w:rPr>
    </w:lvl>
    <w:lvl w:ilvl="7">
      <w:start w:val="0"/>
      <w:numFmt w:val="bullet"/>
      <w:lvlText w:val="•"/>
      <w:lvlJc w:val="left"/>
      <w:pPr>
        <w:ind w:left="8478" w:hanging="761"/>
      </w:pPr>
      <w:rPr>
        <w:rFonts w:hint="default"/>
        <w:lang w:val="es-gt" w:eastAsia="es-gt" w:bidi="es-gt"/>
      </w:rPr>
    </w:lvl>
    <w:lvl w:ilvl="8">
      <w:start w:val="0"/>
      <w:numFmt w:val="bullet"/>
      <w:lvlText w:val="•"/>
      <w:lvlJc w:val="left"/>
      <w:pPr>
        <w:ind w:left="9352" w:hanging="761"/>
      </w:pPr>
      <w:rPr>
        <w:rFonts w:hint="default"/>
        <w:lang w:val="es-gt" w:eastAsia="es-gt" w:bidi="es-gt"/>
      </w:rPr>
    </w:lvl>
  </w:abstractNum>
  <w:abstractNum w:abstractNumId="0">
    <w:multiLevelType w:val="hybridMultilevel"/>
    <w:lvl w:ilvl="0">
      <w:start w:val="1"/>
      <w:numFmt w:val="upperRoman"/>
      <w:lvlText w:val="%1."/>
      <w:lvlJc w:val="left"/>
      <w:pPr>
        <w:ind w:left="804" w:hanging="243"/>
        <w:jc w:val="left"/>
      </w:pPr>
      <w:rPr>
        <w:rFonts w:hint="default" w:ascii="Times New Roman" w:hAnsi="Times New Roman" w:eastAsia="Times New Roman" w:cs="Times New Roman"/>
        <w:b/>
        <w:bCs/>
        <w:w w:val="100"/>
        <w:sz w:val="22"/>
        <w:szCs w:val="22"/>
        <w:lang w:val="es-gt" w:eastAsia="es-gt" w:bidi="es-gt"/>
      </w:rPr>
    </w:lvl>
    <w:lvl w:ilvl="1">
      <w:start w:val="1"/>
      <w:numFmt w:val="decimal"/>
      <w:lvlText w:val="%2."/>
      <w:lvlJc w:val="left"/>
      <w:pPr>
        <w:ind w:left="1049" w:hanging="267"/>
        <w:jc w:val="left"/>
      </w:pPr>
      <w:rPr>
        <w:rFonts w:hint="default" w:ascii="Times New Roman" w:hAnsi="Times New Roman" w:eastAsia="Times New Roman" w:cs="Times New Roman"/>
        <w:w w:val="100"/>
        <w:sz w:val="22"/>
        <w:szCs w:val="22"/>
        <w:lang w:val="es-gt" w:eastAsia="es-gt" w:bidi="es-gt"/>
      </w:rPr>
    </w:lvl>
    <w:lvl w:ilvl="2">
      <w:start w:val="1"/>
      <w:numFmt w:val="decimal"/>
      <w:lvlText w:val="%2.%3."/>
      <w:lvlJc w:val="left"/>
      <w:pPr>
        <w:ind w:left="1464" w:hanging="406"/>
        <w:jc w:val="left"/>
      </w:pPr>
      <w:rPr>
        <w:rFonts w:hint="default" w:ascii="Times New Roman" w:hAnsi="Times New Roman" w:eastAsia="Times New Roman" w:cs="Times New Roman"/>
        <w:w w:val="100"/>
        <w:sz w:val="22"/>
        <w:szCs w:val="22"/>
        <w:lang w:val="es-gt" w:eastAsia="es-gt" w:bidi="es-gt"/>
      </w:rPr>
    </w:lvl>
    <w:lvl w:ilvl="3">
      <w:start w:val="1"/>
      <w:numFmt w:val="decimal"/>
      <w:lvlText w:val="%2.%3.%4."/>
      <w:lvlJc w:val="left"/>
      <w:pPr>
        <w:ind w:left="1939" w:hanging="605"/>
        <w:jc w:val="left"/>
      </w:pPr>
      <w:rPr>
        <w:rFonts w:hint="default" w:ascii="Times New Roman" w:hAnsi="Times New Roman" w:eastAsia="Times New Roman" w:cs="Times New Roman"/>
        <w:spacing w:val="-3"/>
        <w:w w:val="100"/>
        <w:sz w:val="22"/>
        <w:szCs w:val="22"/>
        <w:lang w:val="es-gt" w:eastAsia="es-gt" w:bidi="es-gt"/>
      </w:rPr>
    </w:lvl>
    <w:lvl w:ilvl="4">
      <w:start w:val="1"/>
      <w:numFmt w:val="decimal"/>
      <w:lvlText w:val="%2.%3.%4.%5"/>
      <w:lvlJc w:val="left"/>
      <w:pPr>
        <w:ind w:left="2645" w:hanging="706"/>
        <w:jc w:val="left"/>
      </w:pPr>
      <w:rPr>
        <w:rFonts w:hint="default" w:ascii="Times New Roman" w:hAnsi="Times New Roman" w:eastAsia="Times New Roman" w:cs="Times New Roman"/>
        <w:spacing w:val="-3"/>
        <w:w w:val="100"/>
        <w:sz w:val="22"/>
        <w:szCs w:val="22"/>
        <w:lang w:val="es-gt" w:eastAsia="es-gt" w:bidi="es-gt"/>
      </w:rPr>
    </w:lvl>
    <w:lvl w:ilvl="5">
      <w:start w:val="0"/>
      <w:numFmt w:val="bullet"/>
      <w:lvlText w:val="•"/>
      <w:lvlJc w:val="left"/>
      <w:pPr>
        <w:ind w:left="1540" w:hanging="706"/>
      </w:pPr>
      <w:rPr>
        <w:rFonts w:hint="default"/>
        <w:lang w:val="es-gt" w:eastAsia="es-gt" w:bidi="es-gt"/>
      </w:rPr>
    </w:lvl>
    <w:lvl w:ilvl="6">
      <w:start w:val="0"/>
      <w:numFmt w:val="bullet"/>
      <w:lvlText w:val="•"/>
      <w:lvlJc w:val="left"/>
      <w:pPr>
        <w:ind w:left="1940" w:hanging="706"/>
      </w:pPr>
      <w:rPr>
        <w:rFonts w:hint="default"/>
        <w:lang w:val="es-gt" w:eastAsia="es-gt" w:bidi="es-gt"/>
      </w:rPr>
    </w:lvl>
    <w:lvl w:ilvl="7">
      <w:start w:val="0"/>
      <w:numFmt w:val="bullet"/>
      <w:lvlText w:val="•"/>
      <w:lvlJc w:val="left"/>
      <w:pPr>
        <w:ind w:left="1980" w:hanging="706"/>
      </w:pPr>
      <w:rPr>
        <w:rFonts w:hint="default"/>
        <w:lang w:val="es-gt" w:eastAsia="es-gt" w:bidi="es-gt"/>
      </w:rPr>
    </w:lvl>
    <w:lvl w:ilvl="8">
      <w:start w:val="0"/>
      <w:numFmt w:val="bullet"/>
      <w:lvlText w:val="•"/>
      <w:lvlJc w:val="left"/>
      <w:pPr>
        <w:ind w:left="2640" w:hanging="706"/>
      </w:pPr>
      <w:rPr>
        <w:rFonts w:hint="default"/>
        <w:lang w:val="es-gt" w:eastAsia="es-gt" w:bidi="es-gt"/>
      </w:rPr>
    </w:lvl>
  </w:abstractNum>
  <w:num w:numId="31">
    <w:abstractNumId w:val="30"/>
  </w:num>
  <w:num w:numId="19">
    <w:abstractNumId w:val="18"/>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gt" w:eastAsia="es-gt" w:bidi="es-gt"/>
    </w:rPr>
  </w:style>
  <w:style w:styleId="TOC1" w:type="paragraph">
    <w:name w:val="TOC 1"/>
    <w:basedOn w:val="Normal"/>
    <w:uiPriority w:val="1"/>
    <w:qFormat/>
    <w:pPr>
      <w:spacing w:before="42"/>
      <w:ind w:left="562" w:hanging="284"/>
    </w:pPr>
    <w:rPr>
      <w:rFonts w:ascii="Times New Roman" w:hAnsi="Times New Roman" w:eastAsia="Times New Roman" w:cs="Times New Roman"/>
      <w:b/>
      <w:bCs/>
      <w:sz w:val="22"/>
      <w:szCs w:val="22"/>
      <w:lang w:val="es-gt" w:eastAsia="es-gt" w:bidi="es-gt"/>
    </w:rPr>
  </w:style>
  <w:style w:styleId="TOC2" w:type="paragraph">
    <w:name w:val="TOC 2"/>
    <w:basedOn w:val="Normal"/>
    <w:uiPriority w:val="1"/>
    <w:qFormat/>
    <w:pPr>
      <w:spacing w:before="52"/>
      <w:ind w:left="562"/>
    </w:pPr>
    <w:rPr>
      <w:rFonts w:ascii="Times New Roman" w:hAnsi="Times New Roman" w:eastAsia="Times New Roman" w:cs="Times New Roman"/>
      <w:sz w:val="22"/>
      <w:szCs w:val="22"/>
      <w:lang w:val="es-gt" w:eastAsia="es-gt" w:bidi="es-gt"/>
    </w:rPr>
  </w:style>
  <w:style w:styleId="TOC3" w:type="paragraph">
    <w:name w:val="TOC 3"/>
    <w:basedOn w:val="Normal"/>
    <w:uiPriority w:val="1"/>
    <w:qFormat/>
    <w:pPr>
      <w:spacing w:before="37"/>
      <w:ind w:left="1414" w:hanging="632"/>
    </w:pPr>
    <w:rPr>
      <w:rFonts w:ascii="Times New Roman" w:hAnsi="Times New Roman" w:eastAsia="Times New Roman" w:cs="Times New Roman"/>
      <w:sz w:val="22"/>
      <w:szCs w:val="22"/>
      <w:lang w:val="es-gt" w:eastAsia="es-gt" w:bidi="es-gt"/>
    </w:rPr>
  </w:style>
  <w:style w:styleId="TOC4" w:type="paragraph">
    <w:name w:val="TOC 4"/>
    <w:basedOn w:val="Normal"/>
    <w:uiPriority w:val="1"/>
    <w:qFormat/>
    <w:pPr>
      <w:spacing w:before="37"/>
      <w:ind w:left="1464" w:hanging="407"/>
    </w:pPr>
    <w:rPr>
      <w:rFonts w:ascii="Times New Roman" w:hAnsi="Times New Roman" w:eastAsia="Times New Roman" w:cs="Times New Roman"/>
      <w:sz w:val="22"/>
      <w:szCs w:val="22"/>
      <w:lang w:val="es-gt" w:eastAsia="es-gt" w:bidi="es-gt"/>
    </w:rPr>
  </w:style>
  <w:style w:styleId="TOC5" w:type="paragraph">
    <w:name w:val="TOC 5"/>
    <w:basedOn w:val="Normal"/>
    <w:uiPriority w:val="1"/>
    <w:qFormat/>
    <w:pPr>
      <w:spacing w:before="41"/>
      <w:ind w:left="1543" w:hanging="430"/>
    </w:pPr>
    <w:rPr>
      <w:rFonts w:ascii="Times New Roman" w:hAnsi="Times New Roman" w:eastAsia="Times New Roman" w:cs="Times New Roman"/>
      <w:sz w:val="22"/>
      <w:szCs w:val="22"/>
      <w:lang w:val="es-gt" w:eastAsia="es-gt" w:bidi="es-gt"/>
    </w:rPr>
  </w:style>
  <w:style w:styleId="TOC6" w:type="paragraph">
    <w:name w:val="TOC 6"/>
    <w:basedOn w:val="Normal"/>
    <w:uiPriority w:val="1"/>
    <w:qFormat/>
    <w:pPr>
      <w:spacing w:before="38"/>
      <w:ind w:left="1930" w:hanging="596"/>
    </w:pPr>
    <w:rPr>
      <w:rFonts w:ascii="Times New Roman" w:hAnsi="Times New Roman" w:eastAsia="Times New Roman" w:cs="Times New Roman"/>
      <w:sz w:val="22"/>
      <w:szCs w:val="22"/>
      <w:lang w:val="es-gt" w:eastAsia="es-gt" w:bidi="es-gt"/>
    </w:rPr>
  </w:style>
  <w:style w:styleId="TOC7" w:type="paragraph">
    <w:name w:val="TOC 7"/>
    <w:basedOn w:val="Normal"/>
    <w:uiPriority w:val="1"/>
    <w:qFormat/>
    <w:pPr>
      <w:spacing w:before="41"/>
      <w:ind w:left="1985" w:hanging="596"/>
    </w:pPr>
    <w:rPr>
      <w:rFonts w:ascii="Times New Roman" w:hAnsi="Times New Roman" w:eastAsia="Times New Roman" w:cs="Times New Roman"/>
      <w:sz w:val="22"/>
      <w:szCs w:val="22"/>
      <w:lang w:val="es-gt" w:eastAsia="es-gt" w:bidi="es-gt"/>
    </w:rPr>
  </w:style>
  <w:style w:styleId="TOC8" w:type="paragraph">
    <w:name w:val="TOC 8"/>
    <w:basedOn w:val="Normal"/>
    <w:uiPriority w:val="1"/>
    <w:qFormat/>
    <w:pPr>
      <w:spacing w:before="37"/>
      <w:ind w:left="2314" w:hanging="761"/>
    </w:pPr>
    <w:rPr>
      <w:rFonts w:ascii="Times New Roman" w:hAnsi="Times New Roman" w:eastAsia="Times New Roman" w:cs="Times New Roman"/>
      <w:sz w:val="22"/>
      <w:szCs w:val="22"/>
      <w:lang w:val="es-gt" w:eastAsia="es-gt" w:bidi="es-gt"/>
    </w:rPr>
  </w:style>
  <w:style w:styleId="TOC9" w:type="paragraph">
    <w:name w:val="TOC 9"/>
    <w:basedOn w:val="Normal"/>
    <w:uiPriority w:val="1"/>
    <w:qFormat/>
    <w:pPr>
      <w:spacing w:before="41"/>
      <w:ind w:left="2369" w:hanging="762"/>
    </w:pPr>
    <w:rPr>
      <w:rFonts w:ascii="Times New Roman" w:hAnsi="Times New Roman" w:eastAsia="Times New Roman" w:cs="Times New Roman"/>
      <w:sz w:val="22"/>
      <w:szCs w:val="22"/>
      <w:lang w:val="es-gt" w:eastAsia="es-gt" w:bidi="es-gt"/>
    </w:rPr>
  </w:style>
  <w:style w:styleId="BodyText" w:type="paragraph">
    <w:name w:val="Body Text"/>
    <w:basedOn w:val="Normal"/>
    <w:uiPriority w:val="1"/>
    <w:qFormat/>
    <w:pPr/>
    <w:rPr>
      <w:rFonts w:ascii="Times New Roman" w:hAnsi="Times New Roman" w:eastAsia="Times New Roman" w:cs="Times New Roman"/>
      <w:sz w:val="22"/>
      <w:szCs w:val="22"/>
      <w:lang w:val="es-gt" w:eastAsia="es-gt" w:bidi="es-gt"/>
    </w:rPr>
  </w:style>
  <w:style w:styleId="Heading1" w:type="paragraph">
    <w:name w:val="Heading 1"/>
    <w:basedOn w:val="Normal"/>
    <w:uiPriority w:val="1"/>
    <w:qFormat/>
    <w:pPr>
      <w:ind w:left="1395"/>
      <w:outlineLvl w:val="1"/>
    </w:pPr>
    <w:rPr>
      <w:rFonts w:ascii="Times New Roman" w:hAnsi="Times New Roman" w:eastAsia="Times New Roman" w:cs="Times New Roman"/>
      <w:b/>
      <w:bCs/>
      <w:sz w:val="26"/>
      <w:szCs w:val="26"/>
      <w:lang w:val="es-gt" w:eastAsia="es-gt" w:bidi="es-gt"/>
    </w:rPr>
  </w:style>
  <w:style w:styleId="Heading2" w:type="paragraph">
    <w:name w:val="Heading 2"/>
    <w:basedOn w:val="Normal"/>
    <w:uiPriority w:val="1"/>
    <w:qFormat/>
    <w:pPr>
      <w:ind w:left="1354"/>
      <w:outlineLvl w:val="2"/>
    </w:pPr>
    <w:rPr>
      <w:rFonts w:ascii="Times New Roman" w:hAnsi="Times New Roman" w:eastAsia="Times New Roman" w:cs="Times New Roman"/>
      <w:b/>
      <w:bCs/>
      <w:sz w:val="24"/>
      <w:szCs w:val="24"/>
      <w:lang w:val="es-gt" w:eastAsia="es-gt" w:bidi="es-gt"/>
    </w:rPr>
  </w:style>
  <w:style w:styleId="Heading3" w:type="paragraph">
    <w:name w:val="Heading 3"/>
    <w:basedOn w:val="Normal"/>
    <w:uiPriority w:val="1"/>
    <w:qFormat/>
    <w:pPr>
      <w:ind w:left="1282"/>
      <w:outlineLvl w:val="3"/>
    </w:pPr>
    <w:rPr>
      <w:rFonts w:ascii="Times New Roman" w:hAnsi="Times New Roman" w:eastAsia="Times New Roman" w:cs="Times New Roman"/>
      <w:b/>
      <w:bCs/>
      <w:sz w:val="22"/>
      <w:szCs w:val="22"/>
      <w:lang w:val="es-gt" w:eastAsia="es-gt" w:bidi="es-gt"/>
    </w:rPr>
  </w:style>
  <w:style w:styleId="Heading4" w:type="paragraph">
    <w:name w:val="Heading 4"/>
    <w:basedOn w:val="Normal"/>
    <w:uiPriority w:val="1"/>
    <w:qFormat/>
    <w:pPr>
      <w:ind w:left="1395" w:right="2531"/>
      <w:jc w:val="center"/>
      <w:outlineLvl w:val="4"/>
    </w:pPr>
    <w:rPr>
      <w:rFonts w:ascii="Times New Roman" w:hAnsi="Times New Roman" w:eastAsia="Times New Roman" w:cs="Times New Roman"/>
      <w:b/>
      <w:bCs/>
      <w:i/>
      <w:sz w:val="22"/>
      <w:szCs w:val="22"/>
      <w:lang w:val="es-gt" w:eastAsia="es-gt" w:bidi="es-gt"/>
    </w:rPr>
  </w:style>
  <w:style w:styleId="ListParagraph" w:type="paragraph">
    <w:name w:val="List Paragraph"/>
    <w:basedOn w:val="Normal"/>
    <w:uiPriority w:val="1"/>
    <w:qFormat/>
    <w:pPr>
      <w:ind w:left="1282" w:hanging="360"/>
    </w:pPr>
    <w:rPr>
      <w:rFonts w:ascii="Times New Roman" w:hAnsi="Times New Roman" w:eastAsia="Times New Roman" w:cs="Times New Roman"/>
      <w:lang w:val="es-gt" w:eastAsia="es-gt" w:bidi="es-gt"/>
    </w:rPr>
  </w:style>
  <w:style w:styleId="TableParagraph" w:type="paragraph">
    <w:name w:val="Table Paragraph"/>
    <w:basedOn w:val="Normal"/>
    <w:uiPriority w:val="1"/>
    <w:qFormat/>
    <w:pPr/>
    <w:rPr>
      <w:rFonts w:ascii="Times New Roman" w:hAnsi="Times New Roman" w:eastAsia="Times New Roman" w:cs="Times New Roman"/>
      <w:lang w:val="es-gt" w:eastAsia="es-gt" w:bidi="es-g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jpe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pn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png"/><Relationship Id="rId149" Type="http://schemas.openxmlformats.org/officeDocument/2006/relationships/image" Target="media/image143.png"/><Relationship Id="rId150" Type="http://schemas.openxmlformats.org/officeDocument/2006/relationships/image" Target="media/image144.png"/><Relationship Id="rId151" Type="http://schemas.openxmlformats.org/officeDocument/2006/relationships/image" Target="media/image145.png"/><Relationship Id="rId152" Type="http://schemas.openxmlformats.org/officeDocument/2006/relationships/image" Target="media/image146.png"/><Relationship Id="rId153" Type="http://schemas.openxmlformats.org/officeDocument/2006/relationships/image" Target="media/image147.png"/><Relationship Id="rId154" Type="http://schemas.openxmlformats.org/officeDocument/2006/relationships/image" Target="media/image148.png"/><Relationship Id="rId155" Type="http://schemas.openxmlformats.org/officeDocument/2006/relationships/image" Target="media/image149.png"/><Relationship Id="rId156" Type="http://schemas.openxmlformats.org/officeDocument/2006/relationships/image" Target="media/image150.png"/><Relationship Id="rId157" Type="http://schemas.openxmlformats.org/officeDocument/2006/relationships/image" Target="media/image151.png"/><Relationship Id="rId158" Type="http://schemas.openxmlformats.org/officeDocument/2006/relationships/image" Target="media/image152.png"/><Relationship Id="rId159" Type="http://schemas.openxmlformats.org/officeDocument/2006/relationships/image" Target="media/image153.png"/><Relationship Id="rId160" Type="http://schemas.openxmlformats.org/officeDocument/2006/relationships/image" Target="media/image154.png"/><Relationship Id="rId161" Type="http://schemas.openxmlformats.org/officeDocument/2006/relationships/image" Target="media/image155.png"/><Relationship Id="rId162" Type="http://schemas.openxmlformats.org/officeDocument/2006/relationships/image" Target="media/image156.png"/><Relationship Id="rId163" Type="http://schemas.openxmlformats.org/officeDocument/2006/relationships/image" Target="media/image157.png"/><Relationship Id="rId164" Type="http://schemas.openxmlformats.org/officeDocument/2006/relationships/image" Target="media/image158.png"/><Relationship Id="rId165" Type="http://schemas.openxmlformats.org/officeDocument/2006/relationships/image" Target="media/image159.png"/><Relationship Id="rId166" Type="http://schemas.openxmlformats.org/officeDocument/2006/relationships/image" Target="media/image160.png"/><Relationship Id="rId167" Type="http://schemas.openxmlformats.org/officeDocument/2006/relationships/image" Target="media/image161.png"/><Relationship Id="rId168" Type="http://schemas.openxmlformats.org/officeDocument/2006/relationships/image" Target="media/image162.png"/><Relationship Id="rId169" Type="http://schemas.openxmlformats.org/officeDocument/2006/relationships/image" Target="media/image163.png"/><Relationship Id="rId170" Type="http://schemas.openxmlformats.org/officeDocument/2006/relationships/image" Target="media/image164.png"/><Relationship Id="rId171" Type="http://schemas.openxmlformats.org/officeDocument/2006/relationships/image" Target="media/image165.png"/><Relationship Id="rId172" Type="http://schemas.openxmlformats.org/officeDocument/2006/relationships/image" Target="media/image166.png"/><Relationship Id="rId173" Type="http://schemas.openxmlformats.org/officeDocument/2006/relationships/image" Target="media/image167.png"/><Relationship Id="rId174" Type="http://schemas.openxmlformats.org/officeDocument/2006/relationships/image" Target="media/image168.png"/><Relationship Id="rId175" Type="http://schemas.openxmlformats.org/officeDocument/2006/relationships/image" Target="media/image169.png"/><Relationship Id="rId176" Type="http://schemas.openxmlformats.org/officeDocument/2006/relationships/image" Target="media/image170.png"/><Relationship Id="rId177" Type="http://schemas.openxmlformats.org/officeDocument/2006/relationships/image" Target="media/image171.png"/><Relationship Id="rId178" Type="http://schemas.openxmlformats.org/officeDocument/2006/relationships/image" Target="media/image172.png"/><Relationship Id="rId179" Type="http://schemas.openxmlformats.org/officeDocument/2006/relationships/image" Target="media/image173.png"/><Relationship Id="rId180" Type="http://schemas.openxmlformats.org/officeDocument/2006/relationships/image" Target="media/image174.png"/><Relationship Id="rId181" Type="http://schemas.openxmlformats.org/officeDocument/2006/relationships/image" Target="media/image175.png"/><Relationship Id="rId182" Type="http://schemas.openxmlformats.org/officeDocument/2006/relationships/image" Target="media/image176.png"/><Relationship Id="rId183" Type="http://schemas.openxmlformats.org/officeDocument/2006/relationships/image" Target="media/image177.png"/><Relationship Id="rId184" Type="http://schemas.openxmlformats.org/officeDocument/2006/relationships/image" Target="media/image178.png"/><Relationship Id="rId185" Type="http://schemas.openxmlformats.org/officeDocument/2006/relationships/image" Target="media/image179.png"/><Relationship Id="rId186" Type="http://schemas.openxmlformats.org/officeDocument/2006/relationships/image" Target="media/image180.png"/><Relationship Id="rId187" Type="http://schemas.openxmlformats.org/officeDocument/2006/relationships/image" Target="media/image181.png"/><Relationship Id="rId188" Type="http://schemas.openxmlformats.org/officeDocument/2006/relationships/image" Target="media/image182.png"/><Relationship Id="rId189" Type="http://schemas.openxmlformats.org/officeDocument/2006/relationships/image" Target="media/image183.png"/><Relationship Id="rId190" Type="http://schemas.openxmlformats.org/officeDocument/2006/relationships/image" Target="media/image184.png"/><Relationship Id="rId191" Type="http://schemas.openxmlformats.org/officeDocument/2006/relationships/image" Target="media/image185.png"/><Relationship Id="rId192" Type="http://schemas.openxmlformats.org/officeDocument/2006/relationships/image" Target="media/image186.png"/><Relationship Id="rId193" Type="http://schemas.openxmlformats.org/officeDocument/2006/relationships/image" Target="media/image187.png"/><Relationship Id="rId194" Type="http://schemas.openxmlformats.org/officeDocument/2006/relationships/image" Target="media/image188.png"/><Relationship Id="rId195" Type="http://schemas.openxmlformats.org/officeDocument/2006/relationships/image" Target="media/image189.png"/><Relationship Id="rId196" Type="http://schemas.openxmlformats.org/officeDocument/2006/relationships/image" Target="media/image190.png"/><Relationship Id="rId197" Type="http://schemas.openxmlformats.org/officeDocument/2006/relationships/image" Target="media/image191.png"/><Relationship Id="rId198" Type="http://schemas.openxmlformats.org/officeDocument/2006/relationships/image" Target="media/image192.png"/><Relationship Id="rId199" Type="http://schemas.openxmlformats.org/officeDocument/2006/relationships/image" Target="media/image193.png"/><Relationship Id="rId200" Type="http://schemas.openxmlformats.org/officeDocument/2006/relationships/image" Target="media/image194.png"/><Relationship Id="rId201" Type="http://schemas.openxmlformats.org/officeDocument/2006/relationships/image" Target="media/image195.png"/><Relationship Id="rId202" Type="http://schemas.openxmlformats.org/officeDocument/2006/relationships/image" Target="media/image196.png"/><Relationship Id="rId203" Type="http://schemas.openxmlformats.org/officeDocument/2006/relationships/image" Target="media/image197.png"/><Relationship Id="rId204" Type="http://schemas.openxmlformats.org/officeDocument/2006/relationships/image" Target="media/image198.png"/><Relationship Id="rId205" Type="http://schemas.openxmlformats.org/officeDocument/2006/relationships/image" Target="media/image199.png"/><Relationship Id="rId206" Type="http://schemas.openxmlformats.org/officeDocument/2006/relationships/image" Target="media/image200.png"/><Relationship Id="rId207" Type="http://schemas.openxmlformats.org/officeDocument/2006/relationships/image" Target="media/image201.png"/><Relationship Id="rId208" Type="http://schemas.openxmlformats.org/officeDocument/2006/relationships/image" Target="media/image202.png"/><Relationship Id="rId209" Type="http://schemas.openxmlformats.org/officeDocument/2006/relationships/image" Target="media/image203.png"/><Relationship Id="rId210" Type="http://schemas.openxmlformats.org/officeDocument/2006/relationships/image" Target="media/image204.png"/><Relationship Id="rId211" Type="http://schemas.openxmlformats.org/officeDocument/2006/relationships/image" Target="media/image205.png"/><Relationship Id="rId212" Type="http://schemas.openxmlformats.org/officeDocument/2006/relationships/image" Target="media/image206.png"/><Relationship Id="rId213" Type="http://schemas.openxmlformats.org/officeDocument/2006/relationships/image" Target="media/image207.png"/><Relationship Id="rId214" Type="http://schemas.openxmlformats.org/officeDocument/2006/relationships/image" Target="media/image208.png"/><Relationship Id="rId215" Type="http://schemas.openxmlformats.org/officeDocument/2006/relationships/image" Target="media/image209.png"/><Relationship Id="rId216" Type="http://schemas.openxmlformats.org/officeDocument/2006/relationships/image" Target="media/image210.png"/><Relationship Id="rId217" Type="http://schemas.openxmlformats.org/officeDocument/2006/relationships/image" Target="media/image211.png"/><Relationship Id="rId218" Type="http://schemas.openxmlformats.org/officeDocument/2006/relationships/image" Target="media/image212.png"/><Relationship Id="rId219" Type="http://schemas.openxmlformats.org/officeDocument/2006/relationships/image" Target="media/image213.png"/><Relationship Id="rId220" Type="http://schemas.openxmlformats.org/officeDocument/2006/relationships/image" Target="media/image214.png"/><Relationship Id="rId221" Type="http://schemas.openxmlformats.org/officeDocument/2006/relationships/image" Target="media/image215.png"/><Relationship Id="rId222" Type="http://schemas.openxmlformats.org/officeDocument/2006/relationships/image" Target="media/image216.png"/><Relationship Id="rId223" Type="http://schemas.openxmlformats.org/officeDocument/2006/relationships/image" Target="media/image217.png"/><Relationship Id="rId224" Type="http://schemas.openxmlformats.org/officeDocument/2006/relationships/image" Target="media/image218.png"/><Relationship Id="rId225" Type="http://schemas.openxmlformats.org/officeDocument/2006/relationships/image" Target="media/image219.png"/><Relationship Id="rId226" Type="http://schemas.openxmlformats.org/officeDocument/2006/relationships/image" Target="media/image220.png"/><Relationship Id="rId227" Type="http://schemas.openxmlformats.org/officeDocument/2006/relationships/image" Target="media/image221.png"/><Relationship Id="rId228" Type="http://schemas.openxmlformats.org/officeDocument/2006/relationships/image" Target="media/image222.png"/><Relationship Id="rId229" Type="http://schemas.openxmlformats.org/officeDocument/2006/relationships/image" Target="media/image223.png"/><Relationship Id="rId230" Type="http://schemas.openxmlformats.org/officeDocument/2006/relationships/image" Target="media/image224.png"/><Relationship Id="rId231" Type="http://schemas.openxmlformats.org/officeDocument/2006/relationships/image" Target="media/image225.png"/><Relationship Id="rId232" Type="http://schemas.openxmlformats.org/officeDocument/2006/relationships/image" Target="media/image226.png"/><Relationship Id="rId233" Type="http://schemas.openxmlformats.org/officeDocument/2006/relationships/image" Target="media/image227.png"/><Relationship Id="rId234" Type="http://schemas.openxmlformats.org/officeDocument/2006/relationships/image" Target="media/image228.png"/><Relationship Id="rId235" Type="http://schemas.openxmlformats.org/officeDocument/2006/relationships/image" Target="media/image229.png"/><Relationship Id="rId236" Type="http://schemas.openxmlformats.org/officeDocument/2006/relationships/image" Target="media/image230.png"/><Relationship Id="rId237" Type="http://schemas.openxmlformats.org/officeDocument/2006/relationships/image" Target="media/image231.png"/><Relationship Id="rId238" Type="http://schemas.openxmlformats.org/officeDocument/2006/relationships/image" Target="media/image232.png"/><Relationship Id="rId239" Type="http://schemas.openxmlformats.org/officeDocument/2006/relationships/image" Target="media/image233.png"/><Relationship Id="rId240" Type="http://schemas.openxmlformats.org/officeDocument/2006/relationships/image" Target="media/image234.png"/><Relationship Id="rId241" Type="http://schemas.openxmlformats.org/officeDocument/2006/relationships/image" Target="media/image235.png"/><Relationship Id="rId242" Type="http://schemas.openxmlformats.org/officeDocument/2006/relationships/image" Target="media/image236.png"/><Relationship Id="rId243" Type="http://schemas.openxmlformats.org/officeDocument/2006/relationships/image" Target="media/image237.png"/><Relationship Id="rId244" Type="http://schemas.openxmlformats.org/officeDocument/2006/relationships/image" Target="media/image238.png"/><Relationship Id="rId245" Type="http://schemas.openxmlformats.org/officeDocument/2006/relationships/image" Target="media/image239.png"/><Relationship Id="rId246" Type="http://schemas.openxmlformats.org/officeDocument/2006/relationships/image" Target="media/image240.png"/><Relationship Id="rId247" Type="http://schemas.openxmlformats.org/officeDocument/2006/relationships/image" Target="media/image241.png"/><Relationship Id="rId248" Type="http://schemas.openxmlformats.org/officeDocument/2006/relationships/image" Target="media/image242.png"/><Relationship Id="rId249" Type="http://schemas.openxmlformats.org/officeDocument/2006/relationships/image" Target="media/image243.png"/><Relationship Id="rId250" Type="http://schemas.openxmlformats.org/officeDocument/2006/relationships/image" Target="media/image244.png"/><Relationship Id="rId251" Type="http://schemas.openxmlformats.org/officeDocument/2006/relationships/image" Target="media/image245.png"/><Relationship Id="rId252" Type="http://schemas.openxmlformats.org/officeDocument/2006/relationships/image" Target="media/image246.png"/><Relationship Id="rId253" Type="http://schemas.openxmlformats.org/officeDocument/2006/relationships/image" Target="media/image247.png"/><Relationship Id="rId254" Type="http://schemas.openxmlformats.org/officeDocument/2006/relationships/image" Target="media/image248.png"/><Relationship Id="rId255" Type="http://schemas.openxmlformats.org/officeDocument/2006/relationships/image" Target="media/image249.png"/><Relationship Id="rId256" Type="http://schemas.openxmlformats.org/officeDocument/2006/relationships/image" Target="media/image250.png"/><Relationship Id="rId257" Type="http://schemas.openxmlformats.org/officeDocument/2006/relationships/image" Target="media/image251.png"/><Relationship Id="rId258" Type="http://schemas.openxmlformats.org/officeDocument/2006/relationships/image" Target="media/image252.png"/><Relationship Id="rId259" Type="http://schemas.openxmlformats.org/officeDocument/2006/relationships/image" Target="media/image253.png"/><Relationship Id="rId260" Type="http://schemas.openxmlformats.org/officeDocument/2006/relationships/image" Target="media/image254.png"/><Relationship Id="rId261" Type="http://schemas.openxmlformats.org/officeDocument/2006/relationships/image" Target="media/image255.png"/><Relationship Id="rId262" Type="http://schemas.openxmlformats.org/officeDocument/2006/relationships/image" Target="media/image256.png"/><Relationship Id="rId263" Type="http://schemas.openxmlformats.org/officeDocument/2006/relationships/image" Target="media/image257.png"/><Relationship Id="rId264" Type="http://schemas.openxmlformats.org/officeDocument/2006/relationships/image" Target="media/image258.png"/><Relationship Id="rId265" Type="http://schemas.openxmlformats.org/officeDocument/2006/relationships/image" Target="media/image259.jpeg"/><Relationship Id="rId266" Type="http://schemas.openxmlformats.org/officeDocument/2006/relationships/image" Target="media/image260.png"/><Relationship Id="rId267" Type="http://schemas.openxmlformats.org/officeDocument/2006/relationships/image" Target="media/image261.png"/><Relationship Id="rId268" Type="http://schemas.openxmlformats.org/officeDocument/2006/relationships/image" Target="media/image262.png"/><Relationship Id="rId269" Type="http://schemas.openxmlformats.org/officeDocument/2006/relationships/image" Target="media/image263.png"/><Relationship Id="rId270" Type="http://schemas.openxmlformats.org/officeDocument/2006/relationships/image" Target="media/image264.png"/><Relationship Id="rId271" Type="http://schemas.openxmlformats.org/officeDocument/2006/relationships/image" Target="media/image265.png"/><Relationship Id="rId272" Type="http://schemas.openxmlformats.org/officeDocument/2006/relationships/image" Target="media/image266.png"/><Relationship Id="rId273" Type="http://schemas.openxmlformats.org/officeDocument/2006/relationships/image" Target="media/image267.png"/><Relationship Id="rId274" Type="http://schemas.openxmlformats.org/officeDocument/2006/relationships/image" Target="media/image268.png"/><Relationship Id="rId275" Type="http://schemas.openxmlformats.org/officeDocument/2006/relationships/image" Target="media/image269.png"/><Relationship Id="rId276" Type="http://schemas.openxmlformats.org/officeDocument/2006/relationships/image" Target="media/image270.png"/><Relationship Id="rId277" Type="http://schemas.openxmlformats.org/officeDocument/2006/relationships/image" Target="media/image271.png"/><Relationship Id="rId278" Type="http://schemas.openxmlformats.org/officeDocument/2006/relationships/image" Target="media/image272.png"/><Relationship Id="rId279" Type="http://schemas.openxmlformats.org/officeDocument/2006/relationships/image" Target="media/image273.png"/><Relationship Id="rId280" Type="http://schemas.openxmlformats.org/officeDocument/2006/relationships/image" Target="media/image274.png"/><Relationship Id="rId281" Type="http://schemas.openxmlformats.org/officeDocument/2006/relationships/header" Target="header2.xml"/><Relationship Id="rId282" Type="http://schemas.openxmlformats.org/officeDocument/2006/relationships/footer" Target="footer2.xml"/><Relationship Id="rId283" Type="http://schemas.openxmlformats.org/officeDocument/2006/relationships/image" Target="media/image275.jpeg"/><Relationship Id="rId284" Type="http://schemas.openxmlformats.org/officeDocument/2006/relationships/image" Target="media/image276.jpeg"/><Relationship Id="rId285" Type="http://schemas.openxmlformats.org/officeDocument/2006/relationships/image" Target="media/image277.jpeg"/><Relationship Id="rId286" Type="http://schemas.openxmlformats.org/officeDocument/2006/relationships/image" Target="media/image278.jpeg"/><Relationship Id="rId287" Type="http://schemas.openxmlformats.org/officeDocument/2006/relationships/image" Target="media/image279.png"/><Relationship Id="rId288" Type="http://schemas.openxmlformats.org/officeDocument/2006/relationships/image" Target="media/image280.png"/><Relationship Id="rId289" Type="http://schemas.openxmlformats.org/officeDocument/2006/relationships/image" Target="media/image281.png"/><Relationship Id="rId290" Type="http://schemas.openxmlformats.org/officeDocument/2006/relationships/image" Target="media/image282.png"/><Relationship Id="rId291" Type="http://schemas.openxmlformats.org/officeDocument/2006/relationships/image" Target="media/image283.png"/><Relationship Id="rId292" Type="http://schemas.openxmlformats.org/officeDocument/2006/relationships/image" Target="media/image284.png"/><Relationship Id="rId293" Type="http://schemas.openxmlformats.org/officeDocument/2006/relationships/image" Target="media/image285.png"/><Relationship Id="rId294" Type="http://schemas.openxmlformats.org/officeDocument/2006/relationships/image" Target="media/image286.png"/><Relationship Id="rId295" Type="http://schemas.openxmlformats.org/officeDocument/2006/relationships/image" Target="media/image287.png"/><Relationship Id="rId296" Type="http://schemas.openxmlformats.org/officeDocument/2006/relationships/image" Target="media/image288.png"/><Relationship Id="rId297" Type="http://schemas.openxmlformats.org/officeDocument/2006/relationships/image" Target="media/image289.png"/><Relationship Id="rId298" Type="http://schemas.openxmlformats.org/officeDocument/2006/relationships/image" Target="media/image290.png"/><Relationship Id="rId299" Type="http://schemas.openxmlformats.org/officeDocument/2006/relationships/image" Target="media/image291.png"/><Relationship Id="rId300" Type="http://schemas.openxmlformats.org/officeDocument/2006/relationships/image" Target="media/image292.png"/><Relationship Id="rId301" Type="http://schemas.openxmlformats.org/officeDocument/2006/relationships/image" Target="media/image293.png"/><Relationship Id="rId302" Type="http://schemas.openxmlformats.org/officeDocument/2006/relationships/image" Target="media/image294.png"/><Relationship Id="rId303" Type="http://schemas.openxmlformats.org/officeDocument/2006/relationships/image" Target="media/image295.png"/><Relationship Id="rId304" Type="http://schemas.openxmlformats.org/officeDocument/2006/relationships/image" Target="media/image296.png"/><Relationship Id="rId305" Type="http://schemas.openxmlformats.org/officeDocument/2006/relationships/image" Target="media/image297.png"/><Relationship Id="rId306" Type="http://schemas.openxmlformats.org/officeDocument/2006/relationships/image" Target="media/image298.png"/><Relationship Id="rId307" Type="http://schemas.openxmlformats.org/officeDocument/2006/relationships/image" Target="media/image299.png"/><Relationship Id="rId308" Type="http://schemas.openxmlformats.org/officeDocument/2006/relationships/image" Target="media/image300.png"/><Relationship Id="rId309" Type="http://schemas.openxmlformats.org/officeDocument/2006/relationships/image" Target="media/image301.png"/><Relationship Id="rId310" Type="http://schemas.openxmlformats.org/officeDocument/2006/relationships/image" Target="media/image302.png"/><Relationship Id="rId311" Type="http://schemas.openxmlformats.org/officeDocument/2006/relationships/image" Target="media/image303.png"/><Relationship Id="rId312" Type="http://schemas.openxmlformats.org/officeDocument/2006/relationships/image" Target="media/image304.png"/><Relationship Id="rId313" Type="http://schemas.openxmlformats.org/officeDocument/2006/relationships/image" Target="media/image305.png"/><Relationship Id="rId314" Type="http://schemas.openxmlformats.org/officeDocument/2006/relationships/image" Target="media/image306.png"/><Relationship Id="rId315" Type="http://schemas.openxmlformats.org/officeDocument/2006/relationships/image" Target="media/image307.png"/><Relationship Id="rId316" Type="http://schemas.openxmlformats.org/officeDocument/2006/relationships/image" Target="media/image308.png"/><Relationship Id="rId317" Type="http://schemas.openxmlformats.org/officeDocument/2006/relationships/image" Target="media/image309.png"/><Relationship Id="rId318" Type="http://schemas.openxmlformats.org/officeDocument/2006/relationships/image" Target="media/image310.png"/><Relationship Id="rId319" Type="http://schemas.openxmlformats.org/officeDocument/2006/relationships/image" Target="media/image311.png"/><Relationship Id="rId320" Type="http://schemas.openxmlformats.org/officeDocument/2006/relationships/image" Target="media/image312.png"/><Relationship Id="rId321" Type="http://schemas.openxmlformats.org/officeDocument/2006/relationships/image" Target="media/image313.png"/><Relationship Id="rId322" Type="http://schemas.openxmlformats.org/officeDocument/2006/relationships/image" Target="media/image314.png"/><Relationship Id="rId323" Type="http://schemas.openxmlformats.org/officeDocument/2006/relationships/image" Target="media/image315.png"/><Relationship Id="rId324" Type="http://schemas.openxmlformats.org/officeDocument/2006/relationships/image" Target="media/image316.png"/><Relationship Id="rId325" Type="http://schemas.openxmlformats.org/officeDocument/2006/relationships/image" Target="media/image317.png"/><Relationship Id="rId326" Type="http://schemas.openxmlformats.org/officeDocument/2006/relationships/image" Target="media/image318.png"/><Relationship Id="rId327" Type="http://schemas.openxmlformats.org/officeDocument/2006/relationships/image" Target="media/image319.png"/><Relationship Id="rId328" Type="http://schemas.openxmlformats.org/officeDocument/2006/relationships/image" Target="media/image320.png"/><Relationship Id="rId329" Type="http://schemas.openxmlformats.org/officeDocument/2006/relationships/image" Target="media/image321.png"/><Relationship Id="rId330" Type="http://schemas.openxmlformats.org/officeDocument/2006/relationships/image" Target="media/image322.png"/><Relationship Id="rId331" Type="http://schemas.openxmlformats.org/officeDocument/2006/relationships/image" Target="media/image323.png"/><Relationship Id="rId332" Type="http://schemas.openxmlformats.org/officeDocument/2006/relationships/image" Target="media/image324.png"/><Relationship Id="rId333" Type="http://schemas.openxmlformats.org/officeDocument/2006/relationships/image" Target="media/image325.png"/><Relationship Id="rId334" Type="http://schemas.openxmlformats.org/officeDocument/2006/relationships/image" Target="media/image326.png"/><Relationship Id="rId335" Type="http://schemas.openxmlformats.org/officeDocument/2006/relationships/image" Target="media/image327.png"/><Relationship Id="rId336" Type="http://schemas.openxmlformats.org/officeDocument/2006/relationships/image" Target="media/image328.png"/><Relationship Id="rId337" Type="http://schemas.openxmlformats.org/officeDocument/2006/relationships/image" Target="media/image329.png"/><Relationship Id="rId338" Type="http://schemas.openxmlformats.org/officeDocument/2006/relationships/image" Target="media/image330.png"/><Relationship Id="rId339" Type="http://schemas.openxmlformats.org/officeDocument/2006/relationships/image" Target="media/image331.png"/><Relationship Id="rId340" Type="http://schemas.openxmlformats.org/officeDocument/2006/relationships/image" Target="media/image332.png"/><Relationship Id="rId341" Type="http://schemas.openxmlformats.org/officeDocument/2006/relationships/image" Target="media/image333.png"/><Relationship Id="rId342" Type="http://schemas.openxmlformats.org/officeDocument/2006/relationships/image" Target="media/image334.png"/><Relationship Id="rId343" Type="http://schemas.openxmlformats.org/officeDocument/2006/relationships/image" Target="media/image335.png"/><Relationship Id="rId344" Type="http://schemas.openxmlformats.org/officeDocument/2006/relationships/image" Target="media/image336.png"/><Relationship Id="rId345" Type="http://schemas.openxmlformats.org/officeDocument/2006/relationships/image" Target="media/image337.png"/><Relationship Id="rId346" Type="http://schemas.openxmlformats.org/officeDocument/2006/relationships/image" Target="media/image338.png"/><Relationship Id="rId347" Type="http://schemas.openxmlformats.org/officeDocument/2006/relationships/image" Target="media/image339.png"/><Relationship Id="rId348" Type="http://schemas.openxmlformats.org/officeDocument/2006/relationships/image" Target="media/image340.png"/><Relationship Id="rId349" Type="http://schemas.openxmlformats.org/officeDocument/2006/relationships/image" Target="media/image341.png"/><Relationship Id="rId350" Type="http://schemas.openxmlformats.org/officeDocument/2006/relationships/image" Target="media/image342.png"/><Relationship Id="rId351" Type="http://schemas.openxmlformats.org/officeDocument/2006/relationships/image" Target="media/image343.png"/><Relationship Id="rId352" Type="http://schemas.openxmlformats.org/officeDocument/2006/relationships/image" Target="media/image344.png"/><Relationship Id="rId353" Type="http://schemas.openxmlformats.org/officeDocument/2006/relationships/image" Target="media/image345.png"/><Relationship Id="rId354" Type="http://schemas.openxmlformats.org/officeDocument/2006/relationships/image" Target="media/image346.png"/><Relationship Id="rId355" Type="http://schemas.openxmlformats.org/officeDocument/2006/relationships/image" Target="media/image347.png"/><Relationship Id="rId356" Type="http://schemas.openxmlformats.org/officeDocument/2006/relationships/image" Target="media/image348.jpeg"/><Relationship Id="rId357" Type="http://schemas.openxmlformats.org/officeDocument/2006/relationships/image" Target="media/image349.jpeg"/><Relationship Id="rId358" Type="http://schemas.openxmlformats.org/officeDocument/2006/relationships/image" Target="media/image350.png"/><Relationship Id="rId359" Type="http://schemas.openxmlformats.org/officeDocument/2006/relationships/image" Target="media/image351.png"/><Relationship Id="rId360" Type="http://schemas.openxmlformats.org/officeDocument/2006/relationships/image" Target="media/image352.png"/><Relationship Id="rId361" Type="http://schemas.openxmlformats.org/officeDocument/2006/relationships/image" Target="media/image353.png"/><Relationship Id="rId362" Type="http://schemas.openxmlformats.org/officeDocument/2006/relationships/image" Target="media/image354.png"/><Relationship Id="rId363" Type="http://schemas.openxmlformats.org/officeDocument/2006/relationships/image" Target="media/image355.png"/><Relationship Id="rId364" Type="http://schemas.openxmlformats.org/officeDocument/2006/relationships/image" Target="media/image356.png"/><Relationship Id="rId365" Type="http://schemas.openxmlformats.org/officeDocument/2006/relationships/image" Target="media/image357.png"/><Relationship Id="rId366" Type="http://schemas.openxmlformats.org/officeDocument/2006/relationships/image" Target="media/image358.png"/><Relationship Id="rId367" Type="http://schemas.openxmlformats.org/officeDocument/2006/relationships/image" Target="media/image359.png"/><Relationship Id="rId368" Type="http://schemas.openxmlformats.org/officeDocument/2006/relationships/image" Target="media/image360.png"/><Relationship Id="rId369" Type="http://schemas.openxmlformats.org/officeDocument/2006/relationships/image" Target="media/image361.png"/><Relationship Id="rId370" Type="http://schemas.openxmlformats.org/officeDocument/2006/relationships/image" Target="media/image362.png"/><Relationship Id="rId371" Type="http://schemas.openxmlformats.org/officeDocument/2006/relationships/image" Target="media/image363.png"/><Relationship Id="rId372" Type="http://schemas.openxmlformats.org/officeDocument/2006/relationships/image" Target="media/image364.png"/><Relationship Id="rId373" Type="http://schemas.openxmlformats.org/officeDocument/2006/relationships/image" Target="media/image365.png"/><Relationship Id="rId374" Type="http://schemas.openxmlformats.org/officeDocument/2006/relationships/image" Target="media/image366.png"/><Relationship Id="rId375" Type="http://schemas.openxmlformats.org/officeDocument/2006/relationships/image" Target="media/image367.png"/><Relationship Id="rId376" Type="http://schemas.openxmlformats.org/officeDocument/2006/relationships/image" Target="media/image368.png"/><Relationship Id="rId377" Type="http://schemas.openxmlformats.org/officeDocument/2006/relationships/image" Target="media/image369.png"/><Relationship Id="rId378" Type="http://schemas.openxmlformats.org/officeDocument/2006/relationships/image" Target="media/image370.png"/><Relationship Id="rId379" Type="http://schemas.openxmlformats.org/officeDocument/2006/relationships/image" Target="media/image371.png"/><Relationship Id="rId380" Type="http://schemas.openxmlformats.org/officeDocument/2006/relationships/image" Target="media/image372.png"/><Relationship Id="rId381" Type="http://schemas.openxmlformats.org/officeDocument/2006/relationships/image" Target="media/image373.png"/><Relationship Id="rId382" Type="http://schemas.openxmlformats.org/officeDocument/2006/relationships/image" Target="media/image374.png"/><Relationship Id="rId383" Type="http://schemas.openxmlformats.org/officeDocument/2006/relationships/image" Target="media/image375.png"/><Relationship Id="rId384" Type="http://schemas.openxmlformats.org/officeDocument/2006/relationships/image" Target="media/image376.png"/><Relationship Id="rId385" Type="http://schemas.openxmlformats.org/officeDocument/2006/relationships/image" Target="media/image377.png"/><Relationship Id="rId386" Type="http://schemas.openxmlformats.org/officeDocument/2006/relationships/image" Target="media/image378.png"/><Relationship Id="rId387" Type="http://schemas.openxmlformats.org/officeDocument/2006/relationships/image" Target="media/image379.png"/><Relationship Id="rId388" Type="http://schemas.openxmlformats.org/officeDocument/2006/relationships/image" Target="media/image380.png"/><Relationship Id="rId389" Type="http://schemas.openxmlformats.org/officeDocument/2006/relationships/image" Target="media/image381.png"/><Relationship Id="rId390" Type="http://schemas.openxmlformats.org/officeDocument/2006/relationships/image" Target="media/image382.png"/><Relationship Id="rId391" Type="http://schemas.openxmlformats.org/officeDocument/2006/relationships/image" Target="media/image383.png"/><Relationship Id="rId392" Type="http://schemas.openxmlformats.org/officeDocument/2006/relationships/image" Target="media/image384.png"/><Relationship Id="rId393" Type="http://schemas.openxmlformats.org/officeDocument/2006/relationships/image" Target="media/image385.png"/><Relationship Id="rId394" Type="http://schemas.openxmlformats.org/officeDocument/2006/relationships/image" Target="media/image386.png"/><Relationship Id="rId395" Type="http://schemas.openxmlformats.org/officeDocument/2006/relationships/image" Target="media/image387.png"/><Relationship Id="rId396" Type="http://schemas.openxmlformats.org/officeDocument/2006/relationships/image" Target="media/image388.png"/><Relationship Id="rId397" Type="http://schemas.openxmlformats.org/officeDocument/2006/relationships/image" Target="media/image389.png"/><Relationship Id="rId398" Type="http://schemas.openxmlformats.org/officeDocument/2006/relationships/image" Target="media/image390.png"/><Relationship Id="rId399" Type="http://schemas.openxmlformats.org/officeDocument/2006/relationships/image" Target="media/image391.png"/><Relationship Id="rId400" Type="http://schemas.openxmlformats.org/officeDocument/2006/relationships/image" Target="media/image392.png"/><Relationship Id="rId401" Type="http://schemas.openxmlformats.org/officeDocument/2006/relationships/image" Target="media/image393.png"/><Relationship Id="rId402" Type="http://schemas.openxmlformats.org/officeDocument/2006/relationships/image" Target="media/image394.png"/><Relationship Id="rId403" Type="http://schemas.openxmlformats.org/officeDocument/2006/relationships/image" Target="media/image395.png"/><Relationship Id="rId404" Type="http://schemas.openxmlformats.org/officeDocument/2006/relationships/image" Target="media/image396.png"/><Relationship Id="rId405" Type="http://schemas.openxmlformats.org/officeDocument/2006/relationships/image" Target="media/image397.png"/><Relationship Id="rId406" Type="http://schemas.openxmlformats.org/officeDocument/2006/relationships/image" Target="media/image398.png"/><Relationship Id="rId407" Type="http://schemas.openxmlformats.org/officeDocument/2006/relationships/image" Target="media/image399.png"/><Relationship Id="rId408" Type="http://schemas.openxmlformats.org/officeDocument/2006/relationships/image" Target="media/image400.png"/><Relationship Id="rId409" Type="http://schemas.openxmlformats.org/officeDocument/2006/relationships/image" Target="media/image401.png"/><Relationship Id="rId410" Type="http://schemas.openxmlformats.org/officeDocument/2006/relationships/image" Target="media/image402.png"/><Relationship Id="rId411" Type="http://schemas.openxmlformats.org/officeDocument/2006/relationships/image" Target="media/image403.png"/><Relationship Id="rId412" Type="http://schemas.openxmlformats.org/officeDocument/2006/relationships/image" Target="media/image404.png"/><Relationship Id="rId413" Type="http://schemas.openxmlformats.org/officeDocument/2006/relationships/image" Target="media/image405.png"/><Relationship Id="rId414" Type="http://schemas.openxmlformats.org/officeDocument/2006/relationships/image" Target="media/image406.png"/><Relationship Id="rId415" Type="http://schemas.openxmlformats.org/officeDocument/2006/relationships/image" Target="media/image407.png"/><Relationship Id="rId416" Type="http://schemas.openxmlformats.org/officeDocument/2006/relationships/image" Target="media/image408.png"/><Relationship Id="rId417" Type="http://schemas.openxmlformats.org/officeDocument/2006/relationships/image" Target="media/image409.png"/><Relationship Id="rId418" Type="http://schemas.openxmlformats.org/officeDocument/2006/relationships/image" Target="media/image410.png"/><Relationship Id="rId419" Type="http://schemas.openxmlformats.org/officeDocument/2006/relationships/image" Target="media/image411.png"/><Relationship Id="rId420" Type="http://schemas.openxmlformats.org/officeDocument/2006/relationships/image" Target="media/image412.png"/><Relationship Id="rId421" Type="http://schemas.openxmlformats.org/officeDocument/2006/relationships/image" Target="media/image413.png"/><Relationship Id="rId422" Type="http://schemas.openxmlformats.org/officeDocument/2006/relationships/image" Target="media/image414.png"/><Relationship Id="rId423" Type="http://schemas.openxmlformats.org/officeDocument/2006/relationships/image" Target="media/image415.png"/><Relationship Id="rId424" Type="http://schemas.openxmlformats.org/officeDocument/2006/relationships/image" Target="media/image416.png"/><Relationship Id="rId425" Type="http://schemas.openxmlformats.org/officeDocument/2006/relationships/image" Target="media/image417.png"/><Relationship Id="rId426" Type="http://schemas.openxmlformats.org/officeDocument/2006/relationships/image" Target="media/image418.png"/><Relationship Id="rId427" Type="http://schemas.openxmlformats.org/officeDocument/2006/relationships/image" Target="media/image419.png"/><Relationship Id="rId428" Type="http://schemas.openxmlformats.org/officeDocument/2006/relationships/image" Target="media/image420.png"/><Relationship Id="rId429" Type="http://schemas.openxmlformats.org/officeDocument/2006/relationships/image" Target="media/image421.png"/><Relationship Id="rId430" Type="http://schemas.openxmlformats.org/officeDocument/2006/relationships/image" Target="media/image422.png"/><Relationship Id="rId431" Type="http://schemas.openxmlformats.org/officeDocument/2006/relationships/image" Target="media/image423.png"/><Relationship Id="rId4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Rodas Anleu</dc:creator>
  <dcterms:created xsi:type="dcterms:W3CDTF">2022-09-06T18:43:17Z</dcterms:created>
  <dcterms:modified xsi:type="dcterms:W3CDTF">2022-09-06T18:43:17Z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2022-09-05T00:00:00Z</vt:filetime>
  </property>
  <property fmtid="{D5CDD505-2E9C-101B-9397-08002B2CF9AE}" pid="3" name="Creator">
    <vt:lpwstr>Microsoft® Word 2016</vt:lpwstr>
  </property>
  <property fmtid="{D5CDD505-2E9C-101B-9397-08002B2CF9AE}" pid="4" name="LastSaved">
    <vt:filetime>2022-09-06T00:00:00Z</vt:filetime>
  </property>
</Properties>
</file>